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8.xml" ContentType="application/vnd.openxmlformats-officedocument.themeOverride+xml"/>
  <Override PartName="/word/drawings/drawing1.xml" ContentType="application/vnd.openxmlformats-officedocument.drawingml.chartshapes+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2.xml" ContentType="application/vnd.openxmlformats-officedocument.drawingml.chart+xml"/>
  <Override PartName="/word/theme/themeOverride18.xml" ContentType="application/vnd.openxmlformats-officedocument.themeOverride+xml"/>
  <Override PartName="/word/charts/chart23.xml" ContentType="application/vnd.openxmlformats-officedocument.drawingml.chart+xml"/>
  <Override PartName="/word/charts/chart24.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9.xml" ContentType="application/vnd.openxmlformats-officedocument.themeOverride+xml"/>
  <Override PartName="/word/charts/chart25.xml" ContentType="application/vnd.openxmlformats-officedocument.drawingml.chart+xml"/>
  <Override PartName="/word/theme/themeOverride20.xml" ContentType="application/vnd.openxmlformats-officedocument.themeOverride+xml"/>
  <Override PartName="/word/charts/chart26.xml" ContentType="application/vnd.openxmlformats-officedocument.drawingml.chart+xml"/>
  <Override PartName="/word/theme/themeOverride21.xml" ContentType="application/vnd.openxmlformats-officedocument.themeOverride+xml"/>
  <Override PartName="/word/drawings/drawing2.xml" ContentType="application/vnd.openxmlformats-officedocument.drawingml.chartshapes+xml"/>
  <Override PartName="/word/charts/chart27.xml" ContentType="application/vnd.openxmlformats-officedocument.drawingml.chart+xml"/>
  <Override PartName="/word/theme/themeOverride22.xml" ContentType="application/vnd.openxmlformats-officedocument.themeOverride+xml"/>
  <Override PartName="/word/drawings/drawing3.xml" ContentType="application/vnd.openxmlformats-officedocument.drawingml.chartshapes+xml"/>
  <Override PartName="/word/charts/chart28.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23.xml" ContentType="application/vnd.openxmlformats-officedocument.themeOverride+xml"/>
  <Override PartName="/word/charts/chart29.xml" ContentType="application/vnd.openxmlformats-officedocument.drawingml.chart+xml"/>
  <Override PartName="/word/theme/themeOverride2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A4" w:rsidRPr="00FA46AD" w:rsidRDefault="007520A4">
      <w:pPr>
        <w:pStyle w:val="Hlavikaobsahu"/>
        <w:rPr>
          <w:rFonts w:ascii="Times New Roman" w:hAnsi="Times New Roman"/>
          <w:color w:val="auto"/>
          <w:sz w:val="24"/>
          <w:szCs w:val="24"/>
        </w:rPr>
      </w:pPr>
      <w:bookmarkStart w:id="0" w:name="_Toc97700652"/>
      <w:bookmarkStart w:id="1" w:name="_Toc148255237"/>
      <w:bookmarkStart w:id="2" w:name="_Toc282686533"/>
      <w:r w:rsidRPr="00FA46AD">
        <w:rPr>
          <w:rFonts w:ascii="Times New Roman" w:hAnsi="Times New Roman"/>
          <w:color w:val="auto"/>
          <w:sz w:val="24"/>
          <w:szCs w:val="24"/>
        </w:rPr>
        <w:t>Obsah</w:t>
      </w:r>
    </w:p>
    <w:p w:rsidR="000B75A9" w:rsidRPr="007779E3" w:rsidRDefault="000B75A9" w:rsidP="00F603A5">
      <w:pPr>
        <w:rPr>
          <w:rFonts w:ascii="Times New Roman" w:hAnsi="Times New Roman" w:cs="Times New Roman"/>
          <w:color w:val="0070C0"/>
          <w:lang w:eastAsia="en-US"/>
        </w:rPr>
      </w:pPr>
    </w:p>
    <w:p w:rsidR="00DB2A2A" w:rsidRDefault="007520A4">
      <w:pPr>
        <w:pStyle w:val="Obsah1"/>
        <w:rPr>
          <w:rFonts w:asciiTheme="minorHAnsi" w:eastAsiaTheme="minorEastAsia" w:hAnsiTheme="minorHAnsi" w:cstheme="minorBidi"/>
          <w:b w:val="0"/>
          <w:sz w:val="22"/>
          <w:szCs w:val="22"/>
          <w:lang w:eastAsia="sk-SK"/>
        </w:rPr>
      </w:pPr>
      <w:r w:rsidRPr="007779E3">
        <w:rPr>
          <w:color w:val="0070C0"/>
        </w:rPr>
        <w:fldChar w:fldCharType="begin"/>
      </w:r>
      <w:r w:rsidRPr="007779E3">
        <w:rPr>
          <w:color w:val="0070C0"/>
        </w:rPr>
        <w:instrText xml:space="preserve"> TOC \o "1-3" \h \z \u </w:instrText>
      </w:r>
      <w:r w:rsidRPr="007779E3">
        <w:rPr>
          <w:color w:val="0070C0"/>
        </w:rPr>
        <w:fldChar w:fldCharType="separate"/>
      </w:r>
      <w:hyperlink w:anchor="_Toc494463955" w:history="1">
        <w:r w:rsidR="00DB2A2A" w:rsidRPr="007E5356">
          <w:rPr>
            <w:rStyle w:val="Hypertextovprepojenie"/>
          </w:rPr>
          <w:t>Predkladacia správa</w:t>
        </w:r>
        <w:r w:rsidR="00DB2A2A">
          <w:rPr>
            <w:webHidden/>
          </w:rPr>
          <w:tab/>
        </w:r>
        <w:r w:rsidR="00DB2A2A">
          <w:rPr>
            <w:webHidden/>
          </w:rPr>
          <w:fldChar w:fldCharType="begin"/>
        </w:r>
        <w:r w:rsidR="00DB2A2A">
          <w:rPr>
            <w:webHidden/>
          </w:rPr>
          <w:instrText xml:space="preserve"> PAGEREF _Toc494463955 \h </w:instrText>
        </w:r>
        <w:r w:rsidR="00DB2A2A">
          <w:rPr>
            <w:webHidden/>
          </w:rPr>
        </w:r>
        <w:r w:rsidR="00DB2A2A">
          <w:rPr>
            <w:webHidden/>
          </w:rPr>
          <w:fldChar w:fldCharType="separate"/>
        </w:r>
        <w:r w:rsidR="00776843">
          <w:rPr>
            <w:webHidden/>
          </w:rPr>
          <w:t>2</w:t>
        </w:r>
        <w:r w:rsidR="00DB2A2A">
          <w:rPr>
            <w:webHidden/>
          </w:rPr>
          <w:fldChar w:fldCharType="end"/>
        </w:r>
      </w:hyperlink>
    </w:p>
    <w:p w:rsidR="00DB2A2A" w:rsidRDefault="000913C8">
      <w:pPr>
        <w:pStyle w:val="Obsah1"/>
        <w:rPr>
          <w:rFonts w:asciiTheme="minorHAnsi" w:eastAsiaTheme="minorEastAsia" w:hAnsiTheme="minorHAnsi" w:cstheme="minorBidi"/>
          <w:b w:val="0"/>
          <w:sz w:val="22"/>
          <w:szCs w:val="22"/>
          <w:lang w:eastAsia="sk-SK"/>
        </w:rPr>
      </w:pPr>
      <w:hyperlink w:anchor="_Toc494463956" w:history="1">
        <w:r w:rsidR="00DB2A2A" w:rsidRPr="007E5356">
          <w:rPr>
            <w:rStyle w:val="Hypertextovprepojenie"/>
          </w:rPr>
          <w:t>1.</w:t>
        </w:r>
        <w:r w:rsidR="00DB2A2A">
          <w:rPr>
            <w:rFonts w:asciiTheme="minorHAnsi" w:eastAsiaTheme="minorEastAsia" w:hAnsiTheme="minorHAnsi" w:cstheme="minorBidi"/>
            <w:b w:val="0"/>
            <w:sz w:val="22"/>
            <w:szCs w:val="22"/>
            <w:lang w:eastAsia="sk-SK"/>
          </w:rPr>
          <w:tab/>
        </w:r>
        <w:r w:rsidR="00DB2A2A" w:rsidRPr="007E5356">
          <w:rPr>
            <w:rStyle w:val="Hypertextovprepojenie"/>
          </w:rPr>
          <w:t>Makroekonomické predpoklady rozpočtu</w:t>
        </w:r>
        <w:r w:rsidR="00DB2A2A">
          <w:rPr>
            <w:webHidden/>
          </w:rPr>
          <w:tab/>
        </w:r>
        <w:r w:rsidR="00DB2A2A">
          <w:rPr>
            <w:webHidden/>
          </w:rPr>
          <w:fldChar w:fldCharType="begin"/>
        </w:r>
        <w:r w:rsidR="00DB2A2A">
          <w:rPr>
            <w:webHidden/>
          </w:rPr>
          <w:instrText xml:space="preserve"> PAGEREF _Toc494463956 \h </w:instrText>
        </w:r>
        <w:r w:rsidR="00DB2A2A">
          <w:rPr>
            <w:webHidden/>
          </w:rPr>
        </w:r>
        <w:r w:rsidR="00DB2A2A">
          <w:rPr>
            <w:webHidden/>
          </w:rPr>
          <w:fldChar w:fldCharType="separate"/>
        </w:r>
        <w:r w:rsidR="00776843">
          <w:rPr>
            <w:webHidden/>
          </w:rPr>
          <w:t>4</w:t>
        </w:r>
        <w:r w:rsidR="00DB2A2A">
          <w:rPr>
            <w:webHidden/>
          </w:rPr>
          <w:fldChar w:fldCharType="end"/>
        </w:r>
      </w:hyperlink>
    </w:p>
    <w:p w:rsidR="00DB2A2A" w:rsidRDefault="000913C8">
      <w:pPr>
        <w:pStyle w:val="Obsah1"/>
        <w:rPr>
          <w:rFonts w:asciiTheme="minorHAnsi" w:eastAsiaTheme="minorEastAsia" w:hAnsiTheme="minorHAnsi" w:cstheme="minorBidi"/>
          <w:b w:val="0"/>
          <w:sz w:val="22"/>
          <w:szCs w:val="22"/>
          <w:lang w:eastAsia="sk-SK"/>
        </w:rPr>
      </w:pPr>
      <w:hyperlink w:anchor="_Toc494463957" w:history="1">
        <w:r w:rsidR="00DB2A2A" w:rsidRPr="007E5356">
          <w:rPr>
            <w:rStyle w:val="Hypertextovprepojenie"/>
          </w:rPr>
          <w:t>2. Východiskový rámec rozpočtu verejnej správy na roky 2018 až 2020</w:t>
        </w:r>
        <w:r w:rsidR="00DB2A2A">
          <w:rPr>
            <w:webHidden/>
          </w:rPr>
          <w:tab/>
        </w:r>
        <w:r w:rsidR="00DB2A2A">
          <w:rPr>
            <w:webHidden/>
          </w:rPr>
          <w:fldChar w:fldCharType="begin"/>
        </w:r>
        <w:r w:rsidR="00DB2A2A">
          <w:rPr>
            <w:webHidden/>
          </w:rPr>
          <w:instrText xml:space="preserve"> PAGEREF _Toc494463957 \h </w:instrText>
        </w:r>
        <w:r w:rsidR="00DB2A2A">
          <w:rPr>
            <w:webHidden/>
          </w:rPr>
        </w:r>
        <w:r w:rsidR="00DB2A2A">
          <w:rPr>
            <w:webHidden/>
          </w:rPr>
          <w:fldChar w:fldCharType="separate"/>
        </w:r>
        <w:r w:rsidR="00776843">
          <w:rPr>
            <w:webHidden/>
          </w:rPr>
          <w:t>6</w:t>
        </w:r>
        <w:r w:rsidR="00DB2A2A">
          <w:rPr>
            <w:webHidden/>
          </w:rPr>
          <w:fldChar w:fldCharType="end"/>
        </w:r>
      </w:hyperlink>
    </w:p>
    <w:p w:rsidR="00DB2A2A" w:rsidRDefault="000913C8">
      <w:pPr>
        <w:pStyle w:val="Obsah2"/>
        <w:rPr>
          <w:rFonts w:asciiTheme="minorHAnsi" w:eastAsiaTheme="minorEastAsia" w:hAnsiTheme="minorHAnsi" w:cstheme="minorBidi"/>
          <w:bCs w:val="0"/>
          <w:iCs w:val="0"/>
          <w:sz w:val="22"/>
          <w:szCs w:val="22"/>
          <w:lang w:eastAsia="sk-SK"/>
        </w:rPr>
      </w:pPr>
      <w:hyperlink w:anchor="_Toc494463958" w:history="1">
        <w:r w:rsidR="00DB2A2A" w:rsidRPr="00DB2A2A">
          <w:rPr>
            <w:rStyle w:val="Hypertextovprepojenie"/>
          </w:rPr>
          <w:t>2.1. Aktuálny vývoj rozpočtu verejnej správy v roku 2017</w:t>
        </w:r>
        <w:r w:rsidR="00DB2A2A">
          <w:rPr>
            <w:webHidden/>
          </w:rPr>
          <w:tab/>
        </w:r>
        <w:r w:rsidR="00DB2A2A">
          <w:rPr>
            <w:webHidden/>
          </w:rPr>
          <w:fldChar w:fldCharType="begin"/>
        </w:r>
        <w:r w:rsidR="00DB2A2A">
          <w:rPr>
            <w:webHidden/>
          </w:rPr>
          <w:instrText xml:space="preserve"> PAGEREF _Toc494463958 \h </w:instrText>
        </w:r>
        <w:r w:rsidR="00DB2A2A">
          <w:rPr>
            <w:webHidden/>
          </w:rPr>
        </w:r>
        <w:r w:rsidR="00DB2A2A">
          <w:rPr>
            <w:webHidden/>
          </w:rPr>
          <w:fldChar w:fldCharType="separate"/>
        </w:r>
        <w:r w:rsidR="00776843">
          <w:rPr>
            <w:webHidden/>
          </w:rPr>
          <w:t>6</w:t>
        </w:r>
        <w:r w:rsidR="00DB2A2A">
          <w:rPr>
            <w:webHidden/>
          </w:rPr>
          <w:fldChar w:fldCharType="end"/>
        </w:r>
      </w:hyperlink>
    </w:p>
    <w:p w:rsidR="00DB2A2A" w:rsidRDefault="000913C8">
      <w:pPr>
        <w:pStyle w:val="Obsah2"/>
        <w:rPr>
          <w:rFonts w:asciiTheme="minorHAnsi" w:eastAsiaTheme="minorEastAsia" w:hAnsiTheme="minorHAnsi" w:cstheme="minorBidi"/>
          <w:bCs w:val="0"/>
          <w:iCs w:val="0"/>
          <w:sz w:val="22"/>
          <w:szCs w:val="22"/>
          <w:lang w:eastAsia="sk-SK"/>
        </w:rPr>
      </w:pPr>
      <w:hyperlink w:anchor="_Toc494463959" w:history="1">
        <w:r w:rsidR="00DB2A2A" w:rsidRPr="00DB2A2A">
          <w:rPr>
            <w:rStyle w:val="Hypertextovprepojenie"/>
          </w:rPr>
          <w:t>2.2. Rámec na zostavenie rozpočtu verejnej správy na roky 2018 až 2020</w:t>
        </w:r>
        <w:r w:rsidR="00DB2A2A">
          <w:rPr>
            <w:webHidden/>
          </w:rPr>
          <w:tab/>
        </w:r>
        <w:r w:rsidR="00DB2A2A">
          <w:rPr>
            <w:webHidden/>
          </w:rPr>
          <w:fldChar w:fldCharType="begin"/>
        </w:r>
        <w:r w:rsidR="00DB2A2A">
          <w:rPr>
            <w:webHidden/>
          </w:rPr>
          <w:instrText xml:space="preserve"> PAGEREF _Toc494463959 \h </w:instrText>
        </w:r>
        <w:r w:rsidR="00DB2A2A">
          <w:rPr>
            <w:webHidden/>
          </w:rPr>
        </w:r>
        <w:r w:rsidR="00DB2A2A">
          <w:rPr>
            <w:webHidden/>
          </w:rPr>
          <w:fldChar w:fldCharType="separate"/>
        </w:r>
        <w:r w:rsidR="00776843">
          <w:rPr>
            <w:webHidden/>
          </w:rPr>
          <w:t>9</w:t>
        </w:r>
        <w:r w:rsidR="00DB2A2A">
          <w:rPr>
            <w:webHidden/>
          </w:rPr>
          <w:fldChar w:fldCharType="end"/>
        </w:r>
      </w:hyperlink>
    </w:p>
    <w:p w:rsidR="00DB2A2A" w:rsidRDefault="000913C8">
      <w:pPr>
        <w:pStyle w:val="Obsah2"/>
        <w:rPr>
          <w:rFonts w:asciiTheme="minorHAnsi" w:eastAsiaTheme="minorEastAsia" w:hAnsiTheme="minorHAnsi" w:cstheme="minorBidi"/>
          <w:bCs w:val="0"/>
          <w:iCs w:val="0"/>
          <w:sz w:val="22"/>
          <w:szCs w:val="22"/>
          <w:lang w:eastAsia="sk-SK"/>
        </w:rPr>
      </w:pPr>
      <w:hyperlink w:anchor="_Toc494463960" w:history="1">
        <w:r w:rsidR="00DB2A2A" w:rsidRPr="00DB2A2A">
          <w:rPr>
            <w:rStyle w:val="Hypertextovprepojenie"/>
          </w:rPr>
          <w:t>2.3. Štátny rozpočet v metodike ESA 2010</w:t>
        </w:r>
        <w:r w:rsidR="00DB2A2A">
          <w:rPr>
            <w:webHidden/>
          </w:rPr>
          <w:tab/>
        </w:r>
        <w:r w:rsidR="00DB2A2A">
          <w:rPr>
            <w:webHidden/>
          </w:rPr>
          <w:fldChar w:fldCharType="begin"/>
        </w:r>
        <w:r w:rsidR="00DB2A2A">
          <w:rPr>
            <w:webHidden/>
          </w:rPr>
          <w:instrText xml:space="preserve"> PAGEREF _Toc494463960 \h </w:instrText>
        </w:r>
        <w:r w:rsidR="00DB2A2A">
          <w:rPr>
            <w:webHidden/>
          </w:rPr>
        </w:r>
        <w:r w:rsidR="00DB2A2A">
          <w:rPr>
            <w:webHidden/>
          </w:rPr>
          <w:fldChar w:fldCharType="separate"/>
        </w:r>
        <w:r w:rsidR="00776843">
          <w:rPr>
            <w:webHidden/>
          </w:rPr>
          <w:t>11</w:t>
        </w:r>
        <w:r w:rsidR="00DB2A2A">
          <w:rPr>
            <w:webHidden/>
          </w:rPr>
          <w:fldChar w:fldCharType="end"/>
        </w:r>
      </w:hyperlink>
    </w:p>
    <w:p w:rsidR="00DB2A2A" w:rsidRDefault="000913C8">
      <w:pPr>
        <w:pStyle w:val="Obsah2"/>
        <w:rPr>
          <w:rFonts w:asciiTheme="minorHAnsi" w:eastAsiaTheme="minorEastAsia" w:hAnsiTheme="minorHAnsi" w:cstheme="minorBidi"/>
          <w:bCs w:val="0"/>
          <w:iCs w:val="0"/>
          <w:sz w:val="22"/>
          <w:szCs w:val="22"/>
          <w:lang w:eastAsia="sk-SK"/>
        </w:rPr>
      </w:pPr>
      <w:hyperlink w:anchor="_Toc494463961" w:history="1">
        <w:r w:rsidR="00DB2A2A" w:rsidRPr="00283191">
          <w:rPr>
            <w:rStyle w:val="Hypertextovprepojenie"/>
          </w:rPr>
          <w:t>2.4. Konsolidovaná bilancia rozpočtu verejnej správy</w:t>
        </w:r>
        <w:r w:rsidR="00DB2A2A">
          <w:rPr>
            <w:webHidden/>
          </w:rPr>
          <w:tab/>
        </w:r>
        <w:r w:rsidR="00DB2A2A">
          <w:rPr>
            <w:webHidden/>
          </w:rPr>
          <w:fldChar w:fldCharType="begin"/>
        </w:r>
        <w:r w:rsidR="00DB2A2A">
          <w:rPr>
            <w:webHidden/>
          </w:rPr>
          <w:instrText xml:space="preserve"> PAGEREF _Toc494463961 \h </w:instrText>
        </w:r>
        <w:r w:rsidR="00DB2A2A">
          <w:rPr>
            <w:webHidden/>
          </w:rPr>
        </w:r>
        <w:r w:rsidR="00DB2A2A">
          <w:rPr>
            <w:webHidden/>
          </w:rPr>
          <w:fldChar w:fldCharType="separate"/>
        </w:r>
        <w:r w:rsidR="00776843">
          <w:rPr>
            <w:webHidden/>
          </w:rPr>
          <w:t>13</w:t>
        </w:r>
        <w:r w:rsidR="00DB2A2A">
          <w:rPr>
            <w:webHidden/>
          </w:rPr>
          <w:fldChar w:fldCharType="end"/>
        </w:r>
      </w:hyperlink>
    </w:p>
    <w:p w:rsidR="00DB2A2A" w:rsidRDefault="000913C8">
      <w:pPr>
        <w:pStyle w:val="Obsah2"/>
        <w:rPr>
          <w:rFonts w:asciiTheme="minorHAnsi" w:eastAsiaTheme="minorEastAsia" w:hAnsiTheme="minorHAnsi" w:cstheme="minorBidi"/>
          <w:bCs w:val="0"/>
          <w:iCs w:val="0"/>
          <w:sz w:val="22"/>
          <w:szCs w:val="22"/>
          <w:lang w:eastAsia="sk-SK"/>
        </w:rPr>
      </w:pPr>
      <w:hyperlink w:anchor="_Toc494463962" w:history="1">
        <w:r w:rsidR="00DB2A2A" w:rsidRPr="007E5356">
          <w:rPr>
            <w:rStyle w:val="Hypertextovprepojenie"/>
          </w:rPr>
          <w:t>2.5. Dlh verejnej správy</w:t>
        </w:r>
        <w:r w:rsidR="00DB2A2A">
          <w:rPr>
            <w:webHidden/>
          </w:rPr>
          <w:tab/>
        </w:r>
        <w:r w:rsidR="00DB2A2A">
          <w:rPr>
            <w:webHidden/>
          </w:rPr>
          <w:fldChar w:fldCharType="begin"/>
        </w:r>
        <w:r w:rsidR="00DB2A2A">
          <w:rPr>
            <w:webHidden/>
          </w:rPr>
          <w:instrText xml:space="preserve"> PAGEREF _Toc494463962 \h </w:instrText>
        </w:r>
        <w:r w:rsidR="00DB2A2A">
          <w:rPr>
            <w:webHidden/>
          </w:rPr>
        </w:r>
        <w:r w:rsidR="00DB2A2A">
          <w:rPr>
            <w:webHidden/>
          </w:rPr>
          <w:fldChar w:fldCharType="separate"/>
        </w:r>
        <w:r w:rsidR="00776843">
          <w:rPr>
            <w:webHidden/>
          </w:rPr>
          <w:t>14</w:t>
        </w:r>
        <w:r w:rsidR="00DB2A2A">
          <w:rPr>
            <w:webHidden/>
          </w:rPr>
          <w:fldChar w:fldCharType="end"/>
        </w:r>
      </w:hyperlink>
    </w:p>
    <w:p w:rsidR="00DB2A2A" w:rsidRDefault="000913C8">
      <w:pPr>
        <w:pStyle w:val="Obsah1"/>
        <w:rPr>
          <w:rFonts w:asciiTheme="minorHAnsi" w:eastAsiaTheme="minorEastAsia" w:hAnsiTheme="minorHAnsi" w:cstheme="minorBidi"/>
          <w:b w:val="0"/>
          <w:sz w:val="22"/>
          <w:szCs w:val="22"/>
          <w:lang w:eastAsia="sk-SK"/>
        </w:rPr>
      </w:pPr>
      <w:hyperlink w:anchor="_Toc494463963" w:history="1">
        <w:r w:rsidR="00DB2A2A" w:rsidRPr="007E5356">
          <w:rPr>
            <w:rStyle w:val="Hypertextovprepojenie"/>
          </w:rPr>
          <w:t>3. Rozpočtovanie príjmov verejnej správy</w:t>
        </w:r>
        <w:r w:rsidR="00DB2A2A">
          <w:rPr>
            <w:webHidden/>
          </w:rPr>
          <w:tab/>
        </w:r>
        <w:r w:rsidR="00DB2A2A">
          <w:rPr>
            <w:webHidden/>
          </w:rPr>
          <w:fldChar w:fldCharType="begin"/>
        </w:r>
        <w:r w:rsidR="00DB2A2A">
          <w:rPr>
            <w:webHidden/>
          </w:rPr>
          <w:instrText xml:space="preserve"> PAGEREF _Toc494463963 \h </w:instrText>
        </w:r>
        <w:r w:rsidR="00DB2A2A">
          <w:rPr>
            <w:webHidden/>
          </w:rPr>
        </w:r>
        <w:r w:rsidR="00DB2A2A">
          <w:rPr>
            <w:webHidden/>
          </w:rPr>
          <w:fldChar w:fldCharType="separate"/>
        </w:r>
        <w:r w:rsidR="00776843">
          <w:rPr>
            <w:webHidden/>
          </w:rPr>
          <w:t>16</w:t>
        </w:r>
        <w:r w:rsidR="00DB2A2A">
          <w:rPr>
            <w:webHidden/>
          </w:rPr>
          <w:fldChar w:fldCharType="end"/>
        </w:r>
      </w:hyperlink>
    </w:p>
    <w:p w:rsidR="00DB2A2A" w:rsidRDefault="000913C8">
      <w:pPr>
        <w:pStyle w:val="Obsah2"/>
        <w:rPr>
          <w:rFonts w:asciiTheme="minorHAnsi" w:eastAsiaTheme="minorEastAsia" w:hAnsiTheme="minorHAnsi" w:cstheme="minorBidi"/>
          <w:bCs w:val="0"/>
          <w:iCs w:val="0"/>
          <w:sz w:val="22"/>
          <w:szCs w:val="22"/>
          <w:lang w:eastAsia="sk-SK"/>
        </w:rPr>
      </w:pPr>
      <w:hyperlink w:anchor="_Toc494463964" w:history="1">
        <w:r w:rsidR="00DB2A2A" w:rsidRPr="00DB2A2A">
          <w:rPr>
            <w:rStyle w:val="Hypertextovprepojenie"/>
          </w:rPr>
          <w:t>3.1. Rozpočtovanie daňových a odvodových príjmov verejnej správy</w:t>
        </w:r>
        <w:r w:rsidR="00DB2A2A">
          <w:rPr>
            <w:webHidden/>
          </w:rPr>
          <w:tab/>
        </w:r>
        <w:r w:rsidR="00DB2A2A">
          <w:rPr>
            <w:webHidden/>
          </w:rPr>
          <w:fldChar w:fldCharType="begin"/>
        </w:r>
        <w:r w:rsidR="00DB2A2A">
          <w:rPr>
            <w:webHidden/>
          </w:rPr>
          <w:instrText xml:space="preserve"> PAGEREF _Toc494463964 \h </w:instrText>
        </w:r>
        <w:r w:rsidR="00DB2A2A">
          <w:rPr>
            <w:webHidden/>
          </w:rPr>
        </w:r>
        <w:r w:rsidR="00DB2A2A">
          <w:rPr>
            <w:webHidden/>
          </w:rPr>
          <w:fldChar w:fldCharType="separate"/>
        </w:r>
        <w:r w:rsidR="00776843">
          <w:rPr>
            <w:webHidden/>
          </w:rPr>
          <w:t>16</w:t>
        </w:r>
        <w:r w:rsidR="00DB2A2A">
          <w:rPr>
            <w:webHidden/>
          </w:rPr>
          <w:fldChar w:fldCharType="end"/>
        </w:r>
      </w:hyperlink>
    </w:p>
    <w:p w:rsidR="00DB2A2A" w:rsidRDefault="000913C8">
      <w:pPr>
        <w:pStyle w:val="Obsah2"/>
        <w:rPr>
          <w:rFonts w:asciiTheme="minorHAnsi" w:eastAsiaTheme="minorEastAsia" w:hAnsiTheme="minorHAnsi" w:cstheme="minorBidi"/>
          <w:bCs w:val="0"/>
          <w:iCs w:val="0"/>
          <w:sz w:val="22"/>
          <w:szCs w:val="22"/>
          <w:lang w:eastAsia="sk-SK"/>
        </w:rPr>
      </w:pPr>
      <w:hyperlink w:anchor="_Toc494463965" w:history="1">
        <w:r w:rsidR="00DB2A2A" w:rsidRPr="00DB2A2A">
          <w:rPr>
            <w:rStyle w:val="Hypertextovprepojenie"/>
          </w:rPr>
          <w:t>3.2. Akruálne dane pre návrh rozpočtu verejnej správy na roky 2018 až 2020</w:t>
        </w:r>
        <w:r w:rsidR="00DB2A2A">
          <w:rPr>
            <w:webHidden/>
          </w:rPr>
          <w:tab/>
        </w:r>
        <w:r w:rsidR="00DB2A2A">
          <w:rPr>
            <w:webHidden/>
          </w:rPr>
          <w:fldChar w:fldCharType="begin"/>
        </w:r>
        <w:r w:rsidR="00DB2A2A">
          <w:rPr>
            <w:webHidden/>
          </w:rPr>
          <w:instrText xml:space="preserve"> PAGEREF _Toc494463965 \h </w:instrText>
        </w:r>
        <w:r w:rsidR="00DB2A2A">
          <w:rPr>
            <w:webHidden/>
          </w:rPr>
        </w:r>
        <w:r w:rsidR="00DB2A2A">
          <w:rPr>
            <w:webHidden/>
          </w:rPr>
          <w:fldChar w:fldCharType="separate"/>
        </w:r>
        <w:r w:rsidR="00776843">
          <w:rPr>
            <w:webHidden/>
          </w:rPr>
          <w:t>23</w:t>
        </w:r>
        <w:r w:rsidR="00DB2A2A">
          <w:rPr>
            <w:webHidden/>
          </w:rPr>
          <w:fldChar w:fldCharType="end"/>
        </w:r>
      </w:hyperlink>
    </w:p>
    <w:p w:rsidR="00DB2A2A" w:rsidRDefault="000913C8">
      <w:pPr>
        <w:pStyle w:val="Obsah2"/>
        <w:rPr>
          <w:rFonts w:asciiTheme="minorHAnsi" w:eastAsiaTheme="minorEastAsia" w:hAnsiTheme="minorHAnsi" w:cstheme="minorBidi"/>
          <w:bCs w:val="0"/>
          <w:iCs w:val="0"/>
          <w:sz w:val="22"/>
          <w:szCs w:val="22"/>
          <w:lang w:eastAsia="sk-SK"/>
        </w:rPr>
      </w:pPr>
      <w:hyperlink w:anchor="_Toc494463966" w:history="1">
        <w:r w:rsidR="00DB2A2A" w:rsidRPr="00DB2A2A">
          <w:rPr>
            <w:rStyle w:val="Hypertextovprepojenie"/>
          </w:rPr>
          <w:t xml:space="preserve">3.3. Porovnanie aktuálneho odhadu daní s rozpočtom verejnej správy </w:t>
        </w:r>
        <w:r w:rsidR="00DB2A2A">
          <w:rPr>
            <w:rStyle w:val="Hypertextovprepojenie"/>
          </w:rPr>
          <w:br/>
          <w:t xml:space="preserve">       </w:t>
        </w:r>
        <w:r w:rsidR="00DB2A2A" w:rsidRPr="00DB2A2A">
          <w:rPr>
            <w:rStyle w:val="Hypertextovprepojenie"/>
          </w:rPr>
          <w:t>na roky 2017 až 2019</w:t>
        </w:r>
        <w:r w:rsidR="00DB2A2A">
          <w:rPr>
            <w:webHidden/>
          </w:rPr>
          <w:tab/>
        </w:r>
        <w:r w:rsidR="00DB2A2A">
          <w:rPr>
            <w:webHidden/>
          </w:rPr>
          <w:fldChar w:fldCharType="begin"/>
        </w:r>
        <w:r w:rsidR="00DB2A2A">
          <w:rPr>
            <w:webHidden/>
          </w:rPr>
          <w:instrText xml:space="preserve"> PAGEREF _Toc494463966 \h </w:instrText>
        </w:r>
        <w:r w:rsidR="00DB2A2A">
          <w:rPr>
            <w:webHidden/>
          </w:rPr>
        </w:r>
        <w:r w:rsidR="00DB2A2A">
          <w:rPr>
            <w:webHidden/>
          </w:rPr>
          <w:fldChar w:fldCharType="separate"/>
        </w:r>
        <w:r w:rsidR="00776843">
          <w:rPr>
            <w:webHidden/>
          </w:rPr>
          <w:t>26</w:t>
        </w:r>
        <w:r w:rsidR="00DB2A2A">
          <w:rPr>
            <w:webHidden/>
          </w:rPr>
          <w:fldChar w:fldCharType="end"/>
        </w:r>
      </w:hyperlink>
    </w:p>
    <w:p w:rsidR="00DB2A2A" w:rsidRDefault="000913C8">
      <w:pPr>
        <w:pStyle w:val="Obsah2"/>
        <w:rPr>
          <w:rFonts w:asciiTheme="minorHAnsi" w:eastAsiaTheme="minorEastAsia" w:hAnsiTheme="minorHAnsi" w:cstheme="minorBidi"/>
          <w:bCs w:val="0"/>
          <w:iCs w:val="0"/>
          <w:sz w:val="22"/>
          <w:szCs w:val="22"/>
          <w:lang w:eastAsia="sk-SK"/>
        </w:rPr>
      </w:pPr>
      <w:hyperlink w:anchor="_Toc494463967" w:history="1">
        <w:r w:rsidR="00DB2A2A" w:rsidRPr="007E5356">
          <w:rPr>
            <w:rStyle w:val="Hypertextovprepojenie"/>
          </w:rPr>
          <w:t>3.4. Rozpočtovanie iných ako daňových príjmov štátneho rozpočtu</w:t>
        </w:r>
        <w:r w:rsidR="00DB2A2A">
          <w:rPr>
            <w:webHidden/>
          </w:rPr>
          <w:tab/>
        </w:r>
        <w:r w:rsidR="00DB2A2A">
          <w:rPr>
            <w:webHidden/>
          </w:rPr>
          <w:fldChar w:fldCharType="begin"/>
        </w:r>
        <w:r w:rsidR="00DB2A2A">
          <w:rPr>
            <w:webHidden/>
          </w:rPr>
          <w:instrText xml:space="preserve"> PAGEREF _Toc494463967 \h </w:instrText>
        </w:r>
        <w:r w:rsidR="00DB2A2A">
          <w:rPr>
            <w:webHidden/>
          </w:rPr>
        </w:r>
        <w:r w:rsidR="00DB2A2A">
          <w:rPr>
            <w:webHidden/>
          </w:rPr>
          <w:fldChar w:fldCharType="separate"/>
        </w:r>
        <w:r w:rsidR="00776843">
          <w:rPr>
            <w:webHidden/>
          </w:rPr>
          <w:t>27</w:t>
        </w:r>
        <w:r w:rsidR="00DB2A2A">
          <w:rPr>
            <w:webHidden/>
          </w:rPr>
          <w:fldChar w:fldCharType="end"/>
        </w:r>
      </w:hyperlink>
    </w:p>
    <w:p w:rsidR="00DB2A2A" w:rsidRDefault="000913C8">
      <w:pPr>
        <w:pStyle w:val="Obsah2"/>
        <w:rPr>
          <w:rFonts w:asciiTheme="minorHAnsi" w:eastAsiaTheme="minorEastAsia" w:hAnsiTheme="minorHAnsi" w:cstheme="minorBidi"/>
          <w:bCs w:val="0"/>
          <w:iCs w:val="0"/>
          <w:sz w:val="22"/>
          <w:szCs w:val="22"/>
          <w:lang w:eastAsia="sk-SK"/>
        </w:rPr>
      </w:pPr>
      <w:hyperlink w:anchor="_Toc494463968" w:history="1">
        <w:r w:rsidR="00DB2A2A" w:rsidRPr="007E5356">
          <w:rPr>
            <w:rStyle w:val="Hypertextovprepojenie"/>
          </w:rPr>
          <w:t>3.5. Daňové výdavky</w:t>
        </w:r>
        <w:r w:rsidR="00DB2A2A">
          <w:rPr>
            <w:webHidden/>
          </w:rPr>
          <w:tab/>
        </w:r>
        <w:r w:rsidR="00DB2A2A">
          <w:rPr>
            <w:webHidden/>
          </w:rPr>
          <w:fldChar w:fldCharType="begin"/>
        </w:r>
        <w:r w:rsidR="00DB2A2A">
          <w:rPr>
            <w:webHidden/>
          </w:rPr>
          <w:instrText xml:space="preserve"> PAGEREF _Toc494463968 \h </w:instrText>
        </w:r>
        <w:r w:rsidR="00DB2A2A">
          <w:rPr>
            <w:webHidden/>
          </w:rPr>
        </w:r>
        <w:r w:rsidR="00DB2A2A">
          <w:rPr>
            <w:webHidden/>
          </w:rPr>
          <w:fldChar w:fldCharType="separate"/>
        </w:r>
        <w:r w:rsidR="00776843">
          <w:rPr>
            <w:webHidden/>
          </w:rPr>
          <w:t>33</w:t>
        </w:r>
        <w:r w:rsidR="00DB2A2A">
          <w:rPr>
            <w:webHidden/>
          </w:rPr>
          <w:fldChar w:fldCharType="end"/>
        </w:r>
      </w:hyperlink>
    </w:p>
    <w:p w:rsidR="00DB2A2A" w:rsidRDefault="000913C8">
      <w:pPr>
        <w:pStyle w:val="Obsah2"/>
        <w:rPr>
          <w:rFonts w:asciiTheme="minorHAnsi" w:eastAsiaTheme="minorEastAsia" w:hAnsiTheme="minorHAnsi" w:cstheme="minorBidi"/>
          <w:bCs w:val="0"/>
          <w:iCs w:val="0"/>
          <w:sz w:val="22"/>
          <w:szCs w:val="22"/>
          <w:lang w:eastAsia="sk-SK"/>
        </w:rPr>
      </w:pPr>
      <w:hyperlink w:anchor="_Toc494463969" w:history="1">
        <w:r w:rsidR="00DB2A2A" w:rsidRPr="00367D1E">
          <w:rPr>
            <w:rStyle w:val="Hypertextovprepojenie"/>
          </w:rPr>
          <w:t>3.6. Jednorazové a dočasné opatrenia</w:t>
        </w:r>
        <w:r w:rsidR="00DB2A2A">
          <w:rPr>
            <w:webHidden/>
          </w:rPr>
          <w:tab/>
        </w:r>
        <w:r w:rsidR="00DB2A2A">
          <w:rPr>
            <w:webHidden/>
          </w:rPr>
          <w:fldChar w:fldCharType="begin"/>
        </w:r>
        <w:r w:rsidR="00DB2A2A">
          <w:rPr>
            <w:webHidden/>
          </w:rPr>
          <w:instrText xml:space="preserve"> PAGEREF _Toc494463969 \h </w:instrText>
        </w:r>
        <w:r w:rsidR="00DB2A2A">
          <w:rPr>
            <w:webHidden/>
          </w:rPr>
        </w:r>
        <w:r w:rsidR="00DB2A2A">
          <w:rPr>
            <w:webHidden/>
          </w:rPr>
          <w:fldChar w:fldCharType="separate"/>
        </w:r>
        <w:r w:rsidR="00776843">
          <w:rPr>
            <w:webHidden/>
          </w:rPr>
          <w:t>37</w:t>
        </w:r>
        <w:r w:rsidR="00DB2A2A">
          <w:rPr>
            <w:webHidden/>
          </w:rPr>
          <w:fldChar w:fldCharType="end"/>
        </w:r>
      </w:hyperlink>
    </w:p>
    <w:p w:rsidR="00DB2A2A" w:rsidRDefault="000913C8">
      <w:pPr>
        <w:pStyle w:val="Obsah1"/>
        <w:rPr>
          <w:rFonts w:asciiTheme="minorHAnsi" w:eastAsiaTheme="minorEastAsia" w:hAnsiTheme="minorHAnsi" w:cstheme="minorBidi"/>
          <w:b w:val="0"/>
          <w:sz w:val="22"/>
          <w:szCs w:val="22"/>
          <w:lang w:eastAsia="sk-SK"/>
        </w:rPr>
      </w:pPr>
      <w:hyperlink w:anchor="_Toc494463970" w:history="1">
        <w:r w:rsidR="00DB2A2A" w:rsidRPr="007E5356">
          <w:rPr>
            <w:rStyle w:val="Hypertextovprepojenie"/>
          </w:rPr>
          <w:t>4.</w:t>
        </w:r>
        <w:r w:rsidR="00DB2A2A">
          <w:rPr>
            <w:rFonts w:asciiTheme="minorHAnsi" w:eastAsiaTheme="minorEastAsia" w:hAnsiTheme="minorHAnsi" w:cstheme="minorBidi"/>
            <w:b w:val="0"/>
            <w:sz w:val="22"/>
            <w:szCs w:val="22"/>
            <w:lang w:eastAsia="sk-SK"/>
          </w:rPr>
          <w:tab/>
        </w:r>
        <w:r w:rsidR="00DB2A2A" w:rsidRPr="007E5356">
          <w:rPr>
            <w:rStyle w:val="Hypertextovprepojenie"/>
          </w:rPr>
          <w:t>Rozpočtovanie výdavkov štátneho rozpočtu</w:t>
        </w:r>
        <w:r w:rsidR="00DB2A2A">
          <w:rPr>
            <w:webHidden/>
          </w:rPr>
          <w:tab/>
        </w:r>
        <w:r w:rsidR="00DB2A2A">
          <w:rPr>
            <w:webHidden/>
          </w:rPr>
          <w:fldChar w:fldCharType="begin"/>
        </w:r>
        <w:r w:rsidR="00DB2A2A">
          <w:rPr>
            <w:webHidden/>
          </w:rPr>
          <w:instrText xml:space="preserve"> PAGEREF _Toc494463970 \h </w:instrText>
        </w:r>
        <w:r w:rsidR="00DB2A2A">
          <w:rPr>
            <w:webHidden/>
          </w:rPr>
        </w:r>
        <w:r w:rsidR="00DB2A2A">
          <w:rPr>
            <w:webHidden/>
          </w:rPr>
          <w:fldChar w:fldCharType="separate"/>
        </w:r>
        <w:r w:rsidR="00776843">
          <w:rPr>
            <w:webHidden/>
          </w:rPr>
          <w:t>38</w:t>
        </w:r>
        <w:r w:rsidR="00DB2A2A">
          <w:rPr>
            <w:webHidden/>
          </w:rPr>
          <w:fldChar w:fldCharType="end"/>
        </w:r>
      </w:hyperlink>
    </w:p>
    <w:p w:rsidR="00DB2A2A" w:rsidRDefault="000913C8">
      <w:pPr>
        <w:pStyle w:val="Obsah2"/>
        <w:rPr>
          <w:rFonts w:asciiTheme="minorHAnsi" w:eastAsiaTheme="minorEastAsia" w:hAnsiTheme="minorHAnsi" w:cstheme="minorBidi"/>
          <w:bCs w:val="0"/>
          <w:iCs w:val="0"/>
          <w:sz w:val="22"/>
          <w:szCs w:val="22"/>
          <w:lang w:eastAsia="sk-SK"/>
        </w:rPr>
      </w:pPr>
      <w:hyperlink w:anchor="_Toc494463971" w:history="1">
        <w:r w:rsidR="00DB2A2A" w:rsidRPr="00DB2A2A">
          <w:rPr>
            <w:rStyle w:val="Hypertextovprepojenie"/>
          </w:rPr>
          <w:t>4.1. Kvantifikácia výdavkov štátneho rozpočtu</w:t>
        </w:r>
        <w:r w:rsidR="00DB2A2A">
          <w:rPr>
            <w:webHidden/>
          </w:rPr>
          <w:tab/>
        </w:r>
        <w:r w:rsidR="00DB2A2A">
          <w:rPr>
            <w:webHidden/>
          </w:rPr>
          <w:fldChar w:fldCharType="begin"/>
        </w:r>
        <w:r w:rsidR="00DB2A2A">
          <w:rPr>
            <w:webHidden/>
          </w:rPr>
          <w:instrText xml:space="preserve"> PAGEREF _Toc494463971 \h </w:instrText>
        </w:r>
        <w:r w:rsidR="00DB2A2A">
          <w:rPr>
            <w:webHidden/>
          </w:rPr>
        </w:r>
        <w:r w:rsidR="00DB2A2A">
          <w:rPr>
            <w:webHidden/>
          </w:rPr>
          <w:fldChar w:fldCharType="separate"/>
        </w:r>
        <w:r w:rsidR="00776843">
          <w:rPr>
            <w:webHidden/>
          </w:rPr>
          <w:t>38</w:t>
        </w:r>
        <w:r w:rsidR="00DB2A2A">
          <w:rPr>
            <w:webHidden/>
          </w:rPr>
          <w:fldChar w:fldCharType="end"/>
        </w:r>
      </w:hyperlink>
    </w:p>
    <w:p w:rsidR="00DB2A2A" w:rsidRDefault="000913C8">
      <w:pPr>
        <w:pStyle w:val="Obsah2"/>
        <w:rPr>
          <w:rFonts w:asciiTheme="minorHAnsi" w:eastAsiaTheme="minorEastAsia" w:hAnsiTheme="minorHAnsi" w:cstheme="minorBidi"/>
          <w:bCs w:val="0"/>
          <w:iCs w:val="0"/>
          <w:sz w:val="22"/>
          <w:szCs w:val="22"/>
          <w:lang w:eastAsia="sk-SK"/>
        </w:rPr>
      </w:pPr>
      <w:hyperlink w:anchor="_Toc494463972" w:history="1">
        <w:r w:rsidR="00DB2A2A" w:rsidRPr="007E5356">
          <w:rPr>
            <w:rStyle w:val="Hypertextovprepojenie"/>
          </w:rPr>
          <w:t>4.2. Zamestnanosť vo verejnej správe</w:t>
        </w:r>
        <w:r w:rsidR="00DB2A2A">
          <w:rPr>
            <w:webHidden/>
          </w:rPr>
          <w:tab/>
        </w:r>
        <w:r w:rsidR="00DB2A2A">
          <w:rPr>
            <w:webHidden/>
          </w:rPr>
          <w:fldChar w:fldCharType="begin"/>
        </w:r>
        <w:r w:rsidR="00DB2A2A">
          <w:rPr>
            <w:webHidden/>
          </w:rPr>
          <w:instrText xml:space="preserve"> PAGEREF _Toc494463972 \h </w:instrText>
        </w:r>
        <w:r w:rsidR="00DB2A2A">
          <w:rPr>
            <w:webHidden/>
          </w:rPr>
        </w:r>
        <w:r w:rsidR="00DB2A2A">
          <w:rPr>
            <w:webHidden/>
          </w:rPr>
          <w:fldChar w:fldCharType="separate"/>
        </w:r>
        <w:r w:rsidR="00776843">
          <w:rPr>
            <w:webHidden/>
          </w:rPr>
          <w:t>40</w:t>
        </w:r>
        <w:r w:rsidR="00DB2A2A">
          <w:rPr>
            <w:webHidden/>
          </w:rPr>
          <w:fldChar w:fldCharType="end"/>
        </w:r>
      </w:hyperlink>
    </w:p>
    <w:p w:rsidR="00DB2A2A" w:rsidRDefault="000913C8">
      <w:pPr>
        <w:pStyle w:val="Obsah2"/>
        <w:rPr>
          <w:rFonts w:asciiTheme="minorHAnsi" w:eastAsiaTheme="minorEastAsia" w:hAnsiTheme="minorHAnsi" w:cstheme="minorBidi"/>
          <w:bCs w:val="0"/>
          <w:iCs w:val="0"/>
          <w:sz w:val="22"/>
          <w:szCs w:val="22"/>
          <w:lang w:eastAsia="sk-SK"/>
        </w:rPr>
      </w:pPr>
      <w:hyperlink w:anchor="_Toc494463973" w:history="1">
        <w:r w:rsidR="00DB2A2A" w:rsidRPr="007E5356">
          <w:rPr>
            <w:rStyle w:val="Hypertextovprepojenie"/>
          </w:rPr>
          <w:t>4.3. Rozpočto</w:t>
        </w:r>
        <w:r w:rsidR="00DB2A2A" w:rsidRPr="007E5356">
          <w:rPr>
            <w:rStyle w:val="Hypertextovprepojenie"/>
          </w:rPr>
          <w:t>v</w:t>
        </w:r>
        <w:r w:rsidR="00DB2A2A" w:rsidRPr="007E5356">
          <w:rPr>
            <w:rStyle w:val="Hypertextovprepojenie"/>
          </w:rPr>
          <w:t>anie výdavkov podľa vybraných oblastí</w:t>
        </w:r>
        <w:r w:rsidR="00DB2A2A">
          <w:rPr>
            <w:webHidden/>
          </w:rPr>
          <w:tab/>
        </w:r>
        <w:r w:rsidR="00DB2A2A">
          <w:rPr>
            <w:webHidden/>
          </w:rPr>
          <w:fldChar w:fldCharType="begin"/>
        </w:r>
        <w:r w:rsidR="00DB2A2A">
          <w:rPr>
            <w:webHidden/>
          </w:rPr>
          <w:instrText xml:space="preserve"> PAGEREF _Toc494463973 \h </w:instrText>
        </w:r>
        <w:r w:rsidR="00DB2A2A">
          <w:rPr>
            <w:webHidden/>
          </w:rPr>
        </w:r>
        <w:r w:rsidR="00DB2A2A">
          <w:rPr>
            <w:webHidden/>
          </w:rPr>
          <w:fldChar w:fldCharType="separate"/>
        </w:r>
        <w:r w:rsidR="00776843">
          <w:rPr>
            <w:webHidden/>
          </w:rPr>
          <w:t>46</w:t>
        </w:r>
        <w:r w:rsidR="00DB2A2A">
          <w:rPr>
            <w:webHidden/>
          </w:rPr>
          <w:fldChar w:fldCharType="end"/>
        </w:r>
      </w:hyperlink>
    </w:p>
    <w:p w:rsidR="00DB2A2A" w:rsidRDefault="000913C8">
      <w:pPr>
        <w:pStyle w:val="Obsah1"/>
        <w:rPr>
          <w:rFonts w:asciiTheme="minorHAnsi" w:eastAsiaTheme="minorEastAsia" w:hAnsiTheme="minorHAnsi" w:cstheme="minorBidi"/>
          <w:b w:val="0"/>
          <w:sz w:val="22"/>
          <w:szCs w:val="22"/>
          <w:lang w:eastAsia="sk-SK"/>
        </w:rPr>
      </w:pPr>
      <w:hyperlink w:anchor="_Toc494463974" w:history="1">
        <w:r w:rsidR="00DB2A2A" w:rsidRPr="007E5356">
          <w:rPr>
            <w:rStyle w:val="Hypertextovprepojenie"/>
          </w:rPr>
          <w:t>5. Štátne finančné aktíva</w:t>
        </w:r>
        <w:r w:rsidR="00DB2A2A">
          <w:rPr>
            <w:webHidden/>
          </w:rPr>
          <w:tab/>
        </w:r>
        <w:r w:rsidR="00DB2A2A">
          <w:rPr>
            <w:webHidden/>
          </w:rPr>
          <w:fldChar w:fldCharType="begin"/>
        </w:r>
        <w:r w:rsidR="00DB2A2A">
          <w:rPr>
            <w:webHidden/>
          </w:rPr>
          <w:instrText xml:space="preserve"> PAGEREF _Toc494463974 \h </w:instrText>
        </w:r>
        <w:r w:rsidR="00DB2A2A">
          <w:rPr>
            <w:webHidden/>
          </w:rPr>
        </w:r>
        <w:r w:rsidR="00DB2A2A">
          <w:rPr>
            <w:webHidden/>
          </w:rPr>
          <w:fldChar w:fldCharType="separate"/>
        </w:r>
        <w:r w:rsidR="00776843">
          <w:rPr>
            <w:webHidden/>
          </w:rPr>
          <w:t>158</w:t>
        </w:r>
        <w:r w:rsidR="00DB2A2A">
          <w:rPr>
            <w:webHidden/>
          </w:rPr>
          <w:fldChar w:fldCharType="end"/>
        </w:r>
      </w:hyperlink>
    </w:p>
    <w:p w:rsidR="00DB2A2A" w:rsidRDefault="000913C8">
      <w:pPr>
        <w:pStyle w:val="Obsah2"/>
        <w:rPr>
          <w:rFonts w:asciiTheme="minorHAnsi" w:eastAsiaTheme="minorEastAsia" w:hAnsiTheme="minorHAnsi" w:cstheme="minorBidi"/>
          <w:bCs w:val="0"/>
          <w:iCs w:val="0"/>
          <w:sz w:val="22"/>
          <w:szCs w:val="22"/>
          <w:lang w:eastAsia="sk-SK"/>
        </w:rPr>
      </w:pPr>
      <w:hyperlink w:anchor="_Toc494463975" w:history="1">
        <w:r w:rsidR="00DB2A2A" w:rsidRPr="007E5356">
          <w:rPr>
            <w:rStyle w:val="Hypertextovprepojenie"/>
          </w:rPr>
          <w:t>5.1. Príjmové operácie</w:t>
        </w:r>
        <w:r w:rsidR="00DB2A2A">
          <w:rPr>
            <w:webHidden/>
          </w:rPr>
          <w:tab/>
        </w:r>
        <w:r w:rsidR="00DB2A2A">
          <w:rPr>
            <w:webHidden/>
          </w:rPr>
          <w:fldChar w:fldCharType="begin"/>
        </w:r>
        <w:r w:rsidR="00DB2A2A">
          <w:rPr>
            <w:webHidden/>
          </w:rPr>
          <w:instrText xml:space="preserve"> PAGEREF _Toc494463975 \h </w:instrText>
        </w:r>
        <w:r w:rsidR="00DB2A2A">
          <w:rPr>
            <w:webHidden/>
          </w:rPr>
        </w:r>
        <w:r w:rsidR="00DB2A2A">
          <w:rPr>
            <w:webHidden/>
          </w:rPr>
          <w:fldChar w:fldCharType="separate"/>
        </w:r>
        <w:r w:rsidR="00776843">
          <w:rPr>
            <w:webHidden/>
          </w:rPr>
          <w:t>159</w:t>
        </w:r>
        <w:r w:rsidR="00DB2A2A">
          <w:rPr>
            <w:webHidden/>
          </w:rPr>
          <w:fldChar w:fldCharType="end"/>
        </w:r>
      </w:hyperlink>
    </w:p>
    <w:p w:rsidR="00DB2A2A" w:rsidRDefault="000913C8">
      <w:pPr>
        <w:pStyle w:val="Obsah2"/>
        <w:rPr>
          <w:rFonts w:asciiTheme="minorHAnsi" w:eastAsiaTheme="minorEastAsia" w:hAnsiTheme="minorHAnsi" w:cstheme="minorBidi"/>
          <w:bCs w:val="0"/>
          <w:iCs w:val="0"/>
          <w:sz w:val="22"/>
          <w:szCs w:val="22"/>
          <w:lang w:eastAsia="sk-SK"/>
        </w:rPr>
      </w:pPr>
      <w:hyperlink w:anchor="_Toc494463976" w:history="1">
        <w:r w:rsidR="00DB2A2A" w:rsidRPr="007E5356">
          <w:rPr>
            <w:rStyle w:val="Hypertextovprepojenie"/>
          </w:rPr>
          <w:t>5.2. Výdavkové operácie</w:t>
        </w:r>
        <w:r w:rsidR="00DB2A2A">
          <w:rPr>
            <w:webHidden/>
          </w:rPr>
          <w:tab/>
        </w:r>
        <w:r w:rsidR="00DB2A2A">
          <w:rPr>
            <w:webHidden/>
          </w:rPr>
          <w:fldChar w:fldCharType="begin"/>
        </w:r>
        <w:r w:rsidR="00DB2A2A">
          <w:rPr>
            <w:webHidden/>
          </w:rPr>
          <w:instrText xml:space="preserve"> PAGEREF _Toc494463976 \h </w:instrText>
        </w:r>
        <w:r w:rsidR="00DB2A2A">
          <w:rPr>
            <w:webHidden/>
          </w:rPr>
        </w:r>
        <w:r w:rsidR="00DB2A2A">
          <w:rPr>
            <w:webHidden/>
          </w:rPr>
          <w:fldChar w:fldCharType="separate"/>
        </w:r>
        <w:r w:rsidR="00776843">
          <w:rPr>
            <w:webHidden/>
          </w:rPr>
          <w:t>161</w:t>
        </w:r>
        <w:r w:rsidR="00DB2A2A">
          <w:rPr>
            <w:webHidden/>
          </w:rPr>
          <w:fldChar w:fldCharType="end"/>
        </w:r>
      </w:hyperlink>
    </w:p>
    <w:p w:rsidR="007520A4" w:rsidRPr="007779E3" w:rsidRDefault="007520A4">
      <w:pPr>
        <w:rPr>
          <w:rFonts w:ascii="Times New Roman" w:hAnsi="Times New Roman" w:cs="Times New Roman"/>
          <w:color w:val="0070C0"/>
        </w:rPr>
      </w:pPr>
      <w:r w:rsidRPr="007779E3">
        <w:rPr>
          <w:color w:val="0070C0"/>
        </w:rPr>
        <w:fldChar w:fldCharType="end"/>
      </w:r>
    </w:p>
    <w:p w:rsidR="007520A4" w:rsidRPr="007779E3" w:rsidRDefault="007520A4" w:rsidP="00D05D21">
      <w:pPr>
        <w:rPr>
          <w:rFonts w:ascii="Times New Roman" w:hAnsi="Times New Roman" w:cs="Times New Roman"/>
          <w:color w:val="0070C0"/>
          <w:sz w:val="28"/>
          <w:szCs w:val="28"/>
        </w:rPr>
      </w:pPr>
    </w:p>
    <w:p w:rsidR="00CD0B3D" w:rsidRDefault="00CD0B3D" w:rsidP="00D05D21">
      <w:pPr>
        <w:rPr>
          <w:rFonts w:ascii="Times New Roman" w:hAnsi="Times New Roman" w:cs="Times New Roman"/>
          <w:color w:val="0070C0"/>
          <w:sz w:val="28"/>
          <w:szCs w:val="28"/>
        </w:rPr>
      </w:pPr>
    </w:p>
    <w:p w:rsidR="00892829" w:rsidRDefault="00892829" w:rsidP="00D05D21">
      <w:pPr>
        <w:rPr>
          <w:rFonts w:ascii="Times New Roman" w:hAnsi="Times New Roman" w:cs="Times New Roman"/>
          <w:color w:val="0070C0"/>
          <w:sz w:val="28"/>
          <w:szCs w:val="28"/>
        </w:rPr>
      </w:pPr>
    </w:p>
    <w:p w:rsidR="00425D90" w:rsidRDefault="00425D90" w:rsidP="00D05D21">
      <w:pPr>
        <w:rPr>
          <w:rFonts w:ascii="Times New Roman" w:hAnsi="Times New Roman" w:cs="Times New Roman"/>
          <w:color w:val="0070C0"/>
          <w:sz w:val="28"/>
          <w:szCs w:val="28"/>
        </w:rPr>
      </w:pPr>
    </w:p>
    <w:p w:rsidR="00425D90" w:rsidRDefault="00425D90" w:rsidP="00D05D21">
      <w:pPr>
        <w:rPr>
          <w:rFonts w:ascii="Times New Roman" w:hAnsi="Times New Roman" w:cs="Times New Roman"/>
          <w:color w:val="0070C0"/>
          <w:sz w:val="28"/>
          <w:szCs w:val="28"/>
        </w:rPr>
      </w:pPr>
    </w:p>
    <w:p w:rsidR="00425D90" w:rsidRDefault="00425D90" w:rsidP="00D05D21">
      <w:pPr>
        <w:rPr>
          <w:rFonts w:ascii="Times New Roman" w:hAnsi="Times New Roman" w:cs="Times New Roman"/>
          <w:color w:val="0070C0"/>
          <w:sz w:val="28"/>
          <w:szCs w:val="28"/>
        </w:rPr>
      </w:pPr>
    </w:p>
    <w:p w:rsidR="00425D90" w:rsidRPr="007779E3" w:rsidRDefault="00425D90" w:rsidP="00D05D21">
      <w:pPr>
        <w:rPr>
          <w:rFonts w:ascii="Times New Roman" w:hAnsi="Times New Roman" w:cs="Times New Roman"/>
          <w:color w:val="0070C0"/>
          <w:sz w:val="28"/>
          <w:szCs w:val="28"/>
        </w:rPr>
      </w:pPr>
    </w:p>
    <w:p w:rsidR="00D845F7" w:rsidRPr="007779E3" w:rsidRDefault="00D845F7" w:rsidP="00D05D21">
      <w:pPr>
        <w:rPr>
          <w:rFonts w:ascii="Times New Roman" w:hAnsi="Times New Roman" w:cs="Times New Roman"/>
          <w:color w:val="0070C0"/>
          <w:sz w:val="28"/>
          <w:szCs w:val="28"/>
        </w:rPr>
      </w:pPr>
    </w:p>
    <w:p w:rsidR="00CD0B3D" w:rsidRPr="007779E3" w:rsidRDefault="00CD0B3D" w:rsidP="00D05D21">
      <w:pPr>
        <w:rPr>
          <w:rFonts w:ascii="Times New Roman" w:hAnsi="Times New Roman" w:cs="Times New Roman"/>
          <w:color w:val="0070C0"/>
          <w:sz w:val="28"/>
          <w:szCs w:val="28"/>
        </w:rPr>
      </w:pPr>
    </w:p>
    <w:p w:rsidR="0051520B" w:rsidRPr="00C60C62" w:rsidRDefault="006A0D8F" w:rsidP="00D05D21">
      <w:pPr>
        <w:rPr>
          <w:rFonts w:ascii="Times New Roman" w:hAnsi="Times New Roman" w:cs="Times New Roman"/>
          <w:b/>
          <w:szCs w:val="28"/>
        </w:rPr>
      </w:pPr>
      <w:r w:rsidRPr="00C60C62">
        <w:rPr>
          <w:rFonts w:ascii="Times New Roman" w:hAnsi="Times New Roman" w:cs="Times New Roman"/>
          <w:b/>
          <w:szCs w:val="28"/>
        </w:rPr>
        <w:t>Prílohy</w:t>
      </w:r>
    </w:p>
    <w:p w:rsidR="0051520B" w:rsidRPr="00C60C62" w:rsidRDefault="0051520B" w:rsidP="00627C59">
      <w:pPr>
        <w:jc w:val="both"/>
        <w:rPr>
          <w:rFonts w:ascii="Times New Roman" w:hAnsi="Times New Roman" w:cs="Times New Roman"/>
          <w:sz w:val="28"/>
          <w:szCs w:val="28"/>
        </w:rPr>
      </w:pPr>
    </w:p>
    <w:p w:rsidR="0051520B" w:rsidRPr="0044132A" w:rsidRDefault="006A0D8F" w:rsidP="00627C59">
      <w:pPr>
        <w:numPr>
          <w:ilvl w:val="0"/>
          <w:numId w:val="2"/>
        </w:numPr>
        <w:ind w:left="284" w:hanging="284"/>
        <w:jc w:val="both"/>
        <w:rPr>
          <w:rFonts w:ascii="Times New Roman" w:hAnsi="Times New Roman" w:cs="Times New Roman"/>
          <w:szCs w:val="28"/>
        </w:rPr>
      </w:pPr>
      <w:r w:rsidRPr="0044132A">
        <w:rPr>
          <w:rFonts w:ascii="Times New Roman" w:hAnsi="Times New Roman" w:cs="Times New Roman"/>
          <w:szCs w:val="28"/>
        </w:rPr>
        <w:t>Rozpočtovanie príjmov a výdavkov ostatných subjektov verejnej správy v metodike ESA </w:t>
      </w:r>
      <w:r w:rsidR="00E402AE">
        <w:rPr>
          <w:rFonts w:ascii="Times New Roman" w:hAnsi="Times New Roman" w:cs="Times New Roman"/>
          <w:szCs w:val="28"/>
        </w:rPr>
        <w:t>2010</w:t>
      </w:r>
    </w:p>
    <w:p w:rsidR="006A0D8F" w:rsidRPr="0044132A" w:rsidRDefault="006A0D8F" w:rsidP="00627C59">
      <w:pPr>
        <w:numPr>
          <w:ilvl w:val="0"/>
          <w:numId w:val="2"/>
        </w:numPr>
        <w:ind w:left="284" w:hanging="284"/>
        <w:jc w:val="both"/>
        <w:rPr>
          <w:rFonts w:ascii="Times New Roman" w:hAnsi="Times New Roman" w:cs="Times New Roman"/>
          <w:szCs w:val="28"/>
        </w:rPr>
      </w:pPr>
      <w:r w:rsidRPr="0044132A">
        <w:rPr>
          <w:rFonts w:ascii="Times New Roman" w:hAnsi="Times New Roman" w:cs="Times New Roman"/>
          <w:szCs w:val="28"/>
        </w:rPr>
        <w:t>Rozpočtové vzťahy SR a</w:t>
      </w:r>
      <w:r w:rsidR="0086775F" w:rsidRPr="0044132A">
        <w:rPr>
          <w:rFonts w:ascii="Times New Roman" w:hAnsi="Times New Roman" w:cs="Times New Roman"/>
          <w:szCs w:val="28"/>
        </w:rPr>
        <w:t> </w:t>
      </w:r>
      <w:r w:rsidRPr="0044132A">
        <w:rPr>
          <w:rFonts w:ascii="Times New Roman" w:hAnsi="Times New Roman" w:cs="Times New Roman"/>
          <w:szCs w:val="28"/>
        </w:rPr>
        <w:t>EÚ</w:t>
      </w:r>
    </w:p>
    <w:p w:rsidR="0086775F" w:rsidRPr="00C60C62" w:rsidRDefault="0086775F" w:rsidP="00627C59">
      <w:pPr>
        <w:numPr>
          <w:ilvl w:val="0"/>
          <w:numId w:val="2"/>
        </w:numPr>
        <w:ind w:left="284" w:hanging="284"/>
        <w:jc w:val="both"/>
        <w:rPr>
          <w:rFonts w:ascii="Times New Roman" w:hAnsi="Times New Roman" w:cs="Times New Roman"/>
          <w:szCs w:val="28"/>
        </w:rPr>
      </w:pPr>
      <w:r w:rsidRPr="00C60C62">
        <w:rPr>
          <w:rFonts w:ascii="Times New Roman" w:hAnsi="Times New Roman" w:cs="Times New Roman"/>
          <w:szCs w:val="28"/>
        </w:rPr>
        <w:t xml:space="preserve">Prehľad hospodárenia podnikov štátnej správy </w:t>
      </w:r>
    </w:p>
    <w:p w:rsidR="00536407" w:rsidRPr="003F49DB" w:rsidRDefault="003520E8" w:rsidP="00627C59">
      <w:pPr>
        <w:numPr>
          <w:ilvl w:val="0"/>
          <w:numId w:val="2"/>
        </w:numPr>
        <w:ind w:left="284" w:hanging="284"/>
        <w:jc w:val="both"/>
        <w:rPr>
          <w:rFonts w:ascii="Times New Roman" w:hAnsi="Times New Roman" w:cs="Times New Roman"/>
          <w:szCs w:val="28"/>
        </w:rPr>
      </w:pPr>
      <w:r>
        <w:rPr>
          <w:rFonts w:ascii="Times New Roman" w:hAnsi="Times New Roman" w:cs="Times New Roman"/>
          <w:szCs w:val="28"/>
        </w:rPr>
        <w:t>Podmienené záväzky</w:t>
      </w:r>
    </w:p>
    <w:p w:rsidR="00536407" w:rsidRPr="002E41C3" w:rsidRDefault="00536407" w:rsidP="00627C59">
      <w:pPr>
        <w:numPr>
          <w:ilvl w:val="0"/>
          <w:numId w:val="2"/>
        </w:numPr>
        <w:ind w:left="284" w:hanging="284"/>
        <w:jc w:val="both"/>
        <w:rPr>
          <w:rFonts w:ascii="Times New Roman" w:hAnsi="Times New Roman" w:cs="Times New Roman"/>
          <w:szCs w:val="28"/>
        </w:rPr>
      </w:pPr>
      <w:r w:rsidRPr="002E41C3">
        <w:rPr>
          <w:rFonts w:ascii="Times New Roman" w:hAnsi="Times New Roman" w:cs="Times New Roman"/>
          <w:szCs w:val="28"/>
        </w:rPr>
        <w:t xml:space="preserve">Implicitné záväzky </w:t>
      </w:r>
    </w:p>
    <w:p w:rsidR="0086775F" w:rsidRDefault="00432AC8" w:rsidP="00627C59">
      <w:pPr>
        <w:numPr>
          <w:ilvl w:val="0"/>
          <w:numId w:val="2"/>
        </w:numPr>
        <w:ind w:left="284" w:hanging="284"/>
        <w:jc w:val="both"/>
        <w:rPr>
          <w:rFonts w:ascii="Times New Roman" w:hAnsi="Times New Roman" w:cs="Times New Roman"/>
          <w:szCs w:val="28"/>
        </w:rPr>
      </w:pPr>
      <w:r>
        <w:rPr>
          <w:rFonts w:ascii="Times New Roman" w:hAnsi="Times New Roman" w:cs="Times New Roman"/>
          <w:szCs w:val="28"/>
        </w:rPr>
        <w:t xml:space="preserve">Aktualizácia </w:t>
      </w:r>
      <w:r w:rsidR="0066250E">
        <w:rPr>
          <w:rFonts w:ascii="Times New Roman" w:hAnsi="Times New Roman" w:cs="Times New Roman"/>
          <w:szCs w:val="28"/>
        </w:rPr>
        <w:t>S</w:t>
      </w:r>
      <w:r>
        <w:rPr>
          <w:rFonts w:ascii="Times New Roman" w:hAnsi="Times New Roman" w:cs="Times New Roman"/>
          <w:szCs w:val="28"/>
        </w:rPr>
        <w:t xml:space="preserve">tratégie riadenia štátneho dlhu na </w:t>
      </w:r>
      <w:r w:rsidRPr="000F7FC4">
        <w:rPr>
          <w:rFonts w:ascii="Times New Roman" w:hAnsi="Times New Roman" w:cs="Times New Roman"/>
          <w:szCs w:val="28"/>
        </w:rPr>
        <w:t>roky 2015 až 2018</w:t>
      </w:r>
      <w:r w:rsidR="006B0B01" w:rsidRPr="000F7FC4">
        <w:rPr>
          <w:rFonts w:ascii="Times New Roman" w:hAnsi="Times New Roman" w:cs="Times New Roman"/>
          <w:szCs w:val="28"/>
        </w:rPr>
        <w:t xml:space="preserve"> </w:t>
      </w:r>
    </w:p>
    <w:p w:rsidR="004C22BF" w:rsidRPr="005A061A" w:rsidRDefault="005A061A" w:rsidP="00627C59">
      <w:pPr>
        <w:numPr>
          <w:ilvl w:val="0"/>
          <w:numId w:val="2"/>
        </w:numPr>
        <w:ind w:left="284" w:hanging="284"/>
        <w:jc w:val="both"/>
        <w:rPr>
          <w:rFonts w:ascii="Times New Roman" w:hAnsi="Times New Roman" w:cs="Times New Roman"/>
          <w:szCs w:val="28"/>
        </w:rPr>
      </w:pPr>
      <w:r>
        <w:rPr>
          <w:rFonts w:ascii="Times New Roman" w:hAnsi="Times New Roman" w:cs="Times New Roman"/>
          <w:szCs w:val="28"/>
        </w:rPr>
        <w:t xml:space="preserve">Záverečné správy </w:t>
      </w:r>
      <w:r w:rsidRPr="005A061A">
        <w:rPr>
          <w:rFonts w:ascii="Times New Roman" w:hAnsi="Times New Roman" w:cs="Times New Roman"/>
          <w:szCs w:val="28"/>
        </w:rPr>
        <w:t>Revízie výdavkov na vzdelávanie, politiky trhu práce a sociálne politiky a životné prostredie</w:t>
      </w:r>
    </w:p>
    <w:p w:rsidR="00892829" w:rsidRDefault="00892829" w:rsidP="00892829"/>
    <w:p w:rsidR="005C7DF1" w:rsidRPr="009266D0" w:rsidRDefault="005C7DF1" w:rsidP="006740BA">
      <w:pPr>
        <w:pStyle w:val="Nadpis1"/>
        <w:keepNext w:val="0"/>
        <w:widowControl w:val="0"/>
        <w:spacing w:before="0" w:after="0"/>
        <w:jc w:val="center"/>
        <w:rPr>
          <w:rFonts w:ascii="Times New Roman" w:hAnsi="Times New Roman" w:cs="Times New Roman"/>
          <w:sz w:val="28"/>
        </w:rPr>
      </w:pPr>
      <w:bookmarkStart w:id="3" w:name="_Toc494463955"/>
      <w:r w:rsidRPr="009266D0">
        <w:rPr>
          <w:rFonts w:ascii="Times New Roman" w:hAnsi="Times New Roman" w:cs="Times New Roman"/>
          <w:sz w:val="28"/>
        </w:rPr>
        <w:lastRenderedPageBreak/>
        <w:t>Predkladacia správa</w:t>
      </w:r>
      <w:bookmarkEnd w:id="3"/>
    </w:p>
    <w:p w:rsidR="00271B73" w:rsidRPr="009266D0" w:rsidRDefault="00271B73" w:rsidP="006740BA">
      <w:pPr>
        <w:widowControl w:val="0"/>
        <w:rPr>
          <w:rFonts w:ascii="Times New Roman" w:hAnsi="Times New Roman" w:cs="Times New Roman"/>
        </w:rPr>
      </w:pPr>
    </w:p>
    <w:p w:rsidR="00DB0C97" w:rsidRDefault="00DB0C97" w:rsidP="00DB0C97">
      <w:pPr>
        <w:autoSpaceDE w:val="0"/>
        <w:autoSpaceDN w:val="0"/>
        <w:ind w:firstLine="708"/>
        <w:jc w:val="both"/>
        <w:rPr>
          <w:rFonts w:ascii="Times New Roman" w:hAnsi="Times New Roman"/>
        </w:rPr>
      </w:pPr>
      <w:r>
        <w:rPr>
          <w:rFonts w:ascii="Times New Roman" w:hAnsi="Times New Roman"/>
        </w:rPr>
        <w:t xml:space="preserve">Návrh rozpočtu verejnej správy na roky 2018 až 2020 sa na rokovanie vlády predkladá na základe § 14 ods. 3 zákona č. 523/2004 Z. z. o rozpočtových pravidlách verejnej správy a o zmene a doplnení niektorých zákonov. </w:t>
      </w:r>
    </w:p>
    <w:p w:rsidR="00DB0C97" w:rsidRDefault="00DB0C97" w:rsidP="00DB0C97">
      <w:pPr>
        <w:autoSpaceDE w:val="0"/>
        <w:autoSpaceDN w:val="0"/>
        <w:ind w:firstLine="708"/>
        <w:jc w:val="both"/>
        <w:rPr>
          <w:rFonts w:ascii="Times New Roman" w:hAnsi="Times New Roman"/>
          <w:highlight w:val="yellow"/>
        </w:rPr>
      </w:pPr>
    </w:p>
    <w:p w:rsidR="00DB0C97" w:rsidRPr="00C10C60" w:rsidRDefault="00DB0C97" w:rsidP="00DB0C97">
      <w:pPr>
        <w:autoSpaceDE w:val="0"/>
        <w:autoSpaceDN w:val="0"/>
        <w:ind w:firstLine="708"/>
        <w:jc w:val="both"/>
        <w:rPr>
          <w:rFonts w:ascii="Times New Roman" w:hAnsi="Times New Roman"/>
        </w:rPr>
      </w:pPr>
      <w:r>
        <w:rPr>
          <w:rFonts w:ascii="Times New Roman" w:hAnsi="Times New Roman"/>
        </w:rPr>
        <w:t xml:space="preserve">Rozpočtová politika v nasledujúcich rozpočtových rokoch vychádza z Programového vyhlásenia vlády SR, kde medzi hlavné priority patrí konsolidácia verejných financií. Stratégia rozpočtovej politiky v nasledujúcich rozpočtových rokoch je zameraná na ďalšie zlepšovanie rozpočtovej pozície verejnej správy s cieľom dosiahnuť dlhodobú udržateľnosť verejných financií.  </w:t>
      </w:r>
    </w:p>
    <w:p w:rsidR="00DB0C97" w:rsidRDefault="00DB0C97" w:rsidP="00DB0C97">
      <w:pPr>
        <w:autoSpaceDE w:val="0"/>
        <w:autoSpaceDN w:val="0"/>
        <w:jc w:val="both"/>
        <w:rPr>
          <w:rFonts w:ascii="Times New Roman" w:hAnsi="Times New Roman"/>
        </w:rPr>
      </w:pPr>
      <w:r>
        <w:rPr>
          <w:rFonts w:ascii="Times New Roman" w:hAnsi="Times New Roman"/>
        </w:rPr>
        <w:tab/>
      </w:r>
    </w:p>
    <w:p w:rsidR="00DB0C97" w:rsidRDefault="00DB0C97" w:rsidP="00DB0C97">
      <w:pPr>
        <w:autoSpaceDE w:val="0"/>
        <w:autoSpaceDN w:val="0"/>
        <w:ind w:firstLine="708"/>
        <w:jc w:val="both"/>
        <w:rPr>
          <w:rFonts w:ascii="Times New Roman" w:hAnsi="Times New Roman"/>
        </w:rPr>
      </w:pPr>
      <w:r>
        <w:rPr>
          <w:rFonts w:ascii="Times New Roman" w:hAnsi="Times New Roman"/>
        </w:rPr>
        <w:t>C</w:t>
      </w:r>
      <w:r w:rsidRPr="00EE4B3F">
        <w:rPr>
          <w:rFonts w:ascii="Times New Roman" w:hAnsi="Times New Roman"/>
        </w:rPr>
        <w:t>ieľová hodnota defi</w:t>
      </w:r>
      <w:r>
        <w:rPr>
          <w:rFonts w:ascii="Times New Roman" w:hAnsi="Times New Roman"/>
        </w:rPr>
        <w:t>citu verejnej správy na rok 2018</w:t>
      </w:r>
      <w:r w:rsidRPr="00EE4B3F">
        <w:rPr>
          <w:rFonts w:ascii="Times New Roman" w:hAnsi="Times New Roman"/>
        </w:rPr>
        <w:t xml:space="preserve"> </w:t>
      </w:r>
      <w:r>
        <w:rPr>
          <w:rFonts w:ascii="Times New Roman" w:hAnsi="Times New Roman"/>
        </w:rPr>
        <w:t xml:space="preserve">je </w:t>
      </w:r>
      <w:r w:rsidRPr="00EE4B3F">
        <w:rPr>
          <w:rFonts w:ascii="Times New Roman" w:hAnsi="Times New Roman"/>
        </w:rPr>
        <w:t xml:space="preserve">stanovená vo výške </w:t>
      </w:r>
      <w:r>
        <w:rPr>
          <w:rFonts w:ascii="Times New Roman" w:hAnsi="Times New Roman"/>
        </w:rPr>
        <w:br/>
        <w:t>0,83</w:t>
      </w:r>
      <w:r w:rsidRPr="00EE4B3F">
        <w:rPr>
          <w:rFonts w:ascii="Times New Roman" w:hAnsi="Times New Roman"/>
        </w:rPr>
        <w:t xml:space="preserve"> % HDP. V</w:t>
      </w:r>
      <w:r>
        <w:rPr>
          <w:rFonts w:ascii="Times New Roman" w:hAnsi="Times New Roman"/>
        </w:rPr>
        <w:t> roku 2019 sa navrhuje deficit rozpočtu verejnej správy na úrovni 0,10 % HDP a na rok 2020 sa navrhuje vyrovnané hospodárenie rozpočtu verejnej správy.</w:t>
      </w:r>
      <w:r w:rsidRPr="00EE4B3F">
        <w:rPr>
          <w:rFonts w:ascii="Times New Roman" w:hAnsi="Times New Roman"/>
        </w:rPr>
        <w:t xml:space="preserve"> </w:t>
      </w:r>
      <w:r w:rsidRPr="00C10C60">
        <w:rPr>
          <w:rFonts w:ascii="Times New Roman" w:hAnsi="Times New Roman"/>
        </w:rPr>
        <w:t>Z pohľadu plnenia pravidiel Paktu stability a rastu sú nové ciele v súlade s konsolidačnými požiadavkami Európskej komisie, ktorá zverejní hodnotenie Návrhu rozpočt</w:t>
      </w:r>
      <w:r>
        <w:rPr>
          <w:rFonts w:ascii="Times New Roman" w:hAnsi="Times New Roman"/>
        </w:rPr>
        <w:t>ového plánu</w:t>
      </w:r>
      <w:r w:rsidRPr="00C10C60">
        <w:rPr>
          <w:rFonts w:ascii="Times New Roman" w:hAnsi="Times New Roman"/>
        </w:rPr>
        <w:t xml:space="preserve"> v novembri 2017</w:t>
      </w:r>
      <w:r>
        <w:rPr>
          <w:rFonts w:ascii="Times New Roman" w:hAnsi="Times New Roman"/>
        </w:rPr>
        <w:t>.</w:t>
      </w:r>
    </w:p>
    <w:p w:rsidR="00DB0C97" w:rsidRDefault="00DB0C97" w:rsidP="00DB0C97">
      <w:pPr>
        <w:autoSpaceDE w:val="0"/>
        <w:autoSpaceDN w:val="0"/>
        <w:ind w:firstLine="708"/>
        <w:jc w:val="both"/>
        <w:rPr>
          <w:rFonts w:ascii="Times New Roman" w:hAnsi="Times New Roman"/>
        </w:rPr>
      </w:pPr>
    </w:p>
    <w:p w:rsidR="00DB0C97" w:rsidRPr="00C10C60" w:rsidRDefault="00DB0C97" w:rsidP="00DB0C97">
      <w:pPr>
        <w:autoSpaceDE w:val="0"/>
        <w:autoSpaceDN w:val="0"/>
        <w:ind w:firstLine="708"/>
        <w:jc w:val="both"/>
        <w:rPr>
          <w:rFonts w:ascii="Times New Roman" w:hAnsi="Times New Roman" w:cs="Times New Roman"/>
        </w:rPr>
      </w:pPr>
      <w:r w:rsidRPr="00C10C60">
        <w:rPr>
          <w:rFonts w:ascii="Times New Roman" w:hAnsi="Times New Roman"/>
        </w:rPr>
        <w:t xml:space="preserve">Hrubý dlh verejnej správy by mal v roku 2018 dosiahnuť </w:t>
      </w:r>
      <w:r>
        <w:rPr>
          <w:rFonts w:ascii="Times New Roman" w:hAnsi="Times New Roman"/>
        </w:rPr>
        <w:t xml:space="preserve">49,9 </w:t>
      </w:r>
      <w:r w:rsidRPr="00C10C60">
        <w:rPr>
          <w:rFonts w:ascii="Times New Roman" w:hAnsi="Times New Roman"/>
        </w:rPr>
        <w:t xml:space="preserve">% HDP, </w:t>
      </w:r>
      <w:r w:rsidRPr="00AB249A">
        <w:rPr>
          <w:rFonts w:ascii="Times New Roman" w:hAnsi="Times New Roman"/>
        </w:rPr>
        <w:t>najnižšiu úroveň od roku 2012. Na základe aktuálneho odhadu skutočnosti na rok 2017 a paramet</w:t>
      </w:r>
      <w:r>
        <w:rPr>
          <w:rFonts w:ascii="Times New Roman" w:hAnsi="Times New Roman"/>
        </w:rPr>
        <w:t xml:space="preserve">rov fiškálneho rámca pre rozpočet verejnej správy na roky 2018 až 2020 možno očakávať, že </w:t>
      </w:r>
      <w:r w:rsidRPr="00C96BFD">
        <w:rPr>
          <w:rFonts w:ascii="Times New Roman" w:hAnsi="Times New Roman" w:cs="Times New Roman"/>
        </w:rPr>
        <w:t>hrubý dlh verejnej správy bude v pomere k HDP klesať</w:t>
      </w:r>
      <w:r>
        <w:rPr>
          <w:rFonts w:ascii="Times New Roman" w:hAnsi="Times New Roman" w:cs="Times New Roman"/>
        </w:rPr>
        <w:t xml:space="preserve"> aj naďalej</w:t>
      </w:r>
      <w:r w:rsidRPr="00C96BFD">
        <w:rPr>
          <w:rFonts w:ascii="Times New Roman" w:hAnsi="Times New Roman" w:cs="Times New Roman"/>
        </w:rPr>
        <w:t xml:space="preserve"> </w:t>
      </w:r>
      <w:r w:rsidRPr="00C10C60">
        <w:rPr>
          <w:rFonts w:ascii="Times New Roman" w:hAnsi="Times New Roman" w:cs="Times New Roman"/>
        </w:rPr>
        <w:t>až k úrovni 45</w:t>
      </w:r>
      <w:r>
        <w:rPr>
          <w:rFonts w:ascii="Times New Roman" w:hAnsi="Times New Roman" w:cs="Times New Roman"/>
        </w:rPr>
        <w:t>,5</w:t>
      </w:r>
      <w:r w:rsidRPr="00C10C60">
        <w:rPr>
          <w:rFonts w:ascii="Times New Roman" w:hAnsi="Times New Roman" w:cs="Times New Roman"/>
        </w:rPr>
        <w:t xml:space="preserve"> % HDP v roku 2020.</w:t>
      </w:r>
      <w:r>
        <w:rPr>
          <w:rFonts w:ascii="Times New Roman" w:hAnsi="Times New Roman" w:cs="Times New Roman"/>
        </w:rPr>
        <w:t xml:space="preserve"> Zároveň o</w:t>
      </w:r>
      <w:r w:rsidRPr="00C10C60">
        <w:rPr>
          <w:rFonts w:ascii="Times New Roman" w:hAnsi="Times New Roman" w:cs="Times New Roman"/>
        </w:rPr>
        <w:t>d roku 2019 klesne dlh mimo sankčných pásiem dlhovej brzdy</w:t>
      </w:r>
      <w:r>
        <w:rPr>
          <w:rFonts w:ascii="Times New Roman" w:hAnsi="Times New Roman" w:cs="Times New Roman"/>
        </w:rPr>
        <w:t>.</w:t>
      </w:r>
    </w:p>
    <w:p w:rsidR="00DB0C97" w:rsidRDefault="00DB0C97" w:rsidP="00DB0C97">
      <w:pPr>
        <w:autoSpaceDE w:val="0"/>
        <w:autoSpaceDN w:val="0"/>
        <w:ind w:firstLine="708"/>
        <w:jc w:val="both"/>
        <w:rPr>
          <w:rFonts w:ascii="Times New Roman" w:hAnsi="Times New Roman" w:cs="Times New Roman"/>
        </w:rPr>
      </w:pPr>
    </w:p>
    <w:p w:rsidR="00DB0C97" w:rsidRDefault="00DB0C97" w:rsidP="00DB0C97">
      <w:pPr>
        <w:ind w:firstLine="708"/>
        <w:jc w:val="both"/>
        <w:rPr>
          <w:rFonts w:ascii="Times New Roman" w:hAnsi="Times New Roman"/>
        </w:rPr>
      </w:pPr>
      <w:r>
        <w:rPr>
          <w:rFonts w:ascii="Times New Roman" w:hAnsi="Times New Roman" w:cs="Times New Roman"/>
        </w:rPr>
        <w:t>Septembrová</w:t>
      </w:r>
      <w:r w:rsidRPr="0027133F">
        <w:rPr>
          <w:rFonts w:ascii="Times New Roman" w:hAnsi="Times New Roman" w:cs="Times New Roman"/>
        </w:rPr>
        <w:t xml:space="preserve"> </w:t>
      </w:r>
      <w:r>
        <w:rPr>
          <w:rFonts w:ascii="Times New Roman" w:hAnsi="Times New Roman" w:cs="Times New Roman"/>
        </w:rPr>
        <w:t xml:space="preserve">makroekonomická </w:t>
      </w:r>
      <w:r w:rsidRPr="0027133F">
        <w:rPr>
          <w:rFonts w:ascii="Times New Roman" w:hAnsi="Times New Roman" w:cs="Times New Roman"/>
        </w:rPr>
        <w:t>prognóza Ministerstva financií SR predpokladá, že v roku 201</w:t>
      </w:r>
      <w:r>
        <w:rPr>
          <w:rFonts w:ascii="Times New Roman" w:hAnsi="Times New Roman" w:cs="Times New Roman"/>
        </w:rPr>
        <w:t>8</w:t>
      </w:r>
      <w:r w:rsidRPr="0027133F">
        <w:rPr>
          <w:rFonts w:ascii="Times New Roman" w:hAnsi="Times New Roman" w:cs="Times New Roman"/>
        </w:rPr>
        <w:t xml:space="preserve"> slovenská ekonomika porastie o </w:t>
      </w:r>
      <w:r>
        <w:rPr>
          <w:rFonts w:ascii="Times New Roman" w:hAnsi="Times New Roman" w:cs="Times New Roman"/>
        </w:rPr>
        <w:t>4</w:t>
      </w:r>
      <w:r w:rsidRPr="0027133F">
        <w:rPr>
          <w:rFonts w:ascii="Times New Roman" w:hAnsi="Times New Roman" w:cs="Times New Roman"/>
        </w:rPr>
        <w:t>,</w:t>
      </w:r>
      <w:r>
        <w:rPr>
          <w:rFonts w:ascii="Times New Roman" w:hAnsi="Times New Roman" w:cs="Times New Roman"/>
        </w:rPr>
        <w:t>2</w:t>
      </w:r>
      <w:r w:rsidRPr="0027133F">
        <w:rPr>
          <w:rFonts w:ascii="Times New Roman" w:hAnsi="Times New Roman" w:cs="Times New Roman"/>
        </w:rPr>
        <w:t xml:space="preserve"> %. </w:t>
      </w:r>
      <w:r w:rsidRPr="004D5FFF">
        <w:rPr>
          <w:rFonts w:ascii="Times New Roman" w:hAnsi="Times New Roman" w:cs="Times New Roman"/>
        </w:rPr>
        <w:t xml:space="preserve">Za zrýchlením rastu </w:t>
      </w:r>
      <w:r>
        <w:rPr>
          <w:rFonts w:ascii="Times New Roman" w:hAnsi="Times New Roman" w:cs="Times New Roman"/>
        </w:rPr>
        <w:t xml:space="preserve">ekonomiky </w:t>
      </w:r>
      <w:r w:rsidRPr="004D5FFF">
        <w:rPr>
          <w:rFonts w:ascii="Times New Roman" w:hAnsi="Times New Roman" w:cs="Times New Roman"/>
        </w:rPr>
        <w:t>oproti predchádzajúcemu roku stojí predovšetkým plánované spustenie výroby v automobilových závodoch a s ním spojený rast exportu.</w:t>
      </w:r>
      <w:r>
        <w:rPr>
          <w:rFonts w:ascii="Times New Roman" w:hAnsi="Times New Roman" w:cs="Times New Roman"/>
        </w:rPr>
        <w:t xml:space="preserve"> </w:t>
      </w:r>
      <w:r>
        <w:rPr>
          <w:rFonts w:ascii="Times New Roman" w:hAnsi="Times New Roman"/>
        </w:rPr>
        <w:t xml:space="preserve">Rast zamestnanosti v roku 2018 </w:t>
      </w:r>
      <w:r w:rsidR="00D829BE">
        <w:rPr>
          <w:rFonts w:ascii="Times New Roman" w:hAnsi="Times New Roman"/>
        </w:rPr>
        <w:t>dosiahne</w:t>
      </w:r>
      <w:r>
        <w:rPr>
          <w:rFonts w:ascii="Times New Roman" w:hAnsi="Times New Roman"/>
        </w:rPr>
        <w:t xml:space="preserve"> úroveň </w:t>
      </w:r>
      <w:r>
        <w:rPr>
          <w:rFonts w:ascii="Times New Roman" w:hAnsi="Times New Roman"/>
        </w:rPr>
        <w:br/>
        <w:t>1,4 %</w:t>
      </w:r>
      <w:r w:rsidR="00D829BE">
        <w:rPr>
          <w:rFonts w:ascii="Times New Roman" w:hAnsi="Times New Roman"/>
        </w:rPr>
        <w:t>.</w:t>
      </w:r>
      <w:r>
        <w:rPr>
          <w:rFonts w:ascii="Times New Roman" w:hAnsi="Times New Roman"/>
        </w:rPr>
        <w:t xml:space="preserve"> Pracovné miesta budú vznikať rovnomerne vo všetkých sektoroch ekonomiky, predovšetkým však v priemysle a v službách. Miera nezamestnanosti vďaka tomu klesne na úroveň 7,3 %. Nominálna mzda v roku 2018 bude rásť tempom 4,6 % a rast reálnej mzdy sa zrýchli na 2,9 %, v súlade s rastom produktivity práce. </w:t>
      </w:r>
    </w:p>
    <w:p w:rsidR="00DB0C97" w:rsidRDefault="00DB0C97" w:rsidP="00DB0C97">
      <w:pPr>
        <w:ind w:firstLine="708"/>
        <w:jc w:val="both"/>
        <w:rPr>
          <w:rFonts w:ascii="Times New Roman" w:hAnsi="Times New Roman" w:cs="Times New Roman"/>
        </w:rPr>
      </w:pPr>
    </w:p>
    <w:p w:rsidR="00DB0C97" w:rsidRPr="00F03D9A" w:rsidRDefault="00DB0C97" w:rsidP="00DB0C97">
      <w:pPr>
        <w:ind w:firstLine="708"/>
        <w:jc w:val="both"/>
        <w:rPr>
          <w:rFonts w:ascii="Times New Roman" w:hAnsi="Times New Roman" w:cs="Times New Roman"/>
        </w:rPr>
      </w:pPr>
      <w:r w:rsidRPr="00F03D9A">
        <w:rPr>
          <w:rFonts w:ascii="Times New Roman" w:hAnsi="Times New Roman"/>
        </w:rPr>
        <w:t xml:space="preserve">Makroekonomické predpoklady boli základom pre vypracovanie aktuálnych prognóz </w:t>
      </w:r>
      <w:r w:rsidRPr="00F03D9A">
        <w:rPr>
          <w:rFonts w:ascii="Times New Roman" w:hAnsi="Times New Roman" w:cs="Times New Roman"/>
        </w:rPr>
        <w:t>daňových príjmov verejnej správy na roky 201</w:t>
      </w:r>
      <w:r>
        <w:rPr>
          <w:rFonts w:ascii="Times New Roman" w:hAnsi="Times New Roman" w:cs="Times New Roman"/>
        </w:rPr>
        <w:t>8</w:t>
      </w:r>
      <w:r w:rsidRPr="00F03D9A">
        <w:rPr>
          <w:rFonts w:ascii="Times New Roman" w:hAnsi="Times New Roman" w:cs="Times New Roman"/>
        </w:rPr>
        <w:t xml:space="preserve"> až 20</w:t>
      </w:r>
      <w:r>
        <w:rPr>
          <w:rFonts w:ascii="Times New Roman" w:hAnsi="Times New Roman" w:cs="Times New Roman"/>
        </w:rPr>
        <w:t>20</w:t>
      </w:r>
      <w:r w:rsidRPr="00F03D9A">
        <w:rPr>
          <w:rFonts w:ascii="Times New Roman" w:hAnsi="Times New Roman" w:cs="Times New Roman"/>
        </w:rPr>
        <w:t>. Aktuálna prognóza bola podrobená hodnoteniu v rámci Výboru pre daňové prognózy dňa 2</w:t>
      </w:r>
      <w:r>
        <w:rPr>
          <w:rFonts w:ascii="Times New Roman" w:hAnsi="Times New Roman" w:cs="Times New Roman"/>
        </w:rPr>
        <w:t>1</w:t>
      </w:r>
      <w:r w:rsidRPr="00F03D9A">
        <w:rPr>
          <w:rFonts w:ascii="Times New Roman" w:hAnsi="Times New Roman" w:cs="Times New Roman"/>
        </w:rPr>
        <w:t>. septembra 201</w:t>
      </w:r>
      <w:r>
        <w:rPr>
          <w:rFonts w:ascii="Times New Roman" w:hAnsi="Times New Roman" w:cs="Times New Roman"/>
        </w:rPr>
        <w:t>7</w:t>
      </w:r>
      <w:r w:rsidRPr="00F03D9A">
        <w:rPr>
          <w:rFonts w:ascii="Times New Roman" w:hAnsi="Times New Roman" w:cs="Times New Roman"/>
        </w:rPr>
        <w:t xml:space="preserve">, pričom všetci členovia ju </w:t>
      </w:r>
      <w:r w:rsidR="00D829BE">
        <w:rPr>
          <w:rFonts w:ascii="Times New Roman" w:hAnsi="Times New Roman" w:cs="Times New Roman"/>
        </w:rPr>
        <w:t>zhodnotili</w:t>
      </w:r>
      <w:r w:rsidRPr="00F03D9A">
        <w:rPr>
          <w:rFonts w:ascii="Times New Roman" w:hAnsi="Times New Roman" w:cs="Times New Roman"/>
        </w:rPr>
        <w:t xml:space="preserve"> ako realistickú. </w:t>
      </w:r>
    </w:p>
    <w:p w:rsidR="00DB0C97" w:rsidRPr="00F03D9A" w:rsidRDefault="00DB0C97" w:rsidP="00DB0C97">
      <w:pPr>
        <w:ind w:firstLine="708"/>
        <w:contextualSpacing/>
        <w:jc w:val="both"/>
        <w:rPr>
          <w:rFonts w:ascii="Times New Roman" w:hAnsi="Times New Roman" w:cs="Times New Roman"/>
          <w:highlight w:val="yellow"/>
          <w:lang w:eastAsia="sk-SK"/>
        </w:rPr>
      </w:pPr>
    </w:p>
    <w:p w:rsidR="00DB0C97" w:rsidRDefault="00DB0C97" w:rsidP="00DB0C97">
      <w:pPr>
        <w:contextualSpacing/>
        <w:jc w:val="both"/>
        <w:rPr>
          <w:rFonts w:ascii="Times New Roman" w:hAnsi="Times New Roman" w:cs="Times New Roman"/>
          <w:lang w:eastAsia="sk-SK"/>
        </w:rPr>
      </w:pPr>
      <w:r w:rsidRPr="00F03D9A">
        <w:rPr>
          <w:rFonts w:ascii="Times New Roman" w:hAnsi="Times New Roman" w:cs="Times New Roman"/>
          <w:lang w:eastAsia="sk-SK"/>
        </w:rPr>
        <w:t>            Návrh rozpočtu verejnej správy na roky 201</w:t>
      </w:r>
      <w:r>
        <w:rPr>
          <w:rFonts w:ascii="Times New Roman" w:hAnsi="Times New Roman" w:cs="Times New Roman"/>
          <w:lang w:eastAsia="sk-SK"/>
        </w:rPr>
        <w:t>8</w:t>
      </w:r>
      <w:r w:rsidRPr="00F03D9A">
        <w:rPr>
          <w:rFonts w:ascii="Times New Roman" w:hAnsi="Times New Roman" w:cs="Times New Roman"/>
          <w:lang w:eastAsia="sk-SK"/>
        </w:rPr>
        <w:t xml:space="preserve"> až 20</w:t>
      </w:r>
      <w:r>
        <w:rPr>
          <w:rFonts w:ascii="Times New Roman" w:hAnsi="Times New Roman" w:cs="Times New Roman"/>
          <w:lang w:eastAsia="sk-SK"/>
        </w:rPr>
        <w:t>20</w:t>
      </w:r>
      <w:r w:rsidRPr="00F03D9A">
        <w:rPr>
          <w:rFonts w:ascii="Times New Roman" w:hAnsi="Times New Roman" w:cs="Times New Roman"/>
          <w:lang w:eastAsia="sk-SK"/>
        </w:rPr>
        <w:t xml:space="preserve"> okrem prognózy vývoja ekonomiky, prognózy daňových a odvodových príjmov zohľadňuje aj aktuálny predpoklad vývoja rozpočtu verejnej správy v roku 201</w:t>
      </w:r>
      <w:r>
        <w:rPr>
          <w:rFonts w:ascii="Times New Roman" w:hAnsi="Times New Roman" w:cs="Times New Roman"/>
          <w:lang w:eastAsia="sk-SK"/>
        </w:rPr>
        <w:t>7</w:t>
      </w:r>
      <w:r w:rsidRPr="00F03D9A">
        <w:rPr>
          <w:rFonts w:ascii="Times New Roman" w:hAnsi="Times New Roman" w:cs="Times New Roman"/>
          <w:lang w:eastAsia="sk-SK"/>
        </w:rPr>
        <w:t>.</w:t>
      </w:r>
      <w:r w:rsidRPr="0013757F">
        <w:rPr>
          <w:rFonts w:ascii="Times New Roman" w:hAnsi="Times New Roman" w:cs="Times New Roman"/>
          <w:lang w:eastAsia="sk-SK"/>
        </w:rPr>
        <w:t xml:space="preserve"> </w:t>
      </w:r>
    </w:p>
    <w:p w:rsidR="00DB0C97" w:rsidRDefault="00DB0C97" w:rsidP="00DB0C97">
      <w:pPr>
        <w:contextualSpacing/>
        <w:jc w:val="both"/>
        <w:rPr>
          <w:rFonts w:ascii="Times New Roman" w:hAnsi="Times New Roman" w:cs="Times New Roman"/>
          <w:lang w:eastAsia="sk-SK"/>
        </w:rPr>
      </w:pPr>
    </w:p>
    <w:p w:rsidR="00DB0C97" w:rsidRDefault="00DB0C97" w:rsidP="00DB0C97">
      <w:pPr>
        <w:contextualSpacing/>
        <w:jc w:val="both"/>
        <w:rPr>
          <w:rFonts w:ascii="Times New Roman" w:hAnsi="Times New Roman" w:cs="Times New Roman"/>
          <w:lang w:eastAsia="sk-SK"/>
        </w:rPr>
      </w:pPr>
      <w:r>
        <w:rPr>
          <w:rFonts w:ascii="Times New Roman" w:hAnsi="Times New Roman" w:cs="Times New Roman"/>
          <w:lang w:eastAsia="sk-SK"/>
        </w:rPr>
        <w:tab/>
        <w:t>V predloženom návrhu rozpočtu sú na príjmovej ako aj výdavkovej strane zapracované zámery vlády SR realizované prostredníctvom viacerých opatrení a ďalšie tituly vyplývajúce z legislatívnych zmien.</w:t>
      </w:r>
    </w:p>
    <w:p w:rsidR="00DB0C97" w:rsidRDefault="00DB0C97" w:rsidP="00DB0C97">
      <w:pPr>
        <w:contextualSpacing/>
        <w:jc w:val="both"/>
        <w:rPr>
          <w:rFonts w:ascii="Times New Roman" w:hAnsi="Times New Roman" w:cs="Times New Roman"/>
          <w:lang w:eastAsia="sk-SK"/>
        </w:rPr>
      </w:pPr>
      <w:r>
        <w:rPr>
          <w:rFonts w:ascii="Times New Roman" w:hAnsi="Times New Roman" w:cs="Times New Roman"/>
          <w:lang w:eastAsia="sk-SK"/>
        </w:rPr>
        <w:t xml:space="preserve"> </w:t>
      </w:r>
    </w:p>
    <w:p w:rsidR="00DB0C97" w:rsidRDefault="00DB0C97" w:rsidP="00DB0C97">
      <w:pPr>
        <w:contextualSpacing/>
        <w:jc w:val="both"/>
        <w:rPr>
          <w:rFonts w:ascii="Times New Roman" w:hAnsi="Times New Roman" w:cs="Times New Roman"/>
          <w:lang w:eastAsia="sk-SK"/>
        </w:rPr>
      </w:pPr>
      <w:r>
        <w:rPr>
          <w:rFonts w:ascii="Times New Roman" w:hAnsi="Times New Roman" w:cs="Times New Roman"/>
          <w:lang w:eastAsia="sk-SK"/>
        </w:rPr>
        <w:tab/>
        <w:t xml:space="preserve">Na príjmovej strane rozpočtu dochádza k zrušeniu daňovej licencie na dani z príjmov právnických osôb, zavádza sa zmena pri uplatňovaní </w:t>
      </w:r>
      <w:proofErr w:type="spellStart"/>
      <w:r>
        <w:rPr>
          <w:rFonts w:ascii="Times New Roman" w:hAnsi="Times New Roman" w:cs="Times New Roman"/>
          <w:lang w:eastAsia="sk-SK"/>
        </w:rPr>
        <w:t>superodpočtu</w:t>
      </w:r>
      <w:proofErr w:type="spellEnd"/>
      <w:r>
        <w:rPr>
          <w:rFonts w:ascii="Times New Roman" w:hAnsi="Times New Roman" w:cs="Times New Roman"/>
          <w:lang w:eastAsia="sk-SK"/>
        </w:rPr>
        <w:t xml:space="preserve"> výdavkov na vedu a výskum, upravuje sa odpisovanie technického zhodnotenia pre sektor kúpeľníctva a do daňového systému sa zavádza nezdaniteľná časť na kúpeľnú starostlivosť. Zároveň sa novelou </w:t>
      </w:r>
      <w:r>
        <w:rPr>
          <w:rFonts w:ascii="Times New Roman" w:hAnsi="Times New Roman" w:cs="Times New Roman"/>
          <w:lang w:eastAsia="sk-SK"/>
        </w:rPr>
        <w:lastRenderedPageBreak/>
        <w:t xml:space="preserve">zákona o dani z pridanej hodnoty oslobodí materiálna humanitárna pomoc venovaná súkromnými spoločnosťami od </w:t>
      </w:r>
      <w:r w:rsidR="00AD2066">
        <w:rPr>
          <w:rFonts w:ascii="Times New Roman" w:hAnsi="Times New Roman" w:cs="Times New Roman"/>
          <w:lang w:eastAsia="sk-SK"/>
        </w:rPr>
        <w:t>dane z pridanej hodnoty</w:t>
      </w:r>
      <w:r>
        <w:rPr>
          <w:rFonts w:ascii="Times New Roman" w:hAnsi="Times New Roman" w:cs="Times New Roman"/>
          <w:lang w:eastAsia="sk-SK"/>
        </w:rPr>
        <w:t>.</w:t>
      </w:r>
    </w:p>
    <w:p w:rsidR="00DB0C97" w:rsidRDefault="00DB0C97" w:rsidP="00DB0C97">
      <w:pPr>
        <w:contextualSpacing/>
        <w:jc w:val="both"/>
        <w:rPr>
          <w:rFonts w:ascii="Times New Roman" w:hAnsi="Times New Roman" w:cs="Times New Roman"/>
          <w:lang w:eastAsia="sk-SK"/>
        </w:rPr>
      </w:pPr>
    </w:p>
    <w:p w:rsidR="00DB0C97" w:rsidRDefault="00DB0C97" w:rsidP="00DB0C97">
      <w:pPr>
        <w:contextualSpacing/>
        <w:jc w:val="both"/>
        <w:rPr>
          <w:rFonts w:ascii="Times New Roman" w:hAnsi="Times New Roman" w:cs="Times New Roman"/>
          <w:lang w:eastAsia="sk-SK"/>
        </w:rPr>
      </w:pPr>
      <w:r>
        <w:rPr>
          <w:rFonts w:ascii="Times New Roman" w:hAnsi="Times New Roman" w:cs="Times New Roman"/>
          <w:lang w:eastAsia="sk-SK"/>
        </w:rPr>
        <w:tab/>
      </w:r>
      <w:r w:rsidRPr="00B90EC4">
        <w:rPr>
          <w:rFonts w:ascii="Times New Roman" w:hAnsi="Times New Roman" w:cs="Times New Roman"/>
          <w:lang w:eastAsia="sk-SK"/>
        </w:rPr>
        <w:t xml:space="preserve">Legislatívne zmeny, resp. ich vládou schválené návrhy, sú premietnuté aj vo výdavkoch dotknutých kapitol štátneho rozpočtu a subjektov verejnej správy. </w:t>
      </w:r>
    </w:p>
    <w:p w:rsidR="00DB0C97" w:rsidRDefault="00DB0C97" w:rsidP="00DB0C97">
      <w:pPr>
        <w:contextualSpacing/>
        <w:jc w:val="both"/>
        <w:rPr>
          <w:rFonts w:ascii="Times New Roman" w:hAnsi="Times New Roman" w:cs="Times New Roman"/>
          <w:lang w:eastAsia="sk-SK"/>
        </w:rPr>
      </w:pPr>
    </w:p>
    <w:p w:rsidR="00DB0C97" w:rsidRDefault="00DB0C97" w:rsidP="00DB0C97">
      <w:pPr>
        <w:ind w:firstLine="708"/>
        <w:jc w:val="both"/>
        <w:rPr>
          <w:rFonts w:ascii="Times New Roman" w:hAnsi="Times New Roman" w:cs="Times New Roman"/>
          <w:color w:val="000000"/>
        </w:rPr>
      </w:pPr>
      <w:r w:rsidRPr="003E2A82">
        <w:rPr>
          <w:rFonts w:ascii="Times New Roman" w:hAnsi="Times New Roman" w:cs="Times New Roman"/>
          <w:color w:val="000000"/>
        </w:rPr>
        <w:t>Vo výdavkoch štátneho rozpočtu sú na zvýšenie platov zabezpečené prostriedky v objeme 212 mil. eur</w:t>
      </w:r>
      <w:r>
        <w:rPr>
          <w:rFonts w:ascii="Times New Roman" w:hAnsi="Times New Roman" w:cs="Times New Roman"/>
          <w:color w:val="000000"/>
        </w:rPr>
        <w:t>, z čoho suma</w:t>
      </w:r>
      <w:r w:rsidRPr="003E2A82">
        <w:rPr>
          <w:rFonts w:ascii="Times New Roman" w:hAnsi="Times New Roman" w:cs="Times New Roman"/>
          <w:color w:val="000000"/>
        </w:rPr>
        <w:t xml:space="preserve"> 130,8 mil. eur </w:t>
      </w:r>
      <w:r>
        <w:rPr>
          <w:rFonts w:ascii="Times New Roman" w:hAnsi="Times New Roman" w:cs="Times New Roman"/>
          <w:color w:val="000000"/>
        </w:rPr>
        <w:t>je</w:t>
      </w:r>
      <w:r w:rsidRPr="003E2A82">
        <w:rPr>
          <w:rFonts w:ascii="Times New Roman" w:hAnsi="Times New Roman" w:cs="Times New Roman"/>
          <w:color w:val="000000"/>
        </w:rPr>
        <w:t xml:space="preserve"> na krytie záväzku vyplývajúceho z Memoranda o úprave platových pomerov zamestnancov v štátnej službe a niektorých zamestnancov pri výkone práce vo verejnom záujme. Na krytie zvýšenia platov pre pedagogických zamestnancov od 1.</w:t>
      </w:r>
      <w:r>
        <w:rPr>
          <w:rFonts w:ascii="Times New Roman" w:hAnsi="Times New Roman" w:cs="Times New Roman"/>
          <w:color w:val="000000"/>
        </w:rPr>
        <w:t xml:space="preserve"> </w:t>
      </w:r>
      <w:r w:rsidRPr="003E2A82">
        <w:rPr>
          <w:rFonts w:ascii="Times New Roman" w:hAnsi="Times New Roman" w:cs="Times New Roman"/>
          <w:color w:val="000000"/>
        </w:rPr>
        <w:t>9.</w:t>
      </w:r>
      <w:r>
        <w:rPr>
          <w:rFonts w:ascii="Times New Roman" w:hAnsi="Times New Roman" w:cs="Times New Roman"/>
          <w:color w:val="000000"/>
        </w:rPr>
        <w:t xml:space="preserve"> </w:t>
      </w:r>
      <w:r w:rsidRPr="003E2A82">
        <w:rPr>
          <w:rFonts w:ascii="Times New Roman" w:hAnsi="Times New Roman" w:cs="Times New Roman"/>
          <w:color w:val="000000"/>
        </w:rPr>
        <w:t xml:space="preserve">2017 sa rozpočtuje ďalších 81,4 mil. eur.  </w:t>
      </w:r>
    </w:p>
    <w:p w:rsidR="00DB0C97" w:rsidRPr="003E2A82" w:rsidRDefault="00DB0C97" w:rsidP="00DB0C97">
      <w:pPr>
        <w:ind w:firstLine="708"/>
        <w:jc w:val="both"/>
        <w:rPr>
          <w:rFonts w:ascii="Times New Roman" w:hAnsi="Times New Roman" w:cs="Times New Roman"/>
          <w:color w:val="000000"/>
        </w:rPr>
      </w:pPr>
    </w:p>
    <w:p w:rsidR="00DB0C97" w:rsidRDefault="00DB0C97" w:rsidP="00DB0C97">
      <w:pPr>
        <w:ind w:firstLine="708"/>
        <w:jc w:val="both"/>
        <w:rPr>
          <w:rFonts w:ascii="Times New Roman" w:hAnsi="Times New Roman" w:cs="Times New Roman"/>
          <w:color w:val="000000"/>
        </w:rPr>
      </w:pPr>
      <w:r w:rsidRPr="003E2A82">
        <w:rPr>
          <w:rFonts w:ascii="Times New Roman" w:hAnsi="Times New Roman" w:cs="Times New Roman"/>
          <w:color w:val="000000"/>
        </w:rPr>
        <w:t>Rozpočtové výdavky kapitoly Ministerstva obrany SR na rok 2018 v porovnaní so schváleným rozpočtom na rok 2017 rastú o 92,0 mil. eur, t. j. o 9,29 %.</w:t>
      </w:r>
    </w:p>
    <w:p w:rsidR="00DB0C97" w:rsidRDefault="00DB0C97" w:rsidP="00DB0C97">
      <w:pPr>
        <w:ind w:firstLine="708"/>
        <w:jc w:val="both"/>
        <w:rPr>
          <w:rFonts w:ascii="Times New Roman" w:hAnsi="Times New Roman" w:cs="Times New Roman"/>
          <w:color w:val="000000"/>
        </w:rPr>
      </w:pPr>
    </w:p>
    <w:p w:rsidR="00DB0C97" w:rsidRDefault="00DB0C97" w:rsidP="00DB0C97">
      <w:pPr>
        <w:ind w:firstLine="708"/>
        <w:jc w:val="both"/>
        <w:rPr>
          <w:rFonts w:ascii="Times New Roman" w:hAnsi="Times New Roman" w:cs="Times New Roman"/>
          <w:lang w:eastAsia="sk-SK"/>
        </w:rPr>
      </w:pPr>
      <w:r>
        <w:rPr>
          <w:rFonts w:ascii="Times New Roman" w:hAnsi="Times New Roman" w:cs="Times New Roman"/>
          <w:color w:val="000000"/>
        </w:rPr>
        <w:t xml:space="preserve">Vplyvom novelizácie zákonov o sociálnom poistení, o sociálnych službách, o peňažných príspevkoch </w:t>
      </w:r>
      <w:r w:rsidRPr="003E2A82">
        <w:rPr>
          <w:rFonts w:ascii="Times New Roman" w:hAnsi="Times New Roman" w:cs="Times New Roman"/>
          <w:lang w:eastAsia="sk-SK"/>
        </w:rPr>
        <w:t xml:space="preserve">na kompenzáciu ťažkého zdravotného postihnutia a zákona o službách zamestnanosti rastú výdavky Ministerstva práce sociálnych vecí a rodiny SR </w:t>
      </w:r>
      <w:r>
        <w:rPr>
          <w:rFonts w:ascii="Times New Roman" w:hAnsi="Times New Roman" w:cs="Times New Roman"/>
          <w:lang w:eastAsia="sk-SK"/>
        </w:rPr>
        <w:br/>
      </w:r>
      <w:r w:rsidRPr="003E2A82">
        <w:rPr>
          <w:rFonts w:ascii="Times New Roman" w:hAnsi="Times New Roman" w:cs="Times New Roman"/>
          <w:lang w:eastAsia="sk-SK"/>
        </w:rPr>
        <w:t xml:space="preserve">o 81,4 mil. eur. V rámci tejto kapitoly sú zabezpečené aj prostriedky na zvýšenie príspevku na opatrovanie. </w:t>
      </w:r>
      <w:r w:rsidRPr="003E2A82">
        <w:rPr>
          <w:rFonts w:ascii="Times New Roman" w:hAnsi="Times New Roman" w:cs="Times New Roman"/>
        </w:rPr>
        <w:t xml:space="preserve">Medzi ďalšie opatrenia, ktoré rozpočet zohľadňuje, patria </w:t>
      </w:r>
      <w:r w:rsidRPr="003E2A82">
        <w:rPr>
          <w:rFonts w:ascii="Times New Roman" w:hAnsi="Times New Roman" w:cs="Times New Roman"/>
          <w:lang w:eastAsia="sk-SK"/>
        </w:rPr>
        <w:t>príspevok na dochádzanie za prácou, príspevok pri presťahovaní rodiny za prácou, zvýšenie príplatkov za prácu cez víkend a sviatok, či za prácu v noci.</w:t>
      </w:r>
      <w:r>
        <w:rPr>
          <w:rFonts w:ascii="Times New Roman" w:hAnsi="Times New Roman" w:cs="Times New Roman"/>
          <w:lang w:eastAsia="sk-SK"/>
        </w:rPr>
        <w:t xml:space="preserve"> </w:t>
      </w:r>
      <w:r w:rsidRPr="003E2A82">
        <w:rPr>
          <w:rFonts w:ascii="Times New Roman" w:hAnsi="Times New Roman" w:cs="Times New Roman"/>
          <w:lang w:eastAsia="sk-SK"/>
        </w:rPr>
        <w:t xml:space="preserve">Rozpočet počíta aj so zavedením 13. a 14. platu, ako aj s oslobodením príjmov z dohôd dôchodcov. </w:t>
      </w:r>
    </w:p>
    <w:p w:rsidR="00DB0C97" w:rsidRDefault="00DB0C97" w:rsidP="00DB0C97">
      <w:pPr>
        <w:ind w:firstLine="708"/>
        <w:jc w:val="both"/>
        <w:rPr>
          <w:rFonts w:ascii="Times New Roman" w:hAnsi="Times New Roman" w:cs="Times New Roman"/>
          <w:lang w:eastAsia="sk-SK"/>
        </w:rPr>
      </w:pPr>
    </w:p>
    <w:p w:rsidR="00DB0C97" w:rsidRDefault="00D829BE" w:rsidP="00DB0C97">
      <w:pPr>
        <w:ind w:firstLine="708"/>
        <w:jc w:val="both"/>
        <w:rPr>
          <w:rFonts w:ascii="Times New Roman" w:hAnsi="Times New Roman" w:cs="Times New Roman"/>
        </w:rPr>
      </w:pPr>
      <w:r>
        <w:rPr>
          <w:rFonts w:ascii="Times New Roman" w:hAnsi="Times New Roman" w:cs="Times New Roman"/>
        </w:rPr>
        <w:t xml:space="preserve">Na implementáciu rezortných politík </w:t>
      </w:r>
      <w:r w:rsidR="00DB0C97" w:rsidRPr="003E2A82">
        <w:rPr>
          <w:rFonts w:ascii="Times New Roman" w:hAnsi="Times New Roman" w:cs="Times New Roman"/>
        </w:rPr>
        <w:t xml:space="preserve">v oblasti  výstavby a modernizácie dopravnej infraštruktúry, podpory moderných a efektívnych spôsobov dopravy a zlepšovanie energetickej hospodárnosti budov sa v kapitole Ministerstva dopravy a výstavby SR zvyšujú zdroje </w:t>
      </w:r>
      <w:r>
        <w:rPr>
          <w:rFonts w:ascii="Times New Roman" w:hAnsi="Times New Roman" w:cs="Times New Roman"/>
        </w:rPr>
        <w:br/>
      </w:r>
      <w:r w:rsidR="00DB0C97" w:rsidRPr="003E2A82">
        <w:rPr>
          <w:rFonts w:ascii="Times New Roman" w:hAnsi="Times New Roman" w:cs="Times New Roman"/>
        </w:rPr>
        <w:t>o 92,8 mil. eur.</w:t>
      </w:r>
    </w:p>
    <w:p w:rsidR="00DB0C97" w:rsidRDefault="00DB0C97" w:rsidP="00DB0C97">
      <w:pPr>
        <w:ind w:firstLine="708"/>
        <w:jc w:val="both"/>
        <w:rPr>
          <w:rFonts w:ascii="Times New Roman" w:hAnsi="Times New Roman" w:cs="Times New Roman"/>
        </w:rPr>
      </w:pPr>
    </w:p>
    <w:p w:rsidR="00DB0C97" w:rsidRPr="0091758C" w:rsidRDefault="00DB0C97" w:rsidP="00DB0C97">
      <w:pPr>
        <w:ind w:firstLine="708"/>
        <w:jc w:val="both"/>
        <w:rPr>
          <w:rFonts w:ascii="Times New Roman" w:hAnsi="Times New Roman" w:cs="Times New Roman"/>
          <w:sz w:val="22"/>
          <w:szCs w:val="22"/>
          <w:lang w:eastAsia="sk-SK"/>
        </w:rPr>
      </w:pPr>
      <w:r w:rsidRPr="0091758C">
        <w:rPr>
          <w:rFonts w:ascii="Times New Roman" w:hAnsi="Times New Roman" w:cs="Times New Roman"/>
        </w:rPr>
        <w:t>V</w:t>
      </w:r>
      <w:r>
        <w:rPr>
          <w:rFonts w:ascii="Times New Roman" w:hAnsi="Times New Roman" w:cs="Times New Roman"/>
        </w:rPr>
        <w:t xml:space="preserve"> rámci </w:t>
      </w:r>
      <w:r w:rsidRPr="0091758C">
        <w:rPr>
          <w:rFonts w:ascii="Times New Roman" w:hAnsi="Times New Roman" w:cs="Times New Roman"/>
        </w:rPr>
        <w:t xml:space="preserve">kapitoly Všeobecná pokladničná správa </w:t>
      </w:r>
      <w:r>
        <w:rPr>
          <w:rFonts w:ascii="Times New Roman" w:hAnsi="Times New Roman" w:cs="Times New Roman"/>
        </w:rPr>
        <w:t xml:space="preserve">je </w:t>
      </w:r>
      <w:r w:rsidRPr="0091758C">
        <w:rPr>
          <w:rFonts w:ascii="Times New Roman" w:hAnsi="Times New Roman" w:cs="Times New Roman"/>
        </w:rPr>
        <w:t>vytvorená aj rezerva na zhoršenie daňových a nedaňových príjmov v sume 1</w:t>
      </w:r>
      <w:r>
        <w:rPr>
          <w:rFonts w:ascii="Times New Roman" w:hAnsi="Times New Roman" w:cs="Times New Roman"/>
        </w:rPr>
        <w:t>4</w:t>
      </w:r>
      <w:r w:rsidRPr="0091758C">
        <w:rPr>
          <w:rFonts w:ascii="Times New Roman" w:hAnsi="Times New Roman" w:cs="Times New Roman"/>
        </w:rPr>
        <w:t xml:space="preserve">0 mil. eur. </w:t>
      </w:r>
    </w:p>
    <w:p w:rsidR="00DB0C97" w:rsidRPr="003E2A82" w:rsidRDefault="00DB0C97" w:rsidP="00DB0C97">
      <w:pPr>
        <w:ind w:firstLine="708"/>
        <w:jc w:val="both"/>
        <w:rPr>
          <w:rFonts w:ascii="Times New Roman" w:hAnsi="Times New Roman" w:cs="Times New Roman"/>
        </w:rPr>
      </w:pPr>
    </w:p>
    <w:p w:rsidR="00DB0C97" w:rsidRPr="0013757F" w:rsidRDefault="00DB0C97" w:rsidP="00DB0C97">
      <w:pPr>
        <w:ind w:firstLine="708"/>
        <w:contextualSpacing/>
        <w:jc w:val="both"/>
        <w:rPr>
          <w:rFonts w:ascii="Times New Roman" w:hAnsi="Times New Roman" w:cs="Times New Roman"/>
          <w:lang w:eastAsia="sk-SK"/>
        </w:rPr>
      </w:pPr>
      <w:r w:rsidRPr="0013757F">
        <w:rPr>
          <w:rFonts w:ascii="Times New Roman" w:hAnsi="Times New Roman" w:cs="Times New Roman"/>
          <w:lang w:eastAsia="sk-SK"/>
        </w:rPr>
        <w:t>Návrh rozpočtu verejnej správy na roky 201</w:t>
      </w:r>
      <w:r>
        <w:rPr>
          <w:rFonts w:ascii="Times New Roman" w:hAnsi="Times New Roman" w:cs="Times New Roman"/>
          <w:lang w:eastAsia="sk-SK"/>
        </w:rPr>
        <w:t>8</w:t>
      </w:r>
      <w:r w:rsidRPr="0013757F">
        <w:rPr>
          <w:rFonts w:ascii="Times New Roman" w:hAnsi="Times New Roman" w:cs="Times New Roman"/>
          <w:lang w:eastAsia="sk-SK"/>
        </w:rPr>
        <w:t xml:space="preserve"> až 20</w:t>
      </w:r>
      <w:r>
        <w:rPr>
          <w:rFonts w:ascii="Times New Roman" w:hAnsi="Times New Roman" w:cs="Times New Roman"/>
          <w:lang w:eastAsia="sk-SK"/>
        </w:rPr>
        <w:t>20</w:t>
      </w:r>
      <w:r w:rsidRPr="0013757F">
        <w:rPr>
          <w:rFonts w:ascii="Times New Roman" w:hAnsi="Times New Roman" w:cs="Times New Roman"/>
          <w:lang w:eastAsia="sk-SK"/>
        </w:rPr>
        <w:t xml:space="preserve"> </w:t>
      </w:r>
      <w:r>
        <w:rPr>
          <w:rFonts w:ascii="Times New Roman" w:hAnsi="Times New Roman" w:cs="Times New Roman"/>
          <w:lang w:eastAsia="sk-SK"/>
        </w:rPr>
        <w:t>rešpektuje</w:t>
      </w:r>
      <w:r w:rsidRPr="0013757F">
        <w:rPr>
          <w:rFonts w:ascii="Times New Roman" w:hAnsi="Times New Roman" w:cs="Times New Roman"/>
          <w:lang w:eastAsia="sk-SK"/>
        </w:rPr>
        <w:t xml:space="preserve"> pl</w:t>
      </w:r>
      <w:r>
        <w:rPr>
          <w:rFonts w:ascii="Times New Roman" w:hAnsi="Times New Roman" w:cs="Times New Roman"/>
          <w:lang w:eastAsia="sk-SK"/>
        </w:rPr>
        <w:t>atnú</w:t>
      </w:r>
      <w:r w:rsidRPr="0013757F">
        <w:rPr>
          <w:rFonts w:ascii="Times New Roman" w:hAnsi="Times New Roman" w:cs="Times New Roman"/>
          <w:lang w:eastAsia="sk-SK"/>
        </w:rPr>
        <w:t xml:space="preserve"> legislatív</w:t>
      </w:r>
      <w:r>
        <w:rPr>
          <w:rFonts w:ascii="Times New Roman" w:hAnsi="Times New Roman" w:cs="Times New Roman"/>
          <w:lang w:eastAsia="sk-SK"/>
        </w:rPr>
        <w:t>u</w:t>
      </w:r>
      <w:r w:rsidRPr="0013757F">
        <w:rPr>
          <w:rFonts w:ascii="Times New Roman" w:hAnsi="Times New Roman" w:cs="Times New Roman"/>
          <w:lang w:eastAsia="sk-SK"/>
        </w:rPr>
        <w:t xml:space="preserve"> </w:t>
      </w:r>
      <w:r>
        <w:rPr>
          <w:rFonts w:ascii="Times New Roman" w:hAnsi="Times New Roman" w:cs="Times New Roman"/>
          <w:lang w:eastAsia="sk-SK"/>
        </w:rPr>
        <w:t xml:space="preserve">a je </w:t>
      </w:r>
      <w:r w:rsidRPr="0013757F">
        <w:rPr>
          <w:rFonts w:ascii="Times New Roman" w:hAnsi="Times New Roman" w:cs="Times New Roman"/>
          <w:lang w:eastAsia="sk-SK"/>
        </w:rPr>
        <w:t>v súlade so zákonmi Slovenskej republiky.</w:t>
      </w:r>
    </w:p>
    <w:p w:rsidR="00DB0C97" w:rsidRPr="0013757F" w:rsidRDefault="00DB0C97" w:rsidP="00DB0C97">
      <w:pPr>
        <w:contextualSpacing/>
        <w:jc w:val="both"/>
        <w:rPr>
          <w:rFonts w:ascii="Times New Roman" w:hAnsi="Times New Roman" w:cs="Times New Roman"/>
          <w:lang w:eastAsia="sk-SK"/>
        </w:rPr>
      </w:pPr>
      <w:r>
        <w:rPr>
          <w:rFonts w:ascii="Times New Roman" w:hAnsi="Times New Roman" w:cs="Times New Roman"/>
          <w:lang w:eastAsia="sk-SK"/>
        </w:rPr>
        <w:t xml:space="preserve"> </w:t>
      </w:r>
    </w:p>
    <w:p w:rsidR="00DB0C97" w:rsidRPr="0013757F" w:rsidRDefault="00DB0C97" w:rsidP="00DB0C97">
      <w:pPr>
        <w:ind w:firstLine="708"/>
        <w:contextualSpacing/>
        <w:jc w:val="both"/>
        <w:rPr>
          <w:rFonts w:ascii="Times New Roman" w:hAnsi="Times New Roman" w:cs="Times New Roman"/>
          <w:lang w:eastAsia="sk-SK"/>
        </w:rPr>
      </w:pPr>
      <w:r>
        <w:rPr>
          <w:rFonts w:ascii="Times New Roman" w:hAnsi="Times New Roman" w:cs="Times New Roman"/>
          <w:lang w:eastAsia="sk-SK"/>
        </w:rPr>
        <w:t>V súlade s § 14 ods. 3 zákona č. 523/2004 Z. z. o rozpočtových pravidlách verejnej správy a o zmene a doplnení niektorých zákonov</w:t>
      </w:r>
      <w:r w:rsidRPr="0013757F">
        <w:rPr>
          <w:rFonts w:ascii="Times New Roman" w:hAnsi="Times New Roman" w:cs="Times New Roman"/>
          <w:lang w:eastAsia="sk-SK"/>
        </w:rPr>
        <w:t xml:space="preserve"> </w:t>
      </w:r>
      <w:r>
        <w:rPr>
          <w:rFonts w:ascii="Times New Roman" w:hAnsi="Times New Roman" w:cs="Times New Roman"/>
          <w:lang w:eastAsia="sk-SK"/>
        </w:rPr>
        <w:t>m</w:t>
      </w:r>
      <w:r w:rsidRPr="0013757F">
        <w:rPr>
          <w:rFonts w:ascii="Times New Roman" w:hAnsi="Times New Roman" w:cs="Times New Roman"/>
          <w:lang w:eastAsia="sk-SK"/>
        </w:rPr>
        <w:t>ateriál nebol predmetom medzirezortného pripomienkového konania</w:t>
      </w:r>
      <w:r>
        <w:rPr>
          <w:rFonts w:ascii="Times New Roman" w:hAnsi="Times New Roman" w:cs="Times New Roman"/>
          <w:lang w:eastAsia="sk-SK"/>
        </w:rPr>
        <w:t xml:space="preserve"> a na predložený návrh rozpočtu sa nevzťahuje Jednotná metodika na posudzovanie vybraných vplyvov. </w:t>
      </w:r>
    </w:p>
    <w:p w:rsidR="00DB0C97" w:rsidRDefault="00DB0C97" w:rsidP="00DB0C97">
      <w:pPr>
        <w:autoSpaceDE w:val="0"/>
        <w:autoSpaceDN w:val="0"/>
        <w:jc w:val="both"/>
        <w:rPr>
          <w:rFonts w:ascii="Times New Roman" w:hAnsi="Times New Roman"/>
        </w:rPr>
      </w:pPr>
    </w:p>
    <w:p w:rsidR="00DB0C97" w:rsidRDefault="00DB0C97" w:rsidP="00DB0C97"/>
    <w:p w:rsidR="00075B17" w:rsidRDefault="00075B17" w:rsidP="00075B17">
      <w:pPr>
        <w:autoSpaceDE w:val="0"/>
        <w:autoSpaceDN w:val="0"/>
        <w:jc w:val="both"/>
        <w:rPr>
          <w:rFonts w:ascii="Times New Roman" w:hAnsi="Times New Roman"/>
        </w:rPr>
      </w:pPr>
    </w:p>
    <w:p w:rsidR="009769EF" w:rsidRDefault="009769EF" w:rsidP="00075B17">
      <w:pPr>
        <w:autoSpaceDE w:val="0"/>
        <w:autoSpaceDN w:val="0"/>
        <w:jc w:val="both"/>
        <w:rPr>
          <w:rFonts w:ascii="Times New Roman" w:hAnsi="Times New Roman"/>
        </w:rPr>
      </w:pPr>
    </w:p>
    <w:p w:rsidR="009769EF" w:rsidRDefault="009769EF" w:rsidP="00075B17">
      <w:pPr>
        <w:autoSpaceDE w:val="0"/>
        <w:autoSpaceDN w:val="0"/>
        <w:jc w:val="both"/>
        <w:rPr>
          <w:rFonts w:ascii="Times New Roman" w:hAnsi="Times New Roman"/>
        </w:rPr>
      </w:pPr>
    </w:p>
    <w:p w:rsidR="009769EF" w:rsidRDefault="009769EF" w:rsidP="00075B17">
      <w:pPr>
        <w:autoSpaceDE w:val="0"/>
        <w:autoSpaceDN w:val="0"/>
        <w:jc w:val="both"/>
        <w:rPr>
          <w:rFonts w:ascii="Times New Roman" w:hAnsi="Times New Roman"/>
        </w:rPr>
      </w:pPr>
    </w:p>
    <w:p w:rsidR="00DB0C97" w:rsidRDefault="00DB0C97" w:rsidP="00075B17">
      <w:pPr>
        <w:autoSpaceDE w:val="0"/>
        <w:autoSpaceDN w:val="0"/>
        <w:jc w:val="both"/>
        <w:rPr>
          <w:rFonts w:ascii="Times New Roman" w:hAnsi="Times New Roman"/>
        </w:rPr>
      </w:pPr>
    </w:p>
    <w:p w:rsidR="00DB0C97" w:rsidRDefault="00DB0C97" w:rsidP="00075B17">
      <w:pPr>
        <w:autoSpaceDE w:val="0"/>
        <w:autoSpaceDN w:val="0"/>
        <w:jc w:val="both"/>
        <w:rPr>
          <w:rFonts w:ascii="Times New Roman" w:hAnsi="Times New Roman"/>
        </w:rPr>
      </w:pPr>
    </w:p>
    <w:p w:rsidR="009769EF" w:rsidRDefault="009769EF" w:rsidP="00075B17">
      <w:pPr>
        <w:autoSpaceDE w:val="0"/>
        <w:autoSpaceDN w:val="0"/>
        <w:jc w:val="both"/>
        <w:rPr>
          <w:rFonts w:ascii="Times New Roman" w:hAnsi="Times New Roman"/>
        </w:rPr>
      </w:pPr>
    </w:p>
    <w:p w:rsidR="00730295" w:rsidRDefault="00730295" w:rsidP="00075B17">
      <w:pPr>
        <w:autoSpaceDE w:val="0"/>
        <w:autoSpaceDN w:val="0"/>
        <w:jc w:val="both"/>
        <w:rPr>
          <w:rFonts w:ascii="Times New Roman" w:hAnsi="Times New Roman"/>
        </w:rPr>
      </w:pPr>
    </w:p>
    <w:p w:rsidR="00730295" w:rsidRDefault="00730295" w:rsidP="00075B17">
      <w:pPr>
        <w:autoSpaceDE w:val="0"/>
        <w:autoSpaceDN w:val="0"/>
        <w:jc w:val="both"/>
        <w:rPr>
          <w:rFonts w:ascii="Times New Roman" w:hAnsi="Times New Roman"/>
        </w:rPr>
      </w:pPr>
    </w:p>
    <w:p w:rsidR="005D1A7E" w:rsidRPr="00C14CF2" w:rsidRDefault="005D1A7E" w:rsidP="0089184B">
      <w:pPr>
        <w:pStyle w:val="Nadpis1"/>
        <w:numPr>
          <w:ilvl w:val="0"/>
          <w:numId w:val="1"/>
        </w:numPr>
        <w:spacing w:before="0" w:after="0"/>
        <w:ind w:left="284" w:hanging="284"/>
        <w:rPr>
          <w:rFonts w:ascii="Times New Roman" w:hAnsi="Times New Roman" w:cs="Times New Roman"/>
          <w:sz w:val="28"/>
          <w:szCs w:val="28"/>
        </w:rPr>
      </w:pPr>
      <w:bookmarkStart w:id="4" w:name="_Toc494463956"/>
      <w:r w:rsidRPr="00C14CF2">
        <w:rPr>
          <w:rFonts w:ascii="Times New Roman" w:hAnsi="Times New Roman" w:cs="Times New Roman"/>
          <w:sz w:val="28"/>
          <w:szCs w:val="28"/>
        </w:rPr>
        <w:lastRenderedPageBreak/>
        <w:t>Makroekonomické predpoklady rozpočtu</w:t>
      </w:r>
      <w:bookmarkEnd w:id="0"/>
      <w:bookmarkEnd w:id="1"/>
      <w:bookmarkEnd w:id="4"/>
      <w:r w:rsidRPr="00C14CF2">
        <w:rPr>
          <w:rFonts w:ascii="Times New Roman" w:hAnsi="Times New Roman" w:cs="Times New Roman"/>
          <w:sz w:val="28"/>
          <w:szCs w:val="28"/>
        </w:rPr>
        <w:t xml:space="preserve"> </w:t>
      </w:r>
    </w:p>
    <w:p w:rsidR="005D1A7E" w:rsidRDefault="005D1A7E" w:rsidP="00AC43FC">
      <w:pPr>
        <w:keepNext/>
        <w:keepLines/>
        <w:widowControl w:val="0"/>
        <w:jc w:val="both"/>
        <w:rPr>
          <w:rFonts w:ascii="Times New Roman" w:hAnsi="Times New Roman" w:cs="Times New Roman"/>
          <w:color w:val="0070C0"/>
          <w:szCs w:val="28"/>
          <w:highlight w:val="yellow"/>
        </w:rPr>
      </w:pPr>
    </w:p>
    <w:p w:rsidR="009769EF" w:rsidRDefault="009769EF" w:rsidP="009769EF">
      <w:pPr>
        <w:ind w:firstLine="708"/>
        <w:jc w:val="both"/>
        <w:rPr>
          <w:rFonts w:ascii="Times New Roman" w:hAnsi="Times New Roman" w:cs="Times New Roman"/>
        </w:rPr>
      </w:pPr>
      <w:r w:rsidRPr="004D5FFF">
        <w:rPr>
          <w:rFonts w:ascii="Times New Roman" w:hAnsi="Times New Roman" w:cs="Times New Roman"/>
        </w:rPr>
        <w:t>V roku 2018 porastie slovenská ekonomika o 4,2</w:t>
      </w:r>
      <w:r w:rsidR="004F615D">
        <w:rPr>
          <w:rFonts w:ascii="Times New Roman" w:hAnsi="Times New Roman" w:cs="Times New Roman"/>
        </w:rPr>
        <w:t xml:space="preserve"> </w:t>
      </w:r>
      <w:r w:rsidRPr="004D5FFF">
        <w:rPr>
          <w:rFonts w:ascii="Times New Roman" w:hAnsi="Times New Roman" w:cs="Times New Roman"/>
        </w:rPr>
        <w:t>%. Za zrýchlením rastu oproti predchádzajúcemu roku stojí predovšetkým plánované spustenie výroby v automobilových závodoch a s ním spojený rast exportu. Štruktúra ekonomického rastu bude vyváženejšia ako v roku 2017.</w:t>
      </w:r>
      <w:r>
        <w:rPr>
          <w:rFonts w:ascii="Times New Roman" w:hAnsi="Times New Roman" w:cs="Times New Roman"/>
        </w:rPr>
        <w:t xml:space="preserve"> </w:t>
      </w:r>
    </w:p>
    <w:p w:rsidR="009769EF" w:rsidRDefault="009769EF" w:rsidP="009769EF">
      <w:pPr>
        <w:ind w:firstLine="708"/>
        <w:jc w:val="both"/>
        <w:rPr>
          <w:rFonts w:ascii="Times New Roman" w:hAnsi="Times New Roman" w:cs="Times New Roman"/>
        </w:rPr>
      </w:pPr>
    </w:p>
    <w:p w:rsidR="009769EF" w:rsidRDefault="009769EF" w:rsidP="009769EF">
      <w:pPr>
        <w:ind w:firstLine="708"/>
        <w:jc w:val="both"/>
        <w:rPr>
          <w:rFonts w:ascii="Times New Roman" w:hAnsi="Times New Roman" w:cs="Times New Roman"/>
        </w:rPr>
      </w:pPr>
      <w:r w:rsidRPr="004D5FFF">
        <w:rPr>
          <w:rFonts w:ascii="Times New Roman" w:hAnsi="Times New Roman" w:cs="Times New Roman"/>
        </w:rPr>
        <w:t xml:space="preserve">Centrálne banky dvoch najväčších ekonomík stoja pred dilemou, keďže plánované uťahovanie menových politík naráža na anemický vývoj inflácie. Pôvodne plánované koncoročné zvýšenie sadzby americkou centrálnou bankou FED trhy očakávajú až v prvej polovici roka 2018. Uťahovanie menovej politiky má byť však koncom roka 2017 čiastočne suplované uvoľňovaním aktív zo súvahy </w:t>
      </w:r>
      <w:proofErr w:type="spellStart"/>
      <w:r w:rsidRPr="004D5FFF">
        <w:rPr>
          <w:rFonts w:ascii="Times New Roman" w:hAnsi="Times New Roman" w:cs="Times New Roman"/>
        </w:rPr>
        <w:t>FEDu</w:t>
      </w:r>
      <w:proofErr w:type="spellEnd"/>
      <w:r w:rsidRPr="004D5FFF">
        <w:rPr>
          <w:rFonts w:ascii="Times New Roman" w:hAnsi="Times New Roman" w:cs="Times New Roman"/>
        </w:rPr>
        <w:t xml:space="preserve">. Európska centrálna banka (ECB) čelí rastúcej </w:t>
      </w:r>
      <w:proofErr w:type="spellStart"/>
      <w:r w:rsidRPr="004D5FFF">
        <w:rPr>
          <w:rFonts w:ascii="Times New Roman" w:hAnsi="Times New Roman" w:cs="Times New Roman"/>
        </w:rPr>
        <w:t>apreciácii</w:t>
      </w:r>
      <w:proofErr w:type="spellEnd"/>
      <w:r w:rsidRPr="004D5FFF">
        <w:rPr>
          <w:rFonts w:ascii="Times New Roman" w:hAnsi="Times New Roman" w:cs="Times New Roman"/>
        </w:rPr>
        <w:t xml:space="preserve"> kurzu eura  predstavujúcej nový prvok neistoty v inflačných prognózach. Na poslednom zasadnutí ECB neuvažovala o zmene parametrov kvantitatívneho uvoľňovania minimálne do konca roka 2017. V dôsledku pomalého rastu inflácie trhy však neočakávajú zvyšovanie sadzieb ECB ani v roku 2018.</w:t>
      </w:r>
    </w:p>
    <w:p w:rsidR="009769EF" w:rsidRDefault="009769EF" w:rsidP="009769EF">
      <w:pPr>
        <w:ind w:firstLine="708"/>
        <w:jc w:val="both"/>
        <w:rPr>
          <w:rFonts w:ascii="Times New Roman" w:hAnsi="Times New Roman" w:cs="Times New Roman"/>
        </w:rPr>
      </w:pPr>
    </w:p>
    <w:p w:rsidR="009769EF" w:rsidRDefault="009769EF" w:rsidP="009769EF">
      <w:pPr>
        <w:ind w:firstLine="708"/>
        <w:jc w:val="both"/>
        <w:rPr>
          <w:rFonts w:ascii="Times New Roman" w:hAnsi="Times New Roman" w:cs="Times New Roman"/>
        </w:rPr>
      </w:pPr>
      <w:r w:rsidRPr="004D5FFF">
        <w:rPr>
          <w:rFonts w:ascii="Times New Roman" w:hAnsi="Times New Roman" w:cs="Times New Roman"/>
        </w:rPr>
        <w:t>Udalosťou na svetových trhoch je prudké posilnenie eura voči hlavným svetovým menám. Hlavným dôvodom je zlepšenie ekonomického výhľadu v eurozóne. Britská</w:t>
      </w:r>
      <w:r w:rsidR="004F615D">
        <w:rPr>
          <w:rFonts w:ascii="Times New Roman" w:hAnsi="Times New Roman" w:cs="Times New Roman"/>
        </w:rPr>
        <w:t xml:space="preserve"> libra naopak oslabila v reakcii</w:t>
      </w:r>
      <w:r w:rsidRPr="004D5FFF">
        <w:rPr>
          <w:rFonts w:ascii="Times New Roman" w:hAnsi="Times New Roman" w:cs="Times New Roman"/>
        </w:rPr>
        <w:t xml:space="preserve"> na slabý výkon ekonomiky a voči euru sa ocitla </w:t>
      </w:r>
      <w:r w:rsidR="004F615D">
        <w:rPr>
          <w:rFonts w:ascii="Times New Roman" w:hAnsi="Times New Roman" w:cs="Times New Roman"/>
        </w:rPr>
        <w:t xml:space="preserve">na </w:t>
      </w:r>
      <w:r w:rsidRPr="004D5FFF">
        <w:rPr>
          <w:rFonts w:ascii="Times New Roman" w:hAnsi="Times New Roman" w:cs="Times New Roman"/>
        </w:rPr>
        <w:t>minime od roku 2009</w:t>
      </w:r>
      <w:r>
        <w:rPr>
          <w:rFonts w:ascii="Times New Roman" w:hAnsi="Times New Roman" w:cs="Times New Roman"/>
        </w:rPr>
        <w:t xml:space="preserve">. </w:t>
      </w:r>
      <w:r w:rsidRPr="004D5FFF">
        <w:rPr>
          <w:rFonts w:ascii="Times New Roman" w:hAnsi="Times New Roman" w:cs="Times New Roman"/>
        </w:rPr>
        <w:t xml:space="preserve">Očakávaná rekordná produkcia ropy v USA stlačí jej ceny ku hranici 50 USD/b. Silná produkcia tak neutralizuje pozitívny tlak na ceny vyvolaný očakávaniami  solídneho rastu svetového dopytu a júlového predĺženia dohody krajín </w:t>
      </w:r>
      <w:proofErr w:type="spellStart"/>
      <w:r w:rsidRPr="004D5FFF">
        <w:rPr>
          <w:rFonts w:ascii="Times New Roman" w:hAnsi="Times New Roman" w:cs="Times New Roman"/>
        </w:rPr>
        <w:t>OPECu</w:t>
      </w:r>
      <w:proofErr w:type="spellEnd"/>
      <w:r w:rsidRPr="004D5FFF">
        <w:rPr>
          <w:rFonts w:ascii="Times New Roman" w:hAnsi="Times New Roman" w:cs="Times New Roman"/>
        </w:rPr>
        <w:t xml:space="preserve"> o obmedzení produkcie o ďalších 9 mesiacov. Výsledkom je stabilný vývoj cien ropy okolo 50 USD/b.</w:t>
      </w:r>
    </w:p>
    <w:p w:rsidR="009769EF" w:rsidRPr="00361D46" w:rsidRDefault="009769EF" w:rsidP="009769EF">
      <w:pPr>
        <w:ind w:firstLine="708"/>
        <w:jc w:val="both"/>
        <w:rPr>
          <w:rFonts w:ascii="Times New Roman" w:hAnsi="Times New Roman" w:cs="Times New Roman"/>
        </w:rPr>
      </w:pPr>
    </w:p>
    <w:p w:rsidR="009769EF" w:rsidRDefault="009769EF" w:rsidP="009769EF">
      <w:pPr>
        <w:ind w:firstLine="708"/>
        <w:jc w:val="both"/>
        <w:rPr>
          <w:rFonts w:ascii="Times New Roman" w:hAnsi="Times New Roman" w:cs="Times New Roman"/>
        </w:rPr>
      </w:pPr>
      <w:r w:rsidRPr="004D5FFF">
        <w:rPr>
          <w:rFonts w:ascii="Times New Roman" w:hAnsi="Times New Roman" w:cs="Times New Roman"/>
        </w:rPr>
        <w:t>Dynamika rastu globálnej ekonomiky nepoľavuje. K zrýchleniu v eurozóne prispieva väčšina veľkých ekonomík a zotavenie naďalej prebieha rovnomerne naprieč sektormi. Americká ekonomika sa v druhom kvartáli vzchopila po zaváhaní v úvode roka. Čína ťaží zo zotavenia globálneho dopytu a Rusko pokračuje v pozitívnej rastovej trajektórii.</w:t>
      </w:r>
    </w:p>
    <w:p w:rsidR="009769EF" w:rsidRPr="004D5FFF" w:rsidRDefault="009769EF" w:rsidP="009769EF">
      <w:pPr>
        <w:ind w:firstLine="708"/>
        <w:jc w:val="both"/>
        <w:rPr>
          <w:rFonts w:ascii="Times New Roman" w:hAnsi="Times New Roman" w:cs="Times New Roman"/>
        </w:rPr>
      </w:pPr>
    </w:p>
    <w:p w:rsidR="009769EF" w:rsidRDefault="009769EF" w:rsidP="009769EF">
      <w:pPr>
        <w:ind w:firstLine="708"/>
        <w:jc w:val="both"/>
        <w:rPr>
          <w:rFonts w:ascii="Times New Roman" w:hAnsi="Times New Roman" w:cs="Times New Roman"/>
        </w:rPr>
      </w:pPr>
      <w:r w:rsidRPr="004D5FFF">
        <w:rPr>
          <w:rFonts w:ascii="Times New Roman" w:hAnsi="Times New Roman" w:cs="Times New Roman"/>
        </w:rPr>
        <w:t xml:space="preserve">Oživenie ekonomiky eurozóny je podporené zdravými fundamentami vo všetkých sektoroch. Pohľad do štruktúry ekonomiky v úvode roka ukázal, že rast okrem  domácej spotreby potiahol aj  zahraničný dopyt. Široká báza rastu sa opiera o silný trh práce, ekonomický optimizmus spotrebiteľov a firiem v domácom prostredí, ale aj o zintenzívnenie globálnej ekonomickej aktivity vo svete. </w:t>
      </w:r>
    </w:p>
    <w:p w:rsidR="009769EF" w:rsidRDefault="009769EF" w:rsidP="009769EF">
      <w:pPr>
        <w:ind w:firstLine="708"/>
        <w:jc w:val="both"/>
        <w:rPr>
          <w:rFonts w:ascii="Times New Roman" w:hAnsi="Times New Roman" w:cs="Times New Roman"/>
        </w:rPr>
      </w:pPr>
    </w:p>
    <w:p w:rsidR="009769EF" w:rsidRDefault="009769EF" w:rsidP="009769EF">
      <w:pPr>
        <w:ind w:firstLine="708"/>
        <w:jc w:val="both"/>
        <w:rPr>
          <w:rFonts w:ascii="Times New Roman" w:hAnsi="Times New Roman" w:cs="Times New Roman"/>
        </w:rPr>
      </w:pPr>
      <w:r w:rsidRPr="004D5FFF">
        <w:rPr>
          <w:rFonts w:ascii="Times New Roman" w:hAnsi="Times New Roman" w:cs="Times New Roman"/>
        </w:rPr>
        <w:t xml:space="preserve">Zotavenie prebiehajúce v eurozóne je v kontraste s tohtoročným vývojom vo Veľkej Británii. Pod tlakom je nielen externý sektor v dôsledku očakávaného vplyvu </w:t>
      </w:r>
      <w:proofErr w:type="spellStart"/>
      <w:r w:rsidRPr="004D5FFF">
        <w:rPr>
          <w:rFonts w:ascii="Times New Roman" w:hAnsi="Times New Roman" w:cs="Times New Roman"/>
        </w:rPr>
        <w:t>Brexitu</w:t>
      </w:r>
      <w:proofErr w:type="spellEnd"/>
      <w:r w:rsidRPr="004D5FFF">
        <w:rPr>
          <w:rFonts w:ascii="Times New Roman" w:hAnsi="Times New Roman" w:cs="Times New Roman"/>
        </w:rPr>
        <w:t xml:space="preserve">, ale aj spotreba domácností, ktorú zasiahla nízka spotrebiteľská dôvera. Domáci dopyt slabne aj pod vplyvom vysokej inflácie a stagnujúcich miezd, ktoré znižujú kúpnu silu spotrebiteľov. </w:t>
      </w:r>
    </w:p>
    <w:p w:rsidR="009769EF" w:rsidRDefault="009769EF" w:rsidP="009769EF">
      <w:pPr>
        <w:ind w:firstLine="708"/>
        <w:jc w:val="both"/>
        <w:rPr>
          <w:rFonts w:ascii="Times New Roman" w:hAnsi="Times New Roman" w:cs="Times New Roman"/>
        </w:rPr>
      </w:pPr>
    </w:p>
    <w:p w:rsidR="009769EF" w:rsidRPr="004D5FFF" w:rsidRDefault="009769EF" w:rsidP="009769EF">
      <w:pPr>
        <w:ind w:firstLine="708"/>
        <w:jc w:val="both"/>
        <w:rPr>
          <w:rFonts w:ascii="Times New Roman" w:hAnsi="Times New Roman" w:cs="Times New Roman"/>
        </w:rPr>
      </w:pPr>
      <w:r w:rsidRPr="004D5FFF">
        <w:rPr>
          <w:rFonts w:ascii="Times New Roman" w:hAnsi="Times New Roman" w:cs="Times New Roman"/>
        </w:rPr>
        <w:t xml:space="preserve">Krajiny regiónu V3 zaznamenali veľmi silný rast už druhý kvartál po sebe. Prekvapilo najmä Česko s </w:t>
      </w:r>
      <w:proofErr w:type="spellStart"/>
      <w:r w:rsidRPr="004D5FFF">
        <w:rPr>
          <w:rFonts w:ascii="Times New Roman" w:hAnsi="Times New Roman" w:cs="Times New Roman"/>
        </w:rPr>
        <w:t>medzikvartálnym</w:t>
      </w:r>
      <w:proofErr w:type="spellEnd"/>
      <w:r w:rsidRPr="004D5FFF">
        <w:rPr>
          <w:rFonts w:ascii="Times New Roman" w:hAnsi="Times New Roman" w:cs="Times New Roman"/>
        </w:rPr>
        <w:t xml:space="preserve"> rastom 2,5 </w:t>
      </w:r>
      <w:r w:rsidR="00AD2066">
        <w:rPr>
          <w:rFonts w:ascii="Times New Roman" w:hAnsi="Times New Roman" w:cs="Times New Roman"/>
        </w:rPr>
        <w:t>%</w:t>
      </w:r>
      <w:r w:rsidRPr="004D5FFF">
        <w:rPr>
          <w:rFonts w:ascii="Times New Roman" w:hAnsi="Times New Roman" w:cs="Times New Roman"/>
        </w:rPr>
        <w:t>. V prvej polovici roka rast regiónu V3 ťahal nielen domáci dopyt, ale v prípade Česka a Maďarska priaznivo prispel aj externý sektor.</w:t>
      </w:r>
    </w:p>
    <w:p w:rsidR="009769EF" w:rsidRDefault="009769EF" w:rsidP="009769EF">
      <w:pPr>
        <w:ind w:firstLine="708"/>
        <w:jc w:val="both"/>
        <w:rPr>
          <w:rFonts w:ascii="Times New Roman" w:hAnsi="Times New Roman" w:cs="Times New Roman"/>
        </w:rPr>
      </w:pPr>
    </w:p>
    <w:p w:rsidR="009769EF" w:rsidRDefault="009769EF" w:rsidP="009769EF">
      <w:pPr>
        <w:ind w:firstLine="708"/>
        <w:jc w:val="both"/>
        <w:rPr>
          <w:rFonts w:ascii="Times New Roman" w:hAnsi="Times New Roman" w:cs="Times New Roman"/>
        </w:rPr>
      </w:pPr>
      <w:r w:rsidRPr="004D5FFF">
        <w:rPr>
          <w:rFonts w:ascii="Times New Roman" w:hAnsi="Times New Roman" w:cs="Times New Roman"/>
        </w:rPr>
        <w:t xml:space="preserve">Prognóza predpokladá udržanie aktuálneho tempa rastu eurozóny na strednodobom horizonte. Agregát eurozóny bude aj naďalej ťažiť zo stabilného tempa rastu nemeckej ekonomiky a energického tempa rastu španielskej ekonomiky. Do menšej miery ho podporí postupujúce oživenie vo Francúzsku a Taliansku. Rasty V3 sa budú pohybovať  v tomto roku pod hranicou </w:t>
      </w:r>
      <w:r w:rsidR="00AD2066">
        <w:rPr>
          <w:rFonts w:ascii="Times New Roman" w:hAnsi="Times New Roman" w:cs="Times New Roman"/>
        </w:rPr>
        <w:t>4 %</w:t>
      </w:r>
      <w:r w:rsidRPr="004D5FFF">
        <w:rPr>
          <w:rFonts w:ascii="Times New Roman" w:hAnsi="Times New Roman" w:cs="Times New Roman"/>
        </w:rPr>
        <w:t xml:space="preserve"> (a v prípade Česka mierne nad hranicou </w:t>
      </w:r>
      <w:r w:rsidR="00AD2066">
        <w:rPr>
          <w:rFonts w:ascii="Times New Roman" w:hAnsi="Times New Roman" w:cs="Times New Roman"/>
        </w:rPr>
        <w:t>4 %</w:t>
      </w:r>
      <w:r w:rsidRPr="004D5FFF">
        <w:rPr>
          <w:rFonts w:ascii="Times New Roman" w:hAnsi="Times New Roman" w:cs="Times New Roman"/>
        </w:rPr>
        <w:t xml:space="preserve">) a v budúcom roku okolo </w:t>
      </w:r>
      <w:r w:rsidR="00AD2066">
        <w:rPr>
          <w:rFonts w:ascii="Times New Roman" w:hAnsi="Times New Roman" w:cs="Times New Roman"/>
        </w:rPr>
        <w:t>3 %</w:t>
      </w:r>
      <w:r>
        <w:rPr>
          <w:rFonts w:ascii="Times New Roman" w:hAnsi="Times New Roman" w:cs="Times New Roman"/>
        </w:rPr>
        <w:t>.</w:t>
      </w:r>
    </w:p>
    <w:p w:rsidR="009769EF" w:rsidRDefault="009769EF" w:rsidP="009769EF">
      <w:pPr>
        <w:ind w:firstLine="708"/>
        <w:jc w:val="both"/>
        <w:rPr>
          <w:rFonts w:ascii="Times New Roman" w:hAnsi="Times New Roman" w:cs="Times New Roman"/>
        </w:rPr>
      </w:pPr>
      <w:r w:rsidRPr="004D5FFF">
        <w:rPr>
          <w:rFonts w:ascii="Times New Roman" w:hAnsi="Times New Roman" w:cs="Times New Roman"/>
        </w:rPr>
        <w:lastRenderedPageBreak/>
        <w:t>Ekonomika Slovenska vzrastie v</w:t>
      </w:r>
      <w:r>
        <w:rPr>
          <w:rFonts w:ascii="Times New Roman" w:hAnsi="Times New Roman" w:cs="Times New Roman"/>
        </w:rPr>
        <w:t xml:space="preserve"> tomto roku </w:t>
      </w:r>
      <w:r w:rsidRPr="004D5FFF">
        <w:rPr>
          <w:rFonts w:ascii="Times New Roman" w:hAnsi="Times New Roman" w:cs="Times New Roman"/>
        </w:rPr>
        <w:t>o 3,3 %. Hlavným ťahúňom bude spotreba domácností, ktorá vďaka zlepšujúcemu sa trhu práce vzrastie najrýchlejším tempom od krízy. Pozitívne očakávania domácnosti spôsobujú, že ich spotreba má prvýkrát po štyroch rokoch vyššiu dynamiku ako disponibilný príjem.</w:t>
      </w:r>
      <w:r w:rsidR="004F615D">
        <w:rPr>
          <w:rFonts w:ascii="Times New Roman" w:hAnsi="Times New Roman" w:cs="Times New Roman"/>
        </w:rPr>
        <w:t xml:space="preserve"> </w:t>
      </w:r>
      <w:r w:rsidRPr="004D5FFF">
        <w:rPr>
          <w:rFonts w:ascii="Times New Roman" w:hAnsi="Times New Roman" w:cs="Times New Roman"/>
        </w:rPr>
        <w:t>Export vzrastie menej ako predpokladajú fundamenty o zahraničnom dopyte, čo je dôsledkom viacerých dočasných faktorov, napr. končiaci sa životný cyklus niektorých modelov áut vyrábaných na Slovensku. Rast investícií je založený hlavne na súkromnom sektore, verejné investície sú tlmené pomalým nábehom čerpania EÚ fondov.</w:t>
      </w:r>
      <w:r>
        <w:rPr>
          <w:rFonts w:ascii="Times New Roman" w:hAnsi="Times New Roman" w:cs="Times New Roman"/>
        </w:rPr>
        <w:t xml:space="preserve"> </w:t>
      </w:r>
      <w:r w:rsidRPr="004D5FFF">
        <w:rPr>
          <w:rFonts w:ascii="Times New Roman" w:hAnsi="Times New Roman" w:cs="Times New Roman"/>
        </w:rPr>
        <w:t>Budúci rok ekonomika zrýchli na 4,2 %. Štruktúra rastu bude stáť na pevných základoch. K robustnému vývoju spotreby domácností sa pridá export ťažiaci z nábehu novej automobilovej výroby vo VW a ku koncu roka aj v JLR. Dynamika investícií bude opäť založená na súkromnom sektore. Kulminácia investície v JLR a rozbeh výstavby bratislavského obchvatu D4/R7 budú kompenzovať výpadok po ukončení masívnej investície VW.</w:t>
      </w:r>
    </w:p>
    <w:p w:rsidR="009769EF" w:rsidRDefault="009769EF" w:rsidP="009769EF">
      <w:pPr>
        <w:ind w:firstLine="708"/>
        <w:jc w:val="both"/>
        <w:rPr>
          <w:rFonts w:ascii="Times New Roman" w:hAnsi="Times New Roman" w:cs="Times New Roman"/>
        </w:rPr>
      </w:pPr>
    </w:p>
    <w:p w:rsidR="009769EF" w:rsidRDefault="009769EF" w:rsidP="009769EF">
      <w:pPr>
        <w:ind w:firstLine="708"/>
        <w:jc w:val="both"/>
        <w:rPr>
          <w:rFonts w:ascii="Times New Roman" w:hAnsi="Times New Roman"/>
        </w:rPr>
      </w:pPr>
      <w:r>
        <w:rPr>
          <w:rFonts w:ascii="Times New Roman" w:hAnsi="Times New Roman"/>
        </w:rPr>
        <w:t xml:space="preserve">Rast zamestnanosti v roku 2018 </w:t>
      </w:r>
      <w:r w:rsidR="00D829BE">
        <w:rPr>
          <w:rFonts w:ascii="Times New Roman" w:hAnsi="Times New Roman"/>
        </w:rPr>
        <w:t>dosiahne</w:t>
      </w:r>
      <w:r>
        <w:rPr>
          <w:rFonts w:ascii="Times New Roman" w:hAnsi="Times New Roman"/>
        </w:rPr>
        <w:t xml:space="preserve"> úroveň 1,4 %. Nové pracovné miesta budú nasýtené nielen domácimi nezamestnanými, ale posilnia sa aj trendy príchodu zahraničných pracovníkov a návratu Slovákov zo zahraničia. Pracovné miesta budú vznikať rovnomerne vo všetkých sektoroch ekonomiky, predovšetkým však v priemysle a v službách. Miera nezamestnanosti vďaka tomu klesne na úroveň 7,3 %.</w:t>
      </w:r>
    </w:p>
    <w:p w:rsidR="009769EF" w:rsidRPr="004E50F2" w:rsidRDefault="009769EF" w:rsidP="009769EF">
      <w:pPr>
        <w:ind w:firstLine="708"/>
        <w:jc w:val="both"/>
        <w:rPr>
          <w:rFonts w:ascii="Times New Roman" w:hAnsi="Times New Roman" w:cs="Times New Roman"/>
        </w:rPr>
      </w:pPr>
    </w:p>
    <w:p w:rsidR="009769EF" w:rsidRDefault="009769EF" w:rsidP="009769EF">
      <w:pPr>
        <w:ind w:firstLine="708"/>
        <w:jc w:val="both"/>
        <w:rPr>
          <w:rFonts w:ascii="Times New Roman" w:hAnsi="Times New Roman" w:cs="Times New Roman"/>
          <w:sz w:val="22"/>
          <w:szCs w:val="22"/>
          <w:lang w:eastAsia="en-US"/>
        </w:rPr>
      </w:pPr>
      <w:r>
        <w:rPr>
          <w:rFonts w:ascii="Times New Roman" w:hAnsi="Times New Roman"/>
        </w:rPr>
        <w:t>Nominálna mzda v roku 2018 bude rásť tempom 4,6 %, čo predstavuje zrýchlenie oproti predchádzajúcemu roku. Dôvodom je vyššia inflácia a rýchlejší rast produktivity. Rast reálnej mzdy sa zrýchli na 2,9 %, v súlade s rastom produktivity práce. Nožnice medzi rastom mzdy v trhových službách a v ostatných odvetviach sa uzavrú.</w:t>
      </w:r>
    </w:p>
    <w:p w:rsidR="009769EF" w:rsidRPr="000E2D81" w:rsidRDefault="009769EF" w:rsidP="009769EF">
      <w:pPr>
        <w:ind w:firstLine="708"/>
        <w:jc w:val="both"/>
        <w:rPr>
          <w:rFonts w:ascii="Times New Roman" w:hAnsi="Times New Roman" w:cs="Times New Roman"/>
        </w:rPr>
      </w:pPr>
    </w:p>
    <w:p w:rsidR="009769EF" w:rsidRDefault="009769EF" w:rsidP="009769EF">
      <w:pPr>
        <w:ind w:firstLine="708"/>
        <w:jc w:val="both"/>
        <w:rPr>
          <w:rFonts w:ascii="Times New Roman" w:hAnsi="Times New Roman" w:cs="Times New Roman"/>
          <w:highlight w:val="yellow"/>
        </w:rPr>
      </w:pPr>
      <w:r>
        <w:rPr>
          <w:rFonts w:ascii="Times New Roman" w:hAnsi="Times New Roman" w:cs="Times New Roman"/>
        </w:rPr>
        <w:t xml:space="preserve">V  roku 2017 sa inflačný vývoj otočil a ceny začali opäť rásť. Na celý rok sa očakáva rast o 1,3 %. V nasledujúcom roku by mala inflácia ešte zrýchliť na 1,7 % pod vplyvom dopytových tlakov. Ceny porastú naprieč ekonomikou, najviac však zrýchlia ceny trhových služieb. Na základe </w:t>
      </w:r>
      <w:r w:rsidRPr="00555AD4">
        <w:rPr>
          <w:rFonts w:ascii="Times New Roman" w:hAnsi="Times New Roman" w:cs="Times New Roman"/>
        </w:rPr>
        <w:t>rastu cien energetických komodít na svetových trhoch</w:t>
      </w:r>
      <w:r w:rsidRPr="00DD3AFA">
        <w:rPr>
          <w:rFonts w:ascii="Times New Roman" w:hAnsi="Times New Roman" w:cs="Times New Roman"/>
        </w:rPr>
        <w:t xml:space="preserve"> </w:t>
      </w:r>
      <w:r w:rsidRPr="00555AD4">
        <w:rPr>
          <w:rFonts w:ascii="Times New Roman" w:hAnsi="Times New Roman" w:cs="Times New Roman"/>
        </w:rPr>
        <w:t>očakávame aj zvýšenie regulovaných cien energií v budúcom roku</w:t>
      </w:r>
      <w:r>
        <w:rPr>
          <w:rFonts w:ascii="Times New Roman" w:hAnsi="Times New Roman" w:cs="Times New Roman"/>
        </w:rPr>
        <w:t>.</w:t>
      </w:r>
      <w:r w:rsidRPr="00A4379A">
        <w:rPr>
          <w:rFonts w:ascii="Times New Roman" w:hAnsi="Times New Roman" w:cs="Times New Roman"/>
          <w:highlight w:val="yellow"/>
        </w:rPr>
        <w:t xml:space="preserve"> </w:t>
      </w:r>
    </w:p>
    <w:p w:rsidR="008F4B35" w:rsidRPr="00A4379A" w:rsidRDefault="008F4B35" w:rsidP="009769EF">
      <w:pPr>
        <w:ind w:firstLine="708"/>
        <w:jc w:val="both"/>
        <w:rPr>
          <w:rFonts w:ascii="Times New Roman" w:hAnsi="Times New Roman" w:cs="Times New Roman"/>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7"/>
        <w:gridCol w:w="785"/>
        <w:gridCol w:w="785"/>
        <w:gridCol w:w="732"/>
        <w:gridCol w:w="710"/>
        <w:gridCol w:w="732"/>
        <w:gridCol w:w="741"/>
      </w:tblGrid>
      <w:tr w:rsidR="008F4B35" w:rsidRPr="008F4B35" w:rsidTr="00115151">
        <w:trPr>
          <w:trHeight w:val="22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F4B35" w:rsidRPr="008F4B35" w:rsidRDefault="008F4B35" w:rsidP="00115151">
            <w:pPr>
              <w:rPr>
                <w:rFonts w:ascii="Times New Roman" w:hAnsi="Times New Roman" w:cs="Times New Roman"/>
                <w:b/>
                <w:bCs/>
                <w:sz w:val="14"/>
                <w:szCs w:val="14"/>
                <w:lang w:eastAsia="sk-SK"/>
              </w:rPr>
            </w:pPr>
            <w:r w:rsidRPr="008F4B35">
              <w:rPr>
                <w:rFonts w:ascii="Times New Roman" w:hAnsi="Times New Roman" w:cs="Times New Roman"/>
                <w:b/>
                <w:color w:val="000000"/>
                <w:sz w:val="14"/>
                <w:szCs w:val="14"/>
              </w:rPr>
              <w:t>Prognóza vybraných ukazovateľov ekonomiky (september 2017)</w:t>
            </w:r>
          </w:p>
        </w:tc>
      </w:tr>
      <w:tr w:rsidR="008F4B35" w:rsidRPr="008F4B35" w:rsidTr="00115151">
        <w:trPr>
          <w:trHeight w:val="227"/>
          <w:jc w:val="center"/>
        </w:trPr>
        <w:tc>
          <w:tcPr>
            <w:tcW w:w="2525"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F4B35" w:rsidRPr="008F4B35" w:rsidRDefault="008F4B35" w:rsidP="00115151">
            <w:pPr>
              <w:jc w:val="cente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 xml:space="preserve">Ukazovateľ </w:t>
            </w:r>
            <w:r w:rsidRPr="008F4B35">
              <w:rPr>
                <w:rFonts w:ascii="Times New Roman" w:hAnsi="Times New Roman" w:cs="Times New Roman"/>
                <w:b/>
                <w:sz w:val="14"/>
                <w:szCs w:val="14"/>
                <w:lang w:eastAsia="sk-SK"/>
              </w:rPr>
              <w:t>(rast v % ak nie je uvedené inak)</w:t>
            </w:r>
          </w:p>
        </w:tc>
        <w:tc>
          <w:tcPr>
            <w:tcW w:w="866" w:type="pct"/>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8F4B35" w:rsidRPr="008F4B35" w:rsidRDefault="008F4B35" w:rsidP="00115151">
            <w:pPr>
              <w:jc w:val="cente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Skutočnosť</w:t>
            </w:r>
          </w:p>
        </w:tc>
        <w:tc>
          <w:tcPr>
            <w:tcW w:w="1608"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F4B35" w:rsidRPr="008F4B35" w:rsidRDefault="008F4B35" w:rsidP="00115151">
            <w:pPr>
              <w:jc w:val="cente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Prognóza</w:t>
            </w:r>
          </w:p>
        </w:tc>
      </w:tr>
      <w:tr w:rsidR="008F4B35" w:rsidRPr="008F4B35" w:rsidTr="00115151">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B35" w:rsidRPr="008F4B35" w:rsidRDefault="008F4B35" w:rsidP="00115151">
            <w:pPr>
              <w:rPr>
                <w:rFonts w:ascii="Times New Roman" w:hAnsi="Times New Roman" w:cs="Times New Roman"/>
                <w:b/>
                <w:bCs/>
                <w:sz w:val="14"/>
                <w:szCs w:val="14"/>
                <w:lang w:eastAsia="sk-SK"/>
              </w:rPr>
            </w:pPr>
          </w:p>
        </w:tc>
        <w:tc>
          <w:tcPr>
            <w:tcW w:w="433"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8F4B35" w:rsidRPr="008F4B35" w:rsidRDefault="008F4B35" w:rsidP="00115151">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2015</w:t>
            </w:r>
          </w:p>
        </w:tc>
        <w:tc>
          <w:tcPr>
            <w:tcW w:w="433" w:type="pct"/>
            <w:tcBorders>
              <w:top w:val="single" w:sz="4" w:space="0" w:color="auto"/>
              <w:left w:val="single" w:sz="4" w:space="0" w:color="auto"/>
              <w:bottom w:val="single" w:sz="4" w:space="0" w:color="auto"/>
              <w:right w:val="single" w:sz="4" w:space="0" w:color="auto"/>
            </w:tcBorders>
            <w:shd w:val="clear" w:color="auto" w:fill="BFBFBF"/>
            <w:vAlign w:val="center"/>
          </w:tcPr>
          <w:p w:rsidR="008F4B35" w:rsidRPr="008F4B35" w:rsidRDefault="008F4B35" w:rsidP="00115151">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2016</w:t>
            </w:r>
          </w:p>
        </w:tc>
        <w:tc>
          <w:tcPr>
            <w:tcW w:w="404"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F4B35" w:rsidRPr="008F4B35" w:rsidRDefault="008F4B35" w:rsidP="00115151">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2017</w:t>
            </w:r>
          </w:p>
        </w:tc>
        <w:tc>
          <w:tcPr>
            <w:tcW w:w="392"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F4B35" w:rsidRPr="008F4B35" w:rsidRDefault="008F4B35" w:rsidP="00115151">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2018</w:t>
            </w:r>
          </w:p>
        </w:tc>
        <w:tc>
          <w:tcPr>
            <w:tcW w:w="404"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F4B35" w:rsidRPr="008F4B35" w:rsidRDefault="008F4B35" w:rsidP="00115151">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2019</w:t>
            </w:r>
          </w:p>
        </w:tc>
        <w:tc>
          <w:tcPr>
            <w:tcW w:w="409"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F4B35" w:rsidRPr="008F4B35" w:rsidRDefault="008F4B35" w:rsidP="00115151">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2020</w:t>
            </w:r>
          </w:p>
        </w:tc>
      </w:tr>
      <w:tr w:rsidR="008F4B35" w:rsidRPr="008F4B35" w:rsidTr="00115151">
        <w:trPr>
          <w:trHeight w:val="227"/>
          <w:jc w:val="center"/>
        </w:trPr>
        <w:tc>
          <w:tcPr>
            <w:tcW w:w="5000" w:type="pct"/>
            <w:gridSpan w:val="7"/>
            <w:tcBorders>
              <w:top w:val="single" w:sz="4" w:space="0" w:color="auto"/>
              <w:left w:val="single" w:sz="4" w:space="0" w:color="auto"/>
              <w:bottom w:val="single" w:sz="4" w:space="0" w:color="auto"/>
              <w:right w:val="single" w:sz="4" w:space="0" w:color="auto"/>
            </w:tcBorders>
            <w:noWrap/>
            <w:vAlign w:val="center"/>
            <w:hideMark/>
          </w:tcPr>
          <w:p w:rsidR="008F4B35" w:rsidRPr="008F4B35" w:rsidRDefault="008F4B35" w:rsidP="00115151">
            <w:pP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Hrubý domáci produkt</w:t>
            </w:r>
            <w:r w:rsidRPr="008F4B35">
              <w:rPr>
                <w:rFonts w:ascii="Times New Roman" w:hAnsi="Times New Roman" w:cs="Times New Roman"/>
                <w:sz w:val="14"/>
                <w:szCs w:val="14"/>
                <w:lang w:eastAsia="sk-SK"/>
              </w:rPr>
              <w:t> </w:t>
            </w:r>
          </w:p>
        </w:tc>
      </w:tr>
      <w:tr w:rsidR="008F4B35" w:rsidRPr="008F4B35" w:rsidTr="00115151">
        <w:trPr>
          <w:trHeight w:val="227"/>
          <w:jc w:val="center"/>
        </w:trPr>
        <w:tc>
          <w:tcPr>
            <w:tcW w:w="2525" w:type="pct"/>
            <w:tcBorders>
              <w:top w:val="single" w:sz="4" w:space="0" w:color="auto"/>
              <w:left w:val="single" w:sz="4" w:space="0" w:color="auto"/>
              <w:bottom w:val="single" w:sz="4" w:space="0" w:color="auto"/>
              <w:right w:val="single" w:sz="4" w:space="0" w:color="auto"/>
            </w:tcBorders>
            <w:noWrap/>
            <w:vAlign w:val="center"/>
            <w:hideMark/>
          </w:tcPr>
          <w:p w:rsidR="008F4B35" w:rsidRPr="008F4B35" w:rsidRDefault="008F4B35" w:rsidP="00115151">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 xml:space="preserve">HDP, </w:t>
            </w:r>
            <w:proofErr w:type="spellStart"/>
            <w:r w:rsidRPr="008F4B35">
              <w:rPr>
                <w:rFonts w:ascii="Times New Roman" w:hAnsi="Times New Roman" w:cs="Times New Roman"/>
                <w:sz w:val="14"/>
                <w:szCs w:val="14"/>
                <w:lang w:eastAsia="sk-SK"/>
              </w:rPr>
              <w:t>s.c</w:t>
            </w:r>
            <w:proofErr w:type="spellEnd"/>
            <w:r w:rsidRPr="008F4B35">
              <w:rPr>
                <w:rFonts w:ascii="Times New Roman" w:hAnsi="Times New Roman" w:cs="Times New Roman"/>
                <w:sz w:val="14"/>
                <w:szCs w:val="14"/>
                <w:lang w:eastAsia="sk-SK"/>
              </w:rPr>
              <w:t>.</w:t>
            </w:r>
          </w:p>
        </w:tc>
        <w:tc>
          <w:tcPr>
            <w:tcW w:w="433" w:type="pct"/>
            <w:tcBorders>
              <w:top w:val="single" w:sz="4" w:space="0" w:color="auto"/>
              <w:left w:val="single" w:sz="4" w:space="0" w:color="auto"/>
              <w:bottom w:val="single" w:sz="4" w:space="0" w:color="auto"/>
              <w:right w:val="single" w:sz="4" w:space="0" w:color="auto"/>
            </w:tcBorders>
            <w:noWrap/>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3,8</w:t>
            </w:r>
          </w:p>
        </w:tc>
        <w:tc>
          <w:tcPr>
            <w:tcW w:w="433" w:type="pct"/>
            <w:tcBorders>
              <w:top w:val="single" w:sz="4" w:space="0" w:color="auto"/>
              <w:left w:val="single" w:sz="4" w:space="0" w:color="auto"/>
              <w:bottom w:val="single" w:sz="4" w:space="0" w:color="auto"/>
              <w:right w:val="single" w:sz="4" w:space="0" w:color="auto"/>
            </w:tcBorders>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3,3</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3,3</w:t>
            </w:r>
          </w:p>
        </w:tc>
        <w:tc>
          <w:tcPr>
            <w:tcW w:w="392"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4,2</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4,4</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3,9</w:t>
            </w:r>
          </w:p>
        </w:tc>
      </w:tr>
      <w:tr w:rsidR="008F4B35" w:rsidRPr="008F4B35" w:rsidTr="00115151">
        <w:trPr>
          <w:trHeight w:val="227"/>
          <w:jc w:val="center"/>
        </w:trPr>
        <w:tc>
          <w:tcPr>
            <w:tcW w:w="2525" w:type="pct"/>
            <w:tcBorders>
              <w:top w:val="single" w:sz="4" w:space="0" w:color="auto"/>
              <w:left w:val="single" w:sz="4" w:space="0" w:color="auto"/>
              <w:bottom w:val="single" w:sz="4" w:space="0" w:color="auto"/>
              <w:right w:val="single" w:sz="4" w:space="0" w:color="auto"/>
            </w:tcBorders>
            <w:noWrap/>
            <w:vAlign w:val="center"/>
            <w:hideMark/>
          </w:tcPr>
          <w:p w:rsidR="008F4B35" w:rsidRPr="008F4B35" w:rsidRDefault="008F4B35" w:rsidP="00115151">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 xml:space="preserve">HDP, </w:t>
            </w:r>
            <w:proofErr w:type="spellStart"/>
            <w:r w:rsidRPr="008F4B35">
              <w:rPr>
                <w:rFonts w:ascii="Times New Roman" w:hAnsi="Times New Roman" w:cs="Times New Roman"/>
                <w:sz w:val="14"/>
                <w:szCs w:val="14"/>
                <w:lang w:eastAsia="sk-SK"/>
              </w:rPr>
              <w:t>b.c</w:t>
            </w:r>
            <w:proofErr w:type="spellEnd"/>
            <w:r w:rsidRPr="008F4B35">
              <w:rPr>
                <w:rFonts w:ascii="Times New Roman" w:hAnsi="Times New Roman" w:cs="Times New Roman"/>
                <w:sz w:val="14"/>
                <w:szCs w:val="14"/>
                <w:lang w:eastAsia="sk-SK"/>
              </w:rPr>
              <w:t>. (mld. eur)</w:t>
            </w:r>
          </w:p>
        </w:tc>
        <w:tc>
          <w:tcPr>
            <w:tcW w:w="433" w:type="pct"/>
            <w:tcBorders>
              <w:top w:val="single" w:sz="4" w:space="0" w:color="auto"/>
              <w:left w:val="single" w:sz="4" w:space="0" w:color="auto"/>
              <w:bottom w:val="single" w:sz="4" w:space="0" w:color="auto"/>
              <w:right w:val="single" w:sz="4" w:space="0" w:color="auto"/>
            </w:tcBorders>
            <w:noWrap/>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78,7</w:t>
            </w:r>
          </w:p>
        </w:tc>
        <w:tc>
          <w:tcPr>
            <w:tcW w:w="433" w:type="pct"/>
            <w:tcBorders>
              <w:top w:val="single" w:sz="4" w:space="0" w:color="auto"/>
              <w:left w:val="single" w:sz="4" w:space="0" w:color="auto"/>
              <w:bottom w:val="single" w:sz="4" w:space="0" w:color="auto"/>
              <w:right w:val="single" w:sz="4" w:space="0" w:color="auto"/>
            </w:tcBorders>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80,0</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84,6</w:t>
            </w:r>
          </w:p>
        </w:tc>
        <w:tc>
          <w:tcPr>
            <w:tcW w:w="392"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89,5</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95,3</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101,0</w:t>
            </w:r>
          </w:p>
        </w:tc>
      </w:tr>
      <w:tr w:rsidR="008F4B35" w:rsidRPr="008F4B35" w:rsidTr="00115151">
        <w:trPr>
          <w:trHeight w:val="227"/>
          <w:jc w:val="center"/>
        </w:trPr>
        <w:tc>
          <w:tcPr>
            <w:tcW w:w="2525" w:type="pct"/>
            <w:tcBorders>
              <w:top w:val="single" w:sz="4" w:space="0" w:color="auto"/>
              <w:left w:val="single" w:sz="4" w:space="0" w:color="auto"/>
              <w:bottom w:val="single" w:sz="4" w:space="0" w:color="auto"/>
              <w:right w:val="single" w:sz="4" w:space="0" w:color="auto"/>
            </w:tcBorders>
            <w:noWrap/>
            <w:vAlign w:val="center"/>
            <w:hideMark/>
          </w:tcPr>
          <w:p w:rsidR="008F4B35" w:rsidRPr="008F4B35" w:rsidRDefault="008F4B35" w:rsidP="00115151">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 xml:space="preserve">Súkromná spotreba, </w:t>
            </w:r>
            <w:proofErr w:type="spellStart"/>
            <w:r w:rsidRPr="008F4B35">
              <w:rPr>
                <w:rFonts w:ascii="Times New Roman" w:hAnsi="Times New Roman" w:cs="Times New Roman"/>
                <w:sz w:val="14"/>
                <w:szCs w:val="14"/>
                <w:lang w:eastAsia="sk-SK"/>
              </w:rPr>
              <w:t>s.c</w:t>
            </w:r>
            <w:proofErr w:type="spellEnd"/>
            <w:r w:rsidRPr="008F4B35">
              <w:rPr>
                <w:rFonts w:ascii="Times New Roman" w:hAnsi="Times New Roman" w:cs="Times New Roman"/>
                <w:sz w:val="14"/>
                <w:szCs w:val="14"/>
                <w:lang w:eastAsia="sk-SK"/>
              </w:rPr>
              <w:t>.</w:t>
            </w:r>
          </w:p>
        </w:tc>
        <w:tc>
          <w:tcPr>
            <w:tcW w:w="433" w:type="pct"/>
            <w:tcBorders>
              <w:top w:val="single" w:sz="4" w:space="0" w:color="auto"/>
              <w:left w:val="single" w:sz="4" w:space="0" w:color="auto"/>
              <w:bottom w:val="single" w:sz="4" w:space="0" w:color="auto"/>
              <w:right w:val="single" w:sz="4" w:space="0" w:color="auto"/>
            </w:tcBorders>
            <w:noWrap/>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2,2</w:t>
            </w:r>
          </w:p>
        </w:tc>
        <w:tc>
          <w:tcPr>
            <w:tcW w:w="433" w:type="pct"/>
            <w:tcBorders>
              <w:top w:val="single" w:sz="4" w:space="0" w:color="auto"/>
              <w:left w:val="single" w:sz="4" w:space="0" w:color="auto"/>
              <w:bottom w:val="single" w:sz="4" w:space="0" w:color="auto"/>
              <w:right w:val="single" w:sz="4" w:space="0" w:color="auto"/>
            </w:tcBorders>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2,9</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3,4</w:t>
            </w:r>
          </w:p>
        </w:tc>
        <w:tc>
          <w:tcPr>
            <w:tcW w:w="392"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2,9</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2,9</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2,9</w:t>
            </w:r>
          </w:p>
        </w:tc>
      </w:tr>
      <w:tr w:rsidR="008F4B35" w:rsidRPr="008F4B35" w:rsidTr="00115151">
        <w:trPr>
          <w:trHeight w:val="227"/>
          <w:jc w:val="center"/>
        </w:trPr>
        <w:tc>
          <w:tcPr>
            <w:tcW w:w="2525" w:type="pct"/>
            <w:tcBorders>
              <w:top w:val="single" w:sz="4" w:space="0" w:color="auto"/>
              <w:left w:val="single" w:sz="4" w:space="0" w:color="auto"/>
              <w:bottom w:val="single" w:sz="4" w:space="0" w:color="auto"/>
              <w:right w:val="single" w:sz="4" w:space="0" w:color="auto"/>
            </w:tcBorders>
            <w:noWrap/>
            <w:vAlign w:val="center"/>
            <w:hideMark/>
          </w:tcPr>
          <w:p w:rsidR="008F4B35" w:rsidRPr="008F4B35" w:rsidRDefault="008F4B35" w:rsidP="00115151">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 xml:space="preserve">Súkromná spotreba, </w:t>
            </w:r>
            <w:proofErr w:type="spellStart"/>
            <w:r w:rsidRPr="008F4B35">
              <w:rPr>
                <w:rFonts w:ascii="Times New Roman" w:hAnsi="Times New Roman" w:cs="Times New Roman"/>
                <w:sz w:val="14"/>
                <w:szCs w:val="14"/>
                <w:lang w:eastAsia="sk-SK"/>
              </w:rPr>
              <w:t>b.c</w:t>
            </w:r>
            <w:proofErr w:type="spellEnd"/>
            <w:r w:rsidRPr="008F4B35">
              <w:rPr>
                <w:rFonts w:ascii="Times New Roman" w:hAnsi="Times New Roman" w:cs="Times New Roman"/>
                <w:sz w:val="14"/>
                <w:szCs w:val="14"/>
                <w:lang w:eastAsia="sk-SK"/>
              </w:rPr>
              <w:t>.</w:t>
            </w:r>
          </w:p>
        </w:tc>
        <w:tc>
          <w:tcPr>
            <w:tcW w:w="433" w:type="pct"/>
            <w:tcBorders>
              <w:top w:val="single" w:sz="4" w:space="0" w:color="auto"/>
              <w:left w:val="single" w:sz="4" w:space="0" w:color="auto"/>
              <w:bottom w:val="single" w:sz="4" w:space="0" w:color="auto"/>
              <w:right w:val="single" w:sz="4" w:space="0" w:color="auto"/>
            </w:tcBorders>
            <w:noWrap/>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2,1</w:t>
            </w:r>
          </w:p>
        </w:tc>
        <w:tc>
          <w:tcPr>
            <w:tcW w:w="433" w:type="pct"/>
            <w:tcBorders>
              <w:top w:val="single" w:sz="4" w:space="0" w:color="auto"/>
              <w:left w:val="single" w:sz="4" w:space="0" w:color="auto"/>
              <w:bottom w:val="single" w:sz="4" w:space="0" w:color="auto"/>
              <w:right w:val="single" w:sz="4" w:space="0" w:color="auto"/>
            </w:tcBorders>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2,5</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4,8</w:t>
            </w:r>
          </w:p>
        </w:tc>
        <w:tc>
          <w:tcPr>
            <w:tcW w:w="392"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4,6</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4,8</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5,0</w:t>
            </w:r>
          </w:p>
        </w:tc>
      </w:tr>
      <w:tr w:rsidR="008F4B35" w:rsidRPr="008F4B35" w:rsidTr="00115151">
        <w:trPr>
          <w:trHeight w:val="227"/>
          <w:jc w:val="center"/>
        </w:trPr>
        <w:tc>
          <w:tcPr>
            <w:tcW w:w="2525" w:type="pct"/>
            <w:tcBorders>
              <w:top w:val="single" w:sz="4" w:space="0" w:color="auto"/>
              <w:left w:val="single" w:sz="4" w:space="0" w:color="auto"/>
              <w:bottom w:val="single" w:sz="4" w:space="0" w:color="auto"/>
              <w:right w:val="single" w:sz="4" w:space="0" w:color="auto"/>
            </w:tcBorders>
            <w:noWrap/>
            <w:vAlign w:val="center"/>
            <w:hideMark/>
          </w:tcPr>
          <w:p w:rsidR="008F4B35" w:rsidRPr="008F4B35" w:rsidRDefault="008F4B35" w:rsidP="00115151">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Vládna spotreba</w:t>
            </w:r>
          </w:p>
        </w:tc>
        <w:tc>
          <w:tcPr>
            <w:tcW w:w="433" w:type="pct"/>
            <w:tcBorders>
              <w:top w:val="single" w:sz="4" w:space="0" w:color="auto"/>
              <w:left w:val="single" w:sz="4" w:space="0" w:color="auto"/>
              <w:bottom w:val="single" w:sz="4" w:space="0" w:color="auto"/>
              <w:right w:val="single" w:sz="4" w:space="0" w:color="auto"/>
            </w:tcBorders>
            <w:noWrap/>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5,4</w:t>
            </w:r>
          </w:p>
        </w:tc>
        <w:tc>
          <w:tcPr>
            <w:tcW w:w="433" w:type="pct"/>
            <w:tcBorders>
              <w:top w:val="single" w:sz="4" w:space="0" w:color="auto"/>
              <w:left w:val="single" w:sz="4" w:space="0" w:color="auto"/>
              <w:bottom w:val="single" w:sz="4" w:space="0" w:color="auto"/>
              <w:right w:val="single" w:sz="4" w:space="0" w:color="auto"/>
            </w:tcBorders>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1,6</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0,4</w:t>
            </w:r>
          </w:p>
        </w:tc>
        <w:tc>
          <w:tcPr>
            <w:tcW w:w="392"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1,3</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1,6</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1,6</w:t>
            </w:r>
          </w:p>
        </w:tc>
      </w:tr>
      <w:tr w:rsidR="008F4B35" w:rsidRPr="008F4B35" w:rsidTr="00115151">
        <w:trPr>
          <w:trHeight w:val="227"/>
          <w:jc w:val="center"/>
        </w:trPr>
        <w:tc>
          <w:tcPr>
            <w:tcW w:w="2525" w:type="pct"/>
            <w:tcBorders>
              <w:top w:val="single" w:sz="4" w:space="0" w:color="auto"/>
              <w:left w:val="single" w:sz="4" w:space="0" w:color="auto"/>
              <w:bottom w:val="single" w:sz="4" w:space="0" w:color="auto"/>
              <w:right w:val="single" w:sz="4" w:space="0" w:color="auto"/>
            </w:tcBorders>
            <w:noWrap/>
            <w:vAlign w:val="center"/>
            <w:hideMark/>
          </w:tcPr>
          <w:p w:rsidR="008F4B35" w:rsidRPr="008F4B35" w:rsidRDefault="008F4B35" w:rsidP="00115151">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Fixné investície</w:t>
            </w:r>
          </w:p>
        </w:tc>
        <w:tc>
          <w:tcPr>
            <w:tcW w:w="433" w:type="pct"/>
            <w:tcBorders>
              <w:top w:val="single" w:sz="4" w:space="0" w:color="auto"/>
              <w:left w:val="single" w:sz="4" w:space="0" w:color="auto"/>
              <w:bottom w:val="single" w:sz="4" w:space="0" w:color="auto"/>
              <w:right w:val="single" w:sz="4" w:space="0" w:color="auto"/>
            </w:tcBorders>
            <w:noWrap/>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16,9</w:t>
            </w:r>
          </w:p>
        </w:tc>
        <w:tc>
          <w:tcPr>
            <w:tcW w:w="433" w:type="pct"/>
            <w:tcBorders>
              <w:top w:val="single" w:sz="4" w:space="0" w:color="auto"/>
              <w:left w:val="single" w:sz="4" w:space="0" w:color="auto"/>
              <w:bottom w:val="single" w:sz="4" w:space="0" w:color="auto"/>
              <w:right w:val="single" w:sz="4" w:space="0" w:color="auto"/>
            </w:tcBorders>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-9,3</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3,0</w:t>
            </w:r>
          </w:p>
        </w:tc>
        <w:tc>
          <w:tcPr>
            <w:tcW w:w="392"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4,2</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3,2</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3,2</w:t>
            </w:r>
          </w:p>
        </w:tc>
      </w:tr>
      <w:tr w:rsidR="008F4B35" w:rsidRPr="008F4B35" w:rsidTr="00115151">
        <w:trPr>
          <w:trHeight w:val="227"/>
          <w:jc w:val="center"/>
        </w:trPr>
        <w:tc>
          <w:tcPr>
            <w:tcW w:w="2525" w:type="pct"/>
            <w:tcBorders>
              <w:top w:val="single" w:sz="4" w:space="0" w:color="auto"/>
              <w:left w:val="single" w:sz="4" w:space="0" w:color="auto"/>
              <w:bottom w:val="single" w:sz="4" w:space="0" w:color="auto"/>
              <w:right w:val="single" w:sz="4" w:space="0" w:color="auto"/>
            </w:tcBorders>
            <w:noWrap/>
            <w:vAlign w:val="center"/>
            <w:hideMark/>
          </w:tcPr>
          <w:p w:rsidR="008F4B35" w:rsidRPr="008F4B35" w:rsidRDefault="008F4B35" w:rsidP="00115151">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Export tovarov a služieb</w:t>
            </w:r>
          </w:p>
        </w:tc>
        <w:tc>
          <w:tcPr>
            <w:tcW w:w="433" w:type="pct"/>
            <w:tcBorders>
              <w:top w:val="single" w:sz="4" w:space="0" w:color="auto"/>
              <w:left w:val="single" w:sz="4" w:space="0" w:color="auto"/>
              <w:bottom w:val="single" w:sz="4" w:space="0" w:color="auto"/>
              <w:right w:val="single" w:sz="4" w:space="0" w:color="auto"/>
            </w:tcBorders>
            <w:noWrap/>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7,0</w:t>
            </w:r>
          </w:p>
        </w:tc>
        <w:tc>
          <w:tcPr>
            <w:tcW w:w="433" w:type="pct"/>
            <w:tcBorders>
              <w:top w:val="single" w:sz="4" w:space="0" w:color="auto"/>
              <w:left w:val="single" w:sz="4" w:space="0" w:color="auto"/>
              <w:bottom w:val="single" w:sz="4" w:space="0" w:color="auto"/>
              <w:right w:val="single" w:sz="4" w:space="0" w:color="auto"/>
            </w:tcBorders>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4,8</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5,0</w:t>
            </w:r>
          </w:p>
        </w:tc>
        <w:tc>
          <w:tcPr>
            <w:tcW w:w="392"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7,8</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7,7</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6,3</w:t>
            </w:r>
          </w:p>
        </w:tc>
      </w:tr>
      <w:tr w:rsidR="008F4B35" w:rsidRPr="008F4B35" w:rsidTr="00115151">
        <w:trPr>
          <w:trHeight w:val="227"/>
          <w:jc w:val="center"/>
        </w:trPr>
        <w:tc>
          <w:tcPr>
            <w:tcW w:w="2525" w:type="pct"/>
            <w:tcBorders>
              <w:top w:val="single" w:sz="4" w:space="0" w:color="auto"/>
              <w:left w:val="single" w:sz="4" w:space="0" w:color="auto"/>
              <w:bottom w:val="single" w:sz="4" w:space="0" w:color="auto"/>
              <w:right w:val="single" w:sz="4" w:space="0" w:color="auto"/>
            </w:tcBorders>
            <w:noWrap/>
            <w:vAlign w:val="center"/>
            <w:hideMark/>
          </w:tcPr>
          <w:p w:rsidR="008F4B35" w:rsidRPr="008F4B35" w:rsidRDefault="008F4B35" w:rsidP="00115151">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Import tovarov a služieb</w:t>
            </w:r>
          </w:p>
        </w:tc>
        <w:tc>
          <w:tcPr>
            <w:tcW w:w="433" w:type="pct"/>
            <w:tcBorders>
              <w:top w:val="single" w:sz="4" w:space="0" w:color="auto"/>
              <w:left w:val="single" w:sz="4" w:space="0" w:color="auto"/>
              <w:bottom w:val="single" w:sz="4" w:space="0" w:color="auto"/>
              <w:right w:val="single" w:sz="4" w:space="0" w:color="auto"/>
            </w:tcBorders>
            <w:noWrap/>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8,1</w:t>
            </w:r>
          </w:p>
        </w:tc>
        <w:tc>
          <w:tcPr>
            <w:tcW w:w="433" w:type="pct"/>
            <w:tcBorders>
              <w:top w:val="single" w:sz="4" w:space="0" w:color="auto"/>
              <w:left w:val="single" w:sz="4" w:space="0" w:color="auto"/>
              <w:bottom w:val="single" w:sz="4" w:space="0" w:color="auto"/>
              <w:right w:val="single" w:sz="4" w:space="0" w:color="auto"/>
            </w:tcBorders>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2,9</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4,8</w:t>
            </w:r>
          </w:p>
        </w:tc>
        <w:tc>
          <w:tcPr>
            <w:tcW w:w="392"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6,8</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6,3</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5,4</w:t>
            </w:r>
          </w:p>
        </w:tc>
      </w:tr>
      <w:tr w:rsidR="008F4B35" w:rsidRPr="008F4B35" w:rsidTr="00115151">
        <w:trPr>
          <w:trHeight w:val="227"/>
          <w:jc w:val="center"/>
        </w:trPr>
        <w:tc>
          <w:tcPr>
            <w:tcW w:w="5000" w:type="pct"/>
            <w:gridSpan w:val="7"/>
            <w:tcBorders>
              <w:top w:val="single" w:sz="4" w:space="0" w:color="auto"/>
              <w:left w:val="single" w:sz="4" w:space="0" w:color="auto"/>
              <w:bottom w:val="single" w:sz="4" w:space="0" w:color="auto"/>
              <w:right w:val="single" w:sz="4" w:space="0" w:color="auto"/>
            </w:tcBorders>
            <w:noWrap/>
            <w:vAlign w:val="center"/>
            <w:hideMark/>
          </w:tcPr>
          <w:p w:rsidR="008F4B35" w:rsidRPr="008F4B35" w:rsidRDefault="008F4B35" w:rsidP="00115151">
            <w:pP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Trh práce</w:t>
            </w:r>
          </w:p>
        </w:tc>
      </w:tr>
      <w:tr w:rsidR="008F4B35" w:rsidRPr="008F4B35" w:rsidTr="00115151">
        <w:trPr>
          <w:trHeight w:val="227"/>
          <w:jc w:val="center"/>
        </w:trPr>
        <w:tc>
          <w:tcPr>
            <w:tcW w:w="2525" w:type="pct"/>
            <w:tcBorders>
              <w:top w:val="single" w:sz="4" w:space="0" w:color="auto"/>
              <w:left w:val="single" w:sz="4" w:space="0" w:color="auto"/>
              <w:bottom w:val="single" w:sz="4" w:space="0" w:color="auto"/>
              <w:right w:val="single" w:sz="4" w:space="0" w:color="auto"/>
            </w:tcBorders>
            <w:noWrap/>
            <w:vAlign w:val="center"/>
            <w:hideMark/>
          </w:tcPr>
          <w:p w:rsidR="008F4B35" w:rsidRPr="008F4B35" w:rsidRDefault="008F4B35" w:rsidP="00115151">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Zamestnanosť (registrovaná)</w:t>
            </w:r>
          </w:p>
        </w:tc>
        <w:tc>
          <w:tcPr>
            <w:tcW w:w="433" w:type="pct"/>
            <w:tcBorders>
              <w:top w:val="single" w:sz="4" w:space="0" w:color="auto"/>
              <w:left w:val="single" w:sz="4" w:space="0" w:color="auto"/>
              <w:bottom w:val="single" w:sz="4" w:space="0" w:color="auto"/>
              <w:right w:val="single" w:sz="4" w:space="0" w:color="auto"/>
            </w:tcBorders>
            <w:noWrap/>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2,1</w:t>
            </w:r>
          </w:p>
        </w:tc>
        <w:tc>
          <w:tcPr>
            <w:tcW w:w="433" w:type="pct"/>
            <w:tcBorders>
              <w:top w:val="single" w:sz="4" w:space="0" w:color="auto"/>
              <w:left w:val="single" w:sz="4" w:space="0" w:color="auto"/>
              <w:bottom w:val="single" w:sz="4" w:space="0" w:color="auto"/>
              <w:right w:val="single" w:sz="4" w:space="0" w:color="auto"/>
            </w:tcBorders>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2,5</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1,9</w:t>
            </w:r>
          </w:p>
        </w:tc>
        <w:tc>
          <w:tcPr>
            <w:tcW w:w="392"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1,4</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1,0</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1,0</w:t>
            </w:r>
          </w:p>
        </w:tc>
      </w:tr>
      <w:tr w:rsidR="008F4B35" w:rsidRPr="008F4B35" w:rsidTr="00115151">
        <w:trPr>
          <w:trHeight w:val="227"/>
          <w:jc w:val="center"/>
        </w:trPr>
        <w:tc>
          <w:tcPr>
            <w:tcW w:w="2525" w:type="pct"/>
            <w:tcBorders>
              <w:top w:val="single" w:sz="4" w:space="0" w:color="auto"/>
              <w:left w:val="single" w:sz="4" w:space="0" w:color="auto"/>
              <w:bottom w:val="single" w:sz="4" w:space="0" w:color="auto"/>
              <w:right w:val="single" w:sz="4" w:space="0" w:color="auto"/>
            </w:tcBorders>
            <w:noWrap/>
            <w:vAlign w:val="center"/>
            <w:hideMark/>
          </w:tcPr>
          <w:p w:rsidR="008F4B35" w:rsidRPr="008F4B35" w:rsidRDefault="008F4B35" w:rsidP="00115151">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Mzdy, nominálne</w:t>
            </w:r>
          </w:p>
        </w:tc>
        <w:tc>
          <w:tcPr>
            <w:tcW w:w="433" w:type="pct"/>
            <w:tcBorders>
              <w:top w:val="single" w:sz="4" w:space="0" w:color="auto"/>
              <w:left w:val="single" w:sz="4" w:space="0" w:color="auto"/>
              <w:bottom w:val="single" w:sz="4" w:space="0" w:color="auto"/>
              <w:right w:val="single" w:sz="4" w:space="0" w:color="auto"/>
            </w:tcBorders>
            <w:noWrap/>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2,9</w:t>
            </w:r>
          </w:p>
        </w:tc>
        <w:tc>
          <w:tcPr>
            <w:tcW w:w="433" w:type="pct"/>
            <w:tcBorders>
              <w:top w:val="single" w:sz="4" w:space="0" w:color="auto"/>
              <w:left w:val="single" w:sz="4" w:space="0" w:color="auto"/>
              <w:bottom w:val="single" w:sz="4" w:space="0" w:color="auto"/>
              <w:right w:val="single" w:sz="4" w:space="0" w:color="auto"/>
            </w:tcBorders>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3,3</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3,9</w:t>
            </w:r>
          </w:p>
        </w:tc>
        <w:tc>
          <w:tcPr>
            <w:tcW w:w="392"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4,6</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4,8</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5,2</w:t>
            </w:r>
          </w:p>
        </w:tc>
      </w:tr>
      <w:tr w:rsidR="008F4B35" w:rsidRPr="008F4B35" w:rsidTr="00115151">
        <w:trPr>
          <w:trHeight w:val="227"/>
          <w:jc w:val="center"/>
        </w:trPr>
        <w:tc>
          <w:tcPr>
            <w:tcW w:w="2525" w:type="pct"/>
            <w:tcBorders>
              <w:top w:val="single" w:sz="4" w:space="0" w:color="auto"/>
              <w:left w:val="single" w:sz="4" w:space="0" w:color="auto"/>
              <w:bottom w:val="single" w:sz="4" w:space="0" w:color="auto"/>
              <w:right w:val="single" w:sz="4" w:space="0" w:color="auto"/>
            </w:tcBorders>
            <w:noWrap/>
            <w:vAlign w:val="center"/>
            <w:hideMark/>
          </w:tcPr>
          <w:p w:rsidR="008F4B35" w:rsidRPr="008F4B35" w:rsidRDefault="008F4B35" w:rsidP="00115151">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Mzdy, reálne</w:t>
            </w:r>
          </w:p>
        </w:tc>
        <w:tc>
          <w:tcPr>
            <w:tcW w:w="433" w:type="pct"/>
            <w:tcBorders>
              <w:top w:val="single" w:sz="4" w:space="0" w:color="auto"/>
              <w:left w:val="single" w:sz="4" w:space="0" w:color="auto"/>
              <w:bottom w:val="single" w:sz="4" w:space="0" w:color="auto"/>
              <w:right w:val="single" w:sz="4" w:space="0" w:color="auto"/>
            </w:tcBorders>
            <w:noWrap/>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3,3</w:t>
            </w:r>
          </w:p>
        </w:tc>
        <w:tc>
          <w:tcPr>
            <w:tcW w:w="433" w:type="pct"/>
            <w:tcBorders>
              <w:top w:val="single" w:sz="4" w:space="0" w:color="auto"/>
              <w:left w:val="single" w:sz="4" w:space="0" w:color="auto"/>
              <w:bottom w:val="single" w:sz="4" w:space="0" w:color="auto"/>
              <w:right w:val="single" w:sz="4" w:space="0" w:color="auto"/>
            </w:tcBorders>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3,8</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2,6</w:t>
            </w:r>
          </w:p>
        </w:tc>
        <w:tc>
          <w:tcPr>
            <w:tcW w:w="392"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2,9</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2,9</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3,1</w:t>
            </w:r>
          </w:p>
        </w:tc>
      </w:tr>
      <w:tr w:rsidR="008F4B35" w:rsidRPr="008F4B35" w:rsidTr="00115151">
        <w:trPr>
          <w:trHeight w:val="227"/>
          <w:jc w:val="center"/>
        </w:trPr>
        <w:tc>
          <w:tcPr>
            <w:tcW w:w="2525" w:type="pct"/>
            <w:tcBorders>
              <w:top w:val="single" w:sz="4" w:space="0" w:color="auto"/>
              <w:left w:val="single" w:sz="4" w:space="0" w:color="auto"/>
              <w:bottom w:val="single" w:sz="4" w:space="0" w:color="auto"/>
              <w:right w:val="single" w:sz="4" w:space="0" w:color="auto"/>
            </w:tcBorders>
            <w:noWrap/>
            <w:vAlign w:val="center"/>
            <w:hideMark/>
          </w:tcPr>
          <w:p w:rsidR="008F4B35" w:rsidRPr="008F4B35" w:rsidRDefault="008F4B35" w:rsidP="00115151">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Miera nezamestnanosti</w:t>
            </w:r>
          </w:p>
        </w:tc>
        <w:tc>
          <w:tcPr>
            <w:tcW w:w="433" w:type="pct"/>
            <w:tcBorders>
              <w:top w:val="single" w:sz="4" w:space="0" w:color="auto"/>
              <w:left w:val="single" w:sz="4" w:space="0" w:color="auto"/>
              <w:bottom w:val="single" w:sz="4" w:space="0" w:color="auto"/>
              <w:right w:val="single" w:sz="4" w:space="0" w:color="auto"/>
            </w:tcBorders>
            <w:noWrap/>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11,5</w:t>
            </w:r>
          </w:p>
        </w:tc>
        <w:tc>
          <w:tcPr>
            <w:tcW w:w="433" w:type="pct"/>
            <w:tcBorders>
              <w:top w:val="single" w:sz="4" w:space="0" w:color="auto"/>
              <w:left w:val="single" w:sz="4" w:space="0" w:color="auto"/>
              <w:bottom w:val="single" w:sz="4" w:space="0" w:color="auto"/>
              <w:right w:val="single" w:sz="4" w:space="0" w:color="auto"/>
            </w:tcBorders>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9,6</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8,2</w:t>
            </w:r>
          </w:p>
        </w:tc>
        <w:tc>
          <w:tcPr>
            <w:tcW w:w="392"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7,3</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6,7</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6,1</w:t>
            </w:r>
          </w:p>
        </w:tc>
      </w:tr>
      <w:tr w:rsidR="008F4B35" w:rsidRPr="008F4B35" w:rsidTr="00115151">
        <w:trPr>
          <w:trHeight w:val="227"/>
          <w:jc w:val="center"/>
        </w:trPr>
        <w:tc>
          <w:tcPr>
            <w:tcW w:w="5000" w:type="pct"/>
            <w:gridSpan w:val="7"/>
            <w:tcBorders>
              <w:top w:val="single" w:sz="4" w:space="0" w:color="auto"/>
              <w:left w:val="single" w:sz="4" w:space="0" w:color="auto"/>
              <w:bottom w:val="single" w:sz="4" w:space="0" w:color="auto"/>
              <w:right w:val="single" w:sz="4" w:space="0" w:color="auto"/>
            </w:tcBorders>
            <w:noWrap/>
            <w:vAlign w:val="center"/>
            <w:hideMark/>
          </w:tcPr>
          <w:p w:rsidR="008F4B35" w:rsidRPr="008F4B35" w:rsidRDefault="008F4B35" w:rsidP="00115151">
            <w:pP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Inflácia</w:t>
            </w:r>
            <w:r w:rsidRPr="008F4B35">
              <w:rPr>
                <w:rFonts w:ascii="Times New Roman" w:hAnsi="Times New Roman" w:cs="Times New Roman"/>
                <w:sz w:val="14"/>
                <w:szCs w:val="14"/>
              </w:rPr>
              <w:t> </w:t>
            </w:r>
          </w:p>
        </w:tc>
      </w:tr>
      <w:tr w:rsidR="008F4B35" w:rsidRPr="008F4B35" w:rsidTr="00115151">
        <w:trPr>
          <w:trHeight w:val="227"/>
          <w:jc w:val="center"/>
        </w:trPr>
        <w:tc>
          <w:tcPr>
            <w:tcW w:w="2525" w:type="pct"/>
            <w:tcBorders>
              <w:top w:val="single" w:sz="4" w:space="0" w:color="auto"/>
              <w:left w:val="single" w:sz="4" w:space="0" w:color="auto"/>
              <w:bottom w:val="single" w:sz="4" w:space="0" w:color="auto"/>
              <w:right w:val="single" w:sz="4" w:space="0" w:color="auto"/>
            </w:tcBorders>
            <w:noWrap/>
            <w:vAlign w:val="center"/>
            <w:hideMark/>
          </w:tcPr>
          <w:p w:rsidR="008F4B35" w:rsidRPr="008F4B35" w:rsidRDefault="008F4B35" w:rsidP="00115151">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Index spotrebiteľských cien</w:t>
            </w:r>
          </w:p>
        </w:tc>
        <w:tc>
          <w:tcPr>
            <w:tcW w:w="433"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-0,3</w:t>
            </w:r>
          </w:p>
        </w:tc>
        <w:tc>
          <w:tcPr>
            <w:tcW w:w="433" w:type="pct"/>
            <w:tcBorders>
              <w:top w:val="single" w:sz="4" w:space="0" w:color="auto"/>
              <w:left w:val="single" w:sz="4" w:space="0" w:color="auto"/>
              <w:bottom w:val="single" w:sz="4" w:space="0" w:color="auto"/>
              <w:right w:val="single" w:sz="4" w:space="0" w:color="auto"/>
            </w:tcBorders>
            <w:vAlign w:val="bottom"/>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-0,5</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1,3</w:t>
            </w:r>
          </w:p>
        </w:tc>
        <w:tc>
          <w:tcPr>
            <w:tcW w:w="392"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1,7</w:t>
            </w:r>
          </w:p>
        </w:tc>
        <w:tc>
          <w:tcPr>
            <w:tcW w:w="404"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1,9</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8F4B35" w:rsidRPr="008F4B35" w:rsidRDefault="008F4B35" w:rsidP="00115151">
            <w:pPr>
              <w:jc w:val="center"/>
              <w:rPr>
                <w:rFonts w:ascii="Times New Roman" w:hAnsi="Times New Roman" w:cs="Times New Roman"/>
                <w:sz w:val="14"/>
                <w:szCs w:val="14"/>
                <w:lang w:eastAsia="sk-SK"/>
              </w:rPr>
            </w:pPr>
            <w:r w:rsidRPr="008F4B35">
              <w:rPr>
                <w:rFonts w:ascii="Times New Roman" w:hAnsi="Times New Roman" w:cs="Times New Roman"/>
                <w:sz w:val="14"/>
                <w:szCs w:val="14"/>
                <w:lang w:eastAsia="sk-SK"/>
              </w:rPr>
              <w:t>2,1</w:t>
            </w:r>
          </w:p>
        </w:tc>
      </w:tr>
    </w:tbl>
    <w:p w:rsidR="009769EF" w:rsidRPr="00224E2F" w:rsidRDefault="009769EF" w:rsidP="009769EF">
      <w:pPr>
        <w:ind w:firstLine="708"/>
        <w:jc w:val="both"/>
        <w:rPr>
          <w:rFonts w:ascii="Times New Roman" w:hAnsi="Times New Roman" w:cs="Times New Roman"/>
          <w:sz w:val="14"/>
          <w:szCs w:val="14"/>
        </w:rPr>
      </w:pP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sidR="00000E4E">
        <w:rPr>
          <w:rFonts w:ascii="Times New Roman" w:hAnsi="Times New Roman" w:cs="Times New Roman"/>
          <w:sz w:val="14"/>
          <w:szCs w:val="14"/>
        </w:rPr>
        <w:t xml:space="preserve">     </w:t>
      </w:r>
      <w:r w:rsidR="008F4B35">
        <w:rPr>
          <w:rFonts w:ascii="Times New Roman" w:hAnsi="Times New Roman" w:cs="Times New Roman"/>
          <w:sz w:val="14"/>
          <w:szCs w:val="14"/>
        </w:rPr>
        <w:tab/>
      </w:r>
      <w:r w:rsidR="008F4B35">
        <w:rPr>
          <w:rFonts w:ascii="Times New Roman" w:hAnsi="Times New Roman" w:cs="Times New Roman"/>
          <w:sz w:val="14"/>
          <w:szCs w:val="14"/>
        </w:rPr>
        <w:tab/>
        <w:t xml:space="preserve">    </w:t>
      </w:r>
      <w:r w:rsidR="00000E4E">
        <w:rPr>
          <w:rFonts w:ascii="Times New Roman" w:hAnsi="Times New Roman" w:cs="Times New Roman"/>
          <w:sz w:val="14"/>
          <w:szCs w:val="14"/>
        </w:rPr>
        <w:t xml:space="preserve"> </w:t>
      </w:r>
      <w:r w:rsidRPr="000B1C83">
        <w:rPr>
          <w:rFonts w:ascii="Times New Roman" w:hAnsi="Times New Roman" w:cs="Times New Roman"/>
          <w:sz w:val="14"/>
          <w:szCs w:val="14"/>
        </w:rPr>
        <w:t>Zdroj: ŠÚ</w:t>
      </w:r>
      <w:r w:rsidR="00000E4E">
        <w:rPr>
          <w:rFonts w:ascii="Times New Roman" w:hAnsi="Times New Roman" w:cs="Times New Roman"/>
          <w:sz w:val="14"/>
          <w:szCs w:val="14"/>
        </w:rPr>
        <w:t xml:space="preserve"> </w:t>
      </w:r>
      <w:r w:rsidRPr="000B1C83">
        <w:rPr>
          <w:rFonts w:ascii="Times New Roman" w:hAnsi="Times New Roman" w:cs="Times New Roman"/>
          <w:sz w:val="14"/>
          <w:szCs w:val="14"/>
        </w:rPr>
        <w:t>SR, IFP</w:t>
      </w:r>
    </w:p>
    <w:p w:rsidR="009769EF" w:rsidRDefault="009769EF" w:rsidP="009769EF">
      <w:pPr>
        <w:jc w:val="both"/>
        <w:rPr>
          <w:rFonts w:ascii="Times New Roman" w:hAnsi="Times New Roman" w:cs="Times New Roman"/>
        </w:rPr>
      </w:pPr>
    </w:p>
    <w:p w:rsidR="00577641" w:rsidRDefault="00577641" w:rsidP="00577641">
      <w:pPr>
        <w:rPr>
          <w:highlight w:val="yellow"/>
        </w:rPr>
      </w:pPr>
    </w:p>
    <w:p w:rsidR="009C536E" w:rsidRPr="0008689E" w:rsidRDefault="00044D70" w:rsidP="009C536E">
      <w:pPr>
        <w:pStyle w:val="Nadpis1"/>
        <w:spacing w:before="0" w:after="0"/>
        <w:ind w:left="284" w:hanging="284"/>
        <w:rPr>
          <w:rFonts w:ascii="Times New Roman" w:hAnsi="Times New Roman" w:cs="Times New Roman"/>
          <w:b w:val="0"/>
          <w:bCs w:val="0"/>
        </w:rPr>
      </w:pPr>
      <w:bookmarkStart w:id="5" w:name="_Toc494463957"/>
      <w:r w:rsidRPr="0008689E">
        <w:rPr>
          <w:rFonts w:ascii="Times New Roman" w:hAnsi="Times New Roman" w:cs="Times New Roman"/>
          <w:sz w:val="28"/>
          <w:szCs w:val="28"/>
        </w:rPr>
        <w:lastRenderedPageBreak/>
        <w:t>2</w:t>
      </w:r>
      <w:r w:rsidR="009C536E" w:rsidRPr="0008689E">
        <w:rPr>
          <w:rFonts w:ascii="Times New Roman" w:hAnsi="Times New Roman" w:cs="Times New Roman"/>
          <w:sz w:val="28"/>
          <w:szCs w:val="28"/>
        </w:rPr>
        <w:t>. Východiskový rámec rozpočtu verejnej správy na roky 20</w:t>
      </w:r>
      <w:r w:rsidR="00075B17">
        <w:rPr>
          <w:rFonts w:ascii="Times New Roman" w:hAnsi="Times New Roman" w:cs="Times New Roman"/>
          <w:sz w:val="28"/>
          <w:szCs w:val="28"/>
        </w:rPr>
        <w:t>18</w:t>
      </w:r>
      <w:r w:rsidR="009C536E" w:rsidRPr="0008689E">
        <w:rPr>
          <w:rFonts w:ascii="Times New Roman" w:hAnsi="Times New Roman" w:cs="Times New Roman"/>
          <w:sz w:val="28"/>
          <w:szCs w:val="28"/>
        </w:rPr>
        <w:t xml:space="preserve"> až 20</w:t>
      </w:r>
      <w:r w:rsidR="00075B17">
        <w:rPr>
          <w:rFonts w:ascii="Times New Roman" w:hAnsi="Times New Roman" w:cs="Times New Roman"/>
          <w:sz w:val="28"/>
          <w:szCs w:val="28"/>
        </w:rPr>
        <w:t>20</w:t>
      </w:r>
      <w:bookmarkEnd w:id="5"/>
    </w:p>
    <w:p w:rsidR="002E52A8" w:rsidRPr="00A66CF6" w:rsidRDefault="002E52A8" w:rsidP="002E52A8">
      <w:pPr>
        <w:pStyle w:val="Nadpis2"/>
        <w:spacing w:before="0" w:after="0"/>
        <w:rPr>
          <w:rFonts w:ascii="Times New Roman" w:hAnsi="Times New Roman"/>
          <w:i w:val="0"/>
          <w:iCs w:val="0"/>
          <w:color w:val="0070C0"/>
          <w:sz w:val="24"/>
          <w:szCs w:val="24"/>
          <w:highlight w:val="yellow"/>
        </w:rPr>
      </w:pPr>
      <w:bookmarkStart w:id="6" w:name="_Toc332008096"/>
      <w:bookmarkStart w:id="7" w:name="_Toc211592391"/>
      <w:bookmarkStart w:id="8" w:name="_Toc206478400"/>
      <w:bookmarkStart w:id="9" w:name="_Toc174871966"/>
      <w:bookmarkStart w:id="10" w:name="_Toc148255241"/>
      <w:bookmarkStart w:id="11" w:name="_Toc143348593"/>
      <w:bookmarkStart w:id="12" w:name="_Toc273474197"/>
      <w:bookmarkStart w:id="13" w:name="_Toc282686534"/>
      <w:bookmarkStart w:id="14" w:name="_Toc300912251"/>
      <w:bookmarkStart w:id="15" w:name="_Toc364185029"/>
      <w:bookmarkStart w:id="16" w:name="_Toc273148229"/>
      <w:bookmarkStart w:id="17" w:name="_Toc424890786"/>
      <w:bookmarkStart w:id="18" w:name="_Toc369020084"/>
      <w:bookmarkStart w:id="19" w:name="_Toc211592393"/>
      <w:bookmarkStart w:id="20" w:name="_Toc206478402"/>
      <w:bookmarkStart w:id="21" w:name="_Toc273950832"/>
    </w:p>
    <w:p w:rsidR="002E52A8" w:rsidRPr="00E66AE9" w:rsidRDefault="002E52A8" w:rsidP="002E52A8">
      <w:pPr>
        <w:keepNext/>
        <w:outlineLvl w:val="1"/>
        <w:rPr>
          <w:rFonts w:ascii="Times New Roman" w:hAnsi="Times New Roman"/>
          <w:b/>
          <w:bCs/>
        </w:rPr>
      </w:pPr>
      <w:bookmarkStart w:id="22" w:name="_Toc494463958"/>
      <w:bookmarkEnd w:id="6"/>
      <w:bookmarkEnd w:id="7"/>
      <w:bookmarkEnd w:id="8"/>
      <w:bookmarkEnd w:id="9"/>
      <w:bookmarkEnd w:id="10"/>
      <w:bookmarkEnd w:id="11"/>
      <w:bookmarkEnd w:id="12"/>
      <w:bookmarkEnd w:id="13"/>
      <w:bookmarkEnd w:id="14"/>
      <w:r w:rsidRPr="00E66AE9">
        <w:rPr>
          <w:rFonts w:ascii="Times New Roman" w:hAnsi="Times New Roman"/>
          <w:b/>
          <w:bCs/>
        </w:rPr>
        <w:t>2.</w:t>
      </w:r>
      <w:r>
        <w:rPr>
          <w:rFonts w:ascii="Times New Roman" w:hAnsi="Times New Roman"/>
          <w:b/>
          <w:bCs/>
        </w:rPr>
        <w:t>1</w:t>
      </w:r>
      <w:r w:rsidRPr="00E66AE9">
        <w:rPr>
          <w:rFonts w:ascii="Times New Roman" w:hAnsi="Times New Roman"/>
          <w:b/>
          <w:bCs/>
        </w:rPr>
        <w:t xml:space="preserve">. </w:t>
      </w:r>
      <w:r>
        <w:rPr>
          <w:rFonts w:ascii="Times New Roman" w:hAnsi="Times New Roman"/>
          <w:b/>
          <w:bCs/>
        </w:rPr>
        <w:t xml:space="preserve">Aktuálny vývoj </w:t>
      </w:r>
      <w:r w:rsidRPr="00E66AE9">
        <w:rPr>
          <w:rFonts w:ascii="Times New Roman" w:hAnsi="Times New Roman"/>
          <w:b/>
          <w:bCs/>
        </w:rPr>
        <w:t xml:space="preserve">rozpočtu verejnej správy </w:t>
      </w:r>
      <w:r>
        <w:rPr>
          <w:rFonts w:ascii="Times New Roman" w:hAnsi="Times New Roman"/>
          <w:b/>
          <w:bCs/>
        </w:rPr>
        <w:t>v roku 2017</w:t>
      </w:r>
      <w:bookmarkEnd w:id="22"/>
    </w:p>
    <w:p w:rsidR="002E52A8" w:rsidRPr="00E66AE9" w:rsidRDefault="002E52A8" w:rsidP="002E52A8"/>
    <w:p w:rsidR="002E52A8" w:rsidRDefault="002E52A8" w:rsidP="002E52A8">
      <w:pPr>
        <w:ind w:firstLine="708"/>
        <w:jc w:val="both"/>
        <w:rPr>
          <w:rFonts w:ascii="Times New Roman" w:hAnsi="Times New Roman"/>
        </w:rPr>
      </w:pPr>
      <w:r>
        <w:rPr>
          <w:rFonts w:ascii="Times New Roman" w:hAnsi="Times New Roman"/>
        </w:rPr>
        <w:t>R</w:t>
      </w:r>
      <w:r w:rsidRPr="00C07C39">
        <w:rPr>
          <w:rFonts w:ascii="Times New Roman" w:hAnsi="Times New Roman"/>
        </w:rPr>
        <w:t xml:space="preserve">ozpočet verejnej správy na rok 2017 </w:t>
      </w:r>
      <w:r>
        <w:rPr>
          <w:rFonts w:ascii="Times New Roman" w:hAnsi="Times New Roman"/>
        </w:rPr>
        <w:t>bol zostavený so</w:t>
      </w:r>
      <w:r w:rsidRPr="00C07C39">
        <w:rPr>
          <w:rFonts w:ascii="Times New Roman" w:hAnsi="Times New Roman"/>
        </w:rPr>
        <w:t xml:space="preserve"> schodk</w:t>
      </w:r>
      <w:r>
        <w:rPr>
          <w:rFonts w:ascii="Times New Roman" w:hAnsi="Times New Roman"/>
        </w:rPr>
        <w:t>om</w:t>
      </w:r>
      <w:r w:rsidRPr="00C07C39">
        <w:rPr>
          <w:rFonts w:ascii="Times New Roman" w:hAnsi="Times New Roman"/>
        </w:rPr>
        <w:t xml:space="preserve"> na úrovni </w:t>
      </w:r>
      <w:r>
        <w:rPr>
          <w:rFonts w:ascii="Times New Roman" w:hAnsi="Times New Roman"/>
        </w:rPr>
        <w:br/>
      </w:r>
      <w:r w:rsidRPr="00C07C39">
        <w:rPr>
          <w:rFonts w:ascii="Times New Roman" w:hAnsi="Times New Roman"/>
        </w:rPr>
        <w:t>1,29 % HDP.</w:t>
      </w:r>
    </w:p>
    <w:p w:rsidR="002E52A8" w:rsidRPr="00C07C39" w:rsidRDefault="002E52A8" w:rsidP="002E52A8">
      <w:pPr>
        <w:ind w:firstLine="708"/>
        <w:jc w:val="both"/>
        <w:rPr>
          <w:rFonts w:ascii="Times New Roman" w:hAnsi="Times New Roman"/>
        </w:rPr>
      </w:pPr>
    </w:p>
    <w:p w:rsidR="002E52A8" w:rsidRDefault="002E52A8" w:rsidP="00F51BF9">
      <w:pPr>
        <w:ind w:firstLine="708"/>
        <w:jc w:val="both"/>
        <w:rPr>
          <w:rFonts w:ascii="Times New Roman" w:hAnsi="Times New Roman"/>
        </w:rPr>
      </w:pPr>
      <w:r w:rsidRPr="00F51BF9">
        <w:rPr>
          <w:rFonts w:ascii="Times New Roman" w:hAnsi="Times New Roman"/>
        </w:rPr>
        <w:t xml:space="preserve">Aktuálny odhad vývoja verejných financií v roku 2017 vychádza z aktuálnej makroekonomickej a daňovej prognózy zo septembra 2017 a aktuálneho vývoja ostatných príjmových a výdavkových položiek rozpočtu verejnej správy. Podľa aktuálneho odhadu by schodok rozpočtu verejnej správy mohol dosiahnuť 1,63 % HDP. </w:t>
      </w:r>
      <w:r w:rsidR="00F51BF9" w:rsidRPr="00F51BF9">
        <w:rPr>
          <w:rFonts w:ascii="Times New Roman" w:hAnsi="Times New Roman"/>
        </w:rPr>
        <w:t>V tomto roku očakávame nárast schodku oproti rozpočtu o 0,3 % HDP, čo je spôsobené zvýšením výdavkov na výstavbu a modernizáciu dopravnej infraštruktúry a financovaním zdravotníctva.</w:t>
      </w:r>
    </w:p>
    <w:p w:rsidR="002E52A8" w:rsidRPr="00C07C39" w:rsidRDefault="002E52A8" w:rsidP="002E52A8">
      <w:pPr>
        <w:ind w:firstLine="708"/>
        <w:jc w:val="both"/>
        <w:rPr>
          <w:rFonts w:ascii="Times New Roman" w:hAnsi="Times New Roman"/>
        </w:rPr>
      </w:pPr>
    </w:p>
    <w:tbl>
      <w:tblPr>
        <w:tblW w:w="7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0"/>
        <w:gridCol w:w="1120"/>
        <w:gridCol w:w="1120"/>
      </w:tblGrid>
      <w:tr w:rsidR="002E52A8" w:rsidRPr="002E52A8" w:rsidTr="002E52A8">
        <w:trPr>
          <w:trHeight w:val="300"/>
          <w:jc w:val="center"/>
        </w:trPr>
        <w:tc>
          <w:tcPr>
            <w:tcW w:w="5640" w:type="dxa"/>
            <w:shd w:val="clear" w:color="auto" w:fill="A6A6A6" w:themeFill="background1" w:themeFillShade="A6"/>
            <w:noWrap/>
            <w:vAlign w:val="center"/>
            <w:hideMark/>
          </w:tcPr>
          <w:p w:rsidR="002E52A8" w:rsidRPr="002E52A8" w:rsidRDefault="002E52A8" w:rsidP="00C72F49">
            <w:pPr>
              <w:rPr>
                <w:rFonts w:ascii="Times New Roman" w:hAnsi="Times New Roman" w:cs="Times New Roman"/>
                <w:b/>
                <w:color w:val="000000"/>
                <w:sz w:val="14"/>
                <w:szCs w:val="14"/>
                <w:lang w:eastAsia="sk-SK"/>
              </w:rPr>
            </w:pPr>
            <w:r w:rsidRPr="002E52A8">
              <w:rPr>
                <w:rFonts w:ascii="Times New Roman" w:hAnsi="Times New Roman" w:cs="Times New Roman"/>
                <w:b/>
                <w:color w:val="000000"/>
                <w:sz w:val="14"/>
                <w:szCs w:val="14"/>
                <w:lang w:eastAsia="sk-SK"/>
              </w:rPr>
              <w:t>Schodok rozpočtu verejnej správy (ESA 2010)</w:t>
            </w:r>
          </w:p>
        </w:tc>
        <w:tc>
          <w:tcPr>
            <w:tcW w:w="1120" w:type="dxa"/>
            <w:shd w:val="clear" w:color="auto" w:fill="A6A6A6" w:themeFill="background1" w:themeFillShade="A6"/>
            <w:noWrap/>
            <w:vAlign w:val="center"/>
            <w:hideMark/>
          </w:tcPr>
          <w:p w:rsidR="002E52A8" w:rsidRPr="002E52A8" w:rsidRDefault="002E52A8" w:rsidP="00C72F49">
            <w:pPr>
              <w:jc w:val="center"/>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 xml:space="preserve">           </w:t>
            </w:r>
            <w:r w:rsidRPr="002E52A8">
              <w:rPr>
                <w:rFonts w:ascii="Times New Roman" w:hAnsi="Times New Roman" w:cs="Times New Roman"/>
                <w:b/>
                <w:color w:val="000000"/>
                <w:sz w:val="14"/>
                <w:szCs w:val="14"/>
                <w:lang w:eastAsia="sk-SK"/>
              </w:rPr>
              <w:t>v mil. eur</w:t>
            </w:r>
          </w:p>
        </w:tc>
        <w:tc>
          <w:tcPr>
            <w:tcW w:w="1120" w:type="dxa"/>
            <w:shd w:val="clear" w:color="auto" w:fill="A6A6A6" w:themeFill="background1" w:themeFillShade="A6"/>
            <w:noWrap/>
            <w:vAlign w:val="center"/>
            <w:hideMark/>
          </w:tcPr>
          <w:p w:rsidR="002E52A8" w:rsidRPr="002E52A8" w:rsidRDefault="002E52A8" w:rsidP="00C72F49">
            <w:pPr>
              <w:jc w:val="center"/>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 xml:space="preserve">           </w:t>
            </w:r>
            <w:r w:rsidRPr="002E52A8">
              <w:rPr>
                <w:rFonts w:ascii="Times New Roman" w:hAnsi="Times New Roman" w:cs="Times New Roman"/>
                <w:b/>
                <w:color w:val="000000"/>
                <w:sz w:val="14"/>
                <w:szCs w:val="14"/>
                <w:lang w:eastAsia="sk-SK"/>
              </w:rPr>
              <w:t>v % HDP</w:t>
            </w:r>
          </w:p>
        </w:tc>
      </w:tr>
      <w:tr w:rsidR="002E52A8" w:rsidRPr="002E52A8" w:rsidTr="002E52A8">
        <w:trPr>
          <w:trHeight w:val="300"/>
          <w:jc w:val="center"/>
        </w:trPr>
        <w:tc>
          <w:tcPr>
            <w:tcW w:w="5640" w:type="dxa"/>
            <w:shd w:val="clear" w:color="auto" w:fill="BFBFBF" w:themeFill="background1" w:themeFillShade="BF"/>
            <w:noWrap/>
            <w:vAlign w:val="center"/>
            <w:hideMark/>
          </w:tcPr>
          <w:p w:rsidR="002E52A8" w:rsidRPr="002E52A8" w:rsidRDefault="002E52A8" w:rsidP="00C72F49">
            <w:pPr>
              <w:rPr>
                <w:rFonts w:ascii="Times New Roman" w:hAnsi="Times New Roman" w:cs="Times New Roman"/>
                <w:b/>
                <w:bCs/>
                <w:color w:val="000000"/>
                <w:sz w:val="14"/>
                <w:szCs w:val="14"/>
                <w:lang w:eastAsia="sk-SK"/>
              </w:rPr>
            </w:pPr>
            <w:r w:rsidRPr="002E52A8">
              <w:rPr>
                <w:rFonts w:ascii="Times New Roman" w:hAnsi="Times New Roman" w:cs="Times New Roman"/>
                <w:b/>
                <w:bCs/>
                <w:color w:val="000000"/>
                <w:sz w:val="14"/>
                <w:szCs w:val="14"/>
                <w:lang w:eastAsia="sk-SK"/>
              </w:rPr>
              <w:t>Schválený rozpočet 2017</w:t>
            </w:r>
          </w:p>
        </w:tc>
        <w:tc>
          <w:tcPr>
            <w:tcW w:w="1120" w:type="dxa"/>
            <w:shd w:val="clear" w:color="auto" w:fill="BFBFBF" w:themeFill="background1" w:themeFillShade="BF"/>
            <w:noWrap/>
            <w:vAlign w:val="center"/>
            <w:hideMark/>
          </w:tcPr>
          <w:p w:rsidR="002E52A8" w:rsidRPr="002E52A8" w:rsidRDefault="002E52A8" w:rsidP="00C72F4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xml:space="preserve">  </w:t>
            </w:r>
            <w:r w:rsidRPr="002E52A8">
              <w:rPr>
                <w:rFonts w:ascii="Times New Roman" w:hAnsi="Times New Roman" w:cs="Times New Roman"/>
                <w:b/>
                <w:bCs/>
                <w:color w:val="000000"/>
                <w:sz w:val="14"/>
                <w:szCs w:val="14"/>
                <w:lang w:eastAsia="sk-SK"/>
              </w:rPr>
              <w:t>-1 083,489</w:t>
            </w:r>
          </w:p>
        </w:tc>
        <w:tc>
          <w:tcPr>
            <w:tcW w:w="1120" w:type="dxa"/>
            <w:shd w:val="clear" w:color="auto" w:fill="BFBFBF" w:themeFill="background1" w:themeFillShade="BF"/>
            <w:noWrap/>
            <w:vAlign w:val="center"/>
            <w:hideMark/>
          </w:tcPr>
          <w:p w:rsidR="002E52A8" w:rsidRPr="002E52A8" w:rsidRDefault="002E52A8" w:rsidP="00C72F49">
            <w:pPr>
              <w:jc w:val="right"/>
              <w:rPr>
                <w:rFonts w:ascii="Times New Roman" w:hAnsi="Times New Roman" w:cs="Times New Roman"/>
                <w:b/>
                <w:bCs/>
                <w:color w:val="000000"/>
                <w:sz w:val="14"/>
                <w:szCs w:val="14"/>
                <w:lang w:eastAsia="sk-SK"/>
              </w:rPr>
            </w:pPr>
            <w:r w:rsidRPr="002E52A8">
              <w:rPr>
                <w:rFonts w:ascii="Times New Roman" w:hAnsi="Times New Roman" w:cs="Times New Roman"/>
                <w:b/>
                <w:bCs/>
                <w:color w:val="000000"/>
                <w:sz w:val="14"/>
                <w:szCs w:val="14"/>
                <w:lang w:eastAsia="sk-SK"/>
              </w:rPr>
              <w:t>-1,29</w:t>
            </w:r>
          </w:p>
        </w:tc>
      </w:tr>
      <w:tr w:rsidR="002E52A8" w:rsidRPr="002E52A8" w:rsidTr="002E52A8">
        <w:trPr>
          <w:trHeight w:val="300"/>
          <w:jc w:val="center"/>
        </w:trPr>
        <w:tc>
          <w:tcPr>
            <w:tcW w:w="5640" w:type="dxa"/>
            <w:shd w:val="clear" w:color="auto" w:fill="D9D9D9" w:themeFill="background1" w:themeFillShade="D9"/>
            <w:noWrap/>
            <w:vAlign w:val="center"/>
            <w:hideMark/>
          </w:tcPr>
          <w:p w:rsidR="002E52A8" w:rsidRPr="002E52A8" w:rsidRDefault="002E52A8" w:rsidP="00C72F49">
            <w:pPr>
              <w:rPr>
                <w:rFonts w:ascii="Times New Roman" w:hAnsi="Times New Roman" w:cs="Times New Roman"/>
                <w:b/>
                <w:bCs/>
                <w:color w:val="000000"/>
                <w:sz w:val="14"/>
                <w:szCs w:val="14"/>
                <w:lang w:eastAsia="sk-SK"/>
              </w:rPr>
            </w:pPr>
            <w:r w:rsidRPr="002E52A8">
              <w:rPr>
                <w:rFonts w:ascii="Times New Roman" w:hAnsi="Times New Roman" w:cs="Times New Roman"/>
                <w:b/>
                <w:bCs/>
                <w:color w:val="000000"/>
                <w:sz w:val="14"/>
                <w:szCs w:val="14"/>
                <w:lang w:eastAsia="sk-SK"/>
              </w:rPr>
              <w:t>Zmena príjmov rozpočtu verejnej správy</w:t>
            </w:r>
          </w:p>
        </w:tc>
        <w:tc>
          <w:tcPr>
            <w:tcW w:w="1120" w:type="dxa"/>
            <w:shd w:val="clear" w:color="auto" w:fill="D9D9D9" w:themeFill="background1" w:themeFillShade="D9"/>
            <w:noWrap/>
            <w:vAlign w:val="center"/>
            <w:hideMark/>
          </w:tcPr>
          <w:p w:rsidR="002E52A8" w:rsidRPr="002E52A8" w:rsidRDefault="002E52A8" w:rsidP="00C72F49">
            <w:pPr>
              <w:jc w:val="right"/>
              <w:rPr>
                <w:rFonts w:ascii="Times New Roman" w:hAnsi="Times New Roman" w:cs="Times New Roman"/>
                <w:b/>
                <w:bCs/>
                <w:color w:val="000000"/>
                <w:sz w:val="14"/>
                <w:szCs w:val="14"/>
                <w:lang w:eastAsia="sk-SK"/>
              </w:rPr>
            </w:pPr>
            <w:r w:rsidRPr="002E52A8">
              <w:rPr>
                <w:rFonts w:ascii="Times New Roman" w:hAnsi="Times New Roman" w:cs="Times New Roman"/>
                <w:b/>
                <w:bCs/>
                <w:color w:val="000000"/>
                <w:sz w:val="14"/>
                <w:szCs w:val="14"/>
                <w:lang w:eastAsia="sk-SK"/>
              </w:rPr>
              <w:t>-140,034</w:t>
            </w:r>
          </w:p>
        </w:tc>
        <w:tc>
          <w:tcPr>
            <w:tcW w:w="1120" w:type="dxa"/>
            <w:shd w:val="clear" w:color="auto" w:fill="D9D9D9" w:themeFill="background1" w:themeFillShade="D9"/>
            <w:noWrap/>
            <w:vAlign w:val="center"/>
            <w:hideMark/>
          </w:tcPr>
          <w:p w:rsidR="002E52A8" w:rsidRPr="002E52A8" w:rsidRDefault="002E52A8" w:rsidP="00C72F49">
            <w:pPr>
              <w:jc w:val="right"/>
              <w:rPr>
                <w:rFonts w:ascii="Times New Roman" w:hAnsi="Times New Roman" w:cs="Times New Roman"/>
                <w:b/>
                <w:bCs/>
                <w:color w:val="000000"/>
                <w:sz w:val="14"/>
                <w:szCs w:val="14"/>
                <w:lang w:eastAsia="sk-SK"/>
              </w:rPr>
            </w:pPr>
            <w:r w:rsidRPr="002E52A8">
              <w:rPr>
                <w:rFonts w:ascii="Times New Roman" w:hAnsi="Times New Roman" w:cs="Times New Roman"/>
                <w:b/>
                <w:bCs/>
                <w:color w:val="000000"/>
                <w:sz w:val="14"/>
                <w:szCs w:val="14"/>
                <w:lang w:eastAsia="sk-SK"/>
              </w:rPr>
              <w:t>-0,17</w:t>
            </w:r>
          </w:p>
        </w:tc>
      </w:tr>
      <w:tr w:rsidR="002E52A8" w:rsidRPr="002E52A8" w:rsidTr="002E52A8">
        <w:trPr>
          <w:trHeight w:val="300"/>
          <w:jc w:val="center"/>
        </w:trPr>
        <w:tc>
          <w:tcPr>
            <w:tcW w:w="5640" w:type="dxa"/>
            <w:shd w:val="clear" w:color="auto" w:fill="auto"/>
            <w:noWrap/>
            <w:vAlign w:val="center"/>
            <w:hideMark/>
          </w:tcPr>
          <w:p w:rsidR="002E52A8" w:rsidRPr="002E52A8" w:rsidRDefault="002E52A8" w:rsidP="00C72F49">
            <w:pPr>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Daňové príjmy</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-280,678</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-0,33</w:t>
            </w:r>
          </w:p>
        </w:tc>
      </w:tr>
      <w:tr w:rsidR="002E52A8" w:rsidRPr="002E52A8" w:rsidTr="002E52A8">
        <w:trPr>
          <w:trHeight w:val="300"/>
          <w:jc w:val="center"/>
        </w:trPr>
        <w:tc>
          <w:tcPr>
            <w:tcW w:w="5640" w:type="dxa"/>
            <w:shd w:val="clear" w:color="auto" w:fill="auto"/>
            <w:noWrap/>
            <w:vAlign w:val="center"/>
            <w:hideMark/>
          </w:tcPr>
          <w:p w:rsidR="002E52A8" w:rsidRPr="002E52A8" w:rsidRDefault="002E52A8" w:rsidP="00C72F49">
            <w:pPr>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Príspevky na sociálne zabezpečenie</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468,129</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0,55</w:t>
            </w:r>
          </w:p>
        </w:tc>
      </w:tr>
      <w:tr w:rsidR="002E52A8" w:rsidRPr="002E52A8" w:rsidTr="002E52A8">
        <w:trPr>
          <w:trHeight w:val="300"/>
          <w:jc w:val="center"/>
        </w:trPr>
        <w:tc>
          <w:tcPr>
            <w:tcW w:w="5640" w:type="dxa"/>
            <w:shd w:val="clear" w:color="auto" w:fill="auto"/>
            <w:noWrap/>
            <w:vAlign w:val="center"/>
            <w:hideMark/>
          </w:tcPr>
          <w:p w:rsidR="002E52A8" w:rsidRPr="002E52A8" w:rsidRDefault="002E52A8" w:rsidP="00C72F49">
            <w:pPr>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Tržby</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-33,795</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-0,04</w:t>
            </w:r>
          </w:p>
        </w:tc>
      </w:tr>
      <w:tr w:rsidR="002E52A8" w:rsidRPr="002E52A8" w:rsidTr="002E52A8">
        <w:trPr>
          <w:trHeight w:val="300"/>
          <w:jc w:val="center"/>
        </w:trPr>
        <w:tc>
          <w:tcPr>
            <w:tcW w:w="5640" w:type="dxa"/>
            <w:shd w:val="clear" w:color="auto" w:fill="auto"/>
            <w:noWrap/>
            <w:vAlign w:val="center"/>
            <w:hideMark/>
          </w:tcPr>
          <w:p w:rsidR="002E52A8" w:rsidRPr="002E52A8" w:rsidRDefault="002E52A8" w:rsidP="00C72F49">
            <w:pPr>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Dôchodky z majetku</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12,500</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0,01</w:t>
            </w:r>
          </w:p>
        </w:tc>
      </w:tr>
      <w:tr w:rsidR="002E52A8" w:rsidRPr="002E52A8" w:rsidTr="002E52A8">
        <w:trPr>
          <w:trHeight w:val="300"/>
          <w:jc w:val="center"/>
        </w:trPr>
        <w:tc>
          <w:tcPr>
            <w:tcW w:w="5640" w:type="dxa"/>
            <w:shd w:val="clear" w:color="auto" w:fill="auto"/>
            <w:noWrap/>
            <w:vAlign w:val="center"/>
            <w:hideMark/>
          </w:tcPr>
          <w:p w:rsidR="002E52A8" w:rsidRPr="002E52A8" w:rsidRDefault="002E52A8" w:rsidP="00C72F49">
            <w:pPr>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Granty a transfery</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-306,190</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-0,36</w:t>
            </w:r>
          </w:p>
        </w:tc>
      </w:tr>
      <w:tr w:rsidR="002E52A8" w:rsidRPr="002E52A8" w:rsidTr="002E52A8">
        <w:trPr>
          <w:trHeight w:val="300"/>
          <w:jc w:val="center"/>
        </w:trPr>
        <w:tc>
          <w:tcPr>
            <w:tcW w:w="5640" w:type="dxa"/>
            <w:shd w:val="clear" w:color="auto" w:fill="D9D9D9" w:themeFill="background1" w:themeFillShade="D9"/>
            <w:noWrap/>
            <w:vAlign w:val="center"/>
            <w:hideMark/>
          </w:tcPr>
          <w:p w:rsidR="002E52A8" w:rsidRPr="002E52A8" w:rsidRDefault="002E52A8" w:rsidP="00C72F49">
            <w:pPr>
              <w:rPr>
                <w:rFonts w:ascii="Times New Roman" w:hAnsi="Times New Roman" w:cs="Times New Roman"/>
                <w:b/>
                <w:bCs/>
                <w:color w:val="000000"/>
                <w:sz w:val="14"/>
                <w:szCs w:val="14"/>
                <w:lang w:eastAsia="sk-SK"/>
              </w:rPr>
            </w:pPr>
            <w:r w:rsidRPr="002E52A8">
              <w:rPr>
                <w:rFonts w:ascii="Times New Roman" w:hAnsi="Times New Roman" w:cs="Times New Roman"/>
                <w:b/>
                <w:bCs/>
                <w:color w:val="000000"/>
                <w:sz w:val="14"/>
                <w:szCs w:val="14"/>
                <w:lang w:eastAsia="sk-SK"/>
              </w:rPr>
              <w:t>Zmena výdavkov rozpočtu verejnej správy</w:t>
            </w:r>
          </w:p>
        </w:tc>
        <w:tc>
          <w:tcPr>
            <w:tcW w:w="1120" w:type="dxa"/>
            <w:shd w:val="clear" w:color="auto" w:fill="D9D9D9" w:themeFill="background1" w:themeFillShade="D9"/>
            <w:noWrap/>
            <w:vAlign w:val="center"/>
            <w:hideMark/>
          </w:tcPr>
          <w:p w:rsidR="002E52A8" w:rsidRPr="002E52A8" w:rsidRDefault="002E52A8" w:rsidP="00C72F49">
            <w:pPr>
              <w:jc w:val="right"/>
              <w:rPr>
                <w:rFonts w:ascii="Times New Roman" w:hAnsi="Times New Roman" w:cs="Times New Roman"/>
                <w:b/>
                <w:bCs/>
                <w:color w:val="000000"/>
                <w:sz w:val="14"/>
                <w:szCs w:val="14"/>
                <w:lang w:eastAsia="sk-SK"/>
              </w:rPr>
            </w:pPr>
            <w:r w:rsidRPr="002E52A8">
              <w:rPr>
                <w:rFonts w:ascii="Times New Roman" w:hAnsi="Times New Roman" w:cs="Times New Roman"/>
                <w:b/>
                <w:bCs/>
                <w:color w:val="000000"/>
                <w:sz w:val="14"/>
                <w:szCs w:val="14"/>
                <w:lang w:eastAsia="sk-SK"/>
              </w:rPr>
              <w:t>-152,027</w:t>
            </w:r>
          </w:p>
        </w:tc>
        <w:tc>
          <w:tcPr>
            <w:tcW w:w="1120" w:type="dxa"/>
            <w:shd w:val="clear" w:color="auto" w:fill="D9D9D9" w:themeFill="background1" w:themeFillShade="D9"/>
            <w:noWrap/>
            <w:vAlign w:val="center"/>
            <w:hideMark/>
          </w:tcPr>
          <w:p w:rsidR="002E52A8" w:rsidRPr="002E52A8" w:rsidRDefault="002E52A8" w:rsidP="00C72F49">
            <w:pPr>
              <w:jc w:val="right"/>
              <w:rPr>
                <w:rFonts w:ascii="Times New Roman" w:hAnsi="Times New Roman" w:cs="Times New Roman"/>
                <w:b/>
                <w:bCs/>
                <w:color w:val="000000"/>
                <w:sz w:val="14"/>
                <w:szCs w:val="14"/>
                <w:lang w:eastAsia="sk-SK"/>
              </w:rPr>
            </w:pPr>
            <w:r w:rsidRPr="002E52A8">
              <w:rPr>
                <w:rFonts w:ascii="Times New Roman" w:hAnsi="Times New Roman" w:cs="Times New Roman"/>
                <w:b/>
                <w:bCs/>
                <w:color w:val="000000"/>
                <w:sz w:val="14"/>
                <w:szCs w:val="14"/>
                <w:lang w:eastAsia="sk-SK"/>
              </w:rPr>
              <w:t>-0,18</w:t>
            </w:r>
          </w:p>
        </w:tc>
      </w:tr>
      <w:tr w:rsidR="002E52A8" w:rsidRPr="002E52A8" w:rsidTr="002E52A8">
        <w:trPr>
          <w:trHeight w:val="300"/>
          <w:jc w:val="center"/>
        </w:trPr>
        <w:tc>
          <w:tcPr>
            <w:tcW w:w="5640" w:type="dxa"/>
            <w:shd w:val="clear" w:color="auto" w:fill="auto"/>
            <w:noWrap/>
            <w:vAlign w:val="center"/>
            <w:hideMark/>
          </w:tcPr>
          <w:p w:rsidR="002E52A8" w:rsidRPr="002E52A8" w:rsidRDefault="002E52A8" w:rsidP="00C72F49">
            <w:pPr>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Kompenzácie zamestnancov</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-255,219</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-0,30</w:t>
            </w:r>
          </w:p>
        </w:tc>
      </w:tr>
      <w:tr w:rsidR="002E52A8" w:rsidRPr="002E52A8" w:rsidTr="002E52A8">
        <w:trPr>
          <w:trHeight w:val="300"/>
          <w:jc w:val="center"/>
        </w:trPr>
        <w:tc>
          <w:tcPr>
            <w:tcW w:w="5640" w:type="dxa"/>
            <w:shd w:val="clear" w:color="auto" w:fill="auto"/>
            <w:noWrap/>
            <w:vAlign w:val="center"/>
            <w:hideMark/>
          </w:tcPr>
          <w:p w:rsidR="002E52A8" w:rsidRPr="002E52A8" w:rsidRDefault="002E52A8" w:rsidP="00C72F49">
            <w:pPr>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Medzispotreba</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-337,751</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-0,40</w:t>
            </w:r>
          </w:p>
        </w:tc>
      </w:tr>
      <w:tr w:rsidR="002E52A8" w:rsidRPr="002E52A8" w:rsidTr="002E52A8">
        <w:trPr>
          <w:trHeight w:val="300"/>
          <w:jc w:val="center"/>
        </w:trPr>
        <w:tc>
          <w:tcPr>
            <w:tcW w:w="5640" w:type="dxa"/>
            <w:shd w:val="clear" w:color="auto" w:fill="auto"/>
            <w:noWrap/>
            <w:vAlign w:val="center"/>
            <w:hideMark/>
          </w:tcPr>
          <w:p w:rsidR="002E52A8" w:rsidRPr="002E52A8" w:rsidRDefault="002E52A8" w:rsidP="00C72F49">
            <w:pPr>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Subvencie</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139,546</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0,16</w:t>
            </w:r>
          </w:p>
        </w:tc>
      </w:tr>
      <w:tr w:rsidR="002E52A8" w:rsidRPr="002E52A8" w:rsidTr="002E52A8">
        <w:trPr>
          <w:trHeight w:val="300"/>
          <w:jc w:val="center"/>
        </w:trPr>
        <w:tc>
          <w:tcPr>
            <w:tcW w:w="5640" w:type="dxa"/>
            <w:shd w:val="clear" w:color="auto" w:fill="auto"/>
            <w:noWrap/>
            <w:vAlign w:val="center"/>
            <w:hideMark/>
          </w:tcPr>
          <w:p w:rsidR="002E52A8" w:rsidRPr="002E52A8" w:rsidRDefault="002E52A8" w:rsidP="00C72F49">
            <w:pPr>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Úrokové náklady</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17,107</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0,02</w:t>
            </w:r>
          </w:p>
        </w:tc>
      </w:tr>
      <w:tr w:rsidR="002E52A8" w:rsidRPr="002E52A8" w:rsidTr="002E52A8">
        <w:trPr>
          <w:trHeight w:val="300"/>
          <w:jc w:val="center"/>
        </w:trPr>
        <w:tc>
          <w:tcPr>
            <w:tcW w:w="5640" w:type="dxa"/>
            <w:shd w:val="clear" w:color="auto" w:fill="auto"/>
            <w:noWrap/>
            <w:vAlign w:val="center"/>
            <w:hideMark/>
          </w:tcPr>
          <w:p w:rsidR="002E52A8" w:rsidRPr="002E52A8" w:rsidRDefault="002E52A8" w:rsidP="00C72F49">
            <w:pPr>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Sociálne dávky okrem naturálnych soc. transferov</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-109,135</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-0,13</w:t>
            </w:r>
          </w:p>
        </w:tc>
      </w:tr>
      <w:tr w:rsidR="002E52A8" w:rsidRPr="002E52A8" w:rsidTr="002E52A8">
        <w:trPr>
          <w:trHeight w:val="300"/>
          <w:jc w:val="center"/>
        </w:trPr>
        <w:tc>
          <w:tcPr>
            <w:tcW w:w="5640" w:type="dxa"/>
            <w:shd w:val="clear" w:color="auto" w:fill="auto"/>
            <w:noWrap/>
            <w:vAlign w:val="center"/>
            <w:hideMark/>
          </w:tcPr>
          <w:p w:rsidR="002E52A8" w:rsidRPr="002E52A8" w:rsidRDefault="002E52A8" w:rsidP="00C72F49">
            <w:pPr>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Naturálne sociálne transfery (výdavky poistenia VZP)</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-141,959</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-0,17</w:t>
            </w:r>
          </w:p>
        </w:tc>
      </w:tr>
      <w:tr w:rsidR="002E52A8" w:rsidRPr="002E52A8" w:rsidTr="002E52A8">
        <w:trPr>
          <w:trHeight w:val="300"/>
          <w:jc w:val="center"/>
        </w:trPr>
        <w:tc>
          <w:tcPr>
            <w:tcW w:w="5640" w:type="dxa"/>
            <w:shd w:val="clear" w:color="auto" w:fill="auto"/>
            <w:noWrap/>
            <w:vAlign w:val="center"/>
            <w:hideMark/>
          </w:tcPr>
          <w:p w:rsidR="002E52A8" w:rsidRPr="002E52A8" w:rsidRDefault="002E52A8" w:rsidP="00C72F49">
            <w:pPr>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Ostatné bežné transfery</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404,073</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0,48</w:t>
            </w:r>
          </w:p>
        </w:tc>
      </w:tr>
      <w:tr w:rsidR="002E52A8" w:rsidRPr="002E52A8" w:rsidTr="002E52A8">
        <w:trPr>
          <w:trHeight w:val="300"/>
          <w:jc w:val="center"/>
        </w:trPr>
        <w:tc>
          <w:tcPr>
            <w:tcW w:w="5640" w:type="dxa"/>
            <w:shd w:val="clear" w:color="auto" w:fill="auto"/>
            <w:noWrap/>
            <w:vAlign w:val="center"/>
            <w:hideMark/>
          </w:tcPr>
          <w:p w:rsidR="002E52A8" w:rsidRPr="002E52A8" w:rsidRDefault="002E52A8" w:rsidP="00C72F49">
            <w:pPr>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Kapitálové investície</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128,607</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0,15</w:t>
            </w:r>
          </w:p>
        </w:tc>
      </w:tr>
      <w:tr w:rsidR="002E52A8" w:rsidRPr="002E52A8" w:rsidTr="002E52A8">
        <w:trPr>
          <w:trHeight w:val="300"/>
          <w:jc w:val="center"/>
        </w:trPr>
        <w:tc>
          <w:tcPr>
            <w:tcW w:w="5640" w:type="dxa"/>
            <w:shd w:val="clear" w:color="auto" w:fill="auto"/>
            <w:noWrap/>
            <w:vAlign w:val="center"/>
            <w:hideMark/>
          </w:tcPr>
          <w:p w:rsidR="002E52A8" w:rsidRPr="002E52A8" w:rsidRDefault="002E52A8" w:rsidP="00C72F49">
            <w:pPr>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Investičné granty a ostatné kapitálové transfery</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2,704</w:t>
            </w:r>
          </w:p>
        </w:tc>
        <w:tc>
          <w:tcPr>
            <w:tcW w:w="1120" w:type="dxa"/>
            <w:shd w:val="clear" w:color="auto" w:fill="auto"/>
            <w:noWrap/>
            <w:vAlign w:val="center"/>
            <w:hideMark/>
          </w:tcPr>
          <w:p w:rsidR="002E52A8" w:rsidRPr="002E52A8" w:rsidRDefault="002E52A8" w:rsidP="00C72F49">
            <w:pPr>
              <w:jc w:val="right"/>
              <w:rPr>
                <w:rFonts w:ascii="Times New Roman" w:hAnsi="Times New Roman" w:cs="Times New Roman"/>
                <w:color w:val="000000"/>
                <w:sz w:val="14"/>
                <w:szCs w:val="14"/>
                <w:lang w:eastAsia="sk-SK"/>
              </w:rPr>
            </w:pPr>
            <w:r w:rsidRPr="002E52A8">
              <w:rPr>
                <w:rFonts w:ascii="Times New Roman" w:hAnsi="Times New Roman" w:cs="Times New Roman"/>
                <w:color w:val="000000"/>
                <w:sz w:val="14"/>
                <w:szCs w:val="14"/>
                <w:lang w:eastAsia="sk-SK"/>
              </w:rPr>
              <w:t>0,00</w:t>
            </w:r>
          </w:p>
        </w:tc>
      </w:tr>
      <w:tr w:rsidR="002E52A8" w:rsidRPr="002E52A8" w:rsidTr="002E52A8">
        <w:trPr>
          <w:trHeight w:val="300"/>
          <w:jc w:val="center"/>
        </w:trPr>
        <w:tc>
          <w:tcPr>
            <w:tcW w:w="5640" w:type="dxa"/>
            <w:tcBorders>
              <w:bottom w:val="single" w:sz="4" w:space="0" w:color="auto"/>
            </w:tcBorders>
            <w:shd w:val="clear" w:color="auto" w:fill="BFBFBF" w:themeFill="background1" w:themeFillShade="BF"/>
            <w:noWrap/>
            <w:vAlign w:val="center"/>
            <w:hideMark/>
          </w:tcPr>
          <w:p w:rsidR="002E52A8" w:rsidRPr="002E52A8" w:rsidRDefault="002E52A8" w:rsidP="00C72F49">
            <w:pPr>
              <w:rPr>
                <w:rFonts w:ascii="Times New Roman" w:hAnsi="Times New Roman" w:cs="Times New Roman"/>
                <w:b/>
                <w:bCs/>
                <w:color w:val="000000"/>
                <w:sz w:val="14"/>
                <w:szCs w:val="14"/>
                <w:lang w:eastAsia="sk-SK"/>
              </w:rPr>
            </w:pPr>
            <w:r w:rsidRPr="002E52A8">
              <w:rPr>
                <w:rFonts w:ascii="Times New Roman" w:hAnsi="Times New Roman" w:cs="Times New Roman"/>
                <w:b/>
                <w:bCs/>
                <w:color w:val="000000"/>
                <w:sz w:val="14"/>
                <w:szCs w:val="14"/>
                <w:lang w:eastAsia="sk-SK"/>
              </w:rPr>
              <w:t>Očakávaná skutočnosť 2017</w:t>
            </w:r>
          </w:p>
        </w:tc>
        <w:tc>
          <w:tcPr>
            <w:tcW w:w="1120" w:type="dxa"/>
            <w:tcBorders>
              <w:bottom w:val="single" w:sz="4" w:space="0" w:color="auto"/>
            </w:tcBorders>
            <w:shd w:val="clear" w:color="auto" w:fill="BFBFBF" w:themeFill="background1" w:themeFillShade="BF"/>
            <w:noWrap/>
            <w:vAlign w:val="center"/>
            <w:hideMark/>
          </w:tcPr>
          <w:p w:rsidR="002E52A8" w:rsidRPr="002E52A8" w:rsidRDefault="002E52A8" w:rsidP="00C72F49">
            <w:pPr>
              <w:jc w:val="right"/>
              <w:rPr>
                <w:rFonts w:ascii="Times New Roman" w:hAnsi="Times New Roman" w:cs="Times New Roman"/>
                <w:b/>
                <w:bCs/>
                <w:color w:val="000000"/>
                <w:sz w:val="14"/>
                <w:szCs w:val="14"/>
                <w:lang w:eastAsia="sk-SK"/>
              </w:rPr>
            </w:pPr>
            <w:r w:rsidRPr="002E52A8">
              <w:rPr>
                <w:rFonts w:ascii="Times New Roman" w:hAnsi="Times New Roman" w:cs="Times New Roman"/>
                <w:b/>
                <w:bCs/>
                <w:color w:val="000000"/>
                <w:sz w:val="14"/>
                <w:szCs w:val="14"/>
                <w:lang w:eastAsia="sk-SK"/>
              </w:rPr>
              <w:t>-1 375,550</w:t>
            </w:r>
          </w:p>
        </w:tc>
        <w:tc>
          <w:tcPr>
            <w:tcW w:w="1120" w:type="dxa"/>
            <w:tcBorders>
              <w:bottom w:val="single" w:sz="4" w:space="0" w:color="auto"/>
            </w:tcBorders>
            <w:shd w:val="clear" w:color="auto" w:fill="BFBFBF" w:themeFill="background1" w:themeFillShade="BF"/>
            <w:noWrap/>
            <w:vAlign w:val="center"/>
            <w:hideMark/>
          </w:tcPr>
          <w:p w:rsidR="002E52A8" w:rsidRPr="002E52A8" w:rsidRDefault="002E52A8" w:rsidP="00C72F49">
            <w:pPr>
              <w:jc w:val="right"/>
              <w:rPr>
                <w:rFonts w:ascii="Times New Roman" w:hAnsi="Times New Roman" w:cs="Times New Roman"/>
                <w:b/>
                <w:bCs/>
                <w:color w:val="000000"/>
                <w:sz w:val="14"/>
                <w:szCs w:val="14"/>
                <w:lang w:eastAsia="sk-SK"/>
              </w:rPr>
            </w:pPr>
            <w:r w:rsidRPr="002E52A8">
              <w:rPr>
                <w:rFonts w:ascii="Times New Roman" w:hAnsi="Times New Roman" w:cs="Times New Roman"/>
                <w:b/>
                <w:bCs/>
                <w:color w:val="000000"/>
                <w:sz w:val="14"/>
                <w:szCs w:val="14"/>
                <w:lang w:eastAsia="sk-SK"/>
              </w:rPr>
              <w:t>-1,63</w:t>
            </w:r>
          </w:p>
        </w:tc>
      </w:tr>
      <w:tr w:rsidR="002E52A8" w:rsidRPr="002E52A8" w:rsidTr="002E52A8">
        <w:trPr>
          <w:trHeight w:val="300"/>
          <w:jc w:val="center"/>
        </w:trPr>
        <w:tc>
          <w:tcPr>
            <w:tcW w:w="7880" w:type="dxa"/>
            <w:gridSpan w:val="3"/>
            <w:tcBorders>
              <w:top w:val="single" w:sz="4" w:space="0" w:color="auto"/>
              <w:left w:val="nil"/>
              <w:bottom w:val="nil"/>
              <w:right w:val="nil"/>
            </w:tcBorders>
            <w:shd w:val="clear" w:color="auto" w:fill="auto"/>
            <w:noWrap/>
            <w:vAlign w:val="center"/>
            <w:hideMark/>
          </w:tcPr>
          <w:p w:rsidR="002E52A8" w:rsidRPr="002E52A8" w:rsidRDefault="002E52A8" w:rsidP="00C72F49">
            <w:pPr>
              <w:rPr>
                <w:rFonts w:ascii="Times New Roman" w:hAnsi="Times New Roman" w:cs="Times New Roman"/>
                <w:i/>
                <w:iCs/>
                <w:color w:val="000000"/>
                <w:sz w:val="14"/>
                <w:szCs w:val="14"/>
                <w:lang w:eastAsia="sk-SK"/>
              </w:rPr>
            </w:pPr>
            <w:r w:rsidRPr="002E52A8">
              <w:rPr>
                <w:rFonts w:ascii="Times New Roman" w:hAnsi="Times New Roman" w:cs="Times New Roman"/>
                <w:i/>
                <w:iCs/>
                <w:color w:val="000000"/>
                <w:sz w:val="14"/>
                <w:szCs w:val="14"/>
                <w:lang w:eastAsia="sk-SK"/>
              </w:rPr>
              <w:t>Pozn. znamienko (+) znamená zníženie, resp. znamienko (-) zvýšenie schodku rozpočtu verejnej správy</w:t>
            </w:r>
          </w:p>
        </w:tc>
      </w:tr>
    </w:tbl>
    <w:p w:rsidR="002E52A8" w:rsidRDefault="002E52A8" w:rsidP="002E52A8">
      <w:pPr>
        <w:ind w:firstLine="708"/>
        <w:jc w:val="both"/>
        <w:rPr>
          <w:rFonts w:ascii="Times New Roman" w:hAnsi="Times New Roman"/>
        </w:rPr>
      </w:pPr>
    </w:p>
    <w:p w:rsidR="002E52A8" w:rsidRDefault="002E52A8" w:rsidP="002E52A8">
      <w:pPr>
        <w:ind w:firstLine="708"/>
        <w:jc w:val="both"/>
        <w:rPr>
          <w:rFonts w:ascii="Times New Roman" w:hAnsi="Times New Roman"/>
        </w:rPr>
      </w:pPr>
      <w:r w:rsidRPr="00C07C39">
        <w:rPr>
          <w:rFonts w:ascii="Times New Roman" w:hAnsi="Times New Roman"/>
        </w:rPr>
        <w:t xml:space="preserve">V rámci daňových príjmov možno konštatovať, že daňové príjmy štátneho rozpočtu predpokladajú výpadok vo výške </w:t>
      </w:r>
      <w:r>
        <w:rPr>
          <w:rFonts w:ascii="Times New Roman" w:hAnsi="Times New Roman"/>
        </w:rPr>
        <w:t>234,6</w:t>
      </w:r>
      <w:r w:rsidRPr="00C07C39">
        <w:rPr>
          <w:rFonts w:ascii="Times New Roman" w:hAnsi="Times New Roman"/>
        </w:rPr>
        <w:t xml:space="preserve"> mil. eur. </w:t>
      </w:r>
      <w:r>
        <w:rPr>
          <w:rFonts w:ascii="Times New Roman" w:hAnsi="Times New Roman"/>
        </w:rPr>
        <w:t xml:space="preserve">Ide najmä o výpadok v rámci daní z príjmov právnických osôb. </w:t>
      </w:r>
      <w:r w:rsidRPr="00A75119">
        <w:rPr>
          <w:rFonts w:ascii="Times New Roman" w:hAnsi="Times New Roman" w:cs="Times New Roman"/>
        </w:rPr>
        <w:t xml:space="preserve">Hlavným dôvodom je negatívne zúčtovanie dane v roku 2016 determinované poklesom ziskovosti a kombináciou jednorazových faktorov v podobe pripočítateľných a odpočítateľných položiek upravujúcich zisk na základ dane. </w:t>
      </w:r>
      <w:r>
        <w:rPr>
          <w:rFonts w:ascii="Times New Roman" w:hAnsi="Times New Roman"/>
        </w:rPr>
        <w:t xml:space="preserve">Naopak pozitívny vývoj je zaznamenávaný v rámci príjmov dane z pridanej hodnoty, pri ktorej sa očakáva prekročenie rozpočtu o 120,3 mil. eur. </w:t>
      </w:r>
      <w:r w:rsidRPr="00AB2292">
        <w:rPr>
          <w:rFonts w:ascii="Times New Roman" w:hAnsi="Times New Roman" w:cs="Times New Roman"/>
        </w:rPr>
        <w:t>Aktualizácia výnosu vychádza z nárastu efektivity výberu dane a vyššej ako očakávanej konečnej spotreby domácností.</w:t>
      </w:r>
    </w:p>
    <w:p w:rsidR="002E52A8" w:rsidRDefault="002E52A8" w:rsidP="002E52A8">
      <w:pPr>
        <w:jc w:val="both"/>
        <w:rPr>
          <w:rFonts w:ascii="Times New Roman" w:hAnsi="Times New Roman"/>
        </w:rPr>
      </w:pPr>
    </w:p>
    <w:p w:rsidR="002E52A8" w:rsidRPr="00C07C39" w:rsidRDefault="002E52A8" w:rsidP="002E52A8">
      <w:pPr>
        <w:ind w:firstLine="708"/>
        <w:jc w:val="both"/>
        <w:rPr>
          <w:rFonts w:ascii="Times New Roman" w:hAnsi="Times New Roman"/>
        </w:rPr>
      </w:pPr>
      <w:r w:rsidRPr="00C07C39">
        <w:rPr>
          <w:rFonts w:ascii="Times New Roman" w:hAnsi="Times New Roman"/>
        </w:rPr>
        <w:t xml:space="preserve">Daňové príjmy z osobitných odvodov z podnikania v regulovaných odvetviach </w:t>
      </w:r>
      <w:r>
        <w:rPr>
          <w:rFonts w:ascii="Times New Roman" w:hAnsi="Times New Roman"/>
        </w:rPr>
        <w:t xml:space="preserve">predpokladajú výpadok na </w:t>
      </w:r>
      <w:r w:rsidRPr="00C07C39">
        <w:rPr>
          <w:rFonts w:ascii="Times New Roman" w:hAnsi="Times New Roman"/>
        </w:rPr>
        <w:t>úrovn</w:t>
      </w:r>
      <w:r>
        <w:rPr>
          <w:rFonts w:ascii="Times New Roman" w:hAnsi="Times New Roman"/>
        </w:rPr>
        <w:t>i</w:t>
      </w:r>
      <w:r w:rsidRPr="00C07C39">
        <w:rPr>
          <w:rFonts w:ascii="Times New Roman" w:hAnsi="Times New Roman"/>
        </w:rPr>
        <w:t xml:space="preserve"> </w:t>
      </w:r>
      <w:r>
        <w:rPr>
          <w:rFonts w:ascii="Times New Roman" w:hAnsi="Times New Roman"/>
        </w:rPr>
        <w:t>40,8</w:t>
      </w:r>
      <w:r w:rsidRPr="00C07C39">
        <w:rPr>
          <w:rFonts w:ascii="Times New Roman" w:hAnsi="Times New Roman"/>
        </w:rPr>
        <w:t xml:space="preserve"> mil. eur</w:t>
      </w:r>
      <w:r>
        <w:rPr>
          <w:rFonts w:ascii="Times New Roman" w:hAnsi="Times New Roman"/>
        </w:rPr>
        <w:t>. Ďalej v rámci štátnych finančných aktív dochádza k výpadku osobitného odvodu vybraných finančných inštitúcií na úrovni 0,7 mil. eur. Z</w:t>
      </w:r>
      <w:r w:rsidRPr="00C07C39">
        <w:rPr>
          <w:rFonts w:ascii="Times New Roman" w:hAnsi="Times New Roman"/>
        </w:rPr>
        <w:t>lepšenie daňových príjmov obc</w:t>
      </w:r>
      <w:r>
        <w:rPr>
          <w:rFonts w:ascii="Times New Roman" w:hAnsi="Times New Roman"/>
        </w:rPr>
        <w:t>í</w:t>
      </w:r>
      <w:r w:rsidRPr="00C07C39">
        <w:rPr>
          <w:rFonts w:ascii="Times New Roman" w:hAnsi="Times New Roman"/>
        </w:rPr>
        <w:t xml:space="preserve"> sa očakáva vo výške </w:t>
      </w:r>
      <w:r>
        <w:rPr>
          <w:rFonts w:ascii="Times New Roman" w:hAnsi="Times New Roman"/>
        </w:rPr>
        <w:t>22,1</w:t>
      </w:r>
      <w:r w:rsidRPr="00C07C39">
        <w:rPr>
          <w:rFonts w:ascii="Times New Roman" w:hAnsi="Times New Roman"/>
        </w:rPr>
        <w:t xml:space="preserve"> mil. eur</w:t>
      </w:r>
      <w:r w:rsidR="00232645">
        <w:rPr>
          <w:rFonts w:ascii="Times New Roman" w:hAnsi="Times New Roman"/>
        </w:rPr>
        <w:t xml:space="preserve"> (bez DPFO)</w:t>
      </w:r>
      <w:r w:rsidRPr="00C07C39">
        <w:rPr>
          <w:rFonts w:ascii="Times New Roman" w:hAnsi="Times New Roman"/>
        </w:rPr>
        <w:t xml:space="preserve">. </w:t>
      </w:r>
      <w:r>
        <w:rPr>
          <w:rFonts w:ascii="Times New Roman" w:hAnsi="Times New Roman"/>
        </w:rPr>
        <w:t xml:space="preserve">V rámci </w:t>
      </w:r>
      <w:r>
        <w:rPr>
          <w:rFonts w:ascii="Times New Roman" w:hAnsi="Times New Roman"/>
        </w:rPr>
        <w:lastRenderedPageBreak/>
        <w:t>daňových príjmov Rozhlasu a televízie Slovenska (ďalej „RTVS“) sa očakáva taktiež zlepšenie rozpočtovanej úrovne, a to o 3,4 mil. eur a pri Audiovizuálnom fonde o 0,1 mil. eur.</w:t>
      </w:r>
    </w:p>
    <w:p w:rsidR="002E52A8" w:rsidRDefault="002E52A8" w:rsidP="002E52A8">
      <w:pPr>
        <w:jc w:val="both"/>
        <w:rPr>
          <w:rFonts w:ascii="Times New Roman" w:hAnsi="Times New Roman"/>
        </w:rPr>
      </w:pPr>
    </w:p>
    <w:p w:rsidR="002E52A8" w:rsidRPr="00C07C39" w:rsidRDefault="002E52A8" w:rsidP="002E52A8">
      <w:pPr>
        <w:ind w:firstLine="708"/>
        <w:jc w:val="both"/>
        <w:rPr>
          <w:rFonts w:ascii="Times New Roman" w:hAnsi="Times New Roman"/>
        </w:rPr>
      </w:pPr>
      <w:r w:rsidRPr="00C07C39">
        <w:rPr>
          <w:rFonts w:ascii="Times New Roman" w:hAnsi="Times New Roman"/>
        </w:rPr>
        <w:t xml:space="preserve">Výrazné prekročenie rozpočtovanej úrovne sa očakáva v rámci príspevkov na sociálne zabezpečenie, </w:t>
      </w:r>
      <w:r>
        <w:rPr>
          <w:rFonts w:ascii="Times New Roman" w:hAnsi="Times New Roman"/>
        </w:rPr>
        <w:t>a to o 468,1</w:t>
      </w:r>
      <w:r w:rsidRPr="00C07C39">
        <w:rPr>
          <w:rFonts w:ascii="Times New Roman" w:hAnsi="Times New Roman"/>
        </w:rPr>
        <w:t xml:space="preserve"> mil. eur. V rámci Sociálnej poisťovne sa predpokladá zlepšenie na úrovni </w:t>
      </w:r>
      <w:r>
        <w:rPr>
          <w:rFonts w:ascii="Times New Roman" w:hAnsi="Times New Roman"/>
        </w:rPr>
        <w:t>143,2</w:t>
      </w:r>
      <w:r w:rsidRPr="00C07C39">
        <w:rPr>
          <w:rFonts w:ascii="Times New Roman" w:hAnsi="Times New Roman"/>
        </w:rPr>
        <w:t xml:space="preserve"> mil. eur a v rámci príjmov verejného zdravotného poistenia až na úrovni </w:t>
      </w:r>
      <w:r>
        <w:rPr>
          <w:rFonts w:ascii="Times New Roman" w:hAnsi="Times New Roman"/>
        </w:rPr>
        <w:t xml:space="preserve">           227,1</w:t>
      </w:r>
      <w:r w:rsidRPr="00C07C39">
        <w:rPr>
          <w:rFonts w:ascii="Times New Roman" w:hAnsi="Times New Roman"/>
        </w:rPr>
        <w:t xml:space="preserve"> </w:t>
      </w:r>
      <w:r w:rsidRPr="001F2623">
        <w:rPr>
          <w:rFonts w:ascii="Times New Roman" w:hAnsi="Times New Roman"/>
        </w:rPr>
        <w:t xml:space="preserve">mil. eur. V rámci osobitných účtov sociálneho zabezpečenia silových zložiek sa predpokladá zvýšenie na úrovni 97,5 mil. eur </w:t>
      </w:r>
      <w:r>
        <w:rPr>
          <w:rStyle w:val="Odkaznapoznmkupodiarou"/>
          <w:rFonts w:ascii="Times New Roman" w:hAnsi="Times New Roman"/>
        </w:rPr>
        <w:footnoteReference w:id="1"/>
      </w:r>
      <w:r w:rsidRPr="001F2623">
        <w:rPr>
          <w:rFonts w:ascii="Times New Roman" w:hAnsi="Times New Roman"/>
        </w:rPr>
        <w:t>. Imputované</w:t>
      </w:r>
      <w:r>
        <w:rPr>
          <w:rFonts w:ascii="Times New Roman" w:hAnsi="Times New Roman"/>
        </w:rPr>
        <w:t xml:space="preserve"> sociálne príspevky za </w:t>
      </w:r>
      <w:proofErr w:type="spellStart"/>
      <w:r>
        <w:rPr>
          <w:rFonts w:ascii="Times New Roman" w:hAnsi="Times New Roman"/>
        </w:rPr>
        <w:t>Javys</w:t>
      </w:r>
      <w:proofErr w:type="spellEnd"/>
      <w:r>
        <w:rPr>
          <w:rFonts w:ascii="Times New Roman" w:hAnsi="Times New Roman"/>
        </w:rPr>
        <w:t>, a. s.</w:t>
      </w:r>
      <w:r>
        <w:rPr>
          <w:rStyle w:val="Odkaznapoznmkupodiarou"/>
          <w:rFonts w:ascii="Times New Roman" w:hAnsi="Times New Roman"/>
        </w:rPr>
        <w:footnoteReference w:id="2"/>
      </w:r>
      <w:r>
        <w:rPr>
          <w:rFonts w:ascii="Times New Roman" w:hAnsi="Times New Roman"/>
        </w:rPr>
        <w:t xml:space="preserve"> predstavujú 0,3 mil. eur.</w:t>
      </w:r>
    </w:p>
    <w:p w:rsidR="002E52A8" w:rsidRDefault="002E52A8" w:rsidP="002E52A8">
      <w:pPr>
        <w:jc w:val="both"/>
        <w:rPr>
          <w:rFonts w:ascii="Times New Roman" w:hAnsi="Times New Roman"/>
        </w:rPr>
      </w:pPr>
    </w:p>
    <w:p w:rsidR="002E52A8" w:rsidRDefault="002E52A8" w:rsidP="002E52A8">
      <w:pPr>
        <w:ind w:firstLine="708"/>
        <w:jc w:val="both"/>
        <w:rPr>
          <w:rFonts w:ascii="Times New Roman" w:hAnsi="Times New Roman"/>
        </w:rPr>
      </w:pPr>
      <w:r w:rsidRPr="00C07C39">
        <w:rPr>
          <w:rFonts w:ascii="Times New Roman" w:hAnsi="Times New Roman"/>
        </w:rPr>
        <w:t xml:space="preserve">V rámci tržieb </w:t>
      </w:r>
      <w:r>
        <w:rPr>
          <w:rFonts w:ascii="Times New Roman" w:hAnsi="Times New Roman"/>
        </w:rPr>
        <w:t xml:space="preserve">sektora verejnej správy </w:t>
      </w:r>
      <w:r w:rsidRPr="00C07C39">
        <w:rPr>
          <w:rFonts w:ascii="Times New Roman" w:hAnsi="Times New Roman"/>
        </w:rPr>
        <w:t>dochádza k</w:t>
      </w:r>
      <w:r>
        <w:rPr>
          <w:rFonts w:ascii="Times New Roman" w:hAnsi="Times New Roman"/>
        </w:rPr>
        <w:t xml:space="preserve"> výpadku vo výške 33,8 mil. eur. </w:t>
      </w:r>
      <w:r w:rsidRPr="00E15B1C">
        <w:rPr>
          <w:rFonts w:ascii="Times New Roman" w:hAnsi="Times New Roman"/>
        </w:rPr>
        <w:t xml:space="preserve">Výpadok príjmov z tržieb schváleného rozpočtu sa očakáva pri spoločnostiach pod gesciou ministerstva dopravy a výstavby, a to pri Železniciach SR (ďalej „ŽSR“) vo výške </w:t>
      </w:r>
      <w:r w:rsidR="00FA254F">
        <w:rPr>
          <w:rFonts w:ascii="Times New Roman" w:hAnsi="Times New Roman"/>
        </w:rPr>
        <w:br/>
      </w:r>
      <w:r w:rsidRPr="00E15B1C">
        <w:rPr>
          <w:rFonts w:ascii="Times New Roman" w:hAnsi="Times New Roman"/>
        </w:rPr>
        <w:t xml:space="preserve">39,4 mil. eur, a to najmä </w:t>
      </w:r>
      <w:r>
        <w:rPr>
          <w:rFonts w:ascii="Times New Roman" w:hAnsi="Times New Roman"/>
        </w:rPr>
        <w:t>z</w:t>
      </w:r>
      <w:r w:rsidRPr="00E15B1C">
        <w:rPr>
          <w:rFonts w:ascii="Times New Roman" w:hAnsi="Times New Roman"/>
        </w:rPr>
        <w:t xml:space="preserve"> dôvodu meškania platieb od prepravcov. Pri MH </w:t>
      </w:r>
      <w:proofErr w:type="spellStart"/>
      <w:r w:rsidRPr="00E15B1C">
        <w:rPr>
          <w:rFonts w:ascii="Times New Roman" w:hAnsi="Times New Roman"/>
        </w:rPr>
        <w:t>Invest</w:t>
      </w:r>
      <w:proofErr w:type="spellEnd"/>
      <w:r w:rsidRPr="00E15B1C">
        <w:rPr>
          <w:rFonts w:ascii="Times New Roman" w:hAnsi="Times New Roman"/>
        </w:rPr>
        <w:t xml:space="preserve">, s. r. o. výpadok predstavuje </w:t>
      </w:r>
      <w:r>
        <w:rPr>
          <w:rFonts w:ascii="Times New Roman" w:hAnsi="Times New Roman"/>
        </w:rPr>
        <w:t>26,9 mil. eur</w:t>
      </w:r>
      <w:r w:rsidRPr="00E15B1C">
        <w:rPr>
          <w:rFonts w:ascii="Times New Roman" w:hAnsi="Times New Roman"/>
        </w:rPr>
        <w:t xml:space="preserve"> a súvisí so splátkou pohľadávky z predaja pozemkov. Národná diaľničná spoločnosť, a. s. (ďalej „NDS“) predpokladá výpadok vo výške </w:t>
      </w:r>
      <w:r w:rsidR="00FA254F">
        <w:rPr>
          <w:rFonts w:ascii="Times New Roman" w:hAnsi="Times New Roman"/>
        </w:rPr>
        <w:br/>
      </w:r>
      <w:r w:rsidRPr="00E15B1C">
        <w:rPr>
          <w:rFonts w:ascii="Times New Roman" w:hAnsi="Times New Roman"/>
        </w:rPr>
        <w:t xml:space="preserve">26,5 mil. eur, ktorý súvisí najmä s výpadkom príjmov z diaľničných známok. Pri Železničnej spoločnosti </w:t>
      </w:r>
      <w:r w:rsidR="000013DE">
        <w:rPr>
          <w:rFonts w:ascii="Times New Roman" w:hAnsi="Times New Roman"/>
        </w:rPr>
        <w:t>Slovensko</w:t>
      </w:r>
      <w:r w:rsidRPr="00E15B1C">
        <w:rPr>
          <w:rFonts w:ascii="Times New Roman" w:hAnsi="Times New Roman"/>
        </w:rPr>
        <w:t xml:space="preserve"> (ďalej „ŽSSK“) ide o pokles tržieb z osobnej dopravy vo výške </w:t>
      </w:r>
      <w:r w:rsidR="000013DE">
        <w:rPr>
          <w:rFonts w:ascii="Times New Roman" w:hAnsi="Times New Roman"/>
        </w:rPr>
        <w:br/>
      </w:r>
      <w:r w:rsidRPr="00E15B1C">
        <w:rPr>
          <w:rFonts w:ascii="Times New Roman" w:hAnsi="Times New Roman"/>
        </w:rPr>
        <w:t>9,3 mil. eur. V rámci</w:t>
      </w:r>
      <w:r>
        <w:rPr>
          <w:rFonts w:ascii="Times New Roman" w:hAnsi="Times New Roman"/>
        </w:rPr>
        <w:t xml:space="preserve"> štátneho rozpočtu sa predpokladá obdobný vývoj, pričom výpadok sa odhaduje na úrovni 17,5 mil. eur.</w:t>
      </w:r>
      <w:r w:rsidRPr="00C07C39">
        <w:rPr>
          <w:rFonts w:ascii="Times New Roman" w:hAnsi="Times New Roman"/>
        </w:rPr>
        <w:t xml:space="preserve"> </w:t>
      </w:r>
      <w:r>
        <w:rPr>
          <w:rFonts w:ascii="Times New Roman" w:hAnsi="Times New Roman"/>
        </w:rPr>
        <w:t xml:space="preserve">Verejné vysoké školy očakávajú výpadok na úrovni </w:t>
      </w:r>
      <w:r w:rsidR="000013DE">
        <w:rPr>
          <w:rFonts w:ascii="Times New Roman" w:hAnsi="Times New Roman"/>
        </w:rPr>
        <w:br/>
      </w:r>
      <w:r>
        <w:rPr>
          <w:rFonts w:ascii="Times New Roman" w:hAnsi="Times New Roman"/>
        </w:rPr>
        <w:t>5,6 mil. eur. K nárastu dochádza v</w:t>
      </w:r>
      <w:r w:rsidRPr="00C07C39">
        <w:rPr>
          <w:rFonts w:ascii="Times New Roman" w:hAnsi="Times New Roman"/>
        </w:rPr>
        <w:t xml:space="preserve"> spoločnosti </w:t>
      </w:r>
      <w:proofErr w:type="spellStart"/>
      <w:r w:rsidRPr="00C07C39">
        <w:rPr>
          <w:rFonts w:ascii="Times New Roman" w:hAnsi="Times New Roman"/>
        </w:rPr>
        <w:t>Javys</w:t>
      </w:r>
      <w:proofErr w:type="spellEnd"/>
      <w:r w:rsidRPr="00C07C39">
        <w:rPr>
          <w:rFonts w:ascii="Times New Roman" w:hAnsi="Times New Roman"/>
        </w:rPr>
        <w:t>, a. s.</w:t>
      </w:r>
      <w:r>
        <w:rPr>
          <w:rFonts w:ascii="Times New Roman" w:hAnsi="Times New Roman"/>
        </w:rPr>
        <w:t xml:space="preserve"> z titulu nerozpočtovania</w:t>
      </w:r>
      <w:r w:rsidRPr="00C07C39">
        <w:rPr>
          <w:rFonts w:ascii="Times New Roman" w:hAnsi="Times New Roman"/>
        </w:rPr>
        <w:t xml:space="preserve"> trž</w:t>
      </w:r>
      <w:r>
        <w:rPr>
          <w:rFonts w:ascii="Times New Roman" w:hAnsi="Times New Roman"/>
        </w:rPr>
        <w:t>ie</w:t>
      </w:r>
      <w:r w:rsidRPr="00C07C39">
        <w:rPr>
          <w:rFonts w:ascii="Times New Roman" w:hAnsi="Times New Roman"/>
        </w:rPr>
        <w:t>b na úrovni</w:t>
      </w:r>
      <w:r w:rsidR="003D49BA">
        <w:rPr>
          <w:rFonts w:ascii="Times New Roman" w:hAnsi="Times New Roman"/>
        </w:rPr>
        <w:t xml:space="preserve"> </w:t>
      </w:r>
      <w:r>
        <w:rPr>
          <w:rFonts w:ascii="Times New Roman" w:hAnsi="Times New Roman"/>
        </w:rPr>
        <w:t>89,7</w:t>
      </w:r>
      <w:r w:rsidRPr="00C07C39">
        <w:rPr>
          <w:rFonts w:ascii="Times New Roman" w:hAnsi="Times New Roman"/>
        </w:rPr>
        <w:t xml:space="preserve"> mil. eur</w:t>
      </w:r>
      <w:r>
        <w:rPr>
          <w:rFonts w:ascii="Times New Roman" w:hAnsi="Times New Roman"/>
        </w:rPr>
        <w:t xml:space="preserve"> a pri spoločnosti MH </w:t>
      </w:r>
      <w:proofErr w:type="spellStart"/>
      <w:r>
        <w:rPr>
          <w:rFonts w:ascii="Times New Roman" w:hAnsi="Times New Roman"/>
        </w:rPr>
        <w:t>Invest</w:t>
      </w:r>
      <w:proofErr w:type="spellEnd"/>
      <w:r>
        <w:rPr>
          <w:rFonts w:ascii="Times New Roman" w:hAnsi="Times New Roman"/>
        </w:rPr>
        <w:t xml:space="preserve"> II, s. r. o.</w:t>
      </w:r>
      <w:r>
        <w:rPr>
          <w:rStyle w:val="Odkaznapoznmkupodiarou"/>
          <w:rFonts w:ascii="Times New Roman" w:hAnsi="Times New Roman"/>
        </w:rPr>
        <w:footnoteReference w:id="3"/>
      </w:r>
      <w:r>
        <w:rPr>
          <w:rFonts w:ascii="Times New Roman" w:hAnsi="Times New Roman"/>
        </w:rPr>
        <w:t xml:space="preserve"> na úrovni 2,0 mil. eur</w:t>
      </w:r>
      <w:r w:rsidRPr="00C07C39">
        <w:rPr>
          <w:rFonts w:ascii="Times New Roman" w:hAnsi="Times New Roman"/>
        </w:rPr>
        <w:t>.</w:t>
      </w:r>
      <w:r w:rsidRPr="00343E66">
        <w:rPr>
          <w:rFonts w:ascii="Times New Roman" w:hAnsi="Times New Roman"/>
        </w:rPr>
        <w:t xml:space="preserve"> </w:t>
      </w:r>
      <w:r>
        <w:rPr>
          <w:rFonts w:ascii="Times New Roman" w:hAnsi="Times New Roman"/>
        </w:rPr>
        <w:t>Ostatné neuvedené subjekty zaznamenávajú celkovo výpadok na úrovni 0,3 mil. eur.</w:t>
      </w:r>
    </w:p>
    <w:p w:rsidR="002E52A8" w:rsidRDefault="002E52A8" w:rsidP="002E52A8">
      <w:pPr>
        <w:jc w:val="both"/>
        <w:rPr>
          <w:rFonts w:ascii="Times New Roman" w:hAnsi="Times New Roman"/>
        </w:rPr>
      </w:pPr>
    </w:p>
    <w:p w:rsidR="002E52A8" w:rsidRDefault="002E52A8" w:rsidP="002E52A8">
      <w:pPr>
        <w:ind w:firstLine="708"/>
        <w:jc w:val="both"/>
        <w:rPr>
          <w:rFonts w:ascii="Times New Roman" w:hAnsi="Times New Roman"/>
        </w:rPr>
      </w:pPr>
      <w:r>
        <w:rPr>
          <w:rFonts w:ascii="Times New Roman" w:hAnsi="Times New Roman"/>
        </w:rPr>
        <w:t xml:space="preserve">V rámci dôchodkov z majetku sa predpokladá prekročenie rozpočtovanej úrovne </w:t>
      </w:r>
      <w:r>
        <w:rPr>
          <w:rFonts w:ascii="Times New Roman" w:hAnsi="Times New Roman"/>
        </w:rPr>
        <w:br/>
        <w:t>o 12,5 mil. eur, z toho výpadok príjmov z úrokov predstavuje 5,0 mil. eur. Príjmy z dividend zaznamenávajú nárast oproti rozpočtovanej úrovni o 8,7 mil. eur. Z hľadiska jednotlivých spoločností sa vývoj predpokladá nasledovne.</w:t>
      </w:r>
    </w:p>
    <w:p w:rsidR="002E52A8" w:rsidRPr="001F2623" w:rsidRDefault="002E52A8" w:rsidP="002E52A8">
      <w:pPr>
        <w:jc w:val="both"/>
        <w:rPr>
          <w:rFonts w:ascii="Times New Roman" w:hAnsi="Times New Roman"/>
          <w:sz w:val="16"/>
          <w:szCs w:val="16"/>
        </w:rPr>
      </w:pP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gridCol w:w="803"/>
      </w:tblGrid>
      <w:tr w:rsidR="002E52A8" w:rsidRPr="002E52A8" w:rsidTr="002E52A8">
        <w:trPr>
          <w:trHeight w:val="330"/>
          <w:jc w:val="center"/>
        </w:trPr>
        <w:tc>
          <w:tcPr>
            <w:tcW w:w="4957" w:type="dxa"/>
            <w:shd w:val="clear" w:color="auto" w:fill="A6A6A6" w:themeFill="background1" w:themeFillShade="A6"/>
            <w:noWrap/>
            <w:vAlign w:val="center"/>
            <w:hideMark/>
          </w:tcPr>
          <w:p w:rsidR="002E52A8" w:rsidRPr="002E52A8" w:rsidRDefault="002E52A8" w:rsidP="002E52A8">
            <w:pPr>
              <w:rPr>
                <w:rFonts w:ascii="Times New Roman" w:hAnsi="Times New Roman" w:cs="Times New Roman"/>
                <w:b/>
                <w:bCs/>
                <w:iCs/>
                <w:sz w:val="14"/>
                <w:szCs w:val="16"/>
                <w:lang w:eastAsia="sk-SK"/>
              </w:rPr>
            </w:pPr>
            <w:r w:rsidRPr="002E52A8">
              <w:rPr>
                <w:rFonts w:ascii="Times New Roman" w:hAnsi="Times New Roman" w:cs="Times New Roman"/>
                <w:b/>
                <w:bCs/>
                <w:iCs/>
                <w:sz w:val="14"/>
                <w:szCs w:val="16"/>
                <w:lang w:eastAsia="sk-SK"/>
              </w:rPr>
              <w:t>Príjmy z dividend – rozdiel oproti schválenému rozpočtu (v tis. eur; ESA 2010)</w:t>
            </w:r>
          </w:p>
        </w:tc>
        <w:tc>
          <w:tcPr>
            <w:tcW w:w="803" w:type="dxa"/>
            <w:shd w:val="clear" w:color="auto" w:fill="A6A6A6" w:themeFill="background1" w:themeFillShade="A6"/>
            <w:noWrap/>
            <w:vAlign w:val="center"/>
            <w:hideMark/>
          </w:tcPr>
          <w:p w:rsidR="002E52A8" w:rsidRPr="002E52A8" w:rsidRDefault="002E52A8" w:rsidP="00C72F49">
            <w:pPr>
              <w:jc w:val="right"/>
              <w:rPr>
                <w:rFonts w:ascii="Times New Roman" w:hAnsi="Times New Roman" w:cs="Times New Roman"/>
                <w:b/>
                <w:bCs/>
                <w:iCs/>
                <w:sz w:val="14"/>
                <w:szCs w:val="16"/>
                <w:lang w:eastAsia="sk-SK"/>
              </w:rPr>
            </w:pPr>
            <w:r w:rsidRPr="002E52A8">
              <w:rPr>
                <w:rFonts w:ascii="Times New Roman" w:hAnsi="Times New Roman" w:cs="Times New Roman"/>
                <w:b/>
                <w:bCs/>
                <w:iCs/>
                <w:sz w:val="14"/>
                <w:szCs w:val="16"/>
                <w:lang w:eastAsia="sk-SK"/>
              </w:rPr>
              <w:t>8 708</w:t>
            </w:r>
          </w:p>
        </w:tc>
      </w:tr>
      <w:tr w:rsidR="002E52A8" w:rsidRPr="002E52A8" w:rsidTr="002E52A8">
        <w:trPr>
          <w:trHeight w:val="330"/>
          <w:jc w:val="center"/>
        </w:trPr>
        <w:tc>
          <w:tcPr>
            <w:tcW w:w="4957" w:type="dxa"/>
            <w:shd w:val="clear" w:color="auto" w:fill="auto"/>
            <w:noWrap/>
            <w:vAlign w:val="center"/>
            <w:hideMark/>
          </w:tcPr>
          <w:p w:rsidR="002E52A8" w:rsidRPr="002E52A8" w:rsidRDefault="002E52A8" w:rsidP="00C72F49">
            <w:pPr>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 xml:space="preserve">   - Slovenský plynárenský priemysel, a. s.</w:t>
            </w:r>
          </w:p>
        </w:tc>
        <w:tc>
          <w:tcPr>
            <w:tcW w:w="803" w:type="dxa"/>
            <w:shd w:val="clear" w:color="auto" w:fill="auto"/>
            <w:noWrap/>
            <w:vAlign w:val="center"/>
            <w:hideMark/>
          </w:tcPr>
          <w:p w:rsidR="002E52A8" w:rsidRPr="002E52A8" w:rsidRDefault="002E52A8" w:rsidP="00C72F49">
            <w:pPr>
              <w:jc w:val="right"/>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10 000</w:t>
            </w:r>
          </w:p>
        </w:tc>
      </w:tr>
      <w:tr w:rsidR="002E52A8" w:rsidRPr="002E52A8" w:rsidTr="002E52A8">
        <w:trPr>
          <w:trHeight w:val="330"/>
          <w:jc w:val="center"/>
        </w:trPr>
        <w:tc>
          <w:tcPr>
            <w:tcW w:w="4957" w:type="dxa"/>
            <w:shd w:val="clear" w:color="auto" w:fill="auto"/>
            <w:noWrap/>
            <w:vAlign w:val="center"/>
            <w:hideMark/>
          </w:tcPr>
          <w:p w:rsidR="002E52A8" w:rsidRPr="002E52A8" w:rsidRDefault="002E52A8" w:rsidP="00C72F49">
            <w:pPr>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 xml:space="preserve">   - Západoslovenská energetika, a. s.</w:t>
            </w:r>
          </w:p>
        </w:tc>
        <w:tc>
          <w:tcPr>
            <w:tcW w:w="803" w:type="dxa"/>
            <w:shd w:val="clear" w:color="auto" w:fill="auto"/>
            <w:noWrap/>
            <w:vAlign w:val="center"/>
            <w:hideMark/>
          </w:tcPr>
          <w:p w:rsidR="002E52A8" w:rsidRPr="002E52A8" w:rsidRDefault="002E52A8" w:rsidP="00C72F49">
            <w:pPr>
              <w:jc w:val="right"/>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-8 973</w:t>
            </w:r>
          </w:p>
        </w:tc>
      </w:tr>
      <w:tr w:rsidR="002E52A8" w:rsidRPr="002E52A8" w:rsidTr="002E52A8">
        <w:trPr>
          <w:trHeight w:val="330"/>
          <w:jc w:val="center"/>
        </w:trPr>
        <w:tc>
          <w:tcPr>
            <w:tcW w:w="4957" w:type="dxa"/>
            <w:shd w:val="clear" w:color="auto" w:fill="auto"/>
            <w:noWrap/>
            <w:vAlign w:val="center"/>
            <w:hideMark/>
          </w:tcPr>
          <w:p w:rsidR="002E52A8" w:rsidRPr="002E52A8" w:rsidRDefault="002E52A8" w:rsidP="00C72F49">
            <w:pPr>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 xml:space="preserve">   - Východoslovenská energetika, a. s.</w:t>
            </w:r>
          </w:p>
        </w:tc>
        <w:tc>
          <w:tcPr>
            <w:tcW w:w="803" w:type="dxa"/>
            <w:shd w:val="clear" w:color="auto" w:fill="auto"/>
            <w:noWrap/>
            <w:vAlign w:val="center"/>
            <w:hideMark/>
          </w:tcPr>
          <w:p w:rsidR="002E52A8" w:rsidRPr="002E52A8" w:rsidRDefault="002E52A8" w:rsidP="00C72F49">
            <w:pPr>
              <w:jc w:val="right"/>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-9 358</w:t>
            </w:r>
          </w:p>
        </w:tc>
      </w:tr>
      <w:tr w:rsidR="002E52A8" w:rsidRPr="002E52A8" w:rsidTr="002E52A8">
        <w:trPr>
          <w:trHeight w:val="330"/>
          <w:jc w:val="center"/>
        </w:trPr>
        <w:tc>
          <w:tcPr>
            <w:tcW w:w="4957" w:type="dxa"/>
            <w:shd w:val="clear" w:color="auto" w:fill="auto"/>
            <w:noWrap/>
            <w:vAlign w:val="center"/>
            <w:hideMark/>
          </w:tcPr>
          <w:p w:rsidR="002E52A8" w:rsidRPr="002E52A8" w:rsidRDefault="002E52A8" w:rsidP="00C72F49">
            <w:pPr>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 xml:space="preserve">   - JAVYS, a. s.</w:t>
            </w:r>
          </w:p>
        </w:tc>
        <w:tc>
          <w:tcPr>
            <w:tcW w:w="803" w:type="dxa"/>
            <w:shd w:val="clear" w:color="auto" w:fill="auto"/>
            <w:noWrap/>
            <w:vAlign w:val="center"/>
            <w:hideMark/>
          </w:tcPr>
          <w:p w:rsidR="002E52A8" w:rsidRPr="002E52A8" w:rsidRDefault="002E52A8" w:rsidP="00C72F49">
            <w:pPr>
              <w:jc w:val="right"/>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2 141</w:t>
            </w:r>
          </w:p>
        </w:tc>
      </w:tr>
      <w:tr w:rsidR="002E52A8" w:rsidRPr="002E52A8" w:rsidTr="002E52A8">
        <w:trPr>
          <w:trHeight w:val="330"/>
          <w:jc w:val="center"/>
        </w:trPr>
        <w:tc>
          <w:tcPr>
            <w:tcW w:w="4957" w:type="dxa"/>
            <w:shd w:val="clear" w:color="auto" w:fill="auto"/>
            <w:noWrap/>
            <w:vAlign w:val="center"/>
            <w:hideMark/>
          </w:tcPr>
          <w:p w:rsidR="002E52A8" w:rsidRPr="002E52A8" w:rsidRDefault="002E52A8" w:rsidP="00C72F49">
            <w:pPr>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 xml:space="preserve">   - Transpetrol, a. s.</w:t>
            </w:r>
          </w:p>
        </w:tc>
        <w:tc>
          <w:tcPr>
            <w:tcW w:w="803" w:type="dxa"/>
            <w:shd w:val="clear" w:color="auto" w:fill="auto"/>
            <w:noWrap/>
            <w:vAlign w:val="center"/>
            <w:hideMark/>
          </w:tcPr>
          <w:p w:rsidR="002E52A8" w:rsidRPr="002E52A8" w:rsidRDefault="002E52A8" w:rsidP="00C72F49">
            <w:pPr>
              <w:jc w:val="right"/>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-7 000</w:t>
            </w:r>
          </w:p>
        </w:tc>
      </w:tr>
      <w:tr w:rsidR="002E52A8" w:rsidRPr="002E52A8" w:rsidTr="002E52A8">
        <w:trPr>
          <w:trHeight w:val="330"/>
          <w:jc w:val="center"/>
        </w:trPr>
        <w:tc>
          <w:tcPr>
            <w:tcW w:w="4957" w:type="dxa"/>
            <w:shd w:val="clear" w:color="auto" w:fill="auto"/>
            <w:noWrap/>
            <w:vAlign w:val="center"/>
            <w:hideMark/>
          </w:tcPr>
          <w:p w:rsidR="002E52A8" w:rsidRPr="002E52A8" w:rsidRDefault="002E52A8" w:rsidP="00C72F49">
            <w:pPr>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 xml:space="preserve">   - Slovenská elektrizačná a prenosová sústava, a. s.</w:t>
            </w:r>
          </w:p>
        </w:tc>
        <w:tc>
          <w:tcPr>
            <w:tcW w:w="803" w:type="dxa"/>
            <w:shd w:val="clear" w:color="auto" w:fill="auto"/>
            <w:noWrap/>
            <w:vAlign w:val="center"/>
            <w:hideMark/>
          </w:tcPr>
          <w:p w:rsidR="002E52A8" w:rsidRPr="002E52A8" w:rsidRDefault="002E52A8" w:rsidP="00C72F49">
            <w:pPr>
              <w:jc w:val="right"/>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20 447</w:t>
            </w:r>
          </w:p>
        </w:tc>
      </w:tr>
      <w:tr w:rsidR="002E52A8" w:rsidRPr="002E52A8" w:rsidTr="002E52A8">
        <w:trPr>
          <w:trHeight w:val="330"/>
          <w:jc w:val="center"/>
        </w:trPr>
        <w:tc>
          <w:tcPr>
            <w:tcW w:w="4957" w:type="dxa"/>
            <w:shd w:val="clear" w:color="auto" w:fill="auto"/>
            <w:noWrap/>
            <w:vAlign w:val="center"/>
            <w:hideMark/>
          </w:tcPr>
          <w:p w:rsidR="002E52A8" w:rsidRPr="002E52A8" w:rsidRDefault="002E52A8" w:rsidP="00C72F49">
            <w:pPr>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 xml:space="preserve">   - Slovenská záručná a rozvojová banka, a. s.</w:t>
            </w:r>
          </w:p>
        </w:tc>
        <w:tc>
          <w:tcPr>
            <w:tcW w:w="803" w:type="dxa"/>
            <w:shd w:val="clear" w:color="auto" w:fill="auto"/>
            <w:noWrap/>
            <w:vAlign w:val="center"/>
            <w:hideMark/>
          </w:tcPr>
          <w:p w:rsidR="002E52A8" w:rsidRPr="002E52A8" w:rsidRDefault="002E52A8" w:rsidP="00C72F49">
            <w:pPr>
              <w:jc w:val="right"/>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1 000</w:t>
            </w:r>
          </w:p>
        </w:tc>
      </w:tr>
      <w:tr w:rsidR="002E52A8" w:rsidRPr="002E52A8" w:rsidTr="002E52A8">
        <w:trPr>
          <w:trHeight w:val="330"/>
          <w:jc w:val="center"/>
        </w:trPr>
        <w:tc>
          <w:tcPr>
            <w:tcW w:w="4957" w:type="dxa"/>
            <w:shd w:val="clear" w:color="auto" w:fill="auto"/>
            <w:noWrap/>
            <w:vAlign w:val="center"/>
            <w:hideMark/>
          </w:tcPr>
          <w:p w:rsidR="002E52A8" w:rsidRPr="002E52A8" w:rsidRDefault="002E52A8" w:rsidP="00C72F49">
            <w:pPr>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 xml:space="preserve">   - Spoločnosti s majetkovou účasťou MH Manažment, a. s.</w:t>
            </w:r>
          </w:p>
        </w:tc>
        <w:tc>
          <w:tcPr>
            <w:tcW w:w="803" w:type="dxa"/>
            <w:shd w:val="clear" w:color="auto" w:fill="auto"/>
            <w:noWrap/>
            <w:vAlign w:val="center"/>
            <w:hideMark/>
          </w:tcPr>
          <w:p w:rsidR="002E52A8" w:rsidRPr="002E52A8" w:rsidRDefault="002E52A8" w:rsidP="00C72F49">
            <w:pPr>
              <w:jc w:val="right"/>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925</w:t>
            </w:r>
          </w:p>
        </w:tc>
      </w:tr>
      <w:tr w:rsidR="002E52A8" w:rsidRPr="002E52A8" w:rsidTr="002E52A8">
        <w:trPr>
          <w:trHeight w:val="330"/>
          <w:jc w:val="center"/>
        </w:trPr>
        <w:tc>
          <w:tcPr>
            <w:tcW w:w="4957" w:type="dxa"/>
            <w:shd w:val="clear" w:color="auto" w:fill="auto"/>
            <w:noWrap/>
            <w:vAlign w:val="center"/>
            <w:hideMark/>
          </w:tcPr>
          <w:p w:rsidR="002E52A8" w:rsidRPr="002E52A8" w:rsidRDefault="002E52A8" w:rsidP="00C72F49">
            <w:pPr>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 xml:space="preserve">   - Ostatné</w:t>
            </w:r>
          </w:p>
        </w:tc>
        <w:tc>
          <w:tcPr>
            <w:tcW w:w="803" w:type="dxa"/>
            <w:shd w:val="clear" w:color="auto" w:fill="auto"/>
            <w:noWrap/>
            <w:vAlign w:val="center"/>
            <w:hideMark/>
          </w:tcPr>
          <w:p w:rsidR="002E52A8" w:rsidRPr="002E52A8" w:rsidRDefault="002E52A8" w:rsidP="00C72F49">
            <w:pPr>
              <w:jc w:val="right"/>
              <w:rPr>
                <w:rFonts w:ascii="Times New Roman" w:hAnsi="Times New Roman" w:cs="Times New Roman"/>
                <w:iCs/>
                <w:sz w:val="14"/>
                <w:szCs w:val="16"/>
                <w:lang w:eastAsia="sk-SK"/>
              </w:rPr>
            </w:pPr>
            <w:r w:rsidRPr="002E52A8">
              <w:rPr>
                <w:rFonts w:ascii="Times New Roman" w:hAnsi="Times New Roman" w:cs="Times New Roman"/>
                <w:iCs/>
                <w:sz w:val="14"/>
                <w:szCs w:val="16"/>
                <w:lang w:eastAsia="sk-SK"/>
              </w:rPr>
              <w:t>-474</w:t>
            </w:r>
          </w:p>
        </w:tc>
      </w:tr>
    </w:tbl>
    <w:p w:rsidR="002E52A8" w:rsidRDefault="002E52A8" w:rsidP="002E52A8">
      <w:pPr>
        <w:jc w:val="both"/>
        <w:rPr>
          <w:rFonts w:ascii="Times New Roman" w:hAnsi="Times New Roman"/>
        </w:rPr>
      </w:pPr>
    </w:p>
    <w:p w:rsidR="002E52A8" w:rsidRDefault="002E52A8" w:rsidP="009E69A1">
      <w:pPr>
        <w:ind w:firstLine="708"/>
        <w:jc w:val="both"/>
        <w:rPr>
          <w:rFonts w:ascii="Times New Roman" w:hAnsi="Times New Roman"/>
        </w:rPr>
      </w:pPr>
      <w:r w:rsidRPr="00C07C39">
        <w:rPr>
          <w:rFonts w:ascii="Times New Roman" w:hAnsi="Times New Roman"/>
        </w:rPr>
        <w:t>Vývoj v kategórii grantov a transferov je ovplyvnený vývojom čerpania prostriedkov z rozpočtu EÚ. V aktuálnom predpoklade sa očakáva výpadok rozpočtovanej úrovn</w:t>
      </w:r>
      <w:r>
        <w:rPr>
          <w:rFonts w:ascii="Times New Roman" w:hAnsi="Times New Roman"/>
        </w:rPr>
        <w:t>e</w:t>
      </w:r>
      <w:r w:rsidRPr="00C07C39">
        <w:rPr>
          <w:rFonts w:ascii="Times New Roman" w:hAnsi="Times New Roman"/>
        </w:rPr>
        <w:t xml:space="preserve"> EÚ </w:t>
      </w:r>
      <w:r w:rsidRPr="00C07C39">
        <w:rPr>
          <w:rFonts w:ascii="Times New Roman" w:hAnsi="Times New Roman"/>
        </w:rPr>
        <w:lastRenderedPageBreak/>
        <w:t xml:space="preserve">zdrojov vo výške </w:t>
      </w:r>
      <w:r>
        <w:rPr>
          <w:rFonts w:ascii="Times New Roman" w:hAnsi="Times New Roman"/>
        </w:rPr>
        <w:t>338,4</w:t>
      </w:r>
      <w:r w:rsidRPr="00C07C39">
        <w:rPr>
          <w:rFonts w:ascii="Times New Roman" w:hAnsi="Times New Roman"/>
        </w:rPr>
        <w:t xml:space="preserve"> mil. eur. V rámci </w:t>
      </w:r>
      <w:r>
        <w:rPr>
          <w:rFonts w:ascii="Times New Roman" w:hAnsi="Times New Roman"/>
        </w:rPr>
        <w:t xml:space="preserve">spoločnosti </w:t>
      </w:r>
      <w:proofErr w:type="spellStart"/>
      <w:r>
        <w:rPr>
          <w:rFonts w:ascii="Times New Roman" w:hAnsi="Times New Roman"/>
        </w:rPr>
        <w:t>Javys</w:t>
      </w:r>
      <w:proofErr w:type="spellEnd"/>
      <w:r>
        <w:rPr>
          <w:rFonts w:ascii="Times New Roman" w:hAnsi="Times New Roman"/>
        </w:rPr>
        <w:t>, a. s. sa očakáva príjem na úrovni 15,9 mil. eur, ktorý nebol súčasťou schváleného rozpočtu. Príjmy železničných spoločností (ŽSR a ŽSSK) očakávajú prekročenie o 13,3 mil. eur. V rámci príjmov Eximbanky ide o </w:t>
      </w:r>
      <w:r w:rsidRPr="00095932">
        <w:rPr>
          <w:rFonts w:ascii="Times New Roman" w:hAnsi="Times New Roman"/>
        </w:rPr>
        <w:t xml:space="preserve">príjem </w:t>
      </w:r>
      <w:r>
        <w:rPr>
          <w:rFonts w:ascii="Times New Roman" w:hAnsi="Times New Roman"/>
        </w:rPr>
        <w:t xml:space="preserve">z </w:t>
      </w:r>
      <w:r w:rsidRPr="00095932">
        <w:rPr>
          <w:rFonts w:ascii="Times New Roman" w:hAnsi="Times New Roman"/>
        </w:rPr>
        <w:t xml:space="preserve">predpisu poistného z poistenia neobchodovateľného rizika vo výške </w:t>
      </w:r>
      <w:r>
        <w:rPr>
          <w:rFonts w:ascii="Times New Roman" w:hAnsi="Times New Roman"/>
        </w:rPr>
        <w:t>10,4 mil. eur. Národný jadrový fond zaznamenáva výpadok príjmov z p</w:t>
      </w:r>
      <w:r w:rsidRPr="00095932">
        <w:rPr>
          <w:rFonts w:ascii="Times New Roman" w:hAnsi="Times New Roman"/>
        </w:rPr>
        <w:t>ríspevk</w:t>
      </w:r>
      <w:r>
        <w:rPr>
          <w:rFonts w:ascii="Times New Roman" w:hAnsi="Times New Roman"/>
        </w:rPr>
        <w:t>ov</w:t>
      </w:r>
      <w:r w:rsidRPr="00095932">
        <w:rPr>
          <w:rFonts w:ascii="Times New Roman" w:hAnsi="Times New Roman"/>
        </w:rPr>
        <w:t xml:space="preserve"> od prevádzkovateľov </w:t>
      </w:r>
      <w:r>
        <w:rPr>
          <w:rFonts w:ascii="Times New Roman" w:hAnsi="Times New Roman"/>
        </w:rPr>
        <w:t>jadrových zariadení vo výške 9,1 mil. eur.</w:t>
      </w:r>
      <w:r w:rsidRPr="0059036F">
        <w:rPr>
          <w:rFonts w:ascii="Times New Roman" w:hAnsi="Times New Roman"/>
        </w:rPr>
        <w:t xml:space="preserve"> </w:t>
      </w:r>
      <w:r>
        <w:rPr>
          <w:rFonts w:ascii="Times New Roman" w:hAnsi="Times New Roman"/>
        </w:rPr>
        <w:t>Ostatné neuvedené subjekty zaznamenávajú celkovo prekročenie rozpočtu o 1,7 mil. eur.</w:t>
      </w:r>
    </w:p>
    <w:p w:rsidR="002E52A8" w:rsidRDefault="002E52A8" w:rsidP="002E52A8">
      <w:pPr>
        <w:jc w:val="both"/>
        <w:rPr>
          <w:rFonts w:ascii="Times New Roman" w:hAnsi="Times New Roman"/>
        </w:rPr>
      </w:pPr>
    </w:p>
    <w:p w:rsidR="002E52A8" w:rsidRPr="00C07C39" w:rsidRDefault="002E52A8" w:rsidP="009E69A1">
      <w:pPr>
        <w:ind w:firstLine="708"/>
        <w:jc w:val="both"/>
        <w:rPr>
          <w:rFonts w:ascii="Times New Roman" w:hAnsi="Times New Roman"/>
        </w:rPr>
      </w:pPr>
      <w:r w:rsidRPr="00C07C39">
        <w:rPr>
          <w:rFonts w:ascii="Times New Roman" w:hAnsi="Times New Roman"/>
        </w:rPr>
        <w:t xml:space="preserve">Na základe vyššie uvedeného je možné očakávať, že príjmy rozpočtu verejnej správy </w:t>
      </w:r>
      <w:r>
        <w:rPr>
          <w:rFonts w:ascii="Times New Roman" w:hAnsi="Times New Roman"/>
        </w:rPr>
        <w:t>zaznamenajú výpadok na úrovni 140,0</w:t>
      </w:r>
      <w:r w:rsidRPr="00C07C39">
        <w:rPr>
          <w:rFonts w:ascii="Times New Roman" w:hAnsi="Times New Roman"/>
        </w:rPr>
        <w:t xml:space="preserve"> mil. eur.</w:t>
      </w:r>
    </w:p>
    <w:p w:rsidR="002E52A8" w:rsidRDefault="002E52A8" w:rsidP="002E52A8">
      <w:pPr>
        <w:jc w:val="both"/>
        <w:rPr>
          <w:rFonts w:ascii="Times New Roman" w:hAnsi="Times New Roman"/>
        </w:rPr>
      </w:pPr>
    </w:p>
    <w:p w:rsidR="002E52A8" w:rsidRDefault="002E52A8" w:rsidP="009E69A1">
      <w:pPr>
        <w:ind w:firstLine="708"/>
        <w:jc w:val="both"/>
        <w:rPr>
          <w:rFonts w:ascii="Times New Roman" w:hAnsi="Times New Roman"/>
        </w:rPr>
      </w:pPr>
      <w:r w:rsidRPr="00C07C39">
        <w:rPr>
          <w:rFonts w:ascii="Times New Roman" w:hAnsi="Times New Roman"/>
        </w:rPr>
        <w:t>V rámci výdavkov rozpočtu verejnej správy sa očakáva prekročenie rozpočtovanej úrovne o</w:t>
      </w:r>
      <w:r>
        <w:rPr>
          <w:rFonts w:ascii="Times New Roman" w:hAnsi="Times New Roman"/>
        </w:rPr>
        <w:t> 152,0</w:t>
      </w:r>
      <w:r w:rsidRPr="00C07C39">
        <w:rPr>
          <w:rFonts w:ascii="Times New Roman" w:hAnsi="Times New Roman"/>
        </w:rPr>
        <w:t xml:space="preserve"> mil. eur. </w:t>
      </w:r>
    </w:p>
    <w:p w:rsidR="002E52A8" w:rsidRDefault="002E52A8" w:rsidP="002E52A8">
      <w:pPr>
        <w:jc w:val="both"/>
        <w:rPr>
          <w:rFonts w:ascii="Times New Roman" w:hAnsi="Times New Roman"/>
        </w:rPr>
      </w:pPr>
    </w:p>
    <w:p w:rsidR="002E52A8" w:rsidRPr="00C07C39" w:rsidRDefault="002E52A8" w:rsidP="009E69A1">
      <w:pPr>
        <w:ind w:firstLine="708"/>
        <w:jc w:val="both"/>
        <w:rPr>
          <w:rFonts w:ascii="Times New Roman" w:hAnsi="Times New Roman"/>
        </w:rPr>
      </w:pPr>
      <w:r>
        <w:rPr>
          <w:rFonts w:ascii="Times New Roman" w:hAnsi="Times New Roman"/>
        </w:rPr>
        <w:t>Predpokladá sa, že k</w:t>
      </w:r>
      <w:r w:rsidRPr="00C07C39">
        <w:rPr>
          <w:rFonts w:ascii="Times New Roman" w:hAnsi="Times New Roman"/>
        </w:rPr>
        <w:t>ompenzácie zamestnancov prekroči</w:t>
      </w:r>
      <w:r>
        <w:rPr>
          <w:rFonts w:ascii="Times New Roman" w:hAnsi="Times New Roman"/>
        </w:rPr>
        <w:t>a</w:t>
      </w:r>
      <w:r w:rsidRPr="00C07C39">
        <w:rPr>
          <w:rFonts w:ascii="Times New Roman" w:hAnsi="Times New Roman"/>
        </w:rPr>
        <w:t xml:space="preserve"> rozpočtovanú úroveň </w:t>
      </w:r>
      <w:r w:rsidR="009E69A1">
        <w:rPr>
          <w:rFonts w:ascii="Times New Roman" w:hAnsi="Times New Roman"/>
        </w:rPr>
        <w:br/>
      </w:r>
      <w:r w:rsidRPr="00C07C39">
        <w:rPr>
          <w:rFonts w:ascii="Times New Roman" w:hAnsi="Times New Roman"/>
        </w:rPr>
        <w:t>o</w:t>
      </w:r>
      <w:r>
        <w:rPr>
          <w:rFonts w:ascii="Times New Roman" w:hAnsi="Times New Roman"/>
        </w:rPr>
        <w:t> 255,2</w:t>
      </w:r>
      <w:r w:rsidRPr="00C07C39">
        <w:rPr>
          <w:rFonts w:ascii="Times New Roman" w:hAnsi="Times New Roman"/>
        </w:rPr>
        <w:t xml:space="preserve"> mil. eur. Toto prekročenie je ovplyvnené najmä </w:t>
      </w:r>
      <w:proofErr w:type="spellStart"/>
      <w:r w:rsidRPr="00C07C39">
        <w:rPr>
          <w:rFonts w:ascii="Times New Roman" w:hAnsi="Times New Roman"/>
        </w:rPr>
        <w:t>realokáciou</w:t>
      </w:r>
      <w:proofErr w:type="spellEnd"/>
      <w:r w:rsidRPr="00C07C39">
        <w:rPr>
          <w:rFonts w:ascii="Times New Roman" w:hAnsi="Times New Roman"/>
        </w:rPr>
        <w:t xml:space="preserve"> prostriedkov z medzispotreby a ostatných bežných transferov na valorizáciu miezd a platov zamestnancov verejnej správy vyplývajúcu z kolektívneho vyjednávania vo výške takmer 148 mil. eur. Ďalej nerozpočtovanými vplyvmi, a to jednak použitím zdrojov z podnikateľskej činnosti verejných vysokých škôl vo výške 11,7 mil. eur  a jednak preradením spoločnosti </w:t>
      </w:r>
      <w:proofErr w:type="spellStart"/>
      <w:r w:rsidRPr="00C07C39">
        <w:rPr>
          <w:rFonts w:ascii="Times New Roman" w:hAnsi="Times New Roman"/>
        </w:rPr>
        <w:t>Javys</w:t>
      </w:r>
      <w:proofErr w:type="spellEnd"/>
      <w:r w:rsidRPr="00C07C39">
        <w:rPr>
          <w:rFonts w:ascii="Times New Roman" w:hAnsi="Times New Roman"/>
        </w:rPr>
        <w:t xml:space="preserve">, a. s. </w:t>
      </w:r>
      <w:r>
        <w:rPr>
          <w:rFonts w:ascii="Times New Roman" w:hAnsi="Times New Roman"/>
        </w:rPr>
        <w:t xml:space="preserve">, resp. </w:t>
      </w:r>
      <w:r w:rsidR="00FA254F">
        <w:rPr>
          <w:rFonts w:ascii="Times New Roman" w:hAnsi="Times New Roman"/>
        </w:rPr>
        <w:br/>
      </w:r>
      <w:r>
        <w:rPr>
          <w:rFonts w:ascii="Times New Roman" w:hAnsi="Times New Roman"/>
        </w:rPr>
        <w:t xml:space="preserve">MH </w:t>
      </w:r>
      <w:proofErr w:type="spellStart"/>
      <w:r>
        <w:rPr>
          <w:rFonts w:ascii="Times New Roman" w:hAnsi="Times New Roman"/>
        </w:rPr>
        <w:t>Invest</w:t>
      </w:r>
      <w:proofErr w:type="spellEnd"/>
      <w:r>
        <w:rPr>
          <w:rFonts w:ascii="Times New Roman" w:hAnsi="Times New Roman"/>
        </w:rPr>
        <w:t xml:space="preserve"> II, s. r. o. </w:t>
      </w:r>
      <w:r w:rsidRPr="00C07C39">
        <w:rPr>
          <w:rFonts w:ascii="Times New Roman" w:hAnsi="Times New Roman"/>
        </w:rPr>
        <w:t>do okruhu verejných financií, ktorá predpokladá kompenzácie zamestnancov na úrovni 26,</w:t>
      </w:r>
      <w:r>
        <w:rPr>
          <w:rFonts w:ascii="Times New Roman" w:hAnsi="Times New Roman"/>
        </w:rPr>
        <w:t>0</w:t>
      </w:r>
      <w:r w:rsidRPr="00C07C39">
        <w:rPr>
          <w:rFonts w:ascii="Times New Roman" w:hAnsi="Times New Roman"/>
        </w:rPr>
        <w:t xml:space="preserve"> mil. eur</w:t>
      </w:r>
      <w:r>
        <w:rPr>
          <w:rFonts w:ascii="Times New Roman" w:hAnsi="Times New Roman"/>
        </w:rPr>
        <w:t>, resp. 0,7 mil. eur</w:t>
      </w:r>
      <w:r w:rsidRPr="00C07C39">
        <w:rPr>
          <w:rFonts w:ascii="Times New Roman" w:hAnsi="Times New Roman"/>
        </w:rPr>
        <w:t xml:space="preserve">. </w:t>
      </w:r>
      <w:r>
        <w:rPr>
          <w:rFonts w:ascii="Times New Roman" w:hAnsi="Times New Roman"/>
        </w:rPr>
        <w:t>V rámci zdrojov z rozpočtu EÚ a národného spolufinancovania došlo k presmerovaniu použitia zdrojov tak, že dochádza k zvýšeniu kompenzácie zamestnancov o 68,8 mil. eur.</w:t>
      </w:r>
    </w:p>
    <w:p w:rsidR="002E52A8" w:rsidRDefault="002E52A8" w:rsidP="002E52A8">
      <w:pPr>
        <w:jc w:val="both"/>
        <w:rPr>
          <w:rFonts w:ascii="Times New Roman" w:hAnsi="Times New Roman"/>
        </w:rPr>
      </w:pPr>
    </w:p>
    <w:p w:rsidR="002E52A8" w:rsidRDefault="002E52A8" w:rsidP="009E69A1">
      <w:pPr>
        <w:ind w:firstLine="708"/>
        <w:jc w:val="both"/>
        <w:rPr>
          <w:rFonts w:ascii="Times New Roman" w:hAnsi="Times New Roman"/>
        </w:rPr>
      </w:pPr>
      <w:r>
        <w:rPr>
          <w:rFonts w:ascii="Times New Roman" w:hAnsi="Times New Roman"/>
        </w:rPr>
        <w:t>V rámci </w:t>
      </w:r>
      <w:r w:rsidRPr="003848DA">
        <w:rPr>
          <w:rFonts w:ascii="Times New Roman" w:hAnsi="Times New Roman"/>
        </w:rPr>
        <w:t>medzispotreb</w:t>
      </w:r>
      <w:r>
        <w:rPr>
          <w:rFonts w:ascii="Times New Roman" w:hAnsi="Times New Roman"/>
        </w:rPr>
        <w:t>y</w:t>
      </w:r>
      <w:r w:rsidRPr="003848DA">
        <w:rPr>
          <w:rFonts w:ascii="Times New Roman" w:hAnsi="Times New Roman"/>
        </w:rPr>
        <w:t xml:space="preserve"> sa aktuálne predpokladá nárast o</w:t>
      </w:r>
      <w:r>
        <w:rPr>
          <w:rFonts w:ascii="Times New Roman" w:hAnsi="Times New Roman"/>
        </w:rPr>
        <w:t> </w:t>
      </w:r>
      <w:r w:rsidRPr="003848DA">
        <w:rPr>
          <w:rFonts w:ascii="Times New Roman" w:hAnsi="Times New Roman"/>
        </w:rPr>
        <w:t>3</w:t>
      </w:r>
      <w:r>
        <w:rPr>
          <w:rFonts w:ascii="Times New Roman" w:hAnsi="Times New Roman"/>
        </w:rPr>
        <w:t>37,8</w:t>
      </w:r>
      <w:r w:rsidRPr="003848DA">
        <w:rPr>
          <w:rFonts w:ascii="Times New Roman" w:hAnsi="Times New Roman"/>
        </w:rPr>
        <w:t xml:space="preserve"> mil. eur. Podieľa sa na ňom medzispotreba spoločnosti </w:t>
      </w:r>
      <w:proofErr w:type="spellStart"/>
      <w:r w:rsidRPr="003848DA">
        <w:rPr>
          <w:rFonts w:ascii="Times New Roman" w:hAnsi="Times New Roman"/>
        </w:rPr>
        <w:t>Javys</w:t>
      </w:r>
      <w:proofErr w:type="spellEnd"/>
      <w:r w:rsidRPr="003848DA">
        <w:rPr>
          <w:rFonts w:ascii="Times New Roman" w:hAnsi="Times New Roman"/>
        </w:rPr>
        <w:t xml:space="preserve">, a. s. vo výške 56,0 mil. eur a spoločnosti MH </w:t>
      </w:r>
      <w:proofErr w:type="spellStart"/>
      <w:r w:rsidRPr="003848DA">
        <w:rPr>
          <w:rFonts w:ascii="Times New Roman" w:hAnsi="Times New Roman"/>
        </w:rPr>
        <w:t>Invest</w:t>
      </w:r>
      <w:proofErr w:type="spellEnd"/>
      <w:r w:rsidRPr="003848DA">
        <w:rPr>
          <w:rFonts w:ascii="Times New Roman" w:hAnsi="Times New Roman"/>
        </w:rPr>
        <w:t xml:space="preserve"> II, s. r o. vo výške 1,4 mil. eur. Verejné vysoké školy predpokladajú úsporu na úrovni </w:t>
      </w:r>
      <w:r w:rsidR="00FA254F">
        <w:rPr>
          <w:rFonts w:ascii="Times New Roman" w:hAnsi="Times New Roman"/>
        </w:rPr>
        <w:br/>
      </w:r>
      <w:r w:rsidRPr="003848DA">
        <w:rPr>
          <w:rFonts w:ascii="Times New Roman" w:hAnsi="Times New Roman"/>
        </w:rPr>
        <w:t>32,3 mil. eur. V rámci príspevkových organizácií štátu sa predpokladá prekročenie rozpočtu o 64,8 mil. eur. Ďalej je to prekročenie v rámci rozpočtu samosprávy vo výške 177,6 mil. eur. V rámci spoločností pod gesciou ministerstva dopravy a výstavby sa očakáva oproti rozpočtovanej úrovn</w:t>
      </w:r>
      <w:r>
        <w:rPr>
          <w:rFonts w:ascii="Times New Roman" w:hAnsi="Times New Roman"/>
        </w:rPr>
        <w:t>i</w:t>
      </w:r>
      <w:r w:rsidRPr="003848DA">
        <w:rPr>
          <w:rFonts w:ascii="Times New Roman" w:hAnsi="Times New Roman"/>
        </w:rPr>
        <w:t xml:space="preserve"> prekročenie pri ŽSSK o 24,7 mil. eur, ktoré je kompenzované úsporou pri ŽSR vo výške 8,4 mil. eur a pri MH </w:t>
      </w:r>
      <w:proofErr w:type="spellStart"/>
      <w:r w:rsidRPr="003848DA">
        <w:rPr>
          <w:rFonts w:ascii="Times New Roman" w:hAnsi="Times New Roman"/>
        </w:rPr>
        <w:t>Invest</w:t>
      </w:r>
      <w:proofErr w:type="spellEnd"/>
      <w:r w:rsidRPr="003848DA">
        <w:rPr>
          <w:rFonts w:ascii="Times New Roman" w:hAnsi="Times New Roman"/>
        </w:rPr>
        <w:t>, s. r. o. v</w:t>
      </w:r>
      <w:r>
        <w:rPr>
          <w:rFonts w:ascii="Times New Roman" w:hAnsi="Times New Roman"/>
        </w:rPr>
        <w:t xml:space="preserve"> sume</w:t>
      </w:r>
      <w:r w:rsidRPr="003848DA">
        <w:rPr>
          <w:rFonts w:ascii="Times New Roman" w:hAnsi="Times New Roman"/>
        </w:rPr>
        <w:t xml:space="preserve"> 5,1 mil. eur. V rámci </w:t>
      </w:r>
      <w:r>
        <w:rPr>
          <w:rFonts w:ascii="Times New Roman" w:hAnsi="Times New Roman"/>
        </w:rPr>
        <w:t>Sociálnej poisťovne</w:t>
      </w:r>
      <w:r w:rsidRPr="003848DA">
        <w:rPr>
          <w:rFonts w:ascii="Times New Roman" w:hAnsi="Times New Roman"/>
        </w:rPr>
        <w:t xml:space="preserve"> sa predpokladá vyššie čerpanie bežných výdavkov správneho fondu o 21,1 mil. eur. V rámci RTVS sa predpokladá vyšší nákup tovarov a služieb </w:t>
      </w:r>
      <w:r>
        <w:rPr>
          <w:rFonts w:ascii="Times New Roman" w:hAnsi="Times New Roman"/>
        </w:rPr>
        <w:t xml:space="preserve">(vrátane nárastu záväzkov) </w:t>
      </w:r>
      <w:r w:rsidRPr="003848DA">
        <w:rPr>
          <w:rFonts w:ascii="Times New Roman" w:hAnsi="Times New Roman"/>
        </w:rPr>
        <w:t xml:space="preserve">na úrovni 14,5 mil. eur. V spoločnosti MH Manažment, a. s. ide o prekročenie na úrovni </w:t>
      </w:r>
      <w:r w:rsidR="00FA254F">
        <w:rPr>
          <w:rFonts w:ascii="Times New Roman" w:hAnsi="Times New Roman"/>
        </w:rPr>
        <w:br/>
      </w:r>
      <w:r w:rsidRPr="003848DA">
        <w:rPr>
          <w:rFonts w:ascii="Times New Roman" w:hAnsi="Times New Roman"/>
        </w:rPr>
        <w:t xml:space="preserve">10,0 mil. eur, pričom ide najmä o úhradu záväzkov z rozhodnutí o privatizácii a privatizačných projektov. V rámci zdravotníckych zariadení sa predpokladá nárast záväzkov vo výške </w:t>
      </w:r>
      <w:r w:rsidR="00FA254F">
        <w:rPr>
          <w:rFonts w:ascii="Times New Roman" w:hAnsi="Times New Roman"/>
        </w:rPr>
        <w:br/>
      </w:r>
      <w:r w:rsidRPr="003848DA">
        <w:rPr>
          <w:rFonts w:ascii="Times New Roman" w:hAnsi="Times New Roman"/>
        </w:rPr>
        <w:t xml:space="preserve">30,0 mil. eur. Rozpustením rezervy na valorizáciu miezd a platov zamestnancov verejnej správy do kompenzácii zamestnancov vznikla úspora vo výške 50 mil. eur. Celkovo sa za štátny rozpočet predpokladá </w:t>
      </w:r>
      <w:r>
        <w:rPr>
          <w:rFonts w:ascii="Times New Roman" w:hAnsi="Times New Roman"/>
        </w:rPr>
        <w:t>úspora</w:t>
      </w:r>
      <w:r w:rsidRPr="003848DA">
        <w:rPr>
          <w:rFonts w:ascii="Times New Roman" w:hAnsi="Times New Roman"/>
        </w:rPr>
        <w:t xml:space="preserve"> </w:t>
      </w:r>
      <w:r>
        <w:rPr>
          <w:rFonts w:ascii="Times New Roman" w:hAnsi="Times New Roman"/>
        </w:rPr>
        <w:t>o 23,1</w:t>
      </w:r>
      <w:r w:rsidRPr="003848DA">
        <w:rPr>
          <w:rFonts w:ascii="Times New Roman" w:hAnsi="Times New Roman"/>
        </w:rPr>
        <w:t xml:space="preserve"> mil. eur. Ostatné neuvedené subjekty zaznamenávajú celkovo nárast výdavkov na úrovni 6,6 mil. eur.</w:t>
      </w:r>
    </w:p>
    <w:p w:rsidR="002E52A8" w:rsidRDefault="002E52A8" w:rsidP="002E52A8">
      <w:pPr>
        <w:jc w:val="both"/>
        <w:rPr>
          <w:rFonts w:ascii="Times New Roman" w:hAnsi="Times New Roman"/>
        </w:rPr>
      </w:pPr>
    </w:p>
    <w:p w:rsidR="002E52A8" w:rsidRDefault="002E52A8" w:rsidP="009E69A1">
      <w:pPr>
        <w:ind w:firstLine="708"/>
        <w:jc w:val="both"/>
        <w:rPr>
          <w:rFonts w:ascii="Times New Roman" w:hAnsi="Times New Roman"/>
        </w:rPr>
      </w:pPr>
      <w:r>
        <w:rPr>
          <w:rFonts w:ascii="Times New Roman" w:hAnsi="Times New Roman"/>
        </w:rPr>
        <w:t>V rámci subvencií dochádza k úspore výdavkov rozpočtu verejnej správy na úrovni 139,5 mil. eur. V</w:t>
      </w:r>
      <w:r w:rsidRPr="00454302">
        <w:rPr>
          <w:rFonts w:ascii="Times New Roman" w:hAnsi="Times New Roman"/>
        </w:rPr>
        <w:t xml:space="preserve"> rámci podpory poľnohospodárstva dochádza k úspore </w:t>
      </w:r>
      <w:r>
        <w:rPr>
          <w:rFonts w:ascii="Times New Roman" w:hAnsi="Times New Roman"/>
        </w:rPr>
        <w:t xml:space="preserve">na </w:t>
      </w:r>
      <w:r w:rsidRPr="00454302">
        <w:rPr>
          <w:rFonts w:ascii="Times New Roman" w:hAnsi="Times New Roman"/>
        </w:rPr>
        <w:t>spolufinancovan</w:t>
      </w:r>
      <w:r>
        <w:rPr>
          <w:rFonts w:ascii="Times New Roman" w:hAnsi="Times New Roman"/>
        </w:rPr>
        <w:t>í</w:t>
      </w:r>
      <w:r w:rsidRPr="00454302">
        <w:rPr>
          <w:rFonts w:ascii="Times New Roman" w:hAnsi="Times New Roman"/>
        </w:rPr>
        <w:t xml:space="preserve"> </w:t>
      </w:r>
      <w:r>
        <w:rPr>
          <w:rFonts w:ascii="Times New Roman" w:hAnsi="Times New Roman"/>
        </w:rPr>
        <w:t>vo výške</w:t>
      </w:r>
      <w:r w:rsidRPr="00454302">
        <w:rPr>
          <w:rFonts w:ascii="Times New Roman" w:hAnsi="Times New Roman"/>
        </w:rPr>
        <w:t xml:space="preserve"> 101,4 mil. eur, a to </w:t>
      </w:r>
      <w:r>
        <w:rPr>
          <w:rFonts w:ascii="Times New Roman" w:hAnsi="Times New Roman"/>
        </w:rPr>
        <w:t xml:space="preserve">najmä </w:t>
      </w:r>
      <w:r w:rsidRPr="00454302">
        <w:rPr>
          <w:rFonts w:ascii="Times New Roman" w:hAnsi="Times New Roman"/>
        </w:rPr>
        <w:t xml:space="preserve">v súvislosti s presmerovaním prostriedkov z rozpočtu EÚ </w:t>
      </w:r>
      <w:r>
        <w:rPr>
          <w:rFonts w:ascii="Times New Roman" w:hAnsi="Times New Roman"/>
        </w:rPr>
        <w:t xml:space="preserve">na financovanie vyššej podpory </w:t>
      </w:r>
      <w:r w:rsidRPr="00454302">
        <w:rPr>
          <w:rFonts w:ascii="Times New Roman" w:hAnsi="Times New Roman"/>
        </w:rPr>
        <w:t>regionálneho rozvoja</w:t>
      </w:r>
      <w:r>
        <w:rPr>
          <w:rFonts w:ascii="Times New Roman" w:hAnsi="Times New Roman"/>
        </w:rPr>
        <w:t>.</w:t>
      </w:r>
      <w:r w:rsidRPr="00454302">
        <w:rPr>
          <w:rFonts w:ascii="Times New Roman" w:hAnsi="Times New Roman"/>
        </w:rPr>
        <w:t xml:space="preserve"> </w:t>
      </w:r>
      <w:r>
        <w:rPr>
          <w:rFonts w:ascii="Times New Roman" w:hAnsi="Times New Roman"/>
        </w:rPr>
        <w:t>Dotácie do dopravy sa predpokladajú vyššie o 19,6 mil. eur, z toho na autobusovú dopravu pripadá 12,0 mil. eur.</w:t>
      </w:r>
    </w:p>
    <w:p w:rsidR="002E52A8" w:rsidRDefault="002E52A8" w:rsidP="002E52A8">
      <w:pPr>
        <w:jc w:val="both"/>
        <w:rPr>
          <w:rFonts w:ascii="Times New Roman" w:hAnsi="Times New Roman"/>
        </w:rPr>
      </w:pPr>
    </w:p>
    <w:p w:rsidR="002E52A8" w:rsidRPr="00C07C39" w:rsidRDefault="002E52A8" w:rsidP="009E69A1">
      <w:pPr>
        <w:ind w:firstLine="708"/>
        <w:jc w:val="both"/>
        <w:rPr>
          <w:rFonts w:ascii="Times New Roman" w:hAnsi="Times New Roman"/>
        </w:rPr>
      </w:pPr>
      <w:r>
        <w:rPr>
          <w:rFonts w:ascii="Times New Roman" w:hAnsi="Times New Roman"/>
        </w:rPr>
        <w:t xml:space="preserve">Úrokové náklady jednotlivých subjektov rozpočtu verejnej správy predpokladajú úsporu na úrovni 17,1 mil. eur. </w:t>
      </w:r>
      <w:r w:rsidRPr="00C07C39">
        <w:rPr>
          <w:rFonts w:ascii="Times New Roman" w:hAnsi="Times New Roman"/>
        </w:rPr>
        <w:t xml:space="preserve">V rámci správy štátneho dlhu sa očakáva úspora úrokových </w:t>
      </w:r>
      <w:r w:rsidRPr="00C07C39">
        <w:rPr>
          <w:rFonts w:ascii="Times New Roman" w:hAnsi="Times New Roman"/>
        </w:rPr>
        <w:lastRenderedPageBreak/>
        <w:t xml:space="preserve">nákladov vo výške </w:t>
      </w:r>
      <w:r>
        <w:rPr>
          <w:rFonts w:ascii="Times New Roman" w:hAnsi="Times New Roman"/>
        </w:rPr>
        <w:t>10,2</w:t>
      </w:r>
      <w:r w:rsidRPr="00C07C39">
        <w:rPr>
          <w:rFonts w:ascii="Times New Roman" w:hAnsi="Times New Roman"/>
        </w:rPr>
        <w:t xml:space="preserve"> mil. eur.</w:t>
      </w:r>
      <w:r>
        <w:rPr>
          <w:rFonts w:ascii="Times New Roman" w:hAnsi="Times New Roman"/>
        </w:rPr>
        <w:t xml:space="preserve"> Z ostatných subjektov verejnej správy ide najmä o úsporu v rámci NDS vo výške 2,3 mil. eur, ŽSSK vo výške 3,7 mil. eur a ŽSR vo výške 0,9 mil. eur.</w:t>
      </w:r>
    </w:p>
    <w:p w:rsidR="002E52A8" w:rsidRDefault="002E52A8" w:rsidP="002E52A8">
      <w:pPr>
        <w:jc w:val="both"/>
        <w:rPr>
          <w:rFonts w:ascii="Times New Roman" w:hAnsi="Times New Roman"/>
        </w:rPr>
      </w:pPr>
    </w:p>
    <w:p w:rsidR="002E52A8" w:rsidRPr="00C07C39" w:rsidRDefault="002E52A8" w:rsidP="009E69A1">
      <w:pPr>
        <w:ind w:firstLine="708"/>
        <w:jc w:val="both"/>
        <w:rPr>
          <w:rFonts w:ascii="Times New Roman" w:hAnsi="Times New Roman"/>
        </w:rPr>
      </w:pPr>
      <w:r w:rsidRPr="006150A9">
        <w:rPr>
          <w:rFonts w:ascii="Times New Roman" w:hAnsi="Times New Roman"/>
        </w:rPr>
        <w:t>Sociálne dávky rastú oproti schválenému rozpočtu o</w:t>
      </w:r>
      <w:r>
        <w:rPr>
          <w:rFonts w:ascii="Times New Roman" w:hAnsi="Times New Roman"/>
        </w:rPr>
        <w:t> 10</w:t>
      </w:r>
      <w:r w:rsidRPr="006150A9">
        <w:rPr>
          <w:rFonts w:ascii="Times New Roman" w:hAnsi="Times New Roman"/>
        </w:rPr>
        <w:t>9,1 mil. eur. V rámci Sociálnej poisťovne rastú dávky o 25,3 mil. eur. V tomto raste sú premietnuté vyššie nemocenské dávky o 22,6 mil. eur, vyššie dávky v nezamestnanosti o 19,8 mil. eur a úspora na dôchodkových dávkach vo výške 12,5 mil. eur. V rámci štátneho rozpočtu sa predpokladá úspora na štátnych sociálnych dávkach vo výške 19,9 mil. eur a na aktívn</w:t>
      </w:r>
      <w:r>
        <w:rPr>
          <w:rFonts w:ascii="Times New Roman" w:hAnsi="Times New Roman"/>
        </w:rPr>
        <w:t>ej politike trhu práce</w:t>
      </w:r>
      <w:r w:rsidRPr="006150A9">
        <w:rPr>
          <w:rFonts w:ascii="Times New Roman" w:hAnsi="Times New Roman"/>
        </w:rPr>
        <w:t xml:space="preserve"> </w:t>
      </w:r>
      <w:r>
        <w:rPr>
          <w:rFonts w:ascii="Times New Roman" w:hAnsi="Times New Roman"/>
        </w:rPr>
        <w:t>na úrovni</w:t>
      </w:r>
      <w:r w:rsidRPr="006150A9">
        <w:rPr>
          <w:rFonts w:ascii="Times New Roman" w:hAnsi="Times New Roman"/>
        </w:rPr>
        <w:t xml:space="preserve"> </w:t>
      </w:r>
      <w:r w:rsidR="00FA254F">
        <w:rPr>
          <w:rFonts w:ascii="Times New Roman" w:hAnsi="Times New Roman"/>
        </w:rPr>
        <w:br/>
      </w:r>
      <w:r w:rsidRPr="006150A9">
        <w:rPr>
          <w:rFonts w:ascii="Times New Roman" w:hAnsi="Times New Roman"/>
        </w:rPr>
        <w:t xml:space="preserve">8,6 mil. eur. </w:t>
      </w:r>
      <w:r w:rsidRPr="00D829BE">
        <w:rPr>
          <w:rFonts w:ascii="Times New Roman" w:hAnsi="Times New Roman"/>
        </w:rPr>
        <w:t>V rámci poistného plateného štátom za poistencov štátu v rámci verejného zdravotného poistenia sa predpokladá nárast vo výške 100,5 mil. eur.</w:t>
      </w:r>
    </w:p>
    <w:p w:rsidR="002E52A8" w:rsidRDefault="002E52A8" w:rsidP="002E52A8">
      <w:pPr>
        <w:jc w:val="both"/>
        <w:rPr>
          <w:rFonts w:ascii="Times New Roman" w:hAnsi="Times New Roman"/>
        </w:rPr>
      </w:pPr>
    </w:p>
    <w:p w:rsidR="002E52A8" w:rsidRPr="00C07C39" w:rsidRDefault="002E52A8" w:rsidP="009E69A1">
      <w:pPr>
        <w:ind w:firstLine="708"/>
        <w:jc w:val="both"/>
        <w:rPr>
          <w:rFonts w:ascii="Times New Roman" w:hAnsi="Times New Roman"/>
        </w:rPr>
      </w:pPr>
      <w:r w:rsidRPr="00C07C39">
        <w:rPr>
          <w:rFonts w:ascii="Times New Roman" w:hAnsi="Times New Roman"/>
        </w:rPr>
        <w:t>Naturálne sociálne transfery, ktoré predstavujú výdavky poistenia verejného zdravotného poistenia, rastú o</w:t>
      </w:r>
      <w:r>
        <w:rPr>
          <w:rFonts w:ascii="Times New Roman" w:hAnsi="Times New Roman"/>
        </w:rPr>
        <w:t> 142,0</w:t>
      </w:r>
      <w:r w:rsidRPr="00C07C39">
        <w:rPr>
          <w:rFonts w:ascii="Times New Roman" w:hAnsi="Times New Roman"/>
        </w:rPr>
        <w:t xml:space="preserve"> mil. eur. </w:t>
      </w:r>
    </w:p>
    <w:p w:rsidR="002E52A8" w:rsidRDefault="002E52A8" w:rsidP="002E52A8">
      <w:pPr>
        <w:jc w:val="both"/>
        <w:rPr>
          <w:rFonts w:ascii="Times New Roman" w:hAnsi="Times New Roman"/>
        </w:rPr>
      </w:pPr>
    </w:p>
    <w:p w:rsidR="002E52A8" w:rsidRPr="00C07C39" w:rsidRDefault="002E52A8" w:rsidP="009E69A1">
      <w:pPr>
        <w:ind w:firstLine="708"/>
        <w:jc w:val="both"/>
        <w:rPr>
          <w:rFonts w:ascii="Times New Roman" w:hAnsi="Times New Roman"/>
        </w:rPr>
      </w:pPr>
      <w:r w:rsidRPr="00250C87">
        <w:rPr>
          <w:rFonts w:ascii="Times New Roman" w:hAnsi="Times New Roman"/>
        </w:rPr>
        <w:t>V rámci ostatných bežných transferov sa očakáva úspora na úrovni 4</w:t>
      </w:r>
      <w:r>
        <w:rPr>
          <w:rFonts w:ascii="Times New Roman" w:hAnsi="Times New Roman"/>
        </w:rPr>
        <w:t>0</w:t>
      </w:r>
      <w:r w:rsidRPr="00250C87">
        <w:rPr>
          <w:rFonts w:ascii="Times New Roman" w:hAnsi="Times New Roman"/>
        </w:rPr>
        <w:t>4,1 mil. eur. Uvedené vyplýva z toho, že vo fáze tvorby rozpočtu verejnej správy nie je celkom zrejmé, kde sa budú konkrétne čerpať jednotlivé výdavky z rozpočtu EÚ a spolufinancovani</w:t>
      </w:r>
      <w:r>
        <w:rPr>
          <w:rFonts w:ascii="Times New Roman" w:hAnsi="Times New Roman"/>
        </w:rPr>
        <w:t>a</w:t>
      </w:r>
      <w:r w:rsidRPr="00250C87">
        <w:rPr>
          <w:rFonts w:ascii="Times New Roman" w:hAnsi="Times New Roman"/>
        </w:rPr>
        <w:t>. Z uvedeného dôvodu predstavuje úspora na týchto zdrojoch celkovo 313,0 mil. eur, z čoho spolufinancovanie predstavuje 73,0 mil. eur. Úspora na odvode do rozpočtu EÚ sa očakáva vo výške 11,9 mil. eur. Rozpustením rezervy na valorizáciu miezd a platov zamestnancov verejnej správy do kompenzácii zamestnancov vznikla úspora vo výške 98 mil. eur. Celkovo sa za štátny rozpočet očakáva úspora</w:t>
      </w:r>
      <w:r>
        <w:rPr>
          <w:rFonts w:ascii="Times New Roman" w:hAnsi="Times New Roman"/>
        </w:rPr>
        <w:t xml:space="preserve"> 6</w:t>
      </w:r>
      <w:r w:rsidRPr="00250C87">
        <w:rPr>
          <w:rFonts w:ascii="Times New Roman" w:hAnsi="Times New Roman"/>
        </w:rPr>
        <w:t xml:space="preserve">5,0 mil. eur. V rámci ostatných subjektov verejnej správy ide najmä o úspory </w:t>
      </w:r>
      <w:r>
        <w:rPr>
          <w:rFonts w:ascii="Times New Roman" w:hAnsi="Times New Roman"/>
        </w:rPr>
        <w:t>územnej</w:t>
      </w:r>
      <w:r w:rsidRPr="00250C87">
        <w:rPr>
          <w:rFonts w:ascii="Times New Roman" w:hAnsi="Times New Roman"/>
        </w:rPr>
        <w:t xml:space="preserve"> samosprávy vo výške 12,1 mil. eur, v rámci Slovenského pozemkového fondu vo výške 11,0 mil. eur </w:t>
      </w:r>
      <w:r>
        <w:rPr>
          <w:rFonts w:ascii="Times New Roman" w:hAnsi="Times New Roman"/>
        </w:rPr>
        <w:t xml:space="preserve">(zníženie záväzkov) </w:t>
      </w:r>
      <w:r w:rsidRPr="00250C87">
        <w:rPr>
          <w:rFonts w:ascii="Times New Roman" w:hAnsi="Times New Roman"/>
        </w:rPr>
        <w:t>a v rámci Audiovizuál</w:t>
      </w:r>
      <w:r>
        <w:rPr>
          <w:rFonts w:ascii="Times New Roman" w:hAnsi="Times New Roman"/>
        </w:rPr>
        <w:t>n</w:t>
      </w:r>
      <w:r w:rsidRPr="00250C87">
        <w:rPr>
          <w:rFonts w:ascii="Times New Roman" w:hAnsi="Times New Roman"/>
        </w:rPr>
        <w:t xml:space="preserve">eho fondu vo výške </w:t>
      </w:r>
      <w:r w:rsidR="009E69A1">
        <w:rPr>
          <w:rFonts w:ascii="Times New Roman" w:hAnsi="Times New Roman"/>
        </w:rPr>
        <w:br/>
      </w:r>
      <w:r w:rsidRPr="00250C87">
        <w:rPr>
          <w:rFonts w:ascii="Times New Roman" w:hAnsi="Times New Roman"/>
        </w:rPr>
        <w:t xml:space="preserve">4,6 mil. eur. </w:t>
      </w:r>
      <w:proofErr w:type="spellStart"/>
      <w:r w:rsidRPr="00250C87">
        <w:rPr>
          <w:rFonts w:ascii="Times New Roman" w:hAnsi="Times New Roman"/>
        </w:rPr>
        <w:t>Javys</w:t>
      </w:r>
      <w:proofErr w:type="spellEnd"/>
      <w:r w:rsidRPr="00250C87">
        <w:rPr>
          <w:rFonts w:ascii="Times New Roman" w:hAnsi="Times New Roman"/>
        </w:rPr>
        <w:t xml:space="preserve">, a. s. očakáva tieto výdavky na úrovni 1,6 mil. eur. </w:t>
      </w:r>
    </w:p>
    <w:p w:rsidR="002E52A8" w:rsidRDefault="002E52A8" w:rsidP="002E52A8">
      <w:pPr>
        <w:jc w:val="both"/>
        <w:rPr>
          <w:rFonts w:ascii="Times New Roman" w:hAnsi="Times New Roman"/>
        </w:rPr>
      </w:pPr>
    </w:p>
    <w:p w:rsidR="002E52A8" w:rsidRDefault="002E52A8" w:rsidP="009E69A1">
      <w:pPr>
        <w:ind w:firstLine="708"/>
        <w:jc w:val="both"/>
        <w:rPr>
          <w:rFonts w:ascii="Times New Roman" w:hAnsi="Times New Roman"/>
        </w:rPr>
      </w:pPr>
      <w:r>
        <w:rPr>
          <w:rFonts w:ascii="Times New Roman" w:hAnsi="Times New Roman"/>
        </w:rPr>
        <w:t>V rámci kapitálových investícií dochádza k úspore na úrovni 128,6 mil. eur.</w:t>
      </w:r>
      <w:r w:rsidRPr="00BB5234">
        <w:rPr>
          <w:rFonts w:ascii="Times New Roman" w:hAnsi="Times New Roman"/>
        </w:rPr>
        <w:t xml:space="preserve"> </w:t>
      </w:r>
      <w:r>
        <w:rPr>
          <w:rFonts w:ascii="Times New Roman" w:hAnsi="Times New Roman"/>
        </w:rPr>
        <w:t xml:space="preserve">Celkovo v tejto kategórii dochádza k značným úsporám z titulu nečerpania prostriedkov z rozpočtu EÚ, a to vo výške 317,1 mil. eur, čo kopíruje vývoj na strane príjmov z rozpočtu EÚ. Nečerpaním EÚ zdrojov dochádza aj k úspore spolufinancovania, a to na úrovni 65,8 mil. eur. Pri NDS dochádza k nárastu záväzkov vo výške 75,5 mil. eur a čerpaniu vlastných prostriedkov </w:t>
      </w:r>
      <w:r w:rsidR="00FA254F">
        <w:rPr>
          <w:rFonts w:ascii="Times New Roman" w:hAnsi="Times New Roman"/>
        </w:rPr>
        <w:br/>
      </w:r>
      <w:r>
        <w:rPr>
          <w:rFonts w:ascii="Times New Roman" w:hAnsi="Times New Roman"/>
        </w:rPr>
        <w:t xml:space="preserve">(20,9 mil. eur) a krátkodobých úverových zdrojov (106,3 mil. eur) na financovanie výstavby diaľnic a rýchlostných ciest. Obdobná situácia je aj pri ŽSR, ktorá taktiež vo zvýšenej miere čerpá  vlastné a úverové zdroje na investičné aktivity (spolu takmer 70 mil. eur). </w:t>
      </w:r>
      <w:r w:rsidRPr="00C07C39">
        <w:rPr>
          <w:rFonts w:ascii="Times New Roman" w:hAnsi="Times New Roman"/>
        </w:rPr>
        <w:t xml:space="preserve">Spoločnosť </w:t>
      </w:r>
      <w:proofErr w:type="spellStart"/>
      <w:r w:rsidRPr="00C07C39">
        <w:rPr>
          <w:rFonts w:ascii="Times New Roman" w:hAnsi="Times New Roman"/>
        </w:rPr>
        <w:t>Javys</w:t>
      </w:r>
      <w:proofErr w:type="spellEnd"/>
      <w:r w:rsidRPr="00C07C39">
        <w:rPr>
          <w:rFonts w:ascii="Times New Roman" w:hAnsi="Times New Roman"/>
        </w:rPr>
        <w:t>, a. s. predpokladá vynaložiť prostriedky na obstaranie kapitálovýc</w:t>
      </w:r>
      <w:r>
        <w:rPr>
          <w:rFonts w:ascii="Times New Roman" w:hAnsi="Times New Roman"/>
        </w:rPr>
        <w:t xml:space="preserve">h aktív vo výške </w:t>
      </w:r>
      <w:r w:rsidR="00FA254F">
        <w:rPr>
          <w:rFonts w:ascii="Times New Roman" w:hAnsi="Times New Roman"/>
        </w:rPr>
        <w:br/>
      </w:r>
      <w:r>
        <w:rPr>
          <w:rFonts w:ascii="Times New Roman" w:hAnsi="Times New Roman"/>
        </w:rPr>
        <w:t xml:space="preserve">85,1 mil. eur. V rámci výdavkov samosprávy sa očakáva prekročenie na úrovni 137,2 mil. eur a v </w:t>
      </w:r>
      <w:r w:rsidRPr="00202119">
        <w:rPr>
          <w:rFonts w:ascii="Times New Roman" w:hAnsi="Times New Roman"/>
        </w:rPr>
        <w:t>Sociálnej poisťovni sa predpokladá vyššie čerpanie kapitálových výdavkov správneho fondu o 12,9 mil. eur. Ostatné neuvedené subjekty zaznamenávajú celkovo úspor</w:t>
      </w:r>
      <w:r>
        <w:rPr>
          <w:rFonts w:ascii="Times New Roman" w:hAnsi="Times New Roman"/>
        </w:rPr>
        <w:t>u</w:t>
      </w:r>
      <w:r w:rsidRPr="00202119">
        <w:rPr>
          <w:rFonts w:ascii="Times New Roman" w:hAnsi="Times New Roman"/>
        </w:rPr>
        <w:t xml:space="preserve"> výdavkov na úrovni 2,6 mil. eur.</w:t>
      </w:r>
    </w:p>
    <w:p w:rsidR="002E52A8" w:rsidRDefault="002E52A8" w:rsidP="002E52A8">
      <w:pPr>
        <w:jc w:val="both"/>
        <w:rPr>
          <w:rFonts w:ascii="Times New Roman" w:hAnsi="Times New Roman"/>
        </w:rPr>
      </w:pPr>
    </w:p>
    <w:p w:rsidR="002E52A8" w:rsidRPr="00C07C39" w:rsidRDefault="002E52A8" w:rsidP="009E69A1">
      <w:pPr>
        <w:ind w:firstLine="708"/>
        <w:jc w:val="both"/>
        <w:rPr>
          <w:rFonts w:ascii="Times New Roman" w:hAnsi="Times New Roman"/>
        </w:rPr>
      </w:pPr>
      <w:r w:rsidRPr="00C07C39">
        <w:rPr>
          <w:rFonts w:ascii="Times New Roman" w:hAnsi="Times New Roman"/>
        </w:rPr>
        <w:t xml:space="preserve">V rámci investičných grantov a ostatných kapitálových transferov sa očakáva </w:t>
      </w:r>
      <w:r>
        <w:rPr>
          <w:rFonts w:ascii="Times New Roman" w:hAnsi="Times New Roman"/>
        </w:rPr>
        <w:t>úspora</w:t>
      </w:r>
      <w:r w:rsidRPr="00C07C39">
        <w:rPr>
          <w:rFonts w:ascii="Times New Roman" w:hAnsi="Times New Roman"/>
        </w:rPr>
        <w:t xml:space="preserve"> na úrovni </w:t>
      </w:r>
      <w:r>
        <w:rPr>
          <w:rFonts w:ascii="Times New Roman" w:hAnsi="Times New Roman"/>
        </w:rPr>
        <w:t>2,7</w:t>
      </w:r>
      <w:r w:rsidRPr="00C07C39">
        <w:rPr>
          <w:rFonts w:ascii="Times New Roman" w:hAnsi="Times New Roman"/>
        </w:rPr>
        <w:t xml:space="preserve"> mil. eur. </w:t>
      </w:r>
    </w:p>
    <w:p w:rsidR="002E52A8" w:rsidRDefault="002E52A8" w:rsidP="002E52A8">
      <w:pPr>
        <w:autoSpaceDE w:val="0"/>
        <w:autoSpaceDN w:val="0"/>
        <w:adjustRightInd w:val="0"/>
        <w:ind w:firstLine="708"/>
        <w:jc w:val="both"/>
        <w:rPr>
          <w:rFonts w:ascii="Times New Roman" w:hAnsi="Times New Roman"/>
        </w:rPr>
      </w:pPr>
    </w:p>
    <w:p w:rsidR="002E52A8" w:rsidRPr="00E66AE9" w:rsidRDefault="002E52A8" w:rsidP="002E52A8">
      <w:pPr>
        <w:keepNext/>
        <w:outlineLvl w:val="1"/>
        <w:rPr>
          <w:rFonts w:ascii="Times New Roman" w:hAnsi="Times New Roman"/>
          <w:b/>
          <w:bCs/>
        </w:rPr>
      </w:pPr>
      <w:bookmarkStart w:id="23" w:name="_Toc494463959"/>
      <w:r w:rsidRPr="00F1229A">
        <w:rPr>
          <w:rFonts w:ascii="Times New Roman" w:hAnsi="Times New Roman"/>
          <w:b/>
          <w:bCs/>
        </w:rPr>
        <w:t>2.2. Rámec na zostavenie rozpočtu verejnej správy na roky 2018 až 2020</w:t>
      </w:r>
      <w:bookmarkEnd w:id="23"/>
    </w:p>
    <w:p w:rsidR="002E52A8" w:rsidRPr="00E66AE9" w:rsidRDefault="002E52A8" w:rsidP="002E52A8"/>
    <w:p w:rsidR="002E52A8" w:rsidRDefault="002E52A8" w:rsidP="002E52A8">
      <w:pPr>
        <w:autoSpaceDE w:val="0"/>
        <w:autoSpaceDN w:val="0"/>
        <w:ind w:firstLine="708"/>
        <w:jc w:val="both"/>
        <w:rPr>
          <w:rFonts w:ascii="Times New Roman" w:hAnsi="Times New Roman"/>
        </w:rPr>
      </w:pPr>
      <w:r w:rsidRPr="00EE4B3F">
        <w:rPr>
          <w:rFonts w:ascii="Times New Roman" w:hAnsi="Times New Roman"/>
        </w:rPr>
        <w:t xml:space="preserve">Stratégia rozpočtovej politiky v nasledujúcich rozpočtových rokoch je zameraná na ďalšie zlepšovanie rozpočtovej pozície verejnej správy s cieľom </w:t>
      </w:r>
      <w:r>
        <w:rPr>
          <w:rFonts w:ascii="Times New Roman" w:hAnsi="Times New Roman"/>
        </w:rPr>
        <w:t>dosiahnuť</w:t>
      </w:r>
      <w:r w:rsidRPr="00EE4B3F">
        <w:rPr>
          <w:rFonts w:ascii="Times New Roman" w:hAnsi="Times New Roman"/>
        </w:rPr>
        <w:t xml:space="preserve"> dlhodobú udržateľnosť verejných financií. Návrh rozpočtu verejnej správy vytvára základné predpoklady pre zabezpečenie pokračovania v konsolidácii verejných financií. </w:t>
      </w:r>
      <w:r>
        <w:rPr>
          <w:rFonts w:ascii="Times New Roman" w:hAnsi="Times New Roman"/>
        </w:rPr>
        <w:t>C</w:t>
      </w:r>
      <w:r w:rsidRPr="00EE4B3F">
        <w:rPr>
          <w:rFonts w:ascii="Times New Roman" w:hAnsi="Times New Roman"/>
        </w:rPr>
        <w:t>ieľová hodnota defi</w:t>
      </w:r>
      <w:r>
        <w:rPr>
          <w:rFonts w:ascii="Times New Roman" w:hAnsi="Times New Roman"/>
        </w:rPr>
        <w:t>citu verejnej správy na rok 2018</w:t>
      </w:r>
      <w:r w:rsidRPr="00EE4B3F">
        <w:rPr>
          <w:rFonts w:ascii="Times New Roman" w:hAnsi="Times New Roman"/>
        </w:rPr>
        <w:t xml:space="preserve"> </w:t>
      </w:r>
      <w:r>
        <w:rPr>
          <w:rFonts w:ascii="Times New Roman" w:hAnsi="Times New Roman"/>
        </w:rPr>
        <w:t xml:space="preserve">je </w:t>
      </w:r>
      <w:r w:rsidRPr="00EE4B3F">
        <w:rPr>
          <w:rFonts w:ascii="Times New Roman" w:hAnsi="Times New Roman"/>
        </w:rPr>
        <w:t xml:space="preserve">stanovená vo výške </w:t>
      </w:r>
      <w:r>
        <w:rPr>
          <w:rFonts w:ascii="Times New Roman" w:hAnsi="Times New Roman"/>
        </w:rPr>
        <w:t>0,83</w:t>
      </w:r>
      <w:r w:rsidRPr="00EE4B3F">
        <w:rPr>
          <w:rFonts w:ascii="Times New Roman" w:hAnsi="Times New Roman"/>
        </w:rPr>
        <w:t xml:space="preserve"> % HDP. V</w:t>
      </w:r>
      <w:r>
        <w:rPr>
          <w:rFonts w:ascii="Times New Roman" w:hAnsi="Times New Roman"/>
        </w:rPr>
        <w:t xml:space="preserve"> roku 2019 sa navrhuje deficit rozpočtu verejnej správy na úrovni 0,10 % HDP a na rok 2020 sa navrhuje vyrovnané </w:t>
      </w:r>
      <w:r>
        <w:rPr>
          <w:rFonts w:ascii="Times New Roman" w:hAnsi="Times New Roman"/>
        </w:rPr>
        <w:lastRenderedPageBreak/>
        <w:t>hospodárenie rozpočtu verejnej správy.</w:t>
      </w:r>
      <w:r w:rsidRPr="00EE4B3F">
        <w:rPr>
          <w:rFonts w:ascii="Times New Roman" w:hAnsi="Times New Roman"/>
        </w:rPr>
        <w:t xml:space="preserve"> </w:t>
      </w:r>
      <w:r w:rsidRPr="00D829BE">
        <w:rPr>
          <w:rFonts w:ascii="Times New Roman" w:hAnsi="Times New Roman"/>
        </w:rPr>
        <w:t>Stanovené ciele by mali prispieť ku každoročnému znižovaniu dlhu verejnej správy v rozpočtovom období, čím sa zohľadňujú aj požiadavky ústavného zákona o rozpočtovej zodpovednosti.</w:t>
      </w:r>
    </w:p>
    <w:p w:rsidR="002E52A8" w:rsidRDefault="002E52A8" w:rsidP="002E52A8">
      <w:pPr>
        <w:autoSpaceDE w:val="0"/>
        <w:autoSpaceDN w:val="0"/>
        <w:adjustRightInd w:val="0"/>
        <w:jc w:val="both"/>
        <w:rPr>
          <w:rFonts w:ascii="Times New Roman" w:hAnsi="Times New Roman"/>
        </w:rPr>
      </w:pPr>
    </w:p>
    <w:p w:rsidR="002E52A8" w:rsidRDefault="002E52A8" w:rsidP="002E52A8">
      <w:pPr>
        <w:autoSpaceDE w:val="0"/>
        <w:autoSpaceDN w:val="0"/>
        <w:adjustRightInd w:val="0"/>
        <w:ind w:firstLine="708"/>
        <w:jc w:val="both"/>
        <w:rPr>
          <w:rFonts w:ascii="Times New Roman" w:hAnsi="Times New Roman"/>
        </w:rPr>
      </w:pPr>
      <w:r w:rsidRPr="00E66AE9">
        <w:rPr>
          <w:rFonts w:ascii="Times New Roman" w:hAnsi="Times New Roman"/>
        </w:rPr>
        <w:t>Nasledujúca tabuľka poskytuje prehľad o základných parametroch fiškálneho rámca na roky 201</w:t>
      </w:r>
      <w:r>
        <w:rPr>
          <w:rFonts w:ascii="Times New Roman" w:hAnsi="Times New Roman"/>
        </w:rPr>
        <w:t>8</w:t>
      </w:r>
      <w:r w:rsidRPr="00E66AE9">
        <w:rPr>
          <w:rFonts w:ascii="Times New Roman" w:hAnsi="Times New Roman"/>
        </w:rPr>
        <w:t xml:space="preserve"> až 20</w:t>
      </w:r>
      <w:r>
        <w:rPr>
          <w:rFonts w:ascii="Times New Roman" w:hAnsi="Times New Roman"/>
        </w:rPr>
        <w:t>20</w:t>
      </w:r>
      <w:r w:rsidRPr="00E66AE9">
        <w:rPr>
          <w:rFonts w:ascii="Times New Roman" w:hAnsi="Times New Roman"/>
        </w:rPr>
        <w:t xml:space="preserve">, a to o konkrétnych výškach schodku štátneho rozpočtu v metodike </w:t>
      </w:r>
      <w:r w:rsidR="00FA254F">
        <w:rPr>
          <w:rFonts w:ascii="Times New Roman" w:hAnsi="Times New Roman"/>
        </w:rPr>
        <w:br/>
      </w:r>
      <w:r w:rsidRPr="00E66AE9">
        <w:rPr>
          <w:rFonts w:ascii="Times New Roman" w:hAnsi="Times New Roman"/>
        </w:rPr>
        <w:t xml:space="preserve">ESA 2010 v jednotlivých rokoch zostavovaného rozpočtu a predpokladanom vývoji hospodárenia ostatných subjektov verejnej správy. </w:t>
      </w:r>
    </w:p>
    <w:p w:rsidR="002E52A8" w:rsidRPr="00E66AE9" w:rsidRDefault="002E52A8" w:rsidP="002E52A8">
      <w:pPr>
        <w:autoSpaceDE w:val="0"/>
        <w:autoSpaceDN w:val="0"/>
        <w:adjustRightInd w:val="0"/>
        <w:jc w:val="both"/>
        <w:rPr>
          <w:rFonts w:ascii="Times New Roman" w:hAnsi="Times New Roman"/>
          <w:color w:val="0070C0"/>
        </w:rPr>
      </w:pPr>
    </w:p>
    <w:tbl>
      <w:tblPr>
        <w:tblW w:w="9049" w:type="dxa"/>
        <w:jc w:val="center"/>
        <w:tblCellMar>
          <w:left w:w="70" w:type="dxa"/>
          <w:right w:w="70" w:type="dxa"/>
        </w:tblCellMar>
        <w:tblLook w:val="04A0" w:firstRow="1" w:lastRow="0" w:firstColumn="1" w:lastColumn="0" w:noHBand="0" w:noVBand="1"/>
      </w:tblPr>
      <w:tblGrid>
        <w:gridCol w:w="2489"/>
        <w:gridCol w:w="820"/>
        <w:gridCol w:w="820"/>
        <w:gridCol w:w="820"/>
        <w:gridCol w:w="820"/>
        <w:gridCol w:w="820"/>
        <w:gridCol w:w="820"/>
        <w:gridCol w:w="820"/>
        <w:gridCol w:w="820"/>
      </w:tblGrid>
      <w:tr w:rsidR="002E52A8" w:rsidRPr="00163637" w:rsidTr="00C72F49">
        <w:trPr>
          <w:trHeight w:val="240"/>
          <w:jc w:val="center"/>
        </w:trPr>
        <w:tc>
          <w:tcPr>
            <w:tcW w:w="248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E52A8" w:rsidRPr="00163637" w:rsidRDefault="002E52A8" w:rsidP="00C72F49">
            <w:pPr>
              <w:jc w:val="center"/>
              <w:rPr>
                <w:rFonts w:ascii="Arial Narrow" w:hAnsi="Arial Narrow" w:cs="Times New Roman"/>
                <w:color w:val="000000"/>
                <w:sz w:val="22"/>
                <w:szCs w:val="22"/>
                <w:lang w:eastAsia="sk-SK"/>
              </w:rPr>
            </w:pPr>
            <w:r w:rsidRPr="00163637">
              <w:rPr>
                <w:rFonts w:ascii="Arial Narrow" w:hAnsi="Arial Narrow" w:cs="Times New Roman"/>
                <w:color w:val="000000"/>
                <w:sz w:val="22"/>
                <w:szCs w:val="22"/>
                <w:lang w:eastAsia="sk-SK"/>
              </w:rPr>
              <w:t> </w:t>
            </w:r>
          </w:p>
        </w:tc>
        <w:tc>
          <w:tcPr>
            <w:tcW w:w="820" w:type="dxa"/>
            <w:tcBorders>
              <w:top w:val="single" w:sz="4" w:space="0" w:color="auto"/>
              <w:left w:val="nil"/>
              <w:bottom w:val="single" w:sz="4" w:space="0" w:color="auto"/>
              <w:right w:val="single" w:sz="4" w:space="0" w:color="auto"/>
            </w:tcBorders>
            <w:shd w:val="clear" w:color="000000" w:fill="A6A6A6"/>
            <w:vAlign w:val="center"/>
            <w:hideMark/>
          </w:tcPr>
          <w:p w:rsidR="002E52A8" w:rsidRPr="00163637" w:rsidRDefault="002E52A8" w:rsidP="00C72F49">
            <w:pPr>
              <w:jc w:val="center"/>
              <w:rPr>
                <w:rFonts w:ascii="Times New Roman" w:hAnsi="Times New Roman" w:cs="Times New Roman"/>
                <w:b/>
                <w:bCs/>
                <w:color w:val="000000"/>
                <w:sz w:val="14"/>
                <w:szCs w:val="14"/>
                <w:lang w:eastAsia="sk-SK"/>
              </w:rPr>
            </w:pPr>
            <w:r w:rsidRPr="00163637">
              <w:rPr>
                <w:rFonts w:ascii="Times New Roman" w:hAnsi="Times New Roman" w:cs="Times New Roman"/>
                <w:b/>
                <w:bCs/>
                <w:color w:val="000000"/>
                <w:sz w:val="14"/>
                <w:szCs w:val="14"/>
                <w:lang w:eastAsia="sk-SK"/>
              </w:rPr>
              <w:t>m. j.</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2017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2017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2020 N</w:t>
            </w:r>
          </w:p>
        </w:tc>
      </w:tr>
      <w:tr w:rsidR="002E52A8" w:rsidRPr="00163637" w:rsidTr="00C72F49">
        <w:trPr>
          <w:trHeight w:val="240"/>
          <w:jc w:val="center"/>
        </w:trPr>
        <w:tc>
          <w:tcPr>
            <w:tcW w:w="2489" w:type="dxa"/>
            <w:tcBorders>
              <w:top w:val="nil"/>
              <w:left w:val="single" w:sz="4" w:space="0" w:color="auto"/>
              <w:bottom w:val="single" w:sz="4" w:space="0" w:color="auto"/>
              <w:right w:val="single" w:sz="4" w:space="0" w:color="auto"/>
            </w:tcBorders>
            <w:shd w:val="clear" w:color="000000" w:fill="BFBFBF"/>
            <w:vAlign w:val="center"/>
            <w:hideMark/>
          </w:tcPr>
          <w:p w:rsidR="002E52A8" w:rsidRPr="00163637" w:rsidRDefault="002E52A8" w:rsidP="00C72F49">
            <w:pP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Cielený podiel schodku RVS na HDP</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cente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-2,49</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-1,93</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-1,29</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-1,29</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-0,83</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-0,10</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0,00</w:t>
            </w:r>
          </w:p>
        </w:tc>
      </w:tr>
      <w:tr w:rsidR="002E52A8" w:rsidRPr="00163637" w:rsidTr="00C72F49">
        <w:trPr>
          <w:trHeight w:val="240"/>
          <w:jc w:val="center"/>
        </w:trPr>
        <w:tc>
          <w:tcPr>
            <w:tcW w:w="2489" w:type="dxa"/>
            <w:tcBorders>
              <w:top w:val="nil"/>
              <w:left w:val="single" w:sz="4" w:space="0" w:color="auto"/>
              <w:bottom w:val="single" w:sz="4" w:space="0" w:color="auto"/>
              <w:right w:val="single" w:sz="4" w:space="0" w:color="auto"/>
            </w:tcBorders>
            <w:shd w:val="clear" w:color="auto" w:fill="auto"/>
            <w:vAlign w:val="center"/>
            <w:hideMark/>
          </w:tcPr>
          <w:p w:rsidR="002E52A8" w:rsidRPr="00163637" w:rsidRDefault="002E52A8" w:rsidP="00C72F49">
            <w:pP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Cielený schodok RVS</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cente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-1 940,1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-1 562,5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-1 083,5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-1 091,3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-742,8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-95,3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0,0</w:t>
            </w:r>
          </w:p>
        </w:tc>
      </w:tr>
      <w:tr w:rsidR="002E52A8" w:rsidRPr="00163637" w:rsidTr="00C72F49">
        <w:trPr>
          <w:trHeight w:val="240"/>
          <w:jc w:val="center"/>
        </w:trPr>
        <w:tc>
          <w:tcPr>
            <w:tcW w:w="2489" w:type="dxa"/>
            <w:tcBorders>
              <w:top w:val="nil"/>
              <w:left w:val="single" w:sz="4" w:space="0" w:color="auto"/>
              <w:bottom w:val="single" w:sz="4" w:space="0" w:color="auto"/>
              <w:right w:val="single" w:sz="4" w:space="0" w:color="auto"/>
            </w:tcBorders>
            <w:shd w:val="clear" w:color="000000" w:fill="BFBFBF"/>
            <w:noWrap/>
            <w:vAlign w:val="center"/>
            <w:hideMark/>
          </w:tcPr>
          <w:p w:rsidR="002E52A8" w:rsidRPr="00163637" w:rsidRDefault="002E52A8" w:rsidP="00C72F49">
            <w:pPr>
              <w:rPr>
                <w:rFonts w:ascii="Times New Roman" w:hAnsi="Times New Roman" w:cs="Times New Roman"/>
                <w:b/>
                <w:bCs/>
                <w:color w:val="000000"/>
                <w:sz w:val="14"/>
                <w:szCs w:val="14"/>
                <w:lang w:eastAsia="sk-SK"/>
              </w:rPr>
            </w:pPr>
            <w:r w:rsidRPr="00163637">
              <w:rPr>
                <w:rFonts w:ascii="Times New Roman" w:hAnsi="Times New Roman" w:cs="Times New Roman"/>
                <w:b/>
                <w:bCs/>
                <w:color w:val="000000"/>
                <w:sz w:val="14"/>
                <w:szCs w:val="14"/>
                <w:lang w:eastAsia="sk-SK"/>
              </w:rPr>
              <w:t>Schodok rozpočtu VS na HDP</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center"/>
              <w:rPr>
                <w:rFonts w:ascii="Times New Roman" w:hAnsi="Times New Roman" w:cs="Times New Roman"/>
                <w:b/>
                <w:bCs/>
                <w:color w:val="000000"/>
                <w:sz w:val="14"/>
                <w:szCs w:val="14"/>
                <w:lang w:eastAsia="sk-SK"/>
              </w:rPr>
            </w:pPr>
            <w:r w:rsidRPr="00163637">
              <w:rPr>
                <w:rFonts w:ascii="Times New Roman" w:hAnsi="Times New Roman" w:cs="Times New Roman"/>
                <w:b/>
                <w:bCs/>
                <w:color w:val="000000"/>
                <w:sz w:val="14"/>
                <w:szCs w:val="14"/>
                <w:lang w:eastAsia="sk-SK"/>
              </w:rPr>
              <w:t>%</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b/>
                <w:bCs/>
                <w:color w:val="000000"/>
                <w:sz w:val="14"/>
                <w:szCs w:val="14"/>
                <w:lang w:eastAsia="sk-SK"/>
              </w:rPr>
            </w:pPr>
            <w:r w:rsidRPr="00163637">
              <w:rPr>
                <w:rFonts w:ascii="Times New Roman" w:hAnsi="Times New Roman" w:cs="Times New Roman"/>
                <w:b/>
                <w:bCs/>
                <w:color w:val="000000"/>
                <w:sz w:val="14"/>
                <w:szCs w:val="14"/>
                <w:lang w:eastAsia="sk-SK"/>
              </w:rPr>
              <w:t>-2,74</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b/>
                <w:bCs/>
                <w:color w:val="000000"/>
                <w:sz w:val="14"/>
                <w:szCs w:val="14"/>
                <w:lang w:eastAsia="sk-SK"/>
              </w:rPr>
            </w:pPr>
            <w:r w:rsidRPr="00163637">
              <w:rPr>
                <w:rFonts w:ascii="Times New Roman" w:hAnsi="Times New Roman" w:cs="Times New Roman"/>
                <w:b/>
                <w:bCs/>
                <w:color w:val="000000"/>
                <w:sz w:val="14"/>
                <w:szCs w:val="14"/>
                <w:lang w:eastAsia="sk-SK"/>
              </w:rPr>
              <w:t>-1,68</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b/>
                <w:bCs/>
                <w:color w:val="000000"/>
                <w:sz w:val="14"/>
                <w:szCs w:val="14"/>
                <w:lang w:eastAsia="sk-SK"/>
              </w:rPr>
            </w:pPr>
            <w:r w:rsidRPr="00163637">
              <w:rPr>
                <w:rFonts w:ascii="Times New Roman" w:hAnsi="Times New Roman" w:cs="Times New Roman"/>
                <w:b/>
                <w:bCs/>
                <w:color w:val="000000"/>
                <w:sz w:val="14"/>
                <w:szCs w:val="14"/>
                <w:lang w:eastAsia="sk-SK"/>
              </w:rPr>
              <w:t>-1,29</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b/>
                <w:bCs/>
                <w:color w:val="000000"/>
                <w:sz w:val="14"/>
                <w:szCs w:val="14"/>
                <w:lang w:eastAsia="sk-SK"/>
              </w:rPr>
            </w:pPr>
            <w:r w:rsidRPr="00163637">
              <w:rPr>
                <w:rFonts w:ascii="Times New Roman" w:hAnsi="Times New Roman" w:cs="Times New Roman"/>
                <w:b/>
                <w:bCs/>
                <w:color w:val="000000"/>
                <w:sz w:val="14"/>
                <w:szCs w:val="14"/>
                <w:lang w:eastAsia="sk-SK"/>
              </w:rPr>
              <w:t>-1,63</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b/>
                <w:bCs/>
                <w:color w:val="000000"/>
                <w:sz w:val="14"/>
                <w:szCs w:val="14"/>
                <w:lang w:eastAsia="sk-SK"/>
              </w:rPr>
            </w:pPr>
            <w:r w:rsidRPr="00163637">
              <w:rPr>
                <w:rFonts w:ascii="Times New Roman" w:hAnsi="Times New Roman" w:cs="Times New Roman"/>
                <w:b/>
                <w:bCs/>
                <w:color w:val="000000"/>
                <w:sz w:val="14"/>
                <w:szCs w:val="14"/>
                <w:lang w:eastAsia="sk-SK"/>
              </w:rPr>
              <w:t>-0,83</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b/>
                <w:bCs/>
                <w:color w:val="000000"/>
                <w:sz w:val="14"/>
                <w:szCs w:val="14"/>
                <w:lang w:eastAsia="sk-SK"/>
              </w:rPr>
            </w:pPr>
            <w:r w:rsidRPr="00163637">
              <w:rPr>
                <w:rFonts w:ascii="Times New Roman" w:hAnsi="Times New Roman" w:cs="Times New Roman"/>
                <w:b/>
                <w:bCs/>
                <w:color w:val="000000"/>
                <w:sz w:val="14"/>
                <w:szCs w:val="14"/>
                <w:lang w:eastAsia="sk-SK"/>
              </w:rPr>
              <w:t>-0,32</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b/>
                <w:bCs/>
                <w:color w:val="000000"/>
                <w:sz w:val="14"/>
                <w:szCs w:val="14"/>
                <w:lang w:eastAsia="sk-SK"/>
              </w:rPr>
            </w:pPr>
            <w:r w:rsidRPr="00163637">
              <w:rPr>
                <w:rFonts w:ascii="Times New Roman" w:hAnsi="Times New Roman" w:cs="Times New Roman"/>
                <w:b/>
                <w:bCs/>
                <w:color w:val="000000"/>
                <w:sz w:val="14"/>
                <w:szCs w:val="14"/>
                <w:lang w:eastAsia="sk-SK"/>
              </w:rPr>
              <w:t>-0,27</w:t>
            </w:r>
          </w:p>
        </w:tc>
      </w:tr>
      <w:tr w:rsidR="002E52A8" w:rsidRPr="00163637" w:rsidTr="00C72F49">
        <w:trPr>
          <w:trHeight w:val="240"/>
          <w:jc w:val="center"/>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rsidR="002E52A8" w:rsidRPr="00163637" w:rsidRDefault="002E52A8" w:rsidP="00C72F49">
            <w:pP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Schodok rozpočtu VS spolu</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cente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-2 159,6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-1 361,5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-1 083,5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-1 375,6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-742,8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-309,4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-273,0</w:t>
            </w:r>
          </w:p>
        </w:tc>
      </w:tr>
      <w:tr w:rsidR="002E52A8" w:rsidRPr="00163637" w:rsidTr="00C72F49">
        <w:trPr>
          <w:trHeight w:val="240"/>
          <w:jc w:val="center"/>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rsidR="002E52A8" w:rsidRPr="00163637" w:rsidRDefault="002E52A8" w:rsidP="00C72F49">
            <w:pP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Ostatné subjekty rozpočtu VS</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cente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-663,1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471,7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638,8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383,2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812,9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836,9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904,1</w:t>
            </w:r>
          </w:p>
        </w:tc>
      </w:tr>
      <w:tr w:rsidR="002E52A8" w:rsidRPr="00163637" w:rsidTr="00C72F49">
        <w:trPr>
          <w:trHeight w:val="240"/>
          <w:jc w:val="center"/>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rsidR="002E52A8" w:rsidRPr="00163637" w:rsidRDefault="002E52A8" w:rsidP="00C72F49">
            <w:pP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Štátny rozpočet</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cente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-1 496,5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-1 833,2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-1 722,3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-1 758,8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-1 555,7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-1 146,3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-1 177,1</w:t>
            </w:r>
          </w:p>
        </w:tc>
      </w:tr>
      <w:tr w:rsidR="002E52A8" w:rsidRPr="00163637" w:rsidTr="00C72F49">
        <w:trPr>
          <w:trHeight w:val="240"/>
          <w:jc w:val="center"/>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rsidR="002E52A8" w:rsidRPr="00163637" w:rsidRDefault="002E52A8" w:rsidP="00C72F49">
            <w:pP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HDP v b. c.</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cente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78 685,6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80 958,0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83 991,4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84 599,6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89 495,3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95 260,9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101 007,4</w:t>
            </w:r>
          </w:p>
        </w:tc>
      </w:tr>
    </w:tbl>
    <w:p w:rsidR="002E52A8" w:rsidRPr="00832237" w:rsidRDefault="002E52A8" w:rsidP="002E52A8">
      <w:pPr>
        <w:tabs>
          <w:tab w:val="left" w:pos="0"/>
        </w:tabs>
        <w:jc w:val="both"/>
        <w:rPr>
          <w:rFonts w:ascii="Times New Roman" w:hAnsi="Times New Roman"/>
        </w:rPr>
      </w:pPr>
      <w:r w:rsidRPr="00832237">
        <w:rPr>
          <w:rFonts w:ascii="Times New Roman" w:hAnsi="Times New Roman"/>
        </w:rPr>
        <w:tab/>
      </w:r>
    </w:p>
    <w:p w:rsidR="002E52A8" w:rsidRDefault="002E52A8" w:rsidP="002E52A8">
      <w:pPr>
        <w:tabs>
          <w:tab w:val="left" w:pos="0"/>
        </w:tabs>
        <w:jc w:val="both"/>
        <w:rPr>
          <w:rFonts w:ascii="Times New Roman" w:hAnsi="Times New Roman"/>
          <w:szCs w:val="22"/>
        </w:rPr>
      </w:pPr>
      <w:r w:rsidRPr="00832237">
        <w:rPr>
          <w:rFonts w:ascii="Times New Roman" w:hAnsi="Times New Roman"/>
          <w:color w:val="0070C0"/>
          <w:szCs w:val="22"/>
        </w:rPr>
        <w:tab/>
      </w:r>
      <w:r>
        <w:rPr>
          <w:rFonts w:ascii="Times New Roman" w:hAnsi="Times New Roman"/>
          <w:szCs w:val="22"/>
        </w:rPr>
        <w:t>V roku 2018</w:t>
      </w:r>
      <w:r w:rsidRPr="00832237">
        <w:rPr>
          <w:rFonts w:ascii="Times New Roman" w:hAnsi="Times New Roman"/>
          <w:szCs w:val="22"/>
        </w:rPr>
        <w:t xml:space="preserve"> sa predpokladá prebytkové hospodárenie ostatných subjektov verejnej správy vo výške </w:t>
      </w:r>
      <w:r>
        <w:rPr>
          <w:rFonts w:ascii="Times New Roman" w:hAnsi="Times New Roman"/>
          <w:szCs w:val="22"/>
        </w:rPr>
        <w:t>812,9</w:t>
      </w:r>
      <w:r w:rsidRPr="00832237">
        <w:rPr>
          <w:rFonts w:ascii="Times New Roman" w:hAnsi="Times New Roman"/>
          <w:szCs w:val="22"/>
        </w:rPr>
        <w:t xml:space="preserve"> mil. eur. </w:t>
      </w:r>
    </w:p>
    <w:p w:rsidR="002E52A8" w:rsidRDefault="002E52A8" w:rsidP="002E52A8">
      <w:pPr>
        <w:tabs>
          <w:tab w:val="left" w:pos="0"/>
        </w:tabs>
        <w:jc w:val="both"/>
        <w:rPr>
          <w:rFonts w:ascii="Times New Roman" w:hAnsi="Times New Roman"/>
        </w:rPr>
      </w:pPr>
    </w:p>
    <w:p w:rsidR="002E52A8" w:rsidRDefault="002E52A8" w:rsidP="002E52A8">
      <w:pPr>
        <w:tabs>
          <w:tab w:val="left" w:pos="0"/>
        </w:tabs>
        <w:jc w:val="both"/>
        <w:rPr>
          <w:rFonts w:ascii="Times New Roman" w:hAnsi="Times New Roman"/>
        </w:rPr>
      </w:pPr>
      <w:r>
        <w:rPr>
          <w:rFonts w:ascii="Times New Roman" w:hAnsi="Times New Roman"/>
        </w:rPr>
        <w:tab/>
      </w:r>
      <w:r w:rsidRPr="00832237">
        <w:rPr>
          <w:rFonts w:ascii="Times New Roman" w:hAnsi="Times New Roman"/>
        </w:rPr>
        <w:t>Predpokladaný vývoj hospodárenia ostatných subjektov verejnej správy je nasledovný</w:t>
      </w:r>
      <w:r>
        <w:rPr>
          <w:rFonts w:ascii="Times New Roman" w:hAnsi="Times New Roman"/>
        </w:rPr>
        <w:t>.</w:t>
      </w:r>
    </w:p>
    <w:p w:rsidR="002E52A8" w:rsidRPr="00832237" w:rsidRDefault="002E52A8" w:rsidP="002E52A8">
      <w:pPr>
        <w:tabs>
          <w:tab w:val="left" w:pos="0"/>
        </w:tabs>
        <w:jc w:val="both"/>
        <w:rPr>
          <w:rFonts w:ascii="Times New Roman" w:hAnsi="Times New Roman"/>
        </w:rPr>
      </w:pPr>
    </w:p>
    <w:tbl>
      <w:tblPr>
        <w:tblW w:w="8960" w:type="dxa"/>
        <w:jc w:val="center"/>
        <w:tblCellMar>
          <w:left w:w="70" w:type="dxa"/>
          <w:right w:w="70" w:type="dxa"/>
        </w:tblCellMar>
        <w:tblLook w:val="04A0" w:firstRow="1" w:lastRow="0" w:firstColumn="1" w:lastColumn="0" w:noHBand="0" w:noVBand="1"/>
      </w:tblPr>
      <w:tblGrid>
        <w:gridCol w:w="3220"/>
        <w:gridCol w:w="820"/>
        <w:gridCol w:w="820"/>
        <w:gridCol w:w="820"/>
        <w:gridCol w:w="820"/>
        <w:gridCol w:w="820"/>
        <w:gridCol w:w="820"/>
        <w:gridCol w:w="820"/>
      </w:tblGrid>
      <w:tr w:rsidR="002E52A8" w:rsidRPr="009E69A1" w:rsidTr="009E69A1">
        <w:trPr>
          <w:trHeight w:val="198"/>
          <w:jc w:val="center"/>
        </w:trPr>
        <w:tc>
          <w:tcPr>
            <w:tcW w:w="322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E52A8" w:rsidRPr="009E69A1" w:rsidRDefault="002E52A8" w:rsidP="00C72F49">
            <w:pPr>
              <w:rPr>
                <w:rFonts w:ascii="Times New Roman" w:hAnsi="Times New Roman" w:cs="Times New Roman"/>
                <w:b/>
                <w:color w:val="000000"/>
                <w:sz w:val="14"/>
                <w:szCs w:val="14"/>
                <w:lang w:eastAsia="sk-SK"/>
              </w:rPr>
            </w:pPr>
            <w:r w:rsidRPr="009E69A1">
              <w:rPr>
                <w:rFonts w:ascii="Times New Roman" w:hAnsi="Times New Roman" w:cs="Times New Roman"/>
                <w:b/>
                <w:color w:val="000000"/>
                <w:sz w:val="14"/>
                <w:szCs w:val="14"/>
                <w:lang w:eastAsia="sk-SK"/>
              </w:rPr>
              <w:t>(v mil. eur; ESA 2010 na nekonsolidovanej báze)</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9E69A1" w:rsidRDefault="002E52A8" w:rsidP="00C72F49">
            <w:pPr>
              <w:jc w:val="center"/>
              <w:rPr>
                <w:rFonts w:ascii="Times New Roman" w:hAnsi="Times New Roman" w:cs="Times New Roman"/>
                <w:b/>
                <w:bCs/>
                <w:sz w:val="14"/>
                <w:szCs w:val="14"/>
                <w:lang w:eastAsia="sk-SK"/>
              </w:rPr>
            </w:pPr>
            <w:r w:rsidRPr="009E69A1">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9E69A1" w:rsidRDefault="002E52A8" w:rsidP="00C72F49">
            <w:pPr>
              <w:jc w:val="center"/>
              <w:rPr>
                <w:rFonts w:ascii="Times New Roman" w:hAnsi="Times New Roman" w:cs="Times New Roman"/>
                <w:b/>
                <w:bCs/>
                <w:sz w:val="14"/>
                <w:szCs w:val="14"/>
                <w:lang w:eastAsia="sk-SK"/>
              </w:rPr>
            </w:pPr>
            <w:r w:rsidRPr="009E69A1">
              <w:rPr>
                <w:rFonts w:ascii="Times New Roman" w:hAnsi="Times New Roman" w:cs="Times New Roman"/>
                <w:b/>
                <w:bCs/>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9E69A1" w:rsidRDefault="002E52A8" w:rsidP="00C72F49">
            <w:pPr>
              <w:jc w:val="center"/>
              <w:rPr>
                <w:rFonts w:ascii="Times New Roman" w:hAnsi="Times New Roman" w:cs="Times New Roman"/>
                <w:b/>
                <w:bCs/>
                <w:color w:val="000000"/>
                <w:sz w:val="14"/>
                <w:szCs w:val="14"/>
                <w:lang w:eastAsia="sk-SK"/>
              </w:rPr>
            </w:pPr>
            <w:r w:rsidRPr="009E69A1">
              <w:rPr>
                <w:rFonts w:ascii="Times New Roman" w:hAnsi="Times New Roman" w:cs="Times New Roman"/>
                <w:b/>
                <w:bCs/>
                <w:color w:val="000000"/>
                <w:sz w:val="14"/>
                <w:szCs w:val="14"/>
                <w:lang w:eastAsia="sk-SK"/>
              </w:rPr>
              <w:t>2017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9E69A1" w:rsidRDefault="002E52A8" w:rsidP="00C72F49">
            <w:pPr>
              <w:jc w:val="center"/>
              <w:rPr>
                <w:rFonts w:ascii="Times New Roman" w:hAnsi="Times New Roman" w:cs="Times New Roman"/>
                <w:b/>
                <w:bCs/>
                <w:color w:val="000000"/>
                <w:sz w:val="14"/>
                <w:szCs w:val="14"/>
                <w:lang w:eastAsia="sk-SK"/>
              </w:rPr>
            </w:pPr>
            <w:r w:rsidRPr="009E69A1">
              <w:rPr>
                <w:rFonts w:ascii="Times New Roman" w:hAnsi="Times New Roman" w:cs="Times New Roman"/>
                <w:b/>
                <w:bCs/>
                <w:color w:val="000000"/>
                <w:sz w:val="14"/>
                <w:szCs w:val="14"/>
                <w:lang w:eastAsia="sk-SK"/>
              </w:rPr>
              <w:t>2017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9E69A1" w:rsidRDefault="002E52A8" w:rsidP="00C72F49">
            <w:pPr>
              <w:jc w:val="center"/>
              <w:rPr>
                <w:rFonts w:ascii="Times New Roman" w:hAnsi="Times New Roman" w:cs="Times New Roman"/>
                <w:b/>
                <w:bCs/>
                <w:color w:val="000000"/>
                <w:sz w:val="14"/>
                <w:szCs w:val="14"/>
                <w:lang w:eastAsia="sk-SK"/>
              </w:rPr>
            </w:pPr>
            <w:r w:rsidRPr="009E69A1">
              <w:rPr>
                <w:rFonts w:ascii="Times New Roman" w:hAnsi="Times New Roman" w:cs="Times New Roman"/>
                <w:b/>
                <w:bCs/>
                <w:color w:val="000000"/>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9E69A1" w:rsidRDefault="002E52A8" w:rsidP="00C72F49">
            <w:pPr>
              <w:jc w:val="center"/>
              <w:rPr>
                <w:rFonts w:ascii="Times New Roman" w:hAnsi="Times New Roman" w:cs="Times New Roman"/>
                <w:b/>
                <w:bCs/>
                <w:color w:val="000000"/>
                <w:sz w:val="14"/>
                <w:szCs w:val="14"/>
                <w:lang w:eastAsia="sk-SK"/>
              </w:rPr>
            </w:pPr>
            <w:r w:rsidRPr="009E69A1">
              <w:rPr>
                <w:rFonts w:ascii="Times New Roman" w:hAnsi="Times New Roman" w:cs="Times New Roman"/>
                <w:b/>
                <w:bCs/>
                <w:color w:val="000000"/>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9E69A1" w:rsidRDefault="002E52A8" w:rsidP="00C72F49">
            <w:pPr>
              <w:jc w:val="center"/>
              <w:rPr>
                <w:rFonts w:ascii="Times New Roman" w:hAnsi="Times New Roman" w:cs="Times New Roman"/>
                <w:b/>
                <w:bCs/>
                <w:color w:val="000000"/>
                <w:sz w:val="14"/>
                <w:szCs w:val="14"/>
                <w:lang w:eastAsia="sk-SK"/>
              </w:rPr>
            </w:pPr>
            <w:r w:rsidRPr="009E69A1">
              <w:rPr>
                <w:rFonts w:ascii="Times New Roman" w:hAnsi="Times New Roman" w:cs="Times New Roman"/>
                <w:b/>
                <w:bCs/>
                <w:color w:val="000000"/>
                <w:sz w:val="14"/>
                <w:szCs w:val="14"/>
                <w:lang w:eastAsia="sk-SK"/>
              </w:rPr>
              <w:t>2020 N</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000000" w:fill="BFBFBF"/>
            <w:noWrap/>
            <w:vAlign w:val="center"/>
            <w:hideMark/>
          </w:tcPr>
          <w:p w:rsidR="002E52A8" w:rsidRPr="00AA26EF" w:rsidRDefault="002E52A8" w:rsidP="00C72F49">
            <w:pPr>
              <w:rPr>
                <w:rFonts w:ascii="Times New Roman" w:hAnsi="Times New Roman" w:cs="Times New Roman"/>
                <w:b/>
                <w:bCs/>
                <w:color w:val="000000"/>
                <w:sz w:val="14"/>
                <w:szCs w:val="14"/>
                <w:lang w:eastAsia="sk-SK"/>
              </w:rPr>
            </w:pPr>
            <w:r w:rsidRPr="00AA26EF">
              <w:rPr>
                <w:rFonts w:ascii="Times New Roman" w:hAnsi="Times New Roman" w:cs="Times New Roman"/>
                <w:b/>
                <w:bCs/>
                <w:color w:val="000000"/>
                <w:sz w:val="14"/>
                <w:szCs w:val="14"/>
                <w:lang w:eastAsia="sk-SK"/>
              </w:rPr>
              <w:t>Ostatné subjekty rozpočtu VS spolu</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AA26EF" w:rsidRDefault="002E52A8" w:rsidP="00C72F49">
            <w:pPr>
              <w:jc w:val="right"/>
              <w:rPr>
                <w:rFonts w:ascii="Times New Roman" w:hAnsi="Times New Roman" w:cs="Times New Roman"/>
                <w:b/>
                <w:bCs/>
                <w:color w:val="000000"/>
                <w:sz w:val="14"/>
                <w:szCs w:val="14"/>
                <w:lang w:eastAsia="sk-SK"/>
              </w:rPr>
            </w:pPr>
            <w:r w:rsidRPr="00AA26EF">
              <w:rPr>
                <w:rFonts w:ascii="Times New Roman" w:hAnsi="Times New Roman" w:cs="Times New Roman"/>
                <w:b/>
                <w:bCs/>
                <w:color w:val="000000"/>
                <w:sz w:val="14"/>
                <w:szCs w:val="14"/>
                <w:lang w:eastAsia="sk-SK"/>
              </w:rPr>
              <w:t>-663,1</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AA26EF" w:rsidRDefault="002E52A8" w:rsidP="00C72F49">
            <w:pPr>
              <w:jc w:val="right"/>
              <w:rPr>
                <w:rFonts w:ascii="Times New Roman" w:hAnsi="Times New Roman" w:cs="Times New Roman"/>
                <w:b/>
                <w:bCs/>
                <w:color w:val="000000"/>
                <w:sz w:val="14"/>
                <w:szCs w:val="14"/>
                <w:lang w:eastAsia="sk-SK"/>
              </w:rPr>
            </w:pPr>
            <w:r w:rsidRPr="00AA26EF">
              <w:rPr>
                <w:rFonts w:ascii="Times New Roman" w:hAnsi="Times New Roman" w:cs="Times New Roman"/>
                <w:b/>
                <w:bCs/>
                <w:color w:val="000000"/>
                <w:sz w:val="14"/>
                <w:szCs w:val="14"/>
                <w:lang w:eastAsia="sk-SK"/>
              </w:rPr>
              <w:t>471,7</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AA26EF" w:rsidRDefault="002E52A8" w:rsidP="00C72F49">
            <w:pPr>
              <w:jc w:val="right"/>
              <w:rPr>
                <w:rFonts w:ascii="Times New Roman" w:hAnsi="Times New Roman" w:cs="Times New Roman"/>
                <w:b/>
                <w:bCs/>
                <w:color w:val="000000"/>
                <w:sz w:val="14"/>
                <w:szCs w:val="14"/>
                <w:lang w:eastAsia="sk-SK"/>
              </w:rPr>
            </w:pPr>
            <w:r w:rsidRPr="00AA26EF">
              <w:rPr>
                <w:rFonts w:ascii="Times New Roman" w:hAnsi="Times New Roman" w:cs="Times New Roman"/>
                <w:b/>
                <w:bCs/>
                <w:color w:val="000000"/>
                <w:sz w:val="14"/>
                <w:szCs w:val="14"/>
                <w:lang w:eastAsia="sk-SK"/>
              </w:rPr>
              <w:t>638,8</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AA26EF" w:rsidRDefault="002E52A8" w:rsidP="00C72F49">
            <w:pPr>
              <w:jc w:val="right"/>
              <w:rPr>
                <w:rFonts w:ascii="Times New Roman" w:hAnsi="Times New Roman" w:cs="Times New Roman"/>
                <w:b/>
                <w:bCs/>
                <w:color w:val="000000"/>
                <w:sz w:val="14"/>
                <w:szCs w:val="14"/>
                <w:lang w:eastAsia="sk-SK"/>
              </w:rPr>
            </w:pPr>
            <w:r w:rsidRPr="00AA26EF">
              <w:rPr>
                <w:rFonts w:ascii="Times New Roman" w:hAnsi="Times New Roman" w:cs="Times New Roman"/>
                <w:b/>
                <w:bCs/>
                <w:color w:val="000000"/>
                <w:sz w:val="14"/>
                <w:szCs w:val="14"/>
                <w:lang w:eastAsia="sk-SK"/>
              </w:rPr>
              <w:t>383,2</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AA26EF" w:rsidRDefault="002E52A8" w:rsidP="00C72F49">
            <w:pPr>
              <w:jc w:val="right"/>
              <w:rPr>
                <w:rFonts w:ascii="Times New Roman" w:hAnsi="Times New Roman" w:cs="Times New Roman"/>
                <w:b/>
                <w:bCs/>
                <w:color w:val="000000"/>
                <w:sz w:val="14"/>
                <w:szCs w:val="14"/>
                <w:lang w:eastAsia="sk-SK"/>
              </w:rPr>
            </w:pPr>
            <w:r w:rsidRPr="00AA26EF">
              <w:rPr>
                <w:rFonts w:ascii="Times New Roman" w:hAnsi="Times New Roman" w:cs="Times New Roman"/>
                <w:b/>
                <w:bCs/>
                <w:color w:val="000000"/>
                <w:sz w:val="14"/>
                <w:szCs w:val="14"/>
                <w:lang w:eastAsia="sk-SK"/>
              </w:rPr>
              <w:t>812,9</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AA26EF" w:rsidRDefault="002E52A8" w:rsidP="00C72F49">
            <w:pPr>
              <w:jc w:val="right"/>
              <w:rPr>
                <w:rFonts w:ascii="Times New Roman" w:hAnsi="Times New Roman" w:cs="Times New Roman"/>
                <w:b/>
                <w:bCs/>
                <w:color w:val="000000"/>
                <w:sz w:val="14"/>
                <w:szCs w:val="14"/>
                <w:lang w:eastAsia="sk-SK"/>
              </w:rPr>
            </w:pPr>
            <w:r w:rsidRPr="00AA26EF">
              <w:rPr>
                <w:rFonts w:ascii="Times New Roman" w:hAnsi="Times New Roman" w:cs="Times New Roman"/>
                <w:b/>
                <w:bCs/>
                <w:color w:val="000000"/>
                <w:sz w:val="14"/>
                <w:szCs w:val="14"/>
                <w:lang w:eastAsia="sk-SK"/>
              </w:rPr>
              <w:t>836,9</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AA26EF" w:rsidRDefault="002E52A8" w:rsidP="00C72F49">
            <w:pPr>
              <w:jc w:val="right"/>
              <w:rPr>
                <w:rFonts w:ascii="Times New Roman" w:hAnsi="Times New Roman" w:cs="Times New Roman"/>
                <w:b/>
                <w:bCs/>
                <w:color w:val="000000"/>
                <w:sz w:val="14"/>
                <w:szCs w:val="14"/>
                <w:lang w:eastAsia="sk-SK"/>
              </w:rPr>
            </w:pPr>
            <w:r w:rsidRPr="00AA26EF">
              <w:rPr>
                <w:rFonts w:ascii="Times New Roman" w:hAnsi="Times New Roman" w:cs="Times New Roman"/>
                <w:b/>
                <w:bCs/>
                <w:color w:val="000000"/>
                <w:sz w:val="14"/>
                <w:szCs w:val="14"/>
                <w:lang w:eastAsia="sk-SK"/>
              </w:rPr>
              <w:t>904,1</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Obce </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64,5</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348,3</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123,5</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133,8</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170,1</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174,2</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159,3</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Dopravné podniky miest (BA, ZA, KE, PO) </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-11,7</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14,7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3,4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3,4</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9,3</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13,4</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13,8</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Vyššie územné celky</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58,1</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84,3</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109,9</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113,6</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90,1</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91,8</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113,8</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sz w:val="14"/>
                <w:szCs w:val="14"/>
                <w:lang w:eastAsia="sk-SK"/>
              </w:rPr>
            </w:pPr>
            <w:r w:rsidRPr="00AA26EF">
              <w:rPr>
                <w:rFonts w:ascii="Times New Roman" w:hAnsi="Times New Roman" w:cs="Times New Roman"/>
                <w:sz w:val="14"/>
                <w:szCs w:val="14"/>
                <w:lang w:eastAsia="sk-SK"/>
              </w:rPr>
              <w:t xml:space="preserve">    Sociálna poisťovňa </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-224,0</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-180,4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36,9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27,1</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40,9</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43,2</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93,2</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Verejné zdravotné poistenie</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53,7</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-72,7</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14,6</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95,6</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130,0</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111,0</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119,2</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Národný jadrový fond </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96,5</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102,2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94,0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84,7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122,5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142,1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145,3</w:t>
            </w:r>
          </w:p>
        </w:tc>
      </w:tr>
      <w:tr w:rsidR="002E52A8" w:rsidRPr="00AA26EF" w:rsidTr="009E69A1">
        <w:trPr>
          <w:trHeight w:val="198"/>
          <w:jc w:val="center"/>
        </w:trPr>
        <w:tc>
          <w:tcPr>
            <w:tcW w:w="3220" w:type="dxa"/>
            <w:tcBorders>
              <w:top w:val="nil"/>
              <w:left w:val="single" w:sz="4" w:space="0" w:color="auto"/>
              <w:bottom w:val="nil"/>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Fond národného majetku SR/MH Manažment, </w:t>
            </w:r>
            <w:proofErr w:type="spellStart"/>
            <w:r w:rsidRPr="00AA26EF">
              <w:rPr>
                <w:rFonts w:ascii="Times New Roman" w:hAnsi="Times New Roman" w:cs="Times New Roman"/>
                <w:color w:val="000000"/>
                <w:sz w:val="14"/>
                <w:szCs w:val="14"/>
                <w:lang w:eastAsia="sk-SK"/>
              </w:rPr>
              <w:t>a.s</w:t>
            </w:r>
            <w:proofErr w:type="spellEnd"/>
            <w:r w:rsidRPr="00AA26EF">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-849,3</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-46,9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-13,2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-3,0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-2,9</w:t>
            </w:r>
          </w:p>
        </w:tc>
      </w:tr>
      <w:tr w:rsidR="002E52A8" w:rsidRPr="00AA26EF" w:rsidTr="009E69A1">
        <w:trPr>
          <w:trHeight w:val="198"/>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Environmentálny fond </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44,7</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41,0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113,5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78,8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130,0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131,0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131,0</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Štátny fond rozvoja bývania</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91,6</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44,8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48,1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45,6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45,3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45,1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45,0</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sz w:val="14"/>
                <w:szCs w:val="14"/>
                <w:lang w:eastAsia="sk-SK"/>
              </w:rPr>
            </w:pPr>
            <w:r w:rsidRPr="00AA26EF">
              <w:rPr>
                <w:rFonts w:ascii="Times New Roman" w:hAnsi="Times New Roman" w:cs="Times New Roman"/>
                <w:sz w:val="14"/>
                <w:szCs w:val="14"/>
                <w:lang w:eastAsia="sk-SK"/>
              </w:rPr>
              <w:t xml:space="preserve">    Úrad pre dohľad nad ZS</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2,1</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0,5</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Slovenský pozemkový fond</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4,7</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-0,9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17,3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8,4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8,5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8,4</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Slovenská konsolidačná, a. s.</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-1,7</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-0,6</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Verejné vysoké školy</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-3,3</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42,4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-31,7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0,2</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Rozhlas a televízia Slovenska</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5,8</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3,4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-14,0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sz w:val="14"/>
                <w:szCs w:val="14"/>
                <w:lang w:eastAsia="sk-SK"/>
              </w:rPr>
            </w:pPr>
            <w:r w:rsidRPr="00AA26EF">
              <w:rPr>
                <w:rFonts w:ascii="Times New Roman" w:hAnsi="Times New Roman" w:cs="Times New Roman"/>
                <w:sz w:val="14"/>
                <w:szCs w:val="14"/>
                <w:lang w:eastAsia="sk-SK"/>
              </w:rPr>
              <w:t xml:space="preserve">    TASR</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0,6</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sz w:val="14"/>
                <w:szCs w:val="14"/>
                <w:lang w:eastAsia="sk-SK"/>
              </w:rPr>
            </w:pPr>
            <w:r w:rsidRPr="00AA26EF">
              <w:rPr>
                <w:rFonts w:ascii="Times New Roman" w:hAnsi="Times New Roman" w:cs="Times New Roman"/>
                <w:sz w:val="14"/>
                <w:szCs w:val="14"/>
                <w:lang w:eastAsia="sk-SK"/>
              </w:rPr>
              <w:t xml:space="preserve">    Úrad pre dohľad nad výkonom auditu</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sz w:val="14"/>
                <w:szCs w:val="14"/>
                <w:lang w:eastAsia="sk-SK"/>
              </w:rPr>
            </w:pPr>
            <w:r w:rsidRPr="00AA26EF">
              <w:rPr>
                <w:rFonts w:ascii="Times New Roman" w:hAnsi="Times New Roman" w:cs="Times New Roman"/>
                <w:sz w:val="14"/>
                <w:szCs w:val="14"/>
                <w:lang w:eastAsia="sk-SK"/>
              </w:rPr>
              <w:t xml:space="preserve">    Audiovizuálny fond </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-1,1</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sz w:val="14"/>
                <w:szCs w:val="14"/>
                <w:lang w:eastAsia="sk-SK"/>
              </w:rPr>
            </w:pPr>
            <w:r w:rsidRPr="00AA26EF">
              <w:rPr>
                <w:rFonts w:ascii="Times New Roman" w:hAnsi="Times New Roman" w:cs="Times New Roman"/>
                <w:sz w:val="14"/>
                <w:szCs w:val="14"/>
                <w:lang w:eastAsia="sk-SK"/>
              </w:rPr>
              <w:t xml:space="preserve">    Kancelária Rady pre rozpočtovú zodpovednosť</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Železnice SR</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-16,0</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46,3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-78,1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A21AC2">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Železničná spoločnosť </w:t>
            </w:r>
            <w:r w:rsidR="00A21AC2">
              <w:rPr>
                <w:rFonts w:ascii="Times New Roman" w:hAnsi="Times New Roman" w:cs="Times New Roman"/>
                <w:color w:val="000000"/>
                <w:sz w:val="14"/>
                <w:szCs w:val="14"/>
                <w:lang w:eastAsia="sk-SK"/>
              </w:rPr>
              <w:t>Slovensko, a. s.</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22,8</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-14,6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-19,3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-6,7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-17,4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-18,5</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Národná diaľničná spoločnosť, a. s.</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16,5</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98,4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53,0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-58,0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37,0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37,0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35,8</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Agentúra pre núdzové zásoby ropy a </w:t>
            </w:r>
            <w:proofErr w:type="spellStart"/>
            <w:r w:rsidRPr="00AA26EF">
              <w:rPr>
                <w:rFonts w:ascii="Times New Roman" w:hAnsi="Times New Roman" w:cs="Times New Roman"/>
                <w:color w:val="000000"/>
                <w:sz w:val="14"/>
                <w:szCs w:val="14"/>
                <w:lang w:eastAsia="sk-SK"/>
              </w:rPr>
              <w:t>ropn</w:t>
            </w:r>
            <w:proofErr w:type="spellEnd"/>
            <w:r w:rsidRPr="00AA26EF">
              <w:rPr>
                <w:rFonts w:ascii="Times New Roman" w:hAnsi="Times New Roman" w:cs="Times New Roman"/>
                <w:color w:val="000000"/>
                <w:sz w:val="14"/>
                <w:szCs w:val="14"/>
                <w:lang w:eastAsia="sk-SK"/>
              </w:rPr>
              <w:t>. výrobkov</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-6,2</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5,7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62,7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37,3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71,1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59,5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59,0</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sz w:val="14"/>
                <w:szCs w:val="14"/>
                <w:lang w:eastAsia="sk-SK"/>
              </w:rPr>
            </w:pPr>
            <w:r w:rsidRPr="00AA26EF">
              <w:rPr>
                <w:rFonts w:ascii="Times New Roman" w:hAnsi="Times New Roman" w:cs="Times New Roman"/>
                <w:sz w:val="14"/>
                <w:szCs w:val="14"/>
                <w:lang w:eastAsia="sk-SK"/>
              </w:rPr>
              <w:t xml:space="preserve">    Fond na podporu vzdelávania</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0,4</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0,2</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sz w:val="14"/>
                <w:szCs w:val="14"/>
                <w:lang w:eastAsia="sk-SK"/>
              </w:rPr>
            </w:pPr>
            <w:r w:rsidRPr="00AA26EF">
              <w:rPr>
                <w:rFonts w:ascii="Times New Roman" w:hAnsi="Times New Roman" w:cs="Times New Roman"/>
                <w:sz w:val="14"/>
                <w:szCs w:val="14"/>
                <w:lang w:eastAsia="sk-SK"/>
              </w:rPr>
              <w:t xml:space="preserve">    Fond na podporu umenia</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Eximbanka</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-2,0</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9,4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8,8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0,1</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sz w:val="14"/>
                <w:szCs w:val="14"/>
                <w:lang w:eastAsia="sk-SK"/>
              </w:rPr>
            </w:pPr>
            <w:r w:rsidRPr="00AA26EF">
              <w:rPr>
                <w:rFonts w:ascii="Times New Roman" w:hAnsi="Times New Roman" w:cs="Times New Roman"/>
                <w:sz w:val="14"/>
                <w:szCs w:val="14"/>
                <w:lang w:eastAsia="sk-SK"/>
              </w:rPr>
              <w:t xml:space="preserve">    Recyklačný fond</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-12,2</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-38,6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-2,2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-2,2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Zdravotnícke zariadenia</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-67,7</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-73,2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-24,9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-16,6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5,0</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MH </w:t>
            </w:r>
            <w:proofErr w:type="spellStart"/>
            <w:r w:rsidRPr="00AA26EF">
              <w:rPr>
                <w:rFonts w:ascii="Times New Roman" w:hAnsi="Times New Roman" w:cs="Times New Roman"/>
                <w:color w:val="000000"/>
                <w:sz w:val="14"/>
                <w:szCs w:val="14"/>
                <w:lang w:eastAsia="sk-SK"/>
              </w:rPr>
              <w:t>Invest</w:t>
            </w:r>
            <w:proofErr w:type="spellEnd"/>
            <w:r w:rsidRPr="00AA26EF">
              <w:rPr>
                <w:rFonts w:ascii="Times New Roman" w:hAnsi="Times New Roman" w:cs="Times New Roman"/>
                <w:color w:val="000000"/>
                <w:sz w:val="14"/>
                <w:szCs w:val="14"/>
                <w:lang w:eastAsia="sk-SK"/>
              </w:rPr>
              <w:t xml:space="preserve">, </w:t>
            </w:r>
            <w:proofErr w:type="spellStart"/>
            <w:r w:rsidRPr="00AA26EF">
              <w:rPr>
                <w:rFonts w:ascii="Times New Roman" w:hAnsi="Times New Roman" w:cs="Times New Roman"/>
                <w:color w:val="000000"/>
                <w:sz w:val="14"/>
                <w:szCs w:val="14"/>
                <w:lang w:eastAsia="sk-SK"/>
              </w:rPr>
              <w:t>s.r.o</w:t>
            </w:r>
            <w:proofErr w:type="spellEnd"/>
            <w:r w:rsidRPr="00AA26EF">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40,5</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10,4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-19,1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1,1</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MH </w:t>
            </w:r>
            <w:proofErr w:type="spellStart"/>
            <w:r w:rsidRPr="00AA26EF">
              <w:rPr>
                <w:rFonts w:ascii="Times New Roman" w:hAnsi="Times New Roman" w:cs="Times New Roman"/>
                <w:color w:val="000000"/>
                <w:sz w:val="14"/>
                <w:szCs w:val="14"/>
                <w:lang w:eastAsia="sk-SK"/>
              </w:rPr>
              <w:t>Invest</w:t>
            </w:r>
            <w:proofErr w:type="spellEnd"/>
            <w:r w:rsidRPr="00AA26EF">
              <w:rPr>
                <w:rFonts w:ascii="Times New Roman" w:hAnsi="Times New Roman" w:cs="Times New Roman"/>
                <w:color w:val="000000"/>
                <w:sz w:val="14"/>
                <w:szCs w:val="14"/>
                <w:lang w:eastAsia="sk-SK"/>
              </w:rPr>
              <w:t xml:space="preserve"> II., </w:t>
            </w:r>
            <w:proofErr w:type="spellStart"/>
            <w:r w:rsidRPr="00AA26EF">
              <w:rPr>
                <w:rFonts w:ascii="Times New Roman" w:hAnsi="Times New Roman" w:cs="Times New Roman"/>
                <w:color w:val="000000"/>
                <w:sz w:val="14"/>
                <w:szCs w:val="14"/>
                <w:lang w:eastAsia="sk-SK"/>
              </w:rPr>
              <w:t>s.r.o</w:t>
            </w:r>
            <w:proofErr w:type="spellEnd"/>
            <w:r w:rsidRPr="00AA26EF">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-10,3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-0,7</w:t>
            </w:r>
          </w:p>
        </w:tc>
      </w:tr>
      <w:tr w:rsidR="002E52A8" w:rsidRPr="00AA26EF" w:rsidTr="009E69A1">
        <w:trPr>
          <w:trHeight w:val="198"/>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w:t>
            </w:r>
            <w:proofErr w:type="spellStart"/>
            <w:r w:rsidRPr="00AA26EF">
              <w:rPr>
                <w:rFonts w:ascii="Times New Roman" w:hAnsi="Times New Roman" w:cs="Times New Roman"/>
                <w:color w:val="000000"/>
                <w:sz w:val="14"/>
                <w:szCs w:val="14"/>
                <w:lang w:eastAsia="sk-SK"/>
              </w:rPr>
              <w:t>Javys</w:t>
            </w:r>
            <w:proofErr w:type="spellEnd"/>
            <w:r w:rsidRPr="00AA26EF">
              <w:rPr>
                <w:rFonts w:ascii="Times New Roman" w:hAnsi="Times New Roman" w:cs="Times New Roman"/>
                <w:color w:val="000000"/>
                <w:sz w:val="14"/>
                <w:szCs w:val="14"/>
                <w:lang w:eastAsia="sk-SK"/>
              </w:rPr>
              <w:t xml:space="preserve">, </w:t>
            </w:r>
            <w:proofErr w:type="spellStart"/>
            <w:r w:rsidRPr="00AA26EF">
              <w:rPr>
                <w:rFonts w:ascii="Times New Roman" w:hAnsi="Times New Roman" w:cs="Times New Roman"/>
                <w:color w:val="000000"/>
                <w:sz w:val="14"/>
                <w:szCs w:val="14"/>
                <w:lang w:eastAsia="sk-SK"/>
              </w:rPr>
              <w:t>a.s</w:t>
            </w:r>
            <w:proofErr w:type="spellEnd"/>
            <w:r w:rsidRPr="00AA26EF">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17,4</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11,8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7,1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-5,0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5,2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-4,6</w:t>
            </w:r>
          </w:p>
        </w:tc>
      </w:tr>
      <w:tr w:rsidR="00FD7719" w:rsidRPr="00AA26EF" w:rsidTr="009E69A1">
        <w:trPr>
          <w:trHeight w:val="198"/>
          <w:jc w:val="center"/>
        </w:trPr>
        <w:tc>
          <w:tcPr>
            <w:tcW w:w="3220" w:type="dxa"/>
            <w:tcBorders>
              <w:top w:val="nil"/>
              <w:left w:val="single" w:sz="4" w:space="0" w:color="auto"/>
              <w:bottom w:val="nil"/>
              <w:right w:val="single" w:sz="4" w:space="0" w:color="auto"/>
            </w:tcBorders>
            <w:shd w:val="clear" w:color="auto" w:fill="auto"/>
            <w:noWrap/>
            <w:vAlign w:val="center"/>
            <w:hideMark/>
          </w:tcPr>
          <w:p w:rsidR="00FD7719" w:rsidRPr="00AA26EF" w:rsidRDefault="00FD7719" w:rsidP="00FD771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Fond na podporu kultúry národnostných menšín</w:t>
            </w:r>
          </w:p>
        </w:tc>
        <w:tc>
          <w:tcPr>
            <w:tcW w:w="820" w:type="dxa"/>
            <w:tcBorders>
              <w:top w:val="nil"/>
              <w:left w:val="nil"/>
              <w:bottom w:val="single" w:sz="4" w:space="0" w:color="auto"/>
              <w:right w:val="single" w:sz="4" w:space="0" w:color="auto"/>
            </w:tcBorders>
            <w:shd w:val="clear" w:color="auto" w:fill="auto"/>
            <w:noWrap/>
            <w:vAlign w:val="center"/>
            <w:hideMark/>
          </w:tcPr>
          <w:p w:rsidR="00FD7719" w:rsidRPr="00AA26EF" w:rsidRDefault="00FD7719" w:rsidP="00FD771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D7719" w:rsidRPr="00AA26EF" w:rsidRDefault="00FD7719" w:rsidP="00FD771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FD7719" w:rsidRPr="00AA26EF" w:rsidRDefault="00FD7719" w:rsidP="00FD771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FD7719" w:rsidRPr="00AA26EF" w:rsidRDefault="00FD7719" w:rsidP="00FD771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FD7719" w:rsidRPr="00AA26EF" w:rsidRDefault="00FD7719" w:rsidP="00FD771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FD7719" w:rsidRPr="00AA26EF" w:rsidRDefault="00FD7719" w:rsidP="00FD771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FD7719" w:rsidRPr="00AA26EF" w:rsidRDefault="00FD7719" w:rsidP="00FD771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0,0</w:t>
            </w:r>
          </w:p>
        </w:tc>
      </w:tr>
      <w:tr w:rsidR="002E52A8" w:rsidRPr="00AA26EF" w:rsidTr="009E69A1">
        <w:trPr>
          <w:trHeight w:val="198"/>
          <w:jc w:val="center"/>
        </w:trPr>
        <w:tc>
          <w:tcPr>
            <w:tcW w:w="3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52A8" w:rsidRPr="00AA26EF" w:rsidRDefault="002E52A8" w:rsidP="00C72F49">
            <w:pPr>
              <w:jc w:val="both"/>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 xml:space="preserve">    Príspevkové organizácie a iné spolu </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12,0</w:t>
            </w:r>
          </w:p>
        </w:tc>
        <w:tc>
          <w:tcPr>
            <w:tcW w:w="820" w:type="dxa"/>
            <w:tcBorders>
              <w:top w:val="nil"/>
              <w:left w:val="nil"/>
              <w:bottom w:val="single" w:sz="4" w:space="0" w:color="auto"/>
              <w:right w:val="single" w:sz="4" w:space="0" w:color="auto"/>
            </w:tcBorders>
            <w:shd w:val="clear" w:color="000000" w:fill="FFFFFF"/>
            <w:noWrap/>
            <w:vAlign w:val="center"/>
            <w:hideMark/>
          </w:tcPr>
          <w:p w:rsidR="002E52A8" w:rsidRPr="00AA26EF" w:rsidRDefault="002E52A8" w:rsidP="00C72F49">
            <w:pPr>
              <w:jc w:val="right"/>
              <w:rPr>
                <w:rFonts w:ascii="Times New Roman" w:hAnsi="Times New Roman" w:cs="Times New Roman"/>
                <w:color w:val="000000"/>
                <w:sz w:val="14"/>
                <w:szCs w:val="14"/>
                <w:lang w:eastAsia="sk-SK"/>
              </w:rPr>
            </w:pPr>
            <w:r w:rsidRPr="00AA26EF">
              <w:rPr>
                <w:rFonts w:ascii="Times New Roman" w:hAnsi="Times New Roman" w:cs="Times New Roman"/>
                <w:color w:val="000000"/>
                <w:sz w:val="14"/>
                <w:szCs w:val="14"/>
                <w:lang w:eastAsia="sk-SK"/>
              </w:rPr>
              <w:t>43,6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-11,1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-11,1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-9,2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-3,1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AA26EF" w:rsidRDefault="002E52A8" w:rsidP="00C72F49">
            <w:pPr>
              <w:jc w:val="right"/>
              <w:rPr>
                <w:rFonts w:ascii="Times New Roman" w:hAnsi="Times New Roman" w:cs="Times New Roman"/>
                <w:sz w:val="14"/>
                <w:szCs w:val="14"/>
                <w:lang w:eastAsia="sk-SK"/>
              </w:rPr>
            </w:pPr>
            <w:r w:rsidRPr="00AA26EF">
              <w:rPr>
                <w:rFonts w:ascii="Times New Roman" w:hAnsi="Times New Roman" w:cs="Times New Roman"/>
                <w:sz w:val="14"/>
                <w:szCs w:val="14"/>
                <w:lang w:eastAsia="sk-SK"/>
              </w:rPr>
              <w:t>0,6</w:t>
            </w:r>
          </w:p>
        </w:tc>
      </w:tr>
    </w:tbl>
    <w:p w:rsidR="002E52A8" w:rsidRDefault="002E52A8" w:rsidP="002E52A8">
      <w:pPr>
        <w:tabs>
          <w:tab w:val="left" w:pos="0"/>
        </w:tabs>
        <w:jc w:val="both"/>
        <w:rPr>
          <w:rFonts w:ascii="Times New Roman" w:hAnsi="Times New Roman"/>
          <w:b/>
          <w:bCs/>
          <w:color w:val="0070C0"/>
          <w:sz w:val="28"/>
        </w:rPr>
      </w:pPr>
      <w:r w:rsidRPr="00832237">
        <w:rPr>
          <w:rFonts w:ascii="Times New Roman" w:hAnsi="Times New Roman"/>
          <w:b/>
          <w:bCs/>
          <w:color w:val="0070C0"/>
          <w:sz w:val="28"/>
        </w:rPr>
        <w:tab/>
      </w:r>
      <w:r>
        <w:rPr>
          <w:rFonts w:ascii="Times New Roman" w:hAnsi="Times New Roman"/>
          <w:b/>
          <w:bCs/>
          <w:color w:val="0070C0"/>
          <w:sz w:val="28"/>
        </w:rPr>
        <w:t xml:space="preserve"> </w:t>
      </w:r>
    </w:p>
    <w:p w:rsidR="00B33A8C" w:rsidRDefault="002E52A8" w:rsidP="002E52A8">
      <w:pPr>
        <w:tabs>
          <w:tab w:val="left" w:pos="0"/>
        </w:tabs>
        <w:jc w:val="both"/>
        <w:rPr>
          <w:rFonts w:ascii="Times New Roman" w:hAnsi="Times New Roman"/>
          <w:b/>
          <w:bCs/>
          <w:color w:val="0070C0"/>
          <w:sz w:val="28"/>
        </w:rPr>
      </w:pPr>
      <w:r>
        <w:rPr>
          <w:rFonts w:ascii="Times New Roman" w:hAnsi="Times New Roman"/>
          <w:b/>
          <w:bCs/>
          <w:color w:val="0070C0"/>
          <w:sz w:val="28"/>
        </w:rPr>
        <w:tab/>
      </w:r>
    </w:p>
    <w:p w:rsidR="002E52A8" w:rsidRDefault="00B33A8C" w:rsidP="002E52A8">
      <w:pPr>
        <w:tabs>
          <w:tab w:val="left" w:pos="0"/>
        </w:tabs>
        <w:jc w:val="both"/>
        <w:rPr>
          <w:rFonts w:ascii="Times New Roman" w:hAnsi="Times New Roman"/>
          <w:szCs w:val="22"/>
        </w:rPr>
      </w:pPr>
      <w:r>
        <w:rPr>
          <w:rFonts w:ascii="Times New Roman" w:hAnsi="Times New Roman"/>
          <w:b/>
          <w:bCs/>
          <w:color w:val="0070C0"/>
          <w:sz w:val="28"/>
        </w:rPr>
        <w:lastRenderedPageBreak/>
        <w:tab/>
      </w:r>
      <w:r w:rsidR="002E52A8" w:rsidRPr="00832237">
        <w:rPr>
          <w:rFonts w:ascii="Times New Roman" w:hAnsi="Times New Roman"/>
          <w:szCs w:val="22"/>
        </w:rPr>
        <w:t xml:space="preserve">Schodok štátneho rozpočtu podľa metodiky ESA 2010 je pretransformovaný pomocou modifikujúcich faktorov na hotovostné saldo. Takto získaný schodok štátneho rozpočtu na hotovostnom princípe spolu s prognózovanými hotovostnými príjmami štátneho rozpočtu vytvárajú priestor </w:t>
      </w:r>
      <w:r w:rsidR="002E52A8">
        <w:rPr>
          <w:rFonts w:ascii="Times New Roman" w:hAnsi="Times New Roman"/>
          <w:szCs w:val="22"/>
        </w:rPr>
        <w:t>na</w:t>
      </w:r>
      <w:r w:rsidR="002E52A8" w:rsidRPr="00832237">
        <w:rPr>
          <w:rFonts w:ascii="Times New Roman" w:hAnsi="Times New Roman"/>
          <w:szCs w:val="22"/>
        </w:rPr>
        <w:t xml:space="preserve"> realizáciu výdavkov štátneho rozpočtu. </w:t>
      </w:r>
    </w:p>
    <w:p w:rsidR="002E52A8" w:rsidRPr="00832237" w:rsidRDefault="002E52A8" w:rsidP="002E52A8">
      <w:pPr>
        <w:tabs>
          <w:tab w:val="left" w:pos="0"/>
        </w:tabs>
        <w:jc w:val="both"/>
        <w:rPr>
          <w:rFonts w:ascii="Times New Roman" w:hAnsi="Times New Roman"/>
          <w:szCs w:val="22"/>
        </w:rPr>
      </w:pPr>
    </w:p>
    <w:tbl>
      <w:tblPr>
        <w:tblW w:w="9049" w:type="dxa"/>
        <w:jc w:val="center"/>
        <w:tblCellMar>
          <w:left w:w="70" w:type="dxa"/>
          <w:right w:w="70" w:type="dxa"/>
        </w:tblCellMar>
        <w:tblLook w:val="04A0" w:firstRow="1" w:lastRow="0" w:firstColumn="1" w:lastColumn="0" w:noHBand="0" w:noVBand="1"/>
      </w:tblPr>
      <w:tblGrid>
        <w:gridCol w:w="2489"/>
        <w:gridCol w:w="820"/>
        <w:gridCol w:w="820"/>
        <w:gridCol w:w="820"/>
        <w:gridCol w:w="820"/>
        <w:gridCol w:w="820"/>
        <w:gridCol w:w="820"/>
        <w:gridCol w:w="820"/>
        <w:gridCol w:w="820"/>
      </w:tblGrid>
      <w:tr w:rsidR="002E52A8" w:rsidRPr="00163637" w:rsidTr="00C72F49">
        <w:trPr>
          <w:trHeight w:val="240"/>
          <w:jc w:val="center"/>
        </w:trPr>
        <w:tc>
          <w:tcPr>
            <w:tcW w:w="248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E52A8" w:rsidRPr="00163637" w:rsidRDefault="002E52A8" w:rsidP="00C72F49">
            <w:pP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 </w:t>
            </w:r>
          </w:p>
        </w:tc>
        <w:tc>
          <w:tcPr>
            <w:tcW w:w="820" w:type="dxa"/>
            <w:tcBorders>
              <w:top w:val="single" w:sz="4" w:space="0" w:color="auto"/>
              <w:left w:val="nil"/>
              <w:bottom w:val="single" w:sz="4" w:space="0" w:color="auto"/>
              <w:right w:val="single" w:sz="4" w:space="0" w:color="auto"/>
            </w:tcBorders>
            <w:shd w:val="clear" w:color="000000" w:fill="A6A6A6"/>
            <w:vAlign w:val="center"/>
            <w:hideMark/>
          </w:tcPr>
          <w:p w:rsidR="002E52A8" w:rsidRPr="00163637" w:rsidRDefault="002E52A8" w:rsidP="00C72F49">
            <w:pPr>
              <w:jc w:val="center"/>
              <w:rPr>
                <w:rFonts w:ascii="Times New Roman" w:hAnsi="Times New Roman" w:cs="Times New Roman"/>
                <w:b/>
                <w:bCs/>
                <w:color w:val="000000"/>
                <w:sz w:val="14"/>
                <w:szCs w:val="14"/>
                <w:lang w:eastAsia="sk-SK"/>
              </w:rPr>
            </w:pPr>
            <w:r w:rsidRPr="00163637">
              <w:rPr>
                <w:rFonts w:ascii="Times New Roman" w:hAnsi="Times New Roman" w:cs="Times New Roman"/>
                <w:b/>
                <w:bCs/>
                <w:color w:val="000000"/>
                <w:sz w:val="14"/>
                <w:szCs w:val="14"/>
                <w:lang w:eastAsia="sk-SK"/>
              </w:rPr>
              <w:t xml:space="preserve">m. j. </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2017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2017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2020 N</w:t>
            </w:r>
          </w:p>
        </w:tc>
      </w:tr>
      <w:tr w:rsidR="002E52A8" w:rsidRPr="00163637" w:rsidTr="00C72F49">
        <w:trPr>
          <w:trHeight w:val="435"/>
          <w:jc w:val="center"/>
        </w:trPr>
        <w:tc>
          <w:tcPr>
            <w:tcW w:w="2489" w:type="dxa"/>
            <w:tcBorders>
              <w:top w:val="nil"/>
              <w:left w:val="single" w:sz="4" w:space="0" w:color="auto"/>
              <w:bottom w:val="single" w:sz="4" w:space="0" w:color="auto"/>
              <w:right w:val="single" w:sz="4" w:space="0" w:color="auto"/>
            </w:tcBorders>
            <w:shd w:val="clear" w:color="auto" w:fill="auto"/>
            <w:vAlign w:val="center"/>
            <w:hideMark/>
          </w:tcPr>
          <w:p w:rsidR="002E52A8" w:rsidRPr="00163637" w:rsidRDefault="002E52A8" w:rsidP="00C72F49">
            <w:pP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Schodok štátneho rozpočtu</w:t>
            </w:r>
            <w:r w:rsidRPr="00163637">
              <w:rPr>
                <w:rFonts w:ascii="Times New Roman" w:hAnsi="Times New Roman" w:cs="Times New Roman"/>
                <w:color w:val="000000"/>
                <w:sz w:val="14"/>
                <w:szCs w:val="14"/>
                <w:lang w:eastAsia="sk-SK"/>
              </w:rPr>
              <w:br/>
              <w:t>v metodike ESA 2010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cente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-1 496,5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-1 833,2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-1 722,3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-1 758,8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-1 555,7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-1 146,3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-1 177,1</w:t>
            </w:r>
          </w:p>
        </w:tc>
      </w:tr>
      <w:tr w:rsidR="002E52A8" w:rsidRPr="00163637" w:rsidTr="00C72F49">
        <w:trPr>
          <w:trHeight w:val="435"/>
          <w:jc w:val="center"/>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rsidR="002E52A8" w:rsidRPr="00163637" w:rsidRDefault="002E52A8" w:rsidP="00C72F49">
            <w:pP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Modifikujúce faktory</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cente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436,1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-852,9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270,9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225,4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417,2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381,3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408,1</w:t>
            </w:r>
          </w:p>
        </w:tc>
      </w:tr>
      <w:tr w:rsidR="002E52A8" w:rsidRPr="00163637" w:rsidTr="00C72F49">
        <w:trPr>
          <w:trHeight w:val="435"/>
          <w:jc w:val="center"/>
        </w:trPr>
        <w:tc>
          <w:tcPr>
            <w:tcW w:w="2489" w:type="dxa"/>
            <w:tcBorders>
              <w:top w:val="nil"/>
              <w:left w:val="single" w:sz="4" w:space="0" w:color="auto"/>
              <w:bottom w:val="single" w:sz="4" w:space="0" w:color="auto"/>
              <w:right w:val="single" w:sz="4" w:space="0" w:color="auto"/>
            </w:tcBorders>
            <w:shd w:val="clear" w:color="000000" w:fill="BFBFBF"/>
            <w:vAlign w:val="center"/>
            <w:hideMark/>
          </w:tcPr>
          <w:p w:rsidR="002E52A8" w:rsidRPr="00163637" w:rsidRDefault="002E52A8" w:rsidP="00C72F49">
            <w:pP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Schodok štátneho rozpočtu</w:t>
            </w:r>
            <w:r w:rsidRPr="00163637">
              <w:rPr>
                <w:rFonts w:ascii="Times New Roman" w:hAnsi="Times New Roman" w:cs="Times New Roman"/>
                <w:color w:val="000000"/>
                <w:sz w:val="14"/>
                <w:szCs w:val="14"/>
                <w:lang w:eastAsia="sk-SK"/>
              </w:rPr>
              <w:br/>
              <w:t>na hotovostnom princípe</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cente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-1 932,6</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-980,3</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-1 993,2</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-1 984,2</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-1 972,9</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-1 527,6</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-1 585,2</w:t>
            </w:r>
          </w:p>
        </w:tc>
      </w:tr>
      <w:tr w:rsidR="002E52A8" w:rsidRPr="00163637" w:rsidTr="00C72F49">
        <w:trPr>
          <w:trHeight w:val="435"/>
          <w:jc w:val="center"/>
        </w:trPr>
        <w:tc>
          <w:tcPr>
            <w:tcW w:w="2489" w:type="dxa"/>
            <w:tcBorders>
              <w:top w:val="nil"/>
              <w:left w:val="single" w:sz="4" w:space="0" w:color="auto"/>
              <w:bottom w:val="single" w:sz="4" w:space="0" w:color="auto"/>
              <w:right w:val="single" w:sz="4" w:space="0" w:color="auto"/>
            </w:tcBorders>
            <w:shd w:val="clear" w:color="auto" w:fill="auto"/>
            <w:vAlign w:val="center"/>
            <w:hideMark/>
          </w:tcPr>
          <w:p w:rsidR="002E52A8" w:rsidRPr="00163637" w:rsidRDefault="002E52A8" w:rsidP="00C72F49">
            <w:pP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Príjmy štátneho rozpočtu</w:t>
            </w:r>
            <w:r w:rsidRPr="00163637">
              <w:rPr>
                <w:rFonts w:ascii="Times New Roman" w:hAnsi="Times New Roman" w:cs="Times New Roman"/>
                <w:color w:val="000000"/>
                <w:sz w:val="14"/>
                <w:szCs w:val="14"/>
                <w:lang w:eastAsia="sk-SK"/>
              </w:rPr>
              <w:br/>
              <w:t>na hotovostnom princípe</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cente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16 233,8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14 275,9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15 390,2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13 849,2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13 982,8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16 332,0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16 976,6</w:t>
            </w:r>
          </w:p>
        </w:tc>
      </w:tr>
      <w:tr w:rsidR="002E52A8" w:rsidRPr="00163637" w:rsidTr="00C72F49">
        <w:trPr>
          <w:trHeight w:val="435"/>
          <w:jc w:val="center"/>
        </w:trPr>
        <w:tc>
          <w:tcPr>
            <w:tcW w:w="2489" w:type="dxa"/>
            <w:tcBorders>
              <w:top w:val="nil"/>
              <w:left w:val="single" w:sz="4" w:space="0" w:color="auto"/>
              <w:bottom w:val="single" w:sz="4" w:space="0" w:color="auto"/>
              <w:right w:val="single" w:sz="4" w:space="0" w:color="auto"/>
            </w:tcBorders>
            <w:shd w:val="clear" w:color="auto" w:fill="auto"/>
            <w:vAlign w:val="center"/>
            <w:hideMark/>
          </w:tcPr>
          <w:p w:rsidR="002E52A8" w:rsidRPr="00163637" w:rsidRDefault="002E52A8" w:rsidP="00C72F49">
            <w:pP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Výdavky štátneho rozpočtu</w:t>
            </w:r>
            <w:r w:rsidRPr="00163637">
              <w:rPr>
                <w:rFonts w:ascii="Times New Roman" w:hAnsi="Times New Roman" w:cs="Times New Roman"/>
                <w:color w:val="000000"/>
                <w:sz w:val="14"/>
                <w:szCs w:val="14"/>
                <w:lang w:eastAsia="sk-SK"/>
              </w:rPr>
              <w:br/>
              <w:t>na hotovostnom princípe</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center"/>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18 166,4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15 256,2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17 383,4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15 833,4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15 955,7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17 859,6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color w:val="000000"/>
                <w:sz w:val="14"/>
                <w:szCs w:val="14"/>
                <w:lang w:eastAsia="sk-SK"/>
              </w:rPr>
            </w:pPr>
            <w:r w:rsidRPr="00163637">
              <w:rPr>
                <w:rFonts w:ascii="Times New Roman" w:hAnsi="Times New Roman" w:cs="Times New Roman"/>
                <w:color w:val="000000"/>
                <w:sz w:val="14"/>
                <w:szCs w:val="14"/>
                <w:lang w:eastAsia="sk-SK"/>
              </w:rPr>
              <w:t>18 561,8</w:t>
            </w:r>
          </w:p>
        </w:tc>
      </w:tr>
    </w:tbl>
    <w:p w:rsidR="002E52A8" w:rsidRPr="00832237" w:rsidRDefault="002E52A8" w:rsidP="002E52A8">
      <w:pPr>
        <w:jc w:val="both"/>
        <w:rPr>
          <w:rFonts w:ascii="Times New Roman" w:hAnsi="Times New Roman"/>
          <w:color w:val="0070C0"/>
        </w:rPr>
      </w:pPr>
    </w:p>
    <w:p w:rsidR="002E52A8" w:rsidRPr="00832237" w:rsidRDefault="002E52A8" w:rsidP="002E52A8">
      <w:pPr>
        <w:jc w:val="both"/>
        <w:rPr>
          <w:rFonts w:ascii="Times New Roman" w:hAnsi="Times New Roman"/>
          <w:color w:val="0070C0"/>
          <w:szCs w:val="22"/>
        </w:rPr>
      </w:pPr>
      <w:r w:rsidRPr="00832237">
        <w:rPr>
          <w:rFonts w:ascii="Times New Roman" w:hAnsi="Times New Roman"/>
          <w:color w:val="0070C0"/>
          <w:szCs w:val="22"/>
        </w:rPr>
        <w:tab/>
      </w:r>
      <w:r w:rsidRPr="00832237">
        <w:rPr>
          <w:rFonts w:ascii="Times New Roman" w:hAnsi="Times New Roman"/>
          <w:szCs w:val="22"/>
        </w:rPr>
        <w:t xml:space="preserve">Podrobnú identifikáciu modifikujúcich faktorov štátneho rozpočtu obsahuje nasledujúca časť. </w:t>
      </w:r>
    </w:p>
    <w:p w:rsidR="002E52A8" w:rsidRPr="00832237" w:rsidRDefault="002E52A8" w:rsidP="002E52A8">
      <w:pPr>
        <w:jc w:val="both"/>
        <w:rPr>
          <w:rFonts w:ascii="Times New Roman" w:hAnsi="Times New Roman"/>
          <w:szCs w:val="22"/>
        </w:rPr>
      </w:pPr>
    </w:p>
    <w:p w:rsidR="002E52A8" w:rsidRPr="00832237" w:rsidRDefault="002E52A8" w:rsidP="002E52A8">
      <w:pPr>
        <w:keepNext/>
        <w:outlineLvl w:val="1"/>
        <w:rPr>
          <w:rFonts w:ascii="Times New Roman" w:hAnsi="Times New Roman"/>
          <w:b/>
          <w:bCs/>
        </w:rPr>
      </w:pPr>
      <w:bookmarkStart w:id="24" w:name="_Toc494463960"/>
      <w:r w:rsidRPr="00F1229A">
        <w:rPr>
          <w:rFonts w:ascii="Times New Roman" w:hAnsi="Times New Roman"/>
          <w:b/>
          <w:bCs/>
        </w:rPr>
        <w:t>2.3. Štátny rozpočet v metodike ESA 2010</w:t>
      </w:r>
      <w:bookmarkEnd w:id="24"/>
    </w:p>
    <w:p w:rsidR="002E52A8" w:rsidRPr="00832237" w:rsidRDefault="002E52A8" w:rsidP="002E52A8">
      <w:pPr>
        <w:ind w:firstLine="708"/>
        <w:jc w:val="both"/>
        <w:rPr>
          <w:rFonts w:ascii="Times New Roman" w:hAnsi="Times New Roman"/>
        </w:rPr>
      </w:pPr>
    </w:p>
    <w:p w:rsidR="002E52A8" w:rsidRPr="00832237" w:rsidRDefault="002E52A8" w:rsidP="002E52A8">
      <w:pPr>
        <w:ind w:firstLine="708"/>
        <w:jc w:val="both"/>
        <w:rPr>
          <w:rFonts w:ascii="Times New Roman" w:hAnsi="Times New Roman"/>
        </w:rPr>
      </w:pPr>
      <w:r w:rsidRPr="00832237">
        <w:rPr>
          <w:rFonts w:ascii="Times New Roman" w:hAnsi="Times New Roman"/>
        </w:rPr>
        <w:t xml:space="preserve">Na schodok štátneho rozpočtu na hotovostnom princípe majú vplyv modifikujúce faktory, ktoré predstavujú najmä rozdiel medzi rozpočtovaním na hotovostnom a na akruálnom princípe (metodika ESA 2010). Modifikujúce faktory tvoria hlavne saldo rozpočtových operácií štátnych finančných aktív bez finančných operácií a zahrnutie položiek časového rozlíšenia daňových príjmov a úrokov súvisiacich s obsluhou štátneho dlhu. </w:t>
      </w:r>
    </w:p>
    <w:p w:rsidR="002E52A8" w:rsidRPr="00832237" w:rsidRDefault="002E52A8" w:rsidP="002E52A8">
      <w:pPr>
        <w:ind w:left="283" w:firstLine="709"/>
        <w:jc w:val="both"/>
        <w:rPr>
          <w:rFonts w:ascii="Times New Roman" w:hAnsi="Times New Roman"/>
        </w:rPr>
      </w:pPr>
    </w:p>
    <w:tbl>
      <w:tblPr>
        <w:tblW w:w="9079" w:type="dxa"/>
        <w:jc w:val="center"/>
        <w:tblCellMar>
          <w:left w:w="70" w:type="dxa"/>
          <w:right w:w="70" w:type="dxa"/>
        </w:tblCellMar>
        <w:tblLook w:val="04A0" w:firstRow="1" w:lastRow="0" w:firstColumn="1" w:lastColumn="0" w:noHBand="0" w:noVBand="1"/>
      </w:tblPr>
      <w:tblGrid>
        <w:gridCol w:w="3339"/>
        <w:gridCol w:w="820"/>
        <w:gridCol w:w="820"/>
        <w:gridCol w:w="820"/>
        <w:gridCol w:w="820"/>
        <w:gridCol w:w="820"/>
        <w:gridCol w:w="820"/>
        <w:gridCol w:w="820"/>
      </w:tblGrid>
      <w:tr w:rsidR="002E52A8" w:rsidRPr="00296980" w:rsidTr="00C72F49">
        <w:trPr>
          <w:trHeight w:val="270"/>
          <w:jc w:val="center"/>
        </w:trPr>
        <w:tc>
          <w:tcPr>
            <w:tcW w:w="3339" w:type="dxa"/>
            <w:tcBorders>
              <w:top w:val="single" w:sz="4" w:space="0" w:color="auto"/>
              <w:left w:val="single" w:sz="4" w:space="0" w:color="auto"/>
              <w:bottom w:val="single" w:sz="4" w:space="0" w:color="auto"/>
              <w:right w:val="single" w:sz="4" w:space="0" w:color="auto"/>
            </w:tcBorders>
            <w:shd w:val="clear" w:color="000000" w:fill="A6A6A6"/>
            <w:noWrap/>
            <w:hideMark/>
          </w:tcPr>
          <w:p w:rsidR="002E52A8" w:rsidRPr="00296980" w:rsidRDefault="002E52A8" w:rsidP="00C72F49">
            <w:pPr>
              <w:rPr>
                <w:rFonts w:ascii="Times New Roman" w:hAnsi="Times New Roman" w:cs="Times New Roman"/>
                <w:sz w:val="14"/>
                <w:szCs w:val="14"/>
                <w:lang w:eastAsia="sk-SK"/>
              </w:rPr>
            </w:pPr>
            <w:r w:rsidRPr="00296980">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296980" w:rsidRDefault="002E52A8" w:rsidP="00C72F49">
            <w:pPr>
              <w:jc w:val="center"/>
              <w:rPr>
                <w:rFonts w:ascii="Times New Roman" w:hAnsi="Times New Roman" w:cs="Times New Roman"/>
                <w:b/>
                <w:bCs/>
                <w:sz w:val="14"/>
                <w:szCs w:val="14"/>
                <w:lang w:eastAsia="sk-SK"/>
              </w:rPr>
            </w:pPr>
            <w:r w:rsidRPr="00296980">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296980" w:rsidRDefault="002E52A8" w:rsidP="00C72F49">
            <w:pPr>
              <w:jc w:val="center"/>
              <w:rPr>
                <w:rFonts w:ascii="Times New Roman" w:hAnsi="Times New Roman" w:cs="Times New Roman"/>
                <w:b/>
                <w:bCs/>
                <w:sz w:val="14"/>
                <w:szCs w:val="14"/>
                <w:lang w:eastAsia="sk-SK"/>
              </w:rPr>
            </w:pPr>
            <w:r w:rsidRPr="00296980">
              <w:rPr>
                <w:rFonts w:ascii="Times New Roman" w:hAnsi="Times New Roman" w:cs="Times New Roman"/>
                <w:b/>
                <w:bCs/>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296980" w:rsidRDefault="002E52A8" w:rsidP="00C72F49">
            <w:pPr>
              <w:jc w:val="center"/>
              <w:rPr>
                <w:rFonts w:ascii="Times New Roman" w:hAnsi="Times New Roman" w:cs="Times New Roman"/>
                <w:b/>
                <w:bCs/>
                <w:sz w:val="14"/>
                <w:szCs w:val="14"/>
                <w:lang w:eastAsia="sk-SK"/>
              </w:rPr>
            </w:pPr>
            <w:r w:rsidRPr="00296980">
              <w:rPr>
                <w:rFonts w:ascii="Times New Roman" w:hAnsi="Times New Roman" w:cs="Times New Roman"/>
                <w:b/>
                <w:bCs/>
                <w:sz w:val="14"/>
                <w:szCs w:val="14"/>
                <w:lang w:eastAsia="sk-SK"/>
              </w:rPr>
              <w:t>2017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296980" w:rsidRDefault="002E52A8" w:rsidP="00C72F49">
            <w:pPr>
              <w:jc w:val="center"/>
              <w:rPr>
                <w:rFonts w:ascii="Times New Roman" w:hAnsi="Times New Roman" w:cs="Times New Roman"/>
                <w:b/>
                <w:bCs/>
                <w:sz w:val="14"/>
                <w:szCs w:val="14"/>
                <w:lang w:eastAsia="sk-SK"/>
              </w:rPr>
            </w:pPr>
            <w:r w:rsidRPr="00296980">
              <w:rPr>
                <w:rFonts w:ascii="Times New Roman" w:hAnsi="Times New Roman" w:cs="Times New Roman"/>
                <w:b/>
                <w:bCs/>
                <w:sz w:val="14"/>
                <w:szCs w:val="14"/>
                <w:lang w:eastAsia="sk-SK"/>
              </w:rPr>
              <w:t>2017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296980" w:rsidRDefault="002E52A8" w:rsidP="00C72F49">
            <w:pPr>
              <w:jc w:val="center"/>
              <w:rPr>
                <w:rFonts w:ascii="Times New Roman" w:hAnsi="Times New Roman" w:cs="Times New Roman"/>
                <w:b/>
                <w:bCs/>
                <w:sz w:val="14"/>
                <w:szCs w:val="14"/>
                <w:lang w:eastAsia="sk-SK"/>
              </w:rPr>
            </w:pPr>
            <w:r w:rsidRPr="00296980">
              <w:rPr>
                <w:rFonts w:ascii="Times New Roman" w:hAnsi="Times New Roman" w:cs="Times New Roman"/>
                <w:b/>
                <w:bCs/>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296980" w:rsidRDefault="002E52A8" w:rsidP="00C72F49">
            <w:pPr>
              <w:jc w:val="center"/>
              <w:rPr>
                <w:rFonts w:ascii="Times New Roman" w:hAnsi="Times New Roman" w:cs="Times New Roman"/>
                <w:b/>
                <w:bCs/>
                <w:sz w:val="14"/>
                <w:szCs w:val="14"/>
                <w:lang w:eastAsia="sk-SK"/>
              </w:rPr>
            </w:pPr>
            <w:r w:rsidRPr="00296980">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296980" w:rsidRDefault="002E52A8" w:rsidP="00C72F49">
            <w:pPr>
              <w:jc w:val="center"/>
              <w:rPr>
                <w:rFonts w:ascii="Times New Roman" w:hAnsi="Times New Roman" w:cs="Times New Roman"/>
                <w:b/>
                <w:bCs/>
                <w:sz w:val="14"/>
                <w:szCs w:val="14"/>
                <w:lang w:eastAsia="sk-SK"/>
              </w:rPr>
            </w:pPr>
            <w:r w:rsidRPr="00296980">
              <w:rPr>
                <w:rFonts w:ascii="Times New Roman" w:hAnsi="Times New Roman" w:cs="Times New Roman"/>
                <w:b/>
                <w:bCs/>
                <w:sz w:val="14"/>
                <w:szCs w:val="14"/>
                <w:lang w:eastAsia="sk-SK"/>
              </w:rPr>
              <w:t>2020 N</w:t>
            </w:r>
          </w:p>
        </w:tc>
      </w:tr>
      <w:tr w:rsidR="002E52A8" w:rsidRPr="00296980" w:rsidTr="00C72F49">
        <w:trPr>
          <w:trHeight w:val="255"/>
          <w:jc w:val="center"/>
        </w:trPr>
        <w:tc>
          <w:tcPr>
            <w:tcW w:w="3339" w:type="dxa"/>
            <w:tcBorders>
              <w:top w:val="nil"/>
              <w:left w:val="single" w:sz="4" w:space="0" w:color="auto"/>
              <w:bottom w:val="single" w:sz="4" w:space="0" w:color="auto"/>
              <w:right w:val="single" w:sz="4" w:space="0" w:color="auto"/>
            </w:tcBorders>
            <w:shd w:val="clear" w:color="000000" w:fill="BFBFBF"/>
            <w:noWrap/>
            <w:vAlign w:val="center"/>
            <w:hideMark/>
          </w:tcPr>
          <w:p w:rsidR="002E52A8" w:rsidRPr="00296980" w:rsidRDefault="002E52A8" w:rsidP="00C72F49">
            <w:pPr>
              <w:rPr>
                <w:rFonts w:ascii="Times New Roman" w:hAnsi="Times New Roman" w:cs="Times New Roman"/>
                <w:b/>
                <w:bCs/>
                <w:sz w:val="14"/>
                <w:szCs w:val="14"/>
                <w:lang w:eastAsia="sk-SK"/>
              </w:rPr>
            </w:pPr>
            <w:r w:rsidRPr="00296980">
              <w:rPr>
                <w:rFonts w:ascii="Times New Roman" w:hAnsi="Times New Roman" w:cs="Times New Roman"/>
                <w:b/>
                <w:bCs/>
                <w:sz w:val="14"/>
                <w:szCs w:val="14"/>
                <w:lang w:eastAsia="sk-SK"/>
              </w:rPr>
              <w:t>Modifikujúce faktory</w:t>
            </w:r>
            <w:r w:rsidRPr="00296980">
              <w:rPr>
                <w:rFonts w:ascii="Times New Roman" w:hAnsi="Times New Roman" w:cs="Times New Roman"/>
                <w:sz w:val="14"/>
                <w:szCs w:val="14"/>
                <w:lang w:eastAsia="sk-SK"/>
              </w:rPr>
              <w:t>, z toho:</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296980" w:rsidRDefault="002E52A8" w:rsidP="00C72F49">
            <w:pPr>
              <w:jc w:val="right"/>
              <w:rPr>
                <w:rFonts w:ascii="Times New Roman" w:hAnsi="Times New Roman" w:cs="Times New Roman"/>
                <w:b/>
                <w:bCs/>
                <w:sz w:val="14"/>
                <w:szCs w:val="14"/>
                <w:lang w:eastAsia="sk-SK"/>
              </w:rPr>
            </w:pPr>
            <w:r w:rsidRPr="00296980">
              <w:rPr>
                <w:rFonts w:ascii="Times New Roman" w:hAnsi="Times New Roman" w:cs="Times New Roman"/>
                <w:b/>
                <w:bCs/>
                <w:sz w:val="14"/>
                <w:szCs w:val="14"/>
                <w:lang w:eastAsia="sk-SK"/>
              </w:rPr>
              <w:t>436 098</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296980" w:rsidRDefault="002E52A8" w:rsidP="00C72F49">
            <w:pPr>
              <w:jc w:val="right"/>
              <w:rPr>
                <w:rFonts w:ascii="Times New Roman" w:hAnsi="Times New Roman" w:cs="Times New Roman"/>
                <w:b/>
                <w:bCs/>
                <w:sz w:val="14"/>
                <w:szCs w:val="14"/>
                <w:lang w:eastAsia="sk-SK"/>
              </w:rPr>
            </w:pPr>
            <w:r w:rsidRPr="00296980">
              <w:rPr>
                <w:rFonts w:ascii="Times New Roman" w:hAnsi="Times New Roman" w:cs="Times New Roman"/>
                <w:b/>
                <w:bCs/>
                <w:sz w:val="14"/>
                <w:szCs w:val="14"/>
                <w:lang w:eastAsia="sk-SK"/>
              </w:rPr>
              <w:t>-852 932</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296980" w:rsidRDefault="002E52A8" w:rsidP="00C72F49">
            <w:pPr>
              <w:jc w:val="right"/>
              <w:rPr>
                <w:rFonts w:ascii="Times New Roman" w:hAnsi="Times New Roman" w:cs="Times New Roman"/>
                <w:b/>
                <w:bCs/>
                <w:sz w:val="14"/>
                <w:szCs w:val="14"/>
                <w:lang w:eastAsia="sk-SK"/>
              </w:rPr>
            </w:pPr>
            <w:r w:rsidRPr="00296980">
              <w:rPr>
                <w:rFonts w:ascii="Times New Roman" w:hAnsi="Times New Roman" w:cs="Times New Roman"/>
                <w:b/>
                <w:bCs/>
                <w:sz w:val="14"/>
                <w:szCs w:val="14"/>
                <w:lang w:eastAsia="sk-SK"/>
              </w:rPr>
              <w:t>270 910</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296980" w:rsidRDefault="002E52A8" w:rsidP="00C72F49">
            <w:pPr>
              <w:jc w:val="right"/>
              <w:rPr>
                <w:rFonts w:ascii="Times New Roman" w:hAnsi="Times New Roman" w:cs="Times New Roman"/>
                <w:b/>
                <w:bCs/>
                <w:sz w:val="14"/>
                <w:szCs w:val="14"/>
                <w:lang w:eastAsia="sk-SK"/>
              </w:rPr>
            </w:pPr>
            <w:r w:rsidRPr="00296980">
              <w:rPr>
                <w:rFonts w:ascii="Times New Roman" w:hAnsi="Times New Roman" w:cs="Times New Roman"/>
                <w:b/>
                <w:bCs/>
                <w:sz w:val="14"/>
                <w:szCs w:val="14"/>
                <w:lang w:eastAsia="sk-SK"/>
              </w:rPr>
              <w:t>225 449</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296980" w:rsidRDefault="002E52A8" w:rsidP="00C72F49">
            <w:pPr>
              <w:jc w:val="right"/>
              <w:rPr>
                <w:rFonts w:ascii="Times New Roman" w:hAnsi="Times New Roman" w:cs="Times New Roman"/>
                <w:b/>
                <w:bCs/>
                <w:sz w:val="14"/>
                <w:szCs w:val="14"/>
                <w:lang w:eastAsia="sk-SK"/>
              </w:rPr>
            </w:pPr>
            <w:r w:rsidRPr="00296980">
              <w:rPr>
                <w:rFonts w:ascii="Times New Roman" w:hAnsi="Times New Roman" w:cs="Times New Roman"/>
                <w:b/>
                <w:bCs/>
                <w:sz w:val="14"/>
                <w:szCs w:val="14"/>
                <w:lang w:eastAsia="sk-SK"/>
              </w:rPr>
              <w:t>417 178</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296980" w:rsidRDefault="002E52A8" w:rsidP="00C72F49">
            <w:pPr>
              <w:jc w:val="right"/>
              <w:rPr>
                <w:rFonts w:ascii="Times New Roman" w:hAnsi="Times New Roman" w:cs="Times New Roman"/>
                <w:b/>
                <w:bCs/>
                <w:sz w:val="14"/>
                <w:szCs w:val="14"/>
                <w:lang w:eastAsia="sk-SK"/>
              </w:rPr>
            </w:pPr>
            <w:r w:rsidRPr="00296980">
              <w:rPr>
                <w:rFonts w:ascii="Times New Roman" w:hAnsi="Times New Roman" w:cs="Times New Roman"/>
                <w:b/>
                <w:bCs/>
                <w:sz w:val="14"/>
                <w:szCs w:val="14"/>
                <w:lang w:eastAsia="sk-SK"/>
              </w:rPr>
              <w:t>381 317</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296980" w:rsidRDefault="002E52A8" w:rsidP="00C72F49">
            <w:pPr>
              <w:jc w:val="right"/>
              <w:rPr>
                <w:rFonts w:ascii="Times New Roman" w:hAnsi="Times New Roman" w:cs="Times New Roman"/>
                <w:b/>
                <w:bCs/>
                <w:sz w:val="14"/>
                <w:szCs w:val="14"/>
                <w:lang w:eastAsia="sk-SK"/>
              </w:rPr>
            </w:pPr>
            <w:r w:rsidRPr="00296980">
              <w:rPr>
                <w:rFonts w:ascii="Times New Roman" w:hAnsi="Times New Roman" w:cs="Times New Roman"/>
                <w:b/>
                <w:bCs/>
                <w:sz w:val="14"/>
                <w:szCs w:val="14"/>
                <w:lang w:eastAsia="sk-SK"/>
              </w:rPr>
              <w:t>408 098</w:t>
            </w:r>
          </w:p>
        </w:tc>
      </w:tr>
      <w:tr w:rsidR="002E52A8" w:rsidRPr="00296980" w:rsidTr="00C72F49">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2E52A8" w:rsidRPr="00296980" w:rsidRDefault="002E52A8" w:rsidP="00C72F49">
            <w:pPr>
              <w:rPr>
                <w:rFonts w:ascii="Times New Roman" w:hAnsi="Times New Roman" w:cs="Times New Roman"/>
                <w:sz w:val="14"/>
                <w:szCs w:val="14"/>
                <w:lang w:eastAsia="sk-SK"/>
              </w:rPr>
            </w:pPr>
            <w:r w:rsidRPr="00296980">
              <w:rPr>
                <w:rFonts w:ascii="Times New Roman" w:hAnsi="Times New Roman" w:cs="Times New Roman"/>
                <w:sz w:val="14"/>
                <w:szCs w:val="14"/>
                <w:lang w:eastAsia="sk-SK"/>
              </w:rPr>
              <w:t>1. Saldo rozpočtových operácií ŠFA bez FO</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869 261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-105 285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202 176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174 205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243 226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261 926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286 848</w:t>
            </w:r>
          </w:p>
        </w:tc>
      </w:tr>
      <w:tr w:rsidR="002E52A8" w:rsidRPr="00296980" w:rsidTr="00C72F49">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2E52A8" w:rsidRPr="00296980" w:rsidRDefault="002E52A8" w:rsidP="00C72F49">
            <w:pPr>
              <w:rPr>
                <w:rFonts w:ascii="Times New Roman" w:hAnsi="Times New Roman" w:cs="Times New Roman"/>
                <w:sz w:val="14"/>
                <w:szCs w:val="14"/>
                <w:lang w:eastAsia="sk-SK"/>
              </w:rPr>
            </w:pPr>
            <w:r w:rsidRPr="00296980">
              <w:rPr>
                <w:rFonts w:ascii="Times New Roman" w:hAnsi="Times New Roman" w:cs="Times New Roman"/>
                <w:sz w:val="14"/>
                <w:szCs w:val="14"/>
                <w:lang w:eastAsia="sk-SK"/>
              </w:rPr>
              <w:t>2. Vplyv čas. rozlíšenia operácií štátneho dlhu</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-121 527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-50 781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175 427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75 948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3 547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39 702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144 138</w:t>
            </w:r>
          </w:p>
        </w:tc>
      </w:tr>
      <w:tr w:rsidR="002E52A8" w:rsidRPr="00296980" w:rsidTr="00C72F49">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2E52A8" w:rsidRPr="00296980" w:rsidRDefault="002E52A8" w:rsidP="00C72F49">
            <w:pPr>
              <w:rPr>
                <w:rFonts w:ascii="Times New Roman" w:hAnsi="Times New Roman" w:cs="Times New Roman"/>
                <w:sz w:val="14"/>
                <w:szCs w:val="14"/>
                <w:lang w:eastAsia="sk-SK"/>
              </w:rPr>
            </w:pPr>
            <w:r w:rsidRPr="00296980">
              <w:rPr>
                <w:rFonts w:ascii="Times New Roman" w:hAnsi="Times New Roman" w:cs="Times New Roman"/>
                <w:sz w:val="14"/>
                <w:szCs w:val="14"/>
                <w:lang w:eastAsia="sk-SK"/>
              </w:rPr>
              <w:t>3. Časové rozlíšenie daňových príjmov (vrátane VPÚ)</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389 416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73 723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73 343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206 736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445 219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405 756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316 607</w:t>
            </w:r>
          </w:p>
        </w:tc>
      </w:tr>
      <w:tr w:rsidR="002E52A8" w:rsidRPr="00296980" w:rsidTr="00C72F49">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2E52A8" w:rsidRPr="00296980" w:rsidRDefault="002E52A8" w:rsidP="00C72F49">
            <w:pPr>
              <w:rPr>
                <w:rFonts w:ascii="Times New Roman" w:hAnsi="Times New Roman" w:cs="Times New Roman"/>
                <w:sz w:val="14"/>
                <w:szCs w:val="14"/>
                <w:lang w:eastAsia="sk-SK"/>
              </w:rPr>
            </w:pPr>
            <w:r w:rsidRPr="00296980">
              <w:rPr>
                <w:rFonts w:ascii="Times New Roman" w:hAnsi="Times New Roman" w:cs="Times New Roman"/>
                <w:sz w:val="14"/>
                <w:szCs w:val="14"/>
                <w:lang w:eastAsia="sk-SK"/>
              </w:rPr>
              <w:t>4. Daňové kredity</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-262 343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-263 371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-252 136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-263 975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-269 457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-277 918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-289 335</w:t>
            </w:r>
          </w:p>
        </w:tc>
      </w:tr>
      <w:tr w:rsidR="002E52A8" w:rsidRPr="00296980" w:rsidTr="00C72F49">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2E52A8" w:rsidRPr="00296980" w:rsidRDefault="002E52A8" w:rsidP="00C72F49">
            <w:pPr>
              <w:rPr>
                <w:rFonts w:ascii="Times New Roman" w:hAnsi="Times New Roman" w:cs="Times New Roman"/>
                <w:sz w:val="14"/>
                <w:szCs w:val="14"/>
                <w:lang w:eastAsia="sk-SK"/>
              </w:rPr>
            </w:pPr>
            <w:r w:rsidRPr="00296980">
              <w:rPr>
                <w:rFonts w:ascii="Times New Roman" w:hAnsi="Times New Roman" w:cs="Times New Roman"/>
                <w:sz w:val="14"/>
                <w:szCs w:val="14"/>
                <w:lang w:eastAsia="sk-SK"/>
              </w:rPr>
              <w:t>5. Samostatné účty rozpočtových organizácií štátu</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57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-7 593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3 518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3 518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6 222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2 392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381</w:t>
            </w:r>
          </w:p>
        </w:tc>
      </w:tr>
      <w:tr w:rsidR="002E52A8" w:rsidRPr="00296980" w:rsidTr="00C72F49">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2E52A8" w:rsidRPr="00296980" w:rsidRDefault="002E52A8" w:rsidP="00C72F49">
            <w:pPr>
              <w:rPr>
                <w:rFonts w:ascii="Times New Roman" w:hAnsi="Times New Roman" w:cs="Times New Roman"/>
                <w:sz w:val="14"/>
                <w:szCs w:val="14"/>
                <w:lang w:eastAsia="sk-SK"/>
              </w:rPr>
            </w:pPr>
            <w:r w:rsidRPr="00296980">
              <w:rPr>
                <w:rFonts w:ascii="Times New Roman" w:hAnsi="Times New Roman" w:cs="Times New Roman"/>
                <w:sz w:val="14"/>
                <w:szCs w:val="14"/>
                <w:lang w:eastAsia="sk-SK"/>
              </w:rPr>
              <w:t>6. Časové rozlíšenie odvodu do rozpočtu EÚ</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-38 025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-49 400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r>
      <w:tr w:rsidR="002E52A8" w:rsidRPr="00296980" w:rsidTr="00C72F49">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2E52A8" w:rsidRPr="00296980" w:rsidRDefault="002E52A8" w:rsidP="00C72F49">
            <w:pPr>
              <w:rPr>
                <w:rFonts w:ascii="Times New Roman" w:hAnsi="Times New Roman" w:cs="Times New Roman"/>
                <w:sz w:val="14"/>
                <w:szCs w:val="14"/>
                <w:lang w:eastAsia="sk-SK"/>
              </w:rPr>
            </w:pPr>
            <w:r w:rsidRPr="00296980">
              <w:rPr>
                <w:rFonts w:ascii="Times New Roman" w:hAnsi="Times New Roman" w:cs="Times New Roman"/>
                <w:sz w:val="14"/>
                <w:szCs w:val="14"/>
                <w:lang w:eastAsia="sk-SK"/>
              </w:rPr>
              <w:t>7. Medziročná zmena stavu pohľadávok EÚ</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22 795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-209 810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81 787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r>
      <w:tr w:rsidR="002E52A8" w:rsidRPr="00296980" w:rsidTr="00C72F49">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2E52A8" w:rsidRPr="00296980" w:rsidRDefault="002E52A8" w:rsidP="00C72F49">
            <w:pPr>
              <w:rPr>
                <w:rFonts w:ascii="Times New Roman" w:hAnsi="Times New Roman" w:cs="Times New Roman"/>
                <w:sz w:val="14"/>
                <w:szCs w:val="14"/>
                <w:lang w:eastAsia="sk-SK"/>
              </w:rPr>
            </w:pPr>
            <w:r w:rsidRPr="00296980">
              <w:rPr>
                <w:rFonts w:ascii="Times New Roman" w:hAnsi="Times New Roman" w:cs="Times New Roman"/>
                <w:sz w:val="14"/>
                <w:szCs w:val="14"/>
                <w:lang w:eastAsia="sk-SK"/>
              </w:rPr>
              <w:t>8. Zníženie pohľadávky voči EU z dôvodu korekcií</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-242 533</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-187 658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-77 700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r>
      <w:tr w:rsidR="002E52A8" w:rsidRPr="00296980" w:rsidTr="00C72F49">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2E52A8" w:rsidRPr="00296980" w:rsidRDefault="002E52A8" w:rsidP="00C72F49">
            <w:pPr>
              <w:rPr>
                <w:rFonts w:ascii="Times New Roman" w:hAnsi="Times New Roman" w:cs="Times New Roman"/>
                <w:sz w:val="14"/>
                <w:szCs w:val="14"/>
                <w:lang w:eastAsia="sk-SK"/>
              </w:rPr>
            </w:pPr>
            <w:r w:rsidRPr="00296980">
              <w:rPr>
                <w:rFonts w:ascii="Times New Roman" w:hAnsi="Times New Roman" w:cs="Times New Roman"/>
                <w:sz w:val="14"/>
                <w:szCs w:val="14"/>
                <w:lang w:eastAsia="sk-SK"/>
              </w:rPr>
              <w:t xml:space="preserve">9. </w:t>
            </w:r>
            <w:proofErr w:type="spellStart"/>
            <w:r w:rsidRPr="00296980">
              <w:rPr>
                <w:rFonts w:ascii="Times New Roman" w:hAnsi="Times New Roman" w:cs="Times New Roman"/>
                <w:sz w:val="14"/>
                <w:szCs w:val="14"/>
                <w:lang w:eastAsia="sk-SK"/>
              </w:rPr>
              <w:t>Superdividendy</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-165 835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-46 124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-7 684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r>
      <w:tr w:rsidR="002E52A8" w:rsidRPr="00296980" w:rsidTr="00C72F49">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2E52A8" w:rsidRPr="00296980" w:rsidRDefault="002E52A8" w:rsidP="00C72F49">
            <w:pPr>
              <w:rPr>
                <w:rFonts w:ascii="Times New Roman" w:hAnsi="Times New Roman" w:cs="Times New Roman"/>
                <w:sz w:val="14"/>
                <w:szCs w:val="14"/>
                <w:lang w:eastAsia="sk-SK"/>
              </w:rPr>
            </w:pPr>
            <w:r w:rsidRPr="00296980">
              <w:rPr>
                <w:rFonts w:ascii="Times New Roman" w:hAnsi="Times New Roman" w:cs="Times New Roman"/>
                <w:sz w:val="14"/>
                <w:szCs w:val="14"/>
                <w:lang w:eastAsia="sk-SK"/>
              </w:rPr>
              <w:t>10. Časové rozlíšenie dividend</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11 531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0</w:t>
            </w:r>
          </w:p>
        </w:tc>
      </w:tr>
      <w:tr w:rsidR="002E52A8" w:rsidRPr="00296980" w:rsidTr="00C72F49">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2E52A8" w:rsidRPr="00296980" w:rsidRDefault="002E52A8" w:rsidP="00C72F49">
            <w:pPr>
              <w:rPr>
                <w:rFonts w:ascii="Times New Roman" w:hAnsi="Times New Roman" w:cs="Times New Roman"/>
                <w:sz w:val="14"/>
                <w:szCs w:val="14"/>
                <w:lang w:eastAsia="sk-SK"/>
              </w:rPr>
            </w:pPr>
            <w:r w:rsidRPr="00296980">
              <w:rPr>
                <w:rFonts w:ascii="Times New Roman" w:hAnsi="Times New Roman" w:cs="Times New Roman"/>
                <w:sz w:val="14"/>
                <w:szCs w:val="14"/>
                <w:lang w:eastAsia="sk-SK"/>
              </w:rPr>
              <w:t>11. Ostatné úpravy</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-15 168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-18 164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68 582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32 614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-11 579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-50 541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96980" w:rsidRDefault="002E52A8" w:rsidP="00C72F49">
            <w:pPr>
              <w:jc w:val="right"/>
              <w:rPr>
                <w:rFonts w:ascii="Times New Roman" w:hAnsi="Times New Roman" w:cs="Times New Roman"/>
                <w:sz w:val="14"/>
                <w:szCs w:val="14"/>
                <w:lang w:eastAsia="sk-SK"/>
              </w:rPr>
            </w:pPr>
            <w:r w:rsidRPr="00296980">
              <w:rPr>
                <w:rFonts w:ascii="Times New Roman" w:hAnsi="Times New Roman" w:cs="Times New Roman"/>
                <w:sz w:val="14"/>
                <w:szCs w:val="14"/>
                <w:lang w:eastAsia="sk-SK"/>
              </w:rPr>
              <w:t>-50 541</w:t>
            </w:r>
          </w:p>
        </w:tc>
      </w:tr>
    </w:tbl>
    <w:p w:rsidR="002E52A8" w:rsidRPr="00832237" w:rsidRDefault="002E52A8" w:rsidP="002E52A8">
      <w:pPr>
        <w:jc w:val="both"/>
        <w:rPr>
          <w:rFonts w:ascii="Times New Roman" w:hAnsi="Times New Roman"/>
        </w:rPr>
      </w:pPr>
    </w:p>
    <w:p w:rsidR="002E52A8" w:rsidRPr="00832237" w:rsidRDefault="002E52A8" w:rsidP="002E52A8">
      <w:pPr>
        <w:jc w:val="both"/>
        <w:rPr>
          <w:rFonts w:ascii="Times New Roman" w:hAnsi="Times New Roman"/>
        </w:rPr>
      </w:pPr>
      <w:r w:rsidRPr="00832237">
        <w:rPr>
          <w:rFonts w:ascii="Times New Roman" w:hAnsi="Times New Roman"/>
        </w:rPr>
        <w:t>2.3.1.</w:t>
      </w:r>
      <w:r w:rsidRPr="00832237">
        <w:rPr>
          <w:rFonts w:ascii="Times New Roman" w:hAnsi="Times New Roman"/>
        </w:rPr>
        <w:tab/>
        <w:t>Saldo rozpočtových operácií štátnych finančných aktív bez finančných operácií je uvedené v časti 5. Štátne finančné aktíva.</w:t>
      </w:r>
    </w:p>
    <w:p w:rsidR="002E52A8" w:rsidRPr="00832237" w:rsidRDefault="002E52A8" w:rsidP="002E52A8">
      <w:pPr>
        <w:ind w:firstLine="708"/>
        <w:jc w:val="both"/>
        <w:rPr>
          <w:rFonts w:ascii="Times New Roman" w:hAnsi="Times New Roman"/>
          <w:szCs w:val="16"/>
        </w:rPr>
      </w:pPr>
    </w:p>
    <w:p w:rsidR="002E52A8" w:rsidRPr="00AF6457" w:rsidRDefault="002E52A8" w:rsidP="002E52A8">
      <w:pPr>
        <w:jc w:val="both"/>
        <w:rPr>
          <w:rFonts w:ascii="Times New Roman" w:hAnsi="Times New Roman"/>
        </w:rPr>
      </w:pPr>
      <w:r w:rsidRPr="00AF6457">
        <w:rPr>
          <w:rFonts w:ascii="Times New Roman" w:hAnsi="Times New Roman"/>
        </w:rPr>
        <w:t>2.3.2.</w:t>
      </w:r>
      <w:r w:rsidRPr="00AF6457">
        <w:rPr>
          <w:rFonts w:ascii="Times New Roman" w:hAnsi="Times New Roman"/>
        </w:rPr>
        <w:tab/>
        <w:t xml:space="preserve">V roku 2012 sa v zmysle zákona č. 291/2002 Z. z. o Štátnej pokladnici a o zmene a doplnení niektorých zákonov v znení neskorších predpisov pre efektívne fungovanie obsluhy Štátneho dlhu zriadil samostatný mimorozpočtový účet  (tzv. saldo účet Štátneho dlhu). Uvedený mimorozpočtový účet slúži pre príjmové aj výdavkové transakcie vykonávané </w:t>
      </w:r>
      <w:proofErr w:type="spellStart"/>
      <w:r w:rsidRPr="00AF6457">
        <w:rPr>
          <w:rFonts w:ascii="Times New Roman" w:hAnsi="Times New Roman"/>
        </w:rPr>
        <w:t>ARDALom</w:t>
      </w:r>
      <w:proofErr w:type="spellEnd"/>
      <w:r w:rsidRPr="00AF6457">
        <w:rPr>
          <w:rFonts w:ascii="Times New Roman" w:hAnsi="Times New Roman"/>
        </w:rPr>
        <w:t xml:space="preserve"> v mene MF SR. Stav mimorozpočtového účtu sa ku koncu mesiaca vyrovnáva transferom z výdavkového účtu </w:t>
      </w:r>
      <w:r>
        <w:rPr>
          <w:rFonts w:ascii="Times New Roman" w:hAnsi="Times New Roman"/>
        </w:rPr>
        <w:t>štátneho rozpočtu (kapitola VPS)</w:t>
      </w:r>
      <w:r w:rsidRPr="00AF6457">
        <w:rPr>
          <w:rFonts w:ascii="Times New Roman" w:hAnsi="Times New Roman"/>
        </w:rPr>
        <w:t xml:space="preserve"> tak, aby koncom roka </w:t>
      </w:r>
      <w:r>
        <w:rPr>
          <w:rFonts w:ascii="Times New Roman" w:hAnsi="Times New Roman"/>
        </w:rPr>
        <w:t xml:space="preserve">saldo účet na hotovostnej báze </w:t>
      </w:r>
      <w:r w:rsidRPr="00AF6457">
        <w:rPr>
          <w:rFonts w:ascii="Times New Roman" w:hAnsi="Times New Roman"/>
        </w:rPr>
        <w:t>vykazoval nulový zostatok.</w:t>
      </w:r>
      <w:r>
        <w:rPr>
          <w:rFonts w:ascii="Times New Roman" w:hAnsi="Times New Roman"/>
        </w:rPr>
        <w:t xml:space="preserve"> </w:t>
      </w:r>
      <w:r w:rsidRPr="00AF6457">
        <w:rPr>
          <w:rFonts w:ascii="Times New Roman" w:hAnsi="Times New Roman"/>
        </w:rPr>
        <w:t>Očakávaný vývoj zobrazuje nasledovná tabuľka.</w:t>
      </w:r>
    </w:p>
    <w:p w:rsidR="002E52A8" w:rsidRPr="00001DBE" w:rsidRDefault="002E52A8" w:rsidP="002E52A8">
      <w:pPr>
        <w:jc w:val="both"/>
        <w:rPr>
          <w:rFonts w:ascii="Times New Roman" w:hAnsi="Times New Roman"/>
          <w:sz w:val="16"/>
          <w:szCs w:val="16"/>
          <w:highlight w:val="yellow"/>
        </w:rPr>
      </w:pPr>
    </w:p>
    <w:tbl>
      <w:tblPr>
        <w:tblW w:w="9079" w:type="dxa"/>
        <w:jc w:val="center"/>
        <w:tblCellMar>
          <w:left w:w="70" w:type="dxa"/>
          <w:right w:w="70" w:type="dxa"/>
        </w:tblCellMar>
        <w:tblLook w:val="04A0" w:firstRow="1" w:lastRow="0" w:firstColumn="1" w:lastColumn="0" w:noHBand="0" w:noVBand="1"/>
      </w:tblPr>
      <w:tblGrid>
        <w:gridCol w:w="3339"/>
        <w:gridCol w:w="820"/>
        <w:gridCol w:w="820"/>
        <w:gridCol w:w="820"/>
        <w:gridCol w:w="820"/>
        <w:gridCol w:w="820"/>
        <w:gridCol w:w="820"/>
        <w:gridCol w:w="820"/>
      </w:tblGrid>
      <w:tr w:rsidR="002E52A8" w:rsidRPr="002C3B48" w:rsidTr="00C72F49">
        <w:trPr>
          <w:trHeight w:val="360"/>
          <w:jc w:val="center"/>
        </w:trPr>
        <w:tc>
          <w:tcPr>
            <w:tcW w:w="333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E52A8" w:rsidRPr="002C3B48" w:rsidRDefault="002E52A8" w:rsidP="00C72F49">
            <w:pPr>
              <w:rPr>
                <w:rFonts w:ascii="Times New Roman" w:hAnsi="Times New Roman" w:cs="Times New Roman"/>
                <w:b/>
                <w:bCs/>
                <w:sz w:val="14"/>
                <w:szCs w:val="14"/>
                <w:lang w:eastAsia="sk-SK"/>
              </w:rPr>
            </w:pPr>
            <w:r w:rsidRPr="002C3B48">
              <w:rPr>
                <w:rFonts w:ascii="Times New Roman" w:hAnsi="Times New Roman" w:cs="Times New Roman"/>
                <w:b/>
                <w:bCs/>
                <w:sz w:val="14"/>
                <w:szCs w:val="14"/>
                <w:lang w:eastAsia="sk-SK"/>
              </w:rPr>
              <w:lastRenderedPageBreak/>
              <w:t>Štátny dlh - saldo účet</w:t>
            </w:r>
            <w:r w:rsidRPr="002C3B48">
              <w:rPr>
                <w:rFonts w:ascii="Times New Roman" w:hAnsi="Times New Roman" w:cs="Times New Roman"/>
                <w:b/>
                <w:bCs/>
                <w:sz w:val="14"/>
                <w:szCs w:val="14"/>
                <w:lang w:eastAsia="sk-SK"/>
              </w:rPr>
              <w:br/>
            </w:r>
            <w:r w:rsidRPr="002C3B48">
              <w:rPr>
                <w:rFonts w:ascii="Times New Roman" w:hAnsi="Times New Roman" w:cs="Times New Roman"/>
                <w:sz w:val="14"/>
                <w:szCs w:val="14"/>
                <w:lang w:eastAsia="sk-SK"/>
              </w:rPr>
              <w:t>(ESA 2010; 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2C3B48" w:rsidRDefault="002E52A8" w:rsidP="00C72F49">
            <w:pPr>
              <w:jc w:val="center"/>
              <w:rPr>
                <w:rFonts w:ascii="Times New Roman" w:hAnsi="Times New Roman" w:cs="Times New Roman"/>
                <w:b/>
                <w:bCs/>
                <w:sz w:val="14"/>
                <w:szCs w:val="14"/>
                <w:lang w:eastAsia="sk-SK"/>
              </w:rPr>
            </w:pPr>
            <w:r w:rsidRPr="002C3B48">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2C3B48" w:rsidRDefault="002E52A8" w:rsidP="00C72F49">
            <w:pPr>
              <w:jc w:val="center"/>
              <w:rPr>
                <w:rFonts w:ascii="Times New Roman" w:hAnsi="Times New Roman" w:cs="Times New Roman"/>
                <w:b/>
                <w:bCs/>
                <w:sz w:val="14"/>
                <w:szCs w:val="14"/>
                <w:lang w:eastAsia="sk-SK"/>
              </w:rPr>
            </w:pPr>
            <w:r w:rsidRPr="002C3B48">
              <w:rPr>
                <w:rFonts w:ascii="Times New Roman" w:hAnsi="Times New Roman" w:cs="Times New Roman"/>
                <w:b/>
                <w:bCs/>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2C3B48" w:rsidRDefault="002E52A8" w:rsidP="00C72F49">
            <w:pPr>
              <w:jc w:val="center"/>
              <w:rPr>
                <w:rFonts w:ascii="Times New Roman" w:hAnsi="Times New Roman" w:cs="Times New Roman"/>
                <w:b/>
                <w:bCs/>
                <w:sz w:val="14"/>
                <w:szCs w:val="14"/>
                <w:lang w:eastAsia="sk-SK"/>
              </w:rPr>
            </w:pPr>
            <w:r w:rsidRPr="002C3B48">
              <w:rPr>
                <w:rFonts w:ascii="Times New Roman" w:hAnsi="Times New Roman" w:cs="Times New Roman"/>
                <w:b/>
                <w:bCs/>
                <w:sz w:val="14"/>
                <w:szCs w:val="14"/>
                <w:lang w:eastAsia="sk-SK"/>
              </w:rPr>
              <w:t>2017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2C3B48" w:rsidRDefault="002E52A8" w:rsidP="00C72F49">
            <w:pPr>
              <w:jc w:val="center"/>
              <w:rPr>
                <w:rFonts w:ascii="Times New Roman" w:hAnsi="Times New Roman" w:cs="Times New Roman"/>
                <w:b/>
                <w:bCs/>
                <w:sz w:val="14"/>
                <w:szCs w:val="14"/>
                <w:lang w:eastAsia="sk-SK"/>
              </w:rPr>
            </w:pPr>
            <w:r w:rsidRPr="002C3B48">
              <w:rPr>
                <w:rFonts w:ascii="Times New Roman" w:hAnsi="Times New Roman" w:cs="Times New Roman"/>
                <w:b/>
                <w:bCs/>
                <w:sz w:val="14"/>
                <w:szCs w:val="14"/>
                <w:lang w:eastAsia="sk-SK"/>
              </w:rPr>
              <w:t>2017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2C3B48" w:rsidRDefault="002E52A8" w:rsidP="00C72F49">
            <w:pPr>
              <w:jc w:val="center"/>
              <w:rPr>
                <w:rFonts w:ascii="Times New Roman" w:hAnsi="Times New Roman" w:cs="Times New Roman"/>
                <w:b/>
                <w:bCs/>
                <w:sz w:val="14"/>
                <w:szCs w:val="14"/>
                <w:lang w:eastAsia="sk-SK"/>
              </w:rPr>
            </w:pPr>
            <w:r w:rsidRPr="002C3B48">
              <w:rPr>
                <w:rFonts w:ascii="Times New Roman" w:hAnsi="Times New Roman" w:cs="Times New Roman"/>
                <w:b/>
                <w:bCs/>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2C3B48" w:rsidRDefault="002E52A8" w:rsidP="00C72F49">
            <w:pPr>
              <w:jc w:val="center"/>
              <w:rPr>
                <w:rFonts w:ascii="Times New Roman" w:hAnsi="Times New Roman" w:cs="Times New Roman"/>
                <w:b/>
                <w:bCs/>
                <w:sz w:val="14"/>
                <w:szCs w:val="14"/>
                <w:lang w:eastAsia="sk-SK"/>
              </w:rPr>
            </w:pPr>
            <w:r w:rsidRPr="002C3B48">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2C3B48" w:rsidRDefault="002E52A8" w:rsidP="00C72F49">
            <w:pPr>
              <w:jc w:val="center"/>
              <w:rPr>
                <w:rFonts w:ascii="Times New Roman" w:hAnsi="Times New Roman" w:cs="Times New Roman"/>
                <w:b/>
                <w:bCs/>
                <w:sz w:val="14"/>
                <w:szCs w:val="14"/>
                <w:lang w:eastAsia="sk-SK"/>
              </w:rPr>
            </w:pPr>
            <w:r w:rsidRPr="002C3B48">
              <w:rPr>
                <w:rFonts w:ascii="Times New Roman" w:hAnsi="Times New Roman" w:cs="Times New Roman"/>
                <w:b/>
                <w:bCs/>
                <w:sz w:val="14"/>
                <w:szCs w:val="14"/>
                <w:lang w:eastAsia="sk-SK"/>
              </w:rPr>
              <w:t>2020 N</w:t>
            </w:r>
          </w:p>
        </w:tc>
      </w:tr>
      <w:tr w:rsidR="002E52A8" w:rsidRPr="002C3B48" w:rsidTr="00C72F49">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2E52A8" w:rsidRPr="002C3B48" w:rsidRDefault="002E52A8" w:rsidP="00C72F49">
            <w:pPr>
              <w:rPr>
                <w:rFonts w:ascii="Times New Roman" w:hAnsi="Times New Roman" w:cs="Times New Roman"/>
                <w:sz w:val="14"/>
                <w:szCs w:val="14"/>
                <w:lang w:eastAsia="sk-SK"/>
              </w:rPr>
            </w:pPr>
            <w:r w:rsidRPr="002C3B48">
              <w:rPr>
                <w:rFonts w:ascii="Times New Roman" w:hAnsi="Times New Roman" w:cs="Times New Roman"/>
                <w:sz w:val="14"/>
                <w:szCs w:val="14"/>
                <w:lang w:eastAsia="sk-SK"/>
              </w:rPr>
              <w:t>Príjmy</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C3B48" w:rsidRDefault="002E52A8" w:rsidP="00C72F49">
            <w:pPr>
              <w:jc w:val="right"/>
              <w:rPr>
                <w:rFonts w:ascii="Times New Roman" w:hAnsi="Times New Roman" w:cs="Times New Roman"/>
                <w:sz w:val="14"/>
                <w:szCs w:val="14"/>
                <w:lang w:eastAsia="sk-SK"/>
              </w:rPr>
            </w:pPr>
            <w:r w:rsidRPr="002C3B48">
              <w:rPr>
                <w:rFonts w:ascii="Times New Roman" w:hAnsi="Times New Roman" w:cs="Times New Roman"/>
                <w:sz w:val="14"/>
                <w:szCs w:val="14"/>
                <w:lang w:eastAsia="sk-SK"/>
              </w:rPr>
              <w:t>1 296 997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C3B48" w:rsidRDefault="002E52A8" w:rsidP="00C72F49">
            <w:pPr>
              <w:jc w:val="right"/>
              <w:rPr>
                <w:rFonts w:ascii="Times New Roman" w:hAnsi="Times New Roman" w:cs="Times New Roman"/>
                <w:sz w:val="14"/>
                <w:szCs w:val="14"/>
                <w:lang w:eastAsia="sk-SK"/>
              </w:rPr>
            </w:pPr>
            <w:r w:rsidRPr="002C3B48">
              <w:rPr>
                <w:rFonts w:ascii="Times New Roman" w:hAnsi="Times New Roman" w:cs="Times New Roman"/>
                <w:sz w:val="14"/>
                <w:szCs w:val="14"/>
                <w:lang w:eastAsia="sk-SK"/>
              </w:rPr>
              <w:t>1 336 851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C3B48" w:rsidRDefault="002E52A8" w:rsidP="00C72F49">
            <w:pPr>
              <w:jc w:val="right"/>
              <w:rPr>
                <w:rFonts w:ascii="Times New Roman" w:hAnsi="Times New Roman" w:cs="Times New Roman"/>
                <w:sz w:val="14"/>
                <w:szCs w:val="14"/>
                <w:lang w:eastAsia="sk-SK"/>
              </w:rPr>
            </w:pPr>
            <w:r w:rsidRPr="002C3B48">
              <w:rPr>
                <w:rFonts w:ascii="Times New Roman" w:hAnsi="Times New Roman" w:cs="Times New Roman"/>
                <w:sz w:val="14"/>
                <w:szCs w:val="14"/>
                <w:lang w:eastAsia="sk-SK"/>
              </w:rPr>
              <w:t>1 309 779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C3B48" w:rsidRDefault="002E52A8" w:rsidP="00C72F49">
            <w:pPr>
              <w:jc w:val="right"/>
              <w:rPr>
                <w:rFonts w:ascii="Times New Roman" w:hAnsi="Times New Roman" w:cs="Times New Roman"/>
                <w:sz w:val="14"/>
                <w:szCs w:val="14"/>
                <w:lang w:eastAsia="sk-SK"/>
              </w:rPr>
            </w:pPr>
            <w:r w:rsidRPr="002C3B48">
              <w:rPr>
                <w:rFonts w:ascii="Times New Roman" w:hAnsi="Times New Roman" w:cs="Times New Roman"/>
                <w:sz w:val="14"/>
                <w:szCs w:val="14"/>
                <w:lang w:eastAsia="sk-SK"/>
              </w:rPr>
              <w:t>1 200 164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C3B48" w:rsidRDefault="002E52A8" w:rsidP="00C72F49">
            <w:pPr>
              <w:jc w:val="right"/>
              <w:rPr>
                <w:rFonts w:ascii="Times New Roman" w:hAnsi="Times New Roman" w:cs="Times New Roman"/>
                <w:sz w:val="14"/>
                <w:szCs w:val="14"/>
                <w:lang w:eastAsia="sk-SK"/>
              </w:rPr>
            </w:pPr>
            <w:r w:rsidRPr="002C3B48">
              <w:rPr>
                <w:rFonts w:ascii="Times New Roman" w:hAnsi="Times New Roman" w:cs="Times New Roman"/>
                <w:sz w:val="14"/>
                <w:szCs w:val="14"/>
                <w:lang w:eastAsia="sk-SK"/>
              </w:rPr>
              <w:t>1 150 919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C3B48" w:rsidRDefault="002E52A8" w:rsidP="00C72F49">
            <w:pPr>
              <w:jc w:val="right"/>
              <w:rPr>
                <w:rFonts w:ascii="Times New Roman" w:hAnsi="Times New Roman" w:cs="Times New Roman"/>
                <w:sz w:val="14"/>
                <w:szCs w:val="14"/>
                <w:lang w:eastAsia="sk-SK"/>
              </w:rPr>
            </w:pPr>
            <w:r w:rsidRPr="002C3B48">
              <w:rPr>
                <w:rFonts w:ascii="Times New Roman" w:hAnsi="Times New Roman" w:cs="Times New Roman"/>
                <w:sz w:val="14"/>
                <w:szCs w:val="14"/>
                <w:lang w:eastAsia="sk-SK"/>
              </w:rPr>
              <w:t>1 177 444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C3B48" w:rsidRDefault="002E52A8" w:rsidP="00C72F49">
            <w:pPr>
              <w:jc w:val="right"/>
              <w:rPr>
                <w:rFonts w:ascii="Times New Roman" w:hAnsi="Times New Roman" w:cs="Times New Roman"/>
                <w:sz w:val="14"/>
                <w:szCs w:val="14"/>
                <w:lang w:eastAsia="sk-SK"/>
              </w:rPr>
            </w:pPr>
            <w:r w:rsidRPr="002C3B48">
              <w:rPr>
                <w:rFonts w:ascii="Times New Roman" w:hAnsi="Times New Roman" w:cs="Times New Roman"/>
                <w:sz w:val="14"/>
                <w:szCs w:val="14"/>
                <w:lang w:eastAsia="sk-SK"/>
              </w:rPr>
              <w:t>1 232 653</w:t>
            </w:r>
          </w:p>
        </w:tc>
      </w:tr>
      <w:tr w:rsidR="002E52A8" w:rsidRPr="002C3B48" w:rsidTr="00C72F49">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2E52A8" w:rsidRPr="002C3B48" w:rsidRDefault="002E52A8" w:rsidP="00C72F49">
            <w:pPr>
              <w:rPr>
                <w:rFonts w:ascii="Times New Roman" w:hAnsi="Times New Roman" w:cs="Times New Roman"/>
                <w:sz w:val="14"/>
                <w:szCs w:val="14"/>
                <w:lang w:eastAsia="sk-SK"/>
              </w:rPr>
            </w:pPr>
            <w:r w:rsidRPr="002C3B48">
              <w:rPr>
                <w:rFonts w:ascii="Times New Roman" w:hAnsi="Times New Roman" w:cs="Times New Roman"/>
                <w:sz w:val="14"/>
                <w:szCs w:val="14"/>
                <w:lang w:eastAsia="sk-SK"/>
              </w:rPr>
              <w:t>Výdavky</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C3B48" w:rsidRDefault="002E52A8" w:rsidP="00C72F49">
            <w:pPr>
              <w:jc w:val="right"/>
              <w:rPr>
                <w:rFonts w:ascii="Times New Roman" w:hAnsi="Times New Roman" w:cs="Times New Roman"/>
                <w:sz w:val="14"/>
                <w:szCs w:val="14"/>
                <w:lang w:eastAsia="sk-SK"/>
              </w:rPr>
            </w:pPr>
            <w:r w:rsidRPr="002C3B48">
              <w:rPr>
                <w:rFonts w:ascii="Times New Roman" w:hAnsi="Times New Roman" w:cs="Times New Roman"/>
                <w:sz w:val="14"/>
                <w:szCs w:val="14"/>
                <w:lang w:eastAsia="sk-SK"/>
              </w:rPr>
              <w:t>1 418 524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C3B48" w:rsidRDefault="002E52A8" w:rsidP="00C72F49">
            <w:pPr>
              <w:jc w:val="right"/>
              <w:rPr>
                <w:rFonts w:ascii="Times New Roman" w:hAnsi="Times New Roman" w:cs="Times New Roman"/>
                <w:sz w:val="14"/>
                <w:szCs w:val="14"/>
                <w:lang w:eastAsia="sk-SK"/>
              </w:rPr>
            </w:pPr>
            <w:r w:rsidRPr="002C3B48">
              <w:rPr>
                <w:rFonts w:ascii="Times New Roman" w:hAnsi="Times New Roman" w:cs="Times New Roman"/>
                <w:sz w:val="14"/>
                <w:szCs w:val="14"/>
                <w:lang w:eastAsia="sk-SK"/>
              </w:rPr>
              <w:t>1 387 632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C3B48" w:rsidRDefault="002E52A8" w:rsidP="00C72F49">
            <w:pPr>
              <w:jc w:val="right"/>
              <w:rPr>
                <w:rFonts w:ascii="Times New Roman" w:hAnsi="Times New Roman" w:cs="Times New Roman"/>
                <w:sz w:val="14"/>
                <w:szCs w:val="14"/>
                <w:lang w:eastAsia="sk-SK"/>
              </w:rPr>
            </w:pPr>
            <w:r w:rsidRPr="002C3B48">
              <w:rPr>
                <w:rFonts w:ascii="Times New Roman" w:hAnsi="Times New Roman" w:cs="Times New Roman"/>
                <w:sz w:val="14"/>
                <w:szCs w:val="14"/>
                <w:lang w:eastAsia="sk-SK"/>
              </w:rPr>
              <w:t>1 134 352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C3B48" w:rsidRDefault="002E52A8" w:rsidP="00C72F49">
            <w:pPr>
              <w:jc w:val="right"/>
              <w:rPr>
                <w:rFonts w:ascii="Times New Roman" w:hAnsi="Times New Roman" w:cs="Times New Roman"/>
                <w:sz w:val="14"/>
                <w:szCs w:val="14"/>
                <w:lang w:eastAsia="sk-SK"/>
              </w:rPr>
            </w:pPr>
            <w:r w:rsidRPr="002C3B48">
              <w:rPr>
                <w:rFonts w:ascii="Times New Roman" w:hAnsi="Times New Roman" w:cs="Times New Roman"/>
                <w:sz w:val="14"/>
                <w:szCs w:val="14"/>
                <w:lang w:eastAsia="sk-SK"/>
              </w:rPr>
              <w:t>1 124 216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C3B48" w:rsidRDefault="002E52A8" w:rsidP="00C72F49">
            <w:pPr>
              <w:jc w:val="right"/>
              <w:rPr>
                <w:rFonts w:ascii="Times New Roman" w:hAnsi="Times New Roman" w:cs="Times New Roman"/>
                <w:sz w:val="14"/>
                <w:szCs w:val="14"/>
                <w:lang w:eastAsia="sk-SK"/>
              </w:rPr>
            </w:pPr>
            <w:r w:rsidRPr="002C3B48">
              <w:rPr>
                <w:rFonts w:ascii="Times New Roman" w:hAnsi="Times New Roman" w:cs="Times New Roman"/>
                <w:sz w:val="14"/>
                <w:szCs w:val="14"/>
                <w:lang w:eastAsia="sk-SK"/>
              </w:rPr>
              <w:t>1 147 372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C3B48" w:rsidRDefault="002E52A8" w:rsidP="00C72F49">
            <w:pPr>
              <w:jc w:val="right"/>
              <w:rPr>
                <w:rFonts w:ascii="Times New Roman" w:hAnsi="Times New Roman" w:cs="Times New Roman"/>
                <w:sz w:val="14"/>
                <w:szCs w:val="14"/>
                <w:lang w:eastAsia="sk-SK"/>
              </w:rPr>
            </w:pPr>
            <w:r w:rsidRPr="002C3B48">
              <w:rPr>
                <w:rFonts w:ascii="Times New Roman" w:hAnsi="Times New Roman" w:cs="Times New Roman"/>
                <w:sz w:val="14"/>
                <w:szCs w:val="14"/>
                <w:lang w:eastAsia="sk-SK"/>
              </w:rPr>
              <w:t>1 137 742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2C3B48" w:rsidRDefault="002E52A8" w:rsidP="00C72F49">
            <w:pPr>
              <w:jc w:val="right"/>
              <w:rPr>
                <w:rFonts w:ascii="Times New Roman" w:hAnsi="Times New Roman" w:cs="Times New Roman"/>
                <w:sz w:val="14"/>
                <w:szCs w:val="14"/>
                <w:lang w:eastAsia="sk-SK"/>
              </w:rPr>
            </w:pPr>
            <w:r w:rsidRPr="002C3B48">
              <w:rPr>
                <w:rFonts w:ascii="Times New Roman" w:hAnsi="Times New Roman" w:cs="Times New Roman"/>
                <w:sz w:val="14"/>
                <w:szCs w:val="14"/>
                <w:lang w:eastAsia="sk-SK"/>
              </w:rPr>
              <w:t>1 088 515</w:t>
            </w:r>
          </w:p>
        </w:tc>
      </w:tr>
      <w:tr w:rsidR="002E52A8" w:rsidRPr="002C3B48" w:rsidTr="00C72F49">
        <w:trPr>
          <w:trHeight w:val="270"/>
          <w:jc w:val="center"/>
        </w:trPr>
        <w:tc>
          <w:tcPr>
            <w:tcW w:w="3339" w:type="dxa"/>
            <w:tcBorders>
              <w:top w:val="nil"/>
              <w:left w:val="single" w:sz="4" w:space="0" w:color="auto"/>
              <w:bottom w:val="single" w:sz="4" w:space="0" w:color="auto"/>
              <w:right w:val="single" w:sz="4" w:space="0" w:color="auto"/>
            </w:tcBorders>
            <w:shd w:val="clear" w:color="000000" w:fill="BFBFBF"/>
            <w:noWrap/>
            <w:vAlign w:val="center"/>
            <w:hideMark/>
          </w:tcPr>
          <w:p w:rsidR="002E52A8" w:rsidRPr="002C3B48" w:rsidRDefault="002E52A8" w:rsidP="00C72F49">
            <w:pPr>
              <w:rPr>
                <w:rFonts w:ascii="Times New Roman" w:hAnsi="Times New Roman" w:cs="Times New Roman"/>
                <w:b/>
                <w:bCs/>
                <w:sz w:val="14"/>
                <w:szCs w:val="14"/>
                <w:lang w:eastAsia="sk-SK"/>
              </w:rPr>
            </w:pPr>
            <w:r w:rsidRPr="002C3B48">
              <w:rPr>
                <w:rFonts w:ascii="Times New Roman" w:hAnsi="Times New Roman" w:cs="Times New Roman"/>
                <w:b/>
                <w:bCs/>
                <w:sz w:val="14"/>
                <w:szCs w:val="14"/>
                <w:lang w:eastAsia="sk-SK"/>
              </w:rPr>
              <w:t>Prebytok / Schodok</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2C3B48" w:rsidRDefault="002E52A8" w:rsidP="00C72F49">
            <w:pPr>
              <w:jc w:val="right"/>
              <w:rPr>
                <w:rFonts w:ascii="Times New Roman" w:hAnsi="Times New Roman" w:cs="Times New Roman"/>
                <w:b/>
                <w:bCs/>
                <w:sz w:val="14"/>
                <w:szCs w:val="14"/>
                <w:lang w:eastAsia="sk-SK"/>
              </w:rPr>
            </w:pPr>
            <w:r w:rsidRPr="002C3B48">
              <w:rPr>
                <w:rFonts w:ascii="Times New Roman" w:hAnsi="Times New Roman" w:cs="Times New Roman"/>
                <w:b/>
                <w:bCs/>
                <w:sz w:val="14"/>
                <w:szCs w:val="14"/>
                <w:lang w:eastAsia="sk-SK"/>
              </w:rPr>
              <w:t>-121 527</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2C3B48" w:rsidRDefault="002E52A8" w:rsidP="00C72F49">
            <w:pPr>
              <w:jc w:val="right"/>
              <w:rPr>
                <w:rFonts w:ascii="Times New Roman" w:hAnsi="Times New Roman" w:cs="Times New Roman"/>
                <w:b/>
                <w:bCs/>
                <w:sz w:val="14"/>
                <w:szCs w:val="14"/>
                <w:lang w:eastAsia="sk-SK"/>
              </w:rPr>
            </w:pPr>
            <w:r w:rsidRPr="002C3B48">
              <w:rPr>
                <w:rFonts w:ascii="Times New Roman" w:hAnsi="Times New Roman" w:cs="Times New Roman"/>
                <w:b/>
                <w:bCs/>
                <w:sz w:val="14"/>
                <w:szCs w:val="14"/>
                <w:lang w:eastAsia="sk-SK"/>
              </w:rPr>
              <w:t>-50 781</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2C3B48" w:rsidRDefault="002E52A8" w:rsidP="00C72F49">
            <w:pPr>
              <w:jc w:val="right"/>
              <w:rPr>
                <w:rFonts w:ascii="Times New Roman" w:hAnsi="Times New Roman" w:cs="Times New Roman"/>
                <w:b/>
                <w:bCs/>
                <w:sz w:val="14"/>
                <w:szCs w:val="14"/>
                <w:lang w:eastAsia="sk-SK"/>
              </w:rPr>
            </w:pPr>
            <w:r w:rsidRPr="002C3B48">
              <w:rPr>
                <w:rFonts w:ascii="Times New Roman" w:hAnsi="Times New Roman" w:cs="Times New Roman"/>
                <w:b/>
                <w:bCs/>
                <w:sz w:val="14"/>
                <w:szCs w:val="14"/>
                <w:lang w:eastAsia="sk-SK"/>
              </w:rPr>
              <w:t>175 427</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2C3B48" w:rsidRDefault="002E52A8" w:rsidP="00C72F49">
            <w:pPr>
              <w:jc w:val="right"/>
              <w:rPr>
                <w:rFonts w:ascii="Times New Roman" w:hAnsi="Times New Roman" w:cs="Times New Roman"/>
                <w:b/>
                <w:bCs/>
                <w:sz w:val="14"/>
                <w:szCs w:val="14"/>
                <w:lang w:eastAsia="sk-SK"/>
              </w:rPr>
            </w:pPr>
            <w:r w:rsidRPr="002C3B48">
              <w:rPr>
                <w:rFonts w:ascii="Times New Roman" w:hAnsi="Times New Roman" w:cs="Times New Roman"/>
                <w:b/>
                <w:bCs/>
                <w:sz w:val="14"/>
                <w:szCs w:val="14"/>
                <w:lang w:eastAsia="sk-SK"/>
              </w:rPr>
              <w:t>75 948</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2C3B48" w:rsidRDefault="002E52A8" w:rsidP="00C72F49">
            <w:pPr>
              <w:jc w:val="right"/>
              <w:rPr>
                <w:rFonts w:ascii="Times New Roman" w:hAnsi="Times New Roman" w:cs="Times New Roman"/>
                <w:b/>
                <w:bCs/>
                <w:sz w:val="14"/>
                <w:szCs w:val="14"/>
                <w:lang w:eastAsia="sk-SK"/>
              </w:rPr>
            </w:pPr>
            <w:r w:rsidRPr="002C3B48">
              <w:rPr>
                <w:rFonts w:ascii="Times New Roman" w:hAnsi="Times New Roman" w:cs="Times New Roman"/>
                <w:b/>
                <w:bCs/>
                <w:sz w:val="14"/>
                <w:szCs w:val="14"/>
                <w:lang w:eastAsia="sk-SK"/>
              </w:rPr>
              <w:t>3 547</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2C3B48" w:rsidRDefault="002E52A8" w:rsidP="00C72F49">
            <w:pPr>
              <w:jc w:val="right"/>
              <w:rPr>
                <w:rFonts w:ascii="Times New Roman" w:hAnsi="Times New Roman" w:cs="Times New Roman"/>
                <w:b/>
                <w:bCs/>
                <w:sz w:val="14"/>
                <w:szCs w:val="14"/>
                <w:lang w:eastAsia="sk-SK"/>
              </w:rPr>
            </w:pPr>
            <w:r w:rsidRPr="002C3B48">
              <w:rPr>
                <w:rFonts w:ascii="Times New Roman" w:hAnsi="Times New Roman" w:cs="Times New Roman"/>
                <w:b/>
                <w:bCs/>
                <w:sz w:val="14"/>
                <w:szCs w:val="14"/>
                <w:lang w:eastAsia="sk-SK"/>
              </w:rPr>
              <w:t>39 702</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2C3B48" w:rsidRDefault="002E52A8" w:rsidP="00C72F49">
            <w:pPr>
              <w:jc w:val="right"/>
              <w:rPr>
                <w:rFonts w:ascii="Times New Roman" w:hAnsi="Times New Roman" w:cs="Times New Roman"/>
                <w:b/>
                <w:bCs/>
                <w:sz w:val="14"/>
                <w:szCs w:val="14"/>
                <w:lang w:eastAsia="sk-SK"/>
              </w:rPr>
            </w:pPr>
            <w:r w:rsidRPr="002C3B48">
              <w:rPr>
                <w:rFonts w:ascii="Times New Roman" w:hAnsi="Times New Roman" w:cs="Times New Roman"/>
                <w:b/>
                <w:bCs/>
                <w:sz w:val="14"/>
                <w:szCs w:val="14"/>
                <w:lang w:eastAsia="sk-SK"/>
              </w:rPr>
              <w:t>144 138</w:t>
            </w:r>
          </w:p>
        </w:tc>
      </w:tr>
    </w:tbl>
    <w:p w:rsidR="002E52A8" w:rsidRDefault="002E52A8" w:rsidP="002E52A8">
      <w:pPr>
        <w:jc w:val="both"/>
        <w:rPr>
          <w:rFonts w:ascii="Times New Roman" w:hAnsi="Times New Roman"/>
        </w:rPr>
      </w:pPr>
    </w:p>
    <w:p w:rsidR="002E52A8" w:rsidRPr="006C7080" w:rsidRDefault="002E52A8" w:rsidP="009E69A1">
      <w:pPr>
        <w:ind w:firstLine="708"/>
        <w:jc w:val="both"/>
        <w:rPr>
          <w:rFonts w:ascii="Times New Roman" w:hAnsi="Times New Roman"/>
        </w:rPr>
      </w:pPr>
      <w:r w:rsidRPr="006C7080">
        <w:rPr>
          <w:rFonts w:ascii="Times New Roman" w:hAnsi="Times New Roman"/>
        </w:rPr>
        <w:t>Ministerstvo financií SR, ako správca vládnych pohľadávok a záväzkov Slovenskej republiky v zahraničí, je v zmluvnom vzťahu s Československou obchodnou bankou, a.</w:t>
      </w:r>
      <w:r>
        <w:rPr>
          <w:rFonts w:ascii="Times New Roman" w:hAnsi="Times New Roman"/>
        </w:rPr>
        <w:t xml:space="preserve"> </w:t>
      </w:r>
      <w:r w:rsidRPr="006C7080">
        <w:rPr>
          <w:rFonts w:ascii="Times New Roman" w:hAnsi="Times New Roman"/>
        </w:rPr>
        <w:t>s. Praha a Národnou bankou Slovenska, ktoré pre Ministerstvo financií SR poskytujú bankovo-technické služby v súvislosti s administráciou a vedením účtov pohľadávok a záväzkov Slovenskej republiky v zahraničí a vykonávajú činnosti spojené s ich vysporiadaním. V rámci výdavkov „štátneho dlhu“ sa zo štátneho rozpočtu hradia poplatky týmto bankám, ktoré sa v celom rozpočtovom rámci uvažujú na úrovni 270 tis. eur ročne.</w:t>
      </w:r>
    </w:p>
    <w:p w:rsidR="002E52A8" w:rsidRPr="00832237" w:rsidRDefault="002E52A8" w:rsidP="002E52A8">
      <w:pPr>
        <w:jc w:val="both"/>
        <w:rPr>
          <w:rFonts w:ascii="Times New Roman" w:hAnsi="Times New Roman"/>
          <w:szCs w:val="16"/>
        </w:rPr>
      </w:pPr>
    </w:p>
    <w:p w:rsidR="002E52A8" w:rsidRDefault="002E52A8" w:rsidP="002E52A8">
      <w:pPr>
        <w:jc w:val="both"/>
        <w:rPr>
          <w:rFonts w:ascii="Times New Roman" w:hAnsi="Times New Roman"/>
        </w:rPr>
      </w:pPr>
      <w:r w:rsidRPr="00832237">
        <w:rPr>
          <w:rFonts w:ascii="Times New Roman" w:hAnsi="Times New Roman"/>
        </w:rPr>
        <w:t>2.3.3.</w:t>
      </w:r>
      <w:r w:rsidRPr="00832237">
        <w:rPr>
          <w:rFonts w:ascii="Times New Roman" w:hAnsi="Times New Roman"/>
        </w:rPr>
        <w:tab/>
        <w:t xml:space="preserve">Časové rozlíšenie daňových príjmov štátneho rozpočtu </w:t>
      </w:r>
      <w:r w:rsidRPr="00C630E3">
        <w:rPr>
          <w:rFonts w:ascii="Times New Roman" w:hAnsi="Times New Roman"/>
        </w:rPr>
        <w:t>(časť 3.2. Akruálne dane pre návrh rozpo</w:t>
      </w:r>
      <w:r>
        <w:rPr>
          <w:rFonts w:ascii="Times New Roman" w:hAnsi="Times New Roman"/>
        </w:rPr>
        <w:t>čtu verejnej správy na roky 2018</w:t>
      </w:r>
      <w:r w:rsidRPr="00C630E3">
        <w:rPr>
          <w:rFonts w:ascii="Times New Roman" w:hAnsi="Times New Roman"/>
        </w:rPr>
        <w:t xml:space="preserve"> až 20</w:t>
      </w:r>
      <w:r>
        <w:rPr>
          <w:rFonts w:ascii="Times New Roman" w:hAnsi="Times New Roman"/>
        </w:rPr>
        <w:t>20</w:t>
      </w:r>
      <w:r w:rsidRPr="00C630E3">
        <w:rPr>
          <w:rFonts w:ascii="Times New Roman" w:hAnsi="Times New Roman"/>
        </w:rPr>
        <w:t>) je ďalším faktorom</w:t>
      </w:r>
      <w:r w:rsidRPr="00832237">
        <w:rPr>
          <w:rFonts w:ascii="Times New Roman" w:hAnsi="Times New Roman"/>
        </w:rPr>
        <w:t>, ktorý ovplyvňuje schodok štátneho rozpočtu. Ide o rozdiel hotovostných a akruálnych daní, ako aj výdavkov určených na verejnoprospešný účel (2 %).</w:t>
      </w:r>
    </w:p>
    <w:p w:rsidR="002E52A8" w:rsidRPr="00832237" w:rsidRDefault="002E52A8" w:rsidP="002E52A8">
      <w:pPr>
        <w:jc w:val="both"/>
        <w:rPr>
          <w:rFonts w:ascii="Times New Roman" w:hAnsi="Times New Roman"/>
          <w:sz w:val="16"/>
          <w:szCs w:val="16"/>
        </w:rPr>
      </w:pPr>
    </w:p>
    <w:tbl>
      <w:tblPr>
        <w:tblW w:w="9079" w:type="dxa"/>
        <w:jc w:val="center"/>
        <w:tblCellMar>
          <w:left w:w="70" w:type="dxa"/>
          <w:right w:w="70" w:type="dxa"/>
        </w:tblCellMar>
        <w:tblLook w:val="04A0" w:firstRow="1" w:lastRow="0" w:firstColumn="1" w:lastColumn="0" w:noHBand="0" w:noVBand="1"/>
      </w:tblPr>
      <w:tblGrid>
        <w:gridCol w:w="3339"/>
        <w:gridCol w:w="820"/>
        <w:gridCol w:w="820"/>
        <w:gridCol w:w="820"/>
        <w:gridCol w:w="820"/>
        <w:gridCol w:w="820"/>
        <w:gridCol w:w="820"/>
        <w:gridCol w:w="820"/>
      </w:tblGrid>
      <w:tr w:rsidR="002E52A8" w:rsidRPr="00F1229A" w:rsidTr="00C72F49">
        <w:trPr>
          <w:trHeight w:val="435"/>
          <w:jc w:val="center"/>
        </w:trPr>
        <w:tc>
          <w:tcPr>
            <w:tcW w:w="3339" w:type="dxa"/>
            <w:tcBorders>
              <w:top w:val="single" w:sz="4" w:space="0" w:color="auto"/>
              <w:left w:val="single" w:sz="4" w:space="0" w:color="auto"/>
              <w:bottom w:val="single" w:sz="4" w:space="0" w:color="auto"/>
              <w:right w:val="nil"/>
            </w:tcBorders>
            <w:shd w:val="clear" w:color="000000" w:fill="A6A6A6"/>
            <w:vAlign w:val="center"/>
            <w:hideMark/>
          </w:tcPr>
          <w:p w:rsidR="002E52A8" w:rsidRPr="00F1229A" w:rsidRDefault="002E52A8" w:rsidP="00C72F49">
            <w:pPr>
              <w:rPr>
                <w:rFonts w:ascii="Times New Roman" w:hAnsi="Times New Roman" w:cs="Times New Roman"/>
                <w:b/>
                <w:bCs/>
                <w:sz w:val="14"/>
                <w:szCs w:val="14"/>
                <w:lang w:eastAsia="sk-SK"/>
              </w:rPr>
            </w:pPr>
            <w:r w:rsidRPr="00F1229A">
              <w:rPr>
                <w:rFonts w:ascii="Times New Roman" w:hAnsi="Times New Roman" w:cs="Times New Roman"/>
                <w:b/>
                <w:bCs/>
                <w:sz w:val="14"/>
                <w:szCs w:val="14"/>
                <w:lang w:eastAsia="sk-SK"/>
              </w:rPr>
              <w:t>Daňové príjmy štátneho rozpočtu</w:t>
            </w:r>
            <w:r w:rsidRPr="00F1229A">
              <w:rPr>
                <w:rFonts w:ascii="Times New Roman" w:hAnsi="Times New Roman" w:cs="Times New Roman"/>
                <w:b/>
                <w:bCs/>
                <w:sz w:val="14"/>
                <w:szCs w:val="14"/>
                <w:lang w:eastAsia="sk-SK"/>
              </w:rPr>
              <w:br/>
            </w:r>
            <w:r w:rsidRPr="009E69A1">
              <w:rPr>
                <w:rFonts w:ascii="Times New Roman" w:hAnsi="Times New Roman" w:cs="Times New Roman"/>
                <w:b/>
                <w:sz w:val="14"/>
                <w:szCs w:val="14"/>
                <w:lang w:eastAsia="sk-SK"/>
              </w:rPr>
              <w:t>(v tis. eur)</w:t>
            </w:r>
          </w:p>
        </w:tc>
        <w:tc>
          <w:tcPr>
            <w:tcW w:w="82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E52A8" w:rsidRPr="00F1229A" w:rsidRDefault="002E52A8" w:rsidP="00C72F49">
            <w:pPr>
              <w:jc w:val="center"/>
              <w:rPr>
                <w:rFonts w:ascii="Times New Roman" w:hAnsi="Times New Roman" w:cs="Times New Roman"/>
                <w:b/>
                <w:bCs/>
                <w:sz w:val="14"/>
                <w:szCs w:val="14"/>
                <w:lang w:eastAsia="sk-SK"/>
              </w:rPr>
            </w:pPr>
            <w:r w:rsidRPr="00F1229A">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F1229A" w:rsidRDefault="002E52A8" w:rsidP="00C72F49">
            <w:pPr>
              <w:jc w:val="center"/>
              <w:rPr>
                <w:rFonts w:ascii="Times New Roman" w:hAnsi="Times New Roman" w:cs="Times New Roman"/>
                <w:b/>
                <w:bCs/>
                <w:sz w:val="14"/>
                <w:szCs w:val="14"/>
                <w:lang w:eastAsia="sk-SK"/>
              </w:rPr>
            </w:pPr>
            <w:r w:rsidRPr="00F1229A">
              <w:rPr>
                <w:rFonts w:ascii="Times New Roman" w:hAnsi="Times New Roman" w:cs="Times New Roman"/>
                <w:b/>
                <w:bCs/>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F1229A" w:rsidRDefault="002E52A8" w:rsidP="00C72F49">
            <w:pPr>
              <w:jc w:val="center"/>
              <w:rPr>
                <w:rFonts w:ascii="Times New Roman" w:hAnsi="Times New Roman" w:cs="Times New Roman"/>
                <w:b/>
                <w:bCs/>
                <w:sz w:val="14"/>
                <w:szCs w:val="14"/>
                <w:lang w:eastAsia="sk-SK"/>
              </w:rPr>
            </w:pPr>
            <w:r w:rsidRPr="00F1229A">
              <w:rPr>
                <w:rFonts w:ascii="Times New Roman" w:hAnsi="Times New Roman" w:cs="Times New Roman"/>
                <w:b/>
                <w:bCs/>
                <w:sz w:val="14"/>
                <w:szCs w:val="14"/>
                <w:lang w:eastAsia="sk-SK"/>
              </w:rPr>
              <w:t>2017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F1229A" w:rsidRDefault="002E52A8" w:rsidP="00C72F49">
            <w:pPr>
              <w:jc w:val="center"/>
              <w:rPr>
                <w:rFonts w:ascii="Times New Roman" w:hAnsi="Times New Roman" w:cs="Times New Roman"/>
                <w:b/>
                <w:bCs/>
                <w:sz w:val="14"/>
                <w:szCs w:val="14"/>
                <w:lang w:eastAsia="sk-SK"/>
              </w:rPr>
            </w:pPr>
            <w:r w:rsidRPr="00F1229A">
              <w:rPr>
                <w:rFonts w:ascii="Times New Roman" w:hAnsi="Times New Roman" w:cs="Times New Roman"/>
                <w:b/>
                <w:bCs/>
                <w:sz w:val="14"/>
                <w:szCs w:val="14"/>
                <w:lang w:eastAsia="sk-SK"/>
              </w:rPr>
              <w:t>2017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F1229A" w:rsidRDefault="002E52A8" w:rsidP="00C72F49">
            <w:pPr>
              <w:jc w:val="center"/>
              <w:rPr>
                <w:rFonts w:ascii="Times New Roman" w:hAnsi="Times New Roman" w:cs="Times New Roman"/>
                <w:b/>
                <w:bCs/>
                <w:sz w:val="14"/>
                <w:szCs w:val="14"/>
                <w:lang w:eastAsia="sk-SK"/>
              </w:rPr>
            </w:pPr>
            <w:r w:rsidRPr="00F1229A">
              <w:rPr>
                <w:rFonts w:ascii="Times New Roman" w:hAnsi="Times New Roman" w:cs="Times New Roman"/>
                <w:b/>
                <w:bCs/>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F1229A" w:rsidRDefault="002E52A8" w:rsidP="00C72F49">
            <w:pPr>
              <w:jc w:val="center"/>
              <w:rPr>
                <w:rFonts w:ascii="Times New Roman" w:hAnsi="Times New Roman" w:cs="Times New Roman"/>
                <w:b/>
                <w:bCs/>
                <w:sz w:val="14"/>
                <w:szCs w:val="14"/>
                <w:lang w:eastAsia="sk-SK"/>
              </w:rPr>
            </w:pPr>
            <w:r w:rsidRPr="00F1229A">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F1229A" w:rsidRDefault="002E52A8" w:rsidP="00C72F49">
            <w:pPr>
              <w:jc w:val="center"/>
              <w:rPr>
                <w:rFonts w:ascii="Times New Roman" w:hAnsi="Times New Roman" w:cs="Times New Roman"/>
                <w:b/>
                <w:bCs/>
                <w:sz w:val="14"/>
                <w:szCs w:val="14"/>
                <w:lang w:eastAsia="sk-SK"/>
              </w:rPr>
            </w:pPr>
            <w:r w:rsidRPr="00F1229A">
              <w:rPr>
                <w:rFonts w:ascii="Times New Roman" w:hAnsi="Times New Roman" w:cs="Times New Roman"/>
                <w:b/>
                <w:bCs/>
                <w:sz w:val="14"/>
                <w:szCs w:val="14"/>
                <w:lang w:eastAsia="sk-SK"/>
              </w:rPr>
              <w:t>2020 N</w:t>
            </w:r>
          </w:p>
        </w:tc>
      </w:tr>
      <w:tr w:rsidR="002E52A8" w:rsidRPr="00F1229A" w:rsidTr="00C72F49">
        <w:trPr>
          <w:trHeight w:val="255"/>
          <w:jc w:val="center"/>
        </w:trPr>
        <w:tc>
          <w:tcPr>
            <w:tcW w:w="3339" w:type="dxa"/>
            <w:tcBorders>
              <w:top w:val="nil"/>
              <w:left w:val="single" w:sz="4" w:space="0" w:color="auto"/>
              <w:bottom w:val="single" w:sz="4" w:space="0" w:color="auto"/>
              <w:right w:val="nil"/>
            </w:tcBorders>
            <w:shd w:val="clear" w:color="auto" w:fill="auto"/>
            <w:noWrap/>
            <w:vAlign w:val="center"/>
            <w:hideMark/>
          </w:tcPr>
          <w:p w:rsidR="002E52A8" w:rsidRPr="00F1229A" w:rsidRDefault="002E52A8" w:rsidP="00C72F49">
            <w:pPr>
              <w:rPr>
                <w:rFonts w:ascii="Times New Roman" w:hAnsi="Times New Roman" w:cs="Times New Roman"/>
                <w:sz w:val="14"/>
                <w:szCs w:val="14"/>
                <w:lang w:eastAsia="sk-SK"/>
              </w:rPr>
            </w:pPr>
            <w:r w:rsidRPr="00F1229A">
              <w:rPr>
                <w:rFonts w:ascii="Times New Roman" w:hAnsi="Times New Roman" w:cs="Times New Roman"/>
                <w:sz w:val="14"/>
                <w:szCs w:val="14"/>
                <w:lang w:eastAsia="sk-SK"/>
              </w:rPr>
              <w:t>Akruálny princíp</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11 059 077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11 203 510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11 668 345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11 396 732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11 871 322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12 495 907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13 084 373</w:t>
            </w:r>
          </w:p>
        </w:tc>
      </w:tr>
      <w:tr w:rsidR="002E52A8" w:rsidRPr="00F1229A" w:rsidTr="00C72F49">
        <w:trPr>
          <w:trHeight w:val="255"/>
          <w:jc w:val="center"/>
        </w:trPr>
        <w:tc>
          <w:tcPr>
            <w:tcW w:w="3339" w:type="dxa"/>
            <w:tcBorders>
              <w:top w:val="nil"/>
              <w:left w:val="single" w:sz="4" w:space="0" w:color="auto"/>
              <w:bottom w:val="single" w:sz="4" w:space="0" w:color="auto"/>
              <w:right w:val="nil"/>
            </w:tcBorders>
            <w:shd w:val="clear" w:color="auto" w:fill="auto"/>
            <w:noWrap/>
            <w:vAlign w:val="center"/>
            <w:hideMark/>
          </w:tcPr>
          <w:p w:rsidR="002E52A8" w:rsidRPr="00F1229A" w:rsidRDefault="002E52A8" w:rsidP="00C72F49">
            <w:pPr>
              <w:rPr>
                <w:rFonts w:ascii="Times New Roman" w:hAnsi="Times New Roman" w:cs="Times New Roman"/>
                <w:sz w:val="14"/>
                <w:szCs w:val="14"/>
                <w:lang w:eastAsia="sk-SK"/>
              </w:rPr>
            </w:pPr>
            <w:r w:rsidRPr="00F1229A">
              <w:rPr>
                <w:rFonts w:ascii="Times New Roman" w:hAnsi="Times New Roman" w:cs="Times New Roman"/>
                <w:sz w:val="14"/>
                <w:szCs w:val="14"/>
                <w:lang w:eastAsia="sk-SK"/>
              </w:rPr>
              <w:t>Hotovostný princíp</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10 612 711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11 068 156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11 530 095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11 126 760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11 361 518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12 021 726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12 693 544</w:t>
            </w:r>
          </w:p>
        </w:tc>
      </w:tr>
      <w:tr w:rsidR="002E52A8" w:rsidRPr="00F1229A" w:rsidTr="00C72F49">
        <w:trPr>
          <w:trHeight w:val="255"/>
          <w:jc w:val="center"/>
        </w:trPr>
        <w:tc>
          <w:tcPr>
            <w:tcW w:w="3339" w:type="dxa"/>
            <w:tcBorders>
              <w:top w:val="nil"/>
              <w:left w:val="single" w:sz="4" w:space="0" w:color="auto"/>
              <w:bottom w:val="single" w:sz="4" w:space="0" w:color="auto"/>
              <w:right w:val="nil"/>
            </w:tcBorders>
            <w:shd w:val="clear" w:color="auto" w:fill="auto"/>
            <w:noWrap/>
            <w:vAlign w:val="center"/>
            <w:hideMark/>
          </w:tcPr>
          <w:p w:rsidR="002E52A8" w:rsidRPr="00F1229A" w:rsidRDefault="002E52A8" w:rsidP="00C72F49">
            <w:pPr>
              <w:rPr>
                <w:rFonts w:ascii="Times New Roman" w:hAnsi="Times New Roman" w:cs="Times New Roman"/>
                <w:sz w:val="14"/>
                <w:szCs w:val="14"/>
                <w:lang w:eastAsia="sk-SK"/>
              </w:rPr>
            </w:pPr>
            <w:r w:rsidRPr="00F1229A">
              <w:rPr>
                <w:rFonts w:ascii="Times New Roman" w:hAnsi="Times New Roman" w:cs="Times New Roman"/>
                <w:sz w:val="14"/>
                <w:szCs w:val="14"/>
                <w:lang w:eastAsia="sk-SK"/>
              </w:rPr>
              <w:t>Výdavky na verejnoprospešný účel</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56 950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61 631</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64 907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63 236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64 585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68 425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F1229A" w:rsidRDefault="002E52A8" w:rsidP="00C72F49">
            <w:pPr>
              <w:jc w:val="right"/>
              <w:rPr>
                <w:rFonts w:ascii="Times New Roman" w:hAnsi="Times New Roman" w:cs="Times New Roman"/>
                <w:sz w:val="14"/>
                <w:szCs w:val="14"/>
                <w:lang w:eastAsia="sk-SK"/>
              </w:rPr>
            </w:pPr>
            <w:r w:rsidRPr="00F1229A">
              <w:rPr>
                <w:rFonts w:ascii="Times New Roman" w:hAnsi="Times New Roman" w:cs="Times New Roman"/>
                <w:sz w:val="14"/>
                <w:szCs w:val="14"/>
                <w:lang w:eastAsia="sk-SK"/>
              </w:rPr>
              <w:t>74 222</w:t>
            </w:r>
          </w:p>
        </w:tc>
      </w:tr>
      <w:tr w:rsidR="002E52A8" w:rsidRPr="00F1229A" w:rsidTr="00C72F49">
        <w:trPr>
          <w:trHeight w:val="270"/>
          <w:jc w:val="center"/>
        </w:trPr>
        <w:tc>
          <w:tcPr>
            <w:tcW w:w="3339" w:type="dxa"/>
            <w:tcBorders>
              <w:top w:val="nil"/>
              <w:left w:val="single" w:sz="4" w:space="0" w:color="auto"/>
              <w:bottom w:val="single" w:sz="4" w:space="0" w:color="auto"/>
              <w:right w:val="nil"/>
            </w:tcBorders>
            <w:shd w:val="clear" w:color="000000" w:fill="BFBFBF"/>
            <w:noWrap/>
            <w:vAlign w:val="center"/>
            <w:hideMark/>
          </w:tcPr>
          <w:p w:rsidR="002E52A8" w:rsidRPr="00F1229A" w:rsidRDefault="002E52A8" w:rsidP="00C72F49">
            <w:pPr>
              <w:rPr>
                <w:rFonts w:ascii="Times New Roman" w:hAnsi="Times New Roman" w:cs="Times New Roman"/>
                <w:b/>
                <w:bCs/>
                <w:sz w:val="14"/>
                <w:szCs w:val="14"/>
                <w:lang w:eastAsia="sk-SK"/>
              </w:rPr>
            </w:pPr>
            <w:r w:rsidRPr="00F1229A">
              <w:rPr>
                <w:rFonts w:ascii="Times New Roman" w:hAnsi="Times New Roman" w:cs="Times New Roman"/>
                <w:b/>
                <w:bCs/>
                <w:sz w:val="14"/>
                <w:szCs w:val="14"/>
                <w:lang w:eastAsia="sk-SK"/>
              </w:rPr>
              <w:t>Rozdiel</w:t>
            </w:r>
          </w:p>
        </w:tc>
        <w:tc>
          <w:tcPr>
            <w:tcW w:w="820" w:type="dxa"/>
            <w:tcBorders>
              <w:top w:val="nil"/>
              <w:left w:val="single" w:sz="4" w:space="0" w:color="auto"/>
              <w:bottom w:val="single" w:sz="4" w:space="0" w:color="auto"/>
              <w:right w:val="single" w:sz="4" w:space="0" w:color="auto"/>
            </w:tcBorders>
            <w:shd w:val="clear" w:color="000000" w:fill="BFBFBF"/>
            <w:noWrap/>
            <w:vAlign w:val="center"/>
            <w:hideMark/>
          </w:tcPr>
          <w:p w:rsidR="002E52A8" w:rsidRPr="00F1229A" w:rsidRDefault="002E52A8" w:rsidP="00C72F49">
            <w:pPr>
              <w:jc w:val="right"/>
              <w:rPr>
                <w:rFonts w:ascii="Times New Roman" w:hAnsi="Times New Roman" w:cs="Times New Roman"/>
                <w:b/>
                <w:bCs/>
                <w:sz w:val="14"/>
                <w:szCs w:val="14"/>
                <w:lang w:eastAsia="sk-SK"/>
              </w:rPr>
            </w:pPr>
            <w:r w:rsidRPr="00F1229A">
              <w:rPr>
                <w:rFonts w:ascii="Times New Roman" w:hAnsi="Times New Roman" w:cs="Times New Roman"/>
                <w:b/>
                <w:bCs/>
                <w:sz w:val="14"/>
                <w:szCs w:val="14"/>
                <w:lang w:eastAsia="sk-SK"/>
              </w:rPr>
              <w:t>389 416</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F1229A" w:rsidRDefault="002E52A8" w:rsidP="00C72F49">
            <w:pPr>
              <w:jc w:val="right"/>
              <w:rPr>
                <w:rFonts w:ascii="Times New Roman" w:hAnsi="Times New Roman" w:cs="Times New Roman"/>
                <w:b/>
                <w:bCs/>
                <w:sz w:val="14"/>
                <w:szCs w:val="14"/>
                <w:lang w:eastAsia="sk-SK"/>
              </w:rPr>
            </w:pPr>
            <w:r w:rsidRPr="00F1229A">
              <w:rPr>
                <w:rFonts w:ascii="Times New Roman" w:hAnsi="Times New Roman" w:cs="Times New Roman"/>
                <w:b/>
                <w:bCs/>
                <w:sz w:val="14"/>
                <w:szCs w:val="14"/>
                <w:lang w:eastAsia="sk-SK"/>
              </w:rPr>
              <w:t>73 723</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F1229A" w:rsidRDefault="002E52A8" w:rsidP="00C72F49">
            <w:pPr>
              <w:jc w:val="right"/>
              <w:rPr>
                <w:rFonts w:ascii="Times New Roman" w:hAnsi="Times New Roman" w:cs="Times New Roman"/>
                <w:b/>
                <w:bCs/>
                <w:sz w:val="14"/>
                <w:szCs w:val="14"/>
                <w:lang w:eastAsia="sk-SK"/>
              </w:rPr>
            </w:pPr>
            <w:r w:rsidRPr="00F1229A">
              <w:rPr>
                <w:rFonts w:ascii="Times New Roman" w:hAnsi="Times New Roman" w:cs="Times New Roman"/>
                <w:b/>
                <w:bCs/>
                <w:sz w:val="14"/>
                <w:szCs w:val="14"/>
                <w:lang w:eastAsia="sk-SK"/>
              </w:rPr>
              <w:t>73 343</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F1229A" w:rsidRDefault="002E52A8" w:rsidP="00C72F49">
            <w:pPr>
              <w:jc w:val="right"/>
              <w:rPr>
                <w:rFonts w:ascii="Times New Roman" w:hAnsi="Times New Roman" w:cs="Times New Roman"/>
                <w:b/>
                <w:bCs/>
                <w:sz w:val="14"/>
                <w:szCs w:val="14"/>
                <w:lang w:eastAsia="sk-SK"/>
              </w:rPr>
            </w:pPr>
            <w:r w:rsidRPr="00F1229A">
              <w:rPr>
                <w:rFonts w:ascii="Times New Roman" w:hAnsi="Times New Roman" w:cs="Times New Roman"/>
                <w:b/>
                <w:bCs/>
                <w:sz w:val="14"/>
                <w:szCs w:val="14"/>
                <w:lang w:eastAsia="sk-SK"/>
              </w:rPr>
              <w:t>206 736</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F1229A" w:rsidRDefault="002E52A8" w:rsidP="00C72F49">
            <w:pPr>
              <w:jc w:val="right"/>
              <w:rPr>
                <w:rFonts w:ascii="Times New Roman" w:hAnsi="Times New Roman" w:cs="Times New Roman"/>
                <w:b/>
                <w:bCs/>
                <w:sz w:val="14"/>
                <w:szCs w:val="14"/>
                <w:lang w:eastAsia="sk-SK"/>
              </w:rPr>
            </w:pPr>
            <w:r w:rsidRPr="00F1229A">
              <w:rPr>
                <w:rFonts w:ascii="Times New Roman" w:hAnsi="Times New Roman" w:cs="Times New Roman"/>
                <w:b/>
                <w:bCs/>
                <w:sz w:val="14"/>
                <w:szCs w:val="14"/>
                <w:lang w:eastAsia="sk-SK"/>
              </w:rPr>
              <w:t>445 219</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F1229A" w:rsidRDefault="002E52A8" w:rsidP="00C72F49">
            <w:pPr>
              <w:jc w:val="right"/>
              <w:rPr>
                <w:rFonts w:ascii="Times New Roman" w:hAnsi="Times New Roman" w:cs="Times New Roman"/>
                <w:b/>
                <w:bCs/>
                <w:sz w:val="14"/>
                <w:szCs w:val="14"/>
                <w:lang w:eastAsia="sk-SK"/>
              </w:rPr>
            </w:pPr>
            <w:r w:rsidRPr="00F1229A">
              <w:rPr>
                <w:rFonts w:ascii="Times New Roman" w:hAnsi="Times New Roman" w:cs="Times New Roman"/>
                <w:b/>
                <w:bCs/>
                <w:sz w:val="14"/>
                <w:szCs w:val="14"/>
                <w:lang w:eastAsia="sk-SK"/>
              </w:rPr>
              <w:t>405 756</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F1229A" w:rsidRDefault="002E52A8" w:rsidP="00C72F49">
            <w:pPr>
              <w:jc w:val="right"/>
              <w:rPr>
                <w:rFonts w:ascii="Times New Roman" w:hAnsi="Times New Roman" w:cs="Times New Roman"/>
                <w:b/>
                <w:bCs/>
                <w:sz w:val="14"/>
                <w:szCs w:val="14"/>
                <w:lang w:eastAsia="sk-SK"/>
              </w:rPr>
            </w:pPr>
            <w:r w:rsidRPr="00F1229A">
              <w:rPr>
                <w:rFonts w:ascii="Times New Roman" w:hAnsi="Times New Roman" w:cs="Times New Roman"/>
                <w:b/>
                <w:bCs/>
                <w:sz w:val="14"/>
                <w:szCs w:val="14"/>
                <w:lang w:eastAsia="sk-SK"/>
              </w:rPr>
              <w:t>316 607</w:t>
            </w:r>
          </w:p>
        </w:tc>
      </w:tr>
      <w:tr w:rsidR="002E52A8" w:rsidRPr="00F1229A" w:rsidTr="00C72F49">
        <w:trPr>
          <w:trHeight w:val="270"/>
          <w:jc w:val="center"/>
        </w:trPr>
        <w:tc>
          <w:tcPr>
            <w:tcW w:w="8259" w:type="dxa"/>
            <w:gridSpan w:val="7"/>
            <w:tcBorders>
              <w:top w:val="single" w:sz="4" w:space="0" w:color="auto"/>
              <w:left w:val="nil"/>
              <w:bottom w:val="nil"/>
              <w:right w:val="nil"/>
            </w:tcBorders>
            <w:shd w:val="clear" w:color="auto" w:fill="auto"/>
            <w:hideMark/>
          </w:tcPr>
          <w:p w:rsidR="002E52A8" w:rsidRPr="00F1229A" w:rsidRDefault="002E52A8" w:rsidP="00C72F49">
            <w:pPr>
              <w:rPr>
                <w:rFonts w:ascii="Times New Roman" w:hAnsi="Times New Roman" w:cs="Times New Roman"/>
                <w:i/>
                <w:iCs/>
                <w:sz w:val="14"/>
                <w:szCs w:val="14"/>
                <w:lang w:eastAsia="sk-SK"/>
              </w:rPr>
            </w:pPr>
            <w:r w:rsidRPr="00F1229A">
              <w:rPr>
                <w:rFonts w:ascii="Times New Roman" w:hAnsi="Times New Roman" w:cs="Times New Roman"/>
                <w:i/>
                <w:iCs/>
                <w:sz w:val="14"/>
                <w:szCs w:val="14"/>
                <w:lang w:eastAsia="sk-SK"/>
              </w:rPr>
              <w:t>Poznámka : Z hľadiska konzistentnosti materiálu sú údaje na akruálnom aj hotovostnom princípe uvedené vrátane sankcií.</w:t>
            </w:r>
          </w:p>
        </w:tc>
        <w:tc>
          <w:tcPr>
            <w:tcW w:w="820" w:type="dxa"/>
            <w:tcBorders>
              <w:top w:val="nil"/>
              <w:left w:val="nil"/>
              <w:bottom w:val="nil"/>
              <w:right w:val="nil"/>
            </w:tcBorders>
            <w:shd w:val="clear" w:color="auto" w:fill="auto"/>
            <w:hideMark/>
          </w:tcPr>
          <w:p w:rsidR="002E52A8" w:rsidRPr="00F1229A" w:rsidRDefault="002E52A8" w:rsidP="00C72F49">
            <w:pPr>
              <w:rPr>
                <w:rFonts w:ascii="Times New Roman" w:hAnsi="Times New Roman" w:cs="Times New Roman"/>
                <w:i/>
                <w:iCs/>
                <w:sz w:val="14"/>
                <w:szCs w:val="14"/>
                <w:lang w:eastAsia="sk-SK"/>
              </w:rPr>
            </w:pPr>
          </w:p>
        </w:tc>
      </w:tr>
    </w:tbl>
    <w:p w:rsidR="002E52A8" w:rsidRPr="00832237" w:rsidRDefault="002E52A8" w:rsidP="002E52A8">
      <w:pPr>
        <w:jc w:val="both"/>
        <w:rPr>
          <w:rFonts w:ascii="Times New Roman" w:hAnsi="Times New Roman"/>
          <w:bCs/>
          <w:szCs w:val="16"/>
        </w:rPr>
      </w:pPr>
    </w:p>
    <w:p w:rsidR="002E52A8" w:rsidRDefault="002E52A8" w:rsidP="002E52A8">
      <w:pPr>
        <w:jc w:val="both"/>
        <w:rPr>
          <w:rFonts w:ascii="Times New Roman" w:hAnsi="Times New Roman"/>
        </w:rPr>
      </w:pPr>
      <w:r w:rsidRPr="00832237">
        <w:rPr>
          <w:rFonts w:ascii="Times New Roman" w:hAnsi="Times New Roman"/>
          <w:bCs/>
          <w:szCs w:val="16"/>
        </w:rPr>
        <w:t>2.3.4.</w:t>
      </w:r>
      <w:r w:rsidRPr="00832237">
        <w:rPr>
          <w:rFonts w:ascii="Times New Roman" w:hAnsi="Times New Roman"/>
          <w:bCs/>
          <w:szCs w:val="16"/>
        </w:rPr>
        <w:tab/>
      </w:r>
      <w:r>
        <w:rPr>
          <w:rFonts w:ascii="Times New Roman" w:hAnsi="Times New Roman"/>
          <w:bCs/>
          <w:szCs w:val="16"/>
        </w:rPr>
        <w:t>M</w:t>
      </w:r>
      <w:r w:rsidRPr="00832237">
        <w:rPr>
          <w:rFonts w:ascii="Times New Roman" w:hAnsi="Times New Roman"/>
        </w:rPr>
        <w:t>etodika ESA 2010 rozlišuje medzi zaznamenávaním daňových kreditov, ktoré znižujú len daňovú povinnosť („</w:t>
      </w:r>
      <w:proofErr w:type="spellStart"/>
      <w:r w:rsidRPr="00832237">
        <w:rPr>
          <w:rFonts w:ascii="Times New Roman" w:hAnsi="Times New Roman"/>
        </w:rPr>
        <w:t>non-payable</w:t>
      </w:r>
      <w:proofErr w:type="spellEnd"/>
      <w:r w:rsidRPr="00832237">
        <w:rPr>
          <w:rFonts w:ascii="Times New Roman" w:hAnsi="Times New Roman"/>
        </w:rPr>
        <w:t xml:space="preserve"> </w:t>
      </w:r>
      <w:proofErr w:type="spellStart"/>
      <w:r w:rsidRPr="00832237">
        <w:rPr>
          <w:rFonts w:ascii="Times New Roman" w:hAnsi="Times New Roman"/>
        </w:rPr>
        <w:t>tax</w:t>
      </w:r>
      <w:proofErr w:type="spellEnd"/>
      <w:r w:rsidRPr="00832237">
        <w:rPr>
          <w:rFonts w:ascii="Times New Roman" w:hAnsi="Times New Roman"/>
        </w:rPr>
        <w:t xml:space="preserve"> </w:t>
      </w:r>
      <w:proofErr w:type="spellStart"/>
      <w:r w:rsidRPr="00832237">
        <w:rPr>
          <w:rFonts w:ascii="Times New Roman" w:hAnsi="Times New Roman"/>
        </w:rPr>
        <w:t>credits</w:t>
      </w:r>
      <w:proofErr w:type="spellEnd"/>
      <w:r w:rsidRPr="00832237">
        <w:rPr>
          <w:rFonts w:ascii="Times New Roman" w:hAnsi="Times New Roman"/>
        </w:rPr>
        <w:t>“) a daňových kreditov, ktoré sa uplatňujú nad rámec daňovej povinnosti („</w:t>
      </w:r>
      <w:proofErr w:type="spellStart"/>
      <w:r w:rsidRPr="00832237">
        <w:rPr>
          <w:rFonts w:ascii="Times New Roman" w:hAnsi="Times New Roman"/>
        </w:rPr>
        <w:t>payable</w:t>
      </w:r>
      <w:proofErr w:type="spellEnd"/>
      <w:r w:rsidRPr="00832237">
        <w:rPr>
          <w:rFonts w:ascii="Times New Roman" w:hAnsi="Times New Roman"/>
        </w:rPr>
        <w:t xml:space="preserve"> </w:t>
      </w:r>
      <w:proofErr w:type="spellStart"/>
      <w:r w:rsidRPr="00832237">
        <w:rPr>
          <w:rFonts w:ascii="Times New Roman" w:hAnsi="Times New Roman"/>
        </w:rPr>
        <w:t>tax</w:t>
      </w:r>
      <w:proofErr w:type="spellEnd"/>
      <w:r w:rsidRPr="00832237">
        <w:rPr>
          <w:rFonts w:ascii="Times New Roman" w:hAnsi="Times New Roman"/>
        </w:rPr>
        <w:t xml:space="preserve"> </w:t>
      </w:r>
      <w:proofErr w:type="spellStart"/>
      <w:r w:rsidRPr="00832237">
        <w:rPr>
          <w:rFonts w:ascii="Times New Roman" w:hAnsi="Times New Roman"/>
        </w:rPr>
        <w:t>credit</w:t>
      </w:r>
      <w:proofErr w:type="spellEnd"/>
      <w:r w:rsidRPr="00832237">
        <w:rPr>
          <w:rFonts w:ascii="Times New Roman" w:hAnsi="Times New Roman"/>
        </w:rPr>
        <w:t>“ - v podmienkach SR spĺňa túto definíciu daňový bonus a zamestnanecká prémia). „</w:t>
      </w:r>
      <w:proofErr w:type="spellStart"/>
      <w:r w:rsidRPr="00832237">
        <w:rPr>
          <w:rFonts w:ascii="Times New Roman" w:hAnsi="Times New Roman"/>
        </w:rPr>
        <w:t>Non-payable</w:t>
      </w:r>
      <w:proofErr w:type="spellEnd"/>
      <w:r w:rsidRPr="00832237">
        <w:rPr>
          <w:rFonts w:ascii="Times New Roman" w:hAnsi="Times New Roman"/>
        </w:rPr>
        <w:t xml:space="preserve"> </w:t>
      </w:r>
      <w:proofErr w:type="spellStart"/>
      <w:r w:rsidRPr="00832237">
        <w:rPr>
          <w:rFonts w:ascii="Times New Roman" w:hAnsi="Times New Roman"/>
        </w:rPr>
        <w:t>tax</w:t>
      </w:r>
      <w:proofErr w:type="spellEnd"/>
      <w:r w:rsidRPr="00832237">
        <w:rPr>
          <w:rFonts w:ascii="Times New Roman" w:hAnsi="Times New Roman"/>
        </w:rPr>
        <w:t xml:space="preserve"> </w:t>
      </w:r>
      <w:proofErr w:type="spellStart"/>
      <w:r w:rsidRPr="00832237">
        <w:rPr>
          <w:rFonts w:ascii="Times New Roman" w:hAnsi="Times New Roman"/>
        </w:rPr>
        <w:t>credits</w:t>
      </w:r>
      <w:proofErr w:type="spellEnd"/>
      <w:r w:rsidRPr="00832237">
        <w:rPr>
          <w:rFonts w:ascii="Times New Roman" w:hAnsi="Times New Roman"/>
        </w:rPr>
        <w:t>“ sa podľa ESA 2010 zaznamenávajú ako zníženie daňových príjmov, naopak „</w:t>
      </w:r>
      <w:proofErr w:type="spellStart"/>
      <w:r w:rsidRPr="00832237">
        <w:rPr>
          <w:rFonts w:ascii="Times New Roman" w:hAnsi="Times New Roman"/>
        </w:rPr>
        <w:t>payable</w:t>
      </w:r>
      <w:proofErr w:type="spellEnd"/>
      <w:r w:rsidRPr="00832237">
        <w:rPr>
          <w:rFonts w:ascii="Times New Roman" w:hAnsi="Times New Roman"/>
        </w:rPr>
        <w:t xml:space="preserve"> </w:t>
      </w:r>
      <w:proofErr w:type="spellStart"/>
      <w:r w:rsidRPr="00832237">
        <w:rPr>
          <w:rFonts w:ascii="Times New Roman" w:hAnsi="Times New Roman"/>
        </w:rPr>
        <w:t>tax</w:t>
      </w:r>
      <w:proofErr w:type="spellEnd"/>
      <w:r w:rsidRPr="00832237">
        <w:rPr>
          <w:rFonts w:ascii="Times New Roman" w:hAnsi="Times New Roman"/>
        </w:rPr>
        <w:t xml:space="preserve"> </w:t>
      </w:r>
      <w:proofErr w:type="spellStart"/>
      <w:r w:rsidRPr="00832237">
        <w:rPr>
          <w:rFonts w:ascii="Times New Roman" w:hAnsi="Times New Roman"/>
        </w:rPr>
        <w:t>credits</w:t>
      </w:r>
      <w:proofErr w:type="spellEnd"/>
      <w:r w:rsidRPr="00832237">
        <w:rPr>
          <w:rFonts w:ascii="Times New Roman" w:hAnsi="Times New Roman"/>
        </w:rPr>
        <w:t>“ neznižujú daňové príjmy a súčasne sa zaznamenávajú v rámci výdavkov štátneho rozpočtu – daňové výdavky.</w:t>
      </w:r>
      <w:r w:rsidRPr="00832237">
        <w:t xml:space="preserve"> </w:t>
      </w:r>
      <w:r w:rsidRPr="00832237">
        <w:rPr>
          <w:rFonts w:ascii="Times New Roman" w:hAnsi="Times New Roman"/>
        </w:rPr>
        <w:t>Na rok 201</w:t>
      </w:r>
      <w:r>
        <w:rPr>
          <w:rFonts w:ascii="Times New Roman" w:hAnsi="Times New Roman"/>
        </w:rPr>
        <w:t>8</w:t>
      </w:r>
      <w:r w:rsidRPr="00832237">
        <w:rPr>
          <w:rFonts w:ascii="Times New Roman" w:hAnsi="Times New Roman"/>
        </w:rPr>
        <w:t xml:space="preserve"> sa predpokladajú daňové kredity vo výške </w:t>
      </w:r>
      <w:r>
        <w:rPr>
          <w:rFonts w:ascii="Times New Roman" w:hAnsi="Times New Roman"/>
        </w:rPr>
        <w:t>takmer 269,5</w:t>
      </w:r>
      <w:r w:rsidRPr="00832237">
        <w:rPr>
          <w:rFonts w:ascii="Times New Roman" w:hAnsi="Times New Roman"/>
        </w:rPr>
        <w:t xml:space="preserve"> mil. eur.</w:t>
      </w:r>
    </w:p>
    <w:p w:rsidR="002E52A8" w:rsidRDefault="002E52A8" w:rsidP="002E52A8">
      <w:pPr>
        <w:jc w:val="both"/>
        <w:rPr>
          <w:rFonts w:ascii="Times New Roman" w:hAnsi="Times New Roman"/>
        </w:rPr>
      </w:pPr>
    </w:p>
    <w:p w:rsidR="002E52A8" w:rsidRPr="00054FDE" w:rsidRDefault="002E52A8" w:rsidP="002E52A8">
      <w:pPr>
        <w:jc w:val="both"/>
        <w:rPr>
          <w:rFonts w:ascii="Times New Roman" w:hAnsi="Times New Roman"/>
          <w:bCs/>
          <w:szCs w:val="16"/>
        </w:rPr>
      </w:pPr>
      <w:r w:rsidRPr="00054FDE">
        <w:rPr>
          <w:rFonts w:ascii="Times New Roman" w:hAnsi="Times New Roman"/>
          <w:bCs/>
          <w:szCs w:val="16"/>
        </w:rPr>
        <w:t>2.3.5.</w:t>
      </w:r>
      <w:r w:rsidRPr="00054FDE">
        <w:rPr>
          <w:rFonts w:ascii="Times New Roman" w:hAnsi="Times New Roman"/>
          <w:bCs/>
          <w:szCs w:val="16"/>
        </w:rPr>
        <w:tab/>
        <w:t>Podľa právnej úpravy účinnej do 31.</w:t>
      </w:r>
      <w:r w:rsidR="00AD2066">
        <w:rPr>
          <w:rFonts w:ascii="Times New Roman" w:hAnsi="Times New Roman"/>
          <w:bCs/>
          <w:szCs w:val="16"/>
        </w:rPr>
        <w:t xml:space="preserve"> </w:t>
      </w:r>
      <w:r w:rsidRPr="00054FDE">
        <w:rPr>
          <w:rFonts w:ascii="Times New Roman" w:hAnsi="Times New Roman"/>
          <w:bCs/>
          <w:szCs w:val="16"/>
        </w:rPr>
        <w:t>12.</w:t>
      </w:r>
      <w:r w:rsidR="00AD2066">
        <w:rPr>
          <w:rFonts w:ascii="Times New Roman" w:hAnsi="Times New Roman"/>
          <w:bCs/>
          <w:szCs w:val="16"/>
        </w:rPr>
        <w:t xml:space="preserve"> </w:t>
      </w:r>
      <w:r w:rsidRPr="00054FDE">
        <w:rPr>
          <w:rFonts w:ascii="Times New Roman" w:hAnsi="Times New Roman"/>
          <w:bCs/>
          <w:szCs w:val="16"/>
        </w:rPr>
        <w:t>2017 rozpočtová organizácia hospodári s rozpočtovanými prostriedkami a s prostriedkami od iných subjektov. Taxatívne určené prostriedky prijaté od iných subjektov vedie rozpočtová organizácia na samostatných mimorozpočtových účtoch, napr. prostriedky od iných subjektov na základe darovacej zmluvy, zmluvy o združení, prijaté formou dotácie alebo grantu, pričom pri ich použití sa odvádzajú na príjmový účet a výdavky realizujú z výdavkového účtu. Zároveň je rozpočtová organizácia oprávnená sústreďovať svoje príjmy na iných účtoch a realizovať svoje výdavky z iných účtov v prípadoch ustanovených zákonom o rozpočtových pravidlách verejnej správy alebo osobitným zákonom. Z týchto účtov sa výdavky realizujú priamo, pričom tieto účty neboli súčasťou návrhu rozpočtu verejnej správy.</w:t>
      </w:r>
      <w:r>
        <w:rPr>
          <w:rFonts w:ascii="Times New Roman" w:hAnsi="Times New Roman"/>
          <w:bCs/>
          <w:szCs w:val="16"/>
        </w:rPr>
        <w:t xml:space="preserve"> </w:t>
      </w:r>
      <w:r w:rsidRPr="00054FDE">
        <w:rPr>
          <w:rFonts w:ascii="Times New Roman" w:hAnsi="Times New Roman"/>
          <w:bCs/>
          <w:szCs w:val="16"/>
        </w:rPr>
        <w:t>Skutočnosť za daný rozpočtový rok však obsahuje už všetky príjmy a výdavky, a to aj tie, ktoré sa nerealizovali prostredníctvom príjmového a výdavkového účtu rozpočtových organizácií štátu (štátny rozpočet). Pri porovnaní skutočnosti so schváleným rozpočtom tak dochádzalo k odchýlkam. Novelou zákona o rozpočtových pravidlách verejnej správy účinnou od 1.</w:t>
      </w:r>
      <w:r w:rsidR="00AD2066">
        <w:rPr>
          <w:rFonts w:ascii="Times New Roman" w:hAnsi="Times New Roman"/>
          <w:bCs/>
          <w:szCs w:val="16"/>
        </w:rPr>
        <w:t xml:space="preserve"> </w:t>
      </w:r>
      <w:r w:rsidRPr="00054FDE">
        <w:rPr>
          <w:rFonts w:ascii="Times New Roman" w:hAnsi="Times New Roman"/>
          <w:bCs/>
          <w:szCs w:val="16"/>
        </w:rPr>
        <w:t>1.</w:t>
      </w:r>
      <w:r w:rsidR="00AD2066">
        <w:rPr>
          <w:rFonts w:ascii="Times New Roman" w:hAnsi="Times New Roman"/>
          <w:bCs/>
          <w:szCs w:val="16"/>
        </w:rPr>
        <w:t xml:space="preserve"> </w:t>
      </w:r>
      <w:r w:rsidRPr="00054FDE">
        <w:rPr>
          <w:rFonts w:ascii="Times New Roman" w:hAnsi="Times New Roman"/>
          <w:bCs/>
          <w:szCs w:val="16"/>
        </w:rPr>
        <w:t xml:space="preserve">2018 sa  upravuje rozpočtovanie rozpočtových organizácií tak, že rozpočtová organizácia rozpočtuje príjmy a výdavky na všetkých účtoch organizácie t. j. súčasťou rozpočtu rozpočtovej organizácie sú všetky prostriedky s ktorými hospodári, vrátane prostriedkov na samostatných účtoch. V rámci </w:t>
      </w:r>
      <w:r w:rsidRPr="00054FDE">
        <w:rPr>
          <w:rFonts w:ascii="Times New Roman" w:hAnsi="Times New Roman"/>
          <w:bCs/>
          <w:szCs w:val="16"/>
        </w:rPr>
        <w:lastRenderedPageBreak/>
        <w:t>aktuálneho rozpočtového rámca je možné predpokladať nasledovné hospodárenie na samostatných účtoch.</w:t>
      </w:r>
    </w:p>
    <w:p w:rsidR="002E52A8" w:rsidRDefault="002E52A8" w:rsidP="002E52A8">
      <w:pPr>
        <w:jc w:val="both"/>
        <w:rPr>
          <w:rFonts w:ascii="Times New Roman" w:hAnsi="Times New Roman"/>
        </w:rPr>
      </w:pPr>
    </w:p>
    <w:tbl>
      <w:tblPr>
        <w:tblW w:w="9079" w:type="dxa"/>
        <w:jc w:val="center"/>
        <w:tblCellMar>
          <w:left w:w="70" w:type="dxa"/>
          <w:right w:w="70" w:type="dxa"/>
        </w:tblCellMar>
        <w:tblLook w:val="04A0" w:firstRow="1" w:lastRow="0" w:firstColumn="1" w:lastColumn="0" w:noHBand="0" w:noVBand="1"/>
      </w:tblPr>
      <w:tblGrid>
        <w:gridCol w:w="3339"/>
        <w:gridCol w:w="820"/>
        <w:gridCol w:w="820"/>
        <w:gridCol w:w="820"/>
        <w:gridCol w:w="820"/>
        <w:gridCol w:w="820"/>
        <w:gridCol w:w="820"/>
        <w:gridCol w:w="820"/>
      </w:tblGrid>
      <w:tr w:rsidR="002E52A8" w:rsidRPr="003E7DF0" w:rsidTr="00C72F49">
        <w:trPr>
          <w:trHeight w:val="360"/>
          <w:jc w:val="center"/>
        </w:trPr>
        <w:tc>
          <w:tcPr>
            <w:tcW w:w="333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E52A8" w:rsidRPr="003E7DF0" w:rsidRDefault="002E52A8" w:rsidP="00C72F49">
            <w:pPr>
              <w:rPr>
                <w:rFonts w:ascii="Times New Roman" w:hAnsi="Times New Roman" w:cs="Times New Roman"/>
                <w:b/>
                <w:bCs/>
                <w:sz w:val="14"/>
                <w:szCs w:val="14"/>
                <w:lang w:eastAsia="sk-SK"/>
              </w:rPr>
            </w:pPr>
            <w:r w:rsidRPr="003E7DF0">
              <w:rPr>
                <w:rFonts w:ascii="Times New Roman" w:hAnsi="Times New Roman" w:cs="Times New Roman"/>
                <w:b/>
                <w:bCs/>
                <w:sz w:val="14"/>
                <w:szCs w:val="14"/>
                <w:lang w:eastAsia="sk-SK"/>
              </w:rPr>
              <w:t>Samostatné účty rozpočtových organizácií štátu</w:t>
            </w:r>
            <w:r w:rsidRPr="003E7DF0">
              <w:rPr>
                <w:rFonts w:ascii="Times New Roman" w:hAnsi="Times New Roman" w:cs="Times New Roman"/>
                <w:b/>
                <w:bCs/>
                <w:sz w:val="14"/>
                <w:szCs w:val="14"/>
                <w:lang w:eastAsia="sk-SK"/>
              </w:rPr>
              <w:br/>
            </w:r>
            <w:r w:rsidRPr="009E69A1">
              <w:rPr>
                <w:rFonts w:ascii="Times New Roman" w:hAnsi="Times New Roman" w:cs="Times New Roman"/>
                <w:b/>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3E7DF0" w:rsidRDefault="002E52A8" w:rsidP="00C72F49">
            <w:pPr>
              <w:jc w:val="center"/>
              <w:rPr>
                <w:rFonts w:ascii="Times New Roman" w:hAnsi="Times New Roman" w:cs="Times New Roman"/>
                <w:b/>
                <w:bCs/>
                <w:sz w:val="14"/>
                <w:szCs w:val="14"/>
                <w:lang w:eastAsia="sk-SK"/>
              </w:rPr>
            </w:pPr>
            <w:r w:rsidRPr="003E7DF0">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3E7DF0" w:rsidRDefault="002E52A8" w:rsidP="00C72F49">
            <w:pPr>
              <w:jc w:val="center"/>
              <w:rPr>
                <w:rFonts w:ascii="Times New Roman" w:hAnsi="Times New Roman" w:cs="Times New Roman"/>
                <w:b/>
                <w:bCs/>
                <w:sz w:val="14"/>
                <w:szCs w:val="14"/>
                <w:lang w:eastAsia="sk-SK"/>
              </w:rPr>
            </w:pPr>
            <w:r w:rsidRPr="003E7DF0">
              <w:rPr>
                <w:rFonts w:ascii="Times New Roman" w:hAnsi="Times New Roman" w:cs="Times New Roman"/>
                <w:b/>
                <w:bCs/>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3E7DF0" w:rsidRDefault="002E52A8" w:rsidP="00C72F49">
            <w:pPr>
              <w:jc w:val="center"/>
              <w:rPr>
                <w:rFonts w:ascii="Times New Roman" w:hAnsi="Times New Roman" w:cs="Times New Roman"/>
                <w:b/>
                <w:bCs/>
                <w:sz w:val="14"/>
                <w:szCs w:val="14"/>
                <w:lang w:eastAsia="sk-SK"/>
              </w:rPr>
            </w:pPr>
            <w:r w:rsidRPr="003E7DF0">
              <w:rPr>
                <w:rFonts w:ascii="Times New Roman" w:hAnsi="Times New Roman" w:cs="Times New Roman"/>
                <w:b/>
                <w:bCs/>
                <w:sz w:val="14"/>
                <w:szCs w:val="14"/>
                <w:lang w:eastAsia="sk-SK"/>
              </w:rPr>
              <w:t>2017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3E7DF0" w:rsidRDefault="002E52A8" w:rsidP="00C72F49">
            <w:pPr>
              <w:jc w:val="center"/>
              <w:rPr>
                <w:rFonts w:ascii="Times New Roman" w:hAnsi="Times New Roman" w:cs="Times New Roman"/>
                <w:b/>
                <w:bCs/>
                <w:sz w:val="14"/>
                <w:szCs w:val="14"/>
                <w:lang w:eastAsia="sk-SK"/>
              </w:rPr>
            </w:pPr>
            <w:r w:rsidRPr="003E7DF0">
              <w:rPr>
                <w:rFonts w:ascii="Times New Roman" w:hAnsi="Times New Roman" w:cs="Times New Roman"/>
                <w:b/>
                <w:bCs/>
                <w:sz w:val="14"/>
                <w:szCs w:val="14"/>
                <w:lang w:eastAsia="sk-SK"/>
              </w:rPr>
              <w:t>2017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3E7DF0" w:rsidRDefault="002E52A8" w:rsidP="00C72F49">
            <w:pPr>
              <w:jc w:val="center"/>
              <w:rPr>
                <w:rFonts w:ascii="Times New Roman" w:hAnsi="Times New Roman" w:cs="Times New Roman"/>
                <w:b/>
                <w:bCs/>
                <w:sz w:val="14"/>
                <w:szCs w:val="14"/>
                <w:lang w:eastAsia="sk-SK"/>
              </w:rPr>
            </w:pPr>
            <w:r w:rsidRPr="003E7DF0">
              <w:rPr>
                <w:rFonts w:ascii="Times New Roman" w:hAnsi="Times New Roman" w:cs="Times New Roman"/>
                <w:b/>
                <w:bCs/>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3E7DF0" w:rsidRDefault="002E52A8" w:rsidP="00C72F49">
            <w:pPr>
              <w:jc w:val="center"/>
              <w:rPr>
                <w:rFonts w:ascii="Times New Roman" w:hAnsi="Times New Roman" w:cs="Times New Roman"/>
                <w:b/>
                <w:bCs/>
                <w:sz w:val="14"/>
                <w:szCs w:val="14"/>
                <w:lang w:eastAsia="sk-SK"/>
              </w:rPr>
            </w:pPr>
            <w:r w:rsidRPr="003E7DF0">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3E7DF0" w:rsidRDefault="002E52A8" w:rsidP="00C72F49">
            <w:pPr>
              <w:jc w:val="center"/>
              <w:rPr>
                <w:rFonts w:ascii="Times New Roman" w:hAnsi="Times New Roman" w:cs="Times New Roman"/>
                <w:b/>
                <w:bCs/>
                <w:sz w:val="14"/>
                <w:szCs w:val="14"/>
                <w:lang w:eastAsia="sk-SK"/>
              </w:rPr>
            </w:pPr>
            <w:r w:rsidRPr="003E7DF0">
              <w:rPr>
                <w:rFonts w:ascii="Times New Roman" w:hAnsi="Times New Roman" w:cs="Times New Roman"/>
                <w:b/>
                <w:bCs/>
                <w:sz w:val="14"/>
                <w:szCs w:val="14"/>
                <w:lang w:eastAsia="sk-SK"/>
              </w:rPr>
              <w:t>2020 N</w:t>
            </w:r>
          </w:p>
        </w:tc>
      </w:tr>
      <w:tr w:rsidR="002E52A8" w:rsidRPr="003E7DF0" w:rsidTr="00C72F49">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2E52A8" w:rsidRPr="003E7DF0" w:rsidRDefault="002E52A8" w:rsidP="00C72F49">
            <w:pPr>
              <w:rPr>
                <w:rFonts w:ascii="Times New Roman" w:hAnsi="Times New Roman" w:cs="Times New Roman"/>
                <w:sz w:val="14"/>
                <w:szCs w:val="14"/>
                <w:lang w:eastAsia="sk-SK"/>
              </w:rPr>
            </w:pPr>
            <w:r w:rsidRPr="003E7DF0">
              <w:rPr>
                <w:rFonts w:ascii="Times New Roman" w:hAnsi="Times New Roman" w:cs="Times New Roman"/>
                <w:sz w:val="14"/>
                <w:szCs w:val="14"/>
                <w:lang w:eastAsia="sk-SK"/>
              </w:rPr>
              <w:t>Príjmy</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3E7DF0" w:rsidRDefault="002E52A8" w:rsidP="00C72F49">
            <w:pPr>
              <w:jc w:val="right"/>
              <w:rPr>
                <w:rFonts w:ascii="Times New Roman" w:hAnsi="Times New Roman" w:cs="Times New Roman"/>
                <w:sz w:val="14"/>
                <w:szCs w:val="14"/>
                <w:lang w:eastAsia="sk-SK"/>
              </w:rPr>
            </w:pPr>
            <w:r w:rsidRPr="003E7DF0">
              <w:rPr>
                <w:rFonts w:ascii="Times New Roman" w:hAnsi="Times New Roman" w:cs="Times New Roman"/>
                <w:sz w:val="14"/>
                <w:szCs w:val="14"/>
                <w:lang w:eastAsia="sk-SK"/>
              </w:rPr>
              <w:t>825 014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3E7DF0" w:rsidRDefault="002E52A8" w:rsidP="00C72F49">
            <w:pPr>
              <w:jc w:val="right"/>
              <w:rPr>
                <w:rFonts w:ascii="Times New Roman" w:hAnsi="Times New Roman" w:cs="Times New Roman"/>
                <w:sz w:val="14"/>
                <w:szCs w:val="14"/>
                <w:lang w:eastAsia="sk-SK"/>
              </w:rPr>
            </w:pPr>
            <w:r w:rsidRPr="003E7DF0">
              <w:rPr>
                <w:rFonts w:ascii="Times New Roman" w:hAnsi="Times New Roman" w:cs="Times New Roman"/>
                <w:sz w:val="14"/>
                <w:szCs w:val="14"/>
                <w:lang w:eastAsia="sk-SK"/>
              </w:rPr>
              <w:t>509 897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3E7DF0" w:rsidRDefault="002E52A8" w:rsidP="00C72F49">
            <w:pPr>
              <w:jc w:val="right"/>
              <w:rPr>
                <w:rFonts w:ascii="Times New Roman" w:hAnsi="Times New Roman" w:cs="Times New Roman"/>
                <w:sz w:val="14"/>
                <w:szCs w:val="14"/>
                <w:lang w:eastAsia="sk-SK"/>
              </w:rPr>
            </w:pPr>
            <w:r w:rsidRPr="003E7DF0">
              <w:rPr>
                <w:rFonts w:ascii="Times New Roman" w:hAnsi="Times New Roman" w:cs="Times New Roman"/>
                <w:sz w:val="14"/>
                <w:szCs w:val="14"/>
                <w:lang w:eastAsia="sk-SK"/>
              </w:rPr>
              <w:t>523 546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3E7DF0" w:rsidRDefault="002E52A8" w:rsidP="00C72F49">
            <w:pPr>
              <w:jc w:val="right"/>
              <w:rPr>
                <w:rFonts w:ascii="Times New Roman" w:hAnsi="Times New Roman" w:cs="Times New Roman"/>
                <w:sz w:val="14"/>
                <w:szCs w:val="14"/>
                <w:lang w:eastAsia="sk-SK"/>
              </w:rPr>
            </w:pPr>
            <w:r w:rsidRPr="003E7DF0">
              <w:rPr>
                <w:rFonts w:ascii="Times New Roman" w:hAnsi="Times New Roman" w:cs="Times New Roman"/>
                <w:sz w:val="14"/>
                <w:szCs w:val="14"/>
                <w:lang w:eastAsia="sk-SK"/>
              </w:rPr>
              <w:t>517 940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3E7DF0" w:rsidRDefault="002E52A8" w:rsidP="00C72F49">
            <w:pPr>
              <w:jc w:val="right"/>
              <w:rPr>
                <w:rFonts w:ascii="Times New Roman" w:hAnsi="Times New Roman" w:cs="Times New Roman"/>
                <w:sz w:val="14"/>
                <w:szCs w:val="14"/>
                <w:lang w:eastAsia="sk-SK"/>
              </w:rPr>
            </w:pPr>
            <w:r w:rsidRPr="003E7DF0">
              <w:rPr>
                <w:rFonts w:ascii="Times New Roman" w:hAnsi="Times New Roman" w:cs="Times New Roman"/>
                <w:sz w:val="14"/>
                <w:szCs w:val="14"/>
                <w:lang w:eastAsia="sk-SK"/>
              </w:rPr>
              <w:t>488 784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3E7DF0" w:rsidRDefault="002E52A8" w:rsidP="00C72F49">
            <w:pPr>
              <w:jc w:val="right"/>
              <w:rPr>
                <w:rFonts w:ascii="Times New Roman" w:hAnsi="Times New Roman" w:cs="Times New Roman"/>
                <w:sz w:val="14"/>
                <w:szCs w:val="14"/>
                <w:lang w:eastAsia="sk-SK"/>
              </w:rPr>
            </w:pPr>
            <w:r w:rsidRPr="003E7DF0">
              <w:rPr>
                <w:rFonts w:ascii="Times New Roman" w:hAnsi="Times New Roman" w:cs="Times New Roman"/>
                <w:sz w:val="14"/>
                <w:szCs w:val="14"/>
                <w:lang w:eastAsia="sk-SK"/>
              </w:rPr>
              <w:t>489 874</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3E7DF0" w:rsidRDefault="002E52A8" w:rsidP="00C72F49">
            <w:pPr>
              <w:jc w:val="right"/>
              <w:rPr>
                <w:rFonts w:ascii="Times New Roman" w:hAnsi="Times New Roman" w:cs="Times New Roman"/>
                <w:sz w:val="14"/>
                <w:szCs w:val="14"/>
                <w:lang w:eastAsia="sk-SK"/>
              </w:rPr>
            </w:pPr>
            <w:r w:rsidRPr="003E7DF0">
              <w:rPr>
                <w:rFonts w:ascii="Times New Roman" w:hAnsi="Times New Roman" w:cs="Times New Roman"/>
                <w:sz w:val="14"/>
                <w:szCs w:val="14"/>
                <w:lang w:eastAsia="sk-SK"/>
              </w:rPr>
              <w:t>493 622</w:t>
            </w:r>
          </w:p>
        </w:tc>
      </w:tr>
      <w:tr w:rsidR="002E52A8" w:rsidRPr="003E7DF0" w:rsidTr="00C72F49">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2E52A8" w:rsidRPr="003E7DF0" w:rsidRDefault="002E52A8" w:rsidP="00C72F49">
            <w:pPr>
              <w:rPr>
                <w:rFonts w:ascii="Times New Roman" w:hAnsi="Times New Roman" w:cs="Times New Roman"/>
                <w:sz w:val="14"/>
                <w:szCs w:val="14"/>
                <w:lang w:eastAsia="sk-SK"/>
              </w:rPr>
            </w:pPr>
            <w:r w:rsidRPr="003E7DF0">
              <w:rPr>
                <w:rFonts w:ascii="Times New Roman" w:hAnsi="Times New Roman" w:cs="Times New Roman"/>
                <w:sz w:val="14"/>
                <w:szCs w:val="14"/>
                <w:lang w:eastAsia="sk-SK"/>
              </w:rPr>
              <w:t>Výdavky</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3E7DF0" w:rsidRDefault="002E52A8" w:rsidP="00C72F49">
            <w:pPr>
              <w:jc w:val="right"/>
              <w:rPr>
                <w:rFonts w:ascii="Times New Roman" w:hAnsi="Times New Roman" w:cs="Times New Roman"/>
                <w:sz w:val="14"/>
                <w:szCs w:val="14"/>
                <w:lang w:eastAsia="sk-SK"/>
              </w:rPr>
            </w:pPr>
            <w:r w:rsidRPr="003E7DF0">
              <w:rPr>
                <w:rFonts w:ascii="Times New Roman" w:hAnsi="Times New Roman" w:cs="Times New Roman"/>
                <w:sz w:val="14"/>
                <w:szCs w:val="14"/>
                <w:lang w:eastAsia="sk-SK"/>
              </w:rPr>
              <w:t>824 957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3E7DF0" w:rsidRDefault="002E52A8" w:rsidP="00C72F49">
            <w:pPr>
              <w:jc w:val="right"/>
              <w:rPr>
                <w:rFonts w:ascii="Times New Roman" w:hAnsi="Times New Roman" w:cs="Times New Roman"/>
                <w:sz w:val="14"/>
                <w:szCs w:val="14"/>
                <w:lang w:eastAsia="sk-SK"/>
              </w:rPr>
            </w:pPr>
            <w:r w:rsidRPr="003E7DF0">
              <w:rPr>
                <w:rFonts w:ascii="Times New Roman" w:hAnsi="Times New Roman" w:cs="Times New Roman"/>
                <w:sz w:val="14"/>
                <w:szCs w:val="14"/>
                <w:lang w:eastAsia="sk-SK"/>
              </w:rPr>
              <w:t>517 490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3E7DF0" w:rsidRDefault="002E52A8" w:rsidP="00C72F49">
            <w:pPr>
              <w:jc w:val="right"/>
              <w:rPr>
                <w:rFonts w:ascii="Times New Roman" w:hAnsi="Times New Roman" w:cs="Times New Roman"/>
                <w:sz w:val="14"/>
                <w:szCs w:val="14"/>
                <w:lang w:eastAsia="sk-SK"/>
              </w:rPr>
            </w:pPr>
            <w:r w:rsidRPr="003E7DF0">
              <w:rPr>
                <w:rFonts w:ascii="Times New Roman" w:hAnsi="Times New Roman" w:cs="Times New Roman"/>
                <w:sz w:val="14"/>
                <w:szCs w:val="14"/>
                <w:lang w:eastAsia="sk-SK"/>
              </w:rPr>
              <w:t>520 028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3E7DF0" w:rsidRDefault="002E52A8" w:rsidP="00C72F49">
            <w:pPr>
              <w:jc w:val="right"/>
              <w:rPr>
                <w:rFonts w:ascii="Times New Roman" w:hAnsi="Times New Roman" w:cs="Times New Roman"/>
                <w:sz w:val="14"/>
                <w:szCs w:val="14"/>
                <w:lang w:eastAsia="sk-SK"/>
              </w:rPr>
            </w:pPr>
            <w:r w:rsidRPr="003E7DF0">
              <w:rPr>
                <w:rFonts w:ascii="Times New Roman" w:hAnsi="Times New Roman" w:cs="Times New Roman"/>
                <w:sz w:val="14"/>
                <w:szCs w:val="14"/>
                <w:lang w:eastAsia="sk-SK"/>
              </w:rPr>
              <w:t>514 422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3E7DF0" w:rsidRDefault="002E52A8" w:rsidP="00C72F49">
            <w:pPr>
              <w:jc w:val="right"/>
              <w:rPr>
                <w:rFonts w:ascii="Times New Roman" w:hAnsi="Times New Roman" w:cs="Times New Roman"/>
                <w:sz w:val="14"/>
                <w:szCs w:val="14"/>
                <w:lang w:eastAsia="sk-SK"/>
              </w:rPr>
            </w:pPr>
            <w:r w:rsidRPr="003E7DF0">
              <w:rPr>
                <w:rFonts w:ascii="Times New Roman" w:hAnsi="Times New Roman" w:cs="Times New Roman"/>
                <w:sz w:val="14"/>
                <w:szCs w:val="14"/>
                <w:lang w:eastAsia="sk-SK"/>
              </w:rPr>
              <w:t>482 562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3E7DF0" w:rsidRDefault="002E52A8" w:rsidP="00C72F49">
            <w:pPr>
              <w:jc w:val="right"/>
              <w:rPr>
                <w:rFonts w:ascii="Times New Roman" w:hAnsi="Times New Roman" w:cs="Times New Roman"/>
                <w:sz w:val="14"/>
                <w:szCs w:val="14"/>
                <w:lang w:eastAsia="sk-SK"/>
              </w:rPr>
            </w:pPr>
            <w:r w:rsidRPr="003E7DF0">
              <w:rPr>
                <w:rFonts w:ascii="Times New Roman" w:hAnsi="Times New Roman" w:cs="Times New Roman"/>
                <w:sz w:val="14"/>
                <w:szCs w:val="14"/>
                <w:lang w:eastAsia="sk-SK"/>
              </w:rPr>
              <w:t>487 482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3E7DF0" w:rsidRDefault="002E52A8" w:rsidP="00C72F49">
            <w:pPr>
              <w:jc w:val="right"/>
              <w:rPr>
                <w:rFonts w:ascii="Times New Roman" w:hAnsi="Times New Roman" w:cs="Times New Roman"/>
                <w:sz w:val="14"/>
                <w:szCs w:val="14"/>
                <w:lang w:eastAsia="sk-SK"/>
              </w:rPr>
            </w:pPr>
            <w:r w:rsidRPr="003E7DF0">
              <w:rPr>
                <w:rFonts w:ascii="Times New Roman" w:hAnsi="Times New Roman" w:cs="Times New Roman"/>
                <w:sz w:val="14"/>
                <w:szCs w:val="14"/>
                <w:lang w:eastAsia="sk-SK"/>
              </w:rPr>
              <w:t>493 241</w:t>
            </w:r>
          </w:p>
        </w:tc>
      </w:tr>
      <w:tr w:rsidR="002E52A8" w:rsidRPr="003E7DF0" w:rsidTr="00C72F49">
        <w:trPr>
          <w:trHeight w:val="270"/>
          <w:jc w:val="center"/>
        </w:trPr>
        <w:tc>
          <w:tcPr>
            <w:tcW w:w="3339" w:type="dxa"/>
            <w:tcBorders>
              <w:top w:val="nil"/>
              <w:left w:val="single" w:sz="4" w:space="0" w:color="auto"/>
              <w:bottom w:val="single" w:sz="4" w:space="0" w:color="auto"/>
              <w:right w:val="single" w:sz="4" w:space="0" w:color="auto"/>
            </w:tcBorders>
            <w:shd w:val="clear" w:color="000000" w:fill="BFBFBF"/>
            <w:noWrap/>
            <w:vAlign w:val="center"/>
            <w:hideMark/>
          </w:tcPr>
          <w:p w:rsidR="002E52A8" w:rsidRPr="003E7DF0" w:rsidRDefault="002E52A8" w:rsidP="00C72F49">
            <w:pPr>
              <w:rPr>
                <w:rFonts w:ascii="Times New Roman" w:hAnsi="Times New Roman" w:cs="Times New Roman"/>
                <w:b/>
                <w:bCs/>
                <w:sz w:val="14"/>
                <w:szCs w:val="14"/>
                <w:lang w:eastAsia="sk-SK"/>
              </w:rPr>
            </w:pPr>
            <w:r w:rsidRPr="003E7DF0">
              <w:rPr>
                <w:rFonts w:ascii="Times New Roman" w:hAnsi="Times New Roman" w:cs="Times New Roman"/>
                <w:b/>
                <w:bCs/>
                <w:sz w:val="14"/>
                <w:szCs w:val="14"/>
                <w:lang w:eastAsia="sk-SK"/>
              </w:rPr>
              <w:t>Prebytok / Schodok</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3E7DF0" w:rsidRDefault="002E52A8" w:rsidP="00C72F49">
            <w:pPr>
              <w:jc w:val="right"/>
              <w:rPr>
                <w:rFonts w:ascii="Times New Roman" w:hAnsi="Times New Roman" w:cs="Times New Roman"/>
                <w:b/>
                <w:bCs/>
                <w:sz w:val="14"/>
                <w:szCs w:val="14"/>
                <w:lang w:eastAsia="sk-SK"/>
              </w:rPr>
            </w:pPr>
            <w:r w:rsidRPr="003E7DF0">
              <w:rPr>
                <w:rFonts w:ascii="Times New Roman" w:hAnsi="Times New Roman" w:cs="Times New Roman"/>
                <w:b/>
                <w:bCs/>
                <w:sz w:val="14"/>
                <w:szCs w:val="14"/>
                <w:lang w:eastAsia="sk-SK"/>
              </w:rPr>
              <w:t>57</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3E7DF0" w:rsidRDefault="002E52A8" w:rsidP="00C72F49">
            <w:pPr>
              <w:jc w:val="right"/>
              <w:rPr>
                <w:rFonts w:ascii="Times New Roman" w:hAnsi="Times New Roman" w:cs="Times New Roman"/>
                <w:b/>
                <w:bCs/>
                <w:sz w:val="14"/>
                <w:szCs w:val="14"/>
                <w:lang w:eastAsia="sk-SK"/>
              </w:rPr>
            </w:pPr>
            <w:r w:rsidRPr="003E7DF0">
              <w:rPr>
                <w:rFonts w:ascii="Times New Roman" w:hAnsi="Times New Roman" w:cs="Times New Roman"/>
                <w:b/>
                <w:bCs/>
                <w:sz w:val="14"/>
                <w:szCs w:val="14"/>
                <w:lang w:eastAsia="sk-SK"/>
              </w:rPr>
              <w:t>-7 593</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3E7DF0" w:rsidRDefault="002E52A8" w:rsidP="00C72F49">
            <w:pPr>
              <w:jc w:val="right"/>
              <w:rPr>
                <w:rFonts w:ascii="Times New Roman" w:hAnsi="Times New Roman" w:cs="Times New Roman"/>
                <w:b/>
                <w:bCs/>
                <w:sz w:val="14"/>
                <w:szCs w:val="14"/>
                <w:lang w:eastAsia="sk-SK"/>
              </w:rPr>
            </w:pPr>
            <w:r w:rsidRPr="003E7DF0">
              <w:rPr>
                <w:rFonts w:ascii="Times New Roman" w:hAnsi="Times New Roman" w:cs="Times New Roman"/>
                <w:b/>
                <w:bCs/>
                <w:sz w:val="14"/>
                <w:szCs w:val="14"/>
                <w:lang w:eastAsia="sk-SK"/>
              </w:rPr>
              <w:t>3 518</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3E7DF0" w:rsidRDefault="002E52A8" w:rsidP="00C72F49">
            <w:pPr>
              <w:jc w:val="right"/>
              <w:rPr>
                <w:rFonts w:ascii="Times New Roman" w:hAnsi="Times New Roman" w:cs="Times New Roman"/>
                <w:b/>
                <w:bCs/>
                <w:sz w:val="14"/>
                <w:szCs w:val="14"/>
                <w:lang w:eastAsia="sk-SK"/>
              </w:rPr>
            </w:pPr>
            <w:r w:rsidRPr="003E7DF0">
              <w:rPr>
                <w:rFonts w:ascii="Times New Roman" w:hAnsi="Times New Roman" w:cs="Times New Roman"/>
                <w:b/>
                <w:bCs/>
                <w:sz w:val="14"/>
                <w:szCs w:val="14"/>
                <w:lang w:eastAsia="sk-SK"/>
              </w:rPr>
              <w:t>3 518</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3E7DF0" w:rsidRDefault="002E52A8" w:rsidP="00C72F49">
            <w:pPr>
              <w:jc w:val="right"/>
              <w:rPr>
                <w:rFonts w:ascii="Times New Roman" w:hAnsi="Times New Roman" w:cs="Times New Roman"/>
                <w:b/>
                <w:bCs/>
                <w:sz w:val="14"/>
                <w:szCs w:val="14"/>
                <w:lang w:eastAsia="sk-SK"/>
              </w:rPr>
            </w:pPr>
            <w:r w:rsidRPr="003E7DF0">
              <w:rPr>
                <w:rFonts w:ascii="Times New Roman" w:hAnsi="Times New Roman" w:cs="Times New Roman"/>
                <w:b/>
                <w:bCs/>
                <w:sz w:val="14"/>
                <w:szCs w:val="14"/>
                <w:lang w:eastAsia="sk-SK"/>
              </w:rPr>
              <w:t>6 222</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3E7DF0" w:rsidRDefault="002E52A8" w:rsidP="00C72F49">
            <w:pPr>
              <w:jc w:val="right"/>
              <w:rPr>
                <w:rFonts w:ascii="Times New Roman" w:hAnsi="Times New Roman" w:cs="Times New Roman"/>
                <w:b/>
                <w:bCs/>
                <w:sz w:val="14"/>
                <w:szCs w:val="14"/>
                <w:lang w:eastAsia="sk-SK"/>
              </w:rPr>
            </w:pPr>
            <w:r w:rsidRPr="003E7DF0">
              <w:rPr>
                <w:rFonts w:ascii="Times New Roman" w:hAnsi="Times New Roman" w:cs="Times New Roman"/>
                <w:b/>
                <w:bCs/>
                <w:sz w:val="14"/>
                <w:szCs w:val="14"/>
                <w:lang w:eastAsia="sk-SK"/>
              </w:rPr>
              <w:t>2 392</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3E7DF0" w:rsidRDefault="002E52A8" w:rsidP="00C72F49">
            <w:pPr>
              <w:jc w:val="right"/>
              <w:rPr>
                <w:rFonts w:ascii="Times New Roman" w:hAnsi="Times New Roman" w:cs="Times New Roman"/>
                <w:b/>
                <w:bCs/>
                <w:sz w:val="14"/>
                <w:szCs w:val="14"/>
                <w:lang w:eastAsia="sk-SK"/>
              </w:rPr>
            </w:pPr>
            <w:r w:rsidRPr="003E7DF0">
              <w:rPr>
                <w:rFonts w:ascii="Times New Roman" w:hAnsi="Times New Roman" w:cs="Times New Roman"/>
                <w:b/>
                <w:bCs/>
                <w:sz w:val="14"/>
                <w:szCs w:val="14"/>
                <w:lang w:eastAsia="sk-SK"/>
              </w:rPr>
              <w:t>381</w:t>
            </w:r>
          </w:p>
        </w:tc>
      </w:tr>
    </w:tbl>
    <w:p w:rsidR="002E52A8" w:rsidRDefault="002E52A8" w:rsidP="002E52A8">
      <w:pPr>
        <w:jc w:val="both"/>
        <w:rPr>
          <w:rFonts w:ascii="Times New Roman" w:hAnsi="Times New Roman"/>
        </w:rPr>
      </w:pPr>
    </w:p>
    <w:p w:rsidR="002E52A8" w:rsidRPr="00CC0B6E" w:rsidRDefault="002E52A8" w:rsidP="002E52A8">
      <w:pPr>
        <w:jc w:val="both"/>
        <w:rPr>
          <w:rFonts w:ascii="Times New Roman" w:hAnsi="Times New Roman"/>
        </w:rPr>
      </w:pPr>
      <w:r>
        <w:rPr>
          <w:rFonts w:ascii="Times New Roman" w:hAnsi="Times New Roman"/>
        </w:rPr>
        <w:t>Najvýraznejší podiel na príjmoch a výdavkoch samostatných účtov, na úrovni viac ako dvoch tretín, majú účty sociálneho zabezpečenia ozbrojených zložiek.</w:t>
      </w:r>
    </w:p>
    <w:p w:rsidR="002E52A8" w:rsidRPr="00832237" w:rsidRDefault="002E52A8" w:rsidP="002E52A8">
      <w:pPr>
        <w:jc w:val="both"/>
        <w:rPr>
          <w:rFonts w:ascii="Times New Roman" w:hAnsi="Times New Roman"/>
          <w:bCs/>
          <w:szCs w:val="16"/>
        </w:rPr>
      </w:pPr>
    </w:p>
    <w:p w:rsidR="002E52A8" w:rsidRDefault="002E52A8" w:rsidP="002E52A8">
      <w:pPr>
        <w:ind w:firstLine="709"/>
        <w:jc w:val="both"/>
        <w:rPr>
          <w:rFonts w:ascii="Times New Roman" w:hAnsi="Times New Roman"/>
        </w:rPr>
      </w:pPr>
      <w:r w:rsidRPr="00832237">
        <w:rPr>
          <w:rFonts w:ascii="Times New Roman" w:hAnsi="Times New Roman"/>
          <w:bCs/>
        </w:rPr>
        <w:t>Schodok štátneho rozpočtu na hotovostnom princípe upravený o modifikujúce faktory predstavuje schodok štátneho rozpočtu v metodike ESA 2010</w:t>
      </w:r>
      <w:r w:rsidRPr="00832237">
        <w:rPr>
          <w:rFonts w:ascii="Times New Roman" w:hAnsi="Times New Roman"/>
        </w:rPr>
        <w:t xml:space="preserve"> a v rokoch 201</w:t>
      </w:r>
      <w:r>
        <w:rPr>
          <w:rFonts w:ascii="Times New Roman" w:hAnsi="Times New Roman"/>
        </w:rPr>
        <w:t>8</w:t>
      </w:r>
      <w:r w:rsidRPr="00832237">
        <w:rPr>
          <w:rFonts w:ascii="Times New Roman" w:hAnsi="Times New Roman"/>
        </w:rPr>
        <w:t xml:space="preserve"> až 20</w:t>
      </w:r>
      <w:r>
        <w:rPr>
          <w:rFonts w:ascii="Times New Roman" w:hAnsi="Times New Roman"/>
        </w:rPr>
        <w:t>20</w:t>
      </w:r>
      <w:r w:rsidRPr="00832237">
        <w:rPr>
          <w:rFonts w:ascii="Times New Roman" w:hAnsi="Times New Roman"/>
        </w:rPr>
        <w:t xml:space="preserve"> sa predpokladá nasledovne.</w:t>
      </w:r>
    </w:p>
    <w:p w:rsidR="002E52A8" w:rsidRDefault="002E52A8" w:rsidP="002E52A8">
      <w:pPr>
        <w:ind w:firstLine="709"/>
        <w:jc w:val="both"/>
        <w:rPr>
          <w:rFonts w:ascii="Times New Roman" w:hAnsi="Times New Roman"/>
        </w:rPr>
      </w:pPr>
    </w:p>
    <w:tbl>
      <w:tblPr>
        <w:tblW w:w="9079" w:type="dxa"/>
        <w:jc w:val="center"/>
        <w:tblCellMar>
          <w:left w:w="70" w:type="dxa"/>
          <w:right w:w="70" w:type="dxa"/>
        </w:tblCellMar>
        <w:tblLook w:val="04A0" w:firstRow="1" w:lastRow="0" w:firstColumn="1" w:lastColumn="0" w:noHBand="0" w:noVBand="1"/>
      </w:tblPr>
      <w:tblGrid>
        <w:gridCol w:w="3339"/>
        <w:gridCol w:w="820"/>
        <w:gridCol w:w="820"/>
        <w:gridCol w:w="820"/>
        <w:gridCol w:w="820"/>
        <w:gridCol w:w="820"/>
        <w:gridCol w:w="820"/>
        <w:gridCol w:w="820"/>
      </w:tblGrid>
      <w:tr w:rsidR="002E52A8" w:rsidRPr="00163637" w:rsidTr="00C72F49">
        <w:trPr>
          <w:trHeight w:val="255"/>
          <w:jc w:val="center"/>
        </w:trPr>
        <w:tc>
          <w:tcPr>
            <w:tcW w:w="3339" w:type="dxa"/>
            <w:tcBorders>
              <w:top w:val="single" w:sz="4" w:space="0" w:color="auto"/>
              <w:left w:val="single" w:sz="4" w:space="0" w:color="auto"/>
              <w:bottom w:val="single" w:sz="4" w:space="0" w:color="auto"/>
              <w:right w:val="nil"/>
            </w:tcBorders>
            <w:shd w:val="clear" w:color="000000" w:fill="A6A6A6"/>
            <w:noWrap/>
            <w:hideMark/>
          </w:tcPr>
          <w:p w:rsidR="002E52A8" w:rsidRPr="009E69A1" w:rsidRDefault="002E52A8" w:rsidP="00C72F49">
            <w:pPr>
              <w:rPr>
                <w:rFonts w:ascii="Times New Roman" w:hAnsi="Times New Roman" w:cs="Times New Roman"/>
                <w:b/>
                <w:sz w:val="14"/>
                <w:szCs w:val="14"/>
                <w:lang w:eastAsia="sk-SK"/>
              </w:rPr>
            </w:pPr>
            <w:r w:rsidRPr="009E69A1">
              <w:rPr>
                <w:rFonts w:ascii="Times New Roman" w:hAnsi="Times New Roman" w:cs="Times New Roman"/>
                <w:b/>
                <w:sz w:val="14"/>
                <w:szCs w:val="14"/>
                <w:lang w:eastAsia="sk-SK"/>
              </w:rPr>
              <w:t>(v tis. eur)</w:t>
            </w:r>
          </w:p>
        </w:tc>
        <w:tc>
          <w:tcPr>
            <w:tcW w:w="82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2017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2017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2E52A8" w:rsidRPr="00163637" w:rsidRDefault="002E52A8" w:rsidP="00C72F49">
            <w:pPr>
              <w:jc w:val="cente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2020 N</w:t>
            </w:r>
          </w:p>
        </w:tc>
      </w:tr>
      <w:tr w:rsidR="002E52A8" w:rsidRPr="00163637" w:rsidTr="00C72F49">
        <w:trPr>
          <w:trHeight w:val="255"/>
          <w:jc w:val="center"/>
        </w:trPr>
        <w:tc>
          <w:tcPr>
            <w:tcW w:w="3339" w:type="dxa"/>
            <w:tcBorders>
              <w:top w:val="nil"/>
              <w:left w:val="single" w:sz="4" w:space="0" w:color="auto"/>
              <w:bottom w:val="single" w:sz="4" w:space="0" w:color="auto"/>
              <w:right w:val="nil"/>
            </w:tcBorders>
            <w:shd w:val="clear" w:color="auto" w:fill="auto"/>
            <w:noWrap/>
            <w:vAlign w:val="center"/>
            <w:hideMark/>
          </w:tcPr>
          <w:p w:rsidR="002E52A8" w:rsidRPr="00163637" w:rsidRDefault="002E52A8" w:rsidP="00C72F49">
            <w:pP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Schodok ŠR na hotovostnom princípe</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-1 932 596</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-980 255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-1 993 219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-1 984 229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-1 972 905</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-1 527 637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-1 585 262</w:t>
            </w:r>
          </w:p>
        </w:tc>
      </w:tr>
      <w:tr w:rsidR="002E52A8" w:rsidRPr="00163637" w:rsidTr="00C72F49">
        <w:trPr>
          <w:trHeight w:val="255"/>
          <w:jc w:val="center"/>
        </w:trPr>
        <w:tc>
          <w:tcPr>
            <w:tcW w:w="3339" w:type="dxa"/>
            <w:tcBorders>
              <w:top w:val="nil"/>
              <w:left w:val="single" w:sz="4" w:space="0" w:color="auto"/>
              <w:bottom w:val="single" w:sz="4" w:space="0" w:color="auto"/>
              <w:right w:val="nil"/>
            </w:tcBorders>
            <w:shd w:val="clear" w:color="auto" w:fill="auto"/>
            <w:noWrap/>
            <w:vAlign w:val="center"/>
            <w:hideMark/>
          </w:tcPr>
          <w:p w:rsidR="002E52A8" w:rsidRPr="00163637" w:rsidRDefault="002E52A8" w:rsidP="00C72F49">
            <w:pPr>
              <w:rPr>
                <w:rFonts w:ascii="Times New Roman" w:hAnsi="Times New Roman" w:cs="Times New Roman"/>
                <w:sz w:val="14"/>
                <w:szCs w:val="14"/>
                <w:lang w:eastAsia="sk-SK"/>
              </w:rPr>
            </w:pPr>
            <w:r w:rsidRPr="00163637">
              <w:rPr>
                <w:rFonts w:ascii="Times New Roman" w:hAnsi="Times New Roman" w:cs="Times New Roman"/>
                <w:sz w:val="14"/>
                <w:szCs w:val="14"/>
                <w:lang w:eastAsia="sk-SK"/>
              </w:rPr>
              <w:t>Modifikujúce faktory</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sz w:val="14"/>
                <w:szCs w:val="14"/>
                <w:lang w:eastAsia="sk-SK"/>
              </w:rPr>
            </w:pPr>
            <w:r w:rsidRPr="00163637">
              <w:rPr>
                <w:rFonts w:ascii="Times New Roman" w:hAnsi="Times New Roman" w:cs="Times New Roman"/>
                <w:sz w:val="14"/>
                <w:szCs w:val="14"/>
                <w:lang w:eastAsia="sk-SK"/>
              </w:rPr>
              <w:t>436 098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sz w:val="14"/>
                <w:szCs w:val="14"/>
                <w:lang w:eastAsia="sk-SK"/>
              </w:rPr>
            </w:pPr>
            <w:r w:rsidRPr="00163637">
              <w:rPr>
                <w:rFonts w:ascii="Times New Roman" w:hAnsi="Times New Roman" w:cs="Times New Roman"/>
                <w:sz w:val="14"/>
                <w:szCs w:val="14"/>
                <w:lang w:eastAsia="sk-SK"/>
              </w:rPr>
              <w:t>-852 932</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sz w:val="14"/>
                <w:szCs w:val="14"/>
                <w:lang w:eastAsia="sk-SK"/>
              </w:rPr>
            </w:pPr>
            <w:r w:rsidRPr="00163637">
              <w:rPr>
                <w:rFonts w:ascii="Times New Roman" w:hAnsi="Times New Roman" w:cs="Times New Roman"/>
                <w:sz w:val="14"/>
                <w:szCs w:val="14"/>
                <w:lang w:eastAsia="sk-SK"/>
              </w:rPr>
              <w:t>270 910</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sz w:val="14"/>
                <w:szCs w:val="14"/>
                <w:lang w:eastAsia="sk-SK"/>
              </w:rPr>
            </w:pPr>
            <w:r w:rsidRPr="00163637">
              <w:rPr>
                <w:rFonts w:ascii="Times New Roman" w:hAnsi="Times New Roman" w:cs="Times New Roman"/>
                <w:sz w:val="14"/>
                <w:szCs w:val="14"/>
                <w:lang w:eastAsia="sk-SK"/>
              </w:rPr>
              <w:t>225 449</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sz w:val="14"/>
                <w:szCs w:val="14"/>
                <w:lang w:eastAsia="sk-SK"/>
              </w:rPr>
            </w:pPr>
            <w:r w:rsidRPr="00163637">
              <w:rPr>
                <w:rFonts w:ascii="Times New Roman" w:hAnsi="Times New Roman" w:cs="Times New Roman"/>
                <w:sz w:val="14"/>
                <w:szCs w:val="14"/>
                <w:lang w:eastAsia="sk-SK"/>
              </w:rPr>
              <w:t>417 178</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sz w:val="14"/>
                <w:szCs w:val="14"/>
                <w:lang w:eastAsia="sk-SK"/>
              </w:rPr>
            </w:pPr>
            <w:r w:rsidRPr="00163637">
              <w:rPr>
                <w:rFonts w:ascii="Times New Roman" w:hAnsi="Times New Roman" w:cs="Times New Roman"/>
                <w:sz w:val="14"/>
                <w:szCs w:val="14"/>
                <w:lang w:eastAsia="sk-SK"/>
              </w:rPr>
              <w:t>381 317</w:t>
            </w:r>
          </w:p>
        </w:tc>
        <w:tc>
          <w:tcPr>
            <w:tcW w:w="820" w:type="dxa"/>
            <w:tcBorders>
              <w:top w:val="nil"/>
              <w:left w:val="nil"/>
              <w:bottom w:val="single" w:sz="4" w:space="0" w:color="auto"/>
              <w:right w:val="single" w:sz="4" w:space="0" w:color="auto"/>
            </w:tcBorders>
            <w:shd w:val="clear" w:color="auto" w:fill="auto"/>
            <w:noWrap/>
            <w:vAlign w:val="center"/>
            <w:hideMark/>
          </w:tcPr>
          <w:p w:rsidR="002E52A8" w:rsidRPr="00163637" w:rsidRDefault="002E52A8" w:rsidP="00C72F49">
            <w:pPr>
              <w:jc w:val="right"/>
              <w:rPr>
                <w:rFonts w:ascii="Times New Roman" w:hAnsi="Times New Roman" w:cs="Times New Roman"/>
                <w:sz w:val="14"/>
                <w:szCs w:val="14"/>
                <w:lang w:eastAsia="sk-SK"/>
              </w:rPr>
            </w:pPr>
            <w:r w:rsidRPr="00163637">
              <w:rPr>
                <w:rFonts w:ascii="Times New Roman" w:hAnsi="Times New Roman" w:cs="Times New Roman"/>
                <w:sz w:val="14"/>
                <w:szCs w:val="14"/>
                <w:lang w:eastAsia="sk-SK"/>
              </w:rPr>
              <w:t>408 098</w:t>
            </w:r>
          </w:p>
        </w:tc>
      </w:tr>
      <w:tr w:rsidR="002E52A8" w:rsidRPr="00163637" w:rsidTr="00C72F49">
        <w:trPr>
          <w:trHeight w:val="255"/>
          <w:jc w:val="center"/>
        </w:trPr>
        <w:tc>
          <w:tcPr>
            <w:tcW w:w="3339" w:type="dxa"/>
            <w:tcBorders>
              <w:top w:val="nil"/>
              <w:left w:val="single" w:sz="4" w:space="0" w:color="auto"/>
              <w:bottom w:val="single" w:sz="4" w:space="0" w:color="auto"/>
              <w:right w:val="nil"/>
            </w:tcBorders>
            <w:shd w:val="clear" w:color="000000" w:fill="BFBFBF"/>
            <w:noWrap/>
            <w:vAlign w:val="center"/>
            <w:hideMark/>
          </w:tcPr>
          <w:p w:rsidR="002E52A8" w:rsidRPr="00163637" w:rsidRDefault="002E52A8" w:rsidP="00C72F49">
            <w:pPr>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Schodok ŠR (ESA 2010)</w:t>
            </w:r>
          </w:p>
        </w:tc>
        <w:tc>
          <w:tcPr>
            <w:tcW w:w="820" w:type="dxa"/>
            <w:tcBorders>
              <w:top w:val="nil"/>
              <w:left w:val="single" w:sz="4" w:space="0" w:color="auto"/>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-1 496 498</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-1 833 187</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-1 722 309</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-1 758 780</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-1 555 727</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-1 146 320</w:t>
            </w:r>
          </w:p>
        </w:tc>
        <w:tc>
          <w:tcPr>
            <w:tcW w:w="820" w:type="dxa"/>
            <w:tcBorders>
              <w:top w:val="nil"/>
              <w:left w:val="nil"/>
              <w:bottom w:val="single" w:sz="4" w:space="0" w:color="auto"/>
              <w:right w:val="single" w:sz="4" w:space="0" w:color="auto"/>
            </w:tcBorders>
            <w:shd w:val="clear" w:color="000000" w:fill="BFBFBF"/>
            <w:noWrap/>
            <w:vAlign w:val="center"/>
            <w:hideMark/>
          </w:tcPr>
          <w:p w:rsidR="002E52A8" w:rsidRPr="00163637" w:rsidRDefault="002E52A8" w:rsidP="00C72F49">
            <w:pPr>
              <w:jc w:val="right"/>
              <w:rPr>
                <w:rFonts w:ascii="Times New Roman" w:hAnsi="Times New Roman" w:cs="Times New Roman"/>
                <w:b/>
                <w:bCs/>
                <w:sz w:val="14"/>
                <w:szCs w:val="14"/>
                <w:lang w:eastAsia="sk-SK"/>
              </w:rPr>
            </w:pPr>
            <w:r w:rsidRPr="00163637">
              <w:rPr>
                <w:rFonts w:ascii="Times New Roman" w:hAnsi="Times New Roman" w:cs="Times New Roman"/>
                <w:b/>
                <w:bCs/>
                <w:sz w:val="14"/>
                <w:szCs w:val="14"/>
                <w:lang w:eastAsia="sk-SK"/>
              </w:rPr>
              <w:t>-1 177 164</w:t>
            </w:r>
          </w:p>
        </w:tc>
      </w:tr>
    </w:tbl>
    <w:p w:rsidR="002E52A8" w:rsidRPr="00832237" w:rsidRDefault="002E52A8" w:rsidP="002E52A8">
      <w:pPr>
        <w:ind w:firstLine="709"/>
        <w:jc w:val="both"/>
        <w:rPr>
          <w:rFonts w:ascii="Times New Roman" w:hAnsi="Times New Roman"/>
        </w:rPr>
      </w:pPr>
    </w:p>
    <w:p w:rsidR="002E52A8" w:rsidRDefault="002E52A8" w:rsidP="002E52A8">
      <w:pPr>
        <w:outlineLvl w:val="1"/>
        <w:rPr>
          <w:rFonts w:ascii="Times New Roman" w:hAnsi="Times New Roman"/>
          <w:b/>
          <w:bCs/>
        </w:rPr>
      </w:pPr>
    </w:p>
    <w:p w:rsidR="002E52A8" w:rsidRPr="00FA71B0" w:rsidRDefault="002E52A8" w:rsidP="002E52A8">
      <w:pPr>
        <w:keepNext/>
        <w:outlineLvl w:val="1"/>
        <w:rPr>
          <w:rFonts w:ascii="Times New Roman" w:hAnsi="Times New Roman"/>
          <w:b/>
          <w:bCs/>
        </w:rPr>
      </w:pPr>
      <w:bookmarkStart w:id="25" w:name="_Toc494463961"/>
      <w:r w:rsidRPr="00273EF3">
        <w:rPr>
          <w:rFonts w:ascii="Times New Roman" w:hAnsi="Times New Roman"/>
          <w:b/>
          <w:bCs/>
        </w:rPr>
        <w:t>2.4. Konsolidovaná bilancia rozpočtu verejnej správy</w:t>
      </w:r>
      <w:bookmarkEnd w:id="25"/>
    </w:p>
    <w:p w:rsidR="00273EF3" w:rsidRPr="00FA71B0" w:rsidRDefault="00273EF3" w:rsidP="00273EF3">
      <w:pPr>
        <w:tabs>
          <w:tab w:val="left" w:pos="0"/>
        </w:tabs>
        <w:jc w:val="both"/>
        <w:rPr>
          <w:rFonts w:ascii="Times New Roman" w:hAnsi="Times New Roman"/>
          <w:b/>
          <w:bCs/>
          <w:color w:val="0070C0"/>
        </w:rPr>
      </w:pPr>
    </w:p>
    <w:tbl>
      <w:tblPr>
        <w:tblW w:w="9096" w:type="dxa"/>
        <w:jc w:val="center"/>
        <w:tblCellMar>
          <w:left w:w="70" w:type="dxa"/>
          <w:right w:w="70" w:type="dxa"/>
        </w:tblCellMar>
        <w:tblLook w:val="04A0" w:firstRow="1" w:lastRow="0" w:firstColumn="1" w:lastColumn="0" w:noHBand="0" w:noVBand="1"/>
      </w:tblPr>
      <w:tblGrid>
        <w:gridCol w:w="2689"/>
        <w:gridCol w:w="667"/>
        <w:gridCol w:w="820"/>
        <w:gridCol w:w="820"/>
        <w:gridCol w:w="820"/>
        <w:gridCol w:w="820"/>
        <w:gridCol w:w="820"/>
        <w:gridCol w:w="820"/>
        <w:gridCol w:w="820"/>
      </w:tblGrid>
      <w:tr w:rsidR="00273EF3" w:rsidRPr="00273EF3" w:rsidTr="00D96DF0">
        <w:trPr>
          <w:trHeight w:val="240"/>
          <w:jc w:val="center"/>
        </w:trPr>
        <w:tc>
          <w:tcPr>
            <w:tcW w:w="268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273EF3" w:rsidRPr="00273EF3" w:rsidRDefault="00273EF3" w:rsidP="00273EF3">
            <w:pPr>
              <w:rPr>
                <w:rFonts w:ascii="Times New Roman" w:hAnsi="Times New Roman" w:cs="Times New Roman"/>
                <w:b/>
                <w:sz w:val="14"/>
                <w:szCs w:val="14"/>
                <w:lang w:eastAsia="sk-SK"/>
              </w:rPr>
            </w:pPr>
            <w:r w:rsidRPr="00273EF3">
              <w:rPr>
                <w:rFonts w:ascii="Times New Roman" w:hAnsi="Times New Roman" w:cs="Times New Roman"/>
                <w:b/>
                <w:sz w:val="14"/>
                <w:szCs w:val="14"/>
                <w:lang w:eastAsia="sk-SK"/>
              </w:rPr>
              <w:t xml:space="preserve">(v metodike ESA 2010 na </w:t>
            </w:r>
            <w:proofErr w:type="spellStart"/>
            <w:r w:rsidRPr="00273EF3">
              <w:rPr>
                <w:rFonts w:ascii="Times New Roman" w:hAnsi="Times New Roman" w:cs="Times New Roman"/>
                <w:b/>
                <w:sz w:val="14"/>
                <w:szCs w:val="14"/>
                <w:lang w:eastAsia="sk-SK"/>
              </w:rPr>
              <w:t>konsolid</w:t>
            </w:r>
            <w:proofErr w:type="spellEnd"/>
            <w:r w:rsidRPr="00273EF3">
              <w:rPr>
                <w:rFonts w:ascii="Times New Roman" w:hAnsi="Times New Roman" w:cs="Times New Roman"/>
                <w:b/>
                <w:sz w:val="14"/>
                <w:szCs w:val="14"/>
                <w:lang w:eastAsia="sk-SK"/>
              </w:rPr>
              <w:t>.</w:t>
            </w:r>
            <w:r>
              <w:rPr>
                <w:rFonts w:ascii="Times New Roman" w:hAnsi="Times New Roman" w:cs="Times New Roman"/>
                <w:b/>
                <w:sz w:val="14"/>
                <w:szCs w:val="14"/>
                <w:lang w:eastAsia="sk-SK"/>
              </w:rPr>
              <w:t xml:space="preserve"> b</w:t>
            </w:r>
            <w:r w:rsidRPr="00273EF3">
              <w:rPr>
                <w:rFonts w:ascii="Times New Roman" w:hAnsi="Times New Roman" w:cs="Times New Roman"/>
                <w:b/>
                <w:sz w:val="14"/>
                <w:szCs w:val="14"/>
                <w:lang w:eastAsia="sk-SK"/>
              </w:rPr>
              <w:t>áze)</w:t>
            </w:r>
          </w:p>
        </w:tc>
        <w:tc>
          <w:tcPr>
            <w:tcW w:w="66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73EF3" w:rsidRPr="00273EF3" w:rsidRDefault="00273EF3" w:rsidP="00465CAC">
            <w:pPr>
              <w:jc w:val="center"/>
              <w:rPr>
                <w:rFonts w:ascii="Times New Roman" w:hAnsi="Times New Roman" w:cs="Times New Roman"/>
                <w:b/>
                <w:bCs/>
                <w:sz w:val="14"/>
                <w:szCs w:val="14"/>
                <w:lang w:eastAsia="sk-SK"/>
              </w:rPr>
            </w:pPr>
            <w:r w:rsidRPr="00273EF3">
              <w:rPr>
                <w:rFonts w:ascii="Times New Roman" w:hAnsi="Times New Roman" w:cs="Times New Roman"/>
                <w:b/>
                <w:bCs/>
                <w:sz w:val="14"/>
                <w:szCs w:val="14"/>
                <w:lang w:eastAsia="sk-SK"/>
              </w:rPr>
              <w:t xml:space="preserve">m. j. </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73EF3" w:rsidRPr="00273EF3" w:rsidRDefault="00273EF3" w:rsidP="00465CAC">
            <w:pPr>
              <w:jc w:val="center"/>
              <w:rPr>
                <w:rFonts w:ascii="Times New Roman" w:hAnsi="Times New Roman" w:cs="Times New Roman"/>
                <w:b/>
                <w:bCs/>
                <w:color w:val="000000"/>
                <w:sz w:val="14"/>
                <w:szCs w:val="14"/>
                <w:lang w:eastAsia="sk-SK"/>
              </w:rPr>
            </w:pPr>
            <w:r w:rsidRPr="00273EF3">
              <w:rPr>
                <w:rFonts w:ascii="Times New Roman" w:hAnsi="Times New Roman" w:cs="Times New Roman"/>
                <w:b/>
                <w:bCs/>
                <w:color w:val="000000"/>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73EF3" w:rsidRPr="00273EF3" w:rsidRDefault="00273EF3" w:rsidP="00465CAC">
            <w:pPr>
              <w:jc w:val="center"/>
              <w:rPr>
                <w:rFonts w:ascii="Times New Roman" w:hAnsi="Times New Roman" w:cs="Times New Roman"/>
                <w:b/>
                <w:bCs/>
                <w:color w:val="000000"/>
                <w:sz w:val="14"/>
                <w:szCs w:val="14"/>
                <w:lang w:eastAsia="sk-SK"/>
              </w:rPr>
            </w:pPr>
            <w:r w:rsidRPr="00273EF3">
              <w:rPr>
                <w:rFonts w:ascii="Times New Roman" w:hAnsi="Times New Roman" w:cs="Times New Roman"/>
                <w:b/>
                <w:bCs/>
                <w:color w:val="000000"/>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73EF3" w:rsidRPr="00273EF3" w:rsidRDefault="00273EF3" w:rsidP="00465CAC">
            <w:pPr>
              <w:jc w:val="center"/>
              <w:rPr>
                <w:rFonts w:ascii="Times New Roman" w:hAnsi="Times New Roman" w:cs="Times New Roman"/>
                <w:b/>
                <w:bCs/>
                <w:color w:val="000000"/>
                <w:sz w:val="14"/>
                <w:szCs w:val="14"/>
                <w:lang w:eastAsia="sk-SK"/>
              </w:rPr>
            </w:pPr>
            <w:r w:rsidRPr="00273EF3">
              <w:rPr>
                <w:rFonts w:ascii="Times New Roman" w:hAnsi="Times New Roman" w:cs="Times New Roman"/>
                <w:b/>
                <w:bCs/>
                <w:color w:val="000000"/>
                <w:sz w:val="14"/>
                <w:szCs w:val="14"/>
                <w:lang w:eastAsia="sk-SK"/>
              </w:rPr>
              <w:t>2017 R</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73EF3" w:rsidRPr="00273EF3" w:rsidRDefault="00273EF3" w:rsidP="00465CAC">
            <w:pPr>
              <w:jc w:val="center"/>
              <w:rPr>
                <w:rFonts w:ascii="Times New Roman" w:hAnsi="Times New Roman" w:cs="Times New Roman"/>
                <w:b/>
                <w:bCs/>
                <w:color w:val="000000"/>
                <w:sz w:val="14"/>
                <w:szCs w:val="14"/>
                <w:lang w:eastAsia="sk-SK"/>
              </w:rPr>
            </w:pPr>
            <w:r w:rsidRPr="00273EF3">
              <w:rPr>
                <w:rFonts w:ascii="Times New Roman" w:hAnsi="Times New Roman" w:cs="Times New Roman"/>
                <w:b/>
                <w:bCs/>
                <w:color w:val="000000"/>
                <w:sz w:val="14"/>
                <w:szCs w:val="14"/>
                <w:lang w:eastAsia="sk-SK"/>
              </w:rPr>
              <w:t>2017 OS</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73EF3" w:rsidRPr="00273EF3" w:rsidRDefault="00273EF3" w:rsidP="00465CAC">
            <w:pPr>
              <w:jc w:val="center"/>
              <w:rPr>
                <w:rFonts w:ascii="Times New Roman" w:hAnsi="Times New Roman" w:cs="Times New Roman"/>
                <w:b/>
                <w:bCs/>
                <w:color w:val="000000"/>
                <w:sz w:val="14"/>
                <w:szCs w:val="14"/>
                <w:lang w:eastAsia="sk-SK"/>
              </w:rPr>
            </w:pPr>
            <w:r w:rsidRPr="00273EF3">
              <w:rPr>
                <w:rFonts w:ascii="Times New Roman" w:hAnsi="Times New Roman" w:cs="Times New Roman"/>
                <w:b/>
                <w:bCs/>
                <w:color w:val="000000"/>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73EF3" w:rsidRPr="00273EF3" w:rsidRDefault="00273EF3" w:rsidP="00465CAC">
            <w:pPr>
              <w:jc w:val="center"/>
              <w:rPr>
                <w:rFonts w:ascii="Times New Roman" w:hAnsi="Times New Roman" w:cs="Times New Roman"/>
                <w:b/>
                <w:bCs/>
                <w:color w:val="000000"/>
                <w:sz w:val="14"/>
                <w:szCs w:val="14"/>
                <w:lang w:eastAsia="sk-SK"/>
              </w:rPr>
            </w:pPr>
            <w:r w:rsidRPr="00273EF3">
              <w:rPr>
                <w:rFonts w:ascii="Times New Roman" w:hAnsi="Times New Roman" w:cs="Times New Roman"/>
                <w:b/>
                <w:bCs/>
                <w:color w:val="000000"/>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73EF3" w:rsidRPr="00273EF3" w:rsidRDefault="00273EF3" w:rsidP="00465CAC">
            <w:pPr>
              <w:jc w:val="center"/>
              <w:rPr>
                <w:rFonts w:ascii="Times New Roman" w:hAnsi="Times New Roman" w:cs="Times New Roman"/>
                <w:b/>
                <w:bCs/>
                <w:color w:val="000000"/>
                <w:sz w:val="14"/>
                <w:szCs w:val="14"/>
                <w:lang w:eastAsia="sk-SK"/>
              </w:rPr>
            </w:pPr>
            <w:r w:rsidRPr="00273EF3">
              <w:rPr>
                <w:rFonts w:ascii="Times New Roman" w:hAnsi="Times New Roman" w:cs="Times New Roman"/>
                <w:b/>
                <w:bCs/>
                <w:color w:val="000000"/>
                <w:sz w:val="14"/>
                <w:szCs w:val="14"/>
                <w:lang w:eastAsia="sk-SK"/>
              </w:rPr>
              <w:t>2020 N</w:t>
            </w:r>
          </w:p>
        </w:tc>
      </w:tr>
      <w:tr w:rsidR="00273EF3" w:rsidRPr="005606C4" w:rsidTr="00273EF3">
        <w:trPr>
          <w:trHeight w:val="24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273EF3" w:rsidRPr="005606C4" w:rsidRDefault="00273EF3" w:rsidP="00465CAC">
            <w:pPr>
              <w:rPr>
                <w:rFonts w:ascii="Times New Roman" w:hAnsi="Times New Roman" w:cs="Times New Roman"/>
                <w:sz w:val="14"/>
                <w:szCs w:val="14"/>
                <w:lang w:eastAsia="sk-SK"/>
              </w:rPr>
            </w:pPr>
            <w:r w:rsidRPr="005606C4">
              <w:rPr>
                <w:rFonts w:ascii="Times New Roman" w:hAnsi="Times New Roman" w:cs="Times New Roman"/>
                <w:sz w:val="14"/>
                <w:szCs w:val="14"/>
                <w:lang w:eastAsia="sk-SK"/>
              </w:rPr>
              <w:t>Príjmy verejnej správy</w:t>
            </w:r>
          </w:p>
        </w:tc>
        <w:tc>
          <w:tcPr>
            <w:tcW w:w="667"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center"/>
              <w:rPr>
                <w:rFonts w:ascii="Times New Roman" w:hAnsi="Times New Roman" w:cs="Times New Roman"/>
                <w:sz w:val="14"/>
                <w:szCs w:val="14"/>
                <w:lang w:eastAsia="sk-SK"/>
              </w:rPr>
            </w:pPr>
            <w:r w:rsidRPr="005606C4">
              <w:rPr>
                <w:rFonts w:ascii="Times New Roman" w:hAnsi="Times New Roman" w:cs="Times New Roman"/>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33 690,8</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32 344,7</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33 450,1</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33 310,1</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34 432,3</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37 073,2</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38 696,7</w:t>
            </w:r>
          </w:p>
        </w:tc>
      </w:tr>
      <w:tr w:rsidR="00273EF3" w:rsidRPr="005606C4" w:rsidTr="00273EF3">
        <w:trPr>
          <w:trHeight w:val="240"/>
          <w:jc w:val="center"/>
        </w:trPr>
        <w:tc>
          <w:tcPr>
            <w:tcW w:w="2689" w:type="dxa"/>
            <w:tcBorders>
              <w:top w:val="nil"/>
              <w:left w:val="single" w:sz="4" w:space="0" w:color="auto"/>
              <w:bottom w:val="single" w:sz="4" w:space="0" w:color="auto"/>
              <w:right w:val="single" w:sz="4" w:space="0" w:color="auto"/>
            </w:tcBorders>
            <w:shd w:val="clear" w:color="000000" w:fill="BFBFBF"/>
            <w:noWrap/>
            <w:vAlign w:val="center"/>
            <w:hideMark/>
          </w:tcPr>
          <w:p w:rsidR="00273EF3" w:rsidRPr="005606C4" w:rsidRDefault="00273EF3" w:rsidP="00465CAC">
            <w:pPr>
              <w:rPr>
                <w:rFonts w:ascii="Times New Roman" w:hAnsi="Times New Roman" w:cs="Times New Roman"/>
                <w:sz w:val="14"/>
                <w:szCs w:val="14"/>
                <w:lang w:eastAsia="sk-SK"/>
              </w:rPr>
            </w:pPr>
            <w:r w:rsidRPr="005606C4">
              <w:rPr>
                <w:rFonts w:ascii="Times New Roman" w:hAnsi="Times New Roman" w:cs="Times New Roman"/>
                <w:sz w:val="14"/>
                <w:szCs w:val="14"/>
                <w:lang w:eastAsia="sk-SK"/>
              </w:rPr>
              <w:t xml:space="preserve">Príjmy verejnej správy </w:t>
            </w:r>
          </w:p>
        </w:tc>
        <w:tc>
          <w:tcPr>
            <w:tcW w:w="667"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center"/>
              <w:rPr>
                <w:rFonts w:ascii="Times New Roman" w:hAnsi="Times New Roman" w:cs="Times New Roman"/>
                <w:sz w:val="14"/>
                <w:szCs w:val="14"/>
                <w:lang w:eastAsia="sk-SK"/>
              </w:rPr>
            </w:pPr>
            <w:r w:rsidRPr="005606C4">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42,82</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39,95</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39,83</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39,37</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38,47</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38,92</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38,31</w:t>
            </w:r>
          </w:p>
        </w:tc>
      </w:tr>
      <w:tr w:rsidR="00273EF3" w:rsidRPr="005606C4" w:rsidTr="00273EF3">
        <w:trPr>
          <w:trHeight w:val="24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273EF3" w:rsidRPr="005606C4" w:rsidRDefault="00273EF3" w:rsidP="00465CAC">
            <w:pPr>
              <w:rPr>
                <w:rFonts w:ascii="Times New Roman" w:hAnsi="Times New Roman" w:cs="Times New Roman"/>
                <w:sz w:val="14"/>
                <w:szCs w:val="14"/>
                <w:lang w:eastAsia="sk-SK"/>
              </w:rPr>
            </w:pPr>
            <w:r w:rsidRPr="005606C4">
              <w:rPr>
                <w:rFonts w:ascii="Times New Roman" w:hAnsi="Times New Roman" w:cs="Times New Roman"/>
                <w:sz w:val="14"/>
                <w:szCs w:val="14"/>
                <w:lang w:eastAsia="sk-SK"/>
              </w:rPr>
              <w:t>Výdavky verejnej správy</w:t>
            </w:r>
          </w:p>
        </w:tc>
        <w:tc>
          <w:tcPr>
            <w:tcW w:w="667"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center"/>
              <w:rPr>
                <w:rFonts w:ascii="Times New Roman" w:hAnsi="Times New Roman" w:cs="Times New Roman"/>
                <w:sz w:val="14"/>
                <w:szCs w:val="14"/>
                <w:lang w:eastAsia="sk-SK"/>
              </w:rPr>
            </w:pPr>
            <w:r w:rsidRPr="005606C4">
              <w:rPr>
                <w:rFonts w:ascii="Times New Roman" w:hAnsi="Times New Roman" w:cs="Times New Roman"/>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35 850,4</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33 706,3</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34 533,6</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34 685,6</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35 175,1</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37 382,7</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38 969,7</w:t>
            </w:r>
          </w:p>
        </w:tc>
      </w:tr>
      <w:tr w:rsidR="00273EF3" w:rsidRPr="005606C4" w:rsidTr="00273EF3">
        <w:trPr>
          <w:trHeight w:val="240"/>
          <w:jc w:val="center"/>
        </w:trPr>
        <w:tc>
          <w:tcPr>
            <w:tcW w:w="2689" w:type="dxa"/>
            <w:tcBorders>
              <w:top w:val="nil"/>
              <w:left w:val="single" w:sz="4" w:space="0" w:color="auto"/>
              <w:bottom w:val="single" w:sz="4" w:space="0" w:color="auto"/>
              <w:right w:val="single" w:sz="4" w:space="0" w:color="auto"/>
            </w:tcBorders>
            <w:shd w:val="clear" w:color="000000" w:fill="BFBFBF"/>
            <w:noWrap/>
            <w:vAlign w:val="center"/>
            <w:hideMark/>
          </w:tcPr>
          <w:p w:rsidR="00273EF3" w:rsidRPr="005606C4" w:rsidRDefault="00273EF3" w:rsidP="00465CAC">
            <w:pPr>
              <w:rPr>
                <w:rFonts w:ascii="Times New Roman" w:hAnsi="Times New Roman" w:cs="Times New Roman"/>
                <w:sz w:val="14"/>
                <w:szCs w:val="14"/>
                <w:lang w:eastAsia="sk-SK"/>
              </w:rPr>
            </w:pPr>
            <w:r w:rsidRPr="005606C4">
              <w:rPr>
                <w:rFonts w:ascii="Times New Roman" w:hAnsi="Times New Roman" w:cs="Times New Roman"/>
                <w:sz w:val="14"/>
                <w:szCs w:val="14"/>
                <w:lang w:eastAsia="sk-SK"/>
              </w:rPr>
              <w:t xml:space="preserve">Výdavky verejnej správy </w:t>
            </w:r>
          </w:p>
        </w:tc>
        <w:tc>
          <w:tcPr>
            <w:tcW w:w="667"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center"/>
              <w:rPr>
                <w:rFonts w:ascii="Times New Roman" w:hAnsi="Times New Roman" w:cs="Times New Roman"/>
                <w:sz w:val="14"/>
                <w:szCs w:val="14"/>
                <w:lang w:eastAsia="sk-SK"/>
              </w:rPr>
            </w:pPr>
            <w:r w:rsidRPr="005606C4">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45,56</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41,63</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41,12</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41,00</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39,30</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39,24</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38,58</w:t>
            </w:r>
          </w:p>
        </w:tc>
      </w:tr>
      <w:tr w:rsidR="00273EF3" w:rsidRPr="005606C4" w:rsidTr="00273EF3">
        <w:trPr>
          <w:trHeight w:val="24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273EF3" w:rsidRPr="005606C4" w:rsidRDefault="00273EF3" w:rsidP="00465CAC">
            <w:pPr>
              <w:rPr>
                <w:rFonts w:ascii="Times New Roman" w:hAnsi="Times New Roman" w:cs="Times New Roman"/>
                <w:sz w:val="14"/>
                <w:szCs w:val="14"/>
                <w:lang w:eastAsia="sk-SK"/>
              </w:rPr>
            </w:pPr>
            <w:r w:rsidRPr="005606C4">
              <w:rPr>
                <w:rFonts w:ascii="Times New Roman" w:hAnsi="Times New Roman" w:cs="Times New Roman"/>
                <w:sz w:val="14"/>
                <w:szCs w:val="14"/>
                <w:lang w:eastAsia="sk-SK"/>
              </w:rPr>
              <w:t>Schodok verejnej správy</w:t>
            </w:r>
          </w:p>
        </w:tc>
        <w:tc>
          <w:tcPr>
            <w:tcW w:w="667"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center"/>
              <w:rPr>
                <w:rFonts w:ascii="Times New Roman" w:hAnsi="Times New Roman" w:cs="Times New Roman"/>
                <w:sz w:val="14"/>
                <w:szCs w:val="14"/>
                <w:lang w:eastAsia="sk-SK"/>
              </w:rPr>
            </w:pPr>
            <w:r w:rsidRPr="005606C4">
              <w:rPr>
                <w:rFonts w:ascii="Times New Roman" w:hAnsi="Times New Roman" w:cs="Times New Roman"/>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-2 159,6</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-1 361,5</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-1 083,5</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-1 375,6</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-742,8</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-309,4</w:t>
            </w:r>
          </w:p>
        </w:tc>
        <w:tc>
          <w:tcPr>
            <w:tcW w:w="820" w:type="dxa"/>
            <w:tcBorders>
              <w:top w:val="nil"/>
              <w:left w:val="nil"/>
              <w:bottom w:val="single" w:sz="4" w:space="0" w:color="auto"/>
              <w:right w:val="single" w:sz="4" w:space="0" w:color="auto"/>
            </w:tcBorders>
            <w:shd w:val="clear" w:color="auto" w:fill="auto"/>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-273,0</w:t>
            </w:r>
          </w:p>
        </w:tc>
      </w:tr>
      <w:tr w:rsidR="00273EF3" w:rsidRPr="005606C4" w:rsidTr="00273EF3">
        <w:trPr>
          <w:trHeight w:val="240"/>
          <w:jc w:val="center"/>
        </w:trPr>
        <w:tc>
          <w:tcPr>
            <w:tcW w:w="2689" w:type="dxa"/>
            <w:tcBorders>
              <w:top w:val="nil"/>
              <w:left w:val="single" w:sz="4" w:space="0" w:color="auto"/>
              <w:bottom w:val="single" w:sz="4" w:space="0" w:color="auto"/>
              <w:right w:val="single" w:sz="4" w:space="0" w:color="auto"/>
            </w:tcBorders>
            <w:shd w:val="clear" w:color="000000" w:fill="BFBFBF"/>
            <w:noWrap/>
            <w:vAlign w:val="center"/>
            <w:hideMark/>
          </w:tcPr>
          <w:p w:rsidR="00273EF3" w:rsidRPr="005606C4" w:rsidRDefault="00273EF3" w:rsidP="00465CAC">
            <w:pPr>
              <w:rPr>
                <w:rFonts w:ascii="Times New Roman" w:hAnsi="Times New Roman" w:cs="Times New Roman"/>
                <w:sz w:val="14"/>
                <w:szCs w:val="14"/>
                <w:lang w:eastAsia="sk-SK"/>
              </w:rPr>
            </w:pPr>
            <w:r w:rsidRPr="005606C4">
              <w:rPr>
                <w:rFonts w:ascii="Times New Roman" w:hAnsi="Times New Roman" w:cs="Times New Roman"/>
                <w:sz w:val="14"/>
                <w:szCs w:val="14"/>
                <w:lang w:eastAsia="sk-SK"/>
              </w:rPr>
              <w:t xml:space="preserve">Schodok verejnej správy </w:t>
            </w:r>
          </w:p>
        </w:tc>
        <w:tc>
          <w:tcPr>
            <w:tcW w:w="667"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center"/>
              <w:rPr>
                <w:rFonts w:ascii="Times New Roman" w:hAnsi="Times New Roman" w:cs="Times New Roman"/>
                <w:sz w:val="14"/>
                <w:szCs w:val="14"/>
                <w:lang w:eastAsia="sk-SK"/>
              </w:rPr>
            </w:pPr>
            <w:r w:rsidRPr="005606C4">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-2,74</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-1,68</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-1,29</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-1,63</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-0,83</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-0,32</w:t>
            </w:r>
          </w:p>
        </w:tc>
        <w:tc>
          <w:tcPr>
            <w:tcW w:w="820" w:type="dxa"/>
            <w:tcBorders>
              <w:top w:val="nil"/>
              <w:left w:val="nil"/>
              <w:bottom w:val="single" w:sz="4" w:space="0" w:color="auto"/>
              <w:right w:val="single" w:sz="4" w:space="0" w:color="auto"/>
            </w:tcBorders>
            <w:shd w:val="clear" w:color="000000" w:fill="BFBFBF"/>
            <w:noWrap/>
            <w:vAlign w:val="center"/>
            <w:hideMark/>
          </w:tcPr>
          <w:p w:rsidR="00273EF3" w:rsidRPr="005606C4" w:rsidRDefault="00273EF3" w:rsidP="00465CAC">
            <w:pPr>
              <w:jc w:val="right"/>
              <w:rPr>
                <w:rFonts w:ascii="Times New Roman" w:hAnsi="Times New Roman" w:cs="Times New Roman"/>
                <w:sz w:val="14"/>
                <w:szCs w:val="14"/>
                <w:lang w:eastAsia="sk-SK"/>
              </w:rPr>
            </w:pPr>
            <w:r w:rsidRPr="005606C4">
              <w:rPr>
                <w:rFonts w:ascii="Times New Roman" w:hAnsi="Times New Roman" w:cs="Times New Roman"/>
                <w:sz w:val="14"/>
                <w:szCs w:val="14"/>
                <w:lang w:eastAsia="sk-SK"/>
              </w:rPr>
              <w:t>-0,27</w:t>
            </w:r>
          </w:p>
        </w:tc>
      </w:tr>
    </w:tbl>
    <w:p w:rsidR="00273EF3" w:rsidRPr="00D36C83" w:rsidRDefault="00273EF3" w:rsidP="00273EF3">
      <w:pPr>
        <w:ind w:firstLine="708"/>
        <w:jc w:val="both"/>
        <w:rPr>
          <w:rFonts w:ascii="Times New Roman" w:hAnsi="Times New Roman"/>
          <w:color w:val="0070C0"/>
        </w:rPr>
      </w:pPr>
    </w:p>
    <w:p w:rsidR="00273EF3" w:rsidRPr="00FB4D24" w:rsidRDefault="00273EF3" w:rsidP="00273EF3">
      <w:pPr>
        <w:ind w:firstLine="708"/>
        <w:jc w:val="both"/>
        <w:rPr>
          <w:rFonts w:ascii="Times New Roman" w:hAnsi="Times New Roman"/>
        </w:rPr>
      </w:pPr>
      <w:r w:rsidRPr="00FB4D24">
        <w:rPr>
          <w:rFonts w:ascii="Times New Roman" w:hAnsi="Times New Roman"/>
        </w:rPr>
        <w:t>Verejné príjmy budú v roku 2018 v porovnaní so schváleným rozpočtom na rok 2017 nižšie o 1,35 % HDP, čo pri medziročnom znížení verejných výdavkov o 1,81 % HDP predstavuje medziročné zníženie schodku rozpočtu verejnej správy o 0,46 % HDP.</w:t>
      </w:r>
    </w:p>
    <w:p w:rsidR="00273EF3" w:rsidRPr="00FB4D24" w:rsidRDefault="00273EF3" w:rsidP="00273EF3">
      <w:pPr>
        <w:ind w:firstLine="708"/>
        <w:jc w:val="both"/>
        <w:rPr>
          <w:rFonts w:ascii="Times New Roman" w:hAnsi="Times New Roman"/>
        </w:rPr>
      </w:pPr>
    </w:p>
    <w:p w:rsidR="00273EF3" w:rsidRPr="00BD60B5" w:rsidRDefault="00273EF3" w:rsidP="00273EF3">
      <w:pPr>
        <w:ind w:firstLine="708"/>
        <w:jc w:val="both"/>
        <w:rPr>
          <w:rFonts w:ascii="Times New Roman" w:hAnsi="Times New Roman"/>
        </w:rPr>
      </w:pPr>
      <w:r w:rsidRPr="00375067">
        <w:rPr>
          <w:rFonts w:ascii="Times New Roman" w:hAnsi="Times New Roman"/>
        </w:rPr>
        <w:t>Tieto čísla sú ešte čiastočne skreslené čerpaním eurofondov, ktoré „navyšujú“ úroveň verejných príjmov aj výdavkov (podľa metodiky ESA 2010 sú eurofondy, ktoré využijú verejné subjekty súčasťou verejných príjmov aj výdavkov). Ak by sme od eurofondov abstrahovali, príjmy verejných financií dosiahnu v roku 2018 úroveň 38,09 % HDP a oproti schválenému rozpočtu na rok 2017 klesnú o 0,37 % HDP. Výdavky verejných financií bez EÚ fondov v roku 2018 dosiahnu úroveň 38,92 % HDP, čo oproti roku 2017 predstavuje pokles o 0,83 % HDP.</w:t>
      </w:r>
    </w:p>
    <w:p w:rsidR="00273EF3" w:rsidRDefault="00273EF3" w:rsidP="00273EF3">
      <w:pPr>
        <w:ind w:firstLine="708"/>
        <w:jc w:val="both"/>
        <w:rPr>
          <w:rFonts w:ascii="Times New Roman" w:hAnsi="Times New Roman"/>
        </w:rPr>
      </w:pPr>
    </w:p>
    <w:p w:rsidR="00273EF3" w:rsidRDefault="00273EF3" w:rsidP="00273EF3">
      <w:pPr>
        <w:ind w:firstLine="708"/>
        <w:jc w:val="both"/>
        <w:rPr>
          <w:rFonts w:ascii="Times New Roman" w:hAnsi="Times New Roman"/>
        </w:rPr>
      </w:pPr>
    </w:p>
    <w:p w:rsidR="00273EF3" w:rsidRDefault="00273EF3" w:rsidP="00273EF3">
      <w:pPr>
        <w:ind w:firstLine="708"/>
        <w:jc w:val="both"/>
        <w:rPr>
          <w:rFonts w:ascii="Times New Roman" w:hAnsi="Times New Roman"/>
        </w:rPr>
      </w:pPr>
    </w:p>
    <w:p w:rsidR="00273EF3" w:rsidRDefault="00273EF3" w:rsidP="00273EF3">
      <w:pPr>
        <w:ind w:firstLine="708"/>
        <w:jc w:val="both"/>
        <w:rPr>
          <w:rFonts w:ascii="Times New Roman" w:hAnsi="Times New Roman"/>
        </w:rPr>
      </w:pPr>
    </w:p>
    <w:p w:rsidR="00273EF3" w:rsidRDefault="00273EF3" w:rsidP="00273EF3">
      <w:pPr>
        <w:ind w:firstLine="708"/>
        <w:jc w:val="both"/>
        <w:rPr>
          <w:rFonts w:ascii="Times New Roman" w:hAnsi="Times New Roman"/>
        </w:rPr>
      </w:pPr>
    </w:p>
    <w:p w:rsidR="00273EF3" w:rsidRDefault="00273EF3" w:rsidP="00273EF3">
      <w:pPr>
        <w:ind w:firstLine="708"/>
        <w:jc w:val="both"/>
        <w:rPr>
          <w:rFonts w:ascii="Times New Roman" w:hAnsi="Times New Roman"/>
        </w:rPr>
      </w:pPr>
    </w:p>
    <w:p w:rsidR="00273EF3" w:rsidRDefault="00273EF3" w:rsidP="00273EF3">
      <w:pPr>
        <w:ind w:firstLine="708"/>
        <w:jc w:val="both"/>
        <w:rPr>
          <w:rFonts w:ascii="Times New Roman" w:hAnsi="Times New Roman"/>
        </w:rPr>
      </w:pPr>
    </w:p>
    <w:p w:rsidR="00273EF3" w:rsidRDefault="00273EF3" w:rsidP="00273EF3">
      <w:pPr>
        <w:ind w:firstLine="708"/>
        <w:jc w:val="both"/>
        <w:rPr>
          <w:rFonts w:ascii="Times New Roman" w:hAnsi="Times New Roman"/>
        </w:rPr>
      </w:pPr>
    </w:p>
    <w:p w:rsidR="00273EF3" w:rsidRDefault="00273EF3" w:rsidP="00273EF3">
      <w:pPr>
        <w:ind w:firstLine="708"/>
        <w:jc w:val="both"/>
        <w:rPr>
          <w:rFonts w:ascii="Times New Roman" w:hAnsi="Times New Roman"/>
        </w:rPr>
      </w:pPr>
    </w:p>
    <w:p w:rsidR="00273EF3" w:rsidRPr="00D36C83" w:rsidRDefault="00273EF3" w:rsidP="00273EF3">
      <w:pPr>
        <w:ind w:firstLine="708"/>
        <w:jc w:val="both"/>
        <w:rPr>
          <w:rFonts w:ascii="Times New Roman" w:hAnsi="Times New Roman"/>
        </w:rPr>
      </w:pPr>
      <w:r w:rsidRPr="00D36C83">
        <w:rPr>
          <w:rFonts w:ascii="Times New Roman" w:hAnsi="Times New Roman"/>
        </w:rPr>
        <w:lastRenderedPageBreak/>
        <w:t xml:space="preserve">Nasledujúca tabuľka prezentuje ESA klasifikáciu príjmov a výdavkov sektora verejnej správy. </w:t>
      </w:r>
    </w:p>
    <w:p w:rsidR="00AA35C3" w:rsidRPr="00D36C83" w:rsidRDefault="00AA35C3" w:rsidP="00AA35C3">
      <w:pPr>
        <w:jc w:val="both"/>
        <w:rPr>
          <w:rFonts w:ascii="Times New Roman" w:hAnsi="Times New Roman"/>
        </w:rPr>
      </w:pPr>
    </w:p>
    <w:tbl>
      <w:tblPr>
        <w:tblW w:w="9032" w:type="dxa"/>
        <w:jc w:val="center"/>
        <w:tblLayout w:type="fixed"/>
        <w:tblCellMar>
          <w:left w:w="70" w:type="dxa"/>
          <w:right w:w="70" w:type="dxa"/>
        </w:tblCellMar>
        <w:tblLook w:val="04A0" w:firstRow="1" w:lastRow="0" w:firstColumn="1" w:lastColumn="0" w:noHBand="0" w:noVBand="1"/>
      </w:tblPr>
      <w:tblGrid>
        <w:gridCol w:w="2263"/>
        <w:gridCol w:w="1029"/>
        <w:gridCol w:w="820"/>
        <w:gridCol w:w="820"/>
        <w:gridCol w:w="820"/>
        <w:gridCol w:w="820"/>
        <w:gridCol w:w="820"/>
        <w:gridCol w:w="820"/>
        <w:gridCol w:w="820"/>
      </w:tblGrid>
      <w:tr w:rsidR="00AA35C3" w:rsidRPr="00AA35C3" w:rsidTr="00AA35C3">
        <w:trPr>
          <w:trHeight w:val="210"/>
          <w:jc w:val="center"/>
        </w:trPr>
        <w:tc>
          <w:tcPr>
            <w:tcW w:w="22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A35C3" w:rsidRPr="00AA35C3" w:rsidRDefault="00AA35C3" w:rsidP="00A23F29">
            <w:pPr>
              <w:rPr>
                <w:rFonts w:ascii="Times New Roman" w:hAnsi="Times New Roman" w:cs="Times New Roman"/>
                <w:b/>
                <w:color w:val="000000"/>
                <w:sz w:val="14"/>
                <w:szCs w:val="14"/>
                <w:lang w:eastAsia="sk-SK"/>
              </w:rPr>
            </w:pPr>
            <w:r w:rsidRPr="00AA35C3">
              <w:rPr>
                <w:rFonts w:ascii="Times New Roman" w:hAnsi="Times New Roman" w:cs="Times New Roman"/>
                <w:b/>
                <w:color w:val="000000"/>
                <w:sz w:val="14"/>
                <w:szCs w:val="14"/>
                <w:lang w:eastAsia="sk-SK"/>
              </w:rPr>
              <w:t>(v metodike ESA 2010, v mil. eur)</w:t>
            </w:r>
          </w:p>
        </w:tc>
        <w:tc>
          <w:tcPr>
            <w:tcW w:w="102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A35C3" w:rsidRPr="00AA35C3" w:rsidRDefault="00AA35C3" w:rsidP="00A23F29">
            <w:pPr>
              <w:jc w:val="center"/>
              <w:rPr>
                <w:rFonts w:ascii="Times New Roman" w:hAnsi="Times New Roman" w:cs="Times New Roman"/>
                <w:b/>
                <w:bCs/>
                <w:color w:val="000000"/>
                <w:sz w:val="14"/>
                <w:szCs w:val="14"/>
                <w:lang w:eastAsia="sk-SK"/>
              </w:rPr>
            </w:pPr>
            <w:r w:rsidRPr="00AA35C3">
              <w:rPr>
                <w:rFonts w:ascii="Times New Roman" w:hAnsi="Times New Roman" w:cs="Times New Roman"/>
                <w:b/>
                <w:bCs/>
                <w:color w:val="000000"/>
                <w:sz w:val="14"/>
                <w:szCs w:val="14"/>
                <w:lang w:eastAsia="sk-SK"/>
              </w:rPr>
              <w:t>ESA kódy</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A35C3" w:rsidRPr="00AA35C3" w:rsidRDefault="00AA35C3" w:rsidP="00A23F29">
            <w:pPr>
              <w:jc w:val="center"/>
              <w:rPr>
                <w:rFonts w:ascii="Times New Roman" w:hAnsi="Times New Roman" w:cs="Times New Roman"/>
                <w:b/>
                <w:bCs/>
                <w:color w:val="000000"/>
                <w:sz w:val="14"/>
                <w:szCs w:val="14"/>
                <w:lang w:eastAsia="sk-SK"/>
              </w:rPr>
            </w:pPr>
            <w:r w:rsidRPr="00AA35C3">
              <w:rPr>
                <w:rFonts w:ascii="Times New Roman" w:hAnsi="Times New Roman" w:cs="Times New Roman"/>
                <w:b/>
                <w:bCs/>
                <w:color w:val="000000"/>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A35C3" w:rsidRPr="00AA35C3" w:rsidRDefault="00AA35C3" w:rsidP="00A23F29">
            <w:pPr>
              <w:jc w:val="center"/>
              <w:rPr>
                <w:rFonts w:ascii="Times New Roman" w:hAnsi="Times New Roman" w:cs="Times New Roman"/>
                <w:b/>
                <w:bCs/>
                <w:color w:val="000000"/>
                <w:sz w:val="14"/>
                <w:szCs w:val="14"/>
                <w:lang w:eastAsia="sk-SK"/>
              </w:rPr>
            </w:pPr>
            <w:r w:rsidRPr="00AA35C3">
              <w:rPr>
                <w:rFonts w:ascii="Times New Roman" w:hAnsi="Times New Roman" w:cs="Times New Roman"/>
                <w:b/>
                <w:bCs/>
                <w:color w:val="000000"/>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A35C3" w:rsidRPr="00AA35C3" w:rsidRDefault="00AA35C3" w:rsidP="00A23F29">
            <w:pPr>
              <w:jc w:val="center"/>
              <w:rPr>
                <w:rFonts w:ascii="Times New Roman" w:hAnsi="Times New Roman" w:cs="Times New Roman"/>
                <w:b/>
                <w:bCs/>
                <w:color w:val="000000"/>
                <w:sz w:val="14"/>
                <w:szCs w:val="14"/>
                <w:lang w:eastAsia="sk-SK"/>
              </w:rPr>
            </w:pPr>
            <w:r w:rsidRPr="00AA35C3">
              <w:rPr>
                <w:rFonts w:ascii="Times New Roman" w:hAnsi="Times New Roman" w:cs="Times New Roman"/>
                <w:b/>
                <w:bCs/>
                <w:color w:val="000000"/>
                <w:sz w:val="14"/>
                <w:szCs w:val="14"/>
                <w:lang w:eastAsia="sk-SK"/>
              </w:rPr>
              <w:t>2017 R</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A35C3" w:rsidRPr="00AA35C3" w:rsidRDefault="00AA35C3" w:rsidP="00A23F29">
            <w:pPr>
              <w:jc w:val="center"/>
              <w:rPr>
                <w:rFonts w:ascii="Times New Roman" w:hAnsi="Times New Roman" w:cs="Times New Roman"/>
                <w:b/>
                <w:bCs/>
                <w:color w:val="000000"/>
                <w:sz w:val="14"/>
                <w:szCs w:val="14"/>
                <w:lang w:eastAsia="sk-SK"/>
              </w:rPr>
            </w:pPr>
            <w:r w:rsidRPr="00AA35C3">
              <w:rPr>
                <w:rFonts w:ascii="Times New Roman" w:hAnsi="Times New Roman" w:cs="Times New Roman"/>
                <w:b/>
                <w:bCs/>
                <w:color w:val="000000"/>
                <w:sz w:val="14"/>
                <w:szCs w:val="14"/>
                <w:lang w:eastAsia="sk-SK"/>
              </w:rPr>
              <w:t>2017 OS</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A35C3" w:rsidRPr="00AA35C3" w:rsidRDefault="00AA35C3" w:rsidP="00A23F29">
            <w:pPr>
              <w:jc w:val="center"/>
              <w:rPr>
                <w:rFonts w:ascii="Times New Roman" w:hAnsi="Times New Roman" w:cs="Times New Roman"/>
                <w:b/>
                <w:bCs/>
                <w:color w:val="000000"/>
                <w:sz w:val="14"/>
                <w:szCs w:val="14"/>
                <w:lang w:eastAsia="sk-SK"/>
              </w:rPr>
            </w:pPr>
            <w:r w:rsidRPr="00AA35C3">
              <w:rPr>
                <w:rFonts w:ascii="Times New Roman" w:hAnsi="Times New Roman" w:cs="Times New Roman"/>
                <w:b/>
                <w:bCs/>
                <w:color w:val="000000"/>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A35C3" w:rsidRPr="00AA35C3" w:rsidRDefault="00AA35C3" w:rsidP="00A23F29">
            <w:pPr>
              <w:jc w:val="center"/>
              <w:rPr>
                <w:rFonts w:ascii="Times New Roman" w:hAnsi="Times New Roman" w:cs="Times New Roman"/>
                <w:b/>
                <w:bCs/>
                <w:color w:val="000000"/>
                <w:sz w:val="14"/>
                <w:szCs w:val="14"/>
                <w:lang w:eastAsia="sk-SK"/>
              </w:rPr>
            </w:pPr>
            <w:r w:rsidRPr="00AA35C3">
              <w:rPr>
                <w:rFonts w:ascii="Times New Roman" w:hAnsi="Times New Roman" w:cs="Times New Roman"/>
                <w:b/>
                <w:bCs/>
                <w:color w:val="000000"/>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A35C3" w:rsidRPr="00AA35C3" w:rsidRDefault="00AA35C3" w:rsidP="00A23F29">
            <w:pPr>
              <w:jc w:val="center"/>
              <w:rPr>
                <w:rFonts w:ascii="Times New Roman" w:hAnsi="Times New Roman" w:cs="Times New Roman"/>
                <w:b/>
                <w:bCs/>
                <w:color w:val="000000"/>
                <w:sz w:val="14"/>
                <w:szCs w:val="14"/>
                <w:lang w:eastAsia="sk-SK"/>
              </w:rPr>
            </w:pPr>
            <w:r w:rsidRPr="00AA35C3">
              <w:rPr>
                <w:rFonts w:ascii="Times New Roman" w:hAnsi="Times New Roman" w:cs="Times New Roman"/>
                <w:b/>
                <w:bCs/>
                <w:color w:val="000000"/>
                <w:sz w:val="14"/>
                <w:szCs w:val="14"/>
                <w:lang w:eastAsia="sk-SK"/>
              </w:rPr>
              <w:t>2020 N</w:t>
            </w:r>
          </w:p>
        </w:tc>
      </w:tr>
      <w:tr w:rsidR="00AA35C3" w:rsidRPr="006A71B0" w:rsidTr="00AA35C3">
        <w:trPr>
          <w:trHeight w:val="210"/>
          <w:jc w:val="center"/>
        </w:trPr>
        <w:tc>
          <w:tcPr>
            <w:tcW w:w="226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rPr>
                <w:rFonts w:ascii="Times New Roman" w:hAnsi="Times New Roman" w:cs="Times New Roman"/>
                <w:b/>
                <w:bCs/>
                <w:sz w:val="14"/>
                <w:szCs w:val="14"/>
                <w:lang w:eastAsia="sk-SK"/>
              </w:rPr>
            </w:pPr>
            <w:r w:rsidRPr="006A71B0">
              <w:rPr>
                <w:rFonts w:ascii="Times New Roman" w:hAnsi="Times New Roman" w:cs="Times New Roman"/>
                <w:b/>
                <w:bCs/>
                <w:sz w:val="14"/>
                <w:szCs w:val="14"/>
                <w:lang w:eastAsia="sk-SK"/>
              </w:rPr>
              <w:t>Príjmy spolu</w:t>
            </w:r>
          </w:p>
        </w:tc>
        <w:tc>
          <w:tcPr>
            <w:tcW w:w="1029"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center"/>
              <w:rPr>
                <w:rFonts w:ascii="Times New Roman" w:hAnsi="Times New Roman" w:cs="Times New Roman"/>
                <w:b/>
                <w:bCs/>
                <w:color w:val="000000"/>
                <w:sz w:val="10"/>
                <w:szCs w:val="10"/>
                <w:lang w:eastAsia="sk-SK"/>
              </w:rPr>
            </w:pPr>
            <w:r w:rsidRPr="006A71B0">
              <w:rPr>
                <w:rFonts w:ascii="Times New Roman" w:hAnsi="Times New Roman" w:cs="Times New Roman"/>
                <w:b/>
                <w:bCs/>
                <w:color w:val="000000"/>
                <w:sz w:val="10"/>
                <w:szCs w:val="10"/>
                <w:lang w:eastAsia="sk-SK"/>
              </w:rPr>
              <w:t>TR</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33 690,8</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32 344,7</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33 450,1</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33 310,1</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34 432,3</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37 073,2</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38 696,7</w:t>
            </w:r>
          </w:p>
        </w:tc>
      </w:tr>
      <w:tr w:rsidR="00AA35C3" w:rsidRPr="006A71B0" w:rsidTr="00AA35C3">
        <w:trPr>
          <w:trHeight w:val="210"/>
          <w:jc w:val="center"/>
        </w:trPr>
        <w:tc>
          <w:tcPr>
            <w:tcW w:w="226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rPr>
                <w:rFonts w:ascii="Times New Roman" w:hAnsi="Times New Roman" w:cs="Times New Roman"/>
                <w:b/>
                <w:bCs/>
                <w:sz w:val="14"/>
                <w:szCs w:val="14"/>
                <w:lang w:eastAsia="sk-SK"/>
              </w:rPr>
            </w:pPr>
            <w:r w:rsidRPr="006A71B0">
              <w:rPr>
                <w:rFonts w:ascii="Times New Roman" w:hAnsi="Times New Roman" w:cs="Times New Roman"/>
                <w:b/>
                <w:bCs/>
                <w:sz w:val="14"/>
                <w:szCs w:val="14"/>
                <w:lang w:eastAsia="sk-SK"/>
              </w:rPr>
              <w:t xml:space="preserve">  - v % HDP</w:t>
            </w:r>
          </w:p>
        </w:tc>
        <w:tc>
          <w:tcPr>
            <w:tcW w:w="1029"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center"/>
              <w:rPr>
                <w:rFonts w:ascii="Times New Roman" w:hAnsi="Times New Roman" w:cs="Times New Roman"/>
                <w:b/>
                <w:bCs/>
                <w:color w:val="000000"/>
                <w:sz w:val="10"/>
                <w:szCs w:val="10"/>
                <w:lang w:eastAsia="sk-SK"/>
              </w:rPr>
            </w:pPr>
            <w:r w:rsidRPr="006A71B0">
              <w:rPr>
                <w:rFonts w:ascii="Times New Roman" w:hAnsi="Times New Roman" w:cs="Times New Roman"/>
                <w:b/>
                <w:bCs/>
                <w:color w:val="000000"/>
                <w:sz w:val="10"/>
                <w:szCs w:val="10"/>
                <w:lang w:eastAsia="sk-SK"/>
              </w:rPr>
              <w:t> </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42,82</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39,95</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39,83</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39,37</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38,47</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38,92</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38,31</w:t>
            </w:r>
          </w:p>
        </w:tc>
      </w:tr>
      <w:tr w:rsidR="00AA35C3" w:rsidRPr="006A71B0" w:rsidTr="00A23F29">
        <w:trPr>
          <w:trHeight w:val="21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A35C3" w:rsidRPr="006A71B0" w:rsidRDefault="00AA35C3" w:rsidP="00A23F29">
            <w:pPr>
              <w:rPr>
                <w:rFonts w:ascii="Times New Roman" w:hAnsi="Times New Roman" w:cs="Times New Roman"/>
                <w:sz w:val="14"/>
                <w:szCs w:val="14"/>
                <w:lang w:eastAsia="sk-SK"/>
              </w:rPr>
            </w:pPr>
            <w:r w:rsidRPr="006A71B0">
              <w:rPr>
                <w:rFonts w:ascii="Times New Roman" w:hAnsi="Times New Roman" w:cs="Times New Roman"/>
                <w:sz w:val="14"/>
                <w:szCs w:val="14"/>
                <w:lang w:eastAsia="sk-SK"/>
              </w:rPr>
              <w:t>Dane z výroby a dovozov</w:t>
            </w:r>
          </w:p>
        </w:tc>
        <w:tc>
          <w:tcPr>
            <w:tcW w:w="1029"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center"/>
              <w:rPr>
                <w:rFonts w:ascii="Times New Roman" w:hAnsi="Times New Roman" w:cs="Times New Roman"/>
                <w:sz w:val="10"/>
                <w:szCs w:val="10"/>
                <w:lang w:eastAsia="sk-SK"/>
              </w:rPr>
            </w:pPr>
            <w:r w:rsidRPr="006A71B0">
              <w:rPr>
                <w:rFonts w:ascii="Times New Roman" w:hAnsi="Times New Roman" w:cs="Times New Roman"/>
                <w:sz w:val="10"/>
                <w:szCs w:val="10"/>
                <w:lang w:eastAsia="sk-SK"/>
              </w:rPr>
              <w:t>D.2R</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8 505,8</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8 615,9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9 138,4</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9 265,2</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9 831,3</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10 238,9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10 639,2</w:t>
            </w:r>
          </w:p>
        </w:tc>
      </w:tr>
      <w:tr w:rsidR="00AA35C3" w:rsidRPr="006A71B0" w:rsidTr="00A23F29">
        <w:trPr>
          <w:trHeight w:val="21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A35C3" w:rsidRPr="006A71B0" w:rsidRDefault="00AA35C3" w:rsidP="00A23F29">
            <w:pPr>
              <w:rPr>
                <w:rFonts w:ascii="Times New Roman" w:hAnsi="Times New Roman" w:cs="Times New Roman"/>
                <w:sz w:val="14"/>
                <w:szCs w:val="14"/>
                <w:lang w:eastAsia="sk-SK"/>
              </w:rPr>
            </w:pPr>
            <w:r w:rsidRPr="006A71B0">
              <w:rPr>
                <w:rFonts w:ascii="Times New Roman" w:hAnsi="Times New Roman" w:cs="Times New Roman"/>
                <w:sz w:val="14"/>
                <w:szCs w:val="14"/>
                <w:lang w:eastAsia="sk-SK"/>
              </w:rPr>
              <w:t>Bežné dane z príjmu, majetku</w:t>
            </w:r>
            <w:r>
              <w:rPr>
                <w:rFonts w:ascii="Times New Roman" w:hAnsi="Times New Roman" w:cs="Times New Roman"/>
                <w:sz w:val="14"/>
                <w:szCs w:val="14"/>
                <w:lang w:eastAsia="sk-SK"/>
              </w:rPr>
              <w:t>,</w:t>
            </w:r>
            <w:r w:rsidRPr="006A71B0">
              <w:rPr>
                <w:rFonts w:ascii="Times New Roman" w:hAnsi="Times New Roman" w:cs="Times New Roman"/>
                <w:sz w:val="14"/>
                <w:szCs w:val="14"/>
                <w:lang w:eastAsia="sk-SK"/>
              </w:rPr>
              <w:t xml:space="preserve"> atď</w:t>
            </w:r>
            <w:r>
              <w:rPr>
                <w:rFonts w:ascii="Times New Roman" w:hAnsi="Times New Roman" w:cs="Times New Roman"/>
                <w:sz w:val="14"/>
                <w:szCs w:val="14"/>
                <w:lang w:eastAsia="sk-SK"/>
              </w:rPr>
              <w:t>.</w:t>
            </w:r>
          </w:p>
        </w:tc>
        <w:tc>
          <w:tcPr>
            <w:tcW w:w="1029"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center"/>
              <w:rPr>
                <w:rFonts w:ascii="Times New Roman" w:hAnsi="Times New Roman" w:cs="Times New Roman"/>
                <w:sz w:val="10"/>
                <w:szCs w:val="10"/>
                <w:lang w:eastAsia="sk-SK"/>
              </w:rPr>
            </w:pPr>
            <w:r w:rsidRPr="006A71B0">
              <w:rPr>
                <w:rFonts w:ascii="Times New Roman" w:hAnsi="Times New Roman" w:cs="Times New Roman"/>
                <w:sz w:val="10"/>
                <w:szCs w:val="10"/>
                <w:lang w:eastAsia="sk-SK"/>
              </w:rPr>
              <w:t>D.5R</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5 795,9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6 206,2</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6 455,8</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6 048,4</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6 391,9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6 775,3</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7 208,9</w:t>
            </w:r>
          </w:p>
        </w:tc>
      </w:tr>
      <w:tr w:rsidR="00AA35C3" w:rsidRPr="006A71B0" w:rsidTr="00A23F29">
        <w:trPr>
          <w:trHeight w:val="21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A35C3" w:rsidRPr="006A71B0" w:rsidRDefault="00AA35C3" w:rsidP="00A23F29">
            <w:pPr>
              <w:rPr>
                <w:rFonts w:ascii="Times New Roman" w:hAnsi="Times New Roman" w:cs="Times New Roman"/>
                <w:sz w:val="14"/>
                <w:szCs w:val="14"/>
                <w:lang w:eastAsia="sk-SK"/>
              </w:rPr>
            </w:pPr>
            <w:r w:rsidRPr="006A71B0">
              <w:rPr>
                <w:rFonts w:ascii="Times New Roman" w:hAnsi="Times New Roman" w:cs="Times New Roman"/>
                <w:sz w:val="14"/>
                <w:szCs w:val="14"/>
                <w:lang w:eastAsia="sk-SK"/>
              </w:rPr>
              <w:t>Kapitálové dane</w:t>
            </w:r>
          </w:p>
        </w:tc>
        <w:tc>
          <w:tcPr>
            <w:tcW w:w="1029"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center"/>
              <w:rPr>
                <w:rFonts w:ascii="Times New Roman" w:hAnsi="Times New Roman" w:cs="Times New Roman"/>
                <w:sz w:val="10"/>
                <w:szCs w:val="10"/>
                <w:lang w:eastAsia="sk-SK"/>
              </w:rPr>
            </w:pPr>
            <w:r w:rsidRPr="006A71B0">
              <w:rPr>
                <w:rFonts w:ascii="Times New Roman" w:hAnsi="Times New Roman" w:cs="Times New Roman"/>
                <w:sz w:val="10"/>
                <w:szCs w:val="10"/>
                <w:lang w:eastAsia="sk-SK"/>
              </w:rPr>
              <w:t>D.91R</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0,0</w:t>
            </w:r>
          </w:p>
        </w:tc>
      </w:tr>
      <w:tr w:rsidR="00AA35C3" w:rsidRPr="006A71B0" w:rsidTr="00A23F29">
        <w:trPr>
          <w:trHeight w:val="21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A35C3" w:rsidRPr="006A71B0" w:rsidRDefault="00AA35C3" w:rsidP="00A23F29">
            <w:pPr>
              <w:rPr>
                <w:rFonts w:ascii="Times New Roman" w:hAnsi="Times New Roman" w:cs="Times New Roman"/>
                <w:sz w:val="14"/>
                <w:szCs w:val="14"/>
                <w:lang w:eastAsia="sk-SK"/>
              </w:rPr>
            </w:pPr>
            <w:r w:rsidRPr="006A71B0">
              <w:rPr>
                <w:rFonts w:ascii="Times New Roman" w:hAnsi="Times New Roman" w:cs="Times New Roman"/>
                <w:sz w:val="14"/>
                <w:szCs w:val="14"/>
                <w:lang w:eastAsia="sk-SK"/>
              </w:rPr>
              <w:t>Sociálne príspevky</w:t>
            </w:r>
          </w:p>
        </w:tc>
        <w:tc>
          <w:tcPr>
            <w:tcW w:w="1029"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center"/>
              <w:rPr>
                <w:rFonts w:ascii="Times New Roman" w:hAnsi="Times New Roman" w:cs="Times New Roman"/>
                <w:sz w:val="10"/>
                <w:szCs w:val="10"/>
                <w:lang w:eastAsia="sk-SK"/>
              </w:rPr>
            </w:pPr>
            <w:r w:rsidRPr="006A71B0">
              <w:rPr>
                <w:rFonts w:ascii="Times New Roman" w:hAnsi="Times New Roman" w:cs="Times New Roman"/>
                <w:sz w:val="10"/>
                <w:szCs w:val="10"/>
                <w:lang w:eastAsia="sk-SK"/>
              </w:rPr>
              <w:t>D.61R</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11 042,3</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11 616,0</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12 033,6</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12 501,8</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13 107,9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13 816,0</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14 607,4</w:t>
            </w:r>
          </w:p>
        </w:tc>
      </w:tr>
      <w:tr w:rsidR="00AA35C3" w:rsidRPr="006A71B0" w:rsidTr="00A23F29">
        <w:trPr>
          <w:trHeight w:val="21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A35C3" w:rsidRPr="006A71B0" w:rsidRDefault="00AA35C3" w:rsidP="00A23F29">
            <w:pPr>
              <w:rPr>
                <w:rFonts w:ascii="Times New Roman" w:hAnsi="Times New Roman" w:cs="Times New Roman"/>
                <w:sz w:val="14"/>
                <w:szCs w:val="14"/>
                <w:lang w:eastAsia="sk-SK"/>
              </w:rPr>
            </w:pPr>
            <w:r w:rsidRPr="006A71B0">
              <w:rPr>
                <w:rFonts w:ascii="Times New Roman" w:hAnsi="Times New Roman" w:cs="Times New Roman"/>
                <w:sz w:val="14"/>
                <w:szCs w:val="14"/>
                <w:lang w:eastAsia="sk-SK"/>
              </w:rPr>
              <w:t>Príjmy z majetku</w:t>
            </w:r>
          </w:p>
        </w:tc>
        <w:tc>
          <w:tcPr>
            <w:tcW w:w="1029"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center"/>
              <w:rPr>
                <w:rFonts w:ascii="Times New Roman" w:hAnsi="Times New Roman" w:cs="Times New Roman"/>
                <w:sz w:val="10"/>
                <w:szCs w:val="10"/>
                <w:lang w:eastAsia="sk-SK"/>
              </w:rPr>
            </w:pPr>
            <w:r w:rsidRPr="006A71B0">
              <w:rPr>
                <w:rFonts w:ascii="Times New Roman" w:hAnsi="Times New Roman" w:cs="Times New Roman"/>
                <w:sz w:val="10"/>
                <w:szCs w:val="10"/>
                <w:lang w:eastAsia="sk-SK"/>
              </w:rPr>
              <w:t>D.4R</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633,1</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777,7</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547,9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560,4</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561,3</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569,0</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570,6</w:t>
            </w:r>
          </w:p>
        </w:tc>
      </w:tr>
      <w:tr w:rsidR="00AA35C3" w:rsidRPr="006A71B0" w:rsidTr="00A23F29">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A35C3" w:rsidRPr="006A71B0" w:rsidRDefault="00AA35C3" w:rsidP="00A23F29">
            <w:pPr>
              <w:rPr>
                <w:rFonts w:ascii="Times New Roman" w:hAnsi="Times New Roman" w:cs="Times New Roman"/>
                <w:sz w:val="14"/>
                <w:szCs w:val="14"/>
                <w:lang w:eastAsia="sk-SK"/>
              </w:rPr>
            </w:pPr>
            <w:r w:rsidRPr="006A71B0">
              <w:rPr>
                <w:rFonts w:ascii="Times New Roman" w:hAnsi="Times New Roman" w:cs="Times New Roman"/>
                <w:sz w:val="14"/>
                <w:szCs w:val="14"/>
                <w:lang w:eastAsia="sk-SK"/>
              </w:rPr>
              <w:t xml:space="preserve">Iné </w:t>
            </w:r>
          </w:p>
        </w:tc>
        <w:tc>
          <w:tcPr>
            <w:tcW w:w="1029" w:type="dxa"/>
            <w:tcBorders>
              <w:top w:val="nil"/>
              <w:left w:val="nil"/>
              <w:bottom w:val="single" w:sz="4" w:space="0" w:color="auto"/>
              <w:right w:val="single" w:sz="4" w:space="0" w:color="auto"/>
            </w:tcBorders>
            <w:shd w:val="clear" w:color="auto" w:fill="auto"/>
            <w:vAlign w:val="center"/>
            <w:hideMark/>
          </w:tcPr>
          <w:p w:rsidR="00AA35C3" w:rsidRPr="006A71B0" w:rsidRDefault="00AA35C3" w:rsidP="00A23F29">
            <w:pPr>
              <w:jc w:val="center"/>
              <w:rPr>
                <w:rFonts w:ascii="Times New Roman" w:hAnsi="Times New Roman" w:cs="Times New Roman"/>
                <w:sz w:val="10"/>
                <w:szCs w:val="10"/>
                <w:lang w:eastAsia="sk-SK"/>
              </w:rPr>
            </w:pPr>
            <w:r w:rsidRPr="006A71B0">
              <w:rPr>
                <w:rFonts w:ascii="Times New Roman" w:hAnsi="Times New Roman" w:cs="Times New Roman"/>
                <w:sz w:val="10"/>
                <w:szCs w:val="10"/>
                <w:lang w:eastAsia="sk-SK"/>
              </w:rPr>
              <w:t>P11+P12 +P131+D.39R+D.7R+D.9R</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7 713,8</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5 128,9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5 274,3</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4 934,3</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4 539,9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5 674,0</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5 670,7</w:t>
            </w:r>
          </w:p>
        </w:tc>
      </w:tr>
      <w:tr w:rsidR="00AA35C3" w:rsidRPr="006A71B0" w:rsidTr="00A23F29">
        <w:trPr>
          <w:trHeight w:val="21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A35C3" w:rsidRPr="006A71B0" w:rsidRDefault="00AA35C3" w:rsidP="00A23F29">
            <w:pPr>
              <w:rPr>
                <w:rFonts w:ascii="Times New Roman" w:hAnsi="Times New Roman" w:cs="Times New Roman"/>
                <w:sz w:val="14"/>
                <w:szCs w:val="14"/>
                <w:lang w:eastAsia="sk-SK"/>
              </w:rPr>
            </w:pPr>
            <w:r w:rsidRPr="006A71B0">
              <w:rPr>
                <w:rFonts w:ascii="Times New Roman" w:hAnsi="Times New Roman" w:cs="Times New Roman"/>
                <w:sz w:val="14"/>
                <w:szCs w:val="14"/>
                <w:lang w:eastAsia="sk-SK"/>
              </w:rPr>
              <w:t>Daňové zaťaženie</w:t>
            </w:r>
          </w:p>
        </w:tc>
        <w:tc>
          <w:tcPr>
            <w:tcW w:w="1029" w:type="dxa"/>
            <w:tcBorders>
              <w:top w:val="nil"/>
              <w:left w:val="nil"/>
              <w:bottom w:val="single" w:sz="4" w:space="0" w:color="auto"/>
              <w:right w:val="single" w:sz="4" w:space="0" w:color="auto"/>
            </w:tcBorders>
            <w:shd w:val="clear" w:color="auto" w:fill="auto"/>
            <w:vAlign w:val="center"/>
            <w:hideMark/>
          </w:tcPr>
          <w:p w:rsidR="00AA35C3" w:rsidRPr="006A71B0" w:rsidRDefault="00AA35C3" w:rsidP="00A23F29">
            <w:pPr>
              <w:jc w:val="center"/>
              <w:rPr>
                <w:rFonts w:ascii="Times New Roman" w:hAnsi="Times New Roman" w:cs="Times New Roman"/>
                <w:sz w:val="10"/>
                <w:szCs w:val="10"/>
                <w:lang w:eastAsia="sk-SK"/>
              </w:rPr>
            </w:pPr>
            <w:r w:rsidRPr="006A71B0">
              <w:rPr>
                <w:rFonts w:ascii="Times New Roman" w:hAnsi="Times New Roman" w:cs="Times New Roman"/>
                <w:sz w:val="10"/>
                <w:szCs w:val="10"/>
                <w:lang w:eastAsia="sk-SK"/>
              </w:rPr>
              <w:t>D.2+D.5+D.61+D.91-D.995</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25 344,0</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26 438,2</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27 627,9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27 815,3</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29 331,1</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30 830,2</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32 455,5</w:t>
            </w:r>
          </w:p>
        </w:tc>
      </w:tr>
      <w:tr w:rsidR="00AA35C3" w:rsidRPr="006A71B0" w:rsidTr="00AA35C3">
        <w:trPr>
          <w:trHeight w:val="210"/>
          <w:jc w:val="center"/>
        </w:trPr>
        <w:tc>
          <w:tcPr>
            <w:tcW w:w="226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rPr>
                <w:rFonts w:ascii="Times New Roman" w:hAnsi="Times New Roman" w:cs="Times New Roman"/>
                <w:b/>
                <w:bCs/>
                <w:sz w:val="14"/>
                <w:szCs w:val="14"/>
                <w:lang w:eastAsia="sk-SK"/>
              </w:rPr>
            </w:pPr>
            <w:r w:rsidRPr="006A71B0">
              <w:rPr>
                <w:rFonts w:ascii="Times New Roman" w:hAnsi="Times New Roman" w:cs="Times New Roman"/>
                <w:b/>
                <w:bCs/>
                <w:sz w:val="14"/>
                <w:szCs w:val="14"/>
                <w:lang w:eastAsia="sk-SK"/>
              </w:rPr>
              <w:t>Výdavky spolu</w:t>
            </w:r>
          </w:p>
        </w:tc>
        <w:tc>
          <w:tcPr>
            <w:tcW w:w="1029"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center"/>
              <w:rPr>
                <w:rFonts w:ascii="Times New Roman" w:hAnsi="Times New Roman" w:cs="Times New Roman"/>
                <w:b/>
                <w:bCs/>
                <w:color w:val="000000"/>
                <w:sz w:val="10"/>
                <w:szCs w:val="10"/>
                <w:lang w:eastAsia="sk-SK"/>
              </w:rPr>
            </w:pPr>
            <w:r w:rsidRPr="006A71B0">
              <w:rPr>
                <w:rFonts w:ascii="Times New Roman" w:hAnsi="Times New Roman" w:cs="Times New Roman"/>
                <w:b/>
                <w:bCs/>
                <w:color w:val="000000"/>
                <w:sz w:val="10"/>
                <w:szCs w:val="10"/>
                <w:lang w:eastAsia="sk-SK"/>
              </w:rPr>
              <w:t>TE</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35 850,4</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33 706,3</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34 533,6</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34 685,6</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35 175,1</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37 382,7</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38 969,7</w:t>
            </w:r>
          </w:p>
        </w:tc>
      </w:tr>
      <w:tr w:rsidR="00AA35C3" w:rsidRPr="006A71B0" w:rsidTr="00AA35C3">
        <w:trPr>
          <w:trHeight w:val="210"/>
          <w:jc w:val="center"/>
        </w:trPr>
        <w:tc>
          <w:tcPr>
            <w:tcW w:w="226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rPr>
                <w:rFonts w:ascii="Times New Roman" w:hAnsi="Times New Roman" w:cs="Times New Roman"/>
                <w:b/>
                <w:bCs/>
                <w:sz w:val="14"/>
                <w:szCs w:val="14"/>
                <w:lang w:eastAsia="sk-SK"/>
              </w:rPr>
            </w:pPr>
            <w:r w:rsidRPr="006A71B0">
              <w:rPr>
                <w:rFonts w:ascii="Times New Roman" w:hAnsi="Times New Roman" w:cs="Times New Roman"/>
                <w:b/>
                <w:bCs/>
                <w:sz w:val="14"/>
                <w:szCs w:val="14"/>
                <w:lang w:eastAsia="sk-SK"/>
              </w:rPr>
              <w:t xml:space="preserve">  - v % HDP</w:t>
            </w:r>
          </w:p>
        </w:tc>
        <w:tc>
          <w:tcPr>
            <w:tcW w:w="1029"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center"/>
              <w:rPr>
                <w:rFonts w:ascii="Times New Roman" w:hAnsi="Times New Roman" w:cs="Times New Roman"/>
                <w:b/>
                <w:bCs/>
                <w:color w:val="000000"/>
                <w:sz w:val="10"/>
                <w:szCs w:val="10"/>
                <w:lang w:eastAsia="sk-SK"/>
              </w:rPr>
            </w:pPr>
            <w:r w:rsidRPr="006A71B0">
              <w:rPr>
                <w:rFonts w:ascii="Times New Roman" w:hAnsi="Times New Roman" w:cs="Times New Roman"/>
                <w:b/>
                <w:bCs/>
                <w:color w:val="000000"/>
                <w:sz w:val="10"/>
                <w:szCs w:val="10"/>
                <w:lang w:eastAsia="sk-SK"/>
              </w:rPr>
              <w:t> </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45,56</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41,63</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41,12</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41,00</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39,30</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39,24</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38,58</w:t>
            </w:r>
          </w:p>
        </w:tc>
      </w:tr>
      <w:tr w:rsidR="00AA35C3" w:rsidRPr="006A71B0" w:rsidTr="00A23F29">
        <w:trPr>
          <w:trHeight w:val="21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A35C3" w:rsidRPr="006A71B0" w:rsidRDefault="00AA35C3" w:rsidP="00A23F29">
            <w:pPr>
              <w:rPr>
                <w:rFonts w:ascii="Times New Roman" w:hAnsi="Times New Roman" w:cs="Times New Roman"/>
                <w:sz w:val="14"/>
                <w:szCs w:val="14"/>
                <w:lang w:eastAsia="sk-SK"/>
              </w:rPr>
            </w:pPr>
            <w:r w:rsidRPr="006A71B0">
              <w:rPr>
                <w:rFonts w:ascii="Times New Roman" w:hAnsi="Times New Roman" w:cs="Times New Roman"/>
                <w:sz w:val="14"/>
                <w:szCs w:val="14"/>
                <w:lang w:eastAsia="sk-SK"/>
              </w:rPr>
              <w:t>Kompenzácie zamestnancov</w:t>
            </w:r>
          </w:p>
        </w:tc>
        <w:tc>
          <w:tcPr>
            <w:tcW w:w="1029"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center"/>
              <w:rPr>
                <w:rFonts w:ascii="Times New Roman" w:hAnsi="Times New Roman" w:cs="Times New Roman"/>
                <w:sz w:val="10"/>
                <w:szCs w:val="10"/>
                <w:lang w:eastAsia="sk-SK"/>
              </w:rPr>
            </w:pPr>
            <w:r w:rsidRPr="006A71B0">
              <w:rPr>
                <w:rFonts w:ascii="Times New Roman" w:hAnsi="Times New Roman" w:cs="Times New Roman"/>
                <w:sz w:val="10"/>
                <w:szCs w:val="10"/>
                <w:lang w:eastAsia="sk-SK"/>
              </w:rPr>
              <w:t>D.1P</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7 049,5</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7 398,8</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7 342,7</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7 597,9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8 105,2</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8 765,4</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9 061,5</w:t>
            </w:r>
          </w:p>
        </w:tc>
      </w:tr>
      <w:tr w:rsidR="00AA35C3" w:rsidRPr="006A71B0" w:rsidTr="00A23F29">
        <w:trPr>
          <w:trHeight w:val="21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A35C3" w:rsidRPr="006A71B0" w:rsidRDefault="00AA35C3" w:rsidP="00A23F29">
            <w:pPr>
              <w:rPr>
                <w:rFonts w:ascii="Times New Roman" w:hAnsi="Times New Roman" w:cs="Times New Roman"/>
                <w:sz w:val="14"/>
                <w:szCs w:val="14"/>
                <w:lang w:eastAsia="sk-SK"/>
              </w:rPr>
            </w:pPr>
            <w:r w:rsidRPr="006A71B0">
              <w:rPr>
                <w:rFonts w:ascii="Times New Roman" w:hAnsi="Times New Roman" w:cs="Times New Roman"/>
                <w:sz w:val="14"/>
                <w:szCs w:val="14"/>
                <w:lang w:eastAsia="sk-SK"/>
              </w:rPr>
              <w:t>Medzispotreba</w:t>
            </w:r>
          </w:p>
        </w:tc>
        <w:tc>
          <w:tcPr>
            <w:tcW w:w="1029"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center"/>
              <w:rPr>
                <w:rFonts w:ascii="Times New Roman" w:hAnsi="Times New Roman" w:cs="Times New Roman"/>
                <w:sz w:val="10"/>
                <w:szCs w:val="10"/>
                <w:lang w:eastAsia="sk-SK"/>
              </w:rPr>
            </w:pPr>
            <w:r w:rsidRPr="006A71B0">
              <w:rPr>
                <w:rFonts w:ascii="Times New Roman" w:hAnsi="Times New Roman" w:cs="Times New Roman"/>
                <w:sz w:val="10"/>
                <w:szCs w:val="10"/>
                <w:lang w:eastAsia="sk-SK"/>
              </w:rPr>
              <w:t>P.2</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4 654,8</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4 452,1</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4 696,4</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5 034,1</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4 888,0</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4 919,6</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5 203,3</w:t>
            </w:r>
          </w:p>
        </w:tc>
      </w:tr>
      <w:tr w:rsidR="00AA35C3" w:rsidRPr="006A71B0" w:rsidTr="00A23F29">
        <w:trPr>
          <w:trHeight w:val="21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A35C3" w:rsidRPr="006A71B0" w:rsidRDefault="00AA35C3" w:rsidP="00A23F29">
            <w:pPr>
              <w:rPr>
                <w:rFonts w:ascii="Times New Roman" w:hAnsi="Times New Roman" w:cs="Times New Roman"/>
                <w:sz w:val="14"/>
                <w:szCs w:val="14"/>
                <w:lang w:eastAsia="sk-SK"/>
              </w:rPr>
            </w:pPr>
            <w:r w:rsidRPr="006A71B0">
              <w:rPr>
                <w:rFonts w:ascii="Times New Roman" w:hAnsi="Times New Roman" w:cs="Times New Roman"/>
                <w:sz w:val="14"/>
                <w:szCs w:val="14"/>
                <w:lang w:eastAsia="sk-SK"/>
              </w:rPr>
              <w:t>Sociálne platby</w:t>
            </w:r>
          </w:p>
        </w:tc>
        <w:tc>
          <w:tcPr>
            <w:tcW w:w="1029"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center"/>
              <w:rPr>
                <w:rFonts w:ascii="Times New Roman" w:hAnsi="Times New Roman" w:cs="Times New Roman"/>
                <w:sz w:val="10"/>
                <w:szCs w:val="10"/>
                <w:lang w:eastAsia="sk-SK"/>
              </w:rPr>
            </w:pPr>
            <w:r w:rsidRPr="006A71B0">
              <w:rPr>
                <w:rFonts w:ascii="Times New Roman" w:hAnsi="Times New Roman" w:cs="Times New Roman"/>
                <w:sz w:val="10"/>
                <w:szCs w:val="10"/>
                <w:lang w:eastAsia="sk-SK"/>
              </w:rPr>
              <w:t>D.62P+D.632P</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14 960,2</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15 520,0</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15 660,1</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15 911,2</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16 402,8</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17 114,5</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17 814,4</w:t>
            </w:r>
          </w:p>
        </w:tc>
      </w:tr>
      <w:tr w:rsidR="00AA35C3" w:rsidRPr="006A71B0" w:rsidTr="00A23F29">
        <w:trPr>
          <w:trHeight w:val="21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A35C3" w:rsidRPr="006A71B0" w:rsidRDefault="00AA35C3" w:rsidP="00A23F29">
            <w:pPr>
              <w:rPr>
                <w:rFonts w:ascii="Times New Roman" w:hAnsi="Times New Roman" w:cs="Times New Roman"/>
                <w:sz w:val="14"/>
                <w:szCs w:val="14"/>
                <w:lang w:eastAsia="sk-SK"/>
              </w:rPr>
            </w:pPr>
            <w:r w:rsidRPr="006A71B0">
              <w:rPr>
                <w:rFonts w:ascii="Times New Roman" w:hAnsi="Times New Roman" w:cs="Times New Roman"/>
                <w:sz w:val="14"/>
                <w:szCs w:val="14"/>
                <w:lang w:eastAsia="sk-SK"/>
              </w:rPr>
              <w:t>z toho dávky v nezamestnanosti</w:t>
            </w:r>
          </w:p>
        </w:tc>
        <w:tc>
          <w:tcPr>
            <w:tcW w:w="1029"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center"/>
              <w:rPr>
                <w:rFonts w:ascii="Times New Roman" w:hAnsi="Times New Roman" w:cs="Times New Roman"/>
                <w:sz w:val="10"/>
                <w:szCs w:val="10"/>
                <w:lang w:eastAsia="sk-SK"/>
              </w:rPr>
            </w:pPr>
            <w:r w:rsidRPr="006A71B0">
              <w:rPr>
                <w:rFonts w:ascii="Times New Roman" w:hAnsi="Times New Roman" w:cs="Times New Roman"/>
                <w:sz w:val="10"/>
                <w:szCs w:val="10"/>
                <w:lang w:eastAsia="sk-SK"/>
              </w:rPr>
              <w:t> </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sz w:val="14"/>
                <w:szCs w:val="14"/>
                <w:lang w:eastAsia="sk-SK"/>
              </w:rPr>
            </w:pPr>
            <w:r w:rsidRPr="006A71B0">
              <w:rPr>
                <w:rFonts w:ascii="Times New Roman" w:hAnsi="Times New Roman" w:cs="Times New Roman"/>
                <w:sz w:val="14"/>
                <w:szCs w:val="14"/>
                <w:lang w:eastAsia="sk-SK"/>
              </w:rPr>
              <w:t>158,6</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sz w:val="14"/>
                <w:szCs w:val="14"/>
                <w:lang w:eastAsia="sk-SK"/>
              </w:rPr>
            </w:pPr>
            <w:r w:rsidRPr="006A71B0">
              <w:rPr>
                <w:rFonts w:ascii="Times New Roman" w:hAnsi="Times New Roman" w:cs="Times New Roman"/>
                <w:sz w:val="14"/>
                <w:szCs w:val="14"/>
                <w:lang w:eastAsia="sk-SK"/>
              </w:rPr>
              <w:t>171,6</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sz w:val="14"/>
                <w:szCs w:val="14"/>
                <w:lang w:eastAsia="sk-SK"/>
              </w:rPr>
            </w:pPr>
            <w:r w:rsidRPr="006A71B0">
              <w:rPr>
                <w:rFonts w:ascii="Times New Roman" w:hAnsi="Times New Roman" w:cs="Times New Roman"/>
                <w:sz w:val="14"/>
                <w:szCs w:val="14"/>
                <w:lang w:eastAsia="sk-SK"/>
              </w:rPr>
              <w:t>153,1</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sz w:val="14"/>
                <w:szCs w:val="14"/>
                <w:lang w:eastAsia="sk-SK"/>
              </w:rPr>
            </w:pPr>
            <w:r w:rsidRPr="006A71B0">
              <w:rPr>
                <w:rFonts w:ascii="Times New Roman" w:hAnsi="Times New Roman" w:cs="Times New Roman"/>
                <w:sz w:val="14"/>
                <w:szCs w:val="14"/>
                <w:lang w:eastAsia="sk-SK"/>
              </w:rPr>
              <w:t>172,9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sz w:val="14"/>
                <w:szCs w:val="14"/>
                <w:lang w:eastAsia="sk-SK"/>
              </w:rPr>
            </w:pPr>
            <w:r w:rsidRPr="006A71B0">
              <w:rPr>
                <w:rFonts w:ascii="Times New Roman" w:hAnsi="Times New Roman" w:cs="Times New Roman"/>
                <w:sz w:val="14"/>
                <w:szCs w:val="14"/>
                <w:lang w:eastAsia="sk-SK"/>
              </w:rPr>
              <w:t>162,9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sz w:val="14"/>
                <w:szCs w:val="14"/>
                <w:lang w:eastAsia="sk-SK"/>
              </w:rPr>
            </w:pPr>
            <w:r w:rsidRPr="006A71B0">
              <w:rPr>
                <w:rFonts w:ascii="Times New Roman" w:hAnsi="Times New Roman" w:cs="Times New Roman"/>
                <w:sz w:val="14"/>
                <w:szCs w:val="14"/>
                <w:lang w:eastAsia="sk-SK"/>
              </w:rPr>
              <w:t>154,9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sz w:val="14"/>
                <w:szCs w:val="14"/>
                <w:lang w:eastAsia="sk-SK"/>
              </w:rPr>
            </w:pPr>
            <w:r w:rsidRPr="006A71B0">
              <w:rPr>
                <w:rFonts w:ascii="Times New Roman" w:hAnsi="Times New Roman" w:cs="Times New Roman"/>
                <w:sz w:val="14"/>
                <w:szCs w:val="14"/>
                <w:lang w:eastAsia="sk-SK"/>
              </w:rPr>
              <w:t>146,6</w:t>
            </w:r>
          </w:p>
        </w:tc>
      </w:tr>
      <w:tr w:rsidR="00AA35C3" w:rsidRPr="006A71B0" w:rsidTr="00A23F29">
        <w:trPr>
          <w:trHeight w:val="21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A35C3" w:rsidRPr="006A71B0" w:rsidRDefault="00AA35C3" w:rsidP="00A23F29">
            <w:pPr>
              <w:rPr>
                <w:rFonts w:ascii="Times New Roman" w:hAnsi="Times New Roman" w:cs="Times New Roman"/>
                <w:sz w:val="14"/>
                <w:szCs w:val="14"/>
                <w:lang w:eastAsia="sk-SK"/>
              </w:rPr>
            </w:pPr>
            <w:r w:rsidRPr="006A71B0">
              <w:rPr>
                <w:rFonts w:ascii="Times New Roman" w:hAnsi="Times New Roman" w:cs="Times New Roman"/>
                <w:sz w:val="14"/>
                <w:szCs w:val="14"/>
                <w:lang w:eastAsia="sk-SK"/>
              </w:rPr>
              <w:t>Úrokové výdavky</w:t>
            </w:r>
          </w:p>
        </w:tc>
        <w:tc>
          <w:tcPr>
            <w:tcW w:w="1029"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center"/>
              <w:rPr>
                <w:rFonts w:ascii="Times New Roman" w:hAnsi="Times New Roman" w:cs="Times New Roman"/>
                <w:sz w:val="10"/>
                <w:szCs w:val="10"/>
                <w:lang w:eastAsia="sk-SK"/>
              </w:rPr>
            </w:pPr>
            <w:r w:rsidRPr="006A71B0">
              <w:rPr>
                <w:rFonts w:ascii="Times New Roman" w:hAnsi="Times New Roman" w:cs="Times New Roman"/>
                <w:sz w:val="10"/>
                <w:szCs w:val="10"/>
                <w:lang w:eastAsia="sk-SK"/>
              </w:rPr>
              <w:t>D.41P</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1 379,4</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1 338,7</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1 126,7</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1 109,6</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1 135,8</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1 125,6</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1 079,2</w:t>
            </w:r>
          </w:p>
        </w:tc>
      </w:tr>
      <w:tr w:rsidR="00AA35C3" w:rsidRPr="006A71B0" w:rsidTr="00A23F29">
        <w:trPr>
          <w:trHeight w:val="21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A35C3" w:rsidRPr="006A71B0" w:rsidRDefault="00AA35C3" w:rsidP="00A23F29">
            <w:pPr>
              <w:rPr>
                <w:rFonts w:ascii="Times New Roman" w:hAnsi="Times New Roman" w:cs="Times New Roman"/>
                <w:sz w:val="14"/>
                <w:szCs w:val="14"/>
                <w:lang w:eastAsia="sk-SK"/>
              </w:rPr>
            </w:pPr>
            <w:r w:rsidRPr="006A71B0">
              <w:rPr>
                <w:rFonts w:ascii="Times New Roman" w:hAnsi="Times New Roman" w:cs="Times New Roman"/>
                <w:sz w:val="14"/>
                <w:szCs w:val="14"/>
                <w:lang w:eastAsia="sk-SK"/>
              </w:rPr>
              <w:t>Dotácie</w:t>
            </w:r>
          </w:p>
        </w:tc>
        <w:tc>
          <w:tcPr>
            <w:tcW w:w="1029"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center"/>
              <w:rPr>
                <w:rFonts w:ascii="Times New Roman" w:hAnsi="Times New Roman" w:cs="Times New Roman"/>
                <w:sz w:val="10"/>
                <w:szCs w:val="10"/>
                <w:lang w:eastAsia="sk-SK"/>
              </w:rPr>
            </w:pPr>
            <w:r w:rsidRPr="006A71B0">
              <w:rPr>
                <w:rFonts w:ascii="Times New Roman" w:hAnsi="Times New Roman" w:cs="Times New Roman"/>
                <w:sz w:val="10"/>
                <w:szCs w:val="10"/>
                <w:lang w:eastAsia="sk-SK"/>
              </w:rPr>
              <w:t xml:space="preserve">D.3P </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463,7</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376,4</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479,6</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340,1</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394,2</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381,9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391,5</w:t>
            </w:r>
          </w:p>
        </w:tc>
      </w:tr>
      <w:tr w:rsidR="00AA35C3" w:rsidRPr="006A71B0" w:rsidTr="00A23F29">
        <w:trPr>
          <w:trHeight w:val="21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A35C3" w:rsidRPr="006A71B0" w:rsidRDefault="00AA35C3" w:rsidP="00A23F29">
            <w:pPr>
              <w:rPr>
                <w:rFonts w:ascii="Times New Roman" w:hAnsi="Times New Roman" w:cs="Times New Roman"/>
                <w:sz w:val="14"/>
                <w:szCs w:val="14"/>
                <w:lang w:eastAsia="sk-SK"/>
              </w:rPr>
            </w:pPr>
            <w:r w:rsidRPr="006A71B0">
              <w:rPr>
                <w:rFonts w:ascii="Times New Roman" w:hAnsi="Times New Roman" w:cs="Times New Roman"/>
                <w:sz w:val="14"/>
                <w:szCs w:val="14"/>
                <w:lang w:eastAsia="sk-SK"/>
              </w:rPr>
              <w:t>Tvorba hrubého fixného kapitálu</w:t>
            </w:r>
          </w:p>
        </w:tc>
        <w:tc>
          <w:tcPr>
            <w:tcW w:w="1029"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center"/>
              <w:rPr>
                <w:rFonts w:ascii="Times New Roman" w:hAnsi="Times New Roman" w:cs="Times New Roman"/>
                <w:sz w:val="10"/>
                <w:szCs w:val="10"/>
                <w:lang w:eastAsia="sk-SK"/>
              </w:rPr>
            </w:pPr>
            <w:r w:rsidRPr="006A71B0">
              <w:rPr>
                <w:rFonts w:ascii="Times New Roman" w:hAnsi="Times New Roman" w:cs="Times New Roman"/>
                <w:sz w:val="10"/>
                <w:szCs w:val="10"/>
                <w:lang w:eastAsia="sk-SK"/>
              </w:rPr>
              <w:t>P.51G</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4 950,6</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2 598,2</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2 911,0</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2 810,6</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2 163,3</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2 566,0</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2 662,6</w:t>
            </w:r>
          </w:p>
        </w:tc>
      </w:tr>
      <w:tr w:rsidR="00AA35C3" w:rsidRPr="006A71B0" w:rsidTr="00A23F29">
        <w:trPr>
          <w:trHeight w:val="21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A35C3" w:rsidRPr="006A71B0" w:rsidRDefault="00AA35C3" w:rsidP="00A23F29">
            <w:pPr>
              <w:rPr>
                <w:rFonts w:ascii="Times New Roman" w:hAnsi="Times New Roman" w:cs="Times New Roman"/>
                <w:sz w:val="14"/>
                <w:szCs w:val="14"/>
                <w:lang w:eastAsia="sk-SK"/>
              </w:rPr>
            </w:pPr>
            <w:r w:rsidRPr="006A71B0">
              <w:rPr>
                <w:rFonts w:ascii="Times New Roman" w:hAnsi="Times New Roman" w:cs="Times New Roman"/>
                <w:sz w:val="14"/>
                <w:szCs w:val="14"/>
                <w:lang w:eastAsia="sk-SK"/>
              </w:rPr>
              <w:t>Kapitálové transfery</w:t>
            </w:r>
          </w:p>
        </w:tc>
        <w:tc>
          <w:tcPr>
            <w:tcW w:w="1029"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center"/>
              <w:rPr>
                <w:rFonts w:ascii="Times New Roman" w:hAnsi="Times New Roman" w:cs="Times New Roman"/>
                <w:sz w:val="10"/>
                <w:szCs w:val="10"/>
                <w:lang w:eastAsia="sk-SK"/>
              </w:rPr>
            </w:pPr>
            <w:r w:rsidRPr="006A71B0">
              <w:rPr>
                <w:rFonts w:ascii="Times New Roman" w:hAnsi="Times New Roman" w:cs="Times New Roman"/>
                <w:sz w:val="10"/>
                <w:szCs w:val="10"/>
                <w:lang w:eastAsia="sk-SK"/>
              </w:rPr>
              <w:t>D.9P</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717,7</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373,1</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280,9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278,2</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229,0</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228,9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241,8</w:t>
            </w:r>
          </w:p>
        </w:tc>
      </w:tr>
      <w:tr w:rsidR="00AA35C3" w:rsidRPr="006A71B0" w:rsidTr="00A23F29">
        <w:trPr>
          <w:trHeight w:val="32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A35C3" w:rsidRPr="006A71B0" w:rsidRDefault="00AA35C3" w:rsidP="00A23F29">
            <w:pPr>
              <w:rPr>
                <w:rFonts w:ascii="Times New Roman" w:hAnsi="Times New Roman" w:cs="Times New Roman"/>
                <w:sz w:val="14"/>
                <w:szCs w:val="14"/>
                <w:lang w:eastAsia="sk-SK"/>
              </w:rPr>
            </w:pPr>
            <w:r w:rsidRPr="006A71B0">
              <w:rPr>
                <w:rFonts w:ascii="Times New Roman" w:hAnsi="Times New Roman" w:cs="Times New Roman"/>
                <w:sz w:val="14"/>
                <w:szCs w:val="14"/>
                <w:lang w:eastAsia="sk-SK"/>
              </w:rPr>
              <w:t>Iné</w:t>
            </w:r>
          </w:p>
        </w:tc>
        <w:tc>
          <w:tcPr>
            <w:tcW w:w="1029" w:type="dxa"/>
            <w:tcBorders>
              <w:top w:val="nil"/>
              <w:left w:val="nil"/>
              <w:bottom w:val="single" w:sz="4" w:space="0" w:color="auto"/>
              <w:right w:val="single" w:sz="4" w:space="0" w:color="auto"/>
            </w:tcBorders>
            <w:shd w:val="clear" w:color="auto" w:fill="auto"/>
            <w:vAlign w:val="center"/>
            <w:hideMark/>
          </w:tcPr>
          <w:p w:rsidR="00AA35C3" w:rsidRPr="006A71B0" w:rsidRDefault="00AA35C3" w:rsidP="00A23F29">
            <w:pPr>
              <w:jc w:val="center"/>
              <w:rPr>
                <w:rFonts w:ascii="Times New Roman" w:hAnsi="Times New Roman" w:cs="Times New Roman"/>
                <w:sz w:val="10"/>
                <w:szCs w:val="10"/>
                <w:lang w:eastAsia="sk-SK"/>
              </w:rPr>
            </w:pPr>
            <w:r w:rsidRPr="006A71B0">
              <w:rPr>
                <w:rFonts w:ascii="Times New Roman" w:hAnsi="Times New Roman" w:cs="Times New Roman"/>
                <w:sz w:val="10"/>
                <w:szCs w:val="10"/>
                <w:lang w:eastAsia="sk-SK"/>
              </w:rPr>
              <w:t>D.2P+(D.4-D.41)+D.5P+D.7+P.5M+NP+D.8</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1 674,4</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1 648,9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2 036,2</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1 603,9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1 856,8</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2 280,9</w:t>
            </w:r>
          </w:p>
        </w:tc>
        <w:tc>
          <w:tcPr>
            <w:tcW w:w="820" w:type="dxa"/>
            <w:tcBorders>
              <w:top w:val="nil"/>
              <w:left w:val="nil"/>
              <w:bottom w:val="single" w:sz="4" w:space="0" w:color="auto"/>
              <w:right w:val="single" w:sz="4" w:space="0" w:color="auto"/>
            </w:tcBorders>
            <w:shd w:val="clear" w:color="auto" w:fill="auto"/>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2 515,4</w:t>
            </w:r>
          </w:p>
        </w:tc>
      </w:tr>
      <w:tr w:rsidR="00AA35C3" w:rsidRPr="006A71B0" w:rsidTr="00AA35C3">
        <w:trPr>
          <w:trHeight w:val="210"/>
          <w:jc w:val="center"/>
        </w:trPr>
        <w:tc>
          <w:tcPr>
            <w:tcW w:w="226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rPr>
                <w:rFonts w:ascii="Times New Roman" w:hAnsi="Times New Roman" w:cs="Times New Roman"/>
                <w:b/>
                <w:bCs/>
                <w:sz w:val="14"/>
                <w:szCs w:val="14"/>
                <w:lang w:eastAsia="sk-SK"/>
              </w:rPr>
            </w:pPr>
            <w:r w:rsidRPr="006A71B0">
              <w:rPr>
                <w:rFonts w:ascii="Times New Roman" w:hAnsi="Times New Roman" w:cs="Times New Roman"/>
                <w:b/>
                <w:bCs/>
                <w:sz w:val="14"/>
                <w:szCs w:val="14"/>
                <w:lang w:eastAsia="sk-SK"/>
              </w:rPr>
              <w:t>Čisté pôžičky poskytnuté / prijaté</w:t>
            </w:r>
          </w:p>
        </w:tc>
        <w:tc>
          <w:tcPr>
            <w:tcW w:w="1029"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center"/>
              <w:rPr>
                <w:rFonts w:ascii="Times New Roman" w:hAnsi="Times New Roman" w:cs="Times New Roman"/>
                <w:b/>
                <w:bCs/>
                <w:sz w:val="10"/>
                <w:szCs w:val="10"/>
                <w:lang w:eastAsia="sk-SK"/>
              </w:rPr>
            </w:pPr>
            <w:r w:rsidRPr="006A71B0">
              <w:rPr>
                <w:rFonts w:ascii="Times New Roman" w:hAnsi="Times New Roman" w:cs="Times New Roman"/>
                <w:b/>
                <w:bCs/>
                <w:sz w:val="10"/>
                <w:szCs w:val="10"/>
                <w:lang w:eastAsia="sk-SK"/>
              </w:rPr>
              <w:t>B.9</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-2 159,6</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-1 361,5</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-1 083,5</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-1 375,6</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-742,8</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-309,4</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-273,0</w:t>
            </w:r>
          </w:p>
        </w:tc>
      </w:tr>
      <w:tr w:rsidR="00AA35C3" w:rsidRPr="006A71B0" w:rsidTr="00AA35C3">
        <w:trPr>
          <w:trHeight w:val="210"/>
          <w:jc w:val="center"/>
        </w:trPr>
        <w:tc>
          <w:tcPr>
            <w:tcW w:w="226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rPr>
                <w:rFonts w:ascii="Times New Roman" w:hAnsi="Times New Roman" w:cs="Times New Roman"/>
                <w:b/>
                <w:bCs/>
                <w:sz w:val="14"/>
                <w:szCs w:val="14"/>
                <w:lang w:eastAsia="sk-SK"/>
              </w:rPr>
            </w:pPr>
            <w:r w:rsidRPr="006A71B0">
              <w:rPr>
                <w:rFonts w:ascii="Times New Roman" w:hAnsi="Times New Roman" w:cs="Times New Roman"/>
                <w:b/>
                <w:bCs/>
                <w:sz w:val="14"/>
                <w:szCs w:val="14"/>
                <w:lang w:eastAsia="sk-SK"/>
              </w:rPr>
              <w:t xml:space="preserve"> - v % HDP</w:t>
            </w:r>
          </w:p>
        </w:tc>
        <w:tc>
          <w:tcPr>
            <w:tcW w:w="1029"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center"/>
              <w:rPr>
                <w:rFonts w:ascii="Times New Roman" w:hAnsi="Times New Roman" w:cs="Times New Roman"/>
                <w:b/>
                <w:bCs/>
                <w:color w:val="000000"/>
                <w:sz w:val="10"/>
                <w:szCs w:val="10"/>
                <w:lang w:eastAsia="sk-SK"/>
              </w:rPr>
            </w:pPr>
            <w:r w:rsidRPr="006A71B0">
              <w:rPr>
                <w:rFonts w:ascii="Times New Roman" w:hAnsi="Times New Roman" w:cs="Times New Roman"/>
                <w:b/>
                <w:bCs/>
                <w:color w:val="000000"/>
                <w:sz w:val="10"/>
                <w:szCs w:val="10"/>
                <w:lang w:eastAsia="sk-SK"/>
              </w:rPr>
              <w:t> </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-2,74</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-1,68</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-1,29</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-1,63</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-0,83</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-0,32</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b/>
                <w:bCs/>
                <w:color w:val="000000"/>
                <w:sz w:val="14"/>
                <w:szCs w:val="14"/>
                <w:lang w:eastAsia="sk-SK"/>
              </w:rPr>
            </w:pPr>
            <w:r w:rsidRPr="006A71B0">
              <w:rPr>
                <w:rFonts w:ascii="Times New Roman" w:hAnsi="Times New Roman" w:cs="Times New Roman"/>
                <w:b/>
                <w:bCs/>
                <w:color w:val="000000"/>
                <w:sz w:val="14"/>
                <w:szCs w:val="14"/>
                <w:lang w:eastAsia="sk-SK"/>
              </w:rPr>
              <w:t>-0,27</w:t>
            </w:r>
          </w:p>
        </w:tc>
      </w:tr>
      <w:tr w:rsidR="00AA35C3" w:rsidRPr="006A71B0" w:rsidTr="00AA35C3">
        <w:trPr>
          <w:trHeight w:val="210"/>
          <w:jc w:val="center"/>
        </w:trPr>
        <w:tc>
          <w:tcPr>
            <w:tcW w:w="226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rPr>
                <w:rFonts w:ascii="Times New Roman" w:hAnsi="Times New Roman" w:cs="Times New Roman"/>
                <w:sz w:val="14"/>
                <w:szCs w:val="14"/>
                <w:lang w:eastAsia="sk-SK"/>
              </w:rPr>
            </w:pPr>
            <w:r w:rsidRPr="006A71B0">
              <w:rPr>
                <w:rFonts w:ascii="Times New Roman" w:hAnsi="Times New Roman" w:cs="Times New Roman"/>
                <w:sz w:val="14"/>
                <w:szCs w:val="14"/>
                <w:lang w:eastAsia="sk-SK"/>
              </w:rPr>
              <w:t>HDP (v b. c. v mil. eur)</w:t>
            </w:r>
          </w:p>
        </w:tc>
        <w:tc>
          <w:tcPr>
            <w:tcW w:w="1029"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center"/>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 </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78 685,6</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80 958,0</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83 991,4</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84 599,6</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89 495,3</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95 260,9</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AA35C3" w:rsidRPr="006A71B0" w:rsidRDefault="00AA35C3" w:rsidP="00A23F29">
            <w:pPr>
              <w:jc w:val="right"/>
              <w:rPr>
                <w:rFonts w:ascii="Times New Roman" w:hAnsi="Times New Roman" w:cs="Times New Roman"/>
                <w:color w:val="000000"/>
                <w:sz w:val="14"/>
                <w:szCs w:val="14"/>
                <w:lang w:eastAsia="sk-SK"/>
              </w:rPr>
            </w:pPr>
            <w:r w:rsidRPr="006A71B0">
              <w:rPr>
                <w:rFonts w:ascii="Times New Roman" w:hAnsi="Times New Roman" w:cs="Times New Roman"/>
                <w:color w:val="000000"/>
                <w:sz w:val="14"/>
                <w:szCs w:val="14"/>
                <w:lang w:eastAsia="sk-SK"/>
              </w:rPr>
              <w:t>101 007,4</w:t>
            </w:r>
          </w:p>
        </w:tc>
      </w:tr>
    </w:tbl>
    <w:p w:rsidR="00AA35C3" w:rsidRDefault="00AA35C3" w:rsidP="00AA35C3">
      <w:pPr>
        <w:jc w:val="both"/>
        <w:rPr>
          <w:rFonts w:ascii="Times New Roman" w:hAnsi="Times New Roman"/>
          <w:color w:val="0070C0"/>
          <w:sz w:val="16"/>
          <w:szCs w:val="16"/>
        </w:rPr>
      </w:pPr>
    </w:p>
    <w:p w:rsidR="00273EF3" w:rsidRPr="003445E5" w:rsidRDefault="00273EF3" w:rsidP="00FE0F32">
      <w:pPr>
        <w:rPr>
          <w:highlight w:val="yellow"/>
        </w:rPr>
      </w:pPr>
    </w:p>
    <w:p w:rsidR="00CB38CE" w:rsidRPr="00AE239D" w:rsidRDefault="00CB38CE" w:rsidP="00CB38CE">
      <w:pPr>
        <w:pStyle w:val="Nadpis2"/>
        <w:spacing w:before="0" w:after="0"/>
        <w:rPr>
          <w:rFonts w:ascii="Times New Roman" w:hAnsi="Times New Roman"/>
          <w:i w:val="0"/>
          <w:iCs w:val="0"/>
          <w:sz w:val="24"/>
          <w:szCs w:val="24"/>
        </w:rPr>
      </w:pPr>
      <w:bookmarkStart w:id="26" w:name="_Toc494463962"/>
      <w:bookmarkEnd w:id="15"/>
      <w:bookmarkEnd w:id="16"/>
      <w:bookmarkEnd w:id="17"/>
      <w:bookmarkEnd w:id="18"/>
      <w:bookmarkEnd w:id="19"/>
      <w:bookmarkEnd w:id="20"/>
      <w:r w:rsidRPr="00AE239D">
        <w:rPr>
          <w:rFonts w:ascii="Times New Roman" w:hAnsi="Times New Roman"/>
          <w:i w:val="0"/>
          <w:iCs w:val="0"/>
          <w:sz w:val="24"/>
          <w:szCs w:val="24"/>
        </w:rPr>
        <w:t>2.5. Dlh verejnej správy</w:t>
      </w:r>
      <w:bookmarkEnd w:id="26"/>
      <w:r w:rsidRPr="00AE239D">
        <w:rPr>
          <w:rFonts w:ascii="Times New Roman" w:hAnsi="Times New Roman"/>
          <w:i w:val="0"/>
          <w:iCs w:val="0"/>
          <w:sz w:val="24"/>
          <w:szCs w:val="24"/>
        </w:rPr>
        <w:t xml:space="preserve">       </w:t>
      </w:r>
    </w:p>
    <w:p w:rsidR="00CB38CE" w:rsidRPr="003445E5" w:rsidRDefault="00CB38CE" w:rsidP="00CB38CE">
      <w:pPr>
        <w:jc w:val="both"/>
        <w:rPr>
          <w:rFonts w:ascii="Arial Narrow" w:hAnsi="Arial Narrow" w:cs="Arial Narrow"/>
          <w:color w:val="0070C0"/>
          <w:sz w:val="22"/>
          <w:szCs w:val="22"/>
          <w:highlight w:val="yellow"/>
        </w:rPr>
      </w:pPr>
    </w:p>
    <w:bookmarkEnd w:id="21"/>
    <w:p w:rsidR="00357D21" w:rsidRDefault="00357D21" w:rsidP="00357D21">
      <w:pPr>
        <w:spacing w:after="120"/>
        <w:ind w:firstLine="708"/>
        <w:jc w:val="both"/>
        <w:rPr>
          <w:rFonts w:ascii="Times New Roman" w:hAnsi="Times New Roman" w:cs="Times New Roman"/>
        </w:rPr>
      </w:pPr>
      <w:r w:rsidRPr="002B3C31">
        <w:rPr>
          <w:rFonts w:ascii="Times New Roman" w:hAnsi="Times New Roman" w:cs="Times New Roman"/>
        </w:rPr>
        <w:t>Hrubý dlh verejnej správy</w:t>
      </w:r>
      <w:r w:rsidRPr="002B3C31">
        <w:rPr>
          <w:rFonts w:ascii="Times New Roman" w:hAnsi="Times New Roman" w:cs="Times New Roman"/>
          <w:vertAlign w:val="superscript"/>
        </w:rPr>
        <w:footnoteReference w:id="4"/>
      </w:r>
      <w:r w:rsidRPr="002B3C31">
        <w:rPr>
          <w:rFonts w:ascii="Times New Roman" w:hAnsi="Times New Roman" w:cs="Times New Roman"/>
        </w:rPr>
        <w:t xml:space="preserve"> dosiahol ku koncu roka 201</w:t>
      </w:r>
      <w:r>
        <w:rPr>
          <w:rFonts w:ascii="Times New Roman" w:hAnsi="Times New Roman" w:cs="Times New Roman"/>
        </w:rPr>
        <w:t>6 úroveň 51</w:t>
      </w:r>
      <w:r w:rsidRPr="002B3C31">
        <w:rPr>
          <w:rFonts w:ascii="Times New Roman" w:hAnsi="Times New Roman" w:cs="Times New Roman"/>
        </w:rPr>
        <w:t xml:space="preserve">,9 % HDP. </w:t>
      </w:r>
      <w:r>
        <w:rPr>
          <w:rFonts w:ascii="Times New Roman" w:hAnsi="Times New Roman" w:cs="Times New Roman"/>
        </w:rPr>
        <w:t>Oproti roku 2015</w:t>
      </w:r>
      <w:r w:rsidRPr="002B3C31">
        <w:rPr>
          <w:rFonts w:ascii="Times New Roman" w:hAnsi="Times New Roman" w:cs="Times New Roman"/>
        </w:rPr>
        <w:t xml:space="preserve"> došlo k medziročnému </w:t>
      </w:r>
      <w:r>
        <w:rPr>
          <w:rFonts w:ascii="Times New Roman" w:hAnsi="Times New Roman" w:cs="Times New Roman"/>
        </w:rPr>
        <w:t>zníženiu dlhu v pomere k HDP o 0,5</w:t>
      </w:r>
      <w:r w:rsidRPr="002B3C31">
        <w:rPr>
          <w:rFonts w:ascii="Times New Roman" w:hAnsi="Times New Roman" w:cs="Times New Roman"/>
        </w:rPr>
        <w:t xml:space="preserve"> </w:t>
      </w:r>
      <w:proofErr w:type="spellStart"/>
      <w:r w:rsidRPr="002B3C31">
        <w:rPr>
          <w:rFonts w:ascii="Times New Roman" w:hAnsi="Times New Roman" w:cs="Times New Roman"/>
        </w:rPr>
        <w:t>p.b</w:t>
      </w:r>
      <w:proofErr w:type="spellEnd"/>
      <w:r w:rsidRPr="00B74217">
        <w:rPr>
          <w:rFonts w:ascii="Times New Roman" w:hAnsi="Times New Roman" w:cs="Times New Roman"/>
        </w:rPr>
        <w:t>. Na pokles dlhu</w:t>
      </w:r>
      <w:r>
        <w:rPr>
          <w:rFonts w:ascii="Times New Roman" w:hAnsi="Times New Roman" w:cs="Times New Roman"/>
        </w:rPr>
        <w:t xml:space="preserve"> v pomere k HDP</w:t>
      </w:r>
      <w:r w:rsidRPr="00B74217">
        <w:rPr>
          <w:rFonts w:ascii="Times New Roman" w:hAnsi="Times New Roman" w:cs="Times New Roman"/>
        </w:rPr>
        <w:t xml:space="preserve"> v roku 201</w:t>
      </w:r>
      <w:r>
        <w:rPr>
          <w:rFonts w:ascii="Times New Roman" w:hAnsi="Times New Roman" w:cs="Times New Roman"/>
        </w:rPr>
        <w:t>6</w:t>
      </w:r>
      <w:r w:rsidRPr="00B74217">
        <w:rPr>
          <w:rFonts w:ascii="Times New Roman" w:hAnsi="Times New Roman" w:cs="Times New Roman"/>
        </w:rPr>
        <w:t xml:space="preserve"> pozitívne vplýval </w:t>
      </w:r>
      <w:r>
        <w:rPr>
          <w:rFonts w:ascii="Times New Roman" w:hAnsi="Times New Roman" w:cs="Times New Roman"/>
        </w:rPr>
        <w:t xml:space="preserve">najmä rast ekonomiky Slovenska zaznamenaný prostredníctvom nominálneho rastu HDP. </w:t>
      </w:r>
    </w:p>
    <w:p w:rsidR="00357D21" w:rsidRDefault="00357D21" w:rsidP="00357D21">
      <w:pPr>
        <w:spacing w:after="120"/>
        <w:ind w:firstLine="708"/>
        <w:jc w:val="both"/>
        <w:rPr>
          <w:rFonts w:ascii="Times New Roman" w:hAnsi="Times New Roman" w:cs="Times New Roman"/>
        </w:rPr>
      </w:pPr>
      <w:r w:rsidRPr="00C96BFD">
        <w:rPr>
          <w:rFonts w:ascii="Times New Roman" w:hAnsi="Times New Roman" w:cs="Times New Roman"/>
        </w:rPr>
        <w:t>Za predpokladu naplnenia aktuálneho fiškálneho rámca na roky 201</w:t>
      </w:r>
      <w:r>
        <w:rPr>
          <w:rFonts w:ascii="Times New Roman" w:hAnsi="Times New Roman" w:cs="Times New Roman"/>
        </w:rPr>
        <w:t>8</w:t>
      </w:r>
      <w:r w:rsidRPr="00C96BFD">
        <w:rPr>
          <w:rFonts w:ascii="Times New Roman" w:hAnsi="Times New Roman" w:cs="Times New Roman"/>
        </w:rPr>
        <w:t xml:space="preserve"> až 2020 možno očakávať, že hrubý dlh verejnej správy bude v pomere k HDP klesať</w:t>
      </w:r>
      <w:r>
        <w:rPr>
          <w:rFonts w:ascii="Times New Roman" w:hAnsi="Times New Roman" w:cs="Times New Roman"/>
        </w:rPr>
        <w:t xml:space="preserve"> aj naďalej</w:t>
      </w:r>
      <w:r w:rsidRPr="00C96BFD">
        <w:rPr>
          <w:rFonts w:ascii="Times New Roman" w:hAnsi="Times New Roman" w:cs="Times New Roman"/>
        </w:rPr>
        <w:t xml:space="preserve"> až </w:t>
      </w:r>
      <w:r>
        <w:rPr>
          <w:rFonts w:ascii="Times New Roman" w:hAnsi="Times New Roman" w:cs="Times New Roman"/>
        </w:rPr>
        <w:t>k</w:t>
      </w:r>
      <w:r w:rsidRPr="00C96BFD">
        <w:rPr>
          <w:rFonts w:ascii="Times New Roman" w:hAnsi="Times New Roman" w:cs="Times New Roman"/>
        </w:rPr>
        <w:t xml:space="preserve"> úrovn</w:t>
      </w:r>
      <w:r>
        <w:rPr>
          <w:rFonts w:ascii="Times New Roman" w:hAnsi="Times New Roman" w:cs="Times New Roman"/>
        </w:rPr>
        <w:t>i</w:t>
      </w:r>
      <w:r w:rsidRPr="00C96BFD">
        <w:rPr>
          <w:rFonts w:ascii="Times New Roman" w:hAnsi="Times New Roman" w:cs="Times New Roman"/>
        </w:rPr>
        <w:t xml:space="preserve"> 45</w:t>
      </w:r>
      <w:r>
        <w:rPr>
          <w:rFonts w:ascii="Times New Roman" w:hAnsi="Times New Roman" w:cs="Times New Roman"/>
        </w:rPr>
        <w:t>,5</w:t>
      </w:r>
      <w:r w:rsidRPr="00C96BFD">
        <w:rPr>
          <w:rFonts w:ascii="Times New Roman" w:hAnsi="Times New Roman" w:cs="Times New Roman"/>
        </w:rPr>
        <w:t xml:space="preserve"> % HDP v roku 2020. Týmto solídnym tempom by sa jeho výška m</w:t>
      </w:r>
      <w:r>
        <w:rPr>
          <w:rFonts w:ascii="Times New Roman" w:hAnsi="Times New Roman" w:cs="Times New Roman"/>
        </w:rPr>
        <w:t>ohla</w:t>
      </w:r>
      <w:r w:rsidRPr="00C96BFD">
        <w:rPr>
          <w:rFonts w:ascii="Times New Roman" w:hAnsi="Times New Roman" w:cs="Times New Roman"/>
        </w:rPr>
        <w:t xml:space="preserve"> dostať mimo sankčné pásma definované zákonom o rozpočtovej zodpovednosti už v roku 201</w:t>
      </w:r>
      <w:r>
        <w:rPr>
          <w:rFonts w:ascii="Times New Roman" w:hAnsi="Times New Roman" w:cs="Times New Roman"/>
        </w:rPr>
        <w:t>9 (47,8</w:t>
      </w:r>
      <w:r w:rsidRPr="00C96BFD">
        <w:rPr>
          <w:rFonts w:ascii="Times New Roman" w:hAnsi="Times New Roman" w:cs="Times New Roman"/>
        </w:rPr>
        <w:t xml:space="preserve"> </w:t>
      </w:r>
      <w:r w:rsidRPr="00C96BFD">
        <w:rPr>
          <w:rFonts w:ascii="Times New Roman" w:hAnsi="Times New Roman" w:cs="Times New Roman"/>
          <w:lang w:val="en-US"/>
        </w:rPr>
        <w:t>% HDP).</w:t>
      </w:r>
      <w:r w:rsidRPr="00C96BFD">
        <w:rPr>
          <w:rStyle w:val="Odkaznapoznmkupodiarou"/>
          <w:rFonts w:ascii="Times New Roman" w:hAnsi="Times New Roman"/>
        </w:rPr>
        <w:footnoteReference w:id="5"/>
      </w:r>
    </w:p>
    <w:p w:rsidR="00357D21" w:rsidRDefault="00357D21" w:rsidP="00357D21">
      <w:pPr>
        <w:spacing w:after="120"/>
        <w:ind w:firstLine="708"/>
        <w:jc w:val="both"/>
        <w:rPr>
          <w:rFonts w:ascii="Times New Roman" w:hAnsi="Times New Roman" w:cs="Times New Roman"/>
        </w:rPr>
      </w:pPr>
      <w:r w:rsidRPr="00C96BFD">
        <w:rPr>
          <w:rFonts w:ascii="Times New Roman" w:hAnsi="Times New Roman" w:cs="Times New Roman"/>
        </w:rPr>
        <w:t>Predpokladaná výška hrubého dlhu na rok 2017 sa na základe aktuálnych predpokladov  nachádza na úrovni 5</w:t>
      </w:r>
      <w:r>
        <w:rPr>
          <w:rFonts w:ascii="Times New Roman" w:hAnsi="Times New Roman" w:cs="Times New Roman"/>
        </w:rPr>
        <w:t>1</w:t>
      </w:r>
      <w:r w:rsidRPr="00C96BFD">
        <w:rPr>
          <w:rFonts w:ascii="Times New Roman" w:hAnsi="Times New Roman" w:cs="Times New Roman"/>
        </w:rPr>
        <w:t>,</w:t>
      </w:r>
      <w:r>
        <w:rPr>
          <w:rFonts w:ascii="Times New Roman" w:hAnsi="Times New Roman" w:cs="Times New Roman"/>
        </w:rPr>
        <w:t>1</w:t>
      </w:r>
      <w:r w:rsidRPr="00C96BFD">
        <w:rPr>
          <w:rFonts w:ascii="Times New Roman" w:hAnsi="Times New Roman" w:cs="Times New Roman"/>
        </w:rPr>
        <w:t> % </w:t>
      </w:r>
      <w:r w:rsidRPr="00D829BE">
        <w:rPr>
          <w:rFonts w:ascii="Times New Roman" w:hAnsi="Times New Roman" w:cs="Times New Roman"/>
        </w:rPr>
        <w:t>HDP. Dôvodom očakávaného poklesu oproti roku 2016 je najmä zrýchľujúci sa rast HDP. Z analytického pohľadu je znižovanie dlhu v roku 2017 podporené predovšetkým pokračujúcim reálnym rastom ekonomiky, obnoveným inflačným vývojom a čiastočne brzdené najmä úrokovými nákladmi na obsluhu už existujúceho dlhu a deficitným hospodárením.</w:t>
      </w:r>
    </w:p>
    <w:p w:rsidR="00357D21" w:rsidRDefault="00357D21" w:rsidP="00357D21">
      <w:pPr>
        <w:spacing w:after="120"/>
        <w:ind w:firstLine="708"/>
        <w:jc w:val="both"/>
        <w:rPr>
          <w:rFonts w:ascii="Times New Roman" w:hAnsi="Times New Roman" w:cs="Times New Roman"/>
        </w:rPr>
      </w:pPr>
      <w:r w:rsidRPr="00F023F3">
        <w:rPr>
          <w:rFonts w:ascii="Times New Roman" w:hAnsi="Times New Roman" w:cs="Times New Roman"/>
        </w:rPr>
        <w:t>Od roku 2018 sa</w:t>
      </w:r>
      <w:r>
        <w:rPr>
          <w:rFonts w:ascii="Times New Roman" w:hAnsi="Times New Roman" w:cs="Times New Roman"/>
        </w:rPr>
        <w:t xml:space="preserve"> okrem faktorov súvisiacich s akceleráciou ekonomiky,</w:t>
      </w:r>
      <w:r w:rsidRPr="00F023F3">
        <w:rPr>
          <w:rFonts w:ascii="Times New Roman" w:hAnsi="Times New Roman" w:cs="Times New Roman"/>
        </w:rPr>
        <w:t xml:space="preserve"> očakáva výraznejší príspevok k poklesu dlhu aj z dôvodu dosahovania primárneho prebytku</w:t>
      </w:r>
      <w:r w:rsidRPr="00F023F3">
        <w:rPr>
          <w:rStyle w:val="Odkaznapoznmkupodiarou"/>
          <w:rFonts w:ascii="Times New Roman" w:hAnsi="Times New Roman"/>
        </w:rPr>
        <w:footnoteReference w:id="6"/>
      </w:r>
      <w:r>
        <w:rPr>
          <w:rFonts w:ascii="Times New Roman" w:hAnsi="Times New Roman" w:cs="Times New Roman"/>
        </w:rPr>
        <w:t xml:space="preserve"> ako dôsledku</w:t>
      </w:r>
      <w:r w:rsidRPr="00F023F3">
        <w:rPr>
          <w:rFonts w:ascii="Times New Roman" w:hAnsi="Times New Roman" w:cs="Times New Roman"/>
        </w:rPr>
        <w:t xml:space="preserve"> </w:t>
      </w:r>
      <w:r>
        <w:rPr>
          <w:rFonts w:ascii="Times New Roman" w:hAnsi="Times New Roman" w:cs="Times New Roman"/>
        </w:rPr>
        <w:t xml:space="preserve">poklesu </w:t>
      </w:r>
      <w:r w:rsidRPr="00F023F3">
        <w:rPr>
          <w:rFonts w:ascii="Times New Roman" w:hAnsi="Times New Roman" w:cs="Times New Roman"/>
        </w:rPr>
        <w:t>hotovostn</w:t>
      </w:r>
      <w:r>
        <w:rPr>
          <w:rFonts w:ascii="Times New Roman" w:hAnsi="Times New Roman" w:cs="Times New Roman"/>
        </w:rPr>
        <w:t>ých</w:t>
      </w:r>
      <w:r w:rsidRPr="00F023F3">
        <w:rPr>
          <w:rFonts w:ascii="Times New Roman" w:hAnsi="Times New Roman" w:cs="Times New Roman"/>
        </w:rPr>
        <w:t xml:space="preserve"> schodk</w:t>
      </w:r>
      <w:r>
        <w:rPr>
          <w:rFonts w:ascii="Times New Roman" w:hAnsi="Times New Roman" w:cs="Times New Roman"/>
        </w:rPr>
        <w:t>ov</w:t>
      </w:r>
      <w:r w:rsidRPr="00F023F3">
        <w:rPr>
          <w:rFonts w:ascii="Times New Roman" w:hAnsi="Times New Roman" w:cs="Times New Roman"/>
        </w:rPr>
        <w:t xml:space="preserve"> štátneho rozpočtu</w:t>
      </w:r>
      <w:r>
        <w:rPr>
          <w:rFonts w:ascii="Times New Roman" w:hAnsi="Times New Roman" w:cs="Times New Roman"/>
        </w:rPr>
        <w:t>.</w:t>
      </w:r>
      <w:r w:rsidRPr="00F023F3">
        <w:rPr>
          <w:rFonts w:ascii="Times New Roman" w:hAnsi="Times New Roman" w:cs="Times New Roman"/>
        </w:rPr>
        <w:t xml:space="preserve"> </w:t>
      </w:r>
      <w:r>
        <w:rPr>
          <w:rFonts w:ascii="Times New Roman" w:hAnsi="Times New Roman" w:cs="Times New Roman"/>
        </w:rPr>
        <w:t xml:space="preserve">Dôležitú rolu v prospech </w:t>
      </w:r>
      <w:r w:rsidRPr="00F023F3">
        <w:rPr>
          <w:rFonts w:ascii="Times New Roman" w:hAnsi="Times New Roman" w:cs="Times New Roman"/>
        </w:rPr>
        <w:lastRenderedPageBreak/>
        <w:t>výraznejšiemu poklesu dlhu</w:t>
      </w:r>
      <w:r>
        <w:rPr>
          <w:rFonts w:ascii="Times New Roman" w:hAnsi="Times New Roman" w:cs="Times New Roman"/>
        </w:rPr>
        <w:t xml:space="preserve"> bude taktiež zohrávať prognózované tempo inflácie</w:t>
      </w:r>
      <w:r w:rsidRPr="00F023F3">
        <w:rPr>
          <w:rFonts w:ascii="Times New Roman" w:hAnsi="Times New Roman" w:cs="Times New Roman"/>
        </w:rPr>
        <w:t>. Koncom roka 2020 sa prognózuje</w:t>
      </w:r>
      <w:r>
        <w:rPr>
          <w:rFonts w:ascii="Times New Roman" w:hAnsi="Times New Roman" w:cs="Times New Roman"/>
        </w:rPr>
        <w:t xml:space="preserve"> výška</w:t>
      </w:r>
      <w:r w:rsidRPr="00F023F3">
        <w:rPr>
          <w:rFonts w:ascii="Times New Roman" w:hAnsi="Times New Roman" w:cs="Times New Roman"/>
        </w:rPr>
        <w:t xml:space="preserve"> hrub</w:t>
      </w:r>
      <w:r>
        <w:rPr>
          <w:rFonts w:ascii="Times New Roman" w:hAnsi="Times New Roman" w:cs="Times New Roman"/>
        </w:rPr>
        <w:t>ého</w:t>
      </w:r>
      <w:r w:rsidRPr="00F023F3">
        <w:rPr>
          <w:rFonts w:ascii="Times New Roman" w:hAnsi="Times New Roman" w:cs="Times New Roman"/>
        </w:rPr>
        <w:t xml:space="preserve"> dlh</w:t>
      </w:r>
      <w:r>
        <w:rPr>
          <w:rFonts w:ascii="Times New Roman" w:hAnsi="Times New Roman" w:cs="Times New Roman"/>
        </w:rPr>
        <w:t>u verejnej správy na úrovni 45,5</w:t>
      </w:r>
      <w:r w:rsidRPr="00F023F3">
        <w:rPr>
          <w:rFonts w:ascii="Times New Roman" w:hAnsi="Times New Roman" w:cs="Times New Roman"/>
        </w:rPr>
        <w:t xml:space="preserve"> % HDP.</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950"/>
        <w:gridCol w:w="951"/>
        <w:gridCol w:w="951"/>
        <w:gridCol w:w="951"/>
        <w:gridCol w:w="951"/>
        <w:gridCol w:w="951"/>
      </w:tblGrid>
      <w:tr w:rsidR="00357D21" w:rsidRPr="00722209" w:rsidTr="00465CAC">
        <w:trPr>
          <w:trHeight w:val="227"/>
          <w:jc w:val="center"/>
        </w:trPr>
        <w:tc>
          <w:tcPr>
            <w:tcW w:w="9107" w:type="dxa"/>
            <w:gridSpan w:val="7"/>
            <w:tcBorders>
              <w:bottom w:val="single" w:sz="4" w:space="0" w:color="auto"/>
            </w:tcBorders>
            <w:shd w:val="clear" w:color="auto" w:fill="A6A6A6"/>
            <w:vAlign w:val="center"/>
            <w:hideMark/>
          </w:tcPr>
          <w:p w:rsidR="00357D21" w:rsidRPr="00B74217" w:rsidRDefault="00357D21" w:rsidP="00465CAC">
            <w:pPr>
              <w:rPr>
                <w:rFonts w:ascii="Times New Roman" w:hAnsi="Times New Roman" w:cs="Times New Roman"/>
                <w:b/>
                <w:bCs/>
                <w:sz w:val="14"/>
                <w:szCs w:val="14"/>
              </w:rPr>
            </w:pPr>
            <w:r w:rsidRPr="00B74217">
              <w:rPr>
                <w:rFonts w:ascii="Times New Roman" w:hAnsi="Times New Roman" w:cs="Times New Roman"/>
                <w:b/>
                <w:bCs/>
                <w:sz w:val="14"/>
                <w:szCs w:val="14"/>
              </w:rPr>
              <w:t>Hrubý dlh verejnej správy (% HDP, stav k 31.12.) </w:t>
            </w:r>
          </w:p>
        </w:tc>
      </w:tr>
      <w:tr w:rsidR="00357D21" w:rsidRPr="00722209" w:rsidTr="00465CAC">
        <w:trPr>
          <w:trHeight w:val="227"/>
          <w:jc w:val="center"/>
        </w:trPr>
        <w:tc>
          <w:tcPr>
            <w:tcW w:w="3402" w:type="dxa"/>
            <w:shd w:val="clear" w:color="auto" w:fill="BFBFBF"/>
            <w:noWrap/>
            <w:vAlign w:val="center"/>
            <w:hideMark/>
          </w:tcPr>
          <w:p w:rsidR="00357D21" w:rsidRPr="00B74217" w:rsidRDefault="00357D21" w:rsidP="00465CAC">
            <w:pPr>
              <w:jc w:val="center"/>
              <w:rPr>
                <w:rFonts w:ascii="Times New Roman" w:hAnsi="Times New Roman" w:cs="Times New Roman"/>
                <w:b/>
                <w:bCs/>
                <w:sz w:val="14"/>
                <w:szCs w:val="14"/>
              </w:rPr>
            </w:pPr>
          </w:p>
        </w:tc>
        <w:tc>
          <w:tcPr>
            <w:tcW w:w="950" w:type="dxa"/>
            <w:tcBorders>
              <w:bottom w:val="single" w:sz="4" w:space="0" w:color="auto"/>
            </w:tcBorders>
            <w:shd w:val="clear" w:color="auto" w:fill="BFBFBF"/>
            <w:noWrap/>
            <w:vAlign w:val="center"/>
            <w:hideMark/>
          </w:tcPr>
          <w:p w:rsidR="00357D21" w:rsidRPr="00B74217" w:rsidRDefault="00357D21" w:rsidP="00465CAC">
            <w:pPr>
              <w:jc w:val="center"/>
              <w:rPr>
                <w:rFonts w:ascii="Times New Roman" w:hAnsi="Times New Roman" w:cs="Times New Roman"/>
                <w:b/>
                <w:bCs/>
                <w:sz w:val="14"/>
                <w:szCs w:val="14"/>
              </w:rPr>
            </w:pPr>
            <w:r w:rsidRPr="00B74217">
              <w:rPr>
                <w:rFonts w:ascii="Times New Roman" w:hAnsi="Times New Roman" w:cs="Times New Roman"/>
                <w:b/>
                <w:bCs/>
                <w:sz w:val="14"/>
                <w:szCs w:val="14"/>
              </w:rPr>
              <w:t>2015 S</w:t>
            </w:r>
          </w:p>
        </w:tc>
        <w:tc>
          <w:tcPr>
            <w:tcW w:w="951" w:type="dxa"/>
            <w:tcBorders>
              <w:bottom w:val="single" w:sz="4" w:space="0" w:color="auto"/>
            </w:tcBorders>
            <w:shd w:val="clear" w:color="auto" w:fill="BFBFBF"/>
            <w:noWrap/>
            <w:vAlign w:val="center"/>
          </w:tcPr>
          <w:p w:rsidR="00357D21" w:rsidRPr="00B74217" w:rsidRDefault="00357D21" w:rsidP="00465CAC">
            <w:pPr>
              <w:jc w:val="center"/>
              <w:rPr>
                <w:rFonts w:ascii="Times New Roman" w:hAnsi="Times New Roman" w:cs="Times New Roman"/>
                <w:b/>
                <w:bCs/>
                <w:sz w:val="14"/>
                <w:szCs w:val="14"/>
              </w:rPr>
            </w:pPr>
            <w:r>
              <w:rPr>
                <w:rFonts w:ascii="Times New Roman" w:hAnsi="Times New Roman" w:cs="Times New Roman"/>
                <w:b/>
                <w:bCs/>
                <w:sz w:val="14"/>
                <w:szCs w:val="14"/>
              </w:rPr>
              <w:t>2016 S</w:t>
            </w:r>
          </w:p>
        </w:tc>
        <w:tc>
          <w:tcPr>
            <w:tcW w:w="951" w:type="dxa"/>
            <w:tcBorders>
              <w:bottom w:val="single" w:sz="4" w:space="0" w:color="auto"/>
            </w:tcBorders>
            <w:shd w:val="clear" w:color="auto" w:fill="BFBFBF"/>
            <w:noWrap/>
            <w:vAlign w:val="center"/>
          </w:tcPr>
          <w:p w:rsidR="00357D21" w:rsidRPr="00B74217" w:rsidRDefault="00357D21" w:rsidP="00465CAC">
            <w:pPr>
              <w:jc w:val="center"/>
              <w:rPr>
                <w:rFonts w:ascii="Times New Roman" w:hAnsi="Times New Roman" w:cs="Times New Roman"/>
                <w:b/>
                <w:bCs/>
                <w:sz w:val="14"/>
                <w:szCs w:val="14"/>
              </w:rPr>
            </w:pPr>
            <w:r>
              <w:rPr>
                <w:rFonts w:ascii="Times New Roman" w:hAnsi="Times New Roman" w:cs="Times New Roman"/>
                <w:b/>
                <w:bCs/>
                <w:sz w:val="14"/>
                <w:szCs w:val="14"/>
              </w:rPr>
              <w:t>2017 OS</w:t>
            </w:r>
          </w:p>
        </w:tc>
        <w:tc>
          <w:tcPr>
            <w:tcW w:w="951" w:type="dxa"/>
            <w:tcBorders>
              <w:bottom w:val="single" w:sz="4" w:space="0" w:color="auto"/>
            </w:tcBorders>
            <w:shd w:val="clear" w:color="auto" w:fill="BFBFBF"/>
            <w:noWrap/>
            <w:vAlign w:val="center"/>
          </w:tcPr>
          <w:p w:rsidR="00357D21" w:rsidRPr="00B74217" w:rsidRDefault="00357D21" w:rsidP="00465CAC">
            <w:pPr>
              <w:jc w:val="center"/>
              <w:rPr>
                <w:rFonts w:ascii="Times New Roman" w:hAnsi="Times New Roman" w:cs="Times New Roman"/>
                <w:b/>
                <w:bCs/>
                <w:sz w:val="14"/>
                <w:szCs w:val="14"/>
              </w:rPr>
            </w:pPr>
            <w:r w:rsidRPr="00B74217">
              <w:rPr>
                <w:rFonts w:ascii="Times New Roman" w:hAnsi="Times New Roman" w:cs="Times New Roman"/>
                <w:b/>
                <w:bCs/>
                <w:sz w:val="14"/>
                <w:szCs w:val="14"/>
              </w:rPr>
              <w:t>2018 N</w:t>
            </w:r>
          </w:p>
        </w:tc>
        <w:tc>
          <w:tcPr>
            <w:tcW w:w="951" w:type="dxa"/>
            <w:tcBorders>
              <w:bottom w:val="single" w:sz="4" w:space="0" w:color="auto"/>
            </w:tcBorders>
            <w:shd w:val="clear" w:color="auto" w:fill="BFBFBF"/>
            <w:noWrap/>
            <w:vAlign w:val="center"/>
          </w:tcPr>
          <w:p w:rsidR="00357D21" w:rsidRPr="00B74217" w:rsidRDefault="00357D21" w:rsidP="00465CAC">
            <w:pPr>
              <w:jc w:val="center"/>
              <w:rPr>
                <w:rFonts w:ascii="Times New Roman" w:hAnsi="Times New Roman" w:cs="Times New Roman"/>
                <w:b/>
                <w:bCs/>
                <w:sz w:val="14"/>
                <w:szCs w:val="14"/>
              </w:rPr>
            </w:pPr>
            <w:r w:rsidRPr="00B74217">
              <w:rPr>
                <w:rFonts w:ascii="Times New Roman" w:hAnsi="Times New Roman" w:cs="Times New Roman"/>
                <w:b/>
                <w:bCs/>
                <w:sz w:val="14"/>
                <w:szCs w:val="14"/>
              </w:rPr>
              <w:t>2019 N</w:t>
            </w:r>
          </w:p>
        </w:tc>
        <w:tc>
          <w:tcPr>
            <w:tcW w:w="951" w:type="dxa"/>
            <w:tcBorders>
              <w:bottom w:val="single" w:sz="4" w:space="0" w:color="auto"/>
            </w:tcBorders>
            <w:shd w:val="clear" w:color="auto" w:fill="BFBFBF"/>
            <w:noWrap/>
            <w:vAlign w:val="center"/>
          </w:tcPr>
          <w:p w:rsidR="00357D21" w:rsidRPr="00B74217" w:rsidRDefault="00357D21" w:rsidP="00465CAC">
            <w:pPr>
              <w:jc w:val="center"/>
              <w:rPr>
                <w:rFonts w:ascii="Times New Roman" w:hAnsi="Times New Roman" w:cs="Times New Roman"/>
                <w:b/>
                <w:bCs/>
                <w:sz w:val="14"/>
                <w:szCs w:val="14"/>
              </w:rPr>
            </w:pPr>
            <w:r>
              <w:rPr>
                <w:rFonts w:ascii="Times New Roman" w:hAnsi="Times New Roman" w:cs="Times New Roman"/>
                <w:b/>
                <w:bCs/>
                <w:sz w:val="14"/>
                <w:szCs w:val="14"/>
              </w:rPr>
              <w:t>2020 N</w:t>
            </w:r>
          </w:p>
        </w:tc>
      </w:tr>
      <w:tr w:rsidR="00357D21" w:rsidRPr="00587D87" w:rsidTr="00465CAC">
        <w:trPr>
          <w:trHeight w:val="227"/>
          <w:jc w:val="center"/>
        </w:trPr>
        <w:tc>
          <w:tcPr>
            <w:tcW w:w="3402" w:type="dxa"/>
            <w:shd w:val="clear" w:color="auto" w:fill="auto"/>
            <w:noWrap/>
            <w:vAlign w:val="center"/>
            <w:hideMark/>
          </w:tcPr>
          <w:p w:rsidR="00357D21" w:rsidRPr="00587D87" w:rsidRDefault="00357D21" w:rsidP="00465CAC">
            <w:pPr>
              <w:rPr>
                <w:rFonts w:ascii="Times New Roman" w:hAnsi="Times New Roman" w:cs="Times New Roman"/>
                <w:b/>
                <w:bCs/>
                <w:sz w:val="14"/>
                <w:szCs w:val="14"/>
              </w:rPr>
            </w:pPr>
            <w:r w:rsidRPr="00587D87">
              <w:rPr>
                <w:rFonts w:ascii="Times New Roman" w:hAnsi="Times New Roman" w:cs="Times New Roman"/>
                <w:b/>
                <w:bCs/>
                <w:sz w:val="14"/>
                <w:szCs w:val="14"/>
              </w:rPr>
              <w:t>Hrubý dlh verejnej správy</w:t>
            </w:r>
          </w:p>
        </w:tc>
        <w:tc>
          <w:tcPr>
            <w:tcW w:w="950" w:type="dxa"/>
            <w:shd w:val="clear" w:color="auto" w:fill="auto"/>
          </w:tcPr>
          <w:p w:rsidR="00357D21" w:rsidRPr="00587D87" w:rsidRDefault="00357D21" w:rsidP="00465CAC">
            <w:pPr>
              <w:jc w:val="right"/>
              <w:rPr>
                <w:rFonts w:ascii="Times New Roman" w:hAnsi="Times New Roman" w:cs="Times New Roman"/>
                <w:b/>
                <w:sz w:val="14"/>
                <w:szCs w:val="14"/>
              </w:rPr>
            </w:pPr>
            <w:r w:rsidRPr="00587D87">
              <w:rPr>
                <w:rFonts w:ascii="Times New Roman" w:hAnsi="Times New Roman" w:cs="Times New Roman"/>
                <w:b/>
                <w:sz w:val="14"/>
                <w:szCs w:val="14"/>
              </w:rPr>
              <w:t>52,5</w:t>
            </w:r>
          </w:p>
        </w:tc>
        <w:tc>
          <w:tcPr>
            <w:tcW w:w="951" w:type="dxa"/>
            <w:shd w:val="clear" w:color="auto" w:fill="auto"/>
          </w:tcPr>
          <w:p w:rsidR="00357D21" w:rsidRPr="00587D87" w:rsidRDefault="00357D21" w:rsidP="00465CAC">
            <w:pPr>
              <w:jc w:val="right"/>
              <w:rPr>
                <w:rFonts w:ascii="Times New Roman" w:hAnsi="Times New Roman" w:cs="Times New Roman"/>
                <w:b/>
                <w:sz w:val="14"/>
                <w:szCs w:val="14"/>
              </w:rPr>
            </w:pPr>
            <w:r w:rsidRPr="00587D87">
              <w:rPr>
                <w:rFonts w:ascii="Times New Roman" w:hAnsi="Times New Roman" w:cs="Times New Roman"/>
                <w:b/>
                <w:sz w:val="14"/>
                <w:szCs w:val="14"/>
              </w:rPr>
              <w:t>51,9</w:t>
            </w:r>
          </w:p>
        </w:tc>
        <w:tc>
          <w:tcPr>
            <w:tcW w:w="951" w:type="dxa"/>
            <w:tcBorders>
              <w:top w:val="nil"/>
              <w:left w:val="single" w:sz="4" w:space="0" w:color="auto"/>
              <w:bottom w:val="single" w:sz="4" w:space="0" w:color="auto"/>
              <w:right w:val="single" w:sz="4" w:space="0" w:color="auto"/>
            </w:tcBorders>
            <w:shd w:val="clear" w:color="auto" w:fill="auto"/>
          </w:tcPr>
          <w:p w:rsidR="00357D21" w:rsidRPr="00587D87" w:rsidRDefault="00357D21" w:rsidP="00465CAC">
            <w:pPr>
              <w:jc w:val="right"/>
              <w:rPr>
                <w:rFonts w:ascii="Times New Roman" w:hAnsi="Times New Roman" w:cs="Times New Roman"/>
                <w:b/>
                <w:sz w:val="14"/>
                <w:szCs w:val="14"/>
              </w:rPr>
            </w:pPr>
            <w:r w:rsidRPr="00587D87">
              <w:rPr>
                <w:rFonts w:ascii="Times New Roman" w:hAnsi="Times New Roman" w:cs="Times New Roman"/>
                <w:b/>
                <w:sz w:val="14"/>
                <w:szCs w:val="14"/>
              </w:rPr>
              <w:t>51,1</w:t>
            </w:r>
          </w:p>
        </w:tc>
        <w:tc>
          <w:tcPr>
            <w:tcW w:w="951" w:type="dxa"/>
            <w:tcBorders>
              <w:top w:val="nil"/>
              <w:left w:val="nil"/>
              <w:bottom w:val="single" w:sz="4" w:space="0" w:color="auto"/>
              <w:right w:val="single" w:sz="4" w:space="0" w:color="auto"/>
            </w:tcBorders>
            <w:shd w:val="clear" w:color="auto" w:fill="auto"/>
          </w:tcPr>
          <w:p w:rsidR="00357D21" w:rsidRPr="00587D87" w:rsidRDefault="00357D21" w:rsidP="00465CAC">
            <w:pPr>
              <w:jc w:val="right"/>
              <w:rPr>
                <w:rFonts w:ascii="Times New Roman" w:hAnsi="Times New Roman" w:cs="Times New Roman"/>
                <w:b/>
                <w:sz w:val="14"/>
                <w:szCs w:val="14"/>
              </w:rPr>
            </w:pPr>
            <w:r w:rsidRPr="00587D87">
              <w:rPr>
                <w:rFonts w:ascii="Times New Roman" w:hAnsi="Times New Roman" w:cs="Times New Roman"/>
                <w:b/>
                <w:sz w:val="14"/>
                <w:szCs w:val="14"/>
              </w:rPr>
              <w:t>49,9</w:t>
            </w:r>
          </w:p>
        </w:tc>
        <w:tc>
          <w:tcPr>
            <w:tcW w:w="951" w:type="dxa"/>
            <w:tcBorders>
              <w:top w:val="nil"/>
              <w:left w:val="nil"/>
              <w:bottom w:val="single" w:sz="4" w:space="0" w:color="auto"/>
              <w:right w:val="single" w:sz="4" w:space="0" w:color="auto"/>
            </w:tcBorders>
            <w:shd w:val="clear" w:color="auto" w:fill="auto"/>
          </w:tcPr>
          <w:p w:rsidR="00357D21" w:rsidRPr="00587D87" w:rsidRDefault="00357D21" w:rsidP="00465CAC">
            <w:pPr>
              <w:jc w:val="right"/>
              <w:rPr>
                <w:rFonts w:ascii="Times New Roman" w:hAnsi="Times New Roman" w:cs="Times New Roman"/>
                <w:b/>
                <w:sz w:val="14"/>
                <w:szCs w:val="14"/>
              </w:rPr>
            </w:pPr>
            <w:r w:rsidRPr="00587D87">
              <w:rPr>
                <w:rFonts w:ascii="Times New Roman" w:hAnsi="Times New Roman" w:cs="Times New Roman"/>
                <w:b/>
                <w:sz w:val="14"/>
                <w:szCs w:val="14"/>
              </w:rPr>
              <w:t>47,8</w:t>
            </w:r>
          </w:p>
        </w:tc>
        <w:tc>
          <w:tcPr>
            <w:tcW w:w="951" w:type="dxa"/>
            <w:tcBorders>
              <w:top w:val="nil"/>
              <w:left w:val="nil"/>
              <w:bottom w:val="single" w:sz="4" w:space="0" w:color="auto"/>
              <w:right w:val="single" w:sz="4" w:space="0" w:color="auto"/>
            </w:tcBorders>
            <w:shd w:val="clear" w:color="auto" w:fill="auto"/>
          </w:tcPr>
          <w:p w:rsidR="00357D21" w:rsidRPr="00587D87" w:rsidRDefault="00357D21" w:rsidP="00465CAC">
            <w:pPr>
              <w:jc w:val="right"/>
              <w:rPr>
                <w:rFonts w:ascii="Times New Roman" w:hAnsi="Times New Roman" w:cs="Times New Roman"/>
                <w:b/>
                <w:sz w:val="14"/>
                <w:szCs w:val="14"/>
              </w:rPr>
            </w:pPr>
            <w:r w:rsidRPr="00587D87">
              <w:rPr>
                <w:rFonts w:ascii="Times New Roman" w:hAnsi="Times New Roman" w:cs="Times New Roman"/>
                <w:b/>
                <w:sz w:val="14"/>
                <w:szCs w:val="14"/>
              </w:rPr>
              <w:t>45,5</w:t>
            </w:r>
          </w:p>
        </w:tc>
      </w:tr>
      <w:tr w:rsidR="00357D21" w:rsidRPr="00722209" w:rsidTr="00465CAC">
        <w:trPr>
          <w:trHeight w:val="227"/>
          <w:jc w:val="center"/>
        </w:trPr>
        <w:tc>
          <w:tcPr>
            <w:tcW w:w="3402" w:type="dxa"/>
            <w:shd w:val="clear" w:color="auto" w:fill="auto"/>
            <w:noWrap/>
            <w:vAlign w:val="center"/>
            <w:hideMark/>
          </w:tcPr>
          <w:p w:rsidR="00357D21" w:rsidRPr="00B74217" w:rsidRDefault="00357D21" w:rsidP="00465CAC">
            <w:pPr>
              <w:rPr>
                <w:rFonts w:ascii="Times New Roman" w:hAnsi="Times New Roman" w:cs="Times New Roman"/>
                <w:sz w:val="14"/>
                <w:szCs w:val="14"/>
              </w:rPr>
            </w:pPr>
            <w:r w:rsidRPr="00B74217">
              <w:rPr>
                <w:rFonts w:ascii="Times New Roman" w:hAnsi="Times New Roman" w:cs="Times New Roman"/>
                <w:sz w:val="14"/>
                <w:szCs w:val="14"/>
              </w:rPr>
              <w:t xml:space="preserve">  - štátny dlh (bez vplyvu medzinár. záväzkov)</w:t>
            </w:r>
          </w:p>
        </w:tc>
        <w:tc>
          <w:tcPr>
            <w:tcW w:w="950" w:type="dxa"/>
            <w:tcBorders>
              <w:top w:val="single" w:sz="4" w:space="0" w:color="auto"/>
              <w:left w:val="nil"/>
              <w:bottom w:val="single" w:sz="4" w:space="0" w:color="auto"/>
              <w:right w:val="single" w:sz="4" w:space="0" w:color="auto"/>
            </w:tcBorders>
            <w:shd w:val="clear" w:color="auto" w:fill="auto"/>
          </w:tcPr>
          <w:p w:rsidR="00357D21" w:rsidRPr="00F11BBA" w:rsidRDefault="00357D21" w:rsidP="00465CAC">
            <w:pPr>
              <w:jc w:val="right"/>
              <w:rPr>
                <w:rFonts w:ascii="Times New Roman" w:hAnsi="Times New Roman" w:cs="Times New Roman"/>
                <w:sz w:val="14"/>
                <w:szCs w:val="14"/>
              </w:rPr>
            </w:pPr>
            <w:r w:rsidRPr="00F11BBA">
              <w:rPr>
                <w:rFonts w:ascii="Times New Roman" w:hAnsi="Times New Roman" w:cs="Times New Roman"/>
                <w:sz w:val="14"/>
                <w:szCs w:val="14"/>
              </w:rPr>
              <w:t>47,4</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357D21" w:rsidRPr="00F11BBA" w:rsidRDefault="00357D21" w:rsidP="00465CAC">
            <w:pPr>
              <w:jc w:val="right"/>
              <w:rPr>
                <w:rFonts w:ascii="Times New Roman" w:hAnsi="Times New Roman" w:cs="Times New Roman"/>
                <w:sz w:val="14"/>
                <w:szCs w:val="14"/>
              </w:rPr>
            </w:pPr>
            <w:r w:rsidRPr="00F11BBA">
              <w:rPr>
                <w:rFonts w:ascii="Times New Roman" w:hAnsi="Times New Roman" w:cs="Times New Roman"/>
                <w:sz w:val="14"/>
                <w:szCs w:val="14"/>
              </w:rPr>
              <w:t>47,1</w:t>
            </w:r>
          </w:p>
        </w:tc>
        <w:tc>
          <w:tcPr>
            <w:tcW w:w="951" w:type="dxa"/>
            <w:tcBorders>
              <w:top w:val="nil"/>
              <w:left w:val="single" w:sz="4" w:space="0" w:color="auto"/>
              <w:bottom w:val="single" w:sz="4" w:space="0" w:color="auto"/>
              <w:right w:val="single" w:sz="4" w:space="0" w:color="auto"/>
            </w:tcBorders>
            <w:shd w:val="clear" w:color="auto" w:fill="auto"/>
          </w:tcPr>
          <w:p w:rsidR="00357D21" w:rsidRPr="009966B6" w:rsidRDefault="00357D21" w:rsidP="00465CAC">
            <w:pPr>
              <w:jc w:val="right"/>
              <w:rPr>
                <w:rFonts w:ascii="Times New Roman" w:hAnsi="Times New Roman" w:cs="Times New Roman"/>
                <w:sz w:val="14"/>
                <w:szCs w:val="14"/>
              </w:rPr>
            </w:pPr>
            <w:r w:rsidRPr="009966B6">
              <w:rPr>
                <w:rFonts w:ascii="Times New Roman" w:hAnsi="Times New Roman" w:cs="Times New Roman"/>
                <w:sz w:val="14"/>
                <w:szCs w:val="14"/>
              </w:rPr>
              <w:t>46,5</w:t>
            </w:r>
          </w:p>
        </w:tc>
        <w:tc>
          <w:tcPr>
            <w:tcW w:w="951" w:type="dxa"/>
            <w:tcBorders>
              <w:top w:val="nil"/>
              <w:left w:val="nil"/>
              <w:bottom w:val="single" w:sz="4" w:space="0" w:color="auto"/>
              <w:right w:val="single" w:sz="4" w:space="0" w:color="auto"/>
            </w:tcBorders>
            <w:shd w:val="clear" w:color="auto" w:fill="auto"/>
          </w:tcPr>
          <w:p w:rsidR="00357D21" w:rsidRPr="009966B6" w:rsidRDefault="00357D21" w:rsidP="00465CAC">
            <w:pPr>
              <w:jc w:val="right"/>
              <w:rPr>
                <w:rFonts w:ascii="Times New Roman" w:hAnsi="Times New Roman" w:cs="Times New Roman"/>
                <w:sz w:val="14"/>
                <w:szCs w:val="14"/>
              </w:rPr>
            </w:pPr>
            <w:r w:rsidRPr="009966B6">
              <w:rPr>
                <w:rFonts w:ascii="Times New Roman" w:hAnsi="Times New Roman" w:cs="Times New Roman"/>
                <w:sz w:val="14"/>
                <w:szCs w:val="14"/>
              </w:rPr>
              <w:t>45,7</w:t>
            </w:r>
          </w:p>
        </w:tc>
        <w:tc>
          <w:tcPr>
            <w:tcW w:w="951" w:type="dxa"/>
            <w:tcBorders>
              <w:top w:val="nil"/>
              <w:left w:val="nil"/>
              <w:bottom w:val="single" w:sz="4" w:space="0" w:color="auto"/>
              <w:right w:val="single" w:sz="4" w:space="0" w:color="auto"/>
            </w:tcBorders>
            <w:shd w:val="clear" w:color="auto" w:fill="auto"/>
          </w:tcPr>
          <w:p w:rsidR="00357D21" w:rsidRPr="009966B6" w:rsidRDefault="00357D21" w:rsidP="00465CAC">
            <w:pPr>
              <w:jc w:val="right"/>
              <w:rPr>
                <w:rFonts w:ascii="Times New Roman" w:hAnsi="Times New Roman" w:cs="Times New Roman"/>
                <w:sz w:val="14"/>
                <w:szCs w:val="14"/>
              </w:rPr>
            </w:pPr>
            <w:r w:rsidRPr="009966B6">
              <w:rPr>
                <w:rFonts w:ascii="Times New Roman" w:hAnsi="Times New Roman" w:cs="Times New Roman"/>
                <w:sz w:val="14"/>
                <w:szCs w:val="14"/>
              </w:rPr>
              <w:t>43,9</w:t>
            </w:r>
          </w:p>
        </w:tc>
        <w:tc>
          <w:tcPr>
            <w:tcW w:w="951" w:type="dxa"/>
            <w:tcBorders>
              <w:top w:val="nil"/>
              <w:left w:val="nil"/>
              <w:bottom w:val="single" w:sz="4" w:space="0" w:color="auto"/>
              <w:right w:val="single" w:sz="4" w:space="0" w:color="auto"/>
            </w:tcBorders>
            <w:shd w:val="clear" w:color="auto" w:fill="auto"/>
          </w:tcPr>
          <w:p w:rsidR="00357D21" w:rsidRPr="009966B6" w:rsidRDefault="00357D21" w:rsidP="00465CAC">
            <w:pPr>
              <w:jc w:val="right"/>
              <w:rPr>
                <w:rFonts w:ascii="Times New Roman" w:hAnsi="Times New Roman" w:cs="Times New Roman"/>
                <w:sz w:val="14"/>
                <w:szCs w:val="14"/>
              </w:rPr>
            </w:pPr>
            <w:r w:rsidRPr="009966B6">
              <w:rPr>
                <w:rFonts w:ascii="Times New Roman" w:hAnsi="Times New Roman" w:cs="Times New Roman"/>
                <w:sz w:val="14"/>
                <w:szCs w:val="14"/>
              </w:rPr>
              <w:t>41,9</w:t>
            </w:r>
          </w:p>
        </w:tc>
      </w:tr>
      <w:tr w:rsidR="00357D21" w:rsidRPr="00722209" w:rsidTr="00465CAC">
        <w:trPr>
          <w:trHeight w:val="227"/>
          <w:jc w:val="center"/>
        </w:trPr>
        <w:tc>
          <w:tcPr>
            <w:tcW w:w="3402" w:type="dxa"/>
            <w:shd w:val="clear" w:color="auto" w:fill="auto"/>
            <w:noWrap/>
            <w:vAlign w:val="center"/>
            <w:hideMark/>
          </w:tcPr>
          <w:p w:rsidR="00357D21" w:rsidRPr="00B74217" w:rsidRDefault="00357D21" w:rsidP="00465CAC">
            <w:pPr>
              <w:rPr>
                <w:rFonts w:ascii="Times New Roman" w:hAnsi="Times New Roman" w:cs="Times New Roman"/>
                <w:sz w:val="14"/>
                <w:szCs w:val="14"/>
              </w:rPr>
            </w:pPr>
            <w:r w:rsidRPr="00B74217">
              <w:rPr>
                <w:rFonts w:ascii="Times New Roman" w:hAnsi="Times New Roman" w:cs="Times New Roman"/>
                <w:sz w:val="14"/>
                <w:szCs w:val="14"/>
              </w:rPr>
              <w:t xml:space="preserve">  - podiel SR na dlhu EFSF</w:t>
            </w:r>
          </w:p>
        </w:tc>
        <w:tc>
          <w:tcPr>
            <w:tcW w:w="950" w:type="dxa"/>
            <w:tcBorders>
              <w:top w:val="single" w:sz="4" w:space="0" w:color="auto"/>
              <w:left w:val="nil"/>
              <w:bottom w:val="single" w:sz="4" w:space="0" w:color="auto"/>
              <w:right w:val="single" w:sz="4" w:space="0" w:color="auto"/>
            </w:tcBorders>
            <w:shd w:val="clear" w:color="auto" w:fill="auto"/>
          </w:tcPr>
          <w:p w:rsidR="00357D21" w:rsidRPr="00F11BBA" w:rsidRDefault="00357D21" w:rsidP="00465CAC">
            <w:pPr>
              <w:jc w:val="right"/>
              <w:rPr>
                <w:rFonts w:ascii="Times New Roman" w:hAnsi="Times New Roman" w:cs="Times New Roman"/>
                <w:sz w:val="14"/>
                <w:szCs w:val="14"/>
              </w:rPr>
            </w:pPr>
            <w:r w:rsidRPr="00F11BBA">
              <w:rPr>
                <w:rFonts w:ascii="Times New Roman" w:hAnsi="Times New Roman" w:cs="Times New Roman"/>
                <w:sz w:val="14"/>
                <w:szCs w:val="14"/>
              </w:rPr>
              <w:t>2,4</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357D21" w:rsidRPr="00F11BBA" w:rsidRDefault="00357D21" w:rsidP="00465CAC">
            <w:pPr>
              <w:jc w:val="right"/>
              <w:rPr>
                <w:rFonts w:ascii="Times New Roman" w:hAnsi="Times New Roman" w:cs="Times New Roman"/>
                <w:sz w:val="14"/>
                <w:szCs w:val="14"/>
              </w:rPr>
            </w:pPr>
            <w:r w:rsidRPr="00F11BBA">
              <w:rPr>
                <w:rFonts w:ascii="Times New Roman" w:hAnsi="Times New Roman" w:cs="Times New Roman"/>
                <w:sz w:val="14"/>
                <w:szCs w:val="14"/>
              </w:rPr>
              <w:t>2,3</w:t>
            </w:r>
          </w:p>
        </w:tc>
        <w:tc>
          <w:tcPr>
            <w:tcW w:w="951" w:type="dxa"/>
            <w:tcBorders>
              <w:top w:val="nil"/>
              <w:left w:val="single" w:sz="4" w:space="0" w:color="auto"/>
              <w:bottom w:val="single" w:sz="4" w:space="0" w:color="auto"/>
              <w:right w:val="single" w:sz="4" w:space="0" w:color="auto"/>
            </w:tcBorders>
            <w:shd w:val="clear" w:color="auto" w:fill="auto"/>
          </w:tcPr>
          <w:p w:rsidR="00357D21" w:rsidRPr="009966B6" w:rsidRDefault="00357D21" w:rsidP="00465CAC">
            <w:pPr>
              <w:jc w:val="right"/>
              <w:rPr>
                <w:rFonts w:ascii="Times New Roman" w:hAnsi="Times New Roman" w:cs="Times New Roman"/>
                <w:sz w:val="14"/>
                <w:szCs w:val="14"/>
              </w:rPr>
            </w:pPr>
            <w:r w:rsidRPr="009966B6">
              <w:rPr>
                <w:rFonts w:ascii="Times New Roman" w:hAnsi="Times New Roman" w:cs="Times New Roman"/>
                <w:sz w:val="14"/>
                <w:szCs w:val="14"/>
              </w:rPr>
              <w:t>2,2</w:t>
            </w:r>
          </w:p>
        </w:tc>
        <w:tc>
          <w:tcPr>
            <w:tcW w:w="951" w:type="dxa"/>
            <w:tcBorders>
              <w:top w:val="nil"/>
              <w:left w:val="nil"/>
              <w:bottom w:val="single" w:sz="4" w:space="0" w:color="auto"/>
              <w:right w:val="single" w:sz="4" w:space="0" w:color="auto"/>
            </w:tcBorders>
            <w:shd w:val="clear" w:color="auto" w:fill="auto"/>
          </w:tcPr>
          <w:p w:rsidR="00357D21" w:rsidRPr="009966B6" w:rsidRDefault="00357D21" w:rsidP="00465CAC">
            <w:pPr>
              <w:jc w:val="right"/>
              <w:rPr>
                <w:rFonts w:ascii="Times New Roman" w:hAnsi="Times New Roman" w:cs="Times New Roman"/>
                <w:sz w:val="14"/>
                <w:szCs w:val="14"/>
              </w:rPr>
            </w:pPr>
            <w:r w:rsidRPr="009966B6">
              <w:rPr>
                <w:rFonts w:ascii="Times New Roman" w:hAnsi="Times New Roman" w:cs="Times New Roman"/>
                <w:sz w:val="14"/>
                <w:szCs w:val="14"/>
              </w:rPr>
              <w:t>2,1</w:t>
            </w:r>
          </w:p>
        </w:tc>
        <w:tc>
          <w:tcPr>
            <w:tcW w:w="951" w:type="dxa"/>
            <w:tcBorders>
              <w:top w:val="nil"/>
              <w:left w:val="nil"/>
              <w:bottom w:val="single" w:sz="4" w:space="0" w:color="auto"/>
              <w:right w:val="single" w:sz="4" w:space="0" w:color="auto"/>
            </w:tcBorders>
            <w:shd w:val="clear" w:color="auto" w:fill="auto"/>
          </w:tcPr>
          <w:p w:rsidR="00357D21" w:rsidRPr="009966B6" w:rsidRDefault="00357D21" w:rsidP="00465CAC">
            <w:pPr>
              <w:jc w:val="right"/>
              <w:rPr>
                <w:rFonts w:ascii="Times New Roman" w:hAnsi="Times New Roman" w:cs="Times New Roman"/>
                <w:sz w:val="14"/>
                <w:szCs w:val="14"/>
              </w:rPr>
            </w:pPr>
            <w:r w:rsidRPr="009966B6">
              <w:rPr>
                <w:rFonts w:ascii="Times New Roman" w:hAnsi="Times New Roman" w:cs="Times New Roman"/>
                <w:sz w:val="14"/>
                <w:szCs w:val="14"/>
              </w:rPr>
              <w:t>2,0</w:t>
            </w:r>
          </w:p>
        </w:tc>
        <w:tc>
          <w:tcPr>
            <w:tcW w:w="951" w:type="dxa"/>
            <w:tcBorders>
              <w:top w:val="nil"/>
              <w:left w:val="nil"/>
              <w:bottom w:val="single" w:sz="4" w:space="0" w:color="auto"/>
              <w:right w:val="single" w:sz="4" w:space="0" w:color="auto"/>
            </w:tcBorders>
            <w:shd w:val="clear" w:color="auto" w:fill="auto"/>
          </w:tcPr>
          <w:p w:rsidR="00357D21" w:rsidRPr="009966B6" w:rsidRDefault="00357D21" w:rsidP="00465CAC">
            <w:pPr>
              <w:jc w:val="right"/>
              <w:rPr>
                <w:rFonts w:ascii="Times New Roman" w:hAnsi="Times New Roman" w:cs="Times New Roman"/>
                <w:sz w:val="14"/>
                <w:szCs w:val="14"/>
              </w:rPr>
            </w:pPr>
            <w:r w:rsidRPr="009966B6">
              <w:rPr>
                <w:rFonts w:ascii="Times New Roman" w:hAnsi="Times New Roman" w:cs="Times New Roman"/>
                <w:sz w:val="14"/>
                <w:szCs w:val="14"/>
              </w:rPr>
              <w:t>1,9</w:t>
            </w:r>
          </w:p>
        </w:tc>
      </w:tr>
      <w:tr w:rsidR="00357D21" w:rsidRPr="00722209" w:rsidTr="00465CAC">
        <w:trPr>
          <w:trHeight w:val="227"/>
          <w:jc w:val="center"/>
        </w:trPr>
        <w:tc>
          <w:tcPr>
            <w:tcW w:w="3402" w:type="dxa"/>
            <w:shd w:val="clear" w:color="auto" w:fill="auto"/>
            <w:noWrap/>
            <w:vAlign w:val="center"/>
            <w:hideMark/>
          </w:tcPr>
          <w:p w:rsidR="00357D21" w:rsidRPr="00B74217" w:rsidRDefault="00357D21" w:rsidP="00465CAC">
            <w:pPr>
              <w:rPr>
                <w:rFonts w:ascii="Times New Roman" w:hAnsi="Times New Roman" w:cs="Times New Roman"/>
                <w:sz w:val="14"/>
                <w:szCs w:val="14"/>
              </w:rPr>
            </w:pPr>
            <w:r w:rsidRPr="00B74217">
              <w:rPr>
                <w:rFonts w:ascii="Times New Roman" w:hAnsi="Times New Roman" w:cs="Times New Roman"/>
                <w:sz w:val="14"/>
                <w:szCs w:val="14"/>
              </w:rPr>
              <w:t xml:space="preserve">  - vklad do ESM</w:t>
            </w:r>
          </w:p>
        </w:tc>
        <w:tc>
          <w:tcPr>
            <w:tcW w:w="950" w:type="dxa"/>
            <w:tcBorders>
              <w:top w:val="single" w:sz="4" w:space="0" w:color="auto"/>
            </w:tcBorders>
            <w:shd w:val="clear" w:color="auto" w:fill="auto"/>
          </w:tcPr>
          <w:p w:rsidR="00357D21" w:rsidRPr="00F11BBA" w:rsidRDefault="00357D21" w:rsidP="00465CAC">
            <w:pPr>
              <w:jc w:val="right"/>
              <w:rPr>
                <w:rFonts w:ascii="Times New Roman" w:hAnsi="Times New Roman" w:cs="Times New Roman"/>
                <w:sz w:val="14"/>
                <w:szCs w:val="14"/>
              </w:rPr>
            </w:pPr>
            <w:r w:rsidRPr="00F11BBA">
              <w:rPr>
                <w:rFonts w:ascii="Times New Roman" w:hAnsi="Times New Roman" w:cs="Times New Roman"/>
                <w:sz w:val="14"/>
                <w:szCs w:val="14"/>
              </w:rPr>
              <w:t>0,8</w:t>
            </w:r>
          </w:p>
        </w:tc>
        <w:tc>
          <w:tcPr>
            <w:tcW w:w="951" w:type="dxa"/>
            <w:tcBorders>
              <w:top w:val="single" w:sz="4" w:space="0" w:color="auto"/>
            </w:tcBorders>
            <w:shd w:val="clear" w:color="auto" w:fill="auto"/>
          </w:tcPr>
          <w:p w:rsidR="00357D21" w:rsidRPr="00F11BBA" w:rsidRDefault="00357D21" w:rsidP="00465CAC">
            <w:pPr>
              <w:jc w:val="right"/>
              <w:rPr>
                <w:rFonts w:ascii="Times New Roman" w:hAnsi="Times New Roman" w:cs="Times New Roman"/>
                <w:sz w:val="14"/>
                <w:szCs w:val="14"/>
              </w:rPr>
            </w:pPr>
            <w:r w:rsidRPr="00F11BBA">
              <w:rPr>
                <w:rFonts w:ascii="Times New Roman" w:hAnsi="Times New Roman" w:cs="Times New Roman"/>
                <w:sz w:val="14"/>
                <w:szCs w:val="14"/>
              </w:rPr>
              <w:t>0,8</w:t>
            </w:r>
          </w:p>
        </w:tc>
        <w:tc>
          <w:tcPr>
            <w:tcW w:w="951" w:type="dxa"/>
            <w:tcBorders>
              <w:top w:val="nil"/>
              <w:left w:val="single" w:sz="4" w:space="0" w:color="auto"/>
              <w:bottom w:val="single" w:sz="4" w:space="0" w:color="auto"/>
              <w:right w:val="single" w:sz="4" w:space="0" w:color="auto"/>
            </w:tcBorders>
            <w:shd w:val="clear" w:color="auto" w:fill="auto"/>
          </w:tcPr>
          <w:p w:rsidR="00357D21" w:rsidRPr="009966B6" w:rsidRDefault="00357D21" w:rsidP="00465CAC">
            <w:pPr>
              <w:jc w:val="right"/>
              <w:rPr>
                <w:rFonts w:ascii="Times New Roman" w:hAnsi="Times New Roman" w:cs="Times New Roman"/>
                <w:sz w:val="14"/>
                <w:szCs w:val="14"/>
              </w:rPr>
            </w:pPr>
            <w:r w:rsidRPr="009966B6">
              <w:rPr>
                <w:rFonts w:ascii="Times New Roman" w:hAnsi="Times New Roman" w:cs="Times New Roman"/>
                <w:sz w:val="14"/>
                <w:szCs w:val="14"/>
              </w:rPr>
              <w:t>0,8</w:t>
            </w:r>
          </w:p>
        </w:tc>
        <w:tc>
          <w:tcPr>
            <w:tcW w:w="951" w:type="dxa"/>
            <w:tcBorders>
              <w:top w:val="nil"/>
              <w:left w:val="nil"/>
              <w:bottom w:val="single" w:sz="4" w:space="0" w:color="auto"/>
              <w:right w:val="single" w:sz="4" w:space="0" w:color="auto"/>
            </w:tcBorders>
            <w:shd w:val="clear" w:color="auto" w:fill="auto"/>
          </w:tcPr>
          <w:p w:rsidR="00357D21" w:rsidRPr="009966B6" w:rsidRDefault="00357D21" w:rsidP="00465CAC">
            <w:pPr>
              <w:jc w:val="right"/>
              <w:rPr>
                <w:rFonts w:ascii="Times New Roman" w:hAnsi="Times New Roman" w:cs="Times New Roman"/>
                <w:sz w:val="14"/>
                <w:szCs w:val="14"/>
              </w:rPr>
            </w:pPr>
            <w:r w:rsidRPr="009966B6">
              <w:rPr>
                <w:rFonts w:ascii="Times New Roman" w:hAnsi="Times New Roman" w:cs="Times New Roman"/>
                <w:sz w:val="14"/>
                <w:szCs w:val="14"/>
              </w:rPr>
              <w:t>0,7</w:t>
            </w:r>
          </w:p>
        </w:tc>
        <w:tc>
          <w:tcPr>
            <w:tcW w:w="951" w:type="dxa"/>
            <w:tcBorders>
              <w:top w:val="nil"/>
              <w:left w:val="nil"/>
              <w:bottom w:val="single" w:sz="4" w:space="0" w:color="auto"/>
              <w:right w:val="single" w:sz="4" w:space="0" w:color="auto"/>
            </w:tcBorders>
            <w:shd w:val="clear" w:color="auto" w:fill="auto"/>
          </w:tcPr>
          <w:p w:rsidR="00357D21" w:rsidRPr="009966B6" w:rsidRDefault="00357D21" w:rsidP="00465CAC">
            <w:pPr>
              <w:jc w:val="right"/>
              <w:rPr>
                <w:rFonts w:ascii="Times New Roman" w:hAnsi="Times New Roman" w:cs="Times New Roman"/>
                <w:sz w:val="14"/>
                <w:szCs w:val="14"/>
              </w:rPr>
            </w:pPr>
            <w:r w:rsidRPr="009966B6">
              <w:rPr>
                <w:rFonts w:ascii="Times New Roman" w:hAnsi="Times New Roman" w:cs="Times New Roman"/>
                <w:sz w:val="14"/>
                <w:szCs w:val="14"/>
              </w:rPr>
              <w:t>0,7</w:t>
            </w:r>
          </w:p>
        </w:tc>
        <w:tc>
          <w:tcPr>
            <w:tcW w:w="951" w:type="dxa"/>
            <w:tcBorders>
              <w:top w:val="nil"/>
              <w:left w:val="nil"/>
              <w:bottom w:val="single" w:sz="4" w:space="0" w:color="auto"/>
              <w:right w:val="single" w:sz="4" w:space="0" w:color="auto"/>
            </w:tcBorders>
            <w:shd w:val="clear" w:color="auto" w:fill="auto"/>
          </w:tcPr>
          <w:p w:rsidR="00357D21" w:rsidRPr="009966B6" w:rsidRDefault="00357D21" w:rsidP="00465CAC">
            <w:pPr>
              <w:jc w:val="right"/>
              <w:rPr>
                <w:rFonts w:ascii="Times New Roman" w:hAnsi="Times New Roman" w:cs="Times New Roman"/>
                <w:sz w:val="14"/>
                <w:szCs w:val="14"/>
              </w:rPr>
            </w:pPr>
            <w:r w:rsidRPr="009966B6">
              <w:rPr>
                <w:rFonts w:ascii="Times New Roman" w:hAnsi="Times New Roman" w:cs="Times New Roman"/>
                <w:sz w:val="14"/>
                <w:szCs w:val="14"/>
              </w:rPr>
              <w:t>0,7</w:t>
            </w:r>
          </w:p>
        </w:tc>
      </w:tr>
      <w:tr w:rsidR="00357D21" w:rsidRPr="00722209" w:rsidTr="00465CAC">
        <w:trPr>
          <w:trHeight w:val="227"/>
          <w:jc w:val="center"/>
        </w:trPr>
        <w:tc>
          <w:tcPr>
            <w:tcW w:w="3402" w:type="dxa"/>
            <w:shd w:val="clear" w:color="auto" w:fill="auto"/>
            <w:noWrap/>
            <w:vAlign w:val="center"/>
            <w:hideMark/>
          </w:tcPr>
          <w:p w:rsidR="00357D21" w:rsidRPr="00B74217" w:rsidRDefault="00357D21" w:rsidP="00465CAC">
            <w:pPr>
              <w:rPr>
                <w:rFonts w:ascii="Times New Roman" w:hAnsi="Times New Roman" w:cs="Times New Roman"/>
                <w:sz w:val="14"/>
                <w:szCs w:val="14"/>
              </w:rPr>
            </w:pPr>
            <w:r w:rsidRPr="00B74217">
              <w:rPr>
                <w:rFonts w:ascii="Times New Roman" w:hAnsi="Times New Roman" w:cs="Times New Roman"/>
                <w:sz w:val="14"/>
                <w:szCs w:val="14"/>
              </w:rPr>
              <w:t xml:space="preserve">  - dlh ostatných zložiek verejnej správy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57D21" w:rsidRPr="00F11BBA" w:rsidRDefault="00357D21" w:rsidP="00465CAC">
            <w:pPr>
              <w:jc w:val="right"/>
              <w:rPr>
                <w:rFonts w:ascii="Times New Roman" w:hAnsi="Times New Roman" w:cs="Times New Roman"/>
                <w:sz w:val="14"/>
                <w:szCs w:val="14"/>
              </w:rPr>
            </w:pPr>
            <w:r w:rsidRPr="00F11BBA">
              <w:rPr>
                <w:rFonts w:ascii="Times New Roman" w:hAnsi="Times New Roman" w:cs="Times New Roman"/>
                <w:sz w:val="14"/>
                <w:szCs w:val="14"/>
              </w:rPr>
              <w:t>1,8</w:t>
            </w:r>
          </w:p>
        </w:tc>
        <w:tc>
          <w:tcPr>
            <w:tcW w:w="951" w:type="dxa"/>
            <w:tcBorders>
              <w:top w:val="single" w:sz="4" w:space="0" w:color="auto"/>
              <w:left w:val="nil"/>
              <w:bottom w:val="single" w:sz="4" w:space="0" w:color="auto"/>
              <w:right w:val="single" w:sz="4" w:space="0" w:color="auto"/>
            </w:tcBorders>
            <w:shd w:val="clear" w:color="auto" w:fill="auto"/>
          </w:tcPr>
          <w:p w:rsidR="00357D21" w:rsidRPr="00F11BBA" w:rsidRDefault="00357D21" w:rsidP="00465CAC">
            <w:pPr>
              <w:jc w:val="right"/>
              <w:rPr>
                <w:rFonts w:ascii="Times New Roman" w:hAnsi="Times New Roman" w:cs="Times New Roman"/>
                <w:sz w:val="14"/>
                <w:szCs w:val="14"/>
              </w:rPr>
            </w:pPr>
            <w:r w:rsidRPr="00F11BBA">
              <w:rPr>
                <w:rFonts w:ascii="Times New Roman" w:hAnsi="Times New Roman" w:cs="Times New Roman"/>
                <w:sz w:val="14"/>
                <w:szCs w:val="14"/>
              </w:rPr>
              <w:t>1,7</w:t>
            </w:r>
          </w:p>
        </w:tc>
        <w:tc>
          <w:tcPr>
            <w:tcW w:w="951" w:type="dxa"/>
            <w:tcBorders>
              <w:top w:val="nil"/>
              <w:left w:val="single" w:sz="4" w:space="0" w:color="auto"/>
              <w:bottom w:val="single" w:sz="4" w:space="0" w:color="auto"/>
              <w:right w:val="single" w:sz="4" w:space="0" w:color="auto"/>
            </w:tcBorders>
            <w:shd w:val="clear" w:color="auto" w:fill="auto"/>
          </w:tcPr>
          <w:p w:rsidR="00357D21" w:rsidRPr="009966B6" w:rsidRDefault="00357D21" w:rsidP="00465CAC">
            <w:pPr>
              <w:jc w:val="right"/>
              <w:rPr>
                <w:rFonts w:ascii="Times New Roman" w:hAnsi="Times New Roman" w:cs="Times New Roman"/>
                <w:sz w:val="14"/>
                <w:szCs w:val="14"/>
              </w:rPr>
            </w:pPr>
            <w:r w:rsidRPr="009966B6">
              <w:rPr>
                <w:rFonts w:ascii="Times New Roman" w:hAnsi="Times New Roman" w:cs="Times New Roman"/>
                <w:sz w:val="14"/>
                <w:szCs w:val="14"/>
              </w:rPr>
              <w:t>1,7</w:t>
            </w:r>
          </w:p>
        </w:tc>
        <w:tc>
          <w:tcPr>
            <w:tcW w:w="951" w:type="dxa"/>
            <w:tcBorders>
              <w:top w:val="nil"/>
              <w:left w:val="nil"/>
              <w:bottom w:val="single" w:sz="4" w:space="0" w:color="auto"/>
              <w:right w:val="single" w:sz="4" w:space="0" w:color="auto"/>
            </w:tcBorders>
            <w:shd w:val="clear" w:color="auto" w:fill="auto"/>
          </w:tcPr>
          <w:p w:rsidR="00357D21" w:rsidRPr="009966B6" w:rsidRDefault="00357D21" w:rsidP="00465CAC">
            <w:pPr>
              <w:jc w:val="right"/>
              <w:rPr>
                <w:rFonts w:ascii="Times New Roman" w:hAnsi="Times New Roman" w:cs="Times New Roman"/>
                <w:sz w:val="14"/>
                <w:szCs w:val="14"/>
              </w:rPr>
            </w:pPr>
            <w:r w:rsidRPr="009966B6">
              <w:rPr>
                <w:rFonts w:ascii="Times New Roman" w:hAnsi="Times New Roman" w:cs="Times New Roman"/>
                <w:sz w:val="14"/>
                <w:szCs w:val="14"/>
              </w:rPr>
              <w:t>1,4</w:t>
            </w:r>
          </w:p>
        </w:tc>
        <w:tc>
          <w:tcPr>
            <w:tcW w:w="951" w:type="dxa"/>
            <w:tcBorders>
              <w:top w:val="nil"/>
              <w:left w:val="nil"/>
              <w:bottom w:val="single" w:sz="4" w:space="0" w:color="auto"/>
              <w:right w:val="single" w:sz="4" w:space="0" w:color="auto"/>
            </w:tcBorders>
            <w:shd w:val="clear" w:color="auto" w:fill="auto"/>
          </w:tcPr>
          <w:p w:rsidR="00357D21" w:rsidRPr="009966B6" w:rsidRDefault="00357D21" w:rsidP="00465CAC">
            <w:pPr>
              <w:jc w:val="right"/>
              <w:rPr>
                <w:rFonts w:ascii="Times New Roman" w:hAnsi="Times New Roman" w:cs="Times New Roman"/>
                <w:sz w:val="14"/>
                <w:szCs w:val="14"/>
              </w:rPr>
            </w:pPr>
            <w:r w:rsidRPr="009966B6">
              <w:rPr>
                <w:rFonts w:ascii="Times New Roman" w:hAnsi="Times New Roman" w:cs="Times New Roman"/>
                <w:sz w:val="14"/>
                <w:szCs w:val="14"/>
              </w:rPr>
              <w:t>1,2</w:t>
            </w:r>
          </w:p>
        </w:tc>
        <w:tc>
          <w:tcPr>
            <w:tcW w:w="951" w:type="dxa"/>
            <w:tcBorders>
              <w:top w:val="nil"/>
              <w:left w:val="nil"/>
              <w:bottom w:val="single" w:sz="4" w:space="0" w:color="auto"/>
              <w:right w:val="single" w:sz="4" w:space="0" w:color="auto"/>
            </w:tcBorders>
            <w:shd w:val="clear" w:color="auto" w:fill="auto"/>
          </w:tcPr>
          <w:p w:rsidR="00357D21" w:rsidRPr="009966B6" w:rsidRDefault="00357D21" w:rsidP="00465CAC">
            <w:pPr>
              <w:jc w:val="right"/>
              <w:rPr>
                <w:rFonts w:ascii="Times New Roman" w:hAnsi="Times New Roman" w:cs="Times New Roman"/>
                <w:sz w:val="14"/>
                <w:szCs w:val="14"/>
              </w:rPr>
            </w:pPr>
            <w:r w:rsidRPr="009966B6">
              <w:rPr>
                <w:rFonts w:ascii="Times New Roman" w:hAnsi="Times New Roman" w:cs="Times New Roman"/>
                <w:sz w:val="14"/>
                <w:szCs w:val="14"/>
              </w:rPr>
              <w:t>1,0</w:t>
            </w:r>
          </w:p>
        </w:tc>
      </w:tr>
      <w:tr w:rsidR="00357D21" w:rsidRPr="000C5E66" w:rsidTr="00465CAC">
        <w:trPr>
          <w:trHeight w:val="227"/>
          <w:jc w:val="center"/>
        </w:trPr>
        <w:tc>
          <w:tcPr>
            <w:tcW w:w="3402" w:type="dxa"/>
            <w:shd w:val="clear" w:color="auto" w:fill="auto"/>
            <w:noWrap/>
            <w:vAlign w:val="center"/>
            <w:hideMark/>
          </w:tcPr>
          <w:p w:rsidR="00357D21" w:rsidRPr="000C5E66" w:rsidRDefault="00357D21" w:rsidP="00465CAC">
            <w:pPr>
              <w:rPr>
                <w:rFonts w:ascii="Times New Roman" w:hAnsi="Times New Roman" w:cs="Times New Roman"/>
                <w:b/>
                <w:sz w:val="14"/>
                <w:szCs w:val="14"/>
              </w:rPr>
            </w:pPr>
            <w:proofErr w:type="spellStart"/>
            <w:r w:rsidRPr="000C5E66">
              <w:rPr>
                <w:rFonts w:ascii="Times New Roman" w:hAnsi="Times New Roman" w:cs="Times New Roman"/>
                <w:b/>
                <w:sz w:val="14"/>
                <w:szCs w:val="14"/>
              </w:rPr>
              <w:t>p.m</w:t>
            </w:r>
            <w:proofErr w:type="spellEnd"/>
            <w:r w:rsidRPr="000C5E66">
              <w:rPr>
                <w:rFonts w:ascii="Times New Roman" w:hAnsi="Times New Roman" w:cs="Times New Roman"/>
                <w:b/>
                <w:sz w:val="14"/>
                <w:szCs w:val="14"/>
              </w:rPr>
              <w:t>. zmena hrubého dlhu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57D21" w:rsidRPr="000C5E66" w:rsidRDefault="00357D21" w:rsidP="00465CAC">
            <w:pPr>
              <w:jc w:val="right"/>
              <w:rPr>
                <w:rFonts w:ascii="Times New Roman" w:hAnsi="Times New Roman" w:cs="Times New Roman"/>
                <w:b/>
                <w:sz w:val="14"/>
                <w:szCs w:val="14"/>
              </w:rPr>
            </w:pPr>
            <w:r w:rsidRPr="000C5E66">
              <w:rPr>
                <w:rFonts w:ascii="Times New Roman" w:hAnsi="Times New Roman" w:cs="Times New Roman"/>
                <w:b/>
                <w:sz w:val="14"/>
                <w:szCs w:val="14"/>
              </w:rPr>
              <w:t>-1,1</w:t>
            </w:r>
          </w:p>
        </w:tc>
        <w:tc>
          <w:tcPr>
            <w:tcW w:w="951" w:type="dxa"/>
            <w:tcBorders>
              <w:top w:val="single" w:sz="4" w:space="0" w:color="auto"/>
              <w:left w:val="nil"/>
              <w:bottom w:val="single" w:sz="4" w:space="0" w:color="auto"/>
              <w:right w:val="single" w:sz="4" w:space="0" w:color="auto"/>
            </w:tcBorders>
            <w:shd w:val="clear" w:color="auto" w:fill="auto"/>
          </w:tcPr>
          <w:p w:rsidR="00357D21" w:rsidRPr="000C5E66" w:rsidRDefault="00357D21" w:rsidP="00465CAC">
            <w:pPr>
              <w:jc w:val="right"/>
              <w:rPr>
                <w:rFonts w:ascii="Times New Roman" w:hAnsi="Times New Roman" w:cs="Times New Roman"/>
                <w:b/>
                <w:sz w:val="14"/>
                <w:szCs w:val="14"/>
              </w:rPr>
            </w:pPr>
            <w:r w:rsidRPr="000C5E66">
              <w:rPr>
                <w:rFonts w:ascii="Times New Roman" w:hAnsi="Times New Roman" w:cs="Times New Roman"/>
                <w:b/>
                <w:sz w:val="14"/>
                <w:szCs w:val="14"/>
              </w:rPr>
              <w:t>-0,5</w:t>
            </w:r>
          </w:p>
        </w:tc>
        <w:tc>
          <w:tcPr>
            <w:tcW w:w="951" w:type="dxa"/>
            <w:tcBorders>
              <w:top w:val="nil"/>
              <w:left w:val="single" w:sz="4" w:space="0" w:color="auto"/>
              <w:bottom w:val="single" w:sz="4" w:space="0" w:color="auto"/>
              <w:right w:val="single" w:sz="4" w:space="0" w:color="auto"/>
            </w:tcBorders>
            <w:shd w:val="clear" w:color="auto" w:fill="auto"/>
          </w:tcPr>
          <w:p w:rsidR="00357D21" w:rsidRPr="000C5E66" w:rsidRDefault="00357D21" w:rsidP="00465CAC">
            <w:pPr>
              <w:jc w:val="right"/>
              <w:rPr>
                <w:rFonts w:ascii="Times New Roman" w:hAnsi="Times New Roman" w:cs="Times New Roman"/>
                <w:b/>
                <w:sz w:val="14"/>
                <w:szCs w:val="14"/>
              </w:rPr>
            </w:pPr>
            <w:r w:rsidRPr="000C5E66">
              <w:rPr>
                <w:rFonts w:ascii="Times New Roman" w:hAnsi="Times New Roman" w:cs="Times New Roman"/>
                <w:b/>
                <w:sz w:val="14"/>
                <w:szCs w:val="14"/>
              </w:rPr>
              <w:t>-0,8</w:t>
            </w:r>
          </w:p>
        </w:tc>
        <w:tc>
          <w:tcPr>
            <w:tcW w:w="951" w:type="dxa"/>
            <w:tcBorders>
              <w:top w:val="nil"/>
              <w:left w:val="nil"/>
              <w:bottom w:val="single" w:sz="4" w:space="0" w:color="auto"/>
              <w:right w:val="single" w:sz="4" w:space="0" w:color="auto"/>
            </w:tcBorders>
            <w:shd w:val="clear" w:color="auto" w:fill="auto"/>
          </w:tcPr>
          <w:p w:rsidR="00357D21" w:rsidRPr="000C5E66" w:rsidRDefault="00357D21" w:rsidP="00465CAC">
            <w:pPr>
              <w:jc w:val="right"/>
              <w:rPr>
                <w:rFonts w:ascii="Times New Roman" w:hAnsi="Times New Roman" w:cs="Times New Roman"/>
                <w:b/>
                <w:sz w:val="14"/>
                <w:szCs w:val="14"/>
              </w:rPr>
            </w:pPr>
            <w:r w:rsidRPr="000C5E66">
              <w:rPr>
                <w:rFonts w:ascii="Times New Roman" w:hAnsi="Times New Roman" w:cs="Times New Roman"/>
                <w:b/>
                <w:sz w:val="14"/>
                <w:szCs w:val="14"/>
              </w:rPr>
              <w:t>-1,2</w:t>
            </w:r>
          </w:p>
        </w:tc>
        <w:tc>
          <w:tcPr>
            <w:tcW w:w="951" w:type="dxa"/>
            <w:tcBorders>
              <w:top w:val="nil"/>
              <w:left w:val="nil"/>
              <w:bottom w:val="single" w:sz="4" w:space="0" w:color="auto"/>
              <w:right w:val="single" w:sz="4" w:space="0" w:color="auto"/>
            </w:tcBorders>
            <w:shd w:val="clear" w:color="auto" w:fill="auto"/>
          </w:tcPr>
          <w:p w:rsidR="00357D21" w:rsidRPr="000C5E66" w:rsidRDefault="00357D21" w:rsidP="00465CAC">
            <w:pPr>
              <w:jc w:val="right"/>
              <w:rPr>
                <w:rFonts w:ascii="Times New Roman" w:hAnsi="Times New Roman" w:cs="Times New Roman"/>
                <w:b/>
                <w:sz w:val="14"/>
                <w:szCs w:val="14"/>
              </w:rPr>
            </w:pPr>
            <w:r w:rsidRPr="000C5E66">
              <w:rPr>
                <w:rFonts w:ascii="Times New Roman" w:hAnsi="Times New Roman" w:cs="Times New Roman"/>
                <w:b/>
                <w:sz w:val="14"/>
                <w:szCs w:val="14"/>
              </w:rPr>
              <w:t>-2,1</w:t>
            </w:r>
          </w:p>
        </w:tc>
        <w:tc>
          <w:tcPr>
            <w:tcW w:w="951" w:type="dxa"/>
            <w:tcBorders>
              <w:top w:val="nil"/>
              <w:left w:val="nil"/>
              <w:bottom w:val="single" w:sz="4" w:space="0" w:color="auto"/>
              <w:right w:val="single" w:sz="4" w:space="0" w:color="auto"/>
            </w:tcBorders>
            <w:shd w:val="clear" w:color="auto" w:fill="auto"/>
          </w:tcPr>
          <w:p w:rsidR="00357D21" w:rsidRPr="000C5E66" w:rsidRDefault="00357D21" w:rsidP="00465CAC">
            <w:pPr>
              <w:jc w:val="right"/>
              <w:rPr>
                <w:rFonts w:ascii="Times New Roman" w:hAnsi="Times New Roman" w:cs="Times New Roman"/>
                <w:b/>
                <w:sz w:val="14"/>
                <w:szCs w:val="14"/>
              </w:rPr>
            </w:pPr>
            <w:r w:rsidRPr="000C5E66">
              <w:rPr>
                <w:rFonts w:ascii="Times New Roman" w:hAnsi="Times New Roman" w:cs="Times New Roman"/>
                <w:b/>
                <w:sz w:val="14"/>
                <w:szCs w:val="14"/>
              </w:rPr>
              <w:t>-2,3</w:t>
            </w:r>
          </w:p>
        </w:tc>
      </w:tr>
      <w:tr w:rsidR="00357D21" w:rsidRPr="000C5E66" w:rsidTr="00465CAC">
        <w:trPr>
          <w:trHeight w:val="227"/>
          <w:jc w:val="center"/>
        </w:trPr>
        <w:tc>
          <w:tcPr>
            <w:tcW w:w="3402" w:type="dxa"/>
            <w:tcBorders>
              <w:bottom w:val="single" w:sz="4" w:space="0" w:color="auto"/>
            </w:tcBorders>
            <w:shd w:val="clear" w:color="auto" w:fill="auto"/>
            <w:noWrap/>
            <w:vAlign w:val="center"/>
          </w:tcPr>
          <w:p w:rsidR="00357D21" w:rsidRPr="000C5E66" w:rsidRDefault="00357D21" w:rsidP="00465CAC">
            <w:pPr>
              <w:rPr>
                <w:rFonts w:ascii="Times New Roman" w:hAnsi="Times New Roman" w:cs="Times New Roman"/>
                <w:b/>
                <w:sz w:val="14"/>
                <w:szCs w:val="14"/>
              </w:rPr>
            </w:pPr>
            <w:proofErr w:type="spellStart"/>
            <w:r w:rsidRPr="000C5E66">
              <w:rPr>
                <w:rFonts w:ascii="Times New Roman" w:hAnsi="Times New Roman" w:cs="Times New Roman"/>
                <w:b/>
                <w:sz w:val="14"/>
                <w:szCs w:val="14"/>
              </w:rPr>
              <w:t>p.m</w:t>
            </w:r>
            <w:proofErr w:type="spellEnd"/>
            <w:r w:rsidRPr="000C5E66">
              <w:rPr>
                <w:rFonts w:ascii="Times New Roman" w:hAnsi="Times New Roman" w:cs="Times New Roman"/>
                <w:b/>
                <w:sz w:val="14"/>
                <w:szCs w:val="14"/>
              </w:rPr>
              <w:t>. čistý dlh</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57D21" w:rsidRPr="000C5E66" w:rsidRDefault="00357D21" w:rsidP="00465CAC">
            <w:pPr>
              <w:jc w:val="right"/>
              <w:rPr>
                <w:rFonts w:ascii="Times New Roman" w:hAnsi="Times New Roman" w:cs="Times New Roman"/>
                <w:b/>
                <w:sz w:val="14"/>
                <w:szCs w:val="14"/>
                <w:lang w:eastAsia="sk-SK"/>
              </w:rPr>
            </w:pPr>
            <w:r w:rsidRPr="000C5E66">
              <w:rPr>
                <w:rFonts w:ascii="Times New Roman" w:hAnsi="Times New Roman" w:cs="Times New Roman"/>
                <w:b/>
                <w:sz w:val="14"/>
                <w:szCs w:val="14"/>
              </w:rPr>
              <w:t>48,2</w:t>
            </w:r>
          </w:p>
        </w:tc>
        <w:tc>
          <w:tcPr>
            <w:tcW w:w="951" w:type="dxa"/>
            <w:tcBorders>
              <w:top w:val="single" w:sz="4" w:space="0" w:color="auto"/>
              <w:left w:val="nil"/>
              <w:bottom w:val="single" w:sz="4" w:space="0" w:color="auto"/>
              <w:right w:val="single" w:sz="4" w:space="0" w:color="auto"/>
            </w:tcBorders>
            <w:shd w:val="clear" w:color="auto" w:fill="auto"/>
          </w:tcPr>
          <w:p w:rsidR="00357D21" w:rsidRPr="000C5E66" w:rsidRDefault="00357D21" w:rsidP="00465CAC">
            <w:pPr>
              <w:jc w:val="right"/>
              <w:rPr>
                <w:rFonts w:ascii="Times New Roman" w:hAnsi="Times New Roman" w:cs="Times New Roman"/>
                <w:b/>
                <w:sz w:val="14"/>
                <w:szCs w:val="14"/>
              </w:rPr>
            </w:pPr>
            <w:r w:rsidRPr="000C5E66">
              <w:rPr>
                <w:rFonts w:ascii="Times New Roman" w:hAnsi="Times New Roman" w:cs="Times New Roman"/>
                <w:b/>
                <w:sz w:val="14"/>
                <w:szCs w:val="14"/>
              </w:rPr>
              <w:t>47,0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357D21" w:rsidRPr="000C5E66" w:rsidRDefault="00357D21" w:rsidP="00465CAC">
            <w:pPr>
              <w:jc w:val="right"/>
              <w:rPr>
                <w:rFonts w:ascii="Times New Roman" w:hAnsi="Times New Roman" w:cs="Times New Roman"/>
                <w:b/>
                <w:sz w:val="14"/>
                <w:szCs w:val="14"/>
              </w:rPr>
            </w:pPr>
            <w:r w:rsidRPr="000C5E66">
              <w:rPr>
                <w:rFonts w:ascii="Times New Roman" w:hAnsi="Times New Roman" w:cs="Times New Roman"/>
                <w:b/>
                <w:sz w:val="14"/>
                <w:szCs w:val="14"/>
              </w:rPr>
              <w:t>46,7</w:t>
            </w:r>
          </w:p>
        </w:tc>
        <w:tc>
          <w:tcPr>
            <w:tcW w:w="951" w:type="dxa"/>
            <w:tcBorders>
              <w:top w:val="single" w:sz="4" w:space="0" w:color="auto"/>
              <w:left w:val="nil"/>
              <w:bottom w:val="single" w:sz="4" w:space="0" w:color="auto"/>
              <w:right w:val="single" w:sz="4" w:space="0" w:color="auto"/>
            </w:tcBorders>
            <w:shd w:val="clear" w:color="auto" w:fill="auto"/>
          </w:tcPr>
          <w:p w:rsidR="00357D21" w:rsidRPr="000C5E66" w:rsidRDefault="00357D21" w:rsidP="00465CAC">
            <w:pPr>
              <w:jc w:val="right"/>
              <w:rPr>
                <w:rFonts w:ascii="Times New Roman" w:hAnsi="Times New Roman" w:cs="Times New Roman"/>
                <w:b/>
                <w:sz w:val="14"/>
                <w:szCs w:val="14"/>
              </w:rPr>
            </w:pPr>
            <w:r w:rsidRPr="000C5E66">
              <w:rPr>
                <w:rFonts w:ascii="Times New Roman" w:hAnsi="Times New Roman" w:cs="Times New Roman"/>
                <w:b/>
                <w:sz w:val="14"/>
                <w:szCs w:val="14"/>
              </w:rPr>
              <w:t>45,5</w:t>
            </w:r>
          </w:p>
        </w:tc>
        <w:tc>
          <w:tcPr>
            <w:tcW w:w="951" w:type="dxa"/>
            <w:tcBorders>
              <w:top w:val="single" w:sz="4" w:space="0" w:color="auto"/>
              <w:left w:val="nil"/>
              <w:bottom w:val="single" w:sz="4" w:space="0" w:color="auto"/>
              <w:right w:val="single" w:sz="4" w:space="0" w:color="auto"/>
            </w:tcBorders>
            <w:shd w:val="clear" w:color="auto" w:fill="auto"/>
          </w:tcPr>
          <w:p w:rsidR="00357D21" w:rsidRPr="000C5E66" w:rsidRDefault="00357D21" w:rsidP="00465CAC">
            <w:pPr>
              <w:jc w:val="right"/>
              <w:rPr>
                <w:rFonts w:ascii="Times New Roman" w:hAnsi="Times New Roman" w:cs="Times New Roman"/>
                <w:b/>
                <w:sz w:val="14"/>
                <w:szCs w:val="14"/>
              </w:rPr>
            </w:pPr>
            <w:r w:rsidRPr="000C5E66">
              <w:rPr>
                <w:rFonts w:ascii="Times New Roman" w:hAnsi="Times New Roman" w:cs="Times New Roman"/>
                <w:b/>
                <w:sz w:val="14"/>
                <w:szCs w:val="14"/>
              </w:rPr>
              <w:t>43,3</w:t>
            </w:r>
          </w:p>
        </w:tc>
        <w:tc>
          <w:tcPr>
            <w:tcW w:w="951" w:type="dxa"/>
            <w:tcBorders>
              <w:top w:val="single" w:sz="4" w:space="0" w:color="auto"/>
              <w:left w:val="nil"/>
              <w:bottom w:val="single" w:sz="4" w:space="0" w:color="auto"/>
              <w:right w:val="single" w:sz="4" w:space="0" w:color="auto"/>
            </w:tcBorders>
            <w:shd w:val="clear" w:color="auto" w:fill="auto"/>
          </w:tcPr>
          <w:p w:rsidR="00357D21" w:rsidRPr="000C5E66" w:rsidRDefault="00357D21" w:rsidP="00465CAC">
            <w:pPr>
              <w:jc w:val="right"/>
              <w:rPr>
                <w:rFonts w:ascii="Times New Roman" w:hAnsi="Times New Roman" w:cs="Times New Roman"/>
                <w:b/>
                <w:sz w:val="14"/>
                <w:szCs w:val="14"/>
              </w:rPr>
            </w:pPr>
            <w:r w:rsidRPr="000C5E66">
              <w:rPr>
                <w:rFonts w:ascii="Times New Roman" w:hAnsi="Times New Roman" w:cs="Times New Roman"/>
                <w:b/>
                <w:sz w:val="14"/>
                <w:szCs w:val="14"/>
              </w:rPr>
              <w:t>41,1</w:t>
            </w:r>
          </w:p>
        </w:tc>
      </w:tr>
      <w:tr w:rsidR="00357D21" w:rsidRPr="00722209" w:rsidTr="00465CAC">
        <w:trPr>
          <w:trHeight w:val="227"/>
          <w:jc w:val="center"/>
        </w:trPr>
        <w:tc>
          <w:tcPr>
            <w:tcW w:w="3402" w:type="dxa"/>
            <w:tcBorders>
              <w:top w:val="single" w:sz="4" w:space="0" w:color="auto"/>
              <w:left w:val="nil"/>
              <w:bottom w:val="nil"/>
              <w:right w:val="nil"/>
            </w:tcBorders>
            <w:shd w:val="clear" w:color="auto" w:fill="auto"/>
            <w:noWrap/>
            <w:vAlign w:val="center"/>
          </w:tcPr>
          <w:p w:rsidR="00357D21" w:rsidRPr="002B3C31" w:rsidRDefault="00357D21" w:rsidP="00465CAC">
            <w:pPr>
              <w:rPr>
                <w:rFonts w:ascii="Times New Roman" w:hAnsi="Times New Roman" w:cs="Times New Roman"/>
                <w:sz w:val="14"/>
                <w:szCs w:val="14"/>
              </w:rPr>
            </w:pPr>
          </w:p>
        </w:tc>
        <w:tc>
          <w:tcPr>
            <w:tcW w:w="950" w:type="dxa"/>
            <w:tcBorders>
              <w:top w:val="single" w:sz="4" w:space="0" w:color="auto"/>
              <w:left w:val="nil"/>
              <w:bottom w:val="nil"/>
              <w:right w:val="nil"/>
            </w:tcBorders>
            <w:shd w:val="clear" w:color="auto" w:fill="auto"/>
            <w:vAlign w:val="center"/>
          </w:tcPr>
          <w:p w:rsidR="00357D21" w:rsidRPr="002B3C31" w:rsidRDefault="00357D21" w:rsidP="00465CAC">
            <w:pPr>
              <w:jc w:val="right"/>
              <w:rPr>
                <w:rFonts w:ascii="Times New Roman" w:hAnsi="Times New Roman" w:cs="Times New Roman"/>
                <w:sz w:val="14"/>
                <w:szCs w:val="14"/>
              </w:rPr>
            </w:pPr>
          </w:p>
        </w:tc>
        <w:tc>
          <w:tcPr>
            <w:tcW w:w="951" w:type="dxa"/>
            <w:tcBorders>
              <w:top w:val="single" w:sz="4" w:space="0" w:color="auto"/>
              <w:left w:val="nil"/>
              <w:bottom w:val="nil"/>
              <w:right w:val="nil"/>
            </w:tcBorders>
            <w:shd w:val="clear" w:color="auto" w:fill="auto"/>
            <w:vAlign w:val="center"/>
          </w:tcPr>
          <w:p w:rsidR="00357D21" w:rsidRPr="002B3C31" w:rsidRDefault="00357D21" w:rsidP="00465CAC">
            <w:pPr>
              <w:jc w:val="right"/>
              <w:rPr>
                <w:rFonts w:ascii="Times New Roman" w:hAnsi="Times New Roman" w:cs="Times New Roman"/>
                <w:sz w:val="14"/>
                <w:szCs w:val="14"/>
              </w:rPr>
            </w:pPr>
          </w:p>
        </w:tc>
        <w:tc>
          <w:tcPr>
            <w:tcW w:w="951" w:type="dxa"/>
            <w:tcBorders>
              <w:top w:val="single" w:sz="4" w:space="0" w:color="auto"/>
              <w:left w:val="nil"/>
              <w:bottom w:val="nil"/>
              <w:right w:val="nil"/>
            </w:tcBorders>
            <w:shd w:val="clear" w:color="auto" w:fill="auto"/>
            <w:vAlign w:val="center"/>
          </w:tcPr>
          <w:p w:rsidR="00357D21" w:rsidRPr="002B3C31" w:rsidRDefault="00357D21" w:rsidP="00465CAC">
            <w:pPr>
              <w:jc w:val="right"/>
              <w:rPr>
                <w:rFonts w:ascii="Times New Roman" w:hAnsi="Times New Roman" w:cs="Times New Roman"/>
                <w:sz w:val="14"/>
                <w:szCs w:val="14"/>
              </w:rPr>
            </w:pPr>
          </w:p>
        </w:tc>
        <w:tc>
          <w:tcPr>
            <w:tcW w:w="951" w:type="dxa"/>
            <w:tcBorders>
              <w:top w:val="single" w:sz="4" w:space="0" w:color="auto"/>
              <w:left w:val="nil"/>
              <w:bottom w:val="nil"/>
              <w:right w:val="nil"/>
            </w:tcBorders>
            <w:shd w:val="clear" w:color="auto" w:fill="auto"/>
            <w:vAlign w:val="center"/>
          </w:tcPr>
          <w:p w:rsidR="00357D21" w:rsidRPr="002B3C31" w:rsidRDefault="00357D21" w:rsidP="00465CAC">
            <w:pPr>
              <w:jc w:val="right"/>
              <w:rPr>
                <w:rFonts w:ascii="Times New Roman" w:hAnsi="Times New Roman" w:cs="Times New Roman"/>
                <w:sz w:val="14"/>
                <w:szCs w:val="14"/>
              </w:rPr>
            </w:pPr>
          </w:p>
        </w:tc>
        <w:tc>
          <w:tcPr>
            <w:tcW w:w="1902" w:type="dxa"/>
            <w:gridSpan w:val="2"/>
            <w:tcBorders>
              <w:top w:val="single" w:sz="4" w:space="0" w:color="auto"/>
              <w:left w:val="nil"/>
              <w:bottom w:val="nil"/>
              <w:right w:val="nil"/>
            </w:tcBorders>
            <w:shd w:val="clear" w:color="auto" w:fill="auto"/>
            <w:vAlign w:val="center"/>
          </w:tcPr>
          <w:p w:rsidR="00357D21" w:rsidRPr="002B3C31" w:rsidRDefault="00357D21" w:rsidP="00465CAC">
            <w:pPr>
              <w:jc w:val="right"/>
              <w:rPr>
                <w:rFonts w:ascii="Times New Roman" w:hAnsi="Times New Roman" w:cs="Times New Roman"/>
                <w:i/>
                <w:sz w:val="14"/>
                <w:szCs w:val="14"/>
              </w:rPr>
            </w:pPr>
            <w:r w:rsidRPr="002B3C31">
              <w:rPr>
                <w:rFonts w:ascii="Times New Roman" w:hAnsi="Times New Roman" w:cs="Times New Roman"/>
                <w:i/>
                <w:sz w:val="14"/>
                <w:szCs w:val="14"/>
              </w:rPr>
              <w:t>Zdroj: MF SR</w:t>
            </w:r>
          </w:p>
        </w:tc>
      </w:tr>
    </w:tbl>
    <w:p w:rsidR="00357D21" w:rsidRPr="00D829BE" w:rsidRDefault="00357D21" w:rsidP="00357D21">
      <w:pPr>
        <w:spacing w:after="120"/>
        <w:ind w:firstLine="708"/>
        <w:jc w:val="both"/>
        <w:rPr>
          <w:rFonts w:ascii="Times New Roman" w:hAnsi="Times New Roman" w:cs="Times New Roman"/>
        </w:rPr>
      </w:pPr>
      <w:r w:rsidRPr="00D829BE">
        <w:rPr>
          <w:rFonts w:ascii="Times New Roman" w:hAnsi="Times New Roman" w:cs="Times New Roman"/>
        </w:rPr>
        <w:t xml:space="preserve">Vývoj dlhu bude v nasledujúcich rokoch ovplyvnený očakávaným dosahovaním prebytku primárneho salda v dôsledku pokračujúcej konsolidácie verejných financií smerom k vyrovnanému hospodáreniu verejnej správy v roku 2020. </w:t>
      </w:r>
    </w:p>
    <w:p w:rsidR="00357D21" w:rsidRPr="00F023F3" w:rsidRDefault="00357D21" w:rsidP="00357D21">
      <w:pPr>
        <w:spacing w:after="120"/>
        <w:ind w:firstLine="708"/>
        <w:jc w:val="both"/>
        <w:rPr>
          <w:rFonts w:ascii="Times New Roman" w:hAnsi="Times New Roman" w:cs="Times New Roman"/>
        </w:rPr>
      </w:pPr>
      <w:r w:rsidRPr="00F023F3">
        <w:rPr>
          <w:rFonts w:ascii="Times New Roman" w:hAnsi="Times New Roman" w:cs="Times New Roman"/>
        </w:rPr>
        <w:t xml:space="preserve">Z medzinárodných záväzkov Slovenska voči Európskemu nástroju finančnej stability (EFSF) a Európskemu mechanizmu pre stabilitu (ESM) sa </w:t>
      </w:r>
      <w:r>
        <w:rPr>
          <w:rFonts w:ascii="Times New Roman" w:hAnsi="Times New Roman" w:cs="Times New Roman"/>
        </w:rPr>
        <w:t>na</w:t>
      </w:r>
      <w:r w:rsidRPr="00F023F3">
        <w:rPr>
          <w:rFonts w:ascii="Times New Roman" w:hAnsi="Times New Roman" w:cs="Times New Roman"/>
        </w:rPr>
        <w:t xml:space="preserve"> roky 2018 až 2020 nepredpokladajú dodatočné vplyvy na verejný dlh. </w:t>
      </w:r>
    </w:p>
    <w:p w:rsidR="00357D21" w:rsidRPr="00796B95" w:rsidRDefault="00357D21" w:rsidP="00357D21">
      <w:pPr>
        <w:spacing w:after="120"/>
        <w:ind w:firstLine="708"/>
        <w:jc w:val="both"/>
        <w:rPr>
          <w:rFonts w:ascii="Times New Roman" w:hAnsi="Times New Roman" w:cs="Times New Roman"/>
        </w:rPr>
      </w:pPr>
      <w:r w:rsidRPr="00796B95">
        <w:rPr>
          <w:rFonts w:ascii="Times New Roman" w:hAnsi="Times New Roman" w:cs="Times New Roman"/>
        </w:rPr>
        <w:t>Do výpočtu dlhu vstupujú aj metodické úpravy ako diskont pri emisii a splatení dlhopisov.</w:t>
      </w:r>
      <w:r w:rsidRPr="00796B95">
        <w:rPr>
          <w:rStyle w:val="Odkaznapoznmkupodiarou"/>
          <w:rFonts w:ascii="Times New Roman" w:hAnsi="Times New Roman"/>
        </w:rPr>
        <w:footnoteReference w:id="7"/>
      </w:r>
      <w:r w:rsidRPr="00796B95">
        <w:rPr>
          <w:rFonts w:ascii="Times New Roman" w:hAnsi="Times New Roman" w:cs="Times New Roman"/>
        </w:rPr>
        <w:t xml:space="preserve"> Celkový vplyv týchto faktorov </w:t>
      </w:r>
      <w:r>
        <w:rPr>
          <w:rFonts w:ascii="Times New Roman" w:hAnsi="Times New Roman" w:cs="Times New Roman"/>
        </w:rPr>
        <w:t xml:space="preserve">bude </w:t>
      </w:r>
      <w:r w:rsidRPr="00796B95">
        <w:rPr>
          <w:rFonts w:ascii="Times New Roman" w:hAnsi="Times New Roman" w:cs="Times New Roman"/>
        </w:rPr>
        <w:t xml:space="preserve">výraznejšie </w:t>
      </w:r>
      <w:r>
        <w:rPr>
          <w:rFonts w:ascii="Times New Roman" w:hAnsi="Times New Roman" w:cs="Times New Roman"/>
        </w:rPr>
        <w:t>pôsobiť na rast</w:t>
      </w:r>
      <w:r w:rsidRPr="00796B95">
        <w:rPr>
          <w:rFonts w:ascii="Times New Roman" w:hAnsi="Times New Roman" w:cs="Times New Roman"/>
        </w:rPr>
        <w:t xml:space="preserve"> dlh</w:t>
      </w:r>
      <w:r>
        <w:rPr>
          <w:rFonts w:ascii="Times New Roman" w:hAnsi="Times New Roman" w:cs="Times New Roman"/>
        </w:rPr>
        <w:t>u</w:t>
      </w:r>
      <w:r w:rsidRPr="00796B95">
        <w:rPr>
          <w:rFonts w:ascii="Times New Roman" w:hAnsi="Times New Roman" w:cs="Times New Roman"/>
        </w:rPr>
        <w:t xml:space="preserve"> z dôvodu prevládajúceho vplyvu vyššieho emisného diskontu. </w:t>
      </w:r>
    </w:p>
    <w:p w:rsidR="00357D21" w:rsidRDefault="00357D21" w:rsidP="00357D21">
      <w:pPr>
        <w:ind w:firstLine="708"/>
        <w:jc w:val="both"/>
        <w:rPr>
          <w:rFonts w:ascii="Times New Roman" w:hAnsi="Times New Roman" w:cs="Times New Roman"/>
        </w:rPr>
      </w:pPr>
      <w:r w:rsidRPr="00796B95">
        <w:rPr>
          <w:rFonts w:ascii="Times New Roman" w:hAnsi="Times New Roman" w:cs="Times New Roman"/>
        </w:rPr>
        <w:t>Ostatné zmeny v prognóze dlhu súvisia s kurzovými rozdielmi a zmenou vkladov klientov v Štátnej pokladnici</w:t>
      </w:r>
      <w:r>
        <w:rPr>
          <w:rFonts w:ascii="Times New Roman" w:hAnsi="Times New Roman" w:cs="Times New Roman"/>
        </w:rPr>
        <w:t>,</w:t>
      </w:r>
      <w:r w:rsidRPr="00796B95">
        <w:rPr>
          <w:rFonts w:ascii="Times New Roman" w:hAnsi="Times New Roman" w:cs="Times New Roman"/>
        </w:rPr>
        <w:t xml:space="preserve"> mimo okruhu verejnej správy.</w:t>
      </w:r>
    </w:p>
    <w:p w:rsidR="00112053" w:rsidRDefault="00112053" w:rsidP="00357D21">
      <w:pPr>
        <w:ind w:firstLine="708"/>
        <w:jc w:val="both"/>
        <w:rPr>
          <w:rFonts w:ascii="Times New Roman" w:hAnsi="Times New Roman" w:cs="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56"/>
        <w:gridCol w:w="836"/>
        <w:gridCol w:w="836"/>
        <w:gridCol w:w="836"/>
        <w:gridCol w:w="836"/>
        <w:gridCol w:w="113"/>
        <w:gridCol w:w="723"/>
        <w:gridCol w:w="836"/>
      </w:tblGrid>
      <w:tr w:rsidR="00112053" w:rsidRPr="00B74217" w:rsidTr="00DD7B77">
        <w:trPr>
          <w:trHeight w:val="210"/>
          <w:jc w:val="center"/>
        </w:trPr>
        <w:tc>
          <w:tcPr>
            <w:tcW w:w="9072" w:type="dxa"/>
            <w:gridSpan w:val="8"/>
            <w:tcBorders>
              <w:bottom w:val="single" w:sz="4" w:space="0" w:color="auto"/>
            </w:tcBorders>
            <w:shd w:val="clear" w:color="auto" w:fill="A6A6A6"/>
            <w:vAlign w:val="center"/>
            <w:hideMark/>
          </w:tcPr>
          <w:p w:rsidR="00112053" w:rsidRPr="00B74217" w:rsidRDefault="00112053" w:rsidP="00DD7B77">
            <w:pPr>
              <w:rPr>
                <w:rFonts w:ascii="Times New Roman" w:hAnsi="Times New Roman" w:cs="Times New Roman"/>
                <w:b/>
                <w:bCs/>
                <w:sz w:val="14"/>
                <w:szCs w:val="14"/>
              </w:rPr>
            </w:pPr>
            <w:r w:rsidRPr="00B74217">
              <w:rPr>
                <w:rFonts w:ascii="Times New Roman" w:hAnsi="Times New Roman" w:cs="Times New Roman"/>
                <w:b/>
                <w:bCs/>
                <w:sz w:val="14"/>
                <w:szCs w:val="14"/>
              </w:rPr>
              <w:t>Vplyv na zmenu hrubého dlhu verejnej správy (v mil. eur) </w:t>
            </w:r>
          </w:p>
        </w:tc>
      </w:tr>
      <w:tr w:rsidR="00112053" w:rsidRPr="00B74217" w:rsidTr="00DD7B77">
        <w:trPr>
          <w:trHeight w:val="210"/>
          <w:jc w:val="center"/>
        </w:trPr>
        <w:tc>
          <w:tcPr>
            <w:tcW w:w="4056" w:type="dxa"/>
            <w:shd w:val="clear" w:color="auto" w:fill="BFBFBF"/>
            <w:noWrap/>
            <w:vAlign w:val="center"/>
            <w:hideMark/>
          </w:tcPr>
          <w:p w:rsidR="00112053" w:rsidRPr="00B74217" w:rsidRDefault="00112053" w:rsidP="00DD7B77">
            <w:pPr>
              <w:jc w:val="center"/>
              <w:rPr>
                <w:rFonts w:ascii="Times New Roman" w:hAnsi="Times New Roman" w:cs="Times New Roman"/>
                <w:b/>
                <w:bCs/>
                <w:sz w:val="14"/>
                <w:szCs w:val="14"/>
              </w:rPr>
            </w:pPr>
            <w:r w:rsidRPr="00B74217">
              <w:rPr>
                <w:rFonts w:ascii="Times New Roman" w:hAnsi="Times New Roman" w:cs="Times New Roman"/>
                <w:b/>
                <w:bCs/>
                <w:sz w:val="14"/>
                <w:szCs w:val="14"/>
              </w:rPr>
              <w:t> </w:t>
            </w:r>
          </w:p>
        </w:tc>
        <w:tc>
          <w:tcPr>
            <w:tcW w:w="836" w:type="dxa"/>
            <w:shd w:val="clear" w:color="auto" w:fill="BFBFBF"/>
            <w:noWrap/>
            <w:vAlign w:val="center"/>
            <w:hideMark/>
          </w:tcPr>
          <w:p w:rsidR="00112053" w:rsidRPr="00871F6D" w:rsidRDefault="00112053" w:rsidP="00DD7B77">
            <w:pPr>
              <w:jc w:val="center"/>
              <w:rPr>
                <w:rFonts w:ascii="Times New Roman" w:hAnsi="Times New Roman" w:cs="Times New Roman"/>
                <w:b/>
                <w:bCs/>
                <w:sz w:val="14"/>
                <w:szCs w:val="14"/>
              </w:rPr>
            </w:pPr>
            <w:r w:rsidRPr="00871F6D">
              <w:rPr>
                <w:rFonts w:ascii="Times New Roman" w:hAnsi="Times New Roman" w:cs="Times New Roman"/>
                <w:b/>
                <w:bCs/>
                <w:sz w:val="14"/>
                <w:szCs w:val="14"/>
              </w:rPr>
              <w:t>2015 S</w:t>
            </w:r>
          </w:p>
        </w:tc>
        <w:tc>
          <w:tcPr>
            <w:tcW w:w="836" w:type="dxa"/>
            <w:shd w:val="clear" w:color="auto" w:fill="BFBFBF"/>
            <w:noWrap/>
            <w:vAlign w:val="center"/>
          </w:tcPr>
          <w:p w:rsidR="00112053" w:rsidRPr="00871F6D" w:rsidRDefault="00112053" w:rsidP="00DD7B77">
            <w:pPr>
              <w:jc w:val="center"/>
              <w:rPr>
                <w:rFonts w:ascii="Times New Roman" w:hAnsi="Times New Roman" w:cs="Times New Roman"/>
                <w:b/>
                <w:bCs/>
                <w:sz w:val="14"/>
                <w:szCs w:val="14"/>
              </w:rPr>
            </w:pPr>
            <w:r w:rsidRPr="00871F6D">
              <w:rPr>
                <w:rFonts w:ascii="Times New Roman" w:hAnsi="Times New Roman" w:cs="Times New Roman"/>
                <w:b/>
                <w:bCs/>
                <w:sz w:val="14"/>
                <w:szCs w:val="14"/>
              </w:rPr>
              <w:t>2016 S</w:t>
            </w:r>
          </w:p>
        </w:tc>
        <w:tc>
          <w:tcPr>
            <w:tcW w:w="836" w:type="dxa"/>
            <w:shd w:val="clear" w:color="auto" w:fill="BFBFBF"/>
            <w:noWrap/>
            <w:vAlign w:val="center"/>
          </w:tcPr>
          <w:p w:rsidR="00112053" w:rsidRPr="00871F6D" w:rsidRDefault="00112053" w:rsidP="00DD7B77">
            <w:pPr>
              <w:jc w:val="center"/>
              <w:rPr>
                <w:rFonts w:ascii="Times New Roman" w:hAnsi="Times New Roman" w:cs="Times New Roman"/>
                <w:b/>
                <w:bCs/>
                <w:sz w:val="14"/>
                <w:szCs w:val="14"/>
              </w:rPr>
            </w:pPr>
            <w:r w:rsidRPr="00871F6D">
              <w:rPr>
                <w:rFonts w:ascii="Times New Roman" w:hAnsi="Times New Roman" w:cs="Times New Roman"/>
                <w:b/>
                <w:bCs/>
                <w:sz w:val="14"/>
                <w:szCs w:val="14"/>
              </w:rPr>
              <w:t>2017 OS</w:t>
            </w:r>
          </w:p>
        </w:tc>
        <w:tc>
          <w:tcPr>
            <w:tcW w:w="836" w:type="dxa"/>
            <w:shd w:val="clear" w:color="auto" w:fill="BFBFBF"/>
            <w:noWrap/>
            <w:vAlign w:val="center"/>
          </w:tcPr>
          <w:p w:rsidR="00112053" w:rsidRPr="00871F6D" w:rsidRDefault="00112053" w:rsidP="00DD7B77">
            <w:pPr>
              <w:jc w:val="center"/>
              <w:rPr>
                <w:rFonts w:ascii="Times New Roman" w:hAnsi="Times New Roman" w:cs="Times New Roman"/>
                <w:b/>
                <w:bCs/>
                <w:sz w:val="14"/>
                <w:szCs w:val="14"/>
              </w:rPr>
            </w:pPr>
            <w:r w:rsidRPr="00871F6D">
              <w:rPr>
                <w:rFonts w:ascii="Times New Roman" w:hAnsi="Times New Roman" w:cs="Times New Roman"/>
                <w:b/>
                <w:bCs/>
                <w:sz w:val="14"/>
                <w:szCs w:val="14"/>
              </w:rPr>
              <w:t>2018 N</w:t>
            </w:r>
          </w:p>
        </w:tc>
        <w:tc>
          <w:tcPr>
            <w:tcW w:w="836" w:type="dxa"/>
            <w:gridSpan w:val="2"/>
            <w:shd w:val="clear" w:color="auto" w:fill="BFBFBF"/>
            <w:noWrap/>
            <w:vAlign w:val="center"/>
          </w:tcPr>
          <w:p w:rsidR="00112053" w:rsidRPr="00871F6D" w:rsidRDefault="00112053" w:rsidP="00DD7B77">
            <w:pPr>
              <w:jc w:val="center"/>
              <w:rPr>
                <w:rFonts w:ascii="Times New Roman" w:hAnsi="Times New Roman" w:cs="Times New Roman"/>
                <w:b/>
                <w:bCs/>
                <w:sz w:val="14"/>
                <w:szCs w:val="14"/>
              </w:rPr>
            </w:pPr>
            <w:r w:rsidRPr="00871F6D">
              <w:rPr>
                <w:rFonts w:ascii="Times New Roman" w:hAnsi="Times New Roman" w:cs="Times New Roman"/>
                <w:b/>
                <w:bCs/>
                <w:sz w:val="14"/>
                <w:szCs w:val="14"/>
              </w:rPr>
              <w:t>2019 N</w:t>
            </w:r>
          </w:p>
        </w:tc>
        <w:tc>
          <w:tcPr>
            <w:tcW w:w="836" w:type="dxa"/>
            <w:shd w:val="clear" w:color="auto" w:fill="BFBFBF"/>
            <w:noWrap/>
            <w:vAlign w:val="center"/>
          </w:tcPr>
          <w:p w:rsidR="00112053" w:rsidRPr="00871F6D" w:rsidRDefault="00112053" w:rsidP="00DD7B77">
            <w:pPr>
              <w:jc w:val="center"/>
              <w:rPr>
                <w:rFonts w:ascii="Times New Roman" w:hAnsi="Times New Roman" w:cs="Times New Roman"/>
                <w:b/>
                <w:bCs/>
                <w:sz w:val="14"/>
                <w:szCs w:val="14"/>
              </w:rPr>
            </w:pPr>
            <w:r w:rsidRPr="00871F6D">
              <w:rPr>
                <w:rFonts w:ascii="Times New Roman" w:hAnsi="Times New Roman" w:cs="Times New Roman"/>
                <w:b/>
                <w:bCs/>
                <w:sz w:val="14"/>
                <w:szCs w:val="14"/>
              </w:rPr>
              <w:t>2020 N</w:t>
            </w:r>
          </w:p>
        </w:tc>
      </w:tr>
      <w:tr w:rsidR="00112053" w:rsidRPr="00B74217" w:rsidTr="00DD7B77">
        <w:trPr>
          <w:trHeight w:val="210"/>
          <w:jc w:val="center"/>
        </w:trPr>
        <w:tc>
          <w:tcPr>
            <w:tcW w:w="4056" w:type="dxa"/>
            <w:shd w:val="clear" w:color="auto" w:fill="auto"/>
            <w:noWrap/>
            <w:vAlign w:val="center"/>
            <w:hideMark/>
          </w:tcPr>
          <w:p w:rsidR="00112053" w:rsidRPr="00B74217" w:rsidRDefault="00112053" w:rsidP="00DD7B77">
            <w:pPr>
              <w:rPr>
                <w:rFonts w:ascii="Times New Roman" w:hAnsi="Times New Roman" w:cs="Times New Roman"/>
                <w:b/>
                <w:bCs/>
                <w:sz w:val="14"/>
                <w:szCs w:val="14"/>
              </w:rPr>
            </w:pPr>
            <w:r w:rsidRPr="00B74217">
              <w:rPr>
                <w:rFonts w:ascii="Times New Roman" w:hAnsi="Times New Roman" w:cs="Times New Roman"/>
                <w:b/>
                <w:bCs/>
                <w:sz w:val="14"/>
                <w:szCs w:val="14"/>
              </w:rPr>
              <w:t>A. Hrubý dlh verejnej správy (k 1.1.)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053" w:rsidRPr="003D6D0F" w:rsidRDefault="00112053" w:rsidP="00DD7B77">
            <w:pPr>
              <w:jc w:val="right"/>
              <w:rPr>
                <w:rFonts w:ascii="Times New Roman" w:hAnsi="Times New Roman" w:cs="Times New Roman"/>
                <w:b/>
                <w:bCs/>
                <w:sz w:val="14"/>
                <w:szCs w:val="14"/>
                <w:lang w:eastAsia="sk-SK"/>
              </w:rPr>
            </w:pPr>
            <w:r w:rsidRPr="003D6D0F">
              <w:rPr>
                <w:rFonts w:ascii="Times New Roman" w:hAnsi="Times New Roman" w:cs="Times New Roman"/>
                <w:b/>
                <w:bCs/>
                <w:sz w:val="14"/>
                <w:szCs w:val="14"/>
              </w:rPr>
              <w:t>40 725</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41 295</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42 053</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43 244</w:t>
            </w:r>
          </w:p>
        </w:tc>
        <w:tc>
          <w:tcPr>
            <w:tcW w:w="836" w:type="dxa"/>
            <w:gridSpan w:val="2"/>
            <w:tcBorders>
              <w:top w:val="single" w:sz="4" w:space="0" w:color="auto"/>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44 699</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45 561</w:t>
            </w:r>
          </w:p>
        </w:tc>
      </w:tr>
      <w:tr w:rsidR="00112053" w:rsidRPr="00B74217" w:rsidTr="00DD7B77">
        <w:trPr>
          <w:trHeight w:val="210"/>
          <w:jc w:val="center"/>
        </w:trPr>
        <w:tc>
          <w:tcPr>
            <w:tcW w:w="4056" w:type="dxa"/>
            <w:shd w:val="clear" w:color="000000" w:fill="FFFFFF"/>
            <w:noWrap/>
            <w:vAlign w:val="center"/>
            <w:hideMark/>
          </w:tcPr>
          <w:p w:rsidR="00112053" w:rsidRPr="00B74217" w:rsidRDefault="00112053" w:rsidP="00DD7B77">
            <w:pPr>
              <w:rPr>
                <w:rFonts w:ascii="Times New Roman" w:hAnsi="Times New Roman" w:cs="Times New Roman"/>
                <w:b/>
                <w:bCs/>
                <w:sz w:val="14"/>
                <w:szCs w:val="14"/>
              </w:rPr>
            </w:pPr>
            <w:r w:rsidRPr="00B74217">
              <w:rPr>
                <w:rFonts w:ascii="Times New Roman" w:hAnsi="Times New Roman" w:cs="Times New Roman"/>
                <w:b/>
                <w:bCs/>
                <w:sz w:val="14"/>
                <w:szCs w:val="14"/>
              </w:rPr>
              <w:t>B. Celková medziročná zmena hrubého dlhu VS</w:t>
            </w:r>
          </w:p>
        </w:tc>
        <w:tc>
          <w:tcPr>
            <w:tcW w:w="836" w:type="dxa"/>
            <w:tcBorders>
              <w:top w:val="nil"/>
              <w:left w:val="single" w:sz="4" w:space="0" w:color="auto"/>
              <w:bottom w:val="single" w:sz="4" w:space="0" w:color="auto"/>
              <w:right w:val="single" w:sz="4" w:space="0" w:color="auto"/>
            </w:tcBorders>
            <w:shd w:val="clear" w:color="000000" w:fill="FFFFFF"/>
            <w:noWrap/>
            <w:vAlign w:val="center"/>
            <w:hideMark/>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570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758</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1 191</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1 455</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862</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407</w:t>
            </w:r>
          </w:p>
        </w:tc>
      </w:tr>
      <w:tr w:rsidR="00112053" w:rsidRPr="00B74217" w:rsidTr="00DD7B77">
        <w:trPr>
          <w:trHeight w:val="210"/>
          <w:jc w:val="center"/>
        </w:trPr>
        <w:tc>
          <w:tcPr>
            <w:tcW w:w="4056" w:type="dxa"/>
            <w:shd w:val="clear" w:color="auto" w:fill="auto"/>
            <w:noWrap/>
            <w:vAlign w:val="center"/>
            <w:hideMark/>
          </w:tcPr>
          <w:p w:rsidR="00112053" w:rsidRPr="00B74217" w:rsidRDefault="00112053" w:rsidP="00DD7B77">
            <w:pPr>
              <w:ind w:firstLineChars="100" w:firstLine="140"/>
              <w:rPr>
                <w:rFonts w:ascii="Times New Roman" w:hAnsi="Times New Roman" w:cs="Times New Roman"/>
                <w:sz w:val="14"/>
                <w:szCs w:val="14"/>
              </w:rPr>
            </w:pPr>
            <w:r w:rsidRPr="00B74217">
              <w:rPr>
                <w:rFonts w:ascii="Times New Roman" w:hAnsi="Times New Roman" w:cs="Times New Roman"/>
                <w:sz w:val="14"/>
                <w:szCs w:val="14"/>
              </w:rPr>
              <w:t xml:space="preserve"> - deficit ŠR na hotovostnom princípe</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1 933</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980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1 984</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1 973</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1 528</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1 585</w:t>
            </w:r>
          </w:p>
        </w:tc>
      </w:tr>
      <w:tr w:rsidR="00112053" w:rsidRPr="00B74217" w:rsidTr="00DD7B77">
        <w:trPr>
          <w:trHeight w:val="210"/>
          <w:jc w:val="center"/>
        </w:trPr>
        <w:tc>
          <w:tcPr>
            <w:tcW w:w="4056" w:type="dxa"/>
            <w:shd w:val="clear" w:color="auto" w:fill="auto"/>
            <w:vAlign w:val="center"/>
            <w:hideMark/>
          </w:tcPr>
          <w:p w:rsidR="00112053" w:rsidRPr="00B74217" w:rsidRDefault="00112053" w:rsidP="00DD7B77">
            <w:pPr>
              <w:ind w:firstLineChars="100" w:firstLine="140"/>
              <w:rPr>
                <w:rFonts w:ascii="Times New Roman" w:hAnsi="Times New Roman" w:cs="Times New Roman"/>
                <w:sz w:val="14"/>
                <w:szCs w:val="14"/>
              </w:rPr>
            </w:pPr>
            <w:r w:rsidRPr="00B74217">
              <w:rPr>
                <w:rFonts w:ascii="Times New Roman" w:hAnsi="Times New Roman" w:cs="Times New Roman"/>
                <w:sz w:val="14"/>
                <w:szCs w:val="14"/>
              </w:rPr>
              <w:t xml:space="preserve"> - prostriedky ŠP využité pre financovanie potrieb štátu</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-1 262</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20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-867</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-453</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-719</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-1 120</w:t>
            </w:r>
          </w:p>
        </w:tc>
      </w:tr>
      <w:tr w:rsidR="00112053" w:rsidRPr="00B74217" w:rsidTr="00DD7B77">
        <w:trPr>
          <w:trHeight w:val="210"/>
          <w:jc w:val="center"/>
        </w:trPr>
        <w:tc>
          <w:tcPr>
            <w:tcW w:w="4056" w:type="dxa"/>
            <w:shd w:val="clear" w:color="auto" w:fill="auto"/>
            <w:noWrap/>
            <w:vAlign w:val="center"/>
            <w:hideMark/>
          </w:tcPr>
          <w:p w:rsidR="00112053" w:rsidRPr="00B74217" w:rsidRDefault="00112053" w:rsidP="00DD7B77">
            <w:pPr>
              <w:ind w:firstLineChars="100" w:firstLine="140"/>
              <w:rPr>
                <w:rFonts w:ascii="Times New Roman" w:hAnsi="Times New Roman" w:cs="Times New Roman"/>
                <w:sz w:val="14"/>
                <w:szCs w:val="14"/>
              </w:rPr>
            </w:pPr>
            <w:r w:rsidRPr="00B74217">
              <w:rPr>
                <w:rFonts w:ascii="Times New Roman" w:hAnsi="Times New Roman" w:cs="Times New Roman"/>
                <w:sz w:val="14"/>
                <w:szCs w:val="14"/>
              </w:rPr>
              <w:t xml:space="preserve"> - podiel SR na dlhu EFSF</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-116</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r>
      <w:tr w:rsidR="00112053" w:rsidRPr="00B74217" w:rsidTr="00DD7B77">
        <w:trPr>
          <w:trHeight w:val="210"/>
          <w:jc w:val="center"/>
        </w:trPr>
        <w:tc>
          <w:tcPr>
            <w:tcW w:w="4056" w:type="dxa"/>
            <w:shd w:val="clear" w:color="auto" w:fill="auto"/>
            <w:noWrap/>
            <w:vAlign w:val="center"/>
            <w:hideMark/>
          </w:tcPr>
          <w:p w:rsidR="00112053" w:rsidRPr="00B74217" w:rsidRDefault="00112053" w:rsidP="00DD7B77">
            <w:pPr>
              <w:ind w:firstLineChars="100" w:firstLine="140"/>
              <w:rPr>
                <w:rFonts w:ascii="Times New Roman" w:hAnsi="Times New Roman" w:cs="Times New Roman"/>
                <w:sz w:val="14"/>
                <w:szCs w:val="14"/>
              </w:rPr>
            </w:pPr>
            <w:r w:rsidRPr="00B74217">
              <w:rPr>
                <w:rFonts w:ascii="Times New Roman" w:hAnsi="Times New Roman" w:cs="Times New Roman"/>
                <w:sz w:val="14"/>
                <w:szCs w:val="14"/>
              </w:rPr>
              <w:t xml:space="preserve"> - vklady Slovenska do ESM</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r>
      <w:tr w:rsidR="00112053" w:rsidRPr="00B74217" w:rsidTr="00DD7B77">
        <w:trPr>
          <w:trHeight w:val="210"/>
          <w:jc w:val="center"/>
        </w:trPr>
        <w:tc>
          <w:tcPr>
            <w:tcW w:w="4056" w:type="dxa"/>
            <w:shd w:val="clear" w:color="auto" w:fill="auto"/>
            <w:noWrap/>
            <w:vAlign w:val="center"/>
            <w:hideMark/>
          </w:tcPr>
          <w:p w:rsidR="00112053" w:rsidRPr="00B74217" w:rsidRDefault="00112053" w:rsidP="00DD7B77">
            <w:pPr>
              <w:ind w:firstLineChars="100" w:firstLine="140"/>
              <w:rPr>
                <w:rFonts w:ascii="Times New Roman" w:hAnsi="Times New Roman" w:cs="Times New Roman"/>
                <w:sz w:val="14"/>
                <w:szCs w:val="14"/>
              </w:rPr>
            </w:pPr>
            <w:r w:rsidRPr="00B74217">
              <w:rPr>
                <w:rFonts w:ascii="Times New Roman" w:hAnsi="Times New Roman" w:cs="Times New Roman"/>
                <w:sz w:val="14"/>
                <w:szCs w:val="14"/>
              </w:rPr>
              <w:t xml:space="preserve"> - emisný diskont</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18</w:t>
            </w:r>
          </w:p>
        </w:tc>
        <w:tc>
          <w:tcPr>
            <w:tcW w:w="836" w:type="dxa"/>
            <w:tcBorders>
              <w:top w:val="nil"/>
              <w:left w:val="nil"/>
              <w:bottom w:val="single" w:sz="4" w:space="0" w:color="auto"/>
              <w:right w:val="single" w:sz="4" w:space="0" w:color="auto"/>
            </w:tcBorders>
            <w:shd w:val="clear" w:color="auto" w:fill="auto"/>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44</w:t>
            </w:r>
          </w:p>
        </w:tc>
        <w:tc>
          <w:tcPr>
            <w:tcW w:w="836" w:type="dxa"/>
            <w:tcBorders>
              <w:top w:val="nil"/>
              <w:left w:val="nil"/>
              <w:bottom w:val="single" w:sz="4" w:space="0" w:color="auto"/>
              <w:right w:val="single" w:sz="4" w:space="0" w:color="auto"/>
            </w:tcBorders>
            <w:shd w:val="clear" w:color="auto" w:fill="auto"/>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89</w:t>
            </w:r>
          </w:p>
        </w:tc>
        <w:tc>
          <w:tcPr>
            <w:tcW w:w="836" w:type="dxa"/>
            <w:tcBorders>
              <w:top w:val="nil"/>
              <w:left w:val="nil"/>
              <w:bottom w:val="single" w:sz="4" w:space="0" w:color="auto"/>
              <w:right w:val="single" w:sz="4" w:space="0" w:color="auto"/>
            </w:tcBorders>
            <w:shd w:val="clear" w:color="auto" w:fill="auto"/>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51</w:t>
            </w:r>
          </w:p>
        </w:tc>
        <w:tc>
          <w:tcPr>
            <w:tcW w:w="836" w:type="dxa"/>
            <w:gridSpan w:val="2"/>
            <w:tcBorders>
              <w:top w:val="nil"/>
              <w:left w:val="nil"/>
              <w:bottom w:val="single" w:sz="4" w:space="0" w:color="auto"/>
              <w:right w:val="single" w:sz="4" w:space="0" w:color="auto"/>
            </w:tcBorders>
            <w:shd w:val="clear" w:color="auto" w:fill="auto"/>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171</w:t>
            </w:r>
          </w:p>
        </w:tc>
        <w:tc>
          <w:tcPr>
            <w:tcW w:w="836" w:type="dxa"/>
            <w:tcBorders>
              <w:top w:val="nil"/>
              <w:left w:val="nil"/>
              <w:bottom w:val="single" w:sz="4" w:space="0" w:color="auto"/>
              <w:right w:val="single" w:sz="4" w:space="0" w:color="auto"/>
            </w:tcBorders>
            <w:shd w:val="clear" w:color="auto" w:fill="auto"/>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121</w:t>
            </w:r>
          </w:p>
        </w:tc>
      </w:tr>
      <w:tr w:rsidR="00112053" w:rsidRPr="00B74217" w:rsidTr="00DD7B77">
        <w:trPr>
          <w:trHeight w:val="210"/>
          <w:jc w:val="center"/>
        </w:trPr>
        <w:tc>
          <w:tcPr>
            <w:tcW w:w="4056" w:type="dxa"/>
            <w:shd w:val="clear" w:color="auto" w:fill="auto"/>
            <w:noWrap/>
            <w:vAlign w:val="center"/>
            <w:hideMark/>
          </w:tcPr>
          <w:p w:rsidR="00112053" w:rsidRPr="00B74217" w:rsidRDefault="00112053" w:rsidP="00DD7B77">
            <w:pPr>
              <w:ind w:firstLineChars="100" w:firstLine="140"/>
              <w:rPr>
                <w:rFonts w:ascii="Times New Roman" w:hAnsi="Times New Roman" w:cs="Times New Roman"/>
                <w:sz w:val="14"/>
                <w:szCs w:val="14"/>
              </w:rPr>
            </w:pPr>
            <w:r w:rsidRPr="00B74217">
              <w:rPr>
                <w:rFonts w:ascii="Times New Roman" w:hAnsi="Times New Roman" w:cs="Times New Roman"/>
                <w:sz w:val="14"/>
                <w:szCs w:val="14"/>
              </w:rPr>
              <w:t xml:space="preserve"> - diskont pri splatnosti</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-86</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-61</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-63</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-7</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-59</w:t>
            </w:r>
          </w:p>
        </w:tc>
      </w:tr>
      <w:tr w:rsidR="00112053" w:rsidRPr="00B74217" w:rsidTr="00DD7B77">
        <w:trPr>
          <w:trHeight w:val="210"/>
          <w:jc w:val="center"/>
        </w:trPr>
        <w:tc>
          <w:tcPr>
            <w:tcW w:w="4056" w:type="dxa"/>
            <w:shd w:val="clear" w:color="auto" w:fill="auto"/>
            <w:noWrap/>
            <w:vAlign w:val="center"/>
            <w:hideMark/>
          </w:tcPr>
          <w:p w:rsidR="00112053" w:rsidRPr="00B74217" w:rsidRDefault="00112053" w:rsidP="00DD7B77">
            <w:pPr>
              <w:ind w:firstLineChars="100" w:firstLine="140"/>
              <w:rPr>
                <w:rFonts w:ascii="Times New Roman" w:hAnsi="Times New Roman" w:cs="Times New Roman"/>
                <w:sz w:val="14"/>
                <w:szCs w:val="14"/>
              </w:rPr>
            </w:pPr>
            <w:r w:rsidRPr="00B74217">
              <w:rPr>
                <w:rFonts w:ascii="Times New Roman" w:hAnsi="Times New Roman" w:cs="Times New Roman"/>
                <w:sz w:val="14"/>
                <w:szCs w:val="14"/>
              </w:rPr>
              <w:t xml:space="preserve"> - zadlženie ostatných subjektov VS</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24</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-93</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52</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-110</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-117</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-122</w:t>
            </w:r>
          </w:p>
        </w:tc>
      </w:tr>
      <w:tr w:rsidR="00112053" w:rsidRPr="00B74217" w:rsidTr="00DD7B77">
        <w:trPr>
          <w:trHeight w:val="210"/>
          <w:jc w:val="center"/>
        </w:trPr>
        <w:tc>
          <w:tcPr>
            <w:tcW w:w="4056" w:type="dxa"/>
            <w:shd w:val="clear" w:color="auto" w:fill="auto"/>
            <w:noWrap/>
            <w:vAlign w:val="center"/>
            <w:hideMark/>
          </w:tcPr>
          <w:p w:rsidR="00112053" w:rsidRPr="00B74217" w:rsidRDefault="00112053" w:rsidP="00DD7B77">
            <w:pPr>
              <w:ind w:firstLineChars="300" w:firstLine="420"/>
              <w:rPr>
                <w:rFonts w:ascii="Times New Roman" w:hAnsi="Times New Roman" w:cs="Times New Roman"/>
                <w:sz w:val="14"/>
                <w:szCs w:val="14"/>
              </w:rPr>
            </w:pPr>
            <w:r w:rsidRPr="00B74217">
              <w:rPr>
                <w:rFonts w:ascii="Times New Roman" w:hAnsi="Times New Roman" w:cs="Times New Roman"/>
                <w:sz w:val="14"/>
                <w:szCs w:val="14"/>
              </w:rPr>
              <w:t>z toho: ŽSR</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8</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r>
      <w:tr w:rsidR="00112053" w:rsidRPr="00B74217" w:rsidTr="00DD7B77">
        <w:trPr>
          <w:trHeight w:val="210"/>
          <w:jc w:val="center"/>
        </w:trPr>
        <w:tc>
          <w:tcPr>
            <w:tcW w:w="4056" w:type="dxa"/>
            <w:shd w:val="clear" w:color="auto" w:fill="auto"/>
            <w:noWrap/>
            <w:vAlign w:val="center"/>
          </w:tcPr>
          <w:p w:rsidR="00112053" w:rsidRPr="00B74217" w:rsidRDefault="00112053" w:rsidP="00DD7B77">
            <w:pPr>
              <w:ind w:firstLineChars="300" w:firstLine="420"/>
              <w:rPr>
                <w:rFonts w:ascii="Times New Roman" w:hAnsi="Times New Roman" w:cs="Times New Roman"/>
                <w:sz w:val="14"/>
                <w:szCs w:val="14"/>
              </w:rPr>
            </w:pPr>
            <w:r w:rsidRPr="00B74217">
              <w:rPr>
                <w:rFonts w:ascii="Times New Roman" w:hAnsi="Times New Roman" w:cs="Times New Roman"/>
                <w:sz w:val="14"/>
                <w:szCs w:val="14"/>
              </w:rPr>
              <w:t>z toho: ŽSSK</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-9</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32</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33</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7</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17</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18</w:t>
            </w:r>
          </w:p>
        </w:tc>
      </w:tr>
      <w:tr w:rsidR="00112053" w:rsidRPr="00B74217" w:rsidTr="00DD7B77">
        <w:trPr>
          <w:trHeight w:val="210"/>
          <w:jc w:val="center"/>
        </w:trPr>
        <w:tc>
          <w:tcPr>
            <w:tcW w:w="4056" w:type="dxa"/>
            <w:shd w:val="clear" w:color="auto" w:fill="auto"/>
            <w:noWrap/>
            <w:vAlign w:val="center"/>
            <w:hideMark/>
          </w:tcPr>
          <w:p w:rsidR="00112053" w:rsidRPr="00B74217" w:rsidRDefault="00112053" w:rsidP="00DD7B77">
            <w:pPr>
              <w:ind w:firstLineChars="300" w:firstLine="420"/>
              <w:rPr>
                <w:rFonts w:ascii="Times New Roman" w:hAnsi="Times New Roman" w:cs="Times New Roman"/>
                <w:sz w:val="14"/>
                <w:szCs w:val="14"/>
              </w:rPr>
            </w:pPr>
            <w:r w:rsidRPr="00B74217">
              <w:rPr>
                <w:rFonts w:ascii="Times New Roman" w:hAnsi="Times New Roman" w:cs="Times New Roman"/>
                <w:sz w:val="14"/>
                <w:szCs w:val="14"/>
              </w:rPr>
              <w:t>z toho: NDS</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-77</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-40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69</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-37</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-37</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-37</w:t>
            </w:r>
          </w:p>
        </w:tc>
      </w:tr>
      <w:tr w:rsidR="00112053" w:rsidRPr="00B74217" w:rsidTr="00DD7B77">
        <w:trPr>
          <w:trHeight w:val="210"/>
          <w:jc w:val="center"/>
        </w:trPr>
        <w:tc>
          <w:tcPr>
            <w:tcW w:w="4056" w:type="dxa"/>
            <w:shd w:val="clear" w:color="auto" w:fill="auto"/>
            <w:noWrap/>
            <w:vAlign w:val="center"/>
            <w:hideMark/>
          </w:tcPr>
          <w:p w:rsidR="00112053" w:rsidRPr="00B74217" w:rsidRDefault="00112053" w:rsidP="00DD7B77">
            <w:pPr>
              <w:ind w:firstLineChars="300" w:firstLine="420"/>
              <w:rPr>
                <w:rFonts w:ascii="Times New Roman" w:hAnsi="Times New Roman" w:cs="Times New Roman"/>
                <w:sz w:val="14"/>
                <w:szCs w:val="14"/>
              </w:rPr>
            </w:pPr>
            <w:r w:rsidRPr="00B74217">
              <w:rPr>
                <w:rFonts w:ascii="Times New Roman" w:hAnsi="Times New Roman" w:cs="Times New Roman"/>
                <w:sz w:val="14"/>
                <w:szCs w:val="14"/>
              </w:rPr>
              <w:t>z toho: EOSA</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r>
      <w:tr w:rsidR="00112053" w:rsidRPr="00B74217" w:rsidTr="00DD7B77">
        <w:trPr>
          <w:trHeight w:val="210"/>
          <w:jc w:val="center"/>
        </w:trPr>
        <w:tc>
          <w:tcPr>
            <w:tcW w:w="4056" w:type="dxa"/>
            <w:shd w:val="clear" w:color="auto" w:fill="auto"/>
            <w:noWrap/>
            <w:vAlign w:val="center"/>
            <w:hideMark/>
          </w:tcPr>
          <w:p w:rsidR="00112053" w:rsidRPr="00B74217" w:rsidRDefault="00112053" w:rsidP="00DD7B77">
            <w:pPr>
              <w:ind w:firstLineChars="300" w:firstLine="420"/>
              <w:rPr>
                <w:rFonts w:ascii="Times New Roman" w:hAnsi="Times New Roman" w:cs="Times New Roman"/>
                <w:sz w:val="14"/>
                <w:szCs w:val="14"/>
              </w:rPr>
            </w:pPr>
            <w:r>
              <w:rPr>
                <w:rFonts w:ascii="Times New Roman" w:hAnsi="Times New Roman" w:cs="Times New Roman"/>
                <w:sz w:val="14"/>
                <w:szCs w:val="14"/>
              </w:rPr>
              <w:t>z toho: D</w:t>
            </w:r>
            <w:r w:rsidRPr="00B74217">
              <w:rPr>
                <w:rFonts w:ascii="Times New Roman" w:hAnsi="Times New Roman" w:cs="Times New Roman"/>
                <w:sz w:val="14"/>
                <w:szCs w:val="14"/>
              </w:rPr>
              <w:t>opravné podniky obcí</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33</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-23</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-3</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-8</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-13</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-14</w:t>
            </w:r>
          </w:p>
        </w:tc>
      </w:tr>
      <w:tr w:rsidR="00112053" w:rsidRPr="00B74217" w:rsidTr="00DD7B77">
        <w:trPr>
          <w:trHeight w:val="210"/>
          <w:jc w:val="center"/>
        </w:trPr>
        <w:tc>
          <w:tcPr>
            <w:tcW w:w="4056" w:type="dxa"/>
            <w:shd w:val="clear" w:color="auto" w:fill="auto"/>
            <w:noWrap/>
            <w:vAlign w:val="center"/>
          </w:tcPr>
          <w:p w:rsidR="00112053" w:rsidRPr="00B74217" w:rsidRDefault="00112053" w:rsidP="00DD7B77">
            <w:pPr>
              <w:ind w:firstLineChars="300" w:firstLine="420"/>
              <w:rPr>
                <w:rFonts w:ascii="Times New Roman" w:hAnsi="Times New Roman" w:cs="Times New Roman"/>
                <w:sz w:val="14"/>
                <w:szCs w:val="14"/>
              </w:rPr>
            </w:pPr>
            <w:r w:rsidRPr="00B74217">
              <w:rPr>
                <w:rFonts w:ascii="Times New Roman" w:hAnsi="Times New Roman" w:cs="Times New Roman"/>
                <w:sz w:val="14"/>
                <w:szCs w:val="14"/>
              </w:rPr>
              <w:t>z toho</w:t>
            </w:r>
            <w:r>
              <w:rPr>
                <w:rFonts w:ascii="Times New Roman" w:hAnsi="Times New Roman" w:cs="Times New Roman"/>
                <w:sz w:val="14"/>
                <w:szCs w:val="14"/>
              </w:rPr>
              <w:t>: Obce</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138</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-40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-74</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-88</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-86</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-83</w:t>
            </w:r>
          </w:p>
        </w:tc>
      </w:tr>
      <w:tr w:rsidR="00112053" w:rsidRPr="00B74217" w:rsidTr="00DD7B77">
        <w:trPr>
          <w:trHeight w:val="210"/>
          <w:jc w:val="center"/>
        </w:trPr>
        <w:tc>
          <w:tcPr>
            <w:tcW w:w="4056" w:type="dxa"/>
            <w:shd w:val="clear" w:color="auto" w:fill="auto"/>
            <w:noWrap/>
            <w:vAlign w:val="center"/>
          </w:tcPr>
          <w:p w:rsidR="00112053" w:rsidRPr="00B74217" w:rsidRDefault="00112053" w:rsidP="00DD7B77">
            <w:pPr>
              <w:ind w:firstLineChars="300" w:firstLine="420"/>
              <w:rPr>
                <w:rFonts w:ascii="Times New Roman" w:hAnsi="Times New Roman" w:cs="Times New Roman"/>
                <w:sz w:val="14"/>
                <w:szCs w:val="14"/>
              </w:rPr>
            </w:pPr>
            <w:r>
              <w:rPr>
                <w:rFonts w:ascii="Times New Roman" w:hAnsi="Times New Roman" w:cs="Times New Roman"/>
                <w:sz w:val="14"/>
                <w:szCs w:val="14"/>
              </w:rPr>
              <w:t>z toho: VÚC</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6</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-22</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r>
      <w:tr w:rsidR="00112053" w:rsidRPr="00B74217" w:rsidTr="00DD7B77">
        <w:trPr>
          <w:trHeight w:val="210"/>
          <w:jc w:val="center"/>
        </w:trPr>
        <w:tc>
          <w:tcPr>
            <w:tcW w:w="4056" w:type="dxa"/>
            <w:shd w:val="clear" w:color="auto" w:fill="auto"/>
            <w:noWrap/>
            <w:vAlign w:val="center"/>
          </w:tcPr>
          <w:p w:rsidR="00112053" w:rsidRDefault="00112053" w:rsidP="00DD7B77">
            <w:pPr>
              <w:ind w:firstLineChars="300" w:firstLine="420"/>
              <w:rPr>
                <w:rFonts w:ascii="Times New Roman" w:hAnsi="Times New Roman" w:cs="Times New Roman"/>
                <w:sz w:val="14"/>
                <w:szCs w:val="14"/>
              </w:rPr>
            </w:pPr>
            <w:r>
              <w:rPr>
                <w:rFonts w:ascii="Times New Roman" w:hAnsi="Times New Roman" w:cs="Times New Roman"/>
                <w:sz w:val="14"/>
                <w:szCs w:val="14"/>
              </w:rPr>
              <w:t>z toho: Eximbanka</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-65</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3</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20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r>
      <w:tr w:rsidR="00112053" w:rsidRPr="00B74217" w:rsidTr="00DD7B77">
        <w:trPr>
          <w:trHeight w:val="210"/>
          <w:jc w:val="center"/>
        </w:trPr>
        <w:tc>
          <w:tcPr>
            <w:tcW w:w="4056" w:type="dxa"/>
            <w:shd w:val="clear" w:color="auto" w:fill="auto"/>
            <w:noWrap/>
            <w:vAlign w:val="center"/>
            <w:hideMark/>
          </w:tcPr>
          <w:p w:rsidR="00112053" w:rsidRPr="00B74217" w:rsidRDefault="00112053" w:rsidP="00DD7B77">
            <w:pPr>
              <w:ind w:firstLineChars="100" w:firstLine="140"/>
              <w:rPr>
                <w:rFonts w:ascii="Times New Roman" w:hAnsi="Times New Roman" w:cs="Times New Roman"/>
                <w:sz w:val="14"/>
                <w:szCs w:val="14"/>
              </w:rPr>
            </w:pPr>
            <w:r w:rsidRPr="00B74217">
              <w:rPr>
                <w:rFonts w:ascii="Times New Roman" w:hAnsi="Times New Roman" w:cs="Times New Roman"/>
                <w:sz w:val="14"/>
                <w:szCs w:val="14"/>
              </w:rPr>
              <w:t xml:space="preserve"> - ostatné</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60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-132</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-5</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sz w:val="14"/>
                <w:szCs w:val="14"/>
              </w:rPr>
            </w:pPr>
            <w:r w:rsidRPr="003D6D0F">
              <w:rPr>
                <w:rFonts w:ascii="Times New Roman" w:hAnsi="Times New Roman" w:cs="Times New Roman"/>
                <w:sz w:val="14"/>
                <w:szCs w:val="14"/>
              </w:rPr>
              <w:t>1</w:t>
            </w:r>
          </w:p>
        </w:tc>
      </w:tr>
      <w:tr w:rsidR="00112053" w:rsidRPr="00B74217" w:rsidTr="00DD7B77">
        <w:trPr>
          <w:trHeight w:val="210"/>
          <w:jc w:val="center"/>
        </w:trPr>
        <w:tc>
          <w:tcPr>
            <w:tcW w:w="4056" w:type="dxa"/>
            <w:shd w:val="clear" w:color="auto" w:fill="auto"/>
            <w:noWrap/>
            <w:vAlign w:val="center"/>
            <w:hideMark/>
          </w:tcPr>
          <w:p w:rsidR="00112053" w:rsidRPr="00B74217" w:rsidRDefault="00112053" w:rsidP="00DD7B77">
            <w:pPr>
              <w:rPr>
                <w:rFonts w:ascii="Times New Roman" w:hAnsi="Times New Roman" w:cs="Times New Roman"/>
                <w:b/>
                <w:bCs/>
                <w:sz w:val="14"/>
                <w:szCs w:val="14"/>
              </w:rPr>
            </w:pPr>
            <w:r w:rsidRPr="00B74217">
              <w:rPr>
                <w:rFonts w:ascii="Times New Roman" w:hAnsi="Times New Roman" w:cs="Times New Roman"/>
                <w:b/>
                <w:bCs/>
                <w:sz w:val="14"/>
                <w:szCs w:val="14"/>
              </w:rPr>
              <w:t>C. Hrubý dlh verejnej správy (k 31.12.)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41 295</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42 053</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43 244</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44 699</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45 561</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45 968</w:t>
            </w:r>
          </w:p>
        </w:tc>
      </w:tr>
      <w:tr w:rsidR="00112053" w:rsidRPr="00B74217" w:rsidTr="00DD7B77">
        <w:trPr>
          <w:trHeight w:val="210"/>
          <w:jc w:val="center"/>
        </w:trPr>
        <w:tc>
          <w:tcPr>
            <w:tcW w:w="4056" w:type="dxa"/>
            <w:tcBorders>
              <w:bottom w:val="single" w:sz="4" w:space="0" w:color="auto"/>
            </w:tcBorders>
            <w:shd w:val="clear" w:color="auto" w:fill="auto"/>
            <w:noWrap/>
            <w:vAlign w:val="center"/>
            <w:hideMark/>
          </w:tcPr>
          <w:p w:rsidR="00112053" w:rsidRPr="00B74217" w:rsidRDefault="00112053" w:rsidP="00DD7B77">
            <w:pPr>
              <w:ind w:firstLineChars="100" w:firstLine="141"/>
              <w:rPr>
                <w:rFonts w:ascii="Times New Roman" w:hAnsi="Times New Roman" w:cs="Times New Roman"/>
                <w:b/>
                <w:bCs/>
                <w:sz w:val="14"/>
                <w:szCs w:val="14"/>
              </w:rPr>
            </w:pPr>
            <w:r w:rsidRPr="00B74217">
              <w:rPr>
                <w:rFonts w:ascii="Times New Roman" w:hAnsi="Times New Roman" w:cs="Times New Roman"/>
                <w:b/>
                <w:bCs/>
                <w:sz w:val="14"/>
                <w:szCs w:val="14"/>
              </w:rPr>
              <w:t>v % HDP</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52,5</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51,9</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51,1</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49,9</w:t>
            </w:r>
          </w:p>
        </w:tc>
        <w:tc>
          <w:tcPr>
            <w:tcW w:w="836" w:type="dxa"/>
            <w:gridSpan w:val="2"/>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47,8</w:t>
            </w:r>
          </w:p>
        </w:tc>
        <w:tc>
          <w:tcPr>
            <w:tcW w:w="836" w:type="dxa"/>
            <w:tcBorders>
              <w:top w:val="nil"/>
              <w:left w:val="nil"/>
              <w:bottom w:val="single" w:sz="4" w:space="0" w:color="auto"/>
              <w:right w:val="single" w:sz="4" w:space="0" w:color="auto"/>
            </w:tcBorders>
            <w:shd w:val="clear" w:color="auto" w:fill="auto"/>
            <w:noWrap/>
            <w:vAlign w:val="center"/>
          </w:tcPr>
          <w:p w:rsidR="00112053" w:rsidRPr="003D6D0F" w:rsidRDefault="00112053" w:rsidP="00DD7B77">
            <w:pPr>
              <w:jc w:val="right"/>
              <w:rPr>
                <w:rFonts w:ascii="Times New Roman" w:hAnsi="Times New Roman" w:cs="Times New Roman"/>
                <w:b/>
                <w:bCs/>
                <w:sz w:val="14"/>
                <w:szCs w:val="14"/>
              </w:rPr>
            </w:pPr>
            <w:r w:rsidRPr="003D6D0F">
              <w:rPr>
                <w:rFonts w:ascii="Times New Roman" w:hAnsi="Times New Roman" w:cs="Times New Roman"/>
                <w:b/>
                <w:bCs/>
                <w:sz w:val="14"/>
                <w:szCs w:val="14"/>
              </w:rPr>
              <w:t>45,5</w:t>
            </w:r>
          </w:p>
        </w:tc>
      </w:tr>
      <w:tr w:rsidR="00112053" w:rsidRPr="00B74217" w:rsidTr="00DD7B77">
        <w:trPr>
          <w:trHeight w:val="210"/>
          <w:jc w:val="center"/>
        </w:trPr>
        <w:tc>
          <w:tcPr>
            <w:tcW w:w="7513" w:type="dxa"/>
            <w:gridSpan w:val="6"/>
            <w:tcBorders>
              <w:top w:val="single" w:sz="4" w:space="0" w:color="auto"/>
              <w:left w:val="nil"/>
              <w:bottom w:val="nil"/>
              <w:right w:val="nil"/>
            </w:tcBorders>
            <w:shd w:val="clear" w:color="auto" w:fill="auto"/>
            <w:noWrap/>
            <w:vAlign w:val="center"/>
            <w:hideMark/>
          </w:tcPr>
          <w:p w:rsidR="00112053" w:rsidRPr="00B74217" w:rsidRDefault="00112053" w:rsidP="00DD7B77">
            <w:pPr>
              <w:rPr>
                <w:rFonts w:ascii="Times New Roman" w:hAnsi="Times New Roman" w:cs="Times New Roman"/>
                <w:i/>
                <w:iCs/>
                <w:sz w:val="14"/>
                <w:szCs w:val="14"/>
              </w:rPr>
            </w:pPr>
            <w:r w:rsidRPr="00B74217">
              <w:rPr>
                <w:rFonts w:ascii="Times New Roman" w:hAnsi="Times New Roman" w:cs="Times New Roman"/>
                <w:i/>
                <w:iCs/>
                <w:sz w:val="14"/>
                <w:szCs w:val="14"/>
              </w:rPr>
              <w:t>Pozn.: Plusové polo</w:t>
            </w:r>
            <w:r>
              <w:rPr>
                <w:rFonts w:ascii="Times New Roman" w:hAnsi="Times New Roman" w:cs="Times New Roman"/>
                <w:i/>
                <w:iCs/>
                <w:sz w:val="14"/>
                <w:szCs w:val="14"/>
              </w:rPr>
              <w:t>žky zvyšujú dlh verejnej správy</w:t>
            </w:r>
            <w:r w:rsidRPr="00B74217">
              <w:rPr>
                <w:rFonts w:ascii="Times New Roman" w:hAnsi="Times New Roman" w:cs="Times New Roman"/>
                <w:i/>
                <w:iCs/>
                <w:sz w:val="14"/>
                <w:szCs w:val="14"/>
              </w:rPr>
              <w:t xml:space="preserve"> k 31.12. príslušného roku, mínusové položky dlh znižujú.</w:t>
            </w:r>
          </w:p>
        </w:tc>
        <w:tc>
          <w:tcPr>
            <w:tcW w:w="1559" w:type="dxa"/>
            <w:gridSpan w:val="2"/>
            <w:tcBorders>
              <w:top w:val="single" w:sz="4" w:space="0" w:color="auto"/>
              <w:left w:val="nil"/>
              <w:bottom w:val="nil"/>
              <w:right w:val="nil"/>
            </w:tcBorders>
            <w:shd w:val="clear" w:color="auto" w:fill="auto"/>
            <w:vAlign w:val="center"/>
          </w:tcPr>
          <w:p w:rsidR="00112053" w:rsidRPr="00B74217" w:rsidRDefault="00112053" w:rsidP="00DD7B77">
            <w:pPr>
              <w:jc w:val="right"/>
              <w:rPr>
                <w:rFonts w:ascii="Times New Roman" w:hAnsi="Times New Roman" w:cs="Times New Roman"/>
                <w:i/>
                <w:iCs/>
                <w:sz w:val="14"/>
                <w:szCs w:val="14"/>
              </w:rPr>
            </w:pPr>
            <w:r w:rsidRPr="00B74217">
              <w:rPr>
                <w:rFonts w:ascii="Times New Roman" w:hAnsi="Times New Roman" w:cs="Times New Roman"/>
                <w:i/>
                <w:iCs/>
                <w:sz w:val="14"/>
                <w:szCs w:val="14"/>
              </w:rPr>
              <w:t>Zdroj: MF SR</w:t>
            </w:r>
          </w:p>
        </w:tc>
      </w:tr>
    </w:tbl>
    <w:p w:rsidR="00357D21" w:rsidRDefault="00357D21" w:rsidP="00357D21">
      <w:pPr>
        <w:pStyle w:val="Nadpis1"/>
        <w:keepNext w:val="0"/>
        <w:spacing w:before="0"/>
        <w:rPr>
          <w:rFonts w:ascii="Times New Roman" w:hAnsi="Times New Roman"/>
          <w:sz w:val="28"/>
          <w:szCs w:val="28"/>
        </w:rPr>
      </w:pPr>
    </w:p>
    <w:p w:rsidR="00357D21" w:rsidRDefault="00357D21" w:rsidP="00357D21"/>
    <w:p w:rsidR="00D25480" w:rsidRDefault="00D25480" w:rsidP="00D25480">
      <w:pPr>
        <w:pStyle w:val="Nadpis1"/>
        <w:keepNext w:val="0"/>
        <w:spacing w:before="0"/>
        <w:rPr>
          <w:rFonts w:ascii="Times New Roman" w:hAnsi="Times New Roman"/>
          <w:sz w:val="28"/>
          <w:szCs w:val="28"/>
        </w:rPr>
      </w:pPr>
    </w:p>
    <w:p w:rsidR="009C536E" w:rsidRPr="00AE239D" w:rsidRDefault="00044D70" w:rsidP="009C536E">
      <w:pPr>
        <w:pStyle w:val="Nadpis1"/>
        <w:spacing w:before="0"/>
        <w:rPr>
          <w:rFonts w:ascii="Times New Roman" w:hAnsi="Times New Roman"/>
          <w:sz w:val="28"/>
          <w:szCs w:val="28"/>
        </w:rPr>
      </w:pPr>
      <w:bookmarkStart w:id="27" w:name="_Toc494463963"/>
      <w:r w:rsidRPr="00AE239D">
        <w:rPr>
          <w:rFonts w:ascii="Times New Roman" w:hAnsi="Times New Roman"/>
          <w:sz w:val="28"/>
          <w:szCs w:val="28"/>
        </w:rPr>
        <w:lastRenderedPageBreak/>
        <w:t>3</w:t>
      </w:r>
      <w:r w:rsidR="009C536E" w:rsidRPr="00AE239D">
        <w:rPr>
          <w:rFonts w:ascii="Times New Roman" w:hAnsi="Times New Roman"/>
          <w:sz w:val="28"/>
          <w:szCs w:val="28"/>
        </w:rPr>
        <w:t xml:space="preserve">. </w:t>
      </w:r>
      <w:bookmarkStart w:id="28" w:name="_Toc273148230"/>
      <w:bookmarkStart w:id="29" w:name="_Toc273950830"/>
      <w:r w:rsidR="009C536E" w:rsidRPr="00AE239D">
        <w:rPr>
          <w:rFonts w:ascii="Times New Roman" w:hAnsi="Times New Roman"/>
          <w:sz w:val="28"/>
          <w:szCs w:val="28"/>
        </w:rPr>
        <w:t xml:space="preserve">Rozpočtovanie príjmov </w:t>
      </w:r>
      <w:bookmarkEnd w:id="28"/>
      <w:bookmarkEnd w:id="29"/>
      <w:r w:rsidR="009C536E" w:rsidRPr="00AE239D">
        <w:rPr>
          <w:rFonts w:ascii="Times New Roman" w:hAnsi="Times New Roman"/>
          <w:sz w:val="28"/>
          <w:szCs w:val="28"/>
        </w:rPr>
        <w:t>verejnej správy</w:t>
      </w:r>
      <w:bookmarkEnd w:id="27"/>
    </w:p>
    <w:p w:rsidR="00AE239D" w:rsidRPr="00773579" w:rsidRDefault="00AE239D" w:rsidP="00AE239D">
      <w:pPr>
        <w:keepNext/>
        <w:spacing w:before="240" w:after="60"/>
        <w:outlineLvl w:val="1"/>
        <w:rPr>
          <w:rFonts w:ascii="Times New Roman" w:hAnsi="Times New Roman" w:cs="Times New Roman"/>
          <w:b/>
          <w:bCs/>
        </w:rPr>
      </w:pPr>
      <w:bookmarkStart w:id="30" w:name="_Toc463049696"/>
      <w:bookmarkStart w:id="31" w:name="_Toc494463964"/>
      <w:r w:rsidRPr="00773579">
        <w:rPr>
          <w:rFonts w:ascii="Times New Roman" w:hAnsi="Times New Roman" w:cs="Times New Roman"/>
          <w:b/>
          <w:bCs/>
        </w:rPr>
        <w:t>3.1. Rozpočtovanie daňových a odvodových príjmov verejnej správy</w:t>
      </w:r>
      <w:bookmarkEnd w:id="30"/>
      <w:bookmarkEnd w:id="31"/>
    </w:p>
    <w:p w:rsidR="00434822" w:rsidRDefault="00434822" w:rsidP="009769EF">
      <w:pPr>
        <w:ind w:firstLine="708"/>
        <w:jc w:val="both"/>
        <w:rPr>
          <w:rFonts w:ascii="Times New Roman" w:hAnsi="Times New Roman" w:cs="Times New Roman"/>
        </w:rPr>
      </w:pPr>
    </w:p>
    <w:p w:rsidR="009769EF" w:rsidRPr="00EF4FE8" w:rsidRDefault="009769EF" w:rsidP="009769EF">
      <w:pPr>
        <w:ind w:firstLine="708"/>
        <w:jc w:val="both"/>
        <w:rPr>
          <w:rFonts w:ascii="Times New Roman" w:hAnsi="Times New Roman" w:cs="Times New Roman"/>
        </w:rPr>
      </w:pPr>
      <w:r w:rsidRPr="00EF4FE8">
        <w:rPr>
          <w:rFonts w:ascii="Times New Roman" w:hAnsi="Times New Roman" w:cs="Times New Roman"/>
        </w:rPr>
        <w:t>Makroekonomické predpoklady uvedené v predchádzajúcej časti tohto dokumentu boli základom pre vypracovanie aktuálnych prognóz daňových príjmov verejnej správy na roky</w:t>
      </w:r>
      <w:r w:rsidRPr="00D650A5">
        <w:rPr>
          <w:rFonts w:ascii="Times New Roman" w:hAnsi="Times New Roman" w:cs="Times New Roman"/>
        </w:rPr>
        <w:t xml:space="preserve"> 201</w:t>
      </w:r>
      <w:r>
        <w:rPr>
          <w:rFonts w:ascii="Times New Roman" w:hAnsi="Times New Roman" w:cs="Times New Roman"/>
        </w:rPr>
        <w:t>8</w:t>
      </w:r>
      <w:r w:rsidRPr="00D650A5">
        <w:rPr>
          <w:rFonts w:ascii="Times New Roman" w:hAnsi="Times New Roman" w:cs="Times New Roman"/>
        </w:rPr>
        <w:t xml:space="preserve"> až 20</w:t>
      </w:r>
      <w:r>
        <w:rPr>
          <w:rFonts w:ascii="Times New Roman" w:hAnsi="Times New Roman" w:cs="Times New Roman"/>
        </w:rPr>
        <w:t>20</w:t>
      </w:r>
      <w:r w:rsidRPr="00D650A5">
        <w:rPr>
          <w:rFonts w:ascii="Times New Roman" w:hAnsi="Times New Roman" w:cs="Times New Roman"/>
        </w:rPr>
        <w:t>. Aktuálna prognóza bola podrobená hodnoteniu v rámci Výboru pre daňové prognózy dňa 2</w:t>
      </w:r>
      <w:r>
        <w:rPr>
          <w:rFonts w:ascii="Times New Roman" w:hAnsi="Times New Roman" w:cs="Times New Roman"/>
        </w:rPr>
        <w:t>1</w:t>
      </w:r>
      <w:r w:rsidRPr="00D650A5">
        <w:rPr>
          <w:rFonts w:ascii="Times New Roman" w:hAnsi="Times New Roman" w:cs="Times New Roman"/>
        </w:rPr>
        <w:t xml:space="preserve">. </w:t>
      </w:r>
      <w:r>
        <w:rPr>
          <w:rFonts w:ascii="Times New Roman" w:hAnsi="Times New Roman" w:cs="Times New Roman"/>
        </w:rPr>
        <w:t>septembra</w:t>
      </w:r>
      <w:r w:rsidRPr="00D650A5">
        <w:rPr>
          <w:rFonts w:ascii="Times New Roman" w:hAnsi="Times New Roman" w:cs="Times New Roman"/>
        </w:rPr>
        <w:t xml:space="preserve"> 201</w:t>
      </w:r>
      <w:r>
        <w:rPr>
          <w:rFonts w:ascii="Times New Roman" w:hAnsi="Times New Roman" w:cs="Times New Roman"/>
        </w:rPr>
        <w:t>7</w:t>
      </w:r>
      <w:r w:rsidRPr="00D650A5">
        <w:rPr>
          <w:rFonts w:ascii="Times New Roman" w:hAnsi="Times New Roman" w:cs="Times New Roman"/>
        </w:rPr>
        <w:t xml:space="preserve">. Výsledkom je celkové hodnotenie charakteru prognózy </w:t>
      </w:r>
      <w:r w:rsidR="00434822">
        <w:rPr>
          <w:rFonts w:ascii="Times New Roman" w:hAnsi="Times New Roman" w:cs="Times New Roman"/>
        </w:rPr>
        <w:t>Ministerstva financií</w:t>
      </w:r>
      <w:r w:rsidRPr="00D650A5">
        <w:rPr>
          <w:rFonts w:ascii="Times New Roman" w:hAnsi="Times New Roman" w:cs="Times New Roman"/>
        </w:rPr>
        <w:t xml:space="preserve"> SR na základe stanoveného kritéria</w:t>
      </w:r>
      <w:r w:rsidRPr="00D650A5">
        <w:rPr>
          <w:rStyle w:val="Odkaznapoznmkupodiarou"/>
          <w:rFonts w:ascii="Times New Roman" w:hAnsi="Times New Roman"/>
        </w:rPr>
        <w:footnoteReference w:id="8"/>
      </w:r>
      <w:r w:rsidRPr="00D650A5">
        <w:rPr>
          <w:rFonts w:ascii="Times New Roman" w:hAnsi="Times New Roman" w:cs="Times New Roman"/>
        </w:rPr>
        <w:t xml:space="preserve">. Strednodobá prognóza daňových príjmov a sociálnych odvodov </w:t>
      </w:r>
      <w:r w:rsidR="00434822">
        <w:rPr>
          <w:rFonts w:ascii="Times New Roman" w:hAnsi="Times New Roman" w:cs="Times New Roman"/>
        </w:rPr>
        <w:t>Ministerstva financií</w:t>
      </w:r>
      <w:r w:rsidRPr="00D650A5">
        <w:rPr>
          <w:rFonts w:ascii="Times New Roman" w:hAnsi="Times New Roman" w:cs="Times New Roman"/>
        </w:rPr>
        <w:t xml:space="preserve"> SR bola všetkými členmi </w:t>
      </w:r>
      <w:r w:rsidRPr="00EF4FE8">
        <w:rPr>
          <w:rFonts w:ascii="Times New Roman" w:hAnsi="Times New Roman" w:cs="Times New Roman"/>
        </w:rPr>
        <w:t xml:space="preserve">Výboru označená ako </w:t>
      </w:r>
      <w:r w:rsidRPr="00EF4FE8">
        <w:rPr>
          <w:rFonts w:ascii="Times New Roman" w:hAnsi="Times New Roman" w:cs="Times New Roman"/>
          <w:b/>
          <w:bCs/>
        </w:rPr>
        <w:t>realistická</w:t>
      </w:r>
      <w:r w:rsidRPr="00EF4FE8">
        <w:rPr>
          <w:rFonts w:ascii="Times New Roman" w:hAnsi="Times New Roman" w:cs="Times New Roman"/>
        </w:rPr>
        <w:t xml:space="preserve">. </w:t>
      </w:r>
    </w:p>
    <w:p w:rsidR="009769EF" w:rsidRPr="00AC1FAE" w:rsidRDefault="009769EF" w:rsidP="009769EF">
      <w:pPr>
        <w:ind w:firstLine="720"/>
        <w:jc w:val="both"/>
        <w:rPr>
          <w:rFonts w:ascii="Times New Roman" w:hAnsi="Times New Roman" w:cs="Times New Roman"/>
        </w:rPr>
      </w:pPr>
    </w:p>
    <w:p w:rsidR="009769EF" w:rsidRPr="00AC1FAE" w:rsidRDefault="009769EF" w:rsidP="009769EF">
      <w:pPr>
        <w:rPr>
          <w:rFonts w:ascii="Times New Roman" w:hAnsi="Times New Roman" w:cs="Times New Roman"/>
          <w:b/>
          <w:bCs/>
        </w:rPr>
      </w:pPr>
      <w:r w:rsidRPr="00AC1FAE">
        <w:rPr>
          <w:rFonts w:ascii="Times New Roman" w:hAnsi="Times New Roman" w:cs="Times New Roman"/>
          <w:b/>
          <w:bCs/>
        </w:rPr>
        <w:t>Prehľad legislatívnych zmien</w:t>
      </w:r>
    </w:p>
    <w:p w:rsidR="009769EF" w:rsidRPr="00AC1FAE" w:rsidRDefault="009769EF" w:rsidP="009769EF">
      <w:pPr>
        <w:ind w:firstLine="720"/>
        <w:jc w:val="both"/>
        <w:rPr>
          <w:rFonts w:ascii="Times New Roman" w:hAnsi="Times New Roman" w:cs="Times New Roman"/>
          <w:color w:val="FF0000"/>
        </w:rPr>
      </w:pPr>
    </w:p>
    <w:p w:rsidR="009769EF" w:rsidRDefault="009769EF" w:rsidP="009769EF">
      <w:pPr>
        <w:ind w:firstLine="720"/>
        <w:jc w:val="both"/>
        <w:rPr>
          <w:rFonts w:ascii="Times New Roman" w:hAnsi="Times New Roman" w:cs="Times New Roman"/>
        </w:rPr>
      </w:pPr>
      <w:r w:rsidRPr="00073E4A">
        <w:rPr>
          <w:rFonts w:ascii="Times New Roman" w:hAnsi="Times New Roman" w:cs="Times New Roman"/>
        </w:rPr>
        <w:t xml:space="preserve">Oproti schválenému rozpočtu verejnej správy na roky 2017 až 2019 dochádza k niekoľkým legislatívnym zmenám s vplyvom na daňové príjmy </w:t>
      </w:r>
      <w:r>
        <w:rPr>
          <w:rFonts w:ascii="Times New Roman" w:hAnsi="Times New Roman" w:cs="Times New Roman"/>
        </w:rPr>
        <w:t>verejnej správy</w:t>
      </w:r>
      <w:r w:rsidRPr="00073E4A">
        <w:rPr>
          <w:rFonts w:ascii="Times New Roman" w:hAnsi="Times New Roman" w:cs="Times New Roman"/>
        </w:rPr>
        <w:t>. Ich súhrn je uvedený v nasledujúcej tabuľke.</w:t>
      </w:r>
    </w:p>
    <w:p w:rsidR="009769EF" w:rsidRPr="00073E4A" w:rsidRDefault="009769EF" w:rsidP="009769EF">
      <w:pPr>
        <w:ind w:firstLine="72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1"/>
        <w:gridCol w:w="1136"/>
        <w:gridCol w:w="991"/>
        <w:gridCol w:w="984"/>
      </w:tblGrid>
      <w:tr w:rsidR="009769EF" w:rsidRPr="00300E07" w:rsidTr="00300E07">
        <w:trPr>
          <w:trHeight w:val="270"/>
        </w:trPr>
        <w:tc>
          <w:tcPr>
            <w:tcW w:w="5000" w:type="pct"/>
            <w:gridSpan w:val="4"/>
            <w:shd w:val="clear" w:color="auto" w:fill="A6A6A6" w:themeFill="background1" w:themeFillShade="A6"/>
            <w:noWrap/>
            <w:vAlign w:val="center"/>
            <w:hideMark/>
          </w:tcPr>
          <w:p w:rsidR="009769EF" w:rsidRPr="00300E07" w:rsidRDefault="009769EF" w:rsidP="00434822">
            <w:pP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 xml:space="preserve">Vplyv legislatívnych opatrení na daňové a odvodové príjmy </w:t>
            </w:r>
            <w:r w:rsidR="00434822">
              <w:rPr>
                <w:rFonts w:ascii="Times New Roman" w:hAnsi="Times New Roman" w:cs="Times New Roman"/>
                <w:b/>
                <w:bCs/>
                <w:sz w:val="14"/>
                <w:szCs w:val="14"/>
                <w:lang w:eastAsia="sk-SK"/>
              </w:rPr>
              <w:t>verejnej správy</w:t>
            </w:r>
            <w:r w:rsidRPr="00300E07">
              <w:rPr>
                <w:rFonts w:ascii="Times New Roman" w:hAnsi="Times New Roman" w:cs="Times New Roman"/>
                <w:b/>
                <w:bCs/>
                <w:sz w:val="14"/>
                <w:szCs w:val="14"/>
                <w:lang w:eastAsia="sk-SK"/>
              </w:rPr>
              <w:t xml:space="preserve"> (tis. eur, ESA 2010)</w:t>
            </w:r>
          </w:p>
        </w:tc>
      </w:tr>
      <w:tr w:rsidR="009769EF" w:rsidRPr="00300E07" w:rsidTr="00300E07">
        <w:trPr>
          <w:trHeight w:val="270"/>
        </w:trPr>
        <w:tc>
          <w:tcPr>
            <w:tcW w:w="3283" w:type="pct"/>
            <w:shd w:val="clear" w:color="auto" w:fill="BFBFBF" w:themeFill="background1" w:themeFillShade="BF"/>
            <w:noWrap/>
            <w:vAlign w:val="center"/>
            <w:hideMark/>
          </w:tcPr>
          <w:p w:rsidR="009769EF" w:rsidRPr="00300E07" w:rsidRDefault="009769EF" w:rsidP="00300E07">
            <w:pPr>
              <w:rPr>
                <w:rFonts w:ascii="Times New Roman" w:hAnsi="Times New Roman" w:cs="Times New Roman"/>
                <w:sz w:val="14"/>
                <w:szCs w:val="14"/>
                <w:lang w:eastAsia="sk-SK"/>
              </w:rPr>
            </w:pPr>
            <w:r w:rsidRPr="00300E07">
              <w:rPr>
                <w:rFonts w:ascii="Times New Roman" w:hAnsi="Times New Roman" w:cs="Times New Roman"/>
                <w:sz w:val="14"/>
                <w:szCs w:val="14"/>
                <w:lang w:eastAsia="sk-SK"/>
              </w:rPr>
              <w:t> </w:t>
            </w:r>
          </w:p>
        </w:tc>
        <w:tc>
          <w:tcPr>
            <w:tcW w:w="627" w:type="pct"/>
            <w:shd w:val="clear" w:color="auto" w:fill="BFBFBF" w:themeFill="background1" w:themeFillShade="BF"/>
            <w:noWrap/>
            <w:vAlign w:val="center"/>
            <w:hideMark/>
          </w:tcPr>
          <w:p w:rsidR="009769EF" w:rsidRPr="00300E07" w:rsidRDefault="009769EF" w:rsidP="00300E07">
            <w:pPr>
              <w:jc w:val="cente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2018</w:t>
            </w:r>
          </w:p>
        </w:tc>
        <w:tc>
          <w:tcPr>
            <w:tcW w:w="547" w:type="pct"/>
            <w:shd w:val="clear" w:color="auto" w:fill="BFBFBF" w:themeFill="background1" w:themeFillShade="BF"/>
            <w:noWrap/>
            <w:vAlign w:val="center"/>
            <w:hideMark/>
          </w:tcPr>
          <w:p w:rsidR="009769EF" w:rsidRPr="00300E07" w:rsidRDefault="009769EF" w:rsidP="00300E07">
            <w:pPr>
              <w:jc w:val="cente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2019</w:t>
            </w:r>
          </w:p>
        </w:tc>
        <w:tc>
          <w:tcPr>
            <w:tcW w:w="542" w:type="pct"/>
            <w:shd w:val="clear" w:color="auto" w:fill="BFBFBF" w:themeFill="background1" w:themeFillShade="BF"/>
            <w:noWrap/>
            <w:vAlign w:val="center"/>
            <w:hideMark/>
          </w:tcPr>
          <w:p w:rsidR="009769EF" w:rsidRPr="00300E07" w:rsidRDefault="009769EF" w:rsidP="00300E07">
            <w:pPr>
              <w:jc w:val="cente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2020</w:t>
            </w:r>
          </w:p>
        </w:tc>
      </w:tr>
      <w:tr w:rsidR="009769EF" w:rsidRPr="00300E07" w:rsidTr="00300E07">
        <w:trPr>
          <w:trHeight w:val="270"/>
        </w:trPr>
        <w:tc>
          <w:tcPr>
            <w:tcW w:w="3283" w:type="pct"/>
            <w:shd w:val="clear" w:color="auto" w:fill="BFBFBF" w:themeFill="background1" w:themeFillShade="BF"/>
            <w:noWrap/>
            <w:vAlign w:val="center"/>
            <w:hideMark/>
          </w:tcPr>
          <w:p w:rsidR="009769EF" w:rsidRPr="00300E07" w:rsidRDefault="009769EF" w:rsidP="00300E07">
            <w:pP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 xml:space="preserve">Zákon </w:t>
            </w:r>
            <w:r w:rsidR="00434822">
              <w:rPr>
                <w:rFonts w:ascii="Times New Roman" w:hAnsi="Times New Roman" w:cs="Times New Roman"/>
                <w:b/>
                <w:bCs/>
                <w:sz w:val="14"/>
                <w:szCs w:val="14"/>
                <w:lang w:eastAsia="sk-SK"/>
              </w:rPr>
              <w:t xml:space="preserve">č. </w:t>
            </w:r>
            <w:r w:rsidRPr="00300E07">
              <w:rPr>
                <w:rFonts w:ascii="Times New Roman" w:hAnsi="Times New Roman" w:cs="Times New Roman"/>
                <w:b/>
                <w:bCs/>
                <w:sz w:val="14"/>
                <w:szCs w:val="14"/>
                <w:lang w:eastAsia="sk-SK"/>
              </w:rPr>
              <w:t>595/2003 Z.</w:t>
            </w:r>
            <w:r w:rsidR="00300E07">
              <w:rPr>
                <w:rFonts w:ascii="Times New Roman" w:hAnsi="Times New Roman" w:cs="Times New Roman"/>
                <w:b/>
                <w:bCs/>
                <w:sz w:val="14"/>
                <w:szCs w:val="14"/>
                <w:lang w:eastAsia="sk-SK"/>
              </w:rPr>
              <w:t xml:space="preserve"> </w:t>
            </w:r>
            <w:r w:rsidRPr="00300E07">
              <w:rPr>
                <w:rFonts w:ascii="Times New Roman" w:hAnsi="Times New Roman" w:cs="Times New Roman"/>
                <w:b/>
                <w:bCs/>
                <w:sz w:val="14"/>
                <w:szCs w:val="14"/>
                <w:lang w:eastAsia="sk-SK"/>
              </w:rPr>
              <w:t>z. o dani z príjmov</w:t>
            </w:r>
          </w:p>
        </w:tc>
        <w:tc>
          <w:tcPr>
            <w:tcW w:w="627"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-93 823</w:t>
            </w:r>
          </w:p>
        </w:tc>
        <w:tc>
          <w:tcPr>
            <w:tcW w:w="547"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-93 689</w:t>
            </w:r>
          </w:p>
        </w:tc>
        <w:tc>
          <w:tcPr>
            <w:tcW w:w="542"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-93 507</w:t>
            </w:r>
          </w:p>
        </w:tc>
      </w:tr>
      <w:tr w:rsidR="009769EF" w:rsidRPr="00300E07" w:rsidTr="00300E07">
        <w:trPr>
          <w:trHeight w:val="270"/>
        </w:trPr>
        <w:tc>
          <w:tcPr>
            <w:tcW w:w="3283" w:type="pct"/>
            <w:shd w:val="clear" w:color="auto" w:fill="auto"/>
            <w:noWrap/>
            <w:vAlign w:val="center"/>
            <w:hideMark/>
          </w:tcPr>
          <w:p w:rsidR="009769EF" w:rsidRPr="00300E07" w:rsidRDefault="009769EF" w:rsidP="00300E07">
            <w:pP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Zrušenie daňovej licencie</w:t>
            </w:r>
          </w:p>
        </w:tc>
        <w:tc>
          <w:tcPr>
            <w:tcW w:w="627" w:type="pct"/>
            <w:shd w:val="clear" w:color="auto" w:fill="auto"/>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-82 765</w:t>
            </w:r>
          </w:p>
        </w:tc>
        <w:tc>
          <w:tcPr>
            <w:tcW w:w="547" w:type="pct"/>
            <w:shd w:val="clear" w:color="auto" w:fill="auto"/>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-79 937</w:t>
            </w:r>
          </w:p>
        </w:tc>
        <w:tc>
          <w:tcPr>
            <w:tcW w:w="542" w:type="pct"/>
            <w:shd w:val="clear" w:color="auto" w:fill="auto"/>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-77 206</w:t>
            </w:r>
          </w:p>
        </w:tc>
      </w:tr>
      <w:tr w:rsidR="009769EF" w:rsidRPr="00300E07" w:rsidTr="00300E07">
        <w:trPr>
          <w:trHeight w:val="270"/>
        </w:trPr>
        <w:tc>
          <w:tcPr>
            <w:tcW w:w="3283" w:type="pct"/>
            <w:shd w:val="clear" w:color="auto" w:fill="auto"/>
            <w:noWrap/>
            <w:vAlign w:val="center"/>
            <w:hideMark/>
          </w:tcPr>
          <w:p w:rsidR="009769EF" w:rsidRPr="00300E07" w:rsidRDefault="009769EF" w:rsidP="00300E07">
            <w:pP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Zavedenie daňového bonusu na hypotéky</w:t>
            </w:r>
          </w:p>
        </w:tc>
        <w:tc>
          <w:tcPr>
            <w:tcW w:w="627" w:type="pct"/>
            <w:shd w:val="clear" w:color="auto" w:fill="auto"/>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0</w:t>
            </w:r>
          </w:p>
        </w:tc>
        <w:tc>
          <w:tcPr>
            <w:tcW w:w="547" w:type="pct"/>
            <w:shd w:val="clear" w:color="auto" w:fill="auto"/>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0</w:t>
            </w:r>
          </w:p>
        </w:tc>
        <w:tc>
          <w:tcPr>
            <w:tcW w:w="542" w:type="pct"/>
            <w:shd w:val="clear" w:color="auto" w:fill="auto"/>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0</w:t>
            </w:r>
          </w:p>
        </w:tc>
      </w:tr>
      <w:tr w:rsidR="009769EF" w:rsidRPr="00300E07" w:rsidTr="00300E07">
        <w:trPr>
          <w:trHeight w:val="270"/>
        </w:trPr>
        <w:tc>
          <w:tcPr>
            <w:tcW w:w="3283" w:type="pct"/>
            <w:shd w:val="clear" w:color="auto" w:fill="auto"/>
            <w:noWrap/>
            <w:vAlign w:val="center"/>
            <w:hideMark/>
          </w:tcPr>
          <w:p w:rsidR="009769EF" w:rsidRPr="00300E07" w:rsidRDefault="009769EF" w:rsidP="00300E07">
            <w:pP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Zavedenie NČZD na kúpeľníctvo</w:t>
            </w:r>
          </w:p>
        </w:tc>
        <w:tc>
          <w:tcPr>
            <w:tcW w:w="627" w:type="pct"/>
            <w:shd w:val="clear" w:color="auto" w:fill="auto"/>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-1 903</w:t>
            </w:r>
          </w:p>
        </w:tc>
        <w:tc>
          <w:tcPr>
            <w:tcW w:w="547" w:type="pct"/>
            <w:shd w:val="clear" w:color="auto" w:fill="auto"/>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-2 048</w:t>
            </w:r>
          </w:p>
        </w:tc>
        <w:tc>
          <w:tcPr>
            <w:tcW w:w="542" w:type="pct"/>
            <w:shd w:val="clear" w:color="auto" w:fill="auto"/>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-2 252</w:t>
            </w:r>
          </w:p>
        </w:tc>
      </w:tr>
      <w:tr w:rsidR="009769EF" w:rsidRPr="00300E07" w:rsidTr="00300E07">
        <w:trPr>
          <w:trHeight w:val="270"/>
        </w:trPr>
        <w:tc>
          <w:tcPr>
            <w:tcW w:w="3283" w:type="pct"/>
            <w:shd w:val="clear" w:color="auto" w:fill="auto"/>
            <w:noWrap/>
            <w:vAlign w:val="center"/>
            <w:hideMark/>
          </w:tcPr>
          <w:p w:rsidR="009769EF" w:rsidRPr="00300E07" w:rsidRDefault="009769EF" w:rsidP="00300E07">
            <w:pP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Zavedenie samostatného odpisovania technického zhodnotenia a opráv na budovách kúpeľov</w:t>
            </w:r>
          </w:p>
        </w:tc>
        <w:tc>
          <w:tcPr>
            <w:tcW w:w="627" w:type="pct"/>
            <w:shd w:val="clear" w:color="auto" w:fill="auto"/>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-142</w:t>
            </w:r>
          </w:p>
        </w:tc>
        <w:tc>
          <w:tcPr>
            <w:tcW w:w="547" w:type="pct"/>
            <w:shd w:val="clear" w:color="auto" w:fill="auto"/>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-710</w:t>
            </w:r>
          </w:p>
        </w:tc>
        <w:tc>
          <w:tcPr>
            <w:tcW w:w="542" w:type="pct"/>
            <w:shd w:val="clear" w:color="auto" w:fill="auto"/>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-710</w:t>
            </w:r>
          </w:p>
        </w:tc>
      </w:tr>
      <w:tr w:rsidR="009769EF" w:rsidRPr="00300E07" w:rsidTr="00300E07">
        <w:trPr>
          <w:trHeight w:val="270"/>
        </w:trPr>
        <w:tc>
          <w:tcPr>
            <w:tcW w:w="3283" w:type="pct"/>
            <w:shd w:val="clear" w:color="auto" w:fill="auto"/>
            <w:noWrap/>
            <w:vAlign w:val="center"/>
            <w:hideMark/>
          </w:tcPr>
          <w:p w:rsidR="009769EF" w:rsidRPr="00300E07" w:rsidRDefault="009769EF" w:rsidP="00300E07">
            <w:pP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 xml:space="preserve">Zmena uplatňovania </w:t>
            </w:r>
            <w:proofErr w:type="spellStart"/>
            <w:r w:rsidRPr="00300E07">
              <w:rPr>
                <w:rFonts w:ascii="Times New Roman" w:hAnsi="Times New Roman" w:cs="Times New Roman"/>
                <w:b/>
                <w:bCs/>
                <w:sz w:val="14"/>
                <w:szCs w:val="14"/>
                <w:lang w:eastAsia="sk-SK"/>
              </w:rPr>
              <w:t>superodpočtu</w:t>
            </w:r>
            <w:proofErr w:type="spellEnd"/>
            <w:r w:rsidRPr="00300E07">
              <w:rPr>
                <w:rFonts w:ascii="Times New Roman" w:hAnsi="Times New Roman" w:cs="Times New Roman"/>
                <w:b/>
                <w:bCs/>
                <w:sz w:val="14"/>
                <w:szCs w:val="14"/>
                <w:lang w:eastAsia="sk-SK"/>
              </w:rPr>
              <w:t xml:space="preserve"> na vedu a výskum</w:t>
            </w:r>
          </w:p>
        </w:tc>
        <w:tc>
          <w:tcPr>
            <w:tcW w:w="627" w:type="pct"/>
            <w:shd w:val="clear" w:color="auto" w:fill="auto"/>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-9 013</w:t>
            </w:r>
          </w:p>
        </w:tc>
        <w:tc>
          <w:tcPr>
            <w:tcW w:w="547" w:type="pct"/>
            <w:shd w:val="clear" w:color="auto" w:fill="auto"/>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-10 994</w:t>
            </w:r>
          </w:p>
        </w:tc>
        <w:tc>
          <w:tcPr>
            <w:tcW w:w="542" w:type="pct"/>
            <w:shd w:val="clear" w:color="auto" w:fill="auto"/>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-13 339</w:t>
            </w:r>
          </w:p>
        </w:tc>
      </w:tr>
      <w:tr w:rsidR="009769EF" w:rsidRPr="00300E07" w:rsidTr="00300E07">
        <w:trPr>
          <w:trHeight w:val="270"/>
        </w:trPr>
        <w:tc>
          <w:tcPr>
            <w:tcW w:w="3283" w:type="pct"/>
            <w:shd w:val="clear" w:color="auto" w:fill="auto"/>
            <w:noWrap/>
            <w:vAlign w:val="center"/>
            <w:hideMark/>
          </w:tcPr>
          <w:p w:rsidR="009769EF" w:rsidRPr="00300E07" w:rsidRDefault="009769EF" w:rsidP="00300E07">
            <w:pPr>
              <w:ind w:firstLineChars="300" w:firstLine="420"/>
              <w:rPr>
                <w:rFonts w:ascii="Times New Roman" w:hAnsi="Times New Roman" w:cs="Times New Roman"/>
                <w:sz w:val="14"/>
                <w:szCs w:val="14"/>
                <w:lang w:eastAsia="sk-SK"/>
              </w:rPr>
            </w:pPr>
            <w:r w:rsidRPr="00300E07">
              <w:rPr>
                <w:rFonts w:ascii="Times New Roman" w:hAnsi="Times New Roman" w:cs="Times New Roman"/>
                <w:sz w:val="14"/>
                <w:szCs w:val="14"/>
                <w:lang w:eastAsia="sk-SK"/>
              </w:rPr>
              <w:t>DPPO</w:t>
            </w:r>
          </w:p>
        </w:tc>
        <w:tc>
          <w:tcPr>
            <w:tcW w:w="62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-91 920</w:t>
            </w:r>
          </w:p>
        </w:tc>
        <w:tc>
          <w:tcPr>
            <w:tcW w:w="54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-91 641</w:t>
            </w:r>
          </w:p>
        </w:tc>
        <w:tc>
          <w:tcPr>
            <w:tcW w:w="542"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-91 255</w:t>
            </w:r>
          </w:p>
        </w:tc>
      </w:tr>
      <w:tr w:rsidR="009769EF" w:rsidRPr="00300E07" w:rsidTr="00300E07">
        <w:trPr>
          <w:trHeight w:val="270"/>
        </w:trPr>
        <w:tc>
          <w:tcPr>
            <w:tcW w:w="3283" w:type="pct"/>
            <w:shd w:val="clear" w:color="auto" w:fill="auto"/>
            <w:noWrap/>
            <w:vAlign w:val="center"/>
            <w:hideMark/>
          </w:tcPr>
          <w:p w:rsidR="009769EF" w:rsidRPr="00300E07" w:rsidRDefault="009769EF" w:rsidP="00300E07">
            <w:pPr>
              <w:ind w:firstLineChars="300" w:firstLine="420"/>
              <w:rPr>
                <w:rFonts w:ascii="Times New Roman" w:hAnsi="Times New Roman" w:cs="Times New Roman"/>
                <w:sz w:val="14"/>
                <w:szCs w:val="14"/>
                <w:lang w:eastAsia="sk-SK"/>
              </w:rPr>
            </w:pPr>
            <w:r w:rsidRPr="00300E07">
              <w:rPr>
                <w:rFonts w:ascii="Times New Roman" w:hAnsi="Times New Roman" w:cs="Times New Roman"/>
                <w:sz w:val="14"/>
                <w:szCs w:val="14"/>
                <w:lang w:eastAsia="sk-SK"/>
              </w:rPr>
              <w:t>DPFO - Závislá činnosť</w:t>
            </w:r>
          </w:p>
        </w:tc>
        <w:tc>
          <w:tcPr>
            <w:tcW w:w="62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-1 617</w:t>
            </w:r>
          </w:p>
        </w:tc>
        <w:tc>
          <w:tcPr>
            <w:tcW w:w="54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-1 741</w:t>
            </w:r>
          </w:p>
        </w:tc>
        <w:tc>
          <w:tcPr>
            <w:tcW w:w="542"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-1 915</w:t>
            </w:r>
          </w:p>
        </w:tc>
      </w:tr>
      <w:tr w:rsidR="009769EF" w:rsidRPr="00300E07" w:rsidTr="00300E07">
        <w:trPr>
          <w:trHeight w:val="270"/>
        </w:trPr>
        <w:tc>
          <w:tcPr>
            <w:tcW w:w="3283" w:type="pct"/>
            <w:shd w:val="clear" w:color="auto" w:fill="auto"/>
            <w:noWrap/>
            <w:vAlign w:val="center"/>
            <w:hideMark/>
          </w:tcPr>
          <w:p w:rsidR="009769EF" w:rsidRPr="00300E07" w:rsidRDefault="009769EF" w:rsidP="00300E07">
            <w:pPr>
              <w:ind w:firstLineChars="300" w:firstLine="420"/>
              <w:rPr>
                <w:rFonts w:ascii="Times New Roman" w:hAnsi="Times New Roman" w:cs="Times New Roman"/>
                <w:sz w:val="14"/>
                <w:szCs w:val="14"/>
                <w:lang w:eastAsia="sk-SK"/>
              </w:rPr>
            </w:pPr>
            <w:r w:rsidRPr="00300E07">
              <w:rPr>
                <w:rFonts w:ascii="Times New Roman" w:hAnsi="Times New Roman" w:cs="Times New Roman"/>
                <w:sz w:val="14"/>
                <w:szCs w:val="14"/>
                <w:lang w:eastAsia="sk-SK"/>
              </w:rPr>
              <w:t>DPFO - Podnikanie</w:t>
            </w:r>
          </w:p>
        </w:tc>
        <w:tc>
          <w:tcPr>
            <w:tcW w:w="62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-285</w:t>
            </w:r>
          </w:p>
        </w:tc>
        <w:tc>
          <w:tcPr>
            <w:tcW w:w="54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-307</w:t>
            </w:r>
          </w:p>
        </w:tc>
        <w:tc>
          <w:tcPr>
            <w:tcW w:w="542"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-338</w:t>
            </w:r>
          </w:p>
        </w:tc>
      </w:tr>
      <w:tr w:rsidR="009769EF" w:rsidRPr="00300E07" w:rsidTr="00300E07">
        <w:trPr>
          <w:trHeight w:val="270"/>
        </w:trPr>
        <w:tc>
          <w:tcPr>
            <w:tcW w:w="3283" w:type="pct"/>
            <w:shd w:val="clear" w:color="auto" w:fill="auto"/>
            <w:noWrap/>
            <w:vAlign w:val="center"/>
            <w:hideMark/>
          </w:tcPr>
          <w:p w:rsidR="009769EF" w:rsidRPr="00300E07" w:rsidRDefault="009769EF" w:rsidP="00300E07">
            <w:pPr>
              <w:ind w:firstLineChars="500" w:firstLine="700"/>
              <w:rPr>
                <w:rFonts w:ascii="Times New Roman" w:hAnsi="Times New Roman" w:cs="Times New Roman"/>
                <w:i/>
                <w:iCs/>
                <w:sz w:val="14"/>
                <w:szCs w:val="14"/>
                <w:lang w:eastAsia="sk-SK"/>
              </w:rPr>
            </w:pPr>
            <w:r w:rsidRPr="00300E07">
              <w:rPr>
                <w:rFonts w:ascii="Times New Roman" w:hAnsi="Times New Roman" w:cs="Times New Roman"/>
                <w:i/>
                <w:iCs/>
                <w:sz w:val="14"/>
                <w:szCs w:val="14"/>
                <w:lang w:eastAsia="sk-SK"/>
              </w:rPr>
              <w:t xml:space="preserve">  - z toho: obce</w:t>
            </w:r>
          </w:p>
        </w:tc>
        <w:tc>
          <w:tcPr>
            <w:tcW w:w="62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0</w:t>
            </w:r>
          </w:p>
        </w:tc>
        <w:tc>
          <w:tcPr>
            <w:tcW w:w="54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-1 332</w:t>
            </w:r>
          </w:p>
        </w:tc>
        <w:tc>
          <w:tcPr>
            <w:tcW w:w="542"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-1 433</w:t>
            </w:r>
          </w:p>
        </w:tc>
      </w:tr>
      <w:tr w:rsidR="009769EF" w:rsidRPr="00300E07" w:rsidTr="00300E07">
        <w:trPr>
          <w:trHeight w:val="270"/>
        </w:trPr>
        <w:tc>
          <w:tcPr>
            <w:tcW w:w="3283" w:type="pct"/>
            <w:shd w:val="clear" w:color="auto" w:fill="auto"/>
            <w:noWrap/>
            <w:vAlign w:val="center"/>
            <w:hideMark/>
          </w:tcPr>
          <w:p w:rsidR="009769EF" w:rsidRPr="00300E07" w:rsidRDefault="009769EF" w:rsidP="00300E07">
            <w:pPr>
              <w:ind w:firstLineChars="500" w:firstLine="700"/>
              <w:rPr>
                <w:rFonts w:ascii="Times New Roman" w:hAnsi="Times New Roman" w:cs="Times New Roman"/>
                <w:i/>
                <w:iCs/>
                <w:sz w:val="14"/>
                <w:szCs w:val="14"/>
                <w:lang w:eastAsia="sk-SK"/>
              </w:rPr>
            </w:pPr>
            <w:r w:rsidRPr="00300E07">
              <w:rPr>
                <w:rFonts w:ascii="Times New Roman" w:hAnsi="Times New Roman" w:cs="Times New Roman"/>
                <w:i/>
                <w:iCs/>
                <w:sz w:val="14"/>
                <w:szCs w:val="14"/>
                <w:lang w:eastAsia="sk-SK"/>
              </w:rPr>
              <w:t xml:space="preserve">  - z toho: VÚC</w:t>
            </w:r>
          </w:p>
        </w:tc>
        <w:tc>
          <w:tcPr>
            <w:tcW w:w="62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0</w:t>
            </w:r>
          </w:p>
        </w:tc>
        <w:tc>
          <w:tcPr>
            <w:tcW w:w="54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-571</w:t>
            </w:r>
          </w:p>
        </w:tc>
        <w:tc>
          <w:tcPr>
            <w:tcW w:w="542"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-614</w:t>
            </w:r>
          </w:p>
        </w:tc>
      </w:tr>
      <w:tr w:rsidR="009769EF" w:rsidRPr="00300E07" w:rsidTr="00300E07">
        <w:trPr>
          <w:trHeight w:val="270"/>
        </w:trPr>
        <w:tc>
          <w:tcPr>
            <w:tcW w:w="3283" w:type="pct"/>
            <w:shd w:val="clear" w:color="auto" w:fill="auto"/>
            <w:noWrap/>
            <w:vAlign w:val="center"/>
            <w:hideMark/>
          </w:tcPr>
          <w:p w:rsidR="009769EF" w:rsidRPr="00300E07" w:rsidRDefault="009769EF" w:rsidP="00300E07">
            <w:pPr>
              <w:ind w:firstLineChars="500" w:firstLine="700"/>
              <w:rPr>
                <w:rFonts w:ascii="Times New Roman" w:hAnsi="Times New Roman" w:cs="Times New Roman"/>
                <w:i/>
                <w:iCs/>
                <w:sz w:val="14"/>
                <w:szCs w:val="14"/>
                <w:lang w:eastAsia="sk-SK"/>
              </w:rPr>
            </w:pPr>
            <w:r w:rsidRPr="00300E07">
              <w:rPr>
                <w:rFonts w:ascii="Times New Roman" w:hAnsi="Times New Roman" w:cs="Times New Roman"/>
                <w:i/>
                <w:iCs/>
                <w:sz w:val="14"/>
                <w:szCs w:val="14"/>
                <w:lang w:eastAsia="sk-SK"/>
              </w:rPr>
              <w:t xml:space="preserve">  - z toho: štát</w:t>
            </w:r>
          </w:p>
        </w:tc>
        <w:tc>
          <w:tcPr>
            <w:tcW w:w="62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-1 902</w:t>
            </w:r>
          </w:p>
        </w:tc>
        <w:tc>
          <w:tcPr>
            <w:tcW w:w="54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-145</w:t>
            </w:r>
          </w:p>
        </w:tc>
        <w:tc>
          <w:tcPr>
            <w:tcW w:w="542"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-205</w:t>
            </w:r>
          </w:p>
        </w:tc>
      </w:tr>
      <w:tr w:rsidR="009769EF" w:rsidRPr="00300E07" w:rsidTr="00300E07">
        <w:trPr>
          <w:trHeight w:val="270"/>
        </w:trPr>
        <w:tc>
          <w:tcPr>
            <w:tcW w:w="3283" w:type="pct"/>
            <w:shd w:val="clear" w:color="auto" w:fill="BFBFBF" w:themeFill="background1" w:themeFillShade="BF"/>
            <w:noWrap/>
            <w:vAlign w:val="center"/>
            <w:hideMark/>
          </w:tcPr>
          <w:p w:rsidR="009769EF" w:rsidRPr="00300E07" w:rsidRDefault="009769EF" w:rsidP="00434822">
            <w:pP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 xml:space="preserve">Zákon </w:t>
            </w:r>
            <w:r w:rsidR="00434822">
              <w:rPr>
                <w:rFonts w:ascii="Times New Roman" w:hAnsi="Times New Roman" w:cs="Times New Roman"/>
                <w:b/>
                <w:bCs/>
                <w:sz w:val="14"/>
                <w:szCs w:val="14"/>
                <w:lang w:eastAsia="sk-SK"/>
              </w:rPr>
              <w:t>č. 98</w:t>
            </w:r>
            <w:r w:rsidRPr="00300E07">
              <w:rPr>
                <w:rFonts w:ascii="Times New Roman" w:hAnsi="Times New Roman" w:cs="Times New Roman"/>
                <w:b/>
                <w:bCs/>
                <w:sz w:val="14"/>
                <w:szCs w:val="14"/>
                <w:lang w:eastAsia="sk-SK"/>
              </w:rPr>
              <w:t>/2004 Z.</w:t>
            </w:r>
            <w:r w:rsidR="00300E07">
              <w:rPr>
                <w:rFonts w:ascii="Times New Roman" w:hAnsi="Times New Roman" w:cs="Times New Roman"/>
                <w:b/>
                <w:bCs/>
                <w:sz w:val="14"/>
                <w:szCs w:val="14"/>
                <w:lang w:eastAsia="sk-SK"/>
              </w:rPr>
              <w:t xml:space="preserve"> </w:t>
            </w:r>
            <w:r w:rsidRPr="00300E07">
              <w:rPr>
                <w:rFonts w:ascii="Times New Roman" w:hAnsi="Times New Roman" w:cs="Times New Roman"/>
                <w:b/>
                <w:bCs/>
                <w:sz w:val="14"/>
                <w:szCs w:val="14"/>
                <w:lang w:eastAsia="sk-SK"/>
              </w:rPr>
              <w:t>z.</w:t>
            </w:r>
            <w:r w:rsidR="00434822">
              <w:rPr>
                <w:rFonts w:ascii="Times New Roman" w:hAnsi="Times New Roman" w:cs="Times New Roman"/>
                <w:b/>
                <w:bCs/>
                <w:sz w:val="14"/>
                <w:szCs w:val="14"/>
                <w:lang w:eastAsia="sk-SK"/>
              </w:rPr>
              <w:t xml:space="preserve"> o spotrebnej dani z minerálneho</w:t>
            </w:r>
            <w:r w:rsidRPr="00300E07">
              <w:rPr>
                <w:rFonts w:ascii="Times New Roman" w:hAnsi="Times New Roman" w:cs="Times New Roman"/>
                <w:b/>
                <w:bCs/>
                <w:sz w:val="14"/>
                <w:szCs w:val="14"/>
                <w:lang w:eastAsia="sk-SK"/>
              </w:rPr>
              <w:t xml:space="preserve"> olej</w:t>
            </w:r>
            <w:r w:rsidR="00434822">
              <w:rPr>
                <w:rFonts w:ascii="Times New Roman" w:hAnsi="Times New Roman" w:cs="Times New Roman"/>
                <w:b/>
                <w:bCs/>
                <w:sz w:val="14"/>
                <w:szCs w:val="14"/>
                <w:lang w:eastAsia="sk-SK"/>
              </w:rPr>
              <w:t>a</w:t>
            </w:r>
          </w:p>
        </w:tc>
        <w:tc>
          <w:tcPr>
            <w:tcW w:w="627"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-870</w:t>
            </w:r>
          </w:p>
        </w:tc>
        <w:tc>
          <w:tcPr>
            <w:tcW w:w="547"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-75</w:t>
            </w:r>
          </w:p>
        </w:tc>
        <w:tc>
          <w:tcPr>
            <w:tcW w:w="542"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-78</w:t>
            </w:r>
          </w:p>
        </w:tc>
      </w:tr>
      <w:tr w:rsidR="009769EF" w:rsidRPr="00300E07" w:rsidTr="00300E07">
        <w:trPr>
          <w:trHeight w:val="270"/>
        </w:trPr>
        <w:tc>
          <w:tcPr>
            <w:tcW w:w="3283" w:type="pct"/>
            <w:shd w:val="clear" w:color="auto" w:fill="auto"/>
            <w:noWrap/>
            <w:vAlign w:val="center"/>
            <w:hideMark/>
          </w:tcPr>
          <w:p w:rsidR="009769EF" w:rsidRPr="00300E07" w:rsidRDefault="009769EF" w:rsidP="00300E07">
            <w:pPr>
              <w:ind w:firstLineChars="300" w:firstLine="420"/>
              <w:rPr>
                <w:rFonts w:ascii="Times New Roman" w:hAnsi="Times New Roman" w:cs="Times New Roman"/>
                <w:sz w:val="14"/>
                <w:szCs w:val="14"/>
                <w:lang w:eastAsia="sk-SK"/>
              </w:rPr>
            </w:pPr>
            <w:r w:rsidRPr="00300E07">
              <w:rPr>
                <w:rFonts w:ascii="Times New Roman" w:hAnsi="Times New Roman" w:cs="Times New Roman"/>
                <w:sz w:val="14"/>
                <w:szCs w:val="14"/>
                <w:lang w:eastAsia="sk-SK"/>
              </w:rPr>
              <w:t>SD Minerálne oleje</w:t>
            </w:r>
          </w:p>
        </w:tc>
        <w:tc>
          <w:tcPr>
            <w:tcW w:w="62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-870</w:t>
            </w:r>
          </w:p>
        </w:tc>
        <w:tc>
          <w:tcPr>
            <w:tcW w:w="54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-75</w:t>
            </w:r>
          </w:p>
        </w:tc>
        <w:tc>
          <w:tcPr>
            <w:tcW w:w="542"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-78</w:t>
            </w:r>
          </w:p>
        </w:tc>
      </w:tr>
      <w:tr w:rsidR="009769EF" w:rsidRPr="00300E07" w:rsidTr="00300E07">
        <w:trPr>
          <w:trHeight w:val="270"/>
        </w:trPr>
        <w:tc>
          <w:tcPr>
            <w:tcW w:w="3283" w:type="pct"/>
            <w:shd w:val="clear" w:color="auto" w:fill="BFBFBF" w:themeFill="background1" w:themeFillShade="BF"/>
            <w:noWrap/>
            <w:vAlign w:val="center"/>
            <w:hideMark/>
          </w:tcPr>
          <w:p w:rsidR="009769EF" w:rsidRPr="00300E07" w:rsidRDefault="009769EF" w:rsidP="00434822">
            <w:pP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 xml:space="preserve">Zákon </w:t>
            </w:r>
            <w:r w:rsidR="00434822">
              <w:rPr>
                <w:rFonts w:ascii="Times New Roman" w:hAnsi="Times New Roman" w:cs="Times New Roman"/>
                <w:b/>
                <w:bCs/>
                <w:sz w:val="14"/>
                <w:szCs w:val="14"/>
                <w:lang w:eastAsia="sk-SK"/>
              </w:rPr>
              <w:t xml:space="preserve">č. </w:t>
            </w:r>
            <w:r w:rsidRPr="00300E07">
              <w:rPr>
                <w:rFonts w:ascii="Times New Roman" w:hAnsi="Times New Roman" w:cs="Times New Roman"/>
                <w:b/>
                <w:bCs/>
                <w:sz w:val="14"/>
                <w:szCs w:val="14"/>
                <w:lang w:eastAsia="sk-SK"/>
              </w:rPr>
              <w:t>222/2004 Z.</w:t>
            </w:r>
            <w:r w:rsidR="00300E07">
              <w:rPr>
                <w:rFonts w:ascii="Times New Roman" w:hAnsi="Times New Roman" w:cs="Times New Roman"/>
                <w:b/>
                <w:bCs/>
                <w:sz w:val="14"/>
                <w:szCs w:val="14"/>
                <w:lang w:eastAsia="sk-SK"/>
              </w:rPr>
              <w:t xml:space="preserve"> </w:t>
            </w:r>
            <w:r w:rsidRPr="00300E07">
              <w:rPr>
                <w:rFonts w:ascii="Times New Roman" w:hAnsi="Times New Roman" w:cs="Times New Roman"/>
                <w:b/>
                <w:bCs/>
                <w:sz w:val="14"/>
                <w:szCs w:val="14"/>
                <w:lang w:eastAsia="sk-SK"/>
              </w:rPr>
              <w:t>z. o</w:t>
            </w:r>
            <w:r w:rsidR="00434822">
              <w:rPr>
                <w:rFonts w:ascii="Times New Roman" w:hAnsi="Times New Roman" w:cs="Times New Roman"/>
                <w:b/>
                <w:bCs/>
                <w:sz w:val="14"/>
                <w:szCs w:val="14"/>
                <w:lang w:eastAsia="sk-SK"/>
              </w:rPr>
              <w:t> dani z pridanej hodnoty</w:t>
            </w:r>
          </w:p>
        </w:tc>
        <w:tc>
          <w:tcPr>
            <w:tcW w:w="627"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-15</w:t>
            </w:r>
          </w:p>
        </w:tc>
        <w:tc>
          <w:tcPr>
            <w:tcW w:w="547"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-15</w:t>
            </w:r>
          </w:p>
        </w:tc>
        <w:tc>
          <w:tcPr>
            <w:tcW w:w="542"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-15</w:t>
            </w:r>
          </w:p>
        </w:tc>
      </w:tr>
      <w:tr w:rsidR="009769EF" w:rsidRPr="00300E07" w:rsidTr="00300E07">
        <w:trPr>
          <w:trHeight w:val="270"/>
        </w:trPr>
        <w:tc>
          <w:tcPr>
            <w:tcW w:w="3283" w:type="pct"/>
            <w:shd w:val="clear" w:color="auto" w:fill="auto"/>
            <w:noWrap/>
            <w:vAlign w:val="center"/>
            <w:hideMark/>
          </w:tcPr>
          <w:p w:rsidR="009769EF" w:rsidRPr="00300E07" w:rsidRDefault="009769EF" w:rsidP="00300E07">
            <w:pPr>
              <w:ind w:firstLineChars="300" w:firstLine="420"/>
              <w:rPr>
                <w:rFonts w:ascii="Times New Roman" w:hAnsi="Times New Roman" w:cs="Times New Roman"/>
                <w:sz w:val="14"/>
                <w:szCs w:val="14"/>
                <w:lang w:eastAsia="sk-SK"/>
              </w:rPr>
            </w:pPr>
            <w:r w:rsidRPr="00300E07">
              <w:rPr>
                <w:rFonts w:ascii="Times New Roman" w:hAnsi="Times New Roman" w:cs="Times New Roman"/>
                <w:sz w:val="14"/>
                <w:szCs w:val="14"/>
                <w:lang w:eastAsia="sk-SK"/>
              </w:rPr>
              <w:t>DPH</w:t>
            </w:r>
          </w:p>
        </w:tc>
        <w:tc>
          <w:tcPr>
            <w:tcW w:w="62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-15</w:t>
            </w:r>
          </w:p>
        </w:tc>
        <w:tc>
          <w:tcPr>
            <w:tcW w:w="54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-15</w:t>
            </w:r>
          </w:p>
        </w:tc>
        <w:tc>
          <w:tcPr>
            <w:tcW w:w="542"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-15</w:t>
            </w:r>
          </w:p>
        </w:tc>
      </w:tr>
      <w:tr w:rsidR="009769EF" w:rsidRPr="00300E07" w:rsidTr="00300E07">
        <w:trPr>
          <w:trHeight w:val="270"/>
        </w:trPr>
        <w:tc>
          <w:tcPr>
            <w:tcW w:w="3283" w:type="pct"/>
            <w:shd w:val="clear" w:color="auto" w:fill="BFBFBF" w:themeFill="background1" w:themeFillShade="BF"/>
            <w:noWrap/>
            <w:vAlign w:val="center"/>
            <w:hideMark/>
          </w:tcPr>
          <w:p w:rsidR="009769EF" w:rsidRPr="00300E07" w:rsidRDefault="009769EF" w:rsidP="00300E07">
            <w:pP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Zákon č. 576/2004 Z. z. o zdravotnej starostlivosti, službách súvisiacich s poskytovaním zdravotnej starostlivosti</w:t>
            </w:r>
          </w:p>
        </w:tc>
        <w:tc>
          <w:tcPr>
            <w:tcW w:w="627"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15 000</w:t>
            </w:r>
          </w:p>
        </w:tc>
        <w:tc>
          <w:tcPr>
            <w:tcW w:w="547"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15 000</w:t>
            </w:r>
          </w:p>
        </w:tc>
        <w:tc>
          <w:tcPr>
            <w:tcW w:w="542"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15 000</w:t>
            </w:r>
          </w:p>
        </w:tc>
      </w:tr>
      <w:tr w:rsidR="009769EF" w:rsidRPr="00300E07" w:rsidTr="00300E07">
        <w:trPr>
          <w:trHeight w:val="270"/>
        </w:trPr>
        <w:tc>
          <w:tcPr>
            <w:tcW w:w="3283" w:type="pct"/>
            <w:shd w:val="clear" w:color="auto" w:fill="auto"/>
            <w:noWrap/>
            <w:vAlign w:val="center"/>
            <w:hideMark/>
          </w:tcPr>
          <w:p w:rsidR="009769EF" w:rsidRPr="00300E07" w:rsidRDefault="009769EF" w:rsidP="00300E07">
            <w:pPr>
              <w:ind w:firstLineChars="300" w:firstLine="420"/>
              <w:rPr>
                <w:rFonts w:ascii="Times New Roman" w:hAnsi="Times New Roman" w:cs="Times New Roman"/>
                <w:sz w:val="14"/>
                <w:szCs w:val="14"/>
                <w:lang w:eastAsia="sk-SK"/>
              </w:rPr>
            </w:pPr>
            <w:r w:rsidRPr="00300E07">
              <w:rPr>
                <w:rFonts w:ascii="Times New Roman" w:hAnsi="Times New Roman" w:cs="Times New Roman"/>
                <w:sz w:val="14"/>
                <w:szCs w:val="14"/>
                <w:lang w:eastAsia="sk-SK"/>
              </w:rPr>
              <w:t>Zdravotné odvody</w:t>
            </w:r>
          </w:p>
        </w:tc>
        <w:tc>
          <w:tcPr>
            <w:tcW w:w="62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15 000</w:t>
            </w:r>
          </w:p>
        </w:tc>
        <w:tc>
          <w:tcPr>
            <w:tcW w:w="54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15 000</w:t>
            </w:r>
          </w:p>
        </w:tc>
        <w:tc>
          <w:tcPr>
            <w:tcW w:w="542"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15 000</w:t>
            </w:r>
          </w:p>
        </w:tc>
      </w:tr>
      <w:tr w:rsidR="009769EF" w:rsidRPr="00300E07" w:rsidTr="00300E07">
        <w:trPr>
          <w:trHeight w:val="270"/>
        </w:trPr>
        <w:tc>
          <w:tcPr>
            <w:tcW w:w="3283" w:type="pct"/>
            <w:shd w:val="clear" w:color="auto" w:fill="BFBFBF" w:themeFill="background1" w:themeFillShade="BF"/>
            <w:noWrap/>
            <w:vAlign w:val="center"/>
            <w:hideMark/>
          </w:tcPr>
          <w:p w:rsidR="009769EF" w:rsidRPr="00300E07" w:rsidRDefault="009769EF" w:rsidP="00300E07">
            <w:pP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Novela opatrenia MF SR č. MF/010175/2004-42</w:t>
            </w:r>
          </w:p>
        </w:tc>
        <w:tc>
          <w:tcPr>
            <w:tcW w:w="627"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20 000</w:t>
            </w:r>
          </w:p>
        </w:tc>
        <w:tc>
          <w:tcPr>
            <w:tcW w:w="547"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20 000</w:t>
            </w:r>
          </w:p>
        </w:tc>
        <w:tc>
          <w:tcPr>
            <w:tcW w:w="542"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20 000</w:t>
            </w:r>
          </w:p>
        </w:tc>
      </w:tr>
      <w:tr w:rsidR="009769EF" w:rsidRPr="00300E07" w:rsidTr="00300E07">
        <w:trPr>
          <w:trHeight w:val="270"/>
        </w:trPr>
        <w:tc>
          <w:tcPr>
            <w:tcW w:w="3283" w:type="pct"/>
            <w:shd w:val="clear" w:color="auto" w:fill="auto"/>
            <w:noWrap/>
            <w:vAlign w:val="center"/>
            <w:hideMark/>
          </w:tcPr>
          <w:p w:rsidR="009769EF" w:rsidRPr="00300E07" w:rsidRDefault="00434822" w:rsidP="00300E07">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009769EF" w:rsidRPr="00300E07">
              <w:rPr>
                <w:rFonts w:ascii="Times New Roman" w:hAnsi="Times New Roman" w:cs="Times New Roman"/>
                <w:sz w:val="14"/>
                <w:szCs w:val="14"/>
                <w:lang w:eastAsia="sk-SK"/>
              </w:rPr>
              <w:t>Zmena ekonomickej klasifikácie rozpočtovej klasifikácie</w:t>
            </w:r>
          </w:p>
        </w:tc>
        <w:tc>
          <w:tcPr>
            <w:tcW w:w="62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20 000</w:t>
            </w:r>
          </w:p>
        </w:tc>
        <w:tc>
          <w:tcPr>
            <w:tcW w:w="54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20 000</w:t>
            </w:r>
          </w:p>
        </w:tc>
        <w:tc>
          <w:tcPr>
            <w:tcW w:w="542"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20 000</w:t>
            </w:r>
          </w:p>
        </w:tc>
      </w:tr>
      <w:tr w:rsidR="009769EF" w:rsidRPr="00300E07" w:rsidTr="00300E07">
        <w:trPr>
          <w:trHeight w:val="270"/>
        </w:trPr>
        <w:tc>
          <w:tcPr>
            <w:tcW w:w="3283" w:type="pct"/>
            <w:shd w:val="clear" w:color="auto" w:fill="auto"/>
            <w:noWrap/>
            <w:vAlign w:val="center"/>
            <w:hideMark/>
          </w:tcPr>
          <w:p w:rsidR="009769EF" w:rsidRPr="00300E07" w:rsidRDefault="009769EF" w:rsidP="00300E07">
            <w:pPr>
              <w:ind w:firstLineChars="300" w:firstLine="420"/>
              <w:rPr>
                <w:rFonts w:ascii="Times New Roman" w:hAnsi="Times New Roman" w:cs="Times New Roman"/>
                <w:sz w:val="14"/>
                <w:szCs w:val="14"/>
                <w:lang w:eastAsia="sk-SK"/>
              </w:rPr>
            </w:pPr>
            <w:r w:rsidRPr="00300E07">
              <w:rPr>
                <w:rFonts w:ascii="Times New Roman" w:hAnsi="Times New Roman" w:cs="Times New Roman"/>
                <w:sz w:val="14"/>
                <w:szCs w:val="14"/>
                <w:lang w:eastAsia="sk-SK"/>
              </w:rPr>
              <w:t>Iné dane</w:t>
            </w:r>
          </w:p>
        </w:tc>
        <w:tc>
          <w:tcPr>
            <w:tcW w:w="62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20 000</w:t>
            </w:r>
          </w:p>
        </w:tc>
        <w:tc>
          <w:tcPr>
            <w:tcW w:w="547"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20 000</w:t>
            </w:r>
          </w:p>
        </w:tc>
        <w:tc>
          <w:tcPr>
            <w:tcW w:w="542" w:type="pct"/>
            <w:shd w:val="clear" w:color="auto" w:fill="auto"/>
            <w:noWrap/>
            <w:vAlign w:val="center"/>
            <w:hideMark/>
          </w:tcPr>
          <w:p w:rsidR="009769EF" w:rsidRPr="00300E07" w:rsidRDefault="009769EF" w:rsidP="00300E07">
            <w:pPr>
              <w:jc w:val="right"/>
              <w:rPr>
                <w:rFonts w:ascii="Times New Roman" w:hAnsi="Times New Roman" w:cs="Times New Roman"/>
                <w:sz w:val="14"/>
                <w:szCs w:val="14"/>
                <w:lang w:eastAsia="sk-SK"/>
              </w:rPr>
            </w:pPr>
            <w:r w:rsidRPr="00300E07">
              <w:rPr>
                <w:rFonts w:ascii="Times New Roman" w:hAnsi="Times New Roman" w:cs="Times New Roman"/>
                <w:sz w:val="14"/>
                <w:szCs w:val="14"/>
                <w:lang w:eastAsia="sk-SK"/>
              </w:rPr>
              <w:t>20 000</w:t>
            </w:r>
          </w:p>
        </w:tc>
      </w:tr>
      <w:tr w:rsidR="009769EF" w:rsidRPr="00300E07" w:rsidTr="00300E07">
        <w:trPr>
          <w:trHeight w:val="270"/>
        </w:trPr>
        <w:tc>
          <w:tcPr>
            <w:tcW w:w="3283" w:type="pct"/>
            <w:shd w:val="clear" w:color="auto" w:fill="BFBFBF" w:themeFill="background1" w:themeFillShade="BF"/>
            <w:noWrap/>
            <w:vAlign w:val="center"/>
            <w:hideMark/>
          </w:tcPr>
          <w:p w:rsidR="009769EF" w:rsidRPr="00300E07" w:rsidRDefault="009769EF" w:rsidP="00300E07">
            <w:pP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Spolu vplyv</w:t>
            </w:r>
          </w:p>
        </w:tc>
        <w:tc>
          <w:tcPr>
            <w:tcW w:w="627"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-59 708</w:t>
            </w:r>
          </w:p>
        </w:tc>
        <w:tc>
          <w:tcPr>
            <w:tcW w:w="547"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-58 779</w:t>
            </w:r>
          </w:p>
        </w:tc>
        <w:tc>
          <w:tcPr>
            <w:tcW w:w="542" w:type="pct"/>
            <w:shd w:val="clear" w:color="auto" w:fill="BFBFBF" w:themeFill="background1" w:themeFillShade="BF"/>
            <w:noWrap/>
            <w:vAlign w:val="center"/>
            <w:hideMark/>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-58 600</w:t>
            </w:r>
          </w:p>
        </w:tc>
      </w:tr>
    </w:tbl>
    <w:p w:rsidR="009769EF" w:rsidRPr="00CE69ED" w:rsidRDefault="009769EF" w:rsidP="009769EF">
      <w:pPr>
        <w:ind w:firstLine="720"/>
        <w:jc w:val="both"/>
        <w:rPr>
          <w:rFonts w:ascii="Times New Roman" w:hAnsi="Times New Roman" w:cs="Times New Roman"/>
          <w:color w:val="00B050"/>
          <w:highlight w:val="yellow"/>
        </w:rPr>
      </w:pPr>
    </w:p>
    <w:p w:rsidR="00C14C79" w:rsidRDefault="00C14C79" w:rsidP="009769EF">
      <w:pPr>
        <w:ind w:firstLine="708"/>
        <w:jc w:val="both"/>
        <w:rPr>
          <w:rFonts w:ascii="Times New Roman" w:hAnsi="Times New Roman" w:cs="Times New Roman"/>
          <w:b/>
        </w:rPr>
      </w:pPr>
    </w:p>
    <w:p w:rsidR="00D25480" w:rsidRDefault="00D25480" w:rsidP="009769EF">
      <w:pPr>
        <w:ind w:firstLine="708"/>
        <w:jc w:val="both"/>
        <w:rPr>
          <w:rFonts w:ascii="Times New Roman" w:hAnsi="Times New Roman" w:cs="Times New Roman"/>
          <w:b/>
        </w:rPr>
      </w:pPr>
    </w:p>
    <w:p w:rsidR="00C14C79" w:rsidRDefault="00C14C79" w:rsidP="009769EF">
      <w:pPr>
        <w:ind w:firstLine="708"/>
        <w:jc w:val="both"/>
        <w:rPr>
          <w:rFonts w:ascii="Times New Roman" w:hAnsi="Times New Roman" w:cs="Times New Roman"/>
          <w:b/>
        </w:rPr>
      </w:pPr>
    </w:p>
    <w:p w:rsidR="00C14C79" w:rsidRDefault="00C14C79" w:rsidP="009769EF">
      <w:pPr>
        <w:ind w:firstLine="708"/>
        <w:jc w:val="both"/>
        <w:rPr>
          <w:rFonts w:ascii="Times New Roman" w:hAnsi="Times New Roman" w:cs="Times New Roman"/>
          <w:b/>
        </w:rPr>
      </w:pPr>
    </w:p>
    <w:p w:rsidR="009769EF" w:rsidRPr="00300E07" w:rsidRDefault="009769EF" w:rsidP="009769EF">
      <w:pPr>
        <w:ind w:firstLine="708"/>
        <w:jc w:val="both"/>
        <w:rPr>
          <w:rFonts w:ascii="Times New Roman" w:hAnsi="Times New Roman" w:cs="Times New Roman"/>
          <w:b/>
        </w:rPr>
      </w:pPr>
      <w:r w:rsidRPr="00300E07">
        <w:rPr>
          <w:rFonts w:ascii="Times New Roman" w:hAnsi="Times New Roman" w:cs="Times New Roman"/>
          <w:b/>
        </w:rPr>
        <w:lastRenderedPageBreak/>
        <w:t>Novela zákona č. 595/2003 Z. z. o dani z príjmov</w:t>
      </w:r>
    </w:p>
    <w:p w:rsidR="009769EF" w:rsidRDefault="009769EF" w:rsidP="009769EF">
      <w:pPr>
        <w:jc w:val="both"/>
        <w:rPr>
          <w:b/>
          <w:i/>
        </w:rPr>
      </w:pPr>
    </w:p>
    <w:p w:rsidR="009769EF" w:rsidRDefault="009769EF" w:rsidP="009769EF">
      <w:pPr>
        <w:ind w:firstLine="708"/>
        <w:jc w:val="both"/>
        <w:rPr>
          <w:rFonts w:ascii="Times New Roman" w:hAnsi="Times New Roman" w:cs="Times New Roman"/>
        </w:rPr>
      </w:pPr>
      <w:r w:rsidRPr="00073E4A">
        <w:rPr>
          <w:rFonts w:ascii="Times New Roman" w:hAnsi="Times New Roman" w:cs="Times New Roman"/>
        </w:rPr>
        <w:t>Novela zákona č. 595/2003 Z. z. o dani z príjmov ruší daňovú licenciu na dani z príjm</w:t>
      </w:r>
      <w:r w:rsidR="00186DE6">
        <w:rPr>
          <w:rFonts w:ascii="Times New Roman" w:hAnsi="Times New Roman" w:cs="Times New Roman"/>
        </w:rPr>
        <w:t>ov</w:t>
      </w:r>
      <w:r w:rsidRPr="00073E4A">
        <w:rPr>
          <w:rFonts w:ascii="Times New Roman" w:hAnsi="Times New Roman" w:cs="Times New Roman"/>
        </w:rPr>
        <w:t xml:space="preserve"> právnických osôb zavedenú v roku 2014. Zavedenie minimálnej dane, resp. daňovej licencie malo za úlohu zvýšiť daňové príjmy od firiem dlhodobo vykazujúcich nulový základ dane a následne nulovú daňovú povinnosť. Zrušenie daňovej licencie od roku 2018 negatívne ovplyvní príjmy </w:t>
      </w:r>
      <w:r>
        <w:rPr>
          <w:rFonts w:ascii="Times New Roman" w:hAnsi="Times New Roman" w:cs="Times New Roman"/>
        </w:rPr>
        <w:t>verejnej správy</w:t>
      </w:r>
      <w:r w:rsidRPr="00073E4A">
        <w:rPr>
          <w:rFonts w:ascii="Times New Roman" w:hAnsi="Times New Roman" w:cs="Times New Roman"/>
        </w:rPr>
        <w:t xml:space="preserve"> v rokoch 201</w:t>
      </w:r>
      <w:r>
        <w:rPr>
          <w:rFonts w:ascii="Times New Roman" w:hAnsi="Times New Roman" w:cs="Times New Roman"/>
        </w:rPr>
        <w:t>8</w:t>
      </w:r>
      <w:r w:rsidR="00434822">
        <w:rPr>
          <w:rFonts w:ascii="Times New Roman" w:hAnsi="Times New Roman" w:cs="Times New Roman"/>
        </w:rPr>
        <w:t xml:space="preserve"> až </w:t>
      </w:r>
      <w:r w:rsidRPr="00073E4A">
        <w:rPr>
          <w:rFonts w:ascii="Times New Roman" w:hAnsi="Times New Roman" w:cs="Times New Roman"/>
        </w:rPr>
        <w:t>2020.</w:t>
      </w:r>
    </w:p>
    <w:p w:rsidR="009769EF" w:rsidRDefault="009769EF" w:rsidP="009769EF">
      <w:pPr>
        <w:ind w:firstLine="708"/>
        <w:jc w:val="both"/>
        <w:rPr>
          <w:rFonts w:ascii="Times New Roman" w:hAnsi="Times New Roman" w:cs="Times New Roman"/>
        </w:rPr>
      </w:pPr>
    </w:p>
    <w:p w:rsidR="009769EF" w:rsidRDefault="009769EF" w:rsidP="009769EF">
      <w:pPr>
        <w:ind w:firstLine="708"/>
        <w:jc w:val="both"/>
        <w:rPr>
          <w:rFonts w:ascii="Times New Roman" w:hAnsi="Times New Roman" w:cs="Times New Roman"/>
        </w:rPr>
      </w:pPr>
      <w:r>
        <w:rPr>
          <w:rFonts w:ascii="Times New Roman" w:hAnsi="Times New Roman" w:cs="Times New Roman"/>
        </w:rPr>
        <w:t>Ďalej n</w:t>
      </w:r>
      <w:r w:rsidRPr="00073E4A">
        <w:rPr>
          <w:rFonts w:ascii="Times New Roman" w:hAnsi="Times New Roman" w:cs="Times New Roman"/>
        </w:rPr>
        <w:t>ovela zákona č. 595/2003 Z. z. o dani z</w:t>
      </w:r>
      <w:r>
        <w:rPr>
          <w:rFonts w:ascii="Times New Roman" w:hAnsi="Times New Roman" w:cs="Times New Roman"/>
        </w:rPr>
        <w:t> </w:t>
      </w:r>
      <w:r w:rsidRPr="00073E4A">
        <w:rPr>
          <w:rFonts w:ascii="Times New Roman" w:hAnsi="Times New Roman" w:cs="Times New Roman"/>
        </w:rPr>
        <w:t>príjmov</w:t>
      </w:r>
      <w:r>
        <w:rPr>
          <w:rFonts w:ascii="Times New Roman" w:hAnsi="Times New Roman" w:cs="Times New Roman"/>
        </w:rPr>
        <w:t xml:space="preserve"> upravuje odpisovanie technického zhodnotenia pre sektor kúpeľníctva. Novela umožní subjektom v sektore kúpeľníctva samostatné odpisovanie technického zhodnotenia, ak jeho objem presiahne 10 % zo vstupnej ceny budovy. Doba odpisovania bude 6 rokov. </w:t>
      </w:r>
    </w:p>
    <w:p w:rsidR="009769EF" w:rsidRDefault="009769EF" w:rsidP="009769EF">
      <w:pPr>
        <w:ind w:firstLine="708"/>
        <w:jc w:val="both"/>
        <w:rPr>
          <w:rFonts w:ascii="Times New Roman" w:hAnsi="Times New Roman" w:cs="Times New Roman"/>
        </w:rPr>
      </w:pPr>
    </w:p>
    <w:p w:rsidR="009769EF" w:rsidRDefault="009769EF" w:rsidP="009769EF">
      <w:pPr>
        <w:ind w:firstLine="708"/>
        <w:jc w:val="both"/>
        <w:rPr>
          <w:rFonts w:ascii="Times New Roman" w:hAnsi="Times New Roman" w:cs="Times New Roman"/>
        </w:rPr>
      </w:pPr>
      <w:r w:rsidRPr="00741F3E">
        <w:rPr>
          <w:rFonts w:ascii="Times New Roman" w:hAnsi="Times New Roman" w:cs="Times New Roman"/>
        </w:rPr>
        <w:t>Zmena zákona o dani z príjmov umožní subjektom podliehajúcim dani z príjmov právnických osôb realizujúcim projekty na vedu a výskum (</w:t>
      </w:r>
      <w:proofErr w:type="spellStart"/>
      <w:r w:rsidRPr="00741F3E">
        <w:rPr>
          <w:rFonts w:ascii="Times New Roman" w:hAnsi="Times New Roman" w:cs="Times New Roman"/>
        </w:rPr>
        <w:t>VaV</w:t>
      </w:r>
      <w:proofErr w:type="spellEnd"/>
      <w:r w:rsidRPr="00741F3E">
        <w:rPr>
          <w:rFonts w:ascii="Times New Roman" w:hAnsi="Times New Roman" w:cs="Times New Roman"/>
        </w:rPr>
        <w:t xml:space="preserve">) odpočet v objeme 100 % celkových výdavkov na </w:t>
      </w:r>
      <w:proofErr w:type="spellStart"/>
      <w:r w:rsidRPr="00741F3E">
        <w:rPr>
          <w:rFonts w:ascii="Times New Roman" w:hAnsi="Times New Roman" w:cs="Times New Roman"/>
        </w:rPr>
        <w:t>VaV</w:t>
      </w:r>
      <w:proofErr w:type="spellEnd"/>
      <w:r w:rsidRPr="00741F3E">
        <w:rPr>
          <w:rFonts w:ascii="Times New Roman" w:hAnsi="Times New Roman" w:cs="Times New Roman"/>
        </w:rPr>
        <w:t xml:space="preserve"> a odpočet 100 % z priemerného medziročného nárastu celkových výdavkov za 2 roky</w:t>
      </w:r>
      <w:r>
        <w:rPr>
          <w:rFonts w:ascii="Times New Roman" w:hAnsi="Times New Roman" w:cs="Times New Roman"/>
        </w:rPr>
        <w:t>.</w:t>
      </w:r>
    </w:p>
    <w:p w:rsidR="009769EF" w:rsidRDefault="009769EF" w:rsidP="009769EF">
      <w:pPr>
        <w:ind w:firstLine="708"/>
        <w:jc w:val="both"/>
        <w:rPr>
          <w:rFonts w:ascii="Times New Roman" w:hAnsi="Times New Roman" w:cs="Times New Roman"/>
        </w:rPr>
      </w:pPr>
    </w:p>
    <w:p w:rsidR="009769EF" w:rsidRPr="00805D80" w:rsidRDefault="009769EF" w:rsidP="009769EF">
      <w:pPr>
        <w:ind w:firstLine="708"/>
        <w:jc w:val="both"/>
        <w:rPr>
          <w:rFonts w:ascii="Times New Roman" w:hAnsi="Times New Roman" w:cs="Times New Roman"/>
        </w:rPr>
      </w:pPr>
      <w:r w:rsidRPr="00805D80">
        <w:rPr>
          <w:rFonts w:ascii="Times New Roman" w:hAnsi="Times New Roman" w:cs="Times New Roman"/>
        </w:rPr>
        <w:t xml:space="preserve">Ďalšie zmeny majú vplyv na výnos dane z príjmov fyzických osôb. Do daňového systému sa zavádza nezdaniteľná časť na kúpeľnú starostlivosť. Maximálna výška NČZD je </w:t>
      </w:r>
      <w:r w:rsidR="00434822">
        <w:rPr>
          <w:rFonts w:ascii="Times New Roman" w:hAnsi="Times New Roman" w:cs="Times New Roman"/>
        </w:rPr>
        <w:br/>
      </w:r>
      <w:r w:rsidRPr="00805D80">
        <w:rPr>
          <w:rFonts w:ascii="Times New Roman" w:hAnsi="Times New Roman" w:cs="Times New Roman"/>
        </w:rPr>
        <w:t xml:space="preserve">50 eur a daňovník si ju môže uplatniť kumulatívne aj na manželku a vyživované dieťa.  Zavedenie NČZD negatívne ovplyvní príjmy v rokoch 2018 </w:t>
      </w:r>
      <w:r w:rsidR="00434822">
        <w:rPr>
          <w:rFonts w:ascii="Times New Roman" w:hAnsi="Times New Roman" w:cs="Times New Roman"/>
        </w:rPr>
        <w:t>až</w:t>
      </w:r>
      <w:r w:rsidRPr="00805D80">
        <w:rPr>
          <w:rFonts w:ascii="Times New Roman" w:hAnsi="Times New Roman" w:cs="Times New Roman"/>
        </w:rPr>
        <w:t xml:space="preserve"> 2020. Druhou legislatívnou zmenou je zavedenie daňového bonusu na hypotéky. Novela postupne nahradí štátny príspevok pre mladých. Daňovník si bude môcť uplatniť daňový bonus na zaplatené úroky vo výške </w:t>
      </w:r>
      <w:r w:rsidR="00434822">
        <w:rPr>
          <w:rFonts w:ascii="Times New Roman" w:hAnsi="Times New Roman" w:cs="Times New Roman"/>
        </w:rPr>
        <w:br/>
      </w:r>
      <w:r w:rsidRPr="00805D80">
        <w:rPr>
          <w:rFonts w:ascii="Times New Roman" w:hAnsi="Times New Roman" w:cs="Times New Roman"/>
        </w:rPr>
        <w:t>50 % zo zaplatených úrokov v príslušnom zdaňovacom období</w:t>
      </w:r>
      <w:r>
        <w:rPr>
          <w:rFonts w:ascii="Times New Roman" w:hAnsi="Times New Roman" w:cs="Times New Roman"/>
        </w:rPr>
        <w:t>,</w:t>
      </w:r>
      <w:r w:rsidRPr="00805D80">
        <w:rPr>
          <w:rFonts w:ascii="Times New Roman" w:hAnsi="Times New Roman" w:cs="Times New Roman"/>
        </w:rPr>
        <w:t xml:space="preserve"> najviac však do výšky 400 eur za rok. </w:t>
      </w:r>
    </w:p>
    <w:p w:rsidR="009769EF" w:rsidRDefault="009769EF" w:rsidP="009769EF">
      <w:pPr>
        <w:ind w:firstLine="708"/>
        <w:jc w:val="both"/>
        <w:rPr>
          <w:rFonts w:ascii="Times New Roman" w:hAnsi="Times New Roman" w:cs="Times New Roman"/>
        </w:rPr>
      </w:pPr>
    </w:p>
    <w:p w:rsidR="009769EF" w:rsidRPr="00300E07" w:rsidRDefault="009769EF" w:rsidP="009769EF">
      <w:pPr>
        <w:ind w:firstLine="708"/>
        <w:jc w:val="both"/>
        <w:rPr>
          <w:rFonts w:ascii="Times New Roman" w:hAnsi="Times New Roman" w:cs="Times New Roman"/>
          <w:b/>
        </w:rPr>
      </w:pPr>
      <w:r w:rsidRPr="00300E07">
        <w:rPr>
          <w:rFonts w:ascii="Times New Roman" w:hAnsi="Times New Roman" w:cs="Times New Roman"/>
          <w:b/>
        </w:rPr>
        <w:t>Novela zákona č. 98/2004 Z. z. o spotrebnej dani z minerálneho oleja</w:t>
      </w:r>
    </w:p>
    <w:p w:rsidR="009769EF" w:rsidRPr="002B0850" w:rsidRDefault="009769EF" w:rsidP="009769EF">
      <w:pPr>
        <w:jc w:val="both"/>
        <w:rPr>
          <w:b/>
          <w:i/>
          <w:highlight w:val="yellow"/>
        </w:rPr>
      </w:pPr>
    </w:p>
    <w:p w:rsidR="009769EF" w:rsidRPr="00300E07" w:rsidRDefault="009769EF" w:rsidP="009769EF">
      <w:pPr>
        <w:ind w:firstLine="708"/>
        <w:jc w:val="both"/>
        <w:rPr>
          <w:rFonts w:ascii="Times New Roman" w:hAnsi="Times New Roman" w:cs="Times New Roman"/>
        </w:rPr>
      </w:pPr>
      <w:r w:rsidRPr="00300E07">
        <w:rPr>
          <w:rFonts w:ascii="Times New Roman" w:hAnsi="Times New Roman" w:cs="Times New Roman"/>
        </w:rPr>
        <w:t>Od 1.</w:t>
      </w:r>
      <w:r w:rsidR="00434822">
        <w:rPr>
          <w:rFonts w:ascii="Times New Roman" w:hAnsi="Times New Roman" w:cs="Times New Roman"/>
        </w:rPr>
        <w:t xml:space="preserve"> </w:t>
      </w:r>
      <w:r w:rsidRPr="00300E07">
        <w:rPr>
          <w:rFonts w:ascii="Times New Roman" w:hAnsi="Times New Roman" w:cs="Times New Roman"/>
        </w:rPr>
        <w:t>1.</w:t>
      </w:r>
      <w:r w:rsidR="00434822">
        <w:rPr>
          <w:rFonts w:ascii="Times New Roman" w:hAnsi="Times New Roman" w:cs="Times New Roman"/>
        </w:rPr>
        <w:t xml:space="preserve"> </w:t>
      </w:r>
      <w:r w:rsidRPr="00300E07">
        <w:rPr>
          <w:rFonts w:ascii="Times New Roman" w:hAnsi="Times New Roman" w:cs="Times New Roman"/>
        </w:rPr>
        <w:t xml:space="preserve">2018 sa upravujú sadzby spotrebnej dane na benzín a naftu. Zavedie sa jedna základná sadzba dane na motorový benzín (554 eur/1000 l) a motorovú naftu (394 eur/1000 l). Súčasne sa zavedie daňovo zvýhodnená sadzba spotrebnej dane na uvedené pohonné látky, ak budú tieto obsahovať požadovaný objem </w:t>
      </w:r>
      <w:proofErr w:type="spellStart"/>
      <w:r w:rsidRPr="00300E07">
        <w:rPr>
          <w:rFonts w:ascii="Times New Roman" w:hAnsi="Times New Roman" w:cs="Times New Roman"/>
        </w:rPr>
        <w:t>biopaliva</w:t>
      </w:r>
      <w:proofErr w:type="spellEnd"/>
      <w:r w:rsidRPr="00300E07">
        <w:rPr>
          <w:rFonts w:ascii="Times New Roman" w:hAnsi="Times New Roman" w:cs="Times New Roman"/>
        </w:rPr>
        <w:t xml:space="preserve"> a toto </w:t>
      </w:r>
      <w:proofErr w:type="spellStart"/>
      <w:r w:rsidRPr="00300E07">
        <w:rPr>
          <w:rFonts w:ascii="Times New Roman" w:hAnsi="Times New Roman" w:cs="Times New Roman"/>
        </w:rPr>
        <w:t>biopalivo</w:t>
      </w:r>
      <w:proofErr w:type="spellEnd"/>
      <w:r w:rsidRPr="00300E07">
        <w:rPr>
          <w:rFonts w:ascii="Times New Roman" w:hAnsi="Times New Roman" w:cs="Times New Roman"/>
        </w:rPr>
        <w:t xml:space="preserve"> bude spĺňať kritériá trvalej udržateľnosti. Daňovo zvýhodnená sadzba na motorový benzín bude vo výške 514 eur/1000 l a na motorovú naftu bude 368 eur/1000 l. Podmienkou na uplatňovanie novej schémy zvýhodneného daňového režimu na používanie palív z obnoviteľných zdrojov bude jej schválenie Európskou komisiou (EK). Ak EK nerozhodne do 31.</w:t>
      </w:r>
      <w:r w:rsidR="00207B1D">
        <w:rPr>
          <w:rFonts w:ascii="Times New Roman" w:hAnsi="Times New Roman" w:cs="Times New Roman"/>
        </w:rPr>
        <w:t xml:space="preserve"> </w:t>
      </w:r>
      <w:r w:rsidRPr="00300E07">
        <w:rPr>
          <w:rFonts w:ascii="Times New Roman" w:hAnsi="Times New Roman" w:cs="Times New Roman"/>
        </w:rPr>
        <w:t>12.</w:t>
      </w:r>
      <w:r w:rsidR="00207B1D">
        <w:rPr>
          <w:rFonts w:ascii="Times New Roman" w:hAnsi="Times New Roman" w:cs="Times New Roman"/>
        </w:rPr>
        <w:t xml:space="preserve"> </w:t>
      </w:r>
      <w:r w:rsidRPr="00300E07">
        <w:rPr>
          <w:rFonts w:ascii="Times New Roman" w:hAnsi="Times New Roman" w:cs="Times New Roman"/>
        </w:rPr>
        <w:t>2017, budú v prechodnom období od 1.</w:t>
      </w:r>
      <w:r w:rsidR="00207B1D">
        <w:rPr>
          <w:rFonts w:ascii="Times New Roman" w:hAnsi="Times New Roman" w:cs="Times New Roman"/>
        </w:rPr>
        <w:t xml:space="preserve"> </w:t>
      </w:r>
      <w:r w:rsidRPr="00300E07">
        <w:rPr>
          <w:rFonts w:ascii="Times New Roman" w:hAnsi="Times New Roman" w:cs="Times New Roman"/>
        </w:rPr>
        <w:t>1.</w:t>
      </w:r>
      <w:r w:rsidR="00207B1D">
        <w:rPr>
          <w:rFonts w:ascii="Times New Roman" w:hAnsi="Times New Roman" w:cs="Times New Roman"/>
        </w:rPr>
        <w:t xml:space="preserve"> </w:t>
      </w:r>
      <w:r w:rsidRPr="00300E07">
        <w:rPr>
          <w:rFonts w:ascii="Times New Roman" w:hAnsi="Times New Roman" w:cs="Times New Roman"/>
        </w:rPr>
        <w:t xml:space="preserve">2018 do konca mesiaca, v ktorom EK oznámi svoje rozhodnutie, platiť sadzby spotrebnej dane nasledovne: pre motorový benzín 514,5 eur/1000 l a pre motorovú naftu </w:t>
      </w:r>
      <w:r w:rsidR="00207B1D">
        <w:rPr>
          <w:rFonts w:ascii="Times New Roman" w:hAnsi="Times New Roman" w:cs="Times New Roman"/>
        </w:rPr>
        <w:br/>
      </w:r>
      <w:r w:rsidRPr="00300E07">
        <w:rPr>
          <w:rFonts w:ascii="Times New Roman" w:hAnsi="Times New Roman" w:cs="Times New Roman"/>
        </w:rPr>
        <w:t>368 eur/1000 l. Uvedená úprava sadzieb bude mať zanedbateľný negatívny vplyv na výnos spotrebnej dane z minerálneho oleja.</w:t>
      </w:r>
    </w:p>
    <w:p w:rsidR="009769EF" w:rsidRPr="00300E07" w:rsidRDefault="009769EF" w:rsidP="009769EF">
      <w:pPr>
        <w:ind w:firstLine="708"/>
        <w:jc w:val="both"/>
        <w:rPr>
          <w:rFonts w:ascii="Times New Roman" w:hAnsi="Times New Roman" w:cs="Times New Roman"/>
        </w:rPr>
      </w:pPr>
    </w:p>
    <w:p w:rsidR="009769EF" w:rsidRPr="00300E07" w:rsidRDefault="009769EF" w:rsidP="009769EF">
      <w:pPr>
        <w:ind w:firstLine="708"/>
        <w:jc w:val="both"/>
        <w:rPr>
          <w:rFonts w:ascii="Times New Roman" w:hAnsi="Times New Roman" w:cs="Times New Roman"/>
        </w:rPr>
      </w:pPr>
      <w:r w:rsidRPr="00300E07">
        <w:rPr>
          <w:rFonts w:ascii="Times New Roman" w:hAnsi="Times New Roman" w:cs="Times New Roman"/>
        </w:rPr>
        <w:t>Od 1.</w:t>
      </w:r>
      <w:r w:rsidR="00207B1D">
        <w:rPr>
          <w:rFonts w:ascii="Times New Roman" w:hAnsi="Times New Roman" w:cs="Times New Roman"/>
        </w:rPr>
        <w:t xml:space="preserve"> </w:t>
      </w:r>
      <w:r w:rsidRPr="00300E07">
        <w:rPr>
          <w:rFonts w:ascii="Times New Roman" w:hAnsi="Times New Roman" w:cs="Times New Roman"/>
        </w:rPr>
        <w:t>4.</w:t>
      </w:r>
      <w:r w:rsidR="00207B1D">
        <w:rPr>
          <w:rFonts w:ascii="Times New Roman" w:hAnsi="Times New Roman" w:cs="Times New Roman"/>
        </w:rPr>
        <w:t xml:space="preserve"> </w:t>
      </w:r>
      <w:r w:rsidRPr="00300E07">
        <w:rPr>
          <w:rFonts w:ascii="Times New Roman" w:hAnsi="Times New Roman" w:cs="Times New Roman"/>
        </w:rPr>
        <w:t>2018 vstúpia do platnosti legislatívne úpravy zamerané na elimináciu daňových únikov na spotrebnej dani z minerálneho oleja.</w:t>
      </w:r>
    </w:p>
    <w:p w:rsidR="009769EF" w:rsidRPr="00300E07" w:rsidRDefault="009769EF" w:rsidP="009769EF">
      <w:pPr>
        <w:ind w:firstLine="708"/>
        <w:jc w:val="both"/>
        <w:rPr>
          <w:color w:val="000000"/>
          <w:highlight w:val="yellow"/>
        </w:rPr>
      </w:pPr>
    </w:p>
    <w:p w:rsidR="009769EF" w:rsidRPr="00300E07" w:rsidRDefault="009769EF" w:rsidP="009769EF">
      <w:pPr>
        <w:ind w:firstLine="708"/>
        <w:jc w:val="both"/>
        <w:rPr>
          <w:b/>
        </w:rPr>
      </w:pPr>
      <w:r w:rsidRPr="00300E07">
        <w:rPr>
          <w:rFonts w:ascii="Times New Roman" w:hAnsi="Times New Roman" w:cs="Times New Roman"/>
          <w:b/>
        </w:rPr>
        <w:t>Novela zákona č. 222/2004 Z. z. o dani z pridanej hodnoty</w:t>
      </w:r>
    </w:p>
    <w:p w:rsidR="009769EF" w:rsidRPr="00300E07" w:rsidRDefault="009769EF" w:rsidP="009769EF">
      <w:pPr>
        <w:jc w:val="both"/>
        <w:rPr>
          <w:b/>
        </w:rPr>
      </w:pPr>
    </w:p>
    <w:p w:rsidR="009769EF" w:rsidRDefault="009769EF" w:rsidP="009769EF">
      <w:pPr>
        <w:ind w:firstLine="708"/>
        <w:jc w:val="both"/>
        <w:rPr>
          <w:rFonts w:ascii="Times New Roman" w:hAnsi="Times New Roman" w:cs="Times New Roman"/>
        </w:rPr>
      </w:pPr>
      <w:r w:rsidRPr="00300E07">
        <w:rPr>
          <w:rFonts w:ascii="Times New Roman" w:hAnsi="Times New Roman" w:cs="Times New Roman"/>
        </w:rPr>
        <w:t xml:space="preserve">Novelou zákona </w:t>
      </w:r>
      <w:r w:rsidR="00207B1D">
        <w:rPr>
          <w:rFonts w:ascii="Times New Roman" w:hAnsi="Times New Roman" w:cs="Times New Roman"/>
        </w:rPr>
        <w:t xml:space="preserve">č. </w:t>
      </w:r>
      <w:r w:rsidRPr="00300E07">
        <w:rPr>
          <w:rFonts w:ascii="Times New Roman" w:hAnsi="Times New Roman" w:cs="Times New Roman"/>
        </w:rPr>
        <w:t>222/2004 Z.</w:t>
      </w:r>
      <w:r w:rsidR="00207B1D">
        <w:rPr>
          <w:rFonts w:ascii="Times New Roman" w:hAnsi="Times New Roman" w:cs="Times New Roman"/>
        </w:rPr>
        <w:t xml:space="preserve"> </w:t>
      </w:r>
      <w:r w:rsidRPr="00300E07">
        <w:rPr>
          <w:rFonts w:ascii="Times New Roman" w:hAnsi="Times New Roman" w:cs="Times New Roman"/>
        </w:rPr>
        <w:t xml:space="preserve">z. o dani z pridanej hodnoty (DPH) sa oslobodí materiálna humanitárna pomoc venovaná súkromnými spoločnosťami od DPH. Súkromné spoločnosti aj dnes prispievajú vo forme darov, resp. darovacích listín na materiálnu </w:t>
      </w:r>
      <w:r w:rsidRPr="00300E07">
        <w:rPr>
          <w:rFonts w:ascii="Times New Roman" w:hAnsi="Times New Roman" w:cs="Times New Roman"/>
        </w:rPr>
        <w:lastRenderedPageBreak/>
        <w:t>humanitárnu pomoc. Uvedené oslobodenie môže motivovať spoločnosti prispievať na humanitárnu pomoc vo vyššej miere. Novela zákona ďalej upravuje podmienky ručenia za daň.</w:t>
      </w:r>
    </w:p>
    <w:p w:rsidR="009769EF" w:rsidRPr="00300E07" w:rsidRDefault="009769EF" w:rsidP="009769EF">
      <w:pPr>
        <w:jc w:val="both"/>
        <w:rPr>
          <w:b/>
        </w:rPr>
      </w:pPr>
    </w:p>
    <w:p w:rsidR="009769EF" w:rsidRPr="00300E07" w:rsidRDefault="009769EF" w:rsidP="009769EF">
      <w:pPr>
        <w:ind w:firstLine="708"/>
        <w:jc w:val="both"/>
        <w:rPr>
          <w:rFonts w:ascii="Times New Roman" w:hAnsi="Times New Roman" w:cs="Times New Roman"/>
          <w:b/>
        </w:rPr>
      </w:pPr>
      <w:r w:rsidRPr="00300E07">
        <w:rPr>
          <w:rFonts w:ascii="Times New Roman" w:hAnsi="Times New Roman" w:cs="Times New Roman"/>
          <w:b/>
        </w:rPr>
        <w:t>Zákon č. 576/2004 Z. z. o zdravotnej starostlivosti, službách súvisiacich s poskytovaním zdravotnej starostlivosti</w:t>
      </w:r>
    </w:p>
    <w:p w:rsidR="009769EF" w:rsidRPr="00300E07" w:rsidRDefault="009769EF" w:rsidP="009769EF">
      <w:pPr>
        <w:jc w:val="both"/>
        <w:rPr>
          <w:rFonts w:ascii="Times New Roman" w:hAnsi="Times New Roman" w:cs="Times New Roman"/>
          <w:b/>
        </w:rPr>
      </w:pPr>
    </w:p>
    <w:p w:rsidR="009769EF" w:rsidRPr="004C3E9C" w:rsidRDefault="009769EF" w:rsidP="009769EF">
      <w:pPr>
        <w:ind w:firstLine="708"/>
        <w:jc w:val="both"/>
        <w:rPr>
          <w:rFonts w:ascii="Times New Roman" w:hAnsi="Times New Roman" w:cs="Times New Roman"/>
        </w:rPr>
      </w:pPr>
      <w:r>
        <w:rPr>
          <w:rFonts w:ascii="Times New Roman" w:hAnsi="Times New Roman" w:cs="Times New Roman"/>
        </w:rPr>
        <w:t>Odvodová o</w:t>
      </w:r>
      <w:r w:rsidRPr="004C3E9C">
        <w:rPr>
          <w:rFonts w:ascii="Times New Roman" w:hAnsi="Times New Roman" w:cs="Times New Roman"/>
        </w:rPr>
        <w:t xml:space="preserve">dpočítateľná položka je koncipovaná ako opatrenie na podporu nízkopríjmových skupín zamestnancov. V určitých špecifických prípadoch ale mohol vzniknúť nárok na uplatnenie odpočítateľnej položky aj zamestnancom, ktorí nepatrili do kategórie nízkopríjmových, avšak v priebehu roka sa stali poistencami štátu bez ďalšieho príjmu (a </w:t>
      </w:r>
      <w:r>
        <w:rPr>
          <w:rFonts w:ascii="Times New Roman" w:hAnsi="Times New Roman" w:cs="Times New Roman"/>
        </w:rPr>
        <w:t xml:space="preserve">teda </w:t>
      </w:r>
      <w:r w:rsidRPr="004C3E9C">
        <w:rPr>
          <w:rFonts w:ascii="Times New Roman" w:hAnsi="Times New Roman" w:cs="Times New Roman"/>
        </w:rPr>
        <w:t>na celoročnom horizonte túto podmienku splnili). Cieľom novely je zamedziť tejto situácii, čo na horizonte prognózy zvyšuje príjmy zo zdravotných odvodov.</w:t>
      </w:r>
    </w:p>
    <w:p w:rsidR="009769EF" w:rsidRPr="004F0DD3" w:rsidRDefault="009769EF" w:rsidP="009769EF">
      <w:pPr>
        <w:jc w:val="both"/>
        <w:rPr>
          <w:rFonts w:ascii="Times New Roman" w:hAnsi="Times New Roman" w:cs="Times New Roman"/>
          <w:b/>
          <w:i/>
        </w:rPr>
      </w:pPr>
      <w:r>
        <w:rPr>
          <w:rFonts w:ascii="Times New Roman" w:hAnsi="Times New Roman" w:cs="Times New Roman"/>
          <w:b/>
          <w:i/>
        </w:rPr>
        <w:tab/>
      </w:r>
    </w:p>
    <w:p w:rsidR="009769EF" w:rsidRPr="00300E07" w:rsidRDefault="009769EF" w:rsidP="009769EF">
      <w:pPr>
        <w:ind w:firstLine="708"/>
        <w:jc w:val="both"/>
        <w:rPr>
          <w:rFonts w:ascii="Times New Roman" w:hAnsi="Times New Roman" w:cs="Times New Roman"/>
          <w:b/>
        </w:rPr>
      </w:pPr>
      <w:r w:rsidRPr="00300E07">
        <w:rPr>
          <w:rFonts w:ascii="Times New Roman" w:hAnsi="Times New Roman" w:cs="Times New Roman"/>
          <w:b/>
        </w:rPr>
        <w:t>Novela opatrenia MF SR č. MF/010175/2004-42, ktorým sa ustanovuje druhová klasifikácia, organizačná klasifikácia a ekonomická klasifikácia rozpočtovej klasifikácie v znení neskorších predpisov</w:t>
      </w:r>
    </w:p>
    <w:p w:rsidR="009769EF" w:rsidRPr="00073E4A" w:rsidRDefault="009769EF" w:rsidP="009769EF">
      <w:pPr>
        <w:ind w:firstLine="708"/>
        <w:jc w:val="both"/>
        <w:rPr>
          <w:rFonts w:ascii="Times New Roman" w:hAnsi="Times New Roman" w:cs="Times New Roman"/>
        </w:rPr>
      </w:pPr>
    </w:p>
    <w:p w:rsidR="009769EF" w:rsidRPr="0075583F" w:rsidRDefault="009769EF" w:rsidP="009769EF">
      <w:pPr>
        <w:ind w:firstLine="708"/>
        <w:jc w:val="both"/>
        <w:rPr>
          <w:rFonts w:ascii="Times New Roman" w:hAnsi="Times New Roman" w:cs="Times New Roman"/>
        </w:rPr>
      </w:pPr>
      <w:r w:rsidRPr="00073E4A">
        <w:rPr>
          <w:rFonts w:ascii="Times New Roman" w:hAnsi="Times New Roman" w:cs="Times New Roman"/>
        </w:rPr>
        <w:t>Novelou opatrenia bol preklasifikovaný odvod časti poistného z odvetví neživotného poistenia z nedaňových príjmov do daňových. Vzhľadom na to, že ide len o presun v rámci ekonomickej klasifikácie, nemá táto zmena vplyv na saldo ani celkové príjmy verejnej správy. Uvedená zmena zvyšuje daňové príjmy a o rovnakú sumu znižuje nedaňové príjmy na celom časovom horizonte.</w:t>
      </w:r>
    </w:p>
    <w:p w:rsidR="009769EF" w:rsidRPr="00AC1FAE" w:rsidRDefault="009769EF" w:rsidP="009769EF">
      <w:pPr>
        <w:ind w:firstLine="720"/>
        <w:jc w:val="both"/>
        <w:rPr>
          <w:rFonts w:ascii="Times New Roman" w:hAnsi="Times New Roman" w:cs="Times New Roman"/>
          <w:color w:val="00B050"/>
        </w:rPr>
      </w:pPr>
    </w:p>
    <w:p w:rsidR="009769EF" w:rsidRPr="00AC1FAE" w:rsidRDefault="009769EF" w:rsidP="009769EF">
      <w:pPr>
        <w:rPr>
          <w:rFonts w:ascii="Times New Roman" w:hAnsi="Times New Roman" w:cs="Times New Roman"/>
          <w:b/>
          <w:bCs/>
        </w:rPr>
      </w:pPr>
      <w:r w:rsidRPr="00AC1FAE">
        <w:rPr>
          <w:rFonts w:ascii="Times New Roman" w:hAnsi="Times New Roman" w:cs="Times New Roman"/>
          <w:b/>
          <w:bCs/>
        </w:rPr>
        <w:t>Odhad jednotlivých daní</w:t>
      </w:r>
    </w:p>
    <w:p w:rsidR="009769EF" w:rsidRPr="00CE69ED" w:rsidRDefault="009769EF" w:rsidP="009769EF">
      <w:pPr>
        <w:rPr>
          <w:rFonts w:ascii="Times New Roman" w:hAnsi="Times New Roman" w:cs="Times New Roman"/>
          <w:b/>
          <w:bCs/>
          <w:color w:val="FF0000"/>
          <w:highlight w:val="yellow"/>
        </w:rPr>
      </w:pPr>
    </w:p>
    <w:p w:rsidR="009769EF" w:rsidRPr="00AC1FAE" w:rsidRDefault="009769EF" w:rsidP="009769EF">
      <w:pPr>
        <w:ind w:firstLine="708"/>
        <w:jc w:val="both"/>
        <w:rPr>
          <w:rFonts w:ascii="Times New Roman" w:hAnsi="Times New Roman" w:cs="Times New Roman"/>
        </w:rPr>
      </w:pPr>
      <w:r w:rsidRPr="00AC1FAE">
        <w:rPr>
          <w:rFonts w:ascii="Times New Roman" w:hAnsi="Times New Roman" w:cs="Times New Roman"/>
        </w:rPr>
        <w:t xml:space="preserve">Aktuálna prognóza na roky 2017 až 2020 zohľadňuje okrem makroekonomického rámca a platnej legislatívy aj skutočné výnosy daní za rok 2016 podľa metodiky ESA 2010 (okrem DPFO z podnikania, DPPO a osobitného odvodu z regulovaných odvetví, ktoré sú odhadmi) a aktuálne hotovostné plnenie daní za január až </w:t>
      </w:r>
      <w:r>
        <w:rPr>
          <w:rFonts w:ascii="Times New Roman" w:hAnsi="Times New Roman" w:cs="Times New Roman"/>
        </w:rPr>
        <w:t>august</w:t>
      </w:r>
      <w:r w:rsidRPr="00AC1FAE">
        <w:rPr>
          <w:rFonts w:ascii="Times New Roman" w:hAnsi="Times New Roman" w:cs="Times New Roman"/>
        </w:rPr>
        <w:t xml:space="preserve"> 2017.</w:t>
      </w:r>
    </w:p>
    <w:p w:rsidR="009769EF" w:rsidRPr="00CE69ED" w:rsidRDefault="009769EF" w:rsidP="009769EF">
      <w:pPr>
        <w:rPr>
          <w:rFonts w:ascii="Times New Roman" w:hAnsi="Times New Roman" w:cs="Times New Roman"/>
          <w:b/>
          <w:bCs/>
          <w:color w:val="FF0000"/>
          <w:highlight w:val="yellow"/>
        </w:rPr>
      </w:pPr>
    </w:p>
    <w:p w:rsidR="009769EF" w:rsidRPr="00DB5185" w:rsidRDefault="009769EF" w:rsidP="009769EF">
      <w:pPr>
        <w:ind w:firstLine="720"/>
        <w:jc w:val="both"/>
        <w:rPr>
          <w:rFonts w:ascii="Times New Roman" w:hAnsi="Times New Roman" w:cs="Times New Roman"/>
          <w:highlight w:val="yellow"/>
        </w:rPr>
      </w:pPr>
      <w:r w:rsidRPr="008A79ED">
        <w:rPr>
          <w:rFonts w:ascii="Times New Roman" w:hAnsi="Times New Roman" w:cs="Times New Roman"/>
        </w:rPr>
        <w:t xml:space="preserve">Lepšie plnenie a priaznivý vývoj na trhu práce pozitívne vplývajú na výnos </w:t>
      </w:r>
      <w:r w:rsidRPr="008A79ED">
        <w:rPr>
          <w:rFonts w:ascii="Times New Roman" w:hAnsi="Times New Roman" w:cs="Times New Roman"/>
          <w:b/>
          <w:bCs/>
        </w:rPr>
        <w:t xml:space="preserve">dane z príjmu fyzických osôb zo závislej činnosti </w:t>
      </w:r>
      <w:r w:rsidRPr="008A79ED">
        <w:rPr>
          <w:rFonts w:ascii="Times New Roman" w:hAnsi="Times New Roman" w:cs="Times New Roman"/>
          <w:bCs/>
        </w:rPr>
        <w:t xml:space="preserve">na roky 2018 </w:t>
      </w:r>
      <w:r w:rsidRPr="008A79ED">
        <w:rPr>
          <w:rFonts w:ascii="Times New Roman" w:hAnsi="Times New Roman" w:cs="Times New Roman"/>
        </w:rPr>
        <w:t>až 2020. Nezdaniteľná časť základu dane (NČZD)</w:t>
      </w:r>
      <w:r w:rsidRPr="008A79ED">
        <w:rPr>
          <w:rStyle w:val="Odkaznapoznmkupodiarou"/>
          <w:rFonts w:ascii="Times New Roman" w:hAnsi="Times New Roman"/>
        </w:rPr>
        <w:footnoteReference w:id="9"/>
      </w:r>
      <w:r w:rsidRPr="008A79ED">
        <w:rPr>
          <w:rFonts w:ascii="Times New Roman" w:hAnsi="Times New Roman" w:cs="Times New Roman"/>
        </w:rPr>
        <w:t xml:space="preserve"> sa po štyroch rokoch mení vzhľadom k nárastu životného minima, ktoré </w:t>
      </w:r>
      <w:r>
        <w:rPr>
          <w:rFonts w:ascii="Times New Roman" w:hAnsi="Times New Roman" w:cs="Times New Roman"/>
        </w:rPr>
        <w:t xml:space="preserve">je </w:t>
      </w:r>
      <w:r w:rsidR="00207B1D">
        <w:rPr>
          <w:rFonts w:ascii="Times New Roman" w:hAnsi="Times New Roman" w:cs="Times New Roman"/>
        </w:rPr>
        <w:br/>
      </w:r>
      <w:r>
        <w:rPr>
          <w:rFonts w:ascii="Times New Roman" w:hAnsi="Times New Roman" w:cs="Times New Roman"/>
        </w:rPr>
        <w:t>od 1.</w:t>
      </w:r>
      <w:r w:rsidR="00207B1D">
        <w:rPr>
          <w:rFonts w:ascii="Times New Roman" w:hAnsi="Times New Roman" w:cs="Times New Roman"/>
        </w:rPr>
        <w:t xml:space="preserve"> </w:t>
      </w:r>
      <w:r>
        <w:rPr>
          <w:rFonts w:ascii="Times New Roman" w:hAnsi="Times New Roman" w:cs="Times New Roman"/>
        </w:rPr>
        <w:t>7.</w:t>
      </w:r>
      <w:r w:rsidR="00207B1D">
        <w:rPr>
          <w:rFonts w:ascii="Times New Roman" w:hAnsi="Times New Roman" w:cs="Times New Roman"/>
        </w:rPr>
        <w:t xml:space="preserve"> </w:t>
      </w:r>
      <w:r>
        <w:rPr>
          <w:rFonts w:ascii="Times New Roman" w:hAnsi="Times New Roman" w:cs="Times New Roman"/>
        </w:rPr>
        <w:t>2017</w:t>
      </w:r>
      <w:r w:rsidRPr="008A79ED">
        <w:rPr>
          <w:rFonts w:ascii="Times New Roman" w:hAnsi="Times New Roman" w:cs="Times New Roman"/>
        </w:rPr>
        <w:t xml:space="preserve"> vo výške 199,48 eur. Hodnota NČZD bude na rok 2018 vo výške 3 830,02 eur. Pre nárast životného minima sa mení aj hranica, od ktorej sa postupne znižuje NČZD </w:t>
      </w:r>
      <w:r w:rsidR="00BC6DE1">
        <w:rPr>
          <w:rFonts w:ascii="Times New Roman" w:hAnsi="Times New Roman" w:cs="Times New Roman"/>
        </w:rPr>
        <w:br/>
      </w:r>
      <w:r w:rsidRPr="008A79ED">
        <w:rPr>
          <w:rFonts w:ascii="Times New Roman" w:hAnsi="Times New Roman" w:cs="Times New Roman"/>
        </w:rPr>
        <w:t>(1 920 eur). Podobne narastá aj úroveň od ktorej je NČZD rovná nule (3 394 eur). Od úrovne hrubej mzdy 3 394 eur za mesiac sa zároveň bude uplatňovať druhá sadzba dane z príjmu vo výške 25 %. Valorizácia daňového bonusu podlieha rovnakým pravidlám ako NČZD. V roku 2018 sa zvýši na úroveň 21,56 eur mesačne. Nárok na zamestnaneckú prémiu vzniká, keď základ dane na úrovni minimálnej mzdy prevyšuje NČZD</w:t>
      </w:r>
      <w:r>
        <w:rPr>
          <w:rFonts w:ascii="Times New Roman" w:hAnsi="Times New Roman" w:cs="Times New Roman"/>
        </w:rPr>
        <w:t>,</w:t>
      </w:r>
      <w:r w:rsidRPr="008A79ED">
        <w:rPr>
          <w:rFonts w:ascii="Times New Roman" w:hAnsi="Times New Roman" w:cs="Times New Roman"/>
        </w:rPr>
        <w:t xml:space="preserve"> a teda neumožňuje efektívne plné uplatnenie NČZD</w:t>
      </w:r>
      <w:r w:rsidRPr="0056487D">
        <w:rPr>
          <w:rFonts w:ascii="Times New Roman" w:hAnsi="Times New Roman" w:cs="Times New Roman"/>
        </w:rPr>
        <w:t>. V</w:t>
      </w:r>
      <w:r w:rsidRPr="006E3E40">
        <w:rPr>
          <w:rFonts w:ascii="Times New Roman" w:hAnsi="Times New Roman" w:cs="Times New Roman"/>
        </w:rPr>
        <w:t>zhľadom na predpokladanú výšku mesačnej minimálnej mzdy bude zamestnanecká prémia nulová. V porovnaní so schváleným rozpočtom je na roky 201</w:t>
      </w:r>
      <w:r>
        <w:rPr>
          <w:rFonts w:ascii="Times New Roman" w:hAnsi="Times New Roman" w:cs="Times New Roman"/>
        </w:rPr>
        <w:t xml:space="preserve">7 </w:t>
      </w:r>
      <w:r w:rsidR="00207B1D">
        <w:rPr>
          <w:rFonts w:ascii="Times New Roman" w:hAnsi="Times New Roman" w:cs="Times New Roman"/>
        </w:rPr>
        <w:t>až</w:t>
      </w:r>
      <w:r>
        <w:rPr>
          <w:rFonts w:ascii="Times New Roman" w:hAnsi="Times New Roman" w:cs="Times New Roman"/>
        </w:rPr>
        <w:t xml:space="preserve"> 2019</w:t>
      </w:r>
      <w:r w:rsidRPr="006E3E40">
        <w:rPr>
          <w:rFonts w:ascii="Times New Roman" w:hAnsi="Times New Roman" w:cs="Times New Roman"/>
        </w:rPr>
        <w:t xml:space="preserve"> očakávaný</w:t>
      </w:r>
      <w:r>
        <w:rPr>
          <w:rFonts w:ascii="Times New Roman" w:hAnsi="Times New Roman" w:cs="Times New Roman"/>
        </w:rPr>
        <w:t xml:space="preserve"> vyšší výnos dane o 65,9 až 106,3</w:t>
      </w:r>
      <w:r w:rsidRPr="006E3E40">
        <w:rPr>
          <w:rFonts w:ascii="Times New Roman" w:hAnsi="Times New Roman" w:cs="Times New Roman"/>
        </w:rPr>
        <w:t xml:space="preserve"> </w:t>
      </w:r>
      <w:r>
        <w:rPr>
          <w:rFonts w:ascii="Times New Roman" w:hAnsi="Times New Roman" w:cs="Times New Roman"/>
        </w:rPr>
        <w:t>mil. eur</w:t>
      </w:r>
      <w:r w:rsidRPr="006E3E40">
        <w:rPr>
          <w:rFonts w:ascii="Times New Roman" w:hAnsi="Times New Roman" w:cs="Times New Roman"/>
        </w:rPr>
        <w:t xml:space="preserve"> z pozitívneho vývoja na trhu práce</w:t>
      </w:r>
      <w:r>
        <w:rPr>
          <w:rFonts w:ascii="Times New Roman" w:hAnsi="Times New Roman" w:cs="Times New Roman"/>
        </w:rPr>
        <w:t xml:space="preserve"> a rýchlejšieho rastu miezd ako NČZD</w:t>
      </w:r>
      <w:r w:rsidRPr="006E3E40">
        <w:rPr>
          <w:rFonts w:ascii="Times New Roman" w:hAnsi="Times New Roman" w:cs="Times New Roman"/>
        </w:rPr>
        <w:t xml:space="preserve">. </w:t>
      </w:r>
      <w:r>
        <w:rPr>
          <w:rFonts w:ascii="Times New Roman" w:hAnsi="Times New Roman" w:cs="Times New Roman"/>
        </w:rPr>
        <w:t xml:space="preserve">Od roku 2018 vstupujú do platnosti legislatívne zmeny, ktoré majú mierne negatívny vplyv na výnos. </w:t>
      </w:r>
    </w:p>
    <w:p w:rsidR="009769EF" w:rsidRPr="00DB5185" w:rsidRDefault="009769EF" w:rsidP="009769EF">
      <w:pPr>
        <w:ind w:firstLine="708"/>
        <w:jc w:val="both"/>
        <w:rPr>
          <w:rFonts w:ascii="Times New Roman" w:hAnsi="Times New Roman" w:cs="Times New Roman"/>
          <w:color w:val="FF0000"/>
        </w:rPr>
      </w:pPr>
    </w:p>
    <w:p w:rsidR="009769EF" w:rsidRPr="00F13E1E" w:rsidRDefault="009769EF" w:rsidP="009769EF">
      <w:pPr>
        <w:ind w:firstLine="708"/>
        <w:jc w:val="both"/>
        <w:rPr>
          <w:rFonts w:ascii="Times New Roman" w:hAnsi="Times New Roman" w:cs="Times New Roman"/>
        </w:rPr>
      </w:pPr>
      <w:r w:rsidRPr="00F13E1E">
        <w:rPr>
          <w:rFonts w:ascii="Times New Roman" w:hAnsi="Times New Roman" w:cs="Times New Roman"/>
        </w:rPr>
        <w:lastRenderedPageBreak/>
        <w:t xml:space="preserve">V prípade </w:t>
      </w:r>
      <w:r w:rsidRPr="00F13E1E">
        <w:rPr>
          <w:rFonts w:ascii="Times New Roman" w:hAnsi="Times New Roman" w:cs="Times New Roman"/>
          <w:b/>
          <w:bCs/>
        </w:rPr>
        <w:t>dane z príjmov fyzických osôb z podnikania</w:t>
      </w:r>
      <w:r w:rsidRPr="00F13E1E">
        <w:rPr>
          <w:rFonts w:ascii="Times New Roman" w:hAnsi="Times New Roman" w:cs="Times New Roman"/>
        </w:rPr>
        <w:t xml:space="preserve">  dochádza oproti rozpočtu verejnej správy na roky 2017 až 2019 k miernym korekciám výnosu</w:t>
      </w:r>
      <w:r>
        <w:rPr>
          <w:rFonts w:ascii="Times New Roman" w:hAnsi="Times New Roman" w:cs="Times New Roman"/>
        </w:rPr>
        <w:t xml:space="preserve"> z dôvodu</w:t>
      </w:r>
      <w:r w:rsidRPr="00F13E1E">
        <w:rPr>
          <w:rFonts w:ascii="Times New Roman" w:hAnsi="Times New Roman" w:cs="Times New Roman"/>
        </w:rPr>
        <w:t xml:space="preserve"> nižši</w:t>
      </w:r>
      <w:r>
        <w:rPr>
          <w:rFonts w:ascii="Times New Roman" w:hAnsi="Times New Roman" w:cs="Times New Roman"/>
        </w:rPr>
        <w:t>eho</w:t>
      </w:r>
      <w:r w:rsidRPr="00F13E1E">
        <w:rPr>
          <w:rFonts w:ascii="Times New Roman" w:hAnsi="Times New Roman" w:cs="Times New Roman"/>
        </w:rPr>
        <w:t xml:space="preserve"> vyrovnani</w:t>
      </w:r>
      <w:r>
        <w:rPr>
          <w:rFonts w:ascii="Times New Roman" w:hAnsi="Times New Roman" w:cs="Times New Roman"/>
        </w:rPr>
        <w:t xml:space="preserve">a a prijatých legislatívnych zmien. </w:t>
      </w:r>
    </w:p>
    <w:p w:rsidR="009769EF" w:rsidRPr="00F13E1E" w:rsidRDefault="009769EF" w:rsidP="009769EF">
      <w:pPr>
        <w:ind w:firstLine="720"/>
        <w:jc w:val="both"/>
        <w:rPr>
          <w:rFonts w:ascii="Times New Roman" w:hAnsi="Times New Roman" w:cs="Times New Roman"/>
          <w:color w:val="FF0000"/>
        </w:rPr>
      </w:pPr>
    </w:p>
    <w:p w:rsidR="009769EF" w:rsidRPr="00A75119" w:rsidRDefault="009769EF" w:rsidP="009769EF">
      <w:pPr>
        <w:ind w:firstLine="708"/>
        <w:jc w:val="both"/>
        <w:rPr>
          <w:rFonts w:ascii="Times New Roman" w:hAnsi="Times New Roman" w:cs="Times New Roman"/>
        </w:rPr>
      </w:pPr>
      <w:r w:rsidRPr="00A75119">
        <w:rPr>
          <w:rFonts w:ascii="Times New Roman" w:hAnsi="Times New Roman" w:cs="Times New Roman"/>
        </w:rPr>
        <w:t xml:space="preserve">V porovnaní so schváleným rozpočtom verejnej správy na roky 2017 </w:t>
      </w:r>
      <w:r w:rsidR="00207B1D">
        <w:rPr>
          <w:rFonts w:ascii="Times New Roman" w:hAnsi="Times New Roman" w:cs="Times New Roman"/>
        </w:rPr>
        <w:t>až</w:t>
      </w:r>
      <w:r w:rsidRPr="00A75119">
        <w:rPr>
          <w:rFonts w:ascii="Times New Roman" w:hAnsi="Times New Roman" w:cs="Times New Roman"/>
        </w:rPr>
        <w:t xml:space="preserve"> 2019 dochádza k zníženiu </w:t>
      </w:r>
      <w:r w:rsidRPr="00A75119">
        <w:rPr>
          <w:rFonts w:ascii="Times New Roman" w:hAnsi="Times New Roman" w:cs="Times New Roman"/>
          <w:b/>
        </w:rPr>
        <w:t>dane z príjmov právnických osôb</w:t>
      </w:r>
      <w:r w:rsidRPr="00A75119">
        <w:rPr>
          <w:rFonts w:ascii="Times New Roman" w:hAnsi="Times New Roman" w:cs="Times New Roman"/>
        </w:rPr>
        <w:t xml:space="preserve"> (DPPO) na rok 2018 o</w:t>
      </w:r>
      <w:r>
        <w:rPr>
          <w:rFonts w:ascii="Times New Roman" w:hAnsi="Times New Roman" w:cs="Times New Roman"/>
        </w:rPr>
        <w:t> </w:t>
      </w:r>
      <w:r w:rsidRPr="00A75119">
        <w:rPr>
          <w:rFonts w:ascii="Times New Roman" w:hAnsi="Times New Roman" w:cs="Times New Roman"/>
        </w:rPr>
        <w:t>551</w:t>
      </w:r>
      <w:r>
        <w:rPr>
          <w:rFonts w:ascii="Times New Roman" w:hAnsi="Times New Roman" w:cs="Times New Roman"/>
        </w:rPr>
        <w:t>,0</w:t>
      </w:r>
      <w:r w:rsidRPr="00A75119">
        <w:rPr>
          <w:rFonts w:ascii="Times New Roman" w:hAnsi="Times New Roman" w:cs="Times New Roman"/>
        </w:rPr>
        <w:t xml:space="preserve"> mil. eur.</w:t>
      </w:r>
      <w:r w:rsidRPr="00A75119">
        <w:t xml:space="preserve"> </w:t>
      </w:r>
      <w:r w:rsidRPr="00A75119">
        <w:rPr>
          <w:rFonts w:ascii="Times New Roman" w:hAnsi="Times New Roman" w:cs="Times New Roman"/>
        </w:rPr>
        <w:t xml:space="preserve">Hlavným dôvodom je negatívne zúčtovanie dane v roku 2016 determinované poklesom ziskovosti a kombináciou jednorazových faktorov v podobe pripočítateľných a odpočítateľných položiek upravujúcich zisk na základ dane. Zníženie akruálneho výnosu dane za rok 2016 zníži predpokladaný výnos dane v roku 2017 ako aj v nasledujúcich rokoch. Od roku 2018 prispievajú k nižšiemu výberu legislatívne zmeny v podobe zrušenia daňových licencií </w:t>
      </w:r>
      <w:r w:rsidR="00207B1D">
        <w:rPr>
          <w:rFonts w:ascii="Times New Roman" w:hAnsi="Times New Roman" w:cs="Times New Roman"/>
        </w:rPr>
        <w:br/>
      </w:r>
      <w:r w:rsidRPr="00A75119">
        <w:rPr>
          <w:rFonts w:ascii="Times New Roman" w:hAnsi="Times New Roman" w:cs="Times New Roman"/>
        </w:rPr>
        <w:t>(-77</w:t>
      </w:r>
      <w:r>
        <w:rPr>
          <w:rFonts w:ascii="Times New Roman" w:hAnsi="Times New Roman" w:cs="Times New Roman"/>
        </w:rPr>
        <w:t>,2 až -82,8</w:t>
      </w:r>
      <w:r w:rsidRPr="00A75119">
        <w:rPr>
          <w:rFonts w:ascii="Times New Roman" w:hAnsi="Times New Roman" w:cs="Times New Roman"/>
        </w:rPr>
        <w:t xml:space="preserve"> mil. eur), zavedenie samostatného technického zhodnotenia pre sektor kúpeľníctva (-0,1 až -0,7 mil. eur) a zvýšenie odpočtu výdavkov na vedu a výskum </w:t>
      </w:r>
      <w:r w:rsidR="00207B1D">
        <w:rPr>
          <w:rFonts w:ascii="Times New Roman" w:hAnsi="Times New Roman" w:cs="Times New Roman"/>
        </w:rPr>
        <w:br/>
      </w:r>
      <w:r w:rsidRPr="00A75119">
        <w:rPr>
          <w:rFonts w:ascii="Times New Roman" w:hAnsi="Times New Roman" w:cs="Times New Roman"/>
        </w:rPr>
        <w:t>(-9</w:t>
      </w:r>
      <w:r>
        <w:rPr>
          <w:rFonts w:ascii="Times New Roman" w:hAnsi="Times New Roman" w:cs="Times New Roman"/>
        </w:rPr>
        <w:t>,0</w:t>
      </w:r>
      <w:r w:rsidRPr="00A75119">
        <w:rPr>
          <w:rFonts w:ascii="Times New Roman" w:hAnsi="Times New Roman" w:cs="Times New Roman"/>
        </w:rPr>
        <w:t xml:space="preserve"> až -13</w:t>
      </w:r>
      <w:r>
        <w:rPr>
          <w:rFonts w:ascii="Times New Roman" w:hAnsi="Times New Roman" w:cs="Times New Roman"/>
        </w:rPr>
        <w:t>,3</w:t>
      </w:r>
      <w:r w:rsidRPr="00A75119">
        <w:rPr>
          <w:rFonts w:ascii="Times New Roman" w:hAnsi="Times New Roman" w:cs="Times New Roman"/>
        </w:rPr>
        <w:t xml:space="preserve"> mil. eur).  </w:t>
      </w:r>
    </w:p>
    <w:p w:rsidR="009769EF" w:rsidRPr="002B0850" w:rsidRDefault="009769EF" w:rsidP="009769EF">
      <w:pPr>
        <w:ind w:firstLine="708"/>
        <w:jc w:val="both"/>
        <w:rPr>
          <w:rFonts w:ascii="Times New Roman" w:hAnsi="Times New Roman" w:cs="Times New Roman"/>
          <w:highlight w:val="yellow"/>
        </w:rPr>
      </w:pPr>
    </w:p>
    <w:p w:rsidR="009769EF" w:rsidRPr="00A4379A" w:rsidRDefault="009769EF" w:rsidP="009769EF">
      <w:pPr>
        <w:ind w:firstLine="708"/>
        <w:jc w:val="both"/>
        <w:rPr>
          <w:rFonts w:ascii="Times New Roman" w:hAnsi="Times New Roman" w:cs="Times New Roman"/>
        </w:rPr>
      </w:pPr>
      <w:r w:rsidRPr="00A4379A">
        <w:rPr>
          <w:rFonts w:ascii="Times New Roman" w:hAnsi="Times New Roman" w:cs="Times New Roman"/>
        </w:rPr>
        <w:t xml:space="preserve">Výber daní z príjmov fyzických a právnických osôb ovplyvňuje aj možnosť daňovníkov poukázať </w:t>
      </w:r>
      <w:r w:rsidRPr="00A4379A">
        <w:rPr>
          <w:rFonts w:ascii="Times New Roman" w:hAnsi="Times New Roman" w:cs="Times New Roman"/>
          <w:b/>
        </w:rPr>
        <w:t>podiel zo zaplatenej dane na osobitné účely</w:t>
      </w:r>
      <w:r w:rsidRPr="00A4379A">
        <w:rPr>
          <w:rFonts w:ascii="Times New Roman" w:hAnsi="Times New Roman" w:cs="Times New Roman"/>
        </w:rPr>
        <w:t xml:space="preserve"> (verejnoprospešné aktivity mimovládnych neziskových organizácií). V roku 2016 dosiahla suma prostriedkov prevedených na verejnoprospešný účel 61,6 mil. eur (z toho fyzické osoby previedli 27,2 mil. eur a právnické osoby previedli 34,5 mil. eur). Predpokladá sa, že suma prostriedkov určených na osobitné účely dosiahne v roku 2017 úroveň 63,2 mil. eur a v roku 2018 hodnotu 64,6 mil. eur.</w:t>
      </w:r>
    </w:p>
    <w:p w:rsidR="009769EF" w:rsidRPr="002B0850" w:rsidRDefault="009769EF" w:rsidP="009769EF">
      <w:pPr>
        <w:jc w:val="both"/>
        <w:rPr>
          <w:rFonts w:ascii="Times New Roman" w:hAnsi="Times New Roman" w:cs="Times New Roman"/>
          <w:color w:val="FF0000"/>
          <w:highlight w:val="yellow"/>
        </w:rPr>
      </w:pPr>
    </w:p>
    <w:p w:rsidR="009769EF" w:rsidRPr="00054C9C" w:rsidRDefault="009769EF" w:rsidP="009769EF">
      <w:pPr>
        <w:ind w:firstLine="709"/>
        <w:jc w:val="both"/>
        <w:rPr>
          <w:rFonts w:ascii="Times New Roman" w:hAnsi="Times New Roman" w:cs="Times New Roman"/>
        </w:rPr>
      </w:pPr>
      <w:r w:rsidRPr="00054C9C">
        <w:rPr>
          <w:rFonts w:ascii="Times New Roman" w:hAnsi="Times New Roman" w:cs="Times New Roman"/>
        </w:rPr>
        <w:t xml:space="preserve">Prognóza </w:t>
      </w:r>
      <w:r w:rsidRPr="00054C9C">
        <w:rPr>
          <w:rFonts w:ascii="Times New Roman" w:hAnsi="Times New Roman" w:cs="Times New Roman"/>
          <w:b/>
        </w:rPr>
        <w:t>dane z príjmov vyberanej zrážkou</w:t>
      </w:r>
      <w:r w:rsidRPr="00054C9C">
        <w:rPr>
          <w:rFonts w:ascii="Times New Roman" w:hAnsi="Times New Roman" w:cs="Times New Roman"/>
        </w:rPr>
        <w:t xml:space="preserve"> je v porovnaní s  rozpočtom na roky 2017 až 2019 negatívne ovplyvnená vývojom priemernej úrokovej miery. Časť výnosu dane je tvorená licenčnými poplatkami, ktorých výška nemusí priamo súvisieť s ekonomickým vývojom. Predpokladá sa, že ich výnos na celom časovom horizonte je stabilný. Aktuálny odhad výnosu dane na roky 2017 až 2019 je v porovnaní so schváleným rozpočtom </w:t>
      </w:r>
      <w:r w:rsidR="00207B1D">
        <w:rPr>
          <w:rFonts w:ascii="Times New Roman" w:hAnsi="Times New Roman" w:cs="Times New Roman"/>
        </w:rPr>
        <w:t>verejnej správy</w:t>
      </w:r>
      <w:r w:rsidRPr="00054C9C">
        <w:rPr>
          <w:rFonts w:ascii="Times New Roman" w:hAnsi="Times New Roman" w:cs="Times New Roman"/>
        </w:rPr>
        <w:t xml:space="preserve"> na roky 2017 až 2019 nižší o</w:t>
      </w:r>
      <w:r>
        <w:rPr>
          <w:rFonts w:ascii="Times New Roman" w:hAnsi="Times New Roman" w:cs="Times New Roman"/>
        </w:rPr>
        <w:t> </w:t>
      </w:r>
      <w:r w:rsidRPr="00054C9C">
        <w:rPr>
          <w:rFonts w:ascii="Times New Roman" w:hAnsi="Times New Roman" w:cs="Times New Roman"/>
        </w:rPr>
        <w:t>18</w:t>
      </w:r>
      <w:r>
        <w:rPr>
          <w:rFonts w:ascii="Times New Roman" w:hAnsi="Times New Roman" w:cs="Times New Roman"/>
        </w:rPr>
        <w:t>,5</w:t>
      </w:r>
      <w:r w:rsidRPr="00054C9C">
        <w:rPr>
          <w:rFonts w:ascii="Times New Roman" w:hAnsi="Times New Roman" w:cs="Times New Roman"/>
        </w:rPr>
        <w:t xml:space="preserve"> až 27</w:t>
      </w:r>
      <w:r>
        <w:rPr>
          <w:rFonts w:ascii="Times New Roman" w:hAnsi="Times New Roman" w:cs="Times New Roman"/>
        </w:rPr>
        <w:t>,1</w:t>
      </w:r>
      <w:r w:rsidRPr="00054C9C">
        <w:rPr>
          <w:rFonts w:ascii="Times New Roman" w:hAnsi="Times New Roman" w:cs="Times New Roman"/>
        </w:rPr>
        <w:t xml:space="preserve"> mil. eur.</w:t>
      </w:r>
    </w:p>
    <w:p w:rsidR="009769EF" w:rsidRPr="002B0850" w:rsidRDefault="009769EF" w:rsidP="009769EF">
      <w:pPr>
        <w:ind w:firstLine="708"/>
        <w:jc w:val="both"/>
        <w:rPr>
          <w:rFonts w:ascii="Times New Roman" w:hAnsi="Times New Roman" w:cs="Times New Roman"/>
          <w:highlight w:val="yellow"/>
        </w:rPr>
      </w:pPr>
    </w:p>
    <w:p w:rsidR="009769EF" w:rsidRPr="002B0850" w:rsidRDefault="009769EF" w:rsidP="009769EF">
      <w:pPr>
        <w:ind w:firstLine="708"/>
        <w:jc w:val="both"/>
        <w:rPr>
          <w:rFonts w:ascii="Times New Roman" w:hAnsi="Times New Roman" w:cs="Times New Roman"/>
          <w:highlight w:val="yellow"/>
        </w:rPr>
      </w:pPr>
      <w:r w:rsidRPr="00A4379A">
        <w:rPr>
          <w:rFonts w:ascii="Times New Roman" w:hAnsi="Times New Roman" w:cs="Times New Roman"/>
        </w:rPr>
        <w:t xml:space="preserve">Odhad výnosu </w:t>
      </w:r>
      <w:r w:rsidRPr="00A4379A">
        <w:rPr>
          <w:rFonts w:ascii="Times New Roman" w:hAnsi="Times New Roman" w:cs="Times New Roman"/>
          <w:b/>
        </w:rPr>
        <w:t xml:space="preserve">dane z pridanej hodnoty </w:t>
      </w:r>
      <w:r w:rsidRPr="00A4379A">
        <w:rPr>
          <w:rFonts w:ascii="Times New Roman" w:hAnsi="Times New Roman" w:cs="Times New Roman"/>
        </w:rPr>
        <w:t xml:space="preserve">na rok 2017 sa oproti predpokladom z rozpočtu na roky 2017 </w:t>
      </w:r>
      <w:r w:rsidR="00207B1D">
        <w:rPr>
          <w:rFonts w:ascii="Times New Roman" w:hAnsi="Times New Roman" w:cs="Times New Roman"/>
        </w:rPr>
        <w:t>až</w:t>
      </w:r>
      <w:r w:rsidRPr="00A4379A">
        <w:rPr>
          <w:rFonts w:ascii="Times New Roman" w:hAnsi="Times New Roman" w:cs="Times New Roman"/>
        </w:rPr>
        <w:t xml:space="preserve"> 2019 reviduje smerom nahor o 120,3 mil. eur (2,1 %). </w:t>
      </w:r>
      <w:r w:rsidRPr="00AB2292">
        <w:rPr>
          <w:rFonts w:ascii="Times New Roman" w:hAnsi="Times New Roman" w:cs="Times New Roman"/>
        </w:rPr>
        <w:t xml:space="preserve">Aktualizácia výnosu vychádza z nárastu efektivity výberu dane a vyššej ako očakávanej konečnej spotreby domácností. </w:t>
      </w:r>
      <w:r w:rsidR="00207B1D">
        <w:rPr>
          <w:rFonts w:ascii="Times New Roman" w:hAnsi="Times New Roman" w:cs="Times New Roman"/>
        </w:rPr>
        <w:t>Na</w:t>
      </w:r>
      <w:r w:rsidRPr="00AB2292">
        <w:rPr>
          <w:rFonts w:ascii="Times New Roman" w:hAnsi="Times New Roman" w:cs="Times New Roman"/>
        </w:rPr>
        <w:t xml:space="preserve"> rok 2018 a ďalšie roky sa očakáva stabilná úspešnosť výnosu dane na úrovni roku 2017. Výnos dane v ďalších rokoch bude pozitívne ovplyvnený rastom daňovej základne, predovšetkým spotreby domácností, ktorá bude mierne korigovaná investíciami a medzispotrebou vlády.</w:t>
      </w:r>
      <w:r w:rsidRPr="002B0850">
        <w:rPr>
          <w:rFonts w:ascii="Times New Roman" w:hAnsi="Times New Roman" w:cs="Times New Roman"/>
          <w:highlight w:val="yellow"/>
        </w:rPr>
        <w:t xml:space="preserve"> </w:t>
      </w:r>
    </w:p>
    <w:p w:rsidR="009769EF" w:rsidRPr="002B0850" w:rsidRDefault="009769EF" w:rsidP="009769EF">
      <w:pPr>
        <w:jc w:val="both"/>
        <w:rPr>
          <w:rFonts w:ascii="Times New Roman" w:hAnsi="Times New Roman" w:cs="Times New Roman"/>
          <w:color w:val="FF0000"/>
          <w:highlight w:val="yellow"/>
        </w:rPr>
      </w:pPr>
    </w:p>
    <w:p w:rsidR="009769EF" w:rsidRPr="0021158C" w:rsidRDefault="009769EF" w:rsidP="009769EF">
      <w:pPr>
        <w:ind w:firstLine="708"/>
        <w:jc w:val="both"/>
        <w:rPr>
          <w:rFonts w:ascii="Times New Roman" w:hAnsi="Times New Roman" w:cs="Times New Roman"/>
          <w:color w:val="000000" w:themeColor="text1"/>
        </w:rPr>
      </w:pPr>
      <w:r w:rsidRPr="0021158C">
        <w:rPr>
          <w:rFonts w:ascii="Times New Roman" w:hAnsi="Times New Roman"/>
          <w:color w:val="000000" w:themeColor="text1"/>
        </w:rPr>
        <w:t xml:space="preserve">Výnos zo </w:t>
      </w:r>
      <w:r w:rsidRPr="0021158C">
        <w:rPr>
          <w:rFonts w:ascii="Times New Roman" w:hAnsi="Times New Roman"/>
          <w:b/>
          <w:bCs/>
          <w:color w:val="000000" w:themeColor="text1"/>
        </w:rPr>
        <w:t>spotrebných daní</w:t>
      </w:r>
      <w:r w:rsidRPr="0021158C">
        <w:rPr>
          <w:rFonts w:ascii="Times New Roman" w:hAnsi="Times New Roman"/>
          <w:color w:val="000000" w:themeColor="text1"/>
        </w:rPr>
        <w:t xml:space="preserve"> bude vyšší než sa predpokladalo pri schvaľovaní rozpočtu verejnej správy na roky 2017 až 2019. Očakáva sa najmä pozitívny vývoj v prípade</w:t>
      </w:r>
      <w:r w:rsidRPr="0021158C">
        <w:rPr>
          <w:rFonts w:ascii="Times New Roman" w:hAnsi="Times New Roman"/>
        </w:rPr>
        <w:t xml:space="preserve"> </w:t>
      </w:r>
      <w:r w:rsidRPr="0021158C">
        <w:rPr>
          <w:rFonts w:ascii="Times New Roman" w:hAnsi="Times New Roman"/>
          <w:b/>
        </w:rPr>
        <w:t>spotrebnej dane z minerálneho oleja</w:t>
      </w:r>
      <w:r w:rsidRPr="0021158C">
        <w:rPr>
          <w:rFonts w:ascii="Times New Roman" w:hAnsi="Times New Roman"/>
        </w:rPr>
        <w:t>, ku ktorému výraznou mierou prispela z</w:t>
      </w:r>
      <w:r>
        <w:rPr>
          <w:rFonts w:ascii="Times New Roman" w:hAnsi="Times New Roman"/>
        </w:rPr>
        <w:t xml:space="preserve">výšená úspešnosť výberu v prvej polovici </w:t>
      </w:r>
      <w:r w:rsidRPr="0021158C">
        <w:rPr>
          <w:rFonts w:ascii="Times New Roman" w:hAnsi="Times New Roman" w:cs="Times New Roman"/>
        </w:rPr>
        <w:t xml:space="preserve">roka 2017. </w:t>
      </w:r>
      <w:r w:rsidR="00207B1D">
        <w:rPr>
          <w:rFonts w:ascii="Times New Roman" w:hAnsi="Times New Roman" w:cs="Times New Roman"/>
        </w:rPr>
        <w:t>Na</w:t>
      </w:r>
      <w:r w:rsidRPr="0021158C">
        <w:rPr>
          <w:rFonts w:ascii="Times New Roman" w:hAnsi="Times New Roman" w:cs="Times New Roman"/>
        </w:rPr>
        <w:t xml:space="preserve"> roky 2018 až 2020 sa predpokladá stabilná úspešnosť</w:t>
      </w:r>
      <w:r>
        <w:rPr>
          <w:rFonts w:ascii="Times New Roman" w:hAnsi="Times New Roman" w:cs="Times New Roman"/>
        </w:rPr>
        <w:t xml:space="preserve"> výberu dane na úrovni roka 2017, pričom výnos bude negatívne ovplyvnený legislatívnou zmenou týkajúcou sa úpravy sadzieb dane na benzín a naftu. </w:t>
      </w:r>
      <w:r w:rsidRPr="0021158C">
        <w:rPr>
          <w:rFonts w:ascii="Times New Roman" w:hAnsi="Times New Roman" w:cs="Times New Roman"/>
        </w:rPr>
        <w:t xml:space="preserve">Na výnos </w:t>
      </w:r>
      <w:r w:rsidRPr="0021158C">
        <w:rPr>
          <w:rFonts w:ascii="Times New Roman" w:hAnsi="Times New Roman" w:cs="Times New Roman"/>
          <w:b/>
        </w:rPr>
        <w:t>spotrebnej dane z tabakových výrobkov</w:t>
      </w:r>
      <w:r w:rsidRPr="0021158C">
        <w:rPr>
          <w:rFonts w:ascii="Times New Roman" w:hAnsi="Times New Roman" w:cs="Times New Roman"/>
        </w:rPr>
        <w:t xml:space="preserve"> bude mať negatívny vplyv aktualizácia vplyvu legislatívnych zmien prijatých v roku 2016 (prechod zo zdaňovania množstva kusov cigár a </w:t>
      </w:r>
      <w:proofErr w:type="spellStart"/>
      <w:r w:rsidRPr="0021158C">
        <w:rPr>
          <w:rFonts w:ascii="Times New Roman" w:hAnsi="Times New Roman" w:cs="Times New Roman"/>
        </w:rPr>
        <w:t>cigariek</w:t>
      </w:r>
      <w:proofErr w:type="spellEnd"/>
      <w:r w:rsidRPr="0021158C">
        <w:rPr>
          <w:rFonts w:ascii="Times New Roman" w:hAnsi="Times New Roman" w:cs="Times New Roman"/>
        </w:rPr>
        <w:t xml:space="preserve"> na zdaňovanie hmotnosti cigár a </w:t>
      </w:r>
      <w:proofErr w:type="spellStart"/>
      <w:r w:rsidRPr="0021158C">
        <w:rPr>
          <w:rFonts w:ascii="Times New Roman" w:hAnsi="Times New Roman" w:cs="Times New Roman"/>
        </w:rPr>
        <w:t>cigariek</w:t>
      </w:r>
      <w:proofErr w:type="spellEnd"/>
      <w:r w:rsidRPr="0021158C">
        <w:rPr>
          <w:rFonts w:ascii="Times New Roman" w:hAnsi="Times New Roman" w:cs="Times New Roman"/>
        </w:rPr>
        <w:t>, zvýšenie počtu kusov cigariet v spotrebiteľskom balení z 19 na 20 kusov). Aktualizovaný vplyv legislatívy predstavuje pokles výnosu spotrebnej dane o 16,6 mil. eur na celom horizonte prognózy.</w:t>
      </w:r>
    </w:p>
    <w:p w:rsidR="009769EF" w:rsidRPr="002B0850" w:rsidRDefault="009769EF" w:rsidP="009769EF">
      <w:pPr>
        <w:jc w:val="both"/>
        <w:rPr>
          <w:rFonts w:ascii="Times New Roman" w:hAnsi="Times New Roman" w:cs="Times New Roman"/>
          <w:color w:val="FF0000"/>
          <w:highlight w:val="yellow"/>
        </w:rPr>
      </w:pPr>
    </w:p>
    <w:p w:rsidR="009769EF" w:rsidRDefault="009769EF" w:rsidP="009769EF">
      <w:pPr>
        <w:ind w:firstLine="708"/>
        <w:jc w:val="both"/>
        <w:rPr>
          <w:rFonts w:ascii="Times New Roman" w:hAnsi="Times New Roman" w:cs="Times New Roman"/>
        </w:rPr>
      </w:pPr>
      <w:r w:rsidRPr="00054C9C">
        <w:rPr>
          <w:rFonts w:ascii="Times New Roman" w:hAnsi="Times New Roman" w:cs="Times New Roman"/>
        </w:rPr>
        <w:lastRenderedPageBreak/>
        <w:t xml:space="preserve">Podľa </w:t>
      </w:r>
      <w:r w:rsidRPr="00054C9C">
        <w:rPr>
          <w:rFonts w:ascii="Times New Roman" w:hAnsi="Times New Roman" w:cs="Times New Roman"/>
          <w:b/>
          <w:bCs/>
        </w:rPr>
        <w:t>zákona o miestnych daniach</w:t>
      </w:r>
      <w:r w:rsidRPr="00054C9C">
        <w:rPr>
          <w:rFonts w:ascii="Times New Roman" w:hAnsi="Times New Roman" w:cs="Times New Roman"/>
        </w:rPr>
        <w:t xml:space="preserve"> a miestnom poplatku za komunálne odpady a drobné stavebné odpady, ktorý upravuje daň z nehnuteľností a dane za špecifické služby, majú stanovenie výšky sadzieb daní v kompetencii jednotlivé obce (daň z nehnuteľností a dane za špecifické služby). Odhad MF SR pri týchto daniach je preto len indikatívny, nakoľko subjekty samosprávy si zostavujú vlastné rozpočty.</w:t>
      </w:r>
    </w:p>
    <w:p w:rsidR="00BC6DE1" w:rsidRPr="00054C9C" w:rsidRDefault="00BC6DE1" w:rsidP="009769EF">
      <w:pPr>
        <w:ind w:firstLine="708"/>
        <w:jc w:val="both"/>
        <w:rPr>
          <w:rFonts w:ascii="Times New Roman" w:hAnsi="Times New Roman" w:cs="Times New Roman"/>
        </w:rPr>
      </w:pPr>
    </w:p>
    <w:p w:rsidR="009769EF" w:rsidRPr="00AB2292" w:rsidRDefault="009769EF" w:rsidP="009769EF">
      <w:pPr>
        <w:ind w:firstLine="708"/>
        <w:jc w:val="both"/>
        <w:rPr>
          <w:rFonts w:ascii="Times New Roman" w:hAnsi="Times New Roman" w:cs="Times New Roman"/>
        </w:rPr>
      </w:pPr>
      <w:r w:rsidRPr="00403F3E">
        <w:rPr>
          <w:rFonts w:ascii="Times New Roman" w:hAnsi="Times New Roman" w:cs="Times New Roman"/>
        </w:rPr>
        <w:t xml:space="preserve">Výnos </w:t>
      </w:r>
      <w:r w:rsidRPr="00403F3E">
        <w:rPr>
          <w:rFonts w:ascii="Times New Roman" w:hAnsi="Times New Roman" w:cs="Times New Roman"/>
          <w:b/>
        </w:rPr>
        <w:t>dane z motorových vozidiel</w:t>
      </w:r>
      <w:r w:rsidRPr="00403F3E">
        <w:rPr>
          <w:rFonts w:ascii="Times New Roman" w:hAnsi="Times New Roman" w:cs="Times New Roman"/>
        </w:rPr>
        <w:t xml:space="preserve"> bude </w:t>
      </w:r>
      <w:r>
        <w:rPr>
          <w:rFonts w:ascii="Times New Roman" w:hAnsi="Times New Roman" w:cs="Times New Roman"/>
        </w:rPr>
        <w:t>nižší</w:t>
      </w:r>
      <w:r w:rsidRPr="00403F3E">
        <w:rPr>
          <w:rFonts w:ascii="Times New Roman" w:hAnsi="Times New Roman" w:cs="Times New Roman"/>
        </w:rPr>
        <w:t xml:space="preserve"> o 0,</w:t>
      </w:r>
      <w:r>
        <w:rPr>
          <w:rFonts w:ascii="Times New Roman" w:hAnsi="Times New Roman" w:cs="Times New Roman"/>
        </w:rPr>
        <w:t>9</w:t>
      </w:r>
      <w:r w:rsidRPr="00403F3E">
        <w:rPr>
          <w:rFonts w:ascii="Times New Roman" w:hAnsi="Times New Roman" w:cs="Times New Roman"/>
        </w:rPr>
        <w:t xml:space="preserve"> mil. eur v roku 2017 </w:t>
      </w:r>
      <w:r w:rsidR="00207B1D">
        <w:rPr>
          <w:rFonts w:ascii="Times New Roman" w:hAnsi="Times New Roman" w:cs="Times New Roman"/>
        </w:rPr>
        <w:br/>
      </w:r>
      <w:r w:rsidRPr="00403F3E">
        <w:rPr>
          <w:rFonts w:ascii="Times New Roman" w:hAnsi="Times New Roman" w:cs="Times New Roman"/>
        </w:rPr>
        <w:t>a o 0,</w:t>
      </w:r>
      <w:r>
        <w:rPr>
          <w:rFonts w:ascii="Times New Roman" w:hAnsi="Times New Roman" w:cs="Times New Roman"/>
        </w:rPr>
        <w:t>3</w:t>
      </w:r>
      <w:r w:rsidRPr="00403F3E">
        <w:rPr>
          <w:rFonts w:ascii="Times New Roman" w:hAnsi="Times New Roman" w:cs="Times New Roman"/>
        </w:rPr>
        <w:t xml:space="preserve"> mil. eur v roku 2018 v porovnaní s rozpočtom na roky 2017 až 2019. </w:t>
      </w:r>
      <w:r w:rsidRPr="00AB2292">
        <w:rPr>
          <w:rFonts w:ascii="Times New Roman" w:hAnsi="Times New Roman" w:cs="Times New Roman"/>
        </w:rPr>
        <w:t>Nižšia efektivit</w:t>
      </w:r>
      <w:r w:rsidR="00207B1D">
        <w:rPr>
          <w:rFonts w:ascii="Times New Roman" w:hAnsi="Times New Roman" w:cs="Times New Roman"/>
        </w:rPr>
        <w:t>a</w:t>
      </w:r>
      <w:r w:rsidRPr="00AB2292">
        <w:rPr>
          <w:rFonts w:ascii="Times New Roman" w:hAnsi="Times New Roman" w:cs="Times New Roman"/>
        </w:rPr>
        <w:t xml:space="preserve"> výberu dane a slabší nárast makroekonomickej základne </w:t>
      </w:r>
      <w:r>
        <w:rPr>
          <w:rFonts w:ascii="Times New Roman" w:hAnsi="Times New Roman" w:cs="Times New Roman"/>
        </w:rPr>
        <w:t xml:space="preserve">znižujú </w:t>
      </w:r>
      <w:r w:rsidRPr="00AB2292">
        <w:rPr>
          <w:rFonts w:ascii="Times New Roman" w:hAnsi="Times New Roman" w:cs="Times New Roman"/>
        </w:rPr>
        <w:t>výnos dane v porovnaní s</w:t>
      </w:r>
      <w:r>
        <w:rPr>
          <w:rFonts w:ascii="Times New Roman" w:hAnsi="Times New Roman" w:cs="Times New Roman"/>
        </w:rPr>
        <w:t xml:space="preserve"> platným rozpočtom. </w:t>
      </w:r>
      <w:r w:rsidRPr="00AB2292">
        <w:rPr>
          <w:rFonts w:ascii="Times New Roman" w:hAnsi="Times New Roman" w:cs="Times New Roman"/>
        </w:rPr>
        <w:t>Odhad výnosu dane z</w:t>
      </w:r>
      <w:r>
        <w:rPr>
          <w:rFonts w:ascii="Times New Roman" w:hAnsi="Times New Roman" w:cs="Times New Roman"/>
        </w:rPr>
        <w:t> </w:t>
      </w:r>
      <w:r w:rsidRPr="00AB2292">
        <w:rPr>
          <w:rFonts w:ascii="Times New Roman" w:hAnsi="Times New Roman" w:cs="Times New Roman"/>
        </w:rPr>
        <w:t>motorových</w:t>
      </w:r>
      <w:r>
        <w:t xml:space="preserve"> </w:t>
      </w:r>
      <w:r w:rsidRPr="00AB2292">
        <w:rPr>
          <w:rFonts w:ascii="Times New Roman" w:hAnsi="Times New Roman" w:cs="Times New Roman"/>
        </w:rPr>
        <w:t>vozidiel v nasledujúcich rokoch je založený na predpoklade stabilnej efektivity výberu dane na súčasnej úrovni.</w:t>
      </w:r>
    </w:p>
    <w:p w:rsidR="009769EF" w:rsidRPr="002B0850" w:rsidRDefault="009769EF" w:rsidP="009769EF">
      <w:pPr>
        <w:ind w:firstLine="708"/>
        <w:jc w:val="both"/>
        <w:rPr>
          <w:rFonts w:ascii="Times New Roman" w:hAnsi="Times New Roman" w:cs="Times New Roman"/>
          <w:highlight w:val="yellow"/>
        </w:rPr>
      </w:pPr>
    </w:p>
    <w:p w:rsidR="009769EF" w:rsidRPr="00054C9C" w:rsidRDefault="009769EF" w:rsidP="009769EF">
      <w:pPr>
        <w:ind w:firstLine="708"/>
        <w:jc w:val="both"/>
        <w:rPr>
          <w:rFonts w:ascii="Times New Roman" w:hAnsi="Times New Roman" w:cs="Times New Roman"/>
        </w:rPr>
      </w:pPr>
      <w:r w:rsidRPr="00054C9C">
        <w:rPr>
          <w:rFonts w:ascii="Times New Roman" w:hAnsi="Times New Roman" w:cs="Times New Roman"/>
        </w:rPr>
        <w:t xml:space="preserve">Odhad výnosu </w:t>
      </w:r>
      <w:r w:rsidRPr="00054C9C">
        <w:rPr>
          <w:rFonts w:ascii="Times New Roman" w:hAnsi="Times New Roman" w:cs="Times New Roman"/>
          <w:b/>
          <w:bCs/>
        </w:rPr>
        <w:t>ostatných daní</w:t>
      </w:r>
      <w:r w:rsidRPr="00054C9C">
        <w:rPr>
          <w:rFonts w:ascii="Times New Roman" w:hAnsi="Times New Roman" w:cs="Times New Roman"/>
        </w:rPr>
        <w:t xml:space="preserve"> je tvorený odhadom výnosov z podielu na vybratých finančných prostriedkoch EÚ, z úhrad za dobývací priestor, z úhrad za uskladňovanie plynov alebo kvapalín, z úhrady za služby verejnosti poskytované RTVS, z osobitného odvodu z podnikania v regulovaných odvetviach, z osobitného a mimoriadneho odvodu vybraných finančných inštitúcií a z odvodu časti poistného z odvetví neživotného poistenia.</w:t>
      </w:r>
    </w:p>
    <w:p w:rsidR="009769EF" w:rsidRPr="002B0850" w:rsidRDefault="009769EF" w:rsidP="009769EF">
      <w:pPr>
        <w:ind w:firstLine="708"/>
        <w:jc w:val="both"/>
        <w:rPr>
          <w:rFonts w:ascii="Times New Roman" w:hAnsi="Times New Roman" w:cs="Times New Roman"/>
          <w:color w:val="FF0000"/>
          <w:highlight w:val="yellow"/>
        </w:rPr>
      </w:pPr>
    </w:p>
    <w:p w:rsidR="009769EF" w:rsidRPr="00054C9C" w:rsidRDefault="009769EF" w:rsidP="009769EF">
      <w:pPr>
        <w:ind w:firstLine="708"/>
        <w:jc w:val="both"/>
        <w:rPr>
          <w:rFonts w:ascii="Times New Roman" w:hAnsi="Times New Roman" w:cs="Times New Roman"/>
        </w:rPr>
      </w:pPr>
      <w:r w:rsidRPr="00054C9C">
        <w:rPr>
          <w:rFonts w:ascii="Times New Roman" w:hAnsi="Times New Roman" w:cs="Times New Roman"/>
          <w:b/>
        </w:rPr>
        <w:t>Výnos z podielu na vybratých finančných prostriedkoch EÚ</w:t>
      </w:r>
      <w:r w:rsidRPr="00054C9C">
        <w:rPr>
          <w:rFonts w:ascii="Times New Roman" w:hAnsi="Times New Roman" w:cs="Times New Roman"/>
        </w:rPr>
        <w:t xml:space="preserve"> je tvorený 20</w:t>
      </w:r>
      <w:r w:rsidR="00207B1D">
        <w:rPr>
          <w:rFonts w:ascii="Times New Roman" w:hAnsi="Times New Roman" w:cs="Times New Roman"/>
        </w:rPr>
        <w:t xml:space="preserve"> </w:t>
      </w:r>
      <w:r w:rsidRPr="00054C9C">
        <w:rPr>
          <w:rFonts w:ascii="Times New Roman" w:hAnsi="Times New Roman" w:cs="Times New Roman"/>
        </w:rPr>
        <w:t>% zo sumy vlastných tradičných zdrojov EÚ pripadajúcich na dovozné clo a poľnohospodárske poplatky, ostávajúcich 80</w:t>
      </w:r>
      <w:r w:rsidR="00207B1D">
        <w:rPr>
          <w:rFonts w:ascii="Times New Roman" w:hAnsi="Times New Roman" w:cs="Times New Roman"/>
        </w:rPr>
        <w:t xml:space="preserve"> </w:t>
      </w:r>
      <w:r w:rsidRPr="00054C9C">
        <w:rPr>
          <w:rFonts w:ascii="Times New Roman" w:hAnsi="Times New Roman" w:cs="Times New Roman"/>
        </w:rPr>
        <w:t>% plynie priamo do rozpočtu EÚ. Odhad plnenia na roky 2018 až 2020 vychádza z predpokladov o vývoji dovozu tovarov, ktoré podliehajú clu.</w:t>
      </w:r>
    </w:p>
    <w:p w:rsidR="009769EF" w:rsidRPr="002B0850" w:rsidRDefault="009769EF" w:rsidP="009769EF">
      <w:pPr>
        <w:ind w:firstLine="708"/>
        <w:jc w:val="both"/>
        <w:rPr>
          <w:rFonts w:ascii="Times New Roman" w:hAnsi="Times New Roman" w:cs="Times New Roman"/>
          <w:highlight w:val="yellow"/>
        </w:rPr>
      </w:pPr>
    </w:p>
    <w:p w:rsidR="009769EF" w:rsidRPr="00054C9C" w:rsidRDefault="009769EF" w:rsidP="009769EF">
      <w:pPr>
        <w:ind w:firstLine="708"/>
        <w:jc w:val="both"/>
        <w:rPr>
          <w:rFonts w:ascii="Times New Roman" w:hAnsi="Times New Roman" w:cs="Times New Roman"/>
        </w:rPr>
      </w:pPr>
      <w:r w:rsidRPr="00054C9C">
        <w:rPr>
          <w:rFonts w:ascii="Times New Roman" w:hAnsi="Times New Roman" w:cs="Times New Roman"/>
        </w:rPr>
        <w:t xml:space="preserve">Výnos z </w:t>
      </w:r>
      <w:r w:rsidRPr="00054C9C">
        <w:rPr>
          <w:rFonts w:ascii="Times New Roman" w:hAnsi="Times New Roman" w:cs="Times New Roman"/>
          <w:b/>
        </w:rPr>
        <w:t>úhrad za služby verejnosti poskytované RTVS</w:t>
      </w:r>
      <w:r w:rsidRPr="00054C9C">
        <w:rPr>
          <w:rFonts w:ascii="Times New Roman" w:hAnsi="Times New Roman" w:cs="Times New Roman"/>
        </w:rPr>
        <w:t xml:space="preserve"> sa v roku 2017 vyvíja v súlade s očakávaniami. Vyšší ako rozpočtovaný výnos je z dôvodu úspešného vymáhania dlžných platieb od fyzických aj právnických osôb, ktoré sa pri tvorbe rozpočtu neočakávali. </w:t>
      </w:r>
      <w:r w:rsidR="00207B1D">
        <w:rPr>
          <w:rFonts w:ascii="Times New Roman" w:hAnsi="Times New Roman" w:cs="Times New Roman"/>
        </w:rPr>
        <w:t>Na</w:t>
      </w:r>
      <w:r w:rsidRPr="00054C9C">
        <w:rPr>
          <w:rFonts w:ascii="Times New Roman" w:hAnsi="Times New Roman" w:cs="Times New Roman"/>
        </w:rPr>
        <w:t xml:space="preserve"> roky 2018 až 2020 sa očakáva stabilný výnos vo výške 8</w:t>
      </w:r>
      <w:r>
        <w:rPr>
          <w:rFonts w:ascii="Times New Roman" w:hAnsi="Times New Roman" w:cs="Times New Roman"/>
        </w:rPr>
        <w:t>1,7</w:t>
      </w:r>
      <w:r w:rsidRPr="00054C9C">
        <w:rPr>
          <w:rFonts w:ascii="Times New Roman" w:hAnsi="Times New Roman" w:cs="Times New Roman"/>
        </w:rPr>
        <w:t xml:space="preserve"> mil. eur.</w:t>
      </w:r>
    </w:p>
    <w:p w:rsidR="009769EF" w:rsidRPr="002B0850" w:rsidRDefault="009769EF" w:rsidP="009769EF">
      <w:pPr>
        <w:ind w:firstLine="708"/>
        <w:jc w:val="both"/>
        <w:rPr>
          <w:rFonts w:ascii="Times New Roman" w:hAnsi="Times New Roman" w:cs="Times New Roman"/>
          <w:b/>
          <w:highlight w:val="yellow"/>
        </w:rPr>
      </w:pPr>
      <w:r w:rsidRPr="002B0850">
        <w:rPr>
          <w:rFonts w:ascii="Times New Roman" w:hAnsi="Times New Roman" w:cs="Times New Roman"/>
          <w:highlight w:val="yellow"/>
        </w:rPr>
        <w:t xml:space="preserve"> </w:t>
      </w:r>
    </w:p>
    <w:p w:rsidR="009769EF" w:rsidRPr="00EB7E76" w:rsidRDefault="009769EF" w:rsidP="009769EF">
      <w:pPr>
        <w:ind w:firstLine="708"/>
        <w:jc w:val="both"/>
        <w:rPr>
          <w:rFonts w:ascii="Times New Roman" w:hAnsi="Times New Roman" w:cs="Times New Roman"/>
        </w:rPr>
      </w:pPr>
      <w:r w:rsidRPr="00EB7E76">
        <w:rPr>
          <w:rFonts w:ascii="Times New Roman" w:hAnsi="Times New Roman" w:cs="Times New Roman"/>
          <w:b/>
        </w:rPr>
        <w:t xml:space="preserve">Osobitný odvod vybraných finančných inštitúcií </w:t>
      </w:r>
      <w:r w:rsidRPr="00EB7E76">
        <w:rPr>
          <w:rFonts w:ascii="Times New Roman" w:hAnsi="Times New Roman" w:cs="Times New Roman"/>
        </w:rPr>
        <w:t>je súčasťou štátnych finančných aktív a tvorí zdroje na krytie prípadných problémov vo finančnom sektore. Výška odvodu je  v rokoch 2017 až 2020 stanovená ako 0,2 % z hodnoty pasív bánk, znížených o sumu vlastného imania. V roku 2018 očakávame vyšší výnos o</w:t>
      </w:r>
      <w:r>
        <w:rPr>
          <w:rFonts w:ascii="Times New Roman" w:hAnsi="Times New Roman" w:cs="Times New Roman"/>
        </w:rPr>
        <w:t> </w:t>
      </w:r>
      <w:r w:rsidRPr="00EB7E76">
        <w:rPr>
          <w:rFonts w:ascii="Times New Roman" w:hAnsi="Times New Roman" w:cs="Times New Roman"/>
        </w:rPr>
        <w:t>2</w:t>
      </w:r>
      <w:r>
        <w:rPr>
          <w:rFonts w:ascii="Times New Roman" w:hAnsi="Times New Roman" w:cs="Times New Roman"/>
        </w:rPr>
        <w:t>,1</w:t>
      </w:r>
      <w:r w:rsidRPr="00EB7E76">
        <w:rPr>
          <w:rFonts w:ascii="Times New Roman" w:hAnsi="Times New Roman" w:cs="Times New Roman"/>
        </w:rPr>
        <w:t xml:space="preserve"> mil. eur oproti rozpočtovanej hodnote. Odhad výnosu v období 2018 až 2020 na celom horizonte prognózy pozitívne ovplyvňuje priaznivejší vývoj príslušnej základne.</w:t>
      </w:r>
    </w:p>
    <w:p w:rsidR="009769EF" w:rsidRPr="002B0850" w:rsidRDefault="009769EF" w:rsidP="009769EF">
      <w:pPr>
        <w:ind w:firstLine="708"/>
        <w:jc w:val="both"/>
        <w:rPr>
          <w:rFonts w:ascii="Times New Roman" w:hAnsi="Times New Roman" w:cs="Times New Roman"/>
          <w:highlight w:val="yellow"/>
        </w:rPr>
      </w:pPr>
    </w:p>
    <w:p w:rsidR="009769EF" w:rsidRPr="00DA33C9" w:rsidRDefault="009769EF" w:rsidP="009769EF">
      <w:pPr>
        <w:ind w:firstLine="708"/>
        <w:jc w:val="both"/>
        <w:rPr>
          <w:rFonts w:ascii="Times New Roman" w:hAnsi="Times New Roman" w:cs="Times New Roman"/>
        </w:rPr>
      </w:pPr>
      <w:r w:rsidRPr="00DA33C9">
        <w:rPr>
          <w:rFonts w:ascii="Times New Roman" w:hAnsi="Times New Roman" w:cs="Times New Roman"/>
        </w:rPr>
        <w:t xml:space="preserve">Odhad výnosu </w:t>
      </w:r>
      <w:r w:rsidRPr="00DA33C9">
        <w:rPr>
          <w:rFonts w:ascii="Times New Roman" w:hAnsi="Times New Roman" w:cs="Times New Roman"/>
          <w:b/>
        </w:rPr>
        <w:t>osobitného odvodu z podnikania v regulovaných odvetviach</w:t>
      </w:r>
      <w:r w:rsidRPr="00DA33C9">
        <w:rPr>
          <w:rFonts w:ascii="Times New Roman" w:hAnsi="Times New Roman" w:cs="Times New Roman"/>
        </w:rPr>
        <w:t xml:space="preserve"> za rok 2017 je oproti rozpočtovanej hodnote nižší o</w:t>
      </w:r>
      <w:r>
        <w:rPr>
          <w:rFonts w:ascii="Times New Roman" w:hAnsi="Times New Roman" w:cs="Times New Roman"/>
        </w:rPr>
        <w:t> </w:t>
      </w:r>
      <w:r w:rsidRPr="00DA33C9">
        <w:rPr>
          <w:rFonts w:ascii="Times New Roman" w:hAnsi="Times New Roman" w:cs="Times New Roman"/>
        </w:rPr>
        <w:t>4</w:t>
      </w:r>
      <w:r>
        <w:rPr>
          <w:rFonts w:ascii="Times New Roman" w:hAnsi="Times New Roman" w:cs="Times New Roman"/>
        </w:rPr>
        <w:t>0,8</w:t>
      </w:r>
      <w:r w:rsidRPr="00DA33C9">
        <w:rPr>
          <w:rFonts w:ascii="Times New Roman" w:hAnsi="Times New Roman" w:cs="Times New Roman"/>
        </w:rPr>
        <w:t xml:space="preserve"> mil. eur z dôvodu nižšieho plnenia za rok 2016. Nižšie plnenie sa prenáša aj do rokov 2018 až 2020. </w:t>
      </w:r>
    </w:p>
    <w:p w:rsidR="009769EF" w:rsidRPr="002B0850" w:rsidRDefault="009769EF" w:rsidP="009769EF">
      <w:pPr>
        <w:jc w:val="both"/>
        <w:rPr>
          <w:rFonts w:ascii="Times New Roman" w:hAnsi="Times New Roman" w:cs="Times New Roman"/>
          <w:highlight w:val="yellow"/>
        </w:rPr>
      </w:pPr>
    </w:p>
    <w:p w:rsidR="009769EF" w:rsidRPr="00054C9C" w:rsidRDefault="009769EF" w:rsidP="009769EF">
      <w:pPr>
        <w:ind w:firstLine="708"/>
        <w:jc w:val="both"/>
        <w:rPr>
          <w:rFonts w:ascii="Times New Roman" w:hAnsi="Times New Roman" w:cs="Times New Roman"/>
        </w:rPr>
      </w:pPr>
      <w:r w:rsidRPr="00054C9C">
        <w:rPr>
          <w:rFonts w:ascii="Times New Roman" w:hAnsi="Times New Roman" w:cs="Times New Roman"/>
        </w:rPr>
        <w:t xml:space="preserve">Súčasťou ostatných daní sú aj </w:t>
      </w:r>
      <w:r w:rsidRPr="00054C9C">
        <w:rPr>
          <w:rFonts w:ascii="Times New Roman" w:hAnsi="Times New Roman" w:cs="Times New Roman"/>
          <w:b/>
        </w:rPr>
        <w:t>zrušené majetkové dane</w:t>
      </w:r>
      <w:r w:rsidRPr="00054C9C">
        <w:rPr>
          <w:rFonts w:ascii="Times New Roman" w:hAnsi="Times New Roman" w:cs="Times New Roman"/>
        </w:rPr>
        <w:t xml:space="preserve">, z ktorých naďalej plynú dobiehajúce platby do štátneho rozpočtu. Aktuálny odhad na rok 2017 je výnos v objeme </w:t>
      </w:r>
      <w:r w:rsidR="00207B1D">
        <w:rPr>
          <w:rFonts w:ascii="Times New Roman" w:hAnsi="Times New Roman" w:cs="Times New Roman"/>
        </w:rPr>
        <w:br/>
      </w:r>
      <w:r w:rsidRPr="00054C9C">
        <w:rPr>
          <w:rFonts w:ascii="Times New Roman" w:hAnsi="Times New Roman" w:cs="Times New Roman"/>
        </w:rPr>
        <w:t xml:space="preserve">0,017 mil. eur a </w:t>
      </w:r>
      <w:r w:rsidR="00207B1D">
        <w:rPr>
          <w:rFonts w:ascii="Times New Roman" w:hAnsi="Times New Roman" w:cs="Times New Roman"/>
        </w:rPr>
        <w:t>na</w:t>
      </w:r>
      <w:r w:rsidRPr="00054C9C">
        <w:rPr>
          <w:rFonts w:ascii="Times New Roman" w:hAnsi="Times New Roman" w:cs="Times New Roman"/>
        </w:rPr>
        <w:t xml:space="preserve"> ďalšie roky sa už tieto dane nerozpočtujú.</w:t>
      </w:r>
    </w:p>
    <w:p w:rsidR="009769EF" w:rsidRPr="002B0850" w:rsidRDefault="009769EF" w:rsidP="009769EF">
      <w:pPr>
        <w:ind w:firstLine="708"/>
        <w:jc w:val="both"/>
        <w:rPr>
          <w:rFonts w:ascii="Times New Roman" w:hAnsi="Times New Roman" w:cs="Times New Roman"/>
          <w:color w:val="FF0000"/>
          <w:highlight w:val="yellow"/>
        </w:rPr>
      </w:pPr>
    </w:p>
    <w:p w:rsidR="009769EF" w:rsidRPr="002B0850" w:rsidRDefault="009769EF" w:rsidP="009769EF">
      <w:pPr>
        <w:ind w:firstLine="708"/>
        <w:jc w:val="both"/>
        <w:rPr>
          <w:rFonts w:ascii="Times New Roman" w:hAnsi="Times New Roman" w:cs="Times New Roman"/>
          <w:highlight w:val="yellow"/>
        </w:rPr>
      </w:pPr>
      <w:r w:rsidRPr="004C3E9C">
        <w:rPr>
          <w:rFonts w:ascii="Times New Roman" w:hAnsi="Times New Roman" w:cs="Times New Roman"/>
        </w:rPr>
        <w:t xml:space="preserve">Výnos </w:t>
      </w:r>
      <w:r w:rsidRPr="004C3E9C">
        <w:rPr>
          <w:rFonts w:ascii="Times New Roman" w:hAnsi="Times New Roman" w:cs="Times New Roman"/>
          <w:b/>
        </w:rPr>
        <w:t>odvodov</w:t>
      </w:r>
      <w:r w:rsidRPr="004C3E9C">
        <w:rPr>
          <w:rFonts w:ascii="Times New Roman" w:hAnsi="Times New Roman" w:cs="Times New Roman"/>
        </w:rPr>
        <w:t xml:space="preserve"> </w:t>
      </w:r>
      <w:r w:rsidRPr="004C3E9C">
        <w:rPr>
          <w:rFonts w:ascii="Times New Roman" w:hAnsi="Times New Roman" w:cs="Times New Roman"/>
          <w:b/>
        </w:rPr>
        <w:t>od ekonomicky aktívneho obyvateľstva do Sociálnej poisťovne a zdravotných poisťovní</w:t>
      </w:r>
      <w:r w:rsidRPr="004C3E9C">
        <w:rPr>
          <w:rFonts w:ascii="Times New Roman" w:hAnsi="Times New Roman" w:cs="Times New Roman"/>
        </w:rPr>
        <w:t xml:space="preserve"> v roku 2017 odzrkadľuje pozitívny vývoj na trhu práce a prijaté legislatívne zmeny týkajúce sa maximálnych vymeriavacích základov. Odhad na roky 2018 až 2020 je v súlade s očakávaným rastom mzdovej bázy, ktorá je základňou pre odhad odvodových príjmov.</w:t>
      </w:r>
      <w:r>
        <w:rPr>
          <w:rFonts w:ascii="Times New Roman" w:hAnsi="Times New Roman" w:cs="Times New Roman"/>
        </w:rPr>
        <w:t xml:space="preserve"> Od roku 2018 prispieva k vyššiemu výnosu na zdravotných odvodoch novela zákona o uplatňovaní odvodovej odpočítateľnej položky (OOP). </w:t>
      </w:r>
      <w:r w:rsidRPr="004C3E9C">
        <w:rPr>
          <w:rFonts w:ascii="Times New Roman" w:hAnsi="Times New Roman" w:cs="Times New Roman"/>
        </w:rPr>
        <w:t xml:space="preserve">Odhad výnosu sociálnych odvodov je ovplyvnený postupným zvyšovaním sadzby odvodu do 2. piliera </w:t>
      </w:r>
      <w:r w:rsidR="00207B1D">
        <w:rPr>
          <w:rFonts w:ascii="Times New Roman" w:hAnsi="Times New Roman" w:cs="Times New Roman"/>
        </w:rPr>
        <w:br/>
      </w:r>
      <w:r w:rsidRPr="004C3E9C">
        <w:rPr>
          <w:rFonts w:ascii="Times New Roman" w:hAnsi="Times New Roman" w:cs="Times New Roman"/>
        </w:rPr>
        <w:t xml:space="preserve">o 0,25 </w:t>
      </w:r>
      <w:proofErr w:type="spellStart"/>
      <w:r w:rsidRPr="004C3E9C">
        <w:rPr>
          <w:rFonts w:ascii="Times New Roman" w:hAnsi="Times New Roman" w:cs="Times New Roman"/>
        </w:rPr>
        <w:t>p.b</w:t>
      </w:r>
      <w:proofErr w:type="spellEnd"/>
      <w:r w:rsidRPr="004C3E9C">
        <w:rPr>
          <w:rFonts w:ascii="Times New Roman" w:hAnsi="Times New Roman" w:cs="Times New Roman"/>
        </w:rPr>
        <w:t>. na horizonte rozpočtu.</w:t>
      </w:r>
    </w:p>
    <w:p w:rsidR="009769EF" w:rsidRPr="00A67927" w:rsidRDefault="009769EF" w:rsidP="009769EF">
      <w:pPr>
        <w:rPr>
          <w:rFonts w:ascii="Times New Roman" w:hAnsi="Times New Roman" w:cs="Times New Roman"/>
          <w:b/>
          <w:bCs/>
        </w:rPr>
      </w:pPr>
      <w:r w:rsidRPr="00A67927">
        <w:rPr>
          <w:rFonts w:ascii="Times New Roman" w:hAnsi="Times New Roman" w:cs="Times New Roman"/>
          <w:b/>
          <w:bCs/>
        </w:rPr>
        <w:lastRenderedPageBreak/>
        <w:t>Kvantifikácia daňových a odvodových príjmov</w:t>
      </w:r>
    </w:p>
    <w:p w:rsidR="009769EF" w:rsidRPr="00A67927" w:rsidRDefault="009769EF" w:rsidP="009769EF">
      <w:pPr>
        <w:jc w:val="both"/>
        <w:outlineLvl w:val="0"/>
        <w:rPr>
          <w:rFonts w:ascii="Times New Roman" w:hAnsi="Times New Roman" w:cs="Times New Roman"/>
          <w:color w:val="FF0000"/>
        </w:rPr>
      </w:pPr>
    </w:p>
    <w:p w:rsidR="009769EF" w:rsidRPr="00A67927" w:rsidRDefault="009769EF" w:rsidP="009769EF">
      <w:pPr>
        <w:ind w:firstLine="708"/>
        <w:jc w:val="both"/>
        <w:rPr>
          <w:rFonts w:ascii="Times New Roman" w:hAnsi="Times New Roman" w:cs="Times New Roman"/>
        </w:rPr>
      </w:pPr>
      <w:r w:rsidRPr="00A67927">
        <w:rPr>
          <w:rFonts w:ascii="Times New Roman" w:hAnsi="Times New Roman" w:cs="Times New Roman"/>
        </w:rPr>
        <w:t xml:space="preserve">Medzi </w:t>
      </w:r>
      <w:r w:rsidRPr="00A67927">
        <w:rPr>
          <w:rFonts w:ascii="Times New Roman" w:hAnsi="Times New Roman" w:cs="Times New Roman"/>
          <w:b/>
          <w:bCs/>
        </w:rPr>
        <w:t>hlavné riziká prognózy</w:t>
      </w:r>
      <w:r w:rsidRPr="00A67927">
        <w:rPr>
          <w:rFonts w:ascii="Times New Roman" w:hAnsi="Times New Roman" w:cs="Times New Roman"/>
        </w:rPr>
        <w:t xml:space="preserve"> patrí samotný makroekonomický vývoj. Aktuálna prognóza daňových príjmov je postavená na predpoklade rastu ekonomiky v roku 2018 na úrovni </w:t>
      </w:r>
      <w:r>
        <w:rPr>
          <w:rFonts w:ascii="Times New Roman" w:hAnsi="Times New Roman" w:cs="Times New Roman"/>
        </w:rPr>
        <w:t>4,2</w:t>
      </w:r>
      <w:r w:rsidRPr="00A67927">
        <w:rPr>
          <w:rFonts w:ascii="Times New Roman" w:hAnsi="Times New Roman" w:cs="Times New Roman"/>
        </w:rPr>
        <w:t xml:space="preserve"> % a v roku 2019 na úrovni </w:t>
      </w:r>
      <w:r>
        <w:rPr>
          <w:rFonts w:ascii="Times New Roman" w:hAnsi="Times New Roman" w:cs="Times New Roman"/>
        </w:rPr>
        <w:t>4</w:t>
      </w:r>
      <w:r w:rsidRPr="00A67927">
        <w:rPr>
          <w:rFonts w:ascii="Times New Roman" w:hAnsi="Times New Roman" w:cs="Times New Roman"/>
        </w:rPr>
        <w:t xml:space="preserve">,4 %, pričom možné nenaplnenie tohto odhadu by sa prirodzene premietlo aj do nižšieho výnosu daňových príjmov. </w:t>
      </w:r>
    </w:p>
    <w:p w:rsidR="009769EF" w:rsidRPr="002B0850" w:rsidRDefault="009769EF" w:rsidP="009769EF">
      <w:pPr>
        <w:ind w:firstLine="708"/>
        <w:jc w:val="both"/>
        <w:rPr>
          <w:rFonts w:ascii="Times New Roman" w:hAnsi="Times New Roman" w:cs="Times New Roman"/>
          <w:color w:val="FF0000"/>
          <w:highlight w:val="yellow"/>
        </w:rPr>
      </w:pPr>
      <w:r w:rsidRPr="002B0850">
        <w:rPr>
          <w:rFonts w:ascii="Times New Roman" w:hAnsi="Times New Roman" w:cs="Times New Roman"/>
          <w:color w:val="FF0000"/>
          <w:highlight w:val="yellow"/>
        </w:rPr>
        <w:t xml:space="preserve"> </w:t>
      </w:r>
    </w:p>
    <w:p w:rsidR="009769EF" w:rsidRDefault="009769EF" w:rsidP="009769EF">
      <w:pPr>
        <w:ind w:firstLine="708"/>
        <w:jc w:val="both"/>
        <w:rPr>
          <w:rFonts w:ascii="Times New Roman" w:hAnsi="Times New Roman" w:cs="Times New Roman"/>
        </w:rPr>
      </w:pPr>
      <w:r w:rsidRPr="00C94C87">
        <w:rPr>
          <w:rFonts w:ascii="Times New Roman" w:hAnsi="Times New Roman" w:cs="Times New Roman"/>
          <w:b/>
          <w:bCs/>
        </w:rPr>
        <w:t>Daňové príjmy na hotovostnej báze</w:t>
      </w:r>
      <w:r w:rsidRPr="00C94C87">
        <w:rPr>
          <w:rFonts w:ascii="Times New Roman" w:hAnsi="Times New Roman" w:cs="Times New Roman"/>
        </w:rPr>
        <w:t xml:space="preserve"> sú prezentované v nasledovnej tabuľke. Podľa rozpočtovej klasifikácie sa sankčné úroky (ďalej len </w:t>
      </w:r>
      <w:r w:rsidR="00207B1D">
        <w:rPr>
          <w:rFonts w:ascii="Times New Roman" w:hAnsi="Times New Roman" w:cs="Times New Roman"/>
        </w:rPr>
        <w:t>„</w:t>
      </w:r>
      <w:r w:rsidRPr="00C94C87">
        <w:rPr>
          <w:rFonts w:ascii="Times New Roman" w:hAnsi="Times New Roman" w:cs="Times New Roman"/>
        </w:rPr>
        <w:t>sankcie</w:t>
      </w:r>
      <w:r w:rsidR="00207B1D">
        <w:rPr>
          <w:rFonts w:ascii="Times New Roman" w:hAnsi="Times New Roman" w:cs="Times New Roman"/>
        </w:rPr>
        <w:t>“</w:t>
      </w:r>
      <w:r w:rsidRPr="00C94C87">
        <w:rPr>
          <w:rFonts w:ascii="Times New Roman" w:hAnsi="Times New Roman" w:cs="Times New Roman"/>
        </w:rPr>
        <w:t xml:space="preserve">) uložené v daňovom konaní k jednotlivým daniam rozpočtujú v rámci samostatnej kategórie. </w:t>
      </w: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p w:rsidR="00300E07" w:rsidRDefault="00300E07" w:rsidP="009769EF">
      <w:pPr>
        <w:ind w:firstLine="708"/>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893"/>
        <w:gridCol w:w="893"/>
        <w:gridCol w:w="893"/>
        <w:gridCol w:w="894"/>
        <w:gridCol w:w="894"/>
        <w:gridCol w:w="895"/>
      </w:tblGrid>
      <w:tr w:rsidR="009769EF" w:rsidRPr="00300E07" w:rsidTr="00300E07">
        <w:trPr>
          <w:trHeight w:val="198"/>
        </w:trPr>
        <w:tc>
          <w:tcPr>
            <w:tcW w:w="5000" w:type="pct"/>
            <w:gridSpan w:val="7"/>
            <w:shd w:val="clear" w:color="auto" w:fill="A6A6A6" w:themeFill="background1" w:themeFillShade="A6"/>
            <w:noWrap/>
            <w:vAlign w:val="center"/>
            <w:hideMark/>
          </w:tcPr>
          <w:p w:rsidR="009769EF" w:rsidRPr="00300E07" w:rsidRDefault="009769EF" w:rsidP="00300E07">
            <w:pPr>
              <w:rPr>
                <w:rFonts w:ascii="Times New Roman" w:hAnsi="Times New Roman" w:cs="Times New Roman"/>
                <w:b/>
                <w:bCs/>
                <w:color w:val="FF0000"/>
                <w:sz w:val="14"/>
                <w:szCs w:val="14"/>
                <w:lang w:eastAsia="en-US"/>
              </w:rPr>
            </w:pPr>
            <w:r w:rsidRPr="00300E07">
              <w:rPr>
                <w:rFonts w:ascii="Times New Roman" w:hAnsi="Times New Roman" w:cs="Times New Roman"/>
                <w:b/>
                <w:bCs/>
                <w:sz w:val="14"/>
                <w:szCs w:val="14"/>
                <w:lang w:eastAsia="en-US"/>
              </w:rPr>
              <w:lastRenderedPageBreak/>
              <w:t>Daňové a odvodové príjmy (hotovostný princíp, v tis. eur)</w:t>
            </w:r>
          </w:p>
        </w:tc>
      </w:tr>
      <w:tr w:rsidR="009769EF" w:rsidRPr="00300E07" w:rsidTr="00C14C79">
        <w:trPr>
          <w:trHeight w:val="198"/>
        </w:trPr>
        <w:tc>
          <w:tcPr>
            <w:tcW w:w="2041" w:type="pct"/>
            <w:vMerge w:val="restart"/>
            <w:shd w:val="clear" w:color="auto" w:fill="BFBFBF" w:themeFill="background1" w:themeFillShade="BF"/>
            <w:noWrap/>
            <w:vAlign w:val="center"/>
            <w:hideMark/>
          </w:tcPr>
          <w:p w:rsidR="009769EF" w:rsidRPr="00300E07" w:rsidRDefault="009769EF" w:rsidP="00300E07">
            <w:pPr>
              <w:jc w:val="cente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 </w:t>
            </w:r>
          </w:p>
        </w:tc>
        <w:tc>
          <w:tcPr>
            <w:tcW w:w="985" w:type="pct"/>
            <w:gridSpan w:val="2"/>
            <w:shd w:val="clear" w:color="auto" w:fill="BFBFBF" w:themeFill="background1" w:themeFillShade="BF"/>
            <w:noWrap/>
            <w:vAlign w:val="center"/>
            <w:hideMark/>
          </w:tcPr>
          <w:p w:rsidR="009769EF" w:rsidRPr="00300E07" w:rsidRDefault="009769EF" w:rsidP="00300E07">
            <w:pPr>
              <w:jc w:val="cente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Skutočnosť</w:t>
            </w:r>
          </w:p>
        </w:tc>
        <w:tc>
          <w:tcPr>
            <w:tcW w:w="1973" w:type="pct"/>
            <w:gridSpan w:val="4"/>
            <w:shd w:val="clear" w:color="auto" w:fill="BFBFBF" w:themeFill="background1" w:themeFillShade="BF"/>
            <w:noWrap/>
            <w:vAlign w:val="center"/>
            <w:hideMark/>
          </w:tcPr>
          <w:p w:rsidR="009769EF" w:rsidRPr="00300E07" w:rsidRDefault="009769EF" w:rsidP="00300E07">
            <w:pPr>
              <w:jc w:val="cente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Prognóza</w:t>
            </w:r>
          </w:p>
        </w:tc>
      </w:tr>
      <w:tr w:rsidR="009769EF" w:rsidRPr="00300E07" w:rsidTr="00C14C79">
        <w:trPr>
          <w:trHeight w:val="198"/>
        </w:trPr>
        <w:tc>
          <w:tcPr>
            <w:tcW w:w="2041" w:type="pct"/>
            <w:vMerge/>
            <w:shd w:val="clear" w:color="auto" w:fill="BFBFBF" w:themeFill="background1" w:themeFillShade="BF"/>
            <w:vAlign w:val="center"/>
            <w:hideMark/>
          </w:tcPr>
          <w:p w:rsidR="009769EF" w:rsidRPr="00300E07" w:rsidRDefault="009769EF" w:rsidP="00300E07">
            <w:pPr>
              <w:rPr>
                <w:rFonts w:ascii="Times New Roman" w:hAnsi="Times New Roman" w:cs="Times New Roman"/>
                <w:b/>
                <w:bCs/>
                <w:sz w:val="14"/>
                <w:szCs w:val="14"/>
                <w:lang w:eastAsia="en-US"/>
              </w:rPr>
            </w:pPr>
          </w:p>
        </w:tc>
        <w:tc>
          <w:tcPr>
            <w:tcW w:w="493" w:type="pct"/>
            <w:shd w:val="clear" w:color="auto" w:fill="BFBFBF" w:themeFill="background1" w:themeFillShade="BF"/>
            <w:noWrap/>
            <w:vAlign w:val="center"/>
            <w:hideMark/>
          </w:tcPr>
          <w:p w:rsidR="009769EF" w:rsidRPr="00300E07" w:rsidRDefault="009769EF" w:rsidP="00300E07">
            <w:pPr>
              <w:jc w:val="cente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2015</w:t>
            </w:r>
          </w:p>
        </w:tc>
        <w:tc>
          <w:tcPr>
            <w:tcW w:w="493" w:type="pct"/>
            <w:shd w:val="clear" w:color="auto" w:fill="BFBFBF" w:themeFill="background1" w:themeFillShade="BF"/>
            <w:noWrap/>
            <w:vAlign w:val="center"/>
            <w:hideMark/>
          </w:tcPr>
          <w:p w:rsidR="009769EF" w:rsidRPr="00300E07" w:rsidRDefault="009769EF" w:rsidP="00300E07">
            <w:pPr>
              <w:jc w:val="cente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2016</w:t>
            </w:r>
          </w:p>
        </w:tc>
        <w:tc>
          <w:tcPr>
            <w:tcW w:w="493" w:type="pct"/>
            <w:shd w:val="clear" w:color="auto" w:fill="BFBFBF" w:themeFill="background1" w:themeFillShade="BF"/>
            <w:noWrap/>
            <w:vAlign w:val="center"/>
            <w:hideMark/>
          </w:tcPr>
          <w:p w:rsidR="009769EF" w:rsidRPr="00300E07" w:rsidRDefault="009769EF" w:rsidP="00300E07">
            <w:pPr>
              <w:jc w:val="cente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2017</w:t>
            </w:r>
          </w:p>
        </w:tc>
        <w:tc>
          <w:tcPr>
            <w:tcW w:w="493" w:type="pct"/>
            <w:shd w:val="clear" w:color="auto" w:fill="BFBFBF" w:themeFill="background1" w:themeFillShade="BF"/>
            <w:noWrap/>
            <w:vAlign w:val="center"/>
            <w:hideMark/>
          </w:tcPr>
          <w:p w:rsidR="009769EF" w:rsidRPr="00300E07" w:rsidRDefault="009769EF" w:rsidP="00300E07">
            <w:pPr>
              <w:jc w:val="cente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2018</w:t>
            </w:r>
          </w:p>
        </w:tc>
        <w:tc>
          <w:tcPr>
            <w:tcW w:w="493" w:type="pct"/>
            <w:shd w:val="clear" w:color="auto" w:fill="BFBFBF" w:themeFill="background1" w:themeFillShade="BF"/>
            <w:noWrap/>
            <w:vAlign w:val="center"/>
            <w:hideMark/>
          </w:tcPr>
          <w:p w:rsidR="009769EF" w:rsidRPr="00300E07" w:rsidRDefault="009769EF" w:rsidP="00300E07">
            <w:pPr>
              <w:jc w:val="cente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2019</w:t>
            </w:r>
          </w:p>
        </w:tc>
        <w:tc>
          <w:tcPr>
            <w:tcW w:w="493" w:type="pct"/>
            <w:shd w:val="clear" w:color="auto" w:fill="BFBFBF" w:themeFill="background1" w:themeFillShade="BF"/>
            <w:noWrap/>
            <w:vAlign w:val="center"/>
            <w:hideMark/>
          </w:tcPr>
          <w:p w:rsidR="009769EF" w:rsidRPr="00300E07" w:rsidRDefault="009769EF" w:rsidP="00300E07">
            <w:pPr>
              <w:jc w:val="cente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2020</w:t>
            </w:r>
          </w:p>
        </w:tc>
      </w:tr>
      <w:tr w:rsidR="009769EF" w:rsidRPr="00300E07" w:rsidTr="00C14C79">
        <w:trPr>
          <w:trHeight w:val="198"/>
        </w:trPr>
        <w:tc>
          <w:tcPr>
            <w:tcW w:w="2041" w:type="pct"/>
            <w:shd w:val="clear" w:color="auto" w:fill="BFBFBF" w:themeFill="background1" w:themeFillShade="BF"/>
            <w:noWrap/>
            <w:vAlign w:val="center"/>
            <w:hideMark/>
          </w:tcPr>
          <w:p w:rsidR="009769EF" w:rsidRPr="00300E07" w:rsidRDefault="009769EF" w:rsidP="00300E07">
            <w:pP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Dane z príjmov, ziskov a kapitálového majetku</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rPr>
              <w:t>4 924 444</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5 742 777</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5 344 686</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5 464 581</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5 910 081</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6 422 811</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Daň z príjmov fyzických osôb</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2 158 508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2 376 502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2 561 092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2 749 321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2 963 205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3 192 116</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DPFO zo závislej činnosti</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2 057 819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2 264 609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2 466 898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2 662 775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2 863 942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3 086 298</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DPFO z podnikania</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100 689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111 893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94 194</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86 546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99 263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105 818</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600" w:firstLine="840"/>
              <w:rPr>
                <w:rFonts w:ascii="Times New Roman" w:hAnsi="Times New Roman" w:cs="Times New Roman"/>
                <w:sz w:val="14"/>
                <w:szCs w:val="14"/>
                <w:lang w:eastAsia="en-US"/>
              </w:rPr>
            </w:pPr>
            <w:r w:rsidRPr="00300E07">
              <w:rPr>
                <w:rFonts w:ascii="Times New Roman" w:hAnsi="Times New Roman" w:cs="Times New Roman"/>
                <w:sz w:val="14"/>
                <w:szCs w:val="14"/>
                <w:lang w:eastAsia="en-US"/>
              </w:rPr>
              <w:t xml:space="preserve">do štátneho rozpočtu </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63 889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-8 529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1 859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3 518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-1 939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4 403</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600" w:firstLine="840"/>
              <w:rPr>
                <w:rFonts w:ascii="Times New Roman" w:hAnsi="Times New Roman" w:cs="Times New Roman"/>
                <w:sz w:val="14"/>
                <w:szCs w:val="14"/>
                <w:lang w:eastAsia="en-US"/>
              </w:rPr>
            </w:pPr>
            <w:r w:rsidRPr="00300E07">
              <w:rPr>
                <w:rFonts w:ascii="Times New Roman" w:hAnsi="Times New Roman" w:cs="Times New Roman"/>
                <w:sz w:val="14"/>
                <w:szCs w:val="14"/>
                <w:lang w:eastAsia="en-US"/>
              </w:rPr>
              <w:t xml:space="preserve">do obcí </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1 469 263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1 669 553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1 791 463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1 922 062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2 075 601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2 231 399</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600" w:firstLine="840"/>
              <w:rPr>
                <w:rFonts w:ascii="Times New Roman" w:hAnsi="Times New Roman" w:cs="Times New Roman"/>
                <w:sz w:val="14"/>
                <w:szCs w:val="14"/>
                <w:lang w:eastAsia="en-US"/>
              </w:rPr>
            </w:pPr>
            <w:r w:rsidRPr="00300E07">
              <w:rPr>
                <w:rFonts w:ascii="Times New Roman" w:hAnsi="Times New Roman" w:cs="Times New Roman"/>
                <w:sz w:val="14"/>
                <w:szCs w:val="14"/>
                <w:lang w:eastAsia="en-US"/>
              </w:rPr>
              <w:t xml:space="preserve">do VÚC </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625 356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715 479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767 770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823 741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889 543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956 314</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Daň z príjmov právnických osôb</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2 603 932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3 187 063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2 612 030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2 472 622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2 705 186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2 978 229</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Daň z príjmov vyberaná zrážkou</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162 005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179 211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color w:val="000000"/>
                <w:sz w:val="14"/>
                <w:szCs w:val="14"/>
              </w:rPr>
              <w:t>171 564</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color w:val="000000"/>
                <w:sz w:val="14"/>
                <w:szCs w:val="14"/>
              </w:rPr>
              <w:t>242 638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color w:val="000000"/>
                <w:sz w:val="14"/>
                <w:szCs w:val="14"/>
              </w:rPr>
              <w:t>241 690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color w:val="000000"/>
                <w:sz w:val="14"/>
                <w:szCs w:val="14"/>
              </w:rPr>
              <w:t>252 466</w:t>
            </w:r>
          </w:p>
        </w:tc>
      </w:tr>
      <w:tr w:rsidR="009769EF" w:rsidRPr="00300E07" w:rsidTr="00C14C79">
        <w:trPr>
          <w:trHeight w:val="198"/>
        </w:trPr>
        <w:tc>
          <w:tcPr>
            <w:tcW w:w="2041" w:type="pct"/>
            <w:shd w:val="clear" w:color="auto" w:fill="BFBFBF" w:themeFill="background1" w:themeFillShade="BF"/>
            <w:noWrap/>
            <w:vAlign w:val="center"/>
            <w:hideMark/>
          </w:tcPr>
          <w:p w:rsidR="009769EF" w:rsidRPr="00300E07" w:rsidRDefault="009769EF" w:rsidP="00300E07">
            <w:pP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Dane na tovary a služby</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7 598 099</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7 531 196</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8 138 165</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color w:val="000000"/>
                <w:sz w:val="14"/>
                <w:szCs w:val="14"/>
              </w:rPr>
            </w:pPr>
            <w:r w:rsidRPr="00300E07">
              <w:rPr>
                <w:rFonts w:ascii="Times New Roman" w:hAnsi="Times New Roman" w:cs="Times New Roman"/>
                <w:b/>
                <w:bCs/>
                <w:sz w:val="14"/>
                <w:szCs w:val="14"/>
              </w:rPr>
              <w:t>8 414 868</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color w:val="000000"/>
                <w:sz w:val="14"/>
                <w:szCs w:val="14"/>
              </w:rPr>
            </w:pPr>
            <w:r w:rsidRPr="00300E07">
              <w:rPr>
                <w:rFonts w:ascii="Times New Roman" w:hAnsi="Times New Roman" w:cs="Times New Roman"/>
                <w:b/>
                <w:bCs/>
                <w:sz w:val="14"/>
                <w:szCs w:val="14"/>
              </w:rPr>
              <w:t>8 819 980</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color w:val="000000"/>
                <w:sz w:val="14"/>
                <w:szCs w:val="14"/>
              </w:rPr>
            </w:pPr>
            <w:r w:rsidRPr="00300E07">
              <w:rPr>
                <w:rFonts w:ascii="Times New Roman" w:hAnsi="Times New Roman" w:cs="Times New Roman"/>
                <w:b/>
                <w:bCs/>
                <w:sz w:val="14"/>
                <w:szCs w:val="14"/>
              </w:rPr>
              <w:t>9 190 795</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Daň z pridanej hodnoty</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5 501 499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5 360 699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5 876 617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6 079 178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6 388 223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6 690 983</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Spotrebné dane</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2 096 600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2 170 497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2 261 548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2 335 690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2 431 757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2 499 812</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Z minerálnych olejov</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1 132 891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1 189 935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1 237 482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1 289 881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1 345 721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1 398 556</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Z liehu</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203 727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208 915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213 625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217 330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222 447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226 642</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Z piva</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57 119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56 947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57 287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58 235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59 423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60 506</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Z vína</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4 447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4 937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3 760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4 411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4 337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4 401</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Z tabaku a tabakových výrobkov</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661 496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673 156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711 621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726 809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759 659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768 465</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Z elektrickej energie</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13 407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12 052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11 637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11 806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12 184</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12 487</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Zo zemného plynu</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23 098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24 144</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26 033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26 798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27 550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28 308</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Z uhlia</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415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410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103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420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436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447</w:t>
            </w:r>
          </w:p>
        </w:tc>
      </w:tr>
      <w:tr w:rsidR="009769EF" w:rsidRPr="00300E07" w:rsidTr="00C14C79">
        <w:trPr>
          <w:trHeight w:val="198"/>
        </w:trPr>
        <w:tc>
          <w:tcPr>
            <w:tcW w:w="2041" w:type="pct"/>
            <w:shd w:val="clear" w:color="auto" w:fill="BFBFBF" w:themeFill="background1" w:themeFillShade="BF"/>
            <w:noWrap/>
            <w:vAlign w:val="center"/>
            <w:hideMark/>
          </w:tcPr>
          <w:p w:rsidR="009769EF" w:rsidRPr="00300E07" w:rsidRDefault="009769EF" w:rsidP="00300E07">
            <w:pP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Dane z medzinárodného obchodu a transakcií</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28 894</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28 887</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22 401</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25 259</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25 765</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26 280</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Dovozné clo</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Dovozná prirážka</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Podiel na vybratých finančných prostriedkoch</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28 872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28 845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22 390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25 259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25 765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26 280</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Ostatné colné príjmy</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r>
      <w:tr w:rsidR="009769EF" w:rsidRPr="00300E07" w:rsidTr="00C14C79">
        <w:trPr>
          <w:trHeight w:val="198"/>
        </w:trPr>
        <w:tc>
          <w:tcPr>
            <w:tcW w:w="2041" w:type="pct"/>
            <w:shd w:val="clear" w:color="auto" w:fill="BFBFBF" w:themeFill="background1" w:themeFillShade="BF"/>
            <w:noWrap/>
            <w:vAlign w:val="center"/>
            <w:hideMark/>
          </w:tcPr>
          <w:p w:rsidR="009769EF" w:rsidRPr="00300E07" w:rsidRDefault="009769EF" w:rsidP="00300E07">
            <w:pP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Miestne dane</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519 299</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522 110</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555 242</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572 745</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593 055</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613 826</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Daň z nehnuteľností</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324 053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336 359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359 021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365 169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372 107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379 549</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Dane za špecifické služby</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181 460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185 751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color w:val="000000"/>
                <w:sz w:val="14"/>
                <w:szCs w:val="14"/>
              </w:rPr>
              <w:t>196 221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207 576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220 948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234 277</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Daň z motorových vozidiel (do r.</w:t>
            </w:r>
            <w:r w:rsidR="00207B1D">
              <w:rPr>
                <w:rFonts w:ascii="Times New Roman" w:hAnsi="Times New Roman" w:cs="Times New Roman"/>
                <w:sz w:val="14"/>
                <w:szCs w:val="14"/>
                <w:lang w:eastAsia="en-US"/>
              </w:rPr>
              <w:t xml:space="preserve"> </w:t>
            </w:r>
            <w:r w:rsidRPr="00300E07">
              <w:rPr>
                <w:rFonts w:ascii="Times New Roman" w:hAnsi="Times New Roman" w:cs="Times New Roman"/>
                <w:sz w:val="14"/>
                <w:szCs w:val="14"/>
                <w:lang w:eastAsia="en-US"/>
              </w:rPr>
              <w:t>2014 príjmom VÚC)</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13 786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0</w:t>
            </w:r>
          </w:p>
        </w:tc>
      </w:tr>
      <w:tr w:rsidR="009769EF" w:rsidRPr="00300E07" w:rsidTr="00C14C79">
        <w:trPr>
          <w:trHeight w:val="198"/>
        </w:trPr>
        <w:tc>
          <w:tcPr>
            <w:tcW w:w="2041" w:type="pct"/>
            <w:shd w:val="clear" w:color="auto" w:fill="BFBFBF" w:themeFill="background1" w:themeFillShade="BF"/>
            <w:noWrap/>
            <w:vAlign w:val="center"/>
            <w:hideMark/>
          </w:tcPr>
          <w:p w:rsidR="009769EF" w:rsidRPr="00300E07" w:rsidRDefault="009769EF" w:rsidP="00300E07">
            <w:pP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Ostatné dane</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607 721</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404 505</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519 679</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color w:val="000000"/>
                <w:sz w:val="14"/>
                <w:szCs w:val="14"/>
              </w:rPr>
            </w:pPr>
            <w:r w:rsidRPr="00300E07">
              <w:rPr>
                <w:rFonts w:ascii="Times New Roman" w:hAnsi="Times New Roman" w:cs="Times New Roman"/>
                <w:b/>
                <w:bCs/>
                <w:sz w:val="14"/>
                <w:szCs w:val="14"/>
              </w:rPr>
              <w:t>551 922</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color w:val="000000"/>
                <w:sz w:val="14"/>
                <w:szCs w:val="14"/>
              </w:rPr>
            </w:pPr>
            <w:r w:rsidRPr="00300E07">
              <w:rPr>
                <w:rFonts w:ascii="Times New Roman" w:hAnsi="Times New Roman" w:cs="Times New Roman"/>
                <w:b/>
                <w:bCs/>
                <w:sz w:val="14"/>
                <w:szCs w:val="14"/>
              </w:rPr>
              <w:t>551 449</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color w:val="000000"/>
                <w:sz w:val="14"/>
                <w:szCs w:val="14"/>
              </w:rPr>
            </w:pPr>
            <w:r w:rsidRPr="00300E07">
              <w:rPr>
                <w:rFonts w:ascii="Times New Roman" w:hAnsi="Times New Roman" w:cs="Times New Roman"/>
                <w:b/>
                <w:bCs/>
                <w:sz w:val="14"/>
                <w:szCs w:val="14"/>
              </w:rPr>
              <w:t>571 293</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Daň z emisných kvót</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0</w:t>
            </w:r>
          </w:p>
        </w:tc>
      </w:tr>
      <w:tr w:rsidR="009769EF" w:rsidRPr="00300E07" w:rsidTr="00C14C79">
        <w:trPr>
          <w:trHeight w:val="198"/>
        </w:trPr>
        <w:tc>
          <w:tcPr>
            <w:tcW w:w="2041" w:type="pct"/>
            <w:shd w:val="clear" w:color="auto" w:fill="auto"/>
            <w:noWrap/>
            <w:vAlign w:val="center"/>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Daň z motorových vozidiel (od r. 2015 príjmom ŠR)</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127 501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140 109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color w:val="000000"/>
                <w:sz w:val="14"/>
                <w:szCs w:val="14"/>
              </w:rPr>
              <w:t>151 008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157 768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167 303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177 626</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Osobitný odvod vybraných finančných inštitúcií</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110 289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119 772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color w:val="000000"/>
                <w:sz w:val="14"/>
                <w:szCs w:val="14"/>
              </w:rPr>
              <w:t>126 022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133 646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141 552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150 663</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Osobitný odvod z podnikania v regulovaných odvetviach</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293 078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65 028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color w:val="000000"/>
                <w:sz w:val="14"/>
                <w:szCs w:val="14"/>
              </w:rPr>
              <w:t>140 972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157 468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139 529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139 939</w:t>
            </w:r>
          </w:p>
        </w:tc>
      </w:tr>
      <w:tr w:rsidR="009769EF" w:rsidRPr="00300E07" w:rsidTr="00C14C79">
        <w:trPr>
          <w:trHeight w:val="198"/>
        </w:trPr>
        <w:tc>
          <w:tcPr>
            <w:tcW w:w="2041" w:type="pct"/>
            <w:shd w:val="clear" w:color="auto" w:fill="auto"/>
            <w:noWrap/>
            <w:vAlign w:val="center"/>
            <w:hideMark/>
          </w:tcPr>
          <w:p w:rsidR="009769EF" w:rsidRPr="00300E07" w:rsidRDefault="009769EF" w:rsidP="00207B1D">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 xml:space="preserve">Úhrada za služby verejnosti poskytované </w:t>
            </w:r>
            <w:r w:rsidR="00207B1D">
              <w:rPr>
                <w:rFonts w:ascii="Times New Roman" w:hAnsi="Times New Roman" w:cs="Times New Roman"/>
                <w:sz w:val="14"/>
                <w:szCs w:val="14"/>
                <w:lang w:eastAsia="en-US"/>
              </w:rPr>
              <w:t>RTVS</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75 183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78 276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color w:val="000000"/>
                <w:sz w:val="14"/>
                <w:szCs w:val="14"/>
              </w:rPr>
              <w:t>81 665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color w:val="000000"/>
                <w:sz w:val="14"/>
                <w:szCs w:val="14"/>
              </w:rPr>
              <w:t>81 665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color w:val="000000"/>
                <w:sz w:val="14"/>
                <w:szCs w:val="14"/>
              </w:rPr>
              <w:t>81 665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81 665</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Daň z úhrad za dobývací priestor</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566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574</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600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600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600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600</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600" w:firstLine="840"/>
              <w:rPr>
                <w:rFonts w:ascii="Times New Roman" w:hAnsi="Times New Roman" w:cs="Times New Roman"/>
                <w:sz w:val="14"/>
                <w:szCs w:val="14"/>
                <w:lang w:eastAsia="en-US"/>
              </w:rPr>
            </w:pPr>
            <w:r w:rsidRPr="00300E07">
              <w:rPr>
                <w:rFonts w:ascii="Times New Roman" w:hAnsi="Times New Roman" w:cs="Times New Roman"/>
                <w:sz w:val="14"/>
                <w:szCs w:val="14"/>
                <w:lang w:eastAsia="en-US"/>
              </w:rPr>
              <w:t xml:space="preserve">do štátneho rozpočtu </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98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98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102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102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102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color w:val="000000"/>
                <w:sz w:val="14"/>
                <w:szCs w:val="14"/>
              </w:rPr>
            </w:pPr>
            <w:r w:rsidRPr="00300E07">
              <w:rPr>
                <w:rFonts w:ascii="Times New Roman" w:hAnsi="Times New Roman" w:cs="Times New Roman"/>
                <w:sz w:val="14"/>
                <w:szCs w:val="14"/>
              </w:rPr>
              <w:t>102</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600" w:firstLine="840"/>
              <w:rPr>
                <w:rFonts w:ascii="Times New Roman" w:hAnsi="Times New Roman" w:cs="Times New Roman"/>
                <w:sz w:val="14"/>
                <w:szCs w:val="14"/>
                <w:lang w:eastAsia="en-US"/>
              </w:rPr>
            </w:pPr>
            <w:r w:rsidRPr="00300E07">
              <w:rPr>
                <w:rFonts w:ascii="Times New Roman" w:hAnsi="Times New Roman" w:cs="Times New Roman"/>
                <w:sz w:val="14"/>
                <w:szCs w:val="14"/>
                <w:lang w:eastAsia="en-US"/>
              </w:rPr>
              <w:t xml:space="preserve">do obcí </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468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476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498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498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498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498</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Daň z úhrad za uskladňovanie plynov alebo kvapalín</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1 018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703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1 095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775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800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800</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Majetkové dane (do ŠR)</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Iné dane</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94</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18 300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20 000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20 000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20 000</w:t>
            </w:r>
          </w:p>
        </w:tc>
      </w:tr>
      <w:tr w:rsidR="009769EF" w:rsidRPr="00300E07" w:rsidTr="00C14C79">
        <w:trPr>
          <w:trHeight w:val="198"/>
        </w:trPr>
        <w:tc>
          <w:tcPr>
            <w:tcW w:w="2041" w:type="pct"/>
            <w:shd w:val="clear" w:color="auto" w:fill="auto"/>
            <w:noWrap/>
            <w:vAlign w:val="center"/>
          </w:tcPr>
          <w:p w:rsidR="009769EF" w:rsidRPr="00300E07" w:rsidRDefault="009769EF" w:rsidP="00300E07">
            <w:pPr>
              <w:ind w:firstLineChars="600" w:firstLine="840"/>
              <w:rPr>
                <w:rFonts w:ascii="Times New Roman" w:hAnsi="Times New Roman" w:cs="Times New Roman"/>
                <w:sz w:val="14"/>
                <w:szCs w:val="14"/>
                <w:lang w:eastAsia="en-US"/>
              </w:rPr>
            </w:pPr>
            <w:r w:rsidRPr="00300E07">
              <w:rPr>
                <w:rFonts w:ascii="Times New Roman" w:hAnsi="Times New Roman" w:cs="Times New Roman"/>
                <w:sz w:val="14"/>
                <w:szCs w:val="14"/>
                <w:lang w:eastAsia="en-US"/>
              </w:rPr>
              <w:t xml:space="preserve">do štátneho rozpočtu </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-72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18 300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20 000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20 000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20 000</w:t>
            </w:r>
          </w:p>
        </w:tc>
      </w:tr>
      <w:tr w:rsidR="009769EF" w:rsidRPr="00300E07" w:rsidTr="00C14C79">
        <w:trPr>
          <w:trHeight w:val="198"/>
        </w:trPr>
        <w:tc>
          <w:tcPr>
            <w:tcW w:w="2041" w:type="pct"/>
            <w:shd w:val="clear" w:color="auto" w:fill="auto"/>
            <w:noWrap/>
            <w:vAlign w:val="center"/>
          </w:tcPr>
          <w:p w:rsidR="009769EF" w:rsidRPr="00300E07" w:rsidRDefault="009769EF" w:rsidP="00300E07">
            <w:pPr>
              <w:ind w:firstLineChars="600" w:firstLine="840"/>
              <w:rPr>
                <w:rFonts w:ascii="Times New Roman" w:hAnsi="Times New Roman" w:cs="Times New Roman"/>
                <w:sz w:val="14"/>
                <w:szCs w:val="14"/>
                <w:lang w:eastAsia="en-US"/>
              </w:rPr>
            </w:pPr>
            <w:r w:rsidRPr="00300E07">
              <w:rPr>
                <w:rFonts w:ascii="Times New Roman" w:hAnsi="Times New Roman" w:cs="Times New Roman"/>
                <w:sz w:val="14"/>
                <w:szCs w:val="14"/>
                <w:lang w:eastAsia="en-US"/>
              </w:rPr>
              <w:t xml:space="preserve">do obcí </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113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89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r>
      <w:tr w:rsidR="009769EF" w:rsidRPr="00300E07" w:rsidTr="00C14C79">
        <w:trPr>
          <w:trHeight w:val="198"/>
        </w:trPr>
        <w:tc>
          <w:tcPr>
            <w:tcW w:w="2041" w:type="pct"/>
            <w:shd w:val="clear" w:color="auto" w:fill="BFBFBF" w:themeFill="background1" w:themeFillShade="BF"/>
            <w:noWrap/>
            <w:vAlign w:val="center"/>
            <w:hideMark/>
          </w:tcPr>
          <w:p w:rsidR="009769EF" w:rsidRPr="00300E07" w:rsidRDefault="009769EF" w:rsidP="00300E07">
            <w:pP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Fondy sociálneho a zdravotného poistenia (FSZP)</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9 597 917</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9 487 359</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10 323 541</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10 936 643</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11 583 564</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12 287 073</w:t>
            </w:r>
          </w:p>
        </w:tc>
      </w:tr>
      <w:tr w:rsidR="009769EF" w:rsidRPr="00300E07" w:rsidTr="00C14C79">
        <w:trPr>
          <w:trHeight w:val="198"/>
        </w:trPr>
        <w:tc>
          <w:tcPr>
            <w:tcW w:w="2041" w:type="pct"/>
            <w:shd w:val="clear" w:color="auto" w:fill="BFBFBF" w:themeFill="background1" w:themeFillShade="BF"/>
            <w:noWrap/>
            <w:vAlign w:val="center"/>
            <w:hideMark/>
          </w:tcPr>
          <w:p w:rsidR="009769EF" w:rsidRPr="00300E07" w:rsidRDefault="009769EF" w:rsidP="00300E07">
            <w:pPr>
              <w:ind w:firstLineChars="200" w:firstLine="281"/>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Sociálna poisťovňa</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6 717 837</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6 534 700</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7 025 389</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7 424 888</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7 828 077</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8 276 889</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Ekonomicky aktívne obyvateľstvo + dlžné</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6 138 481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6 534 699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7 025 389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7 424 888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7 828 077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8 276 889</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 xml:space="preserve"> - EAO</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5 917 680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6 329 107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color w:val="000000"/>
                <w:sz w:val="14"/>
                <w:szCs w:val="14"/>
              </w:rPr>
              <w:t>6 816 961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color w:val="000000"/>
                <w:sz w:val="14"/>
                <w:szCs w:val="14"/>
              </w:rPr>
              <w:t>7 215 395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color w:val="000000"/>
                <w:sz w:val="14"/>
                <w:szCs w:val="14"/>
              </w:rPr>
              <w:t>7 617 759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color w:val="000000"/>
                <w:sz w:val="14"/>
                <w:szCs w:val="14"/>
              </w:rPr>
              <w:t>8 065 369</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 xml:space="preserve"> - dlžné</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220 801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205 592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color w:val="000000"/>
                <w:sz w:val="14"/>
                <w:szCs w:val="14"/>
              </w:rPr>
              <w:t>208 428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color w:val="000000"/>
                <w:sz w:val="14"/>
                <w:szCs w:val="14"/>
              </w:rPr>
              <w:t>209 493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color w:val="000000"/>
                <w:sz w:val="14"/>
                <w:szCs w:val="14"/>
              </w:rPr>
              <w:t>210 318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color w:val="000000"/>
                <w:sz w:val="14"/>
                <w:szCs w:val="14"/>
              </w:rPr>
              <w:t>211 520</w:t>
            </w:r>
          </w:p>
        </w:tc>
      </w:tr>
      <w:tr w:rsidR="009769EF" w:rsidRPr="00300E07" w:rsidTr="00C14C79">
        <w:trPr>
          <w:trHeight w:val="198"/>
        </w:trPr>
        <w:tc>
          <w:tcPr>
            <w:tcW w:w="2041" w:type="pct"/>
            <w:shd w:val="clear" w:color="auto" w:fill="auto"/>
            <w:noWrap/>
            <w:vAlign w:val="center"/>
            <w:hideMark/>
          </w:tcPr>
          <w:p w:rsidR="009769EF" w:rsidRPr="00300E07" w:rsidRDefault="00207B1D" w:rsidP="00300E07">
            <w:pPr>
              <w:ind w:firstLineChars="400" w:firstLine="560"/>
              <w:rPr>
                <w:rFonts w:ascii="Times New Roman" w:hAnsi="Times New Roman" w:cs="Times New Roman"/>
                <w:sz w:val="14"/>
                <w:szCs w:val="14"/>
                <w:lang w:eastAsia="en-US"/>
              </w:rPr>
            </w:pPr>
            <w:r>
              <w:rPr>
                <w:rFonts w:ascii="Times New Roman" w:hAnsi="Times New Roman" w:cs="Times New Roman"/>
                <w:sz w:val="14"/>
                <w:szCs w:val="14"/>
                <w:lang w:eastAsia="en-US"/>
              </w:rPr>
              <w:t>T</w:t>
            </w:r>
            <w:r w:rsidR="009769EF" w:rsidRPr="00300E07">
              <w:rPr>
                <w:rFonts w:ascii="Times New Roman" w:hAnsi="Times New Roman" w:cs="Times New Roman"/>
                <w:sz w:val="14"/>
                <w:szCs w:val="14"/>
                <w:lang w:eastAsia="en-US"/>
              </w:rPr>
              <w:t>ransfer úspor z DSS do SP</w:t>
            </w:r>
            <w:r>
              <w:rPr>
                <w:rFonts w:ascii="Times New Roman" w:hAnsi="Times New Roman" w:cs="Times New Roman"/>
                <w:sz w:val="14"/>
                <w:szCs w:val="14"/>
                <w:lang w:eastAsia="en-US"/>
              </w:rPr>
              <w:t xml:space="preserve"> </w:t>
            </w:r>
            <w:r w:rsidR="009769EF" w:rsidRPr="00300E07">
              <w:rPr>
                <w:rFonts w:ascii="Times New Roman" w:hAnsi="Times New Roman" w:cs="Times New Roman"/>
                <w:sz w:val="14"/>
                <w:szCs w:val="14"/>
                <w:lang w:eastAsia="en-US"/>
              </w:rPr>
              <w:t>- od vystúpených</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579 356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0</w:t>
            </w:r>
          </w:p>
        </w:tc>
      </w:tr>
      <w:tr w:rsidR="009769EF" w:rsidRPr="00300E07" w:rsidTr="00C14C79">
        <w:trPr>
          <w:trHeight w:val="198"/>
        </w:trPr>
        <w:tc>
          <w:tcPr>
            <w:tcW w:w="2041" w:type="pct"/>
            <w:shd w:val="clear" w:color="auto" w:fill="BFBFBF" w:themeFill="background1" w:themeFillShade="BF"/>
            <w:noWrap/>
            <w:vAlign w:val="center"/>
            <w:hideMark/>
          </w:tcPr>
          <w:p w:rsidR="009769EF" w:rsidRPr="00300E07" w:rsidRDefault="009769EF" w:rsidP="00300E07">
            <w:pPr>
              <w:ind w:firstLineChars="200" w:firstLine="281"/>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Zdravotné poisťovne</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2 880 080</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2 952 660</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3 298 152</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3 511 755</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color w:val="000000"/>
                <w:sz w:val="14"/>
                <w:szCs w:val="14"/>
              </w:rPr>
              <w:t>3 755 487</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color w:val="000000"/>
                <w:sz w:val="14"/>
                <w:szCs w:val="14"/>
              </w:rPr>
              <w:t>4 010 184</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Ekonomicky aktívne obyvateľstvo + dlžné</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2 880 080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2 952 660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color w:val="000000"/>
                <w:sz w:val="14"/>
                <w:szCs w:val="14"/>
              </w:rPr>
              <w:t>3 298 152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color w:val="000000"/>
                <w:sz w:val="14"/>
                <w:szCs w:val="14"/>
              </w:rPr>
              <w:t>3 511 755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color w:val="000000"/>
                <w:sz w:val="14"/>
                <w:szCs w:val="14"/>
              </w:rPr>
              <w:t>3 755 487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color w:val="000000"/>
                <w:sz w:val="14"/>
                <w:szCs w:val="14"/>
              </w:rPr>
              <w:t>4 010 184</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600" w:firstLine="840"/>
              <w:rPr>
                <w:rFonts w:ascii="Times New Roman" w:hAnsi="Times New Roman" w:cs="Times New Roman"/>
                <w:sz w:val="14"/>
                <w:szCs w:val="14"/>
                <w:lang w:eastAsia="en-US"/>
              </w:rPr>
            </w:pPr>
            <w:r w:rsidRPr="00300E07">
              <w:rPr>
                <w:rFonts w:ascii="Times New Roman" w:hAnsi="Times New Roman" w:cs="Times New Roman"/>
                <w:sz w:val="14"/>
                <w:szCs w:val="14"/>
                <w:lang w:eastAsia="en-US"/>
              </w:rPr>
              <w:t>z toho: ročné zúčtovanie</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52 677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-67 705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color w:val="000000"/>
                <w:sz w:val="14"/>
                <w:szCs w:val="14"/>
              </w:rPr>
              <w:t>-67 945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color w:val="000000"/>
                <w:sz w:val="14"/>
                <w:szCs w:val="14"/>
              </w:rPr>
              <w:t>-64 078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color w:val="000000"/>
                <w:sz w:val="14"/>
                <w:szCs w:val="14"/>
              </w:rPr>
              <w:t>-41 557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color w:val="000000"/>
                <w:sz w:val="14"/>
                <w:szCs w:val="14"/>
              </w:rPr>
              <w:t>-26 525</w:t>
            </w:r>
          </w:p>
        </w:tc>
      </w:tr>
      <w:tr w:rsidR="009769EF" w:rsidRPr="00300E07" w:rsidTr="00C14C79">
        <w:trPr>
          <w:trHeight w:val="198"/>
        </w:trPr>
        <w:tc>
          <w:tcPr>
            <w:tcW w:w="2041" w:type="pct"/>
            <w:shd w:val="clear" w:color="auto" w:fill="BFBFBF" w:themeFill="background1" w:themeFillShade="BF"/>
            <w:noWrap/>
            <w:vAlign w:val="center"/>
            <w:hideMark/>
          </w:tcPr>
          <w:p w:rsidR="009769EF" w:rsidRPr="00300E07" w:rsidRDefault="009769EF" w:rsidP="00300E07">
            <w:pP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Daňové príjmy VS spolu</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13 678 456</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14 229 475</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14 580 173</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15 029 375</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15 900 330</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16 825 005</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Daňové príjmy ŠR</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10 584 390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11 057 989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11 115 446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11 336 775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11 978 087</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12 649 901</w:t>
            </w:r>
          </w:p>
        </w:tc>
      </w:tr>
      <w:tr w:rsidR="009769EF" w:rsidRPr="00300E07" w:rsidTr="00C14C79">
        <w:trPr>
          <w:trHeight w:val="198"/>
        </w:trPr>
        <w:tc>
          <w:tcPr>
            <w:tcW w:w="2041" w:type="pct"/>
            <w:shd w:val="clear" w:color="auto" w:fill="auto"/>
            <w:noWrap/>
            <w:vAlign w:val="center"/>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Mimorozpočtový účet ŠR</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9 365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-17 224</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0</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Štátne finančné aktíva</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394 002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202 024</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266 994</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291 114</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281 081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290 602</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 xml:space="preserve">Daňové príjmy obcí </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1 975 356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2 192 228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2 347 203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2 495 305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2 669 154</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2 845 723</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Daňové príjmy VÚC</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639 142</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715 479</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767 770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823 741</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889 543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956 314</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Daňové príjmy Rozhlasu a televízie Slovenska (RT</w:t>
            </w:r>
            <w:r w:rsidR="00207B1D">
              <w:rPr>
                <w:rFonts w:ascii="Times New Roman" w:hAnsi="Times New Roman" w:cs="Times New Roman"/>
                <w:sz w:val="14"/>
                <w:szCs w:val="14"/>
                <w:lang w:eastAsia="en-US"/>
              </w:rPr>
              <w:t>V</w:t>
            </w:r>
            <w:r w:rsidRPr="00300E07">
              <w:rPr>
                <w:rFonts w:ascii="Times New Roman" w:hAnsi="Times New Roman" w:cs="Times New Roman"/>
                <w:sz w:val="14"/>
                <w:szCs w:val="14"/>
                <w:lang w:eastAsia="en-US"/>
              </w:rPr>
              <w:t>S)</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lang w:eastAsia="sk-SK"/>
              </w:rPr>
            </w:pPr>
            <w:r w:rsidRPr="00300E07">
              <w:rPr>
                <w:rFonts w:ascii="Times New Roman" w:hAnsi="Times New Roman" w:cs="Times New Roman"/>
                <w:sz w:val="14"/>
                <w:szCs w:val="14"/>
              </w:rPr>
              <w:t>75 183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78 276</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81 665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81 665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81 665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81 665</w:t>
            </w:r>
          </w:p>
        </w:tc>
      </w:tr>
      <w:tr w:rsidR="009769EF" w:rsidRPr="00300E07" w:rsidTr="00C14C79">
        <w:trPr>
          <w:trHeight w:val="198"/>
        </w:trPr>
        <w:tc>
          <w:tcPr>
            <w:tcW w:w="2041"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Environmentálny fond</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1 018</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703</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1 095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775</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800</w:t>
            </w:r>
          </w:p>
        </w:tc>
        <w:tc>
          <w:tcPr>
            <w:tcW w:w="493" w:type="pct"/>
            <w:shd w:val="clear" w:color="auto" w:fill="auto"/>
            <w:noWrap/>
            <w:vAlign w:val="center"/>
          </w:tcPr>
          <w:p w:rsidR="009769EF" w:rsidRPr="00300E07" w:rsidRDefault="009769EF" w:rsidP="00300E07">
            <w:pPr>
              <w:jc w:val="right"/>
              <w:rPr>
                <w:rFonts w:ascii="Times New Roman" w:hAnsi="Times New Roman" w:cs="Times New Roman"/>
                <w:sz w:val="14"/>
                <w:szCs w:val="14"/>
                <w:highlight w:val="yellow"/>
              </w:rPr>
            </w:pPr>
            <w:r w:rsidRPr="00300E07">
              <w:rPr>
                <w:rFonts w:ascii="Times New Roman" w:hAnsi="Times New Roman" w:cs="Times New Roman"/>
                <w:sz w:val="14"/>
                <w:szCs w:val="14"/>
              </w:rPr>
              <w:t>800</w:t>
            </w:r>
          </w:p>
        </w:tc>
      </w:tr>
      <w:tr w:rsidR="009769EF" w:rsidRPr="00300E07" w:rsidTr="00C14C79">
        <w:trPr>
          <w:trHeight w:val="198"/>
        </w:trPr>
        <w:tc>
          <w:tcPr>
            <w:tcW w:w="2041" w:type="pct"/>
            <w:shd w:val="clear" w:color="auto" w:fill="BFBFBF" w:themeFill="background1" w:themeFillShade="BF"/>
            <w:vAlign w:val="center"/>
            <w:hideMark/>
          </w:tcPr>
          <w:p w:rsidR="009769EF" w:rsidRPr="00300E07" w:rsidRDefault="009769EF" w:rsidP="00300E07">
            <w:pP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FSZP spolu</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9 597 917</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9 487 359</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10 323 541</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10 936 643</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11 583 564</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12 287 073</w:t>
            </w:r>
          </w:p>
        </w:tc>
      </w:tr>
      <w:tr w:rsidR="009769EF" w:rsidRPr="00300E07" w:rsidTr="00C14C79">
        <w:trPr>
          <w:trHeight w:val="198"/>
        </w:trPr>
        <w:tc>
          <w:tcPr>
            <w:tcW w:w="2041" w:type="pct"/>
            <w:shd w:val="clear" w:color="auto" w:fill="BFBFBF" w:themeFill="background1" w:themeFillShade="BF"/>
            <w:vAlign w:val="center"/>
            <w:hideMark/>
          </w:tcPr>
          <w:p w:rsidR="009769EF" w:rsidRPr="00300E07" w:rsidRDefault="009769EF" w:rsidP="00300E07">
            <w:pP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Daňové príjmy a príjmy FSZP spolu</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23 276 373</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23 716 835</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24 903 714</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25 966 018</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27 483 894</w:t>
            </w:r>
          </w:p>
        </w:tc>
        <w:tc>
          <w:tcPr>
            <w:tcW w:w="493"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highlight w:val="yellow"/>
              </w:rPr>
            </w:pPr>
            <w:r w:rsidRPr="00300E07">
              <w:rPr>
                <w:rFonts w:ascii="Times New Roman" w:hAnsi="Times New Roman" w:cs="Times New Roman"/>
                <w:b/>
                <w:bCs/>
                <w:sz w:val="14"/>
                <w:szCs w:val="14"/>
              </w:rPr>
              <w:t>29 112 078</w:t>
            </w:r>
          </w:p>
        </w:tc>
      </w:tr>
    </w:tbl>
    <w:p w:rsidR="009769EF" w:rsidRPr="002B0850" w:rsidRDefault="009769EF" w:rsidP="009769EF">
      <w:pPr>
        <w:jc w:val="both"/>
        <w:rPr>
          <w:rFonts w:ascii="Times New Roman" w:hAnsi="Times New Roman" w:cs="Times New Roman"/>
          <w:color w:val="FF0000"/>
          <w:highlight w:val="yellow"/>
        </w:rPr>
      </w:pPr>
    </w:p>
    <w:p w:rsidR="009769EF" w:rsidRPr="00C94C87" w:rsidRDefault="009769EF" w:rsidP="009769EF">
      <w:pPr>
        <w:ind w:firstLine="708"/>
        <w:jc w:val="both"/>
        <w:rPr>
          <w:rFonts w:ascii="Times New Roman" w:hAnsi="Times New Roman" w:cs="Times New Roman"/>
        </w:rPr>
      </w:pPr>
      <w:r w:rsidRPr="00C94C87">
        <w:rPr>
          <w:rFonts w:ascii="Times New Roman" w:hAnsi="Times New Roman" w:cs="Times New Roman"/>
        </w:rPr>
        <w:lastRenderedPageBreak/>
        <w:t>V súlade s klasifikáciou je predpokladaná výška sankcií k jednotlivým daniam uvedená v osobitnej tabuľke.</w:t>
      </w:r>
    </w:p>
    <w:p w:rsidR="009769EF" w:rsidRPr="002B0850" w:rsidRDefault="009769EF" w:rsidP="009769EF">
      <w:pPr>
        <w:jc w:val="both"/>
        <w:rPr>
          <w:rFonts w:ascii="Times New Roman" w:hAnsi="Times New Roman" w:cs="Times New Roman"/>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778"/>
        <w:gridCol w:w="402"/>
        <w:gridCol w:w="379"/>
        <w:gridCol w:w="319"/>
        <w:gridCol w:w="460"/>
        <w:gridCol w:w="297"/>
        <w:gridCol w:w="480"/>
        <w:gridCol w:w="223"/>
        <w:gridCol w:w="556"/>
        <w:gridCol w:w="145"/>
        <w:gridCol w:w="633"/>
      </w:tblGrid>
      <w:tr w:rsidR="009769EF" w:rsidRPr="00300E07" w:rsidTr="00300E07">
        <w:trPr>
          <w:trHeight w:val="255"/>
        </w:trPr>
        <w:tc>
          <w:tcPr>
            <w:tcW w:w="5000" w:type="pct"/>
            <w:gridSpan w:val="12"/>
            <w:shd w:val="clear" w:color="000000" w:fill="A6A6A6"/>
            <w:noWrap/>
            <w:vAlign w:val="center"/>
            <w:hideMark/>
          </w:tcPr>
          <w:p w:rsidR="009769EF" w:rsidRPr="00300E07" w:rsidRDefault="009769EF" w:rsidP="00300E07">
            <w:pP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en-US"/>
              </w:rPr>
              <w:t>Predpokladaný vývoj sankcií * (v tis. eur) </w:t>
            </w:r>
          </w:p>
        </w:tc>
      </w:tr>
      <w:tr w:rsidR="009769EF" w:rsidRPr="00300E07" w:rsidTr="00300E07">
        <w:trPr>
          <w:trHeight w:hRule="exact" w:val="255"/>
        </w:trPr>
        <w:tc>
          <w:tcPr>
            <w:tcW w:w="2422" w:type="pct"/>
            <w:vMerge w:val="restart"/>
            <w:shd w:val="clear" w:color="000000" w:fill="BFBFBF"/>
            <w:noWrap/>
            <w:vAlign w:val="center"/>
            <w:hideMark/>
          </w:tcPr>
          <w:p w:rsidR="009769EF" w:rsidRPr="00300E07" w:rsidRDefault="009769EF" w:rsidP="00300E07">
            <w:pPr>
              <w:jc w:val="center"/>
              <w:rPr>
                <w:rFonts w:ascii="Times New Roman" w:hAnsi="Times New Roman" w:cs="Times New Roman"/>
                <w:sz w:val="14"/>
                <w:szCs w:val="14"/>
                <w:lang w:eastAsia="sk-SK"/>
              </w:rPr>
            </w:pPr>
            <w:r w:rsidRPr="00300E07">
              <w:rPr>
                <w:rFonts w:ascii="Times New Roman" w:hAnsi="Times New Roman" w:cs="Times New Roman"/>
                <w:sz w:val="14"/>
                <w:szCs w:val="14"/>
                <w:lang w:eastAsia="sk-SK"/>
              </w:rPr>
              <w:t> </w:t>
            </w:r>
          </w:p>
        </w:tc>
        <w:tc>
          <w:tcPr>
            <w:tcW w:w="860" w:type="pct"/>
            <w:gridSpan w:val="3"/>
            <w:shd w:val="clear" w:color="000000" w:fill="BFBFBF"/>
            <w:noWrap/>
            <w:vAlign w:val="center"/>
            <w:hideMark/>
          </w:tcPr>
          <w:p w:rsidR="009769EF" w:rsidRPr="00300E07" w:rsidRDefault="009769EF" w:rsidP="00300E07">
            <w:pPr>
              <w:jc w:val="cente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Skutočnosť</w:t>
            </w:r>
          </w:p>
        </w:tc>
        <w:tc>
          <w:tcPr>
            <w:tcW w:w="1718" w:type="pct"/>
            <w:gridSpan w:val="8"/>
            <w:shd w:val="clear" w:color="000000" w:fill="BFBFBF"/>
            <w:noWrap/>
            <w:vAlign w:val="center"/>
            <w:hideMark/>
          </w:tcPr>
          <w:p w:rsidR="009769EF" w:rsidRPr="00300E07" w:rsidRDefault="009769EF" w:rsidP="00300E07">
            <w:pPr>
              <w:jc w:val="cente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Prognóza</w:t>
            </w:r>
          </w:p>
        </w:tc>
      </w:tr>
      <w:tr w:rsidR="009769EF" w:rsidRPr="00300E07" w:rsidTr="00300E07">
        <w:trPr>
          <w:trHeight w:val="255"/>
        </w:trPr>
        <w:tc>
          <w:tcPr>
            <w:tcW w:w="2422" w:type="pct"/>
            <w:vMerge/>
            <w:vAlign w:val="center"/>
            <w:hideMark/>
          </w:tcPr>
          <w:p w:rsidR="009769EF" w:rsidRPr="00300E07" w:rsidRDefault="009769EF" w:rsidP="00300E07">
            <w:pPr>
              <w:rPr>
                <w:rFonts w:ascii="Times New Roman" w:hAnsi="Times New Roman" w:cs="Times New Roman"/>
                <w:sz w:val="14"/>
                <w:szCs w:val="14"/>
                <w:lang w:eastAsia="sk-SK"/>
              </w:rPr>
            </w:pPr>
          </w:p>
        </w:tc>
        <w:tc>
          <w:tcPr>
            <w:tcW w:w="429" w:type="pct"/>
            <w:shd w:val="clear" w:color="000000" w:fill="BFBFBF"/>
            <w:noWrap/>
            <w:vAlign w:val="center"/>
            <w:hideMark/>
          </w:tcPr>
          <w:p w:rsidR="009769EF" w:rsidRPr="00300E07" w:rsidRDefault="009769EF" w:rsidP="00300E07">
            <w:pPr>
              <w:jc w:val="cente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2015</w:t>
            </w:r>
          </w:p>
        </w:tc>
        <w:tc>
          <w:tcPr>
            <w:tcW w:w="430" w:type="pct"/>
            <w:gridSpan w:val="2"/>
            <w:shd w:val="clear" w:color="000000" w:fill="BFBFBF"/>
            <w:noWrap/>
            <w:vAlign w:val="center"/>
            <w:hideMark/>
          </w:tcPr>
          <w:p w:rsidR="009769EF" w:rsidRPr="00300E07" w:rsidRDefault="009769EF" w:rsidP="00300E07">
            <w:pPr>
              <w:jc w:val="cente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2016</w:t>
            </w:r>
          </w:p>
        </w:tc>
        <w:tc>
          <w:tcPr>
            <w:tcW w:w="430" w:type="pct"/>
            <w:gridSpan w:val="2"/>
            <w:shd w:val="clear" w:color="000000" w:fill="BFBFBF"/>
            <w:noWrap/>
            <w:vAlign w:val="center"/>
            <w:hideMark/>
          </w:tcPr>
          <w:p w:rsidR="009769EF" w:rsidRPr="00300E07" w:rsidRDefault="009769EF" w:rsidP="00300E07">
            <w:pPr>
              <w:jc w:val="cente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2017</w:t>
            </w:r>
          </w:p>
        </w:tc>
        <w:tc>
          <w:tcPr>
            <w:tcW w:w="429" w:type="pct"/>
            <w:gridSpan w:val="2"/>
            <w:shd w:val="clear" w:color="000000" w:fill="BFBFBF"/>
            <w:noWrap/>
            <w:vAlign w:val="center"/>
            <w:hideMark/>
          </w:tcPr>
          <w:p w:rsidR="009769EF" w:rsidRPr="00300E07" w:rsidRDefault="009769EF" w:rsidP="00300E07">
            <w:pPr>
              <w:jc w:val="cente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2018</w:t>
            </w:r>
          </w:p>
        </w:tc>
        <w:tc>
          <w:tcPr>
            <w:tcW w:w="430" w:type="pct"/>
            <w:gridSpan w:val="2"/>
            <w:shd w:val="clear" w:color="000000" w:fill="BFBFBF"/>
            <w:noWrap/>
            <w:vAlign w:val="center"/>
            <w:hideMark/>
          </w:tcPr>
          <w:p w:rsidR="009769EF" w:rsidRPr="00300E07" w:rsidRDefault="009769EF" w:rsidP="00300E07">
            <w:pPr>
              <w:jc w:val="cente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2019</w:t>
            </w:r>
          </w:p>
        </w:tc>
        <w:tc>
          <w:tcPr>
            <w:tcW w:w="430" w:type="pct"/>
            <w:gridSpan w:val="2"/>
            <w:shd w:val="clear" w:color="000000" w:fill="BFBFBF"/>
            <w:noWrap/>
            <w:vAlign w:val="center"/>
            <w:hideMark/>
          </w:tcPr>
          <w:p w:rsidR="009769EF" w:rsidRPr="00300E07" w:rsidRDefault="009769EF" w:rsidP="00300E07">
            <w:pPr>
              <w:jc w:val="cente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2020</w:t>
            </w:r>
          </w:p>
        </w:tc>
      </w:tr>
      <w:tr w:rsidR="009769EF" w:rsidRPr="00300E07" w:rsidTr="00300E07">
        <w:trPr>
          <w:trHeight w:hRule="exact" w:val="255"/>
        </w:trPr>
        <w:tc>
          <w:tcPr>
            <w:tcW w:w="2422" w:type="pct"/>
            <w:shd w:val="clear" w:color="000000" w:fill="BFBFBF"/>
            <w:noWrap/>
            <w:vAlign w:val="center"/>
            <w:hideMark/>
          </w:tcPr>
          <w:p w:rsidR="009769EF" w:rsidRPr="00300E07" w:rsidRDefault="009769EF" w:rsidP="00300E07">
            <w:pP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sk-SK"/>
              </w:rPr>
              <w:t>SANKCIE spolu</w:t>
            </w:r>
          </w:p>
        </w:tc>
        <w:tc>
          <w:tcPr>
            <w:tcW w:w="429" w:type="pct"/>
            <w:shd w:val="clear" w:color="000000" w:fill="BFBFBF"/>
            <w:noWrap/>
            <w:vAlign w:val="center"/>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sz w:val="14"/>
                <w:szCs w:val="14"/>
              </w:rPr>
              <w:t>38 579</w:t>
            </w:r>
          </w:p>
        </w:tc>
        <w:tc>
          <w:tcPr>
            <w:tcW w:w="430" w:type="pct"/>
            <w:gridSpan w:val="2"/>
            <w:shd w:val="clear" w:color="000000" w:fill="BFBF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30 102</w:t>
            </w:r>
          </w:p>
        </w:tc>
        <w:tc>
          <w:tcPr>
            <w:tcW w:w="430" w:type="pct"/>
            <w:gridSpan w:val="2"/>
            <w:shd w:val="clear" w:color="000000" w:fill="BFBF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31 260</w:t>
            </w:r>
          </w:p>
        </w:tc>
        <w:tc>
          <w:tcPr>
            <w:tcW w:w="429" w:type="pct"/>
            <w:gridSpan w:val="2"/>
            <w:shd w:val="clear" w:color="000000" w:fill="BFBF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31 188</w:t>
            </w:r>
          </w:p>
        </w:tc>
        <w:tc>
          <w:tcPr>
            <w:tcW w:w="430" w:type="pct"/>
            <w:gridSpan w:val="2"/>
            <w:shd w:val="clear" w:color="000000" w:fill="BFBF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31 188</w:t>
            </w:r>
          </w:p>
        </w:tc>
        <w:tc>
          <w:tcPr>
            <w:tcW w:w="430" w:type="pct"/>
            <w:gridSpan w:val="2"/>
            <w:shd w:val="clear" w:color="000000" w:fill="BFBF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sz w:val="14"/>
                <w:szCs w:val="14"/>
              </w:rPr>
              <w:t>31 188</w:t>
            </w:r>
          </w:p>
        </w:tc>
      </w:tr>
      <w:tr w:rsidR="009769EF" w:rsidRPr="00300E07" w:rsidTr="00300E07">
        <w:trPr>
          <w:trHeight w:hRule="exact" w:val="255"/>
        </w:trPr>
        <w:tc>
          <w:tcPr>
            <w:tcW w:w="2422" w:type="pct"/>
            <w:shd w:val="clear" w:color="auto" w:fill="auto"/>
            <w:noWrap/>
            <w:vAlign w:val="center"/>
            <w:hideMark/>
          </w:tcPr>
          <w:p w:rsidR="009769EF" w:rsidRPr="00300E07" w:rsidRDefault="009769EF" w:rsidP="00300E07">
            <w:pPr>
              <w:ind w:firstLineChars="100" w:firstLine="140"/>
              <w:rPr>
                <w:rFonts w:ascii="Times New Roman" w:hAnsi="Times New Roman" w:cs="Times New Roman"/>
                <w:sz w:val="14"/>
                <w:szCs w:val="14"/>
                <w:lang w:eastAsia="sk-SK"/>
              </w:rPr>
            </w:pPr>
            <w:r w:rsidRPr="00300E07">
              <w:rPr>
                <w:rFonts w:ascii="Times New Roman" w:hAnsi="Times New Roman" w:cs="Times New Roman"/>
                <w:sz w:val="14"/>
                <w:szCs w:val="14"/>
                <w:lang w:eastAsia="sk-SK"/>
              </w:rPr>
              <w:t>Daň z príjmov fyzických osôb</w:t>
            </w:r>
          </w:p>
        </w:tc>
        <w:tc>
          <w:tcPr>
            <w:tcW w:w="429"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3 582</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2 939</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2 128</w:t>
            </w:r>
          </w:p>
        </w:tc>
        <w:tc>
          <w:tcPr>
            <w:tcW w:w="429"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2 128</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2 128</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2 128</w:t>
            </w:r>
          </w:p>
        </w:tc>
      </w:tr>
      <w:tr w:rsidR="009769EF" w:rsidRPr="00300E07" w:rsidTr="00300E07">
        <w:trPr>
          <w:trHeight w:hRule="exact" w:val="255"/>
        </w:trPr>
        <w:tc>
          <w:tcPr>
            <w:tcW w:w="2422" w:type="pct"/>
            <w:shd w:val="clear" w:color="auto" w:fill="auto"/>
            <w:noWrap/>
            <w:vAlign w:val="center"/>
            <w:hideMark/>
          </w:tcPr>
          <w:p w:rsidR="009769EF" w:rsidRPr="00300E07" w:rsidRDefault="009769EF" w:rsidP="00300E07">
            <w:pPr>
              <w:ind w:firstLineChars="100" w:firstLine="140"/>
              <w:rPr>
                <w:rFonts w:ascii="Times New Roman" w:hAnsi="Times New Roman" w:cs="Times New Roman"/>
                <w:sz w:val="14"/>
                <w:szCs w:val="14"/>
                <w:lang w:eastAsia="sk-SK"/>
              </w:rPr>
            </w:pPr>
            <w:r w:rsidRPr="00300E07">
              <w:rPr>
                <w:rFonts w:ascii="Times New Roman" w:hAnsi="Times New Roman" w:cs="Times New Roman"/>
                <w:sz w:val="14"/>
                <w:szCs w:val="14"/>
                <w:lang w:eastAsia="sk-SK"/>
              </w:rPr>
              <w:t>Daň z príjmov právnických osôb</w:t>
            </w:r>
          </w:p>
        </w:tc>
        <w:tc>
          <w:tcPr>
            <w:tcW w:w="429"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3 872</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332</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1 582</w:t>
            </w:r>
          </w:p>
        </w:tc>
        <w:tc>
          <w:tcPr>
            <w:tcW w:w="429"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1 582</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1 582</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1 582</w:t>
            </w:r>
          </w:p>
        </w:tc>
      </w:tr>
      <w:tr w:rsidR="009769EF" w:rsidRPr="00300E07" w:rsidTr="00300E07">
        <w:trPr>
          <w:trHeight w:hRule="exact" w:val="255"/>
        </w:trPr>
        <w:tc>
          <w:tcPr>
            <w:tcW w:w="2422" w:type="pct"/>
            <w:shd w:val="clear" w:color="auto" w:fill="auto"/>
            <w:noWrap/>
            <w:vAlign w:val="center"/>
            <w:hideMark/>
          </w:tcPr>
          <w:p w:rsidR="009769EF" w:rsidRPr="00300E07" w:rsidRDefault="009769EF" w:rsidP="00300E07">
            <w:pPr>
              <w:ind w:firstLineChars="100" w:firstLine="140"/>
              <w:rPr>
                <w:rFonts w:ascii="Times New Roman" w:hAnsi="Times New Roman" w:cs="Times New Roman"/>
                <w:sz w:val="14"/>
                <w:szCs w:val="14"/>
                <w:lang w:eastAsia="sk-SK"/>
              </w:rPr>
            </w:pPr>
            <w:r w:rsidRPr="00300E07">
              <w:rPr>
                <w:rFonts w:ascii="Times New Roman" w:hAnsi="Times New Roman" w:cs="Times New Roman"/>
                <w:sz w:val="14"/>
                <w:szCs w:val="14"/>
                <w:lang w:eastAsia="sk-SK"/>
              </w:rPr>
              <w:t>Daň z príjmov vyberaná zrážkou</w:t>
            </w:r>
          </w:p>
        </w:tc>
        <w:tc>
          <w:tcPr>
            <w:tcW w:w="429"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10</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48</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48</w:t>
            </w:r>
          </w:p>
        </w:tc>
        <w:tc>
          <w:tcPr>
            <w:tcW w:w="429"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48</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48</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48</w:t>
            </w:r>
          </w:p>
        </w:tc>
      </w:tr>
      <w:tr w:rsidR="009769EF" w:rsidRPr="00300E07" w:rsidTr="00300E07">
        <w:trPr>
          <w:trHeight w:hRule="exact" w:val="255"/>
        </w:trPr>
        <w:tc>
          <w:tcPr>
            <w:tcW w:w="2422" w:type="pct"/>
            <w:shd w:val="clear" w:color="auto" w:fill="auto"/>
            <w:noWrap/>
            <w:vAlign w:val="center"/>
            <w:hideMark/>
          </w:tcPr>
          <w:p w:rsidR="009769EF" w:rsidRPr="00300E07" w:rsidRDefault="009769EF" w:rsidP="00300E07">
            <w:pPr>
              <w:ind w:firstLineChars="100" w:firstLine="140"/>
              <w:rPr>
                <w:rFonts w:ascii="Times New Roman" w:hAnsi="Times New Roman" w:cs="Times New Roman"/>
                <w:sz w:val="14"/>
                <w:szCs w:val="14"/>
                <w:lang w:eastAsia="sk-SK"/>
              </w:rPr>
            </w:pPr>
            <w:r w:rsidRPr="00300E07">
              <w:rPr>
                <w:rFonts w:ascii="Times New Roman" w:hAnsi="Times New Roman" w:cs="Times New Roman"/>
                <w:sz w:val="14"/>
                <w:szCs w:val="14"/>
                <w:lang w:eastAsia="sk-SK"/>
              </w:rPr>
              <w:t>Daň z pridanej hodnoty</w:t>
            </w:r>
          </w:p>
        </w:tc>
        <w:tc>
          <w:tcPr>
            <w:tcW w:w="429"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8 842</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7 998</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7 998</w:t>
            </w:r>
          </w:p>
        </w:tc>
        <w:tc>
          <w:tcPr>
            <w:tcW w:w="429"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7 998</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7 998</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7 998</w:t>
            </w:r>
          </w:p>
        </w:tc>
      </w:tr>
      <w:tr w:rsidR="009769EF" w:rsidRPr="00300E07" w:rsidTr="00300E07">
        <w:trPr>
          <w:trHeight w:hRule="exact" w:val="255"/>
        </w:trPr>
        <w:tc>
          <w:tcPr>
            <w:tcW w:w="2422" w:type="pct"/>
            <w:shd w:val="clear" w:color="auto" w:fill="auto"/>
            <w:noWrap/>
            <w:vAlign w:val="center"/>
            <w:hideMark/>
          </w:tcPr>
          <w:p w:rsidR="009769EF" w:rsidRPr="00300E07" w:rsidRDefault="009769EF" w:rsidP="00300E07">
            <w:pPr>
              <w:ind w:firstLineChars="100" w:firstLine="140"/>
              <w:rPr>
                <w:rFonts w:ascii="Times New Roman" w:hAnsi="Times New Roman" w:cs="Times New Roman"/>
                <w:sz w:val="14"/>
                <w:szCs w:val="14"/>
                <w:lang w:eastAsia="sk-SK"/>
              </w:rPr>
            </w:pPr>
            <w:r w:rsidRPr="00300E07">
              <w:rPr>
                <w:rFonts w:ascii="Times New Roman" w:hAnsi="Times New Roman" w:cs="Times New Roman"/>
                <w:sz w:val="14"/>
                <w:szCs w:val="14"/>
                <w:lang w:eastAsia="sk-SK"/>
              </w:rPr>
              <w:t>Spotrebné dane</w:t>
            </w:r>
          </w:p>
        </w:tc>
        <w:tc>
          <w:tcPr>
            <w:tcW w:w="429"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10</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w:t>
            </w:r>
          </w:p>
        </w:tc>
        <w:tc>
          <w:tcPr>
            <w:tcW w:w="429"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r>
      <w:tr w:rsidR="009769EF" w:rsidRPr="00300E07" w:rsidTr="00300E07">
        <w:trPr>
          <w:trHeight w:hRule="exact" w:val="255"/>
        </w:trPr>
        <w:tc>
          <w:tcPr>
            <w:tcW w:w="2422" w:type="pct"/>
            <w:shd w:val="clear" w:color="auto" w:fill="auto"/>
            <w:noWrap/>
            <w:vAlign w:val="center"/>
            <w:hideMark/>
          </w:tcPr>
          <w:p w:rsidR="009769EF" w:rsidRPr="00300E07" w:rsidRDefault="009769EF" w:rsidP="00300E07">
            <w:pPr>
              <w:ind w:firstLineChars="100" w:firstLine="140"/>
              <w:rPr>
                <w:rFonts w:ascii="Times New Roman" w:hAnsi="Times New Roman" w:cs="Times New Roman"/>
                <w:sz w:val="14"/>
                <w:szCs w:val="14"/>
                <w:lang w:eastAsia="sk-SK"/>
              </w:rPr>
            </w:pPr>
            <w:r w:rsidRPr="00300E07">
              <w:rPr>
                <w:rFonts w:ascii="Times New Roman" w:hAnsi="Times New Roman" w:cs="Times New Roman"/>
                <w:sz w:val="14"/>
                <w:szCs w:val="14"/>
                <w:lang w:eastAsia="sk-SK"/>
              </w:rPr>
              <w:t>Miestne dane</w:t>
            </w:r>
          </w:p>
        </w:tc>
        <w:tc>
          <w:tcPr>
            <w:tcW w:w="429"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29"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r>
      <w:tr w:rsidR="009769EF" w:rsidRPr="00300E07" w:rsidTr="00300E07">
        <w:trPr>
          <w:trHeight w:hRule="exact" w:val="255"/>
        </w:trPr>
        <w:tc>
          <w:tcPr>
            <w:tcW w:w="2422" w:type="pct"/>
            <w:shd w:val="clear" w:color="auto" w:fill="auto"/>
            <w:noWrap/>
            <w:vAlign w:val="center"/>
            <w:hideMark/>
          </w:tcPr>
          <w:p w:rsidR="009769EF" w:rsidRPr="00300E07" w:rsidRDefault="009769EF" w:rsidP="00300E07">
            <w:pPr>
              <w:ind w:firstLineChars="100" w:firstLine="140"/>
              <w:rPr>
                <w:rFonts w:ascii="Times New Roman" w:hAnsi="Times New Roman" w:cs="Times New Roman"/>
                <w:sz w:val="14"/>
                <w:szCs w:val="14"/>
                <w:lang w:eastAsia="sk-SK"/>
              </w:rPr>
            </w:pPr>
            <w:r w:rsidRPr="00300E07">
              <w:rPr>
                <w:rFonts w:ascii="Times New Roman" w:hAnsi="Times New Roman" w:cs="Times New Roman"/>
                <w:sz w:val="14"/>
                <w:szCs w:val="14"/>
                <w:lang w:eastAsia="sk-SK"/>
              </w:rPr>
              <w:t>Ostatné dane + dane z medzinárodného obchodu a transakcií</w:t>
            </w:r>
          </w:p>
        </w:tc>
        <w:tc>
          <w:tcPr>
            <w:tcW w:w="429"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1 117</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672</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558</w:t>
            </w:r>
          </w:p>
        </w:tc>
        <w:tc>
          <w:tcPr>
            <w:tcW w:w="429"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489</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489</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489</w:t>
            </w:r>
          </w:p>
        </w:tc>
      </w:tr>
      <w:tr w:rsidR="009769EF" w:rsidRPr="00300E07" w:rsidTr="00300E07">
        <w:trPr>
          <w:trHeight w:hRule="exact" w:val="255"/>
        </w:trPr>
        <w:tc>
          <w:tcPr>
            <w:tcW w:w="2422" w:type="pct"/>
            <w:shd w:val="clear" w:color="auto" w:fill="auto"/>
            <w:noWrap/>
            <w:vAlign w:val="center"/>
            <w:hideMark/>
          </w:tcPr>
          <w:p w:rsidR="009769EF" w:rsidRPr="00300E07" w:rsidRDefault="009769EF" w:rsidP="00300E07">
            <w:pPr>
              <w:ind w:firstLineChars="100" w:firstLine="140"/>
              <w:rPr>
                <w:rFonts w:ascii="Times New Roman" w:hAnsi="Times New Roman" w:cs="Times New Roman"/>
                <w:sz w:val="14"/>
                <w:szCs w:val="14"/>
                <w:lang w:eastAsia="sk-SK"/>
              </w:rPr>
            </w:pPr>
            <w:r w:rsidRPr="00300E07">
              <w:rPr>
                <w:rFonts w:ascii="Times New Roman" w:hAnsi="Times New Roman" w:cs="Times New Roman"/>
                <w:sz w:val="14"/>
                <w:szCs w:val="14"/>
                <w:lang w:eastAsia="sk-SK"/>
              </w:rPr>
              <w:t>Sankcie uložené v daňovom konaní</w:t>
            </w:r>
          </w:p>
        </w:tc>
        <w:tc>
          <w:tcPr>
            <w:tcW w:w="429"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905</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1 309</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1 309</w:t>
            </w:r>
          </w:p>
        </w:tc>
        <w:tc>
          <w:tcPr>
            <w:tcW w:w="429"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1 309</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1 309</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1 309</w:t>
            </w:r>
          </w:p>
        </w:tc>
      </w:tr>
      <w:tr w:rsidR="009769EF" w:rsidRPr="00300E07" w:rsidTr="00300E07">
        <w:trPr>
          <w:trHeight w:hRule="exact" w:val="255"/>
        </w:trPr>
        <w:tc>
          <w:tcPr>
            <w:tcW w:w="2422" w:type="pct"/>
            <w:shd w:val="clear" w:color="auto" w:fill="auto"/>
            <w:noWrap/>
            <w:vAlign w:val="center"/>
            <w:hideMark/>
          </w:tcPr>
          <w:p w:rsidR="009769EF" w:rsidRPr="00300E07" w:rsidRDefault="009769EF" w:rsidP="00300E07">
            <w:pPr>
              <w:ind w:firstLineChars="100" w:firstLine="140"/>
              <w:rPr>
                <w:rFonts w:ascii="Times New Roman" w:hAnsi="Times New Roman" w:cs="Times New Roman"/>
                <w:sz w:val="14"/>
                <w:szCs w:val="14"/>
                <w:lang w:eastAsia="sk-SK"/>
              </w:rPr>
            </w:pPr>
            <w:r w:rsidRPr="00300E07">
              <w:rPr>
                <w:rFonts w:ascii="Times New Roman" w:hAnsi="Times New Roman" w:cs="Times New Roman"/>
                <w:sz w:val="14"/>
                <w:szCs w:val="14"/>
                <w:lang w:eastAsia="sk-SK"/>
              </w:rPr>
              <w:t>Sociálna poisťovňa</w:t>
            </w:r>
          </w:p>
        </w:tc>
        <w:tc>
          <w:tcPr>
            <w:tcW w:w="429"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19 010</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15 461</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16 304</w:t>
            </w:r>
          </w:p>
        </w:tc>
        <w:tc>
          <w:tcPr>
            <w:tcW w:w="429"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16 304</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16 304</w:t>
            </w:r>
          </w:p>
        </w:tc>
        <w:tc>
          <w:tcPr>
            <w:tcW w:w="430" w:type="pct"/>
            <w:gridSpan w:val="2"/>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16 304</w:t>
            </w:r>
          </w:p>
        </w:tc>
      </w:tr>
      <w:tr w:rsidR="009769EF" w:rsidRPr="00300E07" w:rsidTr="00300E07">
        <w:trPr>
          <w:trHeight w:hRule="exact" w:val="255"/>
        </w:trPr>
        <w:tc>
          <w:tcPr>
            <w:tcW w:w="2422" w:type="pct"/>
            <w:tcBorders>
              <w:bottom w:val="single" w:sz="4" w:space="0" w:color="auto"/>
            </w:tcBorders>
            <w:shd w:val="clear" w:color="auto" w:fill="auto"/>
            <w:noWrap/>
            <w:vAlign w:val="center"/>
            <w:hideMark/>
          </w:tcPr>
          <w:p w:rsidR="009769EF" w:rsidRPr="00300E07" w:rsidRDefault="009769EF" w:rsidP="00300E07">
            <w:pPr>
              <w:ind w:firstLineChars="100" w:firstLine="140"/>
              <w:rPr>
                <w:rFonts w:ascii="Times New Roman" w:hAnsi="Times New Roman" w:cs="Times New Roman"/>
                <w:sz w:val="14"/>
                <w:szCs w:val="14"/>
                <w:lang w:eastAsia="sk-SK"/>
              </w:rPr>
            </w:pPr>
            <w:r w:rsidRPr="00300E07">
              <w:rPr>
                <w:rFonts w:ascii="Times New Roman" w:hAnsi="Times New Roman" w:cs="Times New Roman"/>
                <w:sz w:val="14"/>
                <w:szCs w:val="14"/>
                <w:lang w:eastAsia="sk-SK"/>
              </w:rPr>
              <w:t>Zdravotné poisťovne</w:t>
            </w:r>
          </w:p>
        </w:tc>
        <w:tc>
          <w:tcPr>
            <w:tcW w:w="429" w:type="pct"/>
            <w:tcBorders>
              <w:bottom w:val="single" w:sz="4" w:space="0" w:color="auto"/>
            </w:tcBorders>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1 231</w:t>
            </w:r>
          </w:p>
        </w:tc>
        <w:tc>
          <w:tcPr>
            <w:tcW w:w="430" w:type="pct"/>
            <w:gridSpan w:val="2"/>
            <w:tcBorders>
              <w:bottom w:val="single" w:sz="4" w:space="0" w:color="auto"/>
            </w:tcBorders>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1 340</w:t>
            </w:r>
          </w:p>
        </w:tc>
        <w:tc>
          <w:tcPr>
            <w:tcW w:w="430" w:type="pct"/>
            <w:gridSpan w:val="2"/>
            <w:tcBorders>
              <w:bottom w:val="single" w:sz="4" w:space="0" w:color="auto"/>
            </w:tcBorders>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1 330</w:t>
            </w:r>
          </w:p>
        </w:tc>
        <w:tc>
          <w:tcPr>
            <w:tcW w:w="429" w:type="pct"/>
            <w:gridSpan w:val="2"/>
            <w:tcBorders>
              <w:bottom w:val="single" w:sz="4" w:space="0" w:color="auto"/>
            </w:tcBorders>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1 330</w:t>
            </w:r>
          </w:p>
        </w:tc>
        <w:tc>
          <w:tcPr>
            <w:tcW w:w="430" w:type="pct"/>
            <w:gridSpan w:val="2"/>
            <w:tcBorders>
              <w:bottom w:val="single" w:sz="4" w:space="0" w:color="auto"/>
            </w:tcBorders>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1 330</w:t>
            </w:r>
          </w:p>
        </w:tc>
        <w:tc>
          <w:tcPr>
            <w:tcW w:w="430" w:type="pct"/>
            <w:gridSpan w:val="2"/>
            <w:tcBorders>
              <w:bottom w:val="single" w:sz="4" w:space="0" w:color="auto"/>
            </w:tcBorders>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1 330</w:t>
            </w:r>
          </w:p>
        </w:tc>
      </w:tr>
      <w:tr w:rsidR="009769EF" w:rsidRPr="00300E07" w:rsidTr="00300E07">
        <w:trPr>
          <w:trHeight w:val="255"/>
        </w:trPr>
        <w:tc>
          <w:tcPr>
            <w:tcW w:w="3073" w:type="pct"/>
            <w:gridSpan w:val="3"/>
            <w:tcBorders>
              <w:top w:val="single" w:sz="4" w:space="0" w:color="auto"/>
              <w:left w:val="nil"/>
              <w:bottom w:val="nil"/>
              <w:right w:val="nil"/>
            </w:tcBorders>
            <w:shd w:val="clear" w:color="auto" w:fill="auto"/>
            <w:noWrap/>
            <w:vAlign w:val="center"/>
            <w:hideMark/>
          </w:tcPr>
          <w:p w:rsidR="009769EF" w:rsidRPr="00300E07" w:rsidRDefault="009769EF" w:rsidP="00300E07">
            <w:pPr>
              <w:rPr>
                <w:rFonts w:ascii="Times New Roman" w:hAnsi="Times New Roman" w:cs="Times New Roman"/>
                <w:color w:val="00B050"/>
                <w:sz w:val="14"/>
                <w:szCs w:val="14"/>
                <w:lang w:eastAsia="sk-SK"/>
              </w:rPr>
            </w:pPr>
            <w:r w:rsidRPr="00300E07">
              <w:rPr>
                <w:rFonts w:ascii="Times New Roman" w:hAnsi="Times New Roman" w:cs="Times New Roman"/>
                <w:sz w:val="14"/>
                <w:szCs w:val="14"/>
                <w:lang w:eastAsia="en-US"/>
              </w:rPr>
              <w:t>* Sankcie sú identické podľa hotovostnej a akruálnej metodiky</w:t>
            </w:r>
          </w:p>
        </w:tc>
        <w:tc>
          <w:tcPr>
            <w:tcW w:w="385" w:type="pct"/>
            <w:gridSpan w:val="2"/>
            <w:tcBorders>
              <w:top w:val="single" w:sz="4" w:space="0" w:color="auto"/>
              <w:left w:val="nil"/>
              <w:bottom w:val="nil"/>
              <w:right w:val="nil"/>
            </w:tcBorders>
            <w:shd w:val="clear" w:color="auto" w:fill="auto"/>
            <w:noWrap/>
            <w:vAlign w:val="center"/>
            <w:hideMark/>
          </w:tcPr>
          <w:p w:rsidR="009769EF" w:rsidRPr="00300E07" w:rsidRDefault="009769EF" w:rsidP="00300E07">
            <w:pPr>
              <w:rPr>
                <w:rFonts w:ascii="Times New Roman" w:hAnsi="Times New Roman" w:cs="Times New Roman"/>
                <w:color w:val="00B050"/>
                <w:sz w:val="14"/>
                <w:szCs w:val="14"/>
                <w:lang w:eastAsia="sk-SK"/>
              </w:rPr>
            </w:pPr>
          </w:p>
        </w:tc>
        <w:tc>
          <w:tcPr>
            <w:tcW w:w="418" w:type="pct"/>
            <w:gridSpan w:val="2"/>
            <w:tcBorders>
              <w:top w:val="single" w:sz="4" w:space="0" w:color="auto"/>
              <w:left w:val="nil"/>
              <w:bottom w:val="nil"/>
              <w:right w:val="nil"/>
            </w:tcBorders>
            <w:shd w:val="clear" w:color="auto" w:fill="auto"/>
            <w:noWrap/>
            <w:vAlign w:val="center"/>
            <w:hideMark/>
          </w:tcPr>
          <w:p w:rsidR="009769EF" w:rsidRPr="00300E07" w:rsidRDefault="009769EF" w:rsidP="00300E07">
            <w:pPr>
              <w:rPr>
                <w:rFonts w:ascii="Times New Roman" w:hAnsi="Times New Roman" w:cs="Times New Roman"/>
                <w:color w:val="00B050"/>
                <w:sz w:val="14"/>
                <w:szCs w:val="14"/>
                <w:lang w:eastAsia="sk-SK"/>
              </w:rPr>
            </w:pPr>
          </w:p>
        </w:tc>
        <w:tc>
          <w:tcPr>
            <w:tcW w:w="388" w:type="pct"/>
            <w:gridSpan w:val="2"/>
            <w:tcBorders>
              <w:top w:val="single" w:sz="4" w:space="0" w:color="auto"/>
              <w:left w:val="nil"/>
              <w:bottom w:val="nil"/>
              <w:right w:val="nil"/>
            </w:tcBorders>
            <w:shd w:val="clear" w:color="auto" w:fill="auto"/>
            <w:noWrap/>
            <w:vAlign w:val="center"/>
            <w:hideMark/>
          </w:tcPr>
          <w:p w:rsidR="009769EF" w:rsidRPr="00300E07" w:rsidRDefault="009769EF" w:rsidP="00300E07">
            <w:pPr>
              <w:rPr>
                <w:rFonts w:ascii="Times New Roman" w:hAnsi="Times New Roman" w:cs="Times New Roman"/>
                <w:color w:val="00B050"/>
                <w:sz w:val="14"/>
                <w:szCs w:val="14"/>
                <w:lang w:eastAsia="sk-SK"/>
              </w:rPr>
            </w:pPr>
          </w:p>
        </w:tc>
        <w:tc>
          <w:tcPr>
            <w:tcW w:w="387" w:type="pct"/>
            <w:gridSpan w:val="2"/>
            <w:tcBorders>
              <w:top w:val="single" w:sz="4" w:space="0" w:color="auto"/>
              <w:left w:val="nil"/>
              <w:bottom w:val="nil"/>
              <w:right w:val="nil"/>
            </w:tcBorders>
            <w:shd w:val="clear" w:color="auto" w:fill="auto"/>
            <w:noWrap/>
            <w:vAlign w:val="bottom"/>
            <w:hideMark/>
          </w:tcPr>
          <w:p w:rsidR="009769EF" w:rsidRPr="00300E07" w:rsidRDefault="009769EF" w:rsidP="00300E07">
            <w:pPr>
              <w:rPr>
                <w:rFonts w:ascii="Times New Roman" w:hAnsi="Times New Roman" w:cs="Times New Roman"/>
                <w:color w:val="00B050"/>
                <w:sz w:val="14"/>
                <w:szCs w:val="14"/>
                <w:lang w:eastAsia="sk-SK"/>
              </w:rPr>
            </w:pPr>
          </w:p>
        </w:tc>
        <w:tc>
          <w:tcPr>
            <w:tcW w:w="350" w:type="pct"/>
            <w:tcBorders>
              <w:top w:val="single" w:sz="4" w:space="0" w:color="auto"/>
              <w:left w:val="nil"/>
              <w:bottom w:val="nil"/>
              <w:right w:val="nil"/>
            </w:tcBorders>
            <w:shd w:val="clear" w:color="auto" w:fill="auto"/>
            <w:noWrap/>
            <w:vAlign w:val="bottom"/>
            <w:hideMark/>
          </w:tcPr>
          <w:p w:rsidR="009769EF" w:rsidRPr="00300E07" w:rsidRDefault="009769EF" w:rsidP="00300E07">
            <w:pPr>
              <w:rPr>
                <w:rFonts w:ascii="Times New Roman" w:hAnsi="Times New Roman" w:cs="Times New Roman"/>
                <w:color w:val="00B050"/>
                <w:sz w:val="14"/>
                <w:szCs w:val="14"/>
                <w:highlight w:val="yellow"/>
                <w:lang w:eastAsia="sk-SK"/>
              </w:rPr>
            </w:pPr>
          </w:p>
        </w:tc>
      </w:tr>
    </w:tbl>
    <w:p w:rsidR="00AE239D" w:rsidRPr="00773579" w:rsidRDefault="00AE239D" w:rsidP="00AE239D">
      <w:pPr>
        <w:ind w:firstLine="708"/>
        <w:jc w:val="both"/>
        <w:rPr>
          <w:rFonts w:ascii="Times New Roman" w:hAnsi="Times New Roman" w:cs="Times New Roman"/>
        </w:rPr>
      </w:pPr>
    </w:p>
    <w:p w:rsidR="00AE239D" w:rsidRPr="00773579" w:rsidRDefault="00AE239D" w:rsidP="00AE239D">
      <w:pPr>
        <w:keepNext/>
        <w:outlineLvl w:val="1"/>
        <w:rPr>
          <w:rFonts w:ascii="Times New Roman" w:hAnsi="Times New Roman" w:cs="Times New Roman"/>
          <w:b/>
          <w:bCs/>
        </w:rPr>
      </w:pPr>
      <w:bookmarkStart w:id="32" w:name="_Toc273148232"/>
      <w:bookmarkStart w:id="33" w:name="_Toc273950833"/>
      <w:bookmarkStart w:id="34" w:name="_Toc463049697"/>
      <w:bookmarkStart w:id="35" w:name="_Toc494463965"/>
      <w:r w:rsidRPr="00773579">
        <w:rPr>
          <w:rFonts w:ascii="Times New Roman" w:hAnsi="Times New Roman" w:cs="Times New Roman"/>
          <w:b/>
          <w:bCs/>
        </w:rPr>
        <w:t>3.2. Akruálne dane pre návrh rozpočtu verejnej správy na roky 201</w:t>
      </w:r>
      <w:r w:rsidR="00075B17">
        <w:rPr>
          <w:rFonts w:ascii="Times New Roman" w:hAnsi="Times New Roman" w:cs="Times New Roman"/>
          <w:b/>
          <w:bCs/>
        </w:rPr>
        <w:t>8</w:t>
      </w:r>
      <w:r w:rsidRPr="00773579">
        <w:rPr>
          <w:rFonts w:ascii="Times New Roman" w:hAnsi="Times New Roman" w:cs="Times New Roman"/>
          <w:b/>
          <w:bCs/>
        </w:rPr>
        <w:t xml:space="preserve"> až 20</w:t>
      </w:r>
      <w:bookmarkEnd w:id="32"/>
      <w:bookmarkEnd w:id="33"/>
      <w:bookmarkEnd w:id="34"/>
      <w:r w:rsidR="00075B17">
        <w:rPr>
          <w:rFonts w:ascii="Times New Roman" w:hAnsi="Times New Roman" w:cs="Times New Roman"/>
          <w:b/>
          <w:bCs/>
        </w:rPr>
        <w:t>20</w:t>
      </w:r>
      <w:bookmarkEnd w:id="35"/>
    </w:p>
    <w:p w:rsidR="00300E07" w:rsidRDefault="00300E07" w:rsidP="009769EF">
      <w:pPr>
        <w:ind w:firstLine="708"/>
        <w:jc w:val="both"/>
        <w:rPr>
          <w:rFonts w:ascii="Times New Roman" w:hAnsi="Times New Roman" w:cs="Times New Roman"/>
        </w:rPr>
      </w:pPr>
    </w:p>
    <w:p w:rsidR="009769EF" w:rsidRDefault="009769EF" w:rsidP="009769EF">
      <w:pPr>
        <w:ind w:firstLine="708"/>
        <w:jc w:val="both"/>
        <w:rPr>
          <w:rFonts w:ascii="Times New Roman" w:hAnsi="Times New Roman" w:cs="Times New Roman"/>
        </w:rPr>
      </w:pPr>
      <w:r w:rsidRPr="00AC6357">
        <w:rPr>
          <w:rFonts w:ascii="Times New Roman" w:hAnsi="Times New Roman" w:cs="Times New Roman"/>
        </w:rPr>
        <w:t xml:space="preserve">V nasledujúcej tabuľke sú uvedené rozdiely medzi akruálnymi a hotovostnými odhadmi daní. </w:t>
      </w:r>
      <w:r>
        <w:rPr>
          <w:rFonts w:ascii="Times New Roman" w:hAnsi="Times New Roman" w:cs="Times New Roman"/>
        </w:rPr>
        <w:t>Očakáva sa</w:t>
      </w:r>
      <w:r w:rsidRPr="00AC6357">
        <w:rPr>
          <w:rFonts w:ascii="Times New Roman" w:hAnsi="Times New Roman" w:cs="Times New Roman"/>
        </w:rPr>
        <w:t xml:space="preserve">, že </w:t>
      </w:r>
      <w:r w:rsidR="00207B1D">
        <w:rPr>
          <w:rFonts w:ascii="Times New Roman" w:hAnsi="Times New Roman" w:cs="Times New Roman"/>
        </w:rPr>
        <w:t>v</w:t>
      </w:r>
      <w:r w:rsidRPr="00AC6357">
        <w:rPr>
          <w:rFonts w:ascii="Times New Roman" w:hAnsi="Times New Roman" w:cs="Times New Roman"/>
        </w:rPr>
        <w:t xml:space="preserve"> prognózovanom období bude výnos daní na akruálnej báze vyšší ako výnos na hotovostnom princípe.</w:t>
      </w:r>
    </w:p>
    <w:p w:rsidR="005B5ED6" w:rsidRDefault="005B5ED6" w:rsidP="005B5ED6">
      <w:pPr>
        <w:rPr>
          <w:rFonts w:ascii="Calibri" w:hAnsi="Calibri" w:cs="Times New Roman"/>
          <w:color w:val="1F497D"/>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7"/>
        <w:gridCol w:w="919"/>
        <w:gridCol w:w="1042"/>
        <w:gridCol w:w="1028"/>
        <w:gridCol w:w="1122"/>
        <w:gridCol w:w="1055"/>
        <w:gridCol w:w="1029"/>
      </w:tblGrid>
      <w:tr w:rsidR="005B5ED6" w:rsidRPr="005B5ED6" w:rsidTr="005B5ED6">
        <w:trPr>
          <w:trHeight w:val="255"/>
        </w:trPr>
        <w:tc>
          <w:tcPr>
            <w:tcW w:w="5000" w:type="pct"/>
            <w:gridSpan w:val="7"/>
            <w:shd w:val="clear" w:color="auto" w:fill="A6A6A6"/>
            <w:noWrap/>
            <w:tcMar>
              <w:top w:w="0" w:type="dxa"/>
              <w:left w:w="70" w:type="dxa"/>
              <w:bottom w:w="0" w:type="dxa"/>
              <w:right w:w="70" w:type="dxa"/>
            </w:tcMar>
            <w:vAlign w:val="center"/>
            <w:hideMark/>
          </w:tcPr>
          <w:p w:rsidR="005B5ED6" w:rsidRPr="005B5ED6" w:rsidRDefault="005B5ED6" w:rsidP="00D579A5">
            <w:pPr>
              <w:rPr>
                <w:rFonts w:ascii="Times New Roman" w:hAnsi="Times New Roman" w:cs="Times New Roman"/>
                <w:b/>
                <w:bCs/>
                <w:color w:val="000000"/>
                <w:sz w:val="14"/>
                <w:szCs w:val="14"/>
                <w:lang w:eastAsia="sk-SK"/>
              </w:rPr>
            </w:pPr>
            <w:r w:rsidRPr="005B5ED6">
              <w:rPr>
                <w:rFonts w:ascii="Times New Roman" w:hAnsi="Times New Roman" w:cs="Times New Roman"/>
                <w:b/>
                <w:bCs/>
                <w:color w:val="000000"/>
                <w:sz w:val="14"/>
                <w:szCs w:val="14"/>
                <w:lang w:eastAsia="sk-SK"/>
              </w:rPr>
              <w:t>Odhad rozdielu medzi akruálnymi a hotovostnými prognózami v rokoch 201</w:t>
            </w:r>
            <w:r w:rsidR="00D579A5">
              <w:rPr>
                <w:rFonts w:ascii="Times New Roman" w:hAnsi="Times New Roman" w:cs="Times New Roman"/>
                <w:b/>
                <w:bCs/>
                <w:color w:val="000000"/>
                <w:sz w:val="14"/>
                <w:szCs w:val="14"/>
                <w:lang w:eastAsia="sk-SK"/>
              </w:rPr>
              <w:t>5</w:t>
            </w:r>
            <w:r w:rsidRPr="005B5ED6">
              <w:rPr>
                <w:rFonts w:ascii="Times New Roman" w:hAnsi="Times New Roman" w:cs="Times New Roman"/>
                <w:b/>
                <w:bCs/>
                <w:color w:val="000000"/>
                <w:sz w:val="14"/>
                <w:szCs w:val="14"/>
                <w:lang w:eastAsia="sk-SK"/>
              </w:rPr>
              <w:t xml:space="preserve"> až 2020 (v tis. eur)</w:t>
            </w:r>
          </w:p>
        </w:tc>
      </w:tr>
      <w:tr w:rsidR="005B5ED6" w:rsidRPr="005B5ED6" w:rsidTr="005B5ED6">
        <w:trPr>
          <w:trHeight w:val="255"/>
        </w:trPr>
        <w:tc>
          <w:tcPr>
            <w:tcW w:w="1582" w:type="pct"/>
            <w:shd w:val="clear" w:color="auto" w:fill="BFBFBF"/>
            <w:tcMar>
              <w:top w:w="0" w:type="dxa"/>
              <w:left w:w="70" w:type="dxa"/>
              <w:bottom w:w="0" w:type="dxa"/>
              <w:right w:w="70" w:type="dxa"/>
            </w:tcMar>
            <w:vAlign w:val="center"/>
            <w:hideMark/>
          </w:tcPr>
          <w:p w:rsidR="005B5ED6" w:rsidRPr="005B5ED6" w:rsidRDefault="005B5ED6">
            <w:pPr>
              <w:jc w:val="center"/>
              <w:rPr>
                <w:rFonts w:ascii="Times New Roman" w:hAnsi="Times New Roman" w:cs="Times New Roman"/>
                <w:b/>
                <w:bCs/>
                <w:color w:val="000000"/>
                <w:sz w:val="14"/>
                <w:szCs w:val="14"/>
                <w:lang w:eastAsia="sk-SK"/>
              </w:rPr>
            </w:pPr>
            <w:r w:rsidRPr="005B5ED6">
              <w:rPr>
                <w:rFonts w:ascii="Times New Roman" w:hAnsi="Times New Roman" w:cs="Times New Roman"/>
                <w:b/>
                <w:bCs/>
                <w:color w:val="000000"/>
                <w:sz w:val="14"/>
                <w:szCs w:val="14"/>
                <w:lang w:eastAsia="sk-SK"/>
              </w:rPr>
              <w:t> </w:t>
            </w:r>
          </w:p>
        </w:tc>
        <w:tc>
          <w:tcPr>
            <w:tcW w:w="507" w:type="pct"/>
            <w:shd w:val="clear" w:color="auto" w:fill="BFBFBF"/>
            <w:tcMar>
              <w:top w:w="0" w:type="dxa"/>
              <w:left w:w="70" w:type="dxa"/>
              <w:bottom w:w="0" w:type="dxa"/>
              <w:right w:w="70" w:type="dxa"/>
            </w:tcMar>
            <w:vAlign w:val="center"/>
            <w:hideMark/>
          </w:tcPr>
          <w:p w:rsidR="005B5ED6" w:rsidRPr="005B5ED6" w:rsidRDefault="005B5ED6">
            <w:pPr>
              <w:jc w:val="center"/>
              <w:rPr>
                <w:rFonts w:ascii="Times New Roman" w:hAnsi="Times New Roman" w:cs="Times New Roman"/>
                <w:b/>
                <w:bCs/>
                <w:color w:val="000000"/>
                <w:sz w:val="14"/>
                <w:szCs w:val="14"/>
                <w:lang w:eastAsia="sk-SK"/>
              </w:rPr>
            </w:pPr>
            <w:r w:rsidRPr="005B5ED6">
              <w:rPr>
                <w:rFonts w:ascii="Times New Roman" w:hAnsi="Times New Roman" w:cs="Times New Roman"/>
                <w:b/>
                <w:bCs/>
                <w:color w:val="000000"/>
                <w:sz w:val="14"/>
                <w:szCs w:val="14"/>
                <w:lang w:eastAsia="sk-SK"/>
              </w:rPr>
              <w:t>2015 S</w:t>
            </w:r>
          </w:p>
        </w:tc>
        <w:tc>
          <w:tcPr>
            <w:tcW w:w="575" w:type="pct"/>
            <w:shd w:val="clear" w:color="auto" w:fill="BFBFBF"/>
            <w:tcMar>
              <w:top w:w="0" w:type="dxa"/>
              <w:left w:w="70" w:type="dxa"/>
              <w:bottom w:w="0" w:type="dxa"/>
              <w:right w:w="70" w:type="dxa"/>
            </w:tcMar>
            <w:vAlign w:val="center"/>
            <w:hideMark/>
          </w:tcPr>
          <w:p w:rsidR="005B5ED6" w:rsidRPr="005B5ED6" w:rsidRDefault="005B5ED6">
            <w:pPr>
              <w:jc w:val="center"/>
              <w:rPr>
                <w:rFonts w:ascii="Times New Roman" w:hAnsi="Times New Roman" w:cs="Times New Roman"/>
                <w:b/>
                <w:bCs/>
                <w:color w:val="000000"/>
                <w:sz w:val="14"/>
                <w:szCs w:val="14"/>
                <w:lang w:eastAsia="sk-SK"/>
              </w:rPr>
            </w:pPr>
            <w:r w:rsidRPr="005B5ED6">
              <w:rPr>
                <w:rFonts w:ascii="Times New Roman" w:hAnsi="Times New Roman" w:cs="Times New Roman"/>
                <w:b/>
                <w:bCs/>
                <w:color w:val="000000"/>
                <w:sz w:val="14"/>
                <w:szCs w:val="14"/>
                <w:lang w:eastAsia="sk-SK"/>
              </w:rPr>
              <w:t>2016 OS</w:t>
            </w:r>
          </w:p>
        </w:tc>
        <w:tc>
          <w:tcPr>
            <w:tcW w:w="567" w:type="pct"/>
            <w:shd w:val="clear" w:color="auto" w:fill="BFBFBF"/>
            <w:tcMar>
              <w:top w:w="0" w:type="dxa"/>
              <w:left w:w="70" w:type="dxa"/>
              <w:bottom w:w="0" w:type="dxa"/>
              <w:right w:w="70" w:type="dxa"/>
            </w:tcMar>
            <w:vAlign w:val="center"/>
            <w:hideMark/>
          </w:tcPr>
          <w:p w:rsidR="005B5ED6" w:rsidRPr="005B5ED6" w:rsidRDefault="005B5ED6">
            <w:pPr>
              <w:jc w:val="center"/>
              <w:rPr>
                <w:rFonts w:ascii="Times New Roman" w:hAnsi="Times New Roman" w:cs="Times New Roman"/>
                <w:b/>
                <w:bCs/>
                <w:color w:val="000000"/>
                <w:sz w:val="14"/>
                <w:szCs w:val="14"/>
                <w:lang w:eastAsia="sk-SK"/>
              </w:rPr>
            </w:pPr>
            <w:r w:rsidRPr="005B5ED6">
              <w:rPr>
                <w:rFonts w:ascii="Times New Roman" w:hAnsi="Times New Roman" w:cs="Times New Roman"/>
                <w:b/>
                <w:bCs/>
                <w:color w:val="000000"/>
                <w:sz w:val="14"/>
                <w:szCs w:val="14"/>
                <w:lang w:eastAsia="sk-SK"/>
              </w:rPr>
              <w:t>2017</w:t>
            </w:r>
          </w:p>
        </w:tc>
        <w:tc>
          <w:tcPr>
            <w:tcW w:w="619" w:type="pct"/>
            <w:shd w:val="clear" w:color="auto" w:fill="BFBFBF"/>
            <w:tcMar>
              <w:top w:w="0" w:type="dxa"/>
              <w:left w:w="70" w:type="dxa"/>
              <w:bottom w:w="0" w:type="dxa"/>
              <w:right w:w="70" w:type="dxa"/>
            </w:tcMar>
            <w:vAlign w:val="center"/>
            <w:hideMark/>
          </w:tcPr>
          <w:p w:rsidR="005B5ED6" w:rsidRPr="005B5ED6" w:rsidRDefault="005B5ED6">
            <w:pPr>
              <w:jc w:val="center"/>
              <w:rPr>
                <w:rFonts w:ascii="Times New Roman" w:hAnsi="Times New Roman" w:cs="Times New Roman"/>
                <w:b/>
                <w:bCs/>
                <w:color w:val="000000"/>
                <w:sz w:val="14"/>
                <w:szCs w:val="14"/>
                <w:lang w:eastAsia="sk-SK"/>
              </w:rPr>
            </w:pPr>
            <w:r w:rsidRPr="005B5ED6">
              <w:rPr>
                <w:rFonts w:ascii="Times New Roman" w:hAnsi="Times New Roman" w:cs="Times New Roman"/>
                <w:b/>
                <w:bCs/>
                <w:color w:val="000000"/>
                <w:sz w:val="14"/>
                <w:szCs w:val="14"/>
                <w:lang w:eastAsia="sk-SK"/>
              </w:rPr>
              <w:t>2018</w:t>
            </w:r>
          </w:p>
        </w:tc>
        <w:tc>
          <w:tcPr>
            <w:tcW w:w="582" w:type="pct"/>
            <w:shd w:val="clear" w:color="auto" w:fill="BFBFBF"/>
            <w:tcMar>
              <w:top w:w="0" w:type="dxa"/>
              <w:left w:w="70" w:type="dxa"/>
              <w:bottom w:w="0" w:type="dxa"/>
              <w:right w:w="70" w:type="dxa"/>
            </w:tcMar>
            <w:vAlign w:val="center"/>
            <w:hideMark/>
          </w:tcPr>
          <w:p w:rsidR="005B5ED6" w:rsidRPr="005B5ED6" w:rsidRDefault="005B5ED6">
            <w:pPr>
              <w:jc w:val="center"/>
              <w:rPr>
                <w:rFonts w:ascii="Times New Roman" w:hAnsi="Times New Roman" w:cs="Times New Roman"/>
                <w:b/>
                <w:bCs/>
                <w:color w:val="000000"/>
                <w:sz w:val="14"/>
                <w:szCs w:val="14"/>
                <w:lang w:eastAsia="sk-SK"/>
              </w:rPr>
            </w:pPr>
            <w:r w:rsidRPr="005B5ED6">
              <w:rPr>
                <w:rFonts w:ascii="Times New Roman" w:hAnsi="Times New Roman" w:cs="Times New Roman"/>
                <w:b/>
                <w:bCs/>
                <w:color w:val="000000"/>
                <w:sz w:val="14"/>
                <w:szCs w:val="14"/>
                <w:lang w:eastAsia="sk-SK"/>
              </w:rPr>
              <w:t>2019</w:t>
            </w:r>
          </w:p>
        </w:tc>
        <w:tc>
          <w:tcPr>
            <w:tcW w:w="568" w:type="pct"/>
            <w:shd w:val="clear" w:color="auto" w:fill="BFBFBF"/>
            <w:tcMar>
              <w:top w:w="0" w:type="dxa"/>
              <w:left w:w="70" w:type="dxa"/>
              <w:bottom w:w="0" w:type="dxa"/>
              <w:right w:w="70" w:type="dxa"/>
            </w:tcMar>
            <w:vAlign w:val="center"/>
            <w:hideMark/>
          </w:tcPr>
          <w:p w:rsidR="005B5ED6" w:rsidRPr="005B5ED6" w:rsidRDefault="005B5ED6">
            <w:pPr>
              <w:jc w:val="center"/>
              <w:rPr>
                <w:rFonts w:ascii="Times New Roman" w:hAnsi="Times New Roman" w:cs="Times New Roman"/>
                <w:b/>
                <w:bCs/>
                <w:color w:val="000000"/>
                <w:sz w:val="14"/>
                <w:szCs w:val="14"/>
                <w:lang w:eastAsia="sk-SK"/>
              </w:rPr>
            </w:pPr>
            <w:r w:rsidRPr="005B5ED6">
              <w:rPr>
                <w:rFonts w:ascii="Times New Roman" w:hAnsi="Times New Roman" w:cs="Times New Roman"/>
                <w:b/>
                <w:bCs/>
                <w:color w:val="000000"/>
                <w:sz w:val="14"/>
                <w:szCs w:val="14"/>
                <w:lang w:eastAsia="sk-SK"/>
              </w:rPr>
              <w:t>2020</w:t>
            </w:r>
          </w:p>
        </w:tc>
      </w:tr>
      <w:tr w:rsidR="005B5ED6" w:rsidRPr="005B5ED6" w:rsidTr="005B5ED6">
        <w:trPr>
          <w:trHeight w:val="255"/>
        </w:trPr>
        <w:tc>
          <w:tcPr>
            <w:tcW w:w="1582" w:type="pct"/>
            <w:shd w:val="clear" w:color="auto" w:fill="BFBFBF"/>
            <w:tcMar>
              <w:top w:w="0" w:type="dxa"/>
              <w:left w:w="70" w:type="dxa"/>
              <w:bottom w:w="0" w:type="dxa"/>
              <w:right w:w="70" w:type="dxa"/>
            </w:tcMar>
            <w:vAlign w:val="center"/>
            <w:hideMark/>
          </w:tcPr>
          <w:p w:rsidR="005B5ED6" w:rsidRPr="005B5ED6" w:rsidRDefault="005B5ED6">
            <w:pPr>
              <w:rPr>
                <w:rFonts w:ascii="Times New Roman" w:hAnsi="Times New Roman" w:cs="Times New Roman"/>
                <w:b/>
                <w:bCs/>
                <w:color w:val="000000"/>
                <w:sz w:val="14"/>
                <w:szCs w:val="14"/>
                <w:lang w:eastAsia="sk-SK"/>
              </w:rPr>
            </w:pPr>
            <w:r w:rsidRPr="005B5ED6">
              <w:rPr>
                <w:rFonts w:ascii="Times New Roman" w:hAnsi="Times New Roman" w:cs="Times New Roman"/>
                <w:b/>
                <w:bCs/>
                <w:color w:val="000000"/>
                <w:sz w:val="14"/>
                <w:szCs w:val="14"/>
                <w:lang w:eastAsia="sk-SK"/>
              </w:rPr>
              <w:t>Daňové príjmy VS</w:t>
            </w:r>
          </w:p>
        </w:tc>
        <w:tc>
          <w:tcPr>
            <w:tcW w:w="507" w:type="pct"/>
            <w:shd w:val="clear" w:color="auto" w:fill="BFBFBF"/>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b/>
                <w:bCs/>
                <w:color w:val="000000"/>
                <w:sz w:val="14"/>
                <w:szCs w:val="14"/>
                <w:lang w:eastAsia="sk-SK"/>
              </w:rPr>
            </w:pPr>
            <w:r w:rsidRPr="005B5ED6">
              <w:rPr>
                <w:rFonts w:ascii="Times New Roman" w:hAnsi="Times New Roman" w:cs="Times New Roman"/>
                <w:b/>
                <w:bCs/>
                <w:color w:val="000000"/>
                <w:sz w:val="14"/>
                <w:szCs w:val="14"/>
                <w:lang w:eastAsia="sk-SK"/>
              </w:rPr>
              <w:t>-285 989</w:t>
            </w:r>
          </w:p>
        </w:tc>
        <w:tc>
          <w:tcPr>
            <w:tcW w:w="575" w:type="pct"/>
            <w:shd w:val="clear" w:color="auto" w:fill="BFBFBF"/>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b/>
                <w:bCs/>
                <w:color w:val="000000"/>
                <w:sz w:val="14"/>
                <w:szCs w:val="14"/>
                <w:lang w:eastAsia="sk-SK"/>
              </w:rPr>
            </w:pPr>
            <w:r w:rsidRPr="005B5ED6">
              <w:rPr>
                <w:rFonts w:ascii="Times New Roman" w:hAnsi="Times New Roman" w:cs="Times New Roman"/>
                <w:b/>
                <w:bCs/>
                <w:color w:val="000000"/>
                <w:sz w:val="14"/>
                <w:szCs w:val="14"/>
                <w:lang w:eastAsia="sk-SK"/>
              </w:rPr>
              <w:t>9 767</w:t>
            </w:r>
          </w:p>
        </w:tc>
        <w:tc>
          <w:tcPr>
            <w:tcW w:w="567" w:type="pct"/>
            <w:shd w:val="clear" w:color="auto" w:fill="BFBFBF"/>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b/>
                <w:bCs/>
                <w:color w:val="000000"/>
                <w:sz w:val="14"/>
                <w:szCs w:val="14"/>
                <w:lang w:eastAsia="sk-SK"/>
              </w:rPr>
            </w:pPr>
            <w:r w:rsidRPr="005B5ED6">
              <w:rPr>
                <w:rFonts w:ascii="Times New Roman" w:hAnsi="Times New Roman" w:cs="Times New Roman"/>
                <w:b/>
                <w:bCs/>
                <w:color w:val="000000"/>
                <w:sz w:val="14"/>
                <w:szCs w:val="14"/>
                <w:lang w:eastAsia="sk-SK"/>
              </w:rPr>
              <w:t>367 919</w:t>
            </w:r>
          </w:p>
        </w:tc>
        <w:tc>
          <w:tcPr>
            <w:tcW w:w="619" w:type="pct"/>
            <w:shd w:val="clear" w:color="auto" w:fill="BFBFBF"/>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b/>
                <w:bCs/>
                <w:color w:val="000000"/>
                <w:sz w:val="14"/>
                <w:szCs w:val="14"/>
                <w:lang w:eastAsia="sk-SK"/>
              </w:rPr>
            </w:pPr>
            <w:r w:rsidRPr="005B5ED6">
              <w:rPr>
                <w:rFonts w:ascii="Times New Roman" w:hAnsi="Times New Roman" w:cs="Times New Roman"/>
                <w:b/>
                <w:bCs/>
                <w:color w:val="000000"/>
                <w:sz w:val="14"/>
                <w:szCs w:val="14"/>
                <w:lang w:eastAsia="sk-SK"/>
              </w:rPr>
              <w:t>599 882</w:t>
            </w:r>
          </w:p>
        </w:tc>
        <w:tc>
          <w:tcPr>
            <w:tcW w:w="582" w:type="pct"/>
            <w:shd w:val="clear" w:color="auto" w:fill="BFBFBF"/>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b/>
                <w:bCs/>
                <w:color w:val="000000"/>
                <w:sz w:val="14"/>
                <w:szCs w:val="14"/>
                <w:lang w:eastAsia="sk-SK"/>
              </w:rPr>
            </w:pPr>
            <w:r w:rsidRPr="005B5ED6">
              <w:rPr>
                <w:rFonts w:ascii="Times New Roman" w:hAnsi="Times New Roman" w:cs="Times New Roman"/>
                <w:b/>
                <w:bCs/>
                <w:color w:val="000000"/>
                <w:sz w:val="14"/>
                <w:szCs w:val="14"/>
                <w:lang w:eastAsia="sk-SK"/>
              </w:rPr>
              <w:t>548 149</w:t>
            </w:r>
          </w:p>
        </w:tc>
        <w:tc>
          <w:tcPr>
            <w:tcW w:w="568" w:type="pct"/>
            <w:shd w:val="clear" w:color="auto" w:fill="BFBFBF"/>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b/>
                <w:bCs/>
                <w:color w:val="000000"/>
                <w:sz w:val="14"/>
                <w:szCs w:val="14"/>
                <w:lang w:eastAsia="sk-SK"/>
              </w:rPr>
            </w:pPr>
            <w:r w:rsidRPr="005B5ED6">
              <w:rPr>
                <w:rFonts w:ascii="Times New Roman" w:hAnsi="Times New Roman" w:cs="Times New Roman"/>
                <w:b/>
                <w:bCs/>
                <w:color w:val="000000"/>
                <w:sz w:val="14"/>
                <w:szCs w:val="14"/>
                <w:lang w:eastAsia="sk-SK"/>
              </w:rPr>
              <w:t>484 291</w:t>
            </w:r>
          </w:p>
        </w:tc>
      </w:tr>
      <w:tr w:rsidR="005B5ED6" w:rsidRPr="005B5ED6" w:rsidTr="005B5ED6">
        <w:trPr>
          <w:trHeight w:val="255"/>
        </w:trPr>
        <w:tc>
          <w:tcPr>
            <w:tcW w:w="1582" w:type="pct"/>
            <w:tcMar>
              <w:top w:w="0" w:type="dxa"/>
              <w:left w:w="70" w:type="dxa"/>
              <w:bottom w:w="0" w:type="dxa"/>
              <w:right w:w="70" w:type="dxa"/>
            </w:tcMar>
            <w:vAlign w:val="center"/>
            <w:hideMark/>
          </w:tcPr>
          <w:p w:rsidR="005B5ED6" w:rsidRPr="005B5ED6" w:rsidRDefault="005B5ED6">
            <w:pPr>
              <w:ind w:firstLine="360"/>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Štátny rozpočet</w:t>
            </w:r>
          </w:p>
        </w:tc>
        <w:tc>
          <w:tcPr>
            <w:tcW w:w="507"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446 366</w:t>
            </w:r>
          </w:p>
        </w:tc>
        <w:tc>
          <w:tcPr>
            <w:tcW w:w="575"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-96 134</w:t>
            </w:r>
          </w:p>
        </w:tc>
        <w:tc>
          <w:tcPr>
            <w:tcW w:w="567"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269 972</w:t>
            </w:r>
          </w:p>
        </w:tc>
        <w:tc>
          <w:tcPr>
            <w:tcW w:w="619"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507 104</w:t>
            </w:r>
          </w:p>
        </w:tc>
        <w:tc>
          <w:tcPr>
            <w:tcW w:w="582"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474 181</w:t>
            </w:r>
          </w:p>
        </w:tc>
        <w:tc>
          <w:tcPr>
            <w:tcW w:w="568"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390 829</w:t>
            </w:r>
          </w:p>
        </w:tc>
      </w:tr>
      <w:tr w:rsidR="00D579A5" w:rsidRPr="005B5ED6" w:rsidTr="005B5ED6">
        <w:trPr>
          <w:trHeight w:val="255"/>
        </w:trPr>
        <w:tc>
          <w:tcPr>
            <w:tcW w:w="1582" w:type="pct"/>
            <w:tcMar>
              <w:top w:w="0" w:type="dxa"/>
              <w:left w:w="70" w:type="dxa"/>
              <w:bottom w:w="0" w:type="dxa"/>
              <w:right w:w="70" w:type="dxa"/>
            </w:tcMar>
            <w:vAlign w:val="center"/>
          </w:tcPr>
          <w:p w:rsidR="00D579A5" w:rsidRPr="005B5ED6" w:rsidRDefault="00D579A5">
            <w:pPr>
              <w:ind w:firstLine="36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Mimorozpočtový účet ŠR</w:t>
            </w:r>
          </w:p>
        </w:tc>
        <w:tc>
          <w:tcPr>
            <w:tcW w:w="507" w:type="pct"/>
            <w:tcMar>
              <w:top w:w="0" w:type="dxa"/>
              <w:left w:w="70" w:type="dxa"/>
              <w:bottom w:w="0" w:type="dxa"/>
              <w:right w:w="70" w:type="dxa"/>
            </w:tcMar>
            <w:vAlign w:val="center"/>
          </w:tcPr>
          <w:p w:rsidR="00D579A5" w:rsidRPr="005B5ED6" w:rsidRDefault="00D579A5">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75" w:type="pct"/>
            <w:tcMar>
              <w:top w:w="0" w:type="dxa"/>
              <w:left w:w="70" w:type="dxa"/>
              <w:bottom w:w="0" w:type="dxa"/>
              <w:right w:w="70" w:type="dxa"/>
            </w:tcMar>
            <w:vAlign w:val="center"/>
          </w:tcPr>
          <w:p w:rsidR="00D579A5" w:rsidRPr="005B5ED6" w:rsidRDefault="00D579A5">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67" w:type="pct"/>
            <w:tcMar>
              <w:top w:w="0" w:type="dxa"/>
              <w:left w:w="70" w:type="dxa"/>
              <w:bottom w:w="0" w:type="dxa"/>
              <w:right w:w="70" w:type="dxa"/>
            </w:tcMar>
            <w:vAlign w:val="center"/>
          </w:tcPr>
          <w:p w:rsidR="00D579A5" w:rsidRPr="005B5ED6" w:rsidRDefault="00D579A5">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619" w:type="pct"/>
            <w:tcMar>
              <w:top w:w="0" w:type="dxa"/>
              <w:left w:w="70" w:type="dxa"/>
              <w:bottom w:w="0" w:type="dxa"/>
              <w:right w:w="70" w:type="dxa"/>
            </w:tcMar>
            <w:vAlign w:val="center"/>
          </w:tcPr>
          <w:p w:rsidR="00D579A5" w:rsidRPr="005B5ED6" w:rsidRDefault="00D579A5">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82" w:type="pct"/>
            <w:tcMar>
              <w:top w:w="0" w:type="dxa"/>
              <w:left w:w="70" w:type="dxa"/>
              <w:bottom w:w="0" w:type="dxa"/>
              <w:right w:w="70" w:type="dxa"/>
            </w:tcMar>
            <w:vAlign w:val="center"/>
          </w:tcPr>
          <w:p w:rsidR="00D579A5" w:rsidRPr="005B5ED6" w:rsidRDefault="00D579A5">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68" w:type="pct"/>
            <w:tcMar>
              <w:top w:w="0" w:type="dxa"/>
              <w:left w:w="70" w:type="dxa"/>
              <w:bottom w:w="0" w:type="dxa"/>
              <w:right w:w="70" w:type="dxa"/>
            </w:tcMar>
            <w:vAlign w:val="center"/>
          </w:tcPr>
          <w:p w:rsidR="00D579A5" w:rsidRPr="005B5ED6" w:rsidRDefault="00D579A5">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r>
      <w:tr w:rsidR="005B5ED6" w:rsidRPr="005B5ED6" w:rsidTr="005B5ED6">
        <w:trPr>
          <w:trHeight w:val="255"/>
        </w:trPr>
        <w:tc>
          <w:tcPr>
            <w:tcW w:w="1582" w:type="pct"/>
            <w:tcMar>
              <w:top w:w="0" w:type="dxa"/>
              <w:left w:w="70" w:type="dxa"/>
              <w:bottom w:w="0" w:type="dxa"/>
              <w:right w:w="70" w:type="dxa"/>
            </w:tcMar>
            <w:vAlign w:val="center"/>
            <w:hideMark/>
          </w:tcPr>
          <w:p w:rsidR="005B5ED6" w:rsidRPr="005B5ED6" w:rsidRDefault="005B5ED6">
            <w:pPr>
              <w:ind w:firstLine="360"/>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Štátne finančné aktíva</w:t>
            </w:r>
          </w:p>
        </w:tc>
        <w:tc>
          <w:tcPr>
            <w:tcW w:w="507"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-190 320</w:t>
            </w:r>
          </w:p>
        </w:tc>
        <w:tc>
          <w:tcPr>
            <w:tcW w:w="575"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27 678</w:t>
            </w:r>
          </w:p>
        </w:tc>
        <w:tc>
          <w:tcPr>
            <w:tcW w:w="567"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29 814</w:t>
            </w:r>
          </w:p>
        </w:tc>
        <w:tc>
          <w:tcPr>
            <w:tcW w:w="619"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18 185</w:t>
            </w:r>
          </w:p>
        </w:tc>
        <w:tc>
          <w:tcPr>
            <w:tcW w:w="582"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-3 284</w:t>
            </w:r>
          </w:p>
        </w:tc>
        <w:tc>
          <w:tcPr>
            <w:tcW w:w="568"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336</w:t>
            </w:r>
          </w:p>
        </w:tc>
      </w:tr>
      <w:tr w:rsidR="005B5ED6" w:rsidRPr="005B5ED6" w:rsidTr="005B5ED6">
        <w:trPr>
          <w:trHeight w:val="255"/>
        </w:trPr>
        <w:tc>
          <w:tcPr>
            <w:tcW w:w="1582" w:type="pct"/>
            <w:tcMar>
              <w:top w:w="0" w:type="dxa"/>
              <w:left w:w="70" w:type="dxa"/>
              <w:bottom w:w="0" w:type="dxa"/>
              <w:right w:w="70" w:type="dxa"/>
            </w:tcMar>
            <w:vAlign w:val="center"/>
            <w:hideMark/>
          </w:tcPr>
          <w:p w:rsidR="005B5ED6" w:rsidRPr="005B5ED6" w:rsidRDefault="005B5ED6">
            <w:pPr>
              <w:ind w:firstLine="360"/>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Obce</w:t>
            </w:r>
          </w:p>
        </w:tc>
        <w:tc>
          <w:tcPr>
            <w:tcW w:w="507"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575"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567"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619"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582"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568"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r>
      <w:tr w:rsidR="005B5ED6" w:rsidRPr="005B5ED6" w:rsidTr="005B5ED6">
        <w:trPr>
          <w:trHeight w:val="255"/>
        </w:trPr>
        <w:tc>
          <w:tcPr>
            <w:tcW w:w="1582" w:type="pct"/>
            <w:tcMar>
              <w:top w:w="0" w:type="dxa"/>
              <w:left w:w="70" w:type="dxa"/>
              <w:bottom w:w="0" w:type="dxa"/>
              <w:right w:w="70" w:type="dxa"/>
            </w:tcMar>
            <w:vAlign w:val="center"/>
            <w:hideMark/>
          </w:tcPr>
          <w:p w:rsidR="005B5ED6" w:rsidRPr="005B5ED6" w:rsidRDefault="005B5ED6">
            <w:pPr>
              <w:ind w:firstLine="360"/>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VÚC</w:t>
            </w:r>
          </w:p>
        </w:tc>
        <w:tc>
          <w:tcPr>
            <w:tcW w:w="507"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575"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567"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619"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582"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568"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r>
      <w:tr w:rsidR="005B5ED6" w:rsidRPr="005B5ED6" w:rsidTr="005B5ED6">
        <w:trPr>
          <w:trHeight w:val="255"/>
        </w:trPr>
        <w:tc>
          <w:tcPr>
            <w:tcW w:w="1582" w:type="pct"/>
            <w:noWrap/>
            <w:tcMar>
              <w:top w:w="0" w:type="dxa"/>
              <w:left w:w="70" w:type="dxa"/>
              <w:bottom w:w="0" w:type="dxa"/>
              <w:right w:w="70" w:type="dxa"/>
            </w:tcMar>
            <w:vAlign w:val="center"/>
            <w:hideMark/>
          </w:tcPr>
          <w:p w:rsidR="005B5ED6" w:rsidRPr="005B5ED6" w:rsidRDefault="005B5ED6">
            <w:pPr>
              <w:ind w:firstLine="400"/>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Rozhlas a televízia Slovenska (RTS)</w:t>
            </w:r>
          </w:p>
        </w:tc>
        <w:tc>
          <w:tcPr>
            <w:tcW w:w="507"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575"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567"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619"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582"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568"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r>
      <w:tr w:rsidR="005B5ED6" w:rsidRPr="005B5ED6" w:rsidTr="005B5ED6">
        <w:trPr>
          <w:trHeight w:val="255"/>
        </w:trPr>
        <w:tc>
          <w:tcPr>
            <w:tcW w:w="1582" w:type="pct"/>
            <w:noWrap/>
            <w:tcMar>
              <w:top w:w="0" w:type="dxa"/>
              <w:left w:w="70" w:type="dxa"/>
              <w:bottom w:w="0" w:type="dxa"/>
              <w:right w:w="70" w:type="dxa"/>
            </w:tcMar>
            <w:vAlign w:val="center"/>
            <w:hideMark/>
          </w:tcPr>
          <w:p w:rsidR="005B5ED6" w:rsidRPr="005B5ED6" w:rsidRDefault="005B5ED6">
            <w:pPr>
              <w:ind w:firstLine="400"/>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Environmentálny fond</w:t>
            </w:r>
          </w:p>
        </w:tc>
        <w:tc>
          <w:tcPr>
            <w:tcW w:w="507"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575"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567"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619"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582"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c>
          <w:tcPr>
            <w:tcW w:w="568"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0</w:t>
            </w:r>
          </w:p>
        </w:tc>
      </w:tr>
      <w:tr w:rsidR="005B5ED6" w:rsidRPr="005B5ED6" w:rsidTr="005B5ED6">
        <w:trPr>
          <w:trHeight w:val="255"/>
        </w:trPr>
        <w:tc>
          <w:tcPr>
            <w:tcW w:w="1582" w:type="pct"/>
            <w:tcMar>
              <w:top w:w="0" w:type="dxa"/>
              <w:left w:w="70" w:type="dxa"/>
              <w:bottom w:w="0" w:type="dxa"/>
              <w:right w:w="70" w:type="dxa"/>
            </w:tcMar>
            <w:vAlign w:val="center"/>
            <w:hideMark/>
          </w:tcPr>
          <w:p w:rsidR="005B5ED6" w:rsidRPr="005B5ED6" w:rsidRDefault="005B5ED6">
            <w:pPr>
              <w:ind w:firstLine="360"/>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Sociálna poisťovňa</w:t>
            </w:r>
          </w:p>
        </w:tc>
        <w:tc>
          <w:tcPr>
            <w:tcW w:w="507"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-550 201</w:t>
            </w:r>
          </w:p>
        </w:tc>
        <w:tc>
          <w:tcPr>
            <w:tcW w:w="575"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49 640</w:t>
            </w:r>
          </w:p>
        </w:tc>
        <w:tc>
          <w:tcPr>
            <w:tcW w:w="567"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36 260</w:t>
            </w:r>
          </w:p>
        </w:tc>
        <w:tc>
          <w:tcPr>
            <w:tcW w:w="619"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33 344</w:t>
            </w:r>
          </w:p>
        </w:tc>
        <w:tc>
          <w:tcPr>
            <w:tcW w:w="582"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34 350</w:t>
            </w:r>
          </w:p>
        </w:tc>
        <w:tc>
          <w:tcPr>
            <w:tcW w:w="568"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38 582</w:t>
            </w:r>
          </w:p>
        </w:tc>
      </w:tr>
      <w:tr w:rsidR="005B5ED6" w:rsidRPr="005B5ED6" w:rsidTr="005B5ED6">
        <w:trPr>
          <w:trHeight w:val="255"/>
        </w:trPr>
        <w:tc>
          <w:tcPr>
            <w:tcW w:w="1582" w:type="pct"/>
            <w:tcMar>
              <w:top w:w="0" w:type="dxa"/>
              <w:left w:w="70" w:type="dxa"/>
              <w:bottom w:w="0" w:type="dxa"/>
              <w:right w:w="70" w:type="dxa"/>
            </w:tcMar>
            <w:vAlign w:val="center"/>
            <w:hideMark/>
          </w:tcPr>
          <w:p w:rsidR="005B5ED6" w:rsidRPr="005B5ED6" w:rsidRDefault="005B5ED6">
            <w:pPr>
              <w:ind w:firstLine="360"/>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Zdravotné poisťovne</w:t>
            </w:r>
          </w:p>
        </w:tc>
        <w:tc>
          <w:tcPr>
            <w:tcW w:w="507"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8 167</w:t>
            </w:r>
          </w:p>
        </w:tc>
        <w:tc>
          <w:tcPr>
            <w:tcW w:w="575"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28 584</w:t>
            </w:r>
          </w:p>
        </w:tc>
        <w:tc>
          <w:tcPr>
            <w:tcW w:w="567"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31 873</w:t>
            </w:r>
          </w:p>
        </w:tc>
        <w:tc>
          <w:tcPr>
            <w:tcW w:w="619"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41 249</w:t>
            </w:r>
          </w:p>
        </w:tc>
        <w:tc>
          <w:tcPr>
            <w:tcW w:w="582"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42 902</w:t>
            </w:r>
          </w:p>
        </w:tc>
        <w:tc>
          <w:tcPr>
            <w:tcW w:w="568" w:type="pct"/>
            <w:tcMar>
              <w:top w:w="0" w:type="dxa"/>
              <w:left w:w="70" w:type="dxa"/>
              <w:bottom w:w="0" w:type="dxa"/>
              <w:right w:w="70" w:type="dxa"/>
            </w:tcMar>
            <w:vAlign w:val="center"/>
            <w:hideMark/>
          </w:tcPr>
          <w:p w:rsidR="005B5ED6" w:rsidRPr="005B5ED6" w:rsidRDefault="005B5ED6">
            <w:pPr>
              <w:jc w:val="right"/>
              <w:rPr>
                <w:rFonts w:ascii="Times New Roman" w:hAnsi="Times New Roman" w:cs="Times New Roman"/>
                <w:color w:val="000000"/>
                <w:sz w:val="14"/>
                <w:szCs w:val="14"/>
                <w:lang w:eastAsia="sk-SK"/>
              </w:rPr>
            </w:pPr>
            <w:r w:rsidRPr="005B5ED6">
              <w:rPr>
                <w:rFonts w:ascii="Times New Roman" w:hAnsi="Times New Roman" w:cs="Times New Roman"/>
                <w:color w:val="000000"/>
                <w:sz w:val="14"/>
                <w:szCs w:val="14"/>
                <w:lang w:eastAsia="sk-SK"/>
              </w:rPr>
              <w:t>54 544</w:t>
            </w:r>
          </w:p>
        </w:tc>
      </w:tr>
      <w:tr w:rsidR="009769EF" w:rsidRPr="00300E07" w:rsidTr="00A93050">
        <w:tblPrEx>
          <w:tblCellMar>
            <w:left w:w="70" w:type="dxa"/>
            <w:right w:w="70" w:type="dxa"/>
          </w:tblCellMar>
        </w:tblPrEx>
        <w:trPr>
          <w:trHeight w:val="255"/>
        </w:trPr>
        <w:tc>
          <w:tcPr>
            <w:tcW w:w="5000" w:type="pct"/>
            <w:gridSpan w:val="7"/>
            <w:tcBorders>
              <w:top w:val="nil"/>
              <w:left w:val="nil"/>
              <w:bottom w:val="nil"/>
              <w:right w:val="nil"/>
            </w:tcBorders>
            <w:shd w:val="clear" w:color="auto" w:fill="auto"/>
            <w:vAlign w:val="center"/>
            <w:hideMark/>
          </w:tcPr>
          <w:p w:rsidR="009769EF" w:rsidRPr="00300E07" w:rsidRDefault="009769EF" w:rsidP="00207B1D">
            <w:pPr>
              <w:rPr>
                <w:rFonts w:ascii="Times New Roman" w:hAnsi="Times New Roman" w:cs="Times New Roman"/>
                <w:sz w:val="14"/>
                <w:szCs w:val="14"/>
                <w:lang w:eastAsia="sk-SK"/>
              </w:rPr>
            </w:pPr>
            <w:r w:rsidRPr="00300E07">
              <w:rPr>
                <w:rFonts w:ascii="Times New Roman" w:hAnsi="Times New Roman" w:cs="Times New Roman"/>
                <w:sz w:val="14"/>
                <w:szCs w:val="14"/>
                <w:lang w:eastAsia="sk-SK"/>
              </w:rPr>
              <w:t>(+) znamená, že výnos daní v metodike ESA</w:t>
            </w:r>
            <w:r w:rsidR="00207B1D">
              <w:rPr>
                <w:rFonts w:ascii="Times New Roman" w:hAnsi="Times New Roman" w:cs="Times New Roman"/>
                <w:sz w:val="14"/>
                <w:szCs w:val="14"/>
                <w:lang w:eastAsia="sk-SK"/>
              </w:rPr>
              <w:t xml:space="preserve"> 2010</w:t>
            </w:r>
            <w:r w:rsidRPr="00300E07">
              <w:rPr>
                <w:rFonts w:ascii="Times New Roman" w:hAnsi="Times New Roman" w:cs="Times New Roman"/>
                <w:sz w:val="14"/>
                <w:szCs w:val="14"/>
                <w:lang w:eastAsia="sk-SK"/>
              </w:rPr>
              <w:t xml:space="preserve"> je vyšší ako na hotovostnej báze; (-) že je nižší ako na hotovostnej báze</w:t>
            </w:r>
          </w:p>
        </w:tc>
      </w:tr>
    </w:tbl>
    <w:p w:rsidR="009769EF" w:rsidRPr="002B0850" w:rsidRDefault="009769EF" w:rsidP="009769EF">
      <w:pPr>
        <w:ind w:firstLine="708"/>
        <w:jc w:val="both"/>
        <w:rPr>
          <w:rFonts w:ascii="Times New Roman" w:hAnsi="Times New Roman" w:cs="Times New Roman"/>
          <w:color w:val="FF0000"/>
          <w:highlight w:val="yellow"/>
        </w:rPr>
      </w:pPr>
    </w:p>
    <w:p w:rsidR="009769EF" w:rsidRPr="00C94C87" w:rsidRDefault="009769EF" w:rsidP="009769EF">
      <w:pPr>
        <w:ind w:firstLine="708"/>
        <w:jc w:val="both"/>
        <w:rPr>
          <w:rFonts w:ascii="Times New Roman" w:hAnsi="Times New Roman" w:cs="Times New Roman"/>
        </w:rPr>
      </w:pPr>
      <w:r w:rsidRPr="00C94C87">
        <w:rPr>
          <w:rFonts w:ascii="Times New Roman" w:hAnsi="Times New Roman" w:cs="Times New Roman"/>
        </w:rPr>
        <w:t xml:space="preserve">Rozdiel medzi akruálnym výnosom daní a hotovostným výnosom daní je spôsobený najmä samotným spôsobom výberu daní. Väčšina daňových príjmov sa platí až po ukončení obdobia, napr. daň z príjmov fyzických osôb a odvody sa platia až v nasledujúcom mesiaci. Daňové priznanie </w:t>
      </w:r>
      <w:r w:rsidR="00207B1D">
        <w:rPr>
          <w:rFonts w:ascii="Times New Roman" w:hAnsi="Times New Roman" w:cs="Times New Roman"/>
        </w:rPr>
        <w:t>pri DPH a spotrebných daniach</w:t>
      </w:r>
      <w:r w:rsidRPr="00C94C87">
        <w:rPr>
          <w:rFonts w:ascii="Times New Roman" w:hAnsi="Times New Roman" w:cs="Times New Roman"/>
        </w:rPr>
        <w:t xml:space="preserve"> sa podáva a daň platí až v nasledujúcom mesiaci alebo kvartáli. V prípade DPPO a DPFO z podnikania sa počas roka platia preddavky na základe posledného zdaňovacieho obdobia a až v nasledujúcom roku sa zúčtovávajú.</w:t>
      </w:r>
    </w:p>
    <w:p w:rsidR="009769EF" w:rsidRPr="002B0850" w:rsidRDefault="009769EF" w:rsidP="009769EF">
      <w:pPr>
        <w:ind w:firstLine="708"/>
        <w:jc w:val="both"/>
        <w:rPr>
          <w:rFonts w:ascii="Times New Roman" w:hAnsi="Times New Roman" w:cs="Times New Roman"/>
          <w:color w:val="FF0000"/>
          <w:highlight w:val="yellow"/>
        </w:rPr>
      </w:pPr>
    </w:p>
    <w:p w:rsidR="009769EF" w:rsidRPr="00C94C87" w:rsidRDefault="009769EF" w:rsidP="009769EF">
      <w:pPr>
        <w:ind w:firstLine="708"/>
        <w:jc w:val="both"/>
        <w:rPr>
          <w:rFonts w:ascii="Times New Roman" w:hAnsi="Times New Roman" w:cs="Times New Roman"/>
        </w:rPr>
      </w:pPr>
      <w:r w:rsidRPr="00C94C87">
        <w:rPr>
          <w:rFonts w:ascii="Times New Roman" w:hAnsi="Times New Roman" w:cs="Times New Roman"/>
        </w:rPr>
        <w:t xml:space="preserve">Zároveň na rozdiel medzi akruálnym a hotovostným výnosom pozitívne vplýva najmä odlišné zaznamenávanie sumy 2 % poukazovaných na osobitný účel z daní z príjmov fyzických a právnických osôb. Kým pri hotovostnom princípe suma poukázaná na osobitný účel ovplyvňuje výšku výnosu dane znížením príjmov verejnej správy, akruálne dane nie sú týmto prevodom ovplyvnené. Vyplýva to z ekonomickej podstaty transakcie, ktorá neznižuje výšku daňovej povinnosti voči verejným financiám (akruálnu daň), ale na </w:t>
      </w:r>
      <w:r w:rsidRPr="00F67F0F">
        <w:rPr>
          <w:rFonts w:ascii="Times New Roman" w:hAnsi="Times New Roman" w:cs="Times New Roman"/>
        </w:rPr>
        <w:t>základe zákona sa</w:t>
      </w:r>
      <w:r w:rsidRPr="00C94C87">
        <w:rPr>
          <w:rFonts w:ascii="Times New Roman" w:hAnsi="Times New Roman" w:cs="Times New Roman"/>
        </w:rPr>
        <w:t xml:space="preserve"> časť </w:t>
      </w:r>
      <w:r w:rsidRPr="00C94C87">
        <w:rPr>
          <w:rFonts w:ascii="Times New Roman" w:hAnsi="Times New Roman" w:cs="Times New Roman"/>
        </w:rPr>
        <w:lastRenderedPageBreak/>
        <w:t>peňazí použije na financovanie tretieho sektora. Uvedená suma teda neznižuje príjmy, ale zvyšuje verejné výdavky a týmto spôsobom negatívne ovplyvňuje hospodárenie v metodike ESA</w:t>
      </w:r>
      <w:r w:rsidR="00207B1D">
        <w:rPr>
          <w:rFonts w:ascii="Times New Roman" w:hAnsi="Times New Roman" w:cs="Times New Roman"/>
        </w:rPr>
        <w:t xml:space="preserve"> </w:t>
      </w:r>
      <w:r w:rsidRPr="00C94C87">
        <w:rPr>
          <w:rFonts w:ascii="Times New Roman" w:hAnsi="Times New Roman" w:cs="Times New Roman"/>
        </w:rPr>
        <w:t>2010.</w:t>
      </w:r>
    </w:p>
    <w:p w:rsidR="009769EF" w:rsidRPr="002B0850" w:rsidRDefault="009769EF" w:rsidP="009769EF">
      <w:pPr>
        <w:ind w:firstLine="708"/>
        <w:jc w:val="both"/>
        <w:rPr>
          <w:rFonts w:ascii="Times New Roman" w:hAnsi="Times New Roman" w:cs="Times New Roman"/>
          <w:color w:val="FF0000"/>
          <w:highlight w:val="yellow"/>
        </w:rPr>
      </w:pPr>
    </w:p>
    <w:p w:rsidR="009769EF" w:rsidRPr="00AC6357" w:rsidRDefault="009769EF" w:rsidP="009769EF">
      <w:pPr>
        <w:pStyle w:val="Default"/>
        <w:spacing w:before="3"/>
        <w:ind w:firstLine="708"/>
        <w:jc w:val="both"/>
        <w:rPr>
          <w:rFonts w:ascii="Times New Roman" w:hAnsi="Times New Roman" w:cs="Times New Roman"/>
          <w:color w:val="auto"/>
        </w:rPr>
      </w:pPr>
      <w:r w:rsidRPr="00AC6357">
        <w:rPr>
          <w:rFonts w:ascii="Times New Roman" w:hAnsi="Times New Roman" w:cs="Times New Roman"/>
          <w:color w:val="auto"/>
        </w:rPr>
        <w:t xml:space="preserve">V súvislosti s prevodom prostriedkov na osobitný účel sa </w:t>
      </w:r>
      <w:r w:rsidR="00207B1D">
        <w:rPr>
          <w:rFonts w:ascii="Times New Roman" w:hAnsi="Times New Roman" w:cs="Times New Roman"/>
          <w:color w:val="auto"/>
        </w:rPr>
        <w:t>na</w:t>
      </w:r>
      <w:r w:rsidRPr="00AC6357">
        <w:rPr>
          <w:rFonts w:ascii="Times New Roman" w:hAnsi="Times New Roman" w:cs="Times New Roman"/>
          <w:color w:val="auto"/>
        </w:rPr>
        <w:t xml:space="preserve"> roky 2017 až 2020 očakáva nárast objemu prostriedkov prevedených z dane za predchádzajúce zdaňovacie obdobie na verejnoprospešný účel. </w:t>
      </w:r>
    </w:p>
    <w:p w:rsidR="009769EF" w:rsidRPr="002B0850" w:rsidRDefault="009769EF" w:rsidP="009769EF">
      <w:pPr>
        <w:pStyle w:val="Default"/>
        <w:spacing w:before="3"/>
        <w:ind w:firstLine="708"/>
        <w:jc w:val="both"/>
        <w:rPr>
          <w:rFonts w:ascii="Times New Roman" w:hAnsi="Times New Roman" w:cs="Times New Roman"/>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937"/>
        <w:gridCol w:w="937"/>
        <w:gridCol w:w="937"/>
        <w:gridCol w:w="937"/>
        <w:gridCol w:w="937"/>
        <w:gridCol w:w="933"/>
      </w:tblGrid>
      <w:tr w:rsidR="009769EF" w:rsidRPr="002B0850" w:rsidTr="00300E07">
        <w:trPr>
          <w:trHeight w:val="340"/>
        </w:trPr>
        <w:tc>
          <w:tcPr>
            <w:tcW w:w="5000" w:type="pct"/>
            <w:gridSpan w:val="7"/>
            <w:shd w:val="clear" w:color="auto" w:fill="A6A6A6" w:themeFill="background1" w:themeFillShade="A6"/>
            <w:vAlign w:val="center"/>
            <w:hideMark/>
          </w:tcPr>
          <w:p w:rsidR="009769EF" w:rsidRPr="00E6654C" w:rsidRDefault="009769EF" w:rsidP="00300E07">
            <w:pP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Vplyv prevodu prostriedkov na verejnoprospešný účel (VPÚ) na rozpočet (ESA 2010, v tis. eur)</w:t>
            </w:r>
            <w:r w:rsidRPr="00E6654C">
              <w:rPr>
                <w:rFonts w:ascii="Times New Roman" w:hAnsi="Times New Roman" w:cs="Times New Roman"/>
                <w:sz w:val="14"/>
                <w:szCs w:val="14"/>
                <w:lang w:eastAsia="en-US"/>
              </w:rPr>
              <w:t> </w:t>
            </w:r>
          </w:p>
        </w:tc>
      </w:tr>
      <w:tr w:rsidR="009769EF" w:rsidRPr="002B0850" w:rsidTr="00300E07">
        <w:trPr>
          <w:trHeight w:val="284"/>
        </w:trPr>
        <w:tc>
          <w:tcPr>
            <w:tcW w:w="1900" w:type="pct"/>
            <w:shd w:val="clear" w:color="auto" w:fill="BFBFBF" w:themeFill="background1" w:themeFillShade="BF"/>
            <w:vAlign w:val="center"/>
            <w:hideMark/>
          </w:tcPr>
          <w:p w:rsidR="009769EF" w:rsidRPr="00E6654C" w:rsidRDefault="009769EF" w:rsidP="00300E07">
            <w:pP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 </w:t>
            </w:r>
          </w:p>
        </w:tc>
        <w:tc>
          <w:tcPr>
            <w:tcW w:w="517" w:type="pct"/>
            <w:shd w:val="clear" w:color="auto" w:fill="BFBFBF" w:themeFill="background1" w:themeFillShade="BF"/>
            <w:vAlign w:val="center"/>
            <w:hideMark/>
          </w:tcPr>
          <w:p w:rsidR="009769EF" w:rsidRPr="00E6654C" w:rsidRDefault="009769EF" w:rsidP="00300E07">
            <w:pPr>
              <w:jc w:val="center"/>
              <w:rPr>
                <w:rFonts w:ascii="Times New Roman" w:hAnsi="Times New Roman" w:cs="Times New Roman"/>
                <w:b/>
                <w:bCs/>
                <w:color w:val="000000"/>
                <w:sz w:val="14"/>
                <w:szCs w:val="14"/>
                <w:lang w:eastAsia="sk-SK"/>
              </w:rPr>
            </w:pPr>
            <w:r w:rsidRPr="00E6654C">
              <w:rPr>
                <w:rFonts w:ascii="Times New Roman" w:hAnsi="Times New Roman" w:cs="Times New Roman"/>
                <w:b/>
                <w:bCs/>
                <w:color w:val="000000"/>
                <w:sz w:val="14"/>
                <w:szCs w:val="14"/>
              </w:rPr>
              <w:t>2015 S</w:t>
            </w:r>
          </w:p>
        </w:tc>
        <w:tc>
          <w:tcPr>
            <w:tcW w:w="517" w:type="pct"/>
            <w:shd w:val="clear" w:color="auto" w:fill="BFBFBF" w:themeFill="background1" w:themeFillShade="BF"/>
            <w:vAlign w:val="center"/>
            <w:hideMark/>
          </w:tcPr>
          <w:p w:rsidR="009769EF" w:rsidRPr="00E6654C" w:rsidRDefault="009769EF" w:rsidP="00300E07">
            <w:pPr>
              <w:jc w:val="center"/>
              <w:rPr>
                <w:rFonts w:ascii="Times New Roman" w:hAnsi="Times New Roman" w:cs="Times New Roman"/>
                <w:b/>
                <w:bCs/>
                <w:color w:val="000000"/>
                <w:sz w:val="14"/>
                <w:szCs w:val="14"/>
              </w:rPr>
            </w:pPr>
            <w:r w:rsidRPr="00E6654C">
              <w:rPr>
                <w:rFonts w:ascii="Times New Roman" w:hAnsi="Times New Roman" w:cs="Times New Roman"/>
                <w:b/>
                <w:bCs/>
                <w:color w:val="000000"/>
                <w:sz w:val="14"/>
                <w:szCs w:val="14"/>
              </w:rPr>
              <w:t>2016 S</w:t>
            </w:r>
          </w:p>
        </w:tc>
        <w:tc>
          <w:tcPr>
            <w:tcW w:w="517" w:type="pct"/>
            <w:shd w:val="clear" w:color="auto" w:fill="BFBFBF" w:themeFill="background1" w:themeFillShade="BF"/>
            <w:vAlign w:val="center"/>
            <w:hideMark/>
          </w:tcPr>
          <w:p w:rsidR="009769EF" w:rsidRPr="00E6654C" w:rsidRDefault="009769EF" w:rsidP="00300E07">
            <w:pPr>
              <w:jc w:val="center"/>
              <w:rPr>
                <w:rFonts w:ascii="Times New Roman" w:hAnsi="Times New Roman" w:cs="Times New Roman"/>
                <w:b/>
                <w:bCs/>
                <w:sz w:val="14"/>
                <w:szCs w:val="14"/>
              </w:rPr>
            </w:pPr>
            <w:r w:rsidRPr="00E6654C">
              <w:rPr>
                <w:rFonts w:ascii="Times New Roman" w:hAnsi="Times New Roman" w:cs="Times New Roman"/>
                <w:b/>
                <w:bCs/>
                <w:sz w:val="14"/>
                <w:szCs w:val="14"/>
              </w:rPr>
              <w:t>2017</w:t>
            </w:r>
          </w:p>
        </w:tc>
        <w:tc>
          <w:tcPr>
            <w:tcW w:w="517" w:type="pct"/>
            <w:shd w:val="clear" w:color="auto" w:fill="BFBFBF" w:themeFill="background1" w:themeFillShade="BF"/>
            <w:vAlign w:val="center"/>
            <w:hideMark/>
          </w:tcPr>
          <w:p w:rsidR="009769EF" w:rsidRPr="00E6654C" w:rsidRDefault="009769EF" w:rsidP="00300E07">
            <w:pPr>
              <w:jc w:val="center"/>
              <w:rPr>
                <w:rFonts w:ascii="Times New Roman" w:hAnsi="Times New Roman" w:cs="Times New Roman"/>
                <w:b/>
                <w:bCs/>
                <w:sz w:val="14"/>
                <w:szCs w:val="14"/>
              </w:rPr>
            </w:pPr>
            <w:r w:rsidRPr="00E6654C">
              <w:rPr>
                <w:rFonts w:ascii="Times New Roman" w:hAnsi="Times New Roman" w:cs="Times New Roman"/>
                <w:b/>
                <w:bCs/>
                <w:sz w:val="14"/>
                <w:szCs w:val="14"/>
              </w:rPr>
              <w:t>2018</w:t>
            </w:r>
          </w:p>
        </w:tc>
        <w:tc>
          <w:tcPr>
            <w:tcW w:w="517" w:type="pct"/>
            <w:shd w:val="clear" w:color="auto" w:fill="BFBFBF" w:themeFill="background1" w:themeFillShade="BF"/>
            <w:vAlign w:val="center"/>
            <w:hideMark/>
          </w:tcPr>
          <w:p w:rsidR="009769EF" w:rsidRPr="00E6654C" w:rsidRDefault="009769EF" w:rsidP="00300E07">
            <w:pPr>
              <w:jc w:val="center"/>
              <w:rPr>
                <w:rFonts w:ascii="Times New Roman" w:hAnsi="Times New Roman" w:cs="Times New Roman"/>
                <w:b/>
                <w:bCs/>
                <w:sz w:val="14"/>
                <w:szCs w:val="14"/>
              </w:rPr>
            </w:pPr>
            <w:r w:rsidRPr="00E6654C">
              <w:rPr>
                <w:rFonts w:ascii="Times New Roman" w:hAnsi="Times New Roman" w:cs="Times New Roman"/>
                <w:b/>
                <w:bCs/>
                <w:sz w:val="14"/>
                <w:szCs w:val="14"/>
              </w:rPr>
              <w:t>2019</w:t>
            </w:r>
          </w:p>
        </w:tc>
        <w:tc>
          <w:tcPr>
            <w:tcW w:w="515" w:type="pct"/>
            <w:shd w:val="clear" w:color="auto" w:fill="BFBFBF" w:themeFill="background1" w:themeFillShade="BF"/>
            <w:vAlign w:val="center"/>
            <w:hideMark/>
          </w:tcPr>
          <w:p w:rsidR="009769EF" w:rsidRPr="00E6654C" w:rsidRDefault="009769EF" w:rsidP="00300E07">
            <w:pPr>
              <w:jc w:val="center"/>
              <w:rPr>
                <w:rFonts w:ascii="Times New Roman" w:hAnsi="Times New Roman" w:cs="Times New Roman"/>
                <w:b/>
                <w:bCs/>
                <w:sz w:val="14"/>
                <w:szCs w:val="14"/>
              </w:rPr>
            </w:pPr>
            <w:r w:rsidRPr="00E6654C">
              <w:rPr>
                <w:rFonts w:ascii="Times New Roman" w:hAnsi="Times New Roman" w:cs="Times New Roman"/>
                <w:b/>
                <w:bCs/>
                <w:sz w:val="14"/>
                <w:szCs w:val="14"/>
              </w:rPr>
              <w:t>2020</w:t>
            </w:r>
          </w:p>
        </w:tc>
      </w:tr>
      <w:tr w:rsidR="009769EF" w:rsidRPr="002B0850" w:rsidTr="00300E07">
        <w:trPr>
          <w:trHeight w:val="284"/>
        </w:trPr>
        <w:tc>
          <w:tcPr>
            <w:tcW w:w="1900" w:type="pct"/>
            <w:shd w:val="clear" w:color="auto" w:fill="BFBFBF" w:themeFill="background1" w:themeFillShade="BF"/>
            <w:vAlign w:val="center"/>
            <w:hideMark/>
          </w:tcPr>
          <w:p w:rsidR="009769EF" w:rsidRPr="00E6654C" w:rsidRDefault="009769EF" w:rsidP="00300E07">
            <w:pPr>
              <w:rPr>
                <w:rFonts w:ascii="Times New Roman" w:hAnsi="Times New Roman" w:cs="Times New Roman"/>
                <w:b/>
                <w:bCs/>
                <w:sz w:val="14"/>
                <w:szCs w:val="14"/>
                <w:lang w:val="en-US" w:eastAsia="en-US"/>
              </w:rPr>
            </w:pPr>
            <w:r w:rsidRPr="00E6654C">
              <w:rPr>
                <w:rFonts w:ascii="Times New Roman" w:hAnsi="Times New Roman" w:cs="Times New Roman"/>
                <w:b/>
                <w:bCs/>
                <w:sz w:val="14"/>
                <w:szCs w:val="14"/>
                <w:lang w:eastAsia="en-US"/>
              </w:rPr>
              <w:t xml:space="preserve">PREVOD NA VPÚ spolu </w:t>
            </w:r>
          </w:p>
        </w:tc>
        <w:tc>
          <w:tcPr>
            <w:tcW w:w="517" w:type="pct"/>
            <w:shd w:val="clear" w:color="auto" w:fill="BFBFBF" w:themeFill="background1" w:themeFillShade="BF"/>
            <w:vAlign w:val="center"/>
          </w:tcPr>
          <w:p w:rsidR="009769EF" w:rsidRPr="00E6654C" w:rsidRDefault="009769EF" w:rsidP="00300E07">
            <w:pPr>
              <w:jc w:val="right"/>
              <w:rPr>
                <w:rFonts w:ascii="Times New Roman" w:hAnsi="Times New Roman" w:cs="Times New Roman"/>
                <w:b/>
                <w:bCs/>
                <w:color w:val="000000"/>
                <w:sz w:val="14"/>
                <w:szCs w:val="14"/>
                <w:lang w:eastAsia="sk-SK"/>
              </w:rPr>
            </w:pPr>
            <w:r w:rsidRPr="00E6654C">
              <w:rPr>
                <w:rFonts w:ascii="Times New Roman" w:hAnsi="Times New Roman" w:cs="Times New Roman"/>
                <w:b/>
                <w:bCs/>
                <w:color w:val="000000"/>
                <w:sz w:val="14"/>
                <w:szCs w:val="14"/>
              </w:rPr>
              <w:t>56 949</w:t>
            </w:r>
          </w:p>
        </w:tc>
        <w:tc>
          <w:tcPr>
            <w:tcW w:w="517" w:type="pct"/>
            <w:shd w:val="clear" w:color="auto" w:fill="BFBFBF" w:themeFill="background1" w:themeFillShade="BF"/>
            <w:vAlign w:val="center"/>
          </w:tcPr>
          <w:p w:rsidR="009769EF" w:rsidRPr="00E6654C" w:rsidRDefault="009769EF" w:rsidP="00300E07">
            <w:pPr>
              <w:jc w:val="right"/>
              <w:rPr>
                <w:rFonts w:ascii="Times New Roman" w:hAnsi="Times New Roman" w:cs="Times New Roman"/>
                <w:b/>
                <w:bCs/>
                <w:color w:val="000000"/>
                <w:sz w:val="14"/>
                <w:szCs w:val="14"/>
              </w:rPr>
            </w:pPr>
            <w:r w:rsidRPr="00E6654C">
              <w:rPr>
                <w:rFonts w:ascii="Times New Roman" w:hAnsi="Times New Roman" w:cs="Times New Roman"/>
                <w:b/>
                <w:bCs/>
                <w:color w:val="000000"/>
                <w:sz w:val="14"/>
                <w:szCs w:val="14"/>
              </w:rPr>
              <w:t>61 631</w:t>
            </w:r>
          </w:p>
        </w:tc>
        <w:tc>
          <w:tcPr>
            <w:tcW w:w="517" w:type="pct"/>
            <w:shd w:val="clear" w:color="auto" w:fill="BFBFBF" w:themeFill="background1" w:themeFillShade="BF"/>
            <w:vAlign w:val="center"/>
          </w:tcPr>
          <w:p w:rsidR="009769EF" w:rsidRPr="00E6654C" w:rsidRDefault="009769EF" w:rsidP="00300E07">
            <w:pPr>
              <w:jc w:val="right"/>
              <w:rPr>
                <w:rFonts w:ascii="Times New Roman" w:hAnsi="Times New Roman" w:cs="Times New Roman"/>
                <w:b/>
                <w:bCs/>
                <w:color w:val="000000"/>
                <w:sz w:val="14"/>
                <w:szCs w:val="14"/>
              </w:rPr>
            </w:pPr>
            <w:r w:rsidRPr="00E6654C">
              <w:rPr>
                <w:rFonts w:ascii="Times New Roman" w:hAnsi="Times New Roman" w:cs="Times New Roman"/>
                <w:b/>
                <w:bCs/>
                <w:color w:val="000000"/>
                <w:sz w:val="14"/>
                <w:szCs w:val="14"/>
              </w:rPr>
              <w:t>63 236</w:t>
            </w:r>
          </w:p>
        </w:tc>
        <w:tc>
          <w:tcPr>
            <w:tcW w:w="517" w:type="pct"/>
            <w:shd w:val="clear" w:color="auto" w:fill="BFBFBF" w:themeFill="background1" w:themeFillShade="BF"/>
            <w:vAlign w:val="center"/>
          </w:tcPr>
          <w:p w:rsidR="009769EF" w:rsidRPr="00E6654C" w:rsidRDefault="009769EF" w:rsidP="00300E07">
            <w:pPr>
              <w:jc w:val="right"/>
              <w:rPr>
                <w:rFonts w:ascii="Times New Roman" w:hAnsi="Times New Roman" w:cs="Times New Roman"/>
                <w:b/>
                <w:bCs/>
                <w:color w:val="000000"/>
                <w:sz w:val="14"/>
                <w:szCs w:val="14"/>
              </w:rPr>
            </w:pPr>
            <w:r w:rsidRPr="00E6654C">
              <w:rPr>
                <w:rFonts w:ascii="Times New Roman" w:hAnsi="Times New Roman" w:cs="Times New Roman"/>
                <w:b/>
                <w:bCs/>
                <w:color w:val="000000"/>
                <w:sz w:val="14"/>
                <w:szCs w:val="14"/>
              </w:rPr>
              <w:t>64 585</w:t>
            </w:r>
          </w:p>
        </w:tc>
        <w:tc>
          <w:tcPr>
            <w:tcW w:w="517" w:type="pct"/>
            <w:shd w:val="clear" w:color="auto" w:fill="BFBFBF" w:themeFill="background1" w:themeFillShade="BF"/>
            <w:vAlign w:val="center"/>
          </w:tcPr>
          <w:p w:rsidR="009769EF" w:rsidRPr="00E6654C" w:rsidRDefault="009769EF" w:rsidP="00300E07">
            <w:pPr>
              <w:jc w:val="right"/>
              <w:rPr>
                <w:rFonts w:ascii="Times New Roman" w:hAnsi="Times New Roman" w:cs="Times New Roman"/>
                <w:b/>
                <w:bCs/>
                <w:color w:val="000000"/>
                <w:sz w:val="14"/>
                <w:szCs w:val="14"/>
              </w:rPr>
            </w:pPr>
            <w:r w:rsidRPr="00E6654C">
              <w:rPr>
                <w:rFonts w:ascii="Times New Roman" w:hAnsi="Times New Roman" w:cs="Times New Roman"/>
                <w:b/>
                <w:bCs/>
                <w:color w:val="000000"/>
                <w:sz w:val="14"/>
                <w:szCs w:val="14"/>
              </w:rPr>
              <w:t>68 425</w:t>
            </w:r>
          </w:p>
        </w:tc>
        <w:tc>
          <w:tcPr>
            <w:tcW w:w="515" w:type="pct"/>
            <w:shd w:val="clear" w:color="auto" w:fill="BFBFBF" w:themeFill="background1" w:themeFillShade="BF"/>
            <w:vAlign w:val="center"/>
          </w:tcPr>
          <w:p w:rsidR="009769EF" w:rsidRPr="00E6654C" w:rsidRDefault="009769EF" w:rsidP="00300E07">
            <w:pPr>
              <w:jc w:val="right"/>
              <w:rPr>
                <w:rFonts w:ascii="Times New Roman" w:hAnsi="Times New Roman" w:cs="Times New Roman"/>
                <w:b/>
                <w:bCs/>
                <w:color w:val="000000"/>
                <w:sz w:val="14"/>
                <w:szCs w:val="14"/>
              </w:rPr>
            </w:pPr>
            <w:r w:rsidRPr="00E6654C">
              <w:rPr>
                <w:rFonts w:ascii="Times New Roman" w:hAnsi="Times New Roman" w:cs="Times New Roman"/>
                <w:b/>
                <w:bCs/>
                <w:color w:val="000000"/>
                <w:sz w:val="14"/>
                <w:szCs w:val="14"/>
              </w:rPr>
              <w:t>74 222</w:t>
            </w:r>
          </w:p>
        </w:tc>
      </w:tr>
      <w:tr w:rsidR="009769EF" w:rsidRPr="002B0850" w:rsidTr="00300E07">
        <w:trPr>
          <w:trHeight w:val="284"/>
        </w:trPr>
        <w:tc>
          <w:tcPr>
            <w:tcW w:w="1900" w:type="pct"/>
            <w:shd w:val="clear" w:color="auto" w:fill="auto"/>
            <w:vAlign w:val="center"/>
            <w:hideMark/>
          </w:tcPr>
          <w:p w:rsidR="009769EF" w:rsidRPr="00E6654C" w:rsidRDefault="009769EF" w:rsidP="00300E07">
            <w:pPr>
              <w:rPr>
                <w:rFonts w:ascii="Times New Roman" w:hAnsi="Times New Roman" w:cs="Times New Roman"/>
                <w:sz w:val="14"/>
                <w:szCs w:val="14"/>
                <w:lang w:val="en-US" w:eastAsia="en-US"/>
              </w:rPr>
            </w:pPr>
            <w:r w:rsidRPr="00E6654C">
              <w:rPr>
                <w:rFonts w:ascii="Times New Roman" w:hAnsi="Times New Roman" w:cs="Times New Roman"/>
                <w:sz w:val="14"/>
                <w:szCs w:val="14"/>
                <w:lang w:eastAsia="en-US"/>
              </w:rPr>
              <w:t xml:space="preserve">     Prevod na VPÚ z DPFO</w:t>
            </w:r>
          </w:p>
        </w:tc>
        <w:tc>
          <w:tcPr>
            <w:tcW w:w="517" w:type="pct"/>
            <w:shd w:val="clear" w:color="auto" w:fill="auto"/>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24 231</w:t>
            </w:r>
          </w:p>
        </w:tc>
        <w:tc>
          <w:tcPr>
            <w:tcW w:w="517" w:type="pct"/>
            <w:shd w:val="clear" w:color="auto" w:fill="auto"/>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27 175</w:t>
            </w:r>
          </w:p>
        </w:tc>
        <w:tc>
          <w:tcPr>
            <w:tcW w:w="517" w:type="pct"/>
            <w:shd w:val="clear" w:color="auto" w:fill="auto"/>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29 885</w:t>
            </w:r>
          </w:p>
        </w:tc>
        <w:tc>
          <w:tcPr>
            <w:tcW w:w="517" w:type="pct"/>
            <w:shd w:val="clear" w:color="auto" w:fill="auto"/>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33 071</w:t>
            </w:r>
          </w:p>
        </w:tc>
        <w:tc>
          <w:tcPr>
            <w:tcW w:w="517" w:type="pct"/>
            <w:shd w:val="clear" w:color="auto" w:fill="auto"/>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36 229</w:t>
            </w:r>
          </w:p>
        </w:tc>
        <w:tc>
          <w:tcPr>
            <w:tcW w:w="515" w:type="pct"/>
            <w:shd w:val="clear" w:color="auto" w:fill="auto"/>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39 539</w:t>
            </w:r>
          </w:p>
        </w:tc>
      </w:tr>
      <w:tr w:rsidR="009769EF" w:rsidRPr="002B0850" w:rsidTr="00300E07">
        <w:trPr>
          <w:trHeight w:val="284"/>
        </w:trPr>
        <w:tc>
          <w:tcPr>
            <w:tcW w:w="1900" w:type="pct"/>
            <w:shd w:val="clear" w:color="auto" w:fill="auto"/>
            <w:vAlign w:val="center"/>
            <w:hideMark/>
          </w:tcPr>
          <w:p w:rsidR="009769EF" w:rsidRPr="00E6654C" w:rsidRDefault="009769EF" w:rsidP="00300E07">
            <w:pPr>
              <w:rPr>
                <w:rFonts w:ascii="Times New Roman" w:hAnsi="Times New Roman" w:cs="Times New Roman"/>
                <w:sz w:val="14"/>
                <w:szCs w:val="14"/>
                <w:lang w:val="en-US" w:eastAsia="en-US"/>
              </w:rPr>
            </w:pPr>
            <w:r w:rsidRPr="00E6654C">
              <w:rPr>
                <w:rFonts w:ascii="Times New Roman" w:hAnsi="Times New Roman" w:cs="Times New Roman"/>
                <w:sz w:val="14"/>
                <w:szCs w:val="14"/>
                <w:lang w:eastAsia="en-US"/>
              </w:rPr>
              <w:t xml:space="preserve">     Prevod na VPÚ z DPPO</w:t>
            </w:r>
          </w:p>
        </w:tc>
        <w:tc>
          <w:tcPr>
            <w:tcW w:w="517" w:type="pct"/>
            <w:shd w:val="clear" w:color="auto" w:fill="auto"/>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32 719</w:t>
            </w:r>
          </w:p>
        </w:tc>
        <w:tc>
          <w:tcPr>
            <w:tcW w:w="517" w:type="pct"/>
            <w:shd w:val="clear" w:color="auto" w:fill="auto"/>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34 456</w:t>
            </w:r>
          </w:p>
        </w:tc>
        <w:tc>
          <w:tcPr>
            <w:tcW w:w="517" w:type="pct"/>
            <w:shd w:val="clear" w:color="auto" w:fill="auto"/>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33 351</w:t>
            </w:r>
          </w:p>
        </w:tc>
        <w:tc>
          <w:tcPr>
            <w:tcW w:w="517" w:type="pct"/>
            <w:shd w:val="clear" w:color="auto" w:fill="auto"/>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31 514</w:t>
            </w:r>
          </w:p>
        </w:tc>
        <w:tc>
          <w:tcPr>
            <w:tcW w:w="517" w:type="pct"/>
            <w:shd w:val="clear" w:color="auto" w:fill="auto"/>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32 196</w:t>
            </w:r>
          </w:p>
        </w:tc>
        <w:tc>
          <w:tcPr>
            <w:tcW w:w="515" w:type="pct"/>
            <w:shd w:val="clear" w:color="auto" w:fill="auto"/>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34 683</w:t>
            </w:r>
          </w:p>
        </w:tc>
      </w:tr>
    </w:tbl>
    <w:p w:rsidR="009769EF" w:rsidRPr="002B0850" w:rsidRDefault="009769EF" w:rsidP="009769EF">
      <w:pPr>
        <w:pStyle w:val="Default"/>
        <w:spacing w:before="3"/>
        <w:ind w:firstLine="708"/>
        <w:jc w:val="both"/>
        <w:rPr>
          <w:rFonts w:ascii="Times New Roman" w:hAnsi="Times New Roman" w:cs="Times New Roman"/>
          <w:color w:val="FF0000"/>
          <w:highlight w:val="yellow"/>
        </w:rPr>
      </w:pPr>
    </w:p>
    <w:p w:rsidR="009769EF" w:rsidRPr="00B474BA" w:rsidRDefault="009769EF" w:rsidP="009769EF">
      <w:pPr>
        <w:ind w:firstLine="708"/>
        <w:jc w:val="both"/>
        <w:rPr>
          <w:rFonts w:ascii="Times New Roman" w:hAnsi="Times New Roman" w:cs="Times New Roman"/>
          <w:bCs/>
        </w:rPr>
      </w:pPr>
      <w:r w:rsidRPr="00805D80">
        <w:rPr>
          <w:rFonts w:ascii="Times New Roman" w:hAnsi="Times New Roman" w:cs="Times New Roman"/>
          <w:bCs/>
        </w:rPr>
        <w:t xml:space="preserve">Daňové kredity majú neutrálny vplyv na akruálny výnos dane z príjmu fyzických osôb, pričom </w:t>
      </w:r>
      <w:r>
        <w:rPr>
          <w:rFonts w:ascii="Times New Roman" w:hAnsi="Times New Roman" w:cs="Times New Roman"/>
          <w:bCs/>
        </w:rPr>
        <w:t xml:space="preserve">však </w:t>
      </w:r>
      <w:r w:rsidRPr="00805D80">
        <w:rPr>
          <w:rFonts w:ascii="Times New Roman" w:hAnsi="Times New Roman" w:cs="Times New Roman"/>
          <w:bCs/>
        </w:rPr>
        <w:t xml:space="preserve">znižujú hotovostné plnenie. Nulový akruálny vplyv na DPFO je dôsledkom účtovania v </w:t>
      </w:r>
      <w:r>
        <w:rPr>
          <w:rFonts w:ascii="Times New Roman" w:hAnsi="Times New Roman" w:cs="Times New Roman"/>
          <w:bCs/>
        </w:rPr>
        <w:t>metodike</w:t>
      </w:r>
      <w:r w:rsidRPr="00805D80">
        <w:rPr>
          <w:rFonts w:ascii="Times New Roman" w:hAnsi="Times New Roman" w:cs="Times New Roman"/>
          <w:bCs/>
        </w:rPr>
        <w:t xml:space="preserve"> ESA 2010. </w:t>
      </w:r>
    </w:p>
    <w:p w:rsidR="009769EF" w:rsidRDefault="009769EF" w:rsidP="009769EF">
      <w:pPr>
        <w:ind w:firstLine="708"/>
        <w:jc w:val="both"/>
        <w:rPr>
          <w:rFonts w:ascii="Times New Roman" w:hAnsi="Times New Roman" w:cs="Times New Roman"/>
          <w:bCs/>
        </w:rPr>
      </w:pPr>
    </w:p>
    <w:p w:rsidR="009769EF" w:rsidRPr="00B474BA" w:rsidRDefault="009769EF" w:rsidP="009769EF">
      <w:pPr>
        <w:ind w:firstLine="708"/>
        <w:jc w:val="both"/>
        <w:rPr>
          <w:rFonts w:ascii="Times New Roman" w:hAnsi="Times New Roman" w:cs="Times New Roman"/>
          <w:bCs/>
        </w:rPr>
      </w:pPr>
      <w:r w:rsidRPr="00B474BA">
        <w:rPr>
          <w:rFonts w:ascii="Times New Roman" w:hAnsi="Times New Roman" w:cs="Times New Roman"/>
          <w:bCs/>
        </w:rPr>
        <w:t xml:space="preserve">Oproti rozpočtu verejnej správy na roky 2017 až 2019 dochádza k nárastu daňových kreditov. Aktualizácia počtu detí s nárokom na daňový bonus a makroekonomické predpoklady zvyšujú </w:t>
      </w:r>
      <w:r>
        <w:rPr>
          <w:rFonts w:ascii="Times New Roman" w:hAnsi="Times New Roman" w:cs="Times New Roman"/>
          <w:bCs/>
        </w:rPr>
        <w:t>daňový bonus</w:t>
      </w:r>
      <w:r w:rsidRPr="00B474BA">
        <w:rPr>
          <w:rFonts w:ascii="Times New Roman" w:hAnsi="Times New Roman" w:cs="Times New Roman"/>
          <w:bCs/>
        </w:rPr>
        <w:t xml:space="preserve"> na deti. Pozitívny vplyv na kumulatívnu sumu daňových kreditov má aj zavedenie </w:t>
      </w:r>
      <w:r>
        <w:rPr>
          <w:rFonts w:ascii="Times New Roman" w:hAnsi="Times New Roman" w:cs="Times New Roman"/>
          <w:bCs/>
        </w:rPr>
        <w:t>daňového bonusu</w:t>
      </w:r>
      <w:r w:rsidRPr="00B474BA">
        <w:rPr>
          <w:rFonts w:ascii="Times New Roman" w:hAnsi="Times New Roman" w:cs="Times New Roman"/>
          <w:bCs/>
        </w:rPr>
        <w:t xml:space="preserve"> na hypotéky od roku 2018.</w:t>
      </w:r>
    </w:p>
    <w:p w:rsidR="009769EF" w:rsidRPr="002B0850" w:rsidRDefault="009769EF" w:rsidP="009769EF">
      <w:pPr>
        <w:jc w:val="both"/>
        <w:rPr>
          <w:rFonts w:ascii="Times New Roman" w:hAnsi="Times New Roman" w:cs="Times New Roman"/>
          <w:bCs/>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8"/>
        <w:gridCol w:w="879"/>
        <w:gridCol w:w="879"/>
        <w:gridCol w:w="879"/>
        <w:gridCol w:w="879"/>
        <w:gridCol w:w="879"/>
        <w:gridCol w:w="879"/>
      </w:tblGrid>
      <w:tr w:rsidR="009769EF" w:rsidRPr="00300E07" w:rsidTr="00300E07">
        <w:trPr>
          <w:trHeight w:val="270"/>
        </w:trPr>
        <w:tc>
          <w:tcPr>
            <w:tcW w:w="5000" w:type="pct"/>
            <w:gridSpan w:val="7"/>
            <w:shd w:val="clear" w:color="auto" w:fill="A6A6A6" w:themeFill="background1" w:themeFillShade="A6"/>
            <w:noWrap/>
            <w:vAlign w:val="center"/>
          </w:tcPr>
          <w:p w:rsidR="009769EF" w:rsidRPr="00300E07" w:rsidRDefault="009769EF" w:rsidP="00300E07">
            <w:pPr>
              <w:rPr>
                <w:rFonts w:ascii="Times New Roman" w:hAnsi="Times New Roman" w:cs="Times New Roman"/>
                <w:b/>
                <w:bCs/>
                <w:sz w:val="14"/>
                <w:szCs w:val="14"/>
                <w:lang w:eastAsia="en-US"/>
              </w:rPr>
            </w:pPr>
            <w:r w:rsidRPr="00300E07">
              <w:rPr>
                <w:rFonts w:ascii="Times New Roman" w:hAnsi="Times New Roman" w:cs="Times New Roman"/>
                <w:b/>
                <w:bCs/>
                <w:sz w:val="14"/>
                <w:szCs w:val="14"/>
                <w:lang w:eastAsia="en-US"/>
              </w:rPr>
              <w:t>Vplyv daňových kreditov na rozpočet (ESA 2010, v tis. eur)</w:t>
            </w:r>
          </w:p>
        </w:tc>
      </w:tr>
      <w:tr w:rsidR="009769EF" w:rsidRPr="00300E07" w:rsidTr="00300E07">
        <w:trPr>
          <w:trHeight w:val="270"/>
        </w:trPr>
        <w:tc>
          <w:tcPr>
            <w:tcW w:w="2090" w:type="pct"/>
            <w:shd w:val="clear" w:color="auto" w:fill="BFBFBF" w:themeFill="background1" w:themeFillShade="BF"/>
            <w:noWrap/>
            <w:vAlign w:val="center"/>
          </w:tcPr>
          <w:p w:rsidR="009769EF" w:rsidRPr="00300E07" w:rsidRDefault="009769EF" w:rsidP="00300E07">
            <w:pPr>
              <w:ind w:firstLineChars="600" w:firstLine="843"/>
              <w:rPr>
                <w:rFonts w:ascii="Times New Roman" w:hAnsi="Times New Roman" w:cs="Times New Roman"/>
                <w:b/>
                <w:bCs/>
                <w:sz w:val="14"/>
                <w:szCs w:val="14"/>
                <w:lang w:eastAsia="sk-SK"/>
              </w:rPr>
            </w:pPr>
          </w:p>
        </w:tc>
        <w:tc>
          <w:tcPr>
            <w:tcW w:w="485" w:type="pct"/>
            <w:shd w:val="clear" w:color="auto" w:fill="BFBFBF" w:themeFill="background1" w:themeFillShade="BF"/>
            <w:noWrap/>
            <w:vAlign w:val="center"/>
          </w:tcPr>
          <w:p w:rsidR="009769EF" w:rsidRPr="00300E07" w:rsidRDefault="009769EF" w:rsidP="00300E07">
            <w:pPr>
              <w:jc w:val="center"/>
              <w:rPr>
                <w:rFonts w:ascii="Times New Roman" w:hAnsi="Times New Roman" w:cs="Times New Roman"/>
                <w:b/>
                <w:bCs/>
                <w:color w:val="000000"/>
                <w:sz w:val="14"/>
                <w:szCs w:val="14"/>
                <w:lang w:eastAsia="sk-SK"/>
              </w:rPr>
            </w:pPr>
            <w:r w:rsidRPr="00300E07">
              <w:rPr>
                <w:rFonts w:ascii="Times New Roman" w:hAnsi="Times New Roman" w:cs="Times New Roman"/>
                <w:b/>
                <w:bCs/>
                <w:color w:val="000000"/>
                <w:sz w:val="14"/>
                <w:szCs w:val="14"/>
              </w:rPr>
              <w:t>2015 S</w:t>
            </w:r>
          </w:p>
        </w:tc>
        <w:tc>
          <w:tcPr>
            <w:tcW w:w="485" w:type="pct"/>
            <w:shd w:val="clear" w:color="auto" w:fill="BFBFBF" w:themeFill="background1" w:themeFillShade="BF"/>
            <w:noWrap/>
            <w:vAlign w:val="center"/>
          </w:tcPr>
          <w:p w:rsidR="009769EF" w:rsidRPr="00300E07" w:rsidRDefault="009769EF" w:rsidP="00300E07">
            <w:pPr>
              <w:jc w:val="center"/>
              <w:rPr>
                <w:rFonts w:ascii="Times New Roman" w:hAnsi="Times New Roman" w:cs="Times New Roman"/>
                <w:b/>
                <w:bCs/>
                <w:color w:val="000000"/>
                <w:sz w:val="14"/>
                <w:szCs w:val="14"/>
              </w:rPr>
            </w:pPr>
            <w:r w:rsidRPr="00300E07">
              <w:rPr>
                <w:rFonts w:ascii="Times New Roman" w:hAnsi="Times New Roman" w:cs="Times New Roman"/>
                <w:b/>
                <w:bCs/>
                <w:color w:val="000000"/>
                <w:sz w:val="14"/>
                <w:szCs w:val="14"/>
              </w:rPr>
              <w:t>2016 S</w:t>
            </w:r>
          </w:p>
        </w:tc>
        <w:tc>
          <w:tcPr>
            <w:tcW w:w="485" w:type="pct"/>
            <w:shd w:val="clear" w:color="auto" w:fill="BFBFBF" w:themeFill="background1" w:themeFillShade="BF"/>
            <w:noWrap/>
            <w:vAlign w:val="center"/>
          </w:tcPr>
          <w:p w:rsidR="009769EF" w:rsidRPr="00300E07" w:rsidRDefault="009769EF" w:rsidP="00300E07">
            <w:pPr>
              <w:jc w:val="center"/>
              <w:rPr>
                <w:rFonts w:ascii="Times New Roman" w:hAnsi="Times New Roman" w:cs="Times New Roman"/>
                <w:b/>
                <w:bCs/>
                <w:sz w:val="14"/>
                <w:szCs w:val="14"/>
              </w:rPr>
            </w:pPr>
            <w:r w:rsidRPr="00300E07">
              <w:rPr>
                <w:rFonts w:ascii="Times New Roman" w:hAnsi="Times New Roman" w:cs="Times New Roman"/>
                <w:b/>
                <w:bCs/>
                <w:sz w:val="14"/>
                <w:szCs w:val="14"/>
              </w:rPr>
              <w:t>2017</w:t>
            </w:r>
          </w:p>
        </w:tc>
        <w:tc>
          <w:tcPr>
            <w:tcW w:w="485" w:type="pct"/>
            <w:shd w:val="clear" w:color="auto" w:fill="BFBFBF" w:themeFill="background1" w:themeFillShade="BF"/>
            <w:noWrap/>
            <w:vAlign w:val="center"/>
          </w:tcPr>
          <w:p w:rsidR="009769EF" w:rsidRPr="00300E07" w:rsidRDefault="009769EF" w:rsidP="00300E07">
            <w:pPr>
              <w:jc w:val="center"/>
              <w:rPr>
                <w:rFonts w:ascii="Times New Roman" w:hAnsi="Times New Roman" w:cs="Times New Roman"/>
                <w:b/>
                <w:bCs/>
                <w:sz w:val="14"/>
                <w:szCs w:val="14"/>
              </w:rPr>
            </w:pPr>
            <w:r w:rsidRPr="00300E07">
              <w:rPr>
                <w:rFonts w:ascii="Times New Roman" w:hAnsi="Times New Roman" w:cs="Times New Roman"/>
                <w:b/>
                <w:bCs/>
                <w:sz w:val="14"/>
                <w:szCs w:val="14"/>
              </w:rPr>
              <w:t>2018</w:t>
            </w:r>
          </w:p>
        </w:tc>
        <w:tc>
          <w:tcPr>
            <w:tcW w:w="485" w:type="pct"/>
            <w:shd w:val="clear" w:color="auto" w:fill="BFBFBF" w:themeFill="background1" w:themeFillShade="BF"/>
            <w:noWrap/>
            <w:vAlign w:val="center"/>
          </w:tcPr>
          <w:p w:rsidR="009769EF" w:rsidRPr="00300E07" w:rsidRDefault="009769EF" w:rsidP="00300E07">
            <w:pPr>
              <w:jc w:val="center"/>
              <w:rPr>
                <w:rFonts w:ascii="Times New Roman" w:hAnsi="Times New Roman" w:cs="Times New Roman"/>
                <w:b/>
                <w:bCs/>
                <w:sz w:val="14"/>
                <w:szCs w:val="14"/>
              </w:rPr>
            </w:pPr>
            <w:r w:rsidRPr="00300E07">
              <w:rPr>
                <w:rFonts w:ascii="Times New Roman" w:hAnsi="Times New Roman" w:cs="Times New Roman"/>
                <w:b/>
                <w:bCs/>
                <w:sz w:val="14"/>
                <w:szCs w:val="14"/>
              </w:rPr>
              <w:t>2019</w:t>
            </w:r>
          </w:p>
        </w:tc>
        <w:tc>
          <w:tcPr>
            <w:tcW w:w="485" w:type="pct"/>
            <w:shd w:val="clear" w:color="auto" w:fill="BFBFBF" w:themeFill="background1" w:themeFillShade="BF"/>
            <w:noWrap/>
            <w:vAlign w:val="center"/>
          </w:tcPr>
          <w:p w:rsidR="009769EF" w:rsidRPr="00300E07" w:rsidRDefault="009769EF" w:rsidP="00300E07">
            <w:pPr>
              <w:jc w:val="center"/>
              <w:rPr>
                <w:rFonts w:ascii="Times New Roman" w:hAnsi="Times New Roman" w:cs="Times New Roman"/>
                <w:b/>
                <w:bCs/>
                <w:sz w:val="14"/>
                <w:szCs w:val="14"/>
              </w:rPr>
            </w:pPr>
            <w:r w:rsidRPr="00300E07">
              <w:rPr>
                <w:rFonts w:ascii="Times New Roman" w:hAnsi="Times New Roman" w:cs="Times New Roman"/>
                <w:b/>
                <w:bCs/>
                <w:sz w:val="14"/>
                <w:szCs w:val="14"/>
              </w:rPr>
              <w:t>2020</w:t>
            </w:r>
          </w:p>
        </w:tc>
      </w:tr>
      <w:tr w:rsidR="009769EF" w:rsidRPr="00300E07" w:rsidTr="00300E07">
        <w:trPr>
          <w:trHeight w:val="270"/>
        </w:trPr>
        <w:tc>
          <w:tcPr>
            <w:tcW w:w="2090" w:type="pct"/>
            <w:shd w:val="clear" w:color="auto" w:fill="BFBFBF" w:themeFill="background1" w:themeFillShade="BF"/>
            <w:noWrap/>
            <w:vAlign w:val="center"/>
            <w:hideMark/>
          </w:tcPr>
          <w:p w:rsidR="009769EF" w:rsidRPr="00300E07" w:rsidRDefault="009769EF" w:rsidP="00300E07">
            <w:pPr>
              <w:rPr>
                <w:rFonts w:ascii="Times New Roman" w:hAnsi="Times New Roman" w:cs="Times New Roman"/>
                <w:b/>
                <w:bCs/>
                <w:sz w:val="14"/>
                <w:szCs w:val="14"/>
                <w:lang w:eastAsia="sk-SK"/>
              </w:rPr>
            </w:pPr>
            <w:r w:rsidRPr="00300E07">
              <w:rPr>
                <w:rFonts w:ascii="Times New Roman" w:hAnsi="Times New Roman" w:cs="Times New Roman"/>
                <w:b/>
                <w:bCs/>
                <w:sz w:val="14"/>
                <w:szCs w:val="14"/>
                <w:lang w:eastAsia="en-US"/>
              </w:rPr>
              <w:t>Daňové kredity spolu</w:t>
            </w:r>
          </w:p>
        </w:tc>
        <w:tc>
          <w:tcPr>
            <w:tcW w:w="485"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lang w:eastAsia="sk-SK"/>
              </w:rPr>
            </w:pPr>
            <w:r w:rsidRPr="00300E07">
              <w:rPr>
                <w:rFonts w:ascii="Times New Roman" w:hAnsi="Times New Roman" w:cs="Times New Roman"/>
                <w:b/>
                <w:bCs/>
                <w:color w:val="000000"/>
                <w:sz w:val="14"/>
                <w:szCs w:val="14"/>
              </w:rPr>
              <w:t>261 236</w:t>
            </w:r>
          </w:p>
        </w:tc>
        <w:tc>
          <w:tcPr>
            <w:tcW w:w="485"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color w:val="000000"/>
                <w:sz w:val="14"/>
                <w:szCs w:val="14"/>
              </w:rPr>
              <w:t>263 371</w:t>
            </w:r>
          </w:p>
        </w:tc>
        <w:tc>
          <w:tcPr>
            <w:tcW w:w="485"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color w:val="000000"/>
                <w:sz w:val="14"/>
                <w:szCs w:val="14"/>
              </w:rPr>
              <w:t>263 601</w:t>
            </w:r>
          </w:p>
        </w:tc>
        <w:tc>
          <w:tcPr>
            <w:tcW w:w="485"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color w:val="000000"/>
                <w:sz w:val="14"/>
                <w:szCs w:val="14"/>
              </w:rPr>
              <w:t>264 966</w:t>
            </w:r>
          </w:p>
        </w:tc>
        <w:tc>
          <w:tcPr>
            <w:tcW w:w="485"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color w:val="000000"/>
                <w:sz w:val="14"/>
                <w:szCs w:val="14"/>
              </w:rPr>
              <w:t>267 421</w:t>
            </w:r>
          </w:p>
        </w:tc>
        <w:tc>
          <w:tcPr>
            <w:tcW w:w="485" w:type="pct"/>
            <w:shd w:val="clear" w:color="auto" w:fill="BFBFBF" w:themeFill="background1" w:themeFillShade="BF"/>
            <w:noWrap/>
            <w:vAlign w:val="center"/>
          </w:tcPr>
          <w:p w:rsidR="009769EF" w:rsidRPr="00300E07" w:rsidRDefault="009769EF" w:rsidP="00300E07">
            <w:pPr>
              <w:jc w:val="right"/>
              <w:rPr>
                <w:rFonts w:ascii="Times New Roman" w:hAnsi="Times New Roman" w:cs="Times New Roman"/>
                <w:b/>
                <w:bCs/>
                <w:sz w:val="14"/>
                <w:szCs w:val="14"/>
              </w:rPr>
            </w:pPr>
            <w:r w:rsidRPr="00300E07">
              <w:rPr>
                <w:rFonts w:ascii="Times New Roman" w:hAnsi="Times New Roman" w:cs="Times New Roman"/>
                <w:b/>
                <w:bCs/>
                <w:color w:val="000000"/>
                <w:sz w:val="14"/>
                <w:szCs w:val="14"/>
              </w:rPr>
              <w:t>270 580</w:t>
            </w:r>
          </w:p>
        </w:tc>
      </w:tr>
      <w:tr w:rsidR="009769EF" w:rsidRPr="00300E07" w:rsidTr="00300E07">
        <w:trPr>
          <w:trHeight w:val="270"/>
        </w:trPr>
        <w:tc>
          <w:tcPr>
            <w:tcW w:w="2090"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sk-SK"/>
              </w:rPr>
            </w:pPr>
            <w:r w:rsidRPr="00300E07">
              <w:rPr>
                <w:rFonts w:ascii="Times New Roman" w:hAnsi="Times New Roman" w:cs="Times New Roman"/>
                <w:sz w:val="14"/>
                <w:szCs w:val="14"/>
                <w:lang w:eastAsia="en-US"/>
              </w:rPr>
              <w:t>Zamestnanecká prémia spolu</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829</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14</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r>
      <w:tr w:rsidR="009769EF" w:rsidRPr="00300E07" w:rsidTr="00300E07">
        <w:trPr>
          <w:trHeight w:val="270"/>
        </w:trPr>
        <w:tc>
          <w:tcPr>
            <w:tcW w:w="2090"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DPFO zo závislej činnosti</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826</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11</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r>
      <w:tr w:rsidR="009769EF" w:rsidRPr="00300E07" w:rsidTr="00300E07">
        <w:trPr>
          <w:trHeight w:val="270"/>
        </w:trPr>
        <w:tc>
          <w:tcPr>
            <w:tcW w:w="2090"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DPFO z podnikania</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3</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r>
      <w:tr w:rsidR="009769EF" w:rsidRPr="00300E07" w:rsidTr="00300E07">
        <w:trPr>
          <w:trHeight w:val="270"/>
        </w:trPr>
        <w:tc>
          <w:tcPr>
            <w:tcW w:w="2090" w:type="pct"/>
            <w:shd w:val="clear" w:color="auto" w:fill="auto"/>
            <w:noWrap/>
            <w:vAlign w:val="center"/>
            <w:hideMark/>
          </w:tcPr>
          <w:p w:rsidR="009769EF" w:rsidRPr="00300E07" w:rsidRDefault="009769EF" w:rsidP="00300E07">
            <w:pPr>
              <w:ind w:firstLineChars="200" w:firstLine="280"/>
              <w:rPr>
                <w:rFonts w:ascii="Times New Roman" w:hAnsi="Times New Roman" w:cs="Times New Roman"/>
                <w:sz w:val="14"/>
                <w:szCs w:val="14"/>
                <w:lang w:eastAsia="sk-SK"/>
              </w:rPr>
            </w:pPr>
            <w:r w:rsidRPr="00300E07">
              <w:rPr>
                <w:rFonts w:ascii="Times New Roman" w:hAnsi="Times New Roman" w:cs="Times New Roman"/>
                <w:sz w:val="14"/>
                <w:szCs w:val="14"/>
                <w:lang w:eastAsia="en-US"/>
              </w:rPr>
              <w:t>Daňový bonus spolu</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260 407</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263 597</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263 975</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268 577</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272 655</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277 137</w:t>
            </w:r>
          </w:p>
        </w:tc>
      </w:tr>
      <w:tr w:rsidR="009769EF" w:rsidRPr="00300E07" w:rsidTr="00300E07">
        <w:trPr>
          <w:trHeight w:val="270"/>
        </w:trPr>
        <w:tc>
          <w:tcPr>
            <w:tcW w:w="2090"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DPFO zo závislej činnosti</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220 250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223 238</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223 444</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227 710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231 168</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234 968</w:t>
            </w:r>
          </w:p>
        </w:tc>
      </w:tr>
      <w:tr w:rsidR="009769EF" w:rsidRPr="00300E07" w:rsidTr="00300E07">
        <w:trPr>
          <w:trHeight w:val="285"/>
        </w:trPr>
        <w:tc>
          <w:tcPr>
            <w:tcW w:w="2090" w:type="pct"/>
            <w:shd w:val="clear" w:color="auto" w:fill="auto"/>
            <w:noWrap/>
            <w:vAlign w:val="center"/>
            <w:hideMark/>
          </w:tcPr>
          <w:p w:rsidR="009769EF" w:rsidRPr="00300E07" w:rsidRDefault="009769EF" w:rsidP="00300E07">
            <w:pPr>
              <w:ind w:firstLineChars="400" w:firstLine="56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DPFO z podnikania</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40 157</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40 359</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40 531</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40 867</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41 487</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42 169</w:t>
            </w:r>
          </w:p>
        </w:tc>
      </w:tr>
      <w:tr w:rsidR="009769EF" w:rsidRPr="00300E07" w:rsidTr="00300E07">
        <w:trPr>
          <w:trHeight w:val="285"/>
        </w:trPr>
        <w:tc>
          <w:tcPr>
            <w:tcW w:w="2090" w:type="pct"/>
            <w:shd w:val="clear" w:color="auto" w:fill="auto"/>
            <w:noWrap/>
            <w:vAlign w:val="center"/>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Daňový bonus na hypotéky</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880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5 263</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12 198</w:t>
            </w:r>
          </w:p>
        </w:tc>
      </w:tr>
      <w:tr w:rsidR="009769EF" w:rsidRPr="00300E07" w:rsidTr="00300E07">
        <w:trPr>
          <w:trHeight w:val="285"/>
        </w:trPr>
        <w:tc>
          <w:tcPr>
            <w:tcW w:w="2090" w:type="pct"/>
            <w:shd w:val="clear" w:color="auto" w:fill="auto"/>
            <w:noWrap/>
            <w:vAlign w:val="center"/>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 xml:space="preserve">      DPFO zo závislej činnosti</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2 640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7 868</w:t>
            </w:r>
          </w:p>
        </w:tc>
      </w:tr>
      <w:tr w:rsidR="009769EF" w:rsidRPr="00300E07" w:rsidTr="00300E07">
        <w:trPr>
          <w:trHeight w:val="285"/>
        </w:trPr>
        <w:tc>
          <w:tcPr>
            <w:tcW w:w="2090" w:type="pct"/>
            <w:shd w:val="clear" w:color="auto" w:fill="auto"/>
            <w:noWrap/>
            <w:vAlign w:val="center"/>
          </w:tcPr>
          <w:p w:rsidR="009769EF" w:rsidRPr="00300E07" w:rsidRDefault="009769EF" w:rsidP="00300E07">
            <w:pPr>
              <w:ind w:firstLineChars="200" w:firstLine="280"/>
              <w:rPr>
                <w:rFonts w:ascii="Times New Roman" w:hAnsi="Times New Roman" w:cs="Times New Roman"/>
                <w:sz w:val="14"/>
                <w:szCs w:val="14"/>
                <w:lang w:eastAsia="en-US"/>
              </w:rPr>
            </w:pPr>
            <w:r w:rsidRPr="00300E07">
              <w:rPr>
                <w:rFonts w:ascii="Times New Roman" w:hAnsi="Times New Roman" w:cs="Times New Roman"/>
                <w:sz w:val="14"/>
                <w:szCs w:val="14"/>
                <w:lang w:eastAsia="en-US"/>
              </w:rPr>
              <w:t xml:space="preserve">     DPFO z podnikania</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880</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2 623</w:t>
            </w:r>
          </w:p>
        </w:tc>
        <w:tc>
          <w:tcPr>
            <w:tcW w:w="485" w:type="pct"/>
            <w:shd w:val="clear" w:color="auto" w:fill="auto"/>
            <w:noWrap/>
            <w:vAlign w:val="center"/>
          </w:tcPr>
          <w:p w:rsidR="009769EF" w:rsidRPr="00300E07" w:rsidRDefault="009769EF" w:rsidP="00300E07">
            <w:pPr>
              <w:jc w:val="right"/>
              <w:rPr>
                <w:rFonts w:ascii="Times New Roman" w:hAnsi="Times New Roman" w:cs="Times New Roman"/>
                <w:sz w:val="14"/>
                <w:szCs w:val="14"/>
              </w:rPr>
            </w:pPr>
            <w:r w:rsidRPr="00300E07">
              <w:rPr>
                <w:rFonts w:ascii="Times New Roman" w:hAnsi="Times New Roman" w:cs="Times New Roman"/>
                <w:sz w:val="14"/>
                <w:szCs w:val="14"/>
              </w:rPr>
              <w:t>4 330</w:t>
            </w:r>
          </w:p>
        </w:tc>
      </w:tr>
    </w:tbl>
    <w:p w:rsidR="009769EF" w:rsidRPr="002B0850" w:rsidRDefault="009769EF" w:rsidP="009769EF">
      <w:pPr>
        <w:jc w:val="both"/>
        <w:rPr>
          <w:rFonts w:ascii="Times New Roman" w:hAnsi="Times New Roman" w:cs="Times New Roman"/>
          <w:bCs/>
          <w:highlight w:val="yellow"/>
        </w:rPr>
      </w:pPr>
    </w:p>
    <w:p w:rsidR="009769EF" w:rsidRDefault="009769EF" w:rsidP="00300E07">
      <w:pPr>
        <w:ind w:firstLine="708"/>
        <w:jc w:val="both"/>
        <w:rPr>
          <w:rFonts w:ascii="Times New Roman" w:hAnsi="Times New Roman" w:cs="Times New Roman"/>
        </w:rPr>
      </w:pPr>
      <w:r w:rsidRPr="00E6654C">
        <w:rPr>
          <w:rFonts w:ascii="Times New Roman" w:hAnsi="Times New Roman" w:cs="Times New Roman"/>
          <w:bCs/>
        </w:rPr>
        <w:t xml:space="preserve">Nižšie sú prezentované </w:t>
      </w:r>
      <w:r w:rsidRPr="00207B1D">
        <w:rPr>
          <w:rFonts w:ascii="Times New Roman" w:hAnsi="Times New Roman" w:cs="Times New Roman"/>
          <w:bCs/>
        </w:rPr>
        <w:t>daňové a odvodové príjmy na akruálnej báze</w:t>
      </w:r>
      <w:r w:rsidRPr="00E6654C">
        <w:rPr>
          <w:rFonts w:ascii="Times New Roman" w:hAnsi="Times New Roman" w:cs="Times New Roman"/>
        </w:rPr>
        <w:t xml:space="preserve"> (metodika </w:t>
      </w:r>
      <w:r w:rsidR="00207B1D">
        <w:rPr>
          <w:rFonts w:ascii="Times New Roman" w:hAnsi="Times New Roman" w:cs="Times New Roman"/>
        </w:rPr>
        <w:br/>
      </w:r>
      <w:r w:rsidRPr="00E6654C">
        <w:rPr>
          <w:rFonts w:ascii="Times New Roman" w:hAnsi="Times New Roman" w:cs="Times New Roman"/>
        </w:rPr>
        <w:t>ESA</w:t>
      </w:r>
      <w:r w:rsidR="00207B1D">
        <w:rPr>
          <w:rFonts w:ascii="Times New Roman" w:hAnsi="Times New Roman" w:cs="Times New Roman"/>
        </w:rPr>
        <w:t xml:space="preserve"> </w:t>
      </w:r>
      <w:r w:rsidRPr="00E6654C">
        <w:rPr>
          <w:rFonts w:ascii="Times New Roman" w:hAnsi="Times New Roman" w:cs="Times New Roman"/>
        </w:rPr>
        <w:t xml:space="preserve">2010) </w:t>
      </w:r>
      <w:r w:rsidRPr="00E6654C">
        <w:rPr>
          <w:rFonts w:ascii="Times New Roman" w:hAnsi="Times New Roman" w:cs="Times New Roman"/>
          <w:bCs/>
        </w:rPr>
        <w:t>bez sankcií</w:t>
      </w:r>
      <w:r w:rsidRPr="00E6654C">
        <w:rPr>
          <w:rFonts w:ascii="Times New Roman" w:hAnsi="Times New Roman" w:cs="Times New Roman"/>
        </w:rPr>
        <w:t>.</w:t>
      </w:r>
    </w:p>
    <w:p w:rsidR="00B27CE3" w:rsidRDefault="00B27CE3" w:rsidP="00300E07">
      <w:pPr>
        <w:ind w:firstLine="708"/>
        <w:jc w:val="both"/>
        <w:rPr>
          <w:rFonts w:ascii="Times New Roman" w:hAnsi="Times New Roman" w:cs="Times New Roman"/>
        </w:rPr>
      </w:pPr>
    </w:p>
    <w:p w:rsidR="00B27CE3" w:rsidRDefault="00B27CE3" w:rsidP="00300E07">
      <w:pPr>
        <w:ind w:firstLine="708"/>
        <w:jc w:val="both"/>
        <w:rPr>
          <w:rFonts w:ascii="Times New Roman" w:hAnsi="Times New Roman" w:cs="Times New Roman"/>
        </w:rPr>
      </w:pPr>
    </w:p>
    <w:p w:rsidR="00B27CE3" w:rsidRDefault="00B27CE3" w:rsidP="00300E07">
      <w:pPr>
        <w:ind w:firstLine="708"/>
        <w:jc w:val="both"/>
        <w:rPr>
          <w:rFonts w:ascii="Times New Roman" w:hAnsi="Times New Roman" w:cs="Times New Roman"/>
        </w:rPr>
      </w:pPr>
    </w:p>
    <w:p w:rsidR="00B27CE3" w:rsidRDefault="00B27CE3" w:rsidP="00300E07">
      <w:pPr>
        <w:ind w:firstLine="708"/>
        <w:jc w:val="both"/>
        <w:rPr>
          <w:rFonts w:ascii="Times New Roman" w:hAnsi="Times New Roman" w:cs="Times New Roman"/>
        </w:rPr>
      </w:pPr>
    </w:p>
    <w:p w:rsidR="00B27CE3" w:rsidRDefault="00B27CE3" w:rsidP="00300E07">
      <w:pPr>
        <w:ind w:firstLine="708"/>
        <w:jc w:val="both"/>
        <w:rPr>
          <w:rFonts w:ascii="Times New Roman" w:hAnsi="Times New Roman" w:cs="Times New Roman"/>
        </w:rPr>
      </w:pPr>
    </w:p>
    <w:p w:rsidR="00B27CE3" w:rsidRDefault="00B27CE3" w:rsidP="00300E07">
      <w:pPr>
        <w:ind w:firstLine="708"/>
        <w:jc w:val="both"/>
        <w:rPr>
          <w:rFonts w:ascii="Times New Roman" w:hAnsi="Times New Roman" w:cs="Times New Roman"/>
        </w:rPr>
      </w:pPr>
    </w:p>
    <w:p w:rsidR="00B27CE3" w:rsidRDefault="00B27CE3" w:rsidP="00300E07">
      <w:pPr>
        <w:ind w:firstLine="708"/>
        <w:jc w:val="both"/>
        <w:rPr>
          <w:rFonts w:ascii="Times New Roman" w:hAnsi="Times New Roman" w:cs="Times New Roman"/>
        </w:rPr>
      </w:pPr>
    </w:p>
    <w:p w:rsidR="00B27CE3" w:rsidRDefault="00B27CE3" w:rsidP="00300E07">
      <w:pPr>
        <w:ind w:firstLine="708"/>
        <w:jc w:val="both"/>
        <w:rPr>
          <w:rFonts w:ascii="Times New Roman" w:hAnsi="Times New Roman" w:cs="Times New Roman"/>
        </w:rPr>
      </w:pPr>
    </w:p>
    <w:p w:rsidR="00B27CE3" w:rsidRDefault="00B27CE3" w:rsidP="00300E07">
      <w:pPr>
        <w:ind w:firstLine="708"/>
        <w:jc w:val="both"/>
        <w:rPr>
          <w:rFonts w:ascii="Times New Roman" w:hAnsi="Times New Roman" w:cs="Times New Roman"/>
        </w:rPr>
      </w:pPr>
    </w:p>
    <w:p w:rsidR="00B27CE3" w:rsidRDefault="00B27CE3" w:rsidP="00300E07">
      <w:pPr>
        <w:ind w:firstLine="708"/>
        <w:jc w:val="both"/>
        <w:rPr>
          <w:rFonts w:ascii="Times New Roman" w:hAnsi="Times New Roman" w:cs="Times New Roman"/>
        </w:rPr>
      </w:pPr>
    </w:p>
    <w:p w:rsidR="00B27CE3" w:rsidRDefault="00B27CE3" w:rsidP="00300E07">
      <w:pPr>
        <w:ind w:firstLine="708"/>
        <w:jc w:val="both"/>
        <w:rPr>
          <w:rFonts w:ascii="Times New Roman" w:hAnsi="Times New Roman" w:cs="Times New Roman"/>
        </w:rPr>
      </w:pPr>
    </w:p>
    <w:p w:rsidR="00B27CE3" w:rsidRPr="00E6654C" w:rsidRDefault="00B27CE3" w:rsidP="00300E07">
      <w:pPr>
        <w:ind w:firstLine="708"/>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904"/>
        <w:gridCol w:w="891"/>
        <w:gridCol w:w="891"/>
        <w:gridCol w:w="892"/>
        <w:gridCol w:w="894"/>
        <w:gridCol w:w="890"/>
      </w:tblGrid>
      <w:tr w:rsidR="009769EF" w:rsidRPr="002B0850" w:rsidTr="00A96A4F">
        <w:trPr>
          <w:trHeight w:val="198"/>
        </w:trPr>
        <w:tc>
          <w:tcPr>
            <w:tcW w:w="5000" w:type="pct"/>
            <w:gridSpan w:val="7"/>
            <w:shd w:val="clear" w:color="auto" w:fill="A6A6A6" w:themeFill="background1" w:themeFillShade="A6"/>
            <w:noWrap/>
            <w:vAlign w:val="center"/>
            <w:hideMark/>
          </w:tcPr>
          <w:p w:rsidR="009769EF" w:rsidRPr="00E6654C" w:rsidRDefault="009769EF" w:rsidP="00300E07">
            <w:pP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lastRenderedPageBreak/>
              <w:t>Daňové a odvodové príjmy (ESA</w:t>
            </w:r>
            <w:r w:rsidR="00207B1D">
              <w:rPr>
                <w:rFonts w:ascii="Times New Roman" w:hAnsi="Times New Roman" w:cs="Times New Roman"/>
                <w:b/>
                <w:bCs/>
                <w:sz w:val="14"/>
                <w:szCs w:val="14"/>
                <w:lang w:eastAsia="en-US"/>
              </w:rPr>
              <w:t xml:space="preserve"> </w:t>
            </w:r>
            <w:r w:rsidRPr="00E6654C">
              <w:rPr>
                <w:rFonts w:ascii="Times New Roman" w:hAnsi="Times New Roman" w:cs="Times New Roman"/>
                <w:b/>
                <w:bCs/>
                <w:sz w:val="14"/>
                <w:szCs w:val="14"/>
                <w:lang w:eastAsia="en-US"/>
              </w:rPr>
              <w:t>2010, v tis. eur)</w:t>
            </w:r>
          </w:p>
        </w:tc>
      </w:tr>
      <w:tr w:rsidR="009769EF" w:rsidRPr="002B0850" w:rsidTr="00A96A4F">
        <w:trPr>
          <w:trHeight w:val="198"/>
        </w:trPr>
        <w:tc>
          <w:tcPr>
            <w:tcW w:w="2041" w:type="pct"/>
            <w:vMerge w:val="restart"/>
            <w:shd w:val="clear" w:color="auto" w:fill="BFBFBF" w:themeFill="background1" w:themeFillShade="BF"/>
            <w:noWrap/>
            <w:vAlign w:val="center"/>
            <w:hideMark/>
          </w:tcPr>
          <w:p w:rsidR="009769EF" w:rsidRPr="00E6654C" w:rsidRDefault="009769EF" w:rsidP="00300E07">
            <w:pPr>
              <w:jc w:val="cente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 </w:t>
            </w:r>
          </w:p>
        </w:tc>
        <w:tc>
          <w:tcPr>
            <w:tcW w:w="499" w:type="pct"/>
            <w:shd w:val="clear" w:color="auto" w:fill="BFBFBF" w:themeFill="background1" w:themeFillShade="BF"/>
            <w:noWrap/>
            <w:vAlign w:val="center"/>
            <w:hideMark/>
          </w:tcPr>
          <w:p w:rsidR="009769EF" w:rsidRPr="00E6654C" w:rsidRDefault="009769EF" w:rsidP="00300E07">
            <w:pPr>
              <w:jc w:val="cente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Skutočnosť</w:t>
            </w:r>
          </w:p>
        </w:tc>
        <w:tc>
          <w:tcPr>
            <w:tcW w:w="492" w:type="pct"/>
            <w:shd w:val="clear" w:color="auto" w:fill="BFBFBF" w:themeFill="background1" w:themeFillShade="BF"/>
            <w:vAlign w:val="center"/>
          </w:tcPr>
          <w:p w:rsidR="009769EF" w:rsidRPr="00E6654C" w:rsidRDefault="009769EF" w:rsidP="00300E07">
            <w:pPr>
              <w:jc w:val="cente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Odhad</w:t>
            </w:r>
          </w:p>
        </w:tc>
        <w:tc>
          <w:tcPr>
            <w:tcW w:w="1968" w:type="pct"/>
            <w:gridSpan w:val="4"/>
            <w:shd w:val="clear" w:color="auto" w:fill="BFBFBF" w:themeFill="background1" w:themeFillShade="BF"/>
            <w:noWrap/>
            <w:vAlign w:val="center"/>
            <w:hideMark/>
          </w:tcPr>
          <w:p w:rsidR="009769EF" w:rsidRPr="00E6654C" w:rsidRDefault="009769EF" w:rsidP="00300E07">
            <w:pPr>
              <w:jc w:val="cente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Prognóza</w:t>
            </w:r>
          </w:p>
        </w:tc>
      </w:tr>
      <w:tr w:rsidR="009769EF" w:rsidRPr="002B0850" w:rsidTr="00A96A4F">
        <w:trPr>
          <w:trHeight w:val="198"/>
        </w:trPr>
        <w:tc>
          <w:tcPr>
            <w:tcW w:w="2041" w:type="pct"/>
            <w:vMerge/>
            <w:shd w:val="clear" w:color="auto" w:fill="BFBFBF" w:themeFill="background1" w:themeFillShade="BF"/>
            <w:vAlign w:val="center"/>
            <w:hideMark/>
          </w:tcPr>
          <w:p w:rsidR="009769EF" w:rsidRPr="00E6654C" w:rsidRDefault="009769EF" w:rsidP="00300E07">
            <w:pPr>
              <w:rPr>
                <w:rFonts w:ascii="Times New Roman" w:hAnsi="Times New Roman" w:cs="Times New Roman"/>
                <w:b/>
                <w:bCs/>
                <w:sz w:val="14"/>
                <w:szCs w:val="14"/>
                <w:lang w:eastAsia="en-US"/>
              </w:rPr>
            </w:pPr>
          </w:p>
        </w:tc>
        <w:tc>
          <w:tcPr>
            <w:tcW w:w="499" w:type="pct"/>
            <w:shd w:val="clear" w:color="auto" w:fill="BFBFBF" w:themeFill="background1" w:themeFillShade="BF"/>
            <w:noWrap/>
            <w:vAlign w:val="center"/>
            <w:hideMark/>
          </w:tcPr>
          <w:p w:rsidR="009769EF" w:rsidRPr="00E6654C" w:rsidRDefault="009769EF" w:rsidP="00300E07">
            <w:pPr>
              <w:jc w:val="cente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2015</w:t>
            </w:r>
          </w:p>
        </w:tc>
        <w:tc>
          <w:tcPr>
            <w:tcW w:w="492" w:type="pct"/>
            <w:shd w:val="clear" w:color="auto" w:fill="BFBFBF" w:themeFill="background1" w:themeFillShade="BF"/>
            <w:noWrap/>
            <w:vAlign w:val="center"/>
            <w:hideMark/>
          </w:tcPr>
          <w:p w:rsidR="009769EF" w:rsidRPr="00E6654C" w:rsidRDefault="009769EF" w:rsidP="00300E07">
            <w:pPr>
              <w:jc w:val="cente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2016</w:t>
            </w:r>
          </w:p>
        </w:tc>
        <w:tc>
          <w:tcPr>
            <w:tcW w:w="492" w:type="pct"/>
            <w:shd w:val="clear" w:color="auto" w:fill="BFBFBF" w:themeFill="background1" w:themeFillShade="BF"/>
            <w:noWrap/>
            <w:vAlign w:val="center"/>
            <w:hideMark/>
          </w:tcPr>
          <w:p w:rsidR="009769EF" w:rsidRPr="00E6654C" w:rsidRDefault="009769EF" w:rsidP="00300E07">
            <w:pPr>
              <w:jc w:val="cente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2017</w:t>
            </w:r>
          </w:p>
        </w:tc>
        <w:tc>
          <w:tcPr>
            <w:tcW w:w="492" w:type="pct"/>
            <w:shd w:val="clear" w:color="auto" w:fill="BFBFBF" w:themeFill="background1" w:themeFillShade="BF"/>
            <w:noWrap/>
            <w:vAlign w:val="center"/>
            <w:hideMark/>
          </w:tcPr>
          <w:p w:rsidR="009769EF" w:rsidRPr="00E6654C" w:rsidRDefault="009769EF" w:rsidP="00300E07">
            <w:pPr>
              <w:jc w:val="cente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2018</w:t>
            </w:r>
          </w:p>
        </w:tc>
        <w:tc>
          <w:tcPr>
            <w:tcW w:w="493" w:type="pct"/>
            <w:shd w:val="clear" w:color="auto" w:fill="BFBFBF" w:themeFill="background1" w:themeFillShade="BF"/>
            <w:noWrap/>
            <w:vAlign w:val="center"/>
            <w:hideMark/>
          </w:tcPr>
          <w:p w:rsidR="009769EF" w:rsidRPr="00E6654C" w:rsidRDefault="009769EF" w:rsidP="00300E07">
            <w:pPr>
              <w:jc w:val="cente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2019</w:t>
            </w:r>
          </w:p>
        </w:tc>
        <w:tc>
          <w:tcPr>
            <w:tcW w:w="491" w:type="pct"/>
            <w:shd w:val="clear" w:color="auto" w:fill="BFBFBF" w:themeFill="background1" w:themeFillShade="BF"/>
            <w:noWrap/>
            <w:vAlign w:val="center"/>
            <w:hideMark/>
          </w:tcPr>
          <w:p w:rsidR="009769EF" w:rsidRPr="00E6654C" w:rsidRDefault="009769EF" w:rsidP="00300E07">
            <w:pPr>
              <w:jc w:val="cente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2020</w:t>
            </w:r>
          </w:p>
        </w:tc>
      </w:tr>
      <w:tr w:rsidR="009769EF" w:rsidRPr="002B0850" w:rsidTr="00A96A4F">
        <w:trPr>
          <w:trHeight w:val="198"/>
        </w:trPr>
        <w:tc>
          <w:tcPr>
            <w:tcW w:w="2041" w:type="pct"/>
            <w:shd w:val="clear" w:color="auto" w:fill="BFBFBF" w:themeFill="background1" w:themeFillShade="BF"/>
            <w:noWrap/>
            <w:vAlign w:val="center"/>
            <w:hideMark/>
          </w:tcPr>
          <w:p w:rsidR="009769EF" w:rsidRPr="00E6654C" w:rsidRDefault="009769EF" w:rsidP="00300E07">
            <w:pP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Dane z príjmov, ziskov a kapitálového majetku</w:t>
            </w:r>
          </w:p>
        </w:tc>
        <w:tc>
          <w:tcPr>
            <w:tcW w:w="499"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lang w:eastAsia="sk-SK"/>
              </w:rPr>
            </w:pPr>
            <w:r w:rsidRPr="00E6654C">
              <w:rPr>
                <w:rFonts w:ascii="Times New Roman" w:hAnsi="Times New Roman" w:cs="Times New Roman"/>
                <w:b/>
                <w:bCs/>
                <w:sz w:val="14"/>
                <w:szCs w:val="14"/>
              </w:rPr>
              <w:t>5 439 696</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5 579 931</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5 600 450</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color w:val="000000"/>
                <w:sz w:val="14"/>
                <w:szCs w:val="14"/>
              </w:rPr>
            </w:pPr>
            <w:r w:rsidRPr="00E6654C">
              <w:rPr>
                <w:rFonts w:ascii="Times New Roman" w:hAnsi="Times New Roman" w:cs="Times New Roman"/>
                <w:b/>
                <w:bCs/>
                <w:sz w:val="14"/>
                <w:szCs w:val="14"/>
              </w:rPr>
              <w:t>5 938 202</w:t>
            </w:r>
          </w:p>
        </w:tc>
        <w:tc>
          <w:tcPr>
            <w:tcW w:w="493"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color w:val="000000"/>
                <w:sz w:val="14"/>
                <w:szCs w:val="14"/>
              </w:rPr>
            </w:pPr>
            <w:r w:rsidRPr="00E6654C">
              <w:rPr>
                <w:rFonts w:ascii="Times New Roman" w:hAnsi="Times New Roman" w:cs="Times New Roman"/>
                <w:b/>
                <w:bCs/>
                <w:sz w:val="14"/>
                <w:szCs w:val="14"/>
              </w:rPr>
              <w:t>6 358 736</w:t>
            </w:r>
          </w:p>
        </w:tc>
        <w:tc>
          <w:tcPr>
            <w:tcW w:w="491"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color w:val="000000"/>
                <w:sz w:val="14"/>
                <w:szCs w:val="14"/>
              </w:rPr>
            </w:pPr>
            <w:r w:rsidRPr="00E6654C">
              <w:rPr>
                <w:rFonts w:ascii="Times New Roman" w:hAnsi="Times New Roman" w:cs="Times New Roman"/>
                <w:b/>
                <w:bCs/>
                <w:sz w:val="14"/>
                <w:szCs w:val="14"/>
              </w:rPr>
              <w:t>6 785 746</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Daň z príjmov fyzických osôb</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2 463 633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2 681 602</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2 865 913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3 077 092</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3 296 297</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3 542 128</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400" w:firstLine="56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DPFO zo závislej činnosti</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2 319 125</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2 541 925</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2 734 168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2 938 936</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3 149 705</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3 386 256</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400" w:firstLine="56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DPFO z podnikania</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144 509</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139 677</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131 745</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138 156</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146 592</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155 872</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600" w:firstLine="840"/>
              <w:rPr>
                <w:rFonts w:ascii="Times New Roman" w:hAnsi="Times New Roman" w:cs="Times New Roman"/>
                <w:sz w:val="14"/>
                <w:szCs w:val="14"/>
                <w:lang w:eastAsia="en-US"/>
              </w:rPr>
            </w:pPr>
            <w:r w:rsidRPr="00E6654C">
              <w:rPr>
                <w:rFonts w:ascii="Times New Roman" w:hAnsi="Times New Roman" w:cs="Times New Roman"/>
                <w:sz w:val="14"/>
                <w:szCs w:val="14"/>
                <w:lang w:eastAsia="en-US"/>
              </w:rPr>
              <w:t xml:space="preserve">do štátneho rozpočtu </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369 015</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296 570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306 680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331 289</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331 153</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354 415</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600" w:firstLine="840"/>
              <w:rPr>
                <w:rFonts w:ascii="Times New Roman" w:hAnsi="Times New Roman" w:cs="Times New Roman"/>
                <w:sz w:val="14"/>
                <w:szCs w:val="14"/>
                <w:lang w:eastAsia="en-US"/>
              </w:rPr>
            </w:pPr>
            <w:r w:rsidRPr="00E6654C">
              <w:rPr>
                <w:rFonts w:ascii="Times New Roman" w:hAnsi="Times New Roman" w:cs="Times New Roman"/>
                <w:sz w:val="14"/>
                <w:szCs w:val="14"/>
                <w:lang w:eastAsia="en-US"/>
              </w:rPr>
              <w:t xml:space="preserve">do obcí </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1 469 263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1 669 553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1 791 463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1 922 062</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2 075 601</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2 231 399</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600" w:firstLine="840"/>
              <w:rPr>
                <w:rFonts w:ascii="Times New Roman" w:hAnsi="Times New Roman" w:cs="Times New Roman"/>
                <w:sz w:val="14"/>
                <w:szCs w:val="14"/>
                <w:lang w:eastAsia="en-US"/>
              </w:rPr>
            </w:pPr>
            <w:r w:rsidRPr="00E6654C">
              <w:rPr>
                <w:rFonts w:ascii="Times New Roman" w:hAnsi="Times New Roman" w:cs="Times New Roman"/>
                <w:sz w:val="14"/>
                <w:szCs w:val="14"/>
                <w:lang w:eastAsia="en-US"/>
              </w:rPr>
              <w:t xml:space="preserve">do VÚC </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625 356</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715 479</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767 770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823 741</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889 543</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956 314</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Daň z príjmov právnických osôb</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2 814 059</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2 719 118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2 562 973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2 618 472</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2 820 749</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2 991 152</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Daň z príjmov vyberaná zrážkou</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162 005</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179 211</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171 564</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242 638</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241 690</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252 466</w:t>
            </w:r>
          </w:p>
        </w:tc>
      </w:tr>
      <w:tr w:rsidR="009769EF" w:rsidRPr="002B0850" w:rsidTr="00A96A4F">
        <w:trPr>
          <w:trHeight w:val="198"/>
        </w:trPr>
        <w:tc>
          <w:tcPr>
            <w:tcW w:w="2041" w:type="pct"/>
            <w:shd w:val="clear" w:color="auto" w:fill="BFBFBF" w:themeFill="background1" w:themeFillShade="BF"/>
            <w:noWrap/>
            <w:vAlign w:val="center"/>
            <w:hideMark/>
          </w:tcPr>
          <w:p w:rsidR="009769EF" w:rsidRPr="00E6654C" w:rsidRDefault="009769EF" w:rsidP="00300E07">
            <w:pP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Dane na tovary a služby</w:t>
            </w:r>
          </w:p>
        </w:tc>
        <w:tc>
          <w:tcPr>
            <w:tcW w:w="499"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7 528 396</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7 592 761</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color w:val="000000"/>
                <w:sz w:val="14"/>
                <w:szCs w:val="14"/>
              </w:rPr>
            </w:pPr>
            <w:r w:rsidRPr="00E6654C">
              <w:rPr>
                <w:rFonts w:ascii="Times New Roman" w:hAnsi="Times New Roman" w:cs="Times New Roman"/>
                <w:b/>
                <w:bCs/>
                <w:sz w:val="14"/>
                <w:szCs w:val="14"/>
              </w:rPr>
              <w:t>8 151 592</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8 445 546</w:t>
            </w:r>
          </w:p>
        </w:tc>
        <w:tc>
          <w:tcPr>
            <w:tcW w:w="493"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8 841 891</w:t>
            </w:r>
          </w:p>
        </w:tc>
        <w:tc>
          <w:tcPr>
            <w:tcW w:w="491"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9 215 087</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Daň z pridanej hodnoty</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5 420 173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5 418 876</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5 880 011</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6 104 417</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6 402 027</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6 709 557</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Spotrebné dane</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2 108 224</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2 173 885</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2 271 581</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2 341 129</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2 439 864</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2 505 530</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400" w:firstLine="560"/>
              <w:rPr>
                <w:rFonts w:ascii="Times New Roman" w:hAnsi="Times New Roman" w:cs="Times New Roman"/>
                <w:sz w:val="14"/>
                <w:szCs w:val="14"/>
                <w:lang w:eastAsia="en-US"/>
              </w:rPr>
            </w:pPr>
            <w:r w:rsidRPr="00E6654C">
              <w:rPr>
                <w:rFonts w:ascii="Times New Roman" w:hAnsi="Times New Roman" w:cs="Times New Roman"/>
                <w:sz w:val="14"/>
                <w:szCs w:val="14"/>
                <w:lang w:eastAsia="en-US"/>
              </w:rPr>
              <w:t>Z minerálnych olejov</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1 139 491</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1 194 246</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1 242 068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1 292 946</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1 350 325</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1 402 695</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400" w:firstLine="560"/>
              <w:rPr>
                <w:rFonts w:ascii="Times New Roman" w:hAnsi="Times New Roman" w:cs="Times New Roman"/>
                <w:sz w:val="14"/>
                <w:szCs w:val="14"/>
                <w:lang w:eastAsia="en-US"/>
              </w:rPr>
            </w:pPr>
            <w:r w:rsidRPr="00E6654C">
              <w:rPr>
                <w:rFonts w:ascii="Times New Roman" w:hAnsi="Times New Roman" w:cs="Times New Roman"/>
                <w:sz w:val="14"/>
                <w:szCs w:val="14"/>
                <w:lang w:eastAsia="en-US"/>
              </w:rPr>
              <w:t>Z liehu</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205 242</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209 461</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214 453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218 684</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222 887</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227 220</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400" w:firstLine="560"/>
              <w:rPr>
                <w:rFonts w:ascii="Times New Roman" w:hAnsi="Times New Roman" w:cs="Times New Roman"/>
                <w:sz w:val="14"/>
                <w:szCs w:val="14"/>
                <w:lang w:eastAsia="en-US"/>
              </w:rPr>
            </w:pPr>
            <w:r w:rsidRPr="00E6654C">
              <w:rPr>
                <w:rFonts w:ascii="Times New Roman" w:hAnsi="Times New Roman" w:cs="Times New Roman"/>
                <w:sz w:val="14"/>
                <w:szCs w:val="14"/>
                <w:lang w:eastAsia="en-US"/>
              </w:rPr>
              <w:t>Z piva</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57 247</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56 718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57 333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58 417</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59 492</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60 599</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400" w:firstLine="560"/>
              <w:rPr>
                <w:rFonts w:ascii="Times New Roman" w:hAnsi="Times New Roman" w:cs="Times New Roman"/>
                <w:sz w:val="14"/>
                <w:szCs w:val="14"/>
                <w:lang w:eastAsia="en-US"/>
              </w:rPr>
            </w:pPr>
            <w:r w:rsidRPr="00E6654C">
              <w:rPr>
                <w:rFonts w:ascii="Times New Roman" w:hAnsi="Times New Roman" w:cs="Times New Roman"/>
                <w:sz w:val="14"/>
                <w:szCs w:val="14"/>
                <w:lang w:eastAsia="en-US"/>
              </w:rPr>
              <w:t>Z vína</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4 428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4 595</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4 217</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4 285</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4 353</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4 423</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400" w:firstLine="560"/>
              <w:rPr>
                <w:rFonts w:ascii="Times New Roman" w:hAnsi="Times New Roman" w:cs="Times New Roman"/>
                <w:sz w:val="14"/>
                <w:szCs w:val="14"/>
                <w:lang w:eastAsia="en-US"/>
              </w:rPr>
            </w:pPr>
            <w:r w:rsidRPr="00E6654C">
              <w:rPr>
                <w:rFonts w:ascii="Times New Roman" w:hAnsi="Times New Roman" w:cs="Times New Roman"/>
                <w:sz w:val="14"/>
                <w:szCs w:val="14"/>
                <w:lang w:eastAsia="en-US"/>
              </w:rPr>
              <w:t>Z tabaku a tabakových výrobkov</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664 901</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672 081</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715 656</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727 576</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762 522</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769 207</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400" w:firstLine="560"/>
              <w:rPr>
                <w:rFonts w:ascii="Times New Roman" w:hAnsi="Times New Roman" w:cs="Times New Roman"/>
                <w:sz w:val="14"/>
                <w:szCs w:val="14"/>
                <w:lang w:eastAsia="en-US"/>
              </w:rPr>
            </w:pPr>
            <w:r w:rsidRPr="00E6654C">
              <w:rPr>
                <w:rFonts w:ascii="Times New Roman" w:hAnsi="Times New Roman" w:cs="Times New Roman"/>
                <w:sz w:val="14"/>
                <w:szCs w:val="14"/>
                <w:lang w:eastAsia="en-US"/>
              </w:rPr>
              <w:t>Z elektrickej energie</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13 342</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11 855</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11 613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11 912</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12 212</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12 522</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400" w:firstLine="560"/>
              <w:rPr>
                <w:rFonts w:ascii="Times New Roman" w:hAnsi="Times New Roman" w:cs="Times New Roman"/>
                <w:sz w:val="14"/>
                <w:szCs w:val="14"/>
                <w:lang w:eastAsia="en-US"/>
              </w:rPr>
            </w:pPr>
            <w:r w:rsidRPr="00E6654C">
              <w:rPr>
                <w:rFonts w:ascii="Times New Roman" w:hAnsi="Times New Roman" w:cs="Times New Roman"/>
                <w:sz w:val="14"/>
                <w:szCs w:val="14"/>
                <w:lang w:eastAsia="en-US"/>
              </w:rPr>
              <w:t>Zo zemného plynu</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23 171</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24 518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26 138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26 883</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27 636</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28 416</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400" w:firstLine="560"/>
              <w:rPr>
                <w:rFonts w:ascii="Times New Roman" w:hAnsi="Times New Roman" w:cs="Times New Roman"/>
                <w:sz w:val="14"/>
                <w:szCs w:val="14"/>
                <w:lang w:eastAsia="en-US"/>
              </w:rPr>
            </w:pPr>
            <w:r w:rsidRPr="00E6654C">
              <w:rPr>
                <w:rFonts w:ascii="Times New Roman" w:hAnsi="Times New Roman" w:cs="Times New Roman"/>
                <w:sz w:val="14"/>
                <w:szCs w:val="14"/>
                <w:lang w:eastAsia="en-US"/>
              </w:rPr>
              <w:t>Z uhlia</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401</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411</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103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426</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437</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448</w:t>
            </w:r>
          </w:p>
        </w:tc>
      </w:tr>
      <w:tr w:rsidR="009769EF" w:rsidRPr="002B0850" w:rsidTr="00A96A4F">
        <w:trPr>
          <w:trHeight w:val="198"/>
        </w:trPr>
        <w:tc>
          <w:tcPr>
            <w:tcW w:w="2041" w:type="pct"/>
            <w:shd w:val="clear" w:color="auto" w:fill="BFBFBF" w:themeFill="background1" w:themeFillShade="BF"/>
            <w:noWrap/>
            <w:vAlign w:val="center"/>
            <w:hideMark/>
          </w:tcPr>
          <w:p w:rsidR="009769EF" w:rsidRPr="00E6654C" w:rsidRDefault="009769EF" w:rsidP="00300E07">
            <w:pP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Dane z medzinárodného obchodu a transakcií</w:t>
            </w:r>
          </w:p>
        </w:tc>
        <w:tc>
          <w:tcPr>
            <w:tcW w:w="499"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28 894</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28 887</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22 401</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25 259</w:t>
            </w:r>
          </w:p>
        </w:tc>
        <w:tc>
          <w:tcPr>
            <w:tcW w:w="493"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25 765</w:t>
            </w:r>
          </w:p>
        </w:tc>
        <w:tc>
          <w:tcPr>
            <w:tcW w:w="491"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26 280</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Dovozné clo</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39</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Dovozná prirážka</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Podiel na vybratých finančných prostriedkoch</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28 872</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28 845</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22 390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25 259</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25 765</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26 280</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Ostatné colné príjmy</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r>
      <w:tr w:rsidR="009769EF" w:rsidRPr="002B0850" w:rsidTr="00A96A4F">
        <w:trPr>
          <w:trHeight w:val="198"/>
        </w:trPr>
        <w:tc>
          <w:tcPr>
            <w:tcW w:w="2041" w:type="pct"/>
            <w:shd w:val="clear" w:color="auto" w:fill="BFBFBF" w:themeFill="background1" w:themeFillShade="BF"/>
            <w:noWrap/>
            <w:vAlign w:val="center"/>
            <w:hideMark/>
          </w:tcPr>
          <w:p w:rsidR="009769EF" w:rsidRPr="00E6654C" w:rsidRDefault="009769EF" w:rsidP="00300E07">
            <w:pP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Miestne dane</w:t>
            </w:r>
          </w:p>
        </w:tc>
        <w:tc>
          <w:tcPr>
            <w:tcW w:w="499"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519 299</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522 110</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color w:val="000000"/>
                <w:sz w:val="14"/>
                <w:szCs w:val="14"/>
              </w:rPr>
            </w:pPr>
            <w:r w:rsidRPr="00E6654C">
              <w:rPr>
                <w:rFonts w:ascii="Times New Roman" w:hAnsi="Times New Roman" w:cs="Times New Roman"/>
                <w:b/>
                <w:bCs/>
                <w:sz w:val="14"/>
                <w:szCs w:val="14"/>
              </w:rPr>
              <w:t>555 242</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572 745</w:t>
            </w:r>
          </w:p>
        </w:tc>
        <w:tc>
          <w:tcPr>
            <w:tcW w:w="493"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593 055</w:t>
            </w:r>
          </w:p>
        </w:tc>
        <w:tc>
          <w:tcPr>
            <w:tcW w:w="491"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613 826</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Daň z nehnuteľností</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324 053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336 359</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359 021</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365 169</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372 107</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379 549</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Dane za špecifické služby</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181 460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185 751</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196 221</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207 576</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220 948</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234 277</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Daň z motorových vozidiel (do r. 2014 príjmom VÚC)</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13 786</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r>
      <w:tr w:rsidR="009769EF" w:rsidRPr="002B0850" w:rsidTr="00A96A4F">
        <w:trPr>
          <w:trHeight w:val="198"/>
        </w:trPr>
        <w:tc>
          <w:tcPr>
            <w:tcW w:w="2041" w:type="pct"/>
            <w:shd w:val="clear" w:color="auto" w:fill="BFBFBF" w:themeFill="background1" w:themeFillShade="BF"/>
            <w:noWrap/>
            <w:vAlign w:val="center"/>
            <w:hideMark/>
          </w:tcPr>
          <w:p w:rsidR="009769EF" w:rsidRPr="00E6654C" w:rsidRDefault="009769EF" w:rsidP="00300E07">
            <w:pP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Ostatné dane</w:t>
            </w:r>
          </w:p>
        </w:tc>
        <w:tc>
          <w:tcPr>
            <w:tcW w:w="499"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418 217</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437 330</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550 274</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color w:val="000000"/>
                <w:sz w:val="14"/>
                <w:szCs w:val="14"/>
              </w:rPr>
            </w:pPr>
            <w:r w:rsidRPr="00E6654C">
              <w:rPr>
                <w:rFonts w:ascii="Times New Roman" w:hAnsi="Times New Roman" w:cs="Times New Roman"/>
                <w:b/>
                <w:bCs/>
                <w:sz w:val="14"/>
                <w:szCs w:val="14"/>
              </w:rPr>
              <w:t>572 912</w:t>
            </w:r>
          </w:p>
        </w:tc>
        <w:tc>
          <w:tcPr>
            <w:tcW w:w="493"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color w:val="000000"/>
                <w:sz w:val="14"/>
                <w:szCs w:val="14"/>
              </w:rPr>
            </w:pPr>
            <w:r w:rsidRPr="00E6654C">
              <w:rPr>
                <w:rFonts w:ascii="Times New Roman" w:hAnsi="Times New Roman" w:cs="Times New Roman"/>
                <w:b/>
                <w:bCs/>
                <w:sz w:val="14"/>
                <w:szCs w:val="14"/>
              </w:rPr>
              <w:t>551 780</w:t>
            </w:r>
          </w:p>
        </w:tc>
        <w:tc>
          <w:tcPr>
            <w:tcW w:w="491"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color w:val="000000"/>
                <w:sz w:val="14"/>
                <w:szCs w:val="14"/>
              </w:rPr>
            </w:pPr>
            <w:r w:rsidRPr="00E6654C">
              <w:rPr>
                <w:rFonts w:ascii="Times New Roman" w:hAnsi="Times New Roman" w:cs="Times New Roman"/>
                <w:b/>
                <w:bCs/>
                <w:sz w:val="14"/>
                <w:szCs w:val="14"/>
              </w:rPr>
              <w:t>575 231</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Daň z emisných kvót</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r>
      <w:tr w:rsidR="009769EF" w:rsidRPr="002B0850" w:rsidTr="00A96A4F">
        <w:trPr>
          <w:trHeight w:val="198"/>
        </w:trPr>
        <w:tc>
          <w:tcPr>
            <w:tcW w:w="2041" w:type="pct"/>
            <w:shd w:val="clear" w:color="auto" w:fill="auto"/>
            <w:noWrap/>
            <w:vAlign w:val="center"/>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Daň z motorových vozidiel (od r. 2015 príjmom ŠR)</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128 317</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145 256</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151 789</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160 573</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170 918</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181 228</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Osobitný odvod vybraných finančných inštitúcií</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110 289</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119 772</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126 022</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133 646</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141 552</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150 663</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Osobitný odvod z podnikania v regulovaných odvetviach</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102 758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92 706</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170 786</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175 653</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color w:val="000000"/>
                <w:sz w:val="14"/>
                <w:szCs w:val="14"/>
              </w:rPr>
              <w:t>136 245</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color w:val="000000"/>
                <w:sz w:val="14"/>
                <w:szCs w:val="14"/>
              </w:rPr>
            </w:pPr>
            <w:r w:rsidRPr="00E6654C">
              <w:rPr>
                <w:rFonts w:ascii="Times New Roman" w:hAnsi="Times New Roman" w:cs="Times New Roman"/>
                <w:sz w:val="14"/>
                <w:szCs w:val="14"/>
              </w:rPr>
              <w:t>140 275</w:t>
            </w:r>
          </w:p>
        </w:tc>
      </w:tr>
      <w:tr w:rsidR="009769EF" w:rsidRPr="002B0850" w:rsidTr="00A96A4F">
        <w:trPr>
          <w:trHeight w:val="198"/>
        </w:trPr>
        <w:tc>
          <w:tcPr>
            <w:tcW w:w="2041" w:type="pct"/>
            <w:shd w:val="clear" w:color="auto" w:fill="auto"/>
            <w:noWrap/>
            <w:vAlign w:val="center"/>
            <w:hideMark/>
          </w:tcPr>
          <w:p w:rsidR="009769EF" w:rsidRPr="00E6654C" w:rsidRDefault="009769EF" w:rsidP="00207B1D">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 xml:space="preserve">Úhrada za služby verejnosti poskytované </w:t>
            </w:r>
            <w:r w:rsidR="00207B1D">
              <w:rPr>
                <w:rFonts w:ascii="Times New Roman" w:hAnsi="Times New Roman" w:cs="Times New Roman"/>
                <w:sz w:val="14"/>
                <w:szCs w:val="14"/>
                <w:lang w:eastAsia="en-US"/>
              </w:rPr>
              <w:t>RTVS</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75 183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78 276</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81 665</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81 665</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81 665</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81 665</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Daň z úhrad za dobývací priestor</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566</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574</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600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600</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600</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600</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600" w:firstLine="840"/>
              <w:rPr>
                <w:rFonts w:ascii="Times New Roman" w:hAnsi="Times New Roman" w:cs="Times New Roman"/>
                <w:sz w:val="14"/>
                <w:szCs w:val="14"/>
                <w:lang w:eastAsia="en-US"/>
              </w:rPr>
            </w:pPr>
            <w:r w:rsidRPr="00E6654C">
              <w:rPr>
                <w:rFonts w:ascii="Times New Roman" w:hAnsi="Times New Roman" w:cs="Times New Roman"/>
                <w:sz w:val="14"/>
                <w:szCs w:val="14"/>
                <w:lang w:eastAsia="en-US"/>
              </w:rPr>
              <w:t xml:space="preserve">do štátneho rozpočtu </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98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98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102</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102</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102</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102</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600" w:firstLine="840"/>
              <w:rPr>
                <w:rFonts w:ascii="Times New Roman" w:hAnsi="Times New Roman" w:cs="Times New Roman"/>
                <w:sz w:val="14"/>
                <w:szCs w:val="14"/>
                <w:lang w:eastAsia="en-US"/>
              </w:rPr>
            </w:pPr>
            <w:r w:rsidRPr="00E6654C">
              <w:rPr>
                <w:rFonts w:ascii="Times New Roman" w:hAnsi="Times New Roman" w:cs="Times New Roman"/>
                <w:sz w:val="14"/>
                <w:szCs w:val="14"/>
                <w:lang w:eastAsia="en-US"/>
              </w:rPr>
              <w:t xml:space="preserve">do obcí </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468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476</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498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498</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498</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498</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Daň z úhrad za uskladňovanie plynov alebo kvapalín</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1 018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703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1 095</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775</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800</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800</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Majetkové dane (do ŠR)</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-9</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26</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17</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Iné dane</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94</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17</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18 300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20 000</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20 000</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20 000</w:t>
            </w:r>
          </w:p>
        </w:tc>
      </w:tr>
      <w:tr w:rsidR="009769EF" w:rsidRPr="002B0850" w:rsidTr="00A96A4F">
        <w:trPr>
          <w:trHeight w:val="198"/>
        </w:trPr>
        <w:tc>
          <w:tcPr>
            <w:tcW w:w="2041" w:type="pct"/>
            <w:shd w:val="clear" w:color="auto" w:fill="auto"/>
            <w:noWrap/>
            <w:vAlign w:val="center"/>
          </w:tcPr>
          <w:p w:rsidR="009769EF" w:rsidRPr="00E6654C" w:rsidRDefault="009769EF" w:rsidP="00300E07">
            <w:pPr>
              <w:ind w:firstLineChars="600" w:firstLine="840"/>
              <w:rPr>
                <w:rFonts w:ascii="Times New Roman" w:hAnsi="Times New Roman" w:cs="Times New Roman"/>
                <w:sz w:val="14"/>
                <w:szCs w:val="14"/>
                <w:lang w:eastAsia="en-US"/>
              </w:rPr>
            </w:pPr>
            <w:r w:rsidRPr="00E6654C">
              <w:rPr>
                <w:rFonts w:ascii="Times New Roman" w:hAnsi="Times New Roman" w:cs="Times New Roman"/>
                <w:sz w:val="14"/>
                <w:szCs w:val="14"/>
                <w:lang w:eastAsia="en-US"/>
              </w:rPr>
              <w:t xml:space="preserve">do štátneho rozpočtu </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-19</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-72</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18 300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20 000</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20 000</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20 000</w:t>
            </w:r>
          </w:p>
        </w:tc>
      </w:tr>
      <w:tr w:rsidR="009769EF" w:rsidRPr="002B0850" w:rsidTr="00A96A4F">
        <w:trPr>
          <w:trHeight w:val="198"/>
        </w:trPr>
        <w:tc>
          <w:tcPr>
            <w:tcW w:w="2041" w:type="pct"/>
            <w:shd w:val="clear" w:color="auto" w:fill="auto"/>
            <w:noWrap/>
            <w:vAlign w:val="center"/>
          </w:tcPr>
          <w:p w:rsidR="009769EF" w:rsidRPr="00E6654C" w:rsidRDefault="009769EF" w:rsidP="00300E07">
            <w:pPr>
              <w:ind w:firstLineChars="600" w:firstLine="840"/>
              <w:rPr>
                <w:rFonts w:ascii="Times New Roman" w:hAnsi="Times New Roman" w:cs="Times New Roman"/>
                <w:sz w:val="14"/>
                <w:szCs w:val="14"/>
                <w:lang w:eastAsia="en-US"/>
              </w:rPr>
            </w:pPr>
            <w:r w:rsidRPr="00E6654C">
              <w:rPr>
                <w:rFonts w:ascii="Times New Roman" w:hAnsi="Times New Roman" w:cs="Times New Roman"/>
                <w:sz w:val="14"/>
                <w:szCs w:val="14"/>
                <w:lang w:eastAsia="en-US"/>
              </w:rPr>
              <w:t xml:space="preserve">do obcí </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113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89</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r>
      <w:tr w:rsidR="009769EF" w:rsidRPr="002B0850" w:rsidTr="00A96A4F">
        <w:trPr>
          <w:trHeight w:val="198"/>
        </w:trPr>
        <w:tc>
          <w:tcPr>
            <w:tcW w:w="2041" w:type="pct"/>
            <w:shd w:val="clear" w:color="auto" w:fill="BFBFBF" w:themeFill="background1" w:themeFillShade="BF"/>
            <w:noWrap/>
            <w:vAlign w:val="center"/>
            <w:hideMark/>
          </w:tcPr>
          <w:p w:rsidR="009769EF" w:rsidRPr="00E6654C" w:rsidRDefault="009769EF" w:rsidP="00300E07">
            <w:pP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Fondy sociálneho a zdravotného poistenia (FSZP)</w:t>
            </w:r>
          </w:p>
        </w:tc>
        <w:tc>
          <w:tcPr>
            <w:tcW w:w="499"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9 055 882</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9 565 583</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10 391 674</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11 011 236</w:t>
            </w:r>
          </w:p>
        </w:tc>
        <w:tc>
          <w:tcPr>
            <w:tcW w:w="493"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11 660 816</w:t>
            </w:r>
          </w:p>
        </w:tc>
        <w:tc>
          <w:tcPr>
            <w:tcW w:w="491"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12 380 199</w:t>
            </w:r>
          </w:p>
        </w:tc>
      </w:tr>
      <w:tr w:rsidR="009769EF" w:rsidRPr="002B0850" w:rsidTr="00A96A4F">
        <w:trPr>
          <w:trHeight w:val="198"/>
        </w:trPr>
        <w:tc>
          <w:tcPr>
            <w:tcW w:w="2041" w:type="pct"/>
            <w:shd w:val="clear" w:color="auto" w:fill="BFBFBF" w:themeFill="background1" w:themeFillShade="BF"/>
            <w:noWrap/>
            <w:vAlign w:val="center"/>
            <w:hideMark/>
          </w:tcPr>
          <w:p w:rsidR="009769EF" w:rsidRPr="00E6654C" w:rsidRDefault="009769EF" w:rsidP="00300E07">
            <w:pPr>
              <w:ind w:firstLineChars="200" w:firstLine="281"/>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Sociálna poisťovňa</w:t>
            </w:r>
          </w:p>
        </w:tc>
        <w:tc>
          <w:tcPr>
            <w:tcW w:w="499"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6 167 636</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6 584 340</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7 061 649</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7 458 232</w:t>
            </w:r>
          </w:p>
        </w:tc>
        <w:tc>
          <w:tcPr>
            <w:tcW w:w="493"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color w:val="000000"/>
                <w:sz w:val="14"/>
                <w:szCs w:val="14"/>
              </w:rPr>
              <w:t>7 862 427</w:t>
            </w:r>
          </w:p>
        </w:tc>
        <w:tc>
          <w:tcPr>
            <w:tcW w:w="491"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color w:val="000000"/>
                <w:sz w:val="14"/>
                <w:szCs w:val="14"/>
              </w:rPr>
              <w:t>8 315 471</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400" w:firstLine="560"/>
              <w:rPr>
                <w:rFonts w:ascii="Times New Roman" w:hAnsi="Times New Roman" w:cs="Times New Roman"/>
                <w:sz w:val="14"/>
                <w:szCs w:val="14"/>
                <w:lang w:eastAsia="en-US"/>
              </w:rPr>
            </w:pPr>
            <w:r w:rsidRPr="00E6654C">
              <w:rPr>
                <w:rFonts w:ascii="Times New Roman" w:hAnsi="Times New Roman" w:cs="Times New Roman"/>
                <w:sz w:val="14"/>
                <w:szCs w:val="14"/>
                <w:lang w:eastAsia="en-US"/>
              </w:rPr>
              <w:t>Ekonomicky aktívne obyvateľstvo + dlžné</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6 167 636</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sz w:val="14"/>
                <w:szCs w:val="14"/>
              </w:rPr>
              <w:t>6 584 340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sz w:val="14"/>
                <w:szCs w:val="14"/>
              </w:rPr>
              <w:t>7 061 649</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7 458 232</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7 862 427</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8 315 471</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400" w:firstLine="560"/>
              <w:rPr>
                <w:rFonts w:ascii="Times New Roman" w:hAnsi="Times New Roman" w:cs="Times New Roman"/>
                <w:sz w:val="14"/>
                <w:szCs w:val="14"/>
                <w:lang w:eastAsia="en-US"/>
              </w:rPr>
            </w:pPr>
            <w:r w:rsidRPr="00E6654C">
              <w:rPr>
                <w:rFonts w:ascii="Times New Roman" w:hAnsi="Times New Roman" w:cs="Times New Roman"/>
                <w:sz w:val="14"/>
                <w:szCs w:val="14"/>
                <w:lang w:eastAsia="en-US"/>
              </w:rPr>
              <w:t xml:space="preserve"> - EAO</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5 946 835</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6 378 748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6 853 221</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7 248 739</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7 652 109</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8 103 951</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400" w:firstLine="560"/>
              <w:rPr>
                <w:rFonts w:ascii="Times New Roman" w:hAnsi="Times New Roman" w:cs="Times New Roman"/>
                <w:sz w:val="14"/>
                <w:szCs w:val="14"/>
                <w:lang w:eastAsia="en-US"/>
              </w:rPr>
            </w:pPr>
            <w:r w:rsidRPr="00E6654C">
              <w:rPr>
                <w:rFonts w:ascii="Times New Roman" w:hAnsi="Times New Roman" w:cs="Times New Roman"/>
                <w:sz w:val="14"/>
                <w:szCs w:val="14"/>
                <w:lang w:eastAsia="en-US"/>
              </w:rPr>
              <w:t xml:space="preserve"> - dlžné</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220 801</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205 592</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208 428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209 493</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210 318</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211 520</w:t>
            </w:r>
          </w:p>
        </w:tc>
      </w:tr>
      <w:tr w:rsidR="009769EF" w:rsidRPr="002B0850" w:rsidTr="00A96A4F">
        <w:trPr>
          <w:trHeight w:val="198"/>
        </w:trPr>
        <w:tc>
          <w:tcPr>
            <w:tcW w:w="2041" w:type="pct"/>
            <w:shd w:val="clear" w:color="auto" w:fill="BFBFBF" w:themeFill="background1" w:themeFillShade="BF"/>
            <w:noWrap/>
            <w:vAlign w:val="center"/>
            <w:hideMark/>
          </w:tcPr>
          <w:p w:rsidR="009769EF" w:rsidRPr="00E6654C" w:rsidRDefault="009769EF" w:rsidP="00300E07">
            <w:pPr>
              <w:ind w:firstLineChars="200" w:firstLine="281"/>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Zdravotné poisťovne</w:t>
            </w:r>
          </w:p>
        </w:tc>
        <w:tc>
          <w:tcPr>
            <w:tcW w:w="499"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2 888 246</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2 981 243</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3 330 025</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3 553 004</w:t>
            </w:r>
          </w:p>
        </w:tc>
        <w:tc>
          <w:tcPr>
            <w:tcW w:w="493"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3 798 389</w:t>
            </w:r>
          </w:p>
        </w:tc>
        <w:tc>
          <w:tcPr>
            <w:tcW w:w="491"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4 064 728</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400" w:firstLine="560"/>
              <w:rPr>
                <w:rFonts w:ascii="Times New Roman" w:hAnsi="Times New Roman" w:cs="Times New Roman"/>
                <w:sz w:val="14"/>
                <w:szCs w:val="14"/>
                <w:lang w:eastAsia="en-US"/>
              </w:rPr>
            </w:pPr>
            <w:r w:rsidRPr="00E6654C">
              <w:rPr>
                <w:rFonts w:ascii="Times New Roman" w:hAnsi="Times New Roman" w:cs="Times New Roman"/>
                <w:sz w:val="14"/>
                <w:szCs w:val="14"/>
                <w:lang w:eastAsia="en-US"/>
              </w:rPr>
              <w:t>Ekonomicky aktívne obyvateľstvo + dlžné</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2 888 246</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2 981 243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3 330 025</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3 553 004</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3 798 389</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4 064 728</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600" w:firstLine="840"/>
              <w:rPr>
                <w:rFonts w:ascii="Times New Roman" w:hAnsi="Times New Roman" w:cs="Times New Roman"/>
                <w:sz w:val="14"/>
                <w:szCs w:val="14"/>
                <w:lang w:eastAsia="en-US"/>
              </w:rPr>
            </w:pPr>
            <w:r w:rsidRPr="00E6654C">
              <w:rPr>
                <w:rFonts w:ascii="Times New Roman" w:hAnsi="Times New Roman" w:cs="Times New Roman"/>
                <w:sz w:val="14"/>
                <w:szCs w:val="14"/>
                <w:lang w:eastAsia="en-US"/>
              </w:rPr>
              <w:t>z toho: ročné zúčtovanie</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52 764</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-69 361</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-67 931</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-64 064</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color w:val="000000"/>
                <w:sz w:val="14"/>
                <w:szCs w:val="14"/>
              </w:rPr>
              <w:t>-41 541</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-26 509</w:t>
            </w:r>
          </w:p>
        </w:tc>
      </w:tr>
      <w:tr w:rsidR="009769EF" w:rsidRPr="002B0850" w:rsidTr="00A96A4F">
        <w:trPr>
          <w:trHeight w:val="198"/>
        </w:trPr>
        <w:tc>
          <w:tcPr>
            <w:tcW w:w="2041" w:type="pct"/>
            <w:shd w:val="clear" w:color="auto" w:fill="BFBFBF" w:themeFill="background1" w:themeFillShade="BF"/>
            <w:noWrap/>
            <w:vAlign w:val="center"/>
            <w:hideMark/>
          </w:tcPr>
          <w:p w:rsidR="009769EF" w:rsidRPr="00E6654C" w:rsidRDefault="009769EF" w:rsidP="00300E07">
            <w:pP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Daňové príjmy VS spolu</w:t>
            </w:r>
          </w:p>
        </w:tc>
        <w:tc>
          <w:tcPr>
            <w:tcW w:w="499"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13 934 502</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14 161 019</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14 879 959</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15 554 664</w:t>
            </w:r>
          </w:p>
        </w:tc>
        <w:tc>
          <w:tcPr>
            <w:tcW w:w="493"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16 371 227</w:t>
            </w:r>
          </w:p>
        </w:tc>
        <w:tc>
          <w:tcPr>
            <w:tcW w:w="491"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17 216 170</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Daňové príjmy ŠR</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11 030 756</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10 961 855</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11 385 418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11 843 879</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12 452 268</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13 040 730</w:t>
            </w:r>
          </w:p>
        </w:tc>
      </w:tr>
      <w:tr w:rsidR="009769EF" w:rsidRPr="002B0850" w:rsidTr="00A96A4F">
        <w:trPr>
          <w:trHeight w:val="198"/>
        </w:trPr>
        <w:tc>
          <w:tcPr>
            <w:tcW w:w="2041" w:type="pct"/>
            <w:shd w:val="clear" w:color="auto" w:fill="auto"/>
            <w:noWrap/>
            <w:vAlign w:val="center"/>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Mimorozpočtový účet ŠR</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9 365</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-17 224</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0</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Štátne finančné aktíva</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203 682</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229 702</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296 808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309 299</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277 797</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290 938</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 xml:space="preserve">Daňové príjmy obcí </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1 975 356</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2 192 228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2 347 203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2 495 305</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2 669 154</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2 845 723</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Daňové príjmy VÚC</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639 142</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715 479</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767 770</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823 741</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889 543</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956 314</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Daňové príjmy Rozhlasu a televízie Slovenska (RT</w:t>
            </w:r>
            <w:r w:rsidR="00207B1D">
              <w:rPr>
                <w:rFonts w:ascii="Times New Roman" w:hAnsi="Times New Roman" w:cs="Times New Roman"/>
                <w:sz w:val="14"/>
                <w:szCs w:val="14"/>
                <w:lang w:eastAsia="en-US"/>
              </w:rPr>
              <w:t>V</w:t>
            </w:r>
            <w:r w:rsidRPr="00E6654C">
              <w:rPr>
                <w:rFonts w:ascii="Times New Roman" w:hAnsi="Times New Roman" w:cs="Times New Roman"/>
                <w:sz w:val="14"/>
                <w:szCs w:val="14"/>
                <w:lang w:eastAsia="en-US"/>
              </w:rPr>
              <w:t>S)</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lang w:eastAsia="sk-SK"/>
              </w:rPr>
            </w:pPr>
            <w:r w:rsidRPr="00E6654C">
              <w:rPr>
                <w:rFonts w:ascii="Times New Roman" w:hAnsi="Times New Roman" w:cs="Times New Roman"/>
                <w:sz w:val="14"/>
                <w:szCs w:val="14"/>
              </w:rPr>
              <w:t>75 183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78 276</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81 665</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81 665</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81 665</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81 665</w:t>
            </w:r>
          </w:p>
        </w:tc>
      </w:tr>
      <w:tr w:rsidR="009769EF" w:rsidRPr="002B0850" w:rsidTr="00A96A4F">
        <w:trPr>
          <w:trHeight w:val="198"/>
        </w:trPr>
        <w:tc>
          <w:tcPr>
            <w:tcW w:w="2041" w:type="pct"/>
            <w:shd w:val="clear" w:color="auto" w:fill="auto"/>
            <w:noWrap/>
            <w:vAlign w:val="center"/>
            <w:hideMark/>
          </w:tcPr>
          <w:p w:rsidR="009769EF" w:rsidRPr="00E6654C" w:rsidRDefault="009769EF" w:rsidP="00300E07">
            <w:pPr>
              <w:ind w:firstLineChars="200" w:firstLine="280"/>
              <w:rPr>
                <w:rFonts w:ascii="Times New Roman" w:hAnsi="Times New Roman" w:cs="Times New Roman"/>
                <w:sz w:val="14"/>
                <w:szCs w:val="14"/>
                <w:lang w:eastAsia="en-US"/>
              </w:rPr>
            </w:pPr>
            <w:r w:rsidRPr="00E6654C">
              <w:rPr>
                <w:rFonts w:ascii="Times New Roman" w:hAnsi="Times New Roman" w:cs="Times New Roman"/>
                <w:sz w:val="14"/>
                <w:szCs w:val="14"/>
                <w:lang w:eastAsia="en-US"/>
              </w:rPr>
              <w:t>Environmentálny fond</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1 018</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703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1 095</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775</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800</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800</w:t>
            </w:r>
          </w:p>
        </w:tc>
      </w:tr>
      <w:tr w:rsidR="009769EF" w:rsidRPr="002B0850" w:rsidTr="00A96A4F">
        <w:trPr>
          <w:trHeight w:val="198"/>
        </w:trPr>
        <w:tc>
          <w:tcPr>
            <w:tcW w:w="2041" w:type="pct"/>
            <w:shd w:val="clear" w:color="auto" w:fill="auto"/>
            <w:vAlign w:val="center"/>
            <w:hideMark/>
          </w:tcPr>
          <w:p w:rsidR="009769EF" w:rsidRPr="00E6654C" w:rsidRDefault="009769EF" w:rsidP="00300E07">
            <w:pP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FSZP spolu</w:t>
            </w:r>
          </w:p>
        </w:tc>
        <w:tc>
          <w:tcPr>
            <w:tcW w:w="499" w:type="pct"/>
            <w:shd w:val="clear" w:color="auto" w:fill="auto"/>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9 055 882</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9 565 583</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10 391 674</w:t>
            </w:r>
          </w:p>
        </w:tc>
        <w:tc>
          <w:tcPr>
            <w:tcW w:w="492" w:type="pct"/>
            <w:shd w:val="clear" w:color="auto" w:fill="auto"/>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11 011 236</w:t>
            </w:r>
          </w:p>
        </w:tc>
        <w:tc>
          <w:tcPr>
            <w:tcW w:w="493" w:type="pct"/>
            <w:shd w:val="clear" w:color="auto" w:fill="auto"/>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11 660 816</w:t>
            </w:r>
          </w:p>
        </w:tc>
        <w:tc>
          <w:tcPr>
            <w:tcW w:w="491" w:type="pct"/>
            <w:shd w:val="clear" w:color="auto" w:fill="auto"/>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12 380 199</w:t>
            </w:r>
          </w:p>
        </w:tc>
      </w:tr>
      <w:tr w:rsidR="009769EF" w:rsidRPr="002B0850" w:rsidTr="00A96A4F">
        <w:trPr>
          <w:trHeight w:val="198"/>
        </w:trPr>
        <w:tc>
          <w:tcPr>
            <w:tcW w:w="2041" w:type="pct"/>
            <w:shd w:val="clear" w:color="auto" w:fill="BFBFBF" w:themeFill="background1" w:themeFillShade="BF"/>
            <w:vAlign w:val="center"/>
            <w:hideMark/>
          </w:tcPr>
          <w:p w:rsidR="009769EF" w:rsidRPr="00E6654C" w:rsidRDefault="009769EF" w:rsidP="00300E07">
            <w:pPr>
              <w:rPr>
                <w:rFonts w:ascii="Times New Roman" w:hAnsi="Times New Roman" w:cs="Times New Roman"/>
                <w:b/>
                <w:bCs/>
                <w:sz w:val="14"/>
                <w:szCs w:val="14"/>
                <w:lang w:eastAsia="en-US"/>
              </w:rPr>
            </w:pPr>
            <w:r w:rsidRPr="00E6654C">
              <w:rPr>
                <w:rFonts w:ascii="Times New Roman" w:hAnsi="Times New Roman" w:cs="Times New Roman"/>
                <w:b/>
                <w:bCs/>
                <w:sz w:val="14"/>
                <w:szCs w:val="14"/>
                <w:lang w:eastAsia="en-US"/>
              </w:rPr>
              <w:t>Daňové príjmy a príjmy FSZP spolu</w:t>
            </w:r>
          </w:p>
        </w:tc>
        <w:tc>
          <w:tcPr>
            <w:tcW w:w="499"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22 990 384</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23 726 602</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25 271 633</w:t>
            </w:r>
          </w:p>
        </w:tc>
        <w:tc>
          <w:tcPr>
            <w:tcW w:w="492"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26 565 900</w:t>
            </w:r>
          </w:p>
        </w:tc>
        <w:tc>
          <w:tcPr>
            <w:tcW w:w="493"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28 032 043</w:t>
            </w:r>
          </w:p>
        </w:tc>
        <w:tc>
          <w:tcPr>
            <w:tcW w:w="491" w:type="pct"/>
            <w:shd w:val="clear" w:color="auto" w:fill="BFBFBF" w:themeFill="background1" w:themeFillShade="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29 596 369</w:t>
            </w:r>
          </w:p>
        </w:tc>
      </w:tr>
    </w:tbl>
    <w:p w:rsidR="009769EF" w:rsidRPr="002B0850" w:rsidRDefault="009769EF" w:rsidP="009769EF">
      <w:pPr>
        <w:jc w:val="both"/>
        <w:rPr>
          <w:rFonts w:ascii="Times New Roman" w:hAnsi="Times New Roman" w:cs="Times New Roman"/>
          <w:color w:val="FF0000"/>
          <w:highlight w:val="yellow"/>
        </w:rPr>
      </w:pPr>
    </w:p>
    <w:p w:rsidR="00AE239D" w:rsidRPr="00773579" w:rsidRDefault="00AE239D" w:rsidP="00AE239D">
      <w:pPr>
        <w:keepNext/>
        <w:spacing w:before="240" w:after="60"/>
        <w:jc w:val="both"/>
        <w:outlineLvl w:val="1"/>
        <w:rPr>
          <w:rFonts w:ascii="Times New Roman" w:hAnsi="Times New Roman" w:cs="Times New Roman"/>
          <w:b/>
          <w:bCs/>
        </w:rPr>
      </w:pPr>
      <w:bookmarkStart w:id="36" w:name="_Toc463049698"/>
      <w:bookmarkStart w:id="37" w:name="_Toc494463966"/>
      <w:r w:rsidRPr="00773579">
        <w:rPr>
          <w:rFonts w:ascii="Times New Roman" w:hAnsi="Times New Roman" w:cs="Times New Roman"/>
          <w:b/>
          <w:bCs/>
        </w:rPr>
        <w:lastRenderedPageBreak/>
        <w:t xml:space="preserve">3.3. Porovnanie aktuálneho odhadu daní s rozpočtom verejnej správy na roky </w:t>
      </w:r>
      <w:r w:rsidRPr="00773579">
        <w:rPr>
          <w:rFonts w:ascii="Times New Roman" w:hAnsi="Times New Roman" w:cs="Times New Roman"/>
          <w:b/>
          <w:bCs/>
        </w:rPr>
        <w:br/>
        <w:t xml:space="preserve">          201</w:t>
      </w:r>
      <w:r w:rsidR="00075B17">
        <w:rPr>
          <w:rFonts w:ascii="Times New Roman" w:hAnsi="Times New Roman" w:cs="Times New Roman"/>
          <w:b/>
          <w:bCs/>
        </w:rPr>
        <w:t>7</w:t>
      </w:r>
      <w:r w:rsidRPr="00773579">
        <w:rPr>
          <w:rFonts w:ascii="Times New Roman" w:hAnsi="Times New Roman" w:cs="Times New Roman"/>
          <w:b/>
          <w:bCs/>
        </w:rPr>
        <w:t xml:space="preserve"> až 201</w:t>
      </w:r>
      <w:bookmarkEnd w:id="36"/>
      <w:r w:rsidR="00075B17">
        <w:rPr>
          <w:rFonts w:ascii="Times New Roman" w:hAnsi="Times New Roman" w:cs="Times New Roman"/>
          <w:b/>
          <w:bCs/>
        </w:rPr>
        <w:t>9</w:t>
      </w:r>
      <w:bookmarkEnd w:id="37"/>
    </w:p>
    <w:p w:rsidR="00B27CE3" w:rsidRDefault="00B27CE3" w:rsidP="009769EF">
      <w:pPr>
        <w:ind w:firstLine="708"/>
        <w:jc w:val="both"/>
        <w:rPr>
          <w:rFonts w:ascii="Times New Roman" w:hAnsi="Times New Roman" w:cs="Times New Roman"/>
        </w:rPr>
      </w:pPr>
    </w:p>
    <w:p w:rsidR="009769EF" w:rsidRPr="001507AE" w:rsidRDefault="009769EF" w:rsidP="009769EF">
      <w:pPr>
        <w:ind w:firstLine="708"/>
        <w:jc w:val="both"/>
        <w:rPr>
          <w:rFonts w:ascii="Times New Roman" w:hAnsi="Times New Roman" w:cs="Times New Roman"/>
        </w:rPr>
      </w:pPr>
      <w:r w:rsidRPr="001507AE">
        <w:rPr>
          <w:rFonts w:ascii="Times New Roman" w:hAnsi="Times New Roman" w:cs="Times New Roman"/>
        </w:rPr>
        <w:t>Nižšie uvedená tabuľka prezentuje rozdiely aktuálnej prognózy daní a odvodov v metodike ESA</w:t>
      </w:r>
      <w:r>
        <w:rPr>
          <w:rFonts w:ascii="Times New Roman" w:hAnsi="Times New Roman" w:cs="Times New Roman"/>
        </w:rPr>
        <w:t> </w:t>
      </w:r>
      <w:r w:rsidRPr="001507AE">
        <w:rPr>
          <w:rFonts w:ascii="Times New Roman" w:hAnsi="Times New Roman" w:cs="Times New Roman"/>
        </w:rPr>
        <w:t>2010 oproti rozpočtu verejnej správy na roky 2017 až 2019. Aktuálna prognóza daňových príjmov verejnej správy je v porovnaní so schváleným rozpočtom v roku 2017 nižšia o 245,2 mil. eur, v roku 2018 o 32</w:t>
      </w:r>
      <w:r>
        <w:rPr>
          <w:rFonts w:ascii="Times New Roman" w:hAnsi="Times New Roman" w:cs="Times New Roman"/>
        </w:rPr>
        <w:t>6</w:t>
      </w:r>
      <w:r w:rsidRPr="001507AE">
        <w:rPr>
          <w:rFonts w:ascii="Times New Roman" w:hAnsi="Times New Roman" w:cs="Times New Roman"/>
        </w:rPr>
        <w:t>,5 mil. eur a v roku 2019 o 370,0 mil. eur. Zníženie prognózy daňových príjmov v rokoch 2017 až 2019 je spôsobené najmä nižším očakávaným výnosom z DPPO, ktorý je čiastočne kompenzovaný vyšším výberom DPH. Vyšší výber sociálnych a zdravotných odvodov kompenzuje výpadok daňových príjmov verejnej správy v porovnaní s rozpočtom.</w:t>
      </w:r>
    </w:p>
    <w:p w:rsidR="009769EF" w:rsidRPr="002B0850" w:rsidRDefault="009769EF" w:rsidP="009769EF">
      <w:pPr>
        <w:ind w:firstLine="708"/>
        <w:jc w:val="both"/>
        <w:rPr>
          <w:color w:val="FF0000"/>
          <w:highlight w:val="yellow"/>
        </w:rPr>
      </w:pPr>
    </w:p>
    <w:tbl>
      <w:tblPr>
        <w:tblW w:w="5000" w:type="pct"/>
        <w:jc w:val="center"/>
        <w:tblCellMar>
          <w:left w:w="70" w:type="dxa"/>
          <w:right w:w="70" w:type="dxa"/>
        </w:tblCellMar>
        <w:tblLook w:val="04A0" w:firstRow="1" w:lastRow="0" w:firstColumn="1" w:lastColumn="0" w:noHBand="0" w:noVBand="1"/>
      </w:tblPr>
      <w:tblGrid>
        <w:gridCol w:w="4818"/>
        <w:gridCol w:w="1415"/>
        <w:gridCol w:w="1415"/>
        <w:gridCol w:w="1414"/>
      </w:tblGrid>
      <w:tr w:rsidR="009769EF" w:rsidRPr="002B0850" w:rsidTr="00300E07">
        <w:trPr>
          <w:trHeight w:val="25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9769EF" w:rsidRPr="00E6654C" w:rsidRDefault="009769EF" w:rsidP="00207B1D">
            <w:pPr>
              <w:rPr>
                <w:rFonts w:ascii="Times New Roman" w:hAnsi="Times New Roman" w:cs="Times New Roman"/>
                <w:b/>
                <w:bCs/>
                <w:color w:val="000000"/>
                <w:sz w:val="14"/>
                <w:szCs w:val="14"/>
                <w:lang w:eastAsia="sk-SK"/>
              </w:rPr>
            </w:pPr>
            <w:r w:rsidRPr="00E6654C">
              <w:rPr>
                <w:rFonts w:ascii="Times New Roman" w:hAnsi="Times New Roman" w:cs="Times New Roman"/>
                <w:b/>
                <w:bCs/>
                <w:color w:val="000000"/>
                <w:sz w:val="14"/>
                <w:szCs w:val="14"/>
                <w:lang w:eastAsia="sk-SK"/>
              </w:rPr>
              <w:t xml:space="preserve">Rozdiely aktuálneho odhadu daní s rozpočtom </w:t>
            </w:r>
            <w:r w:rsidR="00207B1D">
              <w:rPr>
                <w:rFonts w:ascii="Times New Roman" w:hAnsi="Times New Roman" w:cs="Times New Roman"/>
                <w:b/>
                <w:bCs/>
                <w:color w:val="000000"/>
                <w:sz w:val="14"/>
                <w:szCs w:val="14"/>
                <w:lang w:eastAsia="sk-SK"/>
              </w:rPr>
              <w:t>verejnej správy</w:t>
            </w:r>
            <w:r w:rsidRPr="00E6654C">
              <w:rPr>
                <w:rFonts w:ascii="Times New Roman" w:hAnsi="Times New Roman" w:cs="Times New Roman"/>
                <w:b/>
                <w:bCs/>
                <w:color w:val="000000"/>
                <w:sz w:val="14"/>
                <w:szCs w:val="14"/>
                <w:lang w:eastAsia="sk-SK"/>
              </w:rPr>
              <w:t xml:space="preserve"> na roky 2017 až 2019 (ESA</w:t>
            </w:r>
            <w:r w:rsidR="00207B1D">
              <w:rPr>
                <w:rFonts w:ascii="Times New Roman" w:hAnsi="Times New Roman" w:cs="Times New Roman"/>
                <w:b/>
                <w:bCs/>
                <w:color w:val="000000"/>
                <w:sz w:val="14"/>
                <w:szCs w:val="14"/>
                <w:lang w:eastAsia="sk-SK"/>
              </w:rPr>
              <w:t xml:space="preserve"> </w:t>
            </w:r>
            <w:r w:rsidRPr="00E6654C">
              <w:rPr>
                <w:rFonts w:ascii="Times New Roman" w:hAnsi="Times New Roman" w:cs="Times New Roman"/>
                <w:b/>
                <w:bCs/>
                <w:color w:val="000000"/>
                <w:sz w:val="14"/>
                <w:szCs w:val="14"/>
                <w:lang w:eastAsia="sk-SK"/>
              </w:rPr>
              <w:t>2010, v tis. eur)</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000000" w:fill="BFBFBF"/>
            <w:noWrap/>
            <w:vAlign w:val="center"/>
            <w:hideMark/>
          </w:tcPr>
          <w:p w:rsidR="009769EF" w:rsidRPr="00E6654C" w:rsidRDefault="009769EF" w:rsidP="00300E07">
            <w:pPr>
              <w:rPr>
                <w:rFonts w:ascii="Times New Roman" w:hAnsi="Times New Roman" w:cs="Times New Roman"/>
                <w:b/>
                <w:bCs/>
                <w:color w:val="000000"/>
                <w:sz w:val="14"/>
                <w:szCs w:val="14"/>
                <w:lang w:eastAsia="sk-SK"/>
              </w:rPr>
            </w:pPr>
            <w:r w:rsidRPr="00E6654C">
              <w:rPr>
                <w:rFonts w:ascii="Times New Roman" w:hAnsi="Times New Roman" w:cs="Times New Roman"/>
                <w:b/>
                <w:bCs/>
                <w:color w:val="000000"/>
                <w:sz w:val="14"/>
                <w:szCs w:val="14"/>
                <w:lang w:eastAsia="sk-SK"/>
              </w:rPr>
              <w:t> </w:t>
            </w:r>
          </w:p>
        </w:tc>
        <w:tc>
          <w:tcPr>
            <w:tcW w:w="781" w:type="pct"/>
            <w:tcBorders>
              <w:top w:val="nil"/>
              <w:left w:val="nil"/>
              <w:bottom w:val="single" w:sz="4" w:space="0" w:color="auto"/>
              <w:right w:val="single" w:sz="4" w:space="0" w:color="auto"/>
            </w:tcBorders>
            <w:shd w:val="clear" w:color="000000" w:fill="BFBFBF"/>
            <w:noWrap/>
            <w:vAlign w:val="center"/>
            <w:hideMark/>
          </w:tcPr>
          <w:p w:rsidR="009769EF" w:rsidRPr="00E6654C" w:rsidRDefault="009769EF" w:rsidP="00300E07">
            <w:pPr>
              <w:jc w:val="center"/>
              <w:rPr>
                <w:rFonts w:ascii="Times New Roman" w:hAnsi="Times New Roman" w:cs="Times New Roman"/>
                <w:b/>
                <w:bCs/>
                <w:color w:val="000000"/>
                <w:sz w:val="14"/>
                <w:szCs w:val="14"/>
                <w:lang w:eastAsia="sk-SK"/>
              </w:rPr>
            </w:pPr>
            <w:r w:rsidRPr="00E6654C">
              <w:rPr>
                <w:rFonts w:ascii="Times New Roman" w:hAnsi="Times New Roman" w:cs="Times New Roman"/>
                <w:b/>
                <w:bCs/>
                <w:color w:val="000000"/>
                <w:sz w:val="14"/>
                <w:szCs w:val="14"/>
                <w:lang w:eastAsia="sk-SK"/>
              </w:rPr>
              <w:t>2017</w:t>
            </w:r>
          </w:p>
        </w:tc>
        <w:tc>
          <w:tcPr>
            <w:tcW w:w="781" w:type="pct"/>
            <w:tcBorders>
              <w:top w:val="nil"/>
              <w:left w:val="nil"/>
              <w:bottom w:val="single" w:sz="4" w:space="0" w:color="auto"/>
              <w:right w:val="single" w:sz="4" w:space="0" w:color="auto"/>
            </w:tcBorders>
            <w:shd w:val="clear" w:color="000000" w:fill="BFBFBF"/>
            <w:noWrap/>
            <w:vAlign w:val="center"/>
            <w:hideMark/>
          </w:tcPr>
          <w:p w:rsidR="009769EF" w:rsidRPr="00E6654C" w:rsidRDefault="009769EF" w:rsidP="00300E07">
            <w:pPr>
              <w:jc w:val="center"/>
              <w:rPr>
                <w:rFonts w:ascii="Times New Roman" w:hAnsi="Times New Roman" w:cs="Times New Roman"/>
                <w:b/>
                <w:bCs/>
                <w:color w:val="000000"/>
                <w:sz w:val="14"/>
                <w:szCs w:val="14"/>
                <w:lang w:eastAsia="sk-SK"/>
              </w:rPr>
            </w:pPr>
            <w:r w:rsidRPr="00E6654C">
              <w:rPr>
                <w:rFonts w:ascii="Times New Roman" w:hAnsi="Times New Roman" w:cs="Times New Roman"/>
                <w:b/>
                <w:bCs/>
                <w:color w:val="000000"/>
                <w:sz w:val="14"/>
                <w:szCs w:val="14"/>
                <w:lang w:eastAsia="sk-SK"/>
              </w:rPr>
              <w:t>2018</w:t>
            </w:r>
          </w:p>
        </w:tc>
        <w:tc>
          <w:tcPr>
            <w:tcW w:w="780" w:type="pct"/>
            <w:tcBorders>
              <w:top w:val="nil"/>
              <w:left w:val="nil"/>
              <w:bottom w:val="single" w:sz="4" w:space="0" w:color="auto"/>
              <w:right w:val="single" w:sz="4" w:space="0" w:color="auto"/>
            </w:tcBorders>
            <w:shd w:val="clear" w:color="000000" w:fill="BFBFBF"/>
            <w:noWrap/>
            <w:vAlign w:val="center"/>
            <w:hideMark/>
          </w:tcPr>
          <w:p w:rsidR="009769EF" w:rsidRPr="00E6654C" w:rsidRDefault="009769EF" w:rsidP="00300E07">
            <w:pPr>
              <w:jc w:val="center"/>
              <w:rPr>
                <w:rFonts w:ascii="Times New Roman" w:hAnsi="Times New Roman" w:cs="Times New Roman"/>
                <w:b/>
                <w:bCs/>
                <w:color w:val="000000"/>
                <w:sz w:val="14"/>
                <w:szCs w:val="14"/>
                <w:lang w:eastAsia="sk-SK"/>
              </w:rPr>
            </w:pPr>
            <w:r w:rsidRPr="00E6654C">
              <w:rPr>
                <w:rFonts w:ascii="Times New Roman" w:hAnsi="Times New Roman" w:cs="Times New Roman"/>
                <w:b/>
                <w:bCs/>
                <w:color w:val="000000"/>
                <w:sz w:val="14"/>
                <w:szCs w:val="14"/>
                <w:lang w:eastAsia="sk-SK"/>
              </w:rPr>
              <w:t>2019</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000000" w:fill="BFBFBF"/>
            <w:noWrap/>
            <w:vAlign w:val="center"/>
            <w:hideMark/>
          </w:tcPr>
          <w:p w:rsidR="009769EF" w:rsidRPr="00E6654C" w:rsidRDefault="009769EF" w:rsidP="00300E07">
            <w:pPr>
              <w:rPr>
                <w:rFonts w:ascii="Times New Roman" w:hAnsi="Times New Roman" w:cs="Times New Roman"/>
                <w:b/>
                <w:bCs/>
                <w:color w:val="000000"/>
                <w:sz w:val="14"/>
                <w:szCs w:val="14"/>
                <w:lang w:eastAsia="sk-SK"/>
              </w:rPr>
            </w:pPr>
            <w:r w:rsidRPr="00E6654C">
              <w:rPr>
                <w:rFonts w:ascii="Times New Roman" w:hAnsi="Times New Roman" w:cs="Times New Roman"/>
                <w:b/>
                <w:bCs/>
                <w:color w:val="000000"/>
                <w:sz w:val="14"/>
                <w:szCs w:val="14"/>
                <w:lang w:eastAsia="sk-SK"/>
              </w:rPr>
              <w:t>Daňové príjmy VS spolu</w:t>
            </w:r>
          </w:p>
        </w:tc>
        <w:tc>
          <w:tcPr>
            <w:tcW w:w="781" w:type="pct"/>
            <w:tcBorders>
              <w:top w:val="nil"/>
              <w:left w:val="nil"/>
              <w:bottom w:val="single" w:sz="4" w:space="0" w:color="auto"/>
              <w:right w:val="single" w:sz="4" w:space="0" w:color="auto"/>
            </w:tcBorders>
            <w:shd w:val="clear" w:color="000000" w:fill="BFBFBF"/>
            <w:noWrap/>
            <w:vAlign w:val="center"/>
          </w:tcPr>
          <w:p w:rsidR="009769EF" w:rsidRPr="00E6654C" w:rsidRDefault="009769EF" w:rsidP="00300E07">
            <w:pPr>
              <w:jc w:val="right"/>
              <w:rPr>
                <w:rFonts w:ascii="Times New Roman" w:hAnsi="Times New Roman" w:cs="Times New Roman"/>
                <w:b/>
                <w:bCs/>
                <w:sz w:val="14"/>
                <w:szCs w:val="14"/>
                <w:lang w:eastAsia="sk-SK"/>
              </w:rPr>
            </w:pPr>
            <w:r w:rsidRPr="00E6654C">
              <w:rPr>
                <w:rFonts w:ascii="Times New Roman" w:hAnsi="Times New Roman" w:cs="Times New Roman"/>
                <w:b/>
                <w:bCs/>
                <w:sz w:val="14"/>
                <w:szCs w:val="14"/>
              </w:rPr>
              <w:t>-245 181</w:t>
            </w:r>
          </w:p>
        </w:tc>
        <w:tc>
          <w:tcPr>
            <w:tcW w:w="781" w:type="pct"/>
            <w:tcBorders>
              <w:top w:val="nil"/>
              <w:left w:val="nil"/>
              <w:bottom w:val="single" w:sz="4" w:space="0" w:color="auto"/>
              <w:right w:val="single" w:sz="4" w:space="0" w:color="auto"/>
            </w:tcBorders>
            <w:shd w:val="clear" w:color="000000" w:fill="BFBF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-326 479</w:t>
            </w:r>
          </w:p>
        </w:tc>
        <w:tc>
          <w:tcPr>
            <w:tcW w:w="780" w:type="pct"/>
            <w:tcBorders>
              <w:top w:val="nil"/>
              <w:left w:val="nil"/>
              <w:bottom w:val="single" w:sz="4" w:space="0" w:color="auto"/>
              <w:right w:val="single" w:sz="4" w:space="0" w:color="auto"/>
            </w:tcBorders>
            <w:shd w:val="clear" w:color="000000" w:fill="BFBF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-370 032</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000000" w:fill="BFBFBF"/>
            <w:noWrap/>
            <w:vAlign w:val="center"/>
            <w:hideMark/>
          </w:tcPr>
          <w:p w:rsidR="009769EF" w:rsidRPr="00E6654C" w:rsidRDefault="009769EF" w:rsidP="00300E07">
            <w:pPr>
              <w:ind w:firstLineChars="100" w:firstLine="141"/>
              <w:rPr>
                <w:rFonts w:ascii="Times New Roman" w:hAnsi="Times New Roman" w:cs="Times New Roman"/>
                <w:b/>
                <w:bCs/>
                <w:i/>
                <w:iCs/>
                <w:color w:val="000000"/>
                <w:sz w:val="14"/>
                <w:szCs w:val="14"/>
                <w:lang w:eastAsia="sk-SK"/>
              </w:rPr>
            </w:pPr>
            <w:r w:rsidRPr="00E6654C">
              <w:rPr>
                <w:rFonts w:ascii="Times New Roman" w:hAnsi="Times New Roman" w:cs="Times New Roman"/>
                <w:b/>
                <w:bCs/>
                <w:i/>
                <w:iCs/>
                <w:color w:val="000000"/>
                <w:sz w:val="14"/>
                <w:szCs w:val="14"/>
                <w:lang w:eastAsia="sk-SK"/>
              </w:rPr>
              <w:t>v % HDP</w:t>
            </w:r>
          </w:p>
        </w:tc>
        <w:tc>
          <w:tcPr>
            <w:tcW w:w="781" w:type="pct"/>
            <w:tcBorders>
              <w:top w:val="nil"/>
              <w:left w:val="nil"/>
              <w:bottom w:val="single" w:sz="4" w:space="0" w:color="auto"/>
              <w:right w:val="single" w:sz="4" w:space="0" w:color="auto"/>
            </w:tcBorders>
            <w:shd w:val="clear" w:color="000000" w:fill="BFBFBF"/>
            <w:noWrap/>
            <w:vAlign w:val="center"/>
          </w:tcPr>
          <w:p w:rsidR="009769EF" w:rsidRPr="00E6654C" w:rsidRDefault="009769EF" w:rsidP="00300E07">
            <w:pPr>
              <w:jc w:val="right"/>
              <w:rPr>
                <w:rFonts w:ascii="Times New Roman" w:hAnsi="Times New Roman" w:cs="Times New Roman"/>
                <w:b/>
                <w:bCs/>
                <w:i/>
                <w:iCs/>
                <w:sz w:val="14"/>
                <w:szCs w:val="14"/>
              </w:rPr>
            </w:pPr>
            <w:r w:rsidRPr="00E6654C">
              <w:rPr>
                <w:rFonts w:ascii="Times New Roman" w:hAnsi="Times New Roman" w:cs="Times New Roman"/>
                <w:b/>
                <w:bCs/>
                <w:i/>
                <w:iCs/>
                <w:sz w:val="14"/>
                <w:szCs w:val="14"/>
              </w:rPr>
              <w:t>-0,29</w:t>
            </w:r>
          </w:p>
        </w:tc>
        <w:tc>
          <w:tcPr>
            <w:tcW w:w="781" w:type="pct"/>
            <w:tcBorders>
              <w:top w:val="nil"/>
              <w:left w:val="nil"/>
              <w:bottom w:val="single" w:sz="4" w:space="0" w:color="auto"/>
              <w:right w:val="single" w:sz="4" w:space="0" w:color="auto"/>
            </w:tcBorders>
            <w:shd w:val="clear" w:color="000000" w:fill="BFBFBF"/>
            <w:noWrap/>
            <w:vAlign w:val="center"/>
          </w:tcPr>
          <w:p w:rsidR="009769EF" w:rsidRPr="00E6654C" w:rsidRDefault="009769EF" w:rsidP="00300E07">
            <w:pPr>
              <w:jc w:val="right"/>
              <w:rPr>
                <w:rFonts w:ascii="Times New Roman" w:hAnsi="Times New Roman" w:cs="Times New Roman"/>
                <w:b/>
                <w:bCs/>
                <w:i/>
                <w:iCs/>
                <w:sz w:val="14"/>
                <w:szCs w:val="14"/>
              </w:rPr>
            </w:pPr>
            <w:r w:rsidRPr="00E6654C">
              <w:rPr>
                <w:rFonts w:ascii="Times New Roman" w:hAnsi="Times New Roman" w:cs="Times New Roman"/>
                <w:b/>
                <w:bCs/>
                <w:i/>
                <w:iCs/>
                <w:sz w:val="14"/>
                <w:szCs w:val="14"/>
              </w:rPr>
              <w:t>-0,36</w:t>
            </w:r>
          </w:p>
        </w:tc>
        <w:tc>
          <w:tcPr>
            <w:tcW w:w="780" w:type="pct"/>
            <w:tcBorders>
              <w:top w:val="nil"/>
              <w:left w:val="nil"/>
              <w:bottom w:val="single" w:sz="4" w:space="0" w:color="auto"/>
              <w:right w:val="single" w:sz="4" w:space="0" w:color="auto"/>
            </w:tcBorders>
            <w:shd w:val="clear" w:color="000000" w:fill="BFBFBF"/>
            <w:noWrap/>
            <w:vAlign w:val="center"/>
          </w:tcPr>
          <w:p w:rsidR="009769EF" w:rsidRPr="00E6654C" w:rsidRDefault="009769EF" w:rsidP="00300E07">
            <w:pPr>
              <w:jc w:val="right"/>
              <w:rPr>
                <w:rFonts w:ascii="Times New Roman" w:hAnsi="Times New Roman" w:cs="Times New Roman"/>
                <w:b/>
                <w:bCs/>
                <w:i/>
                <w:iCs/>
                <w:sz w:val="14"/>
                <w:szCs w:val="14"/>
              </w:rPr>
            </w:pPr>
            <w:r w:rsidRPr="00E6654C">
              <w:rPr>
                <w:rFonts w:ascii="Times New Roman" w:hAnsi="Times New Roman" w:cs="Times New Roman"/>
                <w:b/>
                <w:bCs/>
                <w:i/>
                <w:iCs/>
                <w:sz w:val="14"/>
                <w:szCs w:val="14"/>
              </w:rPr>
              <w:t>-0,39</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9769EF" w:rsidRPr="00E6654C" w:rsidRDefault="009769EF" w:rsidP="00300E07">
            <w:pPr>
              <w:ind w:firstLineChars="100" w:firstLine="140"/>
              <w:rPr>
                <w:rFonts w:ascii="Times New Roman" w:hAnsi="Times New Roman" w:cs="Times New Roman"/>
                <w:color w:val="000000"/>
                <w:sz w:val="14"/>
                <w:szCs w:val="14"/>
                <w:lang w:eastAsia="sk-SK"/>
              </w:rPr>
            </w:pPr>
            <w:r w:rsidRPr="00E6654C">
              <w:rPr>
                <w:rFonts w:ascii="Times New Roman" w:hAnsi="Times New Roman" w:cs="Times New Roman"/>
                <w:color w:val="000000"/>
                <w:sz w:val="14"/>
                <w:szCs w:val="14"/>
                <w:lang w:eastAsia="sk-SK"/>
              </w:rPr>
              <w:t>Dane z príjmov, ziskov a kapitálového majetku</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-376 679</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-479 029</w:t>
            </w:r>
          </w:p>
        </w:tc>
        <w:tc>
          <w:tcPr>
            <w:tcW w:w="780"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-545 024</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9769EF" w:rsidRPr="00E6654C" w:rsidRDefault="009769EF" w:rsidP="00300E07">
            <w:pPr>
              <w:ind w:firstLineChars="200" w:firstLine="280"/>
              <w:rPr>
                <w:rFonts w:ascii="Times New Roman" w:hAnsi="Times New Roman" w:cs="Times New Roman"/>
                <w:color w:val="000000"/>
                <w:sz w:val="14"/>
                <w:szCs w:val="14"/>
                <w:lang w:eastAsia="sk-SK"/>
              </w:rPr>
            </w:pPr>
            <w:r w:rsidRPr="00E6654C">
              <w:rPr>
                <w:rFonts w:ascii="Times New Roman" w:hAnsi="Times New Roman" w:cs="Times New Roman"/>
                <w:color w:val="000000"/>
                <w:sz w:val="14"/>
                <w:szCs w:val="14"/>
                <w:lang w:eastAsia="sk-SK"/>
              </w:rPr>
              <w:t>Daň z príjmov fyzických osôb</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63 095</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90 794</w:t>
            </w:r>
          </w:p>
        </w:tc>
        <w:tc>
          <w:tcPr>
            <w:tcW w:w="780"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105 792</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9769EF" w:rsidRPr="00E6654C" w:rsidRDefault="009769EF" w:rsidP="00300E07">
            <w:pPr>
              <w:ind w:firstLineChars="200" w:firstLine="280"/>
              <w:rPr>
                <w:rFonts w:ascii="Times New Roman" w:hAnsi="Times New Roman" w:cs="Times New Roman"/>
                <w:color w:val="000000"/>
                <w:sz w:val="14"/>
                <w:szCs w:val="14"/>
                <w:lang w:eastAsia="sk-SK"/>
              </w:rPr>
            </w:pPr>
            <w:r w:rsidRPr="00E6654C">
              <w:rPr>
                <w:rFonts w:ascii="Times New Roman" w:hAnsi="Times New Roman" w:cs="Times New Roman"/>
                <w:color w:val="000000"/>
                <w:sz w:val="14"/>
                <w:szCs w:val="14"/>
                <w:lang w:eastAsia="sk-SK"/>
              </w:rPr>
              <w:t>Daň z príjmov právnických osôb</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-421 314</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-551 017</w:t>
            </w:r>
          </w:p>
        </w:tc>
        <w:tc>
          <w:tcPr>
            <w:tcW w:w="780"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-623 707</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9769EF" w:rsidRPr="00E6654C" w:rsidRDefault="009769EF" w:rsidP="00300E07">
            <w:pPr>
              <w:ind w:firstLineChars="200" w:firstLine="280"/>
              <w:rPr>
                <w:rFonts w:ascii="Times New Roman" w:hAnsi="Times New Roman" w:cs="Times New Roman"/>
                <w:color w:val="000000"/>
                <w:sz w:val="14"/>
                <w:szCs w:val="14"/>
                <w:lang w:eastAsia="sk-SK"/>
              </w:rPr>
            </w:pPr>
            <w:r w:rsidRPr="00E6654C">
              <w:rPr>
                <w:rFonts w:ascii="Times New Roman" w:hAnsi="Times New Roman" w:cs="Times New Roman"/>
                <w:color w:val="000000"/>
                <w:sz w:val="14"/>
                <w:szCs w:val="14"/>
                <w:lang w:eastAsia="sk-SK"/>
              </w:rPr>
              <w:t>Daň z príjmov vyberaná zrážkou</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-18 460</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-18 806</w:t>
            </w:r>
          </w:p>
        </w:tc>
        <w:tc>
          <w:tcPr>
            <w:tcW w:w="780"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-27 109</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9769EF" w:rsidRPr="00E6654C" w:rsidRDefault="009769EF" w:rsidP="00300E07">
            <w:pPr>
              <w:ind w:firstLineChars="100" w:firstLine="140"/>
              <w:rPr>
                <w:rFonts w:ascii="Times New Roman" w:hAnsi="Times New Roman" w:cs="Times New Roman"/>
                <w:color w:val="000000"/>
                <w:sz w:val="14"/>
                <w:szCs w:val="14"/>
                <w:lang w:eastAsia="sk-SK"/>
              </w:rPr>
            </w:pPr>
            <w:r w:rsidRPr="00E6654C">
              <w:rPr>
                <w:rFonts w:ascii="Times New Roman" w:hAnsi="Times New Roman" w:cs="Times New Roman"/>
                <w:color w:val="000000"/>
                <w:sz w:val="14"/>
                <w:szCs w:val="14"/>
                <w:lang w:eastAsia="sk-SK"/>
              </w:rPr>
              <w:t>Daň z pridanej hodnoty</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120 307</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125 819</w:t>
            </w:r>
          </w:p>
        </w:tc>
        <w:tc>
          <w:tcPr>
            <w:tcW w:w="780"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136 685</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9769EF" w:rsidRPr="00E6654C" w:rsidRDefault="009769EF" w:rsidP="00300E07">
            <w:pPr>
              <w:ind w:firstLineChars="100" w:firstLine="140"/>
              <w:rPr>
                <w:rFonts w:ascii="Times New Roman" w:hAnsi="Times New Roman" w:cs="Times New Roman"/>
                <w:color w:val="000000"/>
                <w:sz w:val="14"/>
                <w:szCs w:val="14"/>
                <w:lang w:eastAsia="sk-SK"/>
              </w:rPr>
            </w:pPr>
            <w:r w:rsidRPr="00E6654C">
              <w:rPr>
                <w:rFonts w:ascii="Times New Roman" w:hAnsi="Times New Roman" w:cs="Times New Roman"/>
                <w:color w:val="000000"/>
                <w:sz w:val="14"/>
                <w:szCs w:val="14"/>
                <w:lang w:eastAsia="sk-SK"/>
              </w:rPr>
              <w:t>Spotrebné dane</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11 828</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20 954</w:t>
            </w:r>
          </w:p>
        </w:tc>
        <w:tc>
          <w:tcPr>
            <w:tcW w:w="780"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22 148</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9769EF" w:rsidRPr="00E6654C" w:rsidRDefault="009769EF" w:rsidP="00300E07">
            <w:pPr>
              <w:ind w:firstLineChars="100" w:firstLine="140"/>
              <w:rPr>
                <w:rFonts w:ascii="Times New Roman" w:hAnsi="Times New Roman" w:cs="Times New Roman"/>
                <w:color w:val="000000"/>
                <w:sz w:val="14"/>
                <w:szCs w:val="14"/>
                <w:lang w:eastAsia="sk-SK"/>
              </w:rPr>
            </w:pPr>
            <w:r w:rsidRPr="00E6654C">
              <w:rPr>
                <w:rFonts w:ascii="Times New Roman" w:hAnsi="Times New Roman" w:cs="Times New Roman"/>
                <w:color w:val="000000"/>
                <w:sz w:val="14"/>
                <w:szCs w:val="14"/>
                <w:lang w:eastAsia="sk-SK"/>
              </w:rPr>
              <w:t>Dane z medzinárodného obchodu a transakcií</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-2 086</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-272</w:t>
            </w:r>
          </w:p>
        </w:tc>
        <w:tc>
          <w:tcPr>
            <w:tcW w:w="780"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-533</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9769EF" w:rsidRPr="00E6654C" w:rsidRDefault="009769EF" w:rsidP="00300E07">
            <w:pPr>
              <w:ind w:firstLineChars="100" w:firstLine="140"/>
              <w:rPr>
                <w:rFonts w:ascii="Times New Roman" w:hAnsi="Times New Roman" w:cs="Times New Roman"/>
                <w:color w:val="000000"/>
                <w:sz w:val="14"/>
                <w:szCs w:val="14"/>
                <w:lang w:eastAsia="sk-SK"/>
              </w:rPr>
            </w:pPr>
            <w:r w:rsidRPr="00E6654C">
              <w:rPr>
                <w:rFonts w:ascii="Times New Roman" w:hAnsi="Times New Roman" w:cs="Times New Roman"/>
                <w:color w:val="000000"/>
                <w:sz w:val="14"/>
                <w:szCs w:val="14"/>
                <w:lang w:eastAsia="sk-SK"/>
              </w:rPr>
              <w:t>Miestne dane</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22 081</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23 251</w:t>
            </w:r>
          </w:p>
        </w:tc>
        <w:tc>
          <w:tcPr>
            <w:tcW w:w="780"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23 775</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9769EF" w:rsidRPr="00E6654C" w:rsidRDefault="009769EF" w:rsidP="00300E07">
            <w:pPr>
              <w:ind w:firstLineChars="100" w:firstLine="140"/>
              <w:rPr>
                <w:rFonts w:ascii="Times New Roman" w:hAnsi="Times New Roman" w:cs="Times New Roman"/>
                <w:color w:val="000000"/>
                <w:sz w:val="14"/>
                <w:szCs w:val="14"/>
                <w:lang w:eastAsia="sk-SK"/>
              </w:rPr>
            </w:pPr>
            <w:r w:rsidRPr="00E6654C">
              <w:rPr>
                <w:rFonts w:ascii="Times New Roman" w:hAnsi="Times New Roman" w:cs="Times New Roman"/>
                <w:color w:val="000000"/>
                <w:sz w:val="14"/>
                <w:szCs w:val="14"/>
                <w:lang w:eastAsia="sk-SK"/>
              </w:rPr>
              <w:t>Ostatné dane</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-20 632</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-17 202</w:t>
            </w:r>
          </w:p>
        </w:tc>
        <w:tc>
          <w:tcPr>
            <w:tcW w:w="780"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-7 083</w:t>
            </w:r>
          </w:p>
        </w:tc>
      </w:tr>
      <w:tr w:rsidR="009769EF" w:rsidRPr="002B0850" w:rsidTr="00300E07">
        <w:trPr>
          <w:trHeight w:val="270"/>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9769EF" w:rsidRPr="00E6654C" w:rsidRDefault="009769EF" w:rsidP="00300E07">
            <w:pPr>
              <w:ind w:firstLineChars="100" w:firstLine="140"/>
              <w:rPr>
                <w:rFonts w:ascii="Times New Roman" w:hAnsi="Times New Roman" w:cs="Times New Roman"/>
                <w:color w:val="000000"/>
                <w:sz w:val="14"/>
                <w:szCs w:val="14"/>
                <w:lang w:eastAsia="sk-SK"/>
              </w:rPr>
            </w:pPr>
            <w:r w:rsidRPr="00E6654C">
              <w:rPr>
                <w:rFonts w:ascii="Times New Roman" w:hAnsi="Times New Roman" w:cs="Times New Roman"/>
                <w:color w:val="000000"/>
                <w:sz w:val="14"/>
                <w:szCs w:val="14"/>
                <w:lang w:eastAsia="sk-SK"/>
              </w:rPr>
              <w:t>Sociálna poisťovňa (EAO + dlžné)</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126 974</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188 064</w:t>
            </w:r>
          </w:p>
        </w:tc>
        <w:tc>
          <w:tcPr>
            <w:tcW w:w="780"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212 351</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9769EF" w:rsidRPr="00E6654C" w:rsidRDefault="009769EF" w:rsidP="00300E07">
            <w:pPr>
              <w:ind w:firstLineChars="100" w:firstLine="140"/>
              <w:rPr>
                <w:rFonts w:ascii="Times New Roman" w:hAnsi="Times New Roman" w:cs="Times New Roman"/>
                <w:color w:val="000000"/>
                <w:sz w:val="14"/>
                <w:szCs w:val="14"/>
                <w:lang w:eastAsia="sk-SK"/>
              </w:rPr>
            </w:pPr>
            <w:r w:rsidRPr="00E6654C">
              <w:rPr>
                <w:rFonts w:ascii="Times New Roman" w:hAnsi="Times New Roman" w:cs="Times New Roman"/>
                <w:color w:val="000000"/>
                <w:sz w:val="14"/>
                <w:szCs w:val="14"/>
                <w:lang w:eastAsia="sk-SK"/>
              </w:rPr>
              <w:t>Zdravotné poisťovne (EAO + dlžné)</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126 563</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158 018</w:t>
            </w:r>
          </w:p>
        </w:tc>
        <w:tc>
          <w:tcPr>
            <w:tcW w:w="780"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182 207</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000000" w:fill="BFBFBF"/>
            <w:noWrap/>
            <w:vAlign w:val="center"/>
            <w:hideMark/>
          </w:tcPr>
          <w:p w:rsidR="009769EF" w:rsidRPr="00E6654C" w:rsidRDefault="009769EF" w:rsidP="00300E07">
            <w:pPr>
              <w:rPr>
                <w:rFonts w:ascii="Times New Roman" w:hAnsi="Times New Roman" w:cs="Times New Roman"/>
                <w:b/>
                <w:bCs/>
                <w:color w:val="000000"/>
                <w:sz w:val="14"/>
                <w:szCs w:val="14"/>
                <w:lang w:eastAsia="sk-SK"/>
              </w:rPr>
            </w:pPr>
            <w:r w:rsidRPr="00E6654C">
              <w:rPr>
                <w:rFonts w:ascii="Times New Roman" w:hAnsi="Times New Roman" w:cs="Times New Roman"/>
                <w:b/>
                <w:bCs/>
                <w:color w:val="000000"/>
                <w:sz w:val="14"/>
                <w:szCs w:val="14"/>
                <w:lang w:eastAsia="sk-SK"/>
              </w:rPr>
              <w:t>Daňové príjmy a príjmy FSZP spolu</w:t>
            </w:r>
          </w:p>
        </w:tc>
        <w:tc>
          <w:tcPr>
            <w:tcW w:w="781" w:type="pct"/>
            <w:tcBorders>
              <w:top w:val="nil"/>
              <w:left w:val="nil"/>
              <w:bottom w:val="single" w:sz="4" w:space="0" w:color="auto"/>
              <w:right w:val="single" w:sz="4" w:space="0" w:color="auto"/>
            </w:tcBorders>
            <w:shd w:val="clear" w:color="000000" w:fill="BFBF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8 356</w:t>
            </w:r>
          </w:p>
        </w:tc>
        <w:tc>
          <w:tcPr>
            <w:tcW w:w="781" w:type="pct"/>
            <w:tcBorders>
              <w:top w:val="nil"/>
              <w:left w:val="nil"/>
              <w:bottom w:val="single" w:sz="4" w:space="0" w:color="auto"/>
              <w:right w:val="single" w:sz="4" w:space="0" w:color="auto"/>
            </w:tcBorders>
            <w:shd w:val="clear" w:color="000000" w:fill="BFBF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19 603</w:t>
            </w:r>
          </w:p>
        </w:tc>
        <w:tc>
          <w:tcPr>
            <w:tcW w:w="780" w:type="pct"/>
            <w:tcBorders>
              <w:top w:val="nil"/>
              <w:left w:val="nil"/>
              <w:bottom w:val="single" w:sz="4" w:space="0" w:color="auto"/>
              <w:right w:val="single" w:sz="4" w:space="0" w:color="auto"/>
            </w:tcBorders>
            <w:shd w:val="clear" w:color="000000" w:fill="BFBF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24 526</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9769EF" w:rsidRPr="00E6654C" w:rsidRDefault="009769EF" w:rsidP="00300E07">
            <w:pPr>
              <w:rPr>
                <w:rFonts w:ascii="Times New Roman" w:hAnsi="Times New Roman" w:cs="Times New Roman"/>
                <w:color w:val="000000"/>
                <w:sz w:val="14"/>
                <w:szCs w:val="14"/>
                <w:lang w:eastAsia="sk-SK"/>
              </w:rPr>
            </w:pPr>
            <w:r w:rsidRPr="00E6654C">
              <w:rPr>
                <w:rFonts w:ascii="Times New Roman" w:hAnsi="Times New Roman" w:cs="Times New Roman"/>
                <w:color w:val="000000"/>
                <w:sz w:val="14"/>
                <w:szCs w:val="14"/>
                <w:lang w:eastAsia="sk-SK"/>
              </w:rPr>
              <w:t>Sankcie</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-1 700</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-1 772</w:t>
            </w:r>
          </w:p>
        </w:tc>
        <w:tc>
          <w:tcPr>
            <w:tcW w:w="780"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-1 772</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9769EF" w:rsidRPr="00E6654C" w:rsidRDefault="009769EF" w:rsidP="00300E07">
            <w:pPr>
              <w:rPr>
                <w:rFonts w:ascii="Times New Roman" w:hAnsi="Times New Roman" w:cs="Times New Roman"/>
                <w:color w:val="000000"/>
                <w:sz w:val="14"/>
                <w:szCs w:val="14"/>
                <w:lang w:eastAsia="sk-SK"/>
              </w:rPr>
            </w:pPr>
            <w:r w:rsidRPr="00E6654C">
              <w:rPr>
                <w:rFonts w:ascii="Times New Roman" w:hAnsi="Times New Roman" w:cs="Times New Roman"/>
                <w:color w:val="000000"/>
                <w:sz w:val="14"/>
                <w:szCs w:val="14"/>
                <w:lang w:eastAsia="sk-SK"/>
              </w:rPr>
              <w:t>Daňové príjmy a príjmy FSZP vrátane sankcií</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6 656</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17 831</w:t>
            </w:r>
          </w:p>
        </w:tc>
        <w:tc>
          <w:tcPr>
            <w:tcW w:w="780"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22 754</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000000" w:fill="BFBFBF"/>
            <w:noWrap/>
            <w:vAlign w:val="center"/>
            <w:hideMark/>
          </w:tcPr>
          <w:p w:rsidR="009769EF" w:rsidRPr="00E6654C" w:rsidRDefault="009769EF" w:rsidP="00300E07">
            <w:pPr>
              <w:rPr>
                <w:rFonts w:ascii="Times New Roman" w:hAnsi="Times New Roman" w:cs="Times New Roman"/>
                <w:b/>
                <w:bCs/>
                <w:color w:val="000000"/>
                <w:sz w:val="14"/>
                <w:szCs w:val="14"/>
                <w:lang w:eastAsia="sk-SK"/>
              </w:rPr>
            </w:pPr>
            <w:r w:rsidRPr="00E6654C">
              <w:rPr>
                <w:rFonts w:ascii="Times New Roman" w:hAnsi="Times New Roman" w:cs="Times New Roman"/>
                <w:b/>
                <w:bCs/>
                <w:color w:val="000000"/>
                <w:sz w:val="14"/>
                <w:szCs w:val="14"/>
                <w:lang w:eastAsia="sk-SK"/>
              </w:rPr>
              <w:t>Výdavky na VPÚ</w:t>
            </w:r>
          </w:p>
        </w:tc>
        <w:tc>
          <w:tcPr>
            <w:tcW w:w="781" w:type="pct"/>
            <w:tcBorders>
              <w:top w:val="nil"/>
              <w:left w:val="nil"/>
              <w:bottom w:val="single" w:sz="4" w:space="0" w:color="auto"/>
              <w:right w:val="single" w:sz="4" w:space="0" w:color="auto"/>
            </w:tcBorders>
            <w:shd w:val="clear" w:color="000000" w:fill="BFBF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-1 671</w:t>
            </w:r>
          </w:p>
        </w:tc>
        <w:tc>
          <w:tcPr>
            <w:tcW w:w="781" w:type="pct"/>
            <w:tcBorders>
              <w:top w:val="nil"/>
              <w:left w:val="nil"/>
              <w:bottom w:val="single" w:sz="4" w:space="0" w:color="auto"/>
              <w:right w:val="single" w:sz="4" w:space="0" w:color="auto"/>
            </w:tcBorders>
            <w:shd w:val="clear" w:color="000000" w:fill="BFBF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-2 679</w:t>
            </w:r>
          </w:p>
        </w:tc>
        <w:tc>
          <w:tcPr>
            <w:tcW w:w="780" w:type="pct"/>
            <w:tcBorders>
              <w:top w:val="nil"/>
              <w:left w:val="nil"/>
              <w:bottom w:val="single" w:sz="4" w:space="0" w:color="auto"/>
              <w:right w:val="single" w:sz="4" w:space="0" w:color="auto"/>
            </w:tcBorders>
            <w:shd w:val="clear" w:color="000000" w:fill="BFBFBF"/>
            <w:noWrap/>
            <w:vAlign w:val="center"/>
          </w:tcPr>
          <w:p w:rsidR="009769EF" w:rsidRPr="00E6654C" w:rsidRDefault="009769EF" w:rsidP="00300E07">
            <w:pPr>
              <w:jc w:val="right"/>
              <w:rPr>
                <w:rFonts w:ascii="Times New Roman" w:hAnsi="Times New Roman" w:cs="Times New Roman"/>
                <w:b/>
                <w:bCs/>
                <w:sz w:val="14"/>
                <w:szCs w:val="14"/>
              </w:rPr>
            </w:pPr>
            <w:r w:rsidRPr="00E6654C">
              <w:rPr>
                <w:rFonts w:ascii="Times New Roman" w:hAnsi="Times New Roman" w:cs="Times New Roman"/>
                <w:b/>
                <w:bCs/>
                <w:sz w:val="14"/>
                <w:szCs w:val="14"/>
              </w:rPr>
              <w:t>-3 039</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9769EF" w:rsidRPr="00E6654C" w:rsidRDefault="009769EF" w:rsidP="00300E07">
            <w:pPr>
              <w:ind w:firstLineChars="100" w:firstLine="140"/>
              <w:rPr>
                <w:rFonts w:ascii="Times New Roman" w:hAnsi="Times New Roman" w:cs="Times New Roman"/>
                <w:color w:val="000000"/>
                <w:sz w:val="14"/>
                <w:szCs w:val="14"/>
                <w:lang w:eastAsia="sk-SK"/>
              </w:rPr>
            </w:pPr>
            <w:r w:rsidRPr="00E6654C">
              <w:rPr>
                <w:rFonts w:ascii="Times New Roman" w:hAnsi="Times New Roman" w:cs="Times New Roman"/>
                <w:color w:val="000000"/>
                <w:sz w:val="14"/>
                <w:szCs w:val="14"/>
                <w:lang w:eastAsia="sk-SK"/>
              </w:rPr>
              <w:t>Daň z príjmov fyzických osôb</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-36</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368</w:t>
            </w:r>
          </w:p>
        </w:tc>
        <w:tc>
          <w:tcPr>
            <w:tcW w:w="780"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690</w:t>
            </w:r>
          </w:p>
        </w:tc>
      </w:tr>
      <w:tr w:rsidR="009769EF" w:rsidRPr="002B0850" w:rsidTr="00300E07">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9769EF" w:rsidRPr="00E6654C" w:rsidRDefault="009769EF" w:rsidP="00300E07">
            <w:pPr>
              <w:ind w:firstLineChars="100" w:firstLine="140"/>
              <w:rPr>
                <w:rFonts w:ascii="Times New Roman" w:hAnsi="Times New Roman" w:cs="Times New Roman"/>
                <w:color w:val="000000"/>
                <w:sz w:val="14"/>
                <w:szCs w:val="14"/>
                <w:lang w:eastAsia="sk-SK"/>
              </w:rPr>
            </w:pPr>
            <w:r w:rsidRPr="00E6654C">
              <w:rPr>
                <w:rFonts w:ascii="Times New Roman" w:hAnsi="Times New Roman" w:cs="Times New Roman"/>
                <w:color w:val="000000"/>
                <w:sz w:val="14"/>
                <w:szCs w:val="14"/>
                <w:lang w:eastAsia="sk-SK"/>
              </w:rPr>
              <w:t>Daň z príjmov právnických osôb</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-1 635</w:t>
            </w:r>
          </w:p>
        </w:tc>
        <w:tc>
          <w:tcPr>
            <w:tcW w:w="781"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-3 047</w:t>
            </w:r>
          </w:p>
        </w:tc>
        <w:tc>
          <w:tcPr>
            <w:tcW w:w="780" w:type="pct"/>
            <w:tcBorders>
              <w:top w:val="nil"/>
              <w:left w:val="nil"/>
              <w:bottom w:val="single" w:sz="4" w:space="0" w:color="auto"/>
              <w:right w:val="single" w:sz="4" w:space="0" w:color="auto"/>
            </w:tcBorders>
            <w:shd w:val="clear" w:color="auto" w:fill="auto"/>
            <w:noWrap/>
            <w:vAlign w:val="center"/>
          </w:tcPr>
          <w:p w:rsidR="009769EF" w:rsidRPr="00E6654C" w:rsidRDefault="009769EF" w:rsidP="00300E07">
            <w:pPr>
              <w:jc w:val="right"/>
              <w:rPr>
                <w:rFonts w:ascii="Times New Roman" w:hAnsi="Times New Roman" w:cs="Times New Roman"/>
                <w:sz w:val="14"/>
                <w:szCs w:val="14"/>
              </w:rPr>
            </w:pPr>
            <w:r w:rsidRPr="00E6654C">
              <w:rPr>
                <w:rFonts w:ascii="Times New Roman" w:hAnsi="Times New Roman" w:cs="Times New Roman"/>
                <w:sz w:val="14"/>
                <w:szCs w:val="14"/>
              </w:rPr>
              <w:t>-3 729</w:t>
            </w:r>
          </w:p>
        </w:tc>
      </w:tr>
      <w:tr w:rsidR="009769EF" w:rsidRPr="008A0767" w:rsidTr="00300E07">
        <w:trPr>
          <w:trHeight w:val="255"/>
          <w:jc w:val="center"/>
        </w:trPr>
        <w:tc>
          <w:tcPr>
            <w:tcW w:w="5000" w:type="pct"/>
            <w:gridSpan w:val="4"/>
            <w:tcBorders>
              <w:top w:val="nil"/>
              <w:left w:val="nil"/>
              <w:bottom w:val="nil"/>
              <w:right w:val="nil"/>
            </w:tcBorders>
            <w:shd w:val="clear" w:color="auto" w:fill="auto"/>
            <w:noWrap/>
            <w:vAlign w:val="center"/>
            <w:hideMark/>
          </w:tcPr>
          <w:p w:rsidR="009769EF" w:rsidRPr="00E6654C" w:rsidRDefault="009769EF" w:rsidP="00300E07">
            <w:pPr>
              <w:rPr>
                <w:rFonts w:ascii="Times New Roman" w:hAnsi="Times New Roman" w:cs="Times New Roman"/>
                <w:i/>
                <w:iCs/>
                <w:color w:val="000000"/>
                <w:sz w:val="14"/>
                <w:szCs w:val="14"/>
                <w:lang w:eastAsia="sk-SK"/>
              </w:rPr>
            </w:pPr>
            <w:r w:rsidRPr="00E6654C">
              <w:rPr>
                <w:rFonts w:ascii="Times New Roman" w:hAnsi="Times New Roman" w:cs="Times New Roman"/>
                <w:i/>
                <w:iCs/>
                <w:color w:val="000000"/>
                <w:sz w:val="14"/>
                <w:szCs w:val="14"/>
                <w:lang w:eastAsia="sk-SK"/>
              </w:rPr>
              <w:t>(+) indikuje aktuálny odhad vyšší ako rozpočet, (-) indikuje aktuálny odhad nižší ako rozpočet</w:t>
            </w:r>
          </w:p>
        </w:tc>
      </w:tr>
    </w:tbl>
    <w:p w:rsidR="009769EF" w:rsidRDefault="009769EF" w:rsidP="009769EF">
      <w:pPr>
        <w:rPr>
          <w:rFonts w:ascii="Times New Roman" w:hAnsi="Times New Roman" w:cs="Times New Roman"/>
          <w:color w:val="FF0000"/>
          <w:highlight w:val="yellow"/>
        </w:rPr>
      </w:pPr>
    </w:p>
    <w:p w:rsidR="009769EF" w:rsidRPr="005A619E" w:rsidRDefault="009769EF" w:rsidP="002673EC">
      <w:pPr>
        <w:ind w:firstLine="708"/>
        <w:rPr>
          <w:rFonts w:ascii="Times New Roman" w:hAnsi="Times New Roman" w:cs="Times New Roman"/>
          <w:b/>
          <w:bCs/>
        </w:rPr>
      </w:pPr>
      <w:r w:rsidRPr="002673EC">
        <w:rPr>
          <w:rFonts w:ascii="Times New Roman" w:hAnsi="Times New Roman" w:cs="Times New Roman"/>
          <w:b/>
          <w:bCs/>
        </w:rPr>
        <w:t>Vyjadrenia členov daňového výboru k prognózam</w:t>
      </w:r>
    </w:p>
    <w:p w:rsidR="009769EF" w:rsidRPr="007C4B26" w:rsidRDefault="002673EC" w:rsidP="009769EF">
      <w:pPr>
        <w:rPr>
          <w:rFonts w:ascii="Times New Roman" w:hAnsi="Times New Roman" w:cs="Times New Roman"/>
          <w:highlight w:val="yellow"/>
        </w:rPr>
      </w:pPr>
      <w:r>
        <w:rPr>
          <w:rFonts w:ascii="Times New Roman" w:hAnsi="Times New Roman" w:cs="Times New Roman"/>
          <w:highlight w:val="yellow"/>
        </w:rPr>
        <w:t xml:space="preserve"> </w:t>
      </w:r>
    </w:p>
    <w:p w:rsidR="009769EF" w:rsidRPr="00B95367" w:rsidRDefault="009769EF" w:rsidP="009769EF">
      <w:pPr>
        <w:ind w:firstLine="708"/>
        <w:jc w:val="both"/>
        <w:rPr>
          <w:rFonts w:ascii="Times New Roman" w:hAnsi="Times New Roman" w:cs="Times New Roman"/>
        </w:rPr>
      </w:pPr>
      <w:r w:rsidRPr="005A619E">
        <w:rPr>
          <w:rFonts w:ascii="Times New Roman" w:hAnsi="Times New Roman" w:cs="Times New Roman"/>
        </w:rPr>
        <w:t xml:space="preserve">Prognóza daňových príjmov </w:t>
      </w:r>
      <w:r w:rsidR="00207B1D">
        <w:rPr>
          <w:rFonts w:ascii="Times New Roman" w:hAnsi="Times New Roman" w:cs="Times New Roman"/>
        </w:rPr>
        <w:t>Ministerstva financií</w:t>
      </w:r>
      <w:r w:rsidRPr="005A619E">
        <w:rPr>
          <w:rFonts w:ascii="Times New Roman" w:hAnsi="Times New Roman" w:cs="Times New Roman"/>
        </w:rPr>
        <w:t xml:space="preserve"> SR bola podrobená hodnoteniu v rámci Výboru pre daňové prognózy. Zasadnuti</w:t>
      </w:r>
      <w:r>
        <w:rPr>
          <w:rFonts w:ascii="Times New Roman" w:hAnsi="Times New Roman" w:cs="Times New Roman"/>
        </w:rPr>
        <w:t>e Výboru sa konalo 21. septembra 2017</w:t>
      </w:r>
      <w:r w:rsidRPr="005A619E">
        <w:rPr>
          <w:rFonts w:ascii="Times New Roman" w:hAnsi="Times New Roman" w:cs="Times New Roman"/>
        </w:rPr>
        <w:t xml:space="preserve">. </w:t>
      </w:r>
      <w:r w:rsidRPr="002673EC">
        <w:rPr>
          <w:rFonts w:ascii="Times New Roman" w:hAnsi="Times New Roman" w:cs="Times New Roman"/>
          <w:b/>
        </w:rPr>
        <w:t>Pro</w:t>
      </w:r>
      <w:r w:rsidRPr="005A619E">
        <w:rPr>
          <w:rFonts w:ascii="Times New Roman" w:hAnsi="Times New Roman" w:cs="Times New Roman"/>
          <w:b/>
        </w:rPr>
        <w:t>gnóza daňových príjmov</w:t>
      </w:r>
      <w:r w:rsidRPr="005A619E">
        <w:rPr>
          <w:rFonts w:ascii="Times New Roman" w:hAnsi="Times New Roman" w:cs="Times New Roman"/>
        </w:rPr>
        <w:t xml:space="preserve"> a sociálnych odvodov </w:t>
      </w:r>
      <w:r w:rsidR="00207B1D">
        <w:rPr>
          <w:rFonts w:ascii="Times New Roman" w:hAnsi="Times New Roman" w:cs="Times New Roman"/>
        </w:rPr>
        <w:t>Ministerstva financií</w:t>
      </w:r>
      <w:r w:rsidRPr="005A619E">
        <w:rPr>
          <w:rFonts w:ascii="Times New Roman" w:hAnsi="Times New Roman" w:cs="Times New Roman"/>
        </w:rPr>
        <w:t xml:space="preserve"> SR </w:t>
      </w:r>
      <w:r w:rsidRPr="005A619E">
        <w:rPr>
          <w:rFonts w:ascii="Times New Roman" w:hAnsi="Times New Roman" w:cs="Times New Roman"/>
          <w:b/>
        </w:rPr>
        <w:t xml:space="preserve">bola všetkými členmi </w:t>
      </w:r>
      <w:r w:rsidRPr="00E86052">
        <w:rPr>
          <w:rFonts w:ascii="Times New Roman" w:hAnsi="Times New Roman" w:cs="Times New Roman"/>
          <w:b/>
        </w:rPr>
        <w:t>Výboru</w:t>
      </w:r>
      <w:r w:rsidRPr="00E86052">
        <w:rPr>
          <w:rFonts w:ascii="Times New Roman" w:hAnsi="Times New Roman" w:cs="Times New Roman"/>
        </w:rPr>
        <w:t xml:space="preserve"> </w:t>
      </w:r>
      <w:r w:rsidRPr="00E86052">
        <w:rPr>
          <w:rFonts w:ascii="Times New Roman" w:hAnsi="Times New Roman" w:cs="Times New Roman"/>
          <w:b/>
        </w:rPr>
        <w:t>označená</w:t>
      </w:r>
      <w:r w:rsidRPr="00E86052">
        <w:rPr>
          <w:rFonts w:ascii="Times New Roman" w:hAnsi="Times New Roman" w:cs="Times New Roman"/>
          <w:b/>
          <w:color w:val="FF0000"/>
        </w:rPr>
        <w:t xml:space="preserve"> </w:t>
      </w:r>
      <w:r w:rsidRPr="00E86052">
        <w:rPr>
          <w:rFonts w:ascii="Times New Roman" w:hAnsi="Times New Roman" w:cs="Times New Roman"/>
          <w:b/>
        </w:rPr>
        <w:t xml:space="preserve">ako </w:t>
      </w:r>
      <w:r w:rsidRPr="00E86052">
        <w:rPr>
          <w:rFonts w:ascii="Times New Roman" w:hAnsi="Times New Roman" w:cs="Times New Roman"/>
          <w:b/>
          <w:bCs/>
        </w:rPr>
        <w:t>realistická</w:t>
      </w:r>
      <w:r w:rsidRPr="00E86052">
        <w:rPr>
          <w:rFonts w:ascii="Times New Roman" w:hAnsi="Times New Roman" w:cs="Times New Roman"/>
        </w:rPr>
        <w:t>.</w:t>
      </w:r>
    </w:p>
    <w:p w:rsidR="00AE239D" w:rsidRDefault="00AE239D" w:rsidP="00AE239D">
      <w:pPr>
        <w:ind w:firstLine="708"/>
        <w:jc w:val="both"/>
        <w:rPr>
          <w:rFonts w:ascii="Times New Roman" w:hAnsi="Times New Roman" w:cs="Times New Roman"/>
        </w:rPr>
      </w:pPr>
    </w:p>
    <w:p w:rsidR="00AE239D" w:rsidRDefault="00D2436A" w:rsidP="00AE239D">
      <w:pPr>
        <w:jc w:val="both"/>
        <w:rPr>
          <w:rFonts w:ascii="Times New Roman" w:hAnsi="Times New Roman" w:cs="Times New Roman"/>
        </w:rPr>
      </w:pPr>
      <w:r>
        <w:rPr>
          <w:rFonts w:ascii="Times New Roman" w:hAnsi="Times New Roman" w:cs="Times New Roman"/>
        </w:rPr>
        <w:tab/>
      </w:r>
      <w:r w:rsidRPr="00717858">
        <w:rPr>
          <w:rFonts w:ascii="Times New Roman" w:hAnsi="Times New Roman" w:cs="Times New Roman"/>
        </w:rPr>
        <w:t>Nad rámec vyššie uvedenej septembrovej prognózy daňových príjmov je v rozpočte verejnej správy zapracovaný odhadovaný príjem z objemu životného aj neživotného poistenia.</w:t>
      </w:r>
    </w:p>
    <w:p w:rsidR="00D2436A" w:rsidRDefault="00D2436A" w:rsidP="00AE239D">
      <w:pPr>
        <w:jc w:val="both"/>
        <w:rPr>
          <w:rFonts w:ascii="Times New Roman" w:hAnsi="Times New Roman" w:cs="Times New Roman"/>
        </w:rPr>
      </w:pPr>
    </w:p>
    <w:p w:rsidR="00D2436A" w:rsidRDefault="00D2436A" w:rsidP="00AE239D">
      <w:pPr>
        <w:jc w:val="both"/>
        <w:rPr>
          <w:rFonts w:ascii="Times New Roman" w:hAnsi="Times New Roman" w:cs="Times New Roman"/>
        </w:rPr>
      </w:pPr>
    </w:p>
    <w:p w:rsidR="004F01E4" w:rsidRDefault="004F01E4" w:rsidP="00AE239D">
      <w:pPr>
        <w:jc w:val="both"/>
        <w:rPr>
          <w:rFonts w:ascii="Times New Roman" w:hAnsi="Times New Roman" w:cs="Times New Roman"/>
        </w:rPr>
      </w:pPr>
    </w:p>
    <w:p w:rsidR="00CC0BFD" w:rsidRDefault="00CC0BFD" w:rsidP="00AE239D">
      <w:pPr>
        <w:jc w:val="both"/>
        <w:rPr>
          <w:rFonts w:ascii="Times New Roman" w:hAnsi="Times New Roman" w:cs="Times New Roman"/>
        </w:rPr>
      </w:pPr>
    </w:p>
    <w:p w:rsidR="00D2436A" w:rsidRDefault="00D2436A" w:rsidP="00AE239D">
      <w:pPr>
        <w:jc w:val="both"/>
        <w:rPr>
          <w:rFonts w:ascii="Times New Roman" w:hAnsi="Times New Roman" w:cs="Times New Roman"/>
        </w:rPr>
      </w:pPr>
    </w:p>
    <w:p w:rsidR="004F01E4" w:rsidRPr="00D2436A" w:rsidRDefault="004F01E4" w:rsidP="00AE239D">
      <w:pPr>
        <w:jc w:val="both"/>
        <w:rPr>
          <w:rFonts w:ascii="Times New Roman" w:hAnsi="Times New Roman" w:cs="Times New Roman"/>
        </w:rPr>
      </w:pPr>
    </w:p>
    <w:p w:rsidR="00DD719C" w:rsidRPr="00D40EEE" w:rsidRDefault="00FA4300" w:rsidP="00DD719C">
      <w:pPr>
        <w:pStyle w:val="Nadpis2"/>
        <w:spacing w:before="0" w:after="0"/>
        <w:rPr>
          <w:rFonts w:ascii="Times New Roman" w:hAnsi="Times New Roman"/>
          <w:i w:val="0"/>
          <w:sz w:val="24"/>
          <w:szCs w:val="24"/>
        </w:rPr>
      </w:pPr>
      <w:bookmarkStart w:id="38" w:name="_Toc210700501"/>
      <w:bookmarkStart w:id="39" w:name="_Toc314471177"/>
      <w:bookmarkStart w:id="40" w:name="_Toc494463967"/>
      <w:r w:rsidRPr="002A0245">
        <w:rPr>
          <w:rFonts w:ascii="Times New Roman" w:hAnsi="Times New Roman"/>
          <w:i w:val="0"/>
          <w:sz w:val="24"/>
          <w:szCs w:val="24"/>
        </w:rPr>
        <w:lastRenderedPageBreak/>
        <w:t>3</w:t>
      </w:r>
      <w:r w:rsidR="00DD719C" w:rsidRPr="002A0245">
        <w:rPr>
          <w:rFonts w:ascii="Times New Roman" w:hAnsi="Times New Roman"/>
          <w:i w:val="0"/>
          <w:sz w:val="24"/>
          <w:szCs w:val="24"/>
        </w:rPr>
        <w:t>.</w:t>
      </w:r>
      <w:r w:rsidR="004E44EF" w:rsidRPr="002A0245">
        <w:rPr>
          <w:rFonts w:ascii="Times New Roman" w:hAnsi="Times New Roman"/>
          <w:i w:val="0"/>
          <w:sz w:val="24"/>
          <w:szCs w:val="24"/>
        </w:rPr>
        <w:t>4</w:t>
      </w:r>
      <w:r w:rsidR="00DD719C" w:rsidRPr="002A0245">
        <w:rPr>
          <w:rFonts w:ascii="Times New Roman" w:hAnsi="Times New Roman"/>
          <w:i w:val="0"/>
          <w:sz w:val="24"/>
          <w:szCs w:val="24"/>
        </w:rPr>
        <w:t>. Rozpočtovanie iných ako daňových príjmov</w:t>
      </w:r>
      <w:bookmarkEnd w:id="38"/>
      <w:r w:rsidR="00DD719C" w:rsidRPr="002A0245">
        <w:rPr>
          <w:rFonts w:ascii="Times New Roman" w:hAnsi="Times New Roman"/>
          <w:i w:val="0"/>
          <w:sz w:val="24"/>
          <w:szCs w:val="24"/>
        </w:rPr>
        <w:t xml:space="preserve"> štátneho rozpočtu</w:t>
      </w:r>
      <w:bookmarkEnd w:id="39"/>
      <w:bookmarkEnd w:id="40"/>
    </w:p>
    <w:p w:rsidR="004F01E4" w:rsidRPr="004018DE" w:rsidRDefault="004F01E4" w:rsidP="004F01E4">
      <w:pPr>
        <w:rPr>
          <w:rFonts w:ascii="Times New Roman" w:hAnsi="Times New Roman" w:cs="Times New Roman"/>
        </w:rPr>
      </w:pPr>
    </w:p>
    <w:p w:rsidR="00164406" w:rsidRPr="004018DE" w:rsidRDefault="00164406" w:rsidP="00164406">
      <w:pPr>
        <w:jc w:val="both"/>
        <w:rPr>
          <w:rFonts w:ascii="Times New Roman" w:hAnsi="Times New Roman" w:cs="Times New Roman"/>
        </w:rPr>
      </w:pPr>
      <w:r>
        <w:rPr>
          <w:rFonts w:ascii="Times New Roman" w:hAnsi="Times New Roman" w:cs="Times New Roman"/>
        </w:rPr>
        <w:tab/>
        <w:t>Okrem daňových príjmov sú výdavkové politiky vlády financované aj z iných ako daňových príjmov, ktoré sú uvedené v nasledujúcej tabuľke.</w:t>
      </w:r>
    </w:p>
    <w:p w:rsidR="00164406" w:rsidRPr="004018DE" w:rsidRDefault="00164406" w:rsidP="00164406">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7"/>
        <w:gridCol w:w="1055"/>
        <w:gridCol w:w="1055"/>
        <w:gridCol w:w="1055"/>
        <w:gridCol w:w="1055"/>
        <w:gridCol w:w="1055"/>
        <w:gridCol w:w="1055"/>
        <w:gridCol w:w="1055"/>
      </w:tblGrid>
      <w:tr w:rsidR="00164406" w:rsidRPr="00502053" w:rsidTr="00CE7047">
        <w:trPr>
          <w:trHeight w:val="345"/>
        </w:trPr>
        <w:tc>
          <w:tcPr>
            <w:tcW w:w="925" w:type="pct"/>
            <w:shd w:val="clear" w:color="000000" w:fill="A6A6A6"/>
            <w:vAlign w:val="center"/>
            <w:hideMark/>
          </w:tcPr>
          <w:p w:rsidR="00164406" w:rsidRPr="00502053" w:rsidRDefault="00164406" w:rsidP="00CE7047">
            <w:pP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v tis. eur</w:t>
            </w:r>
          </w:p>
        </w:tc>
        <w:tc>
          <w:tcPr>
            <w:tcW w:w="582"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4A1B5B">
              <w:rPr>
                <w:rFonts w:ascii="Times New Roman" w:hAnsi="Times New Roman" w:cs="Times New Roman"/>
                <w:b/>
                <w:bCs/>
                <w:color w:val="000000"/>
                <w:sz w:val="14"/>
                <w:szCs w:val="14"/>
                <w:lang w:eastAsia="sk-SK"/>
              </w:rPr>
              <w:t>2015 S</w:t>
            </w:r>
          </w:p>
        </w:tc>
        <w:tc>
          <w:tcPr>
            <w:tcW w:w="582"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S</w:t>
            </w:r>
          </w:p>
        </w:tc>
        <w:tc>
          <w:tcPr>
            <w:tcW w:w="582"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R</w:t>
            </w:r>
          </w:p>
        </w:tc>
        <w:tc>
          <w:tcPr>
            <w:tcW w:w="582"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OS</w:t>
            </w:r>
          </w:p>
        </w:tc>
        <w:tc>
          <w:tcPr>
            <w:tcW w:w="582"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N</w:t>
            </w:r>
          </w:p>
        </w:tc>
        <w:tc>
          <w:tcPr>
            <w:tcW w:w="582"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82"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r>
      <w:tr w:rsidR="00164406" w:rsidRPr="004F1396" w:rsidTr="00CE7047">
        <w:trPr>
          <w:trHeight w:val="345"/>
        </w:trPr>
        <w:tc>
          <w:tcPr>
            <w:tcW w:w="925" w:type="pct"/>
            <w:shd w:val="clear" w:color="000000" w:fill="BFBFBF"/>
            <w:vAlign w:val="center"/>
            <w:hideMark/>
          </w:tcPr>
          <w:p w:rsidR="00164406" w:rsidRPr="00E6041E" w:rsidRDefault="00164406" w:rsidP="00CE7047">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Spolu</w:t>
            </w:r>
          </w:p>
        </w:tc>
        <w:tc>
          <w:tcPr>
            <w:tcW w:w="582" w:type="pct"/>
            <w:shd w:val="clear" w:color="000000" w:fill="BFBFBF"/>
            <w:vAlign w:val="center"/>
            <w:hideMark/>
          </w:tcPr>
          <w:p w:rsidR="00164406" w:rsidRPr="0030562B" w:rsidRDefault="00164406" w:rsidP="00CE7047">
            <w:pPr>
              <w:jc w:val="right"/>
              <w:rPr>
                <w:rFonts w:ascii="Times New Roman" w:hAnsi="Times New Roman" w:cs="Times New Roman"/>
                <w:b/>
                <w:bCs/>
                <w:color w:val="000000"/>
                <w:sz w:val="14"/>
                <w:szCs w:val="14"/>
                <w:lang w:eastAsia="sk-SK"/>
              </w:rPr>
            </w:pPr>
            <w:r w:rsidRPr="004A1B5B">
              <w:rPr>
                <w:rFonts w:ascii="Times New Roman" w:hAnsi="Times New Roman" w:cs="Times New Roman"/>
                <w:b/>
                <w:bCs/>
                <w:color w:val="000000"/>
                <w:sz w:val="14"/>
                <w:szCs w:val="14"/>
              </w:rPr>
              <w:t>5 597 209</w:t>
            </w:r>
          </w:p>
        </w:tc>
        <w:tc>
          <w:tcPr>
            <w:tcW w:w="582" w:type="pct"/>
            <w:shd w:val="clear" w:color="000000" w:fill="BFBFBF"/>
            <w:vAlign w:val="center"/>
          </w:tcPr>
          <w:p w:rsidR="00164406" w:rsidRPr="0030562B"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3 194 348</w:t>
            </w:r>
          </w:p>
        </w:tc>
        <w:tc>
          <w:tcPr>
            <w:tcW w:w="582" w:type="pct"/>
            <w:shd w:val="clear" w:color="000000" w:fill="BFBFBF"/>
            <w:vAlign w:val="center"/>
          </w:tcPr>
          <w:p w:rsidR="00164406" w:rsidRPr="0030562B" w:rsidRDefault="00164406" w:rsidP="00CE7047">
            <w:pPr>
              <w:jc w:val="right"/>
              <w:rPr>
                <w:rFonts w:ascii="Times New Roman" w:hAnsi="Times New Roman" w:cs="Times New Roman"/>
                <w:b/>
                <w:bCs/>
                <w:color w:val="000000"/>
                <w:sz w:val="14"/>
                <w:szCs w:val="14"/>
              </w:rPr>
            </w:pPr>
            <w:r w:rsidRPr="004A1B5B">
              <w:rPr>
                <w:rFonts w:ascii="Times New Roman" w:hAnsi="Times New Roman" w:cs="Times New Roman"/>
                <w:b/>
                <w:bCs/>
                <w:color w:val="000000"/>
                <w:sz w:val="14"/>
                <w:szCs w:val="14"/>
              </w:rPr>
              <w:t>3 860 053</w:t>
            </w:r>
          </w:p>
        </w:tc>
        <w:tc>
          <w:tcPr>
            <w:tcW w:w="582" w:type="pct"/>
            <w:shd w:val="clear" w:color="000000" w:fill="BFBFBF"/>
            <w:vAlign w:val="center"/>
          </w:tcPr>
          <w:p w:rsidR="00164406" w:rsidRPr="00022A83" w:rsidRDefault="00164406" w:rsidP="00CE7047">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2 717 070</w:t>
            </w:r>
          </w:p>
        </w:tc>
        <w:tc>
          <w:tcPr>
            <w:tcW w:w="582" w:type="pct"/>
            <w:shd w:val="clear" w:color="000000" w:fill="BFBFBF"/>
            <w:vAlign w:val="center"/>
          </w:tcPr>
          <w:p w:rsidR="00164406" w:rsidRPr="0067250B"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2 621 292</w:t>
            </w:r>
          </w:p>
        </w:tc>
        <w:tc>
          <w:tcPr>
            <w:tcW w:w="582" w:type="pct"/>
            <w:shd w:val="clear" w:color="000000" w:fill="BFBFBF"/>
            <w:vAlign w:val="center"/>
          </w:tcPr>
          <w:p w:rsidR="00164406" w:rsidRPr="0067250B"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4 310 256</w:t>
            </w:r>
          </w:p>
        </w:tc>
        <w:tc>
          <w:tcPr>
            <w:tcW w:w="582" w:type="pct"/>
            <w:shd w:val="clear" w:color="000000" w:fill="BFBFBF"/>
            <w:vAlign w:val="center"/>
          </w:tcPr>
          <w:p w:rsidR="00164406" w:rsidRPr="0067250B" w:rsidRDefault="00164406" w:rsidP="00CE7047">
            <w:pPr>
              <w:jc w:val="right"/>
              <w:rPr>
                <w:rFonts w:ascii="Times New Roman" w:hAnsi="Times New Roman" w:cs="Times New Roman"/>
                <w:b/>
                <w:bCs/>
                <w:color w:val="000000"/>
                <w:sz w:val="14"/>
                <w:szCs w:val="14"/>
              </w:rPr>
            </w:pPr>
            <w:r w:rsidRPr="0067250B">
              <w:rPr>
                <w:rFonts w:ascii="Times New Roman" w:hAnsi="Times New Roman" w:cs="Times New Roman"/>
                <w:b/>
                <w:bCs/>
                <w:color w:val="000000"/>
                <w:sz w:val="14"/>
                <w:szCs w:val="14"/>
              </w:rPr>
              <w:t>4</w:t>
            </w:r>
            <w:r>
              <w:rPr>
                <w:rFonts w:ascii="Times New Roman" w:hAnsi="Times New Roman" w:cs="Times New Roman"/>
                <w:b/>
                <w:bCs/>
                <w:color w:val="000000"/>
                <w:sz w:val="14"/>
                <w:szCs w:val="14"/>
              </w:rPr>
              <w:t> 283 027</w:t>
            </w:r>
          </w:p>
        </w:tc>
      </w:tr>
      <w:tr w:rsidR="00164406" w:rsidRPr="004F1396" w:rsidTr="00CE7047">
        <w:trPr>
          <w:trHeight w:val="345"/>
        </w:trPr>
        <w:tc>
          <w:tcPr>
            <w:tcW w:w="925" w:type="pct"/>
            <w:shd w:val="clear" w:color="000000" w:fill="FFFFFF"/>
            <w:vAlign w:val="center"/>
            <w:hideMark/>
          </w:tcPr>
          <w:p w:rsidR="00164406" w:rsidRPr="00E6041E" w:rsidRDefault="00164406" w:rsidP="00CE7047">
            <w:pPr>
              <w:rPr>
                <w:rFonts w:ascii="Times New Roman" w:hAnsi="Times New Roman" w:cs="Times New Roman"/>
                <w:color w:val="000000"/>
                <w:sz w:val="14"/>
                <w:szCs w:val="14"/>
              </w:rPr>
            </w:pPr>
            <w:r w:rsidRPr="00E6041E">
              <w:rPr>
                <w:rFonts w:ascii="Times New Roman" w:hAnsi="Times New Roman" w:cs="Times New Roman"/>
                <w:color w:val="000000"/>
                <w:sz w:val="14"/>
                <w:szCs w:val="14"/>
              </w:rPr>
              <w:t>Zahraničné transfery</w:t>
            </w:r>
          </w:p>
        </w:tc>
        <w:tc>
          <w:tcPr>
            <w:tcW w:w="582" w:type="pct"/>
            <w:shd w:val="clear" w:color="000000" w:fill="FFFFFF"/>
            <w:vAlign w:val="center"/>
            <w:hideMark/>
          </w:tcPr>
          <w:p w:rsidR="00164406" w:rsidRPr="0030562B" w:rsidRDefault="00164406" w:rsidP="00CE7047">
            <w:pPr>
              <w:jc w:val="right"/>
              <w:rPr>
                <w:rFonts w:ascii="Times New Roman" w:hAnsi="Times New Roman" w:cs="Times New Roman"/>
                <w:color w:val="000000"/>
                <w:sz w:val="14"/>
                <w:szCs w:val="14"/>
              </w:rPr>
            </w:pPr>
            <w:r w:rsidRPr="004A1B5B">
              <w:rPr>
                <w:rFonts w:ascii="Times New Roman" w:hAnsi="Times New Roman" w:cs="Times New Roman"/>
                <w:color w:val="000000"/>
                <w:sz w:val="14"/>
                <w:szCs w:val="14"/>
              </w:rPr>
              <w:t>4 280 041</w:t>
            </w:r>
          </w:p>
        </w:tc>
        <w:tc>
          <w:tcPr>
            <w:tcW w:w="582" w:type="pct"/>
            <w:shd w:val="clear" w:color="000000" w:fill="FFFFFF"/>
            <w:vAlign w:val="center"/>
          </w:tcPr>
          <w:p w:rsidR="00164406" w:rsidRPr="0030562B" w:rsidRDefault="00164406" w:rsidP="00CE7047">
            <w:pPr>
              <w:jc w:val="right"/>
              <w:rPr>
                <w:rFonts w:ascii="Times New Roman" w:hAnsi="Times New Roman" w:cs="Times New Roman"/>
                <w:color w:val="000000"/>
                <w:sz w:val="14"/>
                <w:szCs w:val="14"/>
              </w:rPr>
            </w:pPr>
            <w:r w:rsidRPr="007E2A41">
              <w:rPr>
                <w:rFonts w:ascii="Times New Roman" w:hAnsi="Times New Roman" w:cs="Times New Roman"/>
                <w:color w:val="000000"/>
                <w:sz w:val="14"/>
                <w:szCs w:val="14"/>
              </w:rPr>
              <w:t>1 939 787</w:t>
            </w:r>
          </w:p>
        </w:tc>
        <w:tc>
          <w:tcPr>
            <w:tcW w:w="582" w:type="pct"/>
            <w:shd w:val="clear" w:color="000000" w:fill="FFFFFF"/>
            <w:vAlign w:val="center"/>
          </w:tcPr>
          <w:p w:rsidR="00164406" w:rsidRPr="0030562B" w:rsidRDefault="00164406" w:rsidP="00CE7047">
            <w:pPr>
              <w:jc w:val="right"/>
              <w:rPr>
                <w:rFonts w:ascii="Times New Roman" w:hAnsi="Times New Roman" w:cs="Times New Roman"/>
                <w:color w:val="000000"/>
                <w:sz w:val="14"/>
                <w:szCs w:val="14"/>
              </w:rPr>
            </w:pPr>
            <w:r w:rsidRPr="004A1B5B">
              <w:rPr>
                <w:rFonts w:ascii="Times New Roman" w:hAnsi="Times New Roman" w:cs="Times New Roman"/>
                <w:color w:val="000000"/>
                <w:sz w:val="14"/>
                <w:szCs w:val="14"/>
              </w:rPr>
              <w:t>2 655 927</w:t>
            </w:r>
          </w:p>
        </w:tc>
        <w:tc>
          <w:tcPr>
            <w:tcW w:w="582" w:type="pct"/>
            <w:shd w:val="clear" w:color="000000" w:fill="FFFFFF"/>
            <w:vAlign w:val="center"/>
          </w:tcPr>
          <w:p w:rsidR="00164406" w:rsidRPr="00022A83" w:rsidRDefault="00164406" w:rsidP="00CE7047">
            <w:pPr>
              <w:jc w:val="right"/>
              <w:rPr>
                <w:rFonts w:ascii="Times New Roman" w:hAnsi="Times New Roman" w:cs="Times New Roman"/>
                <w:color w:val="000000"/>
                <w:sz w:val="14"/>
                <w:szCs w:val="14"/>
              </w:rPr>
            </w:pPr>
            <w:r w:rsidRPr="00A774F6">
              <w:rPr>
                <w:rFonts w:ascii="Times New Roman" w:hAnsi="Times New Roman" w:cs="Times New Roman"/>
                <w:color w:val="000000"/>
                <w:sz w:val="14"/>
                <w:szCs w:val="14"/>
              </w:rPr>
              <w:t>1 536 984</w:t>
            </w:r>
          </w:p>
        </w:tc>
        <w:tc>
          <w:tcPr>
            <w:tcW w:w="582" w:type="pct"/>
            <w:shd w:val="clear" w:color="000000"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1 378</w:t>
            </w:r>
            <w:r w:rsidRPr="00EA3A22">
              <w:rPr>
                <w:rFonts w:ascii="Times New Roman" w:hAnsi="Times New Roman" w:cs="Times New Roman"/>
                <w:color w:val="000000"/>
                <w:sz w:val="14"/>
                <w:szCs w:val="14"/>
              </w:rPr>
              <w:t xml:space="preserve"> 41</w:t>
            </w:r>
            <w:r>
              <w:rPr>
                <w:rFonts w:ascii="Times New Roman" w:hAnsi="Times New Roman" w:cs="Times New Roman"/>
                <w:color w:val="000000"/>
                <w:sz w:val="14"/>
                <w:szCs w:val="14"/>
              </w:rPr>
              <w:t>9</w:t>
            </w:r>
          </w:p>
        </w:tc>
        <w:tc>
          <w:tcPr>
            <w:tcW w:w="582" w:type="pct"/>
            <w:shd w:val="clear" w:color="000000" w:fill="FFFFFF"/>
            <w:vAlign w:val="center"/>
          </w:tcPr>
          <w:p w:rsidR="00164406" w:rsidRPr="00022A83" w:rsidRDefault="00164406" w:rsidP="00CE7047">
            <w:pPr>
              <w:jc w:val="right"/>
              <w:rPr>
                <w:rFonts w:ascii="Times New Roman" w:hAnsi="Times New Roman" w:cs="Times New Roman"/>
                <w:color w:val="000000"/>
                <w:sz w:val="14"/>
                <w:szCs w:val="14"/>
              </w:rPr>
            </w:pPr>
            <w:r w:rsidRPr="00EA3A22">
              <w:rPr>
                <w:rFonts w:ascii="Times New Roman" w:hAnsi="Times New Roman" w:cs="Times New Roman"/>
                <w:color w:val="000000"/>
                <w:sz w:val="14"/>
                <w:szCs w:val="14"/>
              </w:rPr>
              <w:t>3 096 154</w:t>
            </w:r>
          </w:p>
        </w:tc>
        <w:tc>
          <w:tcPr>
            <w:tcW w:w="582" w:type="pct"/>
            <w:shd w:val="clear" w:color="000000" w:fill="FFFFFF"/>
            <w:vAlign w:val="center"/>
          </w:tcPr>
          <w:p w:rsidR="00164406" w:rsidRPr="00022A83" w:rsidRDefault="00164406" w:rsidP="00CE7047">
            <w:pPr>
              <w:jc w:val="right"/>
              <w:rPr>
                <w:rFonts w:ascii="Times New Roman" w:hAnsi="Times New Roman" w:cs="Times New Roman"/>
                <w:color w:val="000000"/>
                <w:sz w:val="14"/>
                <w:szCs w:val="14"/>
              </w:rPr>
            </w:pPr>
            <w:r w:rsidRPr="00EA3A22">
              <w:rPr>
                <w:rFonts w:ascii="Times New Roman" w:hAnsi="Times New Roman" w:cs="Times New Roman"/>
                <w:color w:val="000000"/>
                <w:sz w:val="14"/>
                <w:szCs w:val="14"/>
              </w:rPr>
              <w:t>3 065 388</w:t>
            </w:r>
          </w:p>
        </w:tc>
      </w:tr>
      <w:tr w:rsidR="00164406" w:rsidRPr="004F1396" w:rsidTr="00CE7047">
        <w:trPr>
          <w:trHeight w:val="345"/>
        </w:trPr>
        <w:tc>
          <w:tcPr>
            <w:tcW w:w="925" w:type="pct"/>
            <w:shd w:val="clear" w:color="000000" w:fill="FFFFFF"/>
            <w:vAlign w:val="center"/>
            <w:hideMark/>
          </w:tcPr>
          <w:p w:rsidR="00164406" w:rsidRPr="00E6041E" w:rsidRDefault="00164406" w:rsidP="00CE7047">
            <w:pPr>
              <w:rPr>
                <w:rFonts w:ascii="Times New Roman" w:hAnsi="Times New Roman" w:cs="Times New Roman"/>
                <w:color w:val="000000"/>
                <w:sz w:val="14"/>
                <w:szCs w:val="14"/>
              </w:rPr>
            </w:pPr>
            <w:r w:rsidRPr="00E6041E">
              <w:rPr>
                <w:rFonts w:ascii="Times New Roman" w:hAnsi="Times New Roman" w:cs="Times New Roman"/>
                <w:color w:val="000000"/>
                <w:sz w:val="14"/>
                <w:szCs w:val="14"/>
              </w:rPr>
              <w:t>Dividendy</w:t>
            </w:r>
          </w:p>
        </w:tc>
        <w:tc>
          <w:tcPr>
            <w:tcW w:w="582" w:type="pct"/>
            <w:shd w:val="clear" w:color="000000" w:fill="FFFFFF"/>
            <w:vAlign w:val="center"/>
            <w:hideMark/>
          </w:tcPr>
          <w:p w:rsidR="00164406" w:rsidRPr="0030562B" w:rsidRDefault="00164406" w:rsidP="00CE7047">
            <w:pPr>
              <w:jc w:val="right"/>
              <w:rPr>
                <w:rFonts w:ascii="Times New Roman" w:hAnsi="Times New Roman" w:cs="Times New Roman"/>
                <w:color w:val="000000"/>
                <w:sz w:val="14"/>
                <w:szCs w:val="14"/>
              </w:rPr>
            </w:pPr>
            <w:r w:rsidRPr="004A1B5B">
              <w:rPr>
                <w:rFonts w:ascii="Times New Roman" w:hAnsi="Times New Roman" w:cs="Times New Roman"/>
                <w:color w:val="000000"/>
                <w:sz w:val="14"/>
                <w:szCs w:val="14"/>
              </w:rPr>
              <w:t>488 534</w:t>
            </w:r>
          </w:p>
        </w:tc>
        <w:tc>
          <w:tcPr>
            <w:tcW w:w="582" w:type="pct"/>
            <w:shd w:val="clear" w:color="000000" w:fill="FFFFFF"/>
            <w:vAlign w:val="center"/>
          </w:tcPr>
          <w:p w:rsidR="00164406" w:rsidRPr="0002298F" w:rsidRDefault="00164406" w:rsidP="00CE7047">
            <w:pPr>
              <w:jc w:val="right"/>
              <w:rPr>
                <w:rFonts w:ascii="Times New Roman" w:hAnsi="Times New Roman" w:cs="Times New Roman"/>
                <w:color w:val="000000"/>
                <w:sz w:val="14"/>
                <w:szCs w:val="14"/>
              </w:rPr>
            </w:pPr>
            <w:r w:rsidRPr="0002298F">
              <w:rPr>
                <w:rFonts w:ascii="Times New Roman" w:hAnsi="Times New Roman" w:cs="Times New Roman"/>
                <w:color w:val="000000"/>
                <w:sz w:val="14"/>
                <w:szCs w:val="14"/>
              </w:rPr>
              <w:t>477 486</w:t>
            </w:r>
          </w:p>
        </w:tc>
        <w:tc>
          <w:tcPr>
            <w:tcW w:w="582" w:type="pct"/>
            <w:shd w:val="clear" w:color="000000" w:fill="FFFFFF"/>
            <w:vAlign w:val="center"/>
          </w:tcPr>
          <w:p w:rsidR="00164406" w:rsidRPr="0030562B" w:rsidRDefault="00164406" w:rsidP="00CE7047">
            <w:pPr>
              <w:jc w:val="right"/>
              <w:rPr>
                <w:rFonts w:ascii="Times New Roman" w:hAnsi="Times New Roman" w:cs="Times New Roman"/>
                <w:color w:val="000000"/>
                <w:sz w:val="14"/>
                <w:szCs w:val="14"/>
              </w:rPr>
            </w:pPr>
            <w:r w:rsidRPr="004A1B5B">
              <w:rPr>
                <w:rFonts w:ascii="Times New Roman" w:hAnsi="Times New Roman" w:cs="Times New Roman"/>
                <w:color w:val="000000"/>
                <w:sz w:val="14"/>
                <w:szCs w:val="14"/>
              </w:rPr>
              <w:t>427 894</w:t>
            </w:r>
          </w:p>
        </w:tc>
        <w:tc>
          <w:tcPr>
            <w:tcW w:w="582" w:type="pct"/>
            <w:shd w:val="clear" w:color="000000" w:fill="FFFFFF"/>
            <w:vAlign w:val="center"/>
          </w:tcPr>
          <w:p w:rsidR="00164406" w:rsidRPr="0002298F" w:rsidRDefault="00164406" w:rsidP="00CE7047">
            <w:pPr>
              <w:jc w:val="right"/>
              <w:rPr>
                <w:rFonts w:ascii="Times New Roman" w:hAnsi="Times New Roman" w:cs="Times New Roman"/>
                <w:color w:val="000000"/>
                <w:sz w:val="14"/>
                <w:szCs w:val="14"/>
              </w:rPr>
            </w:pPr>
            <w:r w:rsidRPr="0002298F">
              <w:rPr>
                <w:rFonts w:ascii="Times New Roman" w:hAnsi="Times New Roman" w:cs="Times New Roman"/>
                <w:color w:val="000000"/>
                <w:sz w:val="14"/>
                <w:szCs w:val="14"/>
              </w:rPr>
              <w:t>443 661</w:t>
            </w:r>
          </w:p>
        </w:tc>
        <w:tc>
          <w:tcPr>
            <w:tcW w:w="582" w:type="pct"/>
            <w:shd w:val="clear" w:color="000000"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425 009</w:t>
            </w:r>
          </w:p>
        </w:tc>
        <w:tc>
          <w:tcPr>
            <w:tcW w:w="582" w:type="pct"/>
            <w:shd w:val="clear" w:color="000000"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431 679</w:t>
            </w:r>
          </w:p>
        </w:tc>
        <w:tc>
          <w:tcPr>
            <w:tcW w:w="582" w:type="pct"/>
            <w:shd w:val="clear" w:color="000000"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431 920</w:t>
            </w:r>
          </w:p>
        </w:tc>
      </w:tr>
      <w:tr w:rsidR="00164406" w:rsidRPr="004F1396" w:rsidTr="00CE7047">
        <w:trPr>
          <w:trHeight w:val="345"/>
        </w:trPr>
        <w:tc>
          <w:tcPr>
            <w:tcW w:w="925" w:type="pct"/>
            <w:shd w:val="clear" w:color="000000" w:fill="FFFFFF"/>
            <w:vAlign w:val="center"/>
          </w:tcPr>
          <w:p w:rsidR="00164406" w:rsidRPr="00E6041E" w:rsidRDefault="00164406" w:rsidP="00CE7047">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shd w:val="clear" w:color="000000" w:fill="FFFFFF"/>
            <w:vAlign w:val="center"/>
          </w:tcPr>
          <w:p w:rsidR="00164406" w:rsidRPr="0030562B" w:rsidRDefault="00164406" w:rsidP="00CE7047">
            <w:pPr>
              <w:jc w:val="right"/>
              <w:rPr>
                <w:rFonts w:ascii="Times New Roman" w:hAnsi="Times New Roman" w:cs="Times New Roman"/>
                <w:color w:val="000000"/>
                <w:sz w:val="14"/>
                <w:szCs w:val="14"/>
              </w:rPr>
            </w:pPr>
            <w:r w:rsidRPr="004A1B5B">
              <w:rPr>
                <w:rFonts w:ascii="Times New Roman" w:hAnsi="Times New Roman" w:cs="Times New Roman"/>
                <w:color w:val="000000"/>
                <w:sz w:val="14"/>
                <w:szCs w:val="14"/>
              </w:rPr>
              <w:t>319 200</w:t>
            </w:r>
          </w:p>
        </w:tc>
        <w:tc>
          <w:tcPr>
            <w:tcW w:w="582" w:type="pct"/>
            <w:shd w:val="clear" w:color="000000" w:fill="FFFFFF"/>
            <w:vAlign w:val="center"/>
          </w:tcPr>
          <w:p w:rsidR="00164406" w:rsidRPr="0002298F" w:rsidRDefault="00164406" w:rsidP="00CE7047">
            <w:pPr>
              <w:jc w:val="right"/>
              <w:rPr>
                <w:rFonts w:ascii="Times New Roman" w:hAnsi="Times New Roman" w:cs="Times New Roman"/>
                <w:color w:val="000000"/>
                <w:sz w:val="14"/>
                <w:szCs w:val="14"/>
              </w:rPr>
            </w:pPr>
            <w:r w:rsidRPr="0002298F">
              <w:rPr>
                <w:rFonts w:ascii="Times New Roman" w:hAnsi="Times New Roman" w:cs="Times New Roman"/>
                <w:color w:val="000000"/>
                <w:sz w:val="14"/>
                <w:szCs w:val="14"/>
              </w:rPr>
              <w:t>449 595</w:t>
            </w:r>
          </w:p>
        </w:tc>
        <w:tc>
          <w:tcPr>
            <w:tcW w:w="582" w:type="pct"/>
            <w:shd w:val="clear" w:color="000000" w:fill="FFFFFF"/>
            <w:vAlign w:val="center"/>
          </w:tcPr>
          <w:p w:rsidR="00164406" w:rsidRPr="0030562B" w:rsidRDefault="00164406" w:rsidP="00CE7047">
            <w:pPr>
              <w:jc w:val="right"/>
              <w:rPr>
                <w:rFonts w:ascii="Times New Roman" w:hAnsi="Times New Roman" w:cs="Times New Roman"/>
                <w:color w:val="000000"/>
                <w:sz w:val="14"/>
                <w:szCs w:val="14"/>
              </w:rPr>
            </w:pPr>
            <w:r w:rsidRPr="004A1B5B">
              <w:rPr>
                <w:rFonts w:ascii="Times New Roman" w:hAnsi="Times New Roman" w:cs="Times New Roman"/>
                <w:color w:val="000000"/>
                <w:sz w:val="14"/>
                <w:szCs w:val="14"/>
              </w:rPr>
              <w:t>427 894</w:t>
            </w:r>
          </w:p>
        </w:tc>
        <w:tc>
          <w:tcPr>
            <w:tcW w:w="582" w:type="pct"/>
            <w:shd w:val="clear" w:color="000000" w:fill="FFFFFF"/>
            <w:vAlign w:val="center"/>
          </w:tcPr>
          <w:p w:rsidR="00164406" w:rsidRPr="0002298F" w:rsidRDefault="00164406" w:rsidP="00CE7047">
            <w:pPr>
              <w:jc w:val="right"/>
              <w:rPr>
                <w:rFonts w:ascii="Times New Roman" w:hAnsi="Times New Roman" w:cs="Times New Roman"/>
                <w:color w:val="000000"/>
                <w:sz w:val="14"/>
                <w:szCs w:val="14"/>
              </w:rPr>
            </w:pPr>
            <w:r w:rsidRPr="0002298F">
              <w:rPr>
                <w:rFonts w:ascii="Times New Roman" w:hAnsi="Times New Roman" w:cs="Times New Roman"/>
                <w:color w:val="000000"/>
                <w:sz w:val="14"/>
                <w:szCs w:val="14"/>
              </w:rPr>
              <w:t>435 977</w:t>
            </w:r>
          </w:p>
        </w:tc>
        <w:tc>
          <w:tcPr>
            <w:tcW w:w="582" w:type="pct"/>
            <w:shd w:val="clear" w:color="000000"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425 009</w:t>
            </w:r>
          </w:p>
        </w:tc>
        <w:tc>
          <w:tcPr>
            <w:tcW w:w="582" w:type="pct"/>
            <w:shd w:val="clear" w:color="000000"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431 679</w:t>
            </w:r>
          </w:p>
        </w:tc>
        <w:tc>
          <w:tcPr>
            <w:tcW w:w="582" w:type="pct"/>
            <w:shd w:val="clear" w:color="000000"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431 920</w:t>
            </w:r>
          </w:p>
        </w:tc>
      </w:tr>
      <w:tr w:rsidR="00164406" w:rsidRPr="004F1396" w:rsidTr="00CE7047">
        <w:trPr>
          <w:trHeight w:val="345"/>
        </w:trPr>
        <w:tc>
          <w:tcPr>
            <w:tcW w:w="925" w:type="pct"/>
            <w:shd w:val="clear" w:color="000000" w:fill="FFFFFF"/>
            <w:vAlign w:val="center"/>
          </w:tcPr>
          <w:p w:rsidR="00164406" w:rsidRPr="00E6041E" w:rsidRDefault="00164406" w:rsidP="00CE7047">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w:t>
            </w:r>
            <w:proofErr w:type="spellStart"/>
            <w:r w:rsidRPr="00E6041E">
              <w:rPr>
                <w:rFonts w:ascii="Times New Roman" w:hAnsi="Times New Roman" w:cs="Times New Roman"/>
                <w:i/>
                <w:iCs/>
                <w:color w:val="000000"/>
                <w:sz w:val="14"/>
                <w:szCs w:val="14"/>
              </w:rPr>
              <w:t>superdividendy</w:t>
            </w:r>
            <w:proofErr w:type="spellEnd"/>
          </w:p>
        </w:tc>
        <w:tc>
          <w:tcPr>
            <w:tcW w:w="582" w:type="pct"/>
            <w:shd w:val="clear" w:color="000000" w:fill="FFFFFF"/>
            <w:vAlign w:val="center"/>
          </w:tcPr>
          <w:p w:rsidR="00164406" w:rsidRPr="0030562B" w:rsidRDefault="00164406" w:rsidP="00CE7047">
            <w:pPr>
              <w:jc w:val="right"/>
              <w:rPr>
                <w:rFonts w:ascii="Times New Roman" w:hAnsi="Times New Roman" w:cs="Times New Roman"/>
                <w:color w:val="000000"/>
                <w:sz w:val="14"/>
                <w:szCs w:val="14"/>
              </w:rPr>
            </w:pPr>
            <w:r w:rsidRPr="004A1B5B">
              <w:rPr>
                <w:rFonts w:ascii="Times New Roman" w:hAnsi="Times New Roman" w:cs="Times New Roman"/>
                <w:color w:val="000000"/>
                <w:sz w:val="14"/>
                <w:szCs w:val="14"/>
              </w:rPr>
              <w:t>169 334</w:t>
            </w:r>
          </w:p>
        </w:tc>
        <w:tc>
          <w:tcPr>
            <w:tcW w:w="582" w:type="pct"/>
            <w:shd w:val="clear" w:color="000000" w:fill="FFFFFF"/>
            <w:vAlign w:val="center"/>
          </w:tcPr>
          <w:p w:rsidR="00164406" w:rsidRPr="0002298F" w:rsidRDefault="00164406" w:rsidP="00CE7047">
            <w:pPr>
              <w:jc w:val="right"/>
              <w:rPr>
                <w:rFonts w:ascii="Times New Roman" w:hAnsi="Times New Roman" w:cs="Times New Roman"/>
                <w:color w:val="000000"/>
                <w:sz w:val="14"/>
                <w:szCs w:val="14"/>
              </w:rPr>
            </w:pPr>
            <w:r w:rsidRPr="0002298F">
              <w:rPr>
                <w:rFonts w:ascii="Times New Roman" w:hAnsi="Times New Roman" w:cs="Times New Roman"/>
                <w:color w:val="000000"/>
                <w:sz w:val="14"/>
                <w:szCs w:val="14"/>
              </w:rPr>
              <w:t>27 891</w:t>
            </w:r>
          </w:p>
        </w:tc>
        <w:tc>
          <w:tcPr>
            <w:tcW w:w="582" w:type="pct"/>
            <w:shd w:val="clear" w:color="000000" w:fill="FFFFFF"/>
            <w:vAlign w:val="center"/>
          </w:tcPr>
          <w:p w:rsidR="00164406" w:rsidRPr="0030562B" w:rsidRDefault="00164406" w:rsidP="00CE7047">
            <w:pPr>
              <w:jc w:val="right"/>
              <w:rPr>
                <w:rFonts w:ascii="Times New Roman" w:hAnsi="Times New Roman" w:cs="Times New Roman"/>
                <w:color w:val="000000"/>
                <w:sz w:val="14"/>
                <w:szCs w:val="14"/>
              </w:rPr>
            </w:pPr>
            <w:r w:rsidRPr="004A1B5B">
              <w:rPr>
                <w:rFonts w:ascii="Times New Roman" w:hAnsi="Times New Roman" w:cs="Times New Roman"/>
                <w:color w:val="000000"/>
                <w:sz w:val="14"/>
                <w:szCs w:val="14"/>
              </w:rPr>
              <w:t>0</w:t>
            </w:r>
          </w:p>
        </w:tc>
        <w:tc>
          <w:tcPr>
            <w:tcW w:w="582" w:type="pct"/>
            <w:shd w:val="clear" w:color="000000" w:fill="FFFFFF"/>
            <w:vAlign w:val="center"/>
          </w:tcPr>
          <w:p w:rsidR="00164406" w:rsidRPr="0002298F" w:rsidRDefault="00164406" w:rsidP="00CE7047">
            <w:pPr>
              <w:jc w:val="right"/>
              <w:rPr>
                <w:rFonts w:ascii="Times New Roman" w:hAnsi="Times New Roman" w:cs="Times New Roman"/>
                <w:color w:val="000000"/>
                <w:sz w:val="14"/>
                <w:szCs w:val="14"/>
              </w:rPr>
            </w:pPr>
            <w:r w:rsidRPr="0002298F">
              <w:rPr>
                <w:rFonts w:ascii="Times New Roman" w:hAnsi="Times New Roman" w:cs="Times New Roman"/>
                <w:color w:val="000000"/>
                <w:sz w:val="14"/>
                <w:szCs w:val="14"/>
              </w:rPr>
              <w:t>7 684</w:t>
            </w:r>
          </w:p>
        </w:tc>
        <w:tc>
          <w:tcPr>
            <w:tcW w:w="582" w:type="pct"/>
            <w:shd w:val="clear" w:color="000000"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82" w:type="pct"/>
            <w:shd w:val="clear" w:color="000000"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82" w:type="pct"/>
            <w:shd w:val="clear" w:color="000000"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164406" w:rsidRPr="00502053" w:rsidTr="00CE7047">
        <w:trPr>
          <w:trHeight w:val="435"/>
        </w:trPr>
        <w:tc>
          <w:tcPr>
            <w:tcW w:w="925" w:type="pct"/>
            <w:shd w:val="clear" w:color="000000" w:fill="FFFFFF"/>
            <w:vAlign w:val="center"/>
            <w:hideMark/>
          </w:tcPr>
          <w:p w:rsidR="00164406" w:rsidRPr="00E6041E" w:rsidRDefault="00164406" w:rsidP="00CE7047">
            <w:pPr>
              <w:rPr>
                <w:rFonts w:ascii="Times New Roman" w:hAnsi="Times New Roman" w:cs="Times New Roman"/>
                <w:color w:val="000000"/>
                <w:sz w:val="14"/>
                <w:szCs w:val="14"/>
              </w:rPr>
            </w:pPr>
            <w:r w:rsidRPr="00E6041E">
              <w:rPr>
                <w:rFonts w:ascii="Times New Roman" w:hAnsi="Times New Roman" w:cs="Times New Roman"/>
                <w:color w:val="000000"/>
                <w:sz w:val="14"/>
                <w:szCs w:val="14"/>
              </w:rPr>
              <w:t>Ostatné nedaňové príjmy a tuzemské transfery</w:t>
            </w:r>
          </w:p>
        </w:tc>
        <w:tc>
          <w:tcPr>
            <w:tcW w:w="582" w:type="pct"/>
            <w:shd w:val="clear" w:color="000000" w:fill="FFFFFF"/>
            <w:vAlign w:val="center"/>
            <w:hideMark/>
          </w:tcPr>
          <w:p w:rsidR="00164406" w:rsidRPr="0030562B" w:rsidRDefault="00164406" w:rsidP="00CE7047">
            <w:pPr>
              <w:jc w:val="right"/>
              <w:rPr>
                <w:rFonts w:ascii="Times New Roman" w:hAnsi="Times New Roman" w:cs="Times New Roman"/>
                <w:color w:val="000000"/>
                <w:sz w:val="14"/>
                <w:szCs w:val="14"/>
              </w:rPr>
            </w:pPr>
            <w:r w:rsidRPr="004A1B5B">
              <w:rPr>
                <w:rFonts w:ascii="Times New Roman" w:hAnsi="Times New Roman" w:cs="Times New Roman"/>
                <w:color w:val="000000"/>
                <w:sz w:val="14"/>
                <w:szCs w:val="14"/>
              </w:rPr>
              <w:t>828 634</w:t>
            </w:r>
          </w:p>
        </w:tc>
        <w:tc>
          <w:tcPr>
            <w:tcW w:w="582" w:type="pct"/>
            <w:shd w:val="clear" w:color="000000" w:fill="FFFFFF"/>
            <w:vAlign w:val="center"/>
          </w:tcPr>
          <w:p w:rsidR="00164406" w:rsidRPr="0030562B" w:rsidRDefault="00164406" w:rsidP="00CE7047">
            <w:pPr>
              <w:jc w:val="right"/>
              <w:rPr>
                <w:rFonts w:ascii="Times New Roman" w:hAnsi="Times New Roman" w:cs="Times New Roman"/>
                <w:color w:val="000000"/>
                <w:sz w:val="14"/>
                <w:szCs w:val="14"/>
              </w:rPr>
            </w:pPr>
            <w:r w:rsidRPr="004952C5">
              <w:rPr>
                <w:rFonts w:ascii="Times New Roman" w:hAnsi="Times New Roman" w:cs="Times New Roman"/>
                <w:color w:val="000000"/>
                <w:sz w:val="14"/>
                <w:szCs w:val="14"/>
              </w:rPr>
              <w:t>777 075</w:t>
            </w:r>
          </w:p>
        </w:tc>
        <w:tc>
          <w:tcPr>
            <w:tcW w:w="582" w:type="pct"/>
            <w:shd w:val="clear" w:color="000000" w:fill="FFFFFF"/>
            <w:vAlign w:val="center"/>
          </w:tcPr>
          <w:p w:rsidR="00164406" w:rsidRPr="0030562B" w:rsidRDefault="00164406" w:rsidP="00CE7047">
            <w:pPr>
              <w:jc w:val="right"/>
              <w:rPr>
                <w:rFonts w:ascii="Times New Roman" w:hAnsi="Times New Roman" w:cs="Times New Roman"/>
                <w:color w:val="000000"/>
                <w:sz w:val="14"/>
                <w:szCs w:val="14"/>
              </w:rPr>
            </w:pPr>
            <w:r w:rsidRPr="004A1B5B">
              <w:rPr>
                <w:rFonts w:ascii="Times New Roman" w:hAnsi="Times New Roman" w:cs="Times New Roman"/>
                <w:color w:val="000000"/>
                <w:sz w:val="14"/>
                <w:szCs w:val="14"/>
              </w:rPr>
              <w:t>776 232</w:t>
            </w:r>
          </w:p>
        </w:tc>
        <w:tc>
          <w:tcPr>
            <w:tcW w:w="582" w:type="pct"/>
            <w:shd w:val="clear" w:color="000000" w:fill="FFFFFF"/>
            <w:vAlign w:val="center"/>
          </w:tcPr>
          <w:p w:rsidR="00164406" w:rsidRPr="00022A83" w:rsidRDefault="00164406" w:rsidP="00CE7047">
            <w:pPr>
              <w:jc w:val="right"/>
              <w:rPr>
                <w:rFonts w:ascii="Times New Roman" w:hAnsi="Times New Roman" w:cs="Times New Roman"/>
                <w:color w:val="000000"/>
                <w:sz w:val="14"/>
                <w:szCs w:val="14"/>
              </w:rPr>
            </w:pPr>
            <w:r w:rsidRPr="00137D4C">
              <w:rPr>
                <w:rFonts w:ascii="Times New Roman" w:hAnsi="Times New Roman" w:cs="Times New Roman"/>
                <w:color w:val="000000"/>
                <w:sz w:val="14"/>
                <w:szCs w:val="14"/>
              </w:rPr>
              <w:t>736 425</w:t>
            </w:r>
          </w:p>
        </w:tc>
        <w:tc>
          <w:tcPr>
            <w:tcW w:w="582" w:type="pct"/>
            <w:shd w:val="clear" w:color="000000" w:fill="FFFFFF"/>
            <w:vAlign w:val="center"/>
          </w:tcPr>
          <w:p w:rsidR="00164406" w:rsidRPr="00F26401" w:rsidRDefault="00164406" w:rsidP="00CE7047">
            <w:pPr>
              <w:jc w:val="right"/>
              <w:rPr>
                <w:rFonts w:ascii="Times New Roman" w:hAnsi="Times New Roman" w:cs="Times New Roman"/>
                <w:color w:val="000000"/>
                <w:sz w:val="14"/>
                <w:szCs w:val="14"/>
                <w:highlight w:val="yellow"/>
              </w:rPr>
            </w:pPr>
            <w:r w:rsidRPr="001514C7">
              <w:rPr>
                <w:rFonts w:ascii="Times New Roman" w:hAnsi="Times New Roman" w:cs="Times New Roman"/>
                <w:color w:val="000000"/>
                <w:sz w:val="14"/>
                <w:szCs w:val="14"/>
              </w:rPr>
              <w:t>817 864</w:t>
            </w:r>
          </w:p>
        </w:tc>
        <w:tc>
          <w:tcPr>
            <w:tcW w:w="582" w:type="pct"/>
            <w:shd w:val="clear" w:color="000000" w:fill="FFFFFF"/>
            <w:vAlign w:val="center"/>
          </w:tcPr>
          <w:p w:rsidR="00164406" w:rsidRPr="00F26401" w:rsidRDefault="00164406" w:rsidP="00CE7047">
            <w:pPr>
              <w:jc w:val="right"/>
              <w:rPr>
                <w:rFonts w:ascii="Times New Roman" w:hAnsi="Times New Roman" w:cs="Times New Roman"/>
                <w:color w:val="000000"/>
                <w:sz w:val="14"/>
                <w:szCs w:val="14"/>
                <w:highlight w:val="yellow"/>
              </w:rPr>
            </w:pPr>
            <w:r w:rsidRPr="00527008">
              <w:rPr>
                <w:rFonts w:ascii="Times New Roman" w:hAnsi="Times New Roman" w:cs="Times New Roman"/>
                <w:color w:val="000000"/>
                <w:sz w:val="14"/>
                <w:szCs w:val="14"/>
              </w:rPr>
              <w:t>782 423</w:t>
            </w:r>
          </w:p>
        </w:tc>
        <w:tc>
          <w:tcPr>
            <w:tcW w:w="582" w:type="pct"/>
            <w:shd w:val="clear" w:color="000000" w:fill="FFFFFF"/>
            <w:vAlign w:val="center"/>
          </w:tcPr>
          <w:p w:rsidR="00164406" w:rsidRPr="00F26401" w:rsidRDefault="00164406" w:rsidP="00CE7047">
            <w:pPr>
              <w:jc w:val="right"/>
              <w:rPr>
                <w:rFonts w:ascii="Times New Roman" w:hAnsi="Times New Roman" w:cs="Times New Roman"/>
                <w:color w:val="000000"/>
                <w:sz w:val="14"/>
                <w:szCs w:val="14"/>
                <w:highlight w:val="yellow"/>
              </w:rPr>
            </w:pPr>
            <w:r w:rsidRPr="00527008">
              <w:rPr>
                <w:rFonts w:ascii="Times New Roman" w:hAnsi="Times New Roman" w:cs="Times New Roman"/>
                <w:color w:val="000000"/>
                <w:sz w:val="14"/>
                <w:szCs w:val="14"/>
              </w:rPr>
              <w:t>785 719</w:t>
            </w:r>
          </w:p>
        </w:tc>
      </w:tr>
      <w:tr w:rsidR="00164406" w:rsidRPr="00502053" w:rsidTr="00CE7047">
        <w:trPr>
          <w:trHeight w:val="435"/>
        </w:trPr>
        <w:tc>
          <w:tcPr>
            <w:tcW w:w="925" w:type="pct"/>
            <w:shd w:val="clear" w:color="000000" w:fill="FFFFFF"/>
            <w:vAlign w:val="center"/>
          </w:tcPr>
          <w:p w:rsidR="00164406" w:rsidRPr="00E6041E" w:rsidRDefault="000F237A" w:rsidP="00CE7047">
            <w:pPr>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00164406">
              <w:rPr>
                <w:rFonts w:ascii="Times New Roman" w:hAnsi="Times New Roman" w:cs="Times New Roman"/>
                <w:color w:val="000000"/>
                <w:sz w:val="14"/>
                <w:szCs w:val="14"/>
              </w:rPr>
              <w:t xml:space="preserve">z toho: príjmy podľa </w:t>
            </w:r>
            <w:r>
              <w:rPr>
                <w:rFonts w:ascii="Times New Roman" w:hAnsi="Times New Roman" w:cs="Times New Roman"/>
                <w:color w:val="000000"/>
                <w:sz w:val="14"/>
                <w:szCs w:val="14"/>
              </w:rPr>
              <w:br/>
              <w:t xml:space="preserve">      </w:t>
            </w:r>
            <w:r w:rsidR="00164406">
              <w:rPr>
                <w:rFonts w:ascii="Times New Roman" w:hAnsi="Times New Roman" w:cs="Times New Roman"/>
                <w:color w:val="000000"/>
                <w:sz w:val="14"/>
                <w:szCs w:val="14"/>
              </w:rPr>
              <w:t>§ 17 ods. 4</w:t>
            </w:r>
          </w:p>
        </w:tc>
        <w:tc>
          <w:tcPr>
            <w:tcW w:w="582" w:type="pct"/>
            <w:shd w:val="clear" w:color="000000" w:fill="FFFFFF"/>
            <w:vAlign w:val="center"/>
          </w:tcPr>
          <w:p w:rsidR="00164406" w:rsidRPr="004A1B5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82" w:type="pct"/>
            <w:shd w:val="clear" w:color="000000" w:fill="FFFFFF"/>
            <w:vAlign w:val="center"/>
          </w:tcPr>
          <w:p w:rsidR="00164406" w:rsidRPr="004952C5"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82" w:type="pct"/>
            <w:shd w:val="clear" w:color="000000" w:fill="FFFFFF"/>
            <w:vAlign w:val="center"/>
          </w:tcPr>
          <w:p w:rsidR="00164406" w:rsidRPr="004A1B5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82" w:type="pct"/>
            <w:shd w:val="clear" w:color="000000" w:fill="FFFFFF"/>
            <w:vAlign w:val="center"/>
          </w:tcPr>
          <w:p w:rsidR="00164406"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82" w:type="pct"/>
            <w:shd w:val="clear" w:color="000000"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2 274</w:t>
            </w:r>
          </w:p>
        </w:tc>
        <w:tc>
          <w:tcPr>
            <w:tcW w:w="582" w:type="pct"/>
            <w:shd w:val="clear" w:color="000000"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2 269</w:t>
            </w:r>
          </w:p>
        </w:tc>
        <w:tc>
          <w:tcPr>
            <w:tcW w:w="582" w:type="pct"/>
            <w:shd w:val="clear" w:color="000000"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2 270</w:t>
            </w:r>
          </w:p>
        </w:tc>
      </w:tr>
    </w:tbl>
    <w:p w:rsidR="00164406" w:rsidRDefault="00164406" w:rsidP="00164406">
      <w:pPr>
        <w:autoSpaceDE w:val="0"/>
        <w:autoSpaceDN w:val="0"/>
        <w:adjustRightInd w:val="0"/>
        <w:spacing w:line="240" w:lineRule="atLeast"/>
        <w:jc w:val="both"/>
        <w:rPr>
          <w:rFonts w:ascii="Times New Roman" w:hAnsi="Times New Roman"/>
          <w:color w:val="000000"/>
          <w:szCs w:val="22"/>
        </w:rPr>
      </w:pPr>
    </w:p>
    <w:p w:rsidR="00164406" w:rsidRPr="0060281F" w:rsidRDefault="00164406" w:rsidP="00164406">
      <w:pPr>
        <w:jc w:val="both"/>
        <w:rPr>
          <w:rFonts w:ascii="Times New Roman" w:hAnsi="Times New Roman"/>
          <w:b/>
        </w:rPr>
      </w:pPr>
      <w:r>
        <w:rPr>
          <w:rFonts w:ascii="Times New Roman" w:hAnsi="Times New Roman"/>
          <w:b/>
        </w:rPr>
        <w:t>3</w:t>
      </w:r>
      <w:r w:rsidRPr="0060281F">
        <w:rPr>
          <w:rFonts w:ascii="Times New Roman" w:hAnsi="Times New Roman"/>
          <w:b/>
        </w:rPr>
        <w:t>.</w:t>
      </w:r>
      <w:r>
        <w:rPr>
          <w:rFonts w:ascii="Times New Roman" w:hAnsi="Times New Roman"/>
          <w:b/>
        </w:rPr>
        <w:t>4</w:t>
      </w:r>
      <w:r w:rsidRPr="0060281F">
        <w:rPr>
          <w:rFonts w:ascii="Times New Roman" w:hAnsi="Times New Roman"/>
          <w:b/>
        </w:rPr>
        <w:t>.1.  Zahraničné transfery</w:t>
      </w:r>
    </w:p>
    <w:p w:rsidR="00164406" w:rsidRDefault="00164406" w:rsidP="00164406">
      <w:pPr>
        <w:ind w:firstLine="708"/>
        <w:jc w:val="both"/>
        <w:rPr>
          <w:rFonts w:ascii="Times New Roman" w:hAnsi="Times New Roman"/>
        </w:rPr>
      </w:pPr>
    </w:p>
    <w:p w:rsidR="00164406" w:rsidRPr="00FB61AE" w:rsidRDefault="00164406" w:rsidP="00164406">
      <w:pPr>
        <w:ind w:firstLine="708"/>
        <w:jc w:val="both"/>
        <w:rPr>
          <w:rFonts w:ascii="Times New Roman" w:hAnsi="Times New Roman"/>
        </w:rPr>
      </w:pPr>
      <w:r w:rsidRPr="00A06934">
        <w:rPr>
          <w:rFonts w:ascii="Times New Roman" w:hAnsi="Times New Roman"/>
        </w:rPr>
        <w:t>Zahraničné transfery predstavujú prostriedky zo všeobecného rozpočtu Európskej únie. V rokoch 2018 až 2020 sa rozpočtujú prostriedky EÚ pre programy Partnerskej dohody a pre poľnohospodárske fondy v rámci 3. programového obdobia.</w:t>
      </w:r>
      <w:r w:rsidRPr="00FB61AE">
        <w:rPr>
          <w:rFonts w:ascii="Times New Roman" w:hAnsi="Times New Roman"/>
        </w:rPr>
        <w:t xml:space="preserve">  </w:t>
      </w:r>
    </w:p>
    <w:p w:rsidR="00164406" w:rsidRDefault="00164406" w:rsidP="00164406">
      <w:pPr>
        <w:ind w:firstLine="708"/>
        <w:jc w:val="both"/>
        <w:rPr>
          <w:rFonts w:ascii="Times New Roman" w:hAnsi="Times New Roman"/>
        </w:rPr>
      </w:pPr>
    </w:p>
    <w:p w:rsidR="00164406" w:rsidRDefault="00164406" w:rsidP="00164406">
      <w:pPr>
        <w:ind w:firstLine="708"/>
        <w:jc w:val="both"/>
        <w:rPr>
          <w:rFonts w:ascii="Times New Roman" w:hAnsi="Times New Roman"/>
        </w:rPr>
      </w:pPr>
      <w:r w:rsidRPr="0060281F">
        <w:rPr>
          <w:rFonts w:ascii="Times New Roman" w:hAnsi="Times New Roman"/>
        </w:rPr>
        <w:t>Vývoj plnenia týchto príjmov je nasledovný</w:t>
      </w:r>
      <w:r>
        <w:rPr>
          <w:rFonts w:ascii="Times New Roman" w:hAnsi="Times New Roman"/>
        </w:rPr>
        <w:t>.</w:t>
      </w:r>
    </w:p>
    <w:p w:rsidR="00164406" w:rsidRDefault="00164406" w:rsidP="00164406">
      <w:pPr>
        <w:ind w:firstLine="708"/>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7"/>
        <w:gridCol w:w="1055"/>
        <w:gridCol w:w="1055"/>
        <w:gridCol w:w="1055"/>
        <w:gridCol w:w="1055"/>
        <w:gridCol w:w="1055"/>
        <w:gridCol w:w="1055"/>
        <w:gridCol w:w="1055"/>
      </w:tblGrid>
      <w:tr w:rsidR="00164406" w:rsidRPr="00283F45" w:rsidTr="00CE7047">
        <w:trPr>
          <w:trHeight w:val="345"/>
        </w:trPr>
        <w:tc>
          <w:tcPr>
            <w:tcW w:w="925" w:type="pct"/>
            <w:shd w:val="clear" w:color="000000" w:fill="BFBFBF"/>
            <w:vAlign w:val="center"/>
            <w:hideMark/>
          </w:tcPr>
          <w:p w:rsidR="00164406" w:rsidRPr="00283F45" w:rsidRDefault="00164406" w:rsidP="00CE7047">
            <w:pP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v tis. eur</w:t>
            </w:r>
          </w:p>
        </w:tc>
        <w:tc>
          <w:tcPr>
            <w:tcW w:w="582" w:type="pct"/>
            <w:shd w:val="clear" w:color="000000" w:fill="BFBFBF"/>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194F83">
              <w:rPr>
                <w:rFonts w:ascii="Times New Roman" w:hAnsi="Times New Roman" w:cs="Times New Roman"/>
                <w:b/>
                <w:bCs/>
                <w:color w:val="000000"/>
                <w:sz w:val="14"/>
                <w:szCs w:val="14"/>
                <w:lang w:eastAsia="sk-SK"/>
              </w:rPr>
              <w:t>2015 S</w:t>
            </w:r>
          </w:p>
        </w:tc>
        <w:tc>
          <w:tcPr>
            <w:tcW w:w="582" w:type="pct"/>
            <w:shd w:val="clear" w:color="000000" w:fill="BFBFBF"/>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S</w:t>
            </w:r>
          </w:p>
        </w:tc>
        <w:tc>
          <w:tcPr>
            <w:tcW w:w="582" w:type="pct"/>
            <w:shd w:val="clear" w:color="000000" w:fill="BFBFBF"/>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R</w:t>
            </w:r>
          </w:p>
        </w:tc>
        <w:tc>
          <w:tcPr>
            <w:tcW w:w="582" w:type="pct"/>
            <w:shd w:val="clear" w:color="000000" w:fill="BFBFBF"/>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OS</w:t>
            </w:r>
          </w:p>
        </w:tc>
        <w:tc>
          <w:tcPr>
            <w:tcW w:w="582" w:type="pct"/>
            <w:shd w:val="clear" w:color="000000" w:fill="BFBFBF"/>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N</w:t>
            </w:r>
          </w:p>
        </w:tc>
        <w:tc>
          <w:tcPr>
            <w:tcW w:w="582" w:type="pct"/>
            <w:shd w:val="clear" w:color="000000" w:fill="BFBFBF"/>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82" w:type="pct"/>
            <w:shd w:val="clear" w:color="000000" w:fill="BFBFBF"/>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r>
      <w:tr w:rsidR="00164406" w:rsidRPr="00283F45" w:rsidTr="00CE7047">
        <w:trPr>
          <w:trHeight w:val="345"/>
        </w:trPr>
        <w:tc>
          <w:tcPr>
            <w:tcW w:w="925" w:type="pct"/>
            <w:vAlign w:val="center"/>
            <w:hideMark/>
          </w:tcPr>
          <w:p w:rsidR="00164406" w:rsidRPr="00D45F47" w:rsidRDefault="00164406" w:rsidP="00CE7047">
            <w:pPr>
              <w:rPr>
                <w:rFonts w:ascii="Times New Roman" w:hAnsi="Times New Roman" w:cs="Times New Roman"/>
                <w:bCs/>
                <w:color w:val="000000"/>
                <w:sz w:val="14"/>
                <w:szCs w:val="14"/>
                <w:lang w:eastAsia="sk-SK"/>
              </w:rPr>
            </w:pPr>
            <w:r w:rsidRPr="00D45F47">
              <w:rPr>
                <w:rFonts w:ascii="Times New Roman" w:hAnsi="Times New Roman" w:cs="Times New Roman"/>
                <w:bCs/>
                <w:color w:val="000000"/>
                <w:sz w:val="14"/>
                <w:szCs w:val="14"/>
                <w:lang w:eastAsia="sk-SK"/>
              </w:rPr>
              <w:t>Zahraničné transfery</w:t>
            </w:r>
          </w:p>
        </w:tc>
        <w:tc>
          <w:tcPr>
            <w:tcW w:w="582" w:type="pct"/>
            <w:vAlign w:val="center"/>
            <w:hideMark/>
          </w:tcPr>
          <w:p w:rsidR="00164406" w:rsidRPr="0030562B" w:rsidRDefault="00164406" w:rsidP="00CE7047">
            <w:pPr>
              <w:jc w:val="right"/>
              <w:rPr>
                <w:rFonts w:ascii="Times New Roman" w:hAnsi="Times New Roman" w:cs="Times New Roman"/>
                <w:color w:val="000000"/>
                <w:sz w:val="14"/>
                <w:szCs w:val="14"/>
                <w:lang w:eastAsia="sk-SK"/>
              </w:rPr>
            </w:pPr>
            <w:r w:rsidRPr="00194F83">
              <w:rPr>
                <w:rFonts w:ascii="Times New Roman" w:hAnsi="Times New Roman" w:cs="Times New Roman"/>
                <w:color w:val="000000"/>
                <w:sz w:val="14"/>
                <w:szCs w:val="14"/>
              </w:rPr>
              <w:t>4 280 041</w:t>
            </w:r>
          </w:p>
        </w:tc>
        <w:tc>
          <w:tcPr>
            <w:tcW w:w="582" w:type="pct"/>
            <w:vAlign w:val="center"/>
            <w:hideMark/>
          </w:tcPr>
          <w:p w:rsidR="00164406" w:rsidRPr="0030562B" w:rsidRDefault="00164406" w:rsidP="00CE7047">
            <w:pPr>
              <w:jc w:val="right"/>
              <w:rPr>
                <w:rFonts w:ascii="Times New Roman" w:hAnsi="Times New Roman" w:cs="Times New Roman"/>
                <w:color w:val="000000"/>
                <w:sz w:val="14"/>
                <w:szCs w:val="14"/>
              </w:rPr>
            </w:pPr>
            <w:r w:rsidRPr="007E2A41">
              <w:rPr>
                <w:rFonts w:ascii="Times New Roman" w:hAnsi="Times New Roman" w:cs="Times New Roman"/>
                <w:color w:val="000000"/>
                <w:sz w:val="14"/>
                <w:szCs w:val="14"/>
              </w:rPr>
              <w:t>1 939 787</w:t>
            </w:r>
          </w:p>
        </w:tc>
        <w:tc>
          <w:tcPr>
            <w:tcW w:w="582" w:type="pct"/>
            <w:vAlign w:val="center"/>
          </w:tcPr>
          <w:p w:rsidR="00164406" w:rsidRPr="0030562B" w:rsidRDefault="00164406" w:rsidP="00CE7047">
            <w:pPr>
              <w:jc w:val="right"/>
              <w:rPr>
                <w:rFonts w:ascii="Times New Roman" w:hAnsi="Times New Roman" w:cs="Times New Roman"/>
                <w:color w:val="000000"/>
                <w:sz w:val="14"/>
                <w:szCs w:val="14"/>
              </w:rPr>
            </w:pPr>
            <w:r w:rsidRPr="00194F83">
              <w:rPr>
                <w:rFonts w:ascii="Times New Roman" w:hAnsi="Times New Roman" w:cs="Times New Roman"/>
                <w:color w:val="000000"/>
                <w:sz w:val="14"/>
                <w:szCs w:val="14"/>
              </w:rPr>
              <w:t>2 655 927</w:t>
            </w:r>
          </w:p>
        </w:tc>
        <w:tc>
          <w:tcPr>
            <w:tcW w:w="582" w:type="pct"/>
            <w:vAlign w:val="center"/>
          </w:tcPr>
          <w:p w:rsidR="00164406" w:rsidRPr="0030562B" w:rsidRDefault="00164406" w:rsidP="00CE7047">
            <w:pPr>
              <w:jc w:val="right"/>
              <w:rPr>
                <w:rFonts w:ascii="Times New Roman" w:hAnsi="Times New Roman" w:cs="Times New Roman"/>
                <w:color w:val="000000"/>
                <w:sz w:val="14"/>
                <w:szCs w:val="14"/>
              </w:rPr>
            </w:pPr>
            <w:r w:rsidRPr="00A06934">
              <w:rPr>
                <w:rFonts w:ascii="Times New Roman" w:hAnsi="Times New Roman" w:cs="Times New Roman"/>
                <w:color w:val="000000"/>
                <w:sz w:val="14"/>
                <w:szCs w:val="14"/>
              </w:rPr>
              <w:t>1 536 984</w:t>
            </w:r>
          </w:p>
        </w:tc>
        <w:tc>
          <w:tcPr>
            <w:tcW w:w="582" w:type="pct"/>
            <w:vAlign w:val="center"/>
          </w:tcPr>
          <w:p w:rsidR="00164406" w:rsidRPr="0030562B" w:rsidRDefault="00164406" w:rsidP="00CE7047">
            <w:pPr>
              <w:jc w:val="right"/>
              <w:rPr>
                <w:rFonts w:ascii="Times New Roman" w:hAnsi="Times New Roman" w:cs="Times New Roman"/>
                <w:color w:val="000000"/>
                <w:sz w:val="14"/>
                <w:szCs w:val="14"/>
              </w:rPr>
            </w:pPr>
            <w:r w:rsidRPr="00D651AC">
              <w:rPr>
                <w:rFonts w:ascii="Times New Roman" w:hAnsi="Times New Roman" w:cs="Times New Roman"/>
                <w:color w:val="000000"/>
                <w:sz w:val="14"/>
                <w:szCs w:val="14"/>
              </w:rPr>
              <w:t>1 378 419</w:t>
            </w:r>
          </w:p>
        </w:tc>
        <w:tc>
          <w:tcPr>
            <w:tcW w:w="582" w:type="pct"/>
            <w:shd w:val="clear" w:color="000000"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3 096 154</w:t>
            </w:r>
          </w:p>
        </w:tc>
        <w:tc>
          <w:tcPr>
            <w:tcW w:w="582" w:type="pct"/>
            <w:shd w:val="clear" w:color="000000"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3 065 388</w:t>
            </w:r>
          </w:p>
        </w:tc>
      </w:tr>
    </w:tbl>
    <w:p w:rsidR="00164406" w:rsidRDefault="00164406" w:rsidP="00164406">
      <w:pPr>
        <w:jc w:val="both"/>
        <w:rPr>
          <w:rFonts w:ascii="Times New Roman" w:hAnsi="Times New Roman"/>
          <w:b/>
          <w:szCs w:val="22"/>
        </w:rPr>
      </w:pPr>
    </w:p>
    <w:p w:rsidR="00164406" w:rsidRPr="006353C5" w:rsidRDefault="00164406" w:rsidP="00164406">
      <w:pPr>
        <w:jc w:val="both"/>
        <w:rPr>
          <w:rFonts w:ascii="Times New Roman" w:hAnsi="Times New Roman"/>
          <w:b/>
          <w:szCs w:val="22"/>
        </w:rPr>
      </w:pPr>
      <w:r>
        <w:rPr>
          <w:rFonts w:ascii="Times New Roman" w:hAnsi="Times New Roman"/>
          <w:b/>
          <w:szCs w:val="22"/>
        </w:rPr>
        <w:t>3</w:t>
      </w:r>
      <w:r w:rsidRPr="006353C5">
        <w:rPr>
          <w:rFonts w:ascii="Times New Roman" w:hAnsi="Times New Roman"/>
          <w:b/>
          <w:szCs w:val="22"/>
        </w:rPr>
        <w:t>.</w:t>
      </w:r>
      <w:r>
        <w:rPr>
          <w:rFonts w:ascii="Times New Roman" w:hAnsi="Times New Roman"/>
          <w:b/>
          <w:szCs w:val="22"/>
        </w:rPr>
        <w:t>4</w:t>
      </w:r>
      <w:r w:rsidRPr="006353C5">
        <w:rPr>
          <w:rFonts w:ascii="Times New Roman" w:hAnsi="Times New Roman"/>
          <w:b/>
          <w:szCs w:val="22"/>
        </w:rPr>
        <w:t>.2.</w:t>
      </w:r>
      <w:r w:rsidRPr="006353C5">
        <w:rPr>
          <w:rFonts w:ascii="Times New Roman" w:hAnsi="Times New Roman"/>
          <w:b/>
          <w:szCs w:val="22"/>
        </w:rPr>
        <w:tab/>
        <w:t>Dividendy</w:t>
      </w:r>
    </w:p>
    <w:p w:rsidR="00164406" w:rsidRDefault="00164406" w:rsidP="00164406">
      <w:pPr>
        <w:jc w:val="both"/>
        <w:rPr>
          <w:rFonts w:ascii="Times New Roman" w:hAnsi="Times New Roman"/>
          <w:szCs w:val="22"/>
        </w:rPr>
      </w:pPr>
      <w:r w:rsidRPr="006353C5">
        <w:rPr>
          <w:rFonts w:ascii="Times New Roman" w:hAnsi="Times New Roman"/>
          <w:szCs w:val="22"/>
        </w:rPr>
        <w:tab/>
      </w:r>
    </w:p>
    <w:p w:rsidR="00164406" w:rsidRDefault="00164406" w:rsidP="00164406">
      <w:pPr>
        <w:ind w:firstLine="708"/>
        <w:jc w:val="both"/>
        <w:rPr>
          <w:rFonts w:ascii="Times New Roman" w:hAnsi="Times New Roman"/>
          <w:szCs w:val="22"/>
        </w:rPr>
      </w:pPr>
      <w:r w:rsidRPr="006353C5">
        <w:rPr>
          <w:rFonts w:ascii="Times New Roman" w:hAnsi="Times New Roman"/>
          <w:szCs w:val="22"/>
        </w:rPr>
        <w:t>Dividendy tvoria príjmy z dividend podnikov s majetkovou účasťou</w:t>
      </w:r>
      <w:r>
        <w:rPr>
          <w:rFonts w:ascii="Times New Roman" w:hAnsi="Times New Roman"/>
          <w:szCs w:val="22"/>
        </w:rPr>
        <w:t xml:space="preserve"> MH Manažment, a. s</w:t>
      </w:r>
      <w:r w:rsidRPr="007C2BA1">
        <w:rPr>
          <w:rFonts w:ascii="Times New Roman" w:hAnsi="Times New Roman"/>
          <w:szCs w:val="22"/>
        </w:rPr>
        <w:t>. (právneho nástupcu Fondu národného majetku Slovenskej republiky</w:t>
      </w:r>
      <w:r>
        <w:rPr>
          <w:rFonts w:ascii="Times New Roman" w:hAnsi="Times New Roman"/>
          <w:szCs w:val="22"/>
        </w:rPr>
        <w:t>)</w:t>
      </w:r>
      <w:r w:rsidRPr="006353C5">
        <w:rPr>
          <w:rFonts w:ascii="Times New Roman" w:hAnsi="Times New Roman"/>
          <w:szCs w:val="22"/>
        </w:rPr>
        <w:t xml:space="preserve"> a príjmy z podnikania z vlastníckeho podielu štátu, ktorý je zastúpený príslušnými </w:t>
      </w:r>
      <w:r w:rsidRPr="00F9102A">
        <w:rPr>
          <w:rFonts w:ascii="Times New Roman" w:hAnsi="Times New Roman"/>
          <w:szCs w:val="22"/>
        </w:rPr>
        <w:t>rezortnými  ministerstvami</w:t>
      </w:r>
      <w:r w:rsidRPr="006353C5">
        <w:rPr>
          <w:rFonts w:ascii="Times New Roman" w:hAnsi="Times New Roman"/>
          <w:szCs w:val="22"/>
        </w:rPr>
        <w:t xml:space="preserve"> v akciových spoločnostiach s majetkovou účasťou štátu. Ich vývoj je nasledovný</w:t>
      </w:r>
      <w:r>
        <w:rPr>
          <w:rFonts w:ascii="Times New Roman" w:hAnsi="Times New Roman"/>
          <w:szCs w:val="22"/>
        </w:rPr>
        <w:t>:</w:t>
      </w:r>
    </w:p>
    <w:p w:rsidR="00164406" w:rsidRDefault="00164406" w:rsidP="00164406">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1022"/>
        <w:gridCol w:w="1028"/>
        <w:gridCol w:w="1028"/>
        <w:gridCol w:w="1028"/>
        <w:gridCol w:w="1028"/>
        <w:gridCol w:w="1028"/>
        <w:gridCol w:w="1020"/>
      </w:tblGrid>
      <w:tr w:rsidR="00164406" w:rsidRPr="005C66DA" w:rsidTr="00CE7047">
        <w:trPr>
          <w:trHeight w:val="345"/>
        </w:trPr>
        <w:tc>
          <w:tcPr>
            <w:tcW w:w="1037" w:type="pct"/>
            <w:shd w:val="clear" w:color="000000" w:fill="A6A6A6"/>
            <w:vAlign w:val="center"/>
            <w:hideMark/>
          </w:tcPr>
          <w:p w:rsidR="00164406" w:rsidRPr="005C66DA" w:rsidRDefault="00164406" w:rsidP="00CE7047">
            <w:pPr>
              <w:jc w:val="both"/>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v tis. eur</w:t>
            </w:r>
          </w:p>
        </w:tc>
        <w:tc>
          <w:tcPr>
            <w:tcW w:w="564"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300BD8">
              <w:rPr>
                <w:rFonts w:ascii="Times New Roman" w:hAnsi="Times New Roman" w:cs="Times New Roman"/>
                <w:b/>
                <w:bCs/>
                <w:color w:val="000000"/>
                <w:sz w:val="14"/>
                <w:szCs w:val="14"/>
                <w:lang w:eastAsia="sk-SK"/>
              </w:rPr>
              <w:t>2015 S</w:t>
            </w:r>
          </w:p>
        </w:tc>
        <w:tc>
          <w:tcPr>
            <w:tcW w:w="567"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S</w:t>
            </w:r>
          </w:p>
        </w:tc>
        <w:tc>
          <w:tcPr>
            <w:tcW w:w="567"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R</w:t>
            </w:r>
          </w:p>
        </w:tc>
        <w:tc>
          <w:tcPr>
            <w:tcW w:w="567"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OS</w:t>
            </w:r>
          </w:p>
        </w:tc>
        <w:tc>
          <w:tcPr>
            <w:tcW w:w="567"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N</w:t>
            </w:r>
          </w:p>
        </w:tc>
        <w:tc>
          <w:tcPr>
            <w:tcW w:w="567"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63"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r>
      <w:tr w:rsidR="00164406" w:rsidRPr="005C66DA" w:rsidTr="00CE7047">
        <w:trPr>
          <w:trHeight w:val="345"/>
        </w:trPr>
        <w:tc>
          <w:tcPr>
            <w:tcW w:w="1037" w:type="pct"/>
            <w:shd w:val="clear" w:color="000000" w:fill="BFBFBF"/>
            <w:vAlign w:val="center"/>
            <w:hideMark/>
          </w:tcPr>
          <w:p w:rsidR="00164406" w:rsidRPr="00E6041E" w:rsidRDefault="00164406" w:rsidP="00CE7047">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Dividendy</w:t>
            </w:r>
          </w:p>
        </w:tc>
        <w:tc>
          <w:tcPr>
            <w:tcW w:w="564" w:type="pct"/>
            <w:shd w:val="clear" w:color="000000" w:fill="BFBFBF"/>
            <w:vAlign w:val="center"/>
            <w:hideMark/>
          </w:tcPr>
          <w:p w:rsidR="00164406" w:rsidRPr="005A324D" w:rsidRDefault="00164406" w:rsidP="00CE7047">
            <w:pPr>
              <w:jc w:val="right"/>
              <w:rPr>
                <w:rFonts w:ascii="Times New Roman" w:hAnsi="Times New Roman" w:cs="Times New Roman"/>
                <w:b/>
                <w:bCs/>
                <w:color w:val="000000"/>
                <w:sz w:val="14"/>
                <w:szCs w:val="14"/>
                <w:lang w:eastAsia="sk-SK"/>
              </w:rPr>
            </w:pPr>
            <w:r w:rsidRPr="00300BD8">
              <w:rPr>
                <w:rFonts w:ascii="Times New Roman" w:hAnsi="Times New Roman" w:cs="Times New Roman"/>
                <w:b/>
                <w:bCs/>
                <w:color w:val="000000"/>
                <w:sz w:val="14"/>
                <w:szCs w:val="14"/>
              </w:rPr>
              <w:t>488 534</w:t>
            </w:r>
          </w:p>
        </w:tc>
        <w:tc>
          <w:tcPr>
            <w:tcW w:w="567" w:type="pct"/>
            <w:shd w:val="clear" w:color="000000" w:fill="BFBFBF"/>
            <w:vAlign w:val="center"/>
          </w:tcPr>
          <w:p w:rsidR="00164406" w:rsidRPr="0002298F" w:rsidRDefault="00164406" w:rsidP="00CE7047">
            <w:pPr>
              <w:jc w:val="right"/>
              <w:rPr>
                <w:rFonts w:ascii="Times New Roman" w:hAnsi="Times New Roman" w:cs="Times New Roman"/>
                <w:b/>
                <w:bCs/>
                <w:color w:val="000000"/>
                <w:sz w:val="14"/>
                <w:szCs w:val="14"/>
              </w:rPr>
            </w:pPr>
            <w:r w:rsidRPr="0002298F">
              <w:rPr>
                <w:rFonts w:ascii="Times New Roman" w:hAnsi="Times New Roman" w:cs="Times New Roman"/>
                <w:b/>
                <w:bCs/>
                <w:color w:val="000000"/>
                <w:sz w:val="14"/>
                <w:szCs w:val="14"/>
              </w:rPr>
              <w:t>477 486</w:t>
            </w:r>
          </w:p>
        </w:tc>
        <w:tc>
          <w:tcPr>
            <w:tcW w:w="567" w:type="pct"/>
            <w:shd w:val="clear" w:color="000000" w:fill="BFBFBF"/>
            <w:vAlign w:val="center"/>
          </w:tcPr>
          <w:p w:rsidR="00164406" w:rsidRPr="005A324D" w:rsidRDefault="00164406" w:rsidP="00CE7047">
            <w:pPr>
              <w:jc w:val="right"/>
              <w:rPr>
                <w:rFonts w:ascii="Times New Roman" w:hAnsi="Times New Roman" w:cs="Times New Roman"/>
                <w:b/>
                <w:bCs/>
                <w:color w:val="000000"/>
                <w:sz w:val="14"/>
                <w:szCs w:val="14"/>
              </w:rPr>
            </w:pPr>
            <w:r w:rsidRPr="00300BD8">
              <w:rPr>
                <w:rFonts w:ascii="Times New Roman" w:hAnsi="Times New Roman" w:cs="Times New Roman"/>
                <w:b/>
                <w:bCs/>
                <w:color w:val="000000"/>
                <w:sz w:val="14"/>
                <w:szCs w:val="14"/>
              </w:rPr>
              <w:t>427 894</w:t>
            </w:r>
          </w:p>
        </w:tc>
        <w:tc>
          <w:tcPr>
            <w:tcW w:w="567" w:type="pct"/>
            <w:shd w:val="clear" w:color="000000" w:fill="BFBFBF"/>
            <w:vAlign w:val="center"/>
          </w:tcPr>
          <w:p w:rsidR="00164406" w:rsidRPr="0030562B" w:rsidRDefault="00164406" w:rsidP="00CE7047">
            <w:pPr>
              <w:jc w:val="right"/>
              <w:rPr>
                <w:rFonts w:ascii="Times New Roman" w:hAnsi="Times New Roman" w:cs="Times New Roman"/>
                <w:b/>
                <w:bCs/>
                <w:color w:val="000000"/>
                <w:sz w:val="14"/>
                <w:szCs w:val="14"/>
                <w:lang w:eastAsia="sk-SK"/>
              </w:rPr>
            </w:pPr>
            <w:r w:rsidRPr="008A31C0">
              <w:rPr>
                <w:rFonts w:ascii="Times New Roman" w:hAnsi="Times New Roman" w:cs="Times New Roman"/>
                <w:b/>
                <w:bCs/>
                <w:color w:val="000000"/>
                <w:sz w:val="14"/>
                <w:szCs w:val="14"/>
                <w:lang w:eastAsia="sk-SK"/>
              </w:rPr>
              <w:t>443 661</w:t>
            </w:r>
          </w:p>
        </w:tc>
        <w:tc>
          <w:tcPr>
            <w:tcW w:w="567" w:type="pct"/>
            <w:shd w:val="clear" w:color="000000" w:fill="BFBFBF"/>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425 009</w:t>
            </w:r>
          </w:p>
        </w:tc>
        <w:tc>
          <w:tcPr>
            <w:tcW w:w="567" w:type="pct"/>
            <w:shd w:val="clear" w:color="000000" w:fill="BFBFBF"/>
            <w:vAlign w:val="center"/>
          </w:tcPr>
          <w:p w:rsidR="00164406" w:rsidRPr="005A324D"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431 679</w:t>
            </w:r>
          </w:p>
        </w:tc>
        <w:tc>
          <w:tcPr>
            <w:tcW w:w="563" w:type="pct"/>
            <w:shd w:val="clear" w:color="000000" w:fill="BFBFBF"/>
            <w:vAlign w:val="center"/>
          </w:tcPr>
          <w:p w:rsidR="00164406" w:rsidRPr="005A324D"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431 920</w:t>
            </w:r>
          </w:p>
        </w:tc>
      </w:tr>
      <w:tr w:rsidR="00164406" w:rsidRPr="005C66DA" w:rsidTr="00CE7047">
        <w:trPr>
          <w:trHeight w:val="345"/>
        </w:trPr>
        <w:tc>
          <w:tcPr>
            <w:tcW w:w="1037" w:type="pct"/>
            <w:noWrap/>
            <w:vAlign w:val="center"/>
            <w:hideMark/>
          </w:tcPr>
          <w:p w:rsidR="00164406" w:rsidRPr="00E6041E" w:rsidRDefault="00164406" w:rsidP="00CE7047">
            <w:pP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MH Manažment, a. s. </w:t>
            </w:r>
          </w:p>
        </w:tc>
        <w:tc>
          <w:tcPr>
            <w:tcW w:w="564" w:type="pct"/>
            <w:noWrap/>
            <w:vAlign w:val="center"/>
            <w:hideMark/>
          </w:tcPr>
          <w:p w:rsidR="00164406" w:rsidRPr="005A324D" w:rsidRDefault="00164406" w:rsidP="00CE7047">
            <w:pPr>
              <w:jc w:val="right"/>
              <w:rPr>
                <w:rFonts w:ascii="Times New Roman" w:hAnsi="Times New Roman" w:cs="Times New Roman"/>
                <w:b/>
                <w:bCs/>
                <w:color w:val="000000"/>
                <w:sz w:val="14"/>
                <w:szCs w:val="14"/>
              </w:rPr>
            </w:pPr>
            <w:r w:rsidRPr="00300BD8">
              <w:rPr>
                <w:rFonts w:ascii="Times New Roman" w:hAnsi="Times New Roman" w:cs="Times New Roman"/>
                <w:b/>
                <w:bCs/>
                <w:color w:val="000000"/>
                <w:sz w:val="14"/>
                <w:szCs w:val="14"/>
              </w:rPr>
              <w:t>8 872</w:t>
            </w:r>
          </w:p>
        </w:tc>
        <w:tc>
          <w:tcPr>
            <w:tcW w:w="567" w:type="pct"/>
            <w:noWrap/>
            <w:vAlign w:val="center"/>
          </w:tcPr>
          <w:p w:rsidR="00164406" w:rsidRPr="0002298F" w:rsidRDefault="00164406" w:rsidP="00CE7047">
            <w:pPr>
              <w:jc w:val="right"/>
              <w:rPr>
                <w:rFonts w:ascii="Times New Roman" w:hAnsi="Times New Roman" w:cs="Times New Roman"/>
                <w:b/>
                <w:bCs/>
                <w:color w:val="000000"/>
                <w:sz w:val="14"/>
                <w:szCs w:val="14"/>
              </w:rPr>
            </w:pPr>
            <w:r w:rsidRPr="0002298F">
              <w:rPr>
                <w:rFonts w:ascii="Times New Roman" w:hAnsi="Times New Roman" w:cs="Times New Roman"/>
                <w:b/>
                <w:bCs/>
                <w:color w:val="000000"/>
                <w:sz w:val="14"/>
                <w:szCs w:val="14"/>
              </w:rPr>
              <w:t>47</w:t>
            </w:r>
          </w:p>
        </w:tc>
        <w:tc>
          <w:tcPr>
            <w:tcW w:w="567" w:type="pct"/>
            <w:noWrap/>
            <w:vAlign w:val="center"/>
          </w:tcPr>
          <w:p w:rsidR="00164406" w:rsidRPr="005A324D" w:rsidRDefault="00164406" w:rsidP="00CE7047">
            <w:pPr>
              <w:jc w:val="right"/>
              <w:rPr>
                <w:rFonts w:ascii="Times New Roman" w:hAnsi="Times New Roman" w:cs="Times New Roman"/>
                <w:b/>
                <w:bCs/>
                <w:color w:val="000000"/>
                <w:sz w:val="14"/>
                <w:szCs w:val="14"/>
              </w:rPr>
            </w:pPr>
            <w:r w:rsidRPr="00300BD8">
              <w:rPr>
                <w:rFonts w:ascii="Times New Roman" w:hAnsi="Times New Roman" w:cs="Times New Roman"/>
                <w:b/>
                <w:bCs/>
                <w:color w:val="000000"/>
                <w:sz w:val="14"/>
                <w:szCs w:val="14"/>
              </w:rPr>
              <w:t>17</w:t>
            </w:r>
          </w:p>
        </w:tc>
        <w:tc>
          <w:tcPr>
            <w:tcW w:w="567" w:type="pct"/>
            <w:noWrap/>
            <w:vAlign w:val="center"/>
          </w:tcPr>
          <w:p w:rsidR="00164406" w:rsidRPr="0030562B"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17</w:t>
            </w:r>
          </w:p>
        </w:tc>
        <w:tc>
          <w:tcPr>
            <w:tcW w:w="567" w:type="pct"/>
            <w:noWrap/>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10</w:t>
            </w:r>
          </w:p>
        </w:tc>
        <w:tc>
          <w:tcPr>
            <w:tcW w:w="567" w:type="pct"/>
            <w:noWrap/>
            <w:vAlign w:val="center"/>
          </w:tcPr>
          <w:p w:rsidR="00164406" w:rsidRPr="005A324D"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10</w:t>
            </w:r>
          </w:p>
        </w:tc>
        <w:tc>
          <w:tcPr>
            <w:tcW w:w="563" w:type="pct"/>
            <w:noWrap/>
            <w:vAlign w:val="center"/>
          </w:tcPr>
          <w:p w:rsidR="00164406" w:rsidRPr="005A324D"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10</w:t>
            </w:r>
          </w:p>
        </w:tc>
      </w:tr>
      <w:tr w:rsidR="00164406" w:rsidRPr="00376B46" w:rsidTr="00CE7047">
        <w:trPr>
          <w:trHeight w:val="345"/>
        </w:trPr>
        <w:tc>
          <w:tcPr>
            <w:tcW w:w="1037" w:type="pct"/>
            <w:noWrap/>
            <w:vAlign w:val="center"/>
          </w:tcPr>
          <w:p w:rsidR="00164406" w:rsidRPr="00E6041E" w:rsidRDefault="00164406" w:rsidP="00CE7047">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64" w:type="pct"/>
            <w:noWrap/>
            <w:vAlign w:val="center"/>
          </w:tcPr>
          <w:p w:rsidR="00164406" w:rsidRPr="005A324D" w:rsidRDefault="00164406" w:rsidP="00CE7047">
            <w:pPr>
              <w:jc w:val="right"/>
              <w:rPr>
                <w:rFonts w:ascii="Times New Roman" w:hAnsi="Times New Roman" w:cs="Times New Roman"/>
                <w:color w:val="000000"/>
                <w:sz w:val="14"/>
                <w:szCs w:val="14"/>
              </w:rPr>
            </w:pPr>
            <w:r w:rsidRPr="00300BD8">
              <w:rPr>
                <w:rFonts w:ascii="Times New Roman" w:hAnsi="Times New Roman" w:cs="Times New Roman"/>
                <w:color w:val="000000"/>
                <w:sz w:val="14"/>
                <w:szCs w:val="14"/>
              </w:rPr>
              <w:t>5 353</w:t>
            </w:r>
          </w:p>
        </w:tc>
        <w:tc>
          <w:tcPr>
            <w:tcW w:w="567" w:type="pct"/>
            <w:noWrap/>
            <w:vAlign w:val="center"/>
          </w:tcPr>
          <w:p w:rsidR="00164406" w:rsidRPr="0002298F" w:rsidRDefault="00164406" w:rsidP="00CE7047">
            <w:pPr>
              <w:jc w:val="right"/>
              <w:rPr>
                <w:rFonts w:ascii="Times New Roman" w:hAnsi="Times New Roman" w:cs="Times New Roman"/>
                <w:color w:val="000000"/>
                <w:sz w:val="14"/>
                <w:szCs w:val="14"/>
              </w:rPr>
            </w:pPr>
            <w:r w:rsidRPr="0002298F">
              <w:rPr>
                <w:rFonts w:ascii="Times New Roman" w:hAnsi="Times New Roman" w:cs="Times New Roman"/>
                <w:color w:val="000000"/>
                <w:sz w:val="14"/>
                <w:szCs w:val="14"/>
              </w:rPr>
              <w:t>47</w:t>
            </w:r>
          </w:p>
        </w:tc>
        <w:tc>
          <w:tcPr>
            <w:tcW w:w="567" w:type="pct"/>
            <w:noWrap/>
            <w:vAlign w:val="center"/>
          </w:tcPr>
          <w:p w:rsidR="00164406" w:rsidRPr="005A324D" w:rsidRDefault="00164406" w:rsidP="00CE7047">
            <w:pPr>
              <w:jc w:val="right"/>
              <w:rPr>
                <w:rFonts w:ascii="Times New Roman" w:hAnsi="Times New Roman" w:cs="Times New Roman"/>
                <w:color w:val="000000"/>
                <w:sz w:val="14"/>
                <w:szCs w:val="14"/>
              </w:rPr>
            </w:pPr>
            <w:r w:rsidRPr="00300BD8">
              <w:rPr>
                <w:rFonts w:ascii="Times New Roman" w:hAnsi="Times New Roman" w:cs="Times New Roman"/>
                <w:color w:val="000000"/>
                <w:sz w:val="14"/>
                <w:szCs w:val="14"/>
              </w:rPr>
              <w:t>17</w:t>
            </w:r>
          </w:p>
        </w:tc>
        <w:tc>
          <w:tcPr>
            <w:tcW w:w="567" w:type="pct"/>
            <w:noWrap/>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17</w:t>
            </w:r>
          </w:p>
        </w:tc>
        <w:tc>
          <w:tcPr>
            <w:tcW w:w="567" w:type="pct"/>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10</w:t>
            </w:r>
          </w:p>
        </w:tc>
        <w:tc>
          <w:tcPr>
            <w:tcW w:w="567" w:type="pct"/>
            <w:noWrap/>
            <w:vAlign w:val="center"/>
          </w:tcPr>
          <w:p w:rsidR="00164406" w:rsidRPr="005A324D"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10</w:t>
            </w:r>
          </w:p>
        </w:tc>
        <w:tc>
          <w:tcPr>
            <w:tcW w:w="563" w:type="pct"/>
            <w:noWrap/>
            <w:vAlign w:val="center"/>
          </w:tcPr>
          <w:p w:rsidR="00164406" w:rsidRPr="005A324D"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10</w:t>
            </w:r>
          </w:p>
        </w:tc>
      </w:tr>
      <w:tr w:rsidR="00164406" w:rsidRPr="005C66DA" w:rsidTr="00CE7047">
        <w:trPr>
          <w:trHeight w:val="345"/>
        </w:trPr>
        <w:tc>
          <w:tcPr>
            <w:tcW w:w="1037" w:type="pct"/>
            <w:noWrap/>
            <w:vAlign w:val="center"/>
          </w:tcPr>
          <w:p w:rsidR="00164406" w:rsidRPr="00E6041E" w:rsidRDefault="00164406" w:rsidP="00CE7047">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w:t>
            </w:r>
            <w:proofErr w:type="spellStart"/>
            <w:r w:rsidRPr="00E6041E">
              <w:rPr>
                <w:rFonts w:ascii="Times New Roman" w:hAnsi="Times New Roman" w:cs="Times New Roman"/>
                <w:i/>
                <w:iCs/>
                <w:color w:val="000000"/>
                <w:sz w:val="14"/>
                <w:szCs w:val="14"/>
              </w:rPr>
              <w:t>superdividendy</w:t>
            </w:r>
            <w:proofErr w:type="spellEnd"/>
          </w:p>
        </w:tc>
        <w:tc>
          <w:tcPr>
            <w:tcW w:w="564" w:type="pct"/>
            <w:noWrap/>
            <w:vAlign w:val="center"/>
          </w:tcPr>
          <w:p w:rsidR="00164406" w:rsidRPr="005A324D" w:rsidRDefault="00164406" w:rsidP="00CE7047">
            <w:pPr>
              <w:jc w:val="right"/>
              <w:rPr>
                <w:rFonts w:ascii="Times New Roman" w:hAnsi="Times New Roman" w:cs="Times New Roman"/>
                <w:color w:val="000000"/>
                <w:sz w:val="14"/>
                <w:szCs w:val="14"/>
              </w:rPr>
            </w:pPr>
            <w:r w:rsidRPr="00300BD8">
              <w:rPr>
                <w:rFonts w:ascii="Times New Roman" w:hAnsi="Times New Roman" w:cs="Times New Roman"/>
                <w:color w:val="000000"/>
                <w:sz w:val="14"/>
                <w:szCs w:val="14"/>
              </w:rPr>
              <w:t>3 519</w:t>
            </w:r>
          </w:p>
        </w:tc>
        <w:tc>
          <w:tcPr>
            <w:tcW w:w="567" w:type="pct"/>
            <w:noWrap/>
            <w:vAlign w:val="center"/>
          </w:tcPr>
          <w:p w:rsidR="00164406" w:rsidRPr="0002298F" w:rsidRDefault="00164406" w:rsidP="00CE7047">
            <w:pPr>
              <w:jc w:val="right"/>
              <w:rPr>
                <w:rFonts w:ascii="Times New Roman" w:hAnsi="Times New Roman" w:cs="Times New Roman"/>
                <w:color w:val="000000"/>
                <w:sz w:val="14"/>
                <w:szCs w:val="14"/>
              </w:rPr>
            </w:pPr>
            <w:r w:rsidRPr="0002298F">
              <w:rPr>
                <w:rFonts w:ascii="Times New Roman" w:hAnsi="Times New Roman" w:cs="Times New Roman"/>
                <w:color w:val="000000"/>
                <w:sz w:val="14"/>
                <w:szCs w:val="14"/>
              </w:rPr>
              <w:t>0</w:t>
            </w:r>
          </w:p>
        </w:tc>
        <w:tc>
          <w:tcPr>
            <w:tcW w:w="567" w:type="pct"/>
            <w:noWrap/>
            <w:vAlign w:val="center"/>
          </w:tcPr>
          <w:p w:rsidR="00164406" w:rsidRPr="005A324D" w:rsidRDefault="00164406" w:rsidP="00CE7047">
            <w:pPr>
              <w:jc w:val="right"/>
              <w:rPr>
                <w:rFonts w:ascii="Times New Roman" w:hAnsi="Times New Roman" w:cs="Times New Roman"/>
                <w:color w:val="000000"/>
                <w:sz w:val="14"/>
                <w:szCs w:val="14"/>
              </w:rPr>
            </w:pPr>
            <w:r w:rsidRPr="00300BD8">
              <w:rPr>
                <w:rFonts w:ascii="Times New Roman" w:hAnsi="Times New Roman" w:cs="Times New Roman"/>
                <w:color w:val="000000"/>
                <w:sz w:val="14"/>
                <w:szCs w:val="14"/>
              </w:rPr>
              <w:t>0</w:t>
            </w:r>
          </w:p>
        </w:tc>
        <w:tc>
          <w:tcPr>
            <w:tcW w:w="567" w:type="pct"/>
            <w:noWrap/>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67" w:type="pct"/>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67" w:type="pct"/>
            <w:noWrap/>
            <w:vAlign w:val="center"/>
          </w:tcPr>
          <w:p w:rsidR="00164406" w:rsidRPr="005A324D"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63" w:type="pct"/>
            <w:noWrap/>
            <w:vAlign w:val="center"/>
          </w:tcPr>
          <w:p w:rsidR="00164406" w:rsidRPr="005A324D"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164406" w:rsidRPr="005C66DA" w:rsidTr="00CE7047">
        <w:trPr>
          <w:trHeight w:val="254"/>
        </w:trPr>
        <w:tc>
          <w:tcPr>
            <w:tcW w:w="1037" w:type="pct"/>
            <w:noWrap/>
            <w:vAlign w:val="center"/>
            <w:hideMark/>
          </w:tcPr>
          <w:p w:rsidR="00164406" w:rsidRPr="00E6041E" w:rsidRDefault="00164406" w:rsidP="00CE7047">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Kapitoly štátneho rozpočtu</w:t>
            </w:r>
          </w:p>
        </w:tc>
        <w:tc>
          <w:tcPr>
            <w:tcW w:w="564" w:type="pct"/>
            <w:noWrap/>
            <w:vAlign w:val="center"/>
            <w:hideMark/>
          </w:tcPr>
          <w:p w:rsidR="00164406" w:rsidRPr="005A324D" w:rsidRDefault="00164406" w:rsidP="00CE7047">
            <w:pPr>
              <w:jc w:val="right"/>
              <w:rPr>
                <w:rFonts w:ascii="Times New Roman" w:hAnsi="Times New Roman" w:cs="Times New Roman"/>
                <w:b/>
                <w:bCs/>
                <w:color w:val="000000"/>
                <w:sz w:val="14"/>
                <w:szCs w:val="14"/>
              </w:rPr>
            </w:pPr>
            <w:r w:rsidRPr="00300BD8">
              <w:rPr>
                <w:rFonts w:ascii="Times New Roman" w:hAnsi="Times New Roman" w:cs="Times New Roman"/>
                <w:b/>
                <w:bCs/>
                <w:color w:val="000000"/>
                <w:sz w:val="14"/>
                <w:szCs w:val="14"/>
              </w:rPr>
              <w:t>479 662</w:t>
            </w:r>
          </w:p>
        </w:tc>
        <w:tc>
          <w:tcPr>
            <w:tcW w:w="567" w:type="pct"/>
            <w:noWrap/>
            <w:vAlign w:val="center"/>
          </w:tcPr>
          <w:p w:rsidR="00164406" w:rsidRPr="0002298F" w:rsidRDefault="00164406" w:rsidP="00CE7047">
            <w:pPr>
              <w:jc w:val="right"/>
              <w:rPr>
                <w:rFonts w:ascii="Times New Roman" w:hAnsi="Times New Roman" w:cs="Times New Roman"/>
                <w:b/>
                <w:bCs/>
                <w:color w:val="000000"/>
                <w:sz w:val="14"/>
                <w:szCs w:val="14"/>
              </w:rPr>
            </w:pPr>
            <w:r w:rsidRPr="0002298F">
              <w:rPr>
                <w:rFonts w:ascii="Times New Roman" w:hAnsi="Times New Roman" w:cs="Times New Roman"/>
                <w:b/>
                <w:bCs/>
                <w:color w:val="000000"/>
                <w:sz w:val="14"/>
                <w:szCs w:val="14"/>
              </w:rPr>
              <w:t>477 439</w:t>
            </w:r>
          </w:p>
        </w:tc>
        <w:tc>
          <w:tcPr>
            <w:tcW w:w="567" w:type="pct"/>
            <w:noWrap/>
            <w:vAlign w:val="center"/>
          </w:tcPr>
          <w:p w:rsidR="00164406" w:rsidRPr="005A324D" w:rsidRDefault="00164406" w:rsidP="00CE7047">
            <w:pPr>
              <w:jc w:val="right"/>
              <w:rPr>
                <w:rFonts w:ascii="Times New Roman" w:hAnsi="Times New Roman" w:cs="Times New Roman"/>
                <w:b/>
                <w:bCs/>
                <w:color w:val="000000"/>
                <w:sz w:val="14"/>
                <w:szCs w:val="14"/>
              </w:rPr>
            </w:pPr>
            <w:r w:rsidRPr="00300BD8">
              <w:rPr>
                <w:rFonts w:ascii="Times New Roman" w:hAnsi="Times New Roman" w:cs="Times New Roman"/>
                <w:b/>
                <w:bCs/>
                <w:color w:val="000000"/>
                <w:sz w:val="14"/>
                <w:szCs w:val="14"/>
              </w:rPr>
              <w:t>427 877</w:t>
            </w:r>
          </w:p>
        </w:tc>
        <w:tc>
          <w:tcPr>
            <w:tcW w:w="567" w:type="pct"/>
            <w:noWrap/>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443 644</w:t>
            </w:r>
          </w:p>
        </w:tc>
        <w:tc>
          <w:tcPr>
            <w:tcW w:w="567" w:type="pct"/>
            <w:noWrap/>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424 999</w:t>
            </w:r>
          </w:p>
        </w:tc>
        <w:tc>
          <w:tcPr>
            <w:tcW w:w="567" w:type="pct"/>
            <w:noWrap/>
            <w:vAlign w:val="center"/>
          </w:tcPr>
          <w:p w:rsidR="00164406" w:rsidRPr="005A324D"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431 669</w:t>
            </w:r>
          </w:p>
        </w:tc>
        <w:tc>
          <w:tcPr>
            <w:tcW w:w="563" w:type="pct"/>
            <w:noWrap/>
            <w:vAlign w:val="center"/>
          </w:tcPr>
          <w:p w:rsidR="00164406" w:rsidRPr="005A324D"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431 910</w:t>
            </w:r>
          </w:p>
        </w:tc>
      </w:tr>
      <w:tr w:rsidR="00164406" w:rsidRPr="00376B46" w:rsidTr="00CE7047">
        <w:trPr>
          <w:trHeight w:val="274"/>
        </w:trPr>
        <w:tc>
          <w:tcPr>
            <w:tcW w:w="1037" w:type="pct"/>
            <w:noWrap/>
            <w:vAlign w:val="center"/>
          </w:tcPr>
          <w:p w:rsidR="00164406" w:rsidRPr="00E6041E" w:rsidRDefault="00164406" w:rsidP="00CE7047">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64" w:type="pct"/>
            <w:noWrap/>
            <w:vAlign w:val="center"/>
          </w:tcPr>
          <w:p w:rsidR="00164406" w:rsidRPr="005A324D" w:rsidRDefault="00164406" w:rsidP="00CE7047">
            <w:pPr>
              <w:jc w:val="right"/>
              <w:rPr>
                <w:rFonts w:ascii="Times New Roman" w:hAnsi="Times New Roman" w:cs="Times New Roman"/>
                <w:color w:val="000000"/>
                <w:sz w:val="14"/>
                <w:szCs w:val="14"/>
              </w:rPr>
            </w:pPr>
            <w:r w:rsidRPr="00300BD8">
              <w:rPr>
                <w:rFonts w:ascii="Times New Roman" w:hAnsi="Times New Roman" w:cs="Times New Roman"/>
                <w:color w:val="000000"/>
                <w:sz w:val="14"/>
                <w:szCs w:val="14"/>
              </w:rPr>
              <w:t>313 847</w:t>
            </w:r>
          </w:p>
        </w:tc>
        <w:tc>
          <w:tcPr>
            <w:tcW w:w="567" w:type="pct"/>
            <w:noWrap/>
            <w:vAlign w:val="center"/>
          </w:tcPr>
          <w:p w:rsidR="00164406" w:rsidRPr="0002298F" w:rsidRDefault="00164406" w:rsidP="00CE7047">
            <w:pPr>
              <w:jc w:val="right"/>
              <w:rPr>
                <w:rFonts w:ascii="Times New Roman" w:hAnsi="Times New Roman" w:cs="Times New Roman"/>
                <w:color w:val="000000"/>
                <w:sz w:val="14"/>
                <w:szCs w:val="14"/>
              </w:rPr>
            </w:pPr>
            <w:r w:rsidRPr="0002298F">
              <w:rPr>
                <w:rFonts w:ascii="Times New Roman" w:hAnsi="Times New Roman" w:cs="Times New Roman"/>
                <w:color w:val="000000"/>
                <w:sz w:val="14"/>
                <w:szCs w:val="14"/>
              </w:rPr>
              <w:t>449 548</w:t>
            </w:r>
          </w:p>
        </w:tc>
        <w:tc>
          <w:tcPr>
            <w:tcW w:w="567" w:type="pct"/>
            <w:noWrap/>
            <w:vAlign w:val="center"/>
          </w:tcPr>
          <w:p w:rsidR="00164406" w:rsidRPr="005A324D" w:rsidRDefault="00164406" w:rsidP="00CE7047">
            <w:pPr>
              <w:jc w:val="right"/>
              <w:rPr>
                <w:rFonts w:ascii="Times New Roman" w:hAnsi="Times New Roman" w:cs="Times New Roman"/>
                <w:color w:val="000000"/>
                <w:sz w:val="14"/>
                <w:szCs w:val="14"/>
              </w:rPr>
            </w:pPr>
            <w:r w:rsidRPr="00300BD8">
              <w:rPr>
                <w:rFonts w:ascii="Times New Roman" w:hAnsi="Times New Roman" w:cs="Times New Roman"/>
                <w:color w:val="000000"/>
                <w:sz w:val="14"/>
                <w:szCs w:val="14"/>
              </w:rPr>
              <w:t>427 877</w:t>
            </w:r>
          </w:p>
        </w:tc>
        <w:tc>
          <w:tcPr>
            <w:tcW w:w="567" w:type="pct"/>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435 960</w:t>
            </w:r>
          </w:p>
        </w:tc>
        <w:tc>
          <w:tcPr>
            <w:tcW w:w="567" w:type="pct"/>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424 999</w:t>
            </w:r>
          </w:p>
        </w:tc>
        <w:tc>
          <w:tcPr>
            <w:tcW w:w="567" w:type="pct"/>
            <w:noWrap/>
            <w:vAlign w:val="center"/>
          </w:tcPr>
          <w:p w:rsidR="00164406" w:rsidRPr="005A324D"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431 669</w:t>
            </w:r>
          </w:p>
        </w:tc>
        <w:tc>
          <w:tcPr>
            <w:tcW w:w="563" w:type="pct"/>
            <w:noWrap/>
            <w:vAlign w:val="center"/>
          </w:tcPr>
          <w:p w:rsidR="00164406" w:rsidRPr="005A324D"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431 910</w:t>
            </w:r>
          </w:p>
        </w:tc>
      </w:tr>
      <w:tr w:rsidR="00164406" w:rsidRPr="005C66DA" w:rsidTr="00CE7047">
        <w:trPr>
          <w:trHeight w:val="345"/>
        </w:trPr>
        <w:tc>
          <w:tcPr>
            <w:tcW w:w="1037" w:type="pct"/>
            <w:noWrap/>
            <w:vAlign w:val="center"/>
          </w:tcPr>
          <w:p w:rsidR="00164406" w:rsidRPr="00E6041E" w:rsidRDefault="00164406" w:rsidP="00CE7047">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w:t>
            </w:r>
            <w:proofErr w:type="spellStart"/>
            <w:r w:rsidRPr="00E6041E">
              <w:rPr>
                <w:rFonts w:ascii="Times New Roman" w:hAnsi="Times New Roman" w:cs="Times New Roman"/>
                <w:i/>
                <w:iCs/>
                <w:color w:val="000000"/>
                <w:sz w:val="14"/>
                <w:szCs w:val="14"/>
              </w:rPr>
              <w:t>superdividendy</w:t>
            </w:r>
            <w:proofErr w:type="spellEnd"/>
          </w:p>
        </w:tc>
        <w:tc>
          <w:tcPr>
            <w:tcW w:w="564" w:type="pct"/>
            <w:noWrap/>
            <w:vAlign w:val="center"/>
          </w:tcPr>
          <w:p w:rsidR="00164406" w:rsidRPr="005A324D" w:rsidRDefault="00164406" w:rsidP="00CE7047">
            <w:pPr>
              <w:jc w:val="right"/>
              <w:rPr>
                <w:rFonts w:ascii="Times New Roman" w:hAnsi="Times New Roman" w:cs="Times New Roman"/>
                <w:color w:val="000000"/>
                <w:sz w:val="14"/>
                <w:szCs w:val="14"/>
              </w:rPr>
            </w:pPr>
            <w:r w:rsidRPr="00300BD8">
              <w:rPr>
                <w:rFonts w:ascii="Times New Roman" w:hAnsi="Times New Roman" w:cs="Times New Roman"/>
                <w:color w:val="000000"/>
                <w:sz w:val="14"/>
                <w:szCs w:val="14"/>
              </w:rPr>
              <w:t>165 815</w:t>
            </w:r>
          </w:p>
        </w:tc>
        <w:tc>
          <w:tcPr>
            <w:tcW w:w="567" w:type="pct"/>
            <w:noWrap/>
            <w:vAlign w:val="center"/>
          </w:tcPr>
          <w:p w:rsidR="00164406" w:rsidRPr="0002298F" w:rsidRDefault="00164406" w:rsidP="00CE7047">
            <w:pPr>
              <w:jc w:val="right"/>
              <w:rPr>
                <w:rFonts w:ascii="Times New Roman" w:hAnsi="Times New Roman" w:cs="Times New Roman"/>
                <w:color w:val="000000"/>
                <w:sz w:val="14"/>
                <w:szCs w:val="14"/>
              </w:rPr>
            </w:pPr>
            <w:r w:rsidRPr="0002298F">
              <w:rPr>
                <w:rFonts w:ascii="Times New Roman" w:hAnsi="Times New Roman" w:cs="Times New Roman"/>
                <w:color w:val="000000"/>
                <w:sz w:val="14"/>
                <w:szCs w:val="14"/>
              </w:rPr>
              <w:t>27 891</w:t>
            </w:r>
          </w:p>
        </w:tc>
        <w:tc>
          <w:tcPr>
            <w:tcW w:w="567" w:type="pct"/>
            <w:noWrap/>
            <w:vAlign w:val="center"/>
          </w:tcPr>
          <w:p w:rsidR="00164406" w:rsidRPr="005A324D" w:rsidRDefault="00164406" w:rsidP="00CE7047">
            <w:pPr>
              <w:jc w:val="right"/>
              <w:rPr>
                <w:rFonts w:ascii="Times New Roman" w:hAnsi="Times New Roman" w:cs="Times New Roman"/>
                <w:color w:val="000000"/>
                <w:sz w:val="14"/>
                <w:szCs w:val="14"/>
              </w:rPr>
            </w:pPr>
            <w:r w:rsidRPr="00300BD8">
              <w:rPr>
                <w:rFonts w:ascii="Times New Roman" w:hAnsi="Times New Roman" w:cs="Times New Roman"/>
                <w:color w:val="000000"/>
                <w:sz w:val="14"/>
                <w:szCs w:val="14"/>
              </w:rPr>
              <w:t>0</w:t>
            </w:r>
          </w:p>
        </w:tc>
        <w:tc>
          <w:tcPr>
            <w:tcW w:w="567" w:type="pct"/>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7 684</w:t>
            </w:r>
          </w:p>
        </w:tc>
        <w:tc>
          <w:tcPr>
            <w:tcW w:w="567" w:type="pct"/>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67" w:type="pct"/>
            <w:noWrap/>
            <w:vAlign w:val="center"/>
          </w:tcPr>
          <w:p w:rsidR="00164406" w:rsidRPr="005A324D"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63" w:type="pct"/>
            <w:noWrap/>
            <w:vAlign w:val="center"/>
          </w:tcPr>
          <w:p w:rsidR="00164406" w:rsidRPr="005A324D"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bl>
    <w:p w:rsidR="00164406" w:rsidRPr="000D4769" w:rsidRDefault="00164406" w:rsidP="00164406">
      <w:pPr>
        <w:jc w:val="both"/>
        <w:rPr>
          <w:rFonts w:ascii="Times New Roman" w:hAnsi="Times New Roman"/>
          <w:szCs w:val="22"/>
        </w:rPr>
      </w:pPr>
    </w:p>
    <w:p w:rsidR="00164406" w:rsidRDefault="00164406" w:rsidP="00164406">
      <w:pPr>
        <w:jc w:val="both"/>
        <w:rPr>
          <w:rFonts w:ascii="Times New Roman" w:hAnsi="Times New Roman"/>
          <w:b/>
          <w:i/>
          <w:szCs w:val="22"/>
        </w:rPr>
      </w:pPr>
    </w:p>
    <w:p w:rsidR="00917D95" w:rsidRDefault="00917D95" w:rsidP="00AC4C69">
      <w:pPr>
        <w:ind w:firstLine="708"/>
        <w:jc w:val="both"/>
        <w:rPr>
          <w:rFonts w:ascii="Times New Roman" w:hAnsi="Times New Roman"/>
          <w:b/>
          <w:i/>
          <w:szCs w:val="22"/>
        </w:rPr>
      </w:pPr>
    </w:p>
    <w:p w:rsidR="00917D95" w:rsidRDefault="00917D95" w:rsidP="00AC4C69">
      <w:pPr>
        <w:ind w:firstLine="708"/>
        <w:jc w:val="both"/>
        <w:rPr>
          <w:rFonts w:ascii="Times New Roman" w:hAnsi="Times New Roman"/>
          <w:b/>
          <w:i/>
          <w:szCs w:val="22"/>
        </w:rPr>
      </w:pPr>
    </w:p>
    <w:p w:rsidR="00164406" w:rsidRPr="002C2CE9" w:rsidRDefault="00164406" w:rsidP="00AC4C69">
      <w:pPr>
        <w:ind w:firstLine="708"/>
        <w:jc w:val="both"/>
        <w:rPr>
          <w:rFonts w:ascii="Times New Roman" w:hAnsi="Times New Roman"/>
          <w:b/>
          <w:i/>
          <w:szCs w:val="22"/>
        </w:rPr>
      </w:pPr>
      <w:r>
        <w:rPr>
          <w:rFonts w:ascii="Times New Roman" w:hAnsi="Times New Roman"/>
          <w:b/>
          <w:i/>
          <w:szCs w:val="22"/>
        </w:rPr>
        <w:lastRenderedPageBreak/>
        <w:t>MH Manažment, a. s.</w:t>
      </w:r>
    </w:p>
    <w:p w:rsidR="00164406" w:rsidRDefault="00164406" w:rsidP="00164406">
      <w:pPr>
        <w:ind w:firstLine="708"/>
        <w:jc w:val="both"/>
        <w:rPr>
          <w:rFonts w:ascii="Times New Roman" w:hAnsi="Times New Roman"/>
          <w:color w:val="FF0000"/>
          <w:szCs w:val="22"/>
        </w:rPr>
      </w:pPr>
      <w:r w:rsidRPr="005A7090">
        <w:rPr>
          <w:rFonts w:ascii="Times New Roman" w:hAnsi="Times New Roman"/>
          <w:color w:val="FF0000"/>
          <w:szCs w:val="22"/>
        </w:rPr>
        <w:t xml:space="preserve">  </w:t>
      </w:r>
    </w:p>
    <w:p w:rsidR="00164406" w:rsidRPr="00C86C0B" w:rsidRDefault="00164406" w:rsidP="00164406">
      <w:pPr>
        <w:ind w:firstLine="708"/>
        <w:jc w:val="both"/>
        <w:rPr>
          <w:rFonts w:ascii="Times New Roman" w:hAnsi="Times New Roman"/>
          <w:szCs w:val="22"/>
        </w:rPr>
      </w:pPr>
      <w:r w:rsidRPr="00C86C0B">
        <w:rPr>
          <w:rFonts w:ascii="Times New Roman" w:hAnsi="Times New Roman"/>
          <w:szCs w:val="22"/>
        </w:rPr>
        <w:t>V roku 201</w:t>
      </w:r>
      <w:r>
        <w:rPr>
          <w:rFonts w:ascii="Times New Roman" w:hAnsi="Times New Roman"/>
          <w:szCs w:val="22"/>
        </w:rPr>
        <w:t>8</w:t>
      </w:r>
      <w:r w:rsidRPr="00C86C0B">
        <w:rPr>
          <w:rFonts w:ascii="Times New Roman" w:hAnsi="Times New Roman"/>
          <w:szCs w:val="22"/>
        </w:rPr>
        <w:t xml:space="preserve"> sa objem dividend</w:t>
      </w:r>
      <w:r>
        <w:rPr>
          <w:rFonts w:ascii="Times New Roman" w:hAnsi="Times New Roman"/>
          <w:szCs w:val="22"/>
        </w:rPr>
        <w:t xml:space="preserve"> od spoločnosti MH Manažment, a. s. </w:t>
      </w:r>
      <w:r w:rsidRPr="00C86C0B">
        <w:rPr>
          <w:rFonts w:ascii="Times New Roman" w:hAnsi="Times New Roman"/>
          <w:szCs w:val="22"/>
        </w:rPr>
        <w:t xml:space="preserve">predpokladá vo výške </w:t>
      </w:r>
      <w:r>
        <w:rPr>
          <w:rFonts w:ascii="Times New Roman" w:hAnsi="Times New Roman"/>
          <w:szCs w:val="22"/>
        </w:rPr>
        <w:t>9,8</w:t>
      </w:r>
      <w:r w:rsidRPr="00850716">
        <w:rPr>
          <w:rFonts w:ascii="Times New Roman" w:hAnsi="Times New Roman"/>
          <w:szCs w:val="22"/>
        </w:rPr>
        <w:t xml:space="preserve"> tis. eur</w:t>
      </w:r>
      <w:r w:rsidRPr="00C86C0B">
        <w:rPr>
          <w:rFonts w:ascii="Times New Roman" w:hAnsi="Times New Roman"/>
          <w:szCs w:val="22"/>
        </w:rPr>
        <w:t xml:space="preserve">, čo je oproti </w:t>
      </w:r>
      <w:r>
        <w:rPr>
          <w:rFonts w:ascii="Times New Roman" w:hAnsi="Times New Roman"/>
          <w:szCs w:val="22"/>
        </w:rPr>
        <w:t>schválenému rozpočtu na rok 2017</w:t>
      </w:r>
      <w:r w:rsidRPr="00C86C0B">
        <w:rPr>
          <w:rFonts w:ascii="Times New Roman" w:hAnsi="Times New Roman"/>
          <w:szCs w:val="22"/>
        </w:rPr>
        <w:t xml:space="preserve"> </w:t>
      </w:r>
      <w:r w:rsidRPr="00850716">
        <w:rPr>
          <w:rFonts w:ascii="Times New Roman" w:hAnsi="Times New Roman"/>
          <w:szCs w:val="22"/>
        </w:rPr>
        <w:t>menej o</w:t>
      </w:r>
      <w:r>
        <w:rPr>
          <w:rFonts w:ascii="Times New Roman" w:hAnsi="Times New Roman"/>
          <w:szCs w:val="22"/>
        </w:rPr>
        <w:t> </w:t>
      </w:r>
      <w:r w:rsidRPr="000C6F4B">
        <w:rPr>
          <w:rFonts w:ascii="Times New Roman" w:hAnsi="Times New Roman"/>
          <w:szCs w:val="22"/>
        </w:rPr>
        <w:t>7,5</w:t>
      </w:r>
      <w:r w:rsidRPr="00850716">
        <w:rPr>
          <w:rFonts w:ascii="Times New Roman" w:hAnsi="Times New Roman"/>
          <w:szCs w:val="22"/>
        </w:rPr>
        <w:t xml:space="preserve"> tis. eur</w:t>
      </w:r>
      <w:r>
        <w:rPr>
          <w:rFonts w:ascii="Times New Roman" w:hAnsi="Times New Roman"/>
          <w:szCs w:val="22"/>
        </w:rPr>
        <w:t>. V návrhu rozpočtu na roky 2018 až 2020</w:t>
      </w:r>
      <w:r w:rsidRPr="00C86C0B">
        <w:rPr>
          <w:rFonts w:ascii="Times New Roman" w:hAnsi="Times New Roman"/>
          <w:szCs w:val="22"/>
        </w:rPr>
        <w:t xml:space="preserve"> </w:t>
      </w:r>
      <w:r w:rsidRPr="00850716">
        <w:rPr>
          <w:rFonts w:ascii="Times New Roman" w:hAnsi="Times New Roman"/>
          <w:szCs w:val="22"/>
        </w:rPr>
        <w:t>sú rozpočtované iba riadne dividendy</w:t>
      </w:r>
      <w:r w:rsidRPr="00C86C0B">
        <w:rPr>
          <w:rFonts w:ascii="Times New Roman" w:hAnsi="Times New Roman"/>
          <w:szCs w:val="22"/>
        </w:rPr>
        <w:t xml:space="preserve">. </w:t>
      </w:r>
    </w:p>
    <w:p w:rsidR="00164406" w:rsidRPr="005A7090" w:rsidRDefault="00164406" w:rsidP="00164406">
      <w:pPr>
        <w:ind w:firstLine="708"/>
        <w:jc w:val="both"/>
        <w:rPr>
          <w:rFonts w:ascii="Times New Roman" w:hAnsi="Times New Roman"/>
          <w:color w:val="FF0000"/>
          <w:szCs w:val="22"/>
        </w:rPr>
      </w:pPr>
    </w:p>
    <w:p w:rsidR="00164406" w:rsidRPr="007C4A4A" w:rsidRDefault="00164406" w:rsidP="00164406">
      <w:pPr>
        <w:jc w:val="both"/>
        <w:rPr>
          <w:rFonts w:ascii="Times New Roman" w:hAnsi="Times New Roman"/>
          <w:szCs w:val="22"/>
        </w:rPr>
      </w:pPr>
      <w:r w:rsidRPr="005A7090">
        <w:rPr>
          <w:rFonts w:ascii="Times New Roman" w:hAnsi="Times New Roman"/>
          <w:color w:val="FF0000"/>
          <w:szCs w:val="22"/>
        </w:rPr>
        <w:t xml:space="preserve"> </w:t>
      </w:r>
      <w:r w:rsidRPr="005A7090">
        <w:rPr>
          <w:rFonts w:ascii="Times New Roman" w:hAnsi="Times New Roman"/>
          <w:color w:val="FF0000"/>
          <w:szCs w:val="22"/>
        </w:rPr>
        <w:tab/>
      </w:r>
      <w:r w:rsidRPr="00850716">
        <w:rPr>
          <w:rFonts w:ascii="Times New Roman" w:hAnsi="Times New Roman"/>
          <w:szCs w:val="22"/>
        </w:rPr>
        <w:t>Predpokladá sa, že všetky príjmy z dividend spoločnosti budú v rokoch 2018 až 2020 transferované prostredníctvom štátnych finančných aktív do príjmov štátneho rozpočtu.</w:t>
      </w:r>
      <w:r w:rsidRPr="007C4A4A">
        <w:rPr>
          <w:rFonts w:ascii="Times New Roman" w:hAnsi="Times New Roman"/>
          <w:szCs w:val="22"/>
        </w:rPr>
        <w:t xml:space="preserve"> </w:t>
      </w:r>
    </w:p>
    <w:p w:rsidR="00164406" w:rsidRDefault="00164406" w:rsidP="00164406">
      <w:pPr>
        <w:ind w:firstLine="708"/>
        <w:jc w:val="both"/>
        <w:rPr>
          <w:rFonts w:ascii="Times New Roman" w:hAnsi="Times New Roman"/>
          <w:szCs w:val="22"/>
        </w:rPr>
      </w:pPr>
    </w:p>
    <w:p w:rsidR="00164406" w:rsidRDefault="00164406" w:rsidP="00164406">
      <w:pPr>
        <w:ind w:firstLine="708"/>
        <w:jc w:val="both"/>
        <w:rPr>
          <w:rFonts w:ascii="Times New Roman" w:hAnsi="Times New Roman"/>
          <w:b/>
          <w:i/>
          <w:szCs w:val="22"/>
        </w:rPr>
      </w:pPr>
      <w:r w:rsidRPr="002C2CE9">
        <w:rPr>
          <w:rFonts w:ascii="Times New Roman" w:hAnsi="Times New Roman"/>
          <w:b/>
          <w:i/>
          <w:szCs w:val="22"/>
        </w:rPr>
        <w:t>Kapitoly štátneho rozpočtu</w:t>
      </w:r>
    </w:p>
    <w:p w:rsidR="00164406" w:rsidRPr="002C2CE9" w:rsidRDefault="00164406" w:rsidP="00164406">
      <w:pPr>
        <w:ind w:firstLine="708"/>
        <w:jc w:val="both"/>
        <w:rPr>
          <w:rFonts w:ascii="Times New Roman" w:hAnsi="Times New Roman"/>
          <w:b/>
          <w:i/>
          <w:szCs w:val="22"/>
        </w:rPr>
      </w:pPr>
    </w:p>
    <w:p w:rsidR="00164406" w:rsidRPr="00C86C0B" w:rsidRDefault="00164406" w:rsidP="00164406">
      <w:pPr>
        <w:ind w:firstLine="708"/>
        <w:jc w:val="both"/>
        <w:rPr>
          <w:rFonts w:ascii="Times New Roman" w:hAnsi="Times New Roman"/>
          <w:szCs w:val="22"/>
        </w:rPr>
      </w:pPr>
      <w:r w:rsidRPr="00C86C0B">
        <w:rPr>
          <w:rFonts w:ascii="Times New Roman" w:hAnsi="Times New Roman"/>
          <w:szCs w:val="22"/>
        </w:rPr>
        <w:t>Objem dividend od spoločností, v ktorých je vlastnícky podiel štátu zastúpený príslušným ministerstvom, sa v roku 201</w:t>
      </w:r>
      <w:r>
        <w:rPr>
          <w:rFonts w:ascii="Times New Roman" w:hAnsi="Times New Roman"/>
          <w:szCs w:val="22"/>
        </w:rPr>
        <w:t>8</w:t>
      </w:r>
      <w:r w:rsidRPr="00C86C0B">
        <w:rPr>
          <w:rFonts w:ascii="Times New Roman" w:hAnsi="Times New Roman"/>
          <w:szCs w:val="22"/>
        </w:rPr>
        <w:t xml:space="preserve"> navrhuje vo výške </w:t>
      </w:r>
      <w:r w:rsidRPr="00850716">
        <w:rPr>
          <w:rFonts w:ascii="Times New Roman" w:hAnsi="Times New Roman"/>
          <w:szCs w:val="22"/>
        </w:rPr>
        <w:t>425,0 mil. eur</w:t>
      </w:r>
      <w:r w:rsidRPr="00C86C0B">
        <w:rPr>
          <w:rFonts w:ascii="Times New Roman" w:hAnsi="Times New Roman"/>
          <w:szCs w:val="22"/>
        </w:rPr>
        <w:t>, čo je v porovnaní so schváleným rozpočtom na rok 201</w:t>
      </w:r>
      <w:r>
        <w:rPr>
          <w:rFonts w:ascii="Times New Roman" w:hAnsi="Times New Roman"/>
          <w:szCs w:val="22"/>
        </w:rPr>
        <w:t>7</w:t>
      </w:r>
      <w:r w:rsidRPr="00C86C0B">
        <w:rPr>
          <w:rFonts w:ascii="Times New Roman" w:hAnsi="Times New Roman"/>
          <w:szCs w:val="22"/>
        </w:rPr>
        <w:t xml:space="preserve"> </w:t>
      </w:r>
      <w:r w:rsidRPr="00850716">
        <w:rPr>
          <w:rFonts w:ascii="Times New Roman" w:hAnsi="Times New Roman"/>
          <w:szCs w:val="22"/>
        </w:rPr>
        <w:t xml:space="preserve">menej o 2,9 mil. eur. Tento pokles je spôsobený hlavne </w:t>
      </w:r>
      <w:r w:rsidR="00AC4C69">
        <w:rPr>
          <w:rFonts w:ascii="Times New Roman" w:hAnsi="Times New Roman"/>
          <w:szCs w:val="22"/>
        </w:rPr>
        <w:t>poklesom dividend od spoločností</w:t>
      </w:r>
      <w:r w:rsidRPr="00850716">
        <w:rPr>
          <w:rFonts w:ascii="Times New Roman" w:hAnsi="Times New Roman"/>
          <w:szCs w:val="22"/>
        </w:rPr>
        <w:t> Slovenská elektrizačná prenosová sústava, a. s.  a Slovenská konsolidačná, a.</w:t>
      </w:r>
      <w:r>
        <w:rPr>
          <w:rFonts w:ascii="Times New Roman" w:hAnsi="Times New Roman"/>
          <w:szCs w:val="22"/>
        </w:rPr>
        <w:t xml:space="preserve"> </w:t>
      </w:r>
      <w:r w:rsidRPr="00850716">
        <w:rPr>
          <w:rFonts w:ascii="Times New Roman" w:hAnsi="Times New Roman"/>
          <w:szCs w:val="22"/>
        </w:rPr>
        <w:t>s.</w:t>
      </w:r>
    </w:p>
    <w:p w:rsidR="00164406" w:rsidRDefault="00164406"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AC4C69" w:rsidRDefault="00AC4C69" w:rsidP="00164406">
      <w:pPr>
        <w:jc w:val="both"/>
        <w:rPr>
          <w:rFonts w:ascii="Times New Roman" w:hAnsi="Times New Roman"/>
          <w:szCs w:val="22"/>
        </w:rPr>
      </w:pPr>
    </w:p>
    <w:p w:rsidR="00164406" w:rsidRDefault="00164406" w:rsidP="00164406">
      <w:pPr>
        <w:ind w:firstLine="708"/>
        <w:jc w:val="both"/>
        <w:rPr>
          <w:rFonts w:ascii="Times New Roman" w:hAnsi="Times New Roman"/>
          <w:szCs w:val="22"/>
        </w:rPr>
      </w:pPr>
      <w:r w:rsidRPr="006353C5">
        <w:rPr>
          <w:rFonts w:ascii="Times New Roman" w:hAnsi="Times New Roman"/>
          <w:szCs w:val="22"/>
        </w:rPr>
        <w:lastRenderedPageBreak/>
        <w:t>Vývoj týchto príjmov zobrazuje nasledovná tabuľka</w:t>
      </w:r>
      <w:r>
        <w:rPr>
          <w:rFonts w:ascii="Times New Roman" w:hAnsi="Times New Roman"/>
          <w:szCs w:val="22"/>
        </w:rPr>
        <w:t xml:space="preserve">: </w:t>
      </w:r>
    </w:p>
    <w:p w:rsidR="00164406" w:rsidRDefault="00164406" w:rsidP="00164406">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4"/>
        <w:gridCol w:w="977"/>
        <w:gridCol w:w="973"/>
        <w:gridCol w:w="975"/>
        <w:gridCol w:w="975"/>
        <w:gridCol w:w="975"/>
        <w:gridCol w:w="975"/>
        <w:gridCol w:w="968"/>
      </w:tblGrid>
      <w:tr w:rsidR="00164406" w:rsidRPr="000B49A0" w:rsidTr="00CE7047">
        <w:trPr>
          <w:trHeight w:val="265"/>
        </w:trPr>
        <w:tc>
          <w:tcPr>
            <w:tcW w:w="1238" w:type="pct"/>
            <w:shd w:val="clear" w:color="000000" w:fill="A6A6A6"/>
            <w:vAlign w:val="center"/>
            <w:hideMark/>
          </w:tcPr>
          <w:p w:rsidR="00164406" w:rsidRPr="000B49A0" w:rsidRDefault="00164406" w:rsidP="00CE7047">
            <w:pPr>
              <w:jc w:val="both"/>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v tis. eur</w:t>
            </w:r>
          </w:p>
        </w:tc>
        <w:tc>
          <w:tcPr>
            <w:tcW w:w="539" w:type="pct"/>
            <w:shd w:val="clear" w:color="000000" w:fill="A6A6A6"/>
            <w:noWrap/>
            <w:vAlign w:val="center"/>
            <w:hideMark/>
          </w:tcPr>
          <w:p w:rsidR="00164406" w:rsidRPr="000B49A0" w:rsidRDefault="00164406" w:rsidP="00CE7047">
            <w:pPr>
              <w:jc w:val="cente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2015 S</w:t>
            </w:r>
          </w:p>
        </w:tc>
        <w:tc>
          <w:tcPr>
            <w:tcW w:w="537" w:type="pct"/>
            <w:shd w:val="clear" w:color="000000" w:fill="A6A6A6"/>
            <w:vAlign w:val="center"/>
          </w:tcPr>
          <w:p w:rsidR="00164406" w:rsidRPr="000B49A0" w:rsidRDefault="00164406" w:rsidP="00CE7047">
            <w:pPr>
              <w:jc w:val="cente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2016 S</w:t>
            </w:r>
          </w:p>
        </w:tc>
        <w:tc>
          <w:tcPr>
            <w:tcW w:w="538" w:type="pct"/>
            <w:shd w:val="clear" w:color="000000" w:fill="A6A6A6"/>
            <w:noWrap/>
            <w:vAlign w:val="center"/>
            <w:hideMark/>
          </w:tcPr>
          <w:p w:rsidR="00164406" w:rsidRPr="000B49A0" w:rsidRDefault="00164406" w:rsidP="00CE7047">
            <w:pPr>
              <w:jc w:val="cente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2017 R</w:t>
            </w:r>
          </w:p>
        </w:tc>
        <w:tc>
          <w:tcPr>
            <w:tcW w:w="538" w:type="pct"/>
            <w:shd w:val="clear" w:color="000000" w:fill="A6A6A6"/>
            <w:vAlign w:val="center"/>
          </w:tcPr>
          <w:p w:rsidR="00164406" w:rsidRPr="000B49A0" w:rsidRDefault="00164406" w:rsidP="00CE7047">
            <w:pPr>
              <w:jc w:val="cente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2017 OS</w:t>
            </w:r>
          </w:p>
        </w:tc>
        <w:tc>
          <w:tcPr>
            <w:tcW w:w="538" w:type="pct"/>
            <w:shd w:val="clear" w:color="000000" w:fill="A6A6A6"/>
            <w:vAlign w:val="center"/>
          </w:tcPr>
          <w:p w:rsidR="00164406" w:rsidRPr="000B49A0" w:rsidRDefault="00164406" w:rsidP="00CE7047">
            <w:pPr>
              <w:jc w:val="cente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2018 N</w:t>
            </w:r>
          </w:p>
        </w:tc>
        <w:tc>
          <w:tcPr>
            <w:tcW w:w="538" w:type="pct"/>
            <w:shd w:val="clear" w:color="000000" w:fill="A6A6A6"/>
            <w:noWrap/>
            <w:vAlign w:val="center"/>
            <w:hideMark/>
          </w:tcPr>
          <w:p w:rsidR="00164406" w:rsidRPr="000B49A0" w:rsidRDefault="00164406" w:rsidP="00CE7047">
            <w:pPr>
              <w:jc w:val="cente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2019 N</w:t>
            </w:r>
          </w:p>
        </w:tc>
        <w:tc>
          <w:tcPr>
            <w:tcW w:w="534" w:type="pct"/>
            <w:shd w:val="clear" w:color="000000" w:fill="A6A6A6"/>
            <w:noWrap/>
            <w:vAlign w:val="center"/>
            <w:hideMark/>
          </w:tcPr>
          <w:p w:rsidR="00164406" w:rsidRPr="000B49A0" w:rsidRDefault="00164406" w:rsidP="00CE7047">
            <w:pPr>
              <w:jc w:val="cente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2020 N</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4406" w:rsidRPr="000B49A0" w:rsidRDefault="00164406" w:rsidP="00CE7047">
            <w:pPr>
              <w:jc w:val="both"/>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Príjmy z podnikania - dividendy</w:t>
            </w:r>
          </w:p>
        </w:tc>
        <w:tc>
          <w:tcPr>
            <w:tcW w:w="53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479 662</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477 439</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427 877</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443 644</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424 999</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431 669</w:t>
            </w:r>
          </w:p>
        </w:tc>
        <w:tc>
          <w:tcPr>
            <w:tcW w:w="53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431 910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64406" w:rsidRPr="000B49A0" w:rsidRDefault="00164406" w:rsidP="00CE7047">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313 847</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406" w:rsidRPr="000B49A0" w:rsidRDefault="00164406" w:rsidP="00CE7047">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449 548</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64406" w:rsidRPr="000B49A0" w:rsidRDefault="00164406" w:rsidP="00CE7047">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427 877</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406" w:rsidRPr="000B49A0" w:rsidRDefault="00164406" w:rsidP="00CE7047">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435 960</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406" w:rsidRPr="000B49A0" w:rsidRDefault="00164406" w:rsidP="00CE7047">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424 999</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64406" w:rsidRPr="000B49A0" w:rsidRDefault="00164406" w:rsidP="00CE7047">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431 669</w:t>
            </w:r>
          </w:p>
        </w:tc>
        <w:tc>
          <w:tcPr>
            <w:tcW w:w="53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64406" w:rsidRPr="000B49A0" w:rsidRDefault="00164406" w:rsidP="00CE7047">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431 910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4406" w:rsidRPr="000B49A0" w:rsidRDefault="00164406" w:rsidP="00CE7047">
            <w:pPr>
              <w:ind w:right="-231"/>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w:t>
            </w:r>
            <w:proofErr w:type="spellStart"/>
            <w:r w:rsidRPr="000B49A0">
              <w:rPr>
                <w:rFonts w:ascii="Times New Roman" w:hAnsi="Times New Roman" w:cs="Times New Roman"/>
                <w:bCs/>
                <w:color w:val="000000"/>
                <w:sz w:val="14"/>
                <w:szCs w:val="14"/>
                <w:lang w:eastAsia="sk-SK"/>
              </w:rPr>
              <w:t>superdividendy</w:t>
            </w:r>
            <w:proofErr w:type="spellEnd"/>
          </w:p>
        </w:tc>
        <w:tc>
          <w:tcPr>
            <w:tcW w:w="53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64406" w:rsidRPr="000B49A0" w:rsidRDefault="00164406" w:rsidP="00CE7047">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165 815</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406" w:rsidRPr="000B49A0" w:rsidRDefault="00164406" w:rsidP="00CE7047">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27 891</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64406" w:rsidRPr="000B49A0" w:rsidRDefault="00164406" w:rsidP="00CE7047">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406" w:rsidRPr="000B49A0" w:rsidRDefault="00164406" w:rsidP="00CE7047">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7 684</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406" w:rsidRPr="000B49A0" w:rsidRDefault="00164406" w:rsidP="00CE7047">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64406" w:rsidRPr="000B49A0" w:rsidRDefault="00164406" w:rsidP="00CE7047">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0</w:t>
            </w:r>
          </w:p>
        </w:tc>
        <w:tc>
          <w:tcPr>
            <w:tcW w:w="53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64406" w:rsidRPr="000B49A0" w:rsidRDefault="00164406" w:rsidP="00CE7047">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Ministerstvo financií SR</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78 279</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62 572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22 589</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44 202</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19 560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19 544</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19 550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Slovenská konsolidačná,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2 644</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2 221</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1 964</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2 130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844</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828</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834</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Tipos,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8 500</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3 000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3 000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3 000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3 000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SEPS,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66 135</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53 351</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16 625</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37 072</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14 716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14 716</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14 716</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66 135</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53 351</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16 625</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37 072</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14 716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14 716</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14 716</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w:t>
            </w:r>
            <w:proofErr w:type="spellStart"/>
            <w:r w:rsidRPr="000B49A0">
              <w:rPr>
                <w:rFonts w:ascii="Times New Roman" w:hAnsi="Times New Roman" w:cs="Times New Roman"/>
                <w:bCs/>
                <w:color w:val="000000"/>
                <w:sz w:val="14"/>
                <w:szCs w:val="14"/>
                <w:lang w:eastAsia="sk-SK"/>
              </w:rPr>
              <w:t>superdividendy</w:t>
            </w:r>
            <w:proofErr w:type="spellEnd"/>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SZRB,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1 000</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1 000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2 000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1 000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1 000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 xml:space="preserve">Ministerstvo zahraničných </w:t>
            </w:r>
            <w:r w:rsidR="00AC4C69">
              <w:rPr>
                <w:rFonts w:ascii="Times New Roman" w:hAnsi="Times New Roman" w:cs="Times New Roman"/>
                <w:b/>
                <w:bCs/>
                <w:color w:val="000000"/>
                <w:sz w:val="14"/>
                <w:szCs w:val="14"/>
                <w:lang w:eastAsia="sk-SK"/>
              </w:rPr>
              <w:t>vecí a európskych záležitostí</w:t>
            </w:r>
            <w:r w:rsidRPr="000B49A0">
              <w:rPr>
                <w:rFonts w:ascii="Times New Roman" w:hAnsi="Times New Roman" w:cs="Times New Roman"/>
                <w:b/>
                <w:bCs/>
                <w:color w:val="000000"/>
                <w:sz w:val="14"/>
                <w:szCs w:val="14"/>
                <w:lang w:eastAsia="sk-SK"/>
              </w:rPr>
              <w:t xml:space="preserve"> SR</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201</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205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210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210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213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213</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213</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Správa služieb diplomatickému zboru,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201</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205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210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210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213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213</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213</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Ministerstvo hospodárstva SR</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400 414</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413 779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404 254</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398 748</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404 866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411 483</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411 624</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Jadrová a vyraďovacia spoločnosť,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5 000</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2 859</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1 737</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2 032</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2 173</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Slovak Telecom,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11 065</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Transpetrol,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7 000</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6 939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7 000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7 000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6 563</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6 823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7 000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7 000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w:t>
            </w:r>
            <w:proofErr w:type="spellStart"/>
            <w:r w:rsidRPr="000B49A0">
              <w:rPr>
                <w:rFonts w:ascii="Times New Roman" w:hAnsi="Times New Roman" w:cs="Times New Roman"/>
                <w:bCs/>
                <w:color w:val="000000"/>
                <w:sz w:val="14"/>
                <w:szCs w:val="14"/>
                <w:lang w:eastAsia="sk-SK"/>
              </w:rPr>
              <w:t>superdividendy</w:t>
            </w:r>
            <w:proofErr w:type="spellEnd"/>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437</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116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Slovenský plynárenský priemysel,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288 547</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303 000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310 000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300 000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300 000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126 970</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301 528</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310 000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300 000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300 000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w:t>
            </w:r>
            <w:proofErr w:type="spellStart"/>
            <w:r w:rsidRPr="000B49A0">
              <w:rPr>
                <w:rFonts w:ascii="Times New Roman" w:hAnsi="Times New Roman" w:cs="Times New Roman"/>
                <w:bCs/>
                <w:color w:val="000000"/>
                <w:sz w:val="14"/>
                <w:szCs w:val="14"/>
                <w:lang w:eastAsia="sk-SK"/>
              </w:rPr>
              <w:t>superdividendy</w:t>
            </w:r>
            <w:proofErr w:type="spellEnd"/>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161 577</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1 472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Západoslovenská energetika,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31 089</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29 360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34 710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25 737</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33 975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28 781</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28 781</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30 224</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29 352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34 710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25 737</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33 975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28 781</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28 781</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w:t>
            </w:r>
            <w:proofErr w:type="spellStart"/>
            <w:r w:rsidRPr="000B49A0">
              <w:rPr>
                <w:rFonts w:ascii="Times New Roman" w:hAnsi="Times New Roman" w:cs="Times New Roman"/>
                <w:bCs/>
                <w:color w:val="000000"/>
                <w:sz w:val="14"/>
                <w:szCs w:val="14"/>
                <w:lang w:eastAsia="sk-SK"/>
              </w:rPr>
              <w:t>superdividendy</w:t>
            </w:r>
            <w:proofErr w:type="spellEnd"/>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865</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8</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Stredoslovenská energetika,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26 413</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33 480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29 289</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29 289</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30 483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35 195</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35 195</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26 413</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31 911</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29 289</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29 289</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30 483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35 195</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35 195</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w:t>
            </w:r>
            <w:proofErr w:type="spellStart"/>
            <w:r w:rsidRPr="000B49A0">
              <w:rPr>
                <w:rFonts w:ascii="Times New Roman" w:hAnsi="Times New Roman" w:cs="Times New Roman"/>
                <w:bCs/>
                <w:color w:val="000000"/>
                <w:sz w:val="14"/>
                <w:szCs w:val="14"/>
                <w:lang w:eastAsia="sk-SK"/>
              </w:rPr>
              <w:t>superdividendy</w:t>
            </w:r>
            <w:proofErr w:type="spellEnd"/>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1 569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Východoslovenská energetika,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31 300</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36 000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30 396</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28 722</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31 671</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38 475</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38 475</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28 373</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11 274</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30 396</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21 038</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31 671</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38 475</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38 475</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w:t>
            </w:r>
            <w:proofErr w:type="spellStart"/>
            <w:r w:rsidRPr="000B49A0">
              <w:rPr>
                <w:rFonts w:ascii="Times New Roman" w:hAnsi="Times New Roman" w:cs="Times New Roman"/>
                <w:bCs/>
                <w:color w:val="000000"/>
                <w:sz w:val="14"/>
                <w:szCs w:val="14"/>
                <w:lang w:eastAsia="sk-SK"/>
              </w:rPr>
              <w:t>superdividendy</w:t>
            </w:r>
            <w:proofErr w:type="spellEnd"/>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2 927</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24 726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7 684</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Ministerstvo práce, sociálnych vecí a rodiny SR</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32</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27</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42</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47</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32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32</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33</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Technická inšpekcia,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32</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27</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42</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47</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32</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33</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Ministerstvo dopravy, výstavby a regionálneho rozvoja SR</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736</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856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782</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437</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328</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396</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490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Verejné prístavy,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269</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255</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350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Letisko Košice - </w:t>
            </w:r>
            <w:proofErr w:type="spellStart"/>
            <w:r w:rsidRPr="000B49A0">
              <w:rPr>
                <w:rFonts w:ascii="Times New Roman" w:hAnsi="Times New Roman" w:cs="Times New Roman"/>
                <w:bCs/>
                <w:color w:val="000000"/>
                <w:sz w:val="14"/>
                <w:szCs w:val="14"/>
                <w:lang w:eastAsia="sk-SK"/>
              </w:rPr>
              <w:t>Airport</w:t>
            </w:r>
            <w:proofErr w:type="spellEnd"/>
            <w:r w:rsidRPr="000B49A0">
              <w:rPr>
                <w:rFonts w:ascii="Times New Roman" w:hAnsi="Times New Roman" w:cs="Times New Roman"/>
                <w:bCs/>
                <w:color w:val="000000"/>
                <w:sz w:val="14"/>
                <w:szCs w:val="14"/>
                <w:lang w:eastAsia="sk-SK"/>
              </w:rPr>
              <w:t xml:space="preserve"> Košice,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458</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589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432</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432</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308</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386</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481</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Letisko Poprad-Tatry,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164406" w:rsidRPr="000B49A0" w:rsidRDefault="00164406" w:rsidP="00CE7047">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Letisko Sliač,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9</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Poštová banka, </w:t>
            </w:r>
            <w:proofErr w:type="spellStart"/>
            <w:r w:rsidRPr="000B49A0">
              <w:rPr>
                <w:rFonts w:ascii="Times New Roman" w:hAnsi="Times New Roman" w:cs="Times New Roman"/>
                <w:bCs/>
                <w:color w:val="000000"/>
                <w:sz w:val="14"/>
                <w:szCs w:val="14"/>
                <w:lang w:eastAsia="sk-SK"/>
              </w:rPr>
              <w:t>a.s</w:t>
            </w:r>
            <w:proofErr w:type="spellEnd"/>
            <w:r w:rsidRPr="000B49A0">
              <w:rPr>
                <w:rFonts w:ascii="Times New Roman" w:hAnsi="Times New Roman" w:cs="Times New Roman"/>
                <w:bCs/>
                <w:color w:val="000000"/>
                <w:sz w:val="14"/>
                <w:szCs w:val="14"/>
                <w:lang w:eastAsia="sk-SK"/>
              </w:rPr>
              <w:t>.</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9</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5</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r>
      <w:tr w:rsidR="00164406" w:rsidRPr="000B49A0"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5</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r>
      <w:tr w:rsidR="00164406" w:rsidRPr="005F164A" w:rsidTr="00CE7047">
        <w:trPr>
          <w:trHeight w:val="265"/>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406" w:rsidRPr="000B49A0" w:rsidRDefault="00164406" w:rsidP="00CE7047">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w:t>
            </w:r>
            <w:proofErr w:type="spellStart"/>
            <w:r w:rsidRPr="000B49A0">
              <w:rPr>
                <w:rFonts w:ascii="Times New Roman" w:hAnsi="Times New Roman" w:cs="Times New Roman"/>
                <w:bCs/>
                <w:color w:val="000000"/>
                <w:sz w:val="14"/>
                <w:szCs w:val="14"/>
                <w:lang w:eastAsia="sk-SK"/>
              </w:rPr>
              <w:t>superdividendy</w:t>
            </w:r>
            <w:proofErr w:type="spellEnd"/>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9</w:t>
            </w:r>
          </w:p>
        </w:tc>
        <w:tc>
          <w:tcPr>
            <w:tcW w:w="537"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0B49A0"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406" w:rsidRPr="005A324D" w:rsidRDefault="00164406" w:rsidP="00CE7047">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r>
    </w:tbl>
    <w:p w:rsidR="00164406" w:rsidRDefault="00164406" w:rsidP="00164406">
      <w:pPr>
        <w:jc w:val="both"/>
        <w:rPr>
          <w:rFonts w:ascii="Times New Roman" w:hAnsi="Times New Roman"/>
          <w:b/>
          <w:szCs w:val="22"/>
        </w:rPr>
      </w:pPr>
    </w:p>
    <w:p w:rsidR="00164406" w:rsidRDefault="00164406" w:rsidP="00164406">
      <w:pPr>
        <w:jc w:val="both"/>
        <w:rPr>
          <w:rFonts w:ascii="Times New Roman" w:hAnsi="Times New Roman"/>
          <w:b/>
          <w:szCs w:val="22"/>
        </w:rPr>
      </w:pPr>
    </w:p>
    <w:p w:rsidR="00164406" w:rsidRDefault="00164406" w:rsidP="00164406">
      <w:pPr>
        <w:jc w:val="both"/>
        <w:rPr>
          <w:rFonts w:ascii="Times New Roman" w:hAnsi="Times New Roman"/>
          <w:b/>
          <w:szCs w:val="22"/>
        </w:rPr>
      </w:pPr>
      <w:r>
        <w:rPr>
          <w:rFonts w:ascii="Times New Roman" w:hAnsi="Times New Roman"/>
          <w:b/>
          <w:szCs w:val="22"/>
        </w:rPr>
        <w:t xml:space="preserve">3.4.3.  Nedaňové príjmy a tuzemské transfery </w:t>
      </w:r>
    </w:p>
    <w:p w:rsidR="00164406" w:rsidRDefault="00164406" w:rsidP="00164406">
      <w:pPr>
        <w:ind w:firstLine="708"/>
        <w:jc w:val="both"/>
        <w:rPr>
          <w:rFonts w:ascii="Times New Roman" w:hAnsi="Times New Roman"/>
          <w:b/>
          <w:szCs w:val="22"/>
        </w:rPr>
      </w:pPr>
    </w:p>
    <w:p w:rsidR="00164406" w:rsidRDefault="00164406" w:rsidP="00164406">
      <w:pPr>
        <w:ind w:firstLine="708"/>
        <w:jc w:val="both"/>
        <w:rPr>
          <w:rFonts w:ascii="Times New Roman" w:hAnsi="Times New Roman"/>
          <w:szCs w:val="22"/>
        </w:rPr>
      </w:pPr>
      <w:r w:rsidRPr="000D4769">
        <w:rPr>
          <w:rFonts w:ascii="Times New Roman" w:hAnsi="Times New Roman"/>
          <w:szCs w:val="22"/>
        </w:rPr>
        <w:t>Nedaňové príjmy vznikajú</w:t>
      </w:r>
      <w:r>
        <w:rPr>
          <w:rFonts w:ascii="Times New Roman" w:hAnsi="Times New Roman"/>
          <w:szCs w:val="22"/>
        </w:rPr>
        <w:t xml:space="preserve"> z činnosti jednotlivých kapitol štátneho rozpočtu a môžu </w:t>
      </w:r>
      <w:r w:rsidR="00AC4C69">
        <w:rPr>
          <w:rFonts w:ascii="Times New Roman" w:hAnsi="Times New Roman"/>
          <w:szCs w:val="22"/>
        </w:rPr>
        <w:t>to byť</w:t>
      </w:r>
      <w:r>
        <w:rPr>
          <w:rFonts w:ascii="Times New Roman" w:hAnsi="Times New Roman"/>
          <w:szCs w:val="22"/>
        </w:rPr>
        <w:t xml:space="preserve"> príjm</w:t>
      </w:r>
      <w:r w:rsidR="00AC4C69">
        <w:rPr>
          <w:rFonts w:ascii="Times New Roman" w:hAnsi="Times New Roman"/>
          <w:szCs w:val="22"/>
        </w:rPr>
        <w:t>y</w:t>
      </w:r>
      <w:r>
        <w:rPr>
          <w:rFonts w:ascii="Times New Roman" w:hAnsi="Times New Roman"/>
          <w:szCs w:val="22"/>
        </w:rPr>
        <w:t xml:space="preserve"> z vlastníctva, poplatk</w:t>
      </w:r>
      <w:r w:rsidR="00AC4C69">
        <w:rPr>
          <w:rFonts w:ascii="Times New Roman" w:hAnsi="Times New Roman"/>
          <w:szCs w:val="22"/>
        </w:rPr>
        <w:t>y</w:t>
      </w:r>
      <w:r>
        <w:rPr>
          <w:rFonts w:ascii="Times New Roman" w:hAnsi="Times New Roman"/>
          <w:szCs w:val="22"/>
        </w:rPr>
        <w:t xml:space="preserve"> a platb</w:t>
      </w:r>
      <w:r w:rsidR="00AC4C69">
        <w:rPr>
          <w:rFonts w:ascii="Times New Roman" w:hAnsi="Times New Roman"/>
          <w:szCs w:val="22"/>
        </w:rPr>
        <w:t>y</w:t>
      </w:r>
      <w:r>
        <w:rPr>
          <w:rFonts w:ascii="Times New Roman" w:hAnsi="Times New Roman"/>
          <w:szCs w:val="22"/>
        </w:rPr>
        <w:t>, kapitálov</w:t>
      </w:r>
      <w:r w:rsidR="00AC4C69">
        <w:rPr>
          <w:rFonts w:ascii="Times New Roman" w:hAnsi="Times New Roman"/>
          <w:szCs w:val="22"/>
        </w:rPr>
        <w:t>é</w:t>
      </w:r>
      <w:r>
        <w:rPr>
          <w:rFonts w:ascii="Times New Roman" w:hAnsi="Times New Roman"/>
          <w:szCs w:val="22"/>
        </w:rPr>
        <w:t xml:space="preserve"> príjm</w:t>
      </w:r>
      <w:r w:rsidR="00AC4C69">
        <w:rPr>
          <w:rFonts w:ascii="Times New Roman" w:hAnsi="Times New Roman"/>
          <w:szCs w:val="22"/>
        </w:rPr>
        <w:t>y</w:t>
      </w:r>
      <w:r>
        <w:rPr>
          <w:rFonts w:ascii="Times New Roman" w:hAnsi="Times New Roman"/>
          <w:szCs w:val="22"/>
        </w:rPr>
        <w:t>, úrok</w:t>
      </w:r>
      <w:r w:rsidR="00AC4C69">
        <w:rPr>
          <w:rFonts w:ascii="Times New Roman" w:hAnsi="Times New Roman"/>
          <w:szCs w:val="22"/>
        </w:rPr>
        <w:t>y</w:t>
      </w:r>
      <w:r>
        <w:rPr>
          <w:rFonts w:ascii="Times New Roman" w:hAnsi="Times New Roman"/>
          <w:szCs w:val="22"/>
        </w:rPr>
        <w:t>.</w:t>
      </w:r>
    </w:p>
    <w:p w:rsidR="00164406" w:rsidRDefault="00164406" w:rsidP="00164406">
      <w:pPr>
        <w:ind w:firstLine="708"/>
        <w:jc w:val="both"/>
        <w:rPr>
          <w:rFonts w:ascii="Times New Roman" w:hAnsi="Times New Roman"/>
          <w:szCs w:val="22"/>
        </w:rPr>
      </w:pPr>
    </w:p>
    <w:p w:rsidR="00164406" w:rsidRDefault="00164406" w:rsidP="00164406">
      <w:pPr>
        <w:ind w:firstLine="708"/>
        <w:jc w:val="both"/>
        <w:rPr>
          <w:rFonts w:ascii="Times New Roman" w:hAnsi="Times New Roman"/>
          <w:szCs w:val="22"/>
        </w:rPr>
      </w:pPr>
      <w:r>
        <w:rPr>
          <w:rFonts w:ascii="Times New Roman" w:hAnsi="Times New Roman"/>
          <w:szCs w:val="22"/>
        </w:rPr>
        <w:lastRenderedPageBreak/>
        <w:t xml:space="preserve">Vývoj týchto príjmov na roky 2018 až 2020 zobrazuje nasledovná tabuľka: </w:t>
      </w:r>
    </w:p>
    <w:p w:rsidR="00164406" w:rsidRDefault="00164406" w:rsidP="00164406">
      <w:pPr>
        <w:ind w:firstLine="708"/>
        <w:jc w:val="both"/>
        <w:rPr>
          <w:rFonts w:ascii="Times New Roman" w:hAnsi="Times New Roman"/>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7"/>
        <w:gridCol w:w="1053"/>
        <w:gridCol w:w="1055"/>
        <w:gridCol w:w="1055"/>
        <w:gridCol w:w="1055"/>
        <w:gridCol w:w="1055"/>
        <w:gridCol w:w="1055"/>
        <w:gridCol w:w="1055"/>
      </w:tblGrid>
      <w:tr w:rsidR="00164406" w:rsidTr="00CE7047">
        <w:trPr>
          <w:trHeight w:val="345"/>
        </w:trPr>
        <w:tc>
          <w:tcPr>
            <w:tcW w:w="925" w:type="pct"/>
            <w:shd w:val="clear" w:color="auto" w:fill="A6A6A6"/>
            <w:vAlign w:val="center"/>
            <w:hideMark/>
          </w:tcPr>
          <w:p w:rsidR="00164406" w:rsidRDefault="00164406" w:rsidP="00CE7047">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81"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vAlign w:val="center"/>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R</w:t>
            </w:r>
          </w:p>
        </w:tc>
        <w:tc>
          <w:tcPr>
            <w:tcW w:w="582" w:type="pct"/>
            <w:shd w:val="clear" w:color="auto" w:fill="A6A6A6"/>
            <w:vAlign w:val="center"/>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OS</w:t>
            </w:r>
          </w:p>
        </w:tc>
        <w:tc>
          <w:tcPr>
            <w:tcW w:w="582"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N</w:t>
            </w:r>
          </w:p>
        </w:tc>
        <w:tc>
          <w:tcPr>
            <w:tcW w:w="582" w:type="pct"/>
            <w:shd w:val="clear" w:color="000000" w:fill="A6A6A6"/>
            <w:vAlign w:val="center"/>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82"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r>
      <w:tr w:rsidR="00164406" w:rsidRPr="00CF0745" w:rsidTr="00CE7047">
        <w:trPr>
          <w:trHeight w:val="345"/>
        </w:trPr>
        <w:tc>
          <w:tcPr>
            <w:tcW w:w="925" w:type="pct"/>
            <w:shd w:val="clear" w:color="auto" w:fill="BFBFBF"/>
            <w:vAlign w:val="center"/>
            <w:hideMark/>
          </w:tcPr>
          <w:p w:rsidR="00164406" w:rsidRPr="00CF0745" w:rsidRDefault="00164406" w:rsidP="00CE7047">
            <w:pPr>
              <w:jc w:val="both"/>
              <w:rPr>
                <w:rFonts w:ascii="Times New Roman" w:hAnsi="Times New Roman" w:cs="Times New Roman"/>
                <w:b/>
                <w:bCs/>
                <w:color w:val="000000"/>
                <w:sz w:val="14"/>
                <w:szCs w:val="14"/>
                <w:lang w:eastAsia="sk-SK"/>
              </w:rPr>
            </w:pPr>
            <w:r w:rsidRPr="00CF0745">
              <w:rPr>
                <w:rFonts w:ascii="Times New Roman" w:hAnsi="Times New Roman" w:cs="Times New Roman"/>
                <w:b/>
                <w:bCs/>
                <w:color w:val="000000"/>
                <w:sz w:val="14"/>
                <w:szCs w:val="14"/>
                <w:lang w:eastAsia="sk-SK"/>
              </w:rPr>
              <w:t>Spolu</w:t>
            </w:r>
          </w:p>
        </w:tc>
        <w:tc>
          <w:tcPr>
            <w:tcW w:w="581" w:type="pct"/>
            <w:shd w:val="clear" w:color="auto" w:fill="BFBFBF"/>
            <w:vAlign w:val="center"/>
          </w:tcPr>
          <w:p w:rsidR="00164406" w:rsidRPr="0030562B" w:rsidRDefault="00164406" w:rsidP="00CE7047">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828 634</w:t>
            </w:r>
          </w:p>
        </w:tc>
        <w:tc>
          <w:tcPr>
            <w:tcW w:w="582" w:type="pct"/>
            <w:shd w:val="clear" w:color="auto" w:fill="BFBFBF"/>
            <w:vAlign w:val="center"/>
          </w:tcPr>
          <w:p w:rsidR="00164406"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777 075</w:t>
            </w:r>
          </w:p>
        </w:tc>
        <w:tc>
          <w:tcPr>
            <w:tcW w:w="582" w:type="pct"/>
            <w:shd w:val="clear" w:color="auto" w:fill="BFBFBF"/>
            <w:vAlign w:val="center"/>
          </w:tcPr>
          <w:p w:rsidR="00164406" w:rsidRPr="00022A83"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776 232</w:t>
            </w:r>
          </w:p>
        </w:tc>
        <w:tc>
          <w:tcPr>
            <w:tcW w:w="582" w:type="pct"/>
            <w:shd w:val="clear" w:color="auto" w:fill="BFBFBF"/>
            <w:vAlign w:val="center"/>
          </w:tcPr>
          <w:p w:rsidR="00164406" w:rsidRPr="00022A83"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736 425</w:t>
            </w:r>
          </w:p>
        </w:tc>
        <w:tc>
          <w:tcPr>
            <w:tcW w:w="582" w:type="pct"/>
            <w:shd w:val="clear" w:color="auto" w:fill="BFBFBF"/>
            <w:vAlign w:val="center"/>
          </w:tcPr>
          <w:p w:rsidR="00164406" w:rsidRPr="000C6F4B"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817 864</w:t>
            </w:r>
          </w:p>
        </w:tc>
        <w:tc>
          <w:tcPr>
            <w:tcW w:w="582" w:type="pct"/>
            <w:shd w:val="clear" w:color="auto" w:fill="BFBFBF"/>
            <w:vAlign w:val="center"/>
          </w:tcPr>
          <w:p w:rsidR="00164406" w:rsidRPr="000C6F4B" w:rsidRDefault="00164406" w:rsidP="00CE7047">
            <w:pPr>
              <w:jc w:val="right"/>
              <w:rPr>
                <w:rFonts w:ascii="Times New Roman" w:hAnsi="Times New Roman" w:cs="Times New Roman"/>
                <w:b/>
                <w:bCs/>
                <w:color w:val="000000"/>
                <w:sz w:val="14"/>
                <w:szCs w:val="14"/>
              </w:rPr>
            </w:pPr>
            <w:r w:rsidRPr="000C6F4B">
              <w:rPr>
                <w:rFonts w:ascii="Times New Roman" w:hAnsi="Times New Roman" w:cs="Times New Roman"/>
                <w:b/>
                <w:bCs/>
                <w:color w:val="000000"/>
                <w:sz w:val="14"/>
                <w:szCs w:val="14"/>
              </w:rPr>
              <w:t>782 423</w:t>
            </w:r>
          </w:p>
        </w:tc>
        <w:tc>
          <w:tcPr>
            <w:tcW w:w="582" w:type="pct"/>
            <w:shd w:val="clear" w:color="auto" w:fill="BFBFBF"/>
            <w:vAlign w:val="center"/>
          </w:tcPr>
          <w:p w:rsidR="00164406" w:rsidRPr="000C6F4B" w:rsidRDefault="00164406" w:rsidP="00CE7047">
            <w:pPr>
              <w:jc w:val="right"/>
              <w:rPr>
                <w:rFonts w:ascii="Times New Roman" w:hAnsi="Times New Roman" w:cs="Times New Roman"/>
                <w:b/>
                <w:bCs/>
                <w:color w:val="000000"/>
                <w:sz w:val="14"/>
                <w:szCs w:val="14"/>
              </w:rPr>
            </w:pPr>
            <w:r w:rsidRPr="000C6F4B">
              <w:rPr>
                <w:rFonts w:ascii="Times New Roman" w:hAnsi="Times New Roman" w:cs="Times New Roman"/>
                <w:b/>
                <w:bCs/>
                <w:color w:val="000000"/>
                <w:sz w:val="14"/>
                <w:szCs w:val="14"/>
              </w:rPr>
              <w:t>785 719</w:t>
            </w:r>
          </w:p>
        </w:tc>
      </w:tr>
      <w:tr w:rsidR="00164406" w:rsidRPr="00CF0745" w:rsidTr="00CE7047">
        <w:trPr>
          <w:trHeight w:val="345"/>
        </w:trPr>
        <w:tc>
          <w:tcPr>
            <w:tcW w:w="925" w:type="pct"/>
            <w:vAlign w:val="center"/>
            <w:hideMark/>
          </w:tcPr>
          <w:p w:rsidR="00164406" w:rsidRPr="00CF0745" w:rsidRDefault="00164406" w:rsidP="00CE7047">
            <w:pPr>
              <w:rPr>
                <w:rFonts w:ascii="Times New Roman" w:hAnsi="Times New Roman" w:cs="Times New Roman"/>
                <w:color w:val="000000"/>
                <w:sz w:val="14"/>
                <w:szCs w:val="14"/>
                <w:lang w:eastAsia="sk-SK"/>
              </w:rPr>
            </w:pPr>
            <w:r w:rsidRPr="00CF0745">
              <w:rPr>
                <w:rFonts w:ascii="Times New Roman" w:hAnsi="Times New Roman" w:cs="Times New Roman"/>
                <w:color w:val="000000"/>
                <w:sz w:val="14"/>
                <w:szCs w:val="14"/>
                <w:lang w:eastAsia="sk-SK"/>
              </w:rPr>
              <w:t>Nedaňové príjmy</w:t>
            </w:r>
          </w:p>
        </w:tc>
        <w:tc>
          <w:tcPr>
            <w:tcW w:w="581" w:type="pct"/>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799 059</w:t>
            </w:r>
          </w:p>
        </w:tc>
        <w:tc>
          <w:tcPr>
            <w:tcW w:w="582" w:type="pct"/>
            <w:vAlign w:val="center"/>
          </w:tcPr>
          <w:p w:rsidR="00164406" w:rsidRDefault="00164406" w:rsidP="00CE7047">
            <w:pPr>
              <w:jc w:val="right"/>
              <w:rPr>
                <w:rFonts w:ascii="Times New Roman" w:hAnsi="Times New Roman" w:cs="Times New Roman"/>
                <w:color w:val="000000"/>
                <w:sz w:val="14"/>
                <w:szCs w:val="14"/>
              </w:rPr>
            </w:pPr>
            <w:r w:rsidRPr="004952C5">
              <w:rPr>
                <w:rFonts w:ascii="Times New Roman" w:hAnsi="Times New Roman" w:cs="Times New Roman"/>
                <w:color w:val="000000"/>
                <w:sz w:val="14"/>
                <w:szCs w:val="14"/>
              </w:rPr>
              <w:t>745 533</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733 598</w:t>
            </w:r>
          </w:p>
        </w:tc>
        <w:tc>
          <w:tcPr>
            <w:tcW w:w="582" w:type="pct"/>
            <w:vAlign w:val="center"/>
          </w:tcPr>
          <w:p w:rsidR="00164406" w:rsidRDefault="00164406" w:rsidP="00CE7047">
            <w:pPr>
              <w:jc w:val="right"/>
              <w:rPr>
                <w:rFonts w:ascii="Times New Roman" w:hAnsi="Times New Roman" w:cs="Times New Roman"/>
                <w:color w:val="000000"/>
                <w:sz w:val="14"/>
                <w:szCs w:val="14"/>
              </w:rPr>
            </w:pPr>
            <w:r w:rsidRPr="00137D4C">
              <w:rPr>
                <w:rFonts w:ascii="Times New Roman" w:hAnsi="Times New Roman" w:cs="Times New Roman"/>
                <w:color w:val="000000"/>
                <w:sz w:val="14"/>
                <w:szCs w:val="14"/>
              </w:rPr>
              <w:t>693 229</w:t>
            </w:r>
          </w:p>
        </w:tc>
        <w:tc>
          <w:tcPr>
            <w:tcW w:w="582" w:type="pct"/>
            <w:vAlign w:val="center"/>
          </w:tcPr>
          <w:p w:rsidR="00164406" w:rsidRPr="005B41B4" w:rsidRDefault="00164406" w:rsidP="00CE7047">
            <w:pPr>
              <w:jc w:val="right"/>
              <w:rPr>
                <w:rFonts w:ascii="Times New Roman" w:hAnsi="Times New Roman" w:cs="Times New Roman"/>
                <w:color w:val="000000"/>
                <w:sz w:val="14"/>
                <w:szCs w:val="14"/>
                <w:highlight w:val="yellow"/>
              </w:rPr>
            </w:pPr>
            <w:r w:rsidRPr="000C6F4B">
              <w:rPr>
                <w:rFonts w:ascii="Times New Roman" w:hAnsi="Times New Roman" w:cs="Times New Roman"/>
                <w:color w:val="000000"/>
                <w:sz w:val="14"/>
                <w:szCs w:val="14"/>
              </w:rPr>
              <w:t>783 820</w:t>
            </w:r>
          </w:p>
        </w:tc>
        <w:tc>
          <w:tcPr>
            <w:tcW w:w="582" w:type="pct"/>
            <w:vAlign w:val="center"/>
          </w:tcPr>
          <w:p w:rsidR="00164406" w:rsidRPr="005B41B4" w:rsidRDefault="00164406" w:rsidP="00CE7047">
            <w:pPr>
              <w:jc w:val="right"/>
              <w:rPr>
                <w:rFonts w:ascii="Times New Roman" w:hAnsi="Times New Roman" w:cs="Times New Roman"/>
                <w:color w:val="000000"/>
                <w:sz w:val="14"/>
                <w:szCs w:val="14"/>
                <w:highlight w:val="yellow"/>
              </w:rPr>
            </w:pPr>
            <w:r w:rsidRPr="000C6F4B">
              <w:rPr>
                <w:rFonts w:ascii="Times New Roman" w:hAnsi="Times New Roman" w:cs="Times New Roman"/>
                <w:color w:val="000000"/>
                <w:sz w:val="14"/>
                <w:szCs w:val="14"/>
              </w:rPr>
              <w:t>747 450</w:t>
            </w:r>
          </w:p>
        </w:tc>
        <w:tc>
          <w:tcPr>
            <w:tcW w:w="582" w:type="pct"/>
            <w:vAlign w:val="center"/>
          </w:tcPr>
          <w:p w:rsidR="00164406" w:rsidRPr="005B41B4" w:rsidRDefault="00164406" w:rsidP="00CE7047">
            <w:pPr>
              <w:jc w:val="right"/>
              <w:rPr>
                <w:rFonts w:ascii="Times New Roman" w:hAnsi="Times New Roman" w:cs="Times New Roman"/>
                <w:color w:val="000000"/>
                <w:sz w:val="14"/>
                <w:szCs w:val="14"/>
                <w:highlight w:val="yellow"/>
              </w:rPr>
            </w:pPr>
            <w:r w:rsidRPr="000C6F4B">
              <w:rPr>
                <w:rFonts w:ascii="Times New Roman" w:hAnsi="Times New Roman" w:cs="Times New Roman"/>
                <w:color w:val="000000"/>
                <w:sz w:val="14"/>
                <w:szCs w:val="14"/>
              </w:rPr>
              <w:t>748 673</w:t>
            </w:r>
          </w:p>
        </w:tc>
      </w:tr>
      <w:tr w:rsidR="00164406" w:rsidTr="00CE7047">
        <w:trPr>
          <w:trHeight w:val="345"/>
        </w:trPr>
        <w:tc>
          <w:tcPr>
            <w:tcW w:w="925" w:type="pct"/>
            <w:vAlign w:val="center"/>
            <w:hideMark/>
          </w:tcPr>
          <w:p w:rsidR="00164406" w:rsidRPr="00CF0745" w:rsidRDefault="00164406" w:rsidP="00CE7047">
            <w:pPr>
              <w:rPr>
                <w:rFonts w:ascii="Times New Roman" w:hAnsi="Times New Roman" w:cs="Times New Roman"/>
                <w:color w:val="000000"/>
                <w:sz w:val="14"/>
                <w:szCs w:val="14"/>
                <w:lang w:eastAsia="sk-SK"/>
              </w:rPr>
            </w:pPr>
            <w:r w:rsidRPr="00CF0745">
              <w:rPr>
                <w:rFonts w:ascii="Times New Roman" w:hAnsi="Times New Roman" w:cs="Times New Roman"/>
                <w:color w:val="000000"/>
                <w:sz w:val="14"/>
                <w:szCs w:val="14"/>
                <w:lang w:eastAsia="sk-SK"/>
              </w:rPr>
              <w:t>Tuzemské transfery</w:t>
            </w:r>
          </w:p>
        </w:tc>
        <w:tc>
          <w:tcPr>
            <w:tcW w:w="581" w:type="pct"/>
            <w:vAlign w:val="center"/>
          </w:tcPr>
          <w:p w:rsidR="00164406" w:rsidRPr="0030562B" w:rsidRDefault="00164406" w:rsidP="00CE7047">
            <w:pPr>
              <w:jc w:val="right"/>
              <w:rPr>
                <w:rFonts w:ascii="Times New Roman" w:hAnsi="Times New Roman" w:cs="Times New Roman"/>
                <w:sz w:val="14"/>
                <w:szCs w:val="14"/>
              </w:rPr>
            </w:pPr>
            <w:r w:rsidRPr="0030562B">
              <w:rPr>
                <w:rFonts w:ascii="Times New Roman" w:hAnsi="Times New Roman" w:cs="Times New Roman"/>
                <w:sz w:val="14"/>
                <w:szCs w:val="14"/>
              </w:rPr>
              <w:t>29 575</w:t>
            </w:r>
          </w:p>
        </w:tc>
        <w:tc>
          <w:tcPr>
            <w:tcW w:w="582" w:type="pct"/>
            <w:vAlign w:val="center"/>
          </w:tcPr>
          <w:p w:rsidR="00164406" w:rsidRPr="00022A83" w:rsidRDefault="00164406" w:rsidP="00CE7047">
            <w:pPr>
              <w:jc w:val="right"/>
              <w:rPr>
                <w:rFonts w:ascii="Times New Roman" w:hAnsi="Times New Roman" w:cs="Times New Roman"/>
                <w:sz w:val="14"/>
                <w:szCs w:val="14"/>
              </w:rPr>
            </w:pPr>
            <w:r w:rsidRPr="003F2E21">
              <w:rPr>
                <w:rFonts w:ascii="Times New Roman" w:hAnsi="Times New Roman" w:cs="Times New Roman"/>
                <w:sz w:val="14"/>
                <w:szCs w:val="14"/>
              </w:rPr>
              <w:t>31 542</w:t>
            </w:r>
          </w:p>
        </w:tc>
        <w:tc>
          <w:tcPr>
            <w:tcW w:w="582" w:type="pct"/>
            <w:vAlign w:val="center"/>
          </w:tcPr>
          <w:p w:rsidR="00164406" w:rsidRPr="00022A83" w:rsidRDefault="00164406" w:rsidP="00CE7047">
            <w:pPr>
              <w:jc w:val="right"/>
              <w:rPr>
                <w:rFonts w:ascii="Times New Roman" w:hAnsi="Times New Roman" w:cs="Times New Roman"/>
                <w:sz w:val="14"/>
                <w:szCs w:val="14"/>
              </w:rPr>
            </w:pPr>
            <w:r w:rsidRPr="00022A83">
              <w:rPr>
                <w:rFonts w:ascii="Times New Roman" w:hAnsi="Times New Roman" w:cs="Times New Roman"/>
                <w:sz w:val="14"/>
                <w:szCs w:val="14"/>
              </w:rPr>
              <w:t>42 634</w:t>
            </w:r>
          </w:p>
        </w:tc>
        <w:tc>
          <w:tcPr>
            <w:tcW w:w="582" w:type="pct"/>
            <w:vAlign w:val="center"/>
          </w:tcPr>
          <w:p w:rsidR="00164406" w:rsidRPr="00022A83" w:rsidRDefault="00164406" w:rsidP="00CE7047">
            <w:pPr>
              <w:jc w:val="right"/>
              <w:rPr>
                <w:rFonts w:ascii="Times New Roman" w:hAnsi="Times New Roman" w:cs="Times New Roman"/>
                <w:sz w:val="14"/>
                <w:szCs w:val="14"/>
              </w:rPr>
            </w:pPr>
            <w:r>
              <w:rPr>
                <w:rFonts w:ascii="Times New Roman" w:hAnsi="Times New Roman" w:cs="Times New Roman"/>
                <w:sz w:val="14"/>
                <w:szCs w:val="14"/>
              </w:rPr>
              <w:t>43 196</w:t>
            </w:r>
          </w:p>
        </w:tc>
        <w:tc>
          <w:tcPr>
            <w:tcW w:w="582" w:type="pct"/>
            <w:vAlign w:val="center"/>
          </w:tcPr>
          <w:p w:rsidR="00164406" w:rsidRPr="00022A83" w:rsidRDefault="00164406" w:rsidP="00CE7047">
            <w:pPr>
              <w:jc w:val="right"/>
              <w:rPr>
                <w:rFonts w:ascii="Times New Roman" w:hAnsi="Times New Roman" w:cs="Times New Roman"/>
                <w:sz w:val="14"/>
                <w:szCs w:val="14"/>
              </w:rPr>
            </w:pPr>
            <w:r w:rsidRPr="001514C7">
              <w:rPr>
                <w:rFonts w:ascii="Times New Roman" w:hAnsi="Times New Roman" w:cs="Times New Roman"/>
                <w:sz w:val="14"/>
                <w:szCs w:val="14"/>
              </w:rPr>
              <w:t>34 044</w:t>
            </w:r>
          </w:p>
        </w:tc>
        <w:tc>
          <w:tcPr>
            <w:tcW w:w="582" w:type="pct"/>
            <w:vAlign w:val="center"/>
          </w:tcPr>
          <w:p w:rsidR="00164406" w:rsidRPr="00022A83" w:rsidRDefault="00164406" w:rsidP="00CE7047">
            <w:pPr>
              <w:jc w:val="right"/>
              <w:rPr>
                <w:rFonts w:ascii="Times New Roman" w:hAnsi="Times New Roman" w:cs="Times New Roman"/>
                <w:sz w:val="14"/>
                <w:szCs w:val="14"/>
              </w:rPr>
            </w:pPr>
            <w:r w:rsidRPr="00F072EC">
              <w:rPr>
                <w:rFonts w:ascii="Times New Roman" w:hAnsi="Times New Roman" w:cs="Times New Roman"/>
                <w:sz w:val="14"/>
                <w:szCs w:val="14"/>
              </w:rPr>
              <w:t>34 973</w:t>
            </w:r>
          </w:p>
        </w:tc>
        <w:tc>
          <w:tcPr>
            <w:tcW w:w="582" w:type="pct"/>
            <w:vAlign w:val="center"/>
          </w:tcPr>
          <w:p w:rsidR="00164406" w:rsidRPr="00022A83" w:rsidRDefault="00164406" w:rsidP="00CE7047">
            <w:pPr>
              <w:jc w:val="right"/>
              <w:rPr>
                <w:rFonts w:ascii="Times New Roman" w:hAnsi="Times New Roman" w:cs="Times New Roman"/>
                <w:sz w:val="14"/>
                <w:szCs w:val="14"/>
              </w:rPr>
            </w:pPr>
            <w:r w:rsidRPr="00F072EC">
              <w:rPr>
                <w:rFonts w:ascii="Times New Roman" w:hAnsi="Times New Roman" w:cs="Times New Roman"/>
                <w:sz w:val="14"/>
                <w:szCs w:val="14"/>
              </w:rPr>
              <w:t>37 046</w:t>
            </w:r>
          </w:p>
        </w:tc>
      </w:tr>
    </w:tbl>
    <w:p w:rsidR="00164406" w:rsidRDefault="00164406" w:rsidP="00164406">
      <w:pPr>
        <w:ind w:firstLine="708"/>
        <w:jc w:val="both"/>
        <w:rPr>
          <w:rFonts w:ascii="Times New Roman" w:hAnsi="Times New Roman"/>
          <w:szCs w:val="22"/>
        </w:rPr>
      </w:pPr>
    </w:p>
    <w:p w:rsidR="00164406" w:rsidRPr="00AC4C69" w:rsidRDefault="00164406" w:rsidP="00AC4C69">
      <w:pPr>
        <w:jc w:val="both"/>
        <w:rPr>
          <w:rFonts w:ascii="Times New Roman" w:hAnsi="Times New Roman"/>
          <w:b/>
          <w:szCs w:val="22"/>
        </w:rPr>
      </w:pPr>
      <w:r w:rsidRPr="00AC4C69">
        <w:rPr>
          <w:rFonts w:ascii="Times New Roman" w:hAnsi="Times New Roman"/>
          <w:b/>
          <w:szCs w:val="22"/>
        </w:rPr>
        <w:t>Rozpočtovanie nedaňových príjmov</w:t>
      </w:r>
    </w:p>
    <w:p w:rsidR="00164406" w:rsidRDefault="00164406" w:rsidP="00164406">
      <w:pPr>
        <w:ind w:firstLine="708"/>
        <w:jc w:val="both"/>
        <w:rPr>
          <w:rFonts w:ascii="Times New Roman" w:hAnsi="Times New Roman"/>
          <w:b/>
          <w:i/>
          <w:szCs w:val="22"/>
        </w:rPr>
      </w:pPr>
      <w:r>
        <w:rPr>
          <w:rFonts w:ascii="Times New Roman" w:hAnsi="Times New Roman"/>
          <w:b/>
          <w:i/>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9"/>
        <w:gridCol w:w="1057"/>
        <w:gridCol w:w="1055"/>
        <w:gridCol w:w="1055"/>
        <w:gridCol w:w="1055"/>
        <w:gridCol w:w="1055"/>
        <w:gridCol w:w="1055"/>
        <w:gridCol w:w="1051"/>
      </w:tblGrid>
      <w:tr w:rsidR="00164406" w:rsidTr="00CE7047">
        <w:trPr>
          <w:trHeight w:val="345"/>
        </w:trPr>
        <w:tc>
          <w:tcPr>
            <w:tcW w:w="926" w:type="pct"/>
            <w:shd w:val="clear" w:color="auto" w:fill="A6A6A6"/>
            <w:vAlign w:val="center"/>
            <w:hideMark/>
          </w:tcPr>
          <w:p w:rsidR="00164406" w:rsidRDefault="00164406" w:rsidP="00CE7047">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83"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82"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R</w:t>
            </w:r>
          </w:p>
        </w:tc>
        <w:tc>
          <w:tcPr>
            <w:tcW w:w="582" w:type="pct"/>
            <w:shd w:val="clear" w:color="auto" w:fill="A6A6A6"/>
            <w:vAlign w:val="center"/>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OS</w:t>
            </w:r>
          </w:p>
        </w:tc>
        <w:tc>
          <w:tcPr>
            <w:tcW w:w="582" w:type="pct"/>
            <w:shd w:val="clear" w:color="000000" w:fill="A6A6A6"/>
            <w:vAlign w:val="center"/>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N</w:t>
            </w:r>
          </w:p>
        </w:tc>
        <w:tc>
          <w:tcPr>
            <w:tcW w:w="582"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80"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r>
      <w:tr w:rsidR="00164406" w:rsidRPr="004F1396" w:rsidTr="00CE7047">
        <w:trPr>
          <w:trHeight w:val="345"/>
        </w:trPr>
        <w:tc>
          <w:tcPr>
            <w:tcW w:w="926" w:type="pct"/>
            <w:shd w:val="clear" w:color="auto" w:fill="BFBFBF"/>
            <w:vAlign w:val="center"/>
            <w:hideMark/>
          </w:tcPr>
          <w:p w:rsidR="00164406" w:rsidRPr="004F1396" w:rsidRDefault="00164406" w:rsidP="00CE7047">
            <w:pPr>
              <w:rPr>
                <w:rFonts w:ascii="Times New Roman" w:hAnsi="Times New Roman" w:cs="Times New Roman"/>
                <w:b/>
                <w:bCs/>
                <w:color w:val="000000"/>
                <w:sz w:val="14"/>
                <w:szCs w:val="14"/>
                <w:lang w:eastAsia="sk-SK"/>
              </w:rPr>
            </w:pPr>
            <w:r w:rsidRPr="004F1396">
              <w:rPr>
                <w:rFonts w:ascii="Times New Roman" w:hAnsi="Times New Roman" w:cs="Times New Roman"/>
                <w:b/>
                <w:bCs/>
                <w:color w:val="000000"/>
                <w:sz w:val="14"/>
                <w:szCs w:val="14"/>
                <w:lang w:eastAsia="sk-SK"/>
              </w:rPr>
              <w:t>Nedaňové príjmy</w:t>
            </w:r>
          </w:p>
        </w:tc>
        <w:tc>
          <w:tcPr>
            <w:tcW w:w="583" w:type="pct"/>
            <w:shd w:val="clear" w:color="auto" w:fill="BFBFBF"/>
            <w:vAlign w:val="center"/>
          </w:tcPr>
          <w:p w:rsidR="00164406" w:rsidRPr="0030562B" w:rsidRDefault="00164406" w:rsidP="00CE7047">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799 059</w:t>
            </w:r>
          </w:p>
        </w:tc>
        <w:tc>
          <w:tcPr>
            <w:tcW w:w="582" w:type="pct"/>
            <w:shd w:val="clear" w:color="auto" w:fill="BFBFBF"/>
            <w:vAlign w:val="center"/>
          </w:tcPr>
          <w:p w:rsidR="00164406" w:rsidRPr="00022A83" w:rsidRDefault="00164406" w:rsidP="00CE7047">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745 533</w:t>
            </w:r>
          </w:p>
        </w:tc>
        <w:tc>
          <w:tcPr>
            <w:tcW w:w="582" w:type="pct"/>
            <w:shd w:val="clear" w:color="auto" w:fill="BFBFBF"/>
            <w:vAlign w:val="center"/>
          </w:tcPr>
          <w:p w:rsidR="00164406" w:rsidRPr="00022A83"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733 598</w:t>
            </w:r>
          </w:p>
        </w:tc>
        <w:tc>
          <w:tcPr>
            <w:tcW w:w="582" w:type="pct"/>
            <w:shd w:val="clear" w:color="auto" w:fill="BFBFBF"/>
            <w:vAlign w:val="center"/>
          </w:tcPr>
          <w:p w:rsidR="00164406"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693 229</w:t>
            </w:r>
          </w:p>
        </w:tc>
        <w:tc>
          <w:tcPr>
            <w:tcW w:w="582" w:type="pct"/>
            <w:shd w:val="clear" w:color="auto" w:fill="BFBFBF"/>
            <w:vAlign w:val="center"/>
          </w:tcPr>
          <w:p w:rsidR="00164406" w:rsidRPr="000A6E88"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783 820</w:t>
            </w:r>
          </w:p>
        </w:tc>
        <w:tc>
          <w:tcPr>
            <w:tcW w:w="582" w:type="pct"/>
            <w:shd w:val="clear" w:color="auto" w:fill="BFBFBF"/>
            <w:vAlign w:val="center"/>
          </w:tcPr>
          <w:p w:rsidR="00164406" w:rsidRPr="000A6E88"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747 450</w:t>
            </w:r>
          </w:p>
        </w:tc>
        <w:tc>
          <w:tcPr>
            <w:tcW w:w="580" w:type="pct"/>
            <w:shd w:val="clear" w:color="auto" w:fill="BFBFBF"/>
            <w:vAlign w:val="center"/>
          </w:tcPr>
          <w:p w:rsidR="00164406" w:rsidRPr="000136AF"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748 </w:t>
            </w:r>
            <w:r w:rsidRPr="000136AF">
              <w:rPr>
                <w:rFonts w:ascii="Times New Roman" w:hAnsi="Times New Roman" w:cs="Times New Roman"/>
                <w:b/>
                <w:bCs/>
                <w:color w:val="000000"/>
                <w:sz w:val="14"/>
                <w:szCs w:val="14"/>
              </w:rPr>
              <w:t>6</w:t>
            </w:r>
            <w:r>
              <w:rPr>
                <w:rFonts w:ascii="Times New Roman" w:hAnsi="Times New Roman" w:cs="Times New Roman"/>
                <w:b/>
                <w:bCs/>
                <w:color w:val="000000"/>
                <w:sz w:val="14"/>
                <w:szCs w:val="14"/>
              </w:rPr>
              <w:t>73</w:t>
            </w:r>
          </w:p>
        </w:tc>
      </w:tr>
      <w:tr w:rsidR="00164406" w:rsidRPr="004F1396" w:rsidTr="00CE7047">
        <w:trPr>
          <w:trHeight w:val="435"/>
        </w:trPr>
        <w:tc>
          <w:tcPr>
            <w:tcW w:w="926" w:type="pct"/>
            <w:vAlign w:val="center"/>
          </w:tcPr>
          <w:p w:rsidR="00164406" w:rsidRPr="004F1396" w:rsidRDefault="00164406" w:rsidP="00CE7047">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Iné príjmy z podnikania</w:t>
            </w:r>
          </w:p>
        </w:tc>
        <w:tc>
          <w:tcPr>
            <w:tcW w:w="583" w:type="pct"/>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5 697</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sidRPr="00493548">
              <w:rPr>
                <w:rFonts w:ascii="Times New Roman" w:hAnsi="Times New Roman" w:cs="Times New Roman"/>
                <w:sz w:val="14"/>
                <w:szCs w:val="14"/>
              </w:rPr>
              <w:t>12 699</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7 300</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7 000</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5 509</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5 509</w:t>
            </w:r>
          </w:p>
        </w:tc>
        <w:tc>
          <w:tcPr>
            <w:tcW w:w="580" w:type="pct"/>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5 509</w:t>
            </w:r>
          </w:p>
        </w:tc>
      </w:tr>
      <w:tr w:rsidR="00164406" w:rsidRPr="004F1396" w:rsidTr="00CE7047">
        <w:trPr>
          <w:trHeight w:val="435"/>
        </w:trPr>
        <w:tc>
          <w:tcPr>
            <w:tcW w:w="926" w:type="pct"/>
            <w:vAlign w:val="center"/>
            <w:hideMark/>
          </w:tcPr>
          <w:p w:rsidR="00164406" w:rsidRPr="004F1396" w:rsidRDefault="00164406" w:rsidP="00CE7047">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 xml:space="preserve">Príjmy z vlastníctva </w:t>
            </w:r>
          </w:p>
        </w:tc>
        <w:tc>
          <w:tcPr>
            <w:tcW w:w="583" w:type="pct"/>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7 725</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sidRPr="00493548">
              <w:rPr>
                <w:rFonts w:ascii="Times New Roman" w:hAnsi="Times New Roman" w:cs="Times New Roman"/>
                <w:sz w:val="14"/>
                <w:szCs w:val="14"/>
              </w:rPr>
              <w:t>6 229</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6 333</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6 527</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5 531</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5 479</w:t>
            </w:r>
          </w:p>
        </w:tc>
        <w:tc>
          <w:tcPr>
            <w:tcW w:w="580" w:type="pct"/>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5 476</w:t>
            </w:r>
          </w:p>
        </w:tc>
      </w:tr>
      <w:tr w:rsidR="00164406" w:rsidRPr="004F1396" w:rsidTr="00CE7047">
        <w:trPr>
          <w:trHeight w:val="435"/>
        </w:trPr>
        <w:tc>
          <w:tcPr>
            <w:tcW w:w="926" w:type="pct"/>
            <w:vAlign w:val="center"/>
            <w:hideMark/>
          </w:tcPr>
          <w:p w:rsidR="00164406" w:rsidRPr="004F1396" w:rsidRDefault="00164406" w:rsidP="00CE7047">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Administratívne a iné poplatky a platby</w:t>
            </w:r>
          </w:p>
        </w:tc>
        <w:tc>
          <w:tcPr>
            <w:tcW w:w="583" w:type="pct"/>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323 534</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sidRPr="007E2A41">
              <w:rPr>
                <w:rFonts w:ascii="Times New Roman" w:hAnsi="Times New Roman" w:cs="Times New Roman"/>
                <w:color w:val="000000"/>
                <w:sz w:val="14"/>
                <w:szCs w:val="14"/>
              </w:rPr>
              <w:t>337 394</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328 716</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305 457</w:t>
            </w:r>
          </w:p>
        </w:tc>
        <w:tc>
          <w:tcPr>
            <w:tcW w:w="582" w:type="pct"/>
            <w:vAlign w:val="center"/>
          </w:tcPr>
          <w:p w:rsidR="00164406" w:rsidRPr="00F26401" w:rsidRDefault="00164406" w:rsidP="00CE7047">
            <w:pPr>
              <w:jc w:val="right"/>
              <w:rPr>
                <w:rFonts w:ascii="Times New Roman" w:hAnsi="Times New Roman" w:cs="Times New Roman"/>
                <w:color w:val="000000"/>
                <w:sz w:val="14"/>
                <w:szCs w:val="14"/>
                <w:highlight w:val="yellow"/>
              </w:rPr>
            </w:pPr>
            <w:r w:rsidRPr="00D54D34">
              <w:rPr>
                <w:rFonts w:ascii="Times New Roman" w:hAnsi="Times New Roman" w:cs="Times New Roman"/>
                <w:color w:val="000000"/>
                <w:sz w:val="14"/>
                <w:szCs w:val="14"/>
              </w:rPr>
              <w:t>338 616</w:t>
            </w:r>
          </w:p>
        </w:tc>
        <w:tc>
          <w:tcPr>
            <w:tcW w:w="582" w:type="pct"/>
            <w:vAlign w:val="center"/>
          </w:tcPr>
          <w:p w:rsidR="00164406" w:rsidRPr="00F26401" w:rsidRDefault="00164406" w:rsidP="00CE7047">
            <w:pPr>
              <w:jc w:val="right"/>
              <w:rPr>
                <w:rFonts w:ascii="Times New Roman" w:hAnsi="Times New Roman" w:cs="Times New Roman"/>
                <w:color w:val="000000"/>
                <w:sz w:val="14"/>
                <w:szCs w:val="14"/>
                <w:highlight w:val="yellow"/>
              </w:rPr>
            </w:pPr>
            <w:r w:rsidRPr="00D54D34">
              <w:rPr>
                <w:rFonts w:ascii="Times New Roman" w:hAnsi="Times New Roman" w:cs="Times New Roman"/>
                <w:color w:val="000000"/>
                <w:sz w:val="14"/>
                <w:szCs w:val="14"/>
              </w:rPr>
              <w:t>338 417</w:t>
            </w:r>
          </w:p>
        </w:tc>
        <w:tc>
          <w:tcPr>
            <w:tcW w:w="580" w:type="pct"/>
            <w:vAlign w:val="center"/>
          </w:tcPr>
          <w:p w:rsidR="00164406" w:rsidRPr="00F26401" w:rsidRDefault="00164406" w:rsidP="00CE7047">
            <w:pPr>
              <w:jc w:val="right"/>
              <w:rPr>
                <w:rFonts w:ascii="Times New Roman" w:hAnsi="Times New Roman" w:cs="Times New Roman"/>
                <w:color w:val="000000"/>
                <w:sz w:val="14"/>
                <w:szCs w:val="14"/>
                <w:highlight w:val="yellow"/>
              </w:rPr>
            </w:pPr>
            <w:r w:rsidRPr="00D54D34">
              <w:rPr>
                <w:rFonts w:ascii="Times New Roman" w:hAnsi="Times New Roman" w:cs="Times New Roman"/>
                <w:color w:val="000000"/>
                <w:sz w:val="14"/>
                <w:szCs w:val="14"/>
              </w:rPr>
              <w:t>338 243</w:t>
            </w:r>
          </w:p>
        </w:tc>
      </w:tr>
      <w:tr w:rsidR="00164406" w:rsidRPr="004F1396" w:rsidTr="00CE7047">
        <w:trPr>
          <w:trHeight w:val="345"/>
        </w:trPr>
        <w:tc>
          <w:tcPr>
            <w:tcW w:w="926" w:type="pct"/>
            <w:vAlign w:val="center"/>
            <w:hideMark/>
          </w:tcPr>
          <w:p w:rsidR="00164406" w:rsidRPr="004F1396" w:rsidRDefault="00164406" w:rsidP="00CE7047">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Kapitálové príjmy</w:t>
            </w:r>
          </w:p>
        </w:tc>
        <w:tc>
          <w:tcPr>
            <w:tcW w:w="583" w:type="pct"/>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12 580</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sidRPr="00ED31EE">
              <w:rPr>
                <w:rFonts w:ascii="Times New Roman" w:hAnsi="Times New Roman" w:cs="Times New Roman"/>
                <w:color w:val="000000"/>
                <w:sz w:val="14"/>
                <w:szCs w:val="14"/>
              </w:rPr>
              <w:t>19 692</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50 887</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11 353</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sidRPr="00D54D34">
              <w:rPr>
                <w:rFonts w:ascii="Times New Roman" w:hAnsi="Times New Roman" w:cs="Times New Roman"/>
                <w:color w:val="000000"/>
                <w:sz w:val="14"/>
                <w:szCs w:val="14"/>
              </w:rPr>
              <w:t>44 488</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sidRPr="00D54D34">
              <w:rPr>
                <w:rFonts w:ascii="Times New Roman" w:hAnsi="Times New Roman" w:cs="Times New Roman"/>
                <w:color w:val="000000"/>
                <w:sz w:val="14"/>
                <w:szCs w:val="14"/>
              </w:rPr>
              <w:t>44 440</w:t>
            </w:r>
          </w:p>
        </w:tc>
        <w:tc>
          <w:tcPr>
            <w:tcW w:w="580" w:type="pct"/>
            <w:vAlign w:val="center"/>
          </w:tcPr>
          <w:p w:rsidR="00164406" w:rsidRPr="00022A83" w:rsidRDefault="00164406" w:rsidP="00CE7047">
            <w:pPr>
              <w:jc w:val="right"/>
              <w:rPr>
                <w:rFonts w:ascii="Times New Roman" w:hAnsi="Times New Roman" w:cs="Times New Roman"/>
                <w:color w:val="000000"/>
                <w:sz w:val="14"/>
                <w:szCs w:val="14"/>
              </w:rPr>
            </w:pPr>
            <w:r w:rsidRPr="00D54D34">
              <w:rPr>
                <w:rFonts w:ascii="Times New Roman" w:hAnsi="Times New Roman" w:cs="Times New Roman"/>
                <w:color w:val="000000"/>
                <w:sz w:val="14"/>
                <w:szCs w:val="14"/>
              </w:rPr>
              <w:t>44 440</w:t>
            </w:r>
          </w:p>
        </w:tc>
      </w:tr>
      <w:tr w:rsidR="00164406" w:rsidRPr="004F1396" w:rsidTr="00CE7047">
        <w:trPr>
          <w:trHeight w:val="585"/>
        </w:trPr>
        <w:tc>
          <w:tcPr>
            <w:tcW w:w="926" w:type="pct"/>
            <w:vAlign w:val="center"/>
            <w:hideMark/>
          </w:tcPr>
          <w:p w:rsidR="00164406" w:rsidRPr="004F1396" w:rsidRDefault="00164406" w:rsidP="00CE7047">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Úroky z </w:t>
            </w:r>
            <w:proofErr w:type="spellStart"/>
            <w:r w:rsidRPr="004F1396">
              <w:rPr>
                <w:rFonts w:ascii="Times New Roman" w:hAnsi="Times New Roman" w:cs="Times New Roman"/>
                <w:color w:val="000000"/>
                <w:sz w:val="14"/>
                <w:szCs w:val="14"/>
                <w:lang w:eastAsia="sk-SK"/>
              </w:rPr>
              <w:t>tuzem</w:t>
            </w:r>
            <w:proofErr w:type="spellEnd"/>
            <w:r w:rsidRPr="004F1396">
              <w:rPr>
                <w:rFonts w:ascii="Times New Roman" w:hAnsi="Times New Roman" w:cs="Times New Roman"/>
                <w:color w:val="000000"/>
                <w:sz w:val="14"/>
                <w:szCs w:val="14"/>
                <w:lang w:eastAsia="sk-SK"/>
              </w:rPr>
              <w:t>. a </w:t>
            </w:r>
            <w:proofErr w:type="spellStart"/>
            <w:r w:rsidRPr="004F1396">
              <w:rPr>
                <w:rFonts w:ascii="Times New Roman" w:hAnsi="Times New Roman" w:cs="Times New Roman"/>
                <w:color w:val="000000"/>
                <w:sz w:val="14"/>
                <w:szCs w:val="14"/>
                <w:lang w:eastAsia="sk-SK"/>
              </w:rPr>
              <w:t>zahr</w:t>
            </w:r>
            <w:proofErr w:type="spellEnd"/>
            <w:r w:rsidRPr="004F1396">
              <w:rPr>
                <w:rFonts w:ascii="Times New Roman" w:hAnsi="Times New Roman" w:cs="Times New Roman"/>
                <w:color w:val="000000"/>
                <w:sz w:val="14"/>
                <w:szCs w:val="14"/>
                <w:lang w:eastAsia="sk-SK"/>
              </w:rPr>
              <w:t>. úverov, pôžičiek a vkladov</w:t>
            </w:r>
          </w:p>
        </w:tc>
        <w:tc>
          <w:tcPr>
            <w:tcW w:w="583" w:type="pct"/>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14 927</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sidRPr="00ED31EE">
              <w:rPr>
                <w:rFonts w:ascii="Times New Roman" w:hAnsi="Times New Roman" w:cs="Times New Roman"/>
                <w:color w:val="000000"/>
                <w:sz w:val="14"/>
                <w:szCs w:val="14"/>
              </w:rPr>
              <w:t>9 05</w:t>
            </w:r>
            <w:r>
              <w:rPr>
                <w:rFonts w:ascii="Times New Roman" w:hAnsi="Times New Roman" w:cs="Times New Roman"/>
                <w:color w:val="000000"/>
                <w:sz w:val="14"/>
                <w:szCs w:val="14"/>
              </w:rPr>
              <w:t>2</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8 280</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8 049</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7 125</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7 190</w:t>
            </w:r>
          </w:p>
        </w:tc>
        <w:tc>
          <w:tcPr>
            <w:tcW w:w="580" w:type="pct"/>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7 239</w:t>
            </w:r>
          </w:p>
        </w:tc>
      </w:tr>
      <w:tr w:rsidR="00164406" w:rsidTr="00CE7047">
        <w:trPr>
          <w:trHeight w:val="345"/>
        </w:trPr>
        <w:tc>
          <w:tcPr>
            <w:tcW w:w="926" w:type="pct"/>
            <w:vAlign w:val="center"/>
            <w:hideMark/>
          </w:tcPr>
          <w:p w:rsidR="00164406" w:rsidRPr="004F1396" w:rsidRDefault="00164406" w:rsidP="00CE7047">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Iné nedaňové príjmy</w:t>
            </w:r>
          </w:p>
        </w:tc>
        <w:tc>
          <w:tcPr>
            <w:tcW w:w="583" w:type="pct"/>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434 596</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sidRPr="00ED31EE">
              <w:rPr>
                <w:rFonts w:ascii="Times New Roman" w:hAnsi="Times New Roman" w:cs="Times New Roman"/>
                <w:color w:val="000000"/>
                <w:sz w:val="14"/>
                <w:szCs w:val="14"/>
              </w:rPr>
              <w:t>360 467</w:t>
            </w:r>
          </w:p>
        </w:tc>
        <w:tc>
          <w:tcPr>
            <w:tcW w:w="582" w:type="pct"/>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332 082</w:t>
            </w:r>
          </w:p>
        </w:tc>
        <w:tc>
          <w:tcPr>
            <w:tcW w:w="582" w:type="pct"/>
            <w:vAlign w:val="center"/>
          </w:tcPr>
          <w:p w:rsidR="00164406"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354 843</w:t>
            </w:r>
          </w:p>
        </w:tc>
        <w:tc>
          <w:tcPr>
            <w:tcW w:w="582" w:type="pct"/>
            <w:vAlign w:val="center"/>
          </w:tcPr>
          <w:p w:rsidR="00164406" w:rsidRPr="00C50A5C" w:rsidRDefault="00164406" w:rsidP="00CE7047">
            <w:pPr>
              <w:jc w:val="right"/>
              <w:rPr>
                <w:rFonts w:ascii="Times New Roman" w:hAnsi="Times New Roman" w:cs="Times New Roman"/>
                <w:color w:val="000000"/>
                <w:sz w:val="14"/>
                <w:szCs w:val="14"/>
              </w:rPr>
            </w:pPr>
            <w:r w:rsidRPr="00D54D34">
              <w:rPr>
                <w:rFonts w:ascii="Times New Roman" w:hAnsi="Times New Roman" w:cs="Times New Roman"/>
                <w:color w:val="000000"/>
                <w:sz w:val="14"/>
                <w:szCs w:val="14"/>
              </w:rPr>
              <w:t>382 551</w:t>
            </w:r>
          </w:p>
        </w:tc>
        <w:tc>
          <w:tcPr>
            <w:tcW w:w="582" w:type="pct"/>
            <w:vAlign w:val="center"/>
          </w:tcPr>
          <w:p w:rsidR="00164406" w:rsidRPr="00C50A5C" w:rsidRDefault="00164406" w:rsidP="00CE7047">
            <w:pPr>
              <w:jc w:val="right"/>
              <w:rPr>
                <w:rFonts w:ascii="Times New Roman" w:hAnsi="Times New Roman" w:cs="Times New Roman"/>
                <w:color w:val="000000"/>
                <w:sz w:val="14"/>
                <w:szCs w:val="14"/>
              </w:rPr>
            </w:pPr>
            <w:r w:rsidRPr="00D54D34">
              <w:rPr>
                <w:rFonts w:ascii="Times New Roman" w:hAnsi="Times New Roman" w:cs="Times New Roman"/>
                <w:color w:val="000000"/>
                <w:sz w:val="14"/>
                <w:szCs w:val="14"/>
              </w:rPr>
              <w:t>346 415</w:t>
            </w:r>
          </w:p>
        </w:tc>
        <w:tc>
          <w:tcPr>
            <w:tcW w:w="580" w:type="pct"/>
            <w:vAlign w:val="center"/>
          </w:tcPr>
          <w:p w:rsidR="00164406" w:rsidRPr="00C50A5C" w:rsidRDefault="00164406" w:rsidP="00CE7047">
            <w:pPr>
              <w:jc w:val="right"/>
              <w:rPr>
                <w:rFonts w:ascii="Times New Roman" w:hAnsi="Times New Roman" w:cs="Times New Roman"/>
                <w:color w:val="000000"/>
                <w:sz w:val="14"/>
                <w:szCs w:val="14"/>
              </w:rPr>
            </w:pPr>
            <w:r w:rsidRPr="00D54D34">
              <w:rPr>
                <w:rFonts w:ascii="Times New Roman" w:hAnsi="Times New Roman" w:cs="Times New Roman"/>
                <w:color w:val="000000"/>
                <w:sz w:val="14"/>
                <w:szCs w:val="14"/>
              </w:rPr>
              <w:t>347 766</w:t>
            </w:r>
          </w:p>
        </w:tc>
      </w:tr>
    </w:tbl>
    <w:p w:rsidR="00164406" w:rsidRDefault="00164406" w:rsidP="00164406">
      <w:pPr>
        <w:ind w:firstLine="708"/>
        <w:jc w:val="both"/>
        <w:rPr>
          <w:rFonts w:ascii="Times New Roman" w:hAnsi="Times New Roman"/>
          <w:i/>
          <w:szCs w:val="22"/>
        </w:rPr>
      </w:pPr>
    </w:p>
    <w:p w:rsidR="00164406" w:rsidRDefault="00164406" w:rsidP="00164406">
      <w:pPr>
        <w:ind w:firstLine="708"/>
        <w:jc w:val="both"/>
        <w:rPr>
          <w:rFonts w:ascii="Times New Roman" w:hAnsi="Times New Roman"/>
          <w:b/>
          <w:i/>
          <w:szCs w:val="22"/>
        </w:rPr>
      </w:pPr>
      <w:r>
        <w:rPr>
          <w:rFonts w:ascii="Times New Roman" w:hAnsi="Times New Roman"/>
          <w:b/>
          <w:i/>
          <w:szCs w:val="22"/>
        </w:rPr>
        <w:t>Iné príjmy z podnikania</w:t>
      </w:r>
    </w:p>
    <w:p w:rsidR="00164406" w:rsidRDefault="00164406" w:rsidP="00164406">
      <w:pPr>
        <w:ind w:firstLine="708"/>
        <w:jc w:val="both"/>
        <w:rPr>
          <w:rFonts w:ascii="Times New Roman" w:hAnsi="Times New Roman"/>
          <w:b/>
          <w:i/>
          <w:szCs w:val="22"/>
        </w:rPr>
      </w:pPr>
    </w:p>
    <w:p w:rsidR="00164406" w:rsidRDefault="00164406" w:rsidP="00164406">
      <w:pPr>
        <w:ind w:firstLine="708"/>
        <w:jc w:val="both"/>
        <w:rPr>
          <w:rFonts w:ascii="Times New Roman" w:hAnsi="Times New Roman"/>
          <w:szCs w:val="22"/>
        </w:rPr>
      </w:pPr>
      <w:r>
        <w:rPr>
          <w:rFonts w:ascii="Times New Roman" w:hAnsi="Times New Roman"/>
          <w:szCs w:val="22"/>
        </w:rPr>
        <w:t xml:space="preserve">Tieto príjmy zahŕňajú najmä osobitný odvod zo zisku po zdanení, ktorý odvedú Lesy Slovenskej republiky, š. p., </w:t>
      </w:r>
      <w:r w:rsidRPr="00F82425">
        <w:rPr>
          <w:rFonts w:ascii="Times New Roman" w:hAnsi="Times New Roman"/>
          <w:szCs w:val="22"/>
        </w:rPr>
        <w:t>Eximbanka SR</w:t>
      </w:r>
      <w:r>
        <w:rPr>
          <w:rFonts w:ascii="Times New Roman" w:hAnsi="Times New Roman"/>
          <w:szCs w:val="22"/>
        </w:rPr>
        <w:t xml:space="preserve"> </w:t>
      </w:r>
      <w:r w:rsidRPr="00022A83">
        <w:rPr>
          <w:rFonts w:ascii="Times New Roman" w:hAnsi="Times New Roman"/>
          <w:szCs w:val="22"/>
        </w:rPr>
        <w:t>a Vodohospodárska výstavba, š. p.</w:t>
      </w:r>
    </w:p>
    <w:p w:rsidR="00164406" w:rsidRPr="00606AC6" w:rsidRDefault="00164406" w:rsidP="00164406">
      <w:pPr>
        <w:ind w:firstLine="708"/>
        <w:jc w:val="both"/>
        <w:rPr>
          <w:rFonts w:ascii="Times New Roman" w:hAnsi="Times New Roman"/>
          <w:szCs w:val="22"/>
        </w:rPr>
      </w:pPr>
    </w:p>
    <w:p w:rsidR="00164406" w:rsidRDefault="00164406" w:rsidP="00164406">
      <w:pPr>
        <w:ind w:firstLine="708"/>
        <w:jc w:val="both"/>
        <w:rPr>
          <w:rFonts w:ascii="Times New Roman" w:hAnsi="Times New Roman"/>
          <w:b/>
          <w:i/>
          <w:szCs w:val="22"/>
        </w:rPr>
      </w:pPr>
      <w:r>
        <w:rPr>
          <w:rFonts w:ascii="Times New Roman" w:hAnsi="Times New Roman"/>
          <w:b/>
          <w:i/>
          <w:szCs w:val="22"/>
        </w:rPr>
        <w:t>Príjmy z vlastníctva</w:t>
      </w:r>
    </w:p>
    <w:p w:rsidR="00164406" w:rsidRDefault="00164406" w:rsidP="00164406">
      <w:pPr>
        <w:ind w:firstLine="708"/>
        <w:jc w:val="both"/>
        <w:rPr>
          <w:rFonts w:ascii="Times New Roman" w:hAnsi="Times New Roman"/>
          <w:b/>
          <w:i/>
          <w:szCs w:val="22"/>
        </w:rPr>
      </w:pPr>
    </w:p>
    <w:p w:rsidR="00164406" w:rsidRDefault="00164406" w:rsidP="00164406">
      <w:pPr>
        <w:ind w:firstLine="708"/>
        <w:jc w:val="both"/>
        <w:rPr>
          <w:rFonts w:ascii="Times New Roman" w:hAnsi="Times New Roman"/>
          <w:szCs w:val="22"/>
        </w:rPr>
      </w:pPr>
      <w:r>
        <w:rPr>
          <w:rFonts w:ascii="Times New Roman" w:hAnsi="Times New Roman"/>
          <w:szCs w:val="22"/>
        </w:rPr>
        <w:t xml:space="preserve">Uvedené príjmy sa na rok 2018 rozpočtujú vo výške </w:t>
      </w:r>
      <w:r w:rsidRPr="00850716">
        <w:rPr>
          <w:rFonts w:ascii="Times New Roman" w:hAnsi="Times New Roman"/>
          <w:szCs w:val="22"/>
        </w:rPr>
        <w:t>5,5 mil. eur</w:t>
      </w:r>
      <w:r>
        <w:rPr>
          <w:rFonts w:ascii="Times New Roman" w:hAnsi="Times New Roman"/>
          <w:szCs w:val="22"/>
        </w:rPr>
        <w:t>. Ide predovšetkým o príjmy z prenajatých pozemkov, budov, strojov a pod.</w:t>
      </w:r>
    </w:p>
    <w:p w:rsidR="00AC4C69" w:rsidRDefault="00AC4C69" w:rsidP="00164406">
      <w:pPr>
        <w:ind w:firstLine="708"/>
        <w:jc w:val="both"/>
        <w:rPr>
          <w:rFonts w:ascii="Times New Roman" w:hAnsi="Times New Roman"/>
          <w:b/>
          <w:i/>
          <w:szCs w:val="22"/>
        </w:rPr>
      </w:pPr>
    </w:p>
    <w:p w:rsidR="00164406" w:rsidRDefault="00164406" w:rsidP="00164406">
      <w:pPr>
        <w:ind w:firstLine="708"/>
        <w:jc w:val="both"/>
        <w:rPr>
          <w:rFonts w:ascii="Times New Roman" w:hAnsi="Times New Roman"/>
          <w:b/>
          <w:i/>
          <w:szCs w:val="22"/>
        </w:rPr>
      </w:pPr>
      <w:r w:rsidRPr="00D85DA6">
        <w:rPr>
          <w:rFonts w:ascii="Times New Roman" w:hAnsi="Times New Roman"/>
          <w:b/>
          <w:i/>
          <w:szCs w:val="22"/>
        </w:rPr>
        <w:t>Administratívne poplatky a iné poplatky a</w:t>
      </w:r>
      <w:r>
        <w:rPr>
          <w:rFonts w:ascii="Times New Roman" w:hAnsi="Times New Roman"/>
          <w:b/>
          <w:i/>
          <w:szCs w:val="22"/>
        </w:rPr>
        <w:t> </w:t>
      </w:r>
      <w:r w:rsidRPr="00D85DA6">
        <w:rPr>
          <w:rFonts w:ascii="Times New Roman" w:hAnsi="Times New Roman"/>
          <w:b/>
          <w:i/>
          <w:szCs w:val="22"/>
        </w:rPr>
        <w:t>platby</w:t>
      </w:r>
    </w:p>
    <w:p w:rsidR="00164406" w:rsidRDefault="00164406" w:rsidP="00164406">
      <w:pPr>
        <w:ind w:firstLine="708"/>
        <w:jc w:val="both"/>
        <w:rPr>
          <w:rFonts w:ascii="Times New Roman" w:hAnsi="Times New Roman"/>
          <w:b/>
          <w:i/>
          <w:szCs w:val="22"/>
        </w:rPr>
      </w:pPr>
    </w:p>
    <w:p w:rsidR="00164406" w:rsidRDefault="00164406" w:rsidP="00164406">
      <w:pPr>
        <w:ind w:firstLine="708"/>
        <w:jc w:val="both"/>
        <w:rPr>
          <w:rFonts w:ascii="Times New Roman" w:hAnsi="Times New Roman"/>
          <w:szCs w:val="22"/>
        </w:rPr>
      </w:pPr>
      <w:r>
        <w:rPr>
          <w:rFonts w:ascii="Times New Roman" w:hAnsi="Times New Roman"/>
          <w:szCs w:val="22"/>
        </w:rPr>
        <w:t>Výška príjmov z administratívnych poplatkov a iných poplatkov a platieb</w:t>
      </w:r>
      <w:r>
        <w:rPr>
          <w:rFonts w:ascii="Times New Roman" w:hAnsi="Times New Roman"/>
          <w:b/>
          <w:szCs w:val="22"/>
        </w:rPr>
        <w:t xml:space="preserve"> </w:t>
      </w:r>
      <w:r>
        <w:rPr>
          <w:rFonts w:ascii="Times New Roman" w:hAnsi="Times New Roman"/>
          <w:szCs w:val="22"/>
        </w:rPr>
        <w:t xml:space="preserve">závisí od počtu jednotlivých aktov konania v priebehu roka. </w:t>
      </w:r>
    </w:p>
    <w:p w:rsidR="00AC4C69" w:rsidRDefault="00AC4C69" w:rsidP="00164406">
      <w:pPr>
        <w:ind w:firstLine="708"/>
        <w:jc w:val="both"/>
        <w:rPr>
          <w:rFonts w:ascii="Times New Roman" w:hAnsi="Times New Roman"/>
          <w:szCs w:val="22"/>
        </w:rPr>
      </w:pPr>
    </w:p>
    <w:p w:rsidR="00AC4C69" w:rsidRDefault="00AC4C69" w:rsidP="00164406">
      <w:pPr>
        <w:ind w:firstLine="708"/>
        <w:jc w:val="both"/>
        <w:rPr>
          <w:rFonts w:ascii="Times New Roman" w:hAnsi="Times New Roman"/>
          <w:szCs w:val="22"/>
        </w:rPr>
      </w:pPr>
    </w:p>
    <w:p w:rsidR="00AC4C69" w:rsidRDefault="00AC4C69" w:rsidP="00164406">
      <w:pPr>
        <w:ind w:firstLine="708"/>
        <w:jc w:val="both"/>
        <w:rPr>
          <w:rFonts w:ascii="Times New Roman" w:hAnsi="Times New Roman"/>
          <w:szCs w:val="22"/>
        </w:rPr>
      </w:pPr>
    </w:p>
    <w:p w:rsidR="00AC4C69" w:rsidRDefault="00AC4C69" w:rsidP="00164406">
      <w:pPr>
        <w:ind w:firstLine="708"/>
        <w:jc w:val="both"/>
        <w:rPr>
          <w:rFonts w:ascii="Times New Roman" w:hAnsi="Times New Roman"/>
          <w:szCs w:val="22"/>
        </w:rPr>
      </w:pPr>
    </w:p>
    <w:p w:rsidR="00AC4C69" w:rsidRDefault="00AC4C69" w:rsidP="00164406">
      <w:pPr>
        <w:ind w:firstLine="708"/>
        <w:jc w:val="both"/>
        <w:rPr>
          <w:rFonts w:ascii="Times New Roman" w:hAnsi="Times New Roman"/>
          <w:szCs w:val="22"/>
        </w:rPr>
      </w:pPr>
    </w:p>
    <w:p w:rsidR="00AC4C69" w:rsidRDefault="00AC4C69" w:rsidP="00164406">
      <w:pPr>
        <w:ind w:firstLine="708"/>
        <w:jc w:val="both"/>
        <w:rPr>
          <w:rFonts w:ascii="Times New Roman" w:hAnsi="Times New Roman"/>
          <w:szCs w:val="22"/>
        </w:rPr>
      </w:pPr>
    </w:p>
    <w:p w:rsidR="00AC4C69" w:rsidRDefault="00AC4C69" w:rsidP="00164406">
      <w:pPr>
        <w:ind w:firstLine="708"/>
        <w:jc w:val="both"/>
        <w:rPr>
          <w:rFonts w:ascii="Times New Roman" w:hAnsi="Times New Roman"/>
          <w:szCs w:val="22"/>
        </w:rPr>
      </w:pPr>
    </w:p>
    <w:p w:rsidR="00AC4C69" w:rsidRDefault="00AC4C69" w:rsidP="00164406">
      <w:pPr>
        <w:ind w:firstLine="708"/>
        <w:jc w:val="both"/>
        <w:rPr>
          <w:rFonts w:ascii="Times New Roman" w:hAnsi="Times New Roman"/>
          <w:szCs w:val="22"/>
        </w:rPr>
      </w:pPr>
    </w:p>
    <w:p w:rsidR="00AC4C69" w:rsidRDefault="00AC4C69" w:rsidP="00164406">
      <w:pPr>
        <w:ind w:firstLine="708"/>
        <w:jc w:val="both"/>
        <w:rPr>
          <w:rFonts w:ascii="Times New Roman" w:hAnsi="Times New Roman"/>
          <w:szCs w:val="22"/>
        </w:rPr>
      </w:pPr>
    </w:p>
    <w:p w:rsidR="00AC4C69" w:rsidRDefault="00AC4C69" w:rsidP="00164406">
      <w:pPr>
        <w:ind w:firstLine="708"/>
        <w:jc w:val="both"/>
        <w:rPr>
          <w:rFonts w:ascii="Times New Roman" w:hAnsi="Times New Roman"/>
          <w:szCs w:val="22"/>
        </w:rPr>
      </w:pPr>
    </w:p>
    <w:p w:rsidR="00AC4C69" w:rsidRDefault="00AC4C69" w:rsidP="00164406">
      <w:pPr>
        <w:ind w:firstLine="708"/>
        <w:jc w:val="both"/>
        <w:rPr>
          <w:rFonts w:ascii="Times New Roman" w:hAnsi="Times New Roman"/>
          <w:szCs w:val="22"/>
        </w:rPr>
      </w:pPr>
    </w:p>
    <w:p w:rsidR="00AC4C69" w:rsidRDefault="00AC4C69" w:rsidP="00164406">
      <w:pPr>
        <w:ind w:firstLine="708"/>
        <w:jc w:val="both"/>
        <w:rPr>
          <w:rFonts w:ascii="Times New Roman" w:hAnsi="Times New Roman"/>
          <w:szCs w:val="22"/>
        </w:rPr>
      </w:pPr>
    </w:p>
    <w:p w:rsidR="00164406" w:rsidRDefault="00164406" w:rsidP="00164406">
      <w:pPr>
        <w:jc w:val="both"/>
        <w:rPr>
          <w:rFonts w:ascii="Times New Roman" w:hAnsi="Times New Roman"/>
          <w:szCs w:val="22"/>
        </w:rPr>
      </w:pPr>
    </w:p>
    <w:p w:rsidR="00164406" w:rsidRDefault="00164406" w:rsidP="00164406">
      <w:pPr>
        <w:ind w:firstLine="708"/>
        <w:jc w:val="both"/>
        <w:rPr>
          <w:rFonts w:ascii="Times New Roman" w:hAnsi="Times New Roman"/>
          <w:szCs w:val="22"/>
        </w:rPr>
      </w:pPr>
      <w:r>
        <w:rPr>
          <w:rFonts w:ascii="Times New Roman" w:hAnsi="Times New Roman"/>
          <w:szCs w:val="22"/>
        </w:rPr>
        <w:lastRenderedPageBreak/>
        <w:t>Vývoj týchto príjmov v jednotlivých rokoch zobrazuje nasledovná tabuľka:</w:t>
      </w:r>
    </w:p>
    <w:p w:rsidR="00164406" w:rsidRDefault="00164406" w:rsidP="00164406">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9"/>
        <w:gridCol w:w="1057"/>
        <w:gridCol w:w="1055"/>
        <w:gridCol w:w="1055"/>
        <w:gridCol w:w="1055"/>
        <w:gridCol w:w="1055"/>
        <w:gridCol w:w="1055"/>
        <w:gridCol w:w="1051"/>
      </w:tblGrid>
      <w:tr w:rsidR="00164406" w:rsidTr="00CE7047">
        <w:trPr>
          <w:trHeight w:val="351"/>
        </w:trPr>
        <w:tc>
          <w:tcPr>
            <w:tcW w:w="926" w:type="pct"/>
            <w:shd w:val="clear" w:color="auto" w:fill="A6A6A6"/>
            <w:vAlign w:val="center"/>
            <w:hideMark/>
          </w:tcPr>
          <w:p w:rsidR="00164406" w:rsidRDefault="00164406" w:rsidP="00CE7047">
            <w:pPr>
              <w:jc w:val="both"/>
              <w:rPr>
                <w:rFonts w:ascii="Times New Roman" w:hAnsi="Times New Roman" w:cs="Times New Roman"/>
                <w:b/>
                <w:bCs/>
                <w:color w:val="000000"/>
                <w:sz w:val="14"/>
                <w:szCs w:val="14"/>
                <w:lang w:eastAsia="sk-SK"/>
              </w:rPr>
            </w:pPr>
            <w:r>
              <w:rPr>
                <w:rFonts w:ascii="Times New Roman" w:hAnsi="Times New Roman"/>
                <w:szCs w:val="22"/>
              </w:rPr>
              <w:t xml:space="preserve"> </w:t>
            </w:r>
            <w:r>
              <w:rPr>
                <w:rFonts w:ascii="Times New Roman" w:hAnsi="Times New Roman" w:cs="Times New Roman"/>
                <w:b/>
                <w:bCs/>
                <w:color w:val="000000"/>
                <w:sz w:val="14"/>
                <w:szCs w:val="14"/>
                <w:lang w:eastAsia="sk-SK"/>
              </w:rPr>
              <w:t>v tis. eur</w:t>
            </w:r>
          </w:p>
        </w:tc>
        <w:tc>
          <w:tcPr>
            <w:tcW w:w="583"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82"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R</w:t>
            </w:r>
          </w:p>
        </w:tc>
        <w:tc>
          <w:tcPr>
            <w:tcW w:w="582" w:type="pct"/>
            <w:shd w:val="clear" w:color="auto" w:fill="A6A6A6"/>
            <w:vAlign w:val="center"/>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OS</w:t>
            </w:r>
          </w:p>
        </w:tc>
        <w:tc>
          <w:tcPr>
            <w:tcW w:w="582" w:type="pct"/>
            <w:shd w:val="clear" w:color="000000" w:fill="A6A6A6"/>
            <w:vAlign w:val="center"/>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N</w:t>
            </w:r>
          </w:p>
        </w:tc>
        <w:tc>
          <w:tcPr>
            <w:tcW w:w="582"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80"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r>
      <w:tr w:rsidR="00164406" w:rsidTr="00CE7047">
        <w:trPr>
          <w:trHeight w:val="311"/>
        </w:trPr>
        <w:tc>
          <w:tcPr>
            <w:tcW w:w="926" w:type="pct"/>
            <w:shd w:val="clear" w:color="auto" w:fill="BFBFBF"/>
            <w:vAlign w:val="center"/>
            <w:hideMark/>
          </w:tcPr>
          <w:p w:rsidR="00164406" w:rsidRDefault="00164406" w:rsidP="00CE7047">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83" w:type="pct"/>
            <w:shd w:val="clear" w:color="auto" w:fill="BFBFBF"/>
            <w:vAlign w:val="center"/>
          </w:tcPr>
          <w:p w:rsidR="00164406" w:rsidRPr="0030562B" w:rsidRDefault="00164406" w:rsidP="00CE7047">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323 534</w:t>
            </w:r>
          </w:p>
        </w:tc>
        <w:tc>
          <w:tcPr>
            <w:tcW w:w="582" w:type="pct"/>
            <w:shd w:val="clear" w:color="auto" w:fill="BFBFBF"/>
            <w:vAlign w:val="center"/>
          </w:tcPr>
          <w:p w:rsidR="00164406" w:rsidRPr="00022A83" w:rsidRDefault="00164406" w:rsidP="00CE7047">
            <w:pPr>
              <w:jc w:val="right"/>
              <w:rPr>
                <w:rFonts w:ascii="Times New Roman" w:hAnsi="Times New Roman" w:cs="Times New Roman"/>
                <w:b/>
                <w:bCs/>
                <w:color w:val="000000"/>
                <w:sz w:val="14"/>
                <w:szCs w:val="14"/>
                <w:lang w:eastAsia="sk-SK"/>
              </w:rPr>
            </w:pPr>
            <w:r w:rsidRPr="00253C5D">
              <w:rPr>
                <w:rFonts w:ascii="Times New Roman" w:hAnsi="Times New Roman" w:cs="Times New Roman"/>
                <w:b/>
                <w:bCs/>
                <w:color w:val="000000"/>
                <w:sz w:val="14"/>
                <w:szCs w:val="14"/>
                <w:lang w:eastAsia="sk-SK"/>
              </w:rPr>
              <w:t>337 394</w:t>
            </w:r>
          </w:p>
        </w:tc>
        <w:tc>
          <w:tcPr>
            <w:tcW w:w="582" w:type="pct"/>
            <w:shd w:val="clear" w:color="auto" w:fill="BFBFBF"/>
            <w:vAlign w:val="center"/>
          </w:tcPr>
          <w:p w:rsidR="00164406" w:rsidRPr="00022A83" w:rsidRDefault="00164406" w:rsidP="00CE7047">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328 716</w:t>
            </w:r>
          </w:p>
        </w:tc>
        <w:tc>
          <w:tcPr>
            <w:tcW w:w="582" w:type="pct"/>
            <w:shd w:val="clear" w:color="auto" w:fill="BFBFBF"/>
            <w:vAlign w:val="center"/>
          </w:tcPr>
          <w:p w:rsidR="00164406" w:rsidRPr="00022A83"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305 457</w:t>
            </w:r>
          </w:p>
        </w:tc>
        <w:tc>
          <w:tcPr>
            <w:tcW w:w="582" w:type="pct"/>
            <w:shd w:val="clear" w:color="auto" w:fill="BFBFBF"/>
            <w:vAlign w:val="center"/>
          </w:tcPr>
          <w:p w:rsidR="00164406" w:rsidRPr="00F26401" w:rsidRDefault="00164406" w:rsidP="00CE7047">
            <w:pPr>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338 616</w:t>
            </w:r>
          </w:p>
        </w:tc>
        <w:tc>
          <w:tcPr>
            <w:tcW w:w="582" w:type="pct"/>
            <w:shd w:val="clear" w:color="auto" w:fill="BFBFBF"/>
            <w:vAlign w:val="center"/>
          </w:tcPr>
          <w:p w:rsidR="00164406" w:rsidRPr="00DD41FB"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338 417</w:t>
            </w:r>
          </w:p>
        </w:tc>
        <w:tc>
          <w:tcPr>
            <w:tcW w:w="580" w:type="pct"/>
            <w:shd w:val="clear" w:color="auto" w:fill="BFBFBF"/>
            <w:vAlign w:val="center"/>
          </w:tcPr>
          <w:p w:rsidR="00164406" w:rsidRPr="00DD41FB"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338 243</w:t>
            </w:r>
          </w:p>
        </w:tc>
      </w:tr>
      <w:tr w:rsidR="00164406" w:rsidTr="00CE7047">
        <w:trPr>
          <w:trHeight w:val="273"/>
        </w:trPr>
        <w:tc>
          <w:tcPr>
            <w:tcW w:w="926" w:type="pct"/>
            <w:shd w:val="clear" w:color="auto" w:fill="FFFFFF"/>
            <w:vAlign w:val="center"/>
            <w:hideMark/>
          </w:tcPr>
          <w:p w:rsidR="00164406" w:rsidRDefault="00164406" w:rsidP="00CE7047">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Administratívne poplatky</w:t>
            </w:r>
          </w:p>
        </w:tc>
        <w:tc>
          <w:tcPr>
            <w:tcW w:w="583" w:type="pct"/>
            <w:shd w:val="clear" w:color="auto" w:fill="FFFFFF"/>
            <w:vAlign w:val="center"/>
          </w:tcPr>
          <w:p w:rsidR="00164406" w:rsidRPr="0030562B" w:rsidRDefault="00164406" w:rsidP="00CE7047">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203 096</w:t>
            </w:r>
          </w:p>
        </w:tc>
        <w:tc>
          <w:tcPr>
            <w:tcW w:w="582"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sidRPr="00253C5D">
              <w:rPr>
                <w:rFonts w:ascii="Times New Roman" w:hAnsi="Times New Roman" w:cs="Times New Roman"/>
                <w:b/>
                <w:bCs/>
                <w:color w:val="000000"/>
                <w:sz w:val="14"/>
                <w:szCs w:val="14"/>
              </w:rPr>
              <w:t>219 894</w:t>
            </w:r>
          </w:p>
        </w:tc>
        <w:tc>
          <w:tcPr>
            <w:tcW w:w="582"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204 509</w:t>
            </w:r>
          </w:p>
        </w:tc>
        <w:tc>
          <w:tcPr>
            <w:tcW w:w="582"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212 627</w:t>
            </w:r>
          </w:p>
        </w:tc>
        <w:tc>
          <w:tcPr>
            <w:tcW w:w="582"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217 817</w:t>
            </w:r>
          </w:p>
        </w:tc>
        <w:tc>
          <w:tcPr>
            <w:tcW w:w="582"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217 508</w:t>
            </w:r>
          </w:p>
        </w:tc>
        <w:tc>
          <w:tcPr>
            <w:tcW w:w="580"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217 367</w:t>
            </w:r>
          </w:p>
        </w:tc>
      </w:tr>
      <w:tr w:rsidR="00164406" w:rsidTr="00CE7047">
        <w:trPr>
          <w:trHeight w:val="277"/>
        </w:trPr>
        <w:tc>
          <w:tcPr>
            <w:tcW w:w="926" w:type="pct"/>
            <w:shd w:val="clear" w:color="auto" w:fill="FFFFFF"/>
            <w:vAlign w:val="center"/>
            <w:hideMark/>
          </w:tcPr>
          <w:p w:rsidR="00164406" w:rsidRDefault="00164406" w:rsidP="00CE7047">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v tom: súdne </w:t>
            </w:r>
          </w:p>
        </w:tc>
        <w:tc>
          <w:tcPr>
            <w:tcW w:w="583"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7 205</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253C5D">
              <w:rPr>
                <w:rFonts w:ascii="Times New Roman" w:hAnsi="Times New Roman" w:cs="Times New Roman"/>
                <w:color w:val="000000"/>
                <w:sz w:val="14"/>
                <w:szCs w:val="14"/>
              </w:rPr>
              <w:t>-210</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31 500</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31 255</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33 000</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33 000</w:t>
            </w:r>
          </w:p>
        </w:tc>
        <w:tc>
          <w:tcPr>
            <w:tcW w:w="58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33 000</w:t>
            </w:r>
          </w:p>
        </w:tc>
      </w:tr>
      <w:tr w:rsidR="00164406" w:rsidTr="00CE7047">
        <w:trPr>
          <w:trHeight w:val="423"/>
        </w:trPr>
        <w:tc>
          <w:tcPr>
            <w:tcW w:w="926" w:type="pct"/>
            <w:shd w:val="clear" w:color="auto" w:fill="FFFFFF"/>
            <w:vAlign w:val="center"/>
            <w:hideMark/>
          </w:tcPr>
          <w:p w:rsidR="00164406" w:rsidRDefault="00164406" w:rsidP="00CE7047">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tržby z predaja kolkových známok</w:t>
            </w:r>
          </w:p>
        </w:tc>
        <w:tc>
          <w:tcPr>
            <w:tcW w:w="583"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161 007</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0</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0</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0</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0</w:t>
            </w:r>
          </w:p>
        </w:tc>
        <w:tc>
          <w:tcPr>
            <w:tcW w:w="58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0</w:t>
            </w:r>
          </w:p>
        </w:tc>
      </w:tr>
      <w:tr w:rsidR="00164406" w:rsidTr="00CE7047">
        <w:trPr>
          <w:trHeight w:val="274"/>
        </w:trPr>
        <w:tc>
          <w:tcPr>
            <w:tcW w:w="926" w:type="pct"/>
            <w:shd w:val="clear" w:color="auto" w:fill="FFFFFF"/>
            <w:vAlign w:val="center"/>
            <w:hideMark/>
          </w:tcPr>
          <w:p w:rsidR="00164406" w:rsidRDefault="00164406" w:rsidP="00CE7047">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puncové poplatky</w:t>
            </w:r>
          </w:p>
        </w:tc>
        <w:tc>
          <w:tcPr>
            <w:tcW w:w="583"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600</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250B3E">
              <w:rPr>
                <w:rFonts w:ascii="Times New Roman" w:hAnsi="Times New Roman" w:cs="Times New Roman"/>
                <w:color w:val="000000"/>
                <w:sz w:val="14"/>
                <w:szCs w:val="14"/>
              </w:rPr>
              <w:t>622</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600</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600</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600</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600</w:t>
            </w:r>
          </w:p>
        </w:tc>
        <w:tc>
          <w:tcPr>
            <w:tcW w:w="58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600</w:t>
            </w:r>
          </w:p>
        </w:tc>
      </w:tr>
      <w:tr w:rsidR="00164406" w:rsidTr="00CE7047">
        <w:trPr>
          <w:trHeight w:val="263"/>
        </w:trPr>
        <w:tc>
          <w:tcPr>
            <w:tcW w:w="926" w:type="pct"/>
            <w:shd w:val="clear" w:color="auto" w:fill="FFFFFF"/>
            <w:vAlign w:val="center"/>
            <w:hideMark/>
          </w:tcPr>
          <w:p w:rsidR="00164406" w:rsidRDefault="00164406" w:rsidP="00CE7047">
            <w:pPr>
              <w:ind w:left="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ostatné poplatky</w:t>
            </w:r>
          </w:p>
        </w:tc>
        <w:tc>
          <w:tcPr>
            <w:tcW w:w="583"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34 087</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250B3E">
              <w:rPr>
                <w:rFonts w:ascii="Times New Roman" w:hAnsi="Times New Roman" w:cs="Times New Roman"/>
                <w:color w:val="000000"/>
                <w:sz w:val="14"/>
                <w:szCs w:val="14"/>
              </w:rPr>
              <w:t>219 355</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172 309</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180 627</w:t>
            </w:r>
          </w:p>
        </w:tc>
        <w:tc>
          <w:tcPr>
            <w:tcW w:w="582" w:type="pct"/>
            <w:shd w:val="clear" w:color="auto" w:fill="FFFFFF"/>
            <w:vAlign w:val="center"/>
          </w:tcPr>
          <w:p w:rsidR="00164406" w:rsidRPr="00DD41FB" w:rsidRDefault="00164406" w:rsidP="00CE7047">
            <w:pPr>
              <w:jc w:val="right"/>
              <w:rPr>
                <w:rFonts w:ascii="Times New Roman" w:hAnsi="Times New Roman" w:cs="Times New Roman"/>
                <w:color w:val="000000"/>
                <w:sz w:val="14"/>
                <w:szCs w:val="14"/>
              </w:rPr>
            </w:pPr>
            <w:r w:rsidRPr="00DD41FB">
              <w:rPr>
                <w:rFonts w:ascii="Times New Roman" w:hAnsi="Times New Roman" w:cs="Times New Roman"/>
                <w:color w:val="000000"/>
                <w:sz w:val="14"/>
                <w:szCs w:val="14"/>
              </w:rPr>
              <w:t>184 117</w:t>
            </w:r>
          </w:p>
        </w:tc>
        <w:tc>
          <w:tcPr>
            <w:tcW w:w="582" w:type="pct"/>
            <w:shd w:val="clear" w:color="auto" w:fill="FFFFFF"/>
            <w:vAlign w:val="center"/>
          </w:tcPr>
          <w:p w:rsidR="00164406" w:rsidRPr="00DD41FB" w:rsidRDefault="00164406" w:rsidP="00CE7047">
            <w:pPr>
              <w:jc w:val="right"/>
              <w:rPr>
                <w:rFonts w:ascii="Times New Roman" w:hAnsi="Times New Roman" w:cs="Times New Roman"/>
                <w:color w:val="000000"/>
                <w:sz w:val="14"/>
                <w:szCs w:val="14"/>
              </w:rPr>
            </w:pPr>
            <w:r w:rsidRPr="00DD41FB">
              <w:rPr>
                <w:rFonts w:ascii="Times New Roman" w:hAnsi="Times New Roman" w:cs="Times New Roman"/>
                <w:color w:val="000000"/>
                <w:sz w:val="14"/>
                <w:szCs w:val="14"/>
              </w:rPr>
              <w:t>183 808</w:t>
            </w:r>
          </w:p>
        </w:tc>
        <w:tc>
          <w:tcPr>
            <w:tcW w:w="580" w:type="pct"/>
            <w:shd w:val="clear" w:color="auto" w:fill="FFFFFF"/>
            <w:vAlign w:val="center"/>
          </w:tcPr>
          <w:p w:rsidR="00164406" w:rsidRPr="00DD41FB" w:rsidRDefault="00164406" w:rsidP="00CE7047">
            <w:pPr>
              <w:jc w:val="right"/>
              <w:rPr>
                <w:rFonts w:ascii="Times New Roman" w:hAnsi="Times New Roman" w:cs="Times New Roman"/>
                <w:color w:val="000000"/>
                <w:sz w:val="14"/>
                <w:szCs w:val="14"/>
              </w:rPr>
            </w:pPr>
            <w:r w:rsidRPr="00DD41FB">
              <w:rPr>
                <w:rFonts w:ascii="Times New Roman" w:hAnsi="Times New Roman" w:cs="Times New Roman"/>
                <w:color w:val="000000"/>
                <w:sz w:val="14"/>
                <w:szCs w:val="14"/>
              </w:rPr>
              <w:t>183 667</w:t>
            </w:r>
          </w:p>
        </w:tc>
      </w:tr>
      <w:tr w:rsidR="00164406" w:rsidTr="00CE7047">
        <w:trPr>
          <w:trHeight w:val="268"/>
        </w:trPr>
        <w:tc>
          <w:tcPr>
            <w:tcW w:w="926" w:type="pct"/>
            <w:shd w:val="clear" w:color="auto" w:fill="FFFFFF"/>
            <w:vAlign w:val="center"/>
            <w:hideMark/>
          </w:tcPr>
          <w:p w:rsidR="00164406" w:rsidRDefault="00164406" w:rsidP="00CE7047">
            <w:pPr>
              <w:ind w:left="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licencie</w:t>
            </w:r>
          </w:p>
        </w:tc>
        <w:tc>
          <w:tcPr>
            <w:tcW w:w="583"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197</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250B3E">
              <w:rPr>
                <w:rFonts w:ascii="Times New Roman" w:hAnsi="Times New Roman" w:cs="Times New Roman"/>
                <w:color w:val="000000"/>
                <w:sz w:val="14"/>
                <w:szCs w:val="14"/>
              </w:rPr>
              <w:t>127</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100</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145</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100</w:t>
            </w:r>
          </w:p>
        </w:tc>
        <w:tc>
          <w:tcPr>
            <w:tcW w:w="582"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100</w:t>
            </w:r>
          </w:p>
        </w:tc>
        <w:tc>
          <w:tcPr>
            <w:tcW w:w="58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100</w:t>
            </w:r>
          </w:p>
        </w:tc>
      </w:tr>
      <w:tr w:rsidR="00164406" w:rsidTr="00CE7047">
        <w:trPr>
          <w:trHeight w:val="427"/>
        </w:trPr>
        <w:tc>
          <w:tcPr>
            <w:tcW w:w="926" w:type="pct"/>
            <w:shd w:val="clear" w:color="auto" w:fill="FFFFFF"/>
            <w:vAlign w:val="center"/>
            <w:hideMark/>
          </w:tcPr>
          <w:p w:rsidR="00164406" w:rsidRDefault="00164406" w:rsidP="00CE7047">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Pokuty, penále a iné sankcie</w:t>
            </w:r>
          </w:p>
        </w:tc>
        <w:tc>
          <w:tcPr>
            <w:tcW w:w="583" w:type="pct"/>
            <w:shd w:val="clear" w:color="auto" w:fill="FFFFFF"/>
            <w:vAlign w:val="center"/>
          </w:tcPr>
          <w:p w:rsidR="00164406" w:rsidRPr="0030562B" w:rsidRDefault="00164406" w:rsidP="00CE7047">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53 943</w:t>
            </w:r>
          </w:p>
        </w:tc>
        <w:tc>
          <w:tcPr>
            <w:tcW w:w="582"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sidRPr="00250B3E">
              <w:rPr>
                <w:rFonts w:ascii="Times New Roman" w:hAnsi="Times New Roman" w:cs="Times New Roman"/>
                <w:b/>
                <w:bCs/>
                <w:color w:val="000000"/>
                <w:sz w:val="14"/>
                <w:szCs w:val="14"/>
              </w:rPr>
              <w:t>51 862</w:t>
            </w:r>
          </w:p>
        </w:tc>
        <w:tc>
          <w:tcPr>
            <w:tcW w:w="582"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71 734</w:t>
            </w:r>
          </w:p>
        </w:tc>
        <w:tc>
          <w:tcPr>
            <w:tcW w:w="582"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49 313</w:t>
            </w:r>
          </w:p>
        </w:tc>
        <w:tc>
          <w:tcPr>
            <w:tcW w:w="582"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64 437</w:t>
            </w:r>
          </w:p>
        </w:tc>
        <w:tc>
          <w:tcPr>
            <w:tcW w:w="582"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64 436</w:t>
            </w:r>
          </w:p>
        </w:tc>
        <w:tc>
          <w:tcPr>
            <w:tcW w:w="580"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64 435</w:t>
            </w:r>
          </w:p>
        </w:tc>
      </w:tr>
      <w:tr w:rsidR="00164406" w:rsidTr="00CE7047">
        <w:trPr>
          <w:trHeight w:val="703"/>
        </w:trPr>
        <w:tc>
          <w:tcPr>
            <w:tcW w:w="926" w:type="pct"/>
            <w:shd w:val="clear" w:color="auto" w:fill="FFFFFF"/>
            <w:vAlign w:val="center"/>
            <w:hideMark/>
          </w:tcPr>
          <w:p w:rsidR="00164406" w:rsidRDefault="00164406" w:rsidP="00CE7047">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Poplatky a platby z nepriemyselného a náhodného predaja a služieb</w:t>
            </w:r>
          </w:p>
        </w:tc>
        <w:tc>
          <w:tcPr>
            <w:tcW w:w="583" w:type="pct"/>
            <w:shd w:val="clear" w:color="auto" w:fill="FFFFFF"/>
            <w:vAlign w:val="center"/>
          </w:tcPr>
          <w:p w:rsidR="00164406" w:rsidRPr="0030562B" w:rsidRDefault="00164406" w:rsidP="00CE7047">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66 495</w:t>
            </w:r>
          </w:p>
        </w:tc>
        <w:tc>
          <w:tcPr>
            <w:tcW w:w="582"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sidRPr="00250B3E">
              <w:rPr>
                <w:rFonts w:ascii="Times New Roman" w:hAnsi="Times New Roman" w:cs="Times New Roman"/>
                <w:b/>
                <w:bCs/>
                <w:color w:val="000000"/>
                <w:sz w:val="14"/>
                <w:szCs w:val="14"/>
              </w:rPr>
              <w:t>65 638</w:t>
            </w:r>
          </w:p>
        </w:tc>
        <w:tc>
          <w:tcPr>
            <w:tcW w:w="582"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52 473</w:t>
            </w:r>
          </w:p>
        </w:tc>
        <w:tc>
          <w:tcPr>
            <w:tcW w:w="582"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43 517</w:t>
            </w:r>
          </w:p>
        </w:tc>
        <w:tc>
          <w:tcPr>
            <w:tcW w:w="582"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56 362</w:t>
            </w:r>
          </w:p>
        </w:tc>
        <w:tc>
          <w:tcPr>
            <w:tcW w:w="582"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56 473</w:t>
            </w:r>
          </w:p>
        </w:tc>
        <w:tc>
          <w:tcPr>
            <w:tcW w:w="580" w:type="pct"/>
            <w:shd w:val="clear" w:color="auto" w:fill="FFFFFF"/>
            <w:vAlign w:val="center"/>
          </w:tcPr>
          <w:p w:rsidR="00164406" w:rsidRPr="00022A83"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56 441</w:t>
            </w:r>
          </w:p>
        </w:tc>
      </w:tr>
    </w:tbl>
    <w:p w:rsidR="00164406" w:rsidRDefault="00164406" w:rsidP="00164406">
      <w:pPr>
        <w:ind w:firstLine="708"/>
        <w:jc w:val="both"/>
        <w:rPr>
          <w:rFonts w:ascii="Times New Roman" w:hAnsi="Times New Roman"/>
          <w:szCs w:val="22"/>
        </w:rPr>
      </w:pPr>
    </w:p>
    <w:p w:rsidR="00164406" w:rsidRPr="00FE2466" w:rsidRDefault="00164406" w:rsidP="00164406">
      <w:pPr>
        <w:ind w:firstLine="708"/>
        <w:jc w:val="both"/>
        <w:rPr>
          <w:rFonts w:ascii="Times New Roman" w:hAnsi="Times New Roman"/>
          <w:szCs w:val="22"/>
        </w:rPr>
      </w:pPr>
      <w:r>
        <w:rPr>
          <w:rFonts w:ascii="Times New Roman" w:hAnsi="Times New Roman"/>
          <w:szCs w:val="22"/>
        </w:rPr>
        <w:t xml:space="preserve">Uvedené príjmy sa na rok 2018 rozpočtujú </w:t>
      </w:r>
      <w:r w:rsidRPr="002665F3">
        <w:rPr>
          <w:rFonts w:ascii="Times New Roman" w:hAnsi="Times New Roman"/>
          <w:szCs w:val="22"/>
        </w:rPr>
        <w:t xml:space="preserve">vo výške </w:t>
      </w:r>
      <w:r>
        <w:rPr>
          <w:rFonts w:ascii="Times New Roman" w:hAnsi="Times New Roman"/>
          <w:szCs w:val="22"/>
        </w:rPr>
        <w:t>338,6</w:t>
      </w:r>
      <w:r w:rsidRPr="007101B6">
        <w:rPr>
          <w:rFonts w:ascii="Times New Roman" w:hAnsi="Times New Roman"/>
          <w:szCs w:val="22"/>
        </w:rPr>
        <w:t xml:space="preserve"> mil. eur</w:t>
      </w:r>
      <w:r w:rsidRPr="002665F3">
        <w:rPr>
          <w:rFonts w:ascii="Times New Roman" w:hAnsi="Times New Roman"/>
          <w:szCs w:val="22"/>
        </w:rPr>
        <w:t>.</w:t>
      </w:r>
      <w:r>
        <w:rPr>
          <w:rFonts w:ascii="Times New Roman" w:hAnsi="Times New Roman"/>
          <w:szCs w:val="22"/>
        </w:rPr>
        <w:t xml:space="preserve"> Najvyšší objem v rámci týchto príjmov predstavujú ostatné poplatky. Patria sem napr. správne poplatky, paušálne náhrady za udeľovanie víz, udržiavacie poplatky za patent a pod.</w:t>
      </w:r>
      <w:r w:rsidRPr="00FE2466">
        <w:rPr>
          <w:rFonts w:ascii="Times New Roman" w:hAnsi="Times New Roman"/>
          <w:szCs w:val="22"/>
        </w:rPr>
        <w:t xml:space="preserve"> </w:t>
      </w:r>
    </w:p>
    <w:p w:rsidR="00164406" w:rsidRPr="0077553B" w:rsidRDefault="00164406" w:rsidP="00164406">
      <w:pPr>
        <w:ind w:firstLine="708"/>
        <w:jc w:val="both"/>
        <w:rPr>
          <w:rFonts w:ascii="Times New Roman" w:hAnsi="Times New Roman"/>
          <w:color w:val="FF0000"/>
          <w:szCs w:val="22"/>
        </w:rPr>
      </w:pPr>
    </w:p>
    <w:p w:rsidR="00164406" w:rsidRDefault="00164406" w:rsidP="00164406">
      <w:pPr>
        <w:ind w:firstLine="708"/>
        <w:jc w:val="both"/>
        <w:rPr>
          <w:rFonts w:ascii="Times New Roman" w:hAnsi="Times New Roman"/>
          <w:b/>
          <w:i/>
          <w:szCs w:val="22"/>
        </w:rPr>
      </w:pPr>
      <w:r w:rsidRPr="00EC34C2">
        <w:rPr>
          <w:rFonts w:ascii="Times New Roman" w:hAnsi="Times New Roman"/>
          <w:b/>
          <w:i/>
          <w:szCs w:val="22"/>
        </w:rPr>
        <w:t>Kapitálové príjmy</w:t>
      </w:r>
    </w:p>
    <w:p w:rsidR="00164406" w:rsidRPr="00EC34C2" w:rsidRDefault="00164406" w:rsidP="00164406">
      <w:pPr>
        <w:ind w:firstLine="708"/>
        <w:jc w:val="both"/>
        <w:rPr>
          <w:rFonts w:ascii="Times New Roman" w:hAnsi="Times New Roman"/>
          <w:b/>
          <w:i/>
          <w:szCs w:val="22"/>
        </w:rPr>
      </w:pPr>
    </w:p>
    <w:p w:rsidR="00164406" w:rsidRDefault="00164406" w:rsidP="00164406">
      <w:pPr>
        <w:jc w:val="both"/>
        <w:rPr>
          <w:rFonts w:ascii="Times New Roman" w:hAnsi="Times New Roman"/>
          <w:szCs w:val="22"/>
        </w:rPr>
      </w:pPr>
      <w:r w:rsidRPr="00EC34C2">
        <w:rPr>
          <w:rFonts w:ascii="Times New Roman" w:hAnsi="Times New Roman"/>
          <w:szCs w:val="22"/>
        </w:rPr>
        <w:tab/>
      </w:r>
      <w:r w:rsidRPr="006D1BED">
        <w:rPr>
          <w:rFonts w:ascii="Times New Roman" w:hAnsi="Times New Roman"/>
          <w:szCs w:val="22"/>
        </w:rPr>
        <w:t>Uvedené príjmy sa na rok 2018 rozpočtujú vo výške 44,5 mil. eur. Nižší objem rozpočtovaných kapitálových príjmov v porovnaní s rozpočtom na rok 2017 súvisí predovšetkým s</w:t>
      </w:r>
      <w:r>
        <w:rPr>
          <w:rFonts w:ascii="Times New Roman" w:hAnsi="Times New Roman"/>
          <w:szCs w:val="22"/>
        </w:rPr>
        <w:t xml:space="preserve"> očakávanými </w:t>
      </w:r>
      <w:r w:rsidRPr="006D1BED">
        <w:rPr>
          <w:rFonts w:ascii="Times New Roman" w:hAnsi="Times New Roman"/>
          <w:szCs w:val="22"/>
        </w:rPr>
        <w:t>nižšími výnosmi z predaja prebytočného majetku štátu v správe kapitol štátneho rozpočtu.</w:t>
      </w:r>
    </w:p>
    <w:p w:rsidR="00164406" w:rsidRPr="007A3007" w:rsidRDefault="00164406" w:rsidP="00164406">
      <w:pPr>
        <w:jc w:val="both"/>
        <w:rPr>
          <w:rFonts w:ascii="Times New Roman" w:hAnsi="Times New Roman"/>
          <w:b/>
          <w:szCs w:val="22"/>
          <w:u w:val="single"/>
        </w:rPr>
      </w:pPr>
      <w:r w:rsidRPr="007A3007">
        <w:rPr>
          <w:rFonts w:ascii="Times New Roman" w:hAnsi="Times New Roman"/>
          <w:b/>
          <w:szCs w:val="22"/>
          <w:u w:val="single"/>
        </w:rPr>
        <w:t xml:space="preserve"> </w:t>
      </w:r>
    </w:p>
    <w:p w:rsidR="00164406" w:rsidRDefault="00164406" w:rsidP="00164406">
      <w:pPr>
        <w:ind w:firstLine="708"/>
        <w:jc w:val="both"/>
        <w:rPr>
          <w:rFonts w:ascii="Times New Roman" w:hAnsi="Times New Roman"/>
          <w:szCs w:val="22"/>
        </w:rPr>
      </w:pPr>
      <w:r w:rsidRPr="007A3007">
        <w:rPr>
          <w:rFonts w:ascii="Times New Roman" w:hAnsi="Times New Roman"/>
          <w:szCs w:val="22"/>
        </w:rPr>
        <w:t xml:space="preserve"> </w:t>
      </w:r>
      <w:r>
        <w:rPr>
          <w:rFonts w:ascii="Times New Roman" w:hAnsi="Times New Roman"/>
          <w:szCs w:val="22"/>
        </w:rPr>
        <w:t>Vývoj týchto príjmov je nasledovný:</w:t>
      </w:r>
    </w:p>
    <w:p w:rsidR="00164406" w:rsidRDefault="00164406" w:rsidP="00164406">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0"/>
        <w:gridCol w:w="1031"/>
        <w:gridCol w:w="1033"/>
        <w:gridCol w:w="1033"/>
        <w:gridCol w:w="1033"/>
        <w:gridCol w:w="1033"/>
        <w:gridCol w:w="1033"/>
        <w:gridCol w:w="1026"/>
      </w:tblGrid>
      <w:tr w:rsidR="00164406" w:rsidTr="00CE7047">
        <w:trPr>
          <w:trHeight w:val="284"/>
        </w:trPr>
        <w:tc>
          <w:tcPr>
            <w:tcW w:w="1015" w:type="pct"/>
            <w:shd w:val="clear" w:color="auto" w:fill="A6A6A6"/>
            <w:vAlign w:val="center"/>
            <w:hideMark/>
          </w:tcPr>
          <w:p w:rsidR="00164406" w:rsidRDefault="00164406" w:rsidP="00CE7047">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69"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70"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70"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R</w:t>
            </w:r>
          </w:p>
        </w:tc>
        <w:tc>
          <w:tcPr>
            <w:tcW w:w="570" w:type="pct"/>
            <w:shd w:val="clear" w:color="auto" w:fill="A6A6A6"/>
            <w:vAlign w:val="center"/>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OS</w:t>
            </w:r>
          </w:p>
        </w:tc>
        <w:tc>
          <w:tcPr>
            <w:tcW w:w="570" w:type="pct"/>
            <w:shd w:val="clear" w:color="000000" w:fill="A6A6A6"/>
            <w:vAlign w:val="center"/>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N</w:t>
            </w:r>
          </w:p>
        </w:tc>
        <w:tc>
          <w:tcPr>
            <w:tcW w:w="570"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66"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r>
      <w:tr w:rsidR="00164406" w:rsidTr="00CE7047">
        <w:trPr>
          <w:trHeight w:val="284"/>
        </w:trPr>
        <w:tc>
          <w:tcPr>
            <w:tcW w:w="1015" w:type="pct"/>
            <w:shd w:val="clear" w:color="auto" w:fill="BFBFBF"/>
            <w:vAlign w:val="center"/>
            <w:hideMark/>
          </w:tcPr>
          <w:p w:rsidR="00164406" w:rsidRDefault="00164406" w:rsidP="00CE7047">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Kapitálové príjmy</w:t>
            </w:r>
          </w:p>
        </w:tc>
        <w:tc>
          <w:tcPr>
            <w:tcW w:w="569" w:type="pct"/>
            <w:shd w:val="clear" w:color="auto" w:fill="BFBFBF"/>
            <w:vAlign w:val="center"/>
          </w:tcPr>
          <w:p w:rsidR="00164406" w:rsidRPr="0030562B" w:rsidRDefault="00164406" w:rsidP="00CE7047">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12 580</w:t>
            </w:r>
          </w:p>
        </w:tc>
        <w:tc>
          <w:tcPr>
            <w:tcW w:w="570" w:type="pct"/>
            <w:shd w:val="clear" w:color="auto" w:fill="BFBFBF"/>
            <w:vAlign w:val="center"/>
          </w:tcPr>
          <w:p w:rsidR="00164406" w:rsidRDefault="00164406" w:rsidP="00CE7047">
            <w:pPr>
              <w:jc w:val="right"/>
              <w:rPr>
                <w:rFonts w:ascii="Times New Roman" w:hAnsi="Times New Roman" w:cs="Times New Roman"/>
                <w:b/>
                <w:bCs/>
                <w:color w:val="000000"/>
                <w:sz w:val="14"/>
                <w:szCs w:val="14"/>
              </w:rPr>
            </w:pPr>
            <w:r w:rsidRPr="00053647">
              <w:rPr>
                <w:rFonts w:ascii="Times New Roman" w:hAnsi="Times New Roman" w:cs="Times New Roman"/>
                <w:b/>
                <w:bCs/>
                <w:color w:val="000000"/>
                <w:sz w:val="14"/>
                <w:szCs w:val="14"/>
              </w:rPr>
              <w:t>19 692</w:t>
            </w:r>
          </w:p>
        </w:tc>
        <w:tc>
          <w:tcPr>
            <w:tcW w:w="570" w:type="pct"/>
            <w:shd w:val="clear" w:color="auto" w:fill="BFBFBF"/>
            <w:vAlign w:val="center"/>
          </w:tcPr>
          <w:p w:rsidR="00164406" w:rsidRPr="00022A83" w:rsidRDefault="00164406" w:rsidP="00CE7047">
            <w:pPr>
              <w:jc w:val="right"/>
              <w:rPr>
                <w:rFonts w:ascii="Times New Roman" w:hAnsi="Times New Roman" w:cs="Times New Roman"/>
                <w:b/>
                <w:bCs/>
                <w:color w:val="000000"/>
                <w:sz w:val="14"/>
                <w:szCs w:val="14"/>
              </w:rPr>
            </w:pPr>
            <w:r w:rsidRPr="00022A83">
              <w:rPr>
                <w:rFonts w:ascii="Times New Roman" w:hAnsi="Times New Roman" w:cs="Times New Roman"/>
                <w:b/>
                <w:bCs/>
                <w:color w:val="000000"/>
                <w:sz w:val="14"/>
                <w:szCs w:val="14"/>
              </w:rPr>
              <w:t>50 887</w:t>
            </w:r>
          </w:p>
        </w:tc>
        <w:tc>
          <w:tcPr>
            <w:tcW w:w="570" w:type="pct"/>
            <w:shd w:val="clear" w:color="auto" w:fill="BFBFBF"/>
            <w:vAlign w:val="center"/>
          </w:tcPr>
          <w:p w:rsidR="00164406" w:rsidRPr="00022A83"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11 353</w:t>
            </w:r>
          </w:p>
        </w:tc>
        <w:tc>
          <w:tcPr>
            <w:tcW w:w="570" w:type="pct"/>
            <w:shd w:val="clear" w:color="auto" w:fill="BFBFBF"/>
            <w:vAlign w:val="center"/>
          </w:tcPr>
          <w:p w:rsidR="00164406" w:rsidRPr="00022A83" w:rsidRDefault="00164406" w:rsidP="00CE7047">
            <w:pPr>
              <w:jc w:val="right"/>
              <w:rPr>
                <w:rFonts w:ascii="Times New Roman" w:hAnsi="Times New Roman" w:cs="Times New Roman"/>
                <w:b/>
                <w:bCs/>
                <w:color w:val="000000"/>
                <w:sz w:val="14"/>
                <w:szCs w:val="14"/>
              </w:rPr>
            </w:pPr>
            <w:r w:rsidRPr="00B342B6">
              <w:rPr>
                <w:rFonts w:ascii="Times New Roman" w:hAnsi="Times New Roman" w:cs="Times New Roman"/>
                <w:b/>
                <w:bCs/>
                <w:color w:val="000000"/>
                <w:sz w:val="14"/>
                <w:szCs w:val="14"/>
              </w:rPr>
              <w:t>44 488</w:t>
            </w:r>
          </w:p>
        </w:tc>
        <w:tc>
          <w:tcPr>
            <w:tcW w:w="570" w:type="pct"/>
            <w:shd w:val="clear" w:color="auto" w:fill="BFBFBF"/>
            <w:vAlign w:val="center"/>
          </w:tcPr>
          <w:p w:rsidR="00164406" w:rsidRPr="00022A83" w:rsidRDefault="00164406" w:rsidP="00CE7047">
            <w:pPr>
              <w:jc w:val="right"/>
              <w:rPr>
                <w:rFonts w:ascii="Times New Roman" w:hAnsi="Times New Roman" w:cs="Times New Roman"/>
                <w:b/>
                <w:bCs/>
                <w:color w:val="000000"/>
                <w:sz w:val="14"/>
                <w:szCs w:val="14"/>
              </w:rPr>
            </w:pPr>
            <w:r w:rsidRPr="00B342B6">
              <w:rPr>
                <w:rFonts w:ascii="Times New Roman" w:hAnsi="Times New Roman" w:cs="Times New Roman"/>
                <w:b/>
                <w:bCs/>
                <w:color w:val="000000"/>
                <w:sz w:val="14"/>
                <w:szCs w:val="14"/>
              </w:rPr>
              <w:t>44 440</w:t>
            </w:r>
          </w:p>
        </w:tc>
        <w:tc>
          <w:tcPr>
            <w:tcW w:w="566" w:type="pct"/>
            <w:shd w:val="clear" w:color="auto" w:fill="BFBFBF"/>
            <w:vAlign w:val="center"/>
          </w:tcPr>
          <w:p w:rsidR="00164406" w:rsidRPr="00022A83" w:rsidRDefault="00164406" w:rsidP="00CE7047">
            <w:pPr>
              <w:jc w:val="right"/>
              <w:rPr>
                <w:rFonts w:ascii="Times New Roman" w:hAnsi="Times New Roman" w:cs="Times New Roman"/>
                <w:b/>
                <w:bCs/>
                <w:color w:val="000000"/>
                <w:sz w:val="14"/>
                <w:szCs w:val="14"/>
              </w:rPr>
            </w:pPr>
            <w:r w:rsidRPr="00B342B6">
              <w:rPr>
                <w:rFonts w:ascii="Times New Roman" w:hAnsi="Times New Roman" w:cs="Times New Roman"/>
                <w:b/>
                <w:bCs/>
                <w:color w:val="000000"/>
                <w:sz w:val="14"/>
                <w:szCs w:val="14"/>
              </w:rPr>
              <w:t>44 440</w:t>
            </w:r>
          </w:p>
        </w:tc>
      </w:tr>
      <w:tr w:rsidR="00164406" w:rsidTr="00CE7047">
        <w:trPr>
          <w:trHeight w:val="284"/>
        </w:trPr>
        <w:tc>
          <w:tcPr>
            <w:tcW w:w="1015" w:type="pct"/>
            <w:shd w:val="clear" w:color="auto" w:fill="FFFFFF"/>
            <w:vAlign w:val="center"/>
            <w:hideMark/>
          </w:tcPr>
          <w:p w:rsidR="00164406" w:rsidRDefault="00164406" w:rsidP="00CE7047">
            <w:pPr>
              <w:ind w:left="366" w:hanging="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 tom: z predaja  kapitálových aktív</w:t>
            </w:r>
          </w:p>
        </w:tc>
        <w:tc>
          <w:tcPr>
            <w:tcW w:w="569"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6 764</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8 867</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45 474</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7 815</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40 399</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40 399</w:t>
            </w:r>
          </w:p>
        </w:tc>
        <w:tc>
          <w:tcPr>
            <w:tcW w:w="566"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40 399</w:t>
            </w:r>
          </w:p>
        </w:tc>
      </w:tr>
      <w:tr w:rsidR="00164406" w:rsidTr="00CE7047">
        <w:trPr>
          <w:trHeight w:val="284"/>
        </w:trPr>
        <w:tc>
          <w:tcPr>
            <w:tcW w:w="1015" w:type="pct"/>
            <w:shd w:val="clear" w:color="auto" w:fill="FFFFFF"/>
            <w:vAlign w:val="center"/>
            <w:hideMark/>
          </w:tcPr>
          <w:p w:rsidR="00164406" w:rsidRDefault="00164406" w:rsidP="00CE7047">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predaja hmotných a mobilizačných rezerv</w:t>
            </w:r>
          </w:p>
        </w:tc>
        <w:tc>
          <w:tcPr>
            <w:tcW w:w="569"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0</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80</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353</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20</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10</w:t>
            </w:r>
          </w:p>
        </w:tc>
        <w:tc>
          <w:tcPr>
            <w:tcW w:w="566"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10</w:t>
            </w:r>
          </w:p>
        </w:tc>
      </w:tr>
      <w:tr w:rsidR="00164406" w:rsidTr="00CE7047">
        <w:trPr>
          <w:trHeight w:val="349"/>
        </w:trPr>
        <w:tc>
          <w:tcPr>
            <w:tcW w:w="1015" w:type="pct"/>
            <w:shd w:val="clear" w:color="auto" w:fill="FFFFFF"/>
            <w:vAlign w:val="center"/>
            <w:hideMark/>
          </w:tcPr>
          <w:p w:rsidR="00164406" w:rsidRDefault="00164406" w:rsidP="00CE7047">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predaja pozemkov a nehmotných aktív</w:t>
            </w:r>
          </w:p>
        </w:tc>
        <w:tc>
          <w:tcPr>
            <w:tcW w:w="569"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1 902</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3 994</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5 034</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2 948</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3 770</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3 732</w:t>
            </w:r>
          </w:p>
        </w:tc>
        <w:tc>
          <w:tcPr>
            <w:tcW w:w="566"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3 732</w:t>
            </w:r>
          </w:p>
        </w:tc>
      </w:tr>
      <w:tr w:rsidR="00164406" w:rsidTr="00CE7047">
        <w:trPr>
          <w:trHeight w:val="284"/>
        </w:trPr>
        <w:tc>
          <w:tcPr>
            <w:tcW w:w="1015" w:type="pct"/>
            <w:shd w:val="clear" w:color="auto" w:fill="FFFFFF"/>
            <w:vAlign w:val="center"/>
            <w:hideMark/>
          </w:tcPr>
          <w:p w:rsidR="00164406" w:rsidRDefault="00164406" w:rsidP="00CE7047">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ďalšie kapitálové príjmy</w:t>
            </w:r>
          </w:p>
        </w:tc>
        <w:tc>
          <w:tcPr>
            <w:tcW w:w="569"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3 914</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6 831</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299</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237</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299</w:t>
            </w:r>
          </w:p>
        </w:tc>
        <w:tc>
          <w:tcPr>
            <w:tcW w:w="570"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299</w:t>
            </w:r>
          </w:p>
        </w:tc>
        <w:tc>
          <w:tcPr>
            <w:tcW w:w="566" w:type="pct"/>
            <w:shd w:val="clear" w:color="auto" w:fill="FFFFFF"/>
            <w:vAlign w:val="center"/>
          </w:tcPr>
          <w:p w:rsidR="00164406" w:rsidRPr="00022A83"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299</w:t>
            </w:r>
          </w:p>
        </w:tc>
      </w:tr>
    </w:tbl>
    <w:p w:rsidR="00164406" w:rsidRDefault="00164406" w:rsidP="00164406">
      <w:pPr>
        <w:ind w:firstLine="708"/>
        <w:rPr>
          <w:rFonts w:ascii="Times New Roman" w:hAnsi="Times New Roman"/>
          <w:szCs w:val="22"/>
        </w:rPr>
      </w:pPr>
    </w:p>
    <w:p w:rsidR="00164406" w:rsidRDefault="00164406" w:rsidP="00164406">
      <w:pPr>
        <w:ind w:firstLine="708"/>
        <w:jc w:val="both"/>
        <w:rPr>
          <w:rFonts w:ascii="Times New Roman" w:hAnsi="Times New Roman"/>
          <w:b/>
          <w:i/>
          <w:szCs w:val="22"/>
        </w:rPr>
      </w:pPr>
      <w:r>
        <w:rPr>
          <w:rFonts w:ascii="Times New Roman" w:hAnsi="Times New Roman"/>
          <w:b/>
          <w:i/>
          <w:szCs w:val="22"/>
        </w:rPr>
        <w:t xml:space="preserve">Úroky z tuzemských a zahraničných úverov, pôžičiek, návratných finančných výpomocí a vkladov </w:t>
      </w:r>
    </w:p>
    <w:p w:rsidR="00164406" w:rsidRDefault="00164406" w:rsidP="00164406">
      <w:pPr>
        <w:ind w:firstLine="708"/>
        <w:jc w:val="both"/>
        <w:rPr>
          <w:rFonts w:ascii="Times New Roman" w:hAnsi="Times New Roman"/>
          <w:b/>
          <w:i/>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9"/>
        <w:gridCol w:w="999"/>
        <w:gridCol w:w="999"/>
        <w:gridCol w:w="998"/>
        <w:gridCol w:w="998"/>
        <w:gridCol w:w="998"/>
        <w:gridCol w:w="998"/>
        <w:gridCol w:w="991"/>
      </w:tblGrid>
      <w:tr w:rsidR="00164406" w:rsidTr="00CE7047">
        <w:trPr>
          <w:trHeight w:val="284"/>
        </w:trPr>
        <w:tc>
          <w:tcPr>
            <w:tcW w:w="1147" w:type="pct"/>
            <w:shd w:val="clear" w:color="auto" w:fill="A6A6A6"/>
            <w:vAlign w:val="center"/>
            <w:hideMark/>
          </w:tcPr>
          <w:p w:rsidR="00164406" w:rsidRDefault="00164406" w:rsidP="00CE7047">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51"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51"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51"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R</w:t>
            </w:r>
          </w:p>
        </w:tc>
        <w:tc>
          <w:tcPr>
            <w:tcW w:w="551" w:type="pct"/>
            <w:shd w:val="clear" w:color="auto" w:fill="A6A6A6"/>
            <w:vAlign w:val="center"/>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OS</w:t>
            </w:r>
          </w:p>
        </w:tc>
        <w:tc>
          <w:tcPr>
            <w:tcW w:w="551" w:type="pct"/>
            <w:shd w:val="clear" w:color="000000" w:fill="A6A6A6"/>
            <w:vAlign w:val="center"/>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N</w:t>
            </w:r>
          </w:p>
        </w:tc>
        <w:tc>
          <w:tcPr>
            <w:tcW w:w="551"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47"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r>
      <w:tr w:rsidR="00164406" w:rsidTr="00CE7047">
        <w:trPr>
          <w:trHeight w:val="284"/>
        </w:trPr>
        <w:tc>
          <w:tcPr>
            <w:tcW w:w="1147" w:type="pct"/>
            <w:shd w:val="clear" w:color="auto" w:fill="BFBFBF"/>
            <w:vAlign w:val="center"/>
            <w:hideMark/>
          </w:tcPr>
          <w:p w:rsidR="00164406" w:rsidRDefault="00164406" w:rsidP="00CE7047">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51" w:type="pct"/>
            <w:shd w:val="clear" w:color="auto" w:fill="BFBFBF"/>
            <w:vAlign w:val="center"/>
          </w:tcPr>
          <w:p w:rsidR="00164406" w:rsidRPr="0030562B" w:rsidRDefault="00164406" w:rsidP="00CE7047">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14 927</w:t>
            </w:r>
          </w:p>
        </w:tc>
        <w:tc>
          <w:tcPr>
            <w:tcW w:w="551" w:type="pct"/>
            <w:shd w:val="clear" w:color="auto" w:fill="BFBFBF"/>
            <w:vAlign w:val="center"/>
          </w:tcPr>
          <w:p w:rsidR="00164406" w:rsidRPr="00B359B0" w:rsidRDefault="00164406" w:rsidP="00CE7047">
            <w:pPr>
              <w:jc w:val="right"/>
              <w:rPr>
                <w:rFonts w:ascii="Times New Roman" w:hAnsi="Times New Roman" w:cs="Times New Roman"/>
                <w:b/>
                <w:bCs/>
                <w:sz w:val="14"/>
                <w:szCs w:val="14"/>
              </w:rPr>
            </w:pPr>
            <w:r w:rsidRPr="00B359B0">
              <w:rPr>
                <w:rFonts w:ascii="Times New Roman" w:hAnsi="Times New Roman" w:cs="Times New Roman"/>
                <w:b/>
                <w:bCs/>
                <w:sz w:val="14"/>
                <w:szCs w:val="14"/>
              </w:rPr>
              <w:t>9 052</w:t>
            </w:r>
          </w:p>
        </w:tc>
        <w:tc>
          <w:tcPr>
            <w:tcW w:w="551" w:type="pct"/>
            <w:shd w:val="clear" w:color="auto" w:fill="BFBFBF"/>
            <w:vAlign w:val="center"/>
          </w:tcPr>
          <w:p w:rsidR="00164406" w:rsidRPr="0030562B" w:rsidRDefault="00164406" w:rsidP="00CE7047">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8 280</w:t>
            </w:r>
          </w:p>
        </w:tc>
        <w:tc>
          <w:tcPr>
            <w:tcW w:w="551" w:type="pct"/>
            <w:shd w:val="clear" w:color="auto" w:fill="BFBFBF"/>
            <w:vAlign w:val="center"/>
          </w:tcPr>
          <w:p w:rsidR="00164406" w:rsidRPr="0030562B"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8 049</w:t>
            </w:r>
          </w:p>
        </w:tc>
        <w:tc>
          <w:tcPr>
            <w:tcW w:w="551" w:type="pct"/>
            <w:shd w:val="clear" w:color="auto" w:fill="BFBFBF"/>
            <w:vAlign w:val="center"/>
          </w:tcPr>
          <w:p w:rsidR="00164406" w:rsidRPr="0030562B" w:rsidRDefault="00164406" w:rsidP="00CE7047">
            <w:pPr>
              <w:jc w:val="right"/>
              <w:rPr>
                <w:rFonts w:ascii="Times New Roman" w:hAnsi="Times New Roman" w:cs="Times New Roman"/>
                <w:b/>
                <w:bCs/>
                <w:color w:val="000000"/>
                <w:sz w:val="14"/>
                <w:szCs w:val="14"/>
              </w:rPr>
            </w:pPr>
            <w:r w:rsidRPr="009A579B">
              <w:rPr>
                <w:rFonts w:ascii="Times New Roman" w:hAnsi="Times New Roman" w:cs="Times New Roman"/>
                <w:b/>
                <w:bCs/>
                <w:color w:val="000000"/>
                <w:sz w:val="14"/>
                <w:szCs w:val="14"/>
              </w:rPr>
              <w:t>7 125</w:t>
            </w:r>
          </w:p>
        </w:tc>
        <w:tc>
          <w:tcPr>
            <w:tcW w:w="551" w:type="pct"/>
            <w:shd w:val="clear" w:color="auto" w:fill="BFBFBF"/>
            <w:vAlign w:val="center"/>
          </w:tcPr>
          <w:p w:rsidR="00164406" w:rsidRPr="0030562B" w:rsidRDefault="00164406" w:rsidP="00CE7047">
            <w:pPr>
              <w:jc w:val="right"/>
              <w:rPr>
                <w:rFonts w:ascii="Times New Roman" w:hAnsi="Times New Roman" w:cs="Times New Roman"/>
                <w:b/>
                <w:bCs/>
                <w:color w:val="000000"/>
                <w:sz w:val="14"/>
                <w:szCs w:val="14"/>
              </w:rPr>
            </w:pPr>
            <w:r w:rsidRPr="009A579B">
              <w:rPr>
                <w:rFonts w:ascii="Times New Roman" w:hAnsi="Times New Roman" w:cs="Times New Roman"/>
                <w:b/>
                <w:bCs/>
                <w:color w:val="000000"/>
                <w:sz w:val="14"/>
                <w:szCs w:val="14"/>
              </w:rPr>
              <w:t>7 190</w:t>
            </w:r>
          </w:p>
        </w:tc>
        <w:tc>
          <w:tcPr>
            <w:tcW w:w="547" w:type="pct"/>
            <w:shd w:val="clear" w:color="auto" w:fill="BFBFBF"/>
            <w:vAlign w:val="center"/>
          </w:tcPr>
          <w:p w:rsidR="00164406" w:rsidRPr="0030562B" w:rsidRDefault="00164406" w:rsidP="00CE7047">
            <w:pPr>
              <w:jc w:val="right"/>
              <w:rPr>
                <w:rFonts w:ascii="Times New Roman" w:hAnsi="Times New Roman" w:cs="Times New Roman"/>
                <w:b/>
                <w:bCs/>
                <w:color w:val="000000"/>
                <w:sz w:val="14"/>
                <w:szCs w:val="14"/>
              </w:rPr>
            </w:pPr>
            <w:r w:rsidRPr="009A579B">
              <w:rPr>
                <w:rFonts w:ascii="Times New Roman" w:hAnsi="Times New Roman" w:cs="Times New Roman"/>
                <w:b/>
                <w:bCs/>
                <w:color w:val="000000"/>
                <w:sz w:val="14"/>
                <w:szCs w:val="14"/>
              </w:rPr>
              <w:t>7 239</w:t>
            </w:r>
          </w:p>
        </w:tc>
      </w:tr>
      <w:tr w:rsidR="00164406" w:rsidTr="00CE7047">
        <w:trPr>
          <w:trHeight w:val="284"/>
        </w:trPr>
        <w:tc>
          <w:tcPr>
            <w:tcW w:w="1147" w:type="pct"/>
            <w:shd w:val="clear" w:color="auto" w:fill="FFFFFF"/>
            <w:vAlign w:val="center"/>
            <w:hideMark/>
          </w:tcPr>
          <w:p w:rsidR="00164406" w:rsidRPr="001710AA" w:rsidRDefault="00164406" w:rsidP="00CE7047">
            <w:pPr>
              <w:jc w:val="both"/>
              <w:rPr>
                <w:rFonts w:ascii="Times New Roman" w:hAnsi="Times New Roman" w:cs="Times New Roman"/>
                <w:color w:val="000000"/>
                <w:sz w:val="14"/>
                <w:szCs w:val="14"/>
                <w:highlight w:val="yellow"/>
                <w:lang w:eastAsia="sk-SK"/>
              </w:rPr>
            </w:pPr>
            <w:r w:rsidRPr="00E60A99">
              <w:rPr>
                <w:rFonts w:ascii="Times New Roman" w:hAnsi="Times New Roman" w:cs="Times New Roman"/>
                <w:color w:val="000000"/>
                <w:sz w:val="14"/>
                <w:szCs w:val="14"/>
                <w:lang w:eastAsia="sk-SK"/>
              </w:rPr>
              <w:t>Úroky z účtov finančného hospodárenia so ŠP</w:t>
            </w:r>
          </w:p>
        </w:tc>
        <w:tc>
          <w:tcPr>
            <w:tcW w:w="551"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2 831</w:t>
            </w:r>
          </w:p>
        </w:tc>
        <w:tc>
          <w:tcPr>
            <w:tcW w:w="551" w:type="pct"/>
            <w:shd w:val="clear" w:color="auto" w:fill="FFFFFF"/>
            <w:vAlign w:val="center"/>
          </w:tcPr>
          <w:p w:rsidR="00164406" w:rsidRPr="00B359B0" w:rsidRDefault="00164406" w:rsidP="00CE7047">
            <w:pPr>
              <w:jc w:val="right"/>
              <w:rPr>
                <w:rFonts w:ascii="Times New Roman" w:hAnsi="Times New Roman" w:cs="Times New Roman"/>
                <w:sz w:val="14"/>
                <w:szCs w:val="14"/>
              </w:rPr>
            </w:pPr>
            <w:r w:rsidRPr="00B359B0">
              <w:rPr>
                <w:rFonts w:ascii="Times New Roman" w:hAnsi="Times New Roman" w:cs="Times New Roman"/>
                <w:sz w:val="14"/>
                <w:szCs w:val="14"/>
              </w:rPr>
              <w:t>3 060</w:t>
            </w:r>
          </w:p>
        </w:tc>
        <w:tc>
          <w:tcPr>
            <w:tcW w:w="551"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2 272</w:t>
            </w:r>
          </w:p>
        </w:tc>
        <w:tc>
          <w:tcPr>
            <w:tcW w:w="551"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2 764</w:t>
            </w:r>
          </w:p>
        </w:tc>
        <w:tc>
          <w:tcPr>
            <w:tcW w:w="551"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2 520</w:t>
            </w:r>
          </w:p>
        </w:tc>
        <w:tc>
          <w:tcPr>
            <w:tcW w:w="551"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2 585</w:t>
            </w:r>
          </w:p>
        </w:tc>
        <w:tc>
          <w:tcPr>
            <w:tcW w:w="547"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2 634</w:t>
            </w:r>
          </w:p>
        </w:tc>
      </w:tr>
      <w:tr w:rsidR="00164406" w:rsidTr="00CE7047">
        <w:trPr>
          <w:trHeight w:val="284"/>
        </w:trPr>
        <w:tc>
          <w:tcPr>
            <w:tcW w:w="1147" w:type="pct"/>
            <w:shd w:val="clear" w:color="auto" w:fill="FFFFFF"/>
            <w:vAlign w:val="center"/>
            <w:hideMark/>
          </w:tcPr>
          <w:p w:rsidR="00164406" w:rsidRDefault="00164406" w:rsidP="00CE7047">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 návratných fin. výpomocí a štátnych záruk</w:t>
            </w:r>
          </w:p>
        </w:tc>
        <w:tc>
          <w:tcPr>
            <w:tcW w:w="551"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12 091</w:t>
            </w:r>
          </w:p>
        </w:tc>
        <w:tc>
          <w:tcPr>
            <w:tcW w:w="551" w:type="pct"/>
            <w:shd w:val="clear" w:color="auto" w:fill="FFFFFF"/>
            <w:vAlign w:val="center"/>
          </w:tcPr>
          <w:p w:rsidR="00164406" w:rsidRPr="00B359B0" w:rsidRDefault="00164406" w:rsidP="00CE7047">
            <w:pPr>
              <w:jc w:val="right"/>
              <w:rPr>
                <w:rFonts w:ascii="Times New Roman" w:hAnsi="Times New Roman" w:cs="Times New Roman"/>
                <w:sz w:val="14"/>
                <w:szCs w:val="14"/>
              </w:rPr>
            </w:pPr>
            <w:r w:rsidRPr="00B359B0">
              <w:rPr>
                <w:rFonts w:ascii="Times New Roman" w:hAnsi="Times New Roman" w:cs="Times New Roman"/>
                <w:sz w:val="14"/>
                <w:szCs w:val="14"/>
              </w:rPr>
              <w:t>5 991</w:t>
            </w:r>
          </w:p>
        </w:tc>
        <w:tc>
          <w:tcPr>
            <w:tcW w:w="551"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6 003</w:t>
            </w:r>
          </w:p>
        </w:tc>
        <w:tc>
          <w:tcPr>
            <w:tcW w:w="551"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5 273</w:t>
            </w:r>
          </w:p>
        </w:tc>
        <w:tc>
          <w:tcPr>
            <w:tcW w:w="551"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4 600</w:t>
            </w:r>
          </w:p>
        </w:tc>
        <w:tc>
          <w:tcPr>
            <w:tcW w:w="551"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4 600</w:t>
            </w:r>
          </w:p>
        </w:tc>
        <w:tc>
          <w:tcPr>
            <w:tcW w:w="547"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4 600</w:t>
            </w:r>
          </w:p>
        </w:tc>
      </w:tr>
      <w:tr w:rsidR="00164406" w:rsidTr="00CE7047">
        <w:trPr>
          <w:trHeight w:val="284"/>
        </w:trPr>
        <w:tc>
          <w:tcPr>
            <w:tcW w:w="1147" w:type="pct"/>
            <w:shd w:val="clear" w:color="auto" w:fill="FFFFFF"/>
            <w:vAlign w:val="center"/>
            <w:hideMark/>
          </w:tcPr>
          <w:p w:rsidR="00164406" w:rsidRDefault="00164406" w:rsidP="00CE7047">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zo zahraničných vkladov</w:t>
            </w:r>
          </w:p>
        </w:tc>
        <w:tc>
          <w:tcPr>
            <w:tcW w:w="551"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2</w:t>
            </w:r>
          </w:p>
        </w:tc>
        <w:tc>
          <w:tcPr>
            <w:tcW w:w="551"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551"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5</w:t>
            </w:r>
          </w:p>
        </w:tc>
        <w:tc>
          <w:tcPr>
            <w:tcW w:w="551"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12</w:t>
            </w:r>
          </w:p>
        </w:tc>
        <w:tc>
          <w:tcPr>
            <w:tcW w:w="551"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5</w:t>
            </w:r>
          </w:p>
        </w:tc>
        <w:tc>
          <w:tcPr>
            <w:tcW w:w="551"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5</w:t>
            </w:r>
          </w:p>
        </w:tc>
        <w:tc>
          <w:tcPr>
            <w:tcW w:w="547"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5</w:t>
            </w:r>
          </w:p>
        </w:tc>
      </w:tr>
    </w:tbl>
    <w:p w:rsidR="00AC4C69" w:rsidRDefault="00AC4C69" w:rsidP="00164406">
      <w:pPr>
        <w:ind w:firstLine="708"/>
        <w:jc w:val="both"/>
        <w:rPr>
          <w:rFonts w:ascii="Times New Roman" w:hAnsi="Times New Roman"/>
          <w:szCs w:val="22"/>
        </w:rPr>
      </w:pPr>
    </w:p>
    <w:p w:rsidR="00164406" w:rsidRDefault="00164406" w:rsidP="00164406">
      <w:pPr>
        <w:ind w:firstLine="708"/>
        <w:jc w:val="both"/>
        <w:rPr>
          <w:rFonts w:ascii="Times New Roman" w:hAnsi="Times New Roman"/>
          <w:szCs w:val="22"/>
        </w:rPr>
      </w:pPr>
      <w:r w:rsidRPr="008D141E">
        <w:rPr>
          <w:rFonts w:ascii="Times New Roman" w:hAnsi="Times New Roman"/>
          <w:szCs w:val="22"/>
        </w:rPr>
        <w:t xml:space="preserve">Úroky z účtov finančného hospodárenia </w:t>
      </w:r>
      <w:r>
        <w:rPr>
          <w:rFonts w:ascii="Times New Roman" w:hAnsi="Times New Roman"/>
          <w:szCs w:val="22"/>
        </w:rPr>
        <w:t>s</w:t>
      </w:r>
      <w:r w:rsidRPr="008D141E">
        <w:rPr>
          <w:rFonts w:ascii="Times New Roman" w:hAnsi="Times New Roman"/>
          <w:szCs w:val="22"/>
        </w:rPr>
        <w:t>o Š</w:t>
      </w:r>
      <w:r>
        <w:rPr>
          <w:rFonts w:ascii="Times New Roman" w:hAnsi="Times New Roman"/>
          <w:szCs w:val="22"/>
        </w:rPr>
        <w:t>tátnou pokladnicou</w:t>
      </w:r>
      <w:r w:rsidRPr="008D141E">
        <w:rPr>
          <w:rFonts w:ascii="Times New Roman" w:hAnsi="Times New Roman"/>
          <w:szCs w:val="22"/>
        </w:rPr>
        <w:t xml:space="preserve"> predstavujú úroky z kreditných zostatkov peňažných prostriedkov vedených na účtoch</w:t>
      </w:r>
      <w:r>
        <w:rPr>
          <w:rFonts w:ascii="Times New Roman" w:hAnsi="Times New Roman"/>
          <w:szCs w:val="22"/>
        </w:rPr>
        <w:t xml:space="preserve"> </w:t>
      </w:r>
      <w:r w:rsidRPr="008D141E">
        <w:rPr>
          <w:rFonts w:ascii="Times New Roman" w:hAnsi="Times New Roman"/>
          <w:szCs w:val="22"/>
        </w:rPr>
        <w:t>Š</w:t>
      </w:r>
      <w:r>
        <w:rPr>
          <w:rFonts w:ascii="Times New Roman" w:hAnsi="Times New Roman"/>
          <w:szCs w:val="22"/>
        </w:rPr>
        <w:t>tátnej pokladnice</w:t>
      </w:r>
      <w:r w:rsidRPr="008D141E">
        <w:rPr>
          <w:rFonts w:ascii="Times New Roman" w:hAnsi="Times New Roman"/>
          <w:szCs w:val="22"/>
        </w:rPr>
        <w:t xml:space="preserve"> v NBS, banke alebo pobočke zahraničnej banky, vrátane úrokov z finančných operácií vykonaných </w:t>
      </w:r>
      <w:r>
        <w:rPr>
          <w:rFonts w:ascii="Times New Roman" w:hAnsi="Times New Roman"/>
          <w:szCs w:val="22"/>
        </w:rPr>
        <w:t>Štátnou pokladnicou</w:t>
      </w:r>
      <w:r w:rsidRPr="008D141E">
        <w:rPr>
          <w:rFonts w:ascii="Times New Roman" w:hAnsi="Times New Roman"/>
          <w:szCs w:val="22"/>
        </w:rPr>
        <w:t xml:space="preserve"> a</w:t>
      </w:r>
      <w:r>
        <w:rPr>
          <w:rFonts w:ascii="Times New Roman" w:hAnsi="Times New Roman"/>
          <w:szCs w:val="22"/>
        </w:rPr>
        <w:t> </w:t>
      </w:r>
      <w:r w:rsidRPr="007C2BA1">
        <w:rPr>
          <w:rFonts w:ascii="Times New Roman" w:hAnsi="Times New Roman"/>
          <w:szCs w:val="22"/>
        </w:rPr>
        <w:t>klientom Štátny dlh znížené</w:t>
      </w:r>
      <w:r w:rsidRPr="008D141E">
        <w:rPr>
          <w:rFonts w:ascii="Times New Roman" w:hAnsi="Times New Roman"/>
          <w:szCs w:val="22"/>
        </w:rPr>
        <w:t xml:space="preserve"> o úroky platené Š</w:t>
      </w:r>
      <w:r>
        <w:rPr>
          <w:rFonts w:ascii="Times New Roman" w:hAnsi="Times New Roman"/>
          <w:szCs w:val="22"/>
        </w:rPr>
        <w:t>tátnou pokladnicou</w:t>
      </w:r>
      <w:r w:rsidRPr="008D141E">
        <w:rPr>
          <w:rFonts w:ascii="Times New Roman" w:hAnsi="Times New Roman"/>
          <w:szCs w:val="22"/>
        </w:rPr>
        <w:t xml:space="preserve"> </w:t>
      </w:r>
      <w:r w:rsidRPr="008D141E">
        <w:rPr>
          <w:rFonts w:ascii="Times New Roman" w:hAnsi="Times New Roman"/>
          <w:szCs w:val="22"/>
        </w:rPr>
        <w:lastRenderedPageBreak/>
        <w:t xml:space="preserve">a príjmy z poplatkov za služby poskytované </w:t>
      </w:r>
      <w:r>
        <w:rPr>
          <w:rFonts w:ascii="Times New Roman" w:hAnsi="Times New Roman"/>
          <w:szCs w:val="22"/>
        </w:rPr>
        <w:t>Štátnou pokladnicou</w:t>
      </w:r>
      <w:r w:rsidRPr="008D141E">
        <w:rPr>
          <w:rFonts w:ascii="Times New Roman" w:hAnsi="Times New Roman"/>
          <w:szCs w:val="22"/>
        </w:rPr>
        <w:t xml:space="preserve"> znížené o náklady súvisiace s ich poskytnutím. </w:t>
      </w:r>
    </w:p>
    <w:p w:rsidR="00164406" w:rsidRPr="008D141E" w:rsidRDefault="00164406" w:rsidP="00164406">
      <w:pPr>
        <w:ind w:firstLine="708"/>
        <w:jc w:val="both"/>
        <w:rPr>
          <w:rFonts w:ascii="Times New Roman" w:hAnsi="Times New Roman"/>
          <w:szCs w:val="22"/>
        </w:rPr>
      </w:pPr>
    </w:p>
    <w:p w:rsidR="00164406" w:rsidRDefault="00164406" w:rsidP="00164406">
      <w:pPr>
        <w:ind w:firstLine="708"/>
        <w:jc w:val="both"/>
        <w:rPr>
          <w:rFonts w:ascii="Times New Roman" w:hAnsi="Times New Roman"/>
          <w:szCs w:val="22"/>
        </w:rPr>
      </w:pPr>
      <w:r w:rsidRPr="008D141E">
        <w:rPr>
          <w:rFonts w:ascii="Times New Roman" w:hAnsi="Times New Roman"/>
          <w:szCs w:val="22"/>
        </w:rPr>
        <w:t>Rozpočtovanie týchto príjmov vychádza z ú</w:t>
      </w:r>
      <w:r>
        <w:rPr>
          <w:rFonts w:ascii="Times New Roman" w:hAnsi="Times New Roman"/>
          <w:szCs w:val="22"/>
        </w:rPr>
        <w:t>rokových sadzieb ECB KEY RATE a </w:t>
      </w:r>
      <w:r w:rsidRPr="008D141E">
        <w:rPr>
          <w:rFonts w:ascii="Times New Roman" w:hAnsi="Times New Roman"/>
          <w:szCs w:val="22"/>
        </w:rPr>
        <w:t xml:space="preserve">EONIA a vývoja priemerných zostatkov na účtoch klientov </w:t>
      </w:r>
      <w:r w:rsidR="00AC4C69">
        <w:rPr>
          <w:rFonts w:ascii="Times New Roman" w:hAnsi="Times New Roman"/>
          <w:szCs w:val="22"/>
        </w:rPr>
        <w:t>Štátnej pokladnice</w:t>
      </w:r>
      <w:r w:rsidRPr="008D141E">
        <w:rPr>
          <w:rFonts w:ascii="Times New Roman" w:hAnsi="Times New Roman"/>
          <w:szCs w:val="22"/>
        </w:rPr>
        <w:t xml:space="preserve">, najmä na účtoch </w:t>
      </w:r>
      <w:r>
        <w:rPr>
          <w:rFonts w:ascii="Times New Roman" w:hAnsi="Times New Roman"/>
          <w:szCs w:val="22"/>
        </w:rPr>
        <w:t>š</w:t>
      </w:r>
      <w:r w:rsidRPr="008D141E">
        <w:rPr>
          <w:rFonts w:ascii="Times New Roman" w:hAnsi="Times New Roman"/>
          <w:szCs w:val="22"/>
        </w:rPr>
        <w:t>tátnych finančných aktív a na účtoch prostriedkov E</w:t>
      </w:r>
      <w:r>
        <w:rPr>
          <w:rFonts w:ascii="Times New Roman" w:hAnsi="Times New Roman"/>
          <w:szCs w:val="22"/>
        </w:rPr>
        <w:t>urópskeho spoločenstva</w:t>
      </w:r>
      <w:r w:rsidRPr="008D141E">
        <w:rPr>
          <w:rFonts w:ascii="Times New Roman" w:hAnsi="Times New Roman"/>
          <w:szCs w:val="22"/>
        </w:rPr>
        <w:t>.</w:t>
      </w:r>
    </w:p>
    <w:p w:rsidR="00164406" w:rsidRDefault="00164406" w:rsidP="00164406">
      <w:pPr>
        <w:ind w:firstLine="708"/>
        <w:jc w:val="both"/>
        <w:rPr>
          <w:rFonts w:ascii="Times New Roman" w:hAnsi="Times New Roman"/>
          <w:szCs w:val="22"/>
        </w:rPr>
      </w:pPr>
    </w:p>
    <w:p w:rsidR="00164406" w:rsidRPr="00C06A87" w:rsidRDefault="00164406" w:rsidP="00164406">
      <w:pPr>
        <w:ind w:firstLine="708"/>
        <w:jc w:val="both"/>
        <w:rPr>
          <w:rFonts w:ascii="Times New Roman" w:hAnsi="Times New Roman"/>
          <w:szCs w:val="22"/>
        </w:rPr>
      </w:pPr>
      <w:r>
        <w:rPr>
          <w:rFonts w:ascii="Times New Roman" w:hAnsi="Times New Roman"/>
          <w:szCs w:val="22"/>
        </w:rPr>
        <w:t xml:space="preserve">Úroky z návratných finančných výpomocí a štátnych záruk sú za obec Ľubotice a Agentúru pre núdzové zásoby ropy a ropných výrobkov </w:t>
      </w:r>
      <w:r w:rsidRPr="00C06A87">
        <w:rPr>
          <w:rFonts w:ascii="Times New Roman" w:hAnsi="Times New Roman"/>
          <w:szCs w:val="22"/>
        </w:rPr>
        <w:t xml:space="preserve">v zmysle platných splátkových kalendárov.  </w:t>
      </w:r>
    </w:p>
    <w:p w:rsidR="00164406" w:rsidRDefault="00164406" w:rsidP="00164406">
      <w:pPr>
        <w:tabs>
          <w:tab w:val="left" w:pos="1620"/>
        </w:tabs>
        <w:ind w:firstLine="708"/>
        <w:jc w:val="both"/>
        <w:rPr>
          <w:rFonts w:ascii="Times New Roman" w:hAnsi="Times New Roman"/>
          <w:szCs w:val="22"/>
        </w:rPr>
      </w:pPr>
    </w:p>
    <w:p w:rsidR="00164406" w:rsidRDefault="00164406" w:rsidP="00164406">
      <w:pPr>
        <w:tabs>
          <w:tab w:val="left" w:pos="1620"/>
        </w:tabs>
        <w:ind w:firstLine="708"/>
        <w:jc w:val="both"/>
        <w:rPr>
          <w:rFonts w:ascii="Times New Roman" w:hAnsi="Times New Roman"/>
          <w:szCs w:val="22"/>
        </w:rPr>
      </w:pPr>
      <w:r w:rsidRPr="008D141E">
        <w:rPr>
          <w:rFonts w:ascii="Times New Roman" w:hAnsi="Times New Roman"/>
          <w:szCs w:val="22"/>
        </w:rPr>
        <w:t xml:space="preserve">Úroky zo zahraničných úverov, pôžičiek, návratných finančných výpomocí a vkladov tvoria </w:t>
      </w:r>
      <w:r>
        <w:rPr>
          <w:rFonts w:ascii="Times New Roman" w:hAnsi="Times New Roman"/>
          <w:szCs w:val="22"/>
        </w:rPr>
        <w:t xml:space="preserve">úroky </w:t>
      </w:r>
      <w:r w:rsidRPr="008D141E">
        <w:rPr>
          <w:rFonts w:ascii="Times New Roman" w:hAnsi="Times New Roman"/>
          <w:szCs w:val="22"/>
        </w:rPr>
        <w:t>kapitol Ministerstva zahraničných vecí a európskych záležitostí SR a Ministerstva obrany SR</w:t>
      </w:r>
      <w:r>
        <w:rPr>
          <w:rFonts w:ascii="Times New Roman" w:hAnsi="Times New Roman"/>
          <w:szCs w:val="22"/>
        </w:rPr>
        <w:t>.</w:t>
      </w:r>
      <w:r w:rsidRPr="008D141E">
        <w:rPr>
          <w:rFonts w:ascii="Times New Roman" w:hAnsi="Times New Roman"/>
          <w:szCs w:val="22"/>
        </w:rPr>
        <w:t xml:space="preserve"> </w:t>
      </w:r>
      <w:r>
        <w:rPr>
          <w:rFonts w:ascii="Times New Roman" w:hAnsi="Times New Roman"/>
          <w:szCs w:val="22"/>
        </w:rPr>
        <w:t>I</w:t>
      </w:r>
      <w:r w:rsidRPr="008D141E">
        <w:rPr>
          <w:rFonts w:ascii="Times New Roman" w:hAnsi="Times New Roman"/>
          <w:szCs w:val="22"/>
        </w:rPr>
        <w:t xml:space="preserve">de o kreditné úroky účtov zastupiteľských úradov Slovenskej republiky v zahraničí. </w:t>
      </w:r>
    </w:p>
    <w:p w:rsidR="00164406" w:rsidRPr="008D141E" w:rsidRDefault="00164406" w:rsidP="00164406">
      <w:pPr>
        <w:tabs>
          <w:tab w:val="left" w:pos="1620"/>
        </w:tabs>
        <w:ind w:firstLine="708"/>
        <w:jc w:val="both"/>
        <w:rPr>
          <w:rFonts w:ascii="Times New Roman" w:hAnsi="Times New Roman"/>
          <w:szCs w:val="22"/>
        </w:rPr>
      </w:pPr>
    </w:p>
    <w:p w:rsidR="00164406" w:rsidRDefault="00164406" w:rsidP="00164406">
      <w:pPr>
        <w:tabs>
          <w:tab w:val="left" w:pos="1620"/>
        </w:tabs>
        <w:jc w:val="both"/>
        <w:rPr>
          <w:rFonts w:ascii="Times New Roman" w:hAnsi="Times New Roman"/>
          <w:b/>
          <w:i/>
          <w:szCs w:val="22"/>
        </w:rPr>
      </w:pPr>
      <w:r w:rsidRPr="008D141E">
        <w:rPr>
          <w:rFonts w:ascii="Times New Roman" w:hAnsi="Times New Roman"/>
          <w:b/>
          <w:i/>
          <w:szCs w:val="22"/>
        </w:rPr>
        <w:t xml:space="preserve">            Iné nedaňové príjmy</w:t>
      </w:r>
    </w:p>
    <w:p w:rsidR="00F55FB3" w:rsidRDefault="00F55FB3" w:rsidP="00F55FB3">
      <w:pPr>
        <w:ind w:firstLine="708"/>
        <w:jc w:val="both"/>
        <w:rPr>
          <w:rFonts w:ascii="Times New Roman" w:hAnsi="Times New Roman" w:cs="Times New Roman"/>
          <w:szCs w:val="22"/>
        </w:rPr>
      </w:pPr>
    </w:p>
    <w:p w:rsidR="00F55FB3" w:rsidRPr="002665F3" w:rsidRDefault="00F55FB3" w:rsidP="00F55FB3">
      <w:pPr>
        <w:ind w:firstLine="708"/>
        <w:jc w:val="both"/>
        <w:rPr>
          <w:rFonts w:ascii="Times New Roman" w:hAnsi="Times New Roman" w:cs="Times New Roman"/>
          <w:szCs w:val="22"/>
        </w:rPr>
      </w:pPr>
      <w:r w:rsidRPr="002665F3">
        <w:rPr>
          <w:rFonts w:ascii="Times New Roman" w:hAnsi="Times New Roman" w:cs="Times New Roman"/>
          <w:szCs w:val="22"/>
        </w:rPr>
        <w:t xml:space="preserve">Najväčší objem z iných nedaňových príjmov predstavujú príjmy z hazardných hier, ktoré sú rozpočtované v kapitole Všeobecná pokladničná správa. </w:t>
      </w:r>
    </w:p>
    <w:p w:rsidR="00164406" w:rsidRPr="008D141E" w:rsidRDefault="00164406" w:rsidP="00164406">
      <w:pPr>
        <w:tabs>
          <w:tab w:val="left" w:pos="1620"/>
        </w:tabs>
        <w:jc w:val="both"/>
        <w:rPr>
          <w:rFonts w:ascii="Times New Roman" w:hAnsi="Times New Roman"/>
          <w:b/>
          <w:i/>
          <w:szCs w:val="22"/>
        </w:rPr>
      </w:pPr>
    </w:p>
    <w:p w:rsidR="00164406" w:rsidRDefault="00F55FB3" w:rsidP="00164406">
      <w:pPr>
        <w:ind w:firstLine="708"/>
        <w:jc w:val="both"/>
        <w:rPr>
          <w:rFonts w:ascii="Times New Roman" w:hAnsi="Times New Roman"/>
          <w:szCs w:val="22"/>
        </w:rPr>
      </w:pPr>
      <w:r>
        <w:rPr>
          <w:rFonts w:ascii="Times New Roman" w:hAnsi="Times New Roman"/>
          <w:szCs w:val="22"/>
        </w:rPr>
        <w:t>Ďalej sem patria</w:t>
      </w:r>
      <w:r w:rsidR="00164406" w:rsidRPr="008D141E">
        <w:rPr>
          <w:rFonts w:ascii="Times New Roman" w:hAnsi="Times New Roman"/>
          <w:szCs w:val="22"/>
        </w:rPr>
        <w:t xml:space="preserve"> vrátené neoprávnene použité alebo zadržané finančné prostriedky a ostatné príjmy. Výška týchto príjmov je v priebehu rozpočtového roka ovplyvnená najmä objemom vrátených neoprávnene použitých finančných prostriedkov od neziskových organizácií, rozpočtových organizácií, obcí a ostatných príjmov, medzi ktoré patria najmä odvody a </w:t>
      </w:r>
      <w:proofErr w:type="spellStart"/>
      <w:r w:rsidR="00164406" w:rsidRPr="008D141E">
        <w:rPr>
          <w:rFonts w:ascii="Times New Roman" w:hAnsi="Times New Roman"/>
          <w:szCs w:val="22"/>
        </w:rPr>
        <w:t>vratky</w:t>
      </w:r>
      <w:proofErr w:type="spellEnd"/>
      <w:r w:rsidR="00164406" w:rsidRPr="008D141E">
        <w:rPr>
          <w:rFonts w:ascii="Times New Roman" w:hAnsi="Times New Roman"/>
          <w:szCs w:val="22"/>
        </w:rPr>
        <w:t xml:space="preserve">. </w:t>
      </w:r>
    </w:p>
    <w:p w:rsidR="00164406" w:rsidRDefault="00164406" w:rsidP="00164406">
      <w:pPr>
        <w:jc w:val="both"/>
        <w:rPr>
          <w:rFonts w:ascii="Times New Roman" w:hAnsi="Times New Roman"/>
          <w:szCs w:val="22"/>
        </w:rPr>
      </w:pPr>
    </w:p>
    <w:p w:rsidR="00164406" w:rsidRDefault="00164406" w:rsidP="00164406">
      <w:pPr>
        <w:ind w:firstLine="708"/>
        <w:jc w:val="both"/>
        <w:rPr>
          <w:rFonts w:ascii="Times New Roman" w:hAnsi="Times New Roman"/>
          <w:szCs w:val="22"/>
        </w:rPr>
      </w:pPr>
      <w:r>
        <w:rPr>
          <w:rFonts w:ascii="Times New Roman" w:hAnsi="Times New Roman"/>
          <w:szCs w:val="22"/>
        </w:rPr>
        <w:t>Vývoj týchto príjmov zobrazuje nasledovná tabuľka:</w:t>
      </w:r>
    </w:p>
    <w:p w:rsidR="00164406" w:rsidRDefault="00164406" w:rsidP="00164406">
      <w:pPr>
        <w:jc w:val="both"/>
        <w:rPr>
          <w:rFonts w:ascii="Times New Roman" w:hAnsi="Times New Roman"/>
          <w:szCs w:val="22"/>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3"/>
        <w:gridCol w:w="946"/>
        <w:gridCol w:w="1022"/>
        <w:gridCol w:w="946"/>
        <w:gridCol w:w="942"/>
        <w:gridCol w:w="942"/>
        <w:gridCol w:w="942"/>
        <w:gridCol w:w="935"/>
      </w:tblGrid>
      <w:tr w:rsidR="00164406" w:rsidTr="00CE7047">
        <w:trPr>
          <w:trHeight w:val="345"/>
        </w:trPr>
        <w:tc>
          <w:tcPr>
            <w:tcW w:w="1315" w:type="pct"/>
            <w:shd w:val="clear" w:color="auto" w:fill="A6A6A6"/>
            <w:vAlign w:val="center"/>
            <w:hideMark/>
          </w:tcPr>
          <w:p w:rsidR="00164406" w:rsidRPr="004E4A7C" w:rsidRDefault="00164406" w:rsidP="00CE7047">
            <w:pPr>
              <w:jc w:val="both"/>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v tis. eur</w:t>
            </w:r>
          </w:p>
        </w:tc>
        <w:tc>
          <w:tcPr>
            <w:tcW w:w="522"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64"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22"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R</w:t>
            </w:r>
          </w:p>
        </w:tc>
        <w:tc>
          <w:tcPr>
            <w:tcW w:w="520" w:type="pct"/>
            <w:shd w:val="clear" w:color="auto" w:fill="A6A6A6"/>
            <w:vAlign w:val="center"/>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OS</w:t>
            </w:r>
          </w:p>
        </w:tc>
        <w:tc>
          <w:tcPr>
            <w:tcW w:w="520" w:type="pct"/>
            <w:shd w:val="clear" w:color="000000" w:fill="A6A6A6"/>
            <w:vAlign w:val="center"/>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N</w:t>
            </w:r>
          </w:p>
        </w:tc>
        <w:tc>
          <w:tcPr>
            <w:tcW w:w="520"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16"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r>
      <w:tr w:rsidR="00164406" w:rsidRPr="00CF0745" w:rsidTr="00CE7047">
        <w:trPr>
          <w:trHeight w:val="238"/>
        </w:trPr>
        <w:tc>
          <w:tcPr>
            <w:tcW w:w="1315" w:type="pct"/>
            <w:shd w:val="clear" w:color="auto" w:fill="BFBFBF"/>
            <w:vAlign w:val="center"/>
            <w:hideMark/>
          </w:tcPr>
          <w:p w:rsidR="00164406" w:rsidRPr="00CF0745" w:rsidRDefault="00164406" w:rsidP="00CE7047">
            <w:pPr>
              <w:jc w:val="both"/>
              <w:rPr>
                <w:rFonts w:ascii="Times New Roman" w:hAnsi="Times New Roman" w:cs="Times New Roman"/>
                <w:b/>
                <w:bCs/>
                <w:sz w:val="14"/>
                <w:szCs w:val="14"/>
                <w:lang w:eastAsia="sk-SK"/>
              </w:rPr>
            </w:pPr>
            <w:r w:rsidRPr="00CF0745">
              <w:rPr>
                <w:rFonts w:ascii="Times New Roman" w:hAnsi="Times New Roman" w:cs="Times New Roman"/>
                <w:b/>
                <w:bCs/>
                <w:sz w:val="14"/>
                <w:szCs w:val="14"/>
                <w:lang w:eastAsia="sk-SK"/>
              </w:rPr>
              <w:t>Iné nedaňové príjmy</w:t>
            </w:r>
          </w:p>
        </w:tc>
        <w:tc>
          <w:tcPr>
            <w:tcW w:w="522" w:type="pct"/>
            <w:shd w:val="clear" w:color="auto" w:fill="BFBFBF"/>
            <w:vAlign w:val="center"/>
          </w:tcPr>
          <w:p w:rsidR="00164406" w:rsidRPr="0030562B" w:rsidRDefault="00164406" w:rsidP="00CE7047">
            <w:pPr>
              <w:jc w:val="right"/>
              <w:rPr>
                <w:rFonts w:ascii="Times New Roman" w:hAnsi="Times New Roman" w:cs="Times New Roman"/>
                <w:b/>
                <w:bCs/>
                <w:color w:val="000000"/>
                <w:sz w:val="14"/>
                <w:szCs w:val="14"/>
              </w:rPr>
            </w:pPr>
            <w:r w:rsidRPr="0030562B">
              <w:rPr>
                <w:rFonts w:ascii="Times New Roman" w:hAnsi="Times New Roman" w:cs="Times New Roman"/>
                <w:b/>
                <w:bCs/>
                <w:color w:val="000000"/>
                <w:sz w:val="14"/>
                <w:szCs w:val="14"/>
              </w:rPr>
              <w:t>434 596</w:t>
            </w:r>
          </w:p>
        </w:tc>
        <w:tc>
          <w:tcPr>
            <w:tcW w:w="564" w:type="pct"/>
            <w:shd w:val="clear" w:color="auto" w:fill="BFBFBF"/>
            <w:vAlign w:val="center"/>
          </w:tcPr>
          <w:p w:rsidR="00164406" w:rsidRPr="0030562B" w:rsidRDefault="00164406" w:rsidP="00CE7047">
            <w:pPr>
              <w:jc w:val="right"/>
              <w:rPr>
                <w:rFonts w:ascii="Times New Roman" w:hAnsi="Times New Roman" w:cs="Times New Roman"/>
                <w:b/>
                <w:bCs/>
                <w:color w:val="000000"/>
                <w:sz w:val="14"/>
                <w:szCs w:val="14"/>
              </w:rPr>
            </w:pPr>
            <w:r w:rsidRPr="001B76E0">
              <w:rPr>
                <w:rFonts w:ascii="Times New Roman" w:hAnsi="Times New Roman" w:cs="Times New Roman"/>
                <w:b/>
                <w:bCs/>
                <w:color w:val="000000"/>
                <w:sz w:val="14"/>
                <w:szCs w:val="14"/>
              </w:rPr>
              <w:t>360 467</w:t>
            </w:r>
          </w:p>
        </w:tc>
        <w:tc>
          <w:tcPr>
            <w:tcW w:w="522" w:type="pct"/>
            <w:shd w:val="clear" w:color="auto" w:fill="BFBFBF"/>
            <w:vAlign w:val="center"/>
          </w:tcPr>
          <w:p w:rsidR="00164406" w:rsidRPr="0030562B" w:rsidRDefault="00164406" w:rsidP="00CE704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332 082</w:t>
            </w:r>
          </w:p>
        </w:tc>
        <w:tc>
          <w:tcPr>
            <w:tcW w:w="520" w:type="pct"/>
            <w:shd w:val="clear" w:color="auto" w:fill="BFBFBF"/>
            <w:vAlign w:val="center"/>
          </w:tcPr>
          <w:p w:rsidR="00164406" w:rsidRPr="0030562B" w:rsidRDefault="00164406" w:rsidP="00CE7047">
            <w:pPr>
              <w:jc w:val="right"/>
              <w:rPr>
                <w:rFonts w:ascii="Times New Roman" w:hAnsi="Times New Roman" w:cs="Times New Roman"/>
                <w:b/>
                <w:bCs/>
                <w:color w:val="000000"/>
                <w:sz w:val="14"/>
                <w:szCs w:val="14"/>
              </w:rPr>
            </w:pPr>
            <w:r w:rsidRPr="005B41B4">
              <w:rPr>
                <w:rFonts w:ascii="Times New Roman" w:hAnsi="Times New Roman" w:cs="Times New Roman"/>
                <w:b/>
                <w:bCs/>
                <w:color w:val="000000"/>
                <w:sz w:val="14"/>
                <w:szCs w:val="14"/>
              </w:rPr>
              <w:t>354 843</w:t>
            </w:r>
          </w:p>
        </w:tc>
        <w:tc>
          <w:tcPr>
            <w:tcW w:w="520" w:type="pct"/>
            <w:shd w:val="clear" w:color="auto" w:fill="BFBFBF"/>
            <w:vAlign w:val="center"/>
          </w:tcPr>
          <w:p w:rsidR="00164406" w:rsidRPr="0030562B" w:rsidRDefault="00164406" w:rsidP="00CE7047">
            <w:pPr>
              <w:jc w:val="right"/>
              <w:rPr>
                <w:rFonts w:ascii="Times New Roman" w:hAnsi="Times New Roman" w:cs="Times New Roman"/>
                <w:b/>
                <w:bCs/>
                <w:color w:val="000000"/>
                <w:sz w:val="14"/>
                <w:szCs w:val="14"/>
              </w:rPr>
            </w:pPr>
            <w:r w:rsidRPr="00E207C9">
              <w:rPr>
                <w:rFonts w:ascii="Times New Roman" w:hAnsi="Times New Roman" w:cs="Times New Roman"/>
                <w:b/>
                <w:bCs/>
                <w:color w:val="000000"/>
                <w:sz w:val="14"/>
                <w:szCs w:val="14"/>
              </w:rPr>
              <w:t>382 551</w:t>
            </w:r>
          </w:p>
        </w:tc>
        <w:tc>
          <w:tcPr>
            <w:tcW w:w="520" w:type="pct"/>
            <w:shd w:val="clear" w:color="auto" w:fill="BFBFBF"/>
            <w:vAlign w:val="center"/>
          </w:tcPr>
          <w:p w:rsidR="00164406" w:rsidRPr="0030562B" w:rsidRDefault="00164406" w:rsidP="00CE7047">
            <w:pPr>
              <w:jc w:val="right"/>
              <w:rPr>
                <w:rFonts w:ascii="Times New Roman" w:hAnsi="Times New Roman" w:cs="Times New Roman"/>
                <w:b/>
                <w:bCs/>
                <w:color w:val="000000"/>
                <w:sz w:val="14"/>
                <w:szCs w:val="14"/>
              </w:rPr>
            </w:pPr>
            <w:r w:rsidRPr="00E207C9">
              <w:rPr>
                <w:rFonts w:ascii="Times New Roman" w:hAnsi="Times New Roman" w:cs="Times New Roman"/>
                <w:b/>
                <w:bCs/>
                <w:color w:val="000000"/>
                <w:sz w:val="14"/>
                <w:szCs w:val="14"/>
              </w:rPr>
              <w:t>346 415</w:t>
            </w:r>
          </w:p>
        </w:tc>
        <w:tc>
          <w:tcPr>
            <w:tcW w:w="516" w:type="pct"/>
            <w:shd w:val="clear" w:color="auto" w:fill="BFBFBF"/>
            <w:vAlign w:val="center"/>
          </w:tcPr>
          <w:p w:rsidR="00164406" w:rsidRPr="0030562B" w:rsidRDefault="00164406" w:rsidP="00CE7047">
            <w:pPr>
              <w:jc w:val="right"/>
              <w:rPr>
                <w:rFonts w:ascii="Times New Roman" w:hAnsi="Times New Roman" w:cs="Times New Roman"/>
                <w:b/>
                <w:bCs/>
                <w:color w:val="000000"/>
                <w:sz w:val="14"/>
                <w:szCs w:val="14"/>
              </w:rPr>
            </w:pPr>
            <w:r w:rsidRPr="00E207C9">
              <w:rPr>
                <w:rFonts w:ascii="Times New Roman" w:hAnsi="Times New Roman" w:cs="Times New Roman"/>
                <w:b/>
                <w:bCs/>
                <w:color w:val="000000"/>
                <w:sz w:val="14"/>
                <w:szCs w:val="14"/>
              </w:rPr>
              <w:t>347 766</w:t>
            </w:r>
          </w:p>
        </w:tc>
      </w:tr>
      <w:tr w:rsidR="00164406" w:rsidTr="00CE7047">
        <w:trPr>
          <w:trHeight w:val="248"/>
        </w:trPr>
        <w:tc>
          <w:tcPr>
            <w:tcW w:w="1315" w:type="pct"/>
            <w:shd w:val="clear" w:color="auto" w:fill="FFFFFF"/>
            <w:vAlign w:val="center"/>
            <w:hideMark/>
          </w:tcPr>
          <w:p w:rsidR="00164406" w:rsidRPr="00CF0745" w:rsidRDefault="00164406" w:rsidP="00CE7047">
            <w:pPr>
              <w:rPr>
                <w:rFonts w:ascii="Times New Roman" w:hAnsi="Times New Roman" w:cs="Times New Roman"/>
                <w:sz w:val="14"/>
                <w:szCs w:val="14"/>
                <w:lang w:eastAsia="sk-SK"/>
              </w:rPr>
            </w:pPr>
            <w:r w:rsidRPr="00CF0745">
              <w:rPr>
                <w:rFonts w:ascii="Times New Roman" w:hAnsi="Times New Roman" w:cs="Times New Roman"/>
                <w:sz w:val="14"/>
                <w:szCs w:val="14"/>
                <w:lang w:eastAsia="sk-SK"/>
              </w:rPr>
              <w:t>v tom:  z odvodu z  hazardných hier</w:t>
            </w:r>
          </w:p>
        </w:tc>
        <w:tc>
          <w:tcPr>
            <w:tcW w:w="522"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170 191</w:t>
            </w:r>
          </w:p>
        </w:tc>
        <w:tc>
          <w:tcPr>
            <w:tcW w:w="564" w:type="pct"/>
            <w:vAlign w:val="center"/>
          </w:tcPr>
          <w:p w:rsidR="00164406" w:rsidRPr="0030562B" w:rsidRDefault="00164406" w:rsidP="00CE7047">
            <w:pPr>
              <w:jc w:val="right"/>
              <w:rPr>
                <w:rFonts w:ascii="Times New Roman" w:hAnsi="Times New Roman" w:cs="Times New Roman"/>
                <w:color w:val="000000"/>
                <w:sz w:val="14"/>
                <w:szCs w:val="14"/>
              </w:rPr>
            </w:pPr>
            <w:r w:rsidRPr="00B359B0">
              <w:rPr>
                <w:rFonts w:ascii="Times New Roman" w:hAnsi="Times New Roman" w:cs="Times New Roman"/>
                <w:sz w:val="14"/>
                <w:szCs w:val="14"/>
              </w:rPr>
              <w:t>186 616</w:t>
            </w:r>
          </w:p>
        </w:tc>
        <w:tc>
          <w:tcPr>
            <w:tcW w:w="522"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sidRPr="0030562B">
              <w:rPr>
                <w:rFonts w:ascii="Times New Roman" w:hAnsi="Times New Roman" w:cs="Times New Roman"/>
                <w:color w:val="000000"/>
                <w:sz w:val="14"/>
                <w:szCs w:val="14"/>
              </w:rPr>
              <w:t>187 900</w:t>
            </w:r>
          </w:p>
        </w:tc>
        <w:tc>
          <w:tcPr>
            <w:tcW w:w="520"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190 000</w:t>
            </w:r>
          </w:p>
        </w:tc>
        <w:tc>
          <w:tcPr>
            <w:tcW w:w="520"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265 000</w:t>
            </w:r>
          </w:p>
        </w:tc>
        <w:tc>
          <w:tcPr>
            <w:tcW w:w="520"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227 500</w:t>
            </w:r>
          </w:p>
        </w:tc>
        <w:tc>
          <w:tcPr>
            <w:tcW w:w="516" w:type="pct"/>
            <w:shd w:val="clear" w:color="auto" w:fill="FFFFFF"/>
            <w:vAlign w:val="center"/>
          </w:tcPr>
          <w:p w:rsidR="00164406" w:rsidRPr="0030562B" w:rsidRDefault="00164406" w:rsidP="00CE7047">
            <w:pPr>
              <w:jc w:val="right"/>
              <w:rPr>
                <w:rFonts w:ascii="Times New Roman" w:hAnsi="Times New Roman" w:cs="Times New Roman"/>
                <w:color w:val="000000"/>
                <w:sz w:val="14"/>
                <w:szCs w:val="14"/>
              </w:rPr>
            </w:pPr>
            <w:r>
              <w:rPr>
                <w:rFonts w:ascii="Times New Roman" w:hAnsi="Times New Roman" w:cs="Times New Roman"/>
                <w:color w:val="000000"/>
                <w:sz w:val="14"/>
                <w:szCs w:val="14"/>
              </w:rPr>
              <w:t>227 500</w:t>
            </w:r>
          </w:p>
        </w:tc>
      </w:tr>
    </w:tbl>
    <w:p w:rsidR="00164406" w:rsidRPr="008D141E" w:rsidRDefault="00164406" w:rsidP="00164406">
      <w:pPr>
        <w:ind w:firstLine="708"/>
        <w:jc w:val="both"/>
        <w:rPr>
          <w:rFonts w:ascii="Times New Roman" w:hAnsi="Times New Roman"/>
          <w:szCs w:val="22"/>
        </w:rPr>
      </w:pPr>
    </w:p>
    <w:p w:rsidR="00164406" w:rsidRDefault="00164406" w:rsidP="00AC4C69">
      <w:pPr>
        <w:ind w:firstLine="708"/>
        <w:jc w:val="both"/>
        <w:rPr>
          <w:rFonts w:ascii="Times New Roman" w:hAnsi="Times New Roman"/>
          <w:b/>
          <w:szCs w:val="22"/>
        </w:rPr>
      </w:pPr>
      <w:r w:rsidRPr="002665F3">
        <w:rPr>
          <w:rFonts w:ascii="Times New Roman" w:hAnsi="Times New Roman"/>
          <w:szCs w:val="22"/>
        </w:rPr>
        <w:tab/>
      </w:r>
    </w:p>
    <w:p w:rsidR="00164406" w:rsidRDefault="00164406" w:rsidP="00164406">
      <w:pPr>
        <w:jc w:val="both"/>
        <w:rPr>
          <w:rFonts w:ascii="Times New Roman" w:hAnsi="Times New Roman"/>
          <w:b/>
          <w:szCs w:val="22"/>
        </w:rPr>
      </w:pPr>
      <w:r>
        <w:rPr>
          <w:rFonts w:ascii="Times New Roman" w:hAnsi="Times New Roman"/>
          <w:b/>
          <w:szCs w:val="22"/>
        </w:rPr>
        <w:t xml:space="preserve">Tuzemské transfery </w:t>
      </w:r>
    </w:p>
    <w:p w:rsidR="00164406" w:rsidRDefault="00164406" w:rsidP="00164406">
      <w:pPr>
        <w:jc w:val="both"/>
        <w:rPr>
          <w:rFonts w:ascii="Times New Roman" w:hAnsi="Times New Roman"/>
          <w:b/>
          <w:szCs w:val="22"/>
        </w:rPr>
      </w:pPr>
    </w:p>
    <w:p w:rsidR="00164406" w:rsidRDefault="00164406" w:rsidP="00164406">
      <w:pPr>
        <w:ind w:firstLine="708"/>
        <w:jc w:val="both"/>
        <w:rPr>
          <w:rFonts w:ascii="Times New Roman" w:hAnsi="Times New Roman"/>
          <w:szCs w:val="22"/>
        </w:rPr>
      </w:pPr>
      <w:r>
        <w:rPr>
          <w:rFonts w:ascii="Times New Roman" w:hAnsi="Times New Roman"/>
          <w:szCs w:val="22"/>
        </w:rPr>
        <w:t>V rámci tuzemských transferov zo zdravotných poisťovní sa rozpočtujú príspevky na činnosť operačných stredísk záchrannej zdravotnej služby a na činnosť Národného centra zdravotníckych informácií.</w:t>
      </w:r>
    </w:p>
    <w:p w:rsidR="00164406" w:rsidRDefault="00164406" w:rsidP="00164406">
      <w:pPr>
        <w:ind w:firstLine="708"/>
        <w:jc w:val="both"/>
        <w:rPr>
          <w:rFonts w:ascii="Times New Roman" w:hAnsi="Times New Roman"/>
          <w:szCs w:val="22"/>
        </w:rPr>
      </w:pPr>
    </w:p>
    <w:p w:rsidR="00164406" w:rsidRDefault="00164406" w:rsidP="00164406">
      <w:pPr>
        <w:ind w:firstLine="708"/>
        <w:jc w:val="both"/>
        <w:rPr>
          <w:rFonts w:ascii="Times New Roman" w:hAnsi="Times New Roman" w:cs="Times New Roman"/>
          <w:szCs w:val="22"/>
        </w:rPr>
      </w:pPr>
      <w:r w:rsidRPr="00535149">
        <w:rPr>
          <w:rFonts w:ascii="Times New Roman" w:hAnsi="Times New Roman" w:cs="Times New Roman"/>
          <w:szCs w:val="22"/>
        </w:rPr>
        <w:t xml:space="preserve">Pri transferoch od ostatných subjektov verejnej správy ide o príjmy z Úradu pre dohľad nad zdravotnou starostlivosťou za </w:t>
      </w:r>
      <w:proofErr w:type="spellStart"/>
      <w:r w:rsidRPr="00535149">
        <w:rPr>
          <w:rFonts w:ascii="Times New Roman" w:hAnsi="Times New Roman" w:cs="Times New Roman"/>
          <w:szCs w:val="22"/>
        </w:rPr>
        <w:t>Multilicenčnú</w:t>
      </w:r>
      <w:proofErr w:type="spellEnd"/>
      <w:r w:rsidRPr="00535149">
        <w:rPr>
          <w:rFonts w:ascii="Times New Roman" w:hAnsi="Times New Roman" w:cs="Times New Roman"/>
          <w:szCs w:val="22"/>
        </w:rPr>
        <w:t xml:space="preserve"> zmluvu s Microsoft, ktorú centrálne obstaráva Ministerstvo financií SR</w:t>
      </w:r>
      <w:r w:rsidRPr="00535149">
        <w:rPr>
          <w:rFonts w:ascii="Times New Roman" w:hAnsi="Times New Roman" w:cs="Times New Roman"/>
        </w:rPr>
        <w:t xml:space="preserve"> a</w:t>
      </w:r>
      <w:r w:rsidRPr="00535149">
        <w:rPr>
          <w:rFonts w:ascii="Times New Roman" w:hAnsi="Times New Roman" w:cs="Times New Roman"/>
          <w:szCs w:val="22"/>
        </w:rPr>
        <w:t xml:space="preserve"> transfer zo Slovenského pozemkového fondu pre Národnú agentúru pre sieťové a elektro</w:t>
      </w:r>
      <w:r>
        <w:rPr>
          <w:rFonts w:ascii="Times New Roman" w:hAnsi="Times New Roman" w:cs="Times New Roman"/>
          <w:szCs w:val="22"/>
        </w:rPr>
        <w:t>nické služby (príspevková organizácia</w:t>
      </w:r>
      <w:r w:rsidRPr="00535149">
        <w:rPr>
          <w:rFonts w:ascii="Times New Roman" w:hAnsi="Times New Roman" w:cs="Times New Roman"/>
          <w:szCs w:val="22"/>
        </w:rPr>
        <w:t xml:space="preserve"> Úradu vlády</w:t>
      </w:r>
      <w:r>
        <w:rPr>
          <w:rFonts w:ascii="Times New Roman" w:hAnsi="Times New Roman" w:cs="Times New Roman"/>
          <w:szCs w:val="22"/>
        </w:rPr>
        <w:t xml:space="preserve"> SR</w:t>
      </w:r>
      <w:r w:rsidRPr="00535149">
        <w:rPr>
          <w:rFonts w:ascii="Times New Roman" w:hAnsi="Times New Roman" w:cs="Times New Roman"/>
          <w:szCs w:val="22"/>
        </w:rPr>
        <w:t>) na zabezpečenie pripojenia k informačnej sieti GOVNET.</w:t>
      </w:r>
    </w:p>
    <w:p w:rsidR="00AC4C69" w:rsidRDefault="00164406" w:rsidP="00164406">
      <w:pPr>
        <w:jc w:val="both"/>
        <w:rPr>
          <w:rFonts w:ascii="Times New Roman" w:hAnsi="Times New Roman"/>
          <w:szCs w:val="22"/>
        </w:rPr>
      </w:pPr>
      <w:r>
        <w:rPr>
          <w:rFonts w:ascii="Times New Roman" w:hAnsi="Times New Roman"/>
          <w:szCs w:val="22"/>
        </w:rPr>
        <w:tab/>
      </w:r>
      <w:r w:rsidR="00AC4C69">
        <w:rPr>
          <w:rFonts w:ascii="Times New Roman" w:hAnsi="Times New Roman"/>
          <w:szCs w:val="22"/>
        </w:rPr>
        <w:t xml:space="preserve"> </w:t>
      </w:r>
    </w:p>
    <w:p w:rsidR="00164406" w:rsidRDefault="00164406" w:rsidP="00AC4C69">
      <w:pPr>
        <w:ind w:firstLine="708"/>
        <w:jc w:val="both"/>
        <w:rPr>
          <w:rFonts w:ascii="Times New Roman" w:hAnsi="Times New Roman"/>
          <w:szCs w:val="22"/>
        </w:rPr>
      </w:pPr>
      <w:r>
        <w:rPr>
          <w:rFonts w:ascii="Times New Roman" w:hAnsi="Times New Roman"/>
          <w:szCs w:val="22"/>
        </w:rPr>
        <w:t>V porovnaní s rozpočtom na rok 2017 ide o pokles týchto príjmov o 9,3 mil. eur z dôvodu nerozpočtovania transferu zo Slovenského pozemkového fondu do kapitoly Ministerstva pôdohospodárstva a rozvoja vidieka SR.</w:t>
      </w:r>
    </w:p>
    <w:p w:rsidR="00164406" w:rsidRDefault="00164406" w:rsidP="00164406">
      <w:pPr>
        <w:jc w:val="both"/>
        <w:rPr>
          <w:rFonts w:ascii="Times New Roman" w:hAnsi="Times New Roman"/>
          <w:szCs w:val="22"/>
        </w:rPr>
      </w:pPr>
    </w:p>
    <w:p w:rsidR="00164406" w:rsidRDefault="00164406" w:rsidP="00164406">
      <w:pPr>
        <w:ind w:firstLine="708"/>
        <w:jc w:val="both"/>
        <w:rPr>
          <w:rFonts w:ascii="Times New Roman" w:hAnsi="Times New Roman"/>
          <w:szCs w:val="22"/>
        </w:rPr>
      </w:pPr>
      <w:r>
        <w:rPr>
          <w:rFonts w:ascii="Times New Roman" w:hAnsi="Times New Roman"/>
          <w:szCs w:val="22"/>
        </w:rPr>
        <w:t>Vývoj týchto príjmov zobrazuje nasledovná tabuľka:</w:t>
      </w:r>
    </w:p>
    <w:p w:rsidR="00164406" w:rsidRDefault="00164406" w:rsidP="00164406">
      <w:pPr>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6"/>
        <w:gridCol w:w="978"/>
        <w:gridCol w:w="980"/>
        <w:gridCol w:w="981"/>
        <w:gridCol w:w="981"/>
        <w:gridCol w:w="981"/>
        <w:gridCol w:w="981"/>
        <w:gridCol w:w="1004"/>
      </w:tblGrid>
      <w:tr w:rsidR="00164406" w:rsidTr="00CE7047">
        <w:trPr>
          <w:trHeight w:val="340"/>
        </w:trPr>
        <w:tc>
          <w:tcPr>
            <w:tcW w:w="1201" w:type="pct"/>
            <w:shd w:val="clear" w:color="auto" w:fill="A6A6A6"/>
            <w:vAlign w:val="center"/>
            <w:hideMark/>
          </w:tcPr>
          <w:p w:rsidR="00164406" w:rsidRDefault="00164406" w:rsidP="00CE7047">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40"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S</w:t>
            </w:r>
          </w:p>
        </w:tc>
        <w:tc>
          <w:tcPr>
            <w:tcW w:w="541"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41" w:type="pct"/>
            <w:shd w:val="clear" w:color="auto"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R</w:t>
            </w:r>
          </w:p>
        </w:tc>
        <w:tc>
          <w:tcPr>
            <w:tcW w:w="541" w:type="pct"/>
            <w:shd w:val="clear" w:color="auto" w:fill="A6A6A6"/>
            <w:vAlign w:val="center"/>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OS</w:t>
            </w:r>
          </w:p>
        </w:tc>
        <w:tc>
          <w:tcPr>
            <w:tcW w:w="541" w:type="pct"/>
            <w:shd w:val="clear" w:color="000000" w:fill="A6A6A6"/>
            <w:vAlign w:val="center"/>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N</w:t>
            </w:r>
          </w:p>
        </w:tc>
        <w:tc>
          <w:tcPr>
            <w:tcW w:w="541"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54" w:type="pct"/>
            <w:shd w:val="clear" w:color="000000" w:fill="A6A6A6"/>
            <w:noWrap/>
            <w:vAlign w:val="center"/>
            <w:hideMark/>
          </w:tcPr>
          <w:p w:rsidR="00164406" w:rsidRPr="00502053" w:rsidRDefault="00164406" w:rsidP="00CE7047">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r>
      <w:tr w:rsidR="00164406" w:rsidTr="00CE7047">
        <w:trPr>
          <w:trHeight w:val="340"/>
        </w:trPr>
        <w:tc>
          <w:tcPr>
            <w:tcW w:w="1201" w:type="pct"/>
            <w:shd w:val="clear" w:color="auto" w:fill="BFBFBF"/>
            <w:vAlign w:val="center"/>
            <w:hideMark/>
          </w:tcPr>
          <w:p w:rsidR="00164406" w:rsidRDefault="00164406" w:rsidP="00CE7047">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xml:space="preserve">Tuzemské transfery </w:t>
            </w:r>
          </w:p>
        </w:tc>
        <w:tc>
          <w:tcPr>
            <w:tcW w:w="540" w:type="pct"/>
            <w:shd w:val="clear" w:color="auto" w:fill="BFBFBF"/>
            <w:vAlign w:val="center"/>
          </w:tcPr>
          <w:p w:rsidR="00164406" w:rsidRPr="00744DAC" w:rsidRDefault="00164406" w:rsidP="00CE7047">
            <w:pPr>
              <w:jc w:val="right"/>
              <w:rPr>
                <w:rFonts w:ascii="Times New Roman" w:hAnsi="Times New Roman" w:cs="Times New Roman"/>
                <w:b/>
                <w:bCs/>
                <w:color w:val="000000"/>
                <w:sz w:val="14"/>
                <w:szCs w:val="14"/>
                <w:highlight w:val="yellow"/>
                <w:lang w:eastAsia="sk-SK"/>
              </w:rPr>
            </w:pPr>
            <w:r w:rsidRPr="004F2618">
              <w:rPr>
                <w:rFonts w:ascii="Times New Roman" w:hAnsi="Times New Roman" w:cs="Times New Roman"/>
                <w:b/>
                <w:bCs/>
                <w:color w:val="000000"/>
                <w:sz w:val="14"/>
                <w:szCs w:val="14"/>
                <w:lang w:eastAsia="sk-SK"/>
              </w:rPr>
              <w:t>29 575</w:t>
            </w:r>
          </w:p>
        </w:tc>
        <w:tc>
          <w:tcPr>
            <w:tcW w:w="541" w:type="pct"/>
            <w:shd w:val="clear" w:color="auto" w:fill="BFBFBF"/>
            <w:vAlign w:val="center"/>
          </w:tcPr>
          <w:p w:rsidR="00164406" w:rsidRPr="00744DAC" w:rsidRDefault="00164406" w:rsidP="00CE7047">
            <w:pPr>
              <w:jc w:val="right"/>
              <w:rPr>
                <w:rFonts w:ascii="Times New Roman" w:hAnsi="Times New Roman" w:cs="Times New Roman"/>
                <w:b/>
                <w:bCs/>
                <w:color w:val="000000"/>
                <w:sz w:val="14"/>
                <w:szCs w:val="14"/>
                <w:highlight w:val="yellow"/>
                <w:lang w:eastAsia="sk-SK"/>
              </w:rPr>
            </w:pPr>
            <w:r w:rsidRPr="004F2618">
              <w:rPr>
                <w:rFonts w:ascii="Times New Roman" w:hAnsi="Times New Roman" w:cs="Times New Roman"/>
                <w:b/>
                <w:bCs/>
                <w:color w:val="000000"/>
                <w:sz w:val="14"/>
                <w:szCs w:val="14"/>
                <w:lang w:eastAsia="sk-SK"/>
              </w:rPr>
              <w:t>31 542</w:t>
            </w:r>
          </w:p>
        </w:tc>
        <w:tc>
          <w:tcPr>
            <w:tcW w:w="541" w:type="pct"/>
            <w:shd w:val="clear" w:color="auto" w:fill="BFBFBF"/>
            <w:vAlign w:val="center"/>
          </w:tcPr>
          <w:p w:rsidR="00164406" w:rsidRPr="00744DAC" w:rsidRDefault="00164406" w:rsidP="00CE7047">
            <w:pPr>
              <w:jc w:val="right"/>
              <w:rPr>
                <w:rFonts w:ascii="Times New Roman" w:hAnsi="Times New Roman" w:cs="Times New Roman"/>
                <w:b/>
                <w:bCs/>
                <w:color w:val="000000"/>
                <w:sz w:val="14"/>
                <w:szCs w:val="14"/>
                <w:highlight w:val="yellow"/>
                <w:lang w:eastAsia="sk-SK"/>
              </w:rPr>
            </w:pPr>
            <w:r w:rsidRPr="004F2618">
              <w:rPr>
                <w:rFonts w:ascii="Times New Roman" w:hAnsi="Times New Roman" w:cs="Times New Roman"/>
                <w:b/>
                <w:bCs/>
                <w:color w:val="000000"/>
                <w:sz w:val="14"/>
                <w:szCs w:val="14"/>
                <w:lang w:eastAsia="sk-SK"/>
              </w:rPr>
              <w:t>42 634</w:t>
            </w:r>
          </w:p>
        </w:tc>
        <w:tc>
          <w:tcPr>
            <w:tcW w:w="541" w:type="pct"/>
            <w:shd w:val="clear" w:color="auto" w:fill="BFBFBF"/>
            <w:vAlign w:val="center"/>
          </w:tcPr>
          <w:p w:rsidR="00164406" w:rsidRPr="00744DAC" w:rsidRDefault="00164406" w:rsidP="00CE7047">
            <w:pPr>
              <w:jc w:val="right"/>
              <w:rPr>
                <w:rFonts w:ascii="Times New Roman" w:hAnsi="Times New Roman" w:cs="Times New Roman"/>
                <w:b/>
                <w:bCs/>
                <w:color w:val="000000"/>
                <w:sz w:val="14"/>
                <w:szCs w:val="14"/>
                <w:highlight w:val="yellow"/>
                <w:lang w:eastAsia="sk-SK"/>
              </w:rPr>
            </w:pPr>
            <w:r w:rsidRPr="004F2618">
              <w:rPr>
                <w:rFonts w:ascii="Times New Roman" w:hAnsi="Times New Roman" w:cs="Times New Roman"/>
                <w:b/>
                <w:bCs/>
                <w:color w:val="000000"/>
                <w:sz w:val="14"/>
                <w:szCs w:val="14"/>
                <w:lang w:eastAsia="sk-SK"/>
              </w:rPr>
              <w:t>43 196</w:t>
            </w:r>
          </w:p>
        </w:tc>
        <w:tc>
          <w:tcPr>
            <w:tcW w:w="541" w:type="pct"/>
            <w:shd w:val="clear" w:color="auto" w:fill="BFBFBF"/>
            <w:vAlign w:val="center"/>
          </w:tcPr>
          <w:p w:rsidR="00164406" w:rsidRPr="00744DAC" w:rsidRDefault="00164406" w:rsidP="00CE7047">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34 044</w:t>
            </w:r>
          </w:p>
        </w:tc>
        <w:tc>
          <w:tcPr>
            <w:tcW w:w="541" w:type="pct"/>
            <w:shd w:val="clear" w:color="auto" w:fill="BFBFBF"/>
            <w:vAlign w:val="center"/>
          </w:tcPr>
          <w:p w:rsidR="00164406" w:rsidRPr="00744DAC" w:rsidRDefault="00164406" w:rsidP="00CE7047">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34 973</w:t>
            </w:r>
          </w:p>
        </w:tc>
        <w:tc>
          <w:tcPr>
            <w:tcW w:w="554" w:type="pct"/>
            <w:shd w:val="clear" w:color="auto" w:fill="BFBFBF"/>
            <w:vAlign w:val="center"/>
          </w:tcPr>
          <w:p w:rsidR="00164406" w:rsidRPr="00744DAC" w:rsidRDefault="00164406" w:rsidP="00CE7047">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37 046</w:t>
            </w:r>
          </w:p>
        </w:tc>
      </w:tr>
      <w:tr w:rsidR="00164406" w:rsidTr="00CE7047">
        <w:trPr>
          <w:trHeight w:val="340"/>
        </w:trPr>
        <w:tc>
          <w:tcPr>
            <w:tcW w:w="1201" w:type="pct"/>
            <w:vAlign w:val="center"/>
            <w:hideMark/>
          </w:tcPr>
          <w:p w:rsidR="00164406" w:rsidRDefault="00164406" w:rsidP="00CE7047">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 tom: zo zdravotných poisťovní</w:t>
            </w:r>
          </w:p>
        </w:tc>
        <w:tc>
          <w:tcPr>
            <w:tcW w:w="540" w:type="pct"/>
            <w:vAlign w:val="center"/>
          </w:tcPr>
          <w:p w:rsidR="00164406" w:rsidRPr="004F2618" w:rsidRDefault="00164406" w:rsidP="00CE7047">
            <w:pPr>
              <w:jc w:val="right"/>
              <w:rPr>
                <w:rFonts w:ascii="Times New Roman" w:hAnsi="Times New Roman" w:cs="Times New Roman"/>
                <w:bCs/>
                <w:color w:val="000000"/>
                <w:sz w:val="14"/>
                <w:szCs w:val="14"/>
                <w:lang w:eastAsia="sk-SK"/>
              </w:rPr>
            </w:pPr>
            <w:r>
              <w:rPr>
                <w:rFonts w:ascii="Times New Roman" w:hAnsi="Times New Roman" w:cs="Times New Roman"/>
                <w:bCs/>
                <w:color w:val="000000"/>
                <w:sz w:val="14"/>
                <w:szCs w:val="14"/>
                <w:lang w:eastAsia="sk-SK"/>
              </w:rPr>
              <w:t>28 990</w:t>
            </w:r>
          </w:p>
        </w:tc>
        <w:tc>
          <w:tcPr>
            <w:tcW w:w="541" w:type="pct"/>
            <w:vAlign w:val="center"/>
          </w:tcPr>
          <w:p w:rsidR="00164406" w:rsidRPr="004F2618" w:rsidRDefault="00164406" w:rsidP="00CE7047">
            <w:pPr>
              <w:jc w:val="right"/>
              <w:rPr>
                <w:rFonts w:ascii="Times New Roman" w:hAnsi="Times New Roman" w:cs="Times New Roman"/>
                <w:bCs/>
                <w:color w:val="000000"/>
                <w:sz w:val="14"/>
                <w:szCs w:val="14"/>
                <w:lang w:eastAsia="sk-SK"/>
              </w:rPr>
            </w:pPr>
            <w:r>
              <w:rPr>
                <w:rFonts w:ascii="Times New Roman" w:hAnsi="Times New Roman" w:cs="Times New Roman"/>
                <w:bCs/>
                <w:color w:val="000000"/>
                <w:sz w:val="14"/>
                <w:szCs w:val="14"/>
                <w:lang w:eastAsia="sk-SK"/>
              </w:rPr>
              <w:t>29 965</w:t>
            </w:r>
          </w:p>
        </w:tc>
        <w:tc>
          <w:tcPr>
            <w:tcW w:w="541" w:type="pct"/>
            <w:vAlign w:val="center"/>
          </w:tcPr>
          <w:p w:rsidR="00164406" w:rsidRPr="004F2618" w:rsidRDefault="00164406" w:rsidP="00CE7047">
            <w:pPr>
              <w:jc w:val="right"/>
              <w:rPr>
                <w:rFonts w:ascii="Times New Roman" w:hAnsi="Times New Roman" w:cs="Times New Roman"/>
                <w:bCs/>
                <w:color w:val="000000"/>
                <w:sz w:val="14"/>
                <w:szCs w:val="14"/>
                <w:lang w:eastAsia="sk-SK"/>
              </w:rPr>
            </w:pPr>
            <w:r>
              <w:rPr>
                <w:rFonts w:ascii="Times New Roman" w:hAnsi="Times New Roman" w:cs="Times New Roman"/>
                <w:bCs/>
                <w:color w:val="000000"/>
                <w:sz w:val="14"/>
                <w:szCs w:val="14"/>
                <w:lang w:eastAsia="sk-SK"/>
              </w:rPr>
              <w:t>30 961</w:t>
            </w:r>
          </w:p>
        </w:tc>
        <w:tc>
          <w:tcPr>
            <w:tcW w:w="541" w:type="pct"/>
            <w:vAlign w:val="center"/>
          </w:tcPr>
          <w:p w:rsidR="00164406" w:rsidRPr="004F2618" w:rsidRDefault="00164406" w:rsidP="00CE7047">
            <w:pPr>
              <w:jc w:val="right"/>
              <w:rPr>
                <w:rFonts w:ascii="Times New Roman" w:hAnsi="Times New Roman" w:cs="Times New Roman"/>
                <w:bCs/>
                <w:color w:val="000000"/>
                <w:sz w:val="14"/>
                <w:szCs w:val="14"/>
                <w:lang w:eastAsia="sk-SK"/>
              </w:rPr>
            </w:pPr>
            <w:r>
              <w:rPr>
                <w:rFonts w:ascii="Times New Roman" w:hAnsi="Times New Roman" w:cs="Times New Roman"/>
                <w:bCs/>
                <w:color w:val="000000"/>
                <w:sz w:val="14"/>
                <w:szCs w:val="14"/>
                <w:lang w:eastAsia="sk-SK"/>
              </w:rPr>
              <w:t>31 369</w:t>
            </w:r>
          </w:p>
        </w:tc>
        <w:tc>
          <w:tcPr>
            <w:tcW w:w="541" w:type="pct"/>
            <w:vAlign w:val="center"/>
          </w:tcPr>
          <w:p w:rsidR="00164406" w:rsidRPr="00E77EFC" w:rsidRDefault="00164406" w:rsidP="00CE7047">
            <w:pPr>
              <w:jc w:val="right"/>
              <w:rPr>
                <w:rFonts w:ascii="Times New Roman" w:hAnsi="Times New Roman" w:cs="Times New Roman"/>
                <w:bCs/>
                <w:color w:val="000000"/>
                <w:sz w:val="14"/>
                <w:szCs w:val="14"/>
                <w:lang w:eastAsia="sk-SK"/>
              </w:rPr>
            </w:pPr>
            <w:r>
              <w:rPr>
                <w:rFonts w:ascii="Times New Roman" w:hAnsi="Times New Roman" w:cs="Times New Roman"/>
                <w:bCs/>
                <w:color w:val="000000"/>
                <w:sz w:val="14"/>
                <w:szCs w:val="14"/>
                <w:lang w:eastAsia="sk-SK"/>
              </w:rPr>
              <w:t>33 392</w:t>
            </w:r>
          </w:p>
        </w:tc>
        <w:tc>
          <w:tcPr>
            <w:tcW w:w="541" w:type="pct"/>
            <w:vAlign w:val="center"/>
          </w:tcPr>
          <w:p w:rsidR="00164406" w:rsidRPr="00E77EFC" w:rsidRDefault="00164406" w:rsidP="00CE7047">
            <w:pPr>
              <w:jc w:val="right"/>
              <w:rPr>
                <w:rFonts w:ascii="Times New Roman" w:hAnsi="Times New Roman" w:cs="Times New Roman"/>
                <w:bCs/>
                <w:color w:val="000000"/>
                <w:sz w:val="14"/>
                <w:szCs w:val="14"/>
                <w:lang w:eastAsia="sk-SK"/>
              </w:rPr>
            </w:pPr>
            <w:r>
              <w:rPr>
                <w:rFonts w:ascii="Times New Roman" w:hAnsi="Times New Roman" w:cs="Times New Roman"/>
                <w:bCs/>
                <w:color w:val="000000"/>
                <w:sz w:val="14"/>
                <w:szCs w:val="14"/>
                <w:lang w:eastAsia="sk-SK"/>
              </w:rPr>
              <w:t>34 321</w:t>
            </w:r>
          </w:p>
        </w:tc>
        <w:tc>
          <w:tcPr>
            <w:tcW w:w="554" w:type="pct"/>
            <w:vAlign w:val="center"/>
          </w:tcPr>
          <w:p w:rsidR="00164406" w:rsidRPr="00E77EFC" w:rsidRDefault="00164406" w:rsidP="00CE7047">
            <w:pPr>
              <w:jc w:val="right"/>
              <w:rPr>
                <w:rFonts w:ascii="Times New Roman" w:hAnsi="Times New Roman" w:cs="Times New Roman"/>
                <w:bCs/>
                <w:color w:val="000000"/>
                <w:sz w:val="14"/>
                <w:szCs w:val="14"/>
                <w:lang w:eastAsia="sk-SK"/>
              </w:rPr>
            </w:pPr>
            <w:r>
              <w:rPr>
                <w:rFonts w:ascii="Times New Roman" w:hAnsi="Times New Roman" w:cs="Times New Roman"/>
                <w:bCs/>
                <w:color w:val="000000"/>
                <w:sz w:val="14"/>
                <w:szCs w:val="14"/>
                <w:lang w:eastAsia="sk-SK"/>
              </w:rPr>
              <w:t>36 394</w:t>
            </w:r>
          </w:p>
        </w:tc>
      </w:tr>
      <w:tr w:rsidR="00164406" w:rsidTr="00CE7047">
        <w:trPr>
          <w:trHeight w:val="340"/>
        </w:trPr>
        <w:tc>
          <w:tcPr>
            <w:tcW w:w="1201" w:type="pct"/>
            <w:shd w:val="clear" w:color="auto" w:fill="FFFFFF"/>
            <w:vAlign w:val="center"/>
            <w:hideMark/>
          </w:tcPr>
          <w:p w:rsidR="00164406" w:rsidRDefault="00164406" w:rsidP="00CE7047">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od ostatných subjektov</w:t>
            </w:r>
          </w:p>
          <w:p w:rsidR="00164406" w:rsidRDefault="00164406" w:rsidP="00CE7047">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verejnej správy</w:t>
            </w:r>
          </w:p>
        </w:tc>
        <w:tc>
          <w:tcPr>
            <w:tcW w:w="540" w:type="pct"/>
            <w:shd w:val="clear" w:color="auto" w:fill="FFFFFF"/>
            <w:vAlign w:val="center"/>
          </w:tcPr>
          <w:p w:rsidR="00164406" w:rsidRPr="004F2618" w:rsidRDefault="00164406" w:rsidP="00CE7047">
            <w:pPr>
              <w:jc w:val="right"/>
              <w:rPr>
                <w:rFonts w:ascii="Times New Roman" w:hAnsi="Times New Roman" w:cs="Times New Roman"/>
                <w:bCs/>
                <w:color w:val="000000"/>
                <w:sz w:val="14"/>
                <w:szCs w:val="14"/>
                <w:lang w:eastAsia="sk-SK"/>
              </w:rPr>
            </w:pPr>
            <w:r w:rsidRPr="004F2618">
              <w:rPr>
                <w:rFonts w:ascii="Times New Roman" w:hAnsi="Times New Roman" w:cs="Times New Roman"/>
                <w:bCs/>
                <w:color w:val="000000"/>
                <w:sz w:val="14"/>
                <w:szCs w:val="14"/>
                <w:lang w:eastAsia="sk-SK"/>
              </w:rPr>
              <w:t>585</w:t>
            </w:r>
          </w:p>
        </w:tc>
        <w:tc>
          <w:tcPr>
            <w:tcW w:w="541" w:type="pct"/>
            <w:shd w:val="clear" w:color="auto" w:fill="FFFFFF"/>
            <w:vAlign w:val="center"/>
          </w:tcPr>
          <w:p w:rsidR="00164406" w:rsidRPr="004F2618" w:rsidRDefault="00164406" w:rsidP="00CE7047">
            <w:pPr>
              <w:jc w:val="right"/>
              <w:rPr>
                <w:rFonts w:ascii="Times New Roman" w:hAnsi="Times New Roman" w:cs="Times New Roman"/>
                <w:bCs/>
                <w:color w:val="000000"/>
                <w:sz w:val="14"/>
                <w:szCs w:val="14"/>
                <w:lang w:eastAsia="sk-SK"/>
              </w:rPr>
            </w:pPr>
            <w:r w:rsidRPr="004F2618">
              <w:rPr>
                <w:rFonts w:ascii="Times New Roman" w:hAnsi="Times New Roman" w:cs="Times New Roman"/>
                <w:bCs/>
                <w:color w:val="000000"/>
                <w:sz w:val="14"/>
                <w:szCs w:val="14"/>
                <w:lang w:eastAsia="sk-SK"/>
              </w:rPr>
              <w:t>1 577</w:t>
            </w:r>
          </w:p>
        </w:tc>
        <w:tc>
          <w:tcPr>
            <w:tcW w:w="541" w:type="pct"/>
            <w:shd w:val="clear" w:color="auto" w:fill="FFFFFF"/>
            <w:vAlign w:val="center"/>
          </w:tcPr>
          <w:p w:rsidR="00164406" w:rsidRPr="004F2618" w:rsidRDefault="00164406" w:rsidP="00CE7047">
            <w:pPr>
              <w:jc w:val="right"/>
              <w:rPr>
                <w:rFonts w:ascii="Times New Roman" w:hAnsi="Times New Roman" w:cs="Times New Roman"/>
                <w:bCs/>
                <w:color w:val="000000"/>
                <w:sz w:val="14"/>
                <w:szCs w:val="14"/>
                <w:lang w:eastAsia="sk-SK"/>
              </w:rPr>
            </w:pPr>
            <w:r w:rsidRPr="004F2618">
              <w:rPr>
                <w:rFonts w:ascii="Times New Roman" w:hAnsi="Times New Roman" w:cs="Times New Roman"/>
                <w:bCs/>
                <w:color w:val="000000"/>
                <w:sz w:val="14"/>
                <w:szCs w:val="14"/>
                <w:lang w:eastAsia="sk-SK"/>
              </w:rPr>
              <w:t>11 673</w:t>
            </w:r>
          </w:p>
        </w:tc>
        <w:tc>
          <w:tcPr>
            <w:tcW w:w="541" w:type="pct"/>
            <w:shd w:val="clear" w:color="auto" w:fill="FFFFFF"/>
            <w:vAlign w:val="center"/>
          </w:tcPr>
          <w:p w:rsidR="00164406" w:rsidRPr="004F2618" w:rsidRDefault="00164406" w:rsidP="00CE7047">
            <w:pPr>
              <w:jc w:val="right"/>
              <w:rPr>
                <w:rFonts w:ascii="Times New Roman" w:hAnsi="Times New Roman" w:cs="Times New Roman"/>
                <w:bCs/>
                <w:color w:val="000000"/>
                <w:sz w:val="14"/>
                <w:szCs w:val="14"/>
                <w:lang w:eastAsia="sk-SK"/>
              </w:rPr>
            </w:pPr>
            <w:r w:rsidRPr="004F2618">
              <w:rPr>
                <w:rFonts w:ascii="Times New Roman" w:hAnsi="Times New Roman" w:cs="Times New Roman"/>
                <w:bCs/>
                <w:color w:val="000000"/>
                <w:sz w:val="14"/>
                <w:szCs w:val="14"/>
                <w:lang w:eastAsia="sk-SK"/>
              </w:rPr>
              <w:t>11 827</w:t>
            </w:r>
          </w:p>
        </w:tc>
        <w:tc>
          <w:tcPr>
            <w:tcW w:w="541" w:type="pct"/>
            <w:shd w:val="clear" w:color="auto" w:fill="FFFFFF"/>
            <w:vAlign w:val="center"/>
          </w:tcPr>
          <w:p w:rsidR="00164406" w:rsidRPr="00022A83" w:rsidRDefault="00164406" w:rsidP="00CE7047">
            <w:pPr>
              <w:jc w:val="right"/>
              <w:rPr>
                <w:rFonts w:ascii="Times New Roman" w:hAnsi="Times New Roman" w:cs="Times New Roman"/>
                <w:bCs/>
                <w:color w:val="000000"/>
                <w:sz w:val="14"/>
                <w:szCs w:val="14"/>
                <w:lang w:eastAsia="sk-SK"/>
              </w:rPr>
            </w:pPr>
            <w:r>
              <w:rPr>
                <w:rFonts w:ascii="Times New Roman" w:hAnsi="Times New Roman" w:cs="Times New Roman"/>
                <w:bCs/>
                <w:color w:val="000000"/>
                <w:sz w:val="14"/>
                <w:szCs w:val="14"/>
                <w:lang w:eastAsia="sk-SK"/>
              </w:rPr>
              <w:t>332</w:t>
            </w:r>
          </w:p>
        </w:tc>
        <w:tc>
          <w:tcPr>
            <w:tcW w:w="541" w:type="pct"/>
            <w:shd w:val="clear" w:color="auto" w:fill="FFFFFF"/>
            <w:vAlign w:val="center"/>
          </w:tcPr>
          <w:p w:rsidR="00164406" w:rsidRPr="00022A83" w:rsidRDefault="00164406" w:rsidP="00CE7047">
            <w:pPr>
              <w:jc w:val="right"/>
              <w:rPr>
                <w:rFonts w:ascii="Times New Roman" w:hAnsi="Times New Roman" w:cs="Times New Roman"/>
                <w:bCs/>
                <w:color w:val="000000"/>
                <w:sz w:val="14"/>
                <w:szCs w:val="14"/>
                <w:lang w:eastAsia="sk-SK"/>
              </w:rPr>
            </w:pPr>
            <w:r>
              <w:rPr>
                <w:rFonts w:ascii="Times New Roman" w:hAnsi="Times New Roman" w:cs="Times New Roman"/>
                <w:bCs/>
                <w:color w:val="000000"/>
                <w:sz w:val="14"/>
                <w:szCs w:val="14"/>
                <w:lang w:eastAsia="sk-SK"/>
              </w:rPr>
              <w:t>332</w:t>
            </w:r>
          </w:p>
        </w:tc>
        <w:tc>
          <w:tcPr>
            <w:tcW w:w="554" w:type="pct"/>
            <w:shd w:val="clear" w:color="auto" w:fill="FFFFFF"/>
            <w:vAlign w:val="center"/>
          </w:tcPr>
          <w:p w:rsidR="00164406" w:rsidRPr="00022A83" w:rsidRDefault="00164406" w:rsidP="00CE7047">
            <w:pPr>
              <w:jc w:val="right"/>
              <w:rPr>
                <w:rFonts w:ascii="Times New Roman" w:hAnsi="Times New Roman" w:cs="Times New Roman"/>
                <w:bCs/>
                <w:color w:val="000000"/>
                <w:sz w:val="14"/>
                <w:szCs w:val="14"/>
                <w:lang w:eastAsia="sk-SK"/>
              </w:rPr>
            </w:pPr>
            <w:r>
              <w:rPr>
                <w:rFonts w:ascii="Times New Roman" w:hAnsi="Times New Roman" w:cs="Times New Roman"/>
                <w:bCs/>
                <w:color w:val="000000"/>
                <w:sz w:val="14"/>
                <w:szCs w:val="14"/>
                <w:lang w:eastAsia="sk-SK"/>
              </w:rPr>
              <w:t>332</w:t>
            </w:r>
          </w:p>
        </w:tc>
      </w:tr>
    </w:tbl>
    <w:p w:rsidR="00164406" w:rsidRDefault="00164406" w:rsidP="00164406">
      <w:pPr>
        <w:jc w:val="both"/>
        <w:rPr>
          <w:rFonts w:ascii="Times New Roman" w:hAnsi="Times New Roman"/>
          <w:szCs w:val="22"/>
        </w:rPr>
      </w:pPr>
    </w:p>
    <w:p w:rsidR="00164406" w:rsidRPr="00AC4C69" w:rsidRDefault="00164406" w:rsidP="00AC4C69">
      <w:pPr>
        <w:jc w:val="both"/>
        <w:rPr>
          <w:rFonts w:ascii="Times New Roman" w:hAnsi="Times New Roman"/>
          <w:b/>
          <w:szCs w:val="22"/>
        </w:rPr>
      </w:pPr>
      <w:r w:rsidRPr="00AC4C69">
        <w:rPr>
          <w:rFonts w:ascii="Times New Roman" w:hAnsi="Times New Roman"/>
          <w:b/>
          <w:szCs w:val="22"/>
        </w:rPr>
        <w:t>Príjmy podľa § 17 ods. 4</w:t>
      </w:r>
    </w:p>
    <w:p w:rsidR="00164406" w:rsidRDefault="00164406" w:rsidP="00164406">
      <w:pPr>
        <w:ind w:firstLine="708"/>
        <w:jc w:val="both"/>
        <w:rPr>
          <w:rFonts w:ascii="Times New Roman" w:hAnsi="Times New Roman"/>
          <w:szCs w:val="22"/>
        </w:rPr>
      </w:pPr>
    </w:p>
    <w:p w:rsidR="00164406" w:rsidRDefault="00164406" w:rsidP="00164406">
      <w:pPr>
        <w:jc w:val="both"/>
        <w:rPr>
          <w:rFonts w:ascii="Times New Roman" w:hAnsi="Times New Roman"/>
          <w:szCs w:val="22"/>
        </w:rPr>
      </w:pPr>
      <w:r>
        <w:rPr>
          <w:rFonts w:ascii="Times New Roman" w:hAnsi="Times New Roman"/>
          <w:szCs w:val="22"/>
        </w:rPr>
        <w:tab/>
        <w:t>V súlade s novelou zákona č. 523/2004 Z. z. o rozpočtových pravidlách verejnej správy a o zmene a doplnení niektorých zákonov s účinnosťou od 1.</w:t>
      </w:r>
      <w:r w:rsidR="00AC4C69">
        <w:rPr>
          <w:rFonts w:ascii="Times New Roman" w:hAnsi="Times New Roman"/>
          <w:szCs w:val="22"/>
        </w:rPr>
        <w:t xml:space="preserve"> </w:t>
      </w:r>
      <w:r>
        <w:rPr>
          <w:rFonts w:ascii="Times New Roman" w:hAnsi="Times New Roman"/>
          <w:szCs w:val="22"/>
        </w:rPr>
        <w:t>1.</w:t>
      </w:r>
      <w:r w:rsidR="00AC4C69">
        <w:rPr>
          <w:rFonts w:ascii="Times New Roman" w:hAnsi="Times New Roman"/>
          <w:szCs w:val="22"/>
        </w:rPr>
        <w:t xml:space="preserve"> </w:t>
      </w:r>
      <w:r>
        <w:rPr>
          <w:rFonts w:ascii="Times New Roman" w:hAnsi="Times New Roman"/>
          <w:szCs w:val="22"/>
        </w:rPr>
        <w:t>2018 r</w:t>
      </w:r>
      <w:r w:rsidRPr="00782B88">
        <w:rPr>
          <w:rFonts w:ascii="Times New Roman" w:hAnsi="Times New Roman"/>
          <w:szCs w:val="22"/>
        </w:rPr>
        <w:t>ozpočtová organizácia rozpočtuje aj príjmy</w:t>
      </w:r>
      <w:r>
        <w:rPr>
          <w:rFonts w:ascii="Times New Roman" w:hAnsi="Times New Roman"/>
          <w:szCs w:val="22"/>
        </w:rPr>
        <w:t xml:space="preserve"> podľa § 17 ods. 4. Uvedené príjmy v sume </w:t>
      </w:r>
      <w:r w:rsidRPr="00D17568">
        <w:rPr>
          <w:rFonts w:ascii="Times New Roman" w:hAnsi="Times New Roman"/>
          <w:szCs w:val="22"/>
        </w:rPr>
        <w:t>2</w:t>
      </w:r>
      <w:r>
        <w:rPr>
          <w:rFonts w:ascii="Times New Roman" w:hAnsi="Times New Roman"/>
          <w:szCs w:val="22"/>
        </w:rPr>
        <w:t> </w:t>
      </w:r>
      <w:r w:rsidRPr="00D17568">
        <w:rPr>
          <w:rFonts w:ascii="Times New Roman" w:hAnsi="Times New Roman"/>
          <w:szCs w:val="22"/>
        </w:rPr>
        <w:t>274</w:t>
      </w:r>
      <w:r>
        <w:rPr>
          <w:rFonts w:ascii="Times New Roman" w:hAnsi="Times New Roman"/>
          <w:szCs w:val="22"/>
        </w:rPr>
        <w:t xml:space="preserve"> tis. eur v roku 2018, v sume 2 269 tis. eur v roku 2019 a v sume 2 270 tis. eur v roku 2020 sú súčasťou nedaňových príjmov a tuzemských transferov.</w:t>
      </w:r>
    </w:p>
    <w:p w:rsidR="004F01E4" w:rsidRDefault="004F01E4" w:rsidP="00164406">
      <w:pPr>
        <w:jc w:val="both"/>
        <w:rPr>
          <w:rFonts w:ascii="Times New Roman" w:hAnsi="Times New Roman"/>
          <w:szCs w:val="22"/>
        </w:rPr>
      </w:pPr>
    </w:p>
    <w:p w:rsidR="004B7D85" w:rsidRDefault="004B7D85" w:rsidP="004B7D85"/>
    <w:p w:rsidR="00DD719C" w:rsidRPr="001434F9" w:rsidRDefault="004E44EF" w:rsidP="000A045E">
      <w:pPr>
        <w:pStyle w:val="Nadpis2"/>
        <w:spacing w:before="0" w:after="0"/>
        <w:rPr>
          <w:rFonts w:ascii="Times New Roman" w:hAnsi="Times New Roman"/>
          <w:i w:val="0"/>
          <w:sz w:val="24"/>
          <w:szCs w:val="22"/>
        </w:rPr>
      </w:pPr>
      <w:bookmarkStart w:id="41" w:name="_Toc494463968"/>
      <w:r w:rsidRPr="001434F9">
        <w:rPr>
          <w:rFonts w:ascii="Times New Roman" w:hAnsi="Times New Roman"/>
          <w:i w:val="0"/>
          <w:sz w:val="24"/>
          <w:szCs w:val="22"/>
        </w:rPr>
        <w:t>3.5. Daňové výdavky</w:t>
      </w:r>
      <w:bookmarkEnd w:id="41"/>
      <w:r w:rsidRPr="001434F9">
        <w:rPr>
          <w:rFonts w:ascii="Times New Roman" w:hAnsi="Times New Roman"/>
          <w:i w:val="0"/>
          <w:sz w:val="24"/>
          <w:szCs w:val="22"/>
        </w:rPr>
        <w:t xml:space="preserve"> </w:t>
      </w:r>
    </w:p>
    <w:p w:rsidR="001434F9" w:rsidRDefault="001434F9" w:rsidP="001434F9">
      <w:pPr>
        <w:autoSpaceDE w:val="0"/>
        <w:autoSpaceDN w:val="0"/>
        <w:adjustRightInd w:val="0"/>
        <w:ind w:firstLine="708"/>
        <w:jc w:val="both"/>
        <w:rPr>
          <w:rFonts w:ascii="Times New Roman" w:hAnsi="Times New Roman" w:cs="Times New Roman"/>
          <w:color w:val="000000"/>
        </w:rPr>
      </w:pPr>
      <w:bookmarkStart w:id="42" w:name="_Toc116476495"/>
      <w:bookmarkStart w:id="43" w:name="_Toc141529498"/>
      <w:bookmarkStart w:id="44" w:name="_Toc219860187"/>
      <w:bookmarkStart w:id="45" w:name="_Toc282686543"/>
      <w:bookmarkEnd w:id="2"/>
    </w:p>
    <w:p w:rsidR="004B7D85" w:rsidRPr="004B7D85" w:rsidRDefault="004B7D85" w:rsidP="004B7D85">
      <w:pPr>
        <w:autoSpaceDE w:val="0"/>
        <w:autoSpaceDN w:val="0"/>
        <w:adjustRightInd w:val="0"/>
        <w:ind w:firstLine="708"/>
        <w:jc w:val="both"/>
        <w:rPr>
          <w:rFonts w:ascii="Times New Roman" w:hAnsi="Times New Roman" w:cs="Times New Roman"/>
          <w:color w:val="000000"/>
          <w:lang w:eastAsia="sk-SK"/>
        </w:rPr>
      </w:pPr>
      <w:r w:rsidRPr="004B7D85">
        <w:rPr>
          <w:rFonts w:ascii="Times New Roman" w:hAnsi="Times New Roman" w:cs="Times New Roman"/>
          <w:color w:val="000000"/>
          <w:lang w:eastAsia="sk-SK"/>
        </w:rPr>
        <w:t>Rovnaké ciele verejnej politiky</w:t>
      </w:r>
      <w:r w:rsidR="00082657">
        <w:rPr>
          <w:rFonts w:ascii="Times New Roman" w:hAnsi="Times New Roman" w:cs="Times New Roman"/>
          <w:color w:val="000000"/>
          <w:lang w:eastAsia="sk-SK"/>
        </w:rPr>
        <w:t xml:space="preserve">, </w:t>
      </w:r>
      <w:r w:rsidRPr="004B7D85">
        <w:rPr>
          <w:rFonts w:ascii="Times New Roman" w:hAnsi="Times New Roman" w:cs="Times New Roman"/>
          <w:color w:val="000000"/>
          <w:lang w:eastAsia="sk-SK"/>
        </w:rPr>
        <w:t>z pohľadu rozpočtovej politiky a posudzovania vývoja verejných financií</w:t>
      </w:r>
      <w:r w:rsidR="00082657">
        <w:rPr>
          <w:rFonts w:ascii="Times New Roman" w:hAnsi="Times New Roman" w:cs="Times New Roman"/>
          <w:color w:val="000000"/>
          <w:lang w:eastAsia="sk-SK"/>
        </w:rPr>
        <w:t>, je</w:t>
      </w:r>
      <w:r w:rsidRPr="004B7D85">
        <w:rPr>
          <w:rFonts w:ascii="Times New Roman" w:hAnsi="Times New Roman" w:cs="Times New Roman"/>
          <w:color w:val="000000"/>
          <w:lang w:eastAsia="sk-SK"/>
        </w:rPr>
        <w:t xml:space="preserve"> možné dosiahnuť dvoma spôsobmi. Buď prostredníctvom výdavkovej strany rozpočtu alebo cez selektívne daňové zvýhodnenia, ktoré znižujú potenciálne daňové príjmy. Časť vládnych výdavkov je tak obsiahnutá v daňových zákonoch vo forme rôznych zvýhodnení, oslobodení, či iných preferencií. Táto časť rozpočtu poskytuje v súlade so zverejnenou metodikou MF SR</w:t>
      </w:r>
      <w:r w:rsidRPr="004B7D85">
        <w:rPr>
          <w:rFonts w:ascii="Times New Roman" w:hAnsi="Times New Roman" w:cs="Times New Roman"/>
          <w:color w:val="000000"/>
          <w:vertAlign w:val="superscript"/>
          <w:lang w:eastAsia="sk-SK"/>
        </w:rPr>
        <w:footnoteReference w:id="10"/>
      </w:r>
      <w:r w:rsidRPr="004B7D85">
        <w:rPr>
          <w:rFonts w:ascii="Times New Roman" w:hAnsi="Times New Roman" w:cs="Times New Roman"/>
          <w:color w:val="000000"/>
          <w:lang w:eastAsia="sk-SK"/>
        </w:rPr>
        <w:t xml:space="preserve"> detailnejšie informácie o existujúcich daňových výdavkoch. </w:t>
      </w:r>
    </w:p>
    <w:p w:rsidR="004B7D85" w:rsidRPr="004B7D85" w:rsidRDefault="004B7D85" w:rsidP="004B7D85">
      <w:pPr>
        <w:autoSpaceDE w:val="0"/>
        <w:autoSpaceDN w:val="0"/>
        <w:adjustRightInd w:val="0"/>
        <w:ind w:firstLine="708"/>
        <w:jc w:val="both"/>
        <w:rPr>
          <w:rFonts w:ascii="Times New Roman" w:hAnsi="Times New Roman" w:cs="Times New Roman"/>
          <w:color w:val="000000"/>
          <w:lang w:eastAsia="sk-SK"/>
        </w:rPr>
      </w:pPr>
    </w:p>
    <w:p w:rsidR="004B7D85" w:rsidRPr="004B7D85" w:rsidRDefault="004B7D85" w:rsidP="004B7D85">
      <w:pPr>
        <w:autoSpaceDE w:val="0"/>
        <w:autoSpaceDN w:val="0"/>
        <w:adjustRightInd w:val="0"/>
        <w:ind w:firstLine="708"/>
        <w:jc w:val="both"/>
        <w:rPr>
          <w:rFonts w:ascii="Times New Roman" w:hAnsi="Times New Roman" w:cs="Times New Roman"/>
          <w:color w:val="000000"/>
          <w:lang w:eastAsia="sk-SK"/>
        </w:rPr>
      </w:pPr>
      <w:r w:rsidRPr="004B7D85">
        <w:rPr>
          <w:rFonts w:ascii="Times New Roman" w:hAnsi="Times New Roman" w:cs="Times New Roman"/>
          <w:color w:val="000000"/>
          <w:lang w:eastAsia="sk-SK"/>
        </w:rPr>
        <w:t xml:space="preserve">Povinnosť zverejňovať podrobné informácie o vplyve daňových výdavkov na daňové príjmy vyplýva členským </w:t>
      </w:r>
      <w:r w:rsidRPr="004B7D85">
        <w:rPr>
          <w:rFonts w:ascii="Times New Roman" w:hAnsi="Times New Roman" w:cs="Times New Roman"/>
          <w:lang w:eastAsia="sk-SK"/>
        </w:rPr>
        <w:t xml:space="preserve">štátom z článku 14 ods. 2 Smernice Rady 2011/85/EÚ </w:t>
      </w:r>
      <w:r w:rsidR="00E45253">
        <w:rPr>
          <w:rFonts w:ascii="Times New Roman" w:hAnsi="Times New Roman" w:cs="Times New Roman"/>
          <w:lang w:eastAsia="sk-SK"/>
        </w:rPr>
        <w:br/>
      </w:r>
      <w:r w:rsidRPr="004B7D85">
        <w:rPr>
          <w:rFonts w:ascii="Times New Roman" w:hAnsi="Times New Roman" w:cs="Times New Roman"/>
          <w:color w:val="000000"/>
          <w:lang w:eastAsia="sk-SK"/>
        </w:rPr>
        <w:t>o požiadavkách na rozpočtové rámce členských štátov. Povinné reportovania údajov o daňových výdavkoch v rozpočte verejnej správy zaviedol aj</w:t>
      </w:r>
      <w:r>
        <w:rPr>
          <w:rFonts w:ascii="Times New Roman" w:hAnsi="Times New Roman" w:cs="Times New Roman"/>
          <w:color w:val="000000"/>
          <w:lang w:eastAsia="sk-SK"/>
        </w:rPr>
        <w:t xml:space="preserve"> ústavný zákon č. 493/2011 Z. z. o rozpočtovej zodpovednosti</w:t>
      </w:r>
      <w:r w:rsidRPr="004B7D85">
        <w:rPr>
          <w:rFonts w:ascii="Times New Roman" w:hAnsi="Times New Roman" w:cs="Times New Roman"/>
          <w:color w:val="000000"/>
          <w:lang w:eastAsia="sk-SK"/>
        </w:rPr>
        <w:t xml:space="preserve">. Motiváciou pre zavedenie tejto povinnosti bolo najmä zvýšenie transparentnosti rozpočtu, ktorá by pomohla objektívnejšie posúdiť náklady politík realizovaných vládou SR. Pravidelné zverejňovanie údajov o daňových výdavkoch umožní identifikovať potenciálne oblasti na dosiahnutie fiškálnych cieľov, zefektívnenie daňového systému, či zabezpečí monitorovanie ich vývoja. </w:t>
      </w:r>
    </w:p>
    <w:p w:rsidR="004B7D85" w:rsidRPr="004B7D85" w:rsidRDefault="004B7D85" w:rsidP="004B7D85">
      <w:pPr>
        <w:autoSpaceDE w:val="0"/>
        <w:autoSpaceDN w:val="0"/>
        <w:adjustRightInd w:val="0"/>
        <w:jc w:val="both"/>
        <w:rPr>
          <w:rFonts w:ascii="Times New Roman" w:hAnsi="Times New Roman" w:cs="Times New Roman"/>
          <w:color w:val="000000"/>
          <w:highlight w:val="yellow"/>
          <w:lang w:eastAsia="sk-SK"/>
        </w:rPr>
      </w:pPr>
    </w:p>
    <w:p w:rsidR="004B7D85" w:rsidRPr="004B7D85" w:rsidRDefault="004B7D85" w:rsidP="004B7D85">
      <w:pPr>
        <w:autoSpaceDE w:val="0"/>
        <w:autoSpaceDN w:val="0"/>
        <w:adjustRightInd w:val="0"/>
        <w:ind w:firstLine="708"/>
        <w:jc w:val="both"/>
        <w:rPr>
          <w:rFonts w:ascii="Times New Roman" w:hAnsi="Times New Roman" w:cs="Times New Roman"/>
          <w:lang w:eastAsia="sk-SK"/>
        </w:rPr>
      </w:pPr>
      <w:r w:rsidRPr="004B7D85">
        <w:rPr>
          <w:rFonts w:ascii="Times New Roman" w:hAnsi="Times New Roman" w:cs="Times New Roman"/>
          <w:lang w:eastAsia="sk-SK"/>
        </w:rPr>
        <w:t xml:space="preserve">V súlade s manuálom daňových výdavkov sa pod daňovým </w:t>
      </w:r>
      <w:proofErr w:type="spellStart"/>
      <w:r w:rsidRPr="004B7D85">
        <w:rPr>
          <w:rFonts w:ascii="Times New Roman" w:hAnsi="Times New Roman" w:cs="Times New Roman"/>
          <w:lang w:eastAsia="sk-SK"/>
        </w:rPr>
        <w:t>benchmarkom</w:t>
      </w:r>
      <w:proofErr w:type="spellEnd"/>
      <w:r w:rsidRPr="004B7D85">
        <w:rPr>
          <w:rFonts w:ascii="Times New Roman" w:hAnsi="Times New Roman" w:cs="Times New Roman"/>
          <w:lang w:eastAsia="sk-SK"/>
        </w:rPr>
        <w:t xml:space="preserve"> okrem legislatívne stanoveného základu dane a štruktúry sadzieb dane rozumejú aj štrukturálne daňové výdavky. Typickým príkladom štrukturálnych daňových výdavkov, ktoré sú súčasťou daňového </w:t>
      </w:r>
      <w:proofErr w:type="spellStart"/>
      <w:r w:rsidRPr="004B7D85">
        <w:rPr>
          <w:rFonts w:ascii="Times New Roman" w:hAnsi="Times New Roman" w:cs="Times New Roman"/>
          <w:lang w:eastAsia="sk-SK"/>
        </w:rPr>
        <w:t>benchmarku</w:t>
      </w:r>
      <w:proofErr w:type="spellEnd"/>
      <w:r w:rsidR="00D81C7A">
        <w:rPr>
          <w:rFonts w:ascii="Times New Roman" w:hAnsi="Times New Roman" w:cs="Times New Roman"/>
          <w:lang w:eastAsia="sk-SK"/>
        </w:rPr>
        <w:t>,</w:t>
      </w:r>
      <w:r w:rsidRPr="004B7D85">
        <w:rPr>
          <w:rFonts w:ascii="Times New Roman" w:hAnsi="Times New Roman" w:cs="Times New Roman"/>
          <w:lang w:eastAsia="sk-SK"/>
        </w:rPr>
        <w:t xml:space="preserve"> sú účtovné konvencie, odpočítateľnosť povinných platieb, ustanovenia s cieľom uľahčenia administrácie dane ako aj iné ustanovenia vyplývajúce z medzinárodných záväzkov</w:t>
      </w:r>
      <w:r w:rsidRPr="004B7D85">
        <w:rPr>
          <w:rFonts w:ascii="Times New Roman" w:hAnsi="Times New Roman" w:cs="Times New Roman"/>
          <w:vertAlign w:val="superscript"/>
          <w:lang w:eastAsia="sk-SK"/>
        </w:rPr>
        <w:footnoteReference w:id="11"/>
      </w:r>
      <w:r w:rsidRPr="004B7D85">
        <w:rPr>
          <w:rFonts w:ascii="Times New Roman" w:hAnsi="Times New Roman" w:cs="Times New Roman"/>
          <w:lang w:eastAsia="sk-SK"/>
        </w:rPr>
        <w:t xml:space="preserve">. Za účelom zabezpečenia konzistentnosti výpočtov medzi jednotlivými rokmi a porovnateľnosti vývoja daňových výdavkov sa za </w:t>
      </w:r>
      <w:proofErr w:type="spellStart"/>
      <w:r w:rsidRPr="004B7D85">
        <w:rPr>
          <w:rFonts w:ascii="Times New Roman" w:hAnsi="Times New Roman" w:cs="Times New Roman"/>
          <w:lang w:eastAsia="sk-SK"/>
        </w:rPr>
        <w:t>benchmark</w:t>
      </w:r>
      <w:proofErr w:type="spellEnd"/>
      <w:r w:rsidRPr="004B7D85">
        <w:rPr>
          <w:rFonts w:ascii="Times New Roman" w:hAnsi="Times New Roman" w:cs="Times New Roman"/>
          <w:lang w:eastAsia="sk-SK"/>
        </w:rPr>
        <w:t xml:space="preserve"> v prípade jednotlivých daní považujú legislatívne normy platné v roku 2017, na ktorý sa rozpočet schvaľuje.  </w:t>
      </w:r>
    </w:p>
    <w:p w:rsidR="004B7D85" w:rsidRPr="004B7D85" w:rsidRDefault="004B7D85" w:rsidP="004B7D85">
      <w:pPr>
        <w:autoSpaceDE w:val="0"/>
        <w:autoSpaceDN w:val="0"/>
        <w:adjustRightInd w:val="0"/>
        <w:ind w:firstLine="708"/>
        <w:jc w:val="both"/>
        <w:rPr>
          <w:rFonts w:ascii="Times New Roman" w:hAnsi="Times New Roman" w:cs="Times New Roman"/>
          <w:highlight w:val="yellow"/>
          <w:lang w:eastAsia="sk-SK"/>
        </w:rPr>
      </w:pPr>
    </w:p>
    <w:p w:rsidR="004B7D85" w:rsidRPr="004B7D85" w:rsidRDefault="004B7D85" w:rsidP="004B7D85">
      <w:pPr>
        <w:autoSpaceDE w:val="0"/>
        <w:autoSpaceDN w:val="0"/>
        <w:adjustRightInd w:val="0"/>
        <w:ind w:firstLine="708"/>
        <w:jc w:val="both"/>
        <w:rPr>
          <w:rFonts w:ascii="Times New Roman" w:hAnsi="Times New Roman" w:cs="Times New Roman"/>
          <w:lang w:eastAsia="sk-SK"/>
        </w:rPr>
      </w:pPr>
      <w:r w:rsidRPr="004B7D85">
        <w:rPr>
          <w:rFonts w:ascii="Times New Roman" w:hAnsi="Times New Roman" w:cs="Times New Roman"/>
          <w:lang w:eastAsia="sk-SK"/>
        </w:rPr>
        <w:t xml:space="preserve">Daňovým výdavkom sú špeciálne daňové úľavy, ktoré využíva vláda na podporu určitých aktivít alebo daňovníkov v špeciálnych okolnostiach. Na to, aby konkrétna daňová </w:t>
      </w:r>
      <w:r w:rsidRPr="004B7D85">
        <w:rPr>
          <w:rFonts w:ascii="Times New Roman" w:hAnsi="Times New Roman" w:cs="Times New Roman"/>
          <w:lang w:eastAsia="sk-SK"/>
        </w:rPr>
        <w:lastRenderedPageBreak/>
        <w:t>úľava</w:t>
      </w:r>
      <w:r w:rsidR="00082657">
        <w:rPr>
          <w:rFonts w:ascii="Times New Roman" w:hAnsi="Times New Roman" w:cs="Times New Roman"/>
          <w:lang w:eastAsia="sk-SK"/>
        </w:rPr>
        <w:t>,</w:t>
      </w:r>
      <w:r w:rsidRPr="004B7D85">
        <w:rPr>
          <w:rFonts w:ascii="Times New Roman" w:hAnsi="Times New Roman" w:cs="Times New Roman"/>
          <w:lang w:eastAsia="sk-SK"/>
        </w:rPr>
        <w:t xml:space="preserve"> resp. špeciálny daňový režim bol z pohľadu MF SR klasifikovaný ako daňový výdavok, musí súčasne spĺňať nasledujúce podmienky: </w:t>
      </w:r>
    </w:p>
    <w:p w:rsidR="004B7D85" w:rsidRPr="004B7D85" w:rsidRDefault="004B7D85" w:rsidP="004B7D85">
      <w:pPr>
        <w:autoSpaceDE w:val="0"/>
        <w:autoSpaceDN w:val="0"/>
        <w:adjustRightInd w:val="0"/>
        <w:ind w:firstLine="708"/>
        <w:jc w:val="both"/>
        <w:rPr>
          <w:rFonts w:ascii="Times New Roman" w:hAnsi="Times New Roman" w:cs="Times New Roman"/>
          <w:lang w:eastAsia="sk-SK"/>
        </w:rPr>
      </w:pPr>
    </w:p>
    <w:p w:rsidR="004B7D85" w:rsidRPr="00D81C7A" w:rsidRDefault="004B7D85" w:rsidP="005D1541">
      <w:pPr>
        <w:numPr>
          <w:ilvl w:val="0"/>
          <w:numId w:val="6"/>
        </w:numPr>
        <w:autoSpaceDE w:val="0"/>
        <w:autoSpaceDN w:val="0"/>
        <w:adjustRightInd w:val="0"/>
        <w:jc w:val="both"/>
        <w:rPr>
          <w:rFonts w:ascii="Times New Roman" w:hAnsi="Times New Roman" w:cs="Times New Roman"/>
          <w:lang w:eastAsia="sk-SK"/>
        </w:rPr>
      </w:pPr>
      <w:r w:rsidRPr="00D81C7A">
        <w:rPr>
          <w:rFonts w:ascii="Times New Roman" w:hAnsi="Times New Roman" w:cs="Times New Roman"/>
          <w:lang w:eastAsia="sk-SK"/>
        </w:rPr>
        <w:t>má vplyv</w:t>
      </w:r>
      <w:r w:rsidRPr="004B7D85">
        <w:rPr>
          <w:rFonts w:ascii="Times New Roman" w:hAnsi="Times New Roman" w:cs="Times New Roman"/>
          <w:lang w:eastAsia="sk-SK"/>
        </w:rPr>
        <w:t xml:space="preserve"> na príjmy a saldo hospodárenia verejnej správy - daňovým výdavkom je také opatrenie, ktoré znižuje (alebo zvyšuje) príjmy verejnej správy. V niektorých prípadoch je dôležité okrem vplyvu na príjmy sledovať aj vplyv na saldo verejnej správy. Typickým príkladom môžu byť napr. štátne sociálne dávky. </w:t>
      </w:r>
      <w:r w:rsidRPr="00D81C7A">
        <w:rPr>
          <w:rFonts w:ascii="Times New Roman" w:hAnsi="Times New Roman" w:cs="Times New Roman"/>
          <w:lang w:eastAsia="sk-SK"/>
        </w:rPr>
        <w:t>Ich zdanenie kompenzované</w:t>
      </w:r>
      <w:r w:rsidRPr="00D81C7A" w:rsidDel="00971FD3">
        <w:rPr>
          <w:rFonts w:ascii="Times New Roman" w:hAnsi="Times New Roman" w:cs="Times New Roman"/>
          <w:lang w:eastAsia="sk-SK"/>
        </w:rPr>
        <w:t xml:space="preserve"> </w:t>
      </w:r>
      <w:r w:rsidRPr="00D81C7A">
        <w:rPr>
          <w:rFonts w:ascii="Times New Roman" w:hAnsi="Times New Roman" w:cs="Times New Roman"/>
          <w:lang w:eastAsia="sk-SK"/>
        </w:rPr>
        <w:t xml:space="preserve">adekvátnym zvýšením výdavkov verejnej správy, </w:t>
      </w:r>
      <w:r w:rsidR="00D81C7A" w:rsidRPr="00D81C7A">
        <w:rPr>
          <w:rFonts w:ascii="Times New Roman" w:hAnsi="Times New Roman" w:cs="Times New Roman"/>
          <w:lang w:eastAsia="sk-SK"/>
        </w:rPr>
        <w:t xml:space="preserve">by malo neutrálny vplyv na saldo verejnej správy, </w:t>
      </w:r>
      <w:r w:rsidRPr="00D81C7A">
        <w:rPr>
          <w:rFonts w:ascii="Times New Roman" w:hAnsi="Times New Roman" w:cs="Times New Roman"/>
          <w:lang w:eastAsia="sk-SK"/>
        </w:rPr>
        <w:t>keďže z pohľadu záchrannej siete sú podstatné disponibilné príjmy obyvateľov v hmotnej núdzi.</w:t>
      </w:r>
    </w:p>
    <w:p w:rsidR="004B7D85" w:rsidRPr="004B7D85" w:rsidRDefault="004B7D85" w:rsidP="004B7D85">
      <w:pPr>
        <w:autoSpaceDE w:val="0"/>
        <w:autoSpaceDN w:val="0"/>
        <w:adjustRightInd w:val="0"/>
        <w:jc w:val="both"/>
        <w:rPr>
          <w:rFonts w:ascii="Times New Roman" w:hAnsi="Times New Roman" w:cs="Times New Roman"/>
          <w:lang w:eastAsia="sk-SK"/>
        </w:rPr>
      </w:pPr>
    </w:p>
    <w:p w:rsidR="004B7D85" w:rsidRPr="004B7D85" w:rsidRDefault="004B7D85" w:rsidP="005D1541">
      <w:pPr>
        <w:numPr>
          <w:ilvl w:val="0"/>
          <w:numId w:val="6"/>
        </w:numPr>
        <w:autoSpaceDE w:val="0"/>
        <w:autoSpaceDN w:val="0"/>
        <w:adjustRightInd w:val="0"/>
        <w:jc w:val="both"/>
        <w:rPr>
          <w:rFonts w:ascii="Times New Roman" w:hAnsi="Times New Roman" w:cs="Times New Roman"/>
          <w:lang w:eastAsia="sk-SK"/>
        </w:rPr>
      </w:pPr>
      <w:r w:rsidRPr="004B7D85">
        <w:rPr>
          <w:rFonts w:ascii="Times New Roman" w:hAnsi="Times New Roman" w:cs="Times New Roman"/>
          <w:lang w:eastAsia="sk-SK"/>
        </w:rPr>
        <w:t xml:space="preserve">sleduje iný cieľ než je samotné zdanenie - ak je cieľom podpora určitých aktivít alebo daňovníkov alebo ak existuje podobnosť s alternatívnym výdavkovým programom. </w:t>
      </w:r>
    </w:p>
    <w:p w:rsidR="004B7D85" w:rsidRPr="004B7D85" w:rsidRDefault="004B7D85" w:rsidP="004B7D85">
      <w:pPr>
        <w:autoSpaceDE w:val="0"/>
        <w:autoSpaceDN w:val="0"/>
        <w:adjustRightInd w:val="0"/>
        <w:ind w:left="720"/>
        <w:jc w:val="both"/>
        <w:rPr>
          <w:rFonts w:ascii="Times New Roman" w:hAnsi="Times New Roman" w:cs="Times New Roman"/>
          <w:lang w:eastAsia="sk-SK"/>
        </w:rPr>
      </w:pPr>
    </w:p>
    <w:p w:rsidR="004B7D85" w:rsidRPr="004B7D85" w:rsidRDefault="004B7D85" w:rsidP="005D1541">
      <w:pPr>
        <w:numPr>
          <w:ilvl w:val="0"/>
          <w:numId w:val="6"/>
        </w:numPr>
        <w:autoSpaceDE w:val="0"/>
        <w:autoSpaceDN w:val="0"/>
        <w:adjustRightInd w:val="0"/>
        <w:jc w:val="both"/>
        <w:rPr>
          <w:rFonts w:ascii="Times New Roman" w:hAnsi="Times New Roman" w:cs="Times New Roman"/>
          <w:lang w:eastAsia="sk-SK"/>
        </w:rPr>
      </w:pPr>
      <w:r w:rsidRPr="004B7D85">
        <w:rPr>
          <w:rFonts w:ascii="Times New Roman" w:hAnsi="Times New Roman" w:cs="Times New Roman"/>
          <w:lang w:eastAsia="sk-SK"/>
        </w:rPr>
        <w:t xml:space="preserve">nejde o štrukturálny daňový výdavok obsiahnutý v definícii daňového </w:t>
      </w:r>
      <w:proofErr w:type="spellStart"/>
      <w:r w:rsidRPr="004B7D85">
        <w:rPr>
          <w:rFonts w:ascii="Times New Roman" w:hAnsi="Times New Roman" w:cs="Times New Roman"/>
          <w:lang w:eastAsia="sk-SK"/>
        </w:rPr>
        <w:t>benchmarku</w:t>
      </w:r>
      <w:proofErr w:type="spellEnd"/>
      <w:r w:rsidRPr="004B7D85">
        <w:rPr>
          <w:rFonts w:ascii="Times New Roman" w:hAnsi="Times New Roman" w:cs="Times New Roman"/>
          <w:lang w:eastAsia="sk-SK"/>
        </w:rPr>
        <w:t xml:space="preserve"> - sem zaraďujeme účtovné konvencie (legislatívne stanovené odpisové sadzby/doby aj v prípade, že sa nezhodujú s účtovnými odpismi), odpočítateľnosť povinných platieb (povinné platby vyplývajúce z iných zákonov sú automaticky považované za daňovo uznateľné výdavky), ustanovenia s cieľom uľahčenia administrácie dane (test príjmu na účely podávania daňového priznania, minimálna daňová povinnosť, zaokrúhľovanie a pod.)</w:t>
      </w:r>
    </w:p>
    <w:p w:rsidR="004B7D85" w:rsidRPr="004B7D85" w:rsidRDefault="004B7D85" w:rsidP="004B7D85">
      <w:pPr>
        <w:autoSpaceDE w:val="0"/>
        <w:autoSpaceDN w:val="0"/>
        <w:adjustRightInd w:val="0"/>
        <w:ind w:left="720"/>
        <w:jc w:val="both"/>
        <w:rPr>
          <w:rFonts w:ascii="Times New Roman" w:hAnsi="Times New Roman" w:cs="Times New Roman"/>
          <w:highlight w:val="yellow"/>
          <w:lang w:eastAsia="sk-SK"/>
        </w:rPr>
      </w:pPr>
    </w:p>
    <w:p w:rsidR="004B7D85" w:rsidRPr="004B7D85" w:rsidRDefault="004B7D85" w:rsidP="005D1541">
      <w:pPr>
        <w:numPr>
          <w:ilvl w:val="0"/>
          <w:numId w:val="6"/>
        </w:numPr>
        <w:autoSpaceDE w:val="0"/>
        <w:autoSpaceDN w:val="0"/>
        <w:adjustRightInd w:val="0"/>
        <w:spacing w:after="200"/>
        <w:jc w:val="both"/>
        <w:rPr>
          <w:rFonts w:ascii="Times New Roman" w:hAnsi="Times New Roman" w:cs="Times New Roman"/>
          <w:lang w:eastAsia="en-US"/>
        </w:rPr>
      </w:pPr>
      <w:r w:rsidRPr="004B7D85">
        <w:rPr>
          <w:rFonts w:ascii="Times New Roman" w:hAnsi="Times New Roman" w:cs="Times New Roman"/>
          <w:lang w:eastAsia="en-US"/>
        </w:rPr>
        <w:t xml:space="preserve">je selektívny - </w:t>
      </w:r>
      <w:r w:rsidRPr="004B7D85">
        <w:rPr>
          <w:rFonts w:ascii="Times New Roman" w:hAnsi="Times New Roman" w:cs="Times New Roman"/>
          <w:color w:val="000000"/>
          <w:lang w:eastAsia="en-US"/>
        </w:rPr>
        <w:t>úľava je určená iba pre vybrané osoby, príjmy alebo sektor a pod. Nezdaniteľná časť základu dane, ktorá ovplyvňuje daňové príjmy a na ktorú majú nárok všetci daňovníci</w:t>
      </w:r>
      <w:r w:rsidR="00115151">
        <w:rPr>
          <w:rFonts w:ascii="Times New Roman" w:hAnsi="Times New Roman" w:cs="Times New Roman"/>
          <w:color w:val="000000"/>
          <w:lang w:eastAsia="en-US"/>
        </w:rPr>
        <w:t>,</w:t>
      </w:r>
      <w:r w:rsidRPr="004B7D85">
        <w:rPr>
          <w:rFonts w:ascii="Times New Roman" w:hAnsi="Times New Roman" w:cs="Times New Roman"/>
          <w:color w:val="000000"/>
          <w:lang w:eastAsia="en-US"/>
        </w:rPr>
        <w:t xml:space="preserve"> sa nepovažuje za daňový výdavok. Ide tak o ďalší štrukturálny element daňového systému, ináč aj štrukturálny daňový výdavok. Uvedené kritérium však na rozdiel od prvých troch nemusí byť nevyhnutne splnené.</w:t>
      </w:r>
      <w:r w:rsidRPr="004B7D85">
        <w:rPr>
          <w:rFonts w:ascii="Times New Roman" w:hAnsi="Times New Roman" w:cs="Times New Roman"/>
          <w:color w:val="000000"/>
          <w:vertAlign w:val="superscript"/>
          <w:lang w:eastAsia="en-US"/>
        </w:rPr>
        <w:footnoteReference w:id="12"/>
      </w:r>
    </w:p>
    <w:p w:rsidR="004B7D85" w:rsidRDefault="004B7D85" w:rsidP="004B7D85">
      <w:pPr>
        <w:ind w:firstLine="708"/>
        <w:jc w:val="both"/>
        <w:rPr>
          <w:rFonts w:ascii="Times New Roman" w:hAnsi="Times New Roman" w:cs="Times New Roman"/>
          <w:color w:val="000000"/>
          <w:lang w:eastAsia="sk-SK"/>
        </w:rPr>
      </w:pPr>
      <w:r w:rsidRPr="004B7D85">
        <w:rPr>
          <w:rFonts w:ascii="Times New Roman" w:hAnsi="Times New Roman" w:cs="Times New Roman"/>
          <w:color w:val="000000"/>
          <w:lang w:eastAsia="sk-SK"/>
        </w:rPr>
        <w:t>V zmysle zverejnenej metodiky údaje za daňové výdavky sú uvedené za rovnaký časový horizont, na aký sa zostavuje rozpočet verejnej správy</w:t>
      </w:r>
      <w:r w:rsidRPr="004B7D85">
        <w:rPr>
          <w:rFonts w:ascii="Times New Roman" w:hAnsi="Times New Roman" w:cs="Times New Roman"/>
          <w:color w:val="000000"/>
          <w:vertAlign w:val="superscript"/>
          <w:lang w:eastAsia="sk-SK"/>
        </w:rPr>
        <w:footnoteReference w:id="13"/>
      </w:r>
      <w:r w:rsidRPr="004B7D85">
        <w:rPr>
          <w:rFonts w:ascii="Times New Roman" w:hAnsi="Times New Roman" w:cs="Times New Roman"/>
          <w:color w:val="000000"/>
          <w:lang w:eastAsia="sk-SK"/>
        </w:rPr>
        <w:t>. Klasifikácia daňových výdavkov je založená na príslušnom daňovom základe a účel</w:t>
      </w:r>
      <w:r w:rsidR="00082657">
        <w:rPr>
          <w:rFonts w:ascii="Times New Roman" w:hAnsi="Times New Roman" w:cs="Times New Roman"/>
          <w:color w:val="000000"/>
          <w:lang w:eastAsia="sk-SK"/>
        </w:rPr>
        <w:t>e</w:t>
      </w:r>
      <w:r w:rsidRPr="004B7D85">
        <w:rPr>
          <w:rFonts w:ascii="Times New Roman" w:hAnsi="Times New Roman" w:cs="Times New Roman"/>
          <w:color w:val="000000"/>
          <w:lang w:eastAsia="sk-SK"/>
        </w:rPr>
        <w:t xml:space="preserve">, ktorý tieto výdavky sledujú. </w:t>
      </w:r>
    </w:p>
    <w:p w:rsidR="004F01E4" w:rsidRDefault="004F01E4" w:rsidP="004B7D85">
      <w:pPr>
        <w:ind w:firstLine="708"/>
        <w:jc w:val="both"/>
        <w:rPr>
          <w:rFonts w:ascii="Times New Roman" w:hAnsi="Times New Roman" w:cs="Times New Roman"/>
          <w:color w:val="000000"/>
          <w:lang w:eastAsia="sk-SK"/>
        </w:rPr>
      </w:pPr>
    </w:p>
    <w:p w:rsidR="004F01E4" w:rsidRDefault="004F01E4" w:rsidP="004B7D85">
      <w:pPr>
        <w:ind w:firstLine="708"/>
        <w:jc w:val="both"/>
        <w:rPr>
          <w:rFonts w:ascii="Times New Roman" w:hAnsi="Times New Roman" w:cs="Times New Roman"/>
          <w:color w:val="000000"/>
          <w:lang w:eastAsia="sk-SK"/>
        </w:rPr>
      </w:pPr>
    </w:p>
    <w:p w:rsidR="00717858" w:rsidRDefault="00717858" w:rsidP="004B7D85">
      <w:pPr>
        <w:ind w:firstLine="708"/>
        <w:jc w:val="both"/>
        <w:rPr>
          <w:rFonts w:ascii="Times New Roman" w:hAnsi="Times New Roman" w:cs="Times New Roman"/>
          <w:color w:val="000000"/>
          <w:lang w:eastAsia="sk-SK"/>
        </w:rPr>
      </w:pPr>
    </w:p>
    <w:p w:rsidR="00717858" w:rsidRDefault="00717858" w:rsidP="004B7D85">
      <w:pPr>
        <w:ind w:firstLine="708"/>
        <w:jc w:val="both"/>
        <w:rPr>
          <w:rFonts w:ascii="Times New Roman" w:hAnsi="Times New Roman" w:cs="Times New Roman"/>
          <w:color w:val="000000"/>
          <w:lang w:eastAsia="sk-SK"/>
        </w:rPr>
      </w:pPr>
    </w:p>
    <w:p w:rsidR="00717858" w:rsidRDefault="00717858" w:rsidP="004B7D85">
      <w:pPr>
        <w:ind w:firstLine="708"/>
        <w:jc w:val="both"/>
        <w:rPr>
          <w:rFonts w:ascii="Times New Roman" w:hAnsi="Times New Roman" w:cs="Times New Roman"/>
          <w:color w:val="000000"/>
          <w:lang w:eastAsia="sk-SK"/>
        </w:rPr>
      </w:pPr>
    </w:p>
    <w:p w:rsidR="004F01E4" w:rsidRDefault="004F01E4" w:rsidP="004B7D85">
      <w:pPr>
        <w:ind w:firstLine="708"/>
        <w:jc w:val="both"/>
        <w:rPr>
          <w:rFonts w:ascii="Times New Roman" w:hAnsi="Times New Roman" w:cs="Times New Roman"/>
          <w:color w:val="000000"/>
          <w:lang w:eastAsia="sk-SK"/>
        </w:rPr>
      </w:pPr>
    </w:p>
    <w:p w:rsidR="004F01E4" w:rsidRDefault="004F01E4" w:rsidP="004B7D85">
      <w:pPr>
        <w:ind w:firstLine="708"/>
        <w:jc w:val="both"/>
        <w:rPr>
          <w:rFonts w:ascii="Times New Roman" w:hAnsi="Times New Roman" w:cs="Times New Roman"/>
          <w:color w:val="000000"/>
          <w:lang w:eastAsia="sk-SK"/>
        </w:rPr>
      </w:pPr>
    </w:p>
    <w:p w:rsidR="004F01E4" w:rsidRDefault="004F01E4" w:rsidP="004B7D85">
      <w:pPr>
        <w:ind w:firstLine="708"/>
        <w:jc w:val="both"/>
        <w:rPr>
          <w:rFonts w:ascii="Times New Roman" w:hAnsi="Times New Roman" w:cs="Times New Roman"/>
          <w:color w:val="000000"/>
          <w:lang w:eastAsia="sk-SK"/>
        </w:rPr>
      </w:pPr>
    </w:p>
    <w:p w:rsidR="004F01E4" w:rsidRDefault="004F01E4" w:rsidP="004B7D85">
      <w:pPr>
        <w:ind w:firstLine="708"/>
        <w:jc w:val="both"/>
        <w:rPr>
          <w:rFonts w:ascii="Times New Roman" w:hAnsi="Times New Roman" w:cs="Times New Roman"/>
          <w:color w:val="000000"/>
          <w:lang w:eastAsia="sk-SK"/>
        </w:rPr>
      </w:pPr>
    </w:p>
    <w:p w:rsidR="004F01E4" w:rsidRDefault="004F01E4" w:rsidP="004B7D85">
      <w:pPr>
        <w:ind w:firstLine="708"/>
        <w:jc w:val="both"/>
        <w:rPr>
          <w:rFonts w:ascii="Times New Roman" w:hAnsi="Times New Roman" w:cs="Times New Roman"/>
          <w:color w:val="000000"/>
          <w:lang w:eastAsia="sk-SK"/>
        </w:rPr>
      </w:pPr>
    </w:p>
    <w:p w:rsidR="004F01E4" w:rsidRDefault="004F01E4" w:rsidP="004B7D85">
      <w:pPr>
        <w:ind w:firstLine="708"/>
        <w:jc w:val="both"/>
        <w:rPr>
          <w:rFonts w:ascii="Times New Roman" w:hAnsi="Times New Roman" w:cs="Times New Roman"/>
          <w:color w:val="000000"/>
          <w:lang w:eastAsia="sk-SK"/>
        </w:rPr>
      </w:pPr>
    </w:p>
    <w:p w:rsidR="004F01E4" w:rsidRDefault="004F01E4" w:rsidP="004B7D85">
      <w:pPr>
        <w:ind w:firstLine="708"/>
        <w:jc w:val="both"/>
        <w:rPr>
          <w:rFonts w:ascii="Times New Roman" w:hAnsi="Times New Roman" w:cs="Times New Roman"/>
          <w:color w:val="000000"/>
          <w:lang w:eastAsia="sk-SK"/>
        </w:rPr>
      </w:pPr>
    </w:p>
    <w:p w:rsidR="004B7D85" w:rsidRPr="004B7D85" w:rsidRDefault="004B7D85" w:rsidP="004B7D85">
      <w:pPr>
        <w:jc w:val="both"/>
        <w:rPr>
          <w:rFonts w:ascii="Times New Roman" w:hAnsi="Times New Roman" w:cs="Times New Roman"/>
          <w:color w:val="000000"/>
          <w:sz w:val="22"/>
          <w:szCs w:val="22"/>
          <w:highlight w:val="yellow"/>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6"/>
        <w:gridCol w:w="864"/>
        <w:gridCol w:w="865"/>
        <w:gridCol w:w="865"/>
        <w:gridCol w:w="865"/>
        <w:gridCol w:w="865"/>
        <w:gridCol w:w="942"/>
      </w:tblGrid>
      <w:tr w:rsidR="004B7D85" w:rsidRPr="004B7D85" w:rsidTr="004B7D85">
        <w:trPr>
          <w:trHeight w:val="345"/>
        </w:trPr>
        <w:tc>
          <w:tcPr>
            <w:tcW w:w="2095" w:type="pct"/>
            <w:vMerge w:val="restart"/>
            <w:shd w:val="clear" w:color="auto" w:fill="A6A6A6" w:themeFill="background1" w:themeFillShade="A6"/>
            <w:vAlign w:val="center"/>
            <w:hideMark/>
          </w:tcPr>
          <w:p w:rsidR="004B7D85" w:rsidRPr="004B7D85" w:rsidRDefault="00082657" w:rsidP="00082657">
            <w:pPr>
              <w:rPr>
                <w:rFonts w:ascii="Times New Roman" w:hAnsi="Times New Roman" w:cs="Times New Roman"/>
                <w:b/>
                <w:bCs/>
                <w:sz w:val="14"/>
                <w:szCs w:val="14"/>
                <w:lang w:eastAsia="sk-SK"/>
              </w:rPr>
            </w:pPr>
            <w:r>
              <w:rPr>
                <w:rFonts w:ascii="Times New Roman" w:hAnsi="Times New Roman" w:cs="Times New Roman"/>
                <w:b/>
                <w:bCs/>
                <w:sz w:val="14"/>
                <w:szCs w:val="14"/>
                <w:lang w:eastAsia="sk-SK"/>
              </w:rPr>
              <w:lastRenderedPageBreak/>
              <w:t>Prehľad</w:t>
            </w:r>
            <w:r w:rsidR="004B7D85" w:rsidRPr="004B7D85">
              <w:rPr>
                <w:rFonts w:ascii="Times New Roman" w:hAnsi="Times New Roman" w:cs="Times New Roman"/>
                <w:b/>
                <w:bCs/>
                <w:sz w:val="14"/>
                <w:szCs w:val="14"/>
                <w:lang w:eastAsia="sk-SK"/>
              </w:rPr>
              <w:t xml:space="preserve"> daňových výdavkov podľa typu dane alebo poistného (ESA</w:t>
            </w:r>
            <w:r w:rsidR="004B7D85">
              <w:rPr>
                <w:rFonts w:ascii="Times New Roman" w:hAnsi="Times New Roman" w:cs="Times New Roman"/>
                <w:b/>
                <w:bCs/>
                <w:sz w:val="14"/>
                <w:szCs w:val="14"/>
                <w:lang w:eastAsia="sk-SK"/>
              </w:rPr>
              <w:t xml:space="preserve"> </w:t>
            </w:r>
            <w:r w:rsidR="004B7D85" w:rsidRPr="004B7D85">
              <w:rPr>
                <w:rFonts w:ascii="Times New Roman" w:hAnsi="Times New Roman" w:cs="Times New Roman"/>
                <w:b/>
                <w:bCs/>
                <w:sz w:val="14"/>
                <w:szCs w:val="14"/>
                <w:lang w:eastAsia="sk-SK"/>
              </w:rPr>
              <w:t>2010, tis.</w:t>
            </w:r>
            <w:r w:rsidR="004B7D85">
              <w:rPr>
                <w:rFonts w:ascii="Times New Roman" w:hAnsi="Times New Roman" w:cs="Times New Roman"/>
                <w:b/>
                <w:bCs/>
                <w:sz w:val="14"/>
                <w:szCs w:val="14"/>
                <w:lang w:eastAsia="sk-SK"/>
              </w:rPr>
              <w:t xml:space="preserve"> e</w:t>
            </w:r>
            <w:r w:rsidR="004B7D85" w:rsidRPr="004B7D85">
              <w:rPr>
                <w:rFonts w:ascii="Times New Roman" w:hAnsi="Times New Roman" w:cs="Times New Roman"/>
                <w:b/>
                <w:bCs/>
                <w:sz w:val="14"/>
                <w:szCs w:val="14"/>
                <w:lang w:eastAsia="sk-SK"/>
              </w:rPr>
              <w:t>ur)*</w:t>
            </w:r>
          </w:p>
        </w:tc>
        <w:tc>
          <w:tcPr>
            <w:tcW w:w="477" w:type="pct"/>
            <w:vMerge w:val="restart"/>
            <w:shd w:val="clear" w:color="auto" w:fill="A6A6A6" w:themeFill="background1" w:themeFillShade="A6"/>
            <w:noWrap/>
            <w:vAlign w:val="center"/>
            <w:hideMark/>
          </w:tcPr>
          <w:p w:rsidR="004B7D85" w:rsidRPr="004B7D85" w:rsidRDefault="004B7D85" w:rsidP="004B7D85">
            <w:pPr>
              <w:jc w:val="center"/>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2015</w:t>
            </w:r>
          </w:p>
        </w:tc>
        <w:tc>
          <w:tcPr>
            <w:tcW w:w="477" w:type="pct"/>
            <w:vMerge w:val="restart"/>
            <w:shd w:val="clear" w:color="auto" w:fill="A6A6A6" w:themeFill="background1" w:themeFillShade="A6"/>
            <w:noWrap/>
            <w:vAlign w:val="center"/>
            <w:hideMark/>
          </w:tcPr>
          <w:p w:rsidR="004B7D85" w:rsidRPr="004B7D85" w:rsidRDefault="004B7D85" w:rsidP="004B7D85">
            <w:pPr>
              <w:jc w:val="center"/>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2016</w:t>
            </w:r>
          </w:p>
        </w:tc>
        <w:tc>
          <w:tcPr>
            <w:tcW w:w="477" w:type="pct"/>
            <w:vMerge w:val="restart"/>
            <w:shd w:val="clear" w:color="auto" w:fill="A6A6A6" w:themeFill="background1" w:themeFillShade="A6"/>
            <w:noWrap/>
            <w:vAlign w:val="center"/>
            <w:hideMark/>
          </w:tcPr>
          <w:p w:rsidR="004B7D85" w:rsidRPr="004B7D85" w:rsidRDefault="004B7D85" w:rsidP="004B7D85">
            <w:pPr>
              <w:jc w:val="center"/>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2017</w:t>
            </w:r>
          </w:p>
        </w:tc>
        <w:tc>
          <w:tcPr>
            <w:tcW w:w="477" w:type="pct"/>
            <w:vMerge w:val="restart"/>
            <w:shd w:val="clear" w:color="auto" w:fill="A6A6A6" w:themeFill="background1" w:themeFillShade="A6"/>
            <w:noWrap/>
            <w:vAlign w:val="center"/>
            <w:hideMark/>
          </w:tcPr>
          <w:p w:rsidR="004B7D85" w:rsidRPr="004B7D85" w:rsidRDefault="004B7D85" w:rsidP="004B7D85">
            <w:pPr>
              <w:jc w:val="center"/>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2018</w:t>
            </w:r>
          </w:p>
        </w:tc>
        <w:tc>
          <w:tcPr>
            <w:tcW w:w="477" w:type="pct"/>
            <w:vMerge w:val="restart"/>
            <w:shd w:val="clear" w:color="auto" w:fill="A6A6A6" w:themeFill="background1" w:themeFillShade="A6"/>
            <w:noWrap/>
            <w:vAlign w:val="center"/>
            <w:hideMark/>
          </w:tcPr>
          <w:p w:rsidR="004B7D85" w:rsidRPr="004B7D85" w:rsidRDefault="004B7D85" w:rsidP="004B7D85">
            <w:pPr>
              <w:jc w:val="center"/>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2019</w:t>
            </w:r>
          </w:p>
        </w:tc>
        <w:tc>
          <w:tcPr>
            <w:tcW w:w="520" w:type="pct"/>
            <w:vMerge w:val="restart"/>
            <w:shd w:val="clear" w:color="auto" w:fill="A6A6A6" w:themeFill="background1" w:themeFillShade="A6"/>
            <w:noWrap/>
            <w:vAlign w:val="center"/>
            <w:hideMark/>
          </w:tcPr>
          <w:p w:rsidR="004B7D85" w:rsidRPr="004B7D85" w:rsidRDefault="004B7D85" w:rsidP="004B7D85">
            <w:pPr>
              <w:jc w:val="center"/>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2020</w:t>
            </w:r>
          </w:p>
        </w:tc>
      </w:tr>
      <w:tr w:rsidR="004B7D85" w:rsidRPr="004B7D85" w:rsidTr="004B7D85">
        <w:trPr>
          <w:trHeight w:val="276"/>
        </w:trPr>
        <w:tc>
          <w:tcPr>
            <w:tcW w:w="2095" w:type="pct"/>
            <w:vMerge/>
            <w:shd w:val="clear" w:color="auto" w:fill="A6A6A6" w:themeFill="background1" w:themeFillShade="A6"/>
            <w:vAlign w:val="center"/>
            <w:hideMark/>
          </w:tcPr>
          <w:p w:rsidR="004B7D85" w:rsidRPr="004B7D85" w:rsidRDefault="004B7D85" w:rsidP="004B7D85">
            <w:pPr>
              <w:rPr>
                <w:rFonts w:ascii="Times New Roman" w:hAnsi="Times New Roman" w:cs="Times New Roman"/>
                <w:b/>
                <w:bCs/>
                <w:sz w:val="14"/>
                <w:szCs w:val="14"/>
                <w:lang w:eastAsia="sk-SK"/>
              </w:rPr>
            </w:pPr>
          </w:p>
        </w:tc>
        <w:tc>
          <w:tcPr>
            <w:tcW w:w="477" w:type="pct"/>
            <w:vMerge/>
            <w:shd w:val="clear" w:color="auto" w:fill="A6A6A6" w:themeFill="background1" w:themeFillShade="A6"/>
            <w:vAlign w:val="center"/>
            <w:hideMark/>
          </w:tcPr>
          <w:p w:rsidR="004B7D85" w:rsidRPr="004B7D85" w:rsidRDefault="004B7D85" w:rsidP="004B7D85">
            <w:pPr>
              <w:rPr>
                <w:rFonts w:ascii="Times New Roman" w:hAnsi="Times New Roman" w:cs="Times New Roman"/>
                <w:b/>
                <w:bCs/>
                <w:sz w:val="14"/>
                <w:szCs w:val="14"/>
                <w:lang w:eastAsia="sk-SK"/>
              </w:rPr>
            </w:pPr>
          </w:p>
        </w:tc>
        <w:tc>
          <w:tcPr>
            <w:tcW w:w="477" w:type="pct"/>
            <w:vMerge/>
            <w:shd w:val="clear" w:color="auto" w:fill="A6A6A6" w:themeFill="background1" w:themeFillShade="A6"/>
            <w:vAlign w:val="center"/>
            <w:hideMark/>
          </w:tcPr>
          <w:p w:rsidR="004B7D85" w:rsidRPr="004B7D85" w:rsidRDefault="004B7D85" w:rsidP="004B7D85">
            <w:pPr>
              <w:rPr>
                <w:rFonts w:ascii="Times New Roman" w:hAnsi="Times New Roman" w:cs="Times New Roman"/>
                <w:b/>
                <w:bCs/>
                <w:sz w:val="14"/>
                <w:szCs w:val="14"/>
                <w:lang w:eastAsia="sk-SK"/>
              </w:rPr>
            </w:pPr>
          </w:p>
        </w:tc>
        <w:tc>
          <w:tcPr>
            <w:tcW w:w="477" w:type="pct"/>
            <w:vMerge/>
            <w:shd w:val="clear" w:color="auto" w:fill="A6A6A6" w:themeFill="background1" w:themeFillShade="A6"/>
            <w:vAlign w:val="center"/>
            <w:hideMark/>
          </w:tcPr>
          <w:p w:rsidR="004B7D85" w:rsidRPr="004B7D85" w:rsidRDefault="004B7D85" w:rsidP="004B7D85">
            <w:pPr>
              <w:rPr>
                <w:rFonts w:ascii="Times New Roman" w:hAnsi="Times New Roman" w:cs="Times New Roman"/>
                <w:b/>
                <w:bCs/>
                <w:sz w:val="14"/>
                <w:szCs w:val="14"/>
                <w:lang w:eastAsia="sk-SK"/>
              </w:rPr>
            </w:pPr>
          </w:p>
        </w:tc>
        <w:tc>
          <w:tcPr>
            <w:tcW w:w="477" w:type="pct"/>
            <w:vMerge/>
            <w:shd w:val="clear" w:color="auto" w:fill="A6A6A6" w:themeFill="background1" w:themeFillShade="A6"/>
            <w:vAlign w:val="center"/>
            <w:hideMark/>
          </w:tcPr>
          <w:p w:rsidR="004B7D85" w:rsidRPr="004B7D85" w:rsidRDefault="004B7D85" w:rsidP="004B7D85">
            <w:pPr>
              <w:rPr>
                <w:rFonts w:ascii="Times New Roman" w:hAnsi="Times New Roman" w:cs="Times New Roman"/>
                <w:b/>
                <w:bCs/>
                <w:sz w:val="14"/>
                <w:szCs w:val="14"/>
                <w:lang w:eastAsia="sk-SK"/>
              </w:rPr>
            </w:pPr>
          </w:p>
        </w:tc>
        <w:tc>
          <w:tcPr>
            <w:tcW w:w="477" w:type="pct"/>
            <w:vMerge/>
            <w:shd w:val="clear" w:color="auto" w:fill="A6A6A6" w:themeFill="background1" w:themeFillShade="A6"/>
            <w:vAlign w:val="center"/>
            <w:hideMark/>
          </w:tcPr>
          <w:p w:rsidR="004B7D85" w:rsidRPr="004B7D85" w:rsidRDefault="004B7D85" w:rsidP="004B7D85">
            <w:pPr>
              <w:rPr>
                <w:rFonts w:ascii="Times New Roman" w:hAnsi="Times New Roman" w:cs="Times New Roman"/>
                <w:b/>
                <w:bCs/>
                <w:sz w:val="14"/>
                <w:szCs w:val="14"/>
                <w:lang w:eastAsia="sk-SK"/>
              </w:rPr>
            </w:pPr>
          </w:p>
        </w:tc>
        <w:tc>
          <w:tcPr>
            <w:tcW w:w="520" w:type="pct"/>
            <w:vMerge/>
            <w:shd w:val="clear" w:color="auto" w:fill="A6A6A6" w:themeFill="background1" w:themeFillShade="A6"/>
            <w:vAlign w:val="center"/>
            <w:hideMark/>
          </w:tcPr>
          <w:p w:rsidR="004B7D85" w:rsidRPr="004B7D85" w:rsidRDefault="004B7D85" w:rsidP="004B7D85">
            <w:pPr>
              <w:rPr>
                <w:rFonts w:ascii="Times New Roman" w:hAnsi="Times New Roman" w:cs="Times New Roman"/>
                <w:b/>
                <w:bCs/>
                <w:sz w:val="14"/>
                <w:szCs w:val="14"/>
                <w:lang w:eastAsia="sk-SK"/>
              </w:rPr>
            </w:pPr>
          </w:p>
        </w:tc>
      </w:tr>
      <w:tr w:rsidR="004B7D85" w:rsidRPr="004B7D85" w:rsidTr="004B7D85">
        <w:trPr>
          <w:trHeight w:val="270"/>
        </w:trPr>
        <w:tc>
          <w:tcPr>
            <w:tcW w:w="2095" w:type="pct"/>
            <w:shd w:val="clear" w:color="auto" w:fill="auto"/>
            <w:noWrap/>
            <w:vAlign w:val="center"/>
            <w:hideMark/>
          </w:tcPr>
          <w:p w:rsidR="004B7D85" w:rsidRPr="004B7D85" w:rsidRDefault="004B7D85" w:rsidP="004B7D85">
            <w:pP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Daň z príjmov fyzických osôb</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365 048</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375 968</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381 226</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384 932</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402 451</w:t>
            </w:r>
          </w:p>
        </w:tc>
        <w:tc>
          <w:tcPr>
            <w:tcW w:w="520"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422 348</w:t>
            </w:r>
          </w:p>
        </w:tc>
      </w:tr>
      <w:tr w:rsidR="004B7D85" w:rsidRPr="004B7D85" w:rsidTr="004B7D85">
        <w:trPr>
          <w:trHeight w:val="270"/>
        </w:trPr>
        <w:tc>
          <w:tcPr>
            <w:tcW w:w="2095" w:type="pct"/>
            <w:shd w:val="clear" w:color="auto" w:fill="auto"/>
            <w:noWrap/>
            <w:vAlign w:val="center"/>
            <w:hideMark/>
          </w:tcPr>
          <w:p w:rsidR="004B7D85" w:rsidRPr="004B7D85" w:rsidRDefault="004B7D85" w:rsidP="004B7D85">
            <w:pP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Daň z príjmov právnických osôb</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121 468</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125 661</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135 768</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146 838</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155 897</w:t>
            </w:r>
          </w:p>
        </w:tc>
        <w:tc>
          <w:tcPr>
            <w:tcW w:w="520"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167 247</w:t>
            </w:r>
          </w:p>
        </w:tc>
      </w:tr>
      <w:tr w:rsidR="004B7D85" w:rsidRPr="004B7D85" w:rsidTr="004B7D85">
        <w:trPr>
          <w:trHeight w:val="270"/>
        </w:trPr>
        <w:tc>
          <w:tcPr>
            <w:tcW w:w="2095" w:type="pct"/>
            <w:shd w:val="clear" w:color="auto" w:fill="auto"/>
            <w:noWrap/>
            <w:vAlign w:val="center"/>
          </w:tcPr>
          <w:p w:rsidR="004B7D85" w:rsidRPr="004B7D85" w:rsidRDefault="004B7D85" w:rsidP="004B7D85">
            <w:pP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Daň z príjmov vyberaná zrážkou</w:t>
            </w:r>
          </w:p>
        </w:tc>
        <w:tc>
          <w:tcPr>
            <w:tcW w:w="477" w:type="pct"/>
            <w:shd w:val="clear" w:color="auto" w:fill="auto"/>
            <w:noWrap/>
            <w:vAlign w:val="center"/>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45 000</w:t>
            </w:r>
          </w:p>
        </w:tc>
        <w:tc>
          <w:tcPr>
            <w:tcW w:w="477" w:type="pct"/>
            <w:shd w:val="clear" w:color="auto" w:fill="auto"/>
            <w:noWrap/>
            <w:vAlign w:val="center"/>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49 000</w:t>
            </w:r>
          </w:p>
        </w:tc>
        <w:tc>
          <w:tcPr>
            <w:tcW w:w="477" w:type="pct"/>
            <w:shd w:val="clear" w:color="auto" w:fill="auto"/>
            <w:noWrap/>
            <w:vAlign w:val="center"/>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54 000</w:t>
            </w:r>
          </w:p>
        </w:tc>
        <w:tc>
          <w:tcPr>
            <w:tcW w:w="477" w:type="pct"/>
            <w:shd w:val="clear" w:color="auto" w:fill="auto"/>
            <w:noWrap/>
            <w:vAlign w:val="center"/>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477" w:type="pct"/>
            <w:shd w:val="clear" w:color="auto" w:fill="auto"/>
            <w:noWrap/>
            <w:vAlign w:val="center"/>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520" w:type="pct"/>
            <w:shd w:val="clear" w:color="auto" w:fill="auto"/>
            <w:noWrap/>
            <w:vAlign w:val="center"/>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r>
      <w:tr w:rsidR="004B7D85" w:rsidRPr="004B7D85" w:rsidTr="004B7D85">
        <w:trPr>
          <w:trHeight w:val="270"/>
        </w:trPr>
        <w:tc>
          <w:tcPr>
            <w:tcW w:w="2095" w:type="pct"/>
            <w:shd w:val="clear" w:color="auto" w:fill="auto"/>
            <w:noWrap/>
            <w:vAlign w:val="center"/>
            <w:hideMark/>
          </w:tcPr>
          <w:p w:rsidR="004B7D85" w:rsidRPr="004B7D85" w:rsidRDefault="004B7D85" w:rsidP="004B7D85">
            <w:pP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Daň z pridanej hodnoty</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132 584</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209 495</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224 473</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233 698</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245 036</w:t>
            </w:r>
          </w:p>
        </w:tc>
        <w:tc>
          <w:tcPr>
            <w:tcW w:w="520"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256 999</w:t>
            </w:r>
          </w:p>
        </w:tc>
      </w:tr>
      <w:tr w:rsidR="004B7D85" w:rsidRPr="004B7D85" w:rsidTr="004B7D85">
        <w:trPr>
          <w:trHeight w:val="270"/>
        </w:trPr>
        <w:tc>
          <w:tcPr>
            <w:tcW w:w="2095" w:type="pct"/>
            <w:shd w:val="clear" w:color="auto" w:fill="auto"/>
            <w:noWrap/>
            <w:vAlign w:val="center"/>
            <w:hideMark/>
          </w:tcPr>
          <w:p w:rsidR="004B7D85" w:rsidRPr="004B7D85" w:rsidRDefault="004B7D85" w:rsidP="004B7D85">
            <w:pP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Spotrebné dane</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139 630</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140 489</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112 556</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113 188</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116 055</w:t>
            </w:r>
          </w:p>
        </w:tc>
        <w:tc>
          <w:tcPr>
            <w:tcW w:w="520"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118 931</w:t>
            </w:r>
          </w:p>
        </w:tc>
      </w:tr>
      <w:tr w:rsidR="004B7D85" w:rsidRPr="004B7D85" w:rsidTr="004B7D85">
        <w:trPr>
          <w:trHeight w:val="270"/>
        </w:trPr>
        <w:tc>
          <w:tcPr>
            <w:tcW w:w="2095" w:type="pct"/>
            <w:shd w:val="clear" w:color="auto" w:fill="auto"/>
            <w:noWrap/>
            <w:vAlign w:val="center"/>
            <w:hideMark/>
          </w:tcPr>
          <w:p w:rsidR="004B7D85" w:rsidRPr="004B7D85" w:rsidRDefault="004B7D85" w:rsidP="004B7D85">
            <w:pP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Sociálne poistenie</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111 101</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117 921</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52 881</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56 233</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59 847</w:t>
            </w:r>
          </w:p>
        </w:tc>
        <w:tc>
          <w:tcPr>
            <w:tcW w:w="520"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63 747</w:t>
            </w:r>
          </w:p>
        </w:tc>
      </w:tr>
      <w:tr w:rsidR="004B7D85" w:rsidRPr="004B7D85" w:rsidTr="004B7D85">
        <w:trPr>
          <w:trHeight w:val="270"/>
        </w:trPr>
        <w:tc>
          <w:tcPr>
            <w:tcW w:w="2095" w:type="pct"/>
            <w:shd w:val="clear" w:color="auto" w:fill="auto"/>
            <w:noWrap/>
            <w:vAlign w:val="center"/>
            <w:hideMark/>
          </w:tcPr>
          <w:p w:rsidR="004B7D85" w:rsidRPr="004B7D85" w:rsidRDefault="004B7D85" w:rsidP="004B7D85">
            <w:pP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 xml:space="preserve">Zdravotné poistenie </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194 329</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324 525</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226 036</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198 976</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177 706</w:t>
            </w:r>
          </w:p>
        </w:tc>
        <w:tc>
          <w:tcPr>
            <w:tcW w:w="520" w:type="pct"/>
            <w:shd w:val="clear" w:color="auto" w:fill="auto"/>
            <w:noWrap/>
            <w:vAlign w:val="center"/>
            <w:hideMark/>
          </w:tcPr>
          <w:p w:rsidR="004B7D85" w:rsidRPr="004B7D85" w:rsidRDefault="004B7D85" w:rsidP="00115151">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163 302</w:t>
            </w:r>
          </w:p>
        </w:tc>
      </w:tr>
      <w:tr w:rsidR="004B7D85" w:rsidRPr="004B7D85" w:rsidTr="004B7D85">
        <w:trPr>
          <w:trHeight w:val="270"/>
        </w:trPr>
        <w:tc>
          <w:tcPr>
            <w:tcW w:w="2095" w:type="pct"/>
            <w:shd w:val="clear" w:color="auto" w:fill="auto"/>
            <w:noWrap/>
            <w:vAlign w:val="center"/>
            <w:hideMark/>
          </w:tcPr>
          <w:p w:rsidR="004B7D85" w:rsidRPr="004B7D85" w:rsidRDefault="004B7D85" w:rsidP="004B7D85">
            <w:pPr>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Negatívne daňové výdavky</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-105 388</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-101 136</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-96 981</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-20 425</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-19 049</w:t>
            </w:r>
          </w:p>
        </w:tc>
        <w:tc>
          <w:tcPr>
            <w:tcW w:w="520"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-17 770</w:t>
            </w:r>
          </w:p>
        </w:tc>
      </w:tr>
      <w:tr w:rsidR="004B7D85" w:rsidRPr="004B7D85" w:rsidTr="004B7D85">
        <w:trPr>
          <w:trHeight w:val="270"/>
        </w:trPr>
        <w:tc>
          <w:tcPr>
            <w:tcW w:w="2095" w:type="pct"/>
            <w:shd w:val="clear" w:color="auto" w:fill="auto"/>
            <w:noWrap/>
            <w:vAlign w:val="center"/>
            <w:hideMark/>
          </w:tcPr>
          <w:p w:rsidR="004B7D85" w:rsidRPr="004B7D85" w:rsidRDefault="004B7D85" w:rsidP="004B7D85">
            <w:pPr>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 xml:space="preserve">   - z</w:t>
            </w:r>
            <w:r w:rsidR="00AD2066">
              <w:rPr>
                <w:rFonts w:ascii="Times New Roman" w:hAnsi="Times New Roman" w:cs="Times New Roman"/>
                <w:i/>
                <w:iCs/>
                <w:color w:val="000000"/>
                <w:sz w:val="14"/>
                <w:szCs w:val="14"/>
                <w:lang w:eastAsia="sk-SK"/>
              </w:rPr>
              <w:t> </w:t>
            </w:r>
            <w:r w:rsidRPr="004B7D85">
              <w:rPr>
                <w:rFonts w:ascii="Times New Roman" w:hAnsi="Times New Roman" w:cs="Times New Roman"/>
                <w:i/>
                <w:iCs/>
                <w:color w:val="000000"/>
                <w:sz w:val="14"/>
                <w:szCs w:val="14"/>
                <w:lang w:eastAsia="sk-SK"/>
              </w:rPr>
              <w:t>toho</w:t>
            </w:r>
            <w:r w:rsidR="00AD2066">
              <w:rPr>
                <w:rFonts w:ascii="Times New Roman" w:hAnsi="Times New Roman" w:cs="Times New Roman"/>
                <w:i/>
                <w:iCs/>
                <w:color w:val="000000"/>
                <w:sz w:val="14"/>
                <w:szCs w:val="14"/>
                <w:lang w:eastAsia="sk-SK"/>
              </w:rPr>
              <w:t>:</w:t>
            </w:r>
            <w:r w:rsidRPr="004B7D85">
              <w:rPr>
                <w:rFonts w:ascii="Times New Roman" w:hAnsi="Times New Roman" w:cs="Times New Roman"/>
                <w:i/>
                <w:iCs/>
                <w:color w:val="000000"/>
                <w:sz w:val="14"/>
                <w:szCs w:val="14"/>
                <w:lang w:eastAsia="sk-SK"/>
              </w:rPr>
              <w:t xml:space="preserve"> daň z príjmov právnických osôb</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-104 513</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-100 085</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-95 859</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-20 162</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-18 773</w:t>
            </w:r>
          </w:p>
        </w:tc>
        <w:tc>
          <w:tcPr>
            <w:tcW w:w="520"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-17 480</w:t>
            </w:r>
          </w:p>
        </w:tc>
      </w:tr>
      <w:tr w:rsidR="004B7D85" w:rsidRPr="004B7D85" w:rsidTr="004B7D85">
        <w:trPr>
          <w:trHeight w:val="270"/>
        </w:trPr>
        <w:tc>
          <w:tcPr>
            <w:tcW w:w="2095" w:type="pct"/>
            <w:shd w:val="clear" w:color="auto" w:fill="auto"/>
            <w:noWrap/>
            <w:vAlign w:val="center"/>
            <w:hideMark/>
          </w:tcPr>
          <w:p w:rsidR="004B7D85" w:rsidRPr="004B7D85" w:rsidRDefault="004B7D85" w:rsidP="00AD2066">
            <w:pPr>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 xml:space="preserve">   </w:t>
            </w:r>
            <w:r w:rsidR="00AD2066">
              <w:rPr>
                <w:rFonts w:ascii="Times New Roman" w:hAnsi="Times New Roman" w:cs="Times New Roman"/>
                <w:i/>
                <w:iCs/>
                <w:color w:val="000000"/>
                <w:sz w:val="14"/>
                <w:szCs w:val="14"/>
                <w:lang w:eastAsia="sk-SK"/>
              </w:rPr>
              <w:t xml:space="preserve">              </w:t>
            </w:r>
            <w:r w:rsidRPr="004B7D85">
              <w:rPr>
                <w:rFonts w:ascii="Times New Roman" w:hAnsi="Times New Roman" w:cs="Times New Roman"/>
                <w:i/>
                <w:iCs/>
                <w:color w:val="000000"/>
                <w:sz w:val="14"/>
                <w:szCs w:val="14"/>
                <w:lang w:eastAsia="sk-SK"/>
              </w:rPr>
              <w:t>daň z príjmov fyzických osôb</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-231</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-241</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-252</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-263</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-276</w:t>
            </w:r>
          </w:p>
        </w:tc>
        <w:tc>
          <w:tcPr>
            <w:tcW w:w="520" w:type="pct"/>
            <w:shd w:val="clear" w:color="auto" w:fill="auto"/>
            <w:noWrap/>
            <w:vAlign w:val="center"/>
            <w:hideMark/>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-290</w:t>
            </w:r>
          </w:p>
        </w:tc>
      </w:tr>
      <w:tr w:rsidR="004B7D85" w:rsidRPr="004B7D85" w:rsidTr="004B7D85">
        <w:trPr>
          <w:trHeight w:val="270"/>
        </w:trPr>
        <w:tc>
          <w:tcPr>
            <w:tcW w:w="2095" w:type="pct"/>
            <w:shd w:val="clear" w:color="auto" w:fill="auto"/>
            <w:noWrap/>
            <w:vAlign w:val="center"/>
          </w:tcPr>
          <w:p w:rsidR="004B7D85" w:rsidRPr="004B7D85" w:rsidRDefault="00AD2066" w:rsidP="004B7D85">
            <w:pPr>
              <w:rPr>
                <w:rFonts w:ascii="Times New Roman" w:hAnsi="Times New Roman" w:cs="Times New Roman"/>
                <w:b/>
                <w:bCs/>
                <w:color w:val="000000"/>
                <w:sz w:val="14"/>
                <w:szCs w:val="14"/>
                <w:lang w:eastAsia="sk-SK"/>
              </w:rPr>
            </w:pPr>
            <w:r>
              <w:rPr>
                <w:rFonts w:ascii="Times New Roman" w:hAnsi="Times New Roman" w:cs="Times New Roman"/>
                <w:i/>
                <w:iCs/>
                <w:color w:val="000000"/>
                <w:sz w:val="14"/>
                <w:szCs w:val="14"/>
                <w:lang w:eastAsia="sk-SK"/>
              </w:rPr>
              <w:t xml:space="preserve">                 </w:t>
            </w:r>
            <w:r w:rsidR="004B7D85" w:rsidRPr="004B7D85">
              <w:rPr>
                <w:rFonts w:ascii="Times New Roman" w:hAnsi="Times New Roman" w:cs="Times New Roman"/>
                <w:i/>
                <w:iCs/>
                <w:color w:val="000000"/>
                <w:sz w:val="14"/>
                <w:szCs w:val="14"/>
                <w:lang w:eastAsia="sk-SK"/>
              </w:rPr>
              <w:t>spotrebná daň z minerálneho oleja</w:t>
            </w:r>
          </w:p>
        </w:tc>
        <w:tc>
          <w:tcPr>
            <w:tcW w:w="477" w:type="pct"/>
            <w:shd w:val="clear" w:color="auto" w:fill="auto"/>
            <w:noWrap/>
            <w:vAlign w:val="center"/>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-644</w:t>
            </w:r>
          </w:p>
        </w:tc>
        <w:tc>
          <w:tcPr>
            <w:tcW w:w="477" w:type="pct"/>
            <w:shd w:val="clear" w:color="auto" w:fill="auto"/>
            <w:noWrap/>
            <w:vAlign w:val="center"/>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-810</w:t>
            </w:r>
          </w:p>
        </w:tc>
        <w:tc>
          <w:tcPr>
            <w:tcW w:w="477" w:type="pct"/>
            <w:shd w:val="clear" w:color="auto" w:fill="auto"/>
            <w:noWrap/>
            <w:vAlign w:val="center"/>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-870</w:t>
            </w:r>
          </w:p>
        </w:tc>
        <w:tc>
          <w:tcPr>
            <w:tcW w:w="477" w:type="pct"/>
            <w:shd w:val="clear" w:color="auto" w:fill="auto"/>
            <w:noWrap/>
            <w:vAlign w:val="center"/>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0</w:t>
            </w:r>
          </w:p>
        </w:tc>
        <w:tc>
          <w:tcPr>
            <w:tcW w:w="477" w:type="pct"/>
            <w:shd w:val="clear" w:color="auto" w:fill="auto"/>
            <w:noWrap/>
            <w:vAlign w:val="center"/>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0</w:t>
            </w:r>
          </w:p>
        </w:tc>
        <w:tc>
          <w:tcPr>
            <w:tcW w:w="520" w:type="pct"/>
            <w:shd w:val="clear" w:color="auto" w:fill="auto"/>
            <w:noWrap/>
            <w:vAlign w:val="center"/>
          </w:tcPr>
          <w:p w:rsidR="004B7D85" w:rsidRPr="004B7D85" w:rsidRDefault="004B7D85" w:rsidP="00115151">
            <w:pPr>
              <w:jc w:val="right"/>
              <w:rPr>
                <w:rFonts w:ascii="Times New Roman" w:hAnsi="Times New Roman" w:cs="Times New Roman"/>
                <w:i/>
                <w:iCs/>
                <w:color w:val="000000"/>
                <w:sz w:val="14"/>
                <w:szCs w:val="14"/>
                <w:lang w:eastAsia="sk-SK"/>
              </w:rPr>
            </w:pPr>
            <w:r w:rsidRPr="004B7D85">
              <w:rPr>
                <w:rFonts w:ascii="Times New Roman" w:hAnsi="Times New Roman" w:cs="Times New Roman"/>
                <w:i/>
                <w:iCs/>
                <w:color w:val="000000"/>
                <w:sz w:val="14"/>
                <w:szCs w:val="14"/>
                <w:lang w:eastAsia="sk-SK"/>
              </w:rPr>
              <w:t>0</w:t>
            </w:r>
          </w:p>
        </w:tc>
      </w:tr>
      <w:tr w:rsidR="004B7D85" w:rsidRPr="004B7D85" w:rsidTr="004B7D85">
        <w:trPr>
          <w:trHeight w:val="270"/>
        </w:trPr>
        <w:tc>
          <w:tcPr>
            <w:tcW w:w="2095"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Orientačná výška daňových výdavkov*</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1 109 160</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1 343 060</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1 186 939</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1 133 865</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1 156 992</w:t>
            </w:r>
          </w:p>
        </w:tc>
        <w:tc>
          <w:tcPr>
            <w:tcW w:w="520"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1 192 575</w:t>
            </w:r>
          </w:p>
        </w:tc>
      </w:tr>
      <w:tr w:rsidR="004B7D85" w:rsidRPr="004B7D85" w:rsidTr="004B7D85">
        <w:trPr>
          <w:trHeight w:val="270"/>
        </w:trPr>
        <w:tc>
          <w:tcPr>
            <w:tcW w:w="2095"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Orientačná výška DV v % daňových príjmov**</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5.1</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6.0</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5.0</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4.5</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4.3</w:t>
            </w:r>
          </w:p>
        </w:tc>
        <w:tc>
          <w:tcPr>
            <w:tcW w:w="520"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4.2</w:t>
            </w:r>
          </w:p>
        </w:tc>
      </w:tr>
      <w:tr w:rsidR="004B7D85" w:rsidRPr="004B7D85" w:rsidTr="004B7D85">
        <w:trPr>
          <w:trHeight w:val="270"/>
        </w:trPr>
        <w:tc>
          <w:tcPr>
            <w:tcW w:w="2095"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Orientačná výška daňových výdavkov v % HDP*</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1.4</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1.7</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1.4</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1.3</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1.2</w:t>
            </w:r>
          </w:p>
        </w:tc>
        <w:tc>
          <w:tcPr>
            <w:tcW w:w="520"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1.2</w:t>
            </w:r>
          </w:p>
        </w:tc>
      </w:tr>
      <w:tr w:rsidR="004B7D85" w:rsidRPr="004B7D85" w:rsidTr="004B7D85">
        <w:trPr>
          <w:trHeight w:val="270"/>
        </w:trPr>
        <w:tc>
          <w:tcPr>
            <w:tcW w:w="2095"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Zmena výšky daňových výdavkov*</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7 631</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233 900</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-156 121</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-53 075</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23 128</w:t>
            </w:r>
          </w:p>
        </w:tc>
        <w:tc>
          <w:tcPr>
            <w:tcW w:w="520"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35 583</w:t>
            </w:r>
          </w:p>
        </w:tc>
      </w:tr>
      <w:tr w:rsidR="004B7D85" w:rsidRPr="004B7D85" w:rsidTr="004B7D85">
        <w:trPr>
          <w:trHeight w:val="270"/>
        </w:trPr>
        <w:tc>
          <w:tcPr>
            <w:tcW w:w="2095"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Zmena výšky DV v % daňových príjmov**</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-0.4</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0.9</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-1.0</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-0.4</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-0.2</w:t>
            </w:r>
          </w:p>
        </w:tc>
        <w:tc>
          <w:tcPr>
            <w:tcW w:w="520"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-0.1</w:t>
            </w:r>
          </w:p>
        </w:tc>
      </w:tr>
      <w:tr w:rsidR="004B7D85" w:rsidRPr="004B7D85" w:rsidTr="004B7D85">
        <w:trPr>
          <w:trHeight w:val="270"/>
        </w:trPr>
        <w:tc>
          <w:tcPr>
            <w:tcW w:w="2095" w:type="pct"/>
            <w:shd w:val="clear" w:color="auto" w:fill="auto"/>
            <w:noWrap/>
            <w:vAlign w:val="center"/>
            <w:hideMark/>
          </w:tcPr>
          <w:p w:rsidR="004B7D85" w:rsidRPr="004B7D85" w:rsidRDefault="004B7D85" w:rsidP="00115151">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Zmena výšk</w:t>
            </w:r>
            <w:r w:rsidR="00115151">
              <w:rPr>
                <w:rFonts w:ascii="Times New Roman" w:hAnsi="Times New Roman" w:cs="Times New Roman"/>
                <w:b/>
                <w:bCs/>
                <w:color w:val="000000"/>
                <w:sz w:val="14"/>
                <w:szCs w:val="14"/>
                <w:lang w:eastAsia="sk-SK"/>
              </w:rPr>
              <w:t>y</w:t>
            </w:r>
            <w:r w:rsidRPr="004B7D85">
              <w:rPr>
                <w:rFonts w:ascii="Times New Roman" w:hAnsi="Times New Roman" w:cs="Times New Roman"/>
                <w:b/>
                <w:bCs/>
                <w:color w:val="000000"/>
                <w:sz w:val="14"/>
                <w:szCs w:val="14"/>
                <w:lang w:eastAsia="sk-SK"/>
              </w:rPr>
              <w:t xml:space="preserve"> daňových výdavkov v % HDP*</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0.0</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0.2</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-0.3</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-0.1</w:t>
            </w:r>
          </w:p>
        </w:tc>
        <w:tc>
          <w:tcPr>
            <w:tcW w:w="477"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-0.1</w:t>
            </w:r>
          </w:p>
        </w:tc>
        <w:tc>
          <w:tcPr>
            <w:tcW w:w="520" w:type="pct"/>
            <w:shd w:val="clear" w:color="auto" w:fill="auto"/>
            <w:noWrap/>
            <w:vAlign w:val="center"/>
            <w:hideMark/>
          </w:tcPr>
          <w:p w:rsidR="004B7D85" w:rsidRPr="004B7D85" w:rsidRDefault="004B7D85" w:rsidP="00115151">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0.0</w:t>
            </w:r>
          </w:p>
        </w:tc>
      </w:tr>
    </w:tbl>
    <w:p w:rsidR="004B7D85" w:rsidRPr="004B7D85" w:rsidRDefault="004B7D85" w:rsidP="004B7D85">
      <w:pPr>
        <w:rPr>
          <w:rFonts w:ascii="Times New Roman" w:hAnsi="Times New Roman" w:cs="Times New Roman"/>
          <w:i/>
          <w:iCs/>
          <w:color w:val="000000"/>
          <w:sz w:val="16"/>
          <w:szCs w:val="16"/>
          <w:lang w:eastAsia="sk-SK"/>
        </w:rPr>
      </w:pPr>
      <w:r w:rsidRPr="004B7D85">
        <w:rPr>
          <w:rFonts w:ascii="Times New Roman" w:hAnsi="Times New Roman" w:cs="Times New Roman"/>
          <w:i/>
          <w:iCs/>
          <w:color w:val="000000"/>
          <w:sz w:val="16"/>
          <w:szCs w:val="16"/>
          <w:lang w:eastAsia="sk-SK"/>
        </w:rPr>
        <w:t>* Súčet samostatne kvantifikovaných daňových výdavkov, čo môže byť spojené s chybou navzájom ovplyvňujúcich sa daňových výdavkov</w:t>
      </w:r>
      <w:r w:rsidR="00082657">
        <w:rPr>
          <w:rFonts w:ascii="Times New Roman" w:hAnsi="Times New Roman" w:cs="Times New Roman"/>
          <w:i/>
          <w:iCs/>
          <w:color w:val="000000"/>
          <w:sz w:val="16"/>
          <w:szCs w:val="16"/>
          <w:lang w:eastAsia="sk-SK"/>
        </w:rPr>
        <w:t>.</w:t>
      </w:r>
    </w:p>
    <w:p w:rsidR="004B7D85" w:rsidRPr="004B7D85" w:rsidRDefault="004B7D85" w:rsidP="004B7D85">
      <w:pPr>
        <w:jc w:val="both"/>
        <w:rPr>
          <w:rFonts w:ascii="Times New Roman" w:hAnsi="Times New Roman" w:cs="Times New Roman"/>
          <w:color w:val="000000"/>
          <w:sz w:val="22"/>
          <w:szCs w:val="22"/>
          <w:highlight w:val="yellow"/>
          <w:lang w:eastAsia="sk-SK"/>
        </w:rPr>
      </w:pPr>
      <w:r w:rsidRPr="004B7D85">
        <w:rPr>
          <w:rFonts w:ascii="Times New Roman" w:hAnsi="Times New Roman" w:cs="Times New Roman"/>
          <w:i/>
          <w:iCs/>
          <w:color w:val="000000"/>
          <w:sz w:val="16"/>
          <w:szCs w:val="16"/>
          <w:lang w:eastAsia="sk-SK"/>
        </w:rPr>
        <w:t xml:space="preserve">* * Podiel na </w:t>
      </w:r>
      <w:r w:rsidR="00082657" w:rsidRPr="004B7D85">
        <w:rPr>
          <w:rFonts w:ascii="Times New Roman" w:hAnsi="Times New Roman" w:cs="Times New Roman"/>
          <w:i/>
          <w:iCs/>
          <w:color w:val="000000"/>
          <w:sz w:val="16"/>
          <w:szCs w:val="16"/>
          <w:lang w:eastAsia="sk-SK"/>
        </w:rPr>
        <w:t>súvisiacich</w:t>
      </w:r>
      <w:r w:rsidRPr="004B7D85">
        <w:rPr>
          <w:rFonts w:ascii="Times New Roman" w:hAnsi="Times New Roman" w:cs="Times New Roman"/>
          <w:i/>
          <w:iCs/>
          <w:color w:val="000000"/>
          <w:sz w:val="16"/>
          <w:szCs w:val="16"/>
          <w:lang w:eastAsia="sk-SK"/>
        </w:rPr>
        <w:t xml:space="preserve"> daňových príjmoch</w:t>
      </w:r>
      <w:r w:rsidR="00082657">
        <w:rPr>
          <w:rFonts w:ascii="Times New Roman" w:hAnsi="Times New Roman" w:cs="Times New Roman"/>
          <w:i/>
          <w:iCs/>
          <w:color w:val="000000"/>
          <w:sz w:val="16"/>
          <w:szCs w:val="16"/>
          <w:lang w:eastAsia="sk-SK"/>
        </w:rPr>
        <w:t>.</w:t>
      </w:r>
    </w:p>
    <w:p w:rsidR="004C24E6" w:rsidRDefault="004C24E6" w:rsidP="004B7D85">
      <w:pPr>
        <w:spacing w:line="276" w:lineRule="auto"/>
        <w:ind w:firstLine="708"/>
        <w:jc w:val="both"/>
        <w:rPr>
          <w:rFonts w:ascii="Times New Roman" w:hAnsi="Times New Roman" w:cs="Times New Roman"/>
          <w:color w:val="000000"/>
          <w:szCs w:val="22"/>
          <w:lang w:eastAsia="sk-SK"/>
        </w:rPr>
      </w:pPr>
    </w:p>
    <w:p w:rsidR="004B7D85" w:rsidRDefault="004B7D85" w:rsidP="004C24E6">
      <w:pPr>
        <w:ind w:firstLine="708"/>
        <w:jc w:val="both"/>
        <w:rPr>
          <w:rFonts w:ascii="Times New Roman" w:hAnsi="Times New Roman" w:cs="Times New Roman"/>
          <w:color w:val="000000"/>
          <w:szCs w:val="22"/>
          <w:lang w:eastAsia="sk-SK"/>
        </w:rPr>
      </w:pPr>
      <w:r w:rsidRPr="004B7D85">
        <w:rPr>
          <w:rFonts w:ascii="Times New Roman" w:hAnsi="Times New Roman" w:cs="Times New Roman"/>
          <w:color w:val="000000"/>
          <w:szCs w:val="22"/>
          <w:lang w:eastAsia="sk-SK"/>
        </w:rPr>
        <w:t xml:space="preserve">Celková výška daňových výdavkov je kvôli ich vzájomnému ovplyvňovaniu len orientačná. Pri </w:t>
      </w:r>
      <w:r w:rsidR="00082657" w:rsidRPr="004B7D85">
        <w:rPr>
          <w:rFonts w:ascii="Times New Roman" w:hAnsi="Times New Roman" w:cs="Times New Roman"/>
          <w:color w:val="000000"/>
          <w:szCs w:val="22"/>
          <w:lang w:eastAsia="sk-SK"/>
        </w:rPr>
        <w:t>stanovenom</w:t>
      </w:r>
      <w:r w:rsidRPr="004B7D85">
        <w:rPr>
          <w:rFonts w:ascii="Times New Roman" w:hAnsi="Times New Roman" w:cs="Times New Roman"/>
          <w:color w:val="000000"/>
          <w:szCs w:val="22"/>
          <w:lang w:eastAsia="sk-SK"/>
        </w:rPr>
        <w:t xml:space="preserve"> </w:t>
      </w:r>
      <w:proofErr w:type="spellStart"/>
      <w:r w:rsidRPr="004B7D85">
        <w:rPr>
          <w:rFonts w:ascii="Times New Roman" w:hAnsi="Times New Roman" w:cs="Times New Roman"/>
          <w:color w:val="000000"/>
          <w:szCs w:val="22"/>
          <w:lang w:eastAsia="sk-SK"/>
        </w:rPr>
        <w:t>benchmarku</w:t>
      </w:r>
      <w:proofErr w:type="spellEnd"/>
      <w:r w:rsidRPr="004B7D85">
        <w:rPr>
          <w:rFonts w:ascii="Times New Roman" w:hAnsi="Times New Roman" w:cs="Times New Roman"/>
          <w:color w:val="000000"/>
          <w:szCs w:val="22"/>
          <w:lang w:eastAsia="sk-SK"/>
        </w:rPr>
        <w:t xml:space="preserve"> na úrovni legislatívy </w:t>
      </w:r>
      <w:r w:rsidR="00082657">
        <w:rPr>
          <w:rFonts w:ascii="Times New Roman" w:hAnsi="Times New Roman" w:cs="Times New Roman"/>
          <w:color w:val="000000"/>
          <w:szCs w:val="22"/>
          <w:lang w:eastAsia="sk-SK"/>
        </w:rPr>
        <w:t xml:space="preserve">roku </w:t>
      </w:r>
      <w:r w:rsidRPr="004B7D85">
        <w:rPr>
          <w:rFonts w:ascii="Times New Roman" w:hAnsi="Times New Roman" w:cs="Times New Roman"/>
          <w:color w:val="000000"/>
          <w:szCs w:val="22"/>
          <w:lang w:eastAsia="sk-SK"/>
        </w:rPr>
        <w:t>2018 dosiahla úroveň daňových výdavkov v roku 2017 výšku 1 186,9 mil</w:t>
      </w:r>
      <w:r w:rsidR="00082657">
        <w:rPr>
          <w:rFonts w:ascii="Times New Roman" w:hAnsi="Times New Roman" w:cs="Times New Roman"/>
          <w:color w:val="000000"/>
          <w:szCs w:val="22"/>
          <w:lang w:eastAsia="sk-SK"/>
        </w:rPr>
        <w:t>.</w:t>
      </w:r>
      <w:r w:rsidRPr="004B7D85">
        <w:rPr>
          <w:rFonts w:ascii="Times New Roman" w:hAnsi="Times New Roman" w:cs="Times New Roman"/>
          <w:color w:val="000000"/>
          <w:szCs w:val="22"/>
          <w:lang w:eastAsia="sk-SK"/>
        </w:rPr>
        <w:t xml:space="preserve"> eur (1,4 % HDP). V roku 2018, na ktorý sa zostavuje rozpočet</w:t>
      </w:r>
      <w:r w:rsidR="00115151">
        <w:rPr>
          <w:rFonts w:ascii="Times New Roman" w:hAnsi="Times New Roman" w:cs="Times New Roman"/>
          <w:color w:val="000000"/>
          <w:szCs w:val="22"/>
          <w:lang w:eastAsia="sk-SK"/>
        </w:rPr>
        <w:t>,</w:t>
      </w:r>
      <w:r w:rsidRPr="004B7D85">
        <w:rPr>
          <w:rFonts w:ascii="Times New Roman" w:hAnsi="Times New Roman" w:cs="Times New Roman"/>
          <w:color w:val="000000"/>
          <w:szCs w:val="22"/>
          <w:lang w:eastAsia="sk-SK"/>
        </w:rPr>
        <w:t xml:space="preserve"> dochádza k  poklesu daňových výdavkov, najmä z dôvodu zavedenia dane z dividend.</w:t>
      </w:r>
      <w:r w:rsidRPr="004B7D85">
        <w:rPr>
          <w:rFonts w:ascii="Times New Roman" w:hAnsi="Times New Roman" w:cs="Times New Roman"/>
          <w:b/>
          <w:color w:val="000000"/>
          <w:szCs w:val="22"/>
          <w:lang w:eastAsia="sk-SK"/>
        </w:rPr>
        <w:t xml:space="preserve"> </w:t>
      </w:r>
      <w:r w:rsidRPr="004B7D85">
        <w:rPr>
          <w:rFonts w:ascii="Times New Roman" w:hAnsi="Times New Roman" w:cs="Times New Roman"/>
          <w:color w:val="000000"/>
          <w:szCs w:val="22"/>
          <w:lang w:eastAsia="sk-SK"/>
        </w:rPr>
        <w:t xml:space="preserve">Od roku 2018 je zavedená 7 % daň z dividend, pričom sa rušia zdravotné odvody, ktoré boli doteraz z dividend platené. Od roku 2018 dochádza k zrušeniu daňovej licencie, čo výrazne zníži </w:t>
      </w:r>
      <w:r w:rsidR="00082657" w:rsidRPr="004B7D85">
        <w:rPr>
          <w:rFonts w:ascii="Times New Roman" w:hAnsi="Times New Roman" w:cs="Times New Roman"/>
          <w:color w:val="000000"/>
          <w:szCs w:val="22"/>
          <w:lang w:eastAsia="sk-SK"/>
        </w:rPr>
        <w:t>negatívne</w:t>
      </w:r>
      <w:r w:rsidRPr="004B7D85">
        <w:rPr>
          <w:rFonts w:ascii="Times New Roman" w:hAnsi="Times New Roman" w:cs="Times New Roman"/>
          <w:color w:val="000000"/>
          <w:szCs w:val="22"/>
          <w:lang w:eastAsia="sk-SK"/>
        </w:rPr>
        <w:t xml:space="preserve"> daňové výdavky. V ďalších rokoch sa predpokladá stabilizácia daňových výdavkov na HDP.</w:t>
      </w:r>
      <w:r w:rsidRPr="004B7D85">
        <w:rPr>
          <w:rFonts w:ascii="Times New Roman" w:hAnsi="Times New Roman" w:cs="Times New Roman"/>
          <w:b/>
          <w:color w:val="000000"/>
          <w:szCs w:val="22"/>
          <w:lang w:eastAsia="sk-SK"/>
        </w:rPr>
        <w:t xml:space="preserve"> </w:t>
      </w:r>
      <w:r w:rsidRPr="004B7D85">
        <w:rPr>
          <w:rFonts w:ascii="Times New Roman" w:hAnsi="Times New Roman" w:cs="Times New Roman"/>
          <w:color w:val="000000"/>
          <w:szCs w:val="22"/>
          <w:lang w:eastAsia="sk-SK"/>
        </w:rPr>
        <w:t>Nižšie uvedená tabuľka poskytuje detailnejší prehľad existujúcich daňových výdavkov podľa účelu ich použitia.</w:t>
      </w:r>
    </w:p>
    <w:p w:rsidR="005F3204" w:rsidRDefault="005F3204" w:rsidP="004B7D85">
      <w:pPr>
        <w:spacing w:line="276" w:lineRule="auto"/>
        <w:ind w:firstLine="708"/>
        <w:jc w:val="both"/>
        <w:rPr>
          <w:rFonts w:ascii="Times New Roman" w:hAnsi="Times New Roman" w:cs="Times New Roman"/>
          <w:color w:val="000000"/>
          <w:szCs w:val="22"/>
          <w:lang w:eastAsia="sk-SK"/>
        </w:rPr>
      </w:pPr>
    </w:p>
    <w:p w:rsidR="005F3204" w:rsidRDefault="005F3204" w:rsidP="004B7D85">
      <w:pPr>
        <w:spacing w:line="276" w:lineRule="auto"/>
        <w:ind w:firstLine="708"/>
        <w:jc w:val="both"/>
        <w:rPr>
          <w:rFonts w:ascii="Times New Roman" w:hAnsi="Times New Roman" w:cs="Times New Roman"/>
          <w:color w:val="000000"/>
          <w:szCs w:val="22"/>
          <w:lang w:eastAsia="sk-SK"/>
        </w:rPr>
      </w:pPr>
    </w:p>
    <w:p w:rsidR="005F3204" w:rsidRDefault="005F3204" w:rsidP="004B7D85">
      <w:pPr>
        <w:spacing w:line="276" w:lineRule="auto"/>
        <w:ind w:firstLine="708"/>
        <w:jc w:val="both"/>
        <w:rPr>
          <w:rFonts w:ascii="Times New Roman" w:hAnsi="Times New Roman" w:cs="Times New Roman"/>
          <w:color w:val="000000"/>
          <w:szCs w:val="22"/>
          <w:lang w:eastAsia="sk-SK"/>
        </w:rPr>
      </w:pPr>
    </w:p>
    <w:p w:rsidR="005F3204" w:rsidRDefault="005F3204" w:rsidP="004B7D85">
      <w:pPr>
        <w:spacing w:line="276" w:lineRule="auto"/>
        <w:ind w:firstLine="708"/>
        <w:jc w:val="both"/>
        <w:rPr>
          <w:rFonts w:ascii="Times New Roman" w:hAnsi="Times New Roman" w:cs="Times New Roman"/>
          <w:color w:val="000000"/>
          <w:szCs w:val="22"/>
          <w:lang w:eastAsia="sk-SK"/>
        </w:rPr>
      </w:pPr>
    </w:p>
    <w:p w:rsidR="005F3204" w:rsidRDefault="005F3204" w:rsidP="004B7D85">
      <w:pPr>
        <w:spacing w:line="276" w:lineRule="auto"/>
        <w:ind w:firstLine="708"/>
        <w:jc w:val="both"/>
        <w:rPr>
          <w:rFonts w:ascii="Times New Roman" w:hAnsi="Times New Roman" w:cs="Times New Roman"/>
          <w:color w:val="000000"/>
          <w:szCs w:val="22"/>
          <w:lang w:eastAsia="sk-SK"/>
        </w:rPr>
      </w:pPr>
    </w:p>
    <w:p w:rsidR="005F3204" w:rsidRDefault="005F3204" w:rsidP="004B7D85">
      <w:pPr>
        <w:spacing w:line="276" w:lineRule="auto"/>
        <w:ind w:firstLine="708"/>
        <w:jc w:val="both"/>
        <w:rPr>
          <w:rFonts w:ascii="Times New Roman" w:hAnsi="Times New Roman" w:cs="Times New Roman"/>
          <w:color w:val="000000"/>
          <w:szCs w:val="22"/>
          <w:lang w:eastAsia="sk-SK"/>
        </w:rPr>
      </w:pPr>
    </w:p>
    <w:p w:rsidR="005F3204" w:rsidRDefault="005F3204" w:rsidP="004B7D85">
      <w:pPr>
        <w:spacing w:line="276" w:lineRule="auto"/>
        <w:ind w:firstLine="708"/>
        <w:jc w:val="both"/>
        <w:rPr>
          <w:rFonts w:ascii="Times New Roman" w:hAnsi="Times New Roman" w:cs="Times New Roman"/>
          <w:color w:val="000000"/>
          <w:szCs w:val="22"/>
          <w:lang w:eastAsia="sk-SK"/>
        </w:rPr>
      </w:pPr>
    </w:p>
    <w:p w:rsidR="005F3204" w:rsidRDefault="005F3204" w:rsidP="004B7D85">
      <w:pPr>
        <w:spacing w:line="276" w:lineRule="auto"/>
        <w:ind w:firstLine="708"/>
        <w:jc w:val="both"/>
        <w:rPr>
          <w:rFonts w:ascii="Times New Roman" w:hAnsi="Times New Roman" w:cs="Times New Roman"/>
          <w:color w:val="000000"/>
          <w:szCs w:val="22"/>
          <w:lang w:eastAsia="sk-SK"/>
        </w:rPr>
      </w:pPr>
    </w:p>
    <w:p w:rsidR="005F3204" w:rsidRDefault="005F3204" w:rsidP="004B7D85">
      <w:pPr>
        <w:spacing w:line="276" w:lineRule="auto"/>
        <w:ind w:firstLine="708"/>
        <w:jc w:val="both"/>
        <w:rPr>
          <w:rFonts w:ascii="Times New Roman" w:hAnsi="Times New Roman" w:cs="Times New Roman"/>
          <w:color w:val="000000"/>
          <w:szCs w:val="22"/>
          <w:lang w:eastAsia="sk-SK"/>
        </w:rPr>
      </w:pPr>
    </w:p>
    <w:p w:rsidR="005F3204" w:rsidRDefault="005F3204" w:rsidP="004B7D85">
      <w:pPr>
        <w:spacing w:line="276" w:lineRule="auto"/>
        <w:ind w:firstLine="708"/>
        <w:jc w:val="both"/>
        <w:rPr>
          <w:rFonts w:ascii="Times New Roman" w:hAnsi="Times New Roman" w:cs="Times New Roman"/>
          <w:color w:val="000000"/>
          <w:szCs w:val="22"/>
          <w:lang w:eastAsia="sk-SK"/>
        </w:rPr>
      </w:pPr>
    </w:p>
    <w:p w:rsidR="005F3204" w:rsidRDefault="005F3204" w:rsidP="004B7D85">
      <w:pPr>
        <w:spacing w:line="276" w:lineRule="auto"/>
        <w:ind w:firstLine="708"/>
        <w:jc w:val="both"/>
        <w:rPr>
          <w:rFonts w:ascii="Times New Roman" w:hAnsi="Times New Roman" w:cs="Times New Roman"/>
          <w:color w:val="000000"/>
          <w:szCs w:val="22"/>
          <w:lang w:eastAsia="sk-SK"/>
        </w:rPr>
      </w:pPr>
    </w:p>
    <w:p w:rsidR="005F3204" w:rsidRDefault="005F3204" w:rsidP="004B7D85">
      <w:pPr>
        <w:spacing w:line="276" w:lineRule="auto"/>
        <w:ind w:firstLine="708"/>
        <w:jc w:val="both"/>
        <w:rPr>
          <w:rFonts w:ascii="Times New Roman" w:hAnsi="Times New Roman" w:cs="Times New Roman"/>
          <w:color w:val="000000"/>
          <w:szCs w:val="22"/>
          <w:lang w:eastAsia="sk-SK"/>
        </w:rPr>
      </w:pPr>
    </w:p>
    <w:p w:rsidR="005F3204" w:rsidRDefault="005F3204" w:rsidP="004B7D85">
      <w:pPr>
        <w:spacing w:line="276" w:lineRule="auto"/>
        <w:ind w:firstLine="708"/>
        <w:jc w:val="both"/>
        <w:rPr>
          <w:rFonts w:ascii="Times New Roman" w:hAnsi="Times New Roman" w:cs="Times New Roman"/>
          <w:color w:val="000000"/>
          <w:szCs w:val="22"/>
          <w:lang w:eastAsia="sk-SK"/>
        </w:rPr>
      </w:pPr>
    </w:p>
    <w:p w:rsidR="005F3204" w:rsidRDefault="005F3204" w:rsidP="004B7D85">
      <w:pPr>
        <w:spacing w:line="276" w:lineRule="auto"/>
        <w:ind w:firstLine="708"/>
        <w:jc w:val="both"/>
        <w:rPr>
          <w:rFonts w:ascii="Times New Roman" w:hAnsi="Times New Roman" w:cs="Times New Roman"/>
          <w:color w:val="000000"/>
          <w:szCs w:val="22"/>
          <w:lang w:eastAsia="sk-SK"/>
        </w:rPr>
      </w:pPr>
    </w:p>
    <w:p w:rsidR="005F3204" w:rsidRDefault="005F3204" w:rsidP="004B7D85">
      <w:pPr>
        <w:spacing w:line="276" w:lineRule="auto"/>
        <w:ind w:firstLine="708"/>
        <w:jc w:val="both"/>
        <w:rPr>
          <w:rFonts w:ascii="Times New Roman" w:hAnsi="Times New Roman" w:cs="Times New Roman"/>
          <w:color w:val="000000"/>
          <w:szCs w:val="22"/>
          <w:lang w:eastAsia="sk-SK"/>
        </w:rPr>
      </w:pPr>
    </w:p>
    <w:p w:rsidR="005F3204" w:rsidRDefault="005F3204" w:rsidP="004B7D85">
      <w:pPr>
        <w:spacing w:line="276" w:lineRule="auto"/>
        <w:ind w:firstLine="708"/>
        <w:jc w:val="both"/>
        <w:rPr>
          <w:rFonts w:ascii="Times New Roman" w:hAnsi="Times New Roman" w:cs="Times New Roman"/>
          <w:color w:val="000000"/>
          <w:szCs w:val="22"/>
          <w:lang w:eastAsia="sk-SK"/>
        </w:rPr>
      </w:pPr>
    </w:p>
    <w:p w:rsidR="005F3204" w:rsidRDefault="005F3204" w:rsidP="004B7D85">
      <w:pPr>
        <w:spacing w:line="276" w:lineRule="auto"/>
        <w:ind w:firstLine="708"/>
        <w:jc w:val="both"/>
        <w:rPr>
          <w:rFonts w:ascii="Times New Roman" w:hAnsi="Times New Roman" w:cs="Times New Roman"/>
          <w:color w:val="000000"/>
          <w:szCs w:val="22"/>
          <w:lang w:eastAsia="sk-SK"/>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1"/>
        <w:gridCol w:w="995"/>
        <w:gridCol w:w="679"/>
        <w:gridCol w:w="712"/>
        <w:gridCol w:w="668"/>
        <w:gridCol w:w="664"/>
        <w:gridCol w:w="664"/>
        <w:gridCol w:w="664"/>
      </w:tblGrid>
      <w:tr w:rsidR="00082657" w:rsidRPr="004B7D85" w:rsidTr="004F01E4">
        <w:trPr>
          <w:trHeight w:val="161"/>
        </w:trPr>
        <w:tc>
          <w:tcPr>
            <w:tcW w:w="2326" w:type="pct"/>
            <w:vMerge w:val="restart"/>
            <w:shd w:val="clear" w:color="auto" w:fill="A6A6A6" w:themeFill="background1" w:themeFillShade="A6"/>
            <w:vAlign w:val="center"/>
            <w:hideMark/>
          </w:tcPr>
          <w:p w:rsidR="004B7D85" w:rsidRPr="004B7D85" w:rsidRDefault="004B7D85" w:rsidP="004B7D85">
            <w:pPr>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lastRenderedPageBreak/>
              <w:t>Prehľad daňových výdavkov podľa ich účelu (ESA</w:t>
            </w:r>
            <w:r>
              <w:rPr>
                <w:rFonts w:ascii="Times New Roman" w:hAnsi="Times New Roman" w:cs="Times New Roman"/>
                <w:b/>
                <w:bCs/>
                <w:sz w:val="14"/>
                <w:szCs w:val="14"/>
                <w:lang w:eastAsia="sk-SK"/>
              </w:rPr>
              <w:t xml:space="preserve"> </w:t>
            </w:r>
            <w:r w:rsidRPr="004B7D85">
              <w:rPr>
                <w:rFonts w:ascii="Times New Roman" w:hAnsi="Times New Roman" w:cs="Times New Roman"/>
                <w:b/>
                <w:bCs/>
                <w:sz w:val="14"/>
                <w:szCs w:val="14"/>
                <w:lang w:eastAsia="sk-SK"/>
              </w:rPr>
              <w:t>2010, tis.</w:t>
            </w:r>
            <w:r>
              <w:rPr>
                <w:rFonts w:ascii="Times New Roman" w:hAnsi="Times New Roman" w:cs="Times New Roman"/>
                <w:b/>
                <w:bCs/>
                <w:sz w:val="14"/>
                <w:szCs w:val="14"/>
                <w:lang w:eastAsia="sk-SK"/>
              </w:rPr>
              <w:t xml:space="preserve"> e</w:t>
            </w:r>
            <w:r w:rsidRPr="004B7D85">
              <w:rPr>
                <w:rFonts w:ascii="Times New Roman" w:hAnsi="Times New Roman" w:cs="Times New Roman"/>
                <w:b/>
                <w:bCs/>
                <w:sz w:val="14"/>
                <w:szCs w:val="14"/>
                <w:lang w:eastAsia="sk-SK"/>
              </w:rPr>
              <w:t>ur)</w:t>
            </w:r>
          </w:p>
        </w:tc>
        <w:tc>
          <w:tcPr>
            <w:tcW w:w="527" w:type="pct"/>
            <w:vMerge w:val="restart"/>
            <w:shd w:val="clear" w:color="auto" w:fill="A6A6A6" w:themeFill="background1" w:themeFillShade="A6"/>
            <w:noWrap/>
            <w:vAlign w:val="center"/>
            <w:hideMark/>
          </w:tcPr>
          <w:p w:rsidR="004B7D85" w:rsidRPr="004B7D85" w:rsidRDefault="004B7D85" w:rsidP="004B7D85">
            <w:pPr>
              <w:jc w:val="cente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Daň</w:t>
            </w:r>
          </w:p>
        </w:tc>
        <w:tc>
          <w:tcPr>
            <w:tcW w:w="360" w:type="pct"/>
            <w:vMerge w:val="restart"/>
            <w:shd w:val="clear" w:color="auto" w:fill="A6A6A6" w:themeFill="background1" w:themeFillShade="A6"/>
            <w:noWrap/>
            <w:vAlign w:val="center"/>
            <w:hideMark/>
          </w:tcPr>
          <w:p w:rsidR="004B7D85" w:rsidRPr="004B7D85" w:rsidRDefault="004B7D85" w:rsidP="004B7D85">
            <w:pPr>
              <w:jc w:val="cente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2015</w:t>
            </w:r>
          </w:p>
        </w:tc>
        <w:tc>
          <w:tcPr>
            <w:tcW w:w="377" w:type="pct"/>
            <w:vMerge w:val="restart"/>
            <w:shd w:val="clear" w:color="auto" w:fill="A6A6A6" w:themeFill="background1" w:themeFillShade="A6"/>
            <w:noWrap/>
            <w:vAlign w:val="center"/>
            <w:hideMark/>
          </w:tcPr>
          <w:p w:rsidR="004B7D85" w:rsidRPr="004B7D85" w:rsidRDefault="004B7D85" w:rsidP="004B7D85">
            <w:pPr>
              <w:jc w:val="cente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2016</w:t>
            </w:r>
          </w:p>
        </w:tc>
        <w:tc>
          <w:tcPr>
            <w:tcW w:w="354" w:type="pct"/>
            <w:vMerge w:val="restart"/>
            <w:shd w:val="clear" w:color="auto" w:fill="A6A6A6" w:themeFill="background1" w:themeFillShade="A6"/>
            <w:noWrap/>
            <w:vAlign w:val="center"/>
            <w:hideMark/>
          </w:tcPr>
          <w:p w:rsidR="004B7D85" w:rsidRPr="004B7D85" w:rsidRDefault="004B7D85" w:rsidP="004B7D85">
            <w:pPr>
              <w:jc w:val="cente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2017</w:t>
            </w:r>
          </w:p>
        </w:tc>
        <w:tc>
          <w:tcPr>
            <w:tcW w:w="352" w:type="pct"/>
            <w:vMerge w:val="restart"/>
            <w:shd w:val="clear" w:color="auto" w:fill="A6A6A6" w:themeFill="background1" w:themeFillShade="A6"/>
            <w:noWrap/>
            <w:vAlign w:val="center"/>
            <w:hideMark/>
          </w:tcPr>
          <w:p w:rsidR="004B7D85" w:rsidRPr="004B7D85" w:rsidRDefault="004B7D85" w:rsidP="004B7D85">
            <w:pPr>
              <w:jc w:val="cente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2018</w:t>
            </w:r>
          </w:p>
        </w:tc>
        <w:tc>
          <w:tcPr>
            <w:tcW w:w="352" w:type="pct"/>
            <w:vMerge w:val="restart"/>
            <w:shd w:val="clear" w:color="auto" w:fill="A6A6A6" w:themeFill="background1" w:themeFillShade="A6"/>
            <w:noWrap/>
            <w:vAlign w:val="center"/>
            <w:hideMark/>
          </w:tcPr>
          <w:p w:rsidR="004B7D85" w:rsidRPr="004B7D85" w:rsidRDefault="004B7D85" w:rsidP="004B7D85">
            <w:pPr>
              <w:jc w:val="cente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2019</w:t>
            </w:r>
          </w:p>
        </w:tc>
        <w:tc>
          <w:tcPr>
            <w:tcW w:w="352" w:type="pct"/>
            <w:vMerge w:val="restart"/>
            <w:shd w:val="clear" w:color="auto" w:fill="A6A6A6" w:themeFill="background1" w:themeFillShade="A6"/>
            <w:noWrap/>
            <w:vAlign w:val="center"/>
            <w:hideMark/>
          </w:tcPr>
          <w:p w:rsidR="004B7D85" w:rsidRPr="004B7D85" w:rsidRDefault="004B7D85" w:rsidP="004B7D85">
            <w:pPr>
              <w:jc w:val="cente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2020</w:t>
            </w:r>
          </w:p>
        </w:tc>
      </w:tr>
      <w:tr w:rsidR="00082657" w:rsidRPr="004B7D85" w:rsidTr="004F01E4">
        <w:trPr>
          <w:trHeight w:val="272"/>
        </w:trPr>
        <w:tc>
          <w:tcPr>
            <w:tcW w:w="2326" w:type="pct"/>
            <w:vMerge/>
            <w:shd w:val="clear" w:color="auto" w:fill="A6A6A6" w:themeFill="background1" w:themeFillShade="A6"/>
            <w:vAlign w:val="center"/>
            <w:hideMark/>
          </w:tcPr>
          <w:p w:rsidR="004B7D85" w:rsidRPr="004B7D85" w:rsidRDefault="004B7D85" w:rsidP="004B7D85">
            <w:pPr>
              <w:rPr>
                <w:rFonts w:ascii="Times New Roman" w:hAnsi="Times New Roman" w:cs="Times New Roman"/>
                <w:b/>
                <w:bCs/>
                <w:sz w:val="14"/>
                <w:szCs w:val="14"/>
                <w:lang w:eastAsia="sk-SK"/>
              </w:rPr>
            </w:pPr>
          </w:p>
        </w:tc>
        <w:tc>
          <w:tcPr>
            <w:tcW w:w="527" w:type="pct"/>
            <w:vMerge/>
            <w:shd w:val="clear" w:color="auto" w:fill="A6A6A6" w:themeFill="background1" w:themeFillShade="A6"/>
            <w:vAlign w:val="center"/>
            <w:hideMark/>
          </w:tcPr>
          <w:p w:rsidR="004B7D85" w:rsidRPr="004B7D85" w:rsidRDefault="004B7D85" w:rsidP="004B7D85">
            <w:pPr>
              <w:rPr>
                <w:rFonts w:ascii="Times New Roman" w:hAnsi="Times New Roman" w:cs="Times New Roman"/>
                <w:b/>
                <w:bCs/>
                <w:color w:val="000000"/>
                <w:sz w:val="14"/>
                <w:szCs w:val="14"/>
                <w:lang w:eastAsia="sk-SK"/>
              </w:rPr>
            </w:pPr>
          </w:p>
        </w:tc>
        <w:tc>
          <w:tcPr>
            <w:tcW w:w="360" w:type="pct"/>
            <w:vMerge/>
            <w:shd w:val="clear" w:color="auto" w:fill="A6A6A6" w:themeFill="background1" w:themeFillShade="A6"/>
            <w:vAlign w:val="center"/>
            <w:hideMark/>
          </w:tcPr>
          <w:p w:rsidR="004B7D85" w:rsidRPr="004B7D85" w:rsidRDefault="004B7D85" w:rsidP="004B7D85">
            <w:pPr>
              <w:rPr>
                <w:rFonts w:ascii="Times New Roman" w:hAnsi="Times New Roman" w:cs="Times New Roman"/>
                <w:b/>
                <w:bCs/>
                <w:color w:val="000000"/>
                <w:sz w:val="14"/>
                <w:szCs w:val="14"/>
                <w:lang w:eastAsia="sk-SK"/>
              </w:rPr>
            </w:pPr>
          </w:p>
        </w:tc>
        <w:tc>
          <w:tcPr>
            <w:tcW w:w="377" w:type="pct"/>
            <w:vMerge/>
            <w:shd w:val="clear" w:color="auto" w:fill="A6A6A6" w:themeFill="background1" w:themeFillShade="A6"/>
            <w:vAlign w:val="center"/>
            <w:hideMark/>
          </w:tcPr>
          <w:p w:rsidR="004B7D85" w:rsidRPr="004B7D85" w:rsidRDefault="004B7D85" w:rsidP="004B7D85">
            <w:pPr>
              <w:rPr>
                <w:rFonts w:ascii="Times New Roman" w:hAnsi="Times New Roman" w:cs="Times New Roman"/>
                <w:b/>
                <w:bCs/>
                <w:color w:val="000000"/>
                <w:sz w:val="14"/>
                <w:szCs w:val="14"/>
                <w:lang w:eastAsia="sk-SK"/>
              </w:rPr>
            </w:pPr>
          </w:p>
        </w:tc>
        <w:tc>
          <w:tcPr>
            <w:tcW w:w="354" w:type="pct"/>
            <w:vMerge/>
            <w:shd w:val="clear" w:color="auto" w:fill="A6A6A6" w:themeFill="background1" w:themeFillShade="A6"/>
            <w:vAlign w:val="center"/>
            <w:hideMark/>
          </w:tcPr>
          <w:p w:rsidR="004B7D85" w:rsidRPr="004B7D85" w:rsidRDefault="004B7D85" w:rsidP="004B7D85">
            <w:pPr>
              <w:rPr>
                <w:rFonts w:ascii="Times New Roman" w:hAnsi="Times New Roman" w:cs="Times New Roman"/>
                <w:b/>
                <w:bCs/>
                <w:color w:val="000000"/>
                <w:sz w:val="14"/>
                <w:szCs w:val="14"/>
                <w:lang w:eastAsia="sk-SK"/>
              </w:rPr>
            </w:pPr>
          </w:p>
        </w:tc>
        <w:tc>
          <w:tcPr>
            <w:tcW w:w="352" w:type="pct"/>
            <w:vMerge/>
            <w:shd w:val="clear" w:color="auto" w:fill="A6A6A6" w:themeFill="background1" w:themeFillShade="A6"/>
            <w:vAlign w:val="center"/>
            <w:hideMark/>
          </w:tcPr>
          <w:p w:rsidR="004B7D85" w:rsidRPr="004B7D85" w:rsidRDefault="004B7D85" w:rsidP="004B7D85">
            <w:pPr>
              <w:rPr>
                <w:rFonts w:ascii="Times New Roman" w:hAnsi="Times New Roman" w:cs="Times New Roman"/>
                <w:b/>
                <w:bCs/>
                <w:color w:val="000000"/>
                <w:sz w:val="14"/>
                <w:szCs w:val="14"/>
                <w:lang w:eastAsia="sk-SK"/>
              </w:rPr>
            </w:pPr>
          </w:p>
        </w:tc>
        <w:tc>
          <w:tcPr>
            <w:tcW w:w="352" w:type="pct"/>
            <w:vMerge/>
            <w:shd w:val="clear" w:color="auto" w:fill="A6A6A6" w:themeFill="background1" w:themeFillShade="A6"/>
            <w:vAlign w:val="center"/>
            <w:hideMark/>
          </w:tcPr>
          <w:p w:rsidR="004B7D85" w:rsidRPr="004B7D85" w:rsidRDefault="004B7D85" w:rsidP="004B7D85">
            <w:pPr>
              <w:rPr>
                <w:rFonts w:ascii="Times New Roman" w:hAnsi="Times New Roman" w:cs="Times New Roman"/>
                <w:b/>
                <w:bCs/>
                <w:color w:val="000000"/>
                <w:sz w:val="14"/>
                <w:szCs w:val="14"/>
                <w:lang w:eastAsia="sk-SK"/>
              </w:rPr>
            </w:pPr>
          </w:p>
        </w:tc>
        <w:tc>
          <w:tcPr>
            <w:tcW w:w="352" w:type="pct"/>
            <w:vMerge/>
            <w:shd w:val="clear" w:color="auto" w:fill="A6A6A6" w:themeFill="background1" w:themeFillShade="A6"/>
            <w:vAlign w:val="center"/>
            <w:hideMark/>
          </w:tcPr>
          <w:p w:rsidR="004B7D85" w:rsidRPr="004B7D85" w:rsidRDefault="004B7D85" w:rsidP="004B7D85">
            <w:pPr>
              <w:rPr>
                <w:rFonts w:ascii="Times New Roman" w:hAnsi="Times New Roman" w:cs="Times New Roman"/>
                <w:b/>
                <w:bCs/>
                <w:color w:val="000000"/>
                <w:sz w:val="14"/>
                <w:szCs w:val="14"/>
                <w:lang w:eastAsia="sk-SK"/>
              </w:rPr>
            </w:pP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Podpora trhu práce, zamestnanosti (prácou podmienené benefity)</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b/>
                <w:bCs/>
                <w:color w:val="000000"/>
                <w:sz w:val="14"/>
                <w:szCs w:val="14"/>
                <w:lang w:eastAsia="sk-SK"/>
              </w:rPr>
            </w:pP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164 316</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293 366</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279 562</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255 947</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238 392</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227 998</w:t>
            </w:r>
          </w:p>
        </w:tc>
      </w:tr>
      <w:tr w:rsidR="004B7D85" w:rsidRPr="004B7D85" w:rsidTr="004F01E4">
        <w:trPr>
          <w:trHeight w:val="113"/>
        </w:trPr>
        <w:tc>
          <w:tcPr>
            <w:tcW w:w="2326" w:type="pct"/>
            <w:shd w:val="clear" w:color="auto" w:fill="auto"/>
            <w:vAlign w:val="center"/>
            <w:hideMark/>
          </w:tcPr>
          <w:p w:rsidR="004B7D85" w:rsidRPr="004B7D85" w:rsidRDefault="004B7D85" w:rsidP="004B7D85">
            <w:pPr>
              <w:ind w:firstLineChars="100" w:firstLine="140"/>
              <w:rPr>
                <w:rFonts w:ascii="Times New Roman" w:hAnsi="Times New Roman" w:cs="Times New Roman"/>
                <w:sz w:val="14"/>
                <w:szCs w:val="14"/>
                <w:lang w:eastAsia="sk-SK"/>
              </w:rPr>
            </w:pPr>
            <w:r w:rsidRPr="004B7D85">
              <w:rPr>
                <w:rFonts w:ascii="Times New Roman" w:hAnsi="Times New Roman" w:cs="Times New Roman"/>
                <w:sz w:val="14"/>
                <w:szCs w:val="14"/>
                <w:lang w:eastAsia="sk-SK"/>
              </w:rPr>
              <w:t>Odvodová úľava pre dlhodobo nezamestnaných</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DPFO, SP, ZP</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11 742</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12 217</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13 771</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15 525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17 504</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19 738</w:t>
            </w:r>
          </w:p>
        </w:tc>
      </w:tr>
      <w:tr w:rsidR="004B7D85" w:rsidRPr="004B7D85" w:rsidTr="004F01E4">
        <w:trPr>
          <w:trHeight w:val="113"/>
        </w:trPr>
        <w:tc>
          <w:tcPr>
            <w:tcW w:w="2326" w:type="pct"/>
            <w:shd w:val="clear" w:color="auto" w:fill="auto"/>
            <w:vAlign w:val="center"/>
            <w:hideMark/>
          </w:tcPr>
          <w:p w:rsidR="004B7D85" w:rsidRPr="004B7D85" w:rsidRDefault="004B7D85" w:rsidP="004B7D85">
            <w:pPr>
              <w:ind w:firstLineChars="100" w:firstLine="140"/>
              <w:rPr>
                <w:rFonts w:ascii="Times New Roman" w:hAnsi="Times New Roman" w:cs="Times New Roman"/>
                <w:sz w:val="14"/>
                <w:szCs w:val="14"/>
                <w:lang w:eastAsia="sk-SK"/>
              </w:rPr>
            </w:pPr>
            <w:r w:rsidRPr="004B7D85">
              <w:rPr>
                <w:rFonts w:ascii="Times New Roman" w:hAnsi="Times New Roman" w:cs="Times New Roman"/>
                <w:sz w:val="14"/>
                <w:szCs w:val="14"/>
                <w:lang w:eastAsia="sk-SK"/>
              </w:rPr>
              <w:t>Zamestnanecká prémia</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DPFO, SP, ZP</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829</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14</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r>
      <w:tr w:rsidR="004B7D85" w:rsidRPr="004B7D85" w:rsidTr="004F01E4">
        <w:trPr>
          <w:trHeight w:val="113"/>
        </w:trPr>
        <w:tc>
          <w:tcPr>
            <w:tcW w:w="2326" w:type="pct"/>
            <w:shd w:val="clear" w:color="auto" w:fill="auto"/>
            <w:vAlign w:val="center"/>
            <w:hideMark/>
          </w:tcPr>
          <w:p w:rsidR="004B7D85" w:rsidRPr="004B7D85" w:rsidRDefault="004B7D85" w:rsidP="004B7D85">
            <w:pPr>
              <w:ind w:firstLineChars="100" w:firstLine="140"/>
              <w:rPr>
                <w:rFonts w:ascii="Times New Roman" w:hAnsi="Times New Roman" w:cs="Times New Roman"/>
                <w:sz w:val="14"/>
                <w:szCs w:val="14"/>
                <w:lang w:eastAsia="sk-SK"/>
              </w:rPr>
            </w:pPr>
            <w:r w:rsidRPr="004B7D85">
              <w:rPr>
                <w:rFonts w:ascii="Times New Roman" w:hAnsi="Times New Roman" w:cs="Times New Roman"/>
                <w:sz w:val="14"/>
                <w:szCs w:val="14"/>
                <w:lang w:eastAsia="sk-SK"/>
              </w:rPr>
              <w:t>Dohody o prácach vykonávaných mimo pracovný pomer</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SP, ZP</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67 290</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70 458</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73 988</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77 695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81 587</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85 675</w:t>
            </w:r>
          </w:p>
        </w:tc>
      </w:tr>
      <w:tr w:rsidR="004B7D85" w:rsidRPr="004B7D85" w:rsidTr="004F01E4">
        <w:trPr>
          <w:trHeight w:val="113"/>
        </w:trPr>
        <w:tc>
          <w:tcPr>
            <w:tcW w:w="2326" w:type="pct"/>
            <w:shd w:val="clear" w:color="auto" w:fill="auto"/>
            <w:vAlign w:val="center"/>
            <w:hideMark/>
          </w:tcPr>
          <w:p w:rsidR="004B7D85" w:rsidRPr="004B7D85" w:rsidRDefault="004B7D85" w:rsidP="004B7D85">
            <w:pPr>
              <w:ind w:firstLineChars="100" w:firstLine="140"/>
              <w:rPr>
                <w:rFonts w:ascii="Times New Roman" w:hAnsi="Times New Roman" w:cs="Times New Roman"/>
                <w:sz w:val="14"/>
                <w:szCs w:val="14"/>
                <w:lang w:eastAsia="sk-SK"/>
              </w:rPr>
            </w:pPr>
            <w:r w:rsidRPr="004B7D85">
              <w:rPr>
                <w:rFonts w:ascii="Times New Roman" w:hAnsi="Times New Roman" w:cs="Times New Roman"/>
                <w:sz w:val="14"/>
                <w:szCs w:val="14"/>
                <w:lang w:eastAsia="sk-SK"/>
              </w:rPr>
              <w:t>Odvodová odpočítateľná položka pre nízkopríjmových</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ZP</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84 454</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210 676</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191 803</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162 727</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139 300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122 584</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Sociálna podpora</w:t>
            </w:r>
          </w:p>
        </w:tc>
        <w:tc>
          <w:tcPr>
            <w:tcW w:w="527"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22 991</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102 470</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107 801</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112 289</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117 106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122 334</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 xml:space="preserve">Oslobodenie </w:t>
            </w:r>
            <w:r w:rsidR="00082657" w:rsidRPr="004B7D85">
              <w:rPr>
                <w:rFonts w:ascii="Times New Roman" w:hAnsi="Times New Roman" w:cs="Times New Roman"/>
                <w:color w:val="000000"/>
                <w:sz w:val="14"/>
                <w:szCs w:val="14"/>
                <w:lang w:eastAsia="sk-SK"/>
              </w:rPr>
              <w:t>príspevku</w:t>
            </w:r>
            <w:r w:rsidRPr="004B7D85">
              <w:rPr>
                <w:rFonts w:ascii="Times New Roman" w:hAnsi="Times New Roman" w:cs="Times New Roman"/>
                <w:color w:val="000000"/>
                <w:sz w:val="14"/>
                <w:szCs w:val="14"/>
                <w:lang w:eastAsia="sk-SK"/>
              </w:rPr>
              <w:t xml:space="preserve"> zo </w:t>
            </w:r>
            <w:r w:rsidR="00082657" w:rsidRPr="004B7D85">
              <w:rPr>
                <w:rFonts w:ascii="Times New Roman" w:hAnsi="Times New Roman" w:cs="Times New Roman"/>
                <w:color w:val="000000"/>
                <w:sz w:val="14"/>
                <w:szCs w:val="14"/>
                <w:lang w:eastAsia="sk-SK"/>
              </w:rPr>
              <w:t>sociálneho</w:t>
            </w:r>
            <w:r w:rsidRPr="004B7D85">
              <w:rPr>
                <w:rFonts w:ascii="Times New Roman" w:hAnsi="Times New Roman" w:cs="Times New Roman"/>
                <w:color w:val="000000"/>
                <w:sz w:val="14"/>
                <w:szCs w:val="14"/>
                <w:lang w:eastAsia="sk-SK"/>
              </w:rPr>
              <w:t xml:space="preserve"> fondu na </w:t>
            </w:r>
            <w:r w:rsidR="00082657" w:rsidRPr="004B7D85">
              <w:rPr>
                <w:rFonts w:ascii="Times New Roman" w:hAnsi="Times New Roman" w:cs="Times New Roman"/>
                <w:color w:val="000000"/>
                <w:sz w:val="14"/>
                <w:szCs w:val="14"/>
                <w:lang w:eastAsia="sk-SK"/>
              </w:rPr>
              <w:t>sociálne</w:t>
            </w:r>
            <w:r w:rsidRPr="004B7D85">
              <w:rPr>
                <w:rFonts w:ascii="Times New Roman" w:hAnsi="Times New Roman" w:cs="Times New Roman"/>
                <w:color w:val="000000"/>
                <w:sz w:val="14"/>
                <w:szCs w:val="14"/>
                <w:lang w:eastAsia="sk-SK"/>
              </w:rPr>
              <w:t xml:space="preserve"> </w:t>
            </w:r>
            <w:r w:rsidR="00082657" w:rsidRPr="004B7D85">
              <w:rPr>
                <w:rFonts w:ascii="Times New Roman" w:hAnsi="Times New Roman" w:cs="Times New Roman"/>
                <w:color w:val="000000"/>
                <w:sz w:val="14"/>
                <w:szCs w:val="14"/>
                <w:lang w:eastAsia="sk-SK"/>
              </w:rPr>
              <w:t>účely</w:t>
            </w:r>
            <w:r w:rsidRPr="004B7D85">
              <w:rPr>
                <w:rFonts w:ascii="Times New Roman" w:hAnsi="Times New Roman" w:cs="Times New Roman"/>
                <w:color w:val="000000"/>
                <w:sz w:val="14"/>
                <w:szCs w:val="14"/>
                <w:lang w:eastAsia="sk-SK"/>
              </w:rPr>
              <w:t xml:space="preserve"> </w:t>
            </w:r>
            <w:r w:rsidR="00B85378">
              <w:rPr>
                <w:rFonts w:ascii="Times New Roman" w:hAnsi="Times New Roman" w:cs="Times New Roman"/>
                <w:color w:val="000000"/>
                <w:sz w:val="14"/>
                <w:szCs w:val="14"/>
                <w:lang w:eastAsia="sk-SK"/>
              </w:rPr>
              <w:br/>
              <w:t xml:space="preserve">    do 2 000 eur</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DPFO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796</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796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796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796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796</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Znížená sadzba DPH na vybrané potraviny</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DPH</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76 943</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80 641</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84 376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88 434</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92 875</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Daň zo zemného plynu - fakultatívne oslobodenia</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SD</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22 991</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24 730</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26 364</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27 116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27 875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28 662</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Charita, dary a príspevky</w:t>
            </w:r>
          </w:p>
        </w:tc>
        <w:tc>
          <w:tcPr>
            <w:tcW w:w="527"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56 932</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61 631</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63 236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64 585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68 425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74 222</w:t>
            </w:r>
          </w:p>
        </w:tc>
      </w:tr>
      <w:tr w:rsidR="004B7D85" w:rsidRPr="004B7D85" w:rsidTr="004F01E4">
        <w:trPr>
          <w:trHeight w:val="113"/>
        </w:trPr>
        <w:tc>
          <w:tcPr>
            <w:tcW w:w="2326" w:type="pct"/>
            <w:shd w:val="clear" w:color="auto" w:fill="auto"/>
            <w:vAlign w:val="center"/>
            <w:hideMark/>
          </w:tcPr>
          <w:p w:rsidR="004B7D85" w:rsidRPr="004B7D85" w:rsidRDefault="004B7D85" w:rsidP="004B7D85">
            <w:pPr>
              <w:ind w:firstLineChars="100" w:firstLine="140"/>
              <w:rPr>
                <w:rFonts w:ascii="Times New Roman" w:hAnsi="Times New Roman" w:cs="Times New Roman"/>
                <w:sz w:val="14"/>
                <w:szCs w:val="14"/>
                <w:lang w:eastAsia="sk-SK"/>
              </w:rPr>
            </w:pPr>
            <w:r w:rsidRPr="004B7D85">
              <w:rPr>
                <w:rFonts w:ascii="Times New Roman" w:hAnsi="Times New Roman" w:cs="Times New Roman"/>
                <w:sz w:val="14"/>
                <w:szCs w:val="14"/>
                <w:lang w:eastAsia="sk-SK"/>
              </w:rPr>
              <w:t>Asignácia dane - použitie podielu zaplatenej dane</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DPFO, DPPO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56 932</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61 631</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63 236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64 585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68 425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74 222</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Podpora rodiny</w:t>
            </w:r>
          </w:p>
        </w:tc>
        <w:tc>
          <w:tcPr>
            <w:tcW w:w="527"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323 183</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326 008</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326 237</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331 202</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336 192</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341 277</w:t>
            </w:r>
          </w:p>
        </w:tc>
      </w:tr>
      <w:tr w:rsidR="004B7D85" w:rsidRPr="004B7D85" w:rsidTr="004F01E4">
        <w:trPr>
          <w:trHeight w:val="113"/>
        </w:trPr>
        <w:tc>
          <w:tcPr>
            <w:tcW w:w="2326" w:type="pct"/>
            <w:shd w:val="clear" w:color="auto" w:fill="auto"/>
            <w:vAlign w:val="center"/>
            <w:hideMark/>
          </w:tcPr>
          <w:p w:rsidR="004B7D85" w:rsidRPr="004B7D85" w:rsidRDefault="004B7D85" w:rsidP="004B7D85">
            <w:pPr>
              <w:ind w:firstLineChars="100" w:firstLine="140"/>
              <w:rPr>
                <w:rFonts w:ascii="Times New Roman" w:hAnsi="Times New Roman" w:cs="Times New Roman"/>
                <w:sz w:val="14"/>
                <w:szCs w:val="14"/>
                <w:lang w:eastAsia="sk-SK"/>
              </w:rPr>
            </w:pPr>
            <w:r w:rsidRPr="004B7D85">
              <w:rPr>
                <w:rFonts w:ascii="Times New Roman" w:hAnsi="Times New Roman" w:cs="Times New Roman"/>
                <w:sz w:val="14"/>
                <w:szCs w:val="14"/>
                <w:lang w:eastAsia="sk-SK"/>
              </w:rPr>
              <w:t xml:space="preserve">Uplatňovanie nezdaniteľnej časti základu dane na manžela(ku) </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DPFO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62 777</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62 411</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62 262</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62 625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63 537</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64 140</w:t>
            </w:r>
          </w:p>
        </w:tc>
      </w:tr>
      <w:tr w:rsidR="004B7D85" w:rsidRPr="004B7D85" w:rsidTr="004F01E4">
        <w:trPr>
          <w:trHeight w:val="113"/>
        </w:trPr>
        <w:tc>
          <w:tcPr>
            <w:tcW w:w="2326" w:type="pct"/>
            <w:shd w:val="clear" w:color="auto" w:fill="auto"/>
            <w:vAlign w:val="center"/>
            <w:hideMark/>
          </w:tcPr>
          <w:p w:rsidR="004B7D85" w:rsidRPr="004B7D85" w:rsidRDefault="004B7D85" w:rsidP="004B7D85">
            <w:pPr>
              <w:ind w:firstLineChars="100" w:firstLine="140"/>
              <w:rPr>
                <w:rFonts w:ascii="Times New Roman" w:hAnsi="Times New Roman" w:cs="Times New Roman"/>
                <w:sz w:val="14"/>
                <w:szCs w:val="14"/>
                <w:lang w:eastAsia="sk-SK"/>
              </w:rPr>
            </w:pPr>
            <w:r w:rsidRPr="004B7D85">
              <w:rPr>
                <w:rFonts w:ascii="Times New Roman" w:hAnsi="Times New Roman" w:cs="Times New Roman"/>
                <w:sz w:val="14"/>
                <w:szCs w:val="14"/>
                <w:lang w:eastAsia="sk-SK"/>
              </w:rPr>
              <w:t>Daňový bonus na deti</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DPFO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260 407</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263 597</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263 975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268 577</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272 655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277 137</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Úľavy na DPPO</w:t>
            </w:r>
          </w:p>
        </w:tc>
        <w:tc>
          <w:tcPr>
            <w:tcW w:w="527"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9 643</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12 968</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13 878</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12 810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11 825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10 915</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Doba odpisovania budov 20 rokov</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DPPO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Vstupná cena osobných áut bez limitu</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DPPO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Zahrňovanie DPH neuplatnenej koeficientom do daňových výdavkov</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DPPO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Zmluvné pokuty daňovým výdavkom pred zaplatením</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DPPO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Zrýchlené odpisovanie</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DPPO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9 643</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12 968</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13 878</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12 810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11 825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10 915</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Podpora špecifických odvetví</w:t>
            </w:r>
          </w:p>
        </w:tc>
        <w:tc>
          <w:tcPr>
            <w:tcW w:w="527"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118 135</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117 303</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87 554</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89 326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91 993</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94 129</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Finančný leasing a oslobodenie prenájmu obcí a VÚC</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DPFO, DPPO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9 166</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9 166</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9 166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9 166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9 166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9 166</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 xml:space="preserve">Zmena </w:t>
            </w:r>
            <w:r w:rsidR="00082657" w:rsidRPr="004B7D85">
              <w:rPr>
                <w:rFonts w:ascii="Times New Roman" w:hAnsi="Times New Roman" w:cs="Times New Roman"/>
                <w:color w:val="000000"/>
                <w:sz w:val="14"/>
                <w:szCs w:val="14"/>
                <w:lang w:eastAsia="sk-SK"/>
              </w:rPr>
              <w:t>konštanty</w:t>
            </w:r>
            <w:r w:rsidRPr="004B7D85">
              <w:rPr>
                <w:rFonts w:ascii="Times New Roman" w:hAnsi="Times New Roman" w:cs="Times New Roman"/>
                <w:color w:val="000000"/>
                <w:sz w:val="14"/>
                <w:szCs w:val="14"/>
                <w:lang w:eastAsia="sk-SK"/>
              </w:rPr>
              <w:t xml:space="preserve"> na výpočet VZ SZČO a iné zmeny</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SP, ZP</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Daň z elektriny - fakultatívne oslobodenia</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SD</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8 532</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11 924</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11 681</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11 981</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12 283</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12 595</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Daň z uhlia - fakultatívne oslobodenia</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SD</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27 531</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24 913</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25 139</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25 805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26 472</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27 138</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Daň z piva - znížená sadzba pre malé pivovary</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SD</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1 167</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1 214</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1 228</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1 251</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1 274</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1 298</w:t>
            </w:r>
          </w:p>
        </w:tc>
      </w:tr>
      <w:tr w:rsidR="004B7D85" w:rsidRPr="004B7D85" w:rsidTr="004F01E4">
        <w:trPr>
          <w:trHeight w:val="113"/>
        </w:trPr>
        <w:tc>
          <w:tcPr>
            <w:tcW w:w="2326" w:type="pct"/>
            <w:shd w:val="clear" w:color="auto" w:fill="auto"/>
            <w:noWrap/>
            <w:vAlign w:val="center"/>
            <w:hideMark/>
          </w:tcPr>
          <w:p w:rsidR="004B7D85" w:rsidRPr="004B7D85" w:rsidRDefault="004B7D85" w:rsidP="00082657">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 xml:space="preserve">Daň z vína - znížená sadzba (0 </w:t>
            </w:r>
            <w:r w:rsidR="00082657">
              <w:rPr>
                <w:rFonts w:ascii="Times New Roman" w:hAnsi="Times New Roman" w:cs="Times New Roman"/>
                <w:color w:val="000000"/>
                <w:sz w:val="14"/>
                <w:szCs w:val="14"/>
                <w:lang w:eastAsia="sk-SK"/>
              </w:rPr>
              <w:t>eur</w:t>
            </w:r>
            <w:r w:rsidRPr="004B7D85">
              <w:rPr>
                <w:rFonts w:ascii="Times New Roman" w:hAnsi="Times New Roman" w:cs="Times New Roman"/>
                <w:color w:val="000000"/>
                <w:sz w:val="14"/>
                <w:szCs w:val="14"/>
                <w:lang w:eastAsia="sk-SK"/>
              </w:rPr>
              <w:t>)</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SD</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31 340</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28 991</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26 608</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27 037</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27 466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27 907</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Daň z minerálneho oleja - § 10 ods. 3</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SD</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10 612</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11 122</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11 567</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12 041</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12 575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13 063</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 xml:space="preserve">Daň z </w:t>
            </w:r>
            <w:r w:rsidR="00082657" w:rsidRPr="004B7D85">
              <w:rPr>
                <w:rFonts w:ascii="Times New Roman" w:hAnsi="Times New Roman" w:cs="Times New Roman"/>
                <w:color w:val="000000"/>
                <w:sz w:val="14"/>
                <w:szCs w:val="14"/>
                <w:lang w:eastAsia="sk-SK"/>
              </w:rPr>
              <w:t>tabakových</w:t>
            </w:r>
            <w:r w:rsidRPr="004B7D85">
              <w:rPr>
                <w:rFonts w:ascii="Times New Roman" w:hAnsi="Times New Roman" w:cs="Times New Roman"/>
                <w:color w:val="000000"/>
                <w:sz w:val="14"/>
                <w:szCs w:val="14"/>
                <w:lang w:eastAsia="sk-SK"/>
              </w:rPr>
              <w:t xml:space="preserve"> </w:t>
            </w:r>
            <w:r w:rsidR="00082657" w:rsidRPr="004B7D85">
              <w:rPr>
                <w:rFonts w:ascii="Times New Roman" w:hAnsi="Times New Roman" w:cs="Times New Roman"/>
                <w:color w:val="000000"/>
                <w:sz w:val="14"/>
                <w:szCs w:val="14"/>
                <w:lang w:eastAsia="sk-SK"/>
              </w:rPr>
              <w:t>výrobkov</w:t>
            </w:r>
            <w:r w:rsidRPr="004B7D85">
              <w:rPr>
                <w:rFonts w:ascii="Times New Roman" w:hAnsi="Times New Roman" w:cs="Times New Roman"/>
                <w:color w:val="000000"/>
                <w:sz w:val="14"/>
                <w:szCs w:val="14"/>
                <w:lang w:eastAsia="sk-SK"/>
              </w:rPr>
              <w:t xml:space="preserve"> - </w:t>
            </w:r>
            <w:r w:rsidR="00082657" w:rsidRPr="004B7D85">
              <w:rPr>
                <w:rFonts w:ascii="Times New Roman" w:hAnsi="Times New Roman" w:cs="Times New Roman"/>
                <w:color w:val="000000"/>
                <w:sz w:val="14"/>
                <w:szCs w:val="14"/>
                <w:lang w:eastAsia="sk-SK"/>
              </w:rPr>
              <w:t>zdaňovanie</w:t>
            </w:r>
            <w:r w:rsidRPr="004B7D85">
              <w:rPr>
                <w:rFonts w:ascii="Times New Roman" w:hAnsi="Times New Roman" w:cs="Times New Roman"/>
                <w:color w:val="000000"/>
                <w:sz w:val="14"/>
                <w:szCs w:val="14"/>
                <w:lang w:eastAsia="sk-SK"/>
              </w:rPr>
              <w:t xml:space="preserve"> </w:t>
            </w:r>
            <w:r w:rsidR="00B85378" w:rsidRPr="004B7D85">
              <w:rPr>
                <w:rFonts w:ascii="Times New Roman" w:hAnsi="Times New Roman" w:cs="Times New Roman"/>
                <w:color w:val="000000"/>
                <w:sz w:val="14"/>
                <w:szCs w:val="14"/>
                <w:lang w:eastAsia="sk-SK"/>
              </w:rPr>
              <w:t>cigár</w:t>
            </w:r>
            <w:r w:rsidRPr="004B7D85">
              <w:rPr>
                <w:rFonts w:ascii="Times New Roman" w:hAnsi="Times New Roman" w:cs="Times New Roman"/>
                <w:color w:val="000000"/>
                <w:sz w:val="14"/>
                <w:szCs w:val="14"/>
                <w:lang w:eastAsia="sk-SK"/>
              </w:rPr>
              <w:t xml:space="preserve"> </w:t>
            </w:r>
            <w:r w:rsidR="00082657" w:rsidRPr="004B7D85">
              <w:rPr>
                <w:rFonts w:ascii="Times New Roman" w:hAnsi="Times New Roman" w:cs="Times New Roman"/>
                <w:color w:val="000000"/>
                <w:sz w:val="14"/>
                <w:szCs w:val="14"/>
                <w:lang w:eastAsia="sk-SK"/>
              </w:rPr>
              <w:t>podľa</w:t>
            </w:r>
            <w:r w:rsidRPr="004B7D85">
              <w:rPr>
                <w:rFonts w:ascii="Times New Roman" w:hAnsi="Times New Roman" w:cs="Times New Roman"/>
                <w:color w:val="000000"/>
                <w:sz w:val="14"/>
                <w:szCs w:val="14"/>
                <w:lang w:eastAsia="sk-SK"/>
              </w:rPr>
              <w:t xml:space="preserve"> kusov</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SD</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6 494</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6 494</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r>
      <w:tr w:rsidR="004B7D85" w:rsidRPr="004B7D85" w:rsidTr="004F01E4">
        <w:trPr>
          <w:trHeight w:val="113"/>
        </w:trPr>
        <w:tc>
          <w:tcPr>
            <w:tcW w:w="2326" w:type="pct"/>
            <w:shd w:val="clear" w:color="auto" w:fill="auto"/>
            <w:noWrap/>
            <w:vAlign w:val="center"/>
          </w:tcPr>
          <w:p w:rsidR="004B7D85" w:rsidRPr="004B7D85" w:rsidRDefault="004B7D85" w:rsidP="004B7D85">
            <w:pPr>
              <w:ind w:firstLineChars="100" w:firstLine="140"/>
              <w:rPr>
                <w:rFonts w:ascii="Times New Roman" w:hAnsi="Times New Roman" w:cs="Times New Roman"/>
                <w:b/>
                <w:bCs/>
                <w:color w:val="000000"/>
                <w:sz w:val="14"/>
                <w:szCs w:val="14"/>
                <w:lang w:eastAsia="sk-SK"/>
              </w:rPr>
            </w:pPr>
            <w:r w:rsidRPr="004B7D85">
              <w:rPr>
                <w:rFonts w:ascii="Times New Roman" w:hAnsi="Times New Roman" w:cs="Times New Roman"/>
                <w:color w:val="000000"/>
                <w:sz w:val="14"/>
                <w:szCs w:val="14"/>
                <w:lang w:eastAsia="sk-SK"/>
              </w:rPr>
              <w:t>NČZD na kúpeľníctvo</w:t>
            </w:r>
          </w:p>
        </w:tc>
        <w:tc>
          <w:tcPr>
            <w:tcW w:w="527" w:type="pct"/>
            <w:shd w:val="clear" w:color="auto" w:fill="auto"/>
            <w:noWrap/>
            <w:vAlign w:val="center"/>
          </w:tcPr>
          <w:p w:rsidR="004B7D85" w:rsidRPr="004B7D85" w:rsidRDefault="004B7D85" w:rsidP="004B7D85">
            <w:pPr>
              <w:jc w:val="center"/>
              <w:rPr>
                <w:rFonts w:ascii="Times New Roman" w:hAnsi="Times New Roman" w:cs="Times New Roman"/>
                <w:b/>
                <w:bCs/>
                <w:color w:val="000000"/>
                <w:sz w:val="14"/>
                <w:szCs w:val="14"/>
                <w:lang w:eastAsia="sk-SK"/>
              </w:rPr>
            </w:pPr>
            <w:r w:rsidRPr="004B7D85">
              <w:rPr>
                <w:rFonts w:ascii="Times New Roman" w:hAnsi="Times New Roman" w:cs="Times New Roman"/>
                <w:color w:val="000000"/>
                <w:sz w:val="14"/>
                <w:szCs w:val="14"/>
                <w:lang w:eastAsia="sk-SK"/>
              </w:rPr>
              <w:t>DPFO</w:t>
            </w:r>
          </w:p>
        </w:tc>
        <w:tc>
          <w:tcPr>
            <w:tcW w:w="360"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77"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4"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1 903</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2 048</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2 252</w:t>
            </w:r>
          </w:p>
        </w:tc>
      </w:tr>
      <w:tr w:rsidR="004B7D85" w:rsidRPr="004B7D85" w:rsidTr="004F01E4">
        <w:trPr>
          <w:trHeight w:val="113"/>
        </w:trPr>
        <w:tc>
          <w:tcPr>
            <w:tcW w:w="2326" w:type="pct"/>
            <w:shd w:val="clear" w:color="auto" w:fill="auto"/>
            <w:noWrap/>
            <w:vAlign w:val="center"/>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Samostatné odpisovanie technického zhodnotenia - kúpeľníctvo</w:t>
            </w:r>
          </w:p>
        </w:tc>
        <w:tc>
          <w:tcPr>
            <w:tcW w:w="527" w:type="pct"/>
            <w:shd w:val="clear" w:color="auto" w:fill="auto"/>
            <w:noWrap/>
            <w:vAlign w:val="center"/>
          </w:tcPr>
          <w:p w:rsidR="004B7D85" w:rsidRPr="004B7D85" w:rsidRDefault="004B7D85" w:rsidP="004B7D85">
            <w:pPr>
              <w:jc w:val="center"/>
              <w:rPr>
                <w:rFonts w:ascii="Times New Roman" w:hAnsi="Times New Roman" w:cs="Times New Roman"/>
                <w:bCs/>
                <w:color w:val="000000"/>
                <w:sz w:val="14"/>
                <w:szCs w:val="14"/>
                <w:lang w:eastAsia="sk-SK"/>
              </w:rPr>
            </w:pPr>
            <w:r w:rsidRPr="004B7D85">
              <w:rPr>
                <w:rFonts w:ascii="Times New Roman" w:hAnsi="Times New Roman" w:cs="Times New Roman"/>
                <w:bCs/>
                <w:color w:val="000000"/>
                <w:sz w:val="14"/>
                <w:szCs w:val="14"/>
                <w:lang w:eastAsia="sk-SK"/>
              </w:rPr>
              <w:t>DPPO</w:t>
            </w:r>
          </w:p>
        </w:tc>
        <w:tc>
          <w:tcPr>
            <w:tcW w:w="360"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77"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4"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142</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710</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710</w:t>
            </w:r>
          </w:p>
        </w:tc>
      </w:tr>
      <w:tr w:rsidR="004B7D85" w:rsidRPr="004B7D85" w:rsidTr="004F01E4">
        <w:trPr>
          <w:trHeight w:val="113"/>
        </w:trPr>
        <w:tc>
          <w:tcPr>
            <w:tcW w:w="2326" w:type="pct"/>
            <w:shd w:val="clear" w:color="auto" w:fill="auto"/>
            <w:noWrap/>
            <w:vAlign w:val="center"/>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Daň z tabaku - zvýšenie SD na cigarety a tabak od 1.2.2017</w:t>
            </w:r>
          </w:p>
        </w:tc>
        <w:tc>
          <w:tcPr>
            <w:tcW w:w="527" w:type="pct"/>
            <w:shd w:val="clear" w:color="auto" w:fill="auto"/>
            <w:noWrap/>
            <w:vAlign w:val="center"/>
          </w:tcPr>
          <w:p w:rsidR="004B7D85" w:rsidRPr="004B7D85" w:rsidRDefault="004B7D85" w:rsidP="004B7D85">
            <w:pPr>
              <w:jc w:val="center"/>
              <w:rPr>
                <w:rFonts w:ascii="Times New Roman" w:hAnsi="Times New Roman" w:cs="Times New Roman"/>
                <w:bCs/>
                <w:color w:val="000000"/>
                <w:sz w:val="14"/>
                <w:szCs w:val="14"/>
                <w:lang w:eastAsia="sk-SK"/>
              </w:rPr>
            </w:pPr>
            <w:r w:rsidRPr="004B7D85">
              <w:rPr>
                <w:rFonts w:ascii="Times New Roman" w:hAnsi="Times New Roman" w:cs="Times New Roman"/>
                <w:bCs/>
                <w:color w:val="000000"/>
                <w:sz w:val="14"/>
                <w:szCs w:val="14"/>
                <w:lang w:eastAsia="sk-SK"/>
              </w:rPr>
              <w:t>SD</w:t>
            </w:r>
          </w:p>
        </w:tc>
        <w:tc>
          <w:tcPr>
            <w:tcW w:w="360"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23 293</w:t>
            </w:r>
          </w:p>
        </w:tc>
        <w:tc>
          <w:tcPr>
            <w:tcW w:w="377"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23 478</w:t>
            </w:r>
          </w:p>
        </w:tc>
        <w:tc>
          <w:tcPr>
            <w:tcW w:w="354"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2 166</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Podpora vedy a výskumu</w:t>
            </w:r>
          </w:p>
        </w:tc>
        <w:tc>
          <w:tcPr>
            <w:tcW w:w="527"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46 216</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43 869</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48 132</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59 833</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66 896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74 831</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Úľava na dani pre príjemcov IP</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DPPO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44 380</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42 000</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46 200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50 820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55 902</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61 492</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 xml:space="preserve">Úľava na dani </w:t>
            </w:r>
            <w:proofErr w:type="spellStart"/>
            <w:r w:rsidRPr="004B7D85">
              <w:rPr>
                <w:rFonts w:ascii="Times New Roman" w:hAnsi="Times New Roman" w:cs="Times New Roman"/>
                <w:color w:val="000000"/>
                <w:sz w:val="14"/>
                <w:szCs w:val="14"/>
                <w:lang w:eastAsia="sk-SK"/>
              </w:rPr>
              <w:t>VaV</w:t>
            </w:r>
            <w:proofErr w:type="spellEnd"/>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DPPO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Úľava na dani (</w:t>
            </w:r>
            <w:proofErr w:type="spellStart"/>
            <w:r w:rsidRPr="004B7D85">
              <w:rPr>
                <w:rFonts w:ascii="Times New Roman" w:hAnsi="Times New Roman" w:cs="Times New Roman"/>
                <w:color w:val="000000"/>
                <w:sz w:val="14"/>
                <w:szCs w:val="14"/>
                <w:lang w:eastAsia="sk-SK"/>
              </w:rPr>
              <w:t>superodpočet</w:t>
            </w:r>
            <w:proofErr w:type="spellEnd"/>
            <w:r w:rsidRPr="004B7D85">
              <w:rPr>
                <w:rFonts w:ascii="Times New Roman" w:hAnsi="Times New Roman" w:cs="Times New Roman"/>
                <w:color w:val="000000"/>
                <w:sz w:val="14"/>
                <w:szCs w:val="14"/>
                <w:lang w:eastAsia="sk-SK"/>
              </w:rPr>
              <w:t xml:space="preserve"> </w:t>
            </w:r>
            <w:proofErr w:type="spellStart"/>
            <w:r w:rsidRPr="004B7D85">
              <w:rPr>
                <w:rFonts w:ascii="Times New Roman" w:hAnsi="Times New Roman" w:cs="Times New Roman"/>
                <w:color w:val="000000"/>
                <w:sz w:val="14"/>
                <w:szCs w:val="14"/>
                <w:lang w:eastAsia="sk-SK"/>
              </w:rPr>
              <w:t>VaV</w:t>
            </w:r>
            <w:proofErr w:type="spellEnd"/>
            <w:r w:rsidRPr="004B7D85">
              <w:rPr>
                <w:rFonts w:ascii="Times New Roman" w:hAnsi="Times New Roman" w:cs="Times New Roman"/>
                <w:color w:val="000000"/>
                <w:sz w:val="14"/>
                <w:szCs w:val="14"/>
                <w:lang w:eastAsia="sk-SK"/>
              </w:rPr>
              <w:t>)</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DPPO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1 836</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1 869</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1 932</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9 013</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10 994</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13 339</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Podpora vzdelávania</w:t>
            </w:r>
          </w:p>
        </w:tc>
        <w:tc>
          <w:tcPr>
            <w:tcW w:w="527"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6 383</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6 381</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6 924</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7 189</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7 539</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7 901</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Znížená sadzba dane na knihy</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DPH</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6 383</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6 381</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6 924</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7 189</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7 539</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7 901</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Podpora zdravia</w:t>
            </w:r>
          </w:p>
        </w:tc>
        <w:tc>
          <w:tcPr>
            <w:tcW w:w="527"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126 201</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126 171</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136 908</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142 133</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149 062</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156 223</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Znížená sadzba dane na lieky</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DPH</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113 438</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113 410</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123 061</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127 758</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133 987</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140 423</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Znížená sadzba dane na vybrané zdravotnícke pomôcky</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DPH</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12 764</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12 761</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13 846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14 375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15 076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15 800</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Podpora bývania</w:t>
            </w:r>
          </w:p>
        </w:tc>
        <w:tc>
          <w:tcPr>
            <w:tcW w:w="527"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3 689</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3 811</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3 966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5 026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9 607</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16 768</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Oslobodenie príjmu z prenájmu do 500 eur</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DPFO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3 689</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3 811</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3 966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4 146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4 344</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4 570</w:t>
            </w:r>
          </w:p>
        </w:tc>
      </w:tr>
      <w:tr w:rsidR="004B7D85" w:rsidRPr="004B7D85" w:rsidTr="004F01E4">
        <w:trPr>
          <w:trHeight w:val="113"/>
        </w:trPr>
        <w:tc>
          <w:tcPr>
            <w:tcW w:w="2326" w:type="pct"/>
            <w:shd w:val="clear" w:color="auto" w:fill="auto"/>
            <w:noWrap/>
            <w:vAlign w:val="center"/>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Daňový bonus na hypotéky</w:t>
            </w:r>
          </w:p>
        </w:tc>
        <w:tc>
          <w:tcPr>
            <w:tcW w:w="527" w:type="pct"/>
            <w:shd w:val="clear" w:color="auto" w:fill="auto"/>
            <w:noWrap/>
            <w:vAlign w:val="center"/>
          </w:tcPr>
          <w:p w:rsidR="004B7D85" w:rsidRPr="004B7D85" w:rsidRDefault="004B7D85" w:rsidP="004B7D85">
            <w:pPr>
              <w:jc w:val="center"/>
              <w:rPr>
                <w:rFonts w:ascii="Times New Roman" w:hAnsi="Times New Roman" w:cs="Times New Roman"/>
                <w:b/>
                <w:bCs/>
                <w:color w:val="000000"/>
                <w:sz w:val="14"/>
                <w:szCs w:val="14"/>
                <w:lang w:eastAsia="sk-SK"/>
              </w:rPr>
            </w:pPr>
            <w:r w:rsidRPr="004B7D85">
              <w:rPr>
                <w:rFonts w:ascii="Times New Roman" w:hAnsi="Times New Roman" w:cs="Times New Roman"/>
                <w:sz w:val="14"/>
                <w:szCs w:val="14"/>
                <w:lang w:eastAsia="sk-SK"/>
              </w:rPr>
              <w:t>DPFO</w:t>
            </w:r>
          </w:p>
        </w:tc>
        <w:tc>
          <w:tcPr>
            <w:tcW w:w="360" w:type="pct"/>
            <w:shd w:val="clear" w:color="auto" w:fill="auto"/>
            <w:noWrap/>
            <w:vAlign w:val="center"/>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c>
          <w:tcPr>
            <w:tcW w:w="377" w:type="pct"/>
            <w:shd w:val="clear" w:color="auto" w:fill="auto"/>
            <w:noWrap/>
            <w:vAlign w:val="center"/>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c>
          <w:tcPr>
            <w:tcW w:w="354" w:type="pct"/>
            <w:shd w:val="clear" w:color="auto" w:fill="auto"/>
            <w:noWrap/>
            <w:vAlign w:val="center"/>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880</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5 263</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12 198</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Podpora kapitálu, úspor a investíci</w:t>
            </w:r>
            <w:r w:rsidR="00082657">
              <w:rPr>
                <w:rFonts w:ascii="Times New Roman" w:hAnsi="Times New Roman" w:cs="Times New Roman"/>
                <w:b/>
                <w:bCs/>
                <w:color w:val="000000"/>
                <w:sz w:val="14"/>
                <w:szCs w:val="14"/>
                <w:lang w:eastAsia="sk-SK"/>
              </w:rPr>
              <w:t>í</w:t>
            </w:r>
          </w:p>
        </w:tc>
        <w:tc>
          <w:tcPr>
            <w:tcW w:w="527"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55 626</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64 630</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71 685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10 147</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14 644</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sz w:val="14"/>
                <w:szCs w:val="14"/>
                <w:lang w:eastAsia="sk-SK"/>
              </w:rPr>
            </w:pPr>
            <w:r w:rsidRPr="004B7D85">
              <w:rPr>
                <w:rFonts w:ascii="Times New Roman" w:hAnsi="Times New Roman" w:cs="Times New Roman"/>
                <w:b/>
                <w:bCs/>
                <w:sz w:val="14"/>
                <w:szCs w:val="14"/>
                <w:lang w:eastAsia="sk-SK"/>
              </w:rPr>
              <w:t>18 617</w:t>
            </w:r>
          </w:p>
        </w:tc>
      </w:tr>
      <w:tr w:rsidR="004B7D85" w:rsidRPr="004B7D85" w:rsidTr="004F01E4">
        <w:trPr>
          <w:trHeight w:val="113"/>
        </w:trPr>
        <w:tc>
          <w:tcPr>
            <w:tcW w:w="2326" w:type="pct"/>
            <w:shd w:val="clear" w:color="auto" w:fill="auto"/>
            <w:vAlign w:val="center"/>
            <w:hideMark/>
          </w:tcPr>
          <w:p w:rsidR="004B7D85" w:rsidRPr="004B7D85" w:rsidRDefault="004B7D85" w:rsidP="004B7D85">
            <w:pPr>
              <w:ind w:firstLineChars="100" w:firstLine="140"/>
              <w:rPr>
                <w:rFonts w:ascii="Times New Roman" w:hAnsi="Times New Roman" w:cs="Times New Roman"/>
                <w:sz w:val="14"/>
                <w:szCs w:val="14"/>
                <w:lang w:eastAsia="sk-SK"/>
              </w:rPr>
            </w:pPr>
            <w:r w:rsidRPr="004B7D85">
              <w:rPr>
                <w:rFonts w:ascii="Times New Roman" w:hAnsi="Times New Roman" w:cs="Times New Roman"/>
                <w:sz w:val="14"/>
                <w:szCs w:val="14"/>
                <w:lang w:eastAsia="sk-SK"/>
              </w:rPr>
              <w:t xml:space="preserve">Oslobodenie príjmu z prevodu opcií, cenných papierov a podielov (účastí) na </w:t>
            </w:r>
            <w:proofErr w:type="spellStart"/>
            <w:r w:rsidRPr="004B7D85">
              <w:rPr>
                <w:rFonts w:ascii="Times New Roman" w:hAnsi="Times New Roman" w:cs="Times New Roman"/>
                <w:sz w:val="14"/>
                <w:szCs w:val="14"/>
                <w:lang w:eastAsia="sk-SK"/>
              </w:rPr>
              <w:t>s.r.o</w:t>
            </w:r>
            <w:proofErr w:type="spellEnd"/>
            <w:r w:rsidRPr="004B7D85">
              <w:rPr>
                <w:rFonts w:ascii="Times New Roman" w:hAnsi="Times New Roman" w:cs="Times New Roman"/>
                <w:sz w:val="14"/>
                <w:szCs w:val="14"/>
                <w:lang w:eastAsia="sk-SK"/>
              </w:rPr>
              <w:t xml:space="preserve">., </w:t>
            </w:r>
            <w:proofErr w:type="spellStart"/>
            <w:r w:rsidRPr="004B7D85">
              <w:rPr>
                <w:rFonts w:ascii="Times New Roman" w:hAnsi="Times New Roman" w:cs="Times New Roman"/>
                <w:sz w:val="14"/>
                <w:szCs w:val="14"/>
                <w:lang w:eastAsia="sk-SK"/>
              </w:rPr>
              <w:t>k.s</w:t>
            </w:r>
            <w:proofErr w:type="spellEnd"/>
            <w:r w:rsidRPr="004B7D85">
              <w:rPr>
                <w:rFonts w:ascii="Times New Roman" w:hAnsi="Times New Roman" w:cs="Times New Roman"/>
                <w:sz w:val="14"/>
                <w:szCs w:val="14"/>
                <w:lang w:eastAsia="sk-SK"/>
              </w:rPr>
              <w:t>. a v družstve do výšky 500 eur</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DPFO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147</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152</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158</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165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173</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182</w:t>
            </w:r>
          </w:p>
        </w:tc>
      </w:tr>
      <w:tr w:rsidR="004B7D85" w:rsidRPr="004B7D85" w:rsidTr="004F01E4">
        <w:trPr>
          <w:trHeight w:val="113"/>
        </w:trPr>
        <w:tc>
          <w:tcPr>
            <w:tcW w:w="2326" w:type="pct"/>
            <w:shd w:val="clear" w:color="auto" w:fill="auto"/>
            <w:vAlign w:val="center"/>
            <w:hideMark/>
          </w:tcPr>
          <w:p w:rsidR="004B7D85" w:rsidRPr="004B7D85" w:rsidRDefault="004B7D85" w:rsidP="004B7D85">
            <w:pPr>
              <w:ind w:firstLineChars="100" w:firstLine="140"/>
              <w:rPr>
                <w:rFonts w:ascii="Times New Roman" w:hAnsi="Times New Roman" w:cs="Times New Roman"/>
                <w:sz w:val="14"/>
                <w:szCs w:val="14"/>
                <w:lang w:eastAsia="sk-SK"/>
              </w:rPr>
            </w:pPr>
            <w:r w:rsidRPr="004B7D85">
              <w:rPr>
                <w:rFonts w:ascii="Times New Roman" w:hAnsi="Times New Roman" w:cs="Times New Roman"/>
                <w:sz w:val="14"/>
                <w:szCs w:val="14"/>
                <w:lang w:eastAsia="sk-SK"/>
              </w:rPr>
              <w:t>NČZD na DDS, životné poistenie a účelové sporenie</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DPFO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1 120</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1 940</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3 360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5 821</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10 082</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13 773</w:t>
            </w:r>
          </w:p>
        </w:tc>
      </w:tr>
      <w:tr w:rsidR="004B7D85" w:rsidRPr="004B7D85" w:rsidTr="004F01E4">
        <w:trPr>
          <w:trHeight w:val="113"/>
        </w:trPr>
        <w:tc>
          <w:tcPr>
            <w:tcW w:w="2326" w:type="pct"/>
            <w:shd w:val="clear" w:color="auto" w:fill="auto"/>
            <w:vAlign w:val="center"/>
            <w:hideMark/>
          </w:tcPr>
          <w:p w:rsidR="004B7D85" w:rsidRPr="004B7D85" w:rsidRDefault="004B7D85" w:rsidP="004B7D85">
            <w:pPr>
              <w:ind w:firstLineChars="100" w:firstLine="140"/>
              <w:rPr>
                <w:rFonts w:ascii="Times New Roman" w:hAnsi="Times New Roman" w:cs="Times New Roman"/>
                <w:sz w:val="14"/>
                <w:szCs w:val="14"/>
                <w:lang w:eastAsia="sk-SK"/>
              </w:rPr>
            </w:pPr>
            <w:r w:rsidRPr="004B7D85">
              <w:rPr>
                <w:rFonts w:ascii="Times New Roman" w:hAnsi="Times New Roman" w:cs="Times New Roman"/>
                <w:sz w:val="14"/>
                <w:szCs w:val="14"/>
                <w:lang w:eastAsia="sk-SK"/>
              </w:rPr>
              <w:t>NČZD pre dobrovoľné príspevky (2%) do II. piliera</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DPFO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9 360</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9 787</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10 234</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r>
      <w:tr w:rsidR="004B7D85" w:rsidRPr="004B7D85" w:rsidTr="004F01E4">
        <w:trPr>
          <w:trHeight w:val="113"/>
        </w:trPr>
        <w:tc>
          <w:tcPr>
            <w:tcW w:w="2326" w:type="pct"/>
            <w:shd w:val="clear" w:color="auto" w:fill="auto"/>
            <w:vAlign w:val="center"/>
            <w:hideMark/>
          </w:tcPr>
          <w:p w:rsidR="004B7D85" w:rsidRPr="004B7D85" w:rsidRDefault="004B7D85" w:rsidP="004B7D85">
            <w:pPr>
              <w:ind w:firstLineChars="100" w:firstLine="140"/>
              <w:rPr>
                <w:rFonts w:ascii="Times New Roman" w:hAnsi="Times New Roman" w:cs="Times New Roman"/>
                <w:sz w:val="14"/>
                <w:szCs w:val="14"/>
                <w:lang w:eastAsia="sk-SK"/>
              </w:rPr>
            </w:pPr>
            <w:r w:rsidRPr="004B7D85">
              <w:rPr>
                <w:rFonts w:ascii="Times New Roman" w:hAnsi="Times New Roman" w:cs="Times New Roman"/>
                <w:sz w:val="14"/>
                <w:szCs w:val="14"/>
                <w:lang w:eastAsia="sk-SK"/>
              </w:rPr>
              <w:t xml:space="preserve">Oslobodenie príjmov z predaja CP prijatých na obchodovanie na burze </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DPFO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2 181</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2 290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2 428</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2 564</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2 728</w:t>
            </w:r>
          </w:p>
        </w:tc>
      </w:tr>
      <w:tr w:rsidR="004B7D85" w:rsidRPr="004B7D85" w:rsidTr="004F01E4">
        <w:trPr>
          <w:trHeight w:val="113"/>
        </w:trPr>
        <w:tc>
          <w:tcPr>
            <w:tcW w:w="2326" w:type="pct"/>
            <w:shd w:val="clear" w:color="auto" w:fill="auto"/>
            <w:vAlign w:val="center"/>
            <w:hideMark/>
          </w:tcPr>
          <w:p w:rsidR="004B7D85" w:rsidRPr="004B7D85" w:rsidRDefault="004B7D85" w:rsidP="004B7D85">
            <w:pPr>
              <w:ind w:firstLineChars="100" w:firstLine="140"/>
              <w:rPr>
                <w:rFonts w:ascii="Times New Roman" w:hAnsi="Times New Roman" w:cs="Times New Roman"/>
                <w:sz w:val="14"/>
                <w:szCs w:val="14"/>
                <w:lang w:eastAsia="sk-SK"/>
              </w:rPr>
            </w:pPr>
            <w:r w:rsidRPr="004B7D85">
              <w:rPr>
                <w:rFonts w:ascii="Times New Roman" w:hAnsi="Times New Roman" w:cs="Times New Roman"/>
                <w:sz w:val="14"/>
                <w:szCs w:val="14"/>
                <w:lang w:eastAsia="sk-SK"/>
              </w:rPr>
              <w:t>Osobitný základ dane pre príjmy z kapitálového majetku</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DPFO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116</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116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116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116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116</w:t>
            </w:r>
          </w:p>
        </w:tc>
      </w:tr>
      <w:tr w:rsidR="004B7D85" w:rsidRPr="004B7D85" w:rsidTr="004F01E4">
        <w:trPr>
          <w:trHeight w:val="113"/>
        </w:trPr>
        <w:tc>
          <w:tcPr>
            <w:tcW w:w="2326" w:type="pct"/>
            <w:shd w:val="clear" w:color="auto" w:fill="auto"/>
            <w:vAlign w:val="center"/>
            <w:hideMark/>
          </w:tcPr>
          <w:p w:rsidR="004B7D85" w:rsidRPr="004B7D85" w:rsidRDefault="004B7D85" w:rsidP="004B7D85">
            <w:pPr>
              <w:ind w:firstLineChars="100" w:firstLine="140"/>
              <w:rPr>
                <w:rFonts w:ascii="Times New Roman" w:hAnsi="Times New Roman" w:cs="Times New Roman"/>
                <w:sz w:val="14"/>
                <w:szCs w:val="14"/>
                <w:lang w:eastAsia="sk-SK"/>
              </w:rPr>
            </w:pPr>
            <w:r w:rsidRPr="004B7D85">
              <w:rPr>
                <w:rFonts w:ascii="Times New Roman" w:hAnsi="Times New Roman" w:cs="Times New Roman"/>
                <w:sz w:val="14"/>
                <w:szCs w:val="14"/>
                <w:lang w:eastAsia="sk-SK"/>
              </w:rPr>
              <w:t>Dlhodobé investičné sporenie</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DPFO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1 454</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1 527</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1 618</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1 709</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1 819</w:t>
            </w:r>
          </w:p>
        </w:tc>
      </w:tr>
      <w:tr w:rsidR="004B7D85" w:rsidRPr="004B7D85" w:rsidTr="004F01E4">
        <w:trPr>
          <w:trHeight w:val="113"/>
        </w:trPr>
        <w:tc>
          <w:tcPr>
            <w:tcW w:w="2326" w:type="pct"/>
            <w:shd w:val="clear" w:color="auto" w:fill="auto"/>
            <w:noWrap/>
            <w:vAlign w:val="center"/>
          </w:tcPr>
          <w:p w:rsidR="004B7D85" w:rsidRPr="004B7D85" w:rsidRDefault="004B7D85" w:rsidP="004B7D85">
            <w:pPr>
              <w:ind w:firstLineChars="100" w:firstLine="140"/>
              <w:rPr>
                <w:rFonts w:ascii="Times New Roman" w:hAnsi="Times New Roman" w:cs="Times New Roman"/>
                <w:b/>
                <w:bCs/>
                <w:color w:val="000000"/>
                <w:sz w:val="14"/>
                <w:szCs w:val="14"/>
                <w:lang w:eastAsia="sk-SK"/>
              </w:rPr>
            </w:pPr>
            <w:r w:rsidRPr="004B7D85">
              <w:rPr>
                <w:rFonts w:ascii="Times New Roman" w:hAnsi="Times New Roman" w:cs="Times New Roman"/>
                <w:sz w:val="14"/>
                <w:szCs w:val="14"/>
                <w:lang w:eastAsia="sk-SK"/>
              </w:rPr>
              <w:t>Zavedenie dane z dividend</w:t>
            </w:r>
          </w:p>
        </w:tc>
        <w:tc>
          <w:tcPr>
            <w:tcW w:w="527" w:type="pct"/>
            <w:shd w:val="clear" w:color="auto" w:fill="auto"/>
            <w:noWrap/>
            <w:vAlign w:val="center"/>
          </w:tcPr>
          <w:p w:rsidR="004B7D85" w:rsidRPr="004B7D85" w:rsidRDefault="004B7D85" w:rsidP="004B7D85">
            <w:pPr>
              <w:jc w:val="center"/>
              <w:rPr>
                <w:rFonts w:ascii="Times New Roman" w:hAnsi="Times New Roman" w:cs="Times New Roman"/>
                <w:b/>
                <w:bCs/>
                <w:color w:val="000000"/>
                <w:sz w:val="14"/>
                <w:szCs w:val="14"/>
                <w:lang w:eastAsia="sk-SK"/>
              </w:rPr>
            </w:pPr>
            <w:proofErr w:type="spellStart"/>
            <w:r w:rsidRPr="004B7D85">
              <w:rPr>
                <w:rFonts w:ascii="Times New Roman" w:hAnsi="Times New Roman" w:cs="Times New Roman"/>
                <w:color w:val="000000"/>
                <w:sz w:val="14"/>
                <w:szCs w:val="14"/>
                <w:lang w:eastAsia="sk-SK"/>
              </w:rPr>
              <w:t>DvZ</w:t>
            </w:r>
            <w:proofErr w:type="spellEnd"/>
          </w:p>
        </w:tc>
        <w:tc>
          <w:tcPr>
            <w:tcW w:w="360" w:type="pct"/>
            <w:shd w:val="clear" w:color="auto" w:fill="auto"/>
            <w:noWrap/>
            <w:vAlign w:val="center"/>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45 000</w:t>
            </w:r>
          </w:p>
        </w:tc>
        <w:tc>
          <w:tcPr>
            <w:tcW w:w="377" w:type="pct"/>
            <w:shd w:val="clear" w:color="auto" w:fill="auto"/>
            <w:noWrap/>
            <w:vAlign w:val="center"/>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49 000</w:t>
            </w:r>
          </w:p>
        </w:tc>
        <w:tc>
          <w:tcPr>
            <w:tcW w:w="354" w:type="pct"/>
            <w:shd w:val="clear" w:color="auto" w:fill="auto"/>
            <w:noWrap/>
            <w:vAlign w:val="center"/>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54 000</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0</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Iné</w:t>
            </w:r>
          </w:p>
        </w:tc>
        <w:tc>
          <w:tcPr>
            <w:tcW w:w="527"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175 844</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184 453</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41 055</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43 378</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45 311</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47 359</w:t>
            </w:r>
          </w:p>
        </w:tc>
      </w:tr>
      <w:tr w:rsidR="004B7D85" w:rsidRPr="004B7D85" w:rsidTr="004F01E4">
        <w:trPr>
          <w:trHeight w:val="113"/>
        </w:trPr>
        <w:tc>
          <w:tcPr>
            <w:tcW w:w="2326" w:type="pct"/>
            <w:shd w:val="clear" w:color="auto" w:fill="auto"/>
            <w:vAlign w:val="center"/>
            <w:hideMark/>
          </w:tcPr>
          <w:p w:rsidR="004B7D85" w:rsidRPr="004B7D85" w:rsidRDefault="004B7D85" w:rsidP="004B7D85">
            <w:pPr>
              <w:ind w:firstLineChars="100" w:firstLine="140"/>
              <w:rPr>
                <w:rFonts w:ascii="Times New Roman" w:hAnsi="Times New Roman" w:cs="Times New Roman"/>
                <w:sz w:val="14"/>
                <w:szCs w:val="14"/>
                <w:lang w:eastAsia="sk-SK"/>
              </w:rPr>
            </w:pPr>
            <w:r w:rsidRPr="004B7D85">
              <w:rPr>
                <w:rFonts w:ascii="Times New Roman" w:hAnsi="Times New Roman" w:cs="Times New Roman"/>
                <w:sz w:val="14"/>
                <w:szCs w:val="14"/>
                <w:lang w:eastAsia="sk-SK"/>
              </w:rPr>
              <w:t>Nezdanenie paušálnych náhrad</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DPFO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909</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931</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966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1 001</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1 047</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1 097</w:t>
            </w:r>
          </w:p>
        </w:tc>
      </w:tr>
      <w:tr w:rsidR="004B7D85" w:rsidRPr="004B7D85" w:rsidTr="004F01E4">
        <w:trPr>
          <w:trHeight w:val="113"/>
        </w:trPr>
        <w:tc>
          <w:tcPr>
            <w:tcW w:w="2326" w:type="pct"/>
            <w:shd w:val="clear" w:color="auto" w:fill="auto"/>
            <w:vAlign w:val="center"/>
            <w:hideMark/>
          </w:tcPr>
          <w:p w:rsidR="004B7D85" w:rsidRPr="004B7D85" w:rsidRDefault="004B7D85" w:rsidP="004B7D85">
            <w:pPr>
              <w:ind w:firstLineChars="100" w:firstLine="140"/>
              <w:rPr>
                <w:rFonts w:ascii="Times New Roman" w:hAnsi="Times New Roman" w:cs="Times New Roman"/>
                <w:sz w:val="14"/>
                <w:szCs w:val="14"/>
                <w:lang w:eastAsia="sk-SK"/>
              </w:rPr>
            </w:pPr>
            <w:r w:rsidRPr="004B7D85">
              <w:rPr>
                <w:rFonts w:ascii="Times New Roman" w:hAnsi="Times New Roman" w:cs="Times New Roman"/>
                <w:sz w:val="14"/>
                <w:szCs w:val="14"/>
                <w:lang w:eastAsia="sk-SK"/>
              </w:rPr>
              <w:t>Oslobodenie výhier do výšky 350 eur mesačne</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DPFO, SP, ZP</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891</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894</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898</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902</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906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910</w:t>
            </w:r>
          </w:p>
        </w:tc>
      </w:tr>
      <w:tr w:rsidR="004B7D85" w:rsidRPr="004B7D85" w:rsidTr="004F01E4">
        <w:trPr>
          <w:trHeight w:val="113"/>
        </w:trPr>
        <w:tc>
          <w:tcPr>
            <w:tcW w:w="2326" w:type="pct"/>
            <w:shd w:val="clear" w:color="auto" w:fill="auto"/>
            <w:vAlign w:val="center"/>
            <w:hideMark/>
          </w:tcPr>
          <w:p w:rsidR="004B7D85" w:rsidRPr="004B7D85" w:rsidRDefault="004B7D85" w:rsidP="004B7D85">
            <w:pPr>
              <w:ind w:firstLineChars="100" w:firstLine="140"/>
              <w:rPr>
                <w:rFonts w:ascii="Times New Roman" w:hAnsi="Times New Roman" w:cs="Times New Roman"/>
                <w:sz w:val="14"/>
                <w:szCs w:val="14"/>
                <w:lang w:eastAsia="sk-SK"/>
              </w:rPr>
            </w:pPr>
            <w:r w:rsidRPr="004B7D85">
              <w:rPr>
                <w:rFonts w:ascii="Times New Roman" w:hAnsi="Times New Roman" w:cs="Times New Roman"/>
                <w:sz w:val="14"/>
                <w:szCs w:val="14"/>
                <w:lang w:eastAsia="sk-SK"/>
              </w:rPr>
              <w:t>Oslobodenie príplatkov sudcov a prokurátorov od dane</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DPFO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64</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65</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67</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70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74</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77</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Daň z liehu - znížená sadzba pre pestovateľské pálenie</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SD</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7 669</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7 622</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7 803</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7 957</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8 110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8 268</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 xml:space="preserve">Oslobodenie deputátov a </w:t>
            </w:r>
            <w:r w:rsidR="00082657" w:rsidRPr="004B7D85">
              <w:rPr>
                <w:rFonts w:ascii="Times New Roman" w:hAnsi="Times New Roman" w:cs="Times New Roman"/>
                <w:color w:val="000000"/>
                <w:sz w:val="14"/>
                <w:szCs w:val="14"/>
                <w:lang w:eastAsia="sk-SK"/>
              </w:rPr>
              <w:t>iných</w:t>
            </w:r>
            <w:r w:rsidRPr="004B7D85">
              <w:rPr>
                <w:rFonts w:ascii="Times New Roman" w:hAnsi="Times New Roman" w:cs="Times New Roman"/>
                <w:color w:val="000000"/>
                <w:sz w:val="14"/>
                <w:szCs w:val="14"/>
                <w:lang w:eastAsia="sk-SK"/>
              </w:rPr>
              <w:t xml:space="preserve"> nepeňažných príjmov</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sz w:val="14"/>
                <w:szCs w:val="14"/>
                <w:lang w:eastAsia="sk-SK"/>
              </w:rPr>
            </w:pPr>
            <w:r w:rsidRPr="004B7D85">
              <w:rPr>
                <w:rFonts w:ascii="Times New Roman" w:hAnsi="Times New Roman" w:cs="Times New Roman"/>
                <w:sz w:val="14"/>
                <w:szCs w:val="14"/>
                <w:lang w:eastAsia="sk-SK"/>
              </w:rPr>
              <w:t>SP, ZP</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89</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84</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79</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74</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70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66</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Znížené maximálne vymeriavacie základy</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SP, ZP</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142 497</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149 654</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Pravidlá nízkej kapitalizácie</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DPPO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23 725</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25 202</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26 740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28 373</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30 104</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31 942</w:t>
            </w:r>
          </w:p>
        </w:tc>
      </w:tr>
      <w:tr w:rsidR="004B7D85" w:rsidRPr="004B7D85" w:rsidTr="004F01E4">
        <w:trPr>
          <w:trHeight w:val="113"/>
        </w:trPr>
        <w:tc>
          <w:tcPr>
            <w:tcW w:w="2326" w:type="pct"/>
            <w:shd w:val="clear" w:color="auto" w:fill="auto"/>
            <w:noWrap/>
            <w:vAlign w:val="center"/>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Oslobodenie príjmov pre krízové situácie od DPPO</w:t>
            </w:r>
          </w:p>
        </w:tc>
        <w:tc>
          <w:tcPr>
            <w:tcW w:w="527" w:type="pct"/>
            <w:shd w:val="clear" w:color="auto" w:fill="auto"/>
            <w:noWrap/>
            <w:vAlign w:val="bottom"/>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DPPO</w:t>
            </w:r>
          </w:p>
        </w:tc>
        <w:tc>
          <w:tcPr>
            <w:tcW w:w="360"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77"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4"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4 500</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5 000</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5 000</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5 000</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Negatívne daňové výdavky</w:t>
            </w:r>
          </w:p>
        </w:tc>
        <w:tc>
          <w:tcPr>
            <w:tcW w:w="527" w:type="pct"/>
            <w:shd w:val="clear" w:color="auto" w:fill="auto"/>
            <w:noWrap/>
            <w:vAlign w:val="bottom"/>
            <w:hideMark/>
          </w:tcPr>
          <w:p w:rsidR="004B7D85" w:rsidRPr="004B7D85" w:rsidRDefault="004B7D85" w:rsidP="004B7D85">
            <w:pPr>
              <w:rPr>
                <w:rFonts w:ascii="Times New Roman" w:hAnsi="Times New Roman" w:cs="Times New Roman"/>
                <w:b/>
                <w:bCs/>
                <w:color w:val="000000"/>
                <w:sz w:val="14"/>
                <w:szCs w:val="14"/>
                <w:lang w:eastAsia="sk-SK"/>
              </w:rPr>
            </w:pPr>
          </w:p>
        </w:tc>
        <w:tc>
          <w:tcPr>
            <w:tcW w:w="360" w:type="pct"/>
            <w:shd w:val="clear" w:color="auto" w:fill="auto"/>
            <w:noWrap/>
            <w:vAlign w:val="center"/>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-105 388</w:t>
            </w:r>
          </w:p>
        </w:tc>
        <w:tc>
          <w:tcPr>
            <w:tcW w:w="377" w:type="pct"/>
            <w:shd w:val="clear" w:color="auto" w:fill="auto"/>
            <w:noWrap/>
            <w:vAlign w:val="center"/>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-101 136</w:t>
            </w:r>
          </w:p>
        </w:tc>
        <w:tc>
          <w:tcPr>
            <w:tcW w:w="354" w:type="pct"/>
            <w:shd w:val="clear" w:color="auto" w:fill="auto"/>
            <w:noWrap/>
            <w:vAlign w:val="center"/>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-96 981</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-20 425</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-19 049</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b/>
                <w:bCs/>
                <w:color w:val="000000"/>
                <w:sz w:val="14"/>
                <w:szCs w:val="14"/>
                <w:lang w:eastAsia="sk-SK"/>
              </w:rPr>
            </w:pPr>
            <w:r w:rsidRPr="004B7D85">
              <w:rPr>
                <w:rFonts w:ascii="Times New Roman" w:hAnsi="Times New Roman" w:cs="Times New Roman"/>
                <w:b/>
                <w:bCs/>
                <w:color w:val="000000"/>
                <w:sz w:val="14"/>
                <w:szCs w:val="14"/>
                <w:lang w:eastAsia="sk-SK"/>
              </w:rPr>
              <w:t>-17 770</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Osobitná sadzba dane pre vybraných ústavných činiteľov</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DPFO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-231</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-241</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-252</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-263</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-276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sz w:val="14"/>
                <w:szCs w:val="14"/>
                <w:lang w:eastAsia="sk-SK"/>
              </w:rPr>
            </w:pPr>
            <w:r w:rsidRPr="004B7D85">
              <w:rPr>
                <w:rFonts w:ascii="Times New Roman" w:hAnsi="Times New Roman" w:cs="Times New Roman"/>
                <w:sz w:val="14"/>
                <w:szCs w:val="14"/>
                <w:lang w:eastAsia="sk-SK"/>
              </w:rPr>
              <w:t>-290</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Daňová licencia - negatívny daňový výdavok</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DPPO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-79 538</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-76 831</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-74 206</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r>
      <w:tr w:rsidR="004B7D85" w:rsidRPr="004B7D85" w:rsidTr="004F01E4">
        <w:trPr>
          <w:trHeight w:val="113"/>
        </w:trPr>
        <w:tc>
          <w:tcPr>
            <w:tcW w:w="2326" w:type="pct"/>
            <w:shd w:val="clear" w:color="auto" w:fill="auto"/>
            <w:noWrap/>
            <w:vAlign w:val="center"/>
            <w:hideMark/>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Obmedzenie umorovania strát</w:t>
            </w:r>
          </w:p>
        </w:tc>
        <w:tc>
          <w:tcPr>
            <w:tcW w:w="527" w:type="pct"/>
            <w:shd w:val="clear" w:color="auto" w:fill="auto"/>
            <w:noWrap/>
            <w:vAlign w:val="center"/>
            <w:hideMark/>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DPPO</w:t>
            </w:r>
          </w:p>
        </w:tc>
        <w:tc>
          <w:tcPr>
            <w:tcW w:w="360"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-24 974</w:t>
            </w:r>
          </w:p>
        </w:tc>
        <w:tc>
          <w:tcPr>
            <w:tcW w:w="377"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-23 254</w:t>
            </w:r>
          </w:p>
        </w:tc>
        <w:tc>
          <w:tcPr>
            <w:tcW w:w="354"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-21 653</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-20 162</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-18 773</w:t>
            </w:r>
          </w:p>
        </w:tc>
        <w:tc>
          <w:tcPr>
            <w:tcW w:w="352" w:type="pct"/>
            <w:shd w:val="clear" w:color="auto" w:fill="auto"/>
            <w:noWrap/>
            <w:vAlign w:val="center"/>
            <w:hideMark/>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-17 480</w:t>
            </w:r>
          </w:p>
        </w:tc>
      </w:tr>
      <w:tr w:rsidR="004B7D85" w:rsidRPr="004B7D85" w:rsidTr="004F01E4">
        <w:trPr>
          <w:trHeight w:val="113"/>
        </w:trPr>
        <w:tc>
          <w:tcPr>
            <w:tcW w:w="2326" w:type="pct"/>
            <w:shd w:val="clear" w:color="auto" w:fill="auto"/>
            <w:noWrap/>
            <w:vAlign w:val="center"/>
          </w:tcPr>
          <w:p w:rsidR="004B7D85" w:rsidRPr="004B7D85" w:rsidRDefault="004B7D85" w:rsidP="004B7D85">
            <w:pPr>
              <w:ind w:firstLineChars="100" w:firstLine="140"/>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 xml:space="preserve">Daň z minerálneho oleja - zjednotenie sadzieb od 1.1.2018 </w:t>
            </w:r>
          </w:p>
        </w:tc>
        <w:tc>
          <w:tcPr>
            <w:tcW w:w="527" w:type="pct"/>
            <w:shd w:val="clear" w:color="auto" w:fill="auto"/>
            <w:noWrap/>
            <w:vAlign w:val="center"/>
          </w:tcPr>
          <w:p w:rsidR="004B7D85" w:rsidRPr="004B7D85" w:rsidRDefault="004B7D85" w:rsidP="004B7D85">
            <w:pPr>
              <w:jc w:val="center"/>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SD</w:t>
            </w:r>
          </w:p>
        </w:tc>
        <w:tc>
          <w:tcPr>
            <w:tcW w:w="360"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-644</w:t>
            </w:r>
          </w:p>
        </w:tc>
        <w:tc>
          <w:tcPr>
            <w:tcW w:w="377"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-810</w:t>
            </w:r>
          </w:p>
        </w:tc>
        <w:tc>
          <w:tcPr>
            <w:tcW w:w="354"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-870</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c>
          <w:tcPr>
            <w:tcW w:w="352" w:type="pct"/>
            <w:shd w:val="clear" w:color="auto" w:fill="auto"/>
            <w:noWrap/>
            <w:vAlign w:val="center"/>
          </w:tcPr>
          <w:p w:rsidR="004B7D85" w:rsidRPr="004B7D85" w:rsidRDefault="004B7D85" w:rsidP="00082657">
            <w:pPr>
              <w:jc w:val="right"/>
              <w:rPr>
                <w:rFonts w:ascii="Times New Roman" w:hAnsi="Times New Roman" w:cs="Times New Roman"/>
                <w:color w:val="000000"/>
                <w:sz w:val="14"/>
                <w:szCs w:val="14"/>
                <w:lang w:eastAsia="sk-SK"/>
              </w:rPr>
            </w:pPr>
            <w:r w:rsidRPr="004B7D85">
              <w:rPr>
                <w:rFonts w:ascii="Times New Roman" w:hAnsi="Times New Roman" w:cs="Times New Roman"/>
                <w:color w:val="000000"/>
                <w:sz w:val="14"/>
                <w:szCs w:val="14"/>
                <w:lang w:eastAsia="sk-SK"/>
              </w:rPr>
              <w:t>0</w:t>
            </w:r>
          </w:p>
        </w:tc>
      </w:tr>
    </w:tbl>
    <w:p w:rsidR="004B7D85" w:rsidRDefault="004B7D85" w:rsidP="004B7D85">
      <w:pPr>
        <w:ind w:firstLine="357"/>
        <w:jc w:val="both"/>
        <w:rPr>
          <w:rFonts w:ascii="Times New Roman" w:hAnsi="Times New Roman" w:cs="Times New Roman"/>
          <w:color w:val="000000"/>
          <w:sz w:val="22"/>
          <w:szCs w:val="22"/>
          <w:highlight w:val="yellow"/>
          <w:lang w:eastAsia="sk-SK"/>
        </w:rPr>
      </w:pPr>
    </w:p>
    <w:p w:rsidR="00082657" w:rsidRDefault="00082657" w:rsidP="004B7D85">
      <w:pPr>
        <w:ind w:firstLine="357"/>
        <w:jc w:val="both"/>
        <w:rPr>
          <w:rFonts w:ascii="Times New Roman" w:hAnsi="Times New Roman" w:cs="Times New Roman"/>
          <w:color w:val="000000"/>
          <w:sz w:val="22"/>
          <w:szCs w:val="22"/>
          <w:highlight w:val="yellow"/>
          <w:lang w:eastAsia="sk-SK"/>
        </w:rPr>
      </w:pPr>
    </w:p>
    <w:p w:rsidR="00082657" w:rsidRDefault="00082657" w:rsidP="004B7D85">
      <w:pPr>
        <w:ind w:firstLine="357"/>
        <w:jc w:val="both"/>
        <w:rPr>
          <w:rFonts w:ascii="Times New Roman" w:hAnsi="Times New Roman" w:cs="Times New Roman"/>
          <w:color w:val="000000"/>
          <w:sz w:val="22"/>
          <w:szCs w:val="22"/>
          <w:highlight w:val="yellow"/>
          <w:lang w:eastAsia="sk-SK"/>
        </w:rPr>
      </w:pPr>
    </w:p>
    <w:p w:rsidR="00B85378" w:rsidRDefault="00B85378" w:rsidP="004B7D85">
      <w:pPr>
        <w:ind w:firstLine="357"/>
        <w:jc w:val="both"/>
        <w:rPr>
          <w:rFonts w:ascii="Times New Roman" w:hAnsi="Times New Roman" w:cs="Times New Roman"/>
          <w:color w:val="000000"/>
          <w:sz w:val="22"/>
          <w:szCs w:val="22"/>
          <w:highlight w:val="yellow"/>
          <w:lang w:eastAsia="sk-SK"/>
        </w:rPr>
      </w:pPr>
    </w:p>
    <w:p w:rsidR="004F01E4" w:rsidRPr="004B7D85" w:rsidRDefault="004F01E4" w:rsidP="004B7D85">
      <w:pPr>
        <w:ind w:firstLine="357"/>
        <w:jc w:val="both"/>
        <w:rPr>
          <w:rFonts w:ascii="Times New Roman" w:hAnsi="Times New Roman" w:cs="Times New Roman"/>
          <w:color w:val="000000"/>
          <w:sz w:val="22"/>
          <w:szCs w:val="22"/>
          <w:highlight w:val="yellow"/>
          <w:lang w:eastAsia="sk-SK"/>
        </w:rPr>
      </w:pPr>
    </w:p>
    <w:p w:rsidR="00B21114" w:rsidRPr="00B21114" w:rsidRDefault="00B21114" w:rsidP="00B21114">
      <w:pPr>
        <w:pStyle w:val="Nadpis2"/>
        <w:rPr>
          <w:rFonts w:ascii="Times New Roman" w:hAnsi="Times New Roman"/>
          <w:i w:val="0"/>
          <w:sz w:val="24"/>
        </w:rPr>
      </w:pPr>
      <w:bookmarkStart w:id="46" w:name="_Toc494463969"/>
      <w:r w:rsidRPr="002D5B22">
        <w:rPr>
          <w:rFonts w:ascii="Times New Roman" w:hAnsi="Times New Roman"/>
          <w:i w:val="0"/>
          <w:sz w:val="24"/>
        </w:rPr>
        <w:lastRenderedPageBreak/>
        <w:t>3.6. Jednorazové</w:t>
      </w:r>
      <w:r w:rsidR="00E944E8" w:rsidRPr="002D5B22">
        <w:rPr>
          <w:rFonts w:ascii="Times New Roman" w:hAnsi="Times New Roman"/>
          <w:i w:val="0"/>
          <w:sz w:val="24"/>
        </w:rPr>
        <w:t xml:space="preserve"> a dočasné</w:t>
      </w:r>
      <w:r w:rsidRPr="002D5B22">
        <w:rPr>
          <w:rFonts w:ascii="Times New Roman" w:hAnsi="Times New Roman"/>
          <w:i w:val="0"/>
          <w:sz w:val="24"/>
        </w:rPr>
        <w:t xml:space="preserve"> opatrenia</w:t>
      </w:r>
      <w:bookmarkEnd w:id="46"/>
      <w:r w:rsidRPr="00B21114">
        <w:rPr>
          <w:rFonts w:ascii="Times New Roman" w:hAnsi="Times New Roman"/>
          <w:i w:val="0"/>
          <w:sz w:val="24"/>
        </w:rPr>
        <w:t xml:space="preserve"> </w:t>
      </w:r>
    </w:p>
    <w:p w:rsidR="00EA2CDB" w:rsidRDefault="00EA2CDB" w:rsidP="00577641">
      <w:pPr>
        <w:ind w:firstLine="708"/>
        <w:contextualSpacing/>
        <w:jc w:val="both"/>
        <w:rPr>
          <w:rFonts w:ascii="Times New Roman" w:hAnsi="Times New Roman" w:cs="Times New Roman"/>
        </w:rPr>
      </w:pPr>
    </w:p>
    <w:p w:rsidR="009769EF" w:rsidRPr="006401FB" w:rsidRDefault="009769EF" w:rsidP="009769EF">
      <w:pPr>
        <w:ind w:firstLine="708"/>
        <w:contextualSpacing/>
        <w:jc w:val="both"/>
        <w:rPr>
          <w:rFonts w:ascii="Times New Roman" w:hAnsi="Times New Roman" w:cs="Times New Roman"/>
        </w:rPr>
      </w:pPr>
      <w:r w:rsidRPr="006401FB">
        <w:rPr>
          <w:rFonts w:ascii="Times New Roman" w:hAnsi="Times New Roman" w:cs="Times New Roman"/>
        </w:rPr>
        <w:t>Na základe definície uvedenej v zákone o rozpočtových pravidlách verejnej správy sa jednorazovým vplyvom rozumie príjem alebo výdavok, ktorý nemá trvalý alebo opakujúci sa charakter a má časovo obmedzený vplyv na saldo rozpočtu verejnej správy. Všeobecná definícia neumožňuje jednoznačne určiť či ide o jednorazové opatrenia alebo nie. MF SR pripravilo podrobnejší manuál</w:t>
      </w:r>
      <w:r w:rsidRPr="006401FB">
        <w:rPr>
          <w:rStyle w:val="Odkaznapoznmkupodiarou"/>
          <w:rFonts w:ascii="Times New Roman" w:hAnsi="Times New Roman"/>
        </w:rPr>
        <w:footnoteReference w:id="14"/>
      </w:r>
      <w:r w:rsidRPr="006401FB">
        <w:rPr>
          <w:rFonts w:ascii="Times New Roman" w:hAnsi="Times New Roman" w:cs="Times New Roman"/>
        </w:rPr>
        <w:t xml:space="preserve">, ktorý sa venuje problematike jednorazových opatrení. </w:t>
      </w:r>
    </w:p>
    <w:p w:rsidR="009769EF" w:rsidRPr="007425F7" w:rsidRDefault="009769EF" w:rsidP="009769EF">
      <w:pPr>
        <w:contextualSpacing/>
        <w:jc w:val="both"/>
        <w:rPr>
          <w:rFonts w:ascii="Times New Roman" w:hAnsi="Times New Roman" w:cs="Times New Roman"/>
        </w:rPr>
      </w:pPr>
    </w:p>
    <w:tbl>
      <w:tblPr>
        <w:tblW w:w="5003" w:type="pct"/>
        <w:tblInd w:w="-5" w:type="dxa"/>
        <w:tblLayout w:type="fixed"/>
        <w:tblLook w:val="04A0" w:firstRow="1" w:lastRow="0" w:firstColumn="1" w:lastColumn="0" w:noHBand="0" w:noVBand="1"/>
      </w:tblPr>
      <w:tblGrid>
        <w:gridCol w:w="2676"/>
        <w:gridCol w:w="914"/>
        <w:gridCol w:w="914"/>
        <w:gridCol w:w="914"/>
        <w:gridCol w:w="914"/>
        <w:gridCol w:w="916"/>
        <w:gridCol w:w="910"/>
        <w:gridCol w:w="909"/>
      </w:tblGrid>
      <w:tr w:rsidR="005D111E" w:rsidRPr="007425F7" w:rsidTr="005D111E">
        <w:trPr>
          <w:trHeight w:val="426"/>
        </w:trPr>
        <w:tc>
          <w:tcPr>
            <w:tcW w:w="5000" w:type="pct"/>
            <w:gridSpan w:val="8"/>
            <w:tcBorders>
              <w:top w:val="single" w:sz="4" w:space="0" w:color="auto"/>
              <w:left w:val="single" w:sz="4" w:space="0" w:color="auto"/>
              <w:bottom w:val="single" w:sz="4" w:space="0" w:color="auto"/>
              <w:right w:val="single" w:sz="4" w:space="0" w:color="auto"/>
            </w:tcBorders>
            <w:shd w:val="clear" w:color="auto" w:fill="A6A6A6"/>
            <w:vAlign w:val="center"/>
          </w:tcPr>
          <w:p w:rsidR="005D111E" w:rsidRPr="007425F7" w:rsidRDefault="005D111E" w:rsidP="00300E07">
            <w:pPr>
              <w:rPr>
                <w:rFonts w:ascii="Times New Roman" w:hAnsi="Times New Roman" w:cs="Times New Roman"/>
                <w:b/>
                <w:bCs/>
                <w:sz w:val="14"/>
                <w:szCs w:val="14"/>
                <w:lang w:eastAsia="en-US"/>
              </w:rPr>
            </w:pPr>
            <w:r w:rsidRPr="007425F7">
              <w:rPr>
                <w:rFonts w:ascii="Times New Roman" w:hAnsi="Times New Roman" w:cs="Times New Roman"/>
                <w:b/>
                <w:bCs/>
                <w:sz w:val="14"/>
                <w:szCs w:val="14"/>
                <w:lang w:eastAsia="en-US"/>
              </w:rPr>
              <w:t>Jednorazové a dočasné opatrenia (ESA 2010, v mil. eur)</w:t>
            </w:r>
          </w:p>
        </w:tc>
      </w:tr>
      <w:tr w:rsidR="005D111E" w:rsidRPr="007425F7" w:rsidTr="00A23F29">
        <w:trPr>
          <w:trHeight w:val="224"/>
        </w:trPr>
        <w:tc>
          <w:tcPr>
            <w:tcW w:w="1476"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D111E" w:rsidRPr="007425F7" w:rsidRDefault="005D111E" w:rsidP="005D111E">
            <w:pPr>
              <w:rPr>
                <w:rFonts w:ascii="Times New Roman" w:hAnsi="Times New Roman" w:cs="Times New Roman"/>
                <w:sz w:val="14"/>
                <w:szCs w:val="14"/>
                <w:lang w:eastAsia="en-US"/>
              </w:rPr>
            </w:pPr>
          </w:p>
        </w:tc>
        <w:tc>
          <w:tcPr>
            <w:tcW w:w="50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D111E" w:rsidRPr="007425F7" w:rsidRDefault="005D111E" w:rsidP="005D111E">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2015 S</w:t>
            </w:r>
          </w:p>
        </w:tc>
        <w:tc>
          <w:tcPr>
            <w:tcW w:w="504" w:type="pct"/>
            <w:tcBorders>
              <w:top w:val="single" w:sz="4" w:space="0" w:color="auto"/>
              <w:left w:val="nil"/>
              <w:bottom w:val="single" w:sz="4" w:space="0" w:color="auto"/>
              <w:right w:val="single" w:sz="4" w:space="0" w:color="auto"/>
            </w:tcBorders>
            <w:shd w:val="clear" w:color="000000" w:fill="BFBFBF"/>
            <w:noWrap/>
            <w:vAlign w:val="center"/>
            <w:hideMark/>
          </w:tcPr>
          <w:p w:rsidR="005D111E" w:rsidRPr="007425F7" w:rsidRDefault="005D111E" w:rsidP="005D111E">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2016 S</w:t>
            </w:r>
          </w:p>
        </w:tc>
        <w:tc>
          <w:tcPr>
            <w:tcW w:w="504" w:type="pct"/>
            <w:tcBorders>
              <w:top w:val="single" w:sz="4" w:space="0" w:color="auto"/>
              <w:left w:val="nil"/>
              <w:bottom w:val="single" w:sz="4" w:space="0" w:color="auto"/>
              <w:right w:val="single" w:sz="4" w:space="0" w:color="auto"/>
            </w:tcBorders>
            <w:shd w:val="clear" w:color="000000" w:fill="BFBFBF"/>
            <w:noWrap/>
            <w:vAlign w:val="center"/>
            <w:hideMark/>
          </w:tcPr>
          <w:p w:rsidR="005D111E" w:rsidRPr="007425F7" w:rsidRDefault="005D111E" w:rsidP="005D111E">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2017</w:t>
            </w:r>
            <w:r w:rsidRPr="007425F7">
              <w:rPr>
                <w:rFonts w:ascii="Times New Roman" w:hAnsi="Times New Roman" w:cs="Times New Roman"/>
                <w:b/>
                <w:bCs/>
                <w:sz w:val="14"/>
                <w:szCs w:val="14"/>
                <w:lang w:eastAsia="en-US"/>
              </w:rPr>
              <w:t xml:space="preserve"> </w:t>
            </w:r>
            <w:r>
              <w:rPr>
                <w:rFonts w:ascii="Times New Roman" w:hAnsi="Times New Roman" w:cs="Times New Roman"/>
                <w:b/>
                <w:bCs/>
                <w:sz w:val="14"/>
                <w:szCs w:val="14"/>
                <w:lang w:eastAsia="en-US"/>
              </w:rPr>
              <w:t>R</w:t>
            </w:r>
          </w:p>
        </w:tc>
        <w:tc>
          <w:tcPr>
            <w:tcW w:w="504" w:type="pct"/>
            <w:tcBorders>
              <w:top w:val="single" w:sz="4" w:space="0" w:color="auto"/>
              <w:left w:val="nil"/>
              <w:bottom w:val="single" w:sz="4" w:space="0" w:color="auto"/>
              <w:right w:val="single" w:sz="4" w:space="0" w:color="auto"/>
            </w:tcBorders>
            <w:shd w:val="clear" w:color="000000" w:fill="BFBFBF"/>
            <w:noWrap/>
            <w:vAlign w:val="center"/>
            <w:hideMark/>
          </w:tcPr>
          <w:p w:rsidR="005D111E" w:rsidRPr="007425F7" w:rsidRDefault="005D111E" w:rsidP="005D111E">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2017</w:t>
            </w:r>
            <w:r w:rsidRPr="007425F7">
              <w:rPr>
                <w:rFonts w:ascii="Times New Roman" w:hAnsi="Times New Roman" w:cs="Times New Roman"/>
                <w:b/>
                <w:bCs/>
                <w:sz w:val="14"/>
                <w:szCs w:val="14"/>
                <w:lang w:eastAsia="en-US"/>
              </w:rPr>
              <w:t xml:space="preserve"> </w:t>
            </w:r>
            <w:r>
              <w:rPr>
                <w:rFonts w:ascii="Times New Roman" w:hAnsi="Times New Roman" w:cs="Times New Roman"/>
                <w:b/>
                <w:bCs/>
                <w:sz w:val="14"/>
                <w:szCs w:val="14"/>
                <w:lang w:eastAsia="en-US"/>
              </w:rPr>
              <w:t>OS</w:t>
            </w:r>
          </w:p>
        </w:tc>
        <w:tc>
          <w:tcPr>
            <w:tcW w:w="505" w:type="pct"/>
            <w:tcBorders>
              <w:top w:val="single" w:sz="4" w:space="0" w:color="auto"/>
              <w:left w:val="nil"/>
              <w:bottom w:val="single" w:sz="4" w:space="0" w:color="auto"/>
              <w:right w:val="single" w:sz="4" w:space="0" w:color="auto"/>
            </w:tcBorders>
            <w:shd w:val="clear" w:color="000000" w:fill="BFBFBF"/>
            <w:vAlign w:val="center"/>
          </w:tcPr>
          <w:p w:rsidR="005D111E" w:rsidRPr="007425F7" w:rsidRDefault="005D111E" w:rsidP="005D111E">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2018</w:t>
            </w:r>
            <w:r w:rsidRPr="007425F7">
              <w:rPr>
                <w:rFonts w:ascii="Times New Roman" w:hAnsi="Times New Roman" w:cs="Times New Roman"/>
                <w:b/>
                <w:bCs/>
                <w:sz w:val="14"/>
                <w:szCs w:val="14"/>
                <w:lang w:eastAsia="en-US"/>
              </w:rPr>
              <w:t xml:space="preserve"> </w:t>
            </w:r>
            <w:r>
              <w:rPr>
                <w:rFonts w:ascii="Times New Roman" w:hAnsi="Times New Roman" w:cs="Times New Roman"/>
                <w:b/>
                <w:bCs/>
                <w:sz w:val="14"/>
                <w:szCs w:val="14"/>
                <w:lang w:eastAsia="en-US"/>
              </w:rPr>
              <w:t>N</w:t>
            </w:r>
          </w:p>
        </w:tc>
        <w:tc>
          <w:tcPr>
            <w:tcW w:w="502" w:type="pct"/>
            <w:tcBorders>
              <w:top w:val="single" w:sz="4" w:space="0" w:color="auto"/>
              <w:left w:val="nil"/>
              <w:bottom w:val="single" w:sz="4" w:space="0" w:color="auto"/>
              <w:right w:val="single" w:sz="4" w:space="0" w:color="auto"/>
            </w:tcBorders>
            <w:shd w:val="clear" w:color="000000" w:fill="BFBFBF"/>
            <w:vAlign w:val="center"/>
          </w:tcPr>
          <w:p w:rsidR="005D111E" w:rsidRPr="007425F7" w:rsidRDefault="005D111E" w:rsidP="005D111E">
            <w:pPr>
              <w:jc w:val="center"/>
              <w:rPr>
                <w:rFonts w:ascii="Times New Roman" w:hAnsi="Times New Roman" w:cs="Times New Roman"/>
                <w:b/>
                <w:bCs/>
                <w:sz w:val="14"/>
                <w:szCs w:val="14"/>
                <w:lang w:eastAsia="en-US"/>
              </w:rPr>
            </w:pPr>
            <w:r w:rsidRPr="007425F7">
              <w:rPr>
                <w:rFonts w:ascii="Times New Roman" w:hAnsi="Times New Roman" w:cs="Times New Roman"/>
                <w:b/>
                <w:bCs/>
                <w:sz w:val="14"/>
                <w:szCs w:val="14"/>
                <w:lang w:eastAsia="en-US"/>
              </w:rPr>
              <w:t>201</w:t>
            </w:r>
            <w:r>
              <w:rPr>
                <w:rFonts w:ascii="Times New Roman" w:hAnsi="Times New Roman" w:cs="Times New Roman"/>
                <w:b/>
                <w:bCs/>
                <w:sz w:val="14"/>
                <w:szCs w:val="14"/>
                <w:lang w:eastAsia="en-US"/>
              </w:rPr>
              <w:t>9</w:t>
            </w:r>
            <w:r w:rsidRPr="007425F7">
              <w:rPr>
                <w:rFonts w:ascii="Times New Roman" w:hAnsi="Times New Roman" w:cs="Times New Roman"/>
                <w:b/>
                <w:bCs/>
                <w:sz w:val="14"/>
                <w:szCs w:val="14"/>
                <w:lang w:eastAsia="en-US"/>
              </w:rPr>
              <w:t xml:space="preserve"> </w:t>
            </w:r>
            <w:r>
              <w:rPr>
                <w:rFonts w:ascii="Times New Roman" w:hAnsi="Times New Roman" w:cs="Times New Roman"/>
                <w:b/>
                <w:bCs/>
                <w:sz w:val="14"/>
                <w:szCs w:val="14"/>
                <w:lang w:eastAsia="en-US"/>
              </w:rPr>
              <w:t>N</w:t>
            </w:r>
          </w:p>
        </w:tc>
        <w:tc>
          <w:tcPr>
            <w:tcW w:w="501" w:type="pct"/>
            <w:tcBorders>
              <w:top w:val="single" w:sz="4" w:space="0" w:color="auto"/>
              <w:left w:val="nil"/>
              <w:bottom w:val="single" w:sz="4" w:space="0" w:color="auto"/>
              <w:right w:val="single" w:sz="4" w:space="0" w:color="auto"/>
            </w:tcBorders>
            <w:shd w:val="clear" w:color="000000" w:fill="BFBFBF"/>
            <w:vAlign w:val="center"/>
          </w:tcPr>
          <w:p w:rsidR="005D111E" w:rsidRPr="007425F7" w:rsidRDefault="005D111E" w:rsidP="005D111E">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2020</w:t>
            </w:r>
            <w:r w:rsidRPr="007425F7">
              <w:rPr>
                <w:rFonts w:ascii="Times New Roman" w:hAnsi="Times New Roman" w:cs="Times New Roman"/>
                <w:b/>
                <w:bCs/>
                <w:sz w:val="14"/>
                <w:szCs w:val="14"/>
                <w:lang w:eastAsia="en-US"/>
              </w:rPr>
              <w:t xml:space="preserve"> </w:t>
            </w:r>
            <w:r>
              <w:rPr>
                <w:rFonts w:ascii="Times New Roman" w:hAnsi="Times New Roman" w:cs="Times New Roman"/>
                <w:b/>
                <w:bCs/>
                <w:sz w:val="14"/>
                <w:szCs w:val="14"/>
                <w:lang w:eastAsia="en-US"/>
              </w:rPr>
              <w:t>N</w:t>
            </w:r>
          </w:p>
        </w:tc>
      </w:tr>
      <w:tr w:rsidR="002D1952" w:rsidRPr="007425F7" w:rsidTr="003C2539">
        <w:trPr>
          <w:trHeight w:val="224"/>
        </w:trPr>
        <w:tc>
          <w:tcPr>
            <w:tcW w:w="1476" w:type="pct"/>
            <w:tcBorders>
              <w:top w:val="nil"/>
              <w:left w:val="single" w:sz="4" w:space="0" w:color="auto"/>
              <w:bottom w:val="single" w:sz="4" w:space="0" w:color="auto"/>
              <w:right w:val="single" w:sz="4" w:space="0" w:color="auto"/>
            </w:tcBorders>
            <w:vAlign w:val="center"/>
            <w:hideMark/>
          </w:tcPr>
          <w:p w:rsidR="002D1952" w:rsidRPr="00E411A9" w:rsidRDefault="002D1952" w:rsidP="002D1952">
            <w:pPr>
              <w:rPr>
                <w:rFonts w:ascii="Times New Roman" w:hAnsi="Times New Roman" w:cs="Times New Roman"/>
                <w:sz w:val="14"/>
                <w:szCs w:val="14"/>
                <w:lang w:eastAsia="en-US"/>
              </w:rPr>
            </w:pPr>
            <w:r w:rsidRPr="006A60CA">
              <w:rPr>
                <w:rFonts w:ascii="Times New Roman" w:hAnsi="Times New Roman" w:cs="Times New Roman"/>
                <w:sz w:val="14"/>
                <w:szCs w:val="14"/>
              </w:rPr>
              <w:t>- zmena výpočtu odvodu do rozpočtu</w:t>
            </w:r>
            <w:r>
              <w:rPr>
                <w:rFonts w:ascii="Times New Roman" w:hAnsi="Times New Roman" w:cs="Times New Roman"/>
                <w:sz w:val="14"/>
                <w:szCs w:val="14"/>
              </w:rPr>
              <w:t xml:space="preserve"> EÚ</w:t>
            </w:r>
          </w:p>
        </w:tc>
        <w:tc>
          <w:tcPr>
            <w:tcW w:w="504" w:type="pct"/>
            <w:tcBorders>
              <w:top w:val="nil"/>
              <w:left w:val="single" w:sz="4" w:space="0" w:color="auto"/>
              <w:bottom w:val="single" w:sz="4" w:space="0" w:color="auto"/>
              <w:right w:val="single" w:sz="4" w:space="0" w:color="auto"/>
            </w:tcBorders>
            <w:noWrap/>
            <w:vAlign w:val="center"/>
            <w:hideMark/>
          </w:tcPr>
          <w:p w:rsidR="002D1952" w:rsidRPr="007425F7" w:rsidRDefault="002D1952" w:rsidP="002D1952">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4" w:type="pct"/>
            <w:tcBorders>
              <w:top w:val="nil"/>
              <w:left w:val="nil"/>
              <w:bottom w:val="single" w:sz="4" w:space="0" w:color="auto"/>
              <w:right w:val="single" w:sz="4" w:space="0" w:color="auto"/>
            </w:tcBorders>
            <w:noWrap/>
            <w:vAlign w:val="center"/>
            <w:hideMark/>
          </w:tcPr>
          <w:p w:rsidR="002D1952" w:rsidRPr="007425F7" w:rsidRDefault="002D1952" w:rsidP="002D1952">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-35</w:t>
            </w:r>
          </w:p>
        </w:tc>
        <w:tc>
          <w:tcPr>
            <w:tcW w:w="504" w:type="pct"/>
            <w:tcBorders>
              <w:top w:val="nil"/>
              <w:left w:val="nil"/>
              <w:bottom w:val="single" w:sz="4" w:space="0" w:color="auto"/>
              <w:right w:val="single" w:sz="4" w:space="0" w:color="auto"/>
            </w:tcBorders>
            <w:noWrap/>
            <w:vAlign w:val="center"/>
            <w:hideMark/>
          </w:tcPr>
          <w:p w:rsidR="002D1952" w:rsidRPr="007425F7" w:rsidRDefault="002D1952" w:rsidP="002D1952">
            <w:pPr>
              <w:jc w:val="center"/>
              <w:rPr>
                <w:rFonts w:ascii="Times New Roman" w:hAnsi="Times New Roman" w:cs="Times New Roman"/>
                <w:color w:val="000000"/>
                <w:sz w:val="14"/>
                <w:szCs w:val="14"/>
                <w:lang w:eastAsia="en-US"/>
              </w:rPr>
            </w:pPr>
            <w:r w:rsidRPr="007425F7">
              <w:rPr>
                <w:rFonts w:ascii="Times New Roman" w:hAnsi="Times New Roman" w:cs="Times New Roman"/>
                <w:color w:val="000000"/>
                <w:sz w:val="14"/>
                <w:szCs w:val="14"/>
                <w:lang w:eastAsia="en-US"/>
              </w:rPr>
              <w:t>-</w:t>
            </w:r>
          </w:p>
        </w:tc>
        <w:tc>
          <w:tcPr>
            <w:tcW w:w="504" w:type="pct"/>
            <w:tcBorders>
              <w:top w:val="nil"/>
              <w:left w:val="nil"/>
              <w:bottom w:val="single" w:sz="4" w:space="0" w:color="auto"/>
              <w:right w:val="single" w:sz="4" w:space="0" w:color="auto"/>
            </w:tcBorders>
            <w:noWrap/>
            <w:vAlign w:val="center"/>
            <w:hideMark/>
          </w:tcPr>
          <w:p w:rsidR="002D1952" w:rsidRPr="007425F7" w:rsidRDefault="002D1952" w:rsidP="002D1952">
            <w:pPr>
              <w:jc w:val="center"/>
              <w:rPr>
                <w:rFonts w:ascii="Times New Roman" w:hAnsi="Times New Roman" w:cs="Times New Roman"/>
                <w:color w:val="000000"/>
                <w:sz w:val="14"/>
                <w:szCs w:val="14"/>
                <w:lang w:eastAsia="en-US"/>
              </w:rPr>
            </w:pPr>
            <w:r w:rsidRPr="007425F7">
              <w:rPr>
                <w:rFonts w:ascii="Times New Roman" w:hAnsi="Times New Roman" w:cs="Times New Roman"/>
                <w:color w:val="000000"/>
                <w:sz w:val="14"/>
                <w:szCs w:val="14"/>
                <w:lang w:eastAsia="en-US"/>
              </w:rPr>
              <w:t>-</w:t>
            </w:r>
          </w:p>
        </w:tc>
        <w:tc>
          <w:tcPr>
            <w:tcW w:w="505" w:type="pct"/>
            <w:tcBorders>
              <w:top w:val="nil"/>
              <w:left w:val="nil"/>
              <w:bottom w:val="single" w:sz="4" w:space="0" w:color="auto"/>
              <w:right w:val="single" w:sz="4" w:space="0" w:color="auto"/>
            </w:tcBorders>
            <w:vAlign w:val="center"/>
          </w:tcPr>
          <w:p w:rsidR="002D1952" w:rsidRPr="007425F7" w:rsidRDefault="002D1952" w:rsidP="002D1952">
            <w:pPr>
              <w:jc w:val="center"/>
              <w:rPr>
                <w:rFonts w:ascii="Times New Roman" w:hAnsi="Times New Roman" w:cs="Times New Roman"/>
                <w:color w:val="000000"/>
                <w:sz w:val="14"/>
                <w:szCs w:val="14"/>
                <w:lang w:eastAsia="en-US"/>
              </w:rPr>
            </w:pPr>
            <w:r w:rsidRPr="007425F7">
              <w:rPr>
                <w:rFonts w:ascii="Times New Roman" w:hAnsi="Times New Roman" w:cs="Times New Roman"/>
                <w:color w:val="000000"/>
                <w:sz w:val="14"/>
                <w:szCs w:val="14"/>
                <w:lang w:eastAsia="en-US"/>
              </w:rPr>
              <w:t>-</w:t>
            </w:r>
          </w:p>
        </w:tc>
        <w:tc>
          <w:tcPr>
            <w:tcW w:w="502" w:type="pct"/>
            <w:tcBorders>
              <w:top w:val="nil"/>
              <w:left w:val="nil"/>
              <w:bottom w:val="single" w:sz="4" w:space="0" w:color="auto"/>
              <w:right w:val="single" w:sz="4" w:space="0" w:color="auto"/>
            </w:tcBorders>
            <w:vAlign w:val="center"/>
          </w:tcPr>
          <w:p w:rsidR="002D1952" w:rsidRPr="007425F7" w:rsidRDefault="002D1952" w:rsidP="002D1952">
            <w:pPr>
              <w:jc w:val="center"/>
              <w:rPr>
                <w:rFonts w:ascii="Times New Roman" w:hAnsi="Times New Roman" w:cs="Times New Roman"/>
                <w:color w:val="000000"/>
                <w:sz w:val="14"/>
                <w:szCs w:val="14"/>
                <w:lang w:eastAsia="en-US"/>
              </w:rPr>
            </w:pPr>
            <w:r w:rsidRPr="007425F7">
              <w:rPr>
                <w:rFonts w:ascii="Times New Roman" w:hAnsi="Times New Roman" w:cs="Times New Roman"/>
                <w:color w:val="000000"/>
                <w:sz w:val="14"/>
                <w:szCs w:val="14"/>
                <w:lang w:eastAsia="en-US"/>
              </w:rPr>
              <w:t>-</w:t>
            </w:r>
          </w:p>
        </w:tc>
        <w:tc>
          <w:tcPr>
            <w:tcW w:w="501" w:type="pct"/>
            <w:tcBorders>
              <w:top w:val="nil"/>
              <w:left w:val="nil"/>
              <w:bottom w:val="single" w:sz="4" w:space="0" w:color="auto"/>
              <w:right w:val="single" w:sz="4" w:space="0" w:color="auto"/>
            </w:tcBorders>
            <w:vAlign w:val="center"/>
          </w:tcPr>
          <w:p w:rsidR="002D1952" w:rsidRPr="007425F7" w:rsidRDefault="002D1952" w:rsidP="002D1952">
            <w:pPr>
              <w:jc w:val="center"/>
              <w:rPr>
                <w:rFonts w:ascii="Times New Roman" w:hAnsi="Times New Roman" w:cs="Times New Roman"/>
                <w:color w:val="000000"/>
                <w:sz w:val="14"/>
                <w:szCs w:val="14"/>
                <w:lang w:eastAsia="en-US"/>
              </w:rPr>
            </w:pPr>
            <w:r w:rsidRPr="007425F7">
              <w:rPr>
                <w:rFonts w:ascii="Times New Roman" w:hAnsi="Times New Roman" w:cs="Times New Roman"/>
                <w:color w:val="000000"/>
                <w:sz w:val="14"/>
                <w:szCs w:val="14"/>
                <w:lang w:eastAsia="en-US"/>
              </w:rPr>
              <w:t>-</w:t>
            </w:r>
          </w:p>
        </w:tc>
      </w:tr>
      <w:tr w:rsidR="002D1952" w:rsidRPr="007425F7" w:rsidTr="003C2539">
        <w:trPr>
          <w:trHeight w:val="224"/>
        </w:trPr>
        <w:tc>
          <w:tcPr>
            <w:tcW w:w="1476" w:type="pct"/>
            <w:tcBorders>
              <w:top w:val="nil"/>
              <w:left w:val="single" w:sz="4" w:space="0" w:color="auto"/>
              <w:bottom w:val="single" w:sz="4" w:space="0" w:color="auto"/>
              <w:right w:val="single" w:sz="4" w:space="0" w:color="auto"/>
            </w:tcBorders>
            <w:vAlign w:val="center"/>
          </w:tcPr>
          <w:p w:rsidR="002D1952" w:rsidRPr="00261DE8" w:rsidRDefault="002D1952" w:rsidP="002D1952">
            <w:pPr>
              <w:rPr>
                <w:rFonts w:ascii="Times New Roman" w:hAnsi="Times New Roman" w:cs="Times New Roman"/>
                <w:sz w:val="14"/>
                <w:szCs w:val="14"/>
              </w:rPr>
            </w:pPr>
            <w:r w:rsidRPr="006A60CA">
              <w:rPr>
                <w:rFonts w:ascii="Times New Roman" w:hAnsi="Times New Roman" w:cs="Times New Roman"/>
                <w:sz w:val="14"/>
                <w:szCs w:val="14"/>
              </w:rPr>
              <w:t xml:space="preserve">- </w:t>
            </w:r>
            <w:proofErr w:type="spellStart"/>
            <w:r w:rsidRPr="006A60CA">
              <w:rPr>
                <w:rFonts w:ascii="Times New Roman" w:hAnsi="Times New Roman" w:cs="Times New Roman"/>
                <w:sz w:val="14"/>
                <w:szCs w:val="14"/>
              </w:rPr>
              <w:t>vratky</w:t>
            </w:r>
            <w:proofErr w:type="spellEnd"/>
            <w:r w:rsidRPr="006A60CA">
              <w:rPr>
                <w:rFonts w:ascii="Times New Roman" w:hAnsi="Times New Roman" w:cs="Times New Roman"/>
                <w:sz w:val="14"/>
                <w:szCs w:val="14"/>
              </w:rPr>
              <w:t xml:space="preserve"> domácnostiam za spotrebu plynu</w:t>
            </w:r>
          </w:p>
        </w:tc>
        <w:tc>
          <w:tcPr>
            <w:tcW w:w="504" w:type="pct"/>
            <w:tcBorders>
              <w:top w:val="nil"/>
              <w:left w:val="single" w:sz="4" w:space="0" w:color="auto"/>
              <w:bottom w:val="single" w:sz="4" w:space="0" w:color="auto"/>
              <w:right w:val="single" w:sz="4" w:space="0" w:color="auto"/>
            </w:tcBorders>
            <w:noWrap/>
            <w:vAlign w:val="center"/>
          </w:tcPr>
          <w:p w:rsidR="002D1952" w:rsidRDefault="002D1952" w:rsidP="002D1952">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4" w:type="pct"/>
            <w:tcBorders>
              <w:top w:val="nil"/>
              <w:left w:val="nil"/>
              <w:bottom w:val="single" w:sz="4" w:space="0" w:color="auto"/>
              <w:right w:val="single" w:sz="4" w:space="0" w:color="auto"/>
            </w:tcBorders>
            <w:noWrap/>
            <w:vAlign w:val="center"/>
          </w:tcPr>
          <w:p w:rsidR="002D1952" w:rsidRDefault="002D1952" w:rsidP="002D1952">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-46</w:t>
            </w:r>
          </w:p>
        </w:tc>
        <w:tc>
          <w:tcPr>
            <w:tcW w:w="504" w:type="pct"/>
            <w:tcBorders>
              <w:top w:val="nil"/>
              <w:left w:val="nil"/>
              <w:bottom w:val="single" w:sz="4" w:space="0" w:color="auto"/>
              <w:right w:val="single" w:sz="4" w:space="0" w:color="auto"/>
            </w:tcBorders>
            <w:noWrap/>
            <w:vAlign w:val="center"/>
          </w:tcPr>
          <w:p w:rsidR="002D1952" w:rsidRDefault="002D1952" w:rsidP="002D1952">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4" w:type="pct"/>
            <w:tcBorders>
              <w:top w:val="nil"/>
              <w:left w:val="nil"/>
              <w:bottom w:val="single" w:sz="4" w:space="0" w:color="auto"/>
              <w:right w:val="single" w:sz="4" w:space="0" w:color="auto"/>
            </w:tcBorders>
            <w:noWrap/>
            <w:vAlign w:val="center"/>
          </w:tcPr>
          <w:p w:rsidR="002D1952" w:rsidRDefault="002D1952" w:rsidP="002D1952">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5" w:type="pct"/>
            <w:tcBorders>
              <w:top w:val="nil"/>
              <w:left w:val="nil"/>
              <w:bottom w:val="single" w:sz="4" w:space="0" w:color="auto"/>
              <w:right w:val="single" w:sz="4" w:space="0" w:color="auto"/>
            </w:tcBorders>
            <w:vAlign w:val="center"/>
          </w:tcPr>
          <w:p w:rsidR="002D1952" w:rsidRDefault="002D1952" w:rsidP="002D1952">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2" w:type="pct"/>
            <w:tcBorders>
              <w:top w:val="nil"/>
              <w:left w:val="nil"/>
              <w:bottom w:val="single" w:sz="4" w:space="0" w:color="auto"/>
              <w:right w:val="single" w:sz="4" w:space="0" w:color="auto"/>
            </w:tcBorders>
            <w:vAlign w:val="center"/>
          </w:tcPr>
          <w:p w:rsidR="002D1952" w:rsidRDefault="002D1952" w:rsidP="002D1952">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1" w:type="pct"/>
            <w:tcBorders>
              <w:top w:val="nil"/>
              <w:left w:val="nil"/>
              <w:bottom w:val="single" w:sz="4" w:space="0" w:color="auto"/>
              <w:right w:val="single" w:sz="4" w:space="0" w:color="auto"/>
            </w:tcBorders>
            <w:vAlign w:val="center"/>
          </w:tcPr>
          <w:p w:rsidR="002D1952" w:rsidRDefault="002D1952" w:rsidP="002D1952">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r>
      <w:tr w:rsidR="002D1952" w:rsidRPr="007425F7" w:rsidTr="003C2539">
        <w:trPr>
          <w:trHeight w:val="224"/>
        </w:trPr>
        <w:tc>
          <w:tcPr>
            <w:tcW w:w="147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D1952" w:rsidRPr="007425F7" w:rsidRDefault="002D1952" w:rsidP="002D1952">
            <w:pPr>
              <w:rPr>
                <w:rFonts w:ascii="Times New Roman" w:hAnsi="Times New Roman" w:cs="Times New Roman"/>
                <w:b/>
                <w:bCs/>
                <w:sz w:val="14"/>
                <w:szCs w:val="14"/>
                <w:lang w:eastAsia="en-US"/>
              </w:rPr>
            </w:pPr>
            <w:r w:rsidRPr="007425F7">
              <w:rPr>
                <w:rFonts w:ascii="Times New Roman" w:hAnsi="Times New Roman" w:cs="Times New Roman"/>
                <w:b/>
                <w:bCs/>
                <w:sz w:val="14"/>
                <w:szCs w:val="14"/>
                <w:lang w:eastAsia="en-US"/>
              </w:rPr>
              <w:t>CELKOVO</w:t>
            </w:r>
          </w:p>
        </w:tc>
        <w:tc>
          <w:tcPr>
            <w:tcW w:w="504" w:type="pct"/>
            <w:tcBorders>
              <w:top w:val="single" w:sz="4" w:space="0" w:color="auto"/>
              <w:left w:val="single" w:sz="4" w:space="0" w:color="auto"/>
              <w:bottom w:val="single" w:sz="4" w:space="0" w:color="auto"/>
              <w:right w:val="single" w:sz="4" w:space="0" w:color="auto"/>
            </w:tcBorders>
            <w:shd w:val="clear" w:color="auto" w:fill="BFBFBF"/>
            <w:vAlign w:val="center"/>
          </w:tcPr>
          <w:p w:rsidR="002D1952" w:rsidRPr="007425F7" w:rsidRDefault="002D1952" w:rsidP="002D1952">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504" w:type="pct"/>
            <w:tcBorders>
              <w:top w:val="single" w:sz="4" w:space="0" w:color="auto"/>
              <w:left w:val="nil"/>
              <w:bottom w:val="single" w:sz="4" w:space="0" w:color="auto"/>
              <w:right w:val="single" w:sz="4" w:space="0" w:color="auto"/>
            </w:tcBorders>
            <w:shd w:val="clear" w:color="auto" w:fill="BFBFBF"/>
            <w:vAlign w:val="center"/>
          </w:tcPr>
          <w:p w:rsidR="002D1952" w:rsidRPr="007425F7" w:rsidRDefault="002D1952" w:rsidP="002D1952">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-81</w:t>
            </w:r>
          </w:p>
        </w:tc>
        <w:tc>
          <w:tcPr>
            <w:tcW w:w="504" w:type="pct"/>
            <w:tcBorders>
              <w:top w:val="single" w:sz="4" w:space="0" w:color="auto"/>
              <w:left w:val="nil"/>
              <w:bottom w:val="single" w:sz="4" w:space="0" w:color="auto"/>
              <w:right w:val="single" w:sz="4" w:space="0" w:color="auto"/>
            </w:tcBorders>
            <w:shd w:val="clear" w:color="auto" w:fill="BFBFBF"/>
            <w:vAlign w:val="center"/>
          </w:tcPr>
          <w:p w:rsidR="002D1952" w:rsidRPr="007425F7" w:rsidRDefault="002D1952" w:rsidP="002D1952">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504" w:type="pct"/>
            <w:tcBorders>
              <w:top w:val="single" w:sz="4" w:space="0" w:color="auto"/>
              <w:left w:val="nil"/>
              <w:bottom w:val="single" w:sz="4" w:space="0" w:color="auto"/>
              <w:right w:val="single" w:sz="4" w:space="0" w:color="auto"/>
            </w:tcBorders>
            <w:shd w:val="clear" w:color="auto" w:fill="BFBFBF"/>
            <w:vAlign w:val="center"/>
          </w:tcPr>
          <w:p w:rsidR="002D1952" w:rsidRPr="007425F7" w:rsidRDefault="002D1952" w:rsidP="002D1952">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505" w:type="pct"/>
            <w:tcBorders>
              <w:top w:val="single" w:sz="4" w:space="0" w:color="auto"/>
              <w:left w:val="nil"/>
              <w:bottom w:val="single" w:sz="4" w:space="0" w:color="auto"/>
              <w:right w:val="single" w:sz="4" w:space="0" w:color="auto"/>
            </w:tcBorders>
            <w:shd w:val="clear" w:color="auto" w:fill="BFBFBF"/>
            <w:vAlign w:val="center"/>
          </w:tcPr>
          <w:p w:rsidR="002D1952" w:rsidRPr="007425F7" w:rsidRDefault="002D1952" w:rsidP="002D1952">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502" w:type="pct"/>
            <w:tcBorders>
              <w:top w:val="single" w:sz="4" w:space="0" w:color="auto"/>
              <w:left w:val="nil"/>
              <w:bottom w:val="single" w:sz="4" w:space="0" w:color="auto"/>
              <w:right w:val="single" w:sz="4" w:space="0" w:color="auto"/>
            </w:tcBorders>
            <w:shd w:val="clear" w:color="auto" w:fill="BFBFBF"/>
            <w:vAlign w:val="center"/>
          </w:tcPr>
          <w:p w:rsidR="002D1952" w:rsidRPr="007425F7" w:rsidRDefault="002D1952" w:rsidP="002D1952">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501" w:type="pct"/>
            <w:tcBorders>
              <w:top w:val="single" w:sz="4" w:space="0" w:color="auto"/>
              <w:left w:val="nil"/>
              <w:bottom w:val="single" w:sz="4" w:space="0" w:color="auto"/>
              <w:right w:val="single" w:sz="4" w:space="0" w:color="auto"/>
            </w:tcBorders>
            <w:shd w:val="clear" w:color="auto" w:fill="BFBFBF"/>
            <w:vAlign w:val="center"/>
          </w:tcPr>
          <w:p w:rsidR="002D1952" w:rsidRPr="007425F7" w:rsidRDefault="002D1952" w:rsidP="002D1952">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r>
    </w:tbl>
    <w:p w:rsidR="009769EF" w:rsidRPr="007425F7" w:rsidRDefault="009769EF" w:rsidP="009769EF">
      <w:pPr>
        <w:jc w:val="center"/>
        <w:rPr>
          <w:rFonts w:ascii="Times New Roman" w:hAnsi="Times New Roman" w:cs="Times New Roman"/>
          <w:i/>
          <w:sz w:val="14"/>
          <w:szCs w:val="14"/>
        </w:rPr>
      </w:pPr>
      <w:r w:rsidRPr="007425F7">
        <w:rPr>
          <w:rFonts w:ascii="Times New Roman" w:hAnsi="Times New Roman" w:cs="Times New Roman"/>
          <w:i/>
          <w:sz w:val="14"/>
          <w:szCs w:val="14"/>
        </w:rPr>
        <w:t>(+) zlepšenie salda, (-) zhoršenie salda</w:t>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t xml:space="preserve">                           Zdroj: MF SR</w:t>
      </w:r>
    </w:p>
    <w:p w:rsidR="009769EF" w:rsidRPr="007425F7" w:rsidRDefault="009769EF" w:rsidP="009769EF">
      <w:pPr>
        <w:rPr>
          <w:rFonts w:ascii="Times New Roman" w:hAnsi="Times New Roman" w:cs="Times New Roman"/>
          <w:b/>
          <w:bCs/>
        </w:rPr>
      </w:pPr>
    </w:p>
    <w:p w:rsidR="009769EF" w:rsidRPr="002673EC" w:rsidRDefault="009769EF" w:rsidP="009769EF">
      <w:pPr>
        <w:rPr>
          <w:rFonts w:ascii="Times New Roman" w:hAnsi="Times New Roman" w:cs="Times New Roman"/>
          <w:b/>
        </w:rPr>
      </w:pPr>
      <w:r w:rsidRPr="002673EC">
        <w:rPr>
          <w:rFonts w:ascii="Times New Roman" w:hAnsi="Times New Roman" w:cs="Times New Roman"/>
          <w:b/>
        </w:rPr>
        <w:t>Jednorazové príjmové opatrenia</w:t>
      </w:r>
      <w:r w:rsidRPr="002673EC">
        <w:rPr>
          <w:rFonts w:ascii="Times New Roman" w:hAnsi="Times New Roman" w:cs="Times New Roman"/>
        </w:rPr>
        <w:t xml:space="preserve"> </w:t>
      </w:r>
    </w:p>
    <w:p w:rsidR="009769EF" w:rsidRPr="002673EC" w:rsidRDefault="009769EF" w:rsidP="009769EF">
      <w:pPr>
        <w:contextualSpacing/>
        <w:jc w:val="both"/>
        <w:rPr>
          <w:rFonts w:ascii="Times New Roman" w:hAnsi="Times New Roman" w:cs="Times New Roman"/>
        </w:rPr>
      </w:pPr>
    </w:p>
    <w:p w:rsidR="009769EF" w:rsidRPr="002673EC" w:rsidRDefault="009769EF" w:rsidP="009769EF">
      <w:pPr>
        <w:ind w:firstLine="360"/>
        <w:contextualSpacing/>
        <w:jc w:val="both"/>
        <w:rPr>
          <w:rFonts w:ascii="Times New Roman" w:hAnsi="Times New Roman" w:cs="Times New Roman"/>
        </w:rPr>
      </w:pPr>
      <w:r w:rsidRPr="002673EC">
        <w:rPr>
          <w:rFonts w:ascii="Times New Roman" w:hAnsi="Times New Roman" w:cs="Times New Roman"/>
        </w:rPr>
        <w:t xml:space="preserve">V roku 2016 boli identifikované nasledujúce jednorazové opatrenia spolu vo výške </w:t>
      </w:r>
      <w:r w:rsidR="000F0B1D">
        <w:rPr>
          <w:rFonts w:ascii="Times New Roman" w:hAnsi="Times New Roman" w:cs="Times New Roman"/>
        </w:rPr>
        <w:br/>
      </w:r>
      <w:r w:rsidRPr="002673EC">
        <w:rPr>
          <w:rFonts w:ascii="Times New Roman" w:hAnsi="Times New Roman" w:cs="Times New Roman"/>
        </w:rPr>
        <w:t xml:space="preserve">-81 miliónov </w:t>
      </w:r>
      <w:r w:rsidR="000F0B1D">
        <w:rPr>
          <w:rFonts w:ascii="Times New Roman" w:hAnsi="Times New Roman" w:cs="Times New Roman"/>
        </w:rPr>
        <w:t>eur</w:t>
      </w:r>
      <w:r w:rsidRPr="002673EC">
        <w:rPr>
          <w:rFonts w:ascii="Times New Roman" w:hAnsi="Times New Roman" w:cs="Times New Roman"/>
        </w:rPr>
        <w:t xml:space="preserve">. </w:t>
      </w:r>
    </w:p>
    <w:p w:rsidR="009769EF" w:rsidRPr="002673EC" w:rsidRDefault="009769EF" w:rsidP="009769EF">
      <w:pPr>
        <w:contextualSpacing/>
        <w:jc w:val="both"/>
        <w:rPr>
          <w:rFonts w:ascii="Times New Roman" w:hAnsi="Times New Roman" w:cs="Times New Roman"/>
        </w:rPr>
      </w:pPr>
    </w:p>
    <w:p w:rsidR="009769EF" w:rsidRPr="002673EC" w:rsidRDefault="009769EF" w:rsidP="00957D65">
      <w:pPr>
        <w:pStyle w:val="Odsekzoznamu"/>
        <w:numPr>
          <w:ilvl w:val="0"/>
          <w:numId w:val="5"/>
        </w:numPr>
        <w:jc w:val="both"/>
        <w:rPr>
          <w:rFonts w:ascii="Times New Roman" w:hAnsi="Times New Roman" w:cs="Times New Roman"/>
          <w:lang w:eastAsia="en-US"/>
        </w:rPr>
      </w:pPr>
      <w:r w:rsidRPr="002673EC">
        <w:rPr>
          <w:rFonts w:ascii="Times New Roman" w:hAnsi="Times New Roman" w:cs="Times New Roman"/>
          <w:b/>
          <w:lang w:eastAsia="en-US"/>
        </w:rPr>
        <w:t>Odvod do rozpočtu</w:t>
      </w:r>
      <w:r w:rsidRPr="002673EC">
        <w:rPr>
          <w:rFonts w:ascii="Times New Roman" w:hAnsi="Times New Roman" w:cs="Times New Roman"/>
          <w:lang w:eastAsia="en-US"/>
        </w:rPr>
        <w:t xml:space="preserve"> </w:t>
      </w:r>
      <w:r w:rsidR="00FA5758" w:rsidRPr="00FA5758">
        <w:rPr>
          <w:rFonts w:ascii="Times New Roman" w:hAnsi="Times New Roman" w:cs="Times New Roman"/>
          <w:b/>
          <w:lang w:eastAsia="en-US"/>
        </w:rPr>
        <w:t>EÚ</w:t>
      </w:r>
      <w:r w:rsidR="00FA5758">
        <w:rPr>
          <w:rFonts w:ascii="Times New Roman" w:hAnsi="Times New Roman" w:cs="Times New Roman"/>
          <w:lang w:eastAsia="en-US"/>
        </w:rPr>
        <w:t xml:space="preserve"> </w:t>
      </w:r>
      <w:r w:rsidRPr="002673EC">
        <w:rPr>
          <w:rFonts w:ascii="Times New Roman" w:hAnsi="Times New Roman" w:cs="Times New Roman"/>
          <w:lang w:eastAsia="en-US"/>
        </w:rPr>
        <w:t>– na základe rozhod</w:t>
      </w:r>
      <w:r w:rsidR="00FA5758">
        <w:rPr>
          <w:rFonts w:ascii="Times New Roman" w:hAnsi="Times New Roman" w:cs="Times New Roman"/>
          <w:lang w:eastAsia="en-US"/>
        </w:rPr>
        <w:t>nutia Európskej rady 2014/335/EÚ</w:t>
      </w:r>
      <w:r w:rsidRPr="002673EC">
        <w:rPr>
          <w:rFonts w:ascii="Times New Roman" w:hAnsi="Times New Roman" w:cs="Times New Roman"/>
          <w:lang w:eastAsia="en-US"/>
        </w:rPr>
        <w:t xml:space="preserve"> (ORD 2014) so spätnou platnosťou od 1.</w:t>
      </w:r>
      <w:r w:rsidR="000F0B1D">
        <w:rPr>
          <w:rFonts w:ascii="Times New Roman" w:hAnsi="Times New Roman" w:cs="Times New Roman"/>
          <w:lang w:eastAsia="en-US"/>
        </w:rPr>
        <w:t xml:space="preserve"> </w:t>
      </w:r>
      <w:r w:rsidRPr="002673EC">
        <w:rPr>
          <w:rFonts w:ascii="Times New Roman" w:hAnsi="Times New Roman" w:cs="Times New Roman"/>
          <w:lang w:eastAsia="en-US"/>
        </w:rPr>
        <w:t>1.</w:t>
      </w:r>
      <w:r w:rsidR="000F0B1D">
        <w:rPr>
          <w:rFonts w:ascii="Times New Roman" w:hAnsi="Times New Roman" w:cs="Times New Roman"/>
          <w:lang w:eastAsia="en-US"/>
        </w:rPr>
        <w:t xml:space="preserve"> </w:t>
      </w:r>
      <w:r w:rsidRPr="002673EC">
        <w:rPr>
          <w:rFonts w:ascii="Times New Roman" w:hAnsi="Times New Roman" w:cs="Times New Roman"/>
          <w:lang w:eastAsia="en-US"/>
        </w:rPr>
        <w:t>2014 došlo k revízii výpočtu vlastných príjmov Európskej únie. Z dôvodu tejto ratifikovanej úpravy došlo k dodatočnému jednorazovému príspevku Slovenska do rozpočtu EÚ vo výške 35,2 mil. eur.</w:t>
      </w:r>
    </w:p>
    <w:p w:rsidR="009769EF" w:rsidRPr="002673EC" w:rsidRDefault="009769EF" w:rsidP="009769EF">
      <w:pPr>
        <w:pStyle w:val="Odsekzoznamu"/>
        <w:rPr>
          <w:rFonts w:ascii="Times New Roman" w:hAnsi="Times New Roman" w:cs="Times New Roman"/>
          <w:lang w:eastAsia="en-US"/>
        </w:rPr>
      </w:pPr>
    </w:p>
    <w:p w:rsidR="009769EF" w:rsidRDefault="009769EF" w:rsidP="00957D65">
      <w:pPr>
        <w:pStyle w:val="Odsekzoznamu"/>
        <w:numPr>
          <w:ilvl w:val="0"/>
          <w:numId w:val="5"/>
        </w:numPr>
        <w:jc w:val="both"/>
        <w:rPr>
          <w:rFonts w:ascii="Times New Roman" w:hAnsi="Times New Roman" w:cs="Times New Roman"/>
          <w:color w:val="000000"/>
        </w:rPr>
      </w:pPr>
      <w:proofErr w:type="spellStart"/>
      <w:r w:rsidRPr="002673EC">
        <w:rPr>
          <w:rFonts w:ascii="Times New Roman" w:hAnsi="Times New Roman" w:cs="Times New Roman"/>
          <w:b/>
        </w:rPr>
        <w:t>Vratky</w:t>
      </w:r>
      <w:proofErr w:type="spellEnd"/>
      <w:r w:rsidRPr="002673EC">
        <w:rPr>
          <w:rFonts w:ascii="Times New Roman" w:hAnsi="Times New Roman" w:cs="Times New Roman"/>
          <w:b/>
        </w:rPr>
        <w:t xml:space="preserve"> za dodávky plynu domácnostiam</w:t>
      </w:r>
      <w:r w:rsidRPr="002673EC">
        <w:rPr>
          <w:rFonts w:ascii="Times New Roman" w:hAnsi="Times New Roman" w:cs="Times New Roman"/>
        </w:rPr>
        <w:t xml:space="preserve"> - v roku 2016 došlo k jednorazovému nárastu výdavkov vo výške 46,1 mil. </w:t>
      </w:r>
      <w:r w:rsidR="000F0B1D">
        <w:rPr>
          <w:rFonts w:ascii="Times New Roman" w:hAnsi="Times New Roman" w:cs="Times New Roman"/>
        </w:rPr>
        <w:t xml:space="preserve">eur </w:t>
      </w:r>
      <w:r w:rsidRPr="002673EC">
        <w:rPr>
          <w:rFonts w:ascii="Times New Roman" w:hAnsi="Times New Roman" w:cs="Times New Roman"/>
        </w:rPr>
        <w:t xml:space="preserve">z dôvodu vyplácania </w:t>
      </w:r>
      <w:proofErr w:type="spellStart"/>
      <w:r w:rsidRPr="002673EC">
        <w:rPr>
          <w:rFonts w:ascii="Times New Roman" w:hAnsi="Times New Roman" w:cs="Times New Roman"/>
        </w:rPr>
        <w:t>vratiek</w:t>
      </w:r>
      <w:proofErr w:type="spellEnd"/>
      <w:r w:rsidRPr="002673EC">
        <w:rPr>
          <w:rFonts w:ascii="Times New Roman" w:hAnsi="Times New Roman" w:cs="Times New Roman"/>
        </w:rPr>
        <w:t xml:space="preserve"> za dodávky plynu domácnostiam, čo má priamy dočasný dopad na výdavkovú stranu štátneho rozpočtu.</w:t>
      </w:r>
      <w:r w:rsidRPr="002673EC">
        <w:rPr>
          <w:rFonts w:ascii="Times New Roman" w:hAnsi="Times New Roman" w:cs="Times New Roman"/>
          <w:color w:val="000000"/>
        </w:rPr>
        <w:t xml:space="preserve"> </w:t>
      </w:r>
    </w:p>
    <w:p w:rsidR="00EA62EB" w:rsidRDefault="00EA62EB" w:rsidP="00EA62EB">
      <w:pPr>
        <w:ind w:left="360"/>
        <w:rPr>
          <w:rFonts w:ascii="Times New Roman" w:hAnsi="Times New Roman" w:cs="Times New Roman"/>
          <w:color w:val="000000"/>
        </w:rPr>
      </w:pPr>
    </w:p>
    <w:p w:rsidR="009769EF" w:rsidRDefault="009769EF" w:rsidP="009769EF">
      <w:pPr>
        <w:contextualSpacing/>
        <w:jc w:val="both"/>
        <w:rPr>
          <w:rFonts w:ascii="Times New Roman" w:hAnsi="Times New Roman" w:cs="Times New Roman"/>
          <w:b/>
          <w:bCs/>
          <w:highlight w:val="yellow"/>
        </w:rPr>
      </w:pPr>
    </w:p>
    <w:p w:rsidR="002D5B22" w:rsidRDefault="002D5B22" w:rsidP="009769EF">
      <w:pPr>
        <w:contextualSpacing/>
        <w:jc w:val="both"/>
        <w:rPr>
          <w:rFonts w:ascii="Times New Roman" w:hAnsi="Times New Roman" w:cs="Times New Roman"/>
          <w:b/>
          <w:bCs/>
          <w:highlight w:val="yellow"/>
        </w:rPr>
      </w:pPr>
    </w:p>
    <w:p w:rsidR="002D5B22" w:rsidRDefault="002D5B22" w:rsidP="009769EF">
      <w:pPr>
        <w:contextualSpacing/>
        <w:jc w:val="both"/>
        <w:rPr>
          <w:rFonts w:ascii="Times New Roman" w:hAnsi="Times New Roman" w:cs="Times New Roman"/>
          <w:b/>
          <w:bCs/>
          <w:highlight w:val="yellow"/>
        </w:rPr>
      </w:pPr>
    </w:p>
    <w:p w:rsidR="002D5B22" w:rsidRDefault="002D5B22" w:rsidP="009769EF">
      <w:pPr>
        <w:contextualSpacing/>
        <w:jc w:val="both"/>
        <w:rPr>
          <w:rFonts w:ascii="Times New Roman" w:hAnsi="Times New Roman" w:cs="Times New Roman"/>
          <w:b/>
          <w:bCs/>
          <w:highlight w:val="yellow"/>
        </w:rPr>
      </w:pPr>
    </w:p>
    <w:p w:rsidR="002D5B22" w:rsidRDefault="002D5B22" w:rsidP="009769EF">
      <w:pPr>
        <w:contextualSpacing/>
        <w:jc w:val="both"/>
        <w:rPr>
          <w:rFonts w:ascii="Times New Roman" w:hAnsi="Times New Roman" w:cs="Times New Roman"/>
          <w:b/>
          <w:bCs/>
          <w:highlight w:val="yellow"/>
        </w:rPr>
      </w:pPr>
    </w:p>
    <w:p w:rsidR="002D5B22" w:rsidRDefault="002D5B22" w:rsidP="009769EF">
      <w:pPr>
        <w:contextualSpacing/>
        <w:jc w:val="both"/>
        <w:rPr>
          <w:rFonts w:ascii="Times New Roman" w:hAnsi="Times New Roman" w:cs="Times New Roman"/>
          <w:b/>
          <w:bCs/>
          <w:highlight w:val="yellow"/>
        </w:rPr>
      </w:pPr>
    </w:p>
    <w:p w:rsidR="002D5B22" w:rsidRDefault="002D5B22" w:rsidP="009769EF">
      <w:pPr>
        <w:contextualSpacing/>
        <w:jc w:val="both"/>
        <w:rPr>
          <w:rFonts w:ascii="Times New Roman" w:hAnsi="Times New Roman" w:cs="Times New Roman"/>
          <w:b/>
          <w:bCs/>
          <w:highlight w:val="yellow"/>
        </w:rPr>
      </w:pPr>
    </w:p>
    <w:p w:rsidR="002D5B22" w:rsidRDefault="002D5B22" w:rsidP="009769EF">
      <w:pPr>
        <w:contextualSpacing/>
        <w:jc w:val="both"/>
        <w:rPr>
          <w:rFonts w:ascii="Times New Roman" w:hAnsi="Times New Roman" w:cs="Times New Roman"/>
          <w:b/>
          <w:bCs/>
          <w:highlight w:val="yellow"/>
        </w:rPr>
      </w:pPr>
    </w:p>
    <w:p w:rsidR="002D5B22" w:rsidRDefault="002D5B22" w:rsidP="009769EF">
      <w:pPr>
        <w:contextualSpacing/>
        <w:jc w:val="both"/>
        <w:rPr>
          <w:rFonts w:ascii="Times New Roman" w:hAnsi="Times New Roman" w:cs="Times New Roman"/>
          <w:b/>
          <w:bCs/>
          <w:highlight w:val="yellow"/>
        </w:rPr>
      </w:pPr>
    </w:p>
    <w:p w:rsidR="002D5B22" w:rsidRDefault="002D5B22" w:rsidP="009769EF">
      <w:pPr>
        <w:contextualSpacing/>
        <w:jc w:val="both"/>
        <w:rPr>
          <w:rFonts w:ascii="Times New Roman" w:hAnsi="Times New Roman" w:cs="Times New Roman"/>
          <w:b/>
          <w:bCs/>
          <w:highlight w:val="yellow"/>
        </w:rPr>
      </w:pPr>
    </w:p>
    <w:p w:rsidR="002D5B22" w:rsidRDefault="002D5B22" w:rsidP="009769EF">
      <w:pPr>
        <w:contextualSpacing/>
        <w:jc w:val="both"/>
        <w:rPr>
          <w:rFonts w:ascii="Times New Roman" w:hAnsi="Times New Roman" w:cs="Times New Roman"/>
          <w:b/>
          <w:bCs/>
          <w:highlight w:val="yellow"/>
        </w:rPr>
      </w:pPr>
    </w:p>
    <w:p w:rsidR="002D5B22" w:rsidRPr="002673EC" w:rsidRDefault="002D5B22" w:rsidP="009769EF">
      <w:pPr>
        <w:contextualSpacing/>
        <w:jc w:val="both"/>
        <w:rPr>
          <w:rFonts w:ascii="Times New Roman" w:hAnsi="Times New Roman" w:cs="Times New Roman"/>
          <w:b/>
          <w:bCs/>
          <w:highlight w:val="yellow"/>
        </w:rPr>
      </w:pPr>
    </w:p>
    <w:p w:rsidR="00350E4F" w:rsidRDefault="00350E4F" w:rsidP="00502318">
      <w:pPr>
        <w:ind w:firstLine="708"/>
        <w:contextualSpacing/>
        <w:jc w:val="both"/>
        <w:rPr>
          <w:rFonts w:ascii="Times New Roman" w:hAnsi="Times New Roman" w:cs="Times New Roman"/>
        </w:rPr>
      </w:pPr>
    </w:p>
    <w:p w:rsidR="00350E4F" w:rsidRDefault="00350E4F" w:rsidP="00502318">
      <w:pPr>
        <w:ind w:firstLine="708"/>
        <w:contextualSpacing/>
        <w:jc w:val="both"/>
        <w:rPr>
          <w:rFonts w:ascii="Times New Roman" w:hAnsi="Times New Roman" w:cs="Times New Roman"/>
        </w:rPr>
      </w:pPr>
    </w:p>
    <w:p w:rsidR="00DF7BCB" w:rsidRDefault="00DF7BCB" w:rsidP="00502318">
      <w:pPr>
        <w:ind w:firstLine="708"/>
        <w:contextualSpacing/>
        <w:jc w:val="both"/>
        <w:rPr>
          <w:rFonts w:ascii="Times New Roman" w:hAnsi="Times New Roman" w:cs="Times New Roman"/>
        </w:rPr>
      </w:pPr>
    </w:p>
    <w:p w:rsidR="00DF7BCB" w:rsidRDefault="00DF7BCB" w:rsidP="00502318">
      <w:pPr>
        <w:ind w:firstLine="708"/>
        <w:contextualSpacing/>
        <w:jc w:val="both"/>
        <w:rPr>
          <w:rFonts w:ascii="Times New Roman" w:hAnsi="Times New Roman" w:cs="Times New Roman"/>
        </w:rPr>
      </w:pPr>
    </w:p>
    <w:p w:rsidR="00DF7BCB" w:rsidRDefault="00DF7BCB" w:rsidP="00502318">
      <w:pPr>
        <w:ind w:firstLine="708"/>
        <w:contextualSpacing/>
        <w:jc w:val="both"/>
        <w:rPr>
          <w:rFonts w:ascii="Times New Roman" w:hAnsi="Times New Roman" w:cs="Times New Roman"/>
        </w:rPr>
      </w:pPr>
    </w:p>
    <w:p w:rsidR="00DF7BCB" w:rsidRDefault="00DF7BCB" w:rsidP="00502318">
      <w:pPr>
        <w:ind w:firstLine="708"/>
        <w:contextualSpacing/>
        <w:jc w:val="both"/>
        <w:rPr>
          <w:rFonts w:ascii="Times New Roman" w:hAnsi="Times New Roman" w:cs="Times New Roman"/>
        </w:rPr>
      </w:pPr>
    </w:p>
    <w:p w:rsidR="00DF7BCB" w:rsidRDefault="00DF7BCB" w:rsidP="00502318">
      <w:pPr>
        <w:ind w:firstLine="708"/>
        <w:contextualSpacing/>
        <w:jc w:val="both"/>
        <w:rPr>
          <w:rFonts w:ascii="Times New Roman" w:hAnsi="Times New Roman" w:cs="Times New Roman"/>
        </w:rPr>
      </w:pPr>
    </w:p>
    <w:p w:rsidR="009C536E" w:rsidRPr="00E7549F" w:rsidRDefault="009C536E" w:rsidP="00FE3331">
      <w:pPr>
        <w:pStyle w:val="Nadpis1"/>
        <w:numPr>
          <w:ilvl w:val="0"/>
          <w:numId w:val="3"/>
        </w:numPr>
        <w:spacing w:before="0" w:after="0"/>
        <w:ind w:left="426" w:hanging="426"/>
        <w:rPr>
          <w:rFonts w:ascii="Times New Roman" w:hAnsi="Times New Roman" w:cs="Times New Roman"/>
          <w:sz w:val="28"/>
          <w:szCs w:val="24"/>
        </w:rPr>
      </w:pPr>
      <w:bookmarkStart w:id="47" w:name="_Toc494463970"/>
      <w:r w:rsidRPr="00E7549F">
        <w:rPr>
          <w:rFonts w:ascii="Times New Roman" w:hAnsi="Times New Roman" w:cs="Times New Roman"/>
          <w:sz w:val="28"/>
          <w:szCs w:val="24"/>
        </w:rPr>
        <w:lastRenderedPageBreak/>
        <w:t>Rozpočtovanie výdavkov štátneho rozpočtu</w:t>
      </w:r>
      <w:bookmarkEnd w:id="42"/>
      <w:bookmarkEnd w:id="43"/>
      <w:bookmarkEnd w:id="44"/>
      <w:bookmarkEnd w:id="45"/>
      <w:bookmarkEnd w:id="47"/>
    </w:p>
    <w:p w:rsidR="001C6DEB" w:rsidRDefault="001C6DEB" w:rsidP="001C6DEB">
      <w:pPr>
        <w:jc w:val="both"/>
        <w:rPr>
          <w:rFonts w:ascii="Times New Roman" w:hAnsi="Times New Roman"/>
          <w:color w:val="0070C0"/>
        </w:rPr>
      </w:pPr>
    </w:p>
    <w:p w:rsidR="001C6DEB" w:rsidRDefault="001C6DEB" w:rsidP="00530F74">
      <w:pPr>
        <w:keepNext/>
        <w:outlineLvl w:val="1"/>
        <w:rPr>
          <w:rFonts w:ascii="Times New Roman" w:hAnsi="Times New Roman" w:cs="Times New Roman"/>
          <w:b/>
          <w:bCs/>
          <w:iCs/>
          <w:szCs w:val="28"/>
        </w:rPr>
      </w:pPr>
      <w:bookmarkStart w:id="48" w:name="_Toc395259577"/>
      <w:bookmarkStart w:id="49" w:name="_Toc494463971"/>
      <w:r w:rsidRPr="00291734">
        <w:rPr>
          <w:rFonts w:ascii="Times New Roman" w:hAnsi="Times New Roman" w:cs="Times New Roman"/>
          <w:b/>
          <w:bCs/>
          <w:iCs/>
          <w:szCs w:val="28"/>
        </w:rPr>
        <w:t>4.1. Kvantifikácia výdavkov štátneho rozpočtu</w:t>
      </w:r>
      <w:bookmarkEnd w:id="48"/>
      <w:bookmarkEnd w:id="49"/>
      <w:r w:rsidRPr="00291734">
        <w:rPr>
          <w:rFonts w:ascii="Times New Roman" w:hAnsi="Times New Roman" w:cs="Times New Roman"/>
          <w:b/>
          <w:bCs/>
          <w:iCs/>
          <w:szCs w:val="28"/>
        </w:rPr>
        <w:t xml:space="preserve"> </w:t>
      </w:r>
    </w:p>
    <w:p w:rsidR="00165CC8" w:rsidRDefault="00165CC8" w:rsidP="00165CC8">
      <w:pPr>
        <w:rPr>
          <w:rFonts w:ascii="Times New Roman" w:hAnsi="Times New Roman" w:cs="Times New Roman"/>
          <w:b/>
          <w:bCs/>
          <w:iCs/>
          <w:szCs w:val="28"/>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1"/>
        <w:gridCol w:w="897"/>
        <w:gridCol w:w="898"/>
        <w:gridCol w:w="898"/>
        <w:gridCol w:w="898"/>
        <w:gridCol w:w="898"/>
        <w:gridCol w:w="898"/>
        <w:gridCol w:w="879"/>
      </w:tblGrid>
      <w:tr w:rsidR="00165CC8" w:rsidRPr="00291734" w:rsidTr="004275C7">
        <w:trPr>
          <w:trHeight w:val="266"/>
        </w:trPr>
        <w:tc>
          <w:tcPr>
            <w:tcW w:w="1540"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165CC8" w:rsidRPr="00291734" w:rsidRDefault="00165CC8" w:rsidP="00165CC8">
            <w:pPr>
              <w:rPr>
                <w:rFonts w:ascii="Times New Roman" w:hAnsi="Times New Roman"/>
                <w:b/>
                <w:bCs/>
                <w:sz w:val="14"/>
                <w:szCs w:val="14"/>
              </w:rPr>
            </w:pPr>
            <w:bookmarkStart w:id="50" w:name="OLE_LINK3"/>
            <w:bookmarkStart w:id="51" w:name="OLE_LINK2"/>
            <w:r w:rsidRPr="00291734">
              <w:rPr>
                <w:rFonts w:ascii="Times New Roman" w:hAnsi="Times New Roman"/>
                <w:b/>
                <w:bCs/>
                <w:sz w:val="14"/>
                <w:szCs w:val="14"/>
              </w:rPr>
              <w:t>v tis. eur</w:t>
            </w:r>
          </w:p>
        </w:tc>
        <w:tc>
          <w:tcPr>
            <w:tcW w:w="495" w:type="pct"/>
            <w:tcBorders>
              <w:top w:val="single" w:sz="4" w:space="0" w:color="auto"/>
              <w:left w:val="single" w:sz="4" w:space="0" w:color="auto"/>
              <w:bottom w:val="single" w:sz="4" w:space="0" w:color="auto"/>
              <w:right w:val="single" w:sz="4" w:space="0" w:color="auto"/>
            </w:tcBorders>
            <w:shd w:val="clear" w:color="auto" w:fill="A6A6A6"/>
            <w:vAlign w:val="center"/>
          </w:tcPr>
          <w:p w:rsidR="00165CC8" w:rsidRPr="00291734" w:rsidRDefault="00165CC8" w:rsidP="00165CC8">
            <w:pPr>
              <w:jc w:val="center"/>
              <w:rPr>
                <w:rFonts w:ascii="Times New Roman" w:hAnsi="Times New Roman"/>
                <w:b/>
                <w:bCs/>
                <w:sz w:val="14"/>
                <w:szCs w:val="14"/>
              </w:rPr>
            </w:pPr>
            <w:r w:rsidRPr="00291734">
              <w:rPr>
                <w:rFonts w:ascii="Times New Roman" w:hAnsi="Times New Roman"/>
                <w:b/>
                <w:bCs/>
                <w:sz w:val="14"/>
                <w:szCs w:val="14"/>
              </w:rPr>
              <w:t>2015 S</w:t>
            </w:r>
          </w:p>
        </w:tc>
        <w:tc>
          <w:tcPr>
            <w:tcW w:w="496"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165CC8" w:rsidRPr="00291734" w:rsidRDefault="00165CC8" w:rsidP="00165CC8">
            <w:pPr>
              <w:jc w:val="center"/>
              <w:rPr>
                <w:rFonts w:ascii="Times New Roman" w:hAnsi="Times New Roman"/>
                <w:b/>
                <w:bCs/>
                <w:sz w:val="14"/>
                <w:szCs w:val="14"/>
              </w:rPr>
            </w:pPr>
            <w:r w:rsidRPr="00291734">
              <w:rPr>
                <w:rFonts w:ascii="Times New Roman" w:hAnsi="Times New Roman"/>
                <w:b/>
                <w:bCs/>
                <w:sz w:val="14"/>
                <w:szCs w:val="14"/>
              </w:rPr>
              <w:t>201</w:t>
            </w:r>
            <w:r>
              <w:rPr>
                <w:rFonts w:ascii="Times New Roman" w:hAnsi="Times New Roman"/>
                <w:b/>
                <w:bCs/>
                <w:sz w:val="14"/>
                <w:szCs w:val="14"/>
              </w:rPr>
              <w:t>6</w:t>
            </w:r>
            <w:r w:rsidRPr="00291734">
              <w:rPr>
                <w:rFonts w:ascii="Times New Roman" w:hAnsi="Times New Roman"/>
                <w:b/>
                <w:bCs/>
                <w:sz w:val="14"/>
                <w:szCs w:val="14"/>
              </w:rPr>
              <w:t xml:space="preserve"> S</w:t>
            </w:r>
          </w:p>
        </w:tc>
        <w:tc>
          <w:tcPr>
            <w:tcW w:w="496" w:type="pct"/>
            <w:tcBorders>
              <w:top w:val="single" w:sz="4" w:space="0" w:color="auto"/>
              <w:left w:val="single" w:sz="4" w:space="0" w:color="auto"/>
              <w:bottom w:val="single" w:sz="4" w:space="0" w:color="auto"/>
              <w:right w:val="single" w:sz="4" w:space="0" w:color="auto"/>
            </w:tcBorders>
            <w:shd w:val="clear" w:color="auto" w:fill="A6A6A6"/>
            <w:vAlign w:val="center"/>
          </w:tcPr>
          <w:p w:rsidR="00165CC8" w:rsidRPr="00291734" w:rsidRDefault="00165CC8" w:rsidP="00165CC8">
            <w:pPr>
              <w:jc w:val="center"/>
              <w:rPr>
                <w:rFonts w:ascii="Times New Roman" w:hAnsi="Times New Roman"/>
                <w:b/>
                <w:bCs/>
                <w:sz w:val="14"/>
                <w:szCs w:val="14"/>
              </w:rPr>
            </w:pPr>
            <w:r w:rsidRPr="00291734">
              <w:rPr>
                <w:rFonts w:ascii="Times New Roman" w:hAnsi="Times New Roman"/>
                <w:b/>
                <w:bCs/>
                <w:sz w:val="14"/>
                <w:szCs w:val="14"/>
              </w:rPr>
              <w:t xml:space="preserve">2017 </w:t>
            </w:r>
            <w:r>
              <w:rPr>
                <w:rFonts w:ascii="Times New Roman" w:hAnsi="Times New Roman"/>
                <w:b/>
                <w:bCs/>
                <w:sz w:val="14"/>
                <w:szCs w:val="14"/>
              </w:rPr>
              <w:t>R</w:t>
            </w:r>
          </w:p>
        </w:tc>
        <w:tc>
          <w:tcPr>
            <w:tcW w:w="496"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165CC8" w:rsidRPr="00291734" w:rsidRDefault="00165CC8" w:rsidP="00165CC8">
            <w:pPr>
              <w:jc w:val="center"/>
              <w:rPr>
                <w:rFonts w:ascii="Times New Roman" w:hAnsi="Times New Roman"/>
                <w:b/>
                <w:bCs/>
                <w:sz w:val="14"/>
                <w:szCs w:val="14"/>
              </w:rPr>
            </w:pPr>
            <w:r w:rsidRPr="00291734">
              <w:rPr>
                <w:rFonts w:ascii="Times New Roman" w:hAnsi="Times New Roman"/>
                <w:b/>
                <w:bCs/>
                <w:sz w:val="14"/>
                <w:szCs w:val="14"/>
              </w:rPr>
              <w:t>201</w:t>
            </w:r>
            <w:r>
              <w:rPr>
                <w:rFonts w:ascii="Times New Roman" w:hAnsi="Times New Roman"/>
                <w:b/>
                <w:bCs/>
                <w:sz w:val="14"/>
                <w:szCs w:val="14"/>
              </w:rPr>
              <w:t>7</w:t>
            </w:r>
            <w:r w:rsidRPr="00291734">
              <w:rPr>
                <w:rFonts w:ascii="Times New Roman" w:hAnsi="Times New Roman"/>
                <w:b/>
                <w:bCs/>
                <w:sz w:val="14"/>
                <w:szCs w:val="14"/>
              </w:rPr>
              <w:t xml:space="preserve"> OS</w:t>
            </w:r>
          </w:p>
        </w:tc>
        <w:tc>
          <w:tcPr>
            <w:tcW w:w="496"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165CC8" w:rsidRPr="00291734" w:rsidRDefault="00165CC8" w:rsidP="00FF7D8E">
            <w:pPr>
              <w:jc w:val="center"/>
              <w:rPr>
                <w:rFonts w:ascii="Times New Roman" w:hAnsi="Times New Roman"/>
                <w:b/>
                <w:bCs/>
                <w:sz w:val="14"/>
                <w:szCs w:val="14"/>
              </w:rPr>
            </w:pPr>
            <w:r w:rsidRPr="00291734">
              <w:rPr>
                <w:rFonts w:ascii="Times New Roman" w:hAnsi="Times New Roman"/>
                <w:b/>
                <w:bCs/>
                <w:sz w:val="14"/>
                <w:szCs w:val="14"/>
              </w:rPr>
              <w:t>201</w:t>
            </w:r>
            <w:r w:rsidR="001519BC">
              <w:rPr>
                <w:rFonts w:ascii="Times New Roman" w:hAnsi="Times New Roman"/>
                <w:b/>
                <w:bCs/>
                <w:sz w:val="14"/>
                <w:szCs w:val="14"/>
              </w:rPr>
              <w:t>8</w:t>
            </w:r>
            <w:r w:rsidRPr="00291734">
              <w:rPr>
                <w:rFonts w:ascii="Times New Roman" w:hAnsi="Times New Roman"/>
                <w:b/>
                <w:bCs/>
                <w:sz w:val="14"/>
                <w:szCs w:val="14"/>
              </w:rPr>
              <w:t xml:space="preserve"> </w:t>
            </w:r>
            <w:r w:rsidR="00FF7D8E">
              <w:rPr>
                <w:rFonts w:ascii="Times New Roman" w:hAnsi="Times New Roman"/>
                <w:b/>
                <w:bCs/>
                <w:sz w:val="14"/>
                <w:szCs w:val="14"/>
              </w:rPr>
              <w:t>N</w:t>
            </w:r>
          </w:p>
        </w:tc>
        <w:tc>
          <w:tcPr>
            <w:tcW w:w="496"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165CC8" w:rsidRPr="00291734" w:rsidRDefault="00165CC8" w:rsidP="001519BC">
            <w:pPr>
              <w:jc w:val="center"/>
              <w:rPr>
                <w:rFonts w:ascii="Times New Roman" w:hAnsi="Times New Roman"/>
                <w:b/>
                <w:bCs/>
                <w:sz w:val="14"/>
                <w:szCs w:val="14"/>
              </w:rPr>
            </w:pPr>
            <w:r w:rsidRPr="00291734">
              <w:rPr>
                <w:rFonts w:ascii="Times New Roman" w:hAnsi="Times New Roman"/>
                <w:b/>
                <w:bCs/>
                <w:sz w:val="14"/>
                <w:szCs w:val="14"/>
              </w:rPr>
              <w:t>201</w:t>
            </w:r>
            <w:r w:rsidR="001519BC">
              <w:rPr>
                <w:rFonts w:ascii="Times New Roman" w:hAnsi="Times New Roman"/>
                <w:b/>
                <w:bCs/>
                <w:sz w:val="14"/>
                <w:szCs w:val="14"/>
              </w:rPr>
              <w:t>9</w:t>
            </w:r>
            <w:r w:rsidRPr="00291734">
              <w:rPr>
                <w:rFonts w:ascii="Times New Roman" w:hAnsi="Times New Roman"/>
                <w:b/>
                <w:bCs/>
                <w:sz w:val="14"/>
                <w:szCs w:val="14"/>
              </w:rPr>
              <w:t xml:space="preserve"> N</w:t>
            </w:r>
          </w:p>
        </w:tc>
        <w:tc>
          <w:tcPr>
            <w:tcW w:w="487"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165CC8" w:rsidRPr="00291734" w:rsidRDefault="00165CC8" w:rsidP="001519BC">
            <w:pPr>
              <w:jc w:val="center"/>
              <w:rPr>
                <w:rFonts w:ascii="Times New Roman" w:hAnsi="Times New Roman"/>
                <w:b/>
                <w:bCs/>
                <w:sz w:val="14"/>
                <w:szCs w:val="14"/>
              </w:rPr>
            </w:pPr>
            <w:r w:rsidRPr="00291734">
              <w:rPr>
                <w:rFonts w:ascii="Times New Roman" w:hAnsi="Times New Roman"/>
                <w:b/>
                <w:bCs/>
                <w:sz w:val="14"/>
                <w:szCs w:val="14"/>
              </w:rPr>
              <w:t>20</w:t>
            </w:r>
            <w:r w:rsidR="001519BC">
              <w:rPr>
                <w:rFonts w:ascii="Times New Roman" w:hAnsi="Times New Roman"/>
                <w:b/>
                <w:bCs/>
                <w:sz w:val="14"/>
                <w:szCs w:val="14"/>
              </w:rPr>
              <w:t>20</w:t>
            </w:r>
            <w:r w:rsidRPr="00291734">
              <w:rPr>
                <w:rFonts w:ascii="Times New Roman" w:hAnsi="Times New Roman"/>
                <w:b/>
                <w:bCs/>
                <w:sz w:val="14"/>
                <w:szCs w:val="14"/>
              </w:rPr>
              <w:t xml:space="preserve"> N</w:t>
            </w:r>
          </w:p>
        </w:tc>
      </w:tr>
      <w:tr w:rsidR="00165CC8" w:rsidRPr="00291734" w:rsidTr="004275C7">
        <w:trPr>
          <w:trHeight w:val="392"/>
        </w:trPr>
        <w:tc>
          <w:tcPr>
            <w:tcW w:w="1540"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rsidR="00165CC8" w:rsidRPr="00291734" w:rsidRDefault="00165CC8" w:rsidP="00165CC8">
            <w:pPr>
              <w:rPr>
                <w:rFonts w:ascii="Times New Roman" w:hAnsi="Times New Roman"/>
                <w:b/>
                <w:bCs/>
                <w:sz w:val="14"/>
                <w:szCs w:val="14"/>
              </w:rPr>
            </w:pPr>
            <w:r w:rsidRPr="00291734">
              <w:rPr>
                <w:rFonts w:ascii="Times New Roman" w:hAnsi="Times New Roman"/>
                <w:b/>
                <w:bCs/>
                <w:sz w:val="14"/>
                <w:szCs w:val="14"/>
              </w:rPr>
              <w:t>Výdavky štátneho rozpočtu</w:t>
            </w:r>
          </w:p>
        </w:tc>
        <w:tc>
          <w:tcPr>
            <w:tcW w:w="495" w:type="pct"/>
            <w:tcBorders>
              <w:top w:val="single" w:sz="4" w:space="0" w:color="auto"/>
              <w:left w:val="single" w:sz="4" w:space="0" w:color="auto"/>
              <w:bottom w:val="single" w:sz="4" w:space="0" w:color="auto"/>
              <w:right w:val="single" w:sz="4" w:space="0" w:color="auto"/>
            </w:tcBorders>
            <w:shd w:val="clear" w:color="auto" w:fill="BFBFBF"/>
            <w:vAlign w:val="center"/>
          </w:tcPr>
          <w:p w:rsidR="00165CC8" w:rsidRPr="00961A79" w:rsidRDefault="00DB5021" w:rsidP="00DB5021">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w:t>
            </w:r>
            <w:r w:rsidR="00165CC8" w:rsidRPr="00961A79">
              <w:rPr>
                <w:rFonts w:ascii="Times New Roman" w:hAnsi="Times New Roman" w:cs="Times New Roman"/>
                <w:b/>
                <w:bCs/>
                <w:color w:val="000000"/>
                <w:sz w:val="14"/>
                <w:szCs w:val="14"/>
              </w:rPr>
              <w:t>18 166 391</w:t>
            </w:r>
          </w:p>
        </w:tc>
        <w:tc>
          <w:tcPr>
            <w:tcW w:w="496" w:type="pct"/>
            <w:tcBorders>
              <w:top w:val="single" w:sz="4" w:space="0" w:color="auto"/>
              <w:left w:val="single" w:sz="4" w:space="0" w:color="auto"/>
              <w:bottom w:val="single" w:sz="4" w:space="0" w:color="auto"/>
              <w:right w:val="single" w:sz="4" w:space="0" w:color="auto"/>
            </w:tcBorders>
            <w:shd w:val="clear" w:color="auto" w:fill="BFBFBF"/>
            <w:vAlign w:val="center"/>
          </w:tcPr>
          <w:p w:rsidR="00165CC8" w:rsidRPr="00961A79" w:rsidRDefault="00DB5021" w:rsidP="00DB5021">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w:t>
            </w:r>
            <w:r w:rsidR="00DA4982" w:rsidRPr="00DA4982">
              <w:rPr>
                <w:rFonts w:ascii="Times New Roman" w:hAnsi="Times New Roman" w:cs="Times New Roman"/>
                <w:b/>
                <w:bCs/>
                <w:color w:val="000000"/>
                <w:sz w:val="14"/>
                <w:szCs w:val="14"/>
              </w:rPr>
              <w:t>15 256 172</w:t>
            </w:r>
          </w:p>
        </w:tc>
        <w:tc>
          <w:tcPr>
            <w:tcW w:w="496" w:type="pct"/>
            <w:tcBorders>
              <w:top w:val="single" w:sz="4" w:space="0" w:color="auto"/>
              <w:left w:val="single" w:sz="4" w:space="0" w:color="auto"/>
              <w:bottom w:val="single" w:sz="4" w:space="0" w:color="auto"/>
              <w:right w:val="single" w:sz="4" w:space="0" w:color="auto"/>
            </w:tcBorders>
            <w:shd w:val="clear" w:color="auto" w:fill="BFBFBF"/>
            <w:vAlign w:val="center"/>
          </w:tcPr>
          <w:p w:rsidR="00165CC8" w:rsidRPr="00291734" w:rsidRDefault="00DB5021" w:rsidP="00DB5021">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w:t>
            </w:r>
            <w:r w:rsidR="00165CC8">
              <w:rPr>
                <w:rFonts w:ascii="Times New Roman" w:hAnsi="Times New Roman" w:cs="Times New Roman"/>
                <w:b/>
                <w:bCs/>
                <w:color w:val="000000"/>
                <w:sz w:val="14"/>
                <w:szCs w:val="14"/>
              </w:rPr>
              <w:t>17 383 367</w:t>
            </w:r>
          </w:p>
        </w:tc>
        <w:tc>
          <w:tcPr>
            <w:tcW w:w="496"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rsidR="00165CC8" w:rsidRPr="00291734" w:rsidRDefault="00B9183F" w:rsidP="005D6CB8">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w:t>
            </w:r>
            <w:r w:rsidR="00285CDE">
              <w:rPr>
                <w:rFonts w:ascii="Times New Roman" w:hAnsi="Times New Roman" w:cs="Times New Roman"/>
                <w:b/>
                <w:bCs/>
                <w:color w:val="000000"/>
                <w:sz w:val="14"/>
                <w:szCs w:val="14"/>
              </w:rPr>
              <w:t>15</w:t>
            </w:r>
            <w:r w:rsidR="005D6CB8">
              <w:rPr>
                <w:rFonts w:ascii="Times New Roman" w:hAnsi="Times New Roman" w:cs="Times New Roman"/>
                <w:b/>
                <w:bCs/>
                <w:color w:val="000000"/>
                <w:sz w:val="14"/>
                <w:szCs w:val="14"/>
              </w:rPr>
              <w:t> 833 394</w:t>
            </w:r>
          </w:p>
        </w:tc>
        <w:tc>
          <w:tcPr>
            <w:tcW w:w="496"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rsidR="00165CC8" w:rsidRPr="00291734" w:rsidRDefault="00BD4098" w:rsidP="00961A7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15 955 715</w:t>
            </w:r>
          </w:p>
        </w:tc>
        <w:tc>
          <w:tcPr>
            <w:tcW w:w="496"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rsidR="00165CC8" w:rsidRPr="00291734" w:rsidRDefault="00BD4098" w:rsidP="00961A7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17 859 619</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rsidR="00165CC8" w:rsidRPr="00291734" w:rsidRDefault="00BD4098" w:rsidP="00BD4098">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18 561 831</w:t>
            </w:r>
          </w:p>
        </w:tc>
      </w:tr>
      <w:tr w:rsidR="00165CC8" w:rsidRPr="00291734" w:rsidTr="004275C7">
        <w:trPr>
          <w:trHeight w:val="266"/>
        </w:trPr>
        <w:tc>
          <w:tcPr>
            <w:tcW w:w="15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5CC8" w:rsidRPr="00291734" w:rsidRDefault="00E226FA" w:rsidP="00165CC8">
            <w:pPr>
              <w:rPr>
                <w:rFonts w:ascii="Times New Roman" w:hAnsi="Times New Roman"/>
                <w:sz w:val="14"/>
                <w:szCs w:val="14"/>
              </w:rPr>
            </w:pPr>
            <w:r>
              <w:rPr>
                <w:rFonts w:ascii="Times New Roman" w:hAnsi="Times New Roman"/>
                <w:sz w:val="14"/>
                <w:szCs w:val="14"/>
              </w:rPr>
              <w:t>z</w:t>
            </w:r>
            <w:r w:rsidR="00165CC8" w:rsidRPr="00291734">
              <w:rPr>
                <w:rFonts w:ascii="Times New Roman" w:hAnsi="Times New Roman"/>
                <w:sz w:val="14"/>
                <w:szCs w:val="14"/>
              </w:rPr>
              <w:t xml:space="preserve"> toho:</w:t>
            </w:r>
          </w:p>
        </w:tc>
        <w:tc>
          <w:tcPr>
            <w:tcW w:w="495" w:type="pct"/>
            <w:tcBorders>
              <w:top w:val="single" w:sz="4" w:space="0" w:color="auto"/>
              <w:left w:val="single" w:sz="4" w:space="0" w:color="auto"/>
              <w:bottom w:val="single" w:sz="4" w:space="0" w:color="auto"/>
              <w:right w:val="single" w:sz="4" w:space="0" w:color="auto"/>
            </w:tcBorders>
            <w:vAlign w:val="center"/>
          </w:tcPr>
          <w:p w:rsidR="00165CC8" w:rsidRPr="00291734" w:rsidRDefault="00165CC8" w:rsidP="00961A79">
            <w:pPr>
              <w:jc w:val="right"/>
              <w:rPr>
                <w:rFonts w:ascii="Times New Roman" w:hAnsi="Times New Roman" w:cs="Times New Roman"/>
                <w:sz w:val="14"/>
                <w:szCs w:val="14"/>
              </w:rPr>
            </w:pPr>
          </w:p>
        </w:tc>
        <w:tc>
          <w:tcPr>
            <w:tcW w:w="496" w:type="pct"/>
            <w:tcBorders>
              <w:top w:val="single" w:sz="4" w:space="0" w:color="auto"/>
              <w:left w:val="single" w:sz="4" w:space="0" w:color="auto"/>
              <w:bottom w:val="single" w:sz="4" w:space="0" w:color="auto"/>
              <w:right w:val="single" w:sz="4" w:space="0" w:color="auto"/>
            </w:tcBorders>
            <w:vAlign w:val="center"/>
          </w:tcPr>
          <w:p w:rsidR="00165CC8" w:rsidRPr="00291734" w:rsidRDefault="00165CC8" w:rsidP="00961A79">
            <w:pPr>
              <w:jc w:val="right"/>
              <w:rPr>
                <w:rFonts w:ascii="Times New Roman" w:hAnsi="Times New Roman" w:cs="Times New Roman"/>
                <w:sz w:val="14"/>
                <w:szCs w:val="14"/>
              </w:rPr>
            </w:pPr>
          </w:p>
        </w:tc>
        <w:tc>
          <w:tcPr>
            <w:tcW w:w="496" w:type="pct"/>
            <w:tcBorders>
              <w:top w:val="single" w:sz="4" w:space="0" w:color="auto"/>
              <w:left w:val="single" w:sz="4" w:space="0" w:color="auto"/>
              <w:bottom w:val="single" w:sz="4" w:space="0" w:color="auto"/>
              <w:right w:val="single" w:sz="4" w:space="0" w:color="auto"/>
            </w:tcBorders>
            <w:vAlign w:val="center"/>
          </w:tcPr>
          <w:p w:rsidR="00165CC8" w:rsidRPr="00291734" w:rsidRDefault="00165CC8" w:rsidP="00961A79">
            <w:pPr>
              <w:jc w:val="right"/>
              <w:rPr>
                <w:rFonts w:ascii="Times New Roman" w:hAnsi="Times New Roman" w:cs="Times New Roman"/>
                <w:sz w:val="14"/>
                <w:szCs w:val="14"/>
              </w:rPr>
            </w:pP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165CC8" w:rsidP="00961A79">
            <w:pPr>
              <w:jc w:val="right"/>
              <w:rPr>
                <w:rFonts w:ascii="Times New Roman" w:hAnsi="Times New Roman" w:cs="Times New Roman"/>
                <w:sz w:val="14"/>
                <w:szCs w:val="14"/>
              </w:rPr>
            </w:pP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165CC8" w:rsidP="00961A79">
            <w:pPr>
              <w:jc w:val="right"/>
              <w:rPr>
                <w:rFonts w:ascii="Times New Roman" w:hAnsi="Times New Roman" w:cs="Times New Roman"/>
                <w:sz w:val="14"/>
                <w:szCs w:val="14"/>
              </w:rPr>
            </w:pP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165CC8" w:rsidP="00961A79">
            <w:pPr>
              <w:jc w:val="right"/>
              <w:rPr>
                <w:rFonts w:ascii="Times New Roman" w:hAnsi="Times New Roman" w:cs="Times New Roman"/>
                <w:sz w:val="14"/>
                <w:szCs w:val="14"/>
              </w:rPr>
            </w:pPr>
          </w:p>
        </w:tc>
        <w:tc>
          <w:tcPr>
            <w:tcW w:w="487" w:type="pct"/>
            <w:tcBorders>
              <w:top w:val="single" w:sz="4" w:space="0" w:color="auto"/>
              <w:left w:val="single" w:sz="4" w:space="0" w:color="auto"/>
              <w:bottom w:val="single" w:sz="4" w:space="0" w:color="auto"/>
              <w:right w:val="single" w:sz="4" w:space="0" w:color="auto"/>
            </w:tcBorders>
            <w:vAlign w:val="center"/>
          </w:tcPr>
          <w:p w:rsidR="00165CC8" w:rsidRPr="00291734" w:rsidRDefault="00165CC8" w:rsidP="00961A79">
            <w:pPr>
              <w:jc w:val="right"/>
              <w:rPr>
                <w:rFonts w:ascii="Times New Roman" w:hAnsi="Times New Roman" w:cs="Times New Roman"/>
                <w:sz w:val="14"/>
                <w:szCs w:val="14"/>
              </w:rPr>
            </w:pPr>
          </w:p>
        </w:tc>
      </w:tr>
      <w:tr w:rsidR="004275C7" w:rsidRPr="00291734" w:rsidTr="004275C7">
        <w:trPr>
          <w:trHeight w:val="266"/>
        </w:trPr>
        <w:tc>
          <w:tcPr>
            <w:tcW w:w="15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275C7" w:rsidRPr="00291734" w:rsidRDefault="004275C7" w:rsidP="004275C7">
            <w:pPr>
              <w:ind w:left="284" w:hanging="284"/>
              <w:rPr>
                <w:rFonts w:ascii="Times New Roman" w:hAnsi="Times New Roman"/>
                <w:sz w:val="14"/>
                <w:szCs w:val="14"/>
              </w:rPr>
            </w:pPr>
            <w:r>
              <w:rPr>
                <w:rFonts w:ascii="Times New Roman" w:hAnsi="Times New Roman"/>
                <w:sz w:val="14"/>
                <w:szCs w:val="14"/>
              </w:rPr>
              <w:t xml:space="preserve">        Výdavky podľa § 17 ods. 4 zákona </w:t>
            </w:r>
            <w:r>
              <w:rPr>
                <w:rFonts w:ascii="Times New Roman" w:hAnsi="Times New Roman"/>
                <w:sz w:val="14"/>
                <w:szCs w:val="14"/>
              </w:rPr>
              <w:br/>
              <w:t xml:space="preserve">č. 523/2004 Z. z. </w:t>
            </w:r>
          </w:p>
        </w:tc>
        <w:tc>
          <w:tcPr>
            <w:tcW w:w="495" w:type="pct"/>
            <w:tcBorders>
              <w:top w:val="single" w:sz="4" w:space="0" w:color="auto"/>
              <w:left w:val="single" w:sz="4" w:space="0" w:color="auto"/>
              <w:bottom w:val="single" w:sz="4" w:space="0" w:color="auto"/>
              <w:right w:val="single" w:sz="4" w:space="0" w:color="auto"/>
            </w:tcBorders>
            <w:vAlign w:val="center"/>
          </w:tcPr>
          <w:p w:rsidR="004275C7" w:rsidRPr="004275C7" w:rsidRDefault="004275C7" w:rsidP="005D1541">
            <w:pPr>
              <w:pStyle w:val="Odsekzoznamu"/>
              <w:numPr>
                <w:ilvl w:val="0"/>
                <w:numId w:val="7"/>
              </w:numPr>
              <w:jc w:val="right"/>
              <w:rPr>
                <w:rFonts w:ascii="Times New Roman" w:hAnsi="Times New Roman" w:cs="Times New Roman"/>
                <w:color w:val="000000"/>
                <w:sz w:val="14"/>
                <w:szCs w:val="14"/>
              </w:rPr>
            </w:pPr>
          </w:p>
        </w:tc>
        <w:tc>
          <w:tcPr>
            <w:tcW w:w="496" w:type="pct"/>
            <w:tcBorders>
              <w:top w:val="single" w:sz="4" w:space="0" w:color="auto"/>
              <w:left w:val="single" w:sz="4" w:space="0" w:color="auto"/>
              <w:bottom w:val="single" w:sz="4" w:space="0" w:color="auto"/>
              <w:right w:val="single" w:sz="4" w:space="0" w:color="auto"/>
            </w:tcBorders>
            <w:vAlign w:val="center"/>
          </w:tcPr>
          <w:p w:rsidR="004275C7" w:rsidRPr="004275C7" w:rsidRDefault="004275C7" w:rsidP="005D1541">
            <w:pPr>
              <w:pStyle w:val="Odsekzoznamu"/>
              <w:numPr>
                <w:ilvl w:val="0"/>
                <w:numId w:val="7"/>
              </w:numPr>
              <w:jc w:val="right"/>
              <w:rPr>
                <w:rFonts w:ascii="Times New Roman" w:hAnsi="Times New Roman" w:cs="Times New Roman"/>
                <w:color w:val="000000"/>
                <w:sz w:val="14"/>
                <w:szCs w:val="14"/>
              </w:rPr>
            </w:pPr>
          </w:p>
        </w:tc>
        <w:tc>
          <w:tcPr>
            <w:tcW w:w="496" w:type="pct"/>
            <w:tcBorders>
              <w:top w:val="single" w:sz="4" w:space="0" w:color="auto"/>
              <w:left w:val="single" w:sz="4" w:space="0" w:color="auto"/>
              <w:bottom w:val="single" w:sz="4" w:space="0" w:color="auto"/>
              <w:right w:val="single" w:sz="4" w:space="0" w:color="auto"/>
            </w:tcBorders>
            <w:vAlign w:val="center"/>
          </w:tcPr>
          <w:p w:rsidR="004275C7" w:rsidRPr="004275C7" w:rsidRDefault="004275C7" w:rsidP="005D1541">
            <w:pPr>
              <w:pStyle w:val="Odsekzoznamu"/>
              <w:numPr>
                <w:ilvl w:val="0"/>
                <w:numId w:val="7"/>
              </w:numPr>
              <w:jc w:val="right"/>
              <w:rPr>
                <w:rFonts w:ascii="Times New Roman" w:hAnsi="Times New Roman" w:cs="Times New Roman"/>
                <w:color w:val="000000"/>
                <w:sz w:val="14"/>
                <w:szCs w:val="14"/>
              </w:rPr>
            </w:pP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275C7" w:rsidRPr="004275C7" w:rsidRDefault="004275C7" w:rsidP="005D1541">
            <w:pPr>
              <w:pStyle w:val="Odsekzoznamu"/>
              <w:numPr>
                <w:ilvl w:val="0"/>
                <w:numId w:val="7"/>
              </w:numPr>
              <w:jc w:val="right"/>
              <w:rPr>
                <w:rFonts w:ascii="Times New Roman" w:hAnsi="Times New Roman" w:cs="Times New Roman"/>
                <w:color w:val="000000"/>
                <w:sz w:val="14"/>
                <w:szCs w:val="14"/>
              </w:rPr>
            </w:pP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275C7" w:rsidRPr="00291734" w:rsidRDefault="004275C7" w:rsidP="004275C7">
            <w:pPr>
              <w:jc w:val="right"/>
              <w:rPr>
                <w:rFonts w:ascii="Times New Roman" w:hAnsi="Times New Roman" w:cs="Times New Roman"/>
                <w:color w:val="000000"/>
                <w:sz w:val="14"/>
                <w:szCs w:val="14"/>
              </w:rPr>
            </w:pPr>
            <w:r>
              <w:rPr>
                <w:rFonts w:ascii="Times New Roman" w:hAnsi="Times New Roman" w:cs="Times New Roman"/>
                <w:color w:val="000000"/>
                <w:sz w:val="14"/>
                <w:szCs w:val="14"/>
              </w:rPr>
              <w:t>2 274</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275C7" w:rsidRPr="00291734" w:rsidRDefault="004275C7" w:rsidP="004275C7">
            <w:pPr>
              <w:jc w:val="right"/>
              <w:rPr>
                <w:rFonts w:ascii="Times New Roman" w:hAnsi="Times New Roman" w:cs="Times New Roman"/>
                <w:color w:val="000000"/>
                <w:sz w:val="14"/>
                <w:szCs w:val="14"/>
              </w:rPr>
            </w:pPr>
            <w:r>
              <w:rPr>
                <w:rFonts w:ascii="Times New Roman" w:hAnsi="Times New Roman" w:cs="Times New Roman"/>
                <w:color w:val="000000"/>
                <w:sz w:val="14"/>
                <w:szCs w:val="14"/>
              </w:rPr>
              <w:t>2 269</w:t>
            </w:r>
          </w:p>
        </w:tc>
        <w:tc>
          <w:tcPr>
            <w:tcW w:w="487" w:type="pct"/>
            <w:tcBorders>
              <w:top w:val="single" w:sz="4" w:space="0" w:color="auto"/>
              <w:left w:val="single" w:sz="4" w:space="0" w:color="auto"/>
              <w:bottom w:val="single" w:sz="4" w:space="0" w:color="auto"/>
              <w:right w:val="single" w:sz="4" w:space="0" w:color="auto"/>
            </w:tcBorders>
            <w:vAlign w:val="center"/>
          </w:tcPr>
          <w:p w:rsidR="004275C7" w:rsidRPr="00291734" w:rsidRDefault="004275C7" w:rsidP="004275C7">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2 270</w:t>
            </w:r>
          </w:p>
        </w:tc>
      </w:tr>
      <w:tr w:rsidR="00165CC8" w:rsidRPr="00291734" w:rsidTr="004275C7">
        <w:trPr>
          <w:trHeight w:val="266"/>
        </w:trPr>
        <w:tc>
          <w:tcPr>
            <w:tcW w:w="15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5CC8" w:rsidRPr="00291734" w:rsidRDefault="00165CC8" w:rsidP="00165CC8">
            <w:pPr>
              <w:ind w:left="284" w:hanging="284"/>
              <w:rPr>
                <w:rFonts w:ascii="Times New Roman" w:hAnsi="Times New Roman"/>
                <w:sz w:val="14"/>
                <w:szCs w:val="14"/>
              </w:rPr>
            </w:pPr>
            <w:r w:rsidRPr="00291734">
              <w:rPr>
                <w:rFonts w:ascii="Times New Roman" w:hAnsi="Times New Roman"/>
                <w:sz w:val="14"/>
                <w:szCs w:val="14"/>
              </w:rPr>
              <w:t xml:space="preserve">        Výdavky na obsluhu štátneho dlhu</w:t>
            </w:r>
          </w:p>
        </w:tc>
        <w:tc>
          <w:tcPr>
            <w:tcW w:w="495"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sz w:val="14"/>
                <w:szCs w:val="14"/>
              </w:rPr>
            </w:pPr>
            <w:r>
              <w:rPr>
                <w:rFonts w:ascii="Times New Roman" w:hAnsi="Times New Roman" w:cs="Times New Roman"/>
                <w:sz w:val="14"/>
                <w:szCs w:val="14"/>
              </w:rPr>
              <w:t xml:space="preserve">        </w:t>
            </w:r>
            <w:r w:rsidR="00165CC8" w:rsidRPr="00291734">
              <w:rPr>
                <w:rFonts w:ascii="Times New Roman" w:hAnsi="Times New Roman" w:cs="Times New Roman"/>
                <w:sz w:val="14"/>
                <w:szCs w:val="14"/>
              </w:rPr>
              <w:t>1 159 934</w:t>
            </w:r>
          </w:p>
        </w:tc>
        <w:tc>
          <w:tcPr>
            <w:tcW w:w="496"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sz w:val="14"/>
                <w:szCs w:val="14"/>
              </w:rPr>
            </w:pPr>
            <w:r>
              <w:rPr>
                <w:rFonts w:ascii="Times New Roman" w:hAnsi="Times New Roman" w:cs="Times New Roman"/>
                <w:sz w:val="14"/>
                <w:szCs w:val="14"/>
              </w:rPr>
              <w:t xml:space="preserve">        </w:t>
            </w:r>
            <w:r w:rsidR="00DA4982">
              <w:rPr>
                <w:rFonts w:ascii="Times New Roman" w:hAnsi="Times New Roman" w:cs="Times New Roman"/>
                <w:sz w:val="14"/>
                <w:szCs w:val="14"/>
              </w:rPr>
              <w:t>1 174 997</w:t>
            </w:r>
          </w:p>
        </w:tc>
        <w:tc>
          <w:tcPr>
            <w:tcW w:w="496"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00165CC8" w:rsidRPr="00291734">
              <w:rPr>
                <w:rFonts w:ascii="Times New Roman" w:hAnsi="Times New Roman" w:cs="Times New Roman"/>
                <w:color w:val="000000"/>
                <w:sz w:val="14"/>
                <w:szCs w:val="14"/>
              </w:rPr>
              <w:t>1 310 049</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285CDE" w:rsidP="00961A79">
            <w:pPr>
              <w:jc w:val="right"/>
              <w:rPr>
                <w:rFonts w:ascii="Times New Roman" w:hAnsi="Times New Roman" w:cs="Times New Roman"/>
                <w:color w:val="000000"/>
                <w:sz w:val="14"/>
                <w:szCs w:val="14"/>
              </w:rPr>
            </w:pPr>
            <w:r>
              <w:rPr>
                <w:rFonts w:ascii="Times New Roman" w:hAnsi="Times New Roman" w:cs="Times New Roman"/>
                <w:color w:val="000000"/>
                <w:sz w:val="14"/>
                <w:szCs w:val="14"/>
              </w:rPr>
              <w:t>1 200 434</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DE0945" w:rsidP="00DE0945">
            <w:pPr>
              <w:jc w:val="right"/>
              <w:rPr>
                <w:rFonts w:ascii="Times New Roman" w:hAnsi="Times New Roman" w:cs="Times New Roman"/>
                <w:color w:val="000000"/>
                <w:sz w:val="14"/>
                <w:szCs w:val="14"/>
              </w:rPr>
            </w:pPr>
            <w:r>
              <w:rPr>
                <w:rFonts w:ascii="Times New Roman" w:hAnsi="Times New Roman" w:cs="Times New Roman"/>
                <w:color w:val="000000"/>
                <w:sz w:val="14"/>
                <w:szCs w:val="14"/>
              </w:rPr>
              <w:t>1 151 189</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DE0945" w:rsidP="00961A79">
            <w:pPr>
              <w:jc w:val="right"/>
              <w:rPr>
                <w:rFonts w:ascii="Times New Roman" w:hAnsi="Times New Roman" w:cs="Times New Roman"/>
                <w:color w:val="000000"/>
                <w:sz w:val="14"/>
                <w:szCs w:val="14"/>
              </w:rPr>
            </w:pPr>
            <w:r>
              <w:rPr>
                <w:rFonts w:ascii="Times New Roman" w:hAnsi="Times New Roman" w:cs="Times New Roman"/>
                <w:color w:val="000000"/>
                <w:sz w:val="14"/>
                <w:szCs w:val="14"/>
              </w:rPr>
              <w:t>1 177 715</w:t>
            </w:r>
          </w:p>
        </w:tc>
        <w:tc>
          <w:tcPr>
            <w:tcW w:w="487"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00DE0945">
              <w:rPr>
                <w:rFonts w:ascii="Times New Roman" w:hAnsi="Times New Roman" w:cs="Times New Roman"/>
                <w:color w:val="000000"/>
                <w:sz w:val="14"/>
                <w:szCs w:val="14"/>
              </w:rPr>
              <w:t>1 232 923</w:t>
            </w:r>
          </w:p>
        </w:tc>
      </w:tr>
      <w:tr w:rsidR="00165CC8" w:rsidRPr="00291734" w:rsidTr="004275C7">
        <w:trPr>
          <w:trHeight w:val="266"/>
        </w:trPr>
        <w:tc>
          <w:tcPr>
            <w:tcW w:w="15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5CC8" w:rsidRPr="00291734" w:rsidRDefault="00165CC8" w:rsidP="00165CC8">
            <w:pPr>
              <w:ind w:firstLine="63"/>
              <w:rPr>
                <w:rFonts w:ascii="Times New Roman" w:hAnsi="Times New Roman"/>
                <w:sz w:val="14"/>
                <w:szCs w:val="14"/>
              </w:rPr>
            </w:pPr>
            <w:r w:rsidRPr="00291734">
              <w:rPr>
                <w:rFonts w:ascii="Times New Roman" w:hAnsi="Times New Roman"/>
                <w:sz w:val="14"/>
                <w:szCs w:val="14"/>
              </w:rPr>
              <w:t xml:space="preserve">      Zdroje  EÚ</w:t>
            </w:r>
          </w:p>
        </w:tc>
        <w:tc>
          <w:tcPr>
            <w:tcW w:w="495"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sz w:val="14"/>
                <w:szCs w:val="14"/>
              </w:rPr>
            </w:pPr>
            <w:r>
              <w:rPr>
                <w:rFonts w:ascii="Times New Roman" w:hAnsi="Times New Roman" w:cs="Times New Roman"/>
                <w:sz w:val="14"/>
                <w:szCs w:val="14"/>
              </w:rPr>
              <w:t xml:space="preserve">        </w:t>
            </w:r>
            <w:r w:rsidR="00165CC8" w:rsidRPr="00291734">
              <w:rPr>
                <w:rFonts w:ascii="Times New Roman" w:hAnsi="Times New Roman" w:cs="Times New Roman"/>
                <w:sz w:val="14"/>
                <w:szCs w:val="14"/>
              </w:rPr>
              <w:t>4 320 366</w:t>
            </w:r>
          </w:p>
        </w:tc>
        <w:tc>
          <w:tcPr>
            <w:tcW w:w="496"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sz w:val="14"/>
                <w:szCs w:val="14"/>
              </w:rPr>
            </w:pPr>
            <w:r>
              <w:rPr>
                <w:rFonts w:ascii="Times New Roman" w:hAnsi="Times New Roman" w:cs="Times New Roman"/>
                <w:sz w:val="14"/>
                <w:szCs w:val="14"/>
              </w:rPr>
              <w:t xml:space="preserve">        </w:t>
            </w:r>
            <w:r w:rsidR="00DA4982" w:rsidRPr="00DA4982">
              <w:rPr>
                <w:rFonts w:ascii="Times New Roman" w:hAnsi="Times New Roman" w:cs="Times New Roman"/>
                <w:sz w:val="14"/>
                <w:szCs w:val="14"/>
              </w:rPr>
              <w:t>1 753 284</w:t>
            </w:r>
          </w:p>
        </w:tc>
        <w:tc>
          <w:tcPr>
            <w:tcW w:w="496"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00165CC8" w:rsidRPr="00291734">
              <w:rPr>
                <w:rFonts w:ascii="Times New Roman" w:hAnsi="Times New Roman" w:cs="Times New Roman"/>
                <w:color w:val="000000"/>
                <w:sz w:val="14"/>
                <w:szCs w:val="14"/>
              </w:rPr>
              <w:t>2 655 927</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285CDE" w:rsidP="00961A79">
            <w:pPr>
              <w:jc w:val="right"/>
              <w:rPr>
                <w:rFonts w:ascii="Times New Roman" w:hAnsi="Times New Roman" w:cs="Times New Roman"/>
                <w:color w:val="000000"/>
                <w:sz w:val="14"/>
                <w:szCs w:val="14"/>
              </w:rPr>
            </w:pPr>
            <w:r>
              <w:rPr>
                <w:rFonts w:ascii="Times New Roman" w:hAnsi="Times New Roman" w:cs="Times New Roman"/>
                <w:color w:val="000000"/>
                <w:sz w:val="14"/>
                <w:szCs w:val="14"/>
              </w:rPr>
              <w:t>1 618 771</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DE0945" w:rsidP="00961A79">
            <w:pPr>
              <w:jc w:val="right"/>
              <w:rPr>
                <w:rFonts w:ascii="Times New Roman" w:hAnsi="Times New Roman" w:cs="Times New Roman"/>
                <w:color w:val="000000"/>
                <w:sz w:val="14"/>
                <w:szCs w:val="14"/>
              </w:rPr>
            </w:pPr>
            <w:r>
              <w:rPr>
                <w:rFonts w:ascii="Times New Roman" w:hAnsi="Times New Roman" w:cs="Times New Roman"/>
                <w:color w:val="000000"/>
                <w:sz w:val="14"/>
                <w:szCs w:val="14"/>
              </w:rPr>
              <w:t>1 378 419</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DE0945" w:rsidP="00961A79">
            <w:pPr>
              <w:jc w:val="right"/>
              <w:rPr>
                <w:rFonts w:ascii="Times New Roman" w:hAnsi="Times New Roman" w:cs="Times New Roman"/>
                <w:color w:val="000000"/>
                <w:sz w:val="14"/>
                <w:szCs w:val="14"/>
              </w:rPr>
            </w:pPr>
            <w:r>
              <w:rPr>
                <w:rFonts w:ascii="Times New Roman" w:hAnsi="Times New Roman" w:cs="Times New Roman"/>
                <w:color w:val="000000"/>
                <w:sz w:val="14"/>
                <w:szCs w:val="14"/>
              </w:rPr>
              <w:t>3 096 154</w:t>
            </w:r>
          </w:p>
        </w:tc>
        <w:tc>
          <w:tcPr>
            <w:tcW w:w="487"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00DE0945">
              <w:rPr>
                <w:rFonts w:ascii="Times New Roman" w:hAnsi="Times New Roman" w:cs="Times New Roman"/>
                <w:color w:val="000000"/>
                <w:sz w:val="14"/>
                <w:szCs w:val="14"/>
              </w:rPr>
              <w:t>3 065 388</w:t>
            </w:r>
          </w:p>
        </w:tc>
      </w:tr>
      <w:tr w:rsidR="00165CC8" w:rsidRPr="00291734" w:rsidTr="004275C7">
        <w:trPr>
          <w:trHeight w:val="266"/>
        </w:trPr>
        <w:tc>
          <w:tcPr>
            <w:tcW w:w="154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165CC8" w:rsidRPr="00291734" w:rsidRDefault="00165CC8" w:rsidP="00165CC8">
            <w:pPr>
              <w:ind w:firstLine="140"/>
              <w:rPr>
                <w:rFonts w:ascii="Times New Roman" w:hAnsi="Times New Roman"/>
                <w:sz w:val="14"/>
                <w:szCs w:val="14"/>
              </w:rPr>
            </w:pPr>
            <w:r w:rsidRPr="00291734">
              <w:rPr>
                <w:rFonts w:ascii="Times New Roman" w:hAnsi="Times New Roman"/>
                <w:sz w:val="14"/>
                <w:szCs w:val="14"/>
              </w:rPr>
              <w:t>    Spolufinancovanie</w:t>
            </w:r>
          </w:p>
        </w:tc>
        <w:tc>
          <w:tcPr>
            <w:tcW w:w="495"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sz w:val="14"/>
                <w:szCs w:val="14"/>
              </w:rPr>
            </w:pPr>
            <w:r>
              <w:rPr>
                <w:rFonts w:ascii="Times New Roman" w:hAnsi="Times New Roman" w:cs="Times New Roman"/>
                <w:sz w:val="14"/>
                <w:szCs w:val="14"/>
              </w:rPr>
              <w:t xml:space="preserve">           </w:t>
            </w:r>
            <w:r w:rsidR="00165CC8" w:rsidRPr="00291734">
              <w:rPr>
                <w:rFonts w:ascii="Times New Roman" w:hAnsi="Times New Roman" w:cs="Times New Roman"/>
                <w:sz w:val="14"/>
                <w:szCs w:val="14"/>
              </w:rPr>
              <w:t>760 001</w:t>
            </w:r>
          </w:p>
        </w:tc>
        <w:tc>
          <w:tcPr>
            <w:tcW w:w="496"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sz w:val="14"/>
                <w:szCs w:val="14"/>
              </w:rPr>
            </w:pPr>
            <w:r>
              <w:rPr>
                <w:rFonts w:ascii="Times New Roman" w:hAnsi="Times New Roman" w:cs="Times New Roman"/>
                <w:sz w:val="14"/>
                <w:szCs w:val="14"/>
              </w:rPr>
              <w:t xml:space="preserve">           </w:t>
            </w:r>
            <w:r w:rsidR="00980B37">
              <w:rPr>
                <w:rFonts w:ascii="Times New Roman" w:hAnsi="Times New Roman" w:cs="Times New Roman"/>
                <w:sz w:val="14"/>
                <w:szCs w:val="14"/>
              </w:rPr>
              <w:t>276 113</w:t>
            </w:r>
          </w:p>
        </w:tc>
        <w:tc>
          <w:tcPr>
            <w:tcW w:w="496"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00165CC8" w:rsidRPr="00291734">
              <w:rPr>
                <w:rFonts w:ascii="Times New Roman" w:hAnsi="Times New Roman" w:cs="Times New Roman"/>
                <w:color w:val="000000"/>
                <w:sz w:val="14"/>
                <w:szCs w:val="14"/>
              </w:rPr>
              <w:t>528 037</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285CDE" w:rsidP="00961A79">
            <w:pPr>
              <w:jc w:val="right"/>
              <w:rPr>
                <w:rFonts w:ascii="Times New Roman" w:hAnsi="Times New Roman" w:cs="Times New Roman"/>
                <w:color w:val="000000"/>
                <w:sz w:val="14"/>
                <w:szCs w:val="14"/>
              </w:rPr>
            </w:pPr>
            <w:r>
              <w:rPr>
                <w:rFonts w:ascii="Times New Roman" w:hAnsi="Times New Roman" w:cs="Times New Roman"/>
                <w:color w:val="000000"/>
                <w:sz w:val="14"/>
                <w:szCs w:val="14"/>
              </w:rPr>
              <w:t>266 206</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DE0945" w:rsidP="00961A79">
            <w:pPr>
              <w:jc w:val="right"/>
              <w:rPr>
                <w:rFonts w:ascii="Times New Roman" w:hAnsi="Times New Roman" w:cs="Times New Roman"/>
                <w:color w:val="000000"/>
                <w:sz w:val="14"/>
                <w:szCs w:val="14"/>
              </w:rPr>
            </w:pPr>
            <w:r>
              <w:rPr>
                <w:rFonts w:ascii="Times New Roman" w:hAnsi="Times New Roman" w:cs="Times New Roman"/>
                <w:color w:val="000000"/>
                <w:sz w:val="14"/>
                <w:szCs w:val="14"/>
              </w:rPr>
              <w:t>220 617</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DE0945" w:rsidP="00FE06A9">
            <w:pPr>
              <w:jc w:val="right"/>
              <w:rPr>
                <w:rFonts w:ascii="Times New Roman" w:hAnsi="Times New Roman" w:cs="Times New Roman"/>
                <w:color w:val="000000"/>
                <w:sz w:val="14"/>
                <w:szCs w:val="14"/>
              </w:rPr>
            </w:pPr>
            <w:r>
              <w:rPr>
                <w:rFonts w:ascii="Times New Roman" w:hAnsi="Times New Roman" w:cs="Times New Roman"/>
                <w:color w:val="000000"/>
                <w:sz w:val="14"/>
                <w:szCs w:val="14"/>
              </w:rPr>
              <w:t>475 3</w:t>
            </w:r>
            <w:r w:rsidR="00FE06A9">
              <w:rPr>
                <w:rFonts w:ascii="Times New Roman" w:hAnsi="Times New Roman" w:cs="Times New Roman"/>
                <w:color w:val="000000"/>
                <w:sz w:val="14"/>
                <w:szCs w:val="14"/>
              </w:rPr>
              <w:t>0</w:t>
            </w:r>
            <w:r>
              <w:rPr>
                <w:rFonts w:ascii="Times New Roman" w:hAnsi="Times New Roman" w:cs="Times New Roman"/>
                <w:color w:val="000000"/>
                <w:sz w:val="14"/>
                <w:szCs w:val="14"/>
              </w:rPr>
              <w:t>0</w:t>
            </w:r>
          </w:p>
        </w:tc>
        <w:tc>
          <w:tcPr>
            <w:tcW w:w="487"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00DE0945">
              <w:rPr>
                <w:rFonts w:ascii="Times New Roman" w:hAnsi="Times New Roman" w:cs="Times New Roman"/>
                <w:color w:val="000000"/>
                <w:sz w:val="14"/>
                <w:szCs w:val="14"/>
              </w:rPr>
              <w:t>507 477</w:t>
            </w:r>
          </w:p>
        </w:tc>
      </w:tr>
      <w:tr w:rsidR="00165CC8" w:rsidRPr="00291734" w:rsidTr="004275C7">
        <w:trPr>
          <w:trHeight w:val="266"/>
        </w:trPr>
        <w:tc>
          <w:tcPr>
            <w:tcW w:w="154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165CC8" w:rsidRPr="00291734" w:rsidRDefault="00165CC8" w:rsidP="00165CC8">
            <w:pPr>
              <w:ind w:firstLine="140"/>
              <w:rPr>
                <w:rFonts w:ascii="Times New Roman" w:hAnsi="Times New Roman"/>
                <w:sz w:val="14"/>
                <w:szCs w:val="14"/>
              </w:rPr>
            </w:pPr>
            <w:r w:rsidRPr="00291734">
              <w:rPr>
                <w:rFonts w:ascii="Times New Roman" w:hAnsi="Times New Roman"/>
                <w:sz w:val="14"/>
                <w:szCs w:val="14"/>
              </w:rPr>
              <w:t xml:space="preserve">    Odvod do rozpočtu EÚ (vrátane rezervy)</w:t>
            </w:r>
          </w:p>
        </w:tc>
        <w:tc>
          <w:tcPr>
            <w:tcW w:w="495"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sz w:val="14"/>
                <w:szCs w:val="14"/>
              </w:rPr>
            </w:pPr>
            <w:r>
              <w:rPr>
                <w:rFonts w:ascii="Times New Roman" w:hAnsi="Times New Roman" w:cs="Times New Roman"/>
                <w:sz w:val="14"/>
                <w:szCs w:val="14"/>
              </w:rPr>
              <w:t xml:space="preserve">           </w:t>
            </w:r>
            <w:r w:rsidR="00165CC8" w:rsidRPr="00291734">
              <w:rPr>
                <w:rFonts w:ascii="Times New Roman" w:hAnsi="Times New Roman" w:cs="Times New Roman"/>
                <w:sz w:val="14"/>
                <w:szCs w:val="14"/>
              </w:rPr>
              <w:t>599 458</w:t>
            </w:r>
          </w:p>
        </w:tc>
        <w:tc>
          <w:tcPr>
            <w:tcW w:w="496"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sz w:val="14"/>
                <w:szCs w:val="14"/>
              </w:rPr>
            </w:pPr>
            <w:r>
              <w:rPr>
                <w:rFonts w:ascii="Times New Roman" w:hAnsi="Times New Roman" w:cs="Times New Roman"/>
                <w:sz w:val="14"/>
                <w:szCs w:val="14"/>
              </w:rPr>
              <w:t xml:space="preserve">           </w:t>
            </w:r>
            <w:r w:rsidR="00980B37">
              <w:rPr>
                <w:rFonts w:ascii="Times New Roman" w:hAnsi="Times New Roman" w:cs="Times New Roman"/>
                <w:sz w:val="14"/>
                <w:szCs w:val="14"/>
              </w:rPr>
              <w:t>634 796</w:t>
            </w:r>
          </w:p>
        </w:tc>
        <w:tc>
          <w:tcPr>
            <w:tcW w:w="496"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00165CC8">
              <w:rPr>
                <w:rFonts w:ascii="Times New Roman" w:hAnsi="Times New Roman" w:cs="Times New Roman"/>
                <w:color w:val="000000"/>
                <w:sz w:val="14"/>
                <w:szCs w:val="14"/>
              </w:rPr>
              <w:t>673 044</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285CDE" w:rsidP="00961A79">
            <w:pPr>
              <w:jc w:val="right"/>
              <w:rPr>
                <w:rFonts w:ascii="Times New Roman" w:hAnsi="Times New Roman" w:cs="Times New Roman"/>
                <w:color w:val="000000"/>
                <w:sz w:val="14"/>
                <w:szCs w:val="14"/>
              </w:rPr>
            </w:pPr>
            <w:r>
              <w:rPr>
                <w:rFonts w:ascii="Times New Roman" w:hAnsi="Times New Roman" w:cs="Times New Roman"/>
                <w:color w:val="000000"/>
                <w:sz w:val="14"/>
                <w:szCs w:val="14"/>
              </w:rPr>
              <w:t>661 147</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DE0945" w:rsidP="00BD4098">
            <w:pPr>
              <w:jc w:val="right"/>
              <w:rPr>
                <w:rFonts w:ascii="Times New Roman" w:hAnsi="Times New Roman" w:cs="Times New Roman"/>
                <w:color w:val="000000"/>
                <w:sz w:val="14"/>
                <w:szCs w:val="14"/>
              </w:rPr>
            </w:pPr>
            <w:r>
              <w:rPr>
                <w:rFonts w:ascii="Times New Roman" w:hAnsi="Times New Roman" w:cs="Times New Roman"/>
                <w:color w:val="000000"/>
                <w:sz w:val="14"/>
                <w:szCs w:val="14"/>
              </w:rPr>
              <w:t>7</w:t>
            </w:r>
            <w:r w:rsidR="00BD4098">
              <w:rPr>
                <w:rFonts w:ascii="Times New Roman" w:hAnsi="Times New Roman" w:cs="Times New Roman"/>
                <w:color w:val="000000"/>
                <w:sz w:val="14"/>
                <w:szCs w:val="14"/>
              </w:rPr>
              <w:t>6</w:t>
            </w:r>
            <w:r>
              <w:rPr>
                <w:rFonts w:ascii="Times New Roman" w:hAnsi="Times New Roman" w:cs="Times New Roman"/>
                <w:color w:val="000000"/>
                <w:sz w:val="14"/>
                <w:szCs w:val="14"/>
              </w:rPr>
              <w:t>8 122</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DE0945" w:rsidP="00961A79">
            <w:pPr>
              <w:jc w:val="right"/>
              <w:rPr>
                <w:rFonts w:ascii="Times New Roman" w:hAnsi="Times New Roman" w:cs="Times New Roman"/>
                <w:color w:val="000000"/>
                <w:sz w:val="14"/>
                <w:szCs w:val="14"/>
              </w:rPr>
            </w:pPr>
            <w:r>
              <w:rPr>
                <w:rFonts w:ascii="Times New Roman" w:hAnsi="Times New Roman" w:cs="Times New Roman"/>
                <w:color w:val="000000"/>
                <w:sz w:val="14"/>
                <w:szCs w:val="14"/>
              </w:rPr>
              <w:t>845 140</w:t>
            </w:r>
          </w:p>
        </w:tc>
        <w:tc>
          <w:tcPr>
            <w:tcW w:w="487"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00DE0945">
              <w:rPr>
                <w:rFonts w:ascii="Times New Roman" w:hAnsi="Times New Roman" w:cs="Times New Roman"/>
                <w:color w:val="000000"/>
                <w:sz w:val="14"/>
                <w:szCs w:val="14"/>
              </w:rPr>
              <w:t>875 062</w:t>
            </w:r>
          </w:p>
        </w:tc>
      </w:tr>
      <w:tr w:rsidR="00165CC8" w:rsidRPr="00291734" w:rsidTr="004275C7">
        <w:trPr>
          <w:trHeight w:val="266"/>
        </w:trPr>
        <w:tc>
          <w:tcPr>
            <w:tcW w:w="1540"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165CC8" w:rsidRPr="00291734" w:rsidRDefault="00165CC8" w:rsidP="00165CC8">
            <w:pPr>
              <w:ind w:firstLine="140"/>
              <w:rPr>
                <w:rFonts w:ascii="Times New Roman" w:hAnsi="Times New Roman"/>
                <w:sz w:val="14"/>
                <w:szCs w:val="14"/>
              </w:rPr>
            </w:pPr>
            <w:r w:rsidRPr="00291734">
              <w:rPr>
                <w:rFonts w:ascii="Times New Roman" w:hAnsi="Times New Roman"/>
                <w:sz w:val="14"/>
                <w:szCs w:val="14"/>
              </w:rPr>
              <w:t xml:space="preserve">    Transfer Sociálnej poisťovni</w:t>
            </w:r>
          </w:p>
        </w:tc>
        <w:tc>
          <w:tcPr>
            <w:tcW w:w="495"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sz w:val="14"/>
                <w:szCs w:val="14"/>
              </w:rPr>
            </w:pPr>
            <w:r>
              <w:rPr>
                <w:rFonts w:ascii="Times New Roman" w:hAnsi="Times New Roman" w:cs="Times New Roman"/>
                <w:sz w:val="14"/>
                <w:szCs w:val="14"/>
              </w:rPr>
              <w:t xml:space="preserve">           </w:t>
            </w:r>
            <w:r w:rsidR="00165CC8" w:rsidRPr="00291734">
              <w:rPr>
                <w:rFonts w:ascii="Times New Roman" w:hAnsi="Times New Roman" w:cs="Times New Roman"/>
                <w:sz w:val="14"/>
                <w:szCs w:val="14"/>
              </w:rPr>
              <w:t>452 983</w:t>
            </w:r>
          </w:p>
        </w:tc>
        <w:tc>
          <w:tcPr>
            <w:tcW w:w="496"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sz w:val="14"/>
                <w:szCs w:val="14"/>
              </w:rPr>
            </w:pPr>
            <w:r>
              <w:rPr>
                <w:rFonts w:ascii="Times New Roman" w:hAnsi="Times New Roman" w:cs="Times New Roman"/>
                <w:sz w:val="14"/>
                <w:szCs w:val="14"/>
              </w:rPr>
              <w:t xml:space="preserve">           </w:t>
            </w:r>
            <w:r w:rsidR="00980B37">
              <w:rPr>
                <w:rFonts w:ascii="Times New Roman" w:hAnsi="Times New Roman" w:cs="Times New Roman"/>
                <w:sz w:val="14"/>
                <w:szCs w:val="14"/>
              </w:rPr>
              <w:t>365 324</w:t>
            </w:r>
          </w:p>
        </w:tc>
        <w:tc>
          <w:tcPr>
            <w:tcW w:w="496"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00165CC8">
              <w:rPr>
                <w:rFonts w:ascii="Times New Roman" w:hAnsi="Times New Roman" w:cs="Times New Roman"/>
                <w:color w:val="000000"/>
                <w:sz w:val="14"/>
                <w:szCs w:val="14"/>
              </w:rPr>
              <w:t>501 059</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285CDE" w:rsidP="00961A79">
            <w:pPr>
              <w:jc w:val="right"/>
              <w:rPr>
                <w:rFonts w:ascii="Times New Roman" w:hAnsi="Times New Roman" w:cs="Times New Roman"/>
                <w:color w:val="000000"/>
                <w:sz w:val="14"/>
                <w:szCs w:val="14"/>
              </w:rPr>
            </w:pPr>
            <w:r>
              <w:rPr>
                <w:rFonts w:ascii="Times New Roman" w:hAnsi="Times New Roman" w:cs="Times New Roman"/>
                <w:color w:val="000000"/>
                <w:sz w:val="14"/>
                <w:szCs w:val="14"/>
              </w:rPr>
              <w:t>410 000</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DE0945" w:rsidP="00961A79">
            <w:pPr>
              <w:jc w:val="right"/>
              <w:rPr>
                <w:rFonts w:ascii="Times New Roman" w:hAnsi="Times New Roman" w:cs="Times New Roman"/>
                <w:color w:val="000000"/>
                <w:sz w:val="14"/>
                <w:szCs w:val="14"/>
              </w:rPr>
            </w:pPr>
            <w:r>
              <w:rPr>
                <w:rFonts w:ascii="Times New Roman" w:hAnsi="Times New Roman" w:cs="Times New Roman"/>
                <w:color w:val="000000"/>
                <w:sz w:val="14"/>
                <w:szCs w:val="14"/>
              </w:rPr>
              <w:t>255 392</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5CC8" w:rsidRPr="00291734" w:rsidRDefault="00DE0945" w:rsidP="00482FCD">
            <w:pPr>
              <w:jc w:val="right"/>
              <w:rPr>
                <w:rFonts w:ascii="Times New Roman" w:hAnsi="Times New Roman" w:cs="Times New Roman"/>
                <w:color w:val="000000"/>
                <w:sz w:val="14"/>
                <w:szCs w:val="14"/>
              </w:rPr>
            </w:pPr>
            <w:r>
              <w:rPr>
                <w:rFonts w:ascii="Times New Roman" w:hAnsi="Times New Roman" w:cs="Times New Roman"/>
                <w:color w:val="000000"/>
                <w:sz w:val="14"/>
                <w:szCs w:val="14"/>
              </w:rPr>
              <w:t>1</w:t>
            </w:r>
            <w:r w:rsidR="00482FCD">
              <w:rPr>
                <w:rFonts w:ascii="Times New Roman" w:hAnsi="Times New Roman" w:cs="Times New Roman"/>
                <w:color w:val="000000"/>
                <w:sz w:val="14"/>
                <w:szCs w:val="14"/>
              </w:rPr>
              <w:t>1</w:t>
            </w:r>
            <w:r>
              <w:rPr>
                <w:rFonts w:ascii="Times New Roman" w:hAnsi="Times New Roman" w:cs="Times New Roman"/>
                <w:color w:val="000000"/>
                <w:sz w:val="14"/>
                <w:szCs w:val="14"/>
              </w:rPr>
              <w:t>7 658</w:t>
            </w:r>
          </w:p>
        </w:tc>
        <w:tc>
          <w:tcPr>
            <w:tcW w:w="487" w:type="pct"/>
            <w:tcBorders>
              <w:top w:val="single" w:sz="4" w:space="0" w:color="auto"/>
              <w:left w:val="single" w:sz="4" w:space="0" w:color="auto"/>
              <w:bottom w:val="single" w:sz="4" w:space="0" w:color="auto"/>
              <w:right w:val="single" w:sz="4" w:space="0" w:color="auto"/>
            </w:tcBorders>
            <w:vAlign w:val="center"/>
          </w:tcPr>
          <w:p w:rsidR="00165CC8" w:rsidRPr="00291734" w:rsidRDefault="00DB5021" w:rsidP="00DB5021">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00DE0945">
              <w:rPr>
                <w:rFonts w:ascii="Times New Roman" w:hAnsi="Times New Roman" w:cs="Times New Roman"/>
                <w:color w:val="000000"/>
                <w:sz w:val="14"/>
                <w:szCs w:val="14"/>
              </w:rPr>
              <w:t>0</w:t>
            </w:r>
          </w:p>
        </w:tc>
        <w:bookmarkEnd w:id="50"/>
        <w:bookmarkEnd w:id="51"/>
      </w:tr>
    </w:tbl>
    <w:p w:rsidR="00DF7BCB" w:rsidRDefault="00DF7BCB" w:rsidP="00165CC8">
      <w:pPr>
        <w:ind w:firstLine="709"/>
        <w:jc w:val="both"/>
        <w:rPr>
          <w:rFonts w:ascii="Times New Roman" w:hAnsi="Times New Roman"/>
        </w:rPr>
      </w:pPr>
    </w:p>
    <w:p w:rsidR="00DB78D3" w:rsidRDefault="00165CC8" w:rsidP="00165CC8">
      <w:pPr>
        <w:ind w:firstLine="709"/>
        <w:jc w:val="both"/>
        <w:rPr>
          <w:rFonts w:ascii="Times New Roman" w:hAnsi="Times New Roman"/>
        </w:rPr>
      </w:pPr>
      <w:r w:rsidRPr="00DB78D3">
        <w:rPr>
          <w:rFonts w:ascii="Times New Roman" w:hAnsi="Times New Roman"/>
        </w:rPr>
        <w:t>V roku 201</w:t>
      </w:r>
      <w:r w:rsidR="00DB78D3" w:rsidRPr="00DB78D3">
        <w:rPr>
          <w:rFonts w:ascii="Times New Roman" w:hAnsi="Times New Roman"/>
        </w:rPr>
        <w:t>8</w:t>
      </w:r>
      <w:r w:rsidRPr="00DB78D3">
        <w:rPr>
          <w:rFonts w:ascii="Times New Roman" w:hAnsi="Times New Roman"/>
        </w:rPr>
        <w:t xml:space="preserve"> sa rozpočtujú celkové výdavky štátneho rozpočtu v sume </w:t>
      </w:r>
      <w:r w:rsidRPr="00DB78D3">
        <w:rPr>
          <w:rFonts w:ascii="Times New Roman" w:hAnsi="Times New Roman"/>
        </w:rPr>
        <w:br/>
      </w:r>
      <w:r w:rsidR="00C91801" w:rsidRPr="00C91801">
        <w:rPr>
          <w:rFonts w:ascii="Times New Roman" w:hAnsi="Times New Roman"/>
        </w:rPr>
        <w:t>15</w:t>
      </w:r>
      <w:r w:rsidR="00C91801">
        <w:rPr>
          <w:rFonts w:ascii="Times New Roman" w:hAnsi="Times New Roman"/>
        </w:rPr>
        <w:t> </w:t>
      </w:r>
      <w:r w:rsidR="00C91801" w:rsidRPr="00C91801">
        <w:rPr>
          <w:rFonts w:ascii="Times New Roman" w:hAnsi="Times New Roman"/>
        </w:rPr>
        <w:t>9</w:t>
      </w:r>
      <w:r w:rsidR="00C91801">
        <w:rPr>
          <w:rFonts w:ascii="Times New Roman" w:hAnsi="Times New Roman"/>
        </w:rPr>
        <w:t>55,7</w:t>
      </w:r>
      <w:r w:rsidRPr="00C91801">
        <w:rPr>
          <w:rFonts w:ascii="Times New Roman" w:hAnsi="Times New Roman"/>
        </w:rPr>
        <w:t xml:space="preserve"> m</w:t>
      </w:r>
      <w:r w:rsidR="00C91801">
        <w:rPr>
          <w:rFonts w:ascii="Times New Roman" w:hAnsi="Times New Roman"/>
        </w:rPr>
        <w:t>i</w:t>
      </w:r>
      <w:r w:rsidRPr="00C91801">
        <w:rPr>
          <w:rFonts w:ascii="Times New Roman" w:hAnsi="Times New Roman"/>
        </w:rPr>
        <w:t>l. eur</w:t>
      </w:r>
      <w:r w:rsidR="009B139D">
        <w:rPr>
          <w:rFonts w:ascii="Times New Roman" w:hAnsi="Times New Roman"/>
        </w:rPr>
        <w:t xml:space="preserve">, čo oproti schválenému rozpočtu na rok 2017 predstavuje pokles </w:t>
      </w:r>
      <w:r w:rsidR="009B139D">
        <w:rPr>
          <w:rFonts w:ascii="Times New Roman" w:hAnsi="Times New Roman"/>
        </w:rPr>
        <w:br/>
        <w:t>o 1 427,7 mil. eur</w:t>
      </w:r>
      <w:r w:rsidR="00137ACE">
        <w:rPr>
          <w:rFonts w:ascii="Times New Roman" w:hAnsi="Times New Roman"/>
        </w:rPr>
        <w:t>.</w:t>
      </w:r>
      <w:r w:rsidR="00DB78D3" w:rsidRPr="00C91801">
        <w:rPr>
          <w:rFonts w:ascii="Times New Roman" w:hAnsi="Times New Roman"/>
        </w:rPr>
        <w:t xml:space="preserve"> </w:t>
      </w:r>
      <w:r w:rsidR="00137ACE">
        <w:rPr>
          <w:rFonts w:ascii="Times New Roman" w:hAnsi="Times New Roman"/>
        </w:rPr>
        <w:t>V rámci nich v</w:t>
      </w:r>
      <w:r w:rsidR="00DB78D3" w:rsidRPr="00E226FA">
        <w:rPr>
          <w:rFonts w:ascii="Times New Roman" w:hAnsi="Times New Roman"/>
        </w:rPr>
        <w:t xml:space="preserve">ýdavky podľa § 17 ods. 4 zákona č. 523/2004 Z. z. </w:t>
      </w:r>
      <w:r w:rsidR="00DB78D3" w:rsidRPr="00DD1A6A">
        <w:rPr>
          <w:rFonts w:ascii="Times New Roman" w:hAnsi="Times New Roman"/>
        </w:rPr>
        <w:t>predstavujú sumu</w:t>
      </w:r>
      <w:r w:rsidR="00DD1A6A" w:rsidRPr="00DD1A6A">
        <w:rPr>
          <w:rFonts w:ascii="Times New Roman" w:hAnsi="Times New Roman"/>
        </w:rPr>
        <w:t xml:space="preserve"> 2,3 mil. eur</w:t>
      </w:r>
      <w:r w:rsidR="00DB78D3" w:rsidRPr="00DD1A6A">
        <w:rPr>
          <w:rFonts w:ascii="Times New Roman" w:hAnsi="Times New Roman"/>
        </w:rPr>
        <w:t>. Ide o výdavk</w:t>
      </w:r>
      <w:r w:rsidR="00DB78D3" w:rsidRPr="00E226FA">
        <w:rPr>
          <w:rFonts w:ascii="Times New Roman" w:hAnsi="Times New Roman"/>
        </w:rPr>
        <w:t>y, ktoré rozpočtová organizácia rozpočtuje k príjmom a je oprávnená ich čerpať do výšky rozpočtovaných príjmov skutočne prijatých.</w:t>
      </w:r>
    </w:p>
    <w:p w:rsidR="00DB78D3" w:rsidRDefault="00DB78D3" w:rsidP="00165CC8">
      <w:pPr>
        <w:ind w:firstLine="709"/>
        <w:jc w:val="both"/>
        <w:rPr>
          <w:rFonts w:ascii="Times New Roman" w:hAnsi="Times New Roman"/>
        </w:rPr>
      </w:pPr>
    </w:p>
    <w:p w:rsidR="00165CC8" w:rsidRDefault="00165CC8" w:rsidP="00165CC8">
      <w:pPr>
        <w:ind w:firstLine="709"/>
        <w:jc w:val="both"/>
        <w:rPr>
          <w:rFonts w:ascii="Times New Roman" w:hAnsi="Times New Roman"/>
        </w:rPr>
      </w:pPr>
      <w:r w:rsidRPr="00522E39">
        <w:rPr>
          <w:rFonts w:ascii="Times New Roman" w:hAnsi="Times New Roman"/>
        </w:rPr>
        <w:t>Z vyššie uvedenej tabuľky vyplýva, že v porovnaní so schváleným rozpočtom na rok 201</w:t>
      </w:r>
      <w:r w:rsidR="00DB78D3" w:rsidRPr="00522E39">
        <w:rPr>
          <w:rFonts w:ascii="Times New Roman" w:hAnsi="Times New Roman"/>
        </w:rPr>
        <w:t>7</w:t>
      </w:r>
      <w:r w:rsidRPr="00522E39">
        <w:rPr>
          <w:rFonts w:ascii="Times New Roman" w:hAnsi="Times New Roman"/>
        </w:rPr>
        <w:t xml:space="preserve"> </w:t>
      </w:r>
      <w:r w:rsidR="00DB78D3" w:rsidRPr="00522E39">
        <w:rPr>
          <w:rFonts w:ascii="Times New Roman" w:hAnsi="Times New Roman"/>
        </w:rPr>
        <w:t>rastú</w:t>
      </w:r>
      <w:r w:rsidRPr="00522E39">
        <w:rPr>
          <w:rFonts w:ascii="Times New Roman" w:hAnsi="Times New Roman"/>
        </w:rPr>
        <w:t> výdavk</w:t>
      </w:r>
      <w:r w:rsidR="00DB78D3" w:rsidRPr="00522E39">
        <w:rPr>
          <w:rFonts w:ascii="Times New Roman" w:hAnsi="Times New Roman"/>
        </w:rPr>
        <w:t>y</w:t>
      </w:r>
      <w:r w:rsidRPr="00522E39">
        <w:rPr>
          <w:rFonts w:ascii="Times New Roman" w:hAnsi="Times New Roman"/>
        </w:rPr>
        <w:t xml:space="preserve"> </w:t>
      </w:r>
      <w:r w:rsidR="00DB78D3" w:rsidRPr="00522E39">
        <w:rPr>
          <w:rFonts w:ascii="Times New Roman" w:hAnsi="Times New Roman"/>
        </w:rPr>
        <w:t>na odvod do rozpočtu EÚ o </w:t>
      </w:r>
      <w:r w:rsidR="00137ACE">
        <w:rPr>
          <w:rFonts w:ascii="Times New Roman" w:hAnsi="Times New Roman"/>
        </w:rPr>
        <w:t>9</w:t>
      </w:r>
      <w:r w:rsidR="00DB78D3" w:rsidRPr="00522E39">
        <w:rPr>
          <w:rFonts w:ascii="Times New Roman" w:hAnsi="Times New Roman"/>
        </w:rPr>
        <w:t>5,</w:t>
      </w:r>
      <w:r w:rsidR="00522E39">
        <w:rPr>
          <w:rFonts w:ascii="Times New Roman" w:hAnsi="Times New Roman"/>
        </w:rPr>
        <w:t xml:space="preserve">1 mil. eur. Zároveň </w:t>
      </w:r>
      <w:r w:rsidR="00522E39" w:rsidRPr="00522E39">
        <w:rPr>
          <w:rFonts w:ascii="Times New Roman" w:hAnsi="Times New Roman"/>
        </w:rPr>
        <w:t xml:space="preserve">dochádza k poklesu </w:t>
      </w:r>
      <w:r w:rsidR="00DB78D3" w:rsidRPr="00522E39">
        <w:rPr>
          <w:rFonts w:ascii="Times New Roman" w:hAnsi="Times New Roman"/>
        </w:rPr>
        <w:t>výdavk</w:t>
      </w:r>
      <w:r w:rsidR="00522E39" w:rsidRPr="00522E39">
        <w:rPr>
          <w:rFonts w:ascii="Times New Roman" w:hAnsi="Times New Roman"/>
        </w:rPr>
        <w:t>ov</w:t>
      </w:r>
      <w:r w:rsidR="00522E39">
        <w:rPr>
          <w:rFonts w:ascii="Times New Roman" w:hAnsi="Times New Roman"/>
        </w:rPr>
        <w:t xml:space="preserve"> na obsluhu štátneho dlhu o 158,9 mil. eur, klesajú zdroje </w:t>
      </w:r>
      <w:r w:rsidRPr="00522E39">
        <w:rPr>
          <w:rFonts w:ascii="Times New Roman" w:hAnsi="Times New Roman"/>
        </w:rPr>
        <w:t>EÚ o</w:t>
      </w:r>
      <w:r w:rsidR="00522E39" w:rsidRPr="00522E39">
        <w:rPr>
          <w:rFonts w:ascii="Times New Roman" w:hAnsi="Times New Roman"/>
        </w:rPr>
        <w:t> 1 277,5</w:t>
      </w:r>
      <w:r w:rsidRPr="00522E39">
        <w:rPr>
          <w:rFonts w:ascii="Times New Roman" w:hAnsi="Times New Roman"/>
        </w:rPr>
        <w:t xml:space="preserve"> mil. eur,</w:t>
      </w:r>
      <w:r w:rsidR="00522E39">
        <w:rPr>
          <w:rFonts w:ascii="Times New Roman" w:hAnsi="Times New Roman"/>
        </w:rPr>
        <w:t xml:space="preserve"> znižujú sa výdavky na spolufinancovanie o 307,4 </w:t>
      </w:r>
      <w:r w:rsidR="00DD1A6A">
        <w:rPr>
          <w:rFonts w:ascii="Times New Roman" w:hAnsi="Times New Roman"/>
        </w:rPr>
        <w:t xml:space="preserve">mil. eur </w:t>
      </w:r>
      <w:r w:rsidR="00522E39">
        <w:rPr>
          <w:rFonts w:ascii="Times New Roman" w:hAnsi="Times New Roman"/>
        </w:rPr>
        <w:t>a klesá transfer Sociálnej poisťovni na zabezpečenie jej platobnej schopnosti o 245,7 mil. eur.</w:t>
      </w:r>
      <w:r w:rsidRPr="00522E39">
        <w:rPr>
          <w:rFonts w:ascii="Times New Roman" w:hAnsi="Times New Roman"/>
        </w:rPr>
        <w:t xml:space="preserve"> </w:t>
      </w:r>
    </w:p>
    <w:p w:rsidR="008929C5" w:rsidRDefault="008929C5" w:rsidP="00165CC8">
      <w:pPr>
        <w:ind w:firstLine="709"/>
        <w:jc w:val="both"/>
        <w:rPr>
          <w:rFonts w:ascii="Times New Roman" w:hAnsi="Times New Roman"/>
        </w:rPr>
      </w:pPr>
    </w:p>
    <w:p w:rsidR="008929C5" w:rsidRDefault="008929C5" w:rsidP="00165CC8">
      <w:pPr>
        <w:ind w:firstLine="709"/>
        <w:jc w:val="both"/>
        <w:rPr>
          <w:rFonts w:ascii="Times New Roman" w:hAnsi="Times New Roman"/>
        </w:rPr>
      </w:pPr>
      <w:r>
        <w:rPr>
          <w:rFonts w:ascii="Times New Roman" w:hAnsi="Times New Roman"/>
        </w:rPr>
        <w:t xml:space="preserve">Rozpočet za oblasť výdavkov z prostriedkov EÚ a spolufinancovania na roky 2018 až 2020, osobitne rozpočet na rok 2018 odráža predpokladaný stav implementácie jednotlivých operačných programov financovaných z prostriedkov EÚ a spolufinancovania zo štátneho rozpočtu, ako aj iných programov zo zahraničia. </w:t>
      </w:r>
    </w:p>
    <w:p w:rsidR="009B139D" w:rsidRDefault="009B139D" w:rsidP="00165CC8">
      <w:pPr>
        <w:ind w:firstLine="709"/>
        <w:jc w:val="both"/>
        <w:rPr>
          <w:rFonts w:ascii="Times New Roman" w:hAnsi="Times New Roman"/>
        </w:rPr>
      </w:pPr>
    </w:p>
    <w:p w:rsidR="009B139D" w:rsidRDefault="009B139D" w:rsidP="00165CC8">
      <w:pPr>
        <w:ind w:firstLine="709"/>
        <w:jc w:val="both"/>
        <w:rPr>
          <w:rFonts w:ascii="Times New Roman" w:hAnsi="Times New Roman"/>
        </w:rPr>
      </w:pPr>
      <w:r>
        <w:rPr>
          <w:rFonts w:ascii="Times New Roman" w:hAnsi="Times New Roman"/>
        </w:rPr>
        <w:t xml:space="preserve">Po odpočítaní vyššie uvedených </w:t>
      </w:r>
      <w:r w:rsidR="00C76881">
        <w:rPr>
          <w:rFonts w:ascii="Times New Roman" w:hAnsi="Times New Roman"/>
        </w:rPr>
        <w:t>výdavkov ostatné</w:t>
      </w:r>
      <w:r>
        <w:rPr>
          <w:rFonts w:ascii="Times New Roman" w:hAnsi="Times New Roman"/>
        </w:rPr>
        <w:t xml:space="preserve"> výdavky štátneho rozpočtu rastú </w:t>
      </w:r>
      <w:r w:rsidR="0073471B">
        <w:rPr>
          <w:rFonts w:ascii="Times New Roman" w:hAnsi="Times New Roman"/>
        </w:rPr>
        <w:br/>
      </w:r>
      <w:r>
        <w:rPr>
          <w:rFonts w:ascii="Times New Roman" w:hAnsi="Times New Roman"/>
        </w:rPr>
        <w:t>o</w:t>
      </w:r>
      <w:r w:rsidR="0073471B">
        <w:rPr>
          <w:rFonts w:ascii="Times New Roman" w:hAnsi="Times New Roman"/>
        </w:rPr>
        <w:t> </w:t>
      </w:r>
      <w:r>
        <w:rPr>
          <w:rFonts w:ascii="Times New Roman" w:hAnsi="Times New Roman"/>
        </w:rPr>
        <w:t>46</w:t>
      </w:r>
      <w:r w:rsidR="0073471B">
        <w:rPr>
          <w:rFonts w:ascii="Times New Roman" w:hAnsi="Times New Roman"/>
        </w:rPr>
        <w:t>4,5</w:t>
      </w:r>
      <w:r>
        <w:rPr>
          <w:rFonts w:ascii="Times New Roman" w:hAnsi="Times New Roman"/>
        </w:rPr>
        <w:t xml:space="preserve"> mil. eur.</w:t>
      </w:r>
    </w:p>
    <w:p w:rsidR="00165CC8" w:rsidRDefault="00165CC8" w:rsidP="00165CC8">
      <w:pPr>
        <w:rPr>
          <w:rFonts w:ascii="Times New Roman" w:hAnsi="Times New Roman" w:cs="Times New Roman"/>
          <w:b/>
          <w:bCs/>
          <w:iCs/>
          <w:szCs w:val="28"/>
        </w:rPr>
      </w:pPr>
    </w:p>
    <w:p w:rsidR="003E2A82" w:rsidRDefault="003E2A82" w:rsidP="003E2A82">
      <w:pPr>
        <w:ind w:firstLine="708"/>
        <w:jc w:val="both"/>
        <w:rPr>
          <w:rFonts w:ascii="Times New Roman" w:hAnsi="Times New Roman" w:cs="Times New Roman"/>
          <w:color w:val="000000"/>
        </w:rPr>
      </w:pPr>
      <w:r w:rsidRPr="003E2A82">
        <w:rPr>
          <w:rFonts w:ascii="Times New Roman" w:hAnsi="Times New Roman" w:cs="Times New Roman"/>
          <w:color w:val="000000"/>
        </w:rPr>
        <w:t>Vo výdavkoch štátneho rozpočtu sú na zvýšenie platov zabezpečené prostriedky v objeme 212 mil. eur</w:t>
      </w:r>
      <w:r w:rsidR="005D6D9E">
        <w:rPr>
          <w:rFonts w:ascii="Times New Roman" w:hAnsi="Times New Roman" w:cs="Times New Roman"/>
          <w:color w:val="000000"/>
        </w:rPr>
        <w:t>, z čoho suma</w:t>
      </w:r>
      <w:r w:rsidRPr="003E2A82">
        <w:rPr>
          <w:rFonts w:ascii="Times New Roman" w:hAnsi="Times New Roman" w:cs="Times New Roman"/>
          <w:color w:val="000000"/>
        </w:rPr>
        <w:t xml:space="preserve"> 130,8 mil. eur </w:t>
      </w:r>
      <w:r w:rsidR="005D6D9E">
        <w:rPr>
          <w:rFonts w:ascii="Times New Roman" w:hAnsi="Times New Roman" w:cs="Times New Roman"/>
          <w:color w:val="000000"/>
        </w:rPr>
        <w:t>je</w:t>
      </w:r>
      <w:r w:rsidRPr="003E2A82">
        <w:rPr>
          <w:rFonts w:ascii="Times New Roman" w:hAnsi="Times New Roman" w:cs="Times New Roman"/>
          <w:color w:val="000000"/>
        </w:rPr>
        <w:t xml:space="preserve"> na krytie záväzku vyplývajúceho z Memoranda o úprave platových pomerov zamestnancov v štátnej službe a niektorých zamestnancov pri výkone práce vo verejnom záujme. Na krytie zvýšenia platov pre pedagogických zamestnancov od 1.</w:t>
      </w:r>
      <w:r w:rsidR="005D6D9E">
        <w:rPr>
          <w:rFonts w:ascii="Times New Roman" w:hAnsi="Times New Roman" w:cs="Times New Roman"/>
          <w:color w:val="000000"/>
        </w:rPr>
        <w:t xml:space="preserve"> </w:t>
      </w:r>
      <w:r w:rsidRPr="003E2A82">
        <w:rPr>
          <w:rFonts w:ascii="Times New Roman" w:hAnsi="Times New Roman" w:cs="Times New Roman"/>
          <w:color w:val="000000"/>
        </w:rPr>
        <w:t>9.</w:t>
      </w:r>
      <w:r w:rsidR="005D6D9E">
        <w:rPr>
          <w:rFonts w:ascii="Times New Roman" w:hAnsi="Times New Roman" w:cs="Times New Roman"/>
          <w:color w:val="000000"/>
        </w:rPr>
        <w:t xml:space="preserve"> </w:t>
      </w:r>
      <w:r w:rsidRPr="003E2A82">
        <w:rPr>
          <w:rFonts w:ascii="Times New Roman" w:hAnsi="Times New Roman" w:cs="Times New Roman"/>
          <w:color w:val="000000"/>
        </w:rPr>
        <w:t xml:space="preserve">2017 sa rozpočtuje ďalších 81,4 mil. eur.  </w:t>
      </w:r>
    </w:p>
    <w:p w:rsidR="00C72F49" w:rsidRPr="003E2A82" w:rsidRDefault="00C72F49" w:rsidP="003E2A82">
      <w:pPr>
        <w:ind w:firstLine="708"/>
        <w:jc w:val="both"/>
        <w:rPr>
          <w:rFonts w:ascii="Times New Roman" w:hAnsi="Times New Roman" w:cs="Times New Roman"/>
          <w:color w:val="000000"/>
        </w:rPr>
      </w:pPr>
    </w:p>
    <w:p w:rsidR="005D6D9E" w:rsidRDefault="003E2A82" w:rsidP="003E2A82">
      <w:pPr>
        <w:ind w:firstLine="708"/>
        <w:jc w:val="both"/>
        <w:rPr>
          <w:rFonts w:ascii="Times New Roman" w:hAnsi="Times New Roman" w:cs="Times New Roman"/>
          <w:color w:val="000000"/>
        </w:rPr>
      </w:pPr>
      <w:r w:rsidRPr="003E2A82">
        <w:rPr>
          <w:rFonts w:ascii="Times New Roman" w:hAnsi="Times New Roman" w:cs="Times New Roman"/>
          <w:color w:val="000000"/>
        </w:rPr>
        <w:t>Rozpočtové výdavky kapitoly Ministerstva obrany SR na rok 2018 v porovnaní so schváleným rozpočtom na rok 2017 rastú o 92,0 mil. eur, t. j. o 9,29 %.</w:t>
      </w:r>
    </w:p>
    <w:p w:rsidR="005D6D9E" w:rsidRDefault="005D6D9E" w:rsidP="003E2A82">
      <w:pPr>
        <w:ind w:firstLine="708"/>
        <w:jc w:val="both"/>
        <w:rPr>
          <w:rFonts w:ascii="Times New Roman" w:hAnsi="Times New Roman" w:cs="Times New Roman"/>
          <w:color w:val="000000"/>
        </w:rPr>
      </w:pPr>
    </w:p>
    <w:p w:rsidR="005D6D9E" w:rsidRPr="003E2A82" w:rsidRDefault="005D6D9E" w:rsidP="005D6D9E">
      <w:pPr>
        <w:ind w:firstLine="708"/>
        <w:jc w:val="both"/>
        <w:rPr>
          <w:rFonts w:ascii="Times New Roman" w:hAnsi="Times New Roman" w:cs="Times New Roman"/>
          <w:lang w:eastAsia="sk-SK"/>
        </w:rPr>
      </w:pPr>
      <w:r>
        <w:rPr>
          <w:rFonts w:ascii="Times New Roman" w:hAnsi="Times New Roman" w:cs="Times New Roman"/>
          <w:color w:val="000000"/>
        </w:rPr>
        <w:t xml:space="preserve">Vplyvom novelizácie zákonov o sociálnom poistení, o sociálnych službách, o peňažných príspevkoch </w:t>
      </w:r>
      <w:r w:rsidRPr="003E2A82">
        <w:rPr>
          <w:rFonts w:ascii="Times New Roman" w:hAnsi="Times New Roman" w:cs="Times New Roman"/>
          <w:lang w:eastAsia="sk-SK"/>
        </w:rPr>
        <w:t xml:space="preserve">na kompenzáciu ťažkého zdravotného postihnutia a zákona o službách zamestnanosti rastú výdavky Ministerstva práce sociálnych vecí a rodiny SR </w:t>
      </w:r>
      <w:r>
        <w:rPr>
          <w:rFonts w:ascii="Times New Roman" w:hAnsi="Times New Roman" w:cs="Times New Roman"/>
          <w:lang w:eastAsia="sk-SK"/>
        </w:rPr>
        <w:br/>
      </w:r>
      <w:r w:rsidRPr="003E2A82">
        <w:rPr>
          <w:rFonts w:ascii="Times New Roman" w:hAnsi="Times New Roman" w:cs="Times New Roman"/>
          <w:lang w:eastAsia="sk-SK"/>
        </w:rPr>
        <w:t xml:space="preserve">o 81,4 mil. eur. V rámci tejto kapitoly sú zabezpečené aj prostriedky na zvýšenie príspevku na opatrovanie v sume 18,2 mil. eur. </w:t>
      </w:r>
      <w:r w:rsidRPr="003E2A82">
        <w:rPr>
          <w:rFonts w:ascii="Times New Roman" w:hAnsi="Times New Roman" w:cs="Times New Roman"/>
        </w:rPr>
        <w:t xml:space="preserve">Medzi ďalšie opatrenia, ktoré rozpočet zohľadňuje, patria </w:t>
      </w:r>
      <w:r w:rsidRPr="003E2A82">
        <w:rPr>
          <w:rFonts w:ascii="Times New Roman" w:hAnsi="Times New Roman" w:cs="Times New Roman"/>
          <w:lang w:eastAsia="sk-SK"/>
        </w:rPr>
        <w:t>príspevok na dochádzanie za prácou, príspevok pri presťahovaní rodiny za prácou, zvýšenie príplatkov za prácu cez víkend a sviatok, či za prácu v noci.</w:t>
      </w:r>
    </w:p>
    <w:p w:rsidR="003E2A82" w:rsidRPr="00563D8D" w:rsidRDefault="005D6D9E" w:rsidP="003E2A82">
      <w:pPr>
        <w:ind w:firstLine="708"/>
        <w:jc w:val="both"/>
        <w:rPr>
          <w:rFonts w:ascii="Times New Roman" w:hAnsi="Times New Roman" w:cs="Times New Roman"/>
          <w:lang w:eastAsia="sk-SK"/>
        </w:rPr>
      </w:pPr>
      <w:r>
        <w:rPr>
          <w:rFonts w:ascii="Times New Roman" w:hAnsi="Times New Roman" w:cs="Times New Roman"/>
          <w:color w:val="000000"/>
        </w:rPr>
        <w:lastRenderedPageBreak/>
        <w:t xml:space="preserve"> </w:t>
      </w:r>
      <w:r w:rsidR="003E2A82" w:rsidRPr="003E2A82">
        <w:rPr>
          <w:rFonts w:ascii="Times New Roman" w:hAnsi="Times New Roman" w:cs="Times New Roman"/>
          <w:lang w:eastAsia="sk-SK"/>
        </w:rPr>
        <w:t>Rozpočet počíta aj so zavedením 13. a 14. platu, ako aj s oslobodením príjmov z dohôd dôchodcov. Nakoľko pri týchto opatreniach nie je ešte známa definitívna podoba legislatívy a teda vplyvy nie sú zohľadnené v septembrovej prognóze daňových a odvodových príjmov, sú</w:t>
      </w:r>
      <w:r w:rsidR="00563D8D">
        <w:rPr>
          <w:rFonts w:ascii="Times New Roman" w:hAnsi="Times New Roman" w:cs="Times New Roman"/>
          <w:lang w:eastAsia="sk-SK"/>
        </w:rPr>
        <w:t xml:space="preserve"> na krytie ich </w:t>
      </w:r>
      <w:r w:rsidR="00563D8D" w:rsidRPr="00563D8D">
        <w:rPr>
          <w:rFonts w:ascii="Times New Roman" w:hAnsi="Times New Roman" w:cs="Times New Roman"/>
          <w:lang w:eastAsia="sk-SK"/>
        </w:rPr>
        <w:t>vplyvu</w:t>
      </w:r>
      <w:r w:rsidR="003E2A82" w:rsidRPr="00563D8D">
        <w:rPr>
          <w:rFonts w:ascii="Times New Roman" w:hAnsi="Times New Roman" w:cs="Times New Roman"/>
          <w:lang w:eastAsia="sk-SK"/>
        </w:rPr>
        <w:t xml:space="preserve"> </w:t>
      </w:r>
      <w:r w:rsidR="00563D8D" w:rsidRPr="00563D8D">
        <w:rPr>
          <w:rFonts w:ascii="Times New Roman" w:hAnsi="Times New Roman" w:cs="Times New Roman"/>
          <w:lang w:eastAsia="sk-SK"/>
        </w:rPr>
        <w:t>zabezpečené finančné prostriedky</w:t>
      </w:r>
      <w:r w:rsidR="003E2A82" w:rsidRPr="00563D8D">
        <w:rPr>
          <w:rFonts w:ascii="Times New Roman" w:hAnsi="Times New Roman" w:cs="Times New Roman"/>
          <w:lang w:eastAsia="sk-SK"/>
        </w:rPr>
        <w:t xml:space="preserve"> v kapitole Všeobecná pokladničná správa </w:t>
      </w:r>
      <w:r w:rsidR="00563D8D" w:rsidRPr="00563D8D">
        <w:rPr>
          <w:rFonts w:ascii="Times New Roman" w:hAnsi="Times New Roman"/>
          <w:lang w:eastAsia="sk-SK"/>
        </w:rPr>
        <w:t xml:space="preserve">v rámci </w:t>
      </w:r>
      <w:r w:rsidR="00563D8D">
        <w:rPr>
          <w:rFonts w:ascii="Times New Roman" w:hAnsi="Times New Roman"/>
          <w:lang w:eastAsia="sk-SK"/>
        </w:rPr>
        <w:t>r</w:t>
      </w:r>
      <w:r w:rsidR="00563D8D" w:rsidRPr="00563D8D">
        <w:rPr>
          <w:rFonts w:ascii="Times New Roman" w:hAnsi="Times New Roman"/>
          <w:lang w:eastAsia="sk-SK"/>
        </w:rPr>
        <w:t>ezervy na riešenie vplyvov nových zákonných úprav a iných vplyvov</w:t>
      </w:r>
      <w:r w:rsidR="003E2A82" w:rsidRPr="00563D8D">
        <w:rPr>
          <w:rFonts w:ascii="Times New Roman" w:hAnsi="Times New Roman" w:cs="Times New Roman"/>
          <w:lang w:eastAsia="sk-SK"/>
        </w:rPr>
        <w:t>.</w:t>
      </w:r>
    </w:p>
    <w:p w:rsidR="003E2A82" w:rsidRPr="003E2A82" w:rsidRDefault="003E2A82" w:rsidP="003E2A82">
      <w:pPr>
        <w:ind w:firstLine="708"/>
        <w:jc w:val="both"/>
        <w:rPr>
          <w:rFonts w:ascii="Times New Roman" w:hAnsi="Times New Roman" w:cs="Times New Roman"/>
          <w:lang w:eastAsia="sk-SK"/>
        </w:rPr>
      </w:pPr>
    </w:p>
    <w:p w:rsidR="003E2A82" w:rsidRDefault="003E2A82" w:rsidP="003E2A82">
      <w:pPr>
        <w:ind w:firstLine="708"/>
        <w:jc w:val="both"/>
        <w:rPr>
          <w:rFonts w:ascii="Times New Roman" w:hAnsi="Times New Roman" w:cs="Times New Roman"/>
        </w:rPr>
      </w:pPr>
      <w:r w:rsidRPr="003E2A82">
        <w:rPr>
          <w:rFonts w:ascii="Times New Roman" w:hAnsi="Times New Roman" w:cs="Times New Roman"/>
        </w:rPr>
        <w:t xml:space="preserve">V kapitole Ministerstva školstva, vedy, výskumu a športu SR sú v rámci regionálneho školstva zvýšené prostriedky o 4 mil. eur na nákup a distribúciu učebníc a učebných textov a 8 mil. eur na nových asistentov učiteľa v počte 580 osôb. Okrem uvedeného sa zabezpečuje zvýšenie financovania projektov výskumu a vývoja prostredníctvom Agentúry na podporu výskumu a vývoja o sumu 12 mil. eur a poskytovania stimulov pre výskum a vývoj </w:t>
      </w:r>
      <w:r w:rsidR="005D6D9E">
        <w:rPr>
          <w:rFonts w:ascii="Times New Roman" w:hAnsi="Times New Roman" w:cs="Times New Roman"/>
        </w:rPr>
        <w:br/>
      </w:r>
      <w:r w:rsidRPr="003E2A82">
        <w:rPr>
          <w:rFonts w:ascii="Times New Roman" w:hAnsi="Times New Roman" w:cs="Times New Roman"/>
        </w:rPr>
        <w:t>o 13,5 mil. eur. V oblasti športu je premietnuté zvýšenie úrovne odvodu z prevádzkovania lotériových hier na 75 % a zabezpečenie financovania projektu Národného futbalové</w:t>
      </w:r>
      <w:r w:rsidR="006C767B">
        <w:rPr>
          <w:rFonts w:ascii="Times New Roman" w:hAnsi="Times New Roman" w:cs="Times New Roman"/>
        </w:rPr>
        <w:t>ho</w:t>
      </w:r>
      <w:r w:rsidRPr="003E2A82">
        <w:rPr>
          <w:rFonts w:ascii="Times New Roman" w:hAnsi="Times New Roman" w:cs="Times New Roman"/>
        </w:rPr>
        <w:t xml:space="preserve"> štadióna v sume 63,0 mil. eur.</w:t>
      </w:r>
    </w:p>
    <w:p w:rsidR="005D6D9E" w:rsidRPr="003E2A82" w:rsidRDefault="005D6D9E" w:rsidP="003E2A82">
      <w:pPr>
        <w:ind w:firstLine="708"/>
        <w:jc w:val="both"/>
        <w:rPr>
          <w:rFonts w:ascii="Times New Roman" w:hAnsi="Times New Roman" w:cs="Times New Roman"/>
        </w:rPr>
      </w:pPr>
    </w:p>
    <w:p w:rsidR="00D829BE" w:rsidRDefault="00D829BE" w:rsidP="00D829BE">
      <w:pPr>
        <w:ind w:firstLine="708"/>
        <w:jc w:val="both"/>
        <w:rPr>
          <w:rFonts w:ascii="Times New Roman" w:hAnsi="Times New Roman" w:cs="Times New Roman"/>
        </w:rPr>
      </w:pPr>
      <w:r>
        <w:rPr>
          <w:rFonts w:ascii="Times New Roman" w:hAnsi="Times New Roman" w:cs="Times New Roman"/>
        </w:rPr>
        <w:t xml:space="preserve">Na implementáciu rezortných politík </w:t>
      </w:r>
      <w:r w:rsidRPr="003E2A82">
        <w:rPr>
          <w:rFonts w:ascii="Times New Roman" w:hAnsi="Times New Roman" w:cs="Times New Roman"/>
        </w:rPr>
        <w:t xml:space="preserve">v oblasti  výstavby a modernizácie dopravnej infraštruktúry, podpory moderných a efektívnych spôsobov dopravy a zlepšovanie energetickej hospodárnosti budov sa v kapitole Ministerstva dopravy a výstavby SR zvyšujú zdroje </w:t>
      </w:r>
      <w:r>
        <w:rPr>
          <w:rFonts w:ascii="Times New Roman" w:hAnsi="Times New Roman" w:cs="Times New Roman"/>
        </w:rPr>
        <w:br/>
      </w:r>
      <w:r w:rsidRPr="003E2A82">
        <w:rPr>
          <w:rFonts w:ascii="Times New Roman" w:hAnsi="Times New Roman" w:cs="Times New Roman"/>
        </w:rPr>
        <w:t>o 92,8 mil. eur.</w:t>
      </w:r>
    </w:p>
    <w:p w:rsidR="005D6D9E" w:rsidRPr="003E2A82" w:rsidRDefault="00D829BE" w:rsidP="003E2A82">
      <w:pPr>
        <w:ind w:firstLine="708"/>
        <w:jc w:val="both"/>
        <w:rPr>
          <w:rFonts w:ascii="Times New Roman" w:hAnsi="Times New Roman" w:cs="Times New Roman"/>
        </w:rPr>
      </w:pPr>
      <w:r>
        <w:rPr>
          <w:rFonts w:ascii="Times New Roman" w:hAnsi="Times New Roman" w:cs="Times New Roman"/>
        </w:rPr>
        <w:t xml:space="preserve"> </w:t>
      </w:r>
    </w:p>
    <w:p w:rsidR="003E2A82" w:rsidRPr="003E2A82" w:rsidRDefault="003E2A82" w:rsidP="003E2A82">
      <w:pPr>
        <w:pStyle w:val="Normlnywebov"/>
        <w:spacing w:before="0" w:beforeAutospacing="0" w:after="0" w:afterAutospacing="0"/>
        <w:ind w:firstLine="709"/>
        <w:jc w:val="both"/>
        <w:rPr>
          <w:lang w:eastAsia="en-US"/>
        </w:rPr>
      </w:pPr>
      <w:r w:rsidRPr="003E2A82">
        <w:rPr>
          <w:lang w:eastAsia="en-US"/>
        </w:rPr>
        <w:t xml:space="preserve">Za účelom rekonštrukcie budov a  obnovy technického vybavenia nemocníc sa aj v roku 2018 rozpočtujú v kapitole Ministerstva zdravotníctva kapitálové výdavky na úrovni </w:t>
      </w:r>
      <w:r w:rsidR="006C767B">
        <w:rPr>
          <w:lang w:eastAsia="en-US"/>
        </w:rPr>
        <w:br/>
      </w:r>
      <w:r w:rsidRPr="003E2A82">
        <w:rPr>
          <w:lang w:eastAsia="en-US"/>
        </w:rPr>
        <w:t>70,0 mil. eur.</w:t>
      </w:r>
    </w:p>
    <w:p w:rsidR="003E2A82" w:rsidRPr="003E2A82" w:rsidRDefault="003E2A82" w:rsidP="003E2A82">
      <w:pPr>
        <w:pStyle w:val="Normlnywebov"/>
        <w:spacing w:before="0" w:beforeAutospacing="0" w:after="0" w:afterAutospacing="0"/>
        <w:ind w:firstLine="709"/>
        <w:jc w:val="both"/>
        <w:rPr>
          <w:lang w:eastAsia="en-US"/>
        </w:rPr>
      </w:pPr>
    </w:p>
    <w:p w:rsidR="005D6D9E" w:rsidRDefault="003E2A82" w:rsidP="003E2A82">
      <w:pPr>
        <w:ind w:firstLine="708"/>
        <w:jc w:val="both"/>
        <w:rPr>
          <w:rFonts w:ascii="Times New Roman" w:hAnsi="Times New Roman" w:cs="Times New Roman"/>
        </w:rPr>
      </w:pPr>
      <w:r w:rsidRPr="003E2A82">
        <w:rPr>
          <w:rFonts w:ascii="Times New Roman" w:hAnsi="Times New Roman" w:cs="Times New Roman"/>
        </w:rPr>
        <w:t>V kapitole Ministerstva hospodárstva SR sa na rok 2018 rozpočtujú výdavky na podporu regionálneho rozvoja – priemyselné parky v sume 5 mil. eur</w:t>
      </w:r>
      <w:r w:rsidR="005D6D9E">
        <w:rPr>
          <w:rFonts w:ascii="Times New Roman" w:hAnsi="Times New Roman" w:cs="Times New Roman"/>
        </w:rPr>
        <w:t>.</w:t>
      </w:r>
    </w:p>
    <w:p w:rsidR="003E2A82" w:rsidRPr="003E2A82" w:rsidRDefault="003E2A82" w:rsidP="003E2A82">
      <w:pPr>
        <w:ind w:firstLine="708"/>
        <w:jc w:val="both"/>
        <w:rPr>
          <w:rFonts w:ascii="Times New Roman" w:hAnsi="Times New Roman" w:cs="Times New Roman"/>
        </w:rPr>
      </w:pPr>
      <w:r w:rsidRPr="003E2A82">
        <w:rPr>
          <w:rFonts w:ascii="Times New Roman" w:hAnsi="Times New Roman" w:cs="Times New Roman"/>
        </w:rPr>
        <w:t xml:space="preserve"> </w:t>
      </w:r>
    </w:p>
    <w:p w:rsidR="003E2A82" w:rsidRPr="003E2A82" w:rsidRDefault="003E2A82" w:rsidP="005D6D9E">
      <w:pPr>
        <w:ind w:firstLine="708"/>
        <w:contextualSpacing/>
        <w:jc w:val="both"/>
        <w:rPr>
          <w:rFonts w:ascii="Times New Roman" w:hAnsi="Times New Roman" w:cs="Times New Roman"/>
        </w:rPr>
      </w:pPr>
      <w:r w:rsidRPr="003E2A82">
        <w:rPr>
          <w:rFonts w:ascii="Times New Roman" w:hAnsi="Times New Roman" w:cs="Times New Roman"/>
        </w:rPr>
        <w:t xml:space="preserve">Na zabezpečenie činnosti novozriadeného Fondu na podporu kultúry národnostných menšín sa v kapitole </w:t>
      </w:r>
      <w:r w:rsidR="005D6D9E">
        <w:rPr>
          <w:rFonts w:ascii="Times New Roman" w:hAnsi="Times New Roman" w:cs="Times New Roman"/>
        </w:rPr>
        <w:t>M</w:t>
      </w:r>
      <w:r w:rsidRPr="003E2A82">
        <w:rPr>
          <w:rFonts w:ascii="Times New Roman" w:hAnsi="Times New Roman" w:cs="Times New Roman"/>
        </w:rPr>
        <w:t xml:space="preserve">inisterstva kultúry SR rozpočtujú prostriedky v objeme 8 mil. eur. Zároveň sa zvyšuje podpora audiovizuálnej kultúry a audiovizuálneho priemyslu </w:t>
      </w:r>
      <w:r w:rsidR="005D6D9E">
        <w:rPr>
          <w:rFonts w:ascii="Times New Roman" w:hAnsi="Times New Roman" w:cs="Times New Roman"/>
        </w:rPr>
        <w:br/>
      </w:r>
      <w:r w:rsidRPr="003E2A82">
        <w:rPr>
          <w:rFonts w:ascii="Times New Roman" w:hAnsi="Times New Roman" w:cs="Times New Roman"/>
        </w:rPr>
        <w:t>o 2,71 mil. eur a zvyšuje sa transfer pre Fond na podporu umenia o 5 mil. eur.</w:t>
      </w:r>
      <w:r w:rsidR="005D6D9E">
        <w:rPr>
          <w:rFonts w:ascii="Times New Roman" w:hAnsi="Times New Roman" w:cs="Times New Roman"/>
        </w:rPr>
        <w:t xml:space="preserve"> </w:t>
      </w:r>
      <w:r w:rsidRPr="003E2A82">
        <w:rPr>
          <w:rFonts w:ascii="Times New Roman" w:hAnsi="Times New Roman" w:cs="Times New Roman"/>
        </w:rPr>
        <w:t>Nárast kapitálových výdavkov o 16,7 mil. eur súvisí s pokračovaním prác na rekonštrukcii a modernizácii Slovenskej národnej galérie, rekonštrukciou budovy Slovenskej národnej knižnice v Martine a</w:t>
      </w:r>
      <w:r w:rsidR="00B90EC4">
        <w:rPr>
          <w:rFonts w:ascii="Times New Roman" w:hAnsi="Times New Roman" w:cs="Times New Roman"/>
        </w:rPr>
        <w:t xml:space="preserve"> vybudovaním</w:t>
      </w:r>
      <w:r w:rsidRPr="003E2A82">
        <w:rPr>
          <w:rFonts w:ascii="Times New Roman" w:hAnsi="Times New Roman" w:cs="Times New Roman"/>
        </w:rPr>
        <w:t xml:space="preserve"> depozitára pre Slovenské národné múzeum.</w:t>
      </w:r>
    </w:p>
    <w:p w:rsidR="003E2A82" w:rsidRPr="003E2A82" w:rsidRDefault="003E2A82" w:rsidP="003E2A82">
      <w:pPr>
        <w:contextualSpacing/>
        <w:jc w:val="both"/>
        <w:rPr>
          <w:rFonts w:ascii="Times New Roman" w:hAnsi="Times New Roman" w:cs="Times New Roman"/>
        </w:rPr>
      </w:pPr>
    </w:p>
    <w:p w:rsidR="003E2A82" w:rsidRDefault="003E2A82" w:rsidP="003E2A82">
      <w:pPr>
        <w:ind w:firstLine="708"/>
        <w:jc w:val="both"/>
        <w:rPr>
          <w:rFonts w:ascii="Times New Roman" w:hAnsi="Times New Roman" w:cs="Times New Roman"/>
          <w:color w:val="000000"/>
        </w:rPr>
      </w:pPr>
      <w:r w:rsidRPr="003E2A82">
        <w:rPr>
          <w:rFonts w:ascii="Times New Roman" w:hAnsi="Times New Roman" w:cs="Times New Roman"/>
          <w:color w:val="000000"/>
        </w:rPr>
        <w:t>V rámci kapitoly Ministerstva zahraničných vecí</w:t>
      </w:r>
      <w:r w:rsidR="00B90EC4">
        <w:rPr>
          <w:rFonts w:ascii="Times New Roman" w:hAnsi="Times New Roman" w:cs="Times New Roman"/>
          <w:color w:val="000000"/>
        </w:rPr>
        <w:t xml:space="preserve"> a európskych záležitostí</w:t>
      </w:r>
      <w:r w:rsidRPr="003E2A82">
        <w:rPr>
          <w:rFonts w:ascii="Times New Roman" w:hAnsi="Times New Roman" w:cs="Times New Roman"/>
          <w:color w:val="000000"/>
        </w:rPr>
        <w:t xml:space="preserve"> SR sú zabezpečené výdavky súvisiace s prípravou na predsedníctvo SR v Organizácii pre bezpečnosť a spoluprácu v Európe v roku 2019.</w:t>
      </w:r>
    </w:p>
    <w:p w:rsidR="005D6D9E" w:rsidRPr="003E2A82" w:rsidRDefault="005D6D9E" w:rsidP="003E2A82">
      <w:pPr>
        <w:ind w:firstLine="708"/>
        <w:jc w:val="both"/>
        <w:rPr>
          <w:rFonts w:ascii="Times New Roman" w:hAnsi="Times New Roman" w:cs="Times New Roman"/>
          <w:color w:val="000000"/>
        </w:rPr>
      </w:pPr>
    </w:p>
    <w:p w:rsidR="003E2A82" w:rsidRPr="003E2A82" w:rsidRDefault="003E2A82" w:rsidP="003E2A82">
      <w:pPr>
        <w:ind w:firstLine="708"/>
        <w:jc w:val="both"/>
        <w:rPr>
          <w:rFonts w:ascii="Times New Roman" w:hAnsi="Times New Roman" w:cs="Times New Roman"/>
          <w:color w:val="000000"/>
        </w:rPr>
      </w:pPr>
      <w:r w:rsidRPr="003E2A82">
        <w:rPr>
          <w:rFonts w:ascii="Times New Roman" w:hAnsi="Times New Roman" w:cs="Times New Roman"/>
          <w:color w:val="000000"/>
        </w:rPr>
        <w:t xml:space="preserve">V kapitole Ministerstva spravodlivosti SR sa </w:t>
      </w:r>
      <w:r w:rsidRPr="005D111E">
        <w:rPr>
          <w:rFonts w:ascii="Times New Roman" w:hAnsi="Times New Roman" w:cs="Times New Roman"/>
          <w:color w:val="000000"/>
        </w:rPr>
        <w:t>po prvýkrát rozpočtuj</w:t>
      </w:r>
      <w:r w:rsidR="006527C0">
        <w:rPr>
          <w:rFonts w:ascii="Times New Roman" w:hAnsi="Times New Roman" w:cs="Times New Roman"/>
          <w:color w:val="000000"/>
        </w:rPr>
        <w:t>e</w:t>
      </w:r>
      <w:r w:rsidRPr="003E2A82">
        <w:rPr>
          <w:rFonts w:ascii="Times New Roman" w:hAnsi="Times New Roman" w:cs="Times New Roman"/>
          <w:color w:val="000000"/>
        </w:rPr>
        <w:t xml:space="preserve"> pr</w:t>
      </w:r>
      <w:r w:rsidR="006527C0">
        <w:rPr>
          <w:rFonts w:ascii="Times New Roman" w:hAnsi="Times New Roman" w:cs="Times New Roman"/>
          <w:color w:val="000000"/>
        </w:rPr>
        <w:t>íspevok</w:t>
      </w:r>
      <w:r w:rsidRPr="003E2A82">
        <w:rPr>
          <w:rFonts w:ascii="Times New Roman" w:hAnsi="Times New Roman" w:cs="Times New Roman"/>
          <w:color w:val="000000"/>
        </w:rPr>
        <w:t xml:space="preserve"> na bývanie pre príslušníkov Zboru väzenskej a justičnej stráže. </w:t>
      </w:r>
    </w:p>
    <w:p w:rsidR="003E2A82" w:rsidRPr="003E2A82" w:rsidRDefault="003E2A82" w:rsidP="0091758C">
      <w:pPr>
        <w:jc w:val="both"/>
        <w:rPr>
          <w:rFonts w:ascii="Times New Roman" w:hAnsi="Times New Roman" w:cs="Times New Roman"/>
        </w:rPr>
      </w:pPr>
      <w:r w:rsidRPr="003E2A82">
        <w:rPr>
          <w:rFonts w:ascii="Times New Roman" w:hAnsi="Times New Roman" w:cs="Times New Roman"/>
          <w:lang w:eastAsia="sk-SK"/>
        </w:rPr>
        <w:tab/>
      </w:r>
    </w:p>
    <w:p w:rsidR="0091758C" w:rsidRPr="0091758C" w:rsidRDefault="0091758C" w:rsidP="0091758C">
      <w:pPr>
        <w:ind w:firstLine="708"/>
        <w:jc w:val="both"/>
        <w:rPr>
          <w:rFonts w:ascii="Times New Roman" w:hAnsi="Times New Roman" w:cs="Times New Roman"/>
          <w:sz w:val="22"/>
          <w:szCs w:val="22"/>
          <w:lang w:eastAsia="sk-SK"/>
        </w:rPr>
      </w:pPr>
      <w:r w:rsidRPr="0091758C">
        <w:rPr>
          <w:rFonts w:ascii="Times New Roman" w:hAnsi="Times New Roman" w:cs="Times New Roman"/>
        </w:rPr>
        <w:t xml:space="preserve">V rámci kapitoly Všeobecná pokladničná správa </w:t>
      </w:r>
      <w:r w:rsidR="004E6862">
        <w:rPr>
          <w:rFonts w:ascii="Times New Roman" w:hAnsi="Times New Roman" w:cs="Times New Roman"/>
        </w:rPr>
        <w:t xml:space="preserve">je </w:t>
      </w:r>
      <w:r w:rsidRPr="0091758C">
        <w:rPr>
          <w:rFonts w:ascii="Times New Roman" w:hAnsi="Times New Roman" w:cs="Times New Roman"/>
        </w:rPr>
        <w:t>vytvorená aj rezerva na zhoršenie daňových a nedaňových príjmov v sume 1</w:t>
      </w:r>
      <w:r w:rsidR="00794C75">
        <w:rPr>
          <w:rFonts w:ascii="Times New Roman" w:hAnsi="Times New Roman" w:cs="Times New Roman"/>
        </w:rPr>
        <w:t>4</w:t>
      </w:r>
      <w:r w:rsidRPr="0091758C">
        <w:rPr>
          <w:rFonts w:ascii="Times New Roman" w:hAnsi="Times New Roman" w:cs="Times New Roman"/>
        </w:rPr>
        <w:t xml:space="preserve">0 mil. eur. </w:t>
      </w:r>
    </w:p>
    <w:p w:rsidR="00BE2A1B" w:rsidRDefault="00BE2A1B" w:rsidP="00165CC8">
      <w:pPr>
        <w:rPr>
          <w:rFonts w:ascii="Times New Roman" w:hAnsi="Times New Roman" w:cs="Times New Roman"/>
          <w:b/>
          <w:bCs/>
          <w:iCs/>
          <w:szCs w:val="28"/>
        </w:rPr>
      </w:pPr>
    </w:p>
    <w:p w:rsidR="00D829BE" w:rsidRDefault="00D829BE" w:rsidP="00165CC8">
      <w:pPr>
        <w:rPr>
          <w:rFonts w:ascii="Times New Roman" w:hAnsi="Times New Roman" w:cs="Times New Roman"/>
          <w:b/>
          <w:bCs/>
          <w:iCs/>
          <w:szCs w:val="28"/>
        </w:rPr>
      </w:pPr>
    </w:p>
    <w:p w:rsidR="00D829BE" w:rsidRDefault="00D829BE" w:rsidP="00165CC8">
      <w:pPr>
        <w:rPr>
          <w:rFonts w:ascii="Times New Roman" w:hAnsi="Times New Roman" w:cs="Times New Roman"/>
          <w:b/>
          <w:bCs/>
          <w:iCs/>
          <w:szCs w:val="28"/>
        </w:rPr>
      </w:pPr>
    </w:p>
    <w:p w:rsidR="00D829BE" w:rsidRDefault="00D829BE" w:rsidP="00165CC8">
      <w:pPr>
        <w:rPr>
          <w:rFonts w:ascii="Times New Roman" w:hAnsi="Times New Roman" w:cs="Times New Roman"/>
          <w:b/>
          <w:bCs/>
          <w:iCs/>
          <w:szCs w:val="28"/>
        </w:rPr>
      </w:pPr>
    </w:p>
    <w:p w:rsidR="00D829BE" w:rsidRDefault="00D829BE" w:rsidP="00165CC8">
      <w:pPr>
        <w:rPr>
          <w:rFonts w:ascii="Times New Roman" w:hAnsi="Times New Roman" w:cs="Times New Roman"/>
          <w:b/>
          <w:bCs/>
          <w:iCs/>
          <w:szCs w:val="28"/>
        </w:rPr>
      </w:pPr>
    </w:p>
    <w:p w:rsidR="009114C0" w:rsidRPr="00DA6562" w:rsidRDefault="009114C0" w:rsidP="009114C0">
      <w:pPr>
        <w:pStyle w:val="Nadpis2"/>
        <w:rPr>
          <w:rFonts w:ascii="Times New Roman" w:hAnsi="Times New Roman"/>
          <w:i w:val="0"/>
          <w:sz w:val="24"/>
        </w:rPr>
      </w:pPr>
      <w:bookmarkStart w:id="52" w:name="_Toc494463972"/>
      <w:r w:rsidRPr="00DA6562">
        <w:rPr>
          <w:rFonts w:ascii="Times New Roman" w:hAnsi="Times New Roman"/>
          <w:i w:val="0"/>
          <w:sz w:val="24"/>
        </w:rPr>
        <w:lastRenderedPageBreak/>
        <w:t>4.</w:t>
      </w:r>
      <w:r w:rsidR="00CA7502" w:rsidRPr="00DA6562">
        <w:rPr>
          <w:rFonts w:ascii="Times New Roman" w:hAnsi="Times New Roman"/>
          <w:i w:val="0"/>
          <w:sz w:val="24"/>
        </w:rPr>
        <w:t>2</w:t>
      </w:r>
      <w:r w:rsidRPr="00DA6562">
        <w:rPr>
          <w:rFonts w:ascii="Times New Roman" w:hAnsi="Times New Roman"/>
          <w:i w:val="0"/>
          <w:sz w:val="24"/>
        </w:rPr>
        <w:t>. Zamestnanosť vo verejnej správe</w:t>
      </w:r>
      <w:bookmarkEnd w:id="52"/>
    </w:p>
    <w:p w:rsidR="00D46FFD" w:rsidRDefault="00D46FFD" w:rsidP="00D46FFD">
      <w:pPr>
        <w:jc w:val="both"/>
        <w:rPr>
          <w:rFonts w:ascii="Times New Roman" w:hAnsi="Times New Roman"/>
        </w:rPr>
      </w:pPr>
    </w:p>
    <w:p w:rsidR="00B1578A" w:rsidRPr="00F234AA" w:rsidRDefault="00B1578A" w:rsidP="00B1578A">
      <w:pPr>
        <w:rPr>
          <w:rFonts w:ascii="Times New Roman" w:hAnsi="Times New Roman"/>
          <w:b/>
        </w:rPr>
      </w:pPr>
      <w:r w:rsidRPr="00F234AA">
        <w:rPr>
          <w:rFonts w:ascii="Times New Roman" w:hAnsi="Times New Roman"/>
          <w:b/>
        </w:rPr>
        <w:t>4.2.1.  Verejná správa</w:t>
      </w:r>
    </w:p>
    <w:p w:rsidR="00B1578A" w:rsidRPr="00F234AA" w:rsidRDefault="00B1578A" w:rsidP="00B1578A">
      <w:pPr>
        <w:ind w:firstLine="708"/>
        <w:jc w:val="both"/>
        <w:rPr>
          <w:rFonts w:ascii="Times New Roman" w:hAnsi="Times New Roman"/>
          <w:bCs/>
          <w:color w:val="FF0000"/>
          <w:szCs w:val="22"/>
        </w:rPr>
      </w:pPr>
    </w:p>
    <w:p w:rsidR="00B1578A" w:rsidRPr="00800561" w:rsidRDefault="00B1578A" w:rsidP="00B1578A">
      <w:pPr>
        <w:ind w:firstLine="708"/>
        <w:contextualSpacing/>
        <w:jc w:val="both"/>
        <w:rPr>
          <w:rFonts w:ascii="Times New Roman" w:hAnsi="Times New Roman"/>
          <w:bCs/>
          <w:szCs w:val="22"/>
        </w:rPr>
      </w:pPr>
      <w:r w:rsidRPr="00F234AA">
        <w:rPr>
          <w:rFonts w:ascii="Times New Roman" w:hAnsi="Times New Roman"/>
          <w:bCs/>
          <w:szCs w:val="22"/>
        </w:rPr>
        <w:t>Návrh rozpočtu osobných výdavkov na roky 2018 a</w:t>
      </w:r>
      <w:r>
        <w:rPr>
          <w:rFonts w:ascii="Times New Roman" w:hAnsi="Times New Roman"/>
          <w:bCs/>
          <w:szCs w:val="22"/>
        </w:rPr>
        <w:t> </w:t>
      </w:r>
      <w:r w:rsidRPr="00F234AA">
        <w:rPr>
          <w:rFonts w:ascii="Times New Roman" w:hAnsi="Times New Roman"/>
          <w:bCs/>
          <w:szCs w:val="22"/>
        </w:rPr>
        <w:t>2019</w:t>
      </w:r>
      <w:r>
        <w:rPr>
          <w:rFonts w:ascii="Times New Roman" w:hAnsi="Times New Roman"/>
          <w:bCs/>
          <w:szCs w:val="22"/>
        </w:rPr>
        <w:t xml:space="preserve"> </w:t>
      </w:r>
      <w:r w:rsidRPr="00F234AA">
        <w:rPr>
          <w:rFonts w:ascii="Times New Roman" w:hAnsi="Times New Roman"/>
          <w:bCs/>
          <w:szCs w:val="22"/>
        </w:rPr>
        <w:t>vychádza z úrovne osobných výdavkov</w:t>
      </w:r>
      <w:r>
        <w:rPr>
          <w:rFonts w:ascii="Times New Roman" w:hAnsi="Times New Roman"/>
          <w:bCs/>
          <w:szCs w:val="22"/>
        </w:rPr>
        <w:t xml:space="preserve"> </w:t>
      </w:r>
      <w:r w:rsidRPr="00F234AA">
        <w:rPr>
          <w:rFonts w:ascii="Times New Roman" w:hAnsi="Times New Roman"/>
          <w:bCs/>
          <w:szCs w:val="22"/>
        </w:rPr>
        <w:t>schvál</w:t>
      </w:r>
      <w:r>
        <w:rPr>
          <w:rFonts w:ascii="Times New Roman" w:hAnsi="Times New Roman"/>
          <w:bCs/>
          <w:szCs w:val="22"/>
        </w:rPr>
        <w:t xml:space="preserve">ených v </w:t>
      </w:r>
      <w:r w:rsidRPr="00F234AA">
        <w:rPr>
          <w:rFonts w:ascii="Times New Roman" w:hAnsi="Times New Roman"/>
          <w:bCs/>
          <w:szCs w:val="22"/>
        </w:rPr>
        <w:t>rozpočt</w:t>
      </w:r>
      <w:r>
        <w:rPr>
          <w:rFonts w:ascii="Times New Roman" w:hAnsi="Times New Roman"/>
          <w:bCs/>
          <w:szCs w:val="22"/>
        </w:rPr>
        <w:t>e</w:t>
      </w:r>
      <w:r w:rsidRPr="00F234AA">
        <w:rPr>
          <w:rFonts w:ascii="Times New Roman" w:hAnsi="Times New Roman"/>
          <w:bCs/>
          <w:szCs w:val="22"/>
        </w:rPr>
        <w:t xml:space="preserve"> verejnej správy na roky 2017 až 2019</w:t>
      </w:r>
      <w:r>
        <w:rPr>
          <w:rFonts w:ascii="Times New Roman" w:hAnsi="Times New Roman"/>
          <w:bCs/>
          <w:szCs w:val="22"/>
        </w:rPr>
        <w:t>. Rok 2020 je zostavený na úrovni roka 2019 a</w:t>
      </w:r>
      <w:r w:rsidR="003E50C7">
        <w:rPr>
          <w:rFonts w:ascii="Times New Roman" w:hAnsi="Times New Roman"/>
          <w:bCs/>
          <w:szCs w:val="22"/>
        </w:rPr>
        <w:t xml:space="preserve"> návrh rozpočtu </w:t>
      </w:r>
      <w:r>
        <w:rPr>
          <w:rFonts w:ascii="Times New Roman" w:hAnsi="Times New Roman"/>
          <w:bCs/>
          <w:szCs w:val="22"/>
        </w:rPr>
        <w:t xml:space="preserve">vo všetkých troch rokoch je aktualizovaný o zmeny a nové skutočnosti, ku ktorým patrí najmä </w:t>
      </w:r>
      <w:r w:rsidRPr="00800561">
        <w:rPr>
          <w:rFonts w:ascii="Times New Roman" w:hAnsi="Times New Roman"/>
          <w:bCs/>
          <w:szCs w:val="22"/>
        </w:rPr>
        <w:t>premietnutie valorizácie platov zamestnancov z roku 2017</w:t>
      </w:r>
      <w:r>
        <w:rPr>
          <w:rFonts w:ascii="Times New Roman" w:hAnsi="Times New Roman"/>
          <w:bCs/>
          <w:szCs w:val="22"/>
        </w:rPr>
        <w:t xml:space="preserve"> </w:t>
      </w:r>
      <w:r w:rsidRPr="00800561">
        <w:rPr>
          <w:rFonts w:ascii="Times New Roman" w:hAnsi="Times New Roman"/>
          <w:bCs/>
          <w:szCs w:val="22"/>
        </w:rPr>
        <w:t>pre učiteľov vysokých škôl, pedagogických zamestnancov a odborných zamestnancov na úrovni 6 %</w:t>
      </w:r>
      <w:r w:rsidR="003E50C7">
        <w:rPr>
          <w:rFonts w:ascii="Times New Roman" w:hAnsi="Times New Roman"/>
          <w:bCs/>
          <w:szCs w:val="22"/>
        </w:rPr>
        <w:t xml:space="preserve"> </w:t>
      </w:r>
      <w:r>
        <w:rPr>
          <w:rFonts w:ascii="Times New Roman" w:hAnsi="Times New Roman"/>
          <w:bCs/>
          <w:szCs w:val="22"/>
        </w:rPr>
        <w:t>od 1. septembra 2017 (</w:t>
      </w:r>
      <w:r w:rsidRPr="00800561">
        <w:rPr>
          <w:rFonts w:ascii="Times New Roman" w:hAnsi="Times New Roman"/>
          <w:bCs/>
          <w:szCs w:val="22"/>
        </w:rPr>
        <w:t>v celoročnom vyjadrení</w:t>
      </w:r>
      <w:r>
        <w:rPr>
          <w:rFonts w:ascii="Times New Roman" w:hAnsi="Times New Roman"/>
          <w:bCs/>
          <w:szCs w:val="22"/>
        </w:rPr>
        <w:t xml:space="preserve">) </w:t>
      </w:r>
      <w:r w:rsidRPr="00800561">
        <w:rPr>
          <w:rFonts w:ascii="Times New Roman" w:hAnsi="Times New Roman"/>
          <w:bCs/>
          <w:szCs w:val="22"/>
        </w:rPr>
        <w:t>a pre ostatných zamestnancov na úrovni 4 %</w:t>
      </w:r>
      <w:r>
        <w:rPr>
          <w:rFonts w:ascii="Times New Roman" w:hAnsi="Times New Roman"/>
          <w:bCs/>
          <w:szCs w:val="22"/>
        </w:rPr>
        <w:t xml:space="preserve"> od 1. januára 2017.</w:t>
      </w:r>
      <w:r w:rsidRPr="00800561">
        <w:rPr>
          <w:rFonts w:ascii="Times New Roman" w:hAnsi="Times New Roman"/>
          <w:bCs/>
          <w:szCs w:val="22"/>
        </w:rPr>
        <w:t xml:space="preserve"> </w:t>
      </w:r>
      <w:r>
        <w:rPr>
          <w:rFonts w:ascii="Times New Roman" w:hAnsi="Times New Roman"/>
          <w:bCs/>
          <w:szCs w:val="22"/>
        </w:rPr>
        <w:t xml:space="preserve">Súčasne je v oblasti zamestnanosti premietnutá </w:t>
      </w:r>
      <w:r w:rsidRPr="00800561">
        <w:rPr>
          <w:rFonts w:ascii="Times New Roman" w:hAnsi="Times New Roman"/>
          <w:bCs/>
          <w:szCs w:val="22"/>
        </w:rPr>
        <w:t xml:space="preserve">aktualizácia subjektov </w:t>
      </w:r>
      <w:r>
        <w:rPr>
          <w:rFonts w:ascii="Times New Roman" w:hAnsi="Times New Roman"/>
          <w:bCs/>
          <w:szCs w:val="22"/>
        </w:rPr>
        <w:t>verejnej správy.</w:t>
      </w:r>
    </w:p>
    <w:p w:rsidR="00B1578A" w:rsidRDefault="00B1578A" w:rsidP="00B1578A">
      <w:pPr>
        <w:contextualSpacing/>
        <w:jc w:val="both"/>
        <w:rPr>
          <w:rFonts w:ascii="Times New Roman" w:hAnsi="Times New Roman"/>
          <w:bCs/>
          <w:szCs w:val="22"/>
        </w:rPr>
      </w:pPr>
    </w:p>
    <w:p w:rsidR="00B1578A" w:rsidRPr="00C66E51" w:rsidRDefault="00B1578A" w:rsidP="00B1578A">
      <w:pPr>
        <w:ind w:firstLine="708"/>
        <w:contextualSpacing/>
        <w:jc w:val="both"/>
        <w:rPr>
          <w:rFonts w:ascii="Times New Roman" w:hAnsi="Times New Roman"/>
          <w:bCs/>
          <w:szCs w:val="22"/>
        </w:rPr>
      </w:pPr>
      <w:r>
        <w:rPr>
          <w:rFonts w:ascii="Times New Roman" w:hAnsi="Times New Roman"/>
          <w:bCs/>
          <w:szCs w:val="22"/>
        </w:rPr>
        <w:t xml:space="preserve">V súlade s Memorandom o úprave platových pomerov zamestnancov v štátnej službe a niektorých zamestnancov pri výkone práce vo verejnom záujme sú v návrhu rozpočtu v kapitole Všeobecná pokladničná správa pre zamestnancov financovaných zo štátneho rozpočtu (okrem pedagogických a odborných zamestnancov a učiteľov vysokých škôl) zabezpečené finančné prostriedky na zvýšenie platových taríf, resp. stupníc platových taríf </w:t>
      </w:r>
      <w:r w:rsidR="00B32958">
        <w:rPr>
          <w:rFonts w:ascii="Times New Roman" w:hAnsi="Times New Roman"/>
          <w:bCs/>
          <w:szCs w:val="22"/>
        </w:rPr>
        <w:br/>
      </w:r>
      <w:r>
        <w:rPr>
          <w:rFonts w:ascii="Times New Roman" w:hAnsi="Times New Roman"/>
          <w:bCs/>
          <w:szCs w:val="22"/>
        </w:rPr>
        <w:t xml:space="preserve">od 1. januára 2018 o 4 % a zvýšenie funkčných platov vo forme odmien o 2 % </w:t>
      </w:r>
      <w:r w:rsidR="00B32958">
        <w:rPr>
          <w:rFonts w:ascii="Times New Roman" w:hAnsi="Times New Roman"/>
          <w:bCs/>
          <w:szCs w:val="22"/>
        </w:rPr>
        <w:br/>
      </w:r>
      <w:r>
        <w:rPr>
          <w:rFonts w:ascii="Times New Roman" w:hAnsi="Times New Roman"/>
          <w:bCs/>
          <w:szCs w:val="22"/>
        </w:rPr>
        <w:t>od 1. septembra 2018 do 31. decembra 2018. Pre štátnych zamestnancov v služobnom pomere sa v súlade s osobitnými zákonmi a zákonom o štátnom rozpočte na rok 2018 rozpočtuje rast osobných výdavkov na úrovni 4 %.</w:t>
      </w:r>
    </w:p>
    <w:p w:rsidR="00B1578A" w:rsidRPr="00F90F73" w:rsidRDefault="00B1578A" w:rsidP="00B1578A">
      <w:pPr>
        <w:jc w:val="both"/>
        <w:rPr>
          <w:rFonts w:ascii="Times New Roman" w:hAnsi="Times New Roman"/>
          <w:bCs/>
          <w:szCs w:val="22"/>
          <w:highlight w:val="yellow"/>
        </w:rPr>
      </w:pPr>
    </w:p>
    <w:p w:rsidR="00B1578A" w:rsidRDefault="00B1578A" w:rsidP="00B1578A">
      <w:pPr>
        <w:ind w:firstLine="708"/>
        <w:jc w:val="both"/>
        <w:rPr>
          <w:rFonts w:ascii="Times New Roman" w:hAnsi="Times New Roman"/>
          <w:bCs/>
          <w:szCs w:val="22"/>
        </w:rPr>
      </w:pPr>
      <w:r>
        <w:rPr>
          <w:rFonts w:ascii="Times New Roman" w:hAnsi="Times New Roman"/>
          <w:bCs/>
          <w:szCs w:val="22"/>
        </w:rPr>
        <w:t>V</w:t>
      </w:r>
      <w:r w:rsidRPr="00F81AAE">
        <w:rPr>
          <w:rFonts w:ascii="Times New Roman" w:hAnsi="Times New Roman"/>
          <w:bCs/>
          <w:szCs w:val="22"/>
        </w:rPr>
        <w:t xml:space="preserve"> sektore verejnej správy </w:t>
      </w:r>
      <w:r>
        <w:rPr>
          <w:rFonts w:ascii="Times New Roman" w:hAnsi="Times New Roman"/>
          <w:bCs/>
          <w:szCs w:val="22"/>
        </w:rPr>
        <w:t xml:space="preserve">sa </w:t>
      </w:r>
      <w:r w:rsidRPr="00F81AAE">
        <w:rPr>
          <w:rFonts w:ascii="Times New Roman" w:hAnsi="Times New Roman"/>
          <w:bCs/>
          <w:szCs w:val="22"/>
        </w:rPr>
        <w:t xml:space="preserve">v roku 2018 oproti schválenému rozpočtu verejnej správy na rok 2017 </w:t>
      </w:r>
      <w:r>
        <w:rPr>
          <w:rFonts w:ascii="Times New Roman" w:hAnsi="Times New Roman"/>
          <w:bCs/>
          <w:szCs w:val="22"/>
        </w:rPr>
        <w:t>o</w:t>
      </w:r>
      <w:r w:rsidRPr="00F81AAE">
        <w:rPr>
          <w:rFonts w:ascii="Times New Roman" w:hAnsi="Times New Roman"/>
          <w:bCs/>
          <w:szCs w:val="22"/>
        </w:rPr>
        <w:t xml:space="preserve">čakáva </w:t>
      </w:r>
      <w:r>
        <w:rPr>
          <w:rFonts w:ascii="Times New Roman" w:hAnsi="Times New Roman"/>
          <w:bCs/>
          <w:szCs w:val="22"/>
        </w:rPr>
        <w:t xml:space="preserve">pokles </w:t>
      </w:r>
      <w:r w:rsidRPr="00F81AAE">
        <w:rPr>
          <w:rFonts w:ascii="Times New Roman" w:hAnsi="Times New Roman"/>
          <w:bCs/>
          <w:szCs w:val="22"/>
        </w:rPr>
        <w:t>zamestnanos</w:t>
      </w:r>
      <w:r>
        <w:rPr>
          <w:rFonts w:ascii="Times New Roman" w:hAnsi="Times New Roman"/>
          <w:bCs/>
          <w:szCs w:val="22"/>
        </w:rPr>
        <w:t xml:space="preserve">ti o </w:t>
      </w:r>
      <w:r w:rsidRPr="00567266">
        <w:rPr>
          <w:rFonts w:ascii="Times New Roman" w:hAnsi="Times New Roman"/>
          <w:bCs/>
          <w:szCs w:val="22"/>
        </w:rPr>
        <w:t>270 osôb.</w:t>
      </w:r>
      <w:r w:rsidRPr="00F81AAE">
        <w:rPr>
          <w:rFonts w:ascii="Times New Roman" w:hAnsi="Times New Roman"/>
          <w:bCs/>
          <w:szCs w:val="22"/>
        </w:rPr>
        <w:t xml:space="preserve"> </w:t>
      </w:r>
      <w:r>
        <w:rPr>
          <w:rFonts w:ascii="Times New Roman" w:hAnsi="Times New Roman"/>
          <w:bCs/>
          <w:szCs w:val="22"/>
        </w:rPr>
        <w:t>Na tomto salde sa medziročným znížením podieľajú najmä zamestnanci zdravotníckych zariadení územnej samosprávy v počte 1 965 osôb, zamestnanci regionálneho školstva územnej samosprávy v počte 600 osôb</w:t>
      </w:r>
      <w:r w:rsidRPr="00C97F5C">
        <w:rPr>
          <w:rFonts w:ascii="Times New Roman" w:hAnsi="Times New Roman"/>
          <w:bCs/>
          <w:color w:val="FF0000"/>
          <w:szCs w:val="22"/>
        </w:rPr>
        <w:t xml:space="preserve"> </w:t>
      </w:r>
      <w:r>
        <w:rPr>
          <w:rFonts w:ascii="Times New Roman" w:hAnsi="Times New Roman"/>
          <w:bCs/>
          <w:szCs w:val="22"/>
        </w:rPr>
        <w:t xml:space="preserve">a zamestnanci Železníc Slovenskej republiky v počte 300 osôb. Vychádzajúc zo skutočnosti za 1. polrok 2017 a z rozpisu počtu zamestnancov jednotlivými subjektami verejnej správy možno očakávať zvýšenie počtu ostatných zamestnancov územnej samosprávy o 225 osôb, štátnych zdravotníckych zariadení o 667 osôb, štátnych rozpočtových organizácií o </w:t>
      </w:r>
      <w:r w:rsidRPr="00567266">
        <w:rPr>
          <w:rFonts w:ascii="Times New Roman" w:hAnsi="Times New Roman"/>
          <w:bCs/>
          <w:szCs w:val="22"/>
        </w:rPr>
        <w:t>457 osôb,</w:t>
      </w:r>
      <w:r>
        <w:rPr>
          <w:rFonts w:ascii="Times New Roman" w:hAnsi="Times New Roman"/>
          <w:bCs/>
          <w:szCs w:val="22"/>
        </w:rPr>
        <w:t xml:space="preserve"> Národnej diaľničnej spoločnosti o 140 osôb, Železničnej spoločnosti Slovensko o 81 osôb a  Sociálnej poisťovne o 66 osôb. Súčasne medzi subjekty verejnej správy boli zaradené Jadrová a vyraďovacia spoločnosť s počtom 831 osôb a MH </w:t>
      </w:r>
      <w:proofErr w:type="spellStart"/>
      <w:r>
        <w:rPr>
          <w:rFonts w:ascii="Times New Roman" w:hAnsi="Times New Roman"/>
          <w:bCs/>
          <w:szCs w:val="22"/>
        </w:rPr>
        <w:t>Invest</w:t>
      </w:r>
      <w:proofErr w:type="spellEnd"/>
      <w:r>
        <w:rPr>
          <w:rFonts w:ascii="Times New Roman" w:hAnsi="Times New Roman"/>
          <w:bCs/>
          <w:szCs w:val="22"/>
        </w:rPr>
        <w:t xml:space="preserve"> II s počtom 23 osôb. </w:t>
      </w:r>
    </w:p>
    <w:p w:rsidR="00653A95" w:rsidRDefault="00653A95" w:rsidP="00B1578A">
      <w:pPr>
        <w:ind w:firstLine="708"/>
        <w:jc w:val="both"/>
        <w:rPr>
          <w:rFonts w:ascii="Times New Roman" w:hAnsi="Times New Roman"/>
          <w:bCs/>
          <w:szCs w:val="22"/>
        </w:rPr>
      </w:pPr>
    </w:p>
    <w:p w:rsidR="00B1578A" w:rsidRPr="00567266" w:rsidRDefault="00B1578A" w:rsidP="00B1578A">
      <w:pPr>
        <w:ind w:firstLine="708"/>
        <w:jc w:val="both"/>
        <w:rPr>
          <w:rFonts w:ascii="Times New Roman" w:hAnsi="Times New Roman"/>
          <w:bCs/>
          <w:szCs w:val="22"/>
        </w:rPr>
      </w:pPr>
      <w:r w:rsidRPr="00567266">
        <w:rPr>
          <w:rFonts w:ascii="Times New Roman" w:hAnsi="Times New Roman"/>
          <w:bCs/>
          <w:szCs w:val="22"/>
        </w:rPr>
        <w:t>Prehľad o vývoji počtu zamestnancov verejnej správy poskytuje tabuľka.</w:t>
      </w:r>
    </w:p>
    <w:p w:rsidR="00B1578A" w:rsidRDefault="00B1578A" w:rsidP="00B1578A">
      <w:pPr>
        <w:jc w:val="both"/>
        <w:rPr>
          <w:rFonts w:ascii="Times New Roman" w:hAnsi="Times New Roman"/>
          <w:bCs/>
          <w:szCs w:val="22"/>
          <w:highlight w:val="yellow"/>
        </w:rPr>
      </w:pPr>
    </w:p>
    <w:tbl>
      <w:tblPr>
        <w:tblW w:w="9080" w:type="dxa"/>
        <w:jc w:val="center"/>
        <w:tblCellMar>
          <w:left w:w="70" w:type="dxa"/>
          <w:right w:w="70" w:type="dxa"/>
        </w:tblCellMar>
        <w:tblLook w:val="04A0" w:firstRow="1" w:lastRow="0" w:firstColumn="1" w:lastColumn="0" w:noHBand="0" w:noVBand="1"/>
      </w:tblPr>
      <w:tblGrid>
        <w:gridCol w:w="961"/>
        <w:gridCol w:w="2720"/>
        <w:gridCol w:w="599"/>
        <w:gridCol w:w="800"/>
        <w:gridCol w:w="800"/>
        <w:gridCol w:w="800"/>
        <w:gridCol w:w="800"/>
        <w:gridCol w:w="800"/>
        <w:gridCol w:w="800"/>
      </w:tblGrid>
      <w:tr w:rsidR="00B1578A" w:rsidRPr="006C328F" w:rsidTr="00E55838">
        <w:trPr>
          <w:trHeight w:val="345"/>
          <w:jc w:val="center"/>
        </w:trPr>
        <w:tc>
          <w:tcPr>
            <w:tcW w:w="3681"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B1578A" w:rsidRPr="006C328F" w:rsidRDefault="00B1578A" w:rsidP="005C0638">
            <w:pPr>
              <w:rPr>
                <w:rFonts w:ascii="Times New Roman" w:hAnsi="Times New Roman"/>
                <w:b/>
                <w:bCs/>
                <w:sz w:val="14"/>
                <w:szCs w:val="14"/>
                <w:lang w:eastAsia="sk-SK"/>
              </w:rPr>
            </w:pPr>
            <w:r w:rsidRPr="006C328F">
              <w:rPr>
                <w:rFonts w:ascii="Times New Roman" w:hAnsi="Times New Roman"/>
                <w:b/>
                <w:bCs/>
                <w:sz w:val="14"/>
                <w:szCs w:val="14"/>
                <w:lang w:eastAsia="sk-SK"/>
              </w:rPr>
              <w:t>Subjekty verejnej správy</w:t>
            </w:r>
          </w:p>
        </w:tc>
        <w:tc>
          <w:tcPr>
            <w:tcW w:w="599"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2015 S</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2016 S</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2017 R</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2017 OS</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2018 N</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2019 N</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2020 N</w:t>
            </w:r>
          </w:p>
        </w:tc>
      </w:tr>
      <w:tr w:rsidR="00B1578A" w:rsidRPr="006C328F" w:rsidTr="00E55838">
        <w:trPr>
          <w:trHeight w:val="330"/>
          <w:jc w:val="center"/>
        </w:trPr>
        <w:tc>
          <w:tcPr>
            <w:tcW w:w="3681"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1578A" w:rsidRPr="006C328F" w:rsidRDefault="00B1578A" w:rsidP="005C0638">
            <w:pP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 xml:space="preserve">SPOLU   </w:t>
            </w:r>
            <w:r w:rsidRPr="006C328F">
              <w:rPr>
                <w:rFonts w:ascii="Times New Roman" w:hAnsi="Times New Roman"/>
                <w:color w:val="000000"/>
                <w:sz w:val="14"/>
                <w:szCs w:val="14"/>
                <w:lang w:eastAsia="sk-SK"/>
              </w:rPr>
              <w:t>(osoby)</w:t>
            </w:r>
          </w:p>
        </w:tc>
        <w:tc>
          <w:tcPr>
            <w:tcW w:w="599"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404 591</w:t>
            </w:r>
          </w:p>
        </w:tc>
        <w:tc>
          <w:tcPr>
            <w:tcW w:w="80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411 365</w:t>
            </w:r>
          </w:p>
        </w:tc>
        <w:tc>
          <w:tcPr>
            <w:tcW w:w="80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419 547</w:t>
            </w:r>
          </w:p>
        </w:tc>
        <w:tc>
          <w:tcPr>
            <w:tcW w:w="80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413 225</w:t>
            </w:r>
          </w:p>
        </w:tc>
        <w:tc>
          <w:tcPr>
            <w:tcW w:w="80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419 277</w:t>
            </w:r>
          </w:p>
        </w:tc>
        <w:tc>
          <w:tcPr>
            <w:tcW w:w="80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419 258</w:t>
            </w:r>
          </w:p>
        </w:tc>
        <w:tc>
          <w:tcPr>
            <w:tcW w:w="80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419 284</w:t>
            </w:r>
          </w:p>
        </w:tc>
      </w:tr>
      <w:tr w:rsidR="00B1578A" w:rsidRPr="006C328F" w:rsidTr="00E55838">
        <w:trPr>
          <w:trHeight w:val="285"/>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 xml:space="preserve">A/  Ústredná správa spolu </w:t>
            </w:r>
            <w:r w:rsidRPr="006C328F">
              <w:rPr>
                <w:rFonts w:ascii="Times New Roman" w:hAnsi="Times New Roman"/>
                <w:color w:val="000000"/>
                <w:sz w:val="14"/>
                <w:szCs w:val="14"/>
                <w:lang w:eastAsia="sk-SK"/>
              </w:rPr>
              <w:t>(bez SIS)</w:t>
            </w:r>
          </w:p>
        </w:tc>
        <w:tc>
          <w:tcPr>
            <w:tcW w:w="599"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210 905</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216 520</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222 555</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218 441</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224 525</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224 474</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224 500</w:t>
            </w:r>
          </w:p>
        </w:tc>
      </w:tr>
      <w:tr w:rsidR="00B1578A" w:rsidRPr="006C328F" w:rsidTr="00E55838">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B1578A" w:rsidRPr="006C328F" w:rsidRDefault="00B1578A" w:rsidP="005C0638">
            <w:pPr>
              <w:ind w:firstLineChars="100" w:firstLine="140"/>
              <w:rPr>
                <w:rFonts w:ascii="Times New Roman" w:hAnsi="Times New Roman"/>
                <w:color w:val="000000"/>
                <w:sz w:val="14"/>
                <w:szCs w:val="14"/>
                <w:lang w:eastAsia="sk-SK"/>
              </w:rPr>
            </w:pPr>
            <w:r w:rsidRPr="006C328F">
              <w:rPr>
                <w:rFonts w:ascii="Times New Roman" w:hAnsi="Times New Roman"/>
                <w:color w:val="000000"/>
                <w:sz w:val="14"/>
                <w:szCs w:val="14"/>
                <w:lang w:eastAsia="sk-SK"/>
              </w:rPr>
              <w:t>z toho:</w:t>
            </w:r>
          </w:p>
        </w:tc>
        <w:tc>
          <w:tcPr>
            <w:tcW w:w="272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color w:val="000000"/>
                <w:sz w:val="14"/>
                <w:szCs w:val="14"/>
                <w:lang w:eastAsia="sk-SK"/>
              </w:rPr>
            </w:pPr>
            <w:r w:rsidRPr="006C328F">
              <w:rPr>
                <w:rFonts w:ascii="Times New Roman" w:hAnsi="Times New Roman"/>
                <w:color w:val="000000"/>
                <w:sz w:val="14"/>
                <w:szCs w:val="14"/>
                <w:lang w:eastAsia="sk-SK"/>
              </w:rPr>
              <w:t>štátne rozpočtové organizácie</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124 198</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123 152</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128 523</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123 202</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128 980</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128 988</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128 961</w:t>
            </w:r>
          </w:p>
        </w:tc>
      </w:tr>
      <w:tr w:rsidR="00B1578A" w:rsidRPr="006C328F" w:rsidTr="00E55838">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272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štátne príspevkové organizácie</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10 713</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11 166</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10 957</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11 519</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10 999</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10 999</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10 999</w:t>
            </w:r>
          </w:p>
        </w:tc>
      </w:tr>
      <w:tr w:rsidR="00B1578A" w:rsidRPr="006C328F" w:rsidTr="00E55838">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272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štátne účelové fondy spolu</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113</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119</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124</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133</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134</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134</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134</w:t>
            </w:r>
          </w:p>
        </w:tc>
      </w:tr>
      <w:tr w:rsidR="00B1578A" w:rsidRPr="006C328F" w:rsidTr="00E55838">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272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Slovenský pozemkový fond</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259</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260</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282</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260</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295</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295</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295</w:t>
            </w:r>
          </w:p>
        </w:tc>
      </w:tr>
      <w:tr w:rsidR="00B1578A" w:rsidRPr="006C328F" w:rsidTr="00E55838">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272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verejné vysoké školy</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21 365</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20 882</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21 529</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20 760</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21 529</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21 529</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21 529</w:t>
            </w:r>
          </w:p>
        </w:tc>
      </w:tr>
      <w:tr w:rsidR="00B1578A" w:rsidRPr="006C328F" w:rsidTr="00E55838">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272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ďalšie subjekty spolu</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54 257</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60 941</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61 140</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62 567</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62 588</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62 529</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62 582</w:t>
            </w:r>
          </w:p>
        </w:tc>
      </w:tr>
      <w:tr w:rsidR="00B1578A" w:rsidRPr="006C328F" w:rsidTr="00E55838">
        <w:trPr>
          <w:trHeight w:val="285"/>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b/>
                <w:bCs/>
                <w:sz w:val="14"/>
                <w:szCs w:val="14"/>
                <w:lang w:eastAsia="sk-SK"/>
              </w:rPr>
            </w:pPr>
            <w:r w:rsidRPr="006C328F">
              <w:rPr>
                <w:rFonts w:ascii="Times New Roman" w:hAnsi="Times New Roman"/>
                <w:b/>
                <w:bCs/>
                <w:sz w:val="14"/>
                <w:szCs w:val="14"/>
                <w:lang w:eastAsia="sk-SK"/>
              </w:rPr>
              <w:t xml:space="preserve">B/  Územná samospráva spolu </w:t>
            </w:r>
            <w:r w:rsidRPr="006C328F">
              <w:rPr>
                <w:rFonts w:ascii="Times New Roman" w:hAnsi="Times New Roman"/>
                <w:sz w:val="14"/>
                <w:szCs w:val="14"/>
                <w:lang w:eastAsia="sk-SK"/>
              </w:rPr>
              <w:t>(vr.</w:t>
            </w:r>
            <w:r w:rsidR="00E55838">
              <w:rPr>
                <w:rFonts w:ascii="Times New Roman" w:hAnsi="Times New Roman"/>
                <w:sz w:val="14"/>
                <w:szCs w:val="14"/>
                <w:lang w:eastAsia="sk-SK"/>
              </w:rPr>
              <w:t xml:space="preserve"> </w:t>
            </w:r>
            <w:r w:rsidRPr="006C328F">
              <w:rPr>
                <w:rFonts w:ascii="Times New Roman" w:hAnsi="Times New Roman"/>
                <w:sz w:val="14"/>
                <w:szCs w:val="14"/>
                <w:lang w:eastAsia="sk-SK"/>
              </w:rPr>
              <w:t>zdrav. zar</w:t>
            </w:r>
            <w:r>
              <w:rPr>
                <w:rFonts w:ascii="Times New Roman" w:hAnsi="Times New Roman"/>
                <w:sz w:val="14"/>
                <w:szCs w:val="14"/>
                <w:lang w:eastAsia="sk-SK"/>
              </w:rPr>
              <w:t>iadení</w:t>
            </w:r>
            <w:r w:rsidRPr="006C328F">
              <w:rPr>
                <w:rFonts w:ascii="Times New Roman" w:hAnsi="Times New Roman"/>
                <w:sz w:val="14"/>
                <w:szCs w:val="14"/>
                <w:lang w:eastAsia="sk-SK"/>
              </w:rPr>
              <w:t>. a DP)</w:t>
            </w:r>
          </w:p>
        </w:tc>
        <w:tc>
          <w:tcPr>
            <w:tcW w:w="599"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186 513</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187 695</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189 776</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187 450</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187 450</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187 450</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187 450</w:t>
            </w:r>
          </w:p>
        </w:tc>
      </w:tr>
      <w:tr w:rsidR="00B1578A" w:rsidRPr="006C328F" w:rsidTr="00E55838">
        <w:trPr>
          <w:trHeight w:val="285"/>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b/>
                <w:bCs/>
                <w:sz w:val="14"/>
                <w:szCs w:val="14"/>
                <w:lang w:eastAsia="sk-SK"/>
              </w:rPr>
            </w:pPr>
            <w:r w:rsidRPr="006C328F">
              <w:rPr>
                <w:rFonts w:ascii="Times New Roman" w:hAnsi="Times New Roman"/>
                <w:b/>
                <w:bCs/>
                <w:sz w:val="14"/>
                <w:szCs w:val="14"/>
                <w:lang w:eastAsia="sk-SK"/>
              </w:rPr>
              <w:t>C/  Fondy sociálneho a zdravotného poistenia spolu</w:t>
            </w:r>
          </w:p>
        </w:tc>
        <w:tc>
          <w:tcPr>
            <w:tcW w:w="599"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7 173</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7 150</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7 216</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7 334</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7 302</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7 334</w:t>
            </w:r>
          </w:p>
        </w:tc>
        <w:tc>
          <w:tcPr>
            <w:tcW w:w="80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7 334</w:t>
            </w:r>
          </w:p>
        </w:tc>
      </w:tr>
      <w:tr w:rsidR="00B1578A" w:rsidRPr="006C328F" w:rsidTr="00653A95">
        <w:trPr>
          <w:trHeight w:val="411"/>
          <w:jc w:val="center"/>
        </w:trPr>
        <w:tc>
          <w:tcPr>
            <w:tcW w:w="9080" w:type="dxa"/>
            <w:gridSpan w:val="9"/>
            <w:tcBorders>
              <w:top w:val="single" w:sz="4" w:space="0" w:color="auto"/>
              <w:left w:val="nil"/>
              <w:bottom w:val="nil"/>
              <w:right w:val="nil"/>
            </w:tcBorders>
            <w:shd w:val="clear" w:color="auto" w:fill="auto"/>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xml:space="preserve">OS 2017 v prevažnej miere zohľadňuje  údaje zo štatistiky za I. polrok 2017; </w:t>
            </w:r>
            <w:r w:rsidRPr="006C328F">
              <w:rPr>
                <w:rFonts w:ascii="Times New Roman" w:hAnsi="Times New Roman"/>
                <w:sz w:val="14"/>
                <w:szCs w:val="14"/>
                <w:lang w:eastAsia="sk-SK"/>
              </w:rPr>
              <w:br/>
              <w:t>Návrh počtu zamestnancov na roky 2018 až 2020 za územnú samosprávu vychádza z dosiahnutej skutočnosti za 1. polrok 2017.</w:t>
            </w:r>
          </w:p>
        </w:tc>
      </w:tr>
    </w:tbl>
    <w:p w:rsidR="00B1578A" w:rsidRPr="00F90F73" w:rsidRDefault="00B1578A" w:rsidP="00B1578A">
      <w:pPr>
        <w:jc w:val="both"/>
        <w:rPr>
          <w:rFonts w:ascii="Times New Roman" w:hAnsi="Times New Roman"/>
          <w:bCs/>
          <w:szCs w:val="22"/>
          <w:highlight w:val="yellow"/>
        </w:rPr>
      </w:pPr>
    </w:p>
    <w:p w:rsidR="00B1578A" w:rsidRDefault="00B1578A" w:rsidP="00B1578A">
      <w:pPr>
        <w:ind w:firstLine="708"/>
        <w:jc w:val="both"/>
        <w:rPr>
          <w:rFonts w:ascii="Times New Roman" w:hAnsi="Times New Roman"/>
          <w:bCs/>
          <w:szCs w:val="22"/>
        </w:rPr>
      </w:pPr>
      <w:r>
        <w:rPr>
          <w:rFonts w:ascii="Times New Roman" w:hAnsi="Times New Roman"/>
          <w:bCs/>
          <w:szCs w:val="22"/>
        </w:rPr>
        <w:t>V roku 2018 je z</w:t>
      </w:r>
      <w:r w:rsidRPr="00A04E0B">
        <w:rPr>
          <w:rFonts w:ascii="Times New Roman" w:hAnsi="Times New Roman"/>
          <w:bCs/>
          <w:szCs w:val="22"/>
        </w:rPr>
        <w:t xml:space="preserve"> hľadiska financovania </w:t>
      </w:r>
      <w:r>
        <w:rPr>
          <w:rFonts w:ascii="Times New Roman" w:hAnsi="Times New Roman"/>
          <w:bCs/>
          <w:szCs w:val="22"/>
        </w:rPr>
        <w:t xml:space="preserve">zamestnanosti </w:t>
      </w:r>
      <w:r w:rsidRPr="00567266">
        <w:rPr>
          <w:rFonts w:ascii="Times New Roman" w:hAnsi="Times New Roman"/>
          <w:bCs/>
          <w:szCs w:val="22"/>
        </w:rPr>
        <w:t>53,5 %</w:t>
      </w:r>
      <w:r>
        <w:rPr>
          <w:rFonts w:ascii="Times New Roman" w:hAnsi="Times New Roman"/>
          <w:bCs/>
          <w:szCs w:val="22"/>
        </w:rPr>
        <w:t xml:space="preserve"> zamestnancov napojených na štátny rozpočet</w:t>
      </w:r>
      <w:r w:rsidRPr="00567266">
        <w:rPr>
          <w:rFonts w:ascii="Times New Roman" w:hAnsi="Times New Roman"/>
          <w:bCs/>
          <w:szCs w:val="22"/>
        </w:rPr>
        <w:t>. Prehľad</w:t>
      </w:r>
      <w:r w:rsidRPr="00A04E0B">
        <w:rPr>
          <w:rFonts w:ascii="Times New Roman" w:hAnsi="Times New Roman"/>
          <w:bCs/>
          <w:szCs w:val="22"/>
        </w:rPr>
        <w:t xml:space="preserve"> o nich poskytuje tabuľka. </w:t>
      </w:r>
    </w:p>
    <w:p w:rsidR="00B1578A" w:rsidRDefault="00B1578A" w:rsidP="00B1578A">
      <w:pPr>
        <w:ind w:firstLine="708"/>
        <w:jc w:val="both"/>
        <w:rPr>
          <w:rFonts w:ascii="Times New Roman" w:hAnsi="Times New Roman"/>
          <w:bCs/>
          <w:szCs w:val="22"/>
        </w:rPr>
      </w:pPr>
    </w:p>
    <w:tbl>
      <w:tblPr>
        <w:tblW w:w="9127" w:type="dxa"/>
        <w:jc w:val="center"/>
        <w:tblCellMar>
          <w:left w:w="70" w:type="dxa"/>
          <w:right w:w="70" w:type="dxa"/>
        </w:tblCellMar>
        <w:tblLook w:val="04A0" w:firstRow="1" w:lastRow="0" w:firstColumn="1" w:lastColumn="0" w:noHBand="0" w:noVBand="1"/>
      </w:tblPr>
      <w:tblGrid>
        <w:gridCol w:w="3387"/>
        <w:gridCol w:w="820"/>
        <w:gridCol w:w="820"/>
        <w:gridCol w:w="820"/>
        <w:gridCol w:w="820"/>
        <w:gridCol w:w="820"/>
        <w:gridCol w:w="820"/>
        <w:gridCol w:w="820"/>
      </w:tblGrid>
      <w:tr w:rsidR="00B1578A" w:rsidRPr="006C328F" w:rsidTr="00C10BC3">
        <w:trPr>
          <w:trHeight w:val="330"/>
          <w:jc w:val="center"/>
        </w:trPr>
        <w:tc>
          <w:tcPr>
            <w:tcW w:w="3387"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B1578A" w:rsidRPr="006C328F" w:rsidRDefault="00B1578A" w:rsidP="005C0638">
            <w:pP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Subjekty verejnej správy podľa zdroja financovania</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2017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2017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2020 N</w:t>
            </w:r>
          </w:p>
        </w:tc>
      </w:tr>
      <w:tr w:rsidR="00B1578A" w:rsidRPr="006C328F" w:rsidTr="00C10BC3">
        <w:trPr>
          <w:trHeight w:val="330"/>
          <w:jc w:val="center"/>
        </w:trPr>
        <w:tc>
          <w:tcPr>
            <w:tcW w:w="3387" w:type="dxa"/>
            <w:tcBorders>
              <w:top w:val="nil"/>
              <w:left w:val="single" w:sz="4" w:space="0" w:color="auto"/>
              <w:bottom w:val="single" w:sz="4" w:space="0" w:color="auto"/>
              <w:right w:val="single" w:sz="4" w:space="0" w:color="auto"/>
            </w:tcBorders>
            <w:shd w:val="clear" w:color="000000" w:fill="BFBFBF"/>
            <w:noWrap/>
            <w:vAlign w:val="center"/>
            <w:hideMark/>
          </w:tcPr>
          <w:p w:rsidR="00B1578A" w:rsidRPr="006C328F" w:rsidRDefault="00B1578A" w:rsidP="005C0638">
            <w:pP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 xml:space="preserve">SPOLU   </w:t>
            </w:r>
            <w:r w:rsidRPr="006C328F">
              <w:rPr>
                <w:rFonts w:ascii="Times New Roman" w:hAnsi="Times New Roman"/>
                <w:color w:val="000000"/>
                <w:sz w:val="14"/>
                <w:szCs w:val="14"/>
                <w:lang w:eastAsia="sk-SK"/>
              </w:rPr>
              <w:t>(osoby)</w:t>
            </w:r>
          </w:p>
        </w:tc>
        <w:tc>
          <w:tcPr>
            <w:tcW w:w="82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404 591</w:t>
            </w:r>
          </w:p>
        </w:tc>
        <w:tc>
          <w:tcPr>
            <w:tcW w:w="82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411 365</w:t>
            </w:r>
          </w:p>
        </w:tc>
        <w:tc>
          <w:tcPr>
            <w:tcW w:w="82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419 547</w:t>
            </w:r>
          </w:p>
        </w:tc>
        <w:tc>
          <w:tcPr>
            <w:tcW w:w="82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413 225</w:t>
            </w:r>
          </w:p>
        </w:tc>
        <w:tc>
          <w:tcPr>
            <w:tcW w:w="82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419 277</w:t>
            </w:r>
          </w:p>
        </w:tc>
        <w:tc>
          <w:tcPr>
            <w:tcW w:w="82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419 258</w:t>
            </w:r>
          </w:p>
        </w:tc>
        <w:tc>
          <w:tcPr>
            <w:tcW w:w="82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419 284</w:t>
            </w:r>
          </w:p>
        </w:tc>
      </w:tr>
      <w:tr w:rsidR="00B1578A" w:rsidRPr="006C328F" w:rsidTr="00C10BC3">
        <w:trPr>
          <w:trHeight w:val="285"/>
          <w:jc w:val="center"/>
        </w:trPr>
        <w:tc>
          <w:tcPr>
            <w:tcW w:w="3387"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color w:val="000000"/>
                <w:sz w:val="14"/>
                <w:szCs w:val="14"/>
                <w:lang w:eastAsia="sk-SK"/>
              </w:rPr>
            </w:pPr>
            <w:r w:rsidRPr="006C328F">
              <w:rPr>
                <w:rFonts w:ascii="Times New Roman" w:hAnsi="Times New Roman"/>
                <w:color w:val="000000"/>
                <w:sz w:val="14"/>
                <w:szCs w:val="14"/>
                <w:lang w:eastAsia="sk-SK"/>
              </w:rPr>
              <w:t>1) Štátny rozpočet</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219 959</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217 857</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224 257</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218 308</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224 429</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224 437</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224 410</w:t>
            </w:r>
          </w:p>
        </w:tc>
      </w:tr>
      <w:tr w:rsidR="00B1578A" w:rsidRPr="006C328F" w:rsidTr="00C10BC3">
        <w:trPr>
          <w:trHeight w:val="285"/>
          <w:jc w:val="center"/>
        </w:trPr>
        <w:tc>
          <w:tcPr>
            <w:tcW w:w="3387"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color w:val="000000"/>
                <w:sz w:val="14"/>
                <w:szCs w:val="14"/>
                <w:lang w:eastAsia="sk-SK"/>
              </w:rPr>
            </w:pPr>
            <w:r w:rsidRPr="006C328F">
              <w:rPr>
                <w:rFonts w:ascii="Times New Roman" w:hAnsi="Times New Roman"/>
                <w:color w:val="000000"/>
                <w:sz w:val="14"/>
                <w:szCs w:val="14"/>
                <w:lang w:eastAsia="sk-SK"/>
              </w:rPr>
              <w:t>2) Územná samospráva bez regionálneho školstva</w:t>
            </w:r>
            <w:r w:rsidR="00C10BC3">
              <w:rPr>
                <w:rFonts w:ascii="Times New Roman" w:hAnsi="Times New Roman"/>
                <w:color w:val="000000"/>
                <w:sz w:val="14"/>
                <w:szCs w:val="14"/>
                <w:lang w:eastAsia="sk-SK"/>
              </w:rPr>
              <w:t xml:space="preserve"> zo ŠR</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122 830</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125 038</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126 528</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124 623</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124 529</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124 529</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124 529</w:t>
            </w:r>
          </w:p>
        </w:tc>
      </w:tr>
      <w:tr w:rsidR="00B1578A" w:rsidRPr="006C328F" w:rsidTr="00C10BC3">
        <w:trPr>
          <w:trHeight w:val="285"/>
          <w:jc w:val="center"/>
        </w:trPr>
        <w:tc>
          <w:tcPr>
            <w:tcW w:w="3387"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color w:val="000000"/>
                <w:sz w:val="14"/>
                <w:szCs w:val="14"/>
                <w:lang w:eastAsia="sk-SK"/>
              </w:rPr>
            </w:pPr>
            <w:r w:rsidRPr="006C328F">
              <w:rPr>
                <w:rFonts w:ascii="Times New Roman" w:hAnsi="Times New Roman"/>
                <w:color w:val="000000"/>
                <w:sz w:val="14"/>
                <w:szCs w:val="14"/>
                <w:lang w:eastAsia="sk-SK"/>
              </w:rPr>
              <w:t>3) Fondy sociálneho a zdravotného poistenia spolu</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7 173</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7 150</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7 216</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7 334</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7 302</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7 334</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7 334</w:t>
            </w:r>
          </w:p>
        </w:tc>
      </w:tr>
      <w:tr w:rsidR="00B1578A" w:rsidRPr="006C328F" w:rsidTr="00C10BC3">
        <w:trPr>
          <w:trHeight w:val="285"/>
          <w:jc w:val="center"/>
        </w:trPr>
        <w:tc>
          <w:tcPr>
            <w:tcW w:w="3387"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color w:val="000000"/>
                <w:sz w:val="14"/>
                <w:szCs w:val="14"/>
                <w:lang w:eastAsia="sk-SK"/>
              </w:rPr>
            </w:pPr>
            <w:r w:rsidRPr="006C328F">
              <w:rPr>
                <w:rFonts w:ascii="Times New Roman" w:hAnsi="Times New Roman"/>
                <w:color w:val="000000"/>
                <w:sz w:val="14"/>
                <w:szCs w:val="14"/>
                <w:lang w:eastAsia="sk-SK"/>
              </w:rPr>
              <w:t>4) Ostatné</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54 629</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61 320</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61 546</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62 960</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63 017</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62 958</w:t>
            </w:r>
          </w:p>
        </w:tc>
        <w:tc>
          <w:tcPr>
            <w:tcW w:w="82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63 011</w:t>
            </w:r>
          </w:p>
        </w:tc>
      </w:tr>
      <w:tr w:rsidR="00B1578A" w:rsidRPr="006C328F" w:rsidTr="00C10BC3">
        <w:trPr>
          <w:trHeight w:val="360"/>
          <w:jc w:val="center"/>
        </w:trPr>
        <w:tc>
          <w:tcPr>
            <w:tcW w:w="9127" w:type="dxa"/>
            <w:gridSpan w:val="8"/>
            <w:tcBorders>
              <w:top w:val="single" w:sz="4" w:space="0" w:color="auto"/>
              <w:left w:val="nil"/>
              <w:bottom w:val="nil"/>
              <w:right w:val="nil"/>
            </w:tcBorders>
            <w:shd w:val="clear" w:color="auto" w:fill="auto"/>
            <w:vAlign w:val="center"/>
            <w:hideMark/>
          </w:tcPr>
          <w:p w:rsidR="00B1578A" w:rsidRPr="006C328F" w:rsidRDefault="00B1578A" w:rsidP="005C0638">
            <w:pPr>
              <w:rPr>
                <w:rFonts w:ascii="Times New Roman" w:hAnsi="Times New Roman"/>
                <w:color w:val="000000"/>
                <w:sz w:val="14"/>
                <w:szCs w:val="14"/>
                <w:lang w:eastAsia="sk-SK"/>
              </w:rPr>
            </w:pPr>
            <w:r w:rsidRPr="006C328F">
              <w:rPr>
                <w:rFonts w:ascii="Times New Roman" w:hAnsi="Times New Roman"/>
                <w:color w:val="000000"/>
                <w:sz w:val="14"/>
                <w:szCs w:val="14"/>
                <w:lang w:eastAsia="sk-SK"/>
              </w:rPr>
              <w:t>OS 2017 v prevažnej miere zohľadňuje  údaje zo štatistiky za I. polrok 2017; Medzi ostatné subjekty (bod 4) patria napr. štátne zdravotnícke zariadenia, Železnice Slovenskej republiky, Železničná spoločnosť Slovensko, a.</w:t>
            </w:r>
            <w:r>
              <w:rPr>
                <w:rFonts w:ascii="Times New Roman" w:hAnsi="Times New Roman"/>
                <w:color w:val="000000"/>
                <w:sz w:val="14"/>
                <w:szCs w:val="14"/>
                <w:lang w:eastAsia="sk-SK"/>
              </w:rPr>
              <w:t xml:space="preserve"> </w:t>
            </w:r>
            <w:r w:rsidRPr="006C328F">
              <w:rPr>
                <w:rFonts w:ascii="Times New Roman" w:hAnsi="Times New Roman"/>
                <w:color w:val="000000"/>
                <w:sz w:val="14"/>
                <w:szCs w:val="14"/>
                <w:lang w:eastAsia="sk-SK"/>
              </w:rPr>
              <w:t>s, RTVS, Národná diaľničná spoločnosť, fondy atď.</w:t>
            </w:r>
          </w:p>
        </w:tc>
      </w:tr>
    </w:tbl>
    <w:p w:rsidR="00B1578A" w:rsidRPr="00F90F73" w:rsidRDefault="00B1578A" w:rsidP="00B1578A">
      <w:pPr>
        <w:ind w:firstLine="708"/>
        <w:jc w:val="both"/>
        <w:rPr>
          <w:rFonts w:ascii="Times New Roman" w:hAnsi="Times New Roman"/>
          <w:bCs/>
          <w:szCs w:val="22"/>
          <w:highlight w:val="yellow"/>
        </w:rPr>
      </w:pPr>
    </w:p>
    <w:p w:rsidR="00B1578A" w:rsidRPr="00A04E0B" w:rsidRDefault="00B1578A" w:rsidP="00B1578A">
      <w:pPr>
        <w:ind w:firstLine="708"/>
        <w:jc w:val="both"/>
        <w:rPr>
          <w:rFonts w:ascii="Times New Roman" w:hAnsi="Times New Roman"/>
          <w:bCs/>
        </w:rPr>
      </w:pPr>
      <w:r w:rsidRPr="007539D0">
        <w:rPr>
          <w:rFonts w:ascii="Times New Roman" w:hAnsi="Times New Roman"/>
          <w:bCs/>
        </w:rPr>
        <w:t>Pre 419 277 zamestnancov verejnej správy sa v roku 2018 rozpočtujú osobné výdavky v sume 7,</w:t>
      </w:r>
      <w:r w:rsidR="007539D0" w:rsidRPr="007539D0">
        <w:rPr>
          <w:rFonts w:ascii="Times New Roman" w:hAnsi="Times New Roman"/>
          <w:bCs/>
        </w:rPr>
        <w:t>48</w:t>
      </w:r>
      <w:r w:rsidRPr="007539D0">
        <w:rPr>
          <w:rFonts w:ascii="Times New Roman" w:hAnsi="Times New Roman"/>
          <w:bCs/>
        </w:rPr>
        <w:t xml:space="preserve"> mld. eur, z toho mzdy v sume 5,</w:t>
      </w:r>
      <w:r w:rsidR="007539D0" w:rsidRPr="007539D0">
        <w:rPr>
          <w:rFonts w:ascii="Times New Roman" w:hAnsi="Times New Roman"/>
          <w:bCs/>
        </w:rPr>
        <w:t>48</w:t>
      </w:r>
      <w:r w:rsidRPr="007539D0">
        <w:rPr>
          <w:rFonts w:ascii="Times New Roman" w:hAnsi="Times New Roman"/>
          <w:bCs/>
        </w:rPr>
        <w:t xml:space="preserve"> mld. eur, čo predstavuje </w:t>
      </w:r>
      <w:r w:rsidR="007539D0" w:rsidRPr="007539D0">
        <w:rPr>
          <w:rFonts w:ascii="Times New Roman" w:hAnsi="Times New Roman"/>
          <w:bCs/>
        </w:rPr>
        <w:t>21,3</w:t>
      </w:r>
      <w:r w:rsidRPr="007539D0">
        <w:rPr>
          <w:rFonts w:ascii="Times New Roman" w:hAnsi="Times New Roman"/>
          <w:bCs/>
        </w:rPr>
        <w:t> % celkových verejných výdavkov.</w:t>
      </w:r>
    </w:p>
    <w:p w:rsidR="00B1578A" w:rsidRPr="001A74CB" w:rsidRDefault="00B1578A" w:rsidP="00B1578A">
      <w:pPr>
        <w:tabs>
          <w:tab w:val="left" w:pos="3987"/>
        </w:tabs>
        <w:jc w:val="both"/>
        <w:rPr>
          <w:rFonts w:ascii="Times New Roman" w:hAnsi="Times New Roman"/>
          <w:bCs/>
          <w:color w:val="FF0000"/>
          <w:sz w:val="18"/>
        </w:rPr>
      </w:pPr>
      <w:r w:rsidRPr="001A74CB">
        <w:rPr>
          <w:rFonts w:ascii="Times New Roman" w:hAnsi="Times New Roman"/>
          <w:bCs/>
          <w:color w:val="FF0000"/>
          <w:sz w:val="18"/>
        </w:rPr>
        <w:tab/>
      </w:r>
    </w:p>
    <w:p w:rsidR="00B1578A" w:rsidRPr="00404A4A" w:rsidRDefault="00B1578A" w:rsidP="00B1578A">
      <w:pPr>
        <w:ind w:firstLine="708"/>
        <w:jc w:val="both"/>
        <w:rPr>
          <w:rFonts w:ascii="Times New Roman" w:hAnsi="Times New Roman"/>
          <w:bCs/>
          <w:color w:val="FF0000"/>
          <w:szCs w:val="22"/>
        </w:rPr>
      </w:pPr>
      <w:r w:rsidRPr="001A74CB">
        <w:rPr>
          <w:rFonts w:ascii="Times New Roman" w:hAnsi="Times New Roman"/>
          <w:bCs/>
          <w:szCs w:val="22"/>
        </w:rPr>
        <w:t>Prehľad o skutočne dosiahnutých ukazovateľoch zamestnanosti v rokoch 2015 a 2016, o rozpočte a očakávanej skutočnosti na rok 2017, o návrhu rozpočtu na roky 2018 až 2020 je uvedený v tabuľke.</w:t>
      </w:r>
      <w:r>
        <w:rPr>
          <w:rFonts w:ascii="Times New Roman" w:hAnsi="Times New Roman"/>
          <w:bCs/>
          <w:szCs w:val="22"/>
        </w:rPr>
        <w:t xml:space="preserve"> </w:t>
      </w:r>
    </w:p>
    <w:p w:rsidR="00B1578A" w:rsidRDefault="00B1578A" w:rsidP="00B1578A">
      <w:pPr>
        <w:jc w:val="both"/>
        <w:rPr>
          <w:rFonts w:ascii="Times New Roman" w:hAnsi="Times New Roman"/>
          <w:bCs/>
          <w:color w:val="FF0000"/>
          <w:highlight w:val="yellow"/>
        </w:rPr>
      </w:pPr>
    </w:p>
    <w:tbl>
      <w:tblPr>
        <w:tblW w:w="9351" w:type="dxa"/>
        <w:tblInd w:w="75" w:type="dxa"/>
        <w:tblCellMar>
          <w:left w:w="70" w:type="dxa"/>
          <w:right w:w="70" w:type="dxa"/>
        </w:tblCellMar>
        <w:tblLook w:val="04A0" w:firstRow="1" w:lastRow="0" w:firstColumn="1" w:lastColumn="0" w:noHBand="0" w:noVBand="1"/>
      </w:tblPr>
      <w:tblGrid>
        <w:gridCol w:w="1931"/>
        <w:gridCol w:w="568"/>
        <w:gridCol w:w="980"/>
        <w:gridCol w:w="980"/>
        <w:gridCol w:w="980"/>
        <w:gridCol w:w="980"/>
        <w:gridCol w:w="980"/>
        <w:gridCol w:w="980"/>
        <w:gridCol w:w="980"/>
      </w:tblGrid>
      <w:tr w:rsidR="00B1578A" w:rsidRPr="002C44D0" w:rsidTr="002C44D0">
        <w:trPr>
          <w:trHeight w:val="330"/>
        </w:trPr>
        <w:tc>
          <w:tcPr>
            <w:tcW w:w="193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B1578A" w:rsidRPr="002C44D0" w:rsidRDefault="00B1578A" w:rsidP="005C0638">
            <w:pPr>
              <w:rPr>
                <w:rFonts w:ascii="Times New Roman" w:hAnsi="Times New Roman"/>
                <w:b/>
                <w:bCs/>
                <w:color w:val="000000"/>
                <w:sz w:val="14"/>
                <w:szCs w:val="14"/>
                <w:lang w:eastAsia="sk-SK"/>
              </w:rPr>
            </w:pPr>
            <w:r w:rsidRPr="002C44D0">
              <w:rPr>
                <w:rFonts w:ascii="Times New Roman" w:hAnsi="Times New Roman"/>
                <w:b/>
                <w:bCs/>
                <w:color w:val="000000"/>
                <w:sz w:val="14"/>
                <w:szCs w:val="14"/>
                <w:lang w:eastAsia="sk-SK"/>
              </w:rPr>
              <w:t>Verejná správa spolu</w:t>
            </w:r>
          </w:p>
        </w:tc>
        <w:tc>
          <w:tcPr>
            <w:tcW w:w="5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B1578A" w:rsidRPr="002C44D0" w:rsidRDefault="00B1578A" w:rsidP="005C0638">
            <w:pPr>
              <w:rPr>
                <w:rFonts w:ascii="Times New Roman" w:hAnsi="Times New Roman"/>
                <w:b/>
                <w:bCs/>
                <w:color w:val="000000"/>
                <w:sz w:val="14"/>
                <w:szCs w:val="14"/>
                <w:lang w:eastAsia="sk-SK"/>
              </w:rPr>
            </w:pPr>
            <w:r w:rsidRPr="002C44D0">
              <w:rPr>
                <w:rFonts w:ascii="Times New Roman" w:hAnsi="Times New Roman"/>
                <w:b/>
                <w:bCs/>
                <w:color w:val="000000"/>
                <w:sz w:val="14"/>
                <w:szCs w:val="14"/>
                <w:lang w:eastAsia="sk-SK"/>
              </w:rPr>
              <w:t> </w:t>
            </w:r>
          </w:p>
        </w:tc>
        <w:tc>
          <w:tcPr>
            <w:tcW w:w="98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B1578A" w:rsidRPr="002C44D0" w:rsidRDefault="00B1578A" w:rsidP="005C0638">
            <w:pPr>
              <w:jc w:val="center"/>
              <w:rPr>
                <w:rFonts w:ascii="Times New Roman" w:hAnsi="Times New Roman"/>
                <w:b/>
                <w:bCs/>
                <w:color w:val="000000"/>
                <w:sz w:val="14"/>
                <w:szCs w:val="14"/>
                <w:lang w:eastAsia="sk-SK"/>
              </w:rPr>
            </w:pPr>
            <w:r w:rsidRPr="002C44D0">
              <w:rPr>
                <w:rFonts w:ascii="Times New Roman" w:hAnsi="Times New Roman"/>
                <w:b/>
                <w:bCs/>
                <w:color w:val="000000"/>
                <w:sz w:val="14"/>
                <w:szCs w:val="14"/>
                <w:lang w:eastAsia="sk-SK"/>
              </w:rPr>
              <w:t>2015 S</w:t>
            </w:r>
          </w:p>
        </w:tc>
        <w:tc>
          <w:tcPr>
            <w:tcW w:w="98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B1578A" w:rsidRPr="002C44D0" w:rsidRDefault="00B1578A" w:rsidP="005C0638">
            <w:pPr>
              <w:jc w:val="center"/>
              <w:rPr>
                <w:rFonts w:ascii="Times New Roman" w:hAnsi="Times New Roman"/>
                <w:b/>
                <w:bCs/>
                <w:color w:val="000000"/>
                <w:sz w:val="14"/>
                <w:szCs w:val="14"/>
                <w:lang w:eastAsia="sk-SK"/>
              </w:rPr>
            </w:pPr>
            <w:r w:rsidRPr="002C44D0">
              <w:rPr>
                <w:rFonts w:ascii="Times New Roman" w:hAnsi="Times New Roman"/>
                <w:b/>
                <w:bCs/>
                <w:color w:val="000000"/>
                <w:sz w:val="14"/>
                <w:szCs w:val="14"/>
                <w:lang w:eastAsia="sk-SK"/>
              </w:rPr>
              <w:t>2016 S</w:t>
            </w:r>
          </w:p>
        </w:tc>
        <w:tc>
          <w:tcPr>
            <w:tcW w:w="98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B1578A" w:rsidRPr="002C44D0" w:rsidRDefault="00B1578A" w:rsidP="005C0638">
            <w:pPr>
              <w:jc w:val="center"/>
              <w:rPr>
                <w:rFonts w:ascii="Times New Roman" w:hAnsi="Times New Roman"/>
                <w:b/>
                <w:bCs/>
                <w:color w:val="000000"/>
                <w:sz w:val="14"/>
                <w:szCs w:val="14"/>
                <w:lang w:eastAsia="sk-SK"/>
              </w:rPr>
            </w:pPr>
            <w:r w:rsidRPr="002C44D0">
              <w:rPr>
                <w:rFonts w:ascii="Times New Roman" w:hAnsi="Times New Roman"/>
                <w:b/>
                <w:bCs/>
                <w:color w:val="000000"/>
                <w:sz w:val="14"/>
                <w:szCs w:val="14"/>
                <w:lang w:eastAsia="sk-SK"/>
              </w:rPr>
              <w:t>2017 R</w:t>
            </w:r>
          </w:p>
        </w:tc>
        <w:tc>
          <w:tcPr>
            <w:tcW w:w="98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B1578A" w:rsidRPr="002C44D0" w:rsidRDefault="00B1578A" w:rsidP="005C0638">
            <w:pPr>
              <w:jc w:val="center"/>
              <w:rPr>
                <w:rFonts w:ascii="Times New Roman" w:hAnsi="Times New Roman"/>
                <w:b/>
                <w:bCs/>
                <w:color w:val="000000"/>
                <w:sz w:val="14"/>
                <w:szCs w:val="14"/>
                <w:lang w:eastAsia="sk-SK"/>
              </w:rPr>
            </w:pPr>
            <w:r w:rsidRPr="002C44D0">
              <w:rPr>
                <w:rFonts w:ascii="Times New Roman" w:hAnsi="Times New Roman"/>
                <w:b/>
                <w:bCs/>
                <w:color w:val="000000"/>
                <w:sz w:val="14"/>
                <w:szCs w:val="14"/>
                <w:lang w:eastAsia="sk-SK"/>
              </w:rPr>
              <w:t>2017 OS</w:t>
            </w:r>
          </w:p>
        </w:tc>
        <w:tc>
          <w:tcPr>
            <w:tcW w:w="98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B1578A" w:rsidRPr="002C44D0" w:rsidRDefault="00B1578A" w:rsidP="005C0638">
            <w:pPr>
              <w:jc w:val="center"/>
              <w:rPr>
                <w:rFonts w:ascii="Times New Roman" w:hAnsi="Times New Roman"/>
                <w:b/>
                <w:bCs/>
                <w:color w:val="000000"/>
                <w:sz w:val="14"/>
                <w:szCs w:val="14"/>
                <w:lang w:eastAsia="sk-SK"/>
              </w:rPr>
            </w:pPr>
            <w:r w:rsidRPr="002C44D0">
              <w:rPr>
                <w:rFonts w:ascii="Times New Roman" w:hAnsi="Times New Roman"/>
                <w:b/>
                <w:bCs/>
                <w:color w:val="000000"/>
                <w:sz w:val="14"/>
                <w:szCs w:val="14"/>
                <w:lang w:eastAsia="sk-SK"/>
              </w:rPr>
              <w:t>2018 N</w:t>
            </w:r>
          </w:p>
        </w:tc>
        <w:tc>
          <w:tcPr>
            <w:tcW w:w="98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B1578A" w:rsidRPr="002C44D0" w:rsidRDefault="00B1578A" w:rsidP="005C0638">
            <w:pPr>
              <w:jc w:val="center"/>
              <w:rPr>
                <w:rFonts w:ascii="Times New Roman" w:hAnsi="Times New Roman"/>
                <w:b/>
                <w:bCs/>
                <w:color w:val="000000"/>
                <w:sz w:val="14"/>
                <w:szCs w:val="14"/>
                <w:lang w:eastAsia="sk-SK"/>
              </w:rPr>
            </w:pPr>
            <w:r w:rsidRPr="002C44D0">
              <w:rPr>
                <w:rFonts w:ascii="Times New Roman" w:hAnsi="Times New Roman"/>
                <w:b/>
                <w:bCs/>
                <w:color w:val="000000"/>
                <w:sz w:val="14"/>
                <w:szCs w:val="14"/>
                <w:lang w:eastAsia="sk-SK"/>
              </w:rPr>
              <w:t>2019 N</w:t>
            </w:r>
          </w:p>
        </w:tc>
        <w:tc>
          <w:tcPr>
            <w:tcW w:w="98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B1578A" w:rsidRPr="002C44D0" w:rsidRDefault="00B1578A" w:rsidP="005C0638">
            <w:pPr>
              <w:jc w:val="center"/>
              <w:rPr>
                <w:rFonts w:ascii="Times New Roman" w:hAnsi="Times New Roman"/>
                <w:b/>
                <w:bCs/>
                <w:color w:val="000000"/>
                <w:sz w:val="14"/>
                <w:szCs w:val="14"/>
                <w:lang w:eastAsia="sk-SK"/>
              </w:rPr>
            </w:pPr>
            <w:r w:rsidRPr="002C44D0">
              <w:rPr>
                <w:rFonts w:ascii="Times New Roman" w:hAnsi="Times New Roman"/>
                <w:b/>
                <w:bCs/>
                <w:color w:val="000000"/>
                <w:sz w:val="14"/>
                <w:szCs w:val="14"/>
                <w:lang w:eastAsia="sk-SK"/>
              </w:rPr>
              <w:t>2020 N</w:t>
            </w:r>
          </w:p>
        </w:tc>
      </w:tr>
      <w:tr w:rsidR="00B1578A" w:rsidRPr="002C44D0" w:rsidTr="002C44D0">
        <w:trPr>
          <w:trHeight w:val="285"/>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B1578A" w:rsidRPr="002C44D0" w:rsidRDefault="00B1578A" w:rsidP="005C0638">
            <w:pPr>
              <w:rPr>
                <w:rFonts w:ascii="Times New Roman" w:hAnsi="Times New Roman"/>
                <w:sz w:val="14"/>
                <w:szCs w:val="14"/>
                <w:lang w:eastAsia="sk-SK"/>
              </w:rPr>
            </w:pPr>
            <w:r w:rsidRPr="002C44D0">
              <w:rPr>
                <w:rFonts w:ascii="Times New Roman" w:hAnsi="Times New Roman"/>
                <w:sz w:val="14"/>
                <w:szCs w:val="14"/>
                <w:lang w:eastAsia="sk-SK"/>
              </w:rPr>
              <w:t>Počet zamestnancov</w:t>
            </w:r>
          </w:p>
        </w:tc>
        <w:tc>
          <w:tcPr>
            <w:tcW w:w="56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center"/>
              <w:rPr>
                <w:rFonts w:ascii="Times New Roman" w:hAnsi="Times New Roman"/>
                <w:sz w:val="14"/>
                <w:szCs w:val="14"/>
                <w:lang w:eastAsia="sk-SK"/>
              </w:rPr>
            </w:pPr>
            <w:r w:rsidRPr="002C44D0">
              <w:rPr>
                <w:rFonts w:ascii="Times New Roman" w:hAnsi="Times New Roman"/>
                <w:sz w:val="14"/>
                <w:szCs w:val="14"/>
                <w:lang w:eastAsia="sk-SK"/>
              </w:rPr>
              <w:t>(osoby)</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sz w:val="14"/>
                <w:szCs w:val="14"/>
                <w:lang w:eastAsia="sk-SK"/>
              </w:rPr>
            </w:pPr>
            <w:r w:rsidRPr="002C44D0">
              <w:rPr>
                <w:rFonts w:ascii="Times New Roman" w:hAnsi="Times New Roman"/>
                <w:sz w:val="14"/>
                <w:szCs w:val="14"/>
                <w:lang w:eastAsia="sk-SK"/>
              </w:rPr>
              <w:t>404 591</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sz w:val="14"/>
                <w:szCs w:val="14"/>
                <w:lang w:eastAsia="sk-SK"/>
              </w:rPr>
            </w:pPr>
            <w:r w:rsidRPr="002C44D0">
              <w:rPr>
                <w:rFonts w:ascii="Times New Roman" w:hAnsi="Times New Roman"/>
                <w:sz w:val="14"/>
                <w:szCs w:val="14"/>
                <w:lang w:eastAsia="sk-SK"/>
              </w:rPr>
              <w:t>411 365</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sz w:val="14"/>
                <w:szCs w:val="14"/>
                <w:lang w:eastAsia="sk-SK"/>
              </w:rPr>
            </w:pPr>
            <w:r w:rsidRPr="002C44D0">
              <w:rPr>
                <w:rFonts w:ascii="Times New Roman" w:hAnsi="Times New Roman"/>
                <w:sz w:val="14"/>
                <w:szCs w:val="14"/>
                <w:lang w:eastAsia="sk-SK"/>
              </w:rPr>
              <w:t>419 547</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sz w:val="14"/>
                <w:szCs w:val="14"/>
                <w:lang w:eastAsia="sk-SK"/>
              </w:rPr>
            </w:pPr>
            <w:r w:rsidRPr="002C44D0">
              <w:rPr>
                <w:rFonts w:ascii="Times New Roman" w:hAnsi="Times New Roman"/>
                <w:sz w:val="14"/>
                <w:szCs w:val="14"/>
                <w:lang w:eastAsia="sk-SK"/>
              </w:rPr>
              <w:t>413 225</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sz w:val="14"/>
                <w:szCs w:val="14"/>
                <w:lang w:eastAsia="sk-SK"/>
              </w:rPr>
            </w:pPr>
            <w:r w:rsidRPr="002C44D0">
              <w:rPr>
                <w:rFonts w:ascii="Times New Roman" w:hAnsi="Times New Roman"/>
                <w:sz w:val="14"/>
                <w:szCs w:val="14"/>
                <w:lang w:eastAsia="sk-SK"/>
              </w:rPr>
              <w:t>419 277</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sz w:val="14"/>
                <w:szCs w:val="14"/>
                <w:lang w:eastAsia="sk-SK"/>
              </w:rPr>
            </w:pPr>
            <w:r w:rsidRPr="002C44D0">
              <w:rPr>
                <w:rFonts w:ascii="Times New Roman" w:hAnsi="Times New Roman"/>
                <w:sz w:val="14"/>
                <w:szCs w:val="14"/>
                <w:lang w:eastAsia="sk-SK"/>
              </w:rPr>
              <w:t>419 258</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sz w:val="14"/>
                <w:szCs w:val="14"/>
                <w:lang w:eastAsia="sk-SK"/>
              </w:rPr>
            </w:pPr>
            <w:r w:rsidRPr="002C44D0">
              <w:rPr>
                <w:rFonts w:ascii="Times New Roman" w:hAnsi="Times New Roman"/>
                <w:sz w:val="14"/>
                <w:szCs w:val="14"/>
                <w:lang w:eastAsia="sk-SK"/>
              </w:rPr>
              <w:t>419 284</w:t>
            </w:r>
          </w:p>
        </w:tc>
      </w:tr>
      <w:tr w:rsidR="00B1578A" w:rsidRPr="002C44D0" w:rsidTr="002C44D0">
        <w:trPr>
          <w:trHeight w:val="285"/>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B1578A" w:rsidRPr="002C44D0" w:rsidRDefault="00B1578A" w:rsidP="005C0638">
            <w:pPr>
              <w:rPr>
                <w:rFonts w:ascii="Times New Roman" w:hAnsi="Times New Roman"/>
                <w:sz w:val="14"/>
                <w:szCs w:val="14"/>
                <w:lang w:eastAsia="sk-SK"/>
              </w:rPr>
            </w:pPr>
            <w:r w:rsidRPr="002C44D0">
              <w:rPr>
                <w:rFonts w:ascii="Times New Roman" w:hAnsi="Times New Roman"/>
                <w:sz w:val="14"/>
                <w:szCs w:val="14"/>
                <w:lang w:eastAsia="sk-SK"/>
              </w:rPr>
              <w:t>Osobné výdavky</w:t>
            </w:r>
          </w:p>
        </w:tc>
        <w:tc>
          <w:tcPr>
            <w:tcW w:w="56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center"/>
              <w:rPr>
                <w:rFonts w:ascii="Times New Roman" w:hAnsi="Times New Roman"/>
                <w:sz w:val="14"/>
                <w:szCs w:val="14"/>
                <w:lang w:eastAsia="sk-SK"/>
              </w:rPr>
            </w:pPr>
            <w:r w:rsidRPr="002C44D0">
              <w:rPr>
                <w:rFonts w:ascii="Times New Roman" w:hAnsi="Times New Roman"/>
                <w:sz w:val="14"/>
                <w:szCs w:val="14"/>
                <w:lang w:eastAsia="sk-SK"/>
              </w:rPr>
              <w:t>eur</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b/>
                <w:bCs/>
                <w:sz w:val="14"/>
                <w:szCs w:val="14"/>
                <w:lang w:eastAsia="sk-SK"/>
              </w:rPr>
            </w:pPr>
            <w:r w:rsidRPr="002C44D0">
              <w:rPr>
                <w:rFonts w:ascii="Times New Roman" w:hAnsi="Times New Roman"/>
                <w:b/>
                <w:bCs/>
                <w:sz w:val="14"/>
                <w:szCs w:val="14"/>
                <w:lang w:eastAsia="sk-SK"/>
              </w:rPr>
              <w:t>6 614 278 000</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b/>
                <w:bCs/>
                <w:sz w:val="14"/>
                <w:szCs w:val="14"/>
                <w:lang w:eastAsia="sk-SK"/>
              </w:rPr>
            </w:pPr>
            <w:r w:rsidRPr="002C44D0">
              <w:rPr>
                <w:rFonts w:ascii="Times New Roman" w:hAnsi="Times New Roman"/>
                <w:b/>
                <w:bCs/>
                <w:sz w:val="14"/>
                <w:szCs w:val="14"/>
                <w:lang w:eastAsia="sk-SK"/>
              </w:rPr>
              <w:t>6 807 697 000</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b/>
                <w:bCs/>
                <w:sz w:val="14"/>
                <w:szCs w:val="14"/>
                <w:lang w:eastAsia="sk-SK"/>
              </w:rPr>
            </w:pPr>
            <w:r w:rsidRPr="002C44D0">
              <w:rPr>
                <w:rFonts w:ascii="Times New Roman" w:hAnsi="Times New Roman"/>
                <w:b/>
                <w:bCs/>
                <w:sz w:val="14"/>
                <w:szCs w:val="14"/>
                <w:lang w:eastAsia="sk-SK"/>
              </w:rPr>
              <w:t>6 869 135 898</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b/>
                <w:bCs/>
                <w:sz w:val="14"/>
                <w:szCs w:val="14"/>
                <w:lang w:eastAsia="sk-SK"/>
              </w:rPr>
            </w:pPr>
            <w:r w:rsidRPr="002C44D0">
              <w:rPr>
                <w:rFonts w:ascii="Times New Roman" w:hAnsi="Times New Roman"/>
                <w:b/>
                <w:bCs/>
                <w:sz w:val="14"/>
                <w:szCs w:val="14"/>
                <w:lang w:eastAsia="sk-SK"/>
              </w:rPr>
              <w:t>7 124 016 000</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7539D0" w:rsidP="005C0638">
            <w:pPr>
              <w:jc w:val="right"/>
              <w:rPr>
                <w:rFonts w:ascii="Times New Roman" w:hAnsi="Times New Roman"/>
                <w:b/>
                <w:bCs/>
                <w:sz w:val="14"/>
                <w:szCs w:val="14"/>
                <w:lang w:eastAsia="sk-SK"/>
              </w:rPr>
            </w:pPr>
            <w:r w:rsidRPr="002C44D0">
              <w:rPr>
                <w:rFonts w:ascii="Times New Roman" w:hAnsi="Times New Roman"/>
                <w:b/>
                <w:bCs/>
                <w:sz w:val="14"/>
                <w:szCs w:val="14"/>
                <w:lang w:eastAsia="sk-SK"/>
              </w:rPr>
              <w:t>7 476 611 188</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2C44D0" w:rsidP="007539D0">
            <w:pPr>
              <w:jc w:val="right"/>
              <w:rPr>
                <w:rFonts w:ascii="Times New Roman" w:hAnsi="Times New Roman"/>
                <w:b/>
                <w:bCs/>
                <w:sz w:val="14"/>
                <w:szCs w:val="14"/>
                <w:lang w:eastAsia="sk-SK"/>
              </w:rPr>
            </w:pPr>
            <w:r w:rsidRPr="002C44D0">
              <w:rPr>
                <w:rFonts w:ascii="Times New Roman" w:hAnsi="Times New Roman"/>
                <w:b/>
                <w:bCs/>
                <w:sz w:val="14"/>
                <w:szCs w:val="14"/>
                <w:lang w:eastAsia="sk-SK"/>
              </w:rPr>
              <w:t>7 891 019 481</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2C44D0" w:rsidP="005C0638">
            <w:pPr>
              <w:jc w:val="right"/>
              <w:rPr>
                <w:rFonts w:ascii="Times New Roman" w:hAnsi="Times New Roman"/>
                <w:b/>
                <w:bCs/>
                <w:sz w:val="14"/>
                <w:szCs w:val="14"/>
                <w:lang w:eastAsia="sk-SK"/>
              </w:rPr>
            </w:pPr>
            <w:r w:rsidRPr="002C44D0">
              <w:rPr>
                <w:rFonts w:ascii="Times New Roman" w:hAnsi="Times New Roman"/>
                <w:b/>
                <w:bCs/>
                <w:sz w:val="14"/>
                <w:szCs w:val="14"/>
                <w:lang w:eastAsia="sk-SK"/>
              </w:rPr>
              <w:t>8 246 718 358</w:t>
            </w:r>
          </w:p>
        </w:tc>
      </w:tr>
      <w:tr w:rsidR="00B1578A" w:rsidRPr="002C44D0" w:rsidTr="002C44D0">
        <w:trPr>
          <w:trHeight w:val="285"/>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B1578A" w:rsidRPr="002C44D0" w:rsidRDefault="00B1578A" w:rsidP="005C0638">
            <w:pPr>
              <w:ind w:firstLineChars="200" w:firstLine="280"/>
              <w:rPr>
                <w:rFonts w:ascii="Times New Roman" w:hAnsi="Times New Roman"/>
                <w:sz w:val="14"/>
                <w:szCs w:val="14"/>
                <w:lang w:eastAsia="sk-SK"/>
              </w:rPr>
            </w:pPr>
            <w:r w:rsidRPr="002C44D0">
              <w:rPr>
                <w:rFonts w:ascii="Times New Roman" w:hAnsi="Times New Roman"/>
                <w:sz w:val="14"/>
                <w:szCs w:val="14"/>
                <w:lang w:eastAsia="sk-SK"/>
              </w:rPr>
              <w:t>z toho: mzdové výdavky</w:t>
            </w:r>
          </w:p>
        </w:tc>
        <w:tc>
          <w:tcPr>
            <w:tcW w:w="56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center"/>
              <w:rPr>
                <w:rFonts w:ascii="Times New Roman" w:hAnsi="Times New Roman"/>
                <w:sz w:val="14"/>
                <w:szCs w:val="14"/>
                <w:lang w:eastAsia="sk-SK"/>
              </w:rPr>
            </w:pPr>
            <w:r w:rsidRPr="002C44D0">
              <w:rPr>
                <w:rFonts w:ascii="Times New Roman" w:hAnsi="Times New Roman"/>
                <w:sz w:val="14"/>
                <w:szCs w:val="14"/>
                <w:lang w:eastAsia="sk-SK"/>
              </w:rPr>
              <w:t>eur</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sz w:val="14"/>
                <w:szCs w:val="14"/>
                <w:lang w:eastAsia="sk-SK"/>
              </w:rPr>
            </w:pPr>
            <w:r w:rsidRPr="002C44D0">
              <w:rPr>
                <w:rFonts w:ascii="Times New Roman" w:hAnsi="Times New Roman"/>
                <w:sz w:val="14"/>
                <w:szCs w:val="14"/>
                <w:lang w:eastAsia="sk-SK"/>
              </w:rPr>
              <w:t>4 855 720 000</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sz w:val="14"/>
                <w:szCs w:val="14"/>
                <w:lang w:eastAsia="sk-SK"/>
              </w:rPr>
            </w:pPr>
            <w:r w:rsidRPr="002C44D0">
              <w:rPr>
                <w:rFonts w:ascii="Times New Roman" w:hAnsi="Times New Roman"/>
                <w:sz w:val="14"/>
                <w:szCs w:val="14"/>
                <w:lang w:eastAsia="sk-SK"/>
              </w:rPr>
              <w:t>5 005 199 000</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sz w:val="14"/>
                <w:szCs w:val="14"/>
                <w:lang w:eastAsia="sk-SK"/>
              </w:rPr>
            </w:pPr>
            <w:r w:rsidRPr="002C44D0">
              <w:rPr>
                <w:rFonts w:ascii="Times New Roman" w:hAnsi="Times New Roman"/>
                <w:sz w:val="14"/>
                <w:szCs w:val="14"/>
                <w:lang w:eastAsia="sk-SK"/>
              </w:rPr>
              <w:t>5 039 215 174</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sz w:val="14"/>
                <w:szCs w:val="14"/>
                <w:lang w:eastAsia="sk-SK"/>
              </w:rPr>
            </w:pPr>
            <w:r w:rsidRPr="002C44D0">
              <w:rPr>
                <w:rFonts w:ascii="Times New Roman" w:hAnsi="Times New Roman"/>
                <w:sz w:val="14"/>
                <w:szCs w:val="14"/>
                <w:lang w:eastAsia="sk-SK"/>
              </w:rPr>
              <w:t>5 224 513 000</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7539D0" w:rsidP="005C0638">
            <w:pPr>
              <w:jc w:val="right"/>
              <w:rPr>
                <w:rFonts w:ascii="Times New Roman" w:hAnsi="Times New Roman"/>
                <w:sz w:val="14"/>
                <w:szCs w:val="14"/>
                <w:lang w:eastAsia="sk-SK"/>
              </w:rPr>
            </w:pPr>
            <w:r w:rsidRPr="002C44D0">
              <w:rPr>
                <w:rFonts w:ascii="Times New Roman" w:hAnsi="Times New Roman"/>
                <w:sz w:val="14"/>
                <w:szCs w:val="14"/>
                <w:lang w:eastAsia="sk-SK"/>
              </w:rPr>
              <w:t>5 481 044 592</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2C44D0" w:rsidP="005C0638">
            <w:pPr>
              <w:jc w:val="right"/>
              <w:rPr>
                <w:rFonts w:ascii="Times New Roman" w:hAnsi="Times New Roman"/>
                <w:sz w:val="14"/>
                <w:szCs w:val="14"/>
                <w:lang w:eastAsia="sk-SK"/>
              </w:rPr>
            </w:pPr>
            <w:r w:rsidRPr="002C44D0">
              <w:rPr>
                <w:rFonts w:ascii="Times New Roman" w:hAnsi="Times New Roman"/>
                <w:sz w:val="14"/>
                <w:szCs w:val="14"/>
                <w:lang w:eastAsia="sk-SK"/>
              </w:rPr>
              <w:t>5 765 744 886</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2C44D0" w:rsidP="005C0638">
            <w:pPr>
              <w:jc w:val="right"/>
              <w:rPr>
                <w:rFonts w:ascii="Times New Roman" w:hAnsi="Times New Roman"/>
                <w:sz w:val="14"/>
                <w:szCs w:val="14"/>
                <w:lang w:eastAsia="sk-SK"/>
              </w:rPr>
            </w:pPr>
            <w:r w:rsidRPr="002C44D0">
              <w:rPr>
                <w:rFonts w:ascii="Times New Roman" w:hAnsi="Times New Roman"/>
                <w:sz w:val="14"/>
                <w:szCs w:val="14"/>
                <w:lang w:eastAsia="sk-SK"/>
              </w:rPr>
              <w:t>6 022 633 745</w:t>
            </w:r>
          </w:p>
        </w:tc>
      </w:tr>
      <w:tr w:rsidR="00B1578A" w:rsidRPr="002C44D0" w:rsidTr="002C44D0">
        <w:trPr>
          <w:trHeight w:val="285"/>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B1578A" w:rsidRPr="002C44D0" w:rsidRDefault="00B1578A" w:rsidP="005C0638">
            <w:pPr>
              <w:rPr>
                <w:rFonts w:ascii="Times New Roman" w:hAnsi="Times New Roman"/>
                <w:sz w:val="14"/>
                <w:szCs w:val="14"/>
                <w:lang w:eastAsia="sk-SK"/>
              </w:rPr>
            </w:pPr>
            <w:r w:rsidRPr="002C44D0">
              <w:rPr>
                <w:rFonts w:ascii="Times New Roman" w:hAnsi="Times New Roman"/>
                <w:sz w:val="14"/>
                <w:szCs w:val="14"/>
                <w:lang w:eastAsia="sk-SK"/>
              </w:rPr>
              <w:t>Priemerný mzdový výdavok</w:t>
            </w:r>
          </w:p>
        </w:tc>
        <w:tc>
          <w:tcPr>
            <w:tcW w:w="56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center"/>
              <w:rPr>
                <w:rFonts w:ascii="Times New Roman" w:hAnsi="Times New Roman"/>
                <w:sz w:val="14"/>
                <w:szCs w:val="14"/>
                <w:lang w:eastAsia="sk-SK"/>
              </w:rPr>
            </w:pPr>
            <w:r w:rsidRPr="002C44D0">
              <w:rPr>
                <w:rFonts w:ascii="Times New Roman" w:hAnsi="Times New Roman"/>
                <w:sz w:val="14"/>
                <w:szCs w:val="14"/>
                <w:lang w:eastAsia="sk-SK"/>
              </w:rPr>
              <w:t>eur</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b/>
                <w:bCs/>
                <w:sz w:val="14"/>
                <w:szCs w:val="14"/>
                <w:lang w:eastAsia="sk-SK"/>
              </w:rPr>
            </w:pPr>
            <w:r w:rsidRPr="002C44D0">
              <w:rPr>
                <w:rFonts w:ascii="Times New Roman" w:hAnsi="Times New Roman"/>
                <w:b/>
                <w:bCs/>
                <w:sz w:val="14"/>
                <w:szCs w:val="14"/>
                <w:lang w:eastAsia="sk-SK"/>
              </w:rPr>
              <w:t>1 000,13</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b/>
                <w:bCs/>
                <w:sz w:val="14"/>
                <w:szCs w:val="14"/>
                <w:lang w:eastAsia="sk-SK"/>
              </w:rPr>
            </w:pPr>
            <w:r w:rsidRPr="002C44D0">
              <w:rPr>
                <w:rFonts w:ascii="Times New Roman" w:hAnsi="Times New Roman"/>
                <w:b/>
                <w:bCs/>
                <w:sz w:val="14"/>
                <w:szCs w:val="14"/>
                <w:lang w:eastAsia="sk-SK"/>
              </w:rPr>
              <w:t>1 013,94</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5C0638">
            <w:pPr>
              <w:jc w:val="right"/>
              <w:rPr>
                <w:rFonts w:ascii="Times New Roman" w:hAnsi="Times New Roman"/>
                <w:b/>
                <w:bCs/>
                <w:sz w:val="14"/>
                <w:szCs w:val="14"/>
                <w:lang w:eastAsia="sk-SK"/>
              </w:rPr>
            </w:pPr>
            <w:r w:rsidRPr="002C44D0">
              <w:rPr>
                <w:rFonts w:ascii="Times New Roman" w:hAnsi="Times New Roman"/>
                <w:b/>
                <w:bCs/>
                <w:sz w:val="14"/>
                <w:szCs w:val="14"/>
                <w:lang w:eastAsia="sk-SK"/>
              </w:rPr>
              <w:t>1 000,92</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B1578A" w:rsidP="00C10BC3">
            <w:pPr>
              <w:jc w:val="right"/>
              <w:rPr>
                <w:rFonts w:ascii="Times New Roman" w:hAnsi="Times New Roman"/>
                <w:b/>
                <w:bCs/>
                <w:sz w:val="14"/>
                <w:szCs w:val="14"/>
                <w:lang w:eastAsia="sk-SK"/>
              </w:rPr>
            </w:pPr>
            <w:r w:rsidRPr="002C44D0">
              <w:rPr>
                <w:rFonts w:ascii="Times New Roman" w:hAnsi="Times New Roman"/>
                <w:b/>
                <w:bCs/>
                <w:sz w:val="14"/>
                <w:szCs w:val="14"/>
                <w:lang w:eastAsia="sk-SK"/>
              </w:rPr>
              <w:t>1 053,6</w:t>
            </w:r>
            <w:r w:rsidR="00C10BC3" w:rsidRPr="002C44D0">
              <w:rPr>
                <w:rFonts w:ascii="Times New Roman" w:hAnsi="Times New Roman"/>
                <w:b/>
                <w:bCs/>
                <w:sz w:val="14"/>
                <w:szCs w:val="14"/>
                <w:lang w:eastAsia="sk-SK"/>
              </w:rPr>
              <w:t>1</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7539D0" w:rsidP="005C0638">
            <w:pPr>
              <w:jc w:val="right"/>
              <w:rPr>
                <w:rFonts w:ascii="Times New Roman" w:hAnsi="Times New Roman"/>
                <w:b/>
                <w:bCs/>
                <w:sz w:val="14"/>
                <w:szCs w:val="14"/>
                <w:lang w:eastAsia="sk-SK"/>
              </w:rPr>
            </w:pPr>
            <w:r w:rsidRPr="002C44D0">
              <w:rPr>
                <w:rFonts w:ascii="Times New Roman" w:hAnsi="Times New Roman"/>
                <w:b/>
                <w:bCs/>
                <w:sz w:val="14"/>
                <w:szCs w:val="14"/>
                <w:lang w:eastAsia="sk-SK"/>
              </w:rPr>
              <w:t>1 089,38</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2C44D0" w:rsidP="005C0638">
            <w:pPr>
              <w:jc w:val="right"/>
              <w:rPr>
                <w:rFonts w:ascii="Times New Roman" w:hAnsi="Times New Roman"/>
                <w:b/>
                <w:bCs/>
                <w:sz w:val="14"/>
                <w:szCs w:val="14"/>
                <w:lang w:eastAsia="sk-SK"/>
              </w:rPr>
            </w:pPr>
            <w:r w:rsidRPr="002C44D0">
              <w:rPr>
                <w:rFonts w:ascii="Times New Roman" w:hAnsi="Times New Roman"/>
                <w:b/>
                <w:bCs/>
                <w:sz w:val="14"/>
                <w:szCs w:val="14"/>
                <w:lang w:eastAsia="sk-SK"/>
              </w:rPr>
              <w:t>1 146,02</w:t>
            </w:r>
          </w:p>
        </w:tc>
        <w:tc>
          <w:tcPr>
            <w:tcW w:w="980" w:type="dxa"/>
            <w:tcBorders>
              <w:top w:val="nil"/>
              <w:left w:val="nil"/>
              <w:bottom w:val="single" w:sz="4" w:space="0" w:color="auto"/>
              <w:right w:val="single" w:sz="4" w:space="0" w:color="auto"/>
            </w:tcBorders>
            <w:shd w:val="clear" w:color="auto" w:fill="auto"/>
            <w:noWrap/>
            <w:vAlign w:val="center"/>
            <w:hideMark/>
          </w:tcPr>
          <w:p w:rsidR="00B1578A" w:rsidRPr="002C44D0" w:rsidRDefault="002C44D0" w:rsidP="005C0638">
            <w:pPr>
              <w:jc w:val="right"/>
              <w:rPr>
                <w:rFonts w:ascii="Times New Roman" w:hAnsi="Times New Roman"/>
                <w:b/>
                <w:bCs/>
                <w:sz w:val="14"/>
                <w:szCs w:val="14"/>
                <w:lang w:eastAsia="sk-SK"/>
              </w:rPr>
            </w:pPr>
            <w:r w:rsidRPr="002C44D0">
              <w:rPr>
                <w:rFonts w:ascii="Times New Roman" w:hAnsi="Times New Roman"/>
                <w:b/>
                <w:bCs/>
                <w:sz w:val="14"/>
                <w:szCs w:val="14"/>
                <w:lang w:eastAsia="sk-SK"/>
              </w:rPr>
              <w:t>1 197,01</w:t>
            </w:r>
          </w:p>
        </w:tc>
      </w:tr>
      <w:tr w:rsidR="00B1578A" w:rsidRPr="006C328F" w:rsidTr="002C44D0">
        <w:trPr>
          <w:trHeight w:val="660"/>
        </w:trPr>
        <w:tc>
          <w:tcPr>
            <w:tcW w:w="9351" w:type="dxa"/>
            <w:gridSpan w:val="9"/>
            <w:tcBorders>
              <w:top w:val="nil"/>
              <w:left w:val="nil"/>
              <w:bottom w:val="nil"/>
              <w:right w:val="nil"/>
            </w:tcBorders>
            <w:shd w:val="clear" w:color="auto" w:fill="auto"/>
            <w:vAlign w:val="center"/>
            <w:hideMark/>
          </w:tcPr>
          <w:p w:rsidR="00B1578A" w:rsidRPr="006C328F" w:rsidRDefault="00B1578A" w:rsidP="00857418">
            <w:pPr>
              <w:rPr>
                <w:rFonts w:ascii="Times New Roman" w:hAnsi="Times New Roman"/>
                <w:sz w:val="14"/>
                <w:szCs w:val="14"/>
                <w:lang w:eastAsia="sk-SK"/>
              </w:rPr>
            </w:pPr>
            <w:r w:rsidRPr="002C44D0">
              <w:rPr>
                <w:rFonts w:ascii="Times New Roman" w:hAnsi="Times New Roman"/>
                <w:sz w:val="14"/>
                <w:szCs w:val="14"/>
                <w:lang w:eastAsia="sk-SK"/>
              </w:rPr>
              <w:t>S 2015 a 2016 v osobných výdavkoch - Štátny záverečný účet SR.</w:t>
            </w:r>
            <w:r w:rsidRPr="002C44D0">
              <w:rPr>
                <w:rFonts w:ascii="Times New Roman" w:hAnsi="Times New Roman"/>
                <w:sz w:val="14"/>
                <w:szCs w:val="14"/>
                <w:lang w:eastAsia="sk-SK"/>
              </w:rPr>
              <w:br/>
              <w:t xml:space="preserve">OS 2017 v počte zamestnancov v prevažnej miere zohľadňuje úroveň dosiahnutej skutočnosti za I. polrok 2017, v osobných výdavkoch aj odhad čerpania EÚ zdrojov. Návrh rozpočtu na roky  2018 </w:t>
            </w:r>
            <w:r w:rsidR="00857418">
              <w:rPr>
                <w:rFonts w:ascii="Times New Roman" w:hAnsi="Times New Roman"/>
                <w:sz w:val="14"/>
                <w:szCs w:val="14"/>
                <w:lang w:eastAsia="sk-SK"/>
              </w:rPr>
              <w:t>až</w:t>
            </w:r>
            <w:r w:rsidRPr="002C44D0">
              <w:rPr>
                <w:rFonts w:ascii="Times New Roman" w:hAnsi="Times New Roman"/>
                <w:sz w:val="14"/>
                <w:szCs w:val="14"/>
                <w:lang w:eastAsia="sk-SK"/>
              </w:rPr>
              <w:t xml:space="preserve"> 2020 za ŠR nezohľadňuje zdroje EÚ a spolufinancovania zo ŠR.</w:t>
            </w:r>
          </w:p>
        </w:tc>
      </w:tr>
    </w:tbl>
    <w:p w:rsidR="00B1578A" w:rsidRPr="00F90F73" w:rsidRDefault="00B1578A" w:rsidP="00B1578A">
      <w:pPr>
        <w:jc w:val="both"/>
        <w:rPr>
          <w:rFonts w:ascii="Times New Roman" w:hAnsi="Times New Roman"/>
          <w:bCs/>
          <w:color w:val="FF0000"/>
          <w:highlight w:val="yellow"/>
        </w:rPr>
      </w:pPr>
    </w:p>
    <w:p w:rsidR="00B1578A" w:rsidRPr="001A74CB" w:rsidRDefault="00B1578A" w:rsidP="00B1578A">
      <w:pPr>
        <w:ind w:left="360" w:hanging="360"/>
        <w:jc w:val="both"/>
        <w:rPr>
          <w:rFonts w:ascii="Times New Roman" w:hAnsi="Times New Roman"/>
          <w:b/>
          <w:bCs/>
        </w:rPr>
      </w:pPr>
      <w:r w:rsidRPr="001A74CB">
        <w:rPr>
          <w:rFonts w:ascii="Times New Roman" w:hAnsi="Times New Roman"/>
          <w:b/>
        </w:rPr>
        <w:t>4.2.2.  Zamestnanosť</w:t>
      </w:r>
      <w:r w:rsidRPr="001A74CB">
        <w:rPr>
          <w:rFonts w:ascii="Times New Roman" w:hAnsi="Times New Roman"/>
          <w:b/>
          <w:bCs/>
        </w:rPr>
        <w:t xml:space="preserve"> financovaná zo štátneho rozpočtu</w:t>
      </w:r>
    </w:p>
    <w:p w:rsidR="00B1578A" w:rsidRPr="001A74CB" w:rsidRDefault="00B1578A" w:rsidP="00B1578A">
      <w:pPr>
        <w:ind w:firstLine="360"/>
        <w:jc w:val="both"/>
        <w:rPr>
          <w:rFonts w:ascii="Times New Roman" w:hAnsi="Times New Roman"/>
          <w:bCs/>
          <w:color w:val="FF0000"/>
        </w:rPr>
      </w:pPr>
      <w:r w:rsidRPr="001A74CB">
        <w:rPr>
          <w:rFonts w:ascii="Times New Roman" w:hAnsi="Times New Roman"/>
          <w:bCs/>
          <w:color w:val="FF0000"/>
        </w:rPr>
        <w:t xml:space="preserve">      </w:t>
      </w:r>
    </w:p>
    <w:p w:rsidR="00B1578A" w:rsidRPr="001A74CB" w:rsidRDefault="00B1578A" w:rsidP="00B1578A">
      <w:pPr>
        <w:ind w:firstLine="708"/>
        <w:jc w:val="both"/>
        <w:rPr>
          <w:rFonts w:ascii="Times New Roman" w:hAnsi="Times New Roman"/>
          <w:bCs/>
        </w:rPr>
      </w:pPr>
      <w:r w:rsidRPr="001A74CB">
        <w:rPr>
          <w:rFonts w:ascii="Times New Roman" w:hAnsi="Times New Roman"/>
          <w:bCs/>
        </w:rPr>
        <w:t>V návrhu rozpočtu verejnej správy na roky 201</w:t>
      </w:r>
      <w:r>
        <w:rPr>
          <w:rFonts w:ascii="Times New Roman" w:hAnsi="Times New Roman"/>
          <w:bCs/>
        </w:rPr>
        <w:t>8</w:t>
      </w:r>
      <w:r w:rsidRPr="001A74CB">
        <w:rPr>
          <w:rFonts w:ascii="Times New Roman" w:hAnsi="Times New Roman"/>
          <w:bCs/>
        </w:rPr>
        <w:t xml:space="preserve"> až 20</w:t>
      </w:r>
      <w:r>
        <w:rPr>
          <w:rFonts w:ascii="Times New Roman" w:hAnsi="Times New Roman"/>
          <w:bCs/>
        </w:rPr>
        <w:t>20</w:t>
      </w:r>
      <w:r w:rsidRPr="001A74CB">
        <w:rPr>
          <w:rFonts w:ascii="Times New Roman" w:hAnsi="Times New Roman"/>
          <w:bCs/>
        </w:rPr>
        <w:t xml:space="preserve"> sa na rok 201</w:t>
      </w:r>
      <w:r>
        <w:rPr>
          <w:rFonts w:ascii="Times New Roman" w:hAnsi="Times New Roman"/>
          <w:bCs/>
        </w:rPr>
        <w:t>8</w:t>
      </w:r>
      <w:r w:rsidRPr="001A74CB">
        <w:rPr>
          <w:rFonts w:ascii="Times New Roman" w:hAnsi="Times New Roman"/>
          <w:bCs/>
        </w:rPr>
        <w:t xml:space="preserve"> rozpočtujú osobné výdavky pre </w:t>
      </w:r>
      <w:r w:rsidRPr="003249A5">
        <w:rPr>
          <w:rFonts w:ascii="Times New Roman" w:hAnsi="Times New Roman"/>
          <w:bCs/>
        </w:rPr>
        <w:t>232 707</w:t>
      </w:r>
      <w:r w:rsidRPr="001A74CB">
        <w:rPr>
          <w:rFonts w:ascii="Times New Roman" w:hAnsi="Times New Roman"/>
          <w:bCs/>
        </w:rPr>
        <w:t xml:space="preserve"> zamestnancov v nižšie uvedenom členení. V porovnaní s rokom 201</w:t>
      </w:r>
      <w:r>
        <w:rPr>
          <w:rFonts w:ascii="Times New Roman" w:hAnsi="Times New Roman"/>
          <w:bCs/>
        </w:rPr>
        <w:t>7</w:t>
      </w:r>
      <w:r w:rsidRPr="001A74CB">
        <w:rPr>
          <w:rFonts w:ascii="Times New Roman" w:hAnsi="Times New Roman"/>
          <w:bCs/>
        </w:rPr>
        <w:t xml:space="preserve"> zamestnanosť v roku 201</w:t>
      </w:r>
      <w:r>
        <w:rPr>
          <w:rFonts w:ascii="Times New Roman" w:hAnsi="Times New Roman"/>
          <w:bCs/>
        </w:rPr>
        <w:t>8</w:t>
      </w:r>
      <w:r w:rsidRPr="001A74CB">
        <w:rPr>
          <w:rFonts w:ascii="Times New Roman" w:hAnsi="Times New Roman"/>
          <w:bCs/>
        </w:rPr>
        <w:t xml:space="preserve"> </w:t>
      </w:r>
      <w:r w:rsidRPr="003249A5">
        <w:rPr>
          <w:rFonts w:ascii="Times New Roman" w:hAnsi="Times New Roman"/>
          <w:bCs/>
        </w:rPr>
        <w:t>mierne rastie.</w:t>
      </w:r>
      <w:r w:rsidRPr="001A74CB">
        <w:rPr>
          <w:rFonts w:ascii="Times New Roman" w:hAnsi="Times New Roman"/>
          <w:bCs/>
          <w:color w:val="FF0000"/>
        </w:rPr>
        <w:t xml:space="preserve"> </w:t>
      </w:r>
    </w:p>
    <w:p w:rsidR="00B1578A" w:rsidRPr="001A74CB" w:rsidRDefault="00B1578A" w:rsidP="00B1578A">
      <w:pPr>
        <w:ind w:firstLine="709"/>
        <w:jc w:val="both"/>
        <w:rPr>
          <w:rFonts w:ascii="Times New Roman" w:hAnsi="Times New Roman"/>
          <w:bCs/>
        </w:rPr>
      </w:pPr>
    </w:p>
    <w:p w:rsidR="00B1578A" w:rsidRDefault="00B1578A" w:rsidP="00B1578A">
      <w:pPr>
        <w:ind w:firstLine="709"/>
        <w:jc w:val="both"/>
        <w:rPr>
          <w:rFonts w:ascii="Times New Roman" w:hAnsi="Times New Roman"/>
          <w:bCs/>
        </w:rPr>
      </w:pPr>
      <w:r w:rsidRPr="001A74CB">
        <w:rPr>
          <w:rFonts w:ascii="Times New Roman" w:hAnsi="Times New Roman"/>
          <w:bCs/>
        </w:rPr>
        <w:t>Prehľad o počte zamestnancov financovaných zo štátneho rozpočtu poskytuje tabuľka.</w:t>
      </w:r>
    </w:p>
    <w:p w:rsidR="00B1578A" w:rsidRDefault="00B1578A" w:rsidP="00B1578A">
      <w:pPr>
        <w:ind w:firstLine="709"/>
        <w:jc w:val="both"/>
        <w:rPr>
          <w:rFonts w:ascii="Times New Roman" w:hAnsi="Times New Roman"/>
          <w:bCs/>
        </w:rPr>
      </w:pPr>
    </w:p>
    <w:tbl>
      <w:tblPr>
        <w:tblW w:w="8950" w:type="dxa"/>
        <w:jc w:val="center"/>
        <w:tblCellMar>
          <w:left w:w="70" w:type="dxa"/>
          <w:right w:w="70" w:type="dxa"/>
        </w:tblCellMar>
        <w:tblLook w:val="04A0" w:firstRow="1" w:lastRow="0" w:firstColumn="1" w:lastColumn="0" w:noHBand="0" w:noVBand="1"/>
      </w:tblPr>
      <w:tblGrid>
        <w:gridCol w:w="3490"/>
        <w:gridCol w:w="780"/>
        <w:gridCol w:w="780"/>
        <w:gridCol w:w="780"/>
        <w:gridCol w:w="780"/>
        <w:gridCol w:w="780"/>
        <w:gridCol w:w="780"/>
        <w:gridCol w:w="780"/>
      </w:tblGrid>
      <w:tr w:rsidR="00B1578A" w:rsidRPr="006C328F" w:rsidTr="005C0638">
        <w:trPr>
          <w:trHeight w:val="330"/>
          <w:jc w:val="center"/>
        </w:trPr>
        <w:tc>
          <w:tcPr>
            <w:tcW w:w="349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B1578A" w:rsidRPr="006C328F" w:rsidRDefault="00B1578A" w:rsidP="005C0638">
            <w:pP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Počet zamestnancov financovaných zo štátneho rozpočtu</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2015 S</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2016 S</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2017 R</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2017 OS</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2018 N</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2019 N</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2020 N</w:t>
            </w:r>
          </w:p>
        </w:tc>
      </w:tr>
      <w:tr w:rsidR="00B1578A" w:rsidRPr="006C328F" w:rsidTr="005C0638">
        <w:trPr>
          <w:trHeight w:val="330"/>
          <w:jc w:val="center"/>
        </w:trPr>
        <w:tc>
          <w:tcPr>
            <w:tcW w:w="3490" w:type="dxa"/>
            <w:tcBorders>
              <w:top w:val="nil"/>
              <w:left w:val="single" w:sz="4" w:space="0" w:color="auto"/>
              <w:bottom w:val="single" w:sz="4" w:space="0" w:color="auto"/>
              <w:right w:val="single" w:sz="4" w:space="0" w:color="auto"/>
            </w:tcBorders>
            <w:shd w:val="clear" w:color="000000" w:fill="BFBFBF"/>
            <w:noWrap/>
            <w:vAlign w:val="center"/>
            <w:hideMark/>
          </w:tcPr>
          <w:p w:rsidR="00B1578A" w:rsidRPr="006C328F" w:rsidRDefault="00B1578A" w:rsidP="005C0638">
            <w:pP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 xml:space="preserve">SPOLU  </w:t>
            </w:r>
            <w:r w:rsidRPr="006C328F">
              <w:rPr>
                <w:rFonts w:ascii="Times New Roman" w:hAnsi="Times New Roman"/>
                <w:color w:val="000000"/>
                <w:sz w:val="14"/>
                <w:szCs w:val="14"/>
                <w:lang w:eastAsia="sk-SK"/>
              </w:rPr>
              <w:t xml:space="preserve"> (osoby)</w:t>
            </w:r>
          </w:p>
        </w:tc>
        <w:tc>
          <w:tcPr>
            <w:tcW w:w="78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228 086</w:t>
            </w:r>
          </w:p>
        </w:tc>
        <w:tc>
          <w:tcPr>
            <w:tcW w:w="78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226 230</w:t>
            </w:r>
          </w:p>
        </w:tc>
        <w:tc>
          <w:tcPr>
            <w:tcW w:w="78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232 235</w:t>
            </w:r>
          </w:p>
        </w:tc>
        <w:tc>
          <w:tcPr>
            <w:tcW w:w="78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226 917</w:t>
            </w:r>
          </w:p>
        </w:tc>
        <w:tc>
          <w:tcPr>
            <w:tcW w:w="78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232 707</w:t>
            </w:r>
          </w:p>
        </w:tc>
        <w:tc>
          <w:tcPr>
            <w:tcW w:w="78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232 715</w:t>
            </w:r>
          </w:p>
        </w:tc>
        <w:tc>
          <w:tcPr>
            <w:tcW w:w="78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right"/>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232 688</w:t>
            </w:r>
          </w:p>
        </w:tc>
      </w:tr>
      <w:tr w:rsidR="00B1578A" w:rsidRPr="006C328F" w:rsidTr="005C0638">
        <w:trPr>
          <w:trHeight w:val="285"/>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color w:val="000000"/>
                <w:sz w:val="14"/>
                <w:szCs w:val="14"/>
                <w:lang w:eastAsia="sk-SK"/>
              </w:rPr>
            </w:pPr>
            <w:r w:rsidRPr="006C328F">
              <w:rPr>
                <w:rFonts w:ascii="Times New Roman" w:hAnsi="Times New Roman"/>
                <w:color w:val="000000"/>
                <w:sz w:val="14"/>
                <w:szCs w:val="14"/>
                <w:lang w:eastAsia="sk-SK"/>
              </w:rPr>
              <w:t>štátne rozpočtové organizácie</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124 198</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123 152</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128 523</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123 202</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128 980</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128 988</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128 961</w:t>
            </w:r>
          </w:p>
        </w:tc>
      </w:tr>
      <w:tr w:rsidR="00B1578A" w:rsidRPr="006C328F" w:rsidTr="005C0638">
        <w:trPr>
          <w:trHeight w:val="285"/>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color w:val="000000"/>
                <w:sz w:val="14"/>
                <w:szCs w:val="14"/>
                <w:lang w:eastAsia="sk-SK"/>
              </w:rPr>
            </w:pPr>
            <w:r w:rsidRPr="006C328F">
              <w:rPr>
                <w:rFonts w:ascii="Times New Roman" w:hAnsi="Times New Roman"/>
                <w:color w:val="000000"/>
                <w:sz w:val="14"/>
                <w:szCs w:val="14"/>
                <w:lang w:eastAsia="sk-SK"/>
              </w:rPr>
              <w:t>štátne príspevkové organizácie</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10 713</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11 166</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10 957</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11 519</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10 999</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10 999</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10 999</w:t>
            </w:r>
          </w:p>
        </w:tc>
      </w:tr>
      <w:tr w:rsidR="00B1578A" w:rsidRPr="006C328F" w:rsidTr="005C0638">
        <w:trPr>
          <w:trHeight w:val="285"/>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color w:val="000000"/>
                <w:sz w:val="14"/>
                <w:szCs w:val="14"/>
                <w:lang w:eastAsia="sk-SK"/>
              </w:rPr>
            </w:pPr>
            <w:r w:rsidRPr="006C328F">
              <w:rPr>
                <w:rFonts w:ascii="Times New Roman" w:hAnsi="Times New Roman"/>
                <w:color w:val="000000"/>
                <w:sz w:val="14"/>
                <w:szCs w:val="14"/>
                <w:lang w:eastAsia="sk-SK"/>
              </w:rPr>
              <w:t>verejné vysoké školy</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21 365</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20 882</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21 529</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20 760</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21 529</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21 529</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21 529</w:t>
            </w:r>
          </w:p>
        </w:tc>
      </w:tr>
      <w:tr w:rsidR="00B1578A" w:rsidRPr="006C328F" w:rsidTr="005C0638">
        <w:trPr>
          <w:trHeight w:val="285"/>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color w:val="000000"/>
                <w:sz w:val="14"/>
                <w:szCs w:val="14"/>
                <w:lang w:eastAsia="sk-SK"/>
              </w:rPr>
            </w:pPr>
            <w:r w:rsidRPr="006C328F">
              <w:rPr>
                <w:rFonts w:ascii="Times New Roman" w:hAnsi="Times New Roman"/>
                <w:color w:val="000000"/>
                <w:sz w:val="14"/>
                <w:szCs w:val="14"/>
                <w:lang w:eastAsia="sk-SK"/>
              </w:rPr>
              <w:t>regionálne školstvo v územnej samospráve</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63 683</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62 657</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63 248</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62 827</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62 921</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62 921</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62 921</w:t>
            </w:r>
          </w:p>
        </w:tc>
      </w:tr>
      <w:tr w:rsidR="00B1578A" w:rsidRPr="006C328F" w:rsidTr="005C0638">
        <w:trPr>
          <w:trHeight w:val="285"/>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color w:val="000000"/>
                <w:sz w:val="14"/>
                <w:szCs w:val="14"/>
                <w:lang w:eastAsia="sk-SK"/>
              </w:rPr>
            </w:pPr>
            <w:r w:rsidRPr="006C328F">
              <w:rPr>
                <w:rFonts w:ascii="Times New Roman" w:hAnsi="Times New Roman"/>
                <w:color w:val="000000"/>
                <w:sz w:val="14"/>
                <w:szCs w:val="14"/>
                <w:lang w:eastAsia="sk-SK"/>
              </w:rPr>
              <w:t>regionálne školstvo súkromných a cirkevných zriaďovateľov*</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8 127</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8 373</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7 978</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8 609</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8 278</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8 278</w:t>
            </w:r>
          </w:p>
        </w:tc>
        <w:tc>
          <w:tcPr>
            <w:tcW w:w="7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8 278</w:t>
            </w:r>
          </w:p>
        </w:tc>
      </w:tr>
      <w:tr w:rsidR="00B1578A" w:rsidRPr="006C328F" w:rsidTr="005C0638">
        <w:trPr>
          <w:trHeight w:val="330"/>
          <w:jc w:val="center"/>
        </w:trPr>
        <w:tc>
          <w:tcPr>
            <w:tcW w:w="8950" w:type="dxa"/>
            <w:gridSpan w:val="8"/>
            <w:tcBorders>
              <w:top w:val="nil"/>
              <w:left w:val="nil"/>
              <w:bottom w:val="nil"/>
              <w:right w:val="nil"/>
            </w:tcBorders>
            <w:shd w:val="clear" w:color="auto" w:fill="auto"/>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w:t>
            </w:r>
            <w:r w:rsidR="00180A47">
              <w:rPr>
                <w:rFonts w:ascii="Times New Roman" w:hAnsi="Times New Roman"/>
                <w:sz w:val="14"/>
                <w:szCs w:val="14"/>
                <w:lang w:eastAsia="sk-SK"/>
              </w:rPr>
              <w:t xml:space="preserve"> </w:t>
            </w:r>
            <w:r w:rsidRPr="006C328F">
              <w:rPr>
                <w:rFonts w:ascii="Times New Roman" w:hAnsi="Times New Roman"/>
                <w:sz w:val="14"/>
                <w:szCs w:val="14"/>
                <w:lang w:eastAsia="sk-SK"/>
              </w:rPr>
              <w:t>nepatrí do sektora verejnej správy, ale je financované zo štátneho rozpočtu</w:t>
            </w:r>
            <w:r w:rsidRPr="006C328F">
              <w:rPr>
                <w:rFonts w:ascii="Times New Roman" w:hAnsi="Times New Roman"/>
                <w:sz w:val="14"/>
                <w:szCs w:val="14"/>
                <w:lang w:eastAsia="sk-SK"/>
              </w:rPr>
              <w:br/>
              <w:t>OS 2017 - štatistika za I. polrok 2017</w:t>
            </w:r>
            <w:r>
              <w:rPr>
                <w:rFonts w:ascii="Times New Roman" w:hAnsi="Times New Roman"/>
                <w:sz w:val="14"/>
                <w:szCs w:val="14"/>
                <w:lang w:eastAsia="sk-SK"/>
              </w:rPr>
              <w:t xml:space="preserve"> okrem regionálneho školstva (zdroj MŠVVŠ SR)</w:t>
            </w:r>
          </w:p>
        </w:tc>
      </w:tr>
    </w:tbl>
    <w:p w:rsidR="00B1578A" w:rsidRPr="00F90F73" w:rsidRDefault="00B1578A" w:rsidP="00B1578A">
      <w:pPr>
        <w:rPr>
          <w:rFonts w:ascii="Times New Roman" w:hAnsi="Times New Roman"/>
          <w:bCs/>
          <w:szCs w:val="22"/>
          <w:highlight w:val="yellow"/>
          <w:u w:val="single"/>
        </w:rPr>
      </w:pPr>
    </w:p>
    <w:p w:rsidR="006527C0" w:rsidRDefault="006527C0" w:rsidP="00B1578A">
      <w:pPr>
        <w:ind w:firstLine="708"/>
        <w:rPr>
          <w:rFonts w:ascii="Times New Roman" w:hAnsi="Times New Roman"/>
          <w:bCs/>
          <w:szCs w:val="22"/>
          <w:u w:val="single"/>
        </w:rPr>
      </w:pPr>
    </w:p>
    <w:p w:rsidR="006527C0" w:rsidRDefault="006527C0" w:rsidP="00B1578A">
      <w:pPr>
        <w:ind w:firstLine="708"/>
        <w:rPr>
          <w:rFonts w:ascii="Times New Roman" w:hAnsi="Times New Roman"/>
          <w:bCs/>
          <w:szCs w:val="22"/>
          <w:u w:val="single"/>
        </w:rPr>
      </w:pPr>
    </w:p>
    <w:p w:rsidR="006527C0" w:rsidRDefault="006527C0" w:rsidP="00B1578A">
      <w:pPr>
        <w:ind w:firstLine="708"/>
        <w:rPr>
          <w:rFonts w:ascii="Times New Roman" w:hAnsi="Times New Roman"/>
          <w:bCs/>
          <w:szCs w:val="22"/>
          <w:u w:val="single"/>
        </w:rPr>
      </w:pPr>
    </w:p>
    <w:p w:rsidR="00B1578A" w:rsidRPr="001A74CB" w:rsidRDefault="00B1578A" w:rsidP="00B1578A">
      <w:pPr>
        <w:ind w:firstLine="708"/>
        <w:rPr>
          <w:rFonts w:ascii="Times New Roman" w:hAnsi="Times New Roman"/>
          <w:bCs/>
          <w:i/>
          <w:iCs/>
          <w:szCs w:val="22"/>
          <w:u w:val="single"/>
        </w:rPr>
      </w:pPr>
      <w:r w:rsidRPr="001A74CB">
        <w:rPr>
          <w:rFonts w:ascii="Times New Roman" w:hAnsi="Times New Roman"/>
          <w:bCs/>
          <w:szCs w:val="22"/>
          <w:u w:val="single"/>
        </w:rPr>
        <w:lastRenderedPageBreak/>
        <w:t>Osobné výdavky štátnych rozpočtových organizácií</w:t>
      </w:r>
    </w:p>
    <w:p w:rsidR="00B1578A" w:rsidRPr="001A74CB" w:rsidRDefault="00B1578A" w:rsidP="00B1578A">
      <w:pPr>
        <w:jc w:val="both"/>
        <w:rPr>
          <w:rFonts w:ascii="Times New Roman" w:hAnsi="Times New Roman"/>
          <w:szCs w:val="22"/>
        </w:rPr>
      </w:pPr>
    </w:p>
    <w:p w:rsidR="00B1578A" w:rsidRDefault="00B1578A" w:rsidP="00B1578A">
      <w:pPr>
        <w:jc w:val="both"/>
        <w:rPr>
          <w:rFonts w:ascii="Times New Roman" w:hAnsi="Times New Roman"/>
          <w:bCs/>
          <w:szCs w:val="22"/>
        </w:rPr>
      </w:pPr>
      <w:r w:rsidRPr="001A74CB">
        <w:rPr>
          <w:rFonts w:ascii="Times New Roman" w:hAnsi="Times New Roman"/>
          <w:bCs/>
          <w:szCs w:val="22"/>
        </w:rPr>
        <w:tab/>
      </w:r>
      <w:r w:rsidRPr="00805FFF">
        <w:rPr>
          <w:rFonts w:ascii="Times New Roman" w:hAnsi="Times New Roman"/>
          <w:bCs/>
          <w:szCs w:val="22"/>
        </w:rPr>
        <w:t xml:space="preserve">Na rok 2018 sa rozpočtujú osobné výdavky pre </w:t>
      </w:r>
      <w:r w:rsidRPr="003249A5">
        <w:rPr>
          <w:rFonts w:ascii="Times New Roman" w:hAnsi="Times New Roman"/>
          <w:bCs/>
          <w:szCs w:val="22"/>
        </w:rPr>
        <w:t>128 980</w:t>
      </w:r>
      <w:r w:rsidRPr="00805FFF">
        <w:rPr>
          <w:rFonts w:ascii="Times New Roman" w:hAnsi="Times New Roman"/>
          <w:bCs/>
          <w:szCs w:val="22"/>
        </w:rPr>
        <w:t xml:space="preserve"> zamestnancov rozpočtových organizácií kapitol štátneho rozpočtu, čo predstavuje  medziročné zvýšenie </w:t>
      </w:r>
      <w:r w:rsidRPr="003249A5">
        <w:rPr>
          <w:rFonts w:ascii="Times New Roman" w:hAnsi="Times New Roman"/>
          <w:bCs/>
          <w:szCs w:val="22"/>
        </w:rPr>
        <w:t>o 4</w:t>
      </w:r>
      <w:r>
        <w:rPr>
          <w:rFonts w:ascii="Times New Roman" w:hAnsi="Times New Roman"/>
          <w:bCs/>
          <w:szCs w:val="22"/>
        </w:rPr>
        <w:t>57</w:t>
      </w:r>
      <w:r w:rsidRPr="00805FFF">
        <w:rPr>
          <w:rFonts w:ascii="Times New Roman" w:hAnsi="Times New Roman"/>
          <w:bCs/>
          <w:szCs w:val="22"/>
        </w:rPr>
        <w:t xml:space="preserve"> osôb. </w:t>
      </w:r>
      <w:r>
        <w:rPr>
          <w:rFonts w:ascii="Times New Roman" w:hAnsi="Times New Roman"/>
          <w:bCs/>
          <w:szCs w:val="22"/>
        </w:rPr>
        <w:t>Na zvýšenie zamestnanosti ma</w:t>
      </w:r>
      <w:r w:rsidR="00702592">
        <w:rPr>
          <w:rFonts w:ascii="Times New Roman" w:hAnsi="Times New Roman"/>
          <w:bCs/>
          <w:szCs w:val="22"/>
        </w:rPr>
        <w:t>jú</w:t>
      </w:r>
      <w:r>
        <w:rPr>
          <w:rFonts w:ascii="Times New Roman" w:hAnsi="Times New Roman"/>
          <w:bCs/>
          <w:szCs w:val="22"/>
        </w:rPr>
        <w:t xml:space="preserve"> vplyv </w:t>
      </w:r>
      <w:r w:rsidRPr="00805FFF">
        <w:rPr>
          <w:rFonts w:ascii="Times New Roman" w:hAnsi="Times New Roman"/>
          <w:bCs/>
          <w:szCs w:val="22"/>
        </w:rPr>
        <w:t>prijat</w:t>
      </w:r>
      <w:r>
        <w:rPr>
          <w:rFonts w:ascii="Times New Roman" w:hAnsi="Times New Roman"/>
          <w:bCs/>
          <w:szCs w:val="22"/>
        </w:rPr>
        <w:t>é uznesenia</w:t>
      </w:r>
      <w:r w:rsidRPr="00805FFF">
        <w:rPr>
          <w:rFonts w:ascii="Times New Roman" w:hAnsi="Times New Roman"/>
          <w:bCs/>
          <w:szCs w:val="22"/>
        </w:rPr>
        <w:t xml:space="preserve"> vlády SR, predovšetkým </w:t>
      </w:r>
      <w:r w:rsidR="00180A47">
        <w:rPr>
          <w:rFonts w:ascii="Times New Roman" w:hAnsi="Times New Roman"/>
          <w:bCs/>
          <w:szCs w:val="22"/>
        </w:rPr>
        <w:t>u</w:t>
      </w:r>
      <w:r>
        <w:rPr>
          <w:rFonts w:ascii="Times New Roman" w:hAnsi="Times New Roman"/>
          <w:bCs/>
          <w:szCs w:val="22"/>
        </w:rPr>
        <w:t>znesenie vlády</w:t>
      </w:r>
      <w:r w:rsidRPr="00805FFF">
        <w:rPr>
          <w:rFonts w:ascii="Times New Roman" w:hAnsi="Times New Roman"/>
          <w:bCs/>
          <w:szCs w:val="22"/>
        </w:rPr>
        <w:t xml:space="preserve"> </w:t>
      </w:r>
      <w:r w:rsidR="00857418">
        <w:rPr>
          <w:rFonts w:ascii="Times New Roman" w:hAnsi="Times New Roman"/>
          <w:bCs/>
          <w:szCs w:val="22"/>
        </w:rPr>
        <w:t>SR</w:t>
      </w:r>
      <w:r>
        <w:rPr>
          <w:rFonts w:ascii="Times New Roman" w:hAnsi="Times New Roman"/>
          <w:bCs/>
          <w:szCs w:val="22"/>
        </w:rPr>
        <w:t xml:space="preserve"> </w:t>
      </w:r>
      <w:r w:rsidRPr="00805FFF">
        <w:rPr>
          <w:rFonts w:ascii="Times New Roman" w:hAnsi="Times New Roman"/>
          <w:bCs/>
          <w:szCs w:val="22"/>
        </w:rPr>
        <w:t>č. 181</w:t>
      </w:r>
      <w:r w:rsidR="00857418">
        <w:rPr>
          <w:rFonts w:ascii="Times New Roman" w:hAnsi="Times New Roman"/>
          <w:bCs/>
          <w:szCs w:val="22"/>
        </w:rPr>
        <w:t xml:space="preserve"> z 11. apríla </w:t>
      </w:r>
      <w:r w:rsidRPr="00805FFF">
        <w:rPr>
          <w:rFonts w:ascii="Times New Roman" w:hAnsi="Times New Roman"/>
          <w:bCs/>
          <w:szCs w:val="22"/>
        </w:rPr>
        <w:t>2017 k</w:t>
      </w:r>
      <w:r>
        <w:rPr>
          <w:rFonts w:ascii="Times New Roman" w:hAnsi="Times New Roman"/>
          <w:bCs/>
          <w:szCs w:val="22"/>
        </w:rPr>
        <w:t> Analýze stavu a určeniu počtu administratívnych kapacít pre európske štrukturálne a investičné fondy v programovom o</w:t>
      </w:r>
      <w:r w:rsidR="00702592">
        <w:rPr>
          <w:rFonts w:ascii="Times New Roman" w:hAnsi="Times New Roman"/>
          <w:bCs/>
          <w:szCs w:val="22"/>
        </w:rPr>
        <w:t>bdobí 2014 – 2020, ktorým sa zvy</w:t>
      </w:r>
      <w:r>
        <w:rPr>
          <w:rFonts w:ascii="Times New Roman" w:hAnsi="Times New Roman"/>
          <w:bCs/>
          <w:szCs w:val="22"/>
        </w:rPr>
        <w:t>š</w:t>
      </w:r>
      <w:r w:rsidR="00702592">
        <w:rPr>
          <w:rFonts w:ascii="Times New Roman" w:hAnsi="Times New Roman"/>
          <w:bCs/>
          <w:szCs w:val="22"/>
        </w:rPr>
        <w:t>uje</w:t>
      </w:r>
      <w:r>
        <w:rPr>
          <w:rFonts w:ascii="Times New Roman" w:hAnsi="Times New Roman"/>
          <w:bCs/>
          <w:szCs w:val="22"/>
        </w:rPr>
        <w:t xml:space="preserve"> počet administratívnych kapacít osobitne sledovaných o 260 </w:t>
      </w:r>
      <w:r w:rsidRPr="00805FFF">
        <w:rPr>
          <w:rFonts w:ascii="Times New Roman" w:hAnsi="Times New Roman"/>
          <w:bCs/>
          <w:szCs w:val="22"/>
        </w:rPr>
        <w:t>osôb</w:t>
      </w:r>
      <w:r>
        <w:rPr>
          <w:rFonts w:ascii="Times New Roman" w:hAnsi="Times New Roman"/>
          <w:bCs/>
          <w:szCs w:val="22"/>
        </w:rPr>
        <w:t>. V súvislosti s novou legislatívou dochádza k posilneniu zamestnanosti v niektorých kapitolách štátneho rozpočtu, napr. v kapitole Ministerstva práce, sociálnych vecí a rodiny SR v oblasti sociálnych služieb (27 osôb), v kapitole Ministerstva spravodlivosti SR na realizáciu elektronických platových rozkazov (26 osôb), v kapitole Úradu vlády SR na posilnenie výkonu činností vyplývajúcich zo zákona č. 55/2017 Z. z. o štátnej službe (11 osôb).</w:t>
      </w:r>
    </w:p>
    <w:p w:rsidR="00B1578A" w:rsidRPr="001A74CB" w:rsidRDefault="00B1578A" w:rsidP="00B1578A">
      <w:pPr>
        <w:jc w:val="both"/>
        <w:rPr>
          <w:rFonts w:ascii="Times New Roman" w:hAnsi="Times New Roman"/>
          <w:bCs/>
          <w:color w:val="FF0000"/>
          <w:szCs w:val="22"/>
        </w:rPr>
      </w:pPr>
    </w:p>
    <w:p w:rsidR="00B1578A" w:rsidRDefault="00B1578A" w:rsidP="00B1578A">
      <w:pPr>
        <w:ind w:firstLine="708"/>
        <w:jc w:val="both"/>
        <w:rPr>
          <w:rFonts w:ascii="Times New Roman" w:hAnsi="Times New Roman"/>
          <w:bCs/>
          <w:szCs w:val="22"/>
        </w:rPr>
      </w:pPr>
      <w:r w:rsidRPr="001A74CB">
        <w:rPr>
          <w:rFonts w:ascii="Times New Roman" w:hAnsi="Times New Roman"/>
          <w:bCs/>
          <w:szCs w:val="22"/>
        </w:rPr>
        <w:t>Prehľad o skutočne dosiahnutých ukazovateľoch zamestnanosti v rokoch 201</w:t>
      </w:r>
      <w:r>
        <w:rPr>
          <w:rFonts w:ascii="Times New Roman" w:hAnsi="Times New Roman"/>
          <w:bCs/>
          <w:szCs w:val="22"/>
        </w:rPr>
        <w:t>5</w:t>
      </w:r>
      <w:r w:rsidRPr="001A74CB">
        <w:rPr>
          <w:rFonts w:ascii="Times New Roman" w:hAnsi="Times New Roman"/>
          <w:bCs/>
          <w:szCs w:val="22"/>
        </w:rPr>
        <w:t xml:space="preserve"> a 201</w:t>
      </w:r>
      <w:r>
        <w:rPr>
          <w:rFonts w:ascii="Times New Roman" w:hAnsi="Times New Roman"/>
          <w:bCs/>
          <w:szCs w:val="22"/>
        </w:rPr>
        <w:t>6</w:t>
      </w:r>
      <w:r w:rsidRPr="001A74CB">
        <w:rPr>
          <w:rFonts w:ascii="Times New Roman" w:hAnsi="Times New Roman"/>
          <w:bCs/>
          <w:szCs w:val="22"/>
        </w:rPr>
        <w:t>, o schválenom rozpočte a očakávanej skutočnosti na rok 201</w:t>
      </w:r>
      <w:r>
        <w:rPr>
          <w:rFonts w:ascii="Times New Roman" w:hAnsi="Times New Roman"/>
          <w:bCs/>
          <w:szCs w:val="22"/>
        </w:rPr>
        <w:t>7</w:t>
      </w:r>
      <w:r w:rsidRPr="001A74CB">
        <w:rPr>
          <w:rFonts w:ascii="Times New Roman" w:hAnsi="Times New Roman"/>
          <w:bCs/>
          <w:szCs w:val="22"/>
        </w:rPr>
        <w:t>, návrhu rozpočtu na roky 201</w:t>
      </w:r>
      <w:r>
        <w:rPr>
          <w:rFonts w:ascii="Times New Roman" w:hAnsi="Times New Roman"/>
          <w:bCs/>
          <w:szCs w:val="22"/>
        </w:rPr>
        <w:t>8</w:t>
      </w:r>
      <w:r w:rsidRPr="001A74CB">
        <w:rPr>
          <w:rFonts w:ascii="Times New Roman" w:hAnsi="Times New Roman"/>
          <w:bCs/>
          <w:szCs w:val="22"/>
        </w:rPr>
        <w:t xml:space="preserve"> až 20</w:t>
      </w:r>
      <w:r>
        <w:rPr>
          <w:rFonts w:ascii="Times New Roman" w:hAnsi="Times New Roman"/>
          <w:bCs/>
          <w:szCs w:val="22"/>
        </w:rPr>
        <w:t>20</w:t>
      </w:r>
      <w:r w:rsidRPr="001A74CB">
        <w:rPr>
          <w:rFonts w:ascii="Times New Roman" w:hAnsi="Times New Roman"/>
          <w:bCs/>
          <w:szCs w:val="22"/>
        </w:rPr>
        <w:t xml:space="preserve"> poskytuje priložená tabuľka.</w:t>
      </w:r>
    </w:p>
    <w:p w:rsidR="00B1578A" w:rsidRDefault="00B1578A" w:rsidP="00B1578A">
      <w:pPr>
        <w:ind w:firstLine="708"/>
        <w:jc w:val="both"/>
        <w:rPr>
          <w:rFonts w:ascii="Times New Roman" w:hAnsi="Times New Roman"/>
          <w:bCs/>
          <w:szCs w:val="22"/>
          <w:highlight w:val="yellow"/>
        </w:rPr>
      </w:pPr>
    </w:p>
    <w:tbl>
      <w:tblPr>
        <w:tblW w:w="5000" w:type="pct"/>
        <w:tblCellMar>
          <w:left w:w="70" w:type="dxa"/>
          <w:right w:w="70" w:type="dxa"/>
        </w:tblCellMar>
        <w:tblLook w:val="04A0" w:firstRow="1" w:lastRow="0" w:firstColumn="1" w:lastColumn="0" w:noHBand="0" w:noVBand="1"/>
      </w:tblPr>
      <w:tblGrid>
        <w:gridCol w:w="1805"/>
        <w:gridCol w:w="497"/>
        <w:gridCol w:w="964"/>
        <w:gridCol w:w="966"/>
        <w:gridCol w:w="966"/>
        <w:gridCol w:w="966"/>
        <w:gridCol w:w="966"/>
        <w:gridCol w:w="966"/>
        <w:gridCol w:w="966"/>
      </w:tblGrid>
      <w:tr w:rsidR="00B1578A" w:rsidRPr="006C328F" w:rsidTr="00653A95">
        <w:trPr>
          <w:trHeight w:val="495"/>
        </w:trPr>
        <w:tc>
          <w:tcPr>
            <w:tcW w:w="1270" w:type="pct"/>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B1578A" w:rsidRPr="006C328F" w:rsidRDefault="00B1578A" w:rsidP="005C0638">
            <w:pP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Rozpočtové organizácie kapitol štátneho rozpočtu</w:t>
            </w:r>
          </w:p>
        </w:tc>
        <w:tc>
          <w:tcPr>
            <w:tcW w:w="532" w:type="pct"/>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2015 S</w:t>
            </w:r>
          </w:p>
        </w:tc>
        <w:tc>
          <w:tcPr>
            <w:tcW w:w="533" w:type="pct"/>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2016 S</w:t>
            </w:r>
          </w:p>
        </w:tc>
        <w:tc>
          <w:tcPr>
            <w:tcW w:w="533" w:type="pct"/>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2017 R</w:t>
            </w:r>
          </w:p>
        </w:tc>
        <w:tc>
          <w:tcPr>
            <w:tcW w:w="533" w:type="pct"/>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2017 OS</w:t>
            </w:r>
          </w:p>
        </w:tc>
        <w:tc>
          <w:tcPr>
            <w:tcW w:w="533" w:type="pct"/>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2018 N</w:t>
            </w:r>
          </w:p>
        </w:tc>
        <w:tc>
          <w:tcPr>
            <w:tcW w:w="533" w:type="pct"/>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2019 N</w:t>
            </w:r>
          </w:p>
        </w:tc>
        <w:tc>
          <w:tcPr>
            <w:tcW w:w="533" w:type="pct"/>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2020 N</w:t>
            </w:r>
          </w:p>
        </w:tc>
      </w:tr>
      <w:tr w:rsidR="00B1578A" w:rsidRPr="006C328F" w:rsidTr="00653A95">
        <w:trPr>
          <w:trHeight w:val="270"/>
        </w:trPr>
        <w:tc>
          <w:tcPr>
            <w:tcW w:w="996" w:type="pct"/>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color w:val="000000"/>
                <w:sz w:val="14"/>
                <w:szCs w:val="14"/>
                <w:lang w:eastAsia="sk-SK"/>
              </w:rPr>
            </w:pPr>
            <w:r w:rsidRPr="006C328F">
              <w:rPr>
                <w:rFonts w:ascii="Times New Roman" w:hAnsi="Times New Roman"/>
                <w:color w:val="000000"/>
                <w:sz w:val="14"/>
                <w:szCs w:val="14"/>
                <w:lang w:eastAsia="sk-SK"/>
              </w:rPr>
              <w:t>Počet zamestnancov</w:t>
            </w:r>
          </w:p>
        </w:tc>
        <w:tc>
          <w:tcPr>
            <w:tcW w:w="274"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color w:val="000000"/>
                <w:sz w:val="14"/>
                <w:szCs w:val="14"/>
                <w:lang w:eastAsia="sk-SK"/>
              </w:rPr>
            </w:pPr>
            <w:r w:rsidRPr="006C328F">
              <w:rPr>
                <w:rFonts w:ascii="Times New Roman" w:hAnsi="Times New Roman"/>
                <w:color w:val="000000"/>
                <w:sz w:val="14"/>
                <w:szCs w:val="14"/>
                <w:lang w:eastAsia="sk-SK"/>
              </w:rPr>
              <w:t>osoby</w:t>
            </w:r>
          </w:p>
        </w:tc>
        <w:tc>
          <w:tcPr>
            <w:tcW w:w="532"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124 198</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123 152</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128 523</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123 202</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128 980</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128 988</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128 961</w:t>
            </w:r>
          </w:p>
        </w:tc>
      </w:tr>
      <w:tr w:rsidR="00B1578A" w:rsidRPr="006C328F" w:rsidTr="00653A95">
        <w:trPr>
          <w:trHeight w:val="270"/>
        </w:trPr>
        <w:tc>
          <w:tcPr>
            <w:tcW w:w="996" w:type="pct"/>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Osobné výdavky</w:t>
            </w:r>
          </w:p>
        </w:tc>
        <w:tc>
          <w:tcPr>
            <w:tcW w:w="274"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eur</w:t>
            </w:r>
          </w:p>
        </w:tc>
        <w:tc>
          <w:tcPr>
            <w:tcW w:w="532"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2 282 035 571</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2 408 565 407</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2 357 570 414</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2 518 101 000</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2 641 947 126</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2 698 199 259</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2 762 611 956</w:t>
            </w:r>
          </w:p>
        </w:tc>
      </w:tr>
      <w:tr w:rsidR="00B1578A" w:rsidRPr="006C328F" w:rsidTr="00653A95">
        <w:trPr>
          <w:trHeight w:val="270"/>
        </w:trPr>
        <w:tc>
          <w:tcPr>
            <w:tcW w:w="996" w:type="pct"/>
            <w:tcBorders>
              <w:top w:val="nil"/>
              <w:left w:val="single" w:sz="4" w:space="0" w:color="auto"/>
              <w:bottom w:val="nil"/>
              <w:right w:val="single" w:sz="4" w:space="0" w:color="auto"/>
            </w:tcBorders>
            <w:shd w:val="clear" w:color="auto" w:fill="auto"/>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z toho:  mzdové výdavky</w:t>
            </w:r>
          </w:p>
        </w:tc>
        <w:tc>
          <w:tcPr>
            <w:tcW w:w="274"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eur</w:t>
            </w:r>
          </w:p>
        </w:tc>
        <w:tc>
          <w:tcPr>
            <w:tcW w:w="532"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1 677 390 301</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1 776 554 807</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1 745 016 768</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1 863 868 000</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1 953 532 101</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1 995 163 986</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2 042 521 594</w:t>
            </w:r>
          </w:p>
        </w:tc>
      </w:tr>
      <w:tr w:rsidR="00B1578A" w:rsidRPr="006C328F" w:rsidTr="00653A95">
        <w:trPr>
          <w:trHeight w:val="270"/>
        </w:trPr>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color w:val="000000"/>
                <w:sz w:val="14"/>
                <w:szCs w:val="14"/>
                <w:lang w:eastAsia="sk-SK"/>
              </w:rPr>
            </w:pPr>
            <w:r w:rsidRPr="006C328F">
              <w:rPr>
                <w:rFonts w:ascii="Times New Roman" w:hAnsi="Times New Roman"/>
                <w:color w:val="000000"/>
                <w:sz w:val="14"/>
                <w:szCs w:val="14"/>
                <w:lang w:eastAsia="sk-SK"/>
              </w:rPr>
              <w:t>Priemerný mzdový výdavok</w:t>
            </w:r>
          </w:p>
        </w:tc>
        <w:tc>
          <w:tcPr>
            <w:tcW w:w="274"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color w:val="000000"/>
                <w:sz w:val="14"/>
                <w:szCs w:val="14"/>
                <w:lang w:eastAsia="sk-SK"/>
              </w:rPr>
            </w:pPr>
            <w:r w:rsidRPr="006C328F">
              <w:rPr>
                <w:rFonts w:ascii="Times New Roman" w:hAnsi="Times New Roman"/>
                <w:color w:val="000000"/>
                <w:sz w:val="14"/>
                <w:szCs w:val="14"/>
                <w:lang w:eastAsia="sk-SK"/>
              </w:rPr>
              <w:t>eur</w:t>
            </w:r>
          </w:p>
        </w:tc>
        <w:tc>
          <w:tcPr>
            <w:tcW w:w="532"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1 125,48</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1 202,14</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1 131,46</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1 260,71</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1 262,17</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1 288,99</w:t>
            </w:r>
          </w:p>
        </w:tc>
        <w:tc>
          <w:tcPr>
            <w:tcW w:w="533"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1 319,86</w:t>
            </w:r>
          </w:p>
        </w:tc>
      </w:tr>
      <w:tr w:rsidR="00B1578A" w:rsidRPr="006C328F" w:rsidTr="00653A95">
        <w:trPr>
          <w:trHeight w:val="434"/>
        </w:trPr>
        <w:tc>
          <w:tcPr>
            <w:tcW w:w="5000" w:type="pct"/>
            <w:gridSpan w:val="9"/>
            <w:tcBorders>
              <w:top w:val="nil"/>
              <w:left w:val="nil"/>
              <w:bottom w:val="nil"/>
              <w:right w:val="nil"/>
            </w:tcBorders>
            <w:shd w:val="clear" w:color="auto" w:fill="auto"/>
            <w:vAlign w:val="center"/>
            <w:hideMark/>
          </w:tcPr>
          <w:p w:rsidR="00B1578A"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Skutočnosť osobných výdavkov v rokoch 2015 a 2</w:t>
            </w:r>
            <w:r>
              <w:rPr>
                <w:rFonts w:ascii="Times New Roman" w:hAnsi="Times New Roman"/>
                <w:sz w:val="14"/>
                <w:szCs w:val="14"/>
                <w:lang w:eastAsia="sk-SK"/>
              </w:rPr>
              <w:t xml:space="preserve">016 - Štátny záverečný účet SR. </w:t>
            </w:r>
            <w:r w:rsidRPr="006C328F">
              <w:rPr>
                <w:rFonts w:ascii="Times New Roman" w:hAnsi="Times New Roman"/>
                <w:sz w:val="14"/>
                <w:szCs w:val="14"/>
                <w:lang w:eastAsia="sk-SK"/>
              </w:rPr>
              <w:t xml:space="preserve">R 2017 </w:t>
            </w:r>
            <w:r w:rsidRPr="008D6B25">
              <w:rPr>
                <w:rFonts w:ascii="Times New Roman" w:hAnsi="Times New Roman"/>
                <w:sz w:val="14"/>
                <w:szCs w:val="14"/>
                <w:lang w:eastAsia="sk-SK"/>
              </w:rPr>
              <w:t>nezo</w:t>
            </w:r>
            <w:r w:rsidRPr="006C328F">
              <w:rPr>
                <w:rFonts w:ascii="Times New Roman" w:hAnsi="Times New Roman"/>
                <w:sz w:val="14"/>
                <w:szCs w:val="14"/>
                <w:lang w:eastAsia="sk-SK"/>
              </w:rPr>
              <w:t>hľadňuje závery kolektívneho vyjednávania</w:t>
            </w:r>
            <w:r>
              <w:rPr>
                <w:rFonts w:ascii="Times New Roman" w:hAnsi="Times New Roman"/>
                <w:sz w:val="14"/>
                <w:szCs w:val="14"/>
                <w:lang w:eastAsia="sk-SK"/>
              </w:rPr>
              <w:t xml:space="preserve">. </w:t>
            </w:r>
          </w:p>
          <w:p w:rsidR="00B1578A" w:rsidRPr="006C328F" w:rsidRDefault="00B1578A" w:rsidP="00767C2F">
            <w:pPr>
              <w:rPr>
                <w:rFonts w:ascii="Times New Roman" w:hAnsi="Times New Roman"/>
                <w:sz w:val="14"/>
                <w:szCs w:val="14"/>
                <w:lang w:eastAsia="sk-SK"/>
              </w:rPr>
            </w:pPr>
            <w:r w:rsidRPr="006C328F">
              <w:rPr>
                <w:rFonts w:ascii="Times New Roman" w:hAnsi="Times New Roman"/>
                <w:sz w:val="14"/>
                <w:szCs w:val="14"/>
                <w:lang w:eastAsia="sk-SK"/>
              </w:rPr>
              <w:t xml:space="preserve">OS 2017 v počtoch zamestnancov zohľadňuje údaje zo štatistiky za I. polrok 2017 a v osobných výdavkoch </w:t>
            </w:r>
            <w:r>
              <w:rPr>
                <w:rFonts w:ascii="Times New Roman" w:hAnsi="Times New Roman"/>
                <w:sz w:val="14"/>
                <w:szCs w:val="14"/>
                <w:lang w:eastAsia="sk-SK"/>
              </w:rPr>
              <w:t xml:space="preserve">KZVS na rok 2017 a odhad čerpania zdrojov EÚ a spolufinancovania zo ŠR. </w:t>
            </w:r>
            <w:r w:rsidRPr="006C328F">
              <w:rPr>
                <w:rFonts w:ascii="Times New Roman" w:hAnsi="Times New Roman"/>
                <w:sz w:val="14"/>
                <w:szCs w:val="14"/>
                <w:lang w:eastAsia="sk-SK"/>
              </w:rPr>
              <w:t xml:space="preserve">Návrh rozpočtu na roky 2018 </w:t>
            </w:r>
            <w:r w:rsidR="00180A47">
              <w:rPr>
                <w:rFonts w:ascii="Times New Roman" w:hAnsi="Times New Roman"/>
                <w:sz w:val="14"/>
                <w:szCs w:val="14"/>
                <w:lang w:eastAsia="sk-SK"/>
              </w:rPr>
              <w:t>až</w:t>
            </w:r>
            <w:r w:rsidRPr="006C328F">
              <w:rPr>
                <w:rFonts w:ascii="Times New Roman" w:hAnsi="Times New Roman"/>
                <w:sz w:val="14"/>
                <w:szCs w:val="14"/>
                <w:lang w:eastAsia="sk-SK"/>
              </w:rPr>
              <w:t xml:space="preserve"> 2020 nezohľadňuje zdroje EÚ a spolufinancovania zo ŠR.</w:t>
            </w:r>
          </w:p>
        </w:tc>
      </w:tr>
    </w:tbl>
    <w:p w:rsidR="00B1578A" w:rsidRPr="00F90F73" w:rsidRDefault="00B1578A" w:rsidP="00B1578A">
      <w:pPr>
        <w:ind w:firstLine="708"/>
        <w:jc w:val="both"/>
        <w:rPr>
          <w:rFonts w:ascii="Times New Roman" w:hAnsi="Times New Roman"/>
          <w:bCs/>
          <w:szCs w:val="22"/>
          <w:highlight w:val="yellow"/>
        </w:rPr>
      </w:pPr>
    </w:p>
    <w:p w:rsidR="00B1578A" w:rsidRPr="00531880" w:rsidRDefault="00B1578A" w:rsidP="00B1578A">
      <w:pPr>
        <w:ind w:firstLine="708"/>
        <w:jc w:val="both"/>
        <w:rPr>
          <w:rFonts w:ascii="Times New Roman" w:hAnsi="Times New Roman"/>
          <w:bCs/>
          <w:color w:val="FF0000"/>
          <w:szCs w:val="22"/>
        </w:rPr>
      </w:pPr>
      <w:r w:rsidRPr="00F738B8">
        <w:rPr>
          <w:rFonts w:ascii="Times New Roman" w:hAnsi="Times New Roman"/>
          <w:bCs/>
          <w:szCs w:val="22"/>
        </w:rPr>
        <w:t>V roku 2018 sa pre zamestnancov rozpočtových organizácií rozpočtujú osobné výdavky v sume 2,64 mld. eur, v tom mzdy a platy v sume 1,95 mld. eur</w:t>
      </w:r>
      <w:r w:rsidR="00C10BC3">
        <w:rPr>
          <w:rFonts w:ascii="Times New Roman" w:hAnsi="Times New Roman"/>
          <w:bCs/>
          <w:szCs w:val="22"/>
        </w:rPr>
        <w:t xml:space="preserve"> s</w:t>
      </w:r>
      <w:r w:rsidRPr="00F738B8">
        <w:rPr>
          <w:rFonts w:ascii="Times New Roman" w:hAnsi="Times New Roman"/>
          <w:bCs/>
          <w:szCs w:val="22"/>
        </w:rPr>
        <w:t xml:space="preserve"> priemern</w:t>
      </w:r>
      <w:r w:rsidR="00C10BC3">
        <w:rPr>
          <w:rFonts w:ascii="Times New Roman" w:hAnsi="Times New Roman"/>
          <w:bCs/>
          <w:szCs w:val="22"/>
        </w:rPr>
        <w:t>ým</w:t>
      </w:r>
      <w:r w:rsidRPr="00F738B8">
        <w:rPr>
          <w:rFonts w:ascii="Times New Roman" w:hAnsi="Times New Roman"/>
          <w:bCs/>
          <w:szCs w:val="22"/>
        </w:rPr>
        <w:t xml:space="preserve"> mzdov</w:t>
      </w:r>
      <w:r w:rsidR="00C10BC3">
        <w:rPr>
          <w:rFonts w:ascii="Times New Roman" w:hAnsi="Times New Roman"/>
          <w:bCs/>
          <w:szCs w:val="22"/>
        </w:rPr>
        <w:t>ým</w:t>
      </w:r>
      <w:r w:rsidRPr="00F738B8">
        <w:rPr>
          <w:rFonts w:ascii="Times New Roman" w:hAnsi="Times New Roman"/>
          <w:bCs/>
          <w:szCs w:val="22"/>
        </w:rPr>
        <w:t xml:space="preserve"> výdavk</w:t>
      </w:r>
      <w:r w:rsidR="00C10BC3">
        <w:rPr>
          <w:rFonts w:ascii="Times New Roman" w:hAnsi="Times New Roman"/>
          <w:bCs/>
          <w:szCs w:val="22"/>
        </w:rPr>
        <w:t>om</w:t>
      </w:r>
      <w:r w:rsidRPr="00F738B8">
        <w:rPr>
          <w:rFonts w:ascii="Times New Roman" w:hAnsi="Times New Roman"/>
          <w:bCs/>
          <w:szCs w:val="22"/>
        </w:rPr>
        <w:t xml:space="preserve"> na úrovni 1 262,17 eur. Navrhované osobné výdavky vplyvom započítania valorizácie aj z roku 2017 medziročne rastú o 284 mil. eur</w:t>
      </w:r>
      <w:r>
        <w:rPr>
          <w:rFonts w:ascii="Times New Roman" w:hAnsi="Times New Roman"/>
          <w:bCs/>
          <w:szCs w:val="22"/>
        </w:rPr>
        <w:t>.</w:t>
      </w:r>
      <w:r w:rsidRPr="00531880">
        <w:rPr>
          <w:rFonts w:ascii="Times New Roman" w:hAnsi="Times New Roman"/>
          <w:bCs/>
          <w:szCs w:val="22"/>
        </w:rPr>
        <w:t xml:space="preserve"> </w:t>
      </w:r>
    </w:p>
    <w:p w:rsidR="00B1578A" w:rsidRPr="006527C0" w:rsidRDefault="00B1578A" w:rsidP="00B1578A">
      <w:pPr>
        <w:ind w:firstLine="709"/>
        <w:jc w:val="both"/>
        <w:rPr>
          <w:rFonts w:ascii="Times New Roman" w:hAnsi="Times New Roman"/>
          <w:color w:val="FF0000"/>
          <w:sz w:val="18"/>
          <w:szCs w:val="22"/>
          <w:highlight w:val="yellow"/>
        </w:rPr>
      </w:pPr>
    </w:p>
    <w:p w:rsidR="00B1578A" w:rsidRPr="00531880" w:rsidRDefault="00B1578A" w:rsidP="00B1578A">
      <w:pPr>
        <w:ind w:firstLine="708"/>
        <w:rPr>
          <w:rFonts w:ascii="Times New Roman" w:hAnsi="Times New Roman"/>
          <w:bCs/>
          <w:szCs w:val="22"/>
          <w:u w:val="single"/>
        </w:rPr>
      </w:pPr>
      <w:r w:rsidRPr="00531880">
        <w:rPr>
          <w:rFonts w:ascii="Times New Roman" w:hAnsi="Times New Roman"/>
          <w:bCs/>
          <w:szCs w:val="22"/>
          <w:u w:val="single"/>
        </w:rPr>
        <w:t xml:space="preserve">Osobné výdavky štátnych príspevkových organizácií </w:t>
      </w:r>
    </w:p>
    <w:p w:rsidR="00B1578A" w:rsidRPr="006527C0" w:rsidRDefault="00B1578A" w:rsidP="00B1578A">
      <w:pPr>
        <w:ind w:firstLine="708"/>
        <w:rPr>
          <w:rFonts w:ascii="Times New Roman" w:hAnsi="Times New Roman"/>
          <w:color w:val="FF0000"/>
          <w:sz w:val="16"/>
          <w:szCs w:val="22"/>
          <w:highlight w:val="yellow"/>
        </w:rPr>
      </w:pPr>
    </w:p>
    <w:p w:rsidR="00B1578A" w:rsidRDefault="00B1578A" w:rsidP="00B1578A">
      <w:pPr>
        <w:ind w:firstLine="709"/>
        <w:jc w:val="both"/>
        <w:rPr>
          <w:rFonts w:ascii="Times New Roman" w:hAnsi="Times New Roman"/>
          <w:szCs w:val="22"/>
        </w:rPr>
      </w:pPr>
      <w:r>
        <w:rPr>
          <w:rFonts w:ascii="Times New Roman" w:hAnsi="Times New Roman"/>
          <w:szCs w:val="22"/>
        </w:rPr>
        <w:t xml:space="preserve">Na rok 2018 sa rozpočtujú osobné výdavky </w:t>
      </w:r>
      <w:r w:rsidRPr="00F738B8">
        <w:rPr>
          <w:rFonts w:ascii="Times New Roman" w:hAnsi="Times New Roman"/>
          <w:szCs w:val="22"/>
        </w:rPr>
        <w:t>pre 10 999 zamestnancov štátnych príspevkových organizácií kapitol štátneho rozpočtu zaradených do sektora verejnej správy, čo predstavuje medziročné zvýšenie o 42 osôb. Medziročná</w:t>
      </w:r>
      <w:r w:rsidRPr="00531880">
        <w:rPr>
          <w:rFonts w:ascii="Times New Roman" w:hAnsi="Times New Roman"/>
          <w:szCs w:val="22"/>
        </w:rPr>
        <w:t xml:space="preserve"> zmena počtu zamestnancov príspevkových organizácií zohľadňuje </w:t>
      </w:r>
      <w:r>
        <w:rPr>
          <w:rFonts w:ascii="Times New Roman" w:hAnsi="Times New Roman"/>
          <w:szCs w:val="22"/>
        </w:rPr>
        <w:t xml:space="preserve">najmä </w:t>
      </w:r>
      <w:r w:rsidRPr="00531880">
        <w:rPr>
          <w:rFonts w:ascii="Times New Roman" w:hAnsi="Times New Roman"/>
          <w:szCs w:val="22"/>
        </w:rPr>
        <w:t xml:space="preserve">transformáciu </w:t>
      </w:r>
      <w:r>
        <w:rPr>
          <w:rFonts w:ascii="Times New Roman" w:hAnsi="Times New Roman"/>
          <w:szCs w:val="22"/>
        </w:rPr>
        <w:t xml:space="preserve">SAV a zrušenie Slovenskej agentúry pre cestovný ruch. </w:t>
      </w:r>
    </w:p>
    <w:p w:rsidR="00B1578A" w:rsidRDefault="00B1578A" w:rsidP="00B1578A">
      <w:pPr>
        <w:ind w:firstLine="709"/>
        <w:jc w:val="both"/>
        <w:rPr>
          <w:rFonts w:ascii="Times New Roman" w:hAnsi="Times New Roman"/>
          <w:szCs w:val="22"/>
        </w:rPr>
      </w:pPr>
    </w:p>
    <w:p w:rsidR="00B1578A" w:rsidRDefault="00B1578A" w:rsidP="00B1578A">
      <w:pPr>
        <w:ind w:firstLine="708"/>
        <w:jc w:val="both"/>
        <w:rPr>
          <w:rFonts w:ascii="Times New Roman" w:hAnsi="Times New Roman"/>
          <w:bCs/>
          <w:szCs w:val="22"/>
        </w:rPr>
      </w:pPr>
      <w:r w:rsidRPr="001A74CB">
        <w:rPr>
          <w:rFonts w:ascii="Times New Roman" w:hAnsi="Times New Roman"/>
          <w:bCs/>
          <w:szCs w:val="22"/>
        </w:rPr>
        <w:t>Prehľad o skutočne dosiahnutých ukazovateľoch zamestnanosti v rokoch 201</w:t>
      </w:r>
      <w:r>
        <w:rPr>
          <w:rFonts w:ascii="Times New Roman" w:hAnsi="Times New Roman"/>
          <w:bCs/>
          <w:szCs w:val="22"/>
        </w:rPr>
        <w:t>5</w:t>
      </w:r>
      <w:r w:rsidRPr="001A74CB">
        <w:rPr>
          <w:rFonts w:ascii="Times New Roman" w:hAnsi="Times New Roman"/>
          <w:bCs/>
          <w:szCs w:val="22"/>
        </w:rPr>
        <w:t xml:space="preserve"> a 201</w:t>
      </w:r>
      <w:r>
        <w:rPr>
          <w:rFonts w:ascii="Times New Roman" w:hAnsi="Times New Roman"/>
          <w:bCs/>
          <w:szCs w:val="22"/>
        </w:rPr>
        <w:t>6</w:t>
      </w:r>
      <w:r w:rsidRPr="001A74CB">
        <w:rPr>
          <w:rFonts w:ascii="Times New Roman" w:hAnsi="Times New Roman"/>
          <w:bCs/>
          <w:szCs w:val="22"/>
        </w:rPr>
        <w:t>, o schválenom rozpočte a očakávanej skutočnosti na rok 201</w:t>
      </w:r>
      <w:r>
        <w:rPr>
          <w:rFonts w:ascii="Times New Roman" w:hAnsi="Times New Roman"/>
          <w:bCs/>
          <w:szCs w:val="22"/>
        </w:rPr>
        <w:t>7</w:t>
      </w:r>
      <w:r w:rsidRPr="001A74CB">
        <w:rPr>
          <w:rFonts w:ascii="Times New Roman" w:hAnsi="Times New Roman"/>
          <w:bCs/>
          <w:szCs w:val="22"/>
        </w:rPr>
        <w:t>, návrhu rozpočtu na roky 201</w:t>
      </w:r>
      <w:r>
        <w:rPr>
          <w:rFonts w:ascii="Times New Roman" w:hAnsi="Times New Roman"/>
          <w:bCs/>
          <w:szCs w:val="22"/>
        </w:rPr>
        <w:t>8</w:t>
      </w:r>
      <w:r w:rsidRPr="001A74CB">
        <w:rPr>
          <w:rFonts w:ascii="Times New Roman" w:hAnsi="Times New Roman"/>
          <w:bCs/>
          <w:szCs w:val="22"/>
        </w:rPr>
        <w:t xml:space="preserve"> až 20</w:t>
      </w:r>
      <w:r>
        <w:rPr>
          <w:rFonts w:ascii="Times New Roman" w:hAnsi="Times New Roman"/>
          <w:bCs/>
          <w:szCs w:val="22"/>
        </w:rPr>
        <w:t>20</w:t>
      </w:r>
      <w:r w:rsidRPr="001A74CB">
        <w:rPr>
          <w:rFonts w:ascii="Times New Roman" w:hAnsi="Times New Roman"/>
          <w:bCs/>
          <w:szCs w:val="22"/>
        </w:rPr>
        <w:t xml:space="preserve"> poskytuje priložená tabuľka.</w:t>
      </w:r>
    </w:p>
    <w:p w:rsidR="00B1578A" w:rsidRDefault="00B1578A" w:rsidP="00B1578A">
      <w:pPr>
        <w:ind w:firstLine="709"/>
        <w:jc w:val="both"/>
        <w:rPr>
          <w:rFonts w:ascii="Times New Roman" w:hAnsi="Times New Roman"/>
          <w:szCs w:val="22"/>
        </w:rPr>
      </w:pPr>
    </w:p>
    <w:tbl>
      <w:tblPr>
        <w:tblW w:w="5000" w:type="pct"/>
        <w:tblCellMar>
          <w:left w:w="70" w:type="dxa"/>
          <w:right w:w="70" w:type="dxa"/>
        </w:tblCellMar>
        <w:tblLook w:val="04A0" w:firstRow="1" w:lastRow="0" w:firstColumn="1" w:lastColumn="0" w:noHBand="0" w:noVBand="1"/>
      </w:tblPr>
      <w:tblGrid>
        <w:gridCol w:w="1727"/>
        <w:gridCol w:w="543"/>
        <w:gridCol w:w="971"/>
        <w:gridCol w:w="971"/>
        <w:gridCol w:w="971"/>
        <w:gridCol w:w="971"/>
        <w:gridCol w:w="971"/>
        <w:gridCol w:w="971"/>
        <w:gridCol w:w="966"/>
      </w:tblGrid>
      <w:tr w:rsidR="00B1578A" w:rsidRPr="006C328F" w:rsidTr="00F120E2">
        <w:trPr>
          <w:trHeight w:val="495"/>
        </w:trPr>
        <w:tc>
          <w:tcPr>
            <w:tcW w:w="1237" w:type="pct"/>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rsidR="00B1578A" w:rsidRPr="006C328F" w:rsidRDefault="00B1578A" w:rsidP="005C0638">
            <w:pP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Príspevkové organizácie kapitol štátneho rozpočtu</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2015 S</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2016 S</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2017 R</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2017 OS</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2018 N</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2019 N</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2020 N</w:t>
            </w:r>
          </w:p>
        </w:tc>
      </w:tr>
      <w:tr w:rsidR="00B1578A" w:rsidRPr="006C328F" w:rsidTr="00F120E2">
        <w:trPr>
          <w:trHeight w:val="270"/>
        </w:trPr>
        <w:tc>
          <w:tcPr>
            <w:tcW w:w="935" w:type="pct"/>
            <w:tcBorders>
              <w:top w:val="nil"/>
              <w:left w:val="single" w:sz="4" w:space="0" w:color="auto"/>
              <w:bottom w:val="nil"/>
              <w:right w:val="single" w:sz="4" w:space="0" w:color="auto"/>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Počet zamestnancov</w:t>
            </w:r>
          </w:p>
        </w:tc>
        <w:tc>
          <w:tcPr>
            <w:tcW w:w="301" w:type="pct"/>
            <w:tcBorders>
              <w:top w:val="nil"/>
              <w:left w:val="nil"/>
              <w:bottom w:val="nil"/>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osoby</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10 713</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11 166</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10 957</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11 519</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10 999</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10 999</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10 999</w:t>
            </w:r>
          </w:p>
        </w:tc>
      </w:tr>
      <w:tr w:rsidR="00B1578A" w:rsidRPr="006C328F" w:rsidTr="00F120E2">
        <w:trPr>
          <w:trHeight w:val="270"/>
        </w:trPr>
        <w:tc>
          <w:tcPr>
            <w:tcW w:w="935" w:type="pct"/>
            <w:tcBorders>
              <w:top w:val="single" w:sz="4" w:space="0" w:color="auto"/>
              <w:left w:val="single" w:sz="4" w:space="0" w:color="auto"/>
              <w:bottom w:val="nil"/>
              <w:right w:val="single" w:sz="4" w:space="0" w:color="auto"/>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Osobné výdavky</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eur</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169 769 000</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172 657 000</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159 014 933</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169 098 000</w:t>
            </w:r>
          </w:p>
        </w:tc>
        <w:tc>
          <w:tcPr>
            <w:tcW w:w="538" w:type="pct"/>
            <w:tcBorders>
              <w:top w:val="nil"/>
              <w:left w:val="nil"/>
              <w:bottom w:val="single" w:sz="4" w:space="0" w:color="auto"/>
              <w:right w:val="single" w:sz="4" w:space="0" w:color="auto"/>
            </w:tcBorders>
            <w:shd w:val="clear" w:color="auto" w:fill="auto"/>
            <w:noWrap/>
            <w:vAlign w:val="center"/>
          </w:tcPr>
          <w:p w:rsidR="00B1578A" w:rsidRPr="006C328F" w:rsidRDefault="00F120E2" w:rsidP="005C0638">
            <w:pPr>
              <w:jc w:val="right"/>
              <w:rPr>
                <w:rFonts w:ascii="Times New Roman" w:hAnsi="Times New Roman"/>
                <w:b/>
                <w:bCs/>
                <w:sz w:val="14"/>
                <w:szCs w:val="14"/>
                <w:lang w:eastAsia="sk-SK"/>
              </w:rPr>
            </w:pPr>
            <w:r>
              <w:rPr>
                <w:rFonts w:ascii="Times New Roman" w:hAnsi="Times New Roman"/>
                <w:b/>
                <w:bCs/>
                <w:sz w:val="14"/>
                <w:szCs w:val="14"/>
                <w:lang w:eastAsia="sk-SK"/>
              </w:rPr>
              <w:t>181 308 758</w:t>
            </w:r>
          </w:p>
        </w:tc>
        <w:tc>
          <w:tcPr>
            <w:tcW w:w="538" w:type="pct"/>
            <w:tcBorders>
              <w:top w:val="nil"/>
              <w:left w:val="nil"/>
              <w:bottom w:val="single" w:sz="4" w:space="0" w:color="auto"/>
              <w:right w:val="single" w:sz="4" w:space="0" w:color="auto"/>
            </w:tcBorders>
            <w:shd w:val="clear" w:color="auto" w:fill="auto"/>
            <w:noWrap/>
            <w:vAlign w:val="center"/>
          </w:tcPr>
          <w:p w:rsidR="00B1578A" w:rsidRPr="006C328F" w:rsidRDefault="00F120E2" w:rsidP="005C0638">
            <w:pPr>
              <w:jc w:val="right"/>
              <w:rPr>
                <w:rFonts w:ascii="Times New Roman" w:hAnsi="Times New Roman"/>
                <w:b/>
                <w:bCs/>
                <w:sz w:val="14"/>
                <w:szCs w:val="14"/>
                <w:lang w:eastAsia="sk-SK"/>
              </w:rPr>
            </w:pPr>
            <w:r>
              <w:rPr>
                <w:rFonts w:ascii="Times New Roman" w:hAnsi="Times New Roman"/>
                <w:b/>
                <w:bCs/>
                <w:sz w:val="14"/>
                <w:szCs w:val="14"/>
                <w:lang w:eastAsia="sk-SK"/>
              </w:rPr>
              <w:t>184 733 241</w:t>
            </w:r>
          </w:p>
        </w:tc>
        <w:tc>
          <w:tcPr>
            <w:tcW w:w="538" w:type="pct"/>
            <w:tcBorders>
              <w:top w:val="nil"/>
              <w:left w:val="nil"/>
              <w:bottom w:val="single" w:sz="4" w:space="0" w:color="auto"/>
              <w:right w:val="single" w:sz="4" w:space="0" w:color="auto"/>
            </w:tcBorders>
            <w:shd w:val="clear" w:color="auto" w:fill="auto"/>
            <w:noWrap/>
            <w:vAlign w:val="center"/>
          </w:tcPr>
          <w:p w:rsidR="00B1578A" w:rsidRPr="006C328F" w:rsidRDefault="00F120E2" w:rsidP="005C0638">
            <w:pPr>
              <w:jc w:val="right"/>
              <w:rPr>
                <w:rFonts w:ascii="Times New Roman" w:hAnsi="Times New Roman"/>
                <w:b/>
                <w:bCs/>
                <w:sz w:val="14"/>
                <w:szCs w:val="14"/>
                <w:lang w:eastAsia="sk-SK"/>
              </w:rPr>
            </w:pPr>
            <w:r>
              <w:rPr>
                <w:rFonts w:ascii="Times New Roman" w:hAnsi="Times New Roman"/>
                <w:b/>
                <w:bCs/>
                <w:sz w:val="14"/>
                <w:szCs w:val="14"/>
                <w:lang w:eastAsia="sk-SK"/>
              </w:rPr>
              <w:t>190 301 251</w:t>
            </w:r>
          </w:p>
        </w:tc>
      </w:tr>
      <w:tr w:rsidR="00B1578A" w:rsidRPr="006C328F" w:rsidTr="00F120E2">
        <w:trPr>
          <w:trHeight w:val="270"/>
        </w:trPr>
        <w:tc>
          <w:tcPr>
            <w:tcW w:w="935" w:type="pct"/>
            <w:tcBorders>
              <w:top w:val="single" w:sz="4" w:space="0" w:color="auto"/>
              <w:left w:val="single" w:sz="4" w:space="0" w:color="auto"/>
              <w:bottom w:val="nil"/>
              <w:right w:val="single" w:sz="4" w:space="0" w:color="auto"/>
            </w:tcBorders>
            <w:shd w:val="clear" w:color="auto" w:fill="auto"/>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z toho:  mzdové výdavky</w:t>
            </w:r>
          </w:p>
        </w:tc>
        <w:tc>
          <w:tcPr>
            <w:tcW w:w="301"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eur</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123 091 000</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126 634 000</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117 097 760</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124 406 000</w:t>
            </w:r>
          </w:p>
        </w:tc>
        <w:tc>
          <w:tcPr>
            <w:tcW w:w="538" w:type="pct"/>
            <w:tcBorders>
              <w:top w:val="nil"/>
              <w:left w:val="nil"/>
              <w:bottom w:val="single" w:sz="4" w:space="0" w:color="auto"/>
              <w:right w:val="single" w:sz="4" w:space="0" w:color="auto"/>
            </w:tcBorders>
            <w:shd w:val="clear" w:color="auto" w:fill="auto"/>
            <w:noWrap/>
            <w:vAlign w:val="center"/>
          </w:tcPr>
          <w:p w:rsidR="00B1578A" w:rsidRPr="006C328F" w:rsidRDefault="00F120E2" w:rsidP="005C0638">
            <w:pPr>
              <w:jc w:val="right"/>
              <w:rPr>
                <w:rFonts w:ascii="Times New Roman" w:hAnsi="Times New Roman"/>
                <w:sz w:val="14"/>
                <w:szCs w:val="14"/>
                <w:lang w:eastAsia="sk-SK"/>
              </w:rPr>
            </w:pPr>
            <w:r>
              <w:rPr>
                <w:rFonts w:ascii="Times New Roman" w:hAnsi="Times New Roman"/>
                <w:sz w:val="14"/>
                <w:szCs w:val="14"/>
                <w:lang w:eastAsia="sk-SK"/>
              </w:rPr>
              <w:t>132 793 459</w:t>
            </w:r>
          </w:p>
        </w:tc>
        <w:tc>
          <w:tcPr>
            <w:tcW w:w="538" w:type="pct"/>
            <w:tcBorders>
              <w:top w:val="nil"/>
              <w:left w:val="nil"/>
              <w:bottom w:val="single" w:sz="4" w:space="0" w:color="auto"/>
              <w:right w:val="single" w:sz="4" w:space="0" w:color="auto"/>
            </w:tcBorders>
            <w:shd w:val="clear" w:color="auto" w:fill="auto"/>
            <w:noWrap/>
            <w:vAlign w:val="center"/>
          </w:tcPr>
          <w:p w:rsidR="00B1578A" w:rsidRPr="006C328F" w:rsidRDefault="00F120E2" w:rsidP="005C0638">
            <w:pPr>
              <w:jc w:val="right"/>
              <w:rPr>
                <w:rFonts w:ascii="Times New Roman" w:hAnsi="Times New Roman"/>
                <w:sz w:val="14"/>
                <w:szCs w:val="14"/>
                <w:lang w:eastAsia="sk-SK"/>
              </w:rPr>
            </w:pPr>
            <w:r>
              <w:rPr>
                <w:rFonts w:ascii="Times New Roman" w:hAnsi="Times New Roman"/>
                <w:sz w:val="14"/>
                <w:szCs w:val="14"/>
                <w:lang w:eastAsia="sk-SK"/>
              </w:rPr>
              <w:t>135 509 016</w:t>
            </w:r>
          </w:p>
        </w:tc>
        <w:tc>
          <w:tcPr>
            <w:tcW w:w="538" w:type="pct"/>
            <w:tcBorders>
              <w:top w:val="nil"/>
              <w:left w:val="nil"/>
              <w:bottom w:val="single" w:sz="4" w:space="0" w:color="auto"/>
              <w:right w:val="single" w:sz="4" w:space="0" w:color="auto"/>
            </w:tcBorders>
            <w:shd w:val="clear" w:color="auto" w:fill="auto"/>
            <w:noWrap/>
            <w:vAlign w:val="center"/>
          </w:tcPr>
          <w:p w:rsidR="00B1578A" w:rsidRPr="006C328F" w:rsidRDefault="00F120E2" w:rsidP="005C0638">
            <w:pPr>
              <w:jc w:val="right"/>
              <w:rPr>
                <w:rFonts w:ascii="Times New Roman" w:hAnsi="Times New Roman"/>
                <w:sz w:val="14"/>
                <w:szCs w:val="14"/>
                <w:lang w:eastAsia="sk-SK"/>
              </w:rPr>
            </w:pPr>
            <w:r>
              <w:rPr>
                <w:rFonts w:ascii="Times New Roman" w:hAnsi="Times New Roman"/>
                <w:sz w:val="14"/>
                <w:szCs w:val="14"/>
                <w:lang w:eastAsia="sk-SK"/>
              </w:rPr>
              <w:t>139 867 479</w:t>
            </w:r>
          </w:p>
        </w:tc>
      </w:tr>
      <w:tr w:rsidR="00B1578A" w:rsidRPr="006C328F" w:rsidTr="00F120E2">
        <w:trPr>
          <w:trHeight w:val="270"/>
        </w:trPr>
        <w:tc>
          <w:tcPr>
            <w:tcW w:w="935" w:type="pct"/>
            <w:tcBorders>
              <w:top w:val="single" w:sz="4" w:space="0" w:color="auto"/>
              <w:left w:val="single" w:sz="4" w:space="0" w:color="auto"/>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Priemerný mzdový výdavok</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eur</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957,49</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945,09</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890,59</w:t>
            </w:r>
          </w:p>
        </w:tc>
        <w:tc>
          <w:tcPr>
            <w:tcW w:w="538" w:type="pct"/>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900,01</w:t>
            </w:r>
          </w:p>
        </w:tc>
        <w:tc>
          <w:tcPr>
            <w:tcW w:w="538" w:type="pct"/>
            <w:tcBorders>
              <w:top w:val="nil"/>
              <w:left w:val="nil"/>
              <w:bottom w:val="single" w:sz="4" w:space="0" w:color="auto"/>
              <w:right w:val="single" w:sz="4" w:space="0" w:color="auto"/>
            </w:tcBorders>
            <w:shd w:val="clear" w:color="auto" w:fill="auto"/>
            <w:noWrap/>
            <w:vAlign w:val="center"/>
          </w:tcPr>
          <w:p w:rsidR="00B1578A" w:rsidRPr="00F120E2" w:rsidRDefault="00F120E2" w:rsidP="005C0638">
            <w:pPr>
              <w:jc w:val="right"/>
              <w:rPr>
                <w:rFonts w:ascii="Times New Roman" w:hAnsi="Times New Roman"/>
                <w:b/>
                <w:bCs/>
                <w:sz w:val="14"/>
                <w:szCs w:val="14"/>
                <w:lang w:eastAsia="sk-SK"/>
              </w:rPr>
            </w:pPr>
            <w:r w:rsidRPr="00F120E2">
              <w:rPr>
                <w:rFonts w:ascii="Times New Roman" w:hAnsi="Times New Roman"/>
                <w:b/>
                <w:bCs/>
                <w:sz w:val="14"/>
                <w:szCs w:val="14"/>
                <w:lang w:eastAsia="sk-SK"/>
              </w:rPr>
              <w:t>1 006,1</w:t>
            </w:r>
            <w:r>
              <w:rPr>
                <w:rFonts w:ascii="Times New Roman" w:hAnsi="Times New Roman"/>
                <w:b/>
                <w:bCs/>
                <w:sz w:val="14"/>
                <w:szCs w:val="14"/>
                <w:lang w:eastAsia="sk-SK"/>
              </w:rPr>
              <w:t>0</w:t>
            </w:r>
          </w:p>
        </w:tc>
        <w:tc>
          <w:tcPr>
            <w:tcW w:w="538" w:type="pct"/>
            <w:tcBorders>
              <w:top w:val="nil"/>
              <w:left w:val="nil"/>
              <w:bottom w:val="single" w:sz="4" w:space="0" w:color="auto"/>
              <w:right w:val="single" w:sz="4" w:space="0" w:color="auto"/>
            </w:tcBorders>
            <w:shd w:val="clear" w:color="auto" w:fill="auto"/>
            <w:noWrap/>
            <w:vAlign w:val="center"/>
          </w:tcPr>
          <w:p w:rsidR="00B1578A" w:rsidRPr="00F120E2" w:rsidRDefault="00F120E2" w:rsidP="00F120E2">
            <w:pPr>
              <w:jc w:val="right"/>
              <w:rPr>
                <w:rFonts w:ascii="Times New Roman" w:hAnsi="Times New Roman"/>
                <w:b/>
                <w:bCs/>
                <w:sz w:val="14"/>
                <w:szCs w:val="14"/>
                <w:lang w:eastAsia="sk-SK"/>
              </w:rPr>
            </w:pPr>
            <w:r>
              <w:rPr>
                <w:rFonts w:ascii="Times New Roman" w:hAnsi="Times New Roman"/>
                <w:b/>
                <w:bCs/>
                <w:sz w:val="14"/>
                <w:szCs w:val="14"/>
                <w:lang w:eastAsia="sk-SK"/>
              </w:rPr>
              <w:t>1 026,68</w:t>
            </w:r>
          </w:p>
        </w:tc>
        <w:tc>
          <w:tcPr>
            <w:tcW w:w="538" w:type="pct"/>
            <w:tcBorders>
              <w:top w:val="nil"/>
              <w:left w:val="nil"/>
              <w:bottom w:val="single" w:sz="4" w:space="0" w:color="auto"/>
              <w:right w:val="single" w:sz="4" w:space="0" w:color="auto"/>
            </w:tcBorders>
            <w:shd w:val="clear" w:color="auto" w:fill="auto"/>
            <w:noWrap/>
            <w:vAlign w:val="center"/>
          </w:tcPr>
          <w:p w:rsidR="00B1578A" w:rsidRPr="00F120E2" w:rsidRDefault="00F120E2" w:rsidP="005C0638">
            <w:pPr>
              <w:jc w:val="right"/>
              <w:rPr>
                <w:rFonts w:ascii="Times New Roman" w:hAnsi="Times New Roman"/>
                <w:b/>
                <w:bCs/>
                <w:sz w:val="14"/>
                <w:szCs w:val="14"/>
                <w:lang w:eastAsia="sk-SK"/>
              </w:rPr>
            </w:pPr>
            <w:r>
              <w:rPr>
                <w:rFonts w:ascii="Times New Roman" w:hAnsi="Times New Roman"/>
                <w:b/>
                <w:bCs/>
                <w:sz w:val="14"/>
                <w:szCs w:val="14"/>
                <w:lang w:eastAsia="sk-SK"/>
              </w:rPr>
              <w:t>1 059,70</w:t>
            </w:r>
          </w:p>
        </w:tc>
      </w:tr>
      <w:tr w:rsidR="00B1578A" w:rsidRPr="006C328F" w:rsidTr="00F120E2">
        <w:trPr>
          <w:trHeight w:val="540"/>
        </w:trPr>
        <w:tc>
          <w:tcPr>
            <w:tcW w:w="5000" w:type="pct"/>
            <w:gridSpan w:val="9"/>
            <w:tcBorders>
              <w:top w:val="single" w:sz="4" w:space="0" w:color="auto"/>
              <w:left w:val="nil"/>
              <w:bottom w:val="nil"/>
              <w:right w:val="nil"/>
            </w:tcBorders>
            <w:shd w:val="clear" w:color="auto" w:fill="auto"/>
            <w:vAlign w:val="center"/>
            <w:hideMark/>
          </w:tcPr>
          <w:p w:rsidR="00B1578A" w:rsidRPr="006C328F" w:rsidRDefault="00B1578A" w:rsidP="00180A47">
            <w:pPr>
              <w:rPr>
                <w:rFonts w:ascii="Times New Roman" w:hAnsi="Times New Roman"/>
                <w:sz w:val="14"/>
                <w:szCs w:val="14"/>
                <w:lang w:eastAsia="sk-SK"/>
              </w:rPr>
            </w:pPr>
            <w:r w:rsidRPr="006C328F">
              <w:rPr>
                <w:rFonts w:ascii="Times New Roman" w:hAnsi="Times New Roman"/>
                <w:sz w:val="14"/>
                <w:szCs w:val="14"/>
                <w:lang w:eastAsia="sk-SK"/>
              </w:rPr>
              <w:t>S 2015 a 2016 v osobných výdavkoch - Štátny záverečný účet SR.</w:t>
            </w:r>
            <w:r w:rsidRPr="006C328F">
              <w:rPr>
                <w:rFonts w:ascii="Times New Roman" w:hAnsi="Times New Roman"/>
                <w:sz w:val="14"/>
                <w:szCs w:val="14"/>
                <w:lang w:eastAsia="sk-SK"/>
              </w:rPr>
              <w:br/>
              <w:t xml:space="preserve">OS 2017 v počtoch zamestnancov zohľadňuje údaje zo štatistiky za I. polrok 2017 a v osobných výdavkoch </w:t>
            </w:r>
            <w:r>
              <w:rPr>
                <w:rFonts w:ascii="Times New Roman" w:hAnsi="Times New Roman"/>
                <w:sz w:val="14"/>
                <w:szCs w:val="14"/>
                <w:lang w:eastAsia="sk-SK"/>
              </w:rPr>
              <w:t xml:space="preserve">KZVS na rok 2017 a </w:t>
            </w:r>
            <w:r w:rsidRPr="006C328F">
              <w:rPr>
                <w:rFonts w:ascii="Times New Roman" w:hAnsi="Times New Roman"/>
                <w:sz w:val="14"/>
                <w:szCs w:val="14"/>
                <w:lang w:eastAsia="sk-SK"/>
              </w:rPr>
              <w:t xml:space="preserve">odhad čerpania EÚ zdrojov. Návrh rozpočtu na roky 2018 </w:t>
            </w:r>
            <w:r w:rsidR="00180A47">
              <w:rPr>
                <w:rFonts w:ascii="Times New Roman" w:hAnsi="Times New Roman"/>
                <w:sz w:val="14"/>
                <w:szCs w:val="14"/>
                <w:lang w:eastAsia="sk-SK"/>
              </w:rPr>
              <w:t>až</w:t>
            </w:r>
            <w:r w:rsidRPr="006C328F">
              <w:rPr>
                <w:rFonts w:ascii="Times New Roman" w:hAnsi="Times New Roman"/>
                <w:sz w:val="14"/>
                <w:szCs w:val="14"/>
                <w:lang w:eastAsia="sk-SK"/>
              </w:rPr>
              <w:t xml:space="preserve"> 2020 nezohľadňuje zdroje EÚ a spolufinancovania zo ŠR.</w:t>
            </w:r>
          </w:p>
        </w:tc>
      </w:tr>
    </w:tbl>
    <w:p w:rsidR="00B1578A" w:rsidRDefault="00B1578A" w:rsidP="00B1578A">
      <w:pPr>
        <w:ind w:firstLine="709"/>
        <w:jc w:val="both"/>
        <w:rPr>
          <w:rFonts w:ascii="Times New Roman" w:hAnsi="Times New Roman"/>
          <w:bCs/>
          <w:szCs w:val="22"/>
        </w:rPr>
      </w:pPr>
    </w:p>
    <w:p w:rsidR="00B1578A" w:rsidRPr="00F738B8" w:rsidRDefault="00B1578A" w:rsidP="00B1578A">
      <w:pPr>
        <w:ind w:firstLine="708"/>
        <w:jc w:val="both"/>
        <w:rPr>
          <w:rFonts w:ascii="Times New Roman" w:hAnsi="Times New Roman"/>
          <w:bCs/>
          <w:szCs w:val="22"/>
        </w:rPr>
      </w:pPr>
      <w:r w:rsidRPr="00F738B8">
        <w:rPr>
          <w:rFonts w:ascii="Times New Roman" w:hAnsi="Times New Roman"/>
          <w:bCs/>
          <w:szCs w:val="22"/>
        </w:rPr>
        <w:t>V roku 2018 sa pre zamestnancov príspevkových organizácií rozpočtujú osobné výdavky v sume 1</w:t>
      </w:r>
      <w:r w:rsidR="00F120E2">
        <w:rPr>
          <w:rFonts w:ascii="Times New Roman" w:hAnsi="Times New Roman"/>
          <w:bCs/>
          <w:szCs w:val="22"/>
        </w:rPr>
        <w:t>81</w:t>
      </w:r>
      <w:r>
        <w:rPr>
          <w:rFonts w:ascii="Times New Roman" w:hAnsi="Times New Roman"/>
          <w:bCs/>
          <w:szCs w:val="22"/>
        </w:rPr>
        <w:t>,</w:t>
      </w:r>
      <w:r w:rsidR="00F120E2">
        <w:rPr>
          <w:rFonts w:ascii="Times New Roman" w:hAnsi="Times New Roman"/>
          <w:bCs/>
          <w:szCs w:val="22"/>
        </w:rPr>
        <w:t>3</w:t>
      </w:r>
      <w:r w:rsidRPr="00F738B8">
        <w:rPr>
          <w:rFonts w:ascii="Times New Roman" w:hAnsi="Times New Roman"/>
          <w:bCs/>
          <w:szCs w:val="22"/>
        </w:rPr>
        <w:t> mil. eur, v tom mzdy a platy v sume 1</w:t>
      </w:r>
      <w:r w:rsidR="00F120E2">
        <w:rPr>
          <w:rFonts w:ascii="Times New Roman" w:hAnsi="Times New Roman"/>
          <w:bCs/>
          <w:szCs w:val="22"/>
        </w:rPr>
        <w:t>32</w:t>
      </w:r>
      <w:r>
        <w:rPr>
          <w:rFonts w:ascii="Times New Roman" w:hAnsi="Times New Roman"/>
          <w:bCs/>
          <w:szCs w:val="22"/>
        </w:rPr>
        <w:t>,</w:t>
      </w:r>
      <w:r w:rsidR="00F120E2">
        <w:rPr>
          <w:rFonts w:ascii="Times New Roman" w:hAnsi="Times New Roman"/>
          <w:bCs/>
          <w:szCs w:val="22"/>
        </w:rPr>
        <w:t>8</w:t>
      </w:r>
      <w:r w:rsidRPr="00F738B8">
        <w:rPr>
          <w:rFonts w:ascii="Times New Roman" w:hAnsi="Times New Roman"/>
          <w:bCs/>
          <w:szCs w:val="22"/>
        </w:rPr>
        <w:t xml:space="preserve"> mil. eur. Predpokladá sa dosiahnutie priemerného mzdového výdavku na úrovni </w:t>
      </w:r>
      <w:r w:rsidR="00F120E2">
        <w:rPr>
          <w:rFonts w:ascii="Times New Roman" w:hAnsi="Times New Roman"/>
          <w:bCs/>
          <w:szCs w:val="22"/>
        </w:rPr>
        <w:t>1 006,1</w:t>
      </w:r>
      <w:r w:rsidRPr="00F738B8">
        <w:rPr>
          <w:rFonts w:ascii="Times New Roman" w:hAnsi="Times New Roman"/>
          <w:bCs/>
          <w:szCs w:val="22"/>
        </w:rPr>
        <w:t> eur. Navrhované osobné výdavky vplyvom započítania valorizácie z roku 2017</w:t>
      </w:r>
      <w:r w:rsidR="00F120E2">
        <w:rPr>
          <w:rFonts w:ascii="Times New Roman" w:hAnsi="Times New Roman"/>
          <w:bCs/>
          <w:szCs w:val="22"/>
        </w:rPr>
        <w:t xml:space="preserve"> a 2018</w:t>
      </w:r>
      <w:r w:rsidRPr="00F738B8">
        <w:rPr>
          <w:rFonts w:ascii="Times New Roman" w:hAnsi="Times New Roman"/>
          <w:bCs/>
          <w:szCs w:val="22"/>
        </w:rPr>
        <w:t xml:space="preserve"> </w:t>
      </w:r>
      <w:r>
        <w:rPr>
          <w:rFonts w:ascii="Times New Roman" w:hAnsi="Times New Roman"/>
          <w:bCs/>
          <w:szCs w:val="22"/>
        </w:rPr>
        <w:t xml:space="preserve">a rozpisu transferu zo strany kapitol štátneho rozpočtu </w:t>
      </w:r>
      <w:r w:rsidRPr="00F738B8">
        <w:rPr>
          <w:rFonts w:ascii="Times New Roman" w:hAnsi="Times New Roman"/>
          <w:bCs/>
          <w:szCs w:val="22"/>
        </w:rPr>
        <w:t>medziročne rastú o</w:t>
      </w:r>
      <w:r w:rsidR="00F120E2">
        <w:rPr>
          <w:rFonts w:ascii="Times New Roman" w:hAnsi="Times New Roman"/>
          <w:bCs/>
          <w:szCs w:val="22"/>
        </w:rPr>
        <w:t> 22,3</w:t>
      </w:r>
      <w:r w:rsidRPr="00F738B8">
        <w:rPr>
          <w:rFonts w:ascii="Times New Roman" w:hAnsi="Times New Roman"/>
          <w:bCs/>
          <w:szCs w:val="22"/>
        </w:rPr>
        <w:t> mil. eur.</w:t>
      </w:r>
      <w:r w:rsidRPr="00531880">
        <w:rPr>
          <w:rFonts w:ascii="Times New Roman" w:hAnsi="Times New Roman"/>
          <w:bCs/>
          <w:szCs w:val="22"/>
        </w:rPr>
        <w:t xml:space="preserve"> </w:t>
      </w:r>
    </w:p>
    <w:p w:rsidR="006527C0" w:rsidRDefault="006527C0" w:rsidP="00B1578A">
      <w:pPr>
        <w:ind w:left="720"/>
        <w:rPr>
          <w:rFonts w:ascii="Times New Roman" w:hAnsi="Times New Roman"/>
          <w:bCs/>
          <w:szCs w:val="22"/>
          <w:u w:val="single"/>
        </w:rPr>
      </w:pPr>
      <w:bookmarkStart w:id="53" w:name="_Toc273393359"/>
    </w:p>
    <w:p w:rsidR="00B1578A" w:rsidRPr="00CF7786" w:rsidRDefault="00B1578A" w:rsidP="00B1578A">
      <w:pPr>
        <w:ind w:left="720"/>
        <w:rPr>
          <w:rFonts w:ascii="Times New Roman" w:hAnsi="Times New Roman"/>
          <w:bCs/>
          <w:i/>
          <w:iCs/>
          <w:szCs w:val="22"/>
          <w:u w:val="single"/>
        </w:rPr>
      </w:pPr>
      <w:r w:rsidRPr="00CF7786">
        <w:rPr>
          <w:rFonts w:ascii="Times New Roman" w:hAnsi="Times New Roman"/>
          <w:bCs/>
          <w:szCs w:val="22"/>
          <w:u w:val="single"/>
        </w:rPr>
        <w:t>Osobné výdavky regionálneho školstva financovaného zo štátneho rozpočtu</w:t>
      </w:r>
    </w:p>
    <w:p w:rsidR="00B1578A" w:rsidRPr="00CF7786" w:rsidRDefault="00B1578A" w:rsidP="00B1578A">
      <w:pPr>
        <w:ind w:firstLine="709"/>
        <w:jc w:val="both"/>
        <w:rPr>
          <w:rFonts w:ascii="Times New Roman" w:hAnsi="Times New Roman"/>
          <w:szCs w:val="22"/>
        </w:rPr>
      </w:pPr>
    </w:p>
    <w:p w:rsidR="00B1578A" w:rsidRDefault="00B1578A" w:rsidP="00B1578A">
      <w:pPr>
        <w:ind w:firstLine="709"/>
        <w:jc w:val="both"/>
        <w:rPr>
          <w:rFonts w:ascii="Times New Roman" w:hAnsi="Times New Roman"/>
        </w:rPr>
      </w:pPr>
      <w:r>
        <w:rPr>
          <w:rFonts w:ascii="Times New Roman" w:hAnsi="Times New Roman"/>
        </w:rPr>
        <w:t xml:space="preserve">Pre </w:t>
      </w:r>
      <w:r w:rsidRPr="00650F78">
        <w:rPr>
          <w:rFonts w:ascii="Times New Roman" w:hAnsi="Times New Roman"/>
        </w:rPr>
        <w:t xml:space="preserve">zamestnancov regionálneho školstva </w:t>
      </w:r>
      <w:r>
        <w:rPr>
          <w:rFonts w:ascii="Times New Roman" w:hAnsi="Times New Roman"/>
        </w:rPr>
        <w:t>financovaného z kapitol Ministerstva vnútra SR a Ministerstva školstva, vedy, výskumu a športu SR sa na rok 2018, vrátane rezervy v kapitole Všeobecná pokladničná správa, navrhujú osobné výdavky</w:t>
      </w:r>
      <w:r w:rsidRPr="00650F78">
        <w:rPr>
          <w:rFonts w:ascii="Times New Roman" w:hAnsi="Times New Roman"/>
        </w:rPr>
        <w:t xml:space="preserve"> v sume </w:t>
      </w:r>
      <w:r w:rsidRPr="00E0640A">
        <w:rPr>
          <w:rFonts w:ascii="Times New Roman" w:hAnsi="Times New Roman"/>
        </w:rPr>
        <w:t>1,39 mld. eur, v tom mzdy v sume 1,03 mld. eur.</w:t>
      </w:r>
      <w:r w:rsidRPr="00650F78">
        <w:rPr>
          <w:rFonts w:ascii="Times New Roman" w:hAnsi="Times New Roman"/>
        </w:rPr>
        <w:t xml:space="preserve"> </w:t>
      </w:r>
    </w:p>
    <w:p w:rsidR="00653A95" w:rsidRDefault="00653A95" w:rsidP="00B1578A">
      <w:pPr>
        <w:ind w:firstLine="709"/>
        <w:jc w:val="both"/>
        <w:rPr>
          <w:rFonts w:ascii="Times New Roman" w:hAnsi="Times New Roman"/>
        </w:rPr>
      </w:pPr>
    </w:p>
    <w:p w:rsidR="00B1578A" w:rsidRDefault="00B1578A" w:rsidP="00B1578A">
      <w:pPr>
        <w:ind w:firstLine="709"/>
        <w:jc w:val="both"/>
        <w:rPr>
          <w:rFonts w:ascii="Times New Roman" w:hAnsi="Times New Roman"/>
        </w:rPr>
      </w:pPr>
      <w:r>
        <w:rPr>
          <w:rFonts w:ascii="Times New Roman" w:hAnsi="Times New Roman"/>
        </w:rPr>
        <w:t xml:space="preserve">V návrhu osobných </w:t>
      </w:r>
      <w:r w:rsidRPr="00650F78">
        <w:rPr>
          <w:rFonts w:ascii="Times New Roman" w:hAnsi="Times New Roman"/>
        </w:rPr>
        <w:t>výdavk</w:t>
      </w:r>
      <w:r>
        <w:rPr>
          <w:rFonts w:ascii="Times New Roman" w:hAnsi="Times New Roman"/>
        </w:rPr>
        <w:t>ov je</w:t>
      </w:r>
      <w:r w:rsidRPr="00650F78">
        <w:rPr>
          <w:rFonts w:ascii="Times New Roman" w:hAnsi="Times New Roman"/>
        </w:rPr>
        <w:t xml:space="preserve"> zohľad</w:t>
      </w:r>
      <w:r>
        <w:rPr>
          <w:rFonts w:ascii="Times New Roman" w:hAnsi="Times New Roman"/>
        </w:rPr>
        <w:t xml:space="preserve">nené </w:t>
      </w:r>
      <w:r w:rsidRPr="00650F78">
        <w:rPr>
          <w:rFonts w:ascii="Times New Roman" w:hAnsi="Times New Roman"/>
        </w:rPr>
        <w:t>zvýšenie platových taríf pedagogických a odborných zamestnancov</w:t>
      </w:r>
      <w:r>
        <w:rPr>
          <w:rFonts w:ascii="Times New Roman" w:hAnsi="Times New Roman"/>
        </w:rPr>
        <w:t xml:space="preserve"> </w:t>
      </w:r>
      <w:r w:rsidRPr="00650F78">
        <w:rPr>
          <w:rFonts w:ascii="Times New Roman" w:hAnsi="Times New Roman"/>
        </w:rPr>
        <w:t xml:space="preserve">o 6 % </w:t>
      </w:r>
      <w:r>
        <w:rPr>
          <w:rFonts w:ascii="Times New Roman" w:hAnsi="Times New Roman"/>
        </w:rPr>
        <w:t xml:space="preserve"> </w:t>
      </w:r>
      <w:r w:rsidRPr="00650F78">
        <w:rPr>
          <w:rFonts w:ascii="Times New Roman" w:hAnsi="Times New Roman"/>
        </w:rPr>
        <w:t>od 1. 9. 2017</w:t>
      </w:r>
      <w:r>
        <w:rPr>
          <w:rFonts w:ascii="Times New Roman" w:hAnsi="Times New Roman"/>
        </w:rPr>
        <w:t xml:space="preserve"> v celoročnom vyjadrení</w:t>
      </w:r>
      <w:r w:rsidRPr="00650F78">
        <w:rPr>
          <w:rFonts w:ascii="Times New Roman" w:hAnsi="Times New Roman"/>
        </w:rPr>
        <w:t xml:space="preserve"> </w:t>
      </w:r>
      <w:r>
        <w:rPr>
          <w:rFonts w:ascii="Times New Roman" w:hAnsi="Times New Roman"/>
        </w:rPr>
        <w:t xml:space="preserve">v sume </w:t>
      </w:r>
      <w:r w:rsidRPr="00650F78">
        <w:rPr>
          <w:rFonts w:ascii="Times New Roman" w:hAnsi="Times New Roman"/>
        </w:rPr>
        <w:t xml:space="preserve">67,7 mil. eur, </w:t>
      </w:r>
      <w:r>
        <w:rPr>
          <w:rFonts w:ascii="Times New Roman" w:hAnsi="Times New Roman"/>
        </w:rPr>
        <w:t>z toho</w:t>
      </w:r>
      <w:r w:rsidRPr="00650F78">
        <w:rPr>
          <w:rFonts w:ascii="Times New Roman" w:hAnsi="Times New Roman"/>
        </w:rPr>
        <w:t xml:space="preserve"> mzdy 50,1</w:t>
      </w:r>
      <w:r>
        <w:rPr>
          <w:rFonts w:ascii="Times New Roman" w:hAnsi="Times New Roman"/>
        </w:rPr>
        <w:t xml:space="preserve"> mil. eur</w:t>
      </w:r>
      <w:r w:rsidRPr="00650F78">
        <w:rPr>
          <w:rFonts w:ascii="Times New Roman" w:hAnsi="Times New Roman"/>
        </w:rPr>
        <w:t>.</w:t>
      </w:r>
      <w:r>
        <w:rPr>
          <w:rFonts w:ascii="Times New Roman" w:hAnsi="Times New Roman"/>
        </w:rPr>
        <w:t xml:space="preserve"> </w:t>
      </w:r>
    </w:p>
    <w:p w:rsidR="00653A95" w:rsidRDefault="00653A95" w:rsidP="00B1578A">
      <w:pPr>
        <w:ind w:firstLine="709"/>
        <w:jc w:val="both"/>
        <w:rPr>
          <w:rFonts w:ascii="Times New Roman" w:hAnsi="Times New Roman"/>
          <w:bCs/>
          <w:szCs w:val="22"/>
        </w:rPr>
      </w:pPr>
    </w:p>
    <w:p w:rsidR="00B1578A" w:rsidRDefault="00B1578A" w:rsidP="00B1578A">
      <w:pPr>
        <w:ind w:firstLine="709"/>
        <w:jc w:val="both"/>
        <w:rPr>
          <w:rFonts w:ascii="Times New Roman" w:hAnsi="Times New Roman"/>
        </w:rPr>
      </w:pPr>
      <w:r>
        <w:rPr>
          <w:rFonts w:ascii="Times New Roman" w:hAnsi="Times New Roman"/>
          <w:bCs/>
          <w:szCs w:val="22"/>
        </w:rPr>
        <w:t>Súčasne, v</w:t>
      </w:r>
      <w:r>
        <w:rPr>
          <w:rFonts w:ascii="Times New Roman" w:hAnsi="Times New Roman"/>
        </w:rPr>
        <w:t xml:space="preserve"> súlade s Programovým vyhlásením vlády SR, sú pre pedagogických a odborných zamestnancov regionálneho školstva v kapitole Všeobecná pokladničná správa rozpočtované aj osobné výdavky zodpovedajúce 6% valorizácii platových taríf </w:t>
      </w:r>
      <w:r w:rsidR="00B32958">
        <w:rPr>
          <w:rFonts w:ascii="Times New Roman" w:hAnsi="Times New Roman"/>
        </w:rPr>
        <w:br/>
      </w:r>
      <w:r>
        <w:rPr>
          <w:rFonts w:ascii="Times New Roman" w:hAnsi="Times New Roman"/>
        </w:rPr>
        <w:t>od 1. januára 2019 v sume 71,8 mil. eur a od 1. januára 2020 v sume 147,9 mil. eur súhrnne.</w:t>
      </w:r>
    </w:p>
    <w:p w:rsidR="00653A95" w:rsidRDefault="00653A95" w:rsidP="00B1578A">
      <w:pPr>
        <w:ind w:firstLine="709"/>
        <w:jc w:val="both"/>
        <w:rPr>
          <w:rFonts w:ascii="Times New Roman" w:hAnsi="Times New Roman"/>
        </w:rPr>
      </w:pPr>
    </w:p>
    <w:p w:rsidR="00B1578A" w:rsidRDefault="00B1578A" w:rsidP="00B1578A">
      <w:pPr>
        <w:ind w:firstLine="709"/>
        <w:jc w:val="both"/>
        <w:rPr>
          <w:rFonts w:ascii="Times New Roman" w:hAnsi="Times New Roman"/>
          <w:bCs/>
          <w:szCs w:val="22"/>
        </w:rPr>
      </w:pPr>
      <w:r>
        <w:rPr>
          <w:rFonts w:ascii="Times New Roman" w:hAnsi="Times New Roman"/>
        </w:rPr>
        <w:t xml:space="preserve">Pre nepedagogických zamestnancov regionálneho školstva sú v súlade s podpísaným </w:t>
      </w:r>
      <w:r>
        <w:rPr>
          <w:rFonts w:ascii="Times New Roman" w:hAnsi="Times New Roman"/>
          <w:bCs/>
          <w:szCs w:val="22"/>
        </w:rPr>
        <w:t xml:space="preserve">Memorandom o úprave platových pomerov zamestnancov v štátnej službe a niektorých zamestnancov pri výkone práce vo verejnom záujme </w:t>
      </w:r>
      <w:r>
        <w:rPr>
          <w:rFonts w:ascii="Times New Roman" w:hAnsi="Times New Roman"/>
        </w:rPr>
        <w:t xml:space="preserve">v kapitole Všeobecná pokladničná správa rozpočtované osobné výdavky v sume 8,6 mil. eur, z toho mzdy 6,4 mil. eur, </w:t>
      </w:r>
      <w:r>
        <w:rPr>
          <w:rFonts w:ascii="Times New Roman" w:hAnsi="Times New Roman"/>
          <w:bCs/>
          <w:szCs w:val="22"/>
        </w:rPr>
        <w:t>na zvýšenie stupníc platových taríf od 1. januára 2018 o 4 % a zvýšenie funkčných platov vo forme odmien o 2 % od 1. septembra 2018 do 31. decembra 2018. Zvýšenie stupníc platových taríf z roku 2018 o 4 % je premietnuté aj do rokov 2019 a 2020 v sume 7,4 mil. eur.</w:t>
      </w:r>
    </w:p>
    <w:p w:rsidR="00653A95" w:rsidRDefault="00653A95" w:rsidP="00B1578A">
      <w:pPr>
        <w:ind w:firstLine="709"/>
        <w:jc w:val="both"/>
        <w:rPr>
          <w:rFonts w:ascii="Times New Roman" w:hAnsi="Times New Roman"/>
        </w:rPr>
      </w:pPr>
    </w:p>
    <w:p w:rsidR="00B1578A" w:rsidRPr="00E73E12" w:rsidRDefault="00B1578A" w:rsidP="00B1578A">
      <w:pPr>
        <w:ind w:firstLine="709"/>
        <w:jc w:val="both"/>
        <w:rPr>
          <w:rFonts w:ascii="Times New Roman" w:hAnsi="Times New Roman"/>
        </w:rPr>
      </w:pPr>
      <w:r w:rsidRPr="00650F78">
        <w:rPr>
          <w:rFonts w:ascii="Times New Roman" w:hAnsi="Times New Roman"/>
        </w:rPr>
        <w:t xml:space="preserve">Z celkového počtu 81 571 zamestnancov regionálneho školstva sa pre pedagogických a odborných zamestnancov v predpokladanom počte  62 371 osôb rozpočtujú osobné výdavky v sume </w:t>
      </w:r>
      <w:r w:rsidRPr="00A84229">
        <w:rPr>
          <w:rFonts w:ascii="Times New Roman" w:hAnsi="Times New Roman"/>
        </w:rPr>
        <w:t>1,2 mld. eur, v tom mzdy v sume 885 mil. eur. Rozdelenie</w:t>
      </w:r>
      <w:r w:rsidRPr="00650F78">
        <w:rPr>
          <w:rFonts w:ascii="Times New Roman" w:hAnsi="Times New Roman"/>
        </w:rPr>
        <w:t xml:space="preserve"> objemu finančných prostriedkov určených na platy zamestnancov</w:t>
      </w:r>
      <w:r>
        <w:rPr>
          <w:rFonts w:ascii="Times New Roman" w:hAnsi="Times New Roman"/>
        </w:rPr>
        <w:t xml:space="preserve"> regionálneho školstva</w:t>
      </w:r>
      <w:r w:rsidRPr="00650F78">
        <w:rPr>
          <w:rFonts w:ascii="Times New Roman" w:hAnsi="Times New Roman"/>
        </w:rPr>
        <w:t xml:space="preserve"> je v kompetencii zriaďovateľov.</w:t>
      </w:r>
    </w:p>
    <w:p w:rsidR="00653A95" w:rsidRDefault="00653A95" w:rsidP="00B1578A">
      <w:pPr>
        <w:ind w:firstLine="708"/>
        <w:jc w:val="both"/>
        <w:rPr>
          <w:rFonts w:ascii="Times New Roman" w:hAnsi="Times New Roman"/>
          <w:bCs/>
        </w:rPr>
      </w:pPr>
    </w:p>
    <w:p w:rsidR="00B1578A" w:rsidRDefault="00B1578A" w:rsidP="00B1578A">
      <w:pPr>
        <w:ind w:firstLine="708"/>
        <w:jc w:val="both"/>
        <w:rPr>
          <w:rFonts w:ascii="Times New Roman" w:hAnsi="Times New Roman"/>
          <w:bCs/>
        </w:rPr>
      </w:pPr>
      <w:r w:rsidRPr="00650F78">
        <w:rPr>
          <w:rFonts w:ascii="Times New Roman" w:hAnsi="Times New Roman"/>
          <w:bCs/>
        </w:rPr>
        <w:t>Prehľad o skutočne dosiahnutých ukazovateľoch zamestnanosti v rokoch 2015 a 2016, rozpočtu a očakávanej skutočnosti na rok 2017 a návrhu rozpočtu na roky 2018 až 2020 je uvedený v tabuľke.</w:t>
      </w:r>
    </w:p>
    <w:p w:rsidR="00653A95" w:rsidRDefault="00653A95" w:rsidP="00B1578A">
      <w:pPr>
        <w:ind w:firstLine="708"/>
        <w:jc w:val="both"/>
        <w:rPr>
          <w:rFonts w:ascii="Times New Roman" w:hAnsi="Times New Roman"/>
          <w:bCs/>
        </w:rPr>
      </w:pPr>
    </w:p>
    <w:p w:rsidR="00653A95" w:rsidRDefault="00653A95" w:rsidP="00B1578A">
      <w:pPr>
        <w:ind w:firstLine="708"/>
        <w:jc w:val="both"/>
        <w:rPr>
          <w:rFonts w:ascii="Times New Roman" w:hAnsi="Times New Roman"/>
          <w:bCs/>
        </w:rPr>
      </w:pPr>
    </w:p>
    <w:p w:rsidR="00653A95" w:rsidRDefault="00653A95" w:rsidP="00B1578A">
      <w:pPr>
        <w:ind w:firstLine="708"/>
        <w:jc w:val="both"/>
        <w:rPr>
          <w:rFonts w:ascii="Times New Roman" w:hAnsi="Times New Roman"/>
          <w:bCs/>
        </w:rPr>
      </w:pPr>
    </w:p>
    <w:p w:rsidR="00653A95" w:rsidRDefault="00653A95" w:rsidP="00B1578A">
      <w:pPr>
        <w:ind w:firstLine="708"/>
        <w:jc w:val="both"/>
        <w:rPr>
          <w:rFonts w:ascii="Times New Roman" w:hAnsi="Times New Roman"/>
          <w:bCs/>
        </w:rPr>
      </w:pPr>
    </w:p>
    <w:p w:rsidR="00653A95" w:rsidRDefault="00653A95" w:rsidP="00B1578A">
      <w:pPr>
        <w:ind w:firstLine="708"/>
        <w:jc w:val="both"/>
        <w:rPr>
          <w:rFonts w:ascii="Times New Roman" w:hAnsi="Times New Roman"/>
          <w:bCs/>
        </w:rPr>
      </w:pPr>
    </w:p>
    <w:p w:rsidR="00653A95" w:rsidRDefault="00653A95" w:rsidP="00B1578A">
      <w:pPr>
        <w:ind w:firstLine="708"/>
        <w:jc w:val="both"/>
        <w:rPr>
          <w:rFonts w:ascii="Times New Roman" w:hAnsi="Times New Roman"/>
          <w:bCs/>
        </w:rPr>
      </w:pPr>
    </w:p>
    <w:p w:rsidR="00653A95" w:rsidRDefault="00653A95" w:rsidP="00B1578A">
      <w:pPr>
        <w:ind w:firstLine="708"/>
        <w:jc w:val="both"/>
        <w:rPr>
          <w:rFonts w:ascii="Times New Roman" w:hAnsi="Times New Roman"/>
          <w:bCs/>
        </w:rPr>
      </w:pPr>
    </w:p>
    <w:p w:rsidR="00653A95" w:rsidRDefault="00653A95" w:rsidP="00B1578A">
      <w:pPr>
        <w:ind w:firstLine="708"/>
        <w:jc w:val="both"/>
        <w:rPr>
          <w:rFonts w:ascii="Times New Roman" w:hAnsi="Times New Roman"/>
          <w:bCs/>
        </w:rPr>
      </w:pPr>
    </w:p>
    <w:p w:rsidR="00653A95" w:rsidRDefault="00653A95" w:rsidP="00B1578A">
      <w:pPr>
        <w:ind w:firstLine="708"/>
        <w:jc w:val="both"/>
        <w:rPr>
          <w:rFonts w:ascii="Times New Roman" w:hAnsi="Times New Roman"/>
          <w:bCs/>
        </w:rPr>
      </w:pPr>
    </w:p>
    <w:p w:rsidR="00653A95" w:rsidRDefault="00653A95" w:rsidP="00B1578A">
      <w:pPr>
        <w:ind w:firstLine="708"/>
        <w:jc w:val="both"/>
        <w:rPr>
          <w:rFonts w:ascii="Times New Roman" w:hAnsi="Times New Roman"/>
          <w:bCs/>
        </w:rPr>
      </w:pPr>
    </w:p>
    <w:p w:rsidR="00653A95" w:rsidRDefault="00653A95" w:rsidP="00B1578A">
      <w:pPr>
        <w:ind w:firstLine="708"/>
        <w:jc w:val="both"/>
        <w:rPr>
          <w:rFonts w:ascii="Times New Roman" w:hAnsi="Times New Roman"/>
          <w:bCs/>
        </w:rPr>
      </w:pPr>
    </w:p>
    <w:tbl>
      <w:tblPr>
        <w:tblW w:w="9126" w:type="dxa"/>
        <w:tblInd w:w="75" w:type="dxa"/>
        <w:tblCellMar>
          <w:left w:w="70" w:type="dxa"/>
          <w:right w:w="70" w:type="dxa"/>
        </w:tblCellMar>
        <w:tblLook w:val="04A0" w:firstRow="1" w:lastRow="0" w:firstColumn="1" w:lastColumn="0" w:noHBand="0" w:noVBand="1"/>
      </w:tblPr>
      <w:tblGrid>
        <w:gridCol w:w="1931"/>
        <w:gridCol w:w="475"/>
        <w:gridCol w:w="960"/>
        <w:gridCol w:w="960"/>
        <w:gridCol w:w="960"/>
        <w:gridCol w:w="960"/>
        <w:gridCol w:w="960"/>
        <w:gridCol w:w="960"/>
        <w:gridCol w:w="960"/>
      </w:tblGrid>
      <w:tr w:rsidR="00B1578A" w:rsidRPr="006C328F" w:rsidTr="006527C0">
        <w:trPr>
          <w:trHeight w:val="330"/>
        </w:trPr>
        <w:tc>
          <w:tcPr>
            <w:tcW w:w="193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B1578A" w:rsidRPr="006C328F" w:rsidRDefault="00B1578A" w:rsidP="005C0638">
            <w:pPr>
              <w:rPr>
                <w:rFonts w:ascii="Times New Roman" w:hAnsi="Times New Roman"/>
                <w:b/>
                <w:bCs/>
                <w:sz w:val="14"/>
                <w:szCs w:val="14"/>
                <w:lang w:eastAsia="sk-SK"/>
              </w:rPr>
            </w:pPr>
            <w:r w:rsidRPr="006C328F">
              <w:rPr>
                <w:rFonts w:ascii="Times New Roman" w:hAnsi="Times New Roman"/>
                <w:b/>
                <w:bCs/>
                <w:sz w:val="14"/>
                <w:szCs w:val="14"/>
                <w:lang w:eastAsia="sk-SK"/>
              </w:rPr>
              <w:lastRenderedPageBreak/>
              <w:t>Regionálne školstvo</w:t>
            </w:r>
          </w:p>
        </w:tc>
        <w:tc>
          <w:tcPr>
            <w:tcW w:w="475"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 </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2015 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2016 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2017 R</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2017 OS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2018 N</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2019 N</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2020 N</w:t>
            </w:r>
          </w:p>
        </w:tc>
      </w:tr>
      <w:tr w:rsidR="00B1578A" w:rsidRPr="006C328F" w:rsidTr="006527C0">
        <w:trPr>
          <w:trHeight w:val="330"/>
        </w:trPr>
        <w:tc>
          <w:tcPr>
            <w:tcW w:w="1931" w:type="dxa"/>
            <w:tcBorders>
              <w:top w:val="nil"/>
              <w:left w:val="single" w:sz="4" w:space="0" w:color="auto"/>
              <w:bottom w:val="single" w:sz="4" w:space="0" w:color="auto"/>
              <w:right w:val="single" w:sz="4" w:space="0" w:color="auto"/>
            </w:tcBorders>
            <w:shd w:val="clear" w:color="000000" w:fill="FFFFFF"/>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Počet zamestnancov</w:t>
            </w:r>
          </w:p>
        </w:tc>
        <w:tc>
          <w:tcPr>
            <w:tcW w:w="475"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82 138</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81 413</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81 571</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81 954</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81 571</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81 571</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81 571</w:t>
            </w:r>
          </w:p>
        </w:tc>
      </w:tr>
      <w:tr w:rsidR="00B1578A" w:rsidRPr="006C328F" w:rsidTr="006527C0">
        <w:trPr>
          <w:trHeight w:val="33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xml:space="preserve">Osobné výdavky </w:t>
            </w:r>
          </w:p>
        </w:tc>
        <w:tc>
          <w:tcPr>
            <w:tcW w:w="475"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1 224 262 764</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1 276 367 976</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1 306 049 485</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1 336 913 605</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1 389 490 231</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1 460 022 134</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1 536 137 139</w:t>
            </w:r>
          </w:p>
        </w:tc>
      </w:tr>
      <w:tr w:rsidR="00B1578A" w:rsidRPr="006C328F" w:rsidTr="006527C0">
        <w:trPr>
          <w:trHeight w:val="33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ind w:firstLineChars="200" w:firstLine="280"/>
              <w:rPr>
                <w:rFonts w:ascii="Times New Roman" w:hAnsi="Times New Roman"/>
                <w:sz w:val="14"/>
                <w:szCs w:val="14"/>
                <w:lang w:eastAsia="sk-SK"/>
              </w:rPr>
            </w:pPr>
            <w:r w:rsidRPr="006C328F">
              <w:rPr>
                <w:rFonts w:ascii="Times New Roman" w:hAnsi="Times New Roman"/>
                <w:sz w:val="14"/>
                <w:szCs w:val="14"/>
                <w:lang w:eastAsia="sk-SK"/>
              </w:rPr>
              <w:t>z toho: mzdové výdavky</w:t>
            </w:r>
          </w:p>
        </w:tc>
        <w:tc>
          <w:tcPr>
            <w:tcW w:w="475"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905 519 796</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944 059 154</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966 050 022</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988 883 958</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1 027 780 979</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1 079 961 038</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1 136 271 588</w:t>
            </w:r>
          </w:p>
        </w:tc>
      </w:tr>
      <w:tr w:rsidR="00B1578A" w:rsidRPr="006C328F" w:rsidTr="006527C0">
        <w:trPr>
          <w:trHeight w:val="33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Priemerný mzdový výdavok</w:t>
            </w:r>
          </w:p>
        </w:tc>
        <w:tc>
          <w:tcPr>
            <w:tcW w:w="475"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918,69</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966,32</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986,92</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1 005,53</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1 049,99</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1 103,29</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1 160,82</w:t>
            </w:r>
          </w:p>
        </w:tc>
      </w:tr>
      <w:tr w:rsidR="00B1578A" w:rsidRPr="006C328F" w:rsidTr="006527C0">
        <w:trPr>
          <w:trHeight w:val="330"/>
        </w:trPr>
        <w:tc>
          <w:tcPr>
            <w:tcW w:w="1931" w:type="dxa"/>
            <w:tcBorders>
              <w:top w:val="nil"/>
              <w:left w:val="single" w:sz="4" w:space="0" w:color="auto"/>
              <w:bottom w:val="single" w:sz="4" w:space="0" w:color="auto"/>
              <w:right w:val="nil"/>
            </w:tcBorders>
            <w:shd w:val="clear" w:color="auto" w:fill="auto"/>
            <w:noWrap/>
            <w:vAlign w:val="center"/>
            <w:hideMark/>
          </w:tcPr>
          <w:p w:rsidR="00B1578A" w:rsidRPr="006C328F" w:rsidRDefault="00B1578A" w:rsidP="005C0638">
            <w:pPr>
              <w:ind w:firstLineChars="200" w:firstLine="280"/>
              <w:rPr>
                <w:rFonts w:ascii="Times New Roman" w:hAnsi="Times New Roman"/>
                <w:sz w:val="14"/>
                <w:szCs w:val="14"/>
                <w:lang w:eastAsia="sk-SK"/>
              </w:rPr>
            </w:pPr>
            <w:r w:rsidRPr="006C328F">
              <w:rPr>
                <w:rFonts w:ascii="Times New Roman" w:hAnsi="Times New Roman"/>
                <w:sz w:val="14"/>
                <w:szCs w:val="14"/>
                <w:lang w:eastAsia="sk-SK"/>
              </w:rPr>
              <w:t>z toho:</w:t>
            </w:r>
          </w:p>
        </w:tc>
        <w:tc>
          <w:tcPr>
            <w:tcW w:w="475"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r>
      <w:tr w:rsidR="00B1578A" w:rsidRPr="006C328F" w:rsidTr="006527C0">
        <w:trPr>
          <w:trHeight w:val="420"/>
        </w:trPr>
        <w:tc>
          <w:tcPr>
            <w:tcW w:w="1931" w:type="dxa"/>
            <w:tcBorders>
              <w:top w:val="nil"/>
              <w:left w:val="single" w:sz="4" w:space="0" w:color="auto"/>
              <w:bottom w:val="single" w:sz="4" w:space="0" w:color="auto"/>
              <w:right w:val="single" w:sz="4" w:space="0" w:color="auto"/>
            </w:tcBorders>
            <w:shd w:val="clear" w:color="000000" w:fill="BFBFBF"/>
            <w:vAlign w:val="center"/>
            <w:hideMark/>
          </w:tcPr>
          <w:p w:rsidR="00B1578A" w:rsidRPr="006C328F" w:rsidRDefault="00B1578A" w:rsidP="005C0638">
            <w:pPr>
              <w:rPr>
                <w:rFonts w:ascii="Times New Roman" w:hAnsi="Times New Roman"/>
                <w:b/>
                <w:bCs/>
                <w:sz w:val="14"/>
                <w:szCs w:val="14"/>
                <w:lang w:eastAsia="sk-SK"/>
              </w:rPr>
            </w:pPr>
            <w:r w:rsidRPr="006C328F">
              <w:rPr>
                <w:rFonts w:ascii="Times New Roman" w:hAnsi="Times New Roman"/>
                <w:b/>
                <w:bCs/>
                <w:sz w:val="14"/>
                <w:szCs w:val="14"/>
                <w:lang w:eastAsia="sk-SK"/>
              </w:rPr>
              <w:t>Pedagogickí a odborní</w:t>
            </w:r>
            <w:r w:rsidRPr="006C328F">
              <w:rPr>
                <w:rFonts w:ascii="Times New Roman" w:hAnsi="Times New Roman"/>
                <w:b/>
                <w:bCs/>
                <w:sz w:val="14"/>
                <w:szCs w:val="14"/>
                <w:lang w:eastAsia="sk-SK"/>
              </w:rPr>
              <w:br/>
              <w:t>zamestnanci</w:t>
            </w:r>
          </w:p>
        </w:tc>
        <w:tc>
          <w:tcPr>
            <w:tcW w:w="475"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 </w:t>
            </w:r>
          </w:p>
        </w:tc>
        <w:tc>
          <w:tcPr>
            <w:tcW w:w="96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2015 S</w:t>
            </w:r>
          </w:p>
        </w:tc>
        <w:tc>
          <w:tcPr>
            <w:tcW w:w="96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2016 S</w:t>
            </w:r>
          </w:p>
        </w:tc>
        <w:tc>
          <w:tcPr>
            <w:tcW w:w="96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2017 R</w:t>
            </w:r>
          </w:p>
        </w:tc>
        <w:tc>
          <w:tcPr>
            <w:tcW w:w="96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2017 OS</w:t>
            </w:r>
          </w:p>
        </w:tc>
        <w:tc>
          <w:tcPr>
            <w:tcW w:w="96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2018 N</w:t>
            </w:r>
          </w:p>
        </w:tc>
        <w:tc>
          <w:tcPr>
            <w:tcW w:w="96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2019 N</w:t>
            </w:r>
          </w:p>
        </w:tc>
        <w:tc>
          <w:tcPr>
            <w:tcW w:w="96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2020 N</w:t>
            </w:r>
          </w:p>
        </w:tc>
      </w:tr>
      <w:tr w:rsidR="00B1578A" w:rsidRPr="006C328F" w:rsidTr="006527C0">
        <w:trPr>
          <w:trHeight w:val="33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Počet zamestnancov</w:t>
            </w:r>
          </w:p>
        </w:tc>
        <w:tc>
          <w:tcPr>
            <w:tcW w:w="475"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62 670</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62 069</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62 371</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62 754</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62 371</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62 371</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62 371</w:t>
            </w:r>
          </w:p>
        </w:tc>
      </w:tr>
      <w:tr w:rsidR="00B1578A" w:rsidRPr="006C328F" w:rsidTr="006527C0">
        <w:trPr>
          <w:trHeight w:val="33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Osobné výdavky</w:t>
            </w:r>
          </w:p>
        </w:tc>
        <w:tc>
          <w:tcPr>
            <w:tcW w:w="475"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1 042 564 281</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1 090 348 181</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1 129 239 435</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1 151 820 135</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1 196 981 535</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1 268 788 146</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1 344 903 151</w:t>
            </w:r>
          </w:p>
        </w:tc>
      </w:tr>
      <w:tr w:rsidR="00B1578A" w:rsidRPr="006C328F" w:rsidTr="006527C0">
        <w:trPr>
          <w:trHeight w:val="33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ind w:firstLineChars="200" w:firstLine="280"/>
              <w:rPr>
                <w:rFonts w:ascii="Times New Roman" w:hAnsi="Times New Roman"/>
                <w:sz w:val="14"/>
                <w:szCs w:val="14"/>
                <w:lang w:eastAsia="sk-SK"/>
              </w:rPr>
            </w:pPr>
            <w:r w:rsidRPr="006C328F">
              <w:rPr>
                <w:rFonts w:ascii="Times New Roman" w:hAnsi="Times New Roman"/>
                <w:sz w:val="14"/>
                <w:szCs w:val="14"/>
                <w:lang w:eastAsia="sk-SK"/>
              </w:rPr>
              <w:t>z toho: mzdové výdavky</w:t>
            </w:r>
          </w:p>
        </w:tc>
        <w:tc>
          <w:tcPr>
            <w:tcW w:w="475"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771 127 427</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806 470 548</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835 269 848</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851 975 245</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885 386 039</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938 509 201</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994 819 751</w:t>
            </w:r>
          </w:p>
        </w:tc>
      </w:tr>
      <w:tr w:rsidR="00B1578A" w:rsidRPr="006C328F" w:rsidTr="006527C0">
        <w:trPr>
          <w:trHeight w:val="33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Priemerný mzdový výdavok</w:t>
            </w:r>
          </w:p>
        </w:tc>
        <w:tc>
          <w:tcPr>
            <w:tcW w:w="475"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1 025,37</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1 082,76</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1 116,00</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1 131,37</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1 182,96</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1 253,93</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1 329,17</w:t>
            </w:r>
          </w:p>
        </w:tc>
      </w:tr>
      <w:tr w:rsidR="00B1578A" w:rsidRPr="006C328F" w:rsidTr="006527C0">
        <w:trPr>
          <w:trHeight w:val="330"/>
        </w:trPr>
        <w:tc>
          <w:tcPr>
            <w:tcW w:w="1931" w:type="dxa"/>
            <w:tcBorders>
              <w:top w:val="nil"/>
              <w:left w:val="single" w:sz="4" w:space="0" w:color="auto"/>
              <w:bottom w:val="single" w:sz="4" w:space="0" w:color="auto"/>
              <w:right w:val="nil"/>
            </w:tcBorders>
            <w:shd w:val="clear" w:color="auto" w:fill="auto"/>
            <w:noWrap/>
            <w:vAlign w:val="center"/>
            <w:hideMark/>
          </w:tcPr>
          <w:p w:rsidR="00B1578A" w:rsidRPr="006C328F" w:rsidRDefault="00B1578A" w:rsidP="005C0638">
            <w:pPr>
              <w:ind w:firstLineChars="100" w:firstLine="140"/>
              <w:rPr>
                <w:rFonts w:ascii="Times New Roman" w:hAnsi="Times New Roman"/>
                <w:sz w:val="14"/>
                <w:szCs w:val="14"/>
                <w:lang w:eastAsia="sk-SK"/>
              </w:rPr>
            </w:pPr>
            <w:r w:rsidRPr="006C328F">
              <w:rPr>
                <w:rFonts w:ascii="Times New Roman" w:hAnsi="Times New Roman"/>
                <w:sz w:val="14"/>
                <w:szCs w:val="14"/>
                <w:lang w:eastAsia="sk-SK"/>
              </w:rPr>
              <w:t> </w:t>
            </w:r>
          </w:p>
        </w:tc>
        <w:tc>
          <w:tcPr>
            <w:tcW w:w="475"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 </w:t>
            </w:r>
          </w:p>
        </w:tc>
      </w:tr>
      <w:tr w:rsidR="00B1578A" w:rsidRPr="006C328F" w:rsidTr="006527C0">
        <w:trPr>
          <w:trHeight w:val="330"/>
        </w:trPr>
        <w:tc>
          <w:tcPr>
            <w:tcW w:w="1931" w:type="dxa"/>
            <w:tcBorders>
              <w:top w:val="nil"/>
              <w:left w:val="single" w:sz="4" w:space="0" w:color="auto"/>
              <w:bottom w:val="single" w:sz="4" w:space="0" w:color="auto"/>
              <w:right w:val="single" w:sz="4" w:space="0" w:color="auto"/>
            </w:tcBorders>
            <w:shd w:val="clear" w:color="000000" w:fill="BFBFBF"/>
            <w:noWrap/>
            <w:vAlign w:val="center"/>
            <w:hideMark/>
          </w:tcPr>
          <w:p w:rsidR="00B1578A" w:rsidRPr="006C328F" w:rsidRDefault="00B1578A" w:rsidP="005C0638">
            <w:pPr>
              <w:rPr>
                <w:rFonts w:ascii="Times New Roman" w:hAnsi="Times New Roman"/>
                <w:b/>
                <w:bCs/>
                <w:sz w:val="14"/>
                <w:szCs w:val="14"/>
                <w:lang w:eastAsia="sk-SK"/>
              </w:rPr>
            </w:pPr>
            <w:r w:rsidRPr="006C328F">
              <w:rPr>
                <w:rFonts w:ascii="Times New Roman" w:hAnsi="Times New Roman"/>
                <w:b/>
                <w:bCs/>
                <w:sz w:val="14"/>
                <w:szCs w:val="14"/>
                <w:lang w:eastAsia="sk-SK"/>
              </w:rPr>
              <w:t>Nepedagogickí zamestnanci</w:t>
            </w:r>
          </w:p>
        </w:tc>
        <w:tc>
          <w:tcPr>
            <w:tcW w:w="475"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 </w:t>
            </w:r>
          </w:p>
        </w:tc>
        <w:tc>
          <w:tcPr>
            <w:tcW w:w="96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2015 S</w:t>
            </w:r>
          </w:p>
        </w:tc>
        <w:tc>
          <w:tcPr>
            <w:tcW w:w="96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2016 S</w:t>
            </w:r>
          </w:p>
        </w:tc>
        <w:tc>
          <w:tcPr>
            <w:tcW w:w="96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2017 R</w:t>
            </w:r>
          </w:p>
        </w:tc>
        <w:tc>
          <w:tcPr>
            <w:tcW w:w="96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2017 OS</w:t>
            </w:r>
          </w:p>
        </w:tc>
        <w:tc>
          <w:tcPr>
            <w:tcW w:w="96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2018 N</w:t>
            </w:r>
          </w:p>
        </w:tc>
        <w:tc>
          <w:tcPr>
            <w:tcW w:w="96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2019 N</w:t>
            </w:r>
          </w:p>
        </w:tc>
        <w:tc>
          <w:tcPr>
            <w:tcW w:w="960" w:type="dxa"/>
            <w:tcBorders>
              <w:top w:val="nil"/>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sz w:val="14"/>
                <w:szCs w:val="14"/>
                <w:lang w:eastAsia="sk-SK"/>
              </w:rPr>
            </w:pPr>
            <w:r w:rsidRPr="006C328F">
              <w:rPr>
                <w:rFonts w:ascii="Times New Roman" w:hAnsi="Times New Roman"/>
                <w:b/>
                <w:bCs/>
                <w:sz w:val="14"/>
                <w:szCs w:val="14"/>
                <w:lang w:eastAsia="sk-SK"/>
              </w:rPr>
              <w:t>2020 N</w:t>
            </w:r>
          </w:p>
        </w:tc>
      </w:tr>
      <w:tr w:rsidR="00B1578A" w:rsidRPr="006C328F" w:rsidTr="006527C0">
        <w:trPr>
          <w:trHeight w:val="33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Počet zamestnancov</w:t>
            </w:r>
          </w:p>
        </w:tc>
        <w:tc>
          <w:tcPr>
            <w:tcW w:w="475"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19 468</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19 344</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19 200</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19 200</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19 200</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19 200</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19 200</w:t>
            </w:r>
          </w:p>
        </w:tc>
      </w:tr>
      <w:tr w:rsidR="00B1578A" w:rsidRPr="006C328F" w:rsidTr="006527C0">
        <w:trPr>
          <w:trHeight w:val="33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Osobné výdavky</w:t>
            </w:r>
          </w:p>
        </w:tc>
        <w:tc>
          <w:tcPr>
            <w:tcW w:w="475"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181 698 483</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186 019 795</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176 810 050</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185 093 470</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192 508 696</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191 233 988</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191 233 988</w:t>
            </w:r>
          </w:p>
        </w:tc>
      </w:tr>
      <w:tr w:rsidR="00B1578A" w:rsidRPr="006C328F" w:rsidTr="006527C0">
        <w:trPr>
          <w:trHeight w:val="33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ind w:firstLineChars="200" w:firstLine="280"/>
              <w:rPr>
                <w:rFonts w:ascii="Times New Roman" w:hAnsi="Times New Roman"/>
                <w:sz w:val="14"/>
                <w:szCs w:val="14"/>
                <w:lang w:eastAsia="sk-SK"/>
              </w:rPr>
            </w:pPr>
            <w:r w:rsidRPr="006C328F">
              <w:rPr>
                <w:rFonts w:ascii="Times New Roman" w:hAnsi="Times New Roman"/>
                <w:sz w:val="14"/>
                <w:szCs w:val="14"/>
                <w:lang w:eastAsia="sk-SK"/>
              </w:rPr>
              <w:t>z toho: mzdové výdavky</w:t>
            </w:r>
          </w:p>
        </w:tc>
        <w:tc>
          <w:tcPr>
            <w:tcW w:w="475"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134 392 369</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137 588 606</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130 780 174</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136 908 713</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142 394 940</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141 451 837</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141 451 837</w:t>
            </w:r>
          </w:p>
        </w:tc>
      </w:tr>
      <w:tr w:rsidR="00B1578A" w:rsidRPr="006C328F" w:rsidTr="006527C0">
        <w:trPr>
          <w:trHeight w:val="33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Priemerný mzdový výdavok</w:t>
            </w:r>
          </w:p>
        </w:tc>
        <w:tc>
          <w:tcPr>
            <w:tcW w:w="475"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575,27</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592,72</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567,62</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594,22</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618,03</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613,94</w:t>
            </w:r>
          </w:p>
        </w:tc>
        <w:tc>
          <w:tcPr>
            <w:tcW w:w="9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613,94</w:t>
            </w:r>
          </w:p>
        </w:tc>
      </w:tr>
      <w:tr w:rsidR="00B1578A" w:rsidRPr="006C328F" w:rsidTr="006527C0">
        <w:trPr>
          <w:trHeight w:val="651"/>
        </w:trPr>
        <w:tc>
          <w:tcPr>
            <w:tcW w:w="9126" w:type="dxa"/>
            <w:gridSpan w:val="9"/>
            <w:tcBorders>
              <w:top w:val="nil"/>
              <w:left w:val="nil"/>
              <w:bottom w:val="nil"/>
              <w:right w:val="nil"/>
            </w:tcBorders>
            <w:shd w:val="clear" w:color="auto" w:fill="auto"/>
            <w:vAlign w:val="center"/>
            <w:hideMark/>
          </w:tcPr>
          <w:p w:rsidR="00B1578A" w:rsidRPr="006C328F" w:rsidRDefault="00B1578A" w:rsidP="00C10BC3">
            <w:pPr>
              <w:rPr>
                <w:rFonts w:ascii="Times New Roman" w:hAnsi="Times New Roman"/>
                <w:sz w:val="14"/>
                <w:szCs w:val="14"/>
                <w:lang w:eastAsia="sk-SK"/>
              </w:rPr>
            </w:pPr>
            <w:r w:rsidRPr="006C328F">
              <w:rPr>
                <w:rFonts w:ascii="Times New Roman" w:hAnsi="Times New Roman"/>
                <w:sz w:val="14"/>
                <w:szCs w:val="14"/>
                <w:lang w:eastAsia="sk-SK"/>
              </w:rPr>
              <w:t xml:space="preserve">S 2015 a 2016 v osobných výdavkoch je uvedená vrátane zdrojov EÚ a mimorozpočtových </w:t>
            </w:r>
            <w:r w:rsidR="00C10BC3">
              <w:rPr>
                <w:rFonts w:ascii="Times New Roman" w:hAnsi="Times New Roman"/>
                <w:sz w:val="14"/>
                <w:szCs w:val="14"/>
                <w:lang w:eastAsia="sk-SK"/>
              </w:rPr>
              <w:t>prostriedkov, poistné na úrovni 35,2 % (odhad).</w:t>
            </w:r>
            <w:r w:rsidRPr="006C328F">
              <w:rPr>
                <w:rFonts w:ascii="Times New Roman" w:hAnsi="Times New Roman"/>
                <w:sz w:val="14"/>
                <w:szCs w:val="14"/>
                <w:lang w:eastAsia="sk-SK"/>
              </w:rPr>
              <w:br/>
              <w:t xml:space="preserve">Výdavky R 2017 v tabuľke nezohľadňujú závery KZVS na rok 2017. OS 2017 počet zamestnancov </w:t>
            </w:r>
            <w:r w:rsidR="00C10BC3">
              <w:rPr>
                <w:rFonts w:ascii="Times New Roman" w:hAnsi="Times New Roman"/>
                <w:sz w:val="14"/>
                <w:szCs w:val="14"/>
                <w:lang w:eastAsia="sk-SK"/>
              </w:rPr>
              <w:t>(</w:t>
            </w:r>
            <w:r w:rsidR="00C10BC3" w:rsidRPr="006C328F">
              <w:rPr>
                <w:rFonts w:ascii="Times New Roman" w:hAnsi="Times New Roman"/>
                <w:sz w:val="14"/>
                <w:szCs w:val="14"/>
                <w:lang w:eastAsia="sk-SK"/>
              </w:rPr>
              <w:t>zdroj MŠVVŠ SR</w:t>
            </w:r>
            <w:r w:rsidR="00C10BC3">
              <w:rPr>
                <w:rFonts w:ascii="Times New Roman" w:hAnsi="Times New Roman"/>
                <w:sz w:val="14"/>
                <w:szCs w:val="14"/>
                <w:lang w:eastAsia="sk-SK"/>
              </w:rPr>
              <w:t xml:space="preserve">) </w:t>
            </w:r>
            <w:r w:rsidRPr="006C328F">
              <w:rPr>
                <w:rFonts w:ascii="Times New Roman" w:hAnsi="Times New Roman"/>
                <w:sz w:val="14"/>
                <w:szCs w:val="14"/>
                <w:lang w:eastAsia="sk-SK"/>
              </w:rPr>
              <w:t xml:space="preserve">a osobné výdavky </w:t>
            </w:r>
            <w:r>
              <w:rPr>
                <w:rFonts w:ascii="Times New Roman" w:hAnsi="Times New Roman"/>
                <w:sz w:val="14"/>
                <w:szCs w:val="14"/>
                <w:lang w:eastAsia="sk-SK"/>
              </w:rPr>
              <w:t>zohľadňujú KZVS na rok 2017</w:t>
            </w:r>
            <w:r w:rsidRPr="006C328F">
              <w:rPr>
                <w:rFonts w:ascii="Times New Roman" w:hAnsi="Times New Roman"/>
                <w:sz w:val="14"/>
                <w:szCs w:val="14"/>
                <w:lang w:eastAsia="sk-SK"/>
              </w:rPr>
              <w:t xml:space="preserve">. </w:t>
            </w:r>
            <w:r w:rsidR="00767C2F" w:rsidRPr="006C328F">
              <w:rPr>
                <w:rFonts w:ascii="Times New Roman" w:hAnsi="Times New Roman"/>
                <w:sz w:val="14"/>
                <w:szCs w:val="14"/>
                <w:lang w:eastAsia="sk-SK"/>
              </w:rPr>
              <w:t xml:space="preserve">Návrh rozpočtu na roky 2018 </w:t>
            </w:r>
            <w:r w:rsidR="00767C2F">
              <w:rPr>
                <w:rFonts w:ascii="Times New Roman" w:hAnsi="Times New Roman"/>
                <w:sz w:val="14"/>
                <w:szCs w:val="14"/>
                <w:lang w:eastAsia="sk-SK"/>
              </w:rPr>
              <w:t>až</w:t>
            </w:r>
            <w:r w:rsidR="00767C2F" w:rsidRPr="006C328F">
              <w:rPr>
                <w:rFonts w:ascii="Times New Roman" w:hAnsi="Times New Roman"/>
                <w:sz w:val="14"/>
                <w:szCs w:val="14"/>
                <w:lang w:eastAsia="sk-SK"/>
              </w:rPr>
              <w:t xml:space="preserve"> 2020 </w:t>
            </w:r>
            <w:r w:rsidRPr="006C328F">
              <w:rPr>
                <w:rFonts w:ascii="Times New Roman" w:hAnsi="Times New Roman"/>
                <w:sz w:val="14"/>
                <w:szCs w:val="14"/>
                <w:lang w:eastAsia="sk-SK"/>
              </w:rPr>
              <w:t>zohľadňuje výdavky na valorizáciu platov rozpočtovanú v kapitole VPS súvisiacu s memorandom a plnením Programového vyhlásenia vlády SR.</w:t>
            </w:r>
          </w:p>
        </w:tc>
      </w:tr>
    </w:tbl>
    <w:p w:rsidR="00B1578A" w:rsidRDefault="00B1578A" w:rsidP="00B1578A">
      <w:pPr>
        <w:ind w:firstLine="708"/>
        <w:jc w:val="both"/>
        <w:rPr>
          <w:rFonts w:ascii="Times New Roman" w:hAnsi="Times New Roman"/>
          <w:bCs/>
        </w:rPr>
      </w:pPr>
    </w:p>
    <w:p w:rsidR="00B1578A" w:rsidRDefault="00B1578A" w:rsidP="00B1578A">
      <w:pPr>
        <w:ind w:firstLine="708"/>
        <w:jc w:val="both"/>
        <w:rPr>
          <w:rFonts w:ascii="Times New Roman" w:hAnsi="Times New Roman"/>
          <w:bCs/>
        </w:rPr>
      </w:pPr>
      <w:r w:rsidRPr="00650F78">
        <w:rPr>
          <w:rFonts w:ascii="Times New Roman" w:hAnsi="Times New Roman"/>
          <w:bCs/>
        </w:rPr>
        <w:t xml:space="preserve">Priemerný mzdový výdavok zamestnancov regionálneho školstva sa v roku 2018 </w:t>
      </w:r>
      <w:r w:rsidRPr="00A84229">
        <w:rPr>
          <w:rFonts w:ascii="Times New Roman" w:hAnsi="Times New Roman"/>
          <w:bCs/>
        </w:rPr>
        <w:t xml:space="preserve">očakáva na </w:t>
      </w:r>
      <w:r w:rsidRPr="00C80D64">
        <w:rPr>
          <w:rFonts w:ascii="Times New Roman" w:hAnsi="Times New Roman"/>
          <w:bCs/>
        </w:rPr>
        <w:t>úrovni 1 049,99 eur</w:t>
      </w:r>
      <w:r w:rsidR="00C10BC3">
        <w:rPr>
          <w:rFonts w:ascii="Times New Roman" w:hAnsi="Times New Roman"/>
          <w:bCs/>
        </w:rPr>
        <w:t>, pre</w:t>
      </w:r>
      <w:r w:rsidRPr="00C80D64">
        <w:rPr>
          <w:rFonts w:ascii="Times New Roman" w:hAnsi="Times New Roman"/>
          <w:bCs/>
        </w:rPr>
        <w:t xml:space="preserve"> pedagogických a odborných zamestnancov 1 182,96 eur</w:t>
      </w:r>
      <w:r w:rsidR="00C10BC3">
        <w:rPr>
          <w:rFonts w:ascii="Times New Roman" w:hAnsi="Times New Roman"/>
          <w:bCs/>
        </w:rPr>
        <w:t xml:space="preserve">, ktorý zohľadňuje </w:t>
      </w:r>
      <w:r w:rsidRPr="00C80D64">
        <w:rPr>
          <w:rFonts w:ascii="Times New Roman" w:hAnsi="Times New Roman"/>
          <w:bCs/>
        </w:rPr>
        <w:t>6% zvýšen</w:t>
      </w:r>
      <w:r w:rsidR="00C10BC3">
        <w:rPr>
          <w:rFonts w:ascii="Times New Roman" w:hAnsi="Times New Roman"/>
          <w:bCs/>
        </w:rPr>
        <w:t>ie</w:t>
      </w:r>
      <w:r w:rsidRPr="00C80D64">
        <w:rPr>
          <w:rFonts w:ascii="Times New Roman" w:hAnsi="Times New Roman"/>
          <w:bCs/>
        </w:rPr>
        <w:t xml:space="preserve"> platov od 1. 9. 2017 </w:t>
      </w:r>
      <w:r w:rsidR="00C10BC3">
        <w:rPr>
          <w:rFonts w:ascii="Times New Roman" w:hAnsi="Times New Roman"/>
          <w:bCs/>
        </w:rPr>
        <w:t>na úrovni</w:t>
      </w:r>
      <w:r w:rsidRPr="00C80D64">
        <w:rPr>
          <w:rFonts w:ascii="Times New Roman" w:hAnsi="Times New Roman"/>
          <w:bCs/>
        </w:rPr>
        <w:t xml:space="preserve"> 66,96 eur mesačne. </w:t>
      </w:r>
    </w:p>
    <w:p w:rsidR="00653A95" w:rsidRDefault="00653A95" w:rsidP="00B1578A">
      <w:pPr>
        <w:ind w:firstLine="708"/>
        <w:jc w:val="both"/>
        <w:rPr>
          <w:rFonts w:ascii="Times New Roman" w:hAnsi="Times New Roman"/>
          <w:bCs/>
        </w:rPr>
      </w:pPr>
    </w:p>
    <w:p w:rsidR="00B1578A" w:rsidRDefault="00B1578A" w:rsidP="00B1578A">
      <w:pPr>
        <w:ind w:firstLine="708"/>
        <w:jc w:val="both"/>
        <w:rPr>
          <w:rFonts w:ascii="Times New Roman" w:hAnsi="Times New Roman"/>
          <w:bCs/>
        </w:rPr>
      </w:pPr>
      <w:r>
        <w:rPr>
          <w:rFonts w:ascii="Times New Roman" w:hAnsi="Times New Roman"/>
          <w:bCs/>
        </w:rPr>
        <w:t>Pre n</w:t>
      </w:r>
      <w:r w:rsidRPr="00650F78">
        <w:rPr>
          <w:rFonts w:ascii="Times New Roman" w:hAnsi="Times New Roman"/>
          <w:bCs/>
        </w:rPr>
        <w:t>eped</w:t>
      </w:r>
      <w:r>
        <w:rPr>
          <w:rFonts w:ascii="Times New Roman" w:hAnsi="Times New Roman"/>
          <w:bCs/>
        </w:rPr>
        <w:t>agogických</w:t>
      </w:r>
      <w:r w:rsidRPr="00650F78">
        <w:rPr>
          <w:rFonts w:ascii="Times New Roman" w:hAnsi="Times New Roman"/>
          <w:bCs/>
        </w:rPr>
        <w:t xml:space="preserve"> zamestnanc</w:t>
      </w:r>
      <w:r>
        <w:rPr>
          <w:rFonts w:ascii="Times New Roman" w:hAnsi="Times New Roman"/>
          <w:bCs/>
        </w:rPr>
        <w:t>ov</w:t>
      </w:r>
      <w:r w:rsidRPr="00650F78">
        <w:rPr>
          <w:rFonts w:ascii="Times New Roman" w:hAnsi="Times New Roman"/>
          <w:bCs/>
        </w:rPr>
        <w:t xml:space="preserve"> </w:t>
      </w:r>
      <w:r>
        <w:rPr>
          <w:rFonts w:ascii="Times New Roman" w:hAnsi="Times New Roman"/>
          <w:bCs/>
        </w:rPr>
        <w:t>sa priemerný mzdový výdavok rozpočtuje v sume</w:t>
      </w:r>
      <w:r w:rsidRPr="00650F78">
        <w:rPr>
          <w:rFonts w:ascii="Times New Roman" w:hAnsi="Times New Roman"/>
          <w:bCs/>
        </w:rPr>
        <w:t xml:space="preserve"> </w:t>
      </w:r>
      <w:r>
        <w:rPr>
          <w:rFonts w:ascii="Times New Roman" w:hAnsi="Times New Roman"/>
          <w:bCs/>
        </w:rPr>
        <w:t>618,03</w:t>
      </w:r>
      <w:r w:rsidRPr="00650F78">
        <w:rPr>
          <w:rFonts w:ascii="Times New Roman" w:hAnsi="Times New Roman"/>
          <w:bCs/>
        </w:rPr>
        <w:t xml:space="preserve"> eur</w:t>
      </w:r>
      <w:r>
        <w:rPr>
          <w:rFonts w:ascii="Times New Roman" w:hAnsi="Times New Roman"/>
          <w:bCs/>
        </w:rPr>
        <w:t xml:space="preserve">. V tejto sume je zohľadnený rast zodpovedajúci zvýšeniu stupníc platových taríf od 1. januára 2018 o 4 % a zvýšeniu platov o 2 % formou odmeny od 1. septembra 2018 </w:t>
      </w:r>
      <w:r w:rsidR="00B32958">
        <w:rPr>
          <w:rFonts w:ascii="Times New Roman" w:hAnsi="Times New Roman"/>
          <w:bCs/>
        </w:rPr>
        <w:br/>
      </w:r>
      <w:r>
        <w:rPr>
          <w:rFonts w:ascii="Times New Roman" w:hAnsi="Times New Roman"/>
          <w:bCs/>
        </w:rPr>
        <w:t>do 31. decembra 2018 vo výške 27,71 eura.</w:t>
      </w:r>
    </w:p>
    <w:p w:rsidR="00B1578A" w:rsidRPr="00650F78" w:rsidRDefault="00B1578A" w:rsidP="00B1578A">
      <w:pPr>
        <w:ind w:firstLine="708"/>
        <w:jc w:val="both"/>
        <w:rPr>
          <w:rFonts w:ascii="Times New Roman" w:hAnsi="Times New Roman"/>
          <w:bCs/>
        </w:rPr>
      </w:pPr>
    </w:p>
    <w:p w:rsidR="00B1578A" w:rsidRPr="00650F78" w:rsidRDefault="00B1578A" w:rsidP="00B1578A">
      <w:pPr>
        <w:ind w:firstLine="708"/>
        <w:rPr>
          <w:rFonts w:ascii="Times New Roman" w:hAnsi="Times New Roman"/>
          <w:bCs/>
          <w:i/>
          <w:iCs/>
          <w:u w:val="single"/>
        </w:rPr>
      </w:pPr>
      <w:r w:rsidRPr="00650F78">
        <w:rPr>
          <w:rFonts w:ascii="Times New Roman" w:hAnsi="Times New Roman"/>
          <w:bCs/>
          <w:u w:val="single"/>
        </w:rPr>
        <w:t>Osobné výdavky verejných vysokých škôl</w:t>
      </w:r>
    </w:p>
    <w:p w:rsidR="00B1578A" w:rsidRPr="00650F78" w:rsidRDefault="00B1578A" w:rsidP="00B1578A">
      <w:pPr>
        <w:ind w:firstLine="709"/>
        <w:jc w:val="both"/>
        <w:rPr>
          <w:rFonts w:ascii="Times New Roman" w:hAnsi="Times New Roman"/>
        </w:rPr>
      </w:pPr>
    </w:p>
    <w:p w:rsidR="00B1578A" w:rsidRDefault="00B1578A" w:rsidP="00B1578A">
      <w:pPr>
        <w:ind w:firstLine="708"/>
        <w:jc w:val="both"/>
        <w:rPr>
          <w:rFonts w:ascii="Times New Roman" w:hAnsi="Times New Roman"/>
          <w:bCs/>
        </w:rPr>
      </w:pPr>
      <w:r w:rsidRPr="00FB730B">
        <w:rPr>
          <w:rFonts w:ascii="Times New Roman" w:hAnsi="Times New Roman"/>
          <w:bCs/>
        </w:rPr>
        <w:t>Osobné výdavky verejných vysokých škôl vychádzajú z rozpisu rozpočtovaného transferu kapitolou</w:t>
      </w:r>
      <w:r>
        <w:rPr>
          <w:rFonts w:ascii="Times New Roman" w:hAnsi="Times New Roman"/>
          <w:bCs/>
        </w:rPr>
        <w:t xml:space="preserve"> Ministerstva školstva, vedy, výskumu a športu SR  na rok 2018 v sume </w:t>
      </w:r>
      <w:r w:rsidR="00653A95">
        <w:rPr>
          <w:rFonts w:ascii="Times New Roman" w:hAnsi="Times New Roman"/>
          <w:bCs/>
        </w:rPr>
        <w:br/>
      </w:r>
      <w:r w:rsidRPr="00FB730B">
        <w:rPr>
          <w:rFonts w:ascii="Times New Roman" w:hAnsi="Times New Roman"/>
          <w:bCs/>
        </w:rPr>
        <w:t>411 mil. eur,  na rok 2019 v sume 438 mil. eur a na rok 2020 v sume 442 mil. eur</w:t>
      </w:r>
      <w:r>
        <w:rPr>
          <w:rFonts w:ascii="Times New Roman" w:hAnsi="Times New Roman"/>
          <w:bCs/>
        </w:rPr>
        <w:t xml:space="preserve">. </w:t>
      </w:r>
    </w:p>
    <w:p w:rsidR="00653A95" w:rsidRDefault="00653A95" w:rsidP="00B1578A">
      <w:pPr>
        <w:ind w:firstLine="708"/>
        <w:jc w:val="both"/>
        <w:rPr>
          <w:rFonts w:ascii="Times New Roman" w:hAnsi="Times New Roman"/>
          <w:bCs/>
        </w:rPr>
      </w:pPr>
    </w:p>
    <w:p w:rsidR="00B1578A" w:rsidRPr="000C7C89" w:rsidRDefault="00B1578A" w:rsidP="00B1578A">
      <w:pPr>
        <w:ind w:firstLine="708"/>
        <w:jc w:val="both"/>
        <w:rPr>
          <w:rFonts w:ascii="Times New Roman" w:hAnsi="Times New Roman"/>
          <w:bCs/>
        </w:rPr>
      </w:pPr>
      <w:r>
        <w:rPr>
          <w:rFonts w:ascii="Times New Roman" w:hAnsi="Times New Roman"/>
          <w:bCs/>
        </w:rPr>
        <w:t xml:space="preserve">Návrh osobných výdavkov na roky 2018  až 2020 uvedený v tabuľke okrem rozpisu ministerstva zohľadňuje aj výdavky rozpočtované v kapitole Všeobecná pokladničná správa v sume 6,6 mil. eur na rok 2018, 18,2 mil. eur na rok 2019 a  31,5 mil. eur na rok 2020, ktoré súvisia s plnením memoranda a Programového vyhlásenia vlády SR. </w:t>
      </w:r>
    </w:p>
    <w:p w:rsidR="00653A95" w:rsidRDefault="00653A95" w:rsidP="00B1578A">
      <w:pPr>
        <w:ind w:firstLine="709"/>
        <w:jc w:val="both"/>
        <w:rPr>
          <w:rFonts w:ascii="Times New Roman" w:hAnsi="Times New Roman"/>
        </w:rPr>
      </w:pPr>
    </w:p>
    <w:p w:rsidR="00B1578A" w:rsidRPr="000C7C89" w:rsidRDefault="00B1578A" w:rsidP="00B1578A">
      <w:pPr>
        <w:ind w:firstLine="709"/>
        <w:jc w:val="both"/>
        <w:rPr>
          <w:rFonts w:ascii="Times New Roman" w:hAnsi="Times New Roman"/>
        </w:rPr>
      </w:pPr>
      <w:r w:rsidRPr="000C7C89">
        <w:rPr>
          <w:rFonts w:ascii="Times New Roman" w:hAnsi="Times New Roman"/>
        </w:rPr>
        <w:t xml:space="preserve">V náraste osobných výdavkov na roky 2018 až 2020 je zohľadnené zvýšenie stupnice platových taríf učiteľov vysokých škôl </w:t>
      </w:r>
      <w:r w:rsidRPr="00C80D64">
        <w:rPr>
          <w:rFonts w:ascii="Times New Roman" w:hAnsi="Times New Roman"/>
        </w:rPr>
        <w:t xml:space="preserve">o 6 % od 1. 9. 2017 v celoročnom vyjadrení v sume </w:t>
      </w:r>
      <w:r w:rsidR="000B3047">
        <w:rPr>
          <w:rFonts w:ascii="Times New Roman" w:hAnsi="Times New Roman"/>
        </w:rPr>
        <w:br/>
      </w:r>
      <w:r w:rsidRPr="00C80D64">
        <w:rPr>
          <w:rFonts w:ascii="Times New Roman" w:hAnsi="Times New Roman"/>
        </w:rPr>
        <w:t xml:space="preserve">11,9 mil. eur, z toho mzdy </w:t>
      </w:r>
      <w:r w:rsidR="00C10BC3">
        <w:rPr>
          <w:rFonts w:ascii="Times New Roman" w:hAnsi="Times New Roman"/>
        </w:rPr>
        <w:t>8</w:t>
      </w:r>
      <w:r w:rsidRPr="00C80D64">
        <w:rPr>
          <w:rFonts w:ascii="Times New Roman" w:hAnsi="Times New Roman"/>
        </w:rPr>
        <w:t>,8 mil. eur. Súčasne</w:t>
      </w:r>
      <w:r w:rsidRPr="000C7C89">
        <w:rPr>
          <w:rFonts w:ascii="Times New Roman" w:hAnsi="Times New Roman"/>
        </w:rPr>
        <w:t xml:space="preserve"> sú v súlade s Programovým vyhlásením vlády SR</w:t>
      </w:r>
      <w:r>
        <w:rPr>
          <w:rFonts w:ascii="Times New Roman" w:hAnsi="Times New Roman"/>
        </w:rPr>
        <w:t xml:space="preserve"> v kapitole Všeobecná pokladničná správa pre učiteľov vysokých škôl rozpočtované osobné výdavky zodpovedajúce 6% valorizácii od 1. januára 2019 a od 1. januára 2020</w:t>
      </w:r>
      <w:r w:rsidR="00C10BC3">
        <w:rPr>
          <w:rFonts w:ascii="Times New Roman" w:hAnsi="Times New Roman"/>
        </w:rPr>
        <w:t xml:space="preserve">, na rok 2019 v sume </w:t>
      </w:r>
      <w:r>
        <w:rPr>
          <w:rFonts w:ascii="Times New Roman" w:hAnsi="Times New Roman"/>
        </w:rPr>
        <w:t>12,6 mil. eur</w:t>
      </w:r>
      <w:r w:rsidR="00C10BC3">
        <w:rPr>
          <w:rFonts w:ascii="Times New Roman" w:hAnsi="Times New Roman"/>
        </w:rPr>
        <w:t xml:space="preserve"> a na rok 2020 </w:t>
      </w:r>
      <w:r>
        <w:rPr>
          <w:rFonts w:ascii="Times New Roman" w:hAnsi="Times New Roman"/>
        </w:rPr>
        <w:t>v sume 25,9 mil. eur súhrnne.</w:t>
      </w:r>
    </w:p>
    <w:p w:rsidR="00653A95" w:rsidRDefault="00653A95" w:rsidP="00B1578A">
      <w:pPr>
        <w:ind w:firstLine="709"/>
        <w:jc w:val="both"/>
        <w:rPr>
          <w:rFonts w:ascii="Times New Roman" w:hAnsi="Times New Roman"/>
          <w:bCs/>
        </w:rPr>
      </w:pPr>
    </w:p>
    <w:p w:rsidR="00B1578A" w:rsidRPr="0032116B" w:rsidRDefault="00B1578A" w:rsidP="00B1578A">
      <w:pPr>
        <w:ind w:firstLine="709"/>
        <w:jc w:val="both"/>
        <w:rPr>
          <w:rFonts w:ascii="Times New Roman" w:hAnsi="Times New Roman"/>
          <w:bCs/>
          <w:szCs w:val="22"/>
        </w:rPr>
      </w:pPr>
      <w:r>
        <w:rPr>
          <w:rFonts w:ascii="Times New Roman" w:hAnsi="Times New Roman"/>
          <w:bCs/>
        </w:rPr>
        <w:t>V</w:t>
      </w:r>
      <w:r w:rsidRPr="000C7C89">
        <w:rPr>
          <w:rFonts w:ascii="Times New Roman" w:hAnsi="Times New Roman"/>
          <w:bCs/>
        </w:rPr>
        <w:t xml:space="preserve"> súlade s podpísaným memorandom </w:t>
      </w:r>
      <w:r>
        <w:rPr>
          <w:rFonts w:ascii="Times New Roman" w:hAnsi="Times New Roman"/>
          <w:bCs/>
        </w:rPr>
        <w:t>sú p</w:t>
      </w:r>
      <w:r w:rsidRPr="000C7C89">
        <w:rPr>
          <w:rFonts w:ascii="Times New Roman" w:hAnsi="Times New Roman"/>
          <w:bCs/>
        </w:rPr>
        <w:t>re ostatných zamestnancov,</w:t>
      </w:r>
      <w:r>
        <w:rPr>
          <w:rFonts w:ascii="Times New Roman" w:hAnsi="Times New Roman"/>
          <w:bCs/>
        </w:rPr>
        <w:t xml:space="preserve"> okrem</w:t>
      </w:r>
      <w:r w:rsidRPr="000C7C89">
        <w:rPr>
          <w:rFonts w:ascii="Times New Roman" w:hAnsi="Times New Roman"/>
          <w:bCs/>
        </w:rPr>
        <w:t xml:space="preserve"> učiteľov vysokých škôl, v kapitol</w:t>
      </w:r>
      <w:r>
        <w:rPr>
          <w:rFonts w:ascii="Times New Roman" w:hAnsi="Times New Roman"/>
          <w:bCs/>
        </w:rPr>
        <w:t>e Všeobecná pokladničná správa</w:t>
      </w:r>
      <w:r w:rsidRPr="000C7C89">
        <w:rPr>
          <w:rFonts w:ascii="Times New Roman" w:hAnsi="Times New Roman"/>
          <w:bCs/>
        </w:rPr>
        <w:t xml:space="preserve"> rozpočtované osobné výdavky</w:t>
      </w:r>
      <w:r w:rsidR="00C10BC3">
        <w:rPr>
          <w:rFonts w:ascii="Times New Roman" w:hAnsi="Times New Roman"/>
          <w:bCs/>
        </w:rPr>
        <w:t xml:space="preserve"> na rok 2018</w:t>
      </w:r>
      <w:r w:rsidRPr="000C7C89">
        <w:rPr>
          <w:rFonts w:ascii="Times New Roman" w:hAnsi="Times New Roman"/>
          <w:bCs/>
        </w:rPr>
        <w:t xml:space="preserve"> v sume 6,6 mil. eur na zvýšenie stupníc platových taríf od 1. januára 2018 o 4 % a na 2% zvýšenie ich</w:t>
      </w:r>
      <w:r w:rsidRPr="00FB730B">
        <w:rPr>
          <w:rFonts w:ascii="Times New Roman" w:hAnsi="Times New Roman"/>
          <w:bCs/>
        </w:rPr>
        <w:t xml:space="preserve"> platov formou odmeny na obdobie od 1. </w:t>
      </w:r>
      <w:r>
        <w:rPr>
          <w:rFonts w:ascii="Times New Roman" w:hAnsi="Times New Roman"/>
          <w:bCs/>
        </w:rPr>
        <w:t>septembra 2018</w:t>
      </w:r>
      <w:r w:rsidRPr="00FB730B">
        <w:rPr>
          <w:rFonts w:ascii="Times New Roman" w:hAnsi="Times New Roman"/>
          <w:bCs/>
        </w:rPr>
        <w:t xml:space="preserve"> do 31. </w:t>
      </w:r>
      <w:r>
        <w:rPr>
          <w:rFonts w:ascii="Times New Roman" w:hAnsi="Times New Roman"/>
          <w:bCs/>
        </w:rPr>
        <w:t>decembra</w:t>
      </w:r>
      <w:r w:rsidRPr="00FB730B">
        <w:rPr>
          <w:rFonts w:ascii="Times New Roman" w:hAnsi="Times New Roman"/>
          <w:bCs/>
        </w:rPr>
        <w:t xml:space="preserve"> 2018.</w:t>
      </w:r>
      <w:r>
        <w:rPr>
          <w:rFonts w:ascii="Times New Roman" w:hAnsi="Times New Roman"/>
          <w:bCs/>
        </w:rPr>
        <w:t xml:space="preserve"> </w:t>
      </w:r>
      <w:r>
        <w:rPr>
          <w:rFonts w:ascii="Times New Roman" w:hAnsi="Times New Roman"/>
          <w:bCs/>
          <w:szCs w:val="22"/>
        </w:rPr>
        <w:t>Zvýšenie stupníc platových taríf z roku 2018 o 4 % je premietnuté aj do rokov 2019 a 2020 v sume 5,6 mil. eur.</w:t>
      </w:r>
    </w:p>
    <w:p w:rsidR="00653A95" w:rsidRDefault="00653A95" w:rsidP="00B1578A">
      <w:pPr>
        <w:ind w:firstLine="708"/>
        <w:jc w:val="both"/>
        <w:rPr>
          <w:rFonts w:ascii="Times New Roman" w:hAnsi="Times New Roman"/>
          <w:bCs/>
        </w:rPr>
      </w:pPr>
    </w:p>
    <w:p w:rsidR="00B1578A" w:rsidRPr="00A66A50" w:rsidRDefault="00B1578A" w:rsidP="00B1578A">
      <w:pPr>
        <w:ind w:firstLine="708"/>
        <w:jc w:val="both"/>
        <w:rPr>
          <w:rFonts w:ascii="Times New Roman" w:hAnsi="Times New Roman"/>
          <w:bCs/>
        </w:rPr>
      </w:pPr>
      <w:r>
        <w:rPr>
          <w:rFonts w:ascii="Times New Roman" w:hAnsi="Times New Roman"/>
          <w:bCs/>
        </w:rPr>
        <w:t>Počet zamestnancov na roky 2018 až 2020 v počte 21 529 osôb zostáva zachovaný na úrovni roku 2017 a vychádza z návrhu kapitoly.</w:t>
      </w:r>
    </w:p>
    <w:p w:rsidR="00653A95" w:rsidRDefault="00653A95" w:rsidP="00B1578A">
      <w:pPr>
        <w:ind w:firstLine="708"/>
        <w:jc w:val="both"/>
        <w:rPr>
          <w:rFonts w:ascii="Times New Roman" w:hAnsi="Times New Roman"/>
          <w:bCs/>
        </w:rPr>
      </w:pPr>
    </w:p>
    <w:p w:rsidR="00B1578A" w:rsidRPr="00650F78" w:rsidRDefault="00B1578A" w:rsidP="00B1578A">
      <w:pPr>
        <w:ind w:firstLine="708"/>
        <w:jc w:val="both"/>
        <w:rPr>
          <w:rFonts w:ascii="Times New Roman" w:hAnsi="Times New Roman"/>
          <w:bCs/>
        </w:rPr>
      </w:pPr>
      <w:r w:rsidRPr="00650F78">
        <w:rPr>
          <w:rFonts w:ascii="Times New Roman" w:hAnsi="Times New Roman"/>
          <w:bCs/>
        </w:rPr>
        <w:t>Prehľad o skutočne dosiahnutých ukazovateľoch zamestnanosti v rokoch 2015, rozpočtu a očakávanej skutočnosti na rok 2017 a návrhu rozpočtu na roky 2018 až 2020 je uvedený v tabuľke.</w:t>
      </w:r>
    </w:p>
    <w:bookmarkEnd w:id="53"/>
    <w:p w:rsidR="00B1578A" w:rsidRPr="00FE340F" w:rsidRDefault="00B1578A" w:rsidP="00B1578A">
      <w:pPr>
        <w:jc w:val="both"/>
        <w:rPr>
          <w:rFonts w:ascii="Times New Roman" w:hAnsi="Times New Roman"/>
          <w:sz w:val="20"/>
          <w:szCs w:val="20"/>
          <w:lang w:eastAsia="sk-SK"/>
        </w:rPr>
      </w:pPr>
    </w:p>
    <w:tbl>
      <w:tblPr>
        <w:tblW w:w="8880" w:type="dxa"/>
        <w:tblInd w:w="75" w:type="dxa"/>
        <w:tblCellMar>
          <w:left w:w="70" w:type="dxa"/>
          <w:right w:w="70" w:type="dxa"/>
        </w:tblCellMar>
        <w:tblLook w:val="04A0" w:firstRow="1" w:lastRow="0" w:firstColumn="1" w:lastColumn="0" w:noHBand="0" w:noVBand="1"/>
      </w:tblPr>
      <w:tblGrid>
        <w:gridCol w:w="2260"/>
        <w:gridCol w:w="475"/>
        <w:gridCol w:w="880"/>
        <w:gridCol w:w="880"/>
        <w:gridCol w:w="880"/>
        <w:gridCol w:w="880"/>
        <w:gridCol w:w="880"/>
        <w:gridCol w:w="880"/>
        <w:gridCol w:w="880"/>
      </w:tblGrid>
      <w:tr w:rsidR="00B1578A" w:rsidRPr="006C328F" w:rsidTr="005C0638">
        <w:trPr>
          <w:trHeight w:val="330"/>
        </w:trPr>
        <w:tc>
          <w:tcPr>
            <w:tcW w:w="22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1578A" w:rsidRPr="006C328F" w:rsidRDefault="00B1578A" w:rsidP="005C0638">
            <w:pP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Verejné vysoké školy</w:t>
            </w:r>
          </w:p>
        </w:tc>
        <w:tc>
          <w:tcPr>
            <w:tcW w:w="460" w:type="dxa"/>
            <w:tcBorders>
              <w:top w:val="single" w:sz="4" w:space="0" w:color="auto"/>
              <w:left w:val="nil"/>
              <w:bottom w:val="single" w:sz="4" w:space="0" w:color="auto"/>
              <w:right w:val="single" w:sz="4" w:space="0" w:color="auto"/>
            </w:tcBorders>
            <w:shd w:val="clear" w:color="000000" w:fill="BFBFBF"/>
            <w:noWrap/>
            <w:vAlign w:val="center"/>
            <w:hideMark/>
          </w:tcPr>
          <w:p w:rsidR="00B1578A" w:rsidRPr="006C328F" w:rsidRDefault="00B1578A" w:rsidP="005C0638">
            <w:pP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 </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2015 S</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2016 S</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2017 R</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2017 OS</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2018 N</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2019 N</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B1578A" w:rsidRPr="006C328F" w:rsidRDefault="00B1578A" w:rsidP="005C0638">
            <w:pPr>
              <w:jc w:val="center"/>
              <w:rPr>
                <w:rFonts w:ascii="Times New Roman" w:hAnsi="Times New Roman"/>
                <w:b/>
                <w:bCs/>
                <w:color w:val="000000"/>
                <w:sz w:val="14"/>
                <w:szCs w:val="14"/>
                <w:lang w:eastAsia="sk-SK"/>
              </w:rPr>
            </w:pPr>
            <w:r w:rsidRPr="006C328F">
              <w:rPr>
                <w:rFonts w:ascii="Times New Roman" w:hAnsi="Times New Roman"/>
                <w:b/>
                <w:bCs/>
                <w:color w:val="000000"/>
                <w:sz w:val="14"/>
                <w:szCs w:val="14"/>
                <w:lang w:eastAsia="sk-SK"/>
              </w:rPr>
              <w:t>2020 N</w:t>
            </w:r>
          </w:p>
        </w:tc>
      </w:tr>
      <w:tr w:rsidR="00B1578A" w:rsidRPr="006C328F" w:rsidTr="005C0638">
        <w:trPr>
          <w:trHeight w:val="33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Počet zamestnancov</w:t>
            </w:r>
          </w:p>
        </w:tc>
        <w:tc>
          <w:tcPr>
            <w:tcW w:w="4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osoby</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21 365</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20 882</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20 760</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21 529</w:t>
            </w:r>
          </w:p>
        </w:tc>
      </w:tr>
      <w:tr w:rsidR="00B1578A" w:rsidRPr="006C328F" w:rsidTr="005C0638">
        <w:trPr>
          <w:trHeight w:val="33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sz w:val="14"/>
                <w:szCs w:val="14"/>
                <w:lang w:eastAsia="sk-SK"/>
              </w:rPr>
            </w:pPr>
            <w:r w:rsidRPr="006C328F">
              <w:rPr>
                <w:rFonts w:ascii="Times New Roman" w:hAnsi="Times New Roman"/>
                <w:sz w:val="14"/>
                <w:szCs w:val="14"/>
                <w:lang w:eastAsia="sk-SK"/>
              </w:rPr>
              <w:t>Osobné výdavky</w:t>
            </w:r>
          </w:p>
        </w:tc>
        <w:tc>
          <w:tcPr>
            <w:tcW w:w="4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eur</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376 123 744</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388 710 741</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388 569 166</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434 047 000</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417 564 395</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456 117 113</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473 335 527</w:t>
            </w:r>
          </w:p>
        </w:tc>
      </w:tr>
      <w:tr w:rsidR="00B1578A" w:rsidRPr="006C328F" w:rsidTr="005C0638">
        <w:trPr>
          <w:trHeight w:val="33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ind w:firstLineChars="200" w:firstLine="280"/>
              <w:rPr>
                <w:rFonts w:ascii="Times New Roman" w:hAnsi="Times New Roman"/>
                <w:sz w:val="14"/>
                <w:szCs w:val="14"/>
                <w:lang w:eastAsia="sk-SK"/>
              </w:rPr>
            </w:pPr>
            <w:r w:rsidRPr="006C328F">
              <w:rPr>
                <w:rFonts w:ascii="Times New Roman" w:hAnsi="Times New Roman"/>
                <w:sz w:val="14"/>
                <w:szCs w:val="14"/>
                <w:lang w:eastAsia="sk-SK"/>
              </w:rPr>
              <w:t>z toho: mzdové výdavky</w:t>
            </w:r>
          </w:p>
        </w:tc>
        <w:tc>
          <w:tcPr>
            <w:tcW w:w="4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sz w:val="14"/>
                <w:szCs w:val="14"/>
                <w:lang w:eastAsia="sk-SK"/>
              </w:rPr>
            </w:pPr>
            <w:r w:rsidRPr="006C328F">
              <w:rPr>
                <w:rFonts w:ascii="Times New Roman" w:hAnsi="Times New Roman"/>
                <w:sz w:val="14"/>
                <w:szCs w:val="14"/>
                <w:lang w:eastAsia="sk-SK"/>
              </w:rPr>
              <w:t>eur</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277 688 697</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287 606 718</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288 474 136</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321 793 000</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308 525 262</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335 074 612</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sz w:val="14"/>
                <w:szCs w:val="14"/>
                <w:lang w:eastAsia="sk-SK"/>
              </w:rPr>
            </w:pPr>
            <w:r w:rsidRPr="006C328F">
              <w:rPr>
                <w:rFonts w:ascii="Times New Roman" w:hAnsi="Times New Roman"/>
                <w:sz w:val="14"/>
                <w:szCs w:val="14"/>
                <w:lang w:eastAsia="sk-SK"/>
              </w:rPr>
              <w:t>347 391 825</w:t>
            </w:r>
          </w:p>
        </w:tc>
      </w:tr>
      <w:tr w:rsidR="00B1578A" w:rsidRPr="006C328F" w:rsidTr="005C0638">
        <w:trPr>
          <w:trHeight w:val="33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B1578A" w:rsidRPr="006C328F" w:rsidRDefault="00B1578A" w:rsidP="005C0638">
            <w:pPr>
              <w:rPr>
                <w:rFonts w:ascii="Times New Roman" w:hAnsi="Times New Roman"/>
                <w:color w:val="000000"/>
                <w:sz w:val="14"/>
                <w:szCs w:val="14"/>
                <w:lang w:eastAsia="sk-SK"/>
              </w:rPr>
            </w:pPr>
            <w:r w:rsidRPr="006C328F">
              <w:rPr>
                <w:rFonts w:ascii="Times New Roman" w:hAnsi="Times New Roman"/>
                <w:color w:val="000000"/>
                <w:sz w:val="14"/>
                <w:szCs w:val="14"/>
                <w:lang w:eastAsia="sk-SK"/>
              </w:rPr>
              <w:t>Priemerný mzdový výdavok</w:t>
            </w:r>
          </w:p>
        </w:tc>
        <w:tc>
          <w:tcPr>
            <w:tcW w:w="46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center"/>
              <w:rPr>
                <w:rFonts w:ascii="Times New Roman" w:hAnsi="Times New Roman"/>
                <w:color w:val="000000"/>
                <w:sz w:val="14"/>
                <w:szCs w:val="14"/>
                <w:lang w:eastAsia="sk-SK"/>
              </w:rPr>
            </w:pPr>
            <w:r w:rsidRPr="006C328F">
              <w:rPr>
                <w:rFonts w:ascii="Times New Roman" w:hAnsi="Times New Roman"/>
                <w:color w:val="000000"/>
                <w:sz w:val="14"/>
                <w:szCs w:val="14"/>
                <w:lang w:eastAsia="sk-SK"/>
              </w:rPr>
              <w:t>eur</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1 083,11</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1 147,75</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1 116,61</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1 291,72</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1 194,22</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1 296,99</w:t>
            </w:r>
          </w:p>
        </w:tc>
        <w:tc>
          <w:tcPr>
            <w:tcW w:w="880" w:type="dxa"/>
            <w:tcBorders>
              <w:top w:val="nil"/>
              <w:left w:val="nil"/>
              <w:bottom w:val="single" w:sz="4" w:space="0" w:color="auto"/>
              <w:right w:val="single" w:sz="4" w:space="0" w:color="auto"/>
            </w:tcBorders>
            <w:shd w:val="clear" w:color="auto" w:fill="auto"/>
            <w:noWrap/>
            <w:vAlign w:val="center"/>
            <w:hideMark/>
          </w:tcPr>
          <w:p w:rsidR="00B1578A" w:rsidRPr="006C328F" w:rsidRDefault="00B1578A" w:rsidP="005C0638">
            <w:pPr>
              <w:jc w:val="right"/>
              <w:rPr>
                <w:rFonts w:ascii="Times New Roman" w:hAnsi="Times New Roman"/>
                <w:b/>
                <w:bCs/>
                <w:sz w:val="14"/>
                <w:szCs w:val="14"/>
                <w:lang w:eastAsia="sk-SK"/>
              </w:rPr>
            </w:pPr>
            <w:r w:rsidRPr="006C328F">
              <w:rPr>
                <w:rFonts w:ascii="Times New Roman" w:hAnsi="Times New Roman"/>
                <w:b/>
                <w:bCs/>
                <w:sz w:val="14"/>
                <w:szCs w:val="14"/>
                <w:lang w:eastAsia="sk-SK"/>
              </w:rPr>
              <w:t>1 344,67</w:t>
            </w:r>
          </w:p>
        </w:tc>
      </w:tr>
      <w:tr w:rsidR="00B1578A" w:rsidRPr="006C328F" w:rsidTr="00653A95">
        <w:trPr>
          <w:trHeight w:val="600"/>
        </w:trPr>
        <w:tc>
          <w:tcPr>
            <w:tcW w:w="8880" w:type="dxa"/>
            <w:gridSpan w:val="9"/>
            <w:tcBorders>
              <w:top w:val="single" w:sz="4" w:space="0" w:color="auto"/>
              <w:left w:val="nil"/>
              <w:bottom w:val="nil"/>
              <w:right w:val="nil"/>
            </w:tcBorders>
            <w:shd w:val="clear" w:color="auto" w:fill="auto"/>
            <w:vAlign w:val="center"/>
            <w:hideMark/>
          </w:tcPr>
          <w:p w:rsidR="00B1578A" w:rsidRPr="006C328F" w:rsidRDefault="00B1578A" w:rsidP="005C0638">
            <w:pPr>
              <w:rPr>
                <w:rFonts w:ascii="Times New Roman" w:hAnsi="Times New Roman"/>
                <w:color w:val="000000"/>
                <w:sz w:val="14"/>
                <w:szCs w:val="14"/>
                <w:lang w:eastAsia="sk-SK"/>
              </w:rPr>
            </w:pPr>
            <w:r w:rsidRPr="006C328F">
              <w:rPr>
                <w:rFonts w:ascii="Times New Roman" w:hAnsi="Times New Roman"/>
                <w:color w:val="000000"/>
                <w:sz w:val="14"/>
                <w:szCs w:val="14"/>
                <w:lang w:eastAsia="sk-SK"/>
              </w:rPr>
              <w:t>Skutočnosť osobných výdavkov v rokoch 2015 a 2016 (hlavná a podnikateľská činnosť) z výkazu FIN 1-04.</w:t>
            </w:r>
            <w:r w:rsidRPr="006C328F">
              <w:rPr>
                <w:rFonts w:ascii="Times New Roman" w:hAnsi="Times New Roman"/>
                <w:color w:val="000000"/>
                <w:sz w:val="14"/>
                <w:szCs w:val="14"/>
                <w:lang w:eastAsia="sk-SK"/>
              </w:rPr>
              <w:br/>
              <w:t xml:space="preserve">OS 2017 v počtoch zamestnancov zohľadňuje údaje zo štatistiky za I. polrok 2017. Počty zamestnancov v N 2018 až 2020 </w:t>
            </w:r>
            <w:r>
              <w:rPr>
                <w:rFonts w:ascii="Times New Roman" w:hAnsi="Times New Roman"/>
                <w:color w:val="000000"/>
                <w:sz w:val="14"/>
                <w:szCs w:val="14"/>
                <w:lang w:eastAsia="sk-SK"/>
              </w:rPr>
              <w:t xml:space="preserve">(zdroj MŠVVŠ SR) </w:t>
            </w:r>
            <w:r w:rsidRPr="006C328F">
              <w:rPr>
                <w:rFonts w:ascii="Times New Roman" w:hAnsi="Times New Roman"/>
                <w:color w:val="000000"/>
                <w:sz w:val="14"/>
                <w:szCs w:val="14"/>
                <w:lang w:eastAsia="sk-SK"/>
              </w:rPr>
              <w:t xml:space="preserve">sú orientačné a ich plnenie bude závisieť od čerpania zdrojov EÚ a spolufinancovania zo ŠR, čo ovplyvní výšku priemerného mzdového výdavku. </w:t>
            </w:r>
            <w:r w:rsidRPr="006C328F">
              <w:rPr>
                <w:rFonts w:ascii="Times New Roman" w:hAnsi="Times New Roman"/>
                <w:color w:val="000000"/>
                <w:sz w:val="14"/>
                <w:szCs w:val="14"/>
                <w:lang w:eastAsia="sk-SK"/>
              </w:rPr>
              <w:br/>
            </w:r>
            <w:r w:rsidR="00767C2F" w:rsidRPr="006C328F">
              <w:rPr>
                <w:rFonts w:ascii="Times New Roman" w:hAnsi="Times New Roman"/>
                <w:sz w:val="14"/>
                <w:szCs w:val="14"/>
                <w:lang w:eastAsia="sk-SK"/>
              </w:rPr>
              <w:t xml:space="preserve">Návrh rozpočtu na roky 2018 </w:t>
            </w:r>
            <w:r w:rsidR="00767C2F">
              <w:rPr>
                <w:rFonts w:ascii="Times New Roman" w:hAnsi="Times New Roman"/>
                <w:sz w:val="14"/>
                <w:szCs w:val="14"/>
                <w:lang w:eastAsia="sk-SK"/>
              </w:rPr>
              <w:t>až</w:t>
            </w:r>
            <w:r w:rsidR="00767C2F" w:rsidRPr="006C328F">
              <w:rPr>
                <w:rFonts w:ascii="Times New Roman" w:hAnsi="Times New Roman"/>
                <w:sz w:val="14"/>
                <w:szCs w:val="14"/>
                <w:lang w:eastAsia="sk-SK"/>
              </w:rPr>
              <w:t xml:space="preserve"> 2020 </w:t>
            </w:r>
            <w:r w:rsidRPr="006C328F">
              <w:rPr>
                <w:rFonts w:ascii="Times New Roman" w:hAnsi="Times New Roman"/>
                <w:color w:val="000000"/>
                <w:sz w:val="14"/>
                <w:szCs w:val="14"/>
                <w:lang w:eastAsia="sk-SK"/>
              </w:rPr>
              <w:t>zohľadňuje výdavky na valorizáciu rozpočtovanú v kapitole VPS súvisiacu s memorandom a plnením Programového vyhlásenia vlády SR.</w:t>
            </w:r>
          </w:p>
        </w:tc>
      </w:tr>
    </w:tbl>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653A95" w:rsidRDefault="00653A95" w:rsidP="00653A95">
      <w:pPr>
        <w:rPr>
          <w:rFonts w:ascii="Times New Roman" w:hAnsi="Times New Roman"/>
        </w:rPr>
      </w:pPr>
    </w:p>
    <w:p w:rsidR="00C10BC3" w:rsidRDefault="00C10BC3" w:rsidP="00653A95">
      <w:pPr>
        <w:rPr>
          <w:rFonts w:ascii="Times New Roman" w:hAnsi="Times New Roman"/>
        </w:rPr>
      </w:pPr>
    </w:p>
    <w:p w:rsidR="00C10BC3" w:rsidRDefault="00C10BC3" w:rsidP="00653A95">
      <w:pPr>
        <w:rPr>
          <w:rFonts w:ascii="Times New Roman" w:hAnsi="Times New Roman"/>
        </w:rPr>
      </w:pPr>
    </w:p>
    <w:p w:rsidR="00653A95" w:rsidRPr="00653A95" w:rsidRDefault="00653A95" w:rsidP="00653A95">
      <w:pPr>
        <w:rPr>
          <w:rFonts w:ascii="Times New Roman" w:hAnsi="Times New Roman"/>
        </w:rPr>
      </w:pPr>
    </w:p>
    <w:p w:rsidR="009114C0" w:rsidRPr="009114C0" w:rsidRDefault="009114C0" w:rsidP="009114C0">
      <w:pPr>
        <w:pStyle w:val="Nadpis2"/>
        <w:rPr>
          <w:rFonts w:ascii="Times New Roman" w:hAnsi="Times New Roman"/>
          <w:i w:val="0"/>
          <w:sz w:val="24"/>
        </w:rPr>
      </w:pPr>
      <w:bookmarkStart w:id="54" w:name="_Toc494463973"/>
      <w:r w:rsidRPr="003C06BD">
        <w:rPr>
          <w:rFonts w:ascii="Times New Roman" w:hAnsi="Times New Roman"/>
          <w:i w:val="0"/>
          <w:sz w:val="24"/>
        </w:rPr>
        <w:lastRenderedPageBreak/>
        <w:t>4.</w:t>
      </w:r>
      <w:r w:rsidR="00CA7502" w:rsidRPr="003C06BD">
        <w:rPr>
          <w:rFonts w:ascii="Times New Roman" w:hAnsi="Times New Roman"/>
          <w:i w:val="0"/>
          <w:sz w:val="24"/>
        </w:rPr>
        <w:t>3</w:t>
      </w:r>
      <w:r w:rsidRPr="003C06BD">
        <w:rPr>
          <w:rFonts w:ascii="Times New Roman" w:hAnsi="Times New Roman"/>
          <w:i w:val="0"/>
          <w:sz w:val="24"/>
        </w:rPr>
        <w:t>. Rozpočtovanie výdavkov podľa vybraných oblastí</w:t>
      </w:r>
      <w:bookmarkEnd w:id="54"/>
    </w:p>
    <w:p w:rsidR="00DC71B7" w:rsidRPr="00DB39DD" w:rsidRDefault="00905ECA" w:rsidP="00DB39DD">
      <w:pPr>
        <w:pStyle w:val="Zkladntext"/>
        <w:tabs>
          <w:tab w:val="left" w:pos="0"/>
        </w:tabs>
        <w:spacing w:line="276" w:lineRule="auto"/>
        <w:rPr>
          <w:noProof/>
        </w:rPr>
      </w:pPr>
      <w:r w:rsidRPr="007779E3">
        <w:rPr>
          <w:rFonts w:ascii="Times New Roman" w:hAnsi="Times New Roman"/>
          <w:color w:val="0070C0"/>
        </w:rPr>
        <w:tab/>
      </w:r>
      <w:r w:rsidR="005D2BC3" w:rsidRPr="00C10BC3">
        <w:rPr>
          <w:rFonts w:ascii="Times New Roman" w:hAnsi="Times New Roman"/>
          <w:color w:val="0070C0"/>
        </w:rPr>
        <w:fldChar w:fldCharType="begin"/>
      </w:r>
      <w:r w:rsidR="005D2BC3" w:rsidRPr="00C10BC3">
        <w:rPr>
          <w:rFonts w:ascii="Times New Roman" w:hAnsi="Times New Roman"/>
          <w:color w:val="0070C0"/>
        </w:rPr>
        <w:instrText xml:space="preserve"> TOC \h \z \u \t "Nadpis 5;1" </w:instrText>
      </w:r>
      <w:r w:rsidR="005D2BC3" w:rsidRPr="00C10BC3">
        <w:rPr>
          <w:rFonts w:ascii="Times New Roman" w:hAnsi="Times New Roman"/>
          <w:color w:val="0070C0"/>
        </w:rPr>
        <w:fldChar w:fldCharType="separate"/>
      </w:r>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66" w:history="1">
        <w:r w:rsidR="00DC71B7" w:rsidRPr="00DB39DD">
          <w:rPr>
            <w:rStyle w:val="Hypertextovprepojenie"/>
            <w:b w:val="0"/>
            <w:lang w:eastAsia="sk-SK"/>
          </w:rPr>
          <w:t>Ministerstvo vnútra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_Toc494472266 \h </w:instrText>
        </w:r>
        <w:r w:rsidR="00DC71B7" w:rsidRPr="00DB39DD">
          <w:rPr>
            <w:b w:val="0"/>
            <w:webHidden/>
          </w:rPr>
        </w:r>
        <w:r w:rsidR="00DC71B7" w:rsidRPr="00DB39DD">
          <w:rPr>
            <w:b w:val="0"/>
            <w:webHidden/>
          </w:rPr>
          <w:fldChar w:fldCharType="separate"/>
        </w:r>
        <w:r w:rsidR="00776843">
          <w:rPr>
            <w:b w:val="0"/>
            <w:webHidden/>
          </w:rPr>
          <w:t>47</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67" w:history="1">
        <w:r w:rsidR="00DC71B7" w:rsidRPr="00DB39DD">
          <w:rPr>
            <w:rStyle w:val="Hypertextovprepojenie"/>
            <w:b w:val="0"/>
          </w:rPr>
          <w:t>Ministerstvo práce, sociálnych vecí a rodiny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_Toc494472267 \h </w:instrText>
        </w:r>
        <w:r w:rsidR="00DC71B7" w:rsidRPr="00DB39DD">
          <w:rPr>
            <w:b w:val="0"/>
            <w:webHidden/>
          </w:rPr>
        </w:r>
        <w:r w:rsidR="00DC71B7" w:rsidRPr="00DB39DD">
          <w:rPr>
            <w:b w:val="0"/>
            <w:webHidden/>
          </w:rPr>
          <w:fldChar w:fldCharType="separate"/>
        </w:r>
        <w:r w:rsidR="00776843">
          <w:rPr>
            <w:b w:val="0"/>
            <w:webHidden/>
          </w:rPr>
          <w:t>54</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68" w:history="1">
        <w:r w:rsidR="00DC71B7" w:rsidRPr="00DB39DD">
          <w:rPr>
            <w:rStyle w:val="Hypertextovprepojenie"/>
            <w:b w:val="0"/>
            <w:lang w:eastAsia="sk-SK"/>
          </w:rPr>
          <w:t>Ministerstvo zdravotníctva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_Toc494472268 \h </w:instrText>
        </w:r>
        <w:r w:rsidR="00DC71B7" w:rsidRPr="00DB39DD">
          <w:rPr>
            <w:b w:val="0"/>
            <w:webHidden/>
          </w:rPr>
        </w:r>
        <w:r w:rsidR="00DC71B7" w:rsidRPr="00DB39DD">
          <w:rPr>
            <w:b w:val="0"/>
            <w:webHidden/>
          </w:rPr>
          <w:fldChar w:fldCharType="separate"/>
        </w:r>
        <w:r w:rsidR="00776843">
          <w:rPr>
            <w:b w:val="0"/>
            <w:webHidden/>
          </w:rPr>
          <w:t>62</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69" w:history="1">
        <w:r w:rsidR="00DC71B7" w:rsidRPr="00DB39DD">
          <w:rPr>
            <w:rStyle w:val="Hypertextovprepojenie"/>
            <w:b w:val="0"/>
          </w:rPr>
          <w:t>Ministerstvo školstva, vedy, výskumu a športu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_Toc494472269 \h </w:instrText>
        </w:r>
        <w:r w:rsidR="00DC71B7" w:rsidRPr="00DB39DD">
          <w:rPr>
            <w:b w:val="0"/>
            <w:webHidden/>
          </w:rPr>
        </w:r>
        <w:r w:rsidR="00DC71B7" w:rsidRPr="00DB39DD">
          <w:rPr>
            <w:b w:val="0"/>
            <w:webHidden/>
          </w:rPr>
          <w:fldChar w:fldCharType="separate"/>
        </w:r>
        <w:r w:rsidR="00776843">
          <w:rPr>
            <w:b w:val="0"/>
            <w:webHidden/>
          </w:rPr>
          <w:t>69</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70" w:history="1">
        <w:r w:rsidR="00DC71B7" w:rsidRPr="00DB39DD">
          <w:rPr>
            <w:rStyle w:val="Hypertextovprepojenie"/>
            <w:b w:val="0"/>
          </w:rPr>
          <w:t>Ministerstvo dopravy a výstavby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_Toc494472270 \h </w:instrText>
        </w:r>
        <w:r w:rsidR="00DC71B7" w:rsidRPr="00DB39DD">
          <w:rPr>
            <w:b w:val="0"/>
            <w:webHidden/>
          </w:rPr>
        </w:r>
        <w:r w:rsidR="00DC71B7" w:rsidRPr="00DB39DD">
          <w:rPr>
            <w:b w:val="0"/>
            <w:webHidden/>
          </w:rPr>
          <w:fldChar w:fldCharType="separate"/>
        </w:r>
        <w:r w:rsidR="00776843">
          <w:rPr>
            <w:b w:val="0"/>
            <w:webHidden/>
          </w:rPr>
          <w:t>82</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71" w:history="1">
        <w:r w:rsidR="00DC71B7" w:rsidRPr="00DB39DD">
          <w:rPr>
            <w:rStyle w:val="Hypertextovprepojenie"/>
            <w:b w:val="0"/>
            <w:lang w:eastAsia="sk-SK"/>
          </w:rPr>
          <w:t>Ministerstvo pôdohospodárstva a rozvoja vidieka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_Toc494472271 \h </w:instrText>
        </w:r>
        <w:r w:rsidR="00DC71B7" w:rsidRPr="00DB39DD">
          <w:rPr>
            <w:b w:val="0"/>
            <w:webHidden/>
          </w:rPr>
        </w:r>
        <w:r w:rsidR="00DC71B7" w:rsidRPr="00DB39DD">
          <w:rPr>
            <w:b w:val="0"/>
            <w:webHidden/>
          </w:rPr>
          <w:fldChar w:fldCharType="separate"/>
        </w:r>
        <w:r w:rsidR="00776843">
          <w:rPr>
            <w:b w:val="0"/>
            <w:webHidden/>
          </w:rPr>
          <w:t>90</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72" w:history="1">
        <w:r w:rsidR="00DC71B7" w:rsidRPr="00DB39DD">
          <w:rPr>
            <w:rStyle w:val="Hypertextovprepojenie"/>
            <w:b w:val="0"/>
            <w:lang w:eastAsia="sk-SK"/>
          </w:rPr>
          <w:t>Ministerstvo obrany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_Toc494472272 \h </w:instrText>
        </w:r>
        <w:r w:rsidR="00DC71B7" w:rsidRPr="00DB39DD">
          <w:rPr>
            <w:b w:val="0"/>
            <w:webHidden/>
          </w:rPr>
        </w:r>
        <w:r w:rsidR="00DC71B7" w:rsidRPr="00DB39DD">
          <w:rPr>
            <w:b w:val="0"/>
            <w:webHidden/>
          </w:rPr>
          <w:fldChar w:fldCharType="separate"/>
        </w:r>
        <w:r w:rsidR="00776843">
          <w:rPr>
            <w:b w:val="0"/>
            <w:webHidden/>
          </w:rPr>
          <w:t>94</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73" w:history="1">
        <w:r w:rsidR="00DC71B7" w:rsidRPr="00DB39DD">
          <w:rPr>
            <w:rStyle w:val="Hypertextovprepojenie"/>
            <w:b w:val="0"/>
            <w:lang w:eastAsia="sk-SK"/>
          </w:rPr>
          <w:t>Ministerstvo spravodlivosti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_Toc494472273 \h </w:instrText>
        </w:r>
        <w:r w:rsidR="00DC71B7" w:rsidRPr="00DB39DD">
          <w:rPr>
            <w:b w:val="0"/>
            <w:webHidden/>
          </w:rPr>
        </w:r>
        <w:r w:rsidR="00DC71B7" w:rsidRPr="00DB39DD">
          <w:rPr>
            <w:b w:val="0"/>
            <w:webHidden/>
          </w:rPr>
          <w:fldChar w:fldCharType="separate"/>
        </w:r>
        <w:r w:rsidR="00776843">
          <w:rPr>
            <w:b w:val="0"/>
            <w:webHidden/>
          </w:rPr>
          <w:t>98</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74" w:history="1">
        <w:r w:rsidR="00DC71B7" w:rsidRPr="00DB39DD">
          <w:rPr>
            <w:rStyle w:val="Hypertextovprepojenie"/>
            <w:b w:val="0"/>
          </w:rPr>
          <w:t>Ministerstvo financií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_Toc494472274 \h </w:instrText>
        </w:r>
        <w:r w:rsidR="00DC71B7" w:rsidRPr="00DB39DD">
          <w:rPr>
            <w:b w:val="0"/>
            <w:webHidden/>
          </w:rPr>
        </w:r>
        <w:r w:rsidR="00DC71B7" w:rsidRPr="00DB39DD">
          <w:rPr>
            <w:b w:val="0"/>
            <w:webHidden/>
          </w:rPr>
          <w:fldChar w:fldCharType="separate"/>
        </w:r>
        <w:r w:rsidR="00776843">
          <w:rPr>
            <w:b w:val="0"/>
            <w:webHidden/>
          </w:rPr>
          <w:t>103</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75" w:history="1">
        <w:r w:rsidR="00DC71B7" w:rsidRPr="00DB39DD">
          <w:rPr>
            <w:rStyle w:val="Hypertextovprepojenie"/>
            <w:b w:val="0"/>
          </w:rPr>
          <w:t>Ministerstvo kultúry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_Toc494472275 \h </w:instrText>
        </w:r>
        <w:r w:rsidR="00DC71B7" w:rsidRPr="00DB39DD">
          <w:rPr>
            <w:b w:val="0"/>
            <w:webHidden/>
          </w:rPr>
        </w:r>
        <w:r w:rsidR="00DC71B7" w:rsidRPr="00DB39DD">
          <w:rPr>
            <w:b w:val="0"/>
            <w:webHidden/>
          </w:rPr>
          <w:fldChar w:fldCharType="separate"/>
        </w:r>
        <w:r w:rsidR="00776843">
          <w:rPr>
            <w:b w:val="0"/>
            <w:webHidden/>
          </w:rPr>
          <w:t>107</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76" w:history="1">
        <w:r w:rsidR="00DC71B7" w:rsidRPr="00DB39DD">
          <w:rPr>
            <w:rStyle w:val="Hypertextovprepojenie"/>
            <w:b w:val="0"/>
            <w:lang w:eastAsia="sk-SK"/>
          </w:rPr>
          <w:t>Ministerstvo hospodárstva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_Toc494472276 \h </w:instrText>
        </w:r>
        <w:r w:rsidR="00DC71B7" w:rsidRPr="00DB39DD">
          <w:rPr>
            <w:b w:val="0"/>
            <w:webHidden/>
          </w:rPr>
        </w:r>
        <w:r w:rsidR="00DC71B7" w:rsidRPr="00DB39DD">
          <w:rPr>
            <w:b w:val="0"/>
            <w:webHidden/>
          </w:rPr>
          <w:fldChar w:fldCharType="separate"/>
        </w:r>
        <w:r w:rsidR="00776843">
          <w:rPr>
            <w:b w:val="0"/>
            <w:webHidden/>
          </w:rPr>
          <w:t>112</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77" w:history="1">
        <w:r w:rsidR="00DC71B7" w:rsidRPr="00DB39DD">
          <w:rPr>
            <w:rStyle w:val="Hypertextovprepojenie"/>
            <w:b w:val="0"/>
            <w:lang w:eastAsia="sk-SK"/>
          </w:rPr>
          <w:t>Ministerstvo životného prostredia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_Toc494472277 \h </w:instrText>
        </w:r>
        <w:r w:rsidR="00DC71B7" w:rsidRPr="00DB39DD">
          <w:rPr>
            <w:b w:val="0"/>
            <w:webHidden/>
          </w:rPr>
        </w:r>
        <w:r w:rsidR="00DC71B7" w:rsidRPr="00DB39DD">
          <w:rPr>
            <w:b w:val="0"/>
            <w:webHidden/>
          </w:rPr>
          <w:fldChar w:fldCharType="separate"/>
        </w:r>
        <w:r w:rsidR="00776843">
          <w:rPr>
            <w:b w:val="0"/>
            <w:webHidden/>
          </w:rPr>
          <w:t>115</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78" w:history="1">
        <w:r w:rsidR="00DC71B7" w:rsidRPr="00DB39DD">
          <w:rPr>
            <w:rStyle w:val="Hypertextovprepojenie"/>
            <w:b w:val="0"/>
          </w:rPr>
          <w:t>Ministerstvo zahraničných vecí a európskych záležitostí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_Toc494472278 \h </w:instrText>
        </w:r>
        <w:r w:rsidR="00DC71B7" w:rsidRPr="00DB39DD">
          <w:rPr>
            <w:b w:val="0"/>
            <w:webHidden/>
          </w:rPr>
        </w:r>
        <w:r w:rsidR="00DC71B7" w:rsidRPr="00DB39DD">
          <w:rPr>
            <w:b w:val="0"/>
            <w:webHidden/>
          </w:rPr>
          <w:fldChar w:fldCharType="separate"/>
        </w:r>
        <w:r w:rsidR="00776843">
          <w:rPr>
            <w:b w:val="0"/>
            <w:webHidden/>
          </w:rPr>
          <w:t>125</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79" w:history="1">
        <w:r w:rsidR="00DC71B7" w:rsidRPr="00DB39DD">
          <w:rPr>
            <w:rStyle w:val="Hypertextovprepojenie"/>
            <w:b w:val="0"/>
          </w:rPr>
          <w:t>Kancelária Národnej rady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_Toc494472279 \h </w:instrText>
        </w:r>
        <w:r w:rsidR="00DC71B7" w:rsidRPr="00DB39DD">
          <w:rPr>
            <w:b w:val="0"/>
            <w:webHidden/>
          </w:rPr>
        </w:r>
        <w:r w:rsidR="00DC71B7" w:rsidRPr="00DB39DD">
          <w:rPr>
            <w:b w:val="0"/>
            <w:webHidden/>
          </w:rPr>
          <w:fldChar w:fldCharType="separate"/>
        </w:r>
        <w:r w:rsidR="00776843">
          <w:rPr>
            <w:b w:val="0"/>
            <w:webHidden/>
          </w:rPr>
          <w:t>127</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80" w:history="1">
        <w:r w:rsidR="00DC71B7" w:rsidRPr="00DB39DD">
          <w:rPr>
            <w:rStyle w:val="Hypertextovprepojenie"/>
            <w:b w:val="0"/>
          </w:rPr>
          <w:t>Kancelária prezidenta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_Toc494472280 \h </w:instrText>
        </w:r>
        <w:r w:rsidR="00DC71B7" w:rsidRPr="00DB39DD">
          <w:rPr>
            <w:b w:val="0"/>
            <w:webHidden/>
          </w:rPr>
        </w:r>
        <w:r w:rsidR="00DC71B7" w:rsidRPr="00DB39DD">
          <w:rPr>
            <w:b w:val="0"/>
            <w:webHidden/>
          </w:rPr>
          <w:fldChar w:fldCharType="separate"/>
        </w:r>
        <w:r w:rsidR="00776843">
          <w:rPr>
            <w:b w:val="0"/>
            <w:webHidden/>
          </w:rPr>
          <w:t>128</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81" w:history="1">
        <w:r w:rsidR="00DC71B7" w:rsidRPr="00DB39DD">
          <w:rPr>
            <w:rStyle w:val="Hypertextovprepojenie"/>
            <w:b w:val="0"/>
          </w:rPr>
          <w:t>Úrad vlády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_Toc494472281 \h </w:instrText>
        </w:r>
        <w:r w:rsidR="00DC71B7" w:rsidRPr="00DB39DD">
          <w:rPr>
            <w:b w:val="0"/>
            <w:webHidden/>
          </w:rPr>
        </w:r>
        <w:r w:rsidR="00DC71B7" w:rsidRPr="00DB39DD">
          <w:rPr>
            <w:b w:val="0"/>
            <w:webHidden/>
          </w:rPr>
          <w:fldChar w:fldCharType="separate"/>
        </w:r>
        <w:r w:rsidR="00776843">
          <w:rPr>
            <w:b w:val="0"/>
            <w:webHidden/>
          </w:rPr>
          <w:t>129</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82" w:history="1">
        <w:r w:rsidR="00DC71B7" w:rsidRPr="00DB39DD">
          <w:rPr>
            <w:rStyle w:val="Hypertextovprepojenie"/>
            <w:b w:val="0"/>
          </w:rPr>
          <w:t>Úrad podpredsedu vlády SR pre investície a informatizáciu</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_Toc494472282 \h </w:instrText>
        </w:r>
        <w:r w:rsidR="00DC71B7" w:rsidRPr="00DB39DD">
          <w:rPr>
            <w:b w:val="0"/>
            <w:webHidden/>
          </w:rPr>
        </w:r>
        <w:r w:rsidR="00DC71B7" w:rsidRPr="00DB39DD">
          <w:rPr>
            <w:b w:val="0"/>
            <w:webHidden/>
          </w:rPr>
          <w:fldChar w:fldCharType="separate"/>
        </w:r>
        <w:r w:rsidR="00776843">
          <w:rPr>
            <w:b w:val="0"/>
            <w:webHidden/>
          </w:rPr>
          <w:t>130</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83" w:history="1">
        <w:r w:rsidR="00DC71B7" w:rsidRPr="00DB39DD">
          <w:rPr>
            <w:rStyle w:val="Hypertextovprepojenie"/>
            <w:b w:val="0"/>
          </w:rPr>
          <w:t>Kancelária Ústavného súdu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_Toc494472283 \h </w:instrText>
        </w:r>
        <w:r w:rsidR="00DC71B7" w:rsidRPr="00DB39DD">
          <w:rPr>
            <w:b w:val="0"/>
            <w:webHidden/>
          </w:rPr>
        </w:r>
        <w:r w:rsidR="00DC71B7" w:rsidRPr="00DB39DD">
          <w:rPr>
            <w:b w:val="0"/>
            <w:webHidden/>
          </w:rPr>
          <w:fldChar w:fldCharType="separate"/>
        </w:r>
        <w:r w:rsidR="00776843">
          <w:rPr>
            <w:b w:val="0"/>
            <w:webHidden/>
          </w:rPr>
          <w:t>131</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84" w:history="1">
        <w:r w:rsidR="00DC71B7" w:rsidRPr="00DB39DD">
          <w:rPr>
            <w:rStyle w:val="Hypertextovprepojenie"/>
            <w:b w:val="0"/>
          </w:rPr>
          <w:t>Kancelária Najvyššieho súdu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_Toc494472284 \h </w:instrText>
        </w:r>
        <w:r w:rsidR="00DC71B7" w:rsidRPr="00DB39DD">
          <w:rPr>
            <w:b w:val="0"/>
            <w:webHidden/>
          </w:rPr>
        </w:r>
        <w:r w:rsidR="00DC71B7" w:rsidRPr="00DB39DD">
          <w:rPr>
            <w:b w:val="0"/>
            <w:webHidden/>
          </w:rPr>
          <w:fldChar w:fldCharType="separate"/>
        </w:r>
        <w:r w:rsidR="00776843">
          <w:rPr>
            <w:b w:val="0"/>
            <w:webHidden/>
          </w:rPr>
          <w:t>132</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85" w:history="1">
        <w:r w:rsidR="00DC71B7" w:rsidRPr="00DB39DD">
          <w:rPr>
            <w:rStyle w:val="Hypertextovprepojenie"/>
            <w:b w:val="0"/>
          </w:rPr>
          <w:t>Kancelária súdnej rady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_Toc494472285 \h </w:instrText>
        </w:r>
        <w:r w:rsidR="00DC71B7" w:rsidRPr="00DB39DD">
          <w:rPr>
            <w:b w:val="0"/>
            <w:webHidden/>
          </w:rPr>
        </w:r>
        <w:r w:rsidR="00DC71B7" w:rsidRPr="00DB39DD">
          <w:rPr>
            <w:b w:val="0"/>
            <w:webHidden/>
          </w:rPr>
          <w:fldChar w:fldCharType="separate"/>
        </w:r>
        <w:r w:rsidR="00776843">
          <w:rPr>
            <w:b w:val="0"/>
            <w:webHidden/>
          </w:rPr>
          <w:t>132</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86" w:history="1">
        <w:r w:rsidR="00DC71B7" w:rsidRPr="00DB39DD">
          <w:rPr>
            <w:rStyle w:val="Hypertextovprepojenie"/>
            <w:b w:val="0"/>
          </w:rPr>
          <w:t>Generálna prokuratúra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_Toc494472286 \h </w:instrText>
        </w:r>
        <w:r w:rsidR="00DC71B7" w:rsidRPr="00DB39DD">
          <w:rPr>
            <w:b w:val="0"/>
            <w:webHidden/>
          </w:rPr>
        </w:r>
        <w:r w:rsidR="00DC71B7" w:rsidRPr="00DB39DD">
          <w:rPr>
            <w:b w:val="0"/>
            <w:webHidden/>
          </w:rPr>
          <w:fldChar w:fldCharType="separate"/>
        </w:r>
        <w:r w:rsidR="00776843">
          <w:rPr>
            <w:b w:val="0"/>
            <w:webHidden/>
          </w:rPr>
          <w:t>133</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87" w:history="1">
        <w:r w:rsidR="00DC71B7" w:rsidRPr="00DB39DD">
          <w:rPr>
            <w:rStyle w:val="Hypertextovprepojenie"/>
            <w:b w:val="0"/>
          </w:rPr>
          <w:t>Najvyšší kontrolný úrad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_Toc494472287 \h </w:instrText>
        </w:r>
        <w:r w:rsidR="00DC71B7" w:rsidRPr="00DB39DD">
          <w:rPr>
            <w:b w:val="0"/>
            <w:webHidden/>
          </w:rPr>
        </w:r>
        <w:r w:rsidR="00DC71B7" w:rsidRPr="00DB39DD">
          <w:rPr>
            <w:b w:val="0"/>
            <w:webHidden/>
          </w:rPr>
          <w:fldChar w:fldCharType="separate"/>
        </w:r>
        <w:r w:rsidR="00776843">
          <w:rPr>
            <w:b w:val="0"/>
            <w:webHidden/>
          </w:rPr>
          <w:t>134</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88" w:history="1">
        <w:r w:rsidR="00DC71B7" w:rsidRPr="00DB39DD">
          <w:rPr>
            <w:rStyle w:val="Hypertextovprepojenie"/>
            <w:b w:val="0"/>
          </w:rPr>
          <w:t>Slovenská informačná služba</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_Toc494472288 \h </w:instrText>
        </w:r>
        <w:r w:rsidR="00DC71B7" w:rsidRPr="00DB39DD">
          <w:rPr>
            <w:b w:val="0"/>
            <w:webHidden/>
          </w:rPr>
        </w:r>
        <w:r w:rsidR="00DC71B7" w:rsidRPr="00DB39DD">
          <w:rPr>
            <w:b w:val="0"/>
            <w:webHidden/>
          </w:rPr>
          <w:fldChar w:fldCharType="separate"/>
        </w:r>
        <w:r w:rsidR="00776843">
          <w:rPr>
            <w:b w:val="0"/>
            <w:webHidden/>
          </w:rPr>
          <w:t>135</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89" w:history="1">
        <w:r w:rsidR="00DC71B7" w:rsidRPr="00DB39DD">
          <w:rPr>
            <w:rStyle w:val="Hypertextovprepojenie"/>
            <w:b w:val="0"/>
          </w:rPr>
          <w:t>Úrad geodézie, kartografie a katastra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_Toc494472289 \h </w:instrText>
        </w:r>
        <w:r w:rsidR="00DC71B7" w:rsidRPr="00DB39DD">
          <w:rPr>
            <w:b w:val="0"/>
            <w:webHidden/>
          </w:rPr>
        </w:r>
        <w:r w:rsidR="00DC71B7" w:rsidRPr="00DB39DD">
          <w:rPr>
            <w:b w:val="0"/>
            <w:webHidden/>
          </w:rPr>
          <w:fldChar w:fldCharType="separate"/>
        </w:r>
        <w:r w:rsidR="00776843">
          <w:rPr>
            <w:b w:val="0"/>
            <w:webHidden/>
          </w:rPr>
          <w:t>135</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90" w:history="1">
        <w:r w:rsidR="00DC71B7" w:rsidRPr="00DB39DD">
          <w:rPr>
            <w:rStyle w:val="Hypertextovprepojenie"/>
            <w:b w:val="0"/>
          </w:rPr>
          <w:t>Štatistický úrad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_Toc494472290 \h </w:instrText>
        </w:r>
        <w:r w:rsidR="00DC71B7" w:rsidRPr="00DB39DD">
          <w:rPr>
            <w:b w:val="0"/>
            <w:webHidden/>
          </w:rPr>
        </w:r>
        <w:r w:rsidR="00DC71B7" w:rsidRPr="00DB39DD">
          <w:rPr>
            <w:b w:val="0"/>
            <w:webHidden/>
          </w:rPr>
          <w:fldChar w:fldCharType="separate"/>
        </w:r>
        <w:r w:rsidR="00776843">
          <w:rPr>
            <w:b w:val="0"/>
            <w:webHidden/>
          </w:rPr>
          <w:t>136</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91" w:history="1">
        <w:r w:rsidR="00DC71B7" w:rsidRPr="00DB39DD">
          <w:rPr>
            <w:rStyle w:val="Hypertextovprepojenie"/>
            <w:b w:val="0"/>
          </w:rPr>
          <w:t>Úrad pre verejné obstarávanie</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_Toc494472291 \h </w:instrText>
        </w:r>
        <w:r w:rsidR="00DC71B7" w:rsidRPr="00DB39DD">
          <w:rPr>
            <w:b w:val="0"/>
            <w:webHidden/>
          </w:rPr>
        </w:r>
        <w:r w:rsidR="00DC71B7" w:rsidRPr="00DB39DD">
          <w:rPr>
            <w:b w:val="0"/>
            <w:webHidden/>
          </w:rPr>
          <w:fldChar w:fldCharType="separate"/>
        </w:r>
        <w:r w:rsidR="00776843">
          <w:rPr>
            <w:b w:val="0"/>
            <w:webHidden/>
          </w:rPr>
          <w:t>137</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92" w:history="1">
        <w:r w:rsidR="00DC71B7" w:rsidRPr="00DB39DD">
          <w:rPr>
            <w:rStyle w:val="Hypertextovprepojenie"/>
            <w:b w:val="0"/>
          </w:rPr>
          <w:t>Úrad pre reguláciu sieťových odvetví</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_Toc494472292 \h </w:instrText>
        </w:r>
        <w:r w:rsidR="00DC71B7" w:rsidRPr="00DB39DD">
          <w:rPr>
            <w:b w:val="0"/>
            <w:webHidden/>
          </w:rPr>
        </w:r>
        <w:r w:rsidR="00DC71B7" w:rsidRPr="00DB39DD">
          <w:rPr>
            <w:b w:val="0"/>
            <w:webHidden/>
          </w:rPr>
          <w:fldChar w:fldCharType="separate"/>
        </w:r>
        <w:r w:rsidR="00776843">
          <w:rPr>
            <w:b w:val="0"/>
            <w:webHidden/>
          </w:rPr>
          <w:t>138</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93" w:history="1">
        <w:r w:rsidR="00DC71B7" w:rsidRPr="00DB39DD">
          <w:rPr>
            <w:rStyle w:val="Hypertextovprepojenie"/>
            <w:b w:val="0"/>
            <w:lang w:eastAsia="sk-SK"/>
          </w:rPr>
          <w:t>Úrad jadrového dozoru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_Toc494472293 \h </w:instrText>
        </w:r>
        <w:r w:rsidR="00DC71B7" w:rsidRPr="00DB39DD">
          <w:rPr>
            <w:b w:val="0"/>
            <w:webHidden/>
          </w:rPr>
        </w:r>
        <w:r w:rsidR="00DC71B7" w:rsidRPr="00DB39DD">
          <w:rPr>
            <w:b w:val="0"/>
            <w:webHidden/>
          </w:rPr>
          <w:fldChar w:fldCharType="separate"/>
        </w:r>
        <w:r w:rsidR="00776843">
          <w:rPr>
            <w:b w:val="0"/>
            <w:webHidden/>
          </w:rPr>
          <w:t>139</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94" w:history="1">
        <w:r w:rsidR="00DC71B7" w:rsidRPr="00DB39DD">
          <w:rPr>
            <w:rStyle w:val="Hypertextovprepojenie"/>
            <w:b w:val="0"/>
          </w:rPr>
          <w:t>Úrad priemyselného vlastníctva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_Toc494472294 \h </w:instrText>
        </w:r>
        <w:r w:rsidR="00DC71B7" w:rsidRPr="00DB39DD">
          <w:rPr>
            <w:b w:val="0"/>
            <w:webHidden/>
          </w:rPr>
        </w:r>
        <w:r w:rsidR="00DC71B7" w:rsidRPr="00DB39DD">
          <w:rPr>
            <w:b w:val="0"/>
            <w:webHidden/>
          </w:rPr>
          <w:fldChar w:fldCharType="separate"/>
        </w:r>
        <w:r w:rsidR="00776843">
          <w:rPr>
            <w:b w:val="0"/>
            <w:webHidden/>
          </w:rPr>
          <w:t>140</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95" w:history="1">
        <w:r w:rsidR="00DC71B7" w:rsidRPr="00DB39DD">
          <w:rPr>
            <w:rStyle w:val="Hypertextovprepojenie"/>
            <w:b w:val="0"/>
            <w:lang w:eastAsia="sk-SK"/>
          </w:rPr>
          <w:t>Úrad pre normalizáciu, metrológiu a skúšobníctvo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_Toc494472295 \h </w:instrText>
        </w:r>
        <w:r w:rsidR="00DC71B7" w:rsidRPr="00DB39DD">
          <w:rPr>
            <w:b w:val="0"/>
            <w:webHidden/>
          </w:rPr>
        </w:r>
        <w:r w:rsidR="00DC71B7" w:rsidRPr="00DB39DD">
          <w:rPr>
            <w:b w:val="0"/>
            <w:webHidden/>
          </w:rPr>
          <w:fldChar w:fldCharType="separate"/>
        </w:r>
        <w:r w:rsidR="00776843">
          <w:rPr>
            <w:b w:val="0"/>
            <w:webHidden/>
          </w:rPr>
          <w:t>141</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96" w:history="1">
        <w:r w:rsidR="00DC71B7" w:rsidRPr="00DB39DD">
          <w:rPr>
            <w:rStyle w:val="Hypertextovprepojenie"/>
            <w:b w:val="0"/>
          </w:rPr>
          <w:t>Protimonopolný úrad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_Toc494472296 \h </w:instrText>
        </w:r>
        <w:r w:rsidR="00DC71B7" w:rsidRPr="00DB39DD">
          <w:rPr>
            <w:b w:val="0"/>
            <w:webHidden/>
          </w:rPr>
        </w:r>
        <w:r w:rsidR="00DC71B7" w:rsidRPr="00DB39DD">
          <w:rPr>
            <w:b w:val="0"/>
            <w:webHidden/>
          </w:rPr>
          <w:fldChar w:fldCharType="separate"/>
        </w:r>
        <w:r w:rsidR="00776843">
          <w:rPr>
            <w:b w:val="0"/>
            <w:webHidden/>
          </w:rPr>
          <w:t>141</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97" w:history="1">
        <w:r w:rsidR="00DC71B7" w:rsidRPr="00DB39DD">
          <w:rPr>
            <w:rStyle w:val="Hypertextovprepojenie"/>
            <w:b w:val="0"/>
            <w:lang w:eastAsia="sk-SK"/>
          </w:rPr>
          <w:t>Národný bezpečnostný úrad</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_Toc494472297 \h </w:instrText>
        </w:r>
        <w:r w:rsidR="00DC71B7" w:rsidRPr="00DB39DD">
          <w:rPr>
            <w:b w:val="0"/>
            <w:webHidden/>
          </w:rPr>
        </w:r>
        <w:r w:rsidR="00DC71B7" w:rsidRPr="00DB39DD">
          <w:rPr>
            <w:b w:val="0"/>
            <w:webHidden/>
          </w:rPr>
          <w:fldChar w:fldCharType="separate"/>
        </w:r>
        <w:r w:rsidR="00776843">
          <w:rPr>
            <w:b w:val="0"/>
            <w:webHidden/>
          </w:rPr>
          <w:t>142</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98" w:history="1">
        <w:r w:rsidR="00DC71B7" w:rsidRPr="00DB39DD">
          <w:rPr>
            <w:rStyle w:val="Hypertextovprepojenie"/>
            <w:b w:val="0"/>
            <w:lang w:eastAsia="sk-SK"/>
          </w:rPr>
          <w:t>Správa štátnych hmotných rezerv SR</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_Toc494472298 \h </w:instrText>
        </w:r>
        <w:r w:rsidR="00DC71B7" w:rsidRPr="00DB39DD">
          <w:rPr>
            <w:b w:val="0"/>
            <w:webHidden/>
          </w:rPr>
        </w:r>
        <w:r w:rsidR="00DC71B7" w:rsidRPr="00DB39DD">
          <w:rPr>
            <w:b w:val="0"/>
            <w:webHidden/>
          </w:rPr>
          <w:fldChar w:fldCharType="separate"/>
        </w:r>
        <w:r w:rsidR="00776843">
          <w:rPr>
            <w:b w:val="0"/>
            <w:webHidden/>
          </w:rPr>
          <w:t>143</w:t>
        </w:r>
        <w:r w:rsidR="00DC71B7" w:rsidRPr="00DB39DD">
          <w:rPr>
            <w:b w:val="0"/>
            <w:webHidden/>
          </w:rPr>
          <w:fldChar w:fldCharType="end"/>
        </w:r>
      </w:hyperlink>
    </w:p>
    <w:p w:rsidR="00DC71B7" w:rsidRPr="00DB39DD"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299" w:history="1">
        <w:r w:rsidR="00DC71B7" w:rsidRPr="00DB39DD">
          <w:rPr>
            <w:rStyle w:val="Hypertextovprepojenie"/>
            <w:b w:val="0"/>
            <w:lang w:eastAsia="sk-SK"/>
          </w:rPr>
          <w:t>Slovenská akadémia vied</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_Toc494472299 \h </w:instrText>
        </w:r>
        <w:r w:rsidR="00DC71B7" w:rsidRPr="00DB39DD">
          <w:rPr>
            <w:b w:val="0"/>
            <w:webHidden/>
          </w:rPr>
        </w:r>
        <w:r w:rsidR="00DC71B7" w:rsidRPr="00DB39DD">
          <w:rPr>
            <w:b w:val="0"/>
            <w:webHidden/>
          </w:rPr>
          <w:fldChar w:fldCharType="separate"/>
        </w:r>
        <w:r w:rsidR="00776843">
          <w:rPr>
            <w:b w:val="0"/>
            <w:webHidden/>
          </w:rPr>
          <w:t>144</w:t>
        </w:r>
        <w:r w:rsidR="00DC71B7" w:rsidRPr="00DB39DD">
          <w:rPr>
            <w:b w:val="0"/>
            <w:webHidden/>
          </w:rPr>
          <w:fldChar w:fldCharType="end"/>
        </w:r>
      </w:hyperlink>
    </w:p>
    <w:p w:rsidR="00DC71B7" w:rsidRDefault="000913C8" w:rsidP="00DB39DD">
      <w:pPr>
        <w:pStyle w:val="Obsah1"/>
        <w:spacing w:line="276" w:lineRule="auto"/>
        <w:rPr>
          <w:rFonts w:asciiTheme="minorHAnsi" w:eastAsiaTheme="minorEastAsia" w:hAnsiTheme="minorHAnsi" w:cstheme="minorBidi"/>
          <w:b w:val="0"/>
          <w:sz w:val="22"/>
          <w:szCs w:val="22"/>
          <w:lang w:eastAsia="sk-SK"/>
        </w:rPr>
      </w:pPr>
      <w:hyperlink w:anchor="_Toc494472300" w:history="1">
        <w:r w:rsidR="00DC71B7" w:rsidRPr="00DB39DD">
          <w:rPr>
            <w:rStyle w:val="Hypertextovprepojenie"/>
            <w:b w:val="0"/>
            <w:lang w:eastAsia="sk-SK"/>
          </w:rPr>
          <w:t>Všeobecná pokladničná správa</w:t>
        </w:r>
        <w:r w:rsidR="00DC71B7" w:rsidRPr="00DB39DD">
          <w:rPr>
            <w:b w:val="0"/>
            <w:webHidden/>
          </w:rPr>
          <w:tab/>
        </w:r>
        <w:r w:rsidR="00DC71B7" w:rsidRPr="00DB39DD">
          <w:rPr>
            <w:b w:val="0"/>
            <w:webHidden/>
          </w:rPr>
          <w:fldChar w:fldCharType="begin"/>
        </w:r>
        <w:r w:rsidR="00DC71B7" w:rsidRPr="00DB39DD">
          <w:rPr>
            <w:b w:val="0"/>
            <w:webHidden/>
          </w:rPr>
          <w:instrText xml:space="preserve"> PAGEREF _Toc494472300 \h </w:instrText>
        </w:r>
        <w:r w:rsidR="00DC71B7" w:rsidRPr="00DB39DD">
          <w:rPr>
            <w:b w:val="0"/>
            <w:webHidden/>
          </w:rPr>
        </w:r>
        <w:r w:rsidR="00DC71B7" w:rsidRPr="00DB39DD">
          <w:rPr>
            <w:b w:val="0"/>
            <w:webHidden/>
          </w:rPr>
          <w:fldChar w:fldCharType="separate"/>
        </w:r>
        <w:r w:rsidR="00776843">
          <w:rPr>
            <w:b w:val="0"/>
            <w:webHidden/>
          </w:rPr>
          <w:t>148</w:t>
        </w:r>
        <w:r w:rsidR="00DC71B7" w:rsidRPr="00DB39DD">
          <w:rPr>
            <w:b w:val="0"/>
            <w:webHidden/>
          </w:rPr>
          <w:fldChar w:fldCharType="end"/>
        </w:r>
      </w:hyperlink>
    </w:p>
    <w:p w:rsidR="0039572F" w:rsidRPr="00C10BC3" w:rsidRDefault="005D2BC3" w:rsidP="00DB39DD">
      <w:pPr>
        <w:pStyle w:val="Zkladntext"/>
        <w:tabs>
          <w:tab w:val="left" w:pos="0"/>
        </w:tabs>
        <w:spacing w:line="276" w:lineRule="auto"/>
        <w:rPr>
          <w:rFonts w:ascii="Times New Roman" w:hAnsi="Times New Roman" w:cs="Times New Roman"/>
          <w:lang w:eastAsia="en-US"/>
        </w:rPr>
      </w:pPr>
      <w:r w:rsidRPr="00C10BC3">
        <w:rPr>
          <w:rFonts w:ascii="Times New Roman" w:hAnsi="Times New Roman"/>
          <w:color w:val="0070C0"/>
        </w:rPr>
        <w:fldChar w:fldCharType="end"/>
      </w:r>
    </w:p>
    <w:p w:rsidR="00732AC4" w:rsidRDefault="00A5272D" w:rsidP="00A5272D">
      <w:pPr>
        <w:pStyle w:val="Zkladntext"/>
        <w:tabs>
          <w:tab w:val="left" w:pos="0"/>
        </w:tabs>
        <w:rPr>
          <w:rFonts w:ascii="Times New Roman" w:hAnsi="Times New Roman"/>
          <w:color w:val="0070C0"/>
        </w:rPr>
      </w:pPr>
      <w:r w:rsidRPr="007779E3">
        <w:rPr>
          <w:rFonts w:ascii="Times New Roman" w:hAnsi="Times New Roman"/>
          <w:color w:val="0070C0"/>
        </w:rPr>
        <w:tab/>
      </w:r>
    </w:p>
    <w:p w:rsidR="008C26C9" w:rsidRDefault="008C26C9" w:rsidP="00A5272D">
      <w:pPr>
        <w:pStyle w:val="Zkladntext"/>
        <w:tabs>
          <w:tab w:val="left" w:pos="0"/>
        </w:tabs>
        <w:rPr>
          <w:rFonts w:ascii="Times New Roman" w:hAnsi="Times New Roman"/>
          <w:color w:val="0070C0"/>
        </w:rPr>
      </w:pPr>
      <w:bookmarkStart w:id="55" w:name="_GoBack"/>
      <w:bookmarkEnd w:id="55"/>
    </w:p>
    <w:p w:rsidR="008C26C9" w:rsidRDefault="008C26C9" w:rsidP="00A5272D">
      <w:pPr>
        <w:pStyle w:val="Zkladntext"/>
        <w:tabs>
          <w:tab w:val="left" w:pos="0"/>
        </w:tabs>
        <w:rPr>
          <w:rFonts w:ascii="Times New Roman" w:hAnsi="Times New Roman"/>
          <w:color w:val="0070C0"/>
        </w:rPr>
      </w:pPr>
    </w:p>
    <w:p w:rsidR="00D54D95" w:rsidRDefault="00D54D95" w:rsidP="00A5272D">
      <w:pPr>
        <w:pStyle w:val="Zkladntext"/>
        <w:tabs>
          <w:tab w:val="left" w:pos="0"/>
        </w:tabs>
        <w:rPr>
          <w:rFonts w:ascii="Times New Roman" w:hAnsi="Times New Roman"/>
          <w:color w:val="0070C0"/>
        </w:rPr>
      </w:pPr>
    </w:p>
    <w:p w:rsidR="00D54D95" w:rsidRDefault="00D54D95" w:rsidP="00A5272D">
      <w:pPr>
        <w:pStyle w:val="Zkladntext"/>
        <w:tabs>
          <w:tab w:val="left" w:pos="0"/>
        </w:tabs>
        <w:rPr>
          <w:rFonts w:ascii="Times New Roman" w:hAnsi="Times New Roman"/>
          <w:color w:val="0070C0"/>
        </w:rPr>
      </w:pPr>
    </w:p>
    <w:p w:rsidR="00CD65C8" w:rsidRDefault="00CD65C8" w:rsidP="00A5272D">
      <w:pPr>
        <w:pStyle w:val="Zkladntext"/>
        <w:tabs>
          <w:tab w:val="left" w:pos="0"/>
        </w:tabs>
        <w:rPr>
          <w:rFonts w:ascii="Times New Roman" w:hAnsi="Times New Roman"/>
          <w:color w:val="0070C0"/>
        </w:rPr>
      </w:pPr>
    </w:p>
    <w:p w:rsidR="00CD65C8" w:rsidRDefault="00CD65C8" w:rsidP="00A5272D">
      <w:pPr>
        <w:pStyle w:val="Zkladntext"/>
        <w:tabs>
          <w:tab w:val="left" w:pos="0"/>
        </w:tabs>
        <w:rPr>
          <w:rFonts w:ascii="Times New Roman" w:hAnsi="Times New Roman"/>
          <w:color w:val="0070C0"/>
        </w:rPr>
      </w:pPr>
    </w:p>
    <w:p w:rsidR="007D13F3" w:rsidRPr="00CD65C8" w:rsidRDefault="007D13F3" w:rsidP="007D13F3">
      <w:pPr>
        <w:pStyle w:val="Nadpis5"/>
        <w:pBdr>
          <w:bottom w:val="single" w:sz="4" w:space="1" w:color="auto"/>
        </w:pBdr>
        <w:ind w:left="0"/>
        <w:rPr>
          <w:i w:val="0"/>
          <w:sz w:val="24"/>
          <w:lang w:eastAsia="sk-SK"/>
        </w:rPr>
      </w:pPr>
      <w:bookmarkStart w:id="56" w:name="_Toc494470090"/>
      <w:bookmarkStart w:id="57" w:name="_Toc494472266"/>
      <w:r w:rsidRPr="00CD65C8">
        <w:rPr>
          <w:i w:val="0"/>
          <w:sz w:val="24"/>
          <w:lang w:eastAsia="sk-SK"/>
        </w:rPr>
        <w:lastRenderedPageBreak/>
        <w:t>Ministerstvo vnútra SR</w:t>
      </w:r>
      <w:bookmarkEnd w:id="56"/>
      <w:bookmarkEnd w:id="57"/>
    </w:p>
    <w:p w:rsidR="007D13F3" w:rsidRDefault="007D13F3" w:rsidP="007D13F3">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583"/>
        <w:gridCol w:w="917"/>
        <w:gridCol w:w="917"/>
        <w:gridCol w:w="917"/>
        <w:gridCol w:w="917"/>
        <w:gridCol w:w="917"/>
        <w:gridCol w:w="917"/>
        <w:gridCol w:w="977"/>
      </w:tblGrid>
      <w:tr w:rsidR="007D13F3" w:rsidRPr="00C75F6A" w:rsidTr="00A870F8">
        <w:trPr>
          <w:trHeight w:val="255"/>
        </w:trPr>
        <w:tc>
          <w:tcPr>
            <w:tcW w:w="14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D13F3" w:rsidRPr="00C75F6A" w:rsidRDefault="007D13F3" w:rsidP="00465CAC">
            <w:pP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 v eurách</w:t>
            </w:r>
          </w:p>
        </w:tc>
        <w:tc>
          <w:tcPr>
            <w:tcW w:w="506"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2015 S</w:t>
            </w:r>
          </w:p>
        </w:tc>
        <w:tc>
          <w:tcPr>
            <w:tcW w:w="506"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highlight w:val="yellow"/>
                <w:lang w:eastAsia="sk-SK"/>
              </w:rPr>
            </w:pPr>
            <w:r w:rsidRPr="00C75F6A">
              <w:rPr>
                <w:rFonts w:ascii="Times New Roman" w:hAnsi="Times New Roman" w:cs="Times New Roman"/>
                <w:b/>
                <w:bCs/>
                <w:color w:val="000000"/>
                <w:sz w:val="14"/>
                <w:szCs w:val="14"/>
                <w:lang w:eastAsia="sk-SK"/>
              </w:rPr>
              <w:t xml:space="preserve">2016 S </w:t>
            </w:r>
          </w:p>
        </w:tc>
        <w:tc>
          <w:tcPr>
            <w:tcW w:w="506"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2017 R</w:t>
            </w:r>
          </w:p>
        </w:tc>
        <w:tc>
          <w:tcPr>
            <w:tcW w:w="506"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2017 OS</w:t>
            </w:r>
          </w:p>
        </w:tc>
        <w:tc>
          <w:tcPr>
            <w:tcW w:w="506"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2018 N</w:t>
            </w:r>
          </w:p>
        </w:tc>
        <w:tc>
          <w:tcPr>
            <w:tcW w:w="506"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2019 N</w:t>
            </w:r>
          </w:p>
        </w:tc>
        <w:tc>
          <w:tcPr>
            <w:tcW w:w="539"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2020 N</w:t>
            </w:r>
          </w:p>
        </w:tc>
      </w:tr>
      <w:tr w:rsidR="007D13F3" w:rsidRPr="009D44A4" w:rsidTr="00A870F8">
        <w:trPr>
          <w:trHeight w:val="255"/>
        </w:trPr>
        <w:tc>
          <w:tcPr>
            <w:tcW w:w="1425" w:type="pct"/>
            <w:tcBorders>
              <w:top w:val="nil"/>
              <w:left w:val="single" w:sz="4" w:space="0" w:color="auto"/>
              <w:bottom w:val="single" w:sz="4" w:space="0" w:color="auto"/>
              <w:right w:val="single" w:sz="4" w:space="0" w:color="auto"/>
            </w:tcBorders>
            <w:shd w:val="clear" w:color="auto" w:fill="BFBFBF" w:themeFill="background1" w:themeFillShade="BF"/>
            <w:vAlign w:val="center"/>
          </w:tcPr>
          <w:p w:rsidR="007D13F3" w:rsidRPr="00C75F6A" w:rsidRDefault="007D13F3" w:rsidP="00465CAC">
            <w:pPr>
              <w:rPr>
                <w:rFonts w:ascii="Times New Roman" w:hAnsi="Times New Roman" w:cs="Times New Roman"/>
                <w:b/>
                <w:bCs/>
                <w:color w:val="000000"/>
                <w:sz w:val="14"/>
                <w:szCs w:val="14"/>
                <w:lang w:eastAsia="sk-SK"/>
              </w:rPr>
            </w:pPr>
            <w:r w:rsidRPr="00315E83">
              <w:rPr>
                <w:rFonts w:ascii="Times New Roman" w:hAnsi="Times New Roman" w:cs="Times New Roman"/>
                <w:b/>
                <w:bCs/>
                <w:color w:val="000000"/>
                <w:sz w:val="14"/>
                <w:szCs w:val="14"/>
                <w:lang w:eastAsia="sk-SK"/>
              </w:rPr>
              <w:t>Zdroje príslušnej kapitoly vrátane 72</w:t>
            </w:r>
            <w:r>
              <w:rPr>
                <w:rFonts w:ascii="Times New Roman" w:hAnsi="Times New Roman" w:cs="Times New Roman"/>
                <w:b/>
                <w:bCs/>
                <w:color w:val="000000"/>
                <w:sz w:val="14"/>
                <w:szCs w:val="14"/>
                <w:lang w:eastAsia="sk-SK"/>
              </w:rPr>
              <w:t>d,</w:t>
            </w:r>
            <w:r w:rsidRPr="00315E83">
              <w:rPr>
                <w:rFonts w:ascii="Times New Roman" w:hAnsi="Times New Roman" w:cs="Times New Roman"/>
                <w:b/>
                <w:bCs/>
                <w:color w:val="000000"/>
                <w:sz w:val="14"/>
                <w:szCs w:val="14"/>
                <w:lang w:eastAsia="sk-SK"/>
              </w:rPr>
              <w:t>e</w:t>
            </w:r>
          </w:p>
        </w:tc>
        <w:tc>
          <w:tcPr>
            <w:tcW w:w="506" w:type="pct"/>
            <w:tcBorders>
              <w:top w:val="nil"/>
              <w:left w:val="nil"/>
              <w:bottom w:val="single" w:sz="4" w:space="0" w:color="auto"/>
              <w:right w:val="single" w:sz="4" w:space="0" w:color="auto"/>
            </w:tcBorders>
            <w:shd w:val="clear" w:color="auto" w:fill="BFBFBF" w:themeFill="background1" w:themeFillShade="BF"/>
            <w:vAlign w:val="bottom"/>
          </w:tcPr>
          <w:p w:rsidR="007D13F3" w:rsidRPr="00C75F6A" w:rsidRDefault="007D13F3" w:rsidP="00465CAC">
            <w:pPr>
              <w:jc w:val="right"/>
              <w:rPr>
                <w:rFonts w:ascii="Times New Roman" w:hAnsi="Times New Roman" w:cs="Times New Roman"/>
                <w:b/>
                <w:bCs/>
                <w:noProof/>
                <w:color w:val="000000"/>
                <w:sz w:val="13"/>
                <w:szCs w:val="13"/>
                <w:lang w:eastAsia="sk-SK"/>
              </w:rPr>
            </w:pPr>
            <w:r>
              <w:rPr>
                <w:rFonts w:ascii="Times New Roman" w:hAnsi="Times New Roman" w:cs="Times New Roman"/>
                <w:b/>
                <w:bCs/>
                <w:noProof/>
                <w:color w:val="000000"/>
                <w:sz w:val="13"/>
                <w:szCs w:val="13"/>
                <w:lang w:eastAsia="sk-SK"/>
              </w:rPr>
              <w:t>2 437 882 936</w:t>
            </w:r>
          </w:p>
        </w:tc>
        <w:tc>
          <w:tcPr>
            <w:tcW w:w="506" w:type="pct"/>
            <w:tcBorders>
              <w:top w:val="nil"/>
              <w:left w:val="nil"/>
              <w:bottom w:val="single" w:sz="4" w:space="0" w:color="auto"/>
              <w:right w:val="single" w:sz="4" w:space="0" w:color="auto"/>
            </w:tcBorders>
            <w:shd w:val="clear" w:color="auto" w:fill="BFBFBF" w:themeFill="background1" w:themeFillShade="BF"/>
            <w:vAlign w:val="bottom"/>
          </w:tcPr>
          <w:p w:rsidR="007D13F3" w:rsidRPr="00C75F6A" w:rsidRDefault="007D13F3" w:rsidP="00465CAC">
            <w:pPr>
              <w:jc w:val="right"/>
              <w:rPr>
                <w:rFonts w:ascii="Times New Roman" w:hAnsi="Times New Roman" w:cs="Times New Roman"/>
                <w:b/>
                <w:bCs/>
                <w:noProof/>
                <w:color w:val="000000"/>
                <w:sz w:val="13"/>
                <w:szCs w:val="13"/>
                <w:lang w:eastAsia="sk-SK"/>
              </w:rPr>
            </w:pPr>
            <w:r w:rsidRPr="00C75F6A">
              <w:rPr>
                <w:rFonts w:ascii="Times New Roman" w:hAnsi="Times New Roman" w:cs="Times New Roman"/>
                <w:b/>
                <w:bCs/>
                <w:noProof/>
                <w:color w:val="000000"/>
                <w:sz w:val="13"/>
                <w:szCs w:val="13"/>
                <w:lang w:eastAsia="sk-SK"/>
              </w:rPr>
              <w:t>2 460 312 180</w:t>
            </w:r>
          </w:p>
        </w:tc>
        <w:tc>
          <w:tcPr>
            <w:tcW w:w="506" w:type="pct"/>
            <w:tcBorders>
              <w:top w:val="nil"/>
              <w:left w:val="nil"/>
              <w:bottom w:val="single" w:sz="4" w:space="0" w:color="auto"/>
              <w:right w:val="single" w:sz="4" w:space="0" w:color="auto"/>
            </w:tcBorders>
            <w:shd w:val="clear" w:color="auto" w:fill="BFBFBF" w:themeFill="background1" w:themeFillShade="BF"/>
            <w:vAlign w:val="bottom"/>
          </w:tcPr>
          <w:p w:rsidR="007D13F3" w:rsidRPr="00C75F6A" w:rsidRDefault="007D13F3" w:rsidP="00465CAC">
            <w:pPr>
              <w:jc w:val="right"/>
              <w:rPr>
                <w:rFonts w:ascii="Times New Roman" w:hAnsi="Times New Roman" w:cs="Times New Roman"/>
                <w:b/>
                <w:bCs/>
                <w:noProof/>
                <w:color w:val="000000"/>
                <w:sz w:val="13"/>
                <w:szCs w:val="13"/>
                <w:highlight w:val="yellow"/>
                <w:lang w:eastAsia="sk-SK"/>
              </w:rPr>
            </w:pPr>
            <w:r w:rsidRPr="00C75F6A">
              <w:rPr>
                <w:rFonts w:ascii="Times New Roman" w:hAnsi="Times New Roman" w:cs="Times New Roman"/>
                <w:b/>
                <w:bCs/>
                <w:noProof/>
                <w:color w:val="000000"/>
                <w:sz w:val="13"/>
                <w:szCs w:val="13"/>
                <w:lang w:eastAsia="sk-SK"/>
              </w:rPr>
              <w:t>2 333 008 762</w:t>
            </w:r>
          </w:p>
        </w:tc>
        <w:tc>
          <w:tcPr>
            <w:tcW w:w="506" w:type="pct"/>
            <w:tcBorders>
              <w:top w:val="nil"/>
              <w:left w:val="nil"/>
              <w:bottom w:val="single" w:sz="4" w:space="0" w:color="auto"/>
              <w:right w:val="single" w:sz="4" w:space="0" w:color="auto"/>
            </w:tcBorders>
            <w:shd w:val="clear" w:color="auto" w:fill="BFBFBF" w:themeFill="background1" w:themeFillShade="BF"/>
            <w:vAlign w:val="bottom"/>
          </w:tcPr>
          <w:p w:rsidR="007D13F3" w:rsidRPr="00C75F6A" w:rsidRDefault="007D13F3" w:rsidP="00465CAC">
            <w:pPr>
              <w:jc w:val="right"/>
              <w:rPr>
                <w:rFonts w:ascii="Times New Roman" w:hAnsi="Times New Roman" w:cs="Times New Roman"/>
                <w:b/>
                <w:bCs/>
                <w:noProof/>
                <w:color w:val="000000"/>
                <w:sz w:val="13"/>
                <w:szCs w:val="13"/>
                <w:lang w:eastAsia="sk-SK"/>
              </w:rPr>
            </w:pPr>
            <w:r w:rsidRPr="008F0F74">
              <w:rPr>
                <w:rFonts w:ascii="Times New Roman" w:hAnsi="Times New Roman" w:cs="Times New Roman"/>
                <w:b/>
                <w:bCs/>
                <w:noProof/>
                <w:color w:val="000000"/>
                <w:sz w:val="13"/>
                <w:szCs w:val="13"/>
                <w:lang w:eastAsia="sk-SK"/>
              </w:rPr>
              <w:t>2 619 259 761</w:t>
            </w:r>
          </w:p>
        </w:tc>
        <w:tc>
          <w:tcPr>
            <w:tcW w:w="506" w:type="pct"/>
            <w:tcBorders>
              <w:top w:val="nil"/>
              <w:left w:val="nil"/>
              <w:bottom w:val="single" w:sz="4" w:space="0" w:color="auto"/>
              <w:right w:val="single" w:sz="4" w:space="0" w:color="auto"/>
            </w:tcBorders>
            <w:shd w:val="clear" w:color="auto" w:fill="BFBFBF" w:themeFill="background1" w:themeFillShade="BF"/>
            <w:vAlign w:val="bottom"/>
          </w:tcPr>
          <w:p w:rsidR="007D13F3" w:rsidRPr="009D44A4" w:rsidRDefault="007D13F3" w:rsidP="00465CAC">
            <w:pPr>
              <w:jc w:val="right"/>
              <w:rPr>
                <w:rFonts w:ascii="Times New Roman" w:hAnsi="Times New Roman" w:cs="Times New Roman"/>
                <w:b/>
                <w:bCs/>
                <w:noProof/>
                <w:color w:val="000000"/>
                <w:sz w:val="13"/>
                <w:szCs w:val="13"/>
                <w:lang w:eastAsia="sk-SK"/>
              </w:rPr>
            </w:pPr>
            <w:r w:rsidRPr="00B94A2C">
              <w:rPr>
                <w:rFonts w:ascii="Times New Roman" w:hAnsi="Times New Roman" w:cs="Times New Roman"/>
                <w:b/>
                <w:bCs/>
                <w:noProof/>
                <w:color w:val="000000"/>
                <w:sz w:val="13"/>
                <w:szCs w:val="13"/>
                <w:lang w:eastAsia="sk-SK"/>
              </w:rPr>
              <w:t>2 400 901 620</w:t>
            </w:r>
          </w:p>
        </w:tc>
        <w:tc>
          <w:tcPr>
            <w:tcW w:w="506" w:type="pct"/>
            <w:tcBorders>
              <w:top w:val="nil"/>
              <w:left w:val="nil"/>
              <w:bottom w:val="single" w:sz="4" w:space="0" w:color="auto"/>
              <w:right w:val="single" w:sz="4" w:space="0" w:color="auto"/>
            </w:tcBorders>
            <w:shd w:val="clear" w:color="auto" w:fill="BFBFBF" w:themeFill="background1" w:themeFillShade="BF"/>
            <w:vAlign w:val="bottom"/>
          </w:tcPr>
          <w:p w:rsidR="007D13F3" w:rsidRPr="009D44A4" w:rsidRDefault="007D13F3" w:rsidP="00465CAC">
            <w:pPr>
              <w:jc w:val="right"/>
              <w:rPr>
                <w:rFonts w:ascii="Times New Roman" w:hAnsi="Times New Roman" w:cs="Times New Roman"/>
                <w:b/>
                <w:bCs/>
                <w:noProof/>
                <w:color w:val="000000"/>
                <w:sz w:val="13"/>
                <w:szCs w:val="13"/>
                <w:lang w:eastAsia="sk-SK"/>
              </w:rPr>
            </w:pPr>
            <w:r w:rsidRPr="00B94A2C">
              <w:rPr>
                <w:rFonts w:ascii="Times New Roman" w:hAnsi="Times New Roman" w:cs="Times New Roman"/>
                <w:b/>
                <w:bCs/>
                <w:noProof/>
                <w:color w:val="000000"/>
                <w:sz w:val="13"/>
                <w:szCs w:val="13"/>
                <w:lang w:eastAsia="sk-SK"/>
              </w:rPr>
              <w:t>2 496 969 131</w:t>
            </w:r>
          </w:p>
        </w:tc>
        <w:tc>
          <w:tcPr>
            <w:tcW w:w="539" w:type="pct"/>
            <w:tcBorders>
              <w:top w:val="nil"/>
              <w:left w:val="nil"/>
              <w:bottom w:val="single" w:sz="4" w:space="0" w:color="auto"/>
              <w:right w:val="single" w:sz="4" w:space="0" w:color="auto"/>
            </w:tcBorders>
            <w:shd w:val="clear" w:color="auto" w:fill="BFBFBF" w:themeFill="background1" w:themeFillShade="BF"/>
            <w:vAlign w:val="bottom"/>
          </w:tcPr>
          <w:p w:rsidR="007D13F3" w:rsidRPr="009D44A4" w:rsidRDefault="007D13F3" w:rsidP="00465CAC">
            <w:pPr>
              <w:jc w:val="right"/>
              <w:rPr>
                <w:rFonts w:ascii="Times New Roman" w:hAnsi="Times New Roman" w:cs="Times New Roman"/>
                <w:b/>
                <w:bCs/>
                <w:noProof/>
                <w:color w:val="000000"/>
                <w:sz w:val="13"/>
                <w:szCs w:val="13"/>
                <w:lang w:eastAsia="sk-SK"/>
              </w:rPr>
            </w:pPr>
            <w:r w:rsidRPr="00B94A2C">
              <w:rPr>
                <w:rFonts w:ascii="Times New Roman" w:hAnsi="Times New Roman" w:cs="Times New Roman"/>
                <w:b/>
                <w:bCs/>
                <w:noProof/>
                <w:color w:val="000000"/>
                <w:sz w:val="13"/>
                <w:szCs w:val="13"/>
                <w:lang w:eastAsia="sk-SK"/>
              </w:rPr>
              <w:t>2 508 887 447</w:t>
            </w:r>
          </w:p>
        </w:tc>
      </w:tr>
      <w:tr w:rsidR="007D13F3" w:rsidRPr="00B94A2C" w:rsidTr="00A870F8">
        <w:trPr>
          <w:trHeight w:val="255"/>
        </w:trPr>
        <w:tc>
          <w:tcPr>
            <w:tcW w:w="1425"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7D13F3" w:rsidRPr="00C75F6A" w:rsidRDefault="007D13F3" w:rsidP="00465CAC">
            <w:pP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Zdroje príslušnej kapitoly</w:t>
            </w:r>
          </w:p>
        </w:tc>
        <w:tc>
          <w:tcPr>
            <w:tcW w:w="506" w:type="pct"/>
            <w:tcBorders>
              <w:top w:val="nil"/>
              <w:left w:val="nil"/>
              <w:bottom w:val="single" w:sz="4" w:space="0" w:color="auto"/>
              <w:right w:val="single" w:sz="4" w:space="0" w:color="auto"/>
            </w:tcBorders>
            <w:shd w:val="clear" w:color="auto" w:fill="BFBFBF" w:themeFill="background1" w:themeFillShade="BF"/>
            <w:vAlign w:val="bottom"/>
          </w:tcPr>
          <w:p w:rsidR="007D13F3" w:rsidRPr="00C75F6A" w:rsidRDefault="007D13F3" w:rsidP="00465CAC">
            <w:pPr>
              <w:jc w:val="right"/>
              <w:rPr>
                <w:rFonts w:ascii="Times New Roman" w:hAnsi="Times New Roman" w:cs="Times New Roman"/>
                <w:b/>
                <w:bCs/>
                <w:noProof/>
                <w:color w:val="000000"/>
                <w:sz w:val="13"/>
                <w:szCs w:val="13"/>
                <w:lang w:eastAsia="sk-SK"/>
              </w:rPr>
            </w:pPr>
            <w:r w:rsidRPr="00C75F6A">
              <w:rPr>
                <w:rFonts w:ascii="Times New Roman" w:hAnsi="Times New Roman" w:cs="Times New Roman"/>
                <w:b/>
                <w:bCs/>
                <w:noProof/>
                <w:color w:val="000000"/>
                <w:sz w:val="13"/>
                <w:szCs w:val="13"/>
                <w:lang w:eastAsia="sk-SK"/>
              </w:rPr>
              <w:t>2 349 521 836</w:t>
            </w:r>
          </w:p>
        </w:tc>
        <w:tc>
          <w:tcPr>
            <w:tcW w:w="506" w:type="pct"/>
            <w:tcBorders>
              <w:top w:val="nil"/>
              <w:left w:val="nil"/>
              <w:bottom w:val="single" w:sz="4" w:space="0" w:color="auto"/>
              <w:right w:val="single" w:sz="4" w:space="0" w:color="auto"/>
            </w:tcBorders>
            <w:shd w:val="clear" w:color="auto" w:fill="BFBFBF" w:themeFill="background1" w:themeFillShade="BF"/>
            <w:vAlign w:val="bottom"/>
          </w:tcPr>
          <w:p w:rsidR="007D13F3" w:rsidRPr="00C75F6A" w:rsidRDefault="007D13F3" w:rsidP="00465CAC">
            <w:pPr>
              <w:jc w:val="right"/>
              <w:rPr>
                <w:rFonts w:ascii="Times New Roman" w:hAnsi="Times New Roman" w:cs="Times New Roman"/>
                <w:b/>
                <w:bCs/>
                <w:noProof/>
                <w:color w:val="000000"/>
                <w:sz w:val="13"/>
                <w:szCs w:val="13"/>
                <w:lang w:eastAsia="sk-SK"/>
              </w:rPr>
            </w:pPr>
            <w:r w:rsidRPr="00C75F6A">
              <w:rPr>
                <w:rFonts w:ascii="Times New Roman" w:hAnsi="Times New Roman" w:cs="Times New Roman"/>
                <w:b/>
                <w:bCs/>
                <w:noProof/>
                <w:color w:val="000000"/>
                <w:sz w:val="13"/>
                <w:szCs w:val="13"/>
                <w:lang w:eastAsia="sk-SK"/>
              </w:rPr>
              <w:t>2 460 312 180</w:t>
            </w:r>
          </w:p>
        </w:tc>
        <w:tc>
          <w:tcPr>
            <w:tcW w:w="506" w:type="pct"/>
            <w:tcBorders>
              <w:top w:val="nil"/>
              <w:left w:val="nil"/>
              <w:bottom w:val="single" w:sz="4" w:space="0" w:color="auto"/>
              <w:right w:val="single" w:sz="4" w:space="0" w:color="auto"/>
            </w:tcBorders>
            <w:shd w:val="clear" w:color="auto" w:fill="BFBFBF" w:themeFill="background1" w:themeFillShade="BF"/>
            <w:vAlign w:val="bottom"/>
          </w:tcPr>
          <w:p w:rsidR="007D13F3" w:rsidRPr="00C75F6A" w:rsidRDefault="007D13F3" w:rsidP="00465CAC">
            <w:pPr>
              <w:jc w:val="right"/>
              <w:rPr>
                <w:rFonts w:ascii="Times New Roman" w:hAnsi="Times New Roman" w:cs="Times New Roman"/>
                <w:b/>
                <w:bCs/>
                <w:noProof/>
                <w:color w:val="000000"/>
                <w:sz w:val="13"/>
                <w:szCs w:val="13"/>
                <w:highlight w:val="yellow"/>
                <w:lang w:eastAsia="sk-SK"/>
              </w:rPr>
            </w:pPr>
            <w:r w:rsidRPr="00C75F6A">
              <w:rPr>
                <w:rFonts w:ascii="Times New Roman" w:hAnsi="Times New Roman" w:cs="Times New Roman"/>
                <w:b/>
                <w:bCs/>
                <w:noProof/>
                <w:color w:val="000000"/>
                <w:sz w:val="13"/>
                <w:szCs w:val="13"/>
                <w:lang w:eastAsia="sk-SK"/>
              </w:rPr>
              <w:t>2 333 008 762</w:t>
            </w:r>
          </w:p>
        </w:tc>
        <w:tc>
          <w:tcPr>
            <w:tcW w:w="506" w:type="pct"/>
            <w:tcBorders>
              <w:top w:val="nil"/>
              <w:left w:val="nil"/>
              <w:bottom w:val="single" w:sz="4" w:space="0" w:color="auto"/>
              <w:right w:val="single" w:sz="4" w:space="0" w:color="auto"/>
            </w:tcBorders>
            <w:shd w:val="clear" w:color="auto" w:fill="BFBFBF" w:themeFill="background1" w:themeFillShade="BF"/>
            <w:vAlign w:val="bottom"/>
          </w:tcPr>
          <w:p w:rsidR="007D13F3" w:rsidRPr="00C75F6A" w:rsidRDefault="007D13F3" w:rsidP="00465CAC">
            <w:pPr>
              <w:jc w:val="right"/>
              <w:rPr>
                <w:rFonts w:ascii="Times New Roman" w:hAnsi="Times New Roman" w:cs="Times New Roman"/>
                <w:b/>
                <w:bCs/>
                <w:noProof/>
                <w:color w:val="000000"/>
                <w:sz w:val="13"/>
                <w:szCs w:val="13"/>
                <w:highlight w:val="yellow"/>
                <w:lang w:eastAsia="sk-SK"/>
              </w:rPr>
            </w:pPr>
            <w:r w:rsidRPr="008F0F74">
              <w:rPr>
                <w:rFonts w:ascii="Times New Roman" w:hAnsi="Times New Roman" w:cs="Times New Roman"/>
                <w:b/>
                <w:bCs/>
                <w:noProof/>
                <w:color w:val="000000"/>
                <w:sz w:val="13"/>
                <w:szCs w:val="13"/>
                <w:lang w:eastAsia="sk-SK"/>
              </w:rPr>
              <w:t>2 619 259 761</w:t>
            </w:r>
          </w:p>
        </w:tc>
        <w:tc>
          <w:tcPr>
            <w:tcW w:w="506" w:type="pct"/>
            <w:tcBorders>
              <w:top w:val="nil"/>
              <w:left w:val="nil"/>
              <w:bottom w:val="single" w:sz="4" w:space="0" w:color="auto"/>
              <w:right w:val="single" w:sz="4" w:space="0" w:color="auto"/>
            </w:tcBorders>
            <w:shd w:val="clear" w:color="auto" w:fill="BFBFBF" w:themeFill="background1" w:themeFillShade="BF"/>
            <w:vAlign w:val="bottom"/>
          </w:tcPr>
          <w:p w:rsidR="007D13F3" w:rsidRPr="00B94A2C" w:rsidRDefault="007D13F3" w:rsidP="00465CAC">
            <w:pPr>
              <w:jc w:val="right"/>
              <w:rPr>
                <w:rFonts w:ascii="Times New Roman" w:hAnsi="Times New Roman" w:cs="Times New Roman"/>
                <w:b/>
                <w:bCs/>
                <w:noProof/>
                <w:color w:val="000000"/>
                <w:sz w:val="13"/>
                <w:szCs w:val="13"/>
                <w:highlight w:val="yellow"/>
                <w:lang w:eastAsia="sk-SK"/>
              </w:rPr>
            </w:pPr>
            <w:r w:rsidRPr="00270312">
              <w:rPr>
                <w:rFonts w:ascii="Times New Roman" w:hAnsi="Times New Roman" w:cs="Times New Roman"/>
                <w:b/>
                <w:bCs/>
                <w:noProof/>
                <w:color w:val="000000"/>
                <w:sz w:val="13"/>
                <w:szCs w:val="13"/>
                <w:lang w:eastAsia="sk-SK"/>
              </w:rPr>
              <w:t>2</w:t>
            </w:r>
            <w:r>
              <w:rPr>
                <w:rFonts w:ascii="Times New Roman" w:hAnsi="Times New Roman" w:cs="Times New Roman"/>
                <w:b/>
                <w:bCs/>
                <w:noProof/>
                <w:color w:val="000000"/>
                <w:sz w:val="13"/>
                <w:szCs w:val="13"/>
                <w:lang w:eastAsia="sk-SK"/>
              </w:rPr>
              <w:t> 398 882 329</w:t>
            </w:r>
          </w:p>
        </w:tc>
        <w:tc>
          <w:tcPr>
            <w:tcW w:w="506" w:type="pct"/>
            <w:tcBorders>
              <w:top w:val="nil"/>
              <w:left w:val="nil"/>
              <w:bottom w:val="single" w:sz="4" w:space="0" w:color="auto"/>
              <w:right w:val="single" w:sz="4" w:space="0" w:color="auto"/>
            </w:tcBorders>
            <w:shd w:val="clear" w:color="auto" w:fill="BFBFBF" w:themeFill="background1" w:themeFillShade="BF"/>
            <w:vAlign w:val="bottom"/>
          </w:tcPr>
          <w:p w:rsidR="007D13F3" w:rsidRPr="00B94A2C" w:rsidRDefault="007D13F3" w:rsidP="00465CAC">
            <w:pPr>
              <w:jc w:val="right"/>
              <w:rPr>
                <w:rFonts w:ascii="Times New Roman" w:hAnsi="Times New Roman" w:cs="Times New Roman"/>
                <w:b/>
                <w:bCs/>
                <w:noProof/>
                <w:color w:val="000000"/>
                <w:sz w:val="13"/>
                <w:szCs w:val="13"/>
                <w:highlight w:val="yellow"/>
                <w:lang w:eastAsia="sk-SK"/>
              </w:rPr>
            </w:pPr>
            <w:r w:rsidRPr="00C422F9">
              <w:rPr>
                <w:rFonts w:ascii="Times New Roman" w:hAnsi="Times New Roman" w:cs="Times New Roman"/>
                <w:b/>
                <w:bCs/>
                <w:noProof/>
                <w:color w:val="000000"/>
                <w:sz w:val="13"/>
                <w:szCs w:val="13"/>
                <w:lang w:eastAsia="sk-SK"/>
              </w:rPr>
              <w:t>2 494 949 218</w:t>
            </w:r>
          </w:p>
        </w:tc>
        <w:tc>
          <w:tcPr>
            <w:tcW w:w="539" w:type="pct"/>
            <w:tcBorders>
              <w:top w:val="nil"/>
              <w:left w:val="nil"/>
              <w:bottom w:val="single" w:sz="4" w:space="0" w:color="auto"/>
              <w:right w:val="single" w:sz="4" w:space="0" w:color="auto"/>
            </w:tcBorders>
            <w:shd w:val="clear" w:color="auto" w:fill="BFBFBF" w:themeFill="background1" w:themeFillShade="BF"/>
            <w:vAlign w:val="bottom"/>
          </w:tcPr>
          <w:p w:rsidR="007D13F3" w:rsidRPr="00B94A2C" w:rsidRDefault="007D13F3" w:rsidP="00465CAC">
            <w:pPr>
              <w:jc w:val="right"/>
              <w:rPr>
                <w:rFonts w:ascii="Times New Roman" w:hAnsi="Times New Roman" w:cs="Times New Roman"/>
                <w:b/>
                <w:bCs/>
                <w:noProof/>
                <w:color w:val="000000"/>
                <w:sz w:val="13"/>
                <w:szCs w:val="13"/>
                <w:highlight w:val="yellow"/>
                <w:lang w:eastAsia="sk-SK"/>
              </w:rPr>
            </w:pPr>
            <w:r w:rsidRPr="00C422F9">
              <w:rPr>
                <w:rFonts w:ascii="Times New Roman" w:hAnsi="Times New Roman" w:cs="Times New Roman"/>
                <w:b/>
                <w:bCs/>
                <w:noProof/>
                <w:color w:val="000000"/>
                <w:sz w:val="13"/>
                <w:szCs w:val="13"/>
                <w:lang w:eastAsia="sk-SK"/>
              </w:rPr>
              <w:t>2 506 866 927</w:t>
            </w:r>
          </w:p>
        </w:tc>
      </w:tr>
      <w:tr w:rsidR="007D13F3" w:rsidRPr="00F3781B"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5F6A" w:rsidRDefault="007D13F3" w:rsidP="00465CAC">
            <w:pPr>
              <w:rPr>
                <w:rFonts w:ascii="Times New Roman" w:hAnsi="Times New Roman" w:cs="Times New Roman"/>
                <w:sz w:val="14"/>
                <w:szCs w:val="14"/>
                <w:lang w:eastAsia="sk-SK"/>
              </w:rPr>
            </w:pPr>
            <w:r w:rsidRPr="00C75F6A">
              <w:rPr>
                <w:rFonts w:ascii="Times New Roman" w:hAnsi="Times New Roman" w:cs="Times New Roman"/>
                <w:sz w:val="14"/>
                <w:szCs w:val="14"/>
                <w:lang w:eastAsia="sk-SK"/>
              </w:rPr>
              <w:t xml:space="preserve">rozpočtové zdroje kapitoly </w:t>
            </w:r>
          </w:p>
        </w:tc>
        <w:tc>
          <w:tcPr>
            <w:tcW w:w="506" w:type="pct"/>
            <w:tcBorders>
              <w:top w:val="nil"/>
              <w:left w:val="nil"/>
              <w:bottom w:val="single" w:sz="4" w:space="0" w:color="auto"/>
              <w:right w:val="single" w:sz="4" w:space="0" w:color="auto"/>
            </w:tcBorders>
            <w:shd w:val="clear" w:color="auto" w:fill="auto"/>
            <w:noWrap/>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2 175 662 116</w:t>
            </w:r>
          </w:p>
        </w:tc>
        <w:tc>
          <w:tcPr>
            <w:tcW w:w="506" w:type="pct"/>
            <w:tcBorders>
              <w:top w:val="nil"/>
              <w:left w:val="nil"/>
              <w:bottom w:val="single" w:sz="4" w:space="0" w:color="auto"/>
              <w:right w:val="single" w:sz="4" w:space="0" w:color="auto"/>
            </w:tcBorders>
            <w:shd w:val="clear" w:color="auto" w:fill="auto"/>
            <w:noWrap/>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2 183 943 939</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sidRPr="00C75F6A">
              <w:rPr>
                <w:rFonts w:ascii="Times New Roman" w:hAnsi="Times New Roman" w:cs="Times New Roman"/>
                <w:noProof/>
                <w:color w:val="000000"/>
                <w:sz w:val="13"/>
                <w:szCs w:val="13"/>
                <w:lang w:eastAsia="sk-SK"/>
              </w:rPr>
              <w:t>2 272 418 267</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Pr>
                <w:rFonts w:ascii="Times New Roman" w:hAnsi="Times New Roman" w:cs="Times New Roman"/>
                <w:noProof/>
                <w:color w:val="000000"/>
                <w:sz w:val="13"/>
                <w:szCs w:val="13"/>
                <w:lang w:eastAsia="sk-SK"/>
              </w:rPr>
              <w:t>2 365 292 398</w:t>
            </w:r>
          </w:p>
        </w:tc>
        <w:tc>
          <w:tcPr>
            <w:tcW w:w="506" w:type="pct"/>
            <w:tcBorders>
              <w:top w:val="nil"/>
              <w:left w:val="nil"/>
              <w:bottom w:val="single" w:sz="4" w:space="0" w:color="auto"/>
              <w:right w:val="single" w:sz="4" w:space="0" w:color="auto"/>
            </w:tcBorders>
            <w:shd w:val="clear" w:color="auto" w:fill="auto"/>
            <w:vAlign w:val="bottom"/>
          </w:tcPr>
          <w:p w:rsidR="007D13F3" w:rsidRPr="00B94A2C" w:rsidRDefault="007D13F3" w:rsidP="00465CAC">
            <w:pPr>
              <w:jc w:val="right"/>
              <w:rPr>
                <w:rFonts w:ascii="Times New Roman" w:hAnsi="Times New Roman" w:cs="Times New Roman"/>
                <w:bCs/>
                <w:noProof/>
                <w:color w:val="000000"/>
                <w:sz w:val="13"/>
                <w:szCs w:val="13"/>
                <w:highlight w:val="yellow"/>
                <w:lang w:eastAsia="sk-SK"/>
              </w:rPr>
            </w:pPr>
            <w:r w:rsidRPr="00B10ACE">
              <w:rPr>
                <w:rFonts w:ascii="Times New Roman" w:hAnsi="Times New Roman" w:cs="Times New Roman"/>
                <w:bCs/>
                <w:noProof/>
                <w:color w:val="000000"/>
                <w:sz w:val="13"/>
                <w:szCs w:val="13"/>
                <w:lang w:eastAsia="sk-SK"/>
              </w:rPr>
              <w:t>2 368 342 291</w:t>
            </w:r>
          </w:p>
        </w:tc>
        <w:tc>
          <w:tcPr>
            <w:tcW w:w="506" w:type="pct"/>
            <w:tcBorders>
              <w:top w:val="nil"/>
              <w:left w:val="nil"/>
              <w:bottom w:val="single" w:sz="4" w:space="0" w:color="auto"/>
              <w:right w:val="single" w:sz="4" w:space="0" w:color="auto"/>
            </w:tcBorders>
            <w:shd w:val="clear" w:color="auto" w:fill="auto"/>
            <w:vAlign w:val="bottom"/>
          </w:tcPr>
          <w:p w:rsidR="007D13F3" w:rsidRPr="00F3781B" w:rsidRDefault="007D13F3" w:rsidP="00465CAC">
            <w:pPr>
              <w:jc w:val="right"/>
              <w:rPr>
                <w:rFonts w:ascii="Times New Roman" w:hAnsi="Times New Roman" w:cs="Times New Roman"/>
                <w:bCs/>
                <w:noProof/>
                <w:color w:val="000000"/>
                <w:sz w:val="13"/>
                <w:szCs w:val="13"/>
                <w:lang w:eastAsia="sk-SK"/>
              </w:rPr>
            </w:pPr>
            <w:r w:rsidRPr="00F3781B">
              <w:rPr>
                <w:rFonts w:ascii="Times New Roman" w:hAnsi="Times New Roman" w:cs="Times New Roman"/>
                <w:bCs/>
                <w:noProof/>
                <w:color w:val="000000"/>
                <w:sz w:val="13"/>
                <w:szCs w:val="13"/>
                <w:lang w:eastAsia="sk-SK"/>
              </w:rPr>
              <w:t>2 380 577 488</w:t>
            </w:r>
          </w:p>
        </w:tc>
        <w:tc>
          <w:tcPr>
            <w:tcW w:w="539" w:type="pct"/>
            <w:tcBorders>
              <w:top w:val="nil"/>
              <w:left w:val="nil"/>
              <w:bottom w:val="single" w:sz="4" w:space="0" w:color="auto"/>
              <w:right w:val="single" w:sz="4" w:space="0" w:color="auto"/>
            </w:tcBorders>
            <w:shd w:val="clear" w:color="auto" w:fill="auto"/>
            <w:vAlign w:val="bottom"/>
          </w:tcPr>
          <w:p w:rsidR="007D13F3" w:rsidRPr="00F3781B" w:rsidRDefault="007D13F3" w:rsidP="00465CAC">
            <w:pPr>
              <w:jc w:val="right"/>
              <w:rPr>
                <w:rFonts w:ascii="Times New Roman" w:hAnsi="Times New Roman" w:cs="Times New Roman"/>
                <w:bCs/>
                <w:noProof/>
                <w:color w:val="000000"/>
                <w:sz w:val="13"/>
                <w:szCs w:val="13"/>
                <w:lang w:eastAsia="sk-SK"/>
              </w:rPr>
            </w:pPr>
            <w:r w:rsidRPr="00F3781B">
              <w:rPr>
                <w:rFonts w:ascii="Times New Roman" w:hAnsi="Times New Roman" w:cs="Times New Roman"/>
                <w:bCs/>
                <w:noProof/>
                <w:color w:val="000000"/>
                <w:sz w:val="13"/>
                <w:szCs w:val="13"/>
                <w:lang w:eastAsia="sk-SK"/>
              </w:rPr>
              <w:t>2</w:t>
            </w:r>
            <w:r>
              <w:rPr>
                <w:rFonts w:ascii="Times New Roman" w:hAnsi="Times New Roman" w:cs="Times New Roman"/>
                <w:bCs/>
                <w:noProof/>
                <w:color w:val="000000"/>
                <w:sz w:val="13"/>
                <w:szCs w:val="13"/>
                <w:lang w:eastAsia="sk-SK"/>
              </w:rPr>
              <w:t> 369 770 513</w:t>
            </w:r>
          </w:p>
        </w:tc>
      </w:tr>
      <w:tr w:rsidR="007D13F3" w:rsidRPr="00A820EE"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5F6A" w:rsidRDefault="007D13F3" w:rsidP="00465CAC">
            <w:pPr>
              <w:rPr>
                <w:rFonts w:ascii="Times New Roman" w:hAnsi="Times New Roman" w:cs="Times New Roman"/>
                <w:sz w:val="14"/>
                <w:szCs w:val="14"/>
                <w:lang w:eastAsia="sk-SK"/>
              </w:rPr>
            </w:pPr>
            <w:r w:rsidRPr="00C75F6A">
              <w:rPr>
                <w:rFonts w:ascii="Times New Roman" w:hAnsi="Times New Roman" w:cs="Times New Roman"/>
                <w:sz w:val="14"/>
                <w:szCs w:val="14"/>
                <w:lang w:eastAsia="sk-SK"/>
              </w:rPr>
              <w:t xml:space="preserve">  v tom: bežné výdavky 600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2 096 853 312</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2 125 463 930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sidRPr="00C75F6A">
              <w:rPr>
                <w:rFonts w:ascii="Times New Roman" w:hAnsi="Times New Roman" w:cs="Times New Roman"/>
                <w:noProof/>
                <w:color w:val="000000"/>
                <w:sz w:val="13"/>
                <w:szCs w:val="13"/>
                <w:lang w:eastAsia="sk-SK"/>
              </w:rPr>
              <w:t>2 219 418 267</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Pr>
                <w:rFonts w:ascii="Times New Roman" w:hAnsi="Times New Roman" w:cs="Times New Roman"/>
                <w:noProof/>
                <w:color w:val="000000"/>
                <w:sz w:val="13"/>
                <w:szCs w:val="13"/>
                <w:lang w:eastAsia="sk-SK"/>
              </w:rPr>
              <w:t>2 310 913 926</w:t>
            </w:r>
          </w:p>
        </w:tc>
        <w:tc>
          <w:tcPr>
            <w:tcW w:w="506" w:type="pct"/>
            <w:tcBorders>
              <w:top w:val="nil"/>
              <w:left w:val="nil"/>
              <w:bottom w:val="single" w:sz="4" w:space="0" w:color="auto"/>
              <w:right w:val="single" w:sz="4" w:space="0" w:color="auto"/>
            </w:tcBorders>
            <w:shd w:val="clear" w:color="auto" w:fill="auto"/>
            <w:vAlign w:val="bottom"/>
          </w:tcPr>
          <w:p w:rsidR="007D13F3" w:rsidRPr="00A820EE" w:rsidRDefault="007D13F3" w:rsidP="00465CAC">
            <w:pPr>
              <w:jc w:val="right"/>
              <w:rPr>
                <w:rFonts w:ascii="Times New Roman" w:hAnsi="Times New Roman" w:cs="Times New Roman"/>
                <w:noProof/>
                <w:color w:val="000000"/>
                <w:sz w:val="13"/>
                <w:szCs w:val="13"/>
                <w:lang w:eastAsia="sk-SK"/>
              </w:rPr>
            </w:pPr>
            <w:r w:rsidRPr="00A820EE">
              <w:rPr>
                <w:rFonts w:ascii="Times New Roman" w:hAnsi="Times New Roman" w:cs="Times New Roman"/>
                <w:noProof/>
                <w:color w:val="000000"/>
                <w:sz w:val="13"/>
                <w:szCs w:val="13"/>
                <w:lang w:eastAsia="sk-SK"/>
              </w:rPr>
              <w:t>2 340 342 291</w:t>
            </w:r>
          </w:p>
        </w:tc>
        <w:tc>
          <w:tcPr>
            <w:tcW w:w="506" w:type="pct"/>
            <w:tcBorders>
              <w:top w:val="nil"/>
              <w:left w:val="nil"/>
              <w:bottom w:val="single" w:sz="4" w:space="0" w:color="auto"/>
              <w:right w:val="single" w:sz="4" w:space="0" w:color="auto"/>
            </w:tcBorders>
            <w:shd w:val="clear" w:color="auto" w:fill="auto"/>
            <w:vAlign w:val="bottom"/>
          </w:tcPr>
          <w:p w:rsidR="007D13F3" w:rsidRPr="00A820EE" w:rsidRDefault="007D13F3" w:rsidP="00465CAC">
            <w:pPr>
              <w:jc w:val="right"/>
              <w:rPr>
                <w:rFonts w:ascii="Times New Roman" w:hAnsi="Times New Roman" w:cs="Times New Roman"/>
                <w:noProof/>
                <w:color w:val="000000"/>
                <w:sz w:val="13"/>
                <w:szCs w:val="13"/>
                <w:lang w:eastAsia="sk-SK"/>
              </w:rPr>
            </w:pPr>
            <w:r>
              <w:rPr>
                <w:rFonts w:ascii="Times New Roman" w:hAnsi="Times New Roman" w:cs="Times New Roman"/>
                <w:noProof/>
                <w:color w:val="000000"/>
                <w:sz w:val="13"/>
                <w:szCs w:val="13"/>
                <w:lang w:eastAsia="sk-SK"/>
              </w:rPr>
              <w:t>2 352 577 488</w:t>
            </w:r>
          </w:p>
        </w:tc>
        <w:tc>
          <w:tcPr>
            <w:tcW w:w="539" w:type="pct"/>
            <w:tcBorders>
              <w:top w:val="nil"/>
              <w:left w:val="nil"/>
              <w:bottom w:val="single" w:sz="4" w:space="0" w:color="auto"/>
              <w:right w:val="single" w:sz="4" w:space="0" w:color="auto"/>
            </w:tcBorders>
            <w:shd w:val="clear" w:color="auto" w:fill="auto"/>
            <w:vAlign w:val="bottom"/>
          </w:tcPr>
          <w:p w:rsidR="007D13F3" w:rsidRPr="00A820EE" w:rsidRDefault="007D13F3" w:rsidP="00465CAC">
            <w:pPr>
              <w:jc w:val="right"/>
              <w:rPr>
                <w:rFonts w:ascii="Times New Roman" w:hAnsi="Times New Roman" w:cs="Times New Roman"/>
                <w:noProof/>
                <w:color w:val="000000"/>
                <w:sz w:val="13"/>
                <w:szCs w:val="13"/>
                <w:lang w:eastAsia="sk-SK"/>
              </w:rPr>
            </w:pPr>
            <w:r>
              <w:rPr>
                <w:rFonts w:ascii="Times New Roman" w:hAnsi="Times New Roman" w:cs="Times New Roman"/>
                <w:noProof/>
                <w:color w:val="000000"/>
                <w:sz w:val="13"/>
                <w:szCs w:val="13"/>
                <w:lang w:eastAsia="sk-SK"/>
              </w:rPr>
              <w:t>2 341 770 513</w:t>
            </w:r>
          </w:p>
        </w:tc>
      </w:tr>
      <w:tr w:rsidR="007D13F3" w:rsidRPr="00B94A2C"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5F6A" w:rsidRDefault="007D13F3" w:rsidP="00465CAC">
            <w:pPr>
              <w:rPr>
                <w:rFonts w:ascii="Times New Roman" w:hAnsi="Times New Roman" w:cs="Times New Roman"/>
                <w:color w:val="000000"/>
                <w:sz w:val="14"/>
                <w:szCs w:val="14"/>
                <w:lang w:eastAsia="sk-SK"/>
              </w:rPr>
            </w:pPr>
            <w:r w:rsidRPr="00C75F6A">
              <w:rPr>
                <w:rFonts w:ascii="Times New Roman" w:hAnsi="Times New Roman" w:cs="Times New Roman"/>
                <w:color w:val="000000"/>
                <w:sz w:val="14"/>
                <w:szCs w:val="14"/>
                <w:lang w:eastAsia="sk-SK"/>
              </w:rPr>
              <w:t xml:space="preserve">                                 610 mzdy</w:t>
            </w:r>
          </w:p>
        </w:tc>
        <w:tc>
          <w:tcPr>
            <w:tcW w:w="506" w:type="pct"/>
            <w:tcBorders>
              <w:top w:val="nil"/>
              <w:left w:val="nil"/>
              <w:bottom w:val="single" w:sz="4" w:space="0" w:color="auto"/>
              <w:right w:val="single" w:sz="4" w:space="0" w:color="auto"/>
            </w:tcBorders>
            <w:shd w:val="clear" w:color="auto" w:fill="auto"/>
            <w:noWrap/>
            <w:vAlign w:val="bottom"/>
          </w:tcPr>
          <w:p w:rsidR="007D13F3" w:rsidRPr="00C75F6A" w:rsidRDefault="007D13F3" w:rsidP="00465CAC">
            <w:pPr>
              <w:jc w:val="right"/>
              <w:rPr>
                <w:rFonts w:ascii="Times New Roman" w:hAnsi="Times New Roman" w:cs="Times New Roman"/>
                <w:noProof/>
                <w:sz w:val="13"/>
                <w:szCs w:val="13"/>
                <w:lang w:eastAsia="sk-SK"/>
              </w:rPr>
            </w:pPr>
            <w:r w:rsidRPr="00C75F6A">
              <w:rPr>
                <w:rFonts w:ascii="Times New Roman" w:hAnsi="Times New Roman" w:cs="Times New Roman"/>
                <w:noProof/>
                <w:sz w:val="13"/>
                <w:szCs w:val="13"/>
                <w:lang w:eastAsia="sk-SK"/>
              </w:rPr>
              <w:t>646 560 733</w:t>
            </w:r>
          </w:p>
        </w:tc>
        <w:tc>
          <w:tcPr>
            <w:tcW w:w="506" w:type="pct"/>
            <w:tcBorders>
              <w:top w:val="nil"/>
              <w:left w:val="nil"/>
              <w:bottom w:val="single" w:sz="4" w:space="0" w:color="auto"/>
              <w:right w:val="single" w:sz="4" w:space="0" w:color="auto"/>
            </w:tcBorders>
            <w:shd w:val="clear" w:color="auto" w:fill="auto"/>
            <w:noWrap/>
            <w:vAlign w:val="bottom"/>
          </w:tcPr>
          <w:p w:rsidR="007D13F3" w:rsidRPr="00C75F6A" w:rsidRDefault="007D13F3" w:rsidP="00465CAC">
            <w:pPr>
              <w:jc w:val="right"/>
              <w:rPr>
                <w:rFonts w:ascii="Times New Roman" w:hAnsi="Times New Roman" w:cs="Times New Roman"/>
                <w:noProof/>
                <w:sz w:val="13"/>
                <w:szCs w:val="13"/>
                <w:lang w:eastAsia="sk-SK"/>
              </w:rPr>
            </w:pPr>
            <w:r w:rsidRPr="00C75F6A">
              <w:rPr>
                <w:rFonts w:ascii="Times New Roman" w:hAnsi="Times New Roman" w:cs="Times New Roman"/>
                <w:noProof/>
                <w:sz w:val="13"/>
                <w:szCs w:val="13"/>
                <w:lang w:eastAsia="sk-SK"/>
              </w:rPr>
              <w:t>684 507 215</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sidRPr="00C75F6A">
              <w:rPr>
                <w:rFonts w:ascii="Times New Roman" w:hAnsi="Times New Roman" w:cs="Times New Roman"/>
                <w:noProof/>
                <w:color w:val="000000"/>
                <w:sz w:val="13"/>
                <w:szCs w:val="13"/>
                <w:lang w:eastAsia="sk-SK"/>
              </w:rPr>
              <w:t>699 839 221</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Pr>
                <w:rFonts w:ascii="Times New Roman" w:hAnsi="Times New Roman" w:cs="Times New Roman"/>
                <w:noProof/>
                <w:color w:val="000000"/>
                <w:sz w:val="13"/>
                <w:szCs w:val="13"/>
                <w:lang w:eastAsia="sk-SK"/>
              </w:rPr>
              <w:t>723 058 770</w:t>
            </w:r>
          </w:p>
        </w:tc>
        <w:tc>
          <w:tcPr>
            <w:tcW w:w="506" w:type="pct"/>
            <w:tcBorders>
              <w:top w:val="nil"/>
              <w:left w:val="nil"/>
              <w:bottom w:val="single" w:sz="4" w:space="0" w:color="auto"/>
              <w:right w:val="single" w:sz="4" w:space="0" w:color="auto"/>
            </w:tcBorders>
            <w:shd w:val="clear" w:color="auto" w:fill="auto"/>
            <w:vAlign w:val="bottom"/>
          </w:tcPr>
          <w:p w:rsidR="007D13F3" w:rsidRPr="00B94A2C" w:rsidRDefault="007D13F3" w:rsidP="00465CAC">
            <w:pPr>
              <w:jc w:val="right"/>
              <w:rPr>
                <w:rFonts w:ascii="Times New Roman" w:hAnsi="Times New Roman" w:cs="Times New Roman"/>
                <w:noProof/>
                <w:color w:val="000000"/>
                <w:sz w:val="13"/>
                <w:szCs w:val="13"/>
                <w:highlight w:val="yellow"/>
                <w:lang w:eastAsia="sk-SK"/>
              </w:rPr>
            </w:pPr>
            <w:r w:rsidRPr="00E60D14">
              <w:rPr>
                <w:rFonts w:ascii="Times New Roman" w:hAnsi="Times New Roman" w:cs="Times New Roman"/>
                <w:noProof/>
                <w:color w:val="000000"/>
                <w:sz w:val="13"/>
                <w:szCs w:val="13"/>
                <w:lang w:eastAsia="sk-SK"/>
              </w:rPr>
              <w:t>756 684 956</w:t>
            </w:r>
          </w:p>
        </w:tc>
        <w:tc>
          <w:tcPr>
            <w:tcW w:w="506" w:type="pct"/>
            <w:tcBorders>
              <w:top w:val="nil"/>
              <w:left w:val="nil"/>
              <w:bottom w:val="single" w:sz="4" w:space="0" w:color="auto"/>
              <w:right w:val="single" w:sz="4" w:space="0" w:color="auto"/>
            </w:tcBorders>
            <w:shd w:val="clear" w:color="auto" w:fill="auto"/>
            <w:vAlign w:val="bottom"/>
          </w:tcPr>
          <w:p w:rsidR="007D13F3" w:rsidRPr="00B94A2C" w:rsidRDefault="007D13F3" w:rsidP="00465CAC">
            <w:pPr>
              <w:jc w:val="right"/>
              <w:rPr>
                <w:rFonts w:ascii="Times New Roman" w:hAnsi="Times New Roman" w:cs="Times New Roman"/>
                <w:noProof/>
                <w:color w:val="000000"/>
                <w:sz w:val="13"/>
                <w:szCs w:val="13"/>
                <w:highlight w:val="yellow"/>
                <w:lang w:eastAsia="sk-SK"/>
              </w:rPr>
            </w:pPr>
            <w:r w:rsidRPr="00E60D14">
              <w:rPr>
                <w:rFonts w:ascii="Times New Roman" w:hAnsi="Times New Roman" w:cs="Times New Roman"/>
                <w:noProof/>
                <w:color w:val="000000"/>
                <w:sz w:val="13"/>
                <w:szCs w:val="13"/>
                <w:lang w:eastAsia="sk-SK"/>
              </w:rPr>
              <w:t>757 574 156</w:t>
            </w:r>
          </w:p>
        </w:tc>
        <w:tc>
          <w:tcPr>
            <w:tcW w:w="539" w:type="pct"/>
            <w:tcBorders>
              <w:top w:val="nil"/>
              <w:left w:val="nil"/>
              <w:bottom w:val="single" w:sz="4" w:space="0" w:color="auto"/>
              <w:right w:val="single" w:sz="4" w:space="0" w:color="auto"/>
            </w:tcBorders>
            <w:shd w:val="clear" w:color="auto" w:fill="auto"/>
            <w:vAlign w:val="bottom"/>
          </w:tcPr>
          <w:p w:rsidR="007D13F3" w:rsidRPr="00B94A2C" w:rsidRDefault="007D13F3" w:rsidP="00465CAC">
            <w:pPr>
              <w:jc w:val="right"/>
              <w:rPr>
                <w:rFonts w:ascii="Times New Roman" w:hAnsi="Times New Roman" w:cs="Times New Roman"/>
                <w:noProof/>
                <w:color w:val="000000"/>
                <w:sz w:val="13"/>
                <w:szCs w:val="13"/>
                <w:highlight w:val="yellow"/>
                <w:lang w:eastAsia="sk-SK"/>
              </w:rPr>
            </w:pPr>
            <w:r w:rsidRPr="00E60D14">
              <w:rPr>
                <w:rFonts w:ascii="Times New Roman" w:hAnsi="Times New Roman" w:cs="Times New Roman"/>
                <w:noProof/>
                <w:color w:val="000000"/>
                <w:sz w:val="13"/>
                <w:szCs w:val="13"/>
                <w:lang w:eastAsia="sk-SK"/>
              </w:rPr>
              <w:t>756 524 156</w:t>
            </w:r>
          </w:p>
        </w:tc>
      </w:tr>
      <w:tr w:rsidR="007D13F3" w:rsidRPr="00B94A2C"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5F6A" w:rsidRDefault="007D13F3" w:rsidP="00465CAC">
            <w:pPr>
              <w:rPr>
                <w:rFonts w:ascii="Times New Roman" w:hAnsi="Times New Roman" w:cs="Times New Roman"/>
                <w:color w:val="000000"/>
                <w:sz w:val="14"/>
                <w:szCs w:val="14"/>
                <w:lang w:eastAsia="sk-SK"/>
              </w:rPr>
            </w:pPr>
            <w:r w:rsidRPr="00C75F6A">
              <w:rPr>
                <w:rFonts w:ascii="Times New Roman" w:hAnsi="Times New Roman" w:cs="Times New Roman"/>
                <w:color w:val="000000"/>
                <w:sz w:val="14"/>
                <w:szCs w:val="14"/>
                <w:lang w:eastAsia="sk-SK"/>
              </w:rPr>
              <w:t xml:space="preserve">                                 620 odvody</w:t>
            </w:r>
          </w:p>
        </w:tc>
        <w:tc>
          <w:tcPr>
            <w:tcW w:w="506" w:type="pct"/>
            <w:tcBorders>
              <w:top w:val="nil"/>
              <w:left w:val="nil"/>
              <w:bottom w:val="single" w:sz="4" w:space="0" w:color="auto"/>
              <w:right w:val="single" w:sz="4" w:space="0" w:color="auto"/>
            </w:tcBorders>
            <w:shd w:val="clear" w:color="auto" w:fill="auto"/>
            <w:noWrap/>
            <w:vAlign w:val="bottom"/>
          </w:tcPr>
          <w:p w:rsidR="007D13F3" w:rsidRPr="00C75F6A" w:rsidRDefault="007D13F3" w:rsidP="00465CAC">
            <w:pPr>
              <w:jc w:val="right"/>
              <w:rPr>
                <w:rFonts w:ascii="Times New Roman" w:hAnsi="Times New Roman" w:cs="Times New Roman"/>
                <w:noProof/>
                <w:sz w:val="13"/>
                <w:szCs w:val="13"/>
                <w:lang w:eastAsia="sk-SK"/>
              </w:rPr>
            </w:pPr>
            <w:r w:rsidRPr="00C75F6A">
              <w:rPr>
                <w:rFonts w:ascii="Times New Roman" w:hAnsi="Times New Roman" w:cs="Times New Roman"/>
                <w:noProof/>
                <w:sz w:val="13"/>
                <w:szCs w:val="13"/>
                <w:lang w:eastAsia="sk-SK"/>
              </w:rPr>
              <w:t>232 645 435</w:t>
            </w:r>
          </w:p>
        </w:tc>
        <w:tc>
          <w:tcPr>
            <w:tcW w:w="506" w:type="pct"/>
            <w:tcBorders>
              <w:top w:val="nil"/>
              <w:left w:val="nil"/>
              <w:bottom w:val="single" w:sz="4" w:space="0" w:color="auto"/>
              <w:right w:val="single" w:sz="4" w:space="0" w:color="auto"/>
            </w:tcBorders>
            <w:shd w:val="clear" w:color="auto" w:fill="auto"/>
            <w:noWrap/>
            <w:vAlign w:val="bottom"/>
          </w:tcPr>
          <w:p w:rsidR="007D13F3" w:rsidRPr="00C75F6A" w:rsidRDefault="007D13F3" w:rsidP="00465CAC">
            <w:pPr>
              <w:jc w:val="right"/>
              <w:rPr>
                <w:rFonts w:ascii="Times New Roman" w:hAnsi="Times New Roman" w:cs="Times New Roman"/>
                <w:noProof/>
                <w:sz w:val="13"/>
                <w:szCs w:val="13"/>
                <w:lang w:eastAsia="sk-SK"/>
              </w:rPr>
            </w:pPr>
            <w:r w:rsidRPr="00C75F6A">
              <w:rPr>
                <w:rFonts w:ascii="Times New Roman" w:hAnsi="Times New Roman" w:cs="Times New Roman"/>
                <w:noProof/>
                <w:sz w:val="13"/>
                <w:szCs w:val="13"/>
                <w:lang w:eastAsia="sk-SK"/>
              </w:rPr>
              <w:t>245 177 746</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sidRPr="00C75F6A">
              <w:rPr>
                <w:rFonts w:ascii="Times New Roman" w:hAnsi="Times New Roman" w:cs="Times New Roman"/>
                <w:noProof/>
                <w:color w:val="000000"/>
                <w:sz w:val="13"/>
                <w:szCs w:val="13"/>
                <w:lang w:eastAsia="sk-SK"/>
              </w:rPr>
              <w:t>246 446 580</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sidRPr="004C0DD4">
              <w:rPr>
                <w:rFonts w:ascii="Times New Roman" w:hAnsi="Times New Roman" w:cs="Times New Roman"/>
                <w:noProof/>
                <w:color w:val="000000"/>
                <w:sz w:val="13"/>
                <w:szCs w:val="13"/>
                <w:lang w:eastAsia="sk-SK"/>
              </w:rPr>
              <w:t>254 772 297</w:t>
            </w:r>
          </w:p>
        </w:tc>
        <w:tc>
          <w:tcPr>
            <w:tcW w:w="506" w:type="pct"/>
            <w:tcBorders>
              <w:top w:val="nil"/>
              <w:left w:val="nil"/>
              <w:bottom w:val="single" w:sz="4" w:space="0" w:color="auto"/>
              <w:right w:val="single" w:sz="4" w:space="0" w:color="auto"/>
            </w:tcBorders>
            <w:shd w:val="clear" w:color="auto" w:fill="auto"/>
            <w:vAlign w:val="bottom"/>
          </w:tcPr>
          <w:p w:rsidR="007D13F3" w:rsidRPr="00B94A2C" w:rsidRDefault="007D13F3" w:rsidP="00465CAC">
            <w:pPr>
              <w:jc w:val="right"/>
              <w:rPr>
                <w:rFonts w:ascii="Times New Roman" w:hAnsi="Times New Roman" w:cs="Times New Roman"/>
                <w:noProof/>
                <w:color w:val="000000"/>
                <w:sz w:val="13"/>
                <w:szCs w:val="13"/>
                <w:highlight w:val="yellow"/>
                <w:lang w:eastAsia="sk-SK"/>
              </w:rPr>
            </w:pPr>
            <w:r w:rsidRPr="00E60D14">
              <w:rPr>
                <w:rFonts w:ascii="Times New Roman" w:hAnsi="Times New Roman" w:cs="Times New Roman"/>
                <w:noProof/>
                <w:color w:val="000000"/>
                <w:sz w:val="13"/>
                <w:szCs w:val="13"/>
                <w:lang w:eastAsia="sk-SK"/>
              </w:rPr>
              <w:t>262 831 919</w:t>
            </w:r>
          </w:p>
        </w:tc>
        <w:tc>
          <w:tcPr>
            <w:tcW w:w="506" w:type="pct"/>
            <w:tcBorders>
              <w:top w:val="nil"/>
              <w:left w:val="nil"/>
              <w:bottom w:val="single" w:sz="4" w:space="0" w:color="auto"/>
              <w:right w:val="single" w:sz="4" w:space="0" w:color="auto"/>
            </w:tcBorders>
            <w:shd w:val="clear" w:color="auto" w:fill="auto"/>
            <w:vAlign w:val="bottom"/>
          </w:tcPr>
          <w:p w:rsidR="007D13F3" w:rsidRPr="00B94A2C" w:rsidRDefault="007D13F3" w:rsidP="00465CAC">
            <w:pPr>
              <w:jc w:val="right"/>
              <w:rPr>
                <w:rFonts w:ascii="Times New Roman" w:hAnsi="Times New Roman" w:cs="Times New Roman"/>
                <w:noProof/>
                <w:color w:val="000000"/>
                <w:sz w:val="13"/>
                <w:szCs w:val="13"/>
                <w:highlight w:val="yellow"/>
                <w:lang w:eastAsia="sk-SK"/>
              </w:rPr>
            </w:pPr>
            <w:r w:rsidRPr="00E60D14">
              <w:rPr>
                <w:rFonts w:ascii="Times New Roman" w:hAnsi="Times New Roman" w:cs="Times New Roman"/>
                <w:noProof/>
                <w:color w:val="000000"/>
                <w:sz w:val="13"/>
                <w:szCs w:val="13"/>
                <w:lang w:eastAsia="sk-SK"/>
              </w:rPr>
              <w:t>263 142 694</w:t>
            </w:r>
          </w:p>
        </w:tc>
        <w:tc>
          <w:tcPr>
            <w:tcW w:w="539" w:type="pct"/>
            <w:tcBorders>
              <w:top w:val="nil"/>
              <w:left w:val="nil"/>
              <w:bottom w:val="single" w:sz="4" w:space="0" w:color="auto"/>
              <w:right w:val="single" w:sz="4" w:space="0" w:color="auto"/>
            </w:tcBorders>
            <w:shd w:val="clear" w:color="auto" w:fill="auto"/>
            <w:vAlign w:val="bottom"/>
          </w:tcPr>
          <w:p w:rsidR="007D13F3" w:rsidRPr="00B94A2C" w:rsidRDefault="007D13F3" w:rsidP="00465CAC">
            <w:pPr>
              <w:jc w:val="right"/>
              <w:rPr>
                <w:rFonts w:ascii="Times New Roman" w:hAnsi="Times New Roman" w:cs="Times New Roman"/>
                <w:noProof/>
                <w:color w:val="000000"/>
                <w:sz w:val="13"/>
                <w:szCs w:val="13"/>
                <w:highlight w:val="yellow"/>
                <w:lang w:eastAsia="sk-SK"/>
              </w:rPr>
            </w:pPr>
            <w:r w:rsidRPr="00E60D14">
              <w:rPr>
                <w:rFonts w:ascii="Times New Roman" w:hAnsi="Times New Roman" w:cs="Times New Roman"/>
                <w:noProof/>
                <w:color w:val="000000"/>
                <w:sz w:val="13"/>
                <w:szCs w:val="13"/>
                <w:lang w:eastAsia="sk-SK"/>
              </w:rPr>
              <w:t>262 775 719</w:t>
            </w:r>
          </w:p>
        </w:tc>
      </w:tr>
      <w:tr w:rsidR="007D13F3" w:rsidRPr="00643A29"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5F6A" w:rsidRDefault="007D13F3" w:rsidP="00465CAC">
            <w:pPr>
              <w:rPr>
                <w:rFonts w:ascii="Times New Roman" w:hAnsi="Times New Roman" w:cs="Times New Roman"/>
                <w:color w:val="000000"/>
                <w:sz w:val="14"/>
                <w:szCs w:val="14"/>
                <w:lang w:eastAsia="sk-SK"/>
              </w:rPr>
            </w:pPr>
            <w:r w:rsidRPr="00C75F6A">
              <w:rPr>
                <w:rFonts w:ascii="Times New Roman" w:hAnsi="Times New Roman" w:cs="Times New Roman"/>
                <w:color w:val="000000"/>
                <w:sz w:val="14"/>
                <w:szCs w:val="14"/>
                <w:lang w:eastAsia="sk-SK"/>
              </w:rPr>
              <w:t xml:space="preserve">                                 630 tovary a služby</w:t>
            </w:r>
          </w:p>
        </w:tc>
        <w:tc>
          <w:tcPr>
            <w:tcW w:w="506" w:type="pct"/>
            <w:tcBorders>
              <w:top w:val="nil"/>
              <w:left w:val="nil"/>
              <w:bottom w:val="single" w:sz="4" w:space="0" w:color="auto"/>
              <w:right w:val="single" w:sz="4" w:space="0" w:color="auto"/>
            </w:tcBorders>
            <w:shd w:val="clear" w:color="auto" w:fill="auto"/>
            <w:noWrap/>
            <w:vAlign w:val="bottom"/>
          </w:tcPr>
          <w:p w:rsidR="007D13F3" w:rsidRPr="00C75F6A" w:rsidRDefault="007D13F3" w:rsidP="00465CAC">
            <w:pPr>
              <w:jc w:val="right"/>
              <w:rPr>
                <w:rFonts w:ascii="Times New Roman" w:hAnsi="Times New Roman" w:cs="Times New Roman"/>
                <w:noProof/>
                <w:sz w:val="13"/>
                <w:szCs w:val="13"/>
                <w:lang w:eastAsia="sk-SK"/>
              </w:rPr>
            </w:pPr>
            <w:r w:rsidRPr="00C75F6A">
              <w:rPr>
                <w:rFonts w:ascii="Times New Roman" w:hAnsi="Times New Roman" w:cs="Times New Roman"/>
                <w:noProof/>
                <w:sz w:val="13"/>
                <w:szCs w:val="13"/>
                <w:lang w:eastAsia="sk-SK"/>
              </w:rPr>
              <w:t>276 901 520</w:t>
            </w:r>
          </w:p>
        </w:tc>
        <w:tc>
          <w:tcPr>
            <w:tcW w:w="506" w:type="pct"/>
            <w:tcBorders>
              <w:top w:val="nil"/>
              <w:left w:val="nil"/>
              <w:bottom w:val="single" w:sz="4" w:space="0" w:color="auto"/>
              <w:right w:val="single" w:sz="4" w:space="0" w:color="auto"/>
            </w:tcBorders>
            <w:shd w:val="clear" w:color="auto" w:fill="auto"/>
            <w:noWrap/>
            <w:vAlign w:val="bottom"/>
          </w:tcPr>
          <w:p w:rsidR="007D13F3" w:rsidRPr="00C75F6A" w:rsidRDefault="007D13F3" w:rsidP="00465CAC">
            <w:pPr>
              <w:jc w:val="right"/>
              <w:rPr>
                <w:rFonts w:ascii="Times New Roman" w:hAnsi="Times New Roman" w:cs="Times New Roman"/>
                <w:noProof/>
                <w:sz w:val="13"/>
                <w:szCs w:val="13"/>
                <w:lang w:eastAsia="sk-SK"/>
              </w:rPr>
            </w:pPr>
            <w:r w:rsidRPr="00C75F6A">
              <w:rPr>
                <w:rFonts w:ascii="Times New Roman" w:hAnsi="Times New Roman" w:cs="Times New Roman"/>
                <w:noProof/>
                <w:sz w:val="13"/>
                <w:szCs w:val="13"/>
                <w:lang w:eastAsia="sk-SK"/>
              </w:rPr>
              <w:t>196 151 318</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sidRPr="00C75F6A">
              <w:rPr>
                <w:rFonts w:ascii="Times New Roman" w:hAnsi="Times New Roman" w:cs="Times New Roman"/>
                <w:noProof/>
                <w:color w:val="000000"/>
                <w:sz w:val="13"/>
                <w:szCs w:val="13"/>
                <w:lang w:eastAsia="sk-SK"/>
              </w:rPr>
              <w:t>285 022 091</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sidRPr="004C0DD4">
              <w:rPr>
                <w:rFonts w:ascii="Times New Roman" w:hAnsi="Times New Roman" w:cs="Times New Roman"/>
                <w:noProof/>
                <w:color w:val="000000"/>
                <w:sz w:val="13"/>
                <w:szCs w:val="13"/>
                <w:lang w:eastAsia="sk-SK"/>
              </w:rPr>
              <w:t>287 494 703</w:t>
            </w:r>
          </w:p>
        </w:tc>
        <w:tc>
          <w:tcPr>
            <w:tcW w:w="506" w:type="pct"/>
            <w:tcBorders>
              <w:top w:val="nil"/>
              <w:left w:val="nil"/>
              <w:bottom w:val="single" w:sz="4" w:space="0" w:color="auto"/>
              <w:right w:val="single" w:sz="4" w:space="0" w:color="auto"/>
            </w:tcBorders>
            <w:shd w:val="clear" w:color="auto" w:fill="auto"/>
            <w:vAlign w:val="bottom"/>
          </w:tcPr>
          <w:p w:rsidR="007D13F3" w:rsidRPr="00643A29" w:rsidRDefault="007D13F3" w:rsidP="00465CAC">
            <w:pPr>
              <w:jc w:val="right"/>
              <w:rPr>
                <w:rFonts w:ascii="Times New Roman" w:hAnsi="Times New Roman" w:cs="Times New Roman"/>
                <w:noProof/>
                <w:color w:val="000000"/>
                <w:sz w:val="13"/>
                <w:szCs w:val="13"/>
                <w:lang w:eastAsia="sk-SK"/>
              </w:rPr>
            </w:pPr>
            <w:r w:rsidRPr="00643A29">
              <w:rPr>
                <w:rFonts w:ascii="Times New Roman" w:hAnsi="Times New Roman" w:cs="Times New Roman"/>
                <w:noProof/>
                <w:color w:val="000000"/>
                <w:sz w:val="13"/>
                <w:szCs w:val="13"/>
                <w:lang w:eastAsia="sk-SK"/>
              </w:rPr>
              <w:t>282 842 048</w:t>
            </w:r>
          </w:p>
        </w:tc>
        <w:tc>
          <w:tcPr>
            <w:tcW w:w="506" w:type="pct"/>
            <w:tcBorders>
              <w:top w:val="nil"/>
              <w:left w:val="nil"/>
              <w:bottom w:val="single" w:sz="4" w:space="0" w:color="auto"/>
              <w:right w:val="single" w:sz="4" w:space="0" w:color="auto"/>
            </w:tcBorders>
            <w:shd w:val="clear" w:color="auto" w:fill="auto"/>
            <w:vAlign w:val="bottom"/>
          </w:tcPr>
          <w:p w:rsidR="007D13F3" w:rsidRPr="00643A29" w:rsidRDefault="007D13F3" w:rsidP="00465CAC">
            <w:pPr>
              <w:jc w:val="right"/>
              <w:rPr>
                <w:rFonts w:ascii="Times New Roman" w:hAnsi="Times New Roman" w:cs="Times New Roman"/>
                <w:noProof/>
                <w:color w:val="000000"/>
                <w:sz w:val="13"/>
                <w:szCs w:val="13"/>
                <w:lang w:eastAsia="sk-SK"/>
              </w:rPr>
            </w:pPr>
            <w:r>
              <w:rPr>
                <w:rFonts w:ascii="Times New Roman" w:hAnsi="Times New Roman" w:cs="Times New Roman"/>
                <w:noProof/>
                <w:color w:val="000000"/>
                <w:sz w:val="13"/>
                <w:szCs w:val="13"/>
                <w:lang w:eastAsia="sk-SK"/>
              </w:rPr>
              <w:t>284 376 568</w:t>
            </w:r>
          </w:p>
        </w:tc>
        <w:tc>
          <w:tcPr>
            <w:tcW w:w="539" w:type="pct"/>
            <w:tcBorders>
              <w:top w:val="nil"/>
              <w:left w:val="nil"/>
              <w:bottom w:val="single" w:sz="4" w:space="0" w:color="auto"/>
              <w:right w:val="single" w:sz="4" w:space="0" w:color="auto"/>
            </w:tcBorders>
            <w:shd w:val="clear" w:color="auto" w:fill="auto"/>
            <w:vAlign w:val="bottom"/>
          </w:tcPr>
          <w:p w:rsidR="007D13F3" w:rsidRPr="00643A29" w:rsidRDefault="007D13F3" w:rsidP="00465CAC">
            <w:pPr>
              <w:jc w:val="right"/>
              <w:rPr>
                <w:rFonts w:ascii="Times New Roman" w:hAnsi="Times New Roman" w:cs="Times New Roman"/>
                <w:noProof/>
                <w:color w:val="000000"/>
                <w:sz w:val="13"/>
                <w:szCs w:val="13"/>
                <w:lang w:eastAsia="sk-SK"/>
              </w:rPr>
            </w:pPr>
            <w:r>
              <w:rPr>
                <w:rFonts w:ascii="Times New Roman" w:hAnsi="Times New Roman" w:cs="Times New Roman"/>
                <w:noProof/>
                <w:color w:val="000000"/>
                <w:sz w:val="13"/>
                <w:szCs w:val="13"/>
                <w:lang w:eastAsia="sk-SK"/>
              </w:rPr>
              <w:t>283 916 568</w:t>
            </w:r>
          </w:p>
        </w:tc>
      </w:tr>
      <w:tr w:rsidR="007D13F3" w:rsidRPr="001C2735"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5F6A" w:rsidRDefault="007D13F3" w:rsidP="00465CAC">
            <w:pPr>
              <w:rPr>
                <w:rFonts w:ascii="Times New Roman" w:hAnsi="Times New Roman" w:cs="Times New Roman"/>
                <w:color w:val="000000"/>
                <w:sz w:val="14"/>
                <w:szCs w:val="14"/>
                <w:lang w:eastAsia="sk-SK"/>
              </w:rPr>
            </w:pPr>
            <w:r w:rsidRPr="00C75F6A">
              <w:rPr>
                <w:rFonts w:ascii="Times New Roman" w:hAnsi="Times New Roman" w:cs="Times New Roman"/>
                <w:color w:val="000000"/>
                <w:sz w:val="14"/>
                <w:szCs w:val="14"/>
                <w:lang w:eastAsia="sk-SK"/>
              </w:rPr>
              <w:t xml:space="preserve">                                 640 bežné transfery</w:t>
            </w:r>
          </w:p>
        </w:tc>
        <w:tc>
          <w:tcPr>
            <w:tcW w:w="506" w:type="pct"/>
            <w:tcBorders>
              <w:top w:val="nil"/>
              <w:left w:val="nil"/>
              <w:bottom w:val="single" w:sz="4" w:space="0" w:color="auto"/>
              <w:right w:val="single" w:sz="4" w:space="0" w:color="auto"/>
            </w:tcBorders>
            <w:shd w:val="clear" w:color="auto" w:fill="auto"/>
            <w:noWrap/>
            <w:vAlign w:val="bottom"/>
          </w:tcPr>
          <w:p w:rsidR="007D13F3" w:rsidRPr="00C75F6A" w:rsidRDefault="007D13F3" w:rsidP="00465CAC">
            <w:pPr>
              <w:jc w:val="right"/>
              <w:rPr>
                <w:rFonts w:ascii="Times New Roman" w:hAnsi="Times New Roman" w:cs="Times New Roman"/>
                <w:noProof/>
                <w:sz w:val="13"/>
                <w:szCs w:val="13"/>
                <w:lang w:eastAsia="sk-SK"/>
              </w:rPr>
            </w:pPr>
            <w:r w:rsidRPr="00C75F6A">
              <w:rPr>
                <w:rFonts w:ascii="Times New Roman" w:hAnsi="Times New Roman" w:cs="Times New Roman"/>
                <w:noProof/>
                <w:sz w:val="13"/>
                <w:szCs w:val="13"/>
                <w:lang w:eastAsia="sk-SK"/>
              </w:rPr>
              <w:t>940 745 623</w:t>
            </w:r>
          </w:p>
        </w:tc>
        <w:tc>
          <w:tcPr>
            <w:tcW w:w="506" w:type="pct"/>
            <w:tcBorders>
              <w:top w:val="nil"/>
              <w:left w:val="nil"/>
              <w:bottom w:val="single" w:sz="4" w:space="0" w:color="auto"/>
              <w:right w:val="single" w:sz="4" w:space="0" w:color="auto"/>
            </w:tcBorders>
            <w:shd w:val="clear" w:color="auto" w:fill="auto"/>
            <w:noWrap/>
            <w:vAlign w:val="bottom"/>
          </w:tcPr>
          <w:p w:rsidR="007D13F3" w:rsidRPr="00C75F6A" w:rsidRDefault="007D13F3" w:rsidP="00465CAC">
            <w:pPr>
              <w:jc w:val="right"/>
              <w:rPr>
                <w:rFonts w:ascii="Times New Roman" w:hAnsi="Times New Roman" w:cs="Times New Roman"/>
                <w:noProof/>
                <w:sz w:val="13"/>
                <w:szCs w:val="13"/>
                <w:lang w:eastAsia="sk-SK"/>
              </w:rPr>
            </w:pPr>
            <w:r w:rsidRPr="00C75F6A">
              <w:rPr>
                <w:rFonts w:ascii="Times New Roman" w:hAnsi="Times New Roman" w:cs="Times New Roman"/>
                <w:noProof/>
                <w:sz w:val="13"/>
                <w:szCs w:val="13"/>
                <w:lang w:eastAsia="sk-SK"/>
              </w:rPr>
              <w:t>999 627 651</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sidRPr="00C75F6A">
              <w:rPr>
                <w:rFonts w:ascii="Times New Roman" w:hAnsi="Times New Roman" w:cs="Times New Roman"/>
                <w:noProof/>
                <w:color w:val="000000"/>
                <w:sz w:val="13"/>
                <w:szCs w:val="13"/>
                <w:lang w:eastAsia="sk-SK"/>
              </w:rPr>
              <w:t>988 110 375</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sidRPr="004C0DD4">
              <w:rPr>
                <w:rFonts w:ascii="Times New Roman" w:hAnsi="Times New Roman" w:cs="Times New Roman"/>
                <w:noProof/>
                <w:color w:val="000000"/>
                <w:sz w:val="13"/>
                <w:szCs w:val="13"/>
                <w:lang w:eastAsia="sk-SK"/>
              </w:rPr>
              <w:t>1 045 588 155</w:t>
            </w:r>
          </w:p>
        </w:tc>
        <w:tc>
          <w:tcPr>
            <w:tcW w:w="506" w:type="pct"/>
            <w:tcBorders>
              <w:top w:val="nil"/>
              <w:left w:val="nil"/>
              <w:bottom w:val="single" w:sz="4" w:space="0" w:color="auto"/>
              <w:right w:val="single" w:sz="4" w:space="0" w:color="auto"/>
            </w:tcBorders>
            <w:shd w:val="clear" w:color="auto" w:fill="auto"/>
            <w:vAlign w:val="bottom"/>
          </w:tcPr>
          <w:p w:rsidR="007D13F3" w:rsidRPr="001C2735" w:rsidRDefault="007D13F3" w:rsidP="00465CAC">
            <w:pPr>
              <w:jc w:val="right"/>
              <w:rPr>
                <w:rFonts w:ascii="Times New Roman" w:hAnsi="Times New Roman" w:cs="Times New Roman"/>
                <w:noProof/>
                <w:color w:val="000000"/>
                <w:sz w:val="13"/>
                <w:szCs w:val="13"/>
                <w:lang w:eastAsia="sk-SK"/>
              </w:rPr>
            </w:pPr>
            <w:r w:rsidRPr="001C2735">
              <w:rPr>
                <w:rFonts w:ascii="Times New Roman" w:hAnsi="Times New Roman" w:cs="Times New Roman"/>
                <w:noProof/>
                <w:color w:val="000000"/>
                <w:sz w:val="13"/>
                <w:szCs w:val="13"/>
                <w:lang w:eastAsia="sk-SK"/>
              </w:rPr>
              <w:t>1 037 984 068</w:t>
            </w:r>
          </w:p>
        </w:tc>
        <w:tc>
          <w:tcPr>
            <w:tcW w:w="506" w:type="pct"/>
            <w:tcBorders>
              <w:top w:val="nil"/>
              <w:left w:val="nil"/>
              <w:bottom w:val="single" w:sz="4" w:space="0" w:color="auto"/>
              <w:right w:val="single" w:sz="4" w:space="0" w:color="auto"/>
            </w:tcBorders>
            <w:shd w:val="clear" w:color="auto" w:fill="auto"/>
            <w:vAlign w:val="bottom"/>
          </w:tcPr>
          <w:p w:rsidR="007D13F3" w:rsidRPr="001C2735" w:rsidRDefault="007D13F3" w:rsidP="00465CAC">
            <w:pPr>
              <w:jc w:val="right"/>
              <w:rPr>
                <w:rFonts w:ascii="Times New Roman" w:hAnsi="Times New Roman" w:cs="Times New Roman"/>
                <w:noProof/>
                <w:color w:val="000000"/>
                <w:sz w:val="13"/>
                <w:szCs w:val="13"/>
                <w:lang w:eastAsia="sk-SK"/>
              </w:rPr>
            </w:pPr>
            <w:r>
              <w:rPr>
                <w:rFonts w:ascii="Times New Roman" w:hAnsi="Times New Roman" w:cs="Times New Roman"/>
                <w:noProof/>
                <w:color w:val="000000"/>
                <w:sz w:val="13"/>
                <w:szCs w:val="13"/>
                <w:lang w:eastAsia="sk-SK"/>
              </w:rPr>
              <w:t>1 047 484 770</w:t>
            </w:r>
          </w:p>
        </w:tc>
        <w:tc>
          <w:tcPr>
            <w:tcW w:w="539" w:type="pct"/>
            <w:tcBorders>
              <w:top w:val="nil"/>
              <w:left w:val="nil"/>
              <w:bottom w:val="single" w:sz="4" w:space="0" w:color="auto"/>
              <w:right w:val="single" w:sz="4" w:space="0" w:color="auto"/>
            </w:tcBorders>
            <w:shd w:val="clear" w:color="auto" w:fill="auto"/>
            <w:vAlign w:val="bottom"/>
          </w:tcPr>
          <w:p w:rsidR="007D13F3" w:rsidRPr="001C2735" w:rsidRDefault="007D13F3" w:rsidP="00465CAC">
            <w:pPr>
              <w:jc w:val="right"/>
              <w:rPr>
                <w:rFonts w:ascii="Times New Roman" w:hAnsi="Times New Roman" w:cs="Times New Roman"/>
                <w:noProof/>
                <w:color w:val="000000"/>
                <w:sz w:val="13"/>
                <w:szCs w:val="13"/>
                <w:lang w:eastAsia="sk-SK"/>
              </w:rPr>
            </w:pPr>
            <w:r>
              <w:rPr>
                <w:rFonts w:ascii="Times New Roman" w:hAnsi="Times New Roman" w:cs="Times New Roman"/>
                <w:noProof/>
                <w:color w:val="000000"/>
                <w:sz w:val="13"/>
                <w:szCs w:val="13"/>
                <w:lang w:eastAsia="sk-SK"/>
              </w:rPr>
              <w:t>1 038 554 770</w:t>
            </w:r>
          </w:p>
        </w:tc>
      </w:tr>
      <w:tr w:rsidR="007D13F3" w:rsidRPr="00696621"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5F6A" w:rsidRDefault="007D13F3" w:rsidP="00465CAC">
            <w:pPr>
              <w:rPr>
                <w:rFonts w:ascii="Times New Roman" w:hAnsi="Times New Roman" w:cs="Times New Roman"/>
                <w:sz w:val="14"/>
                <w:szCs w:val="14"/>
                <w:lang w:eastAsia="sk-SK"/>
              </w:rPr>
            </w:pPr>
            <w:r w:rsidRPr="00C75F6A">
              <w:rPr>
                <w:rFonts w:ascii="Times New Roman" w:hAnsi="Times New Roman" w:cs="Times New Roman"/>
                <w:sz w:val="14"/>
                <w:szCs w:val="14"/>
                <w:lang w:eastAsia="sk-SK"/>
              </w:rPr>
              <w:t xml:space="preserve">                   kapitálové výdavky 700</w:t>
            </w:r>
          </w:p>
        </w:tc>
        <w:tc>
          <w:tcPr>
            <w:tcW w:w="506" w:type="pct"/>
            <w:tcBorders>
              <w:top w:val="nil"/>
              <w:left w:val="nil"/>
              <w:bottom w:val="single" w:sz="4" w:space="0" w:color="auto"/>
              <w:right w:val="single" w:sz="4" w:space="0" w:color="auto"/>
            </w:tcBorders>
            <w:shd w:val="clear" w:color="auto" w:fill="auto"/>
            <w:noWrap/>
            <w:vAlign w:val="bottom"/>
          </w:tcPr>
          <w:p w:rsidR="007D13F3" w:rsidRPr="00C75F6A" w:rsidRDefault="007D13F3" w:rsidP="00465CAC">
            <w:pPr>
              <w:jc w:val="right"/>
              <w:rPr>
                <w:rFonts w:ascii="Times New Roman" w:hAnsi="Times New Roman" w:cs="Times New Roman"/>
                <w:noProof/>
                <w:sz w:val="13"/>
                <w:szCs w:val="13"/>
                <w:lang w:eastAsia="sk-SK"/>
              </w:rPr>
            </w:pPr>
            <w:r w:rsidRPr="00C75F6A">
              <w:rPr>
                <w:rFonts w:ascii="Times New Roman" w:hAnsi="Times New Roman" w:cs="Times New Roman"/>
                <w:noProof/>
                <w:sz w:val="13"/>
                <w:szCs w:val="13"/>
                <w:lang w:eastAsia="sk-SK"/>
              </w:rPr>
              <w:t>78 808 804</w:t>
            </w:r>
          </w:p>
        </w:tc>
        <w:tc>
          <w:tcPr>
            <w:tcW w:w="506" w:type="pct"/>
            <w:tcBorders>
              <w:top w:val="nil"/>
              <w:left w:val="nil"/>
              <w:bottom w:val="single" w:sz="4" w:space="0" w:color="auto"/>
              <w:right w:val="single" w:sz="4" w:space="0" w:color="auto"/>
            </w:tcBorders>
            <w:shd w:val="clear" w:color="auto" w:fill="auto"/>
            <w:noWrap/>
            <w:vAlign w:val="bottom"/>
          </w:tcPr>
          <w:p w:rsidR="007D13F3" w:rsidRPr="00C75F6A" w:rsidRDefault="007D13F3" w:rsidP="00465CAC">
            <w:pPr>
              <w:jc w:val="right"/>
              <w:rPr>
                <w:rFonts w:ascii="Times New Roman" w:hAnsi="Times New Roman" w:cs="Times New Roman"/>
                <w:noProof/>
                <w:sz w:val="13"/>
                <w:szCs w:val="13"/>
                <w:lang w:eastAsia="sk-SK"/>
              </w:rPr>
            </w:pPr>
            <w:r w:rsidRPr="00C75F6A">
              <w:rPr>
                <w:rFonts w:ascii="Times New Roman" w:hAnsi="Times New Roman" w:cs="Times New Roman"/>
                <w:noProof/>
                <w:sz w:val="13"/>
                <w:szCs w:val="13"/>
                <w:lang w:eastAsia="sk-SK"/>
              </w:rPr>
              <w:t>58 480 010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sidRPr="00C75F6A">
              <w:rPr>
                <w:rFonts w:ascii="Times New Roman" w:hAnsi="Times New Roman" w:cs="Times New Roman"/>
                <w:noProof/>
                <w:color w:val="000000"/>
                <w:sz w:val="13"/>
                <w:szCs w:val="13"/>
                <w:lang w:eastAsia="sk-SK"/>
              </w:rPr>
              <w:t>53 000 000</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sidRPr="004C0DD4">
              <w:rPr>
                <w:rFonts w:ascii="Times New Roman" w:hAnsi="Times New Roman" w:cs="Times New Roman"/>
                <w:noProof/>
                <w:color w:val="000000"/>
                <w:sz w:val="13"/>
                <w:szCs w:val="13"/>
                <w:lang w:eastAsia="sk-SK"/>
              </w:rPr>
              <w:t>54 378 472</w:t>
            </w:r>
          </w:p>
        </w:tc>
        <w:tc>
          <w:tcPr>
            <w:tcW w:w="506" w:type="pct"/>
            <w:tcBorders>
              <w:top w:val="nil"/>
              <w:left w:val="nil"/>
              <w:bottom w:val="single" w:sz="4" w:space="0" w:color="auto"/>
              <w:right w:val="single" w:sz="4" w:space="0" w:color="auto"/>
            </w:tcBorders>
            <w:shd w:val="clear" w:color="auto" w:fill="auto"/>
            <w:vAlign w:val="bottom"/>
          </w:tcPr>
          <w:p w:rsidR="007D13F3" w:rsidRPr="00696621" w:rsidRDefault="007D13F3" w:rsidP="00465CAC">
            <w:pPr>
              <w:jc w:val="right"/>
              <w:rPr>
                <w:rFonts w:ascii="Times New Roman" w:hAnsi="Times New Roman" w:cs="Times New Roman"/>
                <w:noProof/>
                <w:color w:val="000000"/>
                <w:sz w:val="13"/>
                <w:szCs w:val="13"/>
                <w:lang w:eastAsia="sk-SK"/>
              </w:rPr>
            </w:pPr>
            <w:r w:rsidRPr="00696621">
              <w:rPr>
                <w:rFonts w:ascii="Times New Roman" w:hAnsi="Times New Roman" w:cs="Times New Roman"/>
                <w:noProof/>
                <w:color w:val="000000"/>
                <w:sz w:val="13"/>
                <w:szCs w:val="13"/>
                <w:lang w:eastAsia="sk-SK"/>
              </w:rPr>
              <w:t>28 000 000</w:t>
            </w:r>
          </w:p>
        </w:tc>
        <w:tc>
          <w:tcPr>
            <w:tcW w:w="506" w:type="pct"/>
            <w:tcBorders>
              <w:top w:val="nil"/>
              <w:left w:val="nil"/>
              <w:bottom w:val="single" w:sz="4" w:space="0" w:color="auto"/>
              <w:right w:val="single" w:sz="4" w:space="0" w:color="auto"/>
            </w:tcBorders>
            <w:shd w:val="clear" w:color="auto" w:fill="auto"/>
            <w:vAlign w:val="bottom"/>
          </w:tcPr>
          <w:p w:rsidR="007D13F3" w:rsidRPr="00696621" w:rsidRDefault="007D13F3" w:rsidP="00465CAC">
            <w:pPr>
              <w:jc w:val="right"/>
              <w:rPr>
                <w:rFonts w:ascii="Times New Roman" w:hAnsi="Times New Roman" w:cs="Times New Roman"/>
                <w:noProof/>
                <w:color w:val="000000"/>
                <w:sz w:val="13"/>
                <w:szCs w:val="13"/>
                <w:lang w:eastAsia="sk-SK"/>
              </w:rPr>
            </w:pPr>
            <w:r w:rsidRPr="00696621">
              <w:rPr>
                <w:rFonts w:ascii="Times New Roman" w:hAnsi="Times New Roman" w:cs="Times New Roman"/>
                <w:noProof/>
                <w:color w:val="000000"/>
                <w:sz w:val="13"/>
                <w:szCs w:val="13"/>
                <w:lang w:eastAsia="sk-SK"/>
              </w:rPr>
              <w:t>28 000 000</w:t>
            </w:r>
          </w:p>
        </w:tc>
        <w:tc>
          <w:tcPr>
            <w:tcW w:w="539" w:type="pct"/>
            <w:tcBorders>
              <w:top w:val="nil"/>
              <w:left w:val="nil"/>
              <w:bottom w:val="single" w:sz="4" w:space="0" w:color="auto"/>
              <w:right w:val="single" w:sz="4" w:space="0" w:color="auto"/>
            </w:tcBorders>
            <w:shd w:val="clear" w:color="auto" w:fill="auto"/>
            <w:vAlign w:val="bottom"/>
          </w:tcPr>
          <w:p w:rsidR="007D13F3" w:rsidRPr="00696621" w:rsidRDefault="007D13F3" w:rsidP="00465CAC">
            <w:pPr>
              <w:jc w:val="right"/>
              <w:rPr>
                <w:rFonts w:ascii="Times New Roman" w:hAnsi="Times New Roman" w:cs="Times New Roman"/>
                <w:noProof/>
                <w:color w:val="000000"/>
                <w:sz w:val="13"/>
                <w:szCs w:val="13"/>
                <w:lang w:eastAsia="sk-SK"/>
              </w:rPr>
            </w:pPr>
            <w:r w:rsidRPr="00696621">
              <w:rPr>
                <w:rFonts w:ascii="Times New Roman" w:hAnsi="Times New Roman" w:cs="Times New Roman"/>
                <w:noProof/>
                <w:color w:val="000000"/>
                <w:sz w:val="13"/>
                <w:szCs w:val="13"/>
                <w:lang w:eastAsia="sk-SK"/>
              </w:rPr>
              <w:t>28 000 000</w:t>
            </w:r>
          </w:p>
        </w:tc>
      </w:tr>
      <w:tr w:rsidR="007D13F3" w:rsidRPr="00E15BFE"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tcPr>
          <w:p w:rsidR="007D13F3" w:rsidRPr="00C75F6A" w:rsidRDefault="007D13F3" w:rsidP="00A870F8">
            <w:pPr>
              <w:rPr>
                <w:rFonts w:ascii="Times New Roman" w:hAnsi="Times New Roman" w:cs="Times New Roman"/>
                <w:sz w:val="14"/>
                <w:szCs w:val="14"/>
                <w:lang w:eastAsia="sk-SK"/>
              </w:rPr>
            </w:pPr>
            <w:r w:rsidRPr="00C75F6A">
              <w:rPr>
                <w:rFonts w:ascii="Times New Roman" w:hAnsi="Times New Roman" w:cs="Times New Roman"/>
                <w:sz w:val="14"/>
                <w:szCs w:val="14"/>
                <w:lang w:eastAsia="sk-SK"/>
              </w:rPr>
              <w:t>2. programov</w:t>
            </w:r>
            <w:r w:rsidR="00A870F8">
              <w:rPr>
                <w:rFonts w:ascii="Times New Roman" w:hAnsi="Times New Roman" w:cs="Times New Roman"/>
                <w:sz w:val="14"/>
                <w:szCs w:val="14"/>
                <w:lang w:eastAsia="sk-SK"/>
              </w:rPr>
              <w:t>é</w:t>
            </w:r>
            <w:r w:rsidRPr="00C75F6A">
              <w:rPr>
                <w:rFonts w:ascii="Times New Roman" w:hAnsi="Times New Roman" w:cs="Times New Roman"/>
                <w:sz w:val="14"/>
                <w:szCs w:val="14"/>
                <w:lang w:eastAsia="sk-SK"/>
              </w:rPr>
              <w:t xml:space="preserve"> obdobie</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71 420 360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15 997 620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6F6EB3" w:rsidRDefault="007D13F3" w:rsidP="00465CAC">
            <w:pPr>
              <w:jc w:val="right"/>
              <w:rPr>
                <w:rFonts w:ascii="Times New Roman" w:hAnsi="Times New Roman" w:cs="Times New Roman"/>
                <w:noProof/>
                <w:color w:val="000000"/>
                <w:sz w:val="13"/>
                <w:szCs w:val="13"/>
                <w:lang w:eastAsia="sk-SK"/>
              </w:rPr>
            </w:pPr>
            <w:r w:rsidRPr="006F6EB3">
              <w:rPr>
                <w:rFonts w:ascii="Times New Roman" w:hAnsi="Times New Roman" w:cs="Times New Roman"/>
                <w:noProof/>
                <w:color w:val="000000"/>
                <w:sz w:val="13"/>
                <w:szCs w:val="13"/>
                <w:lang w:eastAsia="sk-SK"/>
              </w:rPr>
              <w:t>9 859 639</w:t>
            </w:r>
          </w:p>
        </w:tc>
        <w:tc>
          <w:tcPr>
            <w:tcW w:w="506" w:type="pct"/>
            <w:tcBorders>
              <w:top w:val="nil"/>
              <w:left w:val="nil"/>
              <w:bottom w:val="single" w:sz="4" w:space="0" w:color="auto"/>
              <w:right w:val="single" w:sz="4" w:space="0" w:color="auto"/>
            </w:tcBorders>
            <w:shd w:val="clear" w:color="auto" w:fill="auto"/>
            <w:vAlign w:val="bottom"/>
          </w:tcPr>
          <w:p w:rsidR="007D13F3" w:rsidRPr="00E15BFE" w:rsidRDefault="007D13F3" w:rsidP="00465CAC">
            <w:pPr>
              <w:jc w:val="right"/>
              <w:rPr>
                <w:rFonts w:ascii="Times New Roman" w:hAnsi="Times New Roman" w:cs="Times New Roman"/>
                <w:noProof/>
                <w:color w:val="000000"/>
                <w:sz w:val="13"/>
                <w:szCs w:val="13"/>
                <w:lang w:eastAsia="sk-SK"/>
              </w:rPr>
            </w:pPr>
            <w:r w:rsidRPr="00E15BFE">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auto"/>
            <w:vAlign w:val="bottom"/>
          </w:tcPr>
          <w:p w:rsidR="007D13F3" w:rsidRPr="00E15BFE" w:rsidRDefault="007D13F3" w:rsidP="00465CAC">
            <w:pPr>
              <w:jc w:val="right"/>
              <w:rPr>
                <w:rFonts w:ascii="Times New Roman" w:hAnsi="Times New Roman" w:cs="Times New Roman"/>
                <w:noProof/>
                <w:color w:val="000000"/>
                <w:sz w:val="13"/>
                <w:szCs w:val="13"/>
                <w:lang w:eastAsia="sk-SK"/>
              </w:rPr>
            </w:pPr>
            <w:r w:rsidRPr="00E15BFE">
              <w:rPr>
                <w:rFonts w:ascii="Times New Roman" w:hAnsi="Times New Roman" w:cs="Times New Roman"/>
                <w:noProof/>
                <w:color w:val="000000"/>
                <w:sz w:val="13"/>
                <w:szCs w:val="13"/>
                <w:lang w:eastAsia="sk-SK"/>
              </w:rPr>
              <w:t>0</w:t>
            </w:r>
          </w:p>
        </w:tc>
        <w:tc>
          <w:tcPr>
            <w:tcW w:w="539" w:type="pct"/>
            <w:tcBorders>
              <w:top w:val="nil"/>
              <w:left w:val="nil"/>
              <w:bottom w:val="single" w:sz="4" w:space="0" w:color="auto"/>
              <w:right w:val="single" w:sz="4" w:space="0" w:color="auto"/>
            </w:tcBorders>
            <w:shd w:val="clear" w:color="auto" w:fill="auto"/>
            <w:vAlign w:val="bottom"/>
          </w:tcPr>
          <w:p w:rsidR="007D13F3" w:rsidRPr="00E15BFE" w:rsidRDefault="007D13F3" w:rsidP="00465CAC">
            <w:pPr>
              <w:jc w:val="right"/>
              <w:rPr>
                <w:rFonts w:ascii="Times New Roman" w:hAnsi="Times New Roman" w:cs="Times New Roman"/>
                <w:noProof/>
                <w:color w:val="000000"/>
                <w:sz w:val="13"/>
                <w:szCs w:val="13"/>
                <w:lang w:eastAsia="sk-SK"/>
              </w:rPr>
            </w:pPr>
            <w:r w:rsidRPr="00E15BFE">
              <w:rPr>
                <w:rFonts w:ascii="Times New Roman" w:hAnsi="Times New Roman" w:cs="Times New Roman"/>
                <w:noProof/>
                <w:color w:val="000000"/>
                <w:sz w:val="13"/>
                <w:szCs w:val="13"/>
                <w:lang w:eastAsia="sk-SK"/>
              </w:rPr>
              <w:t>0</w:t>
            </w:r>
          </w:p>
        </w:tc>
      </w:tr>
      <w:tr w:rsidR="007D13F3" w:rsidRPr="00E15BFE"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5F6A" w:rsidRDefault="007D13F3" w:rsidP="00465CAC">
            <w:pPr>
              <w:rPr>
                <w:rFonts w:ascii="Times New Roman" w:hAnsi="Times New Roman" w:cs="Times New Roman"/>
                <w:sz w:val="14"/>
                <w:szCs w:val="14"/>
                <w:lang w:eastAsia="sk-SK"/>
              </w:rPr>
            </w:pPr>
            <w:r w:rsidRPr="00C75F6A">
              <w:rPr>
                <w:rFonts w:ascii="Times New Roman" w:hAnsi="Times New Roman" w:cs="Times New Roman"/>
                <w:sz w:val="14"/>
                <w:szCs w:val="14"/>
                <w:lang w:eastAsia="sk-SK"/>
              </w:rPr>
              <w:t xml:space="preserve">               v tom: EÚ prostriedky</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55 678 063</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3 141 080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6F6EB3" w:rsidRDefault="007D13F3" w:rsidP="00465CAC">
            <w:pPr>
              <w:jc w:val="right"/>
              <w:rPr>
                <w:rFonts w:ascii="Times New Roman" w:hAnsi="Times New Roman" w:cs="Times New Roman"/>
                <w:noProof/>
                <w:color w:val="000000"/>
                <w:sz w:val="13"/>
                <w:szCs w:val="13"/>
                <w:lang w:eastAsia="sk-SK"/>
              </w:rPr>
            </w:pPr>
            <w:r w:rsidRPr="006F6EB3">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auto"/>
            <w:vAlign w:val="bottom"/>
          </w:tcPr>
          <w:p w:rsidR="007D13F3" w:rsidRPr="00E15BFE" w:rsidRDefault="007D13F3" w:rsidP="00465CAC">
            <w:pPr>
              <w:jc w:val="right"/>
              <w:rPr>
                <w:rFonts w:ascii="Times New Roman" w:hAnsi="Times New Roman" w:cs="Times New Roman"/>
                <w:noProof/>
                <w:color w:val="000000"/>
                <w:sz w:val="13"/>
                <w:szCs w:val="13"/>
                <w:lang w:eastAsia="sk-SK"/>
              </w:rPr>
            </w:pPr>
            <w:r w:rsidRPr="00E15BFE">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auto"/>
            <w:vAlign w:val="bottom"/>
          </w:tcPr>
          <w:p w:rsidR="007D13F3" w:rsidRPr="00E15BFE" w:rsidRDefault="007D13F3" w:rsidP="00465CAC">
            <w:pPr>
              <w:jc w:val="right"/>
              <w:rPr>
                <w:rFonts w:ascii="Times New Roman" w:hAnsi="Times New Roman" w:cs="Times New Roman"/>
                <w:noProof/>
                <w:color w:val="000000"/>
                <w:sz w:val="13"/>
                <w:szCs w:val="13"/>
                <w:lang w:eastAsia="sk-SK"/>
              </w:rPr>
            </w:pPr>
            <w:r w:rsidRPr="00E15BFE">
              <w:rPr>
                <w:rFonts w:ascii="Times New Roman" w:hAnsi="Times New Roman" w:cs="Times New Roman"/>
                <w:noProof/>
                <w:color w:val="000000"/>
                <w:sz w:val="13"/>
                <w:szCs w:val="13"/>
                <w:lang w:eastAsia="sk-SK"/>
              </w:rPr>
              <w:t>0</w:t>
            </w:r>
          </w:p>
        </w:tc>
        <w:tc>
          <w:tcPr>
            <w:tcW w:w="539" w:type="pct"/>
            <w:tcBorders>
              <w:top w:val="nil"/>
              <w:left w:val="nil"/>
              <w:bottom w:val="single" w:sz="4" w:space="0" w:color="auto"/>
              <w:right w:val="single" w:sz="4" w:space="0" w:color="auto"/>
            </w:tcBorders>
            <w:shd w:val="clear" w:color="auto" w:fill="auto"/>
            <w:vAlign w:val="bottom"/>
          </w:tcPr>
          <w:p w:rsidR="007D13F3" w:rsidRPr="00E15BFE" w:rsidRDefault="007D13F3" w:rsidP="00465CAC">
            <w:pPr>
              <w:jc w:val="right"/>
              <w:rPr>
                <w:rFonts w:ascii="Times New Roman" w:hAnsi="Times New Roman" w:cs="Times New Roman"/>
                <w:noProof/>
                <w:color w:val="000000"/>
                <w:sz w:val="13"/>
                <w:szCs w:val="13"/>
                <w:lang w:eastAsia="sk-SK"/>
              </w:rPr>
            </w:pPr>
            <w:r w:rsidRPr="00E15BFE">
              <w:rPr>
                <w:rFonts w:ascii="Times New Roman" w:hAnsi="Times New Roman" w:cs="Times New Roman"/>
                <w:noProof/>
                <w:color w:val="000000"/>
                <w:sz w:val="13"/>
                <w:szCs w:val="13"/>
                <w:lang w:eastAsia="sk-SK"/>
              </w:rPr>
              <w:t>0</w:t>
            </w:r>
          </w:p>
        </w:tc>
      </w:tr>
      <w:tr w:rsidR="007D13F3" w:rsidRPr="00E15BFE"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5F6A" w:rsidRDefault="007D13F3" w:rsidP="00465CAC">
            <w:pPr>
              <w:rPr>
                <w:rFonts w:ascii="Times New Roman" w:hAnsi="Times New Roman" w:cs="Times New Roman"/>
                <w:sz w:val="14"/>
                <w:szCs w:val="14"/>
                <w:lang w:eastAsia="sk-SK"/>
              </w:rPr>
            </w:pPr>
            <w:r w:rsidRPr="00C75F6A">
              <w:rPr>
                <w:rFonts w:ascii="Times New Roman" w:hAnsi="Times New Roman" w:cs="Times New Roman"/>
                <w:sz w:val="14"/>
                <w:szCs w:val="14"/>
                <w:lang w:eastAsia="sk-SK"/>
              </w:rPr>
              <w:t xml:space="preserve">                           spolufinancovanie zo ŠR</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15 742 297</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12 856 540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6F6EB3" w:rsidRDefault="007D13F3" w:rsidP="00465CAC">
            <w:pPr>
              <w:jc w:val="right"/>
              <w:rPr>
                <w:rFonts w:ascii="Times New Roman" w:hAnsi="Times New Roman" w:cs="Times New Roman"/>
                <w:noProof/>
                <w:color w:val="000000"/>
                <w:sz w:val="13"/>
                <w:szCs w:val="13"/>
                <w:lang w:eastAsia="sk-SK"/>
              </w:rPr>
            </w:pPr>
            <w:r w:rsidRPr="006F6EB3">
              <w:rPr>
                <w:rFonts w:ascii="Times New Roman" w:hAnsi="Times New Roman" w:cs="Times New Roman"/>
                <w:noProof/>
                <w:color w:val="000000"/>
                <w:sz w:val="13"/>
                <w:szCs w:val="13"/>
                <w:lang w:eastAsia="sk-SK"/>
              </w:rPr>
              <w:t>9 859 639</w:t>
            </w:r>
          </w:p>
        </w:tc>
        <w:tc>
          <w:tcPr>
            <w:tcW w:w="506" w:type="pct"/>
            <w:tcBorders>
              <w:top w:val="nil"/>
              <w:left w:val="nil"/>
              <w:bottom w:val="single" w:sz="4" w:space="0" w:color="auto"/>
              <w:right w:val="single" w:sz="4" w:space="0" w:color="auto"/>
            </w:tcBorders>
            <w:shd w:val="clear" w:color="auto" w:fill="auto"/>
            <w:vAlign w:val="bottom"/>
          </w:tcPr>
          <w:p w:rsidR="007D13F3" w:rsidRPr="00E15BFE" w:rsidRDefault="007D13F3" w:rsidP="00465CAC">
            <w:pPr>
              <w:jc w:val="right"/>
              <w:rPr>
                <w:rFonts w:ascii="Times New Roman" w:hAnsi="Times New Roman" w:cs="Times New Roman"/>
                <w:noProof/>
                <w:color w:val="000000"/>
                <w:sz w:val="13"/>
                <w:szCs w:val="13"/>
                <w:lang w:eastAsia="sk-SK"/>
              </w:rPr>
            </w:pPr>
            <w:r w:rsidRPr="00E15BFE">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auto"/>
            <w:vAlign w:val="bottom"/>
          </w:tcPr>
          <w:p w:rsidR="007D13F3" w:rsidRPr="00E15BFE" w:rsidRDefault="007D13F3" w:rsidP="00465CAC">
            <w:pPr>
              <w:jc w:val="right"/>
              <w:rPr>
                <w:rFonts w:ascii="Times New Roman" w:hAnsi="Times New Roman" w:cs="Times New Roman"/>
                <w:noProof/>
                <w:color w:val="000000"/>
                <w:sz w:val="13"/>
                <w:szCs w:val="13"/>
                <w:lang w:eastAsia="sk-SK"/>
              </w:rPr>
            </w:pPr>
            <w:r w:rsidRPr="00E15BFE">
              <w:rPr>
                <w:rFonts w:ascii="Times New Roman" w:hAnsi="Times New Roman" w:cs="Times New Roman"/>
                <w:noProof/>
                <w:color w:val="000000"/>
                <w:sz w:val="13"/>
                <w:szCs w:val="13"/>
                <w:lang w:eastAsia="sk-SK"/>
              </w:rPr>
              <w:t>0</w:t>
            </w:r>
          </w:p>
        </w:tc>
        <w:tc>
          <w:tcPr>
            <w:tcW w:w="539" w:type="pct"/>
            <w:tcBorders>
              <w:top w:val="nil"/>
              <w:left w:val="nil"/>
              <w:bottom w:val="single" w:sz="4" w:space="0" w:color="auto"/>
              <w:right w:val="single" w:sz="4" w:space="0" w:color="auto"/>
            </w:tcBorders>
            <w:shd w:val="clear" w:color="auto" w:fill="auto"/>
            <w:vAlign w:val="bottom"/>
          </w:tcPr>
          <w:p w:rsidR="007D13F3" w:rsidRPr="00E15BFE" w:rsidRDefault="007D13F3" w:rsidP="00465CAC">
            <w:pPr>
              <w:jc w:val="right"/>
              <w:rPr>
                <w:rFonts w:ascii="Times New Roman" w:hAnsi="Times New Roman" w:cs="Times New Roman"/>
                <w:noProof/>
                <w:color w:val="000000"/>
                <w:sz w:val="13"/>
                <w:szCs w:val="13"/>
                <w:lang w:eastAsia="sk-SK"/>
              </w:rPr>
            </w:pPr>
            <w:r w:rsidRPr="00E15BFE">
              <w:rPr>
                <w:rFonts w:ascii="Times New Roman" w:hAnsi="Times New Roman" w:cs="Times New Roman"/>
                <w:noProof/>
                <w:color w:val="000000"/>
                <w:sz w:val="13"/>
                <w:szCs w:val="13"/>
                <w:lang w:eastAsia="sk-SK"/>
              </w:rPr>
              <w:t>0</w:t>
            </w:r>
          </w:p>
        </w:tc>
      </w:tr>
      <w:tr w:rsidR="007D13F3" w:rsidRPr="00A820EE"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tcPr>
          <w:p w:rsidR="007D13F3" w:rsidRPr="00C75F6A" w:rsidRDefault="007D13F3" w:rsidP="00A870F8">
            <w:pPr>
              <w:rPr>
                <w:rFonts w:ascii="Times New Roman" w:hAnsi="Times New Roman" w:cs="Times New Roman"/>
                <w:sz w:val="14"/>
                <w:szCs w:val="14"/>
                <w:lang w:eastAsia="sk-SK"/>
              </w:rPr>
            </w:pPr>
            <w:r w:rsidRPr="00C75F6A">
              <w:rPr>
                <w:rFonts w:ascii="Times New Roman" w:hAnsi="Times New Roman" w:cs="Times New Roman"/>
                <w:sz w:val="14"/>
                <w:szCs w:val="14"/>
                <w:lang w:eastAsia="sk-SK"/>
              </w:rPr>
              <w:t>3. programov</w:t>
            </w:r>
            <w:r w:rsidR="00A870F8">
              <w:rPr>
                <w:rFonts w:ascii="Times New Roman" w:hAnsi="Times New Roman" w:cs="Times New Roman"/>
                <w:sz w:val="14"/>
                <w:szCs w:val="14"/>
                <w:lang w:eastAsia="sk-SK"/>
              </w:rPr>
              <w:t>é</w:t>
            </w:r>
            <w:r w:rsidRPr="00C75F6A">
              <w:rPr>
                <w:rFonts w:ascii="Times New Roman" w:hAnsi="Times New Roman" w:cs="Times New Roman"/>
                <w:sz w:val="14"/>
                <w:szCs w:val="14"/>
                <w:lang w:eastAsia="sk-SK"/>
              </w:rPr>
              <w:t xml:space="preserve"> obdobie</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36 072 237</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sidRPr="00C75F6A">
              <w:rPr>
                <w:rFonts w:ascii="Times New Roman" w:hAnsi="Times New Roman" w:cs="Times New Roman"/>
                <w:noProof/>
                <w:color w:val="000000"/>
                <w:sz w:val="13"/>
                <w:szCs w:val="13"/>
                <w:lang w:eastAsia="sk-SK"/>
              </w:rPr>
              <w:t>60 590 495</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Pr>
                <w:rFonts w:ascii="Times New Roman" w:hAnsi="Times New Roman" w:cs="Times New Roman"/>
                <w:noProof/>
                <w:color w:val="000000"/>
                <w:sz w:val="13"/>
                <w:szCs w:val="13"/>
                <w:lang w:eastAsia="sk-SK"/>
              </w:rPr>
              <w:t>194 921 535</w:t>
            </w:r>
          </w:p>
        </w:tc>
        <w:tc>
          <w:tcPr>
            <w:tcW w:w="506" w:type="pct"/>
            <w:tcBorders>
              <w:top w:val="nil"/>
              <w:left w:val="nil"/>
              <w:bottom w:val="single" w:sz="4" w:space="0" w:color="auto"/>
              <w:right w:val="single" w:sz="4" w:space="0" w:color="auto"/>
            </w:tcBorders>
            <w:shd w:val="clear" w:color="auto" w:fill="auto"/>
            <w:vAlign w:val="bottom"/>
          </w:tcPr>
          <w:p w:rsidR="007D13F3" w:rsidRPr="00A820EE" w:rsidRDefault="007D13F3" w:rsidP="00465CAC">
            <w:pPr>
              <w:jc w:val="right"/>
              <w:rPr>
                <w:rFonts w:ascii="Times New Roman" w:hAnsi="Times New Roman" w:cs="Times New Roman"/>
                <w:noProof/>
                <w:color w:val="000000"/>
                <w:sz w:val="13"/>
                <w:szCs w:val="13"/>
                <w:lang w:eastAsia="sk-SK"/>
              </w:rPr>
            </w:pPr>
            <w:r>
              <w:rPr>
                <w:rFonts w:ascii="Times New Roman" w:hAnsi="Times New Roman" w:cs="Times New Roman"/>
                <w:noProof/>
                <w:color w:val="000000"/>
                <w:sz w:val="13"/>
                <w:szCs w:val="13"/>
                <w:lang w:eastAsia="sk-SK"/>
              </w:rPr>
              <w:t>30 540 038</w:t>
            </w:r>
          </w:p>
        </w:tc>
        <w:tc>
          <w:tcPr>
            <w:tcW w:w="506" w:type="pct"/>
            <w:tcBorders>
              <w:top w:val="nil"/>
              <w:left w:val="nil"/>
              <w:bottom w:val="single" w:sz="4" w:space="0" w:color="auto"/>
              <w:right w:val="single" w:sz="4" w:space="0" w:color="auto"/>
            </w:tcBorders>
            <w:shd w:val="clear" w:color="auto" w:fill="auto"/>
            <w:vAlign w:val="bottom"/>
          </w:tcPr>
          <w:p w:rsidR="007D13F3" w:rsidRPr="00A820EE" w:rsidRDefault="007D13F3" w:rsidP="00465CAC">
            <w:pPr>
              <w:jc w:val="right"/>
              <w:rPr>
                <w:rFonts w:ascii="Times New Roman" w:hAnsi="Times New Roman" w:cs="Times New Roman"/>
                <w:noProof/>
                <w:color w:val="000000"/>
                <w:sz w:val="13"/>
                <w:szCs w:val="13"/>
                <w:lang w:eastAsia="sk-SK"/>
              </w:rPr>
            </w:pPr>
            <w:r w:rsidRPr="00A820EE">
              <w:rPr>
                <w:rFonts w:ascii="Times New Roman" w:hAnsi="Times New Roman" w:cs="Times New Roman"/>
                <w:noProof/>
                <w:color w:val="000000"/>
                <w:sz w:val="13"/>
                <w:szCs w:val="13"/>
                <w:lang w:eastAsia="sk-SK"/>
              </w:rPr>
              <w:t>114 371 730</w:t>
            </w:r>
          </w:p>
        </w:tc>
        <w:tc>
          <w:tcPr>
            <w:tcW w:w="539" w:type="pct"/>
            <w:tcBorders>
              <w:top w:val="nil"/>
              <w:left w:val="nil"/>
              <w:bottom w:val="single" w:sz="4" w:space="0" w:color="auto"/>
              <w:right w:val="single" w:sz="4" w:space="0" w:color="auto"/>
            </w:tcBorders>
            <w:shd w:val="clear" w:color="auto" w:fill="auto"/>
            <w:vAlign w:val="bottom"/>
          </w:tcPr>
          <w:p w:rsidR="007D13F3" w:rsidRPr="00A820EE" w:rsidRDefault="007D13F3" w:rsidP="00465CAC">
            <w:pPr>
              <w:jc w:val="right"/>
              <w:rPr>
                <w:rFonts w:ascii="Times New Roman" w:hAnsi="Times New Roman" w:cs="Times New Roman"/>
                <w:noProof/>
                <w:color w:val="000000"/>
                <w:sz w:val="13"/>
                <w:szCs w:val="13"/>
                <w:lang w:eastAsia="sk-SK"/>
              </w:rPr>
            </w:pPr>
            <w:r w:rsidRPr="00A820EE">
              <w:rPr>
                <w:rFonts w:ascii="Times New Roman" w:hAnsi="Times New Roman" w:cs="Times New Roman"/>
                <w:noProof/>
                <w:color w:val="000000"/>
                <w:sz w:val="13"/>
                <w:szCs w:val="13"/>
                <w:lang w:eastAsia="sk-SK"/>
              </w:rPr>
              <w:t>137 096 414</w:t>
            </w:r>
          </w:p>
        </w:tc>
      </w:tr>
      <w:tr w:rsidR="007D13F3" w:rsidRPr="008A13AB"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tcPr>
          <w:p w:rsidR="007D13F3" w:rsidRPr="00C75F6A" w:rsidRDefault="007D13F3" w:rsidP="00465CAC">
            <w:pPr>
              <w:rPr>
                <w:rFonts w:ascii="Times New Roman" w:hAnsi="Times New Roman" w:cs="Times New Roman"/>
                <w:sz w:val="14"/>
                <w:szCs w:val="14"/>
                <w:lang w:eastAsia="sk-SK"/>
              </w:rPr>
            </w:pPr>
            <w:r w:rsidRPr="00C75F6A">
              <w:rPr>
                <w:rFonts w:ascii="Times New Roman" w:hAnsi="Times New Roman" w:cs="Times New Roman"/>
                <w:sz w:val="14"/>
                <w:szCs w:val="14"/>
                <w:lang w:eastAsia="sk-SK"/>
              </w:rPr>
              <w:t xml:space="preserve">               v tom: EÚ</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29 347 563</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sidRPr="00C75F6A">
              <w:rPr>
                <w:rFonts w:ascii="Times New Roman" w:hAnsi="Times New Roman" w:cs="Times New Roman"/>
                <w:noProof/>
                <w:color w:val="000000"/>
                <w:sz w:val="13"/>
                <w:szCs w:val="13"/>
                <w:lang w:eastAsia="sk-SK"/>
              </w:rPr>
              <w:t>50 735 372</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4C0DD4">
              <w:rPr>
                <w:rFonts w:ascii="Times New Roman" w:hAnsi="Times New Roman" w:cs="Times New Roman"/>
                <w:noProof/>
                <w:color w:val="000000"/>
                <w:sz w:val="13"/>
                <w:szCs w:val="13"/>
                <w:lang w:eastAsia="sk-SK"/>
              </w:rPr>
              <w:t>163 512 820</w:t>
            </w:r>
          </w:p>
        </w:tc>
        <w:tc>
          <w:tcPr>
            <w:tcW w:w="506" w:type="pct"/>
            <w:tcBorders>
              <w:top w:val="nil"/>
              <w:left w:val="nil"/>
              <w:bottom w:val="single" w:sz="4" w:space="0" w:color="auto"/>
              <w:right w:val="single" w:sz="4" w:space="0" w:color="auto"/>
            </w:tcBorders>
            <w:shd w:val="clear" w:color="auto" w:fill="auto"/>
            <w:vAlign w:val="bottom"/>
          </w:tcPr>
          <w:p w:rsidR="007D13F3" w:rsidRPr="00B94A2C" w:rsidRDefault="007D13F3" w:rsidP="00465CAC">
            <w:pPr>
              <w:jc w:val="right"/>
              <w:rPr>
                <w:rFonts w:ascii="Times New Roman" w:hAnsi="Times New Roman" w:cs="Times New Roman"/>
                <w:noProof/>
                <w:color w:val="000000"/>
                <w:sz w:val="13"/>
                <w:szCs w:val="13"/>
                <w:highlight w:val="yellow"/>
                <w:lang w:eastAsia="sk-SK"/>
              </w:rPr>
            </w:pPr>
            <w:r w:rsidRPr="00EC27BB">
              <w:rPr>
                <w:rFonts w:ascii="Times New Roman" w:hAnsi="Times New Roman" w:cs="Times New Roman"/>
                <w:noProof/>
                <w:color w:val="000000"/>
                <w:sz w:val="13"/>
                <w:szCs w:val="13"/>
                <w:lang w:eastAsia="sk-SK"/>
              </w:rPr>
              <w:t>28 832 292</w:t>
            </w:r>
          </w:p>
        </w:tc>
        <w:tc>
          <w:tcPr>
            <w:tcW w:w="506" w:type="pct"/>
            <w:tcBorders>
              <w:top w:val="nil"/>
              <w:left w:val="nil"/>
              <w:bottom w:val="single" w:sz="4" w:space="0" w:color="auto"/>
              <w:right w:val="single" w:sz="4" w:space="0" w:color="auto"/>
            </w:tcBorders>
            <w:shd w:val="clear" w:color="auto" w:fill="auto"/>
            <w:vAlign w:val="bottom"/>
          </w:tcPr>
          <w:p w:rsidR="007D13F3" w:rsidRPr="008A13AB" w:rsidRDefault="007D13F3" w:rsidP="00465CAC">
            <w:pPr>
              <w:jc w:val="right"/>
              <w:rPr>
                <w:rFonts w:ascii="Times New Roman" w:hAnsi="Times New Roman" w:cs="Times New Roman"/>
                <w:noProof/>
                <w:color w:val="000000"/>
                <w:sz w:val="13"/>
                <w:szCs w:val="13"/>
                <w:lang w:eastAsia="sk-SK"/>
              </w:rPr>
            </w:pPr>
            <w:r w:rsidRPr="008A13AB">
              <w:rPr>
                <w:rFonts w:ascii="Times New Roman" w:hAnsi="Times New Roman" w:cs="Times New Roman"/>
                <w:noProof/>
                <w:color w:val="000000"/>
                <w:sz w:val="13"/>
                <w:szCs w:val="13"/>
                <w:lang w:eastAsia="sk-SK"/>
              </w:rPr>
              <w:t>99 424 052</w:t>
            </w:r>
          </w:p>
        </w:tc>
        <w:tc>
          <w:tcPr>
            <w:tcW w:w="539" w:type="pct"/>
            <w:tcBorders>
              <w:top w:val="nil"/>
              <w:left w:val="nil"/>
              <w:bottom w:val="single" w:sz="4" w:space="0" w:color="auto"/>
              <w:right w:val="single" w:sz="4" w:space="0" w:color="auto"/>
            </w:tcBorders>
            <w:shd w:val="clear" w:color="auto" w:fill="auto"/>
            <w:vAlign w:val="bottom"/>
          </w:tcPr>
          <w:p w:rsidR="007D13F3" w:rsidRPr="008A13AB" w:rsidRDefault="007D13F3" w:rsidP="00465CAC">
            <w:pPr>
              <w:jc w:val="right"/>
              <w:rPr>
                <w:rFonts w:ascii="Times New Roman" w:hAnsi="Times New Roman" w:cs="Times New Roman"/>
                <w:noProof/>
                <w:color w:val="000000"/>
                <w:sz w:val="13"/>
                <w:szCs w:val="13"/>
                <w:lang w:eastAsia="sk-SK"/>
              </w:rPr>
            </w:pPr>
            <w:r w:rsidRPr="008A13AB">
              <w:rPr>
                <w:rFonts w:ascii="Times New Roman" w:hAnsi="Times New Roman" w:cs="Times New Roman"/>
                <w:noProof/>
                <w:color w:val="000000"/>
                <w:sz w:val="13"/>
                <w:szCs w:val="13"/>
                <w:lang w:eastAsia="sk-SK"/>
              </w:rPr>
              <w:t>118 243 095</w:t>
            </w:r>
          </w:p>
        </w:tc>
      </w:tr>
      <w:tr w:rsidR="007D13F3" w:rsidRPr="008A13AB"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tcPr>
          <w:p w:rsidR="007D13F3" w:rsidRPr="00C75F6A" w:rsidRDefault="007D13F3" w:rsidP="00465CAC">
            <w:pPr>
              <w:rPr>
                <w:rFonts w:ascii="Times New Roman" w:hAnsi="Times New Roman" w:cs="Times New Roman"/>
                <w:sz w:val="14"/>
                <w:szCs w:val="14"/>
                <w:lang w:eastAsia="sk-SK"/>
              </w:rPr>
            </w:pPr>
            <w:r w:rsidRPr="00C75F6A">
              <w:rPr>
                <w:rFonts w:ascii="Times New Roman" w:hAnsi="Times New Roman" w:cs="Times New Roman"/>
                <w:sz w:val="14"/>
                <w:szCs w:val="14"/>
                <w:lang w:eastAsia="sk-SK"/>
              </w:rPr>
              <w:t xml:space="preserve">                           spolufinancovanie zo ŠR</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6 724 674</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sidRPr="00C75F6A">
              <w:rPr>
                <w:rFonts w:ascii="Times New Roman" w:hAnsi="Times New Roman" w:cs="Times New Roman"/>
                <w:noProof/>
                <w:color w:val="000000"/>
                <w:sz w:val="13"/>
                <w:szCs w:val="13"/>
                <w:lang w:eastAsia="sk-SK"/>
              </w:rPr>
              <w:t>9 855 123</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C75F6A" w:rsidRDefault="007D13F3" w:rsidP="00465CAC">
            <w:pPr>
              <w:jc w:val="right"/>
              <w:rPr>
                <w:rFonts w:ascii="Times New Roman" w:hAnsi="Times New Roman" w:cs="Times New Roman"/>
                <w:noProof/>
                <w:color w:val="000000"/>
                <w:sz w:val="13"/>
                <w:szCs w:val="13"/>
                <w:lang w:eastAsia="sk-SK"/>
              </w:rPr>
            </w:pPr>
            <w:r>
              <w:rPr>
                <w:rFonts w:ascii="Times New Roman" w:hAnsi="Times New Roman" w:cs="Times New Roman"/>
                <w:noProof/>
                <w:color w:val="000000"/>
                <w:sz w:val="13"/>
                <w:szCs w:val="13"/>
                <w:lang w:eastAsia="sk-SK"/>
              </w:rPr>
              <w:t>31 408 715</w:t>
            </w:r>
          </w:p>
        </w:tc>
        <w:tc>
          <w:tcPr>
            <w:tcW w:w="506" w:type="pct"/>
            <w:tcBorders>
              <w:top w:val="nil"/>
              <w:left w:val="nil"/>
              <w:bottom w:val="single" w:sz="4" w:space="0" w:color="auto"/>
              <w:right w:val="single" w:sz="4" w:space="0" w:color="auto"/>
            </w:tcBorders>
            <w:shd w:val="clear" w:color="auto" w:fill="auto"/>
            <w:vAlign w:val="bottom"/>
          </w:tcPr>
          <w:p w:rsidR="007D13F3" w:rsidRPr="00B94A2C" w:rsidRDefault="007D13F3" w:rsidP="00465CAC">
            <w:pPr>
              <w:jc w:val="right"/>
              <w:rPr>
                <w:rFonts w:ascii="Times New Roman" w:hAnsi="Times New Roman" w:cs="Times New Roman"/>
                <w:noProof/>
                <w:color w:val="000000"/>
                <w:sz w:val="13"/>
                <w:szCs w:val="13"/>
                <w:highlight w:val="yellow"/>
                <w:lang w:eastAsia="sk-SK"/>
              </w:rPr>
            </w:pPr>
            <w:r w:rsidRPr="008A13AB">
              <w:rPr>
                <w:rFonts w:ascii="Times New Roman" w:hAnsi="Times New Roman" w:cs="Times New Roman"/>
                <w:noProof/>
                <w:color w:val="000000"/>
                <w:sz w:val="13"/>
                <w:szCs w:val="13"/>
                <w:lang w:eastAsia="sk-SK"/>
              </w:rPr>
              <w:t>1 707 746</w:t>
            </w:r>
          </w:p>
        </w:tc>
        <w:tc>
          <w:tcPr>
            <w:tcW w:w="506" w:type="pct"/>
            <w:tcBorders>
              <w:top w:val="nil"/>
              <w:left w:val="nil"/>
              <w:bottom w:val="single" w:sz="4" w:space="0" w:color="auto"/>
              <w:right w:val="single" w:sz="4" w:space="0" w:color="auto"/>
            </w:tcBorders>
            <w:shd w:val="clear" w:color="auto" w:fill="auto"/>
            <w:vAlign w:val="bottom"/>
          </w:tcPr>
          <w:p w:rsidR="007D13F3" w:rsidRPr="008A13AB" w:rsidRDefault="007D13F3" w:rsidP="00465CAC">
            <w:pPr>
              <w:jc w:val="right"/>
              <w:rPr>
                <w:rFonts w:ascii="Times New Roman" w:hAnsi="Times New Roman" w:cs="Times New Roman"/>
                <w:noProof/>
                <w:color w:val="000000"/>
                <w:sz w:val="13"/>
                <w:szCs w:val="13"/>
                <w:lang w:eastAsia="sk-SK"/>
              </w:rPr>
            </w:pPr>
            <w:r w:rsidRPr="008A13AB">
              <w:rPr>
                <w:rFonts w:ascii="Times New Roman" w:hAnsi="Times New Roman" w:cs="Times New Roman"/>
                <w:noProof/>
                <w:color w:val="000000"/>
                <w:sz w:val="13"/>
                <w:szCs w:val="13"/>
                <w:lang w:eastAsia="sk-SK"/>
              </w:rPr>
              <w:t>14 947 678</w:t>
            </w:r>
          </w:p>
        </w:tc>
        <w:tc>
          <w:tcPr>
            <w:tcW w:w="539" w:type="pct"/>
            <w:tcBorders>
              <w:top w:val="nil"/>
              <w:left w:val="nil"/>
              <w:bottom w:val="single" w:sz="4" w:space="0" w:color="auto"/>
              <w:right w:val="single" w:sz="4" w:space="0" w:color="auto"/>
            </w:tcBorders>
            <w:shd w:val="clear" w:color="auto" w:fill="auto"/>
            <w:vAlign w:val="bottom"/>
          </w:tcPr>
          <w:p w:rsidR="007D13F3" w:rsidRPr="008A13AB" w:rsidRDefault="007D13F3" w:rsidP="00465CAC">
            <w:pPr>
              <w:jc w:val="right"/>
              <w:rPr>
                <w:rFonts w:ascii="Times New Roman" w:hAnsi="Times New Roman" w:cs="Times New Roman"/>
                <w:noProof/>
                <w:color w:val="000000"/>
                <w:sz w:val="13"/>
                <w:szCs w:val="13"/>
                <w:lang w:eastAsia="sk-SK"/>
              </w:rPr>
            </w:pPr>
            <w:r w:rsidRPr="008A13AB">
              <w:rPr>
                <w:rFonts w:ascii="Times New Roman" w:hAnsi="Times New Roman" w:cs="Times New Roman"/>
                <w:noProof/>
                <w:color w:val="000000"/>
                <w:sz w:val="13"/>
                <w:szCs w:val="13"/>
                <w:lang w:eastAsia="sk-SK"/>
              </w:rPr>
              <w:t>18 853 319</w:t>
            </w:r>
          </w:p>
        </w:tc>
      </w:tr>
      <w:tr w:rsidR="007D13F3" w:rsidRPr="00C75F6A"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5F6A" w:rsidRDefault="007D13F3" w:rsidP="00465CAC">
            <w:pPr>
              <w:rPr>
                <w:rFonts w:ascii="Times New Roman" w:hAnsi="Times New Roman" w:cs="Times New Roman"/>
                <w:sz w:val="14"/>
                <w:szCs w:val="14"/>
                <w:lang w:eastAsia="sk-SK"/>
              </w:rPr>
            </w:pPr>
            <w:r w:rsidRPr="00C75F6A">
              <w:rPr>
                <w:rFonts w:ascii="Times New Roman" w:hAnsi="Times New Roman" w:cs="Times New Roman"/>
                <w:sz w:val="14"/>
                <w:szCs w:val="14"/>
                <w:lang w:eastAsia="sk-SK"/>
              </w:rPr>
              <w:t>presun z minulých rokov §</w:t>
            </w:r>
            <w:r w:rsidR="00A870F8">
              <w:rPr>
                <w:rFonts w:ascii="Times New Roman" w:hAnsi="Times New Roman" w:cs="Times New Roman"/>
                <w:sz w:val="14"/>
                <w:szCs w:val="14"/>
                <w:lang w:eastAsia="sk-SK"/>
              </w:rPr>
              <w:t xml:space="preserve"> </w:t>
            </w:r>
            <w:r w:rsidRPr="00C75F6A">
              <w:rPr>
                <w:rFonts w:ascii="Times New Roman" w:hAnsi="Times New Roman" w:cs="Times New Roman"/>
                <w:sz w:val="14"/>
                <w:szCs w:val="14"/>
                <w:lang w:eastAsia="sk-SK"/>
              </w:rPr>
              <w:t>8</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102 439 360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224 298 384</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sidRPr="004C0DD4">
              <w:rPr>
                <w:rFonts w:ascii="Times New Roman" w:hAnsi="Times New Roman" w:cs="Times New Roman"/>
                <w:noProof/>
                <w:color w:val="000000"/>
                <w:sz w:val="13"/>
                <w:szCs w:val="13"/>
                <w:lang w:eastAsia="sk-SK"/>
              </w:rPr>
              <w:t>49 186 189</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39"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r>
      <w:tr w:rsidR="007D13F3" w:rsidRPr="00C75F6A"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5F6A" w:rsidRDefault="007D13F3" w:rsidP="00465CAC">
            <w:pPr>
              <w:rPr>
                <w:rFonts w:ascii="Times New Roman" w:hAnsi="Times New Roman" w:cs="Times New Roman"/>
                <w:color w:val="000000"/>
                <w:sz w:val="14"/>
                <w:szCs w:val="14"/>
                <w:lang w:eastAsia="sk-SK"/>
              </w:rPr>
            </w:pPr>
            <w:r w:rsidRPr="00C75F6A">
              <w:rPr>
                <w:rFonts w:ascii="Times New Roman" w:hAnsi="Times New Roman" w:cs="Times New Roman"/>
                <w:color w:val="000000"/>
                <w:sz w:val="14"/>
                <w:szCs w:val="14"/>
                <w:lang w:eastAsia="sk-SK"/>
              </w:rPr>
              <w:t xml:space="preserve">               v tom: štátny rozpočet</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25 801 844</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125 358 760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C75F6A" w:rsidRDefault="007D13F3" w:rsidP="00465CAC">
            <w:pPr>
              <w:jc w:val="right"/>
              <w:rPr>
                <w:rFonts w:ascii="Times New Roman" w:hAnsi="Times New Roman" w:cs="Times New Roman"/>
                <w:noProof/>
                <w:color w:val="000000"/>
                <w:sz w:val="13"/>
                <w:szCs w:val="13"/>
                <w:highlight w:val="yellow"/>
                <w:lang w:eastAsia="sk-SK"/>
              </w:rPr>
            </w:pPr>
            <w:r w:rsidRPr="004C0DD4">
              <w:rPr>
                <w:rFonts w:ascii="Times New Roman" w:hAnsi="Times New Roman" w:cs="Times New Roman"/>
                <w:noProof/>
                <w:color w:val="000000"/>
                <w:sz w:val="13"/>
                <w:szCs w:val="13"/>
                <w:lang w:eastAsia="sk-SK"/>
              </w:rPr>
              <w:t>49 186 189</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39"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r>
      <w:tr w:rsidR="007D13F3" w:rsidRPr="00C75F6A"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5F6A" w:rsidRDefault="007D13F3" w:rsidP="00465CAC">
            <w:pPr>
              <w:rPr>
                <w:rFonts w:ascii="Times New Roman" w:hAnsi="Times New Roman" w:cs="Times New Roman"/>
                <w:sz w:val="14"/>
                <w:szCs w:val="14"/>
                <w:lang w:eastAsia="sk-SK"/>
              </w:rPr>
            </w:pPr>
            <w:r w:rsidRPr="00C75F6A">
              <w:rPr>
                <w:rFonts w:ascii="Times New Roman" w:hAnsi="Times New Roman" w:cs="Times New Roman"/>
                <w:sz w:val="14"/>
                <w:szCs w:val="14"/>
                <w:lang w:eastAsia="sk-SK"/>
              </w:rPr>
              <w:t xml:space="preserve">                          EÚ prostriedky</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62 927 029</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93 770 186</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39"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r>
      <w:tr w:rsidR="007D13F3" w:rsidRPr="00C75F6A"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5F6A" w:rsidRDefault="007D13F3" w:rsidP="00465CAC">
            <w:pPr>
              <w:rPr>
                <w:rFonts w:ascii="Times New Roman" w:hAnsi="Times New Roman" w:cs="Times New Roman"/>
                <w:sz w:val="14"/>
                <w:szCs w:val="14"/>
                <w:lang w:eastAsia="sk-SK"/>
              </w:rPr>
            </w:pPr>
            <w:r w:rsidRPr="00C75F6A">
              <w:rPr>
                <w:rFonts w:ascii="Times New Roman" w:hAnsi="Times New Roman" w:cs="Times New Roman"/>
                <w:sz w:val="14"/>
                <w:szCs w:val="14"/>
                <w:lang w:eastAsia="sk-SK"/>
              </w:rPr>
              <w:t xml:space="preserve">                          spolufinancovanie zo ŠR</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13 710 487</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5 169 438</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c>
          <w:tcPr>
            <w:tcW w:w="539"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noProof/>
                <w:color w:val="000000"/>
                <w:sz w:val="13"/>
                <w:szCs w:val="13"/>
                <w:lang w:eastAsia="sk-SK"/>
              </w:rPr>
            </w:pPr>
            <w:r w:rsidRPr="00C75F6A">
              <w:rPr>
                <w:rFonts w:ascii="Times New Roman" w:hAnsi="Times New Roman" w:cs="Times New Roman"/>
                <w:noProof/>
                <w:color w:val="000000"/>
                <w:sz w:val="13"/>
                <w:szCs w:val="13"/>
                <w:lang w:eastAsia="sk-SK"/>
              </w:rPr>
              <w:t>0</w:t>
            </w:r>
          </w:p>
        </w:tc>
      </w:tr>
      <w:tr w:rsidR="007D13F3" w:rsidRPr="00C75F6A" w:rsidTr="00465CAC">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tcPr>
          <w:p w:rsidR="007D13F3" w:rsidRPr="00C75F6A" w:rsidRDefault="007D13F3" w:rsidP="00465CAC">
            <w:pPr>
              <w:rPr>
                <w:rFonts w:ascii="Times New Roman" w:hAnsi="Times New Roman" w:cs="Times New Roman"/>
                <w:b/>
                <w:sz w:val="14"/>
                <w:szCs w:val="14"/>
                <w:lang w:eastAsia="sk-SK"/>
              </w:rPr>
            </w:pPr>
            <w:r w:rsidRPr="00EC7E82">
              <w:rPr>
                <w:rFonts w:ascii="Times New Roman" w:hAnsi="Times New Roman" w:cs="Times New Roman"/>
                <w:b/>
                <w:sz w:val="14"/>
                <w:szCs w:val="14"/>
                <w:lang w:eastAsia="sk-SK"/>
              </w:rPr>
              <w:t>zdroj 72</w:t>
            </w:r>
            <w:r>
              <w:rPr>
                <w:rFonts w:ascii="Times New Roman" w:hAnsi="Times New Roman" w:cs="Times New Roman"/>
                <w:b/>
                <w:sz w:val="14"/>
                <w:szCs w:val="14"/>
                <w:lang w:eastAsia="sk-SK"/>
              </w:rPr>
              <w:t>d,</w:t>
            </w:r>
            <w:r w:rsidRPr="00EC7E82">
              <w:rPr>
                <w:rFonts w:ascii="Times New Roman" w:hAnsi="Times New Roman" w:cs="Times New Roman"/>
                <w:b/>
                <w:sz w:val="14"/>
                <w:szCs w:val="14"/>
                <w:lang w:eastAsia="sk-SK"/>
              </w:rPr>
              <w:t>e*</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b/>
                <w:noProof/>
                <w:color w:val="000000"/>
                <w:sz w:val="13"/>
                <w:szCs w:val="13"/>
                <w:lang w:eastAsia="sk-SK"/>
              </w:rPr>
            </w:pPr>
            <w:r w:rsidRPr="00C75F6A">
              <w:rPr>
                <w:rFonts w:ascii="Times New Roman" w:hAnsi="Times New Roman" w:cs="Times New Roman"/>
                <w:b/>
                <w:noProof/>
                <w:color w:val="000000"/>
                <w:sz w:val="13"/>
                <w:szCs w:val="13"/>
                <w:lang w:eastAsia="sk-SK"/>
              </w:rPr>
              <w:t>88 361 100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jc w:val="right"/>
              <w:rPr>
                <w:rFonts w:ascii="Times New Roman" w:hAnsi="Times New Roman" w:cs="Times New Roman"/>
                <w:b/>
                <w:noProof/>
                <w:color w:val="000000"/>
                <w:sz w:val="13"/>
                <w:szCs w:val="13"/>
                <w:lang w:eastAsia="sk-SK"/>
              </w:rPr>
            </w:pPr>
            <w:r w:rsidRPr="00C75F6A">
              <w:rPr>
                <w:rFonts w:ascii="Times New Roman" w:hAnsi="Times New Roman" w:cs="Times New Roman"/>
                <w:b/>
                <w:noProof/>
                <w:color w:val="000000"/>
                <w:sz w:val="13"/>
                <w:szCs w:val="13"/>
                <w:lang w:eastAsia="sk-SK"/>
              </w:rPr>
              <w:t>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autoSpaceDE w:val="0"/>
              <w:autoSpaceDN w:val="0"/>
              <w:adjustRightInd w:val="0"/>
              <w:jc w:val="right"/>
              <w:rPr>
                <w:rFonts w:ascii="Times New Roman" w:hAnsi="Times New Roman" w:cs="Times New Roman"/>
                <w:b/>
                <w:sz w:val="13"/>
                <w:szCs w:val="13"/>
                <w:lang w:eastAsia="sk-SK"/>
              </w:rPr>
            </w:pPr>
            <w:r w:rsidRPr="00C75F6A">
              <w:rPr>
                <w:rFonts w:ascii="Times New Roman" w:hAnsi="Times New Roman" w:cs="Times New Roman"/>
                <w:b/>
                <w:sz w:val="13"/>
                <w:szCs w:val="13"/>
                <w:lang w:eastAsia="sk-SK"/>
              </w:rPr>
              <w:t>0</w:t>
            </w:r>
          </w:p>
        </w:tc>
        <w:tc>
          <w:tcPr>
            <w:tcW w:w="506" w:type="pct"/>
            <w:tcBorders>
              <w:top w:val="nil"/>
              <w:left w:val="nil"/>
              <w:bottom w:val="single" w:sz="4" w:space="0" w:color="auto"/>
              <w:right w:val="single" w:sz="4" w:space="0" w:color="auto"/>
            </w:tcBorders>
            <w:shd w:val="clear" w:color="auto" w:fill="FFFFFF" w:themeFill="background1"/>
            <w:vAlign w:val="bottom"/>
          </w:tcPr>
          <w:p w:rsidR="007D13F3" w:rsidRPr="00C75F6A" w:rsidRDefault="007D13F3" w:rsidP="00465CAC">
            <w:pPr>
              <w:autoSpaceDE w:val="0"/>
              <w:autoSpaceDN w:val="0"/>
              <w:adjustRightInd w:val="0"/>
              <w:jc w:val="right"/>
              <w:rPr>
                <w:rFonts w:ascii="Times New Roman" w:hAnsi="Times New Roman" w:cs="Times New Roman"/>
                <w:b/>
                <w:sz w:val="13"/>
                <w:szCs w:val="13"/>
                <w:lang w:eastAsia="sk-SK"/>
              </w:rPr>
            </w:pPr>
            <w:r w:rsidRPr="00C75F6A">
              <w:rPr>
                <w:rFonts w:ascii="Times New Roman" w:hAnsi="Times New Roman" w:cs="Times New Roman"/>
                <w:b/>
                <w:sz w:val="13"/>
                <w:szCs w:val="13"/>
                <w:lang w:eastAsia="sk-SK"/>
              </w:rPr>
              <w:t>0</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autoSpaceDE w:val="0"/>
              <w:autoSpaceDN w:val="0"/>
              <w:adjustRightInd w:val="0"/>
              <w:jc w:val="right"/>
              <w:rPr>
                <w:rFonts w:ascii="Times New Roman" w:hAnsi="Times New Roman" w:cs="Times New Roman"/>
                <w:b/>
                <w:sz w:val="13"/>
                <w:szCs w:val="13"/>
                <w:highlight w:val="yellow"/>
                <w:lang w:eastAsia="sk-SK"/>
              </w:rPr>
            </w:pPr>
            <w:r w:rsidRPr="00C75F6A">
              <w:rPr>
                <w:rFonts w:ascii="Times New Roman" w:hAnsi="Times New Roman" w:cs="Times New Roman"/>
                <w:b/>
                <w:sz w:val="13"/>
                <w:szCs w:val="13"/>
                <w:lang w:eastAsia="sk-SK"/>
              </w:rPr>
              <w:t>2 019 291</w:t>
            </w:r>
          </w:p>
        </w:tc>
        <w:tc>
          <w:tcPr>
            <w:tcW w:w="506"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autoSpaceDE w:val="0"/>
              <w:autoSpaceDN w:val="0"/>
              <w:adjustRightInd w:val="0"/>
              <w:jc w:val="right"/>
              <w:rPr>
                <w:rFonts w:ascii="Times New Roman" w:hAnsi="Times New Roman" w:cs="Times New Roman"/>
                <w:b/>
                <w:sz w:val="13"/>
                <w:szCs w:val="13"/>
                <w:highlight w:val="yellow"/>
                <w:lang w:eastAsia="sk-SK"/>
              </w:rPr>
            </w:pPr>
            <w:r w:rsidRPr="00C75F6A">
              <w:rPr>
                <w:rFonts w:ascii="Times New Roman" w:hAnsi="Times New Roman" w:cs="Times New Roman"/>
                <w:b/>
                <w:sz w:val="13"/>
                <w:szCs w:val="13"/>
                <w:lang w:eastAsia="sk-SK"/>
              </w:rPr>
              <w:t xml:space="preserve">2 019 </w:t>
            </w:r>
            <w:r>
              <w:rPr>
                <w:rFonts w:ascii="Times New Roman" w:hAnsi="Times New Roman" w:cs="Times New Roman"/>
                <w:b/>
                <w:sz w:val="13"/>
                <w:szCs w:val="13"/>
                <w:lang w:eastAsia="sk-SK"/>
              </w:rPr>
              <w:t>9</w:t>
            </w:r>
            <w:r w:rsidRPr="00C75F6A">
              <w:rPr>
                <w:rFonts w:ascii="Times New Roman" w:hAnsi="Times New Roman" w:cs="Times New Roman"/>
                <w:b/>
                <w:sz w:val="13"/>
                <w:szCs w:val="13"/>
                <w:lang w:eastAsia="sk-SK"/>
              </w:rPr>
              <w:t>1</w:t>
            </w:r>
            <w:r>
              <w:rPr>
                <w:rFonts w:ascii="Times New Roman" w:hAnsi="Times New Roman" w:cs="Times New Roman"/>
                <w:b/>
                <w:sz w:val="13"/>
                <w:szCs w:val="13"/>
                <w:lang w:eastAsia="sk-SK"/>
              </w:rPr>
              <w:t>3</w:t>
            </w:r>
          </w:p>
        </w:tc>
        <w:tc>
          <w:tcPr>
            <w:tcW w:w="539" w:type="pct"/>
            <w:tcBorders>
              <w:top w:val="nil"/>
              <w:left w:val="nil"/>
              <w:bottom w:val="single" w:sz="4" w:space="0" w:color="auto"/>
              <w:right w:val="single" w:sz="4" w:space="0" w:color="auto"/>
            </w:tcBorders>
            <w:shd w:val="clear" w:color="auto" w:fill="auto"/>
            <w:vAlign w:val="bottom"/>
          </w:tcPr>
          <w:p w:rsidR="007D13F3" w:rsidRPr="00C75F6A" w:rsidRDefault="007D13F3" w:rsidP="00465CAC">
            <w:pPr>
              <w:autoSpaceDE w:val="0"/>
              <w:autoSpaceDN w:val="0"/>
              <w:adjustRightInd w:val="0"/>
              <w:jc w:val="right"/>
              <w:rPr>
                <w:rFonts w:ascii="Times New Roman" w:hAnsi="Times New Roman" w:cs="Times New Roman"/>
                <w:b/>
                <w:sz w:val="13"/>
                <w:szCs w:val="13"/>
                <w:highlight w:val="yellow"/>
                <w:lang w:eastAsia="sk-SK"/>
              </w:rPr>
            </w:pPr>
            <w:r w:rsidRPr="00C75F6A">
              <w:rPr>
                <w:rFonts w:ascii="Times New Roman" w:hAnsi="Times New Roman" w:cs="Times New Roman"/>
                <w:b/>
                <w:sz w:val="13"/>
                <w:szCs w:val="13"/>
                <w:lang w:eastAsia="sk-SK"/>
              </w:rPr>
              <w:t>2 0</w:t>
            </w:r>
            <w:r>
              <w:rPr>
                <w:rFonts w:ascii="Times New Roman" w:hAnsi="Times New Roman" w:cs="Times New Roman"/>
                <w:b/>
                <w:sz w:val="13"/>
                <w:szCs w:val="13"/>
                <w:lang w:eastAsia="sk-SK"/>
              </w:rPr>
              <w:t>20</w:t>
            </w:r>
            <w:r w:rsidRPr="00C75F6A">
              <w:rPr>
                <w:rFonts w:ascii="Times New Roman" w:hAnsi="Times New Roman" w:cs="Times New Roman"/>
                <w:b/>
                <w:sz w:val="13"/>
                <w:szCs w:val="13"/>
                <w:lang w:eastAsia="sk-SK"/>
              </w:rPr>
              <w:t xml:space="preserve"> </w:t>
            </w:r>
            <w:r>
              <w:rPr>
                <w:rFonts w:ascii="Times New Roman" w:hAnsi="Times New Roman" w:cs="Times New Roman"/>
                <w:b/>
                <w:sz w:val="13"/>
                <w:szCs w:val="13"/>
                <w:lang w:eastAsia="sk-SK"/>
              </w:rPr>
              <w:t>520</w:t>
            </w:r>
          </w:p>
        </w:tc>
      </w:tr>
    </w:tbl>
    <w:p w:rsidR="007D13F3" w:rsidRDefault="007D13F3" w:rsidP="007D13F3">
      <w:pPr>
        <w:autoSpaceDE w:val="0"/>
        <w:autoSpaceDN w:val="0"/>
        <w:jc w:val="both"/>
        <w:rPr>
          <w:rFonts w:ascii="Times New Roman" w:hAnsi="Times New Roman" w:cs="Times New Roman"/>
          <w:color w:val="000000"/>
          <w:sz w:val="14"/>
          <w:szCs w:val="14"/>
          <w:lang w:eastAsia="sk-SK"/>
        </w:rPr>
      </w:pPr>
      <w:r w:rsidRPr="00522325">
        <w:rPr>
          <w:rFonts w:ascii="Times New Roman" w:hAnsi="Times New Roman" w:cs="Times New Roman"/>
          <w:color w:val="000000"/>
          <w:sz w:val="14"/>
          <w:szCs w:val="14"/>
          <w:lang w:eastAsia="sk-SK"/>
        </w:rPr>
        <w:t>*</w:t>
      </w:r>
      <w:r>
        <w:rPr>
          <w:rFonts w:ascii="Times New Roman" w:hAnsi="Times New Roman" w:cs="Times New Roman"/>
          <w:color w:val="000000"/>
          <w:sz w:val="14"/>
          <w:szCs w:val="14"/>
          <w:lang w:eastAsia="sk-SK"/>
        </w:rPr>
        <w:t xml:space="preserve">získané z rozdielu medzi výnosmi a nákladmi z podnikateľskej činnosti po zdanení a </w:t>
      </w:r>
      <w:r w:rsidRPr="00522325">
        <w:rPr>
          <w:rFonts w:ascii="Times New Roman" w:hAnsi="Times New Roman" w:cs="Times New Roman"/>
          <w:color w:val="000000"/>
          <w:sz w:val="14"/>
          <w:szCs w:val="14"/>
          <w:lang w:eastAsia="sk-SK"/>
        </w:rPr>
        <w:t>z poistného plnenia zo zmluvného poistenia alebo zo zákonného poistenia</w:t>
      </w:r>
    </w:p>
    <w:p w:rsidR="007D13F3" w:rsidRDefault="007D13F3" w:rsidP="007D13F3">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582"/>
        <w:gridCol w:w="924"/>
        <w:gridCol w:w="892"/>
        <w:gridCol w:w="975"/>
        <w:gridCol w:w="975"/>
        <w:gridCol w:w="837"/>
        <w:gridCol w:w="982"/>
        <w:gridCol w:w="895"/>
      </w:tblGrid>
      <w:tr w:rsidR="007D13F3" w:rsidRPr="000E76EC" w:rsidTr="00465CAC">
        <w:trPr>
          <w:trHeight w:hRule="exact" w:val="255"/>
        </w:trPr>
        <w:tc>
          <w:tcPr>
            <w:tcW w:w="1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0E76EC" w:rsidRDefault="007D13F3" w:rsidP="00465CAC">
            <w:pPr>
              <w:rPr>
                <w:rFonts w:ascii="Times New Roman" w:hAnsi="Times New Roman" w:cs="Times New Roman"/>
                <w:b/>
                <w:bCs/>
                <w:sz w:val="14"/>
                <w:szCs w:val="14"/>
                <w:lang w:eastAsia="sk-SK"/>
              </w:rPr>
            </w:pPr>
            <w:r w:rsidRPr="000E76EC">
              <w:rPr>
                <w:rFonts w:ascii="Times New Roman" w:hAnsi="Times New Roman" w:cs="Times New Roman"/>
                <w:b/>
                <w:bCs/>
                <w:sz w:val="14"/>
                <w:szCs w:val="14"/>
                <w:lang w:eastAsia="sk-SK"/>
              </w:rPr>
              <w:t>Samostatné účty</w:t>
            </w:r>
          </w:p>
        </w:tc>
        <w:tc>
          <w:tcPr>
            <w:tcW w:w="510" w:type="pct"/>
            <w:tcBorders>
              <w:top w:val="single" w:sz="4" w:space="0" w:color="auto"/>
              <w:left w:val="nil"/>
              <w:bottom w:val="single" w:sz="4" w:space="0" w:color="auto"/>
              <w:right w:val="single" w:sz="4" w:space="0" w:color="auto"/>
            </w:tcBorders>
            <w:shd w:val="clear" w:color="auto" w:fill="auto"/>
            <w:noWrap/>
            <w:vAlign w:val="bottom"/>
          </w:tcPr>
          <w:p w:rsidR="007D13F3" w:rsidRPr="000E76EC" w:rsidRDefault="007D13F3" w:rsidP="00465CAC">
            <w:pPr>
              <w:jc w:val="right"/>
              <w:rPr>
                <w:rFonts w:ascii="Times New Roman" w:hAnsi="Times New Roman" w:cs="Times New Roman"/>
                <w:b/>
                <w:color w:val="000000"/>
                <w:sz w:val="13"/>
                <w:szCs w:val="13"/>
              </w:rPr>
            </w:pPr>
            <w:r w:rsidRPr="000E76EC">
              <w:rPr>
                <w:rFonts w:ascii="Times New Roman" w:hAnsi="Times New Roman" w:cs="Times New Roman"/>
                <w:b/>
                <w:color w:val="000000"/>
                <w:sz w:val="13"/>
                <w:szCs w:val="13"/>
              </w:rPr>
              <w:t>0</w:t>
            </w:r>
          </w:p>
        </w:tc>
        <w:tc>
          <w:tcPr>
            <w:tcW w:w="492" w:type="pct"/>
            <w:tcBorders>
              <w:top w:val="single" w:sz="4" w:space="0" w:color="auto"/>
              <w:left w:val="nil"/>
              <w:bottom w:val="single" w:sz="4" w:space="0" w:color="auto"/>
              <w:right w:val="single" w:sz="4" w:space="0" w:color="auto"/>
            </w:tcBorders>
            <w:shd w:val="clear" w:color="auto" w:fill="auto"/>
            <w:noWrap/>
            <w:vAlign w:val="bottom"/>
          </w:tcPr>
          <w:p w:rsidR="007D13F3" w:rsidRPr="000E76EC" w:rsidRDefault="007D13F3" w:rsidP="00465CAC">
            <w:pPr>
              <w:jc w:val="right"/>
              <w:rPr>
                <w:rFonts w:ascii="Times New Roman" w:hAnsi="Times New Roman" w:cs="Times New Roman"/>
                <w:b/>
                <w:color w:val="000000"/>
                <w:sz w:val="13"/>
                <w:szCs w:val="13"/>
              </w:rPr>
            </w:pPr>
            <w:r w:rsidRPr="000E76EC">
              <w:rPr>
                <w:rFonts w:ascii="Times New Roman" w:hAnsi="Times New Roman" w:cs="Times New Roman"/>
                <w:b/>
                <w:color w:val="000000"/>
                <w:sz w:val="13"/>
                <w:szCs w:val="13"/>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0E76EC" w:rsidRDefault="007D13F3" w:rsidP="00465CAC">
            <w:pPr>
              <w:jc w:val="right"/>
              <w:rPr>
                <w:rFonts w:ascii="Times New Roman" w:hAnsi="Times New Roman" w:cs="Times New Roman"/>
                <w:b/>
                <w:color w:val="000000"/>
                <w:sz w:val="13"/>
                <w:szCs w:val="13"/>
              </w:rPr>
            </w:pPr>
            <w:r w:rsidRPr="000E76EC">
              <w:rPr>
                <w:rFonts w:ascii="Times New Roman" w:hAnsi="Times New Roman" w:cs="Times New Roman"/>
                <w:b/>
                <w:color w:val="000000"/>
                <w:sz w:val="13"/>
                <w:szCs w:val="13"/>
              </w:rPr>
              <w:t>192 534 019</w:t>
            </w:r>
          </w:p>
        </w:tc>
        <w:tc>
          <w:tcPr>
            <w:tcW w:w="538" w:type="pct"/>
            <w:tcBorders>
              <w:top w:val="single" w:sz="4" w:space="0" w:color="auto"/>
              <w:left w:val="nil"/>
              <w:bottom w:val="single" w:sz="4" w:space="0" w:color="auto"/>
              <w:right w:val="single" w:sz="4" w:space="0" w:color="auto"/>
            </w:tcBorders>
            <w:shd w:val="clear" w:color="auto" w:fill="auto"/>
            <w:noWrap/>
            <w:vAlign w:val="bottom"/>
          </w:tcPr>
          <w:p w:rsidR="007D13F3" w:rsidRPr="000E76EC" w:rsidRDefault="007D13F3" w:rsidP="00465CAC">
            <w:pPr>
              <w:jc w:val="right"/>
              <w:rPr>
                <w:rFonts w:ascii="Times New Roman" w:hAnsi="Times New Roman" w:cs="Times New Roman"/>
                <w:b/>
                <w:color w:val="000000"/>
                <w:sz w:val="13"/>
                <w:szCs w:val="13"/>
              </w:rPr>
            </w:pPr>
            <w:r w:rsidRPr="000E76EC">
              <w:rPr>
                <w:rFonts w:ascii="Times New Roman" w:hAnsi="Times New Roman" w:cs="Times New Roman"/>
                <w:b/>
                <w:color w:val="000000"/>
                <w:sz w:val="13"/>
                <w:szCs w:val="13"/>
              </w:rPr>
              <w:t>192 534 019</w:t>
            </w:r>
          </w:p>
        </w:tc>
        <w:tc>
          <w:tcPr>
            <w:tcW w:w="462" w:type="pct"/>
            <w:tcBorders>
              <w:top w:val="single" w:sz="4" w:space="0" w:color="auto"/>
              <w:left w:val="nil"/>
              <w:bottom w:val="single" w:sz="4" w:space="0" w:color="auto"/>
              <w:right w:val="single" w:sz="4" w:space="0" w:color="auto"/>
            </w:tcBorders>
            <w:shd w:val="clear" w:color="auto" w:fill="auto"/>
            <w:noWrap/>
            <w:vAlign w:val="bottom"/>
          </w:tcPr>
          <w:p w:rsidR="007D13F3" w:rsidRPr="000E76EC" w:rsidRDefault="007D13F3" w:rsidP="00465CAC">
            <w:pPr>
              <w:jc w:val="right"/>
              <w:rPr>
                <w:rFonts w:ascii="Times New Roman" w:hAnsi="Times New Roman" w:cs="Times New Roman"/>
                <w:b/>
                <w:color w:val="000000"/>
                <w:sz w:val="13"/>
                <w:szCs w:val="13"/>
              </w:rPr>
            </w:pPr>
            <w:r w:rsidRPr="000E76EC">
              <w:rPr>
                <w:rFonts w:ascii="Times New Roman" w:hAnsi="Times New Roman" w:cs="Times New Roman"/>
                <w:b/>
                <w:color w:val="000000"/>
                <w:sz w:val="13"/>
                <w:szCs w:val="13"/>
              </w:rPr>
              <w:t>222 762 658</w:t>
            </w:r>
          </w:p>
        </w:tc>
        <w:tc>
          <w:tcPr>
            <w:tcW w:w="542" w:type="pct"/>
            <w:tcBorders>
              <w:top w:val="single" w:sz="4" w:space="0" w:color="auto"/>
              <w:left w:val="nil"/>
              <w:bottom w:val="single" w:sz="4" w:space="0" w:color="auto"/>
              <w:right w:val="single" w:sz="4" w:space="0" w:color="auto"/>
            </w:tcBorders>
            <w:shd w:val="clear" w:color="auto" w:fill="auto"/>
            <w:noWrap/>
            <w:vAlign w:val="bottom"/>
          </w:tcPr>
          <w:p w:rsidR="007D13F3" w:rsidRPr="000E76EC" w:rsidRDefault="007D13F3" w:rsidP="00465CAC">
            <w:pPr>
              <w:jc w:val="right"/>
              <w:rPr>
                <w:rFonts w:ascii="Times New Roman" w:hAnsi="Times New Roman" w:cs="Times New Roman"/>
                <w:b/>
                <w:color w:val="000000"/>
                <w:sz w:val="13"/>
                <w:szCs w:val="13"/>
              </w:rPr>
            </w:pPr>
            <w:r w:rsidRPr="000E76EC">
              <w:rPr>
                <w:rFonts w:ascii="Times New Roman" w:hAnsi="Times New Roman" w:cs="Times New Roman"/>
                <w:b/>
                <w:color w:val="000000"/>
                <w:sz w:val="13"/>
                <w:szCs w:val="13"/>
              </w:rPr>
              <w:t>227 938 446</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7D13F3" w:rsidRPr="000E76EC" w:rsidRDefault="007D13F3" w:rsidP="00465CAC">
            <w:pPr>
              <w:jc w:val="right"/>
              <w:rPr>
                <w:rFonts w:ascii="Times New Roman" w:hAnsi="Times New Roman" w:cs="Times New Roman"/>
                <w:b/>
                <w:color w:val="000000"/>
                <w:sz w:val="13"/>
                <w:szCs w:val="13"/>
              </w:rPr>
            </w:pPr>
            <w:r w:rsidRPr="000E76EC">
              <w:rPr>
                <w:rFonts w:ascii="Times New Roman" w:hAnsi="Times New Roman" w:cs="Times New Roman"/>
                <w:b/>
                <w:color w:val="000000"/>
                <w:sz w:val="13"/>
                <w:szCs w:val="13"/>
              </w:rPr>
              <w:t>232 023 596</w:t>
            </w:r>
          </w:p>
        </w:tc>
      </w:tr>
    </w:tbl>
    <w:p w:rsidR="007D13F3" w:rsidRDefault="007D13F3" w:rsidP="007D13F3">
      <w:pPr>
        <w:jc w:val="both"/>
        <w:rPr>
          <w:rFonts w:ascii="Times New Roman" w:hAnsi="Times New Roman" w:cs="Times New Roman"/>
        </w:rPr>
      </w:pPr>
    </w:p>
    <w:p w:rsidR="007D13F3" w:rsidRPr="0062434C" w:rsidRDefault="007D13F3" w:rsidP="007D13F3">
      <w:pPr>
        <w:ind w:firstLine="708"/>
        <w:jc w:val="both"/>
        <w:rPr>
          <w:rFonts w:ascii="Times New Roman" w:hAnsi="Times New Roman" w:cs="Times New Roman"/>
          <w:lang w:eastAsia="sk-SK"/>
        </w:rPr>
      </w:pPr>
      <w:r w:rsidRPr="008B573D">
        <w:rPr>
          <w:rFonts w:ascii="Times New Roman" w:hAnsi="Times New Roman" w:cs="Times New Roman"/>
          <w:lang w:eastAsia="sk-SK"/>
        </w:rPr>
        <w:t>Celkové výdavky kapitoly v roku 2018 oproti schválenému rozpočtu roka 2017 rastú o 67,9 mil. eur, čo predstavuje nárast o 2,</w:t>
      </w:r>
      <w:r>
        <w:rPr>
          <w:rFonts w:ascii="Times New Roman" w:hAnsi="Times New Roman" w:cs="Times New Roman"/>
          <w:lang w:eastAsia="sk-SK"/>
        </w:rPr>
        <w:t>91</w:t>
      </w:r>
      <w:r w:rsidRPr="008B573D">
        <w:rPr>
          <w:rFonts w:ascii="Times New Roman" w:hAnsi="Times New Roman" w:cs="Times New Roman"/>
          <w:lang w:eastAsia="sk-SK"/>
        </w:rPr>
        <w:t xml:space="preserve"> %. </w:t>
      </w:r>
      <w:r w:rsidRPr="0062434C">
        <w:rPr>
          <w:rFonts w:ascii="Times New Roman" w:hAnsi="Times New Roman" w:cs="Times New Roman"/>
          <w:lang w:eastAsia="sk-SK"/>
        </w:rPr>
        <w:t xml:space="preserve">Rozdiel v celkových výdavkoch je spôsobený najmä premietnutím valorizácie platov z roku 2017, ale súčasne nižším rozpočtovaním EÚ prostriedkov a prostriedkov na spolufinancovanie v 3. </w:t>
      </w:r>
      <w:r w:rsidR="00A870F8">
        <w:rPr>
          <w:rFonts w:ascii="Times New Roman" w:hAnsi="Times New Roman" w:cs="Times New Roman"/>
          <w:lang w:eastAsia="sk-SK"/>
        </w:rPr>
        <w:t>p</w:t>
      </w:r>
      <w:r w:rsidRPr="0062434C">
        <w:rPr>
          <w:rFonts w:ascii="Times New Roman" w:hAnsi="Times New Roman" w:cs="Times New Roman"/>
          <w:lang w:eastAsia="sk-SK"/>
        </w:rPr>
        <w:t>rogramovom období.</w:t>
      </w:r>
    </w:p>
    <w:p w:rsidR="007D13F3" w:rsidRPr="007440A8" w:rsidRDefault="007D13F3" w:rsidP="007D13F3">
      <w:pPr>
        <w:ind w:firstLine="708"/>
        <w:jc w:val="both"/>
        <w:rPr>
          <w:rFonts w:ascii="Times New Roman" w:hAnsi="Times New Roman" w:cs="Times New Roman"/>
          <w:highlight w:val="yellow"/>
          <w:lang w:eastAsia="sk-SK"/>
        </w:rPr>
      </w:pPr>
    </w:p>
    <w:p w:rsidR="007D13F3" w:rsidRPr="00AE51CF" w:rsidRDefault="007D13F3" w:rsidP="007D13F3">
      <w:pPr>
        <w:ind w:firstLine="708"/>
        <w:jc w:val="both"/>
        <w:rPr>
          <w:rFonts w:ascii="Times New Roman" w:hAnsi="Times New Roman" w:cs="Times New Roman"/>
          <w:lang w:eastAsia="sk-SK"/>
        </w:rPr>
      </w:pPr>
      <w:r w:rsidRPr="00134048">
        <w:rPr>
          <w:rFonts w:ascii="Times New Roman" w:hAnsi="Times New Roman" w:cs="Times New Roman"/>
          <w:lang w:eastAsia="sk-SK"/>
        </w:rPr>
        <w:t>Osobné výdavky sú rozpočtované na rok 2018 v sume 1,02 mld. eur, čo v porovnaní so schváleným rozpočtom roku 2017 znamená nárast o 73,2 mil. eur, čo predstavuje 7,</w:t>
      </w:r>
      <w:r>
        <w:rPr>
          <w:rFonts w:ascii="Times New Roman" w:hAnsi="Times New Roman" w:cs="Times New Roman"/>
          <w:lang w:eastAsia="sk-SK"/>
        </w:rPr>
        <w:t>74</w:t>
      </w:r>
      <w:r w:rsidRPr="00134048">
        <w:rPr>
          <w:rFonts w:ascii="Times New Roman" w:hAnsi="Times New Roman" w:cs="Times New Roman"/>
          <w:lang w:eastAsia="sk-SK"/>
        </w:rPr>
        <w:t xml:space="preserve"> %. </w:t>
      </w:r>
      <w:r w:rsidRPr="00AE51CF">
        <w:rPr>
          <w:rFonts w:ascii="Times New Roman" w:hAnsi="Times New Roman" w:cs="Times New Roman"/>
          <w:lang w:eastAsia="sk-SK"/>
        </w:rPr>
        <w:t>Dôvodom zvýšeni</w:t>
      </w:r>
      <w:r w:rsidR="00A870F8">
        <w:rPr>
          <w:rFonts w:ascii="Times New Roman" w:hAnsi="Times New Roman" w:cs="Times New Roman"/>
          <w:lang w:eastAsia="sk-SK"/>
        </w:rPr>
        <w:t>a</w:t>
      </w:r>
      <w:r w:rsidRPr="00AE51CF">
        <w:rPr>
          <w:rFonts w:ascii="Times New Roman" w:hAnsi="Times New Roman" w:cs="Times New Roman"/>
          <w:lang w:eastAsia="sk-SK"/>
        </w:rPr>
        <w:t xml:space="preserve"> osobných výdavkov o 43,1 mil. eur</w:t>
      </w:r>
      <w:r w:rsidR="00A870F8">
        <w:rPr>
          <w:rFonts w:ascii="Times New Roman" w:hAnsi="Times New Roman" w:cs="Times New Roman"/>
          <w:lang w:eastAsia="sk-SK"/>
        </w:rPr>
        <w:t xml:space="preserve"> je</w:t>
      </w:r>
      <w:r w:rsidRPr="00AE51CF">
        <w:rPr>
          <w:rFonts w:ascii="Times New Roman" w:hAnsi="Times New Roman" w:cs="Times New Roman"/>
          <w:lang w:eastAsia="sk-SK"/>
        </w:rPr>
        <w:t xml:space="preserve"> premietnuti</w:t>
      </w:r>
      <w:r w:rsidR="00A870F8">
        <w:rPr>
          <w:rFonts w:ascii="Times New Roman" w:hAnsi="Times New Roman" w:cs="Times New Roman"/>
          <w:lang w:eastAsia="sk-SK"/>
        </w:rPr>
        <w:t>e</w:t>
      </w:r>
      <w:r w:rsidRPr="00AE51CF">
        <w:rPr>
          <w:rFonts w:ascii="Times New Roman" w:hAnsi="Times New Roman" w:cs="Times New Roman"/>
          <w:lang w:eastAsia="sk-SK"/>
        </w:rPr>
        <w:t xml:space="preserve"> valorizácie platov z roku 2017 a </w:t>
      </w:r>
      <w:r w:rsidR="00A870F8">
        <w:rPr>
          <w:rFonts w:ascii="Times New Roman" w:hAnsi="Times New Roman" w:cs="Times New Roman"/>
          <w:lang w:eastAsia="sk-SK"/>
        </w:rPr>
        <w:t>suma</w:t>
      </w:r>
      <w:r w:rsidRPr="00AE51CF">
        <w:rPr>
          <w:rFonts w:ascii="Times New Roman" w:hAnsi="Times New Roman" w:cs="Times New Roman"/>
          <w:lang w:eastAsia="sk-SK"/>
        </w:rPr>
        <w:t xml:space="preserve"> </w:t>
      </w:r>
      <w:r w:rsidR="00A870F8">
        <w:rPr>
          <w:rFonts w:ascii="Times New Roman" w:hAnsi="Times New Roman" w:cs="Times New Roman"/>
          <w:lang w:eastAsia="sk-SK"/>
        </w:rPr>
        <w:t xml:space="preserve">výdavkov vo výške </w:t>
      </w:r>
      <w:r w:rsidRPr="00AE51CF">
        <w:rPr>
          <w:rFonts w:ascii="Times New Roman" w:hAnsi="Times New Roman" w:cs="Times New Roman"/>
          <w:lang w:eastAsia="sk-SK"/>
        </w:rPr>
        <w:t xml:space="preserve">30,0 mil. eur </w:t>
      </w:r>
      <w:r w:rsidR="00A870F8">
        <w:rPr>
          <w:rFonts w:ascii="Times New Roman" w:hAnsi="Times New Roman" w:cs="Times New Roman"/>
          <w:lang w:eastAsia="sk-SK"/>
        </w:rPr>
        <w:t xml:space="preserve">je </w:t>
      </w:r>
      <w:r w:rsidRPr="00AE51CF">
        <w:rPr>
          <w:rFonts w:ascii="Times New Roman" w:hAnsi="Times New Roman" w:cs="Times New Roman"/>
          <w:lang w:eastAsia="sk-SK"/>
        </w:rPr>
        <w:t xml:space="preserve">pre policajtov </w:t>
      </w:r>
      <w:r w:rsidR="00A870F8">
        <w:rPr>
          <w:rFonts w:ascii="Times New Roman" w:hAnsi="Times New Roman" w:cs="Times New Roman"/>
          <w:lang w:eastAsia="sk-SK"/>
        </w:rPr>
        <w:t>za účelom</w:t>
      </w:r>
      <w:r w:rsidRPr="00AE51CF">
        <w:rPr>
          <w:rFonts w:ascii="Times New Roman" w:hAnsi="Times New Roman" w:cs="Times New Roman"/>
          <w:lang w:eastAsia="sk-SK"/>
        </w:rPr>
        <w:t xml:space="preserve"> posilnen</w:t>
      </w:r>
      <w:r w:rsidR="00A870F8">
        <w:rPr>
          <w:rFonts w:ascii="Times New Roman" w:hAnsi="Times New Roman" w:cs="Times New Roman"/>
          <w:lang w:eastAsia="sk-SK"/>
        </w:rPr>
        <w:t>ia</w:t>
      </w:r>
      <w:r w:rsidRPr="00AE51CF">
        <w:rPr>
          <w:rFonts w:ascii="Times New Roman" w:hAnsi="Times New Roman" w:cs="Times New Roman"/>
          <w:lang w:eastAsia="sk-SK"/>
        </w:rPr>
        <w:t xml:space="preserve"> spoločenského statusu policajného povolania.</w:t>
      </w:r>
    </w:p>
    <w:p w:rsidR="007D13F3" w:rsidRPr="007440A8" w:rsidRDefault="007D13F3" w:rsidP="007D13F3">
      <w:pPr>
        <w:jc w:val="both"/>
        <w:rPr>
          <w:rFonts w:ascii="Times New Roman" w:hAnsi="Times New Roman" w:cs="Times New Roman"/>
          <w:highlight w:val="yellow"/>
          <w:lang w:eastAsia="sk-SK"/>
        </w:rPr>
      </w:pPr>
    </w:p>
    <w:p w:rsidR="007D13F3" w:rsidRPr="00036BFE" w:rsidRDefault="007D13F3" w:rsidP="007D13F3">
      <w:pPr>
        <w:ind w:firstLine="708"/>
        <w:jc w:val="both"/>
        <w:rPr>
          <w:rFonts w:ascii="Times New Roman" w:hAnsi="Times New Roman" w:cs="Times New Roman"/>
          <w:lang w:eastAsia="sk-SK"/>
        </w:rPr>
      </w:pPr>
      <w:r w:rsidRPr="00036BFE">
        <w:rPr>
          <w:rFonts w:ascii="Times New Roman" w:hAnsi="Times New Roman" w:cs="Times New Roman"/>
          <w:lang w:eastAsia="sk-SK"/>
        </w:rPr>
        <w:t>Výdavky na tovary a služby sa rozpočtujú v sume 283 mil. eur, čo je v porovnaní so schváleným rozpočtom na rok 2017 pokles o 2,18 mil. eur, čo predstavuje 0,7</w:t>
      </w:r>
      <w:r>
        <w:rPr>
          <w:rFonts w:ascii="Times New Roman" w:hAnsi="Times New Roman" w:cs="Times New Roman"/>
          <w:lang w:eastAsia="sk-SK"/>
        </w:rPr>
        <w:t>6</w:t>
      </w:r>
      <w:r w:rsidRPr="00036BFE">
        <w:rPr>
          <w:rFonts w:ascii="Times New Roman" w:hAnsi="Times New Roman" w:cs="Times New Roman"/>
          <w:lang w:eastAsia="sk-SK"/>
        </w:rPr>
        <w:t xml:space="preserve"> %. Dôvodom je nižší limit výdavkov na podprograme </w:t>
      </w:r>
      <w:r>
        <w:rPr>
          <w:rFonts w:ascii="Times New Roman" w:hAnsi="Times New Roman" w:cs="Times New Roman"/>
          <w:lang w:eastAsia="sk-SK"/>
        </w:rPr>
        <w:t>Centrálna podpora.</w:t>
      </w:r>
    </w:p>
    <w:p w:rsidR="007D13F3" w:rsidRPr="007440A8" w:rsidRDefault="007D13F3" w:rsidP="007D13F3">
      <w:pPr>
        <w:ind w:firstLine="708"/>
        <w:jc w:val="both"/>
        <w:rPr>
          <w:rFonts w:ascii="Times New Roman" w:hAnsi="Times New Roman" w:cs="Times New Roman"/>
          <w:highlight w:val="yellow"/>
          <w:lang w:eastAsia="sk-SK"/>
        </w:rPr>
      </w:pPr>
    </w:p>
    <w:p w:rsidR="007D13F3" w:rsidRPr="00022839" w:rsidRDefault="007D13F3" w:rsidP="007D13F3">
      <w:pPr>
        <w:ind w:firstLine="708"/>
        <w:jc w:val="both"/>
        <w:rPr>
          <w:rFonts w:ascii="Times New Roman" w:hAnsi="Times New Roman" w:cs="Times New Roman"/>
          <w:lang w:eastAsia="sk-SK"/>
        </w:rPr>
      </w:pPr>
      <w:r w:rsidRPr="004F362D">
        <w:rPr>
          <w:rFonts w:ascii="Times New Roman" w:hAnsi="Times New Roman" w:cs="Times New Roman"/>
          <w:lang w:eastAsia="sk-SK"/>
        </w:rPr>
        <w:t xml:space="preserve">Výdavky na bežné transfery sa rozpočtujú v sume 1,04 mld. eur, čo je v porovnaní so schváleným rozpočtom na rok 2017 </w:t>
      </w:r>
      <w:r w:rsidRPr="00E62CAE">
        <w:rPr>
          <w:rFonts w:ascii="Times New Roman" w:hAnsi="Times New Roman" w:cs="Times New Roman"/>
          <w:lang w:eastAsia="sk-SK"/>
        </w:rPr>
        <w:t xml:space="preserve">nárast o 49,9 mil. eur, čo predstavuje </w:t>
      </w:r>
      <w:r>
        <w:rPr>
          <w:rFonts w:ascii="Times New Roman" w:hAnsi="Times New Roman" w:cs="Times New Roman"/>
          <w:lang w:eastAsia="sk-SK"/>
        </w:rPr>
        <w:t>5</w:t>
      </w:r>
      <w:r w:rsidRPr="00E62CAE">
        <w:rPr>
          <w:rFonts w:ascii="Times New Roman" w:hAnsi="Times New Roman" w:cs="Times New Roman"/>
          <w:lang w:eastAsia="sk-SK"/>
        </w:rPr>
        <w:t>,0</w:t>
      </w:r>
      <w:r>
        <w:rPr>
          <w:rFonts w:ascii="Times New Roman" w:hAnsi="Times New Roman" w:cs="Times New Roman"/>
          <w:lang w:eastAsia="sk-SK"/>
        </w:rPr>
        <w:t>5</w:t>
      </w:r>
      <w:r w:rsidRPr="00E62CAE">
        <w:rPr>
          <w:rFonts w:ascii="Times New Roman" w:hAnsi="Times New Roman" w:cs="Times New Roman"/>
          <w:lang w:eastAsia="sk-SK"/>
        </w:rPr>
        <w:t xml:space="preserve"> %. </w:t>
      </w:r>
      <w:r w:rsidRPr="00022839">
        <w:rPr>
          <w:rFonts w:ascii="Times New Roman" w:hAnsi="Times New Roman" w:cs="Times New Roman"/>
          <w:lang w:eastAsia="sk-SK"/>
        </w:rPr>
        <w:t xml:space="preserve">Dôvodom je vyšší limit výdavkov na programe Výchova a vzdelávanie mládeže, </w:t>
      </w:r>
      <w:r>
        <w:rPr>
          <w:rFonts w:ascii="Times New Roman" w:hAnsi="Times New Roman" w:cs="Times New Roman"/>
          <w:lang w:eastAsia="sk-SK"/>
        </w:rPr>
        <w:t xml:space="preserve">spôsobený </w:t>
      </w:r>
      <w:r w:rsidRPr="0062434C">
        <w:rPr>
          <w:rFonts w:ascii="Times New Roman" w:hAnsi="Times New Roman" w:cs="Times New Roman"/>
          <w:lang w:eastAsia="sk-SK"/>
        </w:rPr>
        <w:t>premietnutím valorizácie platov</w:t>
      </w:r>
      <w:r>
        <w:rPr>
          <w:rFonts w:ascii="Times New Roman" w:hAnsi="Times New Roman" w:cs="Times New Roman"/>
          <w:lang w:eastAsia="sk-SK"/>
        </w:rPr>
        <w:t xml:space="preserve"> pre učiteľov.</w:t>
      </w:r>
    </w:p>
    <w:p w:rsidR="007D13F3" w:rsidRPr="002924A2" w:rsidRDefault="007D13F3" w:rsidP="007D13F3">
      <w:pPr>
        <w:jc w:val="both"/>
        <w:rPr>
          <w:rFonts w:ascii="Times New Roman" w:hAnsi="Times New Roman" w:cs="Times New Roman"/>
          <w:highlight w:val="yellow"/>
          <w:lang w:eastAsia="sk-SK"/>
        </w:rPr>
      </w:pPr>
    </w:p>
    <w:p w:rsidR="007D13F3" w:rsidRDefault="007D13F3" w:rsidP="007D13F3">
      <w:pPr>
        <w:ind w:firstLine="708"/>
        <w:jc w:val="both"/>
        <w:rPr>
          <w:rFonts w:ascii="Times New Roman" w:hAnsi="Times New Roman" w:cs="Times New Roman"/>
          <w:lang w:eastAsia="sk-SK"/>
        </w:rPr>
      </w:pPr>
      <w:r w:rsidRPr="002C0BBC">
        <w:rPr>
          <w:rFonts w:ascii="Times New Roman" w:hAnsi="Times New Roman" w:cs="Times New Roman"/>
          <w:lang w:eastAsia="sk-SK"/>
        </w:rPr>
        <w:t xml:space="preserve">Na kapitálové výdavky sa rozpočtuje suma </w:t>
      </w:r>
      <w:r>
        <w:rPr>
          <w:rFonts w:ascii="Times New Roman" w:hAnsi="Times New Roman" w:cs="Times New Roman"/>
          <w:lang w:eastAsia="sk-SK"/>
        </w:rPr>
        <w:t>28</w:t>
      </w:r>
      <w:r w:rsidRPr="002C0BBC">
        <w:rPr>
          <w:rFonts w:ascii="Times New Roman" w:hAnsi="Times New Roman" w:cs="Times New Roman"/>
          <w:lang w:eastAsia="sk-SK"/>
        </w:rPr>
        <w:t>,0 mil. eur, čo je v porovnaní so schváleným rozpočtom na rok 201</w:t>
      </w:r>
      <w:r>
        <w:rPr>
          <w:rFonts w:ascii="Times New Roman" w:hAnsi="Times New Roman" w:cs="Times New Roman"/>
          <w:lang w:eastAsia="sk-SK"/>
        </w:rPr>
        <w:t>7</w:t>
      </w:r>
      <w:r w:rsidRPr="002C0BBC">
        <w:rPr>
          <w:rFonts w:ascii="Times New Roman" w:hAnsi="Times New Roman" w:cs="Times New Roman"/>
          <w:lang w:eastAsia="sk-SK"/>
        </w:rPr>
        <w:t xml:space="preserve"> </w:t>
      </w:r>
      <w:r>
        <w:rPr>
          <w:rFonts w:ascii="Times New Roman" w:hAnsi="Times New Roman" w:cs="Times New Roman"/>
          <w:lang w:eastAsia="sk-SK"/>
        </w:rPr>
        <w:t>pokles</w:t>
      </w:r>
      <w:r w:rsidRPr="002C0BBC">
        <w:rPr>
          <w:rFonts w:ascii="Times New Roman" w:hAnsi="Times New Roman" w:cs="Times New Roman"/>
          <w:lang w:eastAsia="sk-SK"/>
        </w:rPr>
        <w:t xml:space="preserve"> o</w:t>
      </w:r>
      <w:r>
        <w:rPr>
          <w:rFonts w:ascii="Times New Roman" w:hAnsi="Times New Roman" w:cs="Times New Roman"/>
          <w:lang w:eastAsia="sk-SK"/>
        </w:rPr>
        <w:t> 25,0</w:t>
      </w:r>
      <w:r w:rsidRPr="002C0BBC">
        <w:rPr>
          <w:rFonts w:ascii="Times New Roman" w:hAnsi="Times New Roman" w:cs="Times New Roman"/>
          <w:lang w:eastAsia="sk-SK"/>
        </w:rPr>
        <w:t xml:space="preserve"> mil. eur, čo predstavuje </w:t>
      </w:r>
      <w:r>
        <w:rPr>
          <w:rFonts w:ascii="Times New Roman" w:hAnsi="Times New Roman" w:cs="Times New Roman"/>
          <w:lang w:eastAsia="sk-SK"/>
        </w:rPr>
        <w:t>47</w:t>
      </w:r>
      <w:r w:rsidRPr="002C0BBC">
        <w:rPr>
          <w:rFonts w:ascii="Times New Roman" w:hAnsi="Times New Roman" w:cs="Times New Roman"/>
          <w:lang w:eastAsia="sk-SK"/>
        </w:rPr>
        <w:t>,</w:t>
      </w:r>
      <w:r>
        <w:rPr>
          <w:rFonts w:ascii="Times New Roman" w:hAnsi="Times New Roman" w:cs="Times New Roman"/>
          <w:lang w:eastAsia="sk-SK"/>
        </w:rPr>
        <w:t>2</w:t>
      </w:r>
      <w:r w:rsidRPr="002C0BBC">
        <w:rPr>
          <w:rFonts w:ascii="Times New Roman" w:hAnsi="Times New Roman" w:cs="Times New Roman"/>
          <w:lang w:eastAsia="sk-SK"/>
        </w:rPr>
        <w:t xml:space="preserve"> %.</w:t>
      </w:r>
      <w:r w:rsidRPr="00B42C28">
        <w:rPr>
          <w:rFonts w:ascii="Times New Roman" w:hAnsi="Times New Roman" w:cs="Times New Roman"/>
          <w:lang w:eastAsia="sk-SK"/>
        </w:rPr>
        <w:t xml:space="preserve"> </w:t>
      </w:r>
      <w:r w:rsidRPr="00130192">
        <w:rPr>
          <w:rFonts w:ascii="Times New Roman" w:hAnsi="Times New Roman" w:cs="Times New Roman"/>
          <w:lang w:eastAsia="sk-SK"/>
        </w:rPr>
        <w:t>Dôvodom je jednorazové zvýšenie výdavkov v sume 25 mil. eur v roku 2017, ktor</w:t>
      </w:r>
      <w:r>
        <w:rPr>
          <w:rFonts w:ascii="Times New Roman" w:hAnsi="Times New Roman" w:cs="Times New Roman"/>
          <w:lang w:eastAsia="sk-SK"/>
        </w:rPr>
        <w:t>é</w:t>
      </w:r>
      <w:r w:rsidRPr="00130192">
        <w:rPr>
          <w:rFonts w:ascii="Times New Roman" w:hAnsi="Times New Roman" w:cs="Times New Roman"/>
          <w:lang w:eastAsia="sk-SK"/>
        </w:rPr>
        <w:t xml:space="preserve"> boli použité na realizáciu stavieb a rekonštrukcie objektov.</w:t>
      </w:r>
    </w:p>
    <w:p w:rsidR="007D13F3" w:rsidRPr="003C008A" w:rsidRDefault="007D13F3" w:rsidP="007D13F3">
      <w:pPr>
        <w:jc w:val="both"/>
        <w:rPr>
          <w:rFonts w:ascii="Times New Roman" w:hAnsi="Times New Roman" w:cs="Times New Roman"/>
          <w:lang w:eastAsia="sk-SK"/>
        </w:rPr>
      </w:pPr>
      <w:r>
        <w:rPr>
          <w:rFonts w:ascii="Times New Roman" w:hAnsi="Times New Roman" w:cs="Times New Roman"/>
          <w:lang w:eastAsia="sk-SK"/>
        </w:rPr>
        <w:lastRenderedPageBreak/>
        <w:tab/>
      </w:r>
      <w:r w:rsidRPr="003C008A">
        <w:rPr>
          <w:rFonts w:ascii="Times New Roman" w:hAnsi="Times New Roman" w:cs="Times New Roman"/>
          <w:lang w:eastAsia="sk-SK"/>
        </w:rPr>
        <w:t xml:space="preserve">Kapitola v nadväznosti na § 17 ods. 4 zákona č. 523/2004 Z. z. o rozpočtových pravidlách verejnej správy </w:t>
      </w:r>
      <w:r w:rsidR="00A870F8">
        <w:rPr>
          <w:rFonts w:ascii="Times New Roman" w:hAnsi="Times New Roman" w:cs="Times New Roman"/>
          <w:lang w:eastAsia="sk-SK"/>
        </w:rPr>
        <w:t xml:space="preserve">a o zmene a doplnení niektorých zákonov </w:t>
      </w:r>
      <w:r w:rsidRPr="003C008A">
        <w:rPr>
          <w:rFonts w:ascii="Times New Roman" w:hAnsi="Times New Roman" w:cs="Times New Roman"/>
          <w:lang w:eastAsia="sk-SK"/>
        </w:rPr>
        <w:t>v znení neskorších predpisov rozpočtuje tiež výdavky zodpovedajúce príjmom z poistného plnenia zo zmluvného poistenia alebo zo zákonného poistenia</w:t>
      </w:r>
      <w:r>
        <w:rPr>
          <w:rFonts w:ascii="Times New Roman" w:hAnsi="Times New Roman" w:cs="Times New Roman"/>
          <w:lang w:eastAsia="sk-SK"/>
        </w:rPr>
        <w:t xml:space="preserve"> a prostriedky</w:t>
      </w:r>
      <w:r w:rsidRPr="003C008A">
        <w:rPr>
          <w:rFonts w:ascii="Times New Roman" w:hAnsi="Times New Roman" w:cs="Times New Roman"/>
          <w:lang w:eastAsia="sk-SK"/>
        </w:rPr>
        <w:t xml:space="preserve"> získané z rozdielu medzi výnosmi a nákladmi z podnikateľskej činnosti po zdanení v sume </w:t>
      </w:r>
      <w:r>
        <w:rPr>
          <w:rFonts w:ascii="Times New Roman" w:hAnsi="Times New Roman" w:cs="Times New Roman"/>
          <w:lang w:eastAsia="sk-SK"/>
        </w:rPr>
        <w:t>2</w:t>
      </w:r>
      <w:r w:rsidRPr="003C008A">
        <w:rPr>
          <w:rFonts w:ascii="Times New Roman" w:hAnsi="Times New Roman" w:cs="Times New Roman"/>
          <w:lang w:eastAsia="sk-SK"/>
        </w:rPr>
        <w:t>,</w:t>
      </w:r>
      <w:r>
        <w:rPr>
          <w:rFonts w:ascii="Times New Roman" w:hAnsi="Times New Roman" w:cs="Times New Roman"/>
          <w:lang w:eastAsia="sk-SK"/>
        </w:rPr>
        <w:t>02</w:t>
      </w:r>
      <w:r w:rsidRPr="003C008A">
        <w:rPr>
          <w:rFonts w:ascii="Times New Roman" w:hAnsi="Times New Roman" w:cs="Times New Roman"/>
          <w:lang w:eastAsia="sk-SK"/>
        </w:rPr>
        <w:t xml:space="preserve"> </w:t>
      </w:r>
      <w:r>
        <w:rPr>
          <w:rFonts w:ascii="Times New Roman" w:hAnsi="Times New Roman" w:cs="Times New Roman"/>
          <w:lang w:eastAsia="sk-SK"/>
        </w:rPr>
        <w:t>mil</w:t>
      </w:r>
      <w:r w:rsidRPr="003C008A">
        <w:rPr>
          <w:rFonts w:ascii="Times New Roman" w:hAnsi="Times New Roman" w:cs="Times New Roman"/>
          <w:lang w:eastAsia="sk-SK"/>
        </w:rPr>
        <w:t xml:space="preserve">. eur. Tieto sú určené na financovanie servisu, údržby a opráv motorových vozidiel </w:t>
      </w:r>
      <w:r>
        <w:rPr>
          <w:rFonts w:ascii="Times New Roman" w:hAnsi="Times New Roman" w:cs="Times New Roman"/>
          <w:lang w:eastAsia="sk-SK"/>
        </w:rPr>
        <w:t>a rutinnú a štandardnú údržbu budov.</w:t>
      </w:r>
    </w:p>
    <w:p w:rsidR="007D13F3" w:rsidRPr="00712A39" w:rsidRDefault="007D13F3" w:rsidP="007D13F3">
      <w:pPr>
        <w:ind w:firstLine="708"/>
        <w:jc w:val="both"/>
        <w:rPr>
          <w:rFonts w:ascii="Times New Roman" w:hAnsi="Times New Roman" w:cs="Times New Roman"/>
          <w:highlight w:val="yellow"/>
          <w:lang w:eastAsia="sk-SK"/>
        </w:rPr>
      </w:pPr>
    </w:p>
    <w:p w:rsidR="007D13F3" w:rsidRPr="002732F1" w:rsidRDefault="007D13F3" w:rsidP="007D13F3">
      <w:pPr>
        <w:ind w:firstLine="708"/>
        <w:jc w:val="both"/>
        <w:rPr>
          <w:rFonts w:ascii="Times New Roman" w:hAnsi="Times New Roman" w:cs="Times New Roman"/>
          <w:lang w:eastAsia="sk-SK"/>
        </w:rPr>
      </w:pPr>
      <w:r w:rsidRPr="00712A39">
        <w:rPr>
          <w:rFonts w:ascii="Times New Roman" w:hAnsi="Times New Roman" w:cs="Times New Roman"/>
          <w:lang w:eastAsia="sk-SK"/>
        </w:rPr>
        <w:t>M</w:t>
      </w:r>
      <w:r w:rsidR="006527C0">
        <w:rPr>
          <w:rFonts w:ascii="Times New Roman" w:hAnsi="Times New Roman" w:cs="Times New Roman"/>
          <w:lang w:eastAsia="sk-SK"/>
        </w:rPr>
        <w:t>inisterstvo vnútra</w:t>
      </w:r>
      <w:r w:rsidRPr="00712A39">
        <w:rPr>
          <w:rFonts w:ascii="Times New Roman" w:hAnsi="Times New Roman" w:cs="Times New Roman"/>
          <w:lang w:eastAsia="sk-SK"/>
        </w:rPr>
        <w:t xml:space="preserve"> SR na rok 2018 rozpočtuje výdavky na samosta</w:t>
      </w:r>
      <w:r>
        <w:rPr>
          <w:rFonts w:ascii="Times New Roman" w:hAnsi="Times New Roman" w:cs="Times New Roman"/>
          <w:lang w:eastAsia="sk-SK"/>
        </w:rPr>
        <w:t>t</w:t>
      </w:r>
      <w:r w:rsidRPr="00712A39">
        <w:rPr>
          <w:rFonts w:ascii="Times New Roman" w:hAnsi="Times New Roman" w:cs="Times New Roman"/>
          <w:lang w:eastAsia="sk-SK"/>
        </w:rPr>
        <w:t>ných účtoch v celkovej sume</w:t>
      </w:r>
      <w:r w:rsidR="006527C0">
        <w:rPr>
          <w:rFonts w:ascii="Times New Roman" w:hAnsi="Times New Roman" w:cs="Times New Roman"/>
          <w:lang w:eastAsia="sk-SK"/>
        </w:rPr>
        <w:t xml:space="preserve"> </w:t>
      </w:r>
      <w:r w:rsidRPr="00712A39">
        <w:rPr>
          <w:rFonts w:ascii="Times New Roman" w:hAnsi="Times New Roman" w:cs="Times New Roman"/>
          <w:lang w:eastAsia="sk-SK"/>
        </w:rPr>
        <w:t>222,8 mil. eur</w:t>
      </w:r>
      <w:r w:rsidRPr="002732F1">
        <w:rPr>
          <w:rFonts w:ascii="Times New Roman" w:hAnsi="Times New Roman" w:cs="Times New Roman"/>
          <w:lang w:eastAsia="sk-SK"/>
        </w:rPr>
        <w:t xml:space="preserve">. Uvedené prostriedky sú určené na financovanie sociálneho zabezpečenia policajtov, </w:t>
      </w:r>
      <w:r w:rsidRPr="00AF38EE">
        <w:rPr>
          <w:rFonts w:ascii="Times New Roman" w:hAnsi="Times New Roman" w:cs="Times New Roman"/>
          <w:lang w:eastAsia="sk-SK"/>
        </w:rPr>
        <w:t>za stravné lístky</w:t>
      </w:r>
      <w:r>
        <w:rPr>
          <w:rFonts w:ascii="Times New Roman" w:hAnsi="Times New Roman" w:cs="Times New Roman"/>
          <w:lang w:eastAsia="sk-SK"/>
        </w:rPr>
        <w:t xml:space="preserve"> a </w:t>
      </w:r>
      <w:r w:rsidRPr="00AF38EE">
        <w:rPr>
          <w:rFonts w:ascii="Times New Roman" w:hAnsi="Times New Roman" w:cs="Times New Roman"/>
          <w:lang w:eastAsia="sk-SK"/>
        </w:rPr>
        <w:t>na úhradu nákladov spojených s obstaraním materiálno-technického vybavenia hasičských jednotiek a policajných jednotiek</w:t>
      </w:r>
      <w:r>
        <w:rPr>
          <w:rFonts w:ascii="Times New Roman" w:hAnsi="Times New Roman" w:cs="Times New Roman"/>
          <w:lang w:eastAsia="sk-SK"/>
        </w:rPr>
        <w:t>.</w:t>
      </w:r>
    </w:p>
    <w:p w:rsidR="007D13F3" w:rsidRDefault="007D13F3" w:rsidP="007D13F3">
      <w:pPr>
        <w:ind w:firstLine="708"/>
        <w:jc w:val="both"/>
        <w:rPr>
          <w:rFonts w:ascii="Times New Roman" w:hAnsi="Times New Roman" w:cs="Times New Roman"/>
          <w:highlight w:val="yellow"/>
          <w:lang w:eastAsia="sk-SK"/>
        </w:rPr>
      </w:pPr>
    </w:p>
    <w:p w:rsidR="007D13F3" w:rsidRDefault="007D13F3" w:rsidP="007D13F3">
      <w:pPr>
        <w:ind w:firstLine="708"/>
        <w:jc w:val="both"/>
        <w:rPr>
          <w:rFonts w:ascii="Times New Roman" w:hAnsi="Times New Roman" w:cs="Times New Roman"/>
        </w:rPr>
      </w:pPr>
      <w:r w:rsidRPr="00F95CC5">
        <w:rPr>
          <w:rFonts w:ascii="Times New Roman" w:hAnsi="Times New Roman" w:cs="Times New Roman"/>
        </w:rPr>
        <w:t xml:space="preserve">Výdavky kapitoly Ministerstva vnútra SR sú smerované do nasledovných oblastí: </w:t>
      </w:r>
    </w:p>
    <w:p w:rsidR="007D13F3" w:rsidRDefault="007D13F3" w:rsidP="007D13F3">
      <w:pPr>
        <w:jc w:val="both"/>
        <w:rPr>
          <w:rFonts w:ascii="Times New Roman" w:hAnsi="Times New Roman" w:cs="Times New Roman"/>
        </w:rPr>
      </w:pPr>
      <w:r>
        <w:rPr>
          <w:rFonts w:ascii="Times New Roman" w:hAnsi="Times New Roman" w:cs="Times New Roman"/>
        </w:rPr>
        <w:t xml:space="preserve">- </w:t>
      </w:r>
      <w:r w:rsidRPr="00F95CC5">
        <w:rPr>
          <w:rFonts w:ascii="Times New Roman" w:hAnsi="Times New Roman" w:cs="Times New Roman"/>
        </w:rPr>
        <w:t xml:space="preserve">Efektívna a spoľahlivá štátna správa, </w:t>
      </w:r>
    </w:p>
    <w:p w:rsidR="007D13F3" w:rsidRDefault="007D13F3" w:rsidP="007D13F3">
      <w:pPr>
        <w:jc w:val="both"/>
        <w:rPr>
          <w:rFonts w:ascii="Times New Roman" w:hAnsi="Times New Roman" w:cs="Times New Roman"/>
        </w:rPr>
      </w:pPr>
      <w:r>
        <w:rPr>
          <w:rFonts w:ascii="Times New Roman" w:hAnsi="Times New Roman" w:cs="Times New Roman"/>
        </w:rPr>
        <w:t xml:space="preserve">- </w:t>
      </w:r>
      <w:r w:rsidRPr="00F95CC5">
        <w:rPr>
          <w:rFonts w:ascii="Times New Roman" w:hAnsi="Times New Roman" w:cs="Times New Roman"/>
        </w:rPr>
        <w:t>Výchova a vzdelávanie mládeže</w:t>
      </w:r>
      <w:r>
        <w:rPr>
          <w:rFonts w:ascii="Times New Roman" w:hAnsi="Times New Roman" w:cs="Times New Roman"/>
        </w:rPr>
        <w:t>,</w:t>
      </w:r>
    </w:p>
    <w:p w:rsidR="007D13F3" w:rsidRPr="00F95CC5" w:rsidRDefault="007D13F3" w:rsidP="007D13F3">
      <w:pPr>
        <w:jc w:val="both"/>
        <w:rPr>
          <w:rFonts w:ascii="Times New Roman" w:hAnsi="Times New Roman" w:cs="Times New Roman"/>
        </w:rPr>
      </w:pPr>
      <w:r>
        <w:rPr>
          <w:rFonts w:ascii="Times New Roman" w:hAnsi="Times New Roman" w:cs="Times New Roman"/>
        </w:rPr>
        <w:t>-</w:t>
      </w:r>
      <w:r w:rsidRPr="00F95CC5">
        <w:rPr>
          <w:rFonts w:ascii="Times New Roman" w:hAnsi="Times New Roman" w:cs="Times New Roman"/>
        </w:rPr>
        <w:t> </w:t>
      </w:r>
      <w:r>
        <w:rPr>
          <w:rFonts w:ascii="Times New Roman" w:hAnsi="Times New Roman" w:cs="Times New Roman"/>
        </w:rPr>
        <w:t>Medzirezortné programy</w:t>
      </w:r>
      <w:r w:rsidR="00CC0BFD">
        <w:rPr>
          <w:rFonts w:ascii="Times New Roman" w:hAnsi="Times New Roman" w:cs="Times New Roman"/>
        </w:rPr>
        <w:t>.</w:t>
      </w:r>
    </w:p>
    <w:p w:rsidR="007D13F3" w:rsidRPr="00F95CC5" w:rsidRDefault="007D13F3" w:rsidP="007D13F3">
      <w:pPr>
        <w:ind w:firstLine="708"/>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7D13F3" w:rsidRPr="00F95CC5" w:rsidTr="00B125B2">
        <w:trPr>
          <w:trHeight w:val="278"/>
        </w:trPr>
        <w:tc>
          <w:tcPr>
            <w:tcW w:w="1025" w:type="pct"/>
            <w:shd w:val="clear" w:color="auto" w:fill="A6A6A6" w:themeFill="background1" w:themeFillShade="A6"/>
            <w:noWrap/>
            <w:vAlign w:val="bottom"/>
          </w:tcPr>
          <w:p w:rsidR="007D13F3" w:rsidRPr="00F95CC5" w:rsidRDefault="007D13F3" w:rsidP="00465CAC">
            <w:pPr>
              <w:rPr>
                <w:rFonts w:ascii="Times New Roman" w:hAnsi="Times New Roman" w:cs="Times New Roman"/>
                <w:b/>
                <w:sz w:val="14"/>
                <w:szCs w:val="14"/>
              </w:rPr>
            </w:pPr>
            <w:r w:rsidRPr="00F95CC5">
              <w:rPr>
                <w:rFonts w:ascii="Times New Roman" w:hAnsi="Times New Roman" w:cs="Times New Roman"/>
                <w:b/>
                <w:sz w:val="14"/>
                <w:szCs w:val="14"/>
              </w:rPr>
              <w:t>v eurách</w:t>
            </w:r>
          </w:p>
        </w:tc>
        <w:tc>
          <w:tcPr>
            <w:tcW w:w="568" w:type="pct"/>
            <w:shd w:val="clear" w:color="auto" w:fill="A6A6A6" w:themeFill="background1" w:themeFillShade="A6"/>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2015 S</w:t>
            </w:r>
          </w:p>
        </w:tc>
        <w:tc>
          <w:tcPr>
            <w:tcW w:w="568" w:type="pct"/>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highlight w:val="yellow"/>
                <w:lang w:eastAsia="sk-SK"/>
              </w:rPr>
            </w:pPr>
            <w:r w:rsidRPr="00C75F6A">
              <w:rPr>
                <w:rFonts w:ascii="Times New Roman" w:hAnsi="Times New Roman" w:cs="Times New Roman"/>
                <w:b/>
                <w:bCs/>
                <w:color w:val="000000"/>
                <w:sz w:val="14"/>
                <w:szCs w:val="14"/>
                <w:lang w:eastAsia="sk-SK"/>
              </w:rPr>
              <w:t xml:space="preserve">2016 S </w:t>
            </w:r>
          </w:p>
        </w:tc>
        <w:tc>
          <w:tcPr>
            <w:tcW w:w="568" w:type="pct"/>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2017 R</w:t>
            </w:r>
          </w:p>
        </w:tc>
        <w:tc>
          <w:tcPr>
            <w:tcW w:w="568" w:type="pct"/>
            <w:shd w:val="clear" w:color="auto" w:fill="A6A6A6" w:themeFill="background1" w:themeFillShade="A6"/>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2017 OS</w:t>
            </w:r>
          </w:p>
        </w:tc>
        <w:tc>
          <w:tcPr>
            <w:tcW w:w="568" w:type="pct"/>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2018 N</w:t>
            </w:r>
          </w:p>
        </w:tc>
        <w:tc>
          <w:tcPr>
            <w:tcW w:w="568" w:type="pct"/>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2019 N</w:t>
            </w:r>
          </w:p>
        </w:tc>
        <w:tc>
          <w:tcPr>
            <w:tcW w:w="567" w:type="pct"/>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2020 N</w:t>
            </w:r>
          </w:p>
        </w:tc>
      </w:tr>
      <w:tr w:rsidR="007D13F3" w:rsidRPr="00F95CC5" w:rsidTr="00B125B2">
        <w:trPr>
          <w:trHeight w:val="261"/>
        </w:trPr>
        <w:tc>
          <w:tcPr>
            <w:tcW w:w="1025" w:type="pct"/>
            <w:shd w:val="clear" w:color="auto" w:fill="BFBFBF" w:themeFill="background1" w:themeFillShade="BF"/>
            <w:vAlign w:val="bottom"/>
          </w:tcPr>
          <w:p w:rsidR="007D13F3" w:rsidRPr="00F95CC5" w:rsidRDefault="007D13F3" w:rsidP="00465CAC">
            <w:pPr>
              <w:rPr>
                <w:rFonts w:ascii="Times New Roman" w:hAnsi="Times New Roman" w:cs="Times New Roman"/>
                <w:b/>
                <w:bCs/>
                <w:sz w:val="14"/>
                <w:szCs w:val="14"/>
              </w:rPr>
            </w:pPr>
            <w:r w:rsidRPr="00F95CC5">
              <w:rPr>
                <w:rFonts w:ascii="Times New Roman" w:hAnsi="Times New Roman" w:cs="Times New Roman"/>
                <w:b/>
                <w:bCs/>
                <w:sz w:val="14"/>
                <w:szCs w:val="14"/>
              </w:rPr>
              <w:t>Spolu</w:t>
            </w:r>
          </w:p>
        </w:tc>
        <w:tc>
          <w:tcPr>
            <w:tcW w:w="568" w:type="pct"/>
            <w:shd w:val="clear" w:color="auto" w:fill="BFBFBF" w:themeFill="background1" w:themeFillShade="BF"/>
            <w:noWrap/>
            <w:vAlign w:val="bottom"/>
          </w:tcPr>
          <w:p w:rsidR="007D13F3" w:rsidRPr="0046378C" w:rsidRDefault="007D13F3" w:rsidP="00465CAC">
            <w:pPr>
              <w:jc w:val="right"/>
              <w:rPr>
                <w:rFonts w:ascii="Times New Roman" w:hAnsi="Times New Roman" w:cs="Times New Roman"/>
                <w:b/>
                <w:bCs/>
                <w:color w:val="000000"/>
                <w:sz w:val="14"/>
                <w:szCs w:val="14"/>
                <w:lang w:eastAsia="sk-SK"/>
              </w:rPr>
            </w:pPr>
            <w:r w:rsidRPr="0046378C">
              <w:rPr>
                <w:rFonts w:ascii="Times New Roman" w:hAnsi="Times New Roman" w:cs="Times New Roman"/>
                <w:b/>
                <w:bCs/>
                <w:color w:val="000000"/>
                <w:sz w:val="14"/>
                <w:szCs w:val="14"/>
              </w:rPr>
              <w:t xml:space="preserve">2 349 </w:t>
            </w:r>
            <w:r w:rsidRPr="0046378C">
              <w:rPr>
                <w:rFonts w:ascii="Times New Roman" w:hAnsi="Times New Roman" w:cs="Times New Roman"/>
                <w:b/>
                <w:color w:val="000000"/>
                <w:sz w:val="14"/>
                <w:szCs w:val="14"/>
              </w:rPr>
              <w:t>521</w:t>
            </w:r>
            <w:r w:rsidRPr="0046378C">
              <w:rPr>
                <w:rFonts w:ascii="Times New Roman" w:hAnsi="Times New Roman" w:cs="Times New Roman"/>
                <w:b/>
                <w:bCs/>
                <w:color w:val="000000"/>
                <w:sz w:val="14"/>
                <w:szCs w:val="14"/>
              </w:rPr>
              <w:t xml:space="preserve"> 836</w:t>
            </w:r>
          </w:p>
        </w:tc>
        <w:tc>
          <w:tcPr>
            <w:tcW w:w="568" w:type="pct"/>
            <w:shd w:val="clear" w:color="auto" w:fill="BFBFBF" w:themeFill="background1" w:themeFillShade="BF"/>
            <w:noWrap/>
            <w:vAlign w:val="bottom"/>
          </w:tcPr>
          <w:p w:rsidR="007D13F3" w:rsidRPr="0046378C" w:rsidRDefault="007D13F3" w:rsidP="00465CAC">
            <w:pPr>
              <w:jc w:val="right"/>
              <w:rPr>
                <w:rFonts w:ascii="Times New Roman" w:hAnsi="Times New Roman" w:cs="Times New Roman"/>
                <w:b/>
                <w:bCs/>
                <w:color w:val="000000"/>
                <w:sz w:val="14"/>
                <w:szCs w:val="14"/>
              </w:rPr>
            </w:pPr>
            <w:r w:rsidRPr="0046378C">
              <w:rPr>
                <w:rFonts w:ascii="Times New Roman" w:hAnsi="Times New Roman" w:cs="Times New Roman"/>
                <w:b/>
                <w:bCs/>
                <w:color w:val="000000"/>
                <w:sz w:val="14"/>
                <w:szCs w:val="14"/>
              </w:rPr>
              <w:t>2 460 312 180</w:t>
            </w:r>
          </w:p>
        </w:tc>
        <w:tc>
          <w:tcPr>
            <w:tcW w:w="568" w:type="pct"/>
            <w:shd w:val="clear" w:color="auto" w:fill="BFBFBF" w:themeFill="background1" w:themeFillShade="BF"/>
            <w:noWrap/>
            <w:vAlign w:val="bottom"/>
          </w:tcPr>
          <w:p w:rsidR="007D13F3" w:rsidRPr="0046378C" w:rsidRDefault="007D13F3" w:rsidP="00465CAC">
            <w:pPr>
              <w:jc w:val="right"/>
              <w:rPr>
                <w:rFonts w:ascii="Times New Roman" w:hAnsi="Times New Roman" w:cs="Times New Roman"/>
                <w:b/>
                <w:bCs/>
                <w:color w:val="000000"/>
                <w:sz w:val="14"/>
                <w:szCs w:val="14"/>
              </w:rPr>
            </w:pPr>
            <w:r w:rsidRPr="0046378C">
              <w:rPr>
                <w:rFonts w:ascii="Times New Roman" w:hAnsi="Times New Roman" w:cs="Times New Roman"/>
                <w:b/>
                <w:bCs/>
                <w:color w:val="000000"/>
                <w:sz w:val="14"/>
                <w:szCs w:val="14"/>
              </w:rPr>
              <w:t>2 333 008 762</w:t>
            </w:r>
          </w:p>
        </w:tc>
        <w:tc>
          <w:tcPr>
            <w:tcW w:w="568" w:type="pct"/>
            <w:shd w:val="clear" w:color="auto" w:fill="BFBFBF" w:themeFill="background1" w:themeFillShade="BF"/>
            <w:vAlign w:val="bottom"/>
          </w:tcPr>
          <w:p w:rsidR="007D13F3" w:rsidRPr="0046378C" w:rsidRDefault="007D13F3" w:rsidP="00465CAC">
            <w:pPr>
              <w:jc w:val="right"/>
              <w:rPr>
                <w:rFonts w:ascii="Times New Roman" w:hAnsi="Times New Roman" w:cs="Times New Roman"/>
                <w:b/>
                <w:bCs/>
                <w:color w:val="000000"/>
                <w:sz w:val="14"/>
                <w:szCs w:val="14"/>
              </w:rPr>
            </w:pPr>
            <w:r w:rsidRPr="0046378C">
              <w:rPr>
                <w:rFonts w:ascii="Times New Roman" w:hAnsi="Times New Roman" w:cs="Times New Roman"/>
                <w:b/>
                <w:bCs/>
                <w:color w:val="000000"/>
                <w:sz w:val="14"/>
                <w:szCs w:val="14"/>
              </w:rPr>
              <w:t>2 619 259 761</w:t>
            </w:r>
          </w:p>
        </w:tc>
        <w:tc>
          <w:tcPr>
            <w:tcW w:w="568" w:type="pct"/>
            <w:shd w:val="clear" w:color="auto" w:fill="BFBFBF" w:themeFill="background1" w:themeFillShade="BF"/>
            <w:noWrap/>
            <w:vAlign w:val="bottom"/>
          </w:tcPr>
          <w:p w:rsidR="007D13F3" w:rsidRPr="0046378C" w:rsidRDefault="007D13F3" w:rsidP="00465CAC">
            <w:pPr>
              <w:jc w:val="right"/>
              <w:rPr>
                <w:rFonts w:ascii="Times New Roman" w:hAnsi="Times New Roman" w:cs="Times New Roman"/>
                <w:b/>
                <w:bCs/>
                <w:color w:val="000000"/>
                <w:sz w:val="14"/>
                <w:szCs w:val="14"/>
              </w:rPr>
            </w:pPr>
            <w:r w:rsidRPr="0046378C">
              <w:rPr>
                <w:rFonts w:ascii="Times New Roman" w:hAnsi="Times New Roman" w:cs="Times New Roman"/>
                <w:b/>
                <w:bCs/>
                <w:color w:val="000000"/>
                <w:sz w:val="14"/>
                <w:szCs w:val="14"/>
              </w:rPr>
              <w:t>2 398 882 329</w:t>
            </w:r>
          </w:p>
        </w:tc>
        <w:tc>
          <w:tcPr>
            <w:tcW w:w="568" w:type="pct"/>
            <w:shd w:val="clear" w:color="auto" w:fill="BFBFBF" w:themeFill="background1" w:themeFillShade="BF"/>
            <w:noWrap/>
            <w:vAlign w:val="bottom"/>
          </w:tcPr>
          <w:p w:rsidR="007D13F3" w:rsidRPr="0046378C" w:rsidRDefault="007D13F3" w:rsidP="00465CAC">
            <w:pPr>
              <w:jc w:val="right"/>
              <w:rPr>
                <w:rFonts w:ascii="Times New Roman" w:hAnsi="Times New Roman" w:cs="Times New Roman"/>
                <w:b/>
                <w:bCs/>
                <w:color w:val="000000"/>
                <w:sz w:val="14"/>
                <w:szCs w:val="14"/>
              </w:rPr>
            </w:pPr>
            <w:r w:rsidRPr="0046378C">
              <w:rPr>
                <w:rFonts w:ascii="Times New Roman" w:hAnsi="Times New Roman" w:cs="Times New Roman"/>
                <w:b/>
                <w:bCs/>
                <w:color w:val="000000"/>
                <w:sz w:val="14"/>
                <w:szCs w:val="14"/>
              </w:rPr>
              <w:t>2 494 949 218</w:t>
            </w:r>
          </w:p>
        </w:tc>
        <w:tc>
          <w:tcPr>
            <w:tcW w:w="567" w:type="pct"/>
            <w:shd w:val="clear" w:color="auto" w:fill="BFBFBF" w:themeFill="background1" w:themeFillShade="BF"/>
            <w:noWrap/>
            <w:vAlign w:val="bottom"/>
          </w:tcPr>
          <w:p w:rsidR="007D13F3" w:rsidRPr="0046378C" w:rsidRDefault="007D13F3" w:rsidP="00465CAC">
            <w:pPr>
              <w:jc w:val="right"/>
              <w:rPr>
                <w:rFonts w:ascii="Times New Roman" w:hAnsi="Times New Roman" w:cs="Times New Roman"/>
                <w:b/>
                <w:bCs/>
                <w:color w:val="000000"/>
                <w:sz w:val="14"/>
                <w:szCs w:val="14"/>
              </w:rPr>
            </w:pPr>
            <w:r w:rsidRPr="0046378C">
              <w:rPr>
                <w:rFonts w:ascii="Times New Roman" w:hAnsi="Times New Roman" w:cs="Times New Roman"/>
                <w:b/>
                <w:bCs/>
                <w:color w:val="000000"/>
                <w:sz w:val="14"/>
                <w:szCs w:val="14"/>
              </w:rPr>
              <w:t>2 506 866 927</w:t>
            </w:r>
          </w:p>
        </w:tc>
      </w:tr>
      <w:tr w:rsidR="007D13F3" w:rsidRPr="00F95CC5" w:rsidTr="00B125B2">
        <w:trPr>
          <w:trHeight w:val="276"/>
        </w:trPr>
        <w:tc>
          <w:tcPr>
            <w:tcW w:w="1025" w:type="pct"/>
            <w:shd w:val="clear" w:color="000000" w:fill="FFFFFF"/>
            <w:vAlign w:val="bottom"/>
          </w:tcPr>
          <w:p w:rsidR="007D13F3" w:rsidRPr="00F95CC5" w:rsidRDefault="007D13F3" w:rsidP="00465CAC">
            <w:pPr>
              <w:rPr>
                <w:rFonts w:ascii="Times New Roman" w:hAnsi="Times New Roman" w:cs="Times New Roman"/>
                <w:sz w:val="14"/>
                <w:szCs w:val="14"/>
              </w:rPr>
            </w:pPr>
            <w:r w:rsidRPr="00F95CC5">
              <w:rPr>
                <w:rFonts w:ascii="Times New Roman" w:hAnsi="Times New Roman" w:cs="Times New Roman"/>
                <w:sz w:val="14"/>
                <w:szCs w:val="14"/>
              </w:rPr>
              <w:t>Efektívna a spoľahlivá štátna správa</w:t>
            </w:r>
          </w:p>
        </w:tc>
        <w:tc>
          <w:tcPr>
            <w:tcW w:w="568" w:type="pct"/>
            <w:shd w:val="clear" w:color="auto" w:fill="auto"/>
            <w:noWrap/>
            <w:vAlign w:val="bottom"/>
          </w:tcPr>
          <w:p w:rsidR="007D13F3" w:rsidRPr="00B15761" w:rsidRDefault="007D13F3" w:rsidP="00465CAC">
            <w:pPr>
              <w:jc w:val="right"/>
              <w:rPr>
                <w:rFonts w:ascii="Times New Roman" w:hAnsi="Times New Roman" w:cs="Times New Roman"/>
                <w:color w:val="000000"/>
                <w:sz w:val="14"/>
                <w:szCs w:val="14"/>
                <w:highlight w:val="yellow"/>
              </w:rPr>
            </w:pPr>
            <w:r w:rsidRPr="00B15761">
              <w:rPr>
                <w:rFonts w:ascii="Times New Roman" w:hAnsi="Times New Roman" w:cs="Times New Roman"/>
                <w:color w:val="000000"/>
                <w:sz w:val="14"/>
                <w:szCs w:val="14"/>
              </w:rPr>
              <w:t>1 105 675 110</w:t>
            </w:r>
          </w:p>
        </w:tc>
        <w:tc>
          <w:tcPr>
            <w:tcW w:w="568" w:type="pct"/>
            <w:shd w:val="clear" w:color="auto" w:fill="auto"/>
            <w:noWrap/>
            <w:vAlign w:val="bottom"/>
          </w:tcPr>
          <w:p w:rsidR="007D13F3" w:rsidRPr="00B15761" w:rsidRDefault="007D13F3" w:rsidP="00465CAC">
            <w:pPr>
              <w:jc w:val="right"/>
              <w:rPr>
                <w:rFonts w:ascii="Times New Roman" w:hAnsi="Times New Roman" w:cs="Times New Roman"/>
                <w:color w:val="000000"/>
                <w:sz w:val="14"/>
                <w:szCs w:val="14"/>
                <w:highlight w:val="yellow"/>
              </w:rPr>
            </w:pPr>
            <w:r w:rsidRPr="00B15761">
              <w:rPr>
                <w:rFonts w:ascii="Times New Roman" w:hAnsi="Times New Roman" w:cs="Times New Roman"/>
                <w:color w:val="000000"/>
                <w:sz w:val="14"/>
                <w:szCs w:val="14"/>
              </w:rPr>
              <w:t>1 050 381 162</w:t>
            </w:r>
          </w:p>
        </w:tc>
        <w:tc>
          <w:tcPr>
            <w:tcW w:w="568" w:type="pct"/>
            <w:shd w:val="clear" w:color="auto" w:fill="auto"/>
            <w:vAlign w:val="bottom"/>
          </w:tcPr>
          <w:p w:rsidR="007D13F3" w:rsidRPr="00B15761" w:rsidRDefault="007D13F3" w:rsidP="00465CAC">
            <w:pPr>
              <w:jc w:val="right"/>
              <w:rPr>
                <w:rFonts w:ascii="Times New Roman" w:hAnsi="Times New Roman" w:cs="Times New Roman"/>
                <w:sz w:val="14"/>
                <w:szCs w:val="14"/>
                <w:highlight w:val="yellow"/>
              </w:rPr>
            </w:pPr>
            <w:r w:rsidRPr="00B15761">
              <w:rPr>
                <w:rFonts w:ascii="Times New Roman" w:hAnsi="Times New Roman" w:cs="Times New Roman"/>
                <w:sz w:val="14"/>
                <w:szCs w:val="14"/>
              </w:rPr>
              <w:t>1 134 430 006</w:t>
            </w:r>
          </w:p>
        </w:tc>
        <w:tc>
          <w:tcPr>
            <w:tcW w:w="568" w:type="pct"/>
            <w:shd w:val="clear" w:color="auto" w:fill="FFFFFF" w:themeFill="background1"/>
            <w:vAlign w:val="bottom"/>
          </w:tcPr>
          <w:p w:rsidR="007D13F3" w:rsidRPr="00B15761" w:rsidRDefault="007D13F3" w:rsidP="00465CAC">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1 163 590 355</w:t>
            </w:r>
          </w:p>
        </w:tc>
        <w:tc>
          <w:tcPr>
            <w:tcW w:w="568" w:type="pct"/>
            <w:shd w:val="clear" w:color="auto" w:fill="auto"/>
            <w:vAlign w:val="bottom"/>
          </w:tcPr>
          <w:p w:rsidR="007D13F3" w:rsidRPr="00B15761" w:rsidRDefault="007D13F3" w:rsidP="00465CAC">
            <w:pPr>
              <w:autoSpaceDE w:val="0"/>
              <w:autoSpaceDN w:val="0"/>
              <w:adjustRightInd w:val="0"/>
              <w:jc w:val="right"/>
              <w:rPr>
                <w:rFonts w:ascii="Times New Roman" w:hAnsi="Times New Roman" w:cs="Times New Roman"/>
                <w:sz w:val="14"/>
                <w:szCs w:val="14"/>
                <w:highlight w:val="yellow"/>
              </w:rPr>
            </w:pPr>
            <w:r w:rsidRPr="00564A43">
              <w:rPr>
                <w:rFonts w:ascii="Times New Roman" w:hAnsi="Times New Roman" w:cs="Times New Roman"/>
                <w:sz w:val="14"/>
                <w:szCs w:val="14"/>
              </w:rPr>
              <w:t>1 159 849 224</w:t>
            </w:r>
          </w:p>
        </w:tc>
        <w:tc>
          <w:tcPr>
            <w:tcW w:w="568" w:type="pct"/>
            <w:shd w:val="clear" w:color="auto" w:fill="auto"/>
            <w:vAlign w:val="bottom"/>
          </w:tcPr>
          <w:p w:rsidR="007D13F3" w:rsidRPr="00B15761" w:rsidRDefault="007D13F3" w:rsidP="00465CAC">
            <w:pPr>
              <w:autoSpaceDE w:val="0"/>
              <w:autoSpaceDN w:val="0"/>
              <w:adjustRightInd w:val="0"/>
              <w:jc w:val="right"/>
              <w:rPr>
                <w:rFonts w:ascii="Times New Roman" w:hAnsi="Times New Roman" w:cs="Times New Roman"/>
                <w:sz w:val="14"/>
                <w:szCs w:val="14"/>
                <w:highlight w:val="yellow"/>
              </w:rPr>
            </w:pPr>
            <w:r w:rsidRPr="00EB7284">
              <w:rPr>
                <w:rFonts w:ascii="Times New Roman" w:hAnsi="Times New Roman" w:cs="Times New Roman"/>
                <w:sz w:val="14"/>
                <w:szCs w:val="14"/>
              </w:rPr>
              <w:t>1 172 084 421</w:t>
            </w:r>
          </w:p>
        </w:tc>
        <w:tc>
          <w:tcPr>
            <w:tcW w:w="567" w:type="pct"/>
            <w:shd w:val="clear" w:color="auto" w:fill="auto"/>
            <w:vAlign w:val="bottom"/>
          </w:tcPr>
          <w:p w:rsidR="007D13F3" w:rsidRPr="00B15761" w:rsidRDefault="007D13F3" w:rsidP="00465CAC">
            <w:pPr>
              <w:autoSpaceDE w:val="0"/>
              <w:autoSpaceDN w:val="0"/>
              <w:adjustRightInd w:val="0"/>
              <w:jc w:val="right"/>
              <w:rPr>
                <w:rFonts w:ascii="Times New Roman" w:hAnsi="Times New Roman" w:cs="Times New Roman"/>
                <w:sz w:val="14"/>
                <w:szCs w:val="14"/>
                <w:highlight w:val="yellow"/>
              </w:rPr>
            </w:pPr>
            <w:r w:rsidRPr="00EB7284">
              <w:rPr>
                <w:rFonts w:ascii="Times New Roman" w:hAnsi="Times New Roman" w:cs="Times New Roman"/>
                <w:sz w:val="14"/>
                <w:szCs w:val="14"/>
              </w:rPr>
              <w:t>1 161 277 446</w:t>
            </w:r>
          </w:p>
        </w:tc>
      </w:tr>
      <w:tr w:rsidR="007D13F3" w:rsidRPr="00F95CC5" w:rsidTr="00B125B2">
        <w:trPr>
          <w:trHeight w:val="261"/>
        </w:trPr>
        <w:tc>
          <w:tcPr>
            <w:tcW w:w="1025" w:type="pct"/>
            <w:shd w:val="clear" w:color="000000" w:fill="FFFFFF"/>
            <w:vAlign w:val="bottom"/>
          </w:tcPr>
          <w:p w:rsidR="007D13F3" w:rsidRPr="004A0AAC" w:rsidRDefault="007D13F3" w:rsidP="00465CAC">
            <w:pPr>
              <w:rPr>
                <w:rFonts w:ascii="Times New Roman" w:hAnsi="Times New Roman" w:cs="Times New Roman"/>
                <w:sz w:val="14"/>
                <w:szCs w:val="14"/>
              </w:rPr>
            </w:pPr>
            <w:r w:rsidRPr="00F74FE8">
              <w:rPr>
                <w:rFonts w:ascii="Times New Roman" w:hAnsi="Times New Roman" w:cs="Times New Roman"/>
                <w:sz w:val="14"/>
                <w:szCs w:val="14"/>
              </w:rPr>
              <w:t>Informačné technológie</w:t>
            </w:r>
          </w:p>
        </w:tc>
        <w:tc>
          <w:tcPr>
            <w:tcW w:w="568" w:type="pct"/>
            <w:shd w:val="clear" w:color="auto" w:fill="auto"/>
            <w:noWrap/>
            <w:vAlign w:val="bottom"/>
          </w:tcPr>
          <w:p w:rsidR="007D13F3" w:rsidRPr="00B15761" w:rsidRDefault="007D13F3" w:rsidP="00465CAC">
            <w:pPr>
              <w:jc w:val="right"/>
              <w:rPr>
                <w:rFonts w:ascii="Times New Roman" w:hAnsi="Times New Roman" w:cs="Times New Roman"/>
                <w:bCs/>
                <w:sz w:val="14"/>
                <w:szCs w:val="14"/>
              </w:rPr>
            </w:pPr>
            <w:r w:rsidRPr="00B15761">
              <w:rPr>
                <w:rFonts w:ascii="Times New Roman" w:hAnsi="Times New Roman" w:cs="Times New Roman"/>
                <w:bCs/>
                <w:sz w:val="14"/>
                <w:szCs w:val="14"/>
              </w:rPr>
              <w:t>0</w:t>
            </w:r>
          </w:p>
        </w:tc>
        <w:tc>
          <w:tcPr>
            <w:tcW w:w="568" w:type="pct"/>
            <w:shd w:val="clear" w:color="auto" w:fill="auto"/>
            <w:noWrap/>
            <w:vAlign w:val="bottom"/>
          </w:tcPr>
          <w:p w:rsidR="007D13F3" w:rsidRPr="00B15761" w:rsidRDefault="007D13F3" w:rsidP="00465CAC">
            <w:pPr>
              <w:jc w:val="right"/>
              <w:rPr>
                <w:rFonts w:ascii="Times New Roman" w:hAnsi="Times New Roman" w:cs="Times New Roman"/>
                <w:bCs/>
                <w:sz w:val="14"/>
                <w:szCs w:val="14"/>
              </w:rPr>
            </w:pPr>
            <w:r w:rsidRPr="00B15761">
              <w:rPr>
                <w:rFonts w:ascii="Times New Roman" w:hAnsi="Times New Roman" w:cs="Times New Roman"/>
                <w:bCs/>
                <w:sz w:val="14"/>
                <w:szCs w:val="14"/>
              </w:rPr>
              <w:t>0</w:t>
            </w:r>
          </w:p>
        </w:tc>
        <w:tc>
          <w:tcPr>
            <w:tcW w:w="568" w:type="pct"/>
            <w:shd w:val="clear" w:color="auto" w:fill="auto"/>
            <w:vAlign w:val="bottom"/>
          </w:tcPr>
          <w:p w:rsidR="007D13F3" w:rsidRPr="00B15761" w:rsidRDefault="007D13F3" w:rsidP="00465CAC">
            <w:pPr>
              <w:jc w:val="right"/>
              <w:rPr>
                <w:rFonts w:ascii="Times New Roman" w:hAnsi="Times New Roman" w:cs="Times New Roman"/>
                <w:sz w:val="14"/>
                <w:szCs w:val="14"/>
                <w:highlight w:val="yellow"/>
              </w:rPr>
            </w:pPr>
            <w:r w:rsidRPr="00B15761">
              <w:rPr>
                <w:rFonts w:ascii="Times New Roman" w:hAnsi="Times New Roman" w:cs="Times New Roman"/>
                <w:sz w:val="14"/>
                <w:szCs w:val="14"/>
              </w:rPr>
              <w:t>34 096 126</w:t>
            </w:r>
          </w:p>
        </w:tc>
        <w:tc>
          <w:tcPr>
            <w:tcW w:w="568" w:type="pct"/>
            <w:shd w:val="clear" w:color="auto" w:fill="FFFFFF" w:themeFill="background1"/>
            <w:vAlign w:val="bottom"/>
          </w:tcPr>
          <w:p w:rsidR="007D13F3" w:rsidRPr="00B15761" w:rsidRDefault="007D13F3" w:rsidP="00465CAC">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33 790 124</w:t>
            </w:r>
          </w:p>
        </w:tc>
        <w:tc>
          <w:tcPr>
            <w:tcW w:w="568" w:type="pct"/>
            <w:shd w:val="clear" w:color="auto" w:fill="auto"/>
            <w:vAlign w:val="bottom"/>
          </w:tcPr>
          <w:p w:rsidR="007D13F3" w:rsidRPr="00B15761" w:rsidRDefault="007D13F3" w:rsidP="00465CAC">
            <w:pPr>
              <w:autoSpaceDE w:val="0"/>
              <w:autoSpaceDN w:val="0"/>
              <w:adjustRightInd w:val="0"/>
              <w:jc w:val="right"/>
              <w:rPr>
                <w:rFonts w:ascii="Times New Roman" w:hAnsi="Times New Roman" w:cs="Times New Roman"/>
                <w:sz w:val="14"/>
                <w:szCs w:val="14"/>
                <w:highlight w:val="yellow"/>
              </w:rPr>
            </w:pPr>
            <w:r w:rsidRPr="00B15761">
              <w:rPr>
                <w:rFonts w:ascii="Times New Roman" w:hAnsi="Times New Roman" w:cs="Times New Roman"/>
                <w:sz w:val="14"/>
                <w:szCs w:val="14"/>
              </w:rPr>
              <w:t>43 426 730</w:t>
            </w:r>
          </w:p>
        </w:tc>
        <w:tc>
          <w:tcPr>
            <w:tcW w:w="568" w:type="pct"/>
            <w:shd w:val="clear" w:color="auto" w:fill="auto"/>
            <w:vAlign w:val="bottom"/>
          </w:tcPr>
          <w:p w:rsidR="007D13F3" w:rsidRPr="00B15761" w:rsidRDefault="007D13F3" w:rsidP="00465CAC">
            <w:pPr>
              <w:autoSpaceDE w:val="0"/>
              <w:autoSpaceDN w:val="0"/>
              <w:adjustRightInd w:val="0"/>
              <w:jc w:val="right"/>
              <w:rPr>
                <w:rFonts w:ascii="Times New Roman" w:hAnsi="Times New Roman" w:cs="Times New Roman"/>
                <w:sz w:val="14"/>
                <w:szCs w:val="14"/>
                <w:highlight w:val="yellow"/>
              </w:rPr>
            </w:pPr>
            <w:r w:rsidRPr="00B15761">
              <w:rPr>
                <w:rFonts w:ascii="Times New Roman" w:hAnsi="Times New Roman" w:cs="Times New Roman"/>
                <w:sz w:val="14"/>
                <w:szCs w:val="14"/>
              </w:rPr>
              <w:t>43 426 730</w:t>
            </w:r>
          </w:p>
        </w:tc>
        <w:tc>
          <w:tcPr>
            <w:tcW w:w="567" w:type="pct"/>
            <w:shd w:val="clear" w:color="auto" w:fill="auto"/>
            <w:vAlign w:val="bottom"/>
          </w:tcPr>
          <w:p w:rsidR="007D13F3" w:rsidRPr="00B15761" w:rsidRDefault="007D13F3" w:rsidP="00465CAC">
            <w:pPr>
              <w:autoSpaceDE w:val="0"/>
              <w:autoSpaceDN w:val="0"/>
              <w:adjustRightInd w:val="0"/>
              <w:jc w:val="right"/>
              <w:rPr>
                <w:rFonts w:ascii="Times New Roman" w:hAnsi="Times New Roman" w:cs="Times New Roman"/>
                <w:sz w:val="14"/>
                <w:szCs w:val="14"/>
                <w:highlight w:val="yellow"/>
              </w:rPr>
            </w:pPr>
            <w:r w:rsidRPr="00B15761">
              <w:rPr>
                <w:rFonts w:ascii="Times New Roman" w:hAnsi="Times New Roman" w:cs="Times New Roman"/>
                <w:sz w:val="14"/>
                <w:szCs w:val="14"/>
              </w:rPr>
              <w:t>43 426 730</w:t>
            </w:r>
          </w:p>
        </w:tc>
      </w:tr>
      <w:tr w:rsidR="007D13F3" w:rsidRPr="00F95CC5" w:rsidTr="00B125B2">
        <w:trPr>
          <w:trHeight w:val="261"/>
        </w:trPr>
        <w:tc>
          <w:tcPr>
            <w:tcW w:w="1025" w:type="pct"/>
            <w:shd w:val="clear" w:color="000000" w:fill="FFFFFF"/>
            <w:vAlign w:val="bottom"/>
          </w:tcPr>
          <w:p w:rsidR="007D13F3" w:rsidRPr="00F95CC5" w:rsidRDefault="007D13F3" w:rsidP="00465CAC">
            <w:pPr>
              <w:rPr>
                <w:rFonts w:ascii="Times New Roman" w:hAnsi="Times New Roman" w:cs="Times New Roman"/>
                <w:bCs/>
                <w:sz w:val="14"/>
                <w:szCs w:val="14"/>
              </w:rPr>
            </w:pPr>
            <w:r w:rsidRPr="00F95CC5">
              <w:rPr>
                <w:rFonts w:ascii="Times New Roman" w:hAnsi="Times New Roman" w:cs="Times New Roman"/>
                <w:bCs/>
                <w:sz w:val="14"/>
                <w:szCs w:val="14"/>
              </w:rPr>
              <w:t>Výchova a vzdelávanie</w:t>
            </w:r>
          </w:p>
        </w:tc>
        <w:tc>
          <w:tcPr>
            <w:tcW w:w="568" w:type="pct"/>
            <w:shd w:val="clear" w:color="auto" w:fill="auto"/>
            <w:noWrap/>
            <w:vAlign w:val="bottom"/>
          </w:tcPr>
          <w:p w:rsidR="007D13F3" w:rsidRPr="00B15761" w:rsidRDefault="007D13F3" w:rsidP="00465CAC">
            <w:pPr>
              <w:jc w:val="right"/>
              <w:rPr>
                <w:rFonts w:ascii="Times New Roman" w:hAnsi="Times New Roman" w:cs="Times New Roman"/>
                <w:bCs/>
                <w:sz w:val="14"/>
                <w:szCs w:val="14"/>
                <w:highlight w:val="yellow"/>
              </w:rPr>
            </w:pPr>
            <w:r w:rsidRPr="00B15761">
              <w:rPr>
                <w:rFonts w:ascii="Times New Roman" w:hAnsi="Times New Roman" w:cs="Times New Roman"/>
                <w:bCs/>
                <w:sz w:val="14"/>
                <w:szCs w:val="14"/>
              </w:rPr>
              <w:t>1 069 214 947</w:t>
            </w:r>
          </w:p>
        </w:tc>
        <w:tc>
          <w:tcPr>
            <w:tcW w:w="568" w:type="pct"/>
            <w:shd w:val="clear" w:color="auto" w:fill="auto"/>
            <w:noWrap/>
            <w:vAlign w:val="bottom"/>
          </w:tcPr>
          <w:p w:rsidR="007D13F3" w:rsidRPr="00B15761" w:rsidRDefault="007D13F3" w:rsidP="00465CAC">
            <w:pPr>
              <w:jc w:val="right"/>
              <w:rPr>
                <w:rFonts w:ascii="Times New Roman" w:hAnsi="Times New Roman" w:cs="Times New Roman"/>
                <w:bCs/>
                <w:sz w:val="14"/>
                <w:szCs w:val="14"/>
              </w:rPr>
            </w:pPr>
            <w:r w:rsidRPr="00B15761">
              <w:rPr>
                <w:rFonts w:ascii="Times New Roman" w:hAnsi="Times New Roman" w:cs="Times New Roman"/>
                <w:bCs/>
                <w:sz w:val="14"/>
                <w:szCs w:val="14"/>
              </w:rPr>
              <w:t>1 131 981 401</w:t>
            </w:r>
          </w:p>
        </w:tc>
        <w:tc>
          <w:tcPr>
            <w:tcW w:w="568" w:type="pct"/>
            <w:shd w:val="clear" w:color="auto" w:fill="auto"/>
            <w:noWrap/>
            <w:vAlign w:val="bottom"/>
          </w:tcPr>
          <w:p w:rsidR="007D13F3" w:rsidRPr="00B15761" w:rsidRDefault="007D13F3" w:rsidP="00465CAC">
            <w:pPr>
              <w:jc w:val="right"/>
              <w:rPr>
                <w:rFonts w:ascii="Times New Roman" w:hAnsi="Times New Roman" w:cs="Times New Roman"/>
                <w:sz w:val="14"/>
                <w:szCs w:val="14"/>
                <w:highlight w:val="yellow"/>
              </w:rPr>
            </w:pPr>
            <w:r w:rsidRPr="00B15761">
              <w:rPr>
                <w:rFonts w:ascii="Times New Roman" w:hAnsi="Times New Roman" w:cs="Times New Roman"/>
                <w:sz w:val="14"/>
                <w:szCs w:val="14"/>
              </w:rPr>
              <w:t>1 103 539 920</w:t>
            </w:r>
          </w:p>
        </w:tc>
        <w:tc>
          <w:tcPr>
            <w:tcW w:w="568" w:type="pct"/>
            <w:shd w:val="clear" w:color="auto" w:fill="FFFFFF" w:themeFill="background1"/>
            <w:vAlign w:val="bottom"/>
          </w:tcPr>
          <w:p w:rsidR="007D13F3" w:rsidRPr="00B15761" w:rsidRDefault="007D13F3" w:rsidP="00465CAC">
            <w:pPr>
              <w:autoSpaceDE w:val="0"/>
              <w:autoSpaceDN w:val="0"/>
              <w:adjustRightInd w:val="0"/>
              <w:jc w:val="right"/>
              <w:rPr>
                <w:rFonts w:ascii="Times New Roman" w:hAnsi="Times New Roman" w:cs="Times New Roman"/>
                <w:sz w:val="14"/>
                <w:szCs w:val="14"/>
                <w:highlight w:val="yellow"/>
              </w:rPr>
            </w:pPr>
            <w:r w:rsidRPr="008D1EBD">
              <w:rPr>
                <w:rFonts w:ascii="Times New Roman" w:hAnsi="Times New Roman" w:cs="Times New Roman"/>
                <w:sz w:val="14"/>
                <w:szCs w:val="14"/>
              </w:rPr>
              <w:t>1 167 527 704</w:t>
            </w:r>
          </w:p>
        </w:tc>
        <w:tc>
          <w:tcPr>
            <w:tcW w:w="568" w:type="pct"/>
            <w:shd w:val="clear" w:color="auto" w:fill="auto"/>
            <w:vAlign w:val="bottom"/>
          </w:tcPr>
          <w:p w:rsidR="007D13F3" w:rsidRPr="00B15761" w:rsidRDefault="007D13F3" w:rsidP="00465CAC">
            <w:pPr>
              <w:autoSpaceDE w:val="0"/>
              <w:autoSpaceDN w:val="0"/>
              <w:adjustRightInd w:val="0"/>
              <w:jc w:val="right"/>
              <w:rPr>
                <w:rFonts w:ascii="Times New Roman" w:hAnsi="Times New Roman" w:cs="Times New Roman"/>
                <w:sz w:val="14"/>
                <w:szCs w:val="14"/>
                <w:highlight w:val="yellow"/>
              </w:rPr>
            </w:pPr>
            <w:r w:rsidRPr="006E102F">
              <w:rPr>
                <w:rFonts w:ascii="Times New Roman" w:hAnsi="Times New Roman" w:cs="Times New Roman"/>
                <w:sz w:val="14"/>
                <w:szCs w:val="14"/>
              </w:rPr>
              <w:t>1 164 714 272</w:t>
            </w:r>
          </w:p>
        </w:tc>
        <w:tc>
          <w:tcPr>
            <w:tcW w:w="568" w:type="pct"/>
            <w:shd w:val="clear" w:color="auto" w:fill="auto"/>
            <w:vAlign w:val="bottom"/>
          </w:tcPr>
          <w:p w:rsidR="007D13F3" w:rsidRPr="00B15761" w:rsidRDefault="007D13F3" w:rsidP="00465CAC">
            <w:pPr>
              <w:autoSpaceDE w:val="0"/>
              <w:autoSpaceDN w:val="0"/>
              <w:adjustRightInd w:val="0"/>
              <w:jc w:val="right"/>
              <w:rPr>
                <w:rFonts w:ascii="Times New Roman" w:hAnsi="Times New Roman" w:cs="Times New Roman"/>
                <w:sz w:val="14"/>
                <w:szCs w:val="14"/>
                <w:highlight w:val="yellow"/>
              </w:rPr>
            </w:pPr>
            <w:r w:rsidRPr="006E102F">
              <w:rPr>
                <w:rFonts w:ascii="Times New Roman" w:hAnsi="Times New Roman" w:cs="Times New Roman"/>
                <w:sz w:val="14"/>
                <w:szCs w:val="14"/>
              </w:rPr>
              <w:t>1 164 714 272</w:t>
            </w:r>
          </w:p>
        </w:tc>
        <w:tc>
          <w:tcPr>
            <w:tcW w:w="567" w:type="pct"/>
            <w:shd w:val="clear" w:color="auto" w:fill="auto"/>
            <w:vAlign w:val="bottom"/>
          </w:tcPr>
          <w:p w:rsidR="007D13F3" w:rsidRPr="00B15761" w:rsidRDefault="007D13F3" w:rsidP="00465CAC">
            <w:pPr>
              <w:autoSpaceDE w:val="0"/>
              <w:autoSpaceDN w:val="0"/>
              <w:adjustRightInd w:val="0"/>
              <w:jc w:val="right"/>
              <w:rPr>
                <w:rFonts w:ascii="Times New Roman" w:hAnsi="Times New Roman" w:cs="Times New Roman"/>
                <w:sz w:val="14"/>
                <w:szCs w:val="14"/>
                <w:highlight w:val="yellow"/>
              </w:rPr>
            </w:pPr>
            <w:r w:rsidRPr="006E102F">
              <w:rPr>
                <w:rFonts w:ascii="Times New Roman" w:hAnsi="Times New Roman" w:cs="Times New Roman"/>
                <w:sz w:val="14"/>
                <w:szCs w:val="14"/>
              </w:rPr>
              <w:t>1 164 714 272</w:t>
            </w:r>
          </w:p>
        </w:tc>
      </w:tr>
      <w:tr w:rsidR="007D13F3" w:rsidRPr="00F95CC5" w:rsidTr="00B125B2">
        <w:trPr>
          <w:trHeight w:val="261"/>
        </w:trPr>
        <w:tc>
          <w:tcPr>
            <w:tcW w:w="1025" w:type="pct"/>
            <w:shd w:val="clear" w:color="000000" w:fill="FFFFFF"/>
            <w:vAlign w:val="bottom"/>
          </w:tcPr>
          <w:p w:rsidR="007D13F3" w:rsidRPr="00F95CC5" w:rsidRDefault="007D13F3" w:rsidP="00465CAC">
            <w:pPr>
              <w:rPr>
                <w:rFonts w:ascii="Times New Roman" w:hAnsi="Times New Roman" w:cs="Times New Roman"/>
                <w:bCs/>
                <w:sz w:val="14"/>
                <w:szCs w:val="14"/>
              </w:rPr>
            </w:pPr>
            <w:r w:rsidRPr="00F95CC5">
              <w:rPr>
                <w:rFonts w:ascii="Times New Roman" w:hAnsi="Times New Roman" w:cs="Times New Roman"/>
                <w:bCs/>
                <w:sz w:val="14"/>
                <w:szCs w:val="14"/>
              </w:rPr>
              <w:t>Medzirezortné programy</w:t>
            </w:r>
          </w:p>
        </w:tc>
        <w:tc>
          <w:tcPr>
            <w:tcW w:w="568" w:type="pct"/>
            <w:shd w:val="clear" w:color="auto" w:fill="auto"/>
            <w:noWrap/>
            <w:vAlign w:val="bottom"/>
          </w:tcPr>
          <w:p w:rsidR="007D13F3" w:rsidRPr="00B15761" w:rsidRDefault="007D13F3" w:rsidP="00465CAC">
            <w:pPr>
              <w:jc w:val="right"/>
              <w:rPr>
                <w:rFonts w:ascii="Times New Roman" w:hAnsi="Times New Roman" w:cs="Times New Roman"/>
                <w:sz w:val="14"/>
                <w:szCs w:val="14"/>
                <w:highlight w:val="yellow"/>
              </w:rPr>
            </w:pPr>
            <w:r w:rsidRPr="00B15761">
              <w:rPr>
                <w:rFonts w:ascii="Times New Roman" w:hAnsi="Times New Roman" w:cs="Times New Roman"/>
                <w:sz w:val="14"/>
                <w:szCs w:val="14"/>
              </w:rPr>
              <w:t>772 059</w:t>
            </w:r>
          </w:p>
        </w:tc>
        <w:tc>
          <w:tcPr>
            <w:tcW w:w="568" w:type="pct"/>
            <w:shd w:val="clear" w:color="auto" w:fill="auto"/>
            <w:vAlign w:val="bottom"/>
          </w:tcPr>
          <w:p w:rsidR="007D13F3" w:rsidRPr="00B15761" w:rsidRDefault="007D13F3" w:rsidP="00465CAC">
            <w:pPr>
              <w:jc w:val="right"/>
              <w:rPr>
                <w:rFonts w:ascii="Times New Roman" w:hAnsi="Times New Roman" w:cs="Times New Roman"/>
                <w:sz w:val="14"/>
                <w:szCs w:val="14"/>
              </w:rPr>
            </w:pPr>
            <w:r w:rsidRPr="00B15761">
              <w:rPr>
                <w:rFonts w:ascii="Times New Roman" w:hAnsi="Times New Roman" w:cs="Times New Roman"/>
                <w:sz w:val="14"/>
                <w:szCs w:val="14"/>
              </w:rPr>
              <w:t>1 581 376</w:t>
            </w:r>
          </w:p>
        </w:tc>
        <w:tc>
          <w:tcPr>
            <w:tcW w:w="568" w:type="pct"/>
            <w:shd w:val="clear" w:color="auto" w:fill="auto"/>
            <w:vAlign w:val="bottom"/>
          </w:tcPr>
          <w:p w:rsidR="007D13F3" w:rsidRPr="00B15761" w:rsidRDefault="007D13F3" w:rsidP="00465CAC">
            <w:pPr>
              <w:autoSpaceDE w:val="0"/>
              <w:autoSpaceDN w:val="0"/>
              <w:adjustRightInd w:val="0"/>
              <w:jc w:val="right"/>
              <w:rPr>
                <w:rFonts w:ascii="Times New Roman" w:hAnsi="Times New Roman" w:cs="Times New Roman"/>
                <w:sz w:val="14"/>
                <w:szCs w:val="14"/>
                <w:highlight w:val="yellow"/>
              </w:rPr>
            </w:pPr>
            <w:r w:rsidRPr="00B15761">
              <w:rPr>
                <w:rFonts w:ascii="Times New Roman" w:hAnsi="Times New Roman" w:cs="Times New Roman"/>
                <w:sz w:val="14"/>
                <w:szCs w:val="14"/>
              </w:rPr>
              <w:t>352 215</w:t>
            </w:r>
          </w:p>
        </w:tc>
        <w:tc>
          <w:tcPr>
            <w:tcW w:w="568" w:type="pct"/>
            <w:shd w:val="clear" w:color="auto" w:fill="FFFFFF" w:themeFill="background1"/>
            <w:vAlign w:val="bottom"/>
          </w:tcPr>
          <w:p w:rsidR="007D13F3" w:rsidRPr="00B15761" w:rsidRDefault="007D13F3" w:rsidP="00465CAC">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384 215</w:t>
            </w:r>
          </w:p>
        </w:tc>
        <w:tc>
          <w:tcPr>
            <w:tcW w:w="568" w:type="pct"/>
            <w:shd w:val="clear" w:color="auto" w:fill="auto"/>
            <w:vAlign w:val="bottom"/>
          </w:tcPr>
          <w:p w:rsidR="007D13F3" w:rsidRPr="00B15761" w:rsidRDefault="007D13F3" w:rsidP="00465CAC">
            <w:pPr>
              <w:autoSpaceDE w:val="0"/>
              <w:autoSpaceDN w:val="0"/>
              <w:adjustRightInd w:val="0"/>
              <w:jc w:val="right"/>
              <w:rPr>
                <w:rFonts w:ascii="Times New Roman" w:hAnsi="Times New Roman" w:cs="Times New Roman"/>
                <w:sz w:val="14"/>
                <w:szCs w:val="14"/>
              </w:rPr>
            </w:pPr>
            <w:r w:rsidRPr="00B15761">
              <w:rPr>
                <w:rFonts w:ascii="Times New Roman" w:hAnsi="Times New Roman" w:cs="Times New Roman"/>
                <w:sz w:val="14"/>
                <w:szCs w:val="14"/>
              </w:rPr>
              <w:t>352 065</w:t>
            </w:r>
          </w:p>
        </w:tc>
        <w:tc>
          <w:tcPr>
            <w:tcW w:w="568" w:type="pct"/>
            <w:shd w:val="clear" w:color="auto" w:fill="auto"/>
            <w:vAlign w:val="bottom"/>
          </w:tcPr>
          <w:p w:rsidR="007D13F3" w:rsidRPr="00B15761" w:rsidRDefault="007D13F3" w:rsidP="00465CAC">
            <w:pPr>
              <w:autoSpaceDE w:val="0"/>
              <w:autoSpaceDN w:val="0"/>
              <w:adjustRightInd w:val="0"/>
              <w:jc w:val="right"/>
              <w:rPr>
                <w:rFonts w:ascii="Times New Roman" w:hAnsi="Times New Roman" w:cs="Times New Roman"/>
                <w:sz w:val="14"/>
                <w:szCs w:val="14"/>
              </w:rPr>
            </w:pPr>
            <w:r w:rsidRPr="00B15761">
              <w:rPr>
                <w:rFonts w:ascii="Times New Roman" w:hAnsi="Times New Roman" w:cs="Times New Roman"/>
                <w:sz w:val="14"/>
                <w:szCs w:val="14"/>
              </w:rPr>
              <w:t>352 065</w:t>
            </w:r>
          </w:p>
        </w:tc>
        <w:tc>
          <w:tcPr>
            <w:tcW w:w="567" w:type="pct"/>
            <w:shd w:val="clear" w:color="auto" w:fill="auto"/>
            <w:vAlign w:val="bottom"/>
          </w:tcPr>
          <w:p w:rsidR="007D13F3" w:rsidRPr="00B15761" w:rsidRDefault="007D13F3" w:rsidP="00465CAC">
            <w:pPr>
              <w:autoSpaceDE w:val="0"/>
              <w:autoSpaceDN w:val="0"/>
              <w:adjustRightInd w:val="0"/>
              <w:jc w:val="right"/>
              <w:rPr>
                <w:rFonts w:ascii="Times New Roman" w:hAnsi="Times New Roman" w:cs="Times New Roman"/>
                <w:sz w:val="14"/>
                <w:szCs w:val="14"/>
              </w:rPr>
            </w:pPr>
            <w:r w:rsidRPr="00B15761">
              <w:rPr>
                <w:rFonts w:ascii="Times New Roman" w:hAnsi="Times New Roman" w:cs="Times New Roman"/>
                <w:sz w:val="14"/>
                <w:szCs w:val="14"/>
              </w:rPr>
              <w:t>352 065</w:t>
            </w:r>
          </w:p>
        </w:tc>
      </w:tr>
      <w:tr w:rsidR="007D13F3" w:rsidRPr="00F95CC5" w:rsidTr="00B125B2">
        <w:trPr>
          <w:trHeight w:val="261"/>
        </w:trPr>
        <w:tc>
          <w:tcPr>
            <w:tcW w:w="1025" w:type="pct"/>
            <w:shd w:val="clear" w:color="000000" w:fill="FFFFFF"/>
            <w:vAlign w:val="bottom"/>
          </w:tcPr>
          <w:p w:rsidR="007D13F3" w:rsidRPr="008B6B73" w:rsidRDefault="007D13F3" w:rsidP="00465CAC">
            <w:pPr>
              <w:rPr>
                <w:rFonts w:ascii="Times New Roman" w:hAnsi="Times New Roman" w:cs="Times New Roman"/>
                <w:sz w:val="14"/>
                <w:szCs w:val="14"/>
              </w:rPr>
            </w:pPr>
            <w:r w:rsidRPr="008B6B73">
              <w:rPr>
                <w:rFonts w:ascii="Times New Roman" w:hAnsi="Times New Roman" w:cs="Times New Roman"/>
                <w:sz w:val="14"/>
                <w:szCs w:val="14"/>
              </w:rPr>
              <w:t>presun z minulých rokov</w:t>
            </w:r>
          </w:p>
        </w:tc>
        <w:tc>
          <w:tcPr>
            <w:tcW w:w="568" w:type="pct"/>
            <w:shd w:val="clear" w:color="auto" w:fill="auto"/>
            <w:noWrap/>
            <w:vAlign w:val="bottom"/>
          </w:tcPr>
          <w:p w:rsidR="007D13F3" w:rsidRPr="00B15761" w:rsidRDefault="007D13F3" w:rsidP="00465CAC">
            <w:pPr>
              <w:jc w:val="right"/>
              <w:rPr>
                <w:rFonts w:ascii="Times New Roman" w:hAnsi="Times New Roman" w:cs="Times New Roman"/>
                <w:color w:val="000000"/>
                <w:sz w:val="14"/>
                <w:szCs w:val="14"/>
              </w:rPr>
            </w:pPr>
            <w:r w:rsidRPr="00B15761">
              <w:rPr>
                <w:rFonts w:ascii="Times New Roman" w:hAnsi="Times New Roman" w:cs="Times New Roman"/>
                <w:color w:val="000000"/>
                <w:sz w:val="14"/>
                <w:szCs w:val="14"/>
              </w:rPr>
              <w:t>102 439 360</w:t>
            </w:r>
          </w:p>
        </w:tc>
        <w:tc>
          <w:tcPr>
            <w:tcW w:w="568" w:type="pct"/>
            <w:shd w:val="clear" w:color="auto" w:fill="auto"/>
            <w:vAlign w:val="bottom"/>
          </w:tcPr>
          <w:p w:rsidR="007D13F3" w:rsidRPr="00B15761" w:rsidRDefault="007D13F3" w:rsidP="00465CAC">
            <w:pPr>
              <w:jc w:val="right"/>
              <w:rPr>
                <w:rFonts w:ascii="Times New Roman" w:hAnsi="Times New Roman" w:cs="Times New Roman"/>
                <w:color w:val="000000"/>
                <w:sz w:val="14"/>
                <w:szCs w:val="14"/>
              </w:rPr>
            </w:pPr>
            <w:r w:rsidRPr="00B15761">
              <w:rPr>
                <w:rFonts w:ascii="Times New Roman" w:hAnsi="Times New Roman" w:cs="Times New Roman"/>
                <w:color w:val="000000"/>
                <w:sz w:val="14"/>
                <w:szCs w:val="14"/>
              </w:rPr>
              <w:t>224 298 384</w:t>
            </w:r>
          </w:p>
        </w:tc>
        <w:tc>
          <w:tcPr>
            <w:tcW w:w="568" w:type="pct"/>
            <w:shd w:val="clear" w:color="auto" w:fill="auto"/>
            <w:vAlign w:val="bottom"/>
          </w:tcPr>
          <w:p w:rsidR="007D13F3" w:rsidRPr="00B15761" w:rsidRDefault="007D13F3" w:rsidP="00465CAC">
            <w:pPr>
              <w:jc w:val="right"/>
              <w:rPr>
                <w:rFonts w:ascii="Times New Roman" w:hAnsi="Times New Roman" w:cs="Times New Roman"/>
                <w:color w:val="000000"/>
                <w:sz w:val="14"/>
                <w:szCs w:val="14"/>
              </w:rPr>
            </w:pPr>
            <w:r w:rsidRPr="00B15761">
              <w:rPr>
                <w:rFonts w:ascii="Times New Roman" w:hAnsi="Times New Roman" w:cs="Times New Roman"/>
                <w:color w:val="000000"/>
                <w:sz w:val="14"/>
                <w:szCs w:val="14"/>
              </w:rPr>
              <w:t>0</w:t>
            </w:r>
          </w:p>
        </w:tc>
        <w:tc>
          <w:tcPr>
            <w:tcW w:w="568" w:type="pct"/>
            <w:shd w:val="clear" w:color="auto" w:fill="FFFFFF" w:themeFill="background1"/>
            <w:vAlign w:val="bottom"/>
          </w:tcPr>
          <w:p w:rsidR="007D13F3" w:rsidRPr="00B15761" w:rsidRDefault="007D13F3" w:rsidP="00465CAC">
            <w:pPr>
              <w:jc w:val="right"/>
              <w:rPr>
                <w:rFonts w:ascii="Times New Roman" w:hAnsi="Times New Roman" w:cs="Times New Roman"/>
                <w:color w:val="000000"/>
                <w:sz w:val="14"/>
                <w:szCs w:val="14"/>
              </w:rPr>
            </w:pPr>
            <w:r w:rsidRPr="00EA561A">
              <w:rPr>
                <w:rFonts w:ascii="Times New Roman" w:hAnsi="Times New Roman" w:cs="Times New Roman"/>
                <w:color w:val="000000"/>
                <w:sz w:val="14"/>
                <w:szCs w:val="14"/>
              </w:rPr>
              <w:t>49 186 189</w:t>
            </w:r>
          </w:p>
        </w:tc>
        <w:tc>
          <w:tcPr>
            <w:tcW w:w="568" w:type="pct"/>
            <w:shd w:val="clear" w:color="000000" w:fill="FFFFFF"/>
            <w:vAlign w:val="bottom"/>
          </w:tcPr>
          <w:p w:rsidR="007D13F3" w:rsidRPr="00B15761" w:rsidRDefault="007D13F3" w:rsidP="00465CAC">
            <w:pPr>
              <w:autoSpaceDE w:val="0"/>
              <w:autoSpaceDN w:val="0"/>
              <w:adjustRightInd w:val="0"/>
              <w:jc w:val="right"/>
              <w:rPr>
                <w:rFonts w:ascii="Times New Roman" w:hAnsi="Times New Roman" w:cs="Times New Roman"/>
                <w:sz w:val="14"/>
                <w:szCs w:val="14"/>
              </w:rPr>
            </w:pPr>
            <w:r w:rsidRPr="00B15761">
              <w:rPr>
                <w:rFonts w:ascii="Times New Roman" w:hAnsi="Times New Roman" w:cs="Times New Roman"/>
                <w:sz w:val="14"/>
                <w:szCs w:val="14"/>
              </w:rPr>
              <w:t>0</w:t>
            </w:r>
          </w:p>
        </w:tc>
        <w:tc>
          <w:tcPr>
            <w:tcW w:w="568" w:type="pct"/>
            <w:shd w:val="clear" w:color="000000" w:fill="FFFFFF"/>
            <w:vAlign w:val="bottom"/>
          </w:tcPr>
          <w:p w:rsidR="007D13F3" w:rsidRPr="00B15761" w:rsidRDefault="007D13F3" w:rsidP="00465CAC">
            <w:pPr>
              <w:autoSpaceDE w:val="0"/>
              <w:autoSpaceDN w:val="0"/>
              <w:adjustRightInd w:val="0"/>
              <w:jc w:val="right"/>
              <w:rPr>
                <w:rFonts w:ascii="Times New Roman" w:hAnsi="Times New Roman" w:cs="Times New Roman"/>
                <w:sz w:val="14"/>
                <w:szCs w:val="14"/>
              </w:rPr>
            </w:pPr>
            <w:r w:rsidRPr="00B15761">
              <w:rPr>
                <w:rFonts w:ascii="Times New Roman" w:hAnsi="Times New Roman" w:cs="Times New Roman"/>
                <w:sz w:val="14"/>
                <w:szCs w:val="14"/>
              </w:rPr>
              <w:t>0</w:t>
            </w:r>
          </w:p>
        </w:tc>
        <w:tc>
          <w:tcPr>
            <w:tcW w:w="567" w:type="pct"/>
            <w:shd w:val="clear" w:color="000000" w:fill="FFFFFF"/>
            <w:vAlign w:val="bottom"/>
          </w:tcPr>
          <w:p w:rsidR="007D13F3" w:rsidRPr="00B15761" w:rsidRDefault="007D13F3" w:rsidP="00465CAC">
            <w:pPr>
              <w:autoSpaceDE w:val="0"/>
              <w:autoSpaceDN w:val="0"/>
              <w:adjustRightInd w:val="0"/>
              <w:jc w:val="right"/>
              <w:rPr>
                <w:rFonts w:ascii="Times New Roman" w:hAnsi="Times New Roman" w:cs="Times New Roman"/>
                <w:sz w:val="14"/>
                <w:szCs w:val="14"/>
              </w:rPr>
            </w:pPr>
            <w:r w:rsidRPr="00B15761">
              <w:rPr>
                <w:rFonts w:ascii="Times New Roman" w:hAnsi="Times New Roman" w:cs="Times New Roman"/>
                <w:sz w:val="14"/>
                <w:szCs w:val="14"/>
              </w:rPr>
              <w:t>0</w:t>
            </w:r>
          </w:p>
        </w:tc>
      </w:tr>
      <w:tr w:rsidR="007D13F3" w:rsidRPr="00F95CC5" w:rsidTr="00B125B2">
        <w:trPr>
          <w:trHeight w:val="261"/>
        </w:trPr>
        <w:tc>
          <w:tcPr>
            <w:tcW w:w="1025" w:type="pct"/>
            <w:shd w:val="clear" w:color="000000" w:fill="FFFFFF"/>
            <w:vAlign w:val="bottom"/>
          </w:tcPr>
          <w:p w:rsidR="007D13F3" w:rsidRPr="004A0AAC" w:rsidRDefault="007D13F3" w:rsidP="00A870F8">
            <w:pPr>
              <w:rPr>
                <w:rFonts w:ascii="Times New Roman" w:hAnsi="Times New Roman" w:cs="Times New Roman"/>
                <w:sz w:val="14"/>
                <w:szCs w:val="14"/>
              </w:rPr>
            </w:pPr>
            <w:r>
              <w:rPr>
                <w:rFonts w:ascii="Times New Roman" w:hAnsi="Times New Roman" w:cs="Times New Roman"/>
                <w:sz w:val="14"/>
                <w:szCs w:val="14"/>
              </w:rPr>
              <w:t>2. a 3. programov</w:t>
            </w:r>
            <w:r w:rsidR="00A870F8">
              <w:rPr>
                <w:rFonts w:ascii="Times New Roman" w:hAnsi="Times New Roman" w:cs="Times New Roman"/>
                <w:sz w:val="14"/>
                <w:szCs w:val="14"/>
              </w:rPr>
              <w:t>é</w:t>
            </w:r>
            <w:r>
              <w:rPr>
                <w:rFonts w:ascii="Times New Roman" w:hAnsi="Times New Roman" w:cs="Times New Roman"/>
                <w:sz w:val="14"/>
                <w:szCs w:val="14"/>
              </w:rPr>
              <w:t xml:space="preserve"> obdobie</w:t>
            </w:r>
          </w:p>
        </w:tc>
        <w:tc>
          <w:tcPr>
            <w:tcW w:w="568" w:type="pct"/>
            <w:shd w:val="clear" w:color="000000" w:fill="FFFFFF"/>
            <w:noWrap/>
            <w:vAlign w:val="bottom"/>
          </w:tcPr>
          <w:p w:rsidR="007D13F3" w:rsidRPr="00B15761" w:rsidRDefault="007D13F3" w:rsidP="00465CAC">
            <w:pPr>
              <w:jc w:val="right"/>
              <w:rPr>
                <w:rFonts w:ascii="Times New Roman" w:hAnsi="Times New Roman" w:cs="Times New Roman"/>
                <w:color w:val="000000"/>
                <w:sz w:val="14"/>
                <w:szCs w:val="14"/>
                <w:highlight w:val="yellow"/>
              </w:rPr>
            </w:pPr>
            <w:r w:rsidRPr="00B15761">
              <w:rPr>
                <w:rFonts w:ascii="Times New Roman" w:hAnsi="Times New Roman" w:cs="Times New Roman"/>
                <w:color w:val="000000"/>
                <w:sz w:val="14"/>
                <w:szCs w:val="14"/>
              </w:rPr>
              <w:t>71 420 360</w:t>
            </w:r>
          </w:p>
        </w:tc>
        <w:tc>
          <w:tcPr>
            <w:tcW w:w="568" w:type="pct"/>
            <w:shd w:val="clear" w:color="000000" w:fill="FFFFFF"/>
            <w:vAlign w:val="bottom"/>
          </w:tcPr>
          <w:p w:rsidR="007D13F3" w:rsidRPr="00B15761" w:rsidRDefault="007D13F3" w:rsidP="00465CAC">
            <w:pPr>
              <w:jc w:val="right"/>
              <w:rPr>
                <w:rFonts w:ascii="Times New Roman" w:hAnsi="Times New Roman" w:cs="Times New Roman"/>
                <w:color w:val="000000"/>
                <w:sz w:val="14"/>
                <w:szCs w:val="14"/>
              </w:rPr>
            </w:pPr>
            <w:r w:rsidRPr="00B15761">
              <w:rPr>
                <w:rFonts w:ascii="Times New Roman" w:hAnsi="Times New Roman" w:cs="Times New Roman"/>
                <w:color w:val="000000"/>
                <w:sz w:val="14"/>
                <w:szCs w:val="14"/>
              </w:rPr>
              <w:t>52 069 857</w:t>
            </w:r>
          </w:p>
        </w:tc>
        <w:tc>
          <w:tcPr>
            <w:tcW w:w="568" w:type="pct"/>
            <w:shd w:val="clear" w:color="auto" w:fill="auto"/>
            <w:vAlign w:val="bottom"/>
          </w:tcPr>
          <w:p w:rsidR="007D13F3" w:rsidRPr="00B15761" w:rsidRDefault="007D13F3" w:rsidP="00465CAC">
            <w:pPr>
              <w:jc w:val="right"/>
              <w:rPr>
                <w:rFonts w:ascii="Times New Roman" w:hAnsi="Times New Roman" w:cs="Times New Roman"/>
                <w:color w:val="000000"/>
                <w:sz w:val="14"/>
                <w:szCs w:val="14"/>
              </w:rPr>
            </w:pPr>
            <w:r w:rsidRPr="00B15761">
              <w:rPr>
                <w:rFonts w:ascii="Times New Roman" w:hAnsi="Times New Roman" w:cs="Times New Roman"/>
                <w:color w:val="000000"/>
                <w:sz w:val="14"/>
                <w:szCs w:val="14"/>
              </w:rPr>
              <w:t>60 590 495</w:t>
            </w:r>
          </w:p>
        </w:tc>
        <w:tc>
          <w:tcPr>
            <w:tcW w:w="568" w:type="pct"/>
            <w:shd w:val="clear" w:color="auto" w:fill="FFFFFF" w:themeFill="background1"/>
            <w:vAlign w:val="bottom"/>
          </w:tcPr>
          <w:p w:rsidR="007D13F3" w:rsidRPr="00B15761"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204 781 174</w:t>
            </w:r>
          </w:p>
        </w:tc>
        <w:tc>
          <w:tcPr>
            <w:tcW w:w="568" w:type="pct"/>
            <w:shd w:val="clear" w:color="auto" w:fill="auto"/>
            <w:vAlign w:val="bottom"/>
          </w:tcPr>
          <w:p w:rsidR="007D13F3" w:rsidRPr="00B15761" w:rsidRDefault="007D13F3" w:rsidP="00465CAC">
            <w:pPr>
              <w:jc w:val="right"/>
              <w:rPr>
                <w:rFonts w:ascii="Times New Roman" w:hAnsi="Times New Roman" w:cs="Times New Roman"/>
                <w:color w:val="000000"/>
                <w:sz w:val="14"/>
                <w:szCs w:val="14"/>
              </w:rPr>
            </w:pPr>
            <w:r w:rsidRPr="00084C1C">
              <w:rPr>
                <w:rFonts w:ascii="Times New Roman" w:hAnsi="Times New Roman" w:cs="Times New Roman"/>
                <w:color w:val="000000"/>
                <w:sz w:val="14"/>
                <w:szCs w:val="14"/>
              </w:rPr>
              <w:t>30 540 038</w:t>
            </w:r>
          </w:p>
        </w:tc>
        <w:tc>
          <w:tcPr>
            <w:tcW w:w="568" w:type="pct"/>
            <w:shd w:val="clear" w:color="auto" w:fill="auto"/>
            <w:vAlign w:val="bottom"/>
          </w:tcPr>
          <w:p w:rsidR="007D13F3" w:rsidRPr="00B15761" w:rsidRDefault="007D13F3" w:rsidP="00465CAC">
            <w:pPr>
              <w:jc w:val="right"/>
              <w:rPr>
                <w:rFonts w:ascii="Times New Roman" w:hAnsi="Times New Roman" w:cs="Times New Roman"/>
                <w:color w:val="000000"/>
                <w:sz w:val="14"/>
                <w:szCs w:val="14"/>
              </w:rPr>
            </w:pPr>
            <w:r w:rsidRPr="00B15761">
              <w:rPr>
                <w:rFonts w:ascii="Times New Roman" w:hAnsi="Times New Roman" w:cs="Times New Roman"/>
                <w:color w:val="000000"/>
                <w:sz w:val="14"/>
                <w:szCs w:val="14"/>
              </w:rPr>
              <w:t>114 371 730</w:t>
            </w:r>
          </w:p>
        </w:tc>
        <w:tc>
          <w:tcPr>
            <w:tcW w:w="567" w:type="pct"/>
            <w:shd w:val="clear" w:color="auto" w:fill="auto"/>
            <w:vAlign w:val="bottom"/>
          </w:tcPr>
          <w:p w:rsidR="007D13F3" w:rsidRPr="00B15761" w:rsidRDefault="007D13F3" w:rsidP="00465CAC">
            <w:pPr>
              <w:jc w:val="right"/>
              <w:rPr>
                <w:rFonts w:ascii="Times New Roman" w:hAnsi="Times New Roman" w:cs="Times New Roman"/>
                <w:color w:val="000000"/>
                <w:sz w:val="14"/>
                <w:szCs w:val="14"/>
              </w:rPr>
            </w:pPr>
            <w:r w:rsidRPr="00B15761">
              <w:rPr>
                <w:rFonts w:ascii="Times New Roman" w:hAnsi="Times New Roman" w:cs="Times New Roman"/>
                <w:color w:val="000000"/>
                <w:sz w:val="14"/>
                <w:szCs w:val="14"/>
              </w:rPr>
              <w:t>137 096 414</w:t>
            </w:r>
          </w:p>
        </w:tc>
      </w:tr>
    </w:tbl>
    <w:p w:rsidR="007D13F3" w:rsidRPr="00F95CC5" w:rsidRDefault="007D13F3" w:rsidP="007D13F3">
      <w:pPr>
        <w:jc w:val="both"/>
        <w:rPr>
          <w:rFonts w:ascii="Times New Roman" w:hAnsi="Times New Roman" w:cs="Times New Roman"/>
        </w:rPr>
      </w:pPr>
    </w:p>
    <w:p w:rsidR="007D13F3" w:rsidRPr="00F95CC5" w:rsidRDefault="007D13F3" w:rsidP="007D13F3">
      <w:pPr>
        <w:jc w:val="both"/>
        <w:rPr>
          <w:rFonts w:ascii="Times New Roman" w:hAnsi="Times New Roman" w:cs="Times New Roman"/>
          <w:b/>
          <w:u w:val="single"/>
        </w:rPr>
      </w:pPr>
      <w:r w:rsidRPr="00F95CC5">
        <w:rPr>
          <w:rFonts w:ascii="Times New Roman" w:hAnsi="Times New Roman" w:cs="Times New Roman"/>
          <w:b/>
          <w:u w:val="single"/>
        </w:rPr>
        <w:t>Efektívna a spoľahlivá štátna správa</w:t>
      </w:r>
    </w:p>
    <w:p w:rsidR="007D13F3" w:rsidRPr="00F95CC5" w:rsidRDefault="007D13F3" w:rsidP="007D13F3">
      <w:pPr>
        <w:jc w:val="both"/>
        <w:rPr>
          <w:rFonts w:ascii="Arial Narrow" w:hAnsi="Arial Narrow"/>
          <w:sz w:val="22"/>
          <w:szCs w:val="22"/>
        </w:rPr>
      </w:pPr>
    </w:p>
    <w:p w:rsidR="007D13F3" w:rsidRPr="004F7528" w:rsidRDefault="007D13F3" w:rsidP="007D13F3">
      <w:pPr>
        <w:ind w:firstLine="708"/>
        <w:jc w:val="both"/>
        <w:rPr>
          <w:rFonts w:ascii="Times New Roman" w:hAnsi="Times New Roman" w:cs="Times New Roman"/>
          <w:color w:val="FF0000"/>
        </w:rPr>
      </w:pPr>
      <w:r w:rsidRPr="00874A0E">
        <w:rPr>
          <w:rFonts w:ascii="Times New Roman" w:hAnsi="Times New Roman" w:cs="Times New Roman"/>
        </w:rPr>
        <w:t xml:space="preserve">Celkové výdavky v roku 2018 oproti schválenému rozpočtu roka 2017 rastú </w:t>
      </w:r>
      <w:r w:rsidR="00A870F8">
        <w:rPr>
          <w:rFonts w:ascii="Times New Roman" w:hAnsi="Times New Roman" w:cs="Times New Roman"/>
        </w:rPr>
        <w:br/>
      </w:r>
      <w:r w:rsidRPr="00874A0E">
        <w:rPr>
          <w:rFonts w:ascii="Times New Roman" w:hAnsi="Times New Roman" w:cs="Times New Roman"/>
        </w:rPr>
        <w:t>o 26,1 mil. eur, čo predstavuje nárast o 2,</w:t>
      </w:r>
      <w:r>
        <w:rPr>
          <w:rFonts w:ascii="Times New Roman" w:hAnsi="Times New Roman" w:cs="Times New Roman"/>
        </w:rPr>
        <w:t>30</w:t>
      </w:r>
      <w:r w:rsidRPr="00874A0E">
        <w:rPr>
          <w:rFonts w:ascii="Times New Roman" w:hAnsi="Times New Roman" w:cs="Times New Roman"/>
        </w:rPr>
        <w:t xml:space="preserve"> %. </w:t>
      </w:r>
      <w:r w:rsidRPr="0011503E">
        <w:rPr>
          <w:rFonts w:ascii="Times New Roman" w:hAnsi="Times New Roman" w:cs="Times New Roman"/>
        </w:rPr>
        <w:t>Rozdiel je spôsobený najmä vyšším rozpočtovaním výdavkov v programoch Ochrana verejného poriadku a Záchrana života a zdravia.</w:t>
      </w:r>
    </w:p>
    <w:p w:rsidR="007D13F3" w:rsidRPr="00A3218E" w:rsidRDefault="007D13F3" w:rsidP="007D13F3">
      <w:pPr>
        <w:jc w:val="both"/>
        <w:rPr>
          <w:rFonts w:ascii="Times New Roman" w:hAnsi="Times New Roman" w:cs="Times New Roman"/>
          <w:sz w:val="22"/>
          <w:szCs w:val="22"/>
        </w:rPr>
      </w:pP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7D13F3" w:rsidRPr="00A3218E" w:rsidTr="00A870F8">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7D13F3" w:rsidRPr="00A3218E" w:rsidRDefault="00551C05" w:rsidP="00465CAC">
            <w:pPr>
              <w:rPr>
                <w:rFonts w:ascii="Times New Roman" w:hAnsi="Times New Roman" w:cs="Times New Roman"/>
                <w:b/>
                <w:sz w:val="14"/>
                <w:szCs w:val="14"/>
              </w:rPr>
            </w:pPr>
            <w:r>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2015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highlight w:val="yellow"/>
                <w:lang w:eastAsia="sk-SK"/>
              </w:rPr>
            </w:pPr>
            <w:r w:rsidRPr="00C75F6A">
              <w:rPr>
                <w:rFonts w:ascii="Times New Roman" w:hAnsi="Times New Roman" w:cs="Times New Roman"/>
                <w:b/>
                <w:bCs/>
                <w:color w:val="000000"/>
                <w:sz w:val="14"/>
                <w:szCs w:val="14"/>
                <w:lang w:eastAsia="sk-SK"/>
              </w:rPr>
              <w:t xml:space="preserve">2016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2017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2017 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2018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2019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2020 N</w:t>
            </w:r>
          </w:p>
        </w:tc>
      </w:tr>
      <w:tr w:rsidR="007D13F3" w:rsidRPr="00A3218E" w:rsidTr="00A870F8">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D13F3" w:rsidRPr="00A3218E" w:rsidRDefault="007D13F3" w:rsidP="00465CAC">
            <w:pPr>
              <w:rPr>
                <w:rFonts w:ascii="Times New Roman" w:hAnsi="Times New Roman" w:cs="Times New Roman"/>
                <w:b/>
                <w:bCs/>
                <w:sz w:val="14"/>
                <w:szCs w:val="14"/>
              </w:rPr>
            </w:pPr>
            <w:r w:rsidRPr="00A3218E">
              <w:rPr>
                <w:rFonts w:ascii="Times New Roman" w:hAnsi="Times New Roman" w:cs="Times New Roman"/>
                <w:b/>
                <w:bCs/>
                <w:sz w:val="14"/>
                <w:szCs w:val="14"/>
              </w:rPr>
              <w:t>Spolu</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9F5D76" w:rsidRDefault="007D13F3" w:rsidP="00465CAC">
            <w:pPr>
              <w:jc w:val="right"/>
              <w:rPr>
                <w:rFonts w:ascii="Times New Roman" w:hAnsi="Times New Roman" w:cs="Times New Roman"/>
                <w:b/>
                <w:bCs/>
                <w:sz w:val="14"/>
                <w:szCs w:val="14"/>
                <w:highlight w:val="yellow"/>
              </w:rPr>
            </w:pPr>
            <w:r w:rsidRPr="009F5D76">
              <w:rPr>
                <w:rFonts w:ascii="Times New Roman" w:hAnsi="Times New Roman" w:cs="Times New Roman"/>
                <w:b/>
                <w:bCs/>
                <w:sz w:val="14"/>
                <w:szCs w:val="14"/>
              </w:rPr>
              <w:t>1 229 596 594</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9F5D76" w:rsidRDefault="007D13F3" w:rsidP="00465CAC">
            <w:pPr>
              <w:jc w:val="right"/>
              <w:rPr>
                <w:rFonts w:ascii="Times New Roman" w:hAnsi="Times New Roman" w:cs="Times New Roman"/>
                <w:b/>
                <w:bCs/>
                <w:sz w:val="14"/>
                <w:szCs w:val="14"/>
              </w:rPr>
            </w:pPr>
            <w:r w:rsidRPr="009F5D76">
              <w:rPr>
                <w:rFonts w:ascii="Times New Roman" w:hAnsi="Times New Roman" w:cs="Times New Roman"/>
                <w:b/>
                <w:bCs/>
                <w:sz w:val="14"/>
                <w:szCs w:val="14"/>
              </w:rPr>
              <w:t>1 277 931 882</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9F5D76" w:rsidRDefault="007D13F3" w:rsidP="00465CAC">
            <w:pPr>
              <w:jc w:val="right"/>
              <w:rPr>
                <w:rFonts w:ascii="Times New Roman" w:hAnsi="Times New Roman" w:cs="Times New Roman"/>
                <w:b/>
                <w:sz w:val="14"/>
                <w:szCs w:val="14"/>
              </w:rPr>
            </w:pPr>
            <w:r w:rsidRPr="009F5D76">
              <w:rPr>
                <w:rFonts w:ascii="Times New Roman" w:hAnsi="Times New Roman" w:cs="Times New Roman"/>
                <w:b/>
                <w:sz w:val="14"/>
                <w:szCs w:val="14"/>
              </w:rPr>
              <w:t>1 134 430 006</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7D13F3" w:rsidRPr="009F5D76" w:rsidRDefault="007D13F3" w:rsidP="00465CAC">
            <w:pPr>
              <w:autoSpaceDE w:val="0"/>
              <w:autoSpaceDN w:val="0"/>
              <w:adjustRightInd w:val="0"/>
              <w:jc w:val="right"/>
              <w:rPr>
                <w:rFonts w:ascii="Times New Roman" w:hAnsi="Times New Roman" w:cs="Times New Roman"/>
                <w:b/>
                <w:sz w:val="14"/>
                <w:szCs w:val="14"/>
              </w:rPr>
            </w:pPr>
            <w:r w:rsidRPr="009F5D76">
              <w:rPr>
                <w:rFonts w:ascii="Times New Roman" w:hAnsi="Times New Roman" w:cs="Times New Roman"/>
                <w:b/>
                <w:sz w:val="14"/>
                <w:szCs w:val="14"/>
              </w:rPr>
              <w:t>1</w:t>
            </w:r>
            <w:r>
              <w:rPr>
                <w:rFonts w:ascii="Times New Roman" w:hAnsi="Times New Roman" w:cs="Times New Roman"/>
                <w:b/>
                <w:sz w:val="14"/>
                <w:szCs w:val="14"/>
              </w:rPr>
              <w:t> 223 147 391</w:t>
            </w:r>
          </w:p>
        </w:tc>
        <w:tc>
          <w:tcPr>
            <w:tcW w:w="568" w:type="pct"/>
            <w:tcBorders>
              <w:top w:val="nil"/>
              <w:left w:val="nil"/>
              <w:bottom w:val="single" w:sz="4" w:space="0" w:color="auto"/>
              <w:right w:val="single" w:sz="4" w:space="0" w:color="auto"/>
            </w:tcBorders>
            <w:shd w:val="clear" w:color="auto" w:fill="BFBFBF" w:themeFill="background1" w:themeFillShade="BF"/>
            <w:noWrap/>
            <w:vAlign w:val="bottom"/>
          </w:tcPr>
          <w:p w:rsidR="007D13F3" w:rsidRPr="00EC6FE6" w:rsidRDefault="007D13F3" w:rsidP="00465CAC">
            <w:pPr>
              <w:autoSpaceDE w:val="0"/>
              <w:autoSpaceDN w:val="0"/>
              <w:adjustRightInd w:val="0"/>
              <w:jc w:val="right"/>
              <w:rPr>
                <w:rFonts w:ascii="Times New Roman" w:hAnsi="Times New Roman" w:cs="Times New Roman"/>
                <w:b/>
                <w:sz w:val="14"/>
                <w:szCs w:val="14"/>
              </w:rPr>
            </w:pPr>
            <w:r w:rsidRPr="00EC6FE6">
              <w:rPr>
                <w:rFonts w:ascii="Times New Roman" w:hAnsi="Times New Roman" w:cs="Times New Roman"/>
                <w:b/>
                <w:sz w:val="14"/>
                <w:szCs w:val="14"/>
              </w:rPr>
              <w:t>1 160 490 834</w:t>
            </w:r>
          </w:p>
        </w:tc>
        <w:tc>
          <w:tcPr>
            <w:tcW w:w="568" w:type="pct"/>
            <w:tcBorders>
              <w:top w:val="nil"/>
              <w:left w:val="nil"/>
              <w:bottom w:val="single" w:sz="4" w:space="0" w:color="auto"/>
              <w:right w:val="single" w:sz="4" w:space="0" w:color="auto"/>
            </w:tcBorders>
            <w:shd w:val="clear" w:color="auto" w:fill="BFBFBF" w:themeFill="background1" w:themeFillShade="BF"/>
            <w:noWrap/>
            <w:vAlign w:val="bottom"/>
          </w:tcPr>
          <w:p w:rsidR="007D13F3" w:rsidRPr="00EC6FE6" w:rsidRDefault="007D13F3" w:rsidP="00465CAC">
            <w:pPr>
              <w:autoSpaceDE w:val="0"/>
              <w:autoSpaceDN w:val="0"/>
              <w:adjustRightInd w:val="0"/>
              <w:jc w:val="right"/>
              <w:rPr>
                <w:rFonts w:ascii="Times New Roman" w:hAnsi="Times New Roman" w:cs="Times New Roman"/>
                <w:b/>
                <w:sz w:val="14"/>
                <w:szCs w:val="14"/>
              </w:rPr>
            </w:pPr>
            <w:r>
              <w:rPr>
                <w:rFonts w:ascii="Times New Roman" w:hAnsi="Times New Roman" w:cs="Times New Roman"/>
                <w:b/>
                <w:sz w:val="14"/>
                <w:szCs w:val="14"/>
              </w:rPr>
              <w:t>1 172 726 031</w:t>
            </w:r>
          </w:p>
        </w:tc>
        <w:tc>
          <w:tcPr>
            <w:tcW w:w="567" w:type="pct"/>
            <w:tcBorders>
              <w:top w:val="nil"/>
              <w:left w:val="nil"/>
              <w:bottom w:val="single" w:sz="4" w:space="0" w:color="auto"/>
              <w:right w:val="single" w:sz="4" w:space="0" w:color="auto"/>
            </w:tcBorders>
            <w:shd w:val="clear" w:color="auto" w:fill="BFBFBF" w:themeFill="background1" w:themeFillShade="BF"/>
            <w:noWrap/>
            <w:vAlign w:val="bottom"/>
          </w:tcPr>
          <w:p w:rsidR="007D13F3" w:rsidRPr="00EC6FE6" w:rsidRDefault="007D13F3" w:rsidP="00465CAC">
            <w:pPr>
              <w:autoSpaceDE w:val="0"/>
              <w:autoSpaceDN w:val="0"/>
              <w:adjustRightInd w:val="0"/>
              <w:jc w:val="right"/>
              <w:rPr>
                <w:rFonts w:ascii="Times New Roman" w:hAnsi="Times New Roman" w:cs="Times New Roman"/>
                <w:b/>
                <w:sz w:val="14"/>
                <w:szCs w:val="14"/>
              </w:rPr>
            </w:pPr>
            <w:r>
              <w:rPr>
                <w:rFonts w:ascii="Times New Roman" w:hAnsi="Times New Roman" w:cs="Times New Roman"/>
                <w:b/>
                <w:sz w:val="14"/>
                <w:szCs w:val="14"/>
              </w:rPr>
              <w:t>1 161 919 056</w:t>
            </w:r>
          </w:p>
        </w:tc>
      </w:tr>
      <w:tr w:rsidR="007D13F3" w:rsidRPr="00A3218E" w:rsidTr="00465CAC">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Ochrana verejného poriadku</w:t>
            </w:r>
          </w:p>
        </w:tc>
        <w:tc>
          <w:tcPr>
            <w:tcW w:w="568" w:type="pct"/>
            <w:tcBorders>
              <w:top w:val="nil"/>
              <w:left w:val="nil"/>
              <w:bottom w:val="single" w:sz="4" w:space="0" w:color="auto"/>
              <w:right w:val="single" w:sz="4" w:space="0" w:color="auto"/>
            </w:tcBorders>
            <w:shd w:val="clear" w:color="000000" w:fill="FFFFFF"/>
            <w:noWrap/>
            <w:vAlign w:val="bottom"/>
          </w:tcPr>
          <w:p w:rsidR="007D13F3" w:rsidRPr="009F5D76" w:rsidRDefault="007D13F3" w:rsidP="00465CAC">
            <w:pPr>
              <w:jc w:val="right"/>
              <w:rPr>
                <w:rFonts w:ascii="Times New Roman" w:hAnsi="Times New Roman" w:cs="Times New Roman"/>
                <w:bCs/>
                <w:sz w:val="14"/>
                <w:szCs w:val="14"/>
                <w:highlight w:val="yellow"/>
              </w:rPr>
            </w:pPr>
            <w:r w:rsidRPr="009F5D76">
              <w:rPr>
                <w:rFonts w:ascii="Times New Roman" w:hAnsi="Times New Roman" w:cs="Times New Roman"/>
                <w:bCs/>
                <w:sz w:val="14"/>
                <w:szCs w:val="14"/>
              </w:rPr>
              <w:t>609 967 691</w:t>
            </w:r>
          </w:p>
        </w:tc>
        <w:tc>
          <w:tcPr>
            <w:tcW w:w="568" w:type="pct"/>
            <w:tcBorders>
              <w:top w:val="nil"/>
              <w:left w:val="nil"/>
              <w:bottom w:val="single" w:sz="4" w:space="0" w:color="auto"/>
              <w:right w:val="single" w:sz="4" w:space="0" w:color="auto"/>
            </w:tcBorders>
            <w:shd w:val="clear" w:color="000000" w:fill="FFFFFF"/>
            <w:noWrap/>
            <w:vAlign w:val="bottom"/>
          </w:tcPr>
          <w:p w:rsidR="007D13F3" w:rsidRPr="009F5D76" w:rsidRDefault="007D13F3" w:rsidP="00465CAC">
            <w:pPr>
              <w:jc w:val="right"/>
              <w:rPr>
                <w:rFonts w:ascii="Times New Roman" w:hAnsi="Times New Roman" w:cs="Times New Roman"/>
                <w:bCs/>
                <w:sz w:val="14"/>
                <w:szCs w:val="14"/>
                <w:highlight w:val="yellow"/>
              </w:rPr>
            </w:pPr>
            <w:r w:rsidRPr="009F5D76">
              <w:rPr>
                <w:rFonts w:ascii="Times New Roman" w:hAnsi="Times New Roman" w:cs="Times New Roman"/>
                <w:bCs/>
                <w:sz w:val="14"/>
                <w:szCs w:val="14"/>
              </w:rPr>
              <w:t>730 866 432</w:t>
            </w:r>
          </w:p>
        </w:tc>
        <w:tc>
          <w:tcPr>
            <w:tcW w:w="568" w:type="pct"/>
            <w:tcBorders>
              <w:top w:val="nil"/>
              <w:left w:val="nil"/>
              <w:bottom w:val="single" w:sz="4" w:space="0" w:color="auto"/>
              <w:right w:val="single" w:sz="4" w:space="0" w:color="auto"/>
            </w:tcBorders>
            <w:shd w:val="clear" w:color="000000" w:fill="FFFFFF"/>
            <w:vAlign w:val="bottom"/>
          </w:tcPr>
          <w:p w:rsidR="007D13F3" w:rsidRPr="009F5D76" w:rsidRDefault="007D13F3" w:rsidP="00465CAC">
            <w:pPr>
              <w:jc w:val="right"/>
              <w:rPr>
                <w:rFonts w:ascii="Times New Roman" w:hAnsi="Times New Roman" w:cs="Times New Roman"/>
                <w:sz w:val="14"/>
                <w:szCs w:val="14"/>
                <w:highlight w:val="yellow"/>
              </w:rPr>
            </w:pPr>
            <w:r w:rsidRPr="009F5D76">
              <w:rPr>
                <w:rFonts w:ascii="Times New Roman" w:hAnsi="Times New Roman" w:cs="Times New Roman"/>
                <w:sz w:val="14"/>
                <w:szCs w:val="14"/>
              </w:rPr>
              <w:t>664 506 416</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2B748B">
              <w:rPr>
                <w:rFonts w:ascii="Times New Roman" w:hAnsi="Times New Roman" w:cs="Times New Roman"/>
                <w:sz w:val="14"/>
                <w:szCs w:val="14"/>
              </w:rPr>
              <w:t>695 752 280</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9F5D76">
              <w:rPr>
                <w:rFonts w:ascii="Times New Roman" w:hAnsi="Times New Roman" w:cs="Times New Roman"/>
                <w:sz w:val="14"/>
                <w:szCs w:val="14"/>
              </w:rPr>
              <w:t>713 560 009</w:t>
            </w:r>
          </w:p>
        </w:tc>
        <w:tc>
          <w:tcPr>
            <w:tcW w:w="568" w:type="pct"/>
            <w:tcBorders>
              <w:top w:val="nil"/>
              <w:left w:val="nil"/>
              <w:bottom w:val="single" w:sz="4" w:space="0" w:color="auto"/>
              <w:right w:val="single" w:sz="4" w:space="0" w:color="auto"/>
            </w:tcBorders>
            <w:shd w:val="clear" w:color="000000" w:fill="FFFFFF"/>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9F5D76">
              <w:rPr>
                <w:rFonts w:ascii="Times New Roman" w:hAnsi="Times New Roman" w:cs="Times New Roman"/>
                <w:sz w:val="14"/>
                <w:szCs w:val="14"/>
              </w:rPr>
              <w:t>713 560 009</w:t>
            </w:r>
          </w:p>
        </w:tc>
        <w:tc>
          <w:tcPr>
            <w:tcW w:w="567" w:type="pct"/>
            <w:tcBorders>
              <w:top w:val="nil"/>
              <w:left w:val="nil"/>
              <w:bottom w:val="single" w:sz="4" w:space="0" w:color="auto"/>
              <w:right w:val="single" w:sz="4" w:space="0" w:color="auto"/>
            </w:tcBorders>
            <w:shd w:val="clear" w:color="000000" w:fill="FFFFFF"/>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9F5D76">
              <w:rPr>
                <w:rFonts w:ascii="Times New Roman" w:hAnsi="Times New Roman" w:cs="Times New Roman"/>
                <w:sz w:val="14"/>
                <w:szCs w:val="14"/>
              </w:rPr>
              <w:t>713 560 009</w:t>
            </w:r>
          </w:p>
        </w:tc>
      </w:tr>
      <w:tr w:rsidR="007D13F3" w:rsidRPr="00A3218E" w:rsidTr="00465CAC">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Záchrana života a zdravia</w:t>
            </w:r>
          </w:p>
        </w:tc>
        <w:tc>
          <w:tcPr>
            <w:tcW w:w="568" w:type="pct"/>
            <w:tcBorders>
              <w:top w:val="nil"/>
              <w:left w:val="nil"/>
              <w:bottom w:val="single" w:sz="4" w:space="0" w:color="auto"/>
              <w:right w:val="single" w:sz="4" w:space="0" w:color="auto"/>
            </w:tcBorders>
            <w:shd w:val="clear" w:color="000000" w:fill="FFFFFF"/>
            <w:noWrap/>
            <w:vAlign w:val="bottom"/>
          </w:tcPr>
          <w:p w:rsidR="007D13F3" w:rsidRPr="009F5D76" w:rsidRDefault="007D13F3" w:rsidP="00465CAC">
            <w:pPr>
              <w:jc w:val="right"/>
              <w:rPr>
                <w:rFonts w:ascii="Times New Roman" w:hAnsi="Times New Roman" w:cs="Times New Roman"/>
                <w:bCs/>
                <w:sz w:val="14"/>
                <w:szCs w:val="14"/>
                <w:highlight w:val="yellow"/>
              </w:rPr>
            </w:pPr>
            <w:r w:rsidRPr="009F5D76">
              <w:rPr>
                <w:rFonts w:ascii="Times New Roman" w:hAnsi="Times New Roman" w:cs="Times New Roman"/>
                <w:bCs/>
                <w:sz w:val="14"/>
                <w:szCs w:val="14"/>
              </w:rPr>
              <w:t>216 066 671</w:t>
            </w:r>
          </w:p>
        </w:tc>
        <w:tc>
          <w:tcPr>
            <w:tcW w:w="568" w:type="pct"/>
            <w:tcBorders>
              <w:top w:val="nil"/>
              <w:left w:val="nil"/>
              <w:bottom w:val="single" w:sz="4" w:space="0" w:color="auto"/>
              <w:right w:val="single" w:sz="4" w:space="0" w:color="auto"/>
            </w:tcBorders>
            <w:shd w:val="clear" w:color="000000" w:fill="FFFFFF"/>
            <w:noWrap/>
            <w:vAlign w:val="bottom"/>
          </w:tcPr>
          <w:p w:rsidR="007D13F3" w:rsidRPr="009F5D76" w:rsidRDefault="007D13F3" w:rsidP="00465CAC">
            <w:pPr>
              <w:jc w:val="right"/>
              <w:rPr>
                <w:rFonts w:ascii="Times New Roman" w:hAnsi="Times New Roman" w:cs="Times New Roman"/>
                <w:bCs/>
                <w:sz w:val="14"/>
                <w:szCs w:val="14"/>
                <w:highlight w:val="yellow"/>
              </w:rPr>
            </w:pPr>
            <w:r w:rsidRPr="009F5D76">
              <w:rPr>
                <w:rFonts w:ascii="Times New Roman" w:hAnsi="Times New Roman" w:cs="Times New Roman"/>
                <w:bCs/>
                <w:sz w:val="14"/>
                <w:szCs w:val="14"/>
              </w:rPr>
              <w:t>133 340 741</w:t>
            </w:r>
          </w:p>
        </w:tc>
        <w:tc>
          <w:tcPr>
            <w:tcW w:w="568" w:type="pct"/>
            <w:tcBorders>
              <w:top w:val="nil"/>
              <w:left w:val="nil"/>
              <w:bottom w:val="single" w:sz="4" w:space="0" w:color="auto"/>
              <w:right w:val="single" w:sz="4" w:space="0" w:color="auto"/>
            </w:tcBorders>
            <w:shd w:val="clear" w:color="000000" w:fill="FFFFFF"/>
            <w:noWrap/>
            <w:vAlign w:val="bottom"/>
          </w:tcPr>
          <w:p w:rsidR="007D13F3" w:rsidRPr="009F5D76" w:rsidRDefault="007D13F3" w:rsidP="00465CAC">
            <w:pPr>
              <w:jc w:val="right"/>
              <w:rPr>
                <w:rFonts w:ascii="Times New Roman" w:hAnsi="Times New Roman" w:cs="Times New Roman"/>
                <w:sz w:val="14"/>
                <w:szCs w:val="14"/>
                <w:highlight w:val="yellow"/>
              </w:rPr>
            </w:pPr>
            <w:r w:rsidRPr="009F5D76">
              <w:rPr>
                <w:rFonts w:ascii="Times New Roman" w:hAnsi="Times New Roman" w:cs="Times New Roman"/>
                <w:sz w:val="14"/>
                <w:szCs w:val="14"/>
              </w:rPr>
              <w:t>96 922 772</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109 169 611</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9F5D76">
              <w:rPr>
                <w:rFonts w:ascii="Times New Roman" w:hAnsi="Times New Roman" w:cs="Times New Roman"/>
                <w:sz w:val="14"/>
                <w:szCs w:val="14"/>
              </w:rPr>
              <w:t>108 499 217</w:t>
            </w:r>
          </w:p>
        </w:tc>
        <w:tc>
          <w:tcPr>
            <w:tcW w:w="568" w:type="pct"/>
            <w:tcBorders>
              <w:top w:val="nil"/>
              <w:left w:val="nil"/>
              <w:bottom w:val="single" w:sz="4" w:space="0" w:color="auto"/>
              <w:right w:val="single" w:sz="4" w:space="0" w:color="auto"/>
            </w:tcBorders>
            <w:shd w:val="clear" w:color="000000" w:fill="FFFFFF"/>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9F5D76">
              <w:rPr>
                <w:rFonts w:ascii="Times New Roman" w:hAnsi="Times New Roman" w:cs="Times New Roman"/>
                <w:sz w:val="14"/>
                <w:szCs w:val="14"/>
              </w:rPr>
              <w:t>108 499 217</w:t>
            </w:r>
          </w:p>
        </w:tc>
        <w:tc>
          <w:tcPr>
            <w:tcW w:w="567" w:type="pct"/>
            <w:tcBorders>
              <w:top w:val="nil"/>
              <w:left w:val="nil"/>
              <w:bottom w:val="single" w:sz="4" w:space="0" w:color="auto"/>
              <w:right w:val="single" w:sz="4" w:space="0" w:color="auto"/>
            </w:tcBorders>
            <w:shd w:val="clear" w:color="000000" w:fill="FFFFFF"/>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9F5D76">
              <w:rPr>
                <w:rFonts w:ascii="Times New Roman" w:hAnsi="Times New Roman" w:cs="Times New Roman"/>
                <w:sz w:val="14"/>
                <w:szCs w:val="14"/>
              </w:rPr>
              <w:t>108 499 217</w:t>
            </w:r>
          </w:p>
        </w:tc>
      </w:tr>
      <w:tr w:rsidR="007D13F3" w:rsidRPr="00A3218E" w:rsidTr="00465CAC">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Okresné úrady</w:t>
            </w:r>
          </w:p>
        </w:tc>
        <w:tc>
          <w:tcPr>
            <w:tcW w:w="568" w:type="pct"/>
            <w:tcBorders>
              <w:top w:val="nil"/>
              <w:left w:val="nil"/>
              <w:bottom w:val="single" w:sz="4" w:space="0" w:color="auto"/>
              <w:right w:val="single" w:sz="4" w:space="0" w:color="auto"/>
            </w:tcBorders>
            <w:shd w:val="clear" w:color="000000" w:fill="FFFFFF"/>
            <w:noWrap/>
            <w:vAlign w:val="bottom"/>
          </w:tcPr>
          <w:p w:rsidR="007D13F3" w:rsidRPr="009F5D76" w:rsidRDefault="007D13F3" w:rsidP="00465CAC">
            <w:pPr>
              <w:jc w:val="right"/>
              <w:rPr>
                <w:rFonts w:ascii="Times New Roman" w:hAnsi="Times New Roman" w:cs="Times New Roman"/>
                <w:bCs/>
                <w:sz w:val="14"/>
                <w:szCs w:val="14"/>
                <w:highlight w:val="yellow"/>
              </w:rPr>
            </w:pPr>
            <w:r w:rsidRPr="009F5D76">
              <w:rPr>
                <w:rFonts w:ascii="Times New Roman" w:hAnsi="Times New Roman" w:cs="Times New Roman"/>
                <w:bCs/>
                <w:sz w:val="14"/>
                <w:szCs w:val="14"/>
              </w:rPr>
              <w:t>115 835 391</w:t>
            </w:r>
          </w:p>
        </w:tc>
        <w:tc>
          <w:tcPr>
            <w:tcW w:w="568" w:type="pct"/>
            <w:tcBorders>
              <w:top w:val="nil"/>
              <w:left w:val="nil"/>
              <w:bottom w:val="single" w:sz="4" w:space="0" w:color="auto"/>
              <w:right w:val="single" w:sz="4" w:space="0" w:color="auto"/>
            </w:tcBorders>
            <w:shd w:val="clear" w:color="000000" w:fill="FFFFFF"/>
            <w:vAlign w:val="bottom"/>
          </w:tcPr>
          <w:p w:rsidR="007D13F3" w:rsidRPr="009F5D76" w:rsidRDefault="007D13F3" w:rsidP="00465CAC">
            <w:pPr>
              <w:jc w:val="right"/>
              <w:rPr>
                <w:rFonts w:ascii="Times New Roman" w:hAnsi="Times New Roman" w:cs="Times New Roman"/>
                <w:bCs/>
                <w:sz w:val="14"/>
                <w:szCs w:val="14"/>
                <w:highlight w:val="yellow"/>
              </w:rPr>
            </w:pPr>
            <w:r w:rsidRPr="009F5D76">
              <w:rPr>
                <w:rFonts w:ascii="Times New Roman" w:hAnsi="Times New Roman" w:cs="Times New Roman"/>
                <w:bCs/>
                <w:sz w:val="14"/>
                <w:szCs w:val="14"/>
              </w:rPr>
              <w:t>116 364 171</w:t>
            </w:r>
          </w:p>
        </w:tc>
        <w:tc>
          <w:tcPr>
            <w:tcW w:w="568" w:type="pct"/>
            <w:tcBorders>
              <w:top w:val="nil"/>
              <w:left w:val="nil"/>
              <w:bottom w:val="single" w:sz="4" w:space="0" w:color="auto"/>
              <w:right w:val="single" w:sz="4" w:space="0" w:color="auto"/>
            </w:tcBorders>
            <w:shd w:val="clear" w:color="auto" w:fill="auto"/>
            <w:vAlign w:val="bottom"/>
          </w:tcPr>
          <w:p w:rsidR="007D13F3" w:rsidRPr="009F5D76" w:rsidRDefault="007D13F3" w:rsidP="00465CAC">
            <w:pPr>
              <w:jc w:val="right"/>
              <w:rPr>
                <w:rFonts w:ascii="Times New Roman" w:hAnsi="Times New Roman" w:cs="Times New Roman"/>
                <w:sz w:val="14"/>
                <w:szCs w:val="14"/>
                <w:highlight w:val="yellow"/>
              </w:rPr>
            </w:pPr>
            <w:r w:rsidRPr="009F5D76">
              <w:rPr>
                <w:rFonts w:ascii="Times New Roman" w:hAnsi="Times New Roman" w:cs="Times New Roman"/>
                <w:sz w:val="14"/>
                <w:szCs w:val="14"/>
              </w:rPr>
              <w:t>99 188 487</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DA3AA7">
              <w:rPr>
                <w:rFonts w:ascii="Times New Roman" w:hAnsi="Times New Roman" w:cs="Times New Roman"/>
                <w:sz w:val="14"/>
                <w:szCs w:val="14"/>
              </w:rPr>
              <w:t>105 933 515</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13F3" w:rsidRPr="00906BCB" w:rsidRDefault="007D13F3" w:rsidP="00465CAC">
            <w:pPr>
              <w:autoSpaceDE w:val="0"/>
              <w:autoSpaceDN w:val="0"/>
              <w:adjustRightInd w:val="0"/>
              <w:jc w:val="right"/>
              <w:rPr>
                <w:rFonts w:ascii="Times New Roman" w:hAnsi="Times New Roman" w:cs="Times New Roman"/>
                <w:sz w:val="14"/>
                <w:szCs w:val="14"/>
                <w:highlight w:val="yellow"/>
              </w:rPr>
            </w:pPr>
            <w:r w:rsidRPr="00906BCB">
              <w:rPr>
                <w:rFonts w:ascii="Times New Roman" w:hAnsi="Times New Roman" w:cs="Times New Roman"/>
                <w:sz w:val="14"/>
                <w:szCs w:val="14"/>
              </w:rPr>
              <w:t>103 039 507</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906BCB" w:rsidRDefault="007D13F3" w:rsidP="00465CAC">
            <w:pPr>
              <w:autoSpaceDE w:val="0"/>
              <w:autoSpaceDN w:val="0"/>
              <w:adjustRightInd w:val="0"/>
              <w:jc w:val="right"/>
              <w:rPr>
                <w:rFonts w:ascii="Times New Roman" w:hAnsi="Times New Roman" w:cs="Times New Roman"/>
                <w:sz w:val="14"/>
                <w:szCs w:val="14"/>
                <w:highlight w:val="yellow"/>
              </w:rPr>
            </w:pPr>
            <w:r w:rsidRPr="00906BCB">
              <w:rPr>
                <w:rFonts w:ascii="Times New Roman" w:hAnsi="Times New Roman" w:cs="Times New Roman"/>
                <w:sz w:val="14"/>
                <w:szCs w:val="14"/>
              </w:rPr>
              <w:t>102 986 610</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906BCB" w:rsidRDefault="007D13F3" w:rsidP="00465CAC">
            <w:pPr>
              <w:autoSpaceDE w:val="0"/>
              <w:autoSpaceDN w:val="0"/>
              <w:adjustRightInd w:val="0"/>
              <w:jc w:val="right"/>
              <w:rPr>
                <w:rFonts w:ascii="Times New Roman" w:hAnsi="Times New Roman" w:cs="Times New Roman"/>
                <w:sz w:val="14"/>
                <w:szCs w:val="14"/>
                <w:highlight w:val="yellow"/>
              </w:rPr>
            </w:pPr>
            <w:r w:rsidRPr="00906BCB">
              <w:rPr>
                <w:rFonts w:ascii="Times New Roman" w:hAnsi="Times New Roman" w:cs="Times New Roman"/>
                <w:sz w:val="14"/>
                <w:szCs w:val="14"/>
              </w:rPr>
              <w:t>103 217 509</w:t>
            </w:r>
          </w:p>
        </w:tc>
      </w:tr>
      <w:tr w:rsidR="007D13F3" w:rsidRPr="00A3218E" w:rsidTr="00465CAC">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Archívnictvo</w:t>
            </w:r>
          </w:p>
        </w:tc>
        <w:tc>
          <w:tcPr>
            <w:tcW w:w="568" w:type="pct"/>
            <w:tcBorders>
              <w:top w:val="nil"/>
              <w:left w:val="nil"/>
              <w:bottom w:val="single" w:sz="4" w:space="0" w:color="auto"/>
              <w:right w:val="single" w:sz="4" w:space="0" w:color="auto"/>
            </w:tcBorders>
            <w:shd w:val="clear" w:color="000000" w:fill="FFFFFF"/>
            <w:noWrap/>
            <w:vAlign w:val="bottom"/>
          </w:tcPr>
          <w:p w:rsidR="007D13F3" w:rsidRPr="009F5D76" w:rsidRDefault="007D13F3" w:rsidP="00465CAC">
            <w:pPr>
              <w:jc w:val="right"/>
              <w:rPr>
                <w:rFonts w:ascii="Times New Roman" w:hAnsi="Times New Roman" w:cs="Times New Roman"/>
                <w:bCs/>
                <w:sz w:val="14"/>
                <w:szCs w:val="14"/>
                <w:highlight w:val="yellow"/>
              </w:rPr>
            </w:pPr>
            <w:r w:rsidRPr="009F5D76">
              <w:rPr>
                <w:rFonts w:ascii="Times New Roman" w:hAnsi="Times New Roman" w:cs="Times New Roman"/>
                <w:bCs/>
                <w:sz w:val="14"/>
                <w:szCs w:val="14"/>
              </w:rPr>
              <w:t>4 983 469</w:t>
            </w:r>
          </w:p>
        </w:tc>
        <w:tc>
          <w:tcPr>
            <w:tcW w:w="568" w:type="pct"/>
            <w:tcBorders>
              <w:top w:val="nil"/>
              <w:left w:val="nil"/>
              <w:bottom w:val="single" w:sz="4" w:space="0" w:color="auto"/>
              <w:right w:val="single" w:sz="4" w:space="0" w:color="auto"/>
            </w:tcBorders>
            <w:shd w:val="clear" w:color="000000" w:fill="FFFFFF"/>
            <w:noWrap/>
            <w:vAlign w:val="bottom"/>
          </w:tcPr>
          <w:p w:rsidR="007D13F3" w:rsidRPr="009F5D76" w:rsidRDefault="007D13F3" w:rsidP="00465CAC">
            <w:pPr>
              <w:jc w:val="right"/>
              <w:rPr>
                <w:rFonts w:ascii="Times New Roman" w:hAnsi="Times New Roman" w:cs="Times New Roman"/>
                <w:bCs/>
                <w:sz w:val="14"/>
                <w:szCs w:val="14"/>
                <w:highlight w:val="yellow"/>
              </w:rPr>
            </w:pPr>
            <w:r w:rsidRPr="009F5D76">
              <w:rPr>
                <w:rFonts w:ascii="Times New Roman" w:hAnsi="Times New Roman" w:cs="Times New Roman"/>
                <w:bCs/>
                <w:sz w:val="14"/>
                <w:szCs w:val="14"/>
              </w:rPr>
              <w:t>4 936 531</w:t>
            </w:r>
          </w:p>
        </w:tc>
        <w:tc>
          <w:tcPr>
            <w:tcW w:w="568" w:type="pct"/>
            <w:tcBorders>
              <w:top w:val="nil"/>
              <w:left w:val="nil"/>
              <w:bottom w:val="single" w:sz="4" w:space="0" w:color="auto"/>
              <w:right w:val="single" w:sz="4" w:space="0" w:color="auto"/>
            </w:tcBorders>
            <w:shd w:val="clear" w:color="000000" w:fill="FFFFFF"/>
            <w:vAlign w:val="bottom"/>
          </w:tcPr>
          <w:p w:rsidR="007D13F3" w:rsidRPr="009F5D76" w:rsidRDefault="007D13F3" w:rsidP="00465CAC">
            <w:pPr>
              <w:jc w:val="right"/>
              <w:rPr>
                <w:rFonts w:ascii="Times New Roman" w:hAnsi="Times New Roman" w:cs="Times New Roman"/>
                <w:sz w:val="14"/>
                <w:szCs w:val="14"/>
                <w:highlight w:val="yellow"/>
              </w:rPr>
            </w:pPr>
            <w:r w:rsidRPr="009F5D76">
              <w:rPr>
                <w:rFonts w:ascii="Times New Roman" w:hAnsi="Times New Roman" w:cs="Times New Roman"/>
                <w:sz w:val="14"/>
                <w:szCs w:val="14"/>
              </w:rPr>
              <w:t>4 651 230</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DD17B3">
              <w:rPr>
                <w:rFonts w:ascii="Times New Roman" w:hAnsi="Times New Roman" w:cs="Times New Roman"/>
                <w:sz w:val="14"/>
                <w:szCs w:val="14"/>
              </w:rPr>
              <w:t>5 359 971</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9F5D76">
              <w:rPr>
                <w:rFonts w:ascii="Times New Roman" w:hAnsi="Times New Roman" w:cs="Times New Roman"/>
                <w:sz w:val="14"/>
                <w:szCs w:val="14"/>
              </w:rPr>
              <w:t>4 826 633</w:t>
            </w:r>
          </w:p>
        </w:tc>
        <w:tc>
          <w:tcPr>
            <w:tcW w:w="568" w:type="pct"/>
            <w:tcBorders>
              <w:top w:val="nil"/>
              <w:left w:val="nil"/>
              <w:bottom w:val="single" w:sz="4" w:space="0" w:color="auto"/>
              <w:right w:val="single" w:sz="4" w:space="0" w:color="auto"/>
            </w:tcBorders>
            <w:shd w:val="clear" w:color="000000" w:fill="FFFFFF"/>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9F5D76">
              <w:rPr>
                <w:rFonts w:ascii="Times New Roman" w:hAnsi="Times New Roman" w:cs="Times New Roman"/>
                <w:sz w:val="14"/>
                <w:szCs w:val="14"/>
              </w:rPr>
              <w:t>4 826 633</w:t>
            </w:r>
          </w:p>
        </w:tc>
        <w:tc>
          <w:tcPr>
            <w:tcW w:w="567" w:type="pct"/>
            <w:tcBorders>
              <w:top w:val="nil"/>
              <w:left w:val="nil"/>
              <w:bottom w:val="single" w:sz="4" w:space="0" w:color="auto"/>
              <w:right w:val="single" w:sz="4" w:space="0" w:color="auto"/>
            </w:tcBorders>
            <w:shd w:val="clear" w:color="000000" w:fill="FFFFFF"/>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9F5D76">
              <w:rPr>
                <w:rFonts w:ascii="Times New Roman" w:hAnsi="Times New Roman" w:cs="Times New Roman"/>
                <w:sz w:val="14"/>
                <w:szCs w:val="14"/>
              </w:rPr>
              <w:t>4 826 633</w:t>
            </w:r>
          </w:p>
        </w:tc>
      </w:tr>
      <w:tr w:rsidR="007D13F3" w:rsidRPr="00A3218E" w:rsidTr="00465CAC">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Azylová politika</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7D13F3" w:rsidRPr="009F5D76" w:rsidRDefault="007D13F3" w:rsidP="00465CAC">
            <w:pPr>
              <w:jc w:val="right"/>
              <w:rPr>
                <w:rFonts w:ascii="Times New Roman" w:hAnsi="Times New Roman" w:cs="Times New Roman"/>
                <w:bCs/>
                <w:sz w:val="14"/>
                <w:szCs w:val="14"/>
                <w:highlight w:val="yellow"/>
              </w:rPr>
            </w:pPr>
            <w:r w:rsidRPr="009F5D76">
              <w:rPr>
                <w:rFonts w:ascii="Times New Roman" w:hAnsi="Times New Roman" w:cs="Times New Roman"/>
                <w:bCs/>
                <w:sz w:val="14"/>
                <w:szCs w:val="14"/>
              </w:rPr>
              <w:t>2 717 143</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7D13F3" w:rsidRPr="009F5D76" w:rsidRDefault="007D13F3" w:rsidP="00465CAC">
            <w:pPr>
              <w:jc w:val="right"/>
              <w:rPr>
                <w:rFonts w:ascii="Times New Roman" w:hAnsi="Times New Roman" w:cs="Times New Roman"/>
                <w:bCs/>
                <w:sz w:val="14"/>
                <w:szCs w:val="14"/>
                <w:highlight w:val="yellow"/>
              </w:rPr>
            </w:pPr>
            <w:r w:rsidRPr="009F5D76">
              <w:rPr>
                <w:rFonts w:ascii="Times New Roman" w:hAnsi="Times New Roman" w:cs="Times New Roman"/>
                <w:bCs/>
                <w:sz w:val="14"/>
                <w:szCs w:val="14"/>
              </w:rPr>
              <w:t>2 692 759</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7D13F3" w:rsidRPr="009F5D76" w:rsidRDefault="007D13F3" w:rsidP="00465CAC">
            <w:pPr>
              <w:jc w:val="right"/>
              <w:rPr>
                <w:rFonts w:ascii="Times New Roman" w:hAnsi="Times New Roman" w:cs="Times New Roman"/>
                <w:sz w:val="14"/>
                <w:szCs w:val="14"/>
                <w:highlight w:val="yellow"/>
              </w:rPr>
            </w:pPr>
            <w:r w:rsidRPr="009F5D76">
              <w:rPr>
                <w:rFonts w:ascii="Times New Roman" w:hAnsi="Times New Roman" w:cs="Times New Roman"/>
                <w:sz w:val="14"/>
                <w:szCs w:val="14"/>
              </w:rPr>
              <w:t>2 037 100</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2 136 837</w:t>
            </w:r>
          </w:p>
        </w:tc>
        <w:tc>
          <w:tcPr>
            <w:tcW w:w="568" w:type="pct"/>
            <w:tcBorders>
              <w:top w:val="single" w:sz="4" w:space="0" w:color="auto"/>
              <w:left w:val="single" w:sz="4" w:space="0" w:color="auto"/>
              <w:bottom w:val="single" w:sz="4" w:space="0" w:color="auto"/>
              <w:right w:val="single" w:sz="4" w:space="0" w:color="auto"/>
            </w:tcBorders>
            <w:shd w:val="clear" w:color="000000" w:fill="auto"/>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9F5D76">
              <w:rPr>
                <w:rFonts w:ascii="Times New Roman" w:hAnsi="Times New Roman" w:cs="Times New Roman"/>
                <w:sz w:val="14"/>
                <w:szCs w:val="14"/>
              </w:rPr>
              <w:t>2 161 427</w:t>
            </w:r>
          </w:p>
        </w:tc>
        <w:tc>
          <w:tcPr>
            <w:tcW w:w="568" w:type="pct"/>
            <w:tcBorders>
              <w:top w:val="single" w:sz="4" w:space="0" w:color="auto"/>
              <w:left w:val="nil"/>
              <w:bottom w:val="single" w:sz="4" w:space="0" w:color="auto"/>
              <w:right w:val="single" w:sz="4" w:space="0" w:color="auto"/>
            </w:tcBorders>
            <w:shd w:val="clear" w:color="000000" w:fill="auto"/>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9F5D76">
              <w:rPr>
                <w:rFonts w:ascii="Times New Roman" w:hAnsi="Times New Roman" w:cs="Times New Roman"/>
                <w:sz w:val="14"/>
                <w:szCs w:val="14"/>
              </w:rPr>
              <w:t>2 161 427</w:t>
            </w:r>
          </w:p>
        </w:tc>
        <w:tc>
          <w:tcPr>
            <w:tcW w:w="567" w:type="pct"/>
            <w:tcBorders>
              <w:top w:val="single" w:sz="4" w:space="0" w:color="auto"/>
              <w:left w:val="nil"/>
              <w:bottom w:val="single" w:sz="4" w:space="0" w:color="auto"/>
              <w:right w:val="single" w:sz="4" w:space="0" w:color="auto"/>
            </w:tcBorders>
            <w:shd w:val="clear" w:color="000000" w:fill="auto"/>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9F5D76">
              <w:rPr>
                <w:rFonts w:ascii="Times New Roman" w:hAnsi="Times New Roman" w:cs="Times New Roman"/>
                <w:sz w:val="14"/>
                <w:szCs w:val="14"/>
              </w:rPr>
              <w:t>2 161 427</w:t>
            </w:r>
          </w:p>
        </w:tc>
      </w:tr>
      <w:tr w:rsidR="007D13F3" w:rsidRPr="00A3218E" w:rsidTr="00465CAC">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Centrálna podpora</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7D13F3" w:rsidRPr="009F5D76" w:rsidRDefault="007D13F3" w:rsidP="00465CAC">
            <w:pPr>
              <w:jc w:val="right"/>
              <w:rPr>
                <w:rFonts w:ascii="Times New Roman" w:hAnsi="Times New Roman" w:cs="Times New Roman"/>
                <w:bCs/>
                <w:sz w:val="14"/>
                <w:szCs w:val="14"/>
                <w:highlight w:val="yellow"/>
              </w:rPr>
            </w:pPr>
            <w:r w:rsidRPr="009F5D76">
              <w:rPr>
                <w:rFonts w:ascii="Times New Roman" w:hAnsi="Times New Roman" w:cs="Times New Roman"/>
                <w:bCs/>
                <w:sz w:val="14"/>
                <w:szCs w:val="14"/>
              </w:rPr>
              <w:t>217 878 466</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7D13F3" w:rsidRPr="009F5D76" w:rsidRDefault="007D13F3" w:rsidP="00465CAC">
            <w:pPr>
              <w:jc w:val="right"/>
              <w:rPr>
                <w:rFonts w:ascii="Times New Roman" w:hAnsi="Times New Roman" w:cs="Times New Roman"/>
                <w:bCs/>
                <w:sz w:val="14"/>
                <w:szCs w:val="14"/>
                <w:highlight w:val="yellow"/>
              </w:rPr>
            </w:pPr>
            <w:r w:rsidRPr="009F5D76">
              <w:rPr>
                <w:rFonts w:ascii="Times New Roman" w:hAnsi="Times New Roman" w:cs="Times New Roman"/>
                <w:bCs/>
                <w:sz w:val="14"/>
                <w:szCs w:val="14"/>
              </w:rPr>
              <w:t>226 155 466</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7D13F3" w:rsidRPr="009F5D76" w:rsidRDefault="007D13F3" w:rsidP="00465CAC">
            <w:pPr>
              <w:jc w:val="right"/>
              <w:rPr>
                <w:rFonts w:ascii="Times New Roman" w:hAnsi="Times New Roman" w:cs="Times New Roman"/>
                <w:sz w:val="14"/>
                <w:szCs w:val="14"/>
                <w:highlight w:val="yellow"/>
              </w:rPr>
            </w:pPr>
            <w:r w:rsidRPr="009F5D76">
              <w:rPr>
                <w:rFonts w:ascii="Times New Roman" w:hAnsi="Times New Roman" w:cs="Times New Roman"/>
                <w:sz w:val="14"/>
                <w:szCs w:val="14"/>
              </w:rPr>
              <w:t>199 522 478</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221 743 715</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13F3" w:rsidRPr="00770935" w:rsidRDefault="007D13F3" w:rsidP="00465CAC">
            <w:pPr>
              <w:autoSpaceDE w:val="0"/>
              <w:autoSpaceDN w:val="0"/>
              <w:adjustRightInd w:val="0"/>
              <w:jc w:val="right"/>
              <w:rPr>
                <w:rFonts w:ascii="Times New Roman" w:hAnsi="Times New Roman" w:cs="Times New Roman"/>
                <w:sz w:val="14"/>
                <w:szCs w:val="14"/>
                <w:highlight w:val="yellow"/>
              </w:rPr>
            </w:pPr>
            <w:r w:rsidRPr="00770935">
              <w:rPr>
                <w:rFonts w:ascii="Times New Roman" w:hAnsi="Times New Roman" w:cs="Times New Roman"/>
                <w:sz w:val="14"/>
                <w:szCs w:val="14"/>
              </w:rPr>
              <w:t>165 994 924</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770935" w:rsidRDefault="007D13F3" w:rsidP="00465CAC">
            <w:pPr>
              <w:autoSpaceDE w:val="0"/>
              <w:autoSpaceDN w:val="0"/>
              <w:adjustRightInd w:val="0"/>
              <w:jc w:val="right"/>
              <w:rPr>
                <w:rFonts w:ascii="Times New Roman" w:hAnsi="Times New Roman" w:cs="Times New Roman"/>
                <w:sz w:val="14"/>
                <w:szCs w:val="14"/>
                <w:highlight w:val="yellow"/>
              </w:rPr>
            </w:pPr>
            <w:r w:rsidRPr="00770935">
              <w:rPr>
                <w:rFonts w:ascii="Times New Roman" w:hAnsi="Times New Roman" w:cs="Times New Roman"/>
                <w:sz w:val="14"/>
                <w:szCs w:val="14"/>
              </w:rPr>
              <w:t>165 994 924</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770935" w:rsidRDefault="007D13F3" w:rsidP="00465CAC">
            <w:pPr>
              <w:autoSpaceDE w:val="0"/>
              <w:autoSpaceDN w:val="0"/>
              <w:adjustRightInd w:val="0"/>
              <w:jc w:val="right"/>
              <w:rPr>
                <w:rFonts w:ascii="Times New Roman" w:hAnsi="Times New Roman" w:cs="Times New Roman"/>
                <w:sz w:val="14"/>
                <w:szCs w:val="14"/>
                <w:highlight w:val="yellow"/>
              </w:rPr>
            </w:pPr>
            <w:r w:rsidRPr="00770935">
              <w:rPr>
                <w:rFonts w:ascii="Times New Roman" w:hAnsi="Times New Roman" w:cs="Times New Roman"/>
                <w:sz w:val="14"/>
                <w:szCs w:val="14"/>
              </w:rPr>
              <w:t>165 994 924</w:t>
            </w:r>
          </w:p>
        </w:tc>
      </w:tr>
      <w:tr w:rsidR="007D13F3" w:rsidRPr="00A3218E" w:rsidTr="00465CAC">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Riadenie a kontrola</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7D13F3" w:rsidRPr="009F5D76" w:rsidRDefault="007D13F3" w:rsidP="00465CAC">
            <w:pPr>
              <w:jc w:val="right"/>
              <w:rPr>
                <w:rFonts w:ascii="Times New Roman" w:hAnsi="Times New Roman" w:cs="Times New Roman"/>
                <w:bCs/>
                <w:sz w:val="14"/>
                <w:szCs w:val="14"/>
                <w:highlight w:val="yellow"/>
              </w:rPr>
            </w:pPr>
            <w:r w:rsidRPr="009F5D76">
              <w:rPr>
                <w:rFonts w:ascii="Times New Roman" w:hAnsi="Times New Roman" w:cs="Times New Roman"/>
                <w:bCs/>
                <w:sz w:val="14"/>
                <w:szCs w:val="14"/>
              </w:rPr>
              <w:t>57 655 277</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7D13F3" w:rsidRPr="009F5D76" w:rsidRDefault="007D13F3" w:rsidP="00465CAC">
            <w:pPr>
              <w:jc w:val="right"/>
              <w:rPr>
                <w:rFonts w:ascii="Times New Roman" w:hAnsi="Times New Roman" w:cs="Times New Roman"/>
                <w:bCs/>
                <w:sz w:val="14"/>
                <w:szCs w:val="14"/>
                <w:highlight w:val="yellow"/>
              </w:rPr>
            </w:pPr>
            <w:r w:rsidRPr="009F5D76">
              <w:rPr>
                <w:rFonts w:ascii="Times New Roman" w:hAnsi="Times New Roman" w:cs="Times New Roman"/>
                <w:bCs/>
                <w:sz w:val="14"/>
                <w:szCs w:val="14"/>
              </w:rPr>
              <w:t>55 671 284</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7D13F3" w:rsidRPr="009F5D76" w:rsidRDefault="007D13F3" w:rsidP="00465CAC">
            <w:pPr>
              <w:jc w:val="right"/>
              <w:rPr>
                <w:rFonts w:ascii="Times New Roman" w:hAnsi="Times New Roman" w:cs="Times New Roman"/>
                <w:sz w:val="14"/>
                <w:szCs w:val="14"/>
                <w:highlight w:val="yellow"/>
              </w:rPr>
            </w:pPr>
            <w:r w:rsidRPr="009F5D76">
              <w:rPr>
                <w:rFonts w:ascii="Times New Roman" w:hAnsi="Times New Roman" w:cs="Times New Roman"/>
                <w:sz w:val="14"/>
                <w:szCs w:val="14"/>
              </w:rPr>
              <w:t>54 711 842</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3F46EC">
              <w:rPr>
                <w:rFonts w:ascii="Times New Roman" w:hAnsi="Times New Roman" w:cs="Times New Roman"/>
                <w:sz w:val="14"/>
                <w:szCs w:val="14"/>
              </w:rPr>
              <w:t>60 441 739</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9F5D76">
              <w:rPr>
                <w:rFonts w:ascii="Times New Roman" w:hAnsi="Times New Roman" w:cs="Times New Roman"/>
                <w:sz w:val="14"/>
                <w:szCs w:val="14"/>
              </w:rPr>
              <w:t>53 452 774</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9F5D76">
              <w:rPr>
                <w:rFonts w:ascii="Times New Roman" w:hAnsi="Times New Roman" w:cs="Times New Roman"/>
                <w:sz w:val="14"/>
                <w:szCs w:val="14"/>
              </w:rPr>
              <w:t>53 552 526</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9F5D76">
              <w:rPr>
                <w:rFonts w:ascii="Times New Roman" w:hAnsi="Times New Roman" w:cs="Times New Roman"/>
                <w:sz w:val="14"/>
                <w:szCs w:val="14"/>
              </w:rPr>
              <w:t>53 321 627</w:t>
            </w:r>
          </w:p>
        </w:tc>
      </w:tr>
      <w:tr w:rsidR="007D13F3" w:rsidRPr="00D26552" w:rsidTr="00465CAC">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7D13F3" w:rsidRPr="00D26552" w:rsidRDefault="007D13F3" w:rsidP="00465CAC">
            <w:pPr>
              <w:rPr>
                <w:rFonts w:ascii="Times New Roman" w:hAnsi="Times New Roman" w:cs="Times New Roman"/>
                <w:sz w:val="14"/>
                <w:szCs w:val="14"/>
              </w:rPr>
            </w:pPr>
            <w:r w:rsidRPr="00D26552">
              <w:rPr>
                <w:rFonts w:ascii="Times New Roman" w:hAnsi="Times New Roman" w:cs="Times New Roman"/>
                <w:sz w:val="14"/>
                <w:szCs w:val="14"/>
              </w:rPr>
              <w:t>Voľby</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7D13F3" w:rsidRPr="009F5D76" w:rsidRDefault="007D13F3" w:rsidP="00465CAC">
            <w:pPr>
              <w:jc w:val="right"/>
              <w:rPr>
                <w:rFonts w:ascii="Times New Roman" w:hAnsi="Times New Roman" w:cs="Times New Roman"/>
                <w:sz w:val="14"/>
                <w:szCs w:val="14"/>
                <w:highlight w:val="yellow"/>
              </w:rPr>
            </w:pPr>
            <w:r w:rsidRPr="009F5D76">
              <w:rPr>
                <w:rFonts w:ascii="Times New Roman" w:hAnsi="Times New Roman" w:cs="Times New Roman"/>
                <w:sz w:val="14"/>
                <w:szCs w:val="14"/>
              </w:rPr>
              <w:t>3 522 181</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7D13F3" w:rsidRPr="009F5D76" w:rsidRDefault="007D13F3" w:rsidP="00465CAC">
            <w:pPr>
              <w:jc w:val="right"/>
              <w:rPr>
                <w:rFonts w:ascii="Times New Roman" w:hAnsi="Times New Roman" w:cs="Times New Roman"/>
                <w:sz w:val="14"/>
                <w:szCs w:val="14"/>
                <w:highlight w:val="yellow"/>
              </w:rPr>
            </w:pPr>
            <w:r w:rsidRPr="009F5D76">
              <w:rPr>
                <w:rFonts w:ascii="Times New Roman" w:hAnsi="Times New Roman" w:cs="Times New Roman"/>
                <w:sz w:val="14"/>
                <w:szCs w:val="14"/>
              </w:rPr>
              <w:t>7 304 105</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7D13F3" w:rsidRPr="009F5D76" w:rsidRDefault="007D13F3" w:rsidP="00465CAC">
            <w:pPr>
              <w:jc w:val="right"/>
              <w:rPr>
                <w:rFonts w:ascii="Times New Roman" w:hAnsi="Times New Roman" w:cs="Times New Roman"/>
                <w:sz w:val="14"/>
                <w:szCs w:val="14"/>
                <w:highlight w:val="yellow"/>
              </w:rPr>
            </w:pPr>
            <w:r w:rsidRPr="009F5D76">
              <w:rPr>
                <w:rFonts w:ascii="Times New Roman" w:hAnsi="Times New Roman" w:cs="Times New Roman"/>
                <w:sz w:val="14"/>
                <w:szCs w:val="14"/>
              </w:rPr>
              <w:t>10 067 385</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9F5D76" w:rsidRDefault="007D13F3" w:rsidP="00465CAC">
            <w:pPr>
              <w:jc w:val="right"/>
              <w:rPr>
                <w:rFonts w:ascii="Times New Roman" w:hAnsi="Times New Roman" w:cs="Times New Roman"/>
                <w:sz w:val="14"/>
                <w:szCs w:val="14"/>
                <w:highlight w:val="yellow"/>
              </w:rPr>
            </w:pPr>
            <w:r w:rsidRPr="003F46EC">
              <w:rPr>
                <w:rFonts w:ascii="Times New Roman" w:hAnsi="Times New Roman" w:cs="Times New Roman"/>
                <w:sz w:val="14"/>
                <w:szCs w:val="14"/>
              </w:rPr>
              <w:t>10 066 684</w:t>
            </w:r>
          </w:p>
        </w:tc>
        <w:tc>
          <w:tcPr>
            <w:tcW w:w="568" w:type="pct"/>
            <w:tcBorders>
              <w:top w:val="single" w:sz="4" w:space="0" w:color="auto"/>
              <w:bottom w:val="single" w:sz="4" w:space="0" w:color="auto"/>
              <w:right w:val="single" w:sz="4" w:space="0" w:color="auto"/>
            </w:tcBorders>
            <w:shd w:val="clear" w:color="auto" w:fill="FFFFFF" w:themeFill="background1"/>
            <w:vAlign w:val="bottom"/>
          </w:tcPr>
          <w:p w:rsidR="007D13F3" w:rsidRPr="009F5D76" w:rsidRDefault="007D13F3" w:rsidP="00465CAC">
            <w:pPr>
              <w:jc w:val="right"/>
              <w:rPr>
                <w:rFonts w:ascii="Times New Roman" w:hAnsi="Times New Roman" w:cs="Times New Roman"/>
                <w:sz w:val="14"/>
                <w:szCs w:val="14"/>
                <w:highlight w:val="yellow"/>
              </w:rPr>
            </w:pPr>
            <w:r w:rsidRPr="009F5D76">
              <w:rPr>
                <w:rFonts w:ascii="Times New Roman" w:hAnsi="Times New Roman" w:cs="Times New Roman"/>
                <w:sz w:val="14"/>
                <w:szCs w:val="14"/>
              </w:rPr>
              <w:t>8 008 634</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13F3" w:rsidRPr="009F5D76" w:rsidRDefault="007D13F3" w:rsidP="00465CAC">
            <w:pPr>
              <w:jc w:val="right"/>
              <w:rPr>
                <w:rFonts w:ascii="Times New Roman" w:hAnsi="Times New Roman" w:cs="Times New Roman"/>
                <w:sz w:val="14"/>
                <w:szCs w:val="14"/>
                <w:highlight w:val="yellow"/>
              </w:rPr>
            </w:pPr>
            <w:r w:rsidRPr="009F5D76">
              <w:rPr>
                <w:rFonts w:ascii="Times New Roman" w:hAnsi="Times New Roman" w:cs="Times New Roman"/>
                <w:sz w:val="14"/>
                <w:szCs w:val="14"/>
              </w:rPr>
              <w:t>20 496 976</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13F3" w:rsidRPr="009F5D76" w:rsidRDefault="007D13F3" w:rsidP="00465CAC">
            <w:pPr>
              <w:jc w:val="right"/>
              <w:rPr>
                <w:rFonts w:ascii="Times New Roman" w:hAnsi="Times New Roman" w:cs="Times New Roman"/>
                <w:sz w:val="14"/>
                <w:szCs w:val="14"/>
                <w:highlight w:val="yellow"/>
              </w:rPr>
            </w:pPr>
            <w:r w:rsidRPr="009F5D76">
              <w:rPr>
                <w:rFonts w:ascii="Times New Roman" w:hAnsi="Times New Roman" w:cs="Times New Roman"/>
                <w:sz w:val="14"/>
                <w:szCs w:val="14"/>
              </w:rPr>
              <w:t>9 690 001</w:t>
            </w:r>
          </w:p>
        </w:tc>
      </w:tr>
      <w:tr w:rsidR="007D13F3" w:rsidRPr="00D26552" w:rsidTr="00465CAC">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7D13F3" w:rsidRPr="00D26552" w:rsidRDefault="007D13F3" w:rsidP="00465CAC">
            <w:pPr>
              <w:rPr>
                <w:rFonts w:ascii="Times New Roman" w:hAnsi="Times New Roman" w:cs="Times New Roman"/>
                <w:sz w:val="14"/>
                <w:szCs w:val="14"/>
              </w:rPr>
            </w:pPr>
            <w:r w:rsidRPr="00D26552">
              <w:rPr>
                <w:rFonts w:ascii="Times New Roman" w:hAnsi="Times New Roman" w:cs="Times New Roman"/>
                <w:sz w:val="14"/>
                <w:szCs w:val="14"/>
              </w:rPr>
              <w:t>Projekty Európskej únie</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7D13F3" w:rsidRPr="009F5D76" w:rsidRDefault="007D13F3" w:rsidP="00465CAC">
            <w:pPr>
              <w:jc w:val="right"/>
              <w:rPr>
                <w:rFonts w:ascii="Times New Roman" w:hAnsi="Times New Roman" w:cs="Times New Roman"/>
                <w:bCs/>
                <w:sz w:val="14"/>
                <w:szCs w:val="14"/>
                <w:highlight w:val="yellow"/>
              </w:rPr>
            </w:pPr>
            <w:r w:rsidRPr="009F5D76">
              <w:rPr>
                <w:rFonts w:ascii="Times New Roman" w:hAnsi="Times New Roman" w:cs="Times New Roman"/>
                <w:bCs/>
                <w:sz w:val="14"/>
                <w:szCs w:val="14"/>
              </w:rPr>
              <w:t>970 304</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7D13F3" w:rsidRPr="009F5D76" w:rsidRDefault="007D13F3" w:rsidP="00465CAC">
            <w:pPr>
              <w:jc w:val="right"/>
              <w:rPr>
                <w:rFonts w:ascii="Times New Roman" w:hAnsi="Times New Roman" w:cs="Times New Roman"/>
                <w:bCs/>
                <w:sz w:val="14"/>
                <w:szCs w:val="14"/>
                <w:highlight w:val="yellow"/>
              </w:rPr>
            </w:pPr>
            <w:r w:rsidRPr="009F5D76">
              <w:rPr>
                <w:rFonts w:ascii="Times New Roman" w:hAnsi="Times New Roman" w:cs="Times New Roman"/>
                <w:bCs/>
                <w:sz w:val="14"/>
                <w:szCs w:val="14"/>
              </w:rPr>
              <w:t>600 393</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7D13F3" w:rsidRPr="009F5D76" w:rsidRDefault="007D13F3" w:rsidP="00465CAC">
            <w:pPr>
              <w:jc w:val="right"/>
              <w:rPr>
                <w:rFonts w:ascii="Times New Roman" w:hAnsi="Times New Roman" w:cs="Times New Roman"/>
                <w:sz w:val="14"/>
                <w:szCs w:val="14"/>
                <w:highlight w:val="yellow"/>
              </w:rPr>
            </w:pPr>
            <w:r w:rsidRPr="009F5D76">
              <w:rPr>
                <w:rFonts w:ascii="Times New Roman" w:hAnsi="Times New Roman" w:cs="Times New Roman"/>
                <w:sz w:val="14"/>
                <w:szCs w:val="14"/>
              </w:rPr>
              <w:t>2 822 296</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12 543 039</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sidRPr="009F5D76">
              <w:rPr>
                <w:rFonts w:ascii="Times New Roman" w:hAnsi="Times New Roman" w:cs="Times New Roman"/>
                <w:sz w:val="14"/>
                <w:szCs w:val="14"/>
              </w:rPr>
              <w:t>947 709</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6</w:t>
            </w:r>
            <w:r w:rsidRPr="009F5D76">
              <w:rPr>
                <w:rFonts w:ascii="Times New Roman" w:hAnsi="Times New Roman" w:cs="Times New Roman"/>
                <w:sz w:val="14"/>
                <w:szCs w:val="14"/>
              </w:rPr>
              <w:t>47 709</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9F5D76" w:rsidRDefault="007D13F3" w:rsidP="00465CAC">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6</w:t>
            </w:r>
            <w:r w:rsidRPr="009F5D76">
              <w:rPr>
                <w:rFonts w:ascii="Times New Roman" w:hAnsi="Times New Roman" w:cs="Times New Roman"/>
                <w:sz w:val="14"/>
                <w:szCs w:val="14"/>
              </w:rPr>
              <w:t>47 709</w:t>
            </w:r>
          </w:p>
        </w:tc>
      </w:tr>
    </w:tbl>
    <w:p w:rsidR="007D13F3" w:rsidRDefault="007D13F3" w:rsidP="007D13F3">
      <w:pPr>
        <w:jc w:val="both"/>
        <w:rPr>
          <w:rFonts w:ascii="Times New Roman" w:hAnsi="Times New Roman" w:cs="Times New Roman"/>
          <w:sz w:val="22"/>
          <w:szCs w:val="22"/>
        </w:rPr>
      </w:pPr>
    </w:p>
    <w:p w:rsidR="007D13F3" w:rsidRDefault="007D13F3" w:rsidP="007D13F3">
      <w:r>
        <w:br w:type="page"/>
      </w:r>
    </w:p>
    <w:p w:rsidR="007D13F3" w:rsidRPr="00D26552" w:rsidRDefault="007D13F3" w:rsidP="007D13F3">
      <w:pPr>
        <w:jc w:val="both"/>
        <w:rPr>
          <w:rFonts w:ascii="Times New Roman" w:hAnsi="Times New Roman" w:cs="Times New Roman"/>
          <w:sz w:val="22"/>
          <w:szCs w:val="22"/>
        </w:rPr>
      </w:pPr>
    </w:p>
    <w:p w:rsidR="00A870F8" w:rsidRDefault="007D13F3" w:rsidP="007D13F3">
      <w:pPr>
        <w:jc w:val="both"/>
        <w:rPr>
          <w:rFonts w:ascii="Times New Roman" w:hAnsi="Times New Roman" w:cs="Times New Roman"/>
          <w:b/>
        </w:rPr>
      </w:pPr>
      <w:r w:rsidRPr="00693FCE">
        <w:rPr>
          <w:rFonts w:ascii="Times New Roman" w:hAnsi="Times New Roman" w:cs="Times New Roman"/>
          <w:b/>
        </w:rPr>
        <w:t>Ochrana verejného poriadku a</w:t>
      </w:r>
      <w:r w:rsidR="00A870F8">
        <w:rPr>
          <w:rFonts w:ascii="Times New Roman" w:hAnsi="Times New Roman" w:cs="Times New Roman"/>
          <w:b/>
        </w:rPr>
        <w:t> </w:t>
      </w:r>
      <w:r w:rsidRPr="00693FCE">
        <w:rPr>
          <w:rFonts w:ascii="Times New Roman" w:hAnsi="Times New Roman" w:cs="Times New Roman"/>
          <w:b/>
        </w:rPr>
        <w:t>bezpečnosti</w:t>
      </w:r>
    </w:p>
    <w:p w:rsidR="007D13F3" w:rsidRPr="00693FCE" w:rsidRDefault="007D13F3" w:rsidP="007D13F3">
      <w:pPr>
        <w:jc w:val="both"/>
        <w:rPr>
          <w:rFonts w:ascii="Times New Roman" w:hAnsi="Times New Roman" w:cs="Times New Roman"/>
          <w:b/>
        </w:rPr>
      </w:pP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7D13F3" w:rsidRPr="00A3218E" w:rsidTr="00A870F8">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7D13F3" w:rsidRPr="00A3218E" w:rsidRDefault="00551C05" w:rsidP="00465CAC">
            <w:pPr>
              <w:rPr>
                <w:rFonts w:ascii="Times New Roman" w:hAnsi="Times New Roman" w:cs="Times New Roman"/>
                <w:b/>
                <w:sz w:val="14"/>
                <w:szCs w:val="14"/>
              </w:rPr>
            </w:pPr>
            <w:r>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2015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highlight w:val="yellow"/>
                <w:lang w:eastAsia="sk-SK"/>
              </w:rPr>
            </w:pPr>
            <w:r w:rsidRPr="00C75F6A">
              <w:rPr>
                <w:rFonts w:ascii="Times New Roman" w:hAnsi="Times New Roman" w:cs="Times New Roman"/>
                <w:b/>
                <w:bCs/>
                <w:color w:val="000000"/>
                <w:sz w:val="14"/>
                <w:szCs w:val="14"/>
                <w:lang w:eastAsia="sk-SK"/>
              </w:rPr>
              <w:t xml:space="preserve">2016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2017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2017 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2018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2019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75F6A" w:rsidRDefault="007D13F3" w:rsidP="00465CAC">
            <w:pPr>
              <w:jc w:val="center"/>
              <w:rPr>
                <w:rFonts w:ascii="Times New Roman" w:hAnsi="Times New Roman" w:cs="Times New Roman"/>
                <w:b/>
                <w:bCs/>
                <w:color w:val="000000"/>
                <w:sz w:val="14"/>
                <w:szCs w:val="14"/>
                <w:lang w:eastAsia="sk-SK"/>
              </w:rPr>
            </w:pPr>
            <w:r w:rsidRPr="00C75F6A">
              <w:rPr>
                <w:rFonts w:ascii="Times New Roman" w:hAnsi="Times New Roman" w:cs="Times New Roman"/>
                <w:b/>
                <w:bCs/>
                <w:color w:val="000000"/>
                <w:sz w:val="14"/>
                <w:szCs w:val="14"/>
                <w:lang w:eastAsia="sk-SK"/>
              </w:rPr>
              <w:t>2020 N</w:t>
            </w:r>
          </w:p>
        </w:tc>
      </w:tr>
      <w:tr w:rsidR="007D13F3" w:rsidRPr="00A3218E" w:rsidTr="00A870F8">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D13F3" w:rsidRPr="00A3218E" w:rsidRDefault="007D13F3" w:rsidP="00465CAC">
            <w:pPr>
              <w:rPr>
                <w:rFonts w:ascii="Times New Roman" w:hAnsi="Times New Roman" w:cs="Times New Roman"/>
                <w:b/>
                <w:bCs/>
                <w:sz w:val="14"/>
                <w:szCs w:val="14"/>
              </w:rPr>
            </w:pPr>
            <w:r w:rsidRPr="00A3218E">
              <w:rPr>
                <w:rFonts w:ascii="Times New Roman" w:hAnsi="Times New Roman" w:cs="Times New Roman"/>
                <w:b/>
                <w:bCs/>
                <w:sz w:val="14"/>
                <w:szCs w:val="14"/>
              </w:rPr>
              <w:t>Ochrana verejného poriadku</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3B02EB" w:rsidRDefault="007D13F3" w:rsidP="00465CAC">
            <w:pPr>
              <w:jc w:val="right"/>
              <w:rPr>
                <w:rFonts w:ascii="Times New Roman" w:hAnsi="Times New Roman" w:cs="Times New Roman"/>
                <w:b/>
                <w:bCs/>
                <w:sz w:val="14"/>
                <w:szCs w:val="14"/>
                <w:highlight w:val="yellow"/>
              </w:rPr>
            </w:pPr>
            <w:r>
              <w:rPr>
                <w:rFonts w:ascii="Times New Roman" w:hAnsi="Times New Roman" w:cs="Times New Roman"/>
                <w:b/>
                <w:bCs/>
                <w:sz w:val="14"/>
                <w:szCs w:val="14"/>
              </w:rPr>
              <w:t>607 738 188</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3B02EB" w:rsidRDefault="007D13F3" w:rsidP="00465CAC">
            <w:pPr>
              <w:jc w:val="right"/>
              <w:rPr>
                <w:rFonts w:ascii="Times New Roman" w:hAnsi="Times New Roman" w:cs="Times New Roman"/>
                <w:b/>
                <w:bCs/>
                <w:sz w:val="14"/>
                <w:szCs w:val="14"/>
                <w:highlight w:val="yellow"/>
              </w:rPr>
            </w:pPr>
            <w:r w:rsidRPr="0015728F">
              <w:rPr>
                <w:rFonts w:ascii="Times New Roman" w:hAnsi="Times New Roman" w:cs="Times New Roman"/>
                <w:b/>
                <w:bCs/>
                <w:sz w:val="14"/>
                <w:szCs w:val="14"/>
              </w:rPr>
              <w:t>585 608 494</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877C74" w:rsidRDefault="007D13F3" w:rsidP="00465CAC">
            <w:pPr>
              <w:jc w:val="right"/>
              <w:rPr>
                <w:rFonts w:ascii="Times New Roman" w:hAnsi="Times New Roman" w:cs="Times New Roman"/>
                <w:b/>
                <w:sz w:val="14"/>
                <w:szCs w:val="14"/>
                <w:highlight w:val="yellow"/>
              </w:rPr>
            </w:pPr>
            <w:r w:rsidRPr="00877C74">
              <w:rPr>
                <w:rFonts w:ascii="Times New Roman" w:hAnsi="Times New Roman" w:cs="Times New Roman"/>
                <w:b/>
                <w:sz w:val="14"/>
                <w:szCs w:val="14"/>
              </w:rPr>
              <w:t>664 506 416</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7D13F3" w:rsidRPr="00877C74" w:rsidRDefault="007D13F3" w:rsidP="00465CAC">
            <w:pPr>
              <w:autoSpaceDE w:val="0"/>
              <w:autoSpaceDN w:val="0"/>
              <w:adjustRightInd w:val="0"/>
              <w:jc w:val="right"/>
              <w:rPr>
                <w:rFonts w:ascii="Times New Roman" w:hAnsi="Times New Roman" w:cs="Times New Roman"/>
                <w:b/>
                <w:sz w:val="14"/>
                <w:szCs w:val="14"/>
                <w:highlight w:val="yellow"/>
              </w:rPr>
            </w:pPr>
            <w:r>
              <w:rPr>
                <w:rFonts w:ascii="Times New Roman" w:hAnsi="Times New Roman" w:cs="Times New Roman"/>
                <w:b/>
                <w:sz w:val="14"/>
                <w:szCs w:val="14"/>
              </w:rPr>
              <w:t>695 752 280</w:t>
            </w:r>
          </w:p>
        </w:tc>
        <w:tc>
          <w:tcPr>
            <w:tcW w:w="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D13F3" w:rsidRPr="00656145" w:rsidRDefault="007D13F3" w:rsidP="00465CAC">
            <w:pPr>
              <w:autoSpaceDE w:val="0"/>
              <w:autoSpaceDN w:val="0"/>
              <w:adjustRightInd w:val="0"/>
              <w:jc w:val="right"/>
              <w:rPr>
                <w:rFonts w:ascii="Times New Roman" w:hAnsi="Times New Roman" w:cs="Times New Roman"/>
                <w:b/>
                <w:sz w:val="14"/>
                <w:szCs w:val="14"/>
                <w:highlight w:val="yellow"/>
              </w:rPr>
            </w:pPr>
            <w:r w:rsidRPr="00656145">
              <w:rPr>
                <w:rFonts w:ascii="Times New Roman" w:hAnsi="Times New Roman" w:cs="Times New Roman"/>
                <w:b/>
                <w:sz w:val="14"/>
                <w:szCs w:val="14"/>
              </w:rPr>
              <w:t>713 560 009</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656145" w:rsidRDefault="007D13F3" w:rsidP="00465CAC">
            <w:pPr>
              <w:autoSpaceDE w:val="0"/>
              <w:autoSpaceDN w:val="0"/>
              <w:adjustRightInd w:val="0"/>
              <w:jc w:val="right"/>
              <w:rPr>
                <w:rFonts w:ascii="Times New Roman" w:hAnsi="Times New Roman" w:cs="Times New Roman"/>
                <w:b/>
                <w:sz w:val="14"/>
                <w:szCs w:val="14"/>
                <w:highlight w:val="yellow"/>
              </w:rPr>
            </w:pPr>
            <w:r w:rsidRPr="00656145">
              <w:rPr>
                <w:rFonts w:ascii="Times New Roman" w:hAnsi="Times New Roman" w:cs="Times New Roman"/>
                <w:b/>
                <w:sz w:val="14"/>
                <w:szCs w:val="14"/>
              </w:rPr>
              <w:t>713 560 009</w:t>
            </w:r>
          </w:p>
        </w:tc>
        <w:tc>
          <w:tcPr>
            <w:tcW w:w="56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656145" w:rsidRDefault="007D13F3" w:rsidP="00465CAC">
            <w:pPr>
              <w:autoSpaceDE w:val="0"/>
              <w:autoSpaceDN w:val="0"/>
              <w:adjustRightInd w:val="0"/>
              <w:jc w:val="right"/>
              <w:rPr>
                <w:rFonts w:ascii="Times New Roman" w:hAnsi="Times New Roman" w:cs="Times New Roman"/>
                <w:b/>
                <w:sz w:val="14"/>
                <w:szCs w:val="14"/>
                <w:highlight w:val="yellow"/>
              </w:rPr>
            </w:pPr>
            <w:r w:rsidRPr="00656145">
              <w:rPr>
                <w:rFonts w:ascii="Times New Roman" w:hAnsi="Times New Roman" w:cs="Times New Roman"/>
                <w:b/>
                <w:sz w:val="14"/>
                <w:szCs w:val="14"/>
              </w:rPr>
              <w:t>713 560 009</w:t>
            </w:r>
          </w:p>
        </w:tc>
      </w:tr>
      <w:tr w:rsidR="007D13F3" w:rsidRPr="00A3218E" w:rsidTr="00465CAC">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Ochrana verejného poriadku</w:t>
            </w:r>
          </w:p>
        </w:tc>
        <w:tc>
          <w:tcPr>
            <w:tcW w:w="568" w:type="pct"/>
            <w:tcBorders>
              <w:top w:val="nil"/>
              <w:left w:val="nil"/>
              <w:bottom w:val="single" w:sz="4" w:space="0" w:color="auto"/>
              <w:right w:val="single" w:sz="4" w:space="0" w:color="auto"/>
            </w:tcBorders>
            <w:shd w:val="clear" w:color="000000" w:fill="FFFFFF"/>
            <w:noWrap/>
            <w:vAlign w:val="bottom"/>
          </w:tcPr>
          <w:p w:rsidR="007D13F3" w:rsidRPr="00A033BD" w:rsidRDefault="007D13F3" w:rsidP="00465CAC">
            <w:pPr>
              <w:jc w:val="right"/>
              <w:rPr>
                <w:rFonts w:ascii="Times New Roman" w:hAnsi="Times New Roman" w:cs="Times New Roman"/>
                <w:sz w:val="14"/>
                <w:szCs w:val="14"/>
                <w:highlight w:val="yellow"/>
              </w:rPr>
            </w:pPr>
            <w:r w:rsidRPr="00A033BD">
              <w:rPr>
                <w:rFonts w:ascii="Times New Roman" w:hAnsi="Times New Roman" w:cs="Times New Roman"/>
                <w:sz w:val="14"/>
                <w:szCs w:val="14"/>
              </w:rPr>
              <w:t>564 275 349</w:t>
            </w:r>
          </w:p>
        </w:tc>
        <w:tc>
          <w:tcPr>
            <w:tcW w:w="568" w:type="pct"/>
            <w:tcBorders>
              <w:top w:val="nil"/>
              <w:left w:val="nil"/>
              <w:bottom w:val="single" w:sz="4" w:space="0" w:color="auto"/>
              <w:right w:val="single" w:sz="4" w:space="0" w:color="auto"/>
            </w:tcBorders>
            <w:shd w:val="clear" w:color="000000" w:fill="FFFFFF"/>
            <w:noWrap/>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545 070 083</w:t>
            </w:r>
          </w:p>
        </w:tc>
        <w:tc>
          <w:tcPr>
            <w:tcW w:w="568" w:type="pct"/>
            <w:tcBorders>
              <w:top w:val="nil"/>
              <w:left w:val="nil"/>
              <w:bottom w:val="single" w:sz="4" w:space="0" w:color="auto"/>
              <w:right w:val="single" w:sz="4" w:space="0" w:color="auto"/>
            </w:tcBorders>
            <w:shd w:val="clear" w:color="000000" w:fill="FFFFFF"/>
            <w:vAlign w:val="bottom"/>
          </w:tcPr>
          <w:p w:rsidR="007D13F3" w:rsidRPr="00877C74" w:rsidRDefault="007D13F3" w:rsidP="00465CAC">
            <w:pPr>
              <w:autoSpaceDE w:val="0"/>
              <w:autoSpaceDN w:val="0"/>
              <w:adjustRightInd w:val="0"/>
              <w:jc w:val="right"/>
              <w:rPr>
                <w:rFonts w:ascii="Times New Roman" w:hAnsi="Times New Roman" w:cs="Times New Roman"/>
                <w:sz w:val="14"/>
                <w:szCs w:val="14"/>
                <w:highlight w:val="yellow"/>
              </w:rPr>
            </w:pPr>
            <w:r w:rsidRPr="00877C74">
              <w:rPr>
                <w:rFonts w:ascii="Times New Roman" w:hAnsi="Times New Roman" w:cs="Times New Roman"/>
                <w:sz w:val="14"/>
                <w:szCs w:val="14"/>
              </w:rPr>
              <w:t>623 125 589</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877C74" w:rsidRDefault="007D13F3" w:rsidP="00465CAC">
            <w:pPr>
              <w:autoSpaceDE w:val="0"/>
              <w:autoSpaceDN w:val="0"/>
              <w:adjustRightInd w:val="0"/>
              <w:jc w:val="right"/>
              <w:rPr>
                <w:rFonts w:ascii="Times New Roman" w:hAnsi="Times New Roman" w:cs="Times New Roman"/>
                <w:sz w:val="14"/>
                <w:szCs w:val="14"/>
                <w:highlight w:val="yellow"/>
              </w:rPr>
            </w:pPr>
            <w:r w:rsidRPr="0069377E">
              <w:rPr>
                <w:rFonts w:ascii="Times New Roman" w:hAnsi="Times New Roman" w:cs="Times New Roman"/>
                <w:sz w:val="14"/>
                <w:szCs w:val="14"/>
              </w:rPr>
              <w:t>652 529 379</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7D13F3" w:rsidRPr="00656145" w:rsidRDefault="007D13F3" w:rsidP="00465CAC">
            <w:pPr>
              <w:autoSpaceDE w:val="0"/>
              <w:autoSpaceDN w:val="0"/>
              <w:adjustRightInd w:val="0"/>
              <w:jc w:val="right"/>
              <w:rPr>
                <w:rFonts w:ascii="Times New Roman" w:hAnsi="Times New Roman" w:cs="Times New Roman"/>
                <w:sz w:val="14"/>
                <w:szCs w:val="14"/>
                <w:highlight w:val="yellow"/>
              </w:rPr>
            </w:pPr>
            <w:r w:rsidRPr="00656145">
              <w:rPr>
                <w:rFonts w:ascii="Times New Roman" w:hAnsi="Times New Roman" w:cs="Times New Roman"/>
                <w:sz w:val="14"/>
                <w:szCs w:val="14"/>
              </w:rPr>
              <w:t>670 070 410</w:t>
            </w:r>
          </w:p>
        </w:tc>
        <w:tc>
          <w:tcPr>
            <w:tcW w:w="568" w:type="pct"/>
            <w:tcBorders>
              <w:top w:val="nil"/>
              <w:left w:val="nil"/>
              <w:bottom w:val="single" w:sz="4" w:space="0" w:color="auto"/>
              <w:right w:val="single" w:sz="4" w:space="0" w:color="auto"/>
            </w:tcBorders>
            <w:shd w:val="clear" w:color="000000" w:fill="FFFFFF"/>
            <w:vAlign w:val="bottom"/>
          </w:tcPr>
          <w:p w:rsidR="007D13F3" w:rsidRPr="00656145" w:rsidRDefault="007D13F3" w:rsidP="00465CAC">
            <w:pPr>
              <w:autoSpaceDE w:val="0"/>
              <w:autoSpaceDN w:val="0"/>
              <w:adjustRightInd w:val="0"/>
              <w:jc w:val="right"/>
              <w:rPr>
                <w:rFonts w:ascii="Times New Roman" w:hAnsi="Times New Roman" w:cs="Times New Roman"/>
                <w:sz w:val="14"/>
                <w:szCs w:val="14"/>
                <w:highlight w:val="yellow"/>
              </w:rPr>
            </w:pPr>
            <w:r w:rsidRPr="00656145">
              <w:rPr>
                <w:rFonts w:ascii="Times New Roman" w:hAnsi="Times New Roman" w:cs="Times New Roman"/>
                <w:sz w:val="14"/>
                <w:szCs w:val="14"/>
              </w:rPr>
              <w:t>670 070 410</w:t>
            </w:r>
          </w:p>
        </w:tc>
        <w:tc>
          <w:tcPr>
            <w:tcW w:w="567" w:type="pct"/>
            <w:tcBorders>
              <w:top w:val="nil"/>
              <w:left w:val="nil"/>
              <w:bottom w:val="single" w:sz="4" w:space="0" w:color="auto"/>
              <w:right w:val="single" w:sz="4" w:space="0" w:color="auto"/>
            </w:tcBorders>
            <w:shd w:val="clear" w:color="000000" w:fill="FFFFFF"/>
            <w:vAlign w:val="bottom"/>
          </w:tcPr>
          <w:p w:rsidR="007D13F3" w:rsidRPr="00656145" w:rsidRDefault="007D13F3" w:rsidP="00465CAC">
            <w:pPr>
              <w:autoSpaceDE w:val="0"/>
              <w:autoSpaceDN w:val="0"/>
              <w:adjustRightInd w:val="0"/>
              <w:jc w:val="right"/>
              <w:rPr>
                <w:rFonts w:ascii="Times New Roman" w:hAnsi="Times New Roman" w:cs="Times New Roman"/>
                <w:sz w:val="14"/>
                <w:szCs w:val="14"/>
                <w:highlight w:val="yellow"/>
              </w:rPr>
            </w:pPr>
            <w:r w:rsidRPr="00656145">
              <w:rPr>
                <w:rFonts w:ascii="Times New Roman" w:hAnsi="Times New Roman" w:cs="Times New Roman"/>
                <w:sz w:val="14"/>
                <w:szCs w:val="14"/>
              </w:rPr>
              <w:t>670 070 410</w:t>
            </w:r>
          </w:p>
        </w:tc>
      </w:tr>
      <w:tr w:rsidR="007D13F3" w:rsidRPr="00A3218E" w:rsidTr="00465CAC">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Bezpečnosť schengenského priestoru</w:t>
            </w:r>
          </w:p>
        </w:tc>
        <w:tc>
          <w:tcPr>
            <w:tcW w:w="568" w:type="pct"/>
            <w:tcBorders>
              <w:top w:val="nil"/>
              <w:left w:val="nil"/>
              <w:bottom w:val="single" w:sz="4" w:space="0" w:color="auto"/>
              <w:right w:val="single" w:sz="4" w:space="0" w:color="auto"/>
            </w:tcBorders>
            <w:shd w:val="clear" w:color="000000" w:fill="FFFFFF"/>
            <w:noWrap/>
            <w:vAlign w:val="bottom"/>
          </w:tcPr>
          <w:p w:rsidR="007D13F3" w:rsidRPr="00A033BD" w:rsidRDefault="007D13F3" w:rsidP="00465CAC">
            <w:pPr>
              <w:jc w:val="right"/>
              <w:rPr>
                <w:rFonts w:ascii="Times New Roman" w:hAnsi="Times New Roman" w:cs="Times New Roman"/>
                <w:sz w:val="14"/>
                <w:szCs w:val="14"/>
                <w:highlight w:val="yellow"/>
              </w:rPr>
            </w:pPr>
            <w:r w:rsidRPr="00A033BD">
              <w:rPr>
                <w:rFonts w:ascii="Times New Roman" w:hAnsi="Times New Roman" w:cs="Times New Roman"/>
                <w:sz w:val="14"/>
                <w:szCs w:val="14"/>
              </w:rPr>
              <w:t>39 779 703</w:t>
            </w:r>
          </w:p>
        </w:tc>
        <w:tc>
          <w:tcPr>
            <w:tcW w:w="568" w:type="pct"/>
            <w:tcBorders>
              <w:top w:val="nil"/>
              <w:left w:val="nil"/>
              <w:bottom w:val="single" w:sz="4" w:space="0" w:color="auto"/>
              <w:right w:val="single" w:sz="4" w:space="0" w:color="auto"/>
            </w:tcBorders>
            <w:shd w:val="clear" w:color="000000" w:fill="FFFFFF"/>
            <w:noWrap/>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39 515 602</w:t>
            </w:r>
          </w:p>
        </w:tc>
        <w:tc>
          <w:tcPr>
            <w:tcW w:w="568" w:type="pct"/>
            <w:tcBorders>
              <w:top w:val="nil"/>
              <w:left w:val="nil"/>
              <w:bottom w:val="single" w:sz="4" w:space="0" w:color="auto"/>
              <w:right w:val="single" w:sz="4" w:space="0" w:color="auto"/>
            </w:tcBorders>
            <w:shd w:val="clear" w:color="000000" w:fill="FFFFFF"/>
            <w:noWrap/>
            <w:vAlign w:val="bottom"/>
          </w:tcPr>
          <w:p w:rsidR="007D13F3" w:rsidRPr="00877C74" w:rsidRDefault="007D13F3" w:rsidP="00465CAC">
            <w:pPr>
              <w:autoSpaceDE w:val="0"/>
              <w:autoSpaceDN w:val="0"/>
              <w:adjustRightInd w:val="0"/>
              <w:jc w:val="right"/>
              <w:rPr>
                <w:rFonts w:ascii="Times New Roman" w:hAnsi="Times New Roman" w:cs="Times New Roman"/>
                <w:sz w:val="14"/>
                <w:szCs w:val="14"/>
                <w:highlight w:val="yellow"/>
              </w:rPr>
            </w:pPr>
            <w:r w:rsidRPr="00877C74">
              <w:rPr>
                <w:rFonts w:ascii="Times New Roman" w:hAnsi="Times New Roman" w:cs="Times New Roman"/>
                <w:sz w:val="14"/>
                <w:szCs w:val="14"/>
              </w:rPr>
              <w:t>36 925 445</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877C74" w:rsidRDefault="007D13F3" w:rsidP="00465CAC">
            <w:pPr>
              <w:autoSpaceDE w:val="0"/>
              <w:autoSpaceDN w:val="0"/>
              <w:adjustRightInd w:val="0"/>
              <w:jc w:val="right"/>
              <w:rPr>
                <w:rFonts w:ascii="Times New Roman" w:hAnsi="Times New Roman" w:cs="Times New Roman"/>
                <w:sz w:val="14"/>
                <w:szCs w:val="14"/>
                <w:highlight w:val="yellow"/>
              </w:rPr>
            </w:pPr>
            <w:r w:rsidRPr="0069377E">
              <w:rPr>
                <w:rFonts w:ascii="Times New Roman" w:hAnsi="Times New Roman" w:cs="Times New Roman"/>
                <w:sz w:val="14"/>
                <w:szCs w:val="14"/>
              </w:rPr>
              <w:t>38 954 126</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7D13F3" w:rsidRPr="00656145" w:rsidRDefault="007D13F3" w:rsidP="00465CAC">
            <w:pPr>
              <w:autoSpaceDE w:val="0"/>
              <w:autoSpaceDN w:val="0"/>
              <w:adjustRightInd w:val="0"/>
              <w:jc w:val="right"/>
              <w:rPr>
                <w:rFonts w:ascii="Times New Roman" w:hAnsi="Times New Roman" w:cs="Times New Roman"/>
                <w:sz w:val="14"/>
                <w:szCs w:val="14"/>
                <w:highlight w:val="yellow"/>
              </w:rPr>
            </w:pPr>
            <w:r w:rsidRPr="00656145">
              <w:rPr>
                <w:rFonts w:ascii="Times New Roman" w:hAnsi="Times New Roman" w:cs="Times New Roman"/>
                <w:sz w:val="14"/>
                <w:szCs w:val="14"/>
              </w:rPr>
              <w:t>39 030 950</w:t>
            </w:r>
          </w:p>
        </w:tc>
        <w:tc>
          <w:tcPr>
            <w:tcW w:w="568" w:type="pct"/>
            <w:tcBorders>
              <w:top w:val="nil"/>
              <w:left w:val="nil"/>
              <w:bottom w:val="single" w:sz="4" w:space="0" w:color="auto"/>
              <w:right w:val="single" w:sz="4" w:space="0" w:color="auto"/>
            </w:tcBorders>
            <w:shd w:val="clear" w:color="000000" w:fill="FFFFFF"/>
            <w:vAlign w:val="bottom"/>
          </w:tcPr>
          <w:p w:rsidR="007D13F3" w:rsidRPr="00656145" w:rsidRDefault="007D13F3" w:rsidP="00465CAC">
            <w:pPr>
              <w:autoSpaceDE w:val="0"/>
              <w:autoSpaceDN w:val="0"/>
              <w:adjustRightInd w:val="0"/>
              <w:jc w:val="right"/>
              <w:rPr>
                <w:rFonts w:ascii="Times New Roman" w:hAnsi="Times New Roman" w:cs="Times New Roman"/>
                <w:sz w:val="14"/>
                <w:szCs w:val="14"/>
                <w:highlight w:val="yellow"/>
              </w:rPr>
            </w:pPr>
            <w:r w:rsidRPr="00656145">
              <w:rPr>
                <w:rFonts w:ascii="Times New Roman" w:hAnsi="Times New Roman" w:cs="Times New Roman"/>
                <w:sz w:val="14"/>
                <w:szCs w:val="14"/>
              </w:rPr>
              <w:t>39 030 950</w:t>
            </w:r>
          </w:p>
        </w:tc>
        <w:tc>
          <w:tcPr>
            <w:tcW w:w="567" w:type="pct"/>
            <w:tcBorders>
              <w:top w:val="nil"/>
              <w:left w:val="nil"/>
              <w:bottom w:val="single" w:sz="4" w:space="0" w:color="auto"/>
              <w:right w:val="single" w:sz="4" w:space="0" w:color="auto"/>
            </w:tcBorders>
            <w:shd w:val="clear" w:color="000000" w:fill="FFFFFF"/>
            <w:vAlign w:val="bottom"/>
          </w:tcPr>
          <w:p w:rsidR="007D13F3" w:rsidRPr="00656145" w:rsidRDefault="007D13F3" w:rsidP="00465CAC">
            <w:pPr>
              <w:autoSpaceDE w:val="0"/>
              <w:autoSpaceDN w:val="0"/>
              <w:adjustRightInd w:val="0"/>
              <w:jc w:val="right"/>
              <w:rPr>
                <w:rFonts w:ascii="Times New Roman" w:hAnsi="Times New Roman" w:cs="Times New Roman"/>
                <w:sz w:val="14"/>
                <w:szCs w:val="14"/>
                <w:highlight w:val="yellow"/>
              </w:rPr>
            </w:pPr>
            <w:r w:rsidRPr="00656145">
              <w:rPr>
                <w:rFonts w:ascii="Times New Roman" w:hAnsi="Times New Roman" w:cs="Times New Roman"/>
                <w:sz w:val="14"/>
                <w:szCs w:val="14"/>
              </w:rPr>
              <w:t>39 030 950</w:t>
            </w:r>
          </w:p>
        </w:tc>
      </w:tr>
      <w:tr w:rsidR="007D13F3" w:rsidRPr="00A3218E" w:rsidTr="00465CAC">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Prevencia kriminality</w:t>
            </w:r>
          </w:p>
        </w:tc>
        <w:tc>
          <w:tcPr>
            <w:tcW w:w="568" w:type="pct"/>
            <w:tcBorders>
              <w:top w:val="nil"/>
              <w:left w:val="nil"/>
              <w:bottom w:val="single" w:sz="4" w:space="0" w:color="auto"/>
              <w:right w:val="single" w:sz="4" w:space="0" w:color="auto"/>
            </w:tcBorders>
            <w:shd w:val="clear" w:color="000000" w:fill="FFFFFF"/>
            <w:noWrap/>
            <w:vAlign w:val="bottom"/>
          </w:tcPr>
          <w:p w:rsidR="007D13F3" w:rsidRPr="00A033BD" w:rsidRDefault="007D13F3" w:rsidP="00465CAC">
            <w:pPr>
              <w:jc w:val="right"/>
              <w:rPr>
                <w:rFonts w:ascii="Times New Roman" w:hAnsi="Times New Roman" w:cs="Times New Roman"/>
                <w:sz w:val="14"/>
                <w:szCs w:val="14"/>
                <w:highlight w:val="yellow"/>
              </w:rPr>
            </w:pPr>
            <w:r w:rsidRPr="00A033BD">
              <w:rPr>
                <w:rFonts w:ascii="Times New Roman" w:hAnsi="Times New Roman" w:cs="Times New Roman"/>
                <w:sz w:val="14"/>
                <w:szCs w:val="14"/>
              </w:rPr>
              <w:t>3 339 747</w:t>
            </w:r>
          </w:p>
        </w:tc>
        <w:tc>
          <w:tcPr>
            <w:tcW w:w="568" w:type="pct"/>
            <w:tcBorders>
              <w:top w:val="nil"/>
              <w:left w:val="nil"/>
              <w:bottom w:val="single" w:sz="4" w:space="0" w:color="auto"/>
              <w:right w:val="single" w:sz="4" w:space="0" w:color="auto"/>
            </w:tcBorders>
            <w:shd w:val="clear" w:color="000000" w:fill="FFFFFF"/>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778 361</w:t>
            </w:r>
          </w:p>
        </w:tc>
        <w:tc>
          <w:tcPr>
            <w:tcW w:w="568" w:type="pct"/>
            <w:tcBorders>
              <w:top w:val="nil"/>
              <w:left w:val="nil"/>
              <w:bottom w:val="single" w:sz="4" w:space="0" w:color="auto"/>
              <w:right w:val="single" w:sz="4" w:space="0" w:color="auto"/>
            </w:tcBorders>
            <w:shd w:val="clear" w:color="auto" w:fill="auto"/>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4 048 382</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877C74" w:rsidRDefault="007D13F3" w:rsidP="00465CAC">
            <w:pPr>
              <w:jc w:val="right"/>
              <w:rPr>
                <w:rFonts w:ascii="Times New Roman" w:hAnsi="Times New Roman" w:cs="Times New Roman"/>
                <w:sz w:val="14"/>
                <w:szCs w:val="14"/>
                <w:highlight w:val="yellow"/>
              </w:rPr>
            </w:pPr>
            <w:r>
              <w:rPr>
                <w:rFonts w:ascii="Times New Roman" w:hAnsi="Times New Roman" w:cs="Times New Roman"/>
                <w:sz w:val="14"/>
                <w:szCs w:val="14"/>
              </w:rPr>
              <w:t>3 856 100</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7D13F3" w:rsidRPr="00656145" w:rsidRDefault="007D13F3" w:rsidP="00465CAC">
            <w:pPr>
              <w:jc w:val="right"/>
              <w:rPr>
                <w:rFonts w:ascii="Times New Roman" w:hAnsi="Times New Roman" w:cs="Times New Roman"/>
                <w:sz w:val="14"/>
                <w:szCs w:val="14"/>
                <w:highlight w:val="yellow"/>
              </w:rPr>
            </w:pPr>
            <w:r w:rsidRPr="00656145">
              <w:rPr>
                <w:rFonts w:ascii="Times New Roman" w:hAnsi="Times New Roman" w:cs="Times New Roman"/>
                <w:sz w:val="14"/>
                <w:szCs w:val="14"/>
              </w:rPr>
              <w:t>4 051 649</w:t>
            </w:r>
          </w:p>
        </w:tc>
        <w:tc>
          <w:tcPr>
            <w:tcW w:w="568" w:type="pct"/>
            <w:tcBorders>
              <w:top w:val="nil"/>
              <w:left w:val="nil"/>
              <w:bottom w:val="single" w:sz="4" w:space="0" w:color="auto"/>
              <w:right w:val="single" w:sz="4" w:space="0" w:color="auto"/>
            </w:tcBorders>
            <w:shd w:val="clear" w:color="000000" w:fill="FFFFFF"/>
            <w:vAlign w:val="bottom"/>
          </w:tcPr>
          <w:p w:rsidR="007D13F3" w:rsidRPr="00656145" w:rsidRDefault="007D13F3" w:rsidP="00465CAC">
            <w:pPr>
              <w:jc w:val="right"/>
              <w:rPr>
                <w:rFonts w:ascii="Times New Roman" w:hAnsi="Times New Roman" w:cs="Times New Roman"/>
                <w:sz w:val="14"/>
                <w:szCs w:val="14"/>
                <w:highlight w:val="yellow"/>
              </w:rPr>
            </w:pPr>
            <w:r w:rsidRPr="00656145">
              <w:rPr>
                <w:rFonts w:ascii="Times New Roman" w:hAnsi="Times New Roman" w:cs="Times New Roman"/>
                <w:sz w:val="14"/>
                <w:szCs w:val="14"/>
              </w:rPr>
              <w:t>4 051 649</w:t>
            </w:r>
          </w:p>
        </w:tc>
        <w:tc>
          <w:tcPr>
            <w:tcW w:w="567" w:type="pct"/>
            <w:tcBorders>
              <w:top w:val="nil"/>
              <w:left w:val="nil"/>
              <w:bottom w:val="single" w:sz="4" w:space="0" w:color="auto"/>
              <w:right w:val="single" w:sz="4" w:space="0" w:color="auto"/>
            </w:tcBorders>
            <w:shd w:val="clear" w:color="000000" w:fill="FFFFFF"/>
            <w:vAlign w:val="bottom"/>
          </w:tcPr>
          <w:p w:rsidR="007D13F3" w:rsidRPr="00656145" w:rsidRDefault="007D13F3" w:rsidP="00465CAC">
            <w:pPr>
              <w:jc w:val="right"/>
              <w:rPr>
                <w:rFonts w:ascii="Times New Roman" w:hAnsi="Times New Roman" w:cs="Times New Roman"/>
                <w:sz w:val="14"/>
                <w:szCs w:val="14"/>
                <w:highlight w:val="yellow"/>
              </w:rPr>
            </w:pPr>
            <w:r w:rsidRPr="00656145">
              <w:rPr>
                <w:rFonts w:ascii="Times New Roman" w:hAnsi="Times New Roman" w:cs="Times New Roman"/>
                <w:sz w:val="14"/>
                <w:szCs w:val="14"/>
              </w:rPr>
              <w:t>4 051 649</w:t>
            </w:r>
          </w:p>
        </w:tc>
      </w:tr>
      <w:tr w:rsidR="007D13F3" w:rsidRPr="00A3218E" w:rsidTr="00465CAC">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Boj proti obchodovaniu s ľuďmi</w:t>
            </w:r>
          </w:p>
        </w:tc>
        <w:tc>
          <w:tcPr>
            <w:tcW w:w="568" w:type="pct"/>
            <w:tcBorders>
              <w:top w:val="nil"/>
              <w:left w:val="nil"/>
              <w:bottom w:val="single" w:sz="4" w:space="0" w:color="auto"/>
              <w:right w:val="single" w:sz="4" w:space="0" w:color="auto"/>
            </w:tcBorders>
            <w:shd w:val="clear" w:color="000000" w:fill="FFFFFF"/>
            <w:noWrap/>
            <w:vAlign w:val="bottom"/>
          </w:tcPr>
          <w:p w:rsidR="007D13F3" w:rsidRPr="00A033BD" w:rsidRDefault="007D13F3" w:rsidP="00465CAC">
            <w:pPr>
              <w:jc w:val="right"/>
              <w:rPr>
                <w:rFonts w:ascii="Times New Roman" w:hAnsi="Times New Roman" w:cs="Times New Roman"/>
                <w:sz w:val="14"/>
                <w:szCs w:val="14"/>
                <w:highlight w:val="yellow"/>
              </w:rPr>
            </w:pPr>
            <w:r w:rsidRPr="00A033BD">
              <w:rPr>
                <w:rFonts w:ascii="Times New Roman" w:hAnsi="Times New Roman" w:cs="Times New Roman"/>
                <w:sz w:val="14"/>
                <w:szCs w:val="14"/>
              </w:rPr>
              <w:t>343 389</w:t>
            </w:r>
          </w:p>
        </w:tc>
        <w:tc>
          <w:tcPr>
            <w:tcW w:w="568" w:type="pct"/>
            <w:tcBorders>
              <w:top w:val="nil"/>
              <w:left w:val="nil"/>
              <w:bottom w:val="single" w:sz="4" w:space="0" w:color="auto"/>
              <w:right w:val="single" w:sz="4" w:space="0" w:color="auto"/>
            </w:tcBorders>
            <w:shd w:val="clear" w:color="000000" w:fill="FFFFFF"/>
            <w:noWrap/>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244 448</w:t>
            </w:r>
          </w:p>
        </w:tc>
        <w:tc>
          <w:tcPr>
            <w:tcW w:w="568" w:type="pct"/>
            <w:tcBorders>
              <w:top w:val="nil"/>
              <w:left w:val="nil"/>
              <w:bottom w:val="single" w:sz="4" w:space="0" w:color="auto"/>
              <w:right w:val="single" w:sz="4" w:space="0" w:color="auto"/>
            </w:tcBorders>
            <w:shd w:val="clear" w:color="000000" w:fill="FFFFFF"/>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407 000</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877C74" w:rsidRDefault="007D13F3" w:rsidP="00465CAC">
            <w:pPr>
              <w:jc w:val="right"/>
              <w:rPr>
                <w:rFonts w:ascii="Times New Roman" w:hAnsi="Times New Roman" w:cs="Times New Roman"/>
                <w:sz w:val="14"/>
                <w:szCs w:val="14"/>
                <w:highlight w:val="yellow"/>
              </w:rPr>
            </w:pPr>
            <w:r w:rsidRPr="0069377E">
              <w:rPr>
                <w:rFonts w:ascii="Times New Roman" w:hAnsi="Times New Roman" w:cs="Times New Roman"/>
                <w:sz w:val="14"/>
                <w:szCs w:val="14"/>
              </w:rPr>
              <w:t>412 674</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7D13F3" w:rsidRPr="00656145" w:rsidRDefault="007D13F3" w:rsidP="00465CAC">
            <w:pPr>
              <w:jc w:val="right"/>
              <w:rPr>
                <w:rFonts w:ascii="Times New Roman" w:hAnsi="Times New Roman" w:cs="Times New Roman"/>
                <w:sz w:val="14"/>
                <w:szCs w:val="14"/>
              </w:rPr>
            </w:pPr>
            <w:r w:rsidRPr="00656145">
              <w:rPr>
                <w:rFonts w:ascii="Times New Roman" w:hAnsi="Times New Roman" w:cs="Times New Roman"/>
                <w:sz w:val="14"/>
                <w:szCs w:val="14"/>
              </w:rPr>
              <w:t>407 000</w:t>
            </w:r>
          </w:p>
        </w:tc>
        <w:tc>
          <w:tcPr>
            <w:tcW w:w="568" w:type="pct"/>
            <w:tcBorders>
              <w:top w:val="nil"/>
              <w:left w:val="nil"/>
              <w:bottom w:val="single" w:sz="4" w:space="0" w:color="auto"/>
              <w:right w:val="single" w:sz="4" w:space="0" w:color="auto"/>
            </w:tcBorders>
            <w:shd w:val="clear" w:color="000000" w:fill="FFFFFF"/>
            <w:vAlign w:val="bottom"/>
          </w:tcPr>
          <w:p w:rsidR="007D13F3" w:rsidRPr="00656145" w:rsidRDefault="007D13F3" w:rsidP="00465CAC">
            <w:pPr>
              <w:jc w:val="right"/>
              <w:rPr>
                <w:rFonts w:ascii="Times New Roman" w:hAnsi="Times New Roman" w:cs="Times New Roman"/>
                <w:sz w:val="14"/>
                <w:szCs w:val="14"/>
              </w:rPr>
            </w:pPr>
            <w:r w:rsidRPr="00656145">
              <w:rPr>
                <w:rFonts w:ascii="Times New Roman" w:hAnsi="Times New Roman" w:cs="Times New Roman"/>
                <w:sz w:val="14"/>
                <w:szCs w:val="14"/>
              </w:rPr>
              <w:t>407 000</w:t>
            </w:r>
          </w:p>
        </w:tc>
        <w:tc>
          <w:tcPr>
            <w:tcW w:w="567" w:type="pct"/>
            <w:tcBorders>
              <w:top w:val="nil"/>
              <w:left w:val="nil"/>
              <w:bottom w:val="single" w:sz="4" w:space="0" w:color="auto"/>
              <w:right w:val="single" w:sz="4" w:space="0" w:color="auto"/>
            </w:tcBorders>
            <w:shd w:val="clear" w:color="000000" w:fill="FFFFFF"/>
            <w:vAlign w:val="bottom"/>
          </w:tcPr>
          <w:p w:rsidR="007D13F3" w:rsidRPr="00656145" w:rsidRDefault="007D13F3" w:rsidP="00465CAC">
            <w:pPr>
              <w:jc w:val="right"/>
              <w:rPr>
                <w:rFonts w:ascii="Times New Roman" w:hAnsi="Times New Roman" w:cs="Times New Roman"/>
                <w:sz w:val="14"/>
                <w:szCs w:val="14"/>
              </w:rPr>
            </w:pPr>
            <w:r w:rsidRPr="00656145">
              <w:rPr>
                <w:rFonts w:ascii="Times New Roman" w:hAnsi="Times New Roman" w:cs="Times New Roman"/>
                <w:sz w:val="14"/>
                <w:szCs w:val="14"/>
              </w:rPr>
              <w:t>407 000</w:t>
            </w:r>
          </w:p>
        </w:tc>
      </w:tr>
    </w:tbl>
    <w:p w:rsidR="007D13F3" w:rsidRPr="00A3218E" w:rsidRDefault="007D13F3" w:rsidP="007D13F3">
      <w:pPr>
        <w:jc w:val="both"/>
        <w:rPr>
          <w:rFonts w:ascii="Times New Roman" w:hAnsi="Times New Roman" w:cs="Times New Roman"/>
          <w:sz w:val="22"/>
          <w:szCs w:val="22"/>
          <w:highlight w:val="yellow"/>
        </w:rPr>
      </w:pPr>
    </w:p>
    <w:p w:rsidR="007D13F3" w:rsidRPr="004D07F4" w:rsidRDefault="007D13F3" w:rsidP="007D13F3">
      <w:pPr>
        <w:ind w:firstLine="708"/>
        <w:jc w:val="both"/>
        <w:rPr>
          <w:rFonts w:ascii="Times New Roman" w:hAnsi="Times New Roman" w:cs="Times New Roman"/>
        </w:rPr>
      </w:pPr>
      <w:r w:rsidRPr="004D07F4">
        <w:rPr>
          <w:rFonts w:ascii="Times New Roman" w:hAnsi="Times New Roman" w:cs="Times New Roman"/>
        </w:rPr>
        <w:t>P</w:t>
      </w:r>
      <w:r>
        <w:rPr>
          <w:rFonts w:ascii="Times New Roman" w:hAnsi="Times New Roman" w:cs="Times New Roman"/>
        </w:rPr>
        <w:t>odp</w:t>
      </w:r>
      <w:r w:rsidRPr="004D07F4">
        <w:rPr>
          <w:rFonts w:ascii="Times New Roman" w:hAnsi="Times New Roman" w:cs="Times New Roman"/>
        </w:rPr>
        <w:t>rogram zahŕňa bežné a kapitálové výdavky na zabezpečenie činnosti kriminálnej polície, finančnej polície, poriadkovej polície, dopravnej polície, mýtnej polície, inšpekčnej služby Policajného zboru, kriminalistického a expertízneho ústavu Policajného zboru, železničnej polície, úradu pre ochranu ústavných činiteľov a diplomatických misií MV SR.</w:t>
      </w:r>
    </w:p>
    <w:p w:rsidR="007D13F3" w:rsidRPr="004D07F4" w:rsidRDefault="007D13F3" w:rsidP="007D13F3">
      <w:pPr>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4D07F4">
        <w:rPr>
          <w:rFonts w:ascii="Times New Roman" w:hAnsi="Times New Roman" w:cs="Times New Roman"/>
        </w:rPr>
        <w:t xml:space="preserve">Nárast výdavkov v porovnaní s rokom 2017 je spôsobený zvýšením osobných výdavkov z dôvodu valorizácie platov a zvýšením osobných výdavkov pre policajtov </w:t>
      </w:r>
      <w:r w:rsidR="00A870F8">
        <w:rPr>
          <w:rFonts w:ascii="Times New Roman" w:hAnsi="Times New Roman" w:cs="Times New Roman"/>
        </w:rPr>
        <w:t>za účelom</w:t>
      </w:r>
      <w:r w:rsidRPr="004D07F4">
        <w:rPr>
          <w:rFonts w:ascii="Times New Roman" w:hAnsi="Times New Roman" w:cs="Times New Roman"/>
        </w:rPr>
        <w:t xml:space="preserve"> posilnen</w:t>
      </w:r>
      <w:r w:rsidR="00A870F8">
        <w:rPr>
          <w:rFonts w:ascii="Times New Roman" w:hAnsi="Times New Roman" w:cs="Times New Roman"/>
        </w:rPr>
        <w:t>ia</w:t>
      </w:r>
      <w:r w:rsidRPr="004D07F4">
        <w:rPr>
          <w:rFonts w:ascii="Times New Roman" w:hAnsi="Times New Roman" w:cs="Times New Roman"/>
        </w:rPr>
        <w:t xml:space="preserve"> spoločenského statusu policajného povolania.</w:t>
      </w:r>
    </w:p>
    <w:p w:rsidR="007D13F3" w:rsidRPr="008D0761" w:rsidRDefault="007D13F3" w:rsidP="007D13F3">
      <w:pPr>
        <w:jc w:val="both"/>
        <w:rPr>
          <w:rFonts w:ascii="Times New Roman" w:hAnsi="Times New Roman" w:cs="Times New Roman"/>
        </w:rPr>
      </w:pPr>
    </w:p>
    <w:p w:rsidR="00A870F8" w:rsidRDefault="007D13F3" w:rsidP="007D13F3">
      <w:pPr>
        <w:jc w:val="both"/>
        <w:rPr>
          <w:rFonts w:ascii="Times New Roman" w:hAnsi="Times New Roman" w:cs="Times New Roman"/>
          <w:b/>
        </w:rPr>
      </w:pPr>
      <w:r w:rsidRPr="00693FCE">
        <w:rPr>
          <w:rFonts w:ascii="Times New Roman" w:hAnsi="Times New Roman" w:cs="Times New Roman"/>
          <w:b/>
        </w:rPr>
        <w:t>Záchrana života a zdravia – záchranné zložky</w:t>
      </w:r>
    </w:p>
    <w:p w:rsidR="007D13F3" w:rsidRPr="00693FCE" w:rsidRDefault="007D13F3" w:rsidP="007D13F3">
      <w:pPr>
        <w:jc w:val="both"/>
        <w:rPr>
          <w:rFonts w:ascii="Times New Roman" w:hAnsi="Times New Roman" w:cs="Times New Roman"/>
          <w:b/>
        </w:rPr>
      </w:pP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7D13F3" w:rsidRPr="00A3218E" w:rsidTr="00A870F8">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7D13F3" w:rsidRPr="00A3218E" w:rsidRDefault="00551C05" w:rsidP="00465CAC">
            <w:pPr>
              <w:rPr>
                <w:rFonts w:ascii="Times New Roman" w:hAnsi="Times New Roman" w:cs="Times New Roman"/>
                <w:b/>
                <w:sz w:val="14"/>
                <w:szCs w:val="14"/>
              </w:rPr>
            </w:pPr>
            <w:r>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CD2A37" w:rsidRDefault="007D13F3" w:rsidP="00465CAC">
            <w:pPr>
              <w:jc w:val="center"/>
              <w:rPr>
                <w:rFonts w:ascii="Times New Roman" w:hAnsi="Times New Roman" w:cs="Times New Roman"/>
                <w:b/>
                <w:bCs/>
                <w:color w:val="000000"/>
                <w:sz w:val="14"/>
                <w:szCs w:val="14"/>
              </w:rPr>
            </w:pPr>
            <w:r w:rsidRPr="00CD2A37">
              <w:rPr>
                <w:rFonts w:ascii="Times New Roman" w:hAnsi="Times New Roman" w:cs="Times New Roman"/>
                <w:b/>
                <w:bCs/>
                <w:color w:val="000000"/>
                <w:sz w:val="14"/>
                <w:szCs w:val="14"/>
              </w:rPr>
              <w:t>2015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D2A37" w:rsidRDefault="007D13F3" w:rsidP="00465CAC">
            <w:pPr>
              <w:jc w:val="center"/>
              <w:rPr>
                <w:rFonts w:ascii="Times New Roman" w:hAnsi="Times New Roman" w:cs="Times New Roman"/>
                <w:b/>
                <w:bCs/>
                <w:color w:val="000000"/>
                <w:sz w:val="14"/>
                <w:szCs w:val="14"/>
                <w:highlight w:val="yellow"/>
              </w:rPr>
            </w:pPr>
            <w:r w:rsidRPr="00CD2A37">
              <w:rPr>
                <w:rFonts w:ascii="Times New Roman" w:hAnsi="Times New Roman" w:cs="Times New Roman"/>
                <w:b/>
                <w:bCs/>
                <w:color w:val="000000"/>
                <w:sz w:val="14"/>
                <w:szCs w:val="14"/>
              </w:rPr>
              <w:t xml:space="preserve">2016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D2A37" w:rsidRDefault="007D13F3" w:rsidP="00465CAC">
            <w:pPr>
              <w:jc w:val="center"/>
              <w:rPr>
                <w:rFonts w:ascii="Times New Roman" w:hAnsi="Times New Roman" w:cs="Times New Roman"/>
                <w:b/>
                <w:bCs/>
                <w:color w:val="000000"/>
                <w:sz w:val="14"/>
                <w:szCs w:val="14"/>
              </w:rPr>
            </w:pPr>
            <w:r w:rsidRPr="00CD2A37">
              <w:rPr>
                <w:rFonts w:ascii="Times New Roman" w:hAnsi="Times New Roman" w:cs="Times New Roman"/>
                <w:b/>
                <w:bCs/>
                <w:color w:val="000000"/>
                <w:sz w:val="14"/>
                <w:szCs w:val="14"/>
              </w:rPr>
              <w:t>2017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CD2A37" w:rsidRDefault="007D13F3" w:rsidP="00465CAC">
            <w:pPr>
              <w:jc w:val="center"/>
              <w:rPr>
                <w:rFonts w:ascii="Times New Roman" w:hAnsi="Times New Roman" w:cs="Times New Roman"/>
                <w:b/>
                <w:bCs/>
                <w:color w:val="000000"/>
                <w:sz w:val="14"/>
                <w:szCs w:val="14"/>
              </w:rPr>
            </w:pPr>
            <w:r w:rsidRPr="00CD2A37">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D2A37" w:rsidRDefault="007D13F3" w:rsidP="00465CAC">
            <w:pPr>
              <w:jc w:val="center"/>
              <w:rPr>
                <w:rFonts w:ascii="Times New Roman" w:hAnsi="Times New Roman" w:cs="Times New Roman"/>
                <w:b/>
                <w:bCs/>
                <w:color w:val="000000"/>
                <w:sz w:val="14"/>
                <w:szCs w:val="14"/>
              </w:rPr>
            </w:pPr>
            <w:r w:rsidRPr="00CD2A37">
              <w:rPr>
                <w:rFonts w:ascii="Times New Roman" w:hAnsi="Times New Roman" w:cs="Times New Roman"/>
                <w:b/>
                <w:bCs/>
                <w:color w:val="000000"/>
                <w:sz w:val="14"/>
                <w:szCs w:val="14"/>
              </w:rPr>
              <w:t>2018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D2A37" w:rsidRDefault="007D13F3" w:rsidP="00465CAC">
            <w:pPr>
              <w:jc w:val="center"/>
              <w:rPr>
                <w:rFonts w:ascii="Times New Roman" w:hAnsi="Times New Roman" w:cs="Times New Roman"/>
                <w:b/>
                <w:bCs/>
                <w:color w:val="000000"/>
                <w:sz w:val="14"/>
                <w:szCs w:val="14"/>
              </w:rPr>
            </w:pPr>
            <w:r w:rsidRPr="00CD2A37">
              <w:rPr>
                <w:rFonts w:ascii="Times New Roman" w:hAnsi="Times New Roman" w:cs="Times New Roman"/>
                <w:b/>
                <w:bCs/>
                <w:color w:val="000000"/>
                <w:sz w:val="14"/>
                <w:szCs w:val="14"/>
              </w:rPr>
              <w:t>2019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CD2A37" w:rsidRDefault="007D13F3" w:rsidP="00465CAC">
            <w:pPr>
              <w:jc w:val="center"/>
              <w:rPr>
                <w:rFonts w:ascii="Times New Roman" w:hAnsi="Times New Roman" w:cs="Times New Roman"/>
                <w:b/>
                <w:bCs/>
                <w:color w:val="000000"/>
                <w:sz w:val="14"/>
                <w:szCs w:val="14"/>
              </w:rPr>
            </w:pPr>
            <w:r w:rsidRPr="00CD2A37">
              <w:rPr>
                <w:rFonts w:ascii="Times New Roman" w:hAnsi="Times New Roman" w:cs="Times New Roman"/>
                <w:b/>
                <w:bCs/>
                <w:color w:val="000000"/>
                <w:sz w:val="14"/>
                <w:szCs w:val="14"/>
              </w:rPr>
              <w:t>2020 N</w:t>
            </w:r>
          </w:p>
        </w:tc>
      </w:tr>
      <w:tr w:rsidR="007D13F3" w:rsidRPr="00A870F8" w:rsidTr="00A870F8">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7D13F3" w:rsidRPr="00A870F8" w:rsidRDefault="007D13F3" w:rsidP="00465CAC">
            <w:pPr>
              <w:rPr>
                <w:rFonts w:ascii="Times New Roman" w:hAnsi="Times New Roman" w:cs="Times New Roman"/>
                <w:bCs/>
                <w:sz w:val="14"/>
                <w:szCs w:val="14"/>
              </w:rPr>
            </w:pPr>
            <w:r w:rsidRPr="00A870F8">
              <w:rPr>
                <w:rFonts w:ascii="Times New Roman" w:hAnsi="Times New Roman" w:cs="Times New Roman"/>
                <w:bCs/>
                <w:sz w:val="14"/>
                <w:szCs w:val="14"/>
              </w:rPr>
              <w:t>Záchrana života a zdravia</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jc w:val="right"/>
              <w:rPr>
                <w:rFonts w:ascii="Times New Roman" w:hAnsi="Times New Roman" w:cs="Times New Roman"/>
                <w:bCs/>
                <w:sz w:val="14"/>
                <w:szCs w:val="14"/>
                <w:highlight w:val="yellow"/>
              </w:rPr>
            </w:pPr>
            <w:r w:rsidRPr="00A870F8">
              <w:rPr>
                <w:rFonts w:ascii="Times New Roman" w:hAnsi="Times New Roman" w:cs="Times New Roman"/>
                <w:bCs/>
                <w:sz w:val="14"/>
                <w:szCs w:val="14"/>
              </w:rPr>
              <w:t>216 066 671</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jc w:val="right"/>
              <w:rPr>
                <w:rFonts w:ascii="Times New Roman" w:hAnsi="Times New Roman" w:cs="Times New Roman"/>
                <w:bCs/>
                <w:sz w:val="14"/>
                <w:szCs w:val="14"/>
                <w:highlight w:val="yellow"/>
              </w:rPr>
            </w:pPr>
            <w:r w:rsidRPr="00A870F8">
              <w:rPr>
                <w:rFonts w:ascii="Times New Roman" w:hAnsi="Times New Roman" w:cs="Times New Roman"/>
                <w:bCs/>
                <w:sz w:val="14"/>
                <w:szCs w:val="14"/>
              </w:rPr>
              <w:t>133 340 741</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jc w:val="right"/>
              <w:rPr>
                <w:rFonts w:ascii="Times New Roman" w:hAnsi="Times New Roman" w:cs="Times New Roman"/>
                <w:sz w:val="14"/>
                <w:szCs w:val="14"/>
                <w:highlight w:val="yellow"/>
              </w:rPr>
            </w:pPr>
            <w:r w:rsidRPr="00A870F8">
              <w:rPr>
                <w:rFonts w:ascii="Times New Roman" w:hAnsi="Times New Roman" w:cs="Times New Roman"/>
                <w:sz w:val="14"/>
                <w:szCs w:val="14"/>
              </w:rPr>
              <w:t>96 922 772</w:t>
            </w:r>
          </w:p>
        </w:tc>
        <w:tc>
          <w:tcPr>
            <w:tcW w:w="568" w:type="pct"/>
            <w:tcBorders>
              <w:top w:val="single" w:sz="4" w:space="0" w:color="auto"/>
              <w:left w:val="nil"/>
              <w:bottom w:val="single" w:sz="4" w:space="0" w:color="auto"/>
              <w:right w:val="single" w:sz="4" w:space="0" w:color="auto"/>
            </w:tcBorders>
            <w:shd w:val="clear" w:color="auto" w:fill="auto"/>
            <w:vAlign w:val="bottom"/>
          </w:tcPr>
          <w:p w:rsidR="007D13F3" w:rsidRPr="00A870F8" w:rsidRDefault="007D13F3" w:rsidP="00465CAC">
            <w:pPr>
              <w:autoSpaceDE w:val="0"/>
              <w:autoSpaceDN w:val="0"/>
              <w:adjustRightInd w:val="0"/>
              <w:jc w:val="right"/>
              <w:rPr>
                <w:rFonts w:ascii="Times New Roman" w:hAnsi="Times New Roman" w:cs="Times New Roman"/>
                <w:sz w:val="14"/>
                <w:szCs w:val="14"/>
                <w:highlight w:val="yellow"/>
              </w:rPr>
            </w:pPr>
            <w:r w:rsidRPr="00A870F8">
              <w:rPr>
                <w:rFonts w:ascii="Times New Roman" w:hAnsi="Times New Roman" w:cs="Times New Roman"/>
                <w:sz w:val="14"/>
                <w:szCs w:val="14"/>
              </w:rPr>
              <w:t>109 169 611</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A870F8" w:rsidRDefault="007D13F3" w:rsidP="00465CAC">
            <w:pPr>
              <w:autoSpaceDE w:val="0"/>
              <w:autoSpaceDN w:val="0"/>
              <w:adjustRightInd w:val="0"/>
              <w:jc w:val="right"/>
              <w:rPr>
                <w:rFonts w:ascii="Times New Roman" w:hAnsi="Times New Roman" w:cs="Times New Roman"/>
                <w:sz w:val="14"/>
                <w:szCs w:val="14"/>
                <w:highlight w:val="yellow"/>
              </w:rPr>
            </w:pPr>
            <w:r w:rsidRPr="00A870F8">
              <w:rPr>
                <w:rFonts w:ascii="Times New Roman" w:hAnsi="Times New Roman" w:cs="Times New Roman"/>
                <w:sz w:val="14"/>
                <w:szCs w:val="14"/>
              </w:rPr>
              <w:t>108 499 217</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autoSpaceDE w:val="0"/>
              <w:autoSpaceDN w:val="0"/>
              <w:adjustRightInd w:val="0"/>
              <w:jc w:val="right"/>
              <w:rPr>
                <w:rFonts w:ascii="Times New Roman" w:hAnsi="Times New Roman" w:cs="Times New Roman"/>
                <w:sz w:val="14"/>
                <w:szCs w:val="14"/>
                <w:highlight w:val="yellow"/>
              </w:rPr>
            </w:pPr>
            <w:r w:rsidRPr="00A870F8">
              <w:rPr>
                <w:rFonts w:ascii="Times New Roman" w:hAnsi="Times New Roman" w:cs="Times New Roman"/>
                <w:sz w:val="14"/>
                <w:szCs w:val="14"/>
              </w:rPr>
              <w:t>108 499 217</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autoSpaceDE w:val="0"/>
              <w:autoSpaceDN w:val="0"/>
              <w:adjustRightInd w:val="0"/>
              <w:jc w:val="right"/>
              <w:rPr>
                <w:rFonts w:ascii="Times New Roman" w:hAnsi="Times New Roman" w:cs="Times New Roman"/>
                <w:sz w:val="14"/>
                <w:szCs w:val="14"/>
                <w:highlight w:val="yellow"/>
              </w:rPr>
            </w:pPr>
            <w:r w:rsidRPr="00A870F8">
              <w:rPr>
                <w:rFonts w:ascii="Times New Roman" w:hAnsi="Times New Roman" w:cs="Times New Roman"/>
                <w:sz w:val="14"/>
                <w:szCs w:val="14"/>
              </w:rPr>
              <w:t>108 499 217</w:t>
            </w:r>
          </w:p>
        </w:tc>
      </w:tr>
    </w:tbl>
    <w:p w:rsidR="007D13F3" w:rsidRPr="00A3218E" w:rsidRDefault="007D13F3" w:rsidP="007D13F3">
      <w:pPr>
        <w:jc w:val="both"/>
        <w:rPr>
          <w:rFonts w:ascii="Times New Roman" w:hAnsi="Times New Roman" w:cs="Times New Roman"/>
          <w:sz w:val="16"/>
          <w:szCs w:val="16"/>
          <w:highlight w:val="yellow"/>
        </w:rPr>
      </w:pPr>
    </w:p>
    <w:p w:rsidR="007D13F3" w:rsidRPr="00187FF3" w:rsidRDefault="007D13F3" w:rsidP="007D13F3">
      <w:pPr>
        <w:ind w:firstLine="708"/>
        <w:jc w:val="both"/>
        <w:rPr>
          <w:rFonts w:ascii="Times New Roman" w:hAnsi="Times New Roman" w:cs="Times New Roman"/>
        </w:rPr>
      </w:pPr>
      <w:r w:rsidRPr="00187FF3">
        <w:rPr>
          <w:rFonts w:ascii="Times New Roman" w:hAnsi="Times New Roman" w:cs="Times New Roman"/>
        </w:rPr>
        <w:t>P</w:t>
      </w:r>
      <w:r>
        <w:rPr>
          <w:rFonts w:ascii="Times New Roman" w:hAnsi="Times New Roman" w:cs="Times New Roman"/>
        </w:rPr>
        <w:t>odp</w:t>
      </w:r>
      <w:r w:rsidRPr="00187FF3">
        <w:rPr>
          <w:rFonts w:ascii="Times New Roman" w:hAnsi="Times New Roman" w:cs="Times New Roman"/>
        </w:rPr>
        <w:t xml:space="preserve">rogram zahŕňa opakujúce sa činnosti, služby a dodávky zamerané a určené na vytváranie riadiacich, organizačných, personálnych a materiálno-technických podmienok pre účinnú ochranu života, zdravia a majetku pred požiarmi, účinkami živelných pohrôm </w:t>
      </w:r>
      <w:r w:rsidR="003274D5">
        <w:rPr>
          <w:rFonts w:ascii="Times New Roman" w:hAnsi="Times New Roman" w:cs="Times New Roman"/>
        </w:rPr>
        <w:br/>
      </w:r>
      <w:r w:rsidRPr="00187FF3">
        <w:rPr>
          <w:rFonts w:ascii="Times New Roman" w:hAnsi="Times New Roman" w:cs="Times New Roman"/>
        </w:rPr>
        <w:t xml:space="preserve">v horských podmienkach v zmysle platnej legislatívy. </w:t>
      </w:r>
    </w:p>
    <w:p w:rsidR="007D13F3" w:rsidRPr="00187FF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187FF3">
        <w:rPr>
          <w:rFonts w:ascii="Times New Roman" w:hAnsi="Times New Roman" w:cs="Times New Roman"/>
        </w:rPr>
        <w:t>Dôvodom nárastu výdavkov v roku 2018 je zvýšenie bežných transferov v porovnaní s rokom 2017 o sumu 4,85 mil. eur, zvýšenie osobných výdavkov o sumu 3,24 mil. eur a zvýšenie kapitálových výdavkov o sumu 2,3 mil. eur.</w:t>
      </w:r>
    </w:p>
    <w:p w:rsidR="007D13F3" w:rsidRPr="00A3218E" w:rsidRDefault="007D13F3" w:rsidP="007D13F3">
      <w:pPr>
        <w:ind w:firstLine="708"/>
        <w:jc w:val="both"/>
        <w:rPr>
          <w:rFonts w:ascii="Times New Roman" w:hAnsi="Times New Roman" w:cs="Times New Roman"/>
          <w:sz w:val="22"/>
          <w:szCs w:val="22"/>
          <w:highlight w:val="yellow"/>
        </w:rPr>
      </w:pPr>
    </w:p>
    <w:p w:rsidR="00A870F8" w:rsidRDefault="007D13F3" w:rsidP="007D13F3">
      <w:pPr>
        <w:jc w:val="both"/>
        <w:rPr>
          <w:rFonts w:ascii="Times New Roman" w:hAnsi="Times New Roman" w:cs="Times New Roman"/>
          <w:b/>
        </w:rPr>
      </w:pPr>
      <w:r w:rsidRPr="00693FCE">
        <w:rPr>
          <w:rFonts w:ascii="Times New Roman" w:hAnsi="Times New Roman" w:cs="Times New Roman"/>
          <w:b/>
        </w:rPr>
        <w:t>Okresné úrady</w:t>
      </w:r>
      <w:r w:rsidRPr="00693FCE">
        <w:rPr>
          <w:rFonts w:ascii="Times New Roman" w:hAnsi="Times New Roman" w:cs="Times New Roman"/>
          <w:b/>
        </w:rPr>
        <w:tab/>
      </w:r>
    </w:p>
    <w:p w:rsidR="007D13F3" w:rsidRPr="00693FCE" w:rsidRDefault="007D13F3" w:rsidP="007D13F3">
      <w:pPr>
        <w:jc w:val="both"/>
        <w:rPr>
          <w:rFonts w:ascii="Times New Roman" w:hAnsi="Times New Roman" w:cs="Times New Roman"/>
          <w:b/>
        </w:rPr>
      </w:pP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r>
      <w:r w:rsidRPr="00693FCE">
        <w:rPr>
          <w:rFonts w:ascii="Times New Roman" w:hAnsi="Times New Roman" w:cs="Times New Roman"/>
          <w:b/>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7D13F3" w:rsidRPr="00A3218E" w:rsidTr="00A870F8">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7D13F3" w:rsidRPr="00A3218E" w:rsidRDefault="00551C05" w:rsidP="00465CAC">
            <w:pPr>
              <w:rPr>
                <w:rFonts w:ascii="Times New Roman" w:hAnsi="Times New Roman" w:cs="Times New Roman"/>
                <w:b/>
                <w:sz w:val="14"/>
                <w:szCs w:val="14"/>
              </w:rPr>
            </w:pPr>
            <w:r>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4E610A" w:rsidRDefault="007D13F3" w:rsidP="00465CAC">
            <w:pPr>
              <w:jc w:val="center"/>
              <w:rPr>
                <w:rFonts w:ascii="Times New Roman" w:hAnsi="Times New Roman" w:cs="Times New Roman"/>
                <w:b/>
                <w:bCs/>
                <w:color w:val="000000"/>
                <w:sz w:val="14"/>
                <w:szCs w:val="14"/>
              </w:rPr>
            </w:pPr>
            <w:r w:rsidRPr="004E610A">
              <w:rPr>
                <w:rFonts w:ascii="Times New Roman" w:hAnsi="Times New Roman" w:cs="Times New Roman"/>
                <w:b/>
                <w:bCs/>
                <w:color w:val="000000"/>
                <w:sz w:val="14"/>
                <w:szCs w:val="14"/>
              </w:rPr>
              <w:t>2015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4E610A" w:rsidRDefault="007D13F3" w:rsidP="00465CAC">
            <w:pPr>
              <w:jc w:val="center"/>
              <w:rPr>
                <w:rFonts w:ascii="Times New Roman" w:hAnsi="Times New Roman" w:cs="Times New Roman"/>
                <w:b/>
                <w:bCs/>
                <w:color w:val="000000"/>
                <w:sz w:val="14"/>
                <w:szCs w:val="14"/>
                <w:highlight w:val="yellow"/>
              </w:rPr>
            </w:pPr>
            <w:r w:rsidRPr="004E610A">
              <w:rPr>
                <w:rFonts w:ascii="Times New Roman" w:hAnsi="Times New Roman" w:cs="Times New Roman"/>
                <w:b/>
                <w:bCs/>
                <w:color w:val="000000"/>
                <w:sz w:val="14"/>
                <w:szCs w:val="14"/>
              </w:rPr>
              <w:t xml:space="preserve">2016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4E610A" w:rsidRDefault="007D13F3" w:rsidP="00465CAC">
            <w:pPr>
              <w:jc w:val="center"/>
              <w:rPr>
                <w:rFonts w:ascii="Times New Roman" w:hAnsi="Times New Roman" w:cs="Times New Roman"/>
                <w:b/>
                <w:bCs/>
                <w:color w:val="000000"/>
                <w:sz w:val="14"/>
                <w:szCs w:val="14"/>
              </w:rPr>
            </w:pPr>
            <w:r w:rsidRPr="004E610A">
              <w:rPr>
                <w:rFonts w:ascii="Times New Roman" w:hAnsi="Times New Roman" w:cs="Times New Roman"/>
                <w:b/>
                <w:bCs/>
                <w:color w:val="000000"/>
                <w:sz w:val="14"/>
                <w:szCs w:val="14"/>
              </w:rPr>
              <w:t>2017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4E610A" w:rsidRDefault="007D13F3" w:rsidP="00465CAC">
            <w:pPr>
              <w:jc w:val="center"/>
              <w:rPr>
                <w:rFonts w:ascii="Times New Roman" w:hAnsi="Times New Roman" w:cs="Times New Roman"/>
                <w:b/>
                <w:bCs/>
                <w:color w:val="000000"/>
                <w:sz w:val="14"/>
                <w:szCs w:val="14"/>
              </w:rPr>
            </w:pPr>
            <w:r w:rsidRPr="004E610A">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4E610A" w:rsidRDefault="007D13F3" w:rsidP="00465CAC">
            <w:pPr>
              <w:jc w:val="center"/>
              <w:rPr>
                <w:rFonts w:ascii="Times New Roman" w:hAnsi="Times New Roman" w:cs="Times New Roman"/>
                <w:b/>
                <w:bCs/>
                <w:color w:val="000000"/>
                <w:sz w:val="14"/>
                <w:szCs w:val="14"/>
              </w:rPr>
            </w:pPr>
            <w:r w:rsidRPr="004E610A">
              <w:rPr>
                <w:rFonts w:ascii="Times New Roman" w:hAnsi="Times New Roman" w:cs="Times New Roman"/>
                <w:b/>
                <w:bCs/>
                <w:color w:val="000000"/>
                <w:sz w:val="14"/>
                <w:szCs w:val="14"/>
              </w:rPr>
              <w:t>2018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4E610A" w:rsidRDefault="007D13F3" w:rsidP="00465CAC">
            <w:pPr>
              <w:jc w:val="center"/>
              <w:rPr>
                <w:rFonts w:ascii="Times New Roman" w:hAnsi="Times New Roman" w:cs="Times New Roman"/>
                <w:b/>
                <w:bCs/>
                <w:color w:val="000000"/>
                <w:sz w:val="14"/>
                <w:szCs w:val="14"/>
              </w:rPr>
            </w:pPr>
            <w:r w:rsidRPr="004E610A">
              <w:rPr>
                <w:rFonts w:ascii="Times New Roman" w:hAnsi="Times New Roman" w:cs="Times New Roman"/>
                <w:b/>
                <w:bCs/>
                <w:color w:val="000000"/>
                <w:sz w:val="14"/>
                <w:szCs w:val="14"/>
              </w:rPr>
              <w:t>2019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4E610A" w:rsidRDefault="007D13F3" w:rsidP="00465CAC">
            <w:pPr>
              <w:jc w:val="center"/>
              <w:rPr>
                <w:rFonts w:ascii="Times New Roman" w:hAnsi="Times New Roman" w:cs="Times New Roman"/>
                <w:b/>
                <w:bCs/>
                <w:color w:val="000000"/>
                <w:sz w:val="14"/>
                <w:szCs w:val="14"/>
              </w:rPr>
            </w:pPr>
            <w:r w:rsidRPr="004E610A">
              <w:rPr>
                <w:rFonts w:ascii="Times New Roman" w:hAnsi="Times New Roman" w:cs="Times New Roman"/>
                <w:b/>
                <w:bCs/>
                <w:color w:val="000000"/>
                <w:sz w:val="14"/>
                <w:szCs w:val="14"/>
              </w:rPr>
              <w:t>2020 N</w:t>
            </w:r>
          </w:p>
        </w:tc>
      </w:tr>
      <w:tr w:rsidR="007D13F3" w:rsidRPr="00A3218E" w:rsidTr="00A870F8">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D13F3" w:rsidRPr="00A3218E" w:rsidRDefault="007D13F3" w:rsidP="00465CAC">
            <w:pPr>
              <w:rPr>
                <w:rFonts w:ascii="Times New Roman" w:hAnsi="Times New Roman" w:cs="Times New Roman"/>
                <w:b/>
                <w:bCs/>
                <w:sz w:val="14"/>
                <w:szCs w:val="14"/>
              </w:rPr>
            </w:pPr>
            <w:r w:rsidRPr="00A3218E">
              <w:rPr>
                <w:rFonts w:ascii="Times New Roman" w:hAnsi="Times New Roman" w:cs="Times New Roman"/>
                <w:b/>
                <w:bCs/>
                <w:sz w:val="14"/>
                <w:szCs w:val="14"/>
              </w:rPr>
              <w:t>Okresné úrady</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2D24E6" w:rsidRDefault="007D13F3" w:rsidP="00465CAC">
            <w:pPr>
              <w:jc w:val="right"/>
              <w:rPr>
                <w:rFonts w:ascii="Times New Roman" w:hAnsi="Times New Roman" w:cs="Times New Roman"/>
                <w:b/>
                <w:bCs/>
                <w:sz w:val="14"/>
                <w:szCs w:val="14"/>
                <w:highlight w:val="yellow"/>
              </w:rPr>
            </w:pPr>
            <w:r>
              <w:rPr>
                <w:rFonts w:ascii="Times New Roman" w:hAnsi="Times New Roman" w:cs="Times New Roman"/>
                <w:b/>
                <w:bCs/>
                <w:sz w:val="14"/>
                <w:szCs w:val="14"/>
              </w:rPr>
              <w:t>114 149 907</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4E610A" w:rsidRDefault="007D13F3" w:rsidP="00465CAC">
            <w:pPr>
              <w:jc w:val="right"/>
              <w:rPr>
                <w:rFonts w:ascii="Times New Roman" w:hAnsi="Times New Roman" w:cs="Times New Roman"/>
                <w:b/>
                <w:bCs/>
                <w:sz w:val="14"/>
                <w:szCs w:val="14"/>
                <w:highlight w:val="yellow"/>
              </w:rPr>
            </w:pPr>
            <w:r w:rsidRPr="00051394">
              <w:rPr>
                <w:rFonts w:ascii="Times New Roman" w:hAnsi="Times New Roman" w:cs="Times New Roman"/>
                <w:b/>
                <w:bCs/>
                <w:sz w:val="14"/>
                <w:szCs w:val="14"/>
              </w:rPr>
              <w:t>114 093 819</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4E610A" w:rsidRDefault="007D13F3" w:rsidP="00465CAC">
            <w:pPr>
              <w:jc w:val="right"/>
              <w:rPr>
                <w:rFonts w:ascii="Times New Roman" w:hAnsi="Times New Roman" w:cs="Times New Roman"/>
                <w:b/>
                <w:sz w:val="14"/>
                <w:szCs w:val="14"/>
                <w:highlight w:val="yellow"/>
              </w:rPr>
            </w:pPr>
            <w:r w:rsidRPr="004E610A">
              <w:rPr>
                <w:rFonts w:ascii="Times New Roman" w:hAnsi="Times New Roman" w:cs="Times New Roman"/>
                <w:b/>
                <w:sz w:val="14"/>
                <w:szCs w:val="14"/>
              </w:rPr>
              <w:t>99 188 487</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7D13F3" w:rsidRPr="004E610A" w:rsidRDefault="007D13F3" w:rsidP="00465CAC">
            <w:pPr>
              <w:autoSpaceDE w:val="0"/>
              <w:autoSpaceDN w:val="0"/>
              <w:adjustRightInd w:val="0"/>
              <w:jc w:val="right"/>
              <w:rPr>
                <w:rFonts w:ascii="Times New Roman" w:hAnsi="Times New Roman" w:cs="Times New Roman"/>
                <w:b/>
                <w:sz w:val="14"/>
                <w:szCs w:val="14"/>
                <w:highlight w:val="yellow"/>
              </w:rPr>
            </w:pPr>
            <w:r w:rsidRPr="00DA3AA7">
              <w:rPr>
                <w:rFonts w:ascii="Times New Roman" w:hAnsi="Times New Roman" w:cs="Times New Roman"/>
                <w:b/>
                <w:sz w:val="14"/>
                <w:szCs w:val="14"/>
              </w:rPr>
              <w:t>105 933 515</w:t>
            </w:r>
          </w:p>
        </w:tc>
        <w:tc>
          <w:tcPr>
            <w:tcW w:w="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D13F3" w:rsidRPr="002A1FA1" w:rsidRDefault="007D13F3" w:rsidP="00465CAC">
            <w:pPr>
              <w:autoSpaceDE w:val="0"/>
              <w:autoSpaceDN w:val="0"/>
              <w:adjustRightInd w:val="0"/>
              <w:jc w:val="right"/>
              <w:rPr>
                <w:rFonts w:ascii="Times New Roman" w:hAnsi="Times New Roman" w:cs="Times New Roman"/>
                <w:b/>
                <w:sz w:val="14"/>
                <w:szCs w:val="14"/>
                <w:highlight w:val="yellow"/>
              </w:rPr>
            </w:pPr>
            <w:r w:rsidRPr="002A1FA1">
              <w:rPr>
                <w:rFonts w:ascii="Times New Roman" w:hAnsi="Times New Roman" w:cs="Times New Roman"/>
                <w:b/>
                <w:sz w:val="14"/>
                <w:szCs w:val="14"/>
              </w:rPr>
              <w:t>103 039 507</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2A1FA1" w:rsidRDefault="007D13F3" w:rsidP="00465CAC">
            <w:pPr>
              <w:autoSpaceDE w:val="0"/>
              <w:autoSpaceDN w:val="0"/>
              <w:adjustRightInd w:val="0"/>
              <w:jc w:val="right"/>
              <w:rPr>
                <w:rFonts w:ascii="Times New Roman" w:hAnsi="Times New Roman" w:cs="Times New Roman"/>
                <w:b/>
                <w:sz w:val="14"/>
                <w:szCs w:val="14"/>
                <w:highlight w:val="yellow"/>
              </w:rPr>
            </w:pPr>
            <w:r w:rsidRPr="002A1FA1">
              <w:rPr>
                <w:rFonts w:ascii="Times New Roman" w:hAnsi="Times New Roman" w:cs="Times New Roman"/>
                <w:b/>
                <w:sz w:val="14"/>
                <w:szCs w:val="14"/>
              </w:rPr>
              <w:t>102 986 610</w:t>
            </w:r>
          </w:p>
        </w:tc>
        <w:tc>
          <w:tcPr>
            <w:tcW w:w="56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2A1FA1" w:rsidRDefault="007D13F3" w:rsidP="00465CAC">
            <w:pPr>
              <w:autoSpaceDE w:val="0"/>
              <w:autoSpaceDN w:val="0"/>
              <w:adjustRightInd w:val="0"/>
              <w:jc w:val="right"/>
              <w:rPr>
                <w:rFonts w:ascii="Times New Roman" w:hAnsi="Times New Roman" w:cs="Times New Roman"/>
                <w:b/>
                <w:sz w:val="14"/>
                <w:szCs w:val="14"/>
                <w:highlight w:val="yellow"/>
              </w:rPr>
            </w:pPr>
            <w:r w:rsidRPr="002A1FA1">
              <w:rPr>
                <w:rFonts w:ascii="Times New Roman" w:hAnsi="Times New Roman" w:cs="Times New Roman"/>
                <w:b/>
                <w:sz w:val="14"/>
                <w:szCs w:val="14"/>
              </w:rPr>
              <w:t>103 217 509</w:t>
            </w:r>
          </w:p>
        </w:tc>
      </w:tr>
      <w:tr w:rsidR="007D13F3" w:rsidRPr="00A3218E" w:rsidTr="00465CAC">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Všeobecná vnútorná správa a živnostenské podnikanie</w:t>
            </w:r>
          </w:p>
        </w:tc>
        <w:tc>
          <w:tcPr>
            <w:tcW w:w="568" w:type="pct"/>
            <w:tcBorders>
              <w:top w:val="nil"/>
              <w:left w:val="nil"/>
              <w:bottom w:val="single" w:sz="4" w:space="0" w:color="auto"/>
              <w:right w:val="single" w:sz="4" w:space="0" w:color="auto"/>
            </w:tcBorders>
            <w:shd w:val="clear" w:color="000000" w:fill="FFFFFF"/>
            <w:noWrap/>
            <w:vAlign w:val="bottom"/>
          </w:tcPr>
          <w:p w:rsidR="007D13F3" w:rsidRPr="00A033BD" w:rsidRDefault="007D13F3" w:rsidP="00465CAC">
            <w:pPr>
              <w:jc w:val="right"/>
              <w:rPr>
                <w:rFonts w:ascii="Times New Roman" w:hAnsi="Times New Roman" w:cs="Times New Roman"/>
                <w:sz w:val="14"/>
                <w:szCs w:val="14"/>
                <w:highlight w:val="yellow"/>
              </w:rPr>
            </w:pPr>
            <w:r w:rsidRPr="00A033BD">
              <w:rPr>
                <w:rFonts w:ascii="Times New Roman" w:hAnsi="Times New Roman" w:cs="Times New Roman"/>
                <w:sz w:val="14"/>
                <w:szCs w:val="14"/>
              </w:rPr>
              <w:t>52 493 129</w:t>
            </w:r>
          </w:p>
        </w:tc>
        <w:tc>
          <w:tcPr>
            <w:tcW w:w="568" w:type="pct"/>
            <w:tcBorders>
              <w:top w:val="nil"/>
              <w:left w:val="nil"/>
              <w:bottom w:val="single" w:sz="4" w:space="0" w:color="auto"/>
              <w:right w:val="single" w:sz="4" w:space="0" w:color="auto"/>
            </w:tcBorders>
            <w:shd w:val="clear" w:color="000000" w:fill="FFFFFF"/>
            <w:noWrap/>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48 055 071</w:t>
            </w:r>
          </w:p>
        </w:tc>
        <w:tc>
          <w:tcPr>
            <w:tcW w:w="568" w:type="pct"/>
            <w:tcBorders>
              <w:top w:val="nil"/>
              <w:left w:val="nil"/>
              <w:bottom w:val="single" w:sz="4" w:space="0" w:color="auto"/>
              <w:right w:val="single" w:sz="4" w:space="0" w:color="auto"/>
            </w:tcBorders>
            <w:shd w:val="clear" w:color="000000" w:fill="FFFFFF"/>
            <w:vAlign w:val="bottom"/>
          </w:tcPr>
          <w:p w:rsidR="007D13F3" w:rsidRPr="004E610A" w:rsidRDefault="007D13F3" w:rsidP="00465CAC">
            <w:pPr>
              <w:jc w:val="right"/>
              <w:rPr>
                <w:rFonts w:ascii="Times New Roman" w:hAnsi="Times New Roman" w:cs="Times New Roman"/>
                <w:sz w:val="14"/>
                <w:szCs w:val="14"/>
                <w:highlight w:val="yellow"/>
              </w:rPr>
            </w:pPr>
            <w:r w:rsidRPr="004E610A">
              <w:rPr>
                <w:rFonts w:ascii="Times New Roman" w:hAnsi="Times New Roman" w:cs="Times New Roman"/>
                <w:sz w:val="14"/>
                <w:szCs w:val="14"/>
              </w:rPr>
              <w:t>42 375 335</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47 522 592</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7D13F3" w:rsidRPr="002A1FA1" w:rsidRDefault="007D13F3" w:rsidP="00465CAC">
            <w:pPr>
              <w:autoSpaceDE w:val="0"/>
              <w:autoSpaceDN w:val="0"/>
              <w:adjustRightInd w:val="0"/>
              <w:jc w:val="right"/>
              <w:rPr>
                <w:rFonts w:ascii="Times New Roman" w:hAnsi="Times New Roman" w:cs="Times New Roman"/>
                <w:sz w:val="14"/>
                <w:szCs w:val="14"/>
                <w:highlight w:val="yellow"/>
              </w:rPr>
            </w:pPr>
            <w:r w:rsidRPr="002A1FA1">
              <w:rPr>
                <w:rFonts w:ascii="Times New Roman" w:hAnsi="Times New Roman" w:cs="Times New Roman"/>
                <w:sz w:val="14"/>
                <w:szCs w:val="14"/>
              </w:rPr>
              <w:t>44 370 928</w:t>
            </w:r>
          </w:p>
        </w:tc>
        <w:tc>
          <w:tcPr>
            <w:tcW w:w="568" w:type="pct"/>
            <w:tcBorders>
              <w:top w:val="nil"/>
              <w:left w:val="nil"/>
              <w:bottom w:val="single" w:sz="4" w:space="0" w:color="auto"/>
              <w:right w:val="single" w:sz="4" w:space="0" w:color="auto"/>
            </w:tcBorders>
            <w:shd w:val="clear" w:color="000000" w:fill="FFFFFF"/>
            <w:vAlign w:val="bottom"/>
          </w:tcPr>
          <w:p w:rsidR="007D13F3" w:rsidRPr="002A1FA1" w:rsidRDefault="007D13F3" w:rsidP="00465CAC">
            <w:pPr>
              <w:autoSpaceDE w:val="0"/>
              <w:autoSpaceDN w:val="0"/>
              <w:adjustRightInd w:val="0"/>
              <w:jc w:val="right"/>
              <w:rPr>
                <w:rFonts w:ascii="Times New Roman" w:hAnsi="Times New Roman" w:cs="Times New Roman"/>
                <w:sz w:val="14"/>
                <w:szCs w:val="14"/>
                <w:highlight w:val="yellow"/>
              </w:rPr>
            </w:pPr>
            <w:r w:rsidRPr="002A1FA1">
              <w:rPr>
                <w:rFonts w:ascii="Times New Roman" w:hAnsi="Times New Roman" w:cs="Times New Roman"/>
                <w:sz w:val="14"/>
                <w:szCs w:val="14"/>
              </w:rPr>
              <w:t>44 317 017</w:t>
            </w:r>
          </w:p>
        </w:tc>
        <w:tc>
          <w:tcPr>
            <w:tcW w:w="567" w:type="pct"/>
            <w:tcBorders>
              <w:top w:val="nil"/>
              <w:left w:val="nil"/>
              <w:bottom w:val="single" w:sz="4" w:space="0" w:color="auto"/>
              <w:right w:val="single" w:sz="4" w:space="0" w:color="auto"/>
            </w:tcBorders>
            <w:shd w:val="clear" w:color="000000" w:fill="FFFFFF"/>
            <w:vAlign w:val="bottom"/>
          </w:tcPr>
          <w:p w:rsidR="007D13F3" w:rsidRPr="002A1FA1" w:rsidRDefault="007D13F3" w:rsidP="00465CAC">
            <w:pPr>
              <w:autoSpaceDE w:val="0"/>
              <w:autoSpaceDN w:val="0"/>
              <w:adjustRightInd w:val="0"/>
              <w:jc w:val="right"/>
              <w:rPr>
                <w:rFonts w:ascii="Times New Roman" w:hAnsi="Times New Roman" w:cs="Times New Roman"/>
                <w:sz w:val="14"/>
                <w:szCs w:val="14"/>
                <w:highlight w:val="yellow"/>
              </w:rPr>
            </w:pPr>
            <w:r w:rsidRPr="002A1FA1">
              <w:rPr>
                <w:rFonts w:ascii="Times New Roman" w:hAnsi="Times New Roman" w:cs="Times New Roman"/>
                <w:sz w:val="14"/>
                <w:szCs w:val="14"/>
              </w:rPr>
              <w:t>44 546 981</w:t>
            </w:r>
          </w:p>
        </w:tc>
      </w:tr>
      <w:tr w:rsidR="007D13F3" w:rsidRPr="00A3218E" w:rsidTr="00465CAC">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Zabezpečenie miestnej štátnej správy v regionálnom školstve</w:t>
            </w:r>
          </w:p>
        </w:tc>
        <w:tc>
          <w:tcPr>
            <w:tcW w:w="568" w:type="pct"/>
            <w:tcBorders>
              <w:top w:val="nil"/>
              <w:left w:val="nil"/>
              <w:bottom w:val="single" w:sz="4" w:space="0" w:color="auto"/>
              <w:right w:val="single" w:sz="4" w:space="0" w:color="auto"/>
            </w:tcBorders>
            <w:shd w:val="clear" w:color="000000" w:fill="FFFFFF"/>
            <w:noWrap/>
            <w:vAlign w:val="bottom"/>
          </w:tcPr>
          <w:p w:rsidR="007D13F3" w:rsidRPr="00A033BD" w:rsidRDefault="007D13F3" w:rsidP="00465CAC">
            <w:pPr>
              <w:jc w:val="right"/>
              <w:rPr>
                <w:rFonts w:ascii="Times New Roman" w:hAnsi="Times New Roman" w:cs="Times New Roman"/>
                <w:sz w:val="14"/>
                <w:szCs w:val="14"/>
                <w:highlight w:val="yellow"/>
              </w:rPr>
            </w:pPr>
            <w:r w:rsidRPr="00A033BD">
              <w:rPr>
                <w:rFonts w:ascii="Times New Roman" w:hAnsi="Times New Roman" w:cs="Times New Roman"/>
                <w:sz w:val="14"/>
                <w:szCs w:val="14"/>
              </w:rPr>
              <w:t>7 066 403</w:t>
            </w:r>
          </w:p>
        </w:tc>
        <w:tc>
          <w:tcPr>
            <w:tcW w:w="568" w:type="pct"/>
            <w:tcBorders>
              <w:top w:val="nil"/>
              <w:left w:val="nil"/>
              <w:bottom w:val="single" w:sz="4" w:space="0" w:color="auto"/>
              <w:right w:val="single" w:sz="4" w:space="0" w:color="auto"/>
            </w:tcBorders>
            <w:shd w:val="clear" w:color="000000" w:fill="FFFFFF"/>
            <w:noWrap/>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7 183 787</w:t>
            </w:r>
          </w:p>
        </w:tc>
        <w:tc>
          <w:tcPr>
            <w:tcW w:w="568" w:type="pct"/>
            <w:tcBorders>
              <w:top w:val="nil"/>
              <w:left w:val="nil"/>
              <w:bottom w:val="single" w:sz="4" w:space="0" w:color="auto"/>
              <w:right w:val="single" w:sz="4" w:space="0" w:color="auto"/>
            </w:tcBorders>
            <w:shd w:val="clear" w:color="000000" w:fill="FFFFFF"/>
            <w:noWrap/>
            <w:vAlign w:val="bottom"/>
          </w:tcPr>
          <w:p w:rsidR="007D13F3" w:rsidRPr="004E610A" w:rsidRDefault="007D13F3" w:rsidP="00465CAC">
            <w:pPr>
              <w:jc w:val="right"/>
              <w:rPr>
                <w:rFonts w:ascii="Times New Roman" w:hAnsi="Times New Roman" w:cs="Times New Roman"/>
                <w:sz w:val="14"/>
                <w:szCs w:val="14"/>
                <w:highlight w:val="yellow"/>
              </w:rPr>
            </w:pPr>
            <w:r w:rsidRPr="004E610A">
              <w:rPr>
                <w:rFonts w:ascii="Times New Roman" w:hAnsi="Times New Roman" w:cs="Times New Roman"/>
                <w:sz w:val="14"/>
                <w:szCs w:val="14"/>
              </w:rPr>
              <w:t>6 973 012</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7 501 290</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7 199 088</w:t>
            </w:r>
          </w:p>
        </w:tc>
        <w:tc>
          <w:tcPr>
            <w:tcW w:w="568" w:type="pct"/>
            <w:tcBorders>
              <w:top w:val="nil"/>
              <w:left w:val="nil"/>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7 199 088</w:t>
            </w:r>
          </w:p>
        </w:tc>
        <w:tc>
          <w:tcPr>
            <w:tcW w:w="567" w:type="pct"/>
            <w:tcBorders>
              <w:top w:val="nil"/>
              <w:left w:val="nil"/>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7 199 088</w:t>
            </w:r>
          </w:p>
        </w:tc>
      </w:tr>
      <w:tr w:rsidR="007D13F3" w:rsidRPr="00A3218E" w:rsidTr="00465CAC">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Výstavba a bytová politika</w:t>
            </w:r>
          </w:p>
        </w:tc>
        <w:tc>
          <w:tcPr>
            <w:tcW w:w="568" w:type="pct"/>
            <w:tcBorders>
              <w:top w:val="nil"/>
              <w:left w:val="nil"/>
              <w:bottom w:val="single" w:sz="4" w:space="0" w:color="auto"/>
              <w:right w:val="single" w:sz="4" w:space="0" w:color="auto"/>
            </w:tcBorders>
            <w:shd w:val="clear" w:color="000000" w:fill="FFFFFF"/>
            <w:noWrap/>
            <w:vAlign w:val="bottom"/>
          </w:tcPr>
          <w:p w:rsidR="007D13F3" w:rsidRPr="00A033BD" w:rsidRDefault="007D13F3" w:rsidP="00465CAC">
            <w:pPr>
              <w:jc w:val="right"/>
              <w:rPr>
                <w:rFonts w:ascii="Times New Roman" w:hAnsi="Times New Roman" w:cs="Times New Roman"/>
                <w:sz w:val="14"/>
                <w:szCs w:val="14"/>
                <w:highlight w:val="yellow"/>
              </w:rPr>
            </w:pPr>
            <w:r w:rsidRPr="00A033BD">
              <w:rPr>
                <w:rFonts w:ascii="Times New Roman" w:hAnsi="Times New Roman" w:cs="Times New Roman"/>
                <w:sz w:val="14"/>
                <w:szCs w:val="14"/>
              </w:rPr>
              <w:t>2 496 964</w:t>
            </w:r>
          </w:p>
        </w:tc>
        <w:tc>
          <w:tcPr>
            <w:tcW w:w="568" w:type="pct"/>
            <w:tcBorders>
              <w:top w:val="nil"/>
              <w:left w:val="nil"/>
              <w:bottom w:val="single" w:sz="4" w:space="0" w:color="auto"/>
              <w:right w:val="single" w:sz="4" w:space="0" w:color="auto"/>
            </w:tcBorders>
            <w:shd w:val="clear" w:color="000000" w:fill="FFFFFF"/>
            <w:noWrap/>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2 647 294</w:t>
            </w:r>
          </w:p>
        </w:tc>
        <w:tc>
          <w:tcPr>
            <w:tcW w:w="568" w:type="pct"/>
            <w:tcBorders>
              <w:top w:val="nil"/>
              <w:left w:val="nil"/>
              <w:bottom w:val="single" w:sz="4" w:space="0" w:color="auto"/>
              <w:right w:val="single" w:sz="4" w:space="0" w:color="auto"/>
            </w:tcBorders>
            <w:shd w:val="clear" w:color="000000" w:fill="FFFFFF"/>
            <w:noWrap/>
            <w:vAlign w:val="bottom"/>
          </w:tcPr>
          <w:p w:rsidR="007D13F3" w:rsidRPr="004E610A" w:rsidRDefault="007D13F3" w:rsidP="00465CAC">
            <w:pPr>
              <w:jc w:val="right"/>
              <w:rPr>
                <w:rFonts w:ascii="Times New Roman" w:hAnsi="Times New Roman" w:cs="Times New Roman"/>
                <w:sz w:val="14"/>
                <w:szCs w:val="14"/>
                <w:highlight w:val="yellow"/>
              </w:rPr>
            </w:pPr>
            <w:r w:rsidRPr="004E610A">
              <w:rPr>
                <w:rFonts w:ascii="Times New Roman" w:hAnsi="Times New Roman" w:cs="Times New Roman"/>
                <w:sz w:val="14"/>
                <w:szCs w:val="14"/>
              </w:rPr>
              <w:t>2 355 303</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DA3AA7">
              <w:rPr>
                <w:rFonts w:ascii="Times New Roman" w:hAnsi="Times New Roman" w:cs="Times New Roman"/>
                <w:sz w:val="14"/>
                <w:szCs w:val="14"/>
              </w:rPr>
              <w:t>2 390 186</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2 412 387</w:t>
            </w:r>
          </w:p>
        </w:tc>
        <w:tc>
          <w:tcPr>
            <w:tcW w:w="568" w:type="pct"/>
            <w:tcBorders>
              <w:top w:val="nil"/>
              <w:left w:val="nil"/>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2 412 387</w:t>
            </w:r>
          </w:p>
        </w:tc>
        <w:tc>
          <w:tcPr>
            <w:tcW w:w="567" w:type="pct"/>
            <w:tcBorders>
              <w:top w:val="nil"/>
              <w:left w:val="nil"/>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2 412 387</w:t>
            </w:r>
          </w:p>
        </w:tc>
      </w:tr>
      <w:tr w:rsidR="007D13F3" w:rsidRPr="00A3218E" w:rsidTr="00465CAC">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Územná vojenská správa</w:t>
            </w:r>
          </w:p>
        </w:tc>
        <w:tc>
          <w:tcPr>
            <w:tcW w:w="568" w:type="pct"/>
            <w:tcBorders>
              <w:top w:val="nil"/>
              <w:left w:val="nil"/>
              <w:bottom w:val="single" w:sz="4" w:space="0" w:color="auto"/>
              <w:right w:val="single" w:sz="4" w:space="0" w:color="auto"/>
            </w:tcBorders>
            <w:shd w:val="clear" w:color="000000" w:fill="FFFFFF"/>
            <w:noWrap/>
            <w:vAlign w:val="bottom"/>
          </w:tcPr>
          <w:p w:rsidR="007D13F3" w:rsidRPr="00A033BD" w:rsidRDefault="007D13F3" w:rsidP="00465CAC">
            <w:pPr>
              <w:jc w:val="right"/>
              <w:rPr>
                <w:rFonts w:ascii="Times New Roman" w:hAnsi="Times New Roman" w:cs="Times New Roman"/>
                <w:sz w:val="14"/>
                <w:szCs w:val="14"/>
                <w:highlight w:val="yellow"/>
              </w:rPr>
            </w:pPr>
            <w:r w:rsidRPr="00A033BD">
              <w:rPr>
                <w:rFonts w:ascii="Times New Roman" w:hAnsi="Times New Roman" w:cs="Times New Roman"/>
                <w:sz w:val="14"/>
                <w:szCs w:val="14"/>
              </w:rPr>
              <w:t>635 972</w:t>
            </w:r>
          </w:p>
        </w:tc>
        <w:tc>
          <w:tcPr>
            <w:tcW w:w="568" w:type="pct"/>
            <w:tcBorders>
              <w:top w:val="nil"/>
              <w:left w:val="nil"/>
              <w:bottom w:val="single" w:sz="4" w:space="0" w:color="auto"/>
              <w:right w:val="single" w:sz="4" w:space="0" w:color="auto"/>
            </w:tcBorders>
            <w:shd w:val="clear" w:color="000000" w:fill="FFFFFF"/>
            <w:noWrap/>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708 568</w:t>
            </w:r>
          </w:p>
        </w:tc>
        <w:tc>
          <w:tcPr>
            <w:tcW w:w="568" w:type="pct"/>
            <w:tcBorders>
              <w:top w:val="nil"/>
              <w:left w:val="nil"/>
              <w:bottom w:val="single" w:sz="4" w:space="0" w:color="auto"/>
              <w:right w:val="single" w:sz="4" w:space="0" w:color="auto"/>
            </w:tcBorders>
            <w:shd w:val="clear" w:color="000000" w:fill="FFFFFF"/>
            <w:noWrap/>
            <w:vAlign w:val="bottom"/>
          </w:tcPr>
          <w:p w:rsidR="007D13F3" w:rsidRPr="004E610A" w:rsidRDefault="007D13F3" w:rsidP="00465CAC">
            <w:pPr>
              <w:jc w:val="right"/>
              <w:rPr>
                <w:rFonts w:ascii="Times New Roman" w:hAnsi="Times New Roman" w:cs="Times New Roman"/>
                <w:sz w:val="14"/>
                <w:szCs w:val="14"/>
                <w:highlight w:val="yellow"/>
              </w:rPr>
            </w:pPr>
            <w:r w:rsidRPr="004E610A">
              <w:rPr>
                <w:rFonts w:ascii="Times New Roman" w:hAnsi="Times New Roman" w:cs="Times New Roman"/>
                <w:sz w:val="14"/>
                <w:szCs w:val="14"/>
              </w:rPr>
              <w:t>647 289</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DA3AA7">
              <w:rPr>
                <w:rFonts w:ascii="Times New Roman" w:hAnsi="Times New Roman" w:cs="Times New Roman"/>
                <w:sz w:val="14"/>
                <w:szCs w:val="14"/>
              </w:rPr>
              <w:t>668 353</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670 700</w:t>
            </w:r>
          </w:p>
        </w:tc>
        <w:tc>
          <w:tcPr>
            <w:tcW w:w="568" w:type="pct"/>
            <w:tcBorders>
              <w:top w:val="nil"/>
              <w:left w:val="nil"/>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670 700</w:t>
            </w:r>
          </w:p>
        </w:tc>
        <w:tc>
          <w:tcPr>
            <w:tcW w:w="567" w:type="pct"/>
            <w:tcBorders>
              <w:top w:val="nil"/>
              <w:left w:val="nil"/>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670 700</w:t>
            </w:r>
          </w:p>
        </w:tc>
      </w:tr>
      <w:tr w:rsidR="007D13F3" w:rsidRPr="00A3218E" w:rsidTr="00465CAC">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Kataster</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7D13F3" w:rsidRPr="00A033BD" w:rsidRDefault="007D13F3" w:rsidP="00465CAC">
            <w:pPr>
              <w:jc w:val="right"/>
              <w:rPr>
                <w:rFonts w:ascii="Times New Roman" w:hAnsi="Times New Roman" w:cs="Times New Roman"/>
                <w:sz w:val="14"/>
                <w:szCs w:val="14"/>
                <w:highlight w:val="yellow"/>
              </w:rPr>
            </w:pPr>
            <w:r w:rsidRPr="00A033BD">
              <w:rPr>
                <w:rFonts w:ascii="Times New Roman" w:hAnsi="Times New Roman" w:cs="Times New Roman"/>
                <w:sz w:val="14"/>
                <w:szCs w:val="14"/>
              </w:rPr>
              <w:t>23 684 672</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25 827 278</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7D13F3" w:rsidRPr="004E610A" w:rsidRDefault="007D13F3" w:rsidP="00465CAC">
            <w:pPr>
              <w:jc w:val="right"/>
              <w:rPr>
                <w:rFonts w:ascii="Times New Roman" w:hAnsi="Times New Roman" w:cs="Times New Roman"/>
                <w:sz w:val="14"/>
                <w:szCs w:val="14"/>
                <w:highlight w:val="yellow"/>
              </w:rPr>
            </w:pPr>
            <w:r w:rsidRPr="004E610A">
              <w:rPr>
                <w:rFonts w:ascii="Times New Roman" w:hAnsi="Times New Roman" w:cs="Times New Roman"/>
                <w:sz w:val="14"/>
                <w:szCs w:val="14"/>
              </w:rPr>
              <w:t>22 592 404</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DA3AA7">
              <w:rPr>
                <w:rFonts w:ascii="Times New Roman" w:hAnsi="Times New Roman" w:cs="Times New Roman"/>
                <w:sz w:val="14"/>
                <w:szCs w:val="14"/>
              </w:rPr>
              <w:t>23 021 152</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23 408 677</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23 408 677</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23 408 677</w:t>
            </w:r>
          </w:p>
        </w:tc>
      </w:tr>
      <w:tr w:rsidR="007D13F3" w:rsidRPr="00A3218E" w:rsidTr="00465CAC">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Životné prostredie</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7D13F3" w:rsidRPr="00A033BD" w:rsidRDefault="007D13F3" w:rsidP="00465CAC">
            <w:pPr>
              <w:jc w:val="right"/>
              <w:rPr>
                <w:rFonts w:ascii="Times New Roman" w:hAnsi="Times New Roman" w:cs="Times New Roman"/>
                <w:sz w:val="14"/>
                <w:szCs w:val="14"/>
                <w:highlight w:val="yellow"/>
              </w:rPr>
            </w:pPr>
            <w:r w:rsidRPr="00A033BD">
              <w:rPr>
                <w:rFonts w:ascii="Times New Roman" w:hAnsi="Times New Roman" w:cs="Times New Roman"/>
                <w:sz w:val="14"/>
                <w:szCs w:val="14"/>
              </w:rPr>
              <w:t>15 767 969</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16 940 412</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7D13F3" w:rsidRPr="004E610A" w:rsidRDefault="007D13F3" w:rsidP="00465CAC">
            <w:pPr>
              <w:jc w:val="right"/>
              <w:rPr>
                <w:rFonts w:ascii="Times New Roman" w:hAnsi="Times New Roman" w:cs="Times New Roman"/>
                <w:sz w:val="14"/>
                <w:szCs w:val="14"/>
                <w:highlight w:val="yellow"/>
              </w:rPr>
            </w:pPr>
            <w:r w:rsidRPr="004E610A">
              <w:rPr>
                <w:rFonts w:ascii="Times New Roman" w:hAnsi="Times New Roman" w:cs="Times New Roman"/>
                <w:sz w:val="14"/>
                <w:szCs w:val="14"/>
              </w:rPr>
              <w:t>12 794 190</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DA3AA7">
              <w:rPr>
                <w:rFonts w:ascii="Times New Roman" w:hAnsi="Times New Roman" w:cs="Times New Roman"/>
                <w:sz w:val="14"/>
                <w:szCs w:val="14"/>
              </w:rPr>
              <w:t>13 032 857</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13 112 562</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13 113 576</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13 114 511</w:t>
            </w:r>
          </w:p>
        </w:tc>
      </w:tr>
      <w:tr w:rsidR="007D13F3" w:rsidRPr="00A3218E" w:rsidTr="00465CAC">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Pozemkové úpravy</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7D13F3" w:rsidRPr="00A033BD" w:rsidRDefault="007D13F3" w:rsidP="00465CAC">
            <w:pPr>
              <w:jc w:val="right"/>
              <w:rPr>
                <w:rFonts w:ascii="Times New Roman" w:hAnsi="Times New Roman" w:cs="Times New Roman"/>
                <w:sz w:val="14"/>
                <w:szCs w:val="14"/>
                <w:highlight w:val="yellow"/>
              </w:rPr>
            </w:pPr>
            <w:r w:rsidRPr="00A033BD">
              <w:rPr>
                <w:rFonts w:ascii="Times New Roman" w:hAnsi="Times New Roman" w:cs="Times New Roman"/>
                <w:sz w:val="14"/>
                <w:szCs w:val="14"/>
              </w:rPr>
              <w:t>7 427 849</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7 889 047</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7D13F3" w:rsidRPr="004E610A" w:rsidRDefault="007D13F3" w:rsidP="00465CAC">
            <w:pPr>
              <w:jc w:val="right"/>
              <w:rPr>
                <w:rFonts w:ascii="Times New Roman" w:hAnsi="Times New Roman" w:cs="Times New Roman"/>
                <w:sz w:val="14"/>
                <w:szCs w:val="14"/>
                <w:highlight w:val="yellow"/>
              </w:rPr>
            </w:pPr>
            <w:r w:rsidRPr="004E610A">
              <w:rPr>
                <w:rFonts w:ascii="Times New Roman" w:hAnsi="Times New Roman" w:cs="Times New Roman"/>
                <w:sz w:val="14"/>
                <w:szCs w:val="14"/>
              </w:rPr>
              <w:t>6 993 448</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DA3AA7">
              <w:rPr>
                <w:rFonts w:ascii="Times New Roman" w:hAnsi="Times New Roman" w:cs="Times New Roman"/>
                <w:sz w:val="14"/>
                <w:szCs w:val="14"/>
              </w:rPr>
              <w:t>7 177 985</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7 241 416</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7 241 416</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7 241 416</w:t>
            </w:r>
          </w:p>
        </w:tc>
      </w:tr>
      <w:tr w:rsidR="007D13F3" w:rsidRPr="00077F89" w:rsidTr="00465CAC">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7D13F3" w:rsidRPr="00077F89" w:rsidRDefault="007D13F3" w:rsidP="00465CAC">
            <w:pPr>
              <w:rPr>
                <w:rFonts w:ascii="Times New Roman" w:hAnsi="Times New Roman" w:cs="Times New Roman"/>
                <w:sz w:val="14"/>
                <w:szCs w:val="14"/>
              </w:rPr>
            </w:pPr>
            <w:r w:rsidRPr="00077F89">
              <w:rPr>
                <w:rFonts w:ascii="Times New Roman" w:hAnsi="Times New Roman" w:cs="Times New Roman"/>
                <w:sz w:val="14"/>
                <w:szCs w:val="14"/>
              </w:rPr>
              <w:t>Cestná doprava</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7D13F3" w:rsidRPr="00A033BD" w:rsidRDefault="007D13F3" w:rsidP="00465CAC">
            <w:pPr>
              <w:jc w:val="right"/>
              <w:rPr>
                <w:rFonts w:ascii="Times New Roman" w:hAnsi="Times New Roman" w:cs="Times New Roman"/>
                <w:sz w:val="14"/>
                <w:szCs w:val="14"/>
                <w:highlight w:val="yellow"/>
              </w:rPr>
            </w:pPr>
            <w:r w:rsidRPr="00A033BD">
              <w:rPr>
                <w:rFonts w:ascii="Times New Roman" w:hAnsi="Times New Roman" w:cs="Times New Roman"/>
                <w:sz w:val="14"/>
                <w:szCs w:val="14"/>
              </w:rPr>
              <w:t>4 576 949</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4 842 362</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7D13F3" w:rsidRPr="004E610A" w:rsidRDefault="007D13F3" w:rsidP="00465CAC">
            <w:pPr>
              <w:jc w:val="right"/>
              <w:rPr>
                <w:rFonts w:ascii="Times New Roman" w:hAnsi="Times New Roman" w:cs="Times New Roman"/>
                <w:sz w:val="14"/>
                <w:szCs w:val="14"/>
                <w:highlight w:val="yellow"/>
              </w:rPr>
            </w:pPr>
            <w:r w:rsidRPr="004E610A">
              <w:rPr>
                <w:rFonts w:ascii="Times New Roman" w:hAnsi="Times New Roman" w:cs="Times New Roman"/>
                <w:sz w:val="14"/>
                <w:szCs w:val="14"/>
              </w:rPr>
              <w:t>4 457 506</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DA3AA7">
              <w:rPr>
                <w:rFonts w:ascii="Times New Roman" w:hAnsi="Times New Roman" w:cs="Times New Roman"/>
                <w:sz w:val="14"/>
                <w:szCs w:val="14"/>
              </w:rPr>
              <w:t>4 619 099</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4 623 749</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4 623 749</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7D13F3" w:rsidRPr="004E610A" w:rsidRDefault="007D13F3" w:rsidP="00465CAC">
            <w:pPr>
              <w:autoSpaceDE w:val="0"/>
              <w:autoSpaceDN w:val="0"/>
              <w:adjustRightInd w:val="0"/>
              <w:jc w:val="right"/>
              <w:rPr>
                <w:rFonts w:ascii="Times New Roman" w:hAnsi="Times New Roman" w:cs="Times New Roman"/>
                <w:sz w:val="14"/>
                <w:szCs w:val="14"/>
                <w:highlight w:val="yellow"/>
              </w:rPr>
            </w:pPr>
            <w:r w:rsidRPr="004E610A">
              <w:rPr>
                <w:rFonts w:ascii="Times New Roman" w:hAnsi="Times New Roman" w:cs="Times New Roman"/>
                <w:sz w:val="14"/>
                <w:szCs w:val="14"/>
              </w:rPr>
              <w:t>4 623 749</w:t>
            </w:r>
          </w:p>
        </w:tc>
      </w:tr>
    </w:tbl>
    <w:p w:rsidR="007D13F3" w:rsidRDefault="007D13F3" w:rsidP="007D13F3">
      <w:pPr>
        <w:jc w:val="both"/>
        <w:rPr>
          <w:rFonts w:ascii="Times New Roman" w:hAnsi="Times New Roman" w:cs="Times New Roman"/>
          <w:sz w:val="22"/>
          <w:szCs w:val="22"/>
        </w:rPr>
      </w:pPr>
    </w:p>
    <w:p w:rsidR="007D13F3" w:rsidRDefault="007D13F3" w:rsidP="007D13F3">
      <w:pPr>
        <w:ind w:firstLine="708"/>
        <w:jc w:val="both"/>
        <w:rPr>
          <w:rFonts w:ascii="Times New Roman" w:hAnsi="Times New Roman" w:cs="Times New Roman"/>
        </w:rPr>
      </w:pPr>
      <w:r w:rsidRPr="006C6927">
        <w:rPr>
          <w:rFonts w:ascii="Times New Roman" w:hAnsi="Times New Roman" w:cs="Times New Roman"/>
        </w:rPr>
        <w:t xml:space="preserve">Dôvodom nárastu výdavkov v roku 2018 je zvýšenie osobných výdavkov o sumu </w:t>
      </w:r>
      <w:r w:rsidR="00A870F8">
        <w:rPr>
          <w:rFonts w:ascii="Times New Roman" w:hAnsi="Times New Roman" w:cs="Times New Roman"/>
        </w:rPr>
        <w:br/>
      </w:r>
      <w:r w:rsidRPr="006C6927">
        <w:rPr>
          <w:rFonts w:ascii="Times New Roman" w:hAnsi="Times New Roman" w:cs="Times New Roman"/>
        </w:rPr>
        <w:t>3,</w:t>
      </w:r>
      <w:r>
        <w:rPr>
          <w:rFonts w:ascii="Times New Roman" w:hAnsi="Times New Roman" w:cs="Times New Roman"/>
        </w:rPr>
        <w:t>08</w:t>
      </w:r>
      <w:r w:rsidRPr="006C6927">
        <w:rPr>
          <w:rFonts w:ascii="Times New Roman" w:hAnsi="Times New Roman" w:cs="Times New Roman"/>
        </w:rPr>
        <w:t xml:space="preserve"> mil. eur</w:t>
      </w:r>
      <w:r>
        <w:rPr>
          <w:rFonts w:ascii="Times New Roman" w:hAnsi="Times New Roman" w:cs="Times New Roman"/>
        </w:rPr>
        <w:t>.</w:t>
      </w:r>
    </w:p>
    <w:p w:rsidR="00A870F8" w:rsidRDefault="00A870F8" w:rsidP="007D13F3">
      <w:pPr>
        <w:ind w:firstLine="708"/>
        <w:jc w:val="both"/>
        <w:rPr>
          <w:rFonts w:ascii="Times New Roman" w:hAnsi="Times New Roman" w:cs="Times New Roman"/>
        </w:rPr>
      </w:pPr>
    </w:p>
    <w:p w:rsidR="00A870F8" w:rsidRDefault="00A870F8" w:rsidP="007D13F3">
      <w:pPr>
        <w:ind w:firstLine="708"/>
        <w:jc w:val="both"/>
        <w:rPr>
          <w:rFonts w:ascii="Times New Roman" w:hAnsi="Times New Roman" w:cs="Times New Roman"/>
        </w:rPr>
      </w:pPr>
    </w:p>
    <w:p w:rsidR="007D13F3" w:rsidRPr="00C3001C" w:rsidRDefault="007D13F3" w:rsidP="007D13F3">
      <w:pPr>
        <w:ind w:firstLine="708"/>
        <w:jc w:val="both"/>
        <w:rPr>
          <w:rFonts w:ascii="Times New Roman" w:hAnsi="Times New Roman" w:cs="Times New Roman"/>
          <w:color w:val="FF0000"/>
        </w:rPr>
      </w:pPr>
    </w:p>
    <w:p w:rsidR="00A870F8" w:rsidRDefault="007D13F3" w:rsidP="007D13F3">
      <w:pPr>
        <w:jc w:val="both"/>
        <w:rPr>
          <w:rFonts w:ascii="Times New Roman" w:hAnsi="Times New Roman" w:cs="Times New Roman"/>
          <w:b/>
          <w:sz w:val="22"/>
          <w:szCs w:val="22"/>
        </w:rPr>
      </w:pPr>
      <w:r w:rsidRPr="00693FCE">
        <w:rPr>
          <w:rFonts w:ascii="Times New Roman" w:hAnsi="Times New Roman" w:cs="Times New Roman"/>
          <w:b/>
        </w:rPr>
        <w:lastRenderedPageBreak/>
        <w:t>Archívnictvo</w:t>
      </w:r>
      <w:r w:rsidRPr="00077F89">
        <w:rPr>
          <w:rFonts w:ascii="Times New Roman" w:hAnsi="Times New Roman" w:cs="Times New Roman"/>
          <w:b/>
          <w:sz w:val="22"/>
          <w:szCs w:val="22"/>
        </w:rPr>
        <w:tab/>
      </w:r>
    </w:p>
    <w:p w:rsidR="007D13F3" w:rsidRPr="00077F89" w:rsidRDefault="007D13F3" w:rsidP="007D13F3">
      <w:pPr>
        <w:jc w:val="both"/>
        <w:rPr>
          <w:rFonts w:ascii="Times New Roman" w:hAnsi="Times New Roman" w:cs="Times New Roman"/>
          <w:b/>
          <w:sz w:val="22"/>
          <w:szCs w:val="22"/>
        </w:rPr>
      </w:pP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7D13F3" w:rsidRPr="00077F89" w:rsidTr="00551C05">
        <w:trPr>
          <w:trHeight w:val="261"/>
        </w:trPr>
        <w:tc>
          <w:tcPr>
            <w:tcW w:w="1025" w:type="pct"/>
            <w:shd w:val="clear" w:color="auto" w:fill="A6A6A6" w:themeFill="background1" w:themeFillShade="A6"/>
            <w:noWrap/>
            <w:vAlign w:val="bottom"/>
          </w:tcPr>
          <w:p w:rsidR="007D13F3" w:rsidRPr="00077F89" w:rsidRDefault="00551C05" w:rsidP="00465CAC">
            <w:pPr>
              <w:rPr>
                <w:rFonts w:ascii="Times New Roman" w:hAnsi="Times New Roman" w:cs="Times New Roman"/>
                <w:b/>
                <w:sz w:val="14"/>
                <w:szCs w:val="14"/>
              </w:rPr>
            </w:pPr>
            <w:r>
              <w:rPr>
                <w:rFonts w:ascii="Times New Roman" w:hAnsi="Times New Roman" w:cs="Times New Roman"/>
                <w:b/>
                <w:sz w:val="14"/>
                <w:szCs w:val="14"/>
              </w:rPr>
              <w:t>v eurách</w:t>
            </w:r>
          </w:p>
        </w:tc>
        <w:tc>
          <w:tcPr>
            <w:tcW w:w="568" w:type="pct"/>
            <w:shd w:val="clear" w:color="auto" w:fill="A6A6A6" w:themeFill="background1" w:themeFillShade="A6"/>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2015 S</w:t>
            </w:r>
          </w:p>
        </w:tc>
        <w:tc>
          <w:tcPr>
            <w:tcW w:w="568" w:type="pct"/>
            <w:shd w:val="clear" w:color="auto" w:fill="A6A6A6" w:themeFill="background1" w:themeFillShade="A6"/>
            <w:noWrap/>
            <w:vAlign w:val="bottom"/>
          </w:tcPr>
          <w:p w:rsidR="007D13F3" w:rsidRPr="00AD69C2" w:rsidRDefault="007D13F3" w:rsidP="00465CAC">
            <w:pPr>
              <w:jc w:val="center"/>
              <w:rPr>
                <w:rFonts w:ascii="Times New Roman" w:hAnsi="Times New Roman" w:cs="Times New Roman"/>
                <w:b/>
                <w:bCs/>
                <w:color w:val="000000"/>
                <w:sz w:val="14"/>
                <w:szCs w:val="14"/>
                <w:highlight w:val="yellow"/>
              </w:rPr>
            </w:pPr>
            <w:r w:rsidRPr="00AD69C2">
              <w:rPr>
                <w:rFonts w:ascii="Times New Roman" w:hAnsi="Times New Roman" w:cs="Times New Roman"/>
                <w:b/>
                <w:bCs/>
                <w:color w:val="000000"/>
                <w:sz w:val="14"/>
                <w:szCs w:val="14"/>
              </w:rPr>
              <w:t xml:space="preserve">2016 S </w:t>
            </w:r>
          </w:p>
        </w:tc>
        <w:tc>
          <w:tcPr>
            <w:tcW w:w="568" w:type="pct"/>
            <w:shd w:val="clear" w:color="auto" w:fill="A6A6A6" w:themeFill="background1" w:themeFillShade="A6"/>
            <w:noWrap/>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2017 R</w:t>
            </w:r>
          </w:p>
        </w:tc>
        <w:tc>
          <w:tcPr>
            <w:tcW w:w="568" w:type="pct"/>
            <w:shd w:val="clear" w:color="auto" w:fill="A6A6A6" w:themeFill="background1" w:themeFillShade="A6"/>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568" w:type="pct"/>
            <w:shd w:val="clear" w:color="auto" w:fill="A6A6A6" w:themeFill="background1" w:themeFillShade="A6"/>
            <w:noWrap/>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2018 N</w:t>
            </w:r>
          </w:p>
        </w:tc>
        <w:tc>
          <w:tcPr>
            <w:tcW w:w="568" w:type="pct"/>
            <w:shd w:val="clear" w:color="auto" w:fill="A6A6A6" w:themeFill="background1" w:themeFillShade="A6"/>
            <w:noWrap/>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2019 N</w:t>
            </w:r>
          </w:p>
        </w:tc>
        <w:tc>
          <w:tcPr>
            <w:tcW w:w="567" w:type="pct"/>
            <w:shd w:val="clear" w:color="auto" w:fill="A6A6A6" w:themeFill="background1" w:themeFillShade="A6"/>
            <w:noWrap/>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2020 N</w:t>
            </w:r>
          </w:p>
        </w:tc>
      </w:tr>
      <w:tr w:rsidR="007D13F3" w:rsidRPr="00A870F8" w:rsidTr="00551C05">
        <w:trPr>
          <w:trHeight w:val="261"/>
        </w:trPr>
        <w:tc>
          <w:tcPr>
            <w:tcW w:w="1025" w:type="pct"/>
            <w:shd w:val="clear" w:color="auto" w:fill="auto"/>
            <w:vAlign w:val="bottom"/>
          </w:tcPr>
          <w:p w:rsidR="007D13F3" w:rsidRPr="00A870F8" w:rsidRDefault="007D13F3" w:rsidP="00465CAC">
            <w:pPr>
              <w:rPr>
                <w:rFonts w:ascii="Times New Roman" w:hAnsi="Times New Roman" w:cs="Times New Roman"/>
                <w:bCs/>
                <w:sz w:val="14"/>
                <w:szCs w:val="14"/>
              </w:rPr>
            </w:pPr>
            <w:r w:rsidRPr="00A870F8">
              <w:rPr>
                <w:rFonts w:ascii="Times New Roman" w:hAnsi="Times New Roman" w:cs="Times New Roman"/>
                <w:bCs/>
                <w:sz w:val="14"/>
                <w:szCs w:val="14"/>
              </w:rPr>
              <w:t>Archívnictvo</w:t>
            </w:r>
          </w:p>
        </w:tc>
        <w:tc>
          <w:tcPr>
            <w:tcW w:w="568" w:type="pct"/>
            <w:shd w:val="clear" w:color="auto" w:fill="auto"/>
            <w:noWrap/>
            <w:vAlign w:val="bottom"/>
          </w:tcPr>
          <w:p w:rsidR="007D13F3" w:rsidRPr="00A870F8" w:rsidRDefault="007D13F3" w:rsidP="00465CAC">
            <w:pPr>
              <w:jc w:val="right"/>
              <w:rPr>
                <w:rFonts w:ascii="Times New Roman" w:hAnsi="Times New Roman" w:cs="Times New Roman"/>
                <w:bCs/>
                <w:sz w:val="14"/>
                <w:szCs w:val="14"/>
                <w:highlight w:val="yellow"/>
              </w:rPr>
            </w:pPr>
            <w:r w:rsidRPr="00A870F8">
              <w:rPr>
                <w:rFonts w:ascii="Times New Roman" w:hAnsi="Times New Roman" w:cs="Times New Roman"/>
                <w:bCs/>
                <w:sz w:val="14"/>
                <w:szCs w:val="14"/>
              </w:rPr>
              <w:t>4 983 469</w:t>
            </w:r>
          </w:p>
        </w:tc>
        <w:tc>
          <w:tcPr>
            <w:tcW w:w="568" w:type="pct"/>
            <w:shd w:val="clear" w:color="auto" w:fill="auto"/>
            <w:noWrap/>
            <w:vAlign w:val="bottom"/>
          </w:tcPr>
          <w:p w:rsidR="007D13F3" w:rsidRPr="00A870F8" w:rsidRDefault="007D13F3" w:rsidP="00465CAC">
            <w:pPr>
              <w:jc w:val="right"/>
              <w:rPr>
                <w:rFonts w:ascii="Times New Roman" w:hAnsi="Times New Roman" w:cs="Times New Roman"/>
                <w:bCs/>
                <w:sz w:val="14"/>
                <w:szCs w:val="14"/>
                <w:highlight w:val="yellow"/>
              </w:rPr>
            </w:pPr>
            <w:r w:rsidRPr="00A870F8">
              <w:rPr>
                <w:rFonts w:ascii="Times New Roman" w:hAnsi="Times New Roman" w:cs="Times New Roman"/>
                <w:bCs/>
                <w:sz w:val="14"/>
                <w:szCs w:val="14"/>
              </w:rPr>
              <w:t>4 936 531</w:t>
            </w:r>
          </w:p>
        </w:tc>
        <w:tc>
          <w:tcPr>
            <w:tcW w:w="568" w:type="pct"/>
            <w:shd w:val="clear" w:color="auto" w:fill="auto"/>
            <w:noWrap/>
            <w:vAlign w:val="bottom"/>
          </w:tcPr>
          <w:p w:rsidR="007D13F3" w:rsidRPr="00A870F8" w:rsidRDefault="007D13F3" w:rsidP="00465CAC">
            <w:pPr>
              <w:jc w:val="right"/>
              <w:rPr>
                <w:rFonts w:ascii="Times New Roman" w:hAnsi="Times New Roman" w:cs="Times New Roman"/>
                <w:sz w:val="14"/>
                <w:szCs w:val="14"/>
                <w:highlight w:val="yellow"/>
              </w:rPr>
            </w:pPr>
            <w:r w:rsidRPr="00A870F8">
              <w:rPr>
                <w:rFonts w:ascii="Times New Roman" w:hAnsi="Times New Roman" w:cs="Times New Roman"/>
                <w:sz w:val="14"/>
                <w:szCs w:val="14"/>
              </w:rPr>
              <w:t>4 651 230</w:t>
            </w:r>
          </w:p>
        </w:tc>
        <w:tc>
          <w:tcPr>
            <w:tcW w:w="568" w:type="pct"/>
            <w:shd w:val="clear" w:color="auto" w:fill="auto"/>
            <w:vAlign w:val="bottom"/>
          </w:tcPr>
          <w:p w:rsidR="007D13F3" w:rsidRPr="00A870F8" w:rsidRDefault="007D13F3" w:rsidP="00465CAC">
            <w:pPr>
              <w:autoSpaceDE w:val="0"/>
              <w:autoSpaceDN w:val="0"/>
              <w:adjustRightInd w:val="0"/>
              <w:jc w:val="right"/>
              <w:rPr>
                <w:rFonts w:ascii="Times New Roman" w:hAnsi="Times New Roman" w:cs="Times New Roman"/>
                <w:sz w:val="14"/>
                <w:szCs w:val="14"/>
                <w:highlight w:val="yellow"/>
              </w:rPr>
            </w:pPr>
            <w:r w:rsidRPr="00A870F8">
              <w:rPr>
                <w:rFonts w:ascii="Times New Roman" w:hAnsi="Times New Roman" w:cs="Times New Roman"/>
                <w:sz w:val="14"/>
                <w:szCs w:val="14"/>
              </w:rPr>
              <w:t>5 359 971</w:t>
            </w:r>
          </w:p>
        </w:tc>
        <w:tc>
          <w:tcPr>
            <w:tcW w:w="568" w:type="pct"/>
            <w:shd w:val="clear" w:color="auto" w:fill="auto"/>
            <w:noWrap/>
            <w:vAlign w:val="bottom"/>
          </w:tcPr>
          <w:p w:rsidR="007D13F3" w:rsidRPr="00A870F8" w:rsidRDefault="007D13F3" w:rsidP="00465CAC">
            <w:pPr>
              <w:autoSpaceDE w:val="0"/>
              <w:autoSpaceDN w:val="0"/>
              <w:adjustRightInd w:val="0"/>
              <w:jc w:val="right"/>
              <w:rPr>
                <w:rFonts w:ascii="Times New Roman" w:hAnsi="Times New Roman" w:cs="Times New Roman"/>
                <w:sz w:val="14"/>
                <w:szCs w:val="14"/>
                <w:highlight w:val="yellow"/>
              </w:rPr>
            </w:pPr>
            <w:r w:rsidRPr="00A870F8">
              <w:rPr>
                <w:rFonts w:ascii="Times New Roman" w:hAnsi="Times New Roman" w:cs="Times New Roman"/>
                <w:sz w:val="14"/>
                <w:szCs w:val="14"/>
              </w:rPr>
              <w:t>4 826 633</w:t>
            </w:r>
          </w:p>
        </w:tc>
        <w:tc>
          <w:tcPr>
            <w:tcW w:w="568" w:type="pct"/>
            <w:shd w:val="clear" w:color="auto" w:fill="auto"/>
            <w:noWrap/>
            <w:vAlign w:val="bottom"/>
          </w:tcPr>
          <w:p w:rsidR="007D13F3" w:rsidRPr="00A870F8" w:rsidRDefault="007D13F3" w:rsidP="00465CAC">
            <w:pPr>
              <w:autoSpaceDE w:val="0"/>
              <w:autoSpaceDN w:val="0"/>
              <w:adjustRightInd w:val="0"/>
              <w:jc w:val="right"/>
              <w:rPr>
                <w:rFonts w:ascii="Times New Roman" w:hAnsi="Times New Roman" w:cs="Times New Roman"/>
                <w:sz w:val="14"/>
                <w:szCs w:val="14"/>
                <w:highlight w:val="yellow"/>
              </w:rPr>
            </w:pPr>
            <w:r w:rsidRPr="00A870F8">
              <w:rPr>
                <w:rFonts w:ascii="Times New Roman" w:hAnsi="Times New Roman" w:cs="Times New Roman"/>
                <w:sz w:val="14"/>
                <w:szCs w:val="14"/>
              </w:rPr>
              <w:t>4 826 633</w:t>
            </w:r>
          </w:p>
        </w:tc>
        <w:tc>
          <w:tcPr>
            <w:tcW w:w="567" w:type="pct"/>
            <w:shd w:val="clear" w:color="auto" w:fill="auto"/>
            <w:noWrap/>
            <w:vAlign w:val="bottom"/>
          </w:tcPr>
          <w:p w:rsidR="007D13F3" w:rsidRPr="00A870F8" w:rsidRDefault="007D13F3" w:rsidP="00465CAC">
            <w:pPr>
              <w:autoSpaceDE w:val="0"/>
              <w:autoSpaceDN w:val="0"/>
              <w:adjustRightInd w:val="0"/>
              <w:jc w:val="right"/>
              <w:rPr>
                <w:rFonts w:ascii="Times New Roman" w:hAnsi="Times New Roman" w:cs="Times New Roman"/>
                <w:sz w:val="14"/>
                <w:szCs w:val="14"/>
                <w:highlight w:val="yellow"/>
              </w:rPr>
            </w:pPr>
            <w:r w:rsidRPr="00A870F8">
              <w:rPr>
                <w:rFonts w:ascii="Times New Roman" w:hAnsi="Times New Roman" w:cs="Times New Roman"/>
                <w:sz w:val="14"/>
                <w:szCs w:val="14"/>
              </w:rPr>
              <w:t>4 826 633</w:t>
            </w:r>
          </w:p>
        </w:tc>
      </w:tr>
    </w:tbl>
    <w:p w:rsidR="007D13F3" w:rsidRPr="00077F89" w:rsidRDefault="007D13F3" w:rsidP="007D13F3">
      <w:pPr>
        <w:jc w:val="both"/>
        <w:rPr>
          <w:rFonts w:ascii="Times New Roman" w:hAnsi="Times New Roman" w:cs="Times New Roman"/>
          <w:sz w:val="14"/>
          <w:szCs w:val="14"/>
        </w:rPr>
      </w:pPr>
    </w:p>
    <w:p w:rsidR="007D13F3" w:rsidRDefault="007D13F3" w:rsidP="007D13F3">
      <w:pPr>
        <w:ind w:firstLine="708"/>
        <w:jc w:val="both"/>
        <w:rPr>
          <w:rFonts w:ascii="Times New Roman" w:hAnsi="Times New Roman" w:cs="Times New Roman"/>
        </w:rPr>
      </w:pPr>
      <w:r>
        <w:rPr>
          <w:rFonts w:ascii="Times New Roman" w:hAnsi="Times New Roman" w:cs="Times New Roman"/>
        </w:rPr>
        <w:t>N</w:t>
      </w:r>
      <w:r w:rsidRPr="00AD69C2">
        <w:rPr>
          <w:rFonts w:ascii="Times New Roman" w:hAnsi="Times New Roman" w:cs="Times New Roman"/>
        </w:rPr>
        <w:t xml:space="preserve">a </w:t>
      </w:r>
      <w:r>
        <w:rPr>
          <w:rFonts w:ascii="Times New Roman" w:hAnsi="Times New Roman" w:cs="Times New Roman"/>
        </w:rPr>
        <w:t>a</w:t>
      </w:r>
      <w:r w:rsidRPr="00AD69C2">
        <w:rPr>
          <w:rFonts w:ascii="Times New Roman" w:hAnsi="Times New Roman" w:cs="Times New Roman"/>
        </w:rPr>
        <w:t>rchívy sa rozpočtujú výdavky v sume 4,82 mil. eur, čo je na úrovni roka 2017.</w:t>
      </w:r>
    </w:p>
    <w:p w:rsidR="007D13F3" w:rsidRDefault="007D13F3" w:rsidP="007D13F3">
      <w:pPr>
        <w:ind w:firstLine="708"/>
        <w:jc w:val="both"/>
        <w:rPr>
          <w:rFonts w:ascii="Times New Roman" w:hAnsi="Times New Roman" w:cs="Times New Roman"/>
        </w:rPr>
      </w:pPr>
    </w:p>
    <w:p w:rsidR="00A870F8" w:rsidRDefault="007D13F3" w:rsidP="007D13F3">
      <w:pPr>
        <w:jc w:val="both"/>
        <w:rPr>
          <w:rFonts w:ascii="Times New Roman" w:hAnsi="Times New Roman" w:cs="Times New Roman"/>
          <w:b/>
          <w:sz w:val="22"/>
          <w:szCs w:val="22"/>
        </w:rPr>
      </w:pPr>
      <w:r w:rsidRPr="00693FCE">
        <w:rPr>
          <w:rFonts w:ascii="Times New Roman" w:hAnsi="Times New Roman" w:cs="Times New Roman"/>
          <w:b/>
        </w:rPr>
        <w:t>Azylová politika</w:t>
      </w:r>
      <w:r w:rsidRPr="00077F89">
        <w:rPr>
          <w:rFonts w:ascii="Times New Roman" w:hAnsi="Times New Roman" w:cs="Times New Roman"/>
          <w:b/>
          <w:sz w:val="22"/>
          <w:szCs w:val="22"/>
        </w:rPr>
        <w:tab/>
      </w:r>
    </w:p>
    <w:p w:rsidR="007D13F3" w:rsidRPr="00077F89" w:rsidRDefault="007D13F3" w:rsidP="007D13F3">
      <w:pPr>
        <w:jc w:val="both"/>
        <w:rPr>
          <w:rFonts w:ascii="Times New Roman" w:hAnsi="Times New Roman" w:cs="Times New Roman"/>
          <w:b/>
          <w:sz w:val="22"/>
          <w:szCs w:val="22"/>
        </w:rPr>
      </w:pP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r>
      <w:r w:rsidRPr="00077F89">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7D13F3" w:rsidRPr="00077F89" w:rsidTr="00A870F8">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7D13F3" w:rsidRPr="00077F89" w:rsidRDefault="00551C05" w:rsidP="00465CAC">
            <w:pPr>
              <w:rPr>
                <w:rFonts w:ascii="Times New Roman" w:hAnsi="Times New Roman" w:cs="Times New Roman"/>
                <w:b/>
                <w:sz w:val="14"/>
                <w:szCs w:val="14"/>
              </w:rPr>
            </w:pPr>
            <w:r>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2015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AD69C2" w:rsidRDefault="007D13F3" w:rsidP="00465CAC">
            <w:pPr>
              <w:jc w:val="center"/>
              <w:rPr>
                <w:rFonts w:ascii="Times New Roman" w:hAnsi="Times New Roman" w:cs="Times New Roman"/>
                <w:b/>
                <w:bCs/>
                <w:color w:val="000000"/>
                <w:sz w:val="14"/>
                <w:szCs w:val="14"/>
                <w:highlight w:val="yellow"/>
              </w:rPr>
            </w:pPr>
            <w:r w:rsidRPr="00AD69C2">
              <w:rPr>
                <w:rFonts w:ascii="Times New Roman" w:hAnsi="Times New Roman" w:cs="Times New Roman"/>
                <w:b/>
                <w:bCs/>
                <w:color w:val="000000"/>
                <w:sz w:val="14"/>
                <w:szCs w:val="14"/>
              </w:rPr>
              <w:t xml:space="preserve">2016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2017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2018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2019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2020 N</w:t>
            </w:r>
          </w:p>
        </w:tc>
      </w:tr>
      <w:tr w:rsidR="007D13F3" w:rsidRPr="001C15BC" w:rsidTr="00A870F8">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7D13F3" w:rsidRPr="001C15BC" w:rsidRDefault="007D13F3" w:rsidP="00465CAC">
            <w:pPr>
              <w:rPr>
                <w:rFonts w:ascii="Times New Roman" w:hAnsi="Times New Roman" w:cs="Times New Roman"/>
                <w:bCs/>
                <w:sz w:val="14"/>
                <w:szCs w:val="14"/>
              </w:rPr>
            </w:pPr>
            <w:r w:rsidRPr="001C15BC">
              <w:rPr>
                <w:rFonts w:ascii="Times New Roman" w:hAnsi="Times New Roman" w:cs="Times New Roman"/>
                <w:bCs/>
                <w:sz w:val="14"/>
                <w:szCs w:val="14"/>
              </w:rPr>
              <w:t>Azylová politika</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7D13F3" w:rsidRPr="001C15BC" w:rsidRDefault="007D13F3" w:rsidP="00465CAC">
            <w:pPr>
              <w:jc w:val="right"/>
              <w:rPr>
                <w:rFonts w:ascii="Times New Roman" w:hAnsi="Times New Roman" w:cs="Times New Roman"/>
                <w:bCs/>
                <w:sz w:val="14"/>
                <w:szCs w:val="14"/>
                <w:highlight w:val="yellow"/>
              </w:rPr>
            </w:pPr>
            <w:r w:rsidRPr="001C15BC">
              <w:rPr>
                <w:rFonts w:ascii="Times New Roman" w:hAnsi="Times New Roman" w:cs="Times New Roman"/>
                <w:bCs/>
                <w:sz w:val="14"/>
                <w:szCs w:val="14"/>
              </w:rPr>
              <w:t>2 717 143</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7D13F3" w:rsidRPr="001C15BC" w:rsidRDefault="007D13F3" w:rsidP="00465CAC">
            <w:pPr>
              <w:jc w:val="right"/>
              <w:rPr>
                <w:rFonts w:ascii="Times New Roman" w:hAnsi="Times New Roman" w:cs="Times New Roman"/>
                <w:bCs/>
                <w:sz w:val="14"/>
                <w:szCs w:val="14"/>
                <w:highlight w:val="yellow"/>
              </w:rPr>
            </w:pPr>
            <w:r w:rsidRPr="001C15BC">
              <w:rPr>
                <w:rFonts w:ascii="Times New Roman" w:hAnsi="Times New Roman" w:cs="Times New Roman"/>
                <w:bCs/>
                <w:sz w:val="14"/>
                <w:szCs w:val="14"/>
              </w:rPr>
              <w:t>2 692 759</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7D13F3" w:rsidRPr="001C15BC" w:rsidRDefault="007D13F3" w:rsidP="00465CAC">
            <w:pPr>
              <w:jc w:val="right"/>
              <w:rPr>
                <w:rFonts w:ascii="Times New Roman" w:hAnsi="Times New Roman" w:cs="Times New Roman"/>
                <w:sz w:val="14"/>
                <w:szCs w:val="14"/>
                <w:highlight w:val="yellow"/>
              </w:rPr>
            </w:pPr>
            <w:r w:rsidRPr="001C15BC">
              <w:rPr>
                <w:rFonts w:ascii="Times New Roman" w:hAnsi="Times New Roman" w:cs="Times New Roman"/>
                <w:sz w:val="14"/>
                <w:szCs w:val="14"/>
              </w:rPr>
              <w:t>2 037 100</w:t>
            </w:r>
          </w:p>
        </w:tc>
        <w:tc>
          <w:tcPr>
            <w:tcW w:w="568" w:type="pct"/>
            <w:tcBorders>
              <w:top w:val="single" w:sz="4" w:space="0" w:color="auto"/>
              <w:left w:val="nil"/>
              <w:bottom w:val="single" w:sz="4" w:space="0" w:color="auto"/>
              <w:right w:val="single" w:sz="4" w:space="0" w:color="auto"/>
            </w:tcBorders>
            <w:shd w:val="clear" w:color="auto" w:fill="auto"/>
            <w:vAlign w:val="bottom"/>
          </w:tcPr>
          <w:p w:rsidR="007D13F3" w:rsidRPr="001C15BC" w:rsidRDefault="007D13F3" w:rsidP="00465CAC">
            <w:pPr>
              <w:autoSpaceDE w:val="0"/>
              <w:autoSpaceDN w:val="0"/>
              <w:adjustRightInd w:val="0"/>
              <w:jc w:val="right"/>
              <w:rPr>
                <w:rFonts w:ascii="Times New Roman" w:hAnsi="Times New Roman" w:cs="Times New Roman"/>
                <w:sz w:val="14"/>
                <w:szCs w:val="14"/>
                <w:highlight w:val="yellow"/>
              </w:rPr>
            </w:pPr>
            <w:r w:rsidRPr="001C15BC">
              <w:rPr>
                <w:rFonts w:ascii="Times New Roman" w:hAnsi="Times New Roman" w:cs="Times New Roman"/>
                <w:sz w:val="14"/>
                <w:szCs w:val="14"/>
              </w:rPr>
              <w:t>2 136 837</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1C15BC" w:rsidRDefault="007D13F3" w:rsidP="00465CAC">
            <w:pPr>
              <w:autoSpaceDE w:val="0"/>
              <w:autoSpaceDN w:val="0"/>
              <w:adjustRightInd w:val="0"/>
              <w:jc w:val="right"/>
              <w:rPr>
                <w:rFonts w:ascii="Times New Roman" w:hAnsi="Times New Roman" w:cs="Times New Roman"/>
                <w:sz w:val="14"/>
                <w:szCs w:val="14"/>
                <w:highlight w:val="yellow"/>
              </w:rPr>
            </w:pPr>
            <w:r w:rsidRPr="001C15BC">
              <w:rPr>
                <w:rFonts w:ascii="Times New Roman" w:hAnsi="Times New Roman" w:cs="Times New Roman"/>
                <w:sz w:val="14"/>
                <w:szCs w:val="14"/>
              </w:rPr>
              <w:t>2 161 427</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7D13F3" w:rsidRPr="001C15BC" w:rsidRDefault="007D13F3" w:rsidP="00465CAC">
            <w:pPr>
              <w:autoSpaceDE w:val="0"/>
              <w:autoSpaceDN w:val="0"/>
              <w:adjustRightInd w:val="0"/>
              <w:jc w:val="right"/>
              <w:rPr>
                <w:rFonts w:ascii="Times New Roman" w:hAnsi="Times New Roman" w:cs="Times New Roman"/>
                <w:sz w:val="14"/>
                <w:szCs w:val="14"/>
                <w:highlight w:val="yellow"/>
              </w:rPr>
            </w:pPr>
            <w:r w:rsidRPr="001C15BC">
              <w:rPr>
                <w:rFonts w:ascii="Times New Roman" w:hAnsi="Times New Roman" w:cs="Times New Roman"/>
                <w:sz w:val="14"/>
                <w:szCs w:val="14"/>
              </w:rPr>
              <w:t>2 161 427</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7D13F3" w:rsidRPr="001C15BC" w:rsidRDefault="007D13F3" w:rsidP="00465CAC">
            <w:pPr>
              <w:autoSpaceDE w:val="0"/>
              <w:autoSpaceDN w:val="0"/>
              <w:adjustRightInd w:val="0"/>
              <w:jc w:val="right"/>
              <w:rPr>
                <w:rFonts w:ascii="Times New Roman" w:hAnsi="Times New Roman" w:cs="Times New Roman"/>
                <w:sz w:val="14"/>
                <w:szCs w:val="14"/>
                <w:highlight w:val="yellow"/>
              </w:rPr>
            </w:pPr>
            <w:r w:rsidRPr="001C15BC">
              <w:rPr>
                <w:rFonts w:ascii="Times New Roman" w:hAnsi="Times New Roman" w:cs="Times New Roman"/>
                <w:sz w:val="14"/>
                <w:szCs w:val="14"/>
              </w:rPr>
              <w:t>2 161 427</w:t>
            </w:r>
          </w:p>
        </w:tc>
      </w:tr>
    </w:tbl>
    <w:p w:rsidR="007D13F3" w:rsidRPr="00A3218E" w:rsidRDefault="007D13F3" w:rsidP="007D13F3">
      <w:pPr>
        <w:jc w:val="both"/>
        <w:rPr>
          <w:rFonts w:ascii="Times New Roman" w:hAnsi="Times New Roman" w:cs="Times New Roman"/>
          <w:sz w:val="22"/>
          <w:szCs w:val="22"/>
          <w:highlight w:val="yellow"/>
        </w:rPr>
      </w:pPr>
    </w:p>
    <w:p w:rsidR="007D13F3" w:rsidRDefault="007D13F3" w:rsidP="007D13F3">
      <w:pPr>
        <w:ind w:firstLine="708"/>
        <w:jc w:val="both"/>
        <w:rPr>
          <w:rFonts w:ascii="Times New Roman" w:hAnsi="Times New Roman" w:cs="Times New Roman"/>
        </w:rPr>
      </w:pPr>
      <w:r w:rsidRPr="00AD69C2">
        <w:rPr>
          <w:rFonts w:ascii="Times New Roman" w:hAnsi="Times New Roman" w:cs="Times New Roman"/>
        </w:rPr>
        <w:t xml:space="preserve">Na </w:t>
      </w:r>
      <w:r w:rsidR="006527C0">
        <w:rPr>
          <w:rFonts w:ascii="Times New Roman" w:hAnsi="Times New Roman" w:cs="Times New Roman"/>
        </w:rPr>
        <w:t>a</w:t>
      </w:r>
      <w:r w:rsidRPr="00AD69C2">
        <w:rPr>
          <w:rFonts w:ascii="Times New Roman" w:hAnsi="Times New Roman" w:cs="Times New Roman"/>
        </w:rPr>
        <w:t>zylovú politiku sa rozpočtujú výdavky v sume 2,16 mil. eur, čo je na úrovni roka 2017.</w:t>
      </w:r>
    </w:p>
    <w:p w:rsidR="00A870F8" w:rsidRDefault="00A870F8" w:rsidP="007D13F3">
      <w:pPr>
        <w:ind w:firstLine="708"/>
        <w:jc w:val="both"/>
        <w:rPr>
          <w:rFonts w:ascii="Times New Roman" w:hAnsi="Times New Roman" w:cs="Times New Roman"/>
          <w:b/>
        </w:rPr>
      </w:pPr>
    </w:p>
    <w:p w:rsidR="00A870F8" w:rsidRDefault="007D13F3" w:rsidP="007D13F3">
      <w:pPr>
        <w:jc w:val="both"/>
        <w:rPr>
          <w:rFonts w:ascii="Times New Roman" w:hAnsi="Times New Roman" w:cs="Times New Roman"/>
          <w:b/>
          <w:sz w:val="22"/>
          <w:szCs w:val="22"/>
        </w:rPr>
      </w:pPr>
      <w:r w:rsidRPr="00693FCE">
        <w:rPr>
          <w:rFonts w:ascii="Times New Roman" w:hAnsi="Times New Roman" w:cs="Times New Roman"/>
          <w:b/>
        </w:rPr>
        <w:t>Centrálna podpora</w:t>
      </w:r>
      <w:r w:rsidRPr="00A3218E">
        <w:rPr>
          <w:rFonts w:ascii="Times New Roman" w:hAnsi="Times New Roman" w:cs="Times New Roman"/>
          <w:b/>
          <w:sz w:val="22"/>
          <w:szCs w:val="22"/>
        </w:rPr>
        <w:tab/>
      </w:r>
    </w:p>
    <w:p w:rsidR="007D13F3" w:rsidRPr="00A3218E" w:rsidRDefault="007D13F3" w:rsidP="007D13F3">
      <w:pPr>
        <w:jc w:val="both"/>
        <w:rPr>
          <w:rFonts w:ascii="Times New Roman" w:hAnsi="Times New Roman" w:cs="Times New Roman"/>
          <w:b/>
          <w:sz w:val="22"/>
          <w:szCs w:val="22"/>
          <w:highlight w:val="yellow"/>
        </w:rPr>
      </w:pP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t xml:space="preserve">     </w:t>
      </w:r>
      <w:r w:rsidRPr="00A3218E">
        <w:rPr>
          <w:rFonts w:ascii="Times New Roman" w:hAnsi="Times New Roman" w:cs="Times New Roman"/>
          <w:b/>
          <w:sz w:val="22"/>
          <w:szCs w:val="22"/>
          <w:highlight w:val="yellow"/>
        </w:rPr>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7D13F3" w:rsidRPr="00A3218E" w:rsidTr="00A870F8">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7D13F3" w:rsidRPr="00A3218E" w:rsidRDefault="00551C05" w:rsidP="00465CAC">
            <w:pPr>
              <w:rPr>
                <w:rFonts w:ascii="Times New Roman" w:hAnsi="Times New Roman" w:cs="Times New Roman"/>
                <w:b/>
                <w:sz w:val="14"/>
                <w:szCs w:val="14"/>
              </w:rPr>
            </w:pPr>
            <w:r>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2015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AD69C2" w:rsidRDefault="007D13F3" w:rsidP="00465CAC">
            <w:pPr>
              <w:jc w:val="center"/>
              <w:rPr>
                <w:rFonts w:ascii="Times New Roman" w:hAnsi="Times New Roman" w:cs="Times New Roman"/>
                <w:b/>
                <w:bCs/>
                <w:color w:val="000000"/>
                <w:sz w:val="14"/>
                <w:szCs w:val="14"/>
                <w:highlight w:val="yellow"/>
              </w:rPr>
            </w:pPr>
            <w:r w:rsidRPr="00AD69C2">
              <w:rPr>
                <w:rFonts w:ascii="Times New Roman" w:hAnsi="Times New Roman" w:cs="Times New Roman"/>
                <w:b/>
                <w:bCs/>
                <w:color w:val="000000"/>
                <w:sz w:val="14"/>
                <w:szCs w:val="14"/>
              </w:rPr>
              <w:t xml:space="preserve">2016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2017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2018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2019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AD69C2" w:rsidRDefault="007D13F3" w:rsidP="00465CAC">
            <w:pPr>
              <w:jc w:val="center"/>
              <w:rPr>
                <w:rFonts w:ascii="Times New Roman" w:hAnsi="Times New Roman" w:cs="Times New Roman"/>
                <w:b/>
                <w:bCs/>
                <w:color w:val="000000"/>
                <w:sz w:val="14"/>
                <w:szCs w:val="14"/>
              </w:rPr>
            </w:pPr>
            <w:r w:rsidRPr="00AD69C2">
              <w:rPr>
                <w:rFonts w:ascii="Times New Roman" w:hAnsi="Times New Roman" w:cs="Times New Roman"/>
                <w:b/>
                <w:bCs/>
                <w:color w:val="000000"/>
                <w:sz w:val="14"/>
                <w:szCs w:val="14"/>
              </w:rPr>
              <w:t>2020 N</w:t>
            </w:r>
          </w:p>
        </w:tc>
      </w:tr>
      <w:tr w:rsidR="007D13F3" w:rsidRPr="00A3218E" w:rsidTr="00A870F8">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D13F3" w:rsidRPr="00A3218E" w:rsidRDefault="007D13F3" w:rsidP="00465CAC">
            <w:pPr>
              <w:rPr>
                <w:rFonts w:ascii="Times New Roman" w:hAnsi="Times New Roman" w:cs="Times New Roman"/>
                <w:b/>
                <w:bCs/>
                <w:sz w:val="14"/>
                <w:szCs w:val="14"/>
              </w:rPr>
            </w:pPr>
            <w:r w:rsidRPr="00A3218E">
              <w:rPr>
                <w:rFonts w:ascii="Times New Roman" w:hAnsi="Times New Roman" w:cs="Times New Roman"/>
                <w:b/>
                <w:bCs/>
                <w:sz w:val="14"/>
                <w:szCs w:val="14"/>
              </w:rPr>
              <w:t>Centrálna podpora</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2D24E6" w:rsidRDefault="007D13F3" w:rsidP="00465CAC">
            <w:pPr>
              <w:jc w:val="right"/>
              <w:rPr>
                <w:rFonts w:ascii="Times New Roman" w:hAnsi="Times New Roman" w:cs="Times New Roman"/>
                <w:b/>
                <w:bCs/>
                <w:sz w:val="14"/>
                <w:szCs w:val="14"/>
                <w:highlight w:val="yellow"/>
              </w:rPr>
            </w:pPr>
            <w:r>
              <w:rPr>
                <w:rFonts w:ascii="Times New Roman" w:hAnsi="Times New Roman" w:cs="Times New Roman"/>
                <w:b/>
                <w:bCs/>
                <w:sz w:val="14"/>
                <w:szCs w:val="14"/>
              </w:rPr>
              <w:t>194 656 686</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2D24E6" w:rsidRDefault="007D13F3" w:rsidP="00465CAC">
            <w:pPr>
              <w:jc w:val="right"/>
              <w:rPr>
                <w:rFonts w:ascii="Times New Roman" w:hAnsi="Times New Roman" w:cs="Times New Roman"/>
                <w:b/>
                <w:bCs/>
                <w:sz w:val="14"/>
                <w:szCs w:val="14"/>
                <w:highlight w:val="yellow"/>
              </w:rPr>
            </w:pPr>
            <w:r w:rsidRPr="00B3130A">
              <w:rPr>
                <w:rFonts w:ascii="Times New Roman" w:hAnsi="Times New Roman" w:cs="Times New Roman"/>
                <w:b/>
                <w:bCs/>
                <w:sz w:val="14"/>
                <w:szCs w:val="14"/>
              </w:rPr>
              <w:t>167 689 177</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603E46" w:rsidRDefault="007D13F3" w:rsidP="00465CAC">
            <w:pPr>
              <w:jc w:val="right"/>
              <w:rPr>
                <w:rFonts w:ascii="Times New Roman" w:hAnsi="Times New Roman" w:cs="Times New Roman"/>
                <w:b/>
                <w:sz w:val="14"/>
                <w:szCs w:val="14"/>
                <w:highlight w:val="yellow"/>
              </w:rPr>
            </w:pPr>
            <w:r w:rsidRPr="00603E46">
              <w:rPr>
                <w:rFonts w:ascii="Times New Roman" w:hAnsi="Times New Roman" w:cs="Times New Roman"/>
                <w:b/>
                <w:sz w:val="14"/>
                <w:szCs w:val="14"/>
              </w:rPr>
              <w:t>199 522 478</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7D13F3" w:rsidRPr="00603E46" w:rsidRDefault="007D13F3" w:rsidP="00465CAC">
            <w:pPr>
              <w:autoSpaceDE w:val="0"/>
              <w:autoSpaceDN w:val="0"/>
              <w:adjustRightInd w:val="0"/>
              <w:jc w:val="right"/>
              <w:rPr>
                <w:rFonts w:ascii="Times New Roman" w:hAnsi="Times New Roman" w:cs="Times New Roman"/>
                <w:b/>
                <w:sz w:val="14"/>
                <w:szCs w:val="14"/>
                <w:highlight w:val="yellow"/>
              </w:rPr>
            </w:pPr>
            <w:r w:rsidRPr="00AC5B6C">
              <w:rPr>
                <w:rFonts w:ascii="Times New Roman" w:hAnsi="Times New Roman" w:cs="Times New Roman"/>
                <w:b/>
                <w:sz w:val="14"/>
                <w:szCs w:val="14"/>
              </w:rPr>
              <w:t>221</w:t>
            </w:r>
            <w:r>
              <w:rPr>
                <w:rFonts w:ascii="Times New Roman" w:hAnsi="Times New Roman" w:cs="Times New Roman"/>
                <w:b/>
                <w:sz w:val="14"/>
                <w:szCs w:val="14"/>
              </w:rPr>
              <w:t xml:space="preserve"> 743 715</w:t>
            </w:r>
          </w:p>
        </w:tc>
        <w:tc>
          <w:tcPr>
            <w:tcW w:w="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D13F3" w:rsidRPr="00603E46" w:rsidRDefault="007D13F3" w:rsidP="00465CAC">
            <w:pPr>
              <w:autoSpaceDE w:val="0"/>
              <w:autoSpaceDN w:val="0"/>
              <w:adjustRightInd w:val="0"/>
              <w:jc w:val="right"/>
              <w:rPr>
                <w:rFonts w:ascii="Times New Roman" w:hAnsi="Times New Roman" w:cs="Times New Roman"/>
                <w:b/>
                <w:sz w:val="14"/>
                <w:szCs w:val="14"/>
                <w:highlight w:val="yellow"/>
              </w:rPr>
            </w:pPr>
            <w:r w:rsidRPr="00770935">
              <w:rPr>
                <w:rFonts w:ascii="Times New Roman" w:hAnsi="Times New Roman" w:cs="Times New Roman"/>
                <w:b/>
                <w:sz w:val="14"/>
                <w:szCs w:val="14"/>
              </w:rPr>
              <w:t>165 994 924</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603E46" w:rsidRDefault="007D13F3" w:rsidP="00465CAC">
            <w:pPr>
              <w:autoSpaceDE w:val="0"/>
              <w:autoSpaceDN w:val="0"/>
              <w:adjustRightInd w:val="0"/>
              <w:jc w:val="right"/>
              <w:rPr>
                <w:rFonts w:ascii="Times New Roman" w:hAnsi="Times New Roman" w:cs="Times New Roman"/>
                <w:b/>
                <w:sz w:val="14"/>
                <w:szCs w:val="14"/>
                <w:highlight w:val="yellow"/>
              </w:rPr>
            </w:pPr>
            <w:r w:rsidRPr="00770935">
              <w:rPr>
                <w:rFonts w:ascii="Times New Roman" w:hAnsi="Times New Roman" w:cs="Times New Roman"/>
                <w:b/>
                <w:sz w:val="14"/>
                <w:szCs w:val="14"/>
              </w:rPr>
              <w:t>165 994 924</w:t>
            </w:r>
          </w:p>
        </w:tc>
        <w:tc>
          <w:tcPr>
            <w:tcW w:w="56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603E46" w:rsidRDefault="007D13F3" w:rsidP="00465CAC">
            <w:pPr>
              <w:autoSpaceDE w:val="0"/>
              <w:autoSpaceDN w:val="0"/>
              <w:adjustRightInd w:val="0"/>
              <w:jc w:val="right"/>
              <w:rPr>
                <w:rFonts w:ascii="Times New Roman" w:hAnsi="Times New Roman" w:cs="Times New Roman"/>
                <w:b/>
                <w:sz w:val="14"/>
                <w:szCs w:val="14"/>
                <w:highlight w:val="yellow"/>
              </w:rPr>
            </w:pPr>
            <w:r w:rsidRPr="00770935">
              <w:rPr>
                <w:rFonts w:ascii="Times New Roman" w:hAnsi="Times New Roman" w:cs="Times New Roman"/>
                <w:b/>
                <w:sz w:val="14"/>
                <w:szCs w:val="14"/>
              </w:rPr>
              <w:t>165 994 924</w:t>
            </w:r>
          </w:p>
        </w:tc>
      </w:tr>
      <w:tr w:rsidR="007D13F3" w:rsidRPr="00A3218E" w:rsidTr="00465CAC">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Centrálna podpora</w:t>
            </w:r>
          </w:p>
        </w:tc>
        <w:tc>
          <w:tcPr>
            <w:tcW w:w="568" w:type="pct"/>
            <w:tcBorders>
              <w:top w:val="nil"/>
              <w:left w:val="nil"/>
              <w:bottom w:val="single" w:sz="4" w:space="0" w:color="auto"/>
              <w:right w:val="single" w:sz="4" w:space="0" w:color="auto"/>
            </w:tcBorders>
            <w:shd w:val="clear" w:color="000000" w:fill="FFFFFF"/>
            <w:noWrap/>
            <w:vAlign w:val="bottom"/>
          </w:tcPr>
          <w:p w:rsidR="007D13F3" w:rsidRPr="007605F0" w:rsidRDefault="007D13F3" w:rsidP="00465CAC">
            <w:pPr>
              <w:jc w:val="right"/>
              <w:rPr>
                <w:rFonts w:ascii="Times New Roman" w:hAnsi="Times New Roman" w:cs="Times New Roman"/>
                <w:sz w:val="14"/>
                <w:szCs w:val="14"/>
                <w:highlight w:val="yellow"/>
              </w:rPr>
            </w:pPr>
            <w:r w:rsidRPr="007605F0">
              <w:rPr>
                <w:rFonts w:ascii="Times New Roman" w:hAnsi="Times New Roman" w:cs="Times New Roman"/>
                <w:sz w:val="14"/>
                <w:szCs w:val="14"/>
              </w:rPr>
              <w:t>167 798 941</w:t>
            </w:r>
          </w:p>
        </w:tc>
        <w:tc>
          <w:tcPr>
            <w:tcW w:w="568" w:type="pct"/>
            <w:tcBorders>
              <w:top w:val="nil"/>
              <w:left w:val="nil"/>
              <w:bottom w:val="single" w:sz="4" w:space="0" w:color="auto"/>
              <w:right w:val="single" w:sz="4" w:space="0" w:color="auto"/>
            </w:tcBorders>
            <w:shd w:val="clear" w:color="000000" w:fill="FFFFFF"/>
            <w:noWrap/>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134 052 365</w:t>
            </w:r>
          </w:p>
        </w:tc>
        <w:tc>
          <w:tcPr>
            <w:tcW w:w="568" w:type="pct"/>
            <w:tcBorders>
              <w:top w:val="nil"/>
              <w:left w:val="nil"/>
              <w:bottom w:val="single" w:sz="4" w:space="0" w:color="auto"/>
              <w:right w:val="single" w:sz="4" w:space="0" w:color="auto"/>
            </w:tcBorders>
            <w:shd w:val="clear" w:color="000000" w:fill="FFFFFF"/>
            <w:vAlign w:val="bottom"/>
          </w:tcPr>
          <w:p w:rsidR="007D13F3" w:rsidRPr="00603E46" w:rsidRDefault="007D13F3" w:rsidP="00465CAC">
            <w:pPr>
              <w:jc w:val="right"/>
              <w:rPr>
                <w:rFonts w:ascii="Times New Roman" w:hAnsi="Times New Roman" w:cs="Times New Roman"/>
                <w:sz w:val="14"/>
                <w:szCs w:val="14"/>
                <w:highlight w:val="yellow"/>
              </w:rPr>
            </w:pPr>
            <w:r w:rsidRPr="00603E46">
              <w:rPr>
                <w:rFonts w:ascii="Times New Roman" w:hAnsi="Times New Roman" w:cs="Times New Roman"/>
                <w:sz w:val="14"/>
                <w:szCs w:val="14"/>
              </w:rPr>
              <w:t>173 919 889</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8F5A3E" w:rsidRDefault="007D13F3" w:rsidP="00465CAC">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191 024 561</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7D13F3" w:rsidRPr="00603E46" w:rsidRDefault="007D13F3" w:rsidP="00465CAC">
            <w:pPr>
              <w:autoSpaceDE w:val="0"/>
              <w:autoSpaceDN w:val="0"/>
              <w:adjustRightInd w:val="0"/>
              <w:jc w:val="right"/>
              <w:rPr>
                <w:rFonts w:ascii="Times New Roman" w:hAnsi="Times New Roman" w:cs="Times New Roman"/>
                <w:sz w:val="14"/>
                <w:szCs w:val="14"/>
                <w:highlight w:val="yellow"/>
              </w:rPr>
            </w:pPr>
            <w:r w:rsidRPr="00770935">
              <w:rPr>
                <w:rFonts w:ascii="Times New Roman" w:hAnsi="Times New Roman" w:cs="Times New Roman"/>
                <w:sz w:val="14"/>
                <w:szCs w:val="14"/>
              </w:rPr>
              <w:t>138 373 538</w:t>
            </w:r>
          </w:p>
        </w:tc>
        <w:tc>
          <w:tcPr>
            <w:tcW w:w="568" w:type="pct"/>
            <w:tcBorders>
              <w:top w:val="nil"/>
              <w:left w:val="nil"/>
              <w:bottom w:val="single" w:sz="4" w:space="0" w:color="auto"/>
              <w:right w:val="single" w:sz="4" w:space="0" w:color="auto"/>
            </w:tcBorders>
            <w:shd w:val="clear" w:color="000000" w:fill="FFFFFF"/>
            <w:vAlign w:val="bottom"/>
          </w:tcPr>
          <w:p w:rsidR="007D13F3" w:rsidRPr="00603E46" w:rsidRDefault="007D13F3" w:rsidP="00465CAC">
            <w:pPr>
              <w:autoSpaceDE w:val="0"/>
              <w:autoSpaceDN w:val="0"/>
              <w:adjustRightInd w:val="0"/>
              <w:jc w:val="right"/>
              <w:rPr>
                <w:rFonts w:ascii="Times New Roman" w:hAnsi="Times New Roman" w:cs="Times New Roman"/>
                <w:sz w:val="14"/>
                <w:szCs w:val="14"/>
                <w:highlight w:val="yellow"/>
              </w:rPr>
            </w:pPr>
            <w:r w:rsidRPr="00770935">
              <w:rPr>
                <w:rFonts w:ascii="Times New Roman" w:hAnsi="Times New Roman" w:cs="Times New Roman"/>
                <w:sz w:val="14"/>
                <w:szCs w:val="14"/>
              </w:rPr>
              <w:t>138 373 538</w:t>
            </w:r>
          </w:p>
        </w:tc>
        <w:tc>
          <w:tcPr>
            <w:tcW w:w="567" w:type="pct"/>
            <w:tcBorders>
              <w:top w:val="nil"/>
              <w:left w:val="nil"/>
              <w:bottom w:val="single" w:sz="4" w:space="0" w:color="auto"/>
              <w:right w:val="single" w:sz="4" w:space="0" w:color="auto"/>
            </w:tcBorders>
            <w:shd w:val="clear" w:color="000000" w:fill="FFFFFF"/>
            <w:vAlign w:val="bottom"/>
          </w:tcPr>
          <w:p w:rsidR="007D13F3" w:rsidRPr="00603E46" w:rsidRDefault="007D13F3" w:rsidP="00465CAC">
            <w:pPr>
              <w:autoSpaceDE w:val="0"/>
              <w:autoSpaceDN w:val="0"/>
              <w:adjustRightInd w:val="0"/>
              <w:jc w:val="right"/>
              <w:rPr>
                <w:rFonts w:ascii="Times New Roman" w:hAnsi="Times New Roman" w:cs="Times New Roman"/>
                <w:sz w:val="14"/>
                <w:szCs w:val="14"/>
                <w:highlight w:val="yellow"/>
              </w:rPr>
            </w:pPr>
            <w:r w:rsidRPr="00770935">
              <w:rPr>
                <w:rFonts w:ascii="Times New Roman" w:hAnsi="Times New Roman" w:cs="Times New Roman"/>
                <w:sz w:val="14"/>
                <w:szCs w:val="14"/>
              </w:rPr>
              <w:t>138 373 538</w:t>
            </w:r>
          </w:p>
        </w:tc>
      </w:tr>
      <w:tr w:rsidR="007D13F3" w:rsidRPr="00A3218E" w:rsidTr="00465CAC">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Starostlivosť o ľudské zdroje</w:t>
            </w:r>
          </w:p>
        </w:tc>
        <w:tc>
          <w:tcPr>
            <w:tcW w:w="568" w:type="pct"/>
            <w:tcBorders>
              <w:top w:val="nil"/>
              <w:left w:val="nil"/>
              <w:bottom w:val="single" w:sz="4" w:space="0" w:color="auto"/>
              <w:right w:val="single" w:sz="4" w:space="0" w:color="auto"/>
            </w:tcBorders>
            <w:shd w:val="clear" w:color="000000" w:fill="FFFFFF"/>
            <w:noWrap/>
            <w:vAlign w:val="bottom"/>
          </w:tcPr>
          <w:p w:rsidR="007D13F3" w:rsidRPr="007605F0" w:rsidRDefault="007D13F3" w:rsidP="00465CAC">
            <w:pPr>
              <w:jc w:val="right"/>
              <w:rPr>
                <w:rFonts w:ascii="Times New Roman" w:hAnsi="Times New Roman" w:cs="Times New Roman"/>
                <w:sz w:val="14"/>
                <w:szCs w:val="14"/>
                <w:highlight w:val="yellow"/>
              </w:rPr>
            </w:pPr>
            <w:r w:rsidRPr="007605F0">
              <w:rPr>
                <w:rFonts w:ascii="Times New Roman" w:hAnsi="Times New Roman" w:cs="Times New Roman"/>
                <w:sz w:val="14"/>
                <w:szCs w:val="14"/>
              </w:rPr>
              <w:t>11 321 572</w:t>
            </w:r>
          </w:p>
        </w:tc>
        <w:tc>
          <w:tcPr>
            <w:tcW w:w="568" w:type="pct"/>
            <w:tcBorders>
              <w:top w:val="nil"/>
              <w:left w:val="nil"/>
              <w:bottom w:val="single" w:sz="4" w:space="0" w:color="auto"/>
              <w:right w:val="single" w:sz="4" w:space="0" w:color="auto"/>
            </w:tcBorders>
            <w:shd w:val="clear" w:color="000000" w:fill="FFFFFF"/>
            <w:noWrap/>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17 128 243</w:t>
            </w:r>
          </w:p>
        </w:tc>
        <w:tc>
          <w:tcPr>
            <w:tcW w:w="568" w:type="pct"/>
            <w:tcBorders>
              <w:top w:val="nil"/>
              <w:left w:val="nil"/>
              <w:bottom w:val="single" w:sz="4" w:space="0" w:color="auto"/>
              <w:right w:val="single" w:sz="4" w:space="0" w:color="auto"/>
            </w:tcBorders>
            <w:shd w:val="clear" w:color="000000" w:fill="FFFFFF"/>
            <w:noWrap/>
            <w:vAlign w:val="bottom"/>
          </w:tcPr>
          <w:p w:rsidR="007D13F3" w:rsidRPr="00603E46" w:rsidRDefault="007D13F3" w:rsidP="00465CAC">
            <w:pPr>
              <w:jc w:val="right"/>
              <w:rPr>
                <w:rFonts w:ascii="Times New Roman" w:hAnsi="Times New Roman" w:cs="Times New Roman"/>
                <w:sz w:val="14"/>
                <w:szCs w:val="14"/>
                <w:highlight w:val="yellow"/>
              </w:rPr>
            </w:pPr>
            <w:r w:rsidRPr="00603E46">
              <w:rPr>
                <w:rFonts w:ascii="Times New Roman" w:hAnsi="Times New Roman" w:cs="Times New Roman"/>
                <w:sz w:val="14"/>
                <w:szCs w:val="14"/>
              </w:rPr>
              <w:t>10 014 400</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8F5A3E" w:rsidRDefault="007D13F3" w:rsidP="00465CAC">
            <w:pPr>
              <w:autoSpaceDE w:val="0"/>
              <w:autoSpaceDN w:val="0"/>
              <w:adjustRightInd w:val="0"/>
              <w:jc w:val="right"/>
              <w:rPr>
                <w:rFonts w:ascii="Times New Roman" w:hAnsi="Times New Roman" w:cs="Times New Roman"/>
                <w:sz w:val="14"/>
                <w:szCs w:val="14"/>
                <w:highlight w:val="yellow"/>
              </w:rPr>
            </w:pPr>
            <w:r w:rsidRPr="00C36937">
              <w:rPr>
                <w:rFonts w:ascii="Times New Roman" w:hAnsi="Times New Roman" w:cs="Times New Roman"/>
                <w:sz w:val="14"/>
                <w:szCs w:val="14"/>
              </w:rPr>
              <w:t>13 514 400</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7D13F3" w:rsidRPr="00603E46" w:rsidRDefault="007D13F3" w:rsidP="00465CAC">
            <w:pPr>
              <w:autoSpaceDE w:val="0"/>
              <w:autoSpaceDN w:val="0"/>
              <w:adjustRightInd w:val="0"/>
              <w:jc w:val="right"/>
              <w:rPr>
                <w:rFonts w:ascii="Times New Roman" w:hAnsi="Times New Roman" w:cs="Times New Roman"/>
                <w:sz w:val="14"/>
                <w:szCs w:val="14"/>
                <w:highlight w:val="yellow"/>
              </w:rPr>
            </w:pPr>
            <w:r w:rsidRPr="00603E46">
              <w:rPr>
                <w:rFonts w:ascii="Times New Roman" w:hAnsi="Times New Roman" w:cs="Times New Roman"/>
                <w:sz w:val="14"/>
                <w:szCs w:val="14"/>
              </w:rPr>
              <w:t>1</w:t>
            </w:r>
            <w:r>
              <w:rPr>
                <w:rFonts w:ascii="Times New Roman" w:hAnsi="Times New Roman" w:cs="Times New Roman"/>
                <w:sz w:val="14"/>
                <w:szCs w:val="14"/>
              </w:rPr>
              <w:t>1</w:t>
            </w:r>
            <w:r w:rsidRPr="00603E46">
              <w:rPr>
                <w:rFonts w:ascii="Times New Roman" w:hAnsi="Times New Roman" w:cs="Times New Roman"/>
                <w:sz w:val="14"/>
                <w:szCs w:val="14"/>
              </w:rPr>
              <w:t xml:space="preserve"> 614 400</w:t>
            </w:r>
          </w:p>
        </w:tc>
        <w:tc>
          <w:tcPr>
            <w:tcW w:w="568" w:type="pct"/>
            <w:tcBorders>
              <w:top w:val="nil"/>
              <w:left w:val="nil"/>
              <w:bottom w:val="single" w:sz="4" w:space="0" w:color="auto"/>
              <w:right w:val="single" w:sz="4" w:space="0" w:color="auto"/>
            </w:tcBorders>
            <w:shd w:val="clear" w:color="000000" w:fill="FFFFFF"/>
            <w:vAlign w:val="bottom"/>
          </w:tcPr>
          <w:p w:rsidR="007D13F3" w:rsidRPr="00603E46" w:rsidRDefault="007D13F3" w:rsidP="00465CAC">
            <w:pPr>
              <w:autoSpaceDE w:val="0"/>
              <w:autoSpaceDN w:val="0"/>
              <w:adjustRightInd w:val="0"/>
              <w:jc w:val="right"/>
              <w:rPr>
                <w:rFonts w:ascii="Times New Roman" w:hAnsi="Times New Roman" w:cs="Times New Roman"/>
                <w:sz w:val="14"/>
                <w:szCs w:val="14"/>
                <w:highlight w:val="yellow"/>
              </w:rPr>
            </w:pPr>
            <w:r w:rsidRPr="00603E46">
              <w:rPr>
                <w:rFonts w:ascii="Times New Roman" w:hAnsi="Times New Roman" w:cs="Times New Roman"/>
                <w:sz w:val="14"/>
                <w:szCs w:val="14"/>
              </w:rPr>
              <w:t>1</w:t>
            </w:r>
            <w:r>
              <w:rPr>
                <w:rFonts w:ascii="Times New Roman" w:hAnsi="Times New Roman" w:cs="Times New Roman"/>
                <w:sz w:val="14"/>
                <w:szCs w:val="14"/>
              </w:rPr>
              <w:t>1</w:t>
            </w:r>
            <w:r w:rsidRPr="00603E46">
              <w:rPr>
                <w:rFonts w:ascii="Times New Roman" w:hAnsi="Times New Roman" w:cs="Times New Roman"/>
                <w:sz w:val="14"/>
                <w:szCs w:val="14"/>
              </w:rPr>
              <w:t xml:space="preserve"> 614 400</w:t>
            </w:r>
          </w:p>
        </w:tc>
        <w:tc>
          <w:tcPr>
            <w:tcW w:w="567" w:type="pct"/>
            <w:tcBorders>
              <w:top w:val="nil"/>
              <w:left w:val="nil"/>
              <w:bottom w:val="single" w:sz="4" w:space="0" w:color="auto"/>
              <w:right w:val="single" w:sz="4" w:space="0" w:color="auto"/>
            </w:tcBorders>
            <w:shd w:val="clear" w:color="000000" w:fill="FFFFFF"/>
            <w:vAlign w:val="bottom"/>
          </w:tcPr>
          <w:p w:rsidR="007D13F3" w:rsidRPr="00603E46" w:rsidRDefault="007D13F3" w:rsidP="00465CAC">
            <w:pPr>
              <w:autoSpaceDE w:val="0"/>
              <w:autoSpaceDN w:val="0"/>
              <w:adjustRightInd w:val="0"/>
              <w:jc w:val="right"/>
              <w:rPr>
                <w:rFonts w:ascii="Times New Roman" w:hAnsi="Times New Roman" w:cs="Times New Roman"/>
                <w:sz w:val="14"/>
                <w:szCs w:val="14"/>
                <w:highlight w:val="yellow"/>
              </w:rPr>
            </w:pPr>
            <w:r w:rsidRPr="00603E46">
              <w:rPr>
                <w:rFonts w:ascii="Times New Roman" w:hAnsi="Times New Roman" w:cs="Times New Roman"/>
                <w:sz w:val="14"/>
                <w:szCs w:val="14"/>
              </w:rPr>
              <w:t>1</w:t>
            </w:r>
            <w:r>
              <w:rPr>
                <w:rFonts w:ascii="Times New Roman" w:hAnsi="Times New Roman" w:cs="Times New Roman"/>
                <w:sz w:val="14"/>
                <w:szCs w:val="14"/>
              </w:rPr>
              <w:t>1</w:t>
            </w:r>
            <w:r w:rsidRPr="00603E46">
              <w:rPr>
                <w:rFonts w:ascii="Times New Roman" w:hAnsi="Times New Roman" w:cs="Times New Roman"/>
                <w:sz w:val="14"/>
                <w:szCs w:val="14"/>
              </w:rPr>
              <w:t xml:space="preserve"> 614 400</w:t>
            </w:r>
          </w:p>
        </w:tc>
      </w:tr>
      <w:tr w:rsidR="007D13F3" w:rsidRPr="00A3218E" w:rsidTr="00465CAC">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Vzdelávanie príslušníkov PZ a HaZZ</w:t>
            </w:r>
          </w:p>
        </w:tc>
        <w:tc>
          <w:tcPr>
            <w:tcW w:w="568" w:type="pct"/>
            <w:tcBorders>
              <w:top w:val="nil"/>
              <w:left w:val="nil"/>
              <w:bottom w:val="single" w:sz="4" w:space="0" w:color="auto"/>
              <w:right w:val="single" w:sz="4" w:space="0" w:color="auto"/>
            </w:tcBorders>
            <w:shd w:val="clear" w:color="000000" w:fill="FFFFFF"/>
            <w:noWrap/>
            <w:vAlign w:val="bottom"/>
          </w:tcPr>
          <w:p w:rsidR="007D13F3" w:rsidRPr="007605F0" w:rsidRDefault="007D13F3" w:rsidP="00465CAC">
            <w:pPr>
              <w:jc w:val="right"/>
              <w:rPr>
                <w:rFonts w:ascii="Times New Roman" w:hAnsi="Times New Roman" w:cs="Times New Roman"/>
                <w:sz w:val="14"/>
                <w:szCs w:val="14"/>
                <w:highlight w:val="yellow"/>
              </w:rPr>
            </w:pPr>
            <w:r w:rsidRPr="007605F0">
              <w:rPr>
                <w:rFonts w:ascii="Times New Roman" w:hAnsi="Times New Roman" w:cs="Times New Roman"/>
                <w:sz w:val="14"/>
                <w:szCs w:val="14"/>
              </w:rPr>
              <w:t>13 743 462</w:t>
            </w:r>
          </w:p>
        </w:tc>
        <w:tc>
          <w:tcPr>
            <w:tcW w:w="568" w:type="pct"/>
            <w:tcBorders>
              <w:top w:val="nil"/>
              <w:left w:val="nil"/>
              <w:bottom w:val="single" w:sz="4" w:space="0" w:color="auto"/>
              <w:right w:val="single" w:sz="4" w:space="0" w:color="auto"/>
            </w:tcBorders>
            <w:shd w:val="clear" w:color="000000" w:fill="FFFFFF"/>
            <w:noWrap/>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14 284 916</w:t>
            </w:r>
          </w:p>
        </w:tc>
        <w:tc>
          <w:tcPr>
            <w:tcW w:w="568" w:type="pct"/>
            <w:tcBorders>
              <w:top w:val="nil"/>
              <w:left w:val="nil"/>
              <w:bottom w:val="single" w:sz="4" w:space="0" w:color="auto"/>
              <w:right w:val="single" w:sz="4" w:space="0" w:color="auto"/>
            </w:tcBorders>
            <w:shd w:val="clear" w:color="000000" w:fill="FFFFFF"/>
            <w:noWrap/>
            <w:vAlign w:val="bottom"/>
          </w:tcPr>
          <w:p w:rsidR="007D13F3" w:rsidRPr="00603E46" w:rsidRDefault="007D13F3" w:rsidP="00465CAC">
            <w:pPr>
              <w:jc w:val="right"/>
              <w:rPr>
                <w:rFonts w:ascii="Times New Roman" w:hAnsi="Times New Roman" w:cs="Times New Roman"/>
                <w:sz w:val="14"/>
                <w:szCs w:val="14"/>
                <w:highlight w:val="yellow"/>
              </w:rPr>
            </w:pPr>
            <w:r w:rsidRPr="00603E46">
              <w:rPr>
                <w:rFonts w:ascii="Times New Roman" w:hAnsi="Times New Roman" w:cs="Times New Roman"/>
                <w:sz w:val="14"/>
                <w:szCs w:val="14"/>
              </w:rPr>
              <w:t>13 735 242</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8F5A3E" w:rsidRDefault="007D13F3" w:rsidP="00465CAC">
            <w:pPr>
              <w:autoSpaceDE w:val="0"/>
              <w:autoSpaceDN w:val="0"/>
              <w:adjustRightInd w:val="0"/>
              <w:jc w:val="right"/>
              <w:rPr>
                <w:rFonts w:ascii="Times New Roman" w:hAnsi="Times New Roman" w:cs="Times New Roman"/>
                <w:sz w:val="14"/>
                <w:szCs w:val="14"/>
                <w:highlight w:val="yellow"/>
              </w:rPr>
            </w:pPr>
            <w:r w:rsidRPr="00C36937">
              <w:rPr>
                <w:rFonts w:ascii="Times New Roman" w:hAnsi="Times New Roman" w:cs="Times New Roman"/>
                <w:sz w:val="14"/>
                <w:szCs w:val="14"/>
              </w:rPr>
              <w:t>15 318 894</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7D13F3" w:rsidRPr="00603E46" w:rsidRDefault="007D13F3" w:rsidP="00465CAC">
            <w:pPr>
              <w:autoSpaceDE w:val="0"/>
              <w:autoSpaceDN w:val="0"/>
              <w:adjustRightInd w:val="0"/>
              <w:jc w:val="right"/>
              <w:rPr>
                <w:rFonts w:ascii="Times New Roman" w:hAnsi="Times New Roman" w:cs="Times New Roman"/>
                <w:sz w:val="14"/>
                <w:szCs w:val="14"/>
                <w:highlight w:val="yellow"/>
              </w:rPr>
            </w:pPr>
            <w:r w:rsidRPr="00770935">
              <w:rPr>
                <w:rFonts w:ascii="Times New Roman" w:hAnsi="Times New Roman" w:cs="Times New Roman"/>
                <w:sz w:val="14"/>
                <w:szCs w:val="14"/>
              </w:rPr>
              <w:t>14 267 702</w:t>
            </w:r>
          </w:p>
        </w:tc>
        <w:tc>
          <w:tcPr>
            <w:tcW w:w="568" w:type="pct"/>
            <w:tcBorders>
              <w:top w:val="nil"/>
              <w:left w:val="nil"/>
              <w:bottom w:val="single" w:sz="4" w:space="0" w:color="auto"/>
              <w:right w:val="single" w:sz="4" w:space="0" w:color="auto"/>
            </w:tcBorders>
            <w:shd w:val="clear" w:color="000000" w:fill="FFFFFF"/>
            <w:vAlign w:val="bottom"/>
          </w:tcPr>
          <w:p w:rsidR="007D13F3" w:rsidRPr="00603E46" w:rsidRDefault="007D13F3" w:rsidP="00465CAC">
            <w:pPr>
              <w:autoSpaceDE w:val="0"/>
              <w:autoSpaceDN w:val="0"/>
              <w:adjustRightInd w:val="0"/>
              <w:jc w:val="right"/>
              <w:rPr>
                <w:rFonts w:ascii="Times New Roman" w:hAnsi="Times New Roman" w:cs="Times New Roman"/>
                <w:sz w:val="14"/>
                <w:szCs w:val="14"/>
                <w:highlight w:val="yellow"/>
              </w:rPr>
            </w:pPr>
            <w:r w:rsidRPr="00770935">
              <w:rPr>
                <w:rFonts w:ascii="Times New Roman" w:hAnsi="Times New Roman" w:cs="Times New Roman"/>
                <w:sz w:val="14"/>
                <w:szCs w:val="14"/>
              </w:rPr>
              <w:t>14 267 702</w:t>
            </w:r>
          </w:p>
        </w:tc>
        <w:tc>
          <w:tcPr>
            <w:tcW w:w="567" w:type="pct"/>
            <w:tcBorders>
              <w:top w:val="nil"/>
              <w:left w:val="nil"/>
              <w:bottom w:val="single" w:sz="4" w:space="0" w:color="auto"/>
              <w:right w:val="single" w:sz="4" w:space="0" w:color="auto"/>
            </w:tcBorders>
            <w:shd w:val="clear" w:color="000000" w:fill="FFFFFF"/>
            <w:vAlign w:val="bottom"/>
          </w:tcPr>
          <w:p w:rsidR="007D13F3" w:rsidRPr="00603E46" w:rsidRDefault="007D13F3" w:rsidP="00465CAC">
            <w:pPr>
              <w:autoSpaceDE w:val="0"/>
              <w:autoSpaceDN w:val="0"/>
              <w:adjustRightInd w:val="0"/>
              <w:jc w:val="right"/>
              <w:rPr>
                <w:rFonts w:ascii="Times New Roman" w:hAnsi="Times New Roman" w:cs="Times New Roman"/>
                <w:sz w:val="14"/>
                <w:szCs w:val="14"/>
                <w:highlight w:val="yellow"/>
              </w:rPr>
            </w:pPr>
            <w:r w:rsidRPr="00770935">
              <w:rPr>
                <w:rFonts w:ascii="Times New Roman" w:hAnsi="Times New Roman" w:cs="Times New Roman"/>
                <w:sz w:val="14"/>
                <w:szCs w:val="14"/>
              </w:rPr>
              <w:t>14 267 702</w:t>
            </w:r>
          </w:p>
        </w:tc>
      </w:tr>
      <w:tr w:rsidR="007D13F3" w:rsidRPr="00A3218E" w:rsidTr="00465CAC">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Agenda splnomocnencov vlády SR</w:t>
            </w:r>
          </w:p>
        </w:tc>
        <w:tc>
          <w:tcPr>
            <w:tcW w:w="568" w:type="pct"/>
            <w:tcBorders>
              <w:top w:val="nil"/>
              <w:left w:val="nil"/>
              <w:bottom w:val="single" w:sz="4" w:space="0" w:color="auto"/>
              <w:right w:val="single" w:sz="4" w:space="0" w:color="auto"/>
            </w:tcBorders>
            <w:shd w:val="clear" w:color="000000" w:fill="FFFFFF"/>
            <w:noWrap/>
            <w:vAlign w:val="bottom"/>
          </w:tcPr>
          <w:p w:rsidR="007D13F3" w:rsidRPr="007605F0" w:rsidRDefault="007D13F3" w:rsidP="00465CAC">
            <w:pPr>
              <w:jc w:val="right"/>
              <w:rPr>
                <w:rFonts w:ascii="Times New Roman" w:hAnsi="Times New Roman" w:cs="Times New Roman"/>
                <w:sz w:val="14"/>
                <w:szCs w:val="14"/>
                <w:highlight w:val="yellow"/>
              </w:rPr>
            </w:pPr>
            <w:r w:rsidRPr="007605F0">
              <w:rPr>
                <w:rFonts w:ascii="Times New Roman" w:hAnsi="Times New Roman" w:cs="Times New Roman"/>
                <w:sz w:val="14"/>
                <w:szCs w:val="14"/>
              </w:rPr>
              <w:t>1 792 711</w:t>
            </w:r>
          </w:p>
        </w:tc>
        <w:tc>
          <w:tcPr>
            <w:tcW w:w="568" w:type="pct"/>
            <w:tcBorders>
              <w:top w:val="nil"/>
              <w:left w:val="nil"/>
              <w:bottom w:val="single" w:sz="4" w:space="0" w:color="auto"/>
              <w:right w:val="single" w:sz="4" w:space="0" w:color="auto"/>
            </w:tcBorders>
            <w:shd w:val="clear" w:color="000000" w:fill="FFFFFF"/>
            <w:noWrap/>
            <w:vAlign w:val="bottom"/>
          </w:tcPr>
          <w:p w:rsidR="007D13F3" w:rsidRPr="00877C74" w:rsidRDefault="007D13F3" w:rsidP="00465CAC">
            <w:pPr>
              <w:jc w:val="right"/>
              <w:rPr>
                <w:rFonts w:ascii="Times New Roman" w:hAnsi="Times New Roman" w:cs="Times New Roman"/>
                <w:sz w:val="14"/>
                <w:szCs w:val="14"/>
                <w:highlight w:val="yellow"/>
              </w:rPr>
            </w:pPr>
            <w:r w:rsidRPr="00877C74">
              <w:rPr>
                <w:rFonts w:ascii="Times New Roman" w:hAnsi="Times New Roman" w:cs="Times New Roman"/>
                <w:sz w:val="14"/>
                <w:szCs w:val="14"/>
              </w:rPr>
              <w:t>2 223 653</w:t>
            </w:r>
          </w:p>
        </w:tc>
        <w:tc>
          <w:tcPr>
            <w:tcW w:w="568" w:type="pct"/>
            <w:tcBorders>
              <w:top w:val="nil"/>
              <w:left w:val="nil"/>
              <w:bottom w:val="single" w:sz="4" w:space="0" w:color="auto"/>
              <w:right w:val="single" w:sz="4" w:space="0" w:color="auto"/>
            </w:tcBorders>
            <w:shd w:val="clear" w:color="000000" w:fill="FFFFFF"/>
            <w:noWrap/>
            <w:vAlign w:val="bottom"/>
          </w:tcPr>
          <w:p w:rsidR="007D13F3" w:rsidRPr="00603E46" w:rsidRDefault="007D13F3" w:rsidP="00465CAC">
            <w:pPr>
              <w:jc w:val="right"/>
              <w:rPr>
                <w:rFonts w:ascii="Times New Roman" w:hAnsi="Times New Roman" w:cs="Times New Roman"/>
                <w:sz w:val="14"/>
                <w:szCs w:val="14"/>
                <w:highlight w:val="yellow"/>
              </w:rPr>
            </w:pPr>
            <w:r w:rsidRPr="00603E46">
              <w:rPr>
                <w:rFonts w:ascii="Times New Roman" w:hAnsi="Times New Roman" w:cs="Times New Roman"/>
                <w:sz w:val="14"/>
                <w:szCs w:val="14"/>
              </w:rPr>
              <w:t>1 852 947</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8F5A3E" w:rsidRDefault="007D13F3" w:rsidP="00465CAC">
            <w:pPr>
              <w:autoSpaceDE w:val="0"/>
              <w:autoSpaceDN w:val="0"/>
              <w:adjustRightInd w:val="0"/>
              <w:jc w:val="right"/>
              <w:rPr>
                <w:rFonts w:ascii="Times New Roman" w:hAnsi="Times New Roman" w:cs="Times New Roman"/>
                <w:sz w:val="14"/>
                <w:szCs w:val="14"/>
                <w:highlight w:val="yellow"/>
              </w:rPr>
            </w:pPr>
            <w:r w:rsidRPr="00C36937">
              <w:rPr>
                <w:rFonts w:ascii="Times New Roman" w:hAnsi="Times New Roman" w:cs="Times New Roman"/>
                <w:sz w:val="14"/>
                <w:szCs w:val="14"/>
              </w:rPr>
              <w:t>1 885 859</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7D13F3" w:rsidRPr="00603E46" w:rsidRDefault="007D13F3" w:rsidP="00465CAC">
            <w:pPr>
              <w:autoSpaceDE w:val="0"/>
              <w:autoSpaceDN w:val="0"/>
              <w:adjustRightInd w:val="0"/>
              <w:jc w:val="right"/>
              <w:rPr>
                <w:rFonts w:ascii="Times New Roman" w:hAnsi="Times New Roman" w:cs="Times New Roman"/>
                <w:sz w:val="14"/>
                <w:szCs w:val="14"/>
                <w:highlight w:val="yellow"/>
              </w:rPr>
            </w:pPr>
            <w:r w:rsidRPr="00603E46">
              <w:rPr>
                <w:rFonts w:ascii="Times New Roman" w:hAnsi="Times New Roman" w:cs="Times New Roman"/>
                <w:sz w:val="14"/>
                <w:szCs w:val="14"/>
              </w:rPr>
              <w:t>1 739 284</w:t>
            </w:r>
          </w:p>
        </w:tc>
        <w:tc>
          <w:tcPr>
            <w:tcW w:w="568" w:type="pct"/>
            <w:tcBorders>
              <w:top w:val="nil"/>
              <w:left w:val="nil"/>
              <w:bottom w:val="single" w:sz="4" w:space="0" w:color="auto"/>
              <w:right w:val="single" w:sz="4" w:space="0" w:color="auto"/>
            </w:tcBorders>
            <w:shd w:val="clear" w:color="000000" w:fill="FFFFFF"/>
            <w:vAlign w:val="bottom"/>
          </w:tcPr>
          <w:p w:rsidR="007D13F3" w:rsidRPr="00603E46" w:rsidRDefault="007D13F3" w:rsidP="00465CAC">
            <w:pPr>
              <w:autoSpaceDE w:val="0"/>
              <w:autoSpaceDN w:val="0"/>
              <w:adjustRightInd w:val="0"/>
              <w:jc w:val="right"/>
              <w:rPr>
                <w:rFonts w:ascii="Times New Roman" w:hAnsi="Times New Roman" w:cs="Times New Roman"/>
                <w:sz w:val="14"/>
                <w:szCs w:val="14"/>
                <w:highlight w:val="yellow"/>
              </w:rPr>
            </w:pPr>
            <w:r w:rsidRPr="00603E46">
              <w:rPr>
                <w:rFonts w:ascii="Times New Roman" w:hAnsi="Times New Roman" w:cs="Times New Roman"/>
                <w:sz w:val="14"/>
                <w:szCs w:val="14"/>
              </w:rPr>
              <w:t>1 739 284</w:t>
            </w:r>
          </w:p>
        </w:tc>
        <w:tc>
          <w:tcPr>
            <w:tcW w:w="567" w:type="pct"/>
            <w:tcBorders>
              <w:top w:val="nil"/>
              <w:left w:val="nil"/>
              <w:bottom w:val="single" w:sz="4" w:space="0" w:color="auto"/>
              <w:right w:val="single" w:sz="4" w:space="0" w:color="auto"/>
            </w:tcBorders>
            <w:shd w:val="clear" w:color="000000" w:fill="FFFFFF"/>
            <w:vAlign w:val="bottom"/>
          </w:tcPr>
          <w:p w:rsidR="007D13F3" w:rsidRPr="00603E46" w:rsidRDefault="007D13F3" w:rsidP="00465CAC">
            <w:pPr>
              <w:autoSpaceDE w:val="0"/>
              <w:autoSpaceDN w:val="0"/>
              <w:adjustRightInd w:val="0"/>
              <w:jc w:val="right"/>
              <w:rPr>
                <w:rFonts w:ascii="Times New Roman" w:hAnsi="Times New Roman" w:cs="Times New Roman"/>
                <w:sz w:val="14"/>
                <w:szCs w:val="14"/>
                <w:highlight w:val="yellow"/>
              </w:rPr>
            </w:pPr>
            <w:r w:rsidRPr="00603E46">
              <w:rPr>
                <w:rFonts w:ascii="Times New Roman" w:hAnsi="Times New Roman" w:cs="Times New Roman"/>
                <w:sz w:val="14"/>
                <w:szCs w:val="14"/>
              </w:rPr>
              <w:t>1 739 284</w:t>
            </w:r>
          </w:p>
        </w:tc>
      </w:tr>
    </w:tbl>
    <w:p w:rsidR="007D13F3" w:rsidRPr="00A3218E" w:rsidRDefault="007D13F3" w:rsidP="007D13F3">
      <w:pPr>
        <w:jc w:val="both"/>
        <w:rPr>
          <w:rFonts w:ascii="Times New Roman" w:hAnsi="Times New Roman" w:cs="Times New Roman"/>
          <w:sz w:val="22"/>
          <w:szCs w:val="22"/>
          <w:highlight w:val="yellow"/>
        </w:rPr>
      </w:pPr>
    </w:p>
    <w:p w:rsidR="007D13F3" w:rsidRPr="00603E46" w:rsidRDefault="007D13F3" w:rsidP="007D13F3">
      <w:pPr>
        <w:ind w:firstLine="708"/>
        <w:jc w:val="both"/>
        <w:rPr>
          <w:rFonts w:ascii="Times New Roman" w:hAnsi="Times New Roman" w:cs="Times New Roman"/>
        </w:rPr>
      </w:pPr>
      <w:r w:rsidRPr="00603E46">
        <w:rPr>
          <w:rFonts w:ascii="Times New Roman" w:hAnsi="Times New Roman" w:cs="Times New Roman"/>
        </w:rPr>
        <w:t xml:space="preserve">V </w:t>
      </w:r>
      <w:r>
        <w:rPr>
          <w:rFonts w:ascii="Times New Roman" w:hAnsi="Times New Roman" w:cs="Times New Roman"/>
        </w:rPr>
        <w:t>pod</w:t>
      </w:r>
      <w:r w:rsidRPr="00603E46">
        <w:rPr>
          <w:rFonts w:ascii="Times New Roman" w:hAnsi="Times New Roman" w:cs="Times New Roman"/>
        </w:rPr>
        <w:t>programe sa rozpočtujú výdavky na Akadémiu PZ, SOŠ PZ Bratislava, SOŠ PZ Košice, SOŠ PZ Pezinok, Stredn</w:t>
      </w:r>
      <w:r w:rsidR="006527C0">
        <w:rPr>
          <w:rFonts w:ascii="Times New Roman" w:hAnsi="Times New Roman" w:cs="Times New Roman"/>
        </w:rPr>
        <w:t>ú</w:t>
      </w:r>
      <w:r w:rsidRPr="00603E46">
        <w:rPr>
          <w:rFonts w:ascii="Times New Roman" w:hAnsi="Times New Roman" w:cs="Times New Roman"/>
        </w:rPr>
        <w:t xml:space="preserve"> škol</w:t>
      </w:r>
      <w:r w:rsidR="006527C0">
        <w:rPr>
          <w:rFonts w:ascii="Times New Roman" w:hAnsi="Times New Roman" w:cs="Times New Roman"/>
        </w:rPr>
        <w:t>u</w:t>
      </w:r>
      <w:r w:rsidRPr="00603E46">
        <w:rPr>
          <w:rFonts w:ascii="Times New Roman" w:hAnsi="Times New Roman" w:cs="Times New Roman"/>
        </w:rPr>
        <w:t xml:space="preserve"> požiarnej ochrany Žilina. Rovnako tak výdavky na činnosť splnomocnencov vlády a príspevky pre príspevkové organizácie. Ďalej sú tu rozpočtované výdavky na osobitný účet MV SR.</w:t>
      </w:r>
    </w:p>
    <w:p w:rsidR="007D13F3" w:rsidRPr="00603E46"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447670">
        <w:rPr>
          <w:rFonts w:ascii="Times New Roman" w:hAnsi="Times New Roman" w:cs="Times New Roman"/>
        </w:rPr>
        <w:t>Pokles výdavkov v porovnaní s rokom 2017 je spôsobený nižším rozpočtovaním kapitálových výdavkov</w:t>
      </w:r>
      <w:r w:rsidR="006527C0">
        <w:rPr>
          <w:rFonts w:ascii="Times New Roman" w:hAnsi="Times New Roman" w:cs="Times New Roman"/>
        </w:rPr>
        <w:t>,</w:t>
      </w:r>
      <w:r w:rsidRPr="00447670">
        <w:rPr>
          <w:rFonts w:ascii="Times New Roman" w:hAnsi="Times New Roman" w:cs="Times New Roman"/>
        </w:rPr>
        <w:t xml:space="preserve"> </w:t>
      </w:r>
      <w:r w:rsidR="006527C0">
        <w:rPr>
          <w:rFonts w:ascii="Times New Roman" w:hAnsi="Times New Roman" w:cs="Times New Roman"/>
        </w:rPr>
        <w:t>n</w:t>
      </w:r>
      <w:r w:rsidRPr="00447670">
        <w:rPr>
          <w:rFonts w:ascii="Times New Roman" w:hAnsi="Times New Roman" w:cs="Times New Roman"/>
        </w:rPr>
        <w:t>ajmä na podpoložkách rekonštrukcie a modernizácie budov o sumu 17,5 mil. eur a nákup techniky o sumu 9,68 mil. eur.</w:t>
      </w:r>
    </w:p>
    <w:p w:rsidR="007D13F3" w:rsidRPr="00693FCE" w:rsidRDefault="007D13F3" w:rsidP="007D13F3">
      <w:pPr>
        <w:ind w:firstLine="708"/>
        <w:jc w:val="both"/>
        <w:rPr>
          <w:rFonts w:ascii="Times New Roman" w:hAnsi="Times New Roman" w:cs="Times New Roman"/>
          <w:highlight w:val="yellow"/>
        </w:rPr>
      </w:pPr>
    </w:p>
    <w:p w:rsidR="00A870F8" w:rsidRDefault="007D13F3" w:rsidP="007D13F3">
      <w:pPr>
        <w:jc w:val="both"/>
        <w:rPr>
          <w:rFonts w:ascii="Times New Roman" w:hAnsi="Times New Roman" w:cs="Times New Roman"/>
          <w:b/>
          <w:sz w:val="22"/>
          <w:szCs w:val="22"/>
        </w:rPr>
      </w:pPr>
      <w:r w:rsidRPr="00693FCE">
        <w:rPr>
          <w:rFonts w:ascii="Times New Roman" w:hAnsi="Times New Roman" w:cs="Times New Roman"/>
          <w:b/>
        </w:rPr>
        <w:t>Riadenie a kontrola</w:t>
      </w:r>
      <w:r w:rsidRPr="00A3218E">
        <w:rPr>
          <w:rFonts w:ascii="Times New Roman" w:hAnsi="Times New Roman" w:cs="Times New Roman"/>
          <w:b/>
          <w:sz w:val="22"/>
          <w:szCs w:val="22"/>
        </w:rPr>
        <w:tab/>
      </w:r>
    </w:p>
    <w:p w:rsidR="007D13F3" w:rsidRPr="00A3218E" w:rsidRDefault="007D13F3" w:rsidP="007D13F3">
      <w:pPr>
        <w:jc w:val="both"/>
        <w:rPr>
          <w:rFonts w:ascii="Times New Roman" w:hAnsi="Times New Roman" w:cs="Times New Roman"/>
          <w:b/>
          <w:sz w:val="22"/>
          <w:szCs w:val="22"/>
          <w:highlight w:val="yellow"/>
        </w:rPr>
      </w:pP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highlight w:val="yellow"/>
        </w:rPr>
        <w:t xml:space="preserve">                                      </w:t>
      </w:r>
    </w:p>
    <w:tbl>
      <w:tblPr>
        <w:tblW w:w="0" w:type="auto"/>
        <w:tblLayout w:type="fixed"/>
        <w:tblCellMar>
          <w:left w:w="70" w:type="dxa"/>
          <w:right w:w="70" w:type="dxa"/>
        </w:tblCellMar>
        <w:tblLook w:val="04A0" w:firstRow="1" w:lastRow="0" w:firstColumn="1" w:lastColumn="0" w:noHBand="0" w:noVBand="1"/>
      </w:tblPr>
      <w:tblGrid>
        <w:gridCol w:w="1950"/>
        <w:gridCol w:w="1037"/>
        <w:gridCol w:w="1037"/>
        <w:gridCol w:w="1038"/>
        <w:gridCol w:w="1037"/>
        <w:gridCol w:w="1038"/>
        <w:gridCol w:w="1037"/>
        <w:gridCol w:w="1038"/>
      </w:tblGrid>
      <w:tr w:rsidR="007D13F3" w:rsidRPr="00A3218E" w:rsidTr="00A870F8">
        <w:trPr>
          <w:trHeight w:val="261"/>
        </w:trPr>
        <w:tc>
          <w:tcPr>
            <w:tcW w:w="19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7D13F3" w:rsidRPr="00A3218E" w:rsidRDefault="00551C05" w:rsidP="00465CAC">
            <w:pPr>
              <w:rPr>
                <w:rFonts w:ascii="Times New Roman" w:hAnsi="Times New Roman" w:cs="Times New Roman"/>
                <w:b/>
                <w:sz w:val="14"/>
                <w:szCs w:val="14"/>
              </w:rPr>
            </w:pPr>
            <w:r>
              <w:rPr>
                <w:rFonts w:ascii="Times New Roman" w:hAnsi="Times New Roman" w:cs="Times New Roman"/>
                <w:b/>
                <w:sz w:val="14"/>
                <w:szCs w:val="14"/>
              </w:rPr>
              <w:t>v eurách</w:t>
            </w:r>
          </w:p>
        </w:tc>
        <w:tc>
          <w:tcPr>
            <w:tcW w:w="1037"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603E46" w:rsidRDefault="007D13F3" w:rsidP="00465CAC">
            <w:pPr>
              <w:jc w:val="center"/>
              <w:rPr>
                <w:rFonts w:ascii="Times New Roman" w:hAnsi="Times New Roman" w:cs="Times New Roman"/>
                <w:b/>
                <w:bCs/>
                <w:color w:val="000000"/>
                <w:sz w:val="14"/>
                <w:szCs w:val="14"/>
              </w:rPr>
            </w:pPr>
            <w:r w:rsidRPr="00603E46">
              <w:rPr>
                <w:rFonts w:ascii="Times New Roman" w:hAnsi="Times New Roman" w:cs="Times New Roman"/>
                <w:b/>
                <w:bCs/>
                <w:color w:val="000000"/>
                <w:sz w:val="14"/>
                <w:szCs w:val="14"/>
              </w:rPr>
              <w:t>2015 S</w:t>
            </w:r>
          </w:p>
        </w:tc>
        <w:tc>
          <w:tcPr>
            <w:tcW w:w="1037"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603E46" w:rsidRDefault="007D13F3" w:rsidP="00465CAC">
            <w:pPr>
              <w:jc w:val="center"/>
              <w:rPr>
                <w:rFonts w:ascii="Times New Roman" w:hAnsi="Times New Roman" w:cs="Times New Roman"/>
                <w:b/>
                <w:bCs/>
                <w:color w:val="000000"/>
                <w:sz w:val="14"/>
                <w:szCs w:val="14"/>
                <w:highlight w:val="yellow"/>
              </w:rPr>
            </w:pPr>
            <w:r w:rsidRPr="00603E46">
              <w:rPr>
                <w:rFonts w:ascii="Times New Roman" w:hAnsi="Times New Roman" w:cs="Times New Roman"/>
                <w:b/>
                <w:bCs/>
                <w:color w:val="000000"/>
                <w:sz w:val="14"/>
                <w:szCs w:val="14"/>
              </w:rPr>
              <w:t xml:space="preserve">2016 S </w:t>
            </w:r>
          </w:p>
        </w:tc>
        <w:tc>
          <w:tcPr>
            <w:tcW w:w="1038"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603E46" w:rsidRDefault="007D13F3" w:rsidP="00465CAC">
            <w:pPr>
              <w:jc w:val="center"/>
              <w:rPr>
                <w:rFonts w:ascii="Times New Roman" w:hAnsi="Times New Roman" w:cs="Times New Roman"/>
                <w:b/>
                <w:bCs/>
                <w:color w:val="000000"/>
                <w:sz w:val="14"/>
                <w:szCs w:val="14"/>
              </w:rPr>
            </w:pPr>
            <w:r w:rsidRPr="00603E46">
              <w:rPr>
                <w:rFonts w:ascii="Times New Roman" w:hAnsi="Times New Roman" w:cs="Times New Roman"/>
                <w:b/>
                <w:bCs/>
                <w:color w:val="000000"/>
                <w:sz w:val="14"/>
                <w:szCs w:val="14"/>
              </w:rPr>
              <w:t>2017 R</w:t>
            </w:r>
          </w:p>
        </w:tc>
        <w:tc>
          <w:tcPr>
            <w:tcW w:w="1037"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603E46" w:rsidRDefault="007D13F3" w:rsidP="00465CAC">
            <w:pPr>
              <w:jc w:val="center"/>
              <w:rPr>
                <w:rFonts w:ascii="Times New Roman" w:hAnsi="Times New Roman" w:cs="Times New Roman"/>
                <w:b/>
                <w:bCs/>
                <w:color w:val="000000"/>
                <w:sz w:val="14"/>
                <w:szCs w:val="14"/>
              </w:rPr>
            </w:pPr>
            <w:r w:rsidRPr="00603E46">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1038"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603E46" w:rsidRDefault="007D13F3" w:rsidP="00465CAC">
            <w:pPr>
              <w:jc w:val="center"/>
              <w:rPr>
                <w:rFonts w:ascii="Times New Roman" w:hAnsi="Times New Roman" w:cs="Times New Roman"/>
                <w:b/>
                <w:bCs/>
                <w:color w:val="000000"/>
                <w:sz w:val="14"/>
                <w:szCs w:val="14"/>
              </w:rPr>
            </w:pPr>
            <w:r w:rsidRPr="00603E46">
              <w:rPr>
                <w:rFonts w:ascii="Times New Roman" w:hAnsi="Times New Roman" w:cs="Times New Roman"/>
                <w:b/>
                <w:bCs/>
                <w:color w:val="000000"/>
                <w:sz w:val="14"/>
                <w:szCs w:val="14"/>
              </w:rPr>
              <w:t>2018 N</w:t>
            </w:r>
          </w:p>
        </w:tc>
        <w:tc>
          <w:tcPr>
            <w:tcW w:w="1037"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603E46" w:rsidRDefault="007D13F3" w:rsidP="00465CAC">
            <w:pPr>
              <w:jc w:val="center"/>
              <w:rPr>
                <w:rFonts w:ascii="Times New Roman" w:hAnsi="Times New Roman" w:cs="Times New Roman"/>
                <w:b/>
                <w:bCs/>
                <w:color w:val="000000"/>
                <w:sz w:val="14"/>
                <w:szCs w:val="14"/>
              </w:rPr>
            </w:pPr>
            <w:r w:rsidRPr="00603E46">
              <w:rPr>
                <w:rFonts w:ascii="Times New Roman" w:hAnsi="Times New Roman" w:cs="Times New Roman"/>
                <w:b/>
                <w:bCs/>
                <w:color w:val="000000"/>
                <w:sz w:val="14"/>
                <w:szCs w:val="14"/>
              </w:rPr>
              <w:t>2019 N</w:t>
            </w:r>
          </w:p>
        </w:tc>
        <w:tc>
          <w:tcPr>
            <w:tcW w:w="1038"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603E46" w:rsidRDefault="007D13F3" w:rsidP="00465CAC">
            <w:pPr>
              <w:jc w:val="center"/>
              <w:rPr>
                <w:rFonts w:ascii="Times New Roman" w:hAnsi="Times New Roman" w:cs="Times New Roman"/>
                <w:b/>
                <w:bCs/>
                <w:color w:val="000000"/>
                <w:sz w:val="14"/>
                <w:szCs w:val="14"/>
              </w:rPr>
            </w:pPr>
            <w:r w:rsidRPr="00603E46">
              <w:rPr>
                <w:rFonts w:ascii="Times New Roman" w:hAnsi="Times New Roman" w:cs="Times New Roman"/>
                <w:b/>
                <w:bCs/>
                <w:color w:val="000000"/>
                <w:sz w:val="14"/>
                <w:szCs w:val="14"/>
              </w:rPr>
              <w:t>2020 N</w:t>
            </w:r>
          </w:p>
        </w:tc>
      </w:tr>
      <w:tr w:rsidR="007D13F3" w:rsidRPr="00A870F8" w:rsidTr="00A870F8">
        <w:trPr>
          <w:trHeight w:val="261"/>
        </w:trPr>
        <w:tc>
          <w:tcPr>
            <w:tcW w:w="1950" w:type="dxa"/>
            <w:tcBorders>
              <w:top w:val="single" w:sz="4" w:space="0" w:color="auto"/>
              <w:left w:val="single" w:sz="4" w:space="0" w:color="auto"/>
              <w:bottom w:val="single" w:sz="4" w:space="0" w:color="auto"/>
              <w:right w:val="single" w:sz="4" w:space="0" w:color="auto"/>
            </w:tcBorders>
            <w:shd w:val="clear" w:color="auto" w:fill="auto"/>
            <w:vAlign w:val="bottom"/>
          </w:tcPr>
          <w:p w:rsidR="007D13F3" w:rsidRPr="00A870F8" w:rsidRDefault="007D13F3" w:rsidP="00465CAC">
            <w:pPr>
              <w:rPr>
                <w:rFonts w:ascii="Times New Roman" w:hAnsi="Times New Roman" w:cs="Times New Roman"/>
                <w:bCs/>
                <w:sz w:val="14"/>
                <w:szCs w:val="14"/>
              </w:rPr>
            </w:pPr>
            <w:r w:rsidRPr="00A870F8">
              <w:rPr>
                <w:rFonts w:ascii="Times New Roman" w:hAnsi="Times New Roman" w:cs="Times New Roman"/>
                <w:bCs/>
                <w:sz w:val="14"/>
                <w:szCs w:val="14"/>
              </w:rPr>
              <w:t>Riadenie a kontrola</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jc w:val="right"/>
              <w:rPr>
                <w:rFonts w:ascii="Times New Roman" w:hAnsi="Times New Roman" w:cs="Times New Roman"/>
                <w:bCs/>
                <w:sz w:val="14"/>
                <w:szCs w:val="14"/>
                <w:highlight w:val="yellow"/>
              </w:rPr>
            </w:pPr>
            <w:r w:rsidRPr="00A870F8">
              <w:rPr>
                <w:rFonts w:ascii="Times New Roman" w:hAnsi="Times New Roman" w:cs="Times New Roman"/>
                <w:bCs/>
                <w:sz w:val="14"/>
                <w:szCs w:val="14"/>
              </w:rPr>
              <w:t>57 655 277</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jc w:val="right"/>
              <w:rPr>
                <w:rFonts w:ascii="Times New Roman" w:hAnsi="Times New Roman" w:cs="Times New Roman"/>
                <w:bCs/>
                <w:sz w:val="14"/>
                <w:szCs w:val="14"/>
                <w:highlight w:val="yellow"/>
              </w:rPr>
            </w:pPr>
            <w:r w:rsidRPr="00A870F8">
              <w:rPr>
                <w:rFonts w:ascii="Times New Roman" w:hAnsi="Times New Roman" w:cs="Times New Roman"/>
                <w:bCs/>
                <w:sz w:val="14"/>
                <w:szCs w:val="14"/>
              </w:rPr>
              <w:t>55 671 284</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jc w:val="right"/>
              <w:rPr>
                <w:rFonts w:ascii="Times New Roman" w:hAnsi="Times New Roman" w:cs="Times New Roman"/>
                <w:sz w:val="14"/>
                <w:szCs w:val="14"/>
                <w:highlight w:val="yellow"/>
              </w:rPr>
            </w:pPr>
            <w:r w:rsidRPr="00A870F8">
              <w:rPr>
                <w:rFonts w:ascii="Times New Roman" w:hAnsi="Times New Roman" w:cs="Times New Roman"/>
                <w:sz w:val="14"/>
                <w:szCs w:val="14"/>
              </w:rPr>
              <w:t>54 711 842</w:t>
            </w:r>
          </w:p>
        </w:tc>
        <w:tc>
          <w:tcPr>
            <w:tcW w:w="1037" w:type="dxa"/>
            <w:tcBorders>
              <w:top w:val="single" w:sz="4" w:space="0" w:color="auto"/>
              <w:left w:val="nil"/>
              <w:bottom w:val="single" w:sz="4" w:space="0" w:color="auto"/>
              <w:right w:val="single" w:sz="4" w:space="0" w:color="auto"/>
            </w:tcBorders>
            <w:shd w:val="clear" w:color="auto" w:fill="auto"/>
            <w:vAlign w:val="bottom"/>
          </w:tcPr>
          <w:p w:rsidR="007D13F3" w:rsidRPr="00A870F8" w:rsidRDefault="007D13F3" w:rsidP="00465CAC">
            <w:pPr>
              <w:autoSpaceDE w:val="0"/>
              <w:autoSpaceDN w:val="0"/>
              <w:adjustRightInd w:val="0"/>
              <w:jc w:val="right"/>
              <w:rPr>
                <w:rFonts w:ascii="Times New Roman" w:hAnsi="Times New Roman" w:cs="Times New Roman"/>
                <w:sz w:val="14"/>
                <w:szCs w:val="14"/>
                <w:highlight w:val="yellow"/>
              </w:rPr>
            </w:pPr>
            <w:r w:rsidRPr="00A870F8">
              <w:rPr>
                <w:rFonts w:ascii="Times New Roman" w:hAnsi="Times New Roman" w:cs="Times New Roman"/>
                <w:sz w:val="14"/>
                <w:szCs w:val="14"/>
              </w:rPr>
              <w:t>60 441 739</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A870F8" w:rsidRDefault="007D13F3" w:rsidP="00465CAC">
            <w:pPr>
              <w:autoSpaceDE w:val="0"/>
              <w:autoSpaceDN w:val="0"/>
              <w:adjustRightInd w:val="0"/>
              <w:jc w:val="right"/>
              <w:rPr>
                <w:rFonts w:ascii="Times New Roman" w:hAnsi="Times New Roman" w:cs="Times New Roman"/>
                <w:sz w:val="14"/>
                <w:szCs w:val="14"/>
                <w:highlight w:val="yellow"/>
              </w:rPr>
            </w:pPr>
            <w:r w:rsidRPr="00A870F8">
              <w:rPr>
                <w:rFonts w:ascii="Times New Roman" w:hAnsi="Times New Roman" w:cs="Times New Roman"/>
                <w:sz w:val="14"/>
                <w:szCs w:val="14"/>
              </w:rPr>
              <w:t>53 452 774</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autoSpaceDE w:val="0"/>
              <w:autoSpaceDN w:val="0"/>
              <w:adjustRightInd w:val="0"/>
              <w:jc w:val="right"/>
              <w:rPr>
                <w:rFonts w:ascii="Times New Roman" w:hAnsi="Times New Roman" w:cs="Times New Roman"/>
                <w:sz w:val="14"/>
                <w:szCs w:val="14"/>
                <w:highlight w:val="yellow"/>
              </w:rPr>
            </w:pPr>
            <w:r w:rsidRPr="00A870F8">
              <w:rPr>
                <w:rFonts w:ascii="Times New Roman" w:hAnsi="Times New Roman" w:cs="Times New Roman"/>
                <w:sz w:val="14"/>
                <w:szCs w:val="14"/>
              </w:rPr>
              <w:t>53 552 526</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autoSpaceDE w:val="0"/>
              <w:autoSpaceDN w:val="0"/>
              <w:adjustRightInd w:val="0"/>
              <w:jc w:val="right"/>
              <w:rPr>
                <w:rFonts w:ascii="Times New Roman" w:hAnsi="Times New Roman" w:cs="Times New Roman"/>
                <w:sz w:val="14"/>
                <w:szCs w:val="14"/>
                <w:highlight w:val="yellow"/>
              </w:rPr>
            </w:pPr>
            <w:r w:rsidRPr="00A870F8">
              <w:rPr>
                <w:rFonts w:ascii="Times New Roman" w:hAnsi="Times New Roman" w:cs="Times New Roman"/>
                <w:sz w:val="14"/>
                <w:szCs w:val="14"/>
              </w:rPr>
              <w:t>53 321 627</w:t>
            </w:r>
          </w:p>
        </w:tc>
      </w:tr>
    </w:tbl>
    <w:p w:rsidR="007D13F3" w:rsidRDefault="007D13F3" w:rsidP="007D13F3">
      <w:pPr>
        <w:ind w:firstLine="708"/>
        <w:jc w:val="both"/>
        <w:rPr>
          <w:rFonts w:ascii="Times New Roman" w:hAnsi="Times New Roman" w:cs="Times New Roman"/>
        </w:rPr>
      </w:pPr>
    </w:p>
    <w:p w:rsidR="007D13F3" w:rsidRPr="00E847A9" w:rsidRDefault="007D13F3" w:rsidP="007D13F3">
      <w:pPr>
        <w:ind w:firstLine="708"/>
        <w:jc w:val="both"/>
        <w:rPr>
          <w:rFonts w:ascii="Times New Roman" w:hAnsi="Times New Roman" w:cs="Times New Roman"/>
        </w:rPr>
      </w:pPr>
      <w:r w:rsidRPr="00603E46">
        <w:rPr>
          <w:rFonts w:ascii="Times New Roman" w:hAnsi="Times New Roman" w:cs="Times New Roman"/>
        </w:rPr>
        <w:t>Na program Riadenie a kontrola sa rozpočtujú výdavky v sume 53,5 mil. eur, čo je na úrovni roka 2017.</w:t>
      </w:r>
    </w:p>
    <w:p w:rsidR="007D13F3" w:rsidRPr="00603E46" w:rsidRDefault="007D13F3" w:rsidP="007D13F3">
      <w:pPr>
        <w:tabs>
          <w:tab w:val="left" w:pos="3075"/>
        </w:tabs>
        <w:ind w:firstLine="708"/>
        <w:jc w:val="both"/>
        <w:rPr>
          <w:rFonts w:ascii="Times New Roman" w:hAnsi="Times New Roman" w:cs="Times New Roman"/>
        </w:rPr>
      </w:pPr>
      <w:r w:rsidRPr="00603E46">
        <w:rPr>
          <w:rFonts w:ascii="Times New Roman" w:hAnsi="Times New Roman" w:cs="Times New Roman"/>
        </w:rPr>
        <w:tab/>
      </w:r>
    </w:p>
    <w:p w:rsidR="00A870F8" w:rsidRDefault="007D13F3" w:rsidP="007D13F3">
      <w:pPr>
        <w:jc w:val="both"/>
        <w:rPr>
          <w:rFonts w:ascii="Times New Roman" w:hAnsi="Times New Roman" w:cs="Times New Roman"/>
          <w:b/>
        </w:rPr>
      </w:pPr>
      <w:r w:rsidRPr="00693FCE">
        <w:rPr>
          <w:rFonts w:ascii="Times New Roman" w:hAnsi="Times New Roman" w:cs="Times New Roman"/>
          <w:b/>
        </w:rPr>
        <w:t>Voľby</w:t>
      </w:r>
    </w:p>
    <w:p w:rsidR="00A870F8" w:rsidRPr="00693FCE" w:rsidRDefault="00A870F8" w:rsidP="007D13F3">
      <w:pPr>
        <w:jc w:val="both"/>
        <w:rPr>
          <w:rFonts w:ascii="Times New Roman" w:hAnsi="Times New Roman" w:cs="Times New Roman"/>
          <w:b/>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2"/>
        <w:gridCol w:w="992"/>
        <w:gridCol w:w="992"/>
        <w:gridCol w:w="992"/>
        <w:gridCol w:w="992"/>
        <w:gridCol w:w="992"/>
        <w:gridCol w:w="992"/>
        <w:gridCol w:w="993"/>
      </w:tblGrid>
      <w:tr w:rsidR="007D13F3" w:rsidRPr="00A3218E" w:rsidTr="00A870F8">
        <w:trPr>
          <w:trHeight w:val="198"/>
        </w:trPr>
        <w:tc>
          <w:tcPr>
            <w:tcW w:w="2142" w:type="dxa"/>
            <w:tcBorders>
              <w:top w:val="single" w:sz="4" w:space="0" w:color="auto"/>
              <w:bottom w:val="single" w:sz="4" w:space="0" w:color="auto"/>
            </w:tcBorders>
            <w:shd w:val="clear" w:color="auto" w:fill="A6A6A6" w:themeFill="background1" w:themeFillShade="A6"/>
            <w:noWrap/>
            <w:vAlign w:val="bottom"/>
          </w:tcPr>
          <w:p w:rsidR="007D13F3" w:rsidRPr="00A3218E" w:rsidRDefault="007D13F3" w:rsidP="00465CAC">
            <w:pPr>
              <w:rPr>
                <w:rFonts w:ascii="Times New Roman" w:hAnsi="Times New Roman" w:cs="Times New Roman"/>
                <w:b/>
                <w:sz w:val="14"/>
                <w:szCs w:val="14"/>
              </w:rPr>
            </w:pPr>
            <w:r w:rsidRPr="00A3218E">
              <w:rPr>
                <w:rFonts w:ascii="Times New Roman" w:hAnsi="Times New Roman" w:cs="Times New Roman"/>
                <w:b/>
                <w:sz w:val="14"/>
                <w:szCs w:val="14"/>
              </w:rPr>
              <w:br w:type="page"/>
              <w:t> </w:t>
            </w:r>
            <w:r w:rsidR="00551C05">
              <w:rPr>
                <w:rFonts w:ascii="Times New Roman" w:hAnsi="Times New Roman" w:cs="Times New Roman"/>
                <w:b/>
                <w:sz w:val="14"/>
                <w:szCs w:val="14"/>
              </w:rPr>
              <w:t>v eurách</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D85B9E" w:rsidRDefault="007D13F3" w:rsidP="00465CAC">
            <w:pPr>
              <w:jc w:val="center"/>
              <w:rPr>
                <w:rFonts w:ascii="Times New Roman" w:hAnsi="Times New Roman" w:cs="Times New Roman"/>
                <w:b/>
                <w:bCs/>
                <w:color w:val="000000"/>
                <w:sz w:val="14"/>
                <w:szCs w:val="14"/>
              </w:rPr>
            </w:pPr>
            <w:r w:rsidRPr="00D85B9E">
              <w:rPr>
                <w:rFonts w:ascii="Times New Roman" w:hAnsi="Times New Roman" w:cs="Times New Roman"/>
                <w:b/>
                <w:bCs/>
                <w:color w:val="000000"/>
                <w:sz w:val="14"/>
                <w:szCs w:val="14"/>
              </w:rPr>
              <w:t>2015 S</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D85B9E" w:rsidRDefault="007D13F3" w:rsidP="00465CAC">
            <w:pPr>
              <w:jc w:val="center"/>
              <w:rPr>
                <w:rFonts w:ascii="Times New Roman" w:hAnsi="Times New Roman" w:cs="Times New Roman"/>
                <w:b/>
                <w:bCs/>
                <w:color w:val="000000"/>
                <w:sz w:val="14"/>
                <w:szCs w:val="14"/>
                <w:highlight w:val="yellow"/>
              </w:rPr>
            </w:pPr>
            <w:r w:rsidRPr="00D85B9E">
              <w:rPr>
                <w:rFonts w:ascii="Times New Roman" w:hAnsi="Times New Roman" w:cs="Times New Roman"/>
                <w:b/>
                <w:bCs/>
                <w:color w:val="000000"/>
                <w:sz w:val="14"/>
                <w:szCs w:val="14"/>
              </w:rPr>
              <w:t xml:space="preserve">2016 S </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D85B9E" w:rsidRDefault="007D13F3" w:rsidP="00465CAC">
            <w:pPr>
              <w:jc w:val="center"/>
              <w:rPr>
                <w:rFonts w:ascii="Times New Roman" w:hAnsi="Times New Roman" w:cs="Times New Roman"/>
                <w:b/>
                <w:bCs/>
                <w:color w:val="000000"/>
                <w:sz w:val="14"/>
                <w:szCs w:val="14"/>
              </w:rPr>
            </w:pPr>
            <w:r w:rsidRPr="00D85B9E">
              <w:rPr>
                <w:rFonts w:ascii="Times New Roman" w:hAnsi="Times New Roman" w:cs="Times New Roman"/>
                <w:b/>
                <w:bCs/>
                <w:color w:val="000000"/>
                <w:sz w:val="14"/>
                <w:szCs w:val="14"/>
              </w:rPr>
              <w:t>2017 R</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D85B9E" w:rsidRDefault="007D13F3" w:rsidP="00465CAC">
            <w:pPr>
              <w:jc w:val="center"/>
              <w:rPr>
                <w:rFonts w:ascii="Times New Roman" w:hAnsi="Times New Roman" w:cs="Times New Roman"/>
                <w:b/>
                <w:bCs/>
                <w:color w:val="000000"/>
                <w:sz w:val="14"/>
                <w:szCs w:val="14"/>
              </w:rPr>
            </w:pPr>
            <w:r w:rsidRPr="00D85B9E">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D85B9E" w:rsidRDefault="007D13F3" w:rsidP="00465CAC">
            <w:pPr>
              <w:jc w:val="center"/>
              <w:rPr>
                <w:rFonts w:ascii="Times New Roman" w:hAnsi="Times New Roman" w:cs="Times New Roman"/>
                <w:b/>
                <w:bCs/>
                <w:color w:val="000000"/>
                <w:sz w:val="14"/>
                <w:szCs w:val="14"/>
              </w:rPr>
            </w:pPr>
            <w:r w:rsidRPr="00D85B9E">
              <w:rPr>
                <w:rFonts w:ascii="Times New Roman" w:hAnsi="Times New Roman" w:cs="Times New Roman"/>
                <w:b/>
                <w:bCs/>
                <w:color w:val="000000"/>
                <w:sz w:val="14"/>
                <w:szCs w:val="14"/>
              </w:rPr>
              <w:t>2018 N</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D85B9E" w:rsidRDefault="007D13F3" w:rsidP="00465CAC">
            <w:pPr>
              <w:jc w:val="center"/>
              <w:rPr>
                <w:rFonts w:ascii="Times New Roman" w:hAnsi="Times New Roman" w:cs="Times New Roman"/>
                <w:b/>
                <w:bCs/>
                <w:color w:val="000000"/>
                <w:sz w:val="14"/>
                <w:szCs w:val="14"/>
              </w:rPr>
            </w:pPr>
            <w:r w:rsidRPr="00D85B9E">
              <w:rPr>
                <w:rFonts w:ascii="Times New Roman" w:hAnsi="Times New Roman" w:cs="Times New Roman"/>
                <w:b/>
                <w:bCs/>
                <w:color w:val="000000"/>
                <w:sz w:val="14"/>
                <w:szCs w:val="14"/>
              </w:rPr>
              <w:t>2019 N</w:t>
            </w:r>
          </w:p>
        </w:tc>
        <w:tc>
          <w:tcPr>
            <w:tcW w:w="993"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D85B9E" w:rsidRDefault="007D13F3" w:rsidP="00465CAC">
            <w:pPr>
              <w:jc w:val="center"/>
              <w:rPr>
                <w:rFonts w:ascii="Times New Roman" w:hAnsi="Times New Roman" w:cs="Times New Roman"/>
                <w:b/>
                <w:bCs/>
                <w:color w:val="000000"/>
                <w:sz w:val="14"/>
                <w:szCs w:val="14"/>
              </w:rPr>
            </w:pPr>
            <w:r w:rsidRPr="00D85B9E">
              <w:rPr>
                <w:rFonts w:ascii="Times New Roman" w:hAnsi="Times New Roman" w:cs="Times New Roman"/>
                <w:b/>
                <w:bCs/>
                <w:color w:val="000000"/>
                <w:sz w:val="14"/>
                <w:szCs w:val="14"/>
              </w:rPr>
              <w:t>2020 N</w:t>
            </w:r>
          </w:p>
        </w:tc>
      </w:tr>
      <w:tr w:rsidR="007D13F3" w:rsidRPr="00A3218E" w:rsidTr="00A870F8">
        <w:trPr>
          <w:trHeight w:val="198"/>
        </w:trPr>
        <w:tc>
          <w:tcPr>
            <w:tcW w:w="2142" w:type="dxa"/>
            <w:shd w:val="clear" w:color="auto" w:fill="BFBFBF" w:themeFill="background1" w:themeFillShade="BF"/>
            <w:noWrap/>
            <w:vAlign w:val="bottom"/>
          </w:tcPr>
          <w:p w:rsidR="007D13F3" w:rsidRPr="00A3218E" w:rsidRDefault="007D13F3" w:rsidP="00465CAC">
            <w:pPr>
              <w:rPr>
                <w:rFonts w:ascii="Times New Roman" w:hAnsi="Times New Roman" w:cs="Times New Roman"/>
                <w:b/>
                <w:bCs/>
                <w:sz w:val="14"/>
                <w:szCs w:val="14"/>
              </w:rPr>
            </w:pPr>
            <w:r w:rsidRPr="00A3218E">
              <w:rPr>
                <w:rFonts w:ascii="Times New Roman" w:hAnsi="Times New Roman" w:cs="Times New Roman"/>
                <w:b/>
                <w:bCs/>
                <w:sz w:val="14"/>
                <w:szCs w:val="14"/>
              </w:rPr>
              <w:t>Voľby</w:t>
            </w:r>
          </w:p>
        </w:tc>
        <w:tc>
          <w:tcPr>
            <w:tcW w:w="992" w:type="dxa"/>
            <w:shd w:val="clear" w:color="auto" w:fill="BFBFBF" w:themeFill="background1" w:themeFillShade="BF"/>
            <w:vAlign w:val="bottom"/>
          </w:tcPr>
          <w:p w:rsidR="007D13F3" w:rsidRPr="00D85B9E" w:rsidRDefault="007D13F3" w:rsidP="00465CAC">
            <w:pPr>
              <w:jc w:val="right"/>
              <w:rPr>
                <w:rFonts w:ascii="Times New Roman" w:hAnsi="Times New Roman" w:cs="Times New Roman"/>
                <w:b/>
                <w:sz w:val="14"/>
                <w:szCs w:val="14"/>
                <w:highlight w:val="yellow"/>
              </w:rPr>
            </w:pPr>
            <w:r w:rsidRPr="00D85B9E">
              <w:rPr>
                <w:rFonts w:ascii="Times New Roman" w:hAnsi="Times New Roman" w:cs="Times New Roman"/>
                <w:b/>
                <w:sz w:val="14"/>
                <w:szCs w:val="14"/>
              </w:rPr>
              <w:t>3 522 181</w:t>
            </w:r>
          </w:p>
        </w:tc>
        <w:tc>
          <w:tcPr>
            <w:tcW w:w="992" w:type="dxa"/>
            <w:shd w:val="clear" w:color="auto" w:fill="BFBFBF" w:themeFill="background1" w:themeFillShade="BF"/>
            <w:vAlign w:val="bottom"/>
          </w:tcPr>
          <w:p w:rsidR="007D13F3" w:rsidRPr="00D85B9E" w:rsidRDefault="007D13F3" w:rsidP="00465CAC">
            <w:pPr>
              <w:jc w:val="right"/>
              <w:rPr>
                <w:rFonts w:ascii="Times New Roman" w:hAnsi="Times New Roman" w:cs="Times New Roman"/>
                <w:b/>
                <w:sz w:val="14"/>
                <w:szCs w:val="14"/>
                <w:highlight w:val="yellow"/>
              </w:rPr>
            </w:pPr>
            <w:r w:rsidRPr="00D85B9E">
              <w:rPr>
                <w:rFonts w:ascii="Times New Roman" w:hAnsi="Times New Roman" w:cs="Times New Roman"/>
                <w:b/>
                <w:sz w:val="14"/>
                <w:szCs w:val="14"/>
              </w:rPr>
              <w:t>7 304 105</w:t>
            </w:r>
          </w:p>
        </w:tc>
        <w:tc>
          <w:tcPr>
            <w:tcW w:w="992" w:type="dxa"/>
            <w:shd w:val="clear" w:color="auto" w:fill="BFBFBF" w:themeFill="background1" w:themeFillShade="BF"/>
            <w:vAlign w:val="bottom"/>
          </w:tcPr>
          <w:p w:rsidR="007D13F3" w:rsidRPr="00D85B9E" w:rsidRDefault="007D13F3" w:rsidP="00465CAC">
            <w:pPr>
              <w:jc w:val="right"/>
              <w:rPr>
                <w:rFonts w:ascii="Times New Roman" w:hAnsi="Times New Roman" w:cs="Times New Roman"/>
                <w:b/>
                <w:sz w:val="14"/>
                <w:szCs w:val="14"/>
                <w:highlight w:val="yellow"/>
              </w:rPr>
            </w:pPr>
            <w:r w:rsidRPr="00D85B9E">
              <w:rPr>
                <w:rFonts w:ascii="Times New Roman" w:hAnsi="Times New Roman" w:cs="Times New Roman"/>
                <w:b/>
                <w:sz w:val="14"/>
                <w:szCs w:val="14"/>
              </w:rPr>
              <w:t>10 067 385</w:t>
            </w:r>
          </w:p>
        </w:tc>
        <w:tc>
          <w:tcPr>
            <w:tcW w:w="992" w:type="dxa"/>
            <w:shd w:val="clear" w:color="auto" w:fill="BFBFBF" w:themeFill="background1" w:themeFillShade="BF"/>
            <w:vAlign w:val="bottom"/>
          </w:tcPr>
          <w:p w:rsidR="007D13F3" w:rsidRPr="00D85B9E" w:rsidRDefault="007D13F3" w:rsidP="00465CAC">
            <w:pPr>
              <w:jc w:val="right"/>
              <w:rPr>
                <w:rFonts w:ascii="Times New Roman" w:hAnsi="Times New Roman" w:cs="Times New Roman"/>
                <w:b/>
                <w:sz w:val="14"/>
                <w:szCs w:val="14"/>
                <w:highlight w:val="yellow"/>
              </w:rPr>
            </w:pPr>
            <w:r w:rsidRPr="00D85B9E">
              <w:rPr>
                <w:rFonts w:ascii="Times New Roman" w:hAnsi="Times New Roman" w:cs="Times New Roman"/>
                <w:b/>
                <w:sz w:val="14"/>
                <w:szCs w:val="14"/>
              </w:rPr>
              <w:t>10 066 684</w:t>
            </w:r>
          </w:p>
        </w:tc>
        <w:tc>
          <w:tcPr>
            <w:tcW w:w="992" w:type="dxa"/>
            <w:shd w:val="clear" w:color="auto" w:fill="BFBFBF" w:themeFill="background1" w:themeFillShade="BF"/>
            <w:vAlign w:val="bottom"/>
          </w:tcPr>
          <w:p w:rsidR="007D13F3" w:rsidRPr="00D85B9E" w:rsidRDefault="007D13F3" w:rsidP="00465CAC">
            <w:pPr>
              <w:jc w:val="right"/>
              <w:rPr>
                <w:rFonts w:ascii="Times New Roman" w:hAnsi="Times New Roman" w:cs="Times New Roman"/>
                <w:b/>
                <w:sz w:val="14"/>
                <w:szCs w:val="14"/>
                <w:highlight w:val="yellow"/>
              </w:rPr>
            </w:pPr>
            <w:r w:rsidRPr="00D85B9E">
              <w:rPr>
                <w:rFonts w:ascii="Times New Roman" w:hAnsi="Times New Roman" w:cs="Times New Roman"/>
                <w:b/>
                <w:sz w:val="14"/>
                <w:szCs w:val="14"/>
              </w:rPr>
              <w:t>8 008 634</w:t>
            </w:r>
          </w:p>
        </w:tc>
        <w:tc>
          <w:tcPr>
            <w:tcW w:w="992" w:type="dxa"/>
            <w:shd w:val="clear" w:color="auto" w:fill="BFBFBF" w:themeFill="background1" w:themeFillShade="BF"/>
            <w:vAlign w:val="bottom"/>
          </w:tcPr>
          <w:p w:rsidR="007D13F3" w:rsidRPr="00D85B9E" w:rsidRDefault="007D13F3" w:rsidP="00465CAC">
            <w:pPr>
              <w:jc w:val="right"/>
              <w:rPr>
                <w:rFonts w:ascii="Times New Roman" w:hAnsi="Times New Roman" w:cs="Times New Roman"/>
                <w:b/>
                <w:sz w:val="14"/>
                <w:szCs w:val="14"/>
                <w:highlight w:val="yellow"/>
              </w:rPr>
            </w:pPr>
            <w:r w:rsidRPr="00D85B9E">
              <w:rPr>
                <w:rFonts w:ascii="Times New Roman" w:hAnsi="Times New Roman" w:cs="Times New Roman"/>
                <w:b/>
                <w:sz w:val="14"/>
                <w:szCs w:val="14"/>
              </w:rPr>
              <w:t>20 496 976</w:t>
            </w:r>
          </w:p>
        </w:tc>
        <w:tc>
          <w:tcPr>
            <w:tcW w:w="993" w:type="dxa"/>
            <w:shd w:val="clear" w:color="auto" w:fill="BFBFBF" w:themeFill="background1" w:themeFillShade="BF"/>
            <w:vAlign w:val="bottom"/>
          </w:tcPr>
          <w:p w:rsidR="007D13F3" w:rsidRPr="00D85B9E" w:rsidRDefault="007D13F3" w:rsidP="00465CAC">
            <w:pPr>
              <w:jc w:val="right"/>
              <w:rPr>
                <w:rFonts w:ascii="Times New Roman" w:hAnsi="Times New Roman" w:cs="Times New Roman"/>
                <w:b/>
                <w:sz w:val="14"/>
                <w:szCs w:val="14"/>
                <w:highlight w:val="yellow"/>
              </w:rPr>
            </w:pPr>
            <w:r w:rsidRPr="00D85B9E">
              <w:rPr>
                <w:rFonts w:ascii="Times New Roman" w:hAnsi="Times New Roman" w:cs="Times New Roman"/>
                <w:b/>
                <w:sz w:val="14"/>
                <w:szCs w:val="14"/>
              </w:rPr>
              <w:t>9 690 001</w:t>
            </w:r>
          </w:p>
        </w:tc>
      </w:tr>
      <w:tr w:rsidR="007D13F3" w:rsidRPr="00A3218E" w:rsidTr="00A870F8">
        <w:trPr>
          <w:trHeight w:val="198"/>
        </w:trPr>
        <w:tc>
          <w:tcPr>
            <w:tcW w:w="2142" w:type="dxa"/>
            <w:shd w:val="clear" w:color="auto" w:fill="auto"/>
            <w:noWrap/>
            <w:vAlign w:val="bottom"/>
          </w:tcPr>
          <w:p w:rsidR="007D13F3" w:rsidRPr="00A3218E" w:rsidRDefault="007D13F3" w:rsidP="00465CAC">
            <w:pPr>
              <w:rPr>
                <w:rFonts w:ascii="Times New Roman" w:hAnsi="Times New Roman" w:cs="Times New Roman"/>
                <w:color w:val="000000"/>
                <w:sz w:val="14"/>
                <w:szCs w:val="14"/>
              </w:rPr>
            </w:pPr>
            <w:r w:rsidRPr="00A3218E">
              <w:rPr>
                <w:rFonts w:ascii="Times New Roman" w:hAnsi="Times New Roman" w:cs="Times New Roman"/>
                <w:color w:val="000000"/>
                <w:sz w:val="14"/>
                <w:szCs w:val="14"/>
              </w:rPr>
              <w:t>Kraje</w:t>
            </w:r>
          </w:p>
        </w:tc>
        <w:tc>
          <w:tcPr>
            <w:tcW w:w="992" w:type="dxa"/>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vAlign w:val="bottom"/>
          </w:tcPr>
          <w:p w:rsidR="007D13F3" w:rsidRPr="00D85B9E" w:rsidRDefault="007D13F3" w:rsidP="00465CAC">
            <w:pPr>
              <w:jc w:val="right"/>
              <w:rPr>
                <w:rFonts w:ascii="Times New Roman" w:hAnsi="Times New Roman" w:cs="Times New Roman"/>
                <w:sz w:val="14"/>
                <w:szCs w:val="14"/>
                <w:highlight w:val="yellow"/>
              </w:rPr>
            </w:pPr>
            <w:r w:rsidRPr="00D85B9E">
              <w:rPr>
                <w:rFonts w:ascii="Times New Roman" w:hAnsi="Times New Roman" w:cs="Times New Roman"/>
                <w:sz w:val="14"/>
                <w:szCs w:val="14"/>
              </w:rPr>
              <w:t>9 524 459</w:t>
            </w:r>
          </w:p>
        </w:tc>
        <w:tc>
          <w:tcPr>
            <w:tcW w:w="992" w:type="dxa"/>
            <w:shd w:val="clear" w:color="auto" w:fill="FFFFFF" w:themeFill="background1"/>
            <w:vAlign w:val="bottom"/>
          </w:tcPr>
          <w:p w:rsidR="007D13F3" w:rsidRPr="00D85B9E" w:rsidRDefault="007D13F3" w:rsidP="00465CAC">
            <w:pPr>
              <w:jc w:val="right"/>
              <w:rPr>
                <w:rFonts w:ascii="Times New Roman" w:hAnsi="Times New Roman" w:cs="Times New Roman"/>
                <w:sz w:val="14"/>
                <w:szCs w:val="14"/>
                <w:highlight w:val="yellow"/>
              </w:rPr>
            </w:pPr>
            <w:r w:rsidRPr="00D85B9E">
              <w:rPr>
                <w:rFonts w:ascii="Times New Roman" w:hAnsi="Times New Roman" w:cs="Times New Roman"/>
                <w:sz w:val="14"/>
                <w:szCs w:val="14"/>
              </w:rPr>
              <w:t>9 524 459</w:t>
            </w:r>
          </w:p>
        </w:tc>
        <w:tc>
          <w:tcPr>
            <w:tcW w:w="992" w:type="dxa"/>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3" w:type="dxa"/>
            <w:shd w:val="clear" w:color="auto" w:fill="auto"/>
            <w:noWrap/>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r>
      <w:tr w:rsidR="007D13F3" w:rsidRPr="00A3218E" w:rsidTr="00A870F8">
        <w:trPr>
          <w:trHeight w:val="198"/>
        </w:trPr>
        <w:tc>
          <w:tcPr>
            <w:tcW w:w="2142" w:type="dxa"/>
            <w:shd w:val="clear" w:color="auto" w:fill="auto"/>
            <w:noWrap/>
            <w:vAlign w:val="bottom"/>
          </w:tcPr>
          <w:p w:rsidR="007D13F3" w:rsidRPr="00A3218E" w:rsidRDefault="007D13F3" w:rsidP="00465CAC">
            <w:pPr>
              <w:rPr>
                <w:rFonts w:ascii="Times New Roman" w:hAnsi="Times New Roman" w:cs="Times New Roman"/>
                <w:color w:val="000000"/>
                <w:sz w:val="14"/>
                <w:szCs w:val="14"/>
              </w:rPr>
            </w:pPr>
            <w:r w:rsidRPr="00A3218E">
              <w:rPr>
                <w:rFonts w:ascii="Times New Roman" w:hAnsi="Times New Roman" w:cs="Times New Roman"/>
                <w:color w:val="000000"/>
                <w:sz w:val="14"/>
                <w:szCs w:val="14"/>
              </w:rPr>
              <w:t>Nové voľby - samospráva kraje</w:t>
            </w:r>
          </w:p>
        </w:tc>
        <w:tc>
          <w:tcPr>
            <w:tcW w:w="992" w:type="dxa"/>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vAlign w:val="bottom"/>
          </w:tcPr>
          <w:p w:rsidR="007D13F3" w:rsidRPr="00D85B9E" w:rsidRDefault="007D13F3" w:rsidP="00465CAC">
            <w:pPr>
              <w:jc w:val="right"/>
              <w:rPr>
                <w:rFonts w:ascii="Times New Roman" w:hAnsi="Times New Roman" w:cs="Times New Roman"/>
                <w:sz w:val="14"/>
                <w:szCs w:val="14"/>
                <w:highlight w:val="yellow"/>
              </w:rPr>
            </w:pPr>
            <w:r w:rsidRPr="00D85B9E">
              <w:rPr>
                <w:rFonts w:ascii="Times New Roman" w:hAnsi="Times New Roman" w:cs="Times New Roman"/>
                <w:sz w:val="14"/>
                <w:szCs w:val="14"/>
              </w:rPr>
              <w:t>271 463</w:t>
            </w:r>
          </w:p>
        </w:tc>
        <w:tc>
          <w:tcPr>
            <w:tcW w:w="992" w:type="dxa"/>
            <w:shd w:val="clear" w:color="auto" w:fill="FFFFFF" w:themeFill="background1"/>
            <w:vAlign w:val="bottom"/>
          </w:tcPr>
          <w:p w:rsidR="007D13F3" w:rsidRPr="00D85B9E" w:rsidRDefault="007D13F3" w:rsidP="00465CAC">
            <w:pPr>
              <w:jc w:val="right"/>
              <w:rPr>
                <w:rFonts w:ascii="Times New Roman" w:hAnsi="Times New Roman" w:cs="Times New Roman"/>
                <w:sz w:val="14"/>
                <w:szCs w:val="14"/>
                <w:highlight w:val="yellow"/>
              </w:rPr>
            </w:pPr>
            <w:r w:rsidRPr="00D85B9E">
              <w:rPr>
                <w:rFonts w:ascii="Times New Roman" w:hAnsi="Times New Roman" w:cs="Times New Roman"/>
                <w:sz w:val="14"/>
                <w:szCs w:val="14"/>
              </w:rPr>
              <w:t>271 463</w:t>
            </w:r>
          </w:p>
        </w:tc>
        <w:tc>
          <w:tcPr>
            <w:tcW w:w="992" w:type="dxa"/>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271 463</w:t>
            </w:r>
          </w:p>
        </w:tc>
        <w:tc>
          <w:tcPr>
            <w:tcW w:w="992" w:type="dxa"/>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271 463</w:t>
            </w:r>
          </w:p>
        </w:tc>
        <w:tc>
          <w:tcPr>
            <w:tcW w:w="993" w:type="dxa"/>
            <w:shd w:val="clear" w:color="auto" w:fill="auto"/>
            <w:noWrap/>
            <w:vAlign w:val="bottom"/>
          </w:tcPr>
          <w:p w:rsidR="007D13F3" w:rsidRPr="00D85B9E" w:rsidRDefault="007D13F3" w:rsidP="00465CAC">
            <w:pPr>
              <w:jc w:val="right"/>
              <w:rPr>
                <w:rFonts w:ascii="Times New Roman" w:hAnsi="Times New Roman" w:cs="Times New Roman"/>
                <w:sz w:val="14"/>
                <w:szCs w:val="14"/>
                <w:highlight w:val="yellow"/>
              </w:rPr>
            </w:pPr>
            <w:r w:rsidRPr="00D85B9E">
              <w:rPr>
                <w:rFonts w:ascii="Times New Roman" w:hAnsi="Times New Roman" w:cs="Times New Roman"/>
                <w:sz w:val="14"/>
                <w:szCs w:val="14"/>
              </w:rPr>
              <w:t>271 463</w:t>
            </w:r>
          </w:p>
        </w:tc>
      </w:tr>
      <w:tr w:rsidR="007D13F3" w:rsidRPr="00A3218E" w:rsidTr="00A870F8">
        <w:trPr>
          <w:trHeight w:val="198"/>
        </w:trPr>
        <w:tc>
          <w:tcPr>
            <w:tcW w:w="2142" w:type="dxa"/>
            <w:shd w:val="clear" w:color="auto" w:fill="auto"/>
            <w:noWrap/>
            <w:vAlign w:val="bottom"/>
          </w:tcPr>
          <w:p w:rsidR="007D13F3" w:rsidRPr="00A3218E" w:rsidRDefault="007D13F3" w:rsidP="00465CAC">
            <w:pPr>
              <w:rPr>
                <w:rFonts w:ascii="Times New Roman" w:hAnsi="Times New Roman" w:cs="Times New Roman"/>
                <w:color w:val="000000"/>
                <w:sz w:val="14"/>
                <w:szCs w:val="14"/>
              </w:rPr>
            </w:pPr>
            <w:r w:rsidRPr="00A3218E">
              <w:rPr>
                <w:rFonts w:ascii="Times New Roman" w:hAnsi="Times New Roman" w:cs="Times New Roman"/>
                <w:color w:val="000000"/>
                <w:sz w:val="14"/>
                <w:szCs w:val="14"/>
              </w:rPr>
              <w:t>Voľby prezidenta</w:t>
            </w:r>
          </w:p>
        </w:tc>
        <w:tc>
          <w:tcPr>
            <w:tcW w:w="992" w:type="dxa"/>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shd w:val="clear" w:color="auto" w:fill="FFFFFF" w:themeFill="background1"/>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11 266 875</w:t>
            </w:r>
          </w:p>
        </w:tc>
        <w:tc>
          <w:tcPr>
            <w:tcW w:w="993" w:type="dxa"/>
            <w:shd w:val="clear" w:color="auto" w:fill="auto"/>
            <w:noWrap/>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r>
      <w:tr w:rsidR="007D13F3" w:rsidRPr="00A3218E" w:rsidTr="00A870F8">
        <w:trPr>
          <w:trHeight w:val="198"/>
        </w:trPr>
        <w:tc>
          <w:tcPr>
            <w:tcW w:w="2142" w:type="dxa"/>
            <w:tcBorders>
              <w:bottom w:val="single" w:sz="4" w:space="0" w:color="auto"/>
            </w:tcBorders>
            <w:shd w:val="clear" w:color="auto" w:fill="auto"/>
            <w:noWrap/>
            <w:vAlign w:val="bottom"/>
          </w:tcPr>
          <w:p w:rsidR="007D13F3" w:rsidRPr="00A3218E" w:rsidRDefault="007D13F3" w:rsidP="00465CAC">
            <w:pPr>
              <w:rPr>
                <w:rFonts w:ascii="Times New Roman" w:hAnsi="Times New Roman" w:cs="Times New Roman"/>
                <w:color w:val="000000"/>
                <w:sz w:val="14"/>
                <w:szCs w:val="14"/>
              </w:rPr>
            </w:pPr>
            <w:r w:rsidRPr="00A3218E">
              <w:rPr>
                <w:rFonts w:ascii="Times New Roman" w:hAnsi="Times New Roman" w:cs="Times New Roman"/>
                <w:color w:val="000000"/>
                <w:sz w:val="14"/>
                <w:szCs w:val="14"/>
              </w:rPr>
              <w:t>Európsky parlament</w:t>
            </w:r>
          </w:p>
        </w:tc>
        <w:tc>
          <w:tcPr>
            <w:tcW w:w="992" w:type="dxa"/>
            <w:tcBorders>
              <w:bottom w:val="single" w:sz="4" w:space="0" w:color="auto"/>
            </w:tcBorders>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tcBorders>
              <w:bottom w:val="single" w:sz="4" w:space="0" w:color="auto"/>
            </w:tcBorders>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tcBorders>
              <w:bottom w:val="single" w:sz="4" w:space="0" w:color="auto"/>
            </w:tcBorders>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tcBorders>
              <w:bottom w:val="single" w:sz="4" w:space="0" w:color="auto"/>
            </w:tcBorders>
            <w:shd w:val="clear" w:color="auto" w:fill="FFFFFF" w:themeFill="background1"/>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tcBorders>
              <w:bottom w:val="single" w:sz="4" w:space="0" w:color="auto"/>
            </w:tcBorders>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tcBorders>
              <w:bottom w:val="single" w:sz="4" w:space="0" w:color="auto"/>
            </w:tcBorders>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8 687 175</w:t>
            </w:r>
          </w:p>
        </w:tc>
        <w:tc>
          <w:tcPr>
            <w:tcW w:w="993" w:type="dxa"/>
            <w:tcBorders>
              <w:bottom w:val="single" w:sz="4" w:space="0" w:color="auto"/>
            </w:tcBorders>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r>
      <w:tr w:rsidR="007D13F3" w:rsidRPr="00A3218E" w:rsidTr="00A870F8">
        <w:trPr>
          <w:trHeight w:val="198"/>
        </w:trPr>
        <w:tc>
          <w:tcPr>
            <w:tcW w:w="2142" w:type="dxa"/>
            <w:tcBorders>
              <w:bottom w:val="single" w:sz="4" w:space="0" w:color="auto"/>
            </w:tcBorders>
            <w:shd w:val="clear" w:color="auto" w:fill="auto"/>
            <w:noWrap/>
            <w:vAlign w:val="bottom"/>
          </w:tcPr>
          <w:p w:rsidR="007D13F3" w:rsidRPr="00A3218E" w:rsidRDefault="007D13F3" w:rsidP="00465CAC">
            <w:pPr>
              <w:rPr>
                <w:rFonts w:ascii="Times New Roman" w:hAnsi="Times New Roman" w:cs="Times New Roman"/>
                <w:color w:val="000000"/>
                <w:sz w:val="14"/>
                <w:szCs w:val="14"/>
              </w:rPr>
            </w:pPr>
            <w:r w:rsidRPr="00A3218E">
              <w:rPr>
                <w:rFonts w:ascii="Times New Roman" w:hAnsi="Times New Roman" w:cs="Times New Roman"/>
                <w:color w:val="000000"/>
                <w:sz w:val="14"/>
                <w:szCs w:val="14"/>
              </w:rPr>
              <w:t>Obce</w:t>
            </w:r>
          </w:p>
        </w:tc>
        <w:tc>
          <w:tcPr>
            <w:tcW w:w="992" w:type="dxa"/>
            <w:tcBorders>
              <w:bottom w:val="single" w:sz="4" w:space="0" w:color="auto"/>
            </w:tcBorders>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tcBorders>
              <w:bottom w:val="single" w:sz="4" w:space="0" w:color="auto"/>
            </w:tcBorders>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00</w:t>
            </w:r>
          </w:p>
        </w:tc>
        <w:tc>
          <w:tcPr>
            <w:tcW w:w="992" w:type="dxa"/>
            <w:tcBorders>
              <w:bottom w:val="single" w:sz="4" w:space="0" w:color="auto"/>
            </w:tcBorders>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tcBorders>
              <w:bottom w:val="single" w:sz="4" w:space="0" w:color="auto"/>
            </w:tcBorders>
            <w:shd w:val="clear" w:color="auto" w:fill="FFFFFF" w:themeFill="background1"/>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tcBorders>
              <w:bottom w:val="single" w:sz="4" w:space="0" w:color="auto"/>
            </w:tcBorders>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7 465 708</w:t>
            </w:r>
          </w:p>
        </w:tc>
        <w:tc>
          <w:tcPr>
            <w:tcW w:w="992" w:type="dxa"/>
            <w:tcBorders>
              <w:bottom w:val="single" w:sz="4" w:space="0" w:color="auto"/>
            </w:tcBorders>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3" w:type="dxa"/>
            <w:tcBorders>
              <w:bottom w:val="single" w:sz="4" w:space="0" w:color="auto"/>
            </w:tcBorders>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r>
      <w:tr w:rsidR="007D13F3" w:rsidRPr="00A3218E" w:rsidTr="00A870F8">
        <w:trPr>
          <w:trHeight w:val="198"/>
        </w:trPr>
        <w:tc>
          <w:tcPr>
            <w:tcW w:w="2142" w:type="dxa"/>
            <w:tcBorders>
              <w:bottom w:val="single" w:sz="4" w:space="0" w:color="auto"/>
            </w:tcBorders>
            <w:shd w:val="clear" w:color="auto" w:fill="auto"/>
            <w:noWrap/>
            <w:vAlign w:val="bottom"/>
          </w:tcPr>
          <w:p w:rsidR="007D13F3" w:rsidRPr="00A3218E" w:rsidRDefault="007D13F3" w:rsidP="00465CAC">
            <w:pPr>
              <w:rPr>
                <w:rFonts w:ascii="Times New Roman" w:hAnsi="Times New Roman" w:cs="Times New Roman"/>
                <w:color w:val="000000"/>
                <w:sz w:val="14"/>
                <w:szCs w:val="14"/>
              </w:rPr>
            </w:pPr>
            <w:r w:rsidRPr="00A3218E">
              <w:rPr>
                <w:rFonts w:ascii="Times New Roman" w:hAnsi="Times New Roman" w:cs="Times New Roman"/>
                <w:color w:val="000000"/>
                <w:sz w:val="14"/>
                <w:szCs w:val="14"/>
              </w:rPr>
              <w:t>Nové voľby - samospráva obce</w:t>
            </w:r>
          </w:p>
        </w:tc>
        <w:tc>
          <w:tcPr>
            <w:tcW w:w="992" w:type="dxa"/>
            <w:tcBorders>
              <w:bottom w:val="single" w:sz="4" w:space="0" w:color="auto"/>
            </w:tcBorders>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53 215</w:t>
            </w:r>
          </w:p>
        </w:tc>
        <w:tc>
          <w:tcPr>
            <w:tcW w:w="992" w:type="dxa"/>
            <w:tcBorders>
              <w:bottom w:val="single" w:sz="4" w:space="0" w:color="auto"/>
            </w:tcBorders>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56 788</w:t>
            </w:r>
          </w:p>
        </w:tc>
        <w:tc>
          <w:tcPr>
            <w:tcW w:w="992" w:type="dxa"/>
            <w:tcBorders>
              <w:bottom w:val="single" w:sz="4" w:space="0" w:color="auto"/>
            </w:tcBorders>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271 463</w:t>
            </w:r>
          </w:p>
        </w:tc>
        <w:tc>
          <w:tcPr>
            <w:tcW w:w="992" w:type="dxa"/>
            <w:tcBorders>
              <w:bottom w:val="single" w:sz="4" w:space="0" w:color="auto"/>
            </w:tcBorders>
            <w:shd w:val="clear" w:color="auto" w:fill="FFFFFF" w:themeFill="background1"/>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270 762</w:t>
            </w:r>
          </w:p>
        </w:tc>
        <w:tc>
          <w:tcPr>
            <w:tcW w:w="992" w:type="dxa"/>
            <w:tcBorders>
              <w:bottom w:val="single" w:sz="4" w:space="0" w:color="auto"/>
            </w:tcBorders>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271 463</w:t>
            </w:r>
          </w:p>
        </w:tc>
        <w:tc>
          <w:tcPr>
            <w:tcW w:w="992" w:type="dxa"/>
            <w:tcBorders>
              <w:bottom w:val="single" w:sz="4" w:space="0" w:color="auto"/>
            </w:tcBorders>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271 463</w:t>
            </w:r>
          </w:p>
        </w:tc>
        <w:tc>
          <w:tcPr>
            <w:tcW w:w="993" w:type="dxa"/>
            <w:tcBorders>
              <w:bottom w:val="single" w:sz="4" w:space="0" w:color="auto"/>
            </w:tcBorders>
            <w:shd w:val="clear" w:color="auto" w:fill="auto"/>
            <w:vAlign w:val="bottom"/>
          </w:tcPr>
          <w:p w:rsidR="007D13F3" w:rsidRPr="00D85B9E" w:rsidRDefault="007D13F3" w:rsidP="00465CAC">
            <w:pPr>
              <w:jc w:val="right"/>
              <w:rPr>
                <w:rFonts w:ascii="Times New Roman" w:hAnsi="Times New Roman" w:cs="Times New Roman"/>
                <w:sz w:val="14"/>
                <w:szCs w:val="14"/>
                <w:highlight w:val="yellow"/>
              </w:rPr>
            </w:pPr>
            <w:r w:rsidRPr="00D85B9E">
              <w:rPr>
                <w:rFonts w:ascii="Times New Roman" w:hAnsi="Times New Roman" w:cs="Times New Roman"/>
                <w:sz w:val="14"/>
                <w:szCs w:val="14"/>
              </w:rPr>
              <w:t>271 463</w:t>
            </w:r>
          </w:p>
        </w:tc>
      </w:tr>
      <w:tr w:rsidR="007D13F3" w:rsidRPr="00A3218E" w:rsidTr="00A870F8">
        <w:trPr>
          <w:trHeight w:val="198"/>
        </w:trPr>
        <w:tc>
          <w:tcPr>
            <w:tcW w:w="2142" w:type="dxa"/>
            <w:shd w:val="clear" w:color="auto" w:fill="auto"/>
            <w:noWrap/>
            <w:vAlign w:val="bottom"/>
          </w:tcPr>
          <w:p w:rsidR="007D13F3" w:rsidRPr="00A3218E" w:rsidRDefault="007D13F3" w:rsidP="00465CAC">
            <w:pPr>
              <w:rPr>
                <w:rFonts w:ascii="Times New Roman" w:hAnsi="Times New Roman" w:cs="Times New Roman"/>
                <w:color w:val="000000"/>
                <w:sz w:val="14"/>
                <w:szCs w:val="14"/>
              </w:rPr>
            </w:pPr>
            <w:r w:rsidRPr="00A3218E">
              <w:rPr>
                <w:rFonts w:ascii="Times New Roman" w:hAnsi="Times New Roman" w:cs="Times New Roman"/>
                <w:color w:val="000000"/>
                <w:sz w:val="14"/>
                <w:szCs w:val="14"/>
              </w:rPr>
              <w:t>NR SR</w:t>
            </w:r>
          </w:p>
        </w:tc>
        <w:tc>
          <w:tcPr>
            <w:tcW w:w="992" w:type="dxa"/>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7 247 317</w:t>
            </w:r>
          </w:p>
        </w:tc>
        <w:tc>
          <w:tcPr>
            <w:tcW w:w="992" w:type="dxa"/>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shd w:val="clear" w:color="auto" w:fill="FFFFFF" w:themeFill="background1"/>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3" w:type="dxa"/>
            <w:shd w:val="clear" w:color="auto" w:fill="auto"/>
            <w:vAlign w:val="bottom"/>
          </w:tcPr>
          <w:p w:rsidR="007D13F3" w:rsidRPr="00D85B9E" w:rsidRDefault="007D13F3" w:rsidP="00465CAC">
            <w:pPr>
              <w:jc w:val="right"/>
              <w:rPr>
                <w:rFonts w:ascii="Times New Roman" w:hAnsi="Times New Roman" w:cs="Times New Roman"/>
                <w:sz w:val="14"/>
                <w:szCs w:val="14"/>
                <w:highlight w:val="yellow"/>
              </w:rPr>
            </w:pPr>
            <w:r w:rsidRPr="00D85B9E">
              <w:rPr>
                <w:rFonts w:ascii="Times New Roman" w:hAnsi="Times New Roman" w:cs="Times New Roman"/>
                <w:sz w:val="14"/>
                <w:szCs w:val="14"/>
              </w:rPr>
              <w:t>9 147 075</w:t>
            </w:r>
          </w:p>
        </w:tc>
      </w:tr>
      <w:tr w:rsidR="007D13F3" w:rsidRPr="00A3218E" w:rsidTr="00A870F8">
        <w:trPr>
          <w:trHeight w:val="198"/>
        </w:trPr>
        <w:tc>
          <w:tcPr>
            <w:tcW w:w="2142" w:type="dxa"/>
            <w:shd w:val="clear" w:color="auto" w:fill="auto"/>
            <w:noWrap/>
            <w:vAlign w:val="bottom"/>
          </w:tcPr>
          <w:p w:rsidR="007D13F3" w:rsidRPr="00A3218E" w:rsidRDefault="007D13F3" w:rsidP="00465CAC">
            <w:pPr>
              <w:rPr>
                <w:rFonts w:ascii="Times New Roman" w:hAnsi="Times New Roman" w:cs="Times New Roman"/>
                <w:color w:val="000000"/>
                <w:sz w:val="14"/>
                <w:szCs w:val="14"/>
              </w:rPr>
            </w:pPr>
            <w:r>
              <w:rPr>
                <w:rFonts w:ascii="Times New Roman" w:hAnsi="Times New Roman" w:cs="Times New Roman"/>
                <w:color w:val="000000"/>
                <w:sz w:val="14"/>
                <w:szCs w:val="14"/>
              </w:rPr>
              <w:t>Referendum</w:t>
            </w:r>
          </w:p>
        </w:tc>
        <w:tc>
          <w:tcPr>
            <w:tcW w:w="992" w:type="dxa"/>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3 468 965</w:t>
            </w:r>
          </w:p>
        </w:tc>
        <w:tc>
          <w:tcPr>
            <w:tcW w:w="992" w:type="dxa"/>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shd w:val="clear" w:color="auto" w:fill="FFFFFF" w:themeFill="background1"/>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2" w:type="dxa"/>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c>
          <w:tcPr>
            <w:tcW w:w="993" w:type="dxa"/>
            <w:shd w:val="clear" w:color="auto" w:fill="auto"/>
            <w:vAlign w:val="bottom"/>
          </w:tcPr>
          <w:p w:rsidR="007D13F3" w:rsidRPr="00D85B9E" w:rsidRDefault="007D13F3" w:rsidP="00465CAC">
            <w:pPr>
              <w:jc w:val="right"/>
              <w:rPr>
                <w:rFonts w:ascii="Times New Roman" w:hAnsi="Times New Roman" w:cs="Times New Roman"/>
                <w:sz w:val="14"/>
                <w:szCs w:val="14"/>
              </w:rPr>
            </w:pPr>
            <w:r w:rsidRPr="00D85B9E">
              <w:rPr>
                <w:rFonts w:ascii="Times New Roman" w:hAnsi="Times New Roman" w:cs="Times New Roman"/>
                <w:sz w:val="14"/>
                <w:szCs w:val="14"/>
              </w:rPr>
              <w:t>0</w:t>
            </w:r>
          </w:p>
        </w:tc>
      </w:tr>
    </w:tbl>
    <w:p w:rsidR="007D13F3" w:rsidRPr="00A3218E" w:rsidRDefault="007D13F3" w:rsidP="007D13F3">
      <w:pPr>
        <w:jc w:val="both"/>
        <w:rPr>
          <w:rFonts w:ascii="Times New Roman" w:hAnsi="Times New Roman" w:cs="Times New Roman"/>
          <w:sz w:val="22"/>
          <w:szCs w:val="22"/>
          <w:highlight w:val="yellow"/>
        </w:rPr>
      </w:pPr>
    </w:p>
    <w:p w:rsidR="007D13F3" w:rsidRPr="00693FCE" w:rsidRDefault="007D13F3" w:rsidP="007D13F3">
      <w:pPr>
        <w:ind w:firstLine="708"/>
        <w:jc w:val="both"/>
        <w:rPr>
          <w:rFonts w:ascii="Times New Roman" w:hAnsi="Times New Roman" w:cs="Times New Roman"/>
        </w:rPr>
      </w:pPr>
      <w:r>
        <w:rPr>
          <w:rFonts w:ascii="Times New Roman" w:hAnsi="Times New Roman" w:cs="Times New Roman"/>
        </w:rPr>
        <w:lastRenderedPageBreak/>
        <w:t>Pokles</w:t>
      </w:r>
      <w:r w:rsidRPr="00353C49">
        <w:rPr>
          <w:rFonts w:ascii="Times New Roman" w:hAnsi="Times New Roman" w:cs="Times New Roman"/>
        </w:rPr>
        <w:t xml:space="preserve"> výdavkov </w:t>
      </w:r>
      <w:r>
        <w:rPr>
          <w:rFonts w:ascii="Times New Roman" w:hAnsi="Times New Roman" w:cs="Times New Roman"/>
        </w:rPr>
        <w:t xml:space="preserve">je spôsobený nižším rozpočtovaním výdavkov na voľby </w:t>
      </w:r>
      <w:r w:rsidRPr="0070435E">
        <w:rPr>
          <w:rFonts w:ascii="Times New Roman" w:hAnsi="Times New Roman" w:cs="Times New Roman"/>
        </w:rPr>
        <w:t>do orgánov samosprávy obcí</w:t>
      </w:r>
      <w:r>
        <w:rPr>
          <w:rFonts w:ascii="Times New Roman" w:hAnsi="Times New Roman" w:cs="Times New Roman"/>
        </w:rPr>
        <w:t xml:space="preserve"> v roku 2018</w:t>
      </w:r>
      <w:r w:rsidRPr="00353C49">
        <w:rPr>
          <w:rFonts w:ascii="Times New Roman" w:hAnsi="Times New Roman" w:cs="Times New Roman"/>
        </w:rPr>
        <w:t>.</w:t>
      </w:r>
    </w:p>
    <w:p w:rsidR="007D13F3" w:rsidRDefault="007D13F3" w:rsidP="007D13F3">
      <w:pPr>
        <w:jc w:val="both"/>
        <w:rPr>
          <w:rFonts w:ascii="Times New Roman" w:hAnsi="Times New Roman" w:cs="Times New Roman"/>
          <w:b/>
        </w:rPr>
      </w:pPr>
    </w:p>
    <w:p w:rsidR="00A870F8" w:rsidRDefault="007D13F3" w:rsidP="007D13F3">
      <w:pPr>
        <w:jc w:val="both"/>
        <w:rPr>
          <w:rFonts w:ascii="Times New Roman" w:hAnsi="Times New Roman" w:cs="Times New Roman"/>
          <w:b/>
          <w:sz w:val="22"/>
          <w:szCs w:val="22"/>
        </w:rPr>
      </w:pPr>
      <w:r w:rsidRPr="00693FCE">
        <w:rPr>
          <w:rFonts w:ascii="Times New Roman" w:hAnsi="Times New Roman" w:cs="Times New Roman"/>
          <w:b/>
        </w:rPr>
        <w:t>Projekty Európskej únie</w:t>
      </w:r>
      <w:r>
        <w:rPr>
          <w:rFonts w:ascii="Times New Roman" w:hAnsi="Times New Roman" w:cs="Times New Roman"/>
          <w:b/>
        </w:rPr>
        <w:t xml:space="preserve"> spolufinancované zo ŠR</w:t>
      </w:r>
      <w:r w:rsidRPr="00A3218E">
        <w:rPr>
          <w:rFonts w:ascii="Times New Roman" w:hAnsi="Times New Roman" w:cs="Times New Roman"/>
          <w:b/>
          <w:sz w:val="22"/>
          <w:szCs w:val="22"/>
        </w:rPr>
        <w:tab/>
      </w:r>
    </w:p>
    <w:p w:rsidR="007D13F3" w:rsidRPr="00A3218E" w:rsidRDefault="007D13F3" w:rsidP="007D13F3">
      <w:pPr>
        <w:jc w:val="both"/>
        <w:rPr>
          <w:rFonts w:ascii="Times New Roman" w:hAnsi="Times New Roman" w:cs="Times New Roman"/>
          <w:b/>
          <w:sz w:val="22"/>
          <w:szCs w:val="22"/>
        </w:rPr>
      </w:pP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7D13F3" w:rsidRPr="00A3218E" w:rsidTr="00A870F8">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7D13F3" w:rsidRPr="00A3218E" w:rsidRDefault="00551C05" w:rsidP="00465CAC">
            <w:pPr>
              <w:rPr>
                <w:rFonts w:ascii="Times New Roman" w:hAnsi="Times New Roman" w:cs="Times New Roman"/>
                <w:b/>
                <w:sz w:val="14"/>
                <w:szCs w:val="14"/>
              </w:rPr>
            </w:pPr>
            <w:r>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D85B9E" w:rsidRDefault="007D13F3" w:rsidP="00465CAC">
            <w:pPr>
              <w:jc w:val="center"/>
              <w:rPr>
                <w:rFonts w:ascii="Times New Roman" w:hAnsi="Times New Roman" w:cs="Times New Roman"/>
                <w:b/>
                <w:bCs/>
                <w:color w:val="000000"/>
                <w:sz w:val="14"/>
                <w:szCs w:val="14"/>
              </w:rPr>
            </w:pPr>
            <w:r w:rsidRPr="00D85B9E">
              <w:rPr>
                <w:rFonts w:ascii="Times New Roman" w:hAnsi="Times New Roman" w:cs="Times New Roman"/>
                <w:b/>
                <w:bCs/>
                <w:color w:val="000000"/>
                <w:sz w:val="14"/>
                <w:szCs w:val="14"/>
              </w:rPr>
              <w:t>2015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D85B9E" w:rsidRDefault="007D13F3" w:rsidP="00465CAC">
            <w:pPr>
              <w:jc w:val="center"/>
              <w:rPr>
                <w:rFonts w:ascii="Times New Roman" w:hAnsi="Times New Roman" w:cs="Times New Roman"/>
                <w:b/>
                <w:bCs/>
                <w:color w:val="000000"/>
                <w:sz w:val="14"/>
                <w:szCs w:val="14"/>
                <w:highlight w:val="yellow"/>
              </w:rPr>
            </w:pPr>
            <w:r w:rsidRPr="00D85B9E">
              <w:rPr>
                <w:rFonts w:ascii="Times New Roman" w:hAnsi="Times New Roman" w:cs="Times New Roman"/>
                <w:b/>
                <w:bCs/>
                <w:color w:val="000000"/>
                <w:sz w:val="14"/>
                <w:szCs w:val="14"/>
              </w:rPr>
              <w:t xml:space="preserve">2016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D85B9E" w:rsidRDefault="007D13F3" w:rsidP="00465CAC">
            <w:pPr>
              <w:jc w:val="center"/>
              <w:rPr>
                <w:rFonts w:ascii="Times New Roman" w:hAnsi="Times New Roman" w:cs="Times New Roman"/>
                <w:b/>
                <w:bCs/>
                <w:color w:val="000000"/>
                <w:sz w:val="14"/>
                <w:szCs w:val="14"/>
              </w:rPr>
            </w:pPr>
            <w:r w:rsidRPr="00D85B9E">
              <w:rPr>
                <w:rFonts w:ascii="Times New Roman" w:hAnsi="Times New Roman" w:cs="Times New Roman"/>
                <w:b/>
                <w:bCs/>
                <w:color w:val="000000"/>
                <w:sz w:val="14"/>
                <w:szCs w:val="14"/>
              </w:rPr>
              <w:t>2017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D85B9E" w:rsidRDefault="007D13F3" w:rsidP="00465CAC">
            <w:pPr>
              <w:jc w:val="center"/>
              <w:rPr>
                <w:rFonts w:ascii="Times New Roman" w:hAnsi="Times New Roman" w:cs="Times New Roman"/>
                <w:b/>
                <w:bCs/>
                <w:color w:val="000000"/>
                <w:sz w:val="14"/>
                <w:szCs w:val="14"/>
              </w:rPr>
            </w:pPr>
            <w:r w:rsidRPr="00D85B9E">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D85B9E" w:rsidRDefault="007D13F3" w:rsidP="00465CAC">
            <w:pPr>
              <w:jc w:val="center"/>
              <w:rPr>
                <w:rFonts w:ascii="Times New Roman" w:hAnsi="Times New Roman" w:cs="Times New Roman"/>
                <w:b/>
                <w:bCs/>
                <w:color w:val="000000"/>
                <w:sz w:val="14"/>
                <w:szCs w:val="14"/>
              </w:rPr>
            </w:pPr>
            <w:r w:rsidRPr="00D85B9E">
              <w:rPr>
                <w:rFonts w:ascii="Times New Roman" w:hAnsi="Times New Roman" w:cs="Times New Roman"/>
                <w:b/>
                <w:bCs/>
                <w:color w:val="000000"/>
                <w:sz w:val="14"/>
                <w:szCs w:val="14"/>
              </w:rPr>
              <w:t>2018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D85B9E" w:rsidRDefault="007D13F3" w:rsidP="00465CAC">
            <w:pPr>
              <w:jc w:val="center"/>
              <w:rPr>
                <w:rFonts w:ascii="Times New Roman" w:hAnsi="Times New Roman" w:cs="Times New Roman"/>
                <w:b/>
                <w:bCs/>
                <w:color w:val="000000"/>
                <w:sz w:val="14"/>
                <w:szCs w:val="14"/>
              </w:rPr>
            </w:pPr>
            <w:r w:rsidRPr="00D85B9E">
              <w:rPr>
                <w:rFonts w:ascii="Times New Roman" w:hAnsi="Times New Roman" w:cs="Times New Roman"/>
                <w:b/>
                <w:bCs/>
                <w:color w:val="000000"/>
                <w:sz w:val="14"/>
                <w:szCs w:val="14"/>
              </w:rPr>
              <w:t>2019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D85B9E" w:rsidRDefault="007D13F3" w:rsidP="00465CAC">
            <w:pPr>
              <w:jc w:val="center"/>
              <w:rPr>
                <w:rFonts w:ascii="Times New Roman" w:hAnsi="Times New Roman" w:cs="Times New Roman"/>
                <w:b/>
                <w:bCs/>
                <w:color w:val="000000"/>
                <w:sz w:val="14"/>
                <w:szCs w:val="14"/>
              </w:rPr>
            </w:pPr>
            <w:r w:rsidRPr="00D85B9E">
              <w:rPr>
                <w:rFonts w:ascii="Times New Roman" w:hAnsi="Times New Roman" w:cs="Times New Roman"/>
                <w:b/>
                <w:bCs/>
                <w:color w:val="000000"/>
                <w:sz w:val="14"/>
                <w:szCs w:val="14"/>
              </w:rPr>
              <w:t>2020 N</w:t>
            </w:r>
          </w:p>
        </w:tc>
      </w:tr>
      <w:tr w:rsidR="007D13F3" w:rsidRPr="00A870F8" w:rsidTr="00A870F8">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7D13F3" w:rsidRPr="00A870F8" w:rsidRDefault="007D13F3" w:rsidP="00465CAC">
            <w:pPr>
              <w:rPr>
                <w:rFonts w:ascii="Times New Roman" w:hAnsi="Times New Roman" w:cs="Times New Roman"/>
                <w:bCs/>
                <w:sz w:val="14"/>
                <w:szCs w:val="14"/>
              </w:rPr>
            </w:pPr>
            <w:r w:rsidRPr="00A870F8">
              <w:rPr>
                <w:rFonts w:ascii="Times New Roman" w:hAnsi="Times New Roman" w:cs="Times New Roman"/>
                <w:bCs/>
                <w:sz w:val="14"/>
                <w:szCs w:val="14"/>
              </w:rPr>
              <w:t>Projekty Európskej únie</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jc w:val="right"/>
              <w:rPr>
                <w:rFonts w:ascii="Times New Roman" w:hAnsi="Times New Roman" w:cs="Times New Roman"/>
                <w:bCs/>
                <w:sz w:val="14"/>
                <w:szCs w:val="14"/>
                <w:highlight w:val="yellow"/>
              </w:rPr>
            </w:pPr>
            <w:r w:rsidRPr="00A870F8">
              <w:rPr>
                <w:rFonts w:ascii="Times New Roman" w:hAnsi="Times New Roman" w:cs="Times New Roman"/>
                <w:bCs/>
                <w:sz w:val="14"/>
                <w:szCs w:val="14"/>
              </w:rPr>
              <w:t>970 304</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jc w:val="right"/>
              <w:rPr>
                <w:rFonts w:ascii="Times New Roman" w:hAnsi="Times New Roman" w:cs="Times New Roman"/>
                <w:bCs/>
                <w:sz w:val="14"/>
                <w:szCs w:val="14"/>
                <w:highlight w:val="yellow"/>
              </w:rPr>
            </w:pPr>
            <w:r w:rsidRPr="00A870F8">
              <w:rPr>
                <w:rFonts w:ascii="Times New Roman" w:hAnsi="Times New Roman" w:cs="Times New Roman"/>
                <w:bCs/>
                <w:sz w:val="14"/>
                <w:szCs w:val="14"/>
              </w:rPr>
              <w:t>600 393</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jc w:val="right"/>
              <w:rPr>
                <w:rFonts w:ascii="Times New Roman" w:hAnsi="Times New Roman" w:cs="Times New Roman"/>
                <w:sz w:val="14"/>
                <w:szCs w:val="14"/>
                <w:highlight w:val="yellow"/>
              </w:rPr>
            </w:pPr>
            <w:r w:rsidRPr="00A870F8">
              <w:rPr>
                <w:rFonts w:ascii="Times New Roman" w:hAnsi="Times New Roman" w:cs="Times New Roman"/>
                <w:sz w:val="14"/>
                <w:szCs w:val="14"/>
              </w:rPr>
              <w:t>2 822 296</w:t>
            </w:r>
          </w:p>
        </w:tc>
        <w:tc>
          <w:tcPr>
            <w:tcW w:w="568" w:type="pct"/>
            <w:tcBorders>
              <w:top w:val="single" w:sz="4" w:space="0" w:color="auto"/>
              <w:left w:val="nil"/>
              <w:bottom w:val="single" w:sz="4" w:space="0" w:color="auto"/>
              <w:right w:val="single" w:sz="4" w:space="0" w:color="auto"/>
            </w:tcBorders>
            <w:shd w:val="clear" w:color="auto" w:fill="auto"/>
            <w:vAlign w:val="bottom"/>
          </w:tcPr>
          <w:p w:rsidR="007D13F3" w:rsidRPr="00A870F8" w:rsidRDefault="007D13F3" w:rsidP="00465CAC">
            <w:pPr>
              <w:autoSpaceDE w:val="0"/>
              <w:autoSpaceDN w:val="0"/>
              <w:adjustRightInd w:val="0"/>
              <w:jc w:val="right"/>
              <w:rPr>
                <w:rFonts w:ascii="Times New Roman" w:hAnsi="Times New Roman" w:cs="Times New Roman"/>
                <w:sz w:val="14"/>
                <w:szCs w:val="14"/>
                <w:highlight w:val="yellow"/>
              </w:rPr>
            </w:pPr>
            <w:r w:rsidRPr="00A870F8">
              <w:rPr>
                <w:rFonts w:ascii="Times New Roman" w:hAnsi="Times New Roman" w:cs="Times New Roman"/>
                <w:sz w:val="14"/>
                <w:szCs w:val="14"/>
              </w:rPr>
              <w:t>12 543 039</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A870F8" w:rsidRDefault="007D13F3" w:rsidP="00465CAC">
            <w:pPr>
              <w:autoSpaceDE w:val="0"/>
              <w:autoSpaceDN w:val="0"/>
              <w:adjustRightInd w:val="0"/>
              <w:jc w:val="right"/>
              <w:rPr>
                <w:rFonts w:ascii="Times New Roman" w:hAnsi="Times New Roman" w:cs="Times New Roman"/>
                <w:sz w:val="14"/>
                <w:szCs w:val="14"/>
                <w:highlight w:val="yellow"/>
              </w:rPr>
            </w:pPr>
            <w:r w:rsidRPr="00A870F8">
              <w:rPr>
                <w:rFonts w:ascii="Times New Roman" w:hAnsi="Times New Roman" w:cs="Times New Roman"/>
                <w:sz w:val="14"/>
                <w:szCs w:val="14"/>
              </w:rPr>
              <w:t>947 709</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autoSpaceDE w:val="0"/>
              <w:autoSpaceDN w:val="0"/>
              <w:adjustRightInd w:val="0"/>
              <w:jc w:val="right"/>
              <w:rPr>
                <w:rFonts w:ascii="Times New Roman" w:hAnsi="Times New Roman" w:cs="Times New Roman"/>
                <w:sz w:val="14"/>
                <w:szCs w:val="14"/>
                <w:highlight w:val="yellow"/>
              </w:rPr>
            </w:pPr>
            <w:r w:rsidRPr="00A870F8">
              <w:rPr>
                <w:rFonts w:ascii="Times New Roman" w:hAnsi="Times New Roman" w:cs="Times New Roman"/>
                <w:sz w:val="14"/>
                <w:szCs w:val="14"/>
              </w:rPr>
              <w:t>647 709</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autoSpaceDE w:val="0"/>
              <w:autoSpaceDN w:val="0"/>
              <w:adjustRightInd w:val="0"/>
              <w:jc w:val="right"/>
              <w:rPr>
                <w:rFonts w:ascii="Times New Roman" w:hAnsi="Times New Roman" w:cs="Times New Roman"/>
                <w:sz w:val="14"/>
                <w:szCs w:val="14"/>
                <w:highlight w:val="yellow"/>
              </w:rPr>
            </w:pPr>
            <w:r w:rsidRPr="00A870F8">
              <w:rPr>
                <w:rFonts w:ascii="Times New Roman" w:hAnsi="Times New Roman" w:cs="Times New Roman"/>
                <w:sz w:val="14"/>
                <w:szCs w:val="14"/>
              </w:rPr>
              <w:t>647 709</w:t>
            </w:r>
          </w:p>
        </w:tc>
      </w:tr>
    </w:tbl>
    <w:p w:rsidR="007D13F3" w:rsidRPr="00A3218E" w:rsidRDefault="007D13F3" w:rsidP="007D13F3">
      <w:pPr>
        <w:jc w:val="both"/>
        <w:rPr>
          <w:rFonts w:ascii="Times New Roman" w:hAnsi="Times New Roman" w:cs="Times New Roman"/>
          <w:sz w:val="22"/>
          <w:szCs w:val="22"/>
          <w:highlight w:val="yellow"/>
        </w:rPr>
      </w:pPr>
    </w:p>
    <w:p w:rsidR="007D13F3" w:rsidRPr="00D85B9E" w:rsidRDefault="007D13F3" w:rsidP="007D13F3">
      <w:pPr>
        <w:ind w:firstLine="708"/>
        <w:jc w:val="both"/>
        <w:rPr>
          <w:rFonts w:ascii="Times New Roman" w:hAnsi="Times New Roman" w:cs="Times New Roman"/>
        </w:rPr>
      </w:pPr>
      <w:r w:rsidRPr="00D85B9E">
        <w:rPr>
          <w:rFonts w:ascii="Times New Roman" w:hAnsi="Times New Roman" w:cs="Times New Roman"/>
        </w:rPr>
        <w:t xml:space="preserve">Ide o podprogram, ktorý zahŕňa projekty Európskej únie a </w:t>
      </w:r>
      <w:r w:rsidR="00A870F8">
        <w:rPr>
          <w:rFonts w:ascii="Times New Roman" w:hAnsi="Times New Roman" w:cs="Times New Roman"/>
        </w:rPr>
        <w:t>e</w:t>
      </w:r>
      <w:r w:rsidRPr="00D85B9E">
        <w:rPr>
          <w:rFonts w:ascii="Times New Roman" w:hAnsi="Times New Roman" w:cs="Times New Roman"/>
        </w:rPr>
        <w:t>urópske fondy.</w:t>
      </w:r>
    </w:p>
    <w:p w:rsidR="00A870F8" w:rsidRDefault="00A870F8"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D85B9E">
        <w:rPr>
          <w:rFonts w:ascii="Times New Roman" w:hAnsi="Times New Roman" w:cs="Times New Roman"/>
        </w:rPr>
        <w:t xml:space="preserve">Dôvodom poklesu výdavkov je nerozpočtovanie alebo nižšie rozpočtovanie výdavkov na jednotlivé </w:t>
      </w:r>
      <w:r w:rsidR="00A870F8">
        <w:rPr>
          <w:rFonts w:ascii="Times New Roman" w:hAnsi="Times New Roman" w:cs="Times New Roman"/>
        </w:rPr>
        <w:t>f</w:t>
      </w:r>
      <w:r w:rsidRPr="00D85B9E">
        <w:rPr>
          <w:rFonts w:ascii="Times New Roman" w:hAnsi="Times New Roman" w:cs="Times New Roman"/>
        </w:rPr>
        <w:t>ondy.</w:t>
      </w:r>
    </w:p>
    <w:p w:rsidR="007D13F3" w:rsidRDefault="007D13F3" w:rsidP="007D13F3">
      <w:pPr>
        <w:ind w:firstLine="708"/>
        <w:jc w:val="center"/>
        <w:rPr>
          <w:rFonts w:ascii="Times New Roman" w:hAnsi="Times New Roman" w:cs="Times New Roman"/>
        </w:rPr>
      </w:pPr>
    </w:p>
    <w:p w:rsidR="007D13F3" w:rsidRDefault="007D13F3" w:rsidP="007D13F3">
      <w:pPr>
        <w:jc w:val="both"/>
        <w:rPr>
          <w:rFonts w:ascii="Times New Roman" w:hAnsi="Times New Roman" w:cs="Times New Roman"/>
          <w:b/>
          <w:lang w:eastAsia="sk-SK"/>
        </w:rPr>
      </w:pPr>
      <w:r w:rsidRPr="00316AA2">
        <w:rPr>
          <w:rFonts w:ascii="Times New Roman" w:hAnsi="Times New Roman" w:cs="Times New Roman"/>
          <w:b/>
          <w:lang w:eastAsia="sk-SK"/>
        </w:rPr>
        <w:t>Informačné technológie</w:t>
      </w:r>
    </w:p>
    <w:p w:rsidR="00A870F8" w:rsidRPr="00316AA2" w:rsidRDefault="00A870F8" w:rsidP="007D13F3">
      <w:pPr>
        <w:jc w:val="both"/>
        <w:rPr>
          <w:rFonts w:ascii="Times New Roman" w:hAnsi="Times New Roman" w:cs="Times New Roman"/>
          <w:b/>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6"/>
        <w:gridCol w:w="989"/>
        <w:gridCol w:w="989"/>
        <w:gridCol w:w="990"/>
        <w:gridCol w:w="990"/>
        <w:gridCol w:w="990"/>
        <w:gridCol w:w="990"/>
        <w:gridCol w:w="988"/>
      </w:tblGrid>
      <w:tr w:rsidR="007D13F3" w:rsidRPr="00624D6D" w:rsidTr="00A870F8">
        <w:trPr>
          <w:trHeight w:val="241"/>
        </w:trPr>
        <w:tc>
          <w:tcPr>
            <w:tcW w:w="1179" w:type="pct"/>
            <w:tcBorders>
              <w:top w:val="single" w:sz="4" w:space="0" w:color="auto"/>
              <w:bottom w:val="single" w:sz="4" w:space="0" w:color="auto"/>
            </w:tcBorders>
            <w:shd w:val="clear" w:color="auto" w:fill="A6A6A6" w:themeFill="background1" w:themeFillShade="A6"/>
            <w:noWrap/>
            <w:vAlign w:val="bottom"/>
          </w:tcPr>
          <w:p w:rsidR="007D13F3" w:rsidRPr="00624D6D" w:rsidRDefault="007D13F3" w:rsidP="00465CAC">
            <w:pPr>
              <w:rPr>
                <w:rFonts w:ascii="Times New Roman" w:hAnsi="Times New Roman" w:cs="Times New Roman"/>
                <w:b/>
                <w:noProof/>
                <w:sz w:val="14"/>
                <w:szCs w:val="14"/>
                <w:lang w:eastAsia="sk-SK"/>
              </w:rPr>
            </w:pPr>
            <w:r w:rsidRPr="00624D6D">
              <w:rPr>
                <w:rFonts w:ascii="Times New Roman" w:hAnsi="Times New Roman" w:cs="Times New Roman"/>
                <w:b/>
                <w:noProof/>
                <w:sz w:val="14"/>
                <w:szCs w:val="14"/>
                <w:lang w:eastAsia="sk-SK"/>
              </w:rPr>
              <w:br w:type="page"/>
              <w:t> </w:t>
            </w:r>
            <w:r w:rsidR="00551C05">
              <w:rPr>
                <w:rFonts w:ascii="Times New Roman" w:hAnsi="Times New Roman" w:cs="Times New Roman"/>
                <w:b/>
                <w:sz w:val="14"/>
                <w:szCs w:val="14"/>
              </w:rPr>
              <w:t>v eurách</w:t>
            </w:r>
          </w:p>
        </w:tc>
        <w:tc>
          <w:tcPr>
            <w:tcW w:w="546"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6A5ED0" w:rsidRDefault="007D13F3" w:rsidP="00465CAC">
            <w:pPr>
              <w:jc w:val="center"/>
              <w:rPr>
                <w:rFonts w:ascii="Times New Roman" w:hAnsi="Times New Roman" w:cs="Times New Roman"/>
                <w:b/>
                <w:bCs/>
                <w:color w:val="000000"/>
                <w:sz w:val="14"/>
                <w:szCs w:val="14"/>
              </w:rPr>
            </w:pPr>
            <w:r w:rsidRPr="006A5ED0">
              <w:rPr>
                <w:rFonts w:ascii="Times New Roman" w:hAnsi="Times New Roman" w:cs="Times New Roman"/>
                <w:b/>
                <w:bCs/>
                <w:color w:val="000000"/>
                <w:sz w:val="14"/>
                <w:szCs w:val="14"/>
              </w:rPr>
              <w:t>2015 S</w:t>
            </w:r>
          </w:p>
        </w:tc>
        <w:tc>
          <w:tcPr>
            <w:tcW w:w="546"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6A5ED0" w:rsidRDefault="007D13F3" w:rsidP="00465CAC">
            <w:pPr>
              <w:jc w:val="center"/>
              <w:rPr>
                <w:rFonts w:ascii="Times New Roman" w:hAnsi="Times New Roman" w:cs="Times New Roman"/>
                <w:b/>
                <w:bCs/>
                <w:color w:val="000000"/>
                <w:sz w:val="14"/>
                <w:szCs w:val="14"/>
                <w:highlight w:val="yellow"/>
              </w:rPr>
            </w:pPr>
            <w:r w:rsidRPr="006A5ED0">
              <w:rPr>
                <w:rFonts w:ascii="Times New Roman" w:hAnsi="Times New Roman" w:cs="Times New Roman"/>
                <w:b/>
                <w:bCs/>
                <w:color w:val="000000"/>
                <w:sz w:val="14"/>
                <w:szCs w:val="14"/>
              </w:rPr>
              <w:t xml:space="preserve">2016 S </w:t>
            </w:r>
          </w:p>
        </w:tc>
        <w:tc>
          <w:tcPr>
            <w:tcW w:w="546"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6A5ED0" w:rsidRDefault="007D13F3" w:rsidP="00465CAC">
            <w:pPr>
              <w:jc w:val="center"/>
              <w:rPr>
                <w:rFonts w:ascii="Times New Roman" w:hAnsi="Times New Roman" w:cs="Times New Roman"/>
                <w:b/>
                <w:bCs/>
                <w:color w:val="000000"/>
                <w:sz w:val="14"/>
                <w:szCs w:val="14"/>
              </w:rPr>
            </w:pPr>
            <w:r w:rsidRPr="006A5ED0">
              <w:rPr>
                <w:rFonts w:ascii="Times New Roman" w:hAnsi="Times New Roman" w:cs="Times New Roman"/>
                <w:b/>
                <w:bCs/>
                <w:color w:val="000000"/>
                <w:sz w:val="14"/>
                <w:szCs w:val="14"/>
              </w:rPr>
              <w:t>2017 R</w:t>
            </w:r>
          </w:p>
        </w:tc>
        <w:tc>
          <w:tcPr>
            <w:tcW w:w="546"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6A5ED0" w:rsidRDefault="007D13F3" w:rsidP="00465CAC">
            <w:pPr>
              <w:jc w:val="center"/>
              <w:rPr>
                <w:rFonts w:ascii="Times New Roman" w:hAnsi="Times New Roman" w:cs="Times New Roman"/>
                <w:b/>
                <w:bCs/>
                <w:color w:val="000000"/>
                <w:sz w:val="14"/>
                <w:szCs w:val="14"/>
              </w:rPr>
            </w:pPr>
            <w:r w:rsidRPr="006A5ED0">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546"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6A5ED0" w:rsidRDefault="007D13F3" w:rsidP="00465CAC">
            <w:pPr>
              <w:jc w:val="center"/>
              <w:rPr>
                <w:rFonts w:ascii="Times New Roman" w:hAnsi="Times New Roman" w:cs="Times New Roman"/>
                <w:b/>
                <w:bCs/>
                <w:color w:val="000000"/>
                <w:sz w:val="14"/>
                <w:szCs w:val="14"/>
              </w:rPr>
            </w:pPr>
            <w:r w:rsidRPr="006A5ED0">
              <w:rPr>
                <w:rFonts w:ascii="Times New Roman" w:hAnsi="Times New Roman" w:cs="Times New Roman"/>
                <w:b/>
                <w:bCs/>
                <w:color w:val="000000"/>
                <w:sz w:val="14"/>
                <w:szCs w:val="14"/>
              </w:rPr>
              <w:t>2018 N</w:t>
            </w:r>
          </w:p>
        </w:tc>
        <w:tc>
          <w:tcPr>
            <w:tcW w:w="546"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6A5ED0" w:rsidRDefault="007D13F3" w:rsidP="00465CAC">
            <w:pPr>
              <w:jc w:val="center"/>
              <w:rPr>
                <w:rFonts w:ascii="Times New Roman" w:hAnsi="Times New Roman" w:cs="Times New Roman"/>
                <w:b/>
                <w:bCs/>
                <w:color w:val="000000"/>
                <w:sz w:val="14"/>
                <w:szCs w:val="14"/>
              </w:rPr>
            </w:pPr>
            <w:r w:rsidRPr="006A5ED0">
              <w:rPr>
                <w:rFonts w:ascii="Times New Roman" w:hAnsi="Times New Roman" w:cs="Times New Roman"/>
                <w:b/>
                <w:bCs/>
                <w:color w:val="000000"/>
                <w:sz w:val="14"/>
                <w:szCs w:val="14"/>
              </w:rPr>
              <w:t>2019 N</w:t>
            </w:r>
          </w:p>
        </w:tc>
        <w:tc>
          <w:tcPr>
            <w:tcW w:w="54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6A5ED0" w:rsidRDefault="007D13F3" w:rsidP="00465CAC">
            <w:pPr>
              <w:jc w:val="center"/>
              <w:rPr>
                <w:rFonts w:ascii="Times New Roman" w:hAnsi="Times New Roman" w:cs="Times New Roman"/>
                <w:b/>
                <w:bCs/>
                <w:color w:val="000000"/>
                <w:sz w:val="14"/>
                <w:szCs w:val="14"/>
              </w:rPr>
            </w:pPr>
            <w:r w:rsidRPr="006A5ED0">
              <w:rPr>
                <w:rFonts w:ascii="Times New Roman" w:hAnsi="Times New Roman" w:cs="Times New Roman"/>
                <w:b/>
                <w:bCs/>
                <w:color w:val="000000"/>
                <w:sz w:val="14"/>
                <w:szCs w:val="14"/>
              </w:rPr>
              <w:t>2020 N</w:t>
            </w:r>
          </w:p>
        </w:tc>
      </w:tr>
      <w:tr w:rsidR="007D13F3" w:rsidRPr="00624D6D" w:rsidTr="00A870F8">
        <w:trPr>
          <w:trHeight w:val="241"/>
        </w:trPr>
        <w:tc>
          <w:tcPr>
            <w:tcW w:w="1179" w:type="pct"/>
            <w:shd w:val="clear" w:color="auto" w:fill="BFBFBF" w:themeFill="background1" w:themeFillShade="BF"/>
            <w:noWrap/>
            <w:vAlign w:val="bottom"/>
          </w:tcPr>
          <w:p w:rsidR="007D13F3" w:rsidRPr="00624D6D" w:rsidRDefault="007D13F3" w:rsidP="00465CAC">
            <w:pPr>
              <w:rPr>
                <w:rFonts w:ascii="Times New Roman" w:hAnsi="Times New Roman" w:cs="Times New Roman"/>
                <w:b/>
                <w:bCs/>
                <w:noProof/>
                <w:sz w:val="14"/>
                <w:szCs w:val="14"/>
                <w:lang w:eastAsia="sk-SK"/>
              </w:rPr>
            </w:pPr>
            <w:r w:rsidRPr="00624D6D">
              <w:rPr>
                <w:rFonts w:ascii="Times New Roman" w:hAnsi="Times New Roman" w:cs="Times New Roman"/>
                <w:b/>
                <w:bCs/>
                <w:noProof/>
                <w:sz w:val="14"/>
                <w:szCs w:val="14"/>
                <w:lang w:eastAsia="sk-SK"/>
              </w:rPr>
              <w:t>Informačné technológie</w:t>
            </w:r>
          </w:p>
        </w:tc>
        <w:tc>
          <w:tcPr>
            <w:tcW w:w="546" w:type="pct"/>
            <w:shd w:val="clear" w:color="auto" w:fill="BFBFBF" w:themeFill="background1" w:themeFillShade="BF"/>
            <w:vAlign w:val="bottom"/>
          </w:tcPr>
          <w:p w:rsidR="007D13F3" w:rsidRPr="006A5ED0" w:rsidRDefault="007D13F3" w:rsidP="00465CAC">
            <w:pPr>
              <w:jc w:val="right"/>
              <w:rPr>
                <w:rFonts w:ascii="Times New Roman" w:hAnsi="Times New Roman" w:cs="Times New Roman"/>
                <w:b/>
                <w:sz w:val="14"/>
                <w:szCs w:val="14"/>
              </w:rPr>
            </w:pPr>
            <w:r w:rsidRPr="006A5ED0">
              <w:rPr>
                <w:rFonts w:ascii="Times New Roman" w:hAnsi="Times New Roman" w:cs="Times New Roman"/>
                <w:b/>
                <w:sz w:val="14"/>
                <w:szCs w:val="14"/>
              </w:rPr>
              <w:t>0</w:t>
            </w:r>
          </w:p>
        </w:tc>
        <w:tc>
          <w:tcPr>
            <w:tcW w:w="546" w:type="pct"/>
            <w:shd w:val="clear" w:color="auto" w:fill="BFBFBF" w:themeFill="background1" w:themeFillShade="BF"/>
            <w:vAlign w:val="bottom"/>
          </w:tcPr>
          <w:p w:rsidR="007D13F3" w:rsidRPr="006A5ED0" w:rsidRDefault="007D13F3" w:rsidP="00465CAC">
            <w:pPr>
              <w:jc w:val="right"/>
              <w:rPr>
                <w:rFonts w:ascii="Times New Roman" w:hAnsi="Times New Roman" w:cs="Times New Roman"/>
                <w:b/>
                <w:sz w:val="14"/>
                <w:szCs w:val="14"/>
              </w:rPr>
            </w:pPr>
            <w:r w:rsidRPr="006A5ED0">
              <w:rPr>
                <w:rFonts w:ascii="Times New Roman" w:hAnsi="Times New Roman" w:cs="Times New Roman"/>
                <w:b/>
                <w:sz w:val="14"/>
                <w:szCs w:val="14"/>
              </w:rPr>
              <w:t>0</w:t>
            </w:r>
          </w:p>
        </w:tc>
        <w:tc>
          <w:tcPr>
            <w:tcW w:w="546" w:type="pct"/>
            <w:shd w:val="clear" w:color="auto" w:fill="BFBFBF" w:themeFill="background1" w:themeFillShade="BF"/>
            <w:vAlign w:val="bottom"/>
          </w:tcPr>
          <w:p w:rsidR="007D13F3" w:rsidRPr="006A5ED0" w:rsidRDefault="007D13F3" w:rsidP="00465CAC">
            <w:pPr>
              <w:jc w:val="right"/>
              <w:rPr>
                <w:rFonts w:ascii="Times New Roman" w:hAnsi="Times New Roman" w:cs="Times New Roman"/>
                <w:b/>
                <w:sz w:val="14"/>
                <w:szCs w:val="14"/>
                <w:highlight w:val="yellow"/>
              </w:rPr>
            </w:pPr>
            <w:r w:rsidRPr="006A5ED0">
              <w:rPr>
                <w:rFonts w:ascii="Times New Roman" w:hAnsi="Times New Roman" w:cs="Times New Roman"/>
                <w:b/>
                <w:sz w:val="14"/>
                <w:szCs w:val="14"/>
              </w:rPr>
              <w:t>34 096 126</w:t>
            </w:r>
          </w:p>
        </w:tc>
        <w:tc>
          <w:tcPr>
            <w:tcW w:w="546" w:type="pct"/>
            <w:shd w:val="clear" w:color="auto" w:fill="BFBFBF" w:themeFill="background1" w:themeFillShade="BF"/>
            <w:vAlign w:val="bottom"/>
          </w:tcPr>
          <w:p w:rsidR="007D13F3" w:rsidRPr="006A5ED0" w:rsidRDefault="007D13F3" w:rsidP="00465CAC">
            <w:pPr>
              <w:jc w:val="right"/>
              <w:rPr>
                <w:rFonts w:ascii="Times New Roman" w:hAnsi="Times New Roman" w:cs="Times New Roman"/>
                <w:b/>
                <w:sz w:val="14"/>
                <w:szCs w:val="14"/>
                <w:highlight w:val="yellow"/>
              </w:rPr>
            </w:pPr>
            <w:r w:rsidRPr="007474DA">
              <w:rPr>
                <w:rFonts w:ascii="Times New Roman" w:hAnsi="Times New Roman" w:cs="Times New Roman"/>
                <w:b/>
                <w:sz w:val="14"/>
                <w:szCs w:val="14"/>
              </w:rPr>
              <w:t>33 795 993</w:t>
            </w:r>
          </w:p>
        </w:tc>
        <w:tc>
          <w:tcPr>
            <w:tcW w:w="546" w:type="pct"/>
            <w:tcBorders>
              <w:top w:val="nil"/>
              <w:left w:val="nil"/>
              <w:bottom w:val="single" w:sz="4" w:space="0" w:color="auto"/>
              <w:right w:val="single" w:sz="4" w:space="0" w:color="auto"/>
            </w:tcBorders>
            <w:shd w:val="clear" w:color="auto" w:fill="BFBFBF" w:themeFill="background1" w:themeFillShade="BF"/>
            <w:vAlign w:val="bottom"/>
          </w:tcPr>
          <w:p w:rsidR="007D13F3" w:rsidRPr="006A5ED0" w:rsidRDefault="007D13F3" w:rsidP="00465CAC">
            <w:pPr>
              <w:autoSpaceDE w:val="0"/>
              <w:autoSpaceDN w:val="0"/>
              <w:adjustRightInd w:val="0"/>
              <w:jc w:val="right"/>
              <w:rPr>
                <w:rFonts w:ascii="Times New Roman" w:hAnsi="Times New Roman" w:cs="Times New Roman"/>
                <w:b/>
                <w:sz w:val="14"/>
                <w:szCs w:val="14"/>
                <w:highlight w:val="yellow"/>
              </w:rPr>
            </w:pPr>
            <w:r w:rsidRPr="006A5ED0">
              <w:rPr>
                <w:rFonts w:ascii="Times New Roman" w:hAnsi="Times New Roman" w:cs="Times New Roman"/>
                <w:b/>
                <w:sz w:val="14"/>
                <w:szCs w:val="14"/>
              </w:rPr>
              <w:t>43 426 730</w:t>
            </w:r>
          </w:p>
        </w:tc>
        <w:tc>
          <w:tcPr>
            <w:tcW w:w="546" w:type="pct"/>
            <w:tcBorders>
              <w:top w:val="nil"/>
              <w:left w:val="nil"/>
              <w:bottom w:val="single" w:sz="4" w:space="0" w:color="auto"/>
              <w:right w:val="single" w:sz="4" w:space="0" w:color="auto"/>
            </w:tcBorders>
            <w:shd w:val="clear" w:color="auto" w:fill="BFBFBF" w:themeFill="background1" w:themeFillShade="BF"/>
            <w:vAlign w:val="bottom"/>
          </w:tcPr>
          <w:p w:rsidR="007D13F3" w:rsidRPr="006A5ED0" w:rsidRDefault="007D13F3" w:rsidP="00465CAC">
            <w:pPr>
              <w:autoSpaceDE w:val="0"/>
              <w:autoSpaceDN w:val="0"/>
              <w:adjustRightInd w:val="0"/>
              <w:jc w:val="right"/>
              <w:rPr>
                <w:rFonts w:ascii="Times New Roman" w:hAnsi="Times New Roman" w:cs="Times New Roman"/>
                <w:b/>
                <w:sz w:val="14"/>
                <w:szCs w:val="14"/>
                <w:highlight w:val="yellow"/>
              </w:rPr>
            </w:pPr>
            <w:r w:rsidRPr="006A5ED0">
              <w:rPr>
                <w:rFonts w:ascii="Times New Roman" w:hAnsi="Times New Roman" w:cs="Times New Roman"/>
                <w:b/>
                <w:sz w:val="14"/>
                <w:szCs w:val="14"/>
              </w:rPr>
              <w:t>43 426 730</w:t>
            </w:r>
          </w:p>
        </w:tc>
        <w:tc>
          <w:tcPr>
            <w:tcW w:w="545" w:type="pct"/>
            <w:tcBorders>
              <w:top w:val="nil"/>
              <w:left w:val="nil"/>
              <w:bottom w:val="single" w:sz="4" w:space="0" w:color="auto"/>
              <w:right w:val="single" w:sz="4" w:space="0" w:color="auto"/>
            </w:tcBorders>
            <w:shd w:val="clear" w:color="auto" w:fill="BFBFBF" w:themeFill="background1" w:themeFillShade="BF"/>
            <w:vAlign w:val="bottom"/>
          </w:tcPr>
          <w:p w:rsidR="007D13F3" w:rsidRPr="006A5ED0" w:rsidRDefault="007D13F3" w:rsidP="00465CAC">
            <w:pPr>
              <w:autoSpaceDE w:val="0"/>
              <w:autoSpaceDN w:val="0"/>
              <w:adjustRightInd w:val="0"/>
              <w:jc w:val="right"/>
              <w:rPr>
                <w:rFonts w:ascii="Times New Roman" w:hAnsi="Times New Roman" w:cs="Times New Roman"/>
                <w:b/>
                <w:sz w:val="14"/>
                <w:szCs w:val="14"/>
                <w:highlight w:val="yellow"/>
              </w:rPr>
            </w:pPr>
            <w:r w:rsidRPr="006A5ED0">
              <w:rPr>
                <w:rFonts w:ascii="Times New Roman" w:hAnsi="Times New Roman" w:cs="Times New Roman"/>
                <w:b/>
                <w:sz w:val="14"/>
                <w:szCs w:val="14"/>
              </w:rPr>
              <w:t>43 426 730</w:t>
            </w:r>
          </w:p>
        </w:tc>
      </w:tr>
      <w:tr w:rsidR="007D13F3" w:rsidRPr="00624D6D" w:rsidTr="00465CAC">
        <w:trPr>
          <w:trHeight w:val="241"/>
        </w:trPr>
        <w:tc>
          <w:tcPr>
            <w:tcW w:w="1179" w:type="pct"/>
            <w:shd w:val="clear" w:color="auto" w:fill="auto"/>
            <w:noWrap/>
            <w:vAlign w:val="bottom"/>
          </w:tcPr>
          <w:p w:rsidR="007D13F3" w:rsidRPr="00624D6D" w:rsidRDefault="007D13F3" w:rsidP="00465CAC">
            <w:pPr>
              <w:rPr>
                <w:rFonts w:ascii="Times New Roman" w:hAnsi="Times New Roman" w:cs="Times New Roman"/>
                <w:noProof/>
                <w:color w:val="000000"/>
                <w:sz w:val="14"/>
                <w:szCs w:val="14"/>
                <w:lang w:eastAsia="sk-SK"/>
              </w:rPr>
            </w:pPr>
            <w:r w:rsidRPr="00624D6D">
              <w:rPr>
                <w:rFonts w:ascii="Times New Roman" w:hAnsi="Times New Roman" w:cs="Times New Roman"/>
                <w:noProof/>
                <w:color w:val="000000"/>
                <w:sz w:val="14"/>
                <w:szCs w:val="14"/>
                <w:lang w:eastAsia="sk-SK"/>
              </w:rPr>
              <w:t>Systémy vnútornej správy</w:t>
            </w:r>
          </w:p>
        </w:tc>
        <w:tc>
          <w:tcPr>
            <w:tcW w:w="546" w:type="pct"/>
            <w:vAlign w:val="bottom"/>
          </w:tcPr>
          <w:p w:rsidR="007D13F3" w:rsidRPr="006A5ED0" w:rsidRDefault="007D13F3" w:rsidP="00465CAC">
            <w:pPr>
              <w:jc w:val="right"/>
              <w:rPr>
                <w:rFonts w:ascii="Times New Roman" w:hAnsi="Times New Roman" w:cs="Times New Roman"/>
                <w:sz w:val="14"/>
                <w:szCs w:val="14"/>
              </w:rPr>
            </w:pPr>
            <w:r w:rsidRPr="006A5ED0">
              <w:rPr>
                <w:rFonts w:ascii="Times New Roman" w:hAnsi="Times New Roman" w:cs="Times New Roman"/>
                <w:sz w:val="14"/>
                <w:szCs w:val="14"/>
              </w:rPr>
              <w:t>0</w:t>
            </w:r>
          </w:p>
        </w:tc>
        <w:tc>
          <w:tcPr>
            <w:tcW w:w="546" w:type="pct"/>
            <w:vAlign w:val="bottom"/>
          </w:tcPr>
          <w:p w:rsidR="007D13F3" w:rsidRPr="006A5ED0" w:rsidRDefault="007D13F3" w:rsidP="00465CAC">
            <w:pPr>
              <w:jc w:val="right"/>
              <w:rPr>
                <w:rFonts w:ascii="Times New Roman" w:hAnsi="Times New Roman" w:cs="Times New Roman"/>
                <w:sz w:val="14"/>
                <w:szCs w:val="14"/>
              </w:rPr>
            </w:pPr>
            <w:r w:rsidRPr="006A5ED0">
              <w:rPr>
                <w:rFonts w:ascii="Times New Roman" w:hAnsi="Times New Roman" w:cs="Times New Roman"/>
                <w:sz w:val="14"/>
                <w:szCs w:val="14"/>
              </w:rPr>
              <w:t>0</w:t>
            </w:r>
          </w:p>
        </w:tc>
        <w:tc>
          <w:tcPr>
            <w:tcW w:w="546" w:type="pct"/>
            <w:vAlign w:val="bottom"/>
          </w:tcPr>
          <w:p w:rsidR="007D13F3" w:rsidRPr="006A5ED0" w:rsidRDefault="007D13F3" w:rsidP="00465CAC">
            <w:pPr>
              <w:jc w:val="right"/>
              <w:rPr>
                <w:rFonts w:ascii="Times New Roman" w:hAnsi="Times New Roman" w:cs="Times New Roman"/>
                <w:sz w:val="14"/>
                <w:szCs w:val="14"/>
                <w:highlight w:val="yellow"/>
              </w:rPr>
            </w:pPr>
            <w:r w:rsidRPr="006A5ED0">
              <w:rPr>
                <w:rFonts w:ascii="Times New Roman" w:hAnsi="Times New Roman" w:cs="Times New Roman"/>
                <w:sz w:val="14"/>
                <w:szCs w:val="14"/>
              </w:rPr>
              <w:t>3 385 210</w:t>
            </w:r>
          </w:p>
        </w:tc>
        <w:tc>
          <w:tcPr>
            <w:tcW w:w="546" w:type="pct"/>
            <w:shd w:val="clear" w:color="auto" w:fill="FFFFFF" w:themeFill="background1"/>
            <w:vAlign w:val="bottom"/>
          </w:tcPr>
          <w:p w:rsidR="007D13F3" w:rsidRPr="006A5ED0" w:rsidRDefault="007D13F3" w:rsidP="00465CAC">
            <w:pPr>
              <w:jc w:val="right"/>
              <w:rPr>
                <w:rFonts w:ascii="Times New Roman" w:hAnsi="Times New Roman" w:cs="Times New Roman"/>
                <w:sz w:val="14"/>
                <w:szCs w:val="14"/>
                <w:highlight w:val="yellow"/>
              </w:rPr>
            </w:pPr>
            <w:r w:rsidRPr="00E608D8">
              <w:rPr>
                <w:rFonts w:ascii="Times New Roman" w:hAnsi="Times New Roman" w:cs="Times New Roman"/>
                <w:sz w:val="14"/>
                <w:szCs w:val="14"/>
              </w:rPr>
              <w:t>2 030 205</w:t>
            </w:r>
          </w:p>
        </w:tc>
        <w:tc>
          <w:tcPr>
            <w:tcW w:w="546" w:type="pct"/>
            <w:vAlign w:val="bottom"/>
          </w:tcPr>
          <w:p w:rsidR="007D13F3" w:rsidRPr="006A5ED0" w:rsidRDefault="007D13F3" w:rsidP="00465CAC">
            <w:pPr>
              <w:jc w:val="right"/>
              <w:rPr>
                <w:rFonts w:ascii="Times New Roman" w:hAnsi="Times New Roman" w:cs="Times New Roman"/>
                <w:sz w:val="14"/>
                <w:szCs w:val="14"/>
                <w:highlight w:val="yellow"/>
              </w:rPr>
            </w:pPr>
            <w:r w:rsidRPr="006A5ED0">
              <w:rPr>
                <w:rFonts w:ascii="Times New Roman" w:hAnsi="Times New Roman" w:cs="Times New Roman"/>
                <w:sz w:val="14"/>
                <w:szCs w:val="14"/>
              </w:rPr>
              <w:t>274 680</w:t>
            </w:r>
          </w:p>
        </w:tc>
        <w:tc>
          <w:tcPr>
            <w:tcW w:w="546" w:type="pct"/>
            <w:shd w:val="clear" w:color="auto" w:fill="auto"/>
            <w:vAlign w:val="bottom"/>
          </w:tcPr>
          <w:p w:rsidR="007D13F3" w:rsidRPr="006A5ED0" w:rsidRDefault="007D13F3" w:rsidP="00465CAC">
            <w:pPr>
              <w:jc w:val="right"/>
              <w:rPr>
                <w:rFonts w:ascii="Times New Roman" w:hAnsi="Times New Roman" w:cs="Times New Roman"/>
                <w:sz w:val="14"/>
                <w:szCs w:val="14"/>
                <w:highlight w:val="yellow"/>
              </w:rPr>
            </w:pPr>
            <w:r w:rsidRPr="006A5ED0">
              <w:rPr>
                <w:rFonts w:ascii="Times New Roman" w:hAnsi="Times New Roman" w:cs="Times New Roman"/>
                <w:sz w:val="14"/>
                <w:szCs w:val="14"/>
              </w:rPr>
              <w:t>274 680</w:t>
            </w:r>
          </w:p>
        </w:tc>
        <w:tc>
          <w:tcPr>
            <w:tcW w:w="545" w:type="pct"/>
            <w:shd w:val="clear" w:color="auto" w:fill="auto"/>
            <w:noWrap/>
            <w:vAlign w:val="bottom"/>
          </w:tcPr>
          <w:p w:rsidR="007D13F3" w:rsidRPr="006A5ED0" w:rsidRDefault="007D13F3" w:rsidP="00465CAC">
            <w:pPr>
              <w:jc w:val="right"/>
              <w:rPr>
                <w:rFonts w:ascii="Times New Roman" w:hAnsi="Times New Roman" w:cs="Times New Roman"/>
                <w:sz w:val="14"/>
                <w:szCs w:val="14"/>
                <w:highlight w:val="yellow"/>
              </w:rPr>
            </w:pPr>
            <w:r w:rsidRPr="006A5ED0">
              <w:rPr>
                <w:rFonts w:ascii="Times New Roman" w:hAnsi="Times New Roman" w:cs="Times New Roman"/>
                <w:sz w:val="14"/>
                <w:szCs w:val="14"/>
              </w:rPr>
              <w:t>274 680</w:t>
            </w:r>
          </w:p>
        </w:tc>
      </w:tr>
      <w:tr w:rsidR="007D13F3" w:rsidRPr="00624D6D" w:rsidTr="00465CAC">
        <w:trPr>
          <w:trHeight w:val="241"/>
        </w:trPr>
        <w:tc>
          <w:tcPr>
            <w:tcW w:w="1179" w:type="pct"/>
            <w:shd w:val="clear" w:color="auto" w:fill="auto"/>
            <w:noWrap/>
            <w:vAlign w:val="bottom"/>
          </w:tcPr>
          <w:p w:rsidR="007D13F3" w:rsidRPr="00624D6D" w:rsidRDefault="007D13F3" w:rsidP="00465CAC">
            <w:pPr>
              <w:rPr>
                <w:rFonts w:ascii="Times New Roman" w:hAnsi="Times New Roman" w:cs="Times New Roman"/>
                <w:noProof/>
                <w:color w:val="000000"/>
                <w:sz w:val="14"/>
                <w:szCs w:val="14"/>
                <w:lang w:eastAsia="sk-SK"/>
              </w:rPr>
            </w:pPr>
            <w:r w:rsidRPr="00624D6D">
              <w:rPr>
                <w:rFonts w:ascii="Times New Roman" w:hAnsi="Times New Roman" w:cs="Times New Roman"/>
                <w:noProof/>
                <w:color w:val="000000"/>
                <w:sz w:val="14"/>
                <w:szCs w:val="14"/>
                <w:lang w:eastAsia="sk-SK"/>
              </w:rPr>
              <w:t>Špecializované systémy</w:t>
            </w:r>
          </w:p>
        </w:tc>
        <w:tc>
          <w:tcPr>
            <w:tcW w:w="546" w:type="pct"/>
            <w:vAlign w:val="bottom"/>
          </w:tcPr>
          <w:p w:rsidR="007D13F3" w:rsidRPr="006A5ED0" w:rsidRDefault="007D13F3" w:rsidP="00465CAC">
            <w:pPr>
              <w:jc w:val="right"/>
              <w:rPr>
                <w:rFonts w:ascii="Times New Roman" w:hAnsi="Times New Roman" w:cs="Times New Roman"/>
                <w:sz w:val="14"/>
                <w:szCs w:val="14"/>
              </w:rPr>
            </w:pPr>
            <w:r w:rsidRPr="006A5ED0">
              <w:rPr>
                <w:rFonts w:ascii="Times New Roman" w:hAnsi="Times New Roman" w:cs="Times New Roman"/>
                <w:sz w:val="14"/>
                <w:szCs w:val="14"/>
              </w:rPr>
              <w:t>0</w:t>
            </w:r>
          </w:p>
        </w:tc>
        <w:tc>
          <w:tcPr>
            <w:tcW w:w="546" w:type="pct"/>
            <w:vAlign w:val="bottom"/>
          </w:tcPr>
          <w:p w:rsidR="007D13F3" w:rsidRPr="006A5ED0" w:rsidRDefault="007D13F3" w:rsidP="00465CAC">
            <w:pPr>
              <w:jc w:val="right"/>
              <w:rPr>
                <w:rFonts w:ascii="Times New Roman" w:hAnsi="Times New Roman" w:cs="Times New Roman"/>
                <w:sz w:val="14"/>
                <w:szCs w:val="14"/>
              </w:rPr>
            </w:pPr>
            <w:r w:rsidRPr="006A5ED0">
              <w:rPr>
                <w:rFonts w:ascii="Times New Roman" w:hAnsi="Times New Roman" w:cs="Times New Roman"/>
                <w:sz w:val="14"/>
                <w:szCs w:val="14"/>
              </w:rPr>
              <w:t>0</w:t>
            </w:r>
          </w:p>
        </w:tc>
        <w:tc>
          <w:tcPr>
            <w:tcW w:w="546" w:type="pct"/>
            <w:vAlign w:val="bottom"/>
          </w:tcPr>
          <w:p w:rsidR="007D13F3" w:rsidRPr="006A5ED0" w:rsidRDefault="007D13F3" w:rsidP="00465CAC">
            <w:pPr>
              <w:jc w:val="right"/>
              <w:rPr>
                <w:rFonts w:ascii="Times New Roman" w:hAnsi="Times New Roman" w:cs="Times New Roman"/>
                <w:sz w:val="14"/>
                <w:szCs w:val="14"/>
                <w:highlight w:val="yellow"/>
              </w:rPr>
            </w:pPr>
            <w:r w:rsidRPr="006A5ED0">
              <w:rPr>
                <w:rFonts w:ascii="Times New Roman" w:hAnsi="Times New Roman" w:cs="Times New Roman"/>
                <w:sz w:val="14"/>
                <w:szCs w:val="14"/>
              </w:rPr>
              <w:t>9 455 470</w:t>
            </w:r>
          </w:p>
        </w:tc>
        <w:tc>
          <w:tcPr>
            <w:tcW w:w="546" w:type="pct"/>
            <w:shd w:val="clear" w:color="auto" w:fill="FFFFFF" w:themeFill="background1"/>
            <w:vAlign w:val="bottom"/>
          </w:tcPr>
          <w:p w:rsidR="007D13F3" w:rsidRPr="006A5ED0" w:rsidRDefault="007D13F3" w:rsidP="00465CAC">
            <w:pPr>
              <w:jc w:val="right"/>
              <w:rPr>
                <w:rFonts w:ascii="Times New Roman" w:hAnsi="Times New Roman" w:cs="Times New Roman"/>
                <w:sz w:val="14"/>
                <w:szCs w:val="14"/>
                <w:highlight w:val="yellow"/>
              </w:rPr>
            </w:pPr>
            <w:r w:rsidRPr="00E608D8">
              <w:rPr>
                <w:rFonts w:ascii="Times New Roman" w:hAnsi="Times New Roman" w:cs="Times New Roman"/>
                <w:sz w:val="14"/>
                <w:szCs w:val="14"/>
              </w:rPr>
              <w:t>9 572 359</w:t>
            </w:r>
          </w:p>
        </w:tc>
        <w:tc>
          <w:tcPr>
            <w:tcW w:w="546" w:type="pct"/>
            <w:vAlign w:val="bottom"/>
          </w:tcPr>
          <w:p w:rsidR="007D13F3" w:rsidRPr="006A5ED0" w:rsidRDefault="007D13F3" w:rsidP="00465CAC">
            <w:pPr>
              <w:jc w:val="right"/>
              <w:rPr>
                <w:rFonts w:ascii="Times New Roman" w:hAnsi="Times New Roman" w:cs="Times New Roman"/>
                <w:sz w:val="14"/>
                <w:szCs w:val="14"/>
                <w:highlight w:val="yellow"/>
              </w:rPr>
            </w:pPr>
            <w:r w:rsidRPr="006A5ED0">
              <w:rPr>
                <w:rFonts w:ascii="Times New Roman" w:hAnsi="Times New Roman" w:cs="Times New Roman"/>
                <w:sz w:val="14"/>
                <w:szCs w:val="14"/>
              </w:rPr>
              <w:t>18 660 552</w:t>
            </w:r>
          </w:p>
        </w:tc>
        <w:tc>
          <w:tcPr>
            <w:tcW w:w="546" w:type="pct"/>
            <w:shd w:val="clear" w:color="auto" w:fill="auto"/>
            <w:vAlign w:val="bottom"/>
          </w:tcPr>
          <w:p w:rsidR="007D13F3" w:rsidRPr="006A5ED0" w:rsidRDefault="007D13F3" w:rsidP="00465CAC">
            <w:pPr>
              <w:jc w:val="right"/>
              <w:rPr>
                <w:rFonts w:ascii="Times New Roman" w:hAnsi="Times New Roman" w:cs="Times New Roman"/>
                <w:sz w:val="14"/>
                <w:szCs w:val="14"/>
                <w:highlight w:val="yellow"/>
              </w:rPr>
            </w:pPr>
            <w:r w:rsidRPr="006A5ED0">
              <w:rPr>
                <w:rFonts w:ascii="Times New Roman" w:hAnsi="Times New Roman" w:cs="Times New Roman"/>
                <w:sz w:val="14"/>
                <w:szCs w:val="14"/>
              </w:rPr>
              <w:t>18 660 552</w:t>
            </w:r>
          </w:p>
        </w:tc>
        <w:tc>
          <w:tcPr>
            <w:tcW w:w="545" w:type="pct"/>
            <w:shd w:val="clear" w:color="auto" w:fill="auto"/>
            <w:noWrap/>
            <w:vAlign w:val="bottom"/>
          </w:tcPr>
          <w:p w:rsidR="007D13F3" w:rsidRPr="006A5ED0" w:rsidRDefault="007D13F3" w:rsidP="00465CAC">
            <w:pPr>
              <w:jc w:val="right"/>
              <w:rPr>
                <w:rFonts w:ascii="Times New Roman" w:hAnsi="Times New Roman" w:cs="Times New Roman"/>
                <w:sz w:val="14"/>
                <w:szCs w:val="14"/>
                <w:highlight w:val="yellow"/>
              </w:rPr>
            </w:pPr>
            <w:r w:rsidRPr="006A5ED0">
              <w:rPr>
                <w:rFonts w:ascii="Times New Roman" w:hAnsi="Times New Roman" w:cs="Times New Roman"/>
                <w:sz w:val="14"/>
                <w:szCs w:val="14"/>
              </w:rPr>
              <w:t>18 660 552</w:t>
            </w:r>
          </w:p>
        </w:tc>
      </w:tr>
      <w:tr w:rsidR="007D13F3" w:rsidRPr="00624D6D" w:rsidTr="00465CAC">
        <w:trPr>
          <w:trHeight w:val="241"/>
        </w:trPr>
        <w:tc>
          <w:tcPr>
            <w:tcW w:w="1179" w:type="pct"/>
            <w:shd w:val="clear" w:color="auto" w:fill="auto"/>
            <w:noWrap/>
            <w:vAlign w:val="bottom"/>
          </w:tcPr>
          <w:p w:rsidR="007D13F3" w:rsidRPr="00624D6D" w:rsidRDefault="007D13F3" w:rsidP="00465CAC">
            <w:pPr>
              <w:rPr>
                <w:rFonts w:ascii="Times New Roman" w:hAnsi="Times New Roman" w:cs="Times New Roman"/>
                <w:noProof/>
                <w:color w:val="000000"/>
                <w:sz w:val="14"/>
                <w:szCs w:val="14"/>
                <w:lang w:eastAsia="sk-SK"/>
              </w:rPr>
            </w:pPr>
            <w:r w:rsidRPr="00624D6D">
              <w:rPr>
                <w:rFonts w:ascii="Times New Roman" w:hAnsi="Times New Roman" w:cs="Times New Roman"/>
                <w:noProof/>
                <w:color w:val="000000"/>
                <w:sz w:val="14"/>
                <w:szCs w:val="14"/>
                <w:lang w:eastAsia="sk-SK"/>
              </w:rPr>
              <w:t>Podporná infraštruktúra</w:t>
            </w:r>
          </w:p>
        </w:tc>
        <w:tc>
          <w:tcPr>
            <w:tcW w:w="546" w:type="pct"/>
            <w:vAlign w:val="bottom"/>
          </w:tcPr>
          <w:p w:rsidR="007D13F3" w:rsidRPr="006A5ED0" w:rsidRDefault="007D13F3" w:rsidP="00465CAC">
            <w:pPr>
              <w:jc w:val="right"/>
              <w:rPr>
                <w:rFonts w:ascii="Times New Roman" w:hAnsi="Times New Roman" w:cs="Times New Roman"/>
                <w:sz w:val="14"/>
                <w:szCs w:val="14"/>
              </w:rPr>
            </w:pPr>
            <w:r w:rsidRPr="006A5ED0">
              <w:rPr>
                <w:rFonts w:ascii="Times New Roman" w:hAnsi="Times New Roman" w:cs="Times New Roman"/>
                <w:sz w:val="14"/>
                <w:szCs w:val="14"/>
              </w:rPr>
              <w:t>0</w:t>
            </w:r>
          </w:p>
        </w:tc>
        <w:tc>
          <w:tcPr>
            <w:tcW w:w="546" w:type="pct"/>
            <w:vAlign w:val="bottom"/>
          </w:tcPr>
          <w:p w:rsidR="007D13F3" w:rsidRPr="006A5ED0" w:rsidRDefault="007D13F3" w:rsidP="00465CAC">
            <w:pPr>
              <w:jc w:val="right"/>
              <w:rPr>
                <w:rFonts w:ascii="Times New Roman" w:hAnsi="Times New Roman" w:cs="Times New Roman"/>
                <w:sz w:val="14"/>
                <w:szCs w:val="14"/>
              </w:rPr>
            </w:pPr>
            <w:r w:rsidRPr="006A5ED0">
              <w:rPr>
                <w:rFonts w:ascii="Times New Roman" w:hAnsi="Times New Roman" w:cs="Times New Roman"/>
                <w:sz w:val="14"/>
                <w:szCs w:val="14"/>
              </w:rPr>
              <w:t>0</w:t>
            </w:r>
          </w:p>
        </w:tc>
        <w:tc>
          <w:tcPr>
            <w:tcW w:w="546" w:type="pct"/>
            <w:vAlign w:val="bottom"/>
          </w:tcPr>
          <w:p w:rsidR="007D13F3" w:rsidRPr="006A5ED0" w:rsidRDefault="007D13F3" w:rsidP="00465CAC">
            <w:pPr>
              <w:jc w:val="right"/>
              <w:rPr>
                <w:rFonts w:ascii="Times New Roman" w:hAnsi="Times New Roman" w:cs="Times New Roman"/>
                <w:sz w:val="14"/>
                <w:szCs w:val="14"/>
                <w:highlight w:val="yellow"/>
              </w:rPr>
            </w:pPr>
            <w:r w:rsidRPr="006A5ED0">
              <w:rPr>
                <w:rFonts w:ascii="Times New Roman" w:hAnsi="Times New Roman" w:cs="Times New Roman"/>
                <w:sz w:val="14"/>
                <w:szCs w:val="14"/>
              </w:rPr>
              <w:t>21 255 446</w:t>
            </w:r>
          </w:p>
        </w:tc>
        <w:tc>
          <w:tcPr>
            <w:tcW w:w="546" w:type="pct"/>
            <w:shd w:val="clear" w:color="auto" w:fill="FFFFFF" w:themeFill="background1"/>
            <w:vAlign w:val="bottom"/>
          </w:tcPr>
          <w:p w:rsidR="007D13F3" w:rsidRPr="006A5ED0" w:rsidRDefault="007D13F3" w:rsidP="00465CAC">
            <w:pPr>
              <w:jc w:val="right"/>
              <w:rPr>
                <w:rFonts w:ascii="Times New Roman" w:hAnsi="Times New Roman" w:cs="Times New Roman"/>
                <w:sz w:val="14"/>
                <w:szCs w:val="14"/>
                <w:highlight w:val="yellow"/>
              </w:rPr>
            </w:pPr>
            <w:r>
              <w:rPr>
                <w:rFonts w:ascii="Times New Roman" w:hAnsi="Times New Roman" w:cs="Times New Roman"/>
                <w:sz w:val="14"/>
                <w:szCs w:val="14"/>
              </w:rPr>
              <w:t>22 193 428</w:t>
            </w:r>
          </w:p>
        </w:tc>
        <w:tc>
          <w:tcPr>
            <w:tcW w:w="546" w:type="pct"/>
            <w:vAlign w:val="bottom"/>
          </w:tcPr>
          <w:p w:rsidR="007D13F3" w:rsidRPr="006A5ED0" w:rsidRDefault="007D13F3" w:rsidP="00465CAC">
            <w:pPr>
              <w:jc w:val="right"/>
              <w:rPr>
                <w:rFonts w:ascii="Times New Roman" w:hAnsi="Times New Roman" w:cs="Times New Roman"/>
                <w:sz w:val="14"/>
                <w:szCs w:val="14"/>
                <w:highlight w:val="yellow"/>
              </w:rPr>
            </w:pPr>
            <w:r w:rsidRPr="006A5ED0">
              <w:rPr>
                <w:rFonts w:ascii="Times New Roman" w:hAnsi="Times New Roman" w:cs="Times New Roman"/>
                <w:sz w:val="14"/>
                <w:szCs w:val="14"/>
              </w:rPr>
              <w:t>24 491 498</w:t>
            </w:r>
          </w:p>
        </w:tc>
        <w:tc>
          <w:tcPr>
            <w:tcW w:w="546" w:type="pct"/>
            <w:shd w:val="clear" w:color="auto" w:fill="auto"/>
            <w:vAlign w:val="bottom"/>
          </w:tcPr>
          <w:p w:rsidR="007D13F3" w:rsidRPr="006A5ED0" w:rsidRDefault="007D13F3" w:rsidP="00465CAC">
            <w:pPr>
              <w:jc w:val="right"/>
              <w:rPr>
                <w:rFonts w:ascii="Times New Roman" w:hAnsi="Times New Roman" w:cs="Times New Roman"/>
                <w:sz w:val="14"/>
                <w:szCs w:val="14"/>
                <w:highlight w:val="yellow"/>
              </w:rPr>
            </w:pPr>
            <w:r w:rsidRPr="006A5ED0">
              <w:rPr>
                <w:rFonts w:ascii="Times New Roman" w:hAnsi="Times New Roman" w:cs="Times New Roman"/>
                <w:sz w:val="14"/>
                <w:szCs w:val="14"/>
              </w:rPr>
              <w:t>24 491 498</w:t>
            </w:r>
          </w:p>
        </w:tc>
        <w:tc>
          <w:tcPr>
            <w:tcW w:w="545" w:type="pct"/>
            <w:shd w:val="clear" w:color="auto" w:fill="auto"/>
            <w:noWrap/>
            <w:vAlign w:val="bottom"/>
          </w:tcPr>
          <w:p w:rsidR="007D13F3" w:rsidRPr="006A5ED0" w:rsidRDefault="007D13F3" w:rsidP="00465CAC">
            <w:pPr>
              <w:jc w:val="right"/>
              <w:rPr>
                <w:rFonts w:ascii="Times New Roman" w:hAnsi="Times New Roman" w:cs="Times New Roman"/>
                <w:sz w:val="14"/>
                <w:szCs w:val="14"/>
                <w:highlight w:val="yellow"/>
              </w:rPr>
            </w:pPr>
            <w:r w:rsidRPr="006A5ED0">
              <w:rPr>
                <w:rFonts w:ascii="Times New Roman" w:hAnsi="Times New Roman" w:cs="Times New Roman"/>
                <w:sz w:val="14"/>
                <w:szCs w:val="14"/>
              </w:rPr>
              <w:t>24 491 498</w:t>
            </w:r>
          </w:p>
        </w:tc>
      </w:tr>
    </w:tbl>
    <w:p w:rsidR="007D13F3" w:rsidRPr="00624D6D" w:rsidRDefault="007D13F3" w:rsidP="007D13F3">
      <w:pPr>
        <w:jc w:val="both"/>
        <w:rPr>
          <w:rFonts w:ascii="Arial Narrow" w:hAnsi="Arial Narrow" w:cs="Times New Roman"/>
          <w:b/>
          <w:sz w:val="22"/>
          <w:szCs w:val="22"/>
          <w:highlight w:val="yellow"/>
          <w:u w:val="single"/>
          <w:lang w:eastAsia="sk-SK"/>
        </w:rPr>
      </w:pPr>
    </w:p>
    <w:p w:rsidR="007D13F3" w:rsidRPr="00B61F3C" w:rsidRDefault="007D13F3" w:rsidP="007D13F3">
      <w:pPr>
        <w:ind w:firstLine="708"/>
        <w:jc w:val="both"/>
        <w:rPr>
          <w:rFonts w:ascii="Times New Roman" w:hAnsi="Times New Roman" w:cs="Times New Roman"/>
          <w:b/>
          <w:highlight w:val="yellow"/>
          <w:lang w:eastAsia="sk-SK"/>
        </w:rPr>
      </w:pPr>
      <w:r w:rsidRPr="006A5ED0">
        <w:rPr>
          <w:rFonts w:ascii="Times New Roman" w:hAnsi="Times New Roman" w:cs="Times New Roman"/>
          <w:lang w:eastAsia="sk-SK"/>
        </w:rPr>
        <w:t>V rámci tohto programu má úrad vytvorený podprogram s kódom 0EK0B, pre ktorý vyčlenil z prideleného limitu výdavkov na rok 2018 sumu 38,4 mil. eur (bežné výdavky) a sumu 5,0 mil. eur (kapitálové výdavky).</w:t>
      </w:r>
    </w:p>
    <w:p w:rsidR="007D13F3" w:rsidRDefault="007D13F3" w:rsidP="007D13F3">
      <w:pPr>
        <w:jc w:val="both"/>
        <w:rPr>
          <w:rFonts w:ascii="Times New Roman" w:hAnsi="Times New Roman" w:cs="Times New Roman"/>
          <w:b/>
        </w:rPr>
      </w:pPr>
    </w:p>
    <w:p w:rsidR="00A870F8" w:rsidRDefault="007D13F3" w:rsidP="007D13F3">
      <w:pPr>
        <w:jc w:val="both"/>
        <w:rPr>
          <w:rFonts w:ascii="Times New Roman" w:hAnsi="Times New Roman" w:cs="Times New Roman"/>
          <w:b/>
          <w:sz w:val="22"/>
          <w:szCs w:val="22"/>
        </w:rPr>
      </w:pPr>
      <w:r w:rsidRPr="0001234F">
        <w:rPr>
          <w:rFonts w:ascii="Times New Roman" w:hAnsi="Times New Roman" w:cs="Times New Roman"/>
          <w:b/>
        </w:rPr>
        <w:t>Odvod časti poistného z PZP</w:t>
      </w:r>
      <w:r w:rsidRPr="00A3218E">
        <w:rPr>
          <w:rFonts w:ascii="Times New Roman" w:hAnsi="Times New Roman" w:cs="Times New Roman"/>
          <w:b/>
          <w:sz w:val="22"/>
          <w:szCs w:val="22"/>
        </w:rPr>
        <w:tab/>
      </w:r>
    </w:p>
    <w:p w:rsidR="007D13F3" w:rsidRPr="00A3218E" w:rsidRDefault="007D13F3" w:rsidP="007D13F3">
      <w:pPr>
        <w:jc w:val="both"/>
        <w:rPr>
          <w:rFonts w:ascii="Times New Roman" w:hAnsi="Times New Roman" w:cs="Times New Roman"/>
          <w:b/>
          <w:sz w:val="22"/>
          <w:szCs w:val="22"/>
          <w:highlight w:val="yellow"/>
        </w:rPr>
      </w:pP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t xml:space="preserve">        </w:t>
      </w:r>
      <w:r w:rsidRPr="00A3218E">
        <w:rPr>
          <w:rFonts w:ascii="Times New Roman" w:hAnsi="Times New Roman" w:cs="Times New Roman"/>
          <w:b/>
          <w:sz w:val="22"/>
          <w:szCs w:val="22"/>
          <w:highlight w:val="yellow"/>
        </w:rPr>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7D13F3" w:rsidRPr="00A3218E" w:rsidTr="00A870F8">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7D13F3" w:rsidRPr="00A3218E" w:rsidRDefault="00551C05" w:rsidP="00465CAC">
            <w:pPr>
              <w:rPr>
                <w:rFonts w:ascii="Times New Roman" w:hAnsi="Times New Roman" w:cs="Times New Roman"/>
                <w:b/>
                <w:sz w:val="14"/>
                <w:szCs w:val="14"/>
              </w:rPr>
            </w:pPr>
            <w:r>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2015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3F49F3" w:rsidRDefault="007D13F3" w:rsidP="00465CAC">
            <w:pPr>
              <w:jc w:val="center"/>
              <w:rPr>
                <w:rFonts w:ascii="Times New Roman" w:hAnsi="Times New Roman" w:cs="Times New Roman"/>
                <w:b/>
                <w:bCs/>
                <w:color w:val="000000"/>
                <w:sz w:val="14"/>
                <w:szCs w:val="14"/>
                <w:highlight w:val="yellow"/>
              </w:rPr>
            </w:pPr>
            <w:r w:rsidRPr="003F49F3">
              <w:rPr>
                <w:rFonts w:ascii="Times New Roman" w:hAnsi="Times New Roman" w:cs="Times New Roman"/>
                <w:b/>
                <w:bCs/>
                <w:color w:val="000000"/>
                <w:sz w:val="14"/>
                <w:szCs w:val="14"/>
              </w:rPr>
              <w:t xml:space="preserve">2016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2017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2018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2019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2020 N</w:t>
            </w:r>
          </w:p>
        </w:tc>
      </w:tr>
      <w:tr w:rsidR="007D13F3" w:rsidRPr="00A870F8" w:rsidTr="00A870F8">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7D13F3" w:rsidRPr="00A870F8" w:rsidRDefault="007D13F3" w:rsidP="00465CAC">
            <w:pPr>
              <w:rPr>
                <w:rFonts w:ascii="Times New Roman" w:hAnsi="Times New Roman" w:cs="Times New Roman"/>
                <w:sz w:val="14"/>
                <w:szCs w:val="14"/>
              </w:rPr>
            </w:pPr>
            <w:r w:rsidRPr="00A870F8">
              <w:rPr>
                <w:rFonts w:ascii="Times New Roman" w:hAnsi="Times New Roman" w:cs="Times New Roman"/>
                <w:sz w:val="14"/>
                <w:szCs w:val="14"/>
              </w:rPr>
              <w:t>Odvod časti poistného z PZP</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jc w:val="right"/>
              <w:rPr>
                <w:rFonts w:ascii="Times New Roman" w:eastAsiaTheme="minorHAnsi" w:hAnsi="Times New Roman" w:cs="Times New Roman"/>
                <w:sz w:val="14"/>
                <w:szCs w:val="14"/>
              </w:rPr>
            </w:pPr>
            <w:r w:rsidRPr="00A870F8">
              <w:rPr>
                <w:rFonts w:ascii="Times New Roman" w:hAnsi="Times New Roman" w:cs="Times New Roman"/>
                <w:sz w:val="14"/>
                <w:szCs w:val="14"/>
              </w:rPr>
              <w:t>   21 898 861</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jc w:val="right"/>
              <w:rPr>
                <w:rFonts w:ascii="Times New Roman" w:eastAsiaTheme="minorHAnsi" w:hAnsi="Times New Roman" w:cs="Times New Roman"/>
                <w:sz w:val="14"/>
                <w:szCs w:val="14"/>
              </w:rPr>
            </w:pPr>
            <w:r w:rsidRPr="00A870F8">
              <w:rPr>
                <w:rFonts w:ascii="Times New Roman" w:eastAsiaTheme="minorHAnsi" w:hAnsi="Times New Roman" w:cs="Times New Roman"/>
                <w:sz w:val="14"/>
                <w:szCs w:val="14"/>
              </w:rPr>
              <w:t>22 424 119</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jc w:val="right"/>
              <w:rPr>
                <w:rFonts w:ascii="Times New Roman" w:eastAsiaTheme="minorHAnsi" w:hAnsi="Times New Roman" w:cs="Times New Roman"/>
                <w:sz w:val="14"/>
                <w:szCs w:val="14"/>
                <w:highlight w:val="yellow"/>
              </w:rPr>
            </w:pPr>
            <w:r w:rsidRPr="00A870F8">
              <w:rPr>
                <w:rFonts w:ascii="Times New Roman" w:hAnsi="Times New Roman" w:cs="Times New Roman"/>
                <w:sz w:val="14"/>
                <w:szCs w:val="14"/>
              </w:rPr>
              <w:t>23 316 983</w:t>
            </w:r>
          </w:p>
        </w:tc>
        <w:tc>
          <w:tcPr>
            <w:tcW w:w="568" w:type="pct"/>
            <w:tcBorders>
              <w:top w:val="single" w:sz="4" w:space="0" w:color="auto"/>
              <w:left w:val="nil"/>
              <w:bottom w:val="single" w:sz="4" w:space="0" w:color="auto"/>
              <w:right w:val="single" w:sz="4" w:space="0" w:color="auto"/>
            </w:tcBorders>
            <w:shd w:val="clear" w:color="auto" w:fill="auto"/>
            <w:vAlign w:val="bottom"/>
          </w:tcPr>
          <w:p w:rsidR="007D13F3" w:rsidRPr="00A870F8" w:rsidRDefault="007D13F3" w:rsidP="00465CAC">
            <w:pPr>
              <w:jc w:val="right"/>
              <w:rPr>
                <w:rFonts w:ascii="Times New Roman" w:eastAsiaTheme="minorHAnsi" w:hAnsi="Times New Roman" w:cs="Times New Roman"/>
                <w:sz w:val="14"/>
                <w:szCs w:val="14"/>
                <w:highlight w:val="yellow"/>
              </w:rPr>
            </w:pPr>
            <w:r w:rsidRPr="00A870F8">
              <w:rPr>
                <w:rFonts w:ascii="Times New Roman" w:hAnsi="Times New Roman" w:cs="Times New Roman"/>
                <w:sz w:val="14"/>
                <w:szCs w:val="14"/>
              </w:rPr>
              <w:t>23 316 983</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A870F8" w:rsidRDefault="007D13F3" w:rsidP="00465CAC">
            <w:pPr>
              <w:autoSpaceDE w:val="0"/>
              <w:autoSpaceDN w:val="0"/>
              <w:adjustRightInd w:val="0"/>
              <w:jc w:val="right"/>
              <w:rPr>
                <w:rFonts w:ascii="Times New Roman" w:hAnsi="Times New Roman" w:cs="Times New Roman"/>
                <w:sz w:val="14"/>
                <w:szCs w:val="14"/>
              </w:rPr>
            </w:pPr>
            <w:r w:rsidRPr="00A870F8">
              <w:rPr>
                <w:rFonts w:ascii="Times New Roman" w:hAnsi="Times New Roman" w:cs="Times New Roman"/>
                <w:sz w:val="14"/>
                <w:szCs w:val="14"/>
              </w:rPr>
              <w:t>23 000 000</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autoSpaceDE w:val="0"/>
              <w:autoSpaceDN w:val="0"/>
              <w:adjustRightInd w:val="0"/>
              <w:jc w:val="right"/>
              <w:rPr>
                <w:rFonts w:ascii="Times New Roman" w:hAnsi="Times New Roman" w:cs="Times New Roman"/>
                <w:sz w:val="14"/>
                <w:szCs w:val="14"/>
              </w:rPr>
            </w:pPr>
            <w:r w:rsidRPr="00A870F8">
              <w:rPr>
                <w:rFonts w:ascii="Times New Roman" w:hAnsi="Times New Roman" w:cs="Times New Roman"/>
                <w:sz w:val="14"/>
                <w:szCs w:val="14"/>
              </w:rPr>
              <w:t>23 000 000</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7D13F3" w:rsidRPr="00A870F8" w:rsidRDefault="007D13F3" w:rsidP="00465CAC">
            <w:pPr>
              <w:autoSpaceDE w:val="0"/>
              <w:autoSpaceDN w:val="0"/>
              <w:adjustRightInd w:val="0"/>
              <w:jc w:val="right"/>
              <w:rPr>
                <w:rFonts w:ascii="Times New Roman" w:hAnsi="Times New Roman" w:cs="Times New Roman"/>
                <w:sz w:val="14"/>
                <w:szCs w:val="14"/>
              </w:rPr>
            </w:pPr>
            <w:r w:rsidRPr="00A870F8">
              <w:rPr>
                <w:rFonts w:ascii="Times New Roman" w:hAnsi="Times New Roman" w:cs="Times New Roman"/>
                <w:sz w:val="14"/>
                <w:szCs w:val="14"/>
              </w:rPr>
              <w:t>23 000 000</w:t>
            </w:r>
          </w:p>
        </w:tc>
      </w:tr>
    </w:tbl>
    <w:p w:rsidR="007D13F3" w:rsidRPr="00A3218E" w:rsidRDefault="007D13F3" w:rsidP="007D13F3">
      <w:pPr>
        <w:jc w:val="both"/>
        <w:rPr>
          <w:rFonts w:ascii="Times New Roman" w:hAnsi="Times New Roman" w:cs="Times New Roman"/>
          <w:sz w:val="22"/>
          <w:szCs w:val="22"/>
          <w:highlight w:val="yellow"/>
        </w:rPr>
      </w:pPr>
    </w:p>
    <w:p w:rsidR="007D13F3" w:rsidRPr="0001234F" w:rsidRDefault="007D13F3" w:rsidP="007D13F3">
      <w:pPr>
        <w:ind w:firstLine="708"/>
        <w:jc w:val="both"/>
        <w:rPr>
          <w:rFonts w:ascii="Times New Roman" w:hAnsi="Times New Roman" w:cs="Times New Roman"/>
          <w:b/>
        </w:rPr>
      </w:pPr>
      <w:r w:rsidRPr="006B6FA3">
        <w:rPr>
          <w:rFonts w:ascii="Times New Roman" w:hAnsi="Times New Roman" w:cs="Times New Roman"/>
        </w:rPr>
        <w:t xml:space="preserve">Prostriedky získané z odvodu časti poistného z povinného zmluvného poistenia zodpovednosti za škodu spôsobenú prevádzkou motorového vozidla poisťovňami v súlade </w:t>
      </w:r>
      <w:r w:rsidR="006527C0">
        <w:rPr>
          <w:rFonts w:ascii="Times New Roman" w:hAnsi="Times New Roman" w:cs="Times New Roman"/>
        </w:rPr>
        <w:br/>
      </w:r>
      <w:r w:rsidRPr="006B6FA3">
        <w:rPr>
          <w:rFonts w:ascii="Times New Roman" w:hAnsi="Times New Roman" w:cs="Times New Roman"/>
        </w:rPr>
        <w:t>s § 33 ods</w:t>
      </w:r>
      <w:r w:rsidR="00CC0BFD">
        <w:rPr>
          <w:rFonts w:ascii="Times New Roman" w:hAnsi="Times New Roman" w:cs="Times New Roman"/>
        </w:rPr>
        <w:t>.</w:t>
      </w:r>
      <w:r w:rsidRPr="006B6FA3">
        <w:rPr>
          <w:rFonts w:ascii="Times New Roman" w:hAnsi="Times New Roman" w:cs="Times New Roman"/>
        </w:rPr>
        <w:t xml:space="preserve"> 3 zákona č. 8/2008 Z. z. o poisťovníctve. Kapitola prostredníctvom nich financuje nákup, obnovu a rekonštrukcie techniky pre PZ, HaZZ a HZS.</w:t>
      </w:r>
    </w:p>
    <w:p w:rsidR="007D13F3" w:rsidRPr="00693FCE" w:rsidRDefault="007D13F3" w:rsidP="007D13F3">
      <w:pPr>
        <w:jc w:val="both"/>
        <w:rPr>
          <w:rFonts w:ascii="Times New Roman" w:hAnsi="Times New Roman" w:cs="Times New Roman"/>
          <w:b/>
          <w:highlight w:val="yellow"/>
        </w:rPr>
      </w:pPr>
    </w:p>
    <w:p w:rsidR="00A870F8" w:rsidRDefault="007D13F3" w:rsidP="007D13F3">
      <w:pPr>
        <w:jc w:val="both"/>
        <w:rPr>
          <w:rFonts w:ascii="Times New Roman" w:hAnsi="Times New Roman" w:cs="Times New Roman"/>
          <w:b/>
          <w:sz w:val="22"/>
          <w:szCs w:val="22"/>
        </w:rPr>
      </w:pPr>
      <w:r w:rsidRPr="00693FCE">
        <w:rPr>
          <w:rFonts w:ascii="Times New Roman" w:hAnsi="Times New Roman" w:cs="Times New Roman"/>
          <w:b/>
        </w:rPr>
        <w:t>Výchova a vzdelávanie mládeže</w:t>
      </w:r>
      <w:r w:rsidRPr="00A3218E">
        <w:rPr>
          <w:rFonts w:ascii="Times New Roman" w:hAnsi="Times New Roman" w:cs="Times New Roman"/>
          <w:b/>
          <w:sz w:val="22"/>
          <w:szCs w:val="22"/>
        </w:rPr>
        <w:tab/>
      </w:r>
    </w:p>
    <w:p w:rsidR="007D13F3" w:rsidRPr="00A3218E" w:rsidRDefault="007D13F3" w:rsidP="007D13F3">
      <w:pPr>
        <w:jc w:val="both"/>
        <w:rPr>
          <w:rFonts w:ascii="Times New Roman" w:hAnsi="Times New Roman" w:cs="Times New Roman"/>
          <w:b/>
          <w:sz w:val="22"/>
          <w:szCs w:val="22"/>
        </w:rPr>
      </w:pP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r>
      <w:r w:rsidRPr="00A3218E">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978"/>
        <w:gridCol w:w="945"/>
        <w:gridCol w:w="1023"/>
        <w:gridCol w:w="1024"/>
        <w:gridCol w:w="1024"/>
        <w:gridCol w:w="1024"/>
        <w:gridCol w:w="1024"/>
        <w:gridCol w:w="1020"/>
      </w:tblGrid>
      <w:tr w:rsidR="007D13F3" w:rsidRPr="00A3218E" w:rsidTr="00A870F8">
        <w:trPr>
          <w:trHeight w:val="261"/>
        </w:trPr>
        <w:tc>
          <w:tcPr>
            <w:tcW w:w="109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7D13F3" w:rsidRPr="00A3218E" w:rsidRDefault="00551C05" w:rsidP="00465CAC">
            <w:pPr>
              <w:rPr>
                <w:rFonts w:ascii="Times New Roman" w:hAnsi="Times New Roman" w:cs="Times New Roman"/>
                <w:b/>
                <w:sz w:val="14"/>
                <w:szCs w:val="14"/>
              </w:rPr>
            </w:pPr>
            <w:r>
              <w:rPr>
                <w:rFonts w:ascii="Times New Roman" w:hAnsi="Times New Roman" w:cs="Times New Roman"/>
                <w:b/>
                <w:sz w:val="14"/>
                <w:szCs w:val="14"/>
              </w:rPr>
              <w:t>v eurách</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2015 S</w:t>
            </w:r>
          </w:p>
        </w:tc>
        <w:tc>
          <w:tcPr>
            <w:tcW w:w="566"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3F49F3" w:rsidRDefault="007D13F3" w:rsidP="00465CAC">
            <w:pPr>
              <w:jc w:val="center"/>
              <w:rPr>
                <w:rFonts w:ascii="Times New Roman" w:hAnsi="Times New Roman" w:cs="Times New Roman"/>
                <w:b/>
                <w:bCs/>
                <w:color w:val="000000"/>
                <w:sz w:val="14"/>
                <w:szCs w:val="14"/>
                <w:highlight w:val="yellow"/>
              </w:rPr>
            </w:pPr>
            <w:r w:rsidRPr="003F49F3">
              <w:rPr>
                <w:rFonts w:ascii="Times New Roman" w:hAnsi="Times New Roman" w:cs="Times New Roman"/>
                <w:b/>
                <w:bCs/>
                <w:color w:val="000000"/>
                <w:sz w:val="14"/>
                <w:szCs w:val="14"/>
              </w:rPr>
              <w:t xml:space="preserve">2016 S </w:t>
            </w:r>
          </w:p>
        </w:tc>
        <w:tc>
          <w:tcPr>
            <w:tcW w:w="566"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2017 R</w:t>
            </w:r>
          </w:p>
        </w:tc>
        <w:tc>
          <w:tcPr>
            <w:tcW w:w="566"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566"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2018 N</w:t>
            </w:r>
          </w:p>
        </w:tc>
        <w:tc>
          <w:tcPr>
            <w:tcW w:w="566"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2019 N</w:t>
            </w:r>
          </w:p>
        </w:tc>
        <w:tc>
          <w:tcPr>
            <w:tcW w:w="564"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2020 N</w:t>
            </w:r>
          </w:p>
        </w:tc>
      </w:tr>
      <w:tr w:rsidR="007D13F3" w:rsidRPr="00A3218E" w:rsidTr="00A870F8">
        <w:trPr>
          <w:trHeight w:val="261"/>
        </w:trPr>
        <w:tc>
          <w:tcPr>
            <w:tcW w:w="10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D13F3" w:rsidRPr="00A3218E" w:rsidRDefault="007D13F3" w:rsidP="00465CAC">
            <w:pPr>
              <w:rPr>
                <w:rFonts w:ascii="Times New Roman" w:hAnsi="Times New Roman" w:cs="Times New Roman"/>
                <w:b/>
                <w:bCs/>
                <w:sz w:val="14"/>
                <w:szCs w:val="14"/>
              </w:rPr>
            </w:pPr>
            <w:r w:rsidRPr="00A3218E">
              <w:rPr>
                <w:rFonts w:ascii="Times New Roman" w:hAnsi="Times New Roman" w:cs="Times New Roman"/>
                <w:b/>
                <w:bCs/>
                <w:sz w:val="14"/>
                <w:szCs w:val="14"/>
              </w:rPr>
              <w:t>Výchova a vzdelávanie</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624D6D" w:rsidRDefault="007D13F3" w:rsidP="00465CAC">
            <w:pPr>
              <w:jc w:val="right"/>
              <w:rPr>
                <w:rFonts w:ascii="Times New Roman" w:hAnsi="Times New Roman" w:cs="Times New Roman"/>
                <w:b/>
                <w:bCs/>
                <w:sz w:val="14"/>
                <w:szCs w:val="14"/>
                <w:highlight w:val="yellow"/>
              </w:rPr>
            </w:pPr>
            <w:r w:rsidRPr="00FF6283">
              <w:rPr>
                <w:rFonts w:ascii="Times New Roman" w:hAnsi="Times New Roman" w:cs="Times New Roman"/>
                <w:b/>
                <w:bCs/>
                <w:sz w:val="14"/>
                <w:szCs w:val="14"/>
              </w:rPr>
              <w:t>1 069 214 947</w:t>
            </w:r>
          </w:p>
        </w:tc>
        <w:tc>
          <w:tcPr>
            <w:tcW w:w="566"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624D6D" w:rsidRDefault="007D13F3" w:rsidP="00465CAC">
            <w:pPr>
              <w:jc w:val="right"/>
              <w:rPr>
                <w:rFonts w:ascii="Times New Roman" w:hAnsi="Times New Roman" w:cs="Times New Roman"/>
                <w:b/>
                <w:bCs/>
                <w:sz w:val="14"/>
                <w:szCs w:val="14"/>
                <w:highlight w:val="yellow"/>
              </w:rPr>
            </w:pPr>
            <w:r w:rsidRPr="008757A8">
              <w:rPr>
                <w:rFonts w:ascii="Times New Roman" w:hAnsi="Times New Roman" w:cs="Times New Roman"/>
                <w:b/>
                <w:bCs/>
                <w:sz w:val="14"/>
                <w:szCs w:val="14"/>
              </w:rPr>
              <w:t>1 131 981 401</w:t>
            </w:r>
          </w:p>
        </w:tc>
        <w:tc>
          <w:tcPr>
            <w:tcW w:w="566"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13F3" w:rsidRPr="00C524F1" w:rsidRDefault="007D13F3" w:rsidP="00465CAC">
            <w:pPr>
              <w:jc w:val="right"/>
              <w:rPr>
                <w:rFonts w:ascii="Times New Roman" w:hAnsi="Times New Roman" w:cs="Times New Roman"/>
                <w:b/>
                <w:sz w:val="14"/>
                <w:szCs w:val="14"/>
                <w:highlight w:val="yellow"/>
              </w:rPr>
            </w:pPr>
            <w:r w:rsidRPr="00C524F1">
              <w:rPr>
                <w:rFonts w:ascii="Times New Roman" w:hAnsi="Times New Roman" w:cs="Times New Roman"/>
                <w:b/>
                <w:sz w:val="14"/>
                <w:szCs w:val="14"/>
              </w:rPr>
              <w:t>1 103 539 920</w:t>
            </w:r>
          </w:p>
        </w:tc>
        <w:tc>
          <w:tcPr>
            <w:tcW w:w="566"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7D13F3" w:rsidRPr="00C524F1" w:rsidRDefault="007D13F3" w:rsidP="00465CAC">
            <w:pPr>
              <w:autoSpaceDE w:val="0"/>
              <w:autoSpaceDN w:val="0"/>
              <w:adjustRightInd w:val="0"/>
              <w:jc w:val="right"/>
              <w:rPr>
                <w:rFonts w:ascii="Times New Roman" w:hAnsi="Times New Roman" w:cs="Times New Roman"/>
                <w:b/>
                <w:sz w:val="14"/>
                <w:szCs w:val="14"/>
                <w:highlight w:val="yellow"/>
              </w:rPr>
            </w:pPr>
            <w:r w:rsidRPr="00982368">
              <w:rPr>
                <w:rFonts w:ascii="Times New Roman" w:hAnsi="Times New Roman" w:cs="Times New Roman"/>
                <w:b/>
                <w:sz w:val="14"/>
                <w:szCs w:val="14"/>
              </w:rPr>
              <w:t>1 167 757 724</w:t>
            </w:r>
          </w:p>
        </w:tc>
        <w:tc>
          <w:tcPr>
            <w:tcW w:w="566" w:type="pct"/>
            <w:tcBorders>
              <w:top w:val="nil"/>
              <w:left w:val="nil"/>
              <w:bottom w:val="single" w:sz="4" w:space="0" w:color="auto"/>
              <w:right w:val="single" w:sz="4" w:space="0" w:color="auto"/>
            </w:tcBorders>
            <w:shd w:val="clear" w:color="auto" w:fill="BFBFBF" w:themeFill="background1" w:themeFillShade="BF"/>
            <w:noWrap/>
            <w:vAlign w:val="bottom"/>
          </w:tcPr>
          <w:p w:rsidR="007D13F3" w:rsidRPr="00ED3D61" w:rsidRDefault="007D13F3" w:rsidP="00465CAC">
            <w:pPr>
              <w:autoSpaceDE w:val="0"/>
              <w:autoSpaceDN w:val="0"/>
              <w:adjustRightInd w:val="0"/>
              <w:jc w:val="right"/>
              <w:rPr>
                <w:rFonts w:ascii="Times New Roman" w:hAnsi="Times New Roman" w:cs="Times New Roman"/>
                <w:b/>
                <w:sz w:val="14"/>
                <w:szCs w:val="14"/>
                <w:highlight w:val="yellow"/>
              </w:rPr>
            </w:pPr>
            <w:r w:rsidRPr="00ED3D61">
              <w:rPr>
                <w:rFonts w:ascii="Times New Roman" w:hAnsi="Times New Roman" w:cs="Times New Roman"/>
                <w:b/>
                <w:sz w:val="14"/>
                <w:szCs w:val="14"/>
              </w:rPr>
              <w:t>1 165 418 063</w:t>
            </w:r>
          </w:p>
        </w:tc>
        <w:tc>
          <w:tcPr>
            <w:tcW w:w="566" w:type="pct"/>
            <w:tcBorders>
              <w:top w:val="nil"/>
              <w:left w:val="nil"/>
              <w:bottom w:val="single" w:sz="4" w:space="0" w:color="auto"/>
              <w:right w:val="single" w:sz="4" w:space="0" w:color="auto"/>
            </w:tcBorders>
            <w:shd w:val="clear" w:color="auto" w:fill="BFBFBF" w:themeFill="background1" w:themeFillShade="BF"/>
            <w:noWrap/>
            <w:vAlign w:val="bottom"/>
          </w:tcPr>
          <w:p w:rsidR="007D13F3" w:rsidRPr="00ED3D61" w:rsidRDefault="007D13F3" w:rsidP="00465CAC">
            <w:pPr>
              <w:autoSpaceDE w:val="0"/>
              <w:autoSpaceDN w:val="0"/>
              <w:adjustRightInd w:val="0"/>
              <w:jc w:val="right"/>
              <w:rPr>
                <w:rFonts w:ascii="Times New Roman" w:hAnsi="Times New Roman" w:cs="Times New Roman"/>
                <w:b/>
                <w:sz w:val="14"/>
                <w:szCs w:val="14"/>
                <w:highlight w:val="yellow"/>
              </w:rPr>
            </w:pPr>
            <w:r w:rsidRPr="00ED3D61">
              <w:rPr>
                <w:rFonts w:ascii="Times New Roman" w:hAnsi="Times New Roman" w:cs="Times New Roman"/>
                <w:b/>
                <w:sz w:val="14"/>
                <w:szCs w:val="14"/>
              </w:rPr>
              <w:t>1 165 418 685</w:t>
            </w:r>
          </w:p>
        </w:tc>
        <w:tc>
          <w:tcPr>
            <w:tcW w:w="564" w:type="pct"/>
            <w:tcBorders>
              <w:top w:val="nil"/>
              <w:left w:val="nil"/>
              <w:bottom w:val="single" w:sz="4" w:space="0" w:color="auto"/>
              <w:right w:val="single" w:sz="4" w:space="0" w:color="auto"/>
            </w:tcBorders>
            <w:shd w:val="clear" w:color="auto" w:fill="BFBFBF" w:themeFill="background1" w:themeFillShade="BF"/>
            <w:noWrap/>
            <w:vAlign w:val="bottom"/>
          </w:tcPr>
          <w:p w:rsidR="007D13F3" w:rsidRPr="00ED3D61" w:rsidRDefault="007D13F3" w:rsidP="00465CAC">
            <w:pPr>
              <w:autoSpaceDE w:val="0"/>
              <w:autoSpaceDN w:val="0"/>
              <w:adjustRightInd w:val="0"/>
              <w:jc w:val="right"/>
              <w:rPr>
                <w:rFonts w:ascii="Times New Roman" w:hAnsi="Times New Roman" w:cs="Times New Roman"/>
                <w:b/>
                <w:sz w:val="14"/>
                <w:szCs w:val="14"/>
                <w:highlight w:val="yellow"/>
              </w:rPr>
            </w:pPr>
            <w:r w:rsidRPr="00ED3D61">
              <w:rPr>
                <w:rFonts w:ascii="Times New Roman" w:hAnsi="Times New Roman" w:cs="Times New Roman"/>
                <w:b/>
                <w:sz w:val="14"/>
                <w:szCs w:val="14"/>
              </w:rPr>
              <w:t>1 165 419 292</w:t>
            </w:r>
          </w:p>
        </w:tc>
      </w:tr>
      <w:tr w:rsidR="007D13F3" w:rsidRPr="00A3218E" w:rsidTr="00465CAC">
        <w:trPr>
          <w:trHeight w:val="261"/>
        </w:trPr>
        <w:tc>
          <w:tcPr>
            <w:tcW w:w="1093"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Poskytovanie výchovy a vzdelávania v ZŠ a SŠ</w:t>
            </w:r>
          </w:p>
        </w:tc>
        <w:tc>
          <w:tcPr>
            <w:tcW w:w="513" w:type="pct"/>
            <w:tcBorders>
              <w:top w:val="nil"/>
              <w:left w:val="nil"/>
              <w:bottom w:val="single" w:sz="4" w:space="0" w:color="auto"/>
              <w:right w:val="single" w:sz="4" w:space="0" w:color="auto"/>
            </w:tcBorders>
            <w:shd w:val="clear" w:color="000000" w:fill="FFFFFF"/>
            <w:noWrap/>
            <w:vAlign w:val="bottom"/>
          </w:tcPr>
          <w:p w:rsidR="007D13F3" w:rsidRPr="00FF6283" w:rsidRDefault="007D13F3" w:rsidP="00465CAC">
            <w:pPr>
              <w:jc w:val="right"/>
              <w:rPr>
                <w:rFonts w:ascii="Times New Roman" w:hAnsi="Times New Roman" w:cs="Times New Roman"/>
                <w:sz w:val="14"/>
                <w:szCs w:val="14"/>
                <w:highlight w:val="yellow"/>
              </w:rPr>
            </w:pPr>
            <w:r w:rsidRPr="00FF6283">
              <w:rPr>
                <w:rFonts w:ascii="Times New Roman" w:hAnsi="Times New Roman" w:cs="Times New Roman"/>
                <w:sz w:val="14"/>
                <w:szCs w:val="14"/>
              </w:rPr>
              <w:t>1 067 409 956</w:t>
            </w:r>
          </w:p>
        </w:tc>
        <w:tc>
          <w:tcPr>
            <w:tcW w:w="566" w:type="pct"/>
            <w:tcBorders>
              <w:top w:val="nil"/>
              <w:left w:val="nil"/>
              <w:bottom w:val="single" w:sz="4" w:space="0" w:color="auto"/>
              <w:right w:val="single" w:sz="4" w:space="0" w:color="auto"/>
            </w:tcBorders>
            <w:shd w:val="clear" w:color="000000" w:fill="FFFFFF"/>
            <w:noWrap/>
            <w:vAlign w:val="bottom"/>
          </w:tcPr>
          <w:p w:rsidR="007D13F3" w:rsidRPr="00F42B0C" w:rsidRDefault="007D13F3" w:rsidP="00465CAC">
            <w:pPr>
              <w:jc w:val="right"/>
              <w:rPr>
                <w:rFonts w:ascii="Times New Roman" w:hAnsi="Times New Roman" w:cs="Times New Roman"/>
                <w:sz w:val="14"/>
                <w:szCs w:val="14"/>
                <w:highlight w:val="yellow"/>
              </w:rPr>
            </w:pPr>
            <w:r w:rsidRPr="00F42B0C">
              <w:rPr>
                <w:rFonts w:ascii="Times New Roman" w:hAnsi="Times New Roman" w:cs="Times New Roman"/>
                <w:sz w:val="14"/>
                <w:szCs w:val="14"/>
              </w:rPr>
              <w:t>1 126 467 493</w:t>
            </w:r>
          </w:p>
        </w:tc>
        <w:tc>
          <w:tcPr>
            <w:tcW w:w="566" w:type="pct"/>
            <w:tcBorders>
              <w:top w:val="nil"/>
              <w:left w:val="nil"/>
              <w:bottom w:val="single" w:sz="4" w:space="0" w:color="auto"/>
              <w:right w:val="single" w:sz="4" w:space="0" w:color="auto"/>
            </w:tcBorders>
            <w:shd w:val="clear" w:color="000000" w:fill="FFFFFF"/>
            <w:vAlign w:val="bottom"/>
          </w:tcPr>
          <w:p w:rsidR="007D13F3" w:rsidRPr="00C524F1" w:rsidRDefault="007D13F3" w:rsidP="00465CAC">
            <w:pPr>
              <w:jc w:val="right"/>
              <w:rPr>
                <w:rFonts w:ascii="Times New Roman" w:hAnsi="Times New Roman" w:cs="Times New Roman"/>
                <w:sz w:val="14"/>
                <w:szCs w:val="14"/>
                <w:highlight w:val="yellow"/>
              </w:rPr>
            </w:pPr>
            <w:r w:rsidRPr="00C524F1">
              <w:rPr>
                <w:rFonts w:ascii="Times New Roman" w:hAnsi="Times New Roman" w:cs="Times New Roman"/>
                <w:sz w:val="14"/>
                <w:szCs w:val="14"/>
              </w:rPr>
              <w:t>1 102 580 519</w:t>
            </w:r>
          </w:p>
        </w:tc>
        <w:tc>
          <w:tcPr>
            <w:tcW w:w="566"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C524F1" w:rsidRDefault="007D13F3" w:rsidP="00465CAC">
            <w:pPr>
              <w:autoSpaceDE w:val="0"/>
              <w:autoSpaceDN w:val="0"/>
              <w:adjustRightInd w:val="0"/>
              <w:jc w:val="right"/>
              <w:rPr>
                <w:rFonts w:ascii="Times New Roman" w:hAnsi="Times New Roman" w:cs="Times New Roman"/>
                <w:sz w:val="14"/>
                <w:szCs w:val="14"/>
                <w:highlight w:val="yellow"/>
              </w:rPr>
            </w:pPr>
            <w:r w:rsidRPr="00982368">
              <w:rPr>
                <w:rFonts w:ascii="Times New Roman" w:hAnsi="Times New Roman" w:cs="Times New Roman"/>
                <w:sz w:val="14"/>
                <w:szCs w:val="14"/>
              </w:rPr>
              <w:t>1 165 975 073</w:t>
            </w:r>
          </w:p>
        </w:tc>
        <w:tc>
          <w:tcPr>
            <w:tcW w:w="566" w:type="pct"/>
            <w:tcBorders>
              <w:top w:val="nil"/>
              <w:left w:val="single" w:sz="4" w:space="0" w:color="auto"/>
              <w:bottom w:val="single" w:sz="4" w:space="0" w:color="auto"/>
              <w:right w:val="single" w:sz="4" w:space="0" w:color="auto"/>
            </w:tcBorders>
            <w:shd w:val="clear" w:color="000000" w:fill="FFFFFF"/>
            <w:vAlign w:val="bottom"/>
          </w:tcPr>
          <w:p w:rsidR="007D13F3" w:rsidRPr="00C524F1" w:rsidRDefault="007D13F3" w:rsidP="00465CAC">
            <w:pPr>
              <w:autoSpaceDE w:val="0"/>
              <w:autoSpaceDN w:val="0"/>
              <w:adjustRightInd w:val="0"/>
              <w:jc w:val="right"/>
              <w:rPr>
                <w:rFonts w:ascii="Times New Roman" w:hAnsi="Times New Roman" w:cs="Times New Roman"/>
                <w:sz w:val="14"/>
                <w:szCs w:val="14"/>
                <w:highlight w:val="yellow"/>
              </w:rPr>
            </w:pPr>
            <w:r w:rsidRPr="006E102F">
              <w:rPr>
                <w:rFonts w:ascii="Times New Roman" w:hAnsi="Times New Roman" w:cs="Times New Roman"/>
                <w:sz w:val="14"/>
                <w:szCs w:val="14"/>
              </w:rPr>
              <w:t>1 164 458 662</w:t>
            </w:r>
          </w:p>
        </w:tc>
        <w:tc>
          <w:tcPr>
            <w:tcW w:w="566" w:type="pct"/>
            <w:tcBorders>
              <w:top w:val="nil"/>
              <w:left w:val="nil"/>
              <w:bottom w:val="single" w:sz="4" w:space="0" w:color="auto"/>
              <w:right w:val="single" w:sz="4" w:space="0" w:color="auto"/>
            </w:tcBorders>
            <w:shd w:val="clear" w:color="000000" w:fill="FFFFFF"/>
            <w:vAlign w:val="bottom"/>
          </w:tcPr>
          <w:p w:rsidR="007D13F3" w:rsidRPr="00C524F1" w:rsidRDefault="007D13F3" w:rsidP="00465CAC">
            <w:pPr>
              <w:autoSpaceDE w:val="0"/>
              <w:autoSpaceDN w:val="0"/>
              <w:adjustRightInd w:val="0"/>
              <w:jc w:val="right"/>
              <w:rPr>
                <w:rFonts w:ascii="Times New Roman" w:hAnsi="Times New Roman" w:cs="Times New Roman"/>
                <w:sz w:val="14"/>
                <w:szCs w:val="14"/>
                <w:highlight w:val="yellow"/>
              </w:rPr>
            </w:pPr>
            <w:r w:rsidRPr="006E102F">
              <w:rPr>
                <w:rFonts w:ascii="Times New Roman" w:hAnsi="Times New Roman" w:cs="Times New Roman"/>
                <w:sz w:val="14"/>
                <w:szCs w:val="14"/>
              </w:rPr>
              <w:t>1 164 459 284</w:t>
            </w:r>
          </w:p>
        </w:tc>
        <w:tc>
          <w:tcPr>
            <w:tcW w:w="564" w:type="pct"/>
            <w:tcBorders>
              <w:top w:val="nil"/>
              <w:left w:val="nil"/>
              <w:bottom w:val="single" w:sz="4" w:space="0" w:color="auto"/>
              <w:right w:val="single" w:sz="4" w:space="0" w:color="auto"/>
            </w:tcBorders>
            <w:shd w:val="clear" w:color="000000" w:fill="FFFFFF"/>
            <w:vAlign w:val="bottom"/>
          </w:tcPr>
          <w:p w:rsidR="007D13F3" w:rsidRPr="00C524F1" w:rsidRDefault="007D13F3" w:rsidP="00465CAC">
            <w:pPr>
              <w:autoSpaceDE w:val="0"/>
              <w:autoSpaceDN w:val="0"/>
              <w:adjustRightInd w:val="0"/>
              <w:jc w:val="right"/>
              <w:rPr>
                <w:rFonts w:ascii="Times New Roman" w:hAnsi="Times New Roman" w:cs="Times New Roman"/>
                <w:sz w:val="14"/>
                <w:szCs w:val="14"/>
                <w:highlight w:val="yellow"/>
              </w:rPr>
            </w:pPr>
            <w:r w:rsidRPr="006E102F">
              <w:rPr>
                <w:rFonts w:ascii="Times New Roman" w:hAnsi="Times New Roman" w:cs="Times New Roman"/>
                <w:sz w:val="14"/>
                <w:szCs w:val="14"/>
              </w:rPr>
              <w:t>1 164 459 891</w:t>
            </w:r>
          </w:p>
        </w:tc>
      </w:tr>
      <w:tr w:rsidR="007D13F3" w:rsidRPr="00A3218E" w:rsidTr="00465CAC">
        <w:trPr>
          <w:trHeight w:val="261"/>
        </w:trPr>
        <w:tc>
          <w:tcPr>
            <w:tcW w:w="1093"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Obvodné a krajské kolá súťaží detí a žiakov škôl</w:t>
            </w:r>
          </w:p>
        </w:tc>
        <w:tc>
          <w:tcPr>
            <w:tcW w:w="513" w:type="pct"/>
            <w:tcBorders>
              <w:top w:val="nil"/>
              <w:left w:val="nil"/>
              <w:bottom w:val="single" w:sz="4" w:space="0" w:color="auto"/>
              <w:right w:val="single" w:sz="4" w:space="0" w:color="auto"/>
            </w:tcBorders>
            <w:shd w:val="clear" w:color="000000" w:fill="FFFFFF"/>
            <w:noWrap/>
            <w:vAlign w:val="bottom"/>
          </w:tcPr>
          <w:p w:rsidR="007D13F3" w:rsidRPr="00FF6283" w:rsidRDefault="007D13F3" w:rsidP="00465CAC">
            <w:pPr>
              <w:jc w:val="right"/>
              <w:rPr>
                <w:rFonts w:ascii="Times New Roman" w:hAnsi="Times New Roman" w:cs="Times New Roman"/>
                <w:sz w:val="14"/>
                <w:szCs w:val="14"/>
                <w:highlight w:val="yellow"/>
              </w:rPr>
            </w:pPr>
            <w:r w:rsidRPr="00FF6283">
              <w:rPr>
                <w:rFonts w:ascii="Times New Roman" w:hAnsi="Times New Roman" w:cs="Times New Roman"/>
                <w:sz w:val="14"/>
                <w:szCs w:val="14"/>
              </w:rPr>
              <w:t>1 207 325</w:t>
            </w:r>
          </w:p>
        </w:tc>
        <w:tc>
          <w:tcPr>
            <w:tcW w:w="566" w:type="pct"/>
            <w:tcBorders>
              <w:top w:val="nil"/>
              <w:left w:val="nil"/>
              <w:bottom w:val="single" w:sz="4" w:space="0" w:color="auto"/>
              <w:right w:val="single" w:sz="4" w:space="0" w:color="auto"/>
            </w:tcBorders>
            <w:shd w:val="clear" w:color="000000" w:fill="FFFFFF"/>
            <w:noWrap/>
            <w:vAlign w:val="bottom"/>
          </w:tcPr>
          <w:p w:rsidR="007D13F3" w:rsidRPr="00F42B0C" w:rsidRDefault="007D13F3" w:rsidP="00465CAC">
            <w:pPr>
              <w:jc w:val="right"/>
              <w:rPr>
                <w:rFonts w:ascii="Times New Roman" w:hAnsi="Times New Roman" w:cs="Times New Roman"/>
                <w:sz w:val="14"/>
                <w:szCs w:val="14"/>
                <w:highlight w:val="yellow"/>
              </w:rPr>
            </w:pPr>
            <w:r w:rsidRPr="00F42B0C">
              <w:rPr>
                <w:rFonts w:ascii="Times New Roman" w:hAnsi="Times New Roman" w:cs="Times New Roman"/>
                <w:sz w:val="14"/>
                <w:szCs w:val="14"/>
              </w:rPr>
              <w:t>1 216 540</w:t>
            </w:r>
          </w:p>
        </w:tc>
        <w:tc>
          <w:tcPr>
            <w:tcW w:w="566" w:type="pct"/>
            <w:tcBorders>
              <w:top w:val="nil"/>
              <w:left w:val="nil"/>
              <w:bottom w:val="single" w:sz="4" w:space="0" w:color="auto"/>
              <w:right w:val="single" w:sz="4" w:space="0" w:color="auto"/>
            </w:tcBorders>
            <w:shd w:val="clear" w:color="000000" w:fill="FFFFFF"/>
            <w:noWrap/>
            <w:vAlign w:val="bottom"/>
          </w:tcPr>
          <w:p w:rsidR="007D13F3" w:rsidRPr="00C524F1" w:rsidRDefault="007D13F3" w:rsidP="00465CAC">
            <w:pPr>
              <w:jc w:val="right"/>
              <w:rPr>
                <w:rFonts w:ascii="Times New Roman" w:hAnsi="Times New Roman" w:cs="Times New Roman"/>
                <w:sz w:val="14"/>
                <w:szCs w:val="14"/>
                <w:highlight w:val="yellow"/>
              </w:rPr>
            </w:pPr>
            <w:r w:rsidRPr="00C524F1">
              <w:rPr>
                <w:rFonts w:ascii="Times New Roman" w:hAnsi="Times New Roman" w:cs="Times New Roman"/>
                <w:sz w:val="14"/>
                <w:szCs w:val="14"/>
              </w:rPr>
              <w:t>955 523</w:t>
            </w:r>
          </w:p>
        </w:tc>
        <w:tc>
          <w:tcPr>
            <w:tcW w:w="566"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C524F1" w:rsidRDefault="007D13F3" w:rsidP="00465CAC">
            <w:pPr>
              <w:autoSpaceDE w:val="0"/>
              <w:autoSpaceDN w:val="0"/>
              <w:adjustRightInd w:val="0"/>
              <w:jc w:val="right"/>
              <w:rPr>
                <w:rFonts w:ascii="Times New Roman" w:hAnsi="Times New Roman" w:cs="Times New Roman"/>
                <w:sz w:val="14"/>
                <w:szCs w:val="14"/>
                <w:highlight w:val="yellow"/>
              </w:rPr>
            </w:pPr>
            <w:r w:rsidRPr="00982368">
              <w:rPr>
                <w:rFonts w:ascii="Times New Roman" w:hAnsi="Times New Roman" w:cs="Times New Roman"/>
                <w:sz w:val="14"/>
                <w:szCs w:val="14"/>
              </w:rPr>
              <w:t>1 227 773</w:t>
            </w:r>
          </w:p>
        </w:tc>
        <w:tc>
          <w:tcPr>
            <w:tcW w:w="566" w:type="pct"/>
            <w:tcBorders>
              <w:top w:val="nil"/>
              <w:left w:val="single" w:sz="4" w:space="0" w:color="auto"/>
              <w:bottom w:val="single" w:sz="4" w:space="0" w:color="auto"/>
              <w:right w:val="single" w:sz="4" w:space="0" w:color="auto"/>
            </w:tcBorders>
            <w:shd w:val="clear" w:color="000000" w:fill="FFFFFF"/>
            <w:vAlign w:val="bottom"/>
          </w:tcPr>
          <w:p w:rsidR="007D13F3" w:rsidRPr="00C524F1" w:rsidRDefault="007D13F3" w:rsidP="00465CAC">
            <w:pPr>
              <w:autoSpaceDE w:val="0"/>
              <w:autoSpaceDN w:val="0"/>
              <w:adjustRightInd w:val="0"/>
              <w:jc w:val="right"/>
              <w:rPr>
                <w:rFonts w:ascii="Times New Roman" w:hAnsi="Times New Roman" w:cs="Times New Roman"/>
                <w:sz w:val="14"/>
                <w:szCs w:val="14"/>
              </w:rPr>
            </w:pPr>
            <w:r w:rsidRPr="00C524F1">
              <w:rPr>
                <w:rFonts w:ascii="Times New Roman" w:hAnsi="Times New Roman" w:cs="Times New Roman"/>
                <w:sz w:val="14"/>
                <w:szCs w:val="14"/>
              </w:rPr>
              <w:t>955 523</w:t>
            </w:r>
          </w:p>
        </w:tc>
        <w:tc>
          <w:tcPr>
            <w:tcW w:w="566" w:type="pct"/>
            <w:tcBorders>
              <w:top w:val="nil"/>
              <w:left w:val="nil"/>
              <w:bottom w:val="single" w:sz="4" w:space="0" w:color="auto"/>
              <w:right w:val="single" w:sz="4" w:space="0" w:color="auto"/>
            </w:tcBorders>
            <w:shd w:val="clear" w:color="000000" w:fill="FFFFFF"/>
            <w:vAlign w:val="bottom"/>
          </w:tcPr>
          <w:p w:rsidR="007D13F3" w:rsidRPr="00C524F1" w:rsidRDefault="007D13F3" w:rsidP="00465CAC">
            <w:pPr>
              <w:autoSpaceDE w:val="0"/>
              <w:autoSpaceDN w:val="0"/>
              <w:adjustRightInd w:val="0"/>
              <w:jc w:val="right"/>
              <w:rPr>
                <w:rFonts w:ascii="Times New Roman" w:hAnsi="Times New Roman" w:cs="Times New Roman"/>
                <w:sz w:val="14"/>
                <w:szCs w:val="14"/>
              </w:rPr>
            </w:pPr>
            <w:r w:rsidRPr="00C524F1">
              <w:rPr>
                <w:rFonts w:ascii="Times New Roman" w:hAnsi="Times New Roman" w:cs="Times New Roman"/>
                <w:sz w:val="14"/>
                <w:szCs w:val="14"/>
              </w:rPr>
              <w:t>955 523</w:t>
            </w:r>
          </w:p>
        </w:tc>
        <w:tc>
          <w:tcPr>
            <w:tcW w:w="564" w:type="pct"/>
            <w:tcBorders>
              <w:top w:val="nil"/>
              <w:left w:val="nil"/>
              <w:bottom w:val="single" w:sz="4" w:space="0" w:color="auto"/>
              <w:right w:val="single" w:sz="4" w:space="0" w:color="auto"/>
            </w:tcBorders>
            <w:shd w:val="clear" w:color="000000" w:fill="FFFFFF"/>
            <w:vAlign w:val="bottom"/>
          </w:tcPr>
          <w:p w:rsidR="007D13F3" w:rsidRPr="00C524F1" w:rsidRDefault="007D13F3" w:rsidP="00465CAC">
            <w:pPr>
              <w:autoSpaceDE w:val="0"/>
              <w:autoSpaceDN w:val="0"/>
              <w:adjustRightInd w:val="0"/>
              <w:jc w:val="right"/>
              <w:rPr>
                <w:rFonts w:ascii="Times New Roman" w:hAnsi="Times New Roman" w:cs="Times New Roman"/>
                <w:sz w:val="14"/>
                <w:szCs w:val="14"/>
              </w:rPr>
            </w:pPr>
            <w:r w:rsidRPr="00C524F1">
              <w:rPr>
                <w:rFonts w:ascii="Times New Roman" w:hAnsi="Times New Roman" w:cs="Times New Roman"/>
                <w:sz w:val="14"/>
                <w:szCs w:val="14"/>
              </w:rPr>
              <w:t>955 523</w:t>
            </w:r>
          </w:p>
        </w:tc>
      </w:tr>
      <w:tr w:rsidR="007D13F3" w:rsidRPr="00A3218E" w:rsidTr="00465CAC">
        <w:trPr>
          <w:trHeight w:val="261"/>
        </w:trPr>
        <w:tc>
          <w:tcPr>
            <w:tcW w:w="1093" w:type="pct"/>
            <w:tcBorders>
              <w:top w:val="nil"/>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 xml:space="preserve">Vakcíny proti hepatitíde typu A </w:t>
            </w:r>
            <w:proofErr w:type="spellStart"/>
            <w:r w:rsidRPr="00A3218E">
              <w:rPr>
                <w:rFonts w:ascii="Times New Roman" w:hAnsi="Times New Roman" w:cs="Times New Roman"/>
                <w:sz w:val="14"/>
                <w:szCs w:val="14"/>
              </w:rPr>
              <w:t>a</w:t>
            </w:r>
            <w:proofErr w:type="spellEnd"/>
            <w:r w:rsidRPr="00A3218E">
              <w:rPr>
                <w:rFonts w:ascii="Times New Roman" w:hAnsi="Times New Roman" w:cs="Times New Roman"/>
                <w:sz w:val="14"/>
                <w:szCs w:val="14"/>
              </w:rPr>
              <w:t xml:space="preserve"> B</w:t>
            </w:r>
          </w:p>
        </w:tc>
        <w:tc>
          <w:tcPr>
            <w:tcW w:w="513" w:type="pct"/>
            <w:tcBorders>
              <w:top w:val="nil"/>
              <w:left w:val="nil"/>
              <w:bottom w:val="single" w:sz="4" w:space="0" w:color="auto"/>
              <w:right w:val="single" w:sz="4" w:space="0" w:color="auto"/>
            </w:tcBorders>
            <w:shd w:val="clear" w:color="000000" w:fill="FFFFFF"/>
            <w:noWrap/>
            <w:vAlign w:val="bottom"/>
          </w:tcPr>
          <w:p w:rsidR="007D13F3" w:rsidRPr="00FF6283" w:rsidRDefault="007D13F3" w:rsidP="00465CAC">
            <w:pPr>
              <w:jc w:val="right"/>
              <w:rPr>
                <w:rFonts w:ascii="Times New Roman" w:hAnsi="Times New Roman" w:cs="Times New Roman"/>
                <w:sz w:val="14"/>
                <w:szCs w:val="14"/>
                <w:highlight w:val="yellow"/>
              </w:rPr>
            </w:pPr>
            <w:r w:rsidRPr="00FF6283">
              <w:rPr>
                <w:rFonts w:ascii="Times New Roman" w:hAnsi="Times New Roman" w:cs="Times New Roman"/>
                <w:sz w:val="14"/>
                <w:szCs w:val="14"/>
              </w:rPr>
              <w:t>1 327</w:t>
            </w:r>
          </w:p>
        </w:tc>
        <w:tc>
          <w:tcPr>
            <w:tcW w:w="566" w:type="pct"/>
            <w:tcBorders>
              <w:top w:val="nil"/>
              <w:left w:val="nil"/>
              <w:bottom w:val="single" w:sz="4" w:space="0" w:color="auto"/>
              <w:right w:val="single" w:sz="4" w:space="0" w:color="auto"/>
            </w:tcBorders>
            <w:shd w:val="clear" w:color="000000" w:fill="FFFFFF"/>
            <w:noWrap/>
            <w:vAlign w:val="bottom"/>
          </w:tcPr>
          <w:p w:rsidR="007D13F3" w:rsidRPr="00F42B0C" w:rsidRDefault="007D13F3" w:rsidP="00465CAC">
            <w:pPr>
              <w:jc w:val="right"/>
              <w:rPr>
                <w:rFonts w:ascii="Times New Roman" w:hAnsi="Times New Roman" w:cs="Times New Roman"/>
                <w:sz w:val="14"/>
                <w:szCs w:val="14"/>
                <w:highlight w:val="yellow"/>
              </w:rPr>
            </w:pPr>
            <w:r w:rsidRPr="00F42B0C">
              <w:rPr>
                <w:rFonts w:ascii="Times New Roman" w:hAnsi="Times New Roman" w:cs="Times New Roman"/>
                <w:sz w:val="14"/>
                <w:szCs w:val="14"/>
              </w:rPr>
              <w:t>771</w:t>
            </w:r>
          </w:p>
        </w:tc>
        <w:tc>
          <w:tcPr>
            <w:tcW w:w="566" w:type="pct"/>
            <w:tcBorders>
              <w:top w:val="nil"/>
              <w:left w:val="nil"/>
              <w:bottom w:val="single" w:sz="4" w:space="0" w:color="auto"/>
              <w:right w:val="single" w:sz="4" w:space="0" w:color="auto"/>
            </w:tcBorders>
            <w:shd w:val="clear" w:color="000000" w:fill="FFFFFF"/>
            <w:noWrap/>
            <w:vAlign w:val="bottom"/>
          </w:tcPr>
          <w:p w:rsidR="007D13F3" w:rsidRPr="00C524F1" w:rsidRDefault="007D13F3" w:rsidP="00465CAC">
            <w:pPr>
              <w:autoSpaceDE w:val="0"/>
              <w:autoSpaceDN w:val="0"/>
              <w:adjustRightInd w:val="0"/>
              <w:jc w:val="right"/>
              <w:rPr>
                <w:rFonts w:ascii="Times New Roman" w:hAnsi="Times New Roman" w:cs="Times New Roman"/>
                <w:sz w:val="14"/>
                <w:szCs w:val="14"/>
              </w:rPr>
            </w:pPr>
            <w:r w:rsidRPr="00C524F1">
              <w:rPr>
                <w:rFonts w:ascii="Times New Roman" w:hAnsi="Times New Roman" w:cs="Times New Roman"/>
                <w:sz w:val="14"/>
                <w:szCs w:val="14"/>
              </w:rPr>
              <w:t>3 878</w:t>
            </w:r>
          </w:p>
        </w:tc>
        <w:tc>
          <w:tcPr>
            <w:tcW w:w="566"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C524F1" w:rsidRDefault="007D13F3" w:rsidP="00465CAC">
            <w:pPr>
              <w:autoSpaceDE w:val="0"/>
              <w:autoSpaceDN w:val="0"/>
              <w:adjustRightInd w:val="0"/>
              <w:jc w:val="right"/>
              <w:rPr>
                <w:rFonts w:ascii="Times New Roman" w:hAnsi="Times New Roman" w:cs="Times New Roman"/>
                <w:sz w:val="14"/>
                <w:szCs w:val="14"/>
                <w:highlight w:val="yellow"/>
              </w:rPr>
            </w:pPr>
            <w:r w:rsidRPr="00C524F1">
              <w:rPr>
                <w:rFonts w:ascii="Times New Roman" w:hAnsi="Times New Roman" w:cs="Times New Roman"/>
                <w:sz w:val="14"/>
                <w:szCs w:val="14"/>
              </w:rPr>
              <w:t>3 878</w:t>
            </w:r>
          </w:p>
        </w:tc>
        <w:tc>
          <w:tcPr>
            <w:tcW w:w="566" w:type="pct"/>
            <w:tcBorders>
              <w:top w:val="nil"/>
              <w:left w:val="single" w:sz="4" w:space="0" w:color="auto"/>
              <w:bottom w:val="single" w:sz="4" w:space="0" w:color="auto"/>
              <w:right w:val="single" w:sz="4" w:space="0" w:color="auto"/>
            </w:tcBorders>
            <w:shd w:val="clear" w:color="000000" w:fill="FFFFFF"/>
            <w:vAlign w:val="bottom"/>
          </w:tcPr>
          <w:p w:rsidR="007D13F3" w:rsidRPr="00C524F1" w:rsidRDefault="007D13F3" w:rsidP="00465CAC">
            <w:pPr>
              <w:autoSpaceDE w:val="0"/>
              <w:autoSpaceDN w:val="0"/>
              <w:adjustRightInd w:val="0"/>
              <w:jc w:val="right"/>
              <w:rPr>
                <w:rFonts w:ascii="Times New Roman" w:hAnsi="Times New Roman" w:cs="Times New Roman"/>
                <w:sz w:val="14"/>
                <w:szCs w:val="14"/>
              </w:rPr>
            </w:pPr>
            <w:r w:rsidRPr="00C524F1">
              <w:rPr>
                <w:rFonts w:ascii="Times New Roman" w:hAnsi="Times New Roman" w:cs="Times New Roman"/>
                <w:sz w:val="14"/>
                <w:szCs w:val="14"/>
              </w:rPr>
              <w:t>3 878</w:t>
            </w:r>
          </w:p>
        </w:tc>
        <w:tc>
          <w:tcPr>
            <w:tcW w:w="566" w:type="pct"/>
            <w:tcBorders>
              <w:top w:val="nil"/>
              <w:left w:val="nil"/>
              <w:bottom w:val="single" w:sz="4" w:space="0" w:color="auto"/>
              <w:right w:val="single" w:sz="4" w:space="0" w:color="auto"/>
            </w:tcBorders>
            <w:shd w:val="clear" w:color="000000" w:fill="FFFFFF"/>
            <w:vAlign w:val="bottom"/>
          </w:tcPr>
          <w:p w:rsidR="007D13F3" w:rsidRPr="00C524F1" w:rsidRDefault="007D13F3" w:rsidP="00465CAC">
            <w:pPr>
              <w:autoSpaceDE w:val="0"/>
              <w:autoSpaceDN w:val="0"/>
              <w:adjustRightInd w:val="0"/>
              <w:jc w:val="right"/>
              <w:rPr>
                <w:rFonts w:ascii="Times New Roman" w:hAnsi="Times New Roman" w:cs="Times New Roman"/>
                <w:sz w:val="14"/>
                <w:szCs w:val="14"/>
              </w:rPr>
            </w:pPr>
            <w:r w:rsidRPr="00C524F1">
              <w:rPr>
                <w:rFonts w:ascii="Times New Roman" w:hAnsi="Times New Roman" w:cs="Times New Roman"/>
                <w:sz w:val="14"/>
                <w:szCs w:val="14"/>
              </w:rPr>
              <w:t>3 878</w:t>
            </w:r>
          </w:p>
        </w:tc>
        <w:tc>
          <w:tcPr>
            <w:tcW w:w="564" w:type="pct"/>
            <w:tcBorders>
              <w:top w:val="nil"/>
              <w:left w:val="nil"/>
              <w:bottom w:val="single" w:sz="4" w:space="0" w:color="auto"/>
              <w:right w:val="single" w:sz="4" w:space="0" w:color="auto"/>
            </w:tcBorders>
            <w:shd w:val="clear" w:color="000000" w:fill="FFFFFF"/>
            <w:vAlign w:val="bottom"/>
          </w:tcPr>
          <w:p w:rsidR="007D13F3" w:rsidRPr="00C524F1" w:rsidRDefault="007D13F3" w:rsidP="00465CAC">
            <w:pPr>
              <w:autoSpaceDE w:val="0"/>
              <w:autoSpaceDN w:val="0"/>
              <w:adjustRightInd w:val="0"/>
              <w:jc w:val="right"/>
              <w:rPr>
                <w:rFonts w:ascii="Times New Roman" w:hAnsi="Times New Roman" w:cs="Times New Roman"/>
                <w:sz w:val="14"/>
                <w:szCs w:val="14"/>
              </w:rPr>
            </w:pPr>
            <w:r w:rsidRPr="00C524F1">
              <w:rPr>
                <w:rFonts w:ascii="Times New Roman" w:hAnsi="Times New Roman" w:cs="Times New Roman"/>
                <w:sz w:val="14"/>
                <w:szCs w:val="14"/>
              </w:rPr>
              <w:t>3 878</w:t>
            </w:r>
          </w:p>
        </w:tc>
      </w:tr>
      <w:tr w:rsidR="007D13F3" w:rsidRPr="00A3218E" w:rsidTr="00465CAC">
        <w:trPr>
          <w:trHeight w:val="261"/>
        </w:trPr>
        <w:tc>
          <w:tcPr>
            <w:tcW w:w="1093" w:type="pct"/>
            <w:tcBorders>
              <w:top w:val="single" w:sz="4" w:space="0" w:color="auto"/>
              <w:left w:val="single" w:sz="4" w:space="0" w:color="auto"/>
              <w:bottom w:val="single" w:sz="4" w:space="0" w:color="auto"/>
              <w:right w:val="single" w:sz="4" w:space="0" w:color="auto"/>
            </w:tcBorders>
            <w:shd w:val="clear" w:color="000000" w:fill="FFFFFF"/>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Rozvojové projekty</w:t>
            </w:r>
          </w:p>
        </w:tc>
        <w:tc>
          <w:tcPr>
            <w:tcW w:w="513" w:type="pct"/>
            <w:tcBorders>
              <w:top w:val="single" w:sz="4" w:space="0" w:color="auto"/>
              <w:left w:val="nil"/>
              <w:bottom w:val="single" w:sz="4" w:space="0" w:color="auto"/>
              <w:right w:val="single" w:sz="4" w:space="0" w:color="auto"/>
            </w:tcBorders>
            <w:shd w:val="clear" w:color="000000" w:fill="FFFFFF"/>
            <w:noWrap/>
            <w:vAlign w:val="bottom"/>
          </w:tcPr>
          <w:p w:rsidR="007D13F3" w:rsidRPr="00FF6283" w:rsidRDefault="007D13F3" w:rsidP="00465CAC">
            <w:pPr>
              <w:jc w:val="right"/>
              <w:rPr>
                <w:rFonts w:ascii="Times New Roman" w:hAnsi="Times New Roman" w:cs="Times New Roman"/>
                <w:sz w:val="14"/>
                <w:szCs w:val="14"/>
                <w:highlight w:val="yellow"/>
              </w:rPr>
            </w:pPr>
            <w:r w:rsidRPr="00FF6283">
              <w:rPr>
                <w:rFonts w:ascii="Times New Roman" w:hAnsi="Times New Roman" w:cs="Times New Roman"/>
                <w:sz w:val="14"/>
                <w:szCs w:val="14"/>
              </w:rPr>
              <w:t>596 338</w:t>
            </w:r>
          </w:p>
        </w:tc>
        <w:tc>
          <w:tcPr>
            <w:tcW w:w="566" w:type="pct"/>
            <w:tcBorders>
              <w:top w:val="single" w:sz="4" w:space="0" w:color="auto"/>
              <w:left w:val="nil"/>
              <w:bottom w:val="single" w:sz="4" w:space="0" w:color="auto"/>
              <w:right w:val="single" w:sz="4" w:space="0" w:color="auto"/>
            </w:tcBorders>
            <w:shd w:val="clear" w:color="000000" w:fill="FFFFFF"/>
            <w:noWrap/>
            <w:vAlign w:val="bottom"/>
          </w:tcPr>
          <w:p w:rsidR="007D13F3" w:rsidRPr="00F42B0C" w:rsidRDefault="007D13F3" w:rsidP="00465CAC">
            <w:pPr>
              <w:jc w:val="right"/>
              <w:rPr>
                <w:rFonts w:ascii="Times New Roman" w:hAnsi="Times New Roman" w:cs="Times New Roman"/>
                <w:sz w:val="14"/>
                <w:szCs w:val="14"/>
                <w:highlight w:val="yellow"/>
              </w:rPr>
            </w:pPr>
            <w:r w:rsidRPr="00F42B0C">
              <w:rPr>
                <w:rFonts w:ascii="Times New Roman" w:hAnsi="Times New Roman" w:cs="Times New Roman"/>
                <w:sz w:val="14"/>
                <w:szCs w:val="14"/>
              </w:rPr>
              <w:t>4 296 597</w:t>
            </w:r>
          </w:p>
        </w:tc>
        <w:tc>
          <w:tcPr>
            <w:tcW w:w="566" w:type="pct"/>
            <w:tcBorders>
              <w:top w:val="single" w:sz="4" w:space="0" w:color="auto"/>
              <w:left w:val="nil"/>
              <w:bottom w:val="single" w:sz="4" w:space="0" w:color="auto"/>
              <w:right w:val="single" w:sz="4" w:space="0" w:color="auto"/>
            </w:tcBorders>
            <w:shd w:val="clear" w:color="000000" w:fill="FFFFFF"/>
            <w:noWrap/>
            <w:vAlign w:val="bottom"/>
          </w:tcPr>
          <w:p w:rsidR="007D13F3" w:rsidRPr="00C524F1" w:rsidRDefault="007D13F3" w:rsidP="00465CAC">
            <w:pPr>
              <w:jc w:val="right"/>
              <w:rPr>
                <w:rFonts w:ascii="Times New Roman" w:hAnsi="Times New Roman" w:cs="Times New Roman"/>
                <w:sz w:val="14"/>
                <w:szCs w:val="14"/>
              </w:rPr>
            </w:pPr>
            <w:r w:rsidRPr="00C524F1">
              <w:rPr>
                <w:rFonts w:ascii="Times New Roman" w:hAnsi="Times New Roman" w:cs="Times New Roman"/>
                <w:sz w:val="14"/>
                <w:szCs w:val="14"/>
              </w:rPr>
              <w:t>0</w:t>
            </w:r>
          </w:p>
        </w:tc>
        <w:tc>
          <w:tcPr>
            <w:tcW w:w="566"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C524F1" w:rsidRDefault="007D13F3" w:rsidP="00465CAC">
            <w:pPr>
              <w:autoSpaceDE w:val="0"/>
              <w:autoSpaceDN w:val="0"/>
              <w:adjustRightInd w:val="0"/>
              <w:jc w:val="right"/>
              <w:rPr>
                <w:rFonts w:ascii="Times New Roman" w:hAnsi="Times New Roman" w:cs="Times New Roman"/>
                <w:sz w:val="14"/>
                <w:szCs w:val="14"/>
              </w:rPr>
            </w:pPr>
            <w:r w:rsidRPr="00982368">
              <w:rPr>
                <w:rFonts w:ascii="Times New Roman" w:hAnsi="Times New Roman" w:cs="Times New Roman"/>
                <w:sz w:val="14"/>
                <w:szCs w:val="14"/>
              </w:rPr>
              <w:t>551 000</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tcPr>
          <w:p w:rsidR="007D13F3" w:rsidRPr="00C524F1" w:rsidRDefault="007D13F3" w:rsidP="00465CAC">
            <w:pPr>
              <w:autoSpaceDE w:val="0"/>
              <w:autoSpaceDN w:val="0"/>
              <w:adjustRightInd w:val="0"/>
              <w:jc w:val="right"/>
              <w:rPr>
                <w:rFonts w:ascii="Times New Roman" w:hAnsi="Times New Roman" w:cs="Times New Roman"/>
                <w:sz w:val="14"/>
                <w:szCs w:val="14"/>
              </w:rPr>
            </w:pPr>
            <w:r w:rsidRPr="00C524F1">
              <w:rPr>
                <w:rFonts w:ascii="Times New Roman" w:hAnsi="Times New Roman" w:cs="Times New Roman"/>
                <w:sz w:val="14"/>
                <w:szCs w:val="14"/>
              </w:rPr>
              <w:t>0</w:t>
            </w:r>
          </w:p>
        </w:tc>
        <w:tc>
          <w:tcPr>
            <w:tcW w:w="566" w:type="pct"/>
            <w:tcBorders>
              <w:top w:val="single" w:sz="4" w:space="0" w:color="auto"/>
              <w:left w:val="nil"/>
              <w:bottom w:val="single" w:sz="4" w:space="0" w:color="auto"/>
              <w:right w:val="single" w:sz="4" w:space="0" w:color="auto"/>
            </w:tcBorders>
            <w:shd w:val="clear" w:color="000000" w:fill="FFFFFF"/>
            <w:vAlign w:val="bottom"/>
          </w:tcPr>
          <w:p w:rsidR="007D13F3" w:rsidRPr="00C524F1" w:rsidRDefault="007D13F3" w:rsidP="00465CAC">
            <w:pPr>
              <w:autoSpaceDE w:val="0"/>
              <w:autoSpaceDN w:val="0"/>
              <w:adjustRightInd w:val="0"/>
              <w:jc w:val="right"/>
              <w:rPr>
                <w:rFonts w:ascii="Times New Roman" w:hAnsi="Times New Roman" w:cs="Times New Roman"/>
                <w:sz w:val="14"/>
                <w:szCs w:val="14"/>
              </w:rPr>
            </w:pPr>
            <w:r w:rsidRPr="00C524F1">
              <w:rPr>
                <w:rFonts w:ascii="Times New Roman" w:hAnsi="Times New Roman" w:cs="Times New Roman"/>
                <w:sz w:val="14"/>
                <w:szCs w:val="14"/>
              </w:rPr>
              <w:t>0</w:t>
            </w:r>
          </w:p>
        </w:tc>
        <w:tc>
          <w:tcPr>
            <w:tcW w:w="564" w:type="pct"/>
            <w:tcBorders>
              <w:top w:val="single" w:sz="4" w:space="0" w:color="auto"/>
              <w:left w:val="nil"/>
              <w:bottom w:val="single" w:sz="4" w:space="0" w:color="auto"/>
              <w:right w:val="single" w:sz="4" w:space="0" w:color="auto"/>
            </w:tcBorders>
            <w:shd w:val="clear" w:color="000000" w:fill="FFFFFF"/>
            <w:vAlign w:val="bottom"/>
          </w:tcPr>
          <w:p w:rsidR="007D13F3" w:rsidRPr="00C524F1" w:rsidRDefault="007D13F3" w:rsidP="00465CAC">
            <w:pPr>
              <w:autoSpaceDE w:val="0"/>
              <w:autoSpaceDN w:val="0"/>
              <w:adjustRightInd w:val="0"/>
              <w:jc w:val="right"/>
              <w:rPr>
                <w:rFonts w:ascii="Times New Roman" w:hAnsi="Times New Roman" w:cs="Times New Roman"/>
                <w:sz w:val="14"/>
                <w:szCs w:val="14"/>
              </w:rPr>
            </w:pPr>
            <w:r w:rsidRPr="00C524F1">
              <w:rPr>
                <w:rFonts w:ascii="Times New Roman" w:hAnsi="Times New Roman" w:cs="Times New Roman"/>
                <w:sz w:val="14"/>
                <w:szCs w:val="14"/>
              </w:rPr>
              <w:t>0</w:t>
            </w:r>
          </w:p>
        </w:tc>
      </w:tr>
    </w:tbl>
    <w:p w:rsidR="007D13F3" w:rsidRDefault="007D13F3" w:rsidP="007D13F3">
      <w:pPr>
        <w:jc w:val="both"/>
        <w:rPr>
          <w:rFonts w:ascii="Times New Roman" w:hAnsi="Times New Roman" w:cs="Times New Roman"/>
          <w:sz w:val="22"/>
          <w:szCs w:val="22"/>
          <w:highlight w:val="yellow"/>
        </w:rPr>
      </w:pPr>
    </w:p>
    <w:p w:rsidR="007D13F3" w:rsidRPr="005C7309" w:rsidRDefault="007D13F3" w:rsidP="007D13F3">
      <w:pPr>
        <w:ind w:firstLine="708"/>
        <w:jc w:val="both"/>
        <w:rPr>
          <w:rFonts w:ascii="Times New Roman" w:hAnsi="Times New Roman" w:cs="Times New Roman"/>
        </w:rPr>
      </w:pPr>
      <w:r w:rsidRPr="005C7309">
        <w:rPr>
          <w:rFonts w:ascii="Times New Roman" w:hAnsi="Times New Roman" w:cs="Times New Roman"/>
        </w:rPr>
        <w:t xml:space="preserve">Program je určený na zabezpečovanie výchovy a vzdelávania pre deti a žiakov materských škôl, základných škôl a stredných škôl, na podporu samostatnej tvorivej činnosti detí a žiakov a zvýšenie ochrany pedagogických a odborných zamestnancov pred infekčnými ochoreniami úhradou časti nákladov na vakcíny proti hepatitíde typu A </w:t>
      </w:r>
      <w:proofErr w:type="spellStart"/>
      <w:r w:rsidRPr="005C7309">
        <w:rPr>
          <w:rFonts w:ascii="Times New Roman" w:hAnsi="Times New Roman" w:cs="Times New Roman"/>
        </w:rPr>
        <w:t>a</w:t>
      </w:r>
      <w:proofErr w:type="spellEnd"/>
      <w:r w:rsidRPr="005C7309">
        <w:rPr>
          <w:rFonts w:ascii="Times New Roman" w:hAnsi="Times New Roman" w:cs="Times New Roman"/>
        </w:rPr>
        <w:t xml:space="preserve"> B.</w:t>
      </w:r>
    </w:p>
    <w:p w:rsidR="007D13F3" w:rsidRPr="005C7309" w:rsidRDefault="007D13F3" w:rsidP="007D13F3">
      <w:pPr>
        <w:jc w:val="both"/>
        <w:rPr>
          <w:rFonts w:ascii="Times New Roman" w:hAnsi="Times New Roman" w:cs="Times New Roman"/>
        </w:rPr>
      </w:pPr>
    </w:p>
    <w:p w:rsidR="007D13F3" w:rsidRDefault="007D13F3" w:rsidP="007D13F3">
      <w:pPr>
        <w:ind w:firstLine="708"/>
        <w:jc w:val="both"/>
        <w:rPr>
          <w:rFonts w:ascii="Times New Roman" w:hAnsi="Times New Roman" w:cs="Times New Roman"/>
          <w:b/>
          <w:bCs/>
        </w:rPr>
      </w:pPr>
      <w:r w:rsidRPr="00794DE3">
        <w:rPr>
          <w:rFonts w:ascii="Times New Roman" w:hAnsi="Times New Roman" w:cs="Times New Roman"/>
        </w:rPr>
        <w:lastRenderedPageBreak/>
        <w:t xml:space="preserve">Medziročný nárast výdavkov je spôsobený najmä nárastom výdavkov na bežné transfery (o sumu </w:t>
      </w:r>
      <w:r>
        <w:rPr>
          <w:rFonts w:ascii="Times New Roman" w:hAnsi="Times New Roman" w:cs="Times New Roman"/>
        </w:rPr>
        <w:t>5</w:t>
      </w:r>
      <w:r w:rsidRPr="00794DE3">
        <w:rPr>
          <w:rFonts w:ascii="Times New Roman" w:hAnsi="Times New Roman" w:cs="Times New Roman"/>
        </w:rPr>
        <w:t>3,</w:t>
      </w:r>
      <w:r>
        <w:rPr>
          <w:rFonts w:ascii="Times New Roman" w:hAnsi="Times New Roman" w:cs="Times New Roman"/>
        </w:rPr>
        <w:t>9</w:t>
      </w:r>
      <w:r w:rsidRPr="00794DE3">
        <w:rPr>
          <w:rFonts w:ascii="Times New Roman" w:hAnsi="Times New Roman" w:cs="Times New Roman"/>
        </w:rPr>
        <w:t xml:space="preserve"> mil. eur), najmä na položke transfery v rámci verejnej správy (o sumu </w:t>
      </w:r>
      <w:r>
        <w:rPr>
          <w:rFonts w:ascii="Times New Roman" w:hAnsi="Times New Roman" w:cs="Times New Roman"/>
        </w:rPr>
        <w:t>40</w:t>
      </w:r>
      <w:r w:rsidRPr="00794DE3">
        <w:rPr>
          <w:rFonts w:ascii="Times New Roman" w:hAnsi="Times New Roman" w:cs="Times New Roman"/>
        </w:rPr>
        <w:t>,</w:t>
      </w:r>
      <w:r>
        <w:rPr>
          <w:rFonts w:ascii="Times New Roman" w:hAnsi="Times New Roman" w:cs="Times New Roman"/>
        </w:rPr>
        <w:t>6</w:t>
      </w:r>
      <w:r w:rsidRPr="00794DE3">
        <w:rPr>
          <w:rFonts w:ascii="Times New Roman" w:hAnsi="Times New Roman" w:cs="Times New Roman"/>
        </w:rPr>
        <w:t xml:space="preserve"> mil. eur).</w:t>
      </w:r>
    </w:p>
    <w:p w:rsidR="00A870F8" w:rsidRDefault="00A870F8" w:rsidP="007D13F3">
      <w:pPr>
        <w:jc w:val="both"/>
        <w:rPr>
          <w:rFonts w:ascii="Times New Roman" w:hAnsi="Times New Roman" w:cs="Times New Roman"/>
          <w:b/>
          <w:bCs/>
        </w:rPr>
      </w:pPr>
    </w:p>
    <w:p w:rsidR="007D13F3" w:rsidRPr="00693FCE" w:rsidRDefault="007D13F3" w:rsidP="007D13F3">
      <w:pPr>
        <w:jc w:val="both"/>
        <w:rPr>
          <w:rFonts w:ascii="Times New Roman" w:hAnsi="Times New Roman" w:cs="Times New Roman"/>
          <w:b/>
          <w:bCs/>
        </w:rPr>
      </w:pPr>
      <w:r w:rsidRPr="00693FCE">
        <w:rPr>
          <w:rFonts w:ascii="Times New Roman" w:hAnsi="Times New Roman" w:cs="Times New Roman"/>
          <w:b/>
          <w:bCs/>
        </w:rPr>
        <w:t>Medzirezortné programy</w:t>
      </w:r>
    </w:p>
    <w:p w:rsidR="007D13F3" w:rsidRPr="00693FCE" w:rsidRDefault="007D13F3" w:rsidP="007D13F3">
      <w:pPr>
        <w:jc w:val="both"/>
        <w:rPr>
          <w:rFonts w:ascii="Times New Roman" w:hAnsi="Times New Roman" w:cs="Times New Roman"/>
          <w:b/>
        </w:rPr>
      </w:pPr>
    </w:p>
    <w:p w:rsidR="007D13F3" w:rsidRPr="00693FCE" w:rsidRDefault="007D13F3" w:rsidP="007D13F3">
      <w:pPr>
        <w:jc w:val="both"/>
        <w:rPr>
          <w:rFonts w:ascii="Times New Roman" w:hAnsi="Times New Roman" w:cs="Times New Roman"/>
        </w:rPr>
      </w:pPr>
      <w:r w:rsidRPr="00693FCE">
        <w:rPr>
          <w:rFonts w:ascii="Times New Roman" w:hAnsi="Times New Roman" w:cs="Times New Roman"/>
        </w:rPr>
        <w:t>V danej oblasti sú rozpočtované výdavky na medzirezortné programy.</w:t>
      </w:r>
    </w:p>
    <w:tbl>
      <w:tblPr>
        <w:tblpPr w:leftFromText="141" w:rightFromText="141" w:vertAnchor="text" w:horzAnchor="margin" w:tblpY="1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7"/>
        <w:gridCol w:w="825"/>
        <w:gridCol w:w="825"/>
        <w:gridCol w:w="825"/>
        <w:gridCol w:w="825"/>
        <w:gridCol w:w="825"/>
        <w:gridCol w:w="825"/>
        <w:gridCol w:w="825"/>
      </w:tblGrid>
      <w:tr w:rsidR="007D13F3" w:rsidRPr="00A3218E" w:rsidTr="00A870F8">
        <w:trPr>
          <w:trHeight w:val="295"/>
        </w:trPr>
        <w:tc>
          <w:tcPr>
            <w:tcW w:w="1814" w:type="pct"/>
            <w:tcBorders>
              <w:top w:val="single" w:sz="4" w:space="0" w:color="auto"/>
              <w:bottom w:val="single" w:sz="4" w:space="0" w:color="auto"/>
            </w:tcBorders>
            <w:shd w:val="clear" w:color="auto" w:fill="A6A6A6" w:themeFill="background1" w:themeFillShade="A6"/>
            <w:noWrap/>
            <w:vAlign w:val="bottom"/>
          </w:tcPr>
          <w:p w:rsidR="007D13F3" w:rsidRPr="00A3218E" w:rsidRDefault="007D13F3" w:rsidP="00465CAC">
            <w:pPr>
              <w:rPr>
                <w:rFonts w:ascii="Times New Roman" w:hAnsi="Times New Roman" w:cs="Times New Roman"/>
                <w:b/>
                <w:sz w:val="14"/>
                <w:szCs w:val="14"/>
              </w:rPr>
            </w:pPr>
            <w:r w:rsidRPr="00A3218E">
              <w:rPr>
                <w:rFonts w:ascii="Times New Roman" w:hAnsi="Times New Roman" w:cs="Times New Roman"/>
                <w:b/>
                <w:sz w:val="14"/>
                <w:szCs w:val="14"/>
              </w:rPr>
              <w:br w:type="page"/>
              <w:t> </w:t>
            </w:r>
            <w:r w:rsidR="00551C05">
              <w:rPr>
                <w:rFonts w:ascii="Times New Roman" w:hAnsi="Times New Roman" w:cs="Times New Roman"/>
                <w:b/>
                <w:sz w:val="14"/>
                <w:szCs w:val="14"/>
              </w:rPr>
              <w:t xml:space="preserve"> v eurách</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2015 S</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3F49F3" w:rsidRDefault="007D13F3" w:rsidP="00465CAC">
            <w:pPr>
              <w:jc w:val="center"/>
              <w:rPr>
                <w:rFonts w:ascii="Times New Roman" w:hAnsi="Times New Roman" w:cs="Times New Roman"/>
                <w:b/>
                <w:bCs/>
                <w:color w:val="000000"/>
                <w:sz w:val="14"/>
                <w:szCs w:val="14"/>
                <w:highlight w:val="yellow"/>
              </w:rPr>
            </w:pPr>
            <w:r w:rsidRPr="003F49F3">
              <w:rPr>
                <w:rFonts w:ascii="Times New Roman" w:hAnsi="Times New Roman" w:cs="Times New Roman"/>
                <w:b/>
                <w:bCs/>
                <w:color w:val="000000"/>
                <w:sz w:val="14"/>
                <w:szCs w:val="14"/>
              </w:rPr>
              <w:t xml:space="preserve">2016 S </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2017 R</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2018 N</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2019 N</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2020 N</w:t>
            </w:r>
          </w:p>
        </w:tc>
      </w:tr>
      <w:tr w:rsidR="00A870F8" w:rsidRPr="00A3218E" w:rsidTr="00A870F8">
        <w:trPr>
          <w:trHeight w:val="295"/>
        </w:trPr>
        <w:tc>
          <w:tcPr>
            <w:tcW w:w="1814" w:type="pct"/>
            <w:shd w:val="clear" w:color="auto" w:fill="BFBFBF" w:themeFill="background1" w:themeFillShade="BF"/>
            <w:noWrap/>
            <w:vAlign w:val="bottom"/>
          </w:tcPr>
          <w:p w:rsidR="007D13F3" w:rsidRPr="00A3218E" w:rsidRDefault="007D13F3" w:rsidP="00465CAC">
            <w:pPr>
              <w:rPr>
                <w:rFonts w:ascii="Times New Roman" w:hAnsi="Times New Roman" w:cs="Times New Roman"/>
                <w:b/>
                <w:bCs/>
                <w:sz w:val="14"/>
                <w:szCs w:val="14"/>
              </w:rPr>
            </w:pPr>
            <w:r w:rsidRPr="00A3218E">
              <w:rPr>
                <w:rFonts w:ascii="Times New Roman" w:hAnsi="Times New Roman" w:cs="Times New Roman"/>
                <w:b/>
                <w:bCs/>
                <w:sz w:val="14"/>
                <w:szCs w:val="14"/>
              </w:rPr>
              <w:t>Medzirezortné programy</w:t>
            </w:r>
          </w:p>
        </w:tc>
        <w:tc>
          <w:tcPr>
            <w:tcW w:w="455" w:type="pct"/>
            <w:shd w:val="clear" w:color="auto" w:fill="BFBFBF" w:themeFill="background1" w:themeFillShade="BF"/>
            <w:vAlign w:val="bottom"/>
          </w:tcPr>
          <w:p w:rsidR="007D13F3" w:rsidRPr="00725428" w:rsidRDefault="007D13F3" w:rsidP="00465CAC">
            <w:pPr>
              <w:jc w:val="right"/>
              <w:rPr>
                <w:rFonts w:ascii="Times New Roman" w:hAnsi="Times New Roman" w:cs="Times New Roman"/>
                <w:b/>
                <w:sz w:val="14"/>
                <w:szCs w:val="14"/>
                <w:highlight w:val="yellow"/>
              </w:rPr>
            </w:pPr>
            <w:r>
              <w:rPr>
                <w:rFonts w:ascii="Times New Roman" w:hAnsi="Times New Roman" w:cs="Times New Roman"/>
                <w:b/>
                <w:sz w:val="14"/>
                <w:szCs w:val="14"/>
              </w:rPr>
              <w:t>772 060</w:t>
            </w:r>
          </w:p>
        </w:tc>
        <w:tc>
          <w:tcPr>
            <w:tcW w:w="455" w:type="pct"/>
            <w:shd w:val="clear" w:color="auto" w:fill="BFBFBF" w:themeFill="background1" w:themeFillShade="BF"/>
            <w:vAlign w:val="bottom"/>
          </w:tcPr>
          <w:p w:rsidR="007D13F3" w:rsidRPr="00725428" w:rsidRDefault="007D13F3" w:rsidP="00465CAC">
            <w:pPr>
              <w:jc w:val="right"/>
              <w:rPr>
                <w:rFonts w:ascii="Times New Roman" w:hAnsi="Times New Roman" w:cs="Times New Roman"/>
                <w:b/>
                <w:sz w:val="14"/>
                <w:szCs w:val="14"/>
                <w:highlight w:val="yellow"/>
              </w:rPr>
            </w:pPr>
            <w:r w:rsidRPr="00C524F1">
              <w:rPr>
                <w:rFonts w:ascii="Times New Roman" w:hAnsi="Times New Roman" w:cs="Times New Roman"/>
                <w:b/>
                <w:sz w:val="14"/>
                <w:szCs w:val="14"/>
              </w:rPr>
              <w:t>1 581 376</w:t>
            </w:r>
          </w:p>
        </w:tc>
        <w:tc>
          <w:tcPr>
            <w:tcW w:w="455" w:type="pct"/>
            <w:shd w:val="clear" w:color="auto" w:fill="BFBFBF" w:themeFill="background1" w:themeFillShade="BF"/>
            <w:vAlign w:val="bottom"/>
          </w:tcPr>
          <w:p w:rsidR="007D13F3" w:rsidRPr="00C524F1" w:rsidRDefault="007D13F3" w:rsidP="00465CAC">
            <w:pPr>
              <w:autoSpaceDE w:val="0"/>
              <w:autoSpaceDN w:val="0"/>
              <w:adjustRightInd w:val="0"/>
              <w:jc w:val="right"/>
              <w:rPr>
                <w:rFonts w:ascii="Times New Roman" w:hAnsi="Times New Roman" w:cs="Times New Roman"/>
                <w:b/>
                <w:sz w:val="14"/>
                <w:szCs w:val="14"/>
                <w:highlight w:val="yellow"/>
              </w:rPr>
            </w:pPr>
            <w:r w:rsidRPr="00C524F1">
              <w:rPr>
                <w:rFonts w:ascii="Times New Roman" w:hAnsi="Times New Roman" w:cs="Times New Roman"/>
                <w:b/>
                <w:sz w:val="14"/>
                <w:szCs w:val="14"/>
              </w:rPr>
              <w:t>352 215</w:t>
            </w:r>
          </w:p>
        </w:tc>
        <w:tc>
          <w:tcPr>
            <w:tcW w:w="455" w:type="pct"/>
            <w:shd w:val="clear" w:color="auto" w:fill="BFBFBF" w:themeFill="background1" w:themeFillShade="BF"/>
            <w:vAlign w:val="bottom"/>
          </w:tcPr>
          <w:p w:rsidR="007D13F3" w:rsidRPr="00C524F1" w:rsidRDefault="007D13F3" w:rsidP="00465CAC">
            <w:pPr>
              <w:autoSpaceDE w:val="0"/>
              <w:autoSpaceDN w:val="0"/>
              <w:adjustRightInd w:val="0"/>
              <w:jc w:val="right"/>
              <w:rPr>
                <w:rFonts w:ascii="Times New Roman" w:hAnsi="Times New Roman" w:cs="Times New Roman"/>
                <w:b/>
                <w:sz w:val="14"/>
                <w:szCs w:val="14"/>
                <w:highlight w:val="yellow"/>
              </w:rPr>
            </w:pPr>
            <w:r w:rsidRPr="00572203">
              <w:rPr>
                <w:rFonts w:ascii="Times New Roman" w:hAnsi="Times New Roman" w:cs="Times New Roman"/>
                <w:b/>
                <w:sz w:val="14"/>
                <w:szCs w:val="14"/>
              </w:rPr>
              <w:t>384 215</w:t>
            </w:r>
          </w:p>
        </w:tc>
        <w:tc>
          <w:tcPr>
            <w:tcW w:w="455" w:type="pct"/>
            <w:shd w:val="clear" w:color="auto" w:fill="BFBFBF" w:themeFill="background1" w:themeFillShade="BF"/>
            <w:vAlign w:val="bottom"/>
          </w:tcPr>
          <w:p w:rsidR="007D13F3" w:rsidRPr="00C524F1" w:rsidRDefault="007D13F3" w:rsidP="00465CAC">
            <w:pPr>
              <w:autoSpaceDE w:val="0"/>
              <w:autoSpaceDN w:val="0"/>
              <w:adjustRightInd w:val="0"/>
              <w:jc w:val="right"/>
              <w:rPr>
                <w:rFonts w:ascii="Times New Roman" w:hAnsi="Times New Roman" w:cs="Times New Roman"/>
                <w:b/>
                <w:sz w:val="14"/>
                <w:szCs w:val="14"/>
              </w:rPr>
            </w:pPr>
            <w:r w:rsidRPr="00C524F1">
              <w:rPr>
                <w:rFonts w:ascii="Times New Roman" w:hAnsi="Times New Roman" w:cs="Times New Roman"/>
                <w:b/>
                <w:sz w:val="14"/>
                <w:szCs w:val="14"/>
              </w:rPr>
              <w:t>352 065</w:t>
            </w:r>
          </w:p>
        </w:tc>
        <w:tc>
          <w:tcPr>
            <w:tcW w:w="455" w:type="pct"/>
            <w:shd w:val="clear" w:color="auto" w:fill="BFBFBF" w:themeFill="background1" w:themeFillShade="BF"/>
            <w:vAlign w:val="bottom"/>
          </w:tcPr>
          <w:p w:rsidR="007D13F3" w:rsidRPr="00C524F1" w:rsidRDefault="007D13F3" w:rsidP="00465CAC">
            <w:pPr>
              <w:autoSpaceDE w:val="0"/>
              <w:autoSpaceDN w:val="0"/>
              <w:adjustRightInd w:val="0"/>
              <w:jc w:val="right"/>
              <w:rPr>
                <w:rFonts w:ascii="Times New Roman" w:hAnsi="Times New Roman" w:cs="Times New Roman"/>
                <w:b/>
                <w:sz w:val="14"/>
                <w:szCs w:val="14"/>
              </w:rPr>
            </w:pPr>
            <w:r w:rsidRPr="00C524F1">
              <w:rPr>
                <w:rFonts w:ascii="Times New Roman" w:hAnsi="Times New Roman" w:cs="Times New Roman"/>
                <w:b/>
                <w:sz w:val="14"/>
                <w:szCs w:val="14"/>
              </w:rPr>
              <w:t>352 065</w:t>
            </w:r>
          </w:p>
        </w:tc>
        <w:tc>
          <w:tcPr>
            <w:tcW w:w="455" w:type="pct"/>
            <w:shd w:val="clear" w:color="auto" w:fill="BFBFBF" w:themeFill="background1" w:themeFillShade="BF"/>
            <w:vAlign w:val="bottom"/>
          </w:tcPr>
          <w:p w:rsidR="007D13F3" w:rsidRPr="00C524F1" w:rsidRDefault="007D13F3" w:rsidP="00465CAC">
            <w:pPr>
              <w:autoSpaceDE w:val="0"/>
              <w:autoSpaceDN w:val="0"/>
              <w:adjustRightInd w:val="0"/>
              <w:jc w:val="right"/>
              <w:rPr>
                <w:rFonts w:ascii="Times New Roman" w:hAnsi="Times New Roman" w:cs="Times New Roman"/>
                <w:b/>
                <w:sz w:val="14"/>
                <w:szCs w:val="14"/>
              </w:rPr>
            </w:pPr>
            <w:r w:rsidRPr="00C524F1">
              <w:rPr>
                <w:rFonts w:ascii="Times New Roman" w:hAnsi="Times New Roman" w:cs="Times New Roman"/>
                <w:b/>
                <w:sz w:val="14"/>
                <w:szCs w:val="14"/>
              </w:rPr>
              <w:t>352 065</w:t>
            </w:r>
          </w:p>
        </w:tc>
      </w:tr>
      <w:tr w:rsidR="007D13F3" w:rsidRPr="00A3218E" w:rsidTr="00465CAC">
        <w:trPr>
          <w:trHeight w:val="295"/>
        </w:trPr>
        <w:tc>
          <w:tcPr>
            <w:tcW w:w="1814" w:type="pct"/>
            <w:shd w:val="clear" w:color="auto" w:fill="auto"/>
            <w:noWrap/>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z toho:</w:t>
            </w:r>
          </w:p>
        </w:tc>
        <w:tc>
          <w:tcPr>
            <w:tcW w:w="455" w:type="pct"/>
            <w:shd w:val="clear" w:color="auto" w:fill="auto"/>
            <w:vAlign w:val="bottom"/>
          </w:tcPr>
          <w:p w:rsidR="007D13F3" w:rsidRPr="001F0625" w:rsidRDefault="007D13F3" w:rsidP="00465CAC">
            <w:pPr>
              <w:jc w:val="right"/>
              <w:rPr>
                <w:rFonts w:ascii="Times New Roman" w:hAnsi="Times New Roman" w:cs="Times New Roman"/>
                <w:sz w:val="14"/>
                <w:szCs w:val="14"/>
                <w:highlight w:val="yellow"/>
              </w:rPr>
            </w:pPr>
          </w:p>
        </w:tc>
        <w:tc>
          <w:tcPr>
            <w:tcW w:w="455" w:type="pct"/>
            <w:shd w:val="clear" w:color="auto" w:fill="auto"/>
            <w:noWrap/>
            <w:vAlign w:val="bottom"/>
          </w:tcPr>
          <w:p w:rsidR="007D13F3" w:rsidRPr="001F0625" w:rsidRDefault="007D13F3" w:rsidP="00465CAC">
            <w:pPr>
              <w:jc w:val="right"/>
              <w:rPr>
                <w:rFonts w:ascii="Times New Roman" w:hAnsi="Times New Roman" w:cs="Times New Roman"/>
                <w:sz w:val="14"/>
                <w:szCs w:val="14"/>
                <w:highlight w:val="yellow"/>
              </w:rPr>
            </w:pPr>
          </w:p>
        </w:tc>
        <w:tc>
          <w:tcPr>
            <w:tcW w:w="455" w:type="pct"/>
            <w:shd w:val="clear" w:color="auto" w:fill="auto"/>
            <w:noWrap/>
            <w:vAlign w:val="bottom"/>
          </w:tcPr>
          <w:p w:rsidR="007D13F3" w:rsidRPr="00C524F1" w:rsidRDefault="007D13F3" w:rsidP="00465CAC">
            <w:pPr>
              <w:jc w:val="right"/>
              <w:rPr>
                <w:rFonts w:ascii="Times New Roman" w:hAnsi="Times New Roman" w:cs="Times New Roman"/>
                <w:sz w:val="14"/>
                <w:szCs w:val="14"/>
                <w:highlight w:val="yellow"/>
              </w:rPr>
            </w:pPr>
          </w:p>
        </w:tc>
        <w:tc>
          <w:tcPr>
            <w:tcW w:w="455" w:type="pct"/>
            <w:shd w:val="clear" w:color="auto" w:fill="FFFFFF" w:themeFill="background1"/>
            <w:vAlign w:val="bottom"/>
          </w:tcPr>
          <w:p w:rsidR="007D13F3" w:rsidRPr="00C524F1" w:rsidRDefault="007D13F3" w:rsidP="00465CAC">
            <w:pPr>
              <w:jc w:val="right"/>
              <w:rPr>
                <w:rFonts w:ascii="Times New Roman" w:hAnsi="Times New Roman" w:cs="Times New Roman"/>
                <w:sz w:val="14"/>
                <w:szCs w:val="14"/>
                <w:highlight w:val="yellow"/>
              </w:rPr>
            </w:pPr>
          </w:p>
        </w:tc>
        <w:tc>
          <w:tcPr>
            <w:tcW w:w="455" w:type="pct"/>
            <w:shd w:val="clear" w:color="auto" w:fill="auto"/>
            <w:noWrap/>
            <w:vAlign w:val="bottom"/>
          </w:tcPr>
          <w:p w:rsidR="007D13F3" w:rsidRPr="00C524F1" w:rsidRDefault="007D13F3" w:rsidP="00465CAC">
            <w:pPr>
              <w:jc w:val="right"/>
              <w:rPr>
                <w:rFonts w:ascii="Times New Roman" w:hAnsi="Times New Roman" w:cs="Times New Roman"/>
                <w:sz w:val="14"/>
                <w:szCs w:val="14"/>
                <w:highlight w:val="yellow"/>
              </w:rPr>
            </w:pPr>
          </w:p>
        </w:tc>
        <w:tc>
          <w:tcPr>
            <w:tcW w:w="455" w:type="pct"/>
            <w:vAlign w:val="bottom"/>
          </w:tcPr>
          <w:p w:rsidR="007D13F3" w:rsidRPr="00C524F1" w:rsidRDefault="007D13F3" w:rsidP="00465CAC">
            <w:pPr>
              <w:jc w:val="right"/>
              <w:rPr>
                <w:rFonts w:ascii="Times New Roman" w:hAnsi="Times New Roman" w:cs="Times New Roman"/>
                <w:sz w:val="14"/>
                <w:szCs w:val="14"/>
                <w:highlight w:val="yellow"/>
              </w:rPr>
            </w:pPr>
          </w:p>
        </w:tc>
        <w:tc>
          <w:tcPr>
            <w:tcW w:w="455" w:type="pct"/>
            <w:shd w:val="clear" w:color="auto" w:fill="auto"/>
            <w:noWrap/>
            <w:vAlign w:val="bottom"/>
          </w:tcPr>
          <w:p w:rsidR="007D13F3" w:rsidRPr="00C524F1" w:rsidRDefault="007D13F3" w:rsidP="00465CAC">
            <w:pPr>
              <w:jc w:val="right"/>
              <w:rPr>
                <w:rFonts w:ascii="Times New Roman" w:hAnsi="Times New Roman" w:cs="Times New Roman"/>
                <w:sz w:val="14"/>
                <w:szCs w:val="14"/>
                <w:highlight w:val="yellow"/>
              </w:rPr>
            </w:pPr>
          </w:p>
        </w:tc>
      </w:tr>
      <w:tr w:rsidR="007D13F3" w:rsidRPr="00A3218E" w:rsidTr="00465CAC">
        <w:trPr>
          <w:trHeight w:val="295"/>
        </w:trPr>
        <w:tc>
          <w:tcPr>
            <w:tcW w:w="1814" w:type="pct"/>
            <w:tcBorders>
              <w:bottom w:val="single" w:sz="4" w:space="0" w:color="auto"/>
            </w:tcBorders>
            <w:shd w:val="clear" w:color="auto" w:fill="auto"/>
            <w:noWrap/>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002 01 – Civilné núdzové plánovanie</w:t>
            </w:r>
          </w:p>
        </w:tc>
        <w:tc>
          <w:tcPr>
            <w:tcW w:w="455" w:type="pct"/>
            <w:tcBorders>
              <w:bottom w:val="single" w:sz="4" w:space="0" w:color="auto"/>
            </w:tcBorders>
            <w:shd w:val="clear" w:color="auto" w:fill="auto"/>
            <w:vAlign w:val="bottom"/>
          </w:tcPr>
          <w:p w:rsidR="007D13F3" w:rsidRPr="00967093" w:rsidRDefault="007D13F3" w:rsidP="00465CAC">
            <w:pPr>
              <w:jc w:val="right"/>
              <w:rPr>
                <w:rFonts w:ascii="Times New Roman" w:hAnsi="Times New Roman" w:cs="Times New Roman"/>
                <w:sz w:val="14"/>
                <w:szCs w:val="14"/>
                <w:highlight w:val="yellow"/>
              </w:rPr>
            </w:pPr>
            <w:r w:rsidRPr="00967093">
              <w:rPr>
                <w:rFonts w:ascii="Times New Roman" w:hAnsi="Times New Roman" w:cs="Times New Roman"/>
                <w:sz w:val="14"/>
                <w:szCs w:val="14"/>
              </w:rPr>
              <w:t>5 371</w:t>
            </w:r>
          </w:p>
        </w:tc>
        <w:tc>
          <w:tcPr>
            <w:tcW w:w="455" w:type="pct"/>
            <w:tcBorders>
              <w:bottom w:val="single" w:sz="4" w:space="0" w:color="auto"/>
            </w:tcBorders>
            <w:shd w:val="clear" w:color="auto" w:fill="auto"/>
            <w:vAlign w:val="bottom"/>
          </w:tcPr>
          <w:p w:rsidR="007D13F3" w:rsidRPr="00967093" w:rsidRDefault="007D13F3" w:rsidP="00465CAC">
            <w:pPr>
              <w:jc w:val="right"/>
              <w:rPr>
                <w:rFonts w:ascii="Times New Roman" w:hAnsi="Times New Roman" w:cs="Times New Roman"/>
                <w:sz w:val="14"/>
                <w:szCs w:val="14"/>
              </w:rPr>
            </w:pPr>
            <w:r w:rsidRPr="00967093">
              <w:rPr>
                <w:rFonts w:ascii="Times New Roman" w:hAnsi="Times New Roman" w:cs="Times New Roman"/>
                <w:sz w:val="14"/>
                <w:szCs w:val="14"/>
              </w:rPr>
              <w:t>5 400</w:t>
            </w:r>
          </w:p>
        </w:tc>
        <w:tc>
          <w:tcPr>
            <w:tcW w:w="455" w:type="pct"/>
            <w:tcBorders>
              <w:bottom w:val="single" w:sz="4" w:space="0" w:color="auto"/>
            </w:tcBorders>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highlight w:val="yellow"/>
              </w:rPr>
            </w:pPr>
            <w:r w:rsidRPr="00967093">
              <w:rPr>
                <w:rFonts w:ascii="Times New Roman" w:hAnsi="Times New Roman" w:cs="Times New Roman"/>
                <w:sz w:val="14"/>
                <w:szCs w:val="14"/>
              </w:rPr>
              <w:t>5 400</w:t>
            </w:r>
          </w:p>
        </w:tc>
        <w:tc>
          <w:tcPr>
            <w:tcW w:w="455" w:type="pct"/>
            <w:tcBorders>
              <w:bottom w:val="single" w:sz="4" w:space="0" w:color="auto"/>
            </w:tcBorders>
            <w:shd w:val="clear" w:color="auto" w:fill="FFFFFF" w:themeFill="background1"/>
            <w:vAlign w:val="bottom"/>
          </w:tcPr>
          <w:p w:rsidR="007D13F3" w:rsidRPr="00967093" w:rsidRDefault="007D13F3" w:rsidP="00465CAC">
            <w:pPr>
              <w:autoSpaceDE w:val="0"/>
              <w:autoSpaceDN w:val="0"/>
              <w:adjustRightInd w:val="0"/>
              <w:jc w:val="right"/>
              <w:rPr>
                <w:rFonts w:ascii="Times New Roman" w:hAnsi="Times New Roman" w:cs="Times New Roman"/>
                <w:sz w:val="14"/>
                <w:szCs w:val="14"/>
                <w:highlight w:val="yellow"/>
              </w:rPr>
            </w:pPr>
            <w:r w:rsidRPr="00967093">
              <w:rPr>
                <w:rFonts w:ascii="Times New Roman" w:hAnsi="Times New Roman" w:cs="Times New Roman"/>
                <w:sz w:val="14"/>
                <w:szCs w:val="14"/>
              </w:rPr>
              <w:t>5 400</w:t>
            </w:r>
          </w:p>
        </w:tc>
        <w:tc>
          <w:tcPr>
            <w:tcW w:w="455" w:type="pct"/>
            <w:tcBorders>
              <w:bottom w:val="single" w:sz="4" w:space="0" w:color="auto"/>
            </w:tcBorders>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5 400</w:t>
            </w:r>
          </w:p>
        </w:tc>
        <w:tc>
          <w:tcPr>
            <w:tcW w:w="455" w:type="pct"/>
            <w:tcBorders>
              <w:bottom w:val="single" w:sz="4" w:space="0" w:color="auto"/>
            </w:tcBorders>
            <w:vAlign w:val="bottom"/>
          </w:tcPr>
          <w:p w:rsidR="007D13F3" w:rsidRPr="00967093" w:rsidRDefault="007D13F3" w:rsidP="00465CAC">
            <w:pPr>
              <w:jc w:val="right"/>
              <w:rPr>
                <w:rFonts w:ascii="Times New Roman" w:hAnsi="Times New Roman" w:cs="Times New Roman"/>
                <w:sz w:val="14"/>
                <w:szCs w:val="14"/>
              </w:rPr>
            </w:pPr>
            <w:r w:rsidRPr="00967093">
              <w:rPr>
                <w:rFonts w:ascii="Times New Roman" w:hAnsi="Times New Roman" w:cs="Times New Roman"/>
                <w:sz w:val="14"/>
                <w:szCs w:val="14"/>
              </w:rPr>
              <w:t>5 400</w:t>
            </w:r>
          </w:p>
        </w:tc>
        <w:tc>
          <w:tcPr>
            <w:tcW w:w="455" w:type="pct"/>
            <w:tcBorders>
              <w:bottom w:val="single" w:sz="4" w:space="0" w:color="auto"/>
            </w:tcBorders>
            <w:shd w:val="clear" w:color="auto" w:fill="auto"/>
            <w:vAlign w:val="bottom"/>
          </w:tcPr>
          <w:p w:rsidR="007D13F3" w:rsidRPr="00967093" w:rsidRDefault="007D13F3" w:rsidP="00465CAC">
            <w:pPr>
              <w:jc w:val="right"/>
              <w:rPr>
                <w:rFonts w:ascii="Times New Roman" w:hAnsi="Times New Roman" w:cs="Times New Roman"/>
                <w:sz w:val="14"/>
                <w:szCs w:val="14"/>
              </w:rPr>
            </w:pPr>
            <w:r w:rsidRPr="00967093">
              <w:rPr>
                <w:rFonts w:ascii="Times New Roman" w:hAnsi="Times New Roman" w:cs="Times New Roman"/>
                <w:sz w:val="14"/>
                <w:szCs w:val="14"/>
              </w:rPr>
              <w:t>5 400</w:t>
            </w:r>
          </w:p>
        </w:tc>
      </w:tr>
      <w:tr w:rsidR="007D13F3" w:rsidRPr="00A3218E" w:rsidTr="00465CAC">
        <w:trPr>
          <w:trHeight w:val="295"/>
        </w:trPr>
        <w:tc>
          <w:tcPr>
            <w:tcW w:w="1814" w:type="pct"/>
            <w:tcBorders>
              <w:bottom w:val="single" w:sz="4" w:space="0" w:color="auto"/>
            </w:tcBorders>
            <w:shd w:val="clear" w:color="auto" w:fill="auto"/>
            <w:noWrap/>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05T 03 – Oficiálna humanitárna pomoc do zahraničia</w:t>
            </w:r>
          </w:p>
        </w:tc>
        <w:tc>
          <w:tcPr>
            <w:tcW w:w="455" w:type="pct"/>
            <w:tcBorders>
              <w:bottom w:val="single" w:sz="4" w:space="0" w:color="auto"/>
            </w:tcBorders>
            <w:shd w:val="clear" w:color="auto" w:fill="auto"/>
            <w:vAlign w:val="bottom"/>
          </w:tcPr>
          <w:p w:rsidR="007D13F3" w:rsidRPr="00967093" w:rsidRDefault="007D13F3" w:rsidP="00465CAC">
            <w:pPr>
              <w:jc w:val="right"/>
              <w:rPr>
                <w:rFonts w:ascii="Times New Roman" w:hAnsi="Times New Roman" w:cs="Times New Roman"/>
                <w:sz w:val="14"/>
                <w:szCs w:val="14"/>
                <w:highlight w:val="yellow"/>
              </w:rPr>
            </w:pPr>
            <w:r w:rsidRPr="00967093">
              <w:rPr>
                <w:rFonts w:ascii="Times New Roman" w:hAnsi="Times New Roman" w:cs="Times New Roman"/>
                <w:sz w:val="14"/>
                <w:szCs w:val="14"/>
              </w:rPr>
              <w:t>76 350</w:t>
            </w:r>
          </w:p>
        </w:tc>
        <w:tc>
          <w:tcPr>
            <w:tcW w:w="455" w:type="pct"/>
            <w:tcBorders>
              <w:bottom w:val="single" w:sz="4" w:space="0" w:color="auto"/>
            </w:tcBorders>
            <w:shd w:val="clear" w:color="auto" w:fill="auto"/>
            <w:vAlign w:val="bottom"/>
          </w:tcPr>
          <w:p w:rsidR="007D13F3" w:rsidRPr="00967093" w:rsidRDefault="007D13F3" w:rsidP="00465CAC">
            <w:pPr>
              <w:jc w:val="right"/>
              <w:rPr>
                <w:rFonts w:ascii="Times New Roman" w:hAnsi="Times New Roman" w:cs="Times New Roman"/>
                <w:sz w:val="14"/>
                <w:szCs w:val="14"/>
              </w:rPr>
            </w:pPr>
            <w:r w:rsidRPr="00967093">
              <w:rPr>
                <w:rFonts w:ascii="Times New Roman" w:hAnsi="Times New Roman" w:cs="Times New Roman"/>
                <w:sz w:val="14"/>
                <w:szCs w:val="14"/>
              </w:rPr>
              <w:t>100 000</w:t>
            </w:r>
          </w:p>
        </w:tc>
        <w:tc>
          <w:tcPr>
            <w:tcW w:w="455" w:type="pct"/>
            <w:tcBorders>
              <w:bottom w:val="single" w:sz="4" w:space="0" w:color="auto"/>
            </w:tcBorders>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highlight w:val="yellow"/>
              </w:rPr>
            </w:pPr>
            <w:r w:rsidRPr="00967093">
              <w:rPr>
                <w:rFonts w:ascii="Times New Roman" w:hAnsi="Times New Roman" w:cs="Times New Roman"/>
                <w:sz w:val="14"/>
                <w:szCs w:val="14"/>
              </w:rPr>
              <w:t>100 000</w:t>
            </w:r>
          </w:p>
        </w:tc>
        <w:tc>
          <w:tcPr>
            <w:tcW w:w="455" w:type="pct"/>
            <w:tcBorders>
              <w:bottom w:val="single" w:sz="4" w:space="0" w:color="auto"/>
            </w:tcBorders>
            <w:shd w:val="clear" w:color="auto" w:fill="FFFFFF" w:themeFill="background1"/>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100 000</w:t>
            </w:r>
          </w:p>
        </w:tc>
        <w:tc>
          <w:tcPr>
            <w:tcW w:w="455" w:type="pct"/>
            <w:tcBorders>
              <w:bottom w:val="single" w:sz="4" w:space="0" w:color="auto"/>
            </w:tcBorders>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100 000</w:t>
            </w:r>
          </w:p>
        </w:tc>
        <w:tc>
          <w:tcPr>
            <w:tcW w:w="455" w:type="pct"/>
            <w:tcBorders>
              <w:bottom w:val="single" w:sz="4" w:space="0" w:color="auto"/>
            </w:tcBorders>
            <w:vAlign w:val="bottom"/>
          </w:tcPr>
          <w:p w:rsidR="007D13F3" w:rsidRPr="00967093" w:rsidRDefault="007D13F3" w:rsidP="00465CAC">
            <w:pPr>
              <w:jc w:val="right"/>
              <w:rPr>
                <w:rFonts w:ascii="Times New Roman" w:hAnsi="Times New Roman" w:cs="Times New Roman"/>
                <w:sz w:val="14"/>
                <w:szCs w:val="14"/>
              </w:rPr>
            </w:pPr>
            <w:r w:rsidRPr="00967093">
              <w:rPr>
                <w:rFonts w:ascii="Times New Roman" w:hAnsi="Times New Roman" w:cs="Times New Roman"/>
                <w:sz w:val="14"/>
                <w:szCs w:val="14"/>
              </w:rPr>
              <w:t>100 000</w:t>
            </w:r>
          </w:p>
        </w:tc>
        <w:tc>
          <w:tcPr>
            <w:tcW w:w="455" w:type="pct"/>
            <w:tcBorders>
              <w:bottom w:val="single" w:sz="4" w:space="0" w:color="auto"/>
            </w:tcBorders>
            <w:shd w:val="clear" w:color="auto" w:fill="auto"/>
            <w:vAlign w:val="bottom"/>
          </w:tcPr>
          <w:p w:rsidR="007D13F3" w:rsidRPr="00967093" w:rsidRDefault="007D13F3" w:rsidP="00465CAC">
            <w:pPr>
              <w:jc w:val="right"/>
              <w:rPr>
                <w:rFonts w:ascii="Times New Roman" w:hAnsi="Times New Roman" w:cs="Times New Roman"/>
                <w:sz w:val="14"/>
                <w:szCs w:val="14"/>
              </w:rPr>
            </w:pPr>
            <w:r w:rsidRPr="00967093">
              <w:rPr>
                <w:rFonts w:ascii="Times New Roman" w:hAnsi="Times New Roman" w:cs="Times New Roman"/>
                <w:sz w:val="14"/>
                <w:szCs w:val="14"/>
              </w:rPr>
              <w:t>100 000</w:t>
            </w:r>
          </w:p>
        </w:tc>
      </w:tr>
      <w:tr w:rsidR="007D13F3" w:rsidRPr="00A3218E" w:rsidTr="00465CAC">
        <w:trPr>
          <w:trHeight w:val="295"/>
        </w:trPr>
        <w:tc>
          <w:tcPr>
            <w:tcW w:w="1814" w:type="pct"/>
            <w:tcBorders>
              <w:bottom w:val="single" w:sz="4" w:space="0" w:color="auto"/>
            </w:tcBorders>
            <w:shd w:val="clear" w:color="auto" w:fill="auto"/>
            <w:noWrap/>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06H 03 – Hospodárska mobilizácia</w:t>
            </w:r>
          </w:p>
        </w:tc>
        <w:tc>
          <w:tcPr>
            <w:tcW w:w="455" w:type="pct"/>
            <w:tcBorders>
              <w:bottom w:val="single" w:sz="4" w:space="0" w:color="auto"/>
            </w:tcBorders>
            <w:shd w:val="clear" w:color="auto" w:fill="auto"/>
            <w:vAlign w:val="bottom"/>
          </w:tcPr>
          <w:p w:rsidR="007D13F3" w:rsidRPr="00967093" w:rsidRDefault="007D13F3" w:rsidP="00465CAC">
            <w:pPr>
              <w:jc w:val="right"/>
              <w:rPr>
                <w:rFonts w:ascii="Times New Roman" w:hAnsi="Times New Roman" w:cs="Times New Roman"/>
                <w:sz w:val="14"/>
                <w:szCs w:val="14"/>
                <w:highlight w:val="yellow"/>
              </w:rPr>
            </w:pPr>
            <w:r w:rsidRPr="00967093">
              <w:rPr>
                <w:rFonts w:ascii="Times New Roman" w:hAnsi="Times New Roman" w:cs="Times New Roman"/>
                <w:sz w:val="14"/>
                <w:szCs w:val="14"/>
              </w:rPr>
              <w:t>20 728</w:t>
            </w:r>
          </w:p>
        </w:tc>
        <w:tc>
          <w:tcPr>
            <w:tcW w:w="455" w:type="pct"/>
            <w:tcBorders>
              <w:bottom w:val="single" w:sz="4" w:space="0" w:color="auto"/>
            </w:tcBorders>
            <w:shd w:val="clear" w:color="auto" w:fill="auto"/>
            <w:vAlign w:val="bottom"/>
          </w:tcPr>
          <w:p w:rsidR="007D13F3" w:rsidRPr="00967093" w:rsidRDefault="007D13F3" w:rsidP="00465CAC">
            <w:pPr>
              <w:jc w:val="right"/>
              <w:rPr>
                <w:rFonts w:ascii="Times New Roman" w:hAnsi="Times New Roman" w:cs="Times New Roman"/>
                <w:sz w:val="14"/>
                <w:szCs w:val="14"/>
              </w:rPr>
            </w:pPr>
            <w:r w:rsidRPr="00967093">
              <w:rPr>
                <w:rFonts w:ascii="Times New Roman" w:hAnsi="Times New Roman" w:cs="Times New Roman"/>
                <w:sz w:val="14"/>
                <w:szCs w:val="14"/>
              </w:rPr>
              <w:t>27 155</w:t>
            </w:r>
          </w:p>
        </w:tc>
        <w:tc>
          <w:tcPr>
            <w:tcW w:w="455" w:type="pct"/>
            <w:tcBorders>
              <w:bottom w:val="single" w:sz="4" w:space="0" w:color="auto"/>
            </w:tcBorders>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highlight w:val="yellow"/>
              </w:rPr>
            </w:pPr>
            <w:r w:rsidRPr="00967093">
              <w:rPr>
                <w:rFonts w:ascii="Times New Roman" w:hAnsi="Times New Roman" w:cs="Times New Roman"/>
                <w:sz w:val="14"/>
                <w:szCs w:val="14"/>
              </w:rPr>
              <w:t>38 415</w:t>
            </w:r>
          </w:p>
        </w:tc>
        <w:tc>
          <w:tcPr>
            <w:tcW w:w="455" w:type="pct"/>
            <w:tcBorders>
              <w:bottom w:val="single" w:sz="4" w:space="0" w:color="auto"/>
            </w:tcBorders>
            <w:shd w:val="clear" w:color="auto" w:fill="FFFFFF" w:themeFill="background1"/>
            <w:vAlign w:val="bottom"/>
          </w:tcPr>
          <w:p w:rsidR="007D13F3" w:rsidRPr="00967093" w:rsidRDefault="007D13F3" w:rsidP="00465CAC">
            <w:pPr>
              <w:autoSpaceDE w:val="0"/>
              <w:autoSpaceDN w:val="0"/>
              <w:adjustRightInd w:val="0"/>
              <w:jc w:val="right"/>
              <w:rPr>
                <w:rFonts w:ascii="Times New Roman" w:hAnsi="Times New Roman" w:cs="Times New Roman"/>
                <w:sz w:val="14"/>
                <w:szCs w:val="14"/>
                <w:highlight w:val="yellow"/>
              </w:rPr>
            </w:pPr>
            <w:r w:rsidRPr="00967093">
              <w:rPr>
                <w:rFonts w:ascii="Times New Roman" w:hAnsi="Times New Roman" w:cs="Times New Roman"/>
                <w:sz w:val="14"/>
                <w:szCs w:val="14"/>
              </w:rPr>
              <w:t>38 415</w:t>
            </w:r>
          </w:p>
        </w:tc>
        <w:tc>
          <w:tcPr>
            <w:tcW w:w="455" w:type="pct"/>
            <w:tcBorders>
              <w:bottom w:val="single" w:sz="4" w:space="0" w:color="auto"/>
            </w:tcBorders>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highlight w:val="yellow"/>
              </w:rPr>
            </w:pPr>
            <w:r w:rsidRPr="00967093">
              <w:rPr>
                <w:rFonts w:ascii="Times New Roman" w:hAnsi="Times New Roman" w:cs="Times New Roman"/>
                <w:sz w:val="14"/>
                <w:szCs w:val="14"/>
              </w:rPr>
              <w:t>38 265</w:t>
            </w:r>
          </w:p>
        </w:tc>
        <w:tc>
          <w:tcPr>
            <w:tcW w:w="455" w:type="pct"/>
            <w:tcBorders>
              <w:bottom w:val="single" w:sz="4" w:space="0" w:color="auto"/>
            </w:tcBorders>
            <w:vAlign w:val="bottom"/>
          </w:tcPr>
          <w:p w:rsidR="007D13F3" w:rsidRPr="00967093" w:rsidRDefault="007D13F3" w:rsidP="00465CAC">
            <w:pPr>
              <w:jc w:val="right"/>
              <w:rPr>
                <w:rFonts w:ascii="Times New Roman" w:hAnsi="Times New Roman" w:cs="Times New Roman"/>
                <w:sz w:val="14"/>
                <w:szCs w:val="14"/>
                <w:highlight w:val="yellow"/>
              </w:rPr>
            </w:pPr>
            <w:r w:rsidRPr="00967093">
              <w:rPr>
                <w:rFonts w:ascii="Times New Roman" w:hAnsi="Times New Roman" w:cs="Times New Roman"/>
                <w:sz w:val="14"/>
                <w:szCs w:val="14"/>
              </w:rPr>
              <w:t>38 265</w:t>
            </w:r>
          </w:p>
        </w:tc>
        <w:tc>
          <w:tcPr>
            <w:tcW w:w="455" w:type="pct"/>
            <w:tcBorders>
              <w:bottom w:val="single" w:sz="4" w:space="0" w:color="auto"/>
            </w:tcBorders>
            <w:shd w:val="clear" w:color="auto" w:fill="auto"/>
            <w:vAlign w:val="bottom"/>
          </w:tcPr>
          <w:p w:rsidR="007D13F3" w:rsidRPr="00967093" w:rsidRDefault="007D13F3" w:rsidP="00465CAC">
            <w:pPr>
              <w:jc w:val="right"/>
              <w:rPr>
                <w:rFonts w:ascii="Times New Roman" w:hAnsi="Times New Roman" w:cs="Times New Roman"/>
                <w:sz w:val="14"/>
                <w:szCs w:val="14"/>
                <w:highlight w:val="yellow"/>
              </w:rPr>
            </w:pPr>
            <w:r w:rsidRPr="00967093">
              <w:rPr>
                <w:rFonts w:ascii="Times New Roman" w:hAnsi="Times New Roman" w:cs="Times New Roman"/>
                <w:sz w:val="14"/>
                <w:szCs w:val="14"/>
              </w:rPr>
              <w:t>38 265</w:t>
            </w:r>
          </w:p>
        </w:tc>
      </w:tr>
      <w:tr w:rsidR="007D13F3" w:rsidRPr="00A3218E" w:rsidTr="00465CAC">
        <w:trPr>
          <w:trHeight w:val="295"/>
        </w:trPr>
        <w:tc>
          <w:tcPr>
            <w:tcW w:w="1814" w:type="pct"/>
            <w:tcBorders>
              <w:bottom w:val="single" w:sz="4" w:space="0" w:color="auto"/>
            </w:tcBorders>
            <w:shd w:val="clear" w:color="auto" w:fill="auto"/>
            <w:noWrap/>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097 02 – Príspevky do MO</w:t>
            </w:r>
          </w:p>
        </w:tc>
        <w:tc>
          <w:tcPr>
            <w:tcW w:w="455" w:type="pct"/>
            <w:tcBorders>
              <w:bottom w:val="single" w:sz="4" w:space="0" w:color="auto"/>
            </w:tcBorders>
            <w:shd w:val="clear" w:color="auto" w:fill="auto"/>
            <w:vAlign w:val="bottom"/>
          </w:tcPr>
          <w:p w:rsidR="007D13F3" w:rsidRPr="00967093" w:rsidRDefault="007D13F3" w:rsidP="00465CAC">
            <w:pPr>
              <w:jc w:val="right"/>
              <w:rPr>
                <w:rFonts w:ascii="Times New Roman" w:hAnsi="Times New Roman" w:cs="Times New Roman"/>
                <w:sz w:val="14"/>
                <w:szCs w:val="14"/>
                <w:highlight w:val="yellow"/>
              </w:rPr>
            </w:pPr>
            <w:r w:rsidRPr="00967093">
              <w:rPr>
                <w:rFonts w:ascii="Times New Roman" w:hAnsi="Times New Roman" w:cs="Times New Roman"/>
                <w:sz w:val="14"/>
                <w:szCs w:val="14"/>
              </w:rPr>
              <w:t>202 938</w:t>
            </w:r>
          </w:p>
        </w:tc>
        <w:tc>
          <w:tcPr>
            <w:tcW w:w="455" w:type="pct"/>
            <w:tcBorders>
              <w:bottom w:val="single" w:sz="4" w:space="0" w:color="auto"/>
            </w:tcBorders>
            <w:shd w:val="clear" w:color="auto" w:fill="auto"/>
            <w:vAlign w:val="bottom"/>
          </w:tcPr>
          <w:p w:rsidR="007D13F3" w:rsidRPr="00967093" w:rsidRDefault="007D13F3" w:rsidP="00465CAC">
            <w:pPr>
              <w:jc w:val="right"/>
              <w:rPr>
                <w:rFonts w:ascii="Times New Roman" w:hAnsi="Times New Roman" w:cs="Times New Roman"/>
                <w:sz w:val="14"/>
                <w:szCs w:val="14"/>
              </w:rPr>
            </w:pPr>
            <w:r w:rsidRPr="00967093">
              <w:rPr>
                <w:rFonts w:ascii="Times New Roman" w:hAnsi="Times New Roman" w:cs="Times New Roman"/>
                <w:sz w:val="14"/>
                <w:szCs w:val="14"/>
              </w:rPr>
              <w:t>194 792</w:t>
            </w:r>
          </w:p>
        </w:tc>
        <w:tc>
          <w:tcPr>
            <w:tcW w:w="455" w:type="pct"/>
            <w:tcBorders>
              <w:bottom w:val="single" w:sz="4" w:space="0" w:color="auto"/>
            </w:tcBorders>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highlight w:val="yellow"/>
              </w:rPr>
            </w:pPr>
            <w:r w:rsidRPr="00967093">
              <w:rPr>
                <w:rFonts w:ascii="Times New Roman" w:hAnsi="Times New Roman" w:cs="Times New Roman"/>
                <w:sz w:val="14"/>
                <w:szCs w:val="14"/>
              </w:rPr>
              <w:t>203 000</w:t>
            </w:r>
          </w:p>
        </w:tc>
        <w:tc>
          <w:tcPr>
            <w:tcW w:w="455" w:type="pct"/>
            <w:tcBorders>
              <w:bottom w:val="single" w:sz="4" w:space="0" w:color="auto"/>
            </w:tcBorders>
            <w:shd w:val="clear" w:color="auto" w:fill="FFFFFF" w:themeFill="background1"/>
            <w:vAlign w:val="bottom"/>
          </w:tcPr>
          <w:p w:rsidR="007D13F3" w:rsidRPr="00967093" w:rsidRDefault="007D13F3" w:rsidP="00465CAC">
            <w:pPr>
              <w:autoSpaceDE w:val="0"/>
              <w:autoSpaceDN w:val="0"/>
              <w:adjustRightInd w:val="0"/>
              <w:jc w:val="right"/>
              <w:rPr>
                <w:rFonts w:ascii="Times New Roman" w:hAnsi="Times New Roman" w:cs="Times New Roman"/>
                <w:sz w:val="14"/>
                <w:szCs w:val="14"/>
                <w:highlight w:val="yellow"/>
              </w:rPr>
            </w:pPr>
            <w:r w:rsidRPr="00967093">
              <w:rPr>
                <w:rFonts w:ascii="Times New Roman" w:hAnsi="Times New Roman" w:cs="Times New Roman"/>
                <w:sz w:val="14"/>
                <w:szCs w:val="14"/>
              </w:rPr>
              <w:t>203 000</w:t>
            </w:r>
          </w:p>
        </w:tc>
        <w:tc>
          <w:tcPr>
            <w:tcW w:w="455" w:type="pct"/>
            <w:tcBorders>
              <w:bottom w:val="single" w:sz="4" w:space="0" w:color="auto"/>
            </w:tcBorders>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203 000</w:t>
            </w:r>
          </w:p>
        </w:tc>
        <w:tc>
          <w:tcPr>
            <w:tcW w:w="455" w:type="pct"/>
            <w:tcBorders>
              <w:bottom w:val="single" w:sz="4" w:space="0" w:color="auto"/>
            </w:tcBorders>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203 000</w:t>
            </w:r>
          </w:p>
        </w:tc>
        <w:tc>
          <w:tcPr>
            <w:tcW w:w="455" w:type="pct"/>
            <w:tcBorders>
              <w:bottom w:val="single" w:sz="4" w:space="0" w:color="auto"/>
            </w:tcBorders>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203 000</w:t>
            </w:r>
          </w:p>
        </w:tc>
      </w:tr>
      <w:tr w:rsidR="007D13F3" w:rsidRPr="00A3218E" w:rsidTr="00465CAC">
        <w:trPr>
          <w:trHeight w:val="295"/>
        </w:trPr>
        <w:tc>
          <w:tcPr>
            <w:tcW w:w="1814" w:type="pct"/>
            <w:shd w:val="clear" w:color="auto" w:fill="auto"/>
            <w:noWrap/>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0AR 06 – Protidrogová politika</w:t>
            </w:r>
          </w:p>
        </w:tc>
        <w:tc>
          <w:tcPr>
            <w:tcW w:w="455" w:type="pct"/>
            <w:shd w:val="clear" w:color="auto" w:fill="auto"/>
            <w:vAlign w:val="bottom"/>
          </w:tcPr>
          <w:p w:rsidR="007D13F3" w:rsidRPr="00967093" w:rsidRDefault="007D13F3" w:rsidP="00465CAC">
            <w:pPr>
              <w:jc w:val="right"/>
              <w:rPr>
                <w:rFonts w:ascii="Times New Roman" w:hAnsi="Times New Roman" w:cs="Times New Roman"/>
                <w:sz w:val="14"/>
                <w:szCs w:val="14"/>
                <w:highlight w:val="yellow"/>
              </w:rPr>
            </w:pPr>
            <w:r w:rsidRPr="00967093">
              <w:rPr>
                <w:rFonts w:ascii="Times New Roman" w:hAnsi="Times New Roman" w:cs="Times New Roman"/>
                <w:sz w:val="14"/>
                <w:szCs w:val="14"/>
              </w:rPr>
              <w:t>32 183</w:t>
            </w:r>
          </w:p>
        </w:tc>
        <w:tc>
          <w:tcPr>
            <w:tcW w:w="455" w:type="pct"/>
            <w:shd w:val="clear" w:color="auto" w:fill="auto"/>
            <w:vAlign w:val="bottom"/>
          </w:tcPr>
          <w:p w:rsidR="007D13F3" w:rsidRPr="00967093" w:rsidRDefault="007D13F3" w:rsidP="00465CAC">
            <w:pPr>
              <w:jc w:val="right"/>
              <w:rPr>
                <w:rFonts w:ascii="Times New Roman" w:hAnsi="Times New Roman" w:cs="Times New Roman"/>
                <w:sz w:val="14"/>
                <w:szCs w:val="14"/>
              </w:rPr>
            </w:pPr>
            <w:r w:rsidRPr="00967093">
              <w:rPr>
                <w:rFonts w:ascii="Times New Roman" w:hAnsi="Times New Roman" w:cs="Times New Roman"/>
                <w:sz w:val="14"/>
                <w:szCs w:val="14"/>
              </w:rPr>
              <w:t>27 966</w:t>
            </w:r>
          </w:p>
        </w:tc>
        <w:tc>
          <w:tcPr>
            <w:tcW w:w="455" w:type="pct"/>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highlight w:val="yellow"/>
              </w:rPr>
            </w:pPr>
            <w:r w:rsidRPr="00967093">
              <w:rPr>
                <w:rFonts w:ascii="Times New Roman" w:hAnsi="Times New Roman" w:cs="Times New Roman"/>
                <w:sz w:val="14"/>
                <w:szCs w:val="14"/>
              </w:rPr>
              <w:t>0</w:t>
            </w:r>
          </w:p>
        </w:tc>
        <w:tc>
          <w:tcPr>
            <w:tcW w:w="455" w:type="pct"/>
            <w:shd w:val="clear" w:color="auto" w:fill="FFFFFF" w:themeFill="background1"/>
            <w:vAlign w:val="bottom"/>
          </w:tcPr>
          <w:p w:rsidR="007D13F3" w:rsidRPr="00967093" w:rsidRDefault="007D13F3" w:rsidP="00465CAC">
            <w:pPr>
              <w:autoSpaceDE w:val="0"/>
              <w:autoSpaceDN w:val="0"/>
              <w:adjustRightInd w:val="0"/>
              <w:jc w:val="right"/>
              <w:rPr>
                <w:rFonts w:ascii="Times New Roman" w:hAnsi="Times New Roman" w:cs="Times New Roman"/>
                <w:sz w:val="14"/>
                <w:szCs w:val="14"/>
                <w:highlight w:val="yellow"/>
              </w:rPr>
            </w:pPr>
            <w:r w:rsidRPr="00967093">
              <w:rPr>
                <w:rFonts w:ascii="Times New Roman" w:hAnsi="Times New Roman" w:cs="Times New Roman"/>
                <w:sz w:val="14"/>
                <w:szCs w:val="14"/>
              </w:rPr>
              <w:t>32 000</w:t>
            </w:r>
          </w:p>
        </w:tc>
        <w:tc>
          <w:tcPr>
            <w:tcW w:w="455" w:type="pct"/>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c>
          <w:tcPr>
            <w:tcW w:w="455" w:type="pct"/>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c>
          <w:tcPr>
            <w:tcW w:w="455" w:type="pct"/>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r>
      <w:tr w:rsidR="007D13F3" w:rsidRPr="00A3218E" w:rsidTr="00465CAC">
        <w:trPr>
          <w:trHeight w:val="295"/>
        </w:trPr>
        <w:tc>
          <w:tcPr>
            <w:tcW w:w="1814" w:type="pct"/>
            <w:shd w:val="clear" w:color="auto" w:fill="auto"/>
            <w:noWrap/>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0AS 01 – Ochrana kritickej infraštruktúry</w:t>
            </w:r>
          </w:p>
        </w:tc>
        <w:tc>
          <w:tcPr>
            <w:tcW w:w="455" w:type="pct"/>
            <w:shd w:val="clear" w:color="auto" w:fill="auto"/>
            <w:vAlign w:val="bottom"/>
          </w:tcPr>
          <w:p w:rsidR="007D13F3" w:rsidRPr="00967093" w:rsidRDefault="007D13F3" w:rsidP="00465CAC">
            <w:pPr>
              <w:jc w:val="right"/>
              <w:rPr>
                <w:rFonts w:ascii="Times New Roman" w:hAnsi="Times New Roman" w:cs="Times New Roman"/>
                <w:sz w:val="14"/>
                <w:szCs w:val="14"/>
                <w:highlight w:val="yellow"/>
              </w:rPr>
            </w:pPr>
            <w:r w:rsidRPr="00967093">
              <w:rPr>
                <w:rFonts w:ascii="Times New Roman" w:hAnsi="Times New Roman" w:cs="Times New Roman"/>
                <w:sz w:val="14"/>
                <w:szCs w:val="14"/>
              </w:rPr>
              <w:t>5 360</w:t>
            </w:r>
          </w:p>
        </w:tc>
        <w:tc>
          <w:tcPr>
            <w:tcW w:w="455" w:type="pct"/>
            <w:shd w:val="clear" w:color="auto" w:fill="auto"/>
            <w:noWrap/>
            <w:vAlign w:val="bottom"/>
          </w:tcPr>
          <w:p w:rsidR="007D13F3" w:rsidRPr="00967093" w:rsidRDefault="007D13F3" w:rsidP="00465CAC">
            <w:pPr>
              <w:jc w:val="right"/>
              <w:rPr>
                <w:rFonts w:ascii="Times New Roman" w:hAnsi="Times New Roman" w:cs="Times New Roman"/>
                <w:sz w:val="14"/>
                <w:szCs w:val="14"/>
              </w:rPr>
            </w:pPr>
            <w:r w:rsidRPr="00967093">
              <w:rPr>
                <w:rFonts w:ascii="Times New Roman" w:hAnsi="Times New Roman" w:cs="Times New Roman"/>
                <w:sz w:val="14"/>
                <w:szCs w:val="14"/>
              </w:rPr>
              <w:t>5 400</w:t>
            </w:r>
          </w:p>
        </w:tc>
        <w:tc>
          <w:tcPr>
            <w:tcW w:w="455" w:type="pct"/>
            <w:shd w:val="clear" w:color="auto" w:fill="auto"/>
            <w:noWrap/>
            <w:vAlign w:val="bottom"/>
          </w:tcPr>
          <w:p w:rsidR="007D13F3" w:rsidRPr="00967093" w:rsidRDefault="007D13F3" w:rsidP="00465CAC">
            <w:pPr>
              <w:autoSpaceDE w:val="0"/>
              <w:autoSpaceDN w:val="0"/>
              <w:adjustRightInd w:val="0"/>
              <w:jc w:val="right"/>
              <w:rPr>
                <w:rFonts w:ascii="Times New Roman" w:hAnsi="Times New Roman" w:cs="Times New Roman"/>
                <w:sz w:val="14"/>
                <w:szCs w:val="14"/>
                <w:highlight w:val="yellow"/>
              </w:rPr>
            </w:pPr>
            <w:r w:rsidRPr="00967093">
              <w:rPr>
                <w:rFonts w:ascii="Times New Roman" w:hAnsi="Times New Roman" w:cs="Times New Roman"/>
                <w:sz w:val="14"/>
                <w:szCs w:val="14"/>
              </w:rPr>
              <w:t>5 400</w:t>
            </w:r>
          </w:p>
        </w:tc>
        <w:tc>
          <w:tcPr>
            <w:tcW w:w="455" w:type="pct"/>
            <w:shd w:val="clear" w:color="auto" w:fill="FFFFFF" w:themeFill="background1"/>
            <w:vAlign w:val="bottom"/>
          </w:tcPr>
          <w:p w:rsidR="007D13F3" w:rsidRPr="00967093" w:rsidRDefault="007D13F3" w:rsidP="00465CAC">
            <w:pPr>
              <w:autoSpaceDE w:val="0"/>
              <w:autoSpaceDN w:val="0"/>
              <w:adjustRightInd w:val="0"/>
              <w:jc w:val="right"/>
              <w:rPr>
                <w:rFonts w:ascii="Times New Roman" w:hAnsi="Times New Roman" w:cs="Times New Roman"/>
                <w:sz w:val="14"/>
                <w:szCs w:val="14"/>
                <w:highlight w:val="yellow"/>
              </w:rPr>
            </w:pPr>
            <w:r w:rsidRPr="00967093">
              <w:rPr>
                <w:rFonts w:ascii="Times New Roman" w:hAnsi="Times New Roman" w:cs="Times New Roman"/>
                <w:sz w:val="14"/>
                <w:szCs w:val="14"/>
              </w:rPr>
              <w:t>5 400</w:t>
            </w:r>
          </w:p>
        </w:tc>
        <w:tc>
          <w:tcPr>
            <w:tcW w:w="455" w:type="pct"/>
            <w:shd w:val="clear" w:color="auto" w:fill="auto"/>
            <w:noWrap/>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5 400</w:t>
            </w:r>
          </w:p>
        </w:tc>
        <w:tc>
          <w:tcPr>
            <w:tcW w:w="455" w:type="pct"/>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5 400</w:t>
            </w:r>
          </w:p>
        </w:tc>
        <w:tc>
          <w:tcPr>
            <w:tcW w:w="455" w:type="pct"/>
            <w:shd w:val="clear" w:color="auto" w:fill="auto"/>
            <w:noWrap/>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5 400</w:t>
            </w:r>
          </w:p>
        </w:tc>
      </w:tr>
      <w:tr w:rsidR="007D13F3" w:rsidRPr="00A3218E" w:rsidTr="00465CAC">
        <w:trPr>
          <w:trHeight w:val="295"/>
        </w:trPr>
        <w:tc>
          <w:tcPr>
            <w:tcW w:w="1814" w:type="pct"/>
            <w:shd w:val="clear" w:color="auto" w:fill="auto"/>
            <w:noWrap/>
            <w:vAlign w:val="bottom"/>
          </w:tcPr>
          <w:p w:rsidR="007D13F3" w:rsidRPr="00A3218E" w:rsidRDefault="007D13F3" w:rsidP="00465CAC">
            <w:pPr>
              <w:rPr>
                <w:rFonts w:ascii="Times New Roman" w:hAnsi="Times New Roman" w:cs="Times New Roman"/>
                <w:sz w:val="14"/>
                <w:szCs w:val="14"/>
              </w:rPr>
            </w:pPr>
            <w:r w:rsidRPr="00A3218E">
              <w:rPr>
                <w:rFonts w:ascii="Times New Roman" w:hAnsi="Times New Roman" w:cs="Times New Roman"/>
                <w:sz w:val="14"/>
                <w:szCs w:val="14"/>
              </w:rPr>
              <w:t>08B 01 – Ďalší rozvoj ochrany obyvateľov Slovenskej republiky proti chemickým zbraniam</w:t>
            </w:r>
          </w:p>
        </w:tc>
        <w:tc>
          <w:tcPr>
            <w:tcW w:w="455" w:type="pct"/>
            <w:shd w:val="clear" w:color="auto" w:fill="auto"/>
            <w:vAlign w:val="bottom"/>
          </w:tcPr>
          <w:p w:rsidR="007D13F3" w:rsidRPr="00967093" w:rsidRDefault="007D13F3" w:rsidP="00465CAC">
            <w:pPr>
              <w:jc w:val="right"/>
              <w:rPr>
                <w:rFonts w:ascii="Times New Roman" w:hAnsi="Times New Roman" w:cs="Times New Roman"/>
                <w:sz w:val="14"/>
                <w:szCs w:val="14"/>
                <w:highlight w:val="yellow"/>
              </w:rPr>
            </w:pPr>
            <w:r w:rsidRPr="00967093">
              <w:rPr>
                <w:rFonts w:ascii="Times New Roman" w:hAnsi="Times New Roman" w:cs="Times New Roman"/>
                <w:sz w:val="14"/>
                <w:szCs w:val="14"/>
              </w:rPr>
              <w:t>10 800</w:t>
            </w:r>
          </w:p>
        </w:tc>
        <w:tc>
          <w:tcPr>
            <w:tcW w:w="455" w:type="pct"/>
            <w:shd w:val="clear" w:color="auto" w:fill="auto"/>
            <w:vAlign w:val="bottom"/>
          </w:tcPr>
          <w:p w:rsidR="007D13F3" w:rsidRPr="00967093" w:rsidRDefault="007D13F3" w:rsidP="00465CAC">
            <w:pPr>
              <w:jc w:val="right"/>
              <w:rPr>
                <w:rFonts w:ascii="Times New Roman" w:hAnsi="Times New Roman" w:cs="Times New Roman"/>
                <w:sz w:val="14"/>
                <w:szCs w:val="14"/>
              </w:rPr>
            </w:pPr>
            <w:r w:rsidRPr="00967093">
              <w:rPr>
                <w:rFonts w:ascii="Times New Roman" w:hAnsi="Times New Roman" w:cs="Times New Roman"/>
                <w:sz w:val="14"/>
                <w:szCs w:val="14"/>
              </w:rPr>
              <w:t>0</w:t>
            </w:r>
          </w:p>
        </w:tc>
        <w:tc>
          <w:tcPr>
            <w:tcW w:w="455" w:type="pct"/>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c>
          <w:tcPr>
            <w:tcW w:w="455" w:type="pct"/>
            <w:shd w:val="clear" w:color="auto" w:fill="FFFFFF" w:themeFill="background1"/>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c>
          <w:tcPr>
            <w:tcW w:w="455" w:type="pct"/>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c>
          <w:tcPr>
            <w:tcW w:w="455" w:type="pct"/>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c>
          <w:tcPr>
            <w:tcW w:w="455" w:type="pct"/>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r>
      <w:tr w:rsidR="007D13F3" w:rsidRPr="00A3218E" w:rsidTr="00465CAC">
        <w:trPr>
          <w:trHeight w:val="295"/>
        </w:trPr>
        <w:tc>
          <w:tcPr>
            <w:tcW w:w="1814" w:type="pct"/>
            <w:shd w:val="clear" w:color="auto" w:fill="auto"/>
            <w:noWrap/>
            <w:vAlign w:val="bottom"/>
          </w:tcPr>
          <w:p w:rsidR="007D13F3" w:rsidRPr="00A3218E" w:rsidRDefault="007D13F3" w:rsidP="00465CAC">
            <w:pPr>
              <w:rPr>
                <w:rFonts w:ascii="Times New Roman" w:hAnsi="Times New Roman" w:cs="Times New Roman"/>
                <w:sz w:val="14"/>
                <w:szCs w:val="14"/>
              </w:rPr>
            </w:pPr>
            <w:r>
              <w:rPr>
                <w:rFonts w:ascii="Times New Roman" w:hAnsi="Times New Roman" w:cs="Times New Roman"/>
                <w:sz w:val="14"/>
                <w:szCs w:val="14"/>
              </w:rPr>
              <w:t>0D4 – SK PRES</w:t>
            </w:r>
          </w:p>
        </w:tc>
        <w:tc>
          <w:tcPr>
            <w:tcW w:w="455" w:type="pct"/>
            <w:shd w:val="clear" w:color="auto" w:fill="auto"/>
            <w:vAlign w:val="bottom"/>
          </w:tcPr>
          <w:p w:rsidR="007D13F3" w:rsidRPr="00967093" w:rsidRDefault="007D13F3" w:rsidP="00465CAC">
            <w:pPr>
              <w:jc w:val="right"/>
              <w:rPr>
                <w:rFonts w:ascii="Times New Roman" w:hAnsi="Times New Roman" w:cs="Times New Roman"/>
                <w:sz w:val="14"/>
                <w:szCs w:val="14"/>
                <w:highlight w:val="yellow"/>
              </w:rPr>
            </w:pPr>
            <w:r w:rsidRPr="00967093">
              <w:rPr>
                <w:rFonts w:ascii="Times New Roman" w:hAnsi="Times New Roman" w:cs="Times New Roman"/>
                <w:sz w:val="14"/>
                <w:szCs w:val="14"/>
              </w:rPr>
              <w:t>296 750</w:t>
            </w:r>
          </w:p>
        </w:tc>
        <w:tc>
          <w:tcPr>
            <w:tcW w:w="455" w:type="pct"/>
            <w:shd w:val="clear" w:color="auto" w:fill="auto"/>
            <w:vAlign w:val="bottom"/>
          </w:tcPr>
          <w:p w:rsidR="007D13F3" w:rsidRPr="00967093" w:rsidRDefault="007D13F3" w:rsidP="00465CAC">
            <w:pPr>
              <w:jc w:val="right"/>
              <w:rPr>
                <w:rFonts w:ascii="Times New Roman" w:hAnsi="Times New Roman" w:cs="Times New Roman"/>
                <w:sz w:val="14"/>
                <w:szCs w:val="14"/>
              </w:rPr>
            </w:pPr>
            <w:r w:rsidRPr="00967093">
              <w:rPr>
                <w:rFonts w:ascii="Times New Roman" w:hAnsi="Times New Roman" w:cs="Times New Roman"/>
                <w:sz w:val="14"/>
                <w:szCs w:val="14"/>
              </w:rPr>
              <w:t>1 149 815</w:t>
            </w:r>
          </w:p>
        </w:tc>
        <w:tc>
          <w:tcPr>
            <w:tcW w:w="455" w:type="pct"/>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c>
          <w:tcPr>
            <w:tcW w:w="455" w:type="pct"/>
            <w:shd w:val="clear" w:color="auto" w:fill="FFFFFF" w:themeFill="background1"/>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c>
          <w:tcPr>
            <w:tcW w:w="455" w:type="pct"/>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c>
          <w:tcPr>
            <w:tcW w:w="455" w:type="pct"/>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c>
          <w:tcPr>
            <w:tcW w:w="455" w:type="pct"/>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r>
      <w:tr w:rsidR="007D13F3" w:rsidRPr="00A3218E" w:rsidTr="00465CAC">
        <w:trPr>
          <w:trHeight w:val="295"/>
        </w:trPr>
        <w:tc>
          <w:tcPr>
            <w:tcW w:w="1814" w:type="pct"/>
            <w:shd w:val="clear" w:color="auto" w:fill="auto"/>
            <w:noWrap/>
            <w:vAlign w:val="bottom"/>
          </w:tcPr>
          <w:p w:rsidR="007D13F3" w:rsidRPr="00B6209D" w:rsidRDefault="007D13F3" w:rsidP="00465CAC">
            <w:pPr>
              <w:rPr>
                <w:rFonts w:ascii="Times New Roman" w:hAnsi="Times New Roman" w:cs="Times New Roman"/>
                <w:sz w:val="14"/>
                <w:szCs w:val="14"/>
              </w:rPr>
            </w:pPr>
            <w:r w:rsidRPr="00B6209D">
              <w:rPr>
                <w:rFonts w:ascii="Times New Roman" w:hAnsi="Times New Roman" w:cs="Times New Roman"/>
                <w:sz w:val="14"/>
                <w:szCs w:val="14"/>
              </w:rPr>
              <w:t xml:space="preserve">0DB - II. etapa implementácie </w:t>
            </w:r>
            <w:proofErr w:type="spellStart"/>
            <w:r w:rsidRPr="00B6209D">
              <w:rPr>
                <w:rFonts w:ascii="Times New Roman" w:hAnsi="Times New Roman" w:cs="Times New Roman"/>
                <w:sz w:val="14"/>
                <w:szCs w:val="14"/>
              </w:rPr>
              <w:t>Medzinárod</w:t>
            </w:r>
            <w:proofErr w:type="spellEnd"/>
            <w:r w:rsidRPr="00B6209D">
              <w:rPr>
                <w:rFonts w:ascii="Times New Roman" w:hAnsi="Times New Roman" w:cs="Times New Roman"/>
                <w:sz w:val="14"/>
                <w:szCs w:val="14"/>
              </w:rPr>
              <w:t>. zdrav. predpisov SZO v SR</w:t>
            </w:r>
          </w:p>
        </w:tc>
        <w:tc>
          <w:tcPr>
            <w:tcW w:w="455" w:type="pct"/>
            <w:shd w:val="clear" w:color="auto" w:fill="auto"/>
            <w:vAlign w:val="bottom"/>
          </w:tcPr>
          <w:p w:rsidR="007D13F3" w:rsidRPr="00967093" w:rsidRDefault="007D13F3" w:rsidP="00465CAC">
            <w:pPr>
              <w:jc w:val="right"/>
              <w:rPr>
                <w:rFonts w:ascii="Times New Roman" w:hAnsi="Times New Roman" w:cs="Times New Roman"/>
                <w:sz w:val="14"/>
                <w:szCs w:val="14"/>
                <w:highlight w:val="yellow"/>
              </w:rPr>
            </w:pPr>
            <w:r w:rsidRPr="00967093">
              <w:rPr>
                <w:rFonts w:ascii="Times New Roman" w:hAnsi="Times New Roman" w:cs="Times New Roman"/>
                <w:sz w:val="14"/>
                <w:szCs w:val="14"/>
              </w:rPr>
              <w:t>88 999</w:t>
            </w:r>
          </w:p>
        </w:tc>
        <w:tc>
          <w:tcPr>
            <w:tcW w:w="455" w:type="pct"/>
            <w:shd w:val="clear" w:color="auto" w:fill="auto"/>
            <w:vAlign w:val="bottom"/>
          </w:tcPr>
          <w:p w:rsidR="007D13F3" w:rsidRPr="00967093" w:rsidRDefault="007D13F3" w:rsidP="00465CAC">
            <w:pPr>
              <w:jc w:val="right"/>
              <w:rPr>
                <w:rFonts w:ascii="Times New Roman" w:hAnsi="Times New Roman" w:cs="Times New Roman"/>
                <w:sz w:val="14"/>
                <w:szCs w:val="14"/>
                <w:highlight w:val="yellow"/>
              </w:rPr>
            </w:pPr>
            <w:r w:rsidRPr="00967093">
              <w:rPr>
                <w:rFonts w:ascii="Times New Roman" w:hAnsi="Times New Roman" w:cs="Times New Roman"/>
                <w:sz w:val="14"/>
                <w:szCs w:val="14"/>
              </w:rPr>
              <w:t>70 848</w:t>
            </w:r>
          </w:p>
        </w:tc>
        <w:tc>
          <w:tcPr>
            <w:tcW w:w="455" w:type="pct"/>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highlight w:val="yellow"/>
              </w:rPr>
            </w:pPr>
            <w:r w:rsidRPr="00967093">
              <w:rPr>
                <w:rFonts w:ascii="Times New Roman" w:hAnsi="Times New Roman" w:cs="Times New Roman"/>
                <w:sz w:val="14"/>
                <w:szCs w:val="14"/>
              </w:rPr>
              <w:t>0</w:t>
            </w:r>
          </w:p>
        </w:tc>
        <w:tc>
          <w:tcPr>
            <w:tcW w:w="455" w:type="pct"/>
            <w:shd w:val="clear" w:color="auto" w:fill="FFFFFF" w:themeFill="background1"/>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c>
          <w:tcPr>
            <w:tcW w:w="455" w:type="pct"/>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c>
          <w:tcPr>
            <w:tcW w:w="455" w:type="pct"/>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c>
          <w:tcPr>
            <w:tcW w:w="455" w:type="pct"/>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r>
      <w:tr w:rsidR="007D13F3" w:rsidRPr="00A3218E" w:rsidTr="00465CAC">
        <w:trPr>
          <w:trHeight w:val="295"/>
        </w:trPr>
        <w:tc>
          <w:tcPr>
            <w:tcW w:w="1814" w:type="pct"/>
            <w:shd w:val="clear" w:color="auto" w:fill="auto"/>
            <w:noWrap/>
            <w:vAlign w:val="bottom"/>
          </w:tcPr>
          <w:p w:rsidR="007D13F3" w:rsidRPr="00323B10" w:rsidRDefault="007D13F3" w:rsidP="00465CAC">
            <w:pPr>
              <w:rPr>
                <w:rFonts w:ascii="Times New Roman" w:hAnsi="Times New Roman" w:cs="Times New Roman"/>
                <w:sz w:val="14"/>
                <w:szCs w:val="14"/>
                <w:highlight w:val="yellow"/>
              </w:rPr>
            </w:pPr>
            <w:r w:rsidRPr="00323B10">
              <w:rPr>
                <w:rFonts w:ascii="Times New Roman" w:hAnsi="Times New Roman" w:cs="Times New Roman"/>
                <w:sz w:val="14"/>
                <w:szCs w:val="14"/>
              </w:rPr>
              <w:t>0A9 08 - Elektroni</w:t>
            </w:r>
            <w:r>
              <w:rPr>
                <w:rFonts w:ascii="Times New Roman" w:hAnsi="Times New Roman" w:cs="Times New Roman"/>
                <w:sz w:val="14"/>
                <w:szCs w:val="14"/>
              </w:rPr>
              <w:t xml:space="preserve">zácia VS a rozvoj </w:t>
            </w:r>
            <w:proofErr w:type="spellStart"/>
            <w:r>
              <w:rPr>
                <w:rFonts w:ascii="Times New Roman" w:hAnsi="Times New Roman" w:cs="Times New Roman"/>
                <w:sz w:val="14"/>
                <w:szCs w:val="14"/>
              </w:rPr>
              <w:t>elek</w:t>
            </w:r>
            <w:proofErr w:type="spellEnd"/>
            <w:r>
              <w:rPr>
                <w:rFonts w:ascii="Times New Roman" w:hAnsi="Times New Roman" w:cs="Times New Roman"/>
                <w:sz w:val="14"/>
                <w:szCs w:val="14"/>
              </w:rPr>
              <w:t>. služieb</w:t>
            </w:r>
          </w:p>
        </w:tc>
        <w:tc>
          <w:tcPr>
            <w:tcW w:w="455" w:type="pct"/>
            <w:shd w:val="clear" w:color="auto" w:fill="auto"/>
            <w:vAlign w:val="bottom"/>
          </w:tcPr>
          <w:p w:rsidR="007D13F3" w:rsidRPr="00967093" w:rsidRDefault="007D13F3" w:rsidP="00465CAC">
            <w:pPr>
              <w:jc w:val="right"/>
              <w:rPr>
                <w:rFonts w:ascii="Times New Roman" w:hAnsi="Times New Roman" w:cs="Times New Roman"/>
                <w:sz w:val="14"/>
                <w:szCs w:val="14"/>
                <w:highlight w:val="yellow"/>
              </w:rPr>
            </w:pPr>
            <w:r w:rsidRPr="00967093">
              <w:rPr>
                <w:rFonts w:ascii="Times New Roman" w:hAnsi="Times New Roman" w:cs="Times New Roman"/>
                <w:sz w:val="14"/>
                <w:szCs w:val="14"/>
              </w:rPr>
              <w:t>32 580</w:t>
            </w:r>
          </w:p>
        </w:tc>
        <w:tc>
          <w:tcPr>
            <w:tcW w:w="455" w:type="pct"/>
            <w:shd w:val="clear" w:color="auto" w:fill="auto"/>
            <w:vAlign w:val="bottom"/>
          </w:tcPr>
          <w:p w:rsidR="007D13F3" w:rsidRPr="00967093" w:rsidRDefault="007D13F3" w:rsidP="00465CAC">
            <w:pPr>
              <w:jc w:val="right"/>
              <w:rPr>
                <w:rFonts w:ascii="Times New Roman" w:hAnsi="Times New Roman" w:cs="Times New Roman"/>
                <w:sz w:val="14"/>
                <w:szCs w:val="14"/>
                <w:highlight w:val="yellow"/>
              </w:rPr>
            </w:pPr>
            <w:r w:rsidRPr="00967093">
              <w:rPr>
                <w:rFonts w:ascii="Times New Roman" w:hAnsi="Times New Roman" w:cs="Times New Roman"/>
                <w:sz w:val="14"/>
                <w:szCs w:val="14"/>
              </w:rPr>
              <w:t>0</w:t>
            </w:r>
          </w:p>
        </w:tc>
        <w:tc>
          <w:tcPr>
            <w:tcW w:w="455" w:type="pct"/>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highlight w:val="yellow"/>
              </w:rPr>
            </w:pPr>
            <w:r w:rsidRPr="00967093">
              <w:rPr>
                <w:rFonts w:ascii="Times New Roman" w:hAnsi="Times New Roman" w:cs="Times New Roman"/>
                <w:sz w:val="14"/>
                <w:szCs w:val="14"/>
              </w:rPr>
              <w:t>0</w:t>
            </w:r>
          </w:p>
        </w:tc>
        <w:tc>
          <w:tcPr>
            <w:tcW w:w="455" w:type="pct"/>
            <w:shd w:val="clear" w:color="auto" w:fill="FFFFFF" w:themeFill="background1"/>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c>
          <w:tcPr>
            <w:tcW w:w="455" w:type="pct"/>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c>
          <w:tcPr>
            <w:tcW w:w="455" w:type="pct"/>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c>
          <w:tcPr>
            <w:tcW w:w="455" w:type="pct"/>
            <w:shd w:val="clear" w:color="auto" w:fill="auto"/>
            <w:vAlign w:val="bottom"/>
          </w:tcPr>
          <w:p w:rsidR="007D13F3" w:rsidRPr="00967093" w:rsidRDefault="007D13F3" w:rsidP="00465CAC">
            <w:pPr>
              <w:autoSpaceDE w:val="0"/>
              <w:autoSpaceDN w:val="0"/>
              <w:adjustRightInd w:val="0"/>
              <w:jc w:val="right"/>
              <w:rPr>
                <w:rFonts w:ascii="Times New Roman" w:hAnsi="Times New Roman" w:cs="Times New Roman"/>
                <w:sz w:val="14"/>
                <w:szCs w:val="14"/>
              </w:rPr>
            </w:pPr>
            <w:r w:rsidRPr="00967093">
              <w:rPr>
                <w:rFonts w:ascii="Times New Roman" w:hAnsi="Times New Roman" w:cs="Times New Roman"/>
                <w:sz w:val="14"/>
                <w:szCs w:val="14"/>
              </w:rPr>
              <w:t>0</w:t>
            </w:r>
          </w:p>
        </w:tc>
      </w:tr>
    </w:tbl>
    <w:p w:rsidR="007D13F3" w:rsidRPr="00A3218E" w:rsidRDefault="007D13F3" w:rsidP="007D13F3">
      <w:pPr>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A3218E">
        <w:rPr>
          <w:rFonts w:ascii="Times New Roman" w:hAnsi="Times New Roman" w:cs="Times New Roman"/>
        </w:rPr>
        <w:t>Ministerstvo vnútra SR je gestorom troch medzirezortných programov, ktorými sú Civilné núdzové plánovanie, Ochrana kritickej infraštruktúry a Ďalší rozvoj ochrany obyvateľov SR proti chemickým zbraniam.</w:t>
      </w:r>
    </w:p>
    <w:p w:rsidR="007D13F3" w:rsidRPr="00A3218E" w:rsidRDefault="007D13F3" w:rsidP="007D13F3">
      <w:pPr>
        <w:ind w:firstLine="708"/>
        <w:jc w:val="both"/>
        <w:rPr>
          <w:rFonts w:ascii="Times New Roman" w:hAnsi="Times New Roman" w:cs="Times New Roman"/>
        </w:rPr>
      </w:pPr>
    </w:p>
    <w:p w:rsidR="007D13F3" w:rsidRPr="00A3218E" w:rsidRDefault="007D13F3" w:rsidP="007D13F3">
      <w:pPr>
        <w:ind w:firstLine="708"/>
        <w:jc w:val="both"/>
        <w:rPr>
          <w:rFonts w:ascii="Times New Roman" w:hAnsi="Times New Roman" w:cs="Times New Roman"/>
        </w:rPr>
      </w:pPr>
      <w:r w:rsidRPr="00A3218E">
        <w:rPr>
          <w:rFonts w:ascii="Times New Roman" w:hAnsi="Times New Roman" w:cs="Times New Roman"/>
        </w:rPr>
        <w:t>Medzirezortný program Civilné núdzové plánovanie je systém komplexného zabezpečenia zdrojov, síl a prostriedkov nevyhnutných na zvládnutie nevojenských krízových javov a civilnú podporu ozbrojených síl a vojenských operácií. Zabezpečuje prípravu a koordináciu opatrení uskutočňovaných orgánmi verejnej moci na zaistenie vnútorného poriadku v štáte, ochrany obyvateľstva, hospodárstva štátu, kultúrnych hodnôt a trvalej funkčnosti štátnej správy počas krízových situácií.</w:t>
      </w:r>
    </w:p>
    <w:p w:rsidR="007D13F3" w:rsidRPr="00A3218E" w:rsidRDefault="007D13F3" w:rsidP="007D13F3">
      <w:pPr>
        <w:jc w:val="both"/>
        <w:rPr>
          <w:rFonts w:ascii="Times New Roman" w:hAnsi="Times New Roman" w:cs="Times New Roman"/>
        </w:rPr>
      </w:pPr>
    </w:p>
    <w:p w:rsidR="007D13F3" w:rsidRPr="00A3218E" w:rsidRDefault="007D13F3" w:rsidP="007D13F3">
      <w:pPr>
        <w:ind w:firstLine="708"/>
        <w:jc w:val="both"/>
        <w:rPr>
          <w:rFonts w:ascii="Times New Roman" w:hAnsi="Times New Roman" w:cs="Times New Roman"/>
        </w:rPr>
      </w:pPr>
      <w:r w:rsidRPr="00A3218E">
        <w:rPr>
          <w:rFonts w:ascii="Times New Roman" w:hAnsi="Times New Roman" w:cs="Times New Roman"/>
        </w:rPr>
        <w:t xml:space="preserve">Medzirezortný program Oficiálna </w:t>
      </w:r>
      <w:r w:rsidR="003274D5">
        <w:rPr>
          <w:rFonts w:ascii="Times New Roman" w:hAnsi="Times New Roman" w:cs="Times New Roman"/>
        </w:rPr>
        <w:t>humanitárna pomoc do zahraničia</w:t>
      </w:r>
      <w:r w:rsidRPr="00A3218E">
        <w:rPr>
          <w:rFonts w:ascii="Times New Roman" w:hAnsi="Times New Roman" w:cs="Times New Roman"/>
        </w:rPr>
        <w:t xml:space="preserve"> je zameraný na pomoc Slovenska rozvojovým krajinám.  </w:t>
      </w:r>
    </w:p>
    <w:p w:rsidR="007D13F3" w:rsidRPr="00A3218E" w:rsidRDefault="007D13F3" w:rsidP="007D13F3">
      <w:pPr>
        <w:jc w:val="both"/>
        <w:rPr>
          <w:rFonts w:ascii="Times New Roman" w:hAnsi="Times New Roman" w:cs="Times New Roman"/>
        </w:rPr>
      </w:pPr>
    </w:p>
    <w:p w:rsidR="007D13F3" w:rsidRPr="00A3218E" w:rsidRDefault="007D13F3" w:rsidP="007D13F3">
      <w:pPr>
        <w:ind w:firstLine="708"/>
        <w:jc w:val="both"/>
        <w:rPr>
          <w:rFonts w:ascii="Times New Roman" w:hAnsi="Times New Roman" w:cs="Times New Roman"/>
        </w:rPr>
      </w:pPr>
      <w:r w:rsidRPr="00A3218E">
        <w:rPr>
          <w:rFonts w:ascii="Times New Roman" w:hAnsi="Times New Roman" w:cs="Times New Roman"/>
        </w:rPr>
        <w:t>Medzirezortný program Hospodárska mobilizácia je zameraný na vytváranie predpokladov na zabezpečenie potrieb nevyhnutných na prežitie obyvateľstva a na zabezpečenie činnosti ozbrojených síl, ozbrojených bezpečnostných zborov a ostatných zložiek počas krízovej situácie.</w:t>
      </w:r>
    </w:p>
    <w:p w:rsidR="007D13F3" w:rsidRPr="00A3218E" w:rsidRDefault="007D13F3" w:rsidP="007D13F3">
      <w:pPr>
        <w:jc w:val="both"/>
        <w:rPr>
          <w:rFonts w:ascii="Times New Roman" w:hAnsi="Times New Roman" w:cs="Times New Roman"/>
        </w:rPr>
      </w:pPr>
    </w:p>
    <w:p w:rsidR="007D13F3" w:rsidRPr="00A3218E" w:rsidRDefault="007D13F3" w:rsidP="007D13F3">
      <w:pPr>
        <w:ind w:firstLine="708"/>
        <w:jc w:val="both"/>
        <w:rPr>
          <w:rFonts w:ascii="Times New Roman" w:hAnsi="Times New Roman" w:cs="Times New Roman"/>
        </w:rPr>
      </w:pPr>
      <w:r w:rsidRPr="00A3218E">
        <w:rPr>
          <w:rFonts w:ascii="Times New Roman" w:hAnsi="Times New Roman" w:cs="Times New Roman"/>
        </w:rPr>
        <w:t>Príspevky do medzinárodných organizácií s</w:t>
      </w:r>
      <w:r>
        <w:rPr>
          <w:rFonts w:ascii="Times New Roman" w:hAnsi="Times New Roman" w:cs="Times New Roman"/>
        </w:rPr>
        <w:t xml:space="preserve">ú rozpočtované na transfer </w:t>
      </w:r>
      <w:r w:rsidRPr="00FC1428">
        <w:rPr>
          <w:rFonts w:ascii="Times New Roman" w:hAnsi="Times New Roman" w:cs="Times New Roman"/>
        </w:rPr>
        <w:t>medzinárodnej organizácii pre kriminálnu políciu (INTERPOL)</w:t>
      </w:r>
      <w:r>
        <w:rPr>
          <w:rFonts w:ascii="Times New Roman" w:hAnsi="Times New Roman" w:cs="Times New Roman"/>
        </w:rPr>
        <w:t xml:space="preserve"> a</w:t>
      </w:r>
      <w:r w:rsidRPr="00FC1428">
        <w:rPr>
          <w:rFonts w:ascii="Times New Roman" w:hAnsi="Times New Roman" w:cs="Times New Roman"/>
        </w:rPr>
        <w:t xml:space="preserve"> IOM – pre migráciu</w:t>
      </w:r>
      <w:r>
        <w:rPr>
          <w:rFonts w:ascii="Times New Roman" w:hAnsi="Times New Roman" w:cs="Times New Roman"/>
        </w:rPr>
        <w:t>.</w:t>
      </w:r>
    </w:p>
    <w:p w:rsidR="007D13F3" w:rsidRPr="00A3218E" w:rsidRDefault="007D13F3" w:rsidP="007D13F3">
      <w:pPr>
        <w:jc w:val="both"/>
        <w:rPr>
          <w:rFonts w:ascii="Times New Roman" w:hAnsi="Times New Roman" w:cs="Times New Roman"/>
        </w:rPr>
      </w:pPr>
    </w:p>
    <w:p w:rsidR="007D13F3" w:rsidRPr="00A3218E" w:rsidRDefault="007D13F3" w:rsidP="007D13F3">
      <w:pPr>
        <w:ind w:firstLine="708"/>
        <w:jc w:val="both"/>
        <w:rPr>
          <w:rFonts w:ascii="Times New Roman" w:hAnsi="Times New Roman" w:cs="Times New Roman"/>
        </w:rPr>
      </w:pPr>
      <w:r w:rsidRPr="00A3218E">
        <w:rPr>
          <w:rFonts w:ascii="Times New Roman" w:hAnsi="Times New Roman" w:cs="Times New Roman"/>
        </w:rPr>
        <w:t>Od roku 2009 bol schválený nový spôsob financovania protidrogovej politiky vytvorením medzirezortného programu Protidrogová politika s účastníkmi programu, ktorými sú jednotlivé ministerstvá.</w:t>
      </w:r>
    </w:p>
    <w:p w:rsidR="007D13F3" w:rsidRDefault="007D13F3" w:rsidP="007D13F3">
      <w:pPr>
        <w:ind w:firstLine="708"/>
        <w:jc w:val="both"/>
        <w:rPr>
          <w:rFonts w:ascii="Times New Roman" w:hAnsi="Times New Roman" w:cs="Times New Roman"/>
        </w:rPr>
      </w:pPr>
    </w:p>
    <w:p w:rsidR="007D13F3" w:rsidRPr="00A3218E" w:rsidRDefault="007D13F3" w:rsidP="007D13F3">
      <w:pPr>
        <w:ind w:firstLine="708"/>
        <w:jc w:val="both"/>
        <w:rPr>
          <w:rFonts w:ascii="Times New Roman" w:hAnsi="Times New Roman" w:cs="Times New Roman"/>
        </w:rPr>
      </w:pPr>
      <w:r w:rsidRPr="00A3218E">
        <w:rPr>
          <w:rFonts w:ascii="Times New Roman" w:hAnsi="Times New Roman" w:cs="Times New Roman"/>
        </w:rPr>
        <w:t xml:space="preserve">Medzirezortný program Ochrana kritickej infraštruktúry je v súlade so zákonom č. 45/2011 Z. z. o kritickej infraštruktúre zameraný na organizáciu a pôsobnosť orgánov štátnej </w:t>
      </w:r>
      <w:r w:rsidRPr="00A3218E">
        <w:rPr>
          <w:rFonts w:ascii="Times New Roman" w:hAnsi="Times New Roman" w:cs="Times New Roman"/>
        </w:rPr>
        <w:lastRenderedPageBreak/>
        <w:t>správy na úseku kritickej infraštruktúry. Súčasťou kritickej infraštruktúry je aj obranná infraštruktúra.</w:t>
      </w:r>
    </w:p>
    <w:p w:rsidR="007D13F3" w:rsidRPr="00A3218E" w:rsidRDefault="007D13F3" w:rsidP="007D13F3">
      <w:pPr>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A3218E">
        <w:rPr>
          <w:rFonts w:ascii="Times New Roman" w:hAnsi="Times New Roman" w:cs="Times New Roman"/>
        </w:rPr>
        <w:t>Ďalší rozvoj ochrany obyvateľov Slovenskej republiky proti chemickým zbraniam je</w:t>
      </w:r>
      <w:r w:rsidR="006527C0">
        <w:rPr>
          <w:rFonts w:ascii="Times New Roman" w:hAnsi="Times New Roman" w:cs="Times New Roman"/>
        </w:rPr>
        <w:t xml:space="preserve"> od roku 2004</w:t>
      </w:r>
      <w:r w:rsidRPr="00A3218E">
        <w:rPr>
          <w:rFonts w:ascii="Times New Roman" w:hAnsi="Times New Roman" w:cs="Times New Roman"/>
        </w:rPr>
        <w:t xml:space="preserve"> medzirezortný program v gescii Ministerstva vnútra SR. Je zameraný na úlohy v oblasti prevencie, detekcie, výstražného systému a monitorovania, individuálnej a kolektívnej ochrany, vykonania zásahu pri použití chemických zbraní a medzinárodnej spolupráce.</w:t>
      </w:r>
    </w:p>
    <w:p w:rsidR="007D13F3" w:rsidRDefault="007D13F3" w:rsidP="007D13F3">
      <w:pPr>
        <w:jc w:val="both"/>
        <w:rPr>
          <w:rFonts w:ascii="Times New Roman" w:hAnsi="Times New Roman" w:cs="Times New Roman"/>
        </w:rPr>
      </w:pPr>
    </w:p>
    <w:p w:rsidR="007D13F3" w:rsidRPr="00895CD2" w:rsidRDefault="007D13F3" w:rsidP="007D13F3">
      <w:pPr>
        <w:jc w:val="both"/>
        <w:rPr>
          <w:rFonts w:ascii="Times New Roman" w:hAnsi="Times New Roman" w:cs="Times New Roman"/>
          <w:b/>
        </w:rPr>
      </w:pPr>
      <w:r w:rsidRPr="00895CD2">
        <w:rPr>
          <w:rFonts w:ascii="Times New Roman" w:hAnsi="Times New Roman" w:cs="Times New Roman"/>
          <w:b/>
        </w:rPr>
        <w:t>Prostriedky EÚ a</w:t>
      </w:r>
      <w:r>
        <w:rPr>
          <w:rFonts w:ascii="Times New Roman" w:hAnsi="Times New Roman" w:cs="Times New Roman"/>
          <w:b/>
        </w:rPr>
        <w:t> </w:t>
      </w:r>
      <w:r w:rsidRPr="00895CD2">
        <w:rPr>
          <w:rFonts w:ascii="Times New Roman" w:hAnsi="Times New Roman" w:cs="Times New Roman"/>
          <w:b/>
        </w:rPr>
        <w:t>spolufinancovanie</w:t>
      </w:r>
      <w:r>
        <w:rPr>
          <w:rFonts w:ascii="Times New Roman" w:hAnsi="Times New Roman" w:cs="Times New Roman"/>
          <w:b/>
        </w:rPr>
        <w:t xml:space="preserve"> v 2. a 3. programovom období</w:t>
      </w:r>
    </w:p>
    <w:p w:rsidR="007D13F3" w:rsidRDefault="007D13F3" w:rsidP="007D13F3">
      <w:pPr>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BC596F">
        <w:rPr>
          <w:rFonts w:ascii="Times New Roman" w:hAnsi="Times New Roman" w:cs="Times New Roman"/>
        </w:rPr>
        <w:t>V rámci 3. programov</w:t>
      </w:r>
      <w:r w:rsidR="00A870F8">
        <w:rPr>
          <w:rFonts w:ascii="Times New Roman" w:hAnsi="Times New Roman" w:cs="Times New Roman"/>
        </w:rPr>
        <w:t>é</w:t>
      </w:r>
      <w:r w:rsidRPr="00BC596F">
        <w:rPr>
          <w:rFonts w:ascii="Times New Roman" w:hAnsi="Times New Roman" w:cs="Times New Roman"/>
        </w:rPr>
        <w:t>ho obdobia prostriedky EÚ a spolufinancovania zo štátneho rozpočtu súvisia s Operačnými programami Efektívna verejná správa, Ľudské zdroje a Technická pomoc a na rok 201</w:t>
      </w:r>
      <w:r>
        <w:rPr>
          <w:rFonts w:ascii="Times New Roman" w:hAnsi="Times New Roman" w:cs="Times New Roman"/>
        </w:rPr>
        <w:t>8</w:t>
      </w:r>
      <w:r w:rsidRPr="00BC596F">
        <w:rPr>
          <w:rFonts w:ascii="Times New Roman" w:hAnsi="Times New Roman" w:cs="Times New Roman"/>
        </w:rPr>
        <w:t xml:space="preserve"> sa rozpočtujú v sume 30,5 mil. eur, z toho spolufinancovanie je vo výške 1,71 mil. eur.</w:t>
      </w:r>
    </w:p>
    <w:tbl>
      <w:tblPr>
        <w:tblW w:w="13607" w:type="dxa"/>
        <w:tblLayout w:type="fixed"/>
        <w:tblCellMar>
          <w:left w:w="70" w:type="dxa"/>
          <w:right w:w="70" w:type="dxa"/>
        </w:tblCellMar>
        <w:tblLook w:val="04A0" w:firstRow="1" w:lastRow="0" w:firstColumn="1" w:lastColumn="0" w:noHBand="0" w:noVBand="1"/>
      </w:tblPr>
      <w:tblGrid>
        <w:gridCol w:w="2622"/>
        <w:gridCol w:w="931"/>
        <w:gridCol w:w="61"/>
        <w:gridCol w:w="870"/>
        <w:gridCol w:w="122"/>
        <w:gridCol w:w="810"/>
        <w:gridCol w:w="182"/>
        <w:gridCol w:w="749"/>
        <w:gridCol w:w="243"/>
        <w:gridCol w:w="689"/>
        <w:gridCol w:w="303"/>
        <w:gridCol w:w="628"/>
        <w:gridCol w:w="364"/>
        <w:gridCol w:w="568"/>
        <w:gridCol w:w="425"/>
        <w:gridCol w:w="992"/>
        <w:gridCol w:w="992"/>
        <w:gridCol w:w="992"/>
        <w:gridCol w:w="1064"/>
      </w:tblGrid>
      <w:tr w:rsidR="007D13F3" w:rsidRPr="00877462" w:rsidTr="00465CAC">
        <w:trPr>
          <w:trHeight w:val="240"/>
        </w:trPr>
        <w:tc>
          <w:tcPr>
            <w:tcW w:w="2622" w:type="dxa"/>
            <w:tcBorders>
              <w:top w:val="nil"/>
              <w:left w:val="nil"/>
              <w:bottom w:val="nil"/>
              <w:right w:val="nil"/>
            </w:tcBorders>
            <w:shd w:val="clear" w:color="auto" w:fill="auto"/>
            <w:noWrap/>
            <w:vAlign w:val="bottom"/>
            <w:hideMark/>
          </w:tcPr>
          <w:p w:rsidR="007D13F3" w:rsidRPr="00877462" w:rsidRDefault="007D13F3" w:rsidP="00465CAC">
            <w:pPr>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vAlign w:val="bottom"/>
          </w:tcPr>
          <w:p w:rsidR="007D13F3" w:rsidRPr="00877462" w:rsidRDefault="007D13F3" w:rsidP="00465CAC">
            <w:pPr>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vAlign w:val="bottom"/>
          </w:tcPr>
          <w:p w:rsidR="007D13F3" w:rsidRPr="00877462" w:rsidRDefault="007D13F3" w:rsidP="00465CAC">
            <w:pPr>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vAlign w:val="bottom"/>
          </w:tcPr>
          <w:p w:rsidR="007D13F3" w:rsidRPr="00877462" w:rsidRDefault="007D13F3" w:rsidP="00465CAC">
            <w:pPr>
              <w:jc w:val="center"/>
              <w:rPr>
                <w:rFonts w:ascii="Arial Narrow" w:hAnsi="Arial Narrow"/>
                <w:color w:val="000000"/>
                <w:sz w:val="20"/>
                <w:szCs w:val="20"/>
                <w:highlight w:val="yellow"/>
              </w:rPr>
            </w:pPr>
          </w:p>
        </w:tc>
        <w:tc>
          <w:tcPr>
            <w:tcW w:w="992" w:type="dxa"/>
            <w:gridSpan w:val="2"/>
            <w:tcBorders>
              <w:top w:val="nil"/>
              <w:left w:val="nil"/>
              <w:bottom w:val="nil"/>
              <w:right w:val="nil"/>
            </w:tcBorders>
            <w:vAlign w:val="bottom"/>
          </w:tcPr>
          <w:p w:rsidR="007D13F3" w:rsidRPr="00877462" w:rsidRDefault="007D13F3" w:rsidP="00465CAC">
            <w:pPr>
              <w:jc w:val="center"/>
              <w:rPr>
                <w:rFonts w:ascii="Arial Narrow" w:hAnsi="Arial Narrow"/>
                <w:color w:val="000000"/>
                <w:sz w:val="20"/>
                <w:szCs w:val="20"/>
                <w:highlight w:val="yellow"/>
              </w:rPr>
            </w:pPr>
          </w:p>
        </w:tc>
        <w:tc>
          <w:tcPr>
            <w:tcW w:w="992" w:type="dxa"/>
            <w:gridSpan w:val="2"/>
            <w:tcBorders>
              <w:top w:val="nil"/>
              <w:left w:val="nil"/>
              <w:bottom w:val="nil"/>
              <w:right w:val="nil"/>
            </w:tcBorders>
            <w:shd w:val="clear" w:color="auto" w:fill="auto"/>
            <w:noWrap/>
            <w:vAlign w:val="bottom"/>
            <w:hideMark/>
          </w:tcPr>
          <w:p w:rsidR="007D13F3" w:rsidRPr="00877462" w:rsidRDefault="007D13F3" w:rsidP="00465CAC">
            <w:pPr>
              <w:jc w:val="center"/>
              <w:rPr>
                <w:rFonts w:ascii="Arial Narrow" w:hAnsi="Arial Narrow"/>
                <w:color w:val="000000"/>
                <w:sz w:val="20"/>
                <w:szCs w:val="20"/>
                <w:highlight w:val="yellow"/>
              </w:rPr>
            </w:pPr>
          </w:p>
        </w:tc>
        <w:tc>
          <w:tcPr>
            <w:tcW w:w="992" w:type="dxa"/>
            <w:gridSpan w:val="2"/>
            <w:tcBorders>
              <w:top w:val="nil"/>
              <w:left w:val="nil"/>
              <w:bottom w:val="nil"/>
              <w:right w:val="nil"/>
            </w:tcBorders>
            <w:shd w:val="clear" w:color="auto" w:fill="auto"/>
            <w:noWrap/>
            <w:vAlign w:val="bottom"/>
            <w:hideMark/>
          </w:tcPr>
          <w:p w:rsidR="007D13F3" w:rsidRPr="00877462" w:rsidRDefault="007D13F3" w:rsidP="00465CAC">
            <w:pPr>
              <w:jc w:val="center"/>
              <w:rPr>
                <w:rFonts w:ascii="Arial Narrow" w:hAnsi="Arial Narrow"/>
                <w:color w:val="000000"/>
                <w:sz w:val="20"/>
                <w:szCs w:val="20"/>
                <w:highlight w:val="yellow"/>
              </w:rPr>
            </w:pPr>
          </w:p>
        </w:tc>
        <w:tc>
          <w:tcPr>
            <w:tcW w:w="993" w:type="dxa"/>
            <w:gridSpan w:val="2"/>
            <w:tcBorders>
              <w:top w:val="nil"/>
              <w:left w:val="nil"/>
              <w:bottom w:val="nil"/>
              <w:right w:val="nil"/>
            </w:tcBorders>
            <w:shd w:val="clear" w:color="auto" w:fill="auto"/>
            <w:noWrap/>
            <w:vAlign w:val="bottom"/>
            <w:hideMark/>
          </w:tcPr>
          <w:p w:rsidR="007D13F3" w:rsidRPr="00877462" w:rsidRDefault="007D13F3" w:rsidP="00465CAC">
            <w:pPr>
              <w:jc w:val="center"/>
              <w:rPr>
                <w:rFonts w:ascii="Arial Narrow" w:hAnsi="Arial Narrow"/>
                <w:color w:val="000000"/>
                <w:sz w:val="20"/>
                <w:szCs w:val="20"/>
                <w:highlight w:val="yellow"/>
              </w:rPr>
            </w:pPr>
          </w:p>
        </w:tc>
        <w:tc>
          <w:tcPr>
            <w:tcW w:w="992" w:type="dxa"/>
            <w:tcBorders>
              <w:top w:val="nil"/>
              <w:left w:val="nil"/>
              <w:bottom w:val="nil"/>
              <w:right w:val="nil"/>
            </w:tcBorders>
            <w:shd w:val="clear" w:color="auto" w:fill="auto"/>
            <w:noWrap/>
            <w:vAlign w:val="bottom"/>
            <w:hideMark/>
          </w:tcPr>
          <w:p w:rsidR="007D13F3" w:rsidRPr="00877462" w:rsidRDefault="007D13F3" w:rsidP="00465CAC">
            <w:pPr>
              <w:jc w:val="center"/>
              <w:rPr>
                <w:rFonts w:ascii="Arial Narrow" w:hAnsi="Arial Narrow"/>
                <w:color w:val="000000"/>
                <w:sz w:val="20"/>
                <w:szCs w:val="20"/>
                <w:highlight w:val="yellow"/>
              </w:rPr>
            </w:pPr>
          </w:p>
        </w:tc>
        <w:tc>
          <w:tcPr>
            <w:tcW w:w="992" w:type="dxa"/>
            <w:tcBorders>
              <w:top w:val="nil"/>
              <w:left w:val="nil"/>
              <w:bottom w:val="nil"/>
              <w:right w:val="nil"/>
            </w:tcBorders>
            <w:shd w:val="clear" w:color="auto" w:fill="auto"/>
            <w:hideMark/>
          </w:tcPr>
          <w:p w:rsidR="007D13F3" w:rsidRPr="00877462" w:rsidRDefault="007D13F3" w:rsidP="00465CAC">
            <w:pPr>
              <w:jc w:val="right"/>
              <w:rPr>
                <w:rFonts w:ascii="Arial Narrow" w:hAnsi="Arial Narrow"/>
                <w:color w:val="000000"/>
                <w:sz w:val="20"/>
                <w:szCs w:val="20"/>
                <w:highlight w:val="yellow"/>
              </w:rPr>
            </w:pPr>
          </w:p>
        </w:tc>
        <w:tc>
          <w:tcPr>
            <w:tcW w:w="992" w:type="dxa"/>
            <w:tcBorders>
              <w:top w:val="nil"/>
              <w:left w:val="nil"/>
              <w:bottom w:val="nil"/>
              <w:right w:val="nil"/>
            </w:tcBorders>
            <w:shd w:val="clear" w:color="auto" w:fill="auto"/>
            <w:vAlign w:val="bottom"/>
            <w:hideMark/>
          </w:tcPr>
          <w:p w:rsidR="007D13F3" w:rsidRPr="00877462" w:rsidRDefault="007D13F3" w:rsidP="00465CAC">
            <w:pPr>
              <w:jc w:val="right"/>
              <w:rPr>
                <w:rFonts w:ascii="Arial Narrow" w:hAnsi="Arial Narrow"/>
                <w:color w:val="000000"/>
                <w:sz w:val="20"/>
                <w:szCs w:val="20"/>
                <w:highlight w:val="yellow"/>
              </w:rPr>
            </w:pPr>
          </w:p>
        </w:tc>
        <w:tc>
          <w:tcPr>
            <w:tcW w:w="1064" w:type="dxa"/>
            <w:tcBorders>
              <w:top w:val="nil"/>
              <w:left w:val="nil"/>
              <w:bottom w:val="nil"/>
              <w:right w:val="nil"/>
            </w:tcBorders>
            <w:shd w:val="clear" w:color="auto" w:fill="auto"/>
            <w:noWrap/>
            <w:vAlign w:val="bottom"/>
          </w:tcPr>
          <w:p w:rsidR="007D13F3" w:rsidRPr="00877462" w:rsidRDefault="007D13F3" w:rsidP="00465CAC">
            <w:pPr>
              <w:jc w:val="right"/>
              <w:rPr>
                <w:rFonts w:ascii="Arial Narrow" w:hAnsi="Arial Narrow"/>
                <w:color w:val="000000"/>
                <w:sz w:val="16"/>
                <w:szCs w:val="16"/>
                <w:highlight w:val="yellow"/>
              </w:rPr>
            </w:pPr>
          </w:p>
        </w:tc>
      </w:tr>
      <w:tr w:rsidR="007D13F3" w:rsidRPr="00877462" w:rsidTr="00A870F8">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D13F3" w:rsidRPr="008F2900" w:rsidRDefault="007D13F3" w:rsidP="00465CAC">
            <w:pPr>
              <w:rPr>
                <w:rFonts w:ascii="Times New Roman" w:hAnsi="Times New Roman" w:cs="Times New Roman"/>
                <w:b/>
                <w:bCs/>
                <w:color w:val="000000"/>
                <w:sz w:val="14"/>
                <w:szCs w:val="14"/>
              </w:rPr>
            </w:pPr>
            <w:r w:rsidRPr="008F2900">
              <w:rPr>
                <w:rFonts w:ascii="Times New Roman" w:hAnsi="Times New Roman" w:cs="Times New Roman"/>
                <w:b/>
                <w:bCs/>
                <w:color w:val="000000"/>
                <w:sz w:val="14"/>
                <w:szCs w:val="14"/>
              </w:rPr>
              <w:t> </w:t>
            </w:r>
            <w:r w:rsidR="00551C05">
              <w:rPr>
                <w:rFonts w:ascii="Times New Roman" w:hAnsi="Times New Roman" w:cs="Times New Roman"/>
                <w:b/>
                <w:sz w:val="14"/>
                <w:szCs w:val="14"/>
              </w:rPr>
              <w:t>v eurách</w:t>
            </w:r>
          </w:p>
        </w:tc>
        <w:tc>
          <w:tcPr>
            <w:tcW w:w="931"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2015 S</w:t>
            </w:r>
          </w:p>
        </w:tc>
        <w:tc>
          <w:tcPr>
            <w:tcW w:w="931" w:type="dxa"/>
            <w:gridSpan w:val="2"/>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3F49F3" w:rsidRDefault="007D13F3" w:rsidP="00465CAC">
            <w:pPr>
              <w:jc w:val="center"/>
              <w:rPr>
                <w:rFonts w:ascii="Times New Roman" w:hAnsi="Times New Roman" w:cs="Times New Roman"/>
                <w:b/>
                <w:bCs/>
                <w:color w:val="000000"/>
                <w:sz w:val="14"/>
                <w:szCs w:val="14"/>
                <w:highlight w:val="yellow"/>
              </w:rPr>
            </w:pPr>
            <w:r w:rsidRPr="003F49F3">
              <w:rPr>
                <w:rFonts w:ascii="Times New Roman" w:hAnsi="Times New Roman" w:cs="Times New Roman"/>
                <w:b/>
                <w:bCs/>
                <w:color w:val="000000"/>
                <w:sz w:val="14"/>
                <w:szCs w:val="14"/>
              </w:rPr>
              <w:t xml:space="preserve">2016 S </w:t>
            </w:r>
          </w:p>
        </w:tc>
        <w:tc>
          <w:tcPr>
            <w:tcW w:w="932" w:type="dxa"/>
            <w:gridSpan w:val="2"/>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2017 R</w:t>
            </w:r>
          </w:p>
        </w:tc>
        <w:tc>
          <w:tcPr>
            <w:tcW w:w="931" w:type="dxa"/>
            <w:gridSpan w:val="2"/>
            <w:tcBorders>
              <w:top w:val="single" w:sz="4" w:space="0" w:color="auto"/>
              <w:left w:val="nil"/>
              <w:bottom w:val="single" w:sz="4" w:space="0" w:color="auto"/>
              <w:right w:val="single" w:sz="4" w:space="0" w:color="auto"/>
            </w:tcBorders>
            <w:shd w:val="clear" w:color="auto" w:fill="A6A6A6" w:themeFill="background1" w:themeFillShade="A6"/>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932" w:type="dxa"/>
            <w:gridSpan w:val="2"/>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2018 N</w:t>
            </w:r>
          </w:p>
        </w:tc>
        <w:tc>
          <w:tcPr>
            <w:tcW w:w="931" w:type="dxa"/>
            <w:gridSpan w:val="2"/>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2019 N</w:t>
            </w:r>
          </w:p>
        </w:tc>
        <w:tc>
          <w:tcPr>
            <w:tcW w:w="932" w:type="dxa"/>
            <w:gridSpan w:val="2"/>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D13F3" w:rsidRPr="003F49F3" w:rsidRDefault="007D13F3" w:rsidP="00465CAC">
            <w:pPr>
              <w:jc w:val="center"/>
              <w:rPr>
                <w:rFonts w:ascii="Times New Roman" w:hAnsi="Times New Roman" w:cs="Times New Roman"/>
                <w:b/>
                <w:bCs/>
                <w:color w:val="000000"/>
                <w:sz w:val="14"/>
                <w:szCs w:val="14"/>
              </w:rPr>
            </w:pPr>
            <w:r w:rsidRPr="003F49F3">
              <w:rPr>
                <w:rFonts w:ascii="Times New Roman" w:hAnsi="Times New Roman" w:cs="Times New Roman"/>
                <w:b/>
                <w:bCs/>
                <w:color w:val="000000"/>
                <w:sz w:val="14"/>
                <w:szCs w:val="14"/>
              </w:rPr>
              <w:t>2020 N</w:t>
            </w:r>
          </w:p>
        </w:tc>
      </w:tr>
      <w:tr w:rsidR="007D13F3" w:rsidRPr="00877462" w:rsidTr="00A870F8">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7D13F3" w:rsidRPr="0080524C" w:rsidRDefault="007D13F3" w:rsidP="00A870F8">
            <w:pPr>
              <w:rPr>
                <w:rFonts w:ascii="Times New Roman" w:hAnsi="Times New Roman" w:cs="Times New Roman"/>
                <w:b/>
                <w:sz w:val="14"/>
                <w:szCs w:val="14"/>
              </w:rPr>
            </w:pPr>
            <w:r w:rsidRPr="0080524C">
              <w:rPr>
                <w:rFonts w:ascii="Times New Roman" w:hAnsi="Times New Roman" w:cs="Times New Roman"/>
                <w:b/>
                <w:sz w:val="14"/>
                <w:szCs w:val="14"/>
              </w:rPr>
              <w:t>2. programov</w:t>
            </w:r>
            <w:r w:rsidR="00A870F8">
              <w:rPr>
                <w:rFonts w:ascii="Times New Roman" w:hAnsi="Times New Roman" w:cs="Times New Roman"/>
                <w:b/>
                <w:sz w:val="14"/>
                <w:szCs w:val="14"/>
              </w:rPr>
              <w:t>é</w:t>
            </w:r>
            <w:r w:rsidRPr="0080524C">
              <w:rPr>
                <w:rFonts w:ascii="Times New Roman" w:hAnsi="Times New Roman" w:cs="Times New Roman"/>
                <w:b/>
                <w:sz w:val="14"/>
                <w:szCs w:val="14"/>
              </w:rPr>
              <w:t xml:space="preserve"> obdobie</w:t>
            </w:r>
          </w:p>
        </w:tc>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D13F3" w:rsidRPr="0080524C" w:rsidRDefault="007D13F3" w:rsidP="00465CAC">
            <w:pPr>
              <w:jc w:val="right"/>
              <w:rPr>
                <w:rFonts w:ascii="Times New Roman" w:hAnsi="Times New Roman" w:cs="Times New Roman"/>
                <w:b/>
                <w:sz w:val="14"/>
                <w:szCs w:val="14"/>
                <w:highlight w:val="yellow"/>
              </w:rPr>
            </w:pPr>
            <w:r w:rsidRPr="0080524C">
              <w:rPr>
                <w:rFonts w:ascii="Times New Roman" w:hAnsi="Times New Roman" w:cs="Times New Roman"/>
                <w:b/>
                <w:sz w:val="14"/>
                <w:szCs w:val="14"/>
              </w:rPr>
              <w:t>148 057 914</w:t>
            </w:r>
          </w:p>
        </w:tc>
        <w:tc>
          <w:tcPr>
            <w:tcW w:w="9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D13F3" w:rsidRPr="0080524C" w:rsidRDefault="007D13F3" w:rsidP="00465CAC">
            <w:pPr>
              <w:jc w:val="right"/>
              <w:rPr>
                <w:rFonts w:ascii="Times New Roman" w:hAnsi="Times New Roman" w:cs="Times New Roman"/>
                <w:b/>
                <w:sz w:val="14"/>
                <w:szCs w:val="14"/>
                <w:highlight w:val="yellow"/>
              </w:rPr>
            </w:pPr>
            <w:r w:rsidRPr="0080524C">
              <w:rPr>
                <w:rFonts w:ascii="Times New Roman" w:hAnsi="Times New Roman" w:cs="Times New Roman"/>
                <w:b/>
                <w:sz w:val="14"/>
                <w:szCs w:val="14"/>
              </w:rPr>
              <w:t>15 997 620</w:t>
            </w:r>
          </w:p>
        </w:tc>
        <w:tc>
          <w:tcPr>
            <w:tcW w:w="9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D13F3" w:rsidRPr="0080524C" w:rsidRDefault="007D13F3" w:rsidP="00465CAC">
            <w:pPr>
              <w:autoSpaceDE w:val="0"/>
              <w:autoSpaceDN w:val="0"/>
              <w:adjustRightInd w:val="0"/>
              <w:jc w:val="right"/>
              <w:rPr>
                <w:rFonts w:ascii="Times New Roman" w:hAnsi="Times New Roman" w:cs="Times New Roman"/>
                <w:b/>
                <w:sz w:val="14"/>
                <w:szCs w:val="14"/>
              </w:rPr>
            </w:pPr>
            <w:r w:rsidRPr="0080524C">
              <w:rPr>
                <w:rFonts w:ascii="Times New Roman" w:hAnsi="Times New Roman" w:cs="Times New Roman"/>
                <w:b/>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7D13F3" w:rsidRPr="0080524C" w:rsidRDefault="007D13F3" w:rsidP="00465CAC">
            <w:pPr>
              <w:autoSpaceDE w:val="0"/>
              <w:autoSpaceDN w:val="0"/>
              <w:adjustRightInd w:val="0"/>
              <w:jc w:val="right"/>
              <w:rPr>
                <w:rFonts w:ascii="Times New Roman" w:hAnsi="Times New Roman" w:cs="Times New Roman"/>
                <w:b/>
                <w:sz w:val="14"/>
                <w:szCs w:val="14"/>
                <w:highlight w:val="yellow"/>
              </w:rPr>
            </w:pPr>
            <w:r w:rsidRPr="0080524C">
              <w:rPr>
                <w:rFonts w:ascii="Times New Roman" w:hAnsi="Times New Roman" w:cs="Times New Roman"/>
                <w:b/>
                <w:sz w:val="14"/>
                <w:szCs w:val="14"/>
              </w:rPr>
              <w:t>9 859 639</w:t>
            </w:r>
          </w:p>
        </w:tc>
        <w:tc>
          <w:tcPr>
            <w:tcW w:w="932"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7D13F3" w:rsidRPr="0080524C" w:rsidRDefault="007D13F3" w:rsidP="00465CAC">
            <w:pPr>
              <w:jc w:val="right"/>
              <w:rPr>
                <w:rFonts w:ascii="Times New Roman" w:hAnsi="Times New Roman" w:cs="Times New Roman"/>
                <w:b/>
                <w:color w:val="000000"/>
                <w:sz w:val="14"/>
                <w:szCs w:val="14"/>
              </w:rPr>
            </w:pPr>
            <w:r w:rsidRPr="0080524C">
              <w:rPr>
                <w:rFonts w:ascii="Times New Roman" w:hAnsi="Times New Roman" w:cs="Times New Roman"/>
                <w:b/>
                <w:color w:val="000000"/>
                <w:sz w:val="14"/>
                <w:szCs w:val="14"/>
              </w:rPr>
              <w:t>0</w:t>
            </w:r>
          </w:p>
        </w:tc>
        <w:tc>
          <w:tcPr>
            <w:tcW w:w="931" w:type="dxa"/>
            <w:gridSpan w:val="2"/>
            <w:tcBorders>
              <w:top w:val="nil"/>
              <w:left w:val="nil"/>
              <w:bottom w:val="single" w:sz="4" w:space="0" w:color="auto"/>
              <w:right w:val="single" w:sz="4" w:space="0" w:color="auto"/>
            </w:tcBorders>
            <w:shd w:val="clear" w:color="auto" w:fill="BFBFBF" w:themeFill="background1" w:themeFillShade="BF"/>
            <w:vAlign w:val="bottom"/>
          </w:tcPr>
          <w:p w:rsidR="007D13F3" w:rsidRPr="0080524C" w:rsidRDefault="007D13F3" w:rsidP="00465CAC">
            <w:pPr>
              <w:jc w:val="right"/>
              <w:rPr>
                <w:rFonts w:ascii="Times New Roman" w:hAnsi="Times New Roman" w:cs="Times New Roman"/>
                <w:b/>
                <w:color w:val="000000"/>
                <w:sz w:val="14"/>
                <w:szCs w:val="14"/>
              </w:rPr>
            </w:pPr>
            <w:r w:rsidRPr="0080524C">
              <w:rPr>
                <w:rFonts w:ascii="Times New Roman" w:hAnsi="Times New Roman" w:cs="Times New Roman"/>
                <w:b/>
                <w:color w:val="000000"/>
                <w:sz w:val="14"/>
                <w:szCs w:val="14"/>
              </w:rPr>
              <w:t>0</w:t>
            </w:r>
          </w:p>
        </w:tc>
        <w:tc>
          <w:tcPr>
            <w:tcW w:w="932" w:type="dxa"/>
            <w:gridSpan w:val="2"/>
            <w:tcBorders>
              <w:top w:val="nil"/>
              <w:left w:val="nil"/>
              <w:bottom w:val="single" w:sz="4" w:space="0" w:color="auto"/>
              <w:right w:val="single" w:sz="4" w:space="0" w:color="auto"/>
            </w:tcBorders>
            <w:shd w:val="clear" w:color="auto" w:fill="BFBFBF" w:themeFill="background1" w:themeFillShade="BF"/>
            <w:vAlign w:val="bottom"/>
          </w:tcPr>
          <w:p w:rsidR="007D13F3" w:rsidRPr="0080524C" w:rsidRDefault="007D13F3" w:rsidP="00465CAC">
            <w:pPr>
              <w:jc w:val="right"/>
              <w:rPr>
                <w:rFonts w:ascii="Times New Roman" w:hAnsi="Times New Roman" w:cs="Times New Roman"/>
                <w:b/>
                <w:color w:val="000000"/>
                <w:sz w:val="14"/>
                <w:szCs w:val="14"/>
              </w:rPr>
            </w:pPr>
            <w:r w:rsidRPr="0080524C">
              <w:rPr>
                <w:rFonts w:ascii="Times New Roman" w:hAnsi="Times New Roman" w:cs="Times New Roman"/>
                <w:b/>
                <w:color w:val="000000"/>
                <w:sz w:val="14"/>
                <w:szCs w:val="14"/>
              </w:rPr>
              <w:t>0</w:t>
            </w:r>
          </w:p>
        </w:tc>
      </w:tr>
      <w:tr w:rsidR="007D13F3" w:rsidRPr="00877462" w:rsidTr="00465CAC">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rPr>
                <w:rFonts w:ascii="Times New Roman" w:hAnsi="Times New Roman" w:cs="Times New Roman"/>
                <w:b/>
                <w:sz w:val="14"/>
                <w:szCs w:val="14"/>
              </w:rPr>
            </w:pPr>
            <w:r w:rsidRPr="0080524C">
              <w:rPr>
                <w:rFonts w:ascii="Times New Roman" w:hAnsi="Times New Roman" w:cs="Times New Roman"/>
                <w:b/>
                <w:sz w:val="14"/>
                <w:szCs w:val="14"/>
              </w:rPr>
              <w:t>Európsky fond regionálneho rozvoja</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autoSpaceDE w:val="0"/>
              <w:autoSpaceDN w:val="0"/>
              <w:adjustRightInd w:val="0"/>
              <w:jc w:val="right"/>
              <w:rPr>
                <w:rFonts w:ascii="Times New Roman" w:hAnsi="Times New Roman" w:cs="Times New Roman"/>
                <w:sz w:val="14"/>
                <w:szCs w:val="14"/>
              </w:rPr>
            </w:pP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7D13F3" w:rsidRPr="0080524C" w:rsidRDefault="007D13F3" w:rsidP="00465CAC">
            <w:pPr>
              <w:autoSpaceDE w:val="0"/>
              <w:autoSpaceDN w:val="0"/>
              <w:adjustRightInd w:val="0"/>
              <w:jc w:val="right"/>
              <w:rPr>
                <w:rFonts w:ascii="Times New Roman" w:hAnsi="Times New Roman" w:cs="Times New Roman"/>
                <w:sz w:val="14"/>
                <w:szCs w:val="14"/>
                <w:highlight w:val="yellow"/>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r>
      <w:tr w:rsidR="007D13F3" w:rsidRPr="00877462" w:rsidTr="00465CAC">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sz w:val="14"/>
                <w:szCs w:val="14"/>
                <w:highlight w:val="yellow"/>
              </w:rPr>
            </w:pPr>
            <w:r w:rsidRPr="0080524C">
              <w:rPr>
                <w:rFonts w:ascii="Times New Roman" w:hAnsi="Times New Roman" w:cs="Times New Roman"/>
                <w:sz w:val="14"/>
                <w:szCs w:val="14"/>
              </w:rPr>
              <w:t>72 206 591</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sz w:val="14"/>
                <w:szCs w:val="14"/>
                <w:highlight w:val="yellow"/>
              </w:rPr>
            </w:pPr>
            <w:r w:rsidRPr="0080524C">
              <w:rPr>
                <w:rFonts w:ascii="Times New Roman" w:hAnsi="Times New Roman" w:cs="Times New Roman"/>
                <w:sz w:val="14"/>
                <w:szCs w:val="14"/>
              </w:rPr>
              <w:t>2 666 199</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autoSpaceDE w:val="0"/>
              <w:autoSpaceDN w:val="0"/>
              <w:adjustRightInd w:val="0"/>
              <w:jc w:val="right"/>
              <w:rPr>
                <w:rFonts w:ascii="Times New Roman" w:hAnsi="Times New Roman" w:cs="Times New Roman"/>
                <w:sz w:val="14"/>
                <w:szCs w:val="14"/>
              </w:rPr>
            </w:pPr>
            <w:r w:rsidRPr="0080524C">
              <w:rPr>
                <w:rFonts w:ascii="Times New Roman" w:hAnsi="Times New Roman" w:cs="Times New Roman"/>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7D13F3" w:rsidRPr="0080524C" w:rsidRDefault="007D13F3" w:rsidP="00465CAC">
            <w:pPr>
              <w:autoSpaceDE w:val="0"/>
              <w:autoSpaceDN w:val="0"/>
              <w:adjustRightInd w:val="0"/>
              <w:jc w:val="right"/>
              <w:rPr>
                <w:rFonts w:ascii="Times New Roman" w:hAnsi="Times New Roman" w:cs="Times New Roman"/>
                <w:sz w:val="14"/>
                <w:szCs w:val="14"/>
              </w:rPr>
            </w:pPr>
            <w:r w:rsidRPr="0080524C">
              <w:rPr>
                <w:rFonts w:ascii="Times New Roman" w:hAnsi="Times New Roman" w:cs="Times New Roman"/>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r>
      <w:tr w:rsidR="007D13F3" w:rsidRPr="00877462" w:rsidTr="00465CAC">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sz w:val="14"/>
                <w:szCs w:val="14"/>
                <w:highlight w:val="yellow"/>
              </w:rPr>
            </w:pPr>
            <w:r w:rsidRPr="0080524C">
              <w:rPr>
                <w:rFonts w:ascii="Times New Roman" w:hAnsi="Times New Roman" w:cs="Times New Roman"/>
                <w:sz w:val="14"/>
                <w:szCs w:val="14"/>
              </w:rPr>
              <w:t>21 338 488</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sz w:val="14"/>
                <w:szCs w:val="14"/>
                <w:highlight w:val="yellow"/>
              </w:rPr>
            </w:pPr>
            <w:r w:rsidRPr="0080524C">
              <w:rPr>
                <w:rFonts w:ascii="Times New Roman" w:hAnsi="Times New Roman" w:cs="Times New Roman"/>
                <w:sz w:val="14"/>
                <w:szCs w:val="14"/>
              </w:rPr>
              <w:t>458 656</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autoSpaceDE w:val="0"/>
              <w:autoSpaceDN w:val="0"/>
              <w:adjustRightInd w:val="0"/>
              <w:jc w:val="right"/>
              <w:rPr>
                <w:rFonts w:ascii="Times New Roman" w:hAnsi="Times New Roman" w:cs="Times New Roman"/>
                <w:sz w:val="14"/>
                <w:szCs w:val="14"/>
              </w:rPr>
            </w:pPr>
            <w:r w:rsidRPr="0080524C">
              <w:rPr>
                <w:rFonts w:ascii="Times New Roman" w:hAnsi="Times New Roman" w:cs="Times New Roman"/>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7D13F3" w:rsidRPr="0080524C" w:rsidRDefault="007D13F3" w:rsidP="00465CAC">
            <w:pPr>
              <w:autoSpaceDE w:val="0"/>
              <w:autoSpaceDN w:val="0"/>
              <w:adjustRightInd w:val="0"/>
              <w:jc w:val="right"/>
              <w:rPr>
                <w:rFonts w:ascii="Times New Roman" w:hAnsi="Times New Roman" w:cs="Times New Roman"/>
                <w:sz w:val="14"/>
                <w:szCs w:val="14"/>
              </w:rPr>
            </w:pPr>
            <w:r w:rsidRPr="0080524C">
              <w:rPr>
                <w:rFonts w:ascii="Times New Roman" w:hAnsi="Times New Roman" w:cs="Times New Roman"/>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r>
      <w:tr w:rsidR="007D13F3" w:rsidRPr="00877462" w:rsidTr="00465CAC">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rPr>
                <w:rFonts w:ascii="Times New Roman" w:hAnsi="Times New Roman" w:cs="Times New Roman"/>
                <w:b/>
                <w:sz w:val="14"/>
                <w:szCs w:val="14"/>
              </w:rPr>
            </w:pPr>
            <w:r w:rsidRPr="0080524C">
              <w:rPr>
                <w:rFonts w:ascii="Times New Roman" w:hAnsi="Times New Roman" w:cs="Times New Roman"/>
                <w:b/>
                <w:sz w:val="14"/>
                <w:szCs w:val="14"/>
              </w:rPr>
              <w:t>Európsky sociálny fond</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7D13F3" w:rsidRPr="0080524C" w:rsidRDefault="007D13F3" w:rsidP="00465CAC">
            <w:pPr>
              <w:jc w:val="right"/>
              <w:rPr>
                <w:rFonts w:ascii="Times New Roman" w:hAnsi="Times New Roman" w:cs="Times New Roman"/>
                <w:color w:val="000000"/>
                <w:sz w:val="14"/>
                <w:szCs w:val="14"/>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p>
        </w:tc>
        <w:tc>
          <w:tcPr>
            <w:tcW w:w="931"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p>
        </w:tc>
        <w:tc>
          <w:tcPr>
            <w:tcW w:w="932"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p>
        </w:tc>
      </w:tr>
      <w:tr w:rsidR="007D13F3" w:rsidRPr="00877462" w:rsidTr="00465CAC">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2 194 458</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474 881</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r>
      <w:tr w:rsidR="007D13F3" w:rsidRPr="00877462" w:rsidTr="00465CAC">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336 278</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183 214</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r>
      <w:tr w:rsidR="007D13F3" w:rsidRPr="00877462" w:rsidTr="00465CAC">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rPr>
                <w:rFonts w:ascii="Times New Roman" w:hAnsi="Times New Roman" w:cs="Times New Roman"/>
                <w:b/>
                <w:sz w:val="14"/>
                <w:szCs w:val="14"/>
              </w:rPr>
            </w:pPr>
            <w:r w:rsidRPr="0080524C">
              <w:rPr>
                <w:rFonts w:ascii="Times New Roman" w:hAnsi="Times New Roman" w:cs="Times New Roman"/>
                <w:b/>
                <w:sz w:val="14"/>
                <w:szCs w:val="14"/>
              </w:rPr>
              <w:t>Kohézny fond</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7D13F3" w:rsidRPr="0080524C" w:rsidRDefault="007D13F3" w:rsidP="00465CAC">
            <w:pPr>
              <w:jc w:val="right"/>
              <w:rPr>
                <w:rFonts w:ascii="Times New Roman" w:hAnsi="Times New Roman" w:cs="Times New Roman"/>
                <w:color w:val="000000"/>
                <w:sz w:val="14"/>
                <w:szCs w:val="14"/>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p>
        </w:tc>
        <w:tc>
          <w:tcPr>
            <w:tcW w:w="931"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p>
        </w:tc>
        <w:tc>
          <w:tcPr>
            <w:tcW w:w="932"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p>
        </w:tc>
      </w:tr>
      <w:tr w:rsidR="007D13F3" w:rsidRPr="00877462" w:rsidTr="00465CAC">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44 184 784</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r>
      <w:tr w:rsidR="007D13F3" w:rsidRPr="00877462" w:rsidTr="00465CAC">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7 797 315</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12 214 670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9 859 639</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r>
      <w:tr w:rsidR="007D13F3" w:rsidRPr="00877462" w:rsidTr="00A870F8">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7D13F3" w:rsidRPr="0080524C" w:rsidRDefault="007D13F3" w:rsidP="00A870F8">
            <w:pPr>
              <w:rPr>
                <w:rFonts w:ascii="Times New Roman" w:hAnsi="Times New Roman" w:cs="Times New Roman"/>
                <w:b/>
                <w:sz w:val="14"/>
                <w:szCs w:val="14"/>
              </w:rPr>
            </w:pPr>
            <w:r w:rsidRPr="0080524C">
              <w:rPr>
                <w:rFonts w:ascii="Times New Roman" w:hAnsi="Times New Roman" w:cs="Times New Roman"/>
                <w:b/>
                <w:sz w:val="14"/>
                <w:szCs w:val="14"/>
              </w:rPr>
              <w:t>3. programov</w:t>
            </w:r>
            <w:r w:rsidR="00A870F8">
              <w:rPr>
                <w:rFonts w:ascii="Times New Roman" w:hAnsi="Times New Roman" w:cs="Times New Roman"/>
                <w:b/>
                <w:sz w:val="14"/>
                <w:szCs w:val="14"/>
              </w:rPr>
              <w:t>é</w:t>
            </w:r>
            <w:r w:rsidRPr="0080524C">
              <w:rPr>
                <w:rFonts w:ascii="Times New Roman" w:hAnsi="Times New Roman" w:cs="Times New Roman"/>
                <w:b/>
                <w:sz w:val="14"/>
                <w:szCs w:val="14"/>
              </w:rPr>
              <w:t xml:space="preserve"> obdobie</w:t>
            </w:r>
          </w:p>
        </w:tc>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D13F3" w:rsidRPr="0080524C" w:rsidRDefault="007D13F3" w:rsidP="00465CAC">
            <w:pPr>
              <w:jc w:val="right"/>
              <w:rPr>
                <w:rFonts w:ascii="Times New Roman" w:hAnsi="Times New Roman" w:cs="Times New Roman"/>
                <w:b/>
                <w:color w:val="000000"/>
                <w:sz w:val="14"/>
                <w:szCs w:val="14"/>
                <w:highlight w:val="yellow"/>
              </w:rPr>
            </w:pPr>
            <w:r w:rsidRPr="0080524C">
              <w:rPr>
                <w:rFonts w:ascii="Times New Roman" w:hAnsi="Times New Roman" w:cs="Times New Roman"/>
                <w:b/>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D13F3" w:rsidRPr="0080524C" w:rsidRDefault="007D13F3" w:rsidP="00465CAC">
            <w:pPr>
              <w:jc w:val="right"/>
              <w:rPr>
                <w:rFonts w:ascii="Times New Roman" w:hAnsi="Times New Roman" w:cs="Times New Roman"/>
                <w:b/>
                <w:color w:val="000000"/>
                <w:sz w:val="14"/>
                <w:szCs w:val="14"/>
                <w:highlight w:val="yellow"/>
              </w:rPr>
            </w:pPr>
            <w:r w:rsidRPr="0080524C">
              <w:rPr>
                <w:rFonts w:ascii="Times New Roman" w:hAnsi="Times New Roman" w:cs="Times New Roman"/>
                <w:b/>
                <w:color w:val="000000"/>
                <w:sz w:val="14"/>
                <w:szCs w:val="14"/>
              </w:rPr>
              <w:t>5 291 503</w:t>
            </w:r>
          </w:p>
        </w:tc>
        <w:tc>
          <w:tcPr>
            <w:tcW w:w="932"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7D13F3" w:rsidRPr="0080524C" w:rsidRDefault="007D13F3" w:rsidP="00465CAC">
            <w:pPr>
              <w:jc w:val="right"/>
              <w:rPr>
                <w:rFonts w:ascii="Times New Roman" w:hAnsi="Times New Roman" w:cs="Times New Roman"/>
                <w:b/>
                <w:color w:val="000000"/>
                <w:sz w:val="14"/>
                <w:szCs w:val="14"/>
              </w:rPr>
            </w:pPr>
            <w:r w:rsidRPr="0080524C">
              <w:rPr>
                <w:rFonts w:ascii="Times New Roman" w:hAnsi="Times New Roman" w:cs="Times New Roman"/>
                <w:b/>
                <w:color w:val="000000"/>
                <w:sz w:val="14"/>
                <w:szCs w:val="14"/>
              </w:rPr>
              <w:t>60 590 495</w:t>
            </w:r>
          </w:p>
        </w:tc>
        <w:tc>
          <w:tcPr>
            <w:tcW w:w="931"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7D13F3" w:rsidRPr="00CE445B" w:rsidRDefault="007D13F3" w:rsidP="00465CAC">
            <w:pPr>
              <w:jc w:val="right"/>
              <w:rPr>
                <w:rFonts w:ascii="Times New Roman" w:hAnsi="Times New Roman" w:cs="Times New Roman"/>
                <w:b/>
                <w:color w:val="000000"/>
                <w:sz w:val="14"/>
                <w:szCs w:val="14"/>
                <w:highlight w:val="yellow"/>
              </w:rPr>
            </w:pPr>
            <w:r w:rsidRPr="00025EFD">
              <w:rPr>
                <w:rFonts w:ascii="Times New Roman" w:hAnsi="Times New Roman" w:cs="Times New Roman"/>
                <w:b/>
                <w:color w:val="000000"/>
                <w:sz w:val="14"/>
                <w:szCs w:val="14"/>
              </w:rPr>
              <w:t>194</w:t>
            </w:r>
            <w:r>
              <w:rPr>
                <w:rFonts w:ascii="Times New Roman" w:hAnsi="Times New Roman" w:cs="Times New Roman"/>
                <w:b/>
                <w:color w:val="000000"/>
                <w:sz w:val="14"/>
                <w:szCs w:val="14"/>
              </w:rPr>
              <w:t> 012 679</w:t>
            </w:r>
          </w:p>
        </w:tc>
        <w:tc>
          <w:tcPr>
            <w:tcW w:w="932"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7D13F3" w:rsidRPr="0080524C" w:rsidRDefault="007D13F3" w:rsidP="00465CAC">
            <w:pPr>
              <w:jc w:val="right"/>
              <w:rPr>
                <w:rFonts w:ascii="Times New Roman" w:hAnsi="Times New Roman" w:cs="Times New Roman"/>
                <w:b/>
                <w:color w:val="000000"/>
                <w:sz w:val="14"/>
                <w:szCs w:val="14"/>
                <w:highlight w:val="yellow"/>
              </w:rPr>
            </w:pPr>
            <w:r w:rsidRPr="002B32D7">
              <w:rPr>
                <w:rFonts w:ascii="Times New Roman" w:hAnsi="Times New Roman" w:cs="Times New Roman"/>
                <w:b/>
                <w:color w:val="000000"/>
                <w:sz w:val="14"/>
                <w:szCs w:val="14"/>
              </w:rPr>
              <w:t>30 540 038</w:t>
            </w:r>
          </w:p>
        </w:tc>
        <w:tc>
          <w:tcPr>
            <w:tcW w:w="931" w:type="dxa"/>
            <w:gridSpan w:val="2"/>
            <w:tcBorders>
              <w:top w:val="nil"/>
              <w:left w:val="nil"/>
              <w:bottom w:val="single" w:sz="4" w:space="0" w:color="auto"/>
              <w:right w:val="single" w:sz="4" w:space="0" w:color="auto"/>
            </w:tcBorders>
            <w:shd w:val="clear" w:color="auto" w:fill="BFBFBF" w:themeFill="background1" w:themeFillShade="BF"/>
            <w:vAlign w:val="bottom"/>
          </w:tcPr>
          <w:p w:rsidR="007D13F3" w:rsidRPr="0080524C" w:rsidRDefault="007D13F3" w:rsidP="00465CAC">
            <w:pPr>
              <w:jc w:val="right"/>
              <w:rPr>
                <w:rFonts w:ascii="Times New Roman" w:hAnsi="Times New Roman" w:cs="Times New Roman"/>
                <w:b/>
                <w:color w:val="000000"/>
                <w:sz w:val="14"/>
                <w:szCs w:val="14"/>
                <w:highlight w:val="yellow"/>
              </w:rPr>
            </w:pPr>
            <w:r w:rsidRPr="0080524C">
              <w:rPr>
                <w:rFonts w:ascii="Times New Roman" w:hAnsi="Times New Roman" w:cs="Times New Roman"/>
                <w:b/>
                <w:color w:val="000000"/>
                <w:sz w:val="14"/>
                <w:szCs w:val="14"/>
              </w:rPr>
              <w:t>114 371 730</w:t>
            </w:r>
          </w:p>
        </w:tc>
        <w:tc>
          <w:tcPr>
            <w:tcW w:w="932" w:type="dxa"/>
            <w:gridSpan w:val="2"/>
            <w:tcBorders>
              <w:top w:val="nil"/>
              <w:left w:val="nil"/>
              <w:bottom w:val="single" w:sz="4" w:space="0" w:color="auto"/>
              <w:right w:val="single" w:sz="4" w:space="0" w:color="auto"/>
            </w:tcBorders>
            <w:shd w:val="clear" w:color="auto" w:fill="BFBFBF" w:themeFill="background1" w:themeFillShade="BF"/>
            <w:vAlign w:val="bottom"/>
          </w:tcPr>
          <w:p w:rsidR="007D13F3" w:rsidRPr="0080524C" w:rsidRDefault="007D13F3" w:rsidP="00465CAC">
            <w:pPr>
              <w:jc w:val="right"/>
              <w:rPr>
                <w:rFonts w:ascii="Times New Roman" w:hAnsi="Times New Roman" w:cs="Times New Roman"/>
                <w:b/>
                <w:color w:val="000000"/>
                <w:sz w:val="14"/>
                <w:szCs w:val="14"/>
                <w:highlight w:val="yellow"/>
              </w:rPr>
            </w:pPr>
            <w:r w:rsidRPr="0080524C">
              <w:rPr>
                <w:rFonts w:ascii="Times New Roman" w:hAnsi="Times New Roman" w:cs="Times New Roman"/>
                <w:b/>
                <w:color w:val="000000"/>
                <w:sz w:val="14"/>
                <w:szCs w:val="14"/>
              </w:rPr>
              <w:t>137 096 414</w:t>
            </w:r>
          </w:p>
        </w:tc>
      </w:tr>
      <w:tr w:rsidR="007D13F3" w:rsidRPr="00877462" w:rsidTr="00465CAC">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Efektívna verejná správa</w:t>
            </w:r>
          </w:p>
        </w:tc>
        <w:tc>
          <w:tcPr>
            <w:tcW w:w="931" w:type="dxa"/>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highlight w:val="yellow"/>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7D13F3" w:rsidRPr="00CE445B" w:rsidRDefault="007D13F3" w:rsidP="00465CAC">
            <w:pPr>
              <w:jc w:val="right"/>
              <w:rPr>
                <w:rFonts w:ascii="Times New Roman" w:hAnsi="Times New Roman" w:cs="Times New Roman"/>
                <w:color w:val="000000"/>
                <w:sz w:val="14"/>
                <w:szCs w:val="14"/>
                <w:highlight w:val="yellow"/>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p>
        </w:tc>
        <w:tc>
          <w:tcPr>
            <w:tcW w:w="931"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p>
        </w:tc>
        <w:tc>
          <w:tcPr>
            <w:tcW w:w="932"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p>
        </w:tc>
      </w:tr>
      <w:tr w:rsidR="007D13F3" w:rsidRPr="00877462" w:rsidTr="00465CAC">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31 048 270</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7D13F3" w:rsidRPr="00CE445B" w:rsidRDefault="007D13F3" w:rsidP="00465CAC">
            <w:pPr>
              <w:jc w:val="right"/>
              <w:rPr>
                <w:rFonts w:ascii="Times New Roman" w:hAnsi="Times New Roman" w:cs="Times New Roman"/>
                <w:color w:val="000000"/>
                <w:sz w:val="14"/>
                <w:szCs w:val="14"/>
                <w:highlight w:val="yellow"/>
              </w:rPr>
            </w:pPr>
            <w:r w:rsidRPr="006433E0">
              <w:rPr>
                <w:rFonts w:ascii="Times New Roman" w:hAnsi="Times New Roman" w:cs="Times New Roman"/>
                <w:color w:val="000000"/>
                <w:sz w:val="14"/>
                <w:szCs w:val="14"/>
              </w:rPr>
              <w:t>76 160 335</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19 202 143</w:t>
            </w:r>
          </w:p>
        </w:tc>
        <w:tc>
          <w:tcPr>
            <w:tcW w:w="932"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42 342 440</w:t>
            </w:r>
          </w:p>
        </w:tc>
      </w:tr>
      <w:tr w:rsidR="007D13F3" w:rsidRPr="00877462" w:rsidTr="00465CAC">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6 347 585</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7D13F3" w:rsidRPr="00CE445B" w:rsidRDefault="007D13F3" w:rsidP="00465CAC">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15 502 279</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3 927 215</w:t>
            </w:r>
          </w:p>
        </w:tc>
        <w:tc>
          <w:tcPr>
            <w:tcW w:w="932"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8 657 560</w:t>
            </w:r>
          </w:p>
        </w:tc>
      </w:tr>
      <w:tr w:rsidR="007D13F3" w:rsidRPr="00877462" w:rsidTr="00465CAC">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Technická pomoc</w:t>
            </w:r>
          </w:p>
        </w:tc>
        <w:tc>
          <w:tcPr>
            <w:tcW w:w="931" w:type="dxa"/>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7D13F3" w:rsidRPr="00CE445B" w:rsidRDefault="007D13F3" w:rsidP="00465CAC">
            <w:pPr>
              <w:jc w:val="right"/>
              <w:rPr>
                <w:rFonts w:ascii="Times New Roman" w:hAnsi="Times New Roman" w:cs="Times New Roman"/>
                <w:color w:val="000000"/>
                <w:sz w:val="14"/>
                <w:szCs w:val="14"/>
                <w:highlight w:val="yellow"/>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p>
        </w:tc>
        <w:tc>
          <w:tcPr>
            <w:tcW w:w="931"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p>
        </w:tc>
        <w:tc>
          <w:tcPr>
            <w:tcW w:w="932"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p>
        </w:tc>
      </w:tr>
      <w:tr w:rsidR="007D13F3" w:rsidRPr="00877462" w:rsidTr="00465CAC">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1 575 832</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1 173 544</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7D13F3" w:rsidRPr="00CE445B" w:rsidRDefault="007D13F3" w:rsidP="00465CAC">
            <w:pPr>
              <w:jc w:val="right"/>
              <w:rPr>
                <w:rFonts w:ascii="Times New Roman" w:hAnsi="Times New Roman" w:cs="Times New Roman"/>
                <w:color w:val="000000"/>
                <w:sz w:val="14"/>
                <w:szCs w:val="14"/>
                <w:highlight w:val="yellow"/>
              </w:rPr>
            </w:pPr>
            <w:r w:rsidRPr="006433E0">
              <w:rPr>
                <w:rFonts w:ascii="Times New Roman" w:hAnsi="Times New Roman" w:cs="Times New Roman"/>
                <w:color w:val="000000"/>
                <w:sz w:val="14"/>
                <w:szCs w:val="14"/>
              </w:rPr>
              <w:t>2 663 424</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2 075 516</w:t>
            </w:r>
          </w:p>
        </w:tc>
        <w:tc>
          <w:tcPr>
            <w:tcW w:w="932"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2 956 733</w:t>
            </w:r>
          </w:p>
        </w:tc>
      </w:tr>
      <w:tr w:rsidR="007D13F3" w:rsidRPr="00877462" w:rsidTr="00465CAC">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bCs/>
                <w:sz w:val="14"/>
                <w:szCs w:val="14"/>
              </w:rPr>
            </w:pPr>
            <w:r w:rsidRPr="0080524C">
              <w:rPr>
                <w:rFonts w:ascii="Times New Roman" w:hAnsi="Times New Roman" w:cs="Times New Roman"/>
                <w:bCs/>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bCs/>
                <w:sz w:val="14"/>
                <w:szCs w:val="14"/>
              </w:rPr>
            </w:pPr>
            <w:r w:rsidRPr="0080524C">
              <w:rPr>
                <w:rFonts w:ascii="Times New Roman" w:hAnsi="Times New Roman" w:cs="Times New Roman"/>
                <w:bCs/>
                <w:sz w:val="14"/>
                <w:szCs w:val="14"/>
              </w:rPr>
              <w:t>322 872</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autoSpaceDE w:val="0"/>
              <w:autoSpaceDN w:val="0"/>
              <w:adjustRightInd w:val="0"/>
              <w:jc w:val="right"/>
              <w:rPr>
                <w:rFonts w:ascii="Times New Roman" w:hAnsi="Times New Roman" w:cs="Times New Roman"/>
                <w:sz w:val="14"/>
                <w:szCs w:val="14"/>
              </w:rPr>
            </w:pPr>
            <w:r w:rsidRPr="0080524C">
              <w:rPr>
                <w:rFonts w:ascii="Times New Roman" w:hAnsi="Times New Roman" w:cs="Times New Roman"/>
                <w:sz w:val="14"/>
                <w:szCs w:val="14"/>
              </w:rPr>
              <w:t>240 440</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7D13F3" w:rsidRPr="00CE445B" w:rsidRDefault="007D13F3" w:rsidP="00465CAC">
            <w:pPr>
              <w:autoSpaceDE w:val="0"/>
              <w:autoSpaceDN w:val="0"/>
              <w:adjustRightInd w:val="0"/>
              <w:jc w:val="right"/>
              <w:rPr>
                <w:rFonts w:ascii="Times New Roman" w:hAnsi="Times New Roman" w:cs="Times New Roman"/>
                <w:sz w:val="14"/>
                <w:szCs w:val="14"/>
                <w:highlight w:val="yellow"/>
              </w:rPr>
            </w:pPr>
            <w:r w:rsidRPr="006433E0">
              <w:rPr>
                <w:rFonts w:ascii="Times New Roman" w:hAnsi="Times New Roman" w:cs="Times New Roman"/>
                <w:sz w:val="14"/>
                <w:szCs w:val="14"/>
              </w:rPr>
              <w:t>545 698</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7D13F3" w:rsidRPr="0080524C" w:rsidRDefault="007D13F3" w:rsidP="00465CAC">
            <w:pPr>
              <w:autoSpaceDE w:val="0"/>
              <w:autoSpaceDN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autoSpaceDE w:val="0"/>
              <w:autoSpaceDN w:val="0"/>
              <w:adjustRightInd w:val="0"/>
              <w:jc w:val="right"/>
              <w:rPr>
                <w:rFonts w:ascii="Times New Roman" w:hAnsi="Times New Roman" w:cs="Times New Roman"/>
                <w:sz w:val="14"/>
                <w:szCs w:val="14"/>
                <w:highlight w:val="yellow"/>
              </w:rPr>
            </w:pPr>
            <w:r w:rsidRPr="0080524C">
              <w:rPr>
                <w:rFonts w:ascii="Times New Roman" w:hAnsi="Times New Roman" w:cs="Times New Roman"/>
                <w:sz w:val="14"/>
                <w:szCs w:val="14"/>
              </w:rPr>
              <w:t>424 484</w:t>
            </w:r>
          </w:p>
        </w:tc>
        <w:tc>
          <w:tcPr>
            <w:tcW w:w="932" w:type="dxa"/>
            <w:gridSpan w:val="2"/>
            <w:tcBorders>
              <w:top w:val="nil"/>
              <w:left w:val="nil"/>
              <w:bottom w:val="single" w:sz="4" w:space="0" w:color="auto"/>
              <w:right w:val="single" w:sz="4" w:space="0" w:color="auto"/>
            </w:tcBorders>
            <w:shd w:val="clear" w:color="auto" w:fill="auto"/>
            <w:vAlign w:val="bottom"/>
          </w:tcPr>
          <w:p w:rsidR="007D13F3" w:rsidRPr="0080524C" w:rsidRDefault="007D13F3" w:rsidP="00465CAC">
            <w:pPr>
              <w:autoSpaceDE w:val="0"/>
              <w:autoSpaceDN w:val="0"/>
              <w:adjustRightInd w:val="0"/>
              <w:jc w:val="right"/>
              <w:rPr>
                <w:rFonts w:ascii="Times New Roman" w:hAnsi="Times New Roman" w:cs="Times New Roman"/>
                <w:sz w:val="14"/>
                <w:szCs w:val="14"/>
                <w:highlight w:val="yellow"/>
              </w:rPr>
            </w:pPr>
            <w:r w:rsidRPr="0080524C">
              <w:rPr>
                <w:rFonts w:ascii="Times New Roman" w:hAnsi="Times New Roman" w:cs="Times New Roman"/>
                <w:sz w:val="14"/>
                <w:szCs w:val="14"/>
              </w:rPr>
              <w:t>604 549</w:t>
            </w:r>
          </w:p>
        </w:tc>
      </w:tr>
      <w:tr w:rsidR="007D13F3" w:rsidRPr="00877462" w:rsidTr="00465CAC">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Kvalita životného prostredia</w:t>
            </w:r>
          </w:p>
        </w:tc>
        <w:tc>
          <w:tcPr>
            <w:tcW w:w="931" w:type="dxa"/>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13F3" w:rsidRPr="00CE445B" w:rsidRDefault="007D13F3" w:rsidP="00465CAC">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p>
        </w:tc>
      </w:tr>
      <w:tr w:rsidR="007D13F3" w:rsidRPr="00877462" w:rsidTr="00465CAC">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13F3" w:rsidRPr="00CE445B" w:rsidRDefault="007D13F3" w:rsidP="00465CAC">
            <w:pPr>
              <w:jc w:val="right"/>
              <w:rPr>
                <w:rFonts w:ascii="Times New Roman" w:hAnsi="Times New Roman" w:cs="Times New Roman"/>
                <w:color w:val="000000"/>
                <w:sz w:val="14"/>
                <w:szCs w:val="14"/>
                <w:highlight w:val="yellow"/>
              </w:rPr>
            </w:pPr>
            <w:r w:rsidRPr="006433E0">
              <w:rPr>
                <w:rFonts w:ascii="Times New Roman" w:hAnsi="Times New Roman" w:cs="Times New Roman"/>
                <w:color w:val="000000"/>
                <w:sz w:val="14"/>
                <w:szCs w:val="14"/>
              </w:rPr>
              <w:t>146 162</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r>
      <w:tr w:rsidR="007D13F3" w:rsidRPr="00877462" w:rsidTr="00465CAC">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13F3" w:rsidRPr="00CE445B" w:rsidRDefault="007D13F3" w:rsidP="00465CAC">
            <w:pPr>
              <w:jc w:val="right"/>
              <w:rPr>
                <w:rFonts w:ascii="Times New Roman" w:hAnsi="Times New Roman" w:cs="Times New Roman"/>
                <w:color w:val="000000"/>
                <w:sz w:val="14"/>
                <w:szCs w:val="14"/>
                <w:highlight w:val="yellow"/>
              </w:rPr>
            </w:pPr>
            <w:r w:rsidRPr="006433E0">
              <w:rPr>
                <w:rFonts w:ascii="Times New Roman" w:hAnsi="Times New Roman" w:cs="Times New Roman"/>
                <w:color w:val="000000"/>
                <w:sz w:val="14"/>
                <w:szCs w:val="14"/>
              </w:rPr>
              <w:t>33 313</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r>
      <w:tr w:rsidR="007D13F3" w:rsidRPr="00877462" w:rsidTr="00465CAC">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Ľudské zdroje</w:t>
            </w:r>
          </w:p>
        </w:tc>
        <w:tc>
          <w:tcPr>
            <w:tcW w:w="931" w:type="dxa"/>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13F3" w:rsidRPr="00CE445B" w:rsidRDefault="007D13F3" w:rsidP="00465CAC">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p>
        </w:tc>
      </w:tr>
      <w:tr w:rsidR="007D13F3" w:rsidRPr="00877462" w:rsidTr="00465CAC">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2 883 879</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18 513 558</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13F3" w:rsidRPr="00CE445B" w:rsidRDefault="007D13F3" w:rsidP="00465CAC">
            <w:pPr>
              <w:jc w:val="right"/>
              <w:rPr>
                <w:rFonts w:ascii="Times New Roman" w:hAnsi="Times New Roman" w:cs="Times New Roman"/>
                <w:color w:val="000000"/>
                <w:sz w:val="14"/>
                <w:szCs w:val="14"/>
                <w:highlight w:val="yellow"/>
              </w:rPr>
            </w:pPr>
            <w:r w:rsidRPr="00E43A7F">
              <w:rPr>
                <w:rFonts w:ascii="Times New Roman" w:hAnsi="Times New Roman" w:cs="Times New Roman"/>
                <w:color w:val="000000"/>
                <w:sz w:val="14"/>
                <w:szCs w:val="14"/>
              </w:rPr>
              <w:t>81 363 247</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EC70A5">
              <w:rPr>
                <w:rFonts w:ascii="Times New Roman" w:hAnsi="Times New Roman" w:cs="Times New Roman"/>
                <w:color w:val="000000"/>
                <w:sz w:val="14"/>
                <w:szCs w:val="14"/>
              </w:rPr>
              <w:t>28 832 292</w:t>
            </w: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78 146 393</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72 943 922</w:t>
            </w:r>
          </w:p>
        </w:tc>
      </w:tr>
      <w:tr w:rsidR="007D13F3" w:rsidRPr="00877462" w:rsidTr="00465CAC">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508 920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sidRPr="0080524C">
              <w:rPr>
                <w:rFonts w:ascii="Times New Roman" w:hAnsi="Times New Roman" w:cs="Times New Roman"/>
                <w:color w:val="000000"/>
                <w:sz w:val="14"/>
                <w:szCs w:val="14"/>
              </w:rPr>
              <w:t>3 267 098</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13F3" w:rsidRPr="00CE445B" w:rsidRDefault="007D13F3" w:rsidP="00465CAC">
            <w:pPr>
              <w:jc w:val="right"/>
              <w:rPr>
                <w:rFonts w:ascii="Times New Roman" w:hAnsi="Times New Roman" w:cs="Times New Roman"/>
                <w:color w:val="000000"/>
                <w:sz w:val="14"/>
                <w:szCs w:val="14"/>
                <w:highlight w:val="yellow"/>
              </w:rPr>
            </w:pPr>
            <w:r w:rsidRPr="00E43A7F">
              <w:rPr>
                <w:rFonts w:ascii="Times New Roman" w:hAnsi="Times New Roman" w:cs="Times New Roman"/>
                <w:color w:val="000000"/>
                <w:sz w:val="14"/>
                <w:szCs w:val="14"/>
              </w:rPr>
              <w:t>14 358 220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EC70A5">
              <w:rPr>
                <w:rFonts w:ascii="Times New Roman" w:hAnsi="Times New Roman" w:cs="Times New Roman"/>
                <w:color w:val="000000"/>
                <w:sz w:val="14"/>
                <w:szCs w:val="14"/>
              </w:rPr>
              <w:t>1 707 746</w:t>
            </w: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10 595 979</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highlight w:val="yellow"/>
              </w:rPr>
            </w:pPr>
            <w:r w:rsidRPr="0080524C">
              <w:rPr>
                <w:rFonts w:ascii="Times New Roman" w:hAnsi="Times New Roman" w:cs="Times New Roman"/>
                <w:color w:val="000000"/>
                <w:sz w:val="14"/>
                <w:szCs w:val="14"/>
              </w:rPr>
              <w:t>9 591 210</w:t>
            </w:r>
          </w:p>
        </w:tc>
      </w:tr>
      <w:tr w:rsidR="007D13F3" w:rsidRPr="00877462" w:rsidTr="00465CAC">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80524C" w:rsidRDefault="007D13F3" w:rsidP="00465CAC">
            <w:pPr>
              <w:rPr>
                <w:rFonts w:ascii="Times New Roman" w:hAnsi="Times New Roman" w:cs="Times New Roman"/>
                <w:sz w:val="14"/>
                <w:szCs w:val="14"/>
              </w:rPr>
            </w:pPr>
            <w:r w:rsidRPr="00492E7A">
              <w:rPr>
                <w:rFonts w:ascii="Times New Roman" w:hAnsi="Times New Roman" w:cs="Times New Roman"/>
                <w:sz w:val="14"/>
                <w:szCs w:val="14"/>
              </w:rPr>
              <w:t>Informačná spoločnosť 2014 - 2020</w:t>
            </w:r>
          </w:p>
        </w:tc>
        <w:tc>
          <w:tcPr>
            <w:tcW w:w="931" w:type="dxa"/>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13F3" w:rsidRPr="00E43A7F" w:rsidRDefault="007D13F3" w:rsidP="00465CAC">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p>
        </w:tc>
      </w:tr>
      <w:tr w:rsidR="007D13F3" w:rsidRPr="00877462" w:rsidTr="00465CAC">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7D13F3" w:rsidRPr="0080524C"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13F3" w:rsidRPr="00E43A7F"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2 439 494</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7D13F3" w:rsidRPr="00877462" w:rsidTr="00465CAC">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80524C" w:rsidRDefault="007D13F3" w:rsidP="00465CAC">
            <w:pPr>
              <w:rPr>
                <w:rFonts w:ascii="Times New Roman" w:hAnsi="Times New Roman" w:cs="Times New Roman"/>
                <w:sz w:val="14"/>
                <w:szCs w:val="14"/>
              </w:rPr>
            </w:pPr>
            <w:r w:rsidRPr="0080524C">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vAlign w:val="bottom"/>
          </w:tcPr>
          <w:p w:rsidR="007D13F3"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7D13F3"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13F3" w:rsidRPr="00E43A7F"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800 507</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7D13F3" w:rsidRPr="0080524C"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bl>
    <w:p w:rsidR="007D13F3" w:rsidRDefault="007D13F3" w:rsidP="007D13F3">
      <w:pPr>
        <w:ind w:firstLine="708"/>
        <w:jc w:val="both"/>
        <w:rPr>
          <w:rFonts w:ascii="Times New Roman" w:hAnsi="Times New Roman" w:cs="Times New Roman"/>
        </w:rPr>
      </w:pPr>
    </w:p>
    <w:p w:rsidR="007D13F3" w:rsidRPr="00223107" w:rsidRDefault="007D13F3" w:rsidP="007D13F3">
      <w:pPr>
        <w:ind w:firstLine="708"/>
        <w:jc w:val="both"/>
        <w:rPr>
          <w:rFonts w:ascii="Times New Roman" w:hAnsi="Times New Roman" w:cs="Times New Roman"/>
        </w:rPr>
      </w:pPr>
      <w:r w:rsidRPr="00EE56ED">
        <w:rPr>
          <w:rFonts w:ascii="Times New Roman" w:hAnsi="Times New Roman" w:cs="Times New Roman"/>
        </w:rPr>
        <w:t xml:space="preserve">V rámci medzirezortného programu Ľudské zdroje bol vytvorený podprogram OP Ľudské zdroje, na ktorý sa rozpočtujú prostriedky EÚ a spolufinancovania v sume </w:t>
      </w:r>
      <w:r w:rsidR="003274D5">
        <w:rPr>
          <w:rFonts w:ascii="Times New Roman" w:hAnsi="Times New Roman" w:cs="Times New Roman"/>
        </w:rPr>
        <w:br/>
      </w:r>
      <w:r>
        <w:rPr>
          <w:rFonts w:ascii="Times New Roman" w:hAnsi="Times New Roman" w:cs="Times New Roman"/>
        </w:rPr>
        <w:t>30</w:t>
      </w:r>
      <w:r w:rsidRPr="00EE56ED">
        <w:rPr>
          <w:rFonts w:ascii="Times New Roman" w:hAnsi="Times New Roman" w:cs="Times New Roman"/>
        </w:rPr>
        <w:t>,</w:t>
      </w:r>
      <w:r>
        <w:rPr>
          <w:rFonts w:ascii="Times New Roman" w:hAnsi="Times New Roman" w:cs="Times New Roman"/>
        </w:rPr>
        <w:t>5</w:t>
      </w:r>
      <w:r w:rsidRPr="00EE56ED">
        <w:rPr>
          <w:rFonts w:ascii="Times New Roman" w:hAnsi="Times New Roman" w:cs="Times New Roman"/>
        </w:rPr>
        <w:t xml:space="preserve"> mil. eur, z toho spolufinancovanie je vo výške </w:t>
      </w:r>
      <w:r>
        <w:rPr>
          <w:rFonts w:ascii="Times New Roman" w:hAnsi="Times New Roman" w:cs="Times New Roman"/>
        </w:rPr>
        <w:t>1</w:t>
      </w:r>
      <w:r w:rsidRPr="00EE56ED">
        <w:rPr>
          <w:rFonts w:ascii="Times New Roman" w:hAnsi="Times New Roman" w:cs="Times New Roman"/>
        </w:rPr>
        <w:t>,</w:t>
      </w:r>
      <w:r>
        <w:rPr>
          <w:rFonts w:ascii="Times New Roman" w:hAnsi="Times New Roman" w:cs="Times New Roman"/>
        </w:rPr>
        <w:t>71</w:t>
      </w:r>
      <w:r w:rsidRPr="00EE56ED">
        <w:rPr>
          <w:rFonts w:ascii="Times New Roman" w:hAnsi="Times New Roman" w:cs="Times New Roman"/>
        </w:rPr>
        <w:t xml:space="preserve"> mil. eur.</w:t>
      </w:r>
      <w:r>
        <w:br w:type="page"/>
      </w:r>
    </w:p>
    <w:p w:rsidR="007D13F3" w:rsidRPr="00280FF4" w:rsidRDefault="007D13F3" w:rsidP="007D13F3">
      <w:pPr>
        <w:pStyle w:val="Nadpis5"/>
        <w:pBdr>
          <w:bottom w:val="single" w:sz="4" w:space="1" w:color="auto"/>
        </w:pBdr>
        <w:ind w:left="0"/>
        <w:rPr>
          <w:i w:val="0"/>
          <w:sz w:val="24"/>
          <w:szCs w:val="24"/>
        </w:rPr>
      </w:pPr>
      <w:bookmarkStart w:id="58" w:name="_Toc409685246"/>
      <w:bookmarkStart w:id="59" w:name="_Toc494470091"/>
      <w:bookmarkStart w:id="60" w:name="_Toc494472267"/>
      <w:r w:rsidRPr="00280FF4">
        <w:rPr>
          <w:i w:val="0"/>
          <w:sz w:val="24"/>
          <w:szCs w:val="24"/>
        </w:rPr>
        <w:lastRenderedPageBreak/>
        <w:t>Ministerstvo práce, sociálnych vecí a rodiny SR</w:t>
      </w:r>
      <w:bookmarkEnd w:id="58"/>
      <w:bookmarkEnd w:id="59"/>
      <w:bookmarkEnd w:id="60"/>
      <w:r w:rsidRPr="00280FF4">
        <w:rPr>
          <w:i w:val="0"/>
          <w:sz w:val="24"/>
          <w:szCs w:val="24"/>
        </w:rPr>
        <w:t xml:space="preserve"> </w:t>
      </w:r>
    </w:p>
    <w:p w:rsidR="007D13F3" w:rsidRPr="00223107" w:rsidRDefault="007D13F3" w:rsidP="007D13F3">
      <w:pPr>
        <w:contextualSpacing/>
        <w:jc w:val="both"/>
        <w:rPr>
          <w:rFonts w:ascii="Times New Roman" w:hAnsi="Times New Roman" w:cs="Times New Roman"/>
          <w:b/>
          <w:sz w:val="18"/>
          <w:szCs w:val="18"/>
          <w:lang w:eastAsia="sk-SK"/>
        </w:rPr>
      </w:pPr>
    </w:p>
    <w:p w:rsidR="007D13F3" w:rsidRDefault="007D13F3" w:rsidP="007D13F3">
      <w:pPr>
        <w:contextualSpacing/>
        <w:jc w:val="both"/>
        <w:rPr>
          <w:rFonts w:ascii="Times New Roman" w:hAnsi="Times New Roman" w:cs="Times New Roman"/>
          <w:b/>
          <w:lang w:eastAsia="sk-SK"/>
        </w:rPr>
      </w:pPr>
      <w:r w:rsidRPr="003F457E">
        <w:rPr>
          <w:rFonts w:ascii="Times New Roman" w:hAnsi="Times New Roman" w:cs="Times New Roman"/>
          <w:b/>
          <w:lang w:eastAsia="sk-SK"/>
        </w:rPr>
        <w:t>Ciele a</w:t>
      </w:r>
      <w:r>
        <w:rPr>
          <w:rFonts w:ascii="Times New Roman" w:hAnsi="Times New Roman" w:cs="Times New Roman"/>
          <w:b/>
          <w:lang w:eastAsia="sk-SK"/>
        </w:rPr>
        <w:t> </w:t>
      </w:r>
      <w:r w:rsidRPr="003F457E">
        <w:rPr>
          <w:rFonts w:ascii="Times New Roman" w:hAnsi="Times New Roman" w:cs="Times New Roman"/>
          <w:b/>
          <w:lang w:eastAsia="sk-SK"/>
        </w:rPr>
        <w:t>výdavky</w:t>
      </w:r>
    </w:p>
    <w:p w:rsidR="007D13F3" w:rsidRPr="00223107" w:rsidRDefault="007D13F3" w:rsidP="007D13F3">
      <w:pPr>
        <w:contextualSpacing/>
        <w:jc w:val="both"/>
        <w:rPr>
          <w:rFonts w:ascii="Times New Roman" w:hAnsi="Times New Roman" w:cs="Times New Roman"/>
          <w:b/>
          <w:sz w:val="20"/>
          <w:szCs w:val="20"/>
        </w:rPr>
      </w:pPr>
    </w:p>
    <w:p w:rsidR="007D13F3" w:rsidRDefault="007D13F3" w:rsidP="007D13F3">
      <w:pPr>
        <w:ind w:firstLine="708"/>
        <w:jc w:val="both"/>
        <w:rPr>
          <w:rFonts w:ascii="Times New Roman" w:hAnsi="Times New Roman" w:cs="Times New Roman"/>
          <w:lang w:eastAsia="sk-SK"/>
        </w:rPr>
      </w:pPr>
      <w:r w:rsidRPr="003F457E">
        <w:rPr>
          <w:rFonts w:ascii="Times New Roman" w:hAnsi="Times New Roman" w:cs="Times New Roman"/>
          <w:lang w:eastAsia="sk-SK"/>
        </w:rPr>
        <w:t>Hlavným cieľom politík Ministerstva práce, sociálnych vecí a rodiny SR</w:t>
      </w:r>
      <w:r>
        <w:rPr>
          <w:rFonts w:ascii="Times New Roman" w:hAnsi="Times New Roman" w:cs="Times New Roman"/>
          <w:lang w:eastAsia="sk-SK"/>
        </w:rPr>
        <w:t xml:space="preserve"> (ďalej len </w:t>
      </w:r>
      <w:r>
        <w:rPr>
          <w:rFonts w:ascii="Times New Roman" w:hAnsi="Times New Roman" w:cs="Times New Roman"/>
          <w:lang w:eastAsia="sk-SK"/>
        </w:rPr>
        <w:br/>
        <w:t>„</w:t>
      </w:r>
      <w:r w:rsidRPr="00D26052">
        <w:rPr>
          <w:rFonts w:ascii="Times New Roman" w:hAnsi="Times New Roman" w:cs="Times New Roman"/>
          <w:lang w:eastAsia="sk-SK"/>
        </w:rPr>
        <w:t>MPSVR SR</w:t>
      </w:r>
      <w:r>
        <w:rPr>
          <w:rFonts w:ascii="Times New Roman" w:hAnsi="Times New Roman" w:cs="Times New Roman"/>
          <w:lang w:eastAsia="sk-SK"/>
        </w:rPr>
        <w:t>“)</w:t>
      </w:r>
      <w:r w:rsidRPr="003F457E">
        <w:rPr>
          <w:rFonts w:ascii="Times New Roman" w:hAnsi="Times New Roman" w:cs="Times New Roman"/>
          <w:lang w:eastAsia="sk-SK"/>
        </w:rPr>
        <w:t xml:space="preserve"> je zvyšovanie zamestnanosti a znižovanie podielu osôb ohrozených chudobou. V miere zamestnanosti dosahuje Slovensko dobré výsledky, pričom cieľ 72 % zamestnanosti by mal byť pri súčasnom vývoji dosiahnutý v roku 2018. Slovensku sa darí znižovať mieru rizika chudoby, pričom dosahuje lepšie výsledky ako priemer Európskej únie. </w:t>
      </w:r>
    </w:p>
    <w:p w:rsidR="007D13F3" w:rsidRPr="00223107" w:rsidRDefault="007D13F3" w:rsidP="007D13F3">
      <w:pPr>
        <w:ind w:firstLine="708"/>
        <w:jc w:val="both"/>
        <w:rPr>
          <w:rFonts w:ascii="Times New Roman" w:hAnsi="Times New Roman" w:cs="Times New Roman"/>
          <w:sz w:val="16"/>
          <w:szCs w:val="16"/>
          <w:lang w:eastAsia="sk-SK"/>
        </w:rPr>
      </w:pPr>
    </w:p>
    <w:tbl>
      <w:tblPr>
        <w:tblpPr w:leftFromText="141" w:rightFromText="141" w:vertAnchor="text" w:horzAnchor="margin" w:tblpXSpec="center" w:tblpY="19"/>
        <w:tblOverlap w:val="never"/>
        <w:tblW w:w="503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559"/>
        <w:gridCol w:w="146"/>
        <w:gridCol w:w="4490"/>
      </w:tblGrid>
      <w:tr w:rsidR="007D13F3" w:rsidRPr="00191349" w:rsidTr="00465CAC">
        <w:trPr>
          <w:trHeight w:val="170"/>
        </w:trPr>
        <w:tc>
          <w:tcPr>
            <w:tcW w:w="2492" w:type="pct"/>
            <w:tcBorders>
              <w:top w:val="nil"/>
              <w:left w:val="nil"/>
              <w:bottom w:val="single" w:sz="4" w:space="0" w:color="auto"/>
              <w:right w:val="nil"/>
            </w:tcBorders>
            <w:shd w:val="clear" w:color="auto" w:fill="auto"/>
            <w:vAlign w:val="bottom"/>
          </w:tcPr>
          <w:p w:rsidR="007D13F3" w:rsidRPr="00F30F1A" w:rsidRDefault="007D13F3" w:rsidP="00465CAC">
            <w:pPr>
              <w:jc w:val="both"/>
              <w:rPr>
                <w:rFonts w:ascii="Times New Roman" w:eastAsia="Calibri" w:hAnsi="Times New Roman" w:cs="Times New Roman"/>
                <w:b/>
                <w:sz w:val="20"/>
                <w:szCs w:val="20"/>
              </w:rPr>
            </w:pPr>
            <w:bookmarkStart w:id="61" w:name="_Toc488075675"/>
            <w:r w:rsidRPr="00F30F1A">
              <w:rPr>
                <w:rFonts w:ascii="Times New Roman" w:eastAsia="Calibri" w:hAnsi="Times New Roman" w:cs="Times New Roman"/>
                <w:b/>
                <w:iCs/>
                <w:sz w:val="20"/>
                <w:szCs w:val="20"/>
              </w:rPr>
              <w:t>Graf: Miera zamestnanosti (% v skupine 20-64 rokov)</w:t>
            </w:r>
            <w:bookmarkEnd w:id="61"/>
          </w:p>
        </w:tc>
        <w:tc>
          <w:tcPr>
            <w:tcW w:w="79" w:type="pct"/>
            <w:tcBorders>
              <w:top w:val="nil"/>
              <w:left w:val="nil"/>
              <w:bottom w:val="nil"/>
              <w:right w:val="nil"/>
            </w:tcBorders>
            <w:shd w:val="clear" w:color="auto" w:fill="auto"/>
            <w:vAlign w:val="center"/>
          </w:tcPr>
          <w:p w:rsidR="007D13F3" w:rsidRPr="00F30F1A" w:rsidRDefault="007D13F3" w:rsidP="00465CAC">
            <w:pPr>
              <w:jc w:val="both"/>
              <w:rPr>
                <w:rFonts w:ascii="Times New Roman" w:eastAsia="Calibri" w:hAnsi="Times New Roman" w:cs="Times New Roman"/>
                <w:b/>
                <w:sz w:val="20"/>
                <w:szCs w:val="20"/>
              </w:rPr>
            </w:pPr>
          </w:p>
        </w:tc>
        <w:tc>
          <w:tcPr>
            <w:tcW w:w="2429" w:type="pct"/>
            <w:tcBorders>
              <w:top w:val="nil"/>
              <w:left w:val="nil"/>
              <w:bottom w:val="single" w:sz="4" w:space="0" w:color="auto"/>
              <w:right w:val="nil"/>
            </w:tcBorders>
            <w:shd w:val="clear" w:color="auto" w:fill="auto"/>
            <w:vAlign w:val="center"/>
          </w:tcPr>
          <w:p w:rsidR="007D13F3" w:rsidRPr="00F30F1A" w:rsidRDefault="007D13F3" w:rsidP="00465CAC">
            <w:pPr>
              <w:jc w:val="both"/>
              <w:rPr>
                <w:rFonts w:ascii="Times New Roman" w:eastAsia="Calibri" w:hAnsi="Times New Roman" w:cs="Times New Roman"/>
                <w:b/>
                <w:color w:val="000000"/>
                <w:sz w:val="20"/>
                <w:szCs w:val="20"/>
              </w:rPr>
            </w:pPr>
            <w:bookmarkStart w:id="62" w:name="_Toc488075676"/>
            <w:r w:rsidRPr="00F30F1A">
              <w:rPr>
                <w:rFonts w:ascii="Times New Roman" w:eastAsia="Calibri" w:hAnsi="Times New Roman" w:cs="Times New Roman"/>
                <w:b/>
                <w:iCs/>
                <w:sz w:val="20"/>
                <w:szCs w:val="20"/>
              </w:rPr>
              <w:t>Graf</w:t>
            </w:r>
            <w:r w:rsidRPr="00F30F1A">
              <w:rPr>
                <w:rFonts w:ascii="Times New Roman" w:eastAsia="Arial" w:hAnsi="Times New Roman" w:cs="Times New Roman"/>
                <w:b/>
                <w:iCs/>
                <w:color w:val="000000"/>
                <w:sz w:val="20"/>
                <w:szCs w:val="20"/>
                <w:lang w:eastAsia="fr-FR" w:bidi="fr-FR"/>
              </w:rPr>
              <w:t>:</w:t>
            </w:r>
            <w:r w:rsidRPr="00F30F1A">
              <w:rPr>
                <w:rFonts w:ascii="Times New Roman" w:eastAsia="Calibri" w:hAnsi="Times New Roman" w:cs="Times New Roman"/>
                <w:sz w:val="20"/>
                <w:szCs w:val="20"/>
              </w:rPr>
              <w:t xml:space="preserve"> </w:t>
            </w:r>
            <w:r w:rsidRPr="00F30F1A">
              <w:rPr>
                <w:rFonts w:ascii="Times New Roman" w:hAnsi="Times New Roman" w:cs="Times New Roman"/>
                <w:b/>
                <w:iCs/>
                <w:sz w:val="20"/>
                <w:szCs w:val="20"/>
                <w:lang w:eastAsia="sk-SK"/>
              </w:rPr>
              <w:t>Miera rizika chudoby po sociálnych transferoch (%)</w:t>
            </w:r>
            <w:bookmarkEnd w:id="62"/>
          </w:p>
        </w:tc>
      </w:tr>
      <w:tr w:rsidR="007D13F3" w:rsidRPr="00191349" w:rsidTr="00465CAC">
        <w:trPr>
          <w:trHeight w:val="170"/>
        </w:trPr>
        <w:tc>
          <w:tcPr>
            <w:tcW w:w="2492" w:type="pct"/>
            <w:tcBorders>
              <w:top w:val="single" w:sz="4" w:space="0" w:color="auto"/>
              <w:left w:val="nil"/>
              <w:bottom w:val="single" w:sz="4" w:space="0" w:color="auto"/>
              <w:right w:val="nil"/>
            </w:tcBorders>
            <w:vAlign w:val="center"/>
          </w:tcPr>
          <w:p w:rsidR="007D13F3" w:rsidRPr="00191349" w:rsidRDefault="007D13F3" w:rsidP="00465CAC">
            <w:pPr>
              <w:jc w:val="center"/>
              <w:rPr>
                <w:rFonts w:eastAsia="Calibri" w:cs="Arial"/>
                <w:b/>
                <w:szCs w:val="20"/>
              </w:rPr>
            </w:pPr>
            <w:r w:rsidRPr="00191349">
              <w:rPr>
                <w:rFonts w:eastAsia="Calibri" w:cs="Times New Roman"/>
                <w:noProof/>
                <w:szCs w:val="20"/>
                <w:lang w:eastAsia="sk-SK"/>
              </w:rPr>
              <w:drawing>
                <wp:inline distT="0" distB="0" distL="0" distR="0" wp14:anchorId="693D7E2E" wp14:editId="771E97BB">
                  <wp:extent cx="2806065" cy="175260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79" w:type="pct"/>
            <w:tcBorders>
              <w:top w:val="nil"/>
              <w:left w:val="nil"/>
              <w:bottom w:val="nil"/>
              <w:right w:val="nil"/>
            </w:tcBorders>
            <w:vAlign w:val="center"/>
          </w:tcPr>
          <w:p w:rsidR="007D13F3" w:rsidRPr="00191349" w:rsidRDefault="007D13F3" w:rsidP="00465CAC">
            <w:pPr>
              <w:spacing w:before="40" w:after="40"/>
              <w:jc w:val="both"/>
              <w:rPr>
                <w:rFonts w:eastAsia="Calibri" w:cs="Arial"/>
                <w:b/>
                <w:szCs w:val="20"/>
              </w:rPr>
            </w:pPr>
          </w:p>
        </w:tc>
        <w:tc>
          <w:tcPr>
            <w:tcW w:w="2429" w:type="pct"/>
            <w:tcBorders>
              <w:top w:val="single" w:sz="4" w:space="0" w:color="auto"/>
              <w:left w:val="nil"/>
              <w:bottom w:val="single" w:sz="4" w:space="0" w:color="auto"/>
              <w:right w:val="nil"/>
            </w:tcBorders>
            <w:vAlign w:val="center"/>
          </w:tcPr>
          <w:p w:rsidR="007D13F3" w:rsidRPr="00191349" w:rsidRDefault="007D13F3" w:rsidP="00465CAC">
            <w:pPr>
              <w:jc w:val="both"/>
              <w:rPr>
                <w:rFonts w:eastAsia="Calibri" w:cs="Arial"/>
                <w:szCs w:val="20"/>
              </w:rPr>
            </w:pPr>
            <w:r>
              <w:rPr>
                <w:noProof/>
                <w:lang w:eastAsia="sk-SK"/>
              </w:rPr>
              <w:drawing>
                <wp:inline distT="0" distB="0" distL="0" distR="0" wp14:anchorId="6BAFC5C9" wp14:editId="51439CBD">
                  <wp:extent cx="2758699" cy="2045777"/>
                  <wp:effectExtent l="0" t="0" r="3810" b="12065"/>
                  <wp:docPr id="224" name="Graf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D13F3" w:rsidRPr="00191349" w:rsidTr="00465CAC">
        <w:trPr>
          <w:trHeight w:val="170"/>
        </w:trPr>
        <w:tc>
          <w:tcPr>
            <w:tcW w:w="2492" w:type="pct"/>
            <w:tcBorders>
              <w:top w:val="single" w:sz="4" w:space="0" w:color="auto"/>
              <w:left w:val="nil"/>
              <w:bottom w:val="nil"/>
              <w:right w:val="nil"/>
            </w:tcBorders>
          </w:tcPr>
          <w:p w:rsidR="007D13F3" w:rsidRPr="00A6654F" w:rsidRDefault="007D13F3" w:rsidP="00465CAC">
            <w:pPr>
              <w:spacing w:before="40" w:after="40"/>
              <w:contextualSpacing/>
              <w:jc w:val="right"/>
              <w:rPr>
                <w:rFonts w:ascii="Times New Roman" w:eastAsia="Calibri" w:hAnsi="Times New Roman" w:cs="Times New Roman"/>
                <w:i/>
                <w:sz w:val="18"/>
                <w:szCs w:val="18"/>
              </w:rPr>
            </w:pPr>
            <w:r w:rsidRPr="00A6654F">
              <w:rPr>
                <w:rFonts w:ascii="Times New Roman" w:eastAsia="Calibri" w:hAnsi="Times New Roman" w:cs="Times New Roman"/>
                <w:bCs/>
                <w:i/>
                <w:sz w:val="18"/>
                <w:szCs w:val="18"/>
                <w:lang w:eastAsia="zh-TW"/>
              </w:rPr>
              <w:t xml:space="preserve">Zdroj: </w:t>
            </w:r>
            <w:proofErr w:type="spellStart"/>
            <w:r w:rsidRPr="00A6654F">
              <w:rPr>
                <w:rFonts w:ascii="Times New Roman" w:eastAsia="Calibri" w:hAnsi="Times New Roman" w:cs="Times New Roman"/>
                <w:bCs/>
                <w:i/>
                <w:sz w:val="18"/>
                <w:szCs w:val="18"/>
                <w:lang w:eastAsia="zh-TW"/>
              </w:rPr>
              <w:t>Eurostat</w:t>
            </w:r>
            <w:proofErr w:type="spellEnd"/>
            <w:r w:rsidRPr="00A6654F">
              <w:rPr>
                <w:rFonts w:ascii="Times New Roman" w:eastAsia="Calibri" w:hAnsi="Times New Roman" w:cs="Times New Roman"/>
                <w:bCs/>
                <w:i/>
                <w:sz w:val="18"/>
                <w:szCs w:val="18"/>
                <w:lang w:eastAsia="zh-TW"/>
              </w:rPr>
              <w:t>, MPSVR SR</w:t>
            </w:r>
          </w:p>
        </w:tc>
        <w:tc>
          <w:tcPr>
            <w:tcW w:w="79" w:type="pct"/>
            <w:tcBorders>
              <w:top w:val="nil"/>
              <w:left w:val="nil"/>
              <w:bottom w:val="nil"/>
              <w:right w:val="nil"/>
            </w:tcBorders>
          </w:tcPr>
          <w:p w:rsidR="007D13F3" w:rsidRPr="00A6654F" w:rsidRDefault="007D13F3" w:rsidP="00465CAC">
            <w:pPr>
              <w:spacing w:after="160"/>
              <w:contextualSpacing/>
              <w:jc w:val="center"/>
              <w:rPr>
                <w:rFonts w:ascii="Times New Roman" w:eastAsia="Calibri" w:hAnsi="Times New Roman" w:cs="Times New Roman"/>
                <w:i/>
                <w:sz w:val="16"/>
                <w:szCs w:val="14"/>
              </w:rPr>
            </w:pPr>
          </w:p>
        </w:tc>
        <w:tc>
          <w:tcPr>
            <w:tcW w:w="2429" w:type="pct"/>
            <w:tcBorders>
              <w:top w:val="single" w:sz="4" w:space="0" w:color="auto"/>
              <w:left w:val="nil"/>
              <w:bottom w:val="nil"/>
              <w:right w:val="nil"/>
            </w:tcBorders>
          </w:tcPr>
          <w:p w:rsidR="007D13F3" w:rsidRPr="00A6654F" w:rsidRDefault="007D13F3" w:rsidP="00465CAC">
            <w:pPr>
              <w:tabs>
                <w:tab w:val="left" w:pos="213"/>
                <w:tab w:val="right" w:pos="4305"/>
              </w:tabs>
              <w:spacing w:before="40" w:after="40"/>
              <w:contextualSpacing/>
              <w:jc w:val="right"/>
              <w:rPr>
                <w:rFonts w:ascii="Times New Roman" w:eastAsia="Calibri" w:hAnsi="Times New Roman" w:cs="Times New Roman"/>
                <w:i/>
                <w:sz w:val="16"/>
                <w:szCs w:val="14"/>
              </w:rPr>
            </w:pPr>
            <w:r w:rsidRPr="00A6654F">
              <w:rPr>
                <w:rFonts w:ascii="Times New Roman" w:eastAsia="Calibri" w:hAnsi="Times New Roman" w:cs="Times New Roman"/>
                <w:bCs/>
                <w:i/>
                <w:sz w:val="18"/>
                <w:szCs w:val="20"/>
                <w:lang w:eastAsia="zh-TW"/>
              </w:rPr>
              <w:tab/>
              <w:t xml:space="preserve">Zdroj: </w:t>
            </w:r>
            <w:proofErr w:type="spellStart"/>
            <w:r w:rsidRPr="00A6654F">
              <w:rPr>
                <w:rFonts w:ascii="Times New Roman" w:eastAsia="Calibri" w:hAnsi="Times New Roman" w:cs="Times New Roman"/>
                <w:bCs/>
                <w:i/>
                <w:sz w:val="18"/>
                <w:szCs w:val="18"/>
                <w:lang w:eastAsia="zh-TW"/>
              </w:rPr>
              <w:t>Euroslat</w:t>
            </w:r>
            <w:proofErr w:type="spellEnd"/>
          </w:p>
        </w:tc>
      </w:tr>
    </w:tbl>
    <w:p w:rsidR="007D13F3" w:rsidRPr="00223107" w:rsidRDefault="007D13F3" w:rsidP="007D13F3">
      <w:pPr>
        <w:rPr>
          <w:rFonts w:ascii="Times New Roman" w:hAnsi="Times New Roman" w:cs="Times New Roman"/>
          <w:sz w:val="16"/>
          <w:szCs w:val="16"/>
          <w:lang w:eastAsia="sk-SK"/>
        </w:rPr>
      </w:pPr>
    </w:p>
    <w:p w:rsidR="007D13F3" w:rsidRPr="003F457E" w:rsidRDefault="007D13F3" w:rsidP="007D13F3">
      <w:pPr>
        <w:ind w:firstLine="708"/>
        <w:jc w:val="both"/>
        <w:rPr>
          <w:rFonts w:ascii="Times New Roman" w:hAnsi="Times New Roman" w:cs="Times New Roman"/>
          <w:lang w:eastAsia="sk-SK"/>
        </w:rPr>
      </w:pPr>
      <w:r w:rsidRPr="002C5EA2">
        <w:rPr>
          <w:rFonts w:ascii="Times New Roman" w:hAnsi="Times New Roman" w:cs="Times New Roman"/>
          <w:lang w:eastAsia="sk-SK"/>
        </w:rPr>
        <w:t xml:space="preserve">V roku 2018 dosiahnu výdavky MPSVR SR </w:t>
      </w:r>
      <w:r w:rsidRPr="009B1DD2">
        <w:rPr>
          <w:rFonts w:ascii="Times New Roman" w:hAnsi="Times New Roman" w:cs="Times New Roman"/>
          <w:lang w:eastAsia="sk-SK"/>
        </w:rPr>
        <w:t>2,34</w:t>
      </w:r>
      <w:r w:rsidRPr="002C5EA2">
        <w:rPr>
          <w:rFonts w:ascii="Times New Roman" w:hAnsi="Times New Roman" w:cs="Times New Roman"/>
          <w:lang w:eastAsia="sk-SK"/>
        </w:rPr>
        <w:t xml:space="preserve"> mld. eur, čo predstavuje asi </w:t>
      </w:r>
      <w:r>
        <w:rPr>
          <w:rFonts w:ascii="Times New Roman" w:hAnsi="Times New Roman" w:cs="Times New Roman"/>
          <w:lang w:eastAsia="sk-SK"/>
        </w:rPr>
        <w:t xml:space="preserve">2,6 </w:t>
      </w:r>
      <w:r w:rsidRPr="002C5EA2">
        <w:rPr>
          <w:rFonts w:ascii="Times New Roman" w:hAnsi="Times New Roman" w:cs="Times New Roman"/>
          <w:lang w:eastAsia="sk-SK"/>
        </w:rPr>
        <w:t>% HDP a</w:t>
      </w:r>
      <w:r>
        <w:rPr>
          <w:rFonts w:ascii="Times New Roman" w:hAnsi="Times New Roman" w:cs="Times New Roman"/>
          <w:lang w:eastAsia="sk-SK"/>
        </w:rPr>
        <w:t> 6,6</w:t>
      </w:r>
      <w:r w:rsidRPr="002C5EA2">
        <w:rPr>
          <w:rFonts w:ascii="Times New Roman" w:hAnsi="Times New Roman" w:cs="Times New Roman"/>
          <w:lang w:eastAsia="sk-SK"/>
        </w:rPr>
        <w:t xml:space="preserve"> % výdavkov rozpočtu verejnej správy. Tri výdavkovo najväčšie programy sa zameriavajú na sociálnu inklúziu (hlavne podpora rodiny, pomoc v hmotnej núdzi a kompenzácia ŤZP), aktívne opatrenia trhu práce a prevádzkové výdavky.</w:t>
      </w:r>
      <w:r w:rsidRPr="00311080">
        <w:rPr>
          <w:rFonts w:ascii="Times New Roman" w:hAnsi="Times New Roman" w:cs="Times New Roman"/>
          <w:lang w:eastAsia="sk-SK"/>
        </w:rPr>
        <w:t xml:space="preserve"> </w:t>
      </w:r>
    </w:p>
    <w:p w:rsidR="007D13F3" w:rsidRPr="00D26052" w:rsidRDefault="007D13F3" w:rsidP="007D13F3">
      <w:pPr>
        <w:jc w:val="right"/>
        <w:rPr>
          <w:rFonts w:ascii="Arial Narrow" w:hAnsi="Arial Narrow" w:cs="Times New Roman"/>
          <w:sz w:val="16"/>
          <w:szCs w:val="16"/>
          <w:lang w:eastAsia="sk-SK"/>
        </w:rPr>
      </w:pPr>
    </w:p>
    <w:tbl>
      <w:tblPr>
        <w:tblW w:w="9166" w:type="dxa"/>
        <w:tblCellMar>
          <w:left w:w="70" w:type="dxa"/>
          <w:right w:w="70" w:type="dxa"/>
        </w:tblCellMar>
        <w:tblLook w:val="04A0" w:firstRow="1" w:lastRow="0" w:firstColumn="1" w:lastColumn="0" w:noHBand="0" w:noVBand="1"/>
      </w:tblPr>
      <w:tblGrid>
        <w:gridCol w:w="2467"/>
        <w:gridCol w:w="957"/>
        <w:gridCol w:w="957"/>
        <w:gridCol w:w="957"/>
        <w:gridCol w:w="957"/>
        <w:gridCol w:w="957"/>
        <w:gridCol w:w="957"/>
        <w:gridCol w:w="957"/>
      </w:tblGrid>
      <w:tr w:rsidR="007D13F3" w:rsidRPr="00D26052" w:rsidTr="00465CA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D26052">
              <w:rPr>
                <w:rFonts w:ascii="Times New Roman" w:hAnsi="Times New Roman" w:cs="Times New Roman"/>
                <w:b/>
                <w:bCs/>
                <w:color w:val="000000"/>
                <w:sz w:val="14"/>
                <w:szCs w:val="14"/>
                <w:lang w:eastAsia="sk-SK"/>
              </w:rPr>
              <w:t xml:space="preserve"> S</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R</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OS</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N</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Zdroje príslušnej kapitoly</w:t>
            </w:r>
            <w:r>
              <w:rPr>
                <w:rFonts w:ascii="Times New Roman" w:hAnsi="Times New Roman" w:cs="Times New Roman"/>
                <w:b/>
                <w:bCs/>
                <w:color w:val="000000"/>
                <w:sz w:val="14"/>
                <w:szCs w:val="14"/>
                <w:lang w:eastAsia="sk-SK"/>
              </w:rPr>
              <w:t xml:space="preserve"> vrátane 72e</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2 </w:t>
            </w:r>
            <w:r>
              <w:rPr>
                <w:rFonts w:ascii="Times New Roman" w:hAnsi="Times New Roman" w:cs="Times New Roman"/>
                <w:b/>
                <w:bCs/>
                <w:color w:val="000000"/>
                <w:sz w:val="14"/>
                <w:szCs w:val="14"/>
                <w:lang w:eastAsia="sk-SK"/>
              </w:rPr>
              <w:t>155</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364</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458</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2 1</w:t>
            </w:r>
            <w:r>
              <w:rPr>
                <w:rFonts w:ascii="Times New Roman" w:hAnsi="Times New Roman" w:cs="Times New Roman"/>
                <w:b/>
                <w:bCs/>
                <w:color w:val="000000"/>
                <w:sz w:val="14"/>
                <w:szCs w:val="14"/>
                <w:lang w:eastAsia="sk-SK"/>
              </w:rPr>
              <w:t>64</w:t>
            </w:r>
            <w:r w:rsidRPr="00D26052">
              <w:rPr>
                <w:rFonts w:ascii="Times New Roman" w:hAnsi="Times New Roman" w:cs="Times New Roman"/>
                <w:b/>
                <w:bCs/>
                <w:color w:val="000000"/>
                <w:sz w:val="14"/>
                <w:szCs w:val="14"/>
                <w:lang w:eastAsia="sk-SK"/>
              </w:rPr>
              <w:t xml:space="preserve"> 1</w:t>
            </w:r>
            <w:r>
              <w:rPr>
                <w:rFonts w:ascii="Times New Roman" w:hAnsi="Times New Roman" w:cs="Times New Roman"/>
                <w:b/>
                <w:bCs/>
                <w:color w:val="000000"/>
                <w:sz w:val="14"/>
                <w:szCs w:val="14"/>
                <w:lang w:eastAsia="sk-SK"/>
              </w:rPr>
              <w:t>13</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151</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2 15</w:t>
            </w:r>
            <w:r>
              <w:rPr>
                <w:rFonts w:ascii="Times New Roman" w:hAnsi="Times New Roman" w:cs="Times New Roman"/>
                <w:b/>
                <w:bCs/>
                <w:color w:val="000000"/>
                <w:sz w:val="14"/>
                <w:szCs w:val="14"/>
                <w:lang w:eastAsia="sk-SK"/>
              </w:rPr>
              <w:t>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962</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872</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2 2</w:t>
            </w:r>
            <w:r>
              <w:rPr>
                <w:rFonts w:ascii="Times New Roman" w:hAnsi="Times New Roman" w:cs="Times New Roman"/>
                <w:b/>
                <w:bCs/>
                <w:color w:val="000000"/>
                <w:sz w:val="14"/>
                <w:szCs w:val="14"/>
                <w:lang w:eastAsia="sk-SK"/>
              </w:rPr>
              <w:t>99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784</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116</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2 </w:t>
            </w:r>
            <w:r>
              <w:rPr>
                <w:rFonts w:ascii="Times New Roman" w:hAnsi="Times New Roman" w:cs="Times New Roman"/>
                <w:b/>
                <w:bCs/>
                <w:color w:val="000000"/>
                <w:sz w:val="14"/>
                <w:szCs w:val="14"/>
                <w:lang w:eastAsia="sk-SK"/>
              </w:rPr>
              <w:t>341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250</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420</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2 </w:t>
            </w:r>
            <w:r>
              <w:rPr>
                <w:rFonts w:ascii="Times New Roman" w:hAnsi="Times New Roman" w:cs="Times New Roman"/>
                <w:b/>
                <w:bCs/>
                <w:color w:val="000000"/>
                <w:sz w:val="14"/>
                <w:szCs w:val="14"/>
                <w:lang w:eastAsia="sk-SK"/>
              </w:rPr>
              <w:t>429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547</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418</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2 4</w:t>
            </w:r>
            <w:r>
              <w:rPr>
                <w:rFonts w:ascii="Times New Roman" w:hAnsi="Times New Roman" w:cs="Times New Roman"/>
                <w:b/>
                <w:bCs/>
                <w:color w:val="000000"/>
                <w:sz w:val="14"/>
                <w:szCs w:val="14"/>
                <w:lang w:eastAsia="sk-SK"/>
              </w:rPr>
              <w:t>60</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498</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443</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tcPr>
          <w:p w:rsidR="007D13F3" w:rsidRPr="00D26052" w:rsidRDefault="007D13F3" w:rsidP="00465CAC">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xml:space="preserve">zdroje príslušnej kapitoly </w:t>
            </w:r>
          </w:p>
        </w:tc>
        <w:tc>
          <w:tcPr>
            <w:tcW w:w="0" w:type="auto"/>
            <w:tcBorders>
              <w:top w:val="nil"/>
              <w:left w:val="nil"/>
              <w:bottom w:val="single" w:sz="4" w:space="0" w:color="auto"/>
              <w:right w:val="single" w:sz="4" w:space="0" w:color="auto"/>
            </w:tcBorders>
            <w:shd w:val="clear" w:color="auto" w:fill="BFBFBF" w:themeFill="background1" w:themeFillShade="BF"/>
            <w:vAlign w:val="center"/>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2 </w:t>
            </w:r>
            <w:r>
              <w:rPr>
                <w:rFonts w:ascii="Times New Roman" w:hAnsi="Times New Roman" w:cs="Times New Roman"/>
                <w:b/>
                <w:bCs/>
                <w:color w:val="000000"/>
                <w:sz w:val="14"/>
                <w:szCs w:val="14"/>
                <w:lang w:eastAsia="sk-SK"/>
              </w:rPr>
              <w:t>154</w:t>
            </w:r>
            <w:r w:rsidRPr="00D26052">
              <w:rPr>
                <w:rFonts w:ascii="Times New Roman" w:hAnsi="Times New Roman" w:cs="Times New Roman"/>
                <w:b/>
                <w:bCs/>
                <w:color w:val="000000"/>
                <w:sz w:val="14"/>
                <w:szCs w:val="14"/>
                <w:lang w:eastAsia="sk-SK"/>
              </w:rPr>
              <w:t xml:space="preserve"> 5</w:t>
            </w:r>
            <w:r>
              <w:rPr>
                <w:rFonts w:ascii="Times New Roman" w:hAnsi="Times New Roman" w:cs="Times New Roman"/>
                <w:b/>
                <w:bCs/>
                <w:color w:val="000000"/>
                <w:sz w:val="14"/>
                <w:szCs w:val="14"/>
                <w:lang w:eastAsia="sk-SK"/>
              </w:rPr>
              <w:t>94</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97</w:t>
            </w:r>
            <w:r w:rsidRPr="00D26052">
              <w:rPr>
                <w:rFonts w:ascii="Times New Roman" w:hAnsi="Times New Roman" w:cs="Times New Roman"/>
                <w:b/>
                <w:bCs/>
                <w:color w:val="000000"/>
                <w:sz w:val="14"/>
                <w:szCs w:val="14"/>
                <w:lang w:eastAsia="sk-SK"/>
              </w:rPr>
              <w:t>1</w:t>
            </w:r>
          </w:p>
        </w:tc>
        <w:tc>
          <w:tcPr>
            <w:tcW w:w="0" w:type="auto"/>
            <w:tcBorders>
              <w:top w:val="nil"/>
              <w:left w:val="nil"/>
              <w:bottom w:val="single" w:sz="4" w:space="0" w:color="auto"/>
              <w:right w:val="single" w:sz="4" w:space="0" w:color="auto"/>
            </w:tcBorders>
            <w:shd w:val="clear" w:color="auto" w:fill="BFBFBF" w:themeFill="background1" w:themeFillShade="BF"/>
            <w:vAlign w:val="center"/>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2 1</w:t>
            </w:r>
            <w:r>
              <w:rPr>
                <w:rFonts w:ascii="Times New Roman" w:hAnsi="Times New Roman" w:cs="Times New Roman"/>
                <w:b/>
                <w:bCs/>
                <w:color w:val="000000"/>
                <w:sz w:val="14"/>
                <w:szCs w:val="14"/>
                <w:lang w:eastAsia="sk-SK"/>
              </w:rPr>
              <w:t>63</w:t>
            </w:r>
            <w:r w:rsidRPr="00D26052">
              <w:rPr>
                <w:rFonts w:ascii="Times New Roman" w:hAnsi="Times New Roman" w:cs="Times New Roman"/>
                <w:b/>
                <w:bCs/>
                <w:color w:val="000000"/>
                <w:sz w:val="14"/>
                <w:szCs w:val="14"/>
                <w:lang w:eastAsia="sk-SK"/>
              </w:rPr>
              <w:t xml:space="preserve"> 1</w:t>
            </w:r>
            <w:r>
              <w:rPr>
                <w:rFonts w:ascii="Times New Roman" w:hAnsi="Times New Roman" w:cs="Times New Roman"/>
                <w:b/>
                <w:bCs/>
                <w:color w:val="000000"/>
                <w:sz w:val="14"/>
                <w:szCs w:val="14"/>
                <w:lang w:eastAsia="sk-SK"/>
              </w:rPr>
              <w:t>56</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813</w:t>
            </w:r>
          </w:p>
        </w:tc>
        <w:tc>
          <w:tcPr>
            <w:tcW w:w="0" w:type="auto"/>
            <w:tcBorders>
              <w:top w:val="nil"/>
              <w:left w:val="nil"/>
              <w:bottom w:val="single" w:sz="4" w:space="0" w:color="auto"/>
              <w:right w:val="single" w:sz="4" w:space="0" w:color="auto"/>
            </w:tcBorders>
            <w:shd w:val="clear" w:color="auto" w:fill="BFBFBF" w:themeFill="background1" w:themeFillShade="BF"/>
            <w:vAlign w:val="center"/>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2 15</w:t>
            </w:r>
            <w:r>
              <w:rPr>
                <w:rFonts w:ascii="Times New Roman" w:hAnsi="Times New Roman" w:cs="Times New Roman"/>
                <w:b/>
                <w:bCs/>
                <w:color w:val="000000"/>
                <w:sz w:val="14"/>
                <w:szCs w:val="14"/>
                <w:lang w:eastAsia="sk-SK"/>
              </w:rPr>
              <w:t>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962</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872</w:t>
            </w:r>
          </w:p>
        </w:tc>
        <w:tc>
          <w:tcPr>
            <w:tcW w:w="0" w:type="auto"/>
            <w:tcBorders>
              <w:top w:val="nil"/>
              <w:left w:val="nil"/>
              <w:bottom w:val="single" w:sz="4" w:space="0" w:color="auto"/>
              <w:right w:val="single" w:sz="4" w:space="0" w:color="auto"/>
            </w:tcBorders>
            <w:shd w:val="clear" w:color="auto" w:fill="BFBFBF" w:themeFill="background1" w:themeFillShade="BF"/>
            <w:vAlign w:val="center"/>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2 2</w:t>
            </w:r>
            <w:r>
              <w:rPr>
                <w:rFonts w:ascii="Times New Roman" w:hAnsi="Times New Roman" w:cs="Times New Roman"/>
                <w:b/>
                <w:bCs/>
                <w:color w:val="000000"/>
                <w:sz w:val="14"/>
                <w:szCs w:val="14"/>
                <w:lang w:eastAsia="sk-SK"/>
              </w:rPr>
              <w:t>99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784</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116</w:t>
            </w:r>
          </w:p>
        </w:tc>
        <w:tc>
          <w:tcPr>
            <w:tcW w:w="0" w:type="auto"/>
            <w:tcBorders>
              <w:top w:val="nil"/>
              <w:left w:val="nil"/>
              <w:bottom w:val="single" w:sz="4" w:space="0" w:color="auto"/>
              <w:right w:val="single" w:sz="4" w:space="0" w:color="auto"/>
            </w:tcBorders>
            <w:shd w:val="clear" w:color="auto" w:fill="BFBFBF" w:themeFill="background1" w:themeFillShade="BF"/>
            <w:vAlign w:val="center"/>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2 </w:t>
            </w:r>
            <w:r>
              <w:rPr>
                <w:rFonts w:ascii="Times New Roman" w:hAnsi="Times New Roman" w:cs="Times New Roman"/>
                <w:b/>
                <w:bCs/>
                <w:color w:val="000000"/>
                <w:sz w:val="14"/>
                <w:szCs w:val="14"/>
                <w:lang w:eastAsia="sk-SK"/>
              </w:rPr>
              <w:t>341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135</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120</w:t>
            </w:r>
          </w:p>
        </w:tc>
        <w:tc>
          <w:tcPr>
            <w:tcW w:w="0" w:type="auto"/>
            <w:tcBorders>
              <w:top w:val="nil"/>
              <w:left w:val="nil"/>
              <w:bottom w:val="single" w:sz="4" w:space="0" w:color="auto"/>
              <w:right w:val="single" w:sz="4" w:space="0" w:color="auto"/>
            </w:tcBorders>
            <w:shd w:val="clear" w:color="auto" w:fill="BFBFBF" w:themeFill="background1" w:themeFillShade="BF"/>
            <w:vAlign w:val="center"/>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2 </w:t>
            </w:r>
            <w:r>
              <w:rPr>
                <w:rFonts w:ascii="Times New Roman" w:hAnsi="Times New Roman" w:cs="Times New Roman"/>
                <w:b/>
                <w:bCs/>
                <w:color w:val="000000"/>
                <w:sz w:val="14"/>
                <w:szCs w:val="14"/>
                <w:lang w:eastAsia="sk-SK"/>
              </w:rPr>
              <w:t>429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432</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118</w:t>
            </w:r>
          </w:p>
        </w:tc>
        <w:tc>
          <w:tcPr>
            <w:tcW w:w="0" w:type="auto"/>
            <w:tcBorders>
              <w:top w:val="nil"/>
              <w:left w:val="nil"/>
              <w:bottom w:val="single" w:sz="4" w:space="0" w:color="auto"/>
              <w:right w:val="single" w:sz="4" w:space="0" w:color="auto"/>
            </w:tcBorders>
            <w:shd w:val="clear" w:color="auto" w:fill="BFBFBF" w:themeFill="background1" w:themeFillShade="BF"/>
            <w:vAlign w:val="center"/>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2 4</w:t>
            </w:r>
            <w:r>
              <w:rPr>
                <w:rFonts w:ascii="Times New Roman" w:hAnsi="Times New Roman" w:cs="Times New Roman"/>
                <w:b/>
                <w:bCs/>
                <w:color w:val="000000"/>
                <w:sz w:val="14"/>
                <w:szCs w:val="14"/>
                <w:lang w:eastAsia="sk-SK"/>
              </w:rPr>
              <w:t>60</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383</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143</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3F3" w:rsidRPr="00D26052" w:rsidRDefault="007D13F3" w:rsidP="00465CAC">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 xml:space="preserve">rozpočtové zdroje kapitoly  </w:t>
            </w:r>
          </w:p>
        </w:tc>
        <w:tc>
          <w:tcPr>
            <w:tcW w:w="0" w:type="auto"/>
            <w:tcBorders>
              <w:top w:val="nil"/>
              <w:left w:val="nil"/>
              <w:bottom w:val="single" w:sz="4" w:space="0" w:color="auto"/>
              <w:right w:val="single" w:sz="4" w:space="0" w:color="auto"/>
            </w:tcBorders>
            <w:shd w:val="clear" w:color="auto" w:fill="auto"/>
            <w:noWrap/>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1 9</w:t>
            </w:r>
            <w:r>
              <w:rPr>
                <w:rFonts w:ascii="Times New Roman" w:hAnsi="Times New Roman" w:cs="Times New Roman"/>
                <w:b/>
                <w:bCs/>
                <w:color w:val="000000"/>
                <w:sz w:val="14"/>
                <w:szCs w:val="14"/>
                <w:lang w:eastAsia="sk-SK"/>
              </w:rPr>
              <w:t>27</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212</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677</w:t>
            </w:r>
          </w:p>
        </w:tc>
        <w:tc>
          <w:tcPr>
            <w:tcW w:w="0" w:type="auto"/>
            <w:tcBorders>
              <w:top w:val="nil"/>
              <w:left w:val="nil"/>
              <w:bottom w:val="single" w:sz="4" w:space="0" w:color="auto"/>
              <w:right w:val="single" w:sz="4" w:space="0" w:color="auto"/>
            </w:tcBorders>
            <w:shd w:val="clear" w:color="auto" w:fill="auto"/>
            <w:noWrap/>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1 9</w:t>
            </w:r>
            <w:r>
              <w:rPr>
                <w:rFonts w:ascii="Times New Roman" w:hAnsi="Times New Roman" w:cs="Times New Roman"/>
                <w:b/>
                <w:bCs/>
                <w:color w:val="000000"/>
                <w:sz w:val="14"/>
                <w:szCs w:val="14"/>
                <w:lang w:eastAsia="sk-SK"/>
              </w:rPr>
              <w:t>64</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3</w:t>
            </w:r>
            <w:r w:rsidRPr="00D26052">
              <w:rPr>
                <w:rFonts w:ascii="Times New Roman" w:hAnsi="Times New Roman" w:cs="Times New Roman"/>
                <w:b/>
                <w:bCs/>
                <w:color w:val="000000"/>
                <w:sz w:val="14"/>
                <w:szCs w:val="14"/>
                <w:lang w:eastAsia="sk-SK"/>
              </w:rPr>
              <w:t>7</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552</w:t>
            </w:r>
          </w:p>
        </w:tc>
        <w:tc>
          <w:tcPr>
            <w:tcW w:w="0" w:type="auto"/>
            <w:tcBorders>
              <w:top w:val="nil"/>
              <w:left w:val="nil"/>
              <w:bottom w:val="single" w:sz="4" w:space="0" w:color="auto"/>
              <w:right w:val="single" w:sz="4" w:space="0" w:color="auto"/>
            </w:tcBorders>
            <w:shd w:val="clear" w:color="auto" w:fill="auto"/>
            <w:noWrap/>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00</w:t>
            </w:r>
            <w:r w:rsidRPr="00D26052">
              <w:rPr>
                <w:rFonts w:ascii="Times New Roman" w:hAnsi="Times New Roman" w:cs="Times New Roman"/>
                <w:b/>
                <w:bCs/>
                <w:color w:val="000000"/>
                <w:sz w:val="14"/>
                <w:szCs w:val="14"/>
                <w:lang w:eastAsia="sk-SK"/>
              </w:rPr>
              <w:t xml:space="preserve">8 </w:t>
            </w:r>
            <w:r>
              <w:rPr>
                <w:rFonts w:ascii="Times New Roman" w:hAnsi="Times New Roman" w:cs="Times New Roman"/>
                <w:b/>
                <w:bCs/>
                <w:color w:val="000000"/>
                <w:sz w:val="14"/>
                <w:szCs w:val="14"/>
                <w:lang w:eastAsia="sk-SK"/>
              </w:rPr>
              <w:t>1</w:t>
            </w:r>
            <w:r w:rsidRPr="00D26052">
              <w:rPr>
                <w:rFonts w:ascii="Times New Roman" w:hAnsi="Times New Roman" w:cs="Times New Roman"/>
                <w:b/>
                <w:bCs/>
                <w:color w:val="000000"/>
                <w:sz w:val="14"/>
                <w:szCs w:val="14"/>
                <w:lang w:eastAsia="sk-SK"/>
              </w:rPr>
              <w:t>4</w:t>
            </w:r>
            <w:r>
              <w:rPr>
                <w:rFonts w:ascii="Times New Roman" w:hAnsi="Times New Roman" w:cs="Times New Roman"/>
                <w:b/>
                <w:bCs/>
                <w:color w:val="000000"/>
                <w:sz w:val="14"/>
                <w:szCs w:val="14"/>
                <w:lang w:eastAsia="sk-SK"/>
              </w:rPr>
              <w:t>5</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200</w:t>
            </w:r>
          </w:p>
        </w:tc>
        <w:tc>
          <w:tcPr>
            <w:tcW w:w="0" w:type="auto"/>
            <w:tcBorders>
              <w:top w:val="nil"/>
              <w:left w:val="nil"/>
              <w:bottom w:val="single" w:sz="4" w:space="0" w:color="auto"/>
              <w:right w:val="single" w:sz="4" w:space="0" w:color="auto"/>
            </w:tcBorders>
            <w:shd w:val="clear" w:color="auto" w:fill="auto"/>
            <w:noWrap/>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000</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716</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506</w:t>
            </w:r>
          </w:p>
        </w:tc>
        <w:tc>
          <w:tcPr>
            <w:tcW w:w="0" w:type="auto"/>
            <w:tcBorders>
              <w:top w:val="nil"/>
              <w:left w:val="nil"/>
              <w:bottom w:val="single" w:sz="4" w:space="0" w:color="auto"/>
              <w:right w:val="single" w:sz="4" w:space="0" w:color="auto"/>
            </w:tcBorders>
            <w:shd w:val="clear" w:color="auto" w:fill="auto"/>
            <w:noWrap/>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2 </w:t>
            </w:r>
            <w:r>
              <w:rPr>
                <w:rFonts w:ascii="Times New Roman" w:hAnsi="Times New Roman" w:cs="Times New Roman"/>
                <w:b/>
                <w:bCs/>
                <w:color w:val="000000"/>
                <w:sz w:val="14"/>
                <w:szCs w:val="14"/>
                <w:lang w:eastAsia="sk-SK"/>
              </w:rPr>
              <w:t>104</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161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840</w:t>
            </w:r>
          </w:p>
        </w:tc>
        <w:tc>
          <w:tcPr>
            <w:tcW w:w="0" w:type="auto"/>
            <w:tcBorders>
              <w:top w:val="nil"/>
              <w:left w:val="nil"/>
              <w:bottom w:val="single" w:sz="4" w:space="0" w:color="auto"/>
              <w:right w:val="single" w:sz="4" w:space="0" w:color="auto"/>
            </w:tcBorders>
            <w:shd w:val="clear" w:color="auto" w:fill="auto"/>
            <w:noWrap/>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2 </w:t>
            </w:r>
            <w:r>
              <w:rPr>
                <w:rFonts w:ascii="Times New Roman" w:hAnsi="Times New Roman" w:cs="Times New Roman"/>
                <w:b/>
                <w:bCs/>
                <w:color w:val="000000"/>
                <w:sz w:val="14"/>
                <w:szCs w:val="14"/>
                <w:lang w:eastAsia="sk-SK"/>
              </w:rPr>
              <w:t>179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380</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321</w:t>
            </w:r>
          </w:p>
        </w:tc>
        <w:tc>
          <w:tcPr>
            <w:tcW w:w="0" w:type="auto"/>
            <w:tcBorders>
              <w:top w:val="nil"/>
              <w:left w:val="nil"/>
              <w:bottom w:val="single" w:sz="4" w:space="0" w:color="auto"/>
              <w:right w:val="single" w:sz="4" w:space="0" w:color="auto"/>
            </w:tcBorders>
            <w:shd w:val="clear" w:color="auto" w:fill="auto"/>
            <w:noWrap/>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2 </w:t>
            </w:r>
            <w:r>
              <w:rPr>
                <w:rFonts w:ascii="Times New Roman" w:hAnsi="Times New Roman" w:cs="Times New Roman"/>
                <w:b/>
                <w:bCs/>
                <w:color w:val="000000"/>
                <w:sz w:val="14"/>
                <w:szCs w:val="14"/>
                <w:lang w:eastAsia="sk-SK"/>
              </w:rPr>
              <w:t>210</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246</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000</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v tom: bežné výdavky 600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1 92</w:t>
            </w:r>
            <w:r>
              <w:rPr>
                <w:rFonts w:ascii="Times New Roman" w:hAnsi="Times New Roman" w:cs="Times New Roman"/>
                <w:color w:val="000000"/>
                <w:sz w:val="14"/>
                <w:szCs w:val="14"/>
                <w:lang w:eastAsia="sk-SK"/>
              </w:rPr>
              <w:t>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w:t>
            </w:r>
            <w:r w:rsidRPr="00D26052">
              <w:rPr>
                <w:rFonts w:ascii="Times New Roman" w:hAnsi="Times New Roman" w:cs="Times New Roman"/>
                <w:color w:val="000000"/>
                <w:sz w:val="14"/>
                <w:szCs w:val="14"/>
                <w:lang w:eastAsia="sk-SK"/>
              </w:rPr>
              <w:t>8</w:t>
            </w:r>
            <w:r>
              <w:rPr>
                <w:rFonts w:ascii="Times New Roman" w:hAnsi="Times New Roman" w:cs="Times New Roman"/>
                <w:color w:val="000000"/>
                <w:sz w:val="14"/>
                <w:szCs w:val="14"/>
                <w:lang w:eastAsia="sk-SK"/>
              </w:rPr>
              <w:t>1</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1 9</w:t>
            </w:r>
            <w:r>
              <w:rPr>
                <w:rFonts w:ascii="Times New Roman" w:hAnsi="Times New Roman" w:cs="Times New Roman"/>
                <w:color w:val="000000"/>
                <w:sz w:val="14"/>
                <w:szCs w:val="14"/>
                <w:lang w:eastAsia="sk-SK"/>
              </w:rPr>
              <w:t>6</w:t>
            </w:r>
            <w:r w:rsidRPr="00D26052">
              <w:rPr>
                <w:rFonts w:ascii="Times New Roman" w:hAnsi="Times New Roman" w:cs="Times New Roman"/>
                <w:color w:val="000000"/>
                <w:sz w:val="14"/>
                <w:szCs w:val="14"/>
                <w:lang w:eastAsia="sk-SK"/>
              </w:rPr>
              <w:t xml:space="preserve">2 </w:t>
            </w:r>
            <w:r>
              <w:rPr>
                <w:rFonts w:ascii="Times New Roman" w:hAnsi="Times New Roman" w:cs="Times New Roman"/>
                <w:color w:val="000000"/>
                <w:sz w:val="14"/>
                <w:szCs w:val="14"/>
                <w:lang w:eastAsia="sk-SK"/>
              </w:rPr>
              <w:t>6</w:t>
            </w:r>
            <w:r w:rsidRPr="00D26052">
              <w:rPr>
                <w:rFonts w:ascii="Times New Roman" w:hAnsi="Times New Roman" w:cs="Times New Roman"/>
                <w:color w:val="000000"/>
                <w:sz w:val="14"/>
                <w:szCs w:val="14"/>
                <w:lang w:eastAsia="sk-SK"/>
              </w:rPr>
              <w:t>8</w:t>
            </w:r>
            <w:r>
              <w:rPr>
                <w:rFonts w:ascii="Times New Roman" w:hAnsi="Times New Roman" w:cs="Times New Roman"/>
                <w:color w:val="000000"/>
                <w:sz w:val="14"/>
                <w:szCs w:val="14"/>
                <w:lang w:eastAsia="sk-SK"/>
              </w:rPr>
              <w:t>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906</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003</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151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730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1 9</w:t>
            </w:r>
            <w:r>
              <w:rPr>
                <w:rFonts w:ascii="Times New Roman" w:hAnsi="Times New Roman" w:cs="Times New Roman"/>
                <w:color w:val="000000"/>
                <w:sz w:val="14"/>
                <w:szCs w:val="14"/>
                <w:lang w:eastAsia="sk-SK"/>
              </w:rPr>
              <w:t>94 </w:t>
            </w:r>
            <w:r w:rsidRPr="00D26052">
              <w:rPr>
                <w:rFonts w:ascii="Times New Roman" w:hAnsi="Times New Roman" w:cs="Times New Roman"/>
                <w:color w:val="000000"/>
                <w:sz w:val="14"/>
                <w:szCs w:val="14"/>
                <w:lang w:eastAsia="sk-SK"/>
              </w:rPr>
              <w:t>7</w:t>
            </w:r>
            <w:r>
              <w:rPr>
                <w:rFonts w:ascii="Times New Roman" w:hAnsi="Times New Roman" w:cs="Times New Roman"/>
                <w:color w:val="000000"/>
                <w:sz w:val="14"/>
                <w:szCs w:val="14"/>
                <w:lang w:eastAsia="sk-SK"/>
              </w:rPr>
              <w:t>82 048</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2 </w:t>
            </w:r>
            <w:r>
              <w:rPr>
                <w:rFonts w:ascii="Times New Roman" w:hAnsi="Times New Roman" w:cs="Times New Roman"/>
                <w:color w:val="000000"/>
                <w:sz w:val="14"/>
                <w:szCs w:val="14"/>
                <w:lang w:eastAsia="sk-SK"/>
              </w:rPr>
              <w:t>099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109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370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2 </w:t>
            </w:r>
            <w:r>
              <w:rPr>
                <w:rFonts w:ascii="Times New Roman" w:hAnsi="Times New Roman" w:cs="Times New Roman"/>
                <w:color w:val="000000"/>
                <w:sz w:val="14"/>
                <w:szCs w:val="14"/>
                <w:lang w:eastAsia="sk-SK"/>
              </w:rPr>
              <w:t>173</w:t>
            </w:r>
            <w:r w:rsidRPr="00D26052">
              <w:rPr>
                <w:rFonts w:ascii="Times New Roman" w:hAnsi="Times New Roman" w:cs="Times New Roman"/>
                <w:color w:val="000000"/>
                <w:sz w:val="14"/>
                <w:szCs w:val="14"/>
                <w:lang w:eastAsia="sk-SK"/>
              </w:rPr>
              <w:t> </w:t>
            </w:r>
            <w:r>
              <w:rPr>
                <w:rFonts w:ascii="Times New Roman" w:hAnsi="Times New Roman" w:cs="Times New Roman"/>
                <w:color w:val="000000"/>
                <w:sz w:val="14"/>
                <w:szCs w:val="14"/>
                <w:lang w:eastAsia="sk-SK"/>
              </w:rPr>
              <w:t>996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851</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2 </w:t>
            </w:r>
            <w:r>
              <w:rPr>
                <w:rFonts w:ascii="Times New Roman" w:hAnsi="Times New Roman" w:cs="Times New Roman"/>
                <w:color w:val="000000"/>
                <w:sz w:val="14"/>
                <w:szCs w:val="14"/>
                <w:lang w:eastAsia="sk-SK"/>
              </w:rPr>
              <w:t>205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252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530</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D26052">
              <w:rPr>
                <w:rFonts w:ascii="Times New Roman" w:hAnsi="Times New Roman" w:cs="Times New Roman"/>
                <w:color w:val="000000"/>
                <w:sz w:val="14"/>
                <w:szCs w:val="14"/>
                <w:lang w:eastAsia="sk-SK"/>
              </w:rPr>
              <w:t>610 mzdy</w:t>
            </w:r>
          </w:p>
        </w:tc>
        <w:tc>
          <w:tcPr>
            <w:tcW w:w="0" w:type="auto"/>
            <w:tcBorders>
              <w:top w:val="nil"/>
              <w:left w:val="nil"/>
              <w:bottom w:val="single" w:sz="4" w:space="0" w:color="auto"/>
              <w:right w:val="single" w:sz="4" w:space="0" w:color="auto"/>
            </w:tcBorders>
            <w:shd w:val="clear" w:color="auto" w:fill="auto"/>
            <w:noWrap/>
            <w:vAlign w:val="center"/>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1</w:t>
            </w:r>
            <w:r>
              <w:rPr>
                <w:rFonts w:ascii="Times New Roman" w:hAnsi="Times New Roman" w:cs="Times New Roman"/>
                <w:sz w:val="14"/>
                <w:szCs w:val="14"/>
                <w:lang w:eastAsia="sk-SK"/>
              </w:rPr>
              <w:t>23</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042</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157</w:t>
            </w:r>
          </w:p>
        </w:tc>
        <w:tc>
          <w:tcPr>
            <w:tcW w:w="0" w:type="auto"/>
            <w:tcBorders>
              <w:top w:val="nil"/>
              <w:left w:val="nil"/>
              <w:bottom w:val="single" w:sz="4" w:space="0" w:color="auto"/>
              <w:right w:val="single" w:sz="4" w:space="0" w:color="auto"/>
            </w:tcBorders>
            <w:shd w:val="clear" w:color="auto" w:fill="auto"/>
            <w:noWrap/>
            <w:vAlign w:val="center"/>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1</w:t>
            </w:r>
            <w:r>
              <w:rPr>
                <w:rFonts w:ascii="Times New Roman" w:hAnsi="Times New Roman" w:cs="Times New Roman"/>
                <w:sz w:val="14"/>
                <w:szCs w:val="14"/>
                <w:lang w:eastAsia="sk-SK"/>
              </w:rPr>
              <w:t>32</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118</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782</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25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643</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190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34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879</w:t>
            </w:r>
            <w:r w:rsidRPr="00D26052">
              <w:rPr>
                <w:rFonts w:ascii="Times New Roman" w:hAnsi="Times New Roman" w:cs="Times New Roman"/>
                <w:color w:val="000000"/>
                <w:sz w:val="14"/>
                <w:szCs w:val="14"/>
                <w:lang w:eastAsia="sk-SK"/>
              </w:rPr>
              <w:t xml:space="preserve"> 6</w:t>
            </w:r>
            <w:r>
              <w:rPr>
                <w:rFonts w:ascii="Times New Roman" w:hAnsi="Times New Roman" w:cs="Times New Roman"/>
                <w:color w:val="000000"/>
                <w:sz w:val="14"/>
                <w:szCs w:val="14"/>
                <w:lang w:eastAsia="sk-SK"/>
              </w:rPr>
              <w:t>45</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35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697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021</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35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697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021</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35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697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021</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D26052">
              <w:rPr>
                <w:rFonts w:ascii="Times New Roman" w:hAnsi="Times New Roman" w:cs="Times New Roman"/>
                <w:color w:val="000000"/>
                <w:sz w:val="14"/>
                <w:szCs w:val="14"/>
                <w:lang w:eastAsia="sk-SK"/>
              </w:rPr>
              <w:t>620 odvody</w:t>
            </w:r>
          </w:p>
        </w:tc>
        <w:tc>
          <w:tcPr>
            <w:tcW w:w="0" w:type="auto"/>
            <w:tcBorders>
              <w:top w:val="nil"/>
              <w:left w:val="nil"/>
              <w:bottom w:val="single" w:sz="4" w:space="0" w:color="auto"/>
              <w:right w:val="single" w:sz="4" w:space="0" w:color="auto"/>
            </w:tcBorders>
            <w:shd w:val="clear" w:color="auto" w:fill="auto"/>
            <w:noWrap/>
            <w:vAlign w:val="center"/>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4</w:t>
            </w:r>
            <w:r>
              <w:rPr>
                <w:rFonts w:ascii="Times New Roman" w:hAnsi="Times New Roman" w:cs="Times New Roman"/>
                <w:sz w:val="14"/>
                <w:szCs w:val="14"/>
                <w:lang w:eastAsia="sk-SK"/>
              </w:rPr>
              <w:t>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815</w:t>
            </w:r>
            <w:r w:rsidRPr="00D26052">
              <w:rPr>
                <w:rFonts w:ascii="Times New Roman" w:hAnsi="Times New Roman" w:cs="Times New Roman"/>
                <w:sz w:val="14"/>
                <w:szCs w:val="14"/>
                <w:lang w:eastAsia="sk-SK"/>
              </w:rPr>
              <w:t xml:space="preserve"> 8</w:t>
            </w:r>
            <w:r>
              <w:rPr>
                <w:rFonts w:ascii="Times New Roman" w:hAnsi="Times New Roman" w:cs="Times New Roman"/>
                <w:sz w:val="14"/>
                <w:szCs w:val="14"/>
                <w:lang w:eastAsia="sk-SK"/>
              </w:rPr>
              <w:t>83</w:t>
            </w:r>
          </w:p>
        </w:tc>
        <w:tc>
          <w:tcPr>
            <w:tcW w:w="0" w:type="auto"/>
            <w:tcBorders>
              <w:top w:val="nil"/>
              <w:left w:val="nil"/>
              <w:bottom w:val="single" w:sz="4" w:space="0" w:color="auto"/>
              <w:right w:val="single" w:sz="4" w:space="0" w:color="auto"/>
            </w:tcBorders>
            <w:shd w:val="clear" w:color="auto" w:fill="auto"/>
            <w:noWrap/>
            <w:vAlign w:val="center"/>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4</w:t>
            </w:r>
            <w:r>
              <w:rPr>
                <w:rFonts w:ascii="Times New Roman" w:hAnsi="Times New Roman" w:cs="Times New Roman"/>
                <w:sz w:val="14"/>
                <w:szCs w:val="14"/>
                <w:lang w:eastAsia="sk-SK"/>
              </w:rPr>
              <w:t>8</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5</w:t>
            </w:r>
            <w:r w:rsidRPr="00D26052">
              <w:rPr>
                <w:rFonts w:ascii="Times New Roman" w:hAnsi="Times New Roman" w:cs="Times New Roman"/>
                <w:sz w:val="14"/>
                <w:szCs w:val="14"/>
                <w:lang w:eastAsia="sk-SK"/>
              </w:rPr>
              <w:t>3</w:t>
            </w:r>
            <w:r>
              <w:rPr>
                <w:rFonts w:ascii="Times New Roman" w:hAnsi="Times New Roman" w:cs="Times New Roman"/>
                <w:sz w:val="14"/>
                <w:szCs w:val="14"/>
                <w:lang w:eastAsia="sk-SK"/>
              </w:rPr>
              <w:t>3</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103</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w:t>
            </w:r>
            <w:r w:rsidRPr="00D26052">
              <w:rPr>
                <w:rFonts w:ascii="Times New Roman" w:hAnsi="Times New Roman" w:cs="Times New Roman"/>
                <w:color w:val="000000"/>
                <w:sz w:val="14"/>
                <w:szCs w:val="14"/>
                <w:lang w:eastAsia="sk-SK"/>
              </w:rPr>
              <w:t xml:space="preserve">3 </w:t>
            </w:r>
            <w:r>
              <w:rPr>
                <w:rFonts w:ascii="Times New Roman" w:hAnsi="Times New Roman" w:cs="Times New Roman"/>
                <w:color w:val="000000"/>
                <w:sz w:val="14"/>
                <w:szCs w:val="14"/>
                <w:lang w:eastAsia="sk-SK"/>
              </w:rPr>
              <w:t>91</w:t>
            </w:r>
            <w:r w:rsidRPr="00D26052">
              <w:rPr>
                <w:rFonts w:ascii="Times New Roman" w:hAnsi="Times New Roman" w:cs="Times New Roman"/>
                <w:color w:val="000000"/>
                <w:sz w:val="14"/>
                <w:szCs w:val="14"/>
                <w:lang w:eastAsia="sk-SK"/>
              </w:rPr>
              <w:t>2 2</w:t>
            </w:r>
            <w:r>
              <w:rPr>
                <w:rFonts w:ascii="Times New Roman" w:hAnsi="Times New Roman" w:cs="Times New Roman"/>
                <w:color w:val="000000"/>
                <w:sz w:val="14"/>
                <w:szCs w:val="14"/>
                <w:lang w:eastAsia="sk-SK"/>
              </w:rPr>
              <w:t>96</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133</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010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426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108</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426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108</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426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108</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3F3" w:rsidRPr="00D26052" w:rsidRDefault="007D13F3" w:rsidP="00465CAC">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D26052">
              <w:rPr>
                <w:rFonts w:ascii="Times New Roman" w:hAnsi="Times New Roman" w:cs="Times New Roman"/>
                <w:color w:val="000000"/>
                <w:sz w:val="14"/>
                <w:szCs w:val="14"/>
                <w:lang w:eastAsia="sk-SK"/>
              </w:rPr>
              <w:t>630 tovary a služby</w:t>
            </w:r>
          </w:p>
        </w:tc>
        <w:tc>
          <w:tcPr>
            <w:tcW w:w="0" w:type="auto"/>
            <w:tcBorders>
              <w:top w:val="nil"/>
              <w:left w:val="nil"/>
              <w:bottom w:val="single" w:sz="4" w:space="0" w:color="auto"/>
              <w:right w:val="single" w:sz="4" w:space="0" w:color="auto"/>
            </w:tcBorders>
            <w:shd w:val="clear" w:color="auto" w:fill="auto"/>
            <w:noWrap/>
            <w:vAlign w:val="center"/>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6</w:t>
            </w:r>
            <w:r>
              <w:rPr>
                <w:rFonts w:ascii="Times New Roman" w:hAnsi="Times New Roman" w:cs="Times New Roman"/>
                <w:sz w:val="14"/>
                <w:szCs w:val="14"/>
                <w:lang w:eastAsia="sk-SK"/>
              </w:rPr>
              <w:t>2</w:t>
            </w:r>
            <w:r w:rsidRPr="00D26052">
              <w:rPr>
                <w:rFonts w:ascii="Times New Roman" w:hAnsi="Times New Roman" w:cs="Times New Roman"/>
                <w:sz w:val="14"/>
                <w:szCs w:val="14"/>
                <w:lang w:eastAsia="sk-SK"/>
              </w:rPr>
              <w:t xml:space="preserve"> 7</w:t>
            </w:r>
            <w:r>
              <w:rPr>
                <w:rFonts w:ascii="Times New Roman" w:hAnsi="Times New Roman" w:cs="Times New Roman"/>
                <w:sz w:val="14"/>
                <w:szCs w:val="14"/>
                <w:lang w:eastAsia="sk-SK"/>
              </w:rPr>
              <w:t>48</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847</w:t>
            </w:r>
          </w:p>
        </w:tc>
        <w:tc>
          <w:tcPr>
            <w:tcW w:w="0" w:type="auto"/>
            <w:tcBorders>
              <w:top w:val="nil"/>
              <w:left w:val="nil"/>
              <w:bottom w:val="single" w:sz="4" w:space="0" w:color="auto"/>
              <w:right w:val="single" w:sz="4" w:space="0" w:color="auto"/>
            </w:tcBorders>
            <w:shd w:val="clear" w:color="auto" w:fill="auto"/>
            <w:noWrap/>
            <w:vAlign w:val="center"/>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6</w:t>
            </w:r>
            <w:r>
              <w:rPr>
                <w:rFonts w:ascii="Times New Roman" w:hAnsi="Times New Roman" w:cs="Times New Roman"/>
                <w:sz w:val="14"/>
                <w:szCs w:val="14"/>
                <w:lang w:eastAsia="sk-SK"/>
              </w:rPr>
              <w:t>6</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69</w:t>
            </w:r>
            <w:r w:rsidRPr="00D26052">
              <w:rPr>
                <w:rFonts w:ascii="Times New Roman" w:hAnsi="Times New Roman" w:cs="Times New Roman"/>
                <w:sz w:val="14"/>
                <w:szCs w:val="14"/>
                <w:lang w:eastAsia="sk-SK"/>
              </w:rPr>
              <w:t>7 0</w:t>
            </w:r>
            <w:r>
              <w:rPr>
                <w:rFonts w:ascii="Times New Roman" w:hAnsi="Times New Roman" w:cs="Times New Roman"/>
                <w:sz w:val="14"/>
                <w:szCs w:val="14"/>
                <w:lang w:eastAsia="sk-SK"/>
              </w:rPr>
              <w:t>98</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w:t>
            </w:r>
            <w:r w:rsidRPr="00D26052">
              <w:rPr>
                <w:rFonts w:ascii="Times New Roman" w:hAnsi="Times New Roman" w:cs="Times New Roman"/>
                <w:color w:val="000000"/>
                <w:sz w:val="14"/>
                <w:szCs w:val="14"/>
                <w:lang w:eastAsia="sk-SK"/>
              </w:rPr>
              <w:t>0 6</w:t>
            </w:r>
            <w:r>
              <w:rPr>
                <w:rFonts w:ascii="Times New Roman" w:hAnsi="Times New Roman" w:cs="Times New Roman"/>
                <w:color w:val="000000"/>
                <w:sz w:val="14"/>
                <w:szCs w:val="14"/>
                <w:lang w:eastAsia="sk-SK"/>
              </w:rPr>
              <w:t>34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w:t>
            </w:r>
            <w:r w:rsidRPr="00D26052">
              <w:rPr>
                <w:rFonts w:ascii="Times New Roman" w:hAnsi="Times New Roman" w:cs="Times New Roman"/>
                <w:color w:val="000000"/>
                <w:sz w:val="14"/>
                <w:szCs w:val="14"/>
                <w:lang w:eastAsia="sk-SK"/>
              </w:rPr>
              <w:t>6</w:t>
            </w:r>
            <w:r>
              <w:rPr>
                <w:rFonts w:ascii="Times New Roman" w:hAnsi="Times New Roman" w:cs="Times New Roman"/>
                <w:color w:val="000000"/>
                <w:sz w:val="14"/>
                <w:szCs w:val="14"/>
                <w:lang w:eastAsia="sk-SK"/>
              </w:rPr>
              <w:t>3</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6</w:t>
            </w:r>
            <w:r>
              <w:rPr>
                <w:rFonts w:ascii="Times New Roman" w:hAnsi="Times New Roman" w:cs="Times New Roman"/>
                <w:color w:val="000000"/>
                <w:sz w:val="14"/>
                <w:szCs w:val="14"/>
                <w:lang w:eastAsia="sk-SK"/>
              </w:rPr>
              <w:t>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107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54</w:t>
            </w:r>
            <w:r w:rsidRPr="00D26052">
              <w:rPr>
                <w:rFonts w:ascii="Times New Roman" w:hAnsi="Times New Roman" w:cs="Times New Roman"/>
                <w:color w:val="000000"/>
                <w:sz w:val="14"/>
                <w:szCs w:val="14"/>
                <w:lang w:eastAsia="sk-SK"/>
              </w:rPr>
              <w:t>6</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6</w:t>
            </w:r>
            <w:r>
              <w:rPr>
                <w:rFonts w:ascii="Times New Roman" w:hAnsi="Times New Roman" w:cs="Times New Roman"/>
                <w:color w:val="000000"/>
                <w:sz w:val="14"/>
                <w:szCs w:val="14"/>
                <w:lang w:eastAsia="sk-SK"/>
              </w:rPr>
              <w:t>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660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w:t>
            </w:r>
            <w:r w:rsidRPr="00D26052">
              <w:rPr>
                <w:rFonts w:ascii="Times New Roman" w:hAnsi="Times New Roman" w:cs="Times New Roman"/>
                <w:color w:val="000000"/>
                <w:sz w:val="14"/>
                <w:szCs w:val="14"/>
                <w:lang w:eastAsia="sk-SK"/>
              </w:rPr>
              <w:t>46</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6</w:t>
            </w:r>
            <w:r>
              <w:rPr>
                <w:rFonts w:ascii="Times New Roman" w:hAnsi="Times New Roman" w:cs="Times New Roman"/>
                <w:color w:val="000000"/>
                <w:sz w:val="14"/>
                <w:szCs w:val="14"/>
                <w:lang w:eastAsia="sk-SK"/>
              </w:rPr>
              <w:t>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076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729</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076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729</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3F3" w:rsidRPr="00D26052" w:rsidRDefault="007D13F3" w:rsidP="00465CAC">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D26052">
              <w:rPr>
                <w:rFonts w:ascii="Times New Roman" w:hAnsi="Times New Roman" w:cs="Times New Roman"/>
                <w:color w:val="000000"/>
                <w:sz w:val="14"/>
                <w:szCs w:val="14"/>
                <w:lang w:eastAsia="sk-SK"/>
              </w:rPr>
              <w:t>640 bežné transfery</w:t>
            </w:r>
          </w:p>
        </w:tc>
        <w:tc>
          <w:tcPr>
            <w:tcW w:w="0" w:type="auto"/>
            <w:tcBorders>
              <w:top w:val="nil"/>
              <w:left w:val="nil"/>
              <w:bottom w:val="single" w:sz="4" w:space="0" w:color="auto"/>
              <w:right w:val="single" w:sz="4" w:space="0" w:color="auto"/>
            </w:tcBorders>
            <w:shd w:val="clear" w:color="auto" w:fill="auto"/>
            <w:noWrap/>
            <w:vAlign w:val="center"/>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1 </w:t>
            </w:r>
            <w:r>
              <w:rPr>
                <w:rFonts w:ascii="Times New Roman" w:hAnsi="Times New Roman" w:cs="Times New Roman"/>
                <w:sz w:val="14"/>
                <w:szCs w:val="14"/>
                <w:lang w:eastAsia="sk-SK"/>
              </w:rPr>
              <w:t>690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w:t>
            </w:r>
            <w:r w:rsidRPr="00D26052">
              <w:rPr>
                <w:rFonts w:ascii="Times New Roman" w:hAnsi="Times New Roman" w:cs="Times New Roman"/>
                <w:sz w:val="14"/>
                <w:szCs w:val="14"/>
                <w:lang w:eastAsia="sk-SK"/>
              </w:rPr>
              <w:t>3</w:t>
            </w:r>
            <w:r>
              <w:rPr>
                <w:rFonts w:ascii="Times New Roman" w:hAnsi="Times New Roman" w:cs="Times New Roman"/>
                <w:sz w:val="14"/>
                <w:szCs w:val="14"/>
                <w:lang w:eastAsia="sk-SK"/>
              </w:rPr>
              <w:t>5</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494</w:t>
            </w:r>
          </w:p>
        </w:tc>
        <w:tc>
          <w:tcPr>
            <w:tcW w:w="0" w:type="auto"/>
            <w:tcBorders>
              <w:top w:val="nil"/>
              <w:left w:val="nil"/>
              <w:bottom w:val="single" w:sz="4" w:space="0" w:color="auto"/>
              <w:right w:val="single" w:sz="4" w:space="0" w:color="auto"/>
            </w:tcBorders>
            <w:shd w:val="clear" w:color="auto" w:fill="auto"/>
            <w:noWrap/>
            <w:vAlign w:val="center"/>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1</w:t>
            </w:r>
            <w:r>
              <w:rPr>
                <w:rFonts w:ascii="Times New Roman" w:hAnsi="Times New Roman" w:cs="Times New Roman"/>
                <w:sz w:val="14"/>
                <w:szCs w:val="14"/>
                <w:lang w:eastAsia="sk-SK"/>
              </w:rPr>
              <w:t xml:space="preserve"> 715</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333</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92</w:t>
            </w:r>
            <w:r w:rsidRPr="00D26052">
              <w:rPr>
                <w:rFonts w:ascii="Times New Roman" w:hAnsi="Times New Roman" w:cs="Times New Roman"/>
                <w:sz w:val="14"/>
                <w:szCs w:val="14"/>
                <w:lang w:eastAsia="sk-SK"/>
              </w:rPr>
              <w:t>3</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1 772 </w:t>
            </w:r>
            <w:r>
              <w:rPr>
                <w:rFonts w:ascii="Times New Roman" w:hAnsi="Times New Roman" w:cs="Times New Roman"/>
                <w:color w:val="000000"/>
                <w:sz w:val="14"/>
                <w:szCs w:val="14"/>
                <w:lang w:eastAsia="sk-SK"/>
              </w:rPr>
              <w:t>9</w:t>
            </w:r>
            <w:r w:rsidRPr="00D26052">
              <w:rPr>
                <w:rFonts w:ascii="Times New Roman" w:hAnsi="Times New Roman" w:cs="Times New Roman"/>
                <w:color w:val="000000"/>
                <w:sz w:val="14"/>
                <w:szCs w:val="14"/>
                <w:lang w:eastAsia="sk-SK"/>
              </w:rPr>
              <w:t>6</w:t>
            </w:r>
            <w:r>
              <w:rPr>
                <w:rFonts w:ascii="Times New Roman" w:hAnsi="Times New Roman" w:cs="Times New Roman"/>
                <w:color w:val="000000"/>
                <w:sz w:val="14"/>
                <w:szCs w:val="14"/>
                <w:lang w:eastAsia="sk-SK"/>
              </w:rPr>
              <w:t>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8</w:t>
            </w:r>
            <w:r>
              <w:rPr>
                <w:rFonts w:ascii="Times New Roman" w:hAnsi="Times New Roman" w:cs="Times New Roman"/>
                <w:color w:val="000000"/>
                <w:sz w:val="14"/>
                <w:szCs w:val="14"/>
                <w:lang w:eastAsia="sk-SK"/>
              </w:rPr>
              <w:t>1</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1 74</w:t>
            </w:r>
            <w:r>
              <w:rPr>
                <w:rFonts w:ascii="Times New Roman" w:hAnsi="Times New Roman" w:cs="Times New Roman"/>
                <w:color w:val="000000"/>
                <w:sz w:val="14"/>
                <w:szCs w:val="14"/>
                <w:lang w:eastAsia="sk-SK"/>
              </w:rPr>
              <w:t>8</w:t>
            </w:r>
            <w:r w:rsidRPr="00D26052">
              <w:rPr>
                <w:rFonts w:ascii="Times New Roman" w:hAnsi="Times New Roman" w:cs="Times New Roman"/>
                <w:color w:val="000000"/>
                <w:sz w:val="14"/>
                <w:szCs w:val="14"/>
                <w:lang w:eastAsia="sk-SK"/>
              </w:rPr>
              <w:t xml:space="preserve"> 6</w:t>
            </w:r>
            <w:r>
              <w:rPr>
                <w:rFonts w:ascii="Times New Roman" w:hAnsi="Times New Roman" w:cs="Times New Roman"/>
                <w:color w:val="000000"/>
                <w:sz w:val="14"/>
                <w:szCs w:val="14"/>
                <w:lang w:eastAsia="sk-SK"/>
              </w:rPr>
              <w:t>61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847</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1 </w:t>
            </w:r>
            <w:r>
              <w:rPr>
                <w:rFonts w:ascii="Times New Roman" w:hAnsi="Times New Roman" w:cs="Times New Roman"/>
                <w:color w:val="000000"/>
                <w:sz w:val="14"/>
                <w:szCs w:val="14"/>
                <w:lang w:eastAsia="sk-SK"/>
              </w:rPr>
              <w:t>854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326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095</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 928 796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993</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960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052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672</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w:t>
            </w:r>
            <w:r w:rsidRPr="00D26052">
              <w:rPr>
                <w:rFonts w:ascii="Times New Roman" w:hAnsi="Times New Roman" w:cs="Times New Roman"/>
                <w:sz w:val="14"/>
                <w:szCs w:val="14"/>
                <w:lang w:eastAsia="sk-SK"/>
              </w:rPr>
              <w:t>kapitálové výdavky 700</w:t>
            </w:r>
          </w:p>
        </w:tc>
        <w:tc>
          <w:tcPr>
            <w:tcW w:w="0" w:type="auto"/>
            <w:tcBorders>
              <w:top w:val="nil"/>
              <w:left w:val="nil"/>
              <w:bottom w:val="single" w:sz="4" w:space="0" w:color="auto"/>
              <w:right w:val="single" w:sz="4" w:space="0" w:color="auto"/>
            </w:tcBorders>
            <w:shd w:val="clear" w:color="auto" w:fill="auto"/>
            <w:noWrap/>
            <w:vAlign w:val="center"/>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5</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670</w:t>
            </w:r>
            <w:r w:rsidRPr="00D26052">
              <w:rPr>
                <w:rFonts w:ascii="Times New Roman" w:hAnsi="Times New Roman" w:cs="Times New Roman"/>
                <w:sz w:val="14"/>
                <w:szCs w:val="14"/>
                <w:lang w:eastAsia="sk-SK"/>
              </w:rPr>
              <w:t xml:space="preserve"> 2</w:t>
            </w:r>
            <w:r>
              <w:rPr>
                <w:rFonts w:ascii="Times New Roman" w:hAnsi="Times New Roman" w:cs="Times New Roman"/>
                <w:sz w:val="14"/>
                <w:szCs w:val="14"/>
                <w:lang w:eastAsia="sk-SK"/>
              </w:rPr>
              <w:t>96</w:t>
            </w:r>
          </w:p>
        </w:tc>
        <w:tc>
          <w:tcPr>
            <w:tcW w:w="0" w:type="auto"/>
            <w:tcBorders>
              <w:top w:val="nil"/>
              <w:left w:val="nil"/>
              <w:bottom w:val="single" w:sz="4" w:space="0" w:color="auto"/>
              <w:right w:val="single" w:sz="4" w:space="0" w:color="auto"/>
            </w:tcBorders>
            <w:shd w:val="clear" w:color="auto" w:fill="auto"/>
            <w:noWrap/>
            <w:vAlign w:val="center"/>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w:t>
            </w:r>
            <w:r w:rsidRPr="00D26052">
              <w:rPr>
                <w:rFonts w:ascii="Times New Roman" w:hAnsi="Times New Roman" w:cs="Times New Roman"/>
                <w:sz w:val="14"/>
                <w:szCs w:val="14"/>
                <w:lang w:eastAsia="sk-SK"/>
              </w:rPr>
              <w:t xml:space="preserve"> 6</w:t>
            </w:r>
            <w:r>
              <w:rPr>
                <w:rFonts w:ascii="Times New Roman" w:hAnsi="Times New Roman" w:cs="Times New Roman"/>
                <w:sz w:val="14"/>
                <w:szCs w:val="14"/>
                <w:lang w:eastAsia="sk-SK"/>
              </w:rPr>
              <w:t>96</w:t>
            </w:r>
            <w:r w:rsidRPr="00D26052">
              <w:rPr>
                <w:rFonts w:ascii="Times New Roman" w:hAnsi="Times New Roman" w:cs="Times New Roman"/>
                <w:sz w:val="14"/>
                <w:szCs w:val="14"/>
                <w:lang w:eastAsia="sk-SK"/>
              </w:rPr>
              <w:t xml:space="preserve"> 6</w:t>
            </w:r>
            <w:r>
              <w:rPr>
                <w:rFonts w:ascii="Times New Roman" w:hAnsi="Times New Roman" w:cs="Times New Roman"/>
                <w:sz w:val="14"/>
                <w:szCs w:val="14"/>
                <w:lang w:eastAsia="sk-SK"/>
              </w:rPr>
              <w:t>46</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w:t>
            </w:r>
            <w:r w:rsidRPr="00D26052">
              <w:rPr>
                <w:rFonts w:ascii="Times New Roman" w:hAnsi="Times New Roman" w:cs="Times New Roman"/>
                <w:color w:val="000000"/>
                <w:sz w:val="14"/>
                <w:szCs w:val="14"/>
                <w:lang w:eastAsia="sk-SK"/>
              </w:rPr>
              <w:t xml:space="preserve"> 993 470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934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458</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052</w:t>
            </w:r>
            <w:r w:rsidRPr="00D26052">
              <w:rPr>
                <w:rFonts w:ascii="Times New Roman" w:hAnsi="Times New Roman" w:cs="Times New Roman"/>
                <w:color w:val="000000"/>
                <w:sz w:val="14"/>
                <w:szCs w:val="14"/>
                <w:lang w:eastAsia="sk-SK"/>
              </w:rPr>
              <w:t xml:space="preserve"> 470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 xml:space="preserve"> 3</w:t>
            </w:r>
            <w:r>
              <w:rPr>
                <w:rFonts w:ascii="Times New Roman" w:hAnsi="Times New Roman" w:cs="Times New Roman"/>
                <w:color w:val="000000"/>
                <w:sz w:val="14"/>
                <w:szCs w:val="14"/>
                <w:lang w:eastAsia="sk-SK"/>
              </w:rPr>
              <w:t>83</w:t>
            </w:r>
            <w:r w:rsidRPr="00D26052">
              <w:rPr>
                <w:rFonts w:ascii="Times New Roman" w:hAnsi="Times New Roman" w:cs="Times New Roman"/>
                <w:color w:val="000000"/>
                <w:sz w:val="14"/>
                <w:szCs w:val="14"/>
                <w:lang w:eastAsia="sk-SK"/>
              </w:rPr>
              <w:t xml:space="preserve"> 470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4 993 470</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3F3" w:rsidRPr="00D26052" w:rsidRDefault="007D13F3" w:rsidP="00465CAC">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 xml:space="preserve">zdroje EÚ vrátane spolufinancovania: </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9 6</w:t>
            </w:r>
            <w:r>
              <w:rPr>
                <w:rFonts w:ascii="Times New Roman" w:hAnsi="Times New Roman" w:cs="Times New Roman"/>
                <w:b/>
                <w:bCs/>
                <w:color w:val="000000"/>
                <w:sz w:val="14"/>
                <w:szCs w:val="14"/>
                <w:lang w:eastAsia="sk-SK"/>
              </w:rPr>
              <w:t>66</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424</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7 </w:t>
            </w:r>
            <w:r>
              <w:rPr>
                <w:rFonts w:ascii="Times New Roman" w:hAnsi="Times New Roman" w:cs="Times New Roman"/>
                <w:b/>
                <w:bCs/>
                <w:color w:val="000000"/>
                <w:sz w:val="14"/>
                <w:szCs w:val="14"/>
                <w:lang w:eastAsia="sk-SK"/>
              </w:rPr>
              <w:t>4</w:t>
            </w:r>
            <w:r w:rsidRPr="00D26052">
              <w:rPr>
                <w:rFonts w:ascii="Times New Roman" w:hAnsi="Times New Roman" w:cs="Times New Roman"/>
                <w:b/>
                <w:bCs/>
                <w:color w:val="000000"/>
                <w:sz w:val="14"/>
                <w:szCs w:val="14"/>
                <w:lang w:eastAsia="sk-SK"/>
              </w:rPr>
              <w:t>3</w:t>
            </w:r>
            <w:r>
              <w:rPr>
                <w:rFonts w:ascii="Times New Roman" w:hAnsi="Times New Roman" w:cs="Times New Roman"/>
                <w:b/>
                <w:bCs/>
                <w:color w:val="000000"/>
                <w:sz w:val="14"/>
                <w:szCs w:val="14"/>
                <w:lang w:eastAsia="sk-SK"/>
              </w:rPr>
              <w:t>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437</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243</w:t>
            </w:r>
            <w:r w:rsidRPr="00D26052">
              <w:rPr>
                <w:rFonts w:ascii="Times New Roman" w:hAnsi="Times New Roman" w:cs="Times New Roman"/>
                <w:b/>
                <w:bCs/>
                <w:color w:val="000000"/>
                <w:sz w:val="14"/>
                <w:szCs w:val="14"/>
                <w:lang w:eastAsia="sk-SK"/>
              </w:rPr>
              <w:t xml:space="preserve"> 8</w:t>
            </w:r>
            <w:r>
              <w:rPr>
                <w:rFonts w:ascii="Times New Roman" w:hAnsi="Times New Roman" w:cs="Times New Roman"/>
                <w:b/>
                <w:bCs/>
                <w:color w:val="000000"/>
                <w:sz w:val="14"/>
                <w:szCs w:val="14"/>
                <w:lang w:eastAsia="sk-SK"/>
              </w:rPr>
              <w:t>17</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672</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50</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718</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247</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w:t>
            </w:r>
            <w:r>
              <w:rPr>
                <w:rFonts w:ascii="Times New Roman" w:hAnsi="Times New Roman" w:cs="Times New Roman"/>
                <w:b/>
                <w:bCs/>
                <w:color w:val="000000"/>
                <w:sz w:val="14"/>
                <w:szCs w:val="14"/>
                <w:lang w:eastAsia="sk-SK"/>
              </w:rPr>
              <w:t>36</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973</w:t>
            </w:r>
            <w:r w:rsidRPr="00D26052">
              <w:rPr>
                <w:rFonts w:ascii="Times New Roman" w:hAnsi="Times New Roman" w:cs="Times New Roman"/>
                <w:b/>
                <w:bCs/>
                <w:color w:val="000000"/>
                <w:sz w:val="14"/>
                <w:szCs w:val="14"/>
                <w:lang w:eastAsia="sk-SK"/>
              </w:rPr>
              <w:t xml:space="preserve"> 2</w:t>
            </w:r>
            <w:r>
              <w:rPr>
                <w:rFonts w:ascii="Times New Roman" w:hAnsi="Times New Roman" w:cs="Times New Roman"/>
                <w:b/>
                <w:bCs/>
                <w:color w:val="000000"/>
                <w:sz w:val="14"/>
                <w:szCs w:val="14"/>
                <w:lang w:eastAsia="sk-SK"/>
              </w:rPr>
              <w:t>80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w:t>
            </w:r>
            <w:r>
              <w:rPr>
                <w:rFonts w:ascii="Times New Roman" w:hAnsi="Times New Roman" w:cs="Times New Roman"/>
                <w:b/>
                <w:bCs/>
                <w:color w:val="000000"/>
                <w:sz w:val="14"/>
                <w:szCs w:val="14"/>
                <w:lang w:eastAsia="sk-SK"/>
              </w:rPr>
              <w:t>50</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05</w:t>
            </w:r>
            <w:r w:rsidRPr="00D26052">
              <w:rPr>
                <w:rFonts w:ascii="Times New Roman" w:hAnsi="Times New Roman" w:cs="Times New Roman"/>
                <w:b/>
                <w:bCs/>
                <w:color w:val="000000"/>
                <w:sz w:val="14"/>
                <w:szCs w:val="14"/>
                <w:lang w:eastAsia="sk-SK"/>
              </w:rPr>
              <w:t>1 79</w:t>
            </w:r>
            <w:r>
              <w:rPr>
                <w:rFonts w:ascii="Times New Roman" w:hAnsi="Times New Roman" w:cs="Times New Roman"/>
                <w:b/>
                <w:bCs/>
                <w:color w:val="000000"/>
                <w:sz w:val="14"/>
                <w:szCs w:val="14"/>
                <w:lang w:eastAsia="sk-SK"/>
              </w:rPr>
              <w:t>7</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w:t>
            </w:r>
            <w:r>
              <w:rPr>
                <w:rFonts w:ascii="Times New Roman" w:hAnsi="Times New Roman" w:cs="Times New Roman"/>
                <w:b/>
                <w:bCs/>
                <w:color w:val="000000"/>
                <w:sz w:val="14"/>
                <w:szCs w:val="14"/>
                <w:lang w:eastAsia="sk-SK"/>
              </w:rPr>
              <w:t>50</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1</w:t>
            </w:r>
            <w:r w:rsidRPr="00D26052">
              <w:rPr>
                <w:rFonts w:ascii="Times New Roman" w:hAnsi="Times New Roman" w:cs="Times New Roman"/>
                <w:b/>
                <w:bCs/>
                <w:color w:val="000000"/>
                <w:sz w:val="14"/>
                <w:szCs w:val="14"/>
                <w:lang w:eastAsia="sk-SK"/>
              </w:rPr>
              <w:t>3</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143</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v tom:  2. programov</w:t>
            </w:r>
            <w:r>
              <w:rPr>
                <w:rFonts w:ascii="Times New Roman" w:hAnsi="Times New Roman" w:cs="Times New Roman"/>
                <w:sz w:val="14"/>
                <w:szCs w:val="14"/>
                <w:lang w:eastAsia="sk-SK"/>
              </w:rPr>
              <w:t>é</w:t>
            </w:r>
            <w:r w:rsidRPr="00D26052">
              <w:rPr>
                <w:rFonts w:ascii="Times New Roman" w:hAnsi="Times New Roman" w:cs="Times New Roman"/>
                <w:sz w:val="14"/>
                <w:szCs w:val="14"/>
                <w:lang w:eastAsia="sk-SK"/>
              </w:rPr>
              <w:t xml:space="preserve"> obdobie E</w:t>
            </w:r>
            <w:r>
              <w:rPr>
                <w:rFonts w:ascii="Times New Roman" w:hAnsi="Times New Roman" w:cs="Times New Roman"/>
                <w:sz w:val="14"/>
                <w:szCs w:val="14"/>
                <w:lang w:eastAsia="sk-SK"/>
              </w:rPr>
              <w:t>Ú</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 xml:space="preserve">8 </w:t>
            </w:r>
            <w:r>
              <w:rPr>
                <w:rFonts w:ascii="Times New Roman" w:hAnsi="Times New Roman" w:cs="Times New Roman"/>
                <w:color w:val="000000"/>
                <w:sz w:val="14"/>
                <w:szCs w:val="14"/>
                <w:lang w:eastAsia="sk-SK"/>
              </w:rPr>
              <w:t>247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677</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 54</w:t>
            </w:r>
            <w:r>
              <w:rPr>
                <w:rFonts w:ascii="Times New Roman" w:hAnsi="Times New Roman" w:cs="Times New Roman"/>
                <w:color w:val="000000"/>
                <w:sz w:val="14"/>
                <w:szCs w:val="14"/>
                <w:lang w:eastAsia="sk-SK"/>
              </w:rPr>
              <w:t>3</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470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1</w:t>
            </w:r>
            <w:r w:rsidRPr="00D26052">
              <w:rPr>
                <w:rFonts w:ascii="Times New Roman" w:hAnsi="Times New Roman" w:cs="Times New Roman"/>
                <w:color w:val="000000"/>
                <w:sz w:val="14"/>
                <w:szCs w:val="14"/>
                <w:lang w:eastAsia="sk-SK"/>
              </w:rPr>
              <w:t xml:space="preserve"> 4</w:t>
            </w:r>
            <w:r>
              <w:rPr>
                <w:rFonts w:ascii="Times New Roman" w:hAnsi="Times New Roman" w:cs="Times New Roman"/>
                <w:color w:val="000000"/>
                <w:sz w:val="14"/>
                <w:szCs w:val="14"/>
                <w:lang w:eastAsia="sk-SK"/>
              </w:rPr>
              <w:t>18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7</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272</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3. programov</w:t>
            </w:r>
            <w:r>
              <w:rPr>
                <w:rFonts w:ascii="Times New Roman" w:hAnsi="Times New Roman" w:cs="Times New Roman"/>
                <w:sz w:val="14"/>
                <w:szCs w:val="14"/>
                <w:lang w:eastAsia="sk-SK"/>
              </w:rPr>
              <w:t>é</w:t>
            </w:r>
            <w:r w:rsidRPr="00D26052">
              <w:rPr>
                <w:rFonts w:ascii="Times New Roman" w:hAnsi="Times New Roman" w:cs="Times New Roman"/>
                <w:sz w:val="14"/>
                <w:szCs w:val="14"/>
                <w:lang w:eastAsia="sk-SK"/>
              </w:rPr>
              <w:t xml:space="preserve"> obdobie E</w:t>
            </w:r>
            <w:r>
              <w:rPr>
                <w:rFonts w:ascii="Times New Roman" w:hAnsi="Times New Roman" w:cs="Times New Roman"/>
                <w:sz w:val="14"/>
                <w:szCs w:val="14"/>
                <w:lang w:eastAsia="sk-SK"/>
              </w:rPr>
              <w:t>Ú</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4 755 728</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202</w:t>
            </w:r>
            <w:r w:rsidRPr="00D26052">
              <w:rPr>
                <w:rFonts w:ascii="Times New Roman" w:hAnsi="Times New Roman" w:cs="Times New Roman"/>
                <w:color w:val="000000"/>
                <w:sz w:val="14"/>
                <w:szCs w:val="14"/>
                <w:lang w:eastAsia="sk-SK"/>
              </w:rPr>
              <w:t xml:space="preserve"> 8</w:t>
            </w:r>
            <w:r>
              <w:rPr>
                <w:rFonts w:ascii="Times New Roman" w:hAnsi="Times New Roman" w:cs="Times New Roman"/>
                <w:color w:val="000000"/>
                <w:sz w:val="14"/>
                <w:szCs w:val="14"/>
                <w:lang w:eastAsia="sk-SK"/>
              </w:rPr>
              <w:t>94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408</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w:t>
            </w:r>
            <w:r w:rsidRPr="00D26052">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3</w:t>
            </w:r>
            <w:r w:rsidRPr="00D26052">
              <w:rPr>
                <w:rFonts w:ascii="Times New Roman" w:hAnsi="Times New Roman" w:cs="Times New Roman"/>
                <w:color w:val="000000"/>
                <w:sz w:val="14"/>
                <w:szCs w:val="14"/>
                <w:lang w:eastAsia="sk-SK"/>
              </w:rPr>
              <w:t xml:space="preserve"> 8</w:t>
            </w:r>
            <w:r>
              <w:rPr>
                <w:rFonts w:ascii="Times New Roman" w:hAnsi="Times New Roman" w:cs="Times New Roman"/>
                <w:color w:val="000000"/>
                <w:sz w:val="14"/>
                <w:szCs w:val="14"/>
                <w:lang w:eastAsia="sk-SK"/>
              </w:rPr>
              <w:t>10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231</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20</w:t>
            </w:r>
            <w:r>
              <w:rPr>
                <w:rFonts w:ascii="Times New Roman" w:hAnsi="Times New Roman" w:cs="Times New Roman"/>
                <w:color w:val="000000"/>
                <w:sz w:val="14"/>
                <w:szCs w:val="14"/>
                <w:lang w:eastAsia="sk-SK"/>
              </w:rPr>
              <w:t>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451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743</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 xml:space="preserve">05 876 </w:t>
            </w:r>
            <w:r w:rsidRPr="00D26052">
              <w:rPr>
                <w:rFonts w:ascii="Times New Roman" w:hAnsi="Times New Roman" w:cs="Times New Roman"/>
                <w:color w:val="000000"/>
                <w:sz w:val="14"/>
                <w:szCs w:val="14"/>
                <w:lang w:eastAsia="sk-SK"/>
              </w:rPr>
              <w:t>0</w:t>
            </w:r>
            <w:r>
              <w:rPr>
                <w:rFonts w:ascii="Times New Roman" w:hAnsi="Times New Roman" w:cs="Times New Roman"/>
                <w:color w:val="000000"/>
                <w:sz w:val="14"/>
                <w:szCs w:val="14"/>
                <w:lang w:eastAsia="sk-SK"/>
              </w:rPr>
              <w:t>8</w:t>
            </w:r>
            <w:r w:rsidRPr="00D26052">
              <w:rPr>
                <w:rFonts w:ascii="Times New Roman" w:hAnsi="Times New Roman" w:cs="Times New Roman"/>
                <w:color w:val="000000"/>
                <w:sz w:val="14"/>
                <w:szCs w:val="14"/>
                <w:lang w:eastAsia="sk-SK"/>
              </w:rPr>
              <w:t>5</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06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631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317</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2 1</w:t>
            </w:r>
            <w:r w:rsidRPr="00D26052">
              <w:rPr>
                <w:rFonts w:ascii="Times New Roman" w:hAnsi="Times New Roman" w:cs="Times New Roman"/>
                <w:color w:val="000000"/>
                <w:sz w:val="14"/>
                <w:szCs w:val="14"/>
                <w:lang w:eastAsia="sk-SK"/>
              </w:rPr>
              <w:t>0</w:t>
            </w:r>
            <w:r>
              <w:rPr>
                <w:rFonts w:ascii="Times New Roman" w:hAnsi="Times New Roman" w:cs="Times New Roman"/>
                <w:color w:val="000000"/>
                <w:sz w:val="14"/>
                <w:szCs w:val="14"/>
                <w:lang w:eastAsia="sk-SK"/>
              </w:rPr>
              <w:t>1 967</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923</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264</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908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01</w:t>
            </w:r>
            <w:r w:rsidRPr="00D26052">
              <w:rPr>
                <w:rFonts w:ascii="Times New Roman" w:hAnsi="Times New Roman" w:cs="Times New Roman"/>
                <w:color w:val="000000"/>
                <w:sz w:val="14"/>
                <w:szCs w:val="14"/>
                <w:lang w:eastAsia="sk-SK"/>
              </w:rPr>
              <w:t>6</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537</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4 175 712</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43</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0</w:t>
            </w: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826</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3F3" w:rsidRPr="00D26052" w:rsidRDefault="007D13F3" w:rsidP="00465CAC">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presun z minulých rokov</w:t>
            </w:r>
            <w:r>
              <w:rPr>
                <w:rFonts w:ascii="Times New Roman" w:hAnsi="Times New Roman" w:cs="Times New Roman"/>
                <w:b/>
                <w:bCs/>
                <w:sz w:val="14"/>
                <w:szCs w:val="14"/>
                <w:lang w:eastAsia="sk-SK"/>
              </w:rPr>
              <w:t xml:space="preserve"> § 8</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157</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715</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870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91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345</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824</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148</w:t>
            </w:r>
            <w:r w:rsidRPr="00D26052">
              <w:rPr>
                <w:rFonts w:ascii="Times New Roman" w:hAnsi="Times New Roman" w:cs="Times New Roman"/>
                <w:b/>
                <w:bCs/>
                <w:color w:val="000000"/>
                <w:sz w:val="14"/>
                <w:szCs w:val="14"/>
                <w:lang w:eastAsia="sk-SK"/>
              </w:rPr>
              <w:t> </w:t>
            </w:r>
            <w:r>
              <w:rPr>
                <w:rFonts w:ascii="Times New Roman" w:hAnsi="Times New Roman" w:cs="Times New Roman"/>
                <w:b/>
                <w:bCs/>
                <w:color w:val="000000"/>
                <w:sz w:val="14"/>
                <w:szCs w:val="14"/>
                <w:lang w:eastAsia="sk-SK"/>
              </w:rPr>
              <w:t>349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363</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0</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v</w:t>
            </w:r>
            <w:r w:rsidRPr="00D26052">
              <w:rPr>
                <w:rFonts w:ascii="Times New Roman" w:hAnsi="Times New Roman" w:cs="Times New Roman"/>
                <w:color w:val="000000"/>
                <w:sz w:val="14"/>
                <w:szCs w:val="14"/>
                <w:lang w:eastAsia="sk-SK"/>
              </w:rPr>
              <w:t xml:space="preserve"> to</w:t>
            </w:r>
            <w:r>
              <w:rPr>
                <w:rFonts w:ascii="Times New Roman" w:hAnsi="Times New Roman" w:cs="Times New Roman"/>
                <w:color w:val="000000"/>
                <w:sz w:val="14"/>
                <w:szCs w:val="14"/>
                <w:lang w:eastAsia="sk-SK"/>
              </w:rPr>
              <w:t>m</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štátny rozpočet</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8 715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178</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w:t>
            </w:r>
            <w:r w:rsidRPr="00D26052">
              <w:rPr>
                <w:rFonts w:ascii="Times New Roman" w:hAnsi="Times New Roman" w:cs="Times New Roman"/>
                <w:color w:val="000000"/>
                <w:sz w:val="14"/>
                <w:szCs w:val="14"/>
                <w:lang w:eastAsia="sk-SK"/>
              </w:rPr>
              <w:t>7</w:t>
            </w:r>
            <w:r>
              <w:rPr>
                <w:rFonts w:ascii="Times New Roman" w:hAnsi="Times New Roman" w:cs="Times New Roman"/>
                <w:color w:val="000000"/>
                <w:sz w:val="14"/>
                <w:szCs w:val="14"/>
                <w:lang w:eastAsia="sk-SK"/>
              </w:rPr>
              <w:t>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w:t>
            </w:r>
            <w:r w:rsidRPr="00D26052">
              <w:rPr>
                <w:rFonts w:ascii="Times New Roman" w:hAnsi="Times New Roman" w:cs="Times New Roman"/>
                <w:color w:val="000000"/>
                <w:sz w:val="14"/>
                <w:szCs w:val="14"/>
                <w:lang w:eastAsia="sk-SK"/>
              </w:rPr>
              <w:t>8</w:t>
            </w:r>
            <w:r>
              <w:rPr>
                <w:rFonts w:ascii="Times New Roman" w:hAnsi="Times New Roman" w:cs="Times New Roman"/>
                <w:color w:val="000000"/>
                <w:sz w:val="14"/>
                <w:szCs w:val="14"/>
                <w:lang w:eastAsia="sk-SK"/>
              </w:rPr>
              <w:t>4</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w:t>
            </w:r>
            <w:r>
              <w:rPr>
                <w:rFonts w:ascii="Times New Roman" w:hAnsi="Times New Roman" w:cs="Times New Roman"/>
                <w:color w:val="000000"/>
                <w:sz w:val="14"/>
                <w:szCs w:val="14"/>
                <w:lang w:eastAsia="sk-SK"/>
              </w:rPr>
              <w:t>4 014 104</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w:t>
            </w:r>
            <w:r w:rsidRPr="00D26052">
              <w:rPr>
                <w:rFonts w:ascii="Times New Roman" w:hAnsi="Times New Roman" w:cs="Times New Roman"/>
                <w:sz w:val="14"/>
                <w:szCs w:val="14"/>
                <w:lang w:eastAsia="sk-SK"/>
              </w:rPr>
              <w:t>E</w:t>
            </w:r>
            <w:r>
              <w:rPr>
                <w:rFonts w:ascii="Times New Roman" w:hAnsi="Times New Roman" w:cs="Times New Roman"/>
                <w:sz w:val="14"/>
                <w:szCs w:val="14"/>
                <w:lang w:eastAsia="sk-SK"/>
              </w:rPr>
              <w:t>Ú</w:t>
            </w:r>
            <w:r w:rsidRPr="00D26052">
              <w:rPr>
                <w:rFonts w:ascii="Times New Roman" w:hAnsi="Times New Roman" w:cs="Times New Roman"/>
                <w:sz w:val="14"/>
                <w:szCs w:val="14"/>
                <w:lang w:eastAsia="sk-SK"/>
              </w:rPr>
              <w:t xml:space="preserve"> prostriedky</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27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80</w:t>
            </w:r>
            <w:r w:rsidRPr="00D26052">
              <w:rPr>
                <w:rFonts w:ascii="Times New Roman" w:hAnsi="Times New Roman" w:cs="Times New Roman"/>
                <w:color w:val="000000"/>
                <w:sz w:val="14"/>
                <w:szCs w:val="14"/>
                <w:lang w:eastAsia="sk-SK"/>
              </w:rPr>
              <w:t>4 2</w:t>
            </w:r>
            <w:r>
              <w:rPr>
                <w:rFonts w:ascii="Times New Roman" w:hAnsi="Times New Roman" w:cs="Times New Roman"/>
                <w:color w:val="000000"/>
                <w:sz w:val="14"/>
                <w:szCs w:val="14"/>
                <w:lang w:eastAsia="sk-SK"/>
              </w:rPr>
              <w:t>70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59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418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006</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25</w:t>
            </w:r>
            <w:r w:rsidRPr="00D26052">
              <w:rPr>
                <w:rFonts w:ascii="Times New Roman" w:hAnsi="Times New Roman" w:cs="Times New Roman"/>
                <w:color w:val="000000"/>
                <w:sz w:val="14"/>
                <w:szCs w:val="14"/>
                <w:lang w:eastAsia="sk-SK"/>
              </w:rPr>
              <w:t> </w:t>
            </w:r>
            <w:r>
              <w:rPr>
                <w:rFonts w:ascii="Times New Roman" w:hAnsi="Times New Roman" w:cs="Times New Roman"/>
                <w:color w:val="000000"/>
                <w:sz w:val="14"/>
                <w:szCs w:val="14"/>
                <w:lang w:eastAsia="sk-SK"/>
              </w:rPr>
              <w:t>131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694</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r>
      <w:tr w:rsidR="007D13F3" w:rsidRPr="00D26052"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w:t>
            </w:r>
            <w:r w:rsidRPr="00D26052">
              <w:rPr>
                <w:rFonts w:ascii="Times New Roman" w:hAnsi="Times New Roman" w:cs="Times New Roman"/>
                <w:sz w:val="14"/>
                <w:szCs w:val="14"/>
                <w:lang w:eastAsia="sk-SK"/>
              </w:rPr>
              <w:t>spolufinancovanie zo ŠR</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21 1</w:t>
            </w:r>
            <w:r w:rsidRPr="00D26052">
              <w:rPr>
                <w:rFonts w:ascii="Times New Roman" w:hAnsi="Times New Roman" w:cs="Times New Roman"/>
                <w:color w:val="000000"/>
                <w:sz w:val="14"/>
                <w:szCs w:val="14"/>
                <w:lang w:eastAsia="sk-SK"/>
              </w:rPr>
              <w:t>9</w:t>
            </w:r>
            <w:r>
              <w:rPr>
                <w:rFonts w:ascii="Times New Roman" w:hAnsi="Times New Roman" w:cs="Times New Roman"/>
                <w:color w:val="000000"/>
                <w:sz w:val="14"/>
                <w:szCs w:val="14"/>
                <w:lang w:eastAsia="sk-SK"/>
              </w:rPr>
              <w:t>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422</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75</w:t>
            </w:r>
            <w:r w:rsidRPr="00D26052">
              <w:rPr>
                <w:rFonts w:ascii="Times New Roman" w:hAnsi="Times New Roman" w:cs="Times New Roman"/>
                <w:color w:val="000000"/>
                <w:sz w:val="14"/>
                <w:szCs w:val="14"/>
                <w:lang w:eastAsia="sk-SK"/>
              </w:rPr>
              <w:t xml:space="preserve">6 </w:t>
            </w:r>
            <w:r>
              <w:rPr>
                <w:rFonts w:ascii="Times New Roman" w:hAnsi="Times New Roman" w:cs="Times New Roman"/>
                <w:color w:val="000000"/>
                <w:sz w:val="14"/>
                <w:szCs w:val="14"/>
                <w:lang w:eastAsia="sk-SK"/>
              </w:rPr>
              <w:t>134</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19</w:t>
            </w:r>
            <w:r w:rsidRPr="00D26052">
              <w:rPr>
                <w:rFonts w:ascii="Times New Roman" w:hAnsi="Times New Roman" w:cs="Times New Roman"/>
                <w:color w:val="000000"/>
                <w:sz w:val="14"/>
                <w:szCs w:val="14"/>
                <w:lang w:eastAsia="sk-SK"/>
              </w:rPr>
              <w:t> </w:t>
            </w:r>
            <w:r>
              <w:rPr>
                <w:rFonts w:ascii="Times New Roman" w:hAnsi="Times New Roman" w:cs="Times New Roman"/>
                <w:color w:val="000000"/>
                <w:sz w:val="14"/>
                <w:szCs w:val="14"/>
                <w:lang w:eastAsia="sk-SK"/>
              </w:rPr>
              <w:t>20</w:t>
            </w:r>
            <w:r w:rsidRPr="00D26052">
              <w:rPr>
                <w:rFonts w:ascii="Times New Roman" w:hAnsi="Times New Roman" w:cs="Times New Roman"/>
                <w:color w:val="000000"/>
                <w:sz w:val="14"/>
                <w:szCs w:val="14"/>
                <w:lang w:eastAsia="sk-SK"/>
              </w:rPr>
              <w:t xml:space="preserve">3 </w:t>
            </w:r>
            <w:r>
              <w:rPr>
                <w:rFonts w:ascii="Times New Roman" w:hAnsi="Times New Roman" w:cs="Times New Roman"/>
                <w:color w:val="000000"/>
                <w:sz w:val="14"/>
                <w:szCs w:val="14"/>
                <w:lang w:eastAsia="sk-SK"/>
              </w:rPr>
              <w:t>565</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r>
      <w:tr w:rsidR="007D13F3" w:rsidRPr="00472B84" w:rsidTr="00465CA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9700A0" w:rsidRDefault="007D13F3" w:rsidP="00465CAC">
            <w:pPr>
              <w:rPr>
                <w:rFonts w:ascii="Times New Roman" w:hAnsi="Times New Roman" w:cs="Times New Roman"/>
                <w:b/>
                <w:sz w:val="14"/>
                <w:szCs w:val="14"/>
                <w:lang w:eastAsia="sk-SK"/>
              </w:rPr>
            </w:pPr>
            <w:r w:rsidRPr="009700A0">
              <w:rPr>
                <w:rFonts w:ascii="Times New Roman" w:hAnsi="Times New Roman" w:cs="Times New Roman"/>
                <w:b/>
                <w:sz w:val="14"/>
                <w:szCs w:val="14"/>
                <w:lang w:eastAsia="sk-SK"/>
              </w:rPr>
              <w:t>zdroj 72e*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3F3" w:rsidRPr="009700A0" w:rsidRDefault="007D13F3" w:rsidP="00465CAC">
            <w:pPr>
              <w:jc w:val="right"/>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769</w:t>
            </w:r>
            <w:r w:rsidRPr="009700A0">
              <w:rPr>
                <w:rFonts w:ascii="Times New Roman" w:hAnsi="Times New Roman" w:cs="Times New Roman"/>
                <w:b/>
                <w:color w:val="000000"/>
                <w:sz w:val="14"/>
                <w:szCs w:val="14"/>
                <w:lang w:eastAsia="sk-SK"/>
              </w:rPr>
              <w:t xml:space="preserve"> </w:t>
            </w:r>
            <w:r>
              <w:rPr>
                <w:rFonts w:ascii="Times New Roman" w:hAnsi="Times New Roman" w:cs="Times New Roman"/>
                <w:b/>
                <w:color w:val="000000"/>
                <w:sz w:val="14"/>
                <w:szCs w:val="14"/>
                <w:lang w:eastAsia="sk-SK"/>
              </w:rPr>
              <w:t>487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3F3" w:rsidRPr="009700A0" w:rsidRDefault="007D13F3" w:rsidP="00465CAC">
            <w:pPr>
              <w:jc w:val="right"/>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9</w:t>
            </w:r>
            <w:r w:rsidRPr="009700A0">
              <w:rPr>
                <w:rFonts w:ascii="Times New Roman" w:hAnsi="Times New Roman" w:cs="Times New Roman"/>
                <w:b/>
                <w:color w:val="000000"/>
                <w:sz w:val="14"/>
                <w:szCs w:val="14"/>
                <w:lang w:eastAsia="sk-SK"/>
              </w:rPr>
              <w:t>5</w:t>
            </w:r>
            <w:r>
              <w:rPr>
                <w:rFonts w:ascii="Times New Roman" w:hAnsi="Times New Roman" w:cs="Times New Roman"/>
                <w:b/>
                <w:color w:val="000000"/>
                <w:sz w:val="14"/>
                <w:szCs w:val="14"/>
                <w:lang w:eastAsia="sk-SK"/>
              </w:rPr>
              <w:t>6</w:t>
            </w:r>
            <w:r w:rsidRPr="009700A0">
              <w:rPr>
                <w:rFonts w:ascii="Times New Roman" w:hAnsi="Times New Roman" w:cs="Times New Roman"/>
                <w:b/>
                <w:color w:val="000000"/>
                <w:sz w:val="14"/>
                <w:szCs w:val="14"/>
                <w:lang w:eastAsia="sk-SK"/>
              </w:rPr>
              <w:t xml:space="preserve"> 3</w:t>
            </w:r>
            <w:r>
              <w:rPr>
                <w:rFonts w:ascii="Times New Roman" w:hAnsi="Times New Roman" w:cs="Times New Roman"/>
                <w:b/>
                <w:color w:val="000000"/>
                <w:sz w:val="14"/>
                <w:szCs w:val="14"/>
                <w:lang w:eastAsia="sk-SK"/>
              </w:rPr>
              <w:t>3</w:t>
            </w:r>
            <w:r w:rsidRPr="009700A0">
              <w:rPr>
                <w:rFonts w:ascii="Times New Roman" w:hAnsi="Times New Roman" w:cs="Times New Roman"/>
                <w:b/>
                <w:color w:val="000000"/>
                <w:sz w:val="14"/>
                <w:szCs w:val="14"/>
                <w:lang w:eastAsia="sk-SK"/>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3F3" w:rsidRPr="009700A0" w:rsidRDefault="007D13F3" w:rsidP="00465CAC">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3F3" w:rsidRPr="009700A0" w:rsidRDefault="007D13F3" w:rsidP="00465CAC">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3F3" w:rsidRPr="009700A0" w:rsidRDefault="007D13F3" w:rsidP="00465CAC">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115 300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3F3" w:rsidRPr="009700A0" w:rsidRDefault="007D13F3" w:rsidP="00465CAC">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115 300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3F3" w:rsidRPr="009700A0" w:rsidRDefault="007D13F3" w:rsidP="00465CAC">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115 300</w:t>
            </w:r>
          </w:p>
        </w:tc>
      </w:tr>
      <w:tr w:rsidR="007D13F3" w:rsidRPr="00472B84" w:rsidTr="00465CAC">
        <w:trPr>
          <w:trHeight w:val="255"/>
        </w:trPr>
        <w:tc>
          <w:tcPr>
            <w:tcW w:w="0" w:type="auto"/>
            <w:gridSpan w:val="4"/>
            <w:tcBorders>
              <w:top w:val="single" w:sz="4" w:space="0" w:color="auto"/>
            </w:tcBorders>
            <w:shd w:val="clear" w:color="auto" w:fill="auto"/>
            <w:noWrap/>
            <w:vAlign w:val="center"/>
          </w:tcPr>
          <w:p w:rsidR="007D13F3" w:rsidRPr="009700A0" w:rsidRDefault="007D13F3" w:rsidP="00465CAC">
            <w:pPr>
              <w:rPr>
                <w:rFonts w:ascii="Times New Roman" w:hAnsi="Times New Roman" w:cs="Times New Roman"/>
                <w:b/>
                <w:color w:val="000000"/>
                <w:sz w:val="14"/>
                <w:szCs w:val="14"/>
                <w:lang w:eastAsia="sk-SK"/>
              </w:rPr>
            </w:pPr>
            <w:r w:rsidRPr="009700A0">
              <w:rPr>
                <w:rFonts w:ascii="Times New Roman" w:hAnsi="Times New Roman" w:cs="Times New Roman"/>
                <w:b/>
                <w:sz w:val="14"/>
                <w:szCs w:val="14"/>
                <w:lang w:eastAsia="sk-SK"/>
              </w:rPr>
              <w:t>*</w:t>
            </w:r>
            <w:r w:rsidRPr="009700A0">
              <w:rPr>
                <w:rFonts w:ascii="Times New Roman" w:hAnsi="Times New Roman" w:cs="Times New Roman"/>
                <w:sz w:val="14"/>
                <w:szCs w:val="14"/>
                <w:lang w:eastAsia="sk-SK"/>
              </w:rPr>
              <w:t>z poistného plnenia zo zmluvného poistenia alebo zo zákonného poistenia</w:t>
            </w:r>
          </w:p>
        </w:tc>
        <w:tc>
          <w:tcPr>
            <w:tcW w:w="0" w:type="auto"/>
            <w:tcBorders>
              <w:top w:val="single" w:sz="4" w:space="0" w:color="auto"/>
            </w:tcBorders>
            <w:shd w:val="clear" w:color="auto" w:fill="auto"/>
            <w:vAlign w:val="center"/>
          </w:tcPr>
          <w:p w:rsidR="007D13F3" w:rsidRPr="009700A0" w:rsidRDefault="007D13F3" w:rsidP="00465CAC">
            <w:pPr>
              <w:jc w:val="right"/>
              <w:rPr>
                <w:rFonts w:ascii="Times New Roman" w:hAnsi="Times New Roman" w:cs="Times New Roman"/>
                <w:b/>
                <w:color w:val="000000"/>
                <w:sz w:val="14"/>
                <w:szCs w:val="14"/>
                <w:lang w:eastAsia="sk-SK"/>
              </w:rPr>
            </w:pPr>
          </w:p>
        </w:tc>
        <w:tc>
          <w:tcPr>
            <w:tcW w:w="0" w:type="auto"/>
            <w:tcBorders>
              <w:top w:val="single" w:sz="4" w:space="0" w:color="auto"/>
            </w:tcBorders>
            <w:shd w:val="clear" w:color="auto" w:fill="auto"/>
            <w:vAlign w:val="center"/>
          </w:tcPr>
          <w:p w:rsidR="007D13F3" w:rsidRPr="009700A0" w:rsidRDefault="007D13F3" w:rsidP="00465CAC">
            <w:pPr>
              <w:jc w:val="right"/>
              <w:rPr>
                <w:rFonts w:ascii="Times New Roman" w:hAnsi="Times New Roman" w:cs="Times New Roman"/>
                <w:b/>
                <w:color w:val="000000"/>
                <w:sz w:val="14"/>
                <w:szCs w:val="14"/>
                <w:lang w:eastAsia="sk-SK"/>
              </w:rPr>
            </w:pPr>
          </w:p>
        </w:tc>
        <w:tc>
          <w:tcPr>
            <w:tcW w:w="0" w:type="auto"/>
            <w:tcBorders>
              <w:top w:val="single" w:sz="4" w:space="0" w:color="auto"/>
            </w:tcBorders>
            <w:shd w:val="clear" w:color="auto" w:fill="auto"/>
            <w:vAlign w:val="center"/>
          </w:tcPr>
          <w:p w:rsidR="007D13F3" w:rsidRPr="009700A0" w:rsidRDefault="007D13F3" w:rsidP="00465CAC">
            <w:pPr>
              <w:jc w:val="right"/>
              <w:rPr>
                <w:rFonts w:ascii="Times New Roman" w:hAnsi="Times New Roman" w:cs="Times New Roman"/>
                <w:b/>
                <w:color w:val="000000"/>
                <w:sz w:val="14"/>
                <w:szCs w:val="14"/>
                <w:lang w:eastAsia="sk-SK"/>
              </w:rPr>
            </w:pPr>
          </w:p>
        </w:tc>
        <w:tc>
          <w:tcPr>
            <w:tcW w:w="0" w:type="auto"/>
            <w:tcBorders>
              <w:top w:val="single" w:sz="4" w:space="0" w:color="auto"/>
            </w:tcBorders>
            <w:shd w:val="clear" w:color="auto" w:fill="auto"/>
            <w:vAlign w:val="center"/>
          </w:tcPr>
          <w:p w:rsidR="007D13F3" w:rsidRPr="009700A0" w:rsidRDefault="007D13F3" w:rsidP="00465CAC">
            <w:pPr>
              <w:jc w:val="right"/>
              <w:rPr>
                <w:rFonts w:ascii="Times New Roman" w:hAnsi="Times New Roman" w:cs="Times New Roman"/>
                <w:b/>
                <w:color w:val="000000"/>
                <w:sz w:val="14"/>
                <w:szCs w:val="14"/>
                <w:lang w:eastAsia="sk-SK"/>
              </w:rPr>
            </w:pPr>
          </w:p>
        </w:tc>
      </w:tr>
      <w:tr w:rsidR="007D13F3" w:rsidRPr="00472B84" w:rsidTr="00465CA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9700A0" w:rsidRDefault="007D13F3" w:rsidP="00465CAC">
            <w:pPr>
              <w:rPr>
                <w:rFonts w:ascii="Times New Roman" w:hAnsi="Times New Roman" w:cs="Times New Roman"/>
                <w:b/>
                <w:sz w:val="14"/>
                <w:szCs w:val="14"/>
                <w:lang w:eastAsia="sk-SK"/>
              </w:rPr>
            </w:pPr>
            <w:r w:rsidRPr="009700A0">
              <w:rPr>
                <w:rFonts w:ascii="Times New Roman" w:hAnsi="Times New Roman" w:cs="Times New Roman"/>
                <w:b/>
                <w:sz w:val="14"/>
                <w:szCs w:val="14"/>
                <w:lang w:eastAsia="sk-SK"/>
              </w:rPr>
              <w:t xml:space="preserve">Samostatné účty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3F3" w:rsidRPr="009700A0" w:rsidRDefault="007D13F3" w:rsidP="00465CAC">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35 484 972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3F3" w:rsidRPr="009700A0" w:rsidRDefault="007D13F3" w:rsidP="00465CAC">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17 117 599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3F3" w:rsidRPr="009700A0" w:rsidRDefault="007D13F3" w:rsidP="00465CAC">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3F3" w:rsidRPr="009700A0" w:rsidRDefault="007D13F3" w:rsidP="00465CAC">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3F3" w:rsidRPr="009700A0" w:rsidRDefault="007D13F3" w:rsidP="00465CAC">
            <w:pPr>
              <w:jc w:val="right"/>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0</w:t>
            </w:r>
            <w:r w:rsidRPr="009700A0">
              <w:rPr>
                <w:rFonts w:ascii="Times New Roman" w:hAnsi="Times New Roman" w:cs="Times New Roman"/>
                <w:b/>
                <w:color w:val="000000"/>
                <w:sz w:val="14"/>
                <w:szCs w:val="14"/>
                <w:lang w:eastAsia="sk-SK"/>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3F3" w:rsidRPr="009700A0" w:rsidRDefault="007D13F3" w:rsidP="00465CAC">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3F3" w:rsidRPr="009700A0" w:rsidRDefault="007D13F3" w:rsidP="00465CAC">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0</w:t>
            </w:r>
          </w:p>
        </w:tc>
      </w:tr>
    </w:tbl>
    <w:p w:rsidR="007D13F3" w:rsidRPr="00D26052" w:rsidRDefault="007D13F3" w:rsidP="007D13F3">
      <w:pPr>
        <w:jc w:val="both"/>
        <w:rPr>
          <w:rFonts w:ascii="Times New Roman" w:hAnsi="Times New Roman" w:cs="Times New Roman"/>
          <w:lang w:eastAsia="sk-SK"/>
        </w:rPr>
      </w:pPr>
      <w:r>
        <w:rPr>
          <w:rFonts w:ascii="Times New Roman" w:hAnsi="Times New Roman" w:cs="Times New Roman"/>
          <w:lang w:eastAsia="sk-SK"/>
        </w:rPr>
        <w:lastRenderedPageBreak/>
        <w:tab/>
      </w:r>
      <w:r w:rsidRPr="00D26052">
        <w:rPr>
          <w:rFonts w:ascii="Times New Roman" w:hAnsi="Times New Roman" w:cs="Times New Roman"/>
          <w:lang w:eastAsia="sk-SK"/>
        </w:rPr>
        <w:t>V porovnaní so schváleným rozpočtom na rok 201</w:t>
      </w:r>
      <w:r>
        <w:rPr>
          <w:rFonts w:ascii="Times New Roman" w:hAnsi="Times New Roman" w:cs="Times New Roman"/>
          <w:lang w:eastAsia="sk-SK"/>
        </w:rPr>
        <w:t>7</w:t>
      </w:r>
      <w:r w:rsidRPr="00D26052">
        <w:rPr>
          <w:rFonts w:ascii="Times New Roman" w:hAnsi="Times New Roman" w:cs="Times New Roman"/>
          <w:lang w:eastAsia="sk-SK"/>
        </w:rPr>
        <w:t xml:space="preserve"> </w:t>
      </w:r>
      <w:r>
        <w:rPr>
          <w:rFonts w:ascii="Times New Roman" w:hAnsi="Times New Roman" w:cs="Times New Roman"/>
          <w:lang w:eastAsia="sk-SK"/>
        </w:rPr>
        <w:t>c</w:t>
      </w:r>
      <w:r w:rsidRPr="00D26052">
        <w:rPr>
          <w:rFonts w:ascii="Times New Roman" w:hAnsi="Times New Roman" w:cs="Times New Roman"/>
          <w:lang w:eastAsia="sk-SK"/>
        </w:rPr>
        <w:t>elkové výdavky kapitoly</w:t>
      </w:r>
      <w:r>
        <w:rPr>
          <w:rFonts w:ascii="Times New Roman" w:hAnsi="Times New Roman" w:cs="Times New Roman"/>
          <w:lang w:eastAsia="sk-SK"/>
        </w:rPr>
        <w:t xml:space="preserve"> </w:t>
      </w:r>
      <w:r w:rsidR="00F30F1A">
        <w:rPr>
          <w:rFonts w:ascii="Times New Roman" w:hAnsi="Times New Roman" w:cs="Times New Roman"/>
          <w:lang w:eastAsia="sk-SK"/>
        </w:rPr>
        <w:br/>
      </w:r>
      <w:r>
        <w:rPr>
          <w:rFonts w:ascii="Times New Roman" w:hAnsi="Times New Roman" w:cs="Times New Roman"/>
          <w:lang w:eastAsia="sk-SK"/>
        </w:rPr>
        <w:t xml:space="preserve">MPSVR SR </w:t>
      </w:r>
      <w:r w:rsidRPr="00D26052">
        <w:rPr>
          <w:rFonts w:ascii="Times New Roman" w:hAnsi="Times New Roman" w:cs="Times New Roman"/>
          <w:lang w:eastAsia="sk-SK"/>
        </w:rPr>
        <w:t>medziročne rastú o</w:t>
      </w:r>
      <w:r>
        <w:rPr>
          <w:rFonts w:ascii="Times New Roman" w:hAnsi="Times New Roman" w:cs="Times New Roman"/>
          <w:lang w:eastAsia="sk-SK"/>
        </w:rPr>
        <w:t> 89,3</w:t>
      </w:r>
      <w:r w:rsidRPr="00D26052">
        <w:rPr>
          <w:rFonts w:ascii="Times New Roman" w:hAnsi="Times New Roman" w:cs="Times New Roman"/>
          <w:lang w:eastAsia="sk-SK"/>
        </w:rPr>
        <w:t xml:space="preserve"> mil. eur,</w:t>
      </w:r>
      <w:r>
        <w:rPr>
          <w:rFonts w:ascii="Times New Roman" w:hAnsi="Times New Roman" w:cs="Times New Roman"/>
          <w:lang w:eastAsia="sk-SK"/>
        </w:rPr>
        <w:t xml:space="preserve"> </w:t>
      </w:r>
      <w:r w:rsidRPr="00D26052">
        <w:rPr>
          <w:rFonts w:ascii="Times New Roman" w:hAnsi="Times New Roman" w:cs="Times New Roman"/>
          <w:lang w:eastAsia="sk-SK"/>
        </w:rPr>
        <w:t>t. j. o </w:t>
      </w:r>
      <w:r>
        <w:rPr>
          <w:rFonts w:ascii="Times New Roman" w:hAnsi="Times New Roman" w:cs="Times New Roman"/>
          <w:lang w:eastAsia="sk-SK"/>
        </w:rPr>
        <w:t>3</w:t>
      </w:r>
      <w:r w:rsidRPr="00D26052">
        <w:rPr>
          <w:rFonts w:ascii="Times New Roman" w:hAnsi="Times New Roman" w:cs="Times New Roman"/>
          <w:lang w:eastAsia="sk-SK"/>
        </w:rPr>
        <w:t>,</w:t>
      </w:r>
      <w:r>
        <w:rPr>
          <w:rFonts w:ascii="Times New Roman" w:hAnsi="Times New Roman" w:cs="Times New Roman"/>
          <w:lang w:eastAsia="sk-SK"/>
        </w:rPr>
        <w:t>96</w:t>
      </w:r>
      <w:r w:rsidRPr="00D26052">
        <w:rPr>
          <w:rFonts w:ascii="Times New Roman" w:hAnsi="Times New Roman" w:cs="Times New Roman"/>
          <w:lang w:eastAsia="sk-SK"/>
        </w:rPr>
        <w:t xml:space="preserve"> %. Prostriedky EÚ zdrojov vrátane spolufinancovania zaznamenajú v porovnaní so schváleným rozpočtom na rok 201</w:t>
      </w:r>
      <w:r>
        <w:rPr>
          <w:rFonts w:ascii="Times New Roman" w:hAnsi="Times New Roman" w:cs="Times New Roman"/>
          <w:lang w:eastAsia="sk-SK"/>
        </w:rPr>
        <w:t>7 pokles o 6</w:t>
      </w:r>
      <w:r w:rsidRPr="00D26052">
        <w:rPr>
          <w:rFonts w:ascii="Times New Roman" w:hAnsi="Times New Roman" w:cs="Times New Roman"/>
          <w:lang w:eastAsia="sk-SK"/>
        </w:rPr>
        <w:t>,</w:t>
      </w:r>
      <w:r>
        <w:rPr>
          <w:rFonts w:ascii="Times New Roman" w:hAnsi="Times New Roman" w:cs="Times New Roman"/>
          <w:lang w:eastAsia="sk-SK"/>
        </w:rPr>
        <w:t>84</w:t>
      </w:r>
      <w:r w:rsidRPr="00D26052">
        <w:rPr>
          <w:rFonts w:ascii="Times New Roman" w:hAnsi="Times New Roman" w:cs="Times New Roman"/>
          <w:lang w:eastAsia="sk-SK"/>
        </w:rPr>
        <w:t xml:space="preserve"> mil. eur, t. j. o </w:t>
      </w:r>
      <w:r>
        <w:rPr>
          <w:rFonts w:ascii="Times New Roman" w:hAnsi="Times New Roman" w:cs="Times New Roman"/>
          <w:lang w:eastAsia="sk-SK"/>
        </w:rPr>
        <w:t>2</w:t>
      </w:r>
      <w:r w:rsidRPr="00D26052">
        <w:rPr>
          <w:rFonts w:ascii="Times New Roman" w:hAnsi="Times New Roman" w:cs="Times New Roman"/>
          <w:lang w:eastAsia="sk-SK"/>
        </w:rPr>
        <w:t>,</w:t>
      </w:r>
      <w:r>
        <w:rPr>
          <w:rFonts w:ascii="Times New Roman" w:hAnsi="Times New Roman" w:cs="Times New Roman"/>
          <w:lang w:eastAsia="sk-SK"/>
        </w:rPr>
        <w:t>81</w:t>
      </w:r>
      <w:r w:rsidRPr="00D26052">
        <w:rPr>
          <w:rFonts w:ascii="Times New Roman" w:hAnsi="Times New Roman" w:cs="Times New Roman"/>
          <w:lang w:eastAsia="sk-SK"/>
        </w:rPr>
        <w:t xml:space="preserve"> %.</w:t>
      </w:r>
    </w:p>
    <w:p w:rsidR="007D13F3" w:rsidRPr="00D26052" w:rsidRDefault="007D13F3" w:rsidP="007D13F3">
      <w:pPr>
        <w:jc w:val="both"/>
        <w:rPr>
          <w:rFonts w:ascii="Times New Roman" w:hAnsi="Times New Roman" w:cs="Times New Roman"/>
          <w:lang w:eastAsia="sk-SK"/>
        </w:rPr>
      </w:pPr>
    </w:p>
    <w:p w:rsidR="007D13F3" w:rsidRPr="00D26052" w:rsidRDefault="007D13F3" w:rsidP="007D13F3">
      <w:pPr>
        <w:ind w:firstLine="708"/>
        <w:jc w:val="both"/>
        <w:rPr>
          <w:rFonts w:ascii="Times New Roman" w:hAnsi="Times New Roman" w:cs="Times New Roman"/>
          <w:lang w:eastAsia="sk-SK"/>
        </w:rPr>
      </w:pPr>
      <w:r w:rsidRPr="00D26052">
        <w:rPr>
          <w:rFonts w:ascii="Times New Roman" w:hAnsi="Times New Roman" w:cs="Times New Roman"/>
          <w:lang w:eastAsia="sk-SK"/>
        </w:rPr>
        <w:t>Rozpočtové zdroje kapitoly</w:t>
      </w:r>
      <w:r>
        <w:rPr>
          <w:rFonts w:ascii="Times New Roman" w:hAnsi="Times New Roman" w:cs="Times New Roman"/>
          <w:lang w:eastAsia="sk-SK"/>
        </w:rPr>
        <w:t xml:space="preserve"> sa na rok 2018 navrhujú na úrovni 2,10 mld. eur. </w:t>
      </w:r>
      <w:r w:rsidRPr="00D26052">
        <w:rPr>
          <w:rFonts w:ascii="Times New Roman" w:hAnsi="Times New Roman" w:cs="Times New Roman"/>
          <w:lang w:eastAsia="sk-SK"/>
        </w:rPr>
        <w:t xml:space="preserve"> </w:t>
      </w:r>
      <w:r>
        <w:rPr>
          <w:rFonts w:ascii="Times New Roman" w:hAnsi="Times New Roman" w:cs="Times New Roman"/>
          <w:lang w:eastAsia="sk-SK"/>
        </w:rPr>
        <w:t>V</w:t>
      </w:r>
      <w:r w:rsidRPr="00D26052">
        <w:rPr>
          <w:rFonts w:ascii="Times New Roman" w:hAnsi="Times New Roman" w:cs="Times New Roman"/>
          <w:lang w:eastAsia="sk-SK"/>
        </w:rPr>
        <w:t xml:space="preserve"> porovnaní so schváleným rozpočtom </w:t>
      </w:r>
      <w:r>
        <w:rPr>
          <w:rFonts w:ascii="Times New Roman" w:hAnsi="Times New Roman" w:cs="Times New Roman"/>
          <w:lang w:eastAsia="sk-SK"/>
        </w:rPr>
        <w:t xml:space="preserve">na rok </w:t>
      </w:r>
      <w:r w:rsidRPr="00D26052">
        <w:rPr>
          <w:rFonts w:ascii="Times New Roman" w:hAnsi="Times New Roman" w:cs="Times New Roman"/>
          <w:lang w:eastAsia="sk-SK"/>
        </w:rPr>
        <w:t>201</w:t>
      </w:r>
      <w:r>
        <w:rPr>
          <w:rFonts w:ascii="Times New Roman" w:hAnsi="Times New Roman" w:cs="Times New Roman"/>
          <w:lang w:eastAsia="sk-SK"/>
        </w:rPr>
        <w:t>7</w:t>
      </w:r>
      <w:r w:rsidRPr="00D26052">
        <w:rPr>
          <w:rFonts w:ascii="Times New Roman" w:hAnsi="Times New Roman" w:cs="Times New Roman"/>
          <w:lang w:eastAsia="sk-SK"/>
        </w:rPr>
        <w:t xml:space="preserve"> rastú</w:t>
      </w:r>
      <w:r>
        <w:rPr>
          <w:rFonts w:ascii="Times New Roman" w:hAnsi="Times New Roman" w:cs="Times New Roman"/>
          <w:lang w:eastAsia="sk-SK"/>
        </w:rPr>
        <w:t xml:space="preserve"> </w:t>
      </w:r>
      <w:r w:rsidRPr="00D26052">
        <w:rPr>
          <w:rFonts w:ascii="Times New Roman" w:hAnsi="Times New Roman" w:cs="Times New Roman"/>
          <w:lang w:eastAsia="sk-SK"/>
        </w:rPr>
        <w:t>o</w:t>
      </w:r>
      <w:r>
        <w:rPr>
          <w:rFonts w:ascii="Times New Roman" w:hAnsi="Times New Roman" w:cs="Times New Roman"/>
          <w:lang w:eastAsia="sk-SK"/>
        </w:rPr>
        <w:t> 96,0</w:t>
      </w:r>
      <w:r w:rsidRPr="005C2D85">
        <w:rPr>
          <w:rFonts w:ascii="Times New Roman" w:hAnsi="Times New Roman" w:cs="Times New Roman"/>
          <w:color w:val="FF0000"/>
          <w:lang w:eastAsia="sk-SK"/>
        </w:rPr>
        <w:t xml:space="preserve"> </w:t>
      </w:r>
      <w:r w:rsidRPr="00D26052">
        <w:rPr>
          <w:rFonts w:ascii="Times New Roman" w:hAnsi="Times New Roman" w:cs="Times New Roman"/>
          <w:lang w:eastAsia="sk-SK"/>
        </w:rPr>
        <w:t>mil. eur, t. j. o </w:t>
      </w:r>
      <w:r>
        <w:rPr>
          <w:rFonts w:ascii="Times New Roman" w:hAnsi="Times New Roman" w:cs="Times New Roman"/>
          <w:lang w:eastAsia="sk-SK"/>
        </w:rPr>
        <w:t>4</w:t>
      </w:r>
      <w:r w:rsidRPr="00D26052">
        <w:rPr>
          <w:rFonts w:ascii="Times New Roman" w:hAnsi="Times New Roman" w:cs="Times New Roman"/>
          <w:lang w:eastAsia="sk-SK"/>
        </w:rPr>
        <w:t>,</w:t>
      </w:r>
      <w:r>
        <w:rPr>
          <w:rFonts w:ascii="Times New Roman" w:hAnsi="Times New Roman" w:cs="Times New Roman"/>
          <w:lang w:eastAsia="sk-SK"/>
        </w:rPr>
        <w:t>78</w:t>
      </w:r>
      <w:r w:rsidRPr="00D26052">
        <w:rPr>
          <w:rFonts w:ascii="Times New Roman" w:hAnsi="Times New Roman" w:cs="Times New Roman"/>
          <w:lang w:eastAsia="sk-SK"/>
        </w:rPr>
        <w:t xml:space="preserve"> %, nárast je </w:t>
      </w:r>
      <w:r>
        <w:rPr>
          <w:rFonts w:ascii="Times New Roman" w:hAnsi="Times New Roman" w:cs="Times New Roman"/>
          <w:lang w:eastAsia="sk-SK"/>
        </w:rPr>
        <w:t>spôsobený vplyvom novelizácie zákonov o sociálnom poistení, o sociálnych službách, o</w:t>
      </w:r>
      <w:r w:rsidRPr="00D26052">
        <w:rPr>
          <w:rFonts w:ascii="Times New Roman" w:hAnsi="Times New Roman" w:cs="Times New Roman"/>
          <w:lang w:eastAsia="sk-SK"/>
        </w:rPr>
        <w:t> peňažných príspevkoch na kompenzáciu ťažkého zdravotného postihnutia</w:t>
      </w:r>
      <w:r>
        <w:rPr>
          <w:rFonts w:ascii="Times New Roman" w:hAnsi="Times New Roman" w:cs="Times New Roman"/>
          <w:lang w:eastAsia="sk-SK"/>
        </w:rPr>
        <w:t xml:space="preserve"> a zákona o službách zamestnanosti.</w:t>
      </w:r>
    </w:p>
    <w:p w:rsidR="007D13F3" w:rsidRPr="00D26052" w:rsidRDefault="007D13F3" w:rsidP="007D13F3">
      <w:pPr>
        <w:jc w:val="both"/>
        <w:rPr>
          <w:rFonts w:ascii="Times New Roman" w:hAnsi="Times New Roman" w:cs="Times New Roman"/>
          <w:lang w:eastAsia="sk-SK"/>
        </w:rPr>
      </w:pPr>
    </w:p>
    <w:p w:rsidR="007D13F3" w:rsidRPr="00D26052" w:rsidRDefault="007D13F3" w:rsidP="007D13F3">
      <w:pPr>
        <w:ind w:firstLine="708"/>
        <w:jc w:val="both"/>
        <w:rPr>
          <w:rFonts w:ascii="Times New Roman" w:hAnsi="Times New Roman" w:cs="Times New Roman"/>
          <w:lang w:eastAsia="sk-SK"/>
        </w:rPr>
      </w:pPr>
      <w:r w:rsidRPr="00D26052">
        <w:rPr>
          <w:rFonts w:ascii="Times New Roman" w:hAnsi="Times New Roman" w:cs="Times New Roman"/>
          <w:lang w:eastAsia="sk-SK"/>
        </w:rPr>
        <w:t xml:space="preserve">Osobné výdavky </w:t>
      </w:r>
      <w:r>
        <w:rPr>
          <w:rFonts w:ascii="Times New Roman" w:hAnsi="Times New Roman" w:cs="Times New Roman"/>
          <w:lang w:eastAsia="sk-SK"/>
        </w:rPr>
        <w:t>na rok 2018 sa navrhujú na úrovni 183 mil. eur. M</w:t>
      </w:r>
      <w:r w:rsidRPr="00D26052">
        <w:rPr>
          <w:rFonts w:ascii="Times New Roman" w:hAnsi="Times New Roman" w:cs="Times New Roman"/>
          <w:lang w:eastAsia="sk-SK"/>
        </w:rPr>
        <w:t>edziročne rastú o 1</w:t>
      </w:r>
      <w:r>
        <w:rPr>
          <w:rFonts w:ascii="Times New Roman" w:hAnsi="Times New Roman" w:cs="Times New Roman"/>
          <w:lang w:eastAsia="sk-SK"/>
        </w:rPr>
        <w:t>3</w:t>
      </w:r>
      <w:r w:rsidRPr="00D26052">
        <w:rPr>
          <w:rFonts w:ascii="Times New Roman" w:hAnsi="Times New Roman" w:cs="Times New Roman"/>
          <w:lang w:eastAsia="sk-SK"/>
        </w:rPr>
        <w:t>,</w:t>
      </w:r>
      <w:r>
        <w:rPr>
          <w:rFonts w:ascii="Times New Roman" w:hAnsi="Times New Roman" w:cs="Times New Roman"/>
          <w:lang w:eastAsia="sk-SK"/>
        </w:rPr>
        <w:t>6 mil. eur, t. j. o 8,00</w:t>
      </w:r>
      <w:r w:rsidRPr="00D26052">
        <w:rPr>
          <w:rFonts w:ascii="Times New Roman" w:hAnsi="Times New Roman" w:cs="Times New Roman"/>
          <w:lang w:eastAsia="sk-SK"/>
        </w:rPr>
        <w:t xml:space="preserve"> %, najmä z dôvodu premietnutia valorizácie</w:t>
      </w:r>
      <w:r>
        <w:rPr>
          <w:rFonts w:ascii="Times New Roman" w:hAnsi="Times New Roman" w:cs="Times New Roman"/>
          <w:lang w:eastAsia="sk-SK"/>
        </w:rPr>
        <w:t xml:space="preserve"> z roku 2017</w:t>
      </w:r>
      <w:r w:rsidRPr="00D26052">
        <w:rPr>
          <w:rFonts w:ascii="Times New Roman" w:hAnsi="Times New Roman" w:cs="Times New Roman"/>
          <w:lang w:eastAsia="sk-SK"/>
        </w:rPr>
        <w:t xml:space="preserve">. </w:t>
      </w:r>
    </w:p>
    <w:p w:rsidR="007D13F3" w:rsidRPr="00D26052" w:rsidRDefault="007D13F3" w:rsidP="007D13F3">
      <w:pPr>
        <w:jc w:val="both"/>
        <w:rPr>
          <w:rFonts w:ascii="Times New Roman" w:hAnsi="Times New Roman" w:cs="Times New Roman"/>
          <w:lang w:eastAsia="sk-SK"/>
        </w:rPr>
      </w:pPr>
    </w:p>
    <w:p w:rsidR="007D13F3" w:rsidRPr="00D26052" w:rsidRDefault="007D13F3" w:rsidP="007D13F3">
      <w:pPr>
        <w:ind w:firstLine="708"/>
        <w:jc w:val="both"/>
        <w:rPr>
          <w:rFonts w:ascii="Times New Roman" w:hAnsi="Times New Roman" w:cs="Times New Roman"/>
          <w:lang w:eastAsia="sk-SK"/>
        </w:rPr>
      </w:pPr>
      <w:r w:rsidRPr="00D26052">
        <w:rPr>
          <w:rFonts w:ascii="Times New Roman" w:hAnsi="Times New Roman" w:cs="Times New Roman"/>
          <w:lang w:eastAsia="sk-SK"/>
        </w:rPr>
        <w:t xml:space="preserve">Výdavky na tovary a služby sa </w:t>
      </w:r>
      <w:r>
        <w:rPr>
          <w:rFonts w:ascii="Times New Roman" w:hAnsi="Times New Roman" w:cs="Times New Roman"/>
          <w:lang w:eastAsia="sk-SK"/>
        </w:rPr>
        <w:t xml:space="preserve">v roku 2018 </w:t>
      </w:r>
      <w:r w:rsidRPr="00D26052">
        <w:rPr>
          <w:rFonts w:ascii="Times New Roman" w:hAnsi="Times New Roman" w:cs="Times New Roman"/>
          <w:lang w:eastAsia="sk-SK"/>
        </w:rPr>
        <w:t>rozpočtujú v</w:t>
      </w:r>
      <w:r>
        <w:rPr>
          <w:rFonts w:ascii="Times New Roman" w:hAnsi="Times New Roman" w:cs="Times New Roman"/>
          <w:lang w:eastAsia="sk-SK"/>
        </w:rPr>
        <w:t> </w:t>
      </w:r>
      <w:r w:rsidRPr="00D26052">
        <w:rPr>
          <w:rFonts w:ascii="Times New Roman" w:hAnsi="Times New Roman" w:cs="Times New Roman"/>
          <w:lang w:eastAsia="sk-SK"/>
        </w:rPr>
        <w:t>sume</w:t>
      </w:r>
      <w:r>
        <w:rPr>
          <w:rFonts w:ascii="Times New Roman" w:hAnsi="Times New Roman" w:cs="Times New Roman"/>
          <w:lang w:eastAsia="sk-SK"/>
        </w:rPr>
        <w:t xml:space="preserve"> 61,6 mil. eur. </w:t>
      </w:r>
      <w:r>
        <w:rPr>
          <w:rFonts w:ascii="Times New Roman" w:hAnsi="Times New Roman" w:cs="Times New Roman"/>
          <w:lang w:eastAsia="sk-SK"/>
        </w:rPr>
        <w:br/>
        <w:t xml:space="preserve">V </w:t>
      </w:r>
      <w:r w:rsidRPr="00D26052">
        <w:rPr>
          <w:rFonts w:ascii="Times New Roman" w:hAnsi="Times New Roman" w:cs="Times New Roman"/>
          <w:lang w:eastAsia="sk-SK"/>
        </w:rPr>
        <w:t xml:space="preserve">porovnaní so schváleným rozpočtom </w:t>
      </w:r>
      <w:r>
        <w:rPr>
          <w:rFonts w:ascii="Times New Roman" w:hAnsi="Times New Roman" w:cs="Times New Roman"/>
          <w:lang w:eastAsia="sk-SK"/>
        </w:rPr>
        <w:t>na</w:t>
      </w:r>
      <w:r w:rsidRPr="00D26052">
        <w:rPr>
          <w:rFonts w:ascii="Times New Roman" w:hAnsi="Times New Roman" w:cs="Times New Roman"/>
          <w:lang w:eastAsia="sk-SK"/>
        </w:rPr>
        <w:t xml:space="preserve"> rok 201</w:t>
      </w:r>
      <w:r>
        <w:rPr>
          <w:rFonts w:ascii="Times New Roman" w:hAnsi="Times New Roman" w:cs="Times New Roman"/>
          <w:lang w:eastAsia="sk-SK"/>
        </w:rPr>
        <w:t>7</w:t>
      </w:r>
      <w:r w:rsidRPr="00D26052">
        <w:rPr>
          <w:rFonts w:ascii="Times New Roman" w:hAnsi="Times New Roman" w:cs="Times New Roman"/>
          <w:lang w:eastAsia="sk-SK"/>
        </w:rPr>
        <w:t xml:space="preserve"> </w:t>
      </w:r>
      <w:r>
        <w:rPr>
          <w:rFonts w:ascii="Times New Roman" w:hAnsi="Times New Roman" w:cs="Times New Roman"/>
          <w:lang w:eastAsia="sk-SK"/>
        </w:rPr>
        <w:t xml:space="preserve">rastú </w:t>
      </w:r>
      <w:r w:rsidRPr="00D26052">
        <w:rPr>
          <w:rFonts w:ascii="Times New Roman" w:hAnsi="Times New Roman" w:cs="Times New Roman"/>
          <w:lang w:eastAsia="sk-SK"/>
        </w:rPr>
        <w:t>o </w:t>
      </w:r>
      <w:r>
        <w:rPr>
          <w:rFonts w:ascii="Times New Roman" w:hAnsi="Times New Roman" w:cs="Times New Roman"/>
          <w:lang w:eastAsia="sk-SK"/>
        </w:rPr>
        <w:t>1</w:t>
      </w:r>
      <w:r w:rsidRPr="00D26052">
        <w:rPr>
          <w:rFonts w:ascii="Times New Roman" w:hAnsi="Times New Roman" w:cs="Times New Roman"/>
          <w:lang w:eastAsia="sk-SK"/>
        </w:rPr>
        <w:t>,</w:t>
      </w:r>
      <w:r>
        <w:rPr>
          <w:rFonts w:ascii="Times New Roman" w:hAnsi="Times New Roman" w:cs="Times New Roman"/>
          <w:lang w:eastAsia="sk-SK"/>
        </w:rPr>
        <w:t>03</w:t>
      </w:r>
      <w:r w:rsidRPr="00D26052">
        <w:rPr>
          <w:rFonts w:ascii="Times New Roman" w:hAnsi="Times New Roman" w:cs="Times New Roman"/>
          <w:lang w:eastAsia="sk-SK"/>
        </w:rPr>
        <w:t xml:space="preserve"> mil. eur, </w:t>
      </w:r>
      <w:r>
        <w:rPr>
          <w:rFonts w:ascii="Times New Roman" w:hAnsi="Times New Roman" w:cs="Times New Roman"/>
          <w:lang w:eastAsia="sk-SK"/>
        </w:rPr>
        <w:t>nárast</w:t>
      </w:r>
      <w:r w:rsidRPr="00D26052">
        <w:rPr>
          <w:rFonts w:ascii="Times New Roman" w:hAnsi="Times New Roman" w:cs="Times New Roman"/>
          <w:lang w:eastAsia="sk-SK"/>
        </w:rPr>
        <w:t xml:space="preserve"> predstavuje </w:t>
      </w:r>
      <w:r>
        <w:rPr>
          <w:rFonts w:ascii="Times New Roman" w:hAnsi="Times New Roman" w:cs="Times New Roman"/>
          <w:lang w:eastAsia="sk-SK"/>
        </w:rPr>
        <w:t>1</w:t>
      </w:r>
      <w:r w:rsidRPr="00D26052">
        <w:rPr>
          <w:rFonts w:ascii="Times New Roman" w:hAnsi="Times New Roman" w:cs="Times New Roman"/>
          <w:lang w:eastAsia="sk-SK"/>
        </w:rPr>
        <w:t>,</w:t>
      </w:r>
      <w:r>
        <w:rPr>
          <w:rFonts w:ascii="Times New Roman" w:hAnsi="Times New Roman" w:cs="Times New Roman"/>
          <w:lang w:eastAsia="sk-SK"/>
        </w:rPr>
        <w:t>69</w:t>
      </w:r>
      <w:r w:rsidRPr="00D26052">
        <w:rPr>
          <w:rFonts w:ascii="Times New Roman" w:hAnsi="Times New Roman" w:cs="Times New Roman"/>
          <w:lang w:eastAsia="sk-SK"/>
        </w:rPr>
        <w:t xml:space="preserve"> %. </w:t>
      </w:r>
    </w:p>
    <w:p w:rsidR="007D13F3" w:rsidRPr="00D26052" w:rsidRDefault="007D13F3" w:rsidP="007D13F3">
      <w:pPr>
        <w:jc w:val="both"/>
        <w:rPr>
          <w:rFonts w:ascii="Times New Roman" w:hAnsi="Times New Roman" w:cs="Times New Roman"/>
          <w:lang w:eastAsia="sk-SK"/>
        </w:rPr>
      </w:pPr>
    </w:p>
    <w:p w:rsidR="007D13F3" w:rsidRDefault="007D13F3" w:rsidP="007D13F3">
      <w:pPr>
        <w:ind w:firstLine="708"/>
        <w:jc w:val="both"/>
        <w:rPr>
          <w:rFonts w:ascii="Times New Roman" w:hAnsi="Times New Roman" w:cs="Times New Roman"/>
          <w:lang w:eastAsia="sk-SK"/>
        </w:rPr>
      </w:pPr>
      <w:r>
        <w:rPr>
          <w:rFonts w:ascii="Times New Roman" w:hAnsi="Times New Roman" w:cs="Times New Roman"/>
          <w:lang w:eastAsia="sk-SK"/>
        </w:rPr>
        <w:t>Na b</w:t>
      </w:r>
      <w:r w:rsidRPr="00D26052">
        <w:rPr>
          <w:rFonts w:ascii="Times New Roman" w:hAnsi="Times New Roman" w:cs="Times New Roman"/>
          <w:lang w:eastAsia="sk-SK"/>
        </w:rPr>
        <w:t>ežn</w:t>
      </w:r>
      <w:r>
        <w:rPr>
          <w:rFonts w:ascii="Times New Roman" w:hAnsi="Times New Roman" w:cs="Times New Roman"/>
          <w:lang w:eastAsia="sk-SK"/>
        </w:rPr>
        <w:t>é</w:t>
      </w:r>
      <w:r w:rsidRPr="00D26052">
        <w:rPr>
          <w:rFonts w:ascii="Times New Roman" w:hAnsi="Times New Roman" w:cs="Times New Roman"/>
          <w:lang w:eastAsia="sk-SK"/>
        </w:rPr>
        <w:t xml:space="preserve"> transfer</w:t>
      </w:r>
      <w:r>
        <w:rPr>
          <w:rFonts w:ascii="Times New Roman" w:hAnsi="Times New Roman" w:cs="Times New Roman"/>
          <w:lang w:eastAsia="sk-SK"/>
        </w:rPr>
        <w:t>y</w:t>
      </w:r>
      <w:r w:rsidRPr="00D26052">
        <w:rPr>
          <w:rFonts w:ascii="Times New Roman" w:hAnsi="Times New Roman" w:cs="Times New Roman"/>
          <w:lang w:eastAsia="sk-SK"/>
        </w:rPr>
        <w:t xml:space="preserve"> </w:t>
      </w:r>
      <w:r>
        <w:rPr>
          <w:rFonts w:ascii="Times New Roman" w:hAnsi="Times New Roman" w:cs="Times New Roman"/>
          <w:lang w:eastAsia="sk-SK"/>
        </w:rPr>
        <w:t>sa v roku 2018 rozpočtujú výdavky v sume 1,85 mld. eur. M</w:t>
      </w:r>
      <w:r w:rsidRPr="00D26052">
        <w:rPr>
          <w:rFonts w:ascii="Times New Roman" w:hAnsi="Times New Roman" w:cs="Times New Roman"/>
          <w:lang w:eastAsia="sk-SK"/>
        </w:rPr>
        <w:t>edziročn</w:t>
      </w:r>
      <w:r>
        <w:rPr>
          <w:rFonts w:ascii="Times New Roman" w:hAnsi="Times New Roman" w:cs="Times New Roman"/>
          <w:lang w:eastAsia="sk-SK"/>
        </w:rPr>
        <w:t>e</w:t>
      </w:r>
      <w:r w:rsidRPr="00D26052">
        <w:rPr>
          <w:rFonts w:ascii="Times New Roman" w:hAnsi="Times New Roman" w:cs="Times New Roman"/>
          <w:lang w:eastAsia="sk-SK"/>
        </w:rPr>
        <w:t xml:space="preserve"> </w:t>
      </w:r>
      <w:r>
        <w:rPr>
          <w:rFonts w:ascii="Times New Roman" w:hAnsi="Times New Roman" w:cs="Times New Roman"/>
          <w:lang w:eastAsia="sk-SK"/>
        </w:rPr>
        <w:t xml:space="preserve">rastú </w:t>
      </w:r>
      <w:r w:rsidRPr="00D26052">
        <w:rPr>
          <w:rFonts w:ascii="Times New Roman" w:hAnsi="Times New Roman" w:cs="Times New Roman"/>
          <w:lang w:eastAsia="sk-SK"/>
        </w:rPr>
        <w:t>o</w:t>
      </w:r>
      <w:r>
        <w:rPr>
          <w:rFonts w:ascii="Times New Roman" w:hAnsi="Times New Roman" w:cs="Times New Roman"/>
          <w:lang w:eastAsia="sk-SK"/>
        </w:rPr>
        <w:t> 81,4</w:t>
      </w:r>
      <w:r w:rsidRPr="00D26052">
        <w:rPr>
          <w:rFonts w:ascii="Times New Roman" w:hAnsi="Times New Roman" w:cs="Times New Roman"/>
          <w:lang w:eastAsia="sk-SK"/>
        </w:rPr>
        <w:t xml:space="preserve"> mil. eur, čo predstavuje nárast</w:t>
      </w:r>
      <w:r>
        <w:rPr>
          <w:rFonts w:ascii="Times New Roman" w:hAnsi="Times New Roman" w:cs="Times New Roman"/>
          <w:lang w:eastAsia="sk-SK"/>
        </w:rPr>
        <w:t xml:space="preserve"> </w:t>
      </w:r>
      <w:r w:rsidRPr="00D26052">
        <w:rPr>
          <w:rFonts w:ascii="Times New Roman" w:hAnsi="Times New Roman" w:cs="Times New Roman"/>
          <w:lang w:eastAsia="sk-SK"/>
        </w:rPr>
        <w:t>o </w:t>
      </w:r>
      <w:r>
        <w:rPr>
          <w:rFonts w:ascii="Times New Roman" w:hAnsi="Times New Roman" w:cs="Times New Roman"/>
          <w:lang w:eastAsia="sk-SK"/>
        </w:rPr>
        <w:t>4</w:t>
      </w:r>
      <w:r w:rsidRPr="00D26052">
        <w:rPr>
          <w:rFonts w:ascii="Times New Roman" w:hAnsi="Times New Roman" w:cs="Times New Roman"/>
          <w:lang w:eastAsia="sk-SK"/>
        </w:rPr>
        <w:t>,</w:t>
      </w:r>
      <w:r>
        <w:rPr>
          <w:rFonts w:ascii="Times New Roman" w:hAnsi="Times New Roman" w:cs="Times New Roman"/>
          <w:lang w:eastAsia="sk-SK"/>
        </w:rPr>
        <w:t>59</w:t>
      </w:r>
      <w:r w:rsidRPr="00D26052">
        <w:rPr>
          <w:rFonts w:ascii="Times New Roman" w:hAnsi="Times New Roman" w:cs="Times New Roman"/>
          <w:lang w:eastAsia="sk-SK"/>
        </w:rPr>
        <w:t xml:space="preserve"> % oproti úrovni schváleného rozpočtu </w:t>
      </w:r>
      <w:r>
        <w:rPr>
          <w:rFonts w:ascii="Times New Roman" w:hAnsi="Times New Roman" w:cs="Times New Roman"/>
          <w:lang w:eastAsia="sk-SK"/>
        </w:rPr>
        <w:t>na</w:t>
      </w:r>
      <w:r w:rsidRPr="00D26052">
        <w:rPr>
          <w:rFonts w:ascii="Times New Roman" w:hAnsi="Times New Roman" w:cs="Times New Roman"/>
          <w:lang w:eastAsia="sk-SK"/>
        </w:rPr>
        <w:t xml:space="preserve"> rok 201</w:t>
      </w:r>
      <w:r>
        <w:rPr>
          <w:rFonts w:ascii="Times New Roman" w:hAnsi="Times New Roman" w:cs="Times New Roman"/>
          <w:lang w:eastAsia="sk-SK"/>
        </w:rPr>
        <w:t>7</w:t>
      </w:r>
      <w:r w:rsidRPr="00D26052">
        <w:rPr>
          <w:rFonts w:ascii="Times New Roman" w:hAnsi="Times New Roman" w:cs="Times New Roman"/>
          <w:lang w:eastAsia="sk-SK"/>
        </w:rPr>
        <w:t>.</w:t>
      </w:r>
      <w:r>
        <w:rPr>
          <w:rFonts w:ascii="Times New Roman" w:hAnsi="Times New Roman" w:cs="Times New Roman"/>
          <w:lang w:eastAsia="sk-SK"/>
        </w:rPr>
        <w:t xml:space="preserve"> </w:t>
      </w:r>
      <w:r w:rsidRPr="007C126B">
        <w:rPr>
          <w:rFonts w:ascii="Times New Roman" w:hAnsi="Times New Roman" w:cs="Times New Roman"/>
          <w:lang w:eastAsia="sk-SK"/>
        </w:rPr>
        <w:t xml:space="preserve">Nárast je spôsobený </w:t>
      </w:r>
      <w:r>
        <w:rPr>
          <w:rFonts w:ascii="Times New Roman" w:hAnsi="Times New Roman" w:cs="Times New Roman"/>
          <w:lang w:eastAsia="sk-SK"/>
        </w:rPr>
        <w:t xml:space="preserve">najmä </w:t>
      </w:r>
      <w:r w:rsidRPr="007C126B">
        <w:rPr>
          <w:rFonts w:ascii="Times New Roman" w:hAnsi="Times New Roman" w:cs="Times New Roman"/>
          <w:lang w:eastAsia="sk-SK"/>
        </w:rPr>
        <w:t>vplyvom novelizácie zákonov o sociálnom poistení</w:t>
      </w:r>
      <w:r>
        <w:rPr>
          <w:rFonts w:ascii="Times New Roman" w:hAnsi="Times New Roman" w:cs="Times New Roman"/>
          <w:lang w:eastAsia="sk-SK"/>
        </w:rPr>
        <w:t xml:space="preserve"> a</w:t>
      </w:r>
      <w:r w:rsidRPr="007C126B">
        <w:rPr>
          <w:rFonts w:ascii="Times New Roman" w:hAnsi="Times New Roman" w:cs="Times New Roman"/>
          <w:lang w:eastAsia="sk-SK"/>
        </w:rPr>
        <w:t xml:space="preserve"> o sociálnych službách</w:t>
      </w:r>
      <w:r>
        <w:rPr>
          <w:rFonts w:ascii="Times New Roman" w:hAnsi="Times New Roman" w:cs="Times New Roman"/>
          <w:lang w:eastAsia="sk-SK"/>
        </w:rPr>
        <w:t>.</w:t>
      </w:r>
    </w:p>
    <w:p w:rsidR="007D13F3" w:rsidRDefault="007D13F3" w:rsidP="007D13F3">
      <w:pPr>
        <w:ind w:firstLine="708"/>
        <w:jc w:val="both"/>
        <w:rPr>
          <w:rFonts w:ascii="Times New Roman" w:hAnsi="Times New Roman" w:cs="Times New Roman"/>
          <w:lang w:eastAsia="sk-SK"/>
        </w:rPr>
      </w:pPr>
    </w:p>
    <w:p w:rsidR="007D13F3" w:rsidRDefault="007D13F3" w:rsidP="007D13F3">
      <w:pPr>
        <w:ind w:firstLine="708"/>
        <w:jc w:val="both"/>
        <w:rPr>
          <w:rFonts w:ascii="Times New Roman" w:hAnsi="Times New Roman" w:cs="Times New Roman"/>
          <w:lang w:eastAsia="sk-SK"/>
        </w:rPr>
      </w:pPr>
      <w:r w:rsidRPr="009B1DD2">
        <w:rPr>
          <w:rFonts w:ascii="Times New Roman" w:hAnsi="Times New Roman" w:cs="Times New Roman"/>
          <w:lang w:eastAsia="sk-SK"/>
        </w:rPr>
        <w:t>Zabezpečujú sa nové opatrenia v oblasti zamestnanosti a kompenzácie ŤZP, konkrétne pri príspevku na dochádzanie za prácou, prísp</w:t>
      </w:r>
      <w:r>
        <w:rPr>
          <w:rFonts w:ascii="Times New Roman" w:hAnsi="Times New Roman" w:cs="Times New Roman"/>
          <w:lang w:eastAsia="sk-SK"/>
        </w:rPr>
        <w:t>evku pri presťahovaní za prácou</w:t>
      </w:r>
      <w:r w:rsidRPr="009B1DD2">
        <w:rPr>
          <w:rFonts w:ascii="Times New Roman" w:hAnsi="Times New Roman" w:cs="Times New Roman"/>
          <w:lang w:eastAsia="sk-SK"/>
        </w:rPr>
        <w:t xml:space="preserve"> a príplatku za nočnú prácu. Účinnosť týchto opatrení sa predpokladá od 1. mája 2018. S účinnosťou od </w:t>
      </w:r>
      <w:r w:rsidR="00F30F1A">
        <w:rPr>
          <w:rFonts w:ascii="Times New Roman" w:hAnsi="Times New Roman" w:cs="Times New Roman"/>
          <w:lang w:eastAsia="sk-SK"/>
        </w:rPr>
        <w:br/>
      </w:r>
      <w:r w:rsidRPr="009B1DD2">
        <w:rPr>
          <w:rFonts w:ascii="Times New Roman" w:hAnsi="Times New Roman" w:cs="Times New Roman"/>
          <w:lang w:eastAsia="sk-SK"/>
        </w:rPr>
        <w:t>1. septembra 2018 sa predpokladá zv</w:t>
      </w:r>
      <w:r>
        <w:rPr>
          <w:rFonts w:ascii="Times New Roman" w:hAnsi="Times New Roman" w:cs="Times New Roman"/>
          <w:lang w:eastAsia="sk-SK"/>
        </w:rPr>
        <w:t>ýšenie príspevku na opatrovanie.</w:t>
      </w:r>
      <w:r w:rsidRPr="009B1DD2">
        <w:rPr>
          <w:rFonts w:ascii="Times New Roman" w:hAnsi="Times New Roman" w:cs="Times New Roman"/>
          <w:lang w:eastAsia="sk-SK"/>
        </w:rPr>
        <w:t xml:space="preserve"> </w:t>
      </w:r>
    </w:p>
    <w:p w:rsidR="007D13F3" w:rsidRDefault="007D13F3" w:rsidP="007D13F3">
      <w:pPr>
        <w:jc w:val="both"/>
        <w:rPr>
          <w:rFonts w:ascii="Times New Roman" w:hAnsi="Times New Roman" w:cs="Times New Roman"/>
          <w:lang w:eastAsia="sk-SK"/>
        </w:rPr>
      </w:pPr>
    </w:p>
    <w:p w:rsidR="007D13F3" w:rsidRPr="00D26052" w:rsidRDefault="007D13F3" w:rsidP="007D13F3">
      <w:pPr>
        <w:ind w:firstLine="708"/>
        <w:jc w:val="both"/>
        <w:rPr>
          <w:rFonts w:ascii="Times New Roman" w:hAnsi="Times New Roman" w:cs="Times New Roman"/>
          <w:lang w:eastAsia="sk-SK"/>
        </w:rPr>
      </w:pPr>
      <w:r w:rsidRPr="00D26052">
        <w:rPr>
          <w:rFonts w:ascii="Times New Roman" w:hAnsi="Times New Roman" w:cs="Times New Roman"/>
          <w:lang w:eastAsia="sk-SK"/>
        </w:rPr>
        <w:t xml:space="preserve">Kapitálové výdavky </w:t>
      </w:r>
      <w:r>
        <w:rPr>
          <w:rFonts w:ascii="Times New Roman" w:hAnsi="Times New Roman" w:cs="Times New Roman"/>
          <w:lang w:eastAsia="sk-SK"/>
        </w:rPr>
        <w:t xml:space="preserve">na rok 2018 </w:t>
      </w:r>
      <w:r w:rsidRPr="00D26052">
        <w:rPr>
          <w:rFonts w:ascii="Times New Roman" w:hAnsi="Times New Roman" w:cs="Times New Roman"/>
          <w:lang w:eastAsia="sk-SK"/>
        </w:rPr>
        <w:t>kapitola</w:t>
      </w:r>
      <w:r>
        <w:rPr>
          <w:rFonts w:ascii="Times New Roman" w:hAnsi="Times New Roman" w:cs="Times New Roman"/>
          <w:lang w:eastAsia="sk-SK"/>
        </w:rPr>
        <w:t xml:space="preserve"> </w:t>
      </w:r>
      <w:r w:rsidRPr="00D26052">
        <w:rPr>
          <w:rFonts w:ascii="Times New Roman" w:hAnsi="Times New Roman" w:cs="Times New Roman"/>
          <w:lang w:eastAsia="sk-SK"/>
        </w:rPr>
        <w:t xml:space="preserve">rozpísala v sume </w:t>
      </w:r>
      <w:r>
        <w:rPr>
          <w:rFonts w:ascii="Times New Roman" w:hAnsi="Times New Roman" w:cs="Times New Roman"/>
          <w:lang w:eastAsia="sk-SK"/>
        </w:rPr>
        <w:t>5</w:t>
      </w:r>
      <w:r w:rsidRPr="00D26052">
        <w:rPr>
          <w:rFonts w:ascii="Times New Roman" w:hAnsi="Times New Roman" w:cs="Times New Roman"/>
          <w:lang w:eastAsia="sk-SK"/>
        </w:rPr>
        <w:t>,</w:t>
      </w:r>
      <w:r>
        <w:rPr>
          <w:rFonts w:ascii="Times New Roman" w:hAnsi="Times New Roman" w:cs="Times New Roman"/>
          <w:lang w:eastAsia="sk-SK"/>
        </w:rPr>
        <w:t>05</w:t>
      </w:r>
      <w:r w:rsidRPr="00D26052">
        <w:rPr>
          <w:rFonts w:ascii="Times New Roman" w:hAnsi="Times New Roman" w:cs="Times New Roman"/>
          <w:lang w:eastAsia="sk-SK"/>
        </w:rPr>
        <w:t xml:space="preserve"> mil. eur</w:t>
      </w:r>
      <w:r>
        <w:rPr>
          <w:rFonts w:ascii="Times New Roman" w:hAnsi="Times New Roman" w:cs="Times New Roman"/>
          <w:lang w:eastAsia="sk-SK"/>
        </w:rPr>
        <w:t>.</w:t>
      </w:r>
      <w:r w:rsidRPr="00D26052">
        <w:rPr>
          <w:rFonts w:ascii="Times New Roman" w:hAnsi="Times New Roman" w:cs="Times New Roman"/>
          <w:lang w:eastAsia="sk-SK"/>
        </w:rPr>
        <w:t xml:space="preserve"> </w:t>
      </w:r>
      <w:r>
        <w:rPr>
          <w:rFonts w:ascii="Times New Roman" w:hAnsi="Times New Roman" w:cs="Times New Roman"/>
          <w:lang w:eastAsia="sk-SK"/>
        </w:rPr>
        <w:t>V porovnaní so schváleným rozpočtom na rok 2017 rastú o 59,0 tis. eur, t. j. o 1,18 %.</w:t>
      </w:r>
      <w:r w:rsidRPr="00D26052">
        <w:rPr>
          <w:rFonts w:ascii="Times New Roman" w:hAnsi="Times New Roman" w:cs="Times New Roman"/>
          <w:lang w:eastAsia="sk-SK"/>
        </w:rPr>
        <w:t xml:space="preserve"> </w:t>
      </w:r>
    </w:p>
    <w:p w:rsidR="007D13F3" w:rsidRDefault="007D13F3" w:rsidP="007D13F3">
      <w:pPr>
        <w:ind w:firstLine="708"/>
        <w:jc w:val="both"/>
        <w:rPr>
          <w:rFonts w:ascii="Times New Roman" w:hAnsi="Times New Roman" w:cs="Times New Roman"/>
          <w:lang w:eastAsia="sk-SK"/>
        </w:rPr>
      </w:pPr>
    </w:p>
    <w:p w:rsidR="007D13F3" w:rsidRDefault="007D13F3" w:rsidP="007D13F3">
      <w:pPr>
        <w:ind w:firstLine="708"/>
        <w:jc w:val="both"/>
        <w:rPr>
          <w:rFonts w:ascii="Times New Roman" w:hAnsi="Times New Roman" w:cs="Times New Roman"/>
          <w:lang w:eastAsia="sk-SK"/>
        </w:rPr>
      </w:pPr>
      <w:r>
        <w:rPr>
          <w:rFonts w:ascii="Times New Roman" w:hAnsi="Times New Roman" w:cs="Times New Roman"/>
          <w:lang w:eastAsia="sk-SK"/>
        </w:rPr>
        <w:t>Kapitola v nadväznosti na § 17 ods. 4 zákona č. 523/2004 Z. z. o rozpočtových pravidlách verejnej správy v znení neskorších predpisov rozpočtuje tiež výdavky zodpovedajúce príjmom z poistného plnenia zo zmluvného poistenia alebo zo zákonného poistenia v sume 115 tis. eur.</w:t>
      </w:r>
    </w:p>
    <w:p w:rsidR="007D13F3" w:rsidRDefault="007D13F3" w:rsidP="007D13F3">
      <w:pPr>
        <w:ind w:firstLine="708"/>
        <w:jc w:val="both"/>
        <w:rPr>
          <w:rFonts w:ascii="Times New Roman" w:hAnsi="Times New Roman" w:cs="Times New Roman"/>
          <w:lang w:eastAsia="sk-SK"/>
        </w:rPr>
      </w:pPr>
    </w:p>
    <w:p w:rsidR="007D13F3" w:rsidRDefault="007D13F3" w:rsidP="007D13F3">
      <w:pPr>
        <w:ind w:firstLine="708"/>
        <w:jc w:val="both"/>
        <w:rPr>
          <w:rFonts w:ascii="Times New Roman" w:hAnsi="Times New Roman" w:cs="Times New Roman"/>
          <w:lang w:eastAsia="sk-SK"/>
        </w:rPr>
      </w:pPr>
      <w:r>
        <w:rPr>
          <w:rFonts w:ascii="Times New Roman" w:hAnsi="Times New Roman" w:cs="Times New Roman"/>
          <w:lang w:eastAsia="sk-SK"/>
        </w:rPr>
        <w:t>MPSVR SR na roky 2018  až 2020 nerozpočtuje výdavky na samostatných účtoch.</w:t>
      </w:r>
    </w:p>
    <w:p w:rsidR="007D13F3" w:rsidRDefault="007D13F3" w:rsidP="007D13F3">
      <w:pPr>
        <w:ind w:firstLine="708"/>
        <w:jc w:val="both"/>
        <w:rPr>
          <w:rFonts w:ascii="Times New Roman" w:hAnsi="Times New Roman" w:cs="Times New Roman"/>
          <w:lang w:eastAsia="sk-SK"/>
        </w:rPr>
      </w:pPr>
    </w:p>
    <w:p w:rsidR="007D13F3" w:rsidRPr="00D26052" w:rsidRDefault="007D13F3" w:rsidP="007D13F3">
      <w:pPr>
        <w:ind w:firstLine="708"/>
        <w:jc w:val="both"/>
        <w:rPr>
          <w:rFonts w:ascii="Times New Roman" w:hAnsi="Times New Roman" w:cs="Times New Roman"/>
          <w:lang w:eastAsia="sk-SK"/>
        </w:rPr>
      </w:pPr>
      <w:r w:rsidRPr="00D26052">
        <w:rPr>
          <w:rFonts w:ascii="Times New Roman" w:hAnsi="Times New Roman" w:cs="Times New Roman"/>
          <w:lang w:eastAsia="sk-SK"/>
        </w:rPr>
        <w:t>Výdavky kapitoly MPSVR SR sú smerované do nasledovných oblastí:</w:t>
      </w:r>
    </w:p>
    <w:p w:rsidR="007D13F3" w:rsidRPr="00F5748F" w:rsidRDefault="007D13F3" w:rsidP="007D13F3">
      <w:pPr>
        <w:jc w:val="both"/>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1943"/>
        <w:gridCol w:w="1017"/>
        <w:gridCol w:w="1017"/>
        <w:gridCol w:w="1017"/>
        <w:gridCol w:w="1017"/>
        <w:gridCol w:w="1017"/>
        <w:gridCol w:w="1017"/>
        <w:gridCol w:w="1017"/>
      </w:tblGrid>
      <w:tr w:rsidR="007D13F3" w:rsidRPr="00D26052" w:rsidTr="00465CAC">
        <w:trPr>
          <w:trHeight w:hRule="exact" w:val="284"/>
        </w:trPr>
        <w:tc>
          <w:tcPr>
            <w:tcW w:w="107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D26052">
              <w:rPr>
                <w:rFonts w:ascii="Times New Roman" w:hAnsi="Times New Roman" w:cs="Times New Roman"/>
                <w:b/>
                <w:bCs/>
                <w:color w:val="000000"/>
                <w:sz w:val="14"/>
                <w:szCs w:val="14"/>
                <w:lang w:eastAsia="sk-SK"/>
              </w:rPr>
              <w:t xml:space="preserve"> 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N</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OS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N</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r>
      <w:tr w:rsidR="007D13F3" w:rsidRPr="00D26052" w:rsidTr="00465CAC">
        <w:trPr>
          <w:trHeight w:hRule="exact" w:val="284"/>
        </w:trPr>
        <w:tc>
          <w:tcPr>
            <w:tcW w:w="10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Zdroje príslušnej kapitoly</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2 </w:t>
            </w:r>
            <w:r>
              <w:rPr>
                <w:rFonts w:ascii="Times New Roman" w:hAnsi="Times New Roman" w:cs="Times New Roman"/>
                <w:b/>
                <w:bCs/>
                <w:color w:val="000000"/>
                <w:sz w:val="14"/>
                <w:szCs w:val="14"/>
                <w:lang w:eastAsia="sk-SK"/>
              </w:rPr>
              <w:t>155</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364</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458</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2 1</w:t>
            </w:r>
            <w:r>
              <w:rPr>
                <w:rFonts w:ascii="Times New Roman" w:hAnsi="Times New Roman" w:cs="Times New Roman"/>
                <w:b/>
                <w:bCs/>
                <w:color w:val="000000"/>
                <w:sz w:val="14"/>
                <w:szCs w:val="14"/>
                <w:lang w:eastAsia="sk-SK"/>
              </w:rPr>
              <w:t>64</w:t>
            </w:r>
            <w:r w:rsidRPr="00D26052">
              <w:rPr>
                <w:rFonts w:ascii="Times New Roman" w:hAnsi="Times New Roman" w:cs="Times New Roman"/>
                <w:b/>
                <w:bCs/>
                <w:color w:val="000000"/>
                <w:sz w:val="14"/>
                <w:szCs w:val="14"/>
                <w:lang w:eastAsia="sk-SK"/>
              </w:rPr>
              <w:t xml:space="preserve"> 1</w:t>
            </w:r>
            <w:r>
              <w:rPr>
                <w:rFonts w:ascii="Times New Roman" w:hAnsi="Times New Roman" w:cs="Times New Roman"/>
                <w:b/>
                <w:bCs/>
                <w:color w:val="000000"/>
                <w:sz w:val="14"/>
                <w:szCs w:val="14"/>
                <w:lang w:eastAsia="sk-SK"/>
              </w:rPr>
              <w:t>13</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1</w:t>
            </w:r>
            <w:r w:rsidRPr="00D26052">
              <w:rPr>
                <w:rFonts w:ascii="Times New Roman" w:hAnsi="Times New Roman" w:cs="Times New Roman"/>
                <w:b/>
                <w:bCs/>
                <w:color w:val="000000"/>
                <w:sz w:val="14"/>
                <w:szCs w:val="14"/>
                <w:lang w:eastAsia="sk-SK"/>
              </w:rPr>
              <w:t>5</w:t>
            </w:r>
            <w:r>
              <w:rPr>
                <w:rFonts w:ascii="Times New Roman" w:hAnsi="Times New Roman" w:cs="Times New Roman"/>
                <w:b/>
                <w:bCs/>
                <w:color w:val="000000"/>
                <w:sz w:val="14"/>
                <w:szCs w:val="14"/>
                <w:lang w:eastAsia="sk-SK"/>
              </w:rPr>
              <w:t>1</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2 </w:t>
            </w:r>
            <w:r>
              <w:rPr>
                <w:rFonts w:ascii="Times New Roman" w:hAnsi="Times New Roman" w:cs="Times New Roman"/>
                <w:b/>
                <w:bCs/>
                <w:color w:val="000000"/>
                <w:sz w:val="14"/>
                <w:szCs w:val="14"/>
                <w:lang w:eastAsia="sk-SK"/>
              </w:rPr>
              <w:t>2</w:t>
            </w:r>
            <w:r w:rsidRPr="00D26052">
              <w:rPr>
                <w:rFonts w:ascii="Times New Roman" w:hAnsi="Times New Roman" w:cs="Times New Roman"/>
                <w:b/>
                <w:bCs/>
                <w:color w:val="000000"/>
                <w:sz w:val="14"/>
                <w:szCs w:val="14"/>
                <w:lang w:eastAsia="sk-SK"/>
              </w:rPr>
              <w:t>5</w:t>
            </w:r>
            <w:r>
              <w:rPr>
                <w:rFonts w:ascii="Times New Roman" w:hAnsi="Times New Roman" w:cs="Times New Roman"/>
                <w:b/>
                <w:bCs/>
                <w:color w:val="000000"/>
                <w:sz w:val="14"/>
                <w:szCs w:val="14"/>
                <w:lang w:eastAsia="sk-SK"/>
              </w:rPr>
              <w:t>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962</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872</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2 </w:t>
            </w:r>
            <w:r>
              <w:rPr>
                <w:rFonts w:ascii="Times New Roman" w:hAnsi="Times New Roman" w:cs="Times New Roman"/>
                <w:b/>
                <w:bCs/>
                <w:color w:val="000000"/>
                <w:sz w:val="14"/>
                <w:szCs w:val="14"/>
                <w:lang w:eastAsia="sk-SK"/>
              </w:rPr>
              <w:t>299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784</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116</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2 </w:t>
            </w:r>
            <w:r>
              <w:rPr>
                <w:rFonts w:ascii="Times New Roman" w:hAnsi="Times New Roman" w:cs="Times New Roman"/>
                <w:b/>
                <w:bCs/>
                <w:color w:val="000000"/>
                <w:sz w:val="14"/>
                <w:szCs w:val="14"/>
                <w:lang w:eastAsia="sk-SK"/>
              </w:rPr>
              <w:t>341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250</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420</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2 </w:t>
            </w:r>
            <w:r>
              <w:rPr>
                <w:rFonts w:ascii="Times New Roman" w:hAnsi="Times New Roman" w:cs="Times New Roman"/>
                <w:b/>
                <w:bCs/>
                <w:color w:val="000000"/>
                <w:sz w:val="14"/>
                <w:szCs w:val="14"/>
                <w:lang w:eastAsia="sk-SK"/>
              </w:rPr>
              <w:t>429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547</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418</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2 4</w:t>
            </w:r>
            <w:r>
              <w:rPr>
                <w:rFonts w:ascii="Times New Roman" w:hAnsi="Times New Roman" w:cs="Times New Roman"/>
                <w:b/>
                <w:bCs/>
                <w:color w:val="000000"/>
                <w:sz w:val="14"/>
                <w:szCs w:val="14"/>
                <w:lang w:eastAsia="sk-SK"/>
              </w:rPr>
              <w:t>60</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498</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443</w:t>
            </w:r>
          </w:p>
        </w:tc>
      </w:tr>
      <w:tr w:rsidR="007D13F3" w:rsidRPr="00D26052" w:rsidTr="00465CAC">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Sociálna inklúzia</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1 7</w:t>
            </w:r>
            <w:r>
              <w:rPr>
                <w:rFonts w:ascii="Times New Roman" w:hAnsi="Times New Roman" w:cs="Times New Roman"/>
                <w:color w:val="000000"/>
                <w:sz w:val="14"/>
                <w:szCs w:val="14"/>
                <w:lang w:eastAsia="sk-SK"/>
              </w:rPr>
              <w:t>8</w:t>
            </w:r>
            <w:r w:rsidRPr="00D26052">
              <w:rPr>
                <w:rFonts w:ascii="Times New Roman" w:hAnsi="Times New Roman" w:cs="Times New Roman"/>
                <w:color w:val="000000"/>
                <w:sz w:val="14"/>
                <w:szCs w:val="14"/>
                <w:lang w:eastAsia="sk-SK"/>
              </w:rPr>
              <w:t xml:space="preserve">7 </w:t>
            </w:r>
            <w:r>
              <w:rPr>
                <w:rFonts w:ascii="Times New Roman" w:hAnsi="Times New Roman" w:cs="Times New Roman"/>
                <w:color w:val="000000"/>
                <w:sz w:val="14"/>
                <w:szCs w:val="14"/>
                <w:lang w:eastAsia="sk-SK"/>
              </w:rPr>
              <w:t>723</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930</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1 7</w:t>
            </w:r>
            <w:r>
              <w:rPr>
                <w:rFonts w:ascii="Times New Roman" w:hAnsi="Times New Roman" w:cs="Times New Roman"/>
                <w:color w:val="000000"/>
                <w:sz w:val="14"/>
                <w:szCs w:val="14"/>
                <w:lang w:eastAsia="sk-SK"/>
              </w:rPr>
              <w:t>37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698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114</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1 </w:t>
            </w:r>
            <w:r>
              <w:rPr>
                <w:rFonts w:ascii="Times New Roman" w:hAnsi="Times New Roman" w:cs="Times New Roman"/>
                <w:color w:val="000000"/>
                <w:sz w:val="14"/>
                <w:szCs w:val="14"/>
                <w:lang w:eastAsia="sk-SK"/>
              </w:rPr>
              <w:t>795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232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984</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1 7</w:t>
            </w:r>
            <w:r>
              <w:rPr>
                <w:rFonts w:ascii="Times New Roman" w:hAnsi="Times New Roman" w:cs="Times New Roman"/>
                <w:color w:val="000000"/>
                <w:sz w:val="14"/>
                <w:szCs w:val="14"/>
                <w:lang w:eastAsia="sk-SK"/>
              </w:rPr>
              <w:t>74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214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310</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1 </w:t>
            </w:r>
            <w:r>
              <w:rPr>
                <w:rFonts w:ascii="Times New Roman" w:hAnsi="Times New Roman" w:cs="Times New Roman"/>
                <w:color w:val="000000"/>
                <w:sz w:val="14"/>
                <w:szCs w:val="14"/>
                <w:lang w:eastAsia="sk-SK"/>
              </w:rPr>
              <w:t>887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019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701</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1 </w:t>
            </w:r>
            <w:r>
              <w:rPr>
                <w:rFonts w:ascii="Times New Roman" w:hAnsi="Times New Roman" w:cs="Times New Roman"/>
                <w:color w:val="000000"/>
                <w:sz w:val="14"/>
                <w:szCs w:val="14"/>
                <w:lang w:eastAsia="sk-SK"/>
              </w:rPr>
              <w:t>959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72</w:t>
            </w:r>
            <w:r w:rsidRPr="00D26052">
              <w:rPr>
                <w:rFonts w:ascii="Times New Roman" w:hAnsi="Times New Roman" w:cs="Times New Roman"/>
                <w:color w:val="000000"/>
                <w:sz w:val="14"/>
                <w:szCs w:val="14"/>
                <w:lang w:eastAsia="sk-SK"/>
              </w:rPr>
              <w:t xml:space="preserve">1 </w:t>
            </w:r>
            <w:r>
              <w:rPr>
                <w:rFonts w:ascii="Times New Roman" w:hAnsi="Times New Roman" w:cs="Times New Roman"/>
                <w:color w:val="000000"/>
                <w:sz w:val="14"/>
                <w:szCs w:val="14"/>
                <w:lang w:eastAsia="sk-SK"/>
              </w:rPr>
              <w:t>037</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992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271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768</w:t>
            </w:r>
          </w:p>
        </w:tc>
      </w:tr>
      <w:tr w:rsidR="007D13F3" w:rsidRPr="00D26052" w:rsidTr="00465CAC">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Politika zamestnanosti</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88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264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988</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236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w:t>
            </w: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241</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281</w:t>
            </w:r>
            <w:r w:rsidRPr="00D26052">
              <w:rPr>
                <w:rFonts w:ascii="Times New Roman" w:hAnsi="Times New Roman" w:cs="Times New Roman"/>
                <w:color w:val="000000"/>
                <w:sz w:val="14"/>
                <w:szCs w:val="14"/>
                <w:lang w:eastAsia="sk-SK"/>
              </w:rPr>
              <w:t xml:space="preserve"> 9</w:t>
            </w:r>
            <w:r>
              <w:rPr>
                <w:rFonts w:ascii="Times New Roman" w:hAnsi="Times New Roman" w:cs="Times New Roman"/>
                <w:color w:val="000000"/>
                <w:sz w:val="14"/>
                <w:szCs w:val="14"/>
                <w:lang w:eastAsia="sk-SK"/>
              </w:rPr>
              <w:t>76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355</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337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383</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757</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68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424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252</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83</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270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031</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82 062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625</w:t>
            </w:r>
          </w:p>
        </w:tc>
      </w:tr>
      <w:tr w:rsidR="007D13F3" w:rsidRPr="00D26052" w:rsidTr="00465CAC">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Inštitucionálna podpora </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79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w:t>
            </w:r>
            <w:r w:rsidRPr="00D26052">
              <w:rPr>
                <w:rFonts w:ascii="Times New Roman" w:hAnsi="Times New Roman" w:cs="Times New Roman"/>
                <w:color w:val="000000"/>
                <w:sz w:val="14"/>
                <w:szCs w:val="14"/>
                <w:lang w:eastAsia="sk-SK"/>
              </w:rPr>
              <w:t>7</w:t>
            </w: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90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w:t>
            </w:r>
            <w:r w:rsidRPr="00D26052">
              <w:rPr>
                <w:rFonts w:ascii="Times New Roman" w:hAnsi="Times New Roman" w:cs="Times New Roman"/>
                <w:color w:val="000000"/>
                <w:sz w:val="14"/>
                <w:szCs w:val="14"/>
                <w:lang w:eastAsia="sk-SK"/>
              </w:rPr>
              <w:t>0</w:t>
            </w:r>
            <w:r>
              <w:rPr>
                <w:rFonts w:ascii="Times New Roman" w:hAnsi="Times New Roman" w:cs="Times New Roman"/>
                <w:color w:val="000000"/>
                <w:sz w:val="14"/>
                <w:szCs w:val="14"/>
                <w:lang w:eastAsia="sk-SK"/>
              </w:rPr>
              <w:t>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9</w:t>
            </w:r>
            <w:r>
              <w:rPr>
                <w:rFonts w:ascii="Times New Roman" w:hAnsi="Times New Roman" w:cs="Times New Roman"/>
                <w:color w:val="000000"/>
                <w:sz w:val="14"/>
                <w:szCs w:val="14"/>
                <w:lang w:eastAsia="sk-SK"/>
              </w:rPr>
              <w:t>6</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15</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5</w:t>
            </w:r>
            <w:r>
              <w:rPr>
                <w:rFonts w:ascii="Times New Roman" w:hAnsi="Times New Roman" w:cs="Times New Roman"/>
                <w:color w:val="000000"/>
                <w:sz w:val="14"/>
                <w:szCs w:val="14"/>
                <w:lang w:eastAsia="sk-SK"/>
              </w:rPr>
              <w:t>71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326</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69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394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071</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68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601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513</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16</w:t>
            </w:r>
            <w:r>
              <w:rPr>
                <w:rFonts w:ascii="Times New Roman" w:hAnsi="Times New Roman" w:cs="Times New Roman"/>
                <w:color w:val="000000"/>
                <w:sz w:val="14"/>
                <w:szCs w:val="14"/>
                <w:lang w:eastAsia="sk-SK"/>
              </w:rPr>
              <w:t>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249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99</w:t>
            </w:r>
            <w:r w:rsidRPr="00D26052">
              <w:rPr>
                <w:rFonts w:ascii="Times New Roman" w:hAnsi="Times New Roman" w:cs="Times New Roman"/>
                <w:color w:val="000000"/>
                <w:sz w:val="14"/>
                <w:szCs w:val="14"/>
                <w:lang w:eastAsia="sk-SK"/>
              </w:rPr>
              <w:t>6</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16</w:t>
            </w:r>
            <w:r>
              <w:rPr>
                <w:rFonts w:ascii="Times New Roman" w:hAnsi="Times New Roman" w:cs="Times New Roman"/>
                <w:color w:val="000000"/>
                <w:sz w:val="14"/>
                <w:szCs w:val="14"/>
                <w:lang w:eastAsia="sk-SK"/>
              </w:rPr>
              <w:t>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254</w:t>
            </w:r>
            <w:r w:rsidRPr="00D26052">
              <w:rPr>
                <w:rFonts w:ascii="Times New Roman" w:hAnsi="Times New Roman" w:cs="Times New Roman"/>
                <w:color w:val="000000"/>
                <w:sz w:val="14"/>
                <w:szCs w:val="14"/>
                <w:lang w:eastAsia="sk-SK"/>
              </w:rPr>
              <w:t xml:space="preserve"> 9</w:t>
            </w:r>
            <w:r>
              <w:rPr>
                <w:rFonts w:ascii="Times New Roman" w:hAnsi="Times New Roman" w:cs="Times New Roman"/>
                <w:color w:val="000000"/>
                <w:sz w:val="14"/>
                <w:szCs w:val="14"/>
                <w:lang w:eastAsia="sk-SK"/>
              </w:rPr>
              <w:t>96</w:t>
            </w:r>
          </w:p>
        </w:tc>
      </w:tr>
      <w:tr w:rsidR="007D13F3" w:rsidRPr="00D26052" w:rsidTr="00465CAC">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Informačné technológie</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17 182 2</w:t>
            </w:r>
            <w:r w:rsidRPr="00D26052">
              <w:rPr>
                <w:rFonts w:ascii="Times New Roman" w:hAnsi="Times New Roman" w:cs="Times New Roman"/>
                <w:color w:val="000000"/>
                <w:sz w:val="14"/>
                <w:szCs w:val="14"/>
                <w:lang w:eastAsia="sk-SK"/>
              </w:rPr>
              <w:t>0</w:t>
            </w:r>
            <w:r>
              <w:rPr>
                <w:rFonts w:ascii="Times New Roman" w:hAnsi="Times New Roman" w:cs="Times New Roman"/>
                <w:color w:val="000000"/>
                <w:sz w:val="14"/>
                <w:szCs w:val="14"/>
                <w:lang w:eastAsia="sk-SK"/>
              </w:rPr>
              <w:t>7</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18 791 978</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204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954</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306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354</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909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054</w:t>
            </w:r>
          </w:p>
        </w:tc>
      </w:tr>
    </w:tbl>
    <w:p w:rsidR="007D13F3" w:rsidRDefault="007D13F3" w:rsidP="007D13F3">
      <w:pPr>
        <w:contextualSpacing/>
        <w:jc w:val="both"/>
        <w:rPr>
          <w:rFonts w:ascii="Times New Roman" w:hAnsi="Times New Roman" w:cs="Times New Roman"/>
          <w:b/>
          <w:lang w:eastAsia="sk-SK"/>
        </w:rPr>
      </w:pPr>
    </w:p>
    <w:p w:rsidR="007D13F3" w:rsidRDefault="007D13F3" w:rsidP="007D13F3">
      <w:pPr>
        <w:spacing w:after="160" w:line="259" w:lineRule="auto"/>
        <w:rPr>
          <w:rFonts w:ascii="Times New Roman" w:hAnsi="Times New Roman" w:cs="Times New Roman"/>
          <w:b/>
          <w:lang w:eastAsia="sk-SK"/>
        </w:rPr>
      </w:pPr>
      <w:r>
        <w:rPr>
          <w:rFonts w:ascii="Times New Roman" w:hAnsi="Times New Roman" w:cs="Times New Roman"/>
          <w:b/>
          <w:lang w:eastAsia="sk-SK"/>
        </w:rPr>
        <w:br w:type="page"/>
      </w:r>
    </w:p>
    <w:p w:rsidR="007D13F3" w:rsidRPr="00D26052" w:rsidRDefault="007D13F3" w:rsidP="007D13F3">
      <w:pPr>
        <w:contextualSpacing/>
        <w:jc w:val="both"/>
        <w:rPr>
          <w:rFonts w:ascii="Times New Roman" w:hAnsi="Times New Roman" w:cs="Times New Roman"/>
          <w:b/>
          <w:lang w:eastAsia="sk-SK"/>
        </w:rPr>
      </w:pPr>
      <w:r w:rsidRPr="00D26052">
        <w:rPr>
          <w:rFonts w:ascii="Times New Roman" w:hAnsi="Times New Roman" w:cs="Times New Roman"/>
          <w:b/>
          <w:lang w:eastAsia="sk-SK"/>
        </w:rPr>
        <w:lastRenderedPageBreak/>
        <w:t>Sociálna inklúzia</w:t>
      </w:r>
    </w:p>
    <w:p w:rsidR="007D13F3" w:rsidRPr="00D26052" w:rsidRDefault="007D13F3" w:rsidP="007D13F3">
      <w:pPr>
        <w:jc w:val="both"/>
        <w:rPr>
          <w:rFonts w:ascii="Arial Narrow" w:hAnsi="Arial Narrow" w:cs="Times New Roman"/>
          <w:b/>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5"/>
        <w:gridCol w:w="945"/>
        <w:gridCol w:w="945"/>
        <w:gridCol w:w="945"/>
        <w:gridCol w:w="945"/>
        <w:gridCol w:w="945"/>
        <w:gridCol w:w="945"/>
        <w:gridCol w:w="945"/>
      </w:tblGrid>
      <w:tr w:rsidR="007D13F3" w:rsidRPr="00D26052" w:rsidTr="00465CAC">
        <w:trPr>
          <w:trHeight w:hRule="exact" w:val="255"/>
        </w:trPr>
        <w:tc>
          <w:tcPr>
            <w:tcW w:w="0" w:type="auto"/>
            <w:shd w:val="clear" w:color="auto" w:fill="A6A6A6" w:themeFill="background1" w:themeFillShade="A6"/>
            <w:noWrap/>
            <w:vAlign w:val="bottom"/>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0" w:type="auto"/>
            <w:shd w:val="clear" w:color="auto" w:fill="A6A6A6" w:themeFill="background1" w:themeFillShade="A6"/>
            <w:noWrap/>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D26052">
              <w:rPr>
                <w:rFonts w:ascii="Times New Roman" w:hAnsi="Times New Roman" w:cs="Times New Roman"/>
                <w:b/>
                <w:bCs/>
                <w:sz w:val="14"/>
                <w:szCs w:val="14"/>
                <w:lang w:eastAsia="sk-SK"/>
              </w:rPr>
              <w:t xml:space="preserve"> S</w:t>
            </w:r>
          </w:p>
        </w:tc>
        <w:tc>
          <w:tcPr>
            <w:tcW w:w="0" w:type="auto"/>
            <w:shd w:val="clear" w:color="auto" w:fill="A6A6A6" w:themeFill="background1" w:themeFillShade="A6"/>
            <w:noWrap/>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D26052">
              <w:rPr>
                <w:rFonts w:ascii="Times New Roman" w:hAnsi="Times New Roman" w:cs="Times New Roman"/>
                <w:b/>
                <w:bCs/>
                <w:sz w:val="14"/>
                <w:szCs w:val="14"/>
                <w:lang w:eastAsia="sk-SK"/>
              </w:rPr>
              <w:t xml:space="preserve"> S</w:t>
            </w:r>
          </w:p>
        </w:tc>
        <w:tc>
          <w:tcPr>
            <w:tcW w:w="0" w:type="auto"/>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D26052">
              <w:rPr>
                <w:rFonts w:ascii="Times New Roman" w:hAnsi="Times New Roman" w:cs="Times New Roman"/>
                <w:b/>
                <w:bCs/>
                <w:sz w:val="14"/>
                <w:szCs w:val="14"/>
                <w:lang w:eastAsia="sk-SK"/>
              </w:rPr>
              <w:t xml:space="preserve"> R</w:t>
            </w:r>
          </w:p>
        </w:tc>
        <w:tc>
          <w:tcPr>
            <w:tcW w:w="0" w:type="auto"/>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D26052">
              <w:rPr>
                <w:rFonts w:ascii="Times New Roman" w:hAnsi="Times New Roman" w:cs="Times New Roman"/>
                <w:b/>
                <w:bCs/>
                <w:sz w:val="14"/>
                <w:szCs w:val="14"/>
                <w:lang w:eastAsia="sk-SK"/>
              </w:rPr>
              <w:t xml:space="preserve"> OS</w:t>
            </w:r>
          </w:p>
        </w:tc>
        <w:tc>
          <w:tcPr>
            <w:tcW w:w="0" w:type="auto"/>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D26052">
              <w:rPr>
                <w:rFonts w:ascii="Times New Roman" w:hAnsi="Times New Roman" w:cs="Times New Roman"/>
                <w:b/>
                <w:bCs/>
                <w:sz w:val="14"/>
                <w:szCs w:val="14"/>
                <w:lang w:eastAsia="sk-SK"/>
              </w:rPr>
              <w:t xml:space="preserve"> N</w:t>
            </w:r>
          </w:p>
        </w:tc>
        <w:tc>
          <w:tcPr>
            <w:tcW w:w="0" w:type="auto"/>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9</w:t>
            </w:r>
            <w:r w:rsidRPr="00D26052">
              <w:rPr>
                <w:rFonts w:ascii="Times New Roman" w:hAnsi="Times New Roman" w:cs="Times New Roman"/>
                <w:b/>
                <w:bCs/>
                <w:sz w:val="14"/>
                <w:szCs w:val="14"/>
                <w:lang w:eastAsia="sk-SK"/>
              </w:rPr>
              <w:t xml:space="preserve"> N</w:t>
            </w:r>
          </w:p>
        </w:tc>
        <w:tc>
          <w:tcPr>
            <w:tcW w:w="0" w:type="auto"/>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w:t>
            </w:r>
            <w:r>
              <w:rPr>
                <w:rFonts w:ascii="Times New Roman" w:hAnsi="Times New Roman" w:cs="Times New Roman"/>
                <w:b/>
                <w:bCs/>
                <w:sz w:val="14"/>
                <w:szCs w:val="14"/>
                <w:lang w:eastAsia="sk-SK"/>
              </w:rPr>
              <w:t>20</w:t>
            </w:r>
            <w:r w:rsidRPr="00D26052">
              <w:rPr>
                <w:rFonts w:ascii="Times New Roman" w:hAnsi="Times New Roman" w:cs="Times New Roman"/>
                <w:b/>
                <w:bCs/>
                <w:sz w:val="14"/>
                <w:szCs w:val="14"/>
                <w:lang w:eastAsia="sk-SK"/>
              </w:rPr>
              <w:t xml:space="preserve"> N</w:t>
            </w:r>
          </w:p>
        </w:tc>
      </w:tr>
      <w:tr w:rsidR="007D13F3" w:rsidRPr="00D26052" w:rsidTr="00465CAC">
        <w:trPr>
          <w:trHeight w:hRule="exact" w:val="255"/>
        </w:trPr>
        <w:tc>
          <w:tcPr>
            <w:tcW w:w="0" w:type="auto"/>
            <w:shd w:val="clear" w:color="auto" w:fill="BFBFBF" w:themeFill="background1" w:themeFillShade="BF"/>
            <w:noWrap/>
            <w:vAlign w:val="bottom"/>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Sociálna inklúzia zdroje spolu</w:t>
            </w:r>
          </w:p>
        </w:tc>
        <w:tc>
          <w:tcPr>
            <w:tcW w:w="0" w:type="auto"/>
            <w:shd w:val="clear" w:color="auto" w:fill="BFBFBF" w:themeFill="background1" w:themeFillShade="BF"/>
            <w:vAlign w:val="bottom"/>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1 7</w:t>
            </w:r>
            <w:r>
              <w:rPr>
                <w:rFonts w:ascii="Times New Roman" w:hAnsi="Times New Roman" w:cs="Times New Roman"/>
                <w:b/>
                <w:bCs/>
                <w:color w:val="000000"/>
                <w:sz w:val="14"/>
                <w:szCs w:val="14"/>
                <w:lang w:eastAsia="sk-SK"/>
              </w:rPr>
              <w:t>87</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723</w:t>
            </w:r>
            <w:r w:rsidRPr="00D26052">
              <w:rPr>
                <w:rFonts w:ascii="Times New Roman" w:hAnsi="Times New Roman" w:cs="Times New Roman"/>
                <w:b/>
                <w:bCs/>
                <w:color w:val="000000"/>
                <w:sz w:val="14"/>
                <w:szCs w:val="14"/>
                <w:lang w:eastAsia="sk-SK"/>
              </w:rPr>
              <w:t xml:space="preserve"> 9</w:t>
            </w:r>
            <w:r>
              <w:rPr>
                <w:rFonts w:ascii="Times New Roman" w:hAnsi="Times New Roman" w:cs="Times New Roman"/>
                <w:b/>
                <w:bCs/>
                <w:color w:val="000000"/>
                <w:sz w:val="14"/>
                <w:szCs w:val="14"/>
                <w:lang w:eastAsia="sk-SK"/>
              </w:rPr>
              <w:t>30</w:t>
            </w:r>
          </w:p>
        </w:tc>
        <w:tc>
          <w:tcPr>
            <w:tcW w:w="0" w:type="auto"/>
            <w:shd w:val="clear" w:color="auto" w:fill="BFBFBF" w:themeFill="background1" w:themeFillShade="BF"/>
            <w:vAlign w:val="bottom"/>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1 7</w:t>
            </w:r>
            <w:r>
              <w:rPr>
                <w:rFonts w:ascii="Times New Roman" w:hAnsi="Times New Roman" w:cs="Times New Roman"/>
                <w:b/>
                <w:bCs/>
                <w:color w:val="000000"/>
                <w:sz w:val="14"/>
                <w:szCs w:val="14"/>
                <w:lang w:eastAsia="sk-SK"/>
              </w:rPr>
              <w:t>37</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9</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114</w:t>
            </w:r>
          </w:p>
        </w:tc>
        <w:tc>
          <w:tcPr>
            <w:tcW w:w="0" w:type="auto"/>
            <w:shd w:val="clear" w:color="auto" w:fill="BFBFBF" w:themeFill="background1" w:themeFillShade="BF"/>
            <w:vAlign w:val="bottom"/>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1 </w:t>
            </w:r>
            <w:r>
              <w:rPr>
                <w:rFonts w:ascii="Times New Roman" w:hAnsi="Times New Roman" w:cs="Times New Roman"/>
                <w:b/>
                <w:bCs/>
                <w:color w:val="000000"/>
                <w:sz w:val="14"/>
                <w:szCs w:val="14"/>
                <w:lang w:eastAsia="sk-SK"/>
              </w:rPr>
              <w:t>795</w:t>
            </w:r>
            <w:r w:rsidRPr="00D26052">
              <w:rPr>
                <w:rFonts w:ascii="Times New Roman" w:hAnsi="Times New Roman" w:cs="Times New Roman"/>
                <w:b/>
                <w:bCs/>
                <w:color w:val="000000"/>
                <w:sz w:val="14"/>
                <w:szCs w:val="14"/>
                <w:lang w:eastAsia="sk-SK"/>
              </w:rPr>
              <w:t xml:space="preserve"> 2</w:t>
            </w:r>
            <w:r>
              <w:rPr>
                <w:rFonts w:ascii="Times New Roman" w:hAnsi="Times New Roman" w:cs="Times New Roman"/>
                <w:b/>
                <w:bCs/>
                <w:color w:val="000000"/>
                <w:sz w:val="14"/>
                <w:szCs w:val="14"/>
                <w:lang w:eastAsia="sk-SK"/>
              </w:rPr>
              <w:t>32</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984</w:t>
            </w:r>
          </w:p>
        </w:tc>
        <w:tc>
          <w:tcPr>
            <w:tcW w:w="0" w:type="auto"/>
            <w:shd w:val="clear" w:color="auto" w:fill="BFBFBF" w:themeFill="background1" w:themeFillShade="BF"/>
            <w:vAlign w:val="bottom"/>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1 7</w:t>
            </w:r>
            <w:r>
              <w:rPr>
                <w:rFonts w:ascii="Times New Roman" w:hAnsi="Times New Roman" w:cs="Times New Roman"/>
                <w:b/>
                <w:bCs/>
                <w:color w:val="000000"/>
                <w:sz w:val="14"/>
                <w:szCs w:val="14"/>
                <w:lang w:eastAsia="sk-SK"/>
              </w:rPr>
              <w:t>74 214 310</w:t>
            </w:r>
          </w:p>
        </w:tc>
        <w:tc>
          <w:tcPr>
            <w:tcW w:w="0" w:type="auto"/>
            <w:shd w:val="clear" w:color="auto" w:fill="BFBFBF" w:themeFill="background1" w:themeFillShade="BF"/>
            <w:vAlign w:val="bottom"/>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1 </w:t>
            </w:r>
            <w:r>
              <w:rPr>
                <w:rFonts w:ascii="Times New Roman" w:hAnsi="Times New Roman" w:cs="Times New Roman"/>
                <w:b/>
                <w:bCs/>
                <w:color w:val="000000"/>
                <w:sz w:val="14"/>
                <w:szCs w:val="14"/>
                <w:lang w:eastAsia="sk-SK"/>
              </w:rPr>
              <w:t>887</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019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701</w:t>
            </w:r>
          </w:p>
        </w:tc>
        <w:tc>
          <w:tcPr>
            <w:tcW w:w="0" w:type="auto"/>
            <w:shd w:val="clear" w:color="auto" w:fill="BFBFBF" w:themeFill="background1" w:themeFillShade="BF"/>
            <w:vAlign w:val="bottom"/>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959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721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037</w:t>
            </w:r>
          </w:p>
        </w:tc>
        <w:tc>
          <w:tcPr>
            <w:tcW w:w="0" w:type="auto"/>
            <w:shd w:val="clear" w:color="auto" w:fill="BFBFBF" w:themeFill="background1" w:themeFillShade="BF"/>
            <w:vAlign w:val="bottom"/>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992</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271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768</w:t>
            </w:r>
          </w:p>
        </w:tc>
      </w:tr>
      <w:tr w:rsidR="007D13F3" w:rsidRPr="00D26052" w:rsidTr="00465CAC">
        <w:trPr>
          <w:trHeight w:hRule="exact" w:val="255"/>
        </w:trPr>
        <w:tc>
          <w:tcPr>
            <w:tcW w:w="0" w:type="auto"/>
            <w:shd w:val="clear" w:color="auto" w:fill="auto"/>
            <w:noWrap/>
            <w:vAlign w:val="bottom"/>
            <w:hideMark/>
          </w:tcPr>
          <w:p w:rsidR="007D13F3" w:rsidRPr="00D26052" w:rsidRDefault="007D13F3" w:rsidP="00465CAC">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EÚ zdroje + spolufinancovanie</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w:t>
            </w:r>
            <w:r>
              <w:rPr>
                <w:rFonts w:ascii="Times New Roman" w:hAnsi="Times New Roman" w:cs="Times New Roman"/>
                <w:b/>
                <w:bCs/>
                <w:sz w:val="14"/>
                <w:szCs w:val="14"/>
                <w:lang w:eastAsia="sk-SK"/>
              </w:rPr>
              <w:t>6</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974</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098</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1</w:t>
            </w:r>
            <w:r w:rsidRPr="00D26052">
              <w:rPr>
                <w:rFonts w:ascii="Times New Roman" w:hAnsi="Times New Roman" w:cs="Times New Roman"/>
                <w:b/>
                <w:bCs/>
                <w:sz w:val="14"/>
                <w:szCs w:val="14"/>
                <w:lang w:eastAsia="sk-SK"/>
              </w:rPr>
              <w:t>7</w:t>
            </w:r>
            <w:r>
              <w:rPr>
                <w:rFonts w:ascii="Times New Roman" w:hAnsi="Times New Roman" w:cs="Times New Roman"/>
                <w:b/>
                <w:bCs/>
                <w:sz w:val="14"/>
                <w:szCs w:val="14"/>
                <w:lang w:eastAsia="sk-SK"/>
              </w:rPr>
              <w:t>9</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886</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13</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522</w:t>
            </w:r>
            <w:r w:rsidRPr="00D26052">
              <w:rPr>
                <w:rFonts w:ascii="Times New Roman" w:hAnsi="Times New Roman" w:cs="Times New Roman"/>
                <w:b/>
                <w:bCs/>
                <w:sz w:val="14"/>
                <w:szCs w:val="14"/>
                <w:lang w:eastAsia="sk-SK"/>
              </w:rPr>
              <w:t xml:space="preserve"> 9</w:t>
            </w:r>
            <w:r>
              <w:rPr>
                <w:rFonts w:ascii="Times New Roman" w:hAnsi="Times New Roman" w:cs="Times New Roman"/>
                <w:b/>
                <w:bCs/>
                <w:sz w:val="14"/>
                <w:szCs w:val="14"/>
                <w:lang w:eastAsia="sk-SK"/>
              </w:rPr>
              <w:t>98</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100</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872</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1</w:t>
            </w:r>
            <w:r>
              <w:rPr>
                <w:rFonts w:ascii="Times New Roman" w:hAnsi="Times New Roman" w:cs="Times New Roman"/>
                <w:b/>
                <w:bCs/>
                <w:sz w:val="14"/>
                <w:szCs w:val="14"/>
                <w:lang w:eastAsia="sk-SK"/>
              </w:rPr>
              <w:t>0</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0</w:t>
            </w:r>
            <w:r w:rsidRPr="00D26052">
              <w:rPr>
                <w:rFonts w:ascii="Times New Roman" w:hAnsi="Times New Roman" w:cs="Times New Roman"/>
                <w:b/>
                <w:bCs/>
                <w:sz w:val="14"/>
                <w:szCs w:val="14"/>
                <w:lang w:eastAsia="sk-SK"/>
              </w:rPr>
              <w:t>2</w:t>
            </w:r>
            <w:r>
              <w:rPr>
                <w:rFonts w:ascii="Times New Roman" w:hAnsi="Times New Roman" w:cs="Times New Roman"/>
                <w:b/>
                <w:bCs/>
                <w:sz w:val="14"/>
                <w:szCs w:val="14"/>
                <w:lang w:eastAsia="sk-SK"/>
              </w:rPr>
              <w:t>4</w:t>
            </w:r>
            <w:r w:rsidRPr="00D26052">
              <w:rPr>
                <w:rFonts w:ascii="Times New Roman" w:hAnsi="Times New Roman" w:cs="Times New Roman"/>
                <w:b/>
                <w:bCs/>
                <w:sz w:val="14"/>
                <w:szCs w:val="14"/>
                <w:lang w:eastAsia="sk-SK"/>
              </w:rPr>
              <w:t xml:space="preserve"> 98</w:t>
            </w:r>
            <w:r>
              <w:rPr>
                <w:rFonts w:ascii="Times New Roman" w:hAnsi="Times New Roman" w:cs="Times New Roman"/>
                <w:b/>
                <w:bCs/>
                <w:sz w:val="14"/>
                <w:szCs w:val="14"/>
                <w:lang w:eastAsia="sk-SK"/>
              </w:rPr>
              <w:t>9</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 xml:space="preserve">10 </w:t>
            </w:r>
            <w:r>
              <w:rPr>
                <w:rFonts w:ascii="Times New Roman" w:hAnsi="Times New Roman" w:cs="Times New Roman"/>
                <w:b/>
                <w:bCs/>
                <w:sz w:val="14"/>
                <w:szCs w:val="14"/>
                <w:lang w:eastAsia="sk-SK"/>
              </w:rPr>
              <w:t>875</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1</w:t>
            </w:r>
            <w:r w:rsidRPr="00D26052">
              <w:rPr>
                <w:rFonts w:ascii="Times New Roman" w:hAnsi="Times New Roman" w:cs="Times New Roman"/>
                <w:b/>
                <w:bCs/>
                <w:sz w:val="14"/>
                <w:szCs w:val="14"/>
                <w:lang w:eastAsia="sk-SK"/>
              </w:rPr>
              <w:t>9</w:t>
            </w:r>
            <w:r>
              <w:rPr>
                <w:rFonts w:ascii="Times New Roman" w:hAnsi="Times New Roman" w:cs="Times New Roman"/>
                <w:b/>
                <w:bCs/>
                <w:sz w:val="14"/>
                <w:szCs w:val="14"/>
                <w:lang w:eastAsia="sk-SK"/>
              </w:rPr>
              <w:t>9</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1</w:t>
            </w:r>
            <w:r>
              <w:rPr>
                <w:rFonts w:ascii="Times New Roman" w:hAnsi="Times New Roman" w:cs="Times New Roman"/>
                <w:b/>
                <w:bCs/>
                <w:sz w:val="14"/>
                <w:szCs w:val="14"/>
                <w:lang w:eastAsia="sk-SK"/>
              </w:rPr>
              <w:t>2</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9</w:t>
            </w:r>
            <w:r w:rsidRPr="00D26052">
              <w:rPr>
                <w:rFonts w:ascii="Times New Roman" w:hAnsi="Times New Roman" w:cs="Times New Roman"/>
                <w:b/>
                <w:bCs/>
                <w:sz w:val="14"/>
                <w:szCs w:val="14"/>
                <w:lang w:eastAsia="sk-SK"/>
              </w:rPr>
              <w:t>75 1</w:t>
            </w:r>
            <w:r>
              <w:rPr>
                <w:rFonts w:ascii="Times New Roman" w:hAnsi="Times New Roman" w:cs="Times New Roman"/>
                <w:b/>
                <w:bCs/>
                <w:sz w:val="14"/>
                <w:szCs w:val="14"/>
                <w:lang w:eastAsia="sk-SK"/>
              </w:rPr>
              <w:t>22</w:t>
            </w:r>
          </w:p>
        </w:tc>
      </w:tr>
      <w:tr w:rsidR="007D13F3" w:rsidRPr="00D26052" w:rsidTr="00465CAC">
        <w:trPr>
          <w:trHeight w:hRule="exact" w:val="255"/>
        </w:trPr>
        <w:tc>
          <w:tcPr>
            <w:tcW w:w="0" w:type="auto"/>
            <w:shd w:val="clear" w:color="auto" w:fill="auto"/>
            <w:noWrap/>
            <w:vAlign w:val="bottom"/>
            <w:hideMark/>
          </w:tcPr>
          <w:p w:rsidR="007D13F3" w:rsidRPr="00D26052" w:rsidRDefault="007D13F3" w:rsidP="00465CAC">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presun z minulých rokov (zdroj 13)</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36</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511</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22</w:t>
            </w:r>
            <w:r w:rsidRPr="00D26052">
              <w:rPr>
                <w:rFonts w:ascii="Times New Roman" w:hAnsi="Times New Roman" w:cs="Times New Roman"/>
                <w:b/>
                <w:bCs/>
                <w:sz w:val="14"/>
                <w:szCs w:val="14"/>
                <w:lang w:eastAsia="sk-SK"/>
              </w:rPr>
              <w:t>7</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15</w:t>
            </w:r>
            <w:r w:rsidRPr="00D26052">
              <w:rPr>
                <w:rFonts w:ascii="Times New Roman" w:hAnsi="Times New Roman" w:cs="Times New Roman"/>
                <w:b/>
                <w:bCs/>
                <w:sz w:val="14"/>
                <w:szCs w:val="14"/>
                <w:lang w:eastAsia="sk-SK"/>
              </w:rPr>
              <w:t xml:space="preserve"> 5</w:t>
            </w:r>
            <w:r>
              <w:rPr>
                <w:rFonts w:ascii="Times New Roman" w:hAnsi="Times New Roman" w:cs="Times New Roman"/>
                <w:b/>
                <w:bCs/>
                <w:sz w:val="14"/>
                <w:szCs w:val="14"/>
                <w:lang w:eastAsia="sk-SK"/>
              </w:rPr>
              <w:t>45</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999</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0</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9</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286</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324</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0</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0</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0</w:t>
            </w:r>
          </w:p>
        </w:tc>
      </w:tr>
      <w:tr w:rsidR="007D13F3" w:rsidRPr="00D26052" w:rsidTr="00465CAC">
        <w:trPr>
          <w:trHeight w:hRule="exact" w:val="255"/>
        </w:trPr>
        <w:tc>
          <w:tcPr>
            <w:tcW w:w="0" w:type="auto"/>
            <w:shd w:val="clear" w:color="auto" w:fill="auto"/>
            <w:noWrap/>
            <w:vAlign w:val="bottom"/>
            <w:hideMark/>
          </w:tcPr>
          <w:p w:rsidR="007D13F3" w:rsidRPr="00D26052" w:rsidRDefault="007D13F3" w:rsidP="00465CAC">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Sociálna inklúzia (zdroj 111), v tom:</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1 7</w:t>
            </w:r>
            <w:r>
              <w:rPr>
                <w:rFonts w:ascii="Times New Roman" w:hAnsi="Times New Roman" w:cs="Times New Roman"/>
                <w:b/>
                <w:bCs/>
                <w:sz w:val="14"/>
                <w:szCs w:val="14"/>
                <w:lang w:eastAsia="sk-SK"/>
              </w:rPr>
              <w:t>23</w:t>
            </w:r>
            <w:r w:rsidRPr="00D26052">
              <w:rPr>
                <w:rFonts w:ascii="Times New Roman" w:hAnsi="Times New Roman" w:cs="Times New Roman"/>
                <w:b/>
                <w:bCs/>
                <w:sz w:val="14"/>
                <w:szCs w:val="14"/>
                <w:lang w:eastAsia="sk-SK"/>
              </w:rPr>
              <w:t xml:space="preserve"> 9</w:t>
            </w:r>
            <w:r>
              <w:rPr>
                <w:rFonts w:ascii="Times New Roman" w:hAnsi="Times New Roman" w:cs="Times New Roman"/>
                <w:b/>
                <w:bCs/>
                <w:sz w:val="14"/>
                <w:szCs w:val="14"/>
                <w:lang w:eastAsia="sk-SK"/>
              </w:rPr>
              <w:t>21</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892</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1 72</w:t>
            </w:r>
            <w:r>
              <w:rPr>
                <w:rFonts w:ascii="Times New Roman" w:hAnsi="Times New Roman" w:cs="Times New Roman"/>
                <w:b/>
                <w:bCs/>
                <w:sz w:val="14"/>
                <w:szCs w:val="14"/>
                <w:lang w:eastAsia="sk-SK"/>
              </w:rPr>
              <w:t>1</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655</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004</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1 7</w:t>
            </w:r>
            <w:r>
              <w:rPr>
                <w:rFonts w:ascii="Times New Roman" w:hAnsi="Times New Roman" w:cs="Times New Roman"/>
                <w:b/>
                <w:bCs/>
                <w:sz w:val="14"/>
                <w:szCs w:val="14"/>
                <w:lang w:eastAsia="sk-SK"/>
              </w:rPr>
              <w:t>81</w:t>
            </w:r>
            <w:r w:rsidRPr="00D26052">
              <w:rPr>
                <w:rFonts w:ascii="Times New Roman" w:hAnsi="Times New Roman" w:cs="Times New Roman"/>
                <w:b/>
                <w:bCs/>
                <w:sz w:val="14"/>
                <w:szCs w:val="14"/>
                <w:lang w:eastAsia="sk-SK"/>
              </w:rPr>
              <w:t xml:space="preserve"> 7</w:t>
            </w:r>
            <w:r>
              <w:rPr>
                <w:rFonts w:ascii="Times New Roman" w:hAnsi="Times New Roman" w:cs="Times New Roman"/>
                <w:b/>
                <w:bCs/>
                <w:sz w:val="14"/>
                <w:szCs w:val="14"/>
                <w:lang w:eastAsia="sk-SK"/>
              </w:rPr>
              <w:t>09</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986</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1 7</w:t>
            </w:r>
            <w:r>
              <w:rPr>
                <w:rFonts w:ascii="Times New Roman" w:hAnsi="Times New Roman" w:cs="Times New Roman"/>
                <w:b/>
                <w:bCs/>
                <w:sz w:val="14"/>
                <w:szCs w:val="14"/>
                <w:lang w:eastAsia="sk-SK"/>
              </w:rPr>
              <w:t>64</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743</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616</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 xml:space="preserve">1 </w:t>
            </w:r>
            <w:r>
              <w:rPr>
                <w:rFonts w:ascii="Times New Roman" w:hAnsi="Times New Roman" w:cs="Times New Roman"/>
                <w:b/>
                <w:bCs/>
                <w:sz w:val="14"/>
                <w:szCs w:val="14"/>
                <w:lang w:eastAsia="sk-SK"/>
              </w:rPr>
              <w:t>876</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909</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412</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 xml:space="preserve">1 </w:t>
            </w:r>
            <w:r>
              <w:rPr>
                <w:rFonts w:ascii="Times New Roman" w:hAnsi="Times New Roman" w:cs="Times New Roman"/>
                <w:b/>
                <w:bCs/>
                <w:sz w:val="14"/>
                <w:szCs w:val="14"/>
                <w:lang w:eastAsia="sk-SK"/>
              </w:rPr>
              <w:t>948</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760</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538</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979</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211</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346</w:t>
            </w:r>
          </w:p>
        </w:tc>
      </w:tr>
      <w:tr w:rsidR="007D13F3" w:rsidRPr="00D26052" w:rsidTr="00465CAC">
        <w:trPr>
          <w:trHeight w:hRule="exact" w:val="255"/>
        </w:trPr>
        <w:tc>
          <w:tcPr>
            <w:tcW w:w="0" w:type="auto"/>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pomoc v hmotnej núdzi</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35</w:t>
            </w:r>
            <w:r w:rsidRPr="00D26052">
              <w:rPr>
                <w:rFonts w:ascii="Times New Roman" w:hAnsi="Times New Roman" w:cs="Times New Roman"/>
                <w:sz w:val="14"/>
                <w:szCs w:val="14"/>
                <w:lang w:eastAsia="sk-SK"/>
              </w:rPr>
              <w:t xml:space="preserve"> 9</w:t>
            </w:r>
            <w:r>
              <w:rPr>
                <w:rFonts w:ascii="Times New Roman" w:hAnsi="Times New Roman" w:cs="Times New Roman"/>
                <w:sz w:val="14"/>
                <w:szCs w:val="14"/>
                <w:lang w:eastAsia="sk-SK"/>
              </w:rPr>
              <w:t>3</w:t>
            </w:r>
            <w:r w:rsidRPr="00D26052">
              <w:rPr>
                <w:rFonts w:ascii="Times New Roman" w:hAnsi="Times New Roman" w:cs="Times New Roman"/>
                <w:sz w:val="14"/>
                <w:szCs w:val="14"/>
                <w:lang w:eastAsia="sk-SK"/>
              </w:rPr>
              <w:t xml:space="preserve">7 </w:t>
            </w:r>
            <w:r>
              <w:rPr>
                <w:rFonts w:ascii="Times New Roman" w:hAnsi="Times New Roman" w:cs="Times New Roman"/>
                <w:sz w:val="14"/>
                <w:szCs w:val="14"/>
                <w:lang w:eastAsia="sk-SK"/>
              </w:rPr>
              <w:t>059</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02</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68</w:t>
            </w:r>
            <w:r w:rsidRPr="00D26052">
              <w:rPr>
                <w:rFonts w:ascii="Times New Roman" w:hAnsi="Times New Roman" w:cs="Times New Roman"/>
                <w:sz w:val="14"/>
                <w:szCs w:val="14"/>
                <w:lang w:eastAsia="sk-SK"/>
              </w:rPr>
              <w:t>7 9</w:t>
            </w:r>
            <w:r>
              <w:rPr>
                <w:rFonts w:ascii="Times New Roman" w:hAnsi="Times New Roman" w:cs="Times New Roman"/>
                <w:sz w:val="14"/>
                <w:szCs w:val="14"/>
                <w:lang w:eastAsia="sk-SK"/>
              </w:rPr>
              <w:t>27</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20</w:t>
            </w:r>
            <w:r w:rsidRPr="00D26052">
              <w:rPr>
                <w:rFonts w:ascii="Times New Roman" w:hAnsi="Times New Roman" w:cs="Times New Roman"/>
                <w:sz w:val="14"/>
                <w:szCs w:val="14"/>
                <w:lang w:eastAsia="sk-SK"/>
              </w:rPr>
              <w:t xml:space="preserve"> 8</w:t>
            </w:r>
            <w:r>
              <w:rPr>
                <w:rFonts w:ascii="Times New Roman" w:hAnsi="Times New Roman" w:cs="Times New Roman"/>
                <w:sz w:val="14"/>
                <w:szCs w:val="14"/>
                <w:lang w:eastAsia="sk-SK"/>
              </w:rPr>
              <w:t>51</w:t>
            </w:r>
            <w:r w:rsidRPr="00D26052">
              <w:rPr>
                <w:rFonts w:ascii="Times New Roman" w:hAnsi="Times New Roman" w:cs="Times New Roman"/>
                <w:sz w:val="14"/>
                <w:szCs w:val="14"/>
                <w:lang w:eastAsia="sk-SK"/>
              </w:rPr>
              <w:t xml:space="preserve"> 8</w:t>
            </w:r>
            <w:r>
              <w:rPr>
                <w:rFonts w:ascii="Times New Roman" w:hAnsi="Times New Roman" w:cs="Times New Roman"/>
                <w:sz w:val="14"/>
                <w:szCs w:val="14"/>
                <w:lang w:eastAsia="sk-SK"/>
              </w:rPr>
              <w:t>31</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201</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914</w:t>
            </w:r>
            <w:r w:rsidRPr="00D26052">
              <w:rPr>
                <w:rFonts w:ascii="Times New Roman" w:hAnsi="Times New Roman" w:cs="Times New Roman"/>
                <w:sz w:val="14"/>
                <w:szCs w:val="14"/>
                <w:lang w:eastAsia="sk-SK"/>
              </w:rPr>
              <w:t xml:space="preserve"> 2</w:t>
            </w:r>
            <w:r>
              <w:rPr>
                <w:rFonts w:ascii="Times New Roman" w:hAnsi="Times New Roman" w:cs="Times New Roman"/>
                <w:sz w:val="14"/>
                <w:szCs w:val="14"/>
                <w:lang w:eastAsia="sk-SK"/>
              </w:rPr>
              <w:t>60</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173</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336</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906</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168</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822</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913</w:t>
            </w:r>
          </w:p>
        </w:tc>
        <w:tc>
          <w:tcPr>
            <w:tcW w:w="0" w:type="auto"/>
            <w:shd w:val="clear" w:color="auto" w:fill="auto"/>
            <w:vAlign w:val="bottom"/>
            <w:hideMark/>
          </w:tcPr>
          <w:p w:rsidR="007D13F3" w:rsidRPr="00D26052" w:rsidRDefault="007D13F3" w:rsidP="0098636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164 43</w:t>
            </w:r>
            <w:r w:rsidR="00986368">
              <w:rPr>
                <w:rFonts w:ascii="Times New Roman" w:hAnsi="Times New Roman" w:cs="Times New Roman"/>
                <w:sz w:val="14"/>
                <w:szCs w:val="14"/>
                <w:lang w:eastAsia="sk-SK"/>
              </w:rPr>
              <w:t>1</w:t>
            </w:r>
            <w:r>
              <w:rPr>
                <w:rFonts w:ascii="Times New Roman" w:hAnsi="Times New Roman" w:cs="Times New Roman"/>
                <w:sz w:val="14"/>
                <w:szCs w:val="14"/>
                <w:lang w:eastAsia="sk-SK"/>
              </w:rPr>
              <w:t xml:space="preserve"> 960</w:t>
            </w:r>
          </w:p>
        </w:tc>
      </w:tr>
      <w:tr w:rsidR="007D13F3" w:rsidRPr="00D26052" w:rsidTr="00465CAC">
        <w:trPr>
          <w:trHeight w:hRule="exact" w:val="255"/>
        </w:trPr>
        <w:tc>
          <w:tcPr>
            <w:tcW w:w="0" w:type="auto"/>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podpora rodiny</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7</w:t>
            </w:r>
            <w:r>
              <w:rPr>
                <w:rFonts w:ascii="Times New Roman" w:hAnsi="Times New Roman" w:cs="Times New Roman"/>
                <w:sz w:val="14"/>
                <w:szCs w:val="14"/>
                <w:lang w:eastAsia="sk-SK"/>
              </w:rPr>
              <w:t>18</w:t>
            </w:r>
            <w:r w:rsidRPr="00D26052">
              <w:rPr>
                <w:rFonts w:ascii="Times New Roman" w:hAnsi="Times New Roman" w:cs="Times New Roman"/>
                <w:sz w:val="14"/>
                <w:szCs w:val="14"/>
                <w:lang w:eastAsia="sk-SK"/>
              </w:rPr>
              <w:t xml:space="preserve"> 6</w:t>
            </w:r>
            <w:r>
              <w:rPr>
                <w:rFonts w:ascii="Times New Roman" w:hAnsi="Times New Roman" w:cs="Times New Roman"/>
                <w:sz w:val="14"/>
                <w:szCs w:val="14"/>
                <w:lang w:eastAsia="sk-SK"/>
              </w:rPr>
              <w:t>7</w:t>
            </w:r>
            <w:r w:rsidRPr="00D26052">
              <w:rPr>
                <w:rFonts w:ascii="Times New Roman" w:hAnsi="Times New Roman" w:cs="Times New Roman"/>
                <w:sz w:val="14"/>
                <w:szCs w:val="14"/>
                <w:lang w:eastAsia="sk-SK"/>
              </w:rPr>
              <w:t xml:space="preserve">4 </w:t>
            </w:r>
            <w:r>
              <w:rPr>
                <w:rFonts w:ascii="Times New Roman" w:hAnsi="Times New Roman" w:cs="Times New Roman"/>
                <w:sz w:val="14"/>
                <w:szCs w:val="14"/>
                <w:lang w:eastAsia="sk-SK"/>
              </w:rPr>
              <w:t>8</w:t>
            </w:r>
            <w:r w:rsidRPr="00D26052">
              <w:rPr>
                <w:rFonts w:ascii="Times New Roman" w:hAnsi="Times New Roman" w:cs="Times New Roman"/>
                <w:sz w:val="14"/>
                <w:szCs w:val="14"/>
                <w:lang w:eastAsia="sk-SK"/>
              </w:rPr>
              <w:t>6</w:t>
            </w:r>
            <w:r>
              <w:rPr>
                <w:rFonts w:ascii="Times New Roman" w:hAnsi="Times New Roman" w:cs="Times New Roman"/>
                <w:sz w:val="14"/>
                <w:szCs w:val="14"/>
                <w:lang w:eastAsia="sk-SK"/>
              </w:rPr>
              <w:t>3</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718 </w:t>
            </w:r>
            <w:r>
              <w:rPr>
                <w:rFonts w:ascii="Times New Roman" w:hAnsi="Times New Roman" w:cs="Times New Roman"/>
                <w:sz w:val="14"/>
                <w:szCs w:val="14"/>
                <w:lang w:eastAsia="sk-SK"/>
              </w:rPr>
              <w:t>991</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44</w:t>
            </w:r>
            <w:r w:rsidRPr="00D26052">
              <w:rPr>
                <w:rFonts w:ascii="Times New Roman" w:hAnsi="Times New Roman" w:cs="Times New Roman"/>
                <w:sz w:val="14"/>
                <w:szCs w:val="14"/>
                <w:lang w:eastAsia="sk-SK"/>
              </w:rPr>
              <w:t>3</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73</w:t>
            </w:r>
            <w:r>
              <w:rPr>
                <w:rFonts w:ascii="Times New Roman" w:hAnsi="Times New Roman" w:cs="Times New Roman"/>
                <w:sz w:val="14"/>
                <w:szCs w:val="14"/>
                <w:lang w:eastAsia="sk-SK"/>
              </w:rPr>
              <w:t>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006</w:t>
            </w:r>
            <w:r w:rsidRPr="00D26052">
              <w:rPr>
                <w:rFonts w:ascii="Times New Roman" w:hAnsi="Times New Roman" w:cs="Times New Roman"/>
                <w:sz w:val="14"/>
                <w:szCs w:val="14"/>
                <w:lang w:eastAsia="sk-SK"/>
              </w:rPr>
              <w:t xml:space="preserve"> 8</w:t>
            </w:r>
            <w:r>
              <w:rPr>
                <w:rFonts w:ascii="Times New Roman" w:hAnsi="Times New Roman" w:cs="Times New Roman"/>
                <w:sz w:val="14"/>
                <w:szCs w:val="14"/>
                <w:lang w:eastAsia="sk-SK"/>
              </w:rPr>
              <w:t>85</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7</w:t>
            </w:r>
            <w:r>
              <w:rPr>
                <w:rFonts w:ascii="Times New Roman" w:hAnsi="Times New Roman" w:cs="Times New Roman"/>
                <w:sz w:val="14"/>
                <w:szCs w:val="14"/>
                <w:lang w:eastAsia="sk-SK"/>
              </w:rPr>
              <w:t>24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607</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609</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7</w:t>
            </w:r>
            <w:r>
              <w:rPr>
                <w:rFonts w:ascii="Times New Roman" w:hAnsi="Times New Roman" w:cs="Times New Roman"/>
                <w:sz w:val="14"/>
                <w:szCs w:val="14"/>
                <w:lang w:eastAsia="sk-SK"/>
              </w:rPr>
              <w:t>40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597</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920</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75</w:t>
            </w:r>
            <w:r>
              <w:rPr>
                <w:rFonts w:ascii="Times New Roman" w:hAnsi="Times New Roman" w:cs="Times New Roman"/>
                <w:sz w:val="14"/>
                <w:szCs w:val="14"/>
                <w:lang w:eastAsia="sk-SK"/>
              </w:rPr>
              <w:t>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009</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042</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7</w:t>
            </w:r>
            <w:r>
              <w:rPr>
                <w:rFonts w:ascii="Times New Roman" w:hAnsi="Times New Roman" w:cs="Times New Roman"/>
                <w:sz w:val="14"/>
                <w:szCs w:val="14"/>
                <w:lang w:eastAsia="sk-SK"/>
              </w:rPr>
              <w:t>63</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777</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263</w:t>
            </w:r>
          </w:p>
        </w:tc>
      </w:tr>
      <w:tr w:rsidR="007D13F3" w:rsidRPr="00D26052" w:rsidTr="00465CAC">
        <w:trPr>
          <w:trHeight w:hRule="exact" w:val="255"/>
        </w:trPr>
        <w:tc>
          <w:tcPr>
            <w:tcW w:w="0" w:type="auto"/>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poistné platené štátom</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22</w:t>
            </w:r>
            <w:r>
              <w:rPr>
                <w:rFonts w:ascii="Times New Roman" w:hAnsi="Times New Roman" w:cs="Times New Roman"/>
                <w:sz w:val="14"/>
                <w:szCs w:val="14"/>
                <w:lang w:eastAsia="sk-SK"/>
              </w:rPr>
              <w:t>7</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755</w:t>
            </w:r>
            <w:r w:rsidRPr="00D26052">
              <w:rPr>
                <w:rFonts w:ascii="Times New Roman" w:hAnsi="Times New Roman" w:cs="Times New Roman"/>
                <w:sz w:val="14"/>
                <w:szCs w:val="14"/>
                <w:lang w:eastAsia="sk-SK"/>
              </w:rPr>
              <w:t xml:space="preserve"> 9</w:t>
            </w:r>
            <w:r>
              <w:rPr>
                <w:rFonts w:ascii="Times New Roman" w:hAnsi="Times New Roman" w:cs="Times New Roman"/>
                <w:sz w:val="14"/>
                <w:szCs w:val="14"/>
                <w:lang w:eastAsia="sk-SK"/>
              </w:rPr>
              <w:t>96</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31</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496</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2</w:t>
            </w:r>
            <w:r w:rsidRPr="00D26052">
              <w:rPr>
                <w:rFonts w:ascii="Times New Roman" w:hAnsi="Times New Roman" w:cs="Times New Roman"/>
                <w:sz w:val="14"/>
                <w:szCs w:val="14"/>
                <w:lang w:eastAsia="sk-SK"/>
              </w:rPr>
              <w:t>9</w:t>
            </w:r>
            <w:r>
              <w:rPr>
                <w:rFonts w:ascii="Times New Roman" w:hAnsi="Times New Roman" w:cs="Times New Roman"/>
                <w:sz w:val="14"/>
                <w:szCs w:val="14"/>
                <w:lang w:eastAsia="sk-SK"/>
              </w:rPr>
              <w:t>2</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24</w:t>
            </w:r>
            <w:r w:rsidRPr="00D26052">
              <w:rPr>
                <w:rFonts w:ascii="Times New Roman" w:hAnsi="Times New Roman" w:cs="Times New Roman"/>
                <w:sz w:val="14"/>
                <w:szCs w:val="14"/>
                <w:lang w:eastAsia="sk-SK"/>
              </w:rPr>
              <w:t xml:space="preserve"> 9</w:t>
            </w:r>
            <w:r>
              <w:rPr>
                <w:rFonts w:ascii="Times New Roman" w:hAnsi="Times New Roman" w:cs="Times New Roman"/>
                <w:sz w:val="14"/>
                <w:szCs w:val="14"/>
                <w:lang w:eastAsia="sk-SK"/>
              </w:rPr>
              <w:t>14</w:t>
            </w:r>
            <w:r w:rsidRPr="00D26052">
              <w:rPr>
                <w:rFonts w:ascii="Times New Roman" w:hAnsi="Times New Roman" w:cs="Times New Roman"/>
                <w:sz w:val="14"/>
                <w:szCs w:val="14"/>
                <w:lang w:eastAsia="sk-SK"/>
              </w:rPr>
              <w:t xml:space="preserve"> 9</w:t>
            </w:r>
            <w:r>
              <w:rPr>
                <w:rFonts w:ascii="Times New Roman" w:hAnsi="Times New Roman" w:cs="Times New Roman"/>
                <w:sz w:val="14"/>
                <w:szCs w:val="14"/>
                <w:lang w:eastAsia="sk-SK"/>
              </w:rPr>
              <w:t>34</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24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w:t>
            </w:r>
            <w:r w:rsidRPr="00D26052">
              <w:rPr>
                <w:rFonts w:ascii="Times New Roman" w:hAnsi="Times New Roman" w:cs="Times New Roman"/>
                <w:sz w:val="14"/>
                <w:szCs w:val="14"/>
                <w:lang w:eastAsia="sk-SK"/>
              </w:rPr>
              <w:t>1</w:t>
            </w:r>
            <w:r>
              <w:rPr>
                <w:rFonts w:ascii="Times New Roman" w:hAnsi="Times New Roman" w:cs="Times New Roman"/>
                <w:sz w:val="14"/>
                <w:szCs w:val="14"/>
                <w:lang w:eastAsia="sk-SK"/>
              </w:rPr>
              <w:t>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934</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304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380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836</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321</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035</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900</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335</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263</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884</w:t>
            </w:r>
          </w:p>
        </w:tc>
      </w:tr>
      <w:tr w:rsidR="007D13F3" w:rsidRPr="00D26052" w:rsidTr="00465CAC">
        <w:trPr>
          <w:trHeight w:hRule="exact" w:val="255"/>
        </w:trPr>
        <w:tc>
          <w:tcPr>
            <w:tcW w:w="0" w:type="auto"/>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kompenzácia sociálnych dôsledkov ŤZP</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23</w:t>
            </w:r>
            <w:r>
              <w:rPr>
                <w:rFonts w:ascii="Times New Roman" w:hAnsi="Times New Roman" w:cs="Times New Roman"/>
                <w:sz w:val="14"/>
                <w:szCs w:val="14"/>
                <w:lang w:eastAsia="sk-SK"/>
              </w:rPr>
              <w:t>2 013 814</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22</w:t>
            </w:r>
            <w:r>
              <w:rPr>
                <w:rFonts w:ascii="Times New Roman" w:hAnsi="Times New Roman" w:cs="Times New Roman"/>
                <w:sz w:val="14"/>
                <w:szCs w:val="14"/>
                <w:lang w:eastAsia="sk-SK"/>
              </w:rPr>
              <w:t>6</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728</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653</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5</w:t>
            </w:r>
            <w:r w:rsidRPr="00D26052">
              <w:rPr>
                <w:rFonts w:ascii="Times New Roman" w:hAnsi="Times New Roman" w:cs="Times New Roman"/>
                <w:sz w:val="14"/>
                <w:szCs w:val="14"/>
                <w:lang w:eastAsia="sk-SK"/>
              </w:rPr>
              <w:t>8</w:t>
            </w:r>
            <w:r>
              <w:rPr>
                <w:rFonts w:ascii="Times New Roman" w:hAnsi="Times New Roman" w:cs="Times New Roman"/>
                <w:sz w:val="14"/>
                <w:szCs w:val="14"/>
                <w:lang w:eastAsia="sk-SK"/>
              </w:rPr>
              <w:t> 702</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096</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58</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449</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549</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81</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435</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012</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334 120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731</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341</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650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900</w:t>
            </w:r>
          </w:p>
        </w:tc>
      </w:tr>
      <w:tr w:rsidR="007D13F3" w:rsidRPr="00D26052" w:rsidTr="00465CAC">
        <w:trPr>
          <w:trHeight w:hRule="exact" w:val="255"/>
        </w:trPr>
        <w:tc>
          <w:tcPr>
            <w:tcW w:w="0" w:type="auto"/>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iniciatívy v oblasti sociálnej inklúzie</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2</w:t>
            </w:r>
            <w:r w:rsidRPr="00D26052">
              <w:rPr>
                <w:rFonts w:ascii="Times New Roman" w:hAnsi="Times New Roman" w:cs="Times New Roman"/>
                <w:sz w:val="14"/>
                <w:szCs w:val="14"/>
                <w:lang w:eastAsia="sk-SK"/>
              </w:rPr>
              <w:t xml:space="preserve"> 6</w:t>
            </w:r>
            <w:r>
              <w:rPr>
                <w:rFonts w:ascii="Times New Roman" w:hAnsi="Times New Roman" w:cs="Times New Roman"/>
                <w:sz w:val="14"/>
                <w:szCs w:val="14"/>
                <w:lang w:eastAsia="sk-SK"/>
              </w:rPr>
              <w:t>88</w:t>
            </w:r>
            <w:r w:rsidRPr="00D26052">
              <w:rPr>
                <w:rFonts w:ascii="Times New Roman" w:hAnsi="Times New Roman" w:cs="Times New Roman"/>
                <w:sz w:val="14"/>
                <w:szCs w:val="14"/>
                <w:lang w:eastAsia="sk-SK"/>
              </w:rPr>
              <w:t xml:space="preserve"> 4</w:t>
            </w:r>
            <w:r>
              <w:rPr>
                <w:rFonts w:ascii="Times New Roman" w:hAnsi="Times New Roman" w:cs="Times New Roman"/>
                <w:sz w:val="14"/>
                <w:szCs w:val="14"/>
                <w:lang w:eastAsia="sk-SK"/>
              </w:rPr>
              <w:t>7</w:t>
            </w:r>
            <w:r w:rsidRPr="00D26052">
              <w:rPr>
                <w:rFonts w:ascii="Times New Roman" w:hAnsi="Times New Roman" w:cs="Times New Roman"/>
                <w:sz w:val="14"/>
                <w:szCs w:val="14"/>
                <w:lang w:eastAsia="sk-SK"/>
              </w:rPr>
              <w:t>2</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2 </w:t>
            </w:r>
            <w:r>
              <w:rPr>
                <w:rFonts w:ascii="Times New Roman" w:hAnsi="Times New Roman" w:cs="Times New Roman"/>
                <w:sz w:val="14"/>
                <w:szCs w:val="14"/>
                <w:lang w:eastAsia="sk-SK"/>
              </w:rPr>
              <w:t>9</w:t>
            </w:r>
            <w:r w:rsidRPr="00D26052">
              <w:rPr>
                <w:rFonts w:ascii="Times New Roman" w:hAnsi="Times New Roman" w:cs="Times New Roman"/>
                <w:sz w:val="14"/>
                <w:szCs w:val="14"/>
                <w:lang w:eastAsia="sk-SK"/>
              </w:rPr>
              <w:t>8</w:t>
            </w:r>
            <w:r>
              <w:rPr>
                <w:rFonts w:ascii="Times New Roman" w:hAnsi="Times New Roman" w:cs="Times New Roman"/>
                <w:sz w:val="14"/>
                <w:szCs w:val="14"/>
                <w:lang w:eastAsia="sk-SK"/>
              </w:rPr>
              <w:t>2</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508</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3 109 702</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3 109 702</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3 109 702</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3 109 702</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3 109 702</w:t>
            </w:r>
          </w:p>
        </w:tc>
      </w:tr>
      <w:tr w:rsidR="007D13F3" w:rsidRPr="00D26052" w:rsidTr="00465CAC">
        <w:trPr>
          <w:trHeight w:hRule="exact" w:val="255"/>
        </w:trPr>
        <w:tc>
          <w:tcPr>
            <w:tcW w:w="0" w:type="auto"/>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starostlivosť o ohrozené deti</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8</w:t>
            </w:r>
            <w:r>
              <w:rPr>
                <w:rFonts w:ascii="Times New Roman" w:hAnsi="Times New Roman" w:cs="Times New Roman"/>
                <w:sz w:val="14"/>
                <w:szCs w:val="14"/>
                <w:lang w:eastAsia="sk-SK"/>
              </w:rPr>
              <w:t>5</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w:t>
            </w:r>
            <w:r w:rsidRPr="00D26052">
              <w:rPr>
                <w:rFonts w:ascii="Times New Roman" w:hAnsi="Times New Roman" w:cs="Times New Roman"/>
                <w:sz w:val="14"/>
                <w:szCs w:val="14"/>
                <w:lang w:eastAsia="sk-SK"/>
              </w:rPr>
              <w:t>5</w:t>
            </w:r>
            <w:r>
              <w:rPr>
                <w:rFonts w:ascii="Times New Roman" w:hAnsi="Times New Roman" w:cs="Times New Roman"/>
                <w:sz w:val="14"/>
                <w:szCs w:val="14"/>
                <w:lang w:eastAsia="sk-SK"/>
              </w:rPr>
              <w:t>6</w:t>
            </w:r>
            <w:r w:rsidRPr="00D26052">
              <w:rPr>
                <w:rFonts w:ascii="Times New Roman" w:hAnsi="Times New Roman" w:cs="Times New Roman"/>
                <w:sz w:val="14"/>
                <w:szCs w:val="14"/>
                <w:lang w:eastAsia="sk-SK"/>
              </w:rPr>
              <w:t xml:space="preserve"> 3</w:t>
            </w:r>
            <w:r>
              <w:rPr>
                <w:rFonts w:ascii="Times New Roman" w:hAnsi="Times New Roman" w:cs="Times New Roman"/>
                <w:sz w:val="14"/>
                <w:szCs w:val="14"/>
                <w:lang w:eastAsia="sk-SK"/>
              </w:rPr>
              <w:t>09</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8</w:t>
            </w:r>
            <w:r>
              <w:rPr>
                <w:rFonts w:ascii="Times New Roman" w:hAnsi="Times New Roman" w:cs="Times New Roman"/>
                <w:sz w:val="14"/>
                <w:szCs w:val="14"/>
                <w:lang w:eastAsia="sk-SK"/>
              </w:rPr>
              <w:t>9</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440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622</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9</w:t>
            </w:r>
            <w:r>
              <w:rPr>
                <w:rFonts w:ascii="Times New Roman" w:hAnsi="Times New Roman" w:cs="Times New Roman"/>
                <w:sz w:val="14"/>
                <w:szCs w:val="14"/>
                <w:lang w:eastAsia="sk-SK"/>
              </w:rPr>
              <w:t>3</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261</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697</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9</w:t>
            </w:r>
            <w:r>
              <w:rPr>
                <w:rFonts w:ascii="Times New Roman" w:hAnsi="Times New Roman" w:cs="Times New Roman"/>
                <w:sz w:val="14"/>
                <w:szCs w:val="14"/>
                <w:lang w:eastAsia="sk-SK"/>
              </w:rPr>
              <w:t>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884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7</w:t>
            </w: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1</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9</w:t>
            </w:r>
            <w:r>
              <w:rPr>
                <w:rFonts w:ascii="Times New Roman" w:hAnsi="Times New Roman" w:cs="Times New Roman"/>
                <w:sz w:val="14"/>
                <w:szCs w:val="14"/>
                <w:lang w:eastAsia="sk-SK"/>
              </w:rPr>
              <w:t>7</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086</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497</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9</w:t>
            </w:r>
            <w:r>
              <w:rPr>
                <w:rFonts w:ascii="Times New Roman" w:hAnsi="Times New Roman" w:cs="Times New Roman"/>
                <w:sz w:val="14"/>
                <w:szCs w:val="14"/>
                <w:lang w:eastAsia="sk-SK"/>
              </w:rPr>
              <w:t>6</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893</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473</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9</w:t>
            </w:r>
            <w:r>
              <w:rPr>
                <w:rFonts w:ascii="Times New Roman" w:hAnsi="Times New Roman" w:cs="Times New Roman"/>
                <w:sz w:val="14"/>
                <w:szCs w:val="14"/>
                <w:lang w:eastAsia="sk-SK"/>
              </w:rPr>
              <w:t>8</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211</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349</w:t>
            </w:r>
          </w:p>
        </w:tc>
      </w:tr>
      <w:tr w:rsidR="007D13F3" w:rsidRPr="00D26052" w:rsidTr="00465CAC">
        <w:trPr>
          <w:trHeight w:hRule="exact" w:val="255"/>
        </w:trPr>
        <w:tc>
          <w:tcPr>
            <w:tcW w:w="0" w:type="auto"/>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nesystémové dávky sociálneho poistenia</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66</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333</w:t>
            </w:r>
            <w:r w:rsidRPr="00D26052">
              <w:rPr>
                <w:rFonts w:ascii="Times New Roman" w:hAnsi="Times New Roman" w:cs="Times New Roman"/>
                <w:sz w:val="14"/>
                <w:szCs w:val="14"/>
                <w:lang w:eastAsia="sk-SK"/>
              </w:rPr>
              <w:t xml:space="preserve"> 6</w:t>
            </w:r>
            <w:r>
              <w:rPr>
                <w:rFonts w:ascii="Times New Roman" w:hAnsi="Times New Roman" w:cs="Times New Roman"/>
                <w:sz w:val="14"/>
                <w:szCs w:val="14"/>
                <w:lang w:eastAsia="sk-SK"/>
              </w:rPr>
              <w:t>87</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85</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812</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954</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8</w:t>
            </w:r>
            <w:r>
              <w:rPr>
                <w:rFonts w:ascii="Times New Roman" w:hAnsi="Times New Roman" w:cs="Times New Roman"/>
                <w:sz w:val="14"/>
                <w:szCs w:val="14"/>
                <w:lang w:eastAsia="sk-SK"/>
              </w:rPr>
              <w:t>1</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562</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841</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8</w:t>
            </w:r>
            <w:r>
              <w:rPr>
                <w:rFonts w:ascii="Times New Roman" w:hAnsi="Times New Roman" w:cs="Times New Roman"/>
                <w:sz w:val="14"/>
                <w:szCs w:val="14"/>
                <w:lang w:eastAsia="sk-SK"/>
              </w:rPr>
              <w:t>1</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5</w:t>
            </w:r>
            <w:r w:rsidRPr="00D26052">
              <w:rPr>
                <w:rFonts w:ascii="Times New Roman" w:hAnsi="Times New Roman" w:cs="Times New Roman"/>
                <w:sz w:val="14"/>
                <w:szCs w:val="14"/>
                <w:lang w:eastAsia="sk-SK"/>
              </w:rPr>
              <w:t>6</w:t>
            </w:r>
            <w:r>
              <w:rPr>
                <w:rFonts w:ascii="Times New Roman" w:hAnsi="Times New Roman" w:cs="Times New Roman"/>
                <w:sz w:val="14"/>
                <w:szCs w:val="14"/>
                <w:lang w:eastAsia="sk-SK"/>
              </w:rPr>
              <w:t>2</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841</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77</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998</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161</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75</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804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399</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73</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801</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910</w:t>
            </w:r>
          </w:p>
        </w:tc>
      </w:tr>
      <w:tr w:rsidR="007D13F3" w:rsidRPr="00D26052" w:rsidTr="00465CAC">
        <w:trPr>
          <w:trHeight w:hRule="exact" w:val="255"/>
        </w:trPr>
        <w:tc>
          <w:tcPr>
            <w:tcW w:w="0" w:type="auto"/>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vianočný príspevok</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81 </w:t>
            </w:r>
            <w:r>
              <w:rPr>
                <w:rFonts w:ascii="Times New Roman" w:hAnsi="Times New Roman" w:cs="Times New Roman"/>
                <w:sz w:val="14"/>
                <w:szCs w:val="14"/>
                <w:lang w:eastAsia="sk-SK"/>
              </w:rPr>
              <w:t>522</w:t>
            </w:r>
            <w:r w:rsidRPr="00D26052">
              <w:rPr>
                <w:rFonts w:ascii="Times New Roman" w:hAnsi="Times New Roman" w:cs="Times New Roman"/>
                <w:sz w:val="14"/>
                <w:szCs w:val="14"/>
                <w:lang w:eastAsia="sk-SK"/>
              </w:rPr>
              <w:t xml:space="preserve"> 0</w:t>
            </w:r>
            <w:r>
              <w:rPr>
                <w:rFonts w:ascii="Times New Roman" w:hAnsi="Times New Roman" w:cs="Times New Roman"/>
                <w:sz w:val="14"/>
                <w:szCs w:val="14"/>
                <w:lang w:eastAsia="sk-SK"/>
              </w:rPr>
              <w:t>94</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81 </w:t>
            </w:r>
            <w:r>
              <w:rPr>
                <w:rFonts w:ascii="Times New Roman" w:hAnsi="Times New Roman" w:cs="Times New Roman"/>
                <w:sz w:val="14"/>
                <w:szCs w:val="14"/>
                <w:lang w:eastAsia="sk-SK"/>
              </w:rPr>
              <w:t>300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000</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8</w:t>
            </w:r>
            <w:r w:rsidRPr="00D26052">
              <w:rPr>
                <w:rFonts w:ascii="Times New Roman" w:hAnsi="Times New Roman" w:cs="Times New Roman"/>
                <w:sz w:val="14"/>
                <w:szCs w:val="14"/>
                <w:lang w:eastAsia="sk-SK"/>
              </w:rPr>
              <w:t>1 300 000</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81 300 000</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6</w:t>
            </w:r>
            <w:r w:rsidRPr="00D26052">
              <w:rPr>
                <w:rFonts w:ascii="Times New Roman" w:hAnsi="Times New Roman" w:cs="Times New Roman"/>
                <w:sz w:val="14"/>
                <w:szCs w:val="14"/>
                <w:lang w:eastAsia="sk-SK"/>
              </w:rPr>
              <w:t>1 300 000</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6</w:t>
            </w:r>
            <w:r w:rsidRPr="00D26052">
              <w:rPr>
                <w:rFonts w:ascii="Times New Roman" w:hAnsi="Times New Roman" w:cs="Times New Roman"/>
                <w:sz w:val="14"/>
                <w:szCs w:val="14"/>
                <w:lang w:eastAsia="sk-SK"/>
              </w:rPr>
              <w:t>1 300 000</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6</w:t>
            </w:r>
            <w:r w:rsidRPr="00D26052">
              <w:rPr>
                <w:rFonts w:ascii="Times New Roman" w:hAnsi="Times New Roman" w:cs="Times New Roman"/>
                <w:sz w:val="14"/>
                <w:szCs w:val="14"/>
                <w:lang w:eastAsia="sk-SK"/>
              </w:rPr>
              <w:t>1 300 000</w:t>
            </w:r>
          </w:p>
        </w:tc>
      </w:tr>
      <w:tr w:rsidR="007D13F3" w:rsidRPr="00D26052" w:rsidTr="00465CAC">
        <w:trPr>
          <w:trHeight w:hRule="exact" w:val="255"/>
        </w:trPr>
        <w:tc>
          <w:tcPr>
            <w:tcW w:w="0" w:type="auto"/>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podpora sociálnych služieb</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73</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039</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5</w:t>
            </w:r>
            <w:r w:rsidRPr="00D26052">
              <w:rPr>
                <w:rFonts w:ascii="Times New Roman" w:hAnsi="Times New Roman" w:cs="Times New Roman"/>
                <w:sz w:val="14"/>
                <w:szCs w:val="14"/>
                <w:lang w:eastAsia="sk-SK"/>
              </w:rPr>
              <w:t>9</w:t>
            </w:r>
            <w:r>
              <w:rPr>
                <w:rFonts w:ascii="Times New Roman" w:hAnsi="Times New Roman" w:cs="Times New Roman"/>
                <w:sz w:val="14"/>
                <w:szCs w:val="14"/>
                <w:lang w:eastAsia="sk-SK"/>
              </w:rPr>
              <w:t>8</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82</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214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605</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88</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000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00</w:t>
            </w:r>
            <w:r w:rsidRPr="00D26052">
              <w:rPr>
                <w:rFonts w:ascii="Times New Roman" w:hAnsi="Times New Roman" w:cs="Times New Roman"/>
                <w:sz w:val="14"/>
                <w:szCs w:val="14"/>
                <w:lang w:eastAsia="sk-SK"/>
              </w:rPr>
              <w:t>0</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94</w:t>
            </w:r>
            <w:r w:rsidRPr="00D26052">
              <w:rPr>
                <w:rFonts w:ascii="Times New Roman" w:hAnsi="Times New Roman" w:cs="Times New Roman"/>
                <w:sz w:val="14"/>
                <w:szCs w:val="14"/>
                <w:lang w:eastAsia="sk-SK"/>
              </w:rPr>
              <w:t xml:space="preserve"> 000 000</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137</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664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378</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137</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664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378</w:t>
            </w:r>
          </w:p>
        </w:tc>
        <w:tc>
          <w:tcPr>
            <w:tcW w:w="0" w:type="auto"/>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137</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664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378</w:t>
            </w:r>
          </w:p>
        </w:tc>
      </w:tr>
      <w:tr w:rsidR="007D13F3" w:rsidRPr="008E2254" w:rsidTr="00465CAC">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8E2254" w:rsidRDefault="007D13F3" w:rsidP="00465CAC">
            <w:pPr>
              <w:rPr>
                <w:rFonts w:ascii="Times New Roman" w:hAnsi="Times New Roman" w:cs="Times New Roman"/>
                <w:sz w:val="14"/>
                <w:szCs w:val="14"/>
                <w:lang w:eastAsia="sk-SK"/>
              </w:rPr>
            </w:pPr>
            <w:r w:rsidRPr="008E2254">
              <w:rPr>
                <w:rFonts w:ascii="Times New Roman" w:hAnsi="Times New Roman" w:cs="Times New Roman"/>
                <w:sz w:val="14"/>
                <w:szCs w:val="14"/>
                <w:lang w:eastAsia="sk-SK"/>
              </w:rPr>
              <w:t>zdroj 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13F3" w:rsidRPr="008E2254" w:rsidRDefault="007D13F3" w:rsidP="00465CAC">
            <w:pPr>
              <w:jc w:val="right"/>
              <w:rPr>
                <w:rFonts w:ascii="Times New Roman" w:hAnsi="Times New Roman" w:cs="Times New Roman"/>
                <w:sz w:val="14"/>
                <w:szCs w:val="14"/>
                <w:lang w:eastAsia="sk-SK"/>
              </w:rPr>
            </w:pPr>
            <w:r w:rsidRPr="008E2254">
              <w:rPr>
                <w:rFonts w:ascii="Times New Roman" w:hAnsi="Times New Roman" w:cs="Times New Roman"/>
                <w:sz w:val="14"/>
                <w:szCs w:val="14"/>
                <w:lang w:eastAsia="sk-SK"/>
              </w:rPr>
              <w:t>316 713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13F3" w:rsidRPr="008E2254" w:rsidRDefault="007D13F3" w:rsidP="00465CAC">
            <w:pPr>
              <w:jc w:val="right"/>
              <w:rPr>
                <w:rFonts w:ascii="Times New Roman" w:hAnsi="Times New Roman" w:cs="Times New Roman"/>
                <w:sz w:val="14"/>
                <w:szCs w:val="14"/>
                <w:lang w:eastAsia="sk-SK"/>
              </w:rPr>
            </w:pPr>
            <w:r w:rsidRPr="008E2254">
              <w:rPr>
                <w:rFonts w:ascii="Times New Roman" w:hAnsi="Times New Roman" w:cs="Times New Roman"/>
                <w:sz w:val="14"/>
                <w:szCs w:val="14"/>
                <w:lang w:eastAsia="sk-SK"/>
              </w:rPr>
              <w:t>317 225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13F3" w:rsidRPr="008E2254" w:rsidRDefault="007D13F3" w:rsidP="00465CAC">
            <w:pPr>
              <w:jc w:val="right"/>
              <w:rPr>
                <w:rFonts w:ascii="Times New Roman" w:hAnsi="Times New Roman" w:cs="Times New Roman"/>
                <w:sz w:val="14"/>
                <w:szCs w:val="14"/>
                <w:lang w:eastAsia="sk-SK"/>
              </w:rPr>
            </w:pPr>
            <w:r w:rsidRPr="008E2254">
              <w:rPr>
                <w:rFonts w:ascii="Times New Roman" w:hAnsi="Times New Roman" w:cs="Times New Roman"/>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13F3" w:rsidRPr="008E2254" w:rsidRDefault="007D13F3" w:rsidP="00465CAC">
            <w:pPr>
              <w:jc w:val="right"/>
              <w:rPr>
                <w:rFonts w:ascii="Times New Roman" w:hAnsi="Times New Roman" w:cs="Times New Roman"/>
                <w:sz w:val="14"/>
                <w:szCs w:val="14"/>
                <w:lang w:eastAsia="sk-SK"/>
              </w:rPr>
            </w:pPr>
            <w:r w:rsidRPr="008E2254">
              <w:rPr>
                <w:rFonts w:ascii="Times New Roman" w:hAnsi="Times New Roman" w:cs="Times New Roman"/>
                <w:sz w:val="14"/>
                <w:szCs w:val="14"/>
                <w:lang w:eastAsia="sk-SK"/>
              </w:rPr>
              <w:t>83 498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13F3" w:rsidRPr="008E2254" w:rsidRDefault="007D13F3" w:rsidP="00465CAC">
            <w:pPr>
              <w:jc w:val="right"/>
              <w:rPr>
                <w:rFonts w:ascii="Times New Roman" w:hAnsi="Times New Roman" w:cs="Times New Roman"/>
                <w:sz w:val="14"/>
                <w:szCs w:val="14"/>
                <w:lang w:eastAsia="sk-SK"/>
              </w:rPr>
            </w:pPr>
            <w:r w:rsidRPr="008E2254">
              <w:rPr>
                <w:rFonts w:ascii="Times New Roman" w:hAnsi="Times New Roman" w:cs="Times New Roman"/>
                <w:sz w:val="14"/>
                <w:szCs w:val="14"/>
                <w:lang w:eastAsia="sk-SK"/>
              </w:rPr>
              <w:t>85 300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13F3" w:rsidRPr="008E2254" w:rsidRDefault="007D13F3" w:rsidP="00465CAC">
            <w:pPr>
              <w:jc w:val="right"/>
              <w:rPr>
                <w:rFonts w:ascii="Times New Roman" w:hAnsi="Times New Roman" w:cs="Times New Roman"/>
                <w:sz w:val="14"/>
                <w:szCs w:val="14"/>
                <w:lang w:eastAsia="sk-SK"/>
              </w:rPr>
            </w:pPr>
            <w:r w:rsidRPr="008E2254">
              <w:rPr>
                <w:rFonts w:ascii="Times New Roman" w:hAnsi="Times New Roman" w:cs="Times New Roman"/>
                <w:sz w:val="14"/>
                <w:szCs w:val="14"/>
                <w:lang w:eastAsia="sk-SK"/>
              </w:rPr>
              <w:t>85 300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13F3" w:rsidRPr="008E2254" w:rsidRDefault="007D13F3" w:rsidP="00465CAC">
            <w:pPr>
              <w:jc w:val="right"/>
              <w:rPr>
                <w:rFonts w:ascii="Times New Roman" w:hAnsi="Times New Roman" w:cs="Times New Roman"/>
                <w:sz w:val="14"/>
                <w:szCs w:val="14"/>
                <w:lang w:eastAsia="sk-SK"/>
              </w:rPr>
            </w:pPr>
            <w:r w:rsidRPr="008E2254">
              <w:rPr>
                <w:rFonts w:ascii="Times New Roman" w:hAnsi="Times New Roman" w:cs="Times New Roman"/>
                <w:sz w:val="14"/>
                <w:szCs w:val="14"/>
                <w:lang w:eastAsia="sk-SK"/>
              </w:rPr>
              <w:t>85 300</w:t>
            </w:r>
          </w:p>
        </w:tc>
      </w:tr>
    </w:tbl>
    <w:p w:rsidR="007D13F3" w:rsidRPr="00D26052" w:rsidRDefault="007D13F3" w:rsidP="007D13F3">
      <w:pPr>
        <w:jc w:val="both"/>
        <w:rPr>
          <w:rFonts w:ascii="Times New Roman" w:hAnsi="Times New Roman" w:cs="Times New Roman"/>
          <w:b/>
          <w:lang w:eastAsia="sk-SK"/>
        </w:rPr>
      </w:pP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t>V rámci výdavkov na sociálnu inklúziu sa v roku 201</w:t>
      </w:r>
      <w:r>
        <w:rPr>
          <w:rFonts w:ascii="Times New Roman" w:hAnsi="Times New Roman" w:cs="Times New Roman"/>
          <w:lang w:eastAsia="sk-SK"/>
        </w:rPr>
        <w:t>8</w:t>
      </w:r>
      <w:r w:rsidRPr="00D26052">
        <w:rPr>
          <w:rFonts w:ascii="Times New Roman" w:hAnsi="Times New Roman" w:cs="Times New Roman"/>
          <w:lang w:eastAsia="sk-SK"/>
        </w:rPr>
        <w:t xml:space="preserve"> rozpočtujú dávky a príspevky v hmotnej núdzi, dotačné programy pre deti z nízkopríjmových skupín, dávky na podporu rodiny (prídavok na dieťa, rodičovský príspevok), peňažné príspevky na kompenzáciu ťažkého zdravotného postihnutia, vianočný príspevok dôchodcom a ďalšie dávky sociálnej pomoci a podpory.</w:t>
      </w:r>
    </w:p>
    <w:p w:rsidR="007D13F3" w:rsidRPr="00D26052" w:rsidRDefault="007D13F3" w:rsidP="007D13F3">
      <w:pPr>
        <w:jc w:val="both"/>
        <w:rPr>
          <w:rFonts w:ascii="Times New Roman" w:hAnsi="Times New Roman" w:cs="Times New Roman"/>
          <w:b/>
          <w:lang w:eastAsia="sk-SK"/>
        </w:rPr>
      </w:pP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t xml:space="preserve">Rozpočtovaný objem výdavkov zohľadňuje predpokladané počty poberateľov jednotlivých dávok a príspevkov sociálnej inklúzie, ich výšku a povinnú valorizáciu vybraných dávok. </w:t>
      </w: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7D13F3"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r w:rsidRPr="00D26052">
        <w:rPr>
          <w:rFonts w:ascii="Times New Roman" w:hAnsi="Times New Roman" w:cs="Times New Roman"/>
          <w:lang w:eastAsia="sk-SK"/>
        </w:rPr>
        <w:tab/>
        <w:t>Na rok 201</w:t>
      </w:r>
      <w:r>
        <w:rPr>
          <w:rFonts w:ascii="Times New Roman" w:hAnsi="Times New Roman" w:cs="Times New Roman"/>
          <w:lang w:eastAsia="sk-SK"/>
        </w:rPr>
        <w:t>8</w:t>
      </w:r>
      <w:r w:rsidRPr="00D26052">
        <w:rPr>
          <w:rFonts w:ascii="Times New Roman" w:hAnsi="Times New Roman" w:cs="Times New Roman"/>
          <w:lang w:eastAsia="sk-SK"/>
        </w:rPr>
        <w:t xml:space="preserve"> sa rozpočtuje celkovo suma 1,</w:t>
      </w:r>
      <w:r>
        <w:rPr>
          <w:rFonts w:ascii="Times New Roman" w:hAnsi="Times New Roman" w:cs="Times New Roman"/>
          <w:lang w:eastAsia="sk-SK"/>
        </w:rPr>
        <w:t>89</w:t>
      </w:r>
      <w:r w:rsidRPr="00D26052">
        <w:rPr>
          <w:rFonts w:ascii="Times New Roman" w:hAnsi="Times New Roman" w:cs="Times New Roman"/>
          <w:lang w:eastAsia="sk-SK"/>
        </w:rPr>
        <w:t xml:space="preserve"> mld. </w:t>
      </w:r>
      <w:r w:rsidRPr="00D26052">
        <w:rPr>
          <w:rFonts w:ascii="Times New Roman" w:hAnsi="Times New Roman" w:cs="Times New Roman"/>
          <w:color w:val="000000"/>
          <w:lang w:eastAsia="sk-SK"/>
        </w:rPr>
        <w:t xml:space="preserve">eur, z toho zo štátneho rozpočtu </w:t>
      </w:r>
      <w:r>
        <w:rPr>
          <w:rFonts w:ascii="Times New Roman" w:hAnsi="Times New Roman" w:cs="Times New Roman"/>
          <w:color w:val="000000"/>
          <w:lang w:eastAsia="sk-SK"/>
        </w:rPr>
        <w:br/>
      </w:r>
      <w:r w:rsidRPr="00D26052">
        <w:rPr>
          <w:rFonts w:ascii="Times New Roman" w:hAnsi="Times New Roman" w:cs="Times New Roman"/>
          <w:color w:val="000000"/>
          <w:lang w:eastAsia="sk-SK"/>
        </w:rPr>
        <w:t>1,</w:t>
      </w:r>
      <w:r>
        <w:rPr>
          <w:rFonts w:ascii="Times New Roman" w:hAnsi="Times New Roman" w:cs="Times New Roman"/>
          <w:color w:val="000000"/>
          <w:lang w:eastAsia="sk-SK"/>
        </w:rPr>
        <w:t>88</w:t>
      </w:r>
      <w:r w:rsidRPr="00D26052">
        <w:rPr>
          <w:rFonts w:ascii="Times New Roman" w:hAnsi="Times New Roman" w:cs="Times New Roman"/>
          <w:color w:val="000000"/>
          <w:lang w:eastAsia="sk-SK"/>
        </w:rPr>
        <w:t xml:space="preserve"> mld. eur, čo je oproti úrovni schváleného rozpočtu </w:t>
      </w:r>
      <w:r>
        <w:rPr>
          <w:rFonts w:ascii="Times New Roman" w:hAnsi="Times New Roman" w:cs="Times New Roman"/>
          <w:color w:val="000000"/>
          <w:lang w:eastAsia="sk-SK"/>
        </w:rPr>
        <w:t>na</w:t>
      </w:r>
      <w:r w:rsidRPr="00D26052">
        <w:rPr>
          <w:rFonts w:ascii="Times New Roman" w:hAnsi="Times New Roman" w:cs="Times New Roman"/>
          <w:color w:val="000000"/>
          <w:lang w:eastAsia="sk-SK"/>
        </w:rPr>
        <w:t xml:space="preserve"> rok 201</w:t>
      </w:r>
      <w:r>
        <w:rPr>
          <w:rFonts w:ascii="Times New Roman" w:hAnsi="Times New Roman" w:cs="Times New Roman"/>
          <w:color w:val="000000"/>
          <w:lang w:eastAsia="sk-SK"/>
        </w:rPr>
        <w:t>7</w:t>
      </w:r>
      <w:r w:rsidRPr="00D26052">
        <w:rPr>
          <w:rFonts w:ascii="Times New Roman" w:hAnsi="Times New Roman" w:cs="Times New Roman"/>
          <w:color w:val="000000"/>
          <w:lang w:eastAsia="sk-SK"/>
        </w:rPr>
        <w:t xml:space="preserve"> </w:t>
      </w:r>
      <w:r>
        <w:rPr>
          <w:rFonts w:ascii="Times New Roman" w:hAnsi="Times New Roman" w:cs="Times New Roman"/>
          <w:color w:val="000000"/>
          <w:lang w:eastAsia="sk-SK"/>
        </w:rPr>
        <w:t>nárast</w:t>
      </w:r>
      <w:r w:rsidRPr="00D26052">
        <w:rPr>
          <w:rFonts w:ascii="Times New Roman" w:hAnsi="Times New Roman" w:cs="Times New Roman"/>
          <w:color w:val="000000"/>
          <w:lang w:eastAsia="sk-SK"/>
        </w:rPr>
        <w:t xml:space="preserve"> o</w:t>
      </w:r>
      <w:r>
        <w:rPr>
          <w:rFonts w:ascii="Times New Roman" w:hAnsi="Times New Roman" w:cs="Times New Roman"/>
          <w:color w:val="000000"/>
          <w:lang w:eastAsia="sk-SK"/>
        </w:rPr>
        <w:t xml:space="preserve"> sumu </w:t>
      </w:r>
      <w:r w:rsidR="00F30F1A">
        <w:rPr>
          <w:rFonts w:ascii="Times New Roman" w:hAnsi="Times New Roman" w:cs="Times New Roman"/>
          <w:color w:val="000000"/>
          <w:lang w:eastAsia="sk-SK"/>
        </w:rPr>
        <w:br/>
      </w:r>
      <w:r>
        <w:rPr>
          <w:rFonts w:ascii="Times New Roman" w:hAnsi="Times New Roman" w:cs="Times New Roman"/>
          <w:color w:val="000000"/>
          <w:lang w:eastAsia="sk-SK"/>
        </w:rPr>
        <w:t>95,2 mil. eur, t. j. o</w:t>
      </w:r>
      <w:r w:rsidRPr="00D26052">
        <w:rPr>
          <w:rFonts w:ascii="Times New Roman" w:hAnsi="Times New Roman" w:cs="Times New Roman"/>
          <w:color w:val="000000"/>
          <w:lang w:eastAsia="sk-SK"/>
        </w:rPr>
        <w:t> </w:t>
      </w:r>
      <w:r>
        <w:rPr>
          <w:rFonts w:ascii="Times New Roman" w:hAnsi="Times New Roman" w:cs="Times New Roman"/>
          <w:color w:val="000000"/>
          <w:lang w:eastAsia="sk-SK"/>
        </w:rPr>
        <w:t>5</w:t>
      </w:r>
      <w:r w:rsidRPr="00D26052">
        <w:rPr>
          <w:rFonts w:ascii="Times New Roman" w:hAnsi="Times New Roman" w:cs="Times New Roman"/>
          <w:color w:val="000000"/>
          <w:lang w:eastAsia="sk-SK"/>
        </w:rPr>
        <w:t>,</w:t>
      </w:r>
      <w:r>
        <w:rPr>
          <w:rFonts w:ascii="Times New Roman" w:hAnsi="Times New Roman" w:cs="Times New Roman"/>
          <w:color w:val="000000"/>
          <w:lang w:eastAsia="sk-SK"/>
        </w:rPr>
        <w:t>34</w:t>
      </w:r>
      <w:r w:rsidRPr="00D26052">
        <w:rPr>
          <w:rFonts w:ascii="Times New Roman" w:hAnsi="Times New Roman" w:cs="Times New Roman"/>
          <w:color w:val="000000"/>
          <w:lang w:eastAsia="sk-SK"/>
        </w:rPr>
        <w:t xml:space="preserve"> %.</w:t>
      </w:r>
    </w:p>
    <w:p w:rsidR="007D13F3" w:rsidRPr="0040652A"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p>
    <w:tbl>
      <w:tblPr>
        <w:tblW w:w="5000" w:type="pct"/>
        <w:tblCellMar>
          <w:left w:w="70" w:type="dxa"/>
          <w:right w:w="70" w:type="dxa"/>
        </w:tblCellMar>
        <w:tblLook w:val="04A0" w:firstRow="1" w:lastRow="0" w:firstColumn="1" w:lastColumn="0" w:noHBand="0" w:noVBand="1"/>
      </w:tblPr>
      <w:tblGrid>
        <w:gridCol w:w="3115"/>
        <w:gridCol w:w="850"/>
        <w:gridCol w:w="852"/>
        <w:gridCol w:w="850"/>
        <w:gridCol w:w="850"/>
        <w:gridCol w:w="852"/>
        <w:gridCol w:w="852"/>
        <w:gridCol w:w="841"/>
      </w:tblGrid>
      <w:tr w:rsidR="007D13F3" w:rsidRPr="00D26052" w:rsidTr="00465CAC">
        <w:trPr>
          <w:trHeight w:hRule="exact" w:val="284"/>
        </w:trPr>
        <w:tc>
          <w:tcPr>
            <w:tcW w:w="171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D26052">
              <w:rPr>
                <w:rFonts w:ascii="Times New Roman" w:hAnsi="Times New Roman" w:cs="Times New Roman"/>
                <w:b/>
                <w:bCs/>
                <w:sz w:val="14"/>
                <w:szCs w:val="14"/>
                <w:lang w:eastAsia="sk-SK"/>
              </w:rPr>
              <w:t xml:space="preserve"> S</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D26052">
              <w:rPr>
                <w:rFonts w:ascii="Times New Roman" w:hAnsi="Times New Roman" w:cs="Times New Roman"/>
                <w:b/>
                <w:bCs/>
                <w:sz w:val="14"/>
                <w:szCs w:val="14"/>
                <w:lang w:eastAsia="sk-SK"/>
              </w:rPr>
              <w:t xml:space="preserve"> S</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D26052">
              <w:rPr>
                <w:rFonts w:ascii="Times New Roman" w:hAnsi="Times New Roman" w:cs="Times New Roman"/>
                <w:b/>
                <w:bCs/>
                <w:sz w:val="14"/>
                <w:szCs w:val="14"/>
                <w:lang w:eastAsia="sk-SK"/>
              </w:rPr>
              <w:t xml:space="preserve"> N</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D26052">
              <w:rPr>
                <w:rFonts w:ascii="Times New Roman" w:hAnsi="Times New Roman" w:cs="Times New Roman"/>
                <w:b/>
                <w:bCs/>
                <w:sz w:val="14"/>
                <w:szCs w:val="14"/>
                <w:lang w:eastAsia="sk-SK"/>
              </w:rPr>
              <w:t xml:space="preserve"> OS</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D26052">
              <w:rPr>
                <w:rFonts w:ascii="Times New Roman" w:hAnsi="Times New Roman" w:cs="Times New Roman"/>
                <w:b/>
                <w:bCs/>
                <w:sz w:val="14"/>
                <w:szCs w:val="14"/>
                <w:lang w:eastAsia="sk-SK"/>
              </w:rPr>
              <w:t xml:space="preserve"> N</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9</w:t>
            </w:r>
            <w:r w:rsidRPr="00D26052">
              <w:rPr>
                <w:rFonts w:ascii="Times New Roman" w:hAnsi="Times New Roman" w:cs="Times New Roman"/>
                <w:b/>
                <w:bCs/>
                <w:sz w:val="14"/>
                <w:szCs w:val="14"/>
                <w:lang w:eastAsia="sk-SK"/>
              </w:rPr>
              <w:t xml:space="preserve"> N</w:t>
            </w:r>
          </w:p>
        </w:tc>
        <w:tc>
          <w:tcPr>
            <w:tcW w:w="464"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w:t>
            </w:r>
            <w:r>
              <w:rPr>
                <w:rFonts w:ascii="Times New Roman" w:hAnsi="Times New Roman" w:cs="Times New Roman"/>
                <w:b/>
                <w:bCs/>
                <w:sz w:val="14"/>
                <w:szCs w:val="14"/>
                <w:lang w:eastAsia="sk-SK"/>
              </w:rPr>
              <w:t>20</w:t>
            </w:r>
            <w:r w:rsidRPr="00D26052">
              <w:rPr>
                <w:rFonts w:ascii="Times New Roman" w:hAnsi="Times New Roman" w:cs="Times New Roman"/>
                <w:b/>
                <w:bCs/>
                <w:sz w:val="14"/>
                <w:szCs w:val="14"/>
                <w:lang w:eastAsia="sk-SK"/>
              </w:rPr>
              <w:t xml:space="preserve"> N</w:t>
            </w:r>
          </w:p>
        </w:tc>
      </w:tr>
      <w:tr w:rsidR="007D13F3" w:rsidRPr="00D26052" w:rsidTr="00465CAC">
        <w:trPr>
          <w:trHeight w:hRule="exact" w:val="284"/>
        </w:trPr>
        <w:tc>
          <w:tcPr>
            <w:tcW w:w="17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Pomoc v hmotnej núdzi</w:t>
            </w:r>
          </w:p>
        </w:tc>
        <w:tc>
          <w:tcPr>
            <w:tcW w:w="46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w:t>
            </w:r>
            <w:r>
              <w:rPr>
                <w:rFonts w:ascii="Times New Roman" w:hAnsi="Times New Roman" w:cs="Times New Roman"/>
                <w:b/>
                <w:bCs/>
                <w:color w:val="000000"/>
                <w:sz w:val="14"/>
                <w:szCs w:val="14"/>
                <w:lang w:eastAsia="sk-SK"/>
              </w:rPr>
              <w:t>35</w:t>
            </w:r>
            <w:r w:rsidRPr="00D26052">
              <w:rPr>
                <w:rFonts w:ascii="Times New Roman" w:hAnsi="Times New Roman" w:cs="Times New Roman"/>
                <w:b/>
                <w:bCs/>
                <w:color w:val="000000"/>
                <w:sz w:val="14"/>
                <w:szCs w:val="14"/>
                <w:lang w:eastAsia="sk-SK"/>
              </w:rPr>
              <w:t xml:space="preserve"> 9</w:t>
            </w:r>
            <w:r>
              <w:rPr>
                <w:rFonts w:ascii="Times New Roman" w:hAnsi="Times New Roman" w:cs="Times New Roman"/>
                <w:b/>
                <w:bCs/>
                <w:color w:val="000000"/>
                <w:sz w:val="14"/>
                <w:szCs w:val="14"/>
                <w:lang w:eastAsia="sk-SK"/>
              </w:rPr>
              <w:t>3</w:t>
            </w:r>
            <w:r w:rsidRPr="00D26052">
              <w:rPr>
                <w:rFonts w:ascii="Times New Roman" w:hAnsi="Times New Roman" w:cs="Times New Roman"/>
                <w:b/>
                <w:bCs/>
                <w:color w:val="000000"/>
                <w:sz w:val="14"/>
                <w:szCs w:val="14"/>
                <w:lang w:eastAsia="sk-SK"/>
              </w:rPr>
              <w:t xml:space="preserve">7 </w:t>
            </w:r>
            <w:r>
              <w:rPr>
                <w:rFonts w:ascii="Times New Roman" w:hAnsi="Times New Roman" w:cs="Times New Roman"/>
                <w:b/>
                <w:bCs/>
                <w:color w:val="000000"/>
                <w:sz w:val="14"/>
                <w:szCs w:val="14"/>
                <w:lang w:eastAsia="sk-SK"/>
              </w:rPr>
              <w:t>059</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w:t>
            </w:r>
            <w:r>
              <w:rPr>
                <w:rFonts w:ascii="Times New Roman" w:hAnsi="Times New Roman" w:cs="Times New Roman"/>
                <w:b/>
                <w:bCs/>
                <w:color w:val="000000"/>
                <w:sz w:val="14"/>
                <w:szCs w:val="14"/>
                <w:lang w:eastAsia="sk-SK"/>
              </w:rPr>
              <w:t>02</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68</w:t>
            </w:r>
            <w:r w:rsidRPr="00D26052">
              <w:rPr>
                <w:rFonts w:ascii="Times New Roman" w:hAnsi="Times New Roman" w:cs="Times New Roman"/>
                <w:b/>
                <w:bCs/>
                <w:color w:val="000000"/>
                <w:sz w:val="14"/>
                <w:szCs w:val="14"/>
                <w:lang w:eastAsia="sk-SK"/>
              </w:rPr>
              <w:t>7 9</w:t>
            </w:r>
            <w:r>
              <w:rPr>
                <w:rFonts w:ascii="Times New Roman" w:hAnsi="Times New Roman" w:cs="Times New Roman"/>
                <w:b/>
                <w:bCs/>
                <w:color w:val="000000"/>
                <w:sz w:val="14"/>
                <w:szCs w:val="14"/>
                <w:lang w:eastAsia="sk-SK"/>
              </w:rPr>
              <w:t>27</w:t>
            </w:r>
          </w:p>
        </w:tc>
        <w:tc>
          <w:tcPr>
            <w:tcW w:w="46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8</w:t>
            </w:r>
            <w:r>
              <w:rPr>
                <w:rFonts w:ascii="Times New Roman" w:hAnsi="Times New Roman" w:cs="Times New Roman"/>
                <w:b/>
                <w:bCs/>
                <w:color w:val="000000"/>
                <w:sz w:val="14"/>
                <w:szCs w:val="14"/>
                <w:lang w:eastAsia="sk-SK"/>
              </w:rPr>
              <w:t>51</w:t>
            </w:r>
            <w:r w:rsidRPr="00D26052">
              <w:rPr>
                <w:rFonts w:ascii="Times New Roman" w:hAnsi="Times New Roman" w:cs="Times New Roman"/>
                <w:b/>
                <w:bCs/>
                <w:color w:val="000000"/>
                <w:sz w:val="14"/>
                <w:szCs w:val="14"/>
                <w:lang w:eastAsia="sk-SK"/>
              </w:rPr>
              <w:t xml:space="preserve"> 8</w:t>
            </w:r>
            <w:r>
              <w:rPr>
                <w:rFonts w:ascii="Times New Roman" w:hAnsi="Times New Roman" w:cs="Times New Roman"/>
                <w:b/>
                <w:bCs/>
                <w:color w:val="000000"/>
                <w:sz w:val="14"/>
                <w:szCs w:val="14"/>
                <w:lang w:eastAsia="sk-SK"/>
              </w:rPr>
              <w:t>31</w:t>
            </w:r>
          </w:p>
        </w:tc>
        <w:tc>
          <w:tcPr>
            <w:tcW w:w="46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914</w:t>
            </w:r>
            <w:r w:rsidRPr="00D26052">
              <w:rPr>
                <w:rFonts w:ascii="Times New Roman" w:hAnsi="Times New Roman" w:cs="Times New Roman"/>
                <w:b/>
                <w:bCs/>
                <w:color w:val="000000"/>
                <w:sz w:val="14"/>
                <w:szCs w:val="14"/>
                <w:lang w:eastAsia="sk-SK"/>
              </w:rPr>
              <w:t xml:space="preserve"> 2</w:t>
            </w:r>
            <w:r>
              <w:rPr>
                <w:rFonts w:ascii="Times New Roman" w:hAnsi="Times New Roman" w:cs="Times New Roman"/>
                <w:b/>
                <w:bCs/>
                <w:color w:val="000000"/>
                <w:sz w:val="14"/>
                <w:szCs w:val="14"/>
                <w:lang w:eastAsia="sk-SK"/>
              </w:rPr>
              <w:t>60</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173</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336</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906</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168</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822</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913</w:t>
            </w:r>
          </w:p>
        </w:tc>
        <w:tc>
          <w:tcPr>
            <w:tcW w:w="46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164</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431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960</w:t>
            </w:r>
          </w:p>
        </w:tc>
      </w:tr>
      <w:tr w:rsidR="007D13F3" w:rsidRPr="00D26052" w:rsidTr="00465CAC">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Dávka v hmotnej núdzi</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13</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686</w:t>
            </w:r>
            <w:r w:rsidRPr="00D26052">
              <w:rPr>
                <w:rFonts w:ascii="Times New Roman" w:hAnsi="Times New Roman" w:cs="Times New Roman"/>
                <w:color w:val="000000"/>
                <w:sz w:val="14"/>
                <w:szCs w:val="14"/>
                <w:lang w:eastAsia="sk-SK"/>
              </w:rPr>
              <w:t xml:space="preserve"> 01</w:t>
            </w:r>
            <w:r>
              <w:rPr>
                <w:rFonts w:ascii="Times New Roman" w:hAnsi="Times New Roman" w:cs="Times New Roman"/>
                <w:color w:val="000000"/>
                <w:sz w:val="14"/>
                <w:szCs w:val="14"/>
                <w:lang w:eastAsia="sk-SK"/>
              </w:rPr>
              <w:t>5</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8</w:t>
            </w:r>
            <w:r w:rsidRPr="00D26052">
              <w:rPr>
                <w:rFonts w:ascii="Times New Roman" w:hAnsi="Times New Roman" w:cs="Times New Roman"/>
                <w:color w:val="000000"/>
                <w:sz w:val="14"/>
                <w:szCs w:val="14"/>
                <w:lang w:eastAsia="sk-SK"/>
              </w:rPr>
              <w:t xml:space="preserve">3 </w:t>
            </w:r>
            <w:r>
              <w:rPr>
                <w:rFonts w:ascii="Times New Roman" w:hAnsi="Times New Roman" w:cs="Times New Roman"/>
                <w:color w:val="000000"/>
                <w:sz w:val="14"/>
                <w:szCs w:val="14"/>
                <w:lang w:eastAsia="sk-SK"/>
              </w:rPr>
              <w:t>004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863</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19</w:t>
            </w:r>
            <w:r w:rsidRPr="00D26052">
              <w:rPr>
                <w:rFonts w:ascii="Times New Roman" w:hAnsi="Times New Roman" w:cs="Times New Roman"/>
                <w:color w:val="000000"/>
                <w:sz w:val="14"/>
                <w:szCs w:val="14"/>
                <w:lang w:eastAsia="sk-SK"/>
              </w:rPr>
              <w:t xml:space="preserve">6 </w:t>
            </w:r>
            <w:r>
              <w:rPr>
                <w:rFonts w:ascii="Times New Roman" w:hAnsi="Times New Roman" w:cs="Times New Roman"/>
                <w:color w:val="000000"/>
                <w:sz w:val="14"/>
                <w:szCs w:val="14"/>
                <w:lang w:eastAsia="sk-SK"/>
              </w:rPr>
              <w:t>104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641</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81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257</w:t>
            </w:r>
            <w:r w:rsidRPr="00D26052">
              <w:rPr>
                <w:rFonts w:ascii="Times New Roman" w:hAnsi="Times New Roman" w:cs="Times New Roman"/>
                <w:color w:val="000000"/>
                <w:sz w:val="14"/>
                <w:szCs w:val="14"/>
                <w:lang w:eastAsia="sk-SK"/>
              </w:rPr>
              <w:t xml:space="preserve"> 6</w:t>
            </w:r>
            <w:r>
              <w:rPr>
                <w:rFonts w:ascii="Times New Roman" w:hAnsi="Times New Roman" w:cs="Times New Roman"/>
                <w:color w:val="000000"/>
                <w:sz w:val="14"/>
                <w:szCs w:val="14"/>
                <w:lang w:eastAsia="sk-SK"/>
              </w:rPr>
              <w:t>35</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50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596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356</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45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481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463</w:t>
            </w:r>
          </w:p>
        </w:tc>
        <w:tc>
          <w:tcPr>
            <w:tcW w:w="464"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42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658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917</w:t>
            </w:r>
          </w:p>
        </w:tc>
      </w:tr>
      <w:tr w:rsidR="007D13F3" w:rsidRPr="00D26052" w:rsidTr="00465CAC">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Dotácia na výkon osobitného príjemcu</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16</w:t>
            </w:r>
            <w:r>
              <w:rPr>
                <w:rFonts w:ascii="Times New Roman" w:hAnsi="Times New Roman" w:cs="Times New Roman"/>
                <w:color w:val="000000"/>
                <w:sz w:val="14"/>
                <w:szCs w:val="14"/>
                <w:lang w:eastAsia="sk-SK"/>
              </w:rPr>
              <w:t>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333</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16</w:t>
            </w:r>
            <w:r>
              <w:rPr>
                <w:rFonts w:ascii="Times New Roman" w:hAnsi="Times New Roman" w:cs="Times New Roman"/>
                <w:color w:val="000000"/>
                <w:sz w:val="14"/>
                <w:szCs w:val="14"/>
                <w:lang w:eastAsia="sk-SK"/>
              </w:rPr>
              <w:t>3</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247</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9</w:t>
            </w:r>
            <w:r w:rsidRPr="00D26052">
              <w:rPr>
                <w:rFonts w:ascii="Times New Roman" w:hAnsi="Times New Roman" w:cs="Times New Roman"/>
                <w:color w:val="000000"/>
                <w:sz w:val="14"/>
                <w:szCs w:val="14"/>
                <w:lang w:eastAsia="sk-SK"/>
              </w:rPr>
              <w:t>5 000</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32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000</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20</w:t>
            </w:r>
            <w:r w:rsidRPr="00D26052">
              <w:rPr>
                <w:rFonts w:ascii="Times New Roman" w:hAnsi="Times New Roman" w:cs="Times New Roman"/>
                <w:color w:val="000000"/>
                <w:sz w:val="14"/>
                <w:szCs w:val="14"/>
                <w:lang w:eastAsia="sk-SK"/>
              </w:rPr>
              <w:t xml:space="preserve">5 </w:t>
            </w:r>
            <w:r>
              <w:rPr>
                <w:rFonts w:ascii="Times New Roman" w:hAnsi="Times New Roman" w:cs="Times New Roman"/>
                <w:color w:val="000000"/>
                <w:sz w:val="14"/>
                <w:szCs w:val="14"/>
                <w:lang w:eastAsia="sk-SK"/>
              </w:rPr>
              <w:t>0</w:t>
            </w:r>
            <w:r w:rsidRPr="00D26052">
              <w:rPr>
                <w:rFonts w:ascii="Times New Roman" w:hAnsi="Times New Roman" w:cs="Times New Roman"/>
                <w:color w:val="000000"/>
                <w:sz w:val="14"/>
                <w:szCs w:val="14"/>
                <w:lang w:eastAsia="sk-SK"/>
              </w:rPr>
              <w:t>00</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210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w:t>
            </w:r>
            <w:r w:rsidRPr="00D26052">
              <w:rPr>
                <w:rFonts w:ascii="Times New Roman" w:hAnsi="Times New Roman" w:cs="Times New Roman"/>
                <w:color w:val="000000"/>
                <w:sz w:val="14"/>
                <w:szCs w:val="14"/>
                <w:lang w:eastAsia="sk-SK"/>
              </w:rPr>
              <w:t>00</w:t>
            </w:r>
          </w:p>
        </w:tc>
        <w:tc>
          <w:tcPr>
            <w:tcW w:w="464"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215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w:t>
            </w:r>
            <w:r w:rsidRPr="00D26052">
              <w:rPr>
                <w:rFonts w:ascii="Times New Roman" w:hAnsi="Times New Roman" w:cs="Times New Roman"/>
                <w:color w:val="000000"/>
                <w:sz w:val="14"/>
                <w:szCs w:val="14"/>
                <w:lang w:eastAsia="sk-SK"/>
              </w:rPr>
              <w:t>00</w:t>
            </w:r>
          </w:p>
        </w:tc>
      </w:tr>
      <w:tr w:rsidR="007D13F3" w:rsidRPr="00D26052" w:rsidTr="00465CAC">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Dotácia na stravu pre dieťa v hmotnej núdzi</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0</w:t>
            </w:r>
            <w:r w:rsidRPr="00D26052">
              <w:rPr>
                <w:rFonts w:ascii="Times New Roman" w:hAnsi="Times New Roman" w:cs="Times New Roman"/>
                <w:color w:val="000000"/>
                <w:sz w:val="14"/>
                <w:szCs w:val="14"/>
                <w:lang w:eastAsia="sk-SK"/>
              </w:rPr>
              <w:t xml:space="preserve"> 7</w:t>
            </w:r>
            <w:r>
              <w:rPr>
                <w:rFonts w:ascii="Times New Roman" w:hAnsi="Times New Roman" w:cs="Times New Roman"/>
                <w:color w:val="000000"/>
                <w:sz w:val="14"/>
                <w:szCs w:val="14"/>
                <w:lang w:eastAsia="sk-SK"/>
              </w:rPr>
              <w:t>67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776</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453</w:t>
            </w:r>
            <w:r w:rsidRPr="00D26052">
              <w:rPr>
                <w:rFonts w:ascii="Times New Roman" w:hAnsi="Times New Roman" w:cs="Times New Roman"/>
                <w:color w:val="000000"/>
                <w:sz w:val="14"/>
                <w:szCs w:val="14"/>
                <w:lang w:eastAsia="sk-SK"/>
              </w:rPr>
              <w:t xml:space="preserve"> 6</w:t>
            </w:r>
            <w:r>
              <w:rPr>
                <w:rFonts w:ascii="Times New Roman" w:hAnsi="Times New Roman" w:cs="Times New Roman"/>
                <w:color w:val="000000"/>
                <w:sz w:val="14"/>
                <w:szCs w:val="14"/>
                <w:lang w:eastAsia="sk-SK"/>
              </w:rPr>
              <w:t>14</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12 47</w:t>
            </w:r>
            <w:r>
              <w:rPr>
                <w:rFonts w:ascii="Times New Roman" w:hAnsi="Times New Roman" w:cs="Times New Roman"/>
                <w:color w:val="000000"/>
                <w:sz w:val="14"/>
                <w:szCs w:val="14"/>
                <w:lang w:eastAsia="sk-SK"/>
              </w:rPr>
              <w:t>0 5</w:t>
            </w:r>
            <w:r w:rsidRPr="00D26052">
              <w:rPr>
                <w:rFonts w:ascii="Times New Roman" w:hAnsi="Times New Roman" w:cs="Times New Roman"/>
                <w:color w:val="000000"/>
                <w:sz w:val="14"/>
                <w:szCs w:val="14"/>
                <w:lang w:eastAsia="sk-SK"/>
              </w:rPr>
              <w:t>00</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620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000</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11 800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500</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470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500</w:t>
            </w:r>
          </w:p>
        </w:tc>
        <w:tc>
          <w:tcPr>
            <w:tcW w:w="464"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250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500</w:t>
            </w:r>
          </w:p>
        </w:tc>
      </w:tr>
      <w:tr w:rsidR="007D13F3" w:rsidRPr="00D26052" w:rsidTr="00465CAC">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Dotácia na školské potreby pre dieťa v HN</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2 40</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408</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2 </w:t>
            </w:r>
            <w:r>
              <w:rPr>
                <w:rFonts w:ascii="Times New Roman" w:hAnsi="Times New Roman" w:cs="Times New Roman"/>
                <w:color w:val="000000"/>
                <w:sz w:val="14"/>
                <w:szCs w:val="14"/>
                <w:lang w:eastAsia="sk-SK"/>
              </w:rPr>
              <w:t>126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364</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2 7</w:t>
            </w:r>
            <w:r>
              <w:rPr>
                <w:rFonts w:ascii="Times New Roman" w:hAnsi="Times New Roman" w:cs="Times New Roman"/>
                <w:color w:val="000000"/>
                <w:sz w:val="14"/>
                <w:szCs w:val="14"/>
                <w:lang w:eastAsia="sk-SK"/>
              </w:rPr>
              <w:t>2</w:t>
            </w:r>
            <w:r w:rsidRPr="00D26052">
              <w:rPr>
                <w:rFonts w:ascii="Times New Roman" w:hAnsi="Times New Roman" w:cs="Times New Roman"/>
                <w:color w:val="000000"/>
                <w:sz w:val="14"/>
                <w:szCs w:val="14"/>
                <w:lang w:eastAsia="sk-SK"/>
              </w:rPr>
              <w:t>0 000</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2 </w:t>
            </w:r>
            <w:r>
              <w:rPr>
                <w:rFonts w:ascii="Times New Roman" w:hAnsi="Times New Roman" w:cs="Times New Roman"/>
                <w:color w:val="000000"/>
                <w:sz w:val="14"/>
                <w:szCs w:val="14"/>
                <w:lang w:eastAsia="sk-SK"/>
              </w:rPr>
              <w:t>075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000</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2 </w:t>
            </w:r>
            <w:r>
              <w:rPr>
                <w:rFonts w:ascii="Times New Roman" w:hAnsi="Times New Roman" w:cs="Times New Roman"/>
                <w:color w:val="000000"/>
                <w:sz w:val="14"/>
                <w:szCs w:val="14"/>
                <w:lang w:eastAsia="sk-SK"/>
              </w:rPr>
              <w:t>750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w:t>
            </w:r>
            <w:r w:rsidRPr="00D26052">
              <w:rPr>
                <w:rFonts w:ascii="Times New Roman" w:hAnsi="Times New Roman" w:cs="Times New Roman"/>
                <w:color w:val="000000"/>
                <w:sz w:val="14"/>
                <w:szCs w:val="14"/>
                <w:lang w:eastAsia="sk-SK"/>
              </w:rPr>
              <w:t>00</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780</w:t>
            </w:r>
            <w:r w:rsidRPr="00D26052">
              <w:rPr>
                <w:rFonts w:ascii="Times New Roman" w:hAnsi="Times New Roman" w:cs="Times New Roman"/>
                <w:color w:val="000000"/>
                <w:sz w:val="14"/>
                <w:szCs w:val="14"/>
                <w:lang w:eastAsia="sk-SK"/>
              </w:rPr>
              <w:t xml:space="preserve"> 000</w:t>
            </w:r>
          </w:p>
        </w:tc>
        <w:tc>
          <w:tcPr>
            <w:tcW w:w="464"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527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493</w:t>
            </w:r>
          </w:p>
        </w:tc>
      </w:tr>
      <w:tr w:rsidR="007D13F3" w:rsidRPr="00D26052" w:rsidTr="00465CAC">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Náhradné výživné</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911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527</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9</w:t>
            </w:r>
            <w:r>
              <w:rPr>
                <w:rFonts w:ascii="Times New Roman" w:hAnsi="Times New Roman" w:cs="Times New Roman"/>
                <w:color w:val="000000"/>
                <w:sz w:val="14"/>
                <w:szCs w:val="14"/>
                <w:lang w:eastAsia="sk-SK"/>
              </w:rPr>
              <w:t>39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839</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9 </w:t>
            </w:r>
            <w:r>
              <w:rPr>
                <w:rFonts w:ascii="Times New Roman" w:hAnsi="Times New Roman" w:cs="Times New Roman"/>
                <w:color w:val="000000"/>
                <w:sz w:val="14"/>
                <w:szCs w:val="14"/>
                <w:lang w:eastAsia="sk-SK"/>
              </w:rPr>
              <w:t>361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690</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829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625</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985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050</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880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950</w:t>
            </w:r>
          </w:p>
        </w:tc>
        <w:tc>
          <w:tcPr>
            <w:tcW w:w="464"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780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050</w:t>
            </w:r>
          </w:p>
        </w:tc>
      </w:tr>
    </w:tbl>
    <w:p w:rsidR="007D13F3" w:rsidRPr="00F5748F"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p>
    <w:p w:rsidR="007D13F3"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Arial Narrow" w:hAnsi="Arial Narrow" w:cs="Times New Roman"/>
          <w:sz w:val="22"/>
          <w:szCs w:val="22"/>
          <w:lang w:eastAsia="sk-SK"/>
        </w:rPr>
        <w:tab/>
      </w:r>
      <w:r w:rsidRPr="00D26052">
        <w:rPr>
          <w:rFonts w:ascii="Times New Roman" w:hAnsi="Times New Roman" w:cs="Times New Roman"/>
          <w:lang w:eastAsia="sk-SK"/>
        </w:rPr>
        <w:t>Na program pomoci v hmotnej núdzi sa v roku 201</w:t>
      </w:r>
      <w:r>
        <w:rPr>
          <w:rFonts w:ascii="Times New Roman" w:hAnsi="Times New Roman" w:cs="Times New Roman"/>
          <w:lang w:eastAsia="sk-SK"/>
        </w:rPr>
        <w:t>8</w:t>
      </w:r>
      <w:r w:rsidRPr="00D26052">
        <w:rPr>
          <w:rFonts w:ascii="Times New Roman" w:hAnsi="Times New Roman" w:cs="Times New Roman"/>
          <w:lang w:eastAsia="sk-SK"/>
        </w:rPr>
        <w:t xml:space="preserve"> rozpočtuje </w:t>
      </w:r>
      <w:r>
        <w:rPr>
          <w:rFonts w:ascii="Times New Roman" w:hAnsi="Times New Roman" w:cs="Times New Roman"/>
          <w:lang w:eastAsia="sk-SK"/>
        </w:rPr>
        <w:t>173</w:t>
      </w:r>
      <w:r w:rsidRPr="00D26052">
        <w:rPr>
          <w:rFonts w:ascii="Times New Roman" w:hAnsi="Times New Roman" w:cs="Times New Roman"/>
          <w:lang w:eastAsia="sk-SK"/>
        </w:rPr>
        <w:t xml:space="preserve"> mil. eur, z toho na dávku v hmotnej núdzi 1</w:t>
      </w:r>
      <w:r>
        <w:rPr>
          <w:rFonts w:ascii="Times New Roman" w:hAnsi="Times New Roman" w:cs="Times New Roman"/>
          <w:lang w:eastAsia="sk-SK"/>
        </w:rPr>
        <w:t>51</w:t>
      </w:r>
      <w:r w:rsidRPr="00D26052">
        <w:rPr>
          <w:rFonts w:ascii="Times New Roman" w:hAnsi="Times New Roman" w:cs="Times New Roman"/>
          <w:lang w:eastAsia="sk-SK"/>
        </w:rPr>
        <w:t xml:space="preserve"> mil. eur. Medziročné zníženie na dávke v hmotnej núdzi oproti roku 201</w:t>
      </w:r>
      <w:r>
        <w:rPr>
          <w:rFonts w:ascii="Times New Roman" w:hAnsi="Times New Roman" w:cs="Times New Roman"/>
          <w:lang w:eastAsia="sk-SK"/>
        </w:rPr>
        <w:t>7</w:t>
      </w:r>
      <w:r w:rsidRPr="00D26052">
        <w:rPr>
          <w:rFonts w:ascii="Times New Roman" w:hAnsi="Times New Roman" w:cs="Times New Roman"/>
          <w:lang w:eastAsia="sk-SK"/>
        </w:rPr>
        <w:t xml:space="preserve"> predstavuje sumu </w:t>
      </w:r>
      <w:r>
        <w:rPr>
          <w:rFonts w:ascii="Times New Roman" w:hAnsi="Times New Roman" w:cs="Times New Roman"/>
          <w:lang w:eastAsia="sk-SK"/>
        </w:rPr>
        <w:t>45</w:t>
      </w:r>
      <w:r w:rsidRPr="00D26052">
        <w:rPr>
          <w:rFonts w:ascii="Times New Roman" w:hAnsi="Times New Roman" w:cs="Times New Roman"/>
          <w:lang w:eastAsia="sk-SK"/>
        </w:rPr>
        <w:t>,</w:t>
      </w:r>
      <w:r>
        <w:rPr>
          <w:rFonts w:ascii="Times New Roman" w:hAnsi="Times New Roman" w:cs="Times New Roman"/>
          <w:lang w:eastAsia="sk-SK"/>
        </w:rPr>
        <w:t>5</w:t>
      </w:r>
      <w:r w:rsidRPr="00D26052">
        <w:rPr>
          <w:rFonts w:ascii="Times New Roman" w:hAnsi="Times New Roman" w:cs="Times New Roman"/>
          <w:lang w:eastAsia="sk-SK"/>
        </w:rPr>
        <w:t xml:space="preserve"> mil. eur a zohľadňuje vývoj v počte poberateľov.</w:t>
      </w: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7D13F3"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Arial Narrow" w:hAnsi="Arial Narrow" w:cs="Times New Roman"/>
          <w:sz w:val="22"/>
          <w:szCs w:val="22"/>
          <w:lang w:eastAsia="sk-SK"/>
        </w:rPr>
        <w:tab/>
      </w:r>
      <w:r w:rsidRPr="00D26052">
        <w:rPr>
          <w:rFonts w:ascii="Times New Roman" w:hAnsi="Times New Roman" w:cs="Times New Roman"/>
          <w:lang w:eastAsia="sk-SK"/>
        </w:rPr>
        <w:t>Výdavky na dotácie pre deti a náhradné výživné reagujú na doterajší vývoj v ich čerpaní v roku 201</w:t>
      </w:r>
      <w:r>
        <w:rPr>
          <w:rFonts w:ascii="Times New Roman" w:hAnsi="Times New Roman" w:cs="Times New Roman"/>
          <w:lang w:eastAsia="sk-SK"/>
        </w:rPr>
        <w:t>7</w:t>
      </w:r>
      <w:r w:rsidRPr="00D26052">
        <w:rPr>
          <w:rFonts w:ascii="Times New Roman" w:hAnsi="Times New Roman" w:cs="Times New Roman"/>
          <w:lang w:eastAsia="sk-SK"/>
        </w:rPr>
        <w:t>.</w:t>
      </w:r>
    </w:p>
    <w:p w:rsidR="007D13F3"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7D13F3" w:rsidRPr="00060F31" w:rsidRDefault="007D13F3" w:rsidP="007D13F3">
      <w:pPr>
        <w:contextualSpacing/>
        <w:jc w:val="both"/>
        <w:rPr>
          <w:b/>
        </w:rPr>
      </w:pPr>
      <w:r w:rsidRPr="00C537DD">
        <w:rPr>
          <w:rFonts w:ascii="Times New Roman" w:hAnsi="Times New Roman" w:cs="Times New Roman"/>
          <w:b/>
          <w:lang w:eastAsia="sk-SK"/>
        </w:rPr>
        <w:t>Podpora rodiny</w:t>
      </w:r>
    </w:p>
    <w:p w:rsidR="007D13F3" w:rsidRPr="00C537DD" w:rsidRDefault="007D13F3" w:rsidP="007D13F3">
      <w:pPr>
        <w:spacing w:before="240" w:after="160"/>
        <w:ind w:firstLine="708"/>
        <w:jc w:val="both"/>
        <w:rPr>
          <w:rFonts w:ascii="Times New Roman" w:hAnsi="Times New Roman" w:cs="Times New Roman"/>
          <w:lang w:eastAsia="sk-SK"/>
        </w:rPr>
      </w:pPr>
      <w:r w:rsidRPr="00C74335">
        <w:rPr>
          <w:rFonts w:ascii="Times New Roman" w:hAnsi="Times New Roman" w:cs="Times New Roman"/>
          <w:lang w:eastAsia="sk-SK"/>
        </w:rPr>
        <w:t>Verejné výdavky na politiky podpory rodiny v pomere k HDP na Slovensku dosahujú priemer OECD. Výška peňažných benefitov je však nadpriemerná.</w:t>
      </w:r>
      <w:r w:rsidRPr="00C537DD">
        <w:rPr>
          <w:rFonts w:ascii="Times New Roman" w:hAnsi="Times New Roman" w:cs="Times New Roman"/>
          <w:lang w:eastAsia="sk-SK"/>
        </w:rPr>
        <w:t xml:space="preserve"> V rozsahu daňových úľav </w:t>
      </w:r>
      <w:r w:rsidRPr="00C537DD">
        <w:rPr>
          <w:rFonts w:ascii="Times New Roman" w:hAnsi="Times New Roman" w:cs="Times New Roman"/>
          <w:lang w:eastAsia="sk-SK"/>
        </w:rPr>
        <w:lastRenderedPageBreak/>
        <w:t xml:space="preserve">a najmä poskytnutých služieb (napr. detské jasle) sú zároveň nižšie ako v ostatných krajinách V4. </w:t>
      </w:r>
    </w:p>
    <w:tbl>
      <w:tblPr>
        <w:tblStyle w:val="UHPGRAF11"/>
        <w:tblW w:w="0" w:type="auto"/>
        <w:tblLook w:val="04E0" w:firstRow="1" w:lastRow="1" w:firstColumn="1" w:lastColumn="0" w:noHBand="0" w:noVBand="1"/>
      </w:tblPr>
      <w:tblGrid>
        <w:gridCol w:w="8975"/>
      </w:tblGrid>
      <w:tr w:rsidR="007D13F3" w:rsidRPr="00F30F1A" w:rsidTr="00465CA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975" w:type="dxa"/>
          </w:tcPr>
          <w:p w:rsidR="007D13F3" w:rsidRPr="00F30F1A" w:rsidRDefault="007D13F3" w:rsidP="00465CAC">
            <w:pPr>
              <w:spacing w:line="276" w:lineRule="auto"/>
              <w:jc w:val="both"/>
              <w:rPr>
                <w:rFonts w:ascii="Times New Roman" w:hAnsi="Times New Roman"/>
                <w:sz w:val="20"/>
                <w:lang w:val="sk-SK" w:eastAsia="en-US"/>
              </w:rPr>
            </w:pPr>
            <w:bookmarkStart w:id="63" w:name="_Toc488075730"/>
            <w:r w:rsidRPr="00F30F1A">
              <w:rPr>
                <w:rFonts w:ascii="Times New Roman" w:hAnsi="Times New Roman"/>
                <w:sz w:val="20"/>
                <w:lang w:val="sk-SK" w:eastAsia="en-US"/>
              </w:rPr>
              <w:t>Graf: Verejné výdavky na rodinné politiky v krajinách OECD, % HDP, 2011</w:t>
            </w:r>
            <w:bookmarkEnd w:id="63"/>
          </w:p>
        </w:tc>
      </w:tr>
      <w:tr w:rsidR="007D13F3" w:rsidRPr="00191349" w:rsidTr="00465CAC">
        <w:tblPrEx>
          <w:tblCellMar>
            <w:left w:w="70" w:type="dxa"/>
            <w:right w:w="70" w:type="dxa"/>
          </w:tblCellMar>
        </w:tblPrEx>
        <w:trPr>
          <w:trHeight w:val="227"/>
        </w:trPr>
        <w:tc>
          <w:tcPr>
            <w:cnfStyle w:val="001000000000" w:firstRow="0" w:lastRow="0" w:firstColumn="1" w:lastColumn="0" w:oddVBand="0" w:evenVBand="0" w:oddHBand="0" w:evenHBand="0" w:firstRowFirstColumn="0" w:firstRowLastColumn="0" w:lastRowFirstColumn="0" w:lastRowLastColumn="0"/>
            <w:tcW w:w="8975" w:type="dxa"/>
          </w:tcPr>
          <w:p w:rsidR="007D13F3" w:rsidRPr="00191349" w:rsidRDefault="007D13F3" w:rsidP="00465CAC">
            <w:pPr>
              <w:spacing w:line="276" w:lineRule="auto"/>
              <w:jc w:val="center"/>
              <w:rPr>
                <w:lang w:val="sk-SK" w:eastAsia="en-US"/>
              </w:rPr>
            </w:pPr>
            <w:r w:rsidRPr="00191349">
              <w:rPr>
                <w:noProof/>
                <w:lang w:eastAsia="sk-SK"/>
              </w:rPr>
              <w:drawing>
                <wp:inline distT="0" distB="0" distL="0" distR="0" wp14:anchorId="29E0EE15" wp14:editId="351A52ED">
                  <wp:extent cx="5406390" cy="2182483"/>
                  <wp:effectExtent l="0" t="0" r="0" b="0"/>
                  <wp:docPr id="375" name="Graf 3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7D13F3" w:rsidRPr="00191349" w:rsidTr="00465CAC">
        <w:tblPrEx>
          <w:tblCellMar>
            <w:left w:w="70" w:type="dxa"/>
            <w:right w:w="70" w:type="dxa"/>
          </w:tblCellMar>
        </w:tblPrEx>
        <w:trPr>
          <w:cnfStyle w:val="010000000000" w:firstRow="0" w:lastRow="1" w:firstColumn="0" w:lastColumn="0" w:oddVBand="0" w:evenVBand="0" w:oddHBand="0" w:evenHBand="0" w:firstRowFirstColumn="0" w:firstRowLastColumn="0" w:lastRowFirstColumn="0" w:lastRowLastColumn="0"/>
          <w:trHeight w:val="227"/>
        </w:trPr>
        <w:tc>
          <w:tcPr>
            <w:cnfStyle w:val="001000000001" w:firstRow="0" w:lastRow="0" w:firstColumn="1" w:lastColumn="0" w:oddVBand="0" w:evenVBand="0" w:oddHBand="0" w:evenHBand="0" w:firstRowFirstColumn="0" w:firstRowLastColumn="0" w:lastRowFirstColumn="1" w:lastRowLastColumn="0"/>
            <w:tcW w:w="8975" w:type="dxa"/>
          </w:tcPr>
          <w:p w:rsidR="007D13F3" w:rsidRPr="00A6654F" w:rsidRDefault="007D13F3" w:rsidP="00465CAC">
            <w:pPr>
              <w:spacing w:line="276" w:lineRule="auto"/>
              <w:rPr>
                <w:rFonts w:ascii="Times New Roman" w:hAnsi="Times New Roman"/>
                <w:b w:val="0"/>
                <w:sz w:val="18"/>
                <w:szCs w:val="18"/>
                <w:lang w:val="sk-SK" w:eastAsia="en-US"/>
              </w:rPr>
            </w:pPr>
            <w:r w:rsidRPr="00A6654F">
              <w:rPr>
                <w:rFonts w:ascii="Times New Roman" w:hAnsi="Times New Roman"/>
                <w:b w:val="0"/>
                <w:sz w:val="18"/>
                <w:szCs w:val="18"/>
                <w:lang w:val="sk-SK" w:eastAsia="en-US"/>
              </w:rPr>
              <w:t>Zdroj: OECD</w:t>
            </w:r>
          </w:p>
        </w:tc>
      </w:tr>
    </w:tbl>
    <w:p w:rsidR="007D13F3" w:rsidRDefault="007D13F3" w:rsidP="007D13F3"/>
    <w:p w:rsidR="007D13F3"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Pr>
          <w:rFonts w:ascii="Times New Roman" w:hAnsi="Times New Roman" w:cs="Times New Roman"/>
          <w:lang w:eastAsia="sk-SK"/>
        </w:rPr>
        <w:tab/>
      </w:r>
      <w:r w:rsidRPr="00C74335">
        <w:rPr>
          <w:rFonts w:ascii="Times New Roman" w:hAnsi="Times New Roman" w:cs="Times New Roman"/>
          <w:lang w:eastAsia="sk-SK"/>
        </w:rPr>
        <w:t xml:space="preserve">Na Slovensku je nízka participácia detí do dvoch rokov na formálnej starostlivosti </w:t>
      </w:r>
      <w:r w:rsidR="00F30F1A">
        <w:rPr>
          <w:rFonts w:ascii="Times New Roman" w:hAnsi="Times New Roman" w:cs="Times New Roman"/>
          <w:lang w:eastAsia="sk-SK"/>
        </w:rPr>
        <w:br/>
      </w:r>
      <w:r w:rsidRPr="00C74335">
        <w:rPr>
          <w:rFonts w:ascii="Times New Roman" w:hAnsi="Times New Roman" w:cs="Times New Roman"/>
          <w:lang w:eastAsia="sk-SK"/>
        </w:rPr>
        <w:t>(v detských jasliach).</w:t>
      </w:r>
      <w:r w:rsidRPr="009A3925">
        <w:rPr>
          <w:rFonts w:ascii="Times New Roman" w:hAnsi="Times New Roman" w:cs="Times New Roman"/>
          <w:lang w:eastAsia="sk-SK"/>
        </w:rPr>
        <w:t xml:space="preserve"> Ovplyvňuje to aj podiel žien, ktoré možnosť rodičovskej dovolenky využívajú dlhšie ako 12 mesiacov</w:t>
      </w:r>
      <w:r w:rsidR="008E30EC">
        <w:rPr>
          <w:rFonts w:ascii="Times New Roman" w:hAnsi="Times New Roman" w:cs="Times New Roman"/>
          <w:lang w:eastAsia="sk-SK"/>
        </w:rPr>
        <w:t>,</w:t>
      </w:r>
      <w:r w:rsidRPr="009A3925">
        <w:rPr>
          <w:rFonts w:ascii="Times New Roman" w:hAnsi="Times New Roman" w:cs="Times New Roman"/>
          <w:lang w:eastAsia="sk-SK"/>
        </w:rPr>
        <w:t xml:space="preserve"> pričom v priemere ostávajú na rodičovskej dovolenke až </w:t>
      </w:r>
      <w:r w:rsidR="00F30F1A">
        <w:rPr>
          <w:rFonts w:ascii="Times New Roman" w:hAnsi="Times New Roman" w:cs="Times New Roman"/>
          <w:lang w:eastAsia="sk-SK"/>
        </w:rPr>
        <w:br/>
      </w:r>
      <w:r w:rsidRPr="009A3925">
        <w:rPr>
          <w:rFonts w:ascii="Times New Roman" w:hAnsi="Times New Roman" w:cs="Times New Roman"/>
          <w:lang w:eastAsia="sk-SK"/>
        </w:rPr>
        <w:t>26 mesiacov. Dĺžka rodičovského voľna závisí od predošlej ekonomickej aktivity a výšky príjmu v predošlom zamestnaní.</w:t>
      </w:r>
      <w:r>
        <w:rPr>
          <w:rFonts w:ascii="Times New Roman" w:hAnsi="Times New Roman" w:cs="Times New Roman"/>
          <w:lang w:eastAsia="sk-SK"/>
        </w:rPr>
        <w:t xml:space="preserve"> </w:t>
      </w:r>
      <w:r w:rsidRPr="009A3925">
        <w:rPr>
          <w:rFonts w:ascii="Times New Roman" w:hAnsi="Times New Roman" w:cs="Times New Roman"/>
          <w:lang w:eastAsia="sk-SK"/>
        </w:rPr>
        <w:t>Za účelom rozvoja starostlivosti o deti do troch rokov sa pripravujú podmienky finančnej podpory pre čerpanie finančných zdrojov v programovom období na roky 2014–2020</w:t>
      </w:r>
      <w:r>
        <w:rPr>
          <w:rFonts w:ascii="Times New Roman" w:hAnsi="Times New Roman" w:cs="Times New Roman"/>
          <w:lang w:eastAsia="sk-SK"/>
        </w:rPr>
        <w:t xml:space="preserve">. Zváži sa flexibilné nastavenie výšky a dĺžky poberania rodičovského príspevku, ktoré by umožnilo rodičom lepšie si načasovať návrat do zamestnania. </w:t>
      </w:r>
    </w:p>
    <w:p w:rsidR="007D13F3" w:rsidRDefault="007D13F3" w:rsidP="007D13F3">
      <w:pPr>
        <w:jc w:val="both"/>
        <w:rPr>
          <w:rFonts w:ascii="Times New Roman" w:hAnsi="Times New Roman" w:cs="Times New Roman"/>
          <w:lang w:eastAsia="sk-SK"/>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576"/>
        <w:gridCol w:w="146"/>
        <w:gridCol w:w="4350"/>
      </w:tblGrid>
      <w:tr w:rsidR="007D13F3" w:rsidRPr="00191349" w:rsidTr="00465CAC">
        <w:trPr>
          <w:trHeight w:val="227"/>
          <w:jc w:val="center"/>
        </w:trPr>
        <w:tc>
          <w:tcPr>
            <w:tcW w:w="2522" w:type="pct"/>
            <w:tcBorders>
              <w:top w:val="nil"/>
              <w:left w:val="nil"/>
              <w:bottom w:val="single" w:sz="4" w:space="0" w:color="auto"/>
              <w:right w:val="nil"/>
            </w:tcBorders>
            <w:shd w:val="clear" w:color="auto" w:fill="auto"/>
            <w:vAlign w:val="center"/>
          </w:tcPr>
          <w:p w:rsidR="007D13F3" w:rsidRPr="00A6654F" w:rsidRDefault="007D13F3" w:rsidP="00465CAC">
            <w:pPr>
              <w:rPr>
                <w:rFonts w:ascii="Times New Roman" w:eastAsia="Calibri" w:hAnsi="Times New Roman" w:cs="Times New Roman"/>
                <w:b/>
                <w:sz w:val="20"/>
                <w:szCs w:val="20"/>
              </w:rPr>
            </w:pPr>
            <w:r w:rsidRPr="00A6654F">
              <w:rPr>
                <w:rFonts w:ascii="Times New Roman" w:eastAsia="Calibri" w:hAnsi="Times New Roman" w:cs="Times New Roman"/>
                <w:b/>
                <w:iCs/>
                <w:sz w:val="20"/>
                <w:szCs w:val="20"/>
              </w:rPr>
              <w:t>Graf</w:t>
            </w:r>
            <w:r w:rsidRPr="00A6654F">
              <w:rPr>
                <w:rFonts w:ascii="Times New Roman" w:eastAsia="Arial" w:hAnsi="Times New Roman" w:cs="Times New Roman"/>
                <w:b/>
                <w:iCs/>
                <w:color w:val="000000"/>
                <w:sz w:val="20"/>
                <w:szCs w:val="20"/>
                <w:lang w:eastAsia="fr-FR" w:bidi="fr-FR"/>
              </w:rPr>
              <w:t xml:space="preserve">: </w:t>
            </w:r>
            <w:r w:rsidRPr="00C55E33">
              <w:rPr>
                <w:rFonts w:ascii="Times New Roman" w:eastAsia="Calibri" w:hAnsi="Times New Roman" w:cs="Times New Roman"/>
                <w:b/>
                <w:sz w:val="20"/>
                <w:szCs w:val="18"/>
              </w:rPr>
              <w:t>Miera participácie na formálnej starostlivosti vo veku 0-2 rokov (% z vekovej skupiny)</w:t>
            </w:r>
            <w:r>
              <w:rPr>
                <w:rFonts w:ascii="Times New Roman" w:eastAsia="Calibri" w:hAnsi="Times New Roman" w:cs="Times New Roman"/>
                <w:b/>
                <w:sz w:val="20"/>
                <w:szCs w:val="18"/>
              </w:rPr>
              <w:t xml:space="preserve"> </w:t>
            </w:r>
          </w:p>
        </w:tc>
        <w:tc>
          <w:tcPr>
            <w:tcW w:w="80" w:type="pct"/>
            <w:tcBorders>
              <w:top w:val="nil"/>
              <w:left w:val="nil"/>
              <w:bottom w:val="nil"/>
              <w:right w:val="nil"/>
            </w:tcBorders>
            <w:shd w:val="clear" w:color="auto" w:fill="auto"/>
            <w:vAlign w:val="center"/>
          </w:tcPr>
          <w:p w:rsidR="007D13F3" w:rsidRPr="00A6654F" w:rsidRDefault="007D13F3" w:rsidP="00465CAC">
            <w:pPr>
              <w:spacing w:before="60" w:after="60"/>
              <w:rPr>
                <w:rFonts w:ascii="Times New Roman" w:eastAsia="Calibri" w:hAnsi="Times New Roman" w:cs="Times New Roman"/>
                <w:b/>
                <w:sz w:val="20"/>
                <w:szCs w:val="20"/>
              </w:rPr>
            </w:pPr>
          </w:p>
        </w:tc>
        <w:tc>
          <w:tcPr>
            <w:tcW w:w="2397" w:type="pct"/>
            <w:tcBorders>
              <w:top w:val="nil"/>
              <w:left w:val="nil"/>
              <w:bottom w:val="single" w:sz="4" w:space="0" w:color="auto"/>
              <w:right w:val="nil"/>
            </w:tcBorders>
            <w:shd w:val="clear" w:color="auto" w:fill="auto"/>
            <w:vAlign w:val="center"/>
          </w:tcPr>
          <w:p w:rsidR="007D13F3" w:rsidRPr="00A6654F" w:rsidRDefault="007D13F3" w:rsidP="00465CAC">
            <w:pPr>
              <w:rPr>
                <w:rFonts w:ascii="Times New Roman" w:eastAsia="Calibri" w:hAnsi="Times New Roman" w:cs="Times New Roman"/>
                <w:b/>
                <w:color w:val="000000"/>
                <w:sz w:val="20"/>
                <w:szCs w:val="20"/>
              </w:rPr>
            </w:pPr>
            <w:bookmarkStart w:id="64" w:name="_Toc488075680"/>
            <w:r w:rsidRPr="00A6654F">
              <w:rPr>
                <w:rFonts w:ascii="Times New Roman" w:eastAsia="Calibri" w:hAnsi="Times New Roman" w:cs="Times New Roman"/>
                <w:b/>
                <w:iCs/>
                <w:sz w:val="20"/>
                <w:szCs w:val="20"/>
              </w:rPr>
              <w:t>Graf</w:t>
            </w:r>
            <w:r w:rsidRPr="00A6654F">
              <w:rPr>
                <w:rFonts w:ascii="Times New Roman" w:eastAsia="Arial" w:hAnsi="Times New Roman" w:cs="Times New Roman"/>
                <w:b/>
                <w:iCs/>
                <w:color w:val="000000"/>
                <w:sz w:val="20"/>
                <w:szCs w:val="20"/>
                <w:lang w:eastAsia="fr-FR" w:bidi="fr-FR"/>
              </w:rPr>
              <w:t xml:space="preserve">: </w:t>
            </w:r>
            <w:r w:rsidRPr="00A6654F">
              <w:rPr>
                <w:rFonts w:ascii="Times New Roman" w:eastAsia="Calibri" w:hAnsi="Times New Roman" w:cs="Times New Roman"/>
                <w:b/>
                <w:sz w:val="20"/>
                <w:szCs w:val="20"/>
              </w:rPr>
              <w:t>Dĺžka poskytovania príspevku na podporu rodiny podľa veku dieťaťa, 2010</w:t>
            </w:r>
            <w:bookmarkEnd w:id="64"/>
          </w:p>
        </w:tc>
      </w:tr>
      <w:tr w:rsidR="007D13F3" w:rsidRPr="00191349" w:rsidTr="00465CAC">
        <w:trPr>
          <w:trHeight w:val="3959"/>
          <w:jc w:val="center"/>
        </w:trPr>
        <w:tc>
          <w:tcPr>
            <w:tcW w:w="2522" w:type="pct"/>
            <w:tcBorders>
              <w:top w:val="single" w:sz="4" w:space="0" w:color="auto"/>
              <w:left w:val="nil"/>
              <w:bottom w:val="single" w:sz="4" w:space="0" w:color="auto"/>
              <w:right w:val="nil"/>
            </w:tcBorders>
            <w:vAlign w:val="center"/>
          </w:tcPr>
          <w:p w:rsidR="007D13F3" w:rsidRPr="00191349" w:rsidRDefault="007D13F3" w:rsidP="00465CAC">
            <w:pPr>
              <w:spacing w:before="40" w:after="40"/>
              <w:jc w:val="center"/>
              <w:rPr>
                <w:rFonts w:eastAsia="Calibri" w:cs="Arial"/>
                <w:b/>
                <w:sz w:val="20"/>
                <w:szCs w:val="20"/>
              </w:rPr>
            </w:pPr>
            <w:r w:rsidRPr="00191349">
              <w:rPr>
                <w:rFonts w:ascii="Calibri" w:eastAsia="Calibri" w:hAnsi="Calibri" w:cs="Times New Roman"/>
                <w:noProof/>
                <w:sz w:val="20"/>
                <w:szCs w:val="20"/>
                <w:lang w:eastAsia="sk-SK"/>
              </w:rPr>
              <w:drawing>
                <wp:inline distT="0" distB="0" distL="0" distR="0" wp14:anchorId="4DEC29E2" wp14:editId="780FB07E">
                  <wp:extent cx="2869565" cy="2369489"/>
                  <wp:effectExtent l="0" t="0" r="6985"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80" w:type="pct"/>
            <w:tcBorders>
              <w:top w:val="nil"/>
              <w:left w:val="nil"/>
              <w:bottom w:val="nil"/>
              <w:right w:val="nil"/>
            </w:tcBorders>
            <w:vAlign w:val="center"/>
          </w:tcPr>
          <w:p w:rsidR="007D13F3" w:rsidRPr="00191349" w:rsidRDefault="007D13F3" w:rsidP="00465CAC">
            <w:pPr>
              <w:spacing w:before="40" w:after="40"/>
              <w:jc w:val="center"/>
              <w:rPr>
                <w:rFonts w:eastAsia="Calibri" w:cs="Arial"/>
                <w:b/>
                <w:sz w:val="20"/>
                <w:szCs w:val="20"/>
              </w:rPr>
            </w:pPr>
          </w:p>
        </w:tc>
        <w:tc>
          <w:tcPr>
            <w:tcW w:w="2397" w:type="pct"/>
            <w:tcBorders>
              <w:top w:val="single" w:sz="4" w:space="0" w:color="auto"/>
              <w:left w:val="nil"/>
              <w:bottom w:val="single" w:sz="4" w:space="0" w:color="auto"/>
              <w:right w:val="nil"/>
            </w:tcBorders>
            <w:vAlign w:val="center"/>
          </w:tcPr>
          <w:p w:rsidR="007D13F3" w:rsidRPr="00191349" w:rsidRDefault="007D13F3" w:rsidP="00465CAC">
            <w:pPr>
              <w:tabs>
                <w:tab w:val="left" w:pos="1719"/>
              </w:tabs>
              <w:spacing w:before="40" w:after="40"/>
              <w:jc w:val="center"/>
              <w:rPr>
                <w:rFonts w:eastAsia="Calibri" w:cs="Arial"/>
                <w:b/>
                <w:sz w:val="20"/>
                <w:szCs w:val="20"/>
              </w:rPr>
            </w:pPr>
            <w:r w:rsidRPr="00191349">
              <w:rPr>
                <w:rFonts w:eastAsia="Calibri" w:cs="Times New Roman"/>
                <w:noProof/>
                <w:szCs w:val="20"/>
                <w:lang w:eastAsia="sk-SK"/>
              </w:rPr>
              <w:drawing>
                <wp:inline distT="0" distB="0" distL="0" distR="0" wp14:anchorId="0CF2D979" wp14:editId="5B8DA8A2">
                  <wp:extent cx="2730500" cy="2353586"/>
                  <wp:effectExtent l="0" t="0" r="0" b="889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7D13F3" w:rsidRPr="00A6654F" w:rsidTr="00465CAC">
        <w:trPr>
          <w:trHeight w:val="227"/>
          <w:jc w:val="center"/>
        </w:trPr>
        <w:tc>
          <w:tcPr>
            <w:tcW w:w="2522" w:type="pct"/>
            <w:tcBorders>
              <w:top w:val="single" w:sz="4" w:space="0" w:color="auto"/>
              <w:left w:val="nil"/>
              <w:bottom w:val="nil"/>
              <w:right w:val="nil"/>
            </w:tcBorders>
            <w:vAlign w:val="center"/>
          </w:tcPr>
          <w:p w:rsidR="007D13F3" w:rsidRPr="00A6654F" w:rsidRDefault="007D13F3" w:rsidP="00465CAC">
            <w:pPr>
              <w:tabs>
                <w:tab w:val="left" w:pos="388"/>
                <w:tab w:val="right" w:pos="4380"/>
              </w:tabs>
              <w:spacing w:before="40" w:after="40"/>
              <w:contextualSpacing/>
              <w:jc w:val="right"/>
              <w:rPr>
                <w:rFonts w:ascii="Times New Roman" w:eastAsia="Calibri" w:hAnsi="Times New Roman" w:cs="Times New Roman"/>
                <w:i/>
                <w:sz w:val="18"/>
                <w:szCs w:val="18"/>
              </w:rPr>
            </w:pPr>
            <w:r w:rsidRPr="00A6654F">
              <w:rPr>
                <w:rFonts w:ascii="Times New Roman" w:eastAsia="Calibri" w:hAnsi="Times New Roman" w:cs="Times New Roman"/>
                <w:bCs/>
                <w:i/>
                <w:sz w:val="18"/>
                <w:szCs w:val="18"/>
                <w:lang w:eastAsia="zh-TW"/>
              </w:rPr>
              <w:t>Zdroj: OECD</w:t>
            </w:r>
          </w:p>
        </w:tc>
        <w:tc>
          <w:tcPr>
            <w:tcW w:w="80" w:type="pct"/>
            <w:tcBorders>
              <w:top w:val="nil"/>
              <w:left w:val="nil"/>
              <w:bottom w:val="nil"/>
              <w:right w:val="nil"/>
            </w:tcBorders>
          </w:tcPr>
          <w:p w:rsidR="007D13F3" w:rsidRPr="00A6654F" w:rsidRDefault="007D13F3" w:rsidP="00465CAC">
            <w:pPr>
              <w:spacing w:after="160"/>
              <w:contextualSpacing/>
              <w:jc w:val="center"/>
              <w:rPr>
                <w:rFonts w:ascii="Times New Roman" w:eastAsia="Calibri" w:hAnsi="Times New Roman" w:cs="Times New Roman"/>
                <w:i/>
                <w:sz w:val="16"/>
                <w:szCs w:val="14"/>
              </w:rPr>
            </w:pPr>
          </w:p>
        </w:tc>
        <w:tc>
          <w:tcPr>
            <w:tcW w:w="2397" w:type="pct"/>
            <w:tcBorders>
              <w:top w:val="single" w:sz="4" w:space="0" w:color="auto"/>
              <w:left w:val="nil"/>
              <w:bottom w:val="nil"/>
              <w:right w:val="nil"/>
            </w:tcBorders>
            <w:vAlign w:val="center"/>
          </w:tcPr>
          <w:p w:rsidR="007D13F3" w:rsidRPr="00A6654F" w:rsidRDefault="007D13F3" w:rsidP="00465CAC">
            <w:pPr>
              <w:tabs>
                <w:tab w:val="left" w:pos="413"/>
                <w:tab w:val="right" w:pos="4597"/>
              </w:tabs>
              <w:spacing w:before="40" w:after="40"/>
              <w:contextualSpacing/>
              <w:jc w:val="right"/>
              <w:rPr>
                <w:rFonts w:ascii="Times New Roman" w:eastAsia="Calibri" w:hAnsi="Times New Roman" w:cs="Times New Roman"/>
                <w:i/>
                <w:sz w:val="16"/>
                <w:szCs w:val="14"/>
              </w:rPr>
            </w:pPr>
            <w:r w:rsidRPr="00A6654F">
              <w:rPr>
                <w:rFonts w:ascii="Times New Roman" w:eastAsia="Calibri" w:hAnsi="Times New Roman" w:cs="Times New Roman"/>
                <w:bCs/>
                <w:i/>
                <w:sz w:val="18"/>
                <w:szCs w:val="20"/>
                <w:lang w:eastAsia="zh-TW"/>
              </w:rPr>
              <w:t xml:space="preserve">Zdroj: </w:t>
            </w:r>
            <w:r>
              <w:rPr>
                <w:rFonts w:ascii="Times New Roman" w:eastAsia="Calibri" w:hAnsi="Times New Roman" w:cs="Times New Roman"/>
                <w:bCs/>
                <w:i/>
                <w:sz w:val="18"/>
                <w:szCs w:val="20"/>
                <w:lang w:eastAsia="zh-TW"/>
              </w:rPr>
              <w:t>OECD</w:t>
            </w:r>
          </w:p>
        </w:tc>
      </w:tr>
    </w:tbl>
    <w:p w:rsidR="007D13F3" w:rsidRPr="009A3925"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7D13F3"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Pr>
          <w:rFonts w:ascii="Times New Roman" w:hAnsi="Times New Roman" w:cs="Times New Roman"/>
          <w:lang w:eastAsia="sk-SK"/>
        </w:rPr>
        <w:tab/>
      </w:r>
      <w:r w:rsidRPr="00C74335">
        <w:rPr>
          <w:rFonts w:ascii="Times New Roman" w:hAnsi="Times New Roman" w:cs="Times New Roman"/>
          <w:lang w:eastAsia="sk-SK"/>
        </w:rPr>
        <w:t>Podpora rodiny prostredníctvom rodinných dávok je určená všetkým rodičom bez ohľadu na príjem.</w:t>
      </w:r>
      <w:r w:rsidRPr="009A3925">
        <w:rPr>
          <w:rFonts w:ascii="Times New Roman" w:hAnsi="Times New Roman" w:cs="Times New Roman"/>
          <w:lang w:eastAsia="sk-SK"/>
        </w:rPr>
        <w:t xml:space="preserve"> Potenciálom pre lepšie cielenie rodinnej politiky je podmienenie získania dávok nízkym príjmom domácnosti. Dnes však dostupné dáta a možnosti kontroly neumožňujú efektívne zaviesť takýto systém príjmového testovania.</w:t>
      </w:r>
      <w:r>
        <w:rPr>
          <w:rFonts w:ascii="Times New Roman" w:hAnsi="Times New Roman" w:cs="Times New Roman"/>
          <w:lang w:eastAsia="sk-SK"/>
        </w:rPr>
        <w:t xml:space="preserve"> Na možné zlepšenie podpory rodiny je možné zvážiť rozšírenie daňového bonusu a osobitného príspevku na nízke príjmy a malé úväzky. </w:t>
      </w:r>
    </w:p>
    <w:p w:rsidR="007D13F3" w:rsidRPr="00F5748F"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3115"/>
        <w:gridCol w:w="850"/>
        <w:gridCol w:w="852"/>
        <w:gridCol w:w="850"/>
        <w:gridCol w:w="850"/>
        <w:gridCol w:w="850"/>
        <w:gridCol w:w="852"/>
        <w:gridCol w:w="843"/>
      </w:tblGrid>
      <w:tr w:rsidR="007D13F3" w:rsidRPr="00D26052" w:rsidTr="00465CAC">
        <w:trPr>
          <w:trHeight w:val="210"/>
        </w:trPr>
        <w:tc>
          <w:tcPr>
            <w:tcW w:w="171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D26052">
              <w:rPr>
                <w:rFonts w:ascii="Times New Roman" w:hAnsi="Times New Roman" w:cs="Times New Roman"/>
                <w:b/>
                <w:bCs/>
                <w:sz w:val="14"/>
                <w:szCs w:val="14"/>
                <w:lang w:eastAsia="sk-SK"/>
              </w:rPr>
              <w:t xml:space="preserve"> S</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D26052">
              <w:rPr>
                <w:rFonts w:ascii="Times New Roman" w:hAnsi="Times New Roman" w:cs="Times New Roman"/>
                <w:b/>
                <w:bCs/>
                <w:sz w:val="14"/>
                <w:szCs w:val="14"/>
                <w:lang w:eastAsia="sk-SK"/>
              </w:rPr>
              <w:t xml:space="preserve"> S</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D26052">
              <w:rPr>
                <w:rFonts w:ascii="Times New Roman" w:hAnsi="Times New Roman" w:cs="Times New Roman"/>
                <w:b/>
                <w:bCs/>
                <w:sz w:val="14"/>
                <w:szCs w:val="14"/>
                <w:lang w:eastAsia="sk-SK"/>
              </w:rPr>
              <w:t xml:space="preserve"> N</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D26052">
              <w:rPr>
                <w:rFonts w:ascii="Times New Roman" w:hAnsi="Times New Roman" w:cs="Times New Roman"/>
                <w:b/>
                <w:bCs/>
                <w:sz w:val="14"/>
                <w:szCs w:val="14"/>
                <w:lang w:eastAsia="sk-SK"/>
              </w:rPr>
              <w:t xml:space="preserve"> OS</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D26052">
              <w:rPr>
                <w:rFonts w:ascii="Times New Roman" w:hAnsi="Times New Roman" w:cs="Times New Roman"/>
                <w:b/>
                <w:bCs/>
                <w:sz w:val="14"/>
                <w:szCs w:val="14"/>
                <w:lang w:eastAsia="sk-SK"/>
              </w:rPr>
              <w:t xml:space="preserve"> N</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9</w:t>
            </w:r>
            <w:r w:rsidRPr="00D26052">
              <w:rPr>
                <w:rFonts w:ascii="Times New Roman" w:hAnsi="Times New Roman" w:cs="Times New Roman"/>
                <w:b/>
                <w:bCs/>
                <w:sz w:val="14"/>
                <w:szCs w:val="14"/>
                <w:lang w:eastAsia="sk-SK"/>
              </w:rPr>
              <w:t xml:space="preserve"> N</w:t>
            </w:r>
          </w:p>
        </w:tc>
        <w:tc>
          <w:tcPr>
            <w:tcW w:w="465" w:type="pct"/>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w:t>
            </w:r>
            <w:r>
              <w:rPr>
                <w:rFonts w:ascii="Times New Roman" w:hAnsi="Times New Roman" w:cs="Times New Roman"/>
                <w:b/>
                <w:bCs/>
                <w:sz w:val="14"/>
                <w:szCs w:val="14"/>
                <w:lang w:eastAsia="sk-SK"/>
              </w:rPr>
              <w:t>20</w:t>
            </w:r>
            <w:r w:rsidRPr="00D26052">
              <w:rPr>
                <w:rFonts w:ascii="Times New Roman" w:hAnsi="Times New Roman" w:cs="Times New Roman"/>
                <w:b/>
                <w:bCs/>
                <w:sz w:val="14"/>
                <w:szCs w:val="14"/>
                <w:lang w:eastAsia="sk-SK"/>
              </w:rPr>
              <w:t xml:space="preserve"> N</w:t>
            </w:r>
          </w:p>
        </w:tc>
      </w:tr>
      <w:tr w:rsidR="007D13F3" w:rsidRPr="00D26052" w:rsidTr="00465CAC">
        <w:trPr>
          <w:trHeight w:val="210"/>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Podpora rodiny zo štátneho rozpočtu</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7</w:t>
            </w:r>
            <w:r>
              <w:rPr>
                <w:rFonts w:ascii="Times New Roman" w:hAnsi="Times New Roman" w:cs="Times New Roman"/>
                <w:b/>
                <w:bCs/>
                <w:color w:val="000000"/>
                <w:sz w:val="14"/>
                <w:szCs w:val="14"/>
                <w:lang w:eastAsia="sk-SK"/>
              </w:rPr>
              <w:t>18</w:t>
            </w:r>
            <w:r w:rsidRPr="00D26052">
              <w:rPr>
                <w:rFonts w:ascii="Times New Roman" w:hAnsi="Times New Roman" w:cs="Times New Roman"/>
                <w:b/>
                <w:bCs/>
                <w:color w:val="000000"/>
                <w:sz w:val="14"/>
                <w:szCs w:val="14"/>
                <w:lang w:eastAsia="sk-SK"/>
              </w:rPr>
              <w:t xml:space="preserve"> 6</w:t>
            </w:r>
            <w:r>
              <w:rPr>
                <w:rFonts w:ascii="Times New Roman" w:hAnsi="Times New Roman" w:cs="Times New Roman"/>
                <w:b/>
                <w:bCs/>
                <w:color w:val="000000"/>
                <w:sz w:val="14"/>
                <w:szCs w:val="14"/>
                <w:lang w:eastAsia="sk-SK"/>
              </w:rPr>
              <w:t>74</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6</w:t>
            </w:r>
            <w:r>
              <w:rPr>
                <w:rFonts w:ascii="Times New Roman" w:hAnsi="Times New Roman" w:cs="Times New Roman"/>
                <w:b/>
                <w:bCs/>
                <w:color w:val="000000"/>
                <w:sz w:val="14"/>
                <w:szCs w:val="14"/>
                <w:lang w:eastAsia="sk-SK"/>
              </w:rPr>
              <w:t>3</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718 </w:t>
            </w:r>
            <w:r>
              <w:rPr>
                <w:rFonts w:ascii="Times New Roman" w:hAnsi="Times New Roman" w:cs="Times New Roman"/>
                <w:b/>
                <w:bCs/>
                <w:color w:val="000000"/>
                <w:sz w:val="14"/>
                <w:szCs w:val="14"/>
                <w:lang w:eastAsia="sk-SK"/>
              </w:rPr>
              <w:t>991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44</w:t>
            </w:r>
            <w:r w:rsidRPr="00D26052">
              <w:rPr>
                <w:rFonts w:ascii="Times New Roman" w:hAnsi="Times New Roman" w:cs="Times New Roman"/>
                <w:b/>
                <w:bCs/>
                <w:color w:val="000000"/>
                <w:sz w:val="14"/>
                <w:szCs w:val="14"/>
                <w:lang w:eastAsia="sk-SK"/>
              </w:rPr>
              <w:t>3</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73</w:t>
            </w:r>
            <w:r>
              <w:rPr>
                <w:rFonts w:ascii="Times New Roman" w:hAnsi="Times New Roman" w:cs="Times New Roman"/>
                <w:b/>
                <w:bCs/>
                <w:color w:val="000000"/>
                <w:sz w:val="14"/>
                <w:szCs w:val="14"/>
                <w:lang w:eastAsia="sk-SK"/>
              </w:rPr>
              <w:t>0</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006</w:t>
            </w:r>
            <w:r w:rsidRPr="00D26052">
              <w:rPr>
                <w:rFonts w:ascii="Times New Roman" w:hAnsi="Times New Roman" w:cs="Times New Roman"/>
                <w:b/>
                <w:bCs/>
                <w:color w:val="000000"/>
                <w:sz w:val="14"/>
                <w:szCs w:val="14"/>
                <w:lang w:eastAsia="sk-SK"/>
              </w:rPr>
              <w:t xml:space="preserve"> 8</w:t>
            </w:r>
            <w:r>
              <w:rPr>
                <w:rFonts w:ascii="Times New Roman" w:hAnsi="Times New Roman" w:cs="Times New Roman"/>
                <w:b/>
                <w:bCs/>
                <w:color w:val="000000"/>
                <w:sz w:val="14"/>
                <w:szCs w:val="14"/>
                <w:lang w:eastAsia="sk-SK"/>
              </w:rPr>
              <w:t>85</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7</w:t>
            </w:r>
            <w:r>
              <w:rPr>
                <w:rFonts w:ascii="Times New Roman" w:hAnsi="Times New Roman" w:cs="Times New Roman"/>
                <w:b/>
                <w:bCs/>
                <w:color w:val="000000"/>
                <w:sz w:val="14"/>
                <w:szCs w:val="14"/>
                <w:lang w:eastAsia="sk-SK"/>
              </w:rPr>
              <w:t>24</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607</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609</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7</w:t>
            </w:r>
            <w:r>
              <w:rPr>
                <w:rFonts w:ascii="Times New Roman" w:hAnsi="Times New Roman" w:cs="Times New Roman"/>
                <w:b/>
                <w:bCs/>
                <w:color w:val="000000"/>
                <w:sz w:val="14"/>
                <w:szCs w:val="14"/>
                <w:lang w:eastAsia="sk-SK"/>
              </w:rPr>
              <w:t>40</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597</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920</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75</w:t>
            </w:r>
            <w:r>
              <w:rPr>
                <w:rFonts w:ascii="Times New Roman" w:hAnsi="Times New Roman" w:cs="Times New Roman"/>
                <w:b/>
                <w:bCs/>
                <w:color w:val="000000"/>
                <w:sz w:val="14"/>
                <w:szCs w:val="14"/>
                <w:lang w:eastAsia="sk-SK"/>
              </w:rPr>
              <w:t>0</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009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042</w:t>
            </w:r>
          </w:p>
        </w:tc>
        <w:tc>
          <w:tcPr>
            <w:tcW w:w="465"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7</w:t>
            </w:r>
            <w:r>
              <w:rPr>
                <w:rFonts w:ascii="Times New Roman" w:hAnsi="Times New Roman" w:cs="Times New Roman"/>
                <w:b/>
                <w:bCs/>
                <w:color w:val="000000"/>
                <w:sz w:val="14"/>
                <w:szCs w:val="14"/>
                <w:lang w:eastAsia="sk-SK"/>
              </w:rPr>
              <w:t>63</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777</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263</w:t>
            </w:r>
          </w:p>
        </w:tc>
      </w:tr>
      <w:tr w:rsidR="007D13F3" w:rsidRPr="00D26052" w:rsidTr="00465CAC">
        <w:trPr>
          <w:trHeight w:val="210"/>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Prídavok na dieťa </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31</w:t>
            </w: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364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871</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31</w:t>
            </w:r>
            <w:r>
              <w:rPr>
                <w:rFonts w:ascii="Times New Roman" w:hAnsi="Times New Roman" w:cs="Times New Roman"/>
                <w:color w:val="000000"/>
                <w:sz w:val="14"/>
                <w:szCs w:val="14"/>
                <w:lang w:eastAsia="sk-SK"/>
              </w:rPr>
              <w:t>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926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386</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31</w:t>
            </w: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w:t>
            </w:r>
            <w:r w:rsidRPr="00D26052">
              <w:rPr>
                <w:rFonts w:ascii="Times New Roman" w:hAnsi="Times New Roman" w:cs="Times New Roman"/>
                <w:color w:val="000000"/>
                <w:sz w:val="14"/>
                <w:szCs w:val="14"/>
                <w:lang w:eastAsia="sk-SK"/>
              </w:rPr>
              <w:t>50 4</w:t>
            </w:r>
            <w:r>
              <w:rPr>
                <w:rFonts w:ascii="Times New Roman" w:hAnsi="Times New Roman" w:cs="Times New Roman"/>
                <w:color w:val="000000"/>
                <w:sz w:val="14"/>
                <w:szCs w:val="14"/>
                <w:lang w:eastAsia="sk-SK"/>
              </w:rPr>
              <w:t>20</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31</w:t>
            </w:r>
            <w:r>
              <w:rPr>
                <w:rFonts w:ascii="Times New Roman" w:hAnsi="Times New Roman" w:cs="Times New Roman"/>
                <w:color w:val="000000"/>
                <w:sz w:val="14"/>
                <w:szCs w:val="14"/>
                <w:lang w:eastAsia="sk-SK"/>
              </w:rPr>
              <w:t>3</w:t>
            </w:r>
            <w:r w:rsidRPr="00D26052">
              <w:rPr>
                <w:rFonts w:ascii="Times New Roman" w:hAnsi="Times New Roman" w:cs="Times New Roman"/>
                <w:color w:val="000000"/>
                <w:sz w:val="14"/>
                <w:szCs w:val="14"/>
                <w:lang w:eastAsia="sk-SK"/>
              </w:rPr>
              <w:t> </w:t>
            </w:r>
            <w:r>
              <w:rPr>
                <w:rFonts w:ascii="Times New Roman" w:hAnsi="Times New Roman" w:cs="Times New Roman"/>
                <w:color w:val="000000"/>
                <w:sz w:val="14"/>
                <w:szCs w:val="14"/>
                <w:lang w:eastAsia="sk-SK"/>
              </w:rPr>
              <w:t>571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991</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315 </w:t>
            </w:r>
            <w:r>
              <w:rPr>
                <w:rFonts w:ascii="Times New Roman" w:hAnsi="Times New Roman" w:cs="Times New Roman"/>
                <w:color w:val="000000"/>
                <w:sz w:val="14"/>
                <w:szCs w:val="14"/>
                <w:lang w:eastAsia="sk-SK"/>
              </w:rPr>
              <w:t>074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993</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31</w:t>
            </w:r>
            <w:r>
              <w:rPr>
                <w:rFonts w:ascii="Times New Roman" w:hAnsi="Times New Roman" w:cs="Times New Roman"/>
                <w:color w:val="000000"/>
                <w:sz w:val="14"/>
                <w:szCs w:val="14"/>
                <w:lang w:eastAsia="sk-SK"/>
              </w:rPr>
              <w:t>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546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028</w:t>
            </w:r>
          </w:p>
        </w:tc>
        <w:tc>
          <w:tcPr>
            <w:tcW w:w="465"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3</w:t>
            </w:r>
            <w:r>
              <w:rPr>
                <w:rFonts w:ascii="Times New Roman" w:hAnsi="Times New Roman" w:cs="Times New Roman"/>
                <w:color w:val="000000"/>
                <w:sz w:val="14"/>
                <w:szCs w:val="14"/>
                <w:lang w:eastAsia="sk-SK"/>
              </w:rPr>
              <w:t>25</w:t>
            </w:r>
            <w:r w:rsidRPr="00D26052">
              <w:rPr>
                <w:rFonts w:ascii="Times New Roman" w:hAnsi="Times New Roman" w:cs="Times New Roman"/>
                <w:color w:val="000000"/>
                <w:sz w:val="14"/>
                <w:szCs w:val="14"/>
                <w:lang w:eastAsia="sk-SK"/>
              </w:rPr>
              <w:t> </w:t>
            </w:r>
            <w:r>
              <w:rPr>
                <w:rFonts w:ascii="Times New Roman" w:hAnsi="Times New Roman" w:cs="Times New Roman"/>
                <w:color w:val="000000"/>
                <w:sz w:val="14"/>
                <w:szCs w:val="14"/>
                <w:lang w:eastAsia="sk-SK"/>
              </w:rPr>
              <w:t>076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462</w:t>
            </w:r>
          </w:p>
        </w:tc>
      </w:tr>
      <w:tr w:rsidR="007D13F3" w:rsidRPr="00D26052" w:rsidTr="00465CAC">
        <w:trPr>
          <w:trHeight w:val="210"/>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Rodičovský príspevok </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35</w:t>
            </w: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280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670</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35</w:t>
            </w:r>
            <w:r>
              <w:rPr>
                <w:rFonts w:ascii="Times New Roman" w:hAnsi="Times New Roman" w:cs="Times New Roman"/>
                <w:color w:val="000000"/>
                <w:sz w:val="14"/>
                <w:szCs w:val="14"/>
                <w:lang w:eastAsia="sk-SK"/>
              </w:rPr>
              <w:t>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444</w:t>
            </w:r>
            <w:r w:rsidRPr="00D26052">
              <w:rPr>
                <w:rFonts w:ascii="Times New Roman" w:hAnsi="Times New Roman" w:cs="Times New Roman"/>
                <w:color w:val="000000"/>
                <w:sz w:val="14"/>
                <w:szCs w:val="14"/>
                <w:lang w:eastAsia="sk-SK"/>
              </w:rPr>
              <w:t xml:space="preserve"> 0</w:t>
            </w:r>
            <w:r>
              <w:rPr>
                <w:rFonts w:ascii="Times New Roman" w:hAnsi="Times New Roman" w:cs="Times New Roman"/>
                <w:color w:val="000000"/>
                <w:sz w:val="14"/>
                <w:szCs w:val="14"/>
                <w:lang w:eastAsia="sk-SK"/>
              </w:rPr>
              <w:t>23</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36</w:t>
            </w:r>
            <w:r>
              <w:rPr>
                <w:rFonts w:ascii="Times New Roman" w:hAnsi="Times New Roman" w:cs="Times New Roman"/>
                <w:color w:val="000000"/>
                <w:sz w:val="14"/>
                <w:szCs w:val="14"/>
                <w:lang w:eastAsia="sk-SK"/>
              </w:rPr>
              <w:t>3</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787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947</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3</w:t>
            </w:r>
            <w:r>
              <w:rPr>
                <w:rFonts w:ascii="Times New Roman" w:hAnsi="Times New Roman" w:cs="Times New Roman"/>
                <w:color w:val="000000"/>
                <w:sz w:val="14"/>
                <w:szCs w:val="14"/>
                <w:lang w:eastAsia="sk-SK"/>
              </w:rPr>
              <w:t>56</w:t>
            </w:r>
            <w:r w:rsidRPr="00D26052">
              <w:rPr>
                <w:rFonts w:ascii="Times New Roman" w:hAnsi="Times New Roman" w:cs="Times New Roman"/>
                <w:color w:val="000000"/>
                <w:sz w:val="14"/>
                <w:szCs w:val="14"/>
                <w:lang w:eastAsia="sk-SK"/>
              </w:rPr>
              <w:t> </w:t>
            </w:r>
            <w:r>
              <w:rPr>
                <w:rFonts w:ascii="Times New Roman" w:hAnsi="Times New Roman" w:cs="Times New Roman"/>
                <w:color w:val="000000"/>
                <w:sz w:val="14"/>
                <w:szCs w:val="14"/>
                <w:lang w:eastAsia="sk-SK"/>
              </w:rPr>
              <w:t>708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497</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3</w:t>
            </w:r>
            <w:r>
              <w:rPr>
                <w:rFonts w:ascii="Times New Roman" w:hAnsi="Times New Roman" w:cs="Times New Roman"/>
                <w:color w:val="000000"/>
                <w:sz w:val="14"/>
                <w:szCs w:val="14"/>
                <w:lang w:eastAsia="sk-SK"/>
              </w:rPr>
              <w:t>72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916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957</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3</w:t>
            </w:r>
            <w:r>
              <w:rPr>
                <w:rFonts w:ascii="Times New Roman" w:hAnsi="Times New Roman" w:cs="Times New Roman"/>
                <w:color w:val="000000"/>
                <w:sz w:val="14"/>
                <w:szCs w:val="14"/>
                <w:lang w:eastAsia="sk-SK"/>
              </w:rPr>
              <w:t>79</w:t>
            </w:r>
            <w:r w:rsidRPr="00D26052">
              <w:rPr>
                <w:rFonts w:ascii="Times New Roman" w:hAnsi="Times New Roman" w:cs="Times New Roman"/>
                <w:color w:val="000000"/>
                <w:sz w:val="14"/>
                <w:szCs w:val="14"/>
                <w:lang w:eastAsia="sk-SK"/>
              </w:rPr>
              <w:t> </w:t>
            </w:r>
            <w:r>
              <w:rPr>
                <w:rFonts w:ascii="Times New Roman" w:hAnsi="Times New Roman" w:cs="Times New Roman"/>
                <w:color w:val="000000"/>
                <w:sz w:val="14"/>
                <w:szCs w:val="14"/>
                <w:lang w:eastAsia="sk-SK"/>
              </w:rPr>
              <w:t>046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664</w:t>
            </w:r>
          </w:p>
        </w:tc>
        <w:tc>
          <w:tcPr>
            <w:tcW w:w="465"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3</w:t>
            </w:r>
            <w:r>
              <w:rPr>
                <w:rFonts w:ascii="Times New Roman" w:hAnsi="Times New Roman" w:cs="Times New Roman"/>
                <w:color w:val="000000"/>
                <w:sz w:val="14"/>
                <w:szCs w:val="14"/>
                <w:lang w:eastAsia="sk-SK"/>
              </w:rPr>
              <w:t>86 134 301</w:t>
            </w:r>
          </w:p>
        </w:tc>
      </w:tr>
      <w:tr w:rsidR="007D13F3" w:rsidRPr="00D26052" w:rsidTr="00465CAC">
        <w:trPr>
          <w:trHeight w:val="210"/>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Ostatné príspevky na podporu rodiny</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8</w:t>
            </w:r>
            <w:r>
              <w:rPr>
                <w:rFonts w:ascii="Times New Roman" w:hAnsi="Times New Roman" w:cs="Times New Roman"/>
                <w:color w:val="000000"/>
                <w:sz w:val="14"/>
                <w:szCs w:val="14"/>
                <w:lang w:eastAsia="sk-SK"/>
              </w:rPr>
              <w:t>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955</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7 </w:t>
            </w:r>
            <w:r w:rsidRPr="00D26052">
              <w:rPr>
                <w:rFonts w:ascii="Times New Roman" w:hAnsi="Times New Roman" w:cs="Times New Roman"/>
                <w:color w:val="000000"/>
                <w:sz w:val="14"/>
                <w:szCs w:val="14"/>
                <w:lang w:eastAsia="sk-SK"/>
              </w:rPr>
              <w:t>8</w:t>
            </w:r>
            <w:r>
              <w:rPr>
                <w:rFonts w:ascii="Times New Roman" w:hAnsi="Times New Roman" w:cs="Times New Roman"/>
                <w:color w:val="000000"/>
                <w:sz w:val="14"/>
                <w:szCs w:val="14"/>
                <w:lang w:eastAsia="sk-SK"/>
              </w:rPr>
              <w:t xml:space="preserve">60 </w:t>
            </w:r>
            <w:r w:rsidRPr="00D26052">
              <w:rPr>
                <w:rFonts w:ascii="Times New Roman" w:hAnsi="Times New Roman" w:cs="Times New Roman"/>
                <w:color w:val="000000"/>
                <w:sz w:val="14"/>
                <w:szCs w:val="14"/>
                <w:lang w:eastAsia="sk-SK"/>
              </w:rPr>
              <w:t>9</w:t>
            </w:r>
            <w:r>
              <w:rPr>
                <w:rFonts w:ascii="Times New Roman" w:hAnsi="Times New Roman" w:cs="Times New Roman"/>
                <w:color w:val="000000"/>
                <w:sz w:val="14"/>
                <w:szCs w:val="14"/>
                <w:lang w:eastAsia="sk-SK"/>
              </w:rPr>
              <w:t>30</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46 </w:t>
            </w:r>
            <w:r>
              <w:rPr>
                <w:rFonts w:ascii="Times New Roman" w:hAnsi="Times New Roman" w:cs="Times New Roman"/>
                <w:color w:val="000000"/>
                <w:sz w:val="14"/>
                <w:szCs w:val="14"/>
                <w:lang w:eastAsia="sk-SK"/>
              </w:rPr>
              <w:t>312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668</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827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w:t>
            </w:r>
            <w:r w:rsidRPr="00D26052">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1</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850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120</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660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500</w:t>
            </w:r>
          </w:p>
        </w:tc>
        <w:tc>
          <w:tcPr>
            <w:tcW w:w="465"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710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550</w:t>
            </w:r>
          </w:p>
        </w:tc>
      </w:tr>
      <w:tr w:rsidR="007D13F3" w:rsidRPr="00D26052" w:rsidTr="00465CAC">
        <w:trPr>
          <w:trHeight w:val="210"/>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Príspevok na starostlivosť o dieťa</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44</w:t>
            </w:r>
            <w:r w:rsidRPr="00D26052">
              <w:rPr>
                <w:rFonts w:ascii="Times New Roman" w:hAnsi="Times New Roman" w:cs="Times New Roman"/>
                <w:color w:val="000000"/>
                <w:sz w:val="14"/>
                <w:szCs w:val="14"/>
                <w:lang w:eastAsia="sk-SK"/>
              </w:rPr>
              <w:t xml:space="preserve">6 </w:t>
            </w:r>
            <w:r>
              <w:rPr>
                <w:rFonts w:ascii="Times New Roman" w:hAnsi="Times New Roman" w:cs="Times New Roman"/>
                <w:color w:val="000000"/>
                <w:sz w:val="14"/>
                <w:szCs w:val="14"/>
                <w:lang w:eastAsia="sk-SK"/>
              </w:rPr>
              <w:t>36</w:t>
            </w:r>
            <w:r w:rsidRPr="00D26052">
              <w:rPr>
                <w:rFonts w:ascii="Times New Roman" w:hAnsi="Times New Roman" w:cs="Times New Roman"/>
                <w:color w:val="000000"/>
                <w:sz w:val="14"/>
                <w:szCs w:val="14"/>
                <w:lang w:eastAsia="sk-SK"/>
              </w:rPr>
              <w:t>7</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6</w:t>
            </w:r>
            <w:r>
              <w:rPr>
                <w:rFonts w:ascii="Times New Roman" w:hAnsi="Times New Roman" w:cs="Times New Roman"/>
                <w:color w:val="000000"/>
                <w:sz w:val="14"/>
                <w:szCs w:val="14"/>
                <w:lang w:eastAsia="sk-SK"/>
              </w:rPr>
              <w:t>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104</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w:t>
            </w:r>
            <w:r w:rsidRPr="00D26052">
              <w:rPr>
                <w:rFonts w:ascii="Times New Roman" w:hAnsi="Times New Roman" w:cs="Times New Roman"/>
                <w:color w:val="000000"/>
                <w:sz w:val="14"/>
                <w:szCs w:val="14"/>
                <w:lang w:eastAsia="sk-SK"/>
              </w:rPr>
              <w:t xml:space="preserve"> 7</w:t>
            </w:r>
            <w:r>
              <w:rPr>
                <w:rFonts w:ascii="Times New Roman" w:hAnsi="Times New Roman" w:cs="Times New Roman"/>
                <w:color w:val="000000"/>
                <w:sz w:val="14"/>
                <w:szCs w:val="14"/>
                <w:lang w:eastAsia="sk-SK"/>
              </w:rPr>
              <w:t>55</w:t>
            </w:r>
            <w:r w:rsidRPr="00D26052">
              <w:rPr>
                <w:rFonts w:ascii="Times New Roman" w:hAnsi="Times New Roman" w:cs="Times New Roman"/>
                <w:color w:val="000000"/>
                <w:sz w:val="14"/>
                <w:szCs w:val="14"/>
                <w:lang w:eastAsia="sk-SK"/>
              </w:rPr>
              <w:t xml:space="preserve"> 85</w:t>
            </w:r>
            <w:r>
              <w:rPr>
                <w:rFonts w:ascii="Times New Roman" w:hAnsi="Times New Roman" w:cs="Times New Roman"/>
                <w:color w:val="000000"/>
                <w:sz w:val="14"/>
                <w:szCs w:val="14"/>
                <w:lang w:eastAsia="sk-SK"/>
              </w:rPr>
              <w:t>0</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6 500 000</w:t>
            </w:r>
          </w:p>
        </w:tc>
        <w:tc>
          <w:tcPr>
            <w:tcW w:w="469"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4 755 850</w:t>
            </w:r>
          </w:p>
        </w:tc>
        <w:tc>
          <w:tcPr>
            <w:tcW w:w="470"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4 755 850</w:t>
            </w:r>
          </w:p>
        </w:tc>
        <w:tc>
          <w:tcPr>
            <w:tcW w:w="465"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 8</w:t>
            </w:r>
            <w:r w:rsidRPr="00D26052">
              <w:rPr>
                <w:rFonts w:ascii="Times New Roman" w:hAnsi="Times New Roman" w:cs="Times New Roman"/>
                <w:color w:val="000000"/>
                <w:sz w:val="14"/>
                <w:szCs w:val="14"/>
                <w:lang w:eastAsia="sk-SK"/>
              </w:rPr>
              <w:t>55</w:t>
            </w:r>
            <w:r>
              <w:rPr>
                <w:rFonts w:ascii="Times New Roman" w:hAnsi="Times New Roman" w:cs="Times New Roman"/>
                <w:color w:val="000000"/>
                <w:sz w:val="14"/>
                <w:szCs w:val="14"/>
                <w:lang w:eastAsia="sk-SK"/>
              </w:rPr>
              <w:t xml:space="preserve"> 9</w:t>
            </w:r>
            <w:r w:rsidRPr="00D26052">
              <w:rPr>
                <w:rFonts w:ascii="Times New Roman" w:hAnsi="Times New Roman" w:cs="Times New Roman"/>
                <w:color w:val="000000"/>
                <w:sz w:val="14"/>
                <w:szCs w:val="14"/>
                <w:lang w:eastAsia="sk-SK"/>
              </w:rPr>
              <w:t>50</w:t>
            </w:r>
          </w:p>
        </w:tc>
      </w:tr>
    </w:tbl>
    <w:p w:rsidR="007D13F3" w:rsidRPr="00F5748F"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Arial Narrow" w:hAnsi="Arial Narrow" w:cs="Times New Roman"/>
          <w:sz w:val="22"/>
          <w:szCs w:val="22"/>
          <w:lang w:eastAsia="sk-SK"/>
        </w:rPr>
        <w:tab/>
      </w:r>
      <w:r w:rsidRPr="00D26052">
        <w:rPr>
          <w:rFonts w:ascii="Times New Roman" w:hAnsi="Times New Roman" w:cs="Times New Roman"/>
          <w:lang w:eastAsia="sk-SK"/>
        </w:rPr>
        <w:t>Celková podpora rodiny predstavuje výdavky v sume 7</w:t>
      </w:r>
      <w:r>
        <w:rPr>
          <w:rFonts w:ascii="Times New Roman" w:hAnsi="Times New Roman" w:cs="Times New Roman"/>
          <w:lang w:eastAsia="sk-SK"/>
        </w:rPr>
        <w:t>41</w:t>
      </w:r>
      <w:r w:rsidRPr="00D26052">
        <w:rPr>
          <w:rFonts w:ascii="Times New Roman" w:hAnsi="Times New Roman" w:cs="Times New Roman"/>
          <w:lang w:eastAsia="sk-SK"/>
        </w:rPr>
        <w:t xml:space="preserve"> mil. eur. Prevažnú časť výdavkov na podporu rodiny predstavuje prídavok na dieťa a rodičovský príspevok.</w:t>
      </w: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t>Na prídavok na dieťa sa v roku 201</w:t>
      </w:r>
      <w:r>
        <w:rPr>
          <w:rFonts w:ascii="Times New Roman" w:hAnsi="Times New Roman" w:cs="Times New Roman"/>
          <w:lang w:eastAsia="sk-SK"/>
        </w:rPr>
        <w:t>8</w:t>
      </w:r>
      <w:r w:rsidRPr="00D26052">
        <w:rPr>
          <w:rFonts w:ascii="Times New Roman" w:hAnsi="Times New Roman" w:cs="Times New Roman"/>
          <w:lang w:eastAsia="sk-SK"/>
        </w:rPr>
        <w:t xml:space="preserve"> rozpočtuje 315 mil. eur, čo oproti schválenému rozpočtu roku 201</w:t>
      </w:r>
      <w:r>
        <w:rPr>
          <w:rFonts w:ascii="Times New Roman" w:hAnsi="Times New Roman" w:cs="Times New Roman"/>
          <w:lang w:eastAsia="sk-SK"/>
        </w:rPr>
        <w:t>7</w:t>
      </w:r>
      <w:r w:rsidRPr="00D26052">
        <w:rPr>
          <w:rFonts w:ascii="Times New Roman" w:hAnsi="Times New Roman" w:cs="Times New Roman"/>
          <w:lang w:eastAsia="sk-SK"/>
        </w:rPr>
        <w:t xml:space="preserve"> predstavuje </w:t>
      </w:r>
      <w:r>
        <w:rPr>
          <w:rFonts w:ascii="Times New Roman" w:hAnsi="Times New Roman" w:cs="Times New Roman"/>
          <w:lang w:eastAsia="sk-SK"/>
        </w:rPr>
        <w:t>pokles</w:t>
      </w:r>
      <w:r w:rsidRPr="00D26052">
        <w:rPr>
          <w:rFonts w:ascii="Times New Roman" w:hAnsi="Times New Roman" w:cs="Times New Roman"/>
          <w:lang w:eastAsia="sk-SK"/>
        </w:rPr>
        <w:t xml:space="preserve"> o</w:t>
      </w:r>
      <w:r>
        <w:rPr>
          <w:rFonts w:ascii="Times New Roman" w:hAnsi="Times New Roman" w:cs="Times New Roman"/>
          <w:lang w:eastAsia="sk-SK"/>
        </w:rPr>
        <w:t> 75,4</w:t>
      </w:r>
      <w:r w:rsidRPr="00D26052">
        <w:rPr>
          <w:rFonts w:ascii="Times New Roman" w:hAnsi="Times New Roman" w:cs="Times New Roman"/>
          <w:lang w:eastAsia="sk-SK"/>
        </w:rPr>
        <w:t xml:space="preserve"> </w:t>
      </w:r>
      <w:r>
        <w:rPr>
          <w:rFonts w:ascii="Times New Roman" w:hAnsi="Times New Roman" w:cs="Times New Roman"/>
          <w:lang w:eastAsia="sk-SK"/>
        </w:rPr>
        <w:t>tis</w:t>
      </w:r>
      <w:r w:rsidRPr="00D26052">
        <w:rPr>
          <w:rFonts w:ascii="Times New Roman" w:hAnsi="Times New Roman" w:cs="Times New Roman"/>
          <w:lang w:eastAsia="sk-SK"/>
        </w:rPr>
        <w:t xml:space="preserve">. eur. Dôvodom je </w:t>
      </w:r>
      <w:r>
        <w:rPr>
          <w:rFonts w:ascii="Times New Roman" w:hAnsi="Times New Roman" w:cs="Times New Roman"/>
          <w:lang w:eastAsia="sk-SK"/>
        </w:rPr>
        <w:t>pokles</w:t>
      </w:r>
      <w:r w:rsidRPr="00D26052">
        <w:rPr>
          <w:rFonts w:ascii="Times New Roman" w:hAnsi="Times New Roman" w:cs="Times New Roman"/>
          <w:lang w:eastAsia="sk-SK"/>
        </w:rPr>
        <w:t xml:space="preserve"> predpokladaného počtu nezaopatrených detí v roku 201</w:t>
      </w:r>
      <w:r>
        <w:rPr>
          <w:rFonts w:ascii="Times New Roman" w:hAnsi="Times New Roman" w:cs="Times New Roman"/>
          <w:lang w:eastAsia="sk-SK"/>
        </w:rPr>
        <w:t>8</w:t>
      </w:r>
      <w:r w:rsidRPr="00D26052">
        <w:rPr>
          <w:rFonts w:ascii="Times New Roman" w:hAnsi="Times New Roman" w:cs="Times New Roman"/>
          <w:lang w:eastAsia="sk-SK"/>
        </w:rPr>
        <w:t xml:space="preserve"> oproti predpokladanému počtu v roku 201</w:t>
      </w:r>
      <w:r>
        <w:rPr>
          <w:rFonts w:ascii="Times New Roman" w:hAnsi="Times New Roman" w:cs="Times New Roman"/>
          <w:lang w:eastAsia="sk-SK"/>
        </w:rPr>
        <w:t>7</w:t>
      </w:r>
      <w:r w:rsidRPr="00D26052">
        <w:rPr>
          <w:rFonts w:ascii="Times New Roman" w:hAnsi="Times New Roman" w:cs="Times New Roman"/>
          <w:lang w:eastAsia="sk-SK"/>
        </w:rPr>
        <w:t>.</w:t>
      </w: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7D13F3"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t>Na rodičovský príspevok sa v roku 201</w:t>
      </w:r>
      <w:r>
        <w:rPr>
          <w:rFonts w:ascii="Times New Roman" w:hAnsi="Times New Roman" w:cs="Times New Roman"/>
          <w:lang w:eastAsia="sk-SK"/>
        </w:rPr>
        <w:t>8</w:t>
      </w:r>
      <w:r w:rsidRPr="00D26052">
        <w:rPr>
          <w:rFonts w:ascii="Times New Roman" w:hAnsi="Times New Roman" w:cs="Times New Roman"/>
          <w:lang w:eastAsia="sk-SK"/>
        </w:rPr>
        <w:t xml:space="preserve"> rozpočtuje 3</w:t>
      </w:r>
      <w:r>
        <w:rPr>
          <w:rFonts w:ascii="Times New Roman" w:hAnsi="Times New Roman" w:cs="Times New Roman"/>
          <w:lang w:eastAsia="sk-SK"/>
        </w:rPr>
        <w:t>73</w:t>
      </w:r>
      <w:r w:rsidRPr="00D26052">
        <w:rPr>
          <w:rFonts w:ascii="Times New Roman" w:hAnsi="Times New Roman" w:cs="Times New Roman"/>
          <w:lang w:eastAsia="sk-SK"/>
        </w:rPr>
        <w:t xml:space="preserve"> mil. eur, čo oproti schválenému rozpočtu roku 201</w:t>
      </w:r>
      <w:r>
        <w:rPr>
          <w:rFonts w:ascii="Times New Roman" w:hAnsi="Times New Roman" w:cs="Times New Roman"/>
          <w:lang w:eastAsia="sk-SK"/>
        </w:rPr>
        <w:t>7</w:t>
      </w:r>
      <w:r w:rsidRPr="00D26052">
        <w:rPr>
          <w:rFonts w:ascii="Times New Roman" w:hAnsi="Times New Roman" w:cs="Times New Roman"/>
          <w:lang w:eastAsia="sk-SK"/>
        </w:rPr>
        <w:t xml:space="preserve"> predstavuje nárast o</w:t>
      </w:r>
      <w:r>
        <w:rPr>
          <w:rFonts w:ascii="Times New Roman" w:hAnsi="Times New Roman" w:cs="Times New Roman"/>
          <w:lang w:eastAsia="sk-SK"/>
        </w:rPr>
        <w:t> 9,13</w:t>
      </w:r>
      <w:r w:rsidRPr="00D26052">
        <w:rPr>
          <w:rFonts w:ascii="Times New Roman" w:hAnsi="Times New Roman" w:cs="Times New Roman"/>
          <w:lang w:eastAsia="sk-SK"/>
        </w:rPr>
        <w:t xml:space="preserve"> mil. eur. </w:t>
      </w: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t>V rozpočtovanej sume sa uvažuje s doplatkami, ktorých výška predstavuje sumár rozdielov medzi stanovenou sumou rodičovského príplatku a sumou materského alebo obdobnej dávky ako materské, ktoré sa oprávnenej osobe vyplácajú v členskom štáte.</w:t>
      </w: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7D13F3" w:rsidRDefault="007D13F3" w:rsidP="007D13F3">
      <w:pPr>
        <w:jc w:val="both"/>
        <w:rPr>
          <w:rFonts w:ascii="Times New Roman" w:hAnsi="Times New Roman" w:cs="Times New Roman"/>
          <w:lang w:eastAsia="sk-SK"/>
        </w:rPr>
      </w:pPr>
      <w:r w:rsidRPr="00D26052">
        <w:rPr>
          <w:rFonts w:ascii="Times New Roman" w:hAnsi="Times New Roman" w:cs="Times New Roman"/>
          <w:lang w:eastAsia="sk-SK"/>
        </w:rPr>
        <w:tab/>
        <w:t>Poistné platené štátom rozpočtované na rok 201</w:t>
      </w:r>
      <w:r>
        <w:rPr>
          <w:rFonts w:ascii="Times New Roman" w:hAnsi="Times New Roman" w:cs="Times New Roman"/>
          <w:lang w:eastAsia="sk-SK"/>
        </w:rPr>
        <w:t>8</w:t>
      </w:r>
      <w:r w:rsidRPr="00D26052">
        <w:rPr>
          <w:rFonts w:ascii="Times New Roman" w:hAnsi="Times New Roman" w:cs="Times New Roman"/>
          <w:lang w:eastAsia="sk-SK"/>
        </w:rPr>
        <w:t xml:space="preserve"> v sume </w:t>
      </w:r>
      <w:r>
        <w:rPr>
          <w:rFonts w:ascii="Times New Roman" w:hAnsi="Times New Roman" w:cs="Times New Roman"/>
          <w:lang w:eastAsia="sk-SK"/>
        </w:rPr>
        <w:t>304</w:t>
      </w:r>
      <w:r w:rsidRPr="00D26052">
        <w:rPr>
          <w:rFonts w:ascii="Times New Roman" w:hAnsi="Times New Roman" w:cs="Times New Roman"/>
          <w:lang w:eastAsia="sk-SK"/>
        </w:rPr>
        <w:t xml:space="preserve"> mil. eur v porovnaní so schváleným rozpočtom roku 201</w:t>
      </w:r>
      <w:r>
        <w:rPr>
          <w:rFonts w:ascii="Times New Roman" w:hAnsi="Times New Roman" w:cs="Times New Roman"/>
          <w:lang w:eastAsia="sk-SK"/>
        </w:rPr>
        <w:t>7</w:t>
      </w:r>
      <w:r w:rsidRPr="00D26052">
        <w:rPr>
          <w:rFonts w:ascii="Times New Roman" w:hAnsi="Times New Roman" w:cs="Times New Roman"/>
          <w:lang w:eastAsia="sk-SK"/>
        </w:rPr>
        <w:t xml:space="preserve"> </w:t>
      </w:r>
      <w:r>
        <w:rPr>
          <w:rFonts w:ascii="Times New Roman" w:hAnsi="Times New Roman" w:cs="Times New Roman"/>
          <w:lang w:eastAsia="sk-SK"/>
        </w:rPr>
        <w:t>rastie</w:t>
      </w:r>
      <w:r w:rsidRPr="00D26052">
        <w:rPr>
          <w:rFonts w:ascii="Times New Roman" w:hAnsi="Times New Roman" w:cs="Times New Roman"/>
          <w:lang w:eastAsia="sk-SK"/>
        </w:rPr>
        <w:t xml:space="preserve"> </w:t>
      </w:r>
      <w:r w:rsidRPr="00C74335">
        <w:rPr>
          <w:rFonts w:ascii="Times New Roman" w:hAnsi="Times New Roman" w:cs="Times New Roman"/>
          <w:lang w:eastAsia="sk-SK"/>
        </w:rPr>
        <w:t>o 79,5 mil. eur, t.</w:t>
      </w:r>
      <w:r w:rsidR="00F30F1A">
        <w:rPr>
          <w:rFonts w:ascii="Times New Roman" w:hAnsi="Times New Roman" w:cs="Times New Roman"/>
          <w:lang w:eastAsia="sk-SK"/>
        </w:rPr>
        <w:t xml:space="preserve"> </w:t>
      </w:r>
      <w:r w:rsidRPr="00C74335">
        <w:rPr>
          <w:rFonts w:ascii="Times New Roman" w:hAnsi="Times New Roman" w:cs="Times New Roman"/>
          <w:lang w:eastAsia="sk-SK"/>
        </w:rPr>
        <w:t>j. o 35,3 %. Nárast je spôsobený najmä novelou zákona o sociálnom poistení, na základe ktorej aj ďalším skupinám poistencov štátu, konkrétne osobám poberajúci</w:t>
      </w:r>
      <w:r w:rsidR="00F30F1A">
        <w:rPr>
          <w:rFonts w:ascii="Times New Roman" w:hAnsi="Times New Roman" w:cs="Times New Roman"/>
          <w:lang w:eastAsia="sk-SK"/>
        </w:rPr>
        <w:t>m</w:t>
      </w:r>
      <w:r w:rsidRPr="00C74335">
        <w:rPr>
          <w:rFonts w:ascii="Times New Roman" w:hAnsi="Times New Roman" w:cs="Times New Roman"/>
          <w:lang w:eastAsia="sk-SK"/>
        </w:rPr>
        <w:t xml:space="preserve"> rodičovský príspevok, osobám poberajúci</w:t>
      </w:r>
      <w:r w:rsidR="00F30F1A">
        <w:rPr>
          <w:rFonts w:ascii="Times New Roman" w:hAnsi="Times New Roman" w:cs="Times New Roman"/>
          <w:lang w:eastAsia="sk-SK"/>
        </w:rPr>
        <w:t>m</w:t>
      </w:r>
      <w:r w:rsidRPr="00C74335">
        <w:rPr>
          <w:rFonts w:ascii="Times New Roman" w:hAnsi="Times New Roman" w:cs="Times New Roman"/>
          <w:lang w:eastAsia="sk-SK"/>
        </w:rPr>
        <w:t xml:space="preserve"> peňažný príspevok na opatrovanie a osobám vykonávajúcim osobnú asistenciu vznikne povinné dôchodkové poistenie automaticky (ak spĺňa zákonom ustanovené podmienky), nárast výdavkov na poistné platené štátom z tohto titulu predstavuje sumu 55,9 mil. eur. </w:t>
      </w: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Pr>
          <w:rFonts w:ascii="Times New Roman" w:hAnsi="Times New Roman" w:cs="Times New Roman"/>
          <w:lang w:eastAsia="sk-SK"/>
        </w:rPr>
        <w:tab/>
      </w:r>
    </w:p>
    <w:p w:rsidR="007D13F3" w:rsidRDefault="007D13F3" w:rsidP="007D13F3">
      <w:pPr>
        <w:jc w:val="both"/>
        <w:rPr>
          <w:rFonts w:ascii="Times New Roman" w:hAnsi="Times New Roman" w:cs="Times New Roman"/>
          <w:b/>
          <w:lang w:eastAsia="sk-SK"/>
        </w:rPr>
      </w:pPr>
      <w:r w:rsidRPr="009A3925">
        <w:rPr>
          <w:rFonts w:ascii="Times New Roman" w:hAnsi="Times New Roman" w:cs="Times New Roman"/>
          <w:b/>
          <w:lang w:eastAsia="sk-SK"/>
        </w:rPr>
        <w:t>Podpora osôb s ťažkým zdravotným postihnutím</w:t>
      </w:r>
    </w:p>
    <w:p w:rsidR="007D13F3" w:rsidRDefault="007D13F3" w:rsidP="007D13F3">
      <w:pPr>
        <w:jc w:val="both"/>
        <w:rPr>
          <w:rFonts w:ascii="Times New Roman" w:hAnsi="Times New Roman" w:cs="Times New Roman"/>
          <w:b/>
          <w:lang w:eastAsia="sk-SK"/>
        </w:rPr>
      </w:pPr>
    </w:p>
    <w:p w:rsidR="007D13F3" w:rsidRDefault="007D13F3" w:rsidP="007D13F3">
      <w:pPr>
        <w:spacing w:after="160"/>
        <w:ind w:firstLine="708"/>
        <w:jc w:val="both"/>
        <w:rPr>
          <w:rFonts w:ascii="Times New Roman" w:hAnsi="Times New Roman" w:cs="Times New Roman"/>
          <w:lang w:eastAsia="sk-SK"/>
        </w:rPr>
      </w:pPr>
      <w:r w:rsidRPr="00C74335">
        <w:rPr>
          <w:rFonts w:ascii="Times New Roman" w:hAnsi="Times New Roman" w:cs="Times New Roman"/>
          <w:lang w:eastAsia="sk-SK"/>
        </w:rPr>
        <w:t xml:space="preserve">Slovensko dosahuje dobré výsledky v oblasti ochrany osôb s ťažkým zdravotným postihnutím pred chudobou. Na druhej strane je miera zamestnanosti tejto skupiny obyvateľstva oproti priemeru Európskej únie nižšia o viac ako 15 </w:t>
      </w:r>
      <w:proofErr w:type="spellStart"/>
      <w:r w:rsidRPr="00C74335">
        <w:rPr>
          <w:rFonts w:ascii="Times New Roman" w:hAnsi="Times New Roman" w:cs="Times New Roman"/>
          <w:lang w:eastAsia="sk-SK"/>
        </w:rPr>
        <w:t>p.b</w:t>
      </w:r>
      <w:proofErr w:type="spellEnd"/>
      <w:r w:rsidRPr="00C74335">
        <w:rPr>
          <w:rFonts w:ascii="Times New Roman" w:hAnsi="Times New Roman" w:cs="Times New Roman"/>
          <w:lang w:eastAsia="sk-SK"/>
        </w:rPr>
        <w:t>. Lepšie</w:t>
      </w:r>
      <w:r w:rsidRPr="009A3925">
        <w:rPr>
          <w:rFonts w:ascii="Times New Roman" w:hAnsi="Times New Roman" w:cs="Times New Roman"/>
          <w:lang w:eastAsia="sk-SK"/>
        </w:rPr>
        <w:t xml:space="preserve"> výsledky v oblasti prevencie pred chudobou je potrebné dosahovať aj v miere zamestnanosti osôb s ťažkým zdravotným postihnutím pomocou aktívnych opatrení trhu práce. </w:t>
      </w:r>
    </w:p>
    <w:p w:rsidR="007D13F3" w:rsidRPr="00C816E1" w:rsidRDefault="007D13F3" w:rsidP="007D13F3">
      <w:pPr>
        <w:rPr>
          <w:lang w:eastAsia="sk-SK"/>
        </w:rPr>
      </w:pPr>
      <w:r>
        <w:rPr>
          <w:lang w:eastAsia="sk-SK"/>
        </w:rPr>
        <w:br w:type="page"/>
      </w:r>
    </w:p>
    <w:tbl>
      <w:tblPr>
        <w:tblpPr w:leftFromText="141" w:rightFromText="141" w:vertAnchor="text" w:horzAnchor="margin" w:tblpXSpec="center" w:tblpY="1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322"/>
        <w:gridCol w:w="178"/>
        <w:gridCol w:w="4572"/>
      </w:tblGrid>
      <w:tr w:rsidR="007D13F3" w:rsidRPr="00191349" w:rsidTr="00465CAC">
        <w:trPr>
          <w:trHeight w:val="284"/>
        </w:trPr>
        <w:tc>
          <w:tcPr>
            <w:tcW w:w="2382" w:type="pct"/>
            <w:tcBorders>
              <w:top w:val="nil"/>
              <w:left w:val="nil"/>
              <w:bottom w:val="single" w:sz="4" w:space="0" w:color="auto"/>
              <w:right w:val="nil"/>
            </w:tcBorders>
            <w:shd w:val="clear" w:color="auto" w:fill="auto"/>
            <w:vAlign w:val="center"/>
          </w:tcPr>
          <w:p w:rsidR="007D13F3" w:rsidRPr="00A6654F" w:rsidRDefault="007D13F3" w:rsidP="00465CAC">
            <w:pPr>
              <w:rPr>
                <w:rFonts w:ascii="Times New Roman" w:eastAsia="Calibri" w:hAnsi="Times New Roman" w:cs="Times New Roman"/>
                <w:b/>
                <w:sz w:val="20"/>
                <w:szCs w:val="20"/>
              </w:rPr>
            </w:pPr>
            <w:bookmarkStart w:id="65" w:name="_Ref480818195"/>
            <w:bookmarkStart w:id="66" w:name="_Ref480818190"/>
            <w:bookmarkStart w:id="67" w:name="_Toc488075743"/>
            <w:r w:rsidRPr="00A6654F">
              <w:rPr>
                <w:rFonts w:ascii="Times New Roman" w:eastAsia="Calibri" w:hAnsi="Times New Roman" w:cs="Times New Roman"/>
                <w:b/>
                <w:sz w:val="20"/>
                <w:szCs w:val="20"/>
              </w:rPr>
              <w:lastRenderedPageBreak/>
              <w:t>Gra</w:t>
            </w:r>
            <w:bookmarkEnd w:id="65"/>
            <w:r>
              <w:rPr>
                <w:rFonts w:ascii="Times New Roman" w:eastAsia="Calibri" w:hAnsi="Times New Roman" w:cs="Times New Roman"/>
                <w:b/>
                <w:sz w:val="20"/>
                <w:szCs w:val="20"/>
              </w:rPr>
              <w:t>f</w:t>
            </w:r>
            <w:r w:rsidRPr="00A6654F">
              <w:rPr>
                <w:rFonts w:ascii="Times New Roman" w:eastAsia="Calibri" w:hAnsi="Times New Roman" w:cs="Times New Roman"/>
                <w:b/>
                <w:sz w:val="20"/>
                <w:szCs w:val="20"/>
              </w:rPr>
              <w:t xml:space="preserve">: </w:t>
            </w:r>
            <w:bookmarkEnd w:id="66"/>
            <w:bookmarkEnd w:id="67"/>
            <w:r w:rsidRPr="00A6654F">
              <w:rPr>
                <w:rFonts w:ascii="Times New Roman" w:eastAsia="Calibri" w:hAnsi="Times New Roman" w:cs="Times New Roman"/>
                <w:b/>
                <w:sz w:val="20"/>
                <w:szCs w:val="20"/>
              </w:rPr>
              <w:t xml:space="preserve"> Výdavky na kompenzáciu ŤZP v roku 2016 (v mil. eur)</w:t>
            </w:r>
          </w:p>
        </w:tc>
        <w:tc>
          <w:tcPr>
            <w:tcW w:w="98" w:type="pct"/>
            <w:tcBorders>
              <w:top w:val="nil"/>
              <w:left w:val="nil"/>
              <w:bottom w:val="nil"/>
              <w:right w:val="nil"/>
            </w:tcBorders>
            <w:shd w:val="clear" w:color="auto" w:fill="auto"/>
            <w:vAlign w:val="center"/>
          </w:tcPr>
          <w:p w:rsidR="007D13F3" w:rsidRPr="00191349" w:rsidRDefault="007D13F3" w:rsidP="00465CAC">
            <w:pPr>
              <w:jc w:val="both"/>
              <w:rPr>
                <w:rFonts w:eastAsia="Calibri" w:cs="Arial"/>
                <w:sz w:val="20"/>
                <w:szCs w:val="18"/>
              </w:rPr>
            </w:pPr>
          </w:p>
        </w:tc>
        <w:tc>
          <w:tcPr>
            <w:tcW w:w="2520" w:type="pct"/>
            <w:tcBorders>
              <w:top w:val="nil"/>
              <w:left w:val="nil"/>
              <w:bottom w:val="single" w:sz="4" w:space="0" w:color="auto"/>
              <w:right w:val="nil"/>
            </w:tcBorders>
            <w:shd w:val="clear" w:color="auto" w:fill="auto"/>
            <w:vAlign w:val="center"/>
          </w:tcPr>
          <w:p w:rsidR="007D13F3" w:rsidRPr="00A6654F" w:rsidRDefault="007D13F3" w:rsidP="00465CAC">
            <w:pPr>
              <w:rPr>
                <w:rFonts w:ascii="Times New Roman" w:eastAsia="Calibri" w:hAnsi="Times New Roman" w:cs="Times New Roman"/>
                <w:b/>
                <w:sz w:val="20"/>
                <w:szCs w:val="20"/>
              </w:rPr>
            </w:pPr>
            <w:bookmarkStart w:id="68" w:name="_Toc488075744"/>
            <w:r>
              <w:rPr>
                <w:rFonts w:ascii="Times New Roman" w:eastAsia="Calibri" w:hAnsi="Times New Roman" w:cs="Times New Roman"/>
                <w:b/>
                <w:sz w:val="20"/>
                <w:szCs w:val="20"/>
              </w:rPr>
              <w:t>Graf</w:t>
            </w:r>
            <w:r w:rsidRPr="00A6654F">
              <w:rPr>
                <w:rFonts w:ascii="Times New Roman" w:eastAsia="Calibri" w:hAnsi="Times New Roman" w:cs="Times New Roman"/>
                <w:b/>
                <w:sz w:val="20"/>
                <w:szCs w:val="20"/>
              </w:rPr>
              <w:t xml:space="preserve">: </w:t>
            </w:r>
            <w:bookmarkEnd w:id="68"/>
            <w:r w:rsidRPr="00A6654F">
              <w:rPr>
                <w:rFonts w:ascii="Times New Roman" w:eastAsia="Calibri" w:hAnsi="Times New Roman" w:cs="Times New Roman"/>
                <w:szCs w:val="20"/>
              </w:rPr>
              <w:t xml:space="preserve"> </w:t>
            </w:r>
            <w:r w:rsidRPr="00A6654F">
              <w:rPr>
                <w:rFonts w:ascii="Times New Roman" w:eastAsia="Calibri" w:hAnsi="Times New Roman" w:cs="Times New Roman"/>
                <w:b/>
                <w:sz w:val="20"/>
                <w:szCs w:val="20"/>
              </w:rPr>
              <w:t xml:space="preserve">Miera zamestnanosti (%, 2011) </w:t>
            </w:r>
          </w:p>
        </w:tc>
      </w:tr>
      <w:tr w:rsidR="007D13F3" w:rsidRPr="00191349" w:rsidTr="00465CAC">
        <w:trPr>
          <w:trHeight w:val="284"/>
        </w:trPr>
        <w:tc>
          <w:tcPr>
            <w:tcW w:w="2382" w:type="pct"/>
            <w:tcBorders>
              <w:top w:val="single" w:sz="4" w:space="0" w:color="auto"/>
              <w:left w:val="nil"/>
              <w:bottom w:val="single" w:sz="4" w:space="0" w:color="auto"/>
              <w:right w:val="nil"/>
            </w:tcBorders>
            <w:vAlign w:val="center"/>
          </w:tcPr>
          <w:p w:rsidR="007D13F3" w:rsidRPr="00191349" w:rsidRDefault="007D13F3" w:rsidP="00465CAC">
            <w:pPr>
              <w:spacing w:before="40" w:after="40"/>
              <w:jc w:val="center"/>
              <w:rPr>
                <w:rFonts w:eastAsia="Calibri" w:cs="Arial"/>
                <w:b/>
                <w:sz w:val="20"/>
                <w:szCs w:val="20"/>
              </w:rPr>
            </w:pPr>
            <w:r w:rsidRPr="00191349">
              <w:rPr>
                <w:rFonts w:eastAsia="Calibri" w:cs="Times New Roman"/>
                <w:noProof/>
                <w:szCs w:val="20"/>
                <w:lang w:eastAsia="sk-SK"/>
              </w:rPr>
              <w:drawing>
                <wp:inline distT="0" distB="0" distL="0" distR="0" wp14:anchorId="648B3919" wp14:editId="4C1A63A6">
                  <wp:extent cx="2676525" cy="1944806"/>
                  <wp:effectExtent l="0" t="0" r="9525" b="1778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98" w:type="pct"/>
            <w:tcBorders>
              <w:top w:val="nil"/>
              <w:left w:val="nil"/>
              <w:bottom w:val="nil"/>
              <w:right w:val="nil"/>
            </w:tcBorders>
            <w:vAlign w:val="center"/>
          </w:tcPr>
          <w:p w:rsidR="007D13F3" w:rsidRPr="00191349" w:rsidRDefault="007D13F3" w:rsidP="00465CAC">
            <w:pPr>
              <w:spacing w:before="40" w:after="40"/>
              <w:jc w:val="center"/>
              <w:rPr>
                <w:rFonts w:eastAsia="Calibri" w:cs="Arial"/>
                <w:b/>
                <w:sz w:val="20"/>
                <w:szCs w:val="20"/>
              </w:rPr>
            </w:pPr>
          </w:p>
        </w:tc>
        <w:tc>
          <w:tcPr>
            <w:tcW w:w="2520" w:type="pct"/>
            <w:tcBorders>
              <w:top w:val="single" w:sz="4" w:space="0" w:color="auto"/>
              <w:left w:val="nil"/>
              <w:bottom w:val="single" w:sz="4" w:space="0" w:color="auto"/>
              <w:right w:val="nil"/>
            </w:tcBorders>
            <w:vAlign w:val="center"/>
          </w:tcPr>
          <w:p w:rsidR="007D13F3" w:rsidRPr="00A6654F" w:rsidRDefault="007D13F3" w:rsidP="00465CAC">
            <w:pPr>
              <w:spacing w:before="40" w:after="40"/>
              <w:jc w:val="center"/>
              <w:rPr>
                <w:rFonts w:ascii="Times New Roman" w:eastAsia="Calibri" w:hAnsi="Times New Roman" w:cs="Times New Roman"/>
                <w:b/>
                <w:sz w:val="16"/>
                <w:szCs w:val="20"/>
              </w:rPr>
            </w:pPr>
            <w:r w:rsidRPr="00A6654F">
              <w:rPr>
                <w:rFonts w:ascii="Times New Roman" w:eastAsia="Calibri" w:hAnsi="Times New Roman" w:cs="Times New Roman"/>
                <w:noProof/>
                <w:szCs w:val="20"/>
                <w:lang w:eastAsia="sk-SK"/>
              </w:rPr>
              <w:drawing>
                <wp:inline distT="0" distB="0" distL="0" distR="0" wp14:anchorId="2B6DC2E7" wp14:editId="2CDAEB77">
                  <wp:extent cx="2862470" cy="1983740"/>
                  <wp:effectExtent l="0" t="0" r="0" b="0"/>
                  <wp:docPr id="215" name="Graf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7D13F3" w:rsidRPr="00191349" w:rsidTr="00465CAC">
        <w:trPr>
          <w:trHeight w:val="284"/>
        </w:trPr>
        <w:tc>
          <w:tcPr>
            <w:tcW w:w="2382" w:type="pct"/>
            <w:tcBorders>
              <w:top w:val="single" w:sz="4" w:space="0" w:color="auto"/>
              <w:left w:val="nil"/>
              <w:bottom w:val="nil"/>
              <w:right w:val="nil"/>
            </w:tcBorders>
          </w:tcPr>
          <w:p w:rsidR="007D13F3" w:rsidRPr="00A6654F" w:rsidRDefault="007D13F3" w:rsidP="00465CAC">
            <w:pPr>
              <w:spacing w:before="40" w:after="40"/>
              <w:contextualSpacing/>
              <w:jc w:val="right"/>
              <w:rPr>
                <w:rFonts w:ascii="Times New Roman" w:eastAsia="Calibri" w:hAnsi="Times New Roman" w:cs="Times New Roman"/>
                <w:i/>
                <w:sz w:val="18"/>
                <w:szCs w:val="18"/>
              </w:rPr>
            </w:pPr>
            <w:r w:rsidRPr="00A6654F">
              <w:rPr>
                <w:rFonts w:ascii="Times New Roman" w:eastAsia="Calibri" w:hAnsi="Times New Roman" w:cs="Times New Roman"/>
                <w:i/>
                <w:sz w:val="18"/>
                <w:szCs w:val="18"/>
              </w:rPr>
              <w:t>Zdroj: MPSVR SR</w:t>
            </w:r>
          </w:p>
        </w:tc>
        <w:tc>
          <w:tcPr>
            <w:tcW w:w="98" w:type="pct"/>
            <w:tcBorders>
              <w:top w:val="nil"/>
              <w:left w:val="nil"/>
              <w:bottom w:val="nil"/>
              <w:right w:val="nil"/>
            </w:tcBorders>
          </w:tcPr>
          <w:p w:rsidR="007D13F3" w:rsidRPr="00191349" w:rsidRDefault="007D13F3" w:rsidP="00465CAC">
            <w:pPr>
              <w:spacing w:after="160"/>
              <w:contextualSpacing/>
              <w:jc w:val="center"/>
              <w:rPr>
                <w:rFonts w:eastAsia="Calibri" w:cs="Arial"/>
                <w:i/>
                <w:sz w:val="18"/>
                <w:szCs w:val="18"/>
              </w:rPr>
            </w:pPr>
          </w:p>
        </w:tc>
        <w:tc>
          <w:tcPr>
            <w:tcW w:w="2520" w:type="pct"/>
            <w:tcBorders>
              <w:top w:val="single" w:sz="4" w:space="0" w:color="auto"/>
              <w:left w:val="nil"/>
              <w:bottom w:val="nil"/>
              <w:right w:val="nil"/>
            </w:tcBorders>
          </w:tcPr>
          <w:p w:rsidR="007D13F3" w:rsidRPr="00A6654F" w:rsidRDefault="007D13F3" w:rsidP="00465CAC">
            <w:pPr>
              <w:spacing w:before="40" w:after="40"/>
              <w:contextualSpacing/>
              <w:jc w:val="right"/>
              <w:rPr>
                <w:rFonts w:ascii="Times New Roman" w:eastAsia="Calibri" w:hAnsi="Times New Roman" w:cs="Times New Roman"/>
                <w:i/>
                <w:sz w:val="18"/>
                <w:szCs w:val="18"/>
              </w:rPr>
            </w:pPr>
            <w:r w:rsidRPr="00A6654F">
              <w:rPr>
                <w:rFonts w:ascii="Times New Roman" w:eastAsia="Calibri" w:hAnsi="Times New Roman" w:cs="Times New Roman"/>
                <w:i/>
                <w:sz w:val="18"/>
                <w:szCs w:val="18"/>
              </w:rPr>
              <w:t xml:space="preserve">Zdroj: </w:t>
            </w:r>
            <w:proofErr w:type="spellStart"/>
            <w:r w:rsidRPr="00A6654F">
              <w:rPr>
                <w:rFonts w:ascii="Times New Roman" w:eastAsia="Calibri" w:hAnsi="Times New Roman" w:cs="Times New Roman"/>
                <w:i/>
                <w:sz w:val="18"/>
                <w:szCs w:val="18"/>
              </w:rPr>
              <w:t>Eurostat</w:t>
            </w:r>
            <w:proofErr w:type="spellEnd"/>
            <w:r w:rsidRPr="00A6654F">
              <w:rPr>
                <w:rFonts w:ascii="Times New Roman" w:eastAsia="Calibri" w:hAnsi="Times New Roman" w:cs="Times New Roman"/>
                <w:i/>
                <w:sz w:val="18"/>
                <w:szCs w:val="18"/>
              </w:rPr>
              <w:t xml:space="preserve"> - LFS</w:t>
            </w:r>
          </w:p>
        </w:tc>
      </w:tr>
    </w:tbl>
    <w:p w:rsidR="007D13F3" w:rsidRPr="00191349" w:rsidRDefault="007D13F3" w:rsidP="007D13F3">
      <w:pPr>
        <w:jc w:val="both"/>
        <w:rPr>
          <w:rFonts w:eastAsia="Calibri" w:cs="Times New Roman"/>
          <w:b/>
          <w:szCs w:val="20"/>
        </w:rPr>
      </w:pPr>
    </w:p>
    <w:p w:rsidR="007D13F3" w:rsidRPr="00C74335" w:rsidRDefault="007D13F3" w:rsidP="007D13F3">
      <w:pPr>
        <w:ind w:firstLine="708"/>
        <w:jc w:val="both"/>
        <w:rPr>
          <w:rFonts w:ascii="Times New Roman" w:hAnsi="Times New Roman" w:cs="Times New Roman"/>
          <w:lang w:eastAsia="sk-SK"/>
        </w:rPr>
      </w:pPr>
      <w:r w:rsidRPr="00C74335">
        <w:rPr>
          <w:rFonts w:ascii="Times New Roman" w:hAnsi="Times New Roman" w:cs="Times New Roman"/>
          <w:lang w:eastAsia="sk-SK"/>
        </w:rPr>
        <w:t>Najvyššiu hodnotu pre odkázanú osobu prináša čo najdlhší pobyt v prirodzenom domácom prostredí. Najnižšie jednotkové výdavky štátu prináša opatrovanie rodinným príslušníkom. Domáce prostredie pozitívne vplýva na osobu s ťažkým zdravotným postihnutím. Opatrovanie rodinným príslušníkom znižuje budúce šance opatrovateľa na zamestnanie. Náklady na stratu kvalifikácie a následne zníženia uplatnenia na trhu práce sú len ťažko kvantifikovateľné.</w:t>
      </w:r>
    </w:p>
    <w:p w:rsidR="007D13F3" w:rsidRPr="00C74335" w:rsidRDefault="007D13F3" w:rsidP="007D13F3">
      <w:pPr>
        <w:jc w:val="both"/>
        <w:rPr>
          <w:rFonts w:ascii="Times New Roman" w:hAnsi="Times New Roman" w:cs="Times New Roman"/>
          <w:lang w:eastAsia="sk-SK"/>
        </w:rPr>
      </w:pPr>
    </w:p>
    <w:p w:rsidR="007D13F3"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b/>
          <w:lang w:eastAsia="sk-SK"/>
        </w:rPr>
      </w:pPr>
      <w:r w:rsidRPr="00C74335">
        <w:rPr>
          <w:rFonts w:ascii="Times New Roman" w:hAnsi="Times New Roman" w:cs="Times New Roman"/>
          <w:lang w:eastAsia="sk-SK"/>
        </w:rPr>
        <w:tab/>
        <w:t>Rastie počet detí s ŤZP v detských domovoch. MPSVR SR preto pripravuje program na podporu včasnej intervencie.</w:t>
      </w:r>
      <w:r w:rsidRPr="009A3925">
        <w:rPr>
          <w:rFonts w:ascii="Times New Roman" w:hAnsi="Times New Roman" w:cs="Times New Roman"/>
          <w:lang w:eastAsia="sk-SK"/>
        </w:rPr>
        <w:t xml:space="preserve"> Od roku 2010 vzrástol ich počet o takmer 50 %, pričom v roku 2015 ich bolo 815. Včasná intervencia môže zabrániť potrebe umiestnenia dieťaťa s ŤZP do detského domova alebo jeho zaradeniu do špeciálnej školy. Skúsenosti zo zahraničia dokazujú, že včasná intervencia môže zlepšiť integráciu osôb s ťažkým zdravotným postihnutím v neskoršom veku. </w:t>
      </w:r>
    </w:p>
    <w:p w:rsidR="007D13F3"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7D13F3"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Pr>
          <w:rFonts w:ascii="Times New Roman" w:hAnsi="Times New Roman" w:cs="Times New Roman"/>
          <w:lang w:eastAsia="sk-SK"/>
        </w:rPr>
        <w:tab/>
      </w:r>
      <w:r w:rsidRPr="00D26052">
        <w:rPr>
          <w:rFonts w:ascii="Times New Roman" w:hAnsi="Times New Roman" w:cs="Times New Roman"/>
          <w:lang w:eastAsia="sk-SK"/>
        </w:rPr>
        <w:t>Peňažné príspevky na kompenzáciu ťažkého zdravotného postihnutia sú na rok 201</w:t>
      </w:r>
      <w:r>
        <w:rPr>
          <w:rFonts w:ascii="Times New Roman" w:hAnsi="Times New Roman" w:cs="Times New Roman"/>
          <w:lang w:eastAsia="sk-SK"/>
        </w:rPr>
        <w:t>8</w:t>
      </w:r>
      <w:r w:rsidRPr="00D26052">
        <w:rPr>
          <w:rFonts w:ascii="Times New Roman" w:hAnsi="Times New Roman" w:cs="Times New Roman"/>
          <w:lang w:eastAsia="sk-SK"/>
        </w:rPr>
        <w:t xml:space="preserve"> rozpočtované v sume 2</w:t>
      </w:r>
      <w:r>
        <w:rPr>
          <w:rFonts w:ascii="Times New Roman" w:hAnsi="Times New Roman" w:cs="Times New Roman"/>
          <w:lang w:eastAsia="sk-SK"/>
        </w:rPr>
        <w:t>81 mil. eur, čo o</w:t>
      </w:r>
      <w:r w:rsidRPr="00D26052">
        <w:rPr>
          <w:rFonts w:ascii="Times New Roman" w:hAnsi="Times New Roman" w:cs="Times New Roman"/>
          <w:lang w:eastAsia="sk-SK"/>
        </w:rPr>
        <w:t>proti schválenému rozpočtu na rok 201</w:t>
      </w:r>
      <w:r>
        <w:rPr>
          <w:rFonts w:ascii="Times New Roman" w:hAnsi="Times New Roman" w:cs="Times New Roman"/>
          <w:lang w:eastAsia="sk-SK"/>
        </w:rPr>
        <w:t>7 predstavuje nárast o 22,7 mil. eur, t. j. o 8,79 %</w:t>
      </w:r>
      <w:r w:rsidRPr="00C74335">
        <w:rPr>
          <w:rFonts w:ascii="Times New Roman" w:hAnsi="Times New Roman" w:cs="Times New Roman"/>
          <w:color w:val="FF0000"/>
          <w:lang w:eastAsia="sk-SK"/>
        </w:rPr>
        <w:t xml:space="preserve"> </w:t>
      </w:r>
      <w:r>
        <w:rPr>
          <w:rFonts w:ascii="Times New Roman" w:hAnsi="Times New Roman" w:cs="Times New Roman"/>
          <w:lang w:eastAsia="sk-SK"/>
        </w:rPr>
        <w:t>. Nárast súvisí najmä s pripravovaným zvýšením príspevku na opatrovanie.</w:t>
      </w:r>
    </w:p>
    <w:p w:rsidR="007D13F3"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7D13F3" w:rsidRPr="00C629F3"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t xml:space="preserve">Objem výdavkov na nesystémové dávky sociálneho poistenia v sume </w:t>
      </w:r>
      <w:r>
        <w:rPr>
          <w:rFonts w:ascii="Times New Roman" w:hAnsi="Times New Roman" w:cs="Times New Roman"/>
          <w:lang w:eastAsia="sk-SK"/>
        </w:rPr>
        <w:t>78</w:t>
      </w:r>
      <w:r w:rsidRPr="00D26052">
        <w:rPr>
          <w:rFonts w:ascii="Times New Roman" w:hAnsi="Times New Roman" w:cs="Times New Roman"/>
          <w:lang w:eastAsia="sk-SK"/>
        </w:rPr>
        <w:t xml:space="preserve"> mil. eur zohľadňuje ich valorizáciu od 1. januára 201</w:t>
      </w:r>
      <w:r>
        <w:rPr>
          <w:rFonts w:ascii="Times New Roman" w:hAnsi="Times New Roman" w:cs="Times New Roman"/>
          <w:lang w:eastAsia="sk-SK"/>
        </w:rPr>
        <w:t>8</w:t>
      </w:r>
      <w:r w:rsidRPr="00D26052">
        <w:rPr>
          <w:rFonts w:ascii="Times New Roman" w:hAnsi="Times New Roman" w:cs="Times New Roman"/>
          <w:lang w:eastAsia="sk-SK"/>
        </w:rPr>
        <w:t xml:space="preserve"> a vývoj v počte poberateľov.</w:t>
      </w:r>
      <w:r>
        <w:rPr>
          <w:rFonts w:ascii="Times New Roman" w:hAnsi="Times New Roman" w:cs="Times New Roman"/>
          <w:lang w:eastAsia="sk-SK"/>
        </w:rPr>
        <w:t xml:space="preserve"> </w:t>
      </w:r>
      <w:r w:rsidRPr="00C629F3">
        <w:rPr>
          <w:rFonts w:ascii="Times New Roman" w:hAnsi="Times New Roman" w:cs="Times New Roman"/>
          <w:lang w:eastAsia="sk-SK"/>
        </w:rPr>
        <w:t xml:space="preserve">Pokles oproti schválenému rozpočtu na rok 2017 o sumu 3,56 mil. eur </w:t>
      </w:r>
      <w:r w:rsidR="00F30F1A">
        <w:rPr>
          <w:rFonts w:ascii="Times New Roman" w:hAnsi="Times New Roman" w:cs="Times New Roman"/>
          <w:lang w:eastAsia="sk-SK"/>
        </w:rPr>
        <w:t>vyplýva z</w:t>
      </w:r>
      <w:r w:rsidRPr="00C629F3">
        <w:rPr>
          <w:rFonts w:ascii="Times New Roman" w:hAnsi="Times New Roman" w:cs="Times New Roman"/>
          <w:lang w:eastAsia="sk-SK"/>
        </w:rPr>
        <w:t xml:space="preserve"> nižších predpokladaných výdavkov na minimálny dôchodok z dôvodu zavedenia minimálnej valorizácie dôchodkových dávok.</w:t>
      </w: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r>
      <w:r>
        <w:rPr>
          <w:rFonts w:ascii="Times New Roman" w:hAnsi="Times New Roman" w:cs="Times New Roman"/>
          <w:lang w:eastAsia="sk-SK"/>
        </w:rPr>
        <w:t>V</w:t>
      </w:r>
      <w:r w:rsidRPr="00D26052">
        <w:rPr>
          <w:rFonts w:ascii="Times New Roman" w:hAnsi="Times New Roman" w:cs="Times New Roman"/>
          <w:lang w:eastAsia="sk-SK"/>
        </w:rPr>
        <w:t> roku 201</w:t>
      </w:r>
      <w:r>
        <w:rPr>
          <w:rFonts w:ascii="Times New Roman" w:hAnsi="Times New Roman" w:cs="Times New Roman"/>
          <w:lang w:eastAsia="sk-SK"/>
        </w:rPr>
        <w:t>8</w:t>
      </w:r>
      <w:r w:rsidRPr="00D26052">
        <w:rPr>
          <w:rFonts w:ascii="Times New Roman" w:hAnsi="Times New Roman" w:cs="Times New Roman"/>
          <w:lang w:eastAsia="sk-SK"/>
        </w:rPr>
        <w:t xml:space="preserve"> sa na zmiernenie nepriaznivej sociálnej situácie poberateľo</w:t>
      </w:r>
      <w:r>
        <w:rPr>
          <w:rFonts w:ascii="Times New Roman" w:hAnsi="Times New Roman" w:cs="Times New Roman"/>
          <w:lang w:eastAsia="sk-SK"/>
        </w:rPr>
        <w:t xml:space="preserve">v dôchodkových dávok rozpočtuje </w:t>
      </w:r>
      <w:r w:rsidRPr="00D26052">
        <w:rPr>
          <w:rFonts w:ascii="Times New Roman" w:hAnsi="Times New Roman" w:cs="Times New Roman"/>
          <w:lang w:eastAsia="sk-SK"/>
        </w:rPr>
        <w:t xml:space="preserve">vianočný príspevok dôchodcom v sume </w:t>
      </w:r>
      <w:r>
        <w:rPr>
          <w:rFonts w:ascii="Times New Roman" w:hAnsi="Times New Roman" w:cs="Times New Roman"/>
          <w:lang w:eastAsia="sk-SK"/>
        </w:rPr>
        <w:t>6</w:t>
      </w:r>
      <w:r w:rsidRPr="00D26052">
        <w:rPr>
          <w:rFonts w:ascii="Times New Roman" w:hAnsi="Times New Roman" w:cs="Times New Roman"/>
          <w:lang w:eastAsia="sk-SK"/>
        </w:rPr>
        <w:t>1,3 mil. eur</w:t>
      </w:r>
      <w:r>
        <w:rPr>
          <w:rFonts w:ascii="Times New Roman" w:hAnsi="Times New Roman" w:cs="Times New Roman"/>
          <w:lang w:eastAsia="sk-SK"/>
        </w:rPr>
        <w:t>.</w:t>
      </w: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t xml:space="preserve">Súčasťou výdavkov sociálnej inklúzie sú aj výdavky na sociálne služby v sume </w:t>
      </w:r>
      <w:r>
        <w:rPr>
          <w:rFonts w:ascii="Times New Roman" w:hAnsi="Times New Roman" w:cs="Times New Roman"/>
          <w:lang w:eastAsia="sk-SK"/>
        </w:rPr>
        <w:br/>
        <w:t>138</w:t>
      </w:r>
      <w:r w:rsidRPr="00D26052">
        <w:rPr>
          <w:rFonts w:ascii="Times New Roman" w:hAnsi="Times New Roman" w:cs="Times New Roman"/>
          <w:lang w:eastAsia="sk-SK"/>
        </w:rPr>
        <w:t xml:space="preserve"> mil. eur.</w:t>
      </w:r>
      <w:r>
        <w:rPr>
          <w:rFonts w:ascii="Times New Roman" w:hAnsi="Times New Roman" w:cs="Times New Roman"/>
          <w:lang w:eastAsia="sk-SK"/>
        </w:rPr>
        <w:t xml:space="preserve"> O</w:t>
      </w:r>
      <w:r w:rsidRPr="0049602D">
        <w:rPr>
          <w:rFonts w:ascii="Times New Roman" w:hAnsi="Times New Roman" w:cs="Times New Roman"/>
          <w:lang w:eastAsia="sk-SK"/>
        </w:rPr>
        <w:t xml:space="preserve">proti schválenému rozpočtu na rok 2017 dochádza k nárastu o sumu </w:t>
      </w:r>
      <w:r w:rsidR="00F30F1A">
        <w:rPr>
          <w:rFonts w:ascii="Times New Roman" w:hAnsi="Times New Roman" w:cs="Times New Roman"/>
          <w:lang w:eastAsia="sk-SK"/>
        </w:rPr>
        <w:br/>
      </w:r>
      <w:r w:rsidRPr="0049602D">
        <w:rPr>
          <w:rFonts w:ascii="Times New Roman" w:hAnsi="Times New Roman" w:cs="Times New Roman"/>
          <w:lang w:eastAsia="sk-SK"/>
        </w:rPr>
        <w:t>49,7 mil. eur z dôvodu zmien v oblasti ich financovania.</w:t>
      </w:r>
    </w:p>
    <w:p w:rsidR="007D13F3" w:rsidRPr="00F5748F"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7D13F3" w:rsidRDefault="007D13F3" w:rsidP="007D13F3">
      <w:pPr>
        <w:spacing w:after="160" w:line="259" w:lineRule="auto"/>
        <w:rPr>
          <w:rFonts w:ascii="Times New Roman" w:hAnsi="Times New Roman" w:cs="Times New Roman"/>
          <w:b/>
          <w:lang w:eastAsia="sk-SK"/>
        </w:rPr>
      </w:pPr>
      <w:r>
        <w:rPr>
          <w:rFonts w:ascii="Times New Roman" w:hAnsi="Times New Roman" w:cs="Times New Roman"/>
          <w:b/>
          <w:lang w:eastAsia="sk-SK"/>
        </w:rPr>
        <w:br w:type="page"/>
      </w:r>
    </w:p>
    <w:p w:rsidR="007D13F3" w:rsidRDefault="007D13F3" w:rsidP="007D13F3">
      <w:pPr>
        <w:tabs>
          <w:tab w:val="left" w:pos="0"/>
          <w:tab w:val="left" w:pos="720"/>
          <w:tab w:val="left" w:pos="1440"/>
          <w:tab w:val="left" w:pos="2160"/>
          <w:tab w:val="left" w:pos="2880"/>
          <w:tab w:val="left" w:pos="3600"/>
          <w:tab w:val="left" w:pos="4320"/>
        </w:tabs>
        <w:adjustRightInd w:val="0"/>
        <w:contextualSpacing/>
        <w:jc w:val="both"/>
        <w:rPr>
          <w:rFonts w:ascii="Times New Roman" w:hAnsi="Times New Roman" w:cs="Times New Roman"/>
          <w:b/>
          <w:lang w:eastAsia="sk-SK"/>
        </w:rPr>
      </w:pPr>
      <w:r w:rsidRPr="00D26052">
        <w:rPr>
          <w:rFonts w:ascii="Times New Roman" w:hAnsi="Times New Roman" w:cs="Times New Roman"/>
          <w:b/>
          <w:lang w:eastAsia="sk-SK"/>
        </w:rPr>
        <w:lastRenderedPageBreak/>
        <w:t xml:space="preserve">Politika zamestnanosti </w:t>
      </w:r>
    </w:p>
    <w:p w:rsidR="007D13F3" w:rsidRDefault="007D13F3" w:rsidP="007D13F3">
      <w:pPr>
        <w:tabs>
          <w:tab w:val="left" w:pos="0"/>
          <w:tab w:val="left" w:pos="720"/>
          <w:tab w:val="left" w:pos="1440"/>
          <w:tab w:val="left" w:pos="2160"/>
          <w:tab w:val="left" w:pos="2880"/>
          <w:tab w:val="left" w:pos="3600"/>
          <w:tab w:val="left" w:pos="4320"/>
        </w:tabs>
        <w:adjustRightInd w:val="0"/>
        <w:contextualSpacing/>
        <w:jc w:val="both"/>
        <w:rPr>
          <w:rFonts w:ascii="Times New Roman" w:hAnsi="Times New Roman" w:cs="Times New Roman"/>
          <w:b/>
          <w:lang w:eastAsia="sk-SK"/>
        </w:rPr>
      </w:pPr>
    </w:p>
    <w:p w:rsidR="007D13F3" w:rsidRDefault="007D13F3" w:rsidP="007D13F3">
      <w:pPr>
        <w:spacing w:after="160"/>
        <w:ind w:firstLine="708"/>
        <w:jc w:val="both"/>
        <w:rPr>
          <w:rFonts w:ascii="Times New Roman" w:hAnsi="Times New Roman" w:cs="Times New Roman"/>
          <w:lang w:eastAsia="sk-SK"/>
        </w:rPr>
      </w:pPr>
      <w:r w:rsidRPr="00920C84">
        <w:rPr>
          <w:rFonts w:ascii="Times New Roman" w:hAnsi="Times New Roman" w:cs="Times New Roman"/>
          <w:lang w:eastAsia="sk-SK"/>
        </w:rPr>
        <w:t>Pretrvávajúca vysoká miera dlhodobej nezamestnanosti patrí medzi najväčšie výzvy slovenskej ekonomiky. Samostatnú</w:t>
      </w:r>
      <w:r w:rsidRPr="00A6654F">
        <w:rPr>
          <w:rFonts w:ascii="Times New Roman" w:hAnsi="Times New Roman" w:cs="Times New Roman"/>
          <w:lang w:eastAsia="sk-SK"/>
        </w:rPr>
        <w:t xml:space="preserve"> pozornosť si vyžaduje zamestnanosť</w:t>
      </w:r>
      <w:r>
        <w:rPr>
          <w:rFonts w:ascii="Times New Roman" w:hAnsi="Times New Roman" w:cs="Times New Roman"/>
          <w:lang w:eastAsia="sk-SK"/>
        </w:rPr>
        <w:t xml:space="preserve"> </w:t>
      </w:r>
      <w:proofErr w:type="spellStart"/>
      <w:r w:rsidRPr="00A6654F">
        <w:rPr>
          <w:rFonts w:ascii="Times New Roman" w:hAnsi="Times New Roman" w:cs="Times New Roman"/>
          <w:lang w:eastAsia="sk-SK"/>
        </w:rPr>
        <w:t>nízkokvalifikovaných</w:t>
      </w:r>
      <w:proofErr w:type="spellEnd"/>
      <w:r w:rsidRPr="00A6654F">
        <w:rPr>
          <w:rFonts w:ascii="Times New Roman" w:hAnsi="Times New Roman" w:cs="Times New Roman"/>
          <w:lang w:eastAsia="sk-SK"/>
        </w:rPr>
        <w:t xml:space="preserve"> osôb, žien, mobilita na pracovnom trhu, nesúlad medzi trhom práce a zručnosťami a v neposlednom rade marginalizované rómske komunity. </w:t>
      </w: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494"/>
        <w:gridCol w:w="222"/>
        <w:gridCol w:w="4356"/>
      </w:tblGrid>
      <w:tr w:rsidR="007D13F3" w:rsidRPr="00191349" w:rsidTr="00F30F1A">
        <w:trPr>
          <w:trHeight w:val="227"/>
          <w:jc w:val="center"/>
        </w:trPr>
        <w:tc>
          <w:tcPr>
            <w:tcW w:w="2477" w:type="pct"/>
            <w:tcBorders>
              <w:top w:val="nil"/>
              <w:left w:val="nil"/>
              <w:bottom w:val="single" w:sz="4" w:space="0" w:color="auto"/>
              <w:right w:val="nil"/>
            </w:tcBorders>
            <w:vAlign w:val="bottom"/>
            <w:hideMark/>
          </w:tcPr>
          <w:p w:rsidR="007D13F3" w:rsidRPr="00A6654F" w:rsidRDefault="007D13F3" w:rsidP="00465CAC">
            <w:pPr>
              <w:rPr>
                <w:rFonts w:ascii="Times New Roman" w:hAnsi="Times New Roman" w:cs="Times New Roman"/>
                <w:b/>
                <w:bCs/>
                <w:sz w:val="20"/>
                <w:szCs w:val="18"/>
                <w:lang w:eastAsia="sk-SK"/>
              </w:rPr>
            </w:pPr>
            <w:bookmarkStart w:id="69" w:name="_Toc480760508"/>
            <w:bookmarkStart w:id="70" w:name="_Toc488075700"/>
            <w:r w:rsidRPr="00A6654F">
              <w:rPr>
                <w:rFonts w:ascii="Times New Roman" w:hAnsi="Times New Roman" w:cs="Times New Roman"/>
                <w:b/>
                <w:bCs/>
                <w:sz w:val="20"/>
                <w:szCs w:val="18"/>
                <w:lang w:eastAsia="sk-SK"/>
              </w:rPr>
              <w:t>Graf:</w:t>
            </w:r>
            <w:r w:rsidRPr="00A6654F">
              <w:rPr>
                <w:rFonts w:ascii="Times New Roman" w:eastAsia="Arial Narrow" w:hAnsi="Times New Roman" w:cs="Times New Roman"/>
                <w:b/>
                <w:bCs/>
                <w:sz w:val="20"/>
                <w:szCs w:val="36"/>
              </w:rPr>
              <w:t xml:space="preserve"> </w:t>
            </w:r>
            <w:bookmarkEnd w:id="69"/>
            <w:bookmarkEnd w:id="70"/>
            <w:r w:rsidRPr="00A6654F">
              <w:rPr>
                <w:rFonts w:ascii="Times New Roman" w:eastAsia="Arial Narrow" w:hAnsi="Times New Roman" w:cs="Times New Roman"/>
                <w:b/>
                <w:bCs/>
                <w:sz w:val="20"/>
                <w:szCs w:val="18"/>
              </w:rPr>
              <w:t>Dlhodobá nezamestnanosť (v %, 2015, 2016)</w:t>
            </w:r>
          </w:p>
        </w:tc>
        <w:tc>
          <w:tcPr>
            <w:tcW w:w="122" w:type="pct"/>
            <w:tcBorders>
              <w:top w:val="nil"/>
              <w:left w:val="nil"/>
              <w:bottom w:val="nil"/>
              <w:right w:val="nil"/>
            </w:tcBorders>
            <w:vAlign w:val="center"/>
          </w:tcPr>
          <w:p w:rsidR="007D13F3" w:rsidRPr="00A6654F" w:rsidRDefault="007D13F3" w:rsidP="00465CAC">
            <w:pPr>
              <w:spacing w:before="60"/>
              <w:jc w:val="both"/>
              <w:rPr>
                <w:rFonts w:ascii="Times New Roman" w:eastAsia="Calibri" w:hAnsi="Times New Roman" w:cs="Times New Roman"/>
                <w:b/>
                <w:sz w:val="20"/>
                <w:szCs w:val="18"/>
              </w:rPr>
            </w:pPr>
          </w:p>
        </w:tc>
        <w:tc>
          <w:tcPr>
            <w:tcW w:w="2401" w:type="pct"/>
            <w:tcBorders>
              <w:top w:val="nil"/>
              <w:left w:val="nil"/>
              <w:bottom w:val="single" w:sz="4" w:space="0" w:color="auto"/>
              <w:right w:val="nil"/>
            </w:tcBorders>
            <w:vAlign w:val="center"/>
            <w:hideMark/>
          </w:tcPr>
          <w:p w:rsidR="007D13F3" w:rsidRPr="00A6654F" w:rsidRDefault="007D13F3" w:rsidP="00465CAC">
            <w:pPr>
              <w:rPr>
                <w:rFonts w:ascii="Times New Roman" w:eastAsia="Arial Narrow" w:hAnsi="Times New Roman" w:cs="Times New Roman"/>
                <w:b/>
                <w:bCs/>
                <w:sz w:val="20"/>
                <w:szCs w:val="18"/>
              </w:rPr>
            </w:pPr>
            <w:bookmarkStart w:id="71" w:name="_Toc480760509"/>
            <w:bookmarkStart w:id="72" w:name="_Toc488075701"/>
            <w:r w:rsidRPr="00A6654F">
              <w:rPr>
                <w:rFonts w:ascii="Times New Roman" w:eastAsia="Arial Narrow" w:hAnsi="Times New Roman" w:cs="Times New Roman"/>
                <w:b/>
                <w:bCs/>
                <w:sz w:val="20"/>
                <w:szCs w:val="18"/>
              </w:rPr>
              <w:t xml:space="preserve">Graf: </w:t>
            </w:r>
            <w:proofErr w:type="spellStart"/>
            <w:r w:rsidRPr="00A6654F">
              <w:rPr>
                <w:rFonts w:ascii="Times New Roman" w:hAnsi="Times New Roman" w:cs="Times New Roman"/>
                <w:b/>
                <w:bCs/>
                <w:sz w:val="20"/>
                <w:szCs w:val="18"/>
                <w:lang w:eastAsia="sk-SK"/>
              </w:rPr>
              <w:t>Nízkokvalifikovaná</w:t>
            </w:r>
            <w:proofErr w:type="spellEnd"/>
            <w:r w:rsidRPr="00A6654F">
              <w:rPr>
                <w:rFonts w:ascii="Times New Roman" w:hAnsi="Times New Roman" w:cs="Times New Roman"/>
                <w:b/>
                <w:bCs/>
                <w:sz w:val="20"/>
                <w:szCs w:val="18"/>
                <w:lang w:eastAsia="sk-SK"/>
              </w:rPr>
              <w:t xml:space="preserve"> pracovná sila na trhu</w:t>
            </w:r>
            <w:r>
              <w:rPr>
                <w:rFonts w:ascii="Times New Roman" w:hAnsi="Times New Roman" w:cs="Times New Roman"/>
                <w:b/>
                <w:bCs/>
                <w:sz w:val="20"/>
                <w:szCs w:val="18"/>
                <w:lang w:eastAsia="sk-SK"/>
              </w:rPr>
              <w:t xml:space="preserve"> </w:t>
            </w:r>
            <w:r w:rsidRPr="00A6654F">
              <w:rPr>
                <w:rFonts w:ascii="Times New Roman" w:hAnsi="Times New Roman" w:cs="Times New Roman"/>
                <w:b/>
                <w:bCs/>
                <w:sz w:val="20"/>
                <w:szCs w:val="18"/>
                <w:lang w:eastAsia="sk-SK"/>
              </w:rPr>
              <w:t>práce (%, 2015)</w:t>
            </w:r>
            <w:bookmarkEnd w:id="71"/>
            <w:bookmarkEnd w:id="72"/>
          </w:p>
        </w:tc>
      </w:tr>
      <w:tr w:rsidR="007D13F3" w:rsidRPr="00191349" w:rsidTr="00F30F1A">
        <w:tblPrEx>
          <w:tblCellMar>
            <w:left w:w="108" w:type="dxa"/>
            <w:right w:w="108" w:type="dxa"/>
          </w:tblCellMar>
        </w:tblPrEx>
        <w:trPr>
          <w:trHeight w:val="3042"/>
          <w:jc w:val="center"/>
        </w:trPr>
        <w:tc>
          <w:tcPr>
            <w:tcW w:w="2477" w:type="pct"/>
            <w:tcBorders>
              <w:top w:val="single" w:sz="4" w:space="0" w:color="auto"/>
              <w:left w:val="nil"/>
              <w:bottom w:val="single" w:sz="4" w:space="0" w:color="auto"/>
              <w:right w:val="nil"/>
            </w:tcBorders>
          </w:tcPr>
          <w:p w:rsidR="007D13F3" w:rsidRPr="00191349" w:rsidRDefault="007D13F3" w:rsidP="00465CAC">
            <w:pPr>
              <w:spacing w:before="40"/>
              <w:jc w:val="center"/>
              <w:rPr>
                <w:rFonts w:eastAsia="Calibri" w:cs="Arial"/>
                <w:b/>
                <w:sz w:val="20"/>
                <w:szCs w:val="20"/>
              </w:rPr>
            </w:pPr>
            <w:r w:rsidRPr="00191349">
              <w:rPr>
                <w:rFonts w:eastAsia="Calibri" w:cs="Times New Roman"/>
                <w:noProof/>
                <w:szCs w:val="20"/>
                <w:lang w:eastAsia="sk-SK"/>
              </w:rPr>
              <w:drawing>
                <wp:inline distT="0" distB="0" distL="0" distR="0" wp14:anchorId="6587FC03" wp14:editId="2CDBD961">
                  <wp:extent cx="2707574" cy="2042555"/>
                  <wp:effectExtent l="0" t="0" r="0" b="0"/>
                  <wp:docPr id="248" name="Graf 2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122" w:type="pct"/>
            <w:tcBorders>
              <w:top w:val="nil"/>
              <w:left w:val="nil"/>
              <w:bottom w:val="nil"/>
              <w:right w:val="nil"/>
            </w:tcBorders>
            <w:vAlign w:val="center"/>
          </w:tcPr>
          <w:p w:rsidR="007D13F3" w:rsidRPr="00191349" w:rsidRDefault="007D13F3" w:rsidP="00465CAC">
            <w:pPr>
              <w:spacing w:before="40"/>
              <w:jc w:val="center"/>
              <w:rPr>
                <w:rFonts w:eastAsia="Calibri" w:cs="Arial"/>
                <w:b/>
                <w:sz w:val="20"/>
                <w:szCs w:val="20"/>
              </w:rPr>
            </w:pPr>
          </w:p>
        </w:tc>
        <w:tc>
          <w:tcPr>
            <w:tcW w:w="2401" w:type="pct"/>
            <w:tcBorders>
              <w:top w:val="single" w:sz="4" w:space="0" w:color="auto"/>
              <w:left w:val="nil"/>
              <w:bottom w:val="single" w:sz="4" w:space="0" w:color="auto"/>
              <w:right w:val="nil"/>
            </w:tcBorders>
            <w:hideMark/>
          </w:tcPr>
          <w:p w:rsidR="007D13F3" w:rsidRPr="00191349" w:rsidRDefault="007D13F3" w:rsidP="00465CAC">
            <w:pPr>
              <w:spacing w:before="40"/>
              <w:jc w:val="center"/>
              <w:rPr>
                <w:rFonts w:eastAsia="Calibri" w:cs="Arial"/>
                <w:b/>
                <w:sz w:val="20"/>
                <w:szCs w:val="20"/>
              </w:rPr>
            </w:pPr>
            <w:r w:rsidRPr="00191349">
              <w:rPr>
                <w:rFonts w:eastAsia="Calibri" w:cs="Times New Roman"/>
                <w:noProof/>
                <w:szCs w:val="20"/>
                <w:lang w:eastAsia="sk-SK"/>
              </w:rPr>
              <w:drawing>
                <wp:inline distT="0" distB="0" distL="0" distR="0" wp14:anchorId="092F335C" wp14:editId="72D21115">
                  <wp:extent cx="2628900" cy="196215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7D13F3" w:rsidRPr="00191349" w:rsidTr="00F30F1A">
        <w:trPr>
          <w:trHeight w:val="170"/>
          <w:jc w:val="center"/>
        </w:trPr>
        <w:tc>
          <w:tcPr>
            <w:tcW w:w="2477" w:type="pct"/>
            <w:tcBorders>
              <w:top w:val="single" w:sz="4" w:space="0" w:color="auto"/>
              <w:left w:val="nil"/>
              <w:bottom w:val="nil"/>
              <w:right w:val="nil"/>
            </w:tcBorders>
            <w:vAlign w:val="center"/>
          </w:tcPr>
          <w:p w:rsidR="007D13F3" w:rsidRPr="00A6654F" w:rsidRDefault="007D13F3" w:rsidP="00465CAC">
            <w:pPr>
              <w:spacing w:after="120"/>
              <w:jc w:val="right"/>
              <w:rPr>
                <w:rFonts w:ascii="Times New Roman" w:eastAsia="Calibri" w:hAnsi="Times New Roman" w:cs="Times New Roman"/>
                <w:i/>
                <w:sz w:val="18"/>
                <w:szCs w:val="18"/>
              </w:rPr>
            </w:pPr>
            <w:r w:rsidRPr="00A6654F">
              <w:rPr>
                <w:rFonts w:ascii="Times New Roman" w:eastAsia="Calibri" w:hAnsi="Times New Roman" w:cs="Times New Roman"/>
                <w:i/>
                <w:iCs/>
                <w:color w:val="000000"/>
                <w:sz w:val="18"/>
                <w:szCs w:val="18"/>
              </w:rPr>
              <w:t xml:space="preserve">Zdroj: </w:t>
            </w:r>
            <w:proofErr w:type="spellStart"/>
            <w:r w:rsidRPr="00A6654F">
              <w:rPr>
                <w:rFonts w:ascii="Times New Roman" w:eastAsia="Calibri" w:hAnsi="Times New Roman" w:cs="Times New Roman"/>
                <w:i/>
                <w:iCs/>
                <w:color w:val="000000"/>
                <w:sz w:val="18"/>
                <w:szCs w:val="18"/>
              </w:rPr>
              <w:t>Eurostat</w:t>
            </w:r>
            <w:proofErr w:type="spellEnd"/>
            <w:r w:rsidRPr="00A6654F">
              <w:rPr>
                <w:rFonts w:ascii="Times New Roman" w:eastAsia="Calibri" w:hAnsi="Times New Roman" w:cs="Times New Roman"/>
                <w:i/>
                <w:iCs/>
                <w:color w:val="000000"/>
                <w:sz w:val="18"/>
                <w:szCs w:val="18"/>
              </w:rPr>
              <w:t>, ŠÚ SR</w:t>
            </w:r>
          </w:p>
        </w:tc>
        <w:tc>
          <w:tcPr>
            <w:tcW w:w="122" w:type="pct"/>
            <w:tcBorders>
              <w:top w:val="nil"/>
              <w:left w:val="nil"/>
              <w:bottom w:val="nil"/>
              <w:right w:val="nil"/>
            </w:tcBorders>
            <w:vAlign w:val="center"/>
          </w:tcPr>
          <w:p w:rsidR="007D13F3" w:rsidRPr="00A6654F" w:rsidRDefault="007D13F3" w:rsidP="00465CAC">
            <w:pPr>
              <w:spacing w:after="120"/>
              <w:jc w:val="center"/>
              <w:rPr>
                <w:rFonts w:ascii="Times New Roman" w:eastAsia="Calibri" w:hAnsi="Times New Roman" w:cs="Times New Roman"/>
                <w:i/>
                <w:sz w:val="18"/>
                <w:szCs w:val="18"/>
              </w:rPr>
            </w:pPr>
          </w:p>
        </w:tc>
        <w:tc>
          <w:tcPr>
            <w:tcW w:w="2401" w:type="pct"/>
            <w:tcBorders>
              <w:top w:val="single" w:sz="4" w:space="0" w:color="auto"/>
              <w:left w:val="nil"/>
              <w:bottom w:val="nil"/>
              <w:right w:val="nil"/>
            </w:tcBorders>
            <w:vAlign w:val="center"/>
          </w:tcPr>
          <w:p w:rsidR="007D13F3" w:rsidRPr="00A6654F" w:rsidRDefault="007D13F3" w:rsidP="00465CAC">
            <w:pPr>
              <w:spacing w:after="120"/>
              <w:jc w:val="right"/>
              <w:rPr>
                <w:rFonts w:ascii="Times New Roman" w:eastAsia="Calibri" w:hAnsi="Times New Roman" w:cs="Times New Roman"/>
                <w:i/>
                <w:sz w:val="18"/>
                <w:szCs w:val="18"/>
              </w:rPr>
            </w:pPr>
            <w:r w:rsidRPr="00A6654F">
              <w:rPr>
                <w:rFonts w:ascii="Times New Roman" w:eastAsia="Calibri" w:hAnsi="Times New Roman" w:cs="Times New Roman"/>
                <w:i/>
                <w:iCs/>
                <w:color w:val="000000"/>
                <w:sz w:val="18"/>
                <w:szCs w:val="18"/>
              </w:rPr>
              <w:t xml:space="preserve">Zdroj: </w:t>
            </w:r>
            <w:proofErr w:type="spellStart"/>
            <w:r w:rsidRPr="00A6654F">
              <w:rPr>
                <w:rFonts w:ascii="Times New Roman" w:eastAsia="Calibri" w:hAnsi="Times New Roman" w:cs="Times New Roman"/>
                <w:i/>
                <w:iCs/>
                <w:color w:val="000000"/>
                <w:sz w:val="18"/>
                <w:szCs w:val="18"/>
              </w:rPr>
              <w:t>Eurostat</w:t>
            </w:r>
            <w:proofErr w:type="spellEnd"/>
            <w:r w:rsidRPr="00A6654F">
              <w:rPr>
                <w:rFonts w:ascii="Times New Roman" w:eastAsia="Calibri" w:hAnsi="Times New Roman" w:cs="Times New Roman"/>
                <w:i/>
                <w:iCs/>
                <w:color w:val="000000"/>
                <w:sz w:val="18"/>
                <w:szCs w:val="18"/>
              </w:rPr>
              <w:t>, ŠÚ SR</w:t>
            </w:r>
          </w:p>
        </w:tc>
      </w:tr>
    </w:tbl>
    <w:p w:rsidR="007D13F3" w:rsidRDefault="007D13F3" w:rsidP="007D13F3"/>
    <w:p w:rsidR="007D13F3"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r>
        <w:rPr>
          <w:rFonts w:ascii="Times New Roman" w:hAnsi="Times New Roman" w:cs="Times New Roman"/>
          <w:color w:val="000000"/>
          <w:lang w:eastAsia="sk-SK"/>
        </w:rPr>
        <w:tab/>
      </w:r>
      <w:r w:rsidRPr="00860EF2">
        <w:rPr>
          <w:rFonts w:ascii="Times New Roman" w:hAnsi="Times New Roman" w:cs="Times New Roman"/>
          <w:color w:val="000000"/>
          <w:lang w:eastAsia="sk-SK"/>
        </w:rPr>
        <w:t>Výdavky na A</w:t>
      </w:r>
      <w:r>
        <w:rPr>
          <w:rFonts w:ascii="Times New Roman" w:hAnsi="Times New Roman" w:cs="Times New Roman"/>
          <w:color w:val="000000"/>
          <w:lang w:eastAsia="sk-SK"/>
        </w:rPr>
        <w:t>P</w:t>
      </w:r>
      <w:r w:rsidRPr="00860EF2">
        <w:rPr>
          <w:rFonts w:ascii="Times New Roman" w:hAnsi="Times New Roman" w:cs="Times New Roman"/>
          <w:color w:val="000000"/>
          <w:lang w:eastAsia="sk-SK"/>
        </w:rPr>
        <w:t xml:space="preserve">TP patria medzi najnižšie v OECD, efektívnosť a účinnosť väčšiny opatrení je </w:t>
      </w:r>
      <w:r>
        <w:rPr>
          <w:rFonts w:ascii="Times New Roman" w:hAnsi="Times New Roman" w:cs="Times New Roman"/>
          <w:color w:val="000000"/>
          <w:lang w:eastAsia="sk-SK"/>
        </w:rPr>
        <w:t xml:space="preserve">relatívne </w:t>
      </w:r>
      <w:r w:rsidRPr="00860EF2">
        <w:rPr>
          <w:rFonts w:ascii="Times New Roman" w:hAnsi="Times New Roman" w:cs="Times New Roman"/>
          <w:color w:val="000000"/>
          <w:lang w:eastAsia="sk-SK"/>
        </w:rPr>
        <w:t>nízka. Dominujú</w:t>
      </w:r>
      <w:r w:rsidRPr="00A6654F">
        <w:rPr>
          <w:rFonts w:ascii="Times New Roman" w:hAnsi="Times New Roman" w:cs="Times New Roman"/>
          <w:color w:val="000000"/>
          <w:lang w:eastAsia="sk-SK"/>
        </w:rPr>
        <w:t xml:space="preserve"> dopytové programy na úkor ponukových (vzdelávacích a tréningových) programov a poradenských služieb, ktoré sa z medzinárodných skúseností ukazujú ako najúčinnejšie. </w:t>
      </w:r>
    </w:p>
    <w:p w:rsidR="007D13F3" w:rsidRPr="00A6654F"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p>
    <w:p w:rsidR="007D13F3"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r>
        <w:rPr>
          <w:rFonts w:ascii="Times New Roman" w:hAnsi="Times New Roman" w:cs="Times New Roman"/>
          <w:color w:val="000000"/>
          <w:lang w:eastAsia="sk-SK"/>
        </w:rPr>
        <w:tab/>
      </w:r>
      <w:r w:rsidRPr="00A6654F">
        <w:rPr>
          <w:rFonts w:ascii="Times New Roman" w:hAnsi="Times New Roman" w:cs="Times New Roman"/>
          <w:color w:val="000000"/>
          <w:lang w:eastAsia="sk-SK"/>
        </w:rPr>
        <w:t>Poradenské služby pri hľadaní práce majú efekt viditeľný najmä v krátkodobom horizonte (do jedného roka). Z pohľadu zvýšenia šance zamestnať sa</w:t>
      </w:r>
      <w:r w:rsidR="00F30F1A">
        <w:rPr>
          <w:rFonts w:ascii="Times New Roman" w:hAnsi="Times New Roman" w:cs="Times New Roman"/>
          <w:color w:val="000000"/>
          <w:lang w:eastAsia="sk-SK"/>
        </w:rPr>
        <w:t>,</w:t>
      </w:r>
      <w:r w:rsidRPr="00A6654F">
        <w:rPr>
          <w:rFonts w:ascii="Times New Roman" w:hAnsi="Times New Roman" w:cs="Times New Roman"/>
          <w:color w:val="000000"/>
          <w:lang w:eastAsia="sk-SK"/>
        </w:rPr>
        <w:t xml:space="preserve"> sa javí úspešne krátkodobá podpora v podobe absolventskej praxe (dostupná pre mladých do 26 rokov) a dobrovoľníckej činnosti.</w:t>
      </w:r>
      <w:r w:rsidRPr="00A6654F" w:rsidDel="00B06751">
        <w:rPr>
          <w:rFonts w:ascii="Times New Roman" w:hAnsi="Times New Roman" w:cs="Times New Roman"/>
          <w:color w:val="000000"/>
          <w:lang w:eastAsia="sk-SK"/>
        </w:rPr>
        <w:t xml:space="preserve"> </w:t>
      </w:r>
      <w:r>
        <w:rPr>
          <w:rFonts w:ascii="Times New Roman" w:hAnsi="Times New Roman" w:cs="Times New Roman"/>
          <w:color w:val="000000"/>
          <w:lang w:eastAsia="sk-SK"/>
        </w:rPr>
        <w:t>Lepšie cielenie AP</w:t>
      </w:r>
      <w:r w:rsidRPr="00A6654F">
        <w:rPr>
          <w:rFonts w:ascii="Times New Roman" w:hAnsi="Times New Roman" w:cs="Times New Roman"/>
          <w:color w:val="000000"/>
          <w:lang w:eastAsia="sk-SK"/>
        </w:rPr>
        <w:t>TP zvýši počet nezamestnaných uchádzačov úspešne umiestnených na trh práce takmer o polovicu. Rozšírenie používaných informácií o uchádzačoch získaných pri ich zaradení do evidencie spolu s históriou predchádzajúcich evidencii a pracovných úväzkov umožňujú zlepšiť výber vhodných A</w:t>
      </w:r>
      <w:r>
        <w:rPr>
          <w:rFonts w:ascii="Times New Roman" w:hAnsi="Times New Roman" w:cs="Times New Roman"/>
          <w:color w:val="000000"/>
          <w:lang w:eastAsia="sk-SK"/>
        </w:rPr>
        <w:t>P</w:t>
      </w:r>
      <w:r w:rsidRPr="00A6654F">
        <w:rPr>
          <w:rFonts w:ascii="Times New Roman" w:hAnsi="Times New Roman" w:cs="Times New Roman"/>
          <w:color w:val="000000"/>
          <w:lang w:eastAsia="sk-SK"/>
        </w:rPr>
        <w:t>TP pre každého uchádzača.</w:t>
      </w:r>
    </w:p>
    <w:p w:rsidR="007D13F3"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p>
    <w:tbl>
      <w:tblPr>
        <w:tblStyle w:val="UHPGRAF12"/>
        <w:tblW w:w="0" w:type="auto"/>
        <w:tblLook w:val="04E0" w:firstRow="1" w:lastRow="1" w:firstColumn="1" w:lastColumn="0" w:noHBand="0" w:noVBand="1"/>
      </w:tblPr>
      <w:tblGrid>
        <w:gridCol w:w="9072"/>
      </w:tblGrid>
      <w:tr w:rsidR="007D13F3" w:rsidRPr="00191349" w:rsidTr="00465CA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2" w:type="dxa"/>
          </w:tcPr>
          <w:p w:rsidR="007D13F3" w:rsidRPr="00A6654F" w:rsidRDefault="007D13F3" w:rsidP="00465CAC">
            <w:pPr>
              <w:spacing w:line="276" w:lineRule="auto"/>
              <w:jc w:val="both"/>
              <w:rPr>
                <w:rFonts w:ascii="Times New Roman" w:hAnsi="Times New Roman"/>
                <w:sz w:val="22"/>
              </w:rPr>
            </w:pPr>
            <w:bookmarkStart w:id="73" w:name="_Toc488075708"/>
            <w:r>
              <w:rPr>
                <w:rFonts w:ascii="Times New Roman" w:hAnsi="Times New Roman"/>
                <w:sz w:val="22"/>
              </w:rPr>
              <w:t>Graf</w:t>
            </w:r>
            <w:r w:rsidRPr="00A6654F">
              <w:rPr>
                <w:rFonts w:ascii="Times New Roman" w:hAnsi="Times New Roman"/>
                <w:sz w:val="22"/>
              </w:rPr>
              <w:t xml:space="preserve">: Efekty účinnejšej alokácie financovania </w:t>
            </w:r>
            <w:bookmarkEnd w:id="73"/>
            <w:r w:rsidRPr="00A6654F">
              <w:rPr>
                <w:rFonts w:ascii="Times New Roman" w:hAnsi="Times New Roman"/>
                <w:sz w:val="22"/>
              </w:rPr>
              <w:t xml:space="preserve">APTP </w:t>
            </w:r>
          </w:p>
        </w:tc>
      </w:tr>
      <w:tr w:rsidR="007D13F3" w:rsidRPr="00191349" w:rsidTr="00465CAC">
        <w:tblPrEx>
          <w:tblCellMar>
            <w:left w:w="70" w:type="dxa"/>
            <w:right w:w="70" w:type="dxa"/>
          </w:tblCellMar>
        </w:tblPrEx>
        <w:trPr>
          <w:trHeight w:val="227"/>
        </w:trPr>
        <w:tc>
          <w:tcPr>
            <w:cnfStyle w:val="001000000000" w:firstRow="0" w:lastRow="0" w:firstColumn="1" w:lastColumn="0" w:oddVBand="0" w:evenVBand="0" w:oddHBand="0" w:evenHBand="0" w:firstRowFirstColumn="0" w:firstRowLastColumn="0" w:lastRowFirstColumn="0" w:lastRowLastColumn="0"/>
            <w:tcW w:w="9072" w:type="dxa"/>
          </w:tcPr>
          <w:p w:rsidR="007D13F3" w:rsidRPr="00191349" w:rsidRDefault="007D13F3" w:rsidP="00465CAC">
            <w:pPr>
              <w:spacing w:line="276" w:lineRule="auto"/>
            </w:pPr>
            <w:r w:rsidRPr="00191349">
              <w:rPr>
                <w:noProof/>
                <w:lang w:eastAsia="sk-SK"/>
              </w:rPr>
              <w:drawing>
                <wp:inline distT="0" distB="0" distL="0" distR="0" wp14:anchorId="7FE64976" wp14:editId="409D375E">
                  <wp:extent cx="5685155" cy="1856510"/>
                  <wp:effectExtent l="0" t="0" r="0" b="0"/>
                  <wp:docPr id="295470" name="Graf 295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7D13F3" w:rsidRPr="00191349" w:rsidTr="00465CAC">
        <w:trPr>
          <w:cnfStyle w:val="010000000000" w:firstRow="0" w:lastRow="1" w:firstColumn="0" w:lastColumn="0" w:oddVBand="0" w:evenVBand="0" w:oddHBand="0" w:evenHBand="0" w:firstRowFirstColumn="0" w:firstRowLastColumn="0" w:lastRowFirstColumn="0" w:lastRowLastColumn="0"/>
          <w:trHeight w:val="227"/>
        </w:trPr>
        <w:tc>
          <w:tcPr>
            <w:cnfStyle w:val="001000000001" w:firstRow="0" w:lastRow="0" w:firstColumn="1" w:lastColumn="0" w:oddVBand="0" w:evenVBand="0" w:oddHBand="0" w:evenHBand="0" w:firstRowFirstColumn="0" w:firstRowLastColumn="0" w:lastRowFirstColumn="1" w:lastRowLastColumn="0"/>
            <w:tcW w:w="9072" w:type="dxa"/>
          </w:tcPr>
          <w:p w:rsidR="007D13F3" w:rsidRPr="00A6654F" w:rsidRDefault="007D13F3" w:rsidP="00465CAC">
            <w:pPr>
              <w:spacing w:line="276" w:lineRule="auto"/>
              <w:rPr>
                <w:rFonts w:ascii="Times New Roman" w:hAnsi="Times New Roman"/>
                <w:b w:val="0"/>
                <w:sz w:val="18"/>
                <w:szCs w:val="18"/>
              </w:rPr>
            </w:pPr>
            <w:r w:rsidRPr="00A6654F">
              <w:rPr>
                <w:rFonts w:ascii="Times New Roman" w:hAnsi="Times New Roman"/>
                <w:b w:val="0"/>
                <w:sz w:val="18"/>
                <w:szCs w:val="18"/>
              </w:rPr>
              <w:t>Zdroj: ÚHP</w:t>
            </w:r>
          </w:p>
        </w:tc>
      </w:tr>
    </w:tbl>
    <w:p w:rsidR="007D13F3" w:rsidRDefault="007D13F3" w:rsidP="007D13F3">
      <w:pPr>
        <w:jc w:val="both"/>
        <w:rPr>
          <w:rFonts w:ascii="Times New Roman" w:hAnsi="Times New Roman" w:cs="Times New Roman"/>
          <w:color w:val="000000"/>
          <w:lang w:eastAsia="sk-SK"/>
        </w:rPr>
      </w:pPr>
    </w:p>
    <w:p w:rsidR="007D13F3" w:rsidRDefault="007D13F3" w:rsidP="007D13F3">
      <w:pPr>
        <w:ind w:firstLine="708"/>
        <w:jc w:val="both"/>
        <w:rPr>
          <w:rFonts w:ascii="Times New Roman" w:hAnsi="Times New Roman" w:cs="Times New Roman"/>
          <w:color w:val="000000"/>
          <w:lang w:eastAsia="sk-SK"/>
        </w:rPr>
      </w:pPr>
      <w:r w:rsidRPr="00A6654F">
        <w:rPr>
          <w:rFonts w:ascii="Times New Roman" w:hAnsi="Times New Roman" w:cs="Times New Roman"/>
          <w:color w:val="000000"/>
          <w:lang w:eastAsia="sk-SK"/>
        </w:rPr>
        <w:lastRenderedPageBreak/>
        <w:t>Priebežné vyhodnocovanie účinnosti jednotlivých nástrojov aktívnej politiky trhu práce zabezpečí investovanie finančných zdrojov a kapacít do najefektívnejších opatrení trhu práce. K vyššej efektívnosti aktívnych opatrení trhu práce prispeje aj plnenie dvoch národných projektov zameraných na podporu individualizovaného poradenstva. Implementácia projektov zvýši počet poradcov na úradoch práce a individuálne poradenstvo v oblasti kompetencií uchádzačov o zamestnanie.</w:t>
      </w:r>
    </w:p>
    <w:p w:rsidR="007D13F3" w:rsidRPr="00F5748F"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tbl>
      <w:tblPr>
        <w:tblW w:w="9072" w:type="dxa"/>
        <w:tblCellMar>
          <w:left w:w="70" w:type="dxa"/>
          <w:right w:w="70" w:type="dxa"/>
        </w:tblCellMar>
        <w:tblLook w:val="04A0" w:firstRow="1" w:lastRow="0" w:firstColumn="1" w:lastColumn="0" w:noHBand="0" w:noVBand="1"/>
      </w:tblPr>
      <w:tblGrid>
        <w:gridCol w:w="2689"/>
        <w:gridCol w:w="992"/>
        <w:gridCol w:w="992"/>
        <w:gridCol w:w="849"/>
        <w:gridCol w:w="877"/>
        <w:gridCol w:w="920"/>
        <w:gridCol w:w="859"/>
        <w:gridCol w:w="894"/>
      </w:tblGrid>
      <w:tr w:rsidR="007D13F3" w:rsidRPr="00D26052" w:rsidTr="00465CAC">
        <w:trPr>
          <w:trHeight w:hRule="exact" w:val="255"/>
        </w:trPr>
        <w:tc>
          <w:tcPr>
            <w:tcW w:w="2689" w:type="dxa"/>
            <w:tcBorders>
              <w:top w:val="single" w:sz="4" w:space="0" w:color="auto"/>
              <w:left w:val="single" w:sz="4" w:space="0" w:color="auto"/>
              <w:bottom w:val="single" w:sz="4" w:space="0" w:color="auto"/>
              <w:right w:val="nil"/>
            </w:tcBorders>
            <w:shd w:val="clear" w:color="auto" w:fill="A6A6A6" w:themeFill="background1" w:themeFillShade="A6"/>
            <w:noWrap/>
            <w:vAlign w:val="bottom"/>
            <w:hideMark/>
          </w:tcPr>
          <w:p w:rsidR="007D13F3" w:rsidRPr="00D26052" w:rsidRDefault="007D13F3" w:rsidP="00465CAC">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v eurách</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D26052">
              <w:rPr>
                <w:rFonts w:ascii="Times New Roman" w:hAnsi="Times New Roman" w:cs="Times New Roman"/>
                <w:b/>
                <w:bCs/>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D26052">
              <w:rPr>
                <w:rFonts w:ascii="Times New Roman" w:hAnsi="Times New Roman" w:cs="Times New Roman"/>
                <w:b/>
                <w:bCs/>
                <w:sz w:val="14"/>
                <w:szCs w:val="14"/>
                <w:lang w:eastAsia="sk-SK"/>
              </w:rPr>
              <w:t xml:space="preserve"> S</w:t>
            </w:r>
          </w:p>
        </w:tc>
        <w:tc>
          <w:tcPr>
            <w:tcW w:w="849"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D26052">
              <w:rPr>
                <w:rFonts w:ascii="Times New Roman" w:hAnsi="Times New Roman" w:cs="Times New Roman"/>
                <w:b/>
                <w:bCs/>
                <w:sz w:val="14"/>
                <w:szCs w:val="14"/>
                <w:lang w:eastAsia="sk-SK"/>
              </w:rPr>
              <w:t xml:space="preserve"> R</w:t>
            </w:r>
          </w:p>
        </w:tc>
        <w:tc>
          <w:tcPr>
            <w:tcW w:w="877"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D26052">
              <w:rPr>
                <w:rFonts w:ascii="Times New Roman" w:hAnsi="Times New Roman" w:cs="Times New Roman"/>
                <w:b/>
                <w:bCs/>
                <w:sz w:val="14"/>
                <w:szCs w:val="14"/>
                <w:lang w:eastAsia="sk-SK"/>
              </w:rPr>
              <w:t xml:space="preserve"> OS</w:t>
            </w:r>
          </w:p>
        </w:tc>
        <w:tc>
          <w:tcPr>
            <w:tcW w:w="920"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D26052">
              <w:rPr>
                <w:rFonts w:ascii="Times New Roman" w:hAnsi="Times New Roman" w:cs="Times New Roman"/>
                <w:b/>
                <w:bCs/>
                <w:sz w:val="14"/>
                <w:szCs w:val="14"/>
                <w:lang w:eastAsia="sk-SK"/>
              </w:rPr>
              <w:t xml:space="preserve"> N</w:t>
            </w:r>
          </w:p>
        </w:tc>
        <w:tc>
          <w:tcPr>
            <w:tcW w:w="859"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9</w:t>
            </w:r>
            <w:r w:rsidRPr="00D26052">
              <w:rPr>
                <w:rFonts w:ascii="Times New Roman" w:hAnsi="Times New Roman" w:cs="Times New Roman"/>
                <w:b/>
                <w:bCs/>
                <w:sz w:val="14"/>
                <w:szCs w:val="14"/>
                <w:lang w:eastAsia="sk-SK"/>
              </w:rPr>
              <w:t xml:space="preserve"> N</w:t>
            </w:r>
          </w:p>
        </w:tc>
        <w:tc>
          <w:tcPr>
            <w:tcW w:w="894"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w:t>
            </w:r>
            <w:r>
              <w:rPr>
                <w:rFonts w:ascii="Times New Roman" w:hAnsi="Times New Roman" w:cs="Times New Roman"/>
                <w:b/>
                <w:bCs/>
                <w:sz w:val="14"/>
                <w:szCs w:val="14"/>
                <w:lang w:eastAsia="sk-SK"/>
              </w:rPr>
              <w:t>20</w:t>
            </w:r>
            <w:r w:rsidRPr="00D26052">
              <w:rPr>
                <w:rFonts w:ascii="Times New Roman" w:hAnsi="Times New Roman" w:cs="Times New Roman"/>
                <w:b/>
                <w:bCs/>
                <w:sz w:val="14"/>
                <w:szCs w:val="14"/>
                <w:lang w:eastAsia="sk-SK"/>
              </w:rPr>
              <w:t xml:space="preserve"> N</w:t>
            </w:r>
          </w:p>
        </w:tc>
      </w:tr>
      <w:tr w:rsidR="007D13F3" w:rsidRPr="00D26052" w:rsidTr="00465CAC">
        <w:trPr>
          <w:trHeight w:hRule="exact" w:val="255"/>
        </w:trPr>
        <w:tc>
          <w:tcPr>
            <w:tcW w:w="2689" w:type="dxa"/>
            <w:tcBorders>
              <w:top w:val="nil"/>
              <w:left w:val="single" w:sz="4" w:space="0" w:color="auto"/>
              <w:bottom w:val="single" w:sz="4" w:space="0" w:color="auto"/>
              <w:right w:val="nil"/>
            </w:tcBorders>
            <w:shd w:val="clear" w:color="auto" w:fill="BFBFBF" w:themeFill="background1" w:themeFillShade="BF"/>
            <w:noWrap/>
            <w:vAlign w:val="bottom"/>
            <w:hideMark/>
          </w:tcPr>
          <w:p w:rsidR="007D13F3" w:rsidRPr="00D26052" w:rsidRDefault="007D13F3" w:rsidP="00465CAC">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Ľudské zdroje</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1</w:t>
            </w:r>
            <w:r>
              <w:rPr>
                <w:rFonts w:ascii="Times New Roman" w:hAnsi="Times New Roman" w:cs="Times New Roman"/>
                <w:b/>
                <w:bCs/>
                <w:sz w:val="14"/>
                <w:szCs w:val="14"/>
                <w:lang w:eastAsia="sk-SK"/>
              </w:rPr>
              <w:t>88</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264</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988</w:t>
            </w:r>
          </w:p>
        </w:tc>
        <w:tc>
          <w:tcPr>
            <w:tcW w:w="99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D26052" w:rsidRDefault="007D13F3" w:rsidP="00465CAC">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236</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410</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241</w:t>
            </w:r>
          </w:p>
        </w:tc>
        <w:tc>
          <w:tcPr>
            <w:tcW w:w="849"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D26052" w:rsidRDefault="007D13F3" w:rsidP="00465CAC">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281</w:t>
            </w:r>
            <w:r w:rsidRPr="00D26052">
              <w:rPr>
                <w:rFonts w:ascii="Times New Roman" w:hAnsi="Times New Roman" w:cs="Times New Roman"/>
                <w:b/>
                <w:bCs/>
                <w:sz w:val="14"/>
                <w:szCs w:val="14"/>
                <w:lang w:eastAsia="sk-SK"/>
              </w:rPr>
              <w:t xml:space="preserve"> 9</w:t>
            </w:r>
            <w:r>
              <w:rPr>
                <w:rFonts w:ascii="Times New Roman" w:hAnsi="Times New Roman" w:cs="Times New Roman"/>
                <w:b/>
                <w:bCs/>
                <w:sz w:val="14"/>
                <w:szCs w:val="14"/>
                <w:lang w:eastAsia="sk-SK"/>
              </w:rPr>
              <w:t>76</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355</w:t>
            </w:r>
          </w:p>
        </w:tc>
        <w:tc>
          <w:tcPr>
            <w:tcW w:w="877"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D26052" w:rsidRDefault="007D13F3" w:rsidP="00465CAC">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337</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383</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757</w:t>
            </w:r>
          </w:p>
        </w:tc>
        <w:tc>
          <w:tcPr>
            <w:tcW w:w="920"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w:t>
            </w:r>
            <w:r>
              <w:rPr>
                <w:rFonts w:ascii="Times New Roman" w:hAnsi="Times New Roman" w:cs="Times New Roman"/>
                <w:b/>
                <w:bCs/>
                <w:sz w:val="14"/>
                <w:szCs w:val="14"/>
                <w:lang w:eastAsia="sk-SK"/>
              </w:rPr>
              <w:t>68</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424</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252</w:t>
            </w:r>
          </w:p>
        </w:tc>
        <w:tc>
          <w:tcPr>
            <w:tcW w:w="859"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w:t>
            </w:r>
            <w:r>
              <w:rPr>
                <w:rFonts w:ascii="Times New Roman" w:hAnsi="Times New Roman" w:cs="Times New Roman"/>
                <w:b/>
                <w:bCs/>
                <w:sz w:val="14"/>
                <w:szCs w:val="14"/>
                <w:lang w:eastAsia="sk-SK"/>
              </w:rPr>
              <w:t>83</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270</w:t>
            </w:r>
            <w:r w:rsidRPr="00D26052">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031</w:t>
            </w:r>
          </w:p>
        </w:tc>
        <w:tc>
          <w:tcPr>
            <w:tcW w:w="894"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D26052" w:rsidRDefault="007D13F3" w:rsidP="00465CAC">
            <w:pPr>
              <w:jc w:val="right"/>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w:t>
            </w:r>
            <w:r>
              <w:rPr>
                <w:rFonts w:ascii="Times New Roman" w:hAnsi="Times New Roman" w:cs="Times New Roman"/>
                <w:b/>
                <w:bCs/>
                <w:sz w:val="14"/>
                <w:szCs w:val="14"/>
                <w:lang w:eastAsia="sk-SK"/>
              </w:rPr>
              <w:t>82</w:t>
            </w:r>
            <w:r w:rsidRPr="00D26052">
              <w:rPr>
                <w:rFonts w:ascii="Times New Roman" w:hAnsi="Times New Roman" w:cs="Times New Roman"/>
                <w:b/>
                <w:bCs/>
                <w:sz w:val="14"/>
                <w:szCs w:val="14"/>
                <w:lang w:eastAsia="sk-SK"/>
              </w:rPr>
              <w:t> </w:t>
            </w:r>
            <w:r>
              <w:rPr>
                <w:rFonts w:ascii="Times New Roman" w:hAnsi="Times New Roman" w:cs="Times New Roman"/>
                <w:b/>
                <w:bCs/>
                <w:sz w:val="14"/>
                <w:szCs w:val="14"/>
                <w:lang w:eastAsia="sk-SK"/>
              </w:rPr>
              <w:t>062 625</w:t>
            </w:r>
          </w:p>
        </w:tc>
      </w:tr>
      <w:tr w:rsidR="007D13F3" w:rsidRPr="00D26052" w:rsidTr="00465CAC">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EÚ zdroje + spolufinancovanie</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w:t>
            </w:r>
            <w:r w:rsidRPr="00D26052">
              <w:rPr>
                <w:rFonts w:ascii="Times New Roman" w:hAnsi="Times New Roman" w:cs="Times New Roman"/>
                <w:sz w:val="14"/>
                <w:szCs w:val="14"/>
                <w:lang w:eastAsia="sk-SK"/>
              </w:rPr>
              <w:t>2 6</w:t>
            </w:r>
            <w:r>
              <w:rPr>
                <w:rFonts w:ascii="Times New Roman" w:hAnsi="Times New Roman" w:cs="Times New Roman"/>
                <w:sz w:val="14"/>
                <w:szCs w:val="14"/>
                <w:lang w:eastAsia="sk-SK"/>
              </w:rPr>
              <w:t>92</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325</w:t>
            </w:r>
          </w:p>
        </w:tc>
        <w:tc>
          <w:tcPr>
            <w:tcW w:w="992"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7</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247</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5</w:t>
            </w:r>
            <w:r w:rsidRPr="00D26052">
              <w:rPr>
                <w:rFonts w:ascii="Times New Roman" w:hAnsi="Times New Roman" w:cs="Times New Roman"/>
                <w:sz w:val="14"/>
                <w:szCs w:val="14"/>
                <w:lang w:eastAsia="sk-SK"/>
              </w:rPr>
              <w:t>1</w:t>
            </w:r>
            <w:r>
              <w:rPr>
                <w:rFonts w:ascii="Times New Roman" w:hAnsi="Times New Roman" w:cs="Times New Roman"/>
                <w:sz w:val="14"/>
                <w:szCs w:val="14"/>
                <w:lang w:eastAsia="sk-SK"/>
              </w:rPr>
              <w:t>4</w:t>
            </w:r>
          </w:p>
        </w:tc>
        <w:tc>
          <w:tcPr>
            <w:tcW w:w="84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30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294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w:t>
            </w:r>
            <w:r w:rsidRPr="00D26052">
              <w:rPr>
                <w:rFonts w:ascii="Times New Roman" w:hAnsi="Times New Roman" w:cs="Times New Roman"/>
                <w:sz w:val="14"/>
                <w:szCs w:val="14"/>
                <w:lang w:eastAsia="sk-SK"/>
              </w:rPr>
              <w:t>7</w:t>
            </w:r>
            <w:r>
              <w:rPr>
                <w:rFonts w:ascii="Times New Roman" w:hAnsi="Times New Roman" w:cs="Times New Roman"/>
                <w:sz w:val="14"/>
                <w:szCs w:val="14"/>
                <w:lang w:eastAsia="sk-SK"/>
              </w:rPr>
              <w:t>4</w:t>
            </w:r>
          </w:p>
        </w:tc>
        <w:tc>
          <w:tcPr>
            <w:tcW w:w="877"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95</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924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624</w:t>
            </w:r>
          </w:p>
        </w:tc>
        <w:tc>
          <w:tcPr>
            <w:tcW w:w="920"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26</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948</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291</w:t>
            </w:r>
          </w:p>
        </w:tc>
        <w:tc>
          <w:tcPr>
            <w:tcW w:w="85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39</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17</w:t>
            </w:r>
            <w:r w:rsidRPr="00D26052">
              <w:rPr>
                <w:rFonts w:ascii="Times New Roman" w:hAnsi="Times New Roman" w:cs="Times New Roman"/>
                <w:sz w:val="14"/>
                <w:szCs w:val="14"/>
                <w:lang w:eastAsia="sk-SK"/>
              </w:rPr>
              <w:t xml:space="preserve">6 </w:t>
            </w:r>
            <w:r>
              <w:rPr>
                <w:rFonts w:ascii="Times New Roman" w:hAnsi="Times New Roman" w:cs="Times New Roman"/>
                <w:sz w:val="14"/>
                <w:szCs w:val="14"/>
                <w:lang w:eastAsia="sk-SK"/>
              </w:rPr>
              <w:t>59</w:t>
            </w:r>
            <w:r w:rsidRPr="00D26052">
              <w:rPr>
                <w:rFonts w:ascii="Times New Roman" w:hAnsi="Times New Roman" w:cs="Times New Roman"/>
                <w:sz w:val="14"/>
                <w:szCs w:val="14"/>
                <w:lang w:eastAsia="sk-SK"/>
              </w:rPr>
              <w:t>8</w:t>
            </w:r>
          </w:p>
        </w:tc>
        <w:tc>
          <w:tcPr>
            <w:tcW w:w="894"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37 16</w:t>
            </w: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 xml:space="preserve"> 021</w:t>
            </w:r>
          </w:p>
        </w:tc>
      </w:tr>
      <w:tr w:rsidR="007D13F3" w:rsidRPr="00D26052" w:rsidTr="00465CAC">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v tom:</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w:t>
            </w:r>
          </w:p>
        </w:tc>
        <w:tc>
          <w:tcPr>
            <w:tcW w:w="84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w:t>
            </w:r>
          </w:p>
        </w:tc>
        <w:tc>
          <w:tcPr>
            <w:tcW w:w="877"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w:t>
            </w:r>
          </w:p>
        </w:tc>
        <w:tc>
          <w:tcPr>
            <w:tcW w:w="920"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w:t>
            </w:r>
          </w:p>
        </w:tc>
        <w:tc>
          <w:tcPr>
            <w:tcW w:w="85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w:t>
            </w:r>
          </w:p>
        </w:tc>
        <w:tc>
          <w:tcPr>
            <w:tcW w:w="894"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w:t>
            </w:r>
          </w:p>
        </w:tc>
      </w:tr>
      <w:tr w:rsidR="007D13F3" w:rsidRPr="00D26052" w:rsidTr="00465CAC">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2. programové obdobie</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w:t>
            </w:r>
            <w:r w:rsidRPr="00D26052">
              <w:rPr>
                <w:rFonts w:ascii="Times New Roman" w:hAnsi="Times New Roman" w:cs="Times New Roman"/>
                <w:sz w:val="14"/>
                <w:szCs w:val="14"/>
                <w:lang w:eastAsia="sk-SK"/>
              </w:rPr>
              <w:t>2 6</w:t>
            </w:r>
            <w:r>
              <w:rPr>
                <w:rFonts w:ascii="Times New Roman" w:hAnsi="Times New Roman" w:cs="Times New Roman"/>
                <w:sz w:val="14"/>
                <w:szCs w:val="14"/>
                <w:lang w:eastAsia="sk-SK"/>
              </w:rPr>
              <w:t>92</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325</w:t>
            </w:r>
          </w:p>
        </w:tc>
        <w:tc>
          <w:tcPr>
            <w:tcW w:w="992"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3</w:t>
            </w:r>
            <w:r>
              <w:rPr>
                <w:rFonts w:ascii="Times New Roman" w:hAnsi="Times New Roman" w:cs="Times New Roman"/>
                <w:sz w:val="14"/>
                <w:szCs w:val="14"/>
                <w:lang w:eastAsia="sk-SK"/>
              </w:rPr>
              <w:t>89</w:t>
            </w:r>
            <w:r w:rsidRPr="00D26052">
              <w:rPr>
                <w:rFonts w:ascii="Times New Roman" w:hAnsi="Times New Roman" w:cs="Times New Roman"/>
                <w:sz w:val="14"/>
                <w:szCs w:val="14"/>
                <w:lang w:eastAsia="sk-SK"/>
              </w:rPr>
              <w:t xml:space="preserve"> 81</w:t>
            </w:r>
            <w:r>
              <w:rPr>
                <w:rFonts w:ascii="Times New Roman" w:hAnsi="Times New Roman" w:cs="Times New Roman"/>
                <w:sz w:val="14"/>
                <w:szCs w:val="14"/>
                <w:lang w:eastAsia="sk-SK"/>
              </w:rPr>
              <w:t>9</w:t>
            </w:r>
          </w:p>
        </w:tc>
        <w:tc>
          <w:tcPr>
            <w:tcW w:w="84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0</w:t>
            </w:r>
          </w:p>
        </w:tc>
        <w:tc>
          <w:tcPr>
            <w:tcW w:w="877"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0</w:t>
            </w:r>
          </w:p>
        </w:tc>
        <w:tc>
          <w:tcPr>
            <w:tcW w:w="920"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0</w:t>
            </w:r>
          </w:p>
        </w:tc>
        <w:tc>
          <w:tcPr>
            <w:tcW w:w="85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0</w:t>
            </w:r>
          </w:p>
        </w:tc>
        <w:tc>
          <w:tcPr>
            <w:tcW w:w="894"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0</w:t>
            </w:r>
          </w:p>
        </w:tc>
      </w:tr>
      <w:tr w:rsidR="007D13F3" w:rsidRPr="00D26052" w:rsidTr="00465CAC">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3. programové obdobie</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0</w:t>
            </w:r>
          </w:p>
        </w:tc>
        <w:tc>
          <w:tcPr>
            <w:tcW w:w="992"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6 857 695</w:t>
            </w:r>
          </w:p>
        </w:tc>
        <w:tc>
          <w:tcPr>
            <w:tcW w:w="84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30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294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w:t>
            </w:r>
            <w:r w:rsidRPr="00D26052">
              <w:rPr>
                <w:rFonts w:ascii="Times New Roman" w:hAnsi="Times New Roman" w:cs="Times New Roman"/>
                <w:sz w:val="14"/>
                <w:szCs w:val="14"/>
                <w:lang w:eastAsia="sk-SK"/>
              </w:rPr>
              <w:t>7</w:t>
            </w:r>
            <w:r>
              <w:rPr>
                <w:rFonts w:ascii="Times New Roman" w:hAnsi="Times New Roman" w:cs="Times New Roman"/>
                <w:sz w:val="14"/>
                <w:szCs w:val="14"/>
                <w:lang w:eastAsia="sk-SK"/>
              </w:rPr>
              <w:t>4</w:t>
            </w:r>
          </w:p>
        </w:tc>
        <w:tc>
          <w:tcPr>
            <w:tcW w:w="877"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95</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924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624</w:t>
            </w:r>
          </w:p>
        </w:tc>
        <w:tc>
          <w:tcPr>
            <w:tcW w:w="920"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26</w:t>
            </w:r>
            <w:r w:rsidRPr="00D26052">
              <w:rPr>
                <w:rFonts w:ascii="Times New Roman" w:hAnsi="Times New Roman" w:cs="Times New Roman"/>
                <w:sz w:val="14"/>
                <w:szCs w:val="14"/>
                <w:lang w:eastAsia="sk-SK"/>
              </w:rPr>
              <w:t xml:space="preserve"> 9</w:t>
            </w:r>
            <w:r>
              <w:rPr>
                <w:rFonts w:ascii="Times New Roman" w:hAnsi="Times New Roman" w:cs="Times New Roman"/>
                <w:sz w:val="14"/>
                <w:szCs w:val="14"/>
                <w:lang w:eastAsia="sk-SK"/>
              </w:rPr>
              <w:t>48</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291</w:t>
            </w:r>
          </w:p>
        </w:tc>
        <w:tc>
          <w:tcPr>
            <w:tcW w:w="85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39</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17</w:t>
            </w:r>
            <w:r w:rsidRPr="00D26052">
              <w:rPr>
                <w:rFonts w:ascii="Times New Roman" w:hAnsi="Times New Roman" w:cs="Times New Roman"/>
                <w:sz w:val="14"/>
                <w:szCs w:val="14"/>
                <w:lang w:eastAsia="sk-SK"/>
              </w:rPr>
              <w:t xml:space="preserve">6 </w:t>
            </w:r>
            <w:r>
              <w:rPr>
                <w:rFonts w:ascii="Times New Roman" w:hAnsi="Times New Roman" w:cs="Times New Roman"/>
                <w:sz w:val="14"/>
                <w:szCs w:val="14"/>
                <w:lang w:eastAsia="sk-SK"/>
              </w:rPr>
              <w:t>598</w:t>
            </w:r>
          </w:p>
        </w:tc>
        <w:tc>
          <w:tcPr>
            <w:tcW w:w="894"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w:t>
            </w:r>
            <w:r>
              <w:rPr>
                <w:rFonts w:ascii="Times New Roman" w:hAnsi="Times New Roman" w:cs="Times New Roman"/>
                <w:sz w:val="14"/>
                <w:szCs w:val="14"/>
                <w:lang w:eastAsia="sk-SK"/>
              </w:rPr>
              <w:t>37</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16</w:t>
            </w:r>
            <w:r w:rsidRPr="00D26052">
              <w:rPr>
                <w:rFonts w:ascii="Times New Roman" w:hAnsi="Times New Roman" w:cs="Times New Roman"/>
                <w:sz w:val="14"/>
                <w:szCs w:val="14"/>
                <w:lang w:eastAsia="sk-SK"/>
              </w:rPr>
              <w:t xml:space="preserve">2 </w:t>
            </w:r>
            <w:r>
              <w:rPr>
                <w:rFonts w:ascii="Times New Roman" w:hAnsi="Times New Roman" w:cs="Times New Roman"/>
                <w:sz w:val="14"/>
                <w:szCs w:val="14"/>
                <w:lang w:eastAsia="sk-SK"/>
              </w:rPr>
              <w:t>021</w:t>
            </w:r>
          </w:p>
        </w:tc>
      </w:tr>
      <w:tr w:rsidR="007D13F3" w:rsidRPr="00D26052" w:rsidTr="00465CAC">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presun z minulých rokov (zdroj 13)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114</w:t>
            </w:r>
            <w:r w:rsidRPr="00D26052">
              <w:rPr>
                <w:rFonts w:ascii="Times New Roman" w:hAnsi="Times New Roman" w:cs="Times New Roman"/>
                <w:sz w:val="14"/>
                <w:szCs w:val="14"/>
                <w:lang w:eastAsia="sk-SK"/>
              </w:rPr>
              <w:t xml:space="preserve"> 6</w:t>
            </w:r>
            <w:r>
              <w:rPr>
                <w:rFonts w:ascii="Times New Roman" w:hAnsi="Times New Roman" w:cs="Times New Roman"/>
                <w:sz w:val="14"/>
                <w:szCs w:val="14"/>
                <w:lang w:eastAsia="sk-SK"/>
              </w:rPr>
              <w:t>34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39</w:t>
            </w:r>
            <w:r w:rsidRPr="00D26052">
              <w:rPr>
                <w:rFonts w:ascii="Times New Roman" w:hAnsi="Times New Roman" w:cs="Times New Roman"/>
                <w:sz w:val="14"/>
                <w:szCs w:val="14"/>
                <w:lang w:eastAsia="sk-SK"/>
              </w:rPr>
              <w:t>6</w:t>
            </w:r>
          </w:p>
        </w:tc>
        <w:tc>
          <w:tcPr>
            <w:tcW w:w="992"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1</w:t>
            </w:r>
            <w:r>
              <w:rPr>
                <w:rFonts w:ascii="Times New Roman" w:hAnsi="Times New Roman" w:cs="Times New Roman"/>
                <w:sz w:val="14"/>
                <w:szCs w:val="14"/>
                <w:lang w:eastAsia="sk-SK"/>
              </w:rPr>
              <w:t>70</w:t>
            </w:r>
            <w:r w:rsidRPr="00D26052">
              <w:rPr>
                <w:rFonts w:ascii="Times New Roman" w:hAnsi="Times New Roman" w:cs="Times New Roman"/>
                <w:sz w:val="14"/>
                <w:szCs w:val="14"/>
                <w:lang w:eastAsia="sk-SK"/>
              </w:rPr>
              <w:t xml:space="preserve"> 8</w:t>
            </w:r>
            <w:r>
              <w:rPr>
                <w:rFonts w:ascii="Times New Roman" w:hAnsi="Times New Roman" w:cs="Times New Roman"/>
                <w:sz w:val="14"/>
                <w:szCs w:val="14"/>
                <w:lang w:eastAsia="sk-SK"/>
              </w:rPr>
              <w:t>98</w:t>
            </w:r>
            <w:r w:rsidRPr="00D26052">
              <w:rPr>
                <w:rFonts w:ascii="Times New Roman" w:hAnsi="Times New Roman" w:cs="Times New Roman"/>
                <w:sz w:val="14"/>
                <w:szCs w:val="14"/>
                <w:lang w:eastAsia="sk-SK"/>
              </w:rPr>
              <w:t xml:space="preserve"> 1</w:t>
            </w:r>
            <w:r>
              <w:rPr>
                <w:rFonts w:ascii="Times New Roman" w:hAnsi="Times New Roman" w:cs="Times New Roman"/>
                <w:sz w:val="14"/>
                <w:szCs w:val="14"/>
                <w:lang w:eastAsia="sk-SK"/>
              </w:rPr>
              <w:t>20</w:t>
            </w:r>
          </w:p>
        </w:tc>
        <w:tc>
          <w:tcPr>
            <w:tcW w:w="84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0</w:t>
            </w:r>
          </w:p>
        </w:tc>
        <w:tc>
          <w:tcPr>
            <w:tcW w:w="877"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1</w:t>
            </w:r>
            <w:r>
              <w:rPr>
                <w:rFonts w:ascii="Times New Roman" w:hAnsi="Times New Roman" w:cs="Times New Roman"/>
                <w:sz w:val="14"/>
                <w:szCs w:val="14"/>
                <w:lang w:eastAsia="sk-SK"/>
              </w:rPr>
              <w:t>89</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70</w:t>
            </w:r>
            <w:r w:rsidRPr="00D26052">
              <w:rPr>
                <w:rFonts w:ascii="Times New Roman" w:hAnsi="Times New Roman" w:cs="Times New Roman"/>
                <w:sz w:val="14"/>
                <w:szCs w:val="14"/>
                <w:lang w:eastAsia="sk-SK"/>
              </w:rPr>
              <w:t xml:space="preserve">3 </w:t>
            </w:r>
            <w:r>
              <w:rPr>
                <w:rFonts w:ascii="Times New Roman" w:hAnsi="Times New Roman" w:cs="Times New Roman"/>
                <w:sz w:val="14"/>
                <w:szCs w:val="14"/>
                <w:lang w:eastAsia="sk-SK"/>
              </w:rPr>
              <w:t>065</w:t>
            </w:r>
          </w:p>
        </w:tc>
        <w:tc>
          <w:tcPr>
            <w:tcW w:w="920"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0</w:t>
            </w:r>
          </w:p>
        </w:tc>
        <w:tc>
          <w:tcPr>
            <w:tcW w:w="85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0</w:t>
            </w:r>
          </w:p>
        </w:tc>
        <w:tc>
          <w:tcPr>
            <w:tcW w:w="894"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0</w:t>
            </w:r>
          </w:p>
        </w:tc>
      </w:tr>
      <w:tr w:rsidR="007D13F3" w:rsidRPr="00D26052" w:rsidTr="00465CAC">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Ľudské zdroje zo štátneho rozpočtu</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55</w:t>
            </w:r>
            <w:r w:rsidRPr="00D26052">
              <w:rPr>
                <w:rFonts w:ascii="Times New Roman" w:hAnsi="Times New Roman" w:cs="Times New Roman"/>
                <w:sz w:val="14"/>
                <w:szCs w:val="14"/>
                <w:lang w:eastAsia="sk-SK"/>
              </w:rPr>
              <w:t xml:space="preserve">7 </w:t>
            </w:r>
            <w:r>
              <w:rPr>
                <w:rFonts w:ascii="Times New Roman" w:hAnsi="Times New Roman" w:cs="Times New Roman"/>
                <w:sz w:val="14"/>
                <w:szCs w:val="14"/>
                <w:lang w:eastAsia="sk-SK"/>
              </w:rPr>
              <w:t>774</w:t>
            </w:r>
          </w:p>
        </w:tc>
        <w:tc>
          <w:tcPr>
            <w:tcW w:w="992"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58</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164</w:t>
            </w:r>
            <w:r w:rsidRPr="00D26052">
              <w:rPr>
                <w:rFonts w:ascii="Times New Roman" w:hAnsi="Times New Roman" w:cs="Times New Roman"/>
                <w:sz w:val="14"/>
                <w:szCs w:val="14"/>
                <w:lang w:eastAsia="sk-SK"/>
              </w:rPr>
              <w:t xml:space="preserve"> 77</w:t>
            </w:r>
            <w:r>
              <w:rPr>
                <w:rFonts w:ascii="Times New Roman" w:hAnsi="Times New Roman" w:cs="Times New Roman"/>
                <w:sz w:val="14"/>
                <w:szCs w:val="14"/>
                <w:lang w:eastAsia="sk-SK"/>
              </w:rPr>
              <w:t>7</w:t>
            </w:r>
          </w:p>
        </w:tc>
        <w:tc>
          <w:tcPr>
            <w:tcW w:w="84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51</w:t>
            </w:r>
            <w:r w:rsidRPr="00D26052">
              <w:rPr>
                <w:rFonts w:ascii="Times New Roman" w:hAnsi="Times New Roman" w:cs="Times New Roman"/>
                <w:sz w:val="14"/>
                <w:szCs w:val="14"/>
                <w:lang w:eastAsia="sk-SK"/>
              </w:rPr>
              <w:t xml:space="preserve"> 6</w:t>
            </w:r>
            <w:r>
              <w:rPr>
                <w:rFonts w:ascii="Times New Roman" w:hAnsi="Times New Roman" w:cs="Times New Roman"/>
                <w:sz w:val="14"/>
                <w:szCs w:val="14"/>
                <w:lang w:eastAsia="sk-SK"/>
              </w:rPr>
              <w:t>81</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w:t>
            </w:r>
            <w:r w:rsidRPr="00D26052">
              <w:rPr>
                <w:rFonts w:ascii="Times New Roman" w:hAnsi="Times New Roman" w:cs="Times New Roman"/>
                <w:sz w:val="14"/>
                <w:szCs w:val="14"/>
                <w:lang w:eastAsia="sk-SK"/>
              </w:rPr>
              <w:t>8</w:t>
            </w:r>
            <w:r>
              <w:rPr>
                <w:rFonts w:ascii="Times New Roman" w:hAnsi="Times New Roman" w:cs="Times New Roman"/>
                <w:sz w:val="14"/>
                <w:szCs w:val="14"/>
                <w:lang w:eastAsia="sk-SK"/>
              </w:rPr>
              <w:t>1</w:t>
            </w:r>
          </w:p>
        </w:tc>
        <w:tc>
          <w:tcPr>
            <w:tcW w:w="877"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5</w:t>
            </w:r>
            <w:r>
              <w:rPr>
                <w:rFonts w:ascii="Times New Roman" w:hAnsi="Times New Roman" w:cs="Times New Roman"/>
                <w:sz w:val="14"/>
                <w:szCs w:val="14"/>
                <w:lang w:eastAsia="sk-SK"/>
              </w:rPr>
              <w:t>1</w:t>
            </w:r>
            <w:r w:rsidRPr="00D26052">
              <w:rPr>
                <w:rFonts w:ascii="Times New Roman" w:hAnsi="Times New Roman" w:cs="Times New Roman"/>
                <w:sz w:val="14"/>
                <w:szCs w:val="14"/>
                <w:lang w:eastAsia="sk-SK"/>
              </w:rPr>
              <w:t> </w:t>
            </w:r>
            <w:r>
              <w:rPr>
                <w:rFonts w:ascii="Times New Roman" w:hAnsi="Times New Roman" w:cs="Times New Roman"/>
                <w:sz w:val="14"/>
                <w:szCs w:val="14"/>
                <w:lang w:eastAsia="sk-SK"/>
              </w:rPr>
              <w:t>733</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899</w:t>
            </w:r>
          </w:p>
        </w:tc>
        <w:tc>
          <w:tcPr>
            <w:tcW w:w="920"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41 475 961</w:t>
            </w:r>
          </w:p>
        </w:tc>
        <w:tc>
          <w:tcPr>
            <w:tcW w:w="85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093</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433</w:t>
            </w:r>
          </w:p>
        </w:tc>
        <w:tc>
          <w:tcPr>
            <w:tcW w:w="894"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900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604</w:t>
            </w:r>
          </w:p>
        </w:tc>
      </w:tr>
      <w:tr w:rsidR="007D13F3" w:rsidRPr="00D26052" w:rsidTr="00465CAC">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z toho:</w:t>
            </w:r>
          </w:p>
        </w:tc>
        <w:tc>
          <w:tcPr>
            <w:tcW w:w="992"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w:t>
            </w:r>
          </w:p>
        </w:tc>
        <w:tc>
          <w:tcPr>
            <w:tcW w:w="84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w:t>
            </w:r>
          </w:p>
        </w:tc>
        <w:tc>
          <w:tcPr>
            <w:tcW w:w="877"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w:t>
            </w:r>
          </w:p>
        </w:tc>
        <w:tc>
          <w:tcPr>
            <w:tcW w:w="920"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w:t>
            </w:r>
          </w:p>
        </w:tc>
        <w:tc>
          <w:tcPr>
            <w:tcW w:w="85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w:t>
            </w:r>
          </w:p>
        </w:tc>
        <w:tc>
          <w:tcPr>
            <w:tcW w:w="894"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w:t>
            </w:r>
          </w:p>
        </w:tc>
      </w:tr>
      <w:tr w:rsidR="007D13F3" w:rsidRPr="00D26052" w:rsidTr="00465CAC">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národné programy</w:t>
            </w:r>
          </w:p>
        </w:tc>
        <w:tc>
          <w:tcPr>
            <w:tcW w:w="992"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21</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976</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w:t>
            </w:r>
            <w:r w:rsidRPr="00D26052">
              <w:rPr>
                <w:rFonts w:ascii="Times New Roman" w:hAnsi="Times New Roman" w:cs="Times New Roman"/>
                <w:sz w:val="14"/>
                <w:szCs w:val="14"/>
                <w:lang w:eastAsia="sk-SK"/>
              </w:rPr>
              <w:t>8</w:t>
            </w:r>
            <w:r>
              <w:rPr>
                <w:rFonts w:ascii="Times New Roman" w:hAnsi="Times New Roman" w:cs="Times New Roman"/>
                <w:sz w:val="14"/>
                <w:szCs w:val="14"/>
                <w:lang w:eastAsia="sk-SK"/>
              </w:rPr>
              <w:t>3</w:t>
            </w:r>
          </w:p>
        </w:tc>
        <w:tc>
          <w:tcPr>
            <w:tcW w:w="992"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5</w:t>
            </w:r>
            <w:r w:rsidRPr="00D26052">
              <w:rPr>
                <w:rFonts w:ascii="Times New Roman" w:hAnsi="Times New Roman" w:cs="Times New Roman"/>
                <w:sz w:val="14"/>
                <w:szCs w:val="14"/>
                <w:lang w:eastAsia="sk-SK"/>
              </w:rPr>
              <w:t>1 9</w:t>
            </w:r>
            <w:r>
              <w:rPr>
                <w:rFonts w:ascii="Times New Roman" w:hAnsi="Times New Roman" w:cs="Times New Roman"/>
                <w:sz w:val="14"/>
                <w:szCs w:val="14"/>
                <w:lang w:eastAsia="sk-SK"/>
              </w:rPr>
              <w:t>25</w:t>
            </w:r>
            <w:r w:rsidRPr="00D26052">
              <w:rPr>
                <w:rFonts w:ascii="Times New Roman" w:hAnsi="Times New Roman" w:cs="Times New Roman"/>
                <w:sz w:val="14"/>
                <w:szCs w:val="14"/>
                <w:lang w:eastAsia="sk-SK"/>
              </w:rPr>
              <w:t xml:space="preserve"> 3</w:t>
            </w:r>
            <w:r>
              <w:rPr>
                <w:rFonts w:ascii="Times New Roman" w:hAnsi="Times New Roman" w:cs="Times New Roman"/>
                <w:sz w:val="14"/>
                <w:szCs w:val="14"/>
                <w:lang w:eastAsia="sk-SK"/>
              </w:rPr>
              <w:t>77</w:t>
            </w:r>
          </w:p>
        </w:tc>
        <w:tc>
          <w:tcPr>
            <w:tcW w:w="84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893</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57</w:t>
            </w:r>
            <w:r w:rsidRPr="00D26052">
              <w:rPr>
                <w:rFonts w:ascii="Times New Roman" w:hAnsi="Times New Roman" w:cs="Times New Roman"/>
                <w:sz w:val="14"/>
                <w:szCs w:val="14"/>
                <w:lang w:eastAsia="sk-SK"/>
              </w:rPr>
              <w:t>0</w:t>
            </w:r>
          </w:p>
        </w:tc>
        <w:tc>
          <w:tcPr>
            <w:tcW w:w="877"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4</w:t>
            </w:r>
            <w:r>
              <w:rPr>
                <w:rFonts w:ascii="Times New Roman" w:hAnsi="Times New Roman" w:cs="Times New Roman"/>
                <w:sz w:val="14"/>
                <w:szCs w:val="14"/>
                <w:lang w:eastAsia="sk-SK"/>
              </w:rPr>
              <w:t>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919</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65</w:t>
            </w:r>
            <w:r w:rsidRPr="00D26052">
              <w:rPr>
                <w:rFonts w:ascii="Times New Roman" w:hAnsi="Times New Roman" w:cs="Times New Roman"/>
                <w:sz w:val="14"/>
                <w:szCs w:val="14"/>
                <w:lang w:eastAsia="sk-SK"/>
              </w:rPr>
              <w:t>0</w:t>
            </w:r>
          </w:p>
        </w:tc>
        <w:tc>
          <w:tcPr>
            <w:tcW w:w="920"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471</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350</w:t>
            </w:r>
          </w:p>
        </w:tc>
        <w:tc>
          <w:tcPr>
            <w:tcW w:w="85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w:t>
            </w:r>
            <w:r w:rsidRPr="00D26052">
              <w:rPr>
                <w:rFonts w:ascii="Times New Roman" w:hAnsi="Times New Roman" w:cs="Times New Roman"/>
                <w:sz w:val="14"/>
                <w:szCs w:val="14"/>
                <w:lang w:eastAsia="sk-SK"/>
              </w:rPr>
              <w:t xml:space="preserve">9 </w:t>
            </w:r>
            <w:r>
              <w:rPr>
                <w:rFonts w:ascii="Times New Roman" w:hAnsi="Times New Roman" w:cs="Times New Roman"/>
                <w:sz w:val="14"/>
                <w:szCs w:val="14"/>
                <w:lang w:eastAsia="sk-SK"/>
              </w:rPr>
              <w:t>269</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050</w:t>
            </w:r>
          </w:p>
        </w:tc>
        <w:tc>
          <w:tcPr>
            <w:tcW w:w="894"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39</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271</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350</w:t>
            </w:r>
          </w:p>
        </w:tc>
      </w:tr>
      <w:tr w:rsidR="007D13F3" w:rsidRPr="00D26052" w:rsidTr="00465CAC">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financovanie dvoch RO</w:t>
            </w:r>
          </w:p>
        </w:tc>
        <w:tc>
          <w:tcPr>
            <w:tcW w:w="992"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2 7</w:t>
            </w:r>
            <w:r>
              <w:rPr>
                <w:rFonts w:ascii="Times New Roman" w:hAnsi="Times New Roman" w:cs="Times New Roman"/>
                <w:sz w:val="14"/>
                <w:szCs w:val="14"/>
                <w:lang w:eastAsia="sk-SK"/>
              </w:rPr>
              <w:t>39</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311</w:t>
            </w:r>
          </w:p>
        </w:tc>
        <w:tc>
          <w:tcPr>
            <w:tcW w:w="992"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2 </w:t>
            </w:r>
            <w:r>
              <w:rPr>
                <w:rFonts w:ascii="Times New Roman" w:hAnsi="Times New Roman" w:cs="Times New Roman"/>
                <w:sz w:val="14"/>
                <w:szCs w:val="14"/>
                <w:lang w:eastAsia="sk-SK"/>
              </w:rPr>
              <w:t>858</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255</w:t>
            </w:r>
          </w:p>
        </w:tc>
        <w:tc>
          <w:tcPr>
            <w:tcW w:w="84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2 </w:t>
            </w:r>
            <w:r>
              <w:rPr>
                <w:rFonts w:ascii="Times New Roman" w:hAnsi="Times New Roman" w:cs="Times New Roman"/>
                <w:sz w:val="14"/>
                <w:szCs w:val="14"/>
                <w:lang w:eastAsia="sk-SK"/>
              </w:rPr>
              <w:t>90</w:t>
            </w:r>
            <w:r w:rsidRPr="00D26052">
              <w:rPr>
                <w:rFonts w:ascii="Times New Roman" w:hAnsi="Times New Roman" w:cs="Times New Roman"/>
                <w:sz w:val="14"/>
                <w:szCs w:val="14"/>
                <w:lang w:eastAsia="sk-SK"/>
              </w:rPr>
              <w:t xml:space="preserve">4 </w:t>
            </w:r>
            <w:r>
              <w:rPr>
                <w:rFonts w:ascii="Times New Roman" w:hAnsi="Times New Roman" w:cs="Times New Roman"/>
                <w:sz w:val="14"/>
                <w:szCs w:val="14"/>
                <w:lang w:eastAsia="sk-SK"/>
              </w:rPr>
              <w:t>544</w:t>
            </w:r>
          </w:p>
        </w:tc>
        <w:tc>
          <w:tcPr>
            <w:tcW w:w="877"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2 </w:t>
            </w:r>
            <w:r>
              <w:rPr>
                <w:rFonts w:ascii="Times New Roman" w:hAnsi="Times New Roman" w:cs="Times New Roman"/>
                <w:sz w:val="14"/>
                <w:szCs w:val="14"/>
                <w:lang w:eastAsia="sk-SK"/>
              </w:rPr>
              <w:t>930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682</w:t>
            </w:r>
          </w:p>
        </w:tc>
        <w:tc>
          <w:tcPr>
            <w:tcW w:w="920"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2 9</w:t>
            </w:r>
            <w:r>
              <w:rPr>
                <w:rFonts w:ascii="Times New Roman" w:hAnsi="Times New Roman" w:cs="Times New Roman"/>
                <w:sz w:val="14"/>
                <w:szCs w:val="14"/>
                <w:lang w:eastAsia="sk-SK"/>
              </w:rPr>
              <w:t>80</w:t>
            </w:r>
            <w:r w:rsidRPr="00D26052">
              <w:rPr>
                <w:rFonts w:ascii="Times New Roman" w:hAnsi="Times New Roman" w:cs="Times New Roman"/>
                <w:sz w:val="14"/>
                <w:szCs w:val="14"/>
                <w:lang w:eastAsia="sk-SK"/>
              </w:rPr>
              <w:t> </w:t>
            </w:r>
            <w:r>
              <w:rPr>
                <w:rFonts w:ascii="Times New Roman" w:hAnsi="Times New Roman" w:cs="Times New Roman"/>
                <w:sz w:val="14"/>
                <w:szCs w:val="14"/>
                <w:lang w:eastAsia="sk-SK"/>
              </w:rPr>
              <w:t>507</w:t>
            </w:r>
            <w:r w:rsidRPr="00D26052">
              <w:rPr>
                <w:rFonts w:ascii="Times New Roman" w:hAnsi="Times New Roman" w:cs="Times New Roman"/>
                <w:sz w:val="14"/>
                <w:szCs w:val="14"/>
                <w:lang w:eastAsia="sk-SK"/>
              </w:rPr>
              <w:t xml:space="preserve"> </w:t>
            </w:r>
          </w:p>
        </w:tc>
        <w:tc>
          <w:tcPr>
            <w:tcW w:w="85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2 9</w:t>
            </w:r>
            <w:r>
              <w:rPr>
                <w:rFonts w:ascii="Times New Roman" w:hAnsi="Times New Roman" w:cs="Times New Roman"/>
                <w:sz w:val="14"/>
                <w:szCs w:val="14"/>
                <w:lang w:eastAsia="sk-SK"/>
              </w:rPr>
              <w:t>80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507</w:t>
            </w:r>
          </w:p>
        </w:tc>
        <w:tc>
          <w:tcPr>
            <w:tcW w:w="894"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sidRPr="00D26052">
              <w:rPr>
                <w:rFonts w:ascii="Times New Roman" w:hAnsi="Times New Roman" w:cs="Times New Roman"/>
                <w:sz w:val="14"/>
                <w:szCs w:val="14"/>
                <w:lang w:eastAsia="sk-SK"/>
              </w:rPr>
              <w:t>2 9</w:t>
            </w:r>
            <w:r>
              <w:rPr>
                <w:rFonts w:ascii="Times New Roman" w:hAnsi="Times New Roman" w:cs="Times New Roman"/>
                <w:sz w:val="14"/>
                <w:szCs w:val="14"/>
                <w:lang w:eastAsia="sk-SK"/>
              </w:rPr>
              <w:t>80</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507</w:t>
            </w:r>
          </w:p>
        </w:tc>
      </w:tr>
      <w:tr w:rsidR="007D13F3" w:rsidRPr="00D26052" w:rsidTr="00465CAC">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7D13F3" w:rsidRPr="00D26052" w:rsidRDefault="007D13F3" w:rsidP="00465CAC">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investičné stimuly</w:t>
            </w:r>
          </w:p>
        </w:tc>
        <w:tc>
          <w:tcPr>
            <w:tcW w:w="992"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5</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841</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780</w:t>
            </w:r>
          </w:p>
        </w:tc>
        <w:tc>
          <w:tcPr>
            <w:tcW w:w="992"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3</w:t>
            </w:r>
            <w:r w:rsidRPr="00D26052">
              <w:rPr>
                <w:rFonts w:ascii="Times New Roman" w:hAnsi="Times New Roman" w:cs="Times New Roman"/>
                <w:sz w:val="14"/>
                <w:szCs w:val="14"/>
                <w:lang w:eastAsia="sk-SK"/>
              </w:rPr>
              <w:t xml:space="preserve">81 </w:t>
            </w:r>
            <w:r>
              <w:rPr>
                <w:rFonts w:ascii="Times New Roman" w:hAnsi="Times New Roman" w:cs="Times New Roman"/>
                <w:sz w:val="14"/>
                <w:szCs w:val="14"/>
                <w:lang w:eastAsia="sk-SK"/>
              </w:rPr>
              <w:t>145</w:t>
            </w:r>
          </w:p>
        </w:tc>
        <w:tc>
          <w:tcPr>
            <w:tcW w:w="84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7</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883</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567</w:t>
            </w:r>
          </w:p>
        </w:tc>
        <w:tc>
          <w:tcPr>
            <w:tcW w:w="877"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7</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883</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567</w:t>
            </w:r>
          </w:p>
        </w:tc>
        <w:tc>
          <w:tcPr>
            <w:tcW w:w="920"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024</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104</w:t>
            </w:r>
          </w:p>
        </w:tc>
        <w:tc>
          <w:tcPr>
            <w:tcW w:w="859"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843</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876</w:t>
            </w:r>
          </w:p>
        </w:tc>
        <w:tc>
          <w:tcPr>
            <w:tcW w:w="894" w:type="dxa"/>
            <w:tcBorders>
              <w:top w:val="nil"/>
              <w:left w:val="nil"/>
              <w:bottom w:val="single" w:sz="4" w:space="0" w:color="auto"/>
              <w:right w:val="single" w:sz="4" w:space="0" w:color="auto"/>
            </w:tcBorders>
            <w:shd w:val="clear" w:color="auto" w:fill="auto"/>
            <w:vAlign w:val="bottom"/>
            <w:hideMark/>
          </w:tcPr>
          <w:p w:rsidR="007D13F3" w:rsidRPr="00D26052"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2</w:t>
            </w: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6</w:t>
            </w:r>
            <w:r w:rsidRPr="00D26052">
              <w:rPr>
                <w:rFonts w:ascii="Times New Roman" w:hAnsi="Times New Roman" w:cs="Times New Roman"/>
                <w:sz w:val="14"/>
                <w:szCs w:val="14"/>
                <w:lang w:eastAsia="sk-SK"/>
              </w:rPr>
              <w:t>48 7</w:t>
            </w:r>
            <w:r>
              <w:rPr>
                <w:rFonts w:ascii="Times New Roman" w:hAnsi="Times New Roman" w:cs="Times New Roman"/>
                <w:sz w:val="14"/>
                <w:szCs w:val="14"/>
                <w:lang w:eastAsia="sk-SK"/>
              </w:rPr>
              <w:t>47</w:t>
            </w:r>
          </w:p>
        </w:tc>
      </w:tr>
      <w:tr w:rsidR="007D13F3" w:rsidRPr="002919B7" w:rsidTr="00465CAC">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7D13F3" w:rsidRPr="00931DF9" w:rsidRDefault="007D13F3" w:rsidP="00465CAC">
            <w:pPr>
              <w:rPr>
                <w:rFonts w:ascii="Times New Roman" w:hAnsi="Times New Roman" w:cs="Times New Roman"/>
                <w:sz w:val="14"/>
                <w:szCs w:val="14"/>
                <w:lang w:eastAsia="sk-SK"/>
              </w:rPr>
            </w:pPr>
            <w:r w:rsidRPr="00931DF9">
              <w:rPr>
                <w:rFonts w:ascii="Times New Roman" w:hAnsi="Times New Roman" w:cs="Times New Roman"/>
                <w:sz w:val="14"/>
                <w:szCs w:val="14"/>
                <w:lang w:eastAsia="sk-SK"/>
              </w:rPr>
              <w:t>zdroj 72</w:t>
            </w:r>
          </w:p>
        </w:tc>
        <w:tc>
          <w:tcPr>
            <w:tcW w:w="992" w:type="dxa"/>
            <w:tcBorders>
              <w:top w:val="nil"/>
              <w:left w:val="nil"/>
              <w:bottom w:val="single" w:sz="4" w:space="0" w:color="auto"/>
              <w:right w:val="single" w:sz="4" w:space="0" w:color="auto"/>
            </w:tcBorders>
            <w:shd w:val="clear" w:color="auto" w:fill="auto"/>
            <w:vAlign w:val="bottom"/>
            <w:hideMark/>
          </w:tcPr>
          <w:p w:rsidR="007D13F3" w:rsidRPr="00931DF9" w:rsidRDefault="007D13F3" w:rsidP="00465CAC">
            <w:pPr>
              <w:jc w:val="right"/>
              <w:rPr>
                <w:rFonts w:ascii="Times New Roman" w:hAnsi="Times New Roman" w:cs="Times New Roman"/>
                <w:sz w:val="14"/>
                <w:szCs w:val="14"/>
                <w:lang w:eastAsia="sk-SK"/>
              </w:rPr>
            </w:pPr>
            <w:r w:rsidRPr="00931DF9">
              <w:rPr>
                <w:rFonts w:ascii="Times New Roman" w:hAnsi="Times New Roman" w:cs="Times New Roman"/>
                <w:sz w:val="14"/>
                <w:szCs w:val="14"/>
                <w:lang w:eastAsia="sk-SK"/>
              </w:rPr>
              <w:t>380 493</w:t>
            </w:r>
          </w:p>
        </w:tc>
        <w:tc>
          <w:tcPr>
            <w:tcW w:w="992" w:type="dxa"/>
            <w:tcBorders>
              <w:top w:val="nil"/>
              <w:left w:val="nil"/>
              <w:bottom w:val="single" w:sz="4" w:space="0" w:color="auto"/>
              <w:right w:val="single" w:sz="4" w:space="0" w:color="auto"/>
            </w:tcBorders>
            <w:shd w:val="clear" w:color="auto" w:fill="auto"/>
            <w:vAlign w:val="bottom"/>
            <w:hideMark/>
          </w:tcPr>
          <w:p w:rsidR="007D13F3" w:rsidRPr="00931DF9" w:rsidRDefault="007D13F3" w:rsidP="00465CAC">
            <w:pPr>
              <w:jc w:val="right"/>
              <w:rPr>
                <w:rFonts w:ascii="Times New Roman" w:hAnsi="Times New Roman" w:cs="Times New Roman"/>
                <w:sz w:val="14"/>
                <w:szCs w:val="14"/>
                <w:lang w:eastAsia="sk-SK"/>
              </w:rPr>
            </w:pPr>
            <w:r w:rsidRPr="00931DF9">
              <w:rPr>
                <w:rFonts w:ascii="Times New Roman" w:hAnsi="Times New Roman" w:cs="Times New Roman"/>
                <w:sz w:val="14"/>
                <w:szCs w:val="14"/>
                <w:lang w:eastAsia="sk-SK"/>
              </w:rPr>
              <w:t>99 830</w:t>
            </w:r>
          </w:p>
        </w:tc>
        <w:tc>
          <w:tcPr>
            <w:tcW w:w="849" w:type="dxa"/>
            <w:tcBorders>
              <w:top w:val="nil"/>
              <w:left w:val="nil"/>
              <w:bottom w:val="single" w:sz="4" w:space="0" w:color="auto"/>
              <w:right w:val="single" w:sz="4" w:space="0" w:color="auto"/>
            </w:tcBorders>
            <w:shd w:val="clear" w:color="auto" w:fill="auto"/>
            <w:vAlign w:val="bottom"/>
            <w:hideMark/>
          </w:tcPr>
          <w:p w:rsidR="007D13F3" w:rsidRPr="00931DF9" w:rsidRDefault="007D13F3" w:rsidP="00465CAC">
            <w:pPr>
              <w:jc w:val="right"/>
              <w:rPr>
                <w:rFonts w:ascii="Times New Roman" w:hAnsi="Times New Roman" w:cs="Times New Roman"/>
                <w:sz w:val="14"/>
                <w:szCs w:val="14"/>
                <w:lang w:eastAsia="sk-SK"/>
              </w:rPr>
            </w:pPr>
            <w:r w:rsidRPr="00931DF9">
              <w:rPr>
                <w:rFonts w:ascii="Times New Roman" w:hAnsi="Times New Roman" w:cs="Times New Roman"/>
                <w:sz w:val="14"/>
                <w:szCs w:val="14"/>
                <w:lang w:eastAsia="sk-SK"/>
              </w:rPr>
              <w:t>0</w:t>
            </w:r>
          </w:p>
        </w:tc>
        <w:tc>
          <w:tcPr>
            <w:tcW w:w="877" w:type="dxa"/>
            <w:tcBorders>
              <w:top w:val="nil"/>
              <w:left w:val="nil"/>
              <w:bottom w:val="single" w:sz="4" w:space="0" w:color="auto"/>
              <w:right w:val="single" w:sz="4" w:space="0" w:color="auto"/>
            </w:tcBorders>
            <w:shd w:val="clear" w:color="auto" w:fill="auto"/>
            <w:vAlign w:val="bottom"/>
            <w:hideMark/>
          </w:tcPr>
          <w:p w:rsidR="007D13F3" w:rsidRPr="00931DF9"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22</w:t>
            </w:r>
            <w:r w:rsidRPr="00931DF9">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169</w:t>
            </w:r>
          </w:p>
        </w:tc>
        <w:tc>
          <w:tcPr>
            <w:tcW w:w="920" w:type="dxa"/>
            <w:tcBorders>
              <w:top w:val="nil"/>
              <w:left w:val="nil"/>
              <w:bottom w:val="single" w:sz="4" w:space="0" w:color="auto"/>
              <w:right w:val="single" w:sz="4" w:space="0" w:color="auto"/>
            </w:tcBorders>
            <w:shd w:val="clear" w:color="auto" w:fill="auto"/>
            <w:vAlign w:val="bottom"/>
            <w:hideMark/>
          </w:tcPr>
          <w:p w:rsidR="007D13F3" w:rsidRPr="00931DF9" w:rsidRDefault="007D13F3" w:rsidP="00465CAC">
            <w:pPr>
              <w:jc w:val="right"/>
              <w:rPr>
                <w:rFonts w:ascii="Times New Roman" w:hAnsi="Times New Roman" w:cs="Times New Roman"/>
                <w:sz w:val="14"/>
                <w:szCs w:val="14"/>
                <w:lang w:eastAsia="sk-SK"/>
              </w:rPr>
            </w:pPr>
            <w:r w:rsidRPr="00931DF9">
              <w:rPr>
                <w:rFonts w:ascii="Times New Roman" w:hAnsi="Times New Roman" w:cs="Times New Roman"/>
                <w:sz w:val="14"/>
                <w:szCs w:val="14"/>
                <w:lang w:eastAsia="sk-SK"/>
              </w:rPr>
              <w:t>0</w:t>
            </w:r>
          </w:p>
        </w:tc>
        <w:tc>
          <w:tcPr>
            <w:tcW w:w="859" w:type="dxa"/>
            <w:tcBorders>
              <w:top w:val="nil"/>
              <w:left w:val="nil"/>
              <w:bottom w:val="single" w:sz="4" w:space="0" w:color="auto"/>
              <w:right w:val="single" w:sz="4" w:space="0" w:color="auto"/>
            </w:tcBorders>
            <w:shd w:val="clear" w:color="auto" w:fill="auto"/>
            <w:vAlign w:val="bottom"/>
            <w:hideMark/>
          </w:tcPr>
          <w:p w:rsidR="007D13F3" w:rsidRPr="00931DF9" w:rsidRDefault="007D13F3" w:rsidP="00465CAC">
            <w:pPr>
              <w:jc w:val="right"/>
              <w:rPr>
                <w:rFonts w:ascii="Times New Roman" w:hAnsi="Times New Roman" w:cs="Times New Roman"/>
                <w:sz w:val="14"/>
                <w:szCs w:val="14"/>
                <w:lang w:eastAsia="sk-SK"/>
              </w:rPr>
            </w:pPr>
            <w:r w:rsidRPr="00931DF9">
              <w:rPr>
                <w:rFonts w:ascii="Times New Roman" w:hAnsi="Times New Roman" w:cs="Times New Roman"/>
                <w:sz w:val="14"/>
                <w:szCs w:val="14"/>
                <w:lang w:eastAsia="sk-SK"/>
              </w:rPr>
              <w:t>0</w:t>
            </w:r>
          </w:p>
        </w:tc>
        <w:tc>
          <w:tcPr>
            <w:tcW w:w="894" w:type="dxa"/>
            <w:tcBorders>
              <w:top w:val="nil"/>
              <w:left w:val="nil"/>
              <w:bottom w:val="single" w:sz="4" w:space="0" w:color="auto"/>
              <w:right w:val="single" w:sz="4" w:space="0" w:color="auto"/>
            </w:tcBorders>
            <w:shd w:val="clear" w:color="auto" w:fill="auto"/>
            <w:vAlign w:val="bottom"/>
            <w:hideMark/>
          </w:tcPr>
          <w:p w:rsidR="007D13F3" w:rsidRPr="00931DF9" w:rsidRDefault="007D13F3" w:rsidP="00465CAC">
            <w:pPr>
              <w:jc w:val="right"/>
              <w:rPr>
                <w:rFonts w:ascii="Times New Roman" w:hAnsi="Times New Roman" w:cs="Times New Roman"/>
                <w:sz w:val="14"/>
                <w:szCs w:val="14"/>
                <w:lang w:eastAsia="sk-SK"/>
              </w:rPr>
            </w:pPr>
            <w:r w:rsidRPr="00931DF9">
              <w:rPr>
                <w:rFonts w:ascii="Times New Roman" w:hAnsi="Times New Roman" w:cs="Times New Roman"/>
                <w:sz w:val="14"/>
                <w:szCs w:val="14"/>
                <w:lang w:eastAsia="sk-SK"/>
              </w:rPr>
              <w:t>0</w:t>
            </w:r>
          </w:p>
        </w:tc>
      </w:tr>
    </w:tbl>
    <w:p w:rsidR="007D13F3" w:rsidRPr="00F5748F"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Arial Narrow" w:hAnsi="Arial Narrow" w:cs="Times New Roman"/>
          <w:sz w:val="22"/>
          <w:szCs w:val="22"/>
          <w:lang w:eastAsia="sk-SK"/>
        </w:rPr>
        <w:tab/>
      </w:r>
      <w:r w:rsidRPr="00D26052">
        <w:rPr>
          <w:rFonts w:ascii="Times New Roman" w:hAnsi="Times New Roman" w:cs="Times New Roman"/>
          <w:lang w:eastAsia="sk-SK"/>
        </w:rPr>
        <w:t xml:space="preserve">Výdavky v tejto oblasti slúžia na podporu politiky zamestnanosti, financovanie nástrojov aktívnej politiky trhu práce ako </w:t>
      </w:r>
      <w:r>
        <w:rPr>
          <w:rFonts w:ascii="Times New Roman" w:hAnsi="Times New Roman" w:cs="Times New Roman"/>
          <w:lang w:eastAsia="sk-SK"/>
        </w:rPr>
        <w:t>aj</w:t>
      </w:r>
      <w:r w:rsidRPr="00D26052">
        <w:rPr>
          <w:rFonts w:ascii="Times New Roman" w:hAnsi="Times New Roman" w:cs="Times New Roman"/>
          <w:lang w:eastAsia="sk-SK"/>
        </w:rPr>
        <w:t xml:space="preserve"> na investičné stimuly pre investorov v podobe príspevku na novovytvorené pracovné miesta a vzdelávanie. </w:t>
      </w: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7D13F3" w:rsidRPr="00D26052"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r w:rsidRPr="00D26052">
        <w:rPr>
          <w:rFonts w:ascii="Times New Roman" w:hAnsi="Times New Roman" w:cs="Times New Roman"/>
          <w:lang w:eastAsia="sk-SK"/>
        </w:rPr>
        <w:tab/>
        <w:t>Na rok 201</w:t>
      </w:r>
      <w:r>
        <w:rPr>
          <w:rFonts w:ascii="Times New Roman" w:hAnsi="Times New Roman" w:cs="Times New Roman"/>
          <w:lang w:eastAsia="sk-SK"/>
        </w:rPr>
        <w:t>8</w:t>
      </w:r>
      <w:r w:rsidRPr="00D26052">
        <w:rPr>
          <w:rFonts w:ascii="Times New Roman" w:hAnsi="Times New Roman" w:cs="Times New Roman"/>
          <w:lang w:eastAsia="sk-SK"/>
        </w:rPr>
        <w:t xml:space="preserve"> sa rozpočtuje celkovo suma 2</w:t>
      </w:r>
      <w:r>
        <w:rPr>
          <w:rFonts w:ascii="Times New Roman" w:hAnsi="Times New Roman" w:cs="Times New Roman"/>
          <w:lang w:eastAsia="sk-SK"/>
        </w:rPr>
        <w:t>68</w:t>
      </w:r>
      <w:r w:rsidRPr="00D26052">
        <w:rPr>
          <w:rFonts w:ascii="Times New Roman" w:hAnsi="Times New Roman" w:cs="Times New Roman"/>
          <w:lang w:eastAsia="sk-SK"/>
        </w:rPr>
        <w:t xml:space="preserve"> mil. </w:t>
      </w:r>
      <w:r w:rsidRPr="00D26052">
        <w:rPr>
          <w:rFonts w:ascii="Times New Roman" w:hAnsi="Times New Roman" w:cs="Times New Roman"/>
          <w:color w:val="000000"/>
          <w:lang w:eastAsia="sk-SK"/>
        </w:rPr>
        <w:t xml:space="preserve">eur, z toho zo štátneho rozpočtu </w:t>
      </w:r>
      <w:r>
        <w:rPr>
          <w:rFonts w:ascii="Times New Roman" w:hAnsi="Times New Roman" w:cs="Times New Roman"/>
          <w:color w:val="000000"/>
          <w:lang w:eastAsia="sk-SK"/>
        </w:rPr>
        <w:br/>
        <w:t>41</w:t>
      </w:r>
      <w:r w:rsidRPr="00D26052">
        <w:rPr>
          <w:rFonts w:ascii="Times New Roman" w:hAnsi="Times New Roman" w:cs="Times New Roman"/>
          <w:color w:val="000000"/>
          <w:lang w:eastAsia="sk-SK"/>
        </w:rPr>
        <w:t>,</w:t>
      </w:r>
      <w:r>
        <w:rPr>
          <w:rFonts w:ascii="Times New Roman" w:hAnsi="Times New Roman" w:cs="Times New Roman"/>
          <w:color w:val="000000"/>
          <w:lang w:eastAsia="sk-SK"/>
        </w:rPr>
        <w:t>5</w:t>
      </w:r>
      <w:r w:rsidRPr="00D26052">
        <w:rPr>
          <w:rFonts w:ascii="Times New Roman" w:hAnsi="Times New Roman" w:cs="Times New Roman"/>
          <w:color w:val="000000"/>
          <w:lang w:eastAsia="sk-SK"/>
        </w:rPr>
        <w:t xml:space="preserve"> mil. eur, čo predstavuje </w:t>
      </w:r>
      <w:r>
        <w:rPr>
          <w:rFonts w:ascii="Times New Roman" w:hAnsi="Times New Roman" w:cs="Times New Roman"/>
          <w:color w:val="000000"/>
          <w:lang w:eastAsia="sk-SK"/>
        </w:rPr>
        <w:t>pokles</w:t>
      </w:r>
      <w:r w:rsidRPr="00D26052">
        <w:rPr>
          <w:rFonts w:ascii="Times New Roman" w:hAnsi="Times New Roman" w:cs="Times New Roman"/>
          <w:color w:val="000000"/>
          <w:lang w:eastAsia="sk-SK"/>
        </w:rPr>
        <w:t xml:space="preserve"> o </w:t>
      </w:r>
      <w:r>
        <w:rPr>
          <w:rFonts w:ascii="Times New Roman" w:hAnsi="Times New Roman" w:cs="Times New Roman"/>
          <w:color w:val="000000"/>
          <w:lang w:eastAsia="sk-SK"/>
        </w:rPr>
        <w:t>19</w:t>
      </w:r>
      <w:r w:rsidRPr="00D26052">
        <w:rPr>
          <w:rFonts w:ascii="Times New Roman" w:hAnsi="Times New Roman" w:cs="Times New Roman"/>
          <w:color w:val="000000"/>
          <w:lang w:eastAsia="sk-SK"/>
        </w:rPr>
        <w:t>,</w:t>
      </w:r>
      <w:r>
        <w:rPr>
          <w:rFonts w:ascii="Times New Roman" w:hAnsi="Times New Roman" w:cs="Times New Roman"/>
          <w:color w:val="000000"/>
          <w:lang w:eastAsia="sk-SK"/>
        </w:rPr>
        <w:t>7</w:t>
      </w:r>
      <w:r w:rsidRPr="00D26052">
        <w:rPr>
          <w:rFonts w:ascii="Times New Roman" w:hAnsi="Times New Roman" w:cs="Times New Roman"/>
          <w:color w:val="000000"/>
          <w:lang w:eastAsia="sk-SK"/>
        </w:rPr>
        <w:t xml:space="preserve"> % oproti schválenému rozpočtu </w:t>
      </w:r>
      <w:r>
        <w:rPr>
          <w:rFonts w:ascii="Times New Roman" w:hAnsi="Times New Roman" w:cs="Times New Roman"/>
          <w:color w:val="000000"/>
          <w:lang w:eastAsia="sk-SK"/>
        </w:rPr>
        <w:t>na</w:t>
      </w:r>
      <w:r w:rsidRPr="00D26052">
        <w:rPr>
          <w:rFonts w:ascii="Times New Roman" w:hAnsi="Times New Roman" w:cs="Times New Roman"/>
          <w:color w:val="000000"/>
          <w:lang w:eastAsia="sk-SK"/>
        </w:rPr>
        <w:t xml:space="preserve"> rok 201</w:t>
      </w:r>
      <w:r>
        <w:rPr>
          <w:rFonts w:ascii="Times New Roman" w:hAnsi="Times New Roman" w:cs="Times New Roman"/>
          <w:color w:val="000000"/>
          <w:lang w:eastAsia="sk-SK"/>
        </w:rPr>
        <w:t>7</w:t>
      </w:r>
      <w:r w:rsidRPr="00D26052">
        <w:rPr>
          <w:rFonts w:ascii="Times New Roman" w:hAnsi="Times New Roman" w:cs="Times New Roman"/>
          <w:color w:val="000000"/>
          <w:lang w:eastAsia="sk-SK"/>
        </w:rPr>
        <w:t xml:space="preserve">. </w:t>
      </w:r>
    </w:p>
    <w:p w:rsidR="007D13F3" w:rsidRPr="00F5748F" w:rsidRDefault="007D13F3" w:rsidP="007D13F3">
      <w:pPr>
        <w:rPr>
          <w:rFonts w:ascii="Times New Roman" w:hAnsi="Times New Roman" w:cs="Times New Roman"/>
          <w:b/>
          <w:lang w:eastAsia="sk-SK"/>
        </w:rPr>
      </w:pPr>
    </w:p>
    <w:p w:rsidR="007D13F3" w:rsidRPr="00D26052" w:rsidRDefault="007D13F3" w:rsidP="007D13F3">
      <w:pPr>
        <w:rPr>
          <w:rFonts w:ascii="Times New Roman" w:hAnsi="Times New Roman" w:cs="Times New Roman"/>
          <w:color w:val="000000"/>
          <w:lang w:eastAsia="sk-SK"/>
        </w:rPr>
      </w:pPr>
      <w:r w:rsidRPr="00D26052">
        <w:rPr>
          <w:rFonts w:ascii="Times New Roman" w:hAnsi="Times New Roman" w:cs="Times New Roman"/>
          <w:b/>
          <w:lang w:eastAsia="sk-SK"/>
        </w:rPr>
        <w:t>Inštitucionálna podpora</w:t>
      </w:r>
    </w:p>
    <w:p w:rsidR="007D13F3" w:rsidRPr="00F5748F" w:rsidRDefault="007D13F3" w:rsidP="007D13F3">
      <w:pPr>
        <w:jc w:val="both"/>
        <w:outlineLvl w:val="0"/>
        <w:rPr>
          <w:rFonts w:ascii="Times New Roman" w:hAnsi="Times New Roman" w:cs="Times New Roman"/>
          <w:lang w:eastAsia="sk-SK"/>
        </w:rPr>
      </w:pPr>
    </w:p>
    <w:tbl>
      <w:tblPr>
        <w:tblW w:w="9072" w:type="dxa"/>
        <w:tblCellMar>
          <w:left w:w="70" w:type="dxa"/>
          <w:right w:w="70" w:type="dxa"/>
        </w:tblCellMar>
        <w:tblLook w:val="04A0" w:firstRow="1" w:lastRow="0" w:firstColumn="1" w:lastColumn="0" w:noHBand="0" w:noVBand="1"/>
      </w:tblPr>
      <w:tblGrid>
        <w:gridCol w:w="2547"/>
        <w:gridCol w:w="992"/>
        <w:gridCol w:w="928"/>
        <w:gridCol w:w="920"/>
        <w:gridCol w:w="922"/>
        <w:gridCol w:w="921"/>
        <w:gridCol w:w="921"/>
        <w:gridCol w:w="921"/>
      </w:tblGrid>
      <w:tr w:rsidR="007D13F3" w:rsidRPr="00D26052" w:rsidTr="00465CAC">
        <w:trPr>
          <w:trHeight w:hRule="exact" w:val="255"/>
        </w:trPr>
        <w:tc>
          <w:tcPr>
            <w:tcW w:w="25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D26052">
              <w:rPr>
                <w:rFonts w:ascii="Times New Roman" w:hAnsi="Times New Roman" w:cs="Times New Roman"/>
                <w:b/>
                <w:bCs/>
                <w:sz w:val="14"/>
                <w:szCs w:val="14"/>
                <w:lang w:eastAsia="sk-SK"/>
              </w:rPr>
              <w:t xml:space="preserve"> S</w:t>
            </w:r>
          </w:p>
        </w:tc>
        <w:tc>
          <w:tcPr>
            <w:tcW w:w="92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D26052">
              <w:rPr>
                <w:rFonts w:ascii="Times New Roman" w:hAnsi="Times New Roman" w:cs="Times New Roman"/>
                <w:b/>
                <w:bCs/>
                <w:sz w:val="14"/>
                <w:szCs w:val="14"/>
                <w:lang w:eastAsia="sk-SK"/>
              </w:rPr>
              <w:t xml:space="preserve"> S</w:t>
            </w:r>
          </w:p>
        </w:tc>
        <w:tc>
          <w:tcPr>
            <w:tcW w:w="920"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D26052">
              <w:rPr>
                <w:rFonts w:ascii="Times New Roman" w:hAnsi="Times New Roman" w:cs="Times New Roman"/>
                <w:b/>
                <w:bCs/>
                <w:sz w:val="14"/>
                <w:szCs w:val="14"/>
                <w:lang w:eastAsia="sk-SK"/>
              </w:rPr>
              <w:t xml:space="preserve"> R</w:t>
            </w:r>
          </w:p>
        </w:tc>
        <w:tc>
          <w:tcPr>
            <w:tcW w:w="922"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D26052">
              <w:rPr>
                <w:rFonts w:ascii="Times New Roman" w:hAnsi="Times New Roman" w:cs="Times New Roman"/>
                <w:b/>
                <w:bCs/>
                <w:sz w:val="14"/>
                <w:szCs w:val="14"/>
                <w:lang w:eastAsia="sk-SK"/>
              </w:rPr>
              <w:t xml:space="preserve"> OS</w:t>
            </w:r>
          </w:p>
        </w:tc>
        <w:tc>
          <w:tcPr>
            <w:tcW w:w="921"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D26052">
              <w:rPr>
                <w:rFonts w:ascii="Times New Roman" w:hAnsi="Times New Roman" w:cs="Times New Roman"/>
                <w:b/>
                <w:bCs/>
                <w:sz w:val="14"/>
                <w:szCs w:val="14"/>
                <w:lang w:eastAsia="sk-SK"/>
              </w:rPr>
              <w:t xml:space="preserve"> N</w:t>
            </w:r>
          </w:p>
        </w:tc>
        <w:tc>
          <w:tcPr>
            <w:tcW w:w="921"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9</w:t>
            </w:r>
            <w:r w:rsidRPr="00D26052">
              <w:rPr>
                <w:rFonts w:ascii="Times New Roman" w:hAnsi="Times New Roman" w:cs="Times New Roman"/>
                <w:b/>
                <w:bCs/>
                <w:sz w:val="14"/>
                <w:szCs w:val="14"/>
                <w:lang w:eastAsia="sk-SK"/>
              </w:rPr>
              <w:t xml:space="preserve"> N</w:t>
            </w:r>
          </w:p>
        </w:tc>
        <w:tc>
          <w:tcPr>
            <w:tcW w:w="921"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7D13F3" w:rsidRPr="00D26052" w:rsidRDefault="007D13F3" w:rsidP="00465CAC">
            <w:pPr>
              <w:jc w:val="cente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20</w:t>
            </w:r>
            <w:r>
              <w:rPr>
                <w:rFonts w:ascii="Times New Roman" w:hAnsi="Times New Roman" w:cs="Times New Roman"/>
                <w:b/>
                <w:bCs/>
                <w:sz w:val="14"/>
                <w:szCs w:val="14"/>
                <w:lang w:eastAsia="sk-SK"/>
              </w:rPr>
              <w:t>20</w:t>
            </w:r>
            <w:r w:rsidRPr="00D26052">
              <w:rPr>
                <w:rFonts w:ascii="Times New Roman" w:hAnsi="Times New Roman" w:cs="Times New Roman"/>
                <w:b/>
                <w:bCs/>
                <w:sz w:val="14"/>
                <w:szCs w:val="14"/>
                <w:lang w:eastAsia="sk-SK"/>
              </w:rPr>
              <w:t xml:space="preserve"> N</w:t>
            </w:r>
          </w:p>
        </w:tc>
      </w:tr>
      <w:tr w:rsidR="007D13F3" w:rsidRPr="00D26052" w:rsidTr="00465CAC">
        <w:trPr>
          <w:trHeight w:hRule="exact" w:val="255"/>
        </w:trPr>
        <w:tc>
          <w:tcPr>
            <w:tcW w:w="25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Inštitucionálna podpora spolu</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79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3</w:t>
            </w:r>
            <w:r w:rsidRPr="00D26052">
              <w:rPr>
                <w:rFonts w:ascii="Times New Roman" w:hAnsi="Times New Roman" w:cs="Times New Roman"/>
                <w:b/>
                <w:bCs/>
                <w:color w:val="000000"/>
                <w:sz w:val="14"/>
                <w:szCs w:val="14"/>
                <w:lang w:eastAsia="sk-SK"/>
              </w:rPr>
              <w:t>7</w:t>
            </w:r>
            <w:r>
              <w:rPr>
                <w:rFonts w:ascii="Times New Roman" w:hAnsi="Times New Roman" w:cs="Times New Roman"/>
                <w:b/>
                <w:bCs/>
                <w:color w:val="000000"/>
                <w:sz w:val="14"/>
                <w:szCs w:val="14"/>
                <w:lang w:eastAsia="sk-SK"/>
              </w:rPr>
              <w:t>5</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5</w:t>
            </w:r>
            <w:r w:rsidRPr="00D26052">
              <w:rPr>
                <w:rFonts w:ascii="Times New Roman" w:hAnsi="Times New Roman" w:cs="Times New Roman"/>
                <w:b/>
                <w:bCs/>
                <w:color w:val="000000"/>
                <w:sz w:val="14"/>
                <w:szCs w:val="14"/>
                <w:lang w:eastAsia="sk-SK"/>
              </w:rPr>
              <w:t>4</w:t>
            </w:r>
            <w:r>
              <w:rPr>
                <w:rFonts w:ascii="Times New Roman" w:hAnsi="Times New Roman" w:cs="Times New Roman"/>
                <w:b/>
                <w:bCs/>
                <w:color w:val="000000"/>
                <w:sz w:val="14"/>
                <w:szCs w:val="14"/>
                <w:lang w:eastAsia="sk-SK"/>
              </w:rPr>
              <w:t>0</w:t>
            </w:r>
          </w:p>
        </w:tc>
        <w:tc>
          <w:tcPr>
            <w:tcW w:w="928" w:type="dxa"/>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90</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004</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9</w:t>
            </w:r>
            <w:r>
              <w:rPr>
                <w:rFonts w:ascii="Times New Roman" w:hAnsi="Times New Roman" w:cs="Times New Roman"/>
                <w:b/>
                <w:bCs/>
                <w:color w:val="000000"/>
                <w:sz w:val="14"/>
                <w:szCs w:val="14"/>
                <w:lang w:eastAsia="sk-SK"/>
              </w:rPr>
              <w:t>6</w:t>
            </w:r>
          </w:p>
        </w:tc>
        <w:tc>
          <w:tcPr>
            <w:tcW w:w="920" w:type="dxa"/>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15</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5</w:t>
            </w:r>
            <w:r>
              <w:rPr>
                <w:rFonts w:ascii="Times New Roman" w:hAnsi="Times New Roman" w:cs="Times New Roman"/>
                <w:b/>
                <w:bCs/>
                <w:color w:val="000000"/>
                <w:sz w:val="14"/>
                <w:szCs w:val="14"/>
                <w:lang w:eastAsia="sk-SK"/>
              </w:rPr>
              <w:t>71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326</w:t>
            </w:r>
          </w:p>
        </w:tc>
        <w:tc>
          <w:tcPr>
            <w:tcW w:w="922" w:type="dxa"/>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69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394</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071</w:t>
            </w:r>
          </w:p>
        </w:tc>
        <w:tc>
          <w:tcPr>
            <w:tcW w:w="921" w:type="dxa"/>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68</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601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513</w:t>
            </w:r>
          </w:p>
        </w:tc>
        <w:tc>
          <w:tcPr>
            <w:tcW w:w="921" w:type="dxa"/>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16</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249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99</w:t>
            </w:r>
            <w:r w:rsidRPr="00D26052">
              <w:rPr>
                <w:rFonts w:ascii="Times New Roman" w:hAnsi="Times New Roman" w:cs="Times New Roman"/>
                <w:b/>
                <w:bCs/>
                <w:color w:val="000000"/>
                <w:sz w:val="14"/>
                <w:szCs w:val="14"/>
                <w:lang w:eastAsia="sk-SK"/>
              </w:rPr>
              <w:t>6</w:t>
            </w:r>
          </w:p>
        </w:tc>
        <w:tc>
          <w:tcPr>
            <w:tcW w:w="921" w:type="dxa"/>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16</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254</w:t>
            </w:r>
            <w:r w:rsidRPr="00D26052">
              <w:rPr>
                <w:rFonts w:ascii="Times New Roman" w:hAnsi="Times New Roman" w:cs="Times New Roman"/>
                <w:b/>
                <w:bCs/>
                <w:color w:val="000000"/>
                <w:sz w:val="14"/>
                <w:szCs w:val="14"/>
                <w:lang w:eastAsia="sk-SK"/>
              </w:rPr>
              <w:t xml:space="preserve"> 9</w:t>
            </w:r>
            <w:r>
              <w:rPr>
                <w:rFonts w:ascii="Times New Roman" w:hAnsi="Times New Roman" w:cs="Times New Roman"/>
                <w:b/>
                <w:bCs/>
                <w:color w:val="000000"/>
                <w:sz w:val="14"/>
                <w:szCs w:val="14"/>
                <w:lang w:eastAsia="sk-SK"/>
              </w:rPr>
              <w:t>96</w:t>
            </w:r>
          </w:p>
        </w:tc>
      </w:tr>
      <w:tr w:rsidR="007D13F3" w:rsidRPr="00D26052" w:rsidTr="00465CAC">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Tvorba a implementácia politík, z toho:</w:t>
            </w:r>
          </w:p>
        </w:tc>
        <w:tc>
          <w:tcPr>
            <w:tcW w:w="99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78</w:t>
            </w:r>
            <w:r w:rsidRPr="00D26052">
              <w:rPr>
                <w:rFonts w:ascii="Times New Roman" w:hAnsi="Times New Roman" w:cs="Times New Roman"/>
                <w:b/>
                <w:bCs/>
                <w:color w:val="000000"/>
                <w:sz w:val="14"/>
                <w:szCs w:val="14"/>
                <w:lang w:eastAsia="sk-SK"/>
              </w:rPr>
              <w:t xml:space="preserve"> 4</w:t>
            </w:r>
            <w:r>
              <w:rPr>
                <w:rFonts w:ascii="Times New Roman" w:hAnsi="Times New Roman" w:cs="Times New Roman"/>
                <w:b/>
                <w:bCs/>
                <w:color w:val="000000"/>
                <w:sz w:val="14"/>
                <w:szCs w:val="14"/>
                <w:lang w:eastAsia="sk-SK"/>
              </w:rPr>
              <w:t>14</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12</w:t>
            </w:r>
          </w:p>
        </w:tc>
        <w:tc>
          <w:tcPr>
            <w:tcW w:w="928"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7 </w:t>
            </w:r>
            <w:r>
              <w:rPr>
                <w:rFonts w:ascii="Times New Roman" w:hAnsi="Times New Roman" w:cs="Times New Roman"/>
                <w:b/>
                <w:bCs/>
                <w:color w:val="000000"/>
                <w:sz w:val="14"/>
                <w:szCs w:val="14"/>
                <w:lang w:eastAsia="sk-SK"/>
              </w:rPr>
              <w:t>562</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646</w:t>
            </w:r>
          </w:p>
        </w:tc>
        <w:tc>
          <w:tcPr>
            <w:tcW w:w="920"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56 800</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770</w:t>
            </w:r>
          </w:p>
        </w:tc>
        <w:tc>
          <w:tcPr>
            <w:tcW w:w="92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68</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618</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620</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67</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911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324</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68</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559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0</w:t>
            </w:r>
            <w:r>
              <w:rPr>
                <w:rFonts w:ascii="Times New Roman" w:hAnsi="Times New Roman" w:cs="Times New Roman"/>
                <w:b/>
                <w:bCs/>
                <w:color w:val="000000"/>
                <w:sz w:val="14"/>
                <w:szCs w:val="14"/>
                <w:lang w:eastAsia="sk-SK"/>
              </w:rPr>
              <w:t>7</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16</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564</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807</w:t>
            </w:r>
          </w:p>
        </w:tc>
      </w:tr>
      <w:tr w:rsidR="007D13F3" w:rsidRPr="00D26052" w:rsidTr="00465CAC">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MPSVR</w:t>
            </w:r>
          </w:p>
        </w:tc>
        <w:tc>
          <w:tcPr>
            <w:tcW w:w="99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832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153</w:t>
            </w:r>
          </w:p>
        </w:tc>
        <w:tc>
          <w:tcPr>
            <w:tcW w:w="928"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854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7</w:t>
            </w:r>
          </w:p>
        </w:tc>
        <w:tc>
          <w:tcPr>
            <w:tcW w:w="920"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w:t>
            </w:r>
            <w:r w:rsidRPr="00D26052">
              <w:rPr>
                <w:rFonts w:ascii="Times New Roman" w:hAnsi="Times New Roman" w:cs="Times New Roman"/>
                <w:color w:val="000000"/>
                <w:sz w:val="14"/>
                <w:szCs w:val="14"/>
                <w:lang w:eastAsia="sk-SK"/>
              </w:rPr>
              <w:t>4 9</w:t>
            </w:r>
            <w:r>
              <w:rPr>
                <w:rFonts w:ascii="Times New Roman" w:hAnsi="Times New Roman" w:cs="Times New Roman"/>
                <w:color w:val="000000"/>
                <w:sz w:val="14"/>
                <w:szCs w:val="14"/>
                <w:lang w:eastAsia="sk-SK"/>
              </w:rPr>
              <w:t>93</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21</w:t>
            </w:r>
            <w:r w:rsidRPr="00D26052">
              <w:rPr>
                <w:rFonts w:ascii="Times New Roman" w:hAnsi="Times New Roman" w:cs="Times New Roman"/>
                <w:color w:val="000000"/>
                <w:sz w:val="14"/>
                <w:szCs w:val="14"/>
                <w:lang w:eastAsia="sk-SK"/>
              </w:rPr>
              <w:t>3</w:t>
            </w:r>
          </w:p>
        </w:tc>
        <w:tc>
          <w:tcPr>
            <w:tcW w:w="92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995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647</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890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w:t>
            </w:r>
            <w:r w:rsidRPr="00D26052">
              <w:rPr>
                <w:rFonts w:ascii="Times New Roman" w:hAnsi="Times New Roman" w:cs="Times New Roman"/>
                <w:color w:val="000000"/>
                <w:sz w:val="14"/>
                <w:szCs w:val="14"/>
                <w:lang w:eastAsia="sk-SK"/>
              </w:rPr>
              <w:t>8</w:t>
            </w:r>
            <w:r>
              <w:rPr>
                <w:rFonts w:ascii="Times New Roman" w:hAnsi="Times New Roman" w:cs="Times New Roman"/>
                <w:color w:val="000000"/>
                <w:sz w:val="14"/>
                <w:szCs w:val="14"/>
                <w:lang w:eastAsia="sk-SK"/>
              </w:rPr>
              <w:t>7</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437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270</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437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270</w:t>
            </w:r>
          </w:p>
        </w:tc>
      </w:tr>
      <w:tr w:rsidR="007D13F3" w:rsidRPr="00D26052" w:rsidTr="00465CAC">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ÚPSVAR</w:t>
            </w:r>
          </w:p>
        </w:tc>
        <w:tc>
          <w:tcPr>
            <w:tcW w:w="99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13</w:t>
            </w:r>
            <w:r>
              <w:rPr>
                <w:rFonts w:ascii="Times New Roman" w:hAnsi="Times New Roman" w:cs="Times New Roman"/>
                <w:color w:val="000000"/>
                <w:sz w:val="14"/>
                <w:szCs w:val="14"/>
                <w:lang w:eastAsia="sk-SK"/>
              </w:rPr>
              <w:t>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59</w:t>
            </w:r>
            <w:r w:rsidRPr="00D26052">
              <w:rPr>
                <w:rFonts w:ascii="Times New Roman" w:hAnsi="Times New Roman" w:cs="Times New Roman"/>
                <w:color w:val="000000"/>
                <w:sz w:val="14"/>
                <w:szCs w:val="14"/>
                <w:lang w:eastAsia="sk-SK"/>
              </w:rPr>
              <w:t xml:space="preserve">7 </w:t>
            </w:r>
            <w:r>
              <w:rPr>
                <w:rFonts w:ascii="Times New Roman" w:hAnsi="Times New Roman" w:cs="Times New Roman"/>
                <w:color w:val="000000"/>
                <w:sz w:val="14"/>
                <w:szCs w:val="14"/>
                <w:lang w:eastAsia="sk-SK"/>
              </w:rPr>
              <w:t>115</w:t>
            </w:r>
          </w:p>
        </w:tc>
        <w:tc>
          <w:tcPr>
            <w:tcW w:w="928"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47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w:t>
            </w:r>
            <w:r w:rsidRPr="00D26052">
              <w:rPr>
                <w:rFonts w:ascii="Times New Roman" w:hAnsi="Times New Roman" w:cs="Times New Roman"/>
                <w:color w:val="000000"/>
                <w:sz w:val="14"/>
                <w:szCs w:val="14"/>
                <w:lang w:eastAsia="sk-SK"/>
              </w:rPr>
              <w:t>0</w:t>
            </w:r>
            <w:r>
              <w:rPr>
                <w:rFonts w:ascii="Times New Roman" w:hAnsi="Times New Roman" w:cs="Times New Roman"/>
                <w:color w:val="000000"/>
                <w:sz w:val="14"/>
                <w:szCs w:val="14"/>
                <w:lang w:eastAsia="sk-SK"/>
              </w:rPr>
              <w:t>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888</w:t>
            </w:r>
          </w:p>
        </w:tc>
        <w:tc>
          <w:tcPr>
            <w:tcW w:w="920"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28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859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625</w:t>
            </w:r>
          </w:p>
        </w:tc>
        <w:tc>
          <w:tcPr>
            <w:tcW w:w="92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38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615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382</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38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48</w:t>
            </w:r>
            <w:r w:rsidRPr="00D26052">
              <w:rPr>
                <w:rFonts w:ascii="Times New Roman" w:hAnsi="Times New Roman" w:cs="Times New Roman"/>
                <w:color w:val="000000"/>
                <w:sz w:val="14"/>
                <w:szCs w:val="14"/>
                <w:lang w:eastAsia="sk-SK"/>
              </w:rPr>
              <w:t>9 6</w:t>
            </w:r>
            <w:r>
              <w:rPr>
                <w:rFonts w:ascii="Times New Roman" w:hAnsi="Times New Roman" w:cs="Times New Roman"/>
                <w:color w:val="000000"/>
                <w:sz w:val="14"/>
                <w:szCs w:val="14"/>
                <w:lang w:eastAsia="sk-SK"/>
              </w:rPr>
              <w:t>3</w:t>
            </w:r>
            <w:r w:rsidRPr="00D26052">
              <w:rPr>
                <w:rFonts w:ascii="Times New Roman" w:hAnsi="Times New Roman" w:cs="Times New Roman"/>
                <w:color w:val="000000"/>
                <w:sz w:val="14"/>
                <w:szCs w:val="14"/>
                <w:lang w:eastAsia="sk-SK"/>
              </w:rPr>
              <w:t>5</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38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590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535</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38</w:t>
            </w:r>
            <w:r w:rsidRPr="00D26052">
              <w:rPr>
                <w:rFonts w:ascii="Times New Roman" w:hAnsi="Times New Roman" w:cs="Times New Roman"/>
                <w:color w:val="000000"/>
                <w:sz w:val="14"/>
                <w:szCs w:val="14"/>
                <w:lang w:eastAsia="sk-SK"/>
              </w:rPr>
              <w:t xml:space="preserve"> 5</w:t>
            </w:r>
            <w:r>
              <w:rPr>
                <w:rFonts w:ascii="Times New Roman" w:hAnsi="Times New Roman" w:cs="Times New Roman"/>
                <w:color w:val="000000"/>
                <w:sz w:val="14"/>
                <w:szCs w:val="14"/>
                <w:lang w:eastAsia="sk-SK"/>
              </w:rPr>
              <w:t>95</w:t>
            </w:r>
            <w:r w:rsidRPr="00D26052">
              <w:rPr>
                <w:rFonts w:ascii="Times New Roman" w:hAnsi="Times New Roman" w:cs="Times New Roman"/>
                <w:color w:val="000000"/>
                <w:sz w:val="14"/>
                <w:szCs w:val="14"/>
                <w:lang w:eastAsia="sk-SK"/>
              </w:rPr>
              <w:t xml:space="preserve"> 5</w:t>
            </w:r>
            <w:r>
              <w:rPr>
                <w:rFonts w:ascii="Times New Roman" w:hAnsi="Times New Roman" w:cs="Times New Roman"/>
                <w:color w:val="000000"/>
                <w:sz w:val="14"/>
                <w:szCs w:val="14"/>
                <w:lang w:eastAsia="sk-SK"/>
              </w:rPr>
              <w:t>35</w:t>
            </w:r>
          </w:p>
        </w:tc>
      </w:tr>
      <w:tr w:rsidR="007D13F3" w:rsidRPr="00D26052" w:rsidTr="00465CAC">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Národný inšpektorát práce</w:t>
            </w:r>
          </w:p>
        </w:tc>
        <w:tc>
          <w:tcPr>
            <w:tcW w:w="99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10 </w:t>
            </w:r>
            <w:r>
              <w:rPr>
                <w:rFonts w:ascii="Times New Roman" w:hAnsi="Times New Roman" w:cs="Times New Roman"/>
                <w:color w:val="000000"/>
                <w:sz w:val="14"/>
                <w:szCs w:val="14"/>
                <w:lang w:eastAsia="sk-SK"/>
              </w:rPr>
              <w:t>459</w:t>
            </w:r>
            <w:r w:rsidRPr="00D26052">
              <w:rPr>
                <w:rFonts w:ascii="Times New Roman" w:hAnsi="Times New Roman" w:cs="Times New Roman"/>
                <w:color w:val="000000"/>
                <w:sz w:val="14"/>
                <w:szCs w:val="14"/>
                <w:lang w:eastAsia="sk-SK"/>
              </w:rPr>
              <w:t xml:space="preserve"> 4</w:t>
            </w:r>
            <w:r>
              <w:rPr>
                <w:rFonts w:ascii="Times New Roman" w:hAnsi="Times New Roman" w:cs="Times New Roman"/>
                <w:color w:val="000000"/>
                <w:sz w:val="14"/>
                <w:szCs w:val="14"/>
                <w:lang w:eastAsia="sk-SK"/>
              </w:rPr>
              <w:t>23</w:t>
            </w:r>
          </w:p>
        </w:tc>
        <w:tc>
          <w:tcPr>
            <w:tcW w:w="928"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11 </w:t>
            </w:r>
            <w:r>
              <w:rPr>
                <w:rFonts w:ascii="Times New Roman" w:hAnsi="Times New Roman" w:cs="Times New Roman"/>
                <w:color w:val="000000"/>
                <w:sz w:val="14"/>
                <w:szCs w:val="14"/>
                <w:lang w:eastAsia="sk-SK"/>
              </w:rPr>
              <w:t>393</w:t>
            </w:r>
            <w:r w:rsidRPr="00D26052">
              <w:rPr>
                <w:rFonts w:ascii="Times New Roman" w:hAnsi="Times New Roman" w:cs="Times New Roman"/>
                <w:color w:val="000000"/>
                <w:sz w:val="14"/>
                <w:szCs w:val="14"/>
                <w:lang w:eastAsia="sk-SK"/>
              </w:rPr>
              <w:t xml:space="preserve"> 9</w:t>
            </w:r>
            <w:r>
              <w:rPr>
                <w:rFonts w:ascii="Times New Roman" w:hAnsi="Times New Roman" w:cs="Times New Roman"/>
                <w:color w:val="000000"/>
                <w:sz w:val="14"/>
                <w:szCs w:val="14"/>
                <w:lang w:eastAsia="sk-SK"/>
              </w:rPr>
              <w:t>28</w:t>
            </w:r>
          </w:p>
        </w:tc>
        <w:tc>
          <w:tcPr>
            <w:tcW w:w="920"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560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341</w:t>
            </w:r>
          </w:p>
        </w:tc>
        <w:tc>
          <w:tcPr>
            <w:tcW w:w="92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7</w:t>
            </w:r>
            <w:r>
              <w:rPr>
                <w:rFonts w:ascii="Times New Roman" w:hAnsi="Times New Roman" w:cs="Times New Roman"/>
                <w:color w:val="000000"/>
                <w:sz w:val="14"/>
                <w:szCs w:val="14"/>
                <w:lang w:eastAsia="sk-SK"/>
              </w:rPr>
              <w:t>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301</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12 </w:t>
            </w: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0</w:t>
            </w:r>
            <w:r>
              <w:rPr>
                <w:rFonts w:ascii="Times New Roman" w:hAnsi="Times New Roman" w:cs="Times New Roman"/>
                <w:color w:val="000000"/>
                <w:sz w:val="14"/>
                <w:szCs w:val="14"/>
                <w:lang w:eastAsia="sk-SK"/>
              </w:rPr>
              <w:t>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699</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12 </w:t>
            </w:r>
            <w:r>
              <w:rPr>
                <w:rFonts w:ascii="Times New Roman" w:hAnsi="Times New Roman" w:cs="Times New Roman"/>
                <w:color w:val="000000"/>
                <w:sz w:val="14"/>
                <w:szCs w:val="14"/>
                <w:lang w:eastAsia="sk-SK"/>
              </w:rPr>
              <w:t>707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699</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12 </w:t>
            </w:r>
            <w:r>
              <w:rPr>
                <w:rFonts w:ascii="Times New Roman" w:hAnsi="Times New Roman" w:cs="Times New Roman"/>
                <w:color w:val="000000"/>
                <w:sz w:val="14"/>
                <w:szCs w:val="14"/>
                <w:lang w:eastAsia="sk-SK"/>
              </w:rPr>
              <w:t>707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699</w:t>
            </w:r>
          </w:p>
        </w:tc>
      </w:tr>
      <w:tr w:rsidR="007D13F3" w:rsidRPr="00D26052" w:rsidTr="00465CAC">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Centrum pre </w:t>
            </w:r>
            <w:proofErr w:type="spellStart"/>
            <w:r w:rsidRPr="00D26052">
              <w:rPr>
                <w:rFonts w:ascii="Times New Roman" w:hAnsi="Times New Roman" w:cs="Times New Roman"/>
                <w:color w:val="000000"/>
                <w:sz w:val="14"/>
                <w:szCs w:val="14"/>
                <w:lang w:eastAsia="sk-SK"/>
              </w:rPr>
              <w:t>medz</w:t>
            </w:r>
            <w:proofErr w:type="spellEnd"/>
            <w:r w:rsidRPr="00D26052">
              <w:rPr>
                <w:rFonts w:ascii="Times New Roman" w:hAnsi="Times New Roman" w:cs="Times New Roman"/>
                <w:color w:val="000000"/>
                <w:sz w:val="14"/>
                <w:szCs w:val="14"/>
                <w:lang w:eastAsia="sk-SK"/>
              </w:rPr>
              <w:t>. ochranu detí a mládeže</w:t>
            </w:r>
          </w:p>
        </w:tc>
        <w:tc>
          <w:tcPr>
            <w:tcW w:w="99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5</w:t>
            </w:r>
            <w:r>
              <w:rPr>
                <w:rFonts w:ascii="Times New Roman" w:hAnsi="Times New Roman" w:cs="Times New Roman"/>
                <w:color w:val="000000"/>
                <w:sz w:val="14"/>
                <w:szCs w:val="14"/>
                <w:lang w:eastAsia="sk-SK"/>
              </w:rPr>
              <w:t>43</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634</w:t>
            </w:r>
          </w:p>
        </w:tc>
        <w:tc>
          <w:tcPr>
            <w:tcW w:w="928"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3</w:t>
            </w:r>
            <w:r>
              <w:rPr>
                <w:rFonts w:ascii="Times New Roman" w:hAnsi="Times New Roman" w:cs="Times New Roman"/>
                <w:color w:val="000000"/>
                <w:sz w:val="14"/>
                <w:szCs w:val="14"/>
                <w:lang w:eastAsia="sk-SK"/>
              </w:rPr>
              <w:t>89</w:t>
            </w:r>
            <w:r w:rsidRPr="00D26052">
              <w:rPr>
                <w:rFonts w:ascii="Times New Roman" w:hAnsi="Times New Roman" w:cs="Times New Roman"/>
                <w:color w:val="000000"/>
                <w:sz w:val="14"/>
                <w:szCs w:val="14"/>
                <w:lang w:eastAsia="sk-SK"/>
              </w:rPr>
              <w:t xml:space="preserve"> 634</w:t>
            </w:r>
          </w:p>
        </w:tc>
        <w:tc>
          <w:tcPr>
            <w:tcW w:w="920"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43</w:t>
            </w:r>
            <w:r>
              <w:rPr>
                <w:rFonts w:ascii="Times New Roman" w:hAnsi="Times New Roman" w:cs="Times New Roman"/>
                <w:color w:val="000000"/>
                <w:sz w:val="14"/>
                <w:szCs w:val="14"/>
                <w:lang w:eastAsia="sk-SK"/>
              </w:rPr>
              <w:t>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466</w:t>
            </w:r>
          </w:p>
        </w:tc>
        <w:tc>
          <w:tcPr>
            <w:tcW w:w="92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85 765</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61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747</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61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747</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61</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747</w:t>
            </w:r>
          </w:p>
        </w:tc>
      </w:tr>
      <w:tr w:rsidR="007D13F3" w:rsidRPr="00D26052" w:rsidTr="00465CAC">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IA pre OP </w:t>
            </w:r>
            <w:proofErr w:type="spellStart"/>
            <w:r w:rsidRPr="00D26052">
              <w:rPr>
                <w:rFonts w:ascii="Times New Roman" w:hAnsi="Times New Roman" w:cs="Times New Roman"/>
                <w:color w:val="000000"/>
                <w:sz w:val="14"/>
                <w:szCs w:val="14"/>
                <w:lang w:eastAsia="sk-SK"/>
              </w:rPr>
              <w:t>ZaSI</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1 982 387</w:t>
            </w:r>
          </w:p>
        </w:tc>
        <w:tc>
          <w:tcPr>
            <w:tcW w:w="928"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1 </w:t>
            </w:r>
            <w:r>
              <w:rPr>
                <w:rFonts w:ascii="Times New Roman" w:hAnsi="Times New Roman" w:cs="Times New Roman"/>
                <w:color w:val="000000"/>
                <w:sz w:val="14"/>
                <w:szCs w:val="14"/>
                <w:lang w:eastAsia="sk-SK"/>
              </w:rPr>
              <w:t>319</w:t>
            </w:r>
            <w:r w:rsidRPr="00D26052">
              <w:rPr>
                <w:rFonts w:ascii="Times New Roman" w:hAnsi="Times New Roman" w:cs="Times New Roman"/>
                <w:color w:val="000000"/>
                <w:sz w:val="14"/>
                <w:szCs w:val="14"/>
                <w:lang w:eastAsia="sk-SK"/>
              </w:rPr>
              <w:t xml:space="preserve"> 4</w:t>
            </w:r>
            <w:r>
              <w:rPr>
                <w:rFonts w:ascii="Times New Roman" w:hAnsi="Times New Roman" w:cs="Times New Roman"/>
                <w:color w:val="000000"/>
                <w:sz w:val="14"/>
                <w:szCs w:val="14"/>
                <w:lang w:eastAsia="sk-SK"/>
              </w:rPr>
              <w:t>69</w:t>
            </w:r>
          </w:p>
        </w:tc>
        <w:tc>
          <w:tcPr>
            <w:tcW w:w="920"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9</w:t>
            </w:r>
            <w:r>
              <w:rPr>
                <w:rFonts w:ascii="Times New Roman" w:hAnsi="Times New Roman" w:cs="Times New Roman"/>
                <w:color w:val="000000"/>
                <w:sz w:val="14"/>
                <w:szCs w:val="14"/>
                <w:lang w:eastAsia="sk-SK"/>
              </w:rPr>
              <w:t>48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w:t>
            </w:r>
            <w:r w:rsidRPr="00D26052">
              <w:rPr>
                <w:rFonts w:ascii="Times New Roman" w:hAnsi="Times New Roman" w:cs="Times New Roman"/>
                <w:color w:val="000000"/>
                <w:sz w:val="14"/>
                <w:szCs w:val="14"/>
                <w:lang w:eastAsia="sk-SK"/>
              </w:rPr>
              <w:t>25</w:t>
            </w:r>
          </w:p>
        </w:tc>
        <w:tc>
          <w:tcPr>
            <w:tcW w:w="92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950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525</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1 </w:t>
            </w:r>
            <w:r>
              <w:rPr>
                <w:rFonts w:ascii="Times New Roman" w:hAnsi="Times New Roman" w:cs="Times New Roman"/>
                <w:color w:val="000000"/>
                <w:sz w:val="14"/>
                <w:szCs w:val="14"/>
                <w:lang w:eastAsia="sk-SK"/>
              </w:rPr>
              <w:t>362</w:t>
            </w:r>
            <w:r w:rsidRPr="00D26052">
              <w:rPr>
                <w:rFonts w:ascii="Times New Roman" w:hAnsi="Times New Roman" w:cs="Times New Roman"/>
                <w:color w:val="000000"/>
                <w:sz w:val="14"/>
                <w:szCs w:val="14"/>
                <w:lang w:eastAsia="sk-SK"/>
              </w:rPr>
              <w:t xml:space="preserve"> 5</w:t>
            </w:r>
            <w:r>
              <w:rPr>
                <w:rFonts w:ascii="Times New Roman" w:hAnsi="Times New Roman" w:cs="Times New Roman"/>
                <w:color w:val="000000"/>
                <w:sz w:val="14"/>
                <w:szCs w:val="14"/>
                <w:lang w:eastAsia="sk-SK"/>
              </w:rPr>
              <w:t>56</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1 </w:t>
            </w:r>
            <w:r>
              <w:rPr>
                <w:rFonts w:ascii="Times New Roman" w:hAnsi="Times New Roman" w:cs="Times New Roman"/>
                <w:color w:val="000000"/>
                <w:sz w:val="14"/>
                <w:szCs w:val="14"/>
                <w:lang w:eastAsia="sk-SK"/>
              </w:rPr>
              <w:t>362</w:t>
            </w:r>
            <w:r w:rsidRPr="00D26052">
              <w:rPr>
                <w:rFonts w:ascii="Times New Roman" w:hAnsi="Times New Roman" w:cs="Times New Roman"/>
                <w:color w:val="000000"/>
                <w:sz w:val="14"/>
                <w:szCs w:val="14"/>
                <w:lang w:eastAsia="sk-SK"/>
              </w:rPr>
              <w:t xml:space="preserve"> 5</w:t>
            </w:r>
            <w:r>
              <w:rPr>
                <w:rFonts w:ascii="Times New Roman" w:hAnsi="Times New Roman" w:cs="Times New Roman"/>
                <w:color w:val="000000"/>
                <w:sz w:val="14"/>
                <w:szCs w:val="14"/>
                <w:lang w:eastAsia="sk-SK"/>
              </w:rPr>
              <w:t>56</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 xml:space="preserve"> 362 </w:t>
            </w:r>
            <w:r w:rsidRPr="00D26052">
              <w:rPr>
                <w:rFonts w:ascii="Times New Roman" w:hAnsi="Times New Roman" w:cs="Times New Roman"/>
                <w:color w:val="000000"/>
                <w:sz w:val="14"/>
                <w:szCs w:val="14"/>
                <w:lang w:eastAsia="sk-SK"/>
              </w:rPr>
              <w:t>5</w:t>
            </w:r>
            <w:r>
              <w:rPr>
                <w:rFonts w:ascii="Times New Roman" w:hAnsi="Times New Roman" w:cs="Times New Roman"/>
                <w:color w:val="000000"/>
                <w:sz w:val="14"/>
                <w:szCs w:val="14"/>
                <w:lang w:eastAsia="sk-SK"/>
              </w:rPr>
              <w:t>56</w:t>
            </w:r>
          </w:p>
        </w:tc>
      </w:tr>
      <w:tr w:rsidR="007D13F3" w:rsidRPr="00D26052" w:rsidTr="00465CAC">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Príspevky do </w:t>
            </w:r>
            <w:proofErr w:type="spellStart"/>
            <w:r w:rsidRPr="00D26052">
              <w:rPr>
                <w:rFonts w:ascii="Times New Roman" w:hAnsi="Times New Roman" w:cs="Times New Roman"/>
                <w:b/>
                <w:bCs/>
                <w:color w:val="000000"/>
                <w:sz w:val="14"/>
                <w:szCs w:val="14"/>
                <w:lang w:eastAsia="sk-SK"/>
              </w:rPr>
              <w:t>medz</w:t>
            </w:r>
            <w:proofErr w:type="spellEnd"/>
            <w:r w:rsidRPr="00D26052">
              <w:rPr>
                <w:rFonts w:ascii="Times New Roman" w:hAnsi="Times New Roman" w:cs="Times New Roman"/>
                <w:b/>
                <w:bCs/>
                <w:color w:val="000000"/>
                <w:sz w:val="14"/>
                <w:szCs w:val="14"/>
                <w:lang w:eastAsia="sk-SK"/>
              </w:rPr>
              <w:t>. organizácií </w:t>
            </w:r>
          </w:p>
        </w:tc>
        <w:tc>
          <w:tcPr>
            <w:tcW w:w="99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666</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3</w:t>
            </w:r>
            <w:r w:rsidRPr="00D26052">
              <w:rPr>
                <w:rFonts w:ascii="Times New Roman" w:hAnsi="Times New Roman" w:cs="Times New Roman"/>
                <w:b/>
                <w:bCs/>
                <w:color w:val="000000"/>
                <w:sz w:val="14"/>
                <w:szCs w:val="14"/>
                <w:lang w:eastAsia="sk-SK"/>
              </w:rPr>
              <w:t>6</w:t>
            </w:r>
            <w:r>
              <w:rPr>
                <w:rFonts w:ascii="Times New Roman" w:hAnsi="Times New Roman" w:cs="Times New Roman"/>
                <w:b/>
                <w:bCs/>
                <w:color w:val="000000"/>
                <w:sz w:val="14"/>
                <w:szCs w:val="14"/>
                <w:lang w:eastAsia="sk-SK"/>
              </w:rPr>
              <w:t>7</w:t>
            </w:r>
          </w:p>
        </w:tc>
        <w:tc>
          <w:tcPr>
            <w:tcW w:w="928"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6</w:t>
            </w:r>
            <w:r>
              <w:rPr>
                <w:rFonts w:ascii="Times New Roman" w:hAnsi="Times New Roman" w:cs="Times New Roman"/>
                <w:b/>
                <w:bCs/>
                <w:color w:val="000000"/>
                <w:sz w:val="14"/>
                <w:szCs w:val="14"/>
                <w:lang w:eastAsia="sk-SK"/>
              </w:rPr>
              <w:t>13</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2</w:t>
            </w:r>
            <w:r w:rsidRPr="00D26052">
              <w:rPr>
                <w:rFonts w:ascii="Times New Roman" w:hAnsi="Times New Roman" w:cs="Times New Roman"/>
                <w:b/>
                <w:bCs/>
                <w:color w:val="000000"/>
                <w:sz w:val="14"/>
                <w:szCs w:val="14"/>
                <w:lang w:eastAsia="sk-SK"/>
              </w:rPr>
              <w:t>6</w:t>
            </w:r>
            <w:r>
              <w:rPr>
                <w:rFonts w:ascii="Times New Roman" w:hAnsi="Times New Roman" w:cs="Times New Roman"/>
                <w:b/>
                <w:bCs/>
                <w:color w:val="000000"/>
                <w:sz w:val="14"/>
                <w:szCs w:val="14"/>
                <w:lang w:eastAsia="sk-SK"/>
              </w:rPr>
              <w:t>0</w:t>
            </w:r>
          </w:p>
        </w:tc>
        <w:tc>
          <w:tcPr>
            <w:tcW w:w="920"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675 367</w:t>
            </w:r>
          </w:p>
        </w:tc>
        <w:tc>
          <w:tcPr>
            <w:tcW w:w="92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675 367</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5</w:t>
            </w:r>
            <w:r>
              <w:rPr>
                <w:rFonts w:ascii="Times New Roman" w:hAnsi="Times New Roman" w:cs="Times New Roman"/>
                <w:b/>
                <w:bCs/>
                <w:color w:val="000000"/>
                <w:sz w:val="14"/>
                <w:szCs w:val="14"/>
                <w:lang w:eastAsia="sk-SK"/>
              </w:rPr>
              <w:t>95</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000</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5</w:t>
            </w:r>
            <w:r>
              <w:rPr>
                <w:rFonts w:ascii="Times New Roman" w:hAnsi="Times New Roman" w:cs="Times New Roman"/>
                <w:b/>
                <w:bCs/>
                <w:color w:val="000000"/>
                <w:sz w:val="14"/>
                <w:szCs w:val="14"/>
                <w:lang w:eastAsia="sk-SK"/>
              </w:rPr>
              <w:t>95</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000</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5</w:t>
            </w:r>
            <w:r>
              <w:rPr>
                <w:rFonts w:ascii="Times New Roman" w:hAnsi="Times New Roman" w:cs="Times New Roman"/>
                <w:b/>
                <w:bCs/>
                <w:color w:val="000000"/>
                <w:sz w:val="14"/>
                <w:szCs w:val="14"/>
                <w:lang w:eastAsia="sk-SK"/>
              </w:rPr>
              <w:t>95</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000</w:t>
            </w:r>
          </w:p>
        </w:tc>
      </w:tr>
      <w:tr w:rsidR="007D13F3" w:rsidRPr="00D26052" w:rsidTr="00465CAC">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Hospodárska mobilizácia </w:t>
            </w:r>
          </w:p>
        </w:tc>
        <w:tc>
          <w:tcPr>
            <w:tcW w:w="99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63 4</w:t>
            </w:r>
            <w:r w:rsidRPr="00D26052">
              <w:rPr>
                <w:rFonts w:ascii="Times New Roman" w:hAnsi="Times New Roman" w:cs="Times New Roman"/>
                <w:b/>
                <w:bCs/>
                <w:color w:val="000000"/>
                <w:sz w:val="14"/>
                <w:szCs w:val="14"/>
                <w:lang w:eastAsia="sk-SK"/>
              </w:rPr>
              <w:t>5</w:t>
            </w:r>
            <w:r>
              <w:rPr>
                <w:rFonts w:ascii="Times New Roman" w:hAnsi="Times New Roman" w:cs="Times New Roman"/>
                <w:b/>
                <w:bCs/>
                <w:color w:val="000000"/>
                <w:sz w:val="14"/>
                <w:szCs w:val="14"/>
                <w:lang w:eastAsia="sk-SK"/>
              </w:rPr>
              <w:t>1</w:t>
            </w:r>
          </w:p>
        </w:tc>
        <w:tc>
          <w:tcPr>
            <w:tcW w:w="928"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45 1</w:t>
            </w:r>
            <w:r>
              <w:rPr>
                <w:rFonts w:ascii="Times New Roman" w:hAnsi="Times New Roman" w:cs="Times New Roman"/>
                <w:b/>
                <w:bCs/>
                <w:color w:val="000000"/>
                <w:sz w:val="14"/>
                <w:szCs w:val="14"/>
                <w:lang w:eastAsia="sk-SK"/>
              </w:rPr>
              <w:t>36</w:t>
            </w:r>
          </w:p>
        </w:tc>
        <w:tc>
          <w:tcPr>
            <w:tcW w:w="920"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45 189</w:t>
            </w:r>
          </w:p>
        </w:tc>
        <w:tc>
          <w:tcPr>
            <w:tcW w:w="92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45 1</w:t>
            </w:r>
            <w:r>
              <w:rPr>
                <w:rFonts w:ascii="Times New Roman" w:hAnsi="Times New Roman" w:cs="Times New Roman"/>
                <w:b/>
                <w:bCs/>
                <w:color w:val="000000"/>
                <w:sz w:val="14"/>
                <w:szCs w:val="14"/>
                <w:lang w:eastAsia="sk-SK"/>
              </w:rPr>
              <w:t>96</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45 189</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45 189</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45 189</w:t>
            </w:r>
          </w:p>
        </w:tc>
      </w:tr>
      <w:tr w:rsidR="007D13F3" w:rsidRPr="00D26052" w:rsidTr="00465CAC">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Protidrogové opatrenia </w:t>
            </w:r>
          </w:p>
        </w:tc>
        <w:tc>
          <w:tcPr>
            <w:tcW w:w="99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58 </w:t>
            </w:r>
            <w:r>
              <w:rPr>
                <w:rFonts w:ascii="Times New Roman" w:hAnsi="Times New Roman" w:cs="Times New Roman"/>
                <w:b/>
                <w:bCs/>
                <w:color w:val="000000"/>
                <w:sz w:val="14"/>
                <w:szCs w:val="14"/>
                <w:lang w:eastAsia="sk-SK"/>
              </w:rPr>
              <w:t>968</w:t>
            </w:r>
          </w:p>
        </w:tc>
        <w:tc>
          <w:tcPr>
            <w:tcW w:w="928"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62</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07</w:t>
            </w:r>
            <w:r w:rsidRPr="00D26052">
              <w:rPr>
                <w:rFonts w:ascii="Times New Roman" w:hAnsi="Times New Roman" w:cs="Times New Roman"/>
                <w:b/>
                <w:bCs/>
                <w:color w:val="000000"/>
                <w:sz w:val="14"/>
                <w:szCs w:val="14"/>
                <w:lang w:eastAsia="sk-SK"/>
              </w:rPr>
              <w:t>8</w:t>
            </w:r>
          </w:p>
        </w:tc>
        <w:tc>
          <w:tcPr>
            <w:tcW w:w="920"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50 000</w:t>
            </w:r>
          </w:p>
        </w:tc>
        <w:tc>
          <w:tcPr>
            <w:tcW w:w="92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50 000</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50 000</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50 000</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50 000</w:t>
            </w:r>
          </w:p>
        </w:tc>
      </w:tr>
      <w:tr w:rsidR="007D13F3" w:rsidRPr="00D26052" w:rsidTr="00465CAC">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Elektronizácia VS </w:t>
            </w:r>
          </w:p>
        </w:tc>
        <w:tc>
          <w:tcPr>
            <w:tcW w:w="99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5</w:t>
            </w:r>
            <w:r>
              <w:rPr>
                <w:rFonts w:ascii="Times New Roman" w:hAnsi="Times New Roman" w:cs="Times New Roman"/>
                <w:b/>
                <w:bCs/>
                <w:color w:val="000000"/>
                <w:sz w:val="14"/>
                <w:szCs w:val="14"/>
                <w:lang w:eastAsia="sk-SK"/>
              </w:rPr>
              <w:t>0</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678</w:t>
            </w:r>
          </w:p>
        </w:tc>
        <w:tc>
          <w:tcPr>
            <w:tcW w:w="928"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1 425 701</w:t>
            </w:r>
          </w:p>
        </w:tc>
        <w:tc>
          <w:tcPr>
            <w:tcW w:w="920"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0</w:t>
            </w:r>
          </w:p>
        </w:tc>
        <w:tc>
          <w:tcPr>
            <w:tcW w:w="92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0</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0</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0</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0</w:t>
            </w:r>
          </w:p>
        </w:tc>
      </w:tr>
      <w:tr w:rsidR="007D13F3" w:rsidRPr="00D26052" w:rsidTr="00465CAC">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SK PRES 2016</w:t>
            </w:r>
          </w:p>
        </w:tc>
        <w:tc>
          <w:tcPr>
            <w:tcW w:w="99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121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364</w:t>
            </w:r>
          </w:p>
        </w:tc>
        <w:tc>
          <w:tcPr>
            <w:tcW w:w="928"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w:t>
            </w:r>
            <w:r>
              <w:rPr>
                <w:rFonts w:ascii="Times New Roman" w:hAnsi="Times New Roman" w:cs="Times New Roman"/>
                <w:b/>
                <w:bCs/>
                <w:color w:val="000000"/>
                <w:sz w:val="14"/>
                <w:szCs w:val="14"/>
                <w:lang w:eastAsia="sk-SK"/>
              </w:rPr>
              <w:t>95</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975</w:t>
            </w:r>
          </w:p>
        </w:tc>
        <w:tc>
          <w:tcPr>
            <w:tcW w:w="920"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0</w:t>
            </w:r>
          </w:p>
        </w:tc>
        <w:tc>
          <w:tcPr>
            <w:tcW w:w="922"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4 888</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0</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0</w:t>
            </w:r>
          </w:p>
        </w:tc>
        <w:tc>
          <w:tcPr>
            <w:tcW w:w="921" w:type="dxa"/>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0</w:t>
            </w:r>
          </w:p>
        </w:tc>
      </w:tr>
    </w:tbl>
    <w:p w:rsidR="007D13F3" w:rsidRPr="00F5748F" w:rsidRDefault="007D13F3" w:rsidP="007D13F3">
      <w:pPr>
        <w:jc w:val="both"/>
        <w:outlineLvl w:val="0"/>
        <w:rPr>
          <w:rFonts w:ascii="Times New Roman" w:hAnsi="Times New Roman" w:cs="Times New Roman"/>
          <w:lang w:eastAsia="sk-SK"/>
        </w:rPr>
      </w:pPr>
    </w:p>
    <w:p w:rsidR="007D13F3" w:rsidRDefault="007D13F3" w:rsidP="007D13F3">
      <w:pPr>
        <w:ind w:firstLine="708"/>
        <w:jc w:val="both"/>
        <w:rPr>
          <w:rFonts w:ascii="Times New Roman" w:hAnsi="Times New Roman" w:cs="Times New Roman"/>
          <w:lang w:eastAsia="sk-SK"/>
        </w:rPr>
      </w:pPr>
      <w:r>
        <w:rPr>
          <w:rFonts w:ascii="Times New Roman" w:hAnsi="Times New Roman" w:cs="Times New Roman"/>
          <w:lang w:eastAsia="sk-SK"/>
        </w:rPr>
        <w:t>Na</w:t>
      </w:r>
      <w:r w:rsidRPr="00D26052">
        <w:rPr>
          <w:rFonts w:ascii="Times New Roman" w:hAnsi="Times New Roman" w:cs="Times New Roman"/>
          <w:lang w:eastAsia="sk-SK"/>
        </w:rPr>
        <w:t xml:space="preserve"> rok 201</w:t>
      </w:r>
      <w:r>
        <w:rPr>
          <w:rFonts w:ascii="Times New Roman" w:hAnsi="Times New Roman" w:cs="Times New Roman"/>
          <w:lang w:eastAsia="sk-SK"/>
        </w:rPr>
        <w:t>8</w:t>
      </w:r>
      <w:r w:rsidRPr="00D26052">
        <w:rPr>
          <w:rFonts w:ascii="Times New Roman" w:hAnsi="Times New Roman" w:cs="Times New Roman"/>
          <w:lang w:eastAsia="sk-SK"/>
        </w:rPr>
        <w:t xml:space="preserve"> je </w:t>
      </w:r>
      <w:r w:rsidR="00F30F1A">
        <w:rPr>
          <w:rFonts w:ascii="Times New Roman" w:hAnsi="Times New Roman" w:cs="Times New Roman"/>
          <w:lang w:eastAsia="sk-SK"/>
        </w:rPr>
        <w:t>na</w:t>
      </w:r>
      <w:r w:rsidRPr="00D26052">
        <w:rPr>
          <w:rFonts w:ascii="Times New Roman" w:hAnsi="Times New Roman" w:cs="Times New Roman"/>
          <w:lang w:eastAsia="sk-SK"/>
        </w:rPr>
        <w:t xml:space="preserve"> inštitucionálnu podporu vyčlenených o</w:t>
      </w:r>
      <w:r>
        <w:rPr>
          <w:rFonts w:ascii="Times New Roman" w:hAnsi="Times New Roman" w:cs="Times New Roman"/>
          <w:lang w:eastAsia="sk-SK"/>
        </w:rPr>
        <w:t> 11,0</w:t>
      </w:r>
      <w:r w:rsidRPr="00D26052">
        <w:rPr>
          <w:rFonts w:ascii="Times New Roman" w:hAnsi="Times New Roman" w:cs="Times New Roman"/>
          <w:lang w:eastAsia="sk-SK"/>
        </w:rPr>
        <w:t xml:space="preserve"> mil. </w:t>
      </w:r>
      <w:r w:rsidRPr="00D26052">
        <w:rPr>
          <w:rFonts w:ascii="Times New Roman" w:hAnsi="Times New Roman" w:cs="Times New Roman"/>
          <w:color w:val="000000"/>
          <w:lang w:eastAsia="sk-SK"/>
        </w:rPr>
        <w:t xml:space="preserve">eur viac oproti schválenému rozpočtu </w:t>
      </w:r>
      <w:r>
        <w:rPr>
          <w:rFonts w:ascii="Times New Roman" w:hAnsi="Times New Roman" w:cs="Times New Roman"/>
          <w:color w:val="000000"/>
          <w:lang w:eastAsia="sk-SK"/>
        </w:rPr>
        <w:t>na</w:t>
      </w:r>
      <w:r w:rsidRPr="00D26052">
        <w:rPr>
          <w:rFonts w:ascii="Times New Roman" w:hAnsi="Times New Roman" w:cs="Times New Roman"/>
          <w:color w:val="000000"/>
          <w:lang w:eastAsia="sk-SK"/>
        </w:rPr>
        <w:t xml:space="preserve"> rok 201</w:t>
      </w:r>
      <w:r>
        <w:rPr>
          <w:rFonts w:ascii="Times New Roman" w:hAnsi="Times New Roman" w:cs="Times New Roman"/>
          <w:color w:val="000000"/>
          <w:lang w:eastAsia="sk-SK"/>
        </w:rPr>
        <w:t>7</w:t>
      </w:r>
      <w:r w:rsidRPr="00D26052">
        <w:rPr>
          <w:rFonts w:ascii="Times New Roman" w:hAnsi="Times New Roman" w:cs="Times New Roman"/>
          <w:lang w:eastAsia="sk-SK"/>
        </w:rPr>
        <w:t>, nárast súvisí s premietnutím valorizácie miezd roku 201</w:t>
      </w:r>
      <w:r>
        <w:rPr>
          <w:rFonts w:ascii="Times New Roman" w:hAnsi="Times New Roman" w:cs="Times New Roman"/>
          <w:lang w:eastAsia="sk-SK"/>
        </w:rPr>
        <w:t>7</w:t>
      </w:r>
      <w:r w:rsidRPr="00D26052">
        <w:rPr>
          <w:rFonts w:ascii="Times New Roman" w:hAnsi="Times New Roman" w:cs="Times New Roman"/>
          <w:lang w:eastAsia="sk-SK"/>
        </w:rPr>
        <w:t xml:space="preserve"> a so zabezpečením činnosti úradov pr</w:t>
      </w:r>
      <w:r>
        <w:rPr>
          <w:rFonts w:ascii="Times New Roman" w:hAnsi="Times New Roman" w:cs="Times New Roman"/>
          <w:lang w:eastAsia="sk-SK"/>
        </w:rPr>
        <w:t xml:space="preserve">áce, sociálnych vecí a rodiny. </w:t>
      </w:r>
    </w:p>
    <w:p w:rsidR="007D13F3" w:rsidRPr="00D26052" w:rsidRDefault="007D13F3" w:rsidP="007D13F3">
      <w:pPr>
        <w:ind w:firstLine="709"/>
        <w:jc w:val="both"/>
        <w:rPr>
          <w:rFonts w:ascii="Times New Roman" w:hAnsi="Times New Roman" w:cs="Times New Roman"/>
          <w:lang w:eastAsia="sk-SK"/>
        </w:rPr>
      </w:pPr>
    </w:p>
    <w:p w:rsidR="007D13F3" w:rsidRDefault="007D13F3" w:rsidP="007D13F3">
      <w:pPr>
        <w:ind w:firstLine="708"/>
        <w:jc w:val="both"/>
        <w:rPr>
          <w:rFonts w:ascii="Times New Roman" w:hAnsi="Times New Roman" w:cs="Times New Roman"/>
          <w:lang w:eastAsia="sk-SK"/>
        </w:rPr>
      </w:pPr>
      <w:r w:rsidRPr="00D26052">
        <w:rPr>
          <w:rFonts w:ascii="Times New Roman" w:hAnsi="Times New Roman" w:cs="Times New Roman"/>
          <w:lang w:eastAsia="sk-SK"/>
        </w:rPr>
        <w:t>Prostriedky na hospodársku mobilizáciu sa rozpočtujú na úrovni schváleného rozpočtu na rok 201</w:t>
      </w:r>
      <w:r>
        <w:rPr>
          <w:rFonts w:ascii="Times New Roman" w:hAnsi="Times New Roman" w:cs="Times New Roman"/>
          <w:lang w:eastAsia="sk-SK"/>
        </w:rPr>
        <w:t>7</w:t>
      </w:r>
      <w:r w:rsidRPr="00D26052">
        <w:rPr>
          <w:rFonts w:ascii="Times New Roman" w:hAnsi="Times New Roman" w:cs="Times New Roman"/>
          <w:lang w:eastAsia="sk-SK"/>
        </w:rPr>
        <w:t>.</w:t>
      </w:r>
    </w:p>
    <w:p w:rsidR="007D13F3" w:rsidRPr="00D26052" w:rsidRDefault="007D13F3" w:rsidP="007D13F3">
      <w:pPr>
        <w:ind w:firstLine="708"/>
        <w:jc w:val="both"/>
        <w:rPr>
          <w:rFonts w:ascii="Times New Roman" w:hAnsi="Times New Roman" w:cs="Times New Roman"/>
          <w:lang w:eastAsia="sk-SK"/>
        </w:rPr>
      </w:pPr>
    </w:p>
    <w:p w:rsidR="007D13F3" w:rsidRDefault="007D13F3" w:rsidP="007D13F3">
      <w:pPr>
        <w:ind w:firstLine="708"/>
        <w:jc w:val="both"/>
        <w:rPr>
          <w:rFonts w:ascii="Times New Roman" w:hAnsi="Times New Roman" w:cs="Times New Roman"/>
          <w:color w:val="000000"/>
          <w:lang w:eastAsia="sk-SK"/>
        </w:rPr>
      </w:pPr>
      <w:r w:rsidRPr="00D26052">
        <w:rPr>
          <w:rFonts w:ascii="Times New Roman" w:hAnsi="Times New Roman" w:cs="Times New Roman"/>
          <w:lang w:eastAsia="sk-SK"/>
        </w:rPr>
        <w:t xml:space="preserve">Výdavky na členské príspevky do medzinárodných organizácií (Medzinárodná asociácia práce, Medzinárodná organizácia práce, Európske centrum pre sociálnu politiku </w:t>
      </w:r>
      <w:r w:rsidRPr="00D26052">
        <w:rPr>
          <w:rFonts w:ascii="Times New Roman" w:hAnsi="Times New Roman" w:cs="Times New Roman"/>
          <w:lang w:eastAsia="sk-SK"/>
        </w:rPr>
        <w:lastRenderedPageBreak/>
        <w:t xml:space="preserve">a výskum, ISSA) sa rozpočtujú v sume </w:t>
      </w:r>
      <w:r>
        <w:rPr>
          <w:rFonts w:ascii="Times New Roman" w:hAnsi="Times New Roman" w:cs="Times New Roman"/>
          <w:lang w:eastAsia="sk-SK"/>
        </w:rPr>
        <w:t>595</w:t>
      </w:r>
      <w:r w:rsidRPr="00D26052">
        <w:rPr>
          <w:rFonts w:ascii="Times New Roman" w:hAnsi="Times New Roman" w:cs="Times New Roman"/>
          <w:lang w:eastAsia="sk-SK"/>
        </w:rPr>
        <w:t xml:space="preserve"> tis. eur, čo </w:t>
      </w:r>
      <w:r w:rsidRPr="00D26052">
        <w:rPr>
          <w:rFonts w:ascii="Times New Roman" w:hAnsi="Times New Roman" w:cs="Times New Roman"/>
          <w:color w:val="000000"/>
          <w:lang w:eastAsia="sk-SK"/>
        </w:rPr>
        <w:t xml:space="preserve">predstavuje </w:t>
      </w:r>
      <w:r>
        <w:rPr>
          <w:rFonts w:ascii="Times New Roman" w:hAnsi="Times New Roman" w:cs="Times New Roman"/>
          <w:color w:val="000000"/>
          <w:lang w:eastAsia="sk-SK"/>
        </w:rPr>
        <w:t>pokles</w:t>
      </w:r>
      <w:r w:rsidRPr="00D26052">
        <w:rPr>
          <w:rFonts w:ascii="Times New Roman" w:hAnsi="Times New Roman" w:cs="Times New Roman"/>
          <w:color w:val="000000"/>
          <w:lang w:eastAsia="sk-SK"/>
        </w:rPr>
        <w:t xml:space="preserve"> o </w:t>
      </w:r>
      <w:r>
        <w:rPr>
          <w:rFonts w:ascii="Times New Roman" w:hAnsi="Times New Roman" w:cs="Times New Roman"/>
          <w:color w:val="000000"/>
          <w:lang w:eastAsia="sk-SK"/>
        </w:rPr>
        <w:t>11</w:t>
      </w:r>
      <w:r w:rsidRPr="00D26052">
        <w:rPr>
          <w:rFonts w:ascii="Times New Roman" w:hAnsi="Times New Roman" w:cs="Times New Roman"/>
          <w:color w:val="000000"/>
          <w:lang w:eastAsia="sk-SK"/>
        </w:rPr>
        <w:t>,</w:t>
      </w:r>
      <w:r>
        <w:rPr>
          <w:rFonts w:ascii="Times New Roman" w:hAnsi="Times New Roman" w:cs="Times New Roman"/>
          <w:color w:val="000000"/>
          <w:lang w:eastAsia="sk-SK"/>
        </w:rPr>
        <w:t>90</w:t>
      </w:r>
      <w:r w:rsidRPr="00D26052">
        <w:rPr>
          <w:rFonts w:ascii="Times New Roman" w:hAnsi="Times New Roman" w:cs="Times New Roman"/>
          <w:color w:val="000000"/>
          <w:lang w:eastAsia="sk-SK"/>
        </w:rPr>
        <w:t xml:space="preserve"> % oproti schválenému rozpočtu </w:t>
      </w:r>
      <w:r>
        <w:rPr>
          <w:rFonts w:ascii="Times New Roman" w:hAnsi="Times New Roman" w:cs="Times New Roman"/>
          <w:color w:val="000000"/>
          <w:lang w:eastAsia="sk-SK"/>
        </w:rPr>
        <w:t>na</w:t>
      </w:r>
      <w:r w:rsidRPr="00D26052">
        <w:rPr>
          <w:rFonts w:ascii="Times New Roman" w:hAnsi="Times New Roman" w:cs="Times New Roman"/>
          <w:color w:val="000000"/>
          <w:lang w:eastAsia="sk-SK"/>
        </w:rPr>
        <w:t xml:space="preserve"> rok 201</w:t>
      </w:r>
      <w:r>
        <w:rPr>
          <w:rFonts w:ascii="Times New Roman" w:hAnsi="Times New Roman" w:cs="Times New Roman"/>
          <w:color w:val="000000"/>
          <w:lang w:eastAsia="sk-SK"/>
        </w:rPr>
        <w:t>7</w:t>
      </w:r>
      <w:r w:rsidRPr="00D26052">
        <w:rPr>
          <w:rFonts w:ascii="Times New Roman" w:hAnsi="Times New Roman" w:cs="Times New Roman"/>
          <w:color w:val="000000"/>
          <w:lang w:eastAsia="sk-SK"/>
        </w:rPr>
        <w:t>.</w:t>
      </w:r>
    </w:p>
    <w:p w:rsidR="007D13F3" w:rsidRPr="00D26052" w:rsidRDefault="007D13F3" w:rsidP="007D13F3">
      <w:pPr>
        <w:ind w:firstLine="708"/>
        <w:jc w:val="both"/>
        <w:rPr>
          <w:rFonts w:ascii="Times New Roman" w:hAnsi="Times New Roman" w:cs="Times New Roman"/>
          <w:lang w:eastAsia="sk-SK"/>
        </w:rPr>
      </w:pPr>
    </w:p>
    <w:p w:rsidR="007D13F3" w:rsidRDefault="007D13F3" w:rsidP="007D13F3">
      <w:pPr>
        <w:ind w:firstLine="708"/>
        <w:jc w:val="both"/>
        <w:rPr>
          <w:rFonts w:ascii="Times New Roman" w:hAnsi="Times New Roman" w:cs="Times New Roman"/>
          <w:lang w:eastAsia="sk-SK"/>
        </w:rPr>
      </w:pPr>
      <w:r w:rsidRPr="00D26052">
        <w:rPr>
          <w:rFonts w:ascii="Times New Roman" w:hAnsi="Times New Roman" w:cs="Times New Roman"/>
          <w:lang w:eastAsia="sk-SK"/>
        </w:rPr>
        <w:t>MPSVR SR</w:t>
      </w:r>
      <w:r>
        <w:rPr>
          <w:rFonts w:ascii="Times New Roman" w:hAnsi="Times New Roman" w:cs="Times New Roman"/>
          <w:lang w:eastAsia="sk-SK"/>
        </w:rPr>
        <w:t xml:space="preserve"> je</w:t>
      </w:r>
      <w:r w:rsidRPr="00D26052">
        <w:rPr>
          <w:rFonts w:ascii="Times New Roman" w:hAnsi="Times New Roman" w:cs="Times New Roman"/>
          <w:lang w:eastAsia="sk-SK"/>
        </w:rPr>
        <w:t xml:space="preserve"> účastníkom medzirezortného programu Protidrogová politika.</w:t>
      </w:r>
      <w:r>
        <w:rPr>
          <w:rFonts w:ascii="Times New Roman" w:hAnsi="Times New Roman" w:cs="Times New Roman"/>
          <w:lang w:eastAsia="sk-SK"/>
        </w:rPr>
        <w:t xml:space="preserve"> </w:t>
      </w:r>
      <w:r w:rsidRPr="00D26052">
        <w:rPr>
          <w:rFonts w:ascii="Times New Roman" w:hAnsi="Times New Roman" w:cs="Times New Roman"/>
          <w:lang w:eastAsia="sk-SK"/>
        </w:rPr>
        <w:t>V rozpočte MPSVR SR sa v roku 201</w:t>
      </w:r>
      <w:r>
        <w:rPr>
          <w:rFonts w:ascii="Times New Roman" w:hAnsi="Times New Roman" w:cs="Times New Roman"/>
          <w:lang w:eastAsia="sk-SK"/>
        </w:rPr>
        <w:t>8</w:t>
      </w:r>
      <w:r w:rsidRPr="00D26052">
        <w:rPr>
          <w:rFonts w:ascii="Times New Roman" w:hAnsi="Times New Roman" w:cs="Times New Roman"/>
          <w:lang w:eastAsia="sk-SK"/>
        </w:rPr>
        <w:t xml:space="preserve"> na uvedenú oblasť rozpočtujú výdavky v sume </w:t>
      </w:r>
      <w:r w:rsidR="00F30F1A">
        <w:rPr>
          <w:rFonts w:ascii="Times New Roman" w:hAnsi="Times New Roman" w:cs="Times New Roman"/>
          <w:lang w:eastAsia="sk-SK"/>
        </w:rPr>
        <w:br/>
      </w:r>
      <w:r w:rsidRPr="00D26052">
        <w:rPr>
          <w:rFonts w:ascii="Times New Roman" w:hAnsi="Times New Roman" w:cs="Times New Roman"/>
          <w:lang w:eastAsia="sk-SK"/>
        </w:rPr>
        <w:t>50,0 tis. eur, teda na úrovni schváleného rozpočtu na rok 201</w:t>
      </w:r>
      <w:r>
        <w:rPr>
          <w:rFonts w:ascii="Times New Roman" w:hAnsi="Times New Roman" w:cs="Times New Roman"/>
          <w:lang w:eastAsia="sk-SK"/>
        </w:rPr>
        <w:t>7</w:t>
      </w:r>
      <w:r w:rsidRPr="00D26052">
        <w:rPr>
          <w:rFonts w:ascii="Times New Roman" w:hAnsi="Times New Roman" w:cs="Times New Roman"/>
          <w:lang w:eastAsia="sk-SK"/>
        </w:rPr>
        <w:t>.</w:t>
      </w:r>
    </w:p>
    <w:p w:rsidR="007D13F3" w:rsidRDefault="007D13F3" w:rsidP="007D13F3">
      <w:pPr>
        <w:ind w:firstLine="708"/>
        <w:jc w:val="both"/>
        <w:rPr>
          <w:rFonts w:ascii="Times New Roman" w:hAnsi="Times New Roman" w:cs="Times New Roman"/>
          <w:lang w:eastAsia="sk-SK"/>
        </w:rPr>
      </w:pPr>
    </w:p>
    <w:p w:rsidR="007D13F3" w:rsidRPr="007F112F" w:rsidRDefault="007D13F3" w:rsidP="007D13F3">
      <w:pPr>
        <w:contextualSpacing/>
        <w:jc w:val="both"/>
        <w:rPr>
          <w:rFonts w:ascii="Times New Roman" w:hAnsi="Times New Roman" w:cs="Times New Roman"/>
          <w:b/>
          <w:lang w:eastAsia="sk-SK"/>
        </w:rPr>
      </w:pPr>
      <w:r w:rsidRPr="007F112F">
        <w:rPr>
          <w:rFonts w:ascii="Times New Roman" w:hAnsi="Times New Roman" w:cs="Times New Roman"/>
          <w:b/>
          <w:lang w:eastAsia="sk-SK"/>
        </w:rPr>
        <w:t>Informačné technológie</w:t>
      </w:r>
    </w:p>
    <w:p w:rsidR="007D13F3" w:rsidRPr="00F5748F" w:rsidRDefault="007D13F3" w:rsidP="007D13F3">
      <w:pPr>
        <w:ind w:firstLine="708"/>
        <w:jc w:val="both"/>
        <w:rPr>
          <w:rFonts w:ascii="Times New Roman" w:hAnsi="Times New Roman" w:cs="Times New Roman"/>
          <w:b/>
        </w:rPr>
      </w:pPr>
    </w:p>
    <w:p w:rsidR="007D13F3" w:rsidRPr="007F112F" w:rsidRDefault="007D13F3" w:rsidP="007D13F3">
      <w:pPr>
        <w:ind w:firstLine="708"/>
        <w:jc w:val="both"/>
        <w:rPr>
          <w:rFonts w:ascii="Times New Roman" w:hAnsi="Times New Roman" w:cs="Times New Roman"/>
          <w:lang w:eastAsia="sk-SK"/>
        </w:rPr>
      </w:pPr>
      <w:r w:rsidRPr="007F112F">
        <w:rPr>
          <w:rFonts w:ascii="Times New Roman" w:hAnsi="Times New Roman" w:cs="Times New Roman"/>
          <w:lang w:eastAsia="sk-SK"/>
        </w:rPr>
        <w:t>V rámci medzirezortného programu Informačné technológie sa v rokoch 2018 až 2020 rozpočtujú výdavky na systémy vnútornej správy, špecializované systémy a podpornú infraštruktúru.</w:t>
      </w:r>
    </w:p>
    <w:p w:rsidR="007D13F3" w:rsidRPr="00F5748F" w:rsidRDefault="007D13F3" w:rsidP="007D13F3">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943"/>
        <w:gridCol w:w="1017"/>
        <w:gridCol w:w="1017"/>
        <w:gridCol w:w="1017"/>
        <w:gridCol w:w="1017"/>
        <w:gridCol w:w="1017"/>
        <w:gridCol w:w="1017"/>
        <w:gridCol w:w="1017"/>
      </w:tblGrid>
      <w:tr w:rsidR="007D13F3" w:rsidRPr="00D26052" w:rsidTr="00465CAC">
        <w:trPr>
          <w:trHeight w:hRule="exact" w:val="284"/>
        </w:trPr>
        <w:tc>
          <w:tcPr>
            <w:tcW w:w="107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D26052" w:rsidRDefault="007D13F3" w:rsidP="00465CAC">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D26052">
              <w:rPr>
                <w:rFonts w:ascii="Times New Roman" w:hAnsi="Times New Roman" w:cs="Times New Roman"/>
                <w:b/>
                <w:bCs/>
                <w:color w:val="000000"/>
                <w:sz w:val="14"/>
                <w:szCs w:val="14"/>
                <w:lang w:eastAsia="sk-SK"/>
              </w:rPr>
              <w:t xml:space="preserve"> 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D26052" w:rsidRDefault="007D13F3" w:rsidP="00341607">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w:t>
            </w:r>
            <w:r w:rsidR="00341607">
              <w:rPr>
                <w:rFonts w:ascii="Times New Roman" w:hAnsi="Times New Roman" w:cs="Times New Roman"/>
                <w:b/>
                <w:bCs/>
                <w:color w:val="000000"/>
                <w:sz w:val="14"/>
                <w:szCs w:val="14"/>
                <w:lang w:eastAsia="sk-SK"/>
              </w:rPr>
              <w:t>R</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OS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N</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D26052" w:rsidRDefault="007D13F3" w:rsidP="00465CAC">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r>
      <w:tr w:rsidR="007D13F3" w:rsidRPr="00D26052" w:rsidTr="00465CAC">
        <w:trPr>
          <w:trHeight w:hRule="exact" w:val="284"/>
        </w:trPr>
        <w:tc>
          <w:tcPr>
            <w:tcW w:w="10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Informačné technológie</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0</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0</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17</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182</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207</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18</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791</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978</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17</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204</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954</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17</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306</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354</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D26052"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16</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909</w:t>
            </w:r>
            <w:r w:rsidRPr="00D2605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054</w:t>
            </w:r>
          </w:p>
        </w:tc>
      </w:tr>
      <w:tr w:rsidR="007D13F3" w:rsidRPr="00D26052" w:rsidTr="00465CAC">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S</w:t>
            </w:r>
            <w:r>
              <w:rPr>
                <w:rFonts w:ascii="Times New Roman" w:hAnsi="Times New Roman" w:cs="Times New Roman"/>
                <w:color w:val="000000"/>
                <w:sz w:val="14"/>
                <w:szCs w:val="14"/>
                <w:lang w:eastAsia="sk-SK"/>
              </w:rPr>
              <w:t>ystémy vnútornej správy</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029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052</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042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290</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429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969</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429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969</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429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969</w:t>
            </w:r>
          </w:p>
        </w:tc>
      </w:tr>
      <w:tr w:rsidR="007D13F3" w:rsidRPr="00D26052" w:rsidTr="00465CAC">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Špecializované systémy</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440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900</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820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416</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734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819</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935</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819</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4 545 819</w:t>
            </w:r>
          </w:p>
        </w:tc>
      </w:tr>
      <w:tr w:rsidR="007D13F3" w:rsidRPr="00D26052" w:rsidTr="00465CAC">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7D13F3" w:rsidRPr="00D26052" w:rsidRDefault="007D13F3" w:rsidP="00465CAC">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Podporná infraštruktúra</w:t>
            </w:r>
            <w:r w:rsidRPr="00D26052">
              <w:rPr>
                <w:rFonts w:ascii="Times New Roman" w:hAnsi="Times New Roman" w:cs="Times New Roman"/>
                <w:color w:val="000000"/>
                <w:sz w:val="14"/>
                <w:szCs w:val="14"/>
                <w:lang w:eastAsia="sk-SK"/>
              </w:rPr>
              <w:t xml:space="preserve"> </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712</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255</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929</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272</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8</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040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166</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940</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56</w:t>
            </w:r>
            <w:r w:rsidRPr="00D26052">
              <w:rPr>
                <w:rFonts w:ascii="Times New Roman" w:hAnsi="Times New Roman" w:cs="Times New Roman"/>
                <w:color w:val="000000"/>
                <w:sz w:val="14"/>
                <w:szCs w:val="14"/>
                <w:lang w:eastAsia="sk-SK"/>
              </w:rPr>
              <w:t>6</w:t>
            </w:r>
          </w:p>
        </w:tc>
        <w:tc>
          <w:tcPr>
            <w:tcW w:w="561" w:type="pct"/>
            <w:tcBorders>
              <w:top w:val="nil"/>
              <w:left w:val="nil"/>
              <w:bottom w:val="single" w:sz="4" w:space="0" w:color="auto"/>
              <w:right w:val="single" w:sz="4" w:space="0" w:color="auto"/>
            </w:tcBorders>
            <w:shd w:val="clear" w:color="auto" w:fill="auto"/>
            <w:vAlign w:val="center"/>
            <w:hideMark/>
          </w:tcPr>
          <w:p w:rsidR="007D13F3" w:rsidRPr="00D2605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7</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933</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266</w:t>
            </w:r>
          </w:p>
        </w:tc>
      </w:tr>
    </w:tbl>
    <w:p w:rsidR="007D13F3" w:rsidRPr="00F5748F" w:rsidRDefault="007D13F3" w:rsidP="007D13F3">
      <w:pPr>
        <w:ind w:firstLine="708"/>
        <w:jc w:val="both"/>
        <w:rPr>
          <w:rFonts w:ascii="Times New Roman" w:hAnsi="Times New Roman" w:cs="Times New Roman"/>
          <w:b/>
        </w:rPr>
      </w:pPr>
    </w:p>
    <w:p w:rsidR="007D13F3" w:rsidRPr="007F112F" w:rsidRDefault="007D13F3" w:rsidP="007D13F3">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Pr>
          <w:rFonts w:ascii="Times New Roman" w:hAnsi="Times New Roman" w:cs="Times New Roman"/>
          <w:lang w:eastAsia="sk-SK"/>
        </w:rPr>
        <w:tab/>
      </w:r>
      <w:r w:rsidRPr="007F112F">
        <w:rPr>
          <w:rFonts w:ascii="Times New Roman" w:hAnsi="Times New Roman" w:cs="Times New Roman"/>
          <w:lang w:eastAsia="sk-SK"/>
        </w:rPr>
        <w:t>Na rok 2018 sa rozpočtuje v rámci medzirezortného programu Informačné technológie celkovo suma 1</w:t>
      </w:r>
      <w:r>
        <w:rPr>
          <w:rFonts w:ascii="Times New Roman" w:hAnsi="Times New Roman" w:cs="Times New Roman"/>
          <w:lang w:eastAsia="sk-SK"/>
        </w:rPr>
        <w:t>7</w:t>
      </w:r>
      <w:r w:rsidRPr="007F112F">
        <w:rPr>
          <w:rFonts w:ascii="Times New Roman" w:hAnsi="Times New Roman" w:cs="Times New Roman"/>
          <w:lang w:eastAsia="sk-SK"/>
        </w:rPr>
        <w:t>,</w:t>
      </w:r>
      <w:r>
        <w:rPr>
          <w:rFonts w:ascii="Times New Roman" w:hAnsi="Times New Roman" w:cs="Times New Roman"/>
          <w:lang w:eastAsia="sk-SK"/>
        </w:rPr>
        <w:t>2</w:t>
      </w:r>
      <w:r w:rsidRPr="007F112F">
        <w:rPr>
          <w:rFonts w:ascii="Times New Roman" w:hAnsi="Times New Roman" w:cs="Times New Roman"/>
          <w:lang w:eastAsia="sk-SK"/>
        </w:rPr>
        <w:t xml:space="preserve"> mil. eur, čo predstavuje </w:t>
      </w:r>
      <w:r>
        <w:rPr>
          <w:rFonts w:ascii="Times New Roman" w:hAnsi="Times New Roman" w:cs="Times New Roman"/>
          <w:lang w:eastAsia="sk-SK"/>
        </w:rPr>
        <w:t>nárast</w:t>
      </w:r>
      <w:r w:rsidRPr="007F112F">
        <w:rPr>
          <w:rFonts w:ascii="Times New Roman" w:hAnsi="Times New Roman" w:cs="Times New Roman"/>
          <w:lang w:eastAsia="sk-SK"/>
        </w:rPr>
        <w:t xml:space="preserve"> o </w:t>
      </w:r>
      <w:r>
        <w:rPr>
          <w:rFonts w:ascii="Times New Roman" w:hAnsi="Times New Roman" w:cs="Times New Roman"/>
          <w:lang w:eastAsia="sk-SK"/>
        </w:rPr>
        <w:t>0</w:t>
      </w:r>
      <w:r w:rsidRPr="007F112F">
        <w:rPr>
          <w:rFonts w:ascii="Times New Roman" w:hAnsi="Times New Roman" w:cs="Times New Roman"/>
          <w:lang w:eastAsia="sk-SK"/>
        </w:rPr>
        <w:t>,</w:t>
      </w:r>
      <w:r>
        <w:rPr>
          <w:rFonts w:ascii="Times New Roman" w:hAnsi="Times New Roman" w:cs="Times New Roman"/>
          <w:lang w:eastAsia="sk-SK"/>
        </w:rPr>
        <w:t>13</w:t>
      </w:r>
      <w:r w:rsidRPr="007F112F">
        <w:rPr>
          <w:rFonts w:ascii="Times New Roman" w:hAnsi="Times New Roman" w:cs="Times New Roman"/>
          <w:lang w:eastAsia="sk-SK"/>
        </w:rPr>
        <w:t xml:space="preserve"> % oproti schválenému rozpočtu </w:t>
      </w:r>
      <w:r w:rsidR="00F30F1A">
        <w:rPr>
          <w:rFonts w:ascii="Times New Roman" w:hAnsi="Times New Roman" w:cs="Times New Roman"/>
          <w:lang w:eastAsia="sk-SK"/>
        </w:rPr>
        <w:t>na</w:t>
      </w:r>
      <w:r w:rsidRPr="007F112F">
        <w:rPr>
          <w:rFonts w:ascii="Times New Roman" w:hAnsi="Times New Roman" w:cs="Times New Roman"/>
          <w:lang w:eastAsia="sk-SK"/>
        </w:rPr>
        <w:t xml:space="preserve"> rok 2017. </w:t>
      </w:r>
    </w:p>
    <w:p w:rsidR="007D13F3" w:rsidRDefault="007D13F3" w:rsidP="007D13F3">
      <w:pPr>
        <w:jc w:val="both"/>
        <w:rPr>
          <w:rFonts w:ascii="Times New Roman" w:hAnsi="Times New Roman" w:cs="Times New Roman"/>
        </w:rPr>
      </w:pPr>
    </w:p>
    <w:p w:rsidR="007D13F3" w:rsidRPr="00011172" w:rsidRDefault="007D13F3" w:rsidP="007D13F3">
      <w:pPr>
        <w:pStyle w:val="Nadpis5"/>
        <w:pBdr>
          <w:bottom w:val="single" w:sz="4" w:space="1" w:color="auto"/>
        </w:pBdr>
        <w:spacing w:before="0" w:after="0"/>
        <w:ind w:left="0"/>
        <w:rPr>
          <w:i w:val="0"/>
          <w:sz w:val="24"/>
          <w:lang w:eastAsia="sk-SK"/>
        </w:rPr>
      </w:pPr>
      <w:bookmarkStart w:id="74" w:name="_Toc408571454"/>
      <w:bookmarkStart w:id="75" w:name="_Toc463048249"/>
      <w:bookmarkStart w:id="76" w:name="_Toc494470092"/>
      <w:bookmarkStart w:id="77" w:name="_Toc494472268"/>
      <w:r w:rsidRPr="00011172">
        <w:rPr>
          <w:i w:val="0"/>
          <w:sz w:val="24"/>
          <w:lang w:eastAsia="sk-SK"/>
        </w:rPr>
        <w:t>Ministerstvo zdravotníctva SR</w:t>
      </w:r>
      <w:bookmarkEnd w:id="74"/>
      <w:bookmarkEnd w:id="75"/>
      <w:bookmarkEnd w:id="76"/>
      <w:bookmarkEnd w:id="77"/>
    </w:p>
    <w:p w:rsidR="007D13F3" w:rsidRPr="00A20E8E" w:rsidRDefault="007D13F3" w:rsidP="007D13F3">
      <w:pPr>
        <w:jc w:val="both"/>
        <w:rPr>
          <w:rFonts w:ascii="Times New Roman" w:hAnsi="Times New Roman" w:cs="Times New Roman"/>
          <w:noProof/>
          <w:highlight w:val="yellow"/>
          <w:lang w:eastAsia="sk-SK"/>
        </w:rPr>
      </w:pPr>
    </w:p>
    <w:p w:rsidR="007D13F3" w:rsidRPr="00D909EE" w:rsidRDefault="007D13F3" w:rsidP="007D13F3">
      <w:pPr>
        <w:spacing w:line="259" w:lineRule="auto"/>
        <w:ind w:firstLine="708"/>
        <w:jc w:val="both"/>
        <w:rPr>
          <w:rFonts w:ascii="Times New Roman" w:eastAsiaTheme="minorHAnsi" w:hAnsi="Times New Roman" w:cs="Times New Roman"/>
          <w:lang w:eastAsia="en-US"/>
        </w:rPr>
      </w:pPr>
      <w:r w:rsidRPr="00341607">
        <w:rPr>
          <w:rFonts w:ascii="Times New Roman" w:eastAsiaTheme="minorHAnsi" w:hAnsi="Times New Roman" w:cs="Times New Roman"/>
          <w:lang w:eastAsia="en-US"/>
        </w:rPr>
        <w:t>Cieľom verejných výdavkov v zdravotnej politike je vytvárať predpoklady pre zdravý život jedinca a zabezpečiť kvalitnú a dostupnú zdravotnú starostlivosť, ktorá zlepšuje a predlžuje život s ohľadom na účelnosť a efektívnosť verejných zdrojov. Kvalitu zdravotného systému</w:t>
      </w:r>
      <w:r w:rsidRPr="00D909EE">
        <w:rPr>
          <w:rFonts w:ascii="Times New Roman" w:eastAsiaTheme="minorHAnsi" w:hAnsi="Times New Roman" w:cs="Times New Roman"/>
          <w:lang w:eastAsia="en-US"/>
        </w:rPr>
        <w:t xml:space="preserve"> a zdravotnej starostlivosti popisuje počet úmrtí odvrátiteľných systémom zdravotnej starostlivosti (</w:t>
      </w:r>
      <w:proofErr w:type="spellStart"/>
      <w:r w:rsidRPr="00D909EE">
        <w:rPr>
          <w:rFonts w:ascii="Times New Roman" w:eastAsia="Calibri" w:hAnsi="Times New Roman" w:cs="Times New Roman"/>
          <w:lang w:eastAsia="en-US"/>
        </w:rPr>
        <w:t>amendable</w:t>
      </w:r>
      <w:proofErr w:type="spellEnd"/>
      <w:r w:rsidRPr="00D909EE">
        <w:rPr>
          <w:rFonts w:ascii="Times New Roman" w:eastAsia="Calibri" w:hAnsi="Times New Roman" w:cs="Times New Roman"/>
          <w:lang w:eastAsia="en-US"/>
        </w:rPr>
        <w:t xml:space="preserve"> mortality</w:t>
      </w:r>
      <w:r w:rsidRPr="00D909EE">
        <w:rPr>
          <w:rFonts w:ascii="Times New Roman" w:eastAsiaTheme="minorHAnsi" w:hAnsi="Times New Roman" w:cs="Times New Roman"/>
          <w:lang w:eastAsia="en-US"/>
        </w:rPr>
        <w:t>). Cieľom je na Slovensku dosiahnuť do roku 2020 úroveň priemeru V3 (v roku 2013 bolo na Slovensku o 18 % odvrátiteľných úmrtí viac).</w:t>
      </w:r>
    </w:p>
    <w:p w:rsidR="007D13F3" w:rsidRPr="00D909EE" w:rsidRDefault="007D13F3" w:rsidP="007D13F3">
      <w:pPr>
        <w:spacing w:line="259" w:lineRule="auto"/>
        <w:jc w:val="both"/>
        <w:rPr>
          <w:rFonts w:ascii="Times New Roman" w:eastAsiaTheme="minorHAnsi" w:hAnsi="Times New Roman" w:cs="Times New Roman"/>
          <w:lang w:eastAsia="en-US"/>
        </w:rPr>
      </w:pPr>
    </w:p>
    <w:tbl>
      <w:tblPr>
        <w:tblStyle w:val="Mriekatabukysvetl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AC2D25" w:rsidRPr="00AC2D25" w:rsidTr="00465CAC">
        <w:trPr>
          <w:trHeight w:val="228"/>
        </w:trPr>
        <w:tc>
          <w:tcPr>
            <w:tcW w:w="4536" w:type="dxa"/>
            <w:tcBorders>
              <w:bottom w:val="single" w:sz="4" w:space="0" w:color="auto"/>
            </w:tcBorders>
            <w:shd w:val="clear" w:color="auto" w:fill="A6A6A6" w:themeFill="background1" w:themeFillShade="A6"/>
          </w:tcPr>
          <w:p w:rsidR="007D13F3" w:rsidRPr="00AC2D25" w:rsidRDefault="007D13F3" w:rsidP="00465CAC">
            <w:pPr>
              <w:keepNext/>
              <w:jc w:val="both"/>
              <w:rPr>
                <w:rFonts w:ascii="Times New Roman" w:hAnsi="Times New Roman" w:cs="Times New Roman"/>
                <w:b/>
                <w:sz w:val="14"/>
                <w:szCs w:val="14"/>
                <w:lang w:eastAsia="en-US"/>
              </w:rPr>
            </w:pPr>
            <w:r w:rsidRPr="00AC2D25">
              <w:rPr>
                <w:rFonts w:ascii="Times New Roman" w:hAnsi="Times New Roman" w:cs="Times New Roman"/>
                <w:b/>
                <w:sz w:val="14"/>
                <w:szCs w:val="14"/>
                <w:lang w:eastAsia="en-US"/>
              </w:rPr>
              <w:t xml:space="preserve">Graf: Úmrtnosť odvrátiteľná systémom zdravotnej starostlivosti </w:t>
            </w:r>
            <w:r w:rsidR="00160534" w:rsidRPr="00AC2D25">
              <w:rPr>
                <w:rFonts w:ascii="Times New Roman" w:hAnsi="Times New Roman" w:cs="Times New Roman"/>
                <w:b/>
                <w:sz w:val="14"/>
                <w:szCs w:val="14"/>
                <w:lang w:eastAsia="en-US"/>
              </w:rPr>
              <w:br/>
            </w:r>
            <w:r w:rsidRPr="00AC2D25">
              <w:rPr>
                <w:rFonts w:ascii="Times New Roman" w:hAnsi="Times New Roman" w:cs="Times New Roman"/>
                <w:b/>
                <w:sz w:val="14"/>
                <w:szCs w:val="14"/>
                <w:lang w:eastAsia="en-US"/>
              </w:rPr>
              <w:t>(na 100 tis. obyvateľov)</w:t>
            </w:r>
          </w:p>
        </w:tc>
        <w:tc>
          <w:tcPr>
            <w:tcW w:w="4536" w:type="dxa"/>
            <w:tcBorders>
              <w:bottom w:val="single" w:sz="4" w:space="0" w:color="auto"/>
            </w:tcBorders>
            <w:shd w:val="clear" w:color="auto" w:fill="A6A6A6" w:themeFill="background1" w:themeFillShade="A6"/>
          </w:tcPr>
          <w:p w:rsidR="007D13F3" w:rsidRPr="00AC2D25" w:rsidRDefault="007D13F3" w:rsidP="00465CAC">
            <w:pPr>
              <w:keepNext/>
              <w:jc w:val="both"/>
              <w:rPr>
                <w:rFonts w:ascii="Times New Roman" w:hAnsi="Times New Roman" w:cs="Times New Roman"/>
                <w:b/>
                <w:i/>
                <w:iCs/>
                <w:sz w:val="14"/>
                <w:szCs w:val="14"/>
                <w:lang w:eastAsia="en-US"/>
              </w:rPr>
            </w:pPr>
            <w:r w:rsidRPr="00AC2D25">
              <w:rPr>
                <w:rFonts w:ascii="Times New Roman" w:hAnsi="Times New Roman" w:cs="Times New Roman"/>
                <w:b/>
                <w:sz w:val="14"/>
                <w:szCs w:val="14"/>
                <w:lang w:eastAsia="en-US"/>
              </w:rPr>
              <w:t>Graf: Očakávaná dĺžka života žien</w:t>
            </w:r>
            <w:r w:rsidRPr="00AC2D25">
              <w:rPr>
                <w:rFonts w:ascii="Times New Roman" w:hAnsi="Times New Roman" w:cs="Times New Roman"/>
                <w:b/>
                <w:sz w:val="14"/>
                <w:szCs w:val="14"/>
                <w:vertAlign w:val="superscript"/>
                <w:lang w:eastAsia="en-US"/>
              </w:rPr>
              <w:footnoteReference w:id="15"/>
            </w:r>
            <w:r w:rsidRPr="00AC2D25">
              <w:rPr>
                <w:rFonts w:ascii="Times New Roman" w:hAnsi="Times New Roman" w:cs="Times New Roman"/>
                <w:b/>
                <w:sz w:val="14"/>
                <w:szCs w:val="14"/>
                <w:vertAlign w:val="superscript"/>
                <w:lang w:eastAsia="en-US"/>
              </w:rPr>
              <w:t xml:space="preserve">  </w:t>
            </w:r>
            <w:r w:rsidRPr="00AC2D25">
              <w:rPr>
                <w:rFonts w:ascii="Times New Roman" w:hAnsi="Times New Roman" w:cs="Times New Roman"/>
                <w:b/>
                <w:sz w:val="14"/>
                <w:szCs w:val="14"/>
                <w:lang w:eastAsia="en-US"/>
              </w:rPr>
              <w:t>pri narodení</w:t>
            </w:r>
            <w:r w:rsidRPr="00AC2D25" w:rsidDel="006170CB">
              <w:rPr>
                <w:rFonts w:ascii="Times New Roman" w:hAnsi="Times New Roman" w:cs="Times New Roman"/>
                <w:i/>
                <w:iCs/>
                <w:noProof/>
                <w:sz w:val="14"/>
                <w:szCs w:val="14"/>
                <w:lang w:eastAsia="zh-TW"/>
              </w:rPr>
              <w:t xml:space="preserve"> </w:t>
            </w:r>
          </w:p>
        </w:tc>
      </w:tr>
      <w:tr w:rsidR="00AC2D25" w:rsidRPr="00AC2D25" w:rsidTr="00465CAC">
        <w:tblPrEx>
          <w:tblCellMar>
            <w:left w:w="70" w:type="dxa"/>
            <w:right w:w="70" w:type="dxa"/>
          </w:tblCellMar>
        </w:tblPrEx>
        <w:trPr>
          <w:trHeight w:val="2236"/>
        </w:trPr>
        <w:tc>
          <w:tcPr>
            <w:tcW w:w="4536" w:type="dxa"/>
            <w:tcBorders>
              <w:top w:val="single" w:sz="4" w:space="0" w:color="auto"/>
              <w:bottom w:val="single" w:sz="4" w:space="0" w:color="auto"/>
            </w:tcBorders>
          </w:tcPr>
          <w:p w:rsidR="007D13F3" w:rsidRPr="00AC2D25" w:rsidRDefault="007D13F3" w:rsidP="00465CAC">
            <w:pPr>
              <w:contextualSpacing/>
              <w:jc w:val="both"/>
              <w:rPr>
                <w:rFonts w:ascii="Times New Roman" w:hAnsi="Times New Roman" w:cs="Times New Roman"/>
                <w:sz w:val="22"/>
                <w:szCs w:val="22"/>
                <w:highlight w:val="lightGray"/>
                <w:lang w:eastAsia="en-US"/>
              </w:rPr>
            </w:pPr>
          </w:p>
          <w:p w:rsidR="007D13F3" w:rsidRPr="00AC2D25" w:rsidRDefault="007D13F3" w:rsidP="00465CAC">
            <w:pPr>
              <w:contextualSpacing/>
              <w:jc w:val="both"/>
              <w:rPr>
                <w:rFonts w:ascii="Times New Roman" w:hAnsi="Times New Roman" w:cs="Times New Roman"/>
                <w:sz w:val="22"/>
                <w:szCs w:val="22"/>
                <w:highlight w:val="lightGray"/>
                <w:lang w:eastAsia="en-US"/>
              </w:rPr>
            </w:pPr>
            <w:r w:rsidRPr="00AC2D25">
              <w:rPr>
                <w:rFonts w:asciiTheme="minorHAnsi" w:hAnsiTheme="minorHAnsi" w:cstheme="minorBidi"/>
                <w:noProof/>
                <w:sz w:val="22"/>
                <w:szCs w:val="22"/>
                <w:lang w:eastAsia="sk-SK"/>
              </w:rPr>
              <w:drawing>
                <wp:inline distT="0" distB="0" distL="0" distR="0" wp14:anchorId="6A61E298" wp14:editId="483ECC11">
                  <wp:extent cx="2791460" cy="1654810"/>
                  <wp:effectExtent l="0" t="0" r="8890" b="254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536" w:type="dxa"/>
            <w:tcBorders>
              <w:top w:val="single" w:sz="4" w:space="0" w:color="auto"/>
              <w:bottom w:val="single" w:sz="4" w:space="0" w:color="auto"/>
            </w:tcBorders>
          </w:tcPr>
          <w:p w:rsidR="007D13F3" w:rsidRPr="00AC2D25" w:rsidRDefault="007D13F3" w:rsidP="00465CAC">
            <w:pPr>
              <w:contextualSpacing/>
              <w:jc w:val="both"/>
              <w:rPr>
                <w:rFonts w:ascii="Times New Roman" w:hAnsi="Times New Roman" w:cs="Times New Roman"/>
                <w:sz w:val="22"/>
                <w:szCs w:val="22"/>
                <w:highlight w:val="lightGray"/>
                <w:lang w:val="en-US" w:eastAsia="en-US"/>
              </w:rPr>
            </w:pPr>
            <w:r w:rsidRPr="00AC2D25">
              <w:rPr>
                <w:rFonts w:asciiTheme="minorHAnsi" w:hAnsiTheme="minorHAnsi" w:cstheme="minorBidi"/>
                <w:noProof/>
                <w:sz w:val="22"/>
                <w:szCs w:val="22"/>
                <w:lang w:eastAsia="sk-SK"/>
              </w:rPr>
              <w:drawing>
                <wp:inline distT="0" distB="0" distL="0" distR="0" wp14:anchorId="2C2782C4" wp14:editId="02D063D6">
                  <wp:extent cx="2791460" cy="1577340"/>
                  <wp:effectExtent l="0" t="0" r="8890" b="381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AC2D25" w:rsidRPr="00AC2D25" w:rsidTr="00465CAC">
        <w:trPr>
          <w:trHeight w:val="201"/>
        </w:trPr>
        <w:tc>
          <w:tcPr>
            <w:tcW w:w="4536" w:type="dxa"/>
            <w:tcBorders>
              <w:top w:val="single" w:sz="4" w:space="0" w:color="auto"/>
            </w:tcBorders>
            <w:vAlign w:val="bottom"/>
          </w:tcPr>
          <w:p w:rsidR="007D13F3" w:rsidRPr="00AC2D25" w:rsidRDefault="007D13F3" w:rsidP="00465CAC">
            <w:pPr>
              <w:jc w:val="right"/>
              <w:rPr>
                <w:rFonts w:ascii="Times New Roman" w:hAnsi="Times New Roman" w:cs="Times New Roman"/>
                <w:i/>
                <w:iCs/>
                <w:sz w:val="14"/>
                <w:szCs w:val="16"/>
                <w:lang w:val="en-US" w:eastAsia="en-US"/>
              </w:rPr>
            </w:pPr>
            <w:r w:rsidRPr="00AC2D25">
              <w:rPr>
                <w:rFonts w:ascii="Times New Roman" w:hAnsi="Times New Roman" w:cs="Times New Roman"/>
                <w:i/>
                <w:noProof/>
                <w:sz w:val="14"/>
                <w:szCs w:val="16"/>
                <w:lang w:val="en-US" w:eastAsia="en-US"/>
              </w:rPr>
              <w:t>Zdroj: OECD</w:t>
            </w:r>
          </w:p>
        </w:tc>
        <w:tc>
          <w:tcPr>
            <w:tcW w:w="4536" w:type="dxa"/>
            <w:tcBorders>
              <w:top w:val="single" w:sz="4" w:space="0" w:color="auto"/>
            </w:tcBorders>
          </w:tcPr>
          <w:p w:rsidR="007D13F3" w:rsidRPr="00AC2D25" w:rsidRDefault="007D13F3" w:rsidP="00465CAC">
            <w:pPr>
              <w:jc w:val="right"/>
              <w:rPr>
                <w:rFonts w:ascii="Times New Roman" w:hAnsi="Times New Roman" w:cs="Times New Roman"/>
                <w:i/>
                <w:iCs/>
                <w:sz w:val="14"/>
                <w:szCs w:val="16"/>
                <w:lang w:val="en-US" w:eastAsia="en-US"/>
              </w:rPr>
            </w:pPr>
            <w:r w:rsidRPr="00AC2D25">
              <w:rPr>
                <w:rFonts w:ascii="Times New Roman" w:hAnsi="Times New Roman" w:cs="Times New Roman"/>
                <w:i/>
                <w:iCs/>
                <w:sz w:val="14"/>
                <w:szCs w:val="16"/>
                <w:lang w:eastAsia="en-US"/>
              </w:rPr>
              <w:t>Zdroj</w:t>
            </w:r>
            <w:r w:rsidRPr="00AC2D25">
              <w:rPr>
                <w:rFonts w:ascii="Times New Roman" w:hAnsi="Times New Roman" w:cs="Times New Roman"/>
                <w:i/>
                <w:iCs/>
                <w:sz w:val="14"/>
                <w:szCs w:val="16"/>
                <w:lang w:val="en-US" w:eastAsia="en-US"/>
              </w:rPr>
              <w:t xml:space="preserve">: </w:t>
            </w:r>
            <w:proofErr w:type="spellStart"/>
            <w:r w:rsidRPr="00AC2D25">
              <w:rPr>
                <w:rFonts w:ascii="Times New Roman" w:hAnsi="Times New Roman" w:cs="Times New Roman"/>
                <w:i/>
                <w:iCs/>
                <w:sz w:val="14"/>
                <w:szCs w:val="16"/>
                <w:lang w:eastAsia="en-US"/>
              </w:rPr>
              <w:t>Eurostat</w:t>
            </w:r>
            <w:proofErr w:type="spellEnd"/>
          </w:p>
        </w:tc>
      </w:tr>
    </w:tbl>
    <w:p w:rsidR="007D13F3" w:rsidRDefault="007D13F3" w:rsidP="007D13F3">
      <w:pPr>
        <w:jc w:val="both"/>
        <w:rPr>
          <w:rFonts w:ascii="Times New Roman" w:hAnsi="Times New Roman" w:cs="Times New Roman"/>
          <w:noProof/>
          <w:lang w:eastAsia="sk-SK"/>
        </w:rPr>
      </w:pPr>
    </w:p>
    <w:p w:rsidR="00F30F1A" w:rsidRDefault="00F30F1A" w:rsidP="007D13F3">
      <w:pPr>
        <w:jc w:val="both"/>
        <w:rPr>
          <w:rFonts w:ascii="Times New Roman" w:hAnsi="Times New Roman" w:cs="Times New Roman"/>
          <w:b/>
          <w:noProof/>
          <w:lang w:eastAsia="sk-SK"/>
        </w:rPr>
      </w:pPr>
    </w:p>
    <w:p w:rsidR="00F30F1A" w:rsidRDefault="00F30F1A" w:rsidP="007D13F3">
      <w:pPr>
        <w:jc w:val="both"/>
        <w:rPr>
          <w:rFonts w:ascii="Times New Roman" w:hAnsi="Times New Roman" w:cs="Times New Roman"/>
          <w:b/>
          <w:noProof/>
          <w:lang w:eastAsia="sk-SK"/>
        </w:rPr>
      </w:pPr>
    </w:p>
    <w:p w:rsidR="007D13F3" w:rsidRDefault="007D13F3" w:rsidP="007D13F3">
      <w:pPr>
        <w:jc w:val="both"/>
        <w:rPr>
          <w:rFonts w:ascii="Times New Roman" w:hAnsi="Times New Roman" w:cs="Times New Roman"/>
          <w:b/>
          <w:noProof/>
          <w:lang w:eastAsia="sk-SK"/>
        </w:rPr>
      </w:pPr>
      <w:r w:rsidRPr="00720CC2">
        <w:rPr>
          <w:rFonts w:ascii="Times New Roman" w:hAnsi="Times New Roman" w:cs="Times New Roman"/>
          <w:b/>
          <w:noProof/>
          <w:lang w:eastAsia="sk-SK"/>
        </w:rPr>
        <w:lastRenderedPageBreak/>
        <w:t>Zdroje v</w:t>
      </w:r>
      <w:r>
        <w:rPr>
          <w:rFonts w:ascii="Times New Roman" w:hAnsi="Times New Roman" w:cs="Times New Roman"/>
          <w:b/>
          <w:noProof/>
          <w:lang w:eastAsia="sk-SK"/>
        </w:rPr>
        <w:t> </w:t>
      </w:r>
      <w:r w:rsidRPr="00720CC2">
        <w:rPr>
          <w:rFonts w:ascii="Times New Roman" w:hAnsi="Times New Roman" w:cs="Times New Roman"/>
          <w:b/>
          <w:noProof/>
          <w:lang w:eastAsia="sk-SK"/>
        </w:rPr>
        <w:t>zdravotníctve</w:t>
      </w:r>
    </w:p>
    <w:p w:rsidR="007D13F3" w:rsidRDefault="007D13F3" w:rsidP="007D13F3">
      <w:pPr>
        <w:jc w:val="both"/>
        <w:rPr>
          <w:rFonts w:ascii="Times New Roman" w:hAnsi="Times New Roman" w:cs="Times New Roman"/>
          <w:b/>
          <w:noProof/>
          <w:lang w:eastAsia="sk-SK"/>
        </w:rPr>
      </w:pPr>
    </w:p>
    <w:tbl>
      <w:tblPr>
        <w:tblW w:w="5000" w:type="pct"/>
        <w:tblCellMar>
          <w:left w:w="70" w:type="dxa"/>
          <w:right w:w="70" w:type="dxa"/>
        </w:tblCellMar>
        <w:tblLook w:val="04A0" w:firstRow="1" w:lastRow="0" w:firstColumn="1" w:lastColumn="0" w:noHBand="0" w:noVBand="1"/>
      </w:tblPr>
      <w:tblGrid>
        <w:gridCol w:w="2447"/>
        <w:gridCol w:w="945"/>
        <w:gridCol w:w="945"/>
        <w:gridCol w:w="945"/>
        <w:gridCol w:w="945"/>
        <w:gridCol w:w="945"/>
        <w:gridCol w:w="945"/>
        <w:gridCol w:w="945"/>
      </w:tblGrid>
      <w:tr w:rsidR="007D13F3" w:rsidRPr="007C2731" w:rsidTr="00F30F1A">
        <w:trPr>
          <w:trHeight w:val="255"/>
        </w:trPr>
        <w:tc>
          <w:tcPr>
            <w:tcW w:w="167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465CAC">
            <w:pP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v eurách</w:t>
            </w:r>
          </w:p>
        </w:tc>
        <w:tc>
          <w:tcPr>
            <w:tcW w:w="51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465CAC">
            <w:pPr>
              <w:jc w:val="cente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 xml:space="preserve"> 2015 S</w:t>
            </w:r>
          </w:p>
        </w:tc>
        <w:tc>
          <w:tcPr>
            <w:tcW w:w="48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465CAC">
            <w:pPr>
              <w:jc w:val="cente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2016 S</w:t>
            </w:r>
          </w:p>
        </w:tc>
        <w:tc>
          <w:tcPr>
            <w:tcW w:w="48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465CAC">
            <w:pPr>
              <w:jc w:val="cente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2017</w:t>
            </w:r>
            <w:r w:rsidR="00341607">
              <w:rPr>
                <w:rFonts w:ascii="Times New Roman" w:hAnsi="Times New Roman" w:cs="Times New Roman"/>
                <w:b/>
                <w:bCs/>
                <w:sz w:val="14"/>
                <w:szCs w:val="14"/>
                <w:lang w:eastAsia="sk-SK"/>
              </w:rPr>
              <w:t xml:space="preserve"> R</w:t>
            </w:r>
          </w:p>
        </w:tc>
        <w:tc>
          <w:tcPr>
            <w:tcW w:w="46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465CAC">
            <w:pPr>
              <w:jc w:val="cente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2017 OS</w:t>
            </w:r>
          </w:p>
        </w:tc>
        <w:tc>
          <w:tcPr>
            <w:tcW w:w="48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465CAC">
            <w:pPr>
              <w:jc w:val="cente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2018 N</w:t>
            </w:r>
          </w:p>
        </w:tc>
        <w:tc>
          <w:tcPr>
            <w:tcW w:w="44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465CAC">
            <w:pPr>
              <w:jc w:val="cente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2019 N</w:t>
            </w:r>
          </w:p>
        </w:tc>
        <w:tc>
          <w:tcPr>
            <w:tcW w:w="43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465CAC">
            <w:pPr>
              <w:jc w:val="cente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 xml:space="preserve">2020 N </w:t>
            </w:r>
          </w:p>
        </w:tc>
      </w:tr>
      <w:tr w:rsidR="007D13F3" w:rsidRPr="007C2731" w:rsidTr="00F30F1A">
        <w:trPr>
          <w:trHeight w:val="255"/>
        </w:trPr>
        <w:tc>
          <w:tcPr>
            <w:tcW w:w="167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465CAC">
            <w:pP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Vybrané zdroje  spolu</w:t>
            </w:r>
          </w:p>
        </w:tc>
        <w:tc>
          <w:tcPr>
            <w:tcW w:w="519"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465CAC">
            <w:pPr>
              <w:jc w:val="right"/>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4 289 597 741</w:t>
            </w:r>
          </w:p>
        </w:tc>
        <w:tc>
          <w:tcPr>
            <w:tcW w:w="486"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465CAC">
            <w:pPr>
              <w:jc w:val="right"/>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4 393 795 985</w:t>
            </w:r>
          </w:p>
        </w:tc>
        <w:tc>
          <w:tcPr>
            <w:tcW w:w="486"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465CAC">
            <w:pPr>
              <w:jc w:val="right"/>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4 455 310 874</w:t>
            </w:r>
          </w:p>
        </w:tc>
        <w:tc>
          <w:tcPr>
            <w:tcW w:w="469"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465CAC">
            <w:pPr>
              <w:jc w:val="right"/>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4 671 358 577</w:t>
            </w:r>
          </w:p>
        </w:tc>
        <w:tc>
          <w:tcPr>
            <w:tcW w:w="486"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465CAC">
            <w:pPr>
              <w:jc w:val="right"/>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4 800 035 019</w:t>
            </w:r>
          </w:p>
        </w:tc>
        <w:tc>
          <w:tcPr>
            <w:tcW w:w="444"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465CAC">
            <w:pPr>
              <w:jc w:val="right"/>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5 087 069 686</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465CAC">
            <w:pPr>
              <w:jc w:val="right"/>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5 396 708 818</w:t>
            </w:r>
          </w:p>
        </w:tc>
      </w:tr>
      <w:tr w:rsidR="007D13F3" w:rsidRPr="007C2731" w:rsidTr="00F30F1A">
        <w:trPr>
          <w:trHeight w:val="255"/>
        </w:trPr>
        <w:tc>
          <w:tcPr>
            <w:tcW w:w="167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465CAC">
            <w:pPr>
              <w:rPr>
                <w:rFonts w:ascii="Times New Roman" w:hAnsi="Times New Roman" w:cs="Times New Roman"/>
                <w:i/>
                <w:iCs/>
                <w:color w:val="000000"/>
                <w:sz w:val="14"/>
                <w:szCs w:val="14"/>
                <w:lang w:eastAsia="sk-SK"/>
              </w:rPr>
            </w:pPr>
            <w:r w:rsidRPr="007C2731">
              <w:rPr>
                <w:rFonts w:ascii="Times New Roman" w:hAnsi="Times New Roman" w:cs="Times New Roman"/>
                <w:i/>
                <w:iCs/>
                <w:color w:val="000000"/>
                <w:sz w:val="14"/>
                <w:szCs w:val="14"/>
                <w:lang w:eastAsia="sk-SK"/>
              </w:rPr>
              <w:t>medziročná zmena zdrojov v %</w:t>
            </w:r>
          </w:p>
        </w:tc>
        <w:tc>
          <w:tcPr>
            <w:tcW w:w="519"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341607">
            <w:pPr>
              <w:jc w:val="right"/>
              <w:rPr>
                <w:rFonts w:ascii="Times New Roman" w:hAnsi="Times New Roman" w:cs="Times New Roman"/>
                <w:i/>
                <w:iCs/>
                <w:color w:val="000000"/>
                <w:sz w:val="14"/>
                <w:szCs w:val="14"/>
                <w:lang w:eastAsia="sk-SK"/>
              </w:rPr>
            </w:pPr>
            <w:r w:rsidRPr="007C2731">
              <w:rPr>
                <w:rFonts w:ascii="Times New Roman" w:hAnsi="Times New Roman" w:cs="Times New Roman"/>
                <w:i/>
                <w:iCs/>
                <w:color w:val="000000"/>
                <w:sz w:val="14"/>
                <w:szCs w:val="14"/>
                <w:lang w:eastAsia="sk-SK"/>
              </w:rPr>
              <w:t>6,85</w:t>
            </w:r>
          </w:p>
        </w:tc>
        <w:tc>
          <w:tcPr>
            <w:tcW w:w="486"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341607">
            <w:pPr>
              <w:jc w:val="right"/>
              <w:rPr>
                <w:rFonts w:ascii="Times New Roman" w:hAnsi="Times New Roman" w:cs="Times New Roman"/>
                <w:i/>
                <w:iCs/>
                <w:color w:val="000000"/>
                <w:sz w:val="14"/>
                <w:szCs w:val="14"/>
                <w:lang w:eastAsia="sk-SK"/>
              </w:rPr>
            </w:pPr>
            <w:r w:rsidRPr="007C2731">
              <w:rPr>
                <w:rFonts w:ascii="Times New Roman" w:hAnsi="Times New Roman" w:cs="Times New Roman"/>
                <w:i/>
                <w:iCs/>
                <w:color w:val="000000"/>
                <w:sz w:val="14"/>
                <w:szCs w:val="14"/>
                <w:lang w:eastAsia="sk-SK"/>
              </w:rPr>
              <w:t>2,43</w:t>
            </w:r>
          </w:p>
        </w:tc>
        <w:tc>
          <w:tcPr>
            <w:tcW w:w="486"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341607">
            <w:pPr>
              <w:jc w:val="right"/>
              <w:rPr>
                <w:rFonts w:ascii="Times New Roman" w:hAnsi="Times New Roman" w:cs="Times New Roman"/>
                <w:i/>
                <w:iCs/>
                <w:color w:val="000000"/>
                <w:sz w:val="14"/>
                <w:szCs w:val="14"/>
                <w:lang w:eastAsia="sk-SK"/>
              </w:rPr>
            </w:pPr>
            <w:r w:rsidRPr="007C2731">
              <w:rPr>
                <w:rFonts w:ascii="Times New Roman" w:hAnsi="Times New Roman" w:cs="Times New Roman"/>
                <w:i/>
                <w:iCs/>
                <w:color w:val="000000"/>
                <w:sz w:val="14"/>
                <w:szCs w:val="14"/>
                <w:lang w:eastAsia="sk-SK"/>
              </w:rPr>
              <w:t>1,40</w:t>
            </w:r>
          </w:p>
        </w:tc>
        <w:tc>
          <w:tcPr>
            <w:tcW w:w="469"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341607">
            <w:pPr>
              <w:jc w:val="right"/>
              <w:rPr>
                <w:rFonts w:ascii="Times New Roman" w:hAnsi="Times New Roman" w:cs="Times New Roman"/>
                <w:i/>
                <w:iCs/>
                <w:color w:val="000000"/>
                <w:sz w:val="14"/>
                <w:szCs w:val="14"/>
                <w:lang w:eastAsia="sk-SK"/>
              </w:rPr>
            </w:pPr>
            <w:r w:rsidRPr="007C2731">
              <w:rPr>
                <w:rFonts w:ascii="Times New Roman" w:hAnsi="Times New Roman" w:cs="Times New Roman"/>
                <w:i/>
                <w:iCs/>
                <w:color w:val="000000"/>
                <w:sz w:val="14"/>
                <w:szCs w:val="14"/>
                <w:lang w:eastAsia="sk-SK"/>
              </w:rPr>
              <w:t>6,32</w:t>
            </w:r>
          </w:p>
        </w:tc>
        <w:tc>
          <w:tcPr>
            <w:tcW w:w="486"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341607">
            <w:pPr>
              <w:jc w:val="right"/>
              <w:rPr>
                <w:rFonts w:ascii="Times New Roman" w:hAnsi="Times New Roman" w:cs="Times New Roman"/>
                <w:i/>
                <w:iCs/>
                <w:color w:val="000000"/>
                <w:sz w:val="14"/>
                <w:szCs w:val="14"/>
                <w:lang w:eastAsia="sk-SK"/>
              </w:rPr>
            </w:pPr>
            <w:r w:rsidRPr="007C2731">
              <w:rPr>
                <w:rFonts w:ascii="Times New Roman" w:hAnsi="Times New Roman" w:cs="Times New Roman"/>
                <w:i/>
                <w:iCs/>
                <w:color w:val="000000"/>
                <w:sz w:val="14"/>
                <w:szCs w:val="14"/>
                <w:lang w:eastAsia="sk-SK"/>
              </w:rPr>
              <w:t>7,74</w:t>
            </w:r>
          </w:p>
        </w:tc>
        <w:tc>
          <w:tcPr>
            <w:tcW w:w="444"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341607">
            <w:pPr>
              <w:jc w:val="right"/>
              <w:rPr>
                <w:rFonts w:ascii="Times New Roman" w:hAnsi="Times New Roman" w:cs="Times New Roman"/>
                <w:i/>
                <w:iCs/>
                <w:color w:val="000000"/>
                <w:sz w:val="14"/>
                <w:szCs w:val="14"/>
                <w:lang w:eastAsia="sk-SK"/>
              </w:rPr>
            </w:pPr>
            <w:r w:rsidRPr="007C2731">
              <w:rPr>
                <w:rFonts w:ascii="Times New Roman" w:hAnsi="Times New Roman" w:cs="Times New Roman"/>
                <w:i/>
                <w:iCs/>
                <w:color w:val="000000"/>
                <w:sz w:val="14"/>
                <w:szCs w:val="14"/>
                <w:lang w:eastAsia="sk-SK"/>
              </w:rPr>
              <w:t>5,98</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C2731" w:rsidRDefault="007D13F3" w:rsidP="00341607">
            <w:pPr>
              <w:jc w:val="right"/>
              <w:rPr>
                <w:rFonts w:ascii="Times New Roman" w:hAnsi="Times New Roman" w:cs="Times New Roman"/>
                <w:i/>
                <w:iCs/>
                <w:color w:val="000000"/>
                <w:sz w:val="14"/>
                <w:szCs w:val="14"/>
                <w:lang w:eastAsia="sk-SK"/>
              </w:rPr>
            </w:pPr>
            <w:r w:rsidRPr="007C2731">
              <w:rPr>
                <w:rFonts w:ascii="Times New Roman" w:hAnsi="Times New Roman" w:cs="Times New Roman"/>
                <w:i/>
                <w:iCs/>
                <w:color w:val="000000"/>
                <w:sz w:val="14"/>
                <w:szCs w:val="14"/>
                <w:lang w:eastAsia="sk-SK"/>
              </w:rPr>
              <w:t>6,09</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center"/>
            <w:hideMark/>
          </w:tcPr>
          <w:p w:rsidR="007D13F3" w:rsidRPr="007C2731" w:rsidRDefault="007D13F3" w:rsidP="00465CAC">
            <w:pPr>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príjmy od EAO (vrátane RZZP)</w:t>
            </w:r>
          </w:p>
        </w:tc>
        <w:tc>
          <w:tcPr>
            <w:tcW w:w="519"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2 880 079 656</w:t>
            </w:r>
          </w:p>
        </w:tc>
        <w:tc>
          <w:tcPr>
            <w:tcW w:w="486"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2 952 659 701</w:t>
            </w:r>
          </w:p>
        </w:tc>
        <w:tc>
          <w:tcPr>
            <w:tcW w:w="486"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3 182 650 000</w:t>
            </w:r>
          </w:p>
        </w:tc>
        <w:tc>
          <w:tcPr>
            <w:tcW w:w="469"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3 298 152 000</w:t>
            </w:r>
          </w:p>
        </w:tc>
        <w:tc>
          <w:tcPr>
            <w:tcW w:w="486"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3 511 755 000</w:t>
            </w:r>
          </w:p>
        </w:tc>
        <w:tc>
          <w:tcPr>
            <w:tcW w:w="444"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3 755 487 000</w:t>
            </w:r>
          </w:p>
        </w:tc>
        <w:tc>
          <w:tcPr>
            <w:tcW w:w="436"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4 010 184 000</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center"/>
            <w:hideMark/>
          </w:tcPr>
          <w:p w:rsidR="007D13F3" w:rsidRPr="007C2731" w:rsidRDefault="007D13F3" w:rsidP="00465CAC">
            <w:pPr>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príjmy za poistencov štátu (vrátane RZ)</w:t>
            </w:r>
          </w:p>
        </w:tc>
        <w:tc>
          <w:tcPr>
            <w:tcW w:w="519"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1 348 864 450</w:t>
            </w:r>
          </w:p>
        </w:tc>
        <w:tc>
          <w:tcPr>
            <w:tcW w:w="486"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1 392 100 005</w:t>
            </w:r>
          </w:p>
        </w:tc>
        <w:tc>
          <w:tcPr>
            <w:tcW w:w="486"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1 226 297 874</w:t>
            </w:r>
          </w:p>
        </w:tc>
        <w:tc>
          <w:tcPr>
            <w:tcW w:w="469"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1 326 796 577</w:t>
            </w:r>
          </w:p>
        </w:tc>
        <w:tc>
          <w:tcPr>
            <w:tcW w:w="486"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1 241 870 019</w:t>
            </w:r>
          </w:p>
        </w:tc>
        <w:tc>
          <w:tcPr>
            <w:tcW w:w="444"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1 285 172 686</w:t>
            </w:r>
          </w:p>
        </w:tc>
        <w:tc>
          <w:tcPr>
            <w:tcW w:w="436"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1 340 114 818</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center"/>
            <w:hideMark/>
          </w:tcPr>
          <w:p w:rsidR="007D13F3" w:rsidRPr="007C2731" w:rsidRDefault="007D13F3" w:rsidP="004B3B69">
            <w:pPr>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 xml:space="preserve">ostatné príjmy VZP </w:t>
            </w:r>
          </w:p>
        </w:tc>
        <w:tc>
          <w:tcPr>
            <w:tcW w:w="519"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60 653 635</w:t>
            </w:r>
          </w:p>
        </w:tc>
        <w:tc>
          <w:tcPr>
            <w:tcW w:w="486"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49 036 279</w:t>
            </w:r>
          </w:p>
        </w:tc>
        <w:tc>
          <w:tcPr>
            <w:tcW w:w="486"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46 363 000</w:t>
            </w:r>
          </w:p>
        </w:tc>
        <w:tc>
          <w:tcPr>
            <w:tcW w:w="469"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46 410 000</w:t>
            </w:r>
          </w:p>
        </w:tc>
        <w:tc>
          <w:tcPr>
            <w:tcW w:w="486"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46 410 000</w:t>
            </w:r>
          </w:p>
        </w:tc>
        <w:tc>
          <w:tcPr>
            <w:tcW w:w="444"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46 410 000</w:t>
            </w:r>
          </w:p>
        </w:tc>
        <w:tc>
          <w:tcPr>
            <w:tcW w:w="436" w:type="pct"/>
            <w:tcBorders>
              <w:top w:val="nil"/>
              <w:left w:val="nil"/>
              <w:bottom w:val="single" w:sz="4" w:space="0" w:color="auto"/>
              <w:right w:val="single" w:sz="4" w:space="0" w:color="auto"/>
            </w:tcBorders>
            <w:shd w:val="clear" w:color="auto" w:fill="auto"/>
            <w:vAlign w:val="center"/>
            <w:hideMark/>
          </w:tcPr>
          <w:p w:rsidR="007D13F3" w:rsidRPr="007C2731" w:rsidRDefault="007D13F3" w:rsidP="00465CAC">
            <w:pPr>
              <w:jc w:val="right"/>
              <w:rPr>
                <w:rFonts w:ascii="Times New Roman" w:hAnsi="Times New Roman" w:cs="Times New Roman"/>
                <w:color w:val="000000"/>
                <w:sz w:val="14"/>
                <w:szCs w:val="14"/>
                <w:lang w:eastAsia="sk-SK"/>
              </w:rPr>
            </w:pPr>
            <w:r w:rsidRPr="007C2731">
              <w:rPr>
                <w:rFonts w:ascii="Times New Roman" w:hAnsi="Times New Roman" w:cs="Times New Roman"/>
                <w:color w:val="000000"/>
                <w:sz w:val="14"/>
                <w:szCs w:val="14"/>
                <w:lang w:eastAsia="sk-SK"/>
              </w:rPr>
              <w:t>46 410 000</w:t>
            </w:r>
          </w:p>
        </w:tc>
      </w:tr>
    </w:tbl>
    <w:p w:rsidR="007D13F3" w:rsidRPr="00F811C6" w:rsidRDefault="007D13F3" w:rsidP="007D13F3">
      <w:pPr>
        <w:jc w:val="both"/>
        <w:rPr>
          <w:rFonts w:ascii="Times New Roman" w:hAnsi="Times New Roman" w:cs="Times New Roman"/>
          <w:noProof/>
          <w:lang w:eastAsia="sk-SK"/>
        </w:rPr>
      </w:pPr>
    </w:p>
    <w:p w:rsidR="007D13F3" w:rsidRPr="00F811C6" w:rsidRDefault="007D13F3" w:rsidP="007D13F3">
      <w:pPr>
        <w:ind w:firstLine="708"/>
        <w:jc w:val="both"/>
        <w:rPr>
          <w:rFonts w:ascii="Times New Roman" w:hAnsi="Times New Roman" w:cs="Times New Roman"/>
          <w:noProof/>
          <w:lang w:eastAsia="sk-SK"/>
        </w:rPr>
      </w:pPr>
      <w:r w:rsidRPr="00F811C6">
        <w:rPr>
          <w:rFonts w:ascii="Times New Roman" w:hAnsi="Times New Roman" w:cs="Times New Roman"/>
          <w:noProof/>
          <w:lang w:eastAsia="sk-SK"/>
        </w:rPr>
        <w:t xml:space="preserve">Celkové príjmy bežného roka v sektore zdravotníctva sa na rok </w:t>
      </w:r>
      <w:r>
        <w:rPr>
          <w:rFonts w:ascii="Times New Roman" w:hAnsi="Times New Roman" w:cs="Times New Roman"/>
          <w:noProof/>
          <w:lang w:eastAsia="sk-SK"/>
        </w:rPr>
        <w:t>2018 predpokladajú vo výške 4,80</w:t>
      </w:r>
      <w:r w:rsidRPr="00F811C6">
        <w:rPr>
          <w:rFonts w:ascii="Times New Roman" w:hAnsi="Times New Roman" w:cs="Times New Roman"/>
          <w:noProof/>
          <w:lang w:eastAsia="sk-SK"/>
        </w:rPr>
        <w:t> m</w:t>
      </w:r>
      <w:r>
        <w:rPr>
          <w:rFonts w:ascii="Times New Roman" w:hAnsi="Times New Roman" w:cs="Times New Roman"/>
          <w:noProof/>
          <w:lang w:eastAsia="sk-SK"/>
        </w:rPr>
        <w:t>ld. eur s medziročným rastom 7,7</w:t>
      </w:r>
      <w:r w:rsidRPr="00F811C6">
        <w:rPr>
          <w:rFonts w:ascii="Times New Roman" w:hAnsi="Times New Roman" w:cs="Times New Roman"/>
          <w:noProof/>
          <w:lang w:eastAsia="sk-SK"/>
        </w:rPr>
        <w:t xml:space="preserve"> % oproti </w:t>
      </w:r>
      <w:r>
        <w:rPr>
          <w:rFonts w:ascii="Times New Roman" w:hAnsi="Times New Roman" w:cs="Times New Roman"/>
          <w:noProof/>
          <w:lang w:eastAsia="sk-SK"/>
        </w:rPr>
        <w:t>schválenému rozpočtu na rok 2017</w:t>
      </w:r>
      <w:r w:rsidRPr="00F811C6">
        <w:rPr>
          <w:rFonts w:ascii="Times New Roman" w:hAnsi="Times New Roman" w:cs="Times New Roman"/>
          <w:noProof/>
          <w:lang w:eastAsia="sk-SK"/>
        </w:rPr>
        <w:t xml:space="preserve">. Ide najmä o príjmy od ekonomicky aktívnych osôb a z poistného plateného štátom, ako aj vlastné príjmy verejných zdravotných poisťovní. </w:t>
      </w:r>
    </w:p>
    <w:p w:rsidR="007D13F3" w:rsidRPr="00F811C6" w:rsidRDefault="007D13F3" w:rsidP="007D13F3">
      <w:pPr>
        <w:ind w:firstLine="708"/>
        <w:jc w:val="both"/>
        <w:rPr>
          <w:rFonts w:ascii="Times New Roman" w:hAnsi="Times New Roman" w:cs="Times New Roman"/>
          <w:noProof/>
          <w:lang w:eastAsia="sk-SK"/>
        </w:rPr>
      </w:pPr>
    </w:p>
    <w:p w:rsidR="007D13F3" w:rsidRPr="00F811C6" w:rsidRDefault="007D13F3" w:rsidP="007D13F3">
      <w:pPr>
        <w:ind w:firstLine="708"/>
        <w:jc w:val="both"/>
        <w:rPr>
          <w:rFonts w:ascii="Times New Roman" w:hAnsi="Times New Roman" w:cs="Times New Roman"/>
          <w:noProof/>
          <w:lang w:eastAsia="sk-SK"/>
        </w:rPr>
      </w:pPr>
      <w:r>
        <w:rPr>
          <w:rFonts w:ascii="Times New Roman" w:hAnsi="Times New Roman" w:cs="Times New Roman"/>
          <w:noProof/>
          <w:lang w:eastAsia="sk-SK"/>
        </w:rPr>
        <w:t>Na rok 2019</w:t>
      </w:r>
      <w:r w:rsidRPr="00F811C6">
        <w:rPr>
          <w:rFonts w:ascii="Times New Roman" w:hAnsi="Times New Roman" w:cs="Times New Roman"/>
          <w:noProof/>
          <w:lang w:eastAsia="sk-SK"/>
        </w:rPr>
        <w:t xml:space="preserve"> sa celkové príjmy bežné</w:t>
      </w:r>
      <w:r>
        <w:rPr>
          <w:rFonts w:ascii="Times New Roman" w:hAnsi="Times New Roman" w:cs="Times New Roman"/>
          <w:noProof/>
          <w:lang w:eastAsia="sk-SK"/>
        </w:rPr>
        <w:t>ho roka predpokladajú v objeme 5,09 mld. eur s medziročným rastom 6,0 % a na rok 2020 v objeme 5,40 mld. eur s medziročným rastom 6,1</w:t>
      </w:r>
      <w:r w:rsidRPr="00F811C6">
        <w:rPr>
          <w:rFonts w:ascii="Times New Roman" w:hAnsi="Times New Roman" w:cs="Times New Roman"/>
          <w:noProof/>
          <w:lang w:eastAsia="sk-SK"/>
        </w:rPr>
        <w:t> %.</w:t>
      </w:r>
    </w:p>
    <w:p w:rsidR="007D13F3" w:rsidRPr="00F811C6" w:rsidRDefault="007D13F3" w:rsidP="007D13F3">
      <w:pPr>
        <w:jc w:val="both"/>
        <w:rPr>
          <w:rFonts w:ascii="Times New Roman" w:hAnsi="Times New Roman" w:cs="Times New Roman"/>
          <w:noProof/>
          <w:lang w:eastAsia="sk-SK"/>
        </w:rPr>
      </w:pPr>
    </w:p>
    <w:p w:rsidR="007D13F3" w:rsidRDefault="007D13F3" w:rsidP="007D13F3">
      <w:pPr>
        <w:jc w:val="both"/>
        <w:rPr>
          <w:rFonts w:ascii="Times New Roman" w:hAnsi="Times New Roman" w:cs="Times New Roman"/>
          <w:b/>
          <w:noProof/>
          <w:lang w:eastAsia="sk-SK"/>
        </w:rPr>
      </w:pPr>
      <w:r w:rsidRPr="00F811C6">
        <w:rPr>
          <w:rFonts w:ascii="Times New Roman" w:hAnsi="Times New Roman" w:cs="Times New Roman"/>
          <w:b/>
          <w:noProof/>
          <w:lang w:eastAsia="sk-SK"/>
        </w:rPr>
        <w:t>Ministerstvo zdravotníctva SR</w:t>
      </w:r>
    </w:p>
    <w:p w:rsidR="007D13F3" w:rsidRDefault="007D13F3" w:rsidP="007D13F3">
      <w:pPr>
        <w:jc w:val="both"/>
        <w:rPr>
          <w:rFonts w:ascii="Times New Roman" w:hAnsi="Times New Roman" w:cs="Times New Roman"/>
          <w:b/>
          <w:noProof/>
          <w:lang w:eastAsia="sk-SK"/>
        </w:rPr>
      </w:pPr>
    </w:p>
    <w:tbl>
      <w:tblPr>
        <w:tblW w:w="5000" w:type="pct"/>
        <w:tblCellMar>
          <w:left w:w="70" w:type="dxa"/>
          <w:right w:w="70" w:type="dxa"/>
        </w:tblCellMar>
        <w:tblLook w:val="04A0" w:firstRow="1" w:lastRow="0" w:firstColumn="1" w:lastColumn="0" w:noHBand="0" w:noVBand="1"/>
      </w:tblPr>
      <w:tblGrid>
        <w:gridCol w:w="2447"/>
        <w:gridCol w:w="945"/>
        <w:gridCol w:w="945"/>
        <w:gridCol w:w="945"/>
        <w:gridCol w:w="945"/>
        <w:gridCol w:w="945"/>
        <w:gridCol w:w="945"/>
        <w:gridCol w:w="945"/>
      </w:tblGrid>
      <w:tr w:rsidR="007D13F3" w:rsidRPr="007C2731" w:rsidTr="00F30F1A">
        <w:trPr>
          <w:trHeight w:val="255"/>
        </w:trPr>
        <w:tc>
          <w:tcPr>
            <w:tcW w:w="167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7C2731" w:rsidRDefault="007D13F3" w:rsidP="00465CAC">
            <w:pP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v eurách</w:t>
            </w:r>
          </w:p>
        </w:tc>
        <w:tc>
          <w:tcPr>
            <w:tcW w:w="51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2015 S</w:t>
            </w:r>
          </w:p>
        </w:tc>
        <w:tc>
          <w:tcPr>
            <w:tcW w:w="48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2016 S</w:t>
            </w:r>
          </w:p>
        </w:tc>
        <w:tc>
          <w:tcPr>
            <w:tcW w:w="48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2017 R</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2017 OS</w:t>
            </w:r>
          </w:p>
        </w:tc>
        <w:tc>
          <w:tcPr>
            <w:tcW w:w="48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2018 N</w:t>
            </w:r>
          </w:p>
        </w:tc>
        <w:tc>
          <w:tcPr>
            <w:tcW w:w="44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2019 N</w:t>
            </w:r>
          </w:p>
        </w:tc>
        <w:tc>
          <w:tcPr>
            <w:tcW w:w="43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2020 N</w:t>
            </w:r>
          </w:p>
        </w:tc>
      </w:tr>
      <w:tr w:rsidR="007D13F3" w:rsidRPr="007C2731" w:rsidTr="00F30F1A">
        <w:trPr>
          <w:trHeight w:val="255"/>
        </w:trPr>
        <w:tc>
          <w:tcPr>
            <w:tcW w:w="1675" w:type="pc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7D13F3" w:rsidRPr="007C2731" w:rsidRDefault="007D13F3" w:rsidP="00465CAC">
            <w:pP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Zdroje príslušnej kapitoly vrátane 72e</w:t>
            </w:r>
          </w:p>
        </w:tc>
        <w:tc>
          <w:tcPr>
            <w:tcW w:w="519"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1 474 040 084</w:t>
            </w:r>
          </w:p>
        </w:tc>
        <w:tc>
          <w:tcPr>
            <w:tcW w:w="486"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1 518 695 244</w:t>
            </w:r>
          </w:p>
        </w:tc>
        <w:tc>
          <w:tcPr>
            <w:tcW w:w="486"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1 371 173 921</w:t>
            </w:r>
          </w:p>
        </w:tc>
        <w:tc>
          <w:tcPr>
            <w:tcW w:w="469"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1 467 787 610</w:t>
            </w:r>
          </w:p>
        </w:tc>
        <w:tc>
          <w:tcPr>
            <w:tcW w:w="486"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1 396 249 702</w:t>
            </w:r>
          </w:p>
        </w:tc>
        <w:tc>
          <w:tcPr>
            <w:tcW w:w="444"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1 444 474 323</w:t>
            </w:r>
          </w:p>
        </w:tc>
        <w:tc>
          <w:tcPr>
            <w:tcW w:w="436"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1 501 488 845</w:t>
            </w:r>
          </w:p>
        </w:tc>
      </w:tr>
      <w:tr w:rsidR="007D13F3" w:rsidRPr="007C2731" w:rsidTr="00F30F1A">
        <w:trPr>
          <w:trHeight w:val="255"/>
        </w:trPr>
        <w:tc>
          <w:tcPr>
            <w:tcW w:w="1675" w:type="pc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7D13F3" w:rsidRPr="007C2731" w:rsidRDefault="007D13F3" w:rsidP="00465CAC">
            <w:pP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 xml:space="preserve">zdroje príslušnej kapitoly </w:t>
            </w:r>
          </w:p>
        </w:tc>
        <w:tc>
          <w:tcPr>
            <w:tcW w:w="519"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1 473 822 458</w:t>
            </w:r>
          </w:p>
        </w:tc>
        <w:tc>
          <w:tcPr>
            <w:tcW w:w="486"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1 518 557 768</w:t>
            </w:r>
          </w:p>
        </w:tc>
        <w:tc>
          <w:tcPr>
            <w:tcW w:w="486"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1 371 173 921</w:t>
            </w:r>
          </w:p>
        </w:tc>
        <w:tc>
          <w:tcPr>
            <w:tcW w:w="469"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1 467 787 610</w:t>
            </w:r>
          </w:p>
        </w:tc>
        <w:tc>
          <w:tcPr>
            <w:tcW w:w="486"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1 396 249 702</w:t>
            </w:r>
          </w:p>
        </w:tc>
        <w:tc>
          <w:tcPr>
            <w:tcW w:w="444"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1 444 474 323</w:t>
            </w:r>
          </w:p>
        </w:tc>
        <w:tc>
          <w:tcPr>
            <w:tcW w:w="436"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1 501 488 845</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rozpočtové zdroje kapitoly</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1 437 958 699</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1 490 653 544</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1 371 173 921</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1 465 475 565</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1 396 249 702</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1 444 474 323</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1 501 488 845</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    v tom: poistné platené štátom</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1 351 628 401</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1 392 100 005</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1 205 592 088</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1 298 082 180</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1 219 447 320</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1 262 328 984</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1 317 271 116</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               príspevok na činnosť OS ZZS </w:t>
            </w:r>
            <w:r w:rsidR="00341607">
              <w:rPr>
                <w:rFonts w:ascii="Times New Roman" w:hAnsi="Times New Roman" w:cs="Times New Roman"/>
                <w:sz w:val="14"/>
                <w:szCs w:val="14"/>
                <w:lang w:eastAsia="sk-SK"/>
              </w:rPr>
              <w:t xml:space="preserve"> </w:t>
            </w:r>
            <w:r w:rsidR="00341607">
              <w:rPr>
                <w:rFonts w:ascii="Times New Roman" w:hAnsi="Times New Roman" w:cs="Times New Roman"/>
                <w:sz w:val="14"/>
                <w:szCs w:val="14"/>
                <w:lang w:eastAsia="sk-SK"/>
              </w:rPr>
              <w:br/>
              <w:t xml:space="preserve">               </w:t>
            </w:r>
            <w:r w:rsidRPr="007C2731">
              <w:rPr>
                <w:rFonts w:ascii="Times New Roman" w:hAnsi="Times New Roman" w:cs="Times New Roman"/>
                <w:sz w:val="14"/>
                <w:szCs w:val="14"/>
                <w:lang w:eastAsia="sk-SK"/>
              </w:rPr>
              <w:t>(zdroj 11H)</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13 350 507</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13 799 748</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14 258 426</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14 446 326</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15 377 954</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15 805 803</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16 760 193</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               príspevok na činnosť NCZI </w:t>
            </w:r>
            <w:r w:rsidR="00341607">
              <w:rPr>
                <w:rFonts w:ascii="Times New Roman" w:hAnsi="Times New Roman" w:cs="Times New Roman"/>
                <w:sz w:val="14"/>
                <w:szCs w:val="14"/>
                <w:lang w:eastAsia="sk-SK"/>
              </w:rPr>
              <w:br/>
              <w:t xml:space="preserve">               </w:t>
            </w:r>
            <w:r w:rsidRPr="007C2731">
              <w:rPr>
                <w:rFonts w:ascii="Times New Roman" w:hAnsi="Times New Roman" w:cs="Times New Roman"/>
                <w:sz w:val="14"/>
                <w:szCs w:val="14"/>
                <w:lang w:eastAsia="sk-SK"/>
              </w:rPr>
              <w:t>(zdroj 11H)</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15 639 166</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16 165 419</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16 702 728</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16 922 839</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18 014 175</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18 515 369</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19 633 369</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               bežné výdavky kapitoly, </w:t>
            </w:r>
            <w:r w:rsidR="00341607">
              <w:rPr>
                <w:rFonts w:ascii="Times New Roman" w:hAnsi="Times New Roman" w:cs="Times New Roman"/>
                <w:sz w:val="14"/>
                <w:szCs w:val="14"/>
                <w:lang w:eastAsia="sk-SK"/>
              </w:rPr>
              <w:br/>
              <w:t xml:space="preserve">               </w:t>
            </w:r>
            <w:r w:rsidRPr="007C2731">
              <w:rPr>
                <w:rFonts w:ascii="Times New Roman" w:hAnsi="Times New Roman" w:cs="Times New Roman"/>
                <w:sz w:val="14"/>
                <w:szCs w:val="14"/>
                <w:lang w:eastAsia="sk-SK"/>
              </w:rPr>
              <w:t>z toho:</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52 112 866</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67 172 471</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63 884 367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67 024 444</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73 410 253</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73 394 253</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73 494 248</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                          610 mzdy</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23 317 306</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25 254 303</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25 980 211</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27 253 080</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27 014 974</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27 014 974</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27 014 974</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                          620 odvody</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8 181 641</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8 820 703</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9 080 347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9 530 698</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9 441 733</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9 441 733</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9 441 733</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                          630 tovary a služby</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12 786 833</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17 193 406</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20 488 582</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17 371 453</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28 233 423</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28 217 423</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28 317 418</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                          640 bežné transfery</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7 827 086</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15 904 059</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8 335 227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12 869 213</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8 720 123</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8 720 123</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8 720 123</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               kapitálové výdavky kapitoly </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5 227 759</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1 415 901</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70 736 312</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68 999 776</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70 000 000</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74 429 914</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74 329 919</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zdroje EÚ vrátane spolufinancovania</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5 073 904</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4 728 789</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859 975</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0</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0</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0</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  v tom:   2. program. obdobie - EÚ</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4 113 811</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4 113 611</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730 979</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r>
      <w:tr w:rsidR="007D13F3" w:rsidRPr="007C2731" w:rsidTr="00465CAC">
        <w:trPr>
          <w:trHeight w:val="240"/>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               spolufinancovanie zo ŠR</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960 093</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615 178</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128 996</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               3. program. obdobie - EÚ</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r>
      <w:tr w:rsidR="007D13F3" w:rsidRPr="007C2731" w:rsidTr="00465CAC">
        <w:trPr>
          <w:trHeight w:val="240"/>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                spolufinancovanie zo ŠR</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noWrap/>
            <w:vAlign w:val="bottom"/>
            <w:hideMark/>
          </w:tcPr>
          <w:p w:rsidR="007D13F3" w:rsidRPr="007C2731" w:rsidRDefault="007D13F3" w:rsidP="00465CAC">
            <w:pP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presun z minulých rokov §</w:t>
            </w:r>
            <w:r w:rsidR="00341607">
              <w:rPr>
                <w:rFonts w:ascii="Times New Roman" w:hAnsi="Times New Roman" w:cs="Times New Roman"/>
                <w:b/>
                <w:bCs/>
                <w:sz w:val="14"/>
                <w:szCs w:val="14"/>
                <w:lang w:eastAsia="sk-SK"/>
              </w:rPr>
              <w:t xml:space="preserve"> </w:t>
            </w:r>
            <w:r w:rsidRPr="007C2731">
              <w:rPr>
                <w:rFonts w:ascii="Times New Roman" w:hAnsi="Times New Roman" w:cs="Times New Roman"/>
                <w:b/>
                <w:bCs/>
                <w:sz w:val="14"/>
                <w:szCs w:val="14"/>
                <w:lang w:eastAsia="sk-SK"/>
              </w:rPr>
              <w:t>8</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30 789 855</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23 175 435</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1 452 070</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    v tom: štátny rozpočet</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12 640 489</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19 373 070</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1 452 070</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              </w:t>
            </w:r>
            <w:r w:rsidR="00160534">
              <w:rPr>
                <w:rFonts w:ascii="Times New Roman" w:hAnsi="Times New Roman" w:cs="Times New Roman"/>
                <w:sz w:val="14"/>
                <w:szCs w:val="14"/>
                <w:lang w:eastAsia="sk-SK"/>
              </w:rPr>
              <w:t xml:space="preserve"> </w:t>
            </w:r>
            <w:r w:rsidRPr="007C2731">
              <w:rPr>
                <w:rFonts w:ascii="Times New Roman" w:hAnsi="Times New Roman" w:cs="Times New Roman"/>
                <w:sz w:val="14"/>
                <w:szCs w:val="14"/>
                <w:lang w:eastAsia="sk-SK"/>
              </w:rPr>
              <w:t>EÚ prostriedky</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15 629 577</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3 055 594</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r>
      <w:tr w:rsidR="007D13F3" w:rsidRPr="007C2731" w:rsidTr="00465CAC">
        <w:trPr>
          <w:trHeight w:val="270"/>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             </w:t>
            </w:r>
            <w:r w:rsidR="00160534">
              <w:rPr>
                <w:rFonts w:ascii="Times New Roman" w:hAnsi="Times New Roman" w:cs="Times New Roman"/>
                <w:sz w:val="14"/>
                <w:szCs w:val="14"/>
                <w:lang w:eastAsia="sk-SK"/>
              </w:rPr>
              <w:t xml:space="preserve"> </w:t>
            </w:r>
            <w:r w:rsidRPr="007C2731">
              <w:rPr>
                <w:rFonts w:ascii="Times New Roman" w:hAnsi="Times New Roman" w:cs="Times New Roman"/>
                <w:sz w:val="14"/>
                <w:szCs w:val="14"/>
                <w:lang w:eastAsia="sk-SK"/>
              </w:rPr>
              <w:t xml:space="preserve"> spolufinancovanie zo ŠR</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2 519 789</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746 771</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noWrap/>
            <w:vAlign w:val="bottom"/>
            <w:hideMark/>
          </w:tcPr>
          <w:p w:rsidR="007D13F3" w:rsidRPr="007C2731" w:rsidRDefault="007D13F3" w:rsidP="00465CAC">
            <w:pP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zdroj 72e*</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217 626</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137 476</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0</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0</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0</w:t>
            </w:r>
          </w:p>
        </w:tc>
      </w:tr>
      <w:tr w:rsidR="007D13F3" w:rsidRPr="007C2731" w:rsidTr="00341607">
        <w:trPr>
          <w:trHeight w:val="154"/>
        </w:trPr>
        <w:tc>
          <w:tcPr>
            <w:tcW w:w="5000" w:type="pct"/>
            <w:gridSpan w:val="8"/>
            <w:tcBorders>
              <w:top w:val="nil"/>
              <w:left w:val="nil"/>
              <w:bottom w:val="nil"/>
              <w:right w:val="nil"/>
            </w:tcBorders>
            <w:shd w:val="clear" w:color="auto" w:fill="auto"/>
            <w:vAlign w:val="bottom"/>
            <w:hideMark/>
          </w:tcPr>
          <w:p w:rsidR="007D13F3"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*z poistného plnenia zo zmluvného poistenia alebo zo zákonného poistenia</w:t>
            </w:r>
          </w:p>
          <w:p w:rsidR="00341607" w:rsidRPr="007C2731" w:rsidRDefault="00341607" w:rsidP="00465CAC">
            <w:pPr>
              <w:rPr>
                <w:rFonts w:ascii="Times New Roman" w:hAnsi="Times New Roman" w:cs="Times New Roman"/>
                <w:sz w:val="14"/>
                <w:szCs w:val="14"/>
                <w:lang w:eastAsia="sk-SK"/>
              </w:rPr>
            </w:pPr>
          </w:p>
        </w:tc>
      </w:tr>
      <w:tr w:rsidR="007D13F3" w:rsidRPr="007C2731" w:rsidTr="00465CAC">
        <w:trPr>
          <w:trHeight w:val="255"/>
        </w:trPr>
        <w:tc>
          <w:tcPr>
            <w:tcW w:w="16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Samostatné účty</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16 033 192</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10 626 567</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11 500 000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0</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0</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0</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0</w:t>
            </w:r>
          </w:p>
        </w:tc>
      </w:tr>
    </w:tbl>
    <w:p w:rsidR="007D13F3" w:rsidRPr="00F811C6" w:rsidRDefault="007D13F3" w:rsidP="007D13F3">
      <w:pPr>
        <w:jc w:val="both"/>
        <w:rPr>
          <w:rFonts w:ascii="Times New Roman" w:hAnsi="Times New Roman"/>
        </w:rPr>
      </w:pPr>
    </w:p>
    <w:p w:rsidR="007D13F3" w:rsidRPr="003A2483" w:rsidRDefault="007D13F3" w:rsidP="007D13F3">
      <w:pPr>
        <w:ind w:firstLine="708"/>
        <w:jc w:val="both"/>
        <w:rPr>
          <w:rFonts w:ascii="Times New Roman" w:hAnsi="Times New Roman"/>
        </w:rPr>
      </w:pPr>
      <w:r w:rsidRPr="003A2483">
        <w:rPr>
          <w:rFonts w:ascii="Times New Roman" w:hAnsi="Times New Roman"/>
        </w:rPr>
        <w:t>Celkové výdavky kapitoly Ministerstva zdravotníctva SR (ďalej len „MZ SR“) sa na rok 2018 predpokladajú na úrovni 1,40 mld. eur.</w:t>
      </w:r>
    </w:p>
    <w:p w:rsidR="007D13F3" w:rsidRPr="00F811C6" w:rsidRDefault="007D13F3" w:rsidP="007D13F3">
      <w:pPr>
        <w:ind w:firstLine="708"/>
        <w:jc w:val="both"/>
        <w:rPr>
          <w:rFonts w:ascii="Times New Roman" w:hAnsi="Times New Roman"/>
        </w:rPr>
      </w:pPr>
    </w:p>
    <w:p w:rsidR="007D13F3" w:rsidRPr="00F811C6" w:rsidRDefault="007D13F3" w:rsidP="007D13F3">
      <w:pPr>
        <w:ind w:firstLine="708"/>
        <w:jc w:val="both"/>
        <w:rPr>
          <w:rFonts w:ascii="Times New Roman" w:hAnsi="Times New Roman" w:cs="Times New Roman"/>
        </w:rPr>
      </w:pPr>
      <w:r>
        <w:rPr>
          <w:rFonts w:ascii="Times New Roman" w:hAnsi="Times New Roman"/>
        </w:rPr>
        <w:lastRenderedPageBreak/>
        <w:t>Osobné výdavky na rok 2018 sa rozpočtujú vo výške 36,5</w:t>
      </w:r>
      <w:r w:rsidRPr="00F811C6">
        <w:rPr>
          <w:rFonts w:ascii="Times New Roman" w:hAnsi="Times New Roman"/>
        </w:rPr>
        <w:t> mil. eur, s medziročným rastom oproti schválenému rozpočtu n</w:t>
      </w:r>
      <w:r>
        <w:rPr>
          <w:rFonts w:ascii="Times New Roman" w:hAnsi="Times New Roman"/>
        </w:rPr>
        <w:t>a rok 2017 o 1,4</w:t>
      </w:r>
      <w:r w:rsidRPr="00F811C6">
        <w:rPr>
          <w:rFonts w:ascii="Times New Roman" w:hAnsi="Times New Roman"/>
        </w:rPr>
        <w:t> mil. eur, t. j. o</w:t>
      </w:r>
      <w:r>
        <w:rPr>
          <w:rFonts w:ascii="Times New Roman" w:hAnsi="Times New Roman"/>
        </w:rPr>
        <w:t> 3,98</w:t>
      </w:r>
      <w:r w:rsidRPr="00F811C6">
        <w:rPr>
          <w:rFonts w:ascii="Times New Roman" w:hAnsi="Times New Roman"/>
        </w:rPr>
        <w:t> %. Dôvodom je premietnutie valorizácie platov</w:t>
      </w:r>
      <w:r>
        <w:rPr>
          <w:rFonts w:ascii="Times New Roman" w:hAnsi="Times New Roman"/>
        </w:rPr>
        <w:t xml:space="preserve"> z roku 2017. </w:t>
      </w:r>
    </w:p>
    <w:p w:rsidR="007D13F3" w:rsidRPr="00F811C6" w:rsidRDefault="007D13F3" w:rsidP="007D13F3">
      <w:pPr>
        <w:jc w:val="both"/>
        <w:rPr>
          <w:rFonts w:ascii="Times New Roman" w:hAnsi="Times New Roman"/>
        </w:rPr>
      </w:pPr>
    </w:p>
    <w:p w:rsidR="007D13F3" w:rsidRPr="00F811C6" w:rsidRDefault="007D13F3" w:rsidP="007D13F3">
      <w:pPr>
        <w:ind w:firstLine="708"/>
        <w:jc w:val="both"/>
        <w:rPr>
          <w:rFonts w:ascii="Times New Roman" w:hAnsi="Times New Roman"/>
        </w:rPr>
      </w:pPr>
      <w:r w:rsidRPr="00F811C6">
        <w:rPr>
          <w:rFonts w:ascii="Times New Roman" w:hAnsi="Times New Roman"/>
        </w:rPr>
        <w:t>Výdavky n</w:t>
      </w:r>
      <w:r>
        <w:rPr>
          <w:rFonts w:ascii="Times New Roman" w:hAnsi="Times New Roman"/>
        </w:rPr>
        <w:t>a tovary a služby sa na rok 2018 rozpočtujú v sume 28,2</w:t>
      </w:r>
      <w:r w:rsidRPr="00F811C6">
        <w:rPr>
          <w:rFonts w:ascii="Times New Roman" w:hAnsi="Times New Roman"/>
        </w:rPr>
        <w:t xml:space="preserve"> mil. eur, čo predstavuje rast oproti </w:t>
      </w:r>
      <w:r>
        <w:rPr>
          <w:rFonts w:ascii="Times New Roman" w:hAnsi="Times New Roman"/>
        </w:rPr>
        <w:t>schválenému rozpočtu na rok 2017 o 7,7</w:t>
      </w:r>
      <w:r w:rsidRPr="00F811C6">
        <w:rPr>
          <w:rFonts w:ascii="Times New Roman" w:hAnsi="Times New Roman"/>
        </w:rPr>
        <w:t xml:space="preserve"> mil. eur, a to z dôvodu </w:t>
      </w:r>
      <w:r>
        <w:rPr>
          <w:rFonts w:ascii="Times New Roman" w:hAnsi="Times New Roman"/>
        </w:rPr>
        <w:t>plnenia úloh súvisiacich s riadením nových programov a projektov určených na efektívnejšie  zdravotníctvo a z</w:t>
      </w:r>
      <w:r w:rsidRPr="00F811C6">
        <w:rPr>
          <w:rFonts w:ascii="Times New Roman" w:hAnsi="Times New Roman"/>
        </w:rPr>
        <w:t xml:space="preserve">ároveň sa na tejto kategórii podporuje financovanie rezidentského programu. </w:t>
      </w:r>
    </w:p>
    <w:p w:rsidR="007D13F3" w:rsidRPr="00F811C6" w:rsidRDefault="007D13F3" w:rsidP="007D13F3">
      <w:pPr>
        <w:jc w:val="both"/>
        <w:rPr>
          <w:rFonts w:ascii="Times New Roman" w:hAnsi="Times New Roman"/>
        </w:rPr>
      </w:pPr>
    </w:p>
    <w:p w:rsidR="007D13F3" w:rsidRPr="00F811C6" w:rsidRDefault="007D13F3" w:rsidP="007D13F3">
      <w:pPr>
        <w:ind w:firstLine="708"/>
        <w:jc w:val="both"/>
        <w:rPr>
          <w:rFonts w:ascii="Times New Roman" w:hAnsi="Times New Roman"/>
        </w:rPr>
      </w:pPr>
      <w:r w:rsidRPr="0053328B">
        <w:rPr>
          <w:rFonts w:ascii="Times New Roman" w:hAnsi="Times New Roman"/>
        </w:rPr>
        <w:t>V rámci bežných transferov sa rozpočtuje poistné platené štátom na verejné zdravotné poistenie, príspevky pre operačné strediská záchrannej zdravotnej služby, príspevky pre</w:t>
      </w:r>
      <w:r w:rsidRPr="0053328B">
        <w:t xml:space="preserve"> </w:t>
      </w:r>
      <w:r w:rsidRPr="0053328B">
        <w:rPr>
          <w:rFonts w:ascii="Times New Roman" w:hAnsi="Times New Roman"/>
        </w:rPr>
        <w:t>Národné centrum zdravotníckych informácií a výdavky na úhradu neodkladnej zdravotnej starostlivosti. Na</w:t>
      </w:r>
      <w:r>
        <w:rPr>
          <w:rFonts w:ascii="Times New Roman" w:hAnsi="Times New Roman"/>
        </w:rPr>
        <w:t xml:space="preserve"> rok 2018</w:t>
      </w:r>
      <w:r w:rsidRPr="0053328B">
        <w:rPr>
          <w:rFonts w:ascii="Times New Roman" w:hAnsi="Times New Roman"/>
        </w:rPr>
        <w:t xml:space="preserve"> sa rozpočtujú bežné transfery vo výške 1,</w:t>
      </w:r>
      <w:r>
        <w:rPr>
          <w:rFonts w:ascii="Times New Roman" w:hAnsi="Times New Roman"/>
        </w:rPr>
        <w:t>25 mld. eur, čo predstavuje rast</w:t>
      </w:r>
      <w:r w:rsidRPr="0053328B">
        <w:rPr>
          <w:rFonts w:ascii="Times New Roman" w:hAnsi="Times New Roman"/>
        </w:rPr>
        <w:t xml:space="preserve"> oproti schválenému</w:t>
      </w:r>
      <w:r>
        <w:rPr>
          <w:rFonts w:ascii="Times New Roman" w:hAnsi="Times New Roman"/>
        </w:rPr>
        <w:t xml:space="preserve"> rozpočtu na rok 2017 o sumu  16,3 mil. eur, t. j. o 1,3 %. Dôvodom je najmä rast </w:t>
      </w:r>
      <w:r w:rsidRPr="0053328B">
        <w:rPr>
          <w:rFonts w:ascii="Times New Roman" w:hAnsi="Times New Roman"/>
        </w:rPr>
        <w:t>platby za poistencov štátu a</w:t>
      </w:r>
      <w:r>
        <w:rPr>
          <w:rFonts w:ascii="Times New Roman" w:hAnsi="Times New Roman"/>
        </w:rPr>
        <w:t xml:space="preserve"> zvýšenie výdavkov na činnosť kapitoly. </w:t>
      </w:r>
    </w:p>
    <w:p w:rsidR="007D13F3" w:rsidRPr="00F811C6" w:rsidRDefault="007D13F3" w:rsidP="007D13F3">
      <w:pPr>
        <w:jc w:val="both"/>
        <w:rPr>
          <w:rFonts w:ascii="Times New Roman" w:hAnsi="Times New Roman"/>
          <w:bCs/>
        </w:rPr>
      </w:pPr>
    </w:p>
    <w:p w:rsidR="007D13F3" w:rsidRDefault="007D13F3" w:rsidP="007D13F3">
      <w:pPr>
        <w:ind w:firstLine="708"/>
        <w:jc w:val="both"/>
        <w:rPr>
          <w:rFonts w:ascii="Times New Roman" w:hAnsi="Times New Roman"/>
        </w:rPr>
      </w:pPr>
      <w:r>
        <w:rPr>
          <w:rFonts w:ascii="Times New Roman" w:hAnsi="Times New Roman"/>
        </w:rPr>
        <w:t>Z</w:t>
      </w:r>
      <w:r w:rsidRPr="00D8236B">
        <w:rPr>
          <w:rFonts w:ascii="Times New Roman" w:hAnsi="Times New Roman"/>
        </w:rPr>
        <w:t>a účelom rekonštrukcie budov a </w:t>
      </w:r>
      <w:r>
        <w:rPr>
          <w:rFonts w:ascii="Times New Roman" w:hAnsi="Times New Roman"/>
        </w:rPr>
        <w:t xml:space="preserve"> obnovy</w:t>
      </w:r>
      <w:r w:rsidRPr="00D8236B">
        <w:rPr>
          <w:rFonts w:ascii="Times New Roman" w:hAnsi="Times New Roman"/>
        </w:rPr>
        <w:t xml:space="preserve"> technického vybavenia nemocníc</w:t>
      </w:r>
      <w:r>
        <w:rPr>
          <w:rFonts w:ascii="Times New Roman" w:hAnsi="Times New Roman"/>
        </w:rPr>
        <w:t xml:space="preserve"> zostávajú  k</w:t>
      </w:r>
      <w:r w:rsidRPr="00D8236B">
        <w:rPr>
          <w:rFonts w:ascii="Times New Roman" w:hAnsi="Times New Roman"/>
        </w:rPr>
        <w:t xml:space="preserve">apitálové výdavky </w:t>
      </w:r>
      <w:r>
        <w:rPr>
          <w:rFonts w:ascii="Times New Roman" w:hAnsi="Times New Roman"/>
        </w:rPr>
        <w:t>aj v roku 2018 na úrovni</w:t>
      </w:r>
      <w:r w:rsidRPr="00D8236B">
        <w:rPr>
          <w:rFonts w:ascii="Times New Roman" w:hAnsi="Times New Roman"/>
        </w:rPr>
        <w:t xml:space="preserve"> 70,</w:t>
      </w:r>
      <w:r>
        <w:rPr>
          <w:rFonts w:ascii="Times New Roman" w:hAnsi="Times New Roman"/>
        </w:rPr>
        <w:t>0</w:t>
      </w:r>
      <w:r w:rsidRPr="00D8236B">
        <w:rPr>
          <w:rFonts w:ascii="Times New Roman" w:hAnsi="Times New Roman"/>
        </w:rPr>
        <w:t xml:space="preserve"> mil. eur</w:t>
      </w:r>
      <w:r>
        <w:rPr>
          <w:rFonts w:ascii="Times New Roman" w:hAnsi="Times New Roman"/>
        </w:rPr>
        <w:t xml:space="preserve">. </w:t>
      </w:r>
      <w:r w:rsidRPr="00D8236B">
        <w:rPr>
          <w:rFonts w:ascii="Times New Roman" w:hAnsi="Times New Roman"/>
        </w:rPr>
        <w:t xml:space="preserve"> </w:t>
      </w:r>
      <w:r>
        <w:rPr>
          <w:rFonts w:ascii="Times New Roman" w:hAnsi="Times New Roman"/>
        </w:rPr>
        <w:t>Na rok 2019 sa kapitálové výdavky rozpočtujú v sume 74,4 mil. eur a v roku 2020 sa rozpočtujú v sume 74,</w:t>
      </w:r>
      <w:r w:rsidRPr="00D8236B">
        <w:rPr>
          <w:rFonts w:ascii="Times New Roman" w:hAnsi="Times New Roman"/>
        </w:rPr>
        <w:t>3 mil. eur.</w:t>
      </w:r>
      <w:r w:rsidRPr="00F811C6">
        <w:rPr>
          <w:rFonts w:ascii="Times New Roman" w:hAnsi="Times New Roman"/>
        </w:rPr>
        <w:t xml:space="preserve"> </w:t>
      </w:r>
    </w:p>
    <w:p w:rsidR="007D13F3" w:rsidRDefault="007D13F3" w:rsidP="007D13F3">
      <w:pPr>
        <w:ind w:firstLine="708"/>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2447"/>
        <w:gridCol w:w="945"/>
        <w:gridCol w:w="945"/>
        <w:gridCol w:w="945"/>
        <w:gridCol w:w="945"/>
        <w:gridCol w:w="945"/>
        <w:gridCol w:w="945"/>
        <w:gridCol w:w="945"/>
      </w:tblGrid>
      <w:tr w:rsidR="007D13F3" w:rsidRPr="007C2731" w:rsidTr="00160534">
        <w:trPr>
          <w:trHeight w:hRule="exact" w:val="255"/>
        </w:trPr>
        <w:tc>
          <w:tcPr>
            <w:tcW w:w="1350"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7C2731" w:rsidRDefault="007D13F3" w:rsidP="00465CAC">
            <w:pP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v eurách</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2015 S</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2016 S</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2017 R</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2017 OS</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2018 N</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2019 N</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2020 N</w:t>
            </w:r>
          </w:p>
        </w:tc>
      </w:tr>
      <w:tr w:rsidR="007D13F3" w:rsidRPr="007C2731" w:rsidTr="00160534">
        <w:trPr>
          <w:trHeight w:hRule="exact" w:val="255"/>
        </w:trPr>
        <w:tc>
          <w:tcPr>
            <w:tcW w:w="1350" w:type="pc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7D13F3" w:rsidRPr="007C2731" w:rsidRDefault="00826F68" w:rsidP="00465CAC">
            <w:pPr>
              <w:rPr>
                <w:rFonts w:ascii="Times New Roman" w:hAnsi="Times New Roman" w:cs="Times New Roman"/>
                <w:b/>
                <w:bCs/>
                <w:sz w:val="14"/>
                <w:szCs w:val="14"/>
                <w:lang w:eastAsia="sk-SK"/>
              </w:rPr>
            </w:pPr>
            <w:r>
              <w:rPr>
                <w:rFonts w:ascii="Times New Roman" w:hAnsi="Times New Roman" w:cs="Times New Roman"/>
                <w:b/>
                <w:bCs/>
                <w:sz w:val="14"/>
                <w:szCs w:val="14"/>
                <w:lang w:eastAsia="sk-SK"/>
              </w:rPr>
              <w:t>Ministerstvo</w:t>
            </w:r>
            <w:r w:rsidR="007D13F3" w:rsidRPr="007C2731">
              <w:rPr>
                <w:rFonts w:ascii="Times New Roman" w:hAnsi="Times New Roman" w:cs="Times New Roman"/>
                <w:b/>
                <w:bCs/>
                <w:sz w:val="14"/>
                <w:szCs w:val="14"/>
                <w:lang w:eastAsia="sk-SK"/>
              </w:rPr>
              <w:t xml:space="preserve"> zdravotníctva SR</w:t>
            </w:r>
            <w:r w:rsidR="00160534">
              <w:rPr>
                <w:rFonts w:ascii="Times New Roman" w:hAnsi="Times New Roman" w:cs="Times New Roman"/>
                <w:b/>
                <w:bCs/>
                <w:sz w:val="14"/>
                <w:szCs w:val="14"/>
                <w:lang w:eastAsia="sk-SK"/>
              </w:rPr>
              <w:t>, z toho:</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1 473 822 458</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1 518 557 768</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1 371 173 921</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1 467 787 610</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1 396 249 702</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1 444 474 323</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1 501 488 845</w:t>
            </w:r>
          </w:p>
        </w:tc>
      </w:tr>
      <w:tr w:rsidR="007D13F3" w:rsidRPr="007C2731" w:rsidTr="00160534">
        <w:trPr>
          <w:trHeight w:hRule="exact" w:val="255"/>
        </w:trPr>
        <w:tc>
          <w:tcPr>
            <w:tcW w:w="1350"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160534" w:rsidP="00465CAC">
            <w:pPr>
              <w:rPr>
                <w:rFonts w:ascii="Times New Roman" w:hAnsi="Times New Roman" w:cs="Times New Roman"/>
                <w:b/>
                <w:bCs/>
                <w:sz w:val="14"/>
                <w:szCs w:val="14"/>
                <w:lang w:eastAsia="sk-SK"/>
              </w:rPr>
            </w:pPr>
            <w:r>
              <w:rPr>
                <w:rFonts w:ascii="Times New Roman" w:hAnsi="Times New Roman" w:cs="Times New Roman"/>
                <w:b/>
                <w:bCs/>
                <w:sz w:val="14"/>
                <w:szCs w:val="14"/>
                <w:lang w:eastAsia="sk-SK"/>
              </w:rPr>
              <w:t>poistné platené štátom</w:t>
            </w:r>
            <w:r w:rsidR="007D13F3" w:rsidRPr="007C2731">
              <w:rPr>
                <w:rFonts w:ascii="Times New Roman" w:hAnsi="Times New Roman" w:cs="Times New Roman"/>
                <w:b/>
                <w:bCs/>
                <w:sz w:val="14"/>
                <w:szCs w:val="14"/>
                <w:lang w:eastAsia="sk-SK"/>
              </w:rPr>
              <w:t>*</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1 348 864 450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1 392 100 005</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1 205 592 088</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1 298 082 180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1 219 447 320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1 262 328 984</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1 317 271 116</w:t>
            </w:r>
          </w:p>
        </w:tc>
      </w:tr>
      <w:tr w:rsidR="007D13F3" w:rsidRPr="007C2731" w:rsidTr="00160534">
        <w:trPr>
          <w:trHeight w:hRule="exact" w:val="255"/>
        </w:trPr>
        <w:tc>
          <w:tcPr>
            <w:tcW w:w="1350"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príspevok na činnosť OS ZZS </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13 350 507</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13 799 748</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14 258 426</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14 446 326</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15 377 954</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15 805 803</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16 760 193</w:t>
            </w:r>
          </w:p>
        </w:tc>
      </w:tr>
      <w:tr w:rsidR="007D13F3" w:rsidRPr="007C2731" w:rsidTr="00160534">
        <w:trPr>
          <w:trHeight w:hRule="exact" w:val="255"/>
        </w:trPr>
        <w:tc>
          <w:tcPr>
            <w:tcW w:w="1350"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príspevok na činnosť NCZI</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15 639 166</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16 165 419</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16 702 728</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16 922 839</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18 014 175</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18 515 369</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19 633 369</w:t>
            </w:r>
          </w:p>
        </w:tc>
      </w:tr>
      <w:tr w:rsidR="007D13F3" w:rsidRPr="007C2731" w:rsidTr="00160534">
        <w:trPr>
          <w:trHeight w:hRule="exact" w:val="255"/>
        </w:trPr>
        <w:tc>
          <w:tcPr>
            <w:tcW w:w="1350"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 xml:space="preserve">výdavky kapitoly na činnosť </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57 340 625</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68 588 372</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134 620 679</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136 024 220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143 410 253</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147 824 167</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147 824 167</w:t>
            </w:r>
          </w:p>
        </w:tc>
      </w:tr>
      <w:tr w:rsidR="007D13F3" w:rsidRPr="007C2731" w:rsidTr="00160534">
        <w:trPr>
          <w:trHeight w:hRule="exact" w:val="255"/>
        </w:trPr>
        <w:tc>
          <w:tcPr>
            <w:tcW w:w="1350"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prostriedky EÚ</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4 113 811</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4 113 611</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730 979</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r>
      <w:tr w:rsidR="007D13F3" w:rsidRPr="007C2731" w:rsidTr="00160534">
        <w:trPr>
          <w:trHeight w:hRule="exact" w:val="255"/>
        </w:trPr>
        <w:tc>
          <w:tcPr>
            <w:tcW w:w="1350"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spolufinancovanie k zdrojom EÚ</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960 093</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615 178</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128 996</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r>
      <w:tr w:rsidR="007D13F3" w:rsidRPr="007C2731" w:rsidTr="00160534">
        <w:trPr>
          <w:trHeight w:hRule="exact" w:val="255"/>
        </w:trPr>
        <w:tc>
          <w:tcPr>
            <w:tcW w:w="1350"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presun z minulých rokov</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30 789 855</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23 175 435</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1 452 070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0</w:t>
            </w:r>
          </w:p>
        </w:tc>
      </w:tr>
    </w:tbl>
    <w:p w:rsidR="007D13F3" w:rsidRPr="00F811C6" w:rsidRDefault="007D13F3" w:rsidP="007D13F3">
      <w:pPr>
        <w:jc w:val="both"/>
        <w:rPr>
          <w:rFonts w:ascii="Times New Roman" w:hAnsi="Times New Roman"/>
          <w:bCs/>
          <w:sz w:val="14"/>
          <w:szCs w:val="14"/>
        </w:rPr>
      </w:pPr>
      <w:r>
        <w:rPr>
          <w:rFonts w:ascii="Times New Roman" w:hAnsi="Times New Roman"/>
          <w:bCs/>
          <w:sz w:val="14"/>
          <w:szCs w:val="14"/>
        </w:rPr>
        <w:t>*roky 2015,</w:t>
      </w:r>
      <w:r w:rsidR="00160534">
        <w:rPr>
          <w:rFonts w:ascii="Times New Roman" w:hAnsi="Times New Roman"/>
          <w:bCs/>
          <w:sz w:val="14"/>
          <w:szCs w:val="14"/>
        </w:rPr>
        <w:t xml:space="preserve"> </w:t>
      </w:r>
      <w:r>
        <w:rPr>
          <w:rFonts w:ascii="Times New Roman" w:hAnsi="Times New Roman"/>
          <w:bCs/>
          <w:sz w:val="14"/>
          <w:szCs w:val="14"/>
        </w:rPr>
        <w:t>2016 -</w:t>
      </w:r>
      <w:r w:rsidRPr="00F811C6">
        <w:rPr>
          <w:rFonts w:ascii="Times New Roman" w:hAnsi="Times New Roman"/>
          <w:bCs/>
          <w:sz w:val="14"/>
          <w:szCs w:val="14"/>
        </w:rPr>
        <w:t xml:space="preserve"> vrátane ročného zúčtovania (ro</w:t>
      </w:r>
      <w:r>
        <w:rPr>
          <w:rFonts w:ascii="Times New Roman" w:hAnsi="Times New Roman"/>
          <w:bCs/>
          <w:sz w:val="14"/>
          <w:szCs w:val="14"/>
        </w:rPr>
        <w:t>ky 2017</w:t>
      </w:r>
      <w:r w:rsidR="00160534">
        <w:rPr>
          <w:rFonts w:ascii="Times New Roman" w:hAnsi="Times New Roman"/>
          <w:bCs/>
          <w:sz w:val="14"/>
          <w:szCs w:val="14"/>
        </w:rPr>
        <w:t xml:space="preserve"> až </w:t>
      </w:r>
      <w:r>
        <w:rPr>
          <w:rFonts w:ascii="Times New Roman" w:hAnsi="Times New Roman"/>
          <w:bCs/>
          <w:sz w:val="14"/>
          <w:szCs w:val="14"/>
        </w:rPr>
        <w:t>2020</w:t>
      </w:r>
      <w:r w:rsidRPr="00F811C6">
        <w:rPr>
          <w:rFonts w:ascii="Times New Roman" w:hAnsi="Times New Roman"/>
          <w:bCs/>
          <w:sz w:val="14"/>
          <w:szCs w:val="14"/>
        </w:rPr>
        <w:t xml:space="preserve"> bez </w:t>
      </w:r>
      <w:r w:rsidR="00160534">
        <w:rPr>
          <w:rFonts w:ascii="Times New Roman" w:hAnsi="Times New Roman"/>
          <w:bCs/>
          <w:sz w:val="14"/>
          <w:szCs w:val="14"/>
        </w:rPr>
        <w:t>ročného zúčtovania</w:t>
      </w:r>
      <w:r w:rsidRPr="00F811C6">
        <w:rPr>
          <w:rFonts w:ascii="Times New Roman" w:hAnsi="Times New Roman"/>
          <w:bCs/>
          <w:sz w:val="14"/>
          <w:szCs w:val="14"/>
        </w:rPr>
        <w:t>)</w:t>
      </w:r>
    </w:p>
    <w:p w:rsidR="00160534" w:rsidRDefault="00160534" w:rsidP="007D13F3">
      <w:pPr>
        <w:ind w:firstLine="708"/>
        <w:jc w:val="both"/>
        <w:rPr>
          <w:rFonts w:ascii="Times New Roman" w:hAnsi="Times New Roman"/>
        </w:rPr>
      </w:pPr>
    </w:p>
    <w:p w:rsidR="007D13F3" w:rsidRDefault="007D13F3" w:rsidP="007D13F3">
      <w:pPr>
        <w:ind w:firstLine="708"/>
        <w:jc w:val="both"/>
        <w:rPr>
          <w:rFonts w:ascii="Times New Roman" w:hAnsi="Times New Roman"/>
        </w:rPr>
      </w:pPr>
      <w:r w:rsidRPr="00F811C6">
        <w:rPr>
          <w:rFonts w:ascii="Times New Roman" w:hAnsi="Times New Roman"/>
        </w:rPr>
        <w:t>Preddavky na poistné platené štátom, určené pre zákonom vymedzené kategórie osôb, na ro</w:t>
      </w:r>
      <w:r>
        <w:rPr>
          <w:rFonts w:ascii="Times New Roman" w:hAnsi="Times New Roman"/>
        </w:rPr>
        <w:t>k 2018 sa rozpočtujú v sume 1,22</w:t>
      </w:r>
      <w:r w:rsidRPr="00F811C6">
        <w:rPr>
          <w:rFonts w:ascii="Times New Roman" w:hAnsi="Times New Roman"/>
        </w:rPr>
        <w:t xml:space="preserve"> mld. eur. </w:t>
      </w:r>
      <w:r>
        <w:rPr>
          <w:rFonts w:ascii="Times New Roman" w:hAnsi="Times New Roman"/>
        </w:rPr>
        <w:t xml:space="preserve"> Na rok 2019</w:t>
      </w:r>
      <w:r w:rsidRPr="00F811C6">
        <w:rPr>
          <w:rFonts w:ascii="Times New Roman" w:hAnsi="Times New Roman"/>
        </w:rPr>
        <w:t xml:space="preserve"> sa poistné plate</w:t>
      </w:r>
      <w:r>
        <w:rPr>
          <w:rFonts w:ascii="Times New Roman" w:hAnsi="Times New Roman"/>
        </w:rPr>
        <w:t>né štátom navrhuje vo výške 1,26</w:t>
      </w:r>
      <w:r w:rsidRPr="00F811C6">
        <w:rPr>
          <w:rFonts w:ascii="Times New Roman" w:hAnsi="Times New Roman"/>
        </w:rPr>
        <w:t> mld.</w:t>
      </w:r>
      <w:r>
        <w:rPr>
          <w:rFonts w:ascii="Times New Roman" w:hAnsi="Times New Roman"/>
        </w:rPr>
        <w:t xml:space="preserve"> eur a na rok 2020 na úrovni 1,32</w:t>
      </w:r>
      <w:r w:rsidRPr="00F811C6">
        <w:rPr>
          <w:rFonts w:ascii="Times New Roman" w:hAnsi="Times New Roman"/>
        </w:rPr>
        <w:t> mld. eur. Predpokladaný poče</w:t>
      </w:r>
      <w:r>
        <w:rPr>
          <w:rFonts w:ascii="Times New Roman" w:hAnsi="Times New Roman"/>
        </w:rPr>
        <w:t>t poistencov štátu v rokoch 2018 až 2020 sa odhaduje na úrovni 3 00</w:t>
      </w:r>
      <w:r w:rsidRPr="00F811C6">
        <w:rPr>
          <w:rFonts w:ascii="Times New Roman" w:hAnsi="Times New Roman"/>
        </w:rPr>
        <w:t>0 000 osôb</w:t>
      </w:r>
      <w:r>
        <w:rPr>
          <w:rFonts w:ascii="Times New Roman" w:hAnsi="Times New Roman"/>
        </w:rPr>
        <w:t xml:space="preserve">. </w:t>
      </w:r>
    </w:p>
    <w:p w:rsidR="007D13F3" w:rsidRDefault="007D13F3" w:rsidP="007D13F3">
      <w:pPr>
        <w:ind w:firstLine="708"/>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2447"/>
        <w:gridCol w:w="945"/>
        <w:gridCol w:w="945"/>
        <w:gridCol w:w="945"/>
        <w:gridCol w:w="945"/>
        <w:gridCol w:w="945"/>
        <w:gridCol w:w="945"/>
        <w:gridCol w:w="945"/>
      </w:tblGrid>
      <w:tr w:rsidR="007D13F3" w:rsidRPr="007C2731" w:rsidTr="00465CAC">
        <w:trPr>
          <w:trHeight w:val="255"/>
        </w:trPr>
        <w:tc>
          <w:tcPr>
            <w:tcW w:w="167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7C2731" w:rsidRDefault="007D13F3" w:rsidP="00465CAC">
            <w:pP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v eurách</w:t>
            </w:r>
          </w:p>
        </w:tc>
        <w:tc>
          <w:tcPr>
            <w:tcW w:w="519"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2015 S</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2016 S</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2017 R</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2017 OS</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2018 N</w:t>
            </w:r>
          </w:p>
        </w:tc>
        <w:tc>
          <w:tcPr>
            <w:tcW w:w="444"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2019 N</w:t>
            </w:r>
          </w:p>
        </w:tc>
        <w:tc>
          <w:tcPr>
            <w:tcW w:w="43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7C2731" w:rsidRDefault="007D13F3" w:rsidP="00465CAC">
            <w:pPr>
              <w:jc w:val="center"/>
              <w:rPr>
                <w:rFonts w:ascii="Times New Roman" w:hAnsi="Times New Roman" w:cs="Times New Roman"/>
                <w:b/>
                <w:bCs/>
                <w:color w:val="000000"/>
                <w:sz w:val="14"/>
                <w:szCs w:val="14"/>
                <w:lang w:eastAsia="sk-SK"/>
              </w:rPr>
            </w:pPr>
            <w:r w:rsidRPr="007C2731">
              <w:rPr>
                <w:rFonts w:ascii="Times New Roman" w:hAnsi="Times New Roman" w:cs="Times New Roman"/>
                <w:b/>
                <w:bCs/>
                <w:color w:val="000000"/>
                <w:sz w:val="14"/>
                <w:szCs w:val="14"/>
                <w:lang w:eastAsia="sk-SK"/>
              </w:rPr>
              <w:t>2020 N</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000000" w:fill="D9D9D9"/>
            <w:vAlign w:val="bottom"/>
            <w:hideMark/>
          </w:tcPr>
          <w:p w:rsidR="007D13F3" w:rsidRPr="007C2731" w:rsidRDefault="007D13F3" w:rsidP="008E30EC">
            <w:pP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Poistné platené štátom na verejné zdravotné poistenie</w:t>
            </w:r>
          </w:p>
        </w:tc>
        <w:tc>
          <w:tcPr>
            <w:tcW w:w="519" w:type="pct"/>
            <w:tcBorders>
              <w:top w:val="nil"/>
              <w:left w:val="nil"/>
              <w:bottom w:val="single" w:sz="4" w:space="0" w:color="auto"/>
              <w:right w:val="single" w:sz="4" w:space="0" w:color="auto"/>
            </w:tcBorders>
            <w:shd w:val="clear" w:color="000000" w:fill="D9D9D9"/>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1 348 864 450</w:t>
            </w:r>
          </w:p>
        </w:tc>
        <w:tc>
          <w:tcPr>
            <w:tcW w:w="486" w:type="pct"/>
            <w:tcBorders>
              <w:top w:val="nil"/>
              <w:left w:val="nil"/>
              <w:bottom w:val="single" w:sz="4" w:space="0" w:color="auto"/>
              <w:right w:val="single" w:sz="4" w:space="0" w:color="auto"/>
            </w:tcBorders>
            <w:shd w:val="clear" w:color="000000" w:fill="D9D9D9"/>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1 392 100 005</w:t>
            </w:r>
          </w:p>
        </w:tc>
        <w:tc>
          <w:tcPr>
            <w:tcW w:w="486" w:type="pct"/>
            <w:tcBorders>
              <w:top w:val="nil"/>
              <w:left w:val="nil"/>
              <w:bottom w:val="single" w:sz="4" w:space="0" w:color="auto"/>
              <w:right w:val="single" w:sz="4" w:space="0" w:color="auto"/>
            </w:tcBorders>
            <w:shd w:val="clear" w:color="000000" w:fill="D9D9D9"/>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1 226 297 874</w:t>
            </w:r>
          </w:p>
        </w:tc>
        <w:tc>
          <w:tcPr>
            <w:tcW w:w="469" w:type="pct"/>
            <w:tcBorders>
              <w:top w:val="nil"/>
              <w:left w:val="nil"/>
              <w:bottom w:val="single" w:sz="4" w:space="0" w:color="auto"/>
              <w:right w:val="single" w:sz="4" w:space="0" w:color="auto"/>
            </w:tcBorders>
            <w:shd w:val="clear" w:color="000000" w:fill="D9D9D9"/>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1 326 796 577</w:t>
            </w:r>
          </w:p>
        </w:tc>
        <w:tc>
          <w:tcPr>
            <w:tcW w:w="486" w:type="pct"/>
            <w:tcBorders>
              <w:top w:val="nil"/>
              <w:left w:val="nil"/>
              <w:bottom w:val="single" w:sz="4" w:space="0" w:color="auto"/>
              <w:right w:val="single" w:sz="4" w:space="0" w:color="auto"/>
            </w:tcBorders>
            <w:shd w:val="clear" w:color="000000" w:fill="D9D9D9"/>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1 241 870 019</w:t>
            </w:r>
          </w:p>
        </w:tc>
        <w:tc>
          <w:tcPr>
            <w:tcW w:w="444" w:type="pct"/>
            <w:tcBorders>
              <w:top w:val="nil"/>
              <w:left w:val="nil"/>
              <w:bottom w:val="single" w:sz="4" w:space="0" w:color="auto"/>
              <w:right w:val="single" w:sz="4" w:space="0" w:color="auto"/>
            </w:tcBorders>
            <w:shd w:val="clear" w:color="000000" w:fill="D9D9D9"/>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1 285 172 686</w:t>
            </w:r>
          </w:p>
        </w:tc>
        <w:tc>
          <w:tcPr>
            <w:tcW w:w="436" w:type="pct"/>
            <w:tcBorders>
              <w:top w:val="nil"/>
              <w:left w:val="nil"/>
              <w:bottom w:val="single" w:sz="4" w:space="0" w:color="auto"/>
              <w:right w:val="single" w:sz="4" w:space="0" w:color="auto"/>
            </w:tcBorders>
            <w:shd w:val="clear" w:color="000000" w:fill="D9D9D9"/>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1 340 114 818</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000000" w:fill="D9D9D9"/>
            <w:vAlign w:val="bottom"/>
            <w:hideMark/>
          </w:tcPr>
          <w:p w:rsidR="007D13F3" w:rsidRPr="007C2731" w:rsidRDefault="007D13F3" w:rsidP="00465CAC">
            <w:pP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 xml:space="preserve">Preddavky na poistné platené štátom </w:t>
            </w:r>
          </w:p>
        </w:tc>
        <w:tc>
          <w:tcPr>
            <w:tcW w:w="519" w:type="pct"/>
            <w:tcBorders>
              <w:top w:val="nil"/>
              <w:left w:val="nil"/>
              <w:bottom w:val="single" w:sz="4" w:space="0" w:color="auto"/>
              <w:right w:val="single" w:sz="4" w:space="0" w:color="auto"/>
            </w:tcBorders>
            <w:shd w:val="clear" w:color="000000" w:fill="D9D9D9"/>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1 332 798 582</w:t>
            </w:r>
          </w:p>
        </w:tc>
        <w:tc>
          <w:tcPr>
            <w:tcW w:w="486" w:type="pct"/>
            <w:tcBorders>
              <w:top w:val="nil"/>
              <w:left w:val="nil"/>
              <w:bottom w:val="single" w:sz="4" w:space="0" w:color="auto"/>
              <w:right w:val="single" w:sz="4" w:space="0" w:color="auto"/>
            </w:tcBorders>
            <w:shd w:val="clear" w:color="000000" w:fill="D9D9D9"/>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1 355 219 743</w:t>
            </w:r>
          </w:p>
        </w:tc>
        <w:tc>
          <w:tcPr>
            <w:tcW w:w="486" w:type="pct"/>
            <w:tcBorders>
              <w:top w:val="nil"/>
              <w:left w:val="nil"/>
              <w:bottom w:val="single" w:sz="4" w:space="0" w:color="auto"/>
              <w:right w:val="single" w:sz="4" w:space="0" w:color="auto"/>
            </w:tcBorders>
            <w:shd w:val="clear" w:color="000000" w:fill="D9D9D9"/>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1 205 592 088</w:t>
            </w:r>
          </w:p>
        </w:tc>
        <w:tc>
          <w:tcPr>
            <w:tcW w:w="469" w:type="pct"/>
            <w:tcBorders>
              <w:top w:val="nil"/>
              <w:left w:val="nil"/>
              <w:bottom w:val="single" w:sz="4" w:space="0" w:color="auto"/>
              <w:right w:val="single" w:sz="4" w:space="0" w:color="auto"/>
            </w:tcBorders>
            <w:shd w:val="clear" w:color="000000" w:fill="D9D9D9"/>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1 298 082 180</w:t>
            </w:r>
          </w:p>
        </w:tc>
        <w:tc>
          <w:tcPr>
            <w:tcW w:w="486" w:type="pct"/>
            <w:tcBorders>
              <w:top w:val="nil"/>
              <w:left w:val="nil"/>
              <w:bottom w:val="single" w:sz="4" w:space="0" w:color="auto"/>
              <w:right w:val="single" w:sz="4" w:space="0" w:color="auto"/>
            </w:tcBorders>
            <w:shd w:val="clear" w:color="000000" w:fill="D9D9D9"/>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1 219 447 320</w:t>
            </w:r>
          </w:p>
        </w:tc>
        <w:tc>
          <w:tcPr>
            <w:tcW w:w="444" w:type="pct"/>
            <w:tcBorders>
              <w:top w:val="nil"/>
              <w:left w:val="nil"/>
              <w:bottom w:val="single" w:sz="4" w:space="0" w:color="auto"/>
              <w:right w:val="single" w:sz="4" w:space="0" w:color="auto"/>
            </w:tcBorders>
            <w:shd w:val="clear" w:color="000000" w:fill="D9D9D9"/>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1 262 328 984</w:t>
            </w:r>
          </w:p>
        </w:tc>
        <w:tc>
          <w:tcPr>
            <w:tcW w:w="436" w:type="pct"/>
            <w:tcBorders>
              <w:top w:val="nil"/>
              <w:left w:val="nil"/>
              <w:bottom w:val="single" w:sz="4" w:space="0" w:color="auto"/>
              <w:right w:val="single" w:sz="4" w:space="0" w:color="auto"/>
            </w:tcBorders>
            <w:shd w:val="clear" w:color="000000" w:fill="D9D9D9"/>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1 317 271 116</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Ročné zúčtovanie poistného v danom roku</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16 065 868</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36 880 262</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20 705 786</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28 714 397</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22 422 699</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22 843 702</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b/>
                <w:bCs/>
                <w:sz w:val="14"/>
                <w:szCs w:val="14"/>
                <w:lang w:eastAsia="sk-SK"/>
              </w:rPr>
            </w:pPr>
            <w:r w:rsidRPr="007C2731">
              <w:rPr>
                <w:rFonts w:ascii="Times New Roman" w:hAnsi="Times New Roman" w:cs="Times New Roman"/>
                <w:b/>
                <w:bCs/>
                <w:sz w:val="14"/>
                <w:szCs w:val="14"/>
                <w:lang w:eastAsia="sk-SK"/>
              </w:rPr>
              <w:t>22 843 702</w:t>
            </w:r>
          </w:p>
        </w:tc>
      </w:tr>
      <w:tr w:rsidR="007D13F3" w:rsidRPr="007C2731" w:rsidTr="00465CAC">
        <w:trPr>
          <w:trHeight w:val="255"/>
        </w:trPr>
        <w:tc>
          <w:tcPr>
            <w:tcW w:w="1675" w:type="pct"/>
            <w:tcBorders>
              <w:top w:val="nil"/>
              <w:left w:val="single" w:sz="4" w:space="0" w:color="auto"/>
              <w:bottom w:val="single" w:sz="4" w:space="0" w:color="auto"/>
              <w:right w:val="single" w:sz="4" w:space="0" w:color="auto"/>
            </w:tcBorders>
            <w:shd w:val="clear" w:color="auto" w:fill="auto"/>
            <w:vAlign w:val="bottom"/>
            <w:hideMark/>
          </w:tcPr>
          <w:p w:rsidR="007D13F3" w:rsidRPr="007C2731" w:rsidRDefault="007D13F3" w:rsidP="00465CAC">
            <w:pPr>
              <w:rPr>
                <w:rFonts w:ascii="Times New Roman" w:hAnsi="Times New Roman" w:cs="Times New Roman"/>
                <w:sz w:val="14"/>
                <w:szCs w:val="14"/>
                <w:lang w:eastAsia="sk-SK"/>
              </w:rPr>
            </w:pPr>
            <w:r w:rsidRPr="007C2731">
              <w:rPr>
                <w:rFonts w:ascii="Times New Roman" w:hAnsi="Times New Roman" w:cs="Times New Roman"/>
                <w:sz w:val="14"/>
                <w:szCs w:val="14"/>
                <w:lang w:eastAsia="sk-SK"/>
              </w:rPr>
              <w:t>Počet poistencov</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3 075 925</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3 025 943</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3 010 000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3 010 000</w:t>
            </w:r>
          </w:p>
        </w:tc>
        <w:tc>
          <w:tcPr>
            <w:tcW w:w="48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3 000 000</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3 000 000</w:t>
            </w:r>
          </w:p>
        </w:tc>
        <w:tc>
          <w:tcPr>
            <w:tcW w:w="436" w:type="pct"/>
            <w:tcBorders>
              <w:top w:val="nil"/>
              <w:left w:val="nil"/>
              <w:bottom w:val="single" w:sz="4" w:space="0" w:color="auto"/>
              <w:right w:val="single" w:sz="4" w:space="0" w:color="auto"/>
            </w:tcBorders>
            <w:shd w:val="clear" w:color="auto" w:fill="auto"/>
            <w:noWrap/>
            <w:vAlign w:val="bottom"/>
            <w:hideMark/>
          </w:tcPr>
          <w:p w:rsidR="007D13F3" w:rsidRPr="007C2731" w:rsidRDefault="007D13F3" w:rsidP="00465CAC">
            <w:pPr>
              <w:jc w:val="right"/>
              <w:rPr>
                <w:rFonts w:ascii="Times New Roman" w:hAnsi="Times New Roman" w:cs="Times New Roman"/>
                <w:sz w:val="14"/>
                <w:szCs w:val="14"/>
                <w:lang w:eastAsia="sk-SK"/>
              </w:rPr>
            </w:pPr>
            <w:r w:rsidRPr="007C2731">
              <w:rPr>
                <w:rFonts w:ascii="Times New Roman" w:hAnsi="Times New Roman" w:cs="Times New Roman"/>
                <w:sz w:val="14"/>
                <w:szCs w:val="14"/>
                <w:lang w:eastAsia="sk-SK"/>
              </w:rPr>
              <w:t>3 000 000</w:t>
            </w:r>
          </w:p>
        </w:tc>
      </w:tr>
    </w:tbl>
    <w:p w:rsidR="007D13F3" w:rsidRPr="00F811C6" w:rsidRDefault="007D13F3" w:rsidP="007D13F3">
      <w:pPr>
        <w:jc w:val="both"/>
        <w:rPr>
          <w:rFonts w:ascii="Times New Roman" w:hAnsi="Times New Roman"/>
          <w:bCs/>
          <w:sz w:val="14"/>
          <w:szCs w:val="14"/>
        </w:rPr>
      </w:pPr>
      <w:r w:rsidRPr="00F811C6">
        <w:rPr>
          <w:rFonts w:ascii="Times New Roman" w:hAnsi="Times New Roman"/>
          <w:bCs/>
          <w:sz w:val="14"/>
          <w:szCs w:val="14"/>
        </w:rPr>
        <w:t>*r</w:t>
      </w:r>
      <w:r>
        <w:rPr>
          <w:rFonts w:ascii="Times New Roman" w:hAnsi="Times New Roman"/>
          <w:bCs/>
          <w:sz w:val="14"/>
          <w:szCs w:val="14"/>
        </w:rPr>
        <w:t>očné zúčtovanie je v rokoch 2017</w:t>
      </w:r>
      <w:r w:rsidR="00160534">
        <w:rPr>
          <w:rFonts w:ascii="Times New Roman" w:hAnsi="Times New Roman"/>
          <w:bCs/>
          <w:sz w:val="14"/>
          <w:szCs w:val="14"/>
        </w:rPr>
        <w:t xml:space="preserve"> až </w:t>
      </w:r>
      <w:r>
        <w:rPr>
          <w:rFonts w:ascii="Times New Roman" w:hAnsi="Times New Roman"/>
          <w:bCs/>
          <w:sz w:val="14"/>
          <w:szCs w:val="14"/>
        </w:rPr>
        <w:t>2020</w:t>
      </w:r>
      <w:r w:rsidRPr="00F811C6">
        <w:rPr>
          <w:rFonts w:ascii="Times New Roman" w:hAnsi="Times New Roman"/>
          <w:bCs/>
          <w:sz w:val="14"/>
          <w:szCs w:val="14"/>
        </w:rPr>
        <w:t xml:space="preserve"> rozpočtované v kapitole VPS</w:t>
      </w:r>
    </w:p>
    <w:p w:rsidR="007D13F3" w:rsidRPr="00F811C6" w:rsidRDefault="007D13F3" w:rsidP="007D13F3">
      <w:pPr>
        <w:ind w:firstLine="708"/>
        <w:jc w:val="both"/>
        <w:rPr>
          <w:rFonts w:ascii="Times New Roman" w:hAnsi="Times New Roman"/>
        </w:rPr>
      </w:pPr>
    </w:p>
    <w:p w:rsidR="007D13F3" w:rsidRPr="00F811C6" w:rsidRDefault="007D13F3" w:rsidP="007D13F3">
      <w:pPr>
        <w:ind w:firstLine="708"/>
        <w:jc w:val="both"/>
        <w:rPr>
          <w:rFonts w:ascii="Times New Roman" w:hAnsi="Times New Roman"/>
        </w:rPr>
      </w:pPr>
      <w:r w:rsidRPr="00F811C6">
        <w:rPr>
          <w:rFonts w:ascii="Times New Roman" w:hAnsi="Times New Roman"/>
        </w:rPr>
        <w:t xml:space="preserve">Príspevok na činnosť operačných stredísk záchrannej zdravotnej služby (ďalej len </w:t>
      </w:r>
      <w:r w:rsidR="00160534">
        <w:rPr>
          <w:rFonts w:ascii="Times New Roman" w:hAnsi="Times New Roman"/>
        </w:rPr>
        <w:br/>
      </w:r>
      <w:r w:rsidRPr="00F811C6">
        <w:rPr>
          <w:rFonts w:ascii="Times New Roman" w:hAnsi="Times New Roman"/>
        </w:rPr>
        <w:t>„OS ZZS“) poukazujú zdravotné poisťovne v súlade so zákonom č. 581/2004 Z. z. o zdravotných poisťovniach a dohľade nad zdravotnou starostlivosťou na účet Ministerstva zdravotníctva SR do 20. decembra kalendárneho roka. Výška sadzby na výpočet prís</w:t>
      </w:r>
      <w:r>
        <w:rPr>
          <w:rFonts w:ascii="Times New Roman" w:hAnsi="Times New Roman"/>
        </w:rPr>
        <w:t>pevku je rovnaká ako v roku 2017</w:t>
      </w:r>
      <w:r w:rsidRPr="00F811C6">
        <w:rPr>
          <w:rFonts w:ascii="Times New Roman" w:hAnsi="Times New Roman"/>
        </w:rPr>
        <w:t xml:space="preserve">, a to 0,35 % z vymeriavacieho základu. Na činnosť Národného centra zdravotníckych informácií (ďalej len „NCZI“) </w:t>
      </w:r>
      <w:r>
        <w:rPr>
          <w:rFonts w:ascii="Times New Roman" w:hAnsi="Times New Roman"/>
        </w:rPr>
        <w:t xml:space="preserve">je stanovená </w:t>
      </w:r>
      <w:r w:rsidRPr="00F811C6">
        <w:rPr>
          <w:rFonts w:ascii="Times New Roman" w:hAnsi="Times New Roman"/>
        </w:rPr>
        <w:t xml:space="preserve">výška sadzby na výpočet príspevku 0,41 % z vymeriavacieho základu. </w:t>
      </w:r>
    </w:p>
    <w:p w:rsidR="007D13F3" w:rsidRPr="00F811C6" w:rsidRDefault="007D13F3" w:rsidP="007D13F3">
      <w:pPr>
        <w:jc w:val="both"/>
        <w:rPr>
          <w:rFonts w:ascii="Times New Roman" w:hAnsi="Times New Roman"/>
        </w:rPr>
      </w:pPr>
    </w:p>
    <w:p w:rsidR="007D13F3" w:rsidRPr="00F811C6" w:rsidRDefault="007D13F3" w:rsidP="007D13F3">
      <w:pPr>
        <w:ind w:firstLine="708"/>
        <w:jc w:val="both"/>
        <w:rPr>
          <w:rFonts w:ascii="Times New Roman" w:hAnsi="Times New Roman"/>
        </w:rPr>
      </w:pPr>
      <w:r w:rsidRPr="00F811C6">
        <w:rPr>
          <w:rFonts w:ascii="Times New Roman" w:hAnsi="Times New Roman"/>
        </w:rPr>
        <w:lastRenderedPageBreak/>
        <w:t>Rozpočtovaný príspevok na</w:t>
      </w:r>
      <w:r>
        <w:rPr>
          <w:rFonts w:ascii="Times New Roman" w:hAnsi="Times New Roman"/>
        </w:rPr>
        <w:t xml:space="preserve"> financovanie OS ZZS na rok 2018 v sume 15</w:t>
      </w:r>
      <w:r w:rsidRPr="00F811C6">
        <w:rPr>
          <w:rFonts w:ascii="Times New Roman" w:hAnsi="Times New Roman"/>
        </w:rPr>
        <w:t>,</w:t>
      </w:r>
      <w:r>
        <w:rPr>
          <w:rFonts w:ascii="Times New Roman" w:hAnsi="Times New Roman"/>
        </w:rPr>
        <w:t>4 mil. eur medziročne rastie o 1,1 mil. eur. Na rok 2019 sa navrhuje príspevok v sume 15,8 mil. eur a na rok 2020 v sume 16,8</w:t>
      </w:r>
      <w:r w:rsidRPr="00F811C6">
        <w:rPr>
          <w:rFonts w:ascii="Times New Roman" w:hAnsi="Times New Roman"/>
        </w:rPr>
        <w:t> mil. eur.</w:t>
      </w:r>
    </w:p>
    <w:p w:rsidR="007D13F3" w:rsidRPr="00F811C6" w:rsidRDefault="007D13F3" w:rsidP="007D13F3">
      <w:pPr>
        <w:ind w:firstLine="708"/>
        <w:jc w:val="both"/>
        <w:rPr>
          <w:rFonts w:ascii="Times New Roman" w:hAnsi="Times New Roman"/>
        </w:rPr>
      </w:pPr>
    </w:p>
    <w:p w:rsidR="007D13F3" w:rsidRPr="00F811C6" w:rsidRDefault="007D13F3" w:rsidP="007D13F3">
      <w:pPr>
        <w:ind w:firstLine="708"/>
        <w:jc w:val="both"/>
        <w:rPr>
          <w:rFonts w:ascii="Times New Roman" w:hAnsi="Times New Roman"/>
        </w:rPr>
      </w:pPr>
      <w:r w:rsidRPr="00F811C6">
        <w:rPr>
          <w:rFonts w:ascii="Times New Roman" w:hAnsi="Times New Roman"/>
        </w:rPr>
        <w:t xml:space="preserve"> Rozpočtovaný príspevok </w:t>
      </w:r>
      <w:r>
        <w:rPr>
          <w:rFonts w:ascii="Times New Roman" w:hAnsi="Times New Roman"/>
        </w:rPr>
        <w:t>na financovanie NCZI na rok 2018 v sume 18</w:t>
      </w:r>
      <w:r w:rsidR="004B3B69">
        <w:rPr>
          <w:rFonts w:ascii="Times New Roman" w:hAnsi="Times New Roman"/>
        </w:rPr>
        <w:t>,0</w:t>
      </w:r>
      <w:r w:rsidRPr="00F811C6">
        <w:rPr>
          <w:rFonts w:ascii="Times New Roman" w:hAnsi="Times New Roman"/>
        </w:rPr>
        <w:t> mil. e</w:t>
      </w:r>
      <w:r>
        <w:rPr>
          <w:rFonts w:ascii="Times New Roman" w:hAnsi="Times New Roman"/>
        </w:rPr>
        <w:t>ur medziročne rastie o 1,</w:t>
      </w:r>
      <w:r w:rsidR="005304E7">
        <w:rPr>
          <w:rFonts w:ascii="Times New Roman" w:hAnsi="Times New Roman"/>
        </w:rPr>
        <w:t>3</w:t>
      </w:r>
      <w:r>
        <w:rPr>
          <w:rFonts w:ascii="Times New Roman" w:hAnsi="Times New Roman"/>
        </w:rPr>
        <w:t xml:space="preserve"> mil. eur. Na rok 2019 sa navrhuje príspevok v sume 18,5 mil. eur a na rok 2020 v sume 19,6</w:t>
      </w:r>
      <w:r w:rsidRPr="00F811C6">
        <w:rPr>
          <w:rFonts w:ascii="Times New Roman" w:hAnsi="Times New Roman"/>
        </w:rPr>
        <w:t> mil. eur.</w:t>
      </w:r>
    </w:p>
    <w:p w:rsidR="007D13F3" w:rsidRPr="00F811C6" w:rsidRDefault="007D13F3" w:rsidP="007D13F3">
      <w:pPr>
        <w:ind w:firstLine="708"/>
        <w:jc w:val="both"/>
        <w:rPr>
          <w:rFonts w:ascii="Times New Roman" w:hAnsi="Times New Roman"/>
        </w:rPr>
      </w:pPr>
    </w:p>
    <w:p w:rsidR="007D13F3" w:rsidRPr="00F811C6" w:rsidRDefault="007D13F3" w:rsidP="007D13F3">
      <w:pPr>
        <w:ind w:firstLine="708"/>
        <w:jc w:val="both"/>
        <w:rPr>
          <w:rFonts w:ascii="Times New Roman" w:hAnsi="Times New Roman"/>
        </w:rPr>
      </w:pPr>
      <w:r w:rsidRPr="00F811C6">
        <w:rPr>
          <w:rFonts w:ascii="Times New Roman" w:hAnsi="Times New Roman"/>
        </w:rPr>
        <w:t>Výdavky Ministerstva zdravotníctva SR z rozpočtových prostriedkov kapitoly, bez poistného plateného štátom, príspevkov pre OS ZZS a</w:t>
      </w:r>
      <w:r w:rsidR="008E30EC">
        <w:rPr>
          <w:rFonts w:ascii="Times New Roman" w:hAnsi="Times New Roman"/>
        </w:rPr>
        <w:t> </w:t>
      </w:r>
      <w:r w:rsidRPr="00F811C6">
        <w:rPr>
          <w:rFonts w:ascii="Times New Roman" w:hAnsi="Times New Roman"/>
        </w:rPr>
        <w:t>NCZI</w:t>
      </w:r>
      <w:r w:rsidR="008E30EC">
        <w:rPr>
          <w:rFonts w:ascii="Times New Roman" w:hAnsi="Times New Roman"/>
        </w:rPr>
        <w:t>,</w:t>
      </w:r>
      <w:r w:rsidRPr="00F811C6">
        <w:rPr>
          <w:rFonts w:ascii="Times New Roman" w:hAnsi="Times New Roman"/>
        </w:rPr>
        <w:t xml:space="preserve"> sa na rok</w:t>
      </w:r>
      <w:r>
        <w:rPr>
          <w:rFonts w:ascii="Times New Roman" w:hAnsi="Times New Roman"/>
        </w:rPr>
        <w:t xml:space="preserve"> 2018 predpokladajú na úrovni 143,4 mil. eur, čo predstavuje nárast</w:t>
      </w:r>
      <w:r w:rsidRPr="00F811C6">
        <w:rPr>
          <w:rFonts w:ascii="Times New Roman" w:hAnsi="Times New Roman"/>
        </w:rPr>
        <w:t xml:space="preserve"> oprot</w:t>
      </w:r>
      <w:r>
        <w:rPr>
          <w:rFonts w:ascii="Times New Roman" w:hAnsi="Times New Roman"/>
        </w:rPr>
        <w:t>i schválenému rozpočtu roku 2017</w:t>
      </w:r>
      <w:r w:rsidRPr="00F811C6">
        <w:rPr>
          <w:rFonts w:ascii="Times New Roman" w:hAnsi="Times New Roman"/>
        </w:rPr>
        <w:t xml:space="preserve">  </w:t>
      </w:r>
      <w:r>
        <w:rPr>
          <w:rFonts w:ascii="Times New Roman" w:hAnsi="Times New Roman"/>
        </w:rPr>
        <w:br/>
        <w:t>o 8,8</w:t>
      </w:r>
      <w:r w:rsidRPr="00F811C6">
        <w:rPr>
          <w:rFonts w:ascii="Times New Roman" w:hAnsi="Times New Roman"/>
        </w:rPr>
        <w:t xml:space="preserve"> mil</w:t>
      </w:r>
      <w:r>
        <w:rPr>
          <w:rFonts w:ascii="Times New Roman" w:hAnsi="Times New Roman"/>
        </w:rPr>
        <w:t>. eur, t. j. o 6,5 %. Uvedený nárast je spôsobený navýšením výdavkov na realizáciu strategického a projektového riadenia určeného pre efektívnejšie zdravotníctvo.</w:t>
      </w:r>
    </w:p>
    <w:p w:rsidR="007D13F3" w:rsidRDefault="007D13F3" w:rsidP="007D13F3">
      <w:pPr>
        <w:ind w:firstLine="709"/>
        <w:jc w:val="both"/>
        <w:rPr>
          <w:rFonts w:ascii="Times New Roman" w:hAnsi="Times New Roman"/>
        </w:rPr>
      </w:pPr>
    </w:p>
    <w:p w:rsidR="007D13F3" w:rsidRDefault="007D13F3" w:rsidP="007D13F3">
      <w:pPr>
        <w:ind w:firstLine="709"/>
        <w:jc w:val="both"/>
        <w:rPr>
          <w:rFonts w:ascii="Times New Roman" w:hAnsi="Times New Roman"/>
        </w:rPr>
      </w:pPr>
      <w:r>
        <w:rPr>
          <w:rFonts w:ascii="Times New Roman" w:hAnsi="Times New Roman"/>
        </w:rPr>
        <w:t>Kapitola na roky 2018</w:t>
      </w:r>
      <w:r w:rsidR="00160534">
        <w:rPr>
          <w:rFonts w:ascii="Times New Roman" w:hAnsi="Times New Roman"/>
        </w:rPr>
        <w:t xml:space="preserve"> až </w:t>
      </w:r>
      <w:r>
        <w:rPr>
          <w:rFonts w:ascii="Times New Roman" w:hAnsi="Times New Roman"/>
        </w:rPr>
        <w:t>2020 nerozpočtuje prostriedky na samostatných účtoch.</w:t>
      </w:r>
    </w:p>
    <w:p w:rsidR="007D13F3" w:rsidRPr="00F811C6" w:rsidRDefault="007D13F3" w:rsidP="007D13F3">
      <w:pPr>
        <w:jc w:val="both"/>
        <w:rPr>
          <w:rFonts w:ascii="Times New Roman" w:hAnsi="Times New Roman"/>
        </w:rPr>
      </w:pPr>
    </w:p>
    <w:p w:rsidR="007D13F3" w:rsidRPr="00F811C6" w:rsidRDefault="007D13F3" w:rsidP="007D13F3">
      <w:pPr>
        <w:ind w:firstLine="709"/>
        <w:jc w:val="both"/>
        <w:rPr>
          <w:rFonts w:ascii="Times New Roman" w:hAnsi="Times New Roman"/>
        </w:rPr>
      </w:pPr>
      <w:r w:rsidRPr="00F811C6">
        <w:rPr>
          <w:rFonts w:ascii="Times New Roman" w:hAnsi="Times New Roman"/>
        </w:rPr>
        <w:t>Nasledujúca tabuľka zobrazuje výdavky Ministerstva zdravotníctva SR z rozpočtových prostriedkov kapitoly na jednotlivé oblasti.</w:t>
      </w:r>
    </w:p>
    <w:p w:rsidR="007D13F3" w:rsidRDefault="007D13F3" w:rsidP="007D13F3">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3042"/>
        <w:gridCol w:w="922"/>
        <w:gridCol w:w="862"/>
        <w:gridCol w:w="862"/>
        <w:gridCol w:w="840"/>
        <w:gridCol w:w="854"/>
        <w:gridCol w:w="840"/>
        <w:gridCol w:w="840"/>
      </w:tblGrid>
      <w:tr w:rsidR="007D13F3" w:rsidRPr="00626EE7" w:rsidTr="00465CAC">
        <w:trPr>
          <w:trHeight w:val="255"/>
        </w:trPr>
        <w:tc>
          <w:tcPr>
            <w:tcW w:w="167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626EE7" w:rsidRDefault="007D13F3" w:rsidP="00465CAC">
            <w:pPr>
              <w:rPr>
                <w:rFonts w:ascii="Times New Roman" w:hAnsi="Times New Roman" w:cs="Times New Roman"/>
                <w:sz w:val="14"/>
                <w:szCs w:val="14"/>
                <w:lang w:eastAsia="sk-SK"/>
              </w:rPr>
            </w:pPr>
            <w:r w:rsidRPr="00626EE7">
              <w:rPr>
                <w:rFonts w:ascii="Times New Roman" w:hAnsi="Times New Roman" w:cs="Times New Roman"/>
                <w:sz w:val="14"/>
                <w:szCs w:val="14"/>
                <w:lang w:eastAsia="sk-SK"/>
              </w:rPr>
              <w:t>v eurách</w:t>
            </w:r>
          </w:p>
        </w:tc>
        <w:tc>
          <w:tcPr>
            <w:tcW w:w="519"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626EE7" w:rsidRDefault="007D13F3" w:rsidP="00465CAC">
            <w:pPr>
              <w:jc w:val="center"/>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2015 S</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626EE7" w:rsidRDefault="007D13F3" w:rsidP="00465CAC">
            <w:pPr>
              <w:jc w:val="center"/>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2016 S</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626EE7" w:rsidRDefault="007D13F3" w:rsidP="00465CAC">
            <w:pPr>
              <w:jc w:val="center"/>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2017 R</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626EE7" w:rsidRDefault="007D13F3" w:rsidP="00465CAC">
            <w:pPr>
              <w:jc w:val="center"/>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2017 OS</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626EE7" w:rsidRDefault="007D13F3" w:rsidP="00465CAC">
            <w:pPr>
              <w:jc w:val="center"/>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2018 N</w:t>
            </w:r>
          </w:p>
        </w:tc>
        <w:tc>
          <w:tcPr>
            <w:tcW w:w="444"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626EE7" w:rsidRDefault="007D13F3" w:rsidP="00465CAC">
            <w:pPr>
              <w:jc w:val="center"/>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2019 N</w:t>
            </w:r>
          </w:p>
        </w:tc>
        <w:tc>
          <w:tcPr>
            <w:tcW w:w="43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626EE7" w:rsidRDefault="007D13F3" w:rsidP="00465CAC">
            <w:pPr>
              <w:jc w:val="center"/>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2020 N</w:t>
            </w:r>
          </w:p>
        </w:tc>
      </w:tr>
      <w:tr w:rsidR="007D13F3" w:rsidRPr="00626EE7" w:rsidTr="00160534">
        <w:trPr>
          <w:trHeight w:val="255"/>
        </w:trPr>
        <w:tc>
          <w:tcPr>
            <w:tcW w:w="167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626EE7" w:rsidRDefault="007D13F3" w:rsidP="00465CAC">
            <w:pPr>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Výdavky kapitoly na činnosť spolu</w:t>
            </w:r>
          </w:p>
        </w:tc>
        <w:tc>
          <w:tcPr>
            <w:tcW w:w="519"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57 340 625</w:t>
            </w:r>
          </w:p>
        </w:tc>
        <w:tc>
          <w:tcPr>
            <w:tcW w:w="486"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68 588 372</w:t>
            </w:r>
          </w:p>
        </w:tc>
        <w:tc>
          <w:tcPr>
            <w:tcW w:w="486"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134 620 679</w:t>
            </w:r>
          </w:p>
        </w:tc>
        <w:tc>
          <w:tcPr>
            <w:tcW w:w="469"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136 024 220</w:t>
            </w:r>
          </w:p>
        </w:tc>
        <w:tc>
          <w:tcPr>
            <w:tcW w:w="486"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143 410 253</w:t>
            </w:r>
          </w:p>
        </w:tc>
        <w:tc>
          <w:tcPr>
            <w:tcW w:w="444"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147 824 167</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147 824 167</w:t>
            </w:r>
          </w:p>
        </w:tc>
      </w:tr>
      <w:tr w:rsidR="007D13F3" w:rsidRPr="00626EE7" w:rsidTr="00465CAC">
        <w:trPr>
          <w:trHeight w:val="255"/>
        </w:trPr>
        <w:tc>
          <w:tcPr>
            <w:tcW w:w="167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26EE7" w:rsidRDefault="007D13F3" w:rsidP="00465CAC">
            <w:pPr>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Bežné výdavky kapitoly, z toho:</w:t>
            </w:r>
          </w:p>
        </w:tc>
        <w:tc>
          <w:tcPr>
            <w:tcW w:w="51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52 112 866</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67 172 471</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63 884 367</w:t>
            </w:r>
          </w:p>
        </w:tc>
        <w:tc>
          <w:tcPr>
            <w:tcW w:w="46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67 024 444</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73 410 253</w:t>
            </w:r>
          </w:p>
        </w:tc>
        <w:tc>
          <w:tcPr>
            <w:tcW w:w="444"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73 394 253</w:t>
            </w:r>
          </w:p>
        </w:tc>
        <w:tc>
          <w:tcPr>
            <w:tcW w:w="43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73 494 248</w:t>
            </w:r>
          </w:p>
        </w:tc>
      </w:tr>
      <w:tr w:rsidR="007D13F3" w:rsidRPr="00626EE7" w:rsidTr="00465CAC">
        <w:trPr>
          <w:trHeight w:val="255"/>
        </w:trPr>
        <w:tc>
          <w:tcPr>
            <w:tcW w:w="167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26EE7" w:rsidRDefault="007D13F3" w:rsidP="00465CAC">
            <w:pPr>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ÚVZ a RÚVZ (RO)</w:t>
            </w:r>
          </w:p>
        </w:tc>
        <w:tc>
          <w:tcPr>
            <w:tcW w:w="51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29 705 655</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31 341 400</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31 261 781</w:t>
            </w:r>
          </w:p>
        </w:tc>
        <w:tc>
          <w:tcPr>
            <w:tcW w:w="469" w:type="pct"/>
            <w:tcBorders>
              <w:top w:val="nil"/>
              <w:left w:val="nil"/>
              <w:bottom w:val="single" w:sz="4" w:space="0" w:color="auto"/>
              <w:right w:val="single" w:sz="4" w:space="0" w:color="auto"/>
            </w:tcBorders>
            <w:shd w:val="clear" w:color="000000" w:fill="FFFFFF"/>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32 335 665</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32 373 305</w:t>
            </w:r>
          </w:p>
        </w:tc>
        <w:tc>
          <w:tcPr>
            <w:tcW w:w="444" w:type="pct"/>
            <w:tcBorders>
              <w:top w:val="nil"/>
              <w:left w:val="nil"/>
              <w:bottom w:val="single" w:sz="4" w:space="0" w:color="auto"/>
              <w:right w:val="single" w:sz="4" w:space="0" w:color="auto"/>
            </w:tcBorders>
            <w:shd w:val="clear" w:color="000000" w:fill="FFFFFF"/>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32 373 305</w:t>
            </w:r>
          </w:p>
        </w:tc>
        <w:tc>
          <w:tcPr>
            <w:tcW w:w="436" w:type="pct"/>
            <w:tcBorders>
              <w:top w:val="nil"/>
              <w:left w:val="nil"/>
              <w:bottom w:val="single" w:sz="4" w:space="0" w:color="auto"/>
              <w:right w:val="single" w:sz="4" w:space="0" w:color="auto"/>
            </w:tcBorders>
            <w:shd w:val="clear" w:color="000000" w:fill="FFFFFF"/>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32 373 305</w:t>
            </w:r>
          </w:p>
        </w:tc>
      </w:tr>
      <w:tr w:rsidR="007D13F3" w:rsidRPr="00626EE7" w:rsidTr="00465CAC">
        <w:trPr>
          <w:trHeight w:val="255"/>
        </w:trPr>
        <w:tc>
          <w:tcPr>
            <w:tcW w:w="167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26EE7" w:rsidRDefault="007D13F3" w:rsidP="00465CAC">
            <w:pPr>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Štátny ústav pre kontrolu liečiv (RO)</w:t>
            </w:r>
          </w:p>
        </w:tc>
        <w:tc>
          <w:tcPr>
            <w:tcW w:w="51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4 800 134</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4 942 364</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4 521 496</w:t>
            </w:r>
          </w:p>
        </w:tc>
        <w:tc>
          <w:tcPr>
            <w:tcW w:w="46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4 747 209</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5 050 020</w:t>
            </w:r>
          </w:p>
        </w:tc>
        <w:tc>
          <w:tcPr>
            <w:tcW w:w="444"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5 050 020</w:t>
            </w:r>
          </w:p>
        </w:tc>
        <w:tc>
          <w:tcPr>
            <w:tcW w:w="43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5 050 020</w:t>
            </w:r>
          </w:p>
        </w:tc>
      </w:tr>
      <w:tr w:rsidR="007D13F3" w:rsidRPr="00626EE7" w:rsidTr="00465CAC">
        <w:trPr>
          <w:trHeight w:val="255"/>
        </w:trPr>
        <w:tc>
          <w:tcPr>
            <w:tcW w:w="167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26EE7" w:rsidRDefault="007D13F3" w:rsidP="00465CAC">
            <w:pPr>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Národné centrum zdravotníckych informácií (PO)</w:t>
            </w:r>
          </w:p>
        </w:tc>
        <w:tc>
          <w:tcPr>
            <w:tcW w:w="51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3 000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10 000</w:t>
            </w:r>
          </w:p>
        </w:tc>
        <w:tc>
          <w:tcPr>
            <w:tcW w:w="444"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10 000</w:t>
            </w:r>
          </w:p>
        </w:tc>
        <w:tc>
          <w:tcPr>
            <w:tcW w:w="43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10 000</w:t>
            </w:r>
          </w:p>
        </w:tc>
      </w:tr>
      <w:tr w:rsidR="007D13F3" w:rsidRPr="00626EE7" w:rsidTr="00465CAC">
        <w:trPr>
          <w:trHeight w:val="255"/>
        </w:trPr>
        <w:tc>
          <w:tcPr>
            <w:tcW w:w="167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26EE7" w:rsidRDefault="007D13F3" w:rsidP="00465CAC">
            <w:pPr>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Slovenská zdravotnícka univerzita (PO)</w:t>
            </w:r>
          </w:p>
        </w:tc>
        <w:tc>
          <w:tcPr>
            <w:tcW w:w="51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5 459 863</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6 097 806</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5 878 731</w:t>
            </w:r>
          </w:p>
        </w:tc>
        <w:tc>
          <w:tcPr>
            <w:tcW w:w="46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6 042 150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6 168 882</w:t>
            </w:r>
          </w:p>
        </w:tc>
        <w:tc>
          <w:tcPr>
            <w:tcW w:w="444"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6 168 882</w:t>
            </w:r>
          </w:p>
        </w:tc>
        <w:tc>
          <w:tcPr>
            <w:tcW w:w="43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6 168 882</w:t>
            </w:r>
          </w:p>
        </w:tc>
      </w:tr>
      <w:tr w:rsidR="007D13F3" w:rsidRPr="00626EE7" w:rsidTr="00465CAC">
        <w:trPr>
          <w:trHeight w:val="255"/>
        </w:trPr>
        <w:tc>
          <w:tcPr>
            <w:tcW w:w="167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26EE7" w:rsidRDefault="007D13F3" w:rsidP="00465CAC">
            <w:pPr>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Národná transplantačná organizácia (PO)</w:t>
            </w:r>
          </w:p>
        </w:tc>
        <w:tc>
          <w:tcPr>
            <w:tcW w:w="51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354 521</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357 009</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390 000</w:t>
            </w:r>
          </w:p>
        </w:tc>
        <w:tc>
          <w:tcPr>
            <w:tcW w:w="46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390 000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390 000</w:t>
            </w:r>
          </w:p>
        </w:tc>
        <w:tc>
          <w:tcPr>
            <w:tcW w:w="444"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390 000</w:t>
            </w:r>
          </w:p>
        </w:tc>
        <w:tc>
          <w:tcPr>
            <w:tcW w:w="43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390 000</w:t>
            </w:r>
          </w:p>
        </w:tc>
      </w:tr>
      <w:tr w:rsidR="007D13F3" w:rsidRPr="00626EE7" w:rsidTr="00465CAC">
        <w:trPr>
          <w:trHeight w:val="255"/>
        </w:trPr>
        <w:tc>
          <w:tcPr>
            <w:tcW w:w="167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26EE7" w:rsidRDefault="007D13F3" w:rsidP="00465CAC">
            <w:pPr>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Toxikologické centrum</w:t>
            </w:r>
          </w:p>
        </w:tc>
        <w:tc>
          <w:tcPr>
            <w:tcW w:w="51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40 000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94 467</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115 000</w:t>
            </w:r>
          </w:p>
        </w:tc>
        <w:tc>
          <w:tcPr>
            <w:tcW w:w="46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115 000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115 000</w:t>
            </w:r>
          </w:p>
        </w:tc>
        <w:tc>
          <w:tcPr>
            <w:tcW w:w="444"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115 000</w:t>
            </w:r>
          </w:p>
        </w:tc>
        <w:tc>
          <w:tcPr>
            <w:tcW w:w="43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115 000</w:t>
            </w:r>
          </w:p>
        </w:tc>
      </w:tr>
      <w:tr w:rsidR="007D13F3" w:rsidRPr="00626EE7" w:rsidTr="00465CAC">
        <w:trPr>
          <w:trHeight w:val="255"/>
        </w:trPr>
        <w:tc>
          <w:tcPr>
            <w:tcW w:w="167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26EE7" w:rsidRDefault="007D13F3" w:rsidP="00465CAC">
            <w:pPr>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Centrum pre liečbu drogových závislostí</w:t>
            </w:r>
          </w:p>
        </w:tc>
        <w:tc>
          <w:tcPr>
            <w:tcW w:w="51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35 223</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40 000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40 000</w:t>
            </w:r>
          </w:p>
        </w:tc>
        <w:tc>
          <w:tcPr>
            <w:tcW w:w="46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40 000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40 000</w:t>
            </w:r>
          </w:p>
        </w:tc>
        <w:tc>
          <w:tcPr>
            <w:tcW w:w="444"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40 000</w:t>
            </w:r>
          </w:p>
        </w:tc>
        <w:tc>
          <w:tcPr>
            <w:tcW w:w="43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40 000</w:t>
            </w:r>
          </w:p>
        </w:tc>
      </w:tr>
      <w:tr w:rsidR="007D13F3" w:rsidRPr="00626EE7" w:rsidTr="00465CAC">
        <w:trPr>
          <w:trHeight w:val="255"/>
        </w:trPr>
        <w:tc>
          <w:tcPr>
            <w:tcW w:w="167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26EE7" w:rsidRDefault="007D13F3" w:rsidP="00465CAC">
            <w:pPr>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Slovenský Červený kríž</w:t>
            </w:r>
          </w:p>
        </w:tc>
        <w:tc>
          <w:tcPr>
            <w:tcW w:w="51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700 000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700 000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700 000</w:t>
            </w:r>
          </w:p>
        </w:tc>
        <w:tc>
          <w:tcPr>
            <w:tcW w:w="46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700 000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700 000</w:t>
            </w:r>
          </w:p>
        </w:tc>
        <w:tc>
          <w:tcPr>
            <w:tcW w:w="444"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700 000</w:t>
            </w:r>
          </w:p>
        </w:tc>
        <w:tc>
          <w:tcPr>
            <w:tcW w:w="43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700 000</w:t>
            </w:r>
          </w:p>
        </w:tc>
      </w:tr>
      <w:tr w:rsidR="007D13F3" w:rsidRPr="00626EE7" w:rsidTr="00465CAC">
        <w:trPr>
          <w:trHeight w:val="420"/>
        </w:trPr>
        <w:tc>
          <w:tcPr>
            <w:tcW w:w="1675" w:type="pct"/>
            <w:tcBorders>
              <w:top w:val="nil"/>
              <w:left w:val="single" w:sz="4" w:space="0" w:color="auto"/>
              <w:bottom w:val="single" w:sz="4" w:space="0" w:color="auto"/>
              <w:right w:val="single" w:sz="4" w:space="0" w:color="auto"/>
            </w:tcBorders>
            <w:shd w:val="clear" w:color="auto" w:fill="auto"/>
            <w:vAlign w:val="center"/>
            <w:hideMark/>
          </w:tcPr>
          <w:p w:rsidR="007D13F3" w:rsidRPr="00626EE7" w:rsidRDefault="007D13F3" w:rsidP="00465CAC">
            <w:pPr>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 xml:space="preserve">náhrada nákladov </w:t>
            </w:r>
            <w:proofErr w:type="spellStart"/>
            <w:r w:rsidRPr="00626EE7">
              <w:rPr>
                <w:rFonts w:ascii="Times New Roman" w:hAnsi="Times New Roman" w:cs="Times New Roman"/>
                <w:color w:val="000000"/>
                <w:sz w:val="14"/>
                <w:szCs w:val="14"/>
                <w:lang w:eastAsia="sk-SK"/>
              </w:rPr>
              <w:t>VšZP</w:t>
            </w:r>
            <w:proofErr w:type="spellEnd"/>
            <w:r w:rsidRPr="00626EE7">
              <w:rPr>
                <w:rFonts w:ascii="Times New Roman" w:hAnsi="Times New Roman" w:cs="Times New Roman"/>
                <w:color w:val="000000"/>
                <w:sz w:val="14"/>
                <w:szCs w:val="14"/>
                <w:lang w:eastAsia="sk-SK"/>
              </w:rPr>
              <w:t xml:space="preserve"> za ZS poskytnutú nepoisteným osobám (bezdomovci, iní nepoistení)</w:t>
            </w:r>
          </w:p>
        </w:tc>
        <w:tc>
          <w:tcPr>
            <w:tcW w:w="51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31 924</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17 547</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80 000</w:t>
            </w:r>
          </w:p>
        </w:tc>
        <w:tc>
          <w:tcPr>
            <w:tcW w:w="46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80 000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80 000</w:t>
            </w:r>
          </w:p>
        </w:tc>
        <w:tc>
          <w:tcPr>
            <w:tcW w:w="444"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80 000</w:t>
            </w:r>
          </w:p>
        </w:tc>
        <w:tc>
          <w:tcPr>
            <w:tcW w:w="43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80 000</w:t>
            </w:r>
          </w:p>
        </w:tc>
      </w:tr>
      <w:tr w:rsidR="007D13F3" w:rsidRPr="00626EE7" w:rsidTr="00465CAC">
        <w:trPr>
          <w:trHeight w:val="255"/>
        </w:trPr>
        <w:tc>
          <w:tcPr>
            <w:tcW w:w="167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26EE7" w:rsidRDefault="007D13F3" w:rsidP="00465CAC">
            <w:pPr>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podpora vedy a výskumu</w:t>
            </w:r>
          </w:p>
        </w:tc>
        <w:tc>
          <w:tcPr>
            <w:tcW w:w="51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894 135</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381 034</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900 000</w:t>
            </w:r>
          </w:p>
        </w:tc>
        <w:tc>
          <w:tcPr>
            <w:tcW w:w="46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574 414</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900 000</w:t>
            </w:r>
          </w:p>
        </w:tc>
        <w:tc>
          <w:tcPr>
            <w:tcW w:w="444"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900 000</w:t>
            </w:r>
          </w:p>
        </w:tc>
        <w:tc>
          <w:tcPr>
            <w:tcW w:w="43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900 000</w:t>
            </w:r>
          </w:p>
        </w:tc>
      </w:tr>
      <w:tr w:rsidR="007D13F3" w:rsidRPr="00626EE7" w:rsidTr="00465CAC">
        <w:trPr>
          <w:trHeight w:val="255"/>
        </w:trPr>
        <w:tc>
          <w:tcPr>
            <w:tcW w:w="167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26EE7" w:rsidRDefault="007D13F3" w:rsidP="00465CAC">
            <w:pPr>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ostatné výdavky aparátu, z toho:</w:t>
            </w:r>
          </w:p>
        </w:tc>
        <w:tc>
          <w:tcPr>
            <w:tcW w:w="51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10 091 411</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23 200 844</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19 997 359</w:t>
            </w:r>
          </w:p>
        </w:tc>
        <w:tc>
          <w:tcPr>
            <w:tcW w:w="46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21 997 006</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 xml:space="preserve">27 583 </w:t>
            </w:r>
            <w:r>
              <w:rPr>
                <w:rFonts w:ascii="Times New Roman" w:hAnsi="Times New Roman" w:cs="Times New Roman"/>
                <w:color w:val="000000"/>
                <w:sz w:val="14"/>
                <w:szCs w:val="14"/>
                <w:lang w:eastAsia="sk-SK"/>
              </w:rPr>
              <w:t>046</w:t>
            </w:r>
          </w:p>
        </w:tc>
        <w:tc>
          <w:tcPr>
            <w:tcW w:w="444"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27 567 046</w:t>
            </w:r>
          </w:p>
        </w:tc>
        <w:tc>
          <w:tcPr>
            <w:tcW w:w="43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27 667 041</w:t>
            </w:r>
          </w:p>
        </w:tc>
      </w:tr>
      <w:tr w:rsidR="007D13F3" w:rsidRPr="00626EE7" w:rsidTr="00465CAC">
        <w:trPr>
          <w:trHeight w:val="255"/>
        </w:trPr>
        <w:tc>
          <w:tcPr>
            <w:tcW w:w="167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26EE7" w:rsidRDefault="007D13F3" w:rsidP="00465CAC">
            <w:pPr>
              <w:rPr>
                <w:rFonts w:ascii="Times New Roman" w:hAnsi="Times New Roman" w:cs="Times New Roman"/>
                <w:i/>
                <w:iCs/>
                <w:color w:val="000000"/>
                <w:sz w:val="14"/>
                <w:szCs w:val="14"/>
                <w:lang w:eastAsia="sk-SK"/>
              </w:rPr>
            </w:pPr>
            <w:r w:rsidRPr="00626EE7">
              <w:rPr>
                <w:rFonts w:ascii="Times New Roman" w:hAnsi="Times New Roman" w:cs="Times New Roman"/>
                <w:i/>
                <w:iCs/>
                <w:color w:val="000000"/>
                <w:sz w:val="14"/>
                <w:szCs w:val="14"/>
                <w:lang w:eastAsia="sk-SK"/>
              </w:rPr>
              <w:t xml:space="preserve">      ostatná činnosť v zdravotníctve bez SČK a DRG</w:t>
            </w:r>
          </w:p>
        </w:tc>
        <w:tc>
          <w:tcPr>
            <w:tcW w:w="51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31 761</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8 531</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1 847 100</w:t>
            </w:r>
          </w:p>
        </w:tc>
        <w:tc>
          <w:tcPr>
            <w:tcW w:w="46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334 704</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5 662 686</w:t>
            </w:r>
          </w:p>
        </w:tc>
        <w:tc>
          <w:tcPr>
            <w:tcW w:w="444"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5 662 686</w:t>
            </w:r>
          </w:p>
        </w:tc>
        <w:tc>
          <w:tcPr>
            <w:tcW w:w="43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5 662 686</w:t>
            </w:r>
          </w:p>
        </w:tc>
      </w:tr>
      <w:tr w:rsidR="007D13F3" w:rsidRPr="00626EE7" w:rsidTr="00465CAC">
        <w:trPr>
          <w:trHeight w:val="255"/>
        </w:trPr>
        <w:tc>
          <w:tcPr>
            <w:tcW w:w="167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26EE7" w:rsidRDefault="007D13F3" w:rsidP="00465CAC">
            <w:pPr>
              <w:rPr>
                <w:rFonts w:ascii="Times New Roman" w:hAnsi="Times New Roman" w:cs="Times New Roman"/>
                <w:i/>
                <w:iCs/>
                <w:color w:val="000000"/>
                <w:sz w:val="14"/>
                <w:szCs w:val="14"/>
                <w:lang w:eastAsia="sk-SK"/>
              </w:rPr>
            </w:pPr>
            <w:r w:rsidRPr="00626EE7">
              <w:rPr>
                <w:rFonts w:ascii="Times New Roman" w:hAnsi="Times New Roman" w:cs="Times New Roman"/>
                <w:i/>
                <w:iCs/>
                <w:color w:val="000000"/>
                <w:sz w:val="14"/>
                <w:szCs w:val="14"/>
                <w:lang w:eastAsia="sk-SK"/>
              </w:rPr>
              <w:t xml:space="preserve">      aparát a iné výdavkové tituly </w:t>
            </w:r>
          </w:p>
        </w:tc>
        <w:tc>
          <w:tcPr>
            <w:tcW w:w="51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10 059 650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23 192 313</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18 150 259</w:t>
            </w:r>
          </w:p>
        </w:tc>
        <w:tc>
          <w:tcPr>
            <w:tcW w:w="46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21 662 302</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21 920 360</w:t>
            </w:r>
          </w:p>
        </w:tc>
        <w:tc>
          <w:tcPr>
            <w:tcW w:w="444"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21 904 360</w:t>
            </w:r>
          </w:p>
        </w:tc>
        <w:tc>
          <w:tcPr>
            <w:tcW w:w="43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color w:val="000000"/>
                <w:sz w:val="14"/>
                <w:szCs w:val="14"/>
                <w:lang w:eastAsia="sk-SK"/>
              </w:rPr>
            </w:pPr>
            <w:r w:rsidRPr="00626EE7">
              <w:rPr>
                <w:rFonts w:ascii="Times New Roman" w:hAnsi="Times New Roman" w:cs="Times New Roman"/>
                <w:color w:val="000000"/>
                <w:sz w:val="14"/>
                <w:szCs w:val="14"/>
                <w:lang w:eastAsia="sk-SK"/>
              </w:rPr>
              <w:t>22 004 355</w:t>
            </w:r>
          </w:p>
        </w:tc>
      </w:tr>
      <w:tr w:rsidR="007D13F3" w:rsidRPr="00626EE7" w:rsidTr="00465CAC">
        <w:trPr>
          <w:trHeight w:val="255"/>
        </w:trPr>
        <w:tc>
          <w:tcPr>
            <w:tcW w:w="167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26EE7" w:rsidRDefault="007D13F3" w:rsidP="00465CAC">
            <w:pPr>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Kapitálové výdavky kapitoly</w:t>
            </w:r>
          </w:p>
        </w:tc>
        <w:tc>
          <w:tcPr>
            <w:tcW w:w="51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5 227 759</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1 415 901</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70 736 312</w:t>
            </w:r>
          </w:p>
        </w:tc>
        <w:tc>
          <w:tcPr>
            <w:tcW w:w="469"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68 999 776</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70 000 000</w:t>
            </w:r>
          </w:p>
        </w:tc>
        <w:tc>
          <w:tcPr>
            <w:tcW w:w="444"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74 429 914</w:t>
            </w:r>
          </w:p>
        </w:tc>
        <w:tc>
          <w:tcPr>
            <w:tcW w:w="436" w:type="pct"/>
            <w:tcBorders>
              <w:top w:val="nil"/>
              <w:left w:val="nil"/>
              <w:bottom w:val="single" w:sz="4" w:space="0" w:color="auto"/>
              <w:right w:val="single" w:sz="4" w:space="0" w:color="auto"/>
            </w:tcBorders>
            <w:shd w:val="clear" w:color="auto" w:fill="auto"/>
            <w:noWrap/>
            <w:vAlign w:val="center"/>
            <w:hideMark/>
          </w:tcPr>
          <w:p w:rsidR="007D13F3" w:rsidRPr="00626EE7" w:rsidRDefault="007D13F3" w:rsidP="00465CAC">
            <w:pPr>
              <w:jc w:val="right"/>
              <w:rPr>
                <w:rFonts w:ascii="Times New Roman" w:hAnsi="Times New Roman" w:cs="Times New Roman"/>
                <w:b/>
                <w:bCs/>
                <w:color w:val="000000"/>
                <w:sz w:val="14"/>
                <w:szCs w:val="14"/>
                <w:lang w:eastAsia="sk-SK"/>
              </w:rPr>
            </w:pPr>
            <w:r w:rsidRPr="00626EE7">
              <w:rPr>
                <w:rFonts w:ascii="Times New Roman" w:hAnsi="Times New Roman" w:cs="Times New Roman"/>
                <w:b/>
                <w:bCs/>
                <w:color w:val="000000"/>
                <w:sz w:val="14"/>
                <w:szCs w:val="14"/>
                <w:lang w:eastAsia="sk-SK"/>
              </w:rPr>
              <w:t>74 329 919</w:t>
            </w:r>
          </w:p>
        </w:tc>
      </w:tr>
    </w:tbl>
    <w:p w:rsidR="007D13F3" w:rsidRDefault="007D13F3" w:rsidP="007D13F3">
      <w:pPr>
        <w:pStyle w:val="Nadpis1"/>
        <w:spacing w:before="0"/>
        <w:rPr>
          <w:rFonts w:ascii="Times New Roman" w:hAnsi="Times New Roman" w:cs="Times New Roman"/>
          <w:b w:val="0"/>
          <w:sz w:val="24"/>
          <w:highlight w:val="yellow"/>
        </w:rPr>
      </w:pPr>
    </w:p>
    <w:p w:rsidR="007D13F3" w:rsidRPr="001C5F9B" w:rsidRDefault="007D13F3" w:rsidP="007D13F3">
      <w:pPr>
        <w:spacing w:after="200" w:line="276" w:lineRule="auto"/>
        <w:jc w:val="both"/>
        <w:rPr>
          <w:rFonts w:ascii="Times New Roman" w:hAnsi="Times New Roman" w:cs="Times New Roman"/>
          <w:b/>
        </w:rPr>
      </w:pPr>
      <w:r w:rsidRPr="006D465C">
        <w:rPr>
          <w:rFonts w:ascii="Times New Roman" w:hAnsi="Times New Roman" w:cs="Times New Roman"/>
          <w:b/>
        </w:rPr>
        <w:t>Informačné technológie financované zo štátneho rozpočtu</w:t>
      </w:r>
    </w:p>
    <w:tbl>
      <w:tblPr>
        <w:tblW w:w="5000" w:type="pct"/>
        <w:tblCellMar>
          <w:left w:w="70" w:type="dxa"/>
          <w:right w:w="70" w:type="dxa"/>
        </w:tblCellMar>
        <w:tblLook w:val="04A0" w:firstRow="1" w:lastRow="0" w:firstColumn="1" w:lastColumn="0" w:noHBand="0" w:noVBand="1"/>
      </w:tblPr>
      <w:tblGrid>
        <w:gridCol w:w="3057"/>
        <w:gridCol w:w="949"/>
        <w:gridCol w:w="886"/>
        <w:gridCol w:w="886"/>
        <w:gridCol w:w="855"/>
        <w:gridCol w:w="886"/>
        <w:gridCol w:w="749"/>
        <w:gridCol w:w="794"/>
      </w:tblGrid>
      <w:tr w:rsidR="007D13F3" w:rsidRPr="00592E8A" w:rsidTr="00465CAC">
        <w:trPr>
          <w:trHeight w:hRule="exact" w:val="255"/>
        </w:trPr>
        <w:tc>
          <w:tcPr>
            <w:tcW w:w="168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592E8A" w:rsidRDefault="007D13F3" w:rsidP="00465CAC">
            <w:pPr>
              <w:rPr>
                <w:rFonts w:ascii="Times New Roman" w:hAnsi="Times New Roman" w:cs="Times New Roman"/>
                <w:b/>
                <w:bCs/>
                <w:color w:val="000000"/>
                <w:sz w:val="14"/>
                <w:szCs w:val="14"/>
                <w:lang w:eastAsia="sk-SK"/>
              </w:rPr>
            </w:pPr>
            <w:r w:rsidRPr="00592E8A">
              <w:rPr>
                <w:rFonts w:ascii="Times New Roman" w:hAnsi="Times New Roman" w:cs="Times New Roman"/>
                <w:b/>
                <w:bCs/>
                <w:color w:val="000000"/>
                <w:sz w:val="14"/>
                <w:szCs w:val="14"/>
                <w:lang w:eastAsia="sk-SK"/>
              </w:rPr>
              <w:t>v eurách</w:t>
            </w:r>
          </w:p>
        </w:tc>
        <w:tc>
          <w:tcPr>
            <w:tcW w:w="523"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592E8A" w:rsidRDefault="007D13F3" w:rsidP="00465CAC">
            <w:pPr>
              <w:jc w:val="center"/>
              <w:rPr>
                <w:rFonts w:ascii="Times New Roman" w:hAnsi="Times New Roman" w:cs="Times New Roman"/>
                <w:b/>
                <w:bCs/>
                <w:color w:val="000000"/>
                <w:sz w:val="14"/>
                <w:szCs w:val="14"/>
                <w:lang w:eastAsia="sk-SK"/>
              </w:rPr>
            </w:pPr>
            <w:r w:rsidRPr="00592E8A">
              <w:rPr>
                <w:rFonts w:ascii="Times New Roman" w:hAnsi="Times New Roman" w:cs="Times New Roman"/>
                <w:b/>
                <w:bCs/>
                <w:color w:val="000000"/>
                <w:sz w:val="14"/>
                <w:szCs w:val="14"/>
                <w:lang w:eastAsia="sk-SK"/>
              </w:rPr>
              <w:t>2015 S</w:t>
            </w:r>
          </w:p>
        </w:tc>
        <w:tc>
          <w:tcPr>
            <w:tcW w:w="489"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592E8A" w:rsidRDefault="007D13F3" w:rsidP="00465CAC">
            <w:pPr>
              <w:jc w:val="center"/>
              <w:rPr>
                <w:rFonts w:ascii="Times New Roman" w:hAnsi="Times New Roman" w:cs="Times New Roman"/>
                <w:b/>
                <w:bCs/>
                <w:color w:val="000000"/>
                <w:sz w:val="14"/>
                <w:szCs w:val="14"/>
                <w:lang w:eastAsia="sk-SK"/>
              </w:rPr>
            </w:pPr>
            <w:r w:rsidRPr="00592E8A">
              <w:rPr>
                <w:rFonts w:ascii="Times New Roman" w:hAnsi="Times New Roman" w:cs="Times New Roman"/>
                <w:b/>
                <w:bCs/>
                <w:color w:val="000000"/>
                <w:sz w:val="14"/>
                <w:szCs w:val="14"/>
                <w:lang w:eastAsia="sk-SK"/>
              </w:rPr>
              <w:t>2016 S</w:t>
            </w:r>
          </w:p>
        </w:tc>
        <w:tc>
          <w:tcPr>
            <w:tcW w:w="489"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592E8A" w:rsidRDefault="007D13F3" w:rsidP="00465CAC">
            <w:pPr>
              <w:jc w:val="center"/>
              <w:rPr>
                <w:rFonts w:ascii="Times New Roman" w:hAnsi="Times New Roman" w:cs="Times New Roman"/>
                <w:b/>
                <w:bCs/>
                <w:color w:val="000000"/>
                <w:sz w:val="14"/>
                <w:szCs w:val="14"/>
                <w:lang w:eastAsia="sk-SK"/>
              </w:rPr>
            </w:pPr>
            <w:r w:rsidRPr="00592E8A">
              <w:rPr>
                <w:rFonts w:ascii="Times New Roman" w:hAnsi="Times New Roman" w:cs="Times New Roman"/>
                <w:b/>
                <w:bCs/>
                <w:color w:val="000000"/>
                <w:sz w:val="14"/>
                <w:szCs w:val="14"/>
                <w:lang w:eastAsia="sk-SK"/>
              </w:rPr>
              <w:t>2017 R</w:t>
            </w:r>
          </w:p>
        </w:tc>
        <w:tc>
          <w:tcPr>
            <w:tcW w:w="472"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592E8A" w:rsidRDefault="007D13F3" w:rsidP="00465CAC">
            <w:pPr>
              <w:jc w:val="center"/>
              <w:rPr>
                <w:rFonts w:ascii="Times New Roman" w:hAnsi="Times New Roman" w:cs="Times New Roman"/>
                <w:b/>
                <w:bCs/>
                <w:color w:val="000000"/>
                <w:sz w:val="14"/>
                <w:szCs w:val="14"/>
                <w:lang w:eastAsia="sk-SK"/>
              </w:rPr>
            </w:pPr>
            <w:r w:rsidRPr="00592E8A">
              <w:rPr>
                <w:rFonts w:ascii="Times New Roman" w:hAnsi="Times New Roman" w:cs="Times New Roman"/>
                <w:b/>
                <w:bCs/>
                <w:color w:val="000000"/>
                <w:sz w:val="14"/>
                <w:szCs w:val="14"/>
                <w:lang w:eastAsia="sk-SK"/>
              </w:rPr>
              <w:t>2017 OS</w:t>
            </w:r>
          </w:p>
        </w:tc>
        <w:tc>
          <w:tcPr>
            <w:tcW w:w="489"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592E8A" w:rsidRDefault="007D13F3" w:rsidP="00465CAC">
            <w:pPr>
              <w:jc w:val="center"/>
              <w:rPr>
                <w:rFonts w:ascii="Times New Roman" w:hAnsi="Times New Roman" w:cs="Times New Roman"/>
                <w:b/>
                <w:bCs/>
                <w:color w:val="000000"/>
                <w:sz w:val="14"/>
                <w:szCs w:val="14"/>
                <w:lang w:eastAsia="sk-SK"/>
              </w:rPr>
            </w:pPr>
            <w:r w:rsidRPr="00592E8A">
              <w:rPr>
                <w:rFonts w:ascii="Times New Roman" w:hAnsi="Times New Roman" w:cs="Times New Roman"/>
                <w:b/>
                <w:bCs/>
                <w:color w:val="000000"/>
                <w:sz w:val="14"/>
                <w:szCs w:val="14"/>
                <w:lang w:eastAsia="sk-SK"/>
              </w:rPr>
              <w:t>2018 N</w:t>
            </w:r>
          </w:p>
        </w:tc>
        <w:tc>
          <w:tcPr>
            <w:tcW w:w="413"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592E8A" w:rsidRDefault="007D13F3" w:rsidP="00465CAC">
            <w:pPr>
              <w:jc w:val="center"/>
              <w:rPr>
                <w:rFonts w:ascii="Times New Roman" w:hAnsi="Times New Roman" w:cs="Times New Roman"/>
                <w:b/>
                <w:bCs/>
                <w:color w:val="000000"/>
                <w:sz w:val="14"/>
                <w:szCs w:val="14"/>
                <w:lang w:eastAsia="sk-SK"/>
              </w:rPr>
            </w:pPr>
            <w:r w:rsidRPr="00592E8A">
              <w:rPr>
                <w:rFonts w:ascii="Times New Roman" w:hAnsi="Times New Roman" w:cs="Times New Roman"/>
                <w:b/>
                <w:bCs/>
                <w:color w:val="000000"/>
                <w:sz w:val="14"/>
                <w:szCs w:val="14"/>
                <w:lang w:eastAsia="sk-SK"/>
              </w:rPr>
              <w:t>2019 N</w:t>
            </w:r>
          </w:p>
        </w:tc>
        <w:tc>
          <w:tcPr>
            <w:tcW w:w="438"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592E8A" w:rsidRDefault="007D13F3" w:rsidP="00465CAC">
            <w:pPr>
              <w:jc w:val="center"/>
              <w:rPr>
                <w:rFonts w:ascii="Times New Roman" w:hAnsi="Times New Roman" w:cs="Times New Roman"/>
                <w:b/>
                <w:bCs/>
                <w:color w:val="000000"/>
                <w:sz w:val="14"/>
                <w:szCs w:val="14"/>
                <w:lang w:eastAsia="sk-SK"/>
              </w:rPr>
            </w:pPr>
            <w:r w:rsidRPr="00592E8A">
              <w:rPr>
                <w:rFonts w:ascii="Times New Roman" w:hAnsi="Times New Roman" w:cs="Times New Roman"/>
                <w:b/>
                <w:bCs/>
                <w:color w:val="000000"/>
                <w:sz w:val="14"/>
                <w:szCs w:val="14"/>
                <w:lang w:eastAsia="sk-SK"/>
              </w:rPr>
              <w:t>2020 N</w:t>
            </w:r>
          </w:p>
        </w:tc>
      </w:tr>
      <w:tr w:rsidR="007D13F3" w:rsidRPr="00592E8A" w:rsidTr="00465CAC">
        <w:trPr>
          <w:trHeight w:hRule="exact" w:val="255"/>
        </w:trPr>
        <w:tc>
          <w:tcPr>
            <w:tcW w:w="1686" w:type="pct"/>
            <w:tcBorders>
              <w:top w:val="nil"/>
              <w:left w:val="single" w:sz="4" w:space="0" w:color="auto"/>
              <w:bottom w:val="single" w:sz="4" w:space="0" w:color="auto"/>
              <w:right w:val="single" w:sz="4" w:space="0" w:color="auto"/>
            </w:tcBorders>
            <w:shd w:val="clear" w:color="000000" w:fill="BFBFBF"/>
            <w:noWrap/>
            <w:vAlign w:val="center"/>
            <w:hideMark/>
          </w:tcPr>
          <w:p w:rsidR="007D13F3" w:rsidRPr="00592E8A" w:rsidRDefault="007D13F3" w:rsidP="00465CAC">
            <w:pPr>
              <w:rPr>
                <w:rFonts w:ascii="Times New Roman" w:hAnsi="Times New Roman" w:cs="Times New Roman"/>
                <w:b/>
                <w:bCs/>
                <w:color w:val="000000"/>
                <w:sz w:val="14"/>
                <w:szCs w:val="14"/>
                <w:lang w:eastAsia="sk-SK"/>
              </w:rPr>
            </w:pPr>
            <w:r w:rsidRPr="00592E8A">
              <w:rPr>
                <w:rFonts w:ascii="Times New Roman" w:hAnsi="Times New Roman" w:cs="Times New Roman"/>
                <w:b/>
                <w:bCs/>
                <w:color w:val="000000"/>
                <w:sz w:val="14"/>
                <w:szCs w:val="14"/>
                <w:lang w:eastAsia="sk-SK"/>
              </w:rPr>
              <w:t>IT  financované zo ŠR spolu</w:t>
            </w:r>
          </w:p>
        </w:tc>
        <w:tc>
          <w:tcPr>
            <w:tcW w:w="523" w:type="pct"/>
            <w:tcBorders>
              <w:top w:val="nil"/>
              <w:left w:val="nil"/>
              <w:bottom w:val="single" w:sz="4" w:space="0" w:color="auto"/>
              <w:right w:val="single" w:sz="4" w:space="0" w:color="auto"/>
            </w:tcBorders>
            <w:shd w:val="clear" w:color="000000" w:fill="BFBFBF"/>
            <w:noWrap/>
            <w:vAlign w:val="center"/>
            <w:hideMark/>
          </w:tcPr>
          <w:p w:rsidR="007D13F3" w:rsidRPr="00592E8A" w:rsidRDefault="007D13F3" w:rsidP="00465CAC">
            <w:pPr>
              <w:jc w:val="right"/>
              <w:rPr>
                <w:rFonts w:ascii="Times New Roman" w:hAnsi="Times New Roman" w:cs="Times New Roman"/>
                <w:b/>
                <w:bCs/>
                <w:color w:val="000000"/>
                <w:sz w:val="14"/>
                <w:szCs w:val="14"/>
                <w:lang w:eastAsia="sk-SK"/>
              </w:rPr>
            </w:pPr>
            <w:r w:rsidRPr="00592E8A">
              <w:rPr>
                <w:rFonts w:ascii="Times New Roman" w:hAnsi="Times New Roman" w:cs="Times New Roman"/>
                <w:b/>
                <w:bCs/>
                <w:color w:val="000000"/>
                <w:sz w:val="14"/>
                <w:szCs w:val="14"/>
                <w:lang w:eastAsia="sk-SK"/>
              </w:rPr>
              <w:t>0</w:t>
            </w:r>
          </w:p>
        </w:tc>
        <w:tc>
          <w:tcPr>
            <w:tcW w:w="489" w:type="pct"/>
            <w:tcBorders>
              <w:top w:val="nil"/>
              <w:left w:val="nil"/>
              <w:bottom w:val="single" w:sz="4" w:space="0" w:color="auto"/>
              <w:right w:val="single" w:sz="4" w:space="0" w:color="auto"/>
            </w:tcBorders>
            <w:shd w:val="clear" w:color="000000" w:fill="BFBFBF"/>
            <w:noWrap/>
            <w:vAlign w:val="center"/>
            <w:hideMark/>
          </w:tcPr>
          <w:p w:rsidR="007D13F3" w:rsidRPr="00592E8A" w:rsidRDefault="007D13F3" w:rsidP="00465CAC">
            <w:pPr>
              <w:jc w:val="right"/>
              <w:rPr>
                <w:rFonts w:ascii="Times New Roman" w:hAnsi="Times New Roman" w:cs="Times New Roman"/>
                <w:b/>
                <w:bCs/>
                <w:color w:val="000000"/>
                <w:sz w:val="14"/>
                <w:szCs w:val="14"/>
                <w:lang w:eastAsia="sk-SK"/>
              </w:rPr>
            </w:pPr>
            <w:r w:rsidRPr="00592E8A">
              <w:rPr>
                <w:rFonts w:ascii="Times New Roman" w:hAnsi="Times New Roman" w:cs="Times New Roman"/>
                <w:b/>
                <w:bCs/>
                <w:color w:val="000000"/>
                <w:sz w:val="14"/>
                <w:szCs w:val="14"/>
                <w:lang w:eastAsia="sk-SK"/>
              </w:rPr>
              <w:t>0</w:t>
            </w:r>
          </w:p>
        </w:tc>
        <w:tc>
          <w:tcPr>
            <w:tcW w:w="489" w:type="pct"/>
            <w:tcBorders>
              <w:top w:val="nil"/>
              <w:left w:val="nil"/>
              <w:bottom w:val="single" w:sz="4" w:space="0" w:color="auto"/>
              <w:right w:val="single" w:sz="4" w:space="0" w:color="auto"/>
            </w:tcBorders>
            <w:shd w:val="clear" w:color="000000" w:fill="BFBFBF"/>
            <w:noWrap/>
            <w:vAlign w:val="center"/>
            <w:hideMark/>
          </w:tcPr>
          <w:p w:rsidR="007D13F3" w:rsidRPr="00592E8A" w:rsidRDefault="007D13F3" w:rsidP="00465CAC">
            <w:pPr>
              <w:jc w:val="right"/>
              <w:rPr>
                <w:rFonts w:ascii="Times New Roman" w:hAnsi="Times New Roman" w:cs="Times New Roman"/>
                <w:b/>
                <w:bCs/>
                <w:color w:val="000000"/>
                <w:sz w:val="14"/>
                <w:szCs w:val="14"/>
                <w:lang w:eastAsia="sk-SK"/>
              </w:rPr>
            </w:pPr>
            <w:r w:rsidRPr="00592E8A">
              <w:rPr>
                <w:rFonts w:ascii="Times New Roman" w:hAnsi="Times New Roman" w:cs="Times New Roman"/>
                <w:b/>
                <w:bCs/>
                <w:color w:val="000000"/>
                <w:sz w:val="14"/>
                <w:szCs w:val="14"/>
                <w:lang w:eastAsia="sk-SK"/>
              </w:rPr>
              <w:t>150 000</w:t>
            </w:r>
          </w:p>
        </w:tc>
        <w:tc>
          <w:tcPr>
            <w:tcW w:w="472" w:type="pct"/>
            <w:tcBorders>
              <w:top w:val="nil"/>
              <w:left w:val="nil"/>
              <w:bottom w:val="single" w:sz="4" w:space="0" w:color="auto"/>
              <w:right w:val="single" w:sz="4" w:space="0" w:color="auto"/>
            </w:tcBorders>
            <w:shd w:val="clear" w:color="000000" w:fill="BFBFBF"/>
            <w:noWrap/>
            <w:vAlign w:val="center"/>
            <w:hideMark/>
          </w:tcPr>
          <w:p w:rsidR="007D13F3" w:rsidRPr="00592E8A" w:rsidRDefault="007D13F3" w:rsidP="00465CAC">
            <w:pPr>
              <w:jc w:val="right"/>
              <w:rPr>
                <w:rFonts w:ascii="Times New Roman" w:hAnsi="Times New Roman" w:cs="Times New Roman"/>
                <w:b/>
                <w:bCs/>
                <w:color w:val="000000"/>
                <w:sz w:val="14"/>
                <w:szCs w:val="14"/>
                <w:lang w:eastAsia="sk-SK"/>
              </w:rPr>
            </w:pPr>
            <w:r w:rsidRPr="00592E8A">
              <w:rPr>
                <w:rFonts w:ascii="Times New Roman" w:hAnsi="Times New Roman" w:cs="Times New Roman"/>
                <w:b/>
                <w:bCs/>
                <w:color w:val="000000"/>
                <w:sz w:val="14"/>
                <w:szCs w:val="14"/>
                <w:lang w:eastAsia="sk-SK"/>
              </w:rPr>
              <w:t>969 412</w:t>
            </w:r>
          </w:p>
        </w:tc>
        <w:tc>
          <w:tcPr>
            <w:tcW w:w="489" w:type="pct"/>
            <w:tcBorders>
              <w:top w:val="nil"/>
              <w:left w:val="nil"/>
              <w:bottom w:val="single" w:sz="4" w:space="0" w:color="auto"/>
              <w:right w:val="single" w:sz="4" w:space="0" w:color="auto"/>
            </w:tcBorders>
            <w:shd w:val="clear" w:color="000000" w:fill="BFBFBF"/>
            <w:noWrap/>
            <w:vAlign w:val="center"/>
            <w:hideMark/>
          </w:tcPr>
          <w:p w:rsidR="007D13F3" w:rsidRPr="00592E8A" w:rsidRDefault="007D13F3" w:rsidP="00465CAC">
            <w:pPr>
              <w:jc w:val="right"/>
              <w:rPr>
                <w:rFonts w:ascii="Times New Roman" w:hAnsi="Times New Roman" w:cs="Times New Roman"/>
                <w:b/>
                <w:bCs/>
                <w:color w:val="000000"/>
                <w:sz w:val="14"/>
                <w:szCs w:val="14"/>
                <w:lang w:eastAsia="sk-SK"/>
              </w:rPr>
            </w:pPr>
            <w:r w:rsidRPr="00592E8A">
              <w:rPr>
                <w:rFonts w:ascii="Times New Roman" w:hAnsi="Times New Roman" w:cs="Times New Roman"/>
                <w:b/>
                <w:bCs/>
                <w:color w:val="000000"/>
                <w:sz w:val="14"/>
                <w:szCs w:val="14"/>
                <w:lang w:eastAsia="sk-SK"/>
              </w:rPr>
              <w:t>944 777</w:t>
            </w:r>
          </w:p>
        </w:tc>
        <w:tc>
          <w:tcPr>
            <w:tcW w:w="413" w:type="pct"/>
            <w:tcBorders>
              <w:top w:val="nil"/>
              <w:left w:val="nil"/>
              <w:bottom w:val="single" w:sz="4" w:space="0" w:color="auto"/>
              <w:right w:val="single" w:sz="4" w:space="0" w:color="auto"/>
            </w:tcBorders>
            <w:shd w:val="clear" w:color="000000" w:fill="BFBFBF"/>
            <w:noWrap/>
            <w:vAlign w:val="center"/>
            <w:hideMark/>
          </w:tcPr>
          <w:p w:rsidR="007D13F3" w:rsidRPr="00592E8A" w:rsidRDefault="007D13F3" w:rsidP="00465CAC">
            <w:pPr>
              <w:jc w:val="right"/>
              <w:rPr>
                <w:rFonts w:ascii="Times New Roman" w:hAnsi="Times New Roman" w:cs="Times New Roman"/>
                <w:b/>
                <w:bCs/>
                <w:color w:val="000000"/>
                <w:sz w:val="14"/>
                <w:szCs w:val="14"/>
                <w:lang w:eastAsia="sk-SK"/>
              </w:rPr>
            </w:pPr>
            <w:r w:rsidRPr="00592E8A">
              <w:rPr>
                <w:rFonts w:ascii="Times New Roman" w:hAnsi="Times New Roman" w:cs="Times New Roman"/>
                <w:b/>
                <w:bCs/>
                <w:color w:val="000000"/>
                <w:sz w:val="14"/>
                <w:szCs w:val="14"/>
                <w:lang w:eastAsia="sk-SK"/>
              </w:rPr>
              <w:t>944 317</w:t>
            </w:r>
          </w:p>
        </w:tc>
        <w:tc>
          <w:tcPr>
            <w:tcW w:w="438" w:type="pct"/>
            <w:tcBorders>
              <w:top w:val="nil"/>
              <w:left w:val="nil"/>
              <w:bottom w:val="single" w:sz="4" w:space="0" w:color="auto"/>
              <w:right w:val="single" w:sz="4" w:space="0" w:color="auto"/>
            </w:tcBorders>
            <w:shd w:val="clear" w:color="000000" w:fill="BFBFBF"/>
            <w:noWrap/>
            <w:vAlign w:val="center"/>
            <w:hideMark/>
          </w:tcPr>
          <w:p w:rsidR="007D13F3" w:rsidRPr="00592E8A" w:rsidRDefault="007D13F3" w:rsidP="00465CAC">
            <w:pPr>
              <w:jc w:val="right"/>
              <w:rPr>
                <w:rFonts w:ascii="Times New Roman" w:hAnsi="Times New Roman" w:cs="Times New Roman"/>
                <w:b/>
                <w:bCs/>
                <w:color w:val="000000"/>
                <w:sz w:val="14"/>
                <w:szCs w:val="14"/>
                <w:lang w:eastAsia="sk-SK"/>
              </w:rPr>
            </w:pPr>
            <w:r w:rsidRPr="00592E8A">
              <w:rPr>
                <w:rFonts w:ascii="Times New Roman" w:hAnsi="Times New Roman" w:cs="Times New Roman"/>
                <w:b/>
                <w:bCs/>
                <w:color w:val="000000"/>
                <w:sz w:val="14"/>
                <w:szCs w:val="14"/>
                <w:lang w:eastAsia="sk-SK"/>
              </w:rPr>
              <w:t>944 777</w:t>
            </w:r>
          </w:p>
        </w:tc>
      </w:tr>
      <w:tr w:rsidR="007D13F3" w:rsidRPr="00592E8A" w:rsidTr="00465CAC">
        <w:trPr>
          <w:trHeight w:hRule="exact" w:val="255"/>
        </w:trPr>
        <w:tc>
          <w:tcPr>
            <w:tcW w:w="1686" w:type="pct"/>
            <w:tcBorders>
              <w:top w:val="nil"/>
              <w:left w:val="single" w:sz="4" w:space="0" w:color="auto"/>
              <w:bottom w:val="single" w:sz="4" w:space="0" w:color="auto"/>
              <w:right w:val="single" w:sz="4" w:space="0" w:color="auto"/>
            </w:tcBorders>
            <w:shd w:val="clear" w:color="auto" w:fill="auto"/>
            <w:noWrap/>
            <w:vAlign w:val="center"/>
            <w:hideMark/>
          </w:tcPr>
          <w:p w:rsidR="007D13F3" w:rsidRPr="00592E8A" w:rsidRDefault="007D13F3" w:rsidP="00465CAC">
            <w:pPr>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Systémy vnútornej správy</w:t>
            </w:r>
          </w:p>
        </w:tc>
        <w:tc>
          <w:tcPr>
            <w:tcW w:w="523"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0</w:t>
            </w:r>
          </w:p>
        </w:tc>
        <w:tc>
          <w:tcPr>
            <w:tcW w:w="489"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0</w:t>
            </w:r>
          </w:p>
        </w:tc>
        <w:tc>
          <w:tcPr>
            <w:tcW w:w="489"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50 000</w:t>
            </w:r>
          </w:p>
        </w:tc>
        <w:tc>
          <w:tcPr>
            <w:tcW w:w="472"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802 016</w:t>
            </w:r>
          </w:p>
        </w:tc>
        <w:tc>
          <w:tcPr>
            <w:tcW w:w="489"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773 727</w:t>
            </w:r>
          </w:p>
        </w:tc>
        <w:tc>
          <w:tcPr>
            <w:tcW w:w="413"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773 267</w:t>
            </w:r>
          </w:p>
        </w:tc>
        <w:tc>
          <w:tcPr>
            <w:tcW w:w="438"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773 727</w:t>
            </w:r>
          </w:p>
        </w:tc>
      </w:tr>
      <w:tr w:rsidR="007D13F3" w:rsidRPr="00592E8A" w:rsidTr="00465CAC">
        <w:trPr>
          <w:trHeight w:hRule="exact" w:val="255"/>
        </w:trPr>
        <w:tc>
          <w:tcPr>
            <w:tcW w:w="1686" w:type="pct"/>
            <w:tcBorders>
              <w:top w:val="nil"/>
              <w:left w:val="single" w:sz="4" w:space="0" w:color="auto"/>
              <w:bottom w:val="single" w:sz="4" w:space="0" w:color="auto"/>
              <w:right w:val="single" w:sz="4" w:space="0" w:color="auto"/>
            </w:tcBorders>
            <w:shd w:val="clear" w:color="auto" w:fill="auto"/>
            <w:noWrap/>
            <w:vAlign w:val="center"/>
            <w:hideMark/>
          </w:tcPr>
          <w:p w:rsidR="007D13F3" w:rsidRPr="00592E8A" w:rsidRDefault="007D13F3" w:rsidP="00465CAC">
            <w:pPr>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 xml:space="preserve">Špecializované systémy </w:t>
            </w:r>
          </w:p>
        </w:tc>
        <w:tc>
          <w:tcPr>
            <w:tcW w:w="523"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0</w:t>
            </w:r>
          </w:p>
        </w:tc>
        <w:tc>
          <w:tcPr>
            <w:tcW w:w="489"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0</w:t>
            </w:r>
          </w:p>
        </w:tc>
        <w:tc>
          <w:tcPr>
            <w:tcW w:w="489"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50 000</w:t>
            </w:r>
          </w:p>
        </w:tc>
        <w:tc>
          <w:tcPr>
            <w:tcW w:w="472"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76 293</w:t>
            </w:r>
          </w:p>
        </w:tc>
        <w:tc>
          <w:tcPr>
            <w:tcW w:w="489"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79 398</w:t>
            </w:r>
          </w:p>
        </w:tc>
        <w:tc>
          <w:tcPr>
            <w:tcW w:w="413"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79 398</w:t>
            </w:r>
          </w:p>
        </w:tc>
        <w:tc>
          <w:tcPr>
            <w:tcW w:w="438"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79 398</w:t>
            </w:r>
          </w:p>
        </w:tc>
      </w:tr>
      <w:tr w:rsidR="007D13F3" w:rsidRPr="00592E8A" w:rsidTr="00465CAC">
        <w:trPr>
          <w:trHeight w:hRule="exact" w:val="255"/>
        </w:trPr>
        <w:tc>
          <w:tcPr>
            <w:tcW w:w="1686" w:type="pct"/>
            <w:tcBorders>
              <w:top w:val="nil"/>
              <w:left w:val="single" w:sz="4" w:space="0" w:color="auto"/>
              <w:bottom w:val="single" w:sz="4" w:space="0" w:color="auto"/>
              <w:right w:val="single" w:sz="4" w:space="0" w:color="auto"/>
            </w:tcBorders>
            <w:shd w:val="clear" w:color="auto" w:fill="auto"/>
            <w:noWrap/>
            <w:vAlign w:val="center"/>
            <w:hideMark/>
          </w:tcPr>
          <w:p w:rsidR="007D13F3" w:rsidRPr="00592E8A" w:rsidRDefault="007D13F3" w:rsidP="00465CAC">
            <w:pPr>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 xml:space="preserve">Podpora infraštruktúry </w:t>
            </w:r>
          </w:p>
        </w:tc>
        <w:tc>
          <w:tcPr>
            <w:tcW w:w="523"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0</w:t>
            </w:r>
          </w:p>
        </w:tc>
        <w:tc>
          <w:tcPr>
            <w:tcW w:w="489"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0</w:t>
            </w:r>
          </w:p>
        </w:tc>
        <w:tc>
          <w:tcPr>
            <w:tcW w:w="489"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50 000</w:t>
            </w:r>
          </w:p>
        </w:tc>
        <w:tc>
          <w:tcPr>
            <w:tcW w:w="472"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91 103</w:t>
            </w:r>
          </w:p>
        </w:tc>
        <w:tc>
          <w:tcPr>
            <w:tcW w:w="489"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91 652</w:t>
            </w:r>
          </w:p>
        </w:tc>
        <w:tc>
          <w:tcPr>
            <w:tcW w:w="413"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91 652</w:t>
            </w:r>
          </w:p>
        </w:tc>
        <w:tc>
          <w:tcPr>
            <w:tcW w:w="438" w:type="pct"/>
            <w:tcBorders>
              <w:top w:val="nil"/>
              <w:left w:val="nil"/>
              <w:bottom w:val="single" w:sz="4" w:space="0" w:color="auto"/>
              <w:right w:val="single" w:sz="4" w:space="0" w:color="auto"/>
            </w:tcBorders>
            <w:shd w:val="clear" w:color="auto" w:fill="auto"/>
            <w:noWrap/>
            <w:vAlign w:val="center"/>
            <w:hideMark/>
          </w:tcPr>
          <w:p w:rsidR="007D13F3" w:rsidRPr="00592E8A" w:rsidRDefault="007D13F3" w:rsidP="00465CAC">
            <w:pPr>
              <w:jc w:val="right"/>
              <w:rPr>
                <w:rFonts w:ascii="Times New Roman" w:hAnsi="Times New Roman" w:cs="Times New Roman"/>
                <w:color w:val="000000"/>
                <w:sz w:val="14"/>
                <w:szCs w:val="14"/>
                <w:lang w:eastAsia="sk-SK"/>
              </w:rPr>
            </w:pPr>
            <w:r w:rsidRPr="00592E8A">
              <w:rPr>
                <w:rFonts w:ascii="Times New Roman" w:hAnsi="Times New Roman" w:cs="Times New Roman"/>
                <w:color w:val="000000"/>
                <w:sz w:val="14"/>
                <w:szCs w:val="14"/>
                <w:lang w:eastAsia="sk-SK"/>
              </w:rPr>
              <w:t>91 652</w:t>
            </w:r>
          </w:p>
        </w:tc>
      </w:tr>
    </w:tbl>
    <w:p w:rsidR="007D13F3" w:rsidRDefault="007D13F3" w:rsidP="007D13F3"/>
    <w:p w:rsidR="007D13F3" w:rsidRPr="00F3263D" w:rsidRDefault="007D13F3" w:rsidP="007D13F3">
      <w:pPr>
        <w:spacing w:after="200"/>
        <w:ind w:firstLine="709"/>
        <w:contextualSpacing/>
        <w:jc w:val="both"/>
        <w:rPr>
          <w:rFonts w:ascii="Times New Roman" w:hAnsi="Times New Roman" w:cs="Times New Roman"/>
        </w:rPr>
      </w:pPr>
      <w:r>
        <w:rPr>
          <w:rFonts w:ascii="Times New Roman" w:hAnsi="Times New Roman" w:cs="Times New Roman"/>
        </w:rPr>
        <w:t xml:space="preserve">Pre potreby centrálneho rozpočtovania a sledovania výdavkov na informačné technológie (ďalej len „IT“) bol vytvorený medzirezortný podprogram Informačné technológie financované zo štátneho rozpočtu. </w:t>
      </w:r>
      <w:r w:rsidRPr="005624DE">
        <w:rPr>
          <w:rFonts w:ascii="Times New Roman" w:hAnsi="Times New Roman" w:cs="Times New Roman"/>
        </w:rPr>
        <w:t xml:space="preserve">Kapitola ako účastník medzirezortného programu  so súhlasom gestora vykonala presuny rozpočtovaných prostriedkov z programov 079 – Prevencia a ochrana zdravia, 07A – Zdravotná starostlivosť a 07B – Tvorba a implementácia politík na jednotlivé prvky medzirezortného programu. Presunom sa zabezpečilo, aby  bola sledovaná </w:t>
      </w:r>
      <w:r w:rsidRPr="005624DE">
        <w:rPr>
          <w:rFonts w:ascii="Times New Roman" w:hAnsi="Times New Roman" w:cs="Times New Roman"/>
        </w:rPr>
        <w:lastRenderedPageBreak/>
        <w:t>realizácia na systémy vnútornej správy, špecializované systémy a podporná infraštruktúra z prostriedkov štátneho rozpočtu na vytvorených prvkoch.</w:t>
      </w:r>
    </w:p>
    <w:p w:rsidR="007D13F3" w:rsidRDefault="007D13F3" w:rsidP="007D13F3">
      <w:pPr>
        <w:ind w:firstLine="708"/>
        <w:jc w:val="both"/>
        <w:rPr>
          <w:rFonts w:ascii="Times New Roman" w:hAnsi="Times New Roman"/>
          <w:lang w:eastAsia="sk-SK"/>
        </w:rPr>
      </w:pPr>
    </w:p>
    <w:p w:rsidR="007D13F3" w:rsidRPr="00FC7B62" w:rsidRDefault="007D13F3" w:rsidP="007D13F3">
      <w:pPr>
        <w:ind w:firstLine="708"/>
        <w:jc w:val="both"/>
        <w:rPr>
          <w:rFonts w:ascii="Times New Roman" w:hAnsi="Times New Roman" w:cs="Times New Roman"/>
          <w:noProof/>
          <w:lang w:eastAsia="sk-SK"/>
        </w:rPr>
      </w:pPr>
      <w:r>
        <w:rPr>
          <w:rFonts w:ascii="Times New Roman" w:hAnsi="Times New Roman" w:cs="Times New Roman"/>
          <w:noProof/>
          <w:lang w:eastAsia="sk-SK"/>
        </w:rPr>
        <w:t>Kapitola MZ</w:t>
      </w:r>
      <w:r w:rsidRPr="00FC7B62">
        <w:rPr>
          <w:rFonts w:ascii="Times New Roman" w:hAnsi="Times New Roman" w:cs="Times New Roman"/>
          <w:noProof/>
          <w:lang w:eastAsia="sk-SK"/>
        </w:rPr>
        <w:t xml:space="preserve"> SR na rok 201</w:t>
      </w:r>
      <w:r>
        <w:rPr>
          <w:rFonts w:ascii="Times New Roman" w:hAnsi="Times New Roman" w:cs="Times New Roman"/>
          <w:noProof/>
          <w:lang w:eastAsia="sk-SK"/>
        </w:rPr>
        <w:t xml:space="preserve">8 </w:t>
      </w:r>
      <w:r w:rsidRPr="00FC7B62">
        <w:rPr>
          <w:rFonts w:ascii="Times New Roman" w:hAnsi="Times New Roman" w:cs="Times New Roman"/>
          <w:noProof/>
          <w:lang w:eastAsia="sk-SK"/>
        </w:rPr>
        <w:t>rozpočtuje v uvedenom medz</w:t>
      </w:r>
      <w:r>
        <w:rPr>
          <w:rFonts w:ascii="Times New Roman" w:hAnsi="Times New Roman" w:cs="Times New Roman"/>
          <w:noProof/>
          <w:lang w:eastAsia="sk-SK"/>
        </w:rPr>
        <w:t>irezortnom podprograme sumu 944,8 tis</w:t>
      </w:r>
      <w:r w:rsidRPr="00FC7B62">
        <w:rPr>
          <w:rFonts w:ascii="Times New Roman" w:hAnsi="Times New Roman" w:cs="Times New Roman"/>
          <w:noProof/>
          <w:lang w:eastAsia="sk-SK"/>
        </w:rPr>
        <w:t>. eur.</w:t>
      </w:r>
    </w:p>
    <w:p w:rsidR="007D13F3" w:rsidRDefault="007D13F3" w:rsidP="007D13F3">
      <w:pPr>
        <w:pStyle w:val="Nadpis1"/>
        <w:spacing w:before="0"/>
        <w:rPr>
          <w:rFonts w:ascii="Times New Roman" w:hAnsi="Times New Roman" w:cs="Times New Roman"/>
          <w:b w:val="0"/>
          <w:sz w:val="24"/>
          <w:highlight w:val="yellow"/>
        </w:rPr>
      </w:pPr>
    </w:p>
    <w:p w:rsidR="007D13F3" w:rsidRPr="00D909EE" w:rsidRDefault="007D13F3" w:rsidP="007D13F3">
      <w:pPr>
        <w:keepNext/>
        <w:keepLines/>
        <w:spacing w:line="259" w:lineRule="auto"/>
        <w:outlineLvl w:val="0"/>
        <w:rPr>
          <w:rFonts w:ascii="Times New Roman" w:eastAsiaTheme="majorEastAsia" w:hAnsi="Times New Roman" w:cs="Times New Roman"/>
          <w:b/>
          <w:szCs w:val="32"/>
          <w:lang w:eastAsia="en-US"/>
        </w:rPr>
      </w:pPr>
      <w:r w:rsidRPr="00D909EE">
        <w:rPr>
          <w:rFonts w:ascii="Times New Roman" w:eastAsiaTheme="majorEastAsia" w:hAnsi="Times New Roman" w:cs="Times New Roman"/>
          <w:b/>
          <w:szCs w:val="32"/>
          <w:lang w:eastAsia="en-US"/>
        </w:rPr>
        <w:t>Zdravotná starostlivosť</w:t>
      </w:r>
    </w:p>
    <w:p w:rsidR="007D13F3" w:rsidRPr="00D909EE" w:rsidRDefault="007D13F3" w:rsidP="007D13F3">
      <w:pPr>
        <w:spacing w:line="259" w:lineRule="auto"/>
        <w:jc w:val="both"/>
        <w:rPr>
          <w:rFonts w:ascii="Times New Roman" w:eastAsiaTheme="minorHAnsi" w:hAnsi="Times New Roman" w:cs="Times New Roman"/>
          <w:sz w:val="22"/>
          <w:szCs w:val="22"/>
          <w:lang w:eastAsia="en-US"/>
        </w:rPr>
      </w:pPr>
    </w:p>
    <w:p w:rsidR="007D13F3" w:rsidRPr="00011172" w:rsidRDefault="007D13F3" w:rsidP="007D13F3">
      <w:pPr>
        <w:spacing w:line="259" w:lineRule="auto"/>
        <w:ind w:firstLine="708"/>
        <w:jc w:val="both"/>
        <w:rPr>
          <w:rFonts w:ascii="Times New Roman" w:eastAsiaTheme="minorHAnsi" w:hAnsi="Times New Roman" w:cs="Times New Roman"/>
          <w:szCs w:val="22"/>
          <w:u w:val="single"/>
          <w:lang w:eastAsia="en-US"/>
        </w:rPr>
      </w:pPr>
      <w:r w:rsidRPr="005E7299">
        <w:rPr>
          <w:rFonts w:ascii="Times New Roman" w:eastAsiaTheme="minorHAnsi" w:hAnsi="Times New Roman" w:cs="Times New Roman"/>
          <w:szCs w:val="22"/>
          <w:lang w:eastAsia="en-US"/>
        </w:rPr>
        <w:t xml:space="preserve">Od rozpočtu </w:t>
      </w:r>
      <w:r w:rsidR="008E30EC">
        <w:rPr>
          <w:rFonts w:ascii="Times New Roman" w:eastAsiaTheme="minorHAnsi" w:hAnsi="Times New Roman" w:cs="Times New Roman"/>
          <w:szCs w:val="22"/>
          <w:lang w:eastAsia="en-US"/>
        </w:rPr>
        <w:t>na</w:t>
      </w:r>
      <w:r w:rsidRPr="005E7299">
        <w:rPr>
          <w:rFonts w:ascii="Times New Roman" w:eastAsiaTheme="minorHAnsi" w:hAnsi="Times New Roman" w:cs="Times New Roman"/>
          <w:szCs w:val="22"/>
          <w:lang w:eastAsia="en-US"/>
        </w:rPr>
        <w:t xml:space="preserve"> rok 2017 je cieľom vlády SR spomalenie rastu výdavkov na zdravotnú starostlivosť. V rokoch 2018 až 2020 bude pokračovať zavádzanie viacerých opatrení predovšetkým v oblastiach nákladovej efektívnosti a nadspotreby liekov, </w:t>
      </w:r>
      <w:proofErr w:type="spellStart"/>
      <w:r w:rsidRPr="005E7299">
        <w:rPr>
          <w:rFonts w:ascii="Times New Roman" w:eastAsiaTheme="minorHAnsi" w:hAnsi="Times New Roman" w:cs="Times New Roman"/>
          <w:szCs w:val="22"/>
          <w:lang w:eastAsia="en-US"/>
        </w:rPr>
        <w:t>referencovania</w:t>
      </w:r>
      <w:proofErr w:type="spellEnd"/>
      <w:r w:rsidRPr="005E7299">
        <w:rPr>
          <w:rFonts w:ascii="Times New Roman" w:eastAsiaTheme="minorHAnsi" w:hAnsi="Times New Roman" w:cs="Times New Roman"/>
          <w:szCs w:val="22"/>
          <w:lang w:eastAsia="en-US"/>
        </w:rPr>
        <w:t>, zmeny úhradového systému zdravotníckych pomôcok,  optimalizácie úhrad a objemov zobrazovacích a laboratórnych vyšetrení a implementácie ozdravného plánu Všeobecnej zdravotnej poisťovne.</w:t>
      </w:r>
      <w:r w:rsidRPr="00A33604" w:rsidDel="006B0251">
        <w:rPr>
          <w:rFonts w:ascii="Times New Roman" w:eastAsiaTheme="minorHAnsi" w:hAnsi="Times New Roman" w:cs="Times New Roman"/>
          <w:szCs w:val="22"/>
          <w:lang w:eastAsia="en-US"/>
        </w:rPr>
        <w:t xml:space="preserve"> </w:t>
      </w:r>
    </w:p>
    <w:p w:rsidR="007D13F3" w:rsidRDefault="007D13F3" w:rsidP="007D13F3">
      <w:pPr>
        <w:rPr>
          <w:highlight w:val="yellow"/>
        </w:rPr>
      </w:pPr>
    </w:p>
    <w:tbl>
      <w:tblPr>
        <w:tblW w:w="5000" w:type="pct"/>
        <w:tblCellMar>
          <w:left w:w="70" w:type="dxa"/>
          <w:right w:w="70" w:type="dxa"/>
        </w:tblCellMar>
        <w:tblLook w:val="04A0" w:firstRow="1" w:lastRow="0" w:firstColumn="1" w:lastColumn="0" w:noHBand="0" w:noVBand="1"/>
      </w:tblPr>
      <w:tblGrid>
        <w:gridCol w:w="4390"/>
        <w:gridCol w:w="733"/>
        <w:gridCol w:w="733"/>
        <w:gridCol w:w="733"/>
        <w:gridCol w:w="733"/>
        <w:gridCol w:w="907"/>
        <w:gridCol w:w="833"/>
      </w:tblGrid>
      <w:tr w:rsidR="007D13F3" w:rsidRPr="00D909EE" w:rsidTr="00465CAC">
        <w:trPr>
          <w:trHeight w:val="255"/>
        </w:trPr>
        <w:tc>
          <w:tcPr>
            <w:tcW w:w="239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D909EE" w:rsidRDefault="007D13F3" w:rsidP="00465CAC">
            <w:pPr>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 xml:space="preserve">Opatrenia týkajúce sa výdavkov na zdravotnú starostlivosť </w:t>
            </w:r>
            <w:r w:rsidR="00160534">
              <w:rPr>
                <w:rFonts w:ascii="Times New Roman" w:hAnsi="Times New Roman" w:cs="Times New Roman"/>
                <w:b/>
                <w:bCs/>
                <w:color w:val="000000"/>
                <w:sz w:val="14"/>
                <w:szCs w:val="14"/>
                <w:lang w:eastAsia="sk-SK"/>
              </w:rPr>
              <w:t>(v mil. eur)</w:t>
            </w:r>
          </w:p>
        </w:tc>
        <w:tc>
          <w:tcPr>
            <w:tcW w:w="418"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7D13F3" w:rsidRPr="00D909EE" w:rsidRDefault="007D13F3" w:rsidP="00465CAC">
            <w:pPr>
              <w:jc w:val="right"/>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 </w:t>
            </w:r>
          </w:p>
        </w:tc>
        <w:tc>
          <w:tcPr>
            <w:tcW w:w="418"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7D13F3" w:rsidRPr="00D909EE" w:rsidRDefault="007D13F3" w:rsidP="00465CAC">
            <w:pPr>
              <w:jc w:val="right"/>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 </w:t>
            </w:r>
          </w:p>
        </w:tc>
        <w:tc>
          <w:tcPr>
            <w:tcW w:w="418"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7D13F3" w:rsidRPr="00D909EE" w:rsidRDefault="007D13F3" w:rsidP="00465CAC">
            <w:pPr>
              <w:jc w:val="right"/>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 </w:t>
            </w:r>
          </w:p>
        </w:tc>
        <w:tc>
          <w:tcPr>
            <w:tcW w:w="418"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7D13F3" w:rsidRPr="00D909EE" w:rsidRDefault="007D13F3" w:rsidP="00465CAC">
            <w:pPr>
              <w:jc w:val="right"/>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 </w:t>
            </w:r>
          </w:p>
        </w:tc>
        <w:tc>
          <w:tcPr>
            <w:tcW w:w="514"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7D13F3" w:rsidRPr="00D909EE" w:rsidRDefault="007D13F3" w:rsidP="00465CAC">
            <w:pPr>
              <w:jc w:val="right"/>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 </w:t>
            </w:r>
          </w:p>
        </w:tc>
        <w:tc>
          <w:tcPr>
            <w:tcW w:w="418"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7D13F3" w:rsidRPr="00D909EE" w:rsidRDefault="007D13F3" w:rsidP="00465CAC">
            <w:pPr>
              <w:jc w:val="right"/>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 </w:t>
            </w:r>
          </w:p>
        </w:tc>
      </w:tr>
      <w:tr w:rsidR="007D13F3" w:rsidRPr="00160534" w:rsidTr="00160534">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160534" w:rsidRDefault="007D13F3" w:rsidP="00465CAC">
            <w:pPr>
              <w:rPr>
                <w:rFonts w:ascii="Times New Roman" w:hAnsi="Times New Roman" w:cs="Times New Roman"/>
                <w:b/>
                <w:color w:val="000000"/>
                <w:sz w:val="14"/>
                <w:szCs w:val="14"/>
                <w:lang w:eastAsia="sk-SK"/>
              </w:rPr>
            </w:pPr>
          </w:p>
        </w:tc>
        <w:tc>
          <w:tcPr>
            <w:tcW w:w="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D13F3" w:rsidRPr="00160534" w:rsidRDefault="007D13F3" w:rsidP="00465CAC">
            <w:pPr>
              <w:jc w:val="center"/>
              <w:rPr>
                <w:rFonts w:ascii="Times New Roman" w:hAnsi="Times New Roman" w:cs="Times New Roman"/>
                <w:b/>
                <w:bCs/>
                <w:color w:val="000000"/>
                <w:sz w:val="14"/>
                <w:szCs w:val="14"/>
                <w:lang w:eastAsia="sk-SK"/>
              </w:rPr>
            </w:pPr>
            <w:r w:rsidRPr="00160534">
              <w:rPr>
                <w:rFonts w:ascii="Times New Roman" w:hAnsi="Times New Roman" w:cs="Times New Roman"/>
                <w:b/>
                <w:bCs/>
                <w:color w:val="000000"/>
                <w:sz w:val="14"/>
                <w:szCs w:val="14"/>
                <w:lang w:eastAsia="sk-SK"/>
              </w:rPr>
              <w:t>Plnenie</w:t>
            </w:r>
            <w:r w:rsidRPr="00160534">
              <w:rPr>
                <w:rFonts w:ascii="Times New Roman" w:hAnsi="Times New Roman" w:cs="Times New Roman"/>
                <w:b/>
                <w:bCs/>
                <w:color w:val="000000"/>
                <w:sz w:val="14"/>
                <w:szCs w:val="14"/>
                <w:lang w:eastAsia="sk-SK"/>
              </w:rPr>
              <w:br/>
              <w:t>k 30.6.2017</w:t>
            </w:r>
          </w:p>
        </w:tc>
        <w:tc>
          <w:tcPr>
            <w:tcW w:w="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D13F3" w:rsidRPr="00160534" w:rsidRDefault="007D13F3" w:rsidP="00465CAC">
            <w:pPr>
              <w:jc w:val="center"/>
              <w:rPr>
                <w:rFonts w:ascii="Times New Roman" w:hAnsi="Times New Roman" w:cs="Times New Roman"/>
                <w:b/>
                <w:bCs/>
                <w:color w:val="000000"/>
                <w:sz w:val="14"/>
                <w:szCs w:val="14"/>
                <w:lang w:eastAsia="sk-SK"/>
              </w:rPr>
            </w:pPr>
            <w:r w:rsidRPr="00160534">
              <w:rPr>
                <w:rFonts w:ascii="Times New Roman" w:hAnsi="Times New Roman" w:cs="Times New Roman"/>
                <w:b/>
                <w:bCs/>
                <w:color w:val="000000"/>
                <w:sz w:val="14"/>
                <w:szCs w:val="14"/>
                <w:lang w:eastAsia="sk-SK"/>
              </w:rPr>
              <w:t>2017</w:t>
            </w:r>
            <w:r w:rsidR="00160534">
              <w:rPr>
                <w:rFonts w:ascii="Times New Roman" w:hAnsi="Times New Roman" w:cs="Times New Roman"/>
                <w:b/>
                <w:bCs/>
                <w:color w:val="000000"/>
                <w:sz w:val="14"/>
                <w:szCs w:val="14"/>
                <w:lang w:eastAsia="sk-SK"/>
              </w:rPr>
              <w:t xml:space="preserve"> R</w:t>
            </w:r>
          </w:p>
        </w:tc>
        <w:tc>
          <w:tcPr>
            <w:tcW w:w="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D13F3" w:rsidRPr="00160534" w:rsidRDefault="007D13F3" w:rsidP="00465CAC">
            <w:pPr>
              <w:jc w:val="center"/>
              <w:rPr>
                <w:rFonts w:ascii="Times New Roman" w:hAnsi="Times New Roman" w:cs="Times New Roman"/>
                <w:b/>
                <w:bCs/>
                <w:color w:val="000000"/>
                <w:sz w:val="14"/>
                <w:szCs w:val="14"/>
                <w:lang w:eastAsia="sk-SK"/>
              </w:rPr>
            </w:pPr>
            <w:r w:rsidRPr="00160534">
              <w:rPr>
                <w:rFonts w:ascii="Times New Roman" w:hAnsi="Times New Roman" w:cs="Times New Roman"/>
                <w:b/>
                <w:bCs/>
                <w:color w:val="000000"/>
                <w:sz w:val="14"/>
                <w:szCs w:val="14"/>
                <w:lang w:eastAsia="sk-SK"/>
              </w:rPr>
              <w:t>2018</w:t>
            </w:r>
            <w:r w:rsidR="00160534">
              <w:rPr>
                <w:rFonts w:ascii="Times New Roman" w:hAnsi="Times New Roman" w:cs="Times New Roman"/>
                <w:b/>
                <w:bCs/>
                <w:color w:val="000000"/>
                <w:sz w:val="14"/>
                <w:szCs w:val="14"/>
                <w:lang w:eastAsia="sk-SK"/>
              </w:rPr>
              <w:t xml:space="preserve"> N</w:t>
            </w:r>
          </w:p>
        </w:tc>
        <w:tc>
          <w:tcPr>
            <w:tcW w:w="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D13F3" w:rsidRPr="00160534" w:rsidRDefault="007D13F3" w:rsidP="00465CAC">
            <w:pPr>
              <w:jc w:val="center"/>
              <w:rPr>
                <w:rFonts w:ascii="Times New Roman" w:hAnsi="Times New Roman" w:cs="Times New Roman"/>
                <w:b/>
                <w:bCs/>
                <w:color w:val="000000"/>
                <w:sz w:val="14"/>
                <w:szCs w:val="14"/>
                <w:lang w:eastAsia="sk-SK"/>
              </w:rPr>
            </w:pPr>
            <w:r w:rsidRPr="00160534">
              <w:rPr>
                <w:rFonts w:ascii="Times New Roman" w:hAnsi="Times New Roman" w:cs="Times New Roman"/>
                <w:b/>
                <w:bCs/>
                <w:color w:val="000000"/>
                <w:sz w:val="14"/>
                <w:szCs w:val="14"/>
                <w:lang w:eastAsia="sk-SK"/>
              </w:rPr>
              <w:t>2019</w:t>
            </w:r>
            <w:r w:rsidR="00160534">
              <w:rPr>
                <w:rFonts w:ascii="Times New Roman" w:hAnsi="Times New Roman" w:cs="Times New Roman"/>
                <w:b/>
                <w:bCs/>
                <w:color w:val="000000"/>
                <w:sz w:val="14"/>
                <w:szCs w:val="14"/>
                <w:lang w:eastAsia="sk-SK"/>
              </w:rPr>
              <w:t xml:space="preserve"> N</w:t>
            </w:r>
          </w:p>
        </w:tc>
        <w:tc>
          <w:tcPr>
            <w:tcW w:w="5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D13F3" w:rsidRPr="00160534" w:rsidRDefault="007D13F3" w:rsidP="00465CAC">
            <w:pPr>
              <w:jc w:val="center"/>
              <w:rPr>
                <w:rFonts w:ascii="Times New Roman" w:hAnsi="Times New Roman" w:cs="Times New Roman"/>
                <w:b/>
                <w:bCs/>
                <w:color w:val="000000"/>
                <w:sz w:val="14"/>
                <w:szCs w:val="14"/>
                <w:lang w:eastAsia="sk-SK"/>
              </w:rPr>
            </w:pPr>
            <w:r w:rsidRPr="00160534">
              <w:rPr>
                <w:rFonts w:ascii="Times New Roman" w:hAnsi="Times New Roman" w:cs="Times New Roman"/>
                <w:b/>
                <w:bCs/>
                <w:color w:val="000000"/>
                <w:sz w:val="14"/>
                <w:szCs w:val="14"/>
                <w:lang w:eastAsia="sk-SK"/>
              </w:rPr>
              <w:t>2020</w:t>
            </w:r>
            <w:r w:rsidR="00160534">
              <w:rPr>
                <w:rFonts w:ascii="Times New Roman" w:hAnsi="Times New Roman" w:cs="Times New Roman"/>
                <w:b/>
                <w:bCs/>
                <w:color w:val="000000"/>
                <w:sz w:val="14"/>
                <w:szCs w:val="14"/>
                <w:lang w:eastAsia="sk-SK"/>
              </w:rPr>
              <w:t xml:space="preserve"> N</w:t>
            </w:r>
          </w:p>
        </w:tc>
        <w:tc>
          <w:tcPr>
            <w:tcW w:w="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D13F3" w:rsidRPr="00160534" w:rsidRDefault="007D13F3" w:rsidP="00465CAC">
            <w:pPr>
              <w:jc w:val="center"/>
              <w:rPr>
                <w:rFonts w:ascii="Times New Roman" w:hAnsi="Times New Roman" w:cs="Times New Roman"/>
                <w:b/>
                <w:bCs/>
                <w:color w:val="000000"/>
                <w:sz w:val="14"/>
                <w:szCs w:val="14"/>
                <w:lang w:eastAsia="sk-SK"/>
              </w:rPr>
            </w:pPr>
            <w:r w:rsidRPr="00160534">
              <w:rPr>
                <w:rFonts w:ascii="Times New Roman" w:hAnsi="Times New Roman" w:cs="Times New Roman"/>
                <w:b/>
                <w:bCs/>
                <w:color w:val="000000"/>
                <w:sz w:val="14"/>
                <w:szCs w:val="14"/>
                <w:lang w:eastAsia="sk-SK"/>
              </w:rPr>
              <w:t>potenciálna ročná úspora</w:t>
            </w:r>
          </w:p>
        </w:tc>
      </w:tr>
      <w:tr w:rsidR="007D13F3" w:rsidRPr="00D909EE" w:rsidTr="00465CAC">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Opatrenia znižujúce výdavky VZP</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35,1</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143</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159</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165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193</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268</w:t>
            </w:r>
          </w:p>
        </w:tc>
      </w:tr>
      <w:tr w:rsidR="007D13F3" w:rsidRPr="00D909EE" w:rsidTr="00465CAC">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3F3" w:rsidRPr="00D909EE" w:rsidRDefault="007D13F3" w:rsidP="00465CAC">
            <w:pP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Nadspotreba liekov  - zavedenie predpisových limitov pre ambulantných poskytovateľov</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12,0</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20</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20</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20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20</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59</w:t>
            </w:r>
          </w:p>
        </w:tc>
      </w:tr>
      <w:tr w:rsidR="007D13F3" w:rsidRPr="00D909EE" w:rsidTr="00465CAC">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3F3" w:rsidRPr="00D909EE" w:rsidRDefault="007D13F3" w:rsidP="00465CAC">
            <w:pP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Výnimky na lieky - zavedenie pravidiel pre preplácanie výnimiek</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0,3</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10</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10</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10</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10</w:t>
            </w:r>
          </w:p>
        </w:tc>
      </w:tr>
      <w:tr w:rsidR="007D13F3" w:rsidRPr="00D909EE" w:rsidTr="00465CAC">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3F3" w:rsidRPr="00D909EE" w:rsidRDefault="007D13F3" w:rsidP="00465CAC">
            <w:pP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 xml:space="preserve">Nákladovo neefektívne lieky - centrálny nákup liekov ZP </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25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25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25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25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42</w:t>
            </w:r>
          </w:p>
        </w:tc>
      </w:tr>
      <w:tr w:rsidR="007D13F3" w:rsidRPr="00D909EE" w:rsidTr="00465CAC">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3F3" w:rsidRPr="00D909EE" w:rsidRDefault="007D13F3" w:rsidP="00465CAC">
            <w:pP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Špeciálny zdravotnícky materiál - zníženie cien (</w:t>
            </w:r>
            <w:proofErr w:type="spellStart"/>
            <w:r w:rsidRPr="00D909EE">
              <w:rPr>
                <w:rFonts w:ascii="Times New Roman" w:hAnsi="Times New Roman" w:cs="Times New Roman"/>
                <w:color w:val="000000"/>
                <w:sz w:val="14"/>
                <w:szCs w:val="14"/>
                <w:lang w:eastAsia="sk-SK"/>
              </w:rPr>
              <w:t>referencovanie</w:t>
            </w:r>
            <w:proofErr w:type="spellEnd"/>
            <w:r w:rsidRPr="00D909EE">
              <w:rPr>
                <w:rFonts w:ascii="Times New Roman" w:hAnsi="Times New Roman" w:cs="Times New Roman"/>
                <w:color w:val="000000"/>
                <w:sz w:val="14"/>
                <w:szCs w:val="14"/>
                <w:lang w:eastAsia="sk-SK"/>
              </w:rPr>
              <w:t>)</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12</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35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45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45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55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55</w:t>
            </w:r>
          </w:p>
        </w:tc>
      </w:tr>
      <w:tr w:rsidR="007D13F3" w:rsidRPr="00D909EE" w:rsidTr="00465CAC">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3F3" w:rsidRPr="00D909EE" w:rsidRDefault="007D13F3" w:rsidP="00465CAC">
            <w:pP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 xml:space="preserve">Zdravotnícke pomôcky - </w:t>
            </w:r>
            <w:proofErr w:type="spellStart"/>
            <w:r w:rsidRPr="00D909EE">
              <w:rPr>
                <w:rFonts w:ascii="Times New Roman" w:hAnsi="Times New Roman" w:cs="Times New Roman"/>
                <w:color w:val="000000"/>
                <w:sz w:val="14"/>
                <w:szCs w:val="14"/>
                <w:lang w:eastAsia="sk-SK"/>
              </w:rPr>
              <w:t>referencovanie</w:t>
            </w:r>
            <w:proofErr w:type="spellEnd"/>
            <w:r w:rsidRPr="00D909EE">
              <w:rPr>
                <w:rFonts w:ascii="Times New Roman" w:hAnsi="Times New Roman" w:cs="Times New Roman"/>
                <w:color w:val="000000"/>
                <w:sz w:val="14"/>
                <w:szCs w:val="14"/>
                <w:lang w:eastAsia="sk-SK"/>
              </w:rPr>
              <w:t xml:space="preserve"> a revízne činnosti</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15</w:t>
            </w:r>
          </w:p>
        </w:tc>
      </w:tr>
      <w:tr w:rsidR="007D13F3" w:rsidRPr="00D909EE" w:rsidTr="00465CAC">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3F3" w:rsidRPr="00D909EE" w:rsidRDefault="007D13F3" w:rsidP="00465CAC">
            <w:pP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SVLZ  - zníženie jednotkových cien a limitov CT a MR vyšetrení</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10</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16</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22</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28</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25</w:t>
            </w:r>
          </w:p>
        </w:tc>
      </w:tr>
      <w:tr w:rsidR="007D13F3" w:rsidRPr="00D909EE" w:rsidTr="00465CAC">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3F3" w:rsidRPr="00D909EE" w:rsidRDefault="007D13F3" w:rsidP="00465CAC">
            <w:pP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SVLZ - zavedenie limitov pre ambulantných poskytovateľov</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-0,2</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3</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3</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3</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37</w:t>
            </w:r>
          </w:p>
        </w:tc>
      </w:tr>
      <w:tr w:rsidR="007D13F3" w:rsidRPr="00D909EE" w:rsidTr="00465CAC">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3F3" w:rsidRPr="00D909EE" w:rsidRDefault="007D13F3" w:rsidP="00465CAC">
            <w:pP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 xml:space="preserve">Zlepšenie revíznych činností </w:t>
            </w:r>
            <w:proofErr w:type="spellStart"/>
            <w:r w:rsidRPr="00D909EE">
              <w:rPr>
                <w:rFonts w:ascii="Times New Roman" w:hAnsi="Times New Roman" w:cs="Times New Roman"/>
                <w:color w:val="000000"/>
                <w:sz w:val="14"/>
                <w:szCs w:val="14"/>
                <w:lang w:eastAsia="sk-SK"/>
              </w:rPr>
              <w:t>VšZP</w:t>
            </w:r>
            <w:proofErr w:type="spellEnd"/>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12</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25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25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25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25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25</w:t>
            </w:r>
          </w:p>
        </w:tc>
      </w:tr>
      <w:tr w:rsidR="007D13F3" w:rsidRPr="00D909EE" w:rsidTr="00465CAC">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3F3" w:rsidRPr="00D909EE" w:rsidRDefault="007D13F3" w:rsidP="00465CAC">
            <w:pPr>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 xml:space="preserve">Opatrenia znižujúce výdavky  nemocníc </w:t>
            </w:r>
            <w:r>
              <w:rPr>
                <w:rFonts w:ascii="Times New Roman" w:hAnsi="Times New Roman" w:cs="Times New Roman"/>
                <w:bCs/>
                <w:color w:val="000000"/>
                <w:sz w:val="14"/>
                <w:szCs w:val="14"/>
                <w:lang w:eastAsia="sk-SK"/>
              </w:rPr>
              <w:t xml:space="preserve">(podriadených </w:t>
            </w:r>
            <w:proofErr w:type="spellStart"/>
            <w:r>
              <w:rPr>
                <w:rFonts w:ascii="Times New Roman" w:hAnsi="Times New Roman" w:cs="Times New Roman"/>
                <w:bCs/>
                <w:color w:val="000000"/>
                <w:sz w:val="14"/>
                <w:szCs w:val="14"/>
                <w:lang w:eastAsia="sk-SK"/>
              </w:rPr>
              <w:t>organiz</w:t>
            </w:r>
            <w:proofErr w:type="spellEnd"/>
            <w:r>
              <w:rPr>
                <w:rFonts w:ascii="Times New Roman" w:hAnsi="Times New Roman" w:cs="Times New Roman"/>
                <w:bCs/>
                <w:color w:val="000000"/>
                <w:sz w:val="14"/>
                <w:szCs w:val="14"/>
                <w:lang w:eastAsia="sk-SK"/>
              </w:rPr>
              <w:t>.</w:t>
            </w:r>
            <w:r w:rsidRPr="00663243">
              <w:rPr>
                <w:rFonts w:ascii="Times New Roman" w:hAnsi="Times New Roman" w:cs="Times New Roman"/>
                <w:bCs/>
                <w:color w:val="000000"/>
                <w:sz w:val="14"/>
                <w:szCs w:val="14"/>
                <w:lang w:eastAsia="sk-SK"/>
              </w:rPr>
              <w:t xml:space="preserve"> MZ SR)</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-6,9</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31</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31</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31</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31</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b/>
                <w:bCs/>
                <w:color w:val="000000"/>
                <w:sz w:val="14"/>
                <w:szCs w:val="14"/>
                <w:lang w:eastAsia="sk-SK"/>
              </w:rPr>
            </w:pPr>
            <w:r w:rsidRPr="00D909EE">
              <w:rPr>
                <w:rFonts w:ascii="Times New Roman" w:hAnsi="Times New Roman" w:cs="Times New Roman"/>
                <w:b/>
                <w:bCs/>
                <w:color w:val="000000"/>
                <w:sz w:val="14"/>
                <w:szCs w:val="14"/>
                <w:lang w:eastAsia="sk-SK"/>
              </w:rPr>
              <w:t>95</w:t>
            </w:r>
          </w:p>
        </w:tc>
      </w:tr>
      <w:tr w:rsidR="007D13F3" w:rsidRPr="00D909EE" w:rsidTr="00465CAC">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3F3" w:rsidRPr="00D909EE" w:rsidRDefault="007D13F3" w:rsidP="00465CAC">
            <w:pP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Optimalizácia prevádzkových nákladov</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10</w:t>
            </w:r>
          </w:p>
        </w:tc>
      </w:tr>
      <w:tr w:rsidR="007D13F3" w:rsidRPr="00D909EE" w:rsidTr="00465CAC">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3F3" w:rsidRPr="00D909EE" w:rsidRDefault="007D13F3" w:rsidP="00465CAC">
            <w:pP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Optimalizácia medicínskych procesov</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-10</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74</w:t>
            </w:r>
          </w:p>
        </w:tc>
      </w:tr>
      <w:tr w:rsidR="007D13F3" w:rsidRPr="00D909EE" w:rsidTr="00465CAC">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3F3" w:rsidRPr="00D909EE" w:rsidRDefault="007D13F3" w:rsidP="00465CAC">
            <w:pP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Optimalizácia nákupu liekov a ŠZM</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-1,2</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8</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8</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8</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8</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8</w:t>
            </w:r>
          </w:p>
        </w:tc>
      </w:tr>
      <w:tr w:rsidR="007D13F3" w:rsidRPr="00D909EE" w:rsidTr="00465CAC">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3F3" w:rsidRPr="00D909EE" w:rsidRDefault="007D13F3" w:rsidP="00465CAC">
            <w:pP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Hospodárne obstarávanie zdravotníckej techniky</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4,3</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3</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3</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3</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3</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D909EE" w:rsidRDefault="007D13F3" w:rsidP="00465CAC">
            <w:pPr>
              <w:jc w:val="cente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3</w:t>
            </w:r>
          </w:p>
        </w:tc>
      </w:tr>
      <w:tr w:rsidR="007D13F3" w:rsidRPr="00D909EE" w:rsidTr="00465CAC">
        <w:trPr>
          <w:trHeight w:val="255"/>
        </w:trPr>
        <w:tc>
          <w:tcPr>
            <w:tcW w:w="2396" w:type="pct"/>
            <w:tcBorders>
              <w:top w:val="single" w:sz="4" w:space="0" w:color="auto"/>
              <w:left w:val="nil"/>
              <w:bottom w:val="nil"/>
              <w:right w:val="nil"/>
            </w:tcBorders>
            <w:shd w:val="clear" w:color="auto" w:fill="auto"/>
            <w:vAlign w:val="center"/>
            <w:hideMark/>
          </w:tcPr>
          <w:p w:rsidR="007D13F3" w:rsidRPr="00D909EE" w:rsidRDefault="007D13F3" w:rsidP="00465CAC">
            <w:pPr>
              <w:rPr>
                <w:rFonts w:ascii="Times New Roman" w:hAnsi="Times New Roman" w:cs="Times New Roman"/>
                <w:color w:val="000000"/>
                <w:sz w:val="14"/>
                <w:szCs w:val="14"/>
                <w:lang w:eastAsia="sk-SK"/>
              </w:rPr>
            </w:pPr>
            <w:r w:rsidRPr="00D909EE">
              <w:rPr>
                <w:rFonts w:ascii="Times New Roman" w:hAnsi="Times New Roman" w:cs="Times New Roman"/>
                <w:color w:val="000000"/>
                <w:sz w:val="14"/>
                <w:szCs w:val="14"/>
                <w:lang w:eastAsia="sk-SK"/>
              </w:rPr>
              <w:t>Pozn.: kladné hodnoty znamenajú úsporu</w:t>
            </w:r>
          </w:p>
        </w:tc>
        <w:tc>
          <w:tcPr>
            <w:tcW w:w="418" w:type="pct"/>
            <w:tcBorders>
              <w:top w:val="single" w:sz="4" w:space="0" w:color="auto"/>
              <w:left w:val="nil"/>
              <w:bottom w:val="nil"/>
              <w:right w:val="nil"/>
            </w:tcBorders>
            <w:shd w:val="clear" w:color="auto" w:fill="auto"/>
            <w:noWrap/>
            <w:vAlign w:val="bottom"/>
            <w:hideMark/>
          </w:tcPr>
          <w:p w:rsidR="007D13F3" w:rsidRPr="00D909EE" w:rsidRDefault="007D13F3" w:rsidP="00465CAC">
            <w:pPr>
              <w:rPr>
                <w:rFonts w:ascii="Times New Roman" w:hAnsi="Times New Roman" w:cs="Times New Roman"/>
                <w:color w:val="000000"/>
                <w:sz w:val="14"/>
                <w:szCs w:val="14"/>
                <w:lang w:eastAsia="sk-SK"/>
              </w:rPr>
            </w:pPr>
          </w:p>
        </w:tc>
        <w:tc>
          <w:tcPr>
            <w:tcW w:w="418" w:type="pct"/>
            <w:tcBorders>
              <w:top w:val="single" w:sz="4" w:space="0" w:color="auto"/>
              <w:left w:val="nil"/>
              <w:bottom w:val="nil"/>
              <w:right w:val="nil"/>
            </w:tcBorders>
            <w:shd w:val="clear" w:color="auto" w:fill="auto"/>
            <w:noWrap/>
            <w:vAlign w:val="bottom"/>
            <w:hideMark/>
          </w:tcPr>
          <w:p w:rsidR="007D13F3" w:rsidRPr="00D909EE" w:rsidRDefault="007D13F3" w:rsidP="00465CAC">
            <w:pPr>
              <w:rPr>
                <w:rFonts w:ascii="Times New Roman" w:hAnsi="Times New Roman" w:cs="Times New Roman"/>
                <w:sz w:val="20"/>
                <w:szCs w:val="20"/>
                <w:lang w:eastAsia="sk-SK"/>
              </w:rPr>
            </w:pPr>
          </w:p>
        </w:tc>
        <w:tc>
          <w:tcPr>
            <w:tcW w:w="418" w:type="pct"/>
            <w:tcBorders>
              <w:top w:val="single" w:sz="4" w:space="0" w:color="auto"/>
              <w:left w:val="nil"/>
              <w:bottom w:val="nil"/>
              <w:right w:val="nil"/>
            </w:tcBorders>
            <w:shd w:val="clear" w:color="auto" w:fill="auto"/>
            <w:noWrap/>
            <w:vAlign w:val="bottom"/>
            <w:hideMark/>
          </w:tcPr>
          <w:p w:rsidR="007D13F3" w:rsidRPr="00D909EE" w:rsidRDefault="007D13F3" w:rsidP="00465CAC">
            <w:pPr>
              <w:rPr>
                <w:rFonts w:ascii="Times New Roman" w:hAnsi="Times New Roman" w:cs="Times New Roman"/>
                <w:sz w:val="20"/>
                <w:szCs w:val="20"/>
                <w:lang w:eastAsia="sk-SK"/>
              </w:rPr>
            </w:pPr>
          </w:p>
        </w:tc>
        <w:tc>
          <w:tcPr>
            <w:tcW w:w="418" w:type="pct"/>
            <w:tcBorders>
              <w:top w:val="single" w:sz="4" w:space="0" w:color="auto"/>
              <w:left w:val="nil"/>
              <w:bottom w:val="nil"/>
              <w:right w:val="nil"/>
            </w:tcBorders>
            <w:shd w:val="clear" w:color="auto" w:fill="auto"/>
            <w:noWrap/>
            <w:vAlign w:val="bottom"/>
            <w:hideMark/>
          </w:tcPr>
          <w:p w:rsidR="007D13F3" w:rsidRPr="00D909EE" w:rsidRDefault="007D13F3" w:rsidP="00465CAC">
            <w:pPr>
              <w:rPr>
                <w:rFonts w:ascii="Times New Roman" w:hAnsi="Times New Roman" w:cs="Times New Roman"/>
                <w:sz w:val="20"/>
                <w:szCs w:val="20"/>
                <w:lang w:eastAsia="sk-SK"/>
              </w:rPr>
            </w:pPr>
          </w:p>
        </w:tc>
        <w:tc>
          <w:tcPr>
            <w:tcW w:w="514" w:type="pct"/>
            <w:tcBorders>
              <w:top w:val="single" w:sz="4" w:space="0" w:color="auto"/>
              <w:left w:val="nil"/>
              <w:bottom w:val="nil"/>
              <w:right w:val="nil"/>
            </w:tcBorders>
            <w:shd w:val="clear" w:color="auto" w:fill="auto"/>
            <w:noWrap/>
            <w:vAlign w:val="bottom"/>
            <w:hideMark/>
          </w:tcPr>
          <w:p w:rsidR="007D13F3" w:rsidRPr="00D909EE" w:rsidRDefault="007D13F3" w:rsidP="00465CAC">
            <w:pPr>
              <w:rPr>
                <w:rFonts w:ascii="Times New Roman" w:hAnsi="Times New Roman" w:cs="Times New Roman"/>
                <w:sz w:val="20"/>
                <w:szCs w:val="20"/>
                <w:lang w:eastAsia="sk-SK"/>
              </w:rPr>
            </w:pPr>
          </w:p>
        </w:tc>
        <w:tc>
          <w:tcPr>
            <w:tcW w:w="418" w:type="pct"/>
            <w:tcBorders>
              <w:top w:val="single" w:sz="4" w:space="0" w:color="auto"/>
              <w:left w:val="nil"/>
              <w:bottom w:val="nil"/>
              <w:right w:val="nil"/>
            </w:tcBorders>
            <w:shd w:val="clear" w:color="auto" w:fill="auto"/>
            <w:noWrap/>
            <w:vAlign w:val="bottom"/>
            <w:hideMark/>
          </w:tcPr>
          <w:p w:rsidR="007D13F3" w:rsidRPr="00D909EE" w:rsidRDefault="007D13F3" w:rsidP="00465CAC">
            <w:pPr>
              <w:rPr>
                <w:rFonts w:ascii="Times New Roman" w:hAnsi="Times New Roman" w:cs="Times New Roman"/>
                <w:sz w:val="20"/>
                <w:szCs w:val="20"/>
                <w:lang w:eastAsia="sk-SK"/>
              </w:rPr>
            </w:pPr>
          </w:p>
        </w:tc>
      </w:tr>
    </w:tbl>
    <w:p w:rsidR="007D13F3" w:rsidRDefault="007D13F3" w:rsidP="007D13F3">
      <w:pPr>
        <w:rPr>
          <w:highlight w:val="yellow"/>
        </w:rPr>
      </w:pPr>
    </w:p>
    <w:p w:rsidR="007D13F3" w:rsidRDefault="007D13F3" w:rsidP="007D13F3">
      <w:pPr>
        <w:keepNext/>
        <w:keepLines/>
        <w:spacing w:line="259" w:lineRule="auto"/>
        <w:outlineLvl w:val="0"/>
        <w:rPr>
          <w:rFonts w:ascii="Times New Roman" w:eastAsiaTheme="majorEastAsia" w:hAnsi="Times New Roman" w:cs="Times New Roman"/>
          <w:b/>
          <w:szCs w:val="32"/>
          <w:lang w:eastAsia="en-US"/>
        </w:rPr>
      </w:pPr>
      <w:r w:rsidRPr="00D909EE">
        <w:rPr>
          <w:rFonts w:ascii="Times New Roman" w:eastAsiaTheme="majorEastAsia" w:hAnsi="Times New Roman" w:cs="Times New Roman"/>
          <w:b/>
          <w:szCs w:val="32"/>
          <w:lang w:eastAsia="en-US"/>
        </w:rPr>
        <w:t>Lieky, zdravotné pomôcky a špeciálny zdravotnícky materiál</w:t>
      </w:r>
    </w:p>
    <w:p w:rsidR="007D13F3" w:rsidRPr="00C816E1" w:rsidRDefault="007D13F3" w:rsidP="007D13F3">
      <w:pPr>
        <w:keepNext/>
        <w:keepLines/>
        <w:spacing w:line="259" w:lineRule="auto"/>
        <w:outlineLvl w:val="0"/>
        <w:rPr>
          <w:rFonts w:ascii="Times New Roman" w:eastAsiaTheme="majorEastAsia" w:hAnsi="Times New Roman" w:cs="Times New Roman"/>
          <w:b/>
          <w:szCs w:val="32"/>
          <w:lang w:eastAsia="en-US"/>
        </w:rPr>
      </w:pPr>
    </w:p>
    <w:p w:rsidR="007D13F3" w:rsidRDefault="007D13F3" w:rsidP="007D13F3">
      <w:pPr>
        <w:spacing w:line="259" w:lineRule="auto"/>
        <w:ind w:firstLine="708"/>
        <w:jc w:val="both"/>
        <w:rPr>
          <w:rFonts w:ascii="Times New Roman" w:eastAsiaTheme="minorHAnsi" w:hAnsi="Times New Roman" w:cs="Times New Roman"/>
          <w:szCs w:val="22"/>
          <w:lang w:eastAsia="en-US"/>
        </w:rPr>
      </w:pPr>
      <w:r w:rsidRPr="00D909EE">
        <w:rPr>
          <w:rFonts w:ascii="Times New Roman" w:eastAsiaTheme="minorHAnsi" w:hAnsi="Times New Roman" w:cs="Times New Roman"/>
          <w:szCs w:val="22"/>
          <w:lang w:eastAsia="en-US"/>
        </w:rPr>
        <w:t xml:space="preserve">V roku 2018 poklesnú výdavky na lieky, zdravotnícke pomôcky a špeciálny zdravotný materiál o 115 mil. eur </w:t>
      </w:r>
      <w:r w:rsidR="00D6621B">
        <w:rPr>
          <w:rFonts w:ascii="Times New Roman" w:eastAsiaTheme="minorHAnsi" w:hAnsi="Times New Roman" w:cs="Times New Roman"/>
          <w:szCs w:val="22"/>
          <w:lang w:eastAsia="en-US"/>
        </w:rPr>
        <w:t xml:space="preserve">oproti roku 2016 </w:t>
      </w:r>
      <w:r w:rsidRPr="00D909EE">
        <w:rPr>
          <w:rFonts w:ascii="Times New Roman" w:eastAsiaTheme="minorHAnsi" w:hAnsi="Times New Roman" w:cs="Times New Roman"/>
          <w:szCs w:val="22"/>
          <w:lang w:eastAsia="en-US"/>
        </w:rPr>
        <w:t xml:space="preserve">najmä vďaka opatreniam v oblasti nadspotreby liekov a </w:t>
      </w:r>
      <w:proofErr w:type="spellStart"/>
      <w:r w:rsidRPr="00D909EE">
        <w:rPr>
          <w:rFonts w:ascii="Times New Roman" w:eastAsiaTheme="minorHAnsi" w:hAnsi="Times New Roman" w:cs="Times New Roman"/>
          <w:szCs w:val="22"/>
          <w:lang w:eastAsia="en-US"/>
        </w:rPr>
        <w:t>referencovania</w:t>
      </w:r>
      <w:proofErr w:type="spellEnd"/>
      <w:r w:rsidRPr="00D909EE">
        <w:rPr>
          <w:rFonts w:ascii="Times New Roman" w:eastAsiaTheme="minorHAnsi" w:hAnsi="Times New Roman" w:cs="Times New Roman"/>
          <w:szCs w:val="22"/>
          <w:lang w:eastAsia="en-US"/>
        </w:rPr>
        <w:t xml:space="preserve"> cien ŠZM a zdravotníckych pomôcok. Lieky predstavujú jednu z najnákladnejších oblastí zdravotnej starostlivosti. </w:t>
      </w:r>
    </w:p>
    <w:p w:rsidR="007D13F3" w:rsidRPr="00D909EE" w:rsidRDefault="007D13F3" w:rsidP="007D13F3">
      <w:pPr>
        <w:spacing w:line="259" w:lineRule="auto"/>
        <w:ind w:firstLine="708"/>
        <w:jc w:val="both"/>
        <w:rPr>
          <w:rFonts w:ascii="Times New Roman" w:eastAsiaTheme="minorHAnsi" w:hAnsi="Times New Roman" w:cs="Times New Roman"/>
          <w:szCs w:val="22"/>
          <w:lang w:eastAsia="en-US"/>
        </w:rPr>
      </w:pPr>
    </w:p>
    <w:p w:rsidR="007D13F3" w:rsidRPr="00D909EE" w:rsidRDefault="007D13F3" w:rsidP="007D13F3">
      <w:pPr>
        <w:spacing w:line="259" w:lineRule="auto"/>
        <w:ind w:firstLine="708"/>
        <w:jc w:val="both"/>
        <w:rPr>
          <w:rFonts w:ascii="Times New Roman" w:eastAsiaTheme="minorHAnsi" w:hAnsi="Times New Roman" w:cs="Times New Roman"/>
          <w:szCs w:val="22"/>
          <w:lang w:eastAsia="en-US"/>
        </w:rPr>
      </w:pPr>
      <w:r w:rsidRPr="00D909EE">
        <w:rPr>
          <w:rFonts w:ascii="Times New Roman" w:eastAsiaTheme="minorHAnsi" w:hAnsi="Times New Roman" w:cs="Times New Roman"/>
          <w:szCs w:val="22"/>
          <w:lang w:eastAsia="en-US"/>
        </w:rPr>
        <w:t xml:space="preserve">Aj keď má Slovensko vďaka </w:t>
      </w:r>
      <w:proofErr w:type="spellStart"/>
      <w:r w:rsidRPr="00D909EE">
        <w:rPr>
          <w:rFonts w:ascii="Times New Roman" w:eastAsiaTheme="minorHAnsi" w:hAnsi="Times New Roman" w:cs="Times New Roman"/>
          <w:szCs w:val="22"/>
          <w:lang w:eastAsia="en-US"/>
        </w:rPr>
        <w:t>referencovaniu</w:t>
      </w:r>
      <w:proofErr w:type="spellEnd"/>
      <w:r w:rsidRPr="00D909EE">
        <w:rPr>
          <w:rFonts w:ascii="Times New Roman" w:eastAsiaTheme="minorHAnsi" w:hAnsi="Times New Roman" w:cs="Times New Roman"/>
          <w:szCs w:val="22"/>
          <w:lang w:eastAsia="en-US"/>
        </w:rPr>
        <w:t xml:space="preserve"> jedny z najnižších cien liekov a zdravotníckych pomôcok v EÚ, výdavky na obyvateľa presahujú priemer EÚ aj OECD. Príčinou môže byť vyššia spotreba, nákladová neefektívnosť a chýbajúce štandardy. </w:t>
      </w:r>
    </w:p>
    <w:p w:rsidR="007D13F3" w:rsidRPr="00D909EE" w:rsidRDefault="007D13F3" w:rsidP="007D13F3">
      <w:pPr>
        <w:spacing w:line="259" w:lineRule="auto"/>
        <w:ind w:firstLine="708"/>
        <w:jc w:val="both"/>
        <w:rPr>
          <w:rFonts w:ascii="Times New Roman" w:eastAsiaTheme="minorHAnsi" w:hAnsi="Times New Roman" w:cs="Times New Roman"/>
          <w:szCs w:val="22"/>
          <w:lang w:eastAsia="en-US"/>
        </w:rPr>
      </w:pPr>
    </w:p>
    <w:tbl>
      <w:tblPr>
        <w:tblStyle w:val="Mriekatabuky"/>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9"/>
        <w:gridCol w:w="4548"/>
      </w:tblGrid>
      <w:tr w:rsidR="007D13F3" w:rsidRPr="00D909EE" w:rsidTr="00465CAC">
        <w:trPr>
          <w:trHeight w:val="336"/>
        </w:trPr>
        <w:tc>
          <w:tcPr>
            <w:tcW w:w="4409" w:type="dxa"/>
            <w:tcBorders>
              <w:bottom w:val="single" w:sz="4" w:space="0" w:color="auto"/>
            </w:tcBorders>
            <w:shd w:val="clear" w:color="auto" w:fill="A6A6A6" w:themeFill="background1" w:themeFillShade="A6"/>
          </w:tcPr>
          <w:p w:rsidR="007D13F3" w:rsidRPr="00D909EE" w:rsidRDefault="007D13F3" w:rsidP="00465CAC">
            <w:pPr>
              <w:keepNext/>
              <w:jc w:val="both"/>
              <w:rPr>
                <w:rFonts w:ascii="Times New Roman" w:eastAsia="Arial" w:hAnsi="Times New Roman" w:cs="Times New Roman"/>
                <w:b/>
                <w:bCs/>
                <w:color w:val="000000"/>
                <w:sz w:val="14"/>
                <w:szCs w:val="19"/>
                <w:lang w:val="fr-FR" w:eastAsia="fr-FR" w:bidi="fr-FR"/>
              </w:rPr>
            </w:pPr>
            <w:bookmarkStart w:id="78" w:name="_Toc457207500"/>
            <w:r w:rsidRPr="00D909EE">
              <w:rPr>
                <w:rFonts w:ascii="Times New Roman" w:eastAsia="Arial" w:hAnsi="Times New Roman" w:cs="Times New Roman"/>
                <w:b/>
                <w:bCs/>
                <w:color w:val="000000"/>
                <w:sz w:val="14"/>
                <w:szCs w:val="19"/>
                <w:lang w:val="fr-FR" w:eastAsia="fr-FR" w:bidi="fr-FR"/>
              </w:rPr>
              <w:lastRenderedPageBreak/>
              <w:t>Graf: Výdavky na medicínsky tovar vrátane liekov (USD, PPP, na obyvateľa)</w:t>
            </w:r>
            <w:bookmarkEnd w:id="78"/>
            <w:r w:rsidRPr="00D909EE">
              <w:rPr>
                <w:rFonts w:ascii="Times New Roman" w:eastAsia="Arial" w:hAnsi="Times New Roman" w:cs="Times New Roman"/>
                <w:b/>
                <w:bCs/>
                <w:color w:val="000000"/>
                <w:sz w:val="14"/>
                <w:szCs w:val="19"/>
                <w:lang w:val="fr-FR" w:eastAsia="fr-FR" w:bidi="fr-FR"/>
              </w:rPr>
              <w:t xml:space="preserve"> </w:t>
            </w:r>
          </w:p>
        </w:tc>
        <w:tc>
          <w:tcPr>
            <w:tcW w:w="4548" w:type="dxa"/>
            <w:tcBorders>
              <w:bottom w:val="single" w:sz="4" w:space="0" w:color="auto"/>
            </w:tcBorders>
            <w:shd w:val="clear" w:color="auto" w:fill="A6A6A6" w:themeFill="background1" w:themeFillShade="A6"/>
          </w:tcPr>
          <w:p w:rsidR="007D13F3" w:rsidRPr="00D909EE" w:rsidRDefault="007D13F3" w:rsidP="00465CAC">
            <w:pPr>
              <w:keepNext/>
              <w:jc w:val="both"/>
              <w:rPr>
                <w:rFonts w:ascii="Times New Roman" w:eastAsia="Arial" w:hAnsi="Times New Roman" w:cs="Times New Roman"/>
                <w:b/>
                <w:bCs/>
                <w:color w:val="000000"/>
                <w:sz w:val="14"/>
                <w:szCs w:val="19"/>
                <w:lang w:val="fr-FR" w:eastAsia="fr-FR" w:bidi="fr-FR"/>
              </w:rPr>
            </w:pPr>
            <w:bookmarkStart w:id="79" w:name="_Toc457207501"/>
            <w:r w:rsidRPr="00D909EE">
              <w:rPr>
                <w:rFonts w:ascii="Times New Roman" w:eastAsia="Arial" w:hAnsi="Times New Roman" w:cs="Times New Roman"/>
                <w:b/>
                <w:bCs/>
                <w:color w:val="000000"/>
                <w:sz w:val="14"/>
                <w:szCs w:val="19"/>
                <w:lang w:val="fr-FR" w:eastAsia="fr-FR" w:bidi="fr-FR"/>
              </w:rPr>
              <w:t>Graf: Podiel českej ku slovenskej spotrebe (v %) * podľa OECD a SÚKL – NCZI</w:t>
            </w:r>
            <w:bookmarkEnd w:id="79"/>
          </w:p>
        </w:tc>
      </w:tr>
      <w:tr w:rsidR="007D13F3" w:rsidRPr="00D909EE" w:rsidTr="00465CAC">
        <w:tblPrEx>
          <w:tblCellMar>
            <w:left w:w="70" w:type="dxa"/>
            <w:right w:w="70" w:type="dxa"/>
          </w:tblCellMar>
        </w:tblPrEx>
        <w:trPr>
          <w:trHeight w:val="2324"/>
        </w:trPr>
        <w:tc>
          <w:tcPr>
            <w:tcW w:w="4409" w:type="dxa"/>
            <w:tcBorders>
              <w:top w:val="single" w:sz="4" w:space="0" w:color="auto"/>
              <w:bottom w:val="single" w:sz="4" w:space="0" w:color="auto"/>
            </w:tcBorders>
          </w:tcPr>
          <w:p w:rsidR="007D13F3" w:rsidRPr="00D909EE" w:rsidRDefault="007D13F3" w:rsidP="00465CAC">
            <w:pPr>
              <w:spacing w:line="276" w:lineRule="auto"/>
              <w:jc w:val="both"/>
              <w:rPr>
                <w:rFonts w:ascii="Arial Narrow" w:eastAsiaTheme="minorHAnsi" w:hAnsi="Arial Narrow" w:cstheme="minorBidi"/>
                <w:sz w:val="22"/>
                <w:szCs w:val="22"/>
                <w:lang w:eastAsia="en-US"/>
              </w:rPr>
            </w:pPr>
            <w:r w:rsidRPr="00D909EE">
              <w:rPr>
                <w:rFonts w:asciiTheme="minorHAnsi" w:eastAsiaTheme="minorHAnsi" w:hAnsiTheme="minorHAnsi" w:cstheme="minorBidi"/>
                <w:noProof/>
                <w:sz w:val="22"/>
                <w:szCs w:val="22"/>
                <w:lang w:eastAsia="sk-SK"/>
              </w:rPr>
              <w:drawing>
                <wp:inline distT="0" distB="0" distL="0" distR="0" wp14:anchorId="0F92B8ED" wp14:editId="0ACD07B6">
                  <wp:extent cx="2710815" cy="1295400"/>
                  <wp:effectExtent l="0" t="0" r="13335"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548" w:type="dxa"/>
            <w:tcBorders>
              <w:top w:val="single" w:sz="4" w:space="0" w:color="auto"/>
              <w:bottom w:val="single" w:sz="4" w:space="0" w:color="auto"/>
            </w:tcBorders>
          </w:tcPr>
          <w:p w:rsidR="007D13F3" w:rsidRPr="00D909EE" w:rsidRDefault="007D13F3" w:rsidP="00465CAC">
            <w:pPr>
              <w:spacing w:line="276" w:lineRule="auto"/>
              <w:jc w:val="both"/>
              <w:rPr>
                <w:rFonts w:ascii="Arial Narrow" w:eastAsiaTheme="minorHAnsi" w:hAnsi="Arial Narrow" w:cstheme="minorBidi"/>
                <w:noProof/>
                <w:sz w:val="22"/>
                <w:szCs w:val="22"/>
                <w:lang w:eastAsia="en-US"/>
              </w:rPr>
            </w:pPr>
            <w:r w:rsidRPr="00D909EE">
              <w:rPr>
                <w:rFonts w:ascii="Arial Narrow" w:eastAsiaTheme="minorHAnsi" w:hAnsi="Arial Narrow" w:cstheme="minorBidi"/>
                <w:noProof/>
                <w:sz w:val="22"/>
                <w:szCs w:val="22"/>
                <w:lang w:eastAsia="sk-SK"/>
              </w:rPr>
              <w:drawing>
                <wp:inline distT="0" distB="0" distL="0" distR="0" wp14:anchorId="76AD90A7" wp14:editId="7B935811">
                  <wp:extent cx="2771775" cy="1880235"/>
                  <wp:effectExtent l="0" t="0" r="0" b="571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7D13F3" w:rsidRPr="00D909EE" w:rsidTr="00465CAC">
        <w:trPr>
          <w:trHeight w:val="130"/>
        </w:trPr>
        <w:tc>
          <w:tcPr>
            <w:tcW w:w="4409" w:type="dxa"/>
            <w:tcBorders>
              <w:top w:val="single" w:sz="4" w:space="0" w:color="auto"/>
            </w:tcBorders>
          </w:tcPr>
          <w:p w:rsidR="007D13F3" w:rsidRPr="00D909EE" w:rsidRDefault="007D13F3" w:rsidP="00465CAC">
            <w:pPr>
              <w:spacing w:line="276" w:lineRule="auto"/>
              <w:jc w:val="right"/>
              <w:rPr>
                <w:rFonts w:ascii="Times New Roman" w:eastAsiaTheme="minorHAnsi" w:hAnsi="Times New Roman" w:cs="Times New Roman"/>
                <w:i/>
                <w:sz w:val="14"/>
                <w:szCs w:val="16"/>
                <w:lang w:eastAsia="en-US"/>
              </w:rPr>
            </w:pPr>
            <w:r w:rsidRPr="00D909EE">
              <w:rPr>
                <w:rFonts w:ascii="Times New Roman" w:eastAsiaTheme="minorHAnsi" w:hAnsi="Times New Roman" w:cs="Times New Roman"/>
                <w:i/>
                <w:sz w:val="14"/>
                <w:szCs w:val="16"/>
                <w:lang w:eastAsia="en-US"/>
              </w:rPr>
              <w:t>Zdroj: OECD</w:t>
            </w:r>
          </w:p>
        </w:tc>
        <w:tc>
          <w:tcPr>
            <w:tcW w:w="4548" w:type="dxa"/>
            <w:tcBorders>
              <w:top w:val="single" w:sz="4" w:space="0" w:color="auto"/>
            </w:tcBorders>
          </w:tcPr>
          <w:p w:rsidR="007D13F3" w:rsidRPr="00D909EE" w:rsidRDefault="007D13F3" w:rsidP="00465CAC">
            <w:pPr>
              <w:spacing w:line="276" w:lineRule="auto"/>
              <w:jc w:val="right"/>
              <w:rPr>
                <w:rFonts w:ascii="Times New Roman" w:eastAsiaTheme="minorHAnsi" w:hAnsi="Times New Roman" w:cs="Times New Roman"/>
                <w:i/>
                <w:sz w:val="14"/>
                <w:szCs w:val="16"/>
                <w:lang w:eastAsia="en-US"/>
              </w:rPr>
            </w:pPr>
            <w:r w:rsidRPr="00D909EE">
              <w:rPr>
                <w:rFonts w:ascii="Times New Roman" w:eastAsiaTheme="minorHAnsi" w:hAnsi="Times New Roman" w:cs="Times New Roman"/>
                <w:i/>
                <w:sz w:val="14"/>
                <w:szCs w:val="16"/>
                <w:lang w:eastAsia="en-US"/>
              </w:rPr>
              <w:t>Zdroj: OECD, SÚKL, NCZI</w:t>
            </w:r>
          </w:p>
          <w:p w:rsidR="007D13F3" w:rsidRPr="00D909EE" w:rsidRDefault="007D13F3" w:rsidP="00465CAC">
            <w:pPr>
              <w:spacing w:line="276" w:lineRule="auto"/>
              <w:rPr>
                <w:rFonts w:ascii="Times New Roman" w:eastAsiaTheme="minorHAnsi" w:hAnsi="Times New Roman" w:cs="Times New Roman"/>
                <w:i/>
                <w:sz w:val="14"/>
                <w:szCs w:val="16"/>
                <w:lang w:eastAsia="en-US"/>
              </w:rPr>
            </w:pPr>
            <w:r w:rsidRPr="00D909EE">
              <w:rPr>
                <w:rFonts w:ascii="Times New Roman" w:eastAsiaTheme="minorHAnsi" w:hAnsi="Times New Roman" w:cs="Times New Roman"/>
                <w:i/>
                <w:sz w:val="14"/>
                <w:szCs w:val="16"/>
                <w:lang w:eastAsia="en-US"/>
              </w:rPr>
              <w:t xml:space="preserve">* Spotreba v DDD na 1000 </w:t>
            </w:r>
            <w:proofErr w:type="spellStart"/>
            <w:r w:rsidRPr="00D909EE">
              <w:rPr>
                <w:rFonts w:ascii="Times New Roman" w:eastAsiaTheme="minorHAnsi" w:hAnsi="Times New Roman" w:cs="Times New Roman"/>
                <w:i/>
                <w:sz w:val="14"/>
                <w:szCs w:val="16"/>
                <w:lang w:eastAsia="en-US"/>
              </w:rPr>
              <w:t>ob</w:t>
            </w:r>
            <w:proofErr w:type="spellEnd"/>
            <w:r w:rsidRPr="00D909EE">
              <w:rPr>
                <w:rFonts w:ascii="Times New Roman" w:eastAsiaTheme="minorHAnsi" w:hAnsi="Times New Roman" w:cs="Times New Roman"/>
                <w:i/>
                <w:sz w:val="14"/>
                <w:szCs w:val="16"/>
                <w:lang w:eastAsia="en-US"/>
              </w:rPr>
              <w:t>./deň. Ak sa v niektorej ATC skupine dosahuje hodnota menej ako 100% (pod čiarou), znamená to že česká spotreba je nižšia ako slovenská.</w:t>
            </w:r>
          </w:p>
        </w:tc>
      </w:tr>
    </w:tbl>
    <w:p w:rsidR="007D13F3" w:rsidRDefault="007D13F3" w:rsidP="007D13F3">
      <w:pPr>
        <w:rPr>
          <w:highlight w:val="yellow"/>
        </w:rPr>
      </w:pPr>
    </w:p>
    <w:p w:rsidR="007D13F3" w:rsidRPr="00D909EE" w:rsidRDefault="007D13F3" w:rsidP="007D13F3">
      <w:pPr>
        <w:spacing w:line="259" w:lineRule="auto"/>
        <w:ind w:firstLine="708"/>
        <w:jc w:val="both"/>
        <w:rPr>
          <w:rFonts w:ascii="Times New Roman" w:eastAsiaTheme="minorHAnsi" w:hAnsi="Times New Roman" w:cs="Times New Roman"/>
          <w:szCs w:val="22"/>
          <w:lang w:eastAsia="en-US"/>
        </w:rPr>
      </w:pPr>
      <w:r w:rsidRPr="00D909EE">
        <w:rPr>
          <w:rFonts w:ascii="Times New Roman" w:eastAsiaTheme="minorHAnsi" w:hAnsi="Times New Roman" w:cs="Times New Roman"/>
          <w:szCs w:val="22"/>
          <w:lang w:eastAsia="en-US"/>
        </w:rPr>
        <w:t>Slovensko spotrebuje v porovnaní s ČR viac liekov na tráviaci trakt, kardiovaskulárny, nervový a respiračný systém a </w:t>
      </w:r>
      <w:proofErr w:type="spellStart"/>
      <w:r w:rsidRPr="00D909EE">
        <w:rPr>
          <w:rFonts w:ascii="Times New Roman" w:eastAsiaTheme="minorHAnsi" w:hAnsi="Times New Roman" w:cs="Times New Roman"/>
          <w:szCs w:val="22"/>
          <w:lang w:eastAsia="en-US"/>
        </w:rPr>
        <w:t>antiinfektív</w:t>
      </w:r>
      <w:proofErr w:type="spellEnd"/>
      <w:r w:rsidRPr="00D909EE">
        <w:rPr>
          <w:rFonts w:ascii="Times New Roman" w:eastAsiaTheme="minorHAnsi" w:hAnsi="Times New Roman" w:cs="Times New Roman"/>
          <w:szCs w:val="22"/>
          <w:lang w:eastAsia="en-US"/>
        </w:rPr>
        <w:t xml:space="preserve">. Výsledok porovnania spotreby liekov v definovaných denných dávkach (DDD) na základe dát OECD potvrdilo aj porovnanie dát z národných inštitúcií (český </w:t>
      </w:r>
      <w:proofErr w:type="spellStart"/>
      <w:r w:rsidRPr="00D909EE">
        <w:rPr>
          <w:rFonts w:ascii="Times New Roman" w:eastAsiaTheme="minorHAnsi" w:hAnsi="Times New Roman" w:cs="Times New Roman"/>
          <w:szCs w:val="22"/>
          <w:lang w:eastAsia="en-US"/>
        </w:rPr>
        <w:t>Státní</w:t>
      </w:r>
      <w:proofErr w:type="spellEnd"/>
      <w:r w:rsidRPr="00D909EE">
        <w:rPr>
          <w:rFonts w:ascii="Times New Roman" w:eastAsiaTheme="minorHAnsi" w:hAnsi="Times New Roman" w:cs="Times New Roman"/>
          <w:szCs w:val="22"/>
          <w:lang w:eastAsia="en-US"/>
        </w:rPr>
        <w:t xml:space="preserve"> ústav na kontrolu </w:t>
      </w:r>
      <w:proofErr w:type="spellStart"/>
      <w:r w:rsidRPr="00D909EE">
        <w:rPr>
          <w:rFonts w:ascii="Times New Roman" w:eastAsiaTheme="minorHAnsi" w:hAnsi="Times New Roman" w:cs="Times New Roman"/>
          <w:szCs w:val="22"/>
          <w:lang w:eastAsia="en-US"/>
        </w:rPr>
        <w:t>léčiv</w:t>
      </w:r>
      <w:proofErr w:type="spellEnd"/>
      <w:r w:rsidRPr="00D909EE">
        <w:rPr>
          <w:rFonts w:ascii="Times New Roman" w:eastAsiaTheme="minorHAnsi" w:hAnsi="Times New Roman" w:cs="Times New Roman"/>
          <w:szCs w:val="22"/>
          <w:lang w:eastAsia="en-US"/>
        </w:rPr>
        <w:t xml:space="preserve"> – SÚKL a slovenské Národné centrum zdravotníckych informácií - NCZI). </w:t>
      </w:r>
    </w:p>
    <w:p w:rsidR="007D13F3" w:rsidRPr="00D909EE" w:rsidRDefault="007D13F3" w:rsidP="007D13F3">
      <w:pPr>
        <w:spacing w:line="259" w:lineRule="auto"/>
        <w:jc w:val="both"/>
        <w:rPr>
          <w:rFonts w:ascii="Times New Roman" w:eastAsiaTheme="minorHAnsi" w:hAnsi="Times New Roman" w:cs="Times New Roman"/>
          <w:b/>
          <w:i/>
          <w:sz w:val="22"/>
          <w:szCs w:val="22"/>
          <w:lang w:eastAsia="en-US"/>
        </w:rPr>
      </w:pPr>
    </w:p>
    <w:p w:rsidR="007D13F3" w:rsidRPr="00D909EE" w:rsidRDefault="007D13F3" w:rsidP="007D13F3">
      <w:pPr>
        <w:spacing w:line="259" w:lineRule="auto"/>
        <w:jc w:val="both"/>
        <w:rPr>
          <w:rFonts w:ascii="Times New Roman" w:eastAsiaTheme="minorHAnsi" w:hAnsi="Times New Roman" w:cs="Times New Roman"/>
          <w:b/>
          <w:i/>
          <w:szCs w:val="22"/>
          <w:lang w:eastAsia="en-US"/>
        </w:rPr>
      </w:pPr>
      <w:r w:rsidRPr="00D909EE">
        <w:rPr>
          <w:rFonts w:ascii="Times New Roman" w:eastAsiaTheme="minorHAnsi" w:hAnsi="Times New Roman" w:cs="Times New Roman"/>
          <w:b/>
          <w:i/>
          <w:szCs w:val="22"/>
          <w:lang w:eastAsia="en-US"/>
        </w:rPr>
        <w:t>Opatrenia</w:t>
      </w:r>
    </w:p>
    <w:p w:rsidR="007D13F3" w:rsidRPr="00D909EE" w:rsidRDefault="007D13F3" w:rsidP="007D13F3">
      <w:pPr>
        <w:spacing w:line="259" w:lineRule="auto"/>
        <w:jc w:val="both"/>
        <w:rPr>
          <w:rFonts w:ascii="Times New Roman" w:eastAsiaTheme="minorHAnsi" w:hAnsi="Times New Roman" w:cs="Times New Roman"/>
          <w:b/>
          <w:i/>
          <w:szCs w:val="22"/>
          <w:lang w:eastAsia="en-US"/>
        </w:rPr>
      </w:pPr>
    </w:p>
    <w:p w:rsidR="007D13F3" w:rsidRPr="00D909EE" w:rsidRDefault="007D13F3" w:rsidP="007D13F3">
      <w:pPr>
        <w:numPr>
          <w:ilvl w:val="0"/>
          <w:numId w:val="14"/>
        </w:numPr>
        <w:spacing w:after="160" w:line="259" w:lineRule="auto"/>
        <w:contextualSpacing/>
        <w:jc w:val="both"/>
        <w:rPr>
          <w:rFonts w:ascii="Times New Roman" w:eastAsiaTheme="minorHAnsi" w:hAnsi="Times New Roman" w:cs="Times New Roman"/>
          <w:szCs w:val="22"/>
          <w:lang w:eastAsia="en-US"/>
        </w:rPr>
      </w:pPr>
      <w:r w:rsidRPr="00D909EE">
        <w:rPr>
          <w:rFonts w:ascii="Times New Roman" w:eastAsiaTheme="minorHAnsi" w:hAnsi="Times New Roman" w:cs="Times New Roman"/>
          <w:szCs w:val="22"/>
          <w:lang w:eastAsia="en-US"/>
        </w:rPr>
        <w:t>Zavedenie limitov na predpisovanie liekov vo všeobecnej ambulantnej starostlivosti (VAS), špecializovanej ambulantnej starostlivosti (ŠAS) a plná implementácia e-receptu sa oproti plánu presúva na rok 2018, čím sa zníži spotreba liekov o 20 mil. eur.</w:t>
      </w:r>
    </w:p>
    <w:p w:rsidR="007D13F3" w:rsidRPr="00D909EE" w:rsidRDefault="007D13F3" w:rsidP="007D13F3">
      <w:pPr>
        <w:numPr>
          <w:ilvl w:val="0"/>
          <w:numId w:val="14"/>
        </w:numPr>
        <w:spacing w:after="160" w:line="259" w:lineRule="auto"/>
        <w:contextualSpacing/>
        <w:jc w:val="both"/>
        <w:rPr>
          <w:rFonts w:ascii="Times New Roman" w:eastAsiaTheme="minorHAnsi" w:hAnsi="Times New Roman" w:cs="Times New Roman"/>
          <w:szCs w:val="22"/>
          <w:lang w:eastAsia="en-US"/>
        </w:rPr>
      </w:pPr>
      <w:r w:rsidRPr="00D909EE">
        <w:rPr>
          <w:rFonts w:ascii="Times New Roman" w:eastAsiaTheme="minorHAnsi" w:hAnsi="Times New Roman" w:cs="Times New Roman"/>
          <w:szCs w:val="22"/>
          <w:lang w:eastAsia="en-US"/>
        </w:rPr>
        <w:t xml:space="preserve">K vyššej dostupnosti inovatívnych liekov a transparentnejšiemu využívaniu prostriedkov zdravotného poistenia prispejú nové pravidlá v liekovej politike – zavedenie princípov zdieľania rizika a nákladov medzi držiteľmi registrácie a zdravotnými poisťovňami, vyhodnocovanie výdavkov na podmienene kategorizované lieky a povinné zníženie ich ceny pri vstupe </w:t>
      </w:r>
      <w:proofErr w:type="spellStart"/>
      <w:r w:rsidRPr="00D909EE">
        <w:rPr>
          <w:rFonts w:ascii="Times New Roman" w:eastAsiaTheme="minorHAnsi" w:hAnsi="Times New Roman" w:cs="Times New Roman"/>
          <w:szCs w:val="22"/>
          <w:lang w:eastAsia="en-US"/>
        </w:rPr>
        <w:t>generika</w:t>
      </w:r>
      <w:proofErr w:type="spellEnd"/>
      <w:r w:rsidRPr="00D909EE">
        <w:rPr>
          <w:rFonts w:ascii="Times New Roman" w:eastAsiaTheme="minorHAnsi" w:hAnsi="Times New Roman" w:cs="Times New Roman"/>
          <w:szCs w:val="22"/>
          <w:lang w:eastAsia="en-US"/>
        </w:rPr>
        <w:t xml:space="preserve"> alebo biologicky podobného lieku na trh.</w:t>
      </w:r>
    </w:p>
    <w:p w:rsidR="007D13F3" w:rsidRPr="00D909EE" w:rsidRDefault="007D13F3" w:rsidP="007D13F3">
      <w:pPr>
        <w:numPr>
          <w:ilvl w:val="0"/>
          <w:numId w:val="14"/>
        </w:numPr>
        <w:spacing w:after="160" w:line="259" w:lineRule="auto"/>
        <w:contextualSpacing/>
        <w:jc w:val="both"/>
        <w:rPr>
          <w:rFonts w:ascii="Times New Roman" w:eastAsiaTheme="minorHAnsi" w:hAnsi="Times New Roman" w:cs="Times New Roman"/>
          <w:szCs w:val="22"/>
          <w:lang w:eastAsia="en-US"/>
        </w:rPr>
      </w:pPr>
      <w:r w:rsidRPr="00D909EE">
        <w:rPr>
          <w:rFonts w:ascii="Times New Roman" w:eastAsiaTheme="minorHAnsi" w:hAnsi="Times New Roman" w:cs="Times New Roman"/>
          <w:szCs w:val="22"/>
          <w:lang w:eastAsia="en-US"/>
        </w:rPr>
        <w:t xml:space="preserve">Centrálnym nákupom liekov zdravotnými poisťovňami sa znížia náklady na lieky </w:t>
      </w:r>
      <w:r w:rsidR="00B63FFB">
        <w:rPr>
          <w:rFonts w:ascii="Times New Roman" w:eastAsiaTheme="minorHAnsi" w:hAnsi="Times New Roman" w:cs="Times New Roman"/>
          <w:szCs w:val="22"/>
          <w:lang w:eastAsia="en-US"/>
        </w:rPr>
        <w:br/>
      </w:r>
      <w:r w:rsidRPr="00D909EE">
        <w:rPr>
          <w:rFonts w:ascii="Times New Roman" w:eastAsiaTheme="minorHAnsi" w:hAnsi="Times New Roman" w:cs="Times New Roman"/>
          <w:szCs w:val="22"/>
          <w:lang w:eastAsia="en-US"/>
        </w:rPr>
        <w:t>o 25 mil. eur v roku 2018.</w:t>
      </w:r>
    </w:p>
    <w:p w:rsidR="007D13F3" w:rsidRPr="00581713" w:rsidRDefault="007D13F3" w:rsidP="007D13F3">
      <w:pPr>
        <w:numPr>
          <w:ilvl w:val="0"/>
          <w:numId w:val="14"/>
        </w:numPr>
        <w:spacing w:after="160" w:line="259" w:lineRule="auto"/>
        <w:contextualSpacing/>
        <w:jc w:val="both"/>
        <w:rPr>
          <w:rFonts w:ascii="Times New Roman" w:eastAsiaTheme="minorHAnsi" w:hAnsi="Times New Roman" w:cs="Times New Roman"/>
          <w:szCs w:val="22"/>
          <w:lang w:eastAsia="en-US"/>
        </w:rPr>
      </w:pPr>
      <w:r w:rsidRPr="00581713">
        <w:rPr>
          <w:rFonts w:ascii="Times New Roman" w:eastAsiaTheme="minorHAnsi" w:hAnsi="Times New Roman" w:cs="Times New Roman"/>
          <w:szCs w:val="22"/>
          <w:lang w:eastAsia="en-US"/>
        </w:rPr>
        <w:t>Zavedenie pravidiel pre schvaľovanie liekov na výnimky prinesie v roku 2018 úsporu 10 mil. eur.</w:t>
      </w:r>
    </w:p>
    <w:p w:rsidR="007D13F3" w:rsidRPr="00581713" w:rsidRDefault="007D13F3" w:rsidP="007D13F3">
      <w:pPr>
        <w:numPr>
          <w:ilvl w:val="0"/>
          <w:numId w:val="14"/>
        </w:numPr>
        <w:spacing w:after="160" w:line="259" w:lineRule="auto"/>
        <w:contextualSpacing/>
        <w:jc w:val="both"/>
        <w:rPr>
          <w:rFonts w:ascii="Times New Roman" w:eastAsiaTheme="minorHAnsi" w:hAnsi="Times New Roman" w:cs="Times New Roman"/>
          <w:szCs w:val="22"/>
          <w:lang w:eastAsia="en-US"/>
        </w:rPr>
      </w:pPr>
      <w:r w:rsidRPr="00581713">
        <w:rPr>
          <w:rFonts w:ascii="Times New Roman" w:eastAsiaTheme="minorHAnsi" w:hAnsi="Times New Roman" w:cs="Times New Roman"/>
          <w:szCs w:val="22"/>
          <w:lang w:eastAsia="en-US"/>
        </w:rPr>
        <w:t xml:space="preserve">Rozšírenie </w:t>
      </w:r>
      <w:proofErr w:type="spellStart"/>
      <w:r w:rsidRPr="00581713">
        <w:rPr>
          <w:rFonts w:ascii="Times New Roman" w:eastAsiaTheme="minorHAnsi" w:hAnsi="Times New Roman" w:cs="Times New Roman"/>
          <w:szCs w:val="22"/>
          <w:lang w:eastAsia="en-US"/>
        </w:rPr>
        <w:t>referencovania</w:t>
      </w:r>
      <w:proofErr w:type="spellEnd"/>
      <w:r w:rsidRPr="00581713">
        <w:rPr>
          <w:rFonts w:ascii="Times New Roman" w:eastAsiaTheme="minorHAnsi" w:hAnsi="Times New Roman" w:cs="Times New Roman"/>
          <w:szCs w:val="22"/>
          <w:lang w:eastAsia="en-US"/>
        </w:rPr>
        <w:t xml:space="preserve"> o ďalšie krajiny a zavedenie funkčného typu ŠZM, vďaka ktorému dôjde k poklesu jednotkových cien, prinesie zníženie nákladov na špeciálny zdravotnícky materiál o 45 mil. eur v roku 2018. V roku 2017 boli zdrojom </w:t>
      </w:r>
      <w:proofErr w:type="spellStart"/>
      <w:r w:rsidRPr="00581713">
        <w:rPr>
          <w:rFonts w:ascii="Times New Roman" w:eastAsiaTheme="minorHAnsi" w:hAnsi="Times New Roman" w:cs="Times New Roman"/>
          <w:szCs w:val="22"/>
          <w:lang w:eastAsia="en-US"/>
        </w:rPr>
        <w:t>referencovania</w:t>
      </w:r>
      <w:proofErr w:type="spellEnd"/>
      <w:r w:rsidRPr="00581713">
        <w:rPr>
          <w:rFonts w:ascii="Times New Roman" w:eastAsiaTheme="minorHAnsi" w:hAnsi="Times New Roman" w:cs="Times New Roman"/>
          <w:szCs w:val="22"/>
          <w:lang w:eastAsia="en-US"/>
        </w:rPr>
        <w:t xml:space="preserve"> ceny platné v Českej republike.</w:t>
      </w:r>
    </w:p>
    <w:p w:rsidR="007D13F3" w:rsidRPr="00D909EE" w:rsidRDefault="007D13F3" w:rsidP="007D13F3">
      <w:pPr>
        <w:numPr>
          <w:ilvl w:val="0"/>
          <w:numId w:val="14"/>
        </w:numPr>
        <w:spacing w:after="160" w:line="259" w:lineRule="auto"/>
        <w:contextualSpacing/>
        <w:jc w:val="both"/>
        <w:rPr>
          <w:rFonts w:ascii="Times New Roman" w:eastAsiaTheme="minorHAnsi" w:hAnsi="Times New Roman" w:cs="Times New Roman"/>
          <w:szCs w:val="22"/>
          <w:lang w:eastAsia="en-US"/>
        </w:rPr>
      </w:pPr>
      <w:r w:rsidRPr="00581713">
        <w:rPr>
          <w:rFonts w:ascii="Times New Roman" w:eastAsiaTheme="minorHAnsi" w:hAnsi="Times New Roman" w:cs="Times New Roman"/>
          <w:szCs w:val="22"/>
          <w:lang w:eastAsia="en-US"/>
        </w:rPr>
        <w:t xml:space="preserve">Rozšírenie </w:t>
      </w:r>
      <w:proofErr w:type="spellStart"/>
      <w:r w:rsidRPr="00581713">
        <w:rPr>
          <w:rFonts w:ascii="Times New Roman" w:eastAsiaTheme="minorHAnsi" w:hAnsi="Times New Roman" w:cs="Times New Roman"/>
          <w:szCs w:val="22"/>
          <w:lang w:eastAsia="en-US"/>
        </w:rPr>
        <w:t>referencovania</w:t>
      </w:r>
      <w:proofErr w:type="spellEnd"/>
      <w:r w:rsidRPr="00581713">
        <w:rPr>
          <w:rFonts w:ascii="Times New Roman" w:eastAsiaTheme="minorHAnsi" w:hAnsi="Times New Roman" w:cs="Times New Roman"/>
          <w:szCs w:val="22"/>
          <w:lang w:eastAsia="en-US"/>
        </w:rPr>
        <w:t xml:space="preserve"> cien zdravotníckych pomôcok o ďalšie krajiny, povinnosti existencie úradne určenej ceny aspoň</w:t>
      </w:r>
      <w:r w:rsidRPr="00D909EE">
        <w:rPr>
          <w:rFonts w:ascii="Times New Roman" w:eastAsiaTheme="minorHAnsi" w:hAnsi="Times New Roman" w:cs="Times New Roman"/>
          <w:szCs w:val="22"/>
          <w:lang w:eastAsia="en-US"/>
        </w:rPr>
        <w:t xml:space="preserve"> v dvoch členských štátoch E</w:t>
      </w:r>
      <w:r w:rsidR="00B63FFB">
        <w:rPr>
          <w:rFonts w:ascii="Times New Roman" w:eastAsiaTheme="minorHAnsi" w:hAnsi="Times New Roman" w:cs="Times New Roman"/>
          <w:szCs w:val="22"/>
          <w:lang w:eastAsia="en-US"/>
        </w:rPr>
        <w:t>Ú</w:t>
      </w:r>
      <w:r w:rsidRPr="00D909EE">
        <w:rPr>
          <w:rFonts w:ascii="Times New Roman" w:eastAsiaTheme="minorHAnsi" w:hAnsi="Times New Roman" w:cs="Times New Roman"/>
          <w:szCs w:val="22"/>
          <w:lang w:eastAsia="en-US"/>
        </w:rPr>
        <w:t xml:space="preserve">, zavedenie kategorizácie pomôcok na mieru a posilnenie revíznej činnosti zníži náklady na zdravotnícke pomôcky o 15 mil. </w:t>
      </w:r>
      <w:r w:rsidR="00B63FFB">
        <w:rPr>
          <w:rFonts w:ascii="Times New Roman" w:eastAsiaTheme="minorHAnsi" w:hAnsi="Times New Roman" w:cs="Times New Roman"/>
          <w:szCs w:val="22"/>
          <w:lang w:eastAsia="en-US"/>
        </w:rPr>
        <w:t>eur</w:t>
      </w:r>
      <w:r w:rsidRPr="00D909EE">
        <w:rPr>
          <w:rFonts w:ascii="Times New Roman" w:eastAsiaTheme="minorHAnsi" w:hAnsi="Times New Roman" w:cs="Times New Roman"/>
          <w:szCs w:val="22"/>
          <w:lang w:eastAsia="en-US"/>
        </w:rPr>
        <w:t xml:space="preserve"> od roku 2018.</w:t>
      </w:r>
    </w:p>
    <w:p w:rsidR="007D13F3" w:rsidRPr="00D909EE" w:rsidRDefault="007D13F3" w:rsidP="007D13F3">
      <w:pPr>
        <w:keepNext/>
        <w:keepLines/>
        <w:spacing w:line="276" w:lineRule="auto"/>
        <w:outlineLvl w:val="1"/>
        <w:rPr>
          <w:rFonts w:ascii="Times New Roman" w:eastAsiaTheme="majorEastAsia" w:hAnsi="Times New Roman" w:cs="Times New Roman"/>
          <w:szCs w:val="26"/>
          <w:u w:val="single"/>
          <w:lang w:eastAsia="en-US"/>
        </w:rPr>
      </w:pPr>
    </w:p>
    <w:p w:rsidR="007D13F3" w:rsidRDefault="007D13F3" w:rsidP="007D13F3">
      <w:pPr>
        <w:keepNext/>
        <w:keepLines/>
        <w:spacing w:line="259" w:lineRule="auto"/>
        <w:outlineLvl w:val="0"/>
        <w:rPr>
          <w:rFonts w:ascii="Times New Roman" w:eastAsiaTheme="majorEastAsia" w:hAnsi="Times New Roman" w:cs="Times New Roman"/>
          <w:b/>
          <w:szCs w:val="32"/>
          <w:lang w:eastAsia="en-US"/>
        </w:rPr>
      </w:pPr>
      <w:r w:rsidRPr="00D909EE">
        <w:rPr>
          <w:rFonts w:ascii="Times New Roman" w:eastAsiaTheme="majorEastAsia" w:hAnsi="Times New Roman" w:cs="Times New Roman"/>
          <w:b/>
          <w:szCs w:val="32"/>
          <w:lang w:eastAsia="en-US"/>
        </w:rPr>
        <w:t>Ambulantná starostlivosť</w:t>
      </w:r>
    </w:p>
    <w:p w:rsidR="007D13F3" w:rsidRPr="00D909EE" w:rsidRDefault="007D13F3" w:rsidP="007D13F3">
      <w:pPr>
        <w:keepNext/>
        <w:keepLines/>
        <w:spacing w:line="259" w:lineRule="auto"/>
        <w:outlineLvl w:val="0"/>
        <w:rPr>
          <w:rFonts w:ascii="Times New Roman" w:eastAsiaTheme="majorEastAsia" w:hAnsi="Times New Roman" w:cs="Times New Roman"/>
          <w:b/>
          <w:szCs w:val="32"/>
          <w:lang w:eastAsia="en-US"/>
        </w:rPr>
      </w:pPr>
    </w:p>
    <w:p w:rsidR="007D13F3" w:rsidRDefault="007D13F3" w:rsidP="007D13F3">
      <w:pPr>
        <w:spacing w:line="259" w:lineRule="auto"/>
        <w:ind w:firstLine="708"/>
        <w:jc w:val="both"/>
        <w:rPr>
          <w:rFonts w:ascii="Times New Roman" w:eastAsiaTheme="minorHAnsi" w:hAnsi="Times New Roman" w:cs="Times New Roman"/>
          <w:szCs w:val="22"/>
          <w:lang w:eastAsia="en-US"/>
        </w:rPr>
      </w:pPr>
      <w:r w:rsidRPr="00D909EE">
        <w:rPr>
          <w:rFonts w:ascii="Times New Roman" w:eastAsiaTheme="minorHAnsi" w:hAnsi="Times New Roman" w:cs="Times New Roman"/>
          <w:szCs w:val="22"/>
          <w:lang w:eastAsia="en-US"/>
        </w:rPr>
        <w:t>V roku 2018 výdavky na spoločné vyšetrovacie a liečebné zložky spomalia</w:t>
      </w:r>
      <w:r w:rsidR="00D6621B">
        <w:rPr>
          <w:rFonts w:ascii="Times New Roman" w:eastAsiaTheme="minorHAnsi" w:hAnsi="Times New Roman" w:cs="Times New Roman"/>
          <w:szCs w:val="22"/>
          <w:lang w:eastAsia="en-US"/>
        </w:rPr>
        <w:t xml:space="preserve"> </w:t>
      </w:r>
      <w:r w:rsidRPr="00D909EE">
        <w:rPr>
          <w:rFonts w:ascii="Times New Roman" w:eastAsiaTheme="minorHAnsi" w:hAnsi="Times New Roman" w:cs="Times New Roman"/>
          <w:szCs w:val="22"/>
          <w:lang w:eastAsia="en-US"/>
        </w:rPr>
        <w:t>rast</w:t>
      </w:r>
      <w:r w:rsidR="00D6621B">
        <w:rPr>
          <w:rFonts w:ascii="Times New Roman" w:eastAsiaTheme="minorHAnsi" w:hAnsi="Times New Roman" w:cs="Times New Roman"/>
          <w:szCs w:val="22"/>
          <w:lang w:eastAsia="en-US"/>
        </w:rPr>
        <w:t xml:space="preserve"> oproti roku 2016</w:t>
      </w:r>
      <w:r w:rsidRPr="00D909EE">
        <w:rPr>
          <w:rFonts w:ascii="Times New Roman" w:eastAsiaTheme="minorHAnsi" w:hAnsi="Times New Roman" w:cs="Times New Roman"/>
          <w:szCs w:val="22"/>
          <w:lang w:eastAsia="en-US"/>
        </w:rPr>
        <w:t xml:space="preserve"> približne o 19 mil. </w:t>
      </w:r>
      <w:r w:rsidR="00B63FFB">
        <w:rPr>
          <w:rFonts w:ascii="Times New Roman" w:eastAsiaTheme="minorHAnsi" w:hAnsi="Times New Roman" w:cs="Times New Roman"/>
          <w:szCs w:val="22"/>
          <w:lang w:eastAsia="en-US"/>
        </w:rPr>
        <w:t>eur</w:t>
      </w:r>
      <w:r w:rsidRPr="00D909EE">
        <w:rPr>
          <w:rFonts w:ascii="Times New Roman" w:eastAsiaTheme="minorHAnsi" w:hAnsi="Times New Roman" w:cs="Times New Roman"/>
          <w:szCs w:val="22"/>
          <w:lang w:eastAsia="en-US"/>
        </w:rPr>
        <w:t xml:space="preserve">. Oproti roku 2017 bude úspora akcelerovať vďaka dobiehaniu starších, menej výhodných, zmlúv s poskytovateľmi výkonov, zníženiu jednotkových cien za CT a MR výkony v tomto roku, </w:t>
      </w:r>
      <w:proofErr w:type="spellStart"/>
      <w:r w:rsidRPr="00D909EE">
        <w:rPr>
          <w:rFonts w:ascii="Times New Roman" w:eastAsiaTheme="minorHAnsi" w:hAnsi="Times New Roman" w:cs="Times New Roman"/>
          <w:szCs w:val="22"/>
          <w:lang w:eastAsia="en-US"/>
        </w:rPr>
        <w:t>zreferencovaniu</w:t>
      </w:r>
      <w:proofErr w:type="spellEnd"/>
      <w:r w:rsidRPr="00D909EE">
        <w:rPr>
          <w:rFonts w:ascii="Times New Roman" w:eastAsiaTheme="minorHAnsi" w:hAnsi="Times New Roman" w:cs="Times New Roman"/>
          <w:szCs w:val="22"/>
          <w:lang w:eastAsia="en-US"/>
        </w:rPr>
        <w:t xml:space="preserve"> cien výkonov pre dialýzy, prehodnoteniu vzťahov s neefektívnymi poskytovateľmi a úprave siete </w:t>
      </w:r>
      <w:proofErr w:type="spellStart"/>
      <w:r w:rsidRPr="00D909EE">
        <w:rPr>
          <w:rFonts w:ascii="Times New Roman" w:eastAsiaTheme="minorHAnsi" w:hAnsi="Times New Roman" w:cs="Times New Roman"/>
          <w:szCs w:val="22"/>
          <w:lang w:eastAsia="en-US"/>
        </w:rPr>
        <w:t>denzitometrie</w:t>
      </w:r>
      <w:proofErr w:type="spellEnd"/>
      <w:r w:rsidRPr="00D909EE">
        <w:rPr>
          <w:rFonts w:ascii="Times New Roman" w:eastAsiaTheme="minorHAnsi" w:hAnsi="Times New Roman" w:cs="Times New Roman"/>
          <w:szCs w:val="22"/>
          <w:lang w:eastAsia="en-US"/>
        </w:rPr>
        <w:t>.</w:t>
      </w:r>
    </w:p>
    <w:p w:rsidR="007D13F3" w:rsidRPr="00D909EE" w:rsidRDefault="007D13F3" w:rsidP="007D13F3">
      <w:pPr>
        <w:spacing w:line="259" w:lineRule="auto"/>
        <w:ind w:firstLine="708"/>
        <w:jc w:val="both"/>
        <w:rPr>
          <w:rFonts w:ascii="Times New Roman" w:eastAsiaTheme="minorHAnsi" w:hAnsi="Times New Roman" w:cs="Times New Roman"/>
          <w:szCs w:val="22"/>
          <w:lang w:eastAsia="en-US"/>
        </w:rPr>
      </w:pPr>
    </w:p>
    <w:p w:rsidR="007D13F3" w:rsidRPr="00D909EE" w:rsidRDefault="007D13F3" w:rsidP="007D13F3">
      <w:pPr>
        <w:spacing w:line="259" w:lineRule="auto"/>
        <w:ind w:firstLine="708"/>
        <w:jc w:val="both"/>
        <w:rPr>
          <w:rFonts w:ascii="Times New Roman" w:eastAsiaTheme="minorHAnsi" w:hAnsi="Times New Roman" w:cs="Times New Roman"/>
          <w:szCs w:val="22"/>
          <w:lang w:eastAsia="en-US"/>
        </w:rPr>
      </w:pPr>
      <w:r w:rsidRPr="00D909EE">
        <w:rPr>
          <w:rFonts w:ascii="Times New Roman" w:eastAsiaTheme="minorHAnsi" w:hAnsi="Times New Roman" w:cs="Times New Roman"/>
          <w:szCs w:val="22"/>
          <w:lang w:eastAsia="en-US"/>
        </w:rPr>
        <w:t xml:space="preserve">Pri SVLZ dochádza k nadspotrebe z dôvodu indukovanej spotreby, defenzívnej </w:t>
      </w:r>
      <w:proofErr w:type="spellStart"/>
      <w:r w:rsidRPr="00D909EE">
        <w:rPr>
          <w:rFonts w:ascii="Times New Roman" w:eastAsiaTheme="minorHAnsi" w:hAnsi="Times New Roman" w:cs="Times New Roman"/>
          <w:szCs w:val="22"/>
          <w:lang w:eastAsia="en-US"/>
        </w:rPr>
        <w:t>preskripcie</w:t>
      </w:r>
      <w:proofErr w:type="spellEnd"/>
      <w:r w:rsidRPr="00D909EE">
        <w:rPr>
          <w:rFonts w:ascii="Times New Roman" w:eastAsiaTheme="minorHAnsi" w:hAnsi="Times New Roman" w:cs="Times New Roman"/>
          <w:szCs w:val="22"/>
          <w:lang w:eastAsia="en-US"/>
        </w:rPr>
        <w:t>, nedostatočného klinického vyšetrenia</w:t>
      </w:r>
      <w:r w:rsidRPr="00D909EE">
        <w:rPr>
          <w:rFonts w:ascii="Times New Roman" w:eastAsiaTheme="minorHAnsi" w:hAnsi="Times New Roman" w:cs="Times New Roman"/>
          <w:szCs w:val="22"/>
          <w:vertAlign w:val="superscript"/>
          <w:lang w:eastAsia="en-US"/>
        </w:rPr>
        <w:footnoteReference w:id="16"/>
      </w:r>
      <w:r w:rsidRPr="00D909EE">
        <w:rPr>
          <w:rFonts w:ascii="Times New Roman" w:eastAsiaTheme="minorHAnsi" w:hAnsi="Times New Roman" w:cs="Times New Roman"/>
          <w:szCs w:val="22"/>
          <w:vertAlign w:val="superscript"/>
          <w:lang w:eastAsia="en-US"/>
        </w:rPr>
        <w:t xml:space="preserve"> </w:t>
      </w:r>
      <w:r w:rsidRPr="00D909EE">
        <w:rPr>
          <w:rFonts w:ascii="Times New Roman" w:eastAsiaTheme="minorHAnsi" w:hAnsi="Times New Roman" w:cs="Times New Roman"/>
          <w:szCs w:val="22"/>
          <w:lang w:eastAsia="en-US"/>
        </w:rPr>
        <w:t xml:space="preserve">či nezdieľania výsledkov vyšetrení najmä kvôli malej zainteresovanosti indikujúcich lekárov na nákladovej efektívnosti vyšetrení. </w:t>
      </w:r>
    </w:p>
    <w:p w:rsidR="007D13F3" w:rsidRPr="00D909EE" w:rsidRDefault="007D13F3" w:rsidP="007D13F3">
      <w:pPr>
        <w:spacing w:line="259" w:lineRule="auto"/>
        <w:ind w:firstLine="708"/>
        <w:jc w:val="both"/>
        <w:rPr>
          <w:rFonts w:ascii="Times New Roman" w:eastAsiaTheme="minorHAnsi" w:hAnsi="Times New Roman" w:cs="Times New Roman"/>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3"/>
        <w:gridCol w:w="280"/>
        <w:gridCol w:w="4483"/>
      </w:tblGrid>
      <w:tr w:rsidR="007D13F3" w:rsidRPr="00D909EE" w:rsidTr="00465CAC">
        <w:trPr>
          <w:trHeight w:val="99"/>
        </w:trPr>
        <w:tc>
          <w:tcPr>
            <w:tcW w:w="4483" w:type="dxa"/>
            <w:gridSpan w:val="2"/>
            <w:tcBorders>
              <w:bottom w:val="single" w:sz="4" w:space="0" w:color="auto"/>
            </w:tcBorders>
            <w:shd w:val="clear" w:color="auto" w:fill="A6A6A6" w:themeFill="background1" w:themeFillShade="A6"/>
          </w:tcPr>
          <w:p w:rsidR="007D13F3" w:rsidRPr="00D909EE" w:rsidRDefault="007D13F3" w:rsidP="00465CAC">
            <w:pPr>
              <w:keepNext/>
              <w:jc w:val="both"/>
              <w:rPr>
                <w:rFonts w:ascii="Times New Roman" w:eastAsia="Arial" w:hAnsi="Times New Roman" w:cs="Times New Roman"/>
                <w:b/>
                <w:bCs/>
                <w:color w:val="000000"/>
                <w:sz w:val="14"/>
                <w:szCs w:val="19"/>
                <w:lang w:val="fr-FR" w:eastAsia="fr-FR" w:bidi="fr-FR"/>
              </w:rPr>
            </w:pPr>
            <w:r w:rsidRPr="00D909EE">
              <w:rPr>
                <w:rFonts w:ascii="Times New Roman" w:eastAsia="Arial" w:hAnsi="Times New Roman" w:cs="Times New Roman"/>
                <w:b/>
                <w:bCs/>
                <w:color w:val="000000"/>
                <w:sz w:val="14"/>
                <w:szCs w:val="19"/>
                <w:lang w:val="fr-FR" w:eastAsia="fr-FR" w:bidi="fr-FR"/>
              </w:rPr>
              <w:t>Graf: Vývoj počtu CT výkonov*</w:t>
            </w:r>
          </w:p>
        </w:tc>
        <w:tc>
          <w:tcPr>
            <w:tcW w:w="4483" w:type="dxa"/>
            <w:tcBorders>
              <w:bottom w:val="single" w:sz="4" w:space="0" w:color="auto"/>
            </w:tcBorders>
            <w:shd w:val="clear" w:color="auto" w:fill="A6A6A6" w:themeFill="background1" w:themeFillShade="A6"/>
          </w:tcPr>
          <w:p w:rsidR="007D13F3" w:rsidRPr="00D909EE" w:rsidRDefault="00B63FFB" w:rsidP="00465CAC">
            <w:pPr>
              <w:keepNext/>
              <w:jc w:val="both"/>
              <w:rPr>
                <w:rFonts w:ascii="Times New Roman" w:eastAsia="Arial" w:hAnsi="Times New Roman" w:cs="Times New Roman"/>
                <w:b/>
                <w:bCs/>
                <w:color w:val="000000"/>
                <w:sz w:val="14"/>
                <w:szCs w:val="19"/>
                <w:lang w:val="fr-FR" w:eastAsia="fr-FR" w:bidi="fr-FR"/>
              </w:rPr>
            </w:pPr>
            <w:r>
              <w:rPr>
                <w:rFonts w:ascii="Times New Roman" w:eastAsia="Arial" w:hAnsi="Times New Roman" w:cs="Times New Roman"/>
                <w:b/>
                <w:bCs/>
                <w:color w:val="000000"/>
                <w:sz w:val="14"/>
                <w:szCs w:val="19"/>
                <w:lang w:val="fr-FR" w:eastAsia="fr-FR" w:bidi="fr-FR"/>
              </w:rPr>
              <w:t xml:space="preserve">   </w:t>
            </w:r>
            <w:r w:rsidR="007D13F3" w:rsidRPr="00D909EE">
              <w:rPr>
                <w:rFonts w:ascii="Times New Roman" w:eastAsia="Arial" w:hAnsi="Times New Roman" w:cs="Times New Roman"/>
                <w:b/>
                <w:bCs/>
                <w:color w:val="000000"/>
                <w:sz w:val="14"/>
                <w:szCs w:val="19"/>
                <w:lang w:val="fr-FR" w:eastAsia="fr-FR" w:bidi="fr-FR"/>
              </w:rPr>
              <w:t>Graf: Vývoj počtu MR výkonov</w:t>
            </w:r>
          </w:p>
        </w:tc>
      </w:tr>
      <w:tr w:rsidR="007D13F3" w:rsidRPr="00D909EE" w:rsidTr="00465CAC">
        <w:tblPrEx>
          <w:tblCellMar>
            <w:left w:w="70" w:type="dxa"/>
            <w:right w:w="70" w:type="dxa"/>
          </w:tblCellMar>
        </w:tblPrEx>
        <w:trPr>
          <w:trHeight w:val="1699"/>
        </w:trPr>
        <w:tc>
          <w:tcPr>
            <w:tcW w:w="4483" w:type="dxa"/>
            <w:gridSpan w:val="2"/>
            <w:tcBorders>
              <w:top w:val="single" w:sz="4" w:space="0" w:color="auto"/>
              <w:bottom w:val="single" w:sz="4" w:space="0" w:color="auto"/>
            </w:tcBorders>
          </w:tcPr>
          <w:p w:rsidR="007D13F3" w:rsidRPr="00D909EE" w:rsidRDefault="007D13F3" w:rsidP="00465CAC">
            <w:pPr>
              <w:jc w:val="both"/>
              <w:rPr>
                <w:rFonts w:asciiTheme="minorHAnsi" w:eastAsiaTheme="minorHAnsi" w:hAnsiTheme="minorHAnsi" w:cstheme="minorBidi"/>
                <w:sz w:val="22"/>
                <w:szCs w:val="22"/>
                <w:lang w:val="en-US" w:eastAsia="en-US"/>
              </w:rPr>
            </w:pPr>
            <w:r w:rsidRPr="00D909EE">
              <w:rPr>
                <w:rFonts w:asciiTheme="minorHAnsi" w:eastAsiaTheme="minorHAnsi" w:hAnsiTheme="minorHAnsi" w:cstheme="minorBidi"/>
                <w:noProof/>
                <w:sz w:val="22"/>
                <w:szCs w:val="22"/>
                <w:lang w:eastAsia="sk-SK"/>
              </w:rPr>
              <w:drawing>
                <wp:inline distT="0" distB="0" distL="0" distR="0" wp14:anchorId="5EA678B0" wp14:editId="3370E329">
                  <wp:extent cx="2791460" cy="2019300"/>
                  <wp:effectExtent l="0" t="0" r="8890" b="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483" w:type="dxa"/>
            <w:tcBorders>
              <w:top w:val="single" w:sz="4" w:space="0" w:color="auto"/>
              <w:bottom w:val="single" w:sz="4" w:space="0" w:color="auto"/>
            </w:tcBorders>
          </w:tcPr>
          <w:p w:rsidR="007D13F3" w:rsidRPr="00D909EE" w:rsidRDefault="007D13F3" w:rsidP="00465CAC">
            <w:pPr>
              <w:jc w:val="both"/>
              <w:rPr>
                <w:rFonts w:asciiTheme="minorHAnsi" w:eastAsiaTheme="minorHAnsi" w:hAnsiTheme="minorHAnsi" w:cstheme="minorBidi"/>
                <w:noProof/>
                <w:sz w:val="22"/>
                <w:szCs w:val="22"/>
                <w:lang w:val="en-US" w:eastAsia="en-US"/>
              </w:rPr>
            </w:pPr>
            <w:r w:rsidRPr="00D909EE">
              <w:rPr>
                <w:rFonts w:asciiTheme="minorHAnsi" w:eastAsiaTheme="minorHAnsi" w:hAnsiTheme="minorHAnsi" w:cstheme="minorBidi"/>
                <w:noProof/>
                <w:sz w:val="22"/>
                <w:szCs w:val="22"/>
                <w:lang w:eastAsia="sk-SK"/>
              </w:rPr>
              <w:drawing>
                <wp:inline distT="0" distB="0" distL="0" distR="0" wp14:anchorId="0CC772F7" wp14:editId="5A9223C1">
                  <wp:extent cx="2828925" cy="2028825"/>
                  <wp:effectExtent l="0" t="0" r="0"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7D13F3" w:rsidRPr="00D909EE" w:rsidTr="00465CAC">
        <w:trPr>
          <w:trHeight w:val="141"/>
        </w:trPr>
        <w:tc>
          <w:tcPr>
            <w:tcW w:w="4203" w:type="dxa"/>
            <w:tcBorders>
              <w:top w:val="single" w:sz="4" w:space="0" w:color="auto"/>
            </w:tcBorders>
          </w:tcPr>
          <w:p w:rsidR="007D13F3" w:rsidRPr="00D909EE" w:rsidRDefault="007D13F3" w:rsidP="00465CAC">
            <w:pPr>
              <w:jc w:val="right"/>
              <w:rPr>
                <w:rFonts w:ascii="Times New Roman" w:eastAsiaTheme="minorHAnsi" w:hAnsi="Times New Roman" w:cs="Times New Roman"/>
                <w:i/>
                <w:sz w:val="14"/>
                <w:szCs w:val="16"/>
                <w:lang w:val="en-US" w:eastAsia="en-US"/>
              </w:rPr>
            </w:pPr>
            <w:r w:rsidRPr="00D909EE">
              <w:rPr>
                <w:rFonts w:ascii="Times New Roman" w:eastAsiaTheme="minorHAnsi" w:hAnsi="Times New Roman" w:cs="Times New Roman"/>
                <w:i/>
                <w:sz w:val="14"/>
                <w:szCs w:val="16"/>
                <w:lang w:val="en-US" w:eastAsia="en-US"/>
              </w:rPr>
              <w:t>Zdroj: NCZI</w:t>
            </w:r>
          </w:p>
        </w:tc>
        <w:tc>
          <w:tcPr>
            <w:tcW w:w="4763" w:type="dxa"/>
            <w:gridSpan w:val="2"/>
            <w:tcBorders>
              <w:top w:val="single" w:sz="4" w:space="0" w:color="auto"/>
            </w:tcBorders>
          </w:tcPr>
          <w:p w:rsidR="007D13F3" w:rsidRPr="00D909EE" w:rsidRDefault="007D13F3" w:rsidP="00465CAC">
            <w:pPr>
              <w:jc w:val="right"/>
              <w:rPr>
                <w:rFonts w:ascii="Times New Roman" w:eastAsiaTheme="minorHAnsi" w:hAnsi="Times New Roman" w:cs="Times New Roman"/>
                <w:i/>
                <w:sz w:val="14"/>
                <w:szCs w:val="16"/>
                <w:lang w:val="en-US" w:eastAsia="en-US"/>
              </w:rPr>
            </w:pPr>
            <w:r w:rsidRPr="00D909EE">
              <w:rPr>
                <w:rFonts w:ascii="Times New Roman" w:eastAsiaTheme="minorHAnsi" w:hAnsi="Times New Roman" w:cs="Times New Roman"/>
                <w:i/>
                <w:sz w:val="14"/>
                <w:szCs w:val="16"/>
                <w:lang w:val="en-US" w:eastAsia="en-US"/>
              </w:rPr>
              <w:t>Zdroj: NCZI</w:t>
            </w:r>
          </w:p>
        </w:tc>
      </w:tr>
      <w:tr w:rsidR="007D13F3" w:rsidRPr="00D909EE" w:rsidTr="00465CAC">
        <w:trPr>
          <w:trHeight w:val="141"/>
        </w:trPr>
        <w:tc>
          <w:tcPr>
            <w:tcW w:w="8966" w:type="dxa"/>
            <w:gridSpan w:val="3"/>
            <w:vAlign w:val="center"/>
          </w:tcPr>
          <w:p w:rsidR="007D13F3" w:rsidRPr="00D909EE" w:rsidRDefault="007D13F3" w:rsidP="00465CAC">
            <w:pPr>
              <w:rPr>
                <w:rFonts w:ascii="Times New Roman" w:eastAsiaTheme="minorHAnsi" w:hAnsi="Times New Roman" w:cs="Times New Roman"/>
                <w:i/>
                <w:sz w:val="14"/>
                <w:szCs w:val="16"/>
                <w:lang w:val="en-US" w:eastAsia="en-US"/>
              </w:rPr>
            </w:pPr>
            <w:r w:rsidRPr="00D909EE">
              <w:rPr>
                <w:rFonts w:ascii="Times New Roman" w:eastAsiaTheme="minorHAnsi" w:hAnsi="Times New Roman" w:cs="Times New Roman"/>
                <w:i/>
                <w:sz w:val="14"/>
                <w:szCs w:val="16"/>
                <w:lang w:val="en-US" w:eastAsia="en-US"/>
              </w:rPr>
              <w:t xml:space="preserve">* </w:t>
            </w:r>
            <w:r w:rsidRPr="00B63FFB">
              <w:rPr>
                <w:rFonts w:ascii="Times New Roman" w:eastAsiaTheme="minorHAnsi" w:hAnsi="Times New Roman" w:cs="Times New Roman"/>
                <w:i/>
                <w:sz w:val="14"/>
                <w:szCs w:val="16"/>
                <w:lang w:eastAsia="en-US"/>
              </w:rPr>
              <w:t>Celkový počet vyšetrení je nižší, keďže jedno vyšetrenie môže zahŕňať viac výkonov</w:t>
            </w:r>
            <w:r w:rsidR="00B63FFB">
              <w:rPr>
                <w:rFonts w:ascii="Times New Roman" w:eastAsiaTheme="minorHAnsi" w:hAnsi="Times New Roman" w:cs="Times New Roman"/>
                <w:i/>
                <w:sz w:val="14"/>
                <w:szCs w:val="16"/>
                <w:lang w:eastAsia="en-US"/>
              </w:rPr>
              <w:t>.</w:t>
            </w:r>
          </w:p>
        </w:tc>
      </w:tr>
    </w:tbl>
    <w:p w:rsidR="007D13F3" w:rsidRPr="00D909EE" w:rsidRDefault="007D13F3" w:rsidP="007D13F3">
      <w:pPr>
        <w:spacing w:line="259" w:lineRule="auto"/>
        <w:jc w:val="both"/>
        <w:rPr>
          <w:rFonts w:ascii="Times New Roman" w:eastAsiaTheme="minorHAnsi" w:hAnsi="Times New Roman" w:cs="Times New Roman"/>
          <w:b/>
          <w:i/>
          <w:sz w:val="22"/>
          <w:szCs w:val="22"/>
          <w:lang w:eastAsia="en-US"/>
        </w:rPr>
      </w:pPr>
    </w:p>
    <w:p w:rsidR="007D13F3" w:rsidRPr="00D909EE" w:rsidRDefault="007D13F3" w:rsidP="007D13F3">
      <w:pPr>
        <w:spacing w:line="259" w:lineRule="auto"/>
        <w:jc w:val="both"/>
        <w:rPr>
          <w:rFonts w:ascii="Times New Roman" w:eastAsiaTheme="minorHAnsi" w:hAnsi="Times New Roman" w:cs="Times New Roman"/>
          <w:b/>
          <w:i/>
          <w:szCs w:val="22"/>
          <w:lang w:eastAsia="en-US"/>
        </w:rPr>
      </w:pPr>
      <w:r w:rsidRPr="00D909EE">
        <w:rPr>
          <w:rFonts w:ascii="Times New Roman" w:eastAsiaTheme="minorHAnsi" w:hAnsi="Times New Roman" w:cs="Times New Roman"/>
          <w:b/>
          <w:i/>
          <w:szCs w:val="22"/>
          <w:lang w:eastAsia="en-US"/>
        </w:rPr>
        <w:t>Opatrenia</w:t>
      </w:r>
    </w:p>
    <w:p w:rsidR="007D13F3" w:rsidRPr="00D909EE" w:rsidRDefault="007D13F3" w:rsidP="007D13F3">
      <w:pPr>
        <w:spacing w:line="259" w:lineRule="auto"/>
        <w:jc w:val="both"/>
        <w:rPr>
          <w:rFonts w:ascii="Times New Roman" w:eastAsiaTheme="minorHAnsi" w:hAnsi="Times New Roman" w:cs="Times New Roman"/>
          <w:b/>
          <w:i/>
          <w:sz w:val="22"/>
          <w:szCs w:val="22"/>
          <w:lang w:eastAsia="en-US"/>
        </w:rPr>
      </w:pPr>
    </w:p>
    <w:p w:rsidR="007D13F3" w:rsidRPr="00D909EE" w:rsidRDefault="007D13F3" w:rsidP="007D13F3">
      <w:pPr>
        <w:numPr>
          <w:ilvl w:val="0"/>
          <w:numId w:val="14"/>
        </w:numPr>
        <w:spacing w:after="160" w:line="259" w:lineRule="auto"/>
        <w:ind w:left="0"/>
        <w:contextualSpacing/>
        <w:jc w:val="both"/>
        <w:rPr>
          <w:rFonts w:ascii="Times New Roman" w:eastAsiaTheme="minorHAnsi" w:hAnsi="Times New Roman" w:cs="Times New Roman"/>
          <w:szCs w:val="22"/>
          <w:lang w:eastAsia="en-US"/>
        </w:rPr>
      </w:pPr>
      <w:r w:rsidRPr="00D909EE">
        <w:rPr>
          <w:rFonts w:ascii="Times New Roman" w:eastAsiaTheme="minorHAnsi" w:hAnsi="Times New Roman" w:cs="Times New Roman"/>
          <w:szCs w:val="22"/>
          <w:lang w:eastAsia="en-US"/>
        </w:rPr>
        <w:t xml:space="preserve">Zníženie jednotkových cien a zmluvných objemov CT a MR vyšetrení zdravotnými poisťovňami zníži náklady na SLVZ o 10 mil. eur v roku 2018 a do konca roka 2019 </w:t>
      </w:r>
      <w:r w:rsidR="00B63FFB">
        <w:rPr>
          <w:rFonts w:ascii="Times New Roman" w:eastAsiaTheme="minorHAnsi" w:hAnsi="Times New Roman" w:cs="Times New Roman"/>
          <w:szCs w:val="22"/>
          <w:lang w:eastAsia="en-US"/>
        </w:rPr>
        <w:br/>
      </w:r>
      <w:r w:rsidRPr="00D909EE">
        <w:rPr>
          <w:rFonts w:ascii="Times New Roman" w:eastAsiaTheme="minorHAnsi" w:hAnsi="Times New Roman" w:cs="Times New Roman"/>
          <w:szCs w:val="22"/>
          <w:lang w:eastAsia="en-US"/>
        </w:rPr>
        <w:t>o 22 mil. eur.</w:t>
      </w:r>
    </w:p>
    <w:p w:rsidR="007D13F3" w:rsidRPr="00D909EE" w:rsidRDefault="007D13F3" w:rsidP="007D13F3">
      <w:pPr>
        <w:numPr>
          <w:ilvl w:val="0"/>
          <w:numId w:val="14"/>
        </w:numPr>
        <w:spacing w:after="160" w:line="259" w:lineRule="auto"/>
        <w:ind w:left="0"/>
        <w:contextualSpacing/>
        <w:jc w:val="both"/>
        <w:rPr>
          <w:rFonts w:ascii="Times New Roman" w:eastAsiaTheme="minorHAnsi" w:hAnsi="Times New Roman" w:cs="Times New Roman"/>
          <w:szCs w:val="22"/>
          <w:lang w:eastAsia="en-US"/>
        </w:rPr>
      </w:pPr>
      <w:r w:rsidRPr="00D909EE">
        <w:rPr>
          <w:rFonts w:ascii="Times New Roman" w:eastAsiaTheme="minorHAnsi" w:hAnsi="Times New Roman" w:cs="Times New Roman"/>
          <w:szCs w:val="22"/>
          <w:lang w:eastAsia="en-US"/>
        </w:rPr>
        <w:t>Zavedením limitov na SVLZ pre všeobecnú a špecializovanú ambulantnú starostlivosť sa očakáva pokles výdavkov o 3 mil. eur v roku 2018.</w:t>
      </w:r>
    </w:p>
    <w:p w:rsidR="007D13F3" w:rsidRPr="00D909EE" w:rsidRDefault="007D13F3" w:rsidP="007D13F3">
      <w:pPr>
        <w:spacing w:line="259" w:lineRule="auto"/>
        <w:contextualSpacing/>
        <w:jc w:val="both"/>
        <w:rPr>
          <w:rFonts w:ascii="Times New Roman" w:eastAsiaTheme="minorHAnsi" w:hAnsi="Times New Roman" w:cs="Times New Roman"/>
          <w:szCs w:val="22"/>
          <w:u w:val="single"/>
          <w:lang w:eastAsia="en-US"/>
        </w:rPr>
      </w:pPr>
    </w:p>
    <w:p w:rsidR="007D13F3" w:rsidRPr="00D909EE" w:rsidRDefault="007D13F3" w:rsidP="007D13F3">
      <w:pPr>
        <w:keepNext/>
        <w:keepLines/>
        <w:spacing w:line="259" w:lineRule="auto"/>
        <w:outlineLvl w:val="0"/>
        <w:rPr>
          <w:rFonts w:ascii="Times New Roman" w:eastAsiaTheme="majorEastAsia" w:hAnsi="Times New Roman" w:cs="Times New Roman"/>
          <w:b/>
          <w:szCs w:val="32"/>
          <w:lang w:eastAsia="en-US"/>
        </w:rPr>
      </w:pPr>
      <w:r w:rsidRPr="00D909EE">
        <w:rPr>
          <w:rFonts w:ascii="Times New Roman" w:eastAsiaTheme="majorEastAsia" w:hAnsi="Times New Roman" w:cs="Times New Roman"/>
          <w:b/>
          <w:szCs w:val="32"/>
          <w:lang w:eastAsia="en-US"/>
        </w:rPr>
        <w:t>Ústavná starostlivosť</w:t>
      </w:r>
    </w:p>
    <w:p w:rsidR="007D13F3" w:rsidRPr="00D909EE" w:rsidRDefault="007D13F3" w:rsidP="007D13F3">
      <w:pPr>
        <w:keepNext/>
        <w:keepLines/>
        <w:spacing w:line="276" w:lineRule="auto"/>
        <w:outlineLvl w:val="1"/>
        <w:rPr>
          <w:rFonts w:ascii="Times New Roman" w:eastAsiaTheme="majorEastAsia" w:hAnsi="Times New Roman" w:cs="Times New Roman"/>
          <w:szCs w:val="26"/>
          <w:u w:val="single"/>
          <w:lang w:eastAsia="en-US"/>
        </w:rPr>
      </w:pPr>
    </w:p>
    <w:p w:rsidR="007D13F3" w:rsidRPr="00D909EE" w:rsidRDefault="007D13F3" w:rsidP="007D13F3">
      <w:pPr>
        <w:spacing w:line="259" w:lineRule="auto"/>
        <w:ind w:firstLine="708"/>
        <w:jc w:val="both"/>
        <w:rPr>
          <w:rFonts w:ascii="Times New Roman" w:eastAsiaTheme="minorHAnsi" w:hAnsi="Times New Roman" w:cs="Times New Roman"/>
          <w:lang w:eastAsia="en-US"/>
        </w:rPr>
      </w:pPr>
      <w:r w:rsidRPr="00D909EE">
        <w:rPr>
          <w:rFonts w:ascii="Times New Roman" w:eastAsiaTheme="minorHAnsi" w:hAnsi="Times New Roman" w:cs="Times New Roman"/>
          <w:szCs w:val="22"/>
          <w:lang w:eastAsia="en-US"/>
        </w:rPr>
        <w:t xml:space="preserve">Náklady na ústavnú starostlivosť porastú v roku 2018 rovnakým tempom ako v minulosti, stále sa však očakáva zefektívnenie hospodárenia štátnych nemocníc, ktoré prispeje k zastaveniu zadlžovania a vytvorí priestor pre investície. Efektívnemu hospodáreniu prispeje aj </w:t>
      </w:r>
      <w:r w:rsidRPr="00D909EE">
        <w:rPr>
          <w:rFonts w:ascii="Times New Roman" w:eastAsiaTheme="minorHAnsi" w:hAnsi="Times New Roman" w:cs="Times New Roman"/>
          <w:lang w:eastAsia="en-US"/>
        </w:rPr>
        <w:t>správne nastavené DRG</w:t>
      </w:r>
      <w:r w:rsidRPr="00D909EE">
        <w:rPr>
          <w:rFonts w:ascii="Times New Roman" w:eastAsiaTheme="minorHAnsi" w:hAnsi="Times New Roman" w:cs="Times New Roman"/>
          <w:vertAlign w:val="superscript"/>
          <w:lang w:eastAsia="en-US"/>
        </w:rPr>
        <w:footnoteReference w:id="17"/>
      </w:r>
      <w:r w:rsidRPr="00D909EE">
        <w:rPr>
          <w:rFonts w:ascii="Times New Roman" w:eastAsiaTheme="minorHAnsi" w:hAnsi="Times New Roman" w:cs="Times New Roman"/>
          <w:lang w:eastAsia="en-US"/>
        </w:rPr>
        <w:t xml:space="preserve">, ktoré posilní priamu zodpovednosť za náklady a prinesie transparentné a spravodlivé platby za výkony, a vytvorenie typológie nemocníc spojené s </w:t>
      </w:r>
      <w:proofErr w:type="spellStart"/>
      <w:r w:rsidRPr="00D909EE">
        <w:rPr>
          <w:rFonts w:ascii="Times New Roman" w:eastAsiaTheme="minorHAnsi" w:hAnsi="Times New Roman" w:cs="Times New Roman"/>
          <w:lang w:eastAsia="en-US"/>
        </w:rPr>
        <w:t>reprofilizáciou</w:t>
      </w:r>
      <w:proofErr w:type="spellEnd"/>
      <w:r w:rsidRPr="00D909EE">
        <w:rPr>
          <w:rFonts w:ascii="Times New Roman" w:eastAsiaTheme="minorHAnsi" w:hAnsi="Times New Roman" w:cs="Times New Roman"/>
          <w:lang w:eastAsia="en-US"/>
        </w:rPr>
        <w:t>. Ústavnú zdravotnú starostlivosť predstavujú primárne výkony spojené s hospitalizáciou pacienta.</w:t>
      </w:r>
    </w:p>
    <w:p w:rsidR="007D13F3" w:rsidRPr="00D909EE" w:rsidRDefault="007D13F3" w:rsidP="007D13F3">
      <w:pPr>
        <w:spacing w:line="259" w:lineRule="auto"/>
        <w:ind w:firstLine="708"/>
        <w:jc w:val="both"/>
        <w:rPr>
          <w:rFonts w:ascii="Times New Roman" w:eastAsiaTheme="minorHAnsi" w:hAnsi="Times New Roman" w:cs="Times New Roman"/>
          <w:lang w:eastAsia="en-US"/>
        </w:rPr>
      </w:pPr>
    </w:p>
    <w:p w:rsidR="007D13F3" w:rsidRPr="00581713" w:rsidRDefault="007D13F3" w:rsidP="007D13F3">
      <w:pPr>
        <w:spacing w:line="259" w:lineRule="auto"/>
        <w:ind w:firstLine="708"/>
        <w:jc w:val="both"/>
        <w:rPr>
          <w:rFonts w:ascii="Times New Roman" w:eastAsiaTheme="minorHAnsi" w:hAnsi="Times New Roman" w:cs="Times New Roman"/>
          <w:lang w:eastAsia="en-US"/>
        </w:rPr>
      </w:pPr>
      <w:r w:rsidRPr="00581713">
        <w:rPr>
          <w:rFonts w:ascii="Times New Roman" w:eastAsiaTheme="minorHAnsi" w:hAnsi="Times New Roman" w:cs="Times New Roman"/>
          <w:lang w:eastAsia="en-US"/>
        </w:rPr>
        <w:lastRenderedPageBreak/>
        <w:t>Jednou z príčin zlého hospodárenia a zadlžovania je najmä neefektívnosť v prevádzke. Slovensko dlhodobo málo využíva akútne lôžka. Priemerná obsadenosť akútnych postelí dosahuje iba 68,9 %, v krajinách OECD 76,4 % a v EÚ 15 až 79,2 %. Zároveň má Slovensko stále viac hospitalizác</w:t>
      </w:r>
      <w:r w:rsidR="00CC0BFD">
        <w:rPr>
          <w:rFonts w:ascii="Times New Roman" w:eastAsiaTheme="minorHAnsi" w:hAnsi="Times New Roman" w:cs="Times New Roman"/>
          <w:lang w:eastAsia="en-US"/>
        </w:rPr>
        <w:t xml:space="preserve">ií než priemer krajín OECD či EÚ </w:t>
      </w:r>
      <w:r w:rsidRPr="00581713">
        <w:rPr>
          <w:rFonts w:ascii="Times New Roman" w:eastAsiaTheme="minorHAnsi" w:hAnsi="Times New Roman" w:cs="Times New Roman"/>
          <w:lang w:eastAsia="en-US"/>
        </w:rPr>
        <w:t>15. Priemerná dĺžka hospitalizácií od roku 2000 klesla o viac ako dva dni z 8,4 na 6,2 dňa v roku 2013 a je pod priemerom ostatných krajín EÚ</w:t>
      </w:r>
      <w:r w:rsidRPr="00581713">
        <w:rPr>
          <w:rFonts w:ascii="Times New Roman" w:eastAsiaTheme="minorHAnsi" w:hAnsi="Times New Roman" w:cs="Times New Roman"/>
          <w:vertAlign w:val="superscript"/>
          <w:lang w:eastAsia="en-US"/>
        </w:rPr>
        <w:footnoteReference w:id="18"/>
      </w:r>
      <w:r w:rsidRPr="00581713">
        <w:rPr>
          <w:rFonts w:ascii="Times New Roman" w:eastAsiaTheme="minorHAnsi" w:hAnsi="Times New Roman" w:cs="Times New Roman"/>
          <w:lang w:eastAsia="en-US"/>
        </w:rPr>
        <w:t>. Po zmene metodiky od r. 2014 dosahuje hodnotu 7. Vysoký počet hospitalizácii v porovnaní s inými krajinami môže súvisieť s nízkym podielom jednod</w:t>
      </w:r>
      <w:r w:rsidR="00B63FFB">
        <w:rPr>
          <w:rFonts w:ascii="Times New Roman" w:eastAsiaTheme="minorHAnsi" w:hAnsi="Times New Roman" w:cs="Times New Roman"/>
          <w:lang w:eastAsia="en-US"/>
        </w:rPr>
        <w:t>ňovej chirurgie  na Slovensku. S</w:t>
      </w:r>
      <w:r w:rsidRPr="00581713">
        <w:rPr>
          <w:rFonts w:ascii="Times New Roman" w:eastAsiaTheme="minorHAnsi" w:hAnsi="Times New Roman" w:cs="Times New Roman"/>
          <w:lang w:eastAsia="en-US"/>
        </w:rPr>
        <w:t>pomedzi nemocníc dosahujú vysokú mieru neefektívnosti najmä najväčšie nemocnice – fakultné a univerzitné (</w:t>
      </w:r>
      <w:proofErr w:type="spellStart"/>
      <w:r w:rsidRPr="00581713">
        <w:rPr>
          <w:rFonts w:ascii="Times New Roman" w:eastAsiaTheme="minorHAnsi" w:hAnsi="Times New Roman" w:cs="Times New Roman"/>
          <w:lang w:eastAsia="en-US"/>
        </w:rPr>
        <w:t>FaUN</w:t>
      </w:r>
      <w:proofErr w:type="spellEnd"/>
      <w:r w:rsidRPr="00581713">
        <w:rPr>
          <w:rFonts w:ascii="Times New Roman" w:eastAsiaTheme="minorHAnsi" w:hAnsi="Times New Roman" w:cs="Times New Roman"/>
          <w:lang w:eastAsia="en-US"/>
        </w:rPr>
        <w:t>)</w:t>
      </w:r>
      <w:r w:rsidRPr="00581713">
        <w:rPr>
          <w:rFonts w:ascii="Times New Roman" w:eastAsiaTheme="minorHAnsi" w:hAnsi="Times New Roman" w:cs="Times New Roman"/>
          <w:vertAlign w:val="superscript"/>
          <w:lang w:eastAsia="en-US"/>
        </w:rPr>
        <w:footnoteReference w:id="19"/>
      </w:r>
      <w:r w:rsidRPr="00581713">
        <w:rPr>
          <w:rFonts w:ascii="Times New Roman" w:eastAsiaTheme="minorHAnsi" w:hAnsi="Times New Roman" w:cs="Times New Roman"/>
          <w:lang w:eastAsia="en-US"/>
        </w:rPr>
        <w:t>.</w:t>
      </w:r>
    </w:p>
    <w:p w:rsidR="007D13F3" w:rsidRPr="00581713" w:rsidRDefault="007D13F3" w:rsidP="007D13F3">
      <w:pPr>
        <w:spacing w:line="259" w:lineRule="auto"/>
        <w:ind w:firstLine="708"/>
        <w:jc w:val="both"/>
        <w:rPr>
          <w:rFonts w:ascii="Times New Roman" w:eastAsiaTheme="minorHAnsi" w:hAnsi="Times New Roman" w:cs="Times New Roman"/>
          <w:lang w:eastAsia="en-US"/>
        </w:rPr>
      </w:pPr>
    </w:p>
    <w:tbl>
      <w:tblPr>
        <w:tblW w:w="9041" w:type="dxa"/>
        <w:jc w:val="center"/>
        <w:tblLayout w:type="fixed"/>
        <w:tblCellMar>
          <w:left w:w="70" w:type="dxa"/>
          <w:right w:w="70" w:type="dxa"/>
        </w:tblCellMar>
        <w:tblLook w:val="0000" w:firstRow="0" w:lastRow="0" w:firstColumn="0" w:lastColumn="0" w:noHBand="0" w:noVBand="0"/>
      </w:tblPr>
      <w:tblGrid>
        <w:gridCol w:w="4634"/>
        <w:gridCol w:w="4407"/>
      </w:tblGrid>
      <w:tr w:rsidR="007D13F3" w:rsidRPr="00581713" w:rsidTr="00465CAC">
        <w:trPr>
          <w:trHeight w:val="80"/>
          <w:jc w:val="center"/>
        </w:trPr>
        <w:tc>
          <w:tcPr>
            <w:tcW w:w="4634" w:type="dxa"/>
            <w:tcBorders>
              <w:bottom w:val="single" w:sz="4" w:space="0" w:color="auto"/>
            </w:tcBorders>
            <w:shd w:val="clear" w:color="auto" w:fill="A6A6A6" w:themeFill="background1" w:themeFillShade="A6"/>
          </w:tcPr>
          <w:p w:rsidR="007D13F3" w:rsidRPr="00581713" w:rsidRDefault="007D13F3" w:rsidP="00465CAC">
            <w:pPr>
              <w:keepNext/>
              <w:jc w:val="both"/>
              <w:rPr>
                <w:rFonts w:ascii="Times New Roman" w:eastAsiaTheme="minorHAnsi" w:hAnsi="Times New Roman" w:cs="Times New Roman"/>
                <w:b/>
                <w:sz w:val="14"/>
                <w:szCs w:val="22"/>
                <w:lang w:eastAsia="en-US"/>
              </w:rPr>
            </w:pPr>
            <w:r w:rsidRPr="00581713">
              <w:rPr>
                <w:rFonts w:ascii="Times New Roman" w:eastAsiaTheme="minorHAnsi" w:hAnsi="Times New Roman" w:cs="Times New Roman"/>
                <w:b/>
                <w:sz w:val="14"/>
                <w:szCs w:val="22"/>
                <w:lang w:eastAsia="en-US"/>
              </w:rPr>
              <w:t>Graf: Počet hospitalizácií v akútnej starostlivosti (na 100 000 obyvateľov)</w:t>
            </w:r>
          </w:p>
        </w:tc>
        <w:tc>
          <w:tcPr>
            <w:tcW w:w="4407" w:type="dxa"/>
            <w:tcBorders>
              <w:bottom w:val="single" w:sz="4" w:space="0" w:color="auto"/>
            </w:tcBorders>
            <w:shd w:val="clear" w:color="auto" w:fill="A6A6A6" w:themeFill="background1" w:themeFillShade="A6"/>
          </w:tcPr>
          <w:p w:rsidR="007D13F3" w:rsidRPr="00581713" w:rsidRDefault="007D13F3" w:rsidP="00465CAC">
            <w:pPr>
              <w:keepNext/>
              <w:jc w:val="both"/>
              <w:rPr>
                <w:rFonts w:ascii="Times New Roman" w:eastAsiaTheme="minorHAnsi" w:hAnsi="Times New Roman" w:cs="Times New Roman"/>
                <w:b/>
                <w:sz w:val="14"/>
                <w:szCs w:val="22"/>
                <w:lang w:eastAsia="en-US"/>
              </w:rPr>
            </w:pPr>
            <w:r w:rsidRPr="00581713">
              <w:rPr>
                <w:rFonts w:ascii="Times New Roman" w:eastAsiaTheme="minorHAnsi" w:hAnsi="Times New Roman" w:cs="Times New Roman"/>
                <w:b/>
                <w:sz w:val="14"/>
                <w:szCs w:val="22"/>
                <w:lang w:eastAsia="en-US"/>
              </w:rPr>
              <w:t>Graf: Priemerná dĺžka hospitalizácie v akútnej starostlivosti  (počet dní)</w:t>
            </w:r>
          </w:p>
        </w:tc>
      </w:tr>
      <w:tr w:rsidR="007D13F3" w:rsidRPr="00581713" w:rsidTr="00465CAC">
        <w:trPr>
          <w:trHeight w:val="2472"/>
          <w:jc w:val="center"/>
        </w:trPr>
        <w:tc>
          <w:tcPr>
            <w:tcW w:w="4634" w:type="dxa"/>
            <w:tcBorders>
              <w:bottom w:val="single" w:sz="4" w:space="0" w:color="auto"/>
            </w:tcBorders>
          </w:tcPr>
          <w:p w:rsidR="007D13F3" w:rsidRPr="00581713" w:rsidRDefault="007D13F3" w:rsidP="00465CAC">
            <w:pPr>
              <w:keepNext/>
              <w:spacing w:after="200"/>
              <w:jc w:val="both"/>
              <w:rPr>
                <w:rFonts w:ascii="Arial Narrow" w:eastAsiaTheme="minorHAnsi" w:hAnsi="Arial Narrow" w:cstheme="minorBidi"/>
                <w:b/>
                <w:color w:val="000000"/>
                <w:sz w:val="20"/>
                <w:szCs w:val="22"/>
                <w:lang w:eastAsia="en-US"/>
              </w:rPr>
            </w:pPr>
            <w:r w:rsidRPr="00581713">
              <w:rPr>
                <w:rFonts w:ascii="Arial Narrow" w:eastAsiaTheme="minorHAnsi" w:hAnsi="Arial Narrow" w:cstheme="minorBidi"/>
                <w:i/>
                <w:iCs/>
                <w:noProof/>
                <w:color w:val="1F497D" w:themeColor="text2"/>
                <w:sz w:val="18"/>
                <w:szCs w:val="18"/>
                <w:lang w:eastAsia="sk-SK"/>
              </w:rPr>
              <w:drawing>
                <wp:inline distT="0" distB="0" distL="0" distR="0" wp14:anchorId="33727B88" wp14:editId="49F9D0C5">
                  <wp:extent cx="2853690" cy="2119630"/>
                  <wp:effectExtent l="0" t="0" r="381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407" w:type="dxa"/>
            <w:tcBorders>
              <w:bottom w:val="single" w:sz="4" w:space="0" w:color="auto"/>
            </w:tcBorders>
          </w:tcPr>
          <w:p w:rsidR="007D13F3" w:rsidRPr="00581713" w:rsidRDefault="007D13F3" w:rsidP="00465CAC">
            <w:pPr>
              <w:keepNext/>
              <w:spacing w:after="200"/>
              <w:jc w:val="both"/>
              <w:rPr>
                <w:rFonts w:ascii="Arial Narrow" w:eastAsiaTheme="minorHAnsi" w:hAnsi="Arial Narrow" w:cstheme="minorBidi"/>
                <w:b/>
                <w:color w:val="000000"/>
                <w:sz w:val="20"/>
                <w:szCs w:val="22"/>
                <w:lang w:eastAsia="en-US"/>
              </w:rPr>
            </w:pPr>
            <w:r w:rsidRPr="00581713">
              <w:rPr>
                <w:rFonts w:ascii="Arial Narrow" w:eastAsiaTheme="minorHAnsi" w:hAnsi="Arial Narrow" w:cstheme="minorBidi"/>
                <w:i/>
                <w:iCs/>
                <w:noProof/>
                <w:color w:val="1F497D" w:themeColor="text2"/>
                <w:sz w:val="18"/>
                <w:szCs w:val="18"/>
                <w:lang w:eastAsia="sk-SK"/>
              </w:rPr>
              <w:drawing>
                <wp:inline distT="0" distB="0" distL="0" distR="0" wp14:anchorId="0FCAF088" wp14:editId="777A5883">
                  <wp:extent cx="2709545" cy="2059388"/>
                  <wp:effectExtent l="0" t="0" r="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7D13F3" w:rsidRPr="00D909EE" w:rsidTr="00465CAC">
        <w:trPr>
          <w:trHeight w:val="80"/>
          <w:jc w:val="center"/>
        </w:trPr>
        <w:tc>
          <w:tcPr>
            <w:tcW w:w="4634" w:type="dxa"/>
            <w:tcBorders>
              <w:top w:val="single" w:sz="4" w:space="0" w:color="auto"/>
            </w:tcBorders>
          </w:tcPr>
          <w:p w:rsidR="007D13F3" w:rsidRPr="00581713" w:rsidRDefault="007D13F3" w:rsidP="00465CAC">
            <w:pPr>
              <w:jc w:val="right"/>
              <w:rPr>
                <w:rFonts w:asciiTheme="minorHAnsi" w:eastAsiaTheme="minorHAnsi" w:hAnsiTheme="minorHAnsi" w:cs="Arial Narrow"/>
                <w:i/>
                <w:iCs/>
                <w:sz w:val="16"/>
                <w:szCs w:val="16"/>
                <w:lang w:val="en-US" w:eastAsia="en-US"/>
              </w:rPr>
            </w:pPr>
            <w:r w:rsidRPr="00581713">
              <w:rPr>
                <w:rFonts w:asciiTheme="minorHAnsi" w:eastAsiaTheme="minorHAnsi" w:hAnsiTheme="minorHAnsi" w:cs="Arial Narrow"/>
                <w:i/>
                <w:iCs/>
                <w:sz w:val="16"/>
                <w:szCs w:val="16"/>
                <w:lang w:val="en-US" w:eastAsia="en-US"/>
              </w:rPr>
              <w:t>Zdroj: OECD</w:t>
            </w:r>
          </w:p>
        </w:tc>
        <w:tc>
          <w:tcPr>
            <w:tcW w:w="4407" w:type="dxa"/>
            <w:tcBorders>
              <w:top w:val="single" w:sz="4" w:space="0" w:color="auto"/>
            </w:tcBorders>
          </w:tcPr>
          <w:p w:rsidR="007D13F3" w:rsidRPr="00D909EE" w:rsidRDefault="007D13F3" w:rsidP="00465CAC">
            <w:pPr>
              <w:jc w:val="right"/>
              <w:rPr>
                <w:rFonts w:asciiTheme="minorHAnsi" w:eastAsiaTheme="minorHAnsi" w:hAnsiTheme="minorHAnsi" w:cs="Arial Narrow"/>
                <w:i/>
                <w:iCs/>
                <w:sz w:val="16"/>
                <w:szCs w:val="16"/>
                <w:lang w:val="en-US" w:eastAsia="en-US"/>
              </w:rPr>
            </w:pPr>
            <w:r w:rsidRPr="00581713">
              <w:rPr>
                <w:rFonts w:asciiTheme="minorHAnsi" w:eastAsiaTheme="minorHAnsi" w:hAnsiTheme="minorHAnsi" w:cs="Arial Narrow"/>
                <w:i/>
                <w:iCs/>
                <w:sz w:val="16"/>
                <w:szCs w:val="16"/>
                <w:lang w:val="en-US" w:eastAsia="en-US"/>
              </w:rPr>
              <w:t>Zdroj: OECD</w:t>
            </w:r>
          </w:p>
        </w:tc>
      </w:tr>
    </w:tbl>
    <w:p w:rsidR="007D13F3" w:rsidRPr="00D909EE" w:rsidRDefault="007D13F3" w:rsidP="007D13F3">
      <w:pPr>
        <w:spacing w:line="259" w:lineRule="auto"/>
        <w:ind w:firstLine="708"/>
        <w:jc w:val="both"/>
        <w:rPr>
          <w:rFonts w:ascii="Times New Roman" w:eastAsiaTheme="minorHAnsi" w:hAnsi="Times New Roman" w:cs="Times New Roman"/>
          <w:lang w:eastAsia="en-US"/>
        </w:rPr>
      </w:pPr>
    </w:p>
    <w:p w:rsidR="007D13F3" w:rsidRPr="00D909EE" w:rsidRDefault="007D13F3" w:rsidP="007D13F3">
      <w:pPr>
        <w:spacing w:line="259" w:lineRule="auto"/>
        <w:jc w:val="both"/>
        <w:rPr>
          <w:rFonts w:ascii="Times New Roman" w:eastAsiaTheme="minorHAnsi" w:hAnsi="Times New Roman" w:cs="Times New Roman"/>
          <w:b/>
          <w:i/>
          <w:lang w:eastAsia="en-US"/>
        </w:rPr>
      </w:pPr>
      <w:r w:rsidRPr="00D909EE">
        <w:rPr>
          <w:rFonts w:ascii="Times New Roman" w:eastAsiaTheme="minorHAnsi" w:hAnsi="Times New Roman" w:cs="Times New Roman"/>
          <w:b/>
          <w:i/>
          <w:lang w:eastAsia="en-US"/>
        </w:rPr>
        <w:t>Opatrenia</w:t>
      </w:r>
    </w:p>
    <w:p w:rsidR="007D13F3" w:rsidRPr="00D909EE" w:rsidRDefault="007D13F3" w:rsidP="007D13F3">
      <w:pPr>
        <w:spacing w:line="259" w:lineRule="auto"/>
        <w:jc w:val="both"/>
        <w:rPr>
          <w:rFonts w:ascii="Times New Roman" w:eastAsiaTheme="minorHAnsi" w:hAnsi="Times New Roman" w:cs="Times New Roman"/>
          <w:b/>
          <w:i/>
          <w:lang w:eastAsia="en-US"/>
        </w:rPr>
      </w:pPr>
    </w:p>
    <w:p w:rsidR="007D13F3" w:rsidRPr="00D909EE" w:rsidRDefault="007D13F3" w:rsidP="007D13F3">
      <w:pPr>
        <w:numPr>
          <w:ilvl w:val="0"/>
          <w:numId w:val="15"/>
        </w:numPr>
        <w:spacing w:after="160" w:line="259" w:lineRule="auto"/>
        <w:contextualSpacing/>
        <w:jc w:val="both"/>
        <w:rPr>
          <w:rFonts w:ascii="Times New Roman" w:eastAsiaTheme="minorHAnsi" w:hAnsi="Times New Roman" w:cs="Times New Roman"/>
          <w:lang w:eastAsia="en-US"/>
        </w:rPr>
      </w:pPr>
      <w:r w:rsidRPr="00D909EE">
        <w:rPr>
          <w:rFonts w:ascii="Times New Roman" w:eastAsiaTheme="minorHAnsi" w:hAnsi="Times New Roman" w:cs="Times New Roman"/>
          <w:lang w:eastAsia="en-US"/>
        </w:rPr>
        <w:t xml:space="preserve">Optimalizácia prevádzkových nákladov a procesov ako aj hospodárne obstarávanie zdravotníckej techniky a liekov, realizované najmä prostredníctvom </w:t>
      </w:r>
      <w:proofErr w:type="spellStart"/>
      <w:r w:rsidRPr="00D909EE">
        <w:rPr>
          <w:rFonts w:ascii="Times New Roman" w:eastAsiaTheme="minorHAnsi" w:hAnsi="Times New Roman" w:cs="Times New Roman"/>
          <w:lang w:eastAsia="en-US"/>
        </w:rPr>
        <w:t>benchmarkovania</w:t>
      </w:r>
      <w:proofErr w:type="spellEnd"/>
      <w:r w:rsidRPr="00D909EE">
        <w:rPr>
          <w:rFonts w:ascii="Times New Roman" w:eastAsiaTheme="minorHAnsi" w:hAnsi="Times New Roman" w:cs="Times New Roman"/>
          <w:lang w:eastAsia="en-US"/>
        </w:rPr>
        <w:t xml:space="preserve"> a centrálneho nákupu, prinesú nemocniciam v roku 2018 úsporu vo výške 31 mil. eur.</w:t>
      </w:r>
    </w:p>
    <w:p w:rsidR="007D13F3" w:rsidRDefault="007D13F3" w:rsidP="007D13F3">
      <w:pPr>
        <w:jc w:val="both"/>
        <w:rPr>
          <w:rFonts w:ascii="Times New Roman" w:hAnsi="Times New Roman" w:cs="Times New Roman"/>
          <w:highlight w:val="yellow"/>
        </w:rPr>
      </w:pPr>
    </w:p>
    <w:p w:rsidR="007D13F3" w:rsidRDefault="007D13F3" w:rsidP="007D13F3">
      <w:pPr>
        <w:pStyle w:val="Nadpis5"/>
        <w:pBdr>
          <w:bottom w:val="single" w:sz="4" w:space="1" w:color="auto"/>
        </w:pBdr>
        <w:spacing w:before="0" w:after="0"/>
        <w:ind w:left="0"/>
        <w:rPr>
          <w:i w:val="0"/>
          <w:sz w:val="24"/>
          <w:szCs w:val="24"/>
        </w:rPr>
      </w:pPr>
      <w:bookmarkStart w:id="80" w:name="_Toc400551756"/>
      <w:bookmarkStart w:id="81" w:name="_Toc494470093"/>
      <w:bookmarkStart w:id="82" w:name="_Toc494472269"/>
      <w:r w:rsidRPr="00200B6F">
        <w:rPr>
          <w:i w:val="0"/>
          <w:sz w:val="24"/>
          <w:szCs w:val="24"/>
        </w:rPr>
        <w:t>Ministerstvo školstva, vedy, výskumu a športu SR</w:t>
      </w:r>
      <w:bookmarkEnd w:id="80"/>
      <w:bookmarkEnd w:id="81"/>
      <w:bookmarkEnd w:id="82"/>
    </w:p>
    <w:p w:rsidR="007D13F3" w:rsidRPr="008A005B" w:rsidRDefault="007D13F3" w:rsidP="007D13F3"/>
    <w:p w:rsidR="007D13F3" w:rsidRPr="00836464" w:rsidRDefault="007D13F3" w:rsidP="007D13F3">
      <w:pPr>
        <w:pStyle w:val="tandard6za"/>
        <w:spacing w:after="0"/>
        <w:ind w:firstLine="709"/>
        <w:rPr>
          <w:szCs w:val="24"/>
        </w:rPr>
      </w:pPr>
      <w:r w:rsidRPr="008B1E72">
        <w:rPr>
          <w:szCs w:val="24"/>
        </w:rPr>
        <w:t>Hlavným cieľom politík v školstve je prostredníctvom výchovy a vzdelávania umožniť žiakom, bez ohľadu na ich sociálnu situáciu, získať vzdelanie, kompetencie a zručnosti, naučiť ich rozvíjať a kultivovať svoju osobnosť a získať a posilňovať úctu k ľudským právam a základným slobodám.</w:t>
      </w:r>
      <w:r w:rsidRPr="008B1E72">
        <w:rPr>
          <w:color w:val="000000"/>
          <w:szCs w:val="24"/>
        </w:rPr>
        <w:t xml:space="preserve"> Podpora vedy, výskumu a inovácií </w:t>
      </w:r>
      <w:r w:rsidRPr="008B1E72">
        <w:rPr>
          <w:szCs w:val="24"/>
        </w:rPr>
        <w:t>je v súčasnosti n</w:t>
      </w:r>
      <w:r w:rsidRPr="008B1E72">
        <w:rPr>
          <w:color w:val="000000"/>
          <w:szCs w:val="24"/>
        </w:rPr>
        <w:t xml:space="preserve">evyhnutným predpokladom efektívnej ekonomiky. V oblasti športu je cieľom </w:t>
      </w:r>
      <w:r w:rsidRPr="008B1E72">
        <w:rPr>
          <w:szCs w:val="24"/>
        </w:rPr>
        <w:t>podporovať šport pre všetkých ako odporúčaný spôsob aktívneho životného štýlu širokej verejnosti, najmä detí a mládeže. Napĺňanie týchto cieľov sa sleduje pomocou nasledovných indikátorov:</w:t>
      </w:r>
      <w:bookmarkStart w:id="83" w:name="_Toc487200895"/>
      <w:r w:rsidRPr="00836464">
        <w:rPr>
          <w:rFonts w:eastAsia="Calibri"/>
          <w:b/>
          <w:szCs w:val="24"/>
        </w:rPr>
        <w:t xml:space="preserve"> </w:t>
      </w:r>
      <w:bookmarkEnd w:id="83"/>
    </w:p>
    <w:p w:rsidR="007D13F3" w:rsidRPr="00C816E1" w:rsidRDefault="007D13F3" w:rsidP="007D13F3">
      <w:pPr>
        <w:spacing w:after="160" w:line="259" w:lineRule="auto"/>
        <w:rPr>
          <w:rFonts w:ascii="Times New Roman" w:hAnsi="Times New Roman" w:cs="Times New Roman"/>
          <w:sz w:val="22"/>
          <w:szCs w:val="22"/>
          <w:lang w:eastAsia="sk-SK"/>
        </w:rPr>
      </w:pPr>
      <w:r>
        <w:rPr>
          <w:sz w:val="22"/>
          <w:szCs w:val="22"/>
        </w:rPr>
        <w:br w:type="page"/>
      </w:r>
    </w:p>
    <w:tbl>
      <w:tblPr>
        <w:tblpPr w:leftFromText="142" w:rightFromText="142" w:vertAnchor="text" w:horzAnchor="margin" w:tblpX="-142" w:tblpY="1"/>
        <w:tblOverlap w:val="never"/>
        <w:tblW w:w="8968" w:type="dxa"/>
        <w:tblLayout w:type="fixed"/>
        <w:tblCellMar>
          <w:left w:w="0" w:type="dxa"/>
          <w:right w:w="0" w:type="dxa"/>
        </w:tblCellMar>
        <w:tblLook w:val="04A0" w:firstRow="1" w:lastRow="0" w:firstColumn="1" w:lastColumn="0" w:noHBand="0" w:noVBand="1"/>
      </w:tblPr>
      <w:tblGrid>
        <w:gridCol w:w="859"/>
        <w:gridCol w:w="3579"/>
        <w:gridCol w:w="572"/>
        <w:gridCol w:w="429"/>
        <w:gridCol w:w="429"/>
        <w:gridCol w:w="440"/>
        <w:gridCol w:w="440"/>
        <w:gridCol w:w="440"/>
        <w:gridCol w:w="440"/>
        <w:gridCol w:w="440"/>
        <w:gridCol w:w="380"/>
        <w:gridCol w:w="520"/>
      </w:tblGrid>
      <w:tr w:rsidR="007D13F3" w:rsidRPr="00703D1C" w:rsidTr="00465CAC">
        <w:trPr>
          <w:trHeight w:val="473"/>
        </w:trPr>
        <w:tc>
          <w:tcPr>
            <w:tcW w:w="8448" w:type="dxa"/>
            <w:gridSpan w:val="11"/>
            <w:tcBorders>
              <w:left w:val="nil"/>
              <w:bottom w:val="single" w:sz="4" w:space="0" w:color="auto"/>
              <w:right w:val="nil"/>
            </w:tcBorders>
            <w:vAlign w:val="center"/>
          </w:tcPr>
          <w:p w:rsidR="007D13F3" w:rsidRPr="00703D1C" w:rsidRDefault="007D13F3" w:rsidP="00465CAC">
            <w:pPr>
              <w:keepNext/>
              <w:ind w:right="-20"/>
              <w:rPr>
                <w:rFonts w:ascii="Times New Roman" w:hAnsi="Times New Roman" w:cs="Times New Roman"/>
                <w:b/>
                <w:bCs/>
                <w:color w:val="000000"/>
                <w:sz w:val="14"/>
                <w:szCs w:val="14"/>
                <w:lang w:eastAsia="sk-SK"/>
              </w:rPr>
            </w:pPr>
            <w:r w:rsidRPr="008C21E8">
              <w:rPr>
                <w:rFonts w:ascii="Times New Roman" w:eastAsia="Calibri" w:hAnsi="Times New Roman" w:cs="Times New Roman"/>
                <w:b/>
                <w:sz w:val="20"/>
                <w:szCs w:val="14"/>
              </w:rPr>
              <w:lastRenderedPageBreak/>
              <w:t>Tabuľka: Výsledkové a výstupové indikátory kvality vo vzdelávaní</w:t>
            </w:r>
          </w:p>
        </w:tc>
        <w:tc>
          <w:tcPr>
            <w:tcW w:w="519" w:type="dxa"/>
            <w:tcBorders>
              <w:left w:val="nil"/>
              <w:bottom w:val="single" w:sz="4" w:space="0" w:color="auto"/>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p>
        </w:tc>
      </w:tr>
      <w:tr w:rsidR="007D13F3" w:rsidRPr="00703D1C" w:rsidTr="00465CAC">
        <w:trPr>
          <w:trHeight w:val="473"/>
        </w:trPr>
        <w:tc>
          <w:tcPr>
            <w:tcW w:w="859" w:type="dxa"/>
            <w:tcBorders>
              <w:top w:val="single" w:sz="4" w:space="0" w:color="auto"/>
              <w:left w:val="nil"/>
              <w:bottom w:val="single" w:sz="4" w:space="0" w:color="auto"/>
              <w:right w:val="nil"/>
            </w:tcBorders>
            <w:vAlign w:val="center"/>
          </w:tcPr>
          <w:p w:rsidR="007D13F3" w:rsidRPr="00703D1C" w:rsidRDefault="007D13F3" w:rsidP="00465CAC">
            <w:pPr>
              <w:keepNext/>
              <w:ind w:right="-20"/>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Druh indikátora</w:t>
            </w:r>
          </w:p>
        </w:tc>
        <w:tc>
          <w:tcPr>
            <w:tcW w:w="357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7D13F3" w:rsidRPr="00703D1C" w:rsidRDefault="007D13F3" w:rsidP="00465CAC">
            <w:pPr>
              <w:keepNext/>
              <w:ind w:right="-20"/>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 </w:t>
            </w:r>
          </w:p>
        </w:tc>
        <w:tc>
          <w:tcPr>
            <w:tcW w:w="57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7D13F3" w:rsidRPr="00703D1C" w:rsidRDefault="007D13F3" w:rsidP="00465CAC">
            <w:pPr>
              <w:keepNext/>
              <w:ind w:right="-20"/>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 </w:t>
            </w:r>
          </w:p>
        </w:tc>
        <w:tc>
          <w:tcPr>
            <w:tcW w:w="42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2009</w:t>
            </w:r>
          </w:p>
        </w:tc>
        <w:tc>
          <w:tcPr>
            <w:tcW w:w="42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2010</w:t>
            </w:r>
          </w:p>
        </w:tc>
        <w:tc>
          <w:tcPr>
            <w:tcW w:w="4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2011</w:t>
            </w:r>
          </w:p>
        </w:tc>
        <w:tc>
          <w:tcPr>
            <w:tcW w:w="4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2012</w:t>
            </w:r>
          </w:p>
        </w:tc>
        <w:tc>
          <w:tcPr>
            <w:tcW w:w="4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2013</w:t>
            </w:r>
          </w:p>
        </w:tc>
        <w:tc>
          <w:tcPr>
            <w:tcW w:w="4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2014</w:t>
            </w:r>
          </w:p>
        </w:tc>
        <w:tc>
          <w:tcPr>
            <w:tcW w:w="4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2015</w:t>
            </w:r>
          </w:p>
        </w:tc>
        <w:tc>
          <w:tcPr>
            <w:tcW w:w="375" w:type="dxa"/>
            <w:tcBorders>
              <w:top w:val="single" w:sz="4" w:space="0" w:color="auto"/>
              <w:left w:val="nil"/>
              <w:bottom w:val="single" w:sz="4" w:space="0" w:color="auto"/>
              <w:right w:val="nil"/>
            </w:tcBorders>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2016</w:t>
            </w:r>
          </w:p>
        </w:tc>
        <w:tc>
          <w:tcPr>
            <w:tcW w:w="51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Cieľ 2020</w:t>
            </w:r>
          </w:p>
        </w:tc>
      </w:tr>
      <w:tr w:rsidR="007D13F3" w:rsidRPr="00703D1C" w:rsidTr="00465CAC">
        <w:trPr>
          <w:trHeight w:val="79"/>
        </w:trPr>
        <w:tc>
          <w:tcPr>
            <w:tcW w:w="859" w:type="dxa"/>
            <w:tcBorders>
              <w:top w:val="nil"/>
              <w:left w:val="nil"/>
              <w:bottom w:val="single" w:sz="4" w:space="0" w:color="auto"/>
              <w:right w:val="nil"/>
            </w:tcBorders>
            <w:shd w:val="clear" w:color="auto" w:fill="F2F2F2"/>
          </w:tcPr>
          <w:p w:rsidR="007D13F3" w:rsidRPr="00703D1C" w:rsidRDefault="007D13F3" w:rsidP="00465CAC">
            <w:pPr>
              <w:keepNext/>
              <w:ind w:right="-20"/>
              <w:rPr>
                <w:rFonts w:ascii="Times New Roman" w:hAnsi="Times New Roman" w:cs="Times New Roman"/>
                <w:b/>
                <w:bCs/>
                <w:color w:val="000000"/>
                <w:sz w:val="14"/>
                <w:szCs w:val="14"/>
                <w:lang w:eastAsia="sk-SK"/>
              </w:rPr>
            </w:pPr>
          </w:p>
        </w:tc>
        <w:tc>
          <w:tcPr>
            <w:tcW w:w="3579" w:type="dxa"/>
            <w:tcBorders>
              <w:top w:val="nil"/>
              <w:left w:val="nil"/>
              <w:bottom w:val="single" w:sz="4" w:space="0" w:color="auto"/>
              <w:right w:val="nil"/>
            </w:tcBorders>
            <w:shd w:val="clear" w:color="auto" w:fill="F2F2F2"/>
            <w:noWrap/>
            <w:tcMar>
              <w:top w:w="15" w:type="dxa"/>
              <w:left w:w="15" w:type="dxa"/>
              <w:bottom w:w="0" w:type="dxa"/>
              <w:right w:w="15" w:type="dxa"/>
            </w:tcMar>
            <w:vAlign w:val="center"/>
            <w:hideMark/>
          </w:tcPr>
          <w:p w:rsidR="007D13F3" w:rsidRPr="00703D1C" w:rsidRDefault="007D13F3" w:rsidP="00465CAC">
            <w:pPr>
              <w:keepNext/>
              <w:ind w:right="-20"/>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Regionálne školstvo</w:t>
            </w:r>
          </w:p>
        </w:tc>
        <w:tc>
          <w:tcPr>
            <w:tcW w:w="572" w:type="dxa"/>
            <w:tcBorders>
              <w:top w:val="nil"/>
              <w:left w:val="nil"/>
              <w:bottom w:val="single" w:sz="4" w:space="0" w:color="auto"/>
              <w:right w:val="nil"/>
            </w:tcBorders>
            <w:shd w:val="clear" w:color="auto" w:fill="F2F2F2"/>
            <w:noWrap/>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 </w:t>
            </w:r>
          </w:p>
        </w:tc>
        <w:tc>
          <w:tcPr>
            <w:tcW w:w="429"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29"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 </w:t>
            </w:r>
          </w:p>
        </w:tc>
        <w:tc>
          <w:tcPr>
            <w:tcW w:w="375" w:type="dxa"/>
            <w:tcBorders>
              <w:top w:val="nil"/>
              <w:left w:val="nil"/>
              <w:bottom w:val="single" w:sz="4" w:space="0" w:color="auto"/>
              <w:right w:val="nil"/>
            </w:tcBorders>
            <w:shd w:val="clear" w:color="auto" w:fill="F2F2F2"/>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p>
        </w:tc>
        <w:tc>
          <w:tcPr>
            <w:tcW w:w="519"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 </w:t>
            </w:r>
          </w:p>
        </w:tc>
      </w:tr>
      <w:tr w:rsidR="007D13F3" w:rsidRPr="00703D1C" w:rsidTr="00465CAC">
        <w:trPr>
          <w:trHeight w:val="229"/>
        </w:trPr>
        <w:tc>
          <w:tcPr>
            <w:tcW w:w="859" w:type="dxa"/>
            <w:vMerge w:val="restart"/>
            <w:tcBorders>
              <w:top w:val="single" w:sz="4" w:space="0" w:color="auto"/>
              <w:left w:val="nil"/>
              <w:right w:val="nil"/>
            </w:tcBorders>
            <w:shd w:val="clear" w:color="auto" w:fill="auto"/>
            <w:vAlign w:val="center"/>
          </w:tcPr>
          <w:p w:rsidR="007D13F3" w:rsidRPr="00703D1C" w:rsidRDefault="007D13F3" w:rsidP="00465CAC">
            <w:pPr>
              <w:keepNext/>
              <w:ind w:right="-20"/>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Výstup</w:t>
            </w:r>
          </w:p>
        </w:tc>
        <w:tc>
          <w:tcPr>
            <w:tcW w:w="3579" w:type="dxa"/>
            <w:tcBorders>
              <w:top w:val="single" w:sz="4" w:space="0" w:color="auto"/>
              <w:left w:val="nil"/>
              <w:right w:val="nil"/>
            </w:tcBorders>
            <w:shd w:val="clear" w:color="auto" w:fill="auto"/>
            <w:noWrap/>
            <w:tcMar>
              <w:top w:w="15" w:type="dxa"/>
              <w:left w:w="15" w:type="dxa"/>
              <w:bottom w:w="0" w:type="dxa"/>
              <w:right w:w="15" w:type="dxa"/>
            </w:tcMar>
            <w:vAlign w:val="center"/>
          </w:tcPr>
          <w:p w:rsidR="007D13F3" w:rsidRPr="00703D1C" w:rsidRDefault="007D13F3" w:rsidP="00465CAC">
            <w:pPr>
              <w:keepNext/>
              <w:ind w:right="-20"/>
              <w:rPr>
                <w:rFonts w:ascii="Times New Roman" w:hAnsi="Times New Roman" w:cs="Times New Roman"/>
                <w:b/>
                <w:bCs/>
                <w:color w:val="000000"/>
                <w:sz w:val="14"/>
                <w:szCs w:val="14"/>
                <w:lang w:eastAsia="sk-SK"/>
              </w:rPr>
            </w:pPr>
            <w:proofErr w:type="spellStart"/>
            <w:r w:rsidRPr="00703D1C">
              <w:rPr>
                <w:rFonts w:ascii="Times New Roman" w:hAnsi="Times New Roman" w:cs="Times New Roman"/>
                <w:b/>
                <w:bCs/>
                <w:color w:val="000000"/>
                <w:sz w:val="14"/>
                <w:szCs w:val="14"/>
                <w:lang w:eastAsia="sk-SK"/>
              </w:rPr>
              <w:t>Predprimárne</w:t>
            </w:r>
            <w:proofErr w:type="spellEnd"/>
            <w:r w:rsidRPr="00703D1C">
              <w:rPr>
                <w:rFonts w:ascii="Times New Roman" w:hAnsi="Times New Roman" w:cs="Times New Roman"/>
                <w:b/>
                <w:bCs/>
                <w:color w:val="000000"/>
                <w:sz w:val="14"/>
                <w:szCs w:val="14"/>
                <w:lang w:eastAsia="sk-SK"/>
              </w:rPr>
              <w:t xml:space="preserve"> vzdelávanie</w:t>
            </w:r>
          </w:p>
        </w:tc>
        <w:tc>
          <w:tcPr>
            <w:tcW w:w="572" w:type="dxa"/>
            <w:tcBorders>
              <w:top w:val="single" w:sz="4" w:space="0" w:color="auto"/>
              <w:left w:val="nil"/>
              <w:right w:val="nil"/>
            </w:tcBorders>
            <w:shd w:val="clear" w:color="auto" w:fill="auto"/>
            <w:noWrap/>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SK</w:t>
            </w:r>
          </w:p>
        </w:tc>
        <w:tc>
          <w:tcPr>
            <w:tcW w:w="429" w:type="dxa"/>
            <w:tcBorders>
              <w:top w:val="single" w:sz="4" w:space="0" w:color="auto"/>
              <w:left w:val="nil"/>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77,4 </w:t>
            </w:r>
          </w:p>
        </w:tc>
        <w:tc>
          <w:tcPr>
            <w:tcW w:w="429" w:type="dxa"/>
            <w:tcBorders>
              <w:top w:val="single" w:sz="4" w:space="0" w:color="auto"/>
              <w:left w:val="nil"/>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76,9 </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76,9 </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77,1</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77,5</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77,4</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78,4</w:t>
            </w:r>
          </w:p>
        </w:tc>
        <w:tc>
          <w:tcPr>
            <w:tcW w:w="375" w:type="dxa"/>
            <w:tcBorders>
              <w:top w:val="single" w:sz="4" w:space="0" w:color="auto"/>
              <w:left w:val="nil"/>
              <w:right w:val="nil"/>
            </w:tcBorders>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p>
        </w:tc>
        <w:tc>
          <w:tcPr>
            <w:tcW w:w="519" w:type="dxa"/>
            <w:tcBorders>
              <w:top w:val="single" w:sz="4" w:space="0" w:color="auto"/>
              <w:left w:val="nil"/>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p>
        </w:tc>
      </w:tr>
      <w:tr w:rsidR="007D13F3" w:rsidRPr="00703D1C" w:rsidTr="00465CAC">
        <w:trPr>
          <w:trHeight w:val="117"/>
        </w:trPr>
        <w:tc>
          <w:tcPr>
            <w:tcW w:w="859" w:type="dxa"/>
            <w:vMerge/>
            <w:tcBorders>
              <w:left w:val="nil"/>
              <w:bottom w:val="single" w:sz="4" w:space="0" w:color="auto"/>
              <w:right w:val="nil"/>
            </w:tcBorders>
            <w:shd w:val="clear" w:color="auto" w:fill="auto"/>
          </w:tcPr>
          <w:p w:rsidR="007D13F3" w:rsidRPr="00703D1C" w:rsidRDefault="007D13F3" w:rsidP="00465CAC">
            <w:pPr>
              <w:keepNext/>
              <w:ind w:right="-20"/>
              <w:rPr>
                <w:rFonts w:ascii="Times New Roman" w:hAnsi="Times New Roman" w:cs="Times New Roman"/>
                <w:bCs/>
                <w:color w:val="000000"/>
                <w:sz w:val="14"/>
                <w:szCs w:val="14"/>
                <w:lang w:eastAsia="sk-SK"/>
              </w:rPr>
            </w:pPr>
          </w:p>
        </w:tc>
        <w:tc>
          <w:tcPr>
            <w:tcW w:w="3579"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7D13F3" w:rsidRPr="00703D1C" w:rsidRDefault="007D13F3" w:rsidP="00465CAC">
            <w:pPr>
              <w:keepNext/>
              <w:ind w:right="-20"/>
              <w:rPr>
                <w:rFonts w:ascii="Times New Roman" w:hAnsi="Times New Roman" w:cs="Times New Roman"/>
                <w:bCs/>
                <w:color w:val="000000"/>
                <w:sz w:val="14"/>
                <w:szCs w:val="14"/>
                <w:lang w:eastAsia="sk-SK"/>
              </w:rPr>
            </w:pPr>
            <w:r w:rsidRPr="00703D1C">
              <w:rPr>
                <w:rFonts w:ascii="Times New Roman" w:hAnsi="Times New Roman" w:cs="Times New Roman"/>
                <w:bCs/>
                <w:color w:val="000000"/>
                <w:sz w:val="14"/>
                <w:szCs w:val="14"/>
                <w:lang w:eastAsia="sk-SK"/>
              </w:rPr>
              <w:t>(účasť detí nad 4 roky v %)</w:t>
            </w:r>
          </w:p>
        </w:tc>
        <w:tc>
          <w:tcPr>
            <w:tcW w:w="572"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EÚ</w:t>
            </w:r>
          </w:p>
        </w:tc>
        <w:tc>
          <w:tcPr>
            <w:tcW w:w="429"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92,1 </w:t>
            </w:r>
          </w:p>
        </w:tc>
        <w:tc>
          <w:tcPr>
            <w:tcW w:w="429"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92,9 </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93,2 </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93,9 </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94,0</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Cs/>
                <w:color w:val="000000"/>
                <w:sz w:val="14"/>
                <w:szCs w:val="14"/>
                <w:lang w:eastAsia="sk-SK"/>
              </w:rPr>
            </w:pPr>
            <w:r w:rsidRPr="00703D1C">
              <w:rPr>
                <w:rFonts w:ascii="Times New Roman" w:hAnsi="Times New Roman" w:cs="Times New Roman"/>
                <w:bCs/>
                <w:color w:val="000000"/>
                <w:sz w:val="14"/>
                <w:szCs w:val="14"/>
                <w:lang w:eastAsia="sk-SK"/>
              </w:rPr>
              <w:t>94,3</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Cs/>
                <w:color w:val="000000"/>
                <w:sz w:val="14"/>
                <w:szCs w:val="14"/>
                <w:lang w:eastAsia="sk-SK"/>
              </w:rPr>
            </w:pPr>
            <w:r w:rsidRPr="00703D1C">
              <w:rPr>
                <w:rFonts w:ascii="Times New Roman" w:hAnsi="Times New Roman" w:cs="Times New Roman"/>
                <w:bCs/>
                <w:color w:val="000000"/>
                <w:sz w:val="14"/>
                <w:szCs w:val="14"/>
                <w:lang w:eastAsia="sk-SK"/>
              </w:rPr>
              <w:t>94,8</w:t>
            </w:r>
          </w:p>
        </w:tc>
        <w:tc>
          <w:tcPr>
            <w:tcW w:w="375" w:type="dxa"/>
            <w:tcBorders>
              <w:top w:val="nil"/>
              <w:left w:val="nil"/>
              <w:bottom w:val="single" w:sz="4" w:space="0" w:color="auto"/>
              <w:right w:val="nil"/>
            </w:tcBorders>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p>
        </w:tc>
        <w:tc>
          <w:tcPr>
            <w:tcW w:w="519"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p>
        </w:tc>
      </w:tr>
      <w:tr w:rsidR="007D13F3" w:rsidRPr="00703D1C" w:rsidTr="00465CAC">
        <w:trPr>
          <w:trHeight w:val="108"/>
        </w:trPr>
        <w:tc>
          <w:tcPr>
            <w:tcW w:w="859" w:type="dxa"/>
            <w:vMerge w:val="restart"/>
            <w:tcBorders>
              <w:top w:val="single" w:sz="4" w:space="0" w:color="auto"/>
              <w:left w:val="nil"/>
            </w:tcBorders>
            <w:shd w:val="clear" w:color="000000" w:fill="FFFFFF"/>
            <w:vAlign w:val="center"/>
          </w:tcPr>
          <w:p w:rsidR="007D13F3" w:rsidRPr="00703D1C" w:rsidRDefault="007D13F3" w:rsidP="00465CAC">
            <w:pPr>
              <w:keepNext/>
              <w:ind w:right="-20"/>
              <w:rPr>
                <w:rFonts w:ascii="Times New Roman" w:hAnsi="Times New Roman" w:cs="Times New Roman"/>
                <w:b/>
                <w:color w:val="000000"/>
                <w:sz w:val="14"/>
                <w:szCs w:val="14"/>
                <w:lang w:eastAsia="sk-SK"/>
              </w:rPr>
            </w:pPr>
            <w:r w:rsidRPr="00703D1C">
              <w:rPr>
                <w:rFonts w:ascii="Times New Roman" w:hAnsi="Times New Roman" w:cs="Times New Roman"/>
                <w:b/>
                <w:bCs/>
                <w:color w:val="000000"/>
                <w:sz w:val="14"/>
                <w:szCs w:val="14"/>
                <w:lang w:eastAsia="sk-SK"/>
              </w:rPr>
              <w:t>Výsledok</w:t>
            </w:r>
          </w:p>
        </w:tc>
        <w:tc>
          <w:tcPr>
            <w:tcW w:w="3579" w:type="dxa"/>
            <w:tcBorders>
              <w:top w:val="single" w:sz="4" w:space="0" w:color="auto"/>
            </w:tcBorders>
            <w:shd w:val="clear" w:color="000000" w:fill="FFFFFF"/>
            <w:noWrap/>
            <w:tcMar>
              <w:top w:w="15" w:type="dxa"/>
              <w:left w:w="15" w:type="dxa"/>
              <w:bottom w:w="0" w:type="dxa"/>
              <w:right w:w="15" w:type="dxa"/>
            </w:tcMar>
            <w:vAlign w:val="center"/>
          </w:tcPr>
          <w:p w:rsidR="007D13F3" w:rsidRPr="00703D1C" w:rsidRDefault="007D13F3" w:rsidP="00465CAC">
            <w:pPr>
              <w:keepNext/>
              <w:ind w:right="-20"/>
              <w:rPr>
                <w:rFonts w:ascii="Times New Roman" w:hAnsi="Times New Roman" w:cs="Times New Roman"/>
                <w:b/>
                <w:color w:val="000000"/>
                <w:sz w:val="14"/>
                <w:szCs w:val="14"/>
                <w:lang w:eastAsia="sk-SK"/>
              </w:rPr>
            </w:pPr>
            <w:r w:rsidRPr="00703D1C">
              <w:rPr>
                <w:rFonts w:ascii="Times New Roman" w:hAnsi="Times New Roman" w:cs="Times New Roman"/>
                <w:b/>
                <w:bCs/>
                <w:color w:val="000000"/>
                <w:sz w:val="14"/>
                <w:szCs w:val="14"/>
                <w:lang w:eastAsia="sk-SK"/>
              </w:rPr>
              <w:t>PISA</w:t>
            </w:r>
          </w:p>
        </w:tc>
        <w:tc>
          <w:tcPr>
            <w:tcW w:w="572" w:type="dxa"/>
            <w:tcBorders>
              <w:top w:val="single" w:sz="4" w:space="0" w:color="auto"/>
            </w:tcBorders>
            <w:shd w:val="clear" w:color="000000" w:fill="FFFFFF"/>
            <w:noWrap/>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SK</w:t>
            </w:r>
          </w:p>
        </w:tc>
        <w:tc>
          <w:tcPr>
            <w:tcW w:w="429"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488</w:t>
            </w:r>
          </w:p>
        </w:tc>
        <w:tc>
          <w:tcPr>
            <w:tcW w:w="429"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40"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40"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472</w:t>
            </w:r>
          </w:p>
        </w:tc>
        <w:tc>
          <w:tcPr>
            <w:tcW w:w="440"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40"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40"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463</w:t>
            </w:r>
          </w:p>
        </w:tc>
        <w:tc>
          <w:tcPr>
            <w:tcW w:w="375" w:type="dxa"/>
            <w:tcBorders>
              <w:top w:val="single" w:sz="4" w:space="0" w:color="auto"/>
            </w:tcBorders>
            <w:shd w:val="clear" w:color="000000" w:fill="FFFFFF"/>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p>
        </w:tc>
        <w:tc>
          <w:tcPr>
            <w:tcW w:w="519" w:type="dxa"/>
            <w:tcBorders>
              <w:top w:val="single" w:sz="4" w:space="0" w:color="auto"/>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505</w:t>
            </w:r>
          </w:p>
        </w:tc>
      </w:tr>
      <w:tr w:rsidR="007D13F3" w:rsidRPr="00703D1C" w:rsidTr="00465CAC">
        <w:trPr>
          <w:trHeight w:val="155"/>
        </w:trPr>
        <w:tc>
          <w:tcPr>
            <w:tcW w:w="859" w:type="dxa"/>
            <w:vMerge/>
            <w:tcBorders>
              <w:left w:val="nil"/>
              <w:bottom w:val="single" w:sz="4" w:space="0" w:color="auto"/>
            </w:tcBorders>
            <w:shd w:val="clear" w:color="000000" w:fill="FFFFFF"/>
          </w:tcPr>
          <w:p w:rsidR="007D13F3" w:rsidRPr="00703D1C" w:rsidRDefault="007D13F3" w:rsidP="00465CAC">
            <w:pPr>
              <w:keepNext/>
              <w:ind w:right="-20"/>
              <w:rPr>
                <w:rFonts w:ascii="Times New Roman" w:hAnsi="Times New Roman" w:cs="Times New Roman"/>
                <w:color w:val="000000"/>
                <w:sz w:val="14"/>
                <w:szCs w:val="14"/>
                <w:lang w:eastAsia="sk-SK"/>
              </w:rPr>
            </w:pPr>
          </w:p>
        </w:tc>
        <w:tc>
          <w:tcPr>
            <w:tcW w:w="3579" w:type="dxa"/>
            <w:tcBorders>
              <w:bottom w:val="single" w:sz="4" w:space="0" w:color="auto"/>
            </w:tcBorders>
            <w:shd w:val="clear" w:color="000000" w:fill="FFFFFF"/>
            <w:noWrap/>
            <w:tcMar>
              <w:top w:w="15" w:type="dxa"/>
              <w:left w:w="15" w:type="dxa"/>
              <w:bottom w:w="0" w:type="dxa"/>
              <w:right w:w="15" w:type="dxa"/>
            </w:tcMar>
            <w:vAlign w:val="center"/>
          </w:tcPr>
          <w:p w:rsidR="007D13F3" w:rsidRPr="00703D1C" w:rsidRDefault="007D13F3" w:rsidP="00465CAC">
            <w:pPr>
              <w:keepNext/>
              <w:ind w:right="-20"/>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(priemer dosiahnutých bodov)</w:t>
            </w:r>
          </w:p>
        </w:tc>
        <w:tc>
          <w:tcPr>
            <w:tcW w:w="572" w:type="dxa"/>
            <w:tcBorders>
              <w:bottom w:val="single" w:sz="4" w:space="0" w:color="auto"/>
            </w:tcBorders>
            <w:shd w:val="clear" w:color="000000" w:fill="FFFFFF"/>
            <w:noWrap/>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OECD</w:t>
            </w:r>
          </w:p>
        </w:tc>
        <w:tc>
          <w:tcPr>
            <w:tcW w:w="429"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497</w:t>
            </w:r>
          </w:p>
        </w:tc>
        <w:tc>
          <w:tcPr>
            <w:tcW w:w="429"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40"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40"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497</w:t>
            </w:r>
          </w:p>
        </w:tc>
        <w:tc>
          <w:tcPr>
            <w:tcW w:w="440"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40"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40"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492</w:t>
            </w:r>
          </w:p>
        </w:tc>
        <w:tc>
          <w:tcPr>
            <w:tcW w:w="375" w:type="dxa"/>
            <w:tcBorders>
              <w:bottom w:val="single" w:sz="4" w:space="0" w:color="auto"/>
            </w:tcBorders>
            <w:shd w:val="clear" w:color="000000" w:fill="FFFFFF"/>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p>
        </w:tc>
        <w:tc>
          <w:tcPr>
            <w:tcW w:w="519" w:type="dxa"/>
            <w:tcBorders>
              <w:bottom w:val="single" w:sz="4" w:space="0" w:color="auto"/>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w:t>
            </w:r>
          </w:p>
        </w:tc>
      </w:tr>
      <w:tr w:rsidR="007D13F3" w:rsidRPr="00703D1C" w:rsidTr="00465CAC">
        <w:trPr>
          <w:trHeight w:val="155"/>
        </w:trPr>
        <w:tc>
          <w:tcPr>
            <w:tcW w:w="859" w:type="dxa"/>
            <w:vMerge w:val="restart"/>
            <w:tcBorders>
              <w:left w:val="nil"/>
            </w:tcBorders>
            <w:shd w:val="clear" w:color="000000" w:fill="FFFFFF"/>
            <w:vAlign w:val="center"/>
          </w:tcPr>
          <w:p w:rsidR="007D13F3" w:rsidRPr="00703D1C" w:rsidRDefault="007D13F3" w:rsidP="00465CAC">
            <w:pPr>
              <w:keepNext/>
              <w:ind w:right="-20"/>
              <w:rPr>
                <w:rFonts w:ascii="Times New Roman" w:hAnsi="Times New Roman" w:cs="Times New Roman"/>
                <w:color w:val="000000"/>
                <w:sz w:val="14"/>
                <w:szCs w:val="14"/>
                <w:lang w:eastAsia="sk-SK"/>
              </w:rPr>
            </w:pPr>
            <w:r w:rsidRPr="00703D1C">
              <w:rPr>
                <w:rFonts w:ascii="Times New Roman" w:hAnsi="Times New Roman" w:cs="Times New Roman"/>
                <w:b/>
                <w:bCs/>
                <w:color w:val="000000"/>
                <w:sz w:val="14"/>
                <w:szCs w:val="14"/>
                <w:lang w:eastAsia="sk-SK"/>
              </w:rPr>
              <w:t>Výsledok</w:t>
            </w:r>
          </w:p>
        </w:tc>
        <w:tc>
          <w:tcPr>
            <w:tcW w:w="3579" w:type="dxa"/>
            <w:tcBorders>
              <w:top w:val="single" w:sz="4" w:space="0" w:color="auto"/>
            </w:tcBorders>
            <w:shd w:val="clear" w:color="000000" w:fill="FFFFFF"/>
            <w:noWrap/>
            <w:tcMar>
              <w:top w:w="15" w:type="dxa"/>
              <w:left w:w="15" w:type="dxa"/>
              <w:bottom w:w="0" w:type="dxa"/>
              <w:right w:w="15" w:type="dxa"/>
            </w:tcMar>
            <w:vAlign w:val="center"/>
          </w:tcPr>
          <w:p w:rsidR="007D13F3" w:rsidRPr="00703D1C" w:rsidRDefault="007D13F3" w:rsidP="00465CAC">
            <w:pPr>
              <w:keepNext/>
              <w:ind w:right="-20"/>
              <w:rPr>
                <w:rFonts w:ascii="Times New Roman" w:hAnsi="Times New Roman" w:cs="Times New Roman"/>
                <w:color w:val="000000"/>
                <w:sz w:val="14"/>
                <w:szCs w:val="14"/>
                <w:lang w:eastAsia="sk-SK"/>
              </w:rPr>
            </w:pPr>
            <w:r w:rsidRPr="00703D1C">
              <w:rPr>
                <w:rFonts w:ascii="Times New Roman" w:hAnsi="Times New Roman" w:cs="Times New Roman"/>
                <w:b/>
                <w:bCs/>
                <w:color w:val="000000"/>
                <w:sz w:val="14"/>
                <w:szCs w:val="14"/>
                <w:lang w:eastAsia="sk-SK"/>
              </w:rPr>
              <w:t>PISA – základné zručnosti</w:t>
            </w:r>
          </w:p>
        </w:tc>
        <w:tc>
          <w:tcPr>
            <w:tcW w:w="572" w:type="dxa"/>
            <w:tcBorders>
              <w:top w:val="single" w:sz="4" w:space="0" w:color="auto"/>
            </w:tcBorders>
            <w:shd w:val="clear" w:color="000000" w:fill="FFFFFF"/>
            <w:noWrap/>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SK</w:t>
            </w:r>
          </w:p>
        </w:tc>
        <w:tc>
          <w:tcPr>
            <w:tcW w:w="429"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21</w:t>
            </w:r>
          </w:p>
        </w:tc>
        <w:tc>
          <w:tcPr>
            <w:tcW w:w="429"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27,5</w:t>
            </w:r>
          </w:p>
        </w:tc>
        <w:tc>
          <w:tcPr>
            <w:tcW w:w="440"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31</w:t>
            </w:r>
          </w:p>
        </w:tc>
        <w:tc>
          <w:tcPr>
            <w:tcW w:w="375" w:type="dxa"/>
            <w:tcBorders>
              <w:top w:val="single" w:sz="4" w:space="0" w:color="auto"/>
            </w:tcBorders>
            <w:shd w:val="clear" w:color="000000" w:fill="FFFFFF"/>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p>
        </w:tc>
        <w:tc>
          <w:tcPr>
            <w:tcW w:w="519" w:type="dxa"/>
            <w:tcBorders>
              <w:top w:val="single" w:sz="4" w:space="0" w:color="auto"/>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r>
      <w:tr w:rsidR="007D13F3" w:rsidRPr="00703D1C" w:rsidTr="00465CAC">
        <w:trPr>
          <w:trHeight w:val="155"/>
        </w:trPr>
        <w:tc>
          <w:tcPr>
            <w:tcW w:w="859" w:type="dxa"/>
            <w:vMerge/>
            <w:tcBorders>
              <w:left w:val="nil"/>
              <w:bottom w:val="single" w:sz="4" w:space="0" w:color="auto"/>
            </w:tcBorders>
            <w:shd w:val="clear" w:color="000000" w:fill="FFFFFF"/>
          </w:tcPr>
          <w:p w:rsidR="007D13F3" w:rsidRPr="00703D1C" w:rsidRDefault="007D13F3" w:rsidP="00465CAC">
            <w:pPr>
              <w:keepNext/>
              <w:ind w:right="-20"/>
              <w:rPr>
                <w:rFonts w:ascii="Times New Roman" w:hAnsi="Times New Roman" w:cs="Times New Roman"/>
                <w:color w:val="000000"/>
                <w:sz w:val="14"/>
                <w:szCs w:val="14"/>
                <w:lang w:eastAsia="sk-SK"/>
              </w:rPr>
            </w:pPr>
          </w:p>
        </w:tc>
        <w:tc>
          <w:tcPr>
            <w:tcW w:w="3579" w:type="dxa"/>
            <w:tcBorders>
              <w:bottom w:val="single" w:sz="4" w:space="0" w:color="auto"/>
            </w:tcBorders>
            <w:shd w:val="clear" w:color="000000" w:fill="FFFFFF"/>
            <w:noWrap/>
            <w:tcMar>
              <w:top w:w="15" w:type="dxa"/>
              <w:left w:w="15" w:type="dxa"/>
              <w:bottom w:w="0" w:type="dxa"/>
              <w:right w:w="15" w:type="dxa"/>
            </w:tcMar>
            <w:vAlign w:val="center"/>
          </w:tcPr>
          <w:p w:rsidR="007D13F3" w:rsidRPr="00703D1C" w:rsidRDefault="007D13F3" w:rsidP="00465CAC">
            <w:pPr>
              <w:keepNext/>
              <w:ind w:right="-20"/>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val="en-US" w:eastAsia="sk-SK"/>
              </w:rPr>
              <w:t xml:space="preserve">% </w:t>
            </w:r>
            <w:r w:rsidRPr="00703D1C">
              <w:rPr>
                <w:rFonts w:ascii="Times New Roman" w:hAnsi="Times New Roman" w:cs="Times New Roman"/>
                <w:color w:val="000000"/>
                <w:sz w:val="14"/>
                <w:szCs w:val="14"/>
                <w:lang w:eastAsia="sk-SK"/>
              </w:rPr>
              <w:t>žiakov nedosahujúcich základné zručnosti</w:t>
            </w:r>
          </w:p>
        </w:tc>
        <w:tc>
          <w:tcPr>
            <w:tcW w:w="572" w:type="dxa"/>
            <w:tcBorders>
              <w:bottom w:val="single" w:sz="4" w:space="0" w:color="auto"/>
            </w:tcBorders>
            <w:shd w:val="clear" w:color="000000" w:fill="FFFFFF"/>
            <w:noWrap/>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OECD</w:t>
            </w:r>
          </w:p>
        </w:tc>
        <w:tc>
          <w:tcPr>
            <w:tcW w:w="429"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20</w:t>
            </w:r>
          </w:p>
        </w:tc>
        <w:tc>
          <w:tcPr>
            <w:tcW w:w="429"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20</w:t>
            </w:r>
          </w:p>
        </w:tc>
        <w:tc>
          <w:tcPr>
            <w:tcW w:w="440"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21</w:t>
            </w:r>
          </w:p>
        </w:tc>
        <w:tc>
          <w:tcPr>
            <w:tcW w:w="375" w:type="dxa"/>
            <w:tcBorders>
              <w:bottom w:val="single" w:sz="4" w:space="0" w:color="auto"/>
            </w:tcBorders>
            <w:shd w:val="clear" w:color="000000" w:fill="FFFFFF"/>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p>
        </w:tc>
        <w:tc>
          <w:tcPr>
            <w:tcW w:w="519" w:type="dxa"/>
            <w:tcBorders>
              <w:bottom w:val="single" w:sz="4" w:space="0" w:color="auto"/>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r>
      <w:tr w:rsidR="007D13F3" w:rsidRPr="00703D1C" w:rsidTr="00465CAC">
        <w:trPr>
          <w:trHeight w:val="155"/>
        </w:trPr>
        <w:tc>
          <w:tcPr>
            <w:tcW w:w="859" w:type="dxa"/>
            <w:vMerge w:val="restart"/>
            <w:tcBorders>
              <w:left w:val="nil"/>
            </w:tcBorders>
            <w:shd w:val="clear" w:color="000000" w:fill="FFFFFF"/>
            <w:vAlign w:val="center"/>
          </w:tcPr>
          <w:p w:rsidR="007D13F3" w:rsidRPr="00703D1C" w:rsidRDefault="007D13F3" w:rsidP="00465CAC">
            <w:pPr>
              <w:keepNext/>
              <w:ind w:right="-20"/>
              <w:rPr>
                <w:rFonts w:ascii="Times New Roman" w:hAnsi="Times New Roman" w:cs="Times New Roman"/>
                <w:color w:val="000000"/>
                <w:sz w:val="14"/>
                <w:szCs w:val="14"/>
                <w:lang w:eastAsia="sk-SK"/>
              </w:rPr>
            </w:pPr>
            <w:r w:rsidRPr="00703D1C">
              <w:rPr>
                <w:rFonts w:ascii="Times New Roman" w:hAnsi="Times New Roman" w:cs="Times New Roman"/>
                <w:b/>
                <w:bCs/>
                <w:color w:val="000000"/>
                <w:sz w:val="14"/>
                <w:szCs w:val="14"/>
                <w:lang w:eastAsia="sk-SK"/>
              </w:rPr>
              <w:t>Výsledok</w:t>
            </w:r>
          </w:p>
        </w:tc>
        <w:tc>
          <w:tcPr>
            <w:tcW w:w="3579" w:type="dxa"/>
            <w:tcBorders>
              <w:top w:val="single" w:sz="4" w:space="0" w:color="auto"/>
            </w:tcBorders>
            <w:shd w:val="clear" w:color="000000" w:fill="FFFFFF"/>
            <w:noWrap/>
            <w:tcMar>
              <w:top w:w="15" w:type="dxa"/>
              <w:left w:w="15" w:type="dxa"/>
              <w:bottom w:w="0" w:type="dxa"/>
              <w:right w:w="15" w:type="dxa"/>
            </w:tcMar>
            <w:vAlign w:val="center"/>
          </w:tcPr>
          <w:p w:rsidR="007D13F3" w:rsidRPr="00703D1C" w:rsidRDefault="007D13F3" w:rsidP="00465CAC">
            <w:pPr>
              <w:keepNext/>
              <w:ind w:right="-20"/>
              <w:rPr>
                <w:rFonts w:ascii="Times New Roman" w:hAnsi="Times New Roman" w:cs="Times New Roman"/>
                <w:color w:val="000000"/>
                <w:sz w:val="14"/>
                <w:szCs w:val="14"/>
                <w:lang w:eastAsia="sk-SK"/>
              </w:rPr>
            </w:pPr>
            <w:r w:rsidRPr="00703D1C">
              <w:rPr>
                <w:rFonts w:ascii="Times New Roman" w:hAnsi="Times New Roman" w:cs="Times New Roman"/>
                <w:b/>
                <w:bCs/>
                <w:color w:val="000000"/>
                <w:sz w:val="14"/>
                <w:szCs w:val="14"/>
                <w:lang w:eastAsia="sk-SK"/>
              </w:rPr>
              <w:t>PISA – vplyv sociálneho prostredia</w:t>
            </w:r>
          </w:p>
        </w:tc>
        <w:tc>
          <w:tcPr>
            <w:tcW w:w="572" w:type="dxa"/>
            <w:tcBorders>
              <w:top w:val="single" w:sz="4" w:space="0" w:color="auto"/>
            </w:tcBorders>
            <w:shd w:val="clear" w:color="000000" w:fill="FFFFFF"/>
            <w:noWrap/>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SK</w:t>
            </w:r>
          </w:p>
        </w:tc>
        <w:tc>
          <w:tcPr>
            <w:tcW w:w="429"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14,6</w:t>
            </w:r>
          </w:p>
        </w:tc>
        <w:tc>
          <w:tcPr>
            <w:tcW w:w="429"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24,6</w:t>
            </w:r>
          </w:p>
        </w:tc>
        <w:tc>
          <w:tcPr>
            <w:tcW w:w="440"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16,2</w:t>
            </w:r>
          </w:p>
        </w:tc>
        <w:tc>
          <w:tcPr>
            <w:tcW w:w="375" w:type="dxa"/>
            <w:tcBorders>
              <w:top w:val="single" w:sz="4" w:space="0" w:color="auto"/>
            </w:tcBorders>
            <w:shd w:val="clear" w:color="000000" w:fill="FFFFFF"/>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p>
        </w:tc>
        <w:tc>
          <w:tcPr>
            <w:tcW w:w="519" w:type="dxa"/>
            <w:tcBorders>
              <w:top w:val="single" w:sz="4" w:space="0" w:color="auto"/>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r>
      <w:tr w:rsidR="007D13F3" w:rsidRPr="00703D1C" w:rsidTr="00465CAC">
        <w:trPr>
          <w:trHeight w:val="155"/>
        </w:trPr>
        <w:tc>
          <w:tcPr>
            <w:tcW w:w="859" w:type="dxa"/>
            <w:vMerge/>
            <w:tcBorders>
              <w:left w:val="nil"/>
              <w:bottom w:val="single" w:sz="4" w:space="0" w:color="auto"/>
            </w:tcBorders>
            <w:shd w:val="clear" w:color="000000" w:fill="FFFFFF"/>
          </w:tcPr>
          <w:p w:rsidR="007D13F3" w:rsidRPr="00703D1C" w:rsidRDefault="007D13F3" w:rsidP="00465CAC">
            <w:pPr>
              <w:keepNext/>
              <w:ind w:right="-20"/>
              <w:rPr>
                <w:rFonts w:ascii="Times New Roman" w:hAnsi="Times New Roman" w:cs="Times New Roman"/>
                <w:color w:val="000000"/>
                <w:sz w:val="14"/>
                <w:szCs w:val="14"/>
                <w:lang w:eastAsia="sk-SK"/>
              </w:rPr>
            </w:pPr>
          </w:p>
        </w:tc>
        <w:tc>
          <w:tcPr>
            <w:tcW w:w="3579" w:type="dxa"/>
            <w:tcBorders>
              <w:bottom w:val="single" w:sz="4" w:space="0" w:color="auto"/>
            </w:tcBorders>
            <w:shd w:val="clear" w:color="000000" w:fill="FFFFFF"/>
            <w:noWrap/>
            <w:tcMar>
              <w:top w:w="15" w:type="dxa"/>
              <w:left w:w="15" w:type="dxa"/>
              <w:bottom w:w="0" w:type="dxa"/>
              <w:right w:w="15" w:type="dxa"/>
            </w:tcMar>
            <w:vAlign w:val="center"/>
          </w:tcPr>
          <w:p w:rsidR="007D13F3" w:rsidRPr="00703D1C" w:rsidRDefault="007D13F3" w:rsidP="00465CAC">
            <w:pPr>
              <w:keepNext/>
              <w:ind w:right="-20"/>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výsledku vysvetlené sociálnym prostredím</w:t>
            </w:r>
          </w:p>
        </w:tc>
        <w:tc>
          <w:tcPr>
            <w:tcW w:w="572" w:type="dxa"/>
            <w:tcBorders>
              <w:bottom w:val="single" w:sz="4" w:space="0" w:color="auto"/>
            </w:tcBorders>
            <w:shd w:val="clear" w:color="000000" w:fill="FFFFFF"/>
            <w:noWrap/>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OECD</w:t>
            </w:r>
          </w:p>
        </w:tc>
        <w:tc>
          <w:tcPr>
            <w:tcW w:w="429"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14,0</w:t>
            </w:r>
          </w:p>
        </w:tc>
        <w:tc>
          <w:tcPr>
            <w:tcW w:w="429"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14,8</w:t>
            </w:r>
          </w:p>
        </w:tc>
        <w:tc>
          <w:tcPr>
            <w:tcW w:w="440"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12,6</w:t>
            </w:r>
          </w:p>
        </w:tc>
        <w:tc>
          <w:tcPr>
            <w:tcW w:w="375" w:type="dxa"/>
            <w:tcBorders>
              <w:bottom w:val="single" w:sz="4" w:space="0" w:color="auto"/>
            </w:tcBorders>
            <w:shd w:val="clear" w:color="000000" w:fill="FFFFFF"/>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p>
        </w:tc>
        <w:tc>
          <w:tcPr>
            <w:tcW w:w="519" w:type="dxa"/>
            <w:tcBorders>
              <w:bottom w:val="single" w:sz="4" w:space="0" w:color="auto"/>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r>
      <w:tr w:rsidR="007D13F3" w:rsidRPr="00703D1C" w:rsidTr="00465CAC">
        <w:trPr>
          <w:trHeight w:val="319"/>
        </w:trPr>
        <w:tc>
          <w:tcPr>
            <w:tcW w:w="859" w:type="dxa"/>
            <w:vMerge w:val="restart"/>
            <w:tcBorders>
              <w:top w:val="single" w:sz="4" w:space="0" w:color="auto"/>
              <w:left w:val="nil"/>
              <w:right w:val="nil"/>
            </w:tcBorders>
            <w:shd w:val="clear" w:color="auto" w:fill="auto"/>
            <w:vAlign w:val="center"/>
          </w:tcPr>
          <w:p w:rsidR="007D13F3" w:rsidRPr="00703D1C" w:rsidRDefault="007D13F3" w:rsidP="00465CAC">
            <w:pPr>
              <w:keepNext/>
              <w:ind w:right="-20"/>
              <w:rPr>
                <w:rFonts w:ascii="Times New Roman" w:hAnsi="Times New Roman" w:cs="Times New Roman"/>
                <w:b/>
                <w:bCs/>
                <w:color w:val="000000"/>
                <w:sz w:val="14"/>
                <w:szCs w:val="14"/>
                <w:lang w:eastAsia="sk-SK"/>
              </w:rPr>
            </w:pPr>
            <w:r w:rsidRPr="00703D1C">
              <w:rPr>
                <w:rFonts w:ascii="Times New Roman" w:hAnsi="Times New Roman" w:cs="Times New Roman"/>
                <w:b/>
                <w:color w:val="000000"/>
                <w:sz w:val="14"/>
                <w:szCs w:val="14"/>
                <w:lang w:eastAsia="sk-SK"/>
              </w:rPr>
              <w:t>Výstup</w:t>
            </w:r>
          </w:p>
        </w:tc>
        <w:tc>
          <w:tcPr>
            <w:tcW w:w="3579" w:type="dxa"/>
            <w:tcBorders>
              <w:top w:val="single" w:sz="4" w:space="0" w:color="auto"/>
              <w:left w:val="nil"/>
              <w:right w:val="nil"/>
            </w:tcBorders>
            <w:shd w:val="clear" w:color="auto" w:fill="auto"/>
            <w:noWrap/>
            <w:tcMar>
              <w:top w:w="15" w:type="dxa"/>
              <w:left w:w="15" w:type="dxa"/>
              <w:bottom w:w="0" w:type="dxa"/>
              <w:right w:w="15" w:type="dxa"/>
            </w:tcMar>
            <w:vAlign w:val="center"/>
          </w:tcPr>
          <w:p w:rsidR="007D13F3" w:rsidRPr="00703D1C" w:rsidRDefault="007D13F3" w:rsidP="00465CAC">
            <w:pPr>
              <w:keepNext/>
              <w:ind w:right="-20"/>
              <w:rPr>
                <w:rFonts w:ascii="Times New Roman" w:hAnsi="Times New Roman" w:cs="Times New Roman"/>
                <w:b/>
                <w:bCs/>
                <w:color w:val="000000"/>
                <w:sz w:val="14"/>
                <w:szCs w:val="14"/>
                <w:lang w:eastAsia="sk-SK"/>
              </w:rPr>
            </w:pPr>
            <w:r w:rsidRPr="00703D1C">
              <w:rPr>
                <w:rFonts w:ascii="Times New Roman" w:hAnsi="Times New Roman" w:cs="Times New Roman"/>
                <w:b/>
                <w:color w:val="000000"/>
                <w:sz w:val="14"/>
                <w:szCs w:val="14"/>
                <w:lang w:eastAsia="sk-SK"/>
              </w:rPr>
              <w:t>Stredoškolsky vzdelaná populácia</w:t>
            </w:r>
          </w:p>
        </w:tc>
        <w:tc>
          <w:tcPr>
            <w:tcW w:w="572" w:type="dxa"/>
            <w:tcBorders>
              <w:top w:val="single" w:sz="4" w:space="0" w:color="auto"/>
              <w:left w:val="nil"/>
              <w:right w:val="nil"/>
            </w:tcBorders>
            <w:shd w:val="clear" w:color="auto" w:fill="auto"/>
            <w:noWrap/>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SK</w:t>
            </w:r>
          </w:p>
        </w:tc>
        <w:tc>
          <w:tcPr>
            <w:tcW w:w="429" w:type="dxa"/>
            <w:tcBorders>
              <w:top w:val="single" w:sz="4" w:space="0" w:color="auto"/>
              <w:left w:val="nil"/>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29" w:type="dxa"/>
            <w:tcBorders>
              <w:top w:val="single" w:sz="4" w:space="0" w:color="auto"/>
              <w:left w:val="nil"/>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93</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93</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93</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91</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color w:val="000000"/>
                <w:sz w:val="14"/>
                <w:szCs w:val="14"/>
                <w:lang w:eastAsia="sk-SK"/>
              </w:rPr>
              <w:t>91</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color w:val="000000"/>
                <w:sz w:val="14"/>
                <w:szCs w:val="14"/>
                <w:lang w:eastAsia="sk-SK"/>
              </w:rPr>
              <w:t>91</w:t>
            </w:r>
          </w:p>
        </w:tc>
        <w:tc>
          <w:tcPr>
            <w:tcW w:w="375" w:type="dxa"/>
            <w:tcBorders>
              <w:top w:val="single" w:sz="4" w:space="0" w:color="auto"/>
              <w:left w:val="nil"/>
              <w:right w:val="nil"/>
            </w:tcBorders>
            <w:vAlign w:val="center"/>
          </w:tcPr>
          <w:p w:rsidR="007D13F3" w:rsidRPr="00703D1C" w:rsidRDefault="007D13F3" w:rsidP="00465CAC">
            <w:pPr>
              <w:keepNext/>
              <w:ind w:right="-20"/>
              <w:jc w:val="center"/>
              <w:rPr>
                <w:rFonts w:ascii="Times New Roman" w:hAnsi="Times New Roman" w:cs="Times New Roman"/>
                <w:bCs/>
                <w:color w:val="000000"/>
                <w:sz w:val="14"/>
                <w:szCs w:val="14"/>
                <w:lang w:eastAsia="sk-SK"/>
              </w:rPr>
            </w:pPr>
            <w:r w:rsidRPr="00703D1C">
              <w:rPr>
                <w:rFonts w:ascii="Times New Roman" w:hAnsi="Times New Roman" w:cs="Times New Roman"/>
                <w:bCs/>
                <w:color w:val="000000"/>
                <w:sz w:val="14"/>
                <w:szCs w:val="14"/>
                <w:lang w:eastAsia="sk-SK"/>
              </w:rPr>
              <w:t>90</w:t>
            </w:r>
          </w:p>
        </w:tc>
        <w:tc>
          <w:tcPr>
            <w:tcW w:w="519" w:type="dxa"/>
            <w:tcBorders>
              <w:top w:val="single" w:sz="4" w:space="0" w:color="auto"/>
              <w:left w:val="nil"/>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p>
        </w:tc>
      </w:tr>
      <w:tr w:rsidR="007D13F3" w:rsidRPr="00703D1C" w:rsidTr="00465CAC">
        <w:trPr>
          <w:trHeight w:val="196"/>
        </w:trPr>
        <w:tc>
          <w:tcPr>
            <w:tcW w:w="859" w:type="dxa"/>
            <w:vMerge/>
            <w:tcBorders>
              <w:left w:val="nil"/>
              <w:bottom w:val="single" w:sz="4" w:space="0" w:color="auto"/>
              <w:right w:val="nil"/>
            </w:tcBorders>
            <w:shd w:val="clear" w:color="auto" w:fill="auto"/>
            <w:vAlign w:val="center"/>
          </w:tcPr>
          <w:p w:rsidR="007D13F3" w:rsidRPr="00703D1C" w:rsidRDefault="007D13F3" w:rsidP="00465CAC">
            <w:pPr>
              <w:keepNext/>
              <w:ind w:right="-20"/>
              <w:rPr>
                <w:rFonts w:ascii="Times New Roman" w:hAnsi="Times New Roman" w:cs="Times New Roman"/>
                <w:b/>
                <w:bCs/>
                <w:color w:val="000000"/>
                <w:sz w:val="14"/>
                <w:szCs w:val="14"/>
                <w:lang w:eastAsia="sk-SK"/>
              </w:rPr>
            </w:pPr>
          </w:p>
        </w:tc>
        <w:tc>
          <w:tcPr>
            <w:tcW w:w="3579"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7D13F3" w:rsidRPr="00703D1C" w:rsidRDefault="007D13F3" w:rsidP="00465CAC">
            <w:pPr>
              <w:keepNext/>
              <w:ind w:right="-20"/>
              <w:rPr>
                <w:rFonts w:ascii="Times New Roman" w:hAnsi="Times New Roman" w:cs="Times New Roman"/>
                <w:b/>
                <w:bCs/>
                <w:color w:val="000000"/>
                <w:sz w:val="14"/>
                <w:szCs w:val="14"/>
                <w:lang w:eastAsia="sk-SK"/>
              </w:rPr>
            </w:pPr>
            <w:r w:rsidRPr="00703D1C">
              <w:rPr>
                <w:rFonts w:ascii="Times New Roman" w:hAnsi="Times New Roman" w:cs="Times New Roman"/>
                <w:color w:val="000000"/>
                <w:sz w:val="14"/>
                <w:szCs w:val="14"/>
                <w:lang w:eastAsia="sk-SK"/>
              </w:rPr>
              <w:t>(% vo vekovej skupine 20 – 24 rokov)</w:t>
            </w:r>
          </w:p>
        </w:tc>
        <w:tc>
          <w:tcPr>
            <w:tcW w:w="572"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EÚ</w:t>
            </w:r>
          </w:p>
        </w:tc>
        <w:tc>
          <w:tcPr>
            <w:tcW w:w="429"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p>
        </w:tc>
        <w:tc>
          <w:tcPr>
            <w:tcW w:w="429"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79</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80</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80</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81</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color w:val="000000"/>
                <w:sz w:val="14"/>
                <w:szCs w:val="14"/>
                <w:lang w:eastAsia="sk-SK"/>
              </w:rPr>
              <w:t>82</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color w:val="000000"/>
                <w:sz w:val="14"/>
                <w:szCs w:val="14"/>
                <w:lang w:eastAsia="sk-SK"/>
              </w:rPr>
              <w:t>83</w:t>
            </w:r>
          </w:p>
        </w:tc>
        <w:tc>
          <w:tcPr>
            <w:tcW w:w="375" w:type="dxa"/>
            <w:tcBorders>
              <w:top w:val="nil"/>
              <w:left w:val="nil"/>
              <w:bottom w:val="single" w:sz="4" w:space="0" w:color="auto"/>
              <w:right w:val="nil"/>
            </w:tcBorders>
            <w:vAlign w:val="center"/>
          </w:tcPr>
          <w:p w:rsidR="007D13F3" w:rsidRPr="00703D1C" w:rsidRDefault="007D13F3" w:rsidP="00465CAC">
            <w:pPr>
              <w:keepNext/>
              <w:ind w:right="-20"/>
              <w:jc w:val="center"/>
              <w:rPr>
                <w:rFonts w:ascii="Times New Roman" w:hAnsi="Times New Roman" w:cs="Times New Roman"/>
                <w:bCs/>
                <w:color w:val="000000"/>
                <w:sz w:val="14"/>
                <w:szCs w:val="14"/>
                <w:lang w:eastAsia="sk-SK"/>
              </w:rPr>
            </w:pPr>
            <w:r w:rsidRPr="00703D1C">
              <w:rPr>
                <w:rFonts w:ascii="Times New Roman" w:hAnsi="Times New Roman" w:cs="Times New Roman"/>
                <w:bCs/>
                <w:color w:val="000000"/>
                <w:sz w:val="14"/>
                <w:szCs w:val="14"/>
                <w:lang w:eastAsia="sk-SK"/>
              </w:rPr>
              <w:t>83</w:t>
            </w:r>
          </w:p>
        </w:tc>
        <w:tc>
          <w:tcPr>
            <w:tcW w:w="519"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p>
        </w:tc>
      </w:tr>
      <w:tr w:rsidR="007D13F3" w:rsidRPr="00703D1C" w:rsidTr="00465CAC">
        <w:trPr>
          <w:trHeight w:val="201"/>
        </w:trPr>
        <w:tc>
          <w:tcPr>
            <w:tcW w:w="859" w:type="dxa"/>
            <w:vMerge w:val="restart"/>
            <w:tcBorders>
              <w:top w:val="nil"/>
              <w:left w:val="nil"/>
              <w:right w:val="nil"/>
            </w:tcBorders>
            <w:shd w:val="clear" w:color="000000" w:fill="FFFFFF"/>
            <w:vAlign w:val="center"/>
          </w:tcPr>
          <w:p w:rsidR="007D13F3" w:rsidRPr="00703D1C" w:rsidRDefault="007D13F3" w:rsidP="00465CAC">
            <w:pPr>
              <w:keepNext/>
              <w:ind w:right="-20"/>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Výstup</w:t>
            </w:r>
          </w:p>
        </w:tc>
        <w:tc>
          <w:tcPr>
            <w:tcW w:w="3579" w:type="dxa"/>
            <w:tcBorders>
              <w:top w:val="nil"/>
              <w:left w:val="nil"/>
              <w:bottom w:val="nil"/>
              <w:right w:val="nil"/>
            </w:tcBorders>
            <w:shd w:val="clear" w:color="000000" w:fill="FFFFFF"/>
            <w:noWrap/>
            <w:tcMar>
              <w:top w:w="28" w:type="dxa"/>
              <w:left w:w="15" w:type="dxa"/>
              <w:bottom w:w="28" w:type="dxa"/>
              <w:right w:w="15" w:type="dxa"/>
            </w:tcMar>
            <w:vAlign w:val="center"/>
            <w:hideMark/>
          </w:tcPr>
          <w:p w:rsidR="007D13F3" w:rsidRPr="00703D1C" w:rsidRDefault="007D13F3" w:rsidP="00465CAC">
            <w:pPr>
              <w:keepNext/>
              <w:ind w:right="-20"/>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Predčasné ukončenie školskej dochádzky</w:t>
            </w:r>
          </w:p>
        </w:tc>
        <w:tc>
          <w:tcPr>
            <w:tcW w:w="572" w:type="dxa"/>
            <w:tcBorders>
              <w:top w:val="nil"/>
              <w:left w:val="nil"/>
              <w:bottom w:val="nil"/>
              <w:right w:val="nil"/>
            </w:tcBorders>
            <w:shd w:val="clear" w:color="000000" w:fill="FFFFFF"/>
            <w:noWrap/>
            <w:tcMar>
              <w:top w:w="28" w:type="dxa"/>
              <w:left w:w="15" w:type="dxa"/>
              <w:bottom w:w="28"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SK</w:t>
            </w:r>
          </w:p>
        </w:tc>
        <w:tc>
          <w:tcPr>
            <w:tcW w:w="429" w:type="dxa"/>
            <w:tcBorders>
              <w:top w:val="nil"/>
              <w:left w:val="nil"/>
              <w:bottom w:val="nil"/>
              <w:right w:val="nil"/>
            </w:tcBorders>
            <w:shd w:val="clear" w:color="000000" w:fill="FFFFFF"/>
            <w:tcMar>
              <w:top w:w="28" w:type="dxa"/>
              <w:left w:w="15" w:type="dxa"/>
              <w:bottom w:w="28"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4,9</w:t>
            </w:r>
          </w:p>
        </w:tc>
        <w:tc>
          <w:tcPr>
            <w:tcW w:w="429" w:type="dxa"/>
            <w:tcBorders>
              <w:top w:val="nil"/>
              <w:left w:val="nil"/>
              <w:bottom w:val="nil"/>
              <w:right w:val="nil"/>
            </w:tcBorders>
            <w:shd w:val="clear" w:color="000000" w:fill="FFFFFF"/>
            <w:tcMar>
              <w:top w:w="28" w:type="dxa"/>
              <w:left w:w="15" w:type="dxa"/>
              <w:bottom w:w="28"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4,7</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5,1</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5,3</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6,4</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6,7</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6,9</w:t>
            </w:r>
          </w:p>
        </w:tc>
        <w:tc>
          <w:tcPr>
            <w:tcW w:w="375" w:type="dxa"/>
            <w:tcBorders>
              <w:top w:val="nil"/>
              <w:left w:val="nil"/>
              <w:bottom w:val="nil"/>
              <w:right w:val="nil"/>
            </w:tcBorders>
            <w:shd w:val="clear" w:color="000000" w:fill="FFFFFF"/>
            <w:vAlign w:val="center"/>
          </w:tcPr>
          <w:p w:rsidR="007D13F3" w:rsidRPr="00703D1C" w:rsidRDefault="007D13F3" w:rsidP="00465CAC">
            <w:pPr>
              <w:keepNext/>
              <w:ind w:right="-20"/>
              <w:jc w:val="center"/>
              <w:rPr>
                <w:rFonts w:ascii="Times New Roman" w:hAnsi="Times New Roman" w:cs="Times New Roman"/>
                <w:bCs/>
                <w:color w:val="000000"/>
                <w:sz w:val="14"/>
                <w:szCs w:val="14"/>
                <w:lang w:eastAsia="sk-SK"/>
              </w:rPr>
            </w:pPr>
            <w:r w:rsidRPr="00703D1C">
              <w:rPr>
                <w:rFonts w:ascii="Times New Roman" w:hAnsi="Times New Roman" w:cs="Times New Roman"/>
                <w:bCs/>
                <w:color w:val="000000"/>
                <w:sz w:val="14"/>
                <w:szCs w:val="14"/>
                <w:lang w:eastAsia="sk-SK"/>
              </w:rPr>
              <w:t>7,4</w:t>
            </w:r>
          </w:p>
        </w:tc>
        <w:tc>
          <w:tcPr>
            <w:tcW w:w="519" w:type="dxa"/>
            <w:tcBorders>
              <w:top w:val="nil"/>
              <w:left w:val="nil"/>
              <w:bottom w:val="nil"/>
              <w:right w:val="nil"/>
            </w:tcBorders>
            <w:shd w:val="clear" w:color="000000" w:fill="FFFFFF"/>
            <w:tcMar>
              <w:top w:w="28" w:type="dxa"/>
              <w:left w:w="15" w:type="dxa"/>
              <w:bottom w:w="28"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6</w:t>
            </w:r>
          </w:p>
        </w:tc>
      </w:tr>
      <w:tr w:rsidR="007D13F3" w:rsidRPr="00703D1C" w:rsidTr="00465CAC">
        <w:trPr>
          <w:trHeight w:val="221"/>
        </w:trPr>
        <w:tc>
          <w:tcPr>
            <w:tcW w:w="859" w:type="dxa"/>
            <w:vMerge/>
            <w:tcBorders>
              <w:left w:val="nil"/>
              <w:bottom w:val="single" w:sz="4" w:space="0" w:color="auto"/>
              <w:right w:val="nil"/>
            </w:tcBorders>
            <w:shd w:val="clear" w:color="000000" w:fill="FFFFFF"/>
            <w:vAlign w:val="center"/>
          </w:tcPr>
          <w:p w:rsidR="007D13F3" w:rsidRPr="00703D1C" w:rsidRDefault="007D13F3" w:rsidP="00465CAC">
            <w:pPr>
              <w:keepNext/>
              <w:ind w:right="-20"/>
              <w:rPr>
                <w:rFonts w:ascii="Times New Roman" w:hAnsi="Times New Roman" w:cs="Times New Roman"/>
                <w:color w:val="000000"/>
                <w:sz w:val="14"/>
                <w:szCs w:val="14"/>
                <w:lang w:eastAsia="sk-SK"/>
              </w:rPr>
            </w:pPr>
          </w:p>
        </w:tc>
        <w:tc>
          <w:tcPr>
            <w:tcW w:w="3579"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7D13F3" w:rsidRPr="00703D1C" w:rsidRDefault="007D13F3" w:rsidP="00465CAC">
            <w:pPr>
              <w:keepNext/>
              <w:ind w:right="-20"/>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vo vekovej skupine 18 – 24 rokov)</w:t>
            </w:r>
          </w:p>
        </w:tc>
        <w:tc>
          <w:tcPr>
            <w:tcW w:w="57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EÚ</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14,2</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13,9</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13,4</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12,7</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11,9</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11,2</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11,0</w:t>
            </w:r>
          </w:p>
        </w:tc>
        <w:tc>
          <w:tcPr>
            <w:tcW w:w="375" w:type="dxa"/>
            <w:tcBorders>
              <w:top w:val="nil"/>
              <w:left w:val="nil"/>
              <w:bottom w:val="single" w:sz="4" w:space="0" w:color="auto"/>
              <w:right w:val="nil"/>
            </w:tcBorders>
            <w:shd w:val="clear" w:color="000000" w:fill="FFFFFF"/>
            <w:vAlign w:val="center"/>
          </w:tcPr>
          <w:p w:rsidR="007D13F3" w:rsidRPr="00703D1C" w:rsidRDefault="007D13F3" w:rsidP="00465CAC">
            <w:pPr>
              <w:keepNext/>
              <w:ind w:right="-20"/>
              <w:jc w:val="center"/>
              <w:rPr>
                <w:rFonts w:ascii="Times New Roman" w:hAnsi="Times New Roman" w:cs="Times New Roman"/>
                <w:bCs/>
                <w:color w:val="000000"/>
                <w:sz w:val="14"/>
                <w:szCs w:val="14"/>
                <w:lang w:eastAsia="sk-SK"/>
              </w:rPr>
            </w:pPr>
            <w:r w:rsidRPr="00703D1C">
              <w:rPr>
                <w:rFonts w:ascii="Times New Roman" w:hAnsi="Times New Roman" w:cs="Times New Roman"/>
                <w:bCs/>
                <w:color w:val="000000"/>
                <w:sz w:val="14"/>
                <w:szCs w:val="14"/>
                <w:lang w:eastAsia="sk-SK"/>
              </w:rPr>
              <w:t>10,7</w:t>
            </w:r>
          </w:p>
        </w:tc>
        <w:tc>
          <w:tcPr>
            <w:tcW w:w="51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10</w:t>
            </w:r>
          </w:p>
        </w:tc>
      </w:tr>
      <w:tr w:rsidR="007D13F3" w:rsidRPr="00703D1C" w:rsidTr="00465CAC">
        <w:trPr>
          <w:trHeight w:val="114"/>
        </w:trPr>
        <w:tc>
          <w:tcPr>
            <w:tcW w:w="859" w:type="dxa"/>
            <w:tcBorders>
              <w:top w:val="nil"/>
              <w:left w:val="nil"/>
              <w:bottom w:val="single" w:sz="4" w:space="0" w:color="auto"/>
              <w:right w:val="nil"/>
            </w:tcBorders>
            <w:shd w:val="clear" w:color="auto" w:fill="F2F2F2"/>
            <w:vAlign w:val="center"/>
          </w:tcPr>
          <w:p w:rsidR="007D13F3" w:rsidRPr="00703D1C" w:rsidRDefault="007D13F3" w:rsidP="00465CAC">
            <w:pPr>
              <w:keepNext/>
              <w:ind w:right="-20"/>
              <w:rPr>
                <w:rFonts w:ascii="Times New Roman" w:hAnsi="Times New Roman" w:cs="Times New Roman"/>
                <w:b/>
                <w:bCs/>
                <w:color w:val="000000"/>
                <w:sz w:val="14"/>
                <w:szCs w:val="14"/>
                <w:lang w:eastAsia="sk-SK"/>
              </w:rPr>
            </w:pPr>
          </w:p>
        </w:tc>
        <w:tc>
          <w:tcPr>
            <w:tcW w:w="3579" w:type="dxa"/>
            <w:tcBorders>
              <w:top w:val="nil"/>
              <w:left w:val="nil"/>
              <w:bottom w:val="single" w:sz="4" w:space="0" w:color="auto"/>
              <w:right w:val="nil"/>
            </w:tcBorders>
            <w:shd w:val="clear" w:color="auto" w:fill="F2F2F2"/>
            <w:noWrap/>
            <w:tcMar>
              <w:top w:w="15" w:type="dxa"/>
              <w:left w:w="15" w:type="dxa"/>
              <w:bottom w:w="0" w:type="dxa"/>
              <w:right w:w="15" w:type="dxa"/>
            </w:tcMar>
            <w:vAlign w:val="center"/>
            <w:hideMark/>
          </w:tcPr>
          <w:p w:rsidR="007D13F3" w:rsidRPr="00703D1C" w:rsidRDefault="007D13F3" w:rsidP="00465CAC">
            <w:pPr>
              <w:keepNext/>
              <w:ind w:right="-20"/>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Vysoké školstvo a veda</w:t>
            </w:r>
          </w:p>
        </w:tc>
        <w:tc>
          <w:tcPr>
            <w:tcW w:w="572" w:type="dxa"/>
            <w:tcBorders>
              <w:top w:val="nil"/>
              <w:left w:val="nil"/>
              <w:bottom w:val="single" w:sz="4" w:space="0" w:color="auto"/>
              <w:right w:val="nil"/>
            </w:tcBorders>
            <w:shd w:val="clear" w:color="auto" w:fill="F2F2F2"/>
            <w:noWrap/>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 </w:t>
            </w:r>
          </w:p>
        </w:tc>
        <w:tc>
          <w:tcPr>
            <w:tcW w:w="429"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29"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c>
          <w:tcPr>
            <w:tcW w:w="375" w:type="dxa"/>
            <w:tcBorders>
              <w:top w:val="nil"/>
              <w:left w:val="nil"/>
              <w:bottom w:val="single" w:sz="4" w:space="0" w:color="auto"/>
              <w:right w:val="nil"/>
            </w:tcBorders>
            <w:shd w:val="clear" w:color="auto" w:fill="F2F2F2"/>
            <w:vAlign w:val="center"/>
          </w:tcPr>
          <w:p w:rsidR="007D13F3" w:rsidRPr="00703D1C" w:rsidRDefault="007D13F3" w:rsidP="00465CAC">
            <w:pPr>
              <w:keepNext/>
              <w:ind w:right="-20"/>
              <w:jc w:val="center"/>
              <w:rPr>
                <w:rFonts w:ascii="Times New Roman" w:hAnsi="Times New Roman" w:cs="Times New Roman"/>
                <w:bCs/>
                <w:color w:val="000000"/>
                <w:sz w:val="14"/>
                <w:szCs w:val="14"/>
                <w:lang w:eastAsia="sk-SK"/>
              </w:rPr>
            </w:pPr>
          </w:p>
        </w:tc>
        <w:tc>
          <w:tcPr>
            <w:tcW w:w="519"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r>
      <w:tr w:rsidR="007D13F3" w:rsidRPr="00703D1C" w:rsidTr="00465CAC">
        <w:trPr>
          <w:trHeight w:val="53"/>
        </w:trPr>
        <w:tc>
          <w:tcPr>
            <w:tcW w:w="859" w:type="dxa"/>
            <w:vMerge w:val="restart"/>
            <w:tcBorders>
              <w:top w:val="nil"/>
              <w:left w:val="nil"/>
              <w:right w:val="nil"/>
            </w:tcBorders>
            <w:shd w:val="clear" w:color="auto" w:fill="auto"/>
            <w:vAlign w:val="center"/>
          </w:tcPr>
          <w:p w:rsidR="007D13F3" w:rsidRPr="00703D1C" w:rsidRDefault="007D13F3" w:rsidP="00465CAC">
            <w:pPr>
              <w:keepNext/>
              <w:ind w:right="-20"/>
              <w:rPr>
                <w:rFonts w:ascii="Times New Roman" w:hAnsi="Times New Roman" w:cs="Times New Roman"/>
                <w:b/>
                <w:bCs/>
                <w:color w:val="000000"/>
                <w:sz w:val="14"/>
                <w:szCs w:val="14"/>
                <w:highlight w:val="yellow"/>
                <w:lang w:eastAsia="sk-SK"/>
              </w:rPr>
            </w:pPr>
            <w:r w:rsidRPr="00703D1C">
              <w:rPr>
                <w:rFonts w:ascii="Times New Roman" w:hAnsi="Times New Roman" w:cs="Times New Roman"/>
                <w:b/>
                <w:bCs/>
                <w:color w:val="000000"/>
                <w:sz w:val="14"/>
                <w:szCs w:val="14"/>
                <w:lang w:eastAsia="sk-SK"/>
              </w:rPr>
              <w:t>Výsledok</w:t>
            </w:r>
          </w:p>
        </w:tc>
        <w:tc>
          <w:tcPr>
            <w:tcW w:w="3579" w:type="dxa"/>
            <w:tcBorders>
              <w:top w:val="nil"/>
              <w:left w:val="nil"/>
              <w:bottom w:val="nil"/>
              <w:right w:val="nil"/>
            </w:tcBorders>
            <w:shd w:val="clear" w:color="000000" w:fill="FFFFFF"/>
            <w:noWrap/>
            <w:tcMar>
              <w:top w:w="15" w:type="dxa"/>
              <w:left w:w="15" w:type="dxa"/>
              <w:bottom w:w="0" w:type="dxa"/>
              <w:right w:w="15" w:type="dxa"/>
            </w:tcMar>
            <w:vAlign w:val="center"/>
            <w:hideMark/>
          </w:tcPr>
          <w:p w:rsidR="007D13F3" w:rsidRPr="00703D1C" w:rsidRDefault="007D13F3" w:rsidP="00465CAC">
            <w:pPr>
              <w:keepNext/>
              <w:ind w:right="-20"/>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rPr>
              <w:t>Citácie na výskumníka</w:t>
            </w:r>
          </w:p>
        </w:tc>
        <w:tc>
          <w:tcPr>
            <w:tcW w:w="57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SK</w:t>
            </w:r>
          </w:p>
        </w:tc>
        <w:tc>
          <w:tcPr>
            <w:tcW w:w="429" w:type="dxa"/>
            <w:tcBorders>
              <w:top w:val="nil"/>
              <w:left w:val="nil"/>
              <w:bottom w:val="nil"/>
              <w:right w:val="nil"/>
            </w:tcBorders>
            <w:shd w:val="clear" w:color="000000" w:fill="FFFFFF"/>
            <w:tcMar>
              <w:top w:w="28" w:type="dxa"/>
              <w:left w:w="15" w:type="dxa"/>
              <w:bottom w:w="28"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rPr>
              <w:t>35</w:t>
            </w:r>
          </w:p>
        </w:tc>
        <w:tc>
          <w:tcPr>
            <w:tcW w:w="429" w:type="dxa"/>
            <w:tcBorders>
              <w:top w:val="nil"/>
              <w:left w:val="nil"/>
              <w:bottom w:val="nil"/>
              <w:right w:val="nil"/>
            </w:tcBorders>
            <w:shd w:val="clear" w:color="000000" w:fill="FFFFFF"/>
            <w:tcMar>
              <w:top w:w="28" w:type="dxa"/>
              <w:left w:w="15" w:type="dxa"/>
              <w:bottom w:w="28"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rPr>
              <w:t>34</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rPr>
              <w:t>35</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rPr>
              <w:t>45</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rPr>
              <w:t>47</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rPr>
              <w:t>44</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rPr>
              <w:t>50</w:t>
            </w:r>
          </w:p>
        </w:tc>
        <w:tc>
          <w:tcPr>
            <w:tcW w:w="375" w:type="dxa"/>
            <w:tcBorders>
              <w:top w:val="nil"/>
              <w:left w:val="nil"/>
              <w:bottom w:val="nil"/>
              <w:right w:val="nil"/>
            </w:tcBorders>
            <w:shd w:val="clear" w:color="000000" w:fill="FFFFFF"/>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p>
        </w:tc>
        <w:tc>
          <w:tcPr>
            <w:tcW w:w="519" w:type="dxa"/>
            <w:tcBorders>
              <w:top w:val="nil"/>
              <w:left w:val="nil"/>
              <w:bottom w:val="nil"/>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color w:val="000000"/>
                <w:sz w:val="14"/>
                <w:szCs w:val="14"/>
              </w:rPr>
              <w:t>70</w:t>
            </w:r>
          </w:p>
        </w:tc>
      </w:tr>
      <w:tr w:rsidR="007D13F3" w:rsidRPr="00703D1C" w:rsidTr="00465CAC">
        <w:trPr>
          <w:trHeight w:val="68"/>
        </w:trPr>
        <w:tc>
          <w:tcPr>
            <w:tcW w:w="859" w:type="dxa"/>
            <w:vMerge/>
            <w:tcBorders>
              <w:left w:val="nil"/>
              <w:bottom w:val="single" w:sz="4" w:space="0" w:color="auto"/>
              <w:right w:val="nil"/>
            </w:tcBorders>
            <w:shd w:val="clear" w:color="000000" w:fill="FFFFFF"/>
            <w:vAlign w:val="center"/>
          </w:tcPr>
          <w:p w:rsidR="007D13F3" w:rsidRPr="00703D1C" w:rsidRDefault="007D13F3" w:rsidP="00465CAC">
            <w:pPr>
              <w:keepNext/>
              <w:ind w:right="-20"/>
              <w:rPr>
                <w:rFonts w:ascii="Times New Roman" w:hAnsi="Times New Roman" w:cs="Times New Roman"/>
                <w:color w:val="000000"/>
                <w:sz w:val="14"/>
                <w:szCs w:val="14"/>
                <w:highlight w:val="yellow"/>
                <w:lang w:eastAsia="sk-SK"/>
              </w:rPr>
            </w:pPr>
          </w:p>
        </w:tc>
        <w:tc>
          <w:tcPr>
            <w:tcW w:w="3579"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7D13F3" w:rsidRPr="00703D1C" w:rsidRDefault="007D13F3" w:rsidP="00465CAC">
            <w:pPr>
              <w:keepNext/>
              <w:ind w:right="-20"/>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rPr>
              <w:t>(%, 100 = priemer EÚ)</w:t>
            </w:r>
          </w:p>
        </w:tc>
        <w:tc>
          <w:tcPr>
            <w:tcW w:w="57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EÚ</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rPr>
              <w:t>100 </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rPr>
              <w:t>100 </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rPr>
              <w:t>100 </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rPr>
              <w:t xml:space="preserve"> 100 </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rPr>
              <w:t>100 </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rPr>
              <w:t xml:space="preserve">100   </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rPr>
              <w:t xml:space="preserve">100   </w:t>
            </w:r>
          </w:p>
        </w:tc>
        <w:tc>
          <w:tcPr>
            <w:tcW w:w="375" w:type="dxa"/>
            <w:tcBorders>
              <w:top w:val="nil"/>
              <w:left w:val="nil"/>
              <w:bottom w:val="single" w:sz="4" w:space="0" w:color="auto"/>
              <w:right w:val="nil"/>
            </w:tcBorders>
            <w:shd w:val="clear" w:color="000000" w:fill="FFFFFF"/>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p>
        </w:tc>
        <w:tc>
          <w:tcPr>
            <w:tcW w:w="51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color w:val="000000"/>
                <w:sz w:val="14"/>
                <w:szCs w:val="14"/>
              </w:rPr>
              <w:t>100 </w:t>
            </w:r>
          </w:p>
        </w:tc>
      </w:tr>
      <w:tr w:rsidR="007D13F3" w:rsidRPr="00703D1C" w:rsidTr="00465CAC">
        <w:trPr>
          <w:trHeight w:val="304"/>
        </w:trPr>
        <w:tc>
          <w:tcPr>
            <w:tcW w:w="859" w:type="dxa"/>
            <w:tcBorders>
              <w:top w:val="nil"/>
              <w:left w:val="nil"/>
              <w:bottom w:val="single" w:sz="4" w:space="0" w:color="auto"/>
              <w:right w:val="nil"/>
            </w:tcBorders>
            <w:shd w:val="clear" w:color="000000" w:fill="FFFFFF"/>
            <w:vAlign w:val="center"/>
          </w:tcPr>
          <w:p w:rsidR="007D13F3" w:rsidRPr="00703D1C" w:rsidRDefault="007D13F3" w:rsidP="00465CAC">
            <w:pPr>
              <w:keepNext/>
              <w:ind w:right="-20"/>
              <w:rPr>
                <w:rFonts w:ascii="Times New Roman" w:hAnsi="Times New Roman" w:cs="Times New Roman"/>
                <w:b/>
                <w:bCs/>
                <w:color w:val="000000"/>
                <w:sz w:val="14"/>
                <w:szCs w:val="14"/>
                <w:highlight w:val="yellow"/>
                <w:lang w:eastAsia="sk-SK"/>
              </w:rPr>
            </w:pPr>
            <w:r w:rsidRPr="00703D1C">
              <w:rPr>
                <w:rFonts w:ascii="Times New Roman" w:hAnsi="Times New Roman" w:cs="Times New Roman"/>
                <w:b/>
                <w:bCs/>
                <w:color w:val="000000"/>
                <w:sz w:val="14"/>
                <w:szCs w:val="14"/>
                <w:lang w:eastAsia="sk-SK"/>
              </w:rPr>
              <w:t>Výsledok</w:t>
            </w:r>
          </w:p>
        </w:tc>
        <w:tc>
          <w:tcPr>
            <w:tcW w:w="3579"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7D13F3" w:rsidRPr="00703D1C" w:rsidRDefault="007D13F3" w:rsidP="00465CAC">
            <w:pPr>
              <w:keepNext/>
              <w:ind w:right="-20"/>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 xml:space="preserve">Úspešnosť VŠ v získavaní výskumných zahraničných grantov </w:t>
            </w:r>
            <w:r w:rsidRPr="00703D1C">
              <w:rPr>
                <w:rFonts w:ascii="Times New Roman" w:hAnsi="Times New Roman" w:cs="Times New Roman"/>
                <w:color w:val="000000"/>
                <w:sz w:val="14"/>
                <w:szCs w:val="14"/>
                <w:lang w:eastAsia="sk-SK"/>
              </w:rPr>
              <w:t>(v mil. eur)</w:t>
            </w:r>
          </w:p>
        </w:tc>
        <w:tc>
          <w:tcPr>
            <w:tcW w:w="57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SK</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6</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6,2</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6,1</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5</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5,9</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5,7</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6,5 </w:t>
            </w:r>
          </w:p>
        </w:tc>
        <w:tc>
          <w:tcPr>
            <w:tcW w:w="375" w:type="dxa"/>
            <w:tcBorders>
              <w:top w:val="nil"/>
              <w:left w:val="nil"/>
              <w:bottom w:val="single" w:sz="4" w:space="0" w:color="auto"/>
              <w:right w:val="nil"/>
            </w:tcBorders>
            <w:shd w:val="clear" w:color="000000" w:fill="FFFFFF"/>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p>
        </w:tc>
        <w:tc>
          <w:tcPr>
            <w:tcW w:w="51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w:t>
            </w:r>
          </w:p>
        </w:tc>
      </w:tr>
      <w:tr w:rsidR="007D13F3" w:rsidRPr="00703D1C" w:rsidTr="00465CAC">
        <w:trPr>
          <w:trHeight w:val="278"/>
        </w:trPr>
        <w:tc>
          <w:tcPr>
            <w:tcW w:w="859" w:type="dxa"/>
            <w:vMerge w:val="restart"/>
            <w:tcBorders>
              <w:top w:val="nil"/>
              <w:left w:val="nil"/>
              <w:right w:val="nil"/>
            </w:tcBorders>
            <w:shd w:val="clear" w:color="000000" w:fill="FFFFFF"/>
            <w:vAlign w:val="center"/>
          </w:tcPr>
          <w:p w:rsidR="007D13F3" w:rsidRPr="00703D1C" w:rsidRDefault="007D13F3" w:rsidP="00465CAC">
            <w:pPr>
              <w:keepNext/>
              <w:ind w:right="-20"/>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Výstup</w:t>
            </w:r>
          </w:p>
        </w:tc>
        <w:tc>
          <w:tcPr>
            <w:tcW w:w="3579" w:type="dxa"/>
            <w:tcBorders>
              <w:top w:val="nil"/>
              <w:left w:val="nil"/>
              <w:bottom w:val="nil"/>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Miera vysokoškolsky vzdelanej populácie</w:t>
            </w:r>
          </w:p>
        </w:tc>
        <w:tc>
          <w:tcPr>
            <w:tcW w:w="572" w:type="dxa"/>
            <w:tcBorders>
              <w:top w:val="nil"/>
              <w:left w:val="nil"/>
              <w:bottom w:val="nil"/>
              <w:right w:val="nil"/>
            </w:tcBorders>
            <w:shd w:val="clear" w:color="000000" w:fill="FFFFFF"/>
            <w:noWrap/>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SK</w:t>
            </w:r>
          </w:p>
        </w:tc>
        <w:tc>
          <w:tcPr>
            <w:tcW w:w="429" w:type="dxa"/>
            <w:tcBorders>
              <w:top w:val="nil"/>
              <w:left w:val="nil"/>
              <w:bottom w:val="nil"/>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17,6</w:t>
            </w:r>
          </w:p>
        </w:tc>
        <w:tc>
          <w:tcPr>
            <w:tcW w:w="429" w:type="dxa"/>
            <w:tcBorders>
              <w:top w:val="nil"/>
              <w:left w:val="nil"/>
              <w:bottom w:val="nil"/>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22,1</w:t>
            </w:r>
          </w:p>
        </w:tc>
        <w:tc>
          <w:tcPr>
            <w:tcW w:w="440" w:type="dxa"/>
            <w:tcBorders>
              <w:top w:val="nil"/>
              <w:left w:val="nil"/>
              <w:bottom w:val="nil"/>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23,2</w:t>
            </w:r>
          </w:p>
        </w:tc>
        <w:tc>
          <w:tcPr>
            <w:tcW w:w="440" w:type="dxa"/>
            <w:tcBorders>
              <w:top w:val="nil"/>
              <w:left w:val="nil"/>
              <w:bottom w:val="nil"/>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23,7</w:t>
            </w:r>
          </w:p>
        </w:tc>
        <w:tc>
          <w:tcPr>
            <w:tcW w:w="440" w:type="dxa"/>
            <w:tcBorders>
              <w:top w:val="nil"/>
              <w:left w:val="nil"/>
              <w:bottom w:val="nil"/>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26,9</w:t>
            </w:r>
          </w:p>
        </w:tc>
        <w:tc>
          <w:tcPr>
            <w:tcW w:w="440" w:type="dxa"/>
            <w:tcBorders>
              <w:top w:val="nil"/>
              <w:left w:val="nil"/>
              <w:bottom w:val="nil"/>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27</w:t>
            </w:r>
          </w:p>
        </w:tc>
        <w:tc>
          <w:tcPr>
            <w:tcW w:w="440" w:type="dxa"/>
            <w:tcBorders>
              <w:top w:val="nil"/>
              <w:left w:val="nil"/>
              <w:bottom w:val="nil"/>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28,4</w:t>
            </w:r>
          </w:p>
        </w:tc>
        <w:tc>
          <w:tcPr>
            <w:tcW w:w="375" w:type="dxa"/>
            <w:tcBorders>
              <w:top w:val="nil"/>
              <w:left w:val="nil"/>
              <w:bottom w:val="nil"/>
              <w:right w:val="nil"/>
            </w:tcBorders>
            <w:shd w:val="clear" w:color="000000" w:fill="FFFFFF"/>
            <w:vAlign w:val="center"/>
          </w:tcPr>
          <w:p w:rsidR="007D13F3" w:rsidRPr="00703D1C" w:rsidRDefault="007D13F3" w:rsidP="00465CAC">
            <w:pPr>
              <w:keepNext/>
              <w:ind w:right="-20"/>
              <w:jc w:val="center"/>
              <w:rPr>
                <w:rFonts w:ascii="Times New Roman" w:hAnsi="Times New Roman" w:cs="Times New Roman"/>
                <w:bCs/>
                <w:color w:val="000000"/>
                <w:sz w:val="14"/>
                <w:szCs w:val="14"/>
                <w:lang w:eastAsia="sk-SK"/>
              </w:rPr>
            </w:pPr>
            <w:r w:rsidRPr="00703D1C">
              <w:rPr>
                <w:rFonts w:ascii="Times New Roman" w:hAnsi="Times New Roman" w:cs="Times New Roman"/>
                <w:bCs/>
                <w:color w:val="000000"/>
                <w:sz w:val="14"/>
                <w:szCs w:val="14"/>
                <w:lang w:eastAsia="sk-SK"/>
              </w:rPr>
              <w:t>31,5</w:t>
            </w:r>
          </w:p>
        </w:tc>
        <w:tc>
          <w:tcPr>
            <w:tcW w:w="519" w:type="dxa"/>
            <w:tcBorders>
              <w:top w:val="nil"/>
              <w:left w:val="nil"/>
              <w:bottom w:val="nil"/>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40</w:t>
            </w:r>
          </w:p>
        </w:tc>
      </w:tr>
      <w:tr w:rsidR="007D13F3" w:rsidRPr="00703D1C" w:rsidTr="00465CAC">
        <w:trPr>
          <w:trHeight w:val="203"/>
        </w:trPr>
        <w:tc>
          <w:tcPr>
            <w:tcW w:w="859" w:type="dxa"/>
            <w:vMerge/>
            <w:tcBorders>
              <w:left w:val="nil"/>
              <w:bottom w:val="single" w:sz="4" w:space="0" w:color="auto"/>
              <w:right w:val="nil"/>
            </w:tcBorders>
            <w:shd w:val="clear" w:color="000000" w:fill="FFFFFF"/>
          </w:tcPr>
          <w:p w:rsidR="007D13F3" w:rsidRPr="00703D1C" w:rsidRDefault="007D13F3" w:rsidP="00465CAC">
            <w:pPr>
              <w:keepNext/>
              <w:ind w:right="-20"/>
              <w:rPr>
                <w:rFonts w:ascii="Times New Roman" w:hAnsi="Times New Roman" w:cs="Times New Roman"/>
                <w:color w:val="000000"/>
                <w:sz w:val="14"/>
                <w:szCs w:val="14"/>
                <w:lang w:eastAsia="sk-SK"/>
              </w:rPr>
            </w:pPr>
          </w:p>
        </w:tc>
        <w:tc>
          <w:tcPr>
            <w:tcW w:w="3579"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 vo vekovej skupine 30 – 34 rokov)</w:t>
            </w:r>
          </w:p>
        </w:tc>
        <w:tc>
          <w:tcPr>
            <w:tcW w:w="57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b/>
                <w:bCs/>
                <w:color w:val="000000"/>
                <w:sz w:val="14"/>
                <w:szCs w:val="14"/>
                <w:lang w:eastAsia="sk-SK"/>
              </w:rPr>
            </w:pPr>
            <w:r w:rsidRPr="00703D1C">
              <w:rPr>
                <w:rFonts w:ascii="Times New Roman" w:hAnsi="Times New Roman" w:cs="Times New Roman"/>
                <w:b/>
                <w:bCs/>
                <w:color w:val="000000"/>
                <w:sz w:val="14"/>
                <w:szCs w:val="14"/>
                <w:lang w:eastAsia="sk-SK"/>
              </w:rPr>
              <w:t>EÚ</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32,3</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33,8</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34,8</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36,0</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37,1</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37,9</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38,7</w:t>
            </w:r>
          </w:p>
        </w:tc>
        <w:tc>
          <w:tcPr>
            <w:tcW w:w="375" w:type="dxa"/>
            <w:tcBorders>
              <w:top w:val="nil"/>
              <w:left w:val="nil"/>
              <w:bottom w:val="single" w:sz="4" w:space="0" w:color="auto"/>
              <w:right w:val="nil"/>
            </w:tcBorders>
            <w:shd w:val="clear" w:color="000000" w:fill="FFFFFF"/>
            <w:vAlign w:val="center"/>
          </w:tcPr>
          <w:p w:rsidR="007D13F3" w:rsidRPr="00703D1C" w:rsidRDefault="007D13F3" w:rsidP="00465CAC">
            <w:pPr>
              <w:keepNext/>
              <w:ind w:right="-20"/>
              <w:jc w:val="center"/>
              <w:rPr>
                <w:rFonts w:ascii="Times New Roman" w:hAnsi="Times New Roman" w:cs="Times New Roman"/>
                <w:bCs/>
                <w:color w:val="000000"/>
                <w:sz w:val="14"/>
                <w:szCs w:val="14"/>
                <w:lang w:eastAsia="sk-SK"/>
              </w:rPr>
            </w:pPr>
            <w:r w:rsidRPr="00703D1C">
              <w:rPr>
                <w:rFonts w:ascii="Times New Roman" w:hAnsi="Times New Roman" w:cs="Times New Roman"/>
                <w:bCs/>
                <w:color w:val="000000"/>
                <w:sz w:val="14"/>
                <w:szCs w:val="14"/>
                <w:lang w:eastAsia="sk-SK"/>
              </w:rPr>
              <w:t>39,1</w:t>
            </w:r>
          </w:p>
        </w:tc>
        <w:tc>
          <w:tcPr>
            <w:tcW w:w="519"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7D13F3" w:rsidRPr="00703D1C" w:rsidRDefault="007D13F3" w:rsidP="00465CAC">
            <w:pPr>
              <w:keepNext/>
              <w:ind w:right="-20"/>
              <w:jc w:val="center"/>
              <w:rPr>
                <w:rFonts w:ascii="Times New Roman" w:hAnsi="Times New Roman" w:cs="Times New Roman"/>
                <w:color w:val="000000"/>
                <w:sz w:val="14"/>
                <w:szCs w:val="14"/>
                <w:lang w:eastAsia="sk-SK"/>
              </w:rPr>
            </w:pPr>
            <w:r w:rsidRPr="00703D1C">
              <w:rPr>
                <w:rFonts w:ascii="Times New Roman" w:hAnsi="Times New Roman" w:cs="Times New Roman"/>
                <w:color w:val="000000"/>
                <w:sz w:val="14"/>
                <w:szCs w:val="14"/>
                <w:lang w:eastAsia="sk-SK"/>
              </w:rPr>
              <w:t>40</w:t>
            </w:r>
          </w:p>
        </w:tc>
      </w:tr>
      <w:tr w:rsidR="007D13F3" w:rsidRPr="00836464" w:rsidTr="00465CAC">
        <w:trPr>
          <w:trHeight w:val="79"/>
        </w:trPr>
        <w:tc>
          <w:tcPr>
            <w:tcW w:w="8968" w:type="dxa"/>
            <w:gridSpan w:val="12"/>
            <w:tcBorders>
              <w:top w:val="single" w:sz="4" w:space="0" w:color="auto"/>
              <w:left w:val="nil"/>
              <w:bottom w:val="single" w:sz="4" w:space="0" w:color="auto"/>
              <w:right w:val="nil"/>
            </w:tcBorders>
            <w:shd w:val="clear" w:color="000000" w:fill="FFFFFF"/>
          </w:tcPr>
          <w:p w:rsidR="007D13F3" w:rsidRPr="00836464" w:rsidRDefault="007D13F3" w:rsidP="00465CAC">
            <w:pPr>
              <w:keepNext/>
              <w:ind w:right="89"/>
              <w:jc w:val="right"/>
              <w:rPr>
                <w:rFonts w:ascii="Times New Roman" w:hAnsi="Times New Roman" w:cs="Times New Roman"/>
                <w:bCs/>
                <w:i/>
                <w:color w:val="000000"/>
                <w:sz w:val="18"/>
                <w:lang w:eastAsia="sk-SK"/>
              </w:rPr>
            </w:pPr>
            <w:r w:rsidRPr="00836464">
              <w:rPr>
                <w:rFonts w:ascii="Times New Roman" w:hAnsi="Times New Roman" w:cs="Times New Roman"/>
                <w:bCs/>
                <w:i/>
                <w:color w:val="000000"/>
                <w:sz w:val="18"/>
                <w:lang w:eastAsia="sk-SK"/>
              </w:rPr>
              <w:t xml:space="preserve">Zdroj: MF SR, MŠVVaŠ SR,OECD, </w:t>
            </w:r>
            <w:proofErr w:type="spellStart"/>
            <w:r w:rsidRPr="00836464">
              <w:rPr>
                <w:rFonts w:ascii="Times New Roman" w:hAnsi="Times New Roman" w:cs="Times New Roman"/>
                <w:bCs/>
                <w:i/>
                <w:color w:val="000000"/>
                <w:sz w:val="18"/>
                <w:lang w:eastAsia="sk-SK"/>
              </w:rPr>
              <w:t>Eurostat</w:t>
            </w:r>
            <w:proofErr w:type="spellEnd"/>
          </w:p>
        </w:tc>
      </w:tr>
      <w:tr w:rsidR="007D13F3" w:rsidRPr="00836464" w:rsidTr="00465CAC">
        <w:trPr>
          <w:trHeight w:val="79"/>
        </w:trPr>
        <w:tc>
          <w:tcPr>
            <w:tcW w:w="8968" w:type="dxa"/>
            <w:gridSpan w:val="12"/>
            <w:tcBorders>
              <w:top w:val="single" w:sz="4" w:space="0" w:color="auto"/>
              <w:left w:val="nil"/>
              <w:right w:val="nil"/>
            </w:tcBorders>
            <w:shd w:val="clear" w:color="000000" w:fill="FFFFFF"/>
          </w:tcPr>
          <w:p w:rsidR="007D13F3" w:rsidRPr="00C816E1" w:rsidRDefault="007D13F3" w:rsidP="00465CAC">
            <w:pPr>
              <w:keepNext/>
              <w:ind w:right="89"/>
              <w:jc w:val="right"/>
              <w:rPr>
                <w:rFonts w:ascii="Times New Roman" w:hAnsi="Times New Roman" w:cs="Times New Roman"/>
                <w:bCs/>
                <w:i/>
                <w:color w:val="000000"/>
                <w:sz w:val="10"/>
                <w:szCs w:val="10"/>
                <w:lang w:eastAsia="sk-SK"/>
              </w:rPr>
            </w:pPr>
          </w:p>
          <w:p w:rsidR="007D13F3" w:rsidRPr="00C816E1" w:rsidRDefault="007D13F3" w:rsidP="00465CAC">
            <w:pPr>
              <w:keepNext/>
              <w:ind w:right="89"/>
              <w:jc w:val="right"/>
              <w:rPr>
                <w:rFonts w:ascii="Times New Roman" w:hAnsi="Times New Roman" w:cs="Times New Roman"/>
                <w:bCs/>
                <w:i/>
                <w:color w:val="000000"/>
                <w:sz w:val="16"/>
                <w:szCs w:val="16"/>
                <w:lang w:eastAsia="sk-SK"/>
              </w:rPr>
            </w:pPr>
          </w:p>
        </w:tc>
      </w:tr>
    </w:tbl>
    <w:p w:rsidR="007D13F3" w:rsidRPr="00D92B31" w:rsidRDefault="007D13F3" w:rsidP="007D13F3">
      <w:pPr>
        <w:ind w:firstLine="709"/>
        <w:jc w:val="both"/>
        <w:rPr>
          <w:rFonts w:ascii="Times New Roman" w:hAnsi="Times New Roman" w:cs="Times New Roman"/>
        </w:rPr>
      </w:pPr>
      <w:r w:rsidRPr="00D92B31">
        <w:rPr>
          <w:rFonts w:ascii="Times New Roman" w:hAnsi="Times New Roman" w:cs="Times New Roman"/>
        </w:rPr>
        <w:t xml:space="preserve">Celkové verejné výdavky Slovenska na vzdelávanie – teda výdavky všetkých subjektov verejnej správy, sa v roku 2017 očakávajú vo výške približne </w:t>
      </w:r>
      <w:r w:rsidR="00D92B31" w:rsidRPr="00D92B31">
        <w:rPr>
          <w:rFonts w:ascii="Times New Roman" w:hAnsi="Times New Roman" w:cs="Times New Roman"/>
        </w:rPr>
        <w:t>4</w:t>
      </w:r>
      <w:r w:rsidRPr="00D92B31">
        <w:rPr>
          <w:rFonts w:ascii="Times New Roman" w:hAnsi="Times New Roman" w:cs="Times New Roman"/>
        </w:rPr>
        <w:t xml:space="preserve"> % HDP</w:t>
      </w:r>
      <w:r w:rsidR="00F30AAF" w:rsidRPr="00D92B31">
        <w:rPr>
          <w:rFonts w:ascii="Times New Roman" w:hAnsi="Times New Roman" w:cs="Times New Roman"/>
        </w:rPr>
        <w:t>.</w:t>
      </w:r>
      <w:r w:rsidRPr="00D92B31">
        <w:rPr>
          <w:rFonts w:ascii="Times New Roman" w:hAnsi="Times New Roman" w:cs="Times New Roman"/>
        </w:rPr>
        <w:t xml:space="preserve"> </w:t>
      </w:r>
    </w:p>
    <w:p w:rsidR="00D92B31" w:rsidRPr="00D92B31" w:rsidRDefault="00D92B31" w:rsidP="007D13F3">
      <w:pPr>
        <w:ind w:firstLine="709"/>
        <w:jc w:val="both"/>
        <w:rPr>
          <w:rFonts w:ascii="Times New Roman" w:hAnsi="Times New Roman" w:cs="Times New Roman"/>
          <w:sz w:val="16"/>
          <w:szCs w:val="16"/>
        </w:rPr>
      </w:pPr>
    </w:p>
    <w:p w:rsidR="007D13F3" w:rsidRDefault="007D13F3" w:rsidP="007D13F3">
      <w:pPr>
        <w:ind w:firstLine="709"/>
        <w:jc w:val="both"/>
        <w:rPr>
          <w:rFonts w:ascii="Times New Roman" w:hAnsi="Times New Roman" w:cs="Times New Roman"/>
        </w:rPr>
      </w:pPr>
      <w:r w:rsidRPr="00D92B31">
        <w:rPr>
          <w:rFonts w:ascii="Times New Roman" w:hAnsi="Times New Roman" w:cs="Times New Roman"/>
        </w:rPr>
        <w:t>Výdavky na vzdelávanie ako podiel na celkových verejných výdavko</w:t>
      </w:r>
      <w:r w:rsidR="00D9250E" w:rsidRPr="00D92B31">
        <w:rPr>
          <w:rFonts w:ascii="Times New Roman" w:hAnsi="Times New Roman" w:cs="Times New Roman"/>
        </w:rPr>
        <w:t>ch</w:t>
      </w:r>
      <w:r w:rsidRPr="00D92B31">
        <w:rPr>
          <w:rFonts w:ascii="Times New Roman" w:hAnsi="Times New Roman" w:cs="Times New Roman"/>
        </w:rPr>
        <w:t xml:space="preserve"> sa podľa odhadov MF SR zvýšia z</w:t>
      </w:r>
      <w:r w:rsidR="00D92B31" w:rsidRPr="00D92B31">
        <w:rPr>
          <w:rFonts w:ascii="Times New Roman" w:hAnsi="Times New Roman" w:cs="Times New Roman"/>
        </w:rPr>
        <w:t> 9,8</w:t>
      </w:r>
      <w:r w:rsidRPr="00D92B31">
        <w:rPr>
          <w:rFonts w:ascii="Times New Roman" w:hAnsi="Times New Roman" w:cs="Times New Roman"/>
        </w:rPr>
        <w:t xml:space="preserve"> % v súčasnosti na </w:t>
      </w:r>
      <w:r w:rsidR="00D92B31" w:rsidRPr="00D92B31">
        <w:rPr>
          <w:rFonts w:ascii="Times New Roman" w:hAnsi="Times New Roman" w:cs="Times New Roman"/>
        </w:rPr>
        <w:t>10,5</w:t>
      </w:r>
      <w:r w:rsidRPr="00D92B31">
        <w:rPr>
          <w:rFonts w:ascii="Times New Roman" w:hAnsi="Times New Roman" w:cs="Times New Roman"/>
        </w:rPr>
        <w:t xml:space="preserve"> % </w:t>
      </w:r>
      <w:r w:rsidR="00D92B31" w:rsidRPr="00D92B31">
        <w:rPr>
          <w:rFonts w:ascii="Times New Roman" w:hAnsi="Times New Roman" w:cs="Times New Roman"/>
        </w:rPr>
        <w:t xml:space="preserve">verejných výdavkov </w:t>
      </w:r>
      <w:r w:rsidRPr="00D92B31">
        <w:rPr>
          <w:rFonts w:ascii="Times New Roman" w:hAnsi="Times New Roman" w:cs="Times New Roman"/>
        </w:rPr>
        <w:t xml:space="preserve">v roku 2020, </w:t>
      </w:r>
      <w:r w:rsidR="00D92B31" w:rsidRPr="00D92B31">
        <w:rPr>
          <w:rFonts w:ascii="Times New Roman" w:hAnsi="Times New Roman" w:cs="Times New Roman"/>
        </w:rPr>
        <w:t>čo je približne</w:t>
      </w:r>
      <w:r w:rsidRPr="00D92B31">
        <w:rPr>
          <w:rFonts w:ascii="Times New Roman" w:hAnsi="Times New Roman" w:cs="Times New Roman"/>
        </w:rPr>
        <w:t xml:space="preserve"> súčasný podiel v krajinách EÚ. </w:t>
      </w:r>
    </w:p>
    <w:p w:rsidR="007D13F3" w:rsidRPr="00D92B31" w:rsidRDefault="007D13F3" w:rsidP="007D13F3">
      <w:pPr>
        <w:ind w:firstLine="709"/>
        <w:jc w:val="both"/>
        <w:rPr>
          <w:rFonts w:ascii="Times New Roman" w:hAnsi="Times New Roman" w:cs="Times New Roman"/>
          <w:szCs w:val="16"/>
        </w:rPr>
      </w:pPr>
    </w:p>
    <w:p w:rsidR="007D13F3" w:rsidRPr="008C21E8" w:rsidRDefault="007D13F3" w:rsidP="007D13F3">
      <w:pPr>
        <w:ind w:firstLine="709"/>
        <w:jc w:val="both"/>
        <w:rPr>
          <w:rFonts w:ascii="Times New Roman" w:hAnsi="Times New Roman" w:cs="Times New Roman"/>
        </w:rPr>
      </w:pPr>
      <w:r w:rsidRPr="008C21E8">
        <w:rPr>
          <w:rFonts w:ascii="Times New Roman" w:hAnsi="Times New Roman" w:cs="Times New Roman"/>
        </w:rPr>
        <w:t>Okrem dodatočných výdavkov sú potrebné aj ďalšie reformy na dosiahnutie želaného zlepšenia kvality vzdelávania. Okrem plošného zvyšovania platov učiteľov sú prioritami predovšetkým  väzba odmeňovania na kvalitu učiteľov, vrátane väčšieho podielu odmien na mzde, reforma procesu akreditácie vysokých škôl a zlepšenie kvality a dostupnosti údajov o výsledkoch žiakov a absolventov. Revízia výdavkov na vzdelávanie zároveň identifikovala potenciál na úspory v racionalizácii siete regionálneho školstva, zrušení systému kreditových príplatkov a zvýšení podielu študentov nepokračujúcich v magisterskom štúdiu.</w:t>
      </w:r>
    </w:p>
    <w:p w:rsidR="00112053" w:rsidRPr="008C21E8" w:rsidRDefault="00112053" w:rsidP="00112053">
      <w:pPr>
        <w:spacing w:after="55" w:line="240" w:lineRule="exact"/>
        <w:ind w:right="2"/>
        <w:jc w:val="both"/>
        <w:rPr>
          <w:rFonts w:ascii="Times New Roman" w:hAnsi="Times New Roman" w:cs="Times New Roman"/>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536"/>
        <w:gridCol w:w="4536"/>
      </w:tblGrid>
      <w:tr w:rsidR="00112053" w:rsidRPr="0019719B" w:rsidTr="00DD7B77">
        <w:trPr>
          <w:trHeight w:hRule="exact" w:val="280"/>
        </w:trPr>
        <w:tc>
          <w:tcPr>
            <w:tcW w:w="9072" w:type="dxa"/>
            <w:gridSpan w:val="2"/>
          </w:tcPr>
          <w:p w:rsidR="00112053" w:rsidRPr="009A046E" w:rsidRDefault="00112053" w:rsidP="00DD7B77">
            <w:pPr>
              <w:keepNext/>
              <w:ind w:left="214" w:right="-20"/>
              <w:rPr>
                <w:rFonts w:ascii="Times New Roman" w:eastAsia="Calibri" w:hAnsi="Times New Roman" w:cs="Times New Roman"/>
                <w:b/>
                <w:bCs/>
                <w:sz w:val="18"/>
              </w:rPr>
            </w:pPr>
            <w:r w:rsidRPr="009A046E">
              <w:rPr>
                <w:rFonts w:ascii="Times New Roman" w:eastAsia="Calibri" w:hAnsi="Times New Roman" w:cs="Times New Roman"/>
                <w:b/>
                <w:sz w:val="18"/>
                <w:lang w:eastAsia="sk-SK"/>
              </w:rPr>
              <w:t>Graf</w:t>
            </w:r>
            <w:r w:rsidRPr="009A046E">
              <w:rPr>
                <w:rFonts w:ascii="Times New Roman" w:eastAsia="Calibri" w:hAnsi="Times New Roman" w:cs="Times New Roman"/>
                <w:b/>
                <w:noProof/>
                <w:sz w:val="18"/>
                <w:lang w:eastAsia="sk-SK"/>
              </w:rPr>
              <w:t>:</w:t>
            </w:r>
            <w:r w:rsidRPr="009A046E">
              <w:rPr>
                <w:rFonts w:ascii="Times New Roman" w:eastAsia="Arial" w:hAnsi="Times New Roman" w:cs="Times New Roman"/>
                <w:b/>
                <w:sz w:val="18"/>
                <w:lang w:eastAsia="fr-FR" w:bidi="fr-FR"/>
              </w:rPr>
              <w:t xml:space="preserve"> Verejn</w:t>
            </w:r>
            <w:r>
              <w:rPr>
                <w:rFonts w:ascii="Times New Roman" w:eastAsia="Arial" w:hAnsi="Times New Roman" w:cs="Times New Roman"/>
                <w:b/>
                <w:sz w:val="18"/>
                <w:lang w:eastAsia="fr-FR" w:bidi="fr-FR"/>
              </w:rPr>
              <w:t>é výdavky na vzdelávanie</w:t>
            </w:r>
            <w:r w:rsidRPr="009A046E">
              <w:rPr>
                <w:rFonts w:ascii="Times New Roman" w:eastAsia="Arial" w:hAnsi="Times New Roman" w:cs="Times New Roman"/>
                <w:b/>
                <w:sz w:val="18"/>
                <w:lang w:eastAsia="fr-FR" w:bidi="fr-FR"/>
              </w:rPr>
              <w:t xml:space="preserve"> (2006 – 201</w:t>
            </w:r>
            <w:r>
              <w:rPr>
                <w:rFonts w:ascii="Times New Roman" w:eastAsia="Arial" w:hAnsi="Times New Roman" w:cs="Times New Roman"/>
                <w:b/>
                <w:sz w:val="18"/>
                <w:lang w:eastAsia="fr-FR" w:bidi="fr-FR"/>
              </w:rPr>
              <w:t>5</w:t>
            </w:r>
            <w:r w:rsidRPr="009A046E">
              <w:rPr>
                <w:rFonts w:ascii="Times New Roman" w:eastAsia="Arial" w:hAnsi="Times New Roman" w:cs="Times New Roman"/>
                <w:b/>
                <w:sz w:val="18"/>
                <w:lang w:eastAsia="fr-FR" w:bidi="fr-FR"/>
              </w:rPr>
              <w:t xml:space="preserve"> a prognóza do roku 2020, metodika COFOG)</w:t>
            </w:r>
          </w:p>
        </w:tc>
      </w:tr>
      <w:tr w:rsidR="00112053" w:rsidRPr="0019719B" w:rsidTr="00112053">
        <w:trPr>
          <w:trHeight w:hRule="exact" w:val="182"/>
        </w:trPr>
        <w:tc>
          <w:tcPr>
            <w:tcW w:w="4536" w:type="dxa"/>
            <w:tcBorders>
              <w:bottom w:val="single" w:sz="4" w:space="0" w:color="auto"/>
            </w:tcBorders>
            <w:vAlign w:val="bottom"/>
          </w:tcPr>
          <w:p w:rsidR="00112053" w:rsidRPr="009A046E" w:rsidRDefault="00112053" w:rsidP="00DD7B77">
            <w:pPr>
              <w:keepNext/>
              <w:ind w:right="-20"/>
              <w:contextualSpacing/>
              <w:jc w:val="center"/>
              <w:rPr>
                <w:rFonts w:ascii="Times New Roman" w:eastAsia="Calibri" w:hAnsi="Times New Roman" w:cs="Times New Roman"/>
                <w:b/>
                <w:sz w:val="18"/>
                <w:szCs w:val="20"/>
                <w:lang w:eastAsia="sk-SK"/>
              </w:rPr>
            </w:pPr>
            <w:bookmarkStart w:id="84" w:name="_Ref479595191"/>
            <w:bookmarkStart w:id="85" w:name="_Toc487200863"/>
            <w:r>
              <w:rPr>
                <w:rFonts w:ascii="Times New Roman" w:eastAsia="Calibri" w:hAnsi="Times New Roman" w:cs="Times New Roman"/>
                <w:b/>
                <w:sz w:val="18"/>
                <w:lang w:eastAsia="sk-SK"/>
              </w:rPr>
              <w:t>v % HDP</w:t>
            </w:r>
            <w:bookmarkEnd w:id="84"/>
            <w:bookmarkEnd w:id="85"/>
          </w:p>
        </w:tc>
        <w:tc>
          <w:tcPr>
            <w:tcW w:w="4536" w:type="dxa"/>
            <w:tcBorders>
              <w:bottom w:val="single" w:sz="4" w:space="0" w:color="auto"/>
            </w:tcBorders>
            <w:vAlign w:val="bottom"/>
          </w:tcPr>
          <w:p w:rsidR="00112053" w:rsidRPr="009A046E" w:rsidRDefault="00112053" w:rsidP="00DD7B77">
            <w:pPr>
              <w:keepNext/>
              <w:ind w:left="214" w:right="-20"/>
              <w:jc w:val="center"/>
              <w:rPr>
                <w:rFonts w:ascii="Times New Roman" w:eastAsia="Calibri" w:hAnsi="Times New Roman" w:cs="Times New Roman"/>
                <w:b/>
                <w:sz w:val="18"/>
                <w:szCs w:val="20"/>
                <w:lang w:eastAsia="sk-SK"/>
              </w:rPr>
            </w:pPr>
            <w:bookmarkStart w:id="86" w:name="_Toc487200864"/>
            <w:r w:rsidRPr="009A046E">
              <w:rPr>
                <w:rFonts w:ascii="Times New Roman" w:eastAsia="Arial" w:hAnsi="Times New Roman" w:cs="Times New Roman"/>
                <w:b/>
                <w:sz w:val="18"/>
                <w:lang w:eastAsia="fr-FR" w:bidi="fr-FR"/>
              </w:rPr>
              <w:t xml:space="preserve">v % z celkových verejných </w:t>
            </w:r>
            <w:bookmarkEnd w:id="86"/>
            <w:r>
              <w:rPr>
                <w:rFonts w:ascii="Times New Roman" w:eastAsia="Arial" w:hAnsi="Times New Roman" w:cs="Times New Roman"/>
                <w:b/>
                <w:sz w:val="18"/>
                <w:lang w:eastAsia="fr-FR" w:bidi="fr-FR"/>
              </w:rPr>
              <w:t>výdavkov</w:t>
            </w:r>
          </w:p>
        </w:tc>
      </w:tr>
      <w:tr w:rsidR="00112053" w:rsidRPr="0019719B" w:rsidTr="00DD7B77">
        <w:trPr>
          <w:trHeight w:val="3374"/>
        </w:trPr>
        <w:tc>
          <w:tcPr>
            <w:tcW w:w="4536" w:type="dxa"/>
            <w:tcBorders>
              <w:top w:val="single" w:sz="4" w:space="0" w:color="auto"/>
              <w:bottom w:val="single" w:sz="4" w:space="0" w:color="auto"/>
            </w:tcBorders>
          </w:tcPr>
          <w:p w:rsidR="00112053" w:rsidRPr="009A046E" w:rsidRDefault="00112053" w:rsidP="00DD7B77">
            <w:pPr>
              <w:keepNext/>
              <w:ind w:right="-20"/>
              <w:rPr>
                <w:rFonts w:ascii="Times New Roman" w:eastAsia="Calibri" w:hAnsi="Times New Roman" w:cs="Times New Roman"/>
                <w:sz w:val="18"/>
                <w:szCs w:val="18"/>
              </w:rPr>
            </w:pPr>
            <w:r>
              <w:rPr>
                <w:noProof/>
                <w:lang w:eastAsia="sk-SK"/>
              </w:rPr>
              <w:drawing>
                <wp:anchor distT="0" distB="0" distL="114300" distR="114300" simplePos="0" relativeHeight="251668480" behindDoc="0" locked="0" layoutInCell="1" allowOverlap="1" wp14:anchorId="495A8CF1" wp14:editId="31DDC827">
                  <wp:simplePos x="0" y="0"/>
                  <wp:positionH relativeFrom="column">
                    <wp:posOffset>3106</wp:posOffset>
                  </wp:positionH>
                  <wp:positionV relativeFrom="paragraph">
                    <wp:posOffset>5149</wp:posOffset>
                  </wp:positionV>
                  <wp:extent cx="2819400" cy="2100580"/>
                  <wp:effectExtent l="0" t="0" r="0" b="0"/>
                  <wp:wrapNone/>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tc>
        <w:tc>
          <w:tcPr>
            <w:tcW w:w="4536" w:type="dxa"/>
            <w:tcBorders>
              <w:top w:val="single" w:sz="4" w:space="0" w:color="auto"/>
              <w:bottom w:val="single" w:sz="4" w:space="0" w:color="auto"/>
            </w:tcBorders>
          </w:tcPr>
          <w:p w:rsidR="00112053" w:rsidRPr="009A046E" w:rsidRDefault="00112053" w:rsidP="00DD7B77">
            <w:pPr>
              <w:keepNext/>
              <w:ind w:right="-20"/>
              <w:rPr>
                <w:rFonts w:ascii="Times New Roman" w:eastAsia="Calibri" w:hAnsi="Times New Roman" w:cs="Times New Roman"/>
                <w:noProof/>
                <w:sz w:val="18"/>
                <w:szCs w:val="18"/>
              </w:rPr>
            </w:pPr>
            <w:r>
              <w:rPr>
                <w:noProof/>
                <w:lang w:eastAsia="sk-SK"/>
              </w:rPr>
              <w:drawing>
                <wp:anchor distT="0" distB="0" distL="114300" distR="114300" simplePos="0" relativeHeight="251669504" behindDoc="0" locked="0" layoutInCell="1" allowOverlap="1" wp14:anchorId="24544867" wp14:editId="506A4ECA">
                  <wp:simplePos x="0" y="0"/>
                  <wp:positionH relativeFrom="column">
                    <wp:posOffset>5990</wp:posOffset>
                  </wp:positionH>
                  <wp:positionV relativeFrom="paragraph">
                    <wp:posOffset>5150</wp:posOffset>
                  </wp:positionV>
                  <wp:extent cx="2749550" cy="2100648"/>
                  <wp:effectExtent l="0" t="0" r="0" b="0"/>
                  <wp:wrapNone/>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tc>
      </w:tr>
      <w:tr w:rsidR="00112053" w:rsidRPr="00836464" w:rsidTr="00DD7B77">
        <w:tblPrEx>
          <w:tblCellMar>
            <w:left w:w="108" w:type="dxa"/>
            <w:right w:w="108" w:type="dxa"/>
          </w:tblCellMar>
        </w:tblPrEx>
        <w:trPr>
          <w:trHeight w:val="20"/>
        </w:trPr>
        <w:tc>
          <w:tcPr>
            <w:tcW w:w="9072" w:type="dxa"/>
            <w:gridSpan w:val="2"/>
            <w:tcBorders>
              <w:top w:val="single" w:sz="4" w:space="0" w:color="auto"/>
            </w:tcBorders>
          </w:tcPr>
          <w:p w:rsidR="00112053" w:rsidRPr="009A046E" w:rsidRDefault="00112053" w:rsidP="00DD7B77">
            <w:pPr>
              <w:ind w:right="-20"/>
              <w:jc w:val="right"/>
              <w:rPr>
                <w:rFonts w:ascii="Times New Roman" w:eastAsia="Calibri" w:hAnsi="Times New Roman" w:cs="Times New Roman"/>
                <w:bCs/>
                <w:i/>
                <w:sz w:val="18"/>
                <w:szCs w:val="18"/>
                <w:lang w:eastAsia="zh-TW"/>
              </w:rPr>
            </w:pPr>
            <w:r w:rsidRPr="009A046E">
              <w:rPr>
                <w:rFonts w:ascii="Times New Roman" w:eastAsia="Calibri" w:hAnsi="Times New Roman" w:cs="Times New Roman"/>
                <w:i/>
                <w:sz w:val="18"/>
                <w:szCs w:val="18"/>
                <w:lang w:eastAsia="zh-TW"/>
              </w:rPr>
              <w:t xml:space="preserve">Zdroj: </w:t>
            </w:r>
            <w:proofErr w:type="spellStart"/>
            <w:r w:rsidRPr="009A046E">
              <w:rPr>
                <w:rFonts w:ascii="Times New Roman" w:eastAsia="Calibri" w:hAnsi="Times New Roman" w:cs="Times New Roman"/>
                <w:i/>
                <w:sz w:val="18"/>
                <w:szCs w:val="18"/>
                <w:lang w:eastAsia="zh-TW"/>
              </w:rPr>
              <w:t>Eurostat</w:t>
            </w:r>
            <w:proofErr w:type="spellEnd"/>
            <w:r w:rsidRPr="009A046E">
              <w:rPr>
                <w:rFonts w:ascii="Times New Roman" w:eastAsia="Calibri" w:hAnsi="Times New Roman" w:cs="Times New Roman"/>
                <w:i/>
                <w:sz w:val="18"/>
                <w:szCs w:val="18"/>
                <w:lang w:eastAsia="zh-TW"/>
              </w:rPr>
              <w:t>, RIS</w:t>
            </w:r>
            <w:r>
              <w:rPr>
                <w:rFonts w:ascii="Times New Roman" w:eastAsia="Calibri" w:hAnsi="Times New Roman" w:cs="Times New Roman"/>
                <w:i/>
                <w:sz w:val="18"/>
                <w:szCs w:val="18"/>
                <w:lang w:eastAsia="zh-TW"/>
              </w:rPr>
              <w:t>, prognóza MF SR</w:t>
            </w:r>
          </w:p>
          <w:p w:rsidR="00112053" w:rsidRPr="009A046E" w:rsidRDefault="00112053" w:rsidP="00DD7B77">
            <w:pPr>
              <w:ind w:right="-20"/>
              <w:jc w:val="center"/>
              <w:rPr>
                <w:rFonts w:ascii="Times New Roman" w:eastAsia="Calibri" w:hAnsi="Times New Roman" w:cs="Times New Roman"/>
                <w:bCs/>
                <w:i/>
                <w:sz w:val="18"/>
                <w:szCs w:val="18"/>
                <w:lang w:eastAsia="zh-TW"/>
              </w:rPr>
            </w:pPr>
          </w:p>
        </w:tc>
      </w:tr>
    </w:tbl>
    <w:p w:rsidR="00112053" w:rsidRDefault="00112053" w:rsidP="007D13F3">
      <w:pPr>
        <w:spacing w:after="200"/>
        <w:contextualSpacing/>
        <w:jc w:val="both"/>
        <w:rPr>
          <w:rFonts w:ascii="Times New Roman" w:hAnsi="Times New Roman" w:cs="Times New Roman"/>
          <w:lang w:eastAsia="en-US"/>
        </w:rPr>
      </w:pPr>
    </w:p>
    <w:p w:rsidR="007D13F3" w:rsidRDefault="007D13F3" w:rsidP="007D13F3">
      <w:pPr>
        <w:spacing w:after="200"/>
        <w:contextualSpacing/>
        <w:jc w:val="both"/>
        <w:rPr>
          <w:rFonts w:ascii="Times New Roman" w:hAnsi="Times New Roman" w:cs="Times New Roman"/>
          <w:lang w:eastAsia="en-US"/>
        </w:rPr>
      </w:pPr>
      <w:r>
        <w:rPr>
          <w:rFonts w:ascii="Times New Roman" w:hAnsi="Times New Roman" w:cs="Times New Roman"/>
          <w:lang w:eastAsia="en-US"/>
        </w:rPr>
        <w:t>Výdavky kapitoly MŠVVŠ SR sú uvedené v nasledujúcej tabuľke</w:t>
      </w:r>
    </w:p>
    <w:p w:rsidR="007D13F3" w:rsidRDefault="007D13F3" w:rsidP="007D13F3">
      <w:pPr>
        <w:spacing w:after="200"/>
        <w:contextualSpacing/>
        <w:jc w:val="both"/>
        <w:rPr>
          <w:rFonts w:ascii="Times New Roman" w:hAnsi="Times New Roman" w:cs="Times New Roman"/>
          <w:lang w:eastAsia="en-US"/>
        </w:rPr>
      </w:pPr>
    </w:p>
    <w:tbl>
      <w:tblPr>
        <w:tblW w:w="0" w:type="auto"/>
        <w:tblCellMar>
          <w:left w:w="70" w:type="dxa"/>
          <w:right w:w="70" w:type="dxa"/>
        </w:tblCellMar>
        <w:tblLook w:val="04A0" w:firstRow="1" w:lastRow="0" w:firstColumn="1" w:lastColumn="0" w:noHBand="0" w:noVBand="1"/>
      </w:tblPr>
      <w:tblGrid>
        <w:gridCol w:w="2435"/>
        <w:gridCol w:w="945"/>
        <w:gridCol w:w="945"/>
        <w:gridCol w:w="945"/>
        <w:gridCol w:w="945"/>
        <w:gridCol w:w="945"/>
        <w:gridCol w:w="945"/>
        <w:gridCol w:w="945"/>
      </w:tblGrid>
      <w:tr w:rsidR="007D13F3" w:rsidRPr="001918CA" w:rsidTr="00465CAC">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000000" w:fill="auto"/>
            <w:noWrap/>
            <w:vAlign w:val="bottom"/>
            <w:hideMark/>
          </w:tcPr>
          <w:p w:rsidR="007D13F3" w:rsidRPr="001918CA" w:rsidRDefault="007D13F3" w:rsidP="00465CAC">
            <w:pPr>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000000" w:fill="auto"/>
            <w:noWrap/>
            <w:vAlign w:val="bottom"/>
            <w:hideMark/>
          </w:tcPr>
          <w:p w:rsidR="007D13F3" w:rsidRPr="001918CA" w:rsidRDefault="007D13F3" w:rsidP="00465CAC">
            <w:pPr>
              <w:jc w:val="center"/>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2015 S</w:t>
            </w:r>
          </w:p>
        </w:tc>
        <w:tc>
          <w:tcPr>
            <w:tcW w:w="0" w:type="auto"/>
            <w:tcBorders>
              <w:top w:val="single" w:sz="4" w:space="0" w:color="auto"/>
              <w:left w:val="nil"/>
              <w:bottom w:val="single" w:sz="4" w:space="0" w:color="auto"/>
              <w:right w:val="single" w:sz="4" w:space="0" w:color="auto"/>
            </w:tcBorders>
            <w:shd w:val="pct35" w:color="000000" w:fill="auto"/>
            <w:noWrap/>
            <w:vAlign w:val="bottom"/>
            <w:hideMark/>
          </w:tcPr>
          <w:p w:rsidR="007D13F3" w:rsidRPr="001918CA" w:rsidRDefault="007D13F3" w:rsidP="00465CAC">
            <w:pPr>
              <w:jc w:val="center"/>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2016 S</w:t>
            </w:r>
          </w:p>
        </w:tc>
        <w:tc>
          <w:tcPr>
            <w:tcW w:w="0" w:type="auto"/>
            <w:tcBorders>
              <w:top w:val="single" w:sz="4" w:space="0" w:color="auto"/>
              <w:left w:val="nil"/>
              <w:bottom w:val="single" w:sz="4" w:space="0" w:color="auto"/>
              <w:right w:val="single" w:sz="4" w:space="0" w:color="auto"/>
            </w:tcBorders>
            <w:shd w:val="pct35" w:color="000000" w:fill="auto"/>
            <w:noWrap/>
            <w:vAlign w:val="bottom"/>
            <w:hideMark/>
          </w:tcPr>
          <w:p w:rsidR="007D13F3" w:rsidRPr="001918CA" w:rsidRDefault="007D13F3" w:rsidP="00465CAC">
            <w:pPr>
              <w:jc w:val="center"/>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2017 R</w:t>
            </w:r>
          </w:p>
        </w:tc>
        <w:tc>
          <w:tcPr>
            <w:tcW w:w="0" w:type="auto"/>
            <w:tcBorders>
              <w:top w:val="single" w:sz="4" w:space="0" w:color="auto"/>
              <w:left w:val="nil"/>
              <w:bottom w:val="single" w:sz="4" w:space="0" w:color="auto"/>
              <w:right w:val="single" w:sz="4" w:space="0" w:color="auto"/>
            </w:tcBorders>
            <w:shd w:val="pct35" w:color="000000" w:fill="auto"/>
            <w:noWrap/>
            <w:vAlign w:val="bottom"/>
            <w:hideMark/>
          </w:tcPr>
          <w:p w:rsidR="007D13F3" w:rsidRPr="001918CA" w:rsidRDefault="007D13F3" w:rsidP="00465CAC">
            <w:pPr>
              <w:jc w:val="center"/>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2017 OS</w:t>
            </w:r>
          </w:p>
        </w:tc>
        <w:tc>
          <w:tcPr>
            <w:tcW w:w="0" w:type="auto"/>
            <w:tcBorders>
              <w:top w:val="single" w:sz="4" w:space="0" w:color="auto"/>
              <w:left w:val="nil"/>
              <w:bottom w:val="single" w:sz="4" w:space="0" w:color="auto"/>
              <w:right w:val="single" w:sz="4" w:space="0" w:color="auto"/>
            </w:tcBorders>
            <w:shd w:val="pct35" w:color="000000" w:fill="auto"/>
            <w:noWrap/>
            <w:vAlign w:val="bottom"/>
            <w:hideMark/>
          </w:tcPr>
          <w:p w:rsidR="007D13F3" w:rsidRPr="001918CA" w:rsidRDefault="007D13F3" w:rsidP="00465CAC">
            <w:pPr>
              <w:jc w:val="center"/>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2018 N</w:t>
            </w:r>
          </w:p>
        </w:tc>
        <w:tc>
          <w:tcPr>
            <w:tcW w:w="0" w:type="auto"/>
            <w:tcBorders>
              <w:top w:val="single" w:sz="4" w:space="0" w:color="auto"/>
              <w:left w:val="nil"/>
              <w:bottom w:val="single" w:sz="4" w:space="0" w:color="auto"/>
              <w:right w:val="single" w:sz="4" w:space="0" w:color="auto"/>
            </w:tcBorders>
            <w:shd w:val="pct35" w:color="000000" w:fill="auto"/>
            <w:noWrap/>
            <w:vAlign w:val="bottom"/>
            <w:hideMark/>
          </w:tcPr>
          <w:p w:rsidR="007D13F3" w:rsidRPr="001918CA" w:rsidRDefault="007D13F3" w:rsidP="00465CAC">
            <w:pPr>
              <w:jc w:val="center"/>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2019 N</w:t>
            </w:r>
          </w:p>
        </w:tc>
        <w:tc>
          <w:tcPr>
            <w:tcW w:w="0" w:type="auto"/>
            <w:tcBorders>
              <w:top w:val="single" w:sz="4" w:space="0" w:color="auto"/>
              <w:left w:val="nil"/>
              <w:bottom w:val="single" w:sz="4" w:space="0" w:color="auto"/>
              <w:right w:val="single" w:sz="4" w:space="0" w:color="auto"/>
            </w:tcBorders>
            <w:shd w:val="pct35" w:color="000000" w:fill="auto"/>
            <w:noWrap/>
            <w:vAlign w:val="bottom"/>
            <w:hideMark/>
          </w:tcPr>
          <w:p w:rsidR="007D13F3" w:rsidRPr="001918CA" w:rsidRDefault="007D13F3" w:rsidP="00465CAC">
            <w:pPr>
              <w:jc w:val="center"/>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2020 N</w:t>
            </w:r>
          </w:p>
        </w:tc>
      </w:tr>
      <w:tr w:rsidR="007D13F3" w:rsidRPr="001918CA" w:rsidTr="00465CAC">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auto" w:fill="auto"/>
            <w:noWrap/>
            <w:vAlign w:val="bottom"/>
            <w:hideMark/>
          </w:tcPr>
          <w:p w:rsidR="007D13F3" w:rsidRPr="001918CA" w:rsidRDefault="007D13F3" w:rsidP="00465CAC">
            <w:pPr>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Zdroje príslušnej kapitoly vrátane 72e</w:t>
            </w:r>
          </w:p>
        </w:tc>
        <w:tc>
          <w:tcPr>
            <w:tcW w:w="0" w:type="auto"/>
            <w:tcBorders>
              <w:top w:val="single" w:sz="4" w:space="0" w:color="auto"/>
              <w:left w:val="nil"/>
              <w:bottom w:val="single" w:sz="4" w:space="0" w:color="auto"/>
              <w:right w:val="single" w:sz="4" w:space="0" w:color="auto"/>
            </w:tcBorders>
            <w:shd w:val="pct25" w:color="auto" w:fill="auto"/>
            <w:noWrap/>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1 654 254 158</w:t>
            </w:r>
          </w:p>
        </w:tc>
        <w:tc>
          <w:tcPr>
            <w:tcW w:w="0" w:type="auto"/>
            <w:tcBorders>
              <w:top w:val="single" w:sz="4" w:space="0" w:color="auto"/>
              <w:left w:val="nil"/>
              <w:bottom w:val="single" w:sz="4" w:space="0" w:color="auto"/>
              <w:right w:val="single" w:sz="4" w:space="0" w:color="auto"/>
            </w:tcBorders>
            <w:shd w:val="pct25" w:color="auto" w:fill="auto"/>
            <w:noWrap/>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1 148 923 645</w:t>
            </w:r>
          </w:p>
        </w:tc>
        <w:tc>
          <w:tcPr>
            <w:tcW w:w="0" w:type="auto"/>
            <w:tcBorders>
              <w:top w:val="single" w:sz="4" w:space="0" w:color="auto"/>
              <w:left w:val="nil"/>
              <w:bottom w:val="single" w:sz="4" w:space="0" w:color="auto"/>
              <w:right w:val="single" w:sz="4" w:space="0" w:color="auto"/>
            </w:tcBorders>
            <w:shd w:val="pct25" w:color="auto" w:fill="auto"/>
            <w:noWrap/>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1 433 710 444</w:t>
            </w:r>
          </w:p>
        </w:tc>
        <w:tc>
          <w:tcPr>
            <w:tcW w:w="0" w:type="auto"/>
            <w:tcBorders>
              <w:top w:val="single" w:sz="4" w:space="0" w:color="auto"/>
              <w:left w:val="nil"/>
              <w:bottom w:val="single" w:sz="4" w:space="0" w:color="auto"/>
              <w:right w:val="single" w:sz="4" w:space="0" w:color="auto"/>
            </w:tcBorders>
            <w:shd w:val="pct25" w:color="auto" w:fill="auto"/>
            <w:noWrap/>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1 247 304 612</w:t>
            </w:r>
          </w:p>
        </w:tc>
        <w:tc>
          <w:tcPr>
            <w:tcW w:w="0" w:type="auto"/>
            <w:tcBorders>
              <w:top w:val="single" w:sz="4" w:space="0" w:color="auto"/>
              <w:left w:val="nil"/>
              <w:bottom w:val="single" w:sz="4" w:space="0" w:color="auto"/>
              <w:right w:val="single" w:sz="4" w:space="0" w:color="auto"/>
            </w:tcBorders>
            <w:shd w:val="pct25" w:color="auto" w:fill="auto"/>
            <w:noWrap/>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1 363 929 249</w:t>
            </w:r>
          </w:p>
        </w:tc>
        <w:tc>
          <w:tcPr>
            <w:tcW w:w="0" w:type="auto"/>
            <w:tcBorders>
              <w:top w:val="single" w:sz="4" w:space="0" w:color="auto"/>
              <w:left w:val="nil"/>
              <w:bottom w:val="single" w:sz="4" w:space="0" w:color="auto"/>
              <w:right w:val="single" w:sz="4" w:space="0" w:color="auto"/>
            </w:tcBorders>
            <w:shd w:val="pct25" w:color="auto" w:fill="auto"/>
            <w:noWrap/>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1 511 013 379</w:t>
            </w:r>
          </w:p>
        </w:tc>
        <w:tc>
          <w:tcPr>
            <w:tcW w:w="0" w:type="auto"/>
            <w:tcBorders>
              <w:top w:val="single" w:sz="4" w:space="0" w:color="auto"/>
              <w:left w:val="nil"/>
              <w:bottom w:val="single" w:sz="4" w:space="0" w:color="auto"/>
              <w:right w:val="single" w:sz="4" w:space="0" w:color="auto"/>
            </w:tcBorders>
            <w:shd w:val="pct25" w:color="auto" w:fill="auto"/>
            <w:noWrap/>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1 525 827 354</w:t>
            </w:r>
          </w:p>
        </w:tc>
      </w:tr>
      <w:tr w:rsidR="007D13F3" w:rsidRPr="001918CA" w:rsidTr="00465CAC">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auto" w:fill="auto"/>
            <w:vAlign w:val="bottom"/>
            <w:hideMark/>
          </w:tcPr>
          <w:p w:rsidR="007D13F3" w:rsidRPr="001918CA" w:rsidRDefault="007D13F3" w:rsidP="00465CAC">
            <w:pPr>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zdroje príslušnej kapitoly</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1 654 254 158</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1 148 920 363</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1 433 710 444</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1 247 304 612</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1 363 929 249</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1 511 013 379</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1 525 827 354</w:t>
            </w:r>
          </w:p>
        </w:tc>
      </w:tr>
      <w:tr w:rsidR="007D13F3" w:rsidRPr="001918CA" w:rsidTr="00465CAC">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1918CA" w:rsidRDefault="007D13F3" w:rsidP="00465CAC">
            <w:pPr>
              <w:rPr>
                <w:rFonts w:ascii="Times New Roman" w:hAnsi="Times New Roman" w:cs="Times New Roman"/>
                <w:b/>
                <w:bCs/>
                <w:sz w:val="14"/>
                <w:szCs w:val="14"/>
                <w:lang w:eastAsia="sk-SK"/>
              </w:rPr>
            </w:pPr>
            <w:r w:rsidRPr="001918CA">
              <w:rPr>
                <w:rFonts w:ascii="Times New Roman" w:hAnsi="Times New Roman" w:cs="Times New Roman"/>
                <w:b/>
                <w:bCs/>
                <w:sz w:val="14"/>
                <w:szCs w:val="14"/>
                <w:lang w:eastAsia="sk-SK"/>
              </w:rPr>
              <w:t xml:space="preserve">rozpočtové zdroje kapitoly </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1 035 212 989</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1 084 736 532</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1 243 008 368</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1 176 847 385</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1 297 180 423</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1 208 844 657</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1 207 527 496</w:t>
            </w:r>
          </w:p>
        </w:tc>
      </w:tr>
      <w:tr w:rsidR="007D13F3" w:rsidRPr="001918CA" w:rsidTr="00465CAC">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1918CA" w:rsidRDefault="007D13F3" w:rsidP="00465CAC">
            <w:pPr>
              <w:rPr>
                <w:rFonts w:ascii="Times New Roman" w:hAnsi="Times New Roman" w:cs="Times New Roman"/>
                <w:sz w:val="14"/>
                <w:szCs w:val="14"/>
                <w:lang w:eastAsia="sk-SK"/>
              </w:rPr>
            </w:pPr>
            <w:r w:rsidRPr="001918CA">
              <w:rPr>
                <w:rFonts w:ascii="Times New Roman" w:hAnsi="Times New Roman" w:cs="Times New Roman"/>
                <w:sz w:val="14"/>
                <w:szCs w:val="14"/>
                <w:lang w:eastAsia="sk-SK"/>
              </w:rPr>
              <w:t xml:space="preserve">  v tom: bežné výdavky 600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1 001 823 319</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1 067 697 311</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1 176 851 511</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1 111 345 054</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1 210 955 624</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1 185 659 858</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1 184 342 697</w:t>
            </w:r>
          </w:p>
        </w:tc>
      </w:tr>
      <w:tr w:rsidR="007D13F3" w:rsidRPr="001918CA" w:rsidTr="00465CAC">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1918CA" w:rsidRDefault="007D13F3" w:rsidP="00465CAC">
            <w:pPr>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 xml:space="preserve">                       610 mzdy</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16 664 268</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19 111 837</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14 918 963</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16 078 600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15 532 602</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15 532 602</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15 532 602</w:t>
            </w:r>
          </w:p>
        </w:tc>
      </w:tr>
      <w:tr w:rsidR="007D13F3" w:rsidRPr="001918CA" w:rsidTr="00465CAC">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1918CA" w:rsidRDefault="007D13F3" w:rsidP="00465CAC">
            <w:pPr>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 xml:space="preserve">                       620 odvody</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6 909 975</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7 839 824</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5 268 839</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6 099 966</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5 483 307</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5 483 307</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5 483 307</w:t>
            </w:r>
          </w:p>
        </w:tc>
      </w:tr>
      <w:tr w:rsidR="007D13F3" w:rsidRPr="001918CA" w:rsidTr="00465CAC">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1918CA" w:rsidRDefault="007D13F3" w:rsidP="00465CAC">
            <w:pPr>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 xml:space="preserve">                       630 tovary a služby</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36 707 573</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39 474 271</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111 465 019</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72 979 707</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74 690 995</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62 642 065</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62 745 771</w:t>
            </w:r>
          </w:p>
        </w:tc>
      </w:tr>
      <w:tr w:rsidR="007D13F3" w:rsidRPr="001918CA" w:rsidTr="00465CAC">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1918CA" w:rsidRDefault="007D13F3" w:rsidP="00465CAC">
            <w:pPr>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 xml:space="preserve">                       640 bežné transfery</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941 541 503</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1 001 271 379</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1 045 198 690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1 016 186 781</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1 115 248 720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1 102 001 884</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1 100 581 017</w:t>
            </w:r>
          </w:p>
        </w:tc>
      </w:tr>
      <w:tr w:rsidR="007D13F3" w:rsidRPr="001918CA" w:rsidTr="00465CAC">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1918CA" w:rsidRDefault="007D13F3" w:rsidP="00465CAC">
            <w:pPr>
              <w:rPr>
                <w:rFonts w:ascii="Times New Roman" w:hAnsi="Times New Roman" w:cs="Times New Roman"/>
                <w:sz w:val="14"/>
                <w:szCs w:val="14"/>
                <w:lang w:eastAsia="sk-SK"/>
              </w:rPr>
            </w:pPr>
            <w:r w:rsidRPr="001918CA">
              <w:rPr>
                <w:rFonts w:ascii="Times New Roman" w:hAnsi="Times New Roman" w:cs="Times New Roman"/>
                <w:sz w:val="14"/>
                <w:szCs w:val="14"/>
                <w:lang w:eastAsia="sk-SK"/>
              </w:rPr>
              <w:t xml:space="preserve">                 kapitálové výdavky 700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33 389 670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17 039 221</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66 156 857</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65 502 331</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86 224 799</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23 184 799</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23 184 799</w:t>
            </w:r>
          </w:p>
        </w:tc>
      </w:tr>
      <w:tr w:rsidR="007D13F3" w:rsidRPr="001918CA" w:rsidTr="00465CAC">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1918CA" w:rsidRDefault="007D13F3" w:rsidP="00465CAC">
            <w:pPr>
              <w:rPr>
                <w:rFonts w:ascii="Times New Roman" w:hAnsi="Times New Roman" w:cs="Times New Roman"/>
                <w:b/>
                <w:bCs/>
                <w:sz w:val="14"/>
                <w:szCs w:val="14"/>
                <w:lang w:eastAsia="sk-SK"/>
              </w:rPr>
            </w:pPr>
            <w:r w:rsidRPr="001918CA">
              <w:rPr>
                <w:rFonts w:ascii="Times New Roman" w:hAnsi="Times New Roman" w:cs="Times New Roman"/>
                <w:b/>
                <w:bCs/>
                <w:sz w:val="14"/>
                <w:szCs w:val="14"/>
                <w:lang w:eastAsia="sk-SK"/>
              </w:rPr>
              <w:t xml:space="preserve">zdroje EÚ vrátane spolufinancovania: </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389 272 825</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9 985 060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190 702 076</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66 748 826</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302 168 722</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318 299 858</w:t>
            </w:r>
          </w:p>
        </w:tc>
      </w:tr>
      <w:tr w:rsidR="007D13F3" w:rsidRPr="001918CA" w:rsidTr="00465CAC">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1918CA" w:rsidRDefault="007D13F3" w:rsidP="00465CAC">
            <w:pPr>
              <w:rPr>
                <w:rFonts w:ascii="Times New Roman" w:hAnsi="Times New Roman" w:cs="Times New Roman"/>
                <w:sz w:val="14"/>
                <w:szCs w:val="14"/>
                <w:lang w:eastAsia="sk-SK"/>
              </w:rPr>
            </w:pPr>
            <w:r w:rsidRPr="001918CA">
              <w:rPr>
                <w:rFonts w:ascii="Times New Roman" w:hAnsi="Times New Roman" w:cs="Times New Roman"/>
                <w:sz w:val="14"/>
                <w:szCs w:val="14"/>
                <w:lang w:eastAsia="sk-SK"/>
              </w:rPr>
              <w:t>2. programové obdobie  EÚ prostriedky</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357 326 108</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8 659 187</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r>
      <w:tr w:rsidR="007D13F3" w:rsidRPr="001918CA" w:rsidTr="00465CAC">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1918CA" w:rsidRDefault="007D13F3" w:rsidP="00465CAC">
            <w:pPr>
              <w:rPr>
                <w:rFonts w:ascii="Times New Roman" w:hAnsi="Times New Roman" w:cs="Times New Roman"/>
                <w:sz w:val="14"/>
                <w:szCs w:val="14"/>
                <w:lang w:eastAsia="sk-SK"/>
              </w:rPr>
            </w:pPr>
            <w:r w:rsidRPr="001918CA">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31 946 717</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320 440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r>
      <w:tr w:rsidR="007D13F3" w:rsidRPr="001918CA" w:rsidTr="00465CAC">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1918CA" w:rsidRDefault="007D13F3" w:rsidP="00465CAC">
            <w:pPr>
              <w:rPr>
                <w:rFonts w:ascii="Times New Roman" w:hAnsi="Times New Roman" w:cs="Times New Roman"/>
                <w:sz w:val="14"/>
                <w:szCs w:val="14"/>
                <w:lang w:eastAsia="sk-SK"/>
              </w:rPr>
            </w:pPr>
            <w:r w:rsidRPr="001918CA">
              <w:rPr>
                <w:rFonts w:ascii="Times New Roman" w:hAnsi="Times New Roman" w:cs="Times New Roman"/>
                <w:sz w:val="14"/>
                <w:szCs w:val="14"/>
                <w:lang w:eastAsia="sk-SK"/>
              </w:rPr>
              <w:t>3. programové obdobie  EÚ prostriedky</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143 772 042</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40 317 223</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236 483 850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250 468 773</w:t>
            </w:r>
          </w:p>
        </w:tc>
      </w:tr>
      <w:tr w:rsidR="007D13F3" w:rsidRPr="001918CA" w:rsidTr="00465CAC">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1918CA" w:rsidRDefault="007D13F3" w:rsidP="00465CAC">
            <w:pPr>
              <w:rPr>
                <w:rFonts w:ascii="Times New Roman" w:hAnsi="Times New Roman" w:cs="Times New Roman"/>
                <w:sz w:val="14"/>
                <w:szCs w:val="14"/>
                <w:lang w:eastAsia="sk-SK"/>
              </w:rPr>
            </w:pPr>
            <w:r w:rsidRPr="001918CA">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1 005 433</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46 930 034</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26 431 603</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65 684 872</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67 831 085</w:t>
            </w:r>
          </w:p>
        </w:tc>
      </w:tr>
      <w:tr w:rsidR="007D13F3" w:rsidRPr="001918CA" w:rsidTr="00465CAC">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1918CA" w:rsidRDefault="007D13F3" w:rsidP="00465CAC">
            <w:pPr>
              <w:rPr>
                <w:rFonts w:ascii="Times New Roman" w:hAnsi="Times New Roman" w:cs="Times New Roman"/>
                <w:b/>
                <w:bCs/>
                <w:sz w:val="14"/>
                <w:szCs w:val="14"/>
                <w:lang w:eastAsia="sk-SK"/>
              </w:rPr>
            </w:pPr>
            <w:r w:rsidRPr="001918CA">
              <w:rPr>
                <w:rFonts w:ascii="Times New Roman" w:hAnsi="Times New Roman" w:cs="Times New Roman"/>
                <w:b/>
                <w:bCs/>
                <w:sz w:val="14"/>
                <w:szCs w:val="14"/>
                <w:lang w:eastAsia="sk-SK"/>
              </w:rPr>
              <w:t>presun z minulých rokov §8</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229 768 344</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54 198 771</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70 457 227</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0</w:t>
            </w:r>
          </w:p>
        </w:tc>
      </w:tr>
      <w:tr w:rsidR="007D13F3" w:rsidRPr="001918CA" w:rsidTr="00465CAC">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1918CA" w:rsidRDefault="007D13F3" w:rsidP="00465CAC">
            <w:pPr>
              <w:rPr>
                <w:rFonts w:ascii="Times New Roman" w:hAnsi="Times New Roman" w:cs="Times New Roman"/>
                <w:sz w:val="14"/>
                <w:szCs w:val="14"/>
                <w:lang w:eastAsia="sk-SK"/>
              </w:rPr>
            </w:pPr>
            <w:r w:rsidRPr="001918CA">
              <w:rPr>
                <w:rFonts w:ascii="Times New Roman" w:hAnsi="Times New Roman" w:cs="Times New Roman"/>
                <w:sz w:val="14"/>
                <w:szCs w:val="14"/>
                <w:lang w:eastAsia="sk-SK"/>
              </w:rPr>
              <w:t>z toho: § 8 ŠR</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7 312 710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r>
      <w:tr w:rsidR="007D13F3" w:rsidRPr="001918CA" w:rsidTr="00465CAC">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1918CA" w:rsidRDefault="007D13F3" w:rsidP="00465CAC">
            <w:pPr>
              <w:rPr>
                <w:rFonts w:ascii="Times New Roman" w:hAnsi="Times New Roman" w:cs="Times New Roman"/>
                <w:sz w:val="14"/>
                <w:szCs w:val="14"/>
                <w:lang w:eastAsia="sk-SK"/>
              </w:rPr>
            </w:pPr>
            <w:r w:rsidRPr="001918CA">
              <w:rPr>
                <w:rFonts w:ascii="Times New Roman" w:hAnsi="Times New Roman" w:cs="Times New Roman"/>
                <w:sz w:val="14"/>
                <w:szCs w:val="14"/>
                <w:lang w:eastAsia="sk-SK"/>
              </w:rPr>
              <w:t xml:space="preserve">     presuny z minulých rokov z toho: EU </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182 605 805</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sz w:val="14"/>
                <w:szCs w:val="14"/>
                <w:lang w:eastAsia="sk-SK"/>
              </w:rPr>
            </w:pPr>
            <w:r w:rsidRPr="001918CA">
              <w:rPr>
                <w:rFonts w:ascii="Times New Roman" w:hAnsi="Times New Roman" w:cs="Times New Roman"/>
                <w:sz w:val="14"/>
                <w:szCs w:val="14"/>
                <w:lang w:eastAsia="sk-SK"/>
              </w:rPr>
              <w:t>39 823 954</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sz w:val="14"/>
                <w:szCs w:val="14"/>
                <w:lang w:eastAsia="sk-SK"/>
              </w:rPr>
            </w:pPr>
            <w:r w:rsidRPr="001918CA">
              <w:rPr>
                <w:rFonts w:ascii="Times New Roman" w:hAnsi="Times New Roman" w:cs="Times New Roman"/>
                <w:sz w:val="14"/>
                <w:szCs w:val="14"/>
                <w:lang w:eastAsia="sk-SK"/>
              </w:rPr>
              <w:t>53 470 475</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r>
      <w:tr w:rsidR="007D13F3" w:rsidRPr="001918CA" w:rsidTr="00465CAC">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1918CA" w:rsidRDefault="007D13F3" w:rsidP="00465CAC">
            <w:pPr>
              <w:rPr>
                <w:rFonts w:ascii="Times New Roman" w:hAnsi="Times New Roman" w:cs="Times New Roman"/>
                <w:sz w:val="14"/>
                <w:szCs w:val="14"/>
                <w:lang w:eastAsia="sk-SK"/>
              </w:rPr>
            </w:pPr>
            <w:r w:rsidRPr="001918CA">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47 162 539</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7 062 107</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16 986 752</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color w:val="000000"/>
                <w:sz w:val="14"/>
                <w:szCs w:val="14"/>
                <w:lang w:eastAsia="sk-SK"/>
              </w:rPr>
            </w:pPr>
            <w:r w:rsidRPr="001918CA">
              <w:rPr>
                <w:rFonts w:ascii="Times New Roman" w:hAnsi="Times New Roman" w:cs="Times New Roman"/>
                <w:color w:val="000000"/>
                <w:sz w:val="14"/>
                <w:szCs w:val="14"/>
                <w:lang w:eastAsia="sk-SK"/>
              </w:rPr>
              <w:t>0</w:t>
            </w:r>
          </w:p>
        </w:tc>
      </w:tr>
      <w:tr w:rsidR="007D13F3" w:rsidRPr="001918CA" w:rsidTr="00465CAC">
        <w:trPr>
          <w:trHeight w:hRule="exac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1918CA" w:rsidRDefault="007D13F3" w:rsidP="00465CAC">
            <w:pPr>
              <w:rPr>
                <w:rFonts w:ascii="Times New Roman" w:hAnsi="Times New Roman" w:cs="Times New Roman"/>
                <w:b/>
                <w:bCs/>
                <w:sz w:val="14"/>
                <w:szCs w:val="14"/>
                <w:lang w:eastAsia="sk-SK"/>
              </w:rPr>
            </w:pPr>
            <w:r w:rsidRPr="001918CA">
              <w:rPr>
                <w:rFonts w:ascii="Times New Roman" w:hAnsi="Times New Roman" w:cs="Times New Roman"/>
                <w:b/>
                <w:bCs/>
                <w:sz w:val="14"/>
                <w:szCs w:val="14"/>
                <w:lang w:eastAsia="sk-SK"/>
              </w:rPr>
              <w:t>zdroj 72e*</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3 282</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7D13F3" w:rsidRPr="001918CA" w:rsidRDefault="007D13F3" w:rsidP="00465CAC">
            <w:pPr>
              <w:jc w:val="right"/>
              <w:rPr>
                <w:rFonts w:ascii="Times New Roman" w:hAnsi="Times New Roman" w:cs="Times New Roman"/>
                <w:b/>
                <w:bCs/>
                <w:color w:val="000000"/>
                <w:sz w:val="14"/>
                <w:szCs w:val="14"/>
                <w:lang w:eastAsia="sk-SK"/>
              </w:rPr>
            </w:pPr>
            <w:r w:rsidRPr="001918CA">
              <w:rPr>
                <w:rFonts w:ascii="Times New Roman" w:hAnsi="Times New Roman" w:cs="Times New Roman"/>
                <w:b/>
                <w:bCs/>
                <w:color w:val="000000"/>
                <w:sz w:val="14"/>
                <w:szCs w:val="14"/>
                <w:lang w:eastAsia="sk-SK"/>
              </w:rPr>
              <w:t>0</w:t>
            </w:r>
          </w:p>
        </w:tc>
      </w:tr>
    </w:tbl>
    <w:p w:rsidR="007D13F3" w:rsidRDefault="007D13F3" w:rsidP="007D13F3">
      <w:pPr>
        <w:spacing w:after="200"/>
        <w:contextualSpacing/>
        <w:jc w:val="both"/>
        <w:rPr>
          <w:rFonts w:ascii="Times New Roman" w:hAnsi="Times New Roman" w:cs="Times New Roman"/>
          <w:color w:val="000000"/>
          <w:sz w:val="14"/>
          <w:szCs w:val="14"/>
          <w:lang w:eastAsia="sk-SK"/>
        </w:rPr>
      </w:pPr>
      <w:r w:rsidRPr="00A629CF">
        <w:rPr>
          <w:rFonts w:ascii="Times New Roman" w:hAnsi="Times New Roman" w:cs="Times New Roman"/>
          <w:color w:val="000000"/>
          <w:sz w:val="14"/>
          <w:szCs w:val="14"/>
          <w:lang w:eastAsia="sk-SK"/>
        </w:rPr>
        <w:t>*z poistného plnenia zo zmluvného poistenia alebo zo zákonného poistenia</w:t>
      </w:r>
    </w:p>
    <w:p w:rsidR="000E76EC" w:rsidRDefault="000E76EC" w:rsidP="007D13F3">
      <w:pPr>
        <w:spacing w:after="200"/>
        <w:contextualSpacing/>
        <w:jc w:val="both"/>
        <w:rPr>
          <w:rFonts w:ascii="Times New Roman" w:hAnsi="Times New Roman" w:cs="Times New Roman"/>
          <w:lang w:eastAsia="en-US"/>
        </w:rPr>
      </w:pPr>
    </w:p>
    <w:tbl>
      <w:tblPr>
        <w:tblW w:w="5000" w:type="pct"/>
        <w:tblCellMar>
          <w:left w:w="70" w:type="dxa"/>
          <w:right w:w="70" w:type="dxa"/>
        </w:tblCellMar>
        <w:tblLook w:val="04A0" w:firstRow="1" w:lastRow="0" w:firstColumn="1" w:lastColumn="0" w:noHBand="0" w:noVBand="1"/>
      </w:tblPr>
      <w:tblGrid>
        <w:gridCol w:w="2508"/>
        <w:gridCol w:w="937"/>
        <w:gridCol w:w="937"/>
        <w:gridCol w:w="937"/>
        <w:gridCol w:w="937"/>
        <w:gridCol w:w="937"/>
        <w:gridCol w:w="937"/>
        <w:gridCol w:w="932"/>
      </w:tblGrid>
      <w:tr w:rsidR="007D13F3" w:rsidRPr="000E76EC" w:rsidTr="00465CAC">
        <w:trPr>
          <w:trHeight w:val="255"/>
        </w:trPr>
        <w:tc>
          <w:tcPr>
            <w:tcW w:w="1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3F3" w:rsidRPr="000E76EC" w:rsidRDefault="000E76EC" w:rsidP="00465CAC">
            <w:pPr>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S</w:t>
            </w:r>
            <w:r w:rsidR="007D13F3" w:rsidRPr="000E76EC">
              <w:rPr>
                <w:rFonts w:ascii="Times New Roman" w:hAnsi="Times New Roman" w:cs="Times New Roman"/>
                <w:b/>
                <w:color w:val="000000"/>
                <w:sz w:val="14"/>
                <w:szCs w:val="14"/>
                <w:lang w:eastAsia="sk-SK"/>
              </w:rPr>
              <w:t xml:space="preserve">amostatné účty </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8 121 641</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2 364 427</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57 000</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57 000</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181 595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192 500</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185 100</w:t>
            </w:r>
          </w:p>
        </w:tc>
      </w:tr>
    </w:tbl>
    <w:p w:rsidR="007D13F3" w:rsidRDefault="007D13F3" w:rsidP="007D13F3">
      <w:pPr>
        <w:jc w:val="both"/>
        <w:rPr>
          <w:rFonts w:ascii="Times New Roman" w:hAnsi="Times New Roman" w:cs="Times New Roman"/>
        </w:rPr>
      </w:pPr>
    </w:p>
    <w:p w:rsidR="007D13F3" w:rsidRDefault="007D13F3" w:rsidP="007D13F3">
      <w:pPr>
        <w:ind w:firstLine="709"/>
        <w:jc w:val="both"/>
        <w:rPr>
          <w:rFonts w:ascii="Times New Roman" w:hAnsi="Times New Roman" w:cs="Times New Roman"/>
        </w:rPr>
      </w:pPr>
      <w:r w:rsidRPr="00933EB3">
        <w:rPr>
          <w:rFonts w:ascii="Times New Roman" w:hAnsi="Times New Roman" w:cs="Times New Roman"/>
        </w:rPr>
        <w:t>Kapitola Ministerstva školstva, vedy, výskumu a športu SR (ďalej len „MŠVVŠ SR“) na rok 201</w:t>
      </w:r>
      <w:r>
        <w:rPr>
          <w:rFonts w:ascii="Times New Roman" w:hAnsi="Times New Roman" w:cs="Times New Roman"/>
        </w:rPr>
        <w:t>8</w:t>
      </w:r>
      <w:r w:rsidRPr="00933EB3">
        <w:rPr>
          <w:rFonts w:ascii="Times New Roman" w:hAnsi="Times New Roman" w:cs="Times New Roman"/>
        </w:rPr>
        <w:t xml:space="preserve"> bude mať k dispozícii celkové výdavky v sume 1,</w:t>
      </w:r>
      <w:r>
        <w:rPr>
          <w:rFonts w:ascii="Times New Roman" w:hAnsi="Times New Roman" w:cs="Times New Roman"/>
        </w:rPr>
        <w:t>36</w:t>
      </w:r>
      <w:r w:rsidRPr="00933EB3">
        <w:rPr>
          <w:rFonts w:ascii="Times New Roman" w:hAnsi="Times New Roman" w:cs="Times New Roman"/>
        </w:rPr>
        <w:t xml:space="preserve"> mld. eur, z toho prostriedky štátneho rozpočtu v sume 1,</w:t>
      </w:r>
      <w:r>
        <w:rPr>
          <w:rFonts w:ascii="Times New Roman" w:hAnsi="Times New Roman" w:cs="Times New Roman"/>
        </w:rPr>
        <w:t>29</w:t>
      </w:r>
      <w:r w:rsidRPr="00933EB3">
        <w:rPr>
          <w:rFonts w:ascii="Times New Roman" w:hAnsi="Times New Roman" w:cs="Times New Roman"/>
        </w:rPr>
        <w:t xml:space="preserve"> mld. eur a prostriedky zo štrukturálnych fondov vrátane spolufinancovania zo štátneho rozpočtu v sume </w:t>
      </w:r>
      <w:r>
        <w:rPr>
          <w:rFonts w:ascii="Times New Roman" w:hAnsi="Times New Roman" w:cs="Times New Roman"/>
        </w:rPr>
        <w:t>66,7</w:t>
      </w:r>
      <w:r w:rsidRPr="00933EB3">
        <w:rPr>
          <w:rFonts w:ascii="Times New Roman" w:hAnsi="Times New Roman" w:cs="Times New Roman"/>
        </w:rPr>
        <w:t xml:space="preserve"> mil. eur. </w:t>
      </w:r>
    </w:p>
    <w:p w:rsidR="007D13F3" w:rsidRPr="00933EB3" w:rsidRDefault="007D13F3" w:rsidP="007D13F3">
      <w:pPr>
        <w:ind w:firstLine="709"/>
        <w:jc w:val="both"/>
        <w:rPr>
          <w:rFonts w:ascii="Times New Roman" w:hAnsi="Times New Roman" w:cs="Times New Roman"/>
        </w:rPr>
      </w:pPr>
    </w:p>
    <w:p w:rsidR="007D13F3" w:rsidRPr="00933EB3" w:rsidRDefault="007D13F3" w:rsidP="007D13F3">
      <w:pPr>
        <w:spacing w:after="200"/>
        <w:ind w:firstLine="709"/>
        <w:jc w:val="both"/>
        <w:rPr>
          <w:rFonts w:ascii="Times New Roman" w:hAnsi="Times New Roman" w:cs="Times New Roman"/>
        </w:rPr>
      </w:pPr>
      <w:r w:rsidRPr="00933EB3">
        <w:rPr>
          <w:rFonts w:ascii="Times New Roman" w:hAnsi="Times New Roman" w:cs="Times New Roman"/>
        </w:rPr>
        <w:t>Výdavky kapitoly na rok 201</w:t>
      </w:r>
      <w:r>
        <w:rPr>
          <w:rFonts w:ascii="Times New Roman" w:hAnsi="Times New Roman" w:cs="Times New Roman"/>
        </w:rPr>
        <w:t>8</w:t>
      </w:r>
      <w:r w:rsidRPr="00933EB3">
        <w:rPr>
          <w:rFonts w:ascii="Times New Roman" w:hAnsi="Times New Roman" w:cs="Times New Roman"/>
        </w:rPr>
        <w:t xml:space="preserve"> oproti schválenému rozpočtu roku 201</w:t>
      </w:r>
      <w:r>
        <w:rPr>
          <w:rFonts w:ascii="Times New Roman" w:hAnsi="Times New Roman" w:cs="Times New Roman"/>
        </w:rPr>
        <w:t>7</w:t>
      </w:r>
      <w:r w:rsidRPr="00933EB3">
        <w:rPr>
          <w:rFonts w:ascii="Times New Roman" w:hAnsi="Times New Roman" w:cs="Times New Roman"/>
        </w:rPr>
        <w:t xml:space="preserve"> </w:t>
      </w:r>
      <w:r>
        <w:rPr>
          <w:rFonts w:ascii="Times New Roman" w:hAnsi="Times New Roman" w:cs="Times New Roman"/>
        </w:rPr>
        <w:t>klesajú</w:t>
      </w:r>
      <w:r w:rsidRPr="00933EB3">
        <w:rPr>
          <w:rFonts w:ascii="Times New Roman" w:hAnsi="Times New Roman" w:cs="Times New Roman"/>
        </w:rPr>
        <w:t xml:space="preserve"> </w:t>
      </w:r>
      <w:r>
        <w:rPr>
          <w:rFonts w:ascii="Times New Roman" w:hAnsi="Times New Roman" w:cs="Times New Roman"/>
        </w:rPr>
        <w:br/>
      </w:r>
      <w:r w:rsidRPr="00933EB3">
        <w:rPr>
          <w:rFonts w:ascii="Times New Roman" w:hAnsi="Times New Roman" w:cs="Times New Roman"/>
        </w:rPr>
        <w:t>o </w:t>
      </w:r>
      <w:r>
        <w:rPr>
          <w:rFonts w:ascii="Times New Roman" w:hAnsi="Times New Roman" w:cs="Times New Roman"/>
        </w:rPr>
        <w:t>69,8</w:t>
      </w:r>
      <w:r w:rsidRPr="00933EB3">
        <w:rPr>
          <w:rFonts w:ascii="Times New Roman" w:hAnsi="Times New Roman" w:cs="Times New Roman"/>
        </w:rPr>
        <w:t xml:space="preserve"> mil. eur, t. j. o</w:t>
      </w:r>
      <w:r>
        <w:rPr>
          <w:rFonts w:ascii="Times New Roman" w:hAnsi="Times New Roman" w:cs="Times New Roman"/>
        </w:rPr>
        <w:t> 4,87</w:t>
      </w:r>
      <w:r w:rsidRPr="00933EB3">
        <w:rPr>
          <w:rFonts w:ascii="Times New Roman" w:hAnsi="Times New Roman" w:cs="Times New Roman"/>
        </w:rPr>
        <w:t xml:space="preserve"> %. Na medziročnej zmene celkových výdavkov sa podieľa </w:t>
      </w:r>
      <w:r>
        <w:rPr>
          <w:rFonts w:ascii="Times New Roman" w:hAnsi="Times New Roman" w:cs="Times New Roman"/>
        </w:rPr>
        <w:t xml:space="preserve">nárast </w:t>
      </w:r>
      <w:r w:rsidRPr="00933EB3">
        <w:rPr>
          <w:rFonts w:ascii="Times New Roman" w:hAnsi="Times New Roman" w:cs="Times New Roman"/>
        </w:rPr>
        <w:t>prostriedkov štátneho rozpočtu v sume </w:t>
      </w:r>
      <w:r>
        <w:rPr>
          <w:rFonts w:ascii="Times New Roman" w:hAnsi="Times New Roman" w:cs="Times New Roman"/>
        </w:rPr>
        <w:t>54,2</w:t>
      </w:r>
      <w:r w:rsidRPr="00933EB3">
        <w:rPr>
          <w:rFonts w:ascii="Times New Roman" w:hAnsi="Times New Roman" w:cs="Times New Roman"/>
        </w:rPr>
        <w:t xml:space="preserve"> mil. eur, t. j. o</w:t>
      </w:r>
      <w:r>
        <w:rPr>
          <w:rFonts w:ascii="Times New Roman" w:hAnsi="Times New Roman" w:cs="Times New Roman"/>
        </w:rPr>
        <w:t> 4,36</w:t>
      </w:r>
      <w:r w:rsidRPr="00933EB3">
        <w:rPr>
          <w:rFonts w:ascii="Times New Roman" w:hAnsi="Times New Roman" w:cs="Times New Roman"/>
        </w:rPr>
        <w:t xml:space="preserve"> %. Prostriedky Európskej únie zo štrukturálnych fondov vrátane prostriedkov na spolufinancovanie zo štátneho rozpočtu </w:t>
      </w:r>
      <w:r>
        <w:rPr>
          <w:rFonts w:ascii="Times New Roman" w:hAnsi="Times New Roman" w:cs="Times New Roman"/>
        </w:rPr>
        <w:t xml:space="preserve">klesajú </w:t>
      </w:r>
      <w:r w:rsidRPr="00933EB3">
        <w:rPr>
          <w:rFonts w:ascii="Times New Roman" w:hAnsi="Times New Roman" w:cs="Times New Roman"/>
        </w:rPr>
        <w:t>o </w:t>
      </w:r>
      <w:r>
        <w:rPr>
          <w:rFonts w:ascii="Times New Roman" w:hAnsi="Times New Roman" w:cs="Times New Roman"/>
        </w:rPr>
        <w:t>124</w:t>
      </w:r>
      <w:r w:rsidRPr="00933EB3">
        <w:rPr>
          <w:rFonts w:ascii="Times New Roman" w:hAnsi="Times New Roman" w:cs="Times New Roman"/>
        </w:rPr>
        <w:t xml:space="preserve"> mil. eur, t. j. o </w:t>
      </w:r>
      <w:r>
        <w:rPr>
          <w:rFonts w:ascii="Times New Roman" w:hAnsi="Times New Roman" w:cs="Times New Roman"/>
        </w:rPr>
        <w:t>65,0</w:t>
      </w:r>
      <w:r w:rsidRPr="00933EB3">
        <w:rPr>
          <w:rFonts w:ascii="Times New Roman" w:hAnsi="Times New Roman" w:cs="Times New Roman"/>
        </w:rPr>
        <w:t xml:space="preserve"> %.</w:t>
      </w:r>
    </w:p>
    <w:p w:rsidR="007D13F3" w:rsidRDefault="007D13F3" w:rsidP="007D13F3">
      <w:pPr>
        <w:spacing w:after="200"/>
        <w:ind w:firstLine="709"/>
        <w:jc w:val="both"/>
        <w:rPr>
          <w:rFonts w:ascii="Times New Roman" w:hAnsi="Times New Roman" w:cs="Times New Roman"/>
        </w:rPr>
      </w:pPr>
      <w:r w:rsidRPr="00646C44">
        <w:rPr>
          <w:rFonts w:ascii="Times New Roman" w:hAnsi="Times New Roman" w:cs="Times New Roman"/>
        </w:rPr>
        <w:t>Výdavky štátneho rozpočtu medziročne rastú z dôvodu</w:t>
      </w:r>
      <w:r>
        <w:rPr>
          <w:rFonts w:ascii="Times New Roman" w:hAnsi="Times New Roman" w:cs="Times New Roman"/>
        </w:rPr>
        <w:t xml:space="preserve"> zapracovania</w:t>
      </w:r>
      <w:r w:rsidRPr="004E5026">
        <w:rPr>
          <w:rFonts w:ascii="Times New Roman" w:hAnsi="Times New Roman" w:cs="Times New Roman"/>
        </w:rPr>
        <w:t xml:space="preserve"> </w:t>
      </w:r>
      <w:r>
        <w:rPr>
          <w:rFonts w:ascii="Times New Roman" w:hAnsi="Times New Roman" w:cs="Times New Roman"/>
        </w:rPr>
        <w:t xml:space="preserve">valorizácie platov nepedagogických zamestnancov o 4 % z roku 2017 a o 6 % valorizácie pedagogických a odborných zamestnancov regionálneho školstva a vysokoškolských učiteľov od 1. 9. 2017. Ďalej na raste sa podieľajú výdavky určené na </w:t>
      </w:r>
      <w:r w:rsidRPr="004E5026">
        <w:rPr>
          <w:rFonts w:ascii="Times New Roman" w:hAnsi="Times New Roman" w:cs="Times New Roman"/>
        </w:rPr>
        <w:t>financovani</w:t>
      </w:r>
      <w:r>
        <w:rPr>
          <w:rFonts w:ascii="Times New Roman" w:hAnsi="Times New Roman" w:cs="Times New Roman"/>
        </w:rPr>
        <w:t>e</w:t>
      </w:r>
      <w:r w:rsidRPr="004E5026">
        <w:rPr>
          <w:rFonts w:ascii="Times New Roman" w:hAnsi="Times New Roman" w:cs="Times New Roman"/>
        </w:rPr>
        <w:t xml:space="preserve"> </w:t>
      </w:r>
      <w:r>
        <w:rPr>
          <w:rFonts w:ascii="Times New Roman" w:hAnsi="Times New Roman" w:cs="Times New Roman"/>
        </w:rPr>
        <w:t xml:space="preserve">nenormatívnych výdavkov regionálneho školstva, projektov financovaných prostredníctvom Agentúry na podporu výskumu a vývoja, stimulov </w:t>
      </w:r>
      <w:proofErr w:type="spellStart"/>
      <w:r>
        <w:rPr>
          <w:rFonts w:ascii="Times New Roman" w:hAnsi="Times New Roman" w:cs="Times New Roman"/>
        </w:rPr>
        <w:t>VaV</w:t>
      </w:r>
      <w:proofErr w:type="spellEnd"/>
      <w:r>
        <w:rPr>
          <w:rFonts w:ascii="Times New Roman" w:hAnsi="Times New Roman" w:cs="Times New Roman"/>
        </w:rPr>
        <w:t xml:space="preserve">, príspevku na dopravné pre žiakov základných škôl, </w:t>
      </w:r>
      <w:r w:rsidRPr="004E5026">
        <w:rPr>
          <w:rFonts w:ascii="Times New Roman" w:hAnsi="Times New Roman" w:cs="Times New Roman"/>
        </w:rPr>
        <w:t>športu v z</w:t>
      </w:r>
      <w:r>
        <w:rPr>
          <w:rFonts w:ascii="Times New Roman" w:hAnsi="Times New Roman" w:cs="Times New Roman"/>
        </w:rPr>
        <w:t>mysle zákona č. 440/2015 Z. z. a z dôvodu zapracovania výdavkov súvisiacich so zriadením Slovenskej akreditačnej agentúry.</w:t>
      </w:r>
      <w:r w:rsidRPr="00933EB3">
        <w:rPr>
          <w:rFonts w:ascii="Times New Roman" w:hAnsi="Times New Roman" w:cs="Times New Roman"/>
        </w:rPr>
        <w:t xml:space="preserve">  </w:t>
      </w:r>
    </w:p>
    <w:p w:rsidR="007D13F3" w:rsidRPr="00933EB3" w:rsidRDefault="007D13F3" w:rsidP="007D13F3">
      <w:pPr>
        <w:spacing w:after="200"/>
        <w:ind w:firstLine="709"/>
        <w:jc w:val="both"/>
        <w:rPr>
          <w:rFonts w:ascii="Times New Roman" w:hAnsi="Times New Roman" w:cs="Times New Roman"/>
        </w:rPr>
      </w:pPr>
      <w:r w:rsidRPr="00933EB3">
        <w:rPr>
          <w:rFonts w:ascii="Times New Roman" w:hAnsi="Times New Roman" w:cs="Times New Roman"/>
        </w:rPr>
        <w:t xml:space="preserve"> Osobné výdavky sa rozpočtujú v sume 2</w:t>
      </w:r>
      <w:r>
        <w:rPr>
          <w:rFonts w:ascii="Times New Roman" w:hAnsi="Times New Roman" w:cs="Times New Roman"/>
        </w:rPr>
        <w:t>1,0</w:t>
      </w:r>
      <w:r w:rsidRPr="00933EB3">
        <w:rPr>
          <w:rFonts w:ascii="Times New Roman" w:hAnsi="Times New Roman" w:cs="Times New Roman"/>
        </w:rPr>
        <w:t xml:space="preserve"> mil. eur, čo predstavuje nárast oproti schválenému rozpočtu roku 201</w:t>
      </w:r>
      <w:r>
        <w:rPr>
          <w:rFonts w:ascii="Times New Roman" w:hAnsi="Times New Roman" w:cs="Times New Roman"/>
        </w:rPr>
        <w:t>7</w:t>
      </w:r>
      <w:r w:rsidRPr="00933EB3">
        <w:rPr>
          <w:rFonts w:ascii="Times New Roman" w:hAnsi="Times New Roman" w:cs="Times New Roman"/>
        </w:rPr>
        <w:t xml:space="preserve"> o</w:t>
      </w:r>
      <w:r>
        <w:rPr>
          <w:rFonts w:ascii="Times New Roman" w:hAnsi="Times New Roman" w:cs="Times New Roman"/>
        </w:rPr>
        <w:t> 0,83</w:t>
      </w:r>
      <w:r w:rsidRPr="00933EB3">
        <w:rPr>
          <w:rFonts w:ascii="Times New Roman" w:hAnsi="Times New Roman" w:cs="Times New Roman"/>
        </w:rPr>
        <w:t xml:space="preserve"> mil. eur, t. j. o</w:t>
      </w:r>
      <w:r>
        <w:rPr>
          <w:rFonts w:ascii="Times New Roman" w:hAnsi="Times New Roman" w:cs="Times New Roman"/>
        </w:rPr>
        <w:t> 4,10</w:t>
      </w:r>
      <w:r w:rsidRPr="00933EB3">
        <w:rPr>
          <w:rFonts w:ascii="Times New Roman" w:hAnsi="Times New Roman" w:cs="Times New Roman"/>
        </w:rPr>
        <w:t xml:space="preserve"> % hlavne z dôvodu zapracovania dopočtu </w:t>
      </w:r>
      <w:r>
        <w:rPr>
          <w:rFonts w:ascii="Times New Roman" w:hAnsi="Times New Roman" w:cs="Times New Roman"/>
        </w:rPr>
        <w:t xml:space="preserve">4% valorizácie platov nepedagogických zamestnancov z roku 2017 a 6% </w:t>
      </w:r>
      <w:r w:rsidRPr="00933EB3">
        <w:rPr>
          <w:rFonts w:ascii="Times New Roman" w:hAnsi="Times New Roman" w:cs="Times New Roman"/>
        </w:rPr>
        <w:t xml:space="preserve">valorizácie platov </w:t>
      </w:r>
      <w:r>
        <w:rPr>
          <w:rFonts w:ascii="Times New Roman" w:hAnsi="Times New Roman" w:cs="Times New Roman"/>
        </w:rPr>
        <w:t>pedagogických a odborných zamestnancov od 1. 9. 2017</w:t>
      </w:r>
      <w:r w:rsidRPr="00933EB3">
        <w:rPr>
          <w:rFonts w:ascii="Times New Roman" w:hAnsi="Times New Roman" w:cs="Times New Roman"/>
        </w:rPr>
        <w:t>.</w:t>
      </w:r>
    </w:p>
    <w:p w:rsidR="007D13F3" w:rsidRPr="00933EB3" w:rsidRDefault="007D13F3" w:rsidP="007D13F3">
      <w:pPr>
        <w:spacing w:after="200"/>
        <w:ind w:firstLine="709"/>
        <w:jc w:val="both"/>
        <w:rPr>
          <w:rFonts w:ascii="Times New Roman" w:hAnsi="Times New Roman" w:cs="Times New Roman"/>
        </w:rPr>
      </w:pPr>
      <w:r w:rsidRPr="00933EB3">
        <w:rPr>
          <w:rFonts w:ascii="Times New Roman" w:hAnsi="Times New Roman" w:cs="Times New Roman"/>
        </w:rPr>
        <w:lastRenderedPageBreak/>
        <w:t xml:space="preserve">V oblasti tovarov a služieb sa rozpočtujú výdavky štátneho rozpočtu v sume </w:t>
      </w:r>
      <w:r w:rsidRPr="00933EB3">
        <w:rPr>
          <w:rFonts w:ascii="Times New Roman" w:hAnsi="Times New Roman" w:cs="Times New Roman"/>
        </w:rPr>
        <w:br/>
      </w:r>
      <w:r>
        <w:rPr>
          <w:rFonts w:ascii="Times New Roman" w:hAnsi="Times New Roman" w:cs="Times New Roman"/>
        </w:rPr>
        <w:t xml:space="preserve">74,7 </w:t>
      </w:r>
      <w:r w:rsidRPr="00933EB3">
        <w:rPr>
          <w:rFonts w:ascii="Times New Roman" w:hAnsi="Times New Roman" w:cs="Times New Roman"/>
        </w:rPr>
        <w:t>mil. eur</w:t>
      </w:r>
      <w:r w:rsidRPr="00B50BD0">
        <w:rPr>
          <w:rFonts w:ascii="Times New Roman" w:hAnsi="Times New Roman" w:cs="Times New Roman"/>
        </w:rPr>
        <w:t xml:space="preserve">. </w:t>
      </w:r>
      <w:r>
        <w:rPr>
          <w:rFonts w:ascii="Times New Roman" w:hAnsi="Times New Roman" w:cs="Times New Roman"/>
        </w:rPr>
        <w:t>Na základe novely zákona č. 597/2003 Z. z. o financovaní základných škôl, stredných škôl a školských zariadení v znení neskorších predpisov vyplýva zvýšenie finančných prostriedkov o sumu 1,10 mil. eur na príspevok na dopravné pre žiakov základných škôl. Ďalej na raste sa podieľajú nenormatívne výdavky pre regionálne školstvo v sume </w:t>
      </w:r>
      <w:r w:rsidR="00D9250E">
        <w:rPr>
          <w:rFonts w:ascii="Times New Roman" w:hAnsi="Times New Roman" w:cs="Times New Roman"/>
        </w:rPr>
        <w:br/>
      </w:r>
      <w:r>
        <w:rPr>
          <w:rFonts w:ascii="Times New Roman" w:hAnsi="Times New Roman" w:cs="Times New Roman"/>
        </w:rPr>
        <w:t>12,0 mil. eur, z ktorých 4 mil. eur je určených na nákup a distribúciu učebníc a učebných textov a 8 mil. eur na financovanie nových asistentov učiteľa v počte 580 osôb.</w:t>
      </w:r>
    </w:p>
    <w:p w:rsidR="007D13F3" w:rsidRDefault="007D13F3" w:rsidP="007D13F3">
      <w:pPr>
        <w:spacing w:after="200"/>
        <w:ind w:firstLine="709"/>
        <w:jc w:val="both"/>
        <w:rPr>
          <w:rFonts w:ascii="Times New Roman" w:hAnsi="Times New Roman" w:cs="Times New Roman"/>
        </w:rPr>
      </w:pPr>
      <w:r w:rsidRPr="00933EB3">
        <w:rPr>
          <w:rFonts w:ascii="Times New Roman" w:hAnsi="Times New Roman" w:cs="Times New Roman"/>
        </w:rPr>
        <w:t>Bežné transfery sa navrhujú v sume 1,</w:t>
      </w:r>
      <w:r>
        <w:rPr>
          <w:rFonts w:ascii="Times New Roman" w:hAnsi="Times New Roman" w:cs="Times New Roman"/>
        </w:rPr>
        <w:t>11</w:t>
      </w:r>
      <w:r w:rsidRPr="00933EB3">
        <w:rPr>
          <w:rFonts w:ascii="Times New Roman" w:hAnsi="Times New Roman" w:cs="Times New Roman"/>
        </w:rPr>
        <w:t xml:space="preserve"> ml</w:t>
      </w:r>
      <w:r>
        <w:rPr>
          <w:rFonts w:ascii="Times New Roman" w:hAnsi="Times New Roman" w:cs="Times New Roman"/>
        </w:rPr>
        <w:t>d</w:t>
      </w:r>
      <w:r w:rsidRPr="00933EB3">
        <w:rPr>
          <w:rFonts w:ascii="Times New Roman" w:hAnsi="Times New Roman" w:cs="Times New Roman"/>
        </w:rPr>
        <w:t>. eur, čo predstavuje medziročný nárast  o</w:t>
      </w:r>
      <w:r>
        <w:rPr>
          <w:rFonts w:ascii="Times New Roman" w:hAnsi="Times New Roman" w:cs="Times New Roman"/>
        </w:rPr>
        <w:t> 70,0</w:t>
      </w:r>
      <w:r w:rsidRPr="00933EB3">
        <w:rPr>
          <w:rFonts w:ascii="Times New Roman" w:hAnsi="Times New Roman" w:cs="Times New Roman"/>
        </w:rPr>
        <w:t xml:space="preserve"> mil. eur, t. j. o</w:t>
      </w:r>
      <w:r>
        <w:rPr>
          <w:rFonts w:ascii="Times New Roman" w:hAnsi="Times New Roman" w:cs="Times New Roman"/>
        </w:rPr>
        <w:t> 6,70</w:t>
      </w:r>
      <w:r w:rsidRPr="00933EB3">
        <w:rPr>
          <w:rFonts w:ascii="Times New Roman" w:hAnsi="Times New Roman" w:cs="Times New Roman"/>
        </w:rPr>
        <w:t xml:space="preserve"> %.  Tento nárast  je ovplyvnený zapracovaním dopočtu valorizácie platov z roku 201</w:t>
      </w:r>
      <w:r>
        <w:rPr>
          <w:rFonts w:ascii="Times New Roman" w:hAnsi="Times New Roman" w:cs="Times New Roman"/>
        </w:rPr>
        <w:t>7</w:t>
      </w:r>
      <w:r w:rsidRPr="00933EB3">
        <w:rPr>
          <w:rFonts w:ascii="Times New Roman" w:hAnsi="Times New Roman" w:cs="Times New Roman"/>
        </w:rPr>
        <w:t xml:space="preserve"> pre</w:t>
      </w:r>
      <w:r>
        <w:rPr>
          <w:rFonts w:ascii="Times New Roman" w:hAnsi="Times New Roman" w:cs="Times New Roman"/>
        </w:rPr>
        <w:t xml:space="preserve"> nepedagogických </w:t>
      </w:r>
      <w:r w:rsidRPr="00933EB3">
        <w:rPr>
          <w:rFonts w:ascii="Times New Roman" w:hAnsi="Times New Roman" w:cs="Times New Roman"/>
        </w:rPr>
        <w:t xml:space="preserve">zamestnancov regionálneho školstva v pôsobnosti VÚC a verejných vysokých škôl (vrátane štipendií doktorandov vysokých škôl) </w:t>
      </w:r>
      <w:r>
        <w:rPr>
          <w:rFonts w:ascii="Times New Roman" w:hAnsi="Times New Roman" w:cs="Times New Roman"/>
        </w:rPr>
        <w:t>o</w:t>
      </w:r>
      <w:r w:rsidRPr="00933EB3">
        <w:rPr>
          <w:rFonts w:ascii="Times New Roman" w:hAnsi="Times New Roman" w:cs="Times New Roman"/>
        </w:rPr>
        <w:t> </w:t>
      </w:r>
      <w:r>
        <w:rPr>
          <w:rFonts w:ascii="Times New Roman" w:hAnsi="Times New Roman" w:cs="Times New Roman"/>
        </w:rPr>
        <w:t>4</w:t>
      </w:r>
      <w:r w:rsidRPr="00933EB3">
        <w:rPr>
          <w:rFonts w:ascii="Times New Roman" w:hAnsi="Times New Roman" w:cs="Times New Roman"/>
        </w:rPr>
        <w:t>%</w:t>
      </w:r>
      <w:r>
        <w:rPr>
          <w:rFonts w:ascii="Times New Roman" w:hAnsi="Times New Roman" w:cs="Times New Roman"/>
        </w:rPr>
        <w:t xml:space="preserve"> a o 6% valorizácie platov pre pedagogických a odborných zamestnancov a vysokoškolských učiteľov od 1. 9. 2017</w:t>
      </w:r>
      <w:r w:rsidRPr="00933EB3">
        <w:rPr>
          <w:rFonts w:ascii="Times New Roman" w:hAnsi="Times New Roman" w:cs="Times New Roman"/>
        </w:rPr>
        <w:t xml:space="preserve">. Ďalej v náraste výdavkov v rámci bežných transferov sú </w:t>
      </w:r>
      <w:r>
        <w:rPr>
          <w:rFonts w:ascii="Times New Roman" w:hAnsi="Times New Roman" w:cs="Times New Roman"/>
        </w:rPr>
        <w:t xml:space="preserve">zapracované </w:t>
      </w:r>
      <w:r w:rsidRPr="00933EB3">
        <w:rPr>
          <w:rFonts w:ascii="Times New Roman" w:hAnsi="Times New Roman" w:cs="Times New Roman"/>
        </w:rPr>
        <w:t xml:space="preserve">výdavky </w:t>
      </w:r>
      <w:r>
        <w:rPr>
          <w:rFonts w:ascii="Times New Roman" w:hAnsi="Times New Roman" w:cs="Times New Roman"/>
        </w:rPr>
        <w:t xml:space="preserve">na projekty vedy a výskumu financované prostredníctvom Agentúry na podporu výskumu a vývoja </w:t>
      </w:r>
      <w:r w:rsidRPr="00933EB3">
        <w:rPr>
          <w:rFonts w:ascii="Times New Roman" w:hAnsi="Times New Roman" w:cs="Times New Roman"/>
        </w:rPr>
        <w:t xml:space="preserve">v sume </w:t>
      </w:r>
      <w:r>
        <w:rPr>
          <w:rFonts w:ascii="Times New Roman" w:hAnsi="Times New Roman" w:cs="Times New Roman"/>
        </w:rPr>
        <w:t>12,0 mil. eur a na financovanie športu v sume 10,55</w:t>
      </w:r>
      <w:r w:rsidRPr="00933EB3">
        <w:rPr>
          <w:rFonts w:ascii="Times New Roman" w:hAnsi="Times New Roman" w:cs="Times New Roman"/>
        </w:rPr>
        <w:t xml:space="preserve"> mil. eur na úroveň </w:t>
      </w:r>
      <w:r>
        <w:rPr>
          <w:rFonts w:ascii="Times New Roman" w:hAnsi="Times New Roman" w:cs="Times New Roman"/>
        </w:rPr>
        <w:t>75</w:t>
      </w:r>
      <w:r w:rsidRPr="00933EB3">
        <w:rPr>
          <w:rFonts w:ascii="Times New Roman" w:hAnsi="Times New Roman" w:cs="Times New Roman"/>
        </w:rPr>
        <w:t xml:space="preserve"> % predpokladaného odvodu z prevádzkovania lotériových hier podľa zákona č. 440/2015 Z. z.</w:t>
      </w:r>
      <w:r>
        <w:rPr>
          <w:rFonts w:ascii="Times New Roman" w:hAnsi="Times New Roman" w:cs="Times New Roman"/>
        </w:rPr>
        <w:t xml:space="preserve"> </w:t>
      </w:r>
    </w:p>
    <w:p w:rsidR="007D13F3" w:rsidRPr="00933EB3" w:rsidRDefault="007D13F3" w:rsidP="007D13F3">
      <w:pPr>
        <w:spacing w:after="200"/>
        <w:ind w:firstLine="709"/>
        <w:jc w:val="both"/>
        <w:rPr>
          <w:rFonts w:ascii="Times New Roman" w:hAnsi="Times New Roman" w:cs="Times New Roman"/>
        </w:rPr>
      </w:pPr>
      <w:r w:rsidRPr="00933EB3">
        <w:rPr>
          <w:rFonts w:ascii="Times New Roman" w:hAnsi="Times New Roman" w:cs="Times New Roman"/>
        </w:rPr>
        <w:t xml:space="preserve">Kapitálové výdavky </w:t>
      </w:r>
      <w:r>
        <w:rPr>
          <w:rFonts w:ascii="Times New Roman" w:hAnsi="Times New Roman" w:cs="Times New Roman"/>
        </w:rPr>
        <w:t xml:space="preserve">štátneho rozpočtu </w:t>
      </w:r>
      <w:r w:rsidRPr="00933EB3">
        <w:rPr>
          <w:rFonts w:ascii="Times New Roman" w:hAnsi="Times New Roman" w:cs="Times New Roman"/>
        </w:rPr>
        <w:t>sa rozpočtujú na rok 201</w:t>
      </w:r>
      <w:r>
        <w:rPr>
          <w:rFonts w:ascii="Times New Roman" w:hAnsi="Times New Roman" w:cs="Times New Roman"/>
        </w:rPr>
        <w:t>8</w:t>
      </w:r>
      <w:r w:rsidRPr="00933EB3">
        <w:rPr>
          <w:rFonts w:ascii="Times New Roman" w:hAnsi="Times New Roman" w:cs="Times New Roman"/>
        </w:rPr>
        <w:t xml:space="preserve"> v sume </w:t>
      </w:r>
      <w:r>
        <w:rPr>
          <w:rFonts w:ascii="Times New Roman" w:hAnsi="Times New Roman" w:cs="Times New Roman"/>
        </w:rPr>
        <w:t>86,2</w:t>
      </w:r>
      <w:r w:rsidRPr="00933EB3">
        <w:rPr>
          <w:rFonts w:ascii="Times New Roman" w:hAnsi="Times New Roman" w:cs="Times New Roman"/>
        </w:rPr>
        <w:t xml:space="preserve"> mil. eur, čo predstavuje medziročný nárast o</w:t>
      </w:r>
      <w:r>
        <w:rPr>
          <w:rFonts w:ascii="Times New Roman" w:hAnsi="Times New Roman" w:cs="Times New Roman"/>
        </w:rPr>
        <w:t> 20,0</w:t>
      </w:r>
      <w:r w:rsidRPr="00933EB3">
        <w:rPr>
          <w:rFonts w:ascii="Times New Roman" w:hAnsi="Times New Roman" w:cs="Times New Roman"/>
        </w:rPr>
        <w:t xml:space="preserve"> mil. eur</w:t>
      </w:r>
      <w:r w:rsidRPr="00AE1E77">
        <w:rPr>
          <w:rFonts w:ascii="Times New Roman" w:hAnsi="Times New Roman" w:cs="Times New Roman"/>
        </w:rPr>
        <w:t>, k</w:t>
      </w:r>
      <w:r w:rsidRPr="00933EB3">
        <w:rPr>
          <w:rFonts w:ascii="Times New Roman" w:hAnsi="Times New Roman" w:cs="Times New Roman"/>
        </w:rPr>
        <w:t>torý je ovplyvnený hlavne zvýšením rozpočtu výdavkov</w:t>
      </w:r>
      <w:r>
        <w:rPr>
          <w:rFonts w:ascii="Times New Roman" w:hAnsi="Times New Roman" w:cs="Times New Roman"/>
        </w:rPr>
        <w:t xml:space="preserve"> na projekt Národného futbalového štadióna v sume 52,5 mil. eur</w:t>
      </w:r>
      <w:r w:rsidRPr="00933EB3">
        <w:rPr>
          <w:rFonts w:ascii="Times New Roman" w:hAnsi="Times New Roman" w:cs="Times New Roman"/>
        </w:rPr>
        <w:t xml:space="preserve">. </w:t>
      </w:r>
    </w:p>
    <w:p w:rsidR="007D13F3" w:rsidRDefault="007D13F3" w:rsidP="007D13F3">
      <w:pPr>
        <w:ind w:firstLine="708"/>
        <w:jc w:val="both"/>
        <w:rPr>
          <w:rFonts w:ascii="Times New Roman" w:hAnsi="Times New Roman" w:cs="Times New Roman"/>
        </w:rPr>
      </w:pPr>
      <w:r w:rsidRPr="00933EB3">
        <w:rPr>
          <w:rFonts w:ascii="Times New Roman" w:hAnsi="Times New Roman" w:cs="Times New Roman"/>
        </w:rPr>
        <w:t>Z celkového objemu kapitálových výdavkov je 7,95 mil. eur rozpočtovaných ako kapitálový transfer pre verejné vysoké školy,</w:t>
      </w:r>
      <w:r w:rsidRPr="00933EB3">
        <w:rPr>
          <w:rFonts w:ascii="Times New Roman" w:hAnsi="Times New Roman" w:cs="Times New Roman"/>
          <w:b/>
        </w:rPr>
        <w:t xml:space="preserve"> </w:t>
      </w:r>
      <w:r w:rsidRPr="00933EB3">
        <w:rPr>
          <w:rFonts w:ascii="Times New Roman" w:hAnsi="Times New Roman" w:cs="Times New Roman"/>
        </w:rPr>
        <w:t>čo je v súlade s rozpisom verejných vysokých škôl.</w:t>
      </w:r>
    </w:p>
    <w:p w:rsidR="007D13F3" w:rsidRDefault="007D13F3" w:rsidP="007D13F3">
      <w:pPr>
        <w:ind w:firstLine="708"/>
        <w:jc w:val="both"/>
        <w:rPr>
          <w:rFonts w:ascii="Times New Roman" w:hAnsi="Times New Roman" w:cs="Times New Roman"/>
        </w:rPr>
      </w:pPr>
    </w:p>
    <w:p w:rsidR="007D13F3" w:rsidRDefault="007D13F3" w:rsidP="007D13F3">
      <w:pPr>
        <w:ind w:firstLine="709"/>
        <w:jc w:val="both"/>
        <w:rPr>
          <w:rFonts w:ascii="Times New Roman" w:hAnsi="Times New Roman" w:cs="Times New Roman"/>
          <w:bCs/>
        </w:rPr>
      </w:pPr>
      <w:r w:rsidRPr="00F60E32">
        <w:rPr>
          <w:rFonts w:ascii="Times New Roman" w:hAnsi="Times New Roman" w:cs="Times New Roman"/>
          <w:noProof/>
          <w:lang w:eastAsia="sk-SK"/>
        </w:rPr>
        <w:t>M</w:t>
      </w:r>
      <w:r>
        <w:rPr>
          <w:rFonts w:ascii="Times New Roman" w:hAnsi="Times New Roman" w:cs="Times New Roman"/>
          <w:noProof/>
          <w:lang w:eastAsia="sk-SK"/>
        </w:rPr>
        <w:t>ŠVVŠ</w:t>
      </w:r>
      <w:r w:rsidRPr="00F60E32">
        <w:rPr>
          <w:rFonts w:ascii="Times New Roman" w:hAnsi="Times New Roman" w:cs="Times New Roman"/>
          <w:noProof/>
          <w:lang w:eastAsia="sk-SK"/>
        </w:rPr>
        <w:t xml:space="preserve"> SR na rok 2018 rozpočtuje výdavky na samostaných účtoch v celkovej sume</w:t>
      </w:r>
      <w:r w:rsidRPr="00F60E32">
        <w:rPr>
          <w:rFonts w:ascii="Times New Roman" w:hAnsi="Times New Roman" w:cs="Times New Roman"/>
          <w:noProof/>
          <w:lang w:eastAsia="sk-SK"/>
        </w:rPr>
        <w:br/>
      </w:r>
      <w:r>
        <w:rPr>
          <w:rFonts w:ascii="Times New Roman" w:hAnsi="Times New Roman" w:cs="Times New Roman"/>
          <w:bCs/>
        </w:rPr>
        <w:t>0,18</w:t>
      </w:r>
      <w:r w:rsidRPr="00F60E32">
        <w:rPr>
          <w:rFonts w:ascii="Times New Roman" w:hAnsi="Times New Roman" w:cs="Times New Roman"/>
          <w:bCs/>
        </w:rPr>
        <w:t xml:space="preserve"> mil. eur. Uvedené prostriedky sú určené na financovanie </w:t>
      </w:r>
      <w:r>
        <w:rPr>
          <w:rFonts w:ascii="Times New Roman" w:hAnsi="Times New Roman" w:cs="Times New Roman"/>
          <w:bCs/>
        </w:rPr>
        <w:t xml:space="preserve">projektov Vzdorujeme extrémizmu, Projekt </w:t>
      </w:r>
      <w:proofErr w:type="spellStart"/>
      <w:r>
        <w:rPr>
          <w:rFonts w:ascii="Times New Roman" w:hAnsi="Times New Roman" w:cs="Times New Roman"/>
          <w:bCs/>
        </w:rPr>
        <w:t>Teach</w:t>
      </w:r>
      <w:proofErr w:type="spellEnd"/>
      <w:r>
        <w:rPr>
          <w:rFonts w:ascii="Times New Roman" w:hAnsi="Times New Roman" w:cs="Times New Roman"/>
          <w:bCs/>
        </w:rPr>
        <w:t xml:space="preserve"> UP, Program ERASMUS+, prepájanie databázy NSK s európskymi portálmi, </w:t>
      </w:r>
      <w:proofErr w:type="spellStart"/>
      <w:r>
        <w:rPr>
          <w:rFonts w:ascii="Times New Roman" w:hAnsi="Times New Roman" w:cs="Times New Roman"/>
          <w:bCs/>
        </w:rPr>
        <w:t>Tools</w:t>
      </w:r>
      <w:proofErr w:type="spellEnd"/>
      <w:r>
        <w:rPr>
          <w:rFonts w:ascii="Times New Roman" w:hAnsi="Times New Roman" w:cs="Times New Roman"/>
          <w:bCs/>
        </w:rPr>
        <w:t xml:space="preserve"> of </w:t>
      </w:r>
      <w:proofErr w:type="spellStart"/>
      <w:r>
        <w:rPr>
          <w:rFonts w:ascii="Times New Roman" w:hAnsi="Times New Roman" w:cs="Times New Roman"/>
          <w:bCs/>
        </w:rPr>
        <w:t>Sustainable</w:t>
      </w:r>
      <w:proofErr w:type="spellEnd"/>
      <w:r>
        <w:rPr>
          <w:rFonts w:ascii="Times New Roman" w:hAnsi="Times New Roman" w:cs="Times New Roman"/>
          <w:bCs/>
        </w:rPr>
        <w:t xml:space="preserve"> </w:t>
      </w:r>
      <w:proofErr w:type="spellStart"/>
      <w:r>
        <w:rPr>
          <w:rFonts w:ascii="Times New Roman" w:hAnsi="Times New Roman" w:cs="Times New Roman"/>
          <w:bCs/>
        </w:rPr>
        <w:t>Quality</w:t>
      </w:r>
      <w:proofErr w:type="spellEnd"/>
      <w:r>
        <w:rPr>
          <w:rFonts w:ascii="Times New Roman" w:hAnsi="Times New Roman" w:cs="Times New Roman"/>
          <w:bCs/>
        </w:rPr>
        <w:t xml:space="preserve"> </w:t>
      </w:r>
      <w:proofErr w:type="spellStart"/>
      <w:r>
        <w:rPr>
          <w:rFonts w:ascii="Times New Roman" w:hAnsi="Times New Roman" w:cs="Times New Roman"/>
          <w:bCs/>
        </w:rPr>
        <w:t>Assurance</w:t>
      </w:r>
      <w:proofErr w:type="spellEnd"/>
      <w:r>
        <w:rPr>
          <w:rFonts w:ascii="Times New Roman" w:hAnsi="Times New Roman" w:cs="Times New Roman"/>
          <w:bCs/>
        </w:rPr>
        <w:t xml:space="preserve"> in Slovakia, grant pre Národné kontaktné miesto pre Európsky kvalifikačný rámec, Mobility of </w:t>
      </w:r>
      <w:proofErr w:type="spellStart"/>
      <w:r>
        <w:rPr>
          <w:rFonts w:ascii="Times New Roman" w:hAnsi="Times New Roman" w:cs="Times New Roman"/>
          <w:bCs/>
        </w:rPr>
        <w:t>Quality</w:t>
      </w:r>
      <w:proofErr w:type="spellEnd"/>
      <w:r>
        <w:rPr>
          <w:rFonts w:ascii="Times New Roman" w:hAnsi="Times New Roman" w:cs="Times New Roman"/>
          <w:bCs/>
        </w:rPr>
        <w:t>.</w:t>
      </w:r>
    </w:p>
    <w:p w:rsidR="007D13F3" w:rsidRPr="00933EB3" w:rsidRDefault="007D13F3" w:rsidP="007D13F3">
      <w:pPr>
        <w:jc w:val="both"/>
        <w:rPr>
          <w:rFonts w:cs="Times New Roman"/>
          <w:color w:val="000000"/>
        </w:rPr>
      </w:pPr>
    </w:p>
    <w:p w:rsidR="007D13F3" w:rsidRDefault="007D13F3" w:rsidP="007D13F3">
      <w:pPr>
        <w:spacing w:after="200"/>
        <w:ind w:firstLine="709"/>
        <w:jc w:val="both"/>
        <w:rPr>
          <w:rFonts w:ascii="Times New Roman" w:hAnsi="Times New Roman" w:cs="Times New Roman"/>
        </w:rPr>
      </w:pPr>
      <w:r w:rsidRPr="00933EB3">
        <w:rPr>
          <w:rFonts w:ascii="Times New Roman" w:hAnsi="Times New Roman" w:cs="Times New Roman"/>
        </w:rPr>
        <w:t xml:space="preserve">Nasledujúca tabuľka zobrazuje výdavky MŠVVŠ SR z rozpočtových prostriedkov kapitoly na jednotlivé oblasti. </w:t>
      </w:r>
    </w:p>
    <w:tbl>
      <w:tblPr>
        <w:tblW w:w="5000" w:type="pct"/>
        <w:tblCellMar>
          <w:left w:w="70" w:type="dxa"/>
          <w:right w:w="70" w:type="dxa"/>
        </w:tblCellMar>
        <w:tblLook w:val="04A0" w:firstRow="1" w:lastRow="0" w:firstColumn="1" w:lastColumn="0" w:noHBand="0" w:noVBand="1"/>
      </w:tblPr>
      <w:tblGrid>
        <w:gridCol w:w="2447"/>
        <w:gridCol w:w="945"/>
        <w:gridCol w:w="945"/>
        <w:gridCol w:w="945"/>
        <w:gridCol w:w="945"/>
        <w:gridCol w:w="945"/>
        <w:gridCol w:w="945"/>
        <w:gridCol w:w="945"/>
      </w:tblGrid>
      <w:tr w:rsidR="007D13F3" w:rsidRPr="00597ECB" w:rsidTr="00465CAC">
        <w:trPr>
          <w:trHeight w:hRule="exact" w:val="255"/>
        </w:trPr>
        <w:tc>
          <w:tcPr>
            <w:tcW w:w="1350"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597ECB" w:rsidRDefault="007D13F3" w:rsidP="00465CAC">
            <w:pPr>
              <w:rPr>
                <w:rFonts w:ascii="Times New Roman" w:hAnsi="Times New Roman" w:cs="Times New Roman"/>
                <w:b/>
                <w:bCs/>
                <w:color w:val="000000"/>
                <w:sz w:val="14"/>
                <w:szCs w:val="14"/>
                <w:lang w:eastAsia="sk-SK"/>
              </w:rPr>
            </w:pPr>
            <w:r w:rsidRPr="00597ECB">
              <w:rPr>
                <w:rFonts w:ascii="Times New Roman" w:hAnsi="Times New Roman" w:cs="Times New Roman"/>
                <w:b/>
                <w:bCs/>
                <w:color w:val="000000"/>
                <w:sz w:val="14"/>
                <w:szCs w:val="14"/>
                <w:lang w:eastAsia="sk-SK"/>
              </w:rPr>
              <w:t>v eurách</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97ECB" w:rsidRDefault="007D13F3" w:rsidP="00465CAC">
            <w:pPr>
              <w:jc w:val="center"/>
              <w:rPr>
                <w:rFonts w:ascii="Times New Roman" w:hAnsi="Times New Roman" w:cs="Times New Roman"/>
                <w:b/>
                <w:bCs/>
                <w:color w:val="000000"/>
                <w:sz w:val="14"/>
                <w:szCs w:val="14"/>
                <w:lang w:eastAsia="sk-SK"/>
              </w:rPr>
            </w:pPr>
            <w:r w:rsidRPr="00597ECB">
              <w:rPr>
                <w:rFonts w:ascii="Times New Roman" w:hAnsi="Times New Roman" w:cs="Times New Roman"/>
                <w:b/>
                <w:bCs/>
                <w:color w:val="000000"/>
                <w:sz w:val="14"/>
                <w:szCs w:val="14"/>
                <w:lang w:eastAsia="sk-SK"/>
              </w:rPr>
              <w:t>2015 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97ECB" w:rsidRDefault="007D13F3" w:rsidP="00465CAC">
            <w:pPr>
              <w:jc w:val="center"/>
              <w:rPr>
                <w:rFonts w:ascii="Times New Roman" w:hAnsi="Times New Roman" w:cs="Times New Roman"/>
                <w:b/>
                <w:bCs/>
                <w:color w:val="000000"/>
                <w:sz w:val="14"/>
                <w:szCs w:val="14"/>
                <w:lang w:eastAsia="sk-SK"/>
              </w:rPr>
            </w:pPr>
            <w:r w:rsidRPr="00597ECB">
              <w:rPr>
                <w:rFonts w:ascii="Times New Roman" w:hAnsi="Times New Roman" w:cs="Times New Roman"/>
                <w:b/>
                <w:bCs/>
                <w:color w:val="000000"/>
                <w:sz w:val="14"/>
                <w:szCs w:val="14"/>
                <w:lang w:eastAsia="sk-SK"/>
              </w:rPr>
              <w:t>2016 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97ECB" w:rsidRDefault="007D13F3" w:rsidP="00465CAC">
            <w:pPr>
              <w:jc w:val="center"/>
              <w:rPr>
                <w:rFonts w:ascii="Times New Roman" w:hAnsi="Times New Roman" w:cs="Times New Roman"/>
                <w:b/>
                <w:bCs/>
                <w:color w:val="000000"/>
                <w:sz w:val="14"/>
                <w:szCs w:val="14"/>
                <w:lang w:eastAsia="sk-SK"/>
              </w:rPr>
            </w:pPr>
            <w:r w:rsidRPr="00597ECB">
              <w:rPr>
                <w:rFonts w:ascii="Times New Roman" w:hAnsi="Times New Roman" w:cs="Times New Roman"/>
                <w:b/>
                <w:bCs/>
                <w:color w:val="000000"/>
                <w:sz w:val="14"/>
                <w:szCs w:val="14"/>
                <w:lang w:eastAsia="sk-SK"/>
              </w:rPr>
              <w:t>2017 R</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97ECB" w:rsidRDefault="007D13F3" w:rsidP="00465CAC">
            <w:pPr>
              <w:jc w:val="center"/>
              <w:rPr>
                <w:rFonts w:ascii="Times New Roman" w:hAnsi="Times New Roman" w:cs="Times New Roman"/>
                <w:b/>
                <w:bCs/>
                <w:color w:val="000000"/>
                <w:sz w:val="14"/>
                <w:szCs w:val="14"/>
                <w:lang w:eastAsia="sk-SK"/>
              </w:rPr>
            </w:pPr>
            <w:r w:rsidRPr="00597ECB">
              <w:rPr>
                <w:rFonts w:ascii="Times New Roman" w:hAnsi="Times New Roman" w:cs="Times New Roman"/>
                <w:b/>
                <w:bCs/>
                <w:color w:val="000000"/>
                <w:sz w:val="14"/>
                <w:szCs w:val="14"/>
                <w:lang w:eastAsia="sk-SK"/>
              </w:rPr>
              <w:t>2017 OS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97ECB" w:rsidRDefault="007D13F3" w:rsidP="00465CAC">
            <w:pPr>
              <w:jc w:val="center"/>
              <w:rPr>
                <w:rFonts w:ascii="Times New Roman" w:hAnsi="Times New Roman" w:cs="Times New Roman"/>
                <w:b/>
                <w:bCs/>
                <w:color w:val="000000"/>
                <w:sz w:val="14"/>
                <w:szCs w:val="14"/>
                <w:lang w:eastAsia="sk-SK"/>
              </w:rPr>
            </w:pPr>
            <w:r w:rsidRPr="00597ECB">
              <w:rPr>
                <w:rFonts w:ascii="Times New Roman" w:hAnsi="Times New Roman" w:cs="Times New Roman"/>
                <w:b/>
                <w:bCs/>
                <w:color w:val="000000"/>
                <w:sz w:val="14"/>
                <w:szCs w:val="14"/>
                <w:lang w:eastAsia="sk-SK"/>
              </w:rPr>
              <w:t>2018 N</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97ECB" w:rsidRDefault="007D13F3" w:rsidP="00465CAC">
            <w:pPr>
              <w:jc w:val="center"/>
              <w:rPr>
                <w:rFonts w:ascii="Times New Roman" w:hAnsi="Times New Roman" w:cs="Times New Roman"/>
                <w:b/>
                <w:bCs/>
                <w:color w:val="000000"/>
                <w:sz w:val="14"/>
                <w:szCs w:val="14"/>
                <w:lang w:eastAsia="sk-SK"/>
              </w:rPr>
            </w:pPr>
            <w:r w:rsidRPr="00597ECB">
              <w:rPr>
                <w:rFonts w:ascii="Times New Roman" w:hAnsi="Times New Roman" w:cs="Times New Roman"/>
                <w:b/>
                <w:bCs/>
                <w:color w:val="000000"/>
                <w:sz w:val="14"/>
                <w:szCs w:val="14"/>
                <w:lang w:eastAsia="sk-SK"/>
              </w:rPr>
              <w:t>2019 N</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97ECB" w:rsidRDefault="007D13F3" w:rsidP="00465CAC">
            <w:pPr>
              <w:jc w:val="center"/>
              <w:rPr>
                <w:rFonts w:ascii="Times New Roman" w:hAnsi="Times New Roman" w:cs="Times New Roman"/>
                <w:b/>
                <w:bCs/>
                <w:color w:val="000000"/>
                <w:sz w:val="14"/>
                <w:szCs w:val="14"/>
                <w:lang w:eastAsia="sk-SK"/>
              </w:rPr>
            </w:pPr>
            <w:r w:rsidRPr="00597ECB">
              <w:rPr>
                <w:rFonts w:ascii="Times New Roman" w:hAnsi="Times New Roman" w:cs="Times New Roman"/>
                <w:b/>
                <w:bCs/>
                <w:color w:val="000000"/>
                <w:sz w:val="14"/>
                <w:szCs w:val="14"/>
                <w:lang w:eastAsia="sk-SK"/>
              </w:rPr>
              <w:t>2020 N</w:t>
            </w:r>
          </w:p>
        </w:tc>
      </w:tr>
      <w:tr w:rsidR="007D13F3" w:rsidRPr="00597ECB" w:rsidTr="00465CAC">
        <w:trPr>
          <w:trHeight w:hRule="exact" w:val="255"/>
        </w:trPr>
        <w:tc>
          <w:tcPr>
            <w:tcW w:w="1350" w:type="pct"/>
            <w:tcBorders>
              <w:top w:val="single" w:sz="4" w:space="0" w:color="auto"/>
              <w:left w:val="single" w:sz="4" w:space="0" w:color="auto"/>
              <w:bottom w:val="single" w:sz="4" w:space="0" w:color="auto"/>
              <w:right w:val="single" w:sz="4" w:space="0" w:color="auto"/>
            </w:tcBorders>
            <w:shd w:val="pct25" w:color="000000" w:fill="auto"/>
            <w:vAlign w:val="bottom"/>
            <w:hideMark/>
          </w:tcPr>
          <w:p w:rsidR="007D13F3" w:rsidRPr="00597ECB" w:rsidRDefault="007D13F3" w:rsidP="00465CAC">
            <w:pPr>
              <w:rPr>
                <w:rFonts w:ascii="Times New Roman" w:hAnsi="Times New Roman" w:cs="Times New Roman"/>
                <w:b/>
                <w:bCs/>
                <w:color w:val="000000"/>
                <w:sz w:val="14"/>
                <w:szCs w:val="14"/>
                <w:lang w:eastAsia="sk-SK"/>
              </w:rPr>
            </w:pPr>
            <w:r w:rsidRPr="00597ECB">
              <w:rPr>
                <w:rFonts w:ascii="Times New Roman" w:hAnsi="Times New Roman" w:cs="Times New Roman"/>
                <w:b/>
                <w:bCs/>
                <w:color w:val="000000"/>
                <w:sz w:val="14"/>
                <w:szCs w:val="14"/>
                <w:lang w:eastAsia="sk-SK"/>
              </w:rPr>
              <w:t>Zdroje príslušnej kapitoly z toho:</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597ECB" w:rsidRDefault="007D13F3" w:rsidP="00465CAC">
            <w:pPr>
              <w:jc w:val="right"/>
              <w:rPr>
                <w:rFonts w:ascii="Times New Roman" w:hAnsi="Times New Roman" w:cs="Times New Roman"/>
                <w:b/>
                <w:bCs/>
                <w:sz w:val="14"/>
                <w:szCs w:val="14"/>
                <w:lang w:eastAsia="sk-SK"/>
              </w:rPr>
            </w:pPr>
            <w:r w:rsidRPr="00597ECB">
              <w:rPr>
                <w:rFonts w:ascii="Times New Roman" w:hAnsi="Times New Roman" w:cs="Times New Roman"/>
                <w:b/>
                <w:bCs/>
                <w:sz w:val="14"/>
                <w:szCs w:val="14"/>
                <w:lang w:eastAsia="sk-SK"/>
              </w:rPr>
              <w:t>1 654 254 158</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597ECB" w:rsidRDefault="007D13F3" w:rsidP="00465CAC">
            <w:pPr>
              <w:jc w:val="right"/>
              <w:rPr>
                <w:rFonts w:ascii="Times New Roman" w:hAnsi="Times New Roman" w:cs="Times New Roman"/>
                <w:b/>
                <w:bCs/>
                <w:sz w:val="14"/>
                <w:szCs w:val="14"/>
                <w:lang w:eastAsia="sk-SK"/>
              </w:rPr>
            </w:pPr>
            <w:r w:rsidRPr="00597ECB">
              <w:rPr>
                <w:rFonts w:ascii="Times New Roman" w:hAnsi="Times New Roman" w:cs="Times New Roman"/>
                <w:b/>
                <w:bCs/>
                <w:sz w:val="14"/>
                <w:szCs w:val="14"/>
                <w:lang w:eastAsia="sk-SK"/>
              </w:rPr>
              <w:t>1 148 920 363</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597ECB" w:rsidRDefault="007D13F3" w:rsidP="00465CAC">
            <w:pPr>
              <w:jc w:val="right"/>
              <w:rPr>
                <w:rFonts w:ascii="Times New Roman" w:hAnsi="Times New Roman" w:cs="Times New Roman"/>
                <w:b/>
                <w:bCs/>
                <w:sz w:val="14"/>
                <w:szCs w:val="14"/>
                <w:lang w:eastAsia="sk-SK"/>
              </w:rPr>
            </w:pPr>
            <w:r w:rsidRPr="00597ECB">
              <w:rPr>
                <w:rFonts w:ascii="Times New Roman" w:hAnsi="Times New Roman" w:cs="Times New Roman"/>
                <w:b/>
                <w:bCs/>
                <w:sz w:val="14"/>
                <w:szCs w:val="14"/>
                <w:lang w:eastAsia="sk-SK"/>
              </w:rPr>
              <w:t>1 433 710 444</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597ECB" w:rsidRDefault="007D13F3" w:rsidP="00465CAC">
            <w:pPr>
              <w:jc w:val="right"/>
              <w:rPr>
                <w:rFonts w:ascii="Times New Roman" w:hAnsi="Times New Roman" w:cs="Times New Roman"/>
                <w:b/>
                <w:bCs/>
                <w:sz w:val="14"/>
                <w:szCs w:val="14"/>
                <w:lang w:eastAsia="sk-SK"/>
              </w:rPr>
            </w:pPr>
            <w:r w:rsidRPr="00597ECB">
              <w:rPr>
                <w:rFonts w:ascii="Times New Roman" w:hAnsi="Times New Roman" w:cs="Times New Roman"/>
                <w:b/>
                <w:bCs/>
                <w:sz w:val="14"/>
                <w:szCs w:val="14"/>
                <w:lang w:eastAsia="sk-SK"/>
              </w:rPr>
              <w:t>1 2</w:t>
            </w:r>
            <w:r>
              <w:rPr>
                <w:rFonts w:ascii="Times New Roman" w:hAnsi="Times New Roman" w:cs="Times New Roman"/>
                <w:b/>
                <w:bCs/>
                <w:sz w:val="14"/>
                <w:szCs w:val="14"/>
                <w:lang w:eastAsia="sk-SK"/>
              </w:rPr>
              <w:t>47 304 612</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386318" w:rsidRDefault="007D13F3" w:rsidP="00465CAC">
            <w:pPr>
              <w:jc w:val="right"/>
              <w:rPr>
                <w:rFonts w:ascii="Times New Roman" w:hAnsi="Times New Roman" w:cs="Times New Roman"/>
                <w:b/>
                <w:bCs/>
                <w:sz w:val="14"/>
                <w:szCs w:val="14"/>
                <w:lang w:eastAsia="sk-SK"/>
              </w:rPr>
            </w:pPr>
            <w:r w:rsidRPr="00386318">
              <w:rPr>
                <w:rFonts w:ascii="Times New Roman" w:hAnsi="Times New Roman" w:cs="Times New Roman"/>
                <w:b/>
                <w:bCs/>
                <w:sz w:val="14"/>
                <w:szCs w:val="14"/>
              </w:rPr>
              <w:t>1 363 929 249</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597ECB" w:rsidRDefault="007D13F3" w:rsidP="00465CAC">
            <w:pPr>
              <w:jc w:val="right"/>
              <w:rPr>
                <w:rFonts w:ascii="Times New Roman" w:hAnsi="Times New Roman" w:cs="Times New Roman"/>
                <w:b/>
                <w:bCs/>
                <w:sz w:val="14"/>
                <w:szCs w:val="14"/>
                <w:lang w:eastAsia="sk-SK"/>
              </w:rPr>
            </w:pPr>
            <w:r w:rsidRPr="00597ECB">
              <w:rPr>
                <w:rFonts w:ascii="Times New Roman" w:hAnsi="Times New Roman" w:cs="Times New Roman"/>
                <w:b/>
                <w:bCs/>
                <w:sz w:val="14"/>
                <w:szCs w:val="14"/>
                <w:lang w:eastAsia="sk-SK"/>
              </w:rPr>
              <w:t>1 511 013 379</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597ECB" w:rsidRDefault="007D13F3" w:rsidP="00465CAC">
            <w:pPr>
              <w:jc w:val="right"/>
              <w:rPr>
                <w:rFonts w:ascii="Times New Roman" w:hAnsi="Times New Roman" w:cs="Times New Roman"/>
                <w:b/>
                <w:bCs/>
                <w:sz w:val="14"/>
                <w:szCs w:val="14"/>
                <w:lang w:eastAsia="sk-SK"/>
              </w:rPr>
            </w:pPr>
            <w:r w:rsidRPr="00597ECB">
              <w:rPr>
                <w:rFonts w:ascii="Times New Roman" w:hAnsi="Times New Roman" w:cs="Times New Roman"/>
                <w:b/>
                <w:bCs/>
                <w:sz w:val="14"/>
                <w:szCs w:val="14"/>
                <w:lang w:eastAsia="sk-SK"/>
              </w:rPr>
              <w:t>1 525 827 354</w:t>
            </w:r>
          </w:p>
        </w:tc>
      </w:tr>
      <w:tr w:rsidR="007D13F3" w:rsidRPr="00597ECB" w:rsidTr="00465CAC">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7D13F3" w:rsidRPr="00597ECB" w:rsidRDefault="007D13F3" w:rsidP="00465CAC">
            <w:pPr>
              <w:rPr>
                <w:rFonts w:ascii="Times New Roman" w:hAnsi="Times New Roman" w:cs="Times New Roman"/>
                <w:sz w:val="14"/>
                <w:szCs w:val="14"/>
                <w:lang w:eastAsia="sk-SK"/>
              </w:rPr>
            </w:pPr>
            <w:r w:rsidRPr="00597ECB">
              <w:rPr>
                <w:rFonts w:ascii="Times New Roman" w:hAnsi="Times New Roman" w:cs="Times New Roman"/>
                <w:sz w:val="14"/>
                <w:szCs w:val="14"/>
                <w:lang w:eastAsia="sk-SK"/>
              </w:rPr>
              <w:t xml:space="preserve">Výdavky na regionálne školstvo </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457 896 872</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458 675 625</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582 700 241</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512 357 146</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86318" w:rsidRDefault="007D13F3" w:rsidP="00465CAC">
            <w:pPr>
              <w:jc w:val="right"/>
              <w:rPr>
                <w:rFonts w:ascii="Times New Roman" w:hAnsi="Times New Roman" w:cs="Times New Roman"/>
                <w:sz w:val="14"/>
                <w:szCs w:val="14"/>
              </w:rPr>
            </w:pPr>
            <w:r w:rsidRPr="00386318">
              <w:rPr>
                <w:rFonts w:ascii="Times New Roman" w:hAnsi="Times New Roman" w:cs="Times New Roman"/>
                <w:sz w:val="14"/>
                <w:szCs w:val="14"/>
              </w:rPr>
              <w:t>559 613 385</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547 613 385</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547 613 385</w:t>
            </w:r>
          </w:p>
        </w:tc>
      </w:tr>
      <w:tr w:rsidR="007D13F3" w:rsidRPr="00597ECB" w:rsidTr="00465CAC">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7D13F3" w:rsidRPr="00597ECB" w:rsidRDefault="007D13F3" w:rsidP="00465CAC">
            <w:pPr>
              <w:rPr>
                <w:rFonts w:ascii="Times New Roman" w:hAnsi="Times New Roman" w:cs="Times New Roman"/>
                <w:sz w:val="14"/>
                <w:szCs w:val="14"/>
                <w:lang w:eastAsia="sk-SK"/>
              </w:rPr>
            </w:pPr>
            <w:r w:rsidRPr="00597ECB">
              <w:rPr>
                <w:rFonts w:ascii="Times New Roman" w:hAnsi="Times New Roman" w:cs="Times New Roman"/>
                <w:sz w:val="14"/>
                <w:szCs w:val="14"/>
                <w:lang w:eastAsia="sk-SK"/>
              </w:rPr>
              <w:t>Výdavky na vysoké školy</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455 382 186</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498 770 140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489 348 020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494 067 868</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86318" w:rsidRDefault="007D13F3" w:rsidP="00465CAC">
            <w:pPr>
              <w:jc w:val="right"/>
              <w:rPr>
                <w:rFonts w:ascii="Times New Roman" w:hAnsi="Times New Roman" w:cs="Times New Roman"/>
                <w:sz w:val="14"/>
                <w:szCs w:val="14"/>
              </w:rPr>
            </w:pPr>
            <w:r w:rsidRPr="00386318">
              <w:rPr>
                <w:rFonts w:ascii="Times New Roman" w:hAnsi="Times New Roman" w:cs="Times New Roman"/>
                <w:sz w:val="14"/>
                <w:szCs w:val="14"/>
              </w:rPr>
              <w:t>509 795 976</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509 768 210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509 751 049</w:t>
            </w:r>
          </w:p>
        </w:tc>
      </w:tr>
      <w:tr w:rsidR="007D13F3" w:rsidRPr="00597ECB" w:rsidTr="00465CAC">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7D13F3" w:rsidRPr="00597ECB" w:rsidRDefault="007D13F3" w:rsidP="00465CAC">
            <w:pPr>
              <w:rPr>
                <w:rFonts w:ascii="Times New Roman" w:hAnsi="Times New Roman" w:cs="Times New Roman"/>
                <w:sz w:val="14"/>
                <w:szCs w:val="14"/>
                <w:lang w:eastAsia="sk-SK"/>
              </w:rPr>
            </w:pPr>
            <w:r w:rsidRPr="00597ECB">
              <w:rPr>
                <w:rFonts w:ascii="Times New Roman" w:hAnsi="Times New Roman" w:cs="Times New Roman"/>
                <w:sz w:val="14"/>
                <w:szCs w:val="14"/>
                <w:lang w:eastAsia="sk-SK"/>
              </w:rPr>
              <w:t>Výdavky na vedu a techniku*</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423 372 833</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92 540 168</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103 583 460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71 008 860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86318" w:rsidRDefault="007D13F3" w:rsidP="00465CAC">
            <w:pPr>
              <w:jc w:val="right"/>
              <w:rPr>
                <w:rFonts w:ascii="Times New Roman" w:hAnsi="Times New Roman" w:cs="Times New Roman"/>
                <w:sz w:val="14"/>
                <w:szCs w:val="14"/>
              </w:rPr>
            </w:pPr>
            <w:r w:rsidRPr="00386318">
              <w:rPr>
                <w:rFonts w:ascii="Times New Roman" w:hAnsi="Times New Roman" w:cs="Times New Roman"/>
                <w:sz w:val="14"/>
                <w:szCs w:val="14"/>
              </w:rPr>
              <w:t>108 190 224</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255 153 526</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281 734 956</w:t>
            </w:r>
          </w:p>
        </w:tc>
      </w:tr>
      <w:tr w:rsidR="007D13F3" w:rsidRPr="00597ECB" w:rsidTr="00465CAC">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7D13F3" w:rsidRPr="00597ECB" w:rsidRDefault="007D13F3" w:rsidP="00465CAC">
            <w:pPr>
              <w:rPr>
                <w:rFonts w:ascii="Times New Roman" w:hAnsi="Times New Roman" w:cs="Times New Roman"/>
                <w:sz w:val="14"/>
                <w:szCs w:val="14"/>
                <w:lang w:eastAsia="sk-SK"/>
              </w:rPr>
            </w:pPr>
            <w:r w:rsidRPr="00597ECB">
              <w:rPr>
                <w:rFonts w:ascii="Times New Roman" w:hAnsi="Times New Roman" w:cs="Times New Roman"/>
                <w:sz w:val="14"/>
                <w:szCs w:val="14"/>
                <w:lang w:eastAsia="sk-SK"/>
              </w:rPr>
              <w:t xml:space="preserve">Výdavky na šport </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38 903 446</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48 406 319</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94 613 961</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94 576 669</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86318" w:rsidRDefault="007D13F3" w:rsidP="00465CAC">
            <w:pPr>
              <w:jc w:val="right"/>
              <w:rPr>
                <w:rFonts w:ascii="Times New Roman" w:hAnsi="Times New Roman" w:cs="Times New Roman"/>
                <w:sz w:val="14"/>
                <w:szCs w:val="14"/>
              </w:rPr>
            </w:pPr>
            <w:r w:rsidRPr="00386318">
              <w:rPr>
                <w:rFonts w:ascii="Times New Roman" w:hAnsi="Times New Roman" w:cs="Times New Roman"/>
                <w:sz w:val="14"/>
                <w:szCs w:val="14"/>
              </w:rPr>
              <w:t>125 082 210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71 842 210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72 142 210</w:t>
            </w:r>
          </w:p>
        </w:tc>
      </w:tr>
      <w:tr w:rsidR="007D13F3" w:rsidRPr="00597ECB" w:rsidTr="00465CAC">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7D13F3" w:rsidRPr="00597ECB" w:rsidRDefault="007D13F3" w:rsidP="00465CAC">
            <w:pPr>
              <w:rPr>
                <w:rFonts w:ascii="Times New Roman" w:hAnsi="Times New Roman" w:cs="Times New Roman"/>
                <w:sz w:val="14"/>
                <w:szCs w:val="14"/>
                <w:lang w:eastAsia="sk-SK"/>
              </w:rPr>
            </w:pPr>
            <w:r w:rsidRPr="00597ECB">
              <w:rPr>
                <w:rFonts w:ascii="Times New Roman" w:hAnsi="Times New Roman" w:cs="Times New Roman"/>
                <w:sz w:val="14"/>
                <w:szCs w:val="14"/>
                <w:lang w:eastAsia="sk-SK"/>
              </w:rPr>
              <w:t>Výdavky na administratívu</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32 051 700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29 079 506</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27 268 216</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28 462 565</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86318" w:rsidRDefault="007D13F3" w:rsidP="00465CAC">
            <w:pPr>
              <w:jc w:val="right"/>
              <w:rPr>
                <w:rFonts w:ascii="Times New Roman" w:hAnsi="Times New Roman" w:cs="Times New Roman"/>
                <w:sz w:val="14"/>
                <w:szCs w:val="14"/>
              </w:rPr>
            </w:pPr>
            <w:r w:rsidRPr="00386318">
              <w:rPr>
                <w:rFonts w:ascii="Times New Roman" w:hAnsi="Times New Roman" w:cs="Times New Roman"/>
                <w:sz w:val="14"/>
                <w:szCs w:val="14"/>
              </w:rPr>
              <w:t>28 078 081</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28 078 081</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28 078 081</w:t>
            </w:r>
          </w:p>
        </w:tc>
      </w:tr>
      <w:tr w:rsidR="007D13F3" w:rsidRPr="00597ECB" w:rsidTr="00465CAC">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7D13F3" w:rsidRPr="00597ECB" w:rsidRDefault="007D13F3" w:rsidP="00465CAC">
            <w:pPr>
              <w:rPr>
                <w:rFonts w:ascii="Times New Roman" w:hAnsi="Times New Roman" w:cs="Times New Roman"/>
                <w:sz w:val="14"/>
                <w:szCs w:val="14"/>
                <w:lang w:eastAsia="sk-SK"/>
              </w:rPr>
            </w:pPr>
            <w:r w:rsidRPr="00597ECB">
              <w:rPr>
                <w:rFonts w:ascii="Times New Roman" w:hAnsi="Times New Roman" w:cs="Times New Roman"/>
                <w:sz w:val="14"/>
                <w:szCs w:val="14"/>
                <w:lang w:eastAsia="sk-SK"/>
              </w:rPr>
              <w:t>Výdavky EÚ a spolufinancovania**</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246 647 121</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21 448 605</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136 196 546</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46 831 504</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86318" w:rsidRDefault="007D13F3" w:rsidP="00465CAC">
            <w:pPr>
              <w:jc w:val="right"/>
              <w:rPr>
                <w:rFonts w:ascii="Times New Roman" w:hAnsi="Times New Roman" w:cs="Times New Roman"/>
                <w:sz w:val="14"/>
                <w:szCs w:val="14"/>
              </w:rPr>
            </w:pPr>
            <w:r w:rsidRPr="00386318">
              <w:rPr>
                <w:rFonts w:ascii="Times New Roman" w:hAnsi="Times New Roman" w:cs="Times New Roman"/>
                <w:sz w:val="14"/>
                <w:szCs w:val="14"/>
              </w:rPr>
              <w:t>33 169 373</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98 557 967</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597ECB" w:rsidRDefault="007D13F3" w:rsidP="00465CAC">
            <w:pPr>
              <w:jc w:val="right"/>
              <w:rPr>
                <w:rFonts w:ascii="Times New Roman" w:hAnsi="Times New Roman" w:cs="Times New Roman"/>
                <w:sz w:val="14"/>
                <w:szCs w:val="14"/>
                <w:lang w:eastAsia="sk-SK"/>
              </w:rPr>
            </w:pPr>
            <w:r w:rsidRPr="00597ECB">
              <w:rPr>
                <w:rFonts w:ascii="Times New Roman" w:hAnsi="Times New Roman" w:cs="Times New Roman"/>
                <w:sz w:val="14"/>
                <w:szCs w:val="14"/>
                <w:lang w:eastAsia="sk-SK"/>
              </w:rPr>
              <w:t>86 507 673</w:t>
            </w:r>
          </w:p>
        </w:tc>
      </w:tr>
    </w:tbl>
    <w:p w:rsidR="007D13F3" w:rsidRDefault="007D13F3" w:rsidP="007D13F3">
      <w:pPr>
        <w:jc w:val="both"/>
        <w:rPr>
          <w:rFonts w:ascii="Times New Roman" w:hAnsi="Times New Roman" w:cs="Times New Roman"/>
          <w:sz w:val="14"/>
          <w:szCs w:val="14"/>
        </w:rPr>
      </w:pPr>
      <w:r w:rsidRPr="001062CE">
        <w:rPr>
          <w:rFonts w:ascii="Times New Roman" w:hAnsi="Times New Roman" w:cs="Times New Roman"/>
          <w:sz w:val="14"/>
          <w:szCs w:val="14"/>
        </w:rPr>
        <w:t>*   bez vysokoškolskej vedy, výskumu v ostatných  štátnych organizáciách, rezor</w:t>
      </w:r>
      <w:r>
        <w:rPr>
          <w:rFonts w:ascii="Times New Roman" w:hAnsi="Times New Roman" w:cs="Times New Roman"/>
          <w:sz w:val="14"/>
          <w:szCs w:val="14"/>
        </w:rPr>
        <w:t>tnej vedy ďalších kapitol a SAV</w:t>
      </w:r>
    </w:p>
    <w:p w:rsidR="007D13F3" w:rsidRDefault="007D13F3" w:rsidP="007D13F3">
      <w:pPr>
        <w:jc w:val="both"/>
        <w:rPr>
          <w:rFonts w:ascii="Times New Roman" w:hAnsi="Times New Roman" w:cs="Times New Roman"/>
          <w:sz w:val="14"/>
          <w:szCs w:val="14"/>
        </w:rPr>
      </w:pPr>
      <w:r w:rsidRPr="001062CE">
        <w:rPr>
          <w:rFonts w:ascii="Times New Roman" w:hAnsi="Times New Roman" w:cs="Times New Roman"/>
          <w:sz w:val="14"/>
          <w:szCs w:val="14"/>
        </w:rPr>
        <w:t xml:space="preserve">** bez výdavkov EÚ a spolufinancovania uvedených v oblasti veda a technika  </w:t>
      </w:r>
    </w:p>
    <w:p w:rsidR="007D13F3" w:rsidRPr="00931A99" w:rsidRDefault="007D13F3" w:rsidP="007D13F3">
      <w:pPr>
        <w:jc w:val="both"/>
        <w:rPr>
          <w:rFonts w:ascii="Times New Roman" w:hAnsi="Times New Roman" w:cs="Times New Roman"/>
          <w:sz w:val="14"/>
          <w:szCs w:val="14"/>
        </w:rPr>
      </w:pPr>
    </w:p>
    <w:p w:rsidR="007D13F3" w:rsidRDefault="007D13F3" w:rsidP="007D13F3">
      <w:pPr>
        <w:spacing w:after="200" w:line="276" w:lineRule="auto"/>
        <w:jc w:val="both"/>
        <w:rPr>
          <w:rFonts w:ascii="Times New Roman" w:hAnsi="Times New Roman" w:cs="Times New Roman"/>
          <w:b/>
        </w:rPr>
      </w:pPr>
      <w:r w:rsidRPr="00933EB3">
        <w:rPr>
          <w:rFonts w:ascii="Times New Roman" w:hAnsi="Times New Roman" w:cs="Times New Roman"/>
          <w:b/>
        </w:rPr>
        <w:t>Regionálne školstvo</w:t>
      </w:r>
    </w:p>
    <w:p w:rsidR="007D13F3" w:rsidRPr="008B7637" w:rsidRDefault="007D13F3" w:rsidP="007D13F3">
      <w:pPr>
        <w:ind w:right="-23" w:firstLine="708"/>
        <w:jc w:val="both"/>
        <w:rPr>
          <w:rFonts w:ascii="Times New Roman" w:hAnsi="Times New Roman" w:cs="Times New Roman"/>
        </w:rPr>
      </w:pPr>
      <w:r w:rsidRPr="008B7637">
        <w:rPr>
          <w:rFonts w:ascii="Times New Roman" w:hAnsi="Times New Roman" w:cs="Times New Roman"/>
        </w:rPr>
        <w:t xml:space="preserve">Medzinárodné testovanie 15-ročných žiakov PISA z roku 2015 ukazuje podpriemerné a zhoršujúce sa výsledky slovenských žiakov. Priemerné výsledky (463 bodov) sú výrazne pod priemerom OECD (492 bodov) a cieľom (505 bodov). Od roku 2009 sa výrazne zhoršili vo všetkých meraných oblastiach. Podiel žiakov v najslabšej skupine vzrástol na viac ako 31 %, čo je o 10 percentuálnych bodov viac ako v krajinách V3 a OECD. Naopak najlepších žiakov </w:t>
      </w:r>
      <w:r w:rsidRPr="008B7637">
        <w:rPr>
          <w:rFonts w:ascii="Times New Roman" w:hAnsi="Times New Roman" w:cs="Times New Roman"/>
        </w:rPr>
        <w:lastRenderedPageBreak/>
        <w:t>je iba 4 %, v krajinách V3 je to 6 % a v OECD 8 %.</w:t>
      </w:r>
      <w:r w:rsidRPr="008B7637">
        <w:rPr>
          <w:rFonts w:ascii="Times New Roman" w:eastAsia="Calibri" w:hAnsi="Times New Roman" w:cs="Times New Roman"/>
          <w:b/>
        </w:rPr>
        <w:t xml:space="preserve"> </w:t>
      </w:r>
      <w:r w:rsidRPr="008B7637">
        <w:rPr>
          <w:rFonts w:ascii="Times New Roman" w:hAnsi="Times New Roman" w:cs="Times New Roman"/>
        </w:rPr>
        <w:t>Na výsledky žiakov viac než v priemere OECD vplýva socioekonomická situácia žiakov.</w:t>
      </w:r>
    </w:p>
    <w:p w:rsidR="00CC0BFD" w:rsidRDefault="00CC0BFD" w:rsidP="007D13F3">
      <w:pPr>
        <w:ind w:right="-23" w:firstLine="708"/>
        <w:jc w:val="both"/>
        <w:rPr>
          <w:rFonts w:ascii="Times New Roman" w:hAnsi="Times New Roman" w:cs="Times New Roman"/>
        </w:rPr>
      </w:pPr>
    </w:p>
    <w:p w:rsidR="007D13F3" w:rsidRDefault="007D13F3" w:rsidP="007D13F3">
      <w:pPr>
        <w:ind w:right="-23" w:firstLine="708"/>
        <w:jc w:val="both"/>
        <w:rPr>
          <w:rFonts w:ascii="Times New Roman" w:hAnsi="Times New Roman" w:cs="Times New Roman"/>
        </w:rPr>
      </w:pPr>
      <w:r w:rsidRPr="008B7637">
        <w:rPr>
          <w:rFonts w:ascii="Times New Roman" w:hAnsi="Times New Roman" w:cs="Times New Roman"/>
        </w:rPr>
        <w:t>Slovensko má medzinárodne vysoký podiel stredoškolsky vzdelanej populácie. Absolventi stredných škôl, ktorí nepokračujú v štúdiu, majú vyššiu nezamestnanosť ako priemer krajín EÚ, zamestnaní absolventi majú jednu z najnižších mier nesúladu medzi vzdelaním a uplatnením na trhu práce. Podiel žiakov s predčasne ukončenou školskou dochádzkou je v medzinárodnom porovnaní nízky (6,9 % v roku 2015), avšak v ostatných rokoch rastie a je geograficky koncentrovaný.</w:t>
      </w:r>
    </w:p>
    <w:p w:rsidR="007D13F3" w:rsidRPr="008B7637" w:rsidRDefault="007D13F3" w:rsidP="007D13F3">
      <w:pPr>
        <w:ind w:right="-23" w:firstLine="708"/>
        <w:jc w:val="both"/>
        <w:rPr>
          <w:rFonts w:ascii="Times New Roman" w:hAnsi="Times New Roman" w:cs="Times New Roman"/>
        </w:rPr>
      </w:pPr>
    </w:p>
    <w:p w:rsidR="007D13F3" w:rsidRDefault="007D13F3" w:rsidP="007D13F3">
      <w:pPr>
        <w:ind w:right="-23" w:firstLine="708"/>
        <w:jc w:val="both"/>
        <w:rPr>
          <w:rFonts w:ascii="Times New Roman" w:hAnsi="Times New Roman" w:cs="Times New Roman"/>
        </w:rPr>
      </w:pPr>
      <w:r w:rsidRPr="008B7637">
        <w:rPr>
          <w:rFonts w:ascii="Times New Roman" w:hAnsi="Times New Roman" w:cs="Times New Roman"/>
        </w:rPr>
        <w:t xml:space="preserve">Výdavky na žiaka, merané metodikou OECD, ktorá zahŕňa všetky výdavky súvisiace so vzdelávaním na danom stupni (teda aj ubytovanie, stravu či dopravu študentov, pokiaľ tieto služby zabezpečuje škola), sú nižšie ako v OECD a približne porovnateľné s krajinami V3 na všetkých stupňoch vzdelávania. </w:t>
      </w:r>
    </w:p>
    <w:p w:rsidR="007D13F3" w:rsidRPr="008B7637" w:rsidRDefault="007D13F3" w:rsidP="007D13F3">
      <w:pPr>
        <w:ind w:right="-23" w:firstLine="708"/>
        <w:jc w:val="both"/>
        <w:rPr>
          <w:rFonts w:ascii="Times New Roman" w:hAnsi="Times New Roman" w:cs="Times New Roman"/>
        </w:rPr>
      </w:pPr>
    </w:p>
    <w:p w:rsidR="007D13F3" w:rsidRDefault="007D13F3" w:rsidP="007D13F3">
      <w:pPr>
        <w:ind w:right="-23" w:firstLine="708"/>
        <w:jc w:val="both"/>
        <w:rPr>
          <w:rFonts w:ascii="Times New Roman" w:hAnsi="Times New Roman" w:cs="Times New Roman"/>
        </w:rPr>
      </w:pPr>
      <w:r w:rsidRPr="008B7637">
        <w:rPr>
          <w:rFonts w:ascii="Times New Roman" w:hAnsi="Times New Roman" w:cs="Times New Roman"/>
        </w:rPr>
        <w:t xml:space="preserve">Najväčším výdavkom v regionálnom školstve sú mzdy pedagogických a odborných pracovníkov. Platy slovenských učiteľov sa v ostatných rokoch zvyšujú, stále však v medzinárodnom porovnaní zaostávajú. Pedagogickí zamestnanci pôsobiaci na úrovni nižšieho sekundárneho vzdelávania zarábali na Slovensku v roku 2015 aj so všetkými príplatkami 62 % priemerného platu zamestnancov s vysokoškolským vzdelaním druhého stupňa. </w:t>
      </w:r>
    </w:p>
    <w:p w:rsidR="007D13F3" w:rsidRPr="008B7637" w:rsidRDefault="007D13F3" w:rsidP="007D13F3">
      <w:pPr>
        <w:ind w:right="-23" w:firstLine="708"/>
        <w:jc w:val="both"/>
        <w:rPr>
          <w:rFonts w:ascii="Times New Roman" w:hAnsi="Times New Roman" w:cs="Times New Roman"/>
        </w:rPr>
      </w:pPr>
    </w:p>
    <w:p w:rsidR="007D13F3" w:rsidRDefault="007D13F3" w:rsidP="007D13F3">
      <w:pPr>
        <w:ind w:right="-20" w:firstLine="708"/>
        <w:jc w:val="both"/>
        <w:rPr>
          <w:rFonts w:ascii="Times New Roman" w:hAnsi="Times New Roman" w:cs="Times New Roman"/>
        </w:rPr>
      </w:pPr>
      <w:r w:rsidRPr="008B7637">
        <w:rPr>
          <w:rFonts w:ascii="Times New Roman" w:hAnsi="Times New Roman" w:cs="Times New Roman"/>
        </w:rPr>
        <w:t>Platy pedagógov na začiatku kariéry zaostávajú za platmi VŠ vzdelaných na Slovensku relatívne viac. Pedagógovia pôsobiaci na úrovni nižšieho sekundárneho vzdelávania vo veku 25 – 34 rokov zaostávajú v relatívnych platoch v porovnaní s rovesníkmi v 21 krajinách OECD až o 34 p. b, učitelia vo veku 45 – 54 rokov o 16 p. b. Platy pedagógov na začiatku kariéry by sa mali zvyšovať výraznejšie, aby bolo učiteľské povolanie atraktívne pre mladých talentovaných ľudí aj počas celej kariéry.</w:t>
      </w:r>
    </w:p>
    <w:p w:rsidR="007D13F3" w:rsidRPr="008B7637" w:rsidRDefault="007D13F3" w:rsidP="007D13F3">
      <w:pPr>
        <w:ind w:right="-20" w:firstLine="708"/>
        <w:jc w:val="both"/>
        <w:rPr>
          <w:rFonts w:ascii="Times New Roman" w:hAnsi="Times New Roman" w:cs="Times New Roman"/>
        </w:rPr>
      </w:pPr>
    </w:p>
    <w:tbl>
      <w:tblPr>
        <w:tblStyle w:val="Mriekatabuky"/>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1"/>
        <w:gridCol w:w="4531"/>
      </w:tblGrid>
      <w:tr w:rsidR="007D13F3" w:rsidRPr="008B7637" w:rsidTr="00465CAC">
        <w:tc>
          <w:tcPr>
            <w:tcW w:w="4633" w:type="dxa"/>
          </w:tcPr>
          <w:p w:rsidR="007D13F3" w:rsidRPr="008B7637" w:rsidRDefault="007D13F3" w:rsidP="00465CAC">
            <w:pPr>
              <w:ind w:right="-20"/>
              <w:rPr>
                <w:rFonts w:ascii="Times New Roman" w:hAnsi="Times New Roman" w:cs="Times New Roman"/>
                <w:color w:val="000000" w:themeColor="text1"/>
                <w:sz w:val="18"/>
              </w:rPr>
            </w:pPr>
            <w:bookmarkStart w:id="87" w:name="_Toc487200872"/>
            <w:r w:rsidRPr="008B7637">
              <w:rPr>
                <w:rFonts w:ascii="Times New Roman" w:hAnsi="Times New Roman" w:cs="Times New Roman"/>
                <w:b/>
                <w:bCs/>
                <w:color w:val="000000" w:themeColor="text1"/>
                <w:sz w:val="18"/>
                <w:szCs w:val="18"/>
              </w:rPr>
              <w:t>Graf:</w:t>
            </w:r>
            <w:r w:rsidRPr="008B7637">
              <w:rPr>
                <w:rFonts w:ascii="Times New Roman" w:hAnsi="Times New Roman" w:cs="Times New Roman"/>
                <w:color w:val="000000" w:themeColor="text1"/>
                <w:sz w:val="18"/>
              </w:rPr>
              <w:t xml:space="preserve"> </w:t>
            </w:r>
            <w:r w:rsidRPr="008B7637">
              <w:rPr>
                <w:rFonts w:ascii="Times New Roman" w:hAnsi="Times New Roman" w:cs="Times New Roman"/>
                <w:b/>
                <w:bCs/>
                <w:color w:val="000000" w:themeColor="text1"/>
                <w:sz w:val="18"/>
                <w:szCs w:val="18"/>
              </w:rPr>
              <w:t>Podiel priemerných platov pedagogických zamestnancov nižšieho sekundárneho vzdelávania na platoch zamestnancov s VŠ vzdelaním (%, 2015)</w:t>
            </w:r>
            <w:bookmarkEnd w:id="87"/>
          </w:p>
        </w:tc>
        <w:tc>
          <w:tcPr>
            <w:tcW w:w="4655" w:type="dxa"/>
          </w:tcPr>
          <w:p w:rsidR="007D13F3" w:rsidRPr="008B7637" w:rsidRDefault="007D13F3" w:rsidP="00465CAC">
            <w:pPr>
              <w:ind w:right="-20"/>
              <w:rPr>
                <w:rFonts w:ascii="Times New Roman" w:hAnsi="Times New Roman" w:cs="Times New Roman"/>
                <w:color w:val="000000" w:themeColor="text1"/>
                <w:sz w:val="18"/>
              </w:rPr>
            </w:pPr>
            <w:bookmarkStart w:id="88" w:name="_Toc487200873"/>
            <w:r w:rsidRPr="008B7637">
              <w:rPr>
                <w:rFonts w:ascii="Times New Roman" w:hAnsi="Times New Roman" w:cs="Times New Roman"/>
                <w:b/>
                <w:bCs/>
                <w:color w:val="000000" w:themeColor="text1"/>
                <w:sz w:val="18"/>
                <w:szCs w:val="18"/>
              </w:rPr>
              <w:t>Graf:</w:t>
            </w:r>
            <w:r w:rsidRPr="008B7637">
              <w:rPr>
                <w:rFonts w:ascii="Times New Roman" w:hAnsi="Times New Roman" w:cs="Times New Roman"/>
                <w:color w:val="000000" w:themeColor="text1"/>
                <w:sz w:val="18"/>
              </w:rPr>
              <w:t xml:space="preserve"> </w:t>
            </w:r>
            <w:r w:rsidRPr="008B7637">
              <w:rPr>
                <w:rFonts w:ascii="Times New Roman" w:hAnsi="Times New Roman" w:cs="Times New Roman"/>
                <w:b/>
                <w:bCs/>
                <w:color w:val="000000" w:themeColor="text1"/>
                <w:sz w:val="18"/>
                <w:szCs w:val="18"/>
              </w:rPr>
              <w:t xml:space="preserve">Pomer platov pedagogických zamestnancov a zamestnancov s vysokoškolským vzdelaním podľa veku </w:t>
            </w:r>
            <w:r w:rsidRPr="008B7637">
              <w:rPr>
                <w:rFonts w:ascii="Times New Roman" w:hAnsi="Times New Roman" w:cs="Times New Roman"/>
                <w:b/>
                <w:bCs/>
                <w:color w:val="000000" w:themeColor="text1"/>
                <w:sz w:val="18"/>
                <w:szCs w:val="18"/>
              </w:rPr>
              <w:br/>
              <w:t>(%, 2014)</w:t>
            </w:r>
            <w:bookmarkEnd w:id="88"/>
          </w:p>
        </w:tc>
      </w:tr>
      <w:tr w:rsidR="007D13F3" w:rsidRPr="008B7637" w:rsidTr="00465CAC">
        <w:tblPrEx>
          <w:tblCellMar>
            <w:left w:w="70" w:type="dxa"/>
            <w:right w:w="70" w:type="dxa"/>
          </w:tblCellMar>
        </w:tblPrEx>
        <w:trPr>
          <w:trHeight w:val="2976"/>
        </w:trPr>
        <w:tc>
          <w:tcPr>
            <w:tcW w:w="4633" w:type="dxa"/>
          </w:tcPr>
          <w:p w:rsidR="007D13F3" w:rsidRPr="008B7637" w:rsidRDefault="007D13F3" w:rsidP="00465CAC">
            <w:pPr>
              <w:ind w:right="-20"/>
              <w:rPr>
                <w:rFonts w:ascii="Times New Roman" w:hAnsi="Times New Roman" w:cs="Times New Roman"/>
              </w:rPr>
            </w:pPr>
            <w:r w:rsidRPr="008B7637">
              <w:rPr>
                <w:rFonts w:ascii="Times New Roman" w:hAnsi="Times New Roman" w:cs="Times New Roman"/>
                <w:noProof/>
                <w:lang w:eastAsia="sk-SK"/>
              </w:rPr>
              <w:drawing>
                <wp:inline distT="0" distB="0" distL="0" distR="0" wp14:anchorId="10682BCC" wp14:editId="0764EAA8">
                  <wp:extent cx="2886075" cy="1933575"/>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55" w:type="dxa"/>
          </w:tcPr>
          <w:p w:rsidR="007D13F3" w:rsidRPr="008B7637" w:rsidRDefault="007D13F3" w:rsidP="00465CAC">
            <w:pPr>
              <w:ind w:right="-20"/>
              <w:rPr>
                <w:rFonts w:ascii="Times New Roman" w:hAnsi="Times New Roman" w:cs="Times New Roman"/>
              </w:rPr>
            </w:pPr>
            <w:r w:rsidRPr="008B7637">
              <w:rPr>
                <w:rFonts w:ascii="Times New Roman" w:hAnsi="Times New Roman" w:cs="Times New Roman"/>
                <w:noProof/>
                <w:lang w:eastAsia="sk-SK"/>
              </w:rPr>
              <w:drawing>
                <wp:inline distT="0" distB="0" distL="0" distR="0" wp14:anchorId="458AF5B0" wp14:editId="7F0045CA">
                  <wp:extent cx="2879725" cy="1960684"/>
                  <wp:effectExtent l="0" t="0" r="0" b="190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7D13F3" w:rsidRPr="008B7637" w:rsidTr="00465CAC">
        <w:trPr>
          <w:trHeight w:val="227"/>
        </w:trPr>
        <w:tc>
          <w:tcPr>
            <w:tcW w:w="4633" w:type="dxa"/>
          </w:tcPr>
          <w:p w:rsidR="007D13F3" w:rsidRPr="008B7637" w:rsidRDefault="007D13F3" w:rsidP="00465CAC">
            <w:pPr>
              <w:ind w:right="-20"/>
              <w:jc w:val="right"/>
              <w:rPr>
                <w:rFonts w:ascii="Times New Roman" w:hAnsi="Times New Roman" w:cs="Times New Roman"/>
              </w:rPr>
            </w:pPr>
            <w:r w:rsidRPr="008B7637">
              <w:rPr>
                <w:rFonts w:ascii="Times New Roman" w:hAnsi="Times New Roman" w:cs="Times New Roman"/>
                <w:i/>
                <w:color w:val="000000" w:themeColor="text1"/>
                <w:sz w:val="18"/>
                <w:szCs w:val="18"/>
              </w:rPr>
              <w:t>Zdroj: OECD EAG</w:t>
            </w:r>
          </w:p>
        </w:tc>
        <w:tc>
          <w:tcPr>
            <w:tcW w:w="4655" w:type="dxa"/>
          </w:tcPr>
          <w:p w:rsidR="007D13F3" w:rsidRPr="008B7637" w:rsidRDefault="007D13F3" w:rsidP="00465CAC">
            <w:pPr>
              <w:ind w:right="-20"/>
              <w:jc w:val="right"/>
              <w:rPr>
                <w:rFonts w:ascii="Times New Roman" w:hAnsi="Times New Roman" w:cs="Times New Roman"/>
              </w:rPr>
            </w:pPr>
            <w:r w:rsidRPr="008B7637">
              <w:rPr>
                <w:rFonts w:ascii="Times New Roman" w:hAnsi="Times New Roman" w:cs="Times New Roman"/>
                <w:i/>
                <w:color w:val="000000" w:themeColor="text1"/>
                <w:sz w:val="18"/>
                <w:szCs w:val="18"/>
              </w:rPr>
              <w:t xml:space="preserve">Zdroj: OECD EAG, </w:t>
            </w:r>
            <w:proofErr w:type="spellStart"/>
            <w:r w:rsidRPr="008B7637">
              <w:rPr>
                <w:rFonts w:ascii="Times New Roman" w:hAnsi="Times New Roman" w:cs="Times New Roman"/>
                <w:i/>
                <w:color w:val="000000" w:themeColor="text1"/>
                <w:sz w:val="18"/>
                <w:szCs w:val="18"/>
              </w:rPr>
              <w:t>Trexima</w:t>
            </w:r>
            <w:proofErr w:type="spellEnd"/>
          </w:p>
        </w:tc>
      </w:tr>
    </w:tbl>
    <w:p w:rsidR="007D13F3" w:rsidRDefault="007D13F3" w:rsidP="007D13F3">
      <w:pPr>
        <w:spacing w:before="120" w:line="240" w:lineRule="exact"/>
        <w:ind w:right="-23"/>
        <w:jc w:val="both"/>
        <w:rPr>
          <w:rFonts w:ascii="Times New Roman" w:hAnsi="Times New Roman" w:cs="Times New Roman"/>
        </w:rPr>
      </w:pPr>
    </w:p>
    <w:p w:rsidR="007D13F3" w:rsidRPr="008B7637" w:rsidRDefault="007D13F3" w:rsidP="007D13F3">
      <w:pPr>
        <w:spacing w:after="200"/>
        <w:ind w:firstLine="708"/>
        <w:jc w:val="both"/>
        <w:rPr>
          <w:rFonts w:ascii="Times New Roman" w:hAnsi="Times New Roman" w:cs="Times New Roman"/>
        </w:rPr>
      </w:pPr>
      <w:r w:rsidRPr="008B7637">
        <w:rPr>
          <w:rFonts w:ascii="Times New Roman" w:hAnsi="Times New Roman" w:cs="Times New Roman"/>
        </w:rPr>
        <w:t xml:space="preserve">Podľa revízie výdavkov má systém nárokového odmeňovania nedostatočnú väzbu na kvalitu. Kariérne stupne dostatočne nerozlišujú pedagógov podľa úrovne ich profesijných kompetencií, súčasný spôsob vykonávania atestácií je príliš formálny. Druhý nástroj systému odmeňovania pedagógov, kreditový príplatok, sa viaže na samotné absolvovanie vzdelávacích programov, pričom sa neposudzuje, ako tieto programy prispeli k skvalitneniu práce pedagóga. </w:t>
      </w:r>
    </w:p>
    <w:p w:rsidR="007D13F3" w:rsidRPr="008B7637" w:rsidRDefault="007D13F3" w:rsidP="007D13F3">
      <w:pPr>
        <w:spacing w:after="200"/>
        <w:ind w:firstLine="708"/>
        <w:jc w:val="both"/>
        <w:rPr>
          <w:rFonts w:ascii="Times New Roman" w:hAnsi="Times New Roman" w:cs="Times New Roman"/>
        </w:rPr>
      </w:pPr>
      <w:r w:rsidRPr="008B7637">
        <w:rPr>
          <w:rFonts w:ascii="Times New Roman" w:hAnsi="Times New Roman" w:cs="Times New Roman"/>
        </w:rPr>
        <w:lastRenderedPageBreak/>
        <w:t>Revízia výdavkov na vzdelávanie preto identifikovala nasledovné opatrenia na spravodlivejšie odmeňovanie pedagógov a zlepšenie väzby medzi odmeňovaním a kvalitou:</w:t>
      </w:r>
    </w:p>
    <w:p w:rsidR="007D13F3" w:rsidRPr="00842A07" w:rsidRDefault="007D13F3" w:rsidP="007D13F3">
      <w:pPr>
        <w:pStyle w:val="Odsekzoznamu"/>
        <w:numPr>
          <w:ilvl w:val="0"/>
          <w:numId w:val="43"/>
        </w:numPr>
        <w:spacing w:after="160" w:line="240" w:lineRule="exact"/>
        <w:ind w:left="284" w:right="-20" w:hanging="284"/>
        <w:jc w:val="both"/>
        <w:rPr>
          <w:rFonts w:ascii="Times New Roman" w:hAnsi="Times New Roman" w:cs="Times New Roman"/>
          <w:lang w:eastAsia="sk-SK"/>
        </w:rPr>
      </w:pPr>
      <w:r w:rsidRPr="00842A07">
        <w:rPr>
          <w:rFonts w:ascii="Times New Roman" w:hAnsi="Times New Roman" w:cs="Times New Roman"/>
          <w:lang w:eastAsia="sk-SK"/>
        </w:rPr>
        <w:t>zvyš</w:t>
      </w:r>
      <w:r w:rsidRPr="002D5BFC">
        <w:rPr>
          <w:rFonts w:ascii="Times New Roman" w:hAnsi="Times New Roman" w:cs="Times New Roman"/>
          <w:lang w:eastAsia="sk-SK"/>
        </w:rPr>
        <w:t>ovať priemerné platy pedagogických a odborných zamestnancov, resp. vysokoškolských učiteľov,</w:t>
      </w:r>
    </w:p>
    <w:p w:rsidR="007D13F3" w:rsidRPr="00001611" w:rsidRDefault="007D13F3" w:rsidP="007D13F3">
      <w:pPr>
        <w:pStyle w:val="Odsekzoznamu"/>
        <w:numPr>
          <w:ilvl w:val="0"/>
          <w:numId w:val="43"/>
        </w:numPr>
        <w:spacing w:after="160" w:line="240" w:lineRule="exact"/>
        <w:ind w:left="284" w:right="-20" w:hanging="284"/>
        <w:jc w:val="both"/>
        <w:rPr>
          <w:rFonts w:ascii="Times New Roman" w:hAnsi="Times New Roman" w:cs="Times New Roman"/>
        </w:rPr>
      </w:pPr>
      <w:r w:rsidRPr="00001611">
        <w:rPr>
          <w:rFonts w:ascii="Times New Roman" w:hAnsi="Times New Roman" w:cs="Times New Roman"/>
          <w:lang w:eastAsia="sk-SK"/>
        </w:rPr>
        <w:t>výraznejšie zvýšiť platy pedagógov na začiatku kariéry úpravou zohľadňovania dĺžky praxe,</w:t>
      </w:r>
    </w:p>
    <w:p w:rsidR="007D13F3" w:rsidRPr="002D5BFC" w:rsidRDefault="007D13F3" w:rsidP="007D13F3">
      <w:pPr>
        <w:pStyle w:val="Odsekzoznamu"/>
        <w:numPr>
          <w:ilvl w:val="0"/>
          <w:numId w:val="43"/>
        </w:numPr>
        <w:spacing w:after="160" w:line="240" w:lineRule="exact"/>
        <w:ind w:left="284" w:right="-20" w:hanging="284"/>
        <w:jc w:val="both"/>
        <w:rPr>
          <w:rFonts w:ascii="Times New Roman" w:hAnsi="Times New Roman" w:cs="Times New Roman"/>
          <w:lang w:eastAsia="sk-SK"/>
        </w:rPr>
      </w:pPr>
      <w:r w:rsidRPr="002D5BFC">
        <w:rPr>
          <w:rFonts w:ascii="Times New Roman" w:hAnsi="Times New Roman" w:cs="Times New Roman"/>
          <w:lang w:eastAsia="sk-SK"/>
        </w:rPr>
        <w:t>zrušiť možnosť získať kredity na kreditový príplatok, zvýšiť podiel odmien a osobného príplatku na celkovom plate učiteľov,</w:t>
      </w:r>
    </w:p>
    <w:p w:rsidR="007D13F3" w:rsidRPr="00842A07" w:rsidRDefault="007D13F3" w:rsidP="007D13F3">
      <w:pPr>
        <w:pStyle w:val="Odsekzoznamu"/>
        <w:numPr>
          <w:ilvl w:val="0"/>
          <w:numId w:val="43"/>
        </w:numPr>
        <w:spacing w:after="160" w:line="240" w:lineRule="exact"/>
        <w:ind w:left="284" w:right="-20" w:hanging="284"/>
        <w:jc w:val="both"/>
        <w:rPr>
          <w:rFonts w:ascii="Times New Roman" w:hAnsi="Times New Roman" w:cs="Times New Roman"/>
          <w:lang w:eastAsia="sk-SK"/>
        </w:rPr>
      </w:pPr>
      <w:r w:rsidRPr="00842A07">
        <w:rPr>
          <w:rFonts w:ascii="Times New Roman" w:hAnsi="Times New Roman" w:cs="Times New Roman"/>
          <w:lang w:eastAsia="sk-SK"/>
        </w:rPr>
        <w:t>úpravou atestačného konania zlepšiť väzbu medzi odmeňovaním a kvalitou učiteľov,</w:t>
      </w:r>
    </w:p>
    <w:p w:rsidR="007D13F3" w:rsidRPr="00842A07" w:rsidRDefault="007D13F3" w:rsidP="007D13F3">
      <w:pPr>
        <w:pStyle w:val="Odsekzoznamu"/>
        <w:numPr>
          <w:ilvl w:val="0"/>
          <w:numId w:val="43"/>
        </w:numPr>
        <w:spacing w:after="160" w:line="240" w:lineRule="exact"/>
        <w:ind w:left="284" w:right="-20" w:hanging="284"/>
        <w:jc w:val="both"/>
        <w:rPr>
          <w:rFonts w:ascii="Times New Roman" w:hAnsi="Times New Roman" w:cs="Times New Roman"/>
          <w:lang w:eastAsia="sk-SK"/>
        </w:rPr>
      </w:pPr>
      <w:r w:rsidRPr="00842A07">
        <w:rPr>
          <w:rFonts w:ascii="Times New Roman" w:hAnsi="Times New Roman" w:cs="Times New Roman"/>
          <w:lang w:eastAsia="sk-SK"/>
        </w:rPr>
        <w:t>prijať opatrenia na zvýšenie podielu praxe pri príprave budúcich učiteľov,</w:t>
      </w:r>
    </w:p>
    <w:p w:rsidR="007D13F3" w:rsidRDefault="007D13F3" w:rsidP="007D13F3">
      <w:pPr>
        <w:pStyle w:val="Odsekzoznamu"/>
        <w:numPr>
          <w:ilvl w:val="0"/>
          <w:numId w:val="43"/>
        </w:numPr>
        <w:spacing w:line="240" w:lineRule="exact"/>
        <w:ind w:left="284" w:right="-23" w:hanging="284"/>
        <w:jc w:val="both"/>
        <w:rPr>
          <w:rFonts w:ascii="Times New Roman" w:hAnsi="Times New Roman" w:cs="Times New Roman"/>
          <w:color w:val="000000"/>
          <w:lang w:eastAsia="sk-SK"/>
        </w:rPr>
      </w:pPr>
      <w:r w:rsidRPr="00842A07">
        <w:rPr>
          <w:rFonts w:ascii="Times New Roman" w:hAnsi="Times New Roman" w:cs="Times New Roman"/>
          <w:lang w:eastAsia="sk-SK"/>
        </w:rPr>
        <w:t>posilniť</w:t>
      </w:r>
      <w:r w:rsidRPr="00842A07">
        <w:rPr>
          <w:rFonts w:ascii="Times New Roman" w:hAnsi="Times New Roman" w:cs="Times New Roman"/>
          <w:color w:val="000000"/>
          <w:lang w:eastAsia="sk-SK"/>
        </w:rPr>
        <w:t xml:space="preserve"> a</w:t>
      </w:r>
      <w:r w:rsidRPr="008B7637">
        <w:rPr>
          <w:rFonts w:ascii="Times New Roman" w:hAnsi="Times New Roman" w:cs="Times New Roman"/>
          <w:color w:val="000000"/>
          <w:lang w:eastAsia="sk-SK"/>
        </w:rPr>
        <w:t> skvalitniť ponuku vzdelávacích aktivít pre učiteľov.</w:t>
      </w:r>
    </w:p>
    <w:p w:rsidR="007D13F3" w:rsidRPr="008B7637" w:rsidRDefault="007D13F3" w:rsidP="007D13F3">
      <w:pPr>
        <w:pStyle w:val="Odsekzoznamu"/>
        <w:spacing w:line="240" w:lineRule="exact"/>
        <w:ind w:left="284" w:right="-23"/>
        <w:jc w:val="both"/>
        <w:rPr>
          <w:rFonts w:ascii="Times New Roman" w:hAnsi="Times New Roman" w:cs="Times New Roman"/>
          <w:color w:val="000000"/>
          <w:lang w:eastAsia="sk-SK"/>
        </w:rPr>
      </w:pPr>
    </w:p>
    <w:p w:rsidR="007D13F3" w:rsidRDefault="007D13F3" w:rsidP="007D13F3">
      <w:pPr>
        <w:ind w:firstLine="709"/>
        <w:jc w:val="both"/>
        <w:rPr>
          <w:rFonts w:ascii="Times New Roman" w:hAnsi="Times New Roman" w:cs="Times New Roman"/>
        </w:rPr>
      </w:pPr>
      <w:r w:rsidRPr="008B7637">
        <w:rPr>
          <w:rFonts w:ascii="Times New Roman" w:hAnsi="Times New Roman" w:cs="Times New Roman"/>
          <w:bCs/>
        </w:rPr>
        <w:t>Systém financovania regionálneho školstva zohľadňuje charakteristiky škôl aj žiakov.</w:t>
      </w:r>
      <w:r w:rsidRPr="008B7637">
        <w:rPr>
          <w:rFonts w:ascii="Times New Roman" w:hAnsi="Times New Roman" w:cs="Times New Roman"/>
        </w:rPr>
        <w:t xml:space="preserve"> Vyšším normatívom sú podporovaní napríklad žiaci so zdravotným znevýhodnením či žiaci nultých ročníkov, a tiež menšie základné školy (do 250 žiakov). Cieľom tejto podpory je zabezpečiť čo najlepší prístup ku vzdelaniu pre všetkých žiakov v ich materinskom jazyku a ročne dosahuje výšku približne 66 miliónov eur, čo tvorí 8,7 % z rozpočtu ZŠ. V dôsledku negatívneho demografického vývoja je však sieť ZŠ menej efektívna ako v minulosti, pričom na druhom stupni to prináša aj zníženú odbornosť výučby. Revízia preto odporučila:</w:t>
      </w:r>
    </w:p>
    <w:p w:rsidR="007D13F3" w:rsidRPr="008B7637" w:rsidRDefault="007D13F3" w:rsidP="007D13F3">
      <w:pPr>
        <w:ind w:firstLine="709"/>
        <w:jc w:val="both"/>
        <w:rPr>
          <w:rFonts w:ascii="Times New Roman" w:hAnsi="Times New Roman" w:cs="Times New Roman"/>
        </w:rPr>
      </w:pPr>
    </w:p>
    <w:p w:rsidR="007D13F3" w:rsidRPr="008B7637" w:rsidRDefault="007D13F3" w:rsidP="007D13F3">
      <w:pPr>
        <w:pStyle w:val="Odsekzoznamu"/>
        <w:numPr>
          <w:ilvl w:val="0"/>
          <w:numId w:val="43"/>
        </w:numPr>
        <w:spacing w:after="200"/>
        <w:ind w:left="0" w:firstLine="0"/>
        <w:jc w:val="both"/>
        <w:rPr>
          <w:rFonts w:ascii="Times New Roman" w:hAnsi="Times New Roman" w:cs="Times New Roman"/>
          <w:color w:val="000000"/>
          <w:lang w:eastAsia="sk-SK"/>
        </w:rPr>
      </w:pPr>
      <w:r w:rsidRPr="008B7637">
        <w:rPr>
          <w:rFonts w:ascii="Times New Roman" w:hAnsi="Times New Roman" w:cs="Times New Roman"/>
          <w:color w:val="000000"/>
          <w:lang w:eastAsia="sk-SK"/>
        </w:rPr>
        <w:t>prijať opatrenia na podporu racionalizácie siete základných škôl</w:t>
      </w:r>
      <w:r w:rsidR="00F9563E">
        <w:rPr>
          <w:rFonts w:ascii="Times New Roman" w:hAnsi="Times New Roman" w:cs="Times New Roman"/>
          <w:color w:val="000000"/>
          <w:lang w:eastAsia="sk-SK"/>
        </w:rPr>
        <w:t>,</w:t>
      </w:r>
    </w:p>
    <w:p w:rsidR="007D13F3" w:rsidRDefault="007D13F3" w:rsidP="007D13F3">
      <w:pPr>
        <w:pStyle w:val="Odsekzoznamu"/>
        <w:numPr>
          <w:ilvl w:val="0"/>
          <w:numId w:val="43"/>
        </w:numPr>
        <w:spacing w:after="200"/>
        <w:ind w:left="0" w:firstLine="0"/>
        <w:jc w:val="both"/>
        <w:rPr>
          <w:rFonts w:ascii="Times New Roman" w:hAnsi="Times New Roman" w:cs="Times New Roman"/>
          <w:color w:val="000000"/>
          <w:lang w:eastAsia="sk-SK"/>
        </w:rPr>
      </w:pPr>
      <w:r w:rsidRPr="008B7637">
        <w:rPr>
          <w:rFonts w:ascii="Times New Roman" w:hAnsi="Times New Roman" w:cs="Times New Roman"/>
          <w:color w:val="000000"/>
          <w:lang w:eastAsia="sk-SK"/>
        </w:rPr>
        <w:t>zreálniť personálnu a prevádzkovú náročnosť jednotlivých typov škôl</w:t>
      </w:r>
      <w:r>
        <w:rPr>
          <w:rFonts w:ascii="Times New Roman" w:hAnsi="Times New Roman" w:cs="Times New Roman"/>
          <w:color w:val="000000"/>
          <w:lang w:eastAsia="sk-SK"/>
        </w:rPr>
        <w:t>.</w:t>
      </w:r>
    </w:p>
    <w:p w:rsidR="007D13F3" w:rsidRDefault="007D13F3" w:rsidP="007D13F3">
      <w:pPr>
        <w:pStyle w:val="Odsekzoznamu"/>
        <w:spacing w:after="200"/>
        <w:ind w:left="0"/>
        <w:jc w:val="both"/>
        <w:rPr>
          <w:rFonts w:ascii="Times New Roman" w:hAnsi="Times New Roman" w:cs="Times New Roman"/>
          <w:color w:val="000000"/>
          <w:lang w:eastAsia="sk-SK"/>
        </w:rPr>
      </w:pPr>
    </w:p>
    <w:p w:rsidR="007D13F3" w:rsidRPr="008B7637" w:rsidRDefault="007D13F3" w:rsidP="007D13F3">
      <w:pPr>
        <w:pStyle w:val="Odsekzoznamu"/>
        <w:spacing w:after="200"/>
        <w:ind w:left="0"/>
        <w:jc w:val="both"/>
        <w:rPr>
          <w:rFonts w:ascii="Times New Roman" w:hAnsi="Times New Roman" w:cs="Times New Roman"/>
          <w:color w:val="000000"/>
          <w:lang w:eastAsia="sk-SK"/>
        </w:rPr>
      </w:pPr>
      <w:r>
        <w:rPr>
          <w:rFonts w:ascii="Times New Roman" w:hAnsi="Times New Roman" w:cs="Times New Roman"/>
          <w:color w:val="000000"/>
          <w:lang w:eastAsia="sk-SK"/>
        </w:rPr>
        <w:t>Výdavky MŠVVŠ SR a MV SR na regionálne školstvo sú uvedené v nasledujúcej tabuľke.</w:t>
      </w:r>
    </w:p>
    <w:tbl>
      <w:tblPr>
        <w:tblW w:w="9275" w:type="dxa"/>
        <w:tblCellMar>
          <w:left w:w="70" w:type="dxa"/>
          <w:right w:w="70" w:type="dxa"/>
        </w:tblCellMar>
        <w:tblLook w:val="04A0" w:firstRow="1" w:lastRow="0" w:firstColumn="1" w:lastColumn="0" w:noHBand="0" w:noVBand="1"/>
      </w:tblPr>
      <w:tblGrid>
        <w:gridCol w:w="2660"/>
        <w:gridCol w:w="945"/>
        <w:gridCol w:w="945"/>
        <w:gridCol w:w="945"/>
        <w:gridCol w:w="945"/>
        <w:gridCol w:w="945"/>
        <w:gridCol w:w="945"/>
        <w:gridCol w:w="945"/>
      </w:tblGrid>
      <w:tr w:rsidR="007D13F3" w:rsidRPr="006F29C9" w:rsidTr="00465CAC">
        <w:trPr>
          <w:trHeight w:hRule="exact" w:val="255"/>
        </w:trPr>
        <w:tc>
          <w:tcPr>
            <w:tcW w:w="1434" w:type="pct"/>
            <w:tcBorders>
              <w:top w:val="single" w:sz="4" w:space="0" w:color="auto"/>
              <w:left w:val="single" w:sz="4" w:space="0" w:color="auto"/>
              <w:bottom w:val="single" w:sz="4" w:space="0" w:color="auto"/>
              <w:right w:val="single" w:sz="4" w:space="0" w:color="auto"/>
            </w:tcBorders>
            <w:shd w:val="pct35" w:color="auto" w:fill="auto"/>
            <w:noWrap/>
            <w:vAlign w:val="bottom"/>
            <w:hideMark/>
          </w:tcPr>
          <w:p w:rsidR="007D13F3" w:rsidRPr="006F29C9" w:rsidRDefault="007D13F3" w:rsidP="00465CAC">
            <w:pPr>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v eurách</w:t>
            </w:r>
          </w:p>
        </w:tc>
        <w:tc>
          <w:tcPr>
            <w:tcW w:w="509" w:type="pct"/>
            <w:tcBorders>
              <w:top w:val="single" w:sz="4" w:space="0" w:color="auto"/>
              <w:left w:val="nil"/>
              <w:bottom w:val="single" w:sz="4" w:space="0" w:color="auto"/>
              <w:right w:val="single" w:sz="4" w:space="0" w:color="auto"/>
            </w:tcBorders>
            <w:shd w:val="pct35" w:color="auto" w:fill="auto"/>
            <w:noWrap/>
            <w:vAlign w:val="center"/>
            <w:hideMark/>
          </w:tcPr>
          <w:p w:rsidR="007D13F3" w:rsidRPr="006F29C9" w:rsidRDefault="007D13F3" w:rsidP="00465CAC">
            <w:pPr>
              <w:jc w:val="center"/>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2015 S</w:t>
            </w:r>
          </w:p>
        </w:tc>
        <w:tc>
          <w:tcPr>
            <w:tcW w:w="509" w:type="pct"/>
            <w:tcBorders>
              <w:top w:val="single" w:sz="4" w:space="0" w:color="auto"/>
              <w:left w:val="nil"/>
              <w:bottom w:val="single" w:sz="4" w:space="0" w:color="auto"/>
              <w:right w:val="single" w:sz="4" w:space="0" w:color="auto"/>
            </w:tcBorders>
            <w:shd w:val="pct35" w:color="auto" w:fill="auto"/>
            <w:noWrap/>
            <w:vAlign w:val="center"/>
            <w:hideMark/>
          </w:tcPr>
          <w:p w:rsidR="007D13F3" w:rsidRPr="006F29C9" w:rsidRDefault="007D13F3" w:rsidP="00465CAC">
            <w:pPr>
              <w:jc w:val="center"/>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2016 S</w:t>
            </w:r>
          </w:p>
        </w:tc>
        <w:tc>
          <w:tcPr>
            <w:tcW w:w="509" w:type="pct"/>
            <w:tcBorders>
              <w:top w:val="single" w:sz="4" w:space="0" w:color="auto"/>
              <w:left w:val="nil"/>
              <w:bottom w:val="single" w:sz="4" w:space="0" w:color="auto"/>
              <w:right w:val="single" w:sz="4" w:space="0" w:color="auto"/>
            </w:tcBorders>
            <w:shd w:val="pct35" w:color="auto" w:fill="auto"/>
            <w:noWrap/>
            <w:vAlign w:val="center"/>
            <w:hideMark/>
          </w:tcPr>
          <w:p w:rsidR="007D13F3" w:rsidRPr="006F29C9" w:rsidRDefault="007D13F3" w:rsidP="00465CAC">
            <w:pPr>
              <w:jc w:val="center"/>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2017 R</w:t>
            </w:r>
          </w:p>
        </w:tc>
        <w:tc>
          <w:tcPr>
            <w:tcW w:w="509" w:type="pct"/>
            <w:tcBorders>
              <w:top w:val="single" w:sz="4" w:space="0" w:color="auto"/>
              <w:left w:val="nil"/>
              <w:bottom w:val="single" w:sz="4" w:space="0" w:color="auto"/>
              <w:right w:val="single" w:sz="4" w:space="0" w:color="auto"/>
            </w:tcBorders>
            <w:shd w:val="pct35" w:color="auto" w:fill="auto"/>
            <w:noWrap/>
            <w:vAlign w:val="center"/>
            <w:hideMark/>
          </w:tcPr>
          <w:p w:rsidR="007D13F3" w:rsidRPr="006F29C9" w:rsidRDefault="007D13F3" w:rsidP="00465CAC">
            <w:pPr>
              <w:jc w:val="center"/>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2017 OS</w:t>
            </w:r>
          </w:p>
        </w:tc>
        <w:tc>
          <w:tcPr>
            <w:tcW w:w="509" w:type="pct"/>
            <w:tcBorders>
              <w:top w:val="single" w:sz="4" w:space="0" w:color="auto"/>
              <w:left w:val="nil"/>
              <w:bottom w:val="single" w:sz="4" w:space="0" w:color="auto"/>
              <w:right w:val="single" w:sz="4" w:space="0" w:color="auto"/>
            </w:tcBorders>
            <w:shd w:val="pct35" w:color="auto" w:fill="auto"/>
            <w:noWrap/>
            <w:vAlign w:val="center"/>
            <w:hideMark/>
          </w:tcPr>
          <w:p w:rsidR="007D13F3" w:rsidRPr="006F29C9" w:rsidRDefault="007D13F3" w:rsidP="00465CAC">
            <w:pPr>
              <w:jc w:val="center"/>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2018 N</w:t>
            </w:r>
          </w:p>
        </w:tc>
        <w:tc>
          <w:tcPr>
            <w:tcW w:w="509" w:type="pct"/>
            <w:tcBorders>
              <w:top w:val="single" w:sz="4" w:space="0" w:color="auto"/>
              <w:left w:val="nil"/>
              <w:bottom w:val="single" w:sz="4" w:space="0" w:color="auto"/>
              <w:right w:val="single" w:sz="4" w:space="0" w:color="auto"/>
            </w:tcBorders>
            <w:shd w:val="pct35" w:color="auto" w:fill="auto"/>
            <w:noWrap/>
            <w:vAlign w:val="center"/>
            <w:hideMark/>
          </w:tcPr>
          <w:p w:rsidR="007D13F3" w:rsidRPr="006F29C9" w:rsidRDefault="007D13F3" w:rsidP="00465CAC">
            <w:pPr>
              <w:jc w:val="center"/>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2019 N</w:t>
            </w:r>
          </w:p>
        </w:tc>
        <w:tc>
          <w:tcPr>
            <w:tcW w:w="509" w:type="pct"/>
            <w:tcBorders>
              <w:top w:val="single" w:sz="4" w:space="0" w:color="auto"/>
              <w:left w:val="nil"/>
              <w:bottom w:val="single" w:sz="4" w:space="0" w:color="auto"/>
              <w:right w:val="single" w:sz="4" w:space="0" w:color="auto"/>
            </w:tcBorders>
            <w:shd w:val="pct35" w:color="auto" w:fill="auto"/>
            <w:noWrap/>
            <w:vAlign w:val="center"/>
            <w:hideMark/>
          </w:tcPr>
          <w:p w:rsidR="007D13F3" w:rsidRPr="006F29C9" w:rsidRDefault="007D13F3" w:rsidP="00465CAC">
            <w:pPr>
              <w:jc w:val="center"/>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2020 N</w:t>
            </w:r>
          </w:p>
        </w:tc>
      </w:tr>
      <w:tr w:rsidR="007D13F3" w:rsidRPr="006F29C9" w:rsidTr="00465CAC">
        <w:trPr>
          <w:trHeight w:hRule="exact" w:val="255"/>
        </w:trPr>
        <w:tc>
          <w:tcPr>
            <w:tcW w:w="1434"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6F29C9" w:rsidRDefault="007D13F3" w:rsidP="00465CAC">
            <w:pPr>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Regionálne školstvo MŠVVŠ SR a MV SR</w:t>
            </w:r>
          </w:p>
        </w:tc>
        <w:tc>
          <w:tcPr>
            <w:tcW w:w="50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1 534 178 222</w:t>
            </w:r>
          </w:p>
        </w:tc>
        <w:tc>
          <w:tcPr>
            <w:tcW w:w="50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1 597 840 813</w:t>
            </w:r>
          </w:p>
        </w:tc>
        <w:tc>
          <w:tcPr>
            <w:tcW w:w="50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1 693 213 173</w:t>
            </w:r>
          </w:p>
        </w:tc>
        <w:tc>
          <w:tcPr>
            <w:tcW w:w="50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1 687 264 140</w:t>
            </w:r>
          </w:p>
        </w:tc>
        <w:tc>
          <w:tcPr>
            <w:tcW w:w="50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386318" w:rsidRDefault="007D13F3" w:rsidP="00465CAC">
            <w:pPr>
              <w:jc w:val="right"/>
              <w:rPr>
                <w:rFonts w:ascii="Times New Roman" w:hAnsi="Times New Roman" w:cs="Times New Roman"/>
                <w:b/>
                <w:bCs/>
                <w:sz w:val="14"/>
                <w:szCs w:val="14"/>
                <w:lang w:eastAsia="sk-SK"/>
              </w:rPr>
            </w:pPr>
            <w:r w:rsidRPr="00386318">
              <w:rPr>
                <w:rFonts w:ascii="Times New Roman" w:hAnsi="Times New Roman" w:cs="Times New Roman"/>
                <w:b/>
                <w:bCs/>
                <w:sz w:val="14"/>
                <w:szCs w:val="14"/>
                <w:lang w:eastAsia="sk-SK"/>
              </w:rPr>
              <w:t>1 731 526 745</w:t>
            </w:r>
          </w:p>
        </w:tc>
        <w:tc>
          <w:tcPr>
            <w:tcW w:w="50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1 719 526 745</w:t>
            </w:r>
          </w:p>
        </w:tc>
        <w:tc>
          <w:tcPr>
            <w:tcW w:w="50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1 719 526 745</w:t>
            </w:r>
          </w:p>
        </w:tc>
      </w:tr>
      <w:tr w:rsidR="007D13F3" w:rsidRPr="006F29C9" w:rsidTr="00465CAC">
        <w:trPr>
          <w:trHeight w:hRule="exact" w:val="255"/>
        </w:trPr>
        <w:tc>
          <w:tcPr>
            <w:tcW w:w="1434" w:type="pct"/>
            <w:tcBorders>
              <w:top w:val="nil"/>
              <w:left w:val="single" w:sz="4" w:space="0" w:color="auto"/>
              <w:bottom w:val="single" w:sz="4" w:space="0" w:color="auto"/>
              <w:right w:val="single" w:sz="4" w:space="0" w:color="auto"/>
            </w:tcBorders>
            <w:shd w:val="clear" w:color="auto" w:fill="auto"/>
            <w:noWrap/>
            <w:vAlign w:val="bottom"/>
            <w:hideMark/>
          </w:tcPr>
          <w:p w:rsidR="007D13F3" w:rsidRPr="006F29C9" w:rsidRDefault="007D13F3" w:rsidP="00465CAC">
            <w:pPr>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Výdavky kapitoly MŠVVŠ SR</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457 896 872</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458 675 625</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582 700 241</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512 357 146</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386318" w:rsidRDefault="007D13F3" w:rsidP="00465CAC">
            <w:pPr>
              <w:jc w:val="right"/>
              <w:rPr>
                <w:rFonts w:ascii="Times New Roman" w:hAnsi="Times New Roman" w:cs="Times New Roman"/>
                <w:b/>
                <w:bCs/>
                <w:sz w:val="14"/>
                <w:szCs w:val="14"/>
                <w:lang w:eastAsia="sk-SK"/>
              </w:rPr>
            </w:pPr>
            <w:r w:rsidRPr="00386318">
              <w:rPr>
                <w:rFonts w:ascii="Times New Roman" w:hAnsi="Times New Roman" w:cs="Times New Roman"/>
                <w:b/>
                <w:bCs/>
                <w:sz w:val="14"/>
                <w:szCs w:val="14"/>
                <w:lang w:eastAsia="sk-SK"/>
              </w:rPr>
              <w:t>559 613 385</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547 613 385</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547 613 385</w:t>
            </w:r>
          </w:p>
        </w:tc>
      </w:tr>
      <w:tr w:rsidR="007D13F3" w:rsidRPr="006F29C9" w:rsidTr="00465CAC">
        <w:trPr>
          <w:trHeight w:hRule="exact" w:val="255"/>
        </w:trPr>
        <w:tc>
          <w:tcPr>
            <w:tcW w:w="1434" w:type="pct"/>
            <w:tcBorders>
              <w:top w:val="nil"/>
              <w:left w:val="single" w:sz="4" w:space="0" w:color="auto"/>
              <w:bottom w:val="single" w:sz="4" w:space="0" w:color="auto"/>
              <w:right w:val="single" w:sz="4" w:space="0" w:color="auto"/>
            </w:tcBorders>
            <w:shd w:val="clear" w:color="auto" w:fill="auto"/>
            <w:noWrap/>
            <w:vAlign w:val="bottom"/>
            <w:hideMark/>
          </w:tcPr>
          <w:p w:rsidR="007D13F3" w:rsidRPr="006F29C9" w:rsidRDefault="007D13F3" w:rsidP="00465CAC">
            <w:pPr>
              <w:rPr>
                <w:rFonts w:ascii="Times New Roman" w:hAnsi="Times New Roman" w:cs="Times New Roman"/>
                <w:sz w:val="14"/>
                <w:szCs w:val="14"/>
                <w:lang w:eastAsia="sk-SK"/>
              </w:rPr>
            </w:pPr>
            <w:r w:rsidRPr="006F29C9">
              <w:rPr>
                <w:rFonts w:ascii="Times New Roman" w:hAnsi="Times New Roman" w:cs="Times New Roman"/>
                <w:sz w:val="14"/>
                <w:szCs w:val="14"/>
                <w:lang w:eastAsia="sk-SK"/>
              </w:rPr>
              <w:t xml:space="preserve">      Normatívne výdavky </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394 249 451</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400 381 360</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451 802 523</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413 471 496</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386318" w:rsidRDefault="007D13F3" w:rsidP="00465CAC">
            <w:pPr>
              <w:jc w:val="right"/>
              <w:rPr>
                <w:rFonts w:ascii="Times New Roman" w:hAnsi="Times New Roman" w:cs="Times New Roman"/>
                <w:bCs/>
                <w:sz w:val="14"/>
                <w:szCs w:val="14"/>
                <w:lang w:eastAsia="sk-SK"/>
              </w:rPr>
            </w:pPr>
            <w:r w:rsidRPr="00386318">
              <w:rPr>
                <w:rFonts w:ascii="Times New Roman" w:hAnsi="Times New Roman" w:cs="Times New Roman"/>
                <w:bCs/>
                <w:sz w:val="14"/>
                <w:szCs w:val="14"/>
                <w:lang w:eastAsia="sk-SK"/>
              </w:rPr>
              <w:t>465 432 375</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465 432 375</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465 432 375</w:t>
            </w:r>
          </w:p>
        </w:tc>
      </w:tr>
      <w:tr w:rsidR="007D13F3" w:rsidRPr="006F29C9" w:rsidTr="00465CAC">
        <w:trPr>
          <w:trHeight w:hRule="exact" w:val="255"/>
        </w:trPr>
        <w:tc>
          <w:tcPr>
            <w:tcW w:w="1434" w:type="pct"/>
            <w:tcBorders>
              <w:top w:val="nil"/>
              <w:left w:val="single" w:sz="4" w:space="0" w:color="auto"/>
              <w:bottom w:val="single" w:sz="4" w:space="0" w:color="auto"/>
              <w:right w:val="single" w:sz="4" w:space="0" w:color="auto"/>
            </w:tcBorders>
            <w:shd w:val="clear" w:color="auto" w:fill="auto"/>
            <w:noWrap/>
            <w:vAlign w:val="bottom"/>
            <w:hideMark/>
          </w:tcPr>
          <w:p w:rsidR="007D13F3" w:rsidRPr="006F29C9" w:rsidRDefault="007D13F3" w:rsidP="00465CAC">
            <w:pPr>
              <w:rPr>
                <w:rFonts w:ascii="Times New Roman" w:hAnsi="Times New Roman" w:cs="Times New Roman"/>
                <w:sz w:val="14"/>
                <w:szCs w:val="14"/>
                <w:lang w:eastAsia="sk-SK"/>
              </w:rPr>
            </w:pPr>
            <w:r w:rsidRPr="006F29C9">
              <w:rPr>
                <w:rFonts w:ascii="Times New Roman" w:hAnsi="Times New Roman" w:cs="Times New Roman"/>
                <w:sz w:val="14"/>
                <w:szCs w:val="14"/>
                <w:lang w:eastAsia="sk-SK"/>
              </w:rPr>
              <w:t xml:space="preserve">      Nenormatívne výdavky </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6 278 925</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10 061 987</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12 790 392</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13 826 810</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386318" w:rsidRDefault="007D13F3" w:rsidP="00465CAC">
            <w:pPr>
              <w:jc w:val="right"/>
              <w:rPr>
                <w:rFonts w:ascii="Times New Roman" w:hAnsi="Times New Roman" w:cs="Times New Roman"/>
                <w:bCs/>
                <w:sz w:val="14"/>
                <w:szCs w:val="14"/>
                <w:lang w:eastAsia="sk-SK"/>
              </w:rPr>
            </w:pPr>
            <w:r w:rsidRPr="00386318">
              <w:rPr>
                <w:rFonts w:ascii="Times New Roman" w:hAnsi="Times New Roman" w:cs="Times New Roman"/>
                <w:bCs/>
                <w:sz w:val="14"/>
                <w:szCs w:val="14"/>
                <w:lang w:eastAsia="sk-SK"/>
              </w:rPr>
              <w:t>12 798 846</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12 798 846</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12 798 846</w:t>
            </w:r>
          </w:p>
        </w:tc>
      </w:tr>
      <w:tr w:rsidR="007D13F3" w:rsidRPr="006F29C9" w:rsidTr="00465CAC">
        <w:trPr>
          <w:trHeight w:hRule="exact" w:val="255"/>
        </w:trPr>
        <w:tc>
          <w:tcPr>
            <w:tcW w:w="1434" w:type="pct"/>
            <w:tcBorders>
              <w:top w:val="nil"/>
              <w:left w:val="single" w:sz="4" w:space="0" w:color="auto"/>
              <w:bottom w:val="single" w:sz="4" w:space="0" w:color="auto"/>
              <w:right w:val="single" w:sz="4" w:space="0" w:color="auto"/>
            </w:tcBorders>
            <w:shd w:val="clear" w:color="auto" w:fill="auto"/>
            <w:noWrap/>
            <w:vAlign w:val="bottom"/>
            <w:hideMark/>
          </w:tcPr>
          <w:p w:rsidR="007D13F3" w:rsidRPr="006F29C9" w:rsidRDefault="007D13F3" w:rsidP="00465CAC">
            <w:pPr>
              <w:rPr>
                <w:rFonts w:ascii="Times New Roman" w:hAnsi="Times New Roman" w:cs="Times New Roman"/>
                <w:sz w:val="14"/>
                <w:szCs w:val="14"/>
                <w:lang w:eastAsia="sk-SK"/>
              </w:rPr>
            </w:pPr>
            <w:r w:rsidRPr="006F29C9">
              <w:rPr>
                <w:rFonts w:ascii="Times New Roman" w:hAnsi="Times New Roman" w:cs="Times New Roman"/>
                <w:sz w:val="14"/>
                <w:szCs w:val="14"/>
                <w:lang w:eastAsia="sk-SK"/>
              </w:rPr>
              <w:t xml:space="preserve">      Ostatné nenormatívne výdavky </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23 826 808</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11 439 939</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86 553 671</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43 655 623</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386318" w:rsidRDefault="007D13F3" w:rsidP="00465CAC">
            <w:pPr>
              <w:jc w:val="right"/>
              <w:rPr>
                <w:rFonts w:ascii="Times New Roman" w:hAnsi="Times New Roman" w:cs="Times New Roman"/>
                <w:bCs/>
                <w:sz w:val="14"/>
                <w:szCs w:val="14"/>
                <w:lang w:eastAsia="sk-SK"/>
              </w:rPr>
            </w:pPr>
            <w:r w:rsidRPr="00386318">
              <w:rPr>
                <w:rFonts w:ascii="Times New Roman" w:hAnsi="Times New Roman" w:cs="Times New Roman"/>
                <w:bCs/>
                <w:sz w:val="14"/>
                <w:szCs w:val="14"/>
                <w:lang w:eastAsia="sk-SK"/>
              </w:rPr>
              <w:t>49 613 730</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37 613 730</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37 613 730</w:t>
            </w:r>
          </w:p>
        </w:tc>
      </w:tr>
      <w:tr w:rsidR="007D13F3" w:rsidRPr="006F29C9" w:rsidTr="00465CAC">
        <w:trPr>
          <w:trHeight w:hRule="exact" w:val="255"/>
        </w:trPr>
        <w:tc>
          <w:tcPr>
            <w:tcW w:w="1434" w:type="pct"/>
            <w:tcBorders>
              <w:top w:val="nil"/>
              <w:left w:val="single" w:sz="4" w:space="0" w:color="auto"/>
              <w:bottom w:val="single" w:sz="4" w:space="0" w:color="auto"/>
              <w:right w:val="single" w:sz="4" w:space="0" w:color="auto"/>
            </w:tcBorders>
            <w:shd w:val="clear" w:color="auto" w:fill="auto"/>
            <w:noWrap/>
            <w:vAlign w:val="bottom"/>
            <w:hideMark/>
          </w:tcPr>
          <w:p w:rsidR="007D13F3" w:rsidRPr="006F29C9" w:rsidRDefault="007D13F3" w:rsidP="00465CAC">
            <w:pPr>
              <w:rPr>
                <w:rFonts w:ascii="Times New Roman" w:hAnsi="Times New Roman" w:cs="Times New Roman"/>
                <w:sz w:val="14"/>
                <w:szCs w:val="14"/>
                <w:lang w:eastAsia="sk-SK"/>
              </w:rPr>
            </w:pPr>
            <w:r w:rsidRPr="006F29C9">
              <w:rPr>
                <w:rFonts w:ascii="Times New Roman" w:hAnsi="Times New Roman" w:cs="Times New Roman"/>
                <w:sz w:val="14"/>
                <w:szCs w:val="14"/>
                <w:lang w:eastAsia="sk-SK"/>
              </w:rPr>
              <w:t xml:space="preserve">      Administratívne výdavky </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28 995 259</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33 402 007</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21 541 97</w:t>
            </w:r>
            <w:r>
              <w:rPr>
                <w:rFonts w:ascii="Times New Roman" w:hAnsi="Times New Roman" w:cs="Times New Roman"/>
                <w:sz w:val="14"/>
                <w:szCs w:val="14"/>
                <w:lang w:eastAsia="sk-SK"/>
              </w:rPr>
              <w:t>5</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23 324 043</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386318" w:rsidRDefault="007D13F3" w:rsidP="00465CAC">
            <w:pPr>
              <w:jc w:val="right"/>
              <w:rPr>
                <w:rFonts w:ascii="Times New Roman" w:hAnsi="Times New Roman" w:cs="Times New Roman"/>
                <w:bCs/>
                <w:sz w:val="14"/>
                <w:szCs w:val="14"/>
                <w:lang w:eastAsia="sk-SK"/>
              </w:rPr>
            </w:pPr>
            <w:r w:rsidRPr="00386318">
              <w:rPr>
                <w:rFonts w:ascii="Times New Roman" w:hAnsi="Times New Roman" w:cs="Times New Roman"/>
                <w:bCs/>
                <w:sz w:val="14"/>
                <w:szCs w:val="14"/>
                <w:lang w:eastAsia="sk-SK"/>
              </w:rPr>
              <w:t>21 991 433</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21 991 433</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21 991 433</w:t>
            </w:r>
          </w:p>
        </w:tc>
      </w:tr>
      <w:tr w:rsidR="007D13F3" w:rsidRPr="006F29C9" w:rsidTr="00465CAC">
        <w:trPr>
          <w:trHeight w:hRule="exact" w:val="255"/>
        </w:trPr>
        <w:tc>
          <w:tcPr>
            <w:tcW w:w="1434" w:type="pct"/>
            <w:tcBorders>
              <w:top w:val="nil"/>
              <w:left w:val="single" w:sz="4" w:space="0" w:color="auto"/>
              <w:bottom w:val="single" w:sz="4" w:space="0" w:color="auto"/>
              <w:right w:val="single" w:sz="4" w:space="0" w:color="auto"/>
            </w:tcBorders>
            <w:shd w:val="clear" w:color="auto" w:fill="auto"/>
            <w:noWrap/>
            <w:vAlign w:val="bottom"/>
            <w:hideMark/>
          </w:tcPr>
          <w:p w:rsidR="007D13F3" w:rsidRPr="006F29C9" w:rsidRDefault="007D13F3" w:rsidP="00465CAC">
            <w:pPr>
              <w:rPr>
                <w:rFonts w:ascii="Times New Roman" w:hAnsi="Times New Roman" w:cs="Times New Roman"/>
                <w:sz w:val="14"/>
                <w:szCs w:val="14"/>
                <w:lang w:eastAsia="sk-SK"/>
              </w:rPr>
            </w:pPr>
            <w:r w:rsidRPr="006F29C9">
              <w:rPr>
                <w:rFonts w:ascii="Times New Roman" w:hAnsi="Times New Roman" w:cs="Times New Roman"/>
                <w:sz w:val="14"/>
                <w:szCs w:val="14"/>
                <w:lang w:eastAsia="sk-SK"/>
              </w:rPr>
              <w:t xml:space="preserve">      Informačné technológie v RŠ</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0</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0</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6 621 349</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14 688 842</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386318" w:rsidRDefault="007D13F3" w:rsidP="00465CAC">
            <w:pPr>
              <w:jc w:val="right"/>
              <w:rPr>
                <w:rFonts w:ascii="Times New Roman" w:hAnsi="Times New Roman" w:cs="Times New Roman"/>
                <w:bCs/>
                <w:sz w:val="14"/>
                <w:szCs w:val="14"/>
                <w:lang w:eastAsia="sk-SK"/>
              </w:rPr>
            </w:pPr>
            <w:r w:rsidRPr="00386318">
              <w:rPr>
                <w:rFonts w:ascii="Times New Roman" w:hAnsi="Times New Roman" w:cs="Times New Roman"/>
                <w:bCs/>
                <w:sz w:val="14"/>
                <w:szCs w:val="14"/>
                <w:lang w:eastAsia="sk-SK"/>
              </w:rPr>
              <w:t>6 386 669</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6 386 669</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6 386 669</w:t>
            </w:r>
          </w:p>
        </w:tc>
      </w:tr>
      <w:tr w:rsidR="007D13F3" w:rsidRPr="006F29C9" w:rsidTr="00465CAC">
        <w:trPr>
          <w:trHeight w:hRule="exact" w:val="255"/>
        </w:trPr>
        <w:tc>
          <w:tcPr>
            <w:tcW w:w="1434" w:type="pct"/>
            <w:tcBorders>
              <w:top w:val="nil"/>
              <w:left w:val="single" w:sz="4" w:space="0" w:color="auto"/>
              <w:bottom w:val="single" w:sz="4" w:space="0" w:color="auto"/>
              <w:right w:val="single" w:sz="4" w:space="0" w:color="auto"/>
            </w:tcBorders>
            <w:shd w:val="clear" w:color="auto" w:fill="auto"/>
            <w:noWrap/>
            <w:vAlign w:val="bottom"/>
            <w:hideMark/>
          </w:tcPr>
          <w:p w:rsidR="007D13F3" w:rsidRPr="006F29C9" w:rsidRDefault="007D13F3" w:rsidP="00465CAC">
            <w:pPr>
              <w:rPr>
                <w:rFonts w:ascii="Times New Roman" w:hAnsi="Times New Roman" w:cs="Times New Roman"/>
                <w:sz w:val="14"/>
                <w:szCs w:val="14"/>
                <w:lang w:eastAsia="sk-SK"/>
              </w:rPr>
            </w:pPr>
            <w:r w:rsidRPr="006F29C9">
              <w:rPr>
                <w:rFonts w:ascii="Times New Roman" w:hAnsi="Times New Roman" w:cs="Times New Roman"/>
                <w:sz w:val="14"/>
                <w:szCs w:val="14"/>
                <w:lang w:eastAsia="sk-SK"/>
              </w:rPr>
              <w:t xml:space="preserve">      Výdavky na štipendiá </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4 546 429</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3 390 332</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3 390 332</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3 390 332</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386318" w:rsidRDefault="007D13F3" w:rsidP="00465CAC">
            <w:pPr>
              <w:jc w:val="right"/>
              <w:rPr>
                <w:rFonts w:ascii="Times New Roman" w:hAnsi="Times New Roman" w:cs="Times New Roman"/>
                <w:bCs/>
                <w:sz w:val="14"/>
                <w:szCs w:val="14"/>
                <w:lang w:eastAsia="sk-SK"/>
              </w:rPr>
            </w:pPr>
            <w:r w:rsidRPr="00386318">
              <w:rPr>
                <w:rFonts w:ascii="Times New Roman" w:hAnsi="Times New Roman" w:cs="Times New Roman"/>
                <w:bCs/>
                <w:sz w:val="14"/>
                <w:szCs w:val="14"/>
                <w:lang w:eastAsia="sk-SK"/>
              </w:rPr>
              <w:t>3 390 332</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3 390 332</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3 390 332</w:t>
            </w:r>
          </w:p>
        </w:tc>
      </w:tr>
      <w:tr w:rsidR="007D13F3" w:rsidRPr="006F29C9" w:rsidTr="00465CAC">
        <w:trPr>
          <w:trHeight w:hRule="exact" w:val="255"/>
        </w:trPr>
        <w:tc>
          <w:tcPr>
            <w:tcW w:w="1434" w:type="pct"/>
            <w:tcBorders>
              <w:top w:val="nil"/>
              <w:left w:val="single" w:sz="4" w:space="0" w:color="auto"/>
              <w:bottom w:val="single" w:sz="4" w:space="0" w:color="auto"/>
              <w:right w:val="single" w:sz="4" w:space="0" w:color="auto"/>
            </w:tcBorders>
            <w:shd w:val="clear" w:color="auto" w:fill="auto"/>
            <w:noWrap/>
            <w:vAlign w:val="bottom"/>
            <w:hideMark/>
          </w:tcPr>
          <w:p w:rsidR="007D13F3" w:rsidRPr="006F29C9" w:rsidRDefault="007D13F3" w:rsidP="00465CAC">
            <w:pPr>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Výdavky kapitoly MV SR</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1 076 281 350</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1 139 165 188</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1 110 512 932</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1 174 906 994</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1 171 913 360</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1 171 913 360</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b/>
                <w:bCs/>
                <w:sz w:val="14"/>
                <w:szCs w:val="14"/>
                <w:lang w:eastAsia="sk-SK"/>
              </w:rPr>
            </w:pPr>
            <w:r w:rsidRPr="006F29C9">
              <w:rPr>
                <w:rFonts w:ascii="Times New Roman" w:hAnsi="Times New Roman" w:cs="Times New Roman"/>
                <w:b/>
                <w:bCs/>
                <w:sz w:val="14"/>
                <w:szCs w:val="14"/>
                <w:lang w:eastAsia="sk-SK"/>
              </w:rPr>
              <w:t>1 171 913 360</w:t>
            </w:r>
          </w:p>
        </w:tc>
      </w:tr>
      <w:tr w:rsidR="007D13F3" w:rsidRPr="006F29C9" w:rsidTr="00465CAC">
        <w:trPr>
          <w:trHeight w:hRule="exact" w:val="255"/>
        </w:trPr>
        <w:tc>
          <w:tcPr>
            <w:tcW w:w="1434" w:type="pct"/>
            <w:tcBorders>
              <w:top w:val="nil"/>
              <w:left w:val="single" w:sz="4" w:space="0" w:color="auto"/>
              <w:bottom w:val="single" w:sz="4" w:space="0" w:color="auto"/>
              <w:right w:val="single" w:sz="4" w:space="0" w:color="auto"/>
            </w:tcBorders>
            <w:shd w:val="clear" w:color="auto" w:fill="auto"/>
            <w:noWrap/>
            <w:vAlign w:val="bottom"/>
            <w:hideMark/>
          </w:tcPr>
          <w:p w:rsidR="007D13F3" w:rsidRPr="006F29C9" w:rsidRDefault="007D13F3" w:rsidP="00465CAC">
            <w:pPr>
              <w:rPr>
                <w:rFonts w:ascii="Times New Roman" w:hAnsi="Times New Roman" w:cs="Times New Roman"/>
                <w:sz w:val="14"/>
                <w:szCs w:val="14"/>
                <w:lang w:eastAsia="sk-SK"/>
              </w:rPr>
            </w:pPr>
            <w:r w:rsidRPr="006F29C9">
              <w:rPr>
                <w:rFonts w:ascii="Times New Roman" w:hAnsi="Times New Roman" w:cs="Times New Roman"/>
                <w:sz w:val="14"/>
                <w:szCs w:val="14"/>
                <w:lang w:eastAsia="sk-SK"/>
              </w:rPr>
              <w:t xml:space="preserve">     Normatívne výdavky </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992 553 021</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1 043 875 956</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1 041 190 818</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1 085 580 404</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1 101 469 902</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1 101 469 902</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1 101 469 902</w:t>
            </w:r>
          </w:p>
        </w:tc>
      </w:tr>
      <w:tr w:rsidR="007D13F3" w:rsidRPr="006F29C9" w:rsidTr="00465CAC">
        <w:trPr>
          <w:trHeight w:hRule="exact" w:val="255"/>
        </w:trPr>
        <w:tc>
          <w:tcPr>
            <w:tcW w:w="1434" w:type="pct"/>
            <w:tcBorders>
              <w:top w:val="nil"/>
              <w:left w:val="single" w:sz="4" w:space="0" w:color="auto"/>
              <w:bottom w:val="single" w:sz="4" w:space="0" w:color="auto"/>
              <w:right w:val="single" w:sz="4" w:space="0" w:color="auto"/>
            </w:tcBorders>
            <w:shd w:val="clear" w:color="auto" w:fill="auto"/>
            <w:noWrap/>
            <w:vAlign w:val="bottom"/>
            <w:hideMark/>
          </w:tcPr>
          <w:p w:rsidR="007D13F3" w:rsidRPr="006F29C9" w:rsidRDefault="007D13F3" w:rsidP="00465CAC">
            <w:pPr>
              <w:rPr>
                <w:rFonts w:ascii="Times New Roman" w:hAnsi="Times New Roman" w:cs="Times New Roman"/>
                <w:sz w:val="14"/>
                <w:szCs w:val="14"/>
                <w:lang w:eastAsia="sk-SK"/>
              </w:rPr>
            </w:pPr>
            <w:r w:rsidRPr="006F29C9">
              <w:rPr>
                <w:rFonts w:ascii="Times New Roman" w:hAnsi="Times New Roman" w:cs="Times New Roman"/>
                <w:sz w:val="14"/>
                <w:szCs w:val="14"/>
                <w:lang w:eastAsia="sk-SK"/>
              </w:rPr>
              <w:t xml:space="preserve">     Nenormatívne výdavky </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63 435 142</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77 034 407</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58 393 579</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75 279 253</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59 288 847</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59 288 847</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59 288 847</w:t>
            </w:r>
          </w:p>
        </w:tc>
      </w:tr>
      <w:tr w:rsidR="007D13F3" w:rsidRPr="006F29C9" w:rsidTr="00465CAC">
        <w:trPr>
          <w:trHeight w:hRule="exact" w:val="255"/>
        </w:trPr>
        <w:tc>
          <w:tcPr>
            <w:tcW w:w="1434" w:type="pct"/>
            <w:tcBorders>
              <w:top w:val="nil"/>
              <w:left w:val="single" w:sz="4" w:space="0" w:color="auto"/>
              <w:bottom w:val="single" w:sz="4" w:space="0" w:color="auto"/>
              <w:right w:val="single" w:sz="4" w:space="0" w:color="auto"/>
            </w:tcBorders>
            <w:shd w:val="clear" w:color="auto" w:fill="auto"/>
            <w:noWrap/>
            <w:vAlign w:val="bottom"/>
            <w:hideMark/>
          </w:tcPr>
          <w:p w:rsidR="007D13F3" w:rsidRPr="006F29C9" w:rsidRDefault="007D13F3" w:rsidP="00465CAC">
            <w:pPr>
              <w:rPr>
                <w:rFonts w:ascii="Times New Roman" w:hAnsi="Times New Roman" w:cs="Times New Roman"/>
                <w:sz w:val="14"/>
                <w:szCs w:val="14"/>
                <w:lang w:eastAsia="sk-SK"/>
              </w:rPr>
            </w:pPr>
            <w:r w:rsidRPr="006F29C9">
              <w:rPr>
                <w:rFonts w:ascii="Times New Roman" w:hAnsi="Times New Roman" w:cs="Times New Roman"/>
                <w:sz w:val="14"/>
                <w:szCs w:val="14"/>
                <w:lang w:eastAsia="sk-SK"/>
              </w:rPr>
              <w:t xml:space="preserve">     Ostatné nenormatívne výdavky </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13 226 784</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11 071 038</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3 955 523</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6 668 047</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3 955 523</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3 955 523</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3 955 523</w:t>
            </w:r>
          </w:p>
        </w:tc>
      </w:tr>
      <w:tr w:rsidR="007D13F3" w:rsidRPr="006F29C9" w:rsidTr="00465CAC">
        <w:trPr>
          <w:trHeight w:hRule="exact" w:val="255"/>
        </w:trPr>
        <w:tc>
          <w:tcPr>
            <w:tcW w:w="1434" w:type="pct"/>
            <w:tcBorders>
              <w:top w:val="nil"/>
              <w:left w:val="single" w:sz="4" w:space="0" w:color="auto"/>
              <w:bottom w:val="single" w:sz="4" w:space="0" w:color="auto"/>
              <w:right w:val="single" w:sz="4" w:space="0" w:color="auto"/>
            </w:tcBorders>
            <w:shd w:val="clear" w:color="auto" w:fill="auto"/>
            <w:noWrap/>
            <w:vAlign w:val="bottom"/>
            <w:hideMark/>
          </w:tcPr>
          <w:p w:rsidR="007D13F3" w:rsidRPr="006F29C9" w:rsidRDefault="007D13F3" w:rsidP="00465CAC">
            <w:pPr>
              <w:rPr>
                <w:rFonts w:ascii="Times New Roman" w:hAnsi="Times New Roman" w:cs="Times New Roman"/>
                <w:sz w:val="14"/>
                <w:szCs w:val="14"/>
                <w:lang w:eastAsia="sk-SK"/>
              </w:rPr>
            </w:pPr>
            <w:r w:rsidRPr="006F29C9">
              <w:rPr>
                <w:rFonts w:ascii="Times New Roman" w:hAnsi="Times New Roman" w:cs="Times New Roman"/>
                <w:sz w:val="14"/>
                <w:szCs w:val="14"/>
                <w:lang w:eastAsia="sk-SK"/>
              </w:rPr>
              <w:t xml:space="preserve">     Administratívne výdavky (okresné úrady)</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7 066 403</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7 183 787</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6 973 012</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7 379 290</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7 199 088</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7 199 088</w:t>
            </w:r>
          </w:p>
        </w:tc>
        <w:tc>
          <w:tcPr>
            <w:tcW w:w="509" w:type="pct"/>
            <w:tcBorders>
              <w:top w:val="nil"/>
              <w:left w:val="nil"/>
              <w:bottom w:val="single" w:sz="4" w:space="0" w:color="auto"/>
              <w:right w:val="single" w:sz="4" w:space="0" w:color="auto"/>
            </w:tcBorders>
            <w:shd w:val="clear" w:color="auto" w:fill="auto"/>
            <w:noWrap/>
            <w:vAlign w:val="bottom"/>
            <w:hideMark/>
          </w:tcPr>
          <w:p w:rsidR="007D13F3" w:rsidRPr="006F29C9" w:rsidRDefault="007D13F3" w:rsidP="00465CAC">
            <w:pPr>
              <w:jc w:val="right"/>
              <w:rPr>
                <w:rFonts w:ascii="Times New Roman" w:hAnsi="Times New Roman" w:cs="Times New Roman"/>
                <w:sz w:val="14"/>
                <w:szCs w:val="14"/>
                <w:lang w:eastAsia="sk-SK"/>
              </w:rPr>
            </w:pPr>
            <w:r w:rsidRPr="006F29C9">
              <w:rPr>
                <w:rFonts w:ascii="Times New Roman" w:hAnsi="Times New Roman" w:cs="Times New Roman"/>
                <w:sz w:val="14"/>
                <w:szCs w:val="14"/>
                <w:lang w:eastAsia="sk-SK"/>
              </w:rPr>
              <w:t>7 199 088</w:t>
            </w:r>
          </w:p>
        </w:tc>
      </w:tr>
    </w:tbl>
    <w:p w:rsidR="007D13F3" w:rsidRDefault="007D13F3" w:rsidP="000E76EC">
      <w:pPr>
        <w:jc w:val="both"/>
        <w:rPr>
          <w:rFonts w:ascii="Times New Roman" w:hAnsi="Times New Roman" w:cs="Times New Roman"/>
          <w:b/>
          <w:szCs w:val="36"/>
        </w:rPr>
      </w:pPr>
      <w:r>
        <w:rPr>
          <w:rFonts w:ascii="Times New Roman" w:hAnsi="Times New Roman" w:cs="Times New Roman"/>
          <w:b/>
          <w:szCs w:val="36"/>
        </w:rPr>
        <w:tab/>
      </w:r>
    </w:p>
    <w:p w:rsidR="007D13F3" w:rsidRDefault="007D13F3" w:rsidP="000E76EC">
      <w:pPr>
        <w:ind w:firstLine="709"/>
        <w:jc w:val="both"/>
        <w:rPr>
          <w:rFonts w:ascii="Times New Roman" w:hAnsi="Times New Roman" w:cs="Times New Roman"/>
        </w:rPr>
      </w:pPr>
      <w:r w:rsidRPr="00933EB3">
        <w:rPr>
          <w:rFonts w:ascii="Times New Roman" w:hAnsi="Times New Roman" w:cs="Times New Roman"/>
        </w:rPr>
        <w:t>Výdavky štátneho rozpočtu poskytované prostredníctvom  MŠVVŠ SR na regionálne školstvo v roku  201</w:t>
      </w:r>
      <w:r>
        <w:rPr>
          <w:rFonts w:ascii="Times New Roman" w:hAnsi="Times New Roman" w:cs="Times New Roman"/>
        </w:rPr>
        <w:t>8</w:t>
      </w:r>
      <w:r w:rsidRPr="00933EB3">
        <w:rPr>
          <w:rFonts w:ascii="Times New Roman" w:hAnsi="Times New Roman" w:cs="Times New Roman"/>
        </w:rPr>
        <w:t xml:space="preserve"> sú v </w:t>
      </w:r>
      <w:r w:rsidRPr="00B366E3">
        <w:rPr>
          <w:rFonts w:ascii="Times New Roman" w:hAnsi="Times New Roman" w:cs="Times New Roman"/>
        </w:rPr>
        <w:t>sume 5</w:t>
      </w:r>
      <w:r>
        <w:rPr>
          <w:rFonts w:ascii="Times New Roman" w:hAnsi="Times New Roman" w:cs="Times New Roman"/>
        </w:rPr>
        <w:t>60</w:t>
      </w:r>
      <w:r w:rsidRPr="00B366E3">
        <w:rPr>
          <w:rFonts w:ascii="Times New Roman" w:hAnsi="Times New Roman" w:cs="Times New Roman"/>
        </w:rPr>
        <w:t xml:space="preserve"> mil. eur. Na medziročnej zmene výdavkov sa podieľa zapracovanie dopočtu 4% valorizácie platov nepedagogických</w:t>
      </w:r>
      <w:r>
        <w:rPr>
          <w:rFonts w:ascii="Times New Roman" w:hAnsi="Times New Roman" w:cs="Times New Roman"/>
        </w:rPr>
        <w:t xml:space="preserve"> </w:t>
      </w:r>
      <w:r w:rsidRPr="00933EB3">
        <w:rPr>
          <w:rFonts w:ascii="Times New Roman" w:hAnsi="Times New Roman" w:cs="Times New Roman"/>
        </w:rPr>
        <w:t>zamestnancov regionálneho školstva realizovanej v roku 201</w:t>
      </w:r>
      <w:r>
        <w:rPr>
          <w:rFonts w:ascii="Times New Roman" w:hAnsi="Times New Roman" w:cs="Times New Roman"/>
        </w:rPr>
        <w:t>7</w:t>
      </w:r>
      <w:r w:rsidRPr="00933EB3">
        <w:rPr>
          <w:rFonts w:ascii="Times New Roman" w:hAnsi="Times New Roman" w:cs="Times New Roman"/>
        </w:rPr>
        <w:t xml:space="preserve"> </w:t>
      </w:r>
      <w:r w:rsidRPr="00931500">
        <w:rPr>
          <w:rFonts w:ascii="Times New Roman" w:hAnsi="Times New Roman" w:cs="Times New Roman"/>
        </w:rPr>
        <w:t xml:space="preserve">a dopočtu 6% </w:t>
      </w:r>
      <w:r>
        <w:rPr>
          <w:rFonts w:ascii="Times New Roman" w:hAnsi="Times New Roman" w:cs="Times New Roman"/>
        </w:rPr>
        <w:t>valorizácie</w:t>
      </w:r>
      <w:r w:rsidRPr="00931500">
        <w:rPr>
          <w:rFonts w:ascii="Times New Roman" w:hAnsi="Times New Roman" w:cs="Times New Roman"/>
        </w:rPr>
        <w:t xml:space="preserve"> platov pedagogických a odborných zamestnancov od 1. 9. 2017</w:t>
      </w:r>
      <w:r>
        <w:rPr>
          <w:rFonts w:ascii="Times New Roman" w:hAnsi="Times New Roman" w:cs="Times New Roman"/>
        </w:rPr>
        <w:t>. Ďalej na medziročnú zmenu majú vplyv</w:t>
      </w:r>
      <w:r w:rsidRPr="00931500">
        <w:rPr>
          <w:rFonts w:ascii="Times New Roman" w:hAnsi="Times New Roman" w:cs="Times New Roman"/>
        </w:rPr>
        <w:t> zapracovan</w:t>
      </w:r>
      <w:r>
        <w:rPr>
          <w:rFonts w:ascii="Times New Roman" w:hAnsi="Times New Roman" w:cs="Times New Roman"/>
        </w:rPr>
        <w:t>é</w:t>
      </w:r>
      <w:r w:rsidRPr="00931500">
        <w:rPr>
          <w:rFonts w:ascii="Times New Roman" w:hAnsi="Times New Roman" w:cs="Times New Roman"/>
        </w:rPr>
        <w:t xml:space="preserve"> finančn</w:t>
      </w:r>
      <w:r>
        <w:rPr>
          <w:rFonts w:ascii="Times New Roman" w:hAnsi="Times New Roman" w:cs="Times New Roman"/>
        </w:rPr>
        <w:t>é</w:t>
      </w:r>
      <w:r w:rsidRPr="00931500">
        <w:rPr>
          <w:rFonts w:ascii="Times New Roman" w:hAnsi="Times New Roman" w:cs="Times New Roman"/>
        </w:rPr>
        <w:t xml:space="preserve"> prostriedk</w:t>
      </w:r>
      <w:r>
        <w:rPr>
          <w:rFonts w:ascii="Times New Roman" w:hAnsi="Times New Roman" w:cs="Times New Roman"/>
        </w:rPr>
        <w:t xml:space="preserve">y </w:t>
      </w:r>
      <w:r w:rsidRPr="00931500">
        <w:rPr>
          <w:rFonts w:ascii="Times New Roman" w:hAnsi="Times New Roman" w:cs="Times New Roman"/>
        </w:rPr>
        <w:t>na financovanie nevyhnutných potrieb nenormatívnych výdavkov</w:t>
      </w:r>
      <w:r>
        <w:rPr>
          <w:rFonts w:ascii="Times New Roman" w:hAnsi="Times New Roman" w:cs="Times New Roman"/>
        </w:rPr>
        <w:t>, ako je nákup a distribúcia učebníc a financovanie nových asistentov učiteľa v počte 580 osôb</w:t>
      </w:r>
      <w:r w:rsidRPr="00931500">
        <w:rPr>
          <w:rFonts w:ascii="Times New Roman" w:hAnsi="Times New Roman" w:cs="Times New Roman"/>
        </w:rPr>
        <w:t>.</w:t>
      </w:r>
      <w:r w:rsidRPr="00933EB3">
        <w:rPr>
          <w:rFonts w:ascii="Times New Roman" w:hAnsi="Times New Roman" w:cs="Times New Roman"/>
        </w:rPr>
        <w:t xml:space="preserve"> V celkových výdavkoch na regionálne školstvo sú zahrnuté aj výdavky na financovanie škôl v prírode a lyžiarskych kurzov, ktoré budú realizované aj prostredníctvom kapitoly MV SR, </w:t>
      </w:r>
      <w:r w:rsidRPr="0098205F">
        <w:rPr>
          <w:rFonts w:ascii="Times New Roman" w:hAnsi="Times New Roman" w:cs="Times New Roman"/>
        </w:rPr>
        <w:t xml:space="preserve">výdavky na zabezpečenie </w:t>
      </w:r>
      <w:r>
        <w:rPr>
          <w:rFonts w:ascii="Times New Roman" w:hAnsi="Times New Roman" w:cs="Times New Roman"/>
        </w:rPr>
        <w:t>príspevku na dopravné pre žiakov základných škôl</w:t>
      </w:r>
      <w:r w:rsidRPr="0098205F">
        <w:rPr>
          <w:rFonts w:ascii="Times New Roman" w:hAnsi="Times New Roman" w:cs="Times New Roman"/>
        </w:rPr>
        <w:t xml:space="preserve">, výdavky na stavovské a profesijné organizácie pre systém duálneho vzdelávania a na </w:t>
      </w:r>
      <w:r>
        <w:rPr>
          <w:rFonts w:ascii="Times New Roman" w:hAnsi="Times New Roman" w:cs="Times New Roman"/>
        </w:rPr>
        <w:t>podporu rozvoja vzdelávania v oblasti telesnej výchovy a športovej výchovy formou dostavby, rekonštrukcie alebo výstavby nových telocviční a na ich vybavenie.</w:t>
      </w:r>
    </w:p>
    <w:p w:rsidR="007D13F3" w:rsidRDefault="007D13F3" w:rsidP="007D13F3">
      <w:pPr>
        <w:ind w:firstLine="709"/>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933EB3">
        <w:rPr>
          <w:rFonts w:ascii="Times New Roman" w:hAnsi="Times New Roman" w:cs="Times New Roman"/>
        </w:rPr>
        <w:lastRenderedPageBreak/>
        <w:t xml:space="preserve"> Z kapitoly MV SR v roku 201</w:t>
      </w:r>
      <w:r>
        <w:rPr>
          <w:rFonts w:ascii="Times New Roman" w:hAnsi="Times New Roman" w:cs="Times New Roman"/>
        </w:rPr>
        <w:t>8</w:t>
      </w:r>
      <w:r w:rsidRPr="00933EB3">
        <w:rPr>
          <w:rFonts w:ascii="Times New Roman" w:hAnsi="Times New Roman" w:cs="Times New Roman"/>
        </w:rPr>
        <w:t xml:space="preserve"> budú financované výdavky pre špeciálne školy a špeciálne školské zariadenia (štátne školy), školy v zriaďovateľskej pôsobnosti obcí, cirkví a náboženských spoločností a súkromných osôb v sume </w:t>
      </w:r>
      <w:r w:rsidRPr="009A1F6B">
        <w:rPr>
          <w:rFonts w:ascii="Times New Roman" w:hAnsi="Times New Roman" w:cs="Times New Roman"/>
        </w:rPr>
        <w:t>1,17 mld. eur vrátane administratívnych výdavkov. Výdavky na financovanie regionálneho školstva prostredníctvom MV SR medziročne rastú o 61,4 mil. eur (o 5,53 %) z dôvo</w:t>
      </w:r>
      <w:r w:rsidRPr="00933EB3">
        <w:rPr>
          <w:rFonts w:ascii="Times New Roman" w:hAnsi="Times New Roman" w:cs="Times New Roman"/>
        </w:rPr>
        <w:t xml:space="preserve">du zapracovania </w:t>
      </w:r>
      <w:r>
        <w:rPr>
          <w:rFonts w:ascii="Times New Roman" w:hAnsi="Times New Roman" w:cs="Times New Roman"/>
        </w:rPr>
        <w:t xml:space="preserve">4% </w:t>
      </w:r>
      <w:r w:rsidRPr="00933EB3">
        <w:rPr>
          <w:rFonts w:ascii="Times New Roman" w:hAnsi="Times New Roman" w:cs="Times New Roman"/>
        </w:rPr>
        <w:t xml:space="preserve">valorizácie platov </w:t>
      </w:r>
      <w:r>
        <w:rPr>
          <w:rFonts w:ascii="Times New Roman" w:hAnsi="Times New Roman" w:cs="Times New Roman"/>
        </w:rPr>
        <w:t xml:space="preserve">nepedagogických </w:t>
      </w:r>
      <w:r w:rsidRPr="00933EB3">
        <w:rPr>
          <w:rFonts w:ascii="Times New Roman" w:hAnsi="Times New Roman" w:cs="Times New Roman"/>
        </w:rPr>
        <w:t xml:space="preserve">zamestnancov </w:t>
      </w:r>
      <w:r>
        <w:rPr>
          <w:rFonts w:ascii="Times New Roman" w:hAnsi="Times New Roman" w:cs="Times New Roman"/>
        </w:rPr>
        <w:t>regionálneho školstva</w:t>
      </w:r>
      <w:r w:rsidRPr="00933EB3">
        <w:rPr>
          <w:rFonts w:ascii="Times New Roman" w:hAnsi="Times New Roman" w:cs="Times New Roman"/>
        </w:rPr>
        <w:t xml:space="preserve"> realizovanej v roku 201</w:t>
      </w:r>
      <w:r>
        <w:rPr>
          <w:rFonts w:ascii="Times New Roman" w:hAnsi="Times New Roman" w:cs="Times New Roman"/>
        </w:rPr>
        <w:t xml:space="preserve">7 </w:t>
      </w:r>
      <w:r w:rsidRPr="004A6C4A">
        <w:rPr>
          <w:rFonts w:ascii="Times New Roman" w:hAnsi="Times New Roman" w:cs="Times New Roman"/>
        </w:rPr>
        <w:t xml:space="preserve">a dopočtu 6% </w:t>
      </w:r>
      <w:r>
        <w:rPr>
          <w:rFonts w:ascii="Times New Roman" w:hAnsi="Times New Roman" w:cs="Times New Roman"/>
        </w:rPr>
        <w:t>valorizácie</w:t>
      </w:r>
      <w:r w:rsidRPr="004A6C4A">
        <w:rPr>
          <w:rFonts w:ascii="Times New Roman" w:hAnsi="Times New Roman" w:cs="Times New Roman"/>
        </w:rPr>
        <w:t xml:space="preserve"> platov pedagogických a odborných zamestnancov vrátane asistentov učiteľov </w:t>
      </w:r>
      <w:r w:rsidR="000E76EC">
        <w:rPr>
          <w:rFonts w:ascii="Times New Roman" w:hAnsi="Times New Roman" w:cs="Times New Roman"/>
        </w:rPr>
        <w:br/>
      </w:r>
      <w:r w:rsidRPr="004A6C4A">
        <w:rPr>
          <w:rFonts w:ascii="Times New Roman" w:hAnsi="Times New Roman" w:cs="Times New Roman"/>
        </w:rPr>
        <w:t>od 1. 9. 2017.</w:t>
      </w:r>
      <w:r w:rsidRPr="00933EB3">
        <w:rPr>
          <w:rFonts w:ascii="Times New Roman" w:hAnsi="Times New Roman" w:cs="Times New Roman"/>
        </w:rPr>
        <w:t xml:space="preserve"> </w:t>
      </w:r>
    </w:p>
    <w:p w:rsidR="007D13F3" w:rsidRPr="00933EB3" w:rsidRDefault="007D13F3" w:rsidP="007D13F3">
      <w:pPr>
        <w:ind w:firstLine="708"/>
        <w:jc w:val="both"/>
        <w:rPr>
          <w:rFonts w:ascii="Times New Roman" w:hAnsi="Times New Roman" w:cs="Times New Roman"/>
        </w:rPr>
      </w:pPr>
    </w:p>
    <w:p w:rsidR="007D13F3" w:rsidRDefault="007D13F3" w:rsidP="007D13F3">
      <w:pPr>
        <w:ind w:firstLine="709"/>
        <w:jc w:val="both"/>
        <w:rPr>
          <w:rFonts w:ascii="Times New Roman" w:hAnsi="Times New Roman" w:cs="Times New Roman"/>
        </w:rPr>
      </w:pPr>
      <w:r w:rsidRPr="00933EB3">
        <w:rPr>
          <w:rFonts w:ascii="Times New Roman" w:hAnsi="Times New Roman" w:cs="Times New Roman"/>
        </w:rPr>
        <w:t>V limite výdavkov sú zabezpečené normatívne výdavky, nenormatívne výdavky, administratívne výdavky pre rozpočtové a príspevkové organizácie rezortov, ktoré vykonávajú činnosť súvisiacu s regionálnym školstvom a výdavky na štipendiá.</w:t>
      </w:r>
    </w:p>
    <w:p w:rsidR="007D13F3" w:rsidRPr="00933EB3" w:rsidRDefault="007D13F3" w:rsidP="007D13F3">
      <w:pPr>
        <w:ind w:firstLine="709"/>
        <w:jc w:val="both"/>
        <w:rPr>
          <w:rFonts w:ascii="Times New Roman" w:hAnsi="Times New Roman" w:cs="Times New Roman"/>
        </w:rPr>
      </w:pPr>
    </w:p>
    <w:p w:rsidR="007D13F3" w:rsidRDefault="007D13F3" w:rsidP="007D13F3">
      <w:pPr>
        <w:ind w:firstLine="709"/>
        <w:jc w:val="both"/>
        <w:rPr>
          <w:rFonts w:ascii="Times New Roman" w:hAnsi="Times New Roman" w:cs="Times New Roman"/>
        </w:rPr>
      </w:pPr>
      <w:r w:rsidRPr="00933EB3">
        <w:rPr>
          <w:rFonts w:ascii="Times New Roman" w:hAnsi="Times New Roman" w:cs="Times New Roman"/>
        </w:rPr>
        <w:t>Pri financovaní regionálneho školstva sa uplatňuje financovanie prostredníctvom normatívu na žiaka. V objeme bežných výdavkov sú zahrnuté okrem osobných výdavkov a prevádzky všetkých typov škôl aj nenormatívne výdavky v zmysle zákona o financovaní základných škôl, stredných škôl a školských zariadení na úhradu vakcín proti hepatitíde typu A </w:t>
      </w:r>
      <w:proofErr w:type="spellStart"/>
      <w:r w:rsidRPr="00933EB3">
        <w:rPr>
          <w:rFonts w:ascii="Times New Roman" w:hAnsi="Times New Roman" w:cs="Times New Roman"/>
        </w:rPr>
        <w:t>a</w:t>
      </w:r>
      <w:proofErr w:type="spellEnd"/>
      <w:r w:rsidRPr="00933EB3">
        <w:rPr>
          <w:rFonts w:ascii="Times New Roman" w:hAnsi="Times New Roman" w:cs="Times New Roman"/>
        </w:rPr>
        <w:t xml:space="preserve"> B, výdavky na bezplatnú výchovu detí od 5 rokov v materských školách, na dopravné žiakom, na asistentov učiteľa, na odchodné, vzdelávacie poukazy, mimoriadne výsledky žiakov, výdavky pre žiakov zo sociálne znevýhodneného prostredia, na havárie, ďalej výdavky určené na učebnice, prevádzku </w:t>
      </w:r>
      <w:proofErr w:type="spellStart"/>
      <w:r w:rsidRPr="00933EB3">
        <w:rPr>
          <w:rFonts w:ascii="Times New Roman" w:hAnsi="Times New Roman" w:cs="Times New Roman"/>
        </w:rPr>
        <w:t>EDUNETu</w:t>
      </w:r>
      <w:proofErr w:type="spellEnd"/>
      <w:r w:rsidRPr="00933EB3">
        <w:rPr>
          <w:rFonts w:ascii="Times New Roman" w:hAnsi="Times New Roman" w:cs="Times New Roman"/>
        </w:rPr>
        <w:t>, súťaže žiakov, na pobyty žiakov v školách prírody</w:t>
      </w:r>
      <w:r>
        <w:rPr>
          <w:rFonts w:ascii="Times New Roman" w:hAnsi="Times New Roman" w:cs="Times New Roman"/>
        </w:rPr>
        <w:t>,</w:t>
      </w:r>
      <w:r w:rsidRPr="00933EB3">
        <w:rPr>
          <w:rFonts w:ascii="Times New Roman" w:hAnsi="Times New Roman" w:cs="Times New Roman"/>
        </w:rPr>
        <w:t> absolvovanie lyžiarskych kurzov</w:t>
      </w:r>
      <w:r>
        <w:rPr>
          <w:rFonts w:ascii="Times New Roman" w:hAnsi="Times New Roman" w:cs="Times New Roman"/>
        </w:rPr>
        <w:t xml:space="preserve"> a rozvojové projekty</w:t>
      </w:r>
      <w:r w:rsidRPr="00933EB3">
        <w:rPr>
          <w:rFonts w:ascii="Times New Roman" w:hAnsi="Times New Roman" w:cs="Times New Roman"/>
        </w:rPr>
        <w:t xml:space="preserve">. </w:t>
      </w:r>
    </w:p>
    <w:p w:rsidR="007D13F3" w:rsidRPr="00933EB3" w:rsidRDefault="007D13F3" w:rsidP="007D13F3">
      <w:pPr>
        <w:ind w:firstLine="709"/>
        <w:jc w:val="both"/>
        <w:rPr>
          <w:rFonts w:ascii="Times New Roman" w:hAnsi="Times New Roman" w:cs="Times New Roman"/>
        </w:rPr>
      </w:pPr>
    </w:p>
    <w:p w:rsidR="007D13F3" w:rsidRDefault="007D13F3" w:rsidP="007D13F3">
      <w:pPr>
        <w:ind w:firstLine="709"/>
        <w:jc w:val="both"/>
        <w:rPr>
          <w:rFonts w:ascii="Times New Roman" w:hAnsi="Times New Roman" w:cs="Times New Roman"/>
        </w:rPr>
      </w:pPr>
      <w:r w:rsidRPr="00933EB3">
        <w:rPr>
          <w:rFonts w:ascii="Times New Roman" w:hAnsi="Times New Roman" w:cs="Times New Roman"/>
        </w:rPr>
        <w:t xml:space="preserve">Kapitálové výdavky kapitoly MŠVVŠ SR pre regionálne školstvo sú navrhované vo </w:t>
      </w:r>
      <w:r w:rsidRPr="009A1F6B">
        <w:rPr>
          <w:rFonts w:ascii="Times New Roman" w:hAnsi="Times New Roman" w:cs="Times New Roman"/>
        </w:rPr>
        <w:t>výške 7,72 mil. eur.</w:t>
      </w:r>
      <w:r w:rsidRPr="00933EB3">
        <w:rPr>
          <w:rFonts w:ascii="Times New Roman" w:hAnsi="Times New Roman" w:cs="Times New Roman"/>
        </w:rPr>
        <w:t xml:space="preserve"> Tieto sú určené hlavne na odstraňovanie havárií a na </w:t>
      </w:r>
      <w:r w:rsidRPr="008B76E3">
        <w:rPr>
          <w:rFonts w:ascii="Times New Roman" w:hAnsi="Times New Roman" w:cs="Times New Roman"/>
        </w:rPr>
        <w:t>dostavby, rekonštrukcie alebo výstavby nov</w:t>
      </w:r>
      <w:r>
        <w:rPr>
          <w:rFonts w:ascii="Times New Roman" w:hAnsi="Times New Roman" w:cs="Times New Roman"/>
        </w:rPr>
        <w:t>ých</w:t>
      </w:r>
      <w:r w:rsidRPr="008B76E3">
        <w:rPr>
          <w:rFonts w:ascii="Times New Roman" w:hAnsi="Times New Roman" w:cs="Times New Roman"/>
        </w:rPr>
        <w:t xml:space="preserve"> telocvičn</w:t>
      </w:r>
      <w:r>
        <w:rPr>
          <w:rFonts w:ascii="Times New Roman" w:hAnsi="Times New Roman" w:cs="Times New Roman"/>
        </w:rPr>
        <w:t>í</w:t>
      </w:r>
      <w:r w:rsidRPr="008B76E3">
        <w:rPr>
          <w:rFonts w:ascii="Times New Roman" w:hAnsi="Times New Roman" w:cs="Times New Roman"/>
        </w:rPr>
        <w:t xml:space="preserve"> a </w:t>
      </w:r>
      <w:r>
        <w:rPr>
          <w:rFonts w:ascii="Times New Roman" w:hAnsi="Times New Roman" w:cs="Times New Roman"/>
        </w:rPr>
        <w:t>ich</w:t>
      </w:r>
      <w:r w:rsidRPr="008B76E3">
        <w:rPr>
          <w:rFonts w:ascii="Times New Roman" w:hAnsi="Times New Roman" w:cs="Times New Roman"/>
        </w:rPr>
        <w:t xml:space="preserve"> vybaveni</w:t>
      </w:r>
      <w:r>
        <w:rPr>
          <w:rFonts w:ascii="Times New Roman" w:hAnsi="Times New Roman" w:cs="Times New Roman"/>
        </w:rPr>
        <w:t>a</w:t>
      </w:r>
      <w:r w:rsidRPr="008B76E3">
        <w:rPr>
          <w:rFonts w:ascii="Times New Roman" w:hAnsi="Times New Roman" w:cs="Times New Roman"/>
        </w:rPr>
        <w:t>.</w:t>
      </w:r>
    </w:p>
    <w:p w:rsidR="007D13F3" w:rsidRDefault="007D13F3" w:rsidP="007D13F3">
      <w:pPr>
        <w:ind w:firstLine="709"/>
        <w:jc w:val="both"/>
        <w:rPr>
          <w:rFonts w:ascii="Times New Roman" w:hAnsi="Times New Roman" w:cs="Times New Roman"/>
        </w:rPr>
      </w:pPr>
    </w:p>
    <w:p w:rsidR="007D13F3" w:rsidRDefault="007D13F3" w:rsidP="007D13F3">
      <w:pPr>
        <w:ind w:firstLine="709"/>
        <w:jc w:val="both"/>
        <w:rPr>
          <w:rFonts w:ascii="Times New Roman" w:hAnsi="Times New Roman" w:cs="Times New Roman"/>
        </w:rPr>
      </w:pPr>
      <w:r w:rsidRPr="00933EB3">
        <w:rPr>
          <w:rFonts w:ascii="Times New Roman" w:hAnsi="Times New Roman" w:cs="Times New Roman"/>
        </w:rPr>
        <w:t xml:space="preserve">Do disponibilných zdrojov, okrem výdavkov zo štátneho rozpočtu poskytovaných prostredníctvom MŠVVŠ SR a MV SR na regionálne školstvo, vstupujú aj výdavky na financovanie rezortných stredných odborných škôl v zriaďovateľskej pôsobnosti MV SR (stredné odborné školy policajného zboru a stredná odborná škola požiarnej ochrany) v sume </w:t>
      </w:r>
      <w:r>
        <w:rPr>
          <w:rFonts w:ascii="Times New Roman" w:hAnsi="Times New Roman" w:cs="Times New Roman"/>
        </w:rPr>
        <w:t>7,02</w:t>
      </w:r>
      <w:r w:rsidRPr="00933EB3">
        <w:rPr>
          <w:rFonts w:ascii="Times New Roman" w:hAnsi="Times New Roman" w:cs="Times New Roman"/>
        </w:rPr>
        <w:t xml:space="preserve"> mil. eur.</w:t>
      </w:r>
    </w:p>
    <w:p w:rsidR="007D13F3" w:rsidRDefault="007D13F3" w:rsidP="007D13F3">
      <w:pPr>
        <w:ind w:firstLine="709"/>
        <w:jc w:val="both"/>
        <w:rPr>
          <w:rFonts w:ascii="Times New Roman" w:hAnsi="Times New Roman" w:cs="Times New Roman"/>
          <w:b/>
        </w:rPr>
      </w:pPr>
    </w:p>
    <w:p w:rsidR="007D13F3" w:rsidRDefault="007D13F3" w:rsidP="007D13F3">
      <w:pPr>
        <w:spacing w:after="200"/>
        <w:ind w:firstLine="709"/>
        <w:jc w:val="both"/>
        <w:rPr>
          <w:rFonts w:ascii="Times New Roman" w:hAnsi="Times New Roman" w:cs="Times New Roman"/>
        </w:rPr>
      </w:pPr>
      <w:r w:rsidRPr="00933EB3">
        <w:rPr>
          <w:rFonts w:ascii="Times New Roman" w:hAnsi="Times New Roman" w:cs="Times New Roman"/>
        </w:rPr>
        <w:t>Prehľad administratívnych výdavkov pre organizácie rezortu, ktoré vykonávajú činnosti súvisiace s regionálnym školstvom.</w:t>
      </w:r>
    </w:p>
    <w:tbl>
      <w:tblPr>
        <w:tblW w:w="9061" w:type="dxa"/>
        <w:tblLayout w:type="fixed"/>
        <w:tblCellMar>
          <w:left w:w="70" w:type="dxa"/>
          <w:right w:w="70" w:type="dxa"/>
        </w:tblCellMar>
        <w:tblLook w:val="04A0" w:firstRow="1" w:lastRow="0" w:firstColumn="1" w:lastColumn="0" w:noHBand="0" w:noVBand="1"/>
      </w:tblPr>
      <w:tblGrid>
        <w:gridCol w:w="3228"/>
        <w:gridCol w:w="834"/>
        <w:gridCol w:w="834"/>
        <w:gridCol w:w="833"/>
        <w:gridCol w:w="833"/>
        <w:gridCol w:w="833"/>
        <w:gridCol w:w="833"/>
        <w:gridCol w:w="833"/>
      </w:tblGrid>
      <w:tr w:rsidR="007D13F3" w:rsidRPr="003568A4" w:rsidTr="00465CAC">
        <w:trPr>
          <w:trHeight w:val="225"/>
        </w:trPr>
        <w:tc>
          <w:tcPr>
            <w:tcW w:w="3279" w:type="dxa"/>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3568A4" w:rsidRDefault="007D13F3" w:rsidP="00465CAC">
            <w:pPr>
              <w:rPr>
                <w:rFonts w:ascii="Times New Roman" w:hAnsi="Times New Roman" w:cs="Times New Roman"/>
                <w:b/>
                <w:sz w:val="14"/>
                <w:szCs w:val="14"/>
                <w:lang w:eastAsia="sk-SK"/>
              </w:rPr>
            </w:pPr>
            <w:r w:rsidRPr="003568A4">
              <w:rPr>
                <w:rFonts w:ascii="Times New Roman" w:hAnsi="Times New Roman" w:cs="Times New Roman"/>
                <w:b/>
                <w:sz w:val="14"/>
                <w:szCs w:val="14"/>
                <w:lang w:eastAsia="sk-SK"/>
              </w:rPr>
              <w:t>v eurách</w:t>
            </w:r>
          </w:p>
        </w:tc>
        <w:tc>
          <w:tcPr>
            <w:tcW w:w="845" w:type="dxa"/>
            <w:tcBorders>
              <w:top w:val="single" w:sz="4" w:space="0" w:color="auto"/>
              <w:left w:val="nil"/>
              <w:bottom w:val="single" w:sz="4" w:space="0" w:color="auto"/>
              <w:right w:val="single" w:sz="4" w:space="0" w:color="auto"/>
            </w:tcBorders>
            <w:shd w:val="pct35" w:color="000000" w:fill="auto"/>
            <w:vAlign w:val="center"/>
            <w:hideMark/>
          </w:tcPr>
          <w:p w:rsidR="007D13F3" w:rsidRPr="003568A4" w:rsidRDefault="007D13F3" w:rsidP="00465CAC">
            <w:pPr>
              <w:jc w:val="center"/>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 xml:space="preserve">2015 S </w:t>
            </w:r>
          </w:p>
        </w:tc>
        <w:tc>
          <w:tcPr>
            <w:tcW w:w="845" w:type="dxa"/>
            <w:tcBorders>
              <w:top w:val="single" w:sz="4" w:space="0" w:color="auto"/>
              <w:left w:val="nil"/>
              <w:bottom w:val="single" w:sz="4" w:space="0" w:color="auto"/>
              <w:right w:val="single" w:sz="4" w:space="0" w:color="auto"/>
            </w:tcBorders>
            <w:shd w:val="pct35" w:color="000000" w:fill="auto"/>
            <w:vAlign w:val="center"/>
            <w:hideMark/>
          </w:tcPr>
          <w:p w:rsidR="007D13F3" w:rsidRPr="003568A4" w:rsidRDefault="007D13F3" w:rsidP="00465CAC">
            <w:pPr>
              <w:jc w:val="center"/>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2016 S</w:t>
            </w:r>
          </w:p>
        </w:tc>
        <w:tc>
          <w:tcPr>
            <w:tcW w:w="845" w:type="dxa"/>
            <w:tcBorders>
              <w:top w:val="single" w:sz="4" w:space="0" w:color="auto"/>
              <w:left w:val="nil"/>
              <w:bottom w:val="single" w:sz="4" w:space="0" w:color="auto"/>
              <w:right w:val="single" w:sz="4" w:space="0" w:color="auto"/>
            </w:tcBorders>
            <w:shd w:val="pct35" w:color="000000" w:fill="auto"/>
            <w:vAlign w:val="center"/>
            <w:hideMark/>
          </w:tcPr>
          <w:p w:rsidR="007D13F3" w:rsidRPr="003568A4" w:rsidRDefault="007D13F3" w:rsidP="00465CAC">
            <w:pPr>
              <w:jc w:val="center"/>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2017 R</w:t>
            </w:r>
          </w:p>
        </w:tc>
        <w:tc>
          <w:tcPr>
            <w:tcW w:w="845" w:type="dxa"/>
            <w:tcBorders>
              <w:top w:val="single" w:sz="4" w:space="0" w:color="auto"/>
              <w:left w:val="nil"/>
              <w:bottom w:val="single" w:sz="4" w:space="0" w:color="auto"/>
              <w:right w:val="single" w:sz="4" w:space="0" w:color="auto"/>
            </w:tcBorders>
            <w:shd w:val="pct35" w:color="000000" w:fill="auto"/>
            <w:vAlign w:val="center"/>
            <w:hideMark/>
          </w:tcPr>
          <w:p w:rsidR="007D13F3" w:rsidRPr="003568A4" w:rsidRDefault="007D13F3" w:rsidP="00465CAC">
            <w:pPr>
              <w:jc w:val="center"/>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2017 OS</w:t>
            </w:r>
          </w:p>
        </w:tc>
        <w:tc>
          <w:tcPr>
            <w:tcW w:w="845" w:type="dxa"/>
            <w:tcBorders>
              <w:top w:val="single" w:sz="4" w:space="0" w:color="auto"/>
              <w:left w:val="nil"/>
              <w:bottom w:val="single" w:sz="4" w:space="0" w:color="auto"/>
              <w:right w:val="single" w:sz="4" w:space="0" w:color="auto"/>
            </w:tcBorders>
            <w:shd w:val="pct35" w:color="000000" w:fill="auto"/>
            <w:vAlign w:val="center"/>
            <w:hideMark/>
          </w:tcPr>
          <w:p w:rsidR="007D13F3" w:rsidRPr="003568A4" w:rsidRDefault="007D13F3" w:rsidP="00465CAC">
            <w:pPr>
              <w:jc w:val="center"/>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2018 N</w:t>
            </w:r>
          </w:p>
        </w:tc>
        <w:tc>
          <w:tcPr>
            <w:tcW w:w="845" w:type="dxa"/>
            <w:tcBorders>
              <w:top w:val="single" w:sz="4" w:space="0" w:color="auto"/>
              <w:left w:val="nil"/>
              <w:bottom w:val="single" w:sz="4" w:space="0" w:color="auto"/>
              <w:right w:val="single" w:sz="4" w:space="0" w:color="auto"/>
            </w:tcBorders>
            <w:shd w:val="pct35" w:color="000000" w:fill="auto"/>
            <w:vAlign w:val="center"/>
            <w:hideMark/>
          </w:tcPr>
          <w:p w:rsidR="007D13F3" w:rsidRPr="003568A4" w:rsidRDefault="007D13F3" w:rsidP="00465CAC">
            <w:pPr>
              <w:jc w:val="center"/>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2019 N</w:t>
            </w:r>
          </w:p>
        </w:tc>
        <w:tc>
          <w:tcPr>
            <w:tcW w:w="845" w:type="dxa"/>
            <w:tcBorders>
              <w:top w:val="single" w:sz="4" w:space="0" w:color="auto"/>
              <w:left w:val="nil"/>
              <w:bottom w:val="single" w:sz="4" w:space="0" w:color="auto"/>
              <w:right w:val="single" w:sz="4" w:space="0" w:color="auto"/>
            </w:tcBorders>
            <w:shd w:val="pct35" w:color="000000" w:fill="auto"/>
            <w:vAlign w:val="center"/>
            <w:hideMark/>
          </w:tcPr>
          <w:p w:rsidR="007D13F3" w:rsidRPr="003568A4" w:rsidRDefault="007D13F3" w:rsidP="00465CAC">
            <w:pPr>
              <w:jc w:val="center"/>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2019 N</w:t>
            </w:r>
          </w:p>
        </w:tc>
      </w:tr>
      <w:tr w:rsidR="007D13F3" w:rsidRPr="003568A4" w:rsidTr="00465CAC">
        <w:trPr>
          <w:trHeight w:val="225"/>
        </w:trPr>
        <w:tc>
          <w:tcPr>
            <w:tcW w:w="3279" w:type="dxa"/>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3568A4" w:rsidRDefault="007D13F3" w:rsidP="00465CAC">
            <w:pPr>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Rozpočtové a príspevkové  organizácie spolu</w:t>
            </w:r>
          </w:p>
        </w:tc>
        <w:tc>
          <w:tcPr>
            <w:tcW w:w="845" w:type="dxa"/>
            <w:tcBorders>
              <w:top w:val="single" w:sz="4" w:space="0" w:color="auto"/>
              <w:left w:val="nil"/>
              <w:bottom w:val="single" w:sz="4" w:space="0" w:color="auto"/>
              <w:right w:val="single" w:sz="4" w:space="0" w:color="auto"/>
            </w:tcBorders>
            <w:shd w:val="pct25" w:color="000000" w:fill="auto"/>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28 995 259</w:t>
            </w:r>
          </w:p>
        </w:tc>
        <w:tc>
          <w:tcPr>
            <w:tcW w:w="845" w:type="dxa"/>
            <w:tcBorders>
              <w:top w:val="single" w:sz="4" w:space="0" w:color="auto"/>
              <w:left w:val="nil"/>
              <w:bottom w:val="single" w:sz="4" w:space="0" w:color="auto"/>
              <w:right w:val="single" w:sz="4" w:space="0" w:color="auto"/>
            </w:tcBorders>
            <w:shd w:val="pct25" w:color="000000" w:fill="auto"/>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33 402 007</w:t>
            </w:r>
          </w:p>
        </w:tc>
        <w:tc>
          <w:tcPr>
            <w:tcW w:w="845" w:type="dxa"/>
            <w:tcBorders>
              <w:top w:val="single" w:sz="4" w:space="0" w:color="auto"/>
              <w:left w:val="nil"/>
              <w:bottom w:val="single" w:sz="4" w:space="0" w:color="auto"/>
              <w:right w:val="single" w:sz="4" w:space="0" w:color="auto"/>
            </w:tcBorders>
            <w:shd w:val="pct25" w:color="000000" w:fill="auto"/>
            <w:vAlign w:val="bottom"/>
            <w:hideMark/>
          </w:tcPr>
          <w:p w:rsidR="007D13F3" w:rsidRPr="003568A4" w:rsidRDefault="007D13F3" w:rsidP="00F9563E">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21 541 97</w:t>
            </w:r>
            <w:r w:rsidR="00F9563E">
              <w:rPr>
                <w:rFonts w:ascii="Times New Roman" w:hAnsi="Times New Roman" w:cs="Times New Roman"/>
                <w:b/>
                <w:bCs/>
                <w:sz w:val="14"/>
                <w:szCs w:val="14"/>
                <w:lang w:eastAsia="sk-SK"/>
              </w:rPr>
              <w:t>5</w:t>
            </w:r>
          </w:p>
        </w:tc>
        <w:tc>
          <w:tcPr>
            <w:tcW w:w="845" w:type="dxa"/>
            <w:tcBorders>
              <w:top w:val="single" w:sz="4" w:space="0" w:color="auto"/>
              <w:left w:val="nil"/>
              <w:bottom w:val="single" w:sz="4" w:space="0" w:color="auto"/>
              <w:right w:val="single" w:sz="4" w:space="0" w:color="auto"/>
            </w:tcBorders>
            <w:shd w:val="pct25" w:color="000000" w:fill="auto"/>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23 324 043</w:t>
            </w:r>
          </w:p>
        </w:tc>
        <w:tc>
          <w:tcPr>
            <w:tcW w:w="845" w:type="dxa"/>
            <w:tcBorders>
              <w:top w:val="single" w:sz="4" w:space="0" w:color="auto"/>
              <w:left w:val="nil"/>
              <w:bottom w:val="single" w:sz="4" w:space="0" w:color="auto"/>
              <w:right w:val="single" w:sz="4" w:space="0" w:color="auto"/>
            </w:tcBorders>
            <w:shd w:val="pct25" w:color="000000" w:fill="auto"/>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21 991 433</w:t>
            </w:r>
          </w:p>
        </w:tc>
        <w:tc>
          <w:tcPr>
            <w:tcW w:w="845" w:type="dxa"/>
            <w:tcBorders>
              <w:top w:val="single" w:sz="4" w:space="0" w:color="auto"/>
              <w:left w:val="nil"/>
              <w:bottom w:val="single" w:sz="4" w:space="0" w:color="auto"/>
              <w:right w:val="single" w:sz="4" w:space="0" w:color="auto"/>
            </w:tcBorders>
            <w:shd w:val="pct25" w:color="000000" w:fill="auto"/>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21 991 433</w:t>
            </w:r>
          </w:p>
        </w:tc>
        <w:tc>
          <w:tcPr>
            <w:tcW w:w="845" w:type="dxa"/>
            <w:tcBorders>
              <w:top w:val="single" w:sz="4" w:space="0" w:color="auto"/>
              <w:left w:val="nil"/>
              <w:bottom w:val="single" w:sz="4" w:space="0" w:color="auto"/>
              <w:right w:val="single" w:sz="4" w:space="0" w:color="auto"/>
            </w:tcBorders>
            <w:shd w:val="pct25" w:color="000000" w:fill="auto"/>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21 991 433</w:t>
            </w:r>
          </w:p>
        </w:tc>
      </w:tr>
      <w:tr w:rsidR="007D13F3" w:rsidRPr="003568A4" w:rsidTr="00465CAC">
        <w:trPr>
          <w:trHeight w:val="225"/>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7D13F3" w:rsidRPr="003568A4" w:rsidRDefault="007D13F3" w:rsidP="00465CAC">
            <w:pPr>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Rozpočtové organizácie spolu z toho:</w:t>
            </w:r>
          </w:p>
        </w:tc>
        <w:tc>
          <w:tcPr>
            <w:tcW w:w="845" w:type="dxa"/>
            <w:tcBorders>
              <w:top w:val="nil"/>
              <w:left w:val="nil"/>
              <w:bottom w:val="single" w:sz="4" w:space="0" w:color="auto"/>
              <w:right w:val="single" w:sz="4" w:space="0" w:color="auto"/>
            </w:tcBorders>
            <w:shd w:val="clear" w:color="auto" w:fill="auto"/>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27 251 841</w:t>
            </w:r>
          </w:p>
        </w:tc>
        <w:tc>
          <w:tcPr>
            <w:tcW w:w="845" w:type="dxa"/>
            <w:tcBorders>
              <w:top w:val="nil"/>
              <w:left w:val="nil"/>
              <w:bottom w:val="single" w:sz="4" w:space="0" w:color="auto"/>
              <w:right w:val="single" w:sz="4" w:space="0" w:color="auto"/>
            </w:tcBorders>
            <w:shd w:val="clear" w:color="auto" w:fill="auto"/>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31 338 622</w:t>
            </w:r>
          </w:p>
        </w:tc>
        <w:tc>
          <w:tcPr>
            <w:tcW w:w="845" w:type="dxa"/>
            <w:tcBorders>
              <w:top w:val="nil"/>
              <w:left w:val="nil"/>
              <w:bottom w:val="single" w:sz="4" w:space="0" w:color="auto"/>
              <w:right w:val="single" w:sz="4" w:space="0" w:color="auto"/>
            </w:tcBorders>
            <w:shd w:val="clear" w:color="auto" w:fill="auto"/>
            <w:vAlign w:val="bottom"/>
            <w:hideMark/>
          </w:tcPr>
          <w:p w:rsidR="007D13F3" w:rsidRPr="003568A4" w:rsidRDefault="007D13F3" w:rsidP="00F9563E">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19 765 05</w:t>
            </w:r>
            <w:r w:rsidR="00F9563E">
              <w:rPr>
                <w:rFonts w:ascii="Times New Roman" w:hAnsi="Times New Roman" w:cs="Times New Roman"/>
                <w:b/>
                <w:bCs/>
                <w:sz w:val="14"/>
                <w:szCs w:val="14"/>
                <w:lang w:eastAsia="sk-SK"/>
              </w:rPr>
              <w:t>4</w:t>
            </w:r>
          </w:p>
        </w:tc>
        <w:tc>
          <w:tcPr>
            <w:tcW w:w="845" w:type="dxa"/>
            <w:tcBorders>
              <w:top w:val="nil"/>
              <w:left w:val="nil"/>
              <w:bottom w:val="single" w:sz="4" w:space="0" w:color="auto"/>
              <w:right w:val="single" w:sz="4" w:space="0" w:color="auto"/>
            </w:tcBorders>
            <w:shd w:val="clear" w:color="auto" w:fill="auto"/>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21 233 230</w:t>
            </w:r>
          </w:p>
        </w:tc>
        <w:tc>
          <w:tcPr>
            <w:tcW w:w="845" w:type="dxa"/>
            <w:tcBorders>
              <w:top w:val="nil"/>
              <w:left w:val="nil"/>
              <w:bottom w:val="single" w:sz="4" w:space="0" w:color="auto"/>
              <w:right w:val="single" w:sz="4" w:space="0" w:color="auto"/>
            </w:tcBorders>
            <w:shd w:val="clear" w:color="auto" w:fill="auto"/>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20 165 770</w:t>
            </w:r>
          </w:p>
        </w:tc>
        <w:tc>
          <w:tcPr>
            <w:tcW w:w="845" w:type="dxa"/>
            <w:tcBorders>
              <w:top w:val="nil"/>
              <w:left w:val="nil"/>
              <w:bottom w:val="single" w:sz="4" w:space="0" w:color="auto"/>
              <w:right w:val="single" w:sz="4" w:space="0" w:color="auto"/>
            </w:tcBorders>
            <w:shd w:val="clear" w:color="auto" w:fill="auto"/>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20 165 770</w:t>
            </w:r>
          </w:p>
        </w:tc>
        <w:tc>
          <w:tcPr>
            <w:tcW w:w="845" w:type="dxa"/>
            <w:tcBorders>
              <w:top w:val="nil"/>
              <w:left w:val="nil"/>
              <w:bottom w:val="single" w:sz="4" w:space="0" w:color="auto"/>
              <w:right w:val="single" w:sz="4" w:space="0" w:color="auto"/>
            </w:tcBorders>
            <w:shd w:val="clear" w:color="auto" w:fill="auto"/>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20 165 770</w:t>
            </w:r>
          </w:p>
        </w:tc>
      </w:tr>
      <w:tr w:rsidR="007D13F3" w:rsidRPr="003568A4" w:rsidTr="00465CAC">
        <w:trPr>
          <w:trHeight w:val="225"/>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7D13F3" w:rsidRPr="003568A4" w:rsidRDefault="007D13F3" w:rsidP="00465CAC">
            <w:pPr>
              <w:rPr>
                <w:rFonts w:ascii="Times New Roman" w:hAnsi="Times New Roman" w:cs="Times New Roman"/>
                <w:sz w:val="14"/>
                <w:szCs w:val="14"/>
                <w:lang w:eastAsia="sk-SK"/>
              </w:rPr>
            </w:pPr>
            <w:r w:rsidRPr="003568A4">
              <w:rPr>
                <w:rFonts w:ascii="Times New Roman" w:hAnsi="Times New Roman" w:cs="Times New Roman"/>
                <w:sz w:val="14"/>
                <w:szCs w:val="14"/>
                <w:lang w:eastAsia="sk-SK"/>
              </w:rPr>
              <w:t>Metodicko-pedagogické centrum</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6 476 327</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10 803 850</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2 960 442</w:t>
            </w:r>
          </w:p>
        </w:tc>
        <w:tc>
          <w:tcPr>
            <w:tcW w:w="845" w:type="dxa"/>
            <w:tcBorders>
              <w:top w:val="nil"/>
              <w:left w:val="nil"/>
              <w:bottom w:val="single" w:sz="4" w:space="0" w:color="auto"/>
              <w:right w:val="single" w:sz="4" w:space="0" w:color="auto"/>
            </w:tcBorders>
            <w:shd w:val="clear" w:color="auto" w:fill="auto"/>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8 866 922</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3 075 711</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3 075 711</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3 075 711</w:t>
            </w:r>
          </w:p>
        </w:tc>
      </w:tr>
      <w:tr w:rsidR="007D13F3" w:rsidRPr="003568A4" w:rsidTr="00465CAC">
        <w:trPr>
          <w:trHeight w:val="225"/>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7D13F3" w:rsidRPr="003568A4" w:rsidRDefault="007D13F3" w:rsidP="00465CAC">
            <w:pPr>
              <w:rPr>
                <w:rFonts w:ascii="Times New Roman" w:hAnsi="Times New Roman" w:cs="Times New Roman"/>
                <w:sz w:val="14"/>
                <w:szCs w:val="14"/>
                <w:lang w:eastAsia="sk-SK"/>
              </w:rPr>
            </w:pPr>
            <w:r w:rsidRPr="003568A4">
              <w:rPr>
                <w:rFonts w:ascii="Times New Roman" w:hAnsi="Times New Roman" w:cs="Times New Roman"/>
                <w:sz w:val="14"/>
                <w:szCs w:val="14"/>
                <w:lang w:eastAsia="sk-SK"/>
              </w:rPr>
              <w:t>Štátny inštitút odborného vzdelávania</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1 399 601</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3 104 328</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1 106 912</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1 196 538</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1 129 290</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1 129 290</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1 129 290</w:t>
            </w:r>
          </w:p>
        </w:tc>
      </w:tr>
      <w:tr w:rsidR="007D13F3" w:rsidRPr="003568A4" w:rsidTr="00465CAC">
        <w:trPr>
          <w:trHeight w:val="225"/>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7D13F3" w:rsidRPr="003568A4" w:rsidRDefault="007D13F3" w:rsidP="00465CAC">
            <w:pPr>
              <w:rPr>
                <w:rFonts w:ascii="Times New Roman" w:hAnsi="Times New Roman" w:cs="Times New Roman"/>
                <w:sz w:val="14"/>
                <w:szCs w:val="14"/>
                <w:lang w:eastAsia="sk-SK"/>
              </w:rPr>
            </w:pPr>
            <w:r w:rsidRPr="003568A4">
              <w:rPr>
                <w:rFonts w:ascii="Times New Roman" w:hAnsi="Times New Roman" w:cs="Times New Roman"/>
                <w:sz w:val="14"/>
                <w:szCs w:val="14"/>
                <w:lang w:eastAsia="sk-SK"/>
              </w:rPr>
              <w:t>Štátny pedagogický ústav</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1 903 589</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1 660 572</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1 418 301</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1 507 202</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1 449 352</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1 449 352</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1 449 352</w:t>
            </w:r>
          </w:p>
        </w:tc>
      </w:tr>
      <w:tr w:rsidR="007D13F3" w:rsidRPr="003568A4" w:rsidTr="00465CAC">
        <w:trPr>
          <w:trHeight w:val="225"/>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7D13F3" w:rsidRPr="003568A4" w:rsidRDefault="007D13F3" w:rsidP="00465CAC">
            <w:pPr>
              <w:rPr>
                <w:rFonts w:ascii="Times New Roman" w:hAnsi="Times New Roman" w:cs="Times New Roman"/>
                <w:sz w:val="14"/>
                <w:szCs w:val="14"/>
                <w:lang w:eastAsia="sk-SK"/>
              </w:rPr>
            </w:pPr>
            <w:r w:rsidRPr="003568A4">
              <w:rPr>
                <w:rFonts w:ascii="Times New Roman" w:hAnsi="Times New Roman" w:cs="Times New Roman"/>
                <w:sz w:val="14"/>
                <w:szCs w:val="14"/>
                <w:lang w:eastAsia="sk-SK"/>
              </w:rPr>
              <w:t>Štátna školská inšpekcia</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4 407 918</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4 779 428</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4 340 107</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4 482 995</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4 489 803</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4 489 803</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4 489 803</w:t>
            </w:r>
          </w:p>
        </w:tc>
      </w:tr>
      <w:tr w:rsidR="007D13F3" w:rsidRPr="003568A4" w:rsidTr="00465CAC">
        <w:trPr>
          <w:trHeight w:val="225"/>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7D13F3" w:rsidRPr="003568A4" w:rsidRDefault="007D13F3" w:rsidP="00465CAC">
            <w:pPr>
              <w:rPr>
                <w:rFonts w:ascii="Times New Roman" w:hAnsi="Times New Roman" w:cs="Times New Roman"/>
                <w:sz w:val="14"/>
                <w:szCs w:val="14"/>
                <w:lang w:eastAsia="sk-SK"/>
              </w:rPr>
            </w:pPr>
            <w:r w:rsidRPr="003568A4">
              <w:rPr>
                <w:rFonts w:ascii="Times New Roman" w:hAnsi="Times New Roman" w:cs="Times New Roman"/>
                <w:sz w:val="14"/>
                <w:szCs w:val="14"/>
                <w:lang w:eastAsia="sk-SK"/>
              </w:rPr>
              <w:t>Slovenská pedagogická knižnica</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350 246</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356 878</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309 414</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321 987</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317 083</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317 083</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317 083</w:t>
            </w:r>
          </w:p>
        </w:tc>
      </w:tr>
      <w:tr w:rsidR="007D13F3" w:rsidRPr="003568A4" w:rsidTr="00465CAC">
        <w:trPr>
          <w:trHeight w:val="225"/>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7D13F3" w:rsidRPr="003568A4" w:rsidRDefault="007D13F3" w:rsidP="00465CAC">
            <w:pPr>
              <w:rPr>
                <w:rFonts w:ascii="Times New Roman" w:hAnsi="Times New Roman" w:cs="Times New Roman"/>
                <w:sz w:val="14"/>
                <w:szCs w:val="14"/>
                <w:lang w:eastAsia="sk-SK"/>
              </w:rPr>
            </w:pPr>
            <w:r w:rsidRPr="003568A4">
              <w:rPr>
                <w:rFonts w:ascii="Times New Roman" w:hAnsi="Times New Roman" w:cs="Times New Roman"/>
                <w:sz w:val="14"/>
                <w:szCs w:val="14"/>
                <w:lang w:eastAsia="sk-SK"/>
              </w:rPr>
              <w:t>Národný ústav certifikovaných meraní vzdelávania</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1 899 445</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2 776 008</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1 525 041</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2 050 843</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1 546 985</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1 546 985</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1 546 985</w:t>
            </w:r>
          </w:p>
        </w:tc>
      </w:tr>
      <w:tr w:rsidR="007D13F3" w:rsidRPr="003568A4" w:rsidTr="00465CAC">
        <w:trPr>
          <w:trHeight w:val="225"/>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7D13F3" w:rsidRPr="003568A4" w:rsidRDefault="007D13F3" w:rsidP="00465CAC">
            <w:pPr>
              <w:rPr>
                <w:rFonts w:ascii="Times New Roman" w:hAnsi="Times New Roman" w:cs="Times New Roman"/>
                <w:sz w:val="14"/>
                <w:szCs w:val="14"/>
                <w:lang w:eastAsia="sk-SK"/>
              </w:rPr>
            </w:pPr>
            <w:r w:rsidRPr="003568A4">
              <w:rPr>
                <w:rFonts w:ascii="Times New Roman" w:hAnsi="Times New Roman" w:cs="Times New Roman"/>
                <w:sz w:val="14"/>
                <w:szCs w:val="14"/>
                <w:lang w:eastAsia="sk-SK"/>
              </w:rPr>
              <w:t>Školské úrady VÚC</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352 574</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347 676</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467 221</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477 028</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475 579</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475 579</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475 579</w:t>
            </w:r>
          </w:p>
        </w:tc>
      </w:tr>
      <w:tr w:rsidR="007D13F3" w:rsidRPr="003568A4" w:rsidTr="00465CAC">
        <w:trPr>
          <w:trHeight w:val="225"/>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7D13F3" w:rsidRPr="003568A4" w:rsidRDefault="007D13F3" w:rsidP="00465CAC">
            <w:pPr>
              <w:rPr>
                <w:rFonts w:ascii="Times New Roman" w:hAnsi="Times New Roman" w:cs="Times New Roman"/>
                <w:sz w:val="14"/>
                <w:szCs w:val="14"/>
                <w:lang w:eastAsia="sk-SK"/>
              </w:rPr>
            </w:pPr>
            <w:r w:rsidRPr="003568A4">
              <w:rPr>
                <w:rFonts w:ascii="Times New Roman" w:hAnsi="Times New Roman" w:cs="Times New Roman"/>
                <w:sz w:val="14"/>
                <w:szCs w:val="14"/>
                <w:lang w:eastAsia="sk-SK"/>
              </w:rPr>
              <w:t>Ministerstvo školstva, vedy, výskumu a športu SR</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10 462 141</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7 509 882</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F9563E">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7 637 61</w:t>
            </w:r>
            <w:r w:rsidR="00F9563E">
              <w:rPr>
                <w:rFonts w:ascii="Times New Roman" w:hAnsi="Times New Roman" w:cs="Times New Roman"/>
                <w:sz w:val="14"/>
                <w:szCs w:val="14"/>
                <w:lang w:eastAsia="sk-SK"/>
              </w:rPr>
              <w:t>6</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2 329 715</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7 681 967</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7 681 967</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7 681 967</w:t>
            </w:r>
          </w:p>
        </w:tc>
      </w:tr>
      <w:tr w:rsidR="007D13F3" w:rsidRPr="003568A4" w:rsidTr="00465CAC">
        <w:trPr>
          <w:trHeight w:val="225"/>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7D13F3" w:rsidRPr="003568A4" w:rsidRDefault="007D13F3" w:rsidP="00465CAC">
            <w:pPr>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Príspevkové organizácie spolu</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1 743 418</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2 063 385</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1 776 921</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2 090 813</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1 825 663</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1 825 663</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b/>
                <w:bCs/>
                <w:sz w:val="14"/>
                <w:szCs w:val="14"/>
                <w:lang w:eastAsia="sk-SK"/>
              </w:rPr>
            </w:pPr>
            <w:r w:rsidRPr="003568A4">
              <w:rPr>
                <w:rFonts w:ascii="Times New Roman" w:hAnsi="Times New Roman" w:cs="Times New Roman"/>
                <w:b/>
                <w:bCs/>
                <w:sz w:val="14"/>
                <w:szCs w:val="14"/>
                <w:lang w:eastAsia="sk-SK"/>
              </w:rPr>
              <w:t>1 825 663</w:t>
            </w:r>
          </w:p>
        </w:tc>
      </w:tr>
      <w:tr w:rsidR="007D13F3" w:rsidRPr="003568A4" w:rsidTr="00465CAC">
        <w:trPr>
          <w:trHeight w:val="225"/>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7D13F3" w:rsidRPr="003568A4" w:rsidRDefault="007D13F3" w:rsidP="00465CAC">
            <w:pPr>
              <w:rPr>
                <w:rFonts w:ascii="Times New Roman" w:hAnsi="Times New Roman" w:cs="Times New Roman"/>
                <w:sz w:val="14"/>
                <w:szCs w:val="14"/>
                <w:lang w:eastAsia="sk-SK"/>
              </w:rPr>
            </w:pPr>
            <w:r w:rsidRPr="003568A4">
              <w:rPr>
                <w:rFonts w:ascii="Times New Roman" w:hAnsi="Times New Roman" w:cs="Times New Roman"/>
                <w:sz w:val="14"/>
                <w:szCs w:val="14"/>
                <w:lang w:eastAsia="sk-SK"/>
              </w:rPr>
              <w:t>Domov Speváckeho zboru slovenských učiteľov</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292 693</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307 230</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307 230</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316 617</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315 230</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315 230</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315 230</w:t>
            </w:r>
          </w:p>
        </w:tc>
      </w:tr>
      <w:tr w:rsidR="007D13F3" w:rsidRPr="003568A4" w:rsidTr="00465CAC">
        <w:trPr>
          <w:trHeight w:val="225"/>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7D13F3" w:rsidRPr="003568A4" w:rsidRDefault="007D13F3" w:rsidP="00465CAC">
            <w:pPr>
              <w:rPr>
                <w:rFonts w:ascii="Times New Roman" w:hAnsi="Times New Roman" w:cs="Times New Roman"/>
                <w:sz w:val="14"/>
                <w:szCs w:val="14"/>
                <w:lang w:eastAsia="sk-SK"/>
              </w:rPr>
            </w:pPr>
            <w:r w:rsidRPr="003568A4">
              <w:rPr>
                <w:rFonts w:ascii="Times New Roman" w:hAnsi="Times New Roman" w:cs="Times New Roman"/>
                <w:sz w:val="14"/>
                <w:szCs w:val="14"/>
                <w:lang w:eastAsia="sk-SK"/>
              </w:rPr>
              <w:t>Výskum</w:t>
            </w:r>
            <w:r>
              <w:rPr>
                <w:rFonts w:ascii="Times New Roman" w:hAnsi="Times New Roman" w:cs="Times New Roman"/>
                <w:sz w:val="14"/>
                <w:szCs w:val="14"/>
                <w:lang w:eastAsia="sk-SK"/>
              </w:rPr>
              <w:t>.</w:t>
            </w:r>
            <w:r w:rsidRPr="003568A4">
              <w:rPr>
                <w:rFonts w:ascii="Times New Roman" w:hAnsi="Times New Roman" w:cs="Times New Roman"/>
                <w:sz w:val="14"/>
                <w:szCs w:val="14"/>
                <w:lang w:eastAsia="sk-SK"/>
              </w:rPr>
              <w:t xml:space="preserve"> ústav detskej psychológie a </w:t>
            </w:r>
            <w:r>
              <w:rPr>
                <w:rFonts w:ascii="Times New Roman" w:hAnsi="Times New Roman" w:cs="Times New Roman"/>
                <w:sz w:val="14"/>
                <w:szCs w:val="14"/>
                <w:lang w:eastAsia="sk-SK"/>
              </w:rPr>
              <w:t>p</w:t>
            </w:r>
            <w:r w:rsidRPr="003568A4">
              <w:rPr>
                <w:rFonts w:ascii="Times New Roman" w:hAnsi="Times New Roman" w:cs="Times New Roman"/>
                <w:sz w:val="14"/>
                <w:szCs w:val="14"/>
                <w:lang w:eastAsia="sk-SK"/>
              </w:rPr>
              <w:t>atopsychológie</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719 344</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1 019 429</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696 049</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975 193</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721 176</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721 176</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721 176</w:t>
            </w:r>
          </w:p>
        </w:tc>
      </w:tr>
      <w:tr w:rsidR="007D13F3" w:rsidRPr="003568A4" w:rsidTr="00465CAC">
        <w:trPr>
          <w:trHeight w:val="225"/>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7D13F3" w:rsidRPr="003568A4" w:rsidRDefault="007D13F3" w:rsidP="00465CAC">
            <w:pPr>
              <w:rPr>
                <w:rFonts w:ascii="Times New Roman" w:hAnsi="Times New Roman" w:cs="Times New Roman"/>
                <w:sz w:val="14"/>
                <w:szCs w:val="14"/>
                <w:lang w:eastAsia="sk-SK"/>
              </w:rPr>
            </w:pPr>
            <w:r w:rsidRPr="003568A4">
              <w:rPr>
                <w:rFonts w:ascii="Times New Roman" w:hAnsi="Times New Roman" w:cs="Times New Roman"/>
                <w:sz w:val="14"/>
                <w:szCs w:val="14"/>
                <w:lang w:eastAsia="sk-SK"/>
              </w:rPr>
              <w:t>Centrum vedecko-technických informácií</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731 381</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736 726</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773 642</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799 003</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789 257</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789 257</w:t>
            </w:r>
          </w:p>
        </w:tc>
        <w:tc>
          <w:tcPr>
            <w:tcW w:w="845" w:type="dxa"/>
            <w:tcBorders>
              <w:top w:val="nil"/>
              <w:left w:val="nil"/>
              <w:bottom w:val="single" w:sz="4" w:space="0" w:color="auto"/>
              <w:right w:val="single" w:sz="4" w:space="0" w:color="auto"/>
            </w:tcBorders>
            <w:shd w:val="clear" w:color="auto" w:fill="auto"/>
            <w:noWrap/>
            <w:vAlign w:val="bottom"/>
            <w:hideMark/>
          </w:tcPr>
          <w:p w:rsidR="007D13F3" w:rsidRPr="003568A4" w:rsidRDefault="007D13F3" w:rsidP="00465CAC">
            <w:pPr>
              <w:jc w:val="right"/>
              <w:rPr>
                <w:rFonts w:ascii="Times New Roman" w:hAnsi="Times New Roman" w:cs="Times New Roman"/>
                <w:sz w:val="14"/>
                <w:szCs w:val="14"/>
                <w:lang w:eastAsia="sk-SK"/>
              </w:rPr>
            </w:pPr>
            <w:r w:rsidRPr="003568A4">
              <w:rPr>
                <w:rFonts w:ascii="Times New Roman" w:hAnsi="Times New Roman" w:cs="Times New Roman"/>
                <w:sz w:val="14"/>
                <w:szCs w:val="14"/>
                <w:lang w:eastAsia="sk-SK"/>
              </w:rPr>
              <w:t>789 257</w:t>
            </w:r>
          </w:p>
        </w:tc>
      </w:tr>
    </w:tbl>
    <w:p w:rsidR="007D13F3" w:rsidRDefault="007D13F3" w:rsidP="007D13F3">
      <w:pPr>
        <w:spacing w:line="276" w:lineRule="auto"/>
        <w:jc w:val="both"/>
        <w:rPr>
          <w:rFonts w:ascii="Times New Roman" w:hAnsi="Times New Roman" w:cs="Times New Roman"/>
          <w:b/>
        </w:rPr>
      </w:pPr>
    </w:p>
    <w:p w:rsidR="007D13F3" w:rsidRDefault="007D13F3" w:rsidP="007D13F3">
      <w:pPr>
        <w:spacing w:after="160" w:line="259" w:lineRule="auto"/>
        <w:rPr>
          <w:rFonts w:ascii="Times New Roman" w:hAnsi="Times New Roman" w:cs="Times New Roman"/>
          <w:b/>
        </w:rPr>
      </w:pPr>
      <w:r>
        <w:rPr>
          <w:rFonts w:ascii="Times New Roman" w:hAnsi="Times New Roman" w:cs="Times New Roman"/>
          <w:b/>
        </w:rPr>
        <w:br w:type="page"/>
      </w:r>
    </w:p>
    <w:p w:rsidR="007D13F3" w:rsidRDefault="007D13F3" w:rsidP="007D13F3">
      <w:pPr>
        <w:spacing w:line="276" w:lineRule="auto"/>
        <w:jc w:val="both"/>
        <w:rPr>
          <w:rFonts w:ascii="Times New Roman" w:hAnsi="Times New Roman" w:cs="Times New Roman"/>
          <w:b/>
        </w:rPr>
      </w:pPr>
      <w:r w:rsidRPr="00933EB3">
        <w:rPr>
          <w:rFonts w:ascii="Times New Roman" w:hAnsi="Times New Roman" w:cs="Times New Roman"/>
          <w:b/>
        </w:rPr>
        <w:lastRenderedPageBreak/>
        <w:t>Vysoké školstvo vrátane rezortného vysokého školstva</w:t>
      </w:r>
    </w:p>
    <w:p w:rsidR="007D13F3" w:rsidRDefault="007D13F3" w:rsidP="007D13F3">
      <w:pPr>
        <w:spacing w:line="276" w:lineRule="auto"/>
        <w:jc w:val="both"/>
        <w:rPr>
          <w:rFonts w:ascii="Times New Roman" w:hAnsi="Times New Roman" w:cs="Times New Roman"/>
          <w:b/>
        </w:rPr>
      </w:pPr>
    </w:p>
    <w:p w:rsidR="007D13F3" w:rsidRPr="009A046E" w:rsidRDefault="007D13F3" w:rsidP="007D13F3">
      <w:pPr>
        <w:ind w:firstLine="709"/>
        <w:jc w:val="both"/>
        <w:rPr>
          <w:rFonts w:ascii="Times New Roman" w:hAnsi="Times New Roman" w:cs="Times New Roman"/>
          <w:bCs/>
          <w:color w:val="000000"/>
        </w:rPr>
      </w:pPr>
      <w:r w:rsidRPr="008A005B">
        <w:rPr>
          <w:rFonts w:ascii="Times New Roman" w:hAnsi="Times New Roman" w:cs="Times New Roman"/>
        </w:rPr>
        <w:t xml:space="preserve">Podiel vysokoškolsky vzdelaného obyvateľstva na Slovensku je podľa </w:t>
      </w:r>
      <w:proofErr w:type="spellStart"/>
      <w:r w:rsidRPr="008A005B">
        <w:rPr>
          <w:rFonts w:ascii="Times New Roman" w:hAnsi="Times New Roman" w:cs="Times New Roman"/>
        </w:rPr>
        <w:t>Eurostatu</w:t>
      </w:r>
      <w:proofErr w:type="spellEnd"/>
      <w:r w:rsidRPr="008A005B">
        <w:rPr>
          <w:rFonts w:ascii="Times New Roman" w:hAnsi="Times New Roman" w:cs="Times New Roman"/>
        </w:rPr>
        <w:t xml:space="preserve"> oproti krajinám EÚ stále nízky, medzi 30 – 34 ročnými sa však za posledných 10 rokov zdvojnásobil. V roku 2014 podiel aktuálnych študentov, u ktorých sa očakáva ukončenie VŠ vzdelania, prekročil 40 % cieľ Stratégie</w:t>
      </w:r>
      <w:r w:rsidRPr="008A005B">
        <w:rPr>
          <w:rFonts w:ascii="Times New Roman" w:eastAsia="Calibri" w:hAnsi="Times New Roman" w:cs="Times New Roman"/>
        </w:rPr>
        <w:t xml:space="preserve"> EU 2020. V porovnaní s inými krajinami OECD má však Slovensko nízky podiel mladých dospelých končiacich vzdelanie s titulom bakalára, veľký podiel študentov pokračuje v štúdiu na druhom stupni. </w:t>
      </w:r>
      <w:r w:rsidRPr="008A005B">
        <w:rPr>
          <w:rFonts w:ascii="Times New Roman" w:hAnsi="Times New Roman" w:cs="Times New Roman"/>
          <w:bCs/>
          <w:color w:val="000000"/>
        </w:rPr>
        <w:t>Revízia výdavkov na vzdelávanie preto odporučila:</w:t>
      </w:r>
    </w:p>
    <w:p w:rsidR="007D13F3" w:rsidRPr="009A046E" w:rsidRDefault="007D13F3" w:rsidP="007D13F3">
      <w:pPr>
        <w:pStyle w:val="Odsekzoznamu"/>
        <w:numPr>
          <w:ilvl w:val="0"/>
          <w:numId w:val="43"/>
        </w:numPr>
        <w:spacing w:after="160" w:line="240" w:lineRule="exact"/>
        <w:ind w:left="284" w:right="-20" w:hanging="284"/>
        <w:jc w:val="both"/>
        <w:rPr>
          <w:rFonts w:ascii="Times New Roman" w:hAnsi="Times New Roman" w:cs="Times New Roman"/>
          <w:color w:val="000000"/>
          <w:lang w:eastAsia="sk-SK"/>
        </w:rPr>
      </w:pPr>
      <w:r w:rsidRPr="009A046E">
        <w:rPr>
          <w:rFonts w:ascii="Times New Roman" w:hAnsi="Times New Roman" w:cs="Times New Roman"/>
          <w:color w:val="000000"/>
          <w:lang w:eastAsia="sk-SK"/>
        </w:rPr>
        <w:t>prijať opatrenia na zvýšenie podielu bakalárskych študentov, ktorí nepokračujú v magisterskom štúdiu</w:t>
      </w:r>
      <w:r w:rsidR="00F9563E">
        <w:rPr>
          <w:rFonts w:ascii="Times New Roman" w:hAnsi="Times New Roman" w:cs="Times New Roman"/>
          <w:color w:val="000000"/>
          <w:lang w:eastAsia="sk-SK"/>
        </w:rPr>
        <w:t>,</w:t>
      </w:r>
    </w:p>
    <w:p w:rsidR="007D13F3" w:rsidRPr="009A046E" w:rsidRDefault="007D13F3" w:rsidP="007D13F3">
      <w:pPr>
        <w:pStyle w:val="Odsekzoznamu"/>
        <w:numPr>
          <w:ilvl w:val="0"/>
          <w:numId w:val="43"/>
        </w:numPr>
        <w:spacing w:after="160" w:line="240" w:lineRule="exact"/>
        <w:ind w:left="284" w:right="-20" w:hanging="284"/>
        <w:jc w:val="both"/>
        <w:rPr>
          <w:rFonts w:ascii="Times New Roman" w:hAnsi="Times New Roman" w:cs="Times New Roman"/>
          <w:color w:val="000000"/>
          <w:lang w:eastAsia="sk-SK"/>
        </w:rPr>
      </w:pPr>
      <w:r w:rsidRPr="009A046E">
        <w:rPr>
          <w:rFonts w:ascii="Times New Roman" w:hAnsi="Times New Roman" w:cs="Times New Roman"/>
          <w:color w:val="000000"/>
          <w:lang w:eastAsia="sk-SK"/>
        </w:rPr>
        <w:t>upraviť podmienky pre realizáciu profesijne orientovaných bakalárskych programov</w:t>
      </w:r>
      <w:r w:rsidR="00F9563E">
        <w:rPr>
          <w:rFonts w:ascii="Times New Roman" w:hAnsi="Times New Roman" w:cs="Times New Roman"/>
          <w:color w:val="000000"/>
          <w:lang w:eastAsia="sk-SK"/>
        </w:rPr>
        <w:t>.</w:t>
      </w:r>
    </w:p>
    <w:p w:rsidR="007D13F3" w:rsidRPr="009A046E" w:rsidRDefault="007D13F3" w:rsidP="007D13F3">
      <w:pPr>
        <w:ind w:right="-20"/>
        <w:rPr>
          <w:rFonts w:ascii="Times New Roman" w:hAnsi="Times New Roman" w:cs="Times New Roman"/>
          <w:bCs/>
          <w:color w:val="000000"/>
        </w:rPr>
      </w:pPr>
    </w:p>
    <w:tbl>
      <w:tblPr>
        <w:tblStyle w:val="Mriekatabuky"/>
        <w:tblpPr w:leftFromText="141" w:rightFromText="141" w:vertAnchor="text" w:horzAnchor="margin" w:tblpYSpec="bottom"/>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2"/>
      </w:tblGrid>
      <w:tr w:rsidR="007D13F3" w:rsidRPr="0099378E" w:rsidTr="00465CAC">
        <w:trPr>
          <w:trHeight w:val="70"/>
        </w:trPr>
        <w:tc>
          <w:tcPr>
            <w:tcW w:w="9072" w:type="dxa"/>
            <w:tcBorders>
              <w:bottom w:val="single" w:sz="4" w:space="0" w:color="auto"/>
            </w:tcBorders>
            <w:vAlign w:val="bottom"/>
          </w:tcPr>
          <w:p w:rsidR="007D13F3" w:rsidRPr="009A046E" w:rsidRDefault="007D13F3" w:rsidP="00465CAC">
            <w:pPr>
              <w:keepNext/>
              <w:ind w:right="-20"/>
              <w:rPr>
                <w:rFonts w:ascii="Times New Roman" w:hAnsi="Times New Roman" w:cs="Times New Roman"/>
                <w:noProof/>
                <w:sz w:val="18"/>
                <w:szCs w:val="18"/>
              </w:rPr>
            </w:pPr>
            <w:bookmarkStart w:id="89" w:name="_Toc487200860"/>
            <w:r w:rsidRPr="009A046E">
              <w:rPr>
                <w:rFonts w:ascii="Times New Roman" w:hAnsi="Times New Roman" w:cs="Times New Roman"/>
                <w:b/>
                <w:sz w:val="18"/>
                <w:szCs w:val="18"/>
              </w:rPr>
              <w:t>Graf</w:t>
            </w:r>
            <w:r w:rsidRPr="009A046E">
              <w:rPr>
                <w:rFonts w:ascii="Times New Roman" w:hAnsi="Times New Roman" w:cs="Times New Roman"/>
                <w:b/>
                <w:noProof/>
                <w:sz w:val="18"/>
                <w:szCs w:val="18"/>
              </w:rPr>
              <w:t xml:space="preserve">: </w:t>
            </w:r>
            <w:r w:rsidRPr="009A046E">
              <w:rPr>
                <w:rStyle w:val="Bodytext295pt"/>
                <w:rFonts w:ascii="Times New Roman" w:hAnsi="Times New Roman"/>
                <w:b/>
                <w:sz w:val="18"/>
                <w:szCs w:val="18"/>
              </w:rPr>
              <w:t>Podiel populácie podľa najvyššieho dosiahnutého vysokoškolského vzdelania (2015)</w:t>
            </w:r>
            <w:bookmarkEnd w:id="89"/>
            <w:r w:rsidRPr="009A046E">
              <w:rPr>
                <w:rStyle w:val="Bodytext295pt"/>
                <w:rFonts w:ascii="Times New Roman" w:hAnsi="Times New Roman"/>
                <w:sz w:val="18"/>
                <w:szCs w:val="18"/>
              </w:rPr>
              <w:t xml:space="preserve"> </w:t>
            </w:r>
          </w:p>
        </w:tc>
      </w:tr>
      <w:tr w:rsidR="007D13F3" w:rsidRPr="0099378E" w:rsidTr="00465CAC">
        <w:trPr>
          <w:trHeight w:val="3041"/>
        </w:trPr>
        <w:tc>
          <w:tcPr>
            <w:tcW w:w="9072" w:type="dxa"/>
            <w:tcBorders>
              <w:top w:val="single" w:sz="4" w:space="0" w:color="auto"/>
              <w:bottom w:val="single" w:sz="4" w:space="0" w:color="auto"/>
            </w:tcBorders>
          </w:tcPr>
          <w:p w:rsidR="007D13F3" w:rsidRPr="0099378E" w:rsidRDefault="007D13F3" w:rsidP="00465CAC">
            <w:pPr>
              <w:ind w:right="-20"/>
              <w:rPr>
                <w:rFonts w:ascii="Times New Roman" w:hAnsi="Times New Roman" w:cs="Times New Roman"/>
                <w:sz w:val="18"/>
                <w:szCs w:val="18"/>
                <w:highlight w:val="yellow"/>
              </w:rPr>
            </w:pPr>
            <w:r w:rsidRPr="0099378E">
              <w:rPr>
                <w:rFonts w:ascii="Times New Roman" w:hAnsi="Times New Roman" w:cs="Times New Roman"/>
                <w:noProof/>
                <w:sz w:val="18"/>
                <w:szCs w:val="18"/>
                <w:highlight w:val="yellow"/>
                <w:lang w:eastAsia="sk-SK"/>
              </w:rPr>
              <w:drawing>
                <wp:inline distT="0" distB="0" distL="0" distR="0" wp14:anchorId="488242F4" wp14:editId="484F6C1F">
                  <wp:extent cx="5688330" cy="1978269"/>
                  <wp:effectExtent l="0" t="0" r="7620" b="3175"/>
                  <wp:docPr id="250" name="Graf 2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7D13F3" w:rsidRPr="009A046E" w:rsidTr="00465CAC">
        <w:tblPrEx>
          <w:tblCellMar>
            <w:left w:w="108" w:type="dxa"/>
            <w:right w:w="108" w:type="dxa"/>
          </w:tblCellMar>
        </w:tblPrEx>
        <w:tc>
          <w:tcPr>
            <w:tcW w:w="9072" w:type="dxa"/>
            <w:tcBorders>
              <w:top w:val="single" w:sz="4" w:space="0" w:color="auto"/>
            </w:tcBorders>
          </w:tcPr>
          <w:p w:rsidR="007D13F3" w:rsidRPr="009A046E" w:rsidRDefault="007D13F3" w:rsidP="00465CAC">
            <w:pPr>
              <w:ind w:right="-20"/>
              <w:jc w:val="right"/>
              <w:rPr>
                <w:rStyle w:val="Jemnodkaz"/>
                <w:rFonts w:ascii="Times New Roman" w:eastAsiaTheme="minorHAnsi" w:hAnsi="Times New Roman"/>
                <w:szCs w:val="18"/>
              </w:rPr>
            </w:pPr>
            <w:r w:rsidRPr="009A046E">
              <w:rPr>
                <w:rFonts w:ascii="Times New Roman" w:hAnsi="Times New Roman" w:cs="Times New Roman"/>
                <w:bCs/>
                <w:i/>
                <w:sz w:val="18"/>
                <w:szCs w:val="18"/>
                <w:lang w:eastAsia="zh-TW"/>
              </w:rPr>
              <w:t xml:space="preserve">Zdroj: </w:t>
            </w:r>
            <w:proofErr w:type="spellStart"/>
            <w:r w:rsidRPr="009A046E">
              <w:rPr>
                <w:rStyle w:val="Jemnodkaz"/>
                <w:rFonts w:ascii="Times New Roman" w:eastAsiaTheme="minorHAnsi" w:hAnsi="Times New Roman"/>
                <w:szCs w:val="18"/>
              </w:rPr>
              <w:t>Education</w:t>
            </w:r>
            <w:proofErr w:type="spellEnd"/>
            <w:r w:rsidRPr="009A046E">
              <w:rPr>
                <w:rStyle w:val="Jemnodkaz"/>
                <w:rFonts w:ascii="Times New Roman" w:eastAsiaTheme="minorHAnsi" w:hAnsi="Times New Roman"/>
                <w:szCs w:val="18"/>
              </w:rPr>
              <w:t xml:space="preserve"> at a </w:t>
            </w:r>
            <w:proofErr w:type="spellStart"/>
            <w:r w:rsidRPr="009A046E">
              <w:rPr>
                <w:rStyle w:val="Jemnodkaz"/>
                <w:rFonts w:ascii="Times New Roman" w:eastAsiaTheme="minorHAnsi" w:hAnsi="Times New Roman"/>
                <w:szCs w:val="18"/>
              </w:rPr>
              <w:t>Glance</w:t>
            </w:r>
            <w:proofErr w:type="spellEnd"/>
            <w:r w:rsidRPr="009A046E">
              <w:rPr>
                <w:rStyle w:val="Jemnodkaz"/>
                <w:rFonts w:ascii="Times New Roman" w:eastAsiaTheme="minorHAnsi" w:hAnsi="Times New Roman"/>
                <w:szCs w:val="18"/>
              </w:rPr>
              <w:t xml:space="preserve"> 2016, OECD</w:t>
            </w:r>
          </w:p>
        </w:tc>
      </w:tr>
    </w:tbl>
    <w:p w:rsidR="007D13F3" w:rsidRPr="009A046E" w:rsidRDefault="007D13F3" w:rsidP="007D13F3">
      <w:pPr>
        <w:jc w:val="both"/>
        <w:rPr>
          <w:rFonts w:ascii="Times New Roman" w:eastAsia="Calibri" w:hAnsi="Times New Roman" w:cs="Times New Roman"/>
        </w:rPr>
      </w:pPr>
      <w:r>
        <w:rPr>
          <w:rFonts w:ascii="Times New Roman" w:eastAsia="Calibri" w:hAnsi="Times New Roman" w:cs="Times New Roman"/>
          <w:sz w:val="10"/>
          <w:szCs w:val="10"/>
        </w:rPr>
        <w:tab/>
      </w:r>
      <w:r w:rsidRPr="008A005B">
        <w:rPr>
          <w:rFonts w:ascii="Times New Roman" w:eastAsia="Calibri" w:hAnsi="Times New Roman" w:cs="Times New Roman"/>
        </w:rPr>
        <w:t>Vo vysokoškolskom vzdelávaní neexistuje štandardizované medzinárodné meranie kvality. Relatívne nižšiu kvalitu vysokoškolského vzdelávania spoločne naznačuje niekoľko zástupných indikátorov. Nepriamym indikátorom kvality vysokých škôl je napríklad voľba štúdia v zahraničí, ktoré si v roku 2015 vybral každý siedmy vysokoškolák (14,5 %). Ide o druhý najvyšší podiel medzi krajinami OECD.</w:t>
      </w:r>
      <w:r w:rsidRPr="009A046E">
        <w:rPr>
          <w:rFonts w:ascii="Times New Roman" w:eastAsia="Calibri" w:hAnsi="Times New Roman" w:cs="Times New Roman"/>
        </w:rPr>
        <w:t xml:space="preserve"> </w:t>
      </w:r>
    </w:p>
    <w:p w:rsidR="007D13F3" w:rsidRDefault="007D13F3" w:rsidP="007D13F3">
      <w:pPr>
        <w:ind w:right="-23"/>
        <w:jc w:val="both"/>
        <w:rPr>
          <w:rFonts w:ascii="Times New Roman" w:hAnsi="Times New Roman" w:cs="Times New Roman"/>
        </w:rPr>
      </w:pPr>
    </w:p>
    <w:p w:rsidR="007D13F3" w:rsidRPr="009A046E" w:rsidRDefault="007D13F3" w:rsidP="007D13F3">
      <w:pPr>
        <w:ind w:firstLine="709"/>
        <w:jc w:val="both"/>
        <w:rPr>
          <w:rFonts w:ascii="Times New Roman" w:eastAsia="Calibri" w:hAnsi="Times New Roman" w:cs="Times New Roman"/>
        </w:rPr>
      </w:pPr>
      <w:r w:rsidRPr="009A046E">
        <w:rPr>
          <w:rFonts w:ascii="Times New Roman" w:hAnsi="Times New Roman" w:cs="Times New Roman"/>
        </w:rPr>
        <w:t>Na kvalitu vysokých  škôl má dohliadať Akreditačná komisia.  Avšak, ako komisia samotná, tak aj proces akreditácie na Slovensku nespĺňajú medzinárodné štandardy, pre otáznu garanciu nezávislosti a transparentnosti hodnotiacich procesov</w:t>
      </w:r>
      <w:r w:rsidRPr="009A046E" w:rsidDel="0079084E">
        <w:rPr>
          <w:rFonts w:ascii="Times New Roman" w:hAnsi="Times New Roman" w:cs="Times New Roman"/>
        </w:rPr>
        <w:t xml:space="preserve"> </w:t>
      </w:r>
      <w:r w:rsidRPr="009A046E">
        <w:rPr>
          <w:rFonts w:ascii="Times New Roman" w:hAnsi="Times New Roman" w:cs="Times New Roman"/>
        </w:rPr>
        <w:t>stratila komisia v roku 2012 plnohodnotné členstvo v európskom združení akreditačných komisií (ENQA). Navyše je súčasný akreditačný proces aj administratívne náročný, čo zvyšuje riziko formalizmu pri hodnotení VŠ.</w:t>
      </w:r>
      <w:r w:rsidRPr="009A046E">
        <w:rPr>
          <w:rFonts w:ascii="Times New Roman" w:hAnsi="Times New Roman" w:cs="Times New Roman"/>
          <w:b/>
        </w:rPr>
        <w:t xml:space="preserve"> </w:t>
      </w:r>
      <w:r w:rsidRPr="009A046E">
        <w:rPr>
          <w:rFonts w:ascii="Times New Roman" w:hAnsi="Times New Roman" w:cs="Times New Roman"/>
        </w:rPr>
        <w:t>Systém financovania vysokoškolskej vedy zase poznačuje slabá väzba na kvalitu výstupov a nízky podiel súťažných grantov. Revízia výdavkov odporučila:</w:t>
      </w:r>
    </w:p>
    <w:p w:rsidR="007D13F3" w:rsidRPr="009A046E" w:rsidRDefault="007D13F3" w:rsidP="007D13F3">
      <w:pPr>
        <w:pStyle w:val="Odsekzoznamu"/>
        <w:numPr>
          <w:ilvl w:val="0"/>
          <w:numId w:val="43"/>
        </w:numPr>
        <w:ind w:left="284" w:right="-23" w:hanging="284"/>
        <w:jc w:val="both"/>
        <w:rPr>
          <w:rFonts w:ascii="Times New Roman" w:hAnsi="Times New Roman" w:cs="Times New Roman"/>
          <w:color w:val="000000"/>
          <w:lang w:eastAsia="sk-SK"/>
        </w:rPr>
      </w:pPr>
      <w:r w:rsidRPr="009A046E">
        <w:rPr>
          <w:rFonts w:ascii="Times New Roman" w:hAnsi="Times New Roman" w:cs="Times New Roman"/>
          <w:color w:val="000000"/>
          <w:lang w:eastAsia="sk-SK"/>
        </w:rPr>
        <w:t>reformovať proces akreditácie a akreditačnú autoritu v súlade s  ESG 2015</w:t>
      </w:r>
      <w:r w:rsidR="00D92B31">
        <w:rPr>
          <w:rFonts w:ascii="Times New Roman" w:hAnsi="Times New Roman" w:cs="Times New Roman"/>
          <w:color w:val="000000"/>
          <w:lang w:eastAsia="sk-SK"/>
        </w:rPr>
        <w:t>,</w:t>
      </w:r>
    </w:p>
    <w:p w:rsidR="007D13F3" w:rsidRPr="009A046E" w:rsidRDefault="007D13F3" w:rsidP="007D13F3">
      <w:pPr>
        <w:pStyle w:val="Odsekzoznamu"/>
        <w:numPr>
          <w:ilvl w:val="0"/>
          <w:numId w:val="43"/>
        </w:numPr>
        <w:ind w:left="284" w:right="-23" w:hanging="284"/>
        <w:jc w:val="both"/>
        <w:rPr>
          <w:rFonts w:ascii="Times New Roman" w:hAnsi="Times New Roman" w:cs="Times New Roman"/>
          <w:bCs/>
          <w:color w:val="000000"/>
        </w:rPr>
      </w:pPr>
      <w:r w:rsidRPr="009A046E">
        <w:rPr>
          <w:rFonts w:ascii="Times New Roman" w:hAnsi="Times New Roman" w:cs="Times New Roman"/>
          <w:color w:val="000000"/>
          <w:lang w:eastAsia="sk-SK"/>
        </w:rPr>
        <w:t>zaviesť tzv. „</w:t>
      </w:r>
      <w:proofErr w:type="spellStart"/>
      <w:r w:rsidRPr="009A046E">
        <w:rPr>
          <w:rFonts w:ascii="Times New Roman" w:hAnsi="Times New Roman" w:cs="Times New Roman"/>
          <w:color w:val="000000"/>
          <w:lang w:eastAsia="sk-SK"/>
        </w:rPr>
        <w:t>informed</w:t>
      </w:r>
      <w:proofErr w:type="spellEnd"/>
      <w:r w:rsidRPr="009A046E">
        <w:rPr>
          <w:rFonts w:ascii="Times New Roman" w:hAnsi="Times New Roman" w:cs="Times New Roman"/>
          <w:color w:val="000000"/>
          <w:lang w:eastAsia="sk-SK"/>
        </w:rPr>
        <w:t xml:space="preserve"> </w:t>
      </w:r>
      <w:proofErr w:type="spellStart"/>
      <w:r w:rsidRPr="009A046E">
        <w:rPr>
          <w:rFonts w:ascii="Times New Roman" w:hAnsi="Times New Roman" w:cs="Times New Roman"/>
          <w:color w:val="000000"/>
          <w:lang w:eastAsia="sk-SK"/>
        </w:rPr>
        <w:t>peer</w:t>
      </w:r>
      <w:proofErr w:type="spellEnd"/>
      <w:r w:rsidRPr="009A046E">
        <w:rPr>
          <w:rFonts w:ascii="Times New Roman" w:hAnsi="Times New Roman" w:cs="Times New Roman"/>
          <w:color w:val="000000"/>
          <w:lang w:eastAsia="sk-SK"/>
        </w:rPr>
        <w:t xml:space="preserve"> </w:t>
      </w:r>
      <w:proofErr w:type="spellStart"/>
      <w:r w:rsidRPr="009A046E">
        <w:rPr>
          <w:rFonts w:ascii="Times New Roman" w:hAnsi="Times New Roman" w:cs="Times New Roman"/>
          <w:color w:val="000000"/>
          <w:lang w:eastAsia="sk-SK"/>
        </w:rPr>
        <w:t>review</w:t>
      </w:r>
      <w:proofErr w:type="spellEnd"/>
      <w:r w:rsidRPr="009A046E">
        <w:rPr>
          <w:rFonts w:ascii="Times New Roman" w:hAnsi="Times New Roman" w:cs="Times New Roman"/>
          <w:color w:val="000000"/>
          <w:lang w:eastAsia="sk-SK"/>
        </w:rPr>
        <w:t>“ hodnotenie tvorivej činnosti vysokých škôl</w:t>
      </w:r>
      <w:r w:rsidR="00D92B31">
        <w:rPr>
          <w:rFonts w:ascii="Times New Roman" w:hAnsi="Times New Roman" w:cs="Times New Roman"/>
          <w:color w:val="000000"/>
          <w:lang w:eastAsia="sk-SK"/>
        </w:rPr>
        <w:t>,</w:t>
      </w:r>
    </w:p>
    <w:p w:rsidR="007D13F3" w:rsidRPr="009A046E" w:rsidRDefault="007D13F3" w:rsidP="007D13F3">
      <w:pPr>
        <w:pStyle w:val="Odsekzoznamu"/>
        <w:numPr>
          <w:ilvl w:val="0"/>
          <w:numId w:val="43"/>
        </w:numPr>
        <w:ind w:left="284" w:right="-23" w:hanging="284"/>
        <w:jc w:val="both"/>
        <w:rPr>
          <w:rFonts w:ascii="Times New Roman" w:hAnsi="Times New Roman" w:cs="Times New Roman"/>
          <w:b/>
          <w:bCs/>
          <w:color w:val="000000"/>
        </w:rPr>
      </w:pPr>
      <w:r w:rsidRPr="009A046E">
        <w:rPr>
          <w:rFonts w:ascii="Times New Roman" w:hAnsi="Times New Roman" w:cs="Times New Roman"/>
          <w:color w:val="000000"/>
          <w:lang w:eastAsia="sk-SK"/>
        </w:rPr>
        <w:t>zvýšiť podiel súťažných grantov  (najmä APVV a VEGA) vo verejných výdavkoch na vedu</w:t>
      </w:r>
      <w:r w:rsidR="00D92B31">
        <w:rPr>
          <w:rFonts w:ascii="Times New Roman" w:hAnsi="Times New Roman" w:cs="Times New Roman"/>
          <w:color w:val="000000"/>
          <w:lang w:eastAsia="sk-SK"/>
        </w:rPr>
        <w:t>.</w:t>
      </w:r>
    </w:p>
    <w:p w:rsidR="007D13F3" w:rsidRPr="009A046E" w:rsidRDefault="007D13F3" w:rsidP="007D13F3">
      <w:pPr>
        <w:ind w:right="-23"/>
        <w:rPr>
          <w:rFonts w:ascii="Times New Roman" w:hAnsi="Times New Roman" w:cs="Times New Roman"/>
          <w:b/>
          <w:bCs/>
          <w:color w:val="000000"/>
        </w:rPr>
      </w:pPr>
    </w:p>
    <w:p w:rsidR="007D13F3" w:rsidRDefault="007D13F3" w:rsidP="007D13F3">
      <w:pPr>
        <w:ind w:firstLine="709"/>
        <w:jc w:val="both"/>
        <w:rPr>
          <w:rFonts w:ascii="Times New Roman" w:hAnsi="Times New Roman" w:cs="Times New Roman"/>
        </w:rPr>
      </w:pPr>
      <w:r w:rsidRPr="009A046E">
        <w:rPr>
          <w:rFonts w:ascii="Times New Roman" w:hAnsi="Times New Roman" w:cs="Times New Roman"/>
        </w:rPr>
        <w:t>Výdavky na študenta VŠ, opäť merané metodikou OECD, sú na Slovensku asi o tretinu nižšie ako v krajinách OECD</w:t>
      </w:r>
      <w:r w:rsidRPr="009A046E">
        <w:rPr>
          <w:rFonts w:ascii="Times New Roman" w:hAnsi="Times New Roman" w:cs="Times New Roman"/>
          <w:bCs/>
          <w:color w:val="000000"/>
        </w:rPr>
        <w:t xml:space="preserve"> a porovnateľné s priemerom krajín V3. </w:t>
      </w:r>
      <w:r w:rsidRPr="009A046E">
        <w:rPr>
          <w:rFonts w:ascii="Times New Roman" w:hAnsi="Times New Roman" w:cs="Times New Roman"/>
        </w:rPr>
        <w:t xml:space="preserve">Výdavky na vývoj a výskum na vysokých školách do roku 2014 tvorili približne 0,3 % HDP. </w:t>
      </w:r>
    </w:p>
    <w:p w:rsidR="007D13F3" w:rsidRDefault="007D13F3" w:rsidP="007D13F3">
      <w:pPr>
        <w:spacing w:after="160" w:line="259" w:lineRule="auto"/>
        <w:rPr>
          <w:rFonts w:ascii="Times New Roman" w:hAnsi="Times New Roman" w:cs="Times New Roman"/>
        </w:rPr>
      </w:pPr>
      <w:r>
        <w:rPr>
          <w:rFonts w:ascii="Times New Roman" w:hAnsi="Times New Roman" w:cs="Times New Roman"/>
        </w:rPr>
        <w:br w:type="page"/>
      </w:r>
    </w:p>
    <w:p w:rsidR="007D13F3" w:rsidRDefault="007D13F3" w:rsidP="007D13F3">
      <w:pPr>
        <w:spacing w:line="276" w:lineRule="auto"/>
        <w:jc w:val="both"/>
        <w:rPr>
          <w:rFonts w:ascii="Times New Roman" w:hAnsi="Times New Roman" w:cs="Times New Roman"/>
        </w:rPr>
      </w:pPr>
      <w:r w:rsidRPr="008F1F8B">
        <w:rPr>
          <w:rFonts w:ascii="Times New Roman" w:hAnsi="Times New Roman" w:cs="Times New Roman"/>
        </w:rPr>
        <w:lastRenderedPageBreak/>
        <w:t>Výdavky pre VŠ sú uvedené v nasledujúcej tabuľke.</w:t>
      </w:r>
    </w:p>
    <w:tbl>
      <w:tblPr>
        <w:tblW w:w="5000" w:type="pct"/>
        <w:tblCellMar>
          <w:left w:w="70" w:type="dxa"/>
          <w:right w:w="70" w:type="dxa"/>
        </w:tblCellMar>
        <w:tblLook w:val="04A0" w:firstRow="1" w:lastRow="0" w:firstColumn="1" w:lastColumn="0" w:noHBand="0" w:noVBand="1"/>
      </w:tblPr>
      <w:tblGrid>
        <w:gridCol w:w="3019"/>
        <w:gridCol w:w="865"/>
        <w:gridCol w:w="863"/>
        <w:gridCol w:w="863"/>
        <w:gridCol w:w="863"/>
        <w:gridCol w:w="863"/>
        <w:gridCol w:w="863"/>
        <w:gridCol w:w="863"/>
      </w:tblGrid>
      <w:tr w:rsidR="007D13F3" w:rsidRPr="009A1F6B" w:rsidTr="00F30AAF">
        <w:trPr>
          <w:trHeight w:val="225"/>
        </w:trPr>
        <w:tc>
          <w:tcPr>
            <w:tcW w:w="16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9A1F6B" w:rsidRDefault="007D13F3" w:rsidP="00465CAC">
            <w:pPr>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v eurách</w:t>
            </w:r>
          </w:p>
        </w:tc>
        <w:tc>
          <w:tcPr>
            <w:tcW w:w="477"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9A1F6B" w:rsidRDefault="007D13F3" w:rsidP="00465CAC">
            <w:pPr>
              <w:jc w:val="center"/>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2015 S</w:t>
            </w:r>
          </w:p>
        </w:tc>
        <w:tc>
          <w:tcPr>
            <w:tcW w:w="47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9A1F6B" w:rsidRDefault="007D13F3" w:rsidP="00465CAC">
            <w:pPr>
              <w:jc w:val="center"/>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2016 S</w:t>
            </w:r>
          </w:p>
        </w:tc>
        <w:tc>
          <w:tcPr>
            <w:tcW w:w="47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9A1F6B" w:rsidRDefault="007D13F3" w:rsidP="00465CAC">
            <w:pPr>
              <w:jc w:val="center"/>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2017 R</w:t>
            </w:r>
          </w:p>
        </w:tc>
        <w:tc>
          <w:tcPr>
            <w:tcW w:w="47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9A1F6B" w:rsidRDefault="007D13F3" w:rsidP="00465CAC">
            <w:pPr>
              <w:jc w:val="center"/>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2017 OS</w:t>
            </w:r>
          </w:p>
        </w:tc>
        <w:tc>
          <w:tcPr>
            <w:tcW w:w="47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9A1F6B" w:rsidRDefault="007D13F3" w:rsidP="00465CAC">
            <w:pPr>
              <w:jc w:val="center"/>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2018 N</w:t>
            </w:r>
          </w:p>
        </w:tc>
        <w:tc>
          <w:tcPr>
            <w:tcW w:w="47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9A1F6B" w:rsidRDefault="007D13F3" w:rsidP="00465CAC">
            <w:pPr>
              <w:jc w:val="center"/>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2019 N</w:t>
            </w:r>
          </w:p>
        </w:tc>
        <w:tc>
          <w:tcPr>
            <w:tcW w:w="47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9A1F6B" w:rsidRDefault="007D13F3" w:rsidP="00465CAC">
            <w:pPr>
              <w:jc w:val="center"/>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2020 N</w:t>
            </w:r>
          </w:p>
        </w:tc>
      </w:tr>
      <w:tr w:rsidR="007D13F3" w:rsidRPr="009A1F6B" w:rsidTr="00F30AAF">
        <w:trPr>
          <w:trHeight w:val="225"/>
        </w:trPr>
        <w:tc>
          <w:tcPr>
            <w:tcW w:w="1666" w:type="pct"/>
            <w:tcBorders>
              <w:top w:val="nil"/>
              <w:left w:val="single" w:sz="4" w:space="0" w:color="auto"/>
              <w:bottom w:val="single" w:sz="4" w:space="0" w:color="auto"/>
              <w:right w:val="single" w:sz="4" w:space="0" w:color="auto"/>
            </w:tcBorders>
            <w:shd w:val="clear" w:color="000000" w:fill="BFBFBF"/>
            <w:noWrap/>
            <w:vAlign w:val="center"/>
            <w:hideMark/>
          </w:tcPr>
          <w:p w:rsidR="007D13F3" w:rsidRPr="009A1F6B" w:rsidRDefault="007D13F3" w:rsidP="00465CAC">
            <w:pPr>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Výdavky pre VVŠ spolu cez MŠVVŠ SR</w:t>
            </w:r>
          </w:p>
        </w:tc>
        <w:tc>
          <w:tcPr>
            <w:tcW w:w="477" w:type="pct"/>
            <w:tcBorders>
              <w:top w:val="nil"/>
              <w:left w:val="nil"/>
              <w:bottom w:val="single" w:sz="4" w:space="0" w:color="auto"/>
              <w:right w:val="single" w:sz="4" w:space="0" w:color="auto"/>
            </w:tcBorders>
            <w:shd w:val="clear" w:color="000000" w:fill="BFBFBF"/>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455 382 186</w:t>
            </w:r>
          </w:p>
        </w:tc>
        <w:tc>
          <w:tcPr>
            <w:tcW w:w="476" w:type="pct"/>
            <w:tcBorders>
              <w:top w:val="nil"/>
              <w:left w:val="nil"/>
              <w:bottom w:val="single" w:sz="4" w:space="0" w:color="auto"/>
              <w:right w:val="single" w:sz="4" w:space="0" w:color="auto"/>
            </w:tcBorders>
            <w:shd w:val="clear" w:color="000000" w:fill="BFBFBF"/>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498 770 139</w:t>
            </w:r>
          </w:p>
        </w:tc>
        <w:tc>
          <w:tcPr>
            <w:tcW w:w="476" w:type="pct"/>
            <w:tcBorders>
              <w:top w:val="nil"/>
              <w:left w:val="nil"/>
              <w:bottom w:val="single" w:sz="4" w:space="0" w:color="auto"/>
              <w:right w:val="single" w:sz="4" w:space="0" w:color="auto"/>
            </w:tcBorders>
            <w:shd w:val="clear" w:color="000000" w:fill="BFBFBF"/>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489 348 020</w:t>
            </w:r>
          </w:p>
        </w:tc>
        <w:tc>
          <w:tcPr>
            <w:tcW w:w="476" w:type="pct"/>
            <w:tcBorders>
              <w:top w:val="nil"/>
              <w:left w:val="nil"/>
              <w:bottom w:val="single" w:sz="4" w:space="0" w:color="auto"/>
              <w:right w:val="single" w:sz="4" w:space="0" w:color="auto"/>
            </w:tcBorders>
            <w:shd w:val="clear" w:color="000000" w:fill="BFBFBF"/>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494 098 010</w:t>
            </w:r>
          </w:p>
        </w:tc>
        <w:tc>
          <w:tcPr>
            <w:tcW w:w="476" w:type="pct"/>
            <w:tcBorders>
              <w:top w:val="nil"/>
              <w:left w:val="nil"/>
              <w:bottom w:val="single" w:sz="4" w:space="0" w:color="auto"/>
              <w:right w:val="single" w:sz="4" w:space="0" w:color="auto"/>
            </w:tcBorders>
            <w:shd w:val="clear" w:color="000000" w:fill="BFBFBF"/>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509 801 806</w:t>
            </w:r>
          </w:p>
        </w:tc>
        <w:tc>
          <w:tcPr>
            <w:tcW w:w="476" w:type="pct"/>
            <w:tcBorders>
              <w:top w:val="nil"/>
              <w:left w:val="nil"/>
              <w:bottom w:val="single" w:sz="4" w:space="0" w:color="auto"/>
              <w:right w:val="single" w:sz="4" w:space="0" w:color="auto"/>
            </w:tcBorders>
            <w:shd w:val="clear" w:color="000000" w:fill="BFBFBF"/>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509 774 040</w:t>
            </w:r>
          </w:p>
        </w:tc>
        <w:tc>
          <w:tcPr>
            <w:tcW w:w="476" w:type="pct"/>
            <w:tcBorders>
              <w:top w:val="nil"/>
              <w:left w:val="nil"/>
              <w:bottom w:val="single" w:sz="4" w:space="0" w:color="auto"/>
              <w:right w:val="single" w:sz="4" w:space="0" w:color="auto"/>
            </w:tcBorders>
            <w:shd w:val="clear" w:color="000000" w:fill="BFBFBF"/>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509 756 879</w:t>
            </w:r>
          </w:p>
        </w:tc>
      </w:tr>
      <w:tr w:rsidR="007D13F3" w:rsidRPr="009A1F6B" w:rsidTr="00F30AAF">
        <w:trPr>
          <w:trHeight w:val="225"/>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9A1F6B" w:rsidRDefault="007D13F3" w:rsidP="00C10AF7">
            <w:pPr>
              <w:rPr>
                <w:rFonts w:ascii="Times New Roman" w:hAnsi="Times New Roman" w:cs="Times New Roman"/>
                <w:sz w:val="14"/>
                <w:szCs w:val="14"/>
                <w:lang w:eastAsia="sk-SK"/>
              </w:rPr>
            </w:pPr>
            <w:r w:rsidRPr="009A1F6B">
              <w:rPr>
                <w:rFonts w:ascii="Times New Roman" w:hAnsi="Times New Roman" w:cs="Times New Roman"/>
                <w:sz w:val="14"/>
                <w:szCs w:val="14"/>
                <w:lang w:eastAsia="sk-SK"/>
              </w:rPr>
              <w:t>Verejné vysoké školy cez MŠVVŠ SR</w:t>
            </w:r>
          </w:p>
        </w:tc>
        <w:tc>
          <w:tcPr>
            <w:tcW w:w="477"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452 568 321</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495 650 667</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481 803 593</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486 484 751</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502 257 379</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502 229 613</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502 212 452</w:t>
            </w:r>
          </w:p>
        </w:tc>
      </w:tr>
      <w:tr w:rsidR="007D13F3" w:rsidRPr="009A1F6B" w:rsidTr="00F30AAF">
        <w:trPr>
          <w:trHeight w:val="225"/>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9A1F6B" w:rsidRDefault="007D13F3" w:rsidP="00465CAC">
            <w:pPr>
              <w:rPr>
                <w:rFonts w:ascii="Times New Roman" w:hAnsi="Times New Roman" w:cs="Times New Roman"/>
                <w:sz w:val="14"/>
                <w:szCs w:val="14"/>
                <w:lang w:eastAsia="sk-SK"/>
              </w:rPr>
            </w:pPr>
            <w:r w:rsidRPr="009A1F6B">
              <w:rPr>
                <w:rFonts w:ascii="Times New Roman" w:hAnsi="Times New Roman" w:cs="Times New Roman"/>
                <w:sz w:val="14"/>
                <w:szCs w:val="14"/>
                <w:lang w:eastAsia="sk-SK"/>
              </w:rPr>
              <w:t xml:space="preserve">Štipendiá pre </w:t>
            </w:r>
            <w:proofErr w:type="spellStart"/>
            <w:r w:rsidRPr="009A1F6B">
              <w:rPr>
                <w:rFonts w:ascii="Times New Roman" w:hAnsi="Times New Roman" w:cs="Times New Roman"/>
                <w:sz w:val="14"/>
                <w:szCs w:val="14"/>
                <w:lang w:eastAsia="sk-SK"/>
              </w:rPr>
              <w:t>zahranič</w:t>
            </w:r>
            <w:proofErr w:type="spellEnd"/>
            <w:r>
              <w:rPr>
                <w:rFonts w:ascii="Times New Roman" w:hAnsi="Times New Roman" w:cs="Times New Roman"/>
                <w:sz w:val="14"/>
                <w:szCs w:val="14"/>
                <w:lang w:eastAsia="sk-SK"/>
              </w:rPr>
              <w:t>.</w:t>
            </w:r>
            <w:r w:rsidRPr="009A1F6B">
              <w:rPr>
                <w:rFonts w:ascii="Times New Roman" w:hAnsi="Times New Roman" w:cs="Times New Roman"/>
                <w:sz w:val="14"/>
                <w:szCs w:val="14"/>
                <w:lang w:eastAsia="sk-SK"/>
              </w:rPr>
              <w:t xml:space="preserve"> študentov cez MŠVVŠ</w:t>
            </w:r>
            <w:r>
              <w:rPr>
                <w:rFonts w:ascii="Times New Roman" w:hAnsi="Times New Roman" w:cs="Times New Roman"/>
                <w:sz w:val="14"/>
                <w:szCs w:val="14"/>
                <w:lang w:eastAsia="sk-SK"/>
              </w:rPr>
              <w:t xml:space="preserve"> S</w:t>
            </w:r>
            <w:r w:rsidRPr="009A1F6B">
              <w:rPr>
                <w:rFonts w:ascii="Times New Roman" w:hAnsi="Times New Roman" w:cs="Times New Roman"/>
                <w:sz w:val="14"/>
                <w:szCs w:val="14"/>
                <w:lang w:eastAsia="sk-SK"/>
              </w:rPr>
              <w:t>R</w:t>
            </w:r>
          </w:p>
        </w:tc>
        <w:tc>
          <w:tcPr>
            <w:tcW w:w="477"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947 735</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1 187 484</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996 046</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996 046</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996 046</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996 046</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996 046</w:t>
            </w:r>
          </w:p>
        </w:tc>
      </w:tr>
      <w:tr w:rsidR="007D13F3" w:rsidRPr="009A1F6B" w:rsidTr="00F30AAF">
        <w:trPr>
          <w:trHeight w:val="225"/>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9A1F6B" w:rsidRDefault="007D13F3" w:rsidP="00C10AF7">
            <w:pPr>
              <w:rPr>
                <w:rFonts w:ascii="Times New Roman" w:hAnsi="Times New Roman" w:cs="Times New Roman"/>
                <w:sz w:val="14"/>
                <w:szCs w:val="14"/>
                <w:lang w:eastAsia="sk-SK"/>
              </w:rPr>
            </w:pPr>
            <w:r w:rsidRPr="009A1F6B">
              <w:rPr>
                <w:rFonts w:ascii="Times New Roman" w:hAnsi="Times New Roman" w:cs="Times New Roman"/>
                <w:sz w:val="14"/>
                <w:szCs w:val="14"/>
                <w:lang w:eastAsia="sk-SK"/>
              </w:rPr>
              <w:t>Oficiálna rozvojová pomoc</w:t>
            </w:r>
          </w:p>
        </w:tc>
        <w:tc>
          <w:tcPr>
            <w:tcW w:w="477"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1 866 130</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1 931 988</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1 883 167</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2 012 767</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1 883 167</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1 883 167</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1 883 167</w:t>
            </w:r>
          </w:p>
        </w:tc>
      </w:tr>
      <w:tr w:rsidR="007D13F3" w:rsidRPr="009A1F6B" w:rsidTr="00F30AAF">
        <w:trPr>
          <w:trHeight w:val="225"/>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9A1F6B" w:rsidRDefault="007D13F3" w:rsidP="00C10AF7">
            <w:pPr>
              <w:rPr>
                <w:rFonts w:ascii="Times New Roman" w:hAnsi="Times New Roman" w:cs="Times New Roman"/>
                <w:sz w:val="14"/>
                <w:szCs w:val="14"/>
                <w:lang w:eastAsia="sk-SK"/>
              </w:rPr>
            </w:pPr>
            <w:r w:rsidRPr="009A1F6B">
              <w:rPr>
                <w:rFonts w:ascii="Times New Roman" w:hAnsi="Times New Roman" w:cs="Times New Roman"/>
                <w:sz w:val="14"/>
                <w:szCs w:val="14"/>
                <w:lang w:eastAsia="sk-SK"/>
              </w:rPr>
              <w:t>Informačné technológie vo VŠ</w:t>
            </w:r>
          </w:p>
        </w:tc>
        <w:tc>
          <w:tcPr>
            <w:tcW w:w="477"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0</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0</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4 665 214</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4 604 446</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4 665 214</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4 665 214</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sz w:val="14"/>
                <w:szCs w:val="14"/>
                <w:lang w:eastAsia="sk-SK"/>
              </w:rPr>
            </w:pPr>
            <w:r w:rsidRPr="009A1F6B">
              <w:rPr>
                <w:rFonts w:ascii="Times New Roman" w:hAnsi="Times New Roman" w:cs="Times New Roman"/>
                <w:sz w:val="14"/>
                <w:szCs w:val="14"/>
                <w:lang w:eastAsia="sk-SK"/>
              </w:rPr>
              <w:t>4 665 214</w:t>
            </w:r>
          </w:p>
        </w:tc>
      </w:tr>
      <w:tr w:rsidR="007D13F3" w:rsidRPr="009A1F6B" w:rsidTr="00F30AAF">
        <w:trPr>
          <w:trHeight w:val="225"/>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9A1F6B" w:rsidRDefault="007D13F3" w:rsidP="00465CAC">
            <w:pPr>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Rezortné vysokoškolské vzdelávanie*</w:t>
            </w:r>
          </w:p>
        </w:tc>
        <w:tc>
          <w:tcPr>
            <w:tcW w:w="477"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35 844 226</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25 131 355</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25 189 055</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26 432 142</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27 791 204</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27 599 008</w:t>
            </w:r>
          </w:p>
        </w:tc>
        <w:tc>
          <w:tcPr>
            <w:tcW w:w="476" w:type="pct"/>
            <w:tcBorders>
              <w:top w:val="nil"/>
              <w:left w:val="nil"/>
              <w:bottom w:val="single" w:sz="4" w:space="0" w:color="auto"/>
              <w:right w:val="single" w:sz="4" w:space="0" w:color="auto"/>
            </w:tcBorders>
            <w:shd w:val="clear" w:color="auto" w:fill="auto"/>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29 225 911</w:t>
            </w:r>
          </w:p>
        </w:tc>
      </w:tr>
      <w:tr w:rsidR="007D13F3" w:rsidRPr="009A1F6B" w:rsidTr="00F30AAF">
        <w:trPr>
          <w:trHeight w:val="225"/>
        </w:trPr>
        <w:tc>
          <w:tcPr>
            <w:tcW w:w="1666" w:type="pct"/>
            <w:tcBorders>
              <w:top w:val="nil"/>
              <w:left w:val="single" w:sz="4" w:space="0" w:color="auto"/>
              <w:bottom w:val="single" w:sz="4" w:space="0" w:color="auto"/>
              <w:right w:val="single" w:sz="4" w:space="0" w:color="auto"/>
            </w:tcBorders>
            <w:shd w:val="clear" w:color="000000" w:fill="BFBFBF"/>
            <w:noWrap/>
            <w:vAlign w:val="center"/>
            <w:hideMark/>
          </w:tcPr>
          <w:p w:rsidR="007D13F3" w:rsidRPr="009A1F6B" w:rsidRDefault="007D13F3" w:rsidP="00465CAC">
            <w:pPr>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 xml:space="preserve">Výdavky štátneho rozpočtu na VŠ spolu </w:t>
            </w:r>
          </w:p>
        </w:tc>
        <w:tc>
          <w:tcPr>
            <w:tcW w:w="477" w:type="pct"/>
            <w:tcBorders>
              <w:top w:val="nil"/>
              <w:left w:val="nil"/>
              <w:bottom w:val="single" w:sz="4" w:space="0" w:color="auto"/>
              <w:right w:val="single" w:sz="4" w:space="0" w:color="auto"/>
            </w:tcBorders>
            <w:shd w:val="clear" w:color="000000" w:fill="BFBFBF"/>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491 226 412</w:t>
            </w:r>
          </w:p>
        </w:tc>
        <w:tc>
          <w:tcPr>
            <w:tcW w:w="476" w:type="pct"/>
            <w:tcBorders>
              <w:top w:val="nil"/>
              <w:left w:val="nil"/>
              <w:bottom w:val="single" w:sz="4" w:space="0" w:color="auto"/>
              <w:right w:val="single" w:sz="4" w:space="0" w:color="auto"/>
            </w:tcBorders>
            <w:shd w:val="clear" w:color="000000" w:fill="BFBFBF"/>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523 901 494</w:t>
            </w:r>
          </w:p>
        </w:tc>
        <w:tc>
          <w:tcPr>
            <w:tcW w:w="476" w:type="pct"/>
            <w:tcBorders>
              <w:top w:val="nil"/>
              <w:left w:val="nil"/>
              <w:bottom w:val="single" w:sz="4" w:space="0" w:color="auto"/>
              <w:right w:val="single" w:sz="4" w:space="0" w:color="auto"/>
            </w:tcBorders>
            <w:shd w:val="clear" w:color="000000" w:fill="BFBFBF"/>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514 537 075</w:t>
            </w:r>
          </w:p>
        </w:tc>
        <w:tc>
          <w:tcPr>
            <w:tcW w:w="476" w:type="pct"/>
            <w:tcBorders>
              <w:top w:val="nil"/>
              <w:left w:val="nil"/>
              <w:bottom w:val="single" w:sz="4" w:space="0" w:color="auto"/>
              <w:right w:val="single" w:sz="4" w:space="0" w:color="auto"/>
            </w:tcBorders>
            <w:shd w:val="clear" w:color="000000" w:fill="BFBFBF"/>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520 530 152</w:t>
            </w:r>
          </w:p>
        </w:tc>
        <w:tc>
          <w:tcPr>
            <w:tcW w:w="476" w:type="pct"/>
            <w:tcBorders>
              <w:top w:val="nil"/>
              <w:left w:val="nil"/>
              <w:bottom w:val="single" w:sz="4" w:space="0" w:color="auto"/>
              <w:right w:val="single" w:sz="4" w:space="0" w:color="auto"/>
            </w:tcBorders>
            <w:shd w:val="clear" w:color="000000" w:fill="BFBFBF"/>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537 593 010</w:t>
            </w:r>
          </w:p>
        </w:tc>
        <w:tc>
          <w:tcPr>
            <w:tcW w:w="476" w:type="pct"/>
            <w:tcBorders>
              <w:top w:val="nil"/>
              <w:left w:val="nil"/>
              <w:bottom w:val="single" w:sz="4" w:space="0" w:color="auto"/>
              <w:right w:val="single" w:sz="4" w:space="0" w:color="auto"/>
            </w:tcBorders>
            <w:shd w:val="clear" w:color="000000" w:fill="BFBFBF"/>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537 373 048</w:t>
            </w:r>
          </w:p>
        </w:tc>
        <w:tc>
          <w:tcPr>
            <w:tcW w:w="476" w:type="pct"/>
            <w:tcBorders>
              <w:top w:val="nil"/>
              <w:left w:val="nil"/>
              <w:bottom w:val="single" w:sz="4" w:space="0" w:color="auto"/>
              <w:right w:val="single" w:sz="4" w:space="0" w:color="auto"/>
            </w:tcBorders>
            <w:shd w:val="clear" w:color="000000" w:fill="BFBFBF"/>
            <w:noWrap/>
            <w:vAlign w:val="center"/>
            <w:hideMark/>
          </w:tcPr>
          <w:p w:rsidR="007D13F3" w:rsidRPr="009A1F6B" w:rsidRDefault="007D13F3" w:rsidP="00465CAC">
            <w:pPr>
              <w:jc w:val="right"/>
              <w:rPr>
                <w:rFonts w:ascii="Times New Roman" w:hAnsi="Times New Roman" w:cs="Times New Roman"/>
                <w:b/>
                <w:bCs/>
                <w:sz w:val="14"/>
                <w:szCs w:val="14"/>
                <w:lang w:eastAsia="sk-SK"/>
              </w:rPr>
            </w:pPr>
            <w:r w:rsidRPr="009A1F6B">
              <w:rPr>
                <w:rFonts w:ascii="Times New Roman" w:hAnsi="Times New Roman" w:cs="Times New Roman"/>
                <w:b/>
                <w:bCs/>
                <w:sz w:val="14"/>
                <w:szCs w:val="14"/>
                <w:lang w:eastAsia="sk-SK"/>
              </w:rPr>
              <w:t>538 982 790</w:t>
            </w:r>
          </w:p>
        </w:tc>
      </w:tr>
    </w:tbl>
    <w:p w:rsidR="007D13F3" w:rsidRPr="0006340F" w:rsidRDefault="007D13F3" w:rsidP="007D13F3">
      <w:pPr>
        <w:spacing w:after="200" w:line="276" w:lineRule="auto"/>
        <w:jc w:val="both"/>
        <w:rPr>
          <w:rFonts w:ascii="Times New Roman" w:hAnsi="Times New Roman" w:cs="Times New Roman"/>
          <w:sz w:val="14"/>
          <w:szCs w:val="14"/>
        </w:rPr>
      </w:pPr>
      <w:r w:rsidRPr="0006340F">
        <w:rPr>
          <w:rFonts w:ascii="Times New Roman" w:hAnsi="Times New Roman" w:cs="Times New Roman"/>
          <w:sz w:val="14"/>
          <w:szCs w:val="14"/>
        </w:rPr>
        <w:t>* Rezortné vysokoškolské vzdelávanie je zabezpečované cez Ministerstvo obrany SR, Ministerstvo vnútra SR a Ministerstvo zdravotníctva SR.</w:t>
      </w:r>
    </w:p>
    <w:p w:rsidR="007D13F3" w:rsidRPr="00941A08" w:rsidRDefault="007D13F3" w:rsidP="007D13F3">
      <w:pPr>
        <w:spacing w:after="200"/>
        <w:ind w:firstLine="708"/>
        <w:contextualSpacing/>
        <w:jc w:val="both"/>
        <w:rPr>
          <w:rFonts w:ascii="Times New Roman" w:hAnsi="Times New Roman" w:cs="Times New Roman"/>
        </w:rPr>
      </w:pPr>
      <w:r w:rsidRPr="00933EB3">
        <w:rPr>
          <w:rFonts w:ascii="Times New Roman" w:hAnsi="Times New Roman" w:cs="Times New Roman"/>
        </w:rPr>
        <w:t>Výdavky štátneho rozpočtu na rok 201</w:t>
      </w:r>
      <w:r>
        <w:rPr>
          <w:rFonts w:ascii="Times New Roman" w:hAnsi="Times New Roman" w:cs="Times New Roman"/>
        </w:rPr>
        <w:t>8</w:t>
      </w:r>
      <w:r w:rsidRPr="00933EB3">
        <w:rPr>
          <w:rFonts w:ascii="Times New Roman" w:hAnsi="Times New Roman" w:cs="Times New Roman"/>
        </w:rPr>
        <w:t xml:space="preserve"> poskytované prostredníctvom kapitoly MŠVVŠ SR verejným vysokým školám sa rozpočtujú </w:t>
      </w:r>
      <w:r w:rsidRPr="00941A08">
        <w:rPr>
          <w:rFonts w:ascii="Times New Roman" w:hAnsi="Times New Roman" w:cs="Times New Roman"/>
        </w:rPr>
        <w:t>v sume 510 mil. eur. Výdavky rozpočtované na programe Vysokoškolské vzdelávanie a veda, sociálna podpora študentov vysokých škôl rastú oproti schválenému rozpočtu roku 2017 o 20,5 mil. eur (o 4,</w:t>
      </w:r>
      <w:r w:rsidR="00F30AAF">
        <w:rPr>
          <w:rFonts w:ascii="Times New Roman" w:hAnsi="Times New Roman" w:cs="Times New Roman"/>
        </w:rPr>
        <w:t>25</w:t>
      </w:r>
      <w:r w:rsidRPr="00941A08">
        <w:rPr>
          <w:rFonts w:ascii="Times New Roman" w:hAnsi="Times New Roman" w:cs="Times New Roman"/>
        </w:rPr>
        <w:t xml:space="preserve"> %).</w:t>
      </w:r>
      <w:r w:rsidRPr="00933EB3">
        <w:rPr>
          <w:rFonts w:ascii="Times New Roman" w:hAnsi="Times New Roman" w:cs="Times New Roman"/>
        </w:rPr>
        <w:t xml:space="preserve"> Dôvodom tohto nárastu je zapracovanie dopočtu </w:t>
      </w:r>
      <w:r>
        <w:rPr>
          <w:rFonts w:ascii="Times New Roman" w:hAnsi="Times New Roman" w:cs="Times New Roman"/>
        </w:rPr>
        <w:t xml:space="preserve">4 % </w:t>
      </w:r>
      <w:r w:rsidRPr="00933EB3">
        <w:rPr>
          <w:rFonts w:ascii="Times New Roman" w:hAnsi="Times New Roman" w:cs="Times New Roman"/>
        </w:rPr>
        <w:t xml:space="preserve">valorizácie platov </w:t>
      </w:r>
      <w:r>
        <w:rPr>
          <w:rFonts w:ascii="Times New Roman" w:hAnsi="Times New Roman" w:cs="Times New Roman"/>
        </w:rPr>
        <w:t xml:space="preserve">nepedagogických </w:t>
      </w:r>
      <w:r w:rsidRPr="00933EB3">
        <w:rPr>
          <w:rFonts w:ascii="Times New Roman" w:hAnsi="Times New Roman" w:cs="Times New Roman"/>
        </w:rPr>
        <w:t xml:space="preserve">zamestnancov verejných vysokých škôl vrátane </w:t>
      </w:r>
      <w:r>
        <w:rPr>
          <w:rFonts w:ascii="Times New Roman" w:hAnsi="Times New Roman" w:cs="Times New Roman"/>
        </w:rPr>
        <w:t xml:space="preserve">štipendií </w:t>
      </w:r>
      <w:r w:rsidRPr="00941A08">
        <w:rPr>
          <w:rFonts w:ascii="Times New Roman" w:hAnsi="Times New Roman" w:cs="Times New Roman"/>
        </w:rPr>
        <w:t>doktorandov a</w:t>
      </w:r>
      <w:r>
        <w:rPr>
          <w:rFonts w:ascii="Times New Roman" w:hAnsi="Times New Roman" w:cs="Times New Roman"/>
        </w:rPr>
        <w:t xml:space="preserve"> 6 % valorizácie </w:t>
      </w:r>
      <w:r w:rsidRPr="00941A08">
        <w:rPr>
          <w:rFonts w:ascii="Times New Roman" w:hAnsi="Times New Roman" w:cs="Times New Roman"/>
        </w:rPr>
        <w:t>platov vysokoškolských učiteľov  od 1. 9. 2017</w:t>
      </w:r>
      <w:r>
        <w:rPr>
          <w:rFonts w:ascii="Times New Roman" w:hAnsi="Times New Roman" w:cs="Times New Roman"/>
        </w:rPr>
        <w:t>. Ďalej sú zapracované</w:t>
      </w:r>
      <w:r w:rsidRPr="00941A08">
        <w:rPr>
          <w:rFonts w:ascii="Times New Roman" w:hAnsi="Times New Roman" w:cs="Times New Roman"/>
        </w:rPr>
        <w:t xml:space="preserve"> aj výdavky na zriadenie verejnoprávnej inštitúcie Slovenskej akreditačnej agentúry vyplývajúce z</w:t>
      </w:r>
      <w:r>
        <w:rPr>
          <w:rFonts w:ascii="Times New Roman" w:hAnsi="Times New Roman" w:cs="Times New Roman"/>
        </w:rPr>
        <w:t xml:space="preserve"> pripravovaného</w:t>
      </w:r>
      <w:r w:rsidRPr="00941A08">
        <w:rPr>
          <w:rFonts w:ascii="Times New Roman" w:hAnsi="Times New Roman" w:cs="Times New Roman"/>
        </w:rPr>
        <w:t> nového zákona o zabezpečení kvality vysokoškolského vzdelávania.</w:t>
      </w:r>
    </w:p>
    <w:p w:rsidR="007D13F3" w:rsidRPr="00941A08" w:rsidRDefault="007D13F3" w:rsidP="007D13F3">
      <w:pPr>
        <w:spacing w:after="200"/>
        <w:ind w:firstLine="708"/>
        <w:contextualSpacing/>
        <w:jc w:val="both"/>
        <w:rPr>
          <w:rFonts w:ascii="Times New Roman" w:hAnsi="Times New Roman" w:cs="Times New Roman"/>
        </w:rPr>
      </w:pPr>
    </w:p>
    <w:p w:rsidR="007D13F3" w:rsidRPr="00933EB3" w:rsidRDefault="007D13F3" w:rsidP="007D13F3">
      <w:pPr>
        <w:spacing w:after="200"/>
        <w:ind w:firstLine="708"/>
        <w:contextualSpacing/>
        <w:jc w:val="both"/>
        <w:rPr>
          <w:rFonts w:ascii="Times New Roman" w:hAnsi="Times New Roman" w:cs="Times New Roman"/>
        </w:rPr>
      </w:pPr>
      <w:r w:rsidRPr="00933EB3">
        <w:rPr>
          <w:rFonts w:ascii="Times New Roman" w:hAnsi="Times New Roman" w:cs="Times New Roman"/>
        </w:rPr>
        <w:t>Výdavky určené pre zahraničných študentov vrátane štipendií</w:t>
      </w:r>
      <w:r>
        <w:rPr>
          <w:rFonts w:ascii="Times New Roman" w:hAnsi="Times New Roman" w:cs="Times New Roman"/>
        </w:rPr>
        <w:t>,</w:t>
      </w:r>
      <w:r w:rsidRPr="00933EB3">
        <w:rPr>
          <w:rFonts w:ascii="Times New Roman" w:hAnsi="Times New Roman" w:cs="Times New Roman"/>
        </w:rPr>
        <w:t xml:space="preserve"> výdavky na oficiálnu rozvojovú pomoc </w:t>
      </w:r>
      <w:r>
        <w:rPr>
          <w:rFonts w:ascii="Times New Roman" w:hAnsi="Times New Roman" w:cs="Times New Roman"/>
        </w:rPr>
        <w:t xml:space="preserve">a na informačné technológie </w:t>
      </w:r>
      <w:r w:rsidRPr="00933EB3">
        <w:rPr>
          <w:rFonts w:ascii="Times New Roman" w:hAnsi="Times New Roman" w:cs="Times New Roman"/>
        </w:rPr>
        <w:t>zachovávajú rozpočtovanú úroveň schváleného rozpočtu roku 201</w:t>
      </w:r>
      <w:r>
        <w:rPr>
          <w:rFonts w:ascii="Times New Roman" w:hAnsi="Times New Roman" w:cs="Times New Roman"/>
        </w:rPr>
        <w:t>7</w:t>
      </w:r>
      <w:r w:rsidRPr="00933EB3">
        <w:rPr>
          <w:rFonts w:ascii="Times New Roman" w:hAnsi="Times New Roman" w:cs="Times New Roman"/>
        </w:rPr>
        <w:t>. Výdavky na rezo</w:t>
      </w:r>
      <w:r>
        <w:rPr>
          <w:rFonts w:ascii="Times New Roman" w:hAnsi="Times New Roman" w:cs="Times New Roman"/>
        </w:rPr>
        <w:t>rtné vysoké školstvo v roku 2018</w:t>
      </w:r>
      <w:r w:rsidRPr="00933EB3">
        <w:rPr>
          <w:rFonts w:ascii="Times New Roman" w:hAnsi="Times New Roman" w:cs="Times New Roman"/>
        </w:rPr>
        <w:t xml:space="preserve"> rastú oproti </w:t>
      </w:r>
      <w:r>
        <w:rPr>
          <w:rFonts w:ascii="Times New Roman" w:hAnsi="Times New Roman" w:cs="Times New Roman"/>
        </w:rPr>
        <w:t xml:space="preserve">schválenému rozpočtu </w:t>
      </w:r>
      <w:r w:rsidRPr="00933EB3">
        <w:rPr>
          <w:rFonts w:ascii="Times New Roman" w:hAnsi="Times New Roman" w:cs="Times New Roman"/>
        </w:rPr>
        <w:t xml:space="preserve">roku </w:t>
      </w:r>
      <w:r w:rsidRPr="00941A08">
        <w:rPr>
          <w:rFonts w:ascii="Times New Roman" w:hAnsi="Times New Roman" w:cs="Times New Roman"/>
        </w:rPr>
        <w:t>2017 o 2,6 mil. eur (o 10,3 %).</w:t>
      </w:r>
      <w:r w:rsidRPr="00933EB3">
        <w:rPr>
          <w:rFonts w:ascii="Times New Roman" w:hAnsi="Times New Roman" w:cs="Times New Roman"/>
        </w:rPr>
        <w:t xml:space="preserve"> </w:t>
      </w:r>
    </w:p>
    <w:p w:rsidR="007D13F3" w:rsidRPr="00933EB3" w:rsidRDefault="007D13F3" w:rsidP="007D13F3">
      <w:pPr>
        <w:spacing w:after="200"/>
        <w:contextualSpacing/>
        <w:jc w:val="both"/>
        <w:rPr>
          <w:rFonts w:ascii="Times New Roman" w:hAnsi="Times New Roman" w:cs="Times New Roman"/>
          <w:highlight w:val="yellow"/>
        </w:rPr>
      </w:pPr>
    </w:p>
    <w:p w:rsidR="007D13F3" w:rsidRDefault="007D13F3" w:rsidP="007D13F3">
      <w:pPr>
        <w:spacing w:after="200"/>
        <w:ind w:firstLine="708"/>
        <w:contextualSpacing/>
        <w:jc w:val="both"/>
        <w:rPr>
          <w:rFonts w:ascii="Times New Roman" w:hAnsi="Times New Roman" w:cs="Times New Roman"/>
        </w:rPr>
      </w:pPr>
      <w:r w:rsidRPr="00933EB3">
        <w:rPr>
          <w:rFonts w:ascii="Times New Roman" w:hAnsi="Times New Roman" w:cs="Times New Roman"/>
        </w:rPr>
        <w:t>V rámci výdavkov pre verejné vysoké školy sú rozpočtované výdavky pre jednu rozpočtovú organizáciu a jednu príspevkovú organizáciu, ktoré vykonávajú činnost</w:t>
      </w:r>
      <w:r>
        <w:rPr>
          <w:rFonts w:ascii="Times New Roman" w:hAnsi="Times New Roman" w:cs="Times New Roman"/>
        </w:rPr>
        <w:t>i</w:t>
      </w:r>
      <w:r w:rsidRPr="00933EB3">
        <w:rPr>
          <w:rFonts w:ascii="Times New Roman" w:hAnsi="Times New Roman" w:cs="Times New Roman"/>
        </w:rPr>
        <w:t xml:space="preserve"> súvisiace s verejnými vysokými školami.</w:t>
      </w:r>
    </w:p>
    <w:p w:rsidR="007D13F3" w:rsidRDefault="007D13F3" w:rsidP="007D13F3">
      <w:pPr>
        <w:spacing w:after="200"/>
        <w:contextualSpacing/>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7"/>
        <w:gridCol w:w="795"/>
        <w:gridCol w:w="796"/>
        <w:gridCol w:w="796"/>
        <w:gridCol w:w="796"/>
        <w:gridCol w:w="796"/>
        <w:gridCol w:w="796"/>
        <w:gridCol w:w="790"/>
      </w:tblGrid>
      <w:tr w:rsidR="007D13F3" w:rsidRPr="001A560A" w:rsidTr="00465CAC">
        <w:trPr>
          <w:trHeight w:hRule="exact" w:val="255"/>
        </w:trPr>
        <w:tc>
          <w:tcPr>
            <w:tcW w:w="1930" w:type="pct"/>
            <w:shd w:val="pct35" w:color="auto" w:fill="auto"/>
            <w:noWrap/>
            <w:vAlign w:val="center"/>
            <w:hideMark/>
          </w:tcPr>
          <w:p w:rsidR="007D13F3" w:rsidRPr="001A560A" w:rsidRDefault="007D13F3" w:rsidP="00465CAC">
            <w:pPr>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v eurách</w:t>
            </w:r>
          </w:p>
        </w:tc>
        <w:tc>
          <w:tcPr>
            <w:tcW w:w="439" w:type="pct"/>
            <w:shd w:val="pct35" w:color="auto" w:fill="auto"/>
            <w:noWrap/>
            <w:vAlign w:val="center"/>
            <w:hideMark/>
          </w:tcPr>
          <w:p w:rsidR="007D13F3" w:rsidRPr="001A560A" w:rsidRDefault="007D13F3" w:rsidP="00465CAC">
            <w:pPr>
              <w:jc w:val="center"/>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2015 S</w:t>
            </w:r>
          </w:p>
        </w:tc>
        <w:tc>
          <w:tcPr>
            <w:tcW w:w="439" w:type="pct"/>
            <w:shd w:val="pct35" w:color="auto" w:fill="auto"/>
            <w:noWrap/>
            <w:vAlign w:val="center"/>
            <w:hideMark/>
          </w:tcPr>
          <w:p w:rsidR="007D13F3" w:rsidRPr="001A560A" w:rsidRDefault="007D13F3" w:rsidP="00465CAC">
            <w:pPr>
              <w:jc w:val="center"/>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2016 S</w:t>
            </w:r>
          </w:p>
        </w:tc>
        <w:tc>
          <w:tcPr>
            <w:tcW w:w="439" w:type="pct"/>
            <w:shd w:val="pct35" w:color="auto" w:fill="auto"/>
            <w:noWrap/>
            <w:vAlign w:val="center"/>
            <w:hideMark/>
          </w:tcPr>
          <w:p w:rsidR="007D13F3" w:rsidRPr="001A560A" w:rsidRDefault="007D13F3" w:rsidP="00465CAC">
            <w:pPr>
              <w:jc w:val="center"/>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2017 R</w:t>
            </w:r>
          </w:p>
        </w:tc>
        <w:tc>
          <w:tcPr>
            <w:tcW w:w="439" w:type="pct"/>
            <w:shd w:val="pct35" w:color="auto" w:fill="auto"/>
            <w:noWrap/>
            <w:vAlign w:val="center"/>
            <w:hideMark/>
          </w:tcPr>
          <w:p w:rsidR="007D13F3" w:rsidRPr="001A560A" w:rsidRDefault="007D13F3" w:rsidP="00465CAC">
            <w:pPr>
              <w:jc w:val="center"/>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2017 OS</w:t>
            </w:r>
          </w:p>
        </w:tc>
        <w:tc>
          <w:tcPr>
            <w:tcW w:w="439" w:type="pct"/>
            <w:shd w:val="pct35" w:color="auto" w:fill="auto"/>
            <w:noWrap/>
            <w:vAlign w:val="center"/>
            <w:hideMark/>
          </w:tcPr>
          <w:p w:rsidR="007D13F3" w:rsidRPr="001A560A" w:rsidRDefault="007D13F3" w:rsidP="00465CAC">
            <w:pPr>
              <w:jc w:val="center"/>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2018 N</w:t>
            </w:r>
          </w:p>
        </w:tc>
        <w:tc>
          <w:tcPr>
            <w:tcW w:w="439" w:type="pct"/>
            <w:shd w:val="pct35" w:color="auto" w:fill="auto"/>
            <w:noWrap/>
            <w:vAlign w:val="center"/>
            <w:hideMark/>
          </w:tcPr>
          <w:p w:rsidR="007D13F3" w:rsidRPr="001A560A" w:rsidRDefault="007D13F3" w:rsidP="00465CAC">
            <w:pPr>
              <w:jc w:val="center"/>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2019 N</w:t>
            </w:r>
          </w:p>
        </w:tc>
        <w:tc>
          <w:tcPr>
            <w:tcW w:w="439" w:type="pct"/>
            <w:shd w:val="pct35" w:color="auto" w:fill="auto"/>
            <w:noWrap/>
            <w:vAlign w:val="center"/>
            <w:hideMark/>
          </w:tcPr>
          <w:p w:rsidR="007D13F3" w:rsidRPr="001A560A" w:rsidRDefault="007D13F3" w:rsidP="00465CAC">
            <w:pPr>
              <w:jc w:val="center"/>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2020 N</w:t>
            </w:r>
          </w:p>
        </w:tc>
      </w:tr>
      <w:tr w:rsidR="007D13F3" w:rsidRPr="001A560A" w:rsidTr="00465CAC">
        <w:trPr>
          <w:trHeight w:hRule="exact" w:val="255"/>
        </w:trPr>
        <w:tc>
          <w:tcPr>
            <w:tcW w:w="1930" w:type="pct"/>
            <w:shd w:val="pct25" w:color="000000" w:fill="auto"/>
            <w:noWrap/>
            <w:vAlign w:val="bottom"/>
            <w:hideMark/>
          </w:tcPr>
          <w:p w:rsidR="007D13F3" w:rsidRPr="001A560A" w:rsidRDefault="007D13F3" w:rsidP="00465CAC">
            <w:pPr>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Rozpočtové a príspevkové  organizácie spolu</w:t>
            </w:r>
          </w:p>
        </w:tc>
        <w:tc>
          <w:tcPr>
            <w:tcW w:w="439" w:type="pct"/>
            <w:shd w:val="pct25" w:color="000000"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426 785</w:t>
            </w:r>
          </w:p>
        </w:tc>
        <w:tc>
          <w:tcPr>
            <w:tcW w:w="439" w:type="pct"/>
            <w:shd w:val="pct25" w:color="000000"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588 250</w:t>
            </w:r>
          </w:p>
        </w:tc>
        <w:tc>
          <w:tcPr>
            <w:tcW w:w="439" w:type="pct"/>
            <w:shd w:val="pct25" w:color="000000"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397 162</w:t>
            </w:r>
          </w:p>
        </w:tc>
        <w:tc>
          <w:tcPr>
            <w:tcW w:w="439" w:type="pct"/>
            <w:shd w:val="pct25" w:color="000000"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517 672</w:t>
            </w:r>
          </w:p>
        </w:tc>
        <w:tc>
          <w:tcPr>
            <w:tcW w:w="439" w:type="pct"/>
            <w:shd w:val="pct25" w:color="000000"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403 877</w:t>
            </w:r>
          </w:p>
        </w:tc>
        <w:tc>
          <w:tcPr>
            <w:tcW w:w="439" w:type="pct"/>
            <w:shd w:val="pct25" w:color="000000"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403 877</w:t>
            </w:r>
          </w:p>
        </w:tc>
        <w:tc>
          <w:tcPr>
            <w:tcW w:w="439" w:type="pct"/>
            <w:shd w:val="pct25" w:color="000000"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403 877</w:t>
            </w:r>
          </w:p>
        </w:tc>
      </w:tr>
      <w:tr w:rsidR="007D13F3" w:rsidRPr="001A560A" w:rsidTr="00465CAC">
        <w:trPr>
          <w:trHeight w:hRule="exact" w:val="255"/>
        </w:trPr>
        <w:tc>
          <w:tcPr>
            <w:tcW w:w="1930" w:type="pct"/>
            <w:shd w:val="clear" w:color="auto" w:fill="auto"/>
            <w:noWrap/>
            <w:vAlign w:val="bottom"/>
            <w:hideMark/>
          </w:tcPr>
          <w:p w:rsidR="007D13F3" w:rsidRPr="001A560A" w:rsidRDefault="007D13F3" w:rsidP="00465CAC">
            <w:pPr>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Rozpočtové organizácie spolu</w:t>
            </w:r>
            <w:r w:rsidR="00202892">
              <w:rPr>
                <w:rFonts w:ascii="Times New Roman" w:hAnsi="Times New Roman" w:cs="Times New Roman"/>
                <w:b/>
                <w:bCs/>
                <w:sz w:val="14"/>
                <w:szCs w:val="14"/>
                <w:lang w:eastAsia="sk-SK"/>
              </w:rPr>
              <w:t>,</w:t>
            </w:r>
            <w:r w:rsidRPr="001A560A">
              <w:rPr>
                <w:rFonts w:ascii="Times New Roman" w:hAnsi="Times New Roman" w:cs="Times New Roman"/>
                <w:b/>
                <w:bCs/>
                <w:sz w:val="14"/>
                <w:szCs w:val="14"/>
                <w:lang w:eastAsia="sk-SK"/>
              </w:rPr>
              <w:t xml:space="preserve"> z toho:</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403 279</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437 600</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338 862</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370 372</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345 577</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345 577</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345 577</w:t>
            </w:r>
          </w:p>
        </w:tc>
      </w:tr>
      <w:tr w:rsidR="007D13F3" w:rsidRPr="001A560A" w:rsidTr="00465CAC">
        <w:trPr>
          <w:trHeight w:hRule="exact" w:val="255"/>
        </w:trPr>
        <w:tc>
          <w:tcPr>
            <w:tcW w:w="1930" w:type="pct"/>
            <w:shd w:val="clear" w:color="auto" w:fill="auto"/>
            <w:noWrap/>
            <w:vAlign w:val="bottom"/>
            <w:hideMark/>
          </w:tcPr>
          <w:p w:rsidR="007D13F3" w:rsidRPr="001A560A" w:rsidRDefault="007D13F3" w:rsidP="00465CAC">
            <w:pPr>
              <w:rPr>
                <w:rFonts w:ascii="Times New Roman" w:hAnsi="Times New Roman" w:cs="Times New Roman"/>
                <w:sz w:val="14"/>
                <w:szCs w:val="14"/>
                <w:lang w:eastAsia="sk-SK"/>
              </w:rPr>
            </w:pPr>
            <w:r w:rsidRPr="001A560A">
              <w:rPr>
                <w:rFonts w:ascii="Times New Roman" w:hAnsi="Times New Roman" w:cs="Times New Roman"/>
                <w:sz w:val="14"/>
                <w:szCs w:val="14"/>
                <w:lang w:eastAsia="sk-SK"/>
              </w:rPr>
              <w:t>Medzinárodné laserové centrum</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sz w:val="14"/>
                <w:szCs w:val="14"/>
                <w:lang w:eastAsia="sk-SK"/>
              </w:rPr>
            </w:pPr>
            <w:r w:rsidRPr="001A560A">
              <w:rPr>
                <w:rFonts w:ascii="Times New Roman" w:hAnsi="Times New Roman" w:cs="Times New Roman"/>
                <w:sz w:val="14"/>
                <w:szCs w:val="14"/>
                <w:lang w:eastAsia="sk-SK"/>
              </w:rPr>
              <w:t>403 279</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sz w:val="14"/>
                <w:szCs w:val="14"/>
                <w:lang w:eastAsia="sk-SK"/>
              </w:rPr>
            </w:pPr>
            <w:r w:rsidRPr="001A560A">
              <w:rPr>
                <w:rFonts w:ascii="Times New Roman" w:hAnsi="Times New Roman" w:cs="Times New Roman"/>
                <w:sz w:val="14"/>
                <w:szCs w:val="14"/>
                <w:lang w:eastAsia="sk-SK"/>
              </w:rPr>
              <w:t>437 600</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sz w:val="14"/>
                <w:szCs w:val="14"/>
                <w:lang w:eastAsia="sk-SK"/>
              </w:rPr>
            </w:pPr>
            <w:r w:rsidRPr="001A560A">
              <w:rPr>
                <w:rFonts w:ascii="Times New Roman" w:hAnsi="Times New Roman" w:cs="Times New Roman"/>
                <w:sz w:val="14"/>
                <w:szCs w:val="14"/>
                <w:lang w:eastAsia="sk-SK"/>
              </w:rPr>
              <w:t>338 862</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sz w:val="14"/>
                <w:szCs w:val="14"/>
                <w:lang w:eastAsia="sk-SK"/>
              </w:rPr>
            </w:pPr>
            <w:r w:rsidRPr="001A560A">
              <w:rPr>
                <w:rFonts w:ascii="Times New Roman" w:hAnsi="Times New Roman" w:cs="Times New Roman"/>
                <w:sz w:val="14"/>
                <w:szCs w:val="14"/>
                <w:lang w:eastAsia="sk-SK"/>
              </w:rPr>
              <w:t>370 372</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sz w:val="14"/>
                <w:szCs w:val="14"/>
                <w:lang w:eastAsia="sk-SK"/>
              </w:rPr>
            </w:pPr>
            <w:r w:rsidRPr="001A560A">
              <w:rPr>
                <w:rFonts w:ascii="Times New Roman" w:hAnsi="Times New Roman" w:cs="Times New Roman"/>
                <w:sz w:val="14"/>
                <w:szCs w:val="14"/>
                <w:lang w:eastAsia="sk-SK"/>
              </w:rPr>
              <w:t>345 577</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sz w:val="14"/>
                <w:szCs w:val="14"/>
                <w:lang w:eastAsia="sk-SK"/>
              </w:rPr>
            </w:pPr>
            <w:r w:rsidRPr="001A560A">
              <w:rPr>
                <w:rFonts w:ascii="Times New Roman" w:hAnsi="Times New Roman" w:cs="Times New Roman"/>
                <w:sz w:val="14"/>
                <w:szCs w:val="14"/>
                <w:lang w:eastAsia="sk-SK"/>
              </w:rPr>
              <w:t>345 577</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sz w:val="14"/>
                <w:szCs w:val="14"/>
                <w:lang w:eastAsia="sk-SK"/>
              </w:rPr>
            </w:pPr>
            <w:r w:rsidRPr="001A560A">
              <w:rPr>
                <w:rFonts w:ascii="Times New Roman" w:hAnsi="Times New Roman" w:cs="Times New Roman"/>
                <w:sz w:val="14"/>
                <w:szCs w:val="14"/>
                <w:lang w:eastAsia="sk-SK"/>
              </w:rPr>
              <w:t>345 577</w:t>
            </w:r>
          </w:p>
        </w:tc>
      </w:tr>
      <w:tr w:rsidR="007D13F3" w:rsidRPr="001A560A" w:rsidTr="00465CAC">
        <w:trPr>
          <w:trHeight w:hRule="exact" w:val="255"/>
        </w:trPr>
        <w:tc>
          <w:tcPr>
            <w:tcW w:w="1930" w:type="pct"/>
            <w:shd w:val="clear" w:color="000000" w:fill="auto"/>
            <w:noWrap/>
            <w:vAlign w:val="bottom"/>
            <w:hideMark/>
          </w:tcPr>
          <w:p w:rsidR="007D13F3" w:rsidRPr="001A560A" w:rsidRDefault="007D13F3" w:rsidP="00465CAC">
            <w:pPr>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Príspevkové organizácie spolu</w:t>
            </w:r>
            <w:r w:rsidR="00202892">
              <w:rPr>
                <w:rFonts w:ascii="Times New Roman" w:hAnsi="Times New Roman" w:cs="Times New Roman"/>
                <w:b/>
                <w:bCs/>
                <w:sz w:val="14"/>
                <w:szCs w:val="14"/>
                <w:lang w:eastAsia="sk-SK"/>
              </w:rPr>
              <w:t>,</w:t>
            </w:r>
            <w:r w:rsidRPr="001A560A">
              <w:rPr>
                <w:rFonts w:ascii="Times New Roman" w:hAnsi="Times New Roman" w:cs="Times New Roman"/>
                <w:b/>
                <w:bCs/>
                <w:sz w:val="14"/>
                <w:szCs w:val="14"/>
                <w:lang w:eastAsia="sk-SK"/>
              </w:rPr>
              <w:t xml:space="preserve"> z toho:</w:t>
            </w:r>
          </w:p>
        </w:tc>
        <w:tc>
          <w:tcPr>
            <w:tcW w:w="439" w:type="pct"/>
            <w:shd w:val="clear" w:color="000000"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23 506</w:t>
            </w:r>
          </w:p>
        </w:tc>
        <w:tc>
          <w:tcPr>
            <w:tcW w:w="439" w:type="pct"/>
            <w:shd w:val="clear" w:color="000000"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150 650</w:t>
            </w:r>
          </w:p>
        </w:tc>
        <w:tc>
          <w:tcPr>
            <w:tcW w:w="439" w:type="pct"/>
            <w:shd w:val="clear" w:color="000000"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58 300</w:t>
            </w:r>
          </w:p>
        </w:tc>
        <w:tc>
          <w:tcPr>
            <w:tcW w:w="439" w:type="pct"/>
            <w:shd w:val="clear" w:color="000000"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147 300</w:t>
            </w:r>
          </w:p>
        </w:tc>
        <w:tc>
          <w:tcPr>
            <w:tcW w:w="439" w:type="pct"/>
            <w:shd w:val="clear" w:color="000000"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58 300</w:t>
            </w:r>
          </w:p>
        </w:tc>
        <w:tc>
          <w:tcPr>
            <w:tcW w:w="439" w:type="pct"/>
            <w:shd w:val="clear" w:color="000000"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58 300</w:t>
            </w:r>
          </w:p>
        </w:tc>
        <w:tc>
          <w:tcPr>
            <w:tcW w:w="439" w:type="pct"/>
            <w:shd w:val="clear" w:color="000000" w:fill="auto"/>
            <w:noWrap/>
            <w:vAlign w:val="bottom"/>
            <w:hideMark/>
          </w:tcPr>
          <w:p w:rsidR="007D13F3" w:rsidRPr="001A560A" w:rsidRDefault="007D13F3" w:rsidP="00465CAC">
            <w:pPr>
              <w:jc w:val="right"/>
              <w:rPr>
                <w:rFonts w:ascii="Times New Roman" w:hAnsi="Times New Roman" w:cs="Times New Roman"/>
                <w:b/>
                <w:bCs/>
                <w:sz w:val="14"/>
                <w:szCs w:val="14"/>
                <w:lang w:eastAsia="sk-SK"/>
              </w:rPr>
            </w:pPr>
            <w:r w:rsidRPr="001A560A">
              <w:rPr>
                <w:rFonts w:ascii="Times New Roman" w:hAnsi="Times New Roman" w:cs="Times New Roman"/>
                <w:b/>
                <w:bCs/>
                <w:sz w:val="14"/>
                <w:szCs w:val="14"/>
                <w:lang w:eastAsia="sk-SK"/>
              </w:rPr>
              <w:t>58 300</w:t>
            </w:r>
          </w:p>
        </w:tc>
      </w:tr>
      <w:tr w:rsidR="007D13F3" w:rsidRPr="001A560A" w:rsidTr="00465CAC">
        <w:trPr>
          <w:trHeight w:hRule="exact" w:val="255"/>
        </w:trPr>
        <w:tc>
          <w:tcPr>
            <w:tcW w:w="1930" w:type="pct"/>
            <w:shd w:val="clear" w:color="auto" w:fill="auto"/>
            <w:noWrap/>
            <w:vAlign w:val="bottom"/>
            <w:hideMark/>
          </w:tcPr>
          <w:p w:rsidR="007D13F3" w:rsidRPr="001A560A" w:rsidRDefault="007D13F3" w:rsidP="00465CAC">
            <w:pPr>
              <w:rPr>
                <w:rFonts w:ascii="Times New Roman" w:hAnsi="Times New Roman" w:cs="Times New Roman"/>
                <w:sz w:val="14"/>
                <w:szCs w:val="14"/>
                <w:lang w:eastAsia="sk-SK"/>
              </w:rPr>
            </w:pPr>
            <w:r w:rsidRPr="001A560A">
              <w:rPr>
                <w:rFonts w:ascii="Times New Roman" w:hAnsi="Times New Roman" w:cs="Times New Roman"/>
                <w:sz w:val="14"/>
                <w:szCs w:val="14"/>
                <w:lang w:eastAsia="sk-SK"/>
              </w:rPr>
              <w:t>Centrum vedecko-technických informácií</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sz w:val="14"/>
                <w:szCs w:val="14"/>
                <w:lang w:eastAsia="sk-SK"/>
              </w:rPr>
            </w:pPr>
            <w:r w:rsidRPr="001A560A">
              <w:rPr>
                <w:rFonts w:ascii="Times New Roman" w:hAnsi="Times New Roman" w:cs="Times New Roman"/>
                <w:sz w:val="14"/>
                <w:szCs w:val="14"/>
                <w:lang w:eastAsia="sk-SK"/>
              </w:rPr>
              <w:t>23 506</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sz w:val="14"/>
                <w:szCs w:val="14"/>
                <w:lang w:eastAsia="sk-SK"/>
              </w:rPr>
            </w:pPr>
            <w:r w:rsidRPr="001A560A">
              <w:rPr>
                <w:rFonts w:ascii="Times New Roman" w:hAnsi="Times New Roman" w:cs="Times New Roman"/>
                <w:sz w:val="14"/>
                <w:szCs w:val="14"/>
                <w:lang w:eastAsia="sk-SK"/>
              </w:rPr>
              <w:t>150 650</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sz w:val="14"/>
                <w:szCs w:val="14"/>
                <w:lang w:eastAsia="sk-SK"/>
              </w:rPr>
            </w:pPr>
            <w:r w:rsidRPr="001A560A">
              <w:rPr>
                <w:rFonts w:ascii="Times New Roman" w:hAnsi="Times New Roman" w:cs="Times New Roman"/>
                <w:sz w:val="14"/>
                <w:szCs w:val="14"/>
                <w:lang w:eastAsia="sk-SK"/>
              </w:rPr>
              <w:t>58 300</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sz w:val="14"/>
                <w:szCs w:val="14"/>
                <w:lang w:eastAsia="sk-SK"/>
              </w:rPr>
            </w:pPr>
            <w:r w:rsidRPr="001A560A">
              <w:rPr>
                <w:rFonts w:ascii="Times New Roman" w:hAnsi="Times New Roman" w:cs="Times New Roman"/>
                <w:sz w:val="14"/>
                <w:szCs w:val="14"/>
                <w:lang w:eastAsia="sk-SK"/>
              </w:rPr>
              <w:t>147 300</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sz w:val="14"/>
                <w:szCs w:val="14"/>
                <w:lang w:eastAsia="sk-SK"/>
              </w:rPr>
            </w:pPr>
            <w:r w:rsidRPr="001A560A">
              <w:rPr>
                <w:rFonts w:ascii="Times New Roman" w:hAnsi="Times New Roman" w:cs="Times New Roman"/>
                <w:sz w:val="14"/>
                <w:szCs w:val="14"/>
                <w:lang w:eastAsia="sk-SK"/>
              </w:rPr>
              <w:t>58 300</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sz w:val="14"/>
                <w:szCs w:val="14"/>
                <w:lang w:eastAsia="sk-SK"/>
              </w:rPr>
            </w:pPr>
            <w:r w:rsidRPr="001A560A">
              <w:rPr>
                <w:rFonts w:ascii="Times New Roman" w:hAnsi="Times New Roman" w:cs="Times New Roman"/>
                <w:sz w:val="14"/>
                <w:szCs w:val="14"/>
                <w:lang w:eastAsia="sk-SK"/>
              </w:rPr>
              <w:t>58 300</w:t>
            </w:r>
          </w:p>
        </w:tc>
        <w:tc>
          <w:tcPr>
            <w:tcW w:w="439" w:type="pct"/>
            <w:shd w:val="clear" w:color="auto" w:fill="auto"/>
            <w:noWrap/>
            <w:vAlign w:val="bottom"/>
            <w:hideMark/>
          </w:tcPr>
          <w:p w:rsidR="007D13F3" w:rsidRPr="001A560A" w:rsidRDefault="007D13F3" w:rsidP="00465CAC">
            <w:pPr>
              <w:jc w:val="right"/>
              <w:rPr>
                <w:rFonts w:ascii="Times New Roman" w:hAnsi="Times New Roman" w:cs="Times New Roman"/>
                <w:sz w:val="14"/>
                <w:szCs w:val="14"/>
                <w:lang w:eastAsia="sk-SK"/>
              </w:rPr>
            </w:pPr>
            <w:r w:rsidRPr="001A560A">
              <w:rPr>
                <w:rFonts w:ascii="Times New Roman" w:hAnsi="Times New Roman" w:cs="Times New Roman"/>
                <w:sz w:val="14"/>
                <w:szCs w:val="14"/>
                <w:lang w:eastAsia="sk-SK"/>
              </w:rPr>
              <w:t>58 300</w:t>
            </w:r>
          </w:p>
        </w:tc>
      </w:tr>
    </w:tbl>
    <w:p w:rsidR="007D13F3" w:rsidRDefault="007D13F3" w:rsidP="007D13F3">
      <w:pPr>
        <w:jc w:val="both"/>
        <w:rPr>
          <w:rFonts w:ascii="Times New Roman" w:hAnsi="Times New Roman" w:cs="Times New Roman"/>
        </w:rPr>
      </w:pPr>
    </w:p>
    <w:p w:rsidR="007D13F3" w:rsidRDefault="007D13F3" w:rsidP="007D13F3">
      <w:pPr>
        <w:spacing w:after="200"/>
        <w:ind w:firstLine="708"/>
        <w:jc w:val="both"/>
        <w:rPr>
          <w:rFonts w:ascii="Times New Roman" w:hAnsi="Times New Roman" w:cs="Times New Roman"/>
        </w:rPr>
      </w:pPr>
      <w:r w:rsidRPr="00933EB3">
        <w:rPr>
          <w:rFonts w:ascii="Times New Roman" w:hAnsi="Times New Roman" w:cs="Times New Roman"/>
        </w:rPr>
        <w:t>V roku 201</w:t>
      </w:r>
      <w:r>
        <w:rPr>
          <w:rFonts w:ascii="Times New Roman" w:hAnsi="Times New Roman" w:cs="Times New Roman"/>
        </w:rPr>
        <w:t>8</w:t>
      </w:r>
      <w:r w:rsidRPr="00933EB3">
        <w:rPr>
          <w:rFonts w:ascii="Times New Roman" w:hAnsi="Times New Roman" w:cs="Times New Roman"/>
        </w:rPr>
        <w:t xml:space="preserve"> verejné vysoké školy budú používať na financovanie svojej hlavnej činnosti okrem prostriedkov poskytnutých MŠVVŠ SR aj vlastné zdroje v sume </w:t>
      </w:r>
      <w:r w:rsidRPr="004A6C4A">
        <w:rPr>
          <w:rFonts w:ascii="Times New Roman" w:hAnsi="Times New Roman" w:cs="Times New Roman"/>
        </w:rPr>
        <w:t>16</w:t>
      </w:r>
      <w:r>
        <w:rPr>
          <w:rFonts w:ascii="Times New Roman" w:hAnsi="Times New Roman" w:cs="Times New Roman"/>
        </w:rPr>
        <w:t>0</w:t>
      </w:r>
      <w:r w:rsidRPr="004A6C4A">
        <w:rPr>
          <w:rFonts w:ascii="Times New Roman" w:hAnsi="Times New Roman" w:cs="Times New Roman"/>
        </w:rPr>
        <w:t xml:space="preserve"> mil. eur,</w:t>
      </w:r>
      <w:r w:rsidRPr="00933EB3">
        <w:rPr>
          <w:rFonts w:ascii="Times New Roman" w:hAnsi="Times New Roman" w:cs="Times New Roman"/>
        </w:rPr>
        <w:t xml:space="preserve"> čo predstavuje </w:t>
      </w:r>
      <w:r>
        <w:rPr>
          <w:rFonts w:ascii="Times New Roman" w:hAnsi="Times New Roman" w:cs="Times New Roman"/>
        </w:rPr>
        <w:t xml:space="preserve">pokles oproti </w:t>
      </w:r>
      <w:r w:rsidRPr="00933EB3">
        <w:rPr>
          <w:rFonts w:ascii="Times New Roman" w:hAnsi="Times New Roman" w:cs="Times New Roman"/>
        </w:rPr>
        <w:t>schválené</w:t>
      </w:r>
      <w:r>
        <w:rPr>
          <w:rFonts w:ascii="Times New Roman" w:hAnsi="Times New Roman" w:cs="Times New Roman"/>
        </w:rPr>
        <w:t>mu</w:t>
      </w:r>
      <w:r w:rsidRPr="00933EB3">
        <w:rPr>
          <w:rFonts w:ascii="Times New Roman" w:hAnsi="Times New Roman" w:cs="Times New Roman"/>
        </w:rPr>
        <w:t xml:space="preserve"> rozpočtu roku 201</w:t>
      </w:r>
      <w:r>
        <w:rPr>
          <w:rFonts w:ascii="Times New Roman" w:hAnsi="Times New Roman" w:cs="Times New Roman"/>
        </w:rPr>
        <w:t>7 o 3,54 mil. eur, t. j. o 2,17 %, čo nadväzuje na pripravovanú novelu zákona o vysokých školách</w:t>
      </w:r>
      <w:r w:rsidRPr="00933EB3">
        <w:rPr>
          <w:rFonts w:ascii="Times New Roman" w:hAnsi="Times New Roman" w:cs="Times New Roman"/>
        </w:rPr>
        <w:t xml:space="preserve">. </w:t>
      </w:r>
    </w:p>
    <w:tbl>
      <w:tblPr>
        <w:tblW w:w="5000" w:type="pct"/>
        <w:tblCellMar>
          <w:left w:w="70" w:type="dxa"/>
          <w:right w:w="70" w:type="dxa"/>
        </w:tblCellMar>
        <w:tblLook w:val="04A0" w:firstRow="1" w:lastRow="0" w:firstColumn="1" w:lastColumn="0" w:noHBand="0" w:noVBand="1"/>
      </w:tblPr>
      <w:tblGrid>
        <w:gridCol w:w="3182"/>
        <w:gridCol w:w="840"/>
        <w:gridCol w:w="840"/>
        <w:gridCol w:w="840"/>
        <w:gridCol w:w="840"/>
        <w:gridCol w:w="840"/>
        <w:gridCol w:w="840"/>
        <w:gridCol w:w="840"/>
      </w:tblGrid>
      <w:tr w:rsidR="007D13F3" w:rsidRPr="004A6C4A" w:rsidTr="00465CAC">
        <w:trPr>
          <w:trHeight w:val="225"/>
        </w:trPr>
        <w:tc>
          <w:tcPr>
            <w:tcW w:w="1930"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4A6C4A" w:rsidRDefault="007D13F3" w:rsidP="00465CAC">
            <w:pPr>
              <w:rPr>
                <w:rFonts w:ascii="Times New Roman" w:hAnsi="Times New Roman" w:cs="Times New Roman"/>
                <w:b/>
                <w:bCs/>
                <w:sz w:val="14"/>
                <w:szCs w:val="14"/>
                <w:lang w:eastAsia="sk-SK"/>
              </w:rPr>
            </w:pPr>
            <w:r w:rsidRPr="004A6C4A">
              <w:rPr>
                <w:rFonts w:ascii="Times New Roman" w:hAnsi="Times New Roman" w:cs="Times New Roman"/>
                <w:b/>
                <w:bCs/>
                <w:sz w:val="14"/>
                <w:szCs w:val="14"/>
                <w:lang w:eastAsia="sk-SK"/>
              </w:rPr>
              <w:t>v eurách</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4A6C4A" w:rsidRDefault="007D13F3" w:rsidP="00465CAC">
            <w:pPr>
              <w:jc w:val="center"/>
              <w:rPr>
                <w:rFonts w:ascii="Times New Roman" w:hAnsi="Times New Roman" w:cs="Times New Roman"/>
                <w:b/>
                <w:bCs/>
                <w:sz w:val="14"/>
                <w:szCs w:val="14"/>
                <w:lang w:eastAsia="sk-SK"/>
              </w:rPr>
            </w:pPr>
            <w:r w:rsidRPr="004A6C4A">
              <w:rPr>
                <w:rFonts w:ascii="Times New Roman" w:hAnsi="Times New Roman" w:cs="Times New Roman"/>
                <w:b/>
                <w:bCs/>
                <w:sz w:val="14"/>
                <w:szCs w:val="14"/>
                <w:lang w:eastAsia="sk-SK"/>
              </w:rPr>
              <w:t>2015 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4A6C4A" w:rsidRDefault="007D13F3" w:rsidP="00465CAC">
            <w:pPr>
              <w:jc w:val="center"/>
              <w:rPr>
                <w:rFonts w:ascii="Times New Roman" w:hAnsi="Times New Roman" w:cs="Times New Roman"/>
                <w:b/>
                <w:bCs/>
                <w:sz w:val="14"/>
                <w:szCs w:val="14"/>
                <w:lang w:eastAsia="sk-SK"/>
              </w:rPr>
            </w:pPr>
            <w:r w:rsidRPr="004A6C4A">
              <w:rPr>
                <w:rFonts w:ascii="Times New Roman" w:hAnsi="Times New Roman" w:cs="Times New Roman"/>
                <w:b/>
                <w:bCs/>
                <w:sz w:val="14"/>
                <w:szCs w:val="14"/>
                <w:lang w:eastAsia="sk-SK"/>
              </w:rPr>
              <w:t>2016 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4A6C4A" w:rsidRDefault="007D13F3" w:rsidP="00465CAC">
            <w:pPr>
              <w:jc w:val="center"/>
              <w:rPr>
                <w:rFonts w:ascii="Times New Roman" w:hAnsi="Times New Roman" w:cs="Times New Roman"/>
                <w:b/>
                <w:bCs/>
                <w:sz w:val="14"/>
                <w:szCs w:val="14"/>
                <w:lang w:eastAsia="sk-SK"/>
              </w:rPr>
            </w:pPr>
            <w:r w:rsidRPr="004A6C4A">
              <w:rPr>
                <w:rFonts w:ascii="Times New Roman" w:hAnsi="Times New Roman" w:cs="Times New Roman"/>
                <w:b/>
                <w:bCs/>
                <w:sz w:val="14"/>
                <w:szCs w:val="14"/>
                <w:lang w:eastAsia="sk-SK"/>
              </w:rPr>
              <w:t>2017 R</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4A6C4A" w:rsidRDefault="007D13F3" w:rsidP="00465CAC">
            <w:pPr>
              <w:jc w:val="center"/>
              <w:rPr>
                <w:rFonts w:ascii="Times New Roman" w:hAnsi="Times New Roman" w:cs="Times New Roman"/>
                <w:b/>
                <w:bCs/>
                <w:sz w:val="14"/>
                <w:szCs w:val="14"/>
                <w:lang w:eastAsia="sk-SK"/>
              </w:rPr>
            </w:pPr>
            <w:r w:rsidRPr="004A6C4A">
              <w:rPr>
                <w:rFonts w:ascii="Times New Roman" w:hAnsi="Times New Roman" w:cs="Times New Roman"/>
                <w:b/>
                <w:bCs/>
                <w:sz w:val="14"/>
                <w:szCs w:val="14"/>
                <w:lang w:eastAsia="sk-SK"/>
              </w:rPr>
              <w:t>2017 OS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4A6C4A" w:rsidRDefault="007D13F3" w:rsidP="00465CAC">
            <w:pPr>
              <w:jc w:val="center"/>
              <w:rPr>
                <w:rFonts w:ascii="Times New Roman" w:hAnsi="Times New Roman" w:cs="Times New Roman"/>
                <w:b/>
                <w:bCs/>
                <w:sz w:val="14"/>
                <w:szCs w:val="14"/>
                <w:lang w:eastAsia="sk-SK"/>
              </w:rPr>
            </w:pPr>
            <w:r w:rsidRPr="004A6C4A">
              <w:rPr>
                <w:rFonts w:ascii="Times New Roman" w:hAnsi="Times New Roman" w:cs="Times New Roman"/>
                <w:b/>
                <w:bCs/>
                <w:sz w:val="14"/>
                <w:szCs w:val="14"/>
                <w:lang w:eastAsia="sk-SK"/>
              </w:rPr>
              <w:t>2018 N</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4A6C4A" w:rsidRDefault="007D13F3" w:rsidP="00465CAC">
            <w:pPr>
              <w:jc w:val="center"/>
              <w:rPr>
                <w:rFonts w:ascii="Times New Roman" w:hAnsi="Times New Roman" w:cs="Times New Roman"/>
                <w:b/>
                <w:bCs/>
                <w:sz w:val="14"/>
                <w:szCs w:val="14"/>
                <w:lang w:eastAsia="sk-SK"/>
              </w:rPr>
            </w:pPr>
            <w:r w:rsidRPr="004A6C4A">
              <w:rPr>
                <w:rFonts w:ascii="Times New Roman" w:hAnsi="Times New Roman" w:cs="Times New Roman"/>
                <w:b/>
                <w:bCs/>
                <w:sz w:val="14"/>
                <w:szCs w:val="14"/>
                <w:lang w:eastAsia="sk-SK"/>
              </w:rPr>
              <w:t>2019 N</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4A6C4A" w:rsidRDefault="007D13F3" w:rsidP="00465CAC">
            <w:pPr>
              <w:jc w:val="center"/>
              <w:rPr>
                <w:rFonts w:ascii="Times New Roman" w:hAnsi="Times New Roman" w:cs="Times New Roman"/>
                <w:b/>
                <w:bCs/>
                <w:sz w:val="14"/>
                <w:szCs w:val="14"/>
                <w:lang w:eastAsia="sk-SK"/>
              </w:rPr>
            </w:pPr>
            <w:r w:rsidRPr="004A6C4A">
              <w:rPr>
                <w:rFonts w:ascii="Times New Roman" w:hAnsi="Times New Roman" w:cs="Times New Roman"/>
                <w:b/>
                <w:bCs/>
                <w:sz w:val="14"/>
                <w:szCs w:val="14"/>
                <w:lang w:eastAsia="sk-SK"/>
              </w:rPr>
              <w:t>2020 N</w:t>
            </w:r>
          </w:p>
        </w:tc>
      </w:tr>
      <w:tr w:rsidR="007D13F3" w:rsidRPr="004A6C4A" w:rsidTr="00465CAC">
        <w:trPr>
          <w:trHeight w:val="225"/>
        </w:trPr>
        <w:tc>
          <w:tcPr>
            <w:tcW w:w="1930" w:type="pct"/>
            <w:tcBorders>
              <w:top w:val="nil"/>
              <w:left w:val="single" w:sz="4" w:space="0" w:color="auto"/>
              <w:bottom w:val="single" w:sz="4" w:space="0" w:color="auto"/>
              <w:right w:val="single" w:sz="4" w:space="0" w:color="auto"/>
            </w:tcBorders>
            <w:shd w:val="clear" w:color="auto" w:fill="auto"/>
            <w:noWrap/>
            <w:vAlign w:val="center"/>
            <w:hideMark/>
          </w:tcPr>
          <w:p w:rsidR="007D13F3" w:rsidRPr="004A6C4A" w:rsidRDefault="007D13F3" w:rsidP="00465CAC">
            <w:pPr>
              <w:rPr>
                <w:rFonts w:ascii="Times New Roman" w:hAnsi="Times New Roman" w:cs="Times New Roman"/>
                <w:sz w:val="14"/>
                <w:szCs w:val="14"/>
                <w:lang w:eastAsia="sk-SK"/>
              </w:rPr>
            </w:pPr>
            <w:r w:rsidRPr="004A6C4A">
              <w:rPr>
                <w:rFonts w:ascii="Times New Roman" w:hAnsi="Times New Roman" w:cs="Times New Roman"/>
                <w:sz w:val="14"/>
                <w:szCs w:val="14"/>
                <w:lang w:eastAsia="sk-SK"/>
              </w:rPr>
              <w:t>Vlastné zdroje VVŠ</w:t>
            </w:r>
          </w:p>
        </w:tc>
        <w:tc>
          <w:tcPr>
            <w:tcW w:w="439" w:type="pct"/>
            <w:tcBorders>
              <w:top w:val="nil"/>
              <w:left w:val="nil"/>
              <w:bottom w:val="single" w:sz="4" w:space="0" w:color="auto"/>
              <w:right w:val="single" w:sz="4" w:space="0" w:color="auto"/>
            </w:tcBorders>
            <w:shd w:val="clear" w:color="auto" w:fill="auto"/>
            <w:noWrap/>
            <w:vAlign w:val="center"/>
            <w:hideMark/>
          </w:tcPr>
          <w:p w:rsidR="007D13F3" w:rsidRPr="004A6C4A" w:rsidRDefault="007D13F3" w:rsidP="00465CAC">
            <w:pPr>
              <w:jc w:val="right"/>
              <w:rPr>
                <w:rFonts w:ascii="Times New Roman" w:hAnsi="Times New Roman" w:cs="Times New Roman"/>
                <w:sz w:val="14"/>
                <w:szCs w:val="14"/>
                <w:lang w:eastAsia="sk-SK"/>
              </w:rPr>
            </w:pPr>
            <w:r w:rsidRPr="004A6C4A">
              <w:rPr>
                <w:rFonts w:ascii="Times New Roman" w:hAnsi="Times New Roman" w:cs="Times New Roman"/>
                <w:sz w:val="14"/>
                <w:szCs w:val="14"/>
                <w:lang w:eastAsia="sk-SK"/>
              </w:rPr>
              <w:t>223 547 553</w:t>
            </w:r>
          </w:p>
        </w:tc>
        <w:tc>
          <w:tcPr>
            <w:tcW w:w="439" w:type="pct"/>
            <w:tcBorders>
              <w:top w:val="nil"/>
              <w:left w:val="nil"/>
              <w:bottom w:val="single" w:sz="4" w:space="0" w:color="auto"/>
              <w:right w:val="single" w:sz="4" w:space="0" w:color="auto"/>
            </w:tcBorders>
            <w:shd w:val="clear" w:color="auto" w:fill="auto"/>
            <w:noWrap/>
            <w:vAlign w:val="center"/>
            <w:hideMark/>
          </w:tcPr>
          <w:p w:rsidR="007D13F3" w:rsidRPr="004A6C4A" w:rsidRDefault="007D13F3" w:rsidP="00465CAC">
            <w:pPr>
              <w:jc w:val="right"/>
              <w:rPr>
                <w:rFonts w:ascii="Times New Roman" w:hAnsi="Times New Roman" w:cs="Times New Roman"/>
                <w:sz w:val="14"/>
                <w:szCs w:val="14"/>
                <w:lang w:eastAsia="sk-SK"/>
              </w:rPr>
            </w:pPr>
            <w:r w:rsidRPr="004A6C4A">
              <w:rPr>
                <w:rFonts w:ascii="Times New Roman" w:hAnsi="Times New Roman" w:cs="Times New Roman"/>
                <w:sz w:val="14"/>
                <w:szCs w:val="14"/>
                <w:lang w:eastAsia="sk-SK"/>
              </w:rPr>
              <w:t>200 334 185</w:t>
            </w:r>
          </w:p>
        </w:tc>
        <w:tc>
          <w:tcPr>
            <w:tcW w:w="439" w:type="pct"/>
            <w:tcBorders>
              <w:top w:val="nil"/>
              <w:left w:val="nil"/>
              <w:bottom w:val="single" w:sz="4" w:space="0" w:color="auto"/>
              <w:right w:val="single" w:sz="4" w:space="0" w:color="auto"/>
            </w:tcBorders>
            <w:shd w:val="clear" w:color="auto" w:fill="auto"/>
            <w:noWrap/>
            <w:vAlign w:val="center"/>
            <w:hideMark/>
          </w:tcPr>
          <w:p w:rsidR="007D13F3" w:rsidRPr="004A6C4A" w:rsidRDefault="007D13F3" w:rsidP="00465CAC">
            <w:pPr>
              <w:jc w:val="right"/>
              <w:rPr>
                <w:rFonts w:ascii="Times New Roman" w:hAnsi="Times New Roman" w:cs="Times New Roman"/>
                <w:sz w:val="14"/>
                <w:szCs w:val="14"/>
                <w:lang w:eastAsia="sk-SK"/>
              </w:rPr>
            </w:pPr>
            <w:r w:rsidRPr="004A6C4A">
              <w:rPr>
                <w:rFonts w:ascii="Times New Roman" w:hAnsi="Times New Roman" w:cs="Times New Roman"/>
                <w:sz w:val="14"/>
                <w:szCs w:val="14"/>
                <w:lang w:eastAsia="sk-SK"/>
              </w:rPr>
              <w:t>163 624 906</w:t>
            </w:r>
          </w:p>
        </w:tc>
        <w:tc>
          <w:tcPr>
            <w:tcW w:w="439" w:type="pct"/>
            <w:tcBorders>
              <w:top w:val="nil"/>
              <w:left w:val="nil"/>
              <w:bottom w:val="single" w:sz="4" w:space="0" w:color="auto"/>
              <w:right w:val="single" w:sz="4" w:space="0" w:color="auto"/>
            </w:tcBorders>
            <w:shd w:val="clear" w:color="auto" w:fill="auto"/>
            <w:noWrap/>
            <w:vAlign w:val="center"/>
            <w:hideMark/>
          </w:tcPr>
          <w:p w:rsidR="007D13F3" w:rsidRPr="004A6C4A" w:rsidRDefault="007D13F3" w:rsidP="00465CAC">
            <w:pPr>
              <w:jc w:val="right"/>
              <w:rPr>
                <w:rFonts w:ascii="Times New Roman" w:hAnsi="Times New Roman" w:cs="Times New Roman"/>
                <w:sz w:val="14"/>
                <w:szCs w:val="14"/>
                <w:lang w:eastAsia="sk-SK"/>
              </w:rPr>
            </w:pPr>
            <w:r w:rsidRPr="004A6C4A">
              <w:rPr>
                <w:rFonts w:ascii="Times New Roman" w:hAnsi="Times New Roman" w:cs="Times New Roman"/>
                <w:sz w:val="14"/>
                <w:szCs w:val="14"/>
                <w:lang w:eastAsia="sk-SK"/>
              </w:rPr>
              <w:t>139 348 451</w:t>
            </w:r>
          </w:p>
        </w:tc>
        <w:tc>
          <w:tcPr>
            <w:tcW w:w="439" w:type="pct"/>
            <w:tcBorders>
              <w:top w:val="nil"/>
              <w:left w:val="nil"/>
              <w:bottom w:val="single" w:sz="4" w:space="0" w:color="auto"/>
              <w:right w:val="single" w:sz="4" w:space="0" w:color="auto"/>
            </w:tcBorders>
            <w:shd w:val="clear" w:color="auto" w:fill="auto"/>
            <w:noWrap/>
            <w:vAlign w:val="center"/>
            <w:hideMark/>
          </w:tcPr>
          <w:p w:rsidR="007D13F3" w:rsidRPr="004A6C4A" w:rsidRDefault="007D13F3" w:rsidP="00465CAC">
            <w:pPr>
              <w:jc w:val="right"/>
              <w:rPr>
                <w:rFonts w:ascii="Times New Roman" w:hAnsi="Times New Roman" w:cs="Times New Roman"/>
                <w:sz w:val="14"/>
                <w:szCs w:val="14"/>
                <w:lang w:eastAsia="sk-SK"/>
              </w:rPr>
            </w:pPr>
            <w:r w:rsidRPr="004A6C4A">
              <w:rPr>
                <w:rFonts w:ascii="Times New Roman" w:hAnsi="Times New Roman" w:cs="Times New Roman"/>
                <w:sz w:val="14"/>
                <w:szCs w:val="14"/>
                <w:lang w:eastAsia="sk-SK"/>
              </w:rPr>
              <w:t>16</w:t>
            </w:r>
            <w:r>
              <w:rPr>
                <w:rFonts w:ascii="Times New Roman" w:hAnsi="Times New Roman" w:cs="Times New Roman"/>
                <w:sz w:val="14"/>
                <w:szCs w:val="14"/>
                <w:lang w:eastAsia="sk-SK"/>
              </w:rPr>
              <w:t>0 078 517</w:t>
            </w:r>
          </w:p>
        </w:tc>
        <w:tc>
          <w:tcPr>
            <w:tcW w:w="439" w:type="pct"/>
            <w:tcBorders>
              <w:top w:val="nil"/>
              <w:left w:val="nil"/>
              <w:bottom w:val="single" w:sz="4" w:space="0" w:color="auto"/>
              <w:right w:val="single" w:sz="4" w:space="0" w:color="auto"/>
            </w:tcBorders>
            <w:shd w:val="clear" w:color="auto" w:fill="auto"/>
            <w:noWrap/>
            <w:vAlign w:val="center"/>
            <w:hideMark/>
          </w:tcPr>
          <w:p w:rsidR="007D13F3" w:rsidRPr="004A6C4A" w:rsidRDefault="007D13F3" w:rsidP="00465CAC">
            <w:pPr>
              <w:jc w:val="right"/>
              <w:rPr>
                <w:rFonts w:ascii="Times New Roman" w:hAnsi="Times New Roman" w:cs="Times New Roman"/>
                <w:sz w:val="14"/>
                <w:szCs w:val="14"/>
                <w:lang w:eastAsia="sk-SK"/>
              </w:rPr>
            </w:pPr>
            <w:r w:rsidRPr="004A6C4A">
              <w:rPr>
                <w:rFonts w:ascii="Times New Roman" w:hAnsi="Times New Roman" w:cs="Times New Roman"/>
                <w:sz w:val="14"/>
                <w:szCs w:val="14"/>
                <w:lang w:eastAsia="sk-SK"/>
              </w:rPr>
              <w:t>1</w:t>
            </w:r>
            <w:r>
              <w:rPr>
                <w:rFonts w:ascii="Times New Roman" w:hAnsi="Times New Roman" w:cs="Times New Roman"/>
                <w:sz w:val="14"/>
                <w:szCs w:val="14"/>
                <w:lang w:eastAsia="sk-SK"/>
              </w:rPr>
              <w:t>58 897 517</w:t>
            </w:r>
          </w:p>
        </w:tc>
        <w:tc>
          <w:tcPr>
            <w:tcW w:w="439" w:type="pct"/>
            <w:tcBorders>
              <w:top w:val="nil"/>
              <w:left w:val="nil"/>
              <w:bottom w:val="single" w:sz="4" w:space="0" w:color="auto"/>
              <w:right w:val="single" w:sz="4" w:space="0" w:color="auto"/>
            </w:tcBorders>
            <w:shd w:val="clear" w:color="auto" w:fill="auto"/>
            <w:noWrap/>
            <w:vAlign w:val="center"/>
            <w:hideMark/>
          </w:tcPr>
          <w:p w:rsidR="007D13F3" w:rsidRPr="004A6C4A" w:rsidRDefault="007D13F3" w:rsidP="00465CAC">
            <w:pPr>
              <w:jc w:val="right"/>
              <w:rPr>
                <w:rFonts w:ascii="Times New Roman" w:hAnsi="Times New Roman" w:cs="Times New Roman"/>
                <w:sz w:val="14"/>
                <w:szCs w:val="14"/>
                <w:lang w:eastAsia="sk-SK"/>
              </w:rPr>
            </w:pPr>
            <w:r w:rsidRPr="00FA7F6D">
              <w:rPr>
                <w:rFonts w:ascii="Times New Roman" w:hAnsi="Times New Roman" w:cs="Times New Roman"/>
                <w:sz w:val="14"/>
                <w:szCs w:val="14"/>
                <w:lang w:eastAsia="sk-SK"/>
              </w:rPr>
              <w:t>158 897 517</w:t>
            </w:r>
          </w:p>
        </w:tc>
      </w:tr>
    </w:tbl>
    <w:p w:rsidR="007D13F3" w:rsidRPr="00BE0CC1" w:rsidRDefault="007D13F3" w:rsidP="007D13F3">
      <w:pPr>
        <w:spacing w:after="200" w:line="276" w:lineRule="auto"/>
        <w:jc w:val="both"/>
        <w:rPr>
          <w:rFonts w:ascii="Times New Roman" w:hAnsi="Times New Roman" w:cs="Times New Roman"/>
          <w:sz w:val="14"/>
          <w:szCs w:val="14"/>
        </w:rPr>
      </w:pPr>
      <w:r w:rsidRPr="00BE0CC1">
        <w:rPr>
          <w:rFonts w:ascii="Times New Roman" w:hAnsi="Times New Roman" w:cs="Times New Roman"/>
          <w:sz w:val="14"/>
          <w:szCs w:val="14"/>
        </w:rPr>
        <w:t>*V skutočnosti za roky 201</w:t>
      </w:r>
      <w:r>
        <w:rPr>
          <w:rFonts w:ascii="Times New Roman" w:hAnsi="Times New Roman" w:cs="Times New Roman"/>
          <w:sz w:val="14"/>
          <w:szCs w:val="14"/>
        </w:rPr>
        <w:t>5</w:t>
      </w:r>
      <w:r w:rsidRPr="00BE0CC1">
        <w:rPr>
          <w:rFonts w:ascii="Times New Roman" w:hAnsi="Times New Roman" w:cs="Times New Roman"/>
          <w:sz w:val="14"/>
          <w:szCs w:val="14"/>
        </w:rPr>
        <w:t xml:space="preserve"> a 201</w:t>
      </w:r>
      <w:r>
        <w:rPr>
          <w:rFonts w:ascii="Times New Roman" w:hAnsi="Times New Roman" w:cs="Times New Roman"/>
          <w:sz w:val="14"/>
          <w:szCs w:val="14"/>
        </w:rPr>
        <w:t>6 a očakávanej skutočnosti 2017</w:t>
      </w:r>
      <w:r w:rsidRPr="00BE0CC1">
        <w:rPr>
          <w:rFonts w:ascii="Times New Roman" w:hAnsi="Times New Roman" w:cs="Times New Roman"/>
          <w:sz w:val="14"/>
          <w:szCs w:val="14"/>
        </w:rPr>
        <w:t xml:space="preserve"> sú zahrnuté aj príjmy z podnikateľskej činnosti, ktorá sa nerozpočtuje.</w:t>
      </w:r>
    </w:p>
    <w:p w:rsidR="007D13F3" w:rsidRPr="00933EB3" w:rsidRDefault="007D13F3" w:rsidP="007D13F3">
      <w:pPr>
        <w:spacing w:after="200"/>
        <w:ind w:firstLine="708"/>
        <w:contextualSpacing/>
        <w:jc w:val="both"/>
        <w:rPr>
          <w:rFonts w:ascii="Times New Roman" w:hAnsi="Times New Roman" w:cs="Times New Roman"/>
        </w:rPr>
      </w:pPr>
      <w:r w:rsidRPr="00933EB3">
        <w:rPr>
          <w:rFonts w:ascii="Times New Roman" w:hAnsi="Times New Roman" w:cs="Times New Roman"/>
        </w:rPr>
        <w:t>Okrem prostriedkov štátneho rozpočtu poskytnutých z MŠVVŠ SR verejné vysoké školy budú mať k dispozícii aj zdroje zo štrukturálnych fondov vrátane spolufinancovania zo štátneho rozpočtu z operačných programov na rok 201</w:t>
      </w:r>
      <w:r>
        <w:rPr>
          <w:rFonts w:ascii="Times New Roman" w:hAnsi="Times New Roman" w:cs="Times New Roman"/>
        </w:rPr>
        <w:t>8</w:t>
      </w:r>
      <w:r w:rsidRPr="00933EB3">
        <w:rPr>
          <w:rFonts w:ascii="Times New Roman" w:hAnsi="Times New Roman" w:cs="Times New Roman"/>
        </w:rPr>
        <w:t xml:space="preserve"> v </w:t>
      </w:r>
      <w:r w:rsidRPr="00941A08">
        <w:rPr>
          <w:rFonts w:ascii="Times New Roman" w:hAnsi="Times New Roman" w:cs="Times New Roman"/>
        </w:rPr>
        <w:t>objeme 25,1 mil. eur, na rok 2019 v objeme 115 mil. eur a na rok 2020 v objeme 132 mil. eur.</w:t>
      </w:r>
      <w:r w:rsidRPr="00933EB3">
        <w:rPr>
          <w:rFonts w:ascii="Times New Roman" w:hAnsi="Times New Roman" w:cs="Times New Roman"/>
        </w:rPr>
        <w:t xml:space="preserve"> </w:t>
      </w:r>
    </w:p>
    <w:p w:rsidR="007D13F3" w:rsidRPr="00933EB3" w:rsidRDefault="007D13F3" w:rsidP="007D13F3">
      <w:pPr>
        <w:spacing w:after="200"/>
        <w:contextualSpacing/>
        <w:jc w:val="both"/>
        <w:rPr>
          <w:rFonts w:ascii="Times New Roman" w:hAnsi="Times New Roman" w:cs="Times New Roman"/>
          <w:highlight w:val="yellow"/>
        </w:rPr>
      </w:pPr>
    </w:p>
    <w:p w:rsidR="007D13F3" w:rsidRDefault="007D13F3" w:rsidP="007D13F3">
      <w:pPr>
        <w:spacing w:after="200"/>
        <w:ind w:firstLine="708"/>
        <w:contextualSpacing/>
        <w:jc w:val="both"/>
        <w:rPr>
          <w:rFonts w:ascii="Times New Roman" w:hAnsi="Times New Roman" w:cs="Times New Roman"/>
        </w:rPr>
      </w:pPr>
      <w:r w:rsidRPr="00933EB3">
        <w:rPr>
          <w:rFonts w:ascii="Times New Roman" w:hAnsi="Times New Roman" w:cs="Times New Roman"/>
        </w:rPr>
        <w:t>Ďalší disponibilný zdroj na financovanie projektov vedy a výskumu, ktorý môžu verejné vysoké školy v priebehu roku 201</w:t>
      </w:r>
      <w:r>
        <w:rPr>
          <w:rFonts w:ascii="Times New Roman" w:hAnsi="Times New Roman" w:cs="Times New Roman"/>
        </w:rPr>
        <w:t>8</w:t>
      </w:r>
      <w:r w:rsidRPr="00933EB3">
        <w:rPr>
          <w:rFonts w:ascii="Times New Roman" w:hAnsi="Times New Roman" w:cs="Times New Roman"/>
        </w:rPr>
        <w:t xml:space="preserve"> získať z Agentúry na podporu výskumu a vývoja a sekcie vedy a </w:t>
      </w:r>
      <w:r>
        <w:rPr>
          <w:rFonts w:ascii="Times New Roman" w:hAnsi="Times New Roman" w:cs="Times New Roman"/>
        </w:rPr>
        <w:t>techniky</w:t>
      </w:r>
      <w:r w:rsidRPr="00933EB3">
        <w:rPr>
          <w:rFonts w:ascii="Times New Roman" w:hAnsi="Times New Roman" w:cs="Times New Roman"/>
        </w:rPr>
        <w:t xml:space="preserve"> MŠVVŠ SR, je navrhovaný transfer v </w:t>
      </w:r>
      <w:r w:rsidRPr="0095066B">
        <w:rPr>
          <w:rFonts w:ascii="Times New Roman" w:hAnsi="Times New Roman" w:cs="Times New Roman"/>
        </w:rPr>
        <w:t>sume 8,97 mil. eur.</w:t>
      </w:r>
    </w:p>
    <w:p w:rsidR="007D13F3" w:rsidRDefault="007D13F3" w:rsidP="007D13F3">
      <w:pPr>
        <w:spacing w:after="200"/>
        <w:ind w:firstLine="708"/>
        <w:contextualSpacing/>
        <w:jc w:val="both"/>
        <w:rPr>
          <w:rFonts w:ascii="Times New Roman" w:hAnsi="Times New Roman" w:cs="Times New Roman"/>
        </w:rPr>
      </w:pPr>
    </w:p>
    <w:tbl>
      <w:tblPr>
        <w:tblW w:w="5000" w:type="pct"/>
        <w:tblLayout w:type="fixed"/>
        <w:tblCellMar>
          <w:left w:w="70" w:type="dxa"/>
          <w:right w:w="70" w:type="dxa"/>
        </w:tblCellMar>
        <w:tblLook w:val="04A0" w:firstRow="1" w:lastRow="0" w:firstColumn="1" w:lastColumn="0" w:noHBand="0" w:noVBand="1"/>
      </w:tblPr>
      <w:tblGrid>
        <w:gridCol w:w="1129"/>
        <w:gridCol w:w="1134"/>
        <w:gridCol w:w="1134"/>
        <w:gridCol w:w="965"/>
        <w:gridCol w:w="1175"/>
        <w:gridCol w:w="1175"/>
        <w:gridCol w:w="1175"/>
        <w:gridCol w:w="1175"/>
      </w:tblGrid>
      <w:tr w:rsidR="007D13F3" w:rsidRPr="0003434E" w:rsidTr="00465CAC">
        <w:trPr>
          <w:trHeight w:hRule="exact" w:val="255"/>
        </w:trPr>
        <w:tc>
          <w:tcPr>
            <w:tcW w:w="1129" w:type="dxa"/>
            <w:vMerge w:val="restart"/>
            <w:tcBorders>
              <w:top w:val="single" w:sz="4" w:space="0" w:color="auto"/>
              <w:left w:val="single" w:sz="4" w:space="0" w:color="auto"/>
              <w:bottom w:val="single" w:sz="4" w:space="0" w:color="000000"/>
              <w:right w:val="single" w:sz="4" w:space="0" w:color="auto"/>
            </w:tcBorders>
            <w:shd w:val="pct35" w:color="auto" w:fill="auto"/>
            <w:noWrap/>
            <w:vAlign w:val="center"/>
            <w:hideMark/>
          </w:tcPr>
          <w:p w:rsidR="007D13F3" w:rsidRPr="0003434E" w:rsidRDefault="007D13F3" w:rsidP="00465CAC">
            <w:pPr>
              <w:jc w:val="center"/>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Forma štúdia</w:t>
            </w:r>
          </w:p>
        </w:tc>
        <w:tc>
          <w:tcPr>
            <w:tcW w:w="2268" w:type="dxa"/>
            <w:gridSpan w:val="2"/>
            <w:tcBorders>
              <w:top w:val="single" w:sz="4" w:space="0" w:color="auto"/>
              <w:left w:val="nil"/>
              <w:bottom w:val="single" w:sz="4" w:space="0" w:color="auto"/>
              <w:right w:val="single" w:sz="4" w:space="0" w:color="auto"/>
            </w:tcBorders>
            <w:shd w:val="pct35" w:color="auto" w:fill="auto"/>
            <w:noWrap/>
            <w:vAlign w:val="bottom"/>
            <w:hideMark/>
          </w:tcPr>
          <w:p w:rsidR="007D13F3" w:rsidRPr="0003434E" w:rsidRDefault="007D13F3" w:rsidP="00465CAC">
            <w:pPr>
              <w:jc w:val="center"/>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počet študentov v roku</w:t>
            </w:r>
          </w:p>
        </w:tc>
        <w:tc>
          <w:tcPr>
            <w:tcW w:w="5665" w:type="dxa"/>
            <w:gridSpan w:val="5"/>
            <w:tcBorders>
              <w:top w:val="single" w:sz="4" w:space="0" w:color="auto"/>
              <w:left w:val="nil"/>
              <w:bottom w:val="single" w:sz="4" w:space="0" w:color="auto"/>
              <w:right w:val="single" w:sz="4" w:space="0" w:color="auto"/>
            </w:tcBorders>
            <w:shd w:val="pct35" w:color="auto" w:fill="auto"/>
            <w:noWrap/>
            <w:vAlign w:val="bottom"/>
            <w:hideMark/>
          </w:tcPr>
          <w:p w:rsidR="007D13F3" w:rsidRPr="0003434E" w:rsidRDefault="007D13F3" w:rsidP="00465CAC">
            <w:pPr>
              <w:jc w:val="center"/>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Prognóza počtu študentov</w:t>
            </w:r>
          </w:p>
        </w:tc>
      </w:tr>
      <w:tr w:rsidR="007D13F3" w:rsidRPr="0003434E" w:rsidTr="00465CAC">
        <w:trPr>
          <w:trHeight w:hRule="exact" w:val="255"/>
        </w:trPr>
        <w:tc>
          <w:tcPr>
            <w:tcW w:w="1129" w:type="dxa"/>
            <w:vMerge/>
            <w:tcBorders>
              <w:top w:val="single" w:sz="4" w:space="0" w:color="auto"/>
              <w:left w:val="single" w:sz="4" w:space="0" w:color="auto"/>
              <w:bottom w:val="single" w:sz="4" w:space="0" w:color="000000"/>
              <w:right w:val="single" w:sz="4" w:space="0" w:color="auto"/>
            </w:tcBorders>
            <w:shd w:val="pct35" w:color="auto" w:fill="auto"/>
            <w:vAlign w:val="center"/>
            <w:hideMark/>
          </w:tcPr>
          <w:p w:rsidR="007D13F3" w:rsidRPr="0003434E" w:rsidRDefault="007D13F3" w:rsidP="00465CAC">
            <w:pPr>
              <w:rPr>
                <w:rFonts w:ascii="Times New Roman" w:hAnsi="Times New Roman" w:cs="Times New Roman"/>
                <w:b/>
                <w:bCs/>
                <w:color w:val="000000"/>
                <w:sz w:val="14"/>
                <w:szCs w:val="14"/>
                <w:lang w:eastAsia="sk-SK"/>
              </w:rPr>
            </w:pPr>
          </w:p>
        </w:tc>
        <w:tc>
          <w:tcPr>
            <w:tcW w:w="1134" w:type="dxa"/>
            <w:tcBorders>
              <w:top w:val="nil"/>
              <w:left w:val="nil"/>
              <w:bottom w:val="single" w:sz="4" w:space="0" w:color="auto"/>
              <w:right w:val="single" w:sz="4" w:space="0" w:color="auto"/>
            </w:tcBorders>
            <w:shd w:val="pct35" w:color="auto" w:fill="auto"/>
            <w:noWrap/>
            <w:vAlign w:val="bottom"/>
            <w:hideMark/>
          </w:tcPr>
          <w:p w:rsidR="007D13F3" w:rsidRPr="0003434E" w:rsidRDefault="007D13F3" w:rsidP="00465CAC">
            <w:pPr>
              <w:jc w:val="center"/>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2015 S</w:t>
            </w:r>
          </w:p>
        </w:tc>
        <w:tc>
          <w:tcPr>
            <w:tcW w:w="1134" w:type="dxa"/>
            <w:tcBorders>
              <w:top w:val="nil"/>
              <w:left w:val="nil"/>
              <w:bottom w:val="single" w:sz="4" w:space="0" w:color="auto"/>
              <w:right w:val="single" w:sz="4" w:space="0" w:color="auto"/>
            </w:tcBorders>
            <w:shd w:val="pct35" w:color="auto" w:fill="auto"/>
            <w:noWrap/>
            <w:vAlign w:val="bottom"/>
            <w:hideMark/>
          </w:tcPr>
          <w:p w:rsidR="007D13F3" w:rsidRPr="0003434E" w:rsidRDefault="007D13F3" w:rsidP="00465CAC">
            <w:pPr>
              <w:jc w:val="center"/>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2016 S</w:t>
            </w:r>
          </w:p>
        </w:tc>
        <w:tc>
          <w:tcPr>
            <w:tcW w:w="965" w:type="dxa"/>
            <w:tcBorders>
              <w:top w:val="nil"/>
              <w:left w:val="nil"/>
              <w:bottom w:val="single" w:sz="4" w:space="0" w:color="auto"/>
              <w:right w:val="single" w:sz="4" w:space="0" w:color="auto"/>
            </w:tcBorders>
            <w:shd w:val="pct35" w:color="auto" w:fill="auto"/>
            <w:noWrap/>
            <w:vAlign w:val="bottom"/>
            <w:hideMark/>
          </w:tcPr>
          <w:p w:rsidR="007D13F3" w:rsidRPr="0003434E" w:rsidRDefault="007D13F3" w:rsidP="00465CAC">
            <w:pPr>
              <w:jc w:val="center"/>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2017</w:t>
            </w:r>
            <w:r w:rsidR="00202892">
              <w:rPr>
                <w:rFonts w:ascii="Times New Roman" w:hAnsi="Times New Roman" w:cs="Times New Roman"/>
                <w:b/>
                <w:bCs/>
                <w:color w:val="000000"/>
                <w:sz w:val="14"/>
                <w:szCs w:val="14"/>
                <w:lang w:eastAsia="sk-SK"/>
              </w:rPr>
              <w:t xml:space="preserve"> R</w:t>
            </w:r>
          </w:p>
        </w:tc>
        <w:tc>
          <w:tcPr>
            <w:tcW w:w="1175" w:type="dxa"/>
            <w:tcBorders>
              <w:top w:val="nil"/>
              <w:left w:val="nil"/>
              <w:bottom w:val="single" w:sz="4" w:space="0" w:color="auto"/>
              <w:right w:val="single" w:sz="4" w:space="0" w:color="auto"/>
            </w:tcBorders>
            <w:shd w:val="pct35" w:color="auto" w:fill="auto"/>
            <w:noWrap/>
            <w:vAlign w:val="bottom"/>
            <w:hideMark/>
          </w:tcPr>
          <w:p w:rsidR="007D13F3" w:rsidRPr="0003434E" w:rsidRDefault="007D13F3" w:rsidP="00465CAC">
            <w:pPr>
              <w:jc w:val="center"/>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2017 OS</w:t>
            </w:r>
          </w:p>
        </w:tc>
        <w:tc>
          <w:tcPr>
            <w:tcW w:w="1175" w:type="dxa"/>
            <w:tcBorders>
              <w:top w:val="nil"/>
              <w:left w:val="nil"/>
              <w:bottom w:val="single" w:sz="4" w:space="0" w:color="auto"/>
              <w:right w:val="single" w:sz="4" w:space="0" w:color="auto"/>
            </w:tcBorders>
            <w:shd w:val="pct35" w:color="auto" w:fill="auto"/>
            <w:noWrap/>
            <w:vAlign w:val="bottom"/>
            <w:hideMark/>
          </w:tcPr>
          <w:p w:rsidR="007D13F3" w:rsidRPr="0003434E" w:rsidRDefault="007D13F3" w:rsidP="00465CAC">
            <w:pPr>
              <w:jc w:val="center"/>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2018</w:t>
            </w:r>
            <w:r w:rsidR="00202892">
              <w:rPr>
                <w:rFonts w:ascii="Times New Roman" w:hAnsi="Times New Roman" w:cs="Times New Roman"/>
                <w:b/>
                <w:bCs/>
                <w:color w:val="000000"/>
                <w:sz w:val="14"/>
                <w:szCs w:val="14"/>
                <w:lang w:eastAsia="sk-SK"/>
              </w:rPr>
              <w:t xml:space="preserve"> N</w:t>
            </w:r>
          </w:p>
        </w:tc>
        <w:tc>
          <w:tcPr>
            <w:tcW w:w="1175" w:type="dxa"/>
            <w:tcBorders>
              <w:top w:val="nil"/>
              <w:left w:val="nil"/>
              <w:bottom w:val="single" w:sz="4" w:space="0" w:color="auto"/>
              <w:right w:val="single" w:sz="4" w:space="0" w:color="auto"/>
            </w:tcBorders>
            <w:shd w:val="pct35" w:color="auto" w:fill="auto"/>
            <w:noWrap/>
            <w:vAlign w:val="bottom"/>
            <w:hideMark/>
          </w:tcPr>
          <w:p w:rsidR="007D13F3" w:rsidRPr="0003434E" w:rsidRDefault="007D13F3" w:rsidP="00465CAC">
            <w:pPr>
              <w:jc w:val="center"/>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2019</w:t>
            </w:r>
            <w:r w:rsidR="00202892">
              <w:rPr>
                <w:rFonts w:ascii="Times New Roman" w:hAnsi="Times New Roman" w:cs="Times New Roman"/>
                <w:b/>
                <w:bCs/>
                <w:color w:val="000000"/>
                <w:sz w:val="14"/>
                <w:szCs w:val="14"/>
                <w:lang w:eastAsia="sk-SK"/>
              </w:rPr>
              <w:t xml:space="preserve"> N</w:t>
            </w:r>
          </w:p>
        </w:tc>
        <w:tc>
          <w:tcPr>
            <w:tcW w:w="1175" w:type="dxa"/>
            <w:tcBorders>
              <w:top w:val="nil"/>
              <w:left w:val="nil"/>
              <w:bottom w:val="single" w:sz="4" w:space="0" w:color="auto"/>
              <w:right w:val="single" w:sz="4" w:space="0" w:color="auto"/>
            </w:tcBorders>
            <w:shd w:val="pct35" w:color="auto" w:fill="auto"/>
            <w:noWrap/>
            <w:vAlign w:val="bottom"/>
            <w:hideMark/>
          </w:tcPr>
          <w:p w:rsidR="007D13F3" w:rsidRPr="0003434E" w:rsidRDefault="007D13F3" w:rsidP="00465CAC">
            <w:pPr>
              <w:jc w:val="center"/>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2020</w:t>
            </w:r>
            <w:r w:rsidR="00202892">
              <w:rPr>
                <w:rFonts w:ascii="Times New Roman" w:hAnsi="Times New Roman" w:cs="Times New Roman"/>
                <w:b/>
                <w:bCs/>
                <w:color w:val="000000"/>
                <w:sz w:val="14"/>
                <w:szCs w:val="14"/>
                <w:lang w:eastAsia="sk-SK"/>
              </w:rPr>
              <w:t xml:space="preserve"> N</w:t>
            </w:r>
          </w:p>
        </w:tc>
      </w:tr>
      <w:tr w:rsidR="007D13F3" w:rsidRPr="0003434E" w:rsidTr="00465CAC">
        <w:trPr>
          <w:trHeight w:hRule="exac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D13F3" w:rsidRPr="0003434E" w:rsidRDefault="007D13F3" w:rsidP="00465CAC">
            <w:pPr>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denné</w:t>
            </w:r>
          </w:p>
        </w:tc>
        <w:tc>
          <w:tcPr>
            <w:tcW w:w="1134" w:type="dxa"/>
            <w:tcBorders>
              <w:top w:val="nil"/>
              <w:left w:val="nil"/>
              <w:bottom w:val="single" w:sz="4" w:space="0" w:color="auto"/>
              <w:right w:val="single" w:sz="4" w:space="0" w:color="auto"/>
            </w:tcBorders>
            <w:shd w:val="clear" w:color="auto" w:fill="auto"/>
            <w:noWrap/>
            <w:vAlign w:val="bottom"/>
            <w:hideMark/>
          </w:tcPr>
          <w:p w:rsidR="007D13F3" w:rsidRPr="0003434E" w:rsidRDefault="007D13F3" w:rsidP="00465CAC">
            <w:pPr>
              <w:jc w:val="right"/>
              <w:rPr>
                <w:rFonts w:ascii="Times New Roman" w:hAnsi="Times New Roman" w:cs="Times New Roman"/>
                <w:color w:val="000000"/>
                <w:sz w:val="14"/>
                <w:szCs w:val="14"/>
                <w:lang w:eastAsia="sk-SK"/>
              </w:rPr>
            </w:pPr>
            <w:r w:rsidRPr="0003434E">
              <w:rPr>
                <w:rFonts w:ascii="Times New Roman" w:hAnsi="Times New Roman" w:cs="Times New Roman"/>
                <w:color w:val="000000"/>
                <w:sz w:val="14"/>
                <w:szCs w:val="14"/>
                <w:lang w:eastAsia="sk-SK"/>
              </w:rPr>
              <w:t>113 211</w:t>
            </w:r>
          </w:p>
        </w:tc>
        <w:tc>
          <w:tcPr>
            <w:tcW w:w="1134" w:type="dxa"/>
            <w:tcBorders>
              <w:top w:val="nil"/>
              <w:left w:val="nil"/>
              <w:bottom w:val="single" w:sz="4" w:space="0" w:color="auto"/>
              <w:right w:val="single" w:sz="4" w:space="0" w:color="auto"/>
            </w:tcBorders>
            <w:shd w:val="clear" w:color="auto" w:fill="auto"/>
            <w:noWrap/>
            <w:vAlign w:val="bottom"/>
            <w:hideMark/>
          </w:tcPr>
          <w:p w:rsidR="007D13F3" w:rsidRPr="0003434E" w:rsidRDefault="007D13F3" w:rsidP="00465CAC">
            <w:pPr>
              <w:jc w:val="right"/>
              <w:rPr>
                <w:rFonts w:ascii="Times New Roman" w:hAnsi="Times New Roman" w:cs="Times New Roman"/>
                <w:color w:val="000000"/>
                <w:sz w:val="14"/>
                <w:szCs w:val="14"/>
                <w:lang w:eastAsia="sk-SK"/>
              </w:rPr>
            </w:pPr>
            <w:r w:rsidRPr="0003434E">
              <w:rPr>
                <w:rFonts w:ascii="Times New Roman" w:hAnsi="Times New Roman" w:cs="Times New Roman"/>
                <w:color w:val="000000"/>
                <w:sz w:val="14"/>
                <w:szCs w:val="14"/>
                <w:lang w:eastAsia="sk-SK"/>
              </w:rPr>
              <w:t>105 688</w:t>
            </w:r>
          </w:p>
        </w:tc>
        <w:tc>
          <w:tcPr>
            <w:tcW w:w="965" w:type="dxa"/>
            <w:tcBorders>
              <w:top w:val="nil"/>
              <w:left w:val="nil"/>
              <w:bottom w:val="single" w:sz="4" w:space="0" w:color="auto"/>
              <w:right w:val="single" w:sz="4" w:space="0" w:color="auto"/>
            </w:tcBorders>
            <w:shd w:val="clear" w:color="auto" w:fill="auto"/>
            <w:noWrap/>
            <w:vAlign w:val="bottom"/>
            <w:hideMark/>
          </w:tcPr>
          <w:p w:rsidR="007D13F3" w:rsidRPr="0003434E" w:rsidRDefault="007D13F3" w:rsidP="00465CAC">
            <w:pPr>
              <w:jc w:val="right"/>
              <w:rPr>
                <w:rFonts w:ascii="Times New Roman" w:hAnsi="Times New Roman" w:cs="Times New Roman"/>
                <w:color w:val="000000"/>
                <w:sz w:val="14"/>
                <w:szCs w:val="14"/>
                <w:lang w:eastAsia="sk-SK"/>
              </w:rPr>
            </w:pPr>
            <w:r w:rsidRPr="0003434E">
              <w:rPr>
                <w:rFonts w:ascii="Times New Roman" w:hAnsi="Times New Roman" w:cs="Times New Roman"/>
                <w:color w:val="000000"/>
                <w:sz w:val="14"/>
                <w:szCs w:val="14"/>
                <w:lang w:eastAsia="sk-SK"/>
              </w:rPr>
              <w:t>97 959</w:t>
            </w:r>
          </w:p>
        </w:tc>
        <w:tc>
          <w:tcPr>
            <w:tcW w:w="1175" w:type="dxa"/>
            <w:tcBorders>
              <w:top w:val="nil"/>
              <w:left w:val="nil"/>
              <w:bottom w:val="single" w:sz="4" w:space="0" w:color="auto"/>
              <w:right w:val="single" w:sz="4" w:space="0" w:color="auto"/>
            </w:tcBorders>
            <w:shd w:val="clear" w:color="auto" w:fill="auto"/>
            <w:noWrap/>
            <w:vAlign w:val="bottom"/>
            <w:hideMark/>
          </w:tcPr>
          <w:p w:rsidR="007D13F3" w:rsidRPr="0003434E" w:rsidRDefault="007D13F3" w:rsidP="00465CAC">
            <w:pPr>
              <w:jc w:val="right"/>
              <w:rPr>
                <w:rFonts w:ascii="Times New Roman" w:hAnsi="Times New Roman" w:cs="Times New Roman"/>
                <w:color w:val="000000"/>
                <w:sz w:val="14"/>
                <w:szCs w:val="14"/>
                <w:lang w:eastAsia="sk-SK"/>
              </w:rPr>
            </w:pPr>
            <w:r w:rsidRPr="0003434E">
              <w:rPr>
                <w:rFonts w:ascii="Times New Roman" w:hAnsi="Times New Roman" w:cs="Times New Roman"/>
                <w:color w:val="000000"/>
                <w:sz w:val="14"/>
                <w:szCs w:val="14"/>
                <w:lang w:eastAsia="sk-SK"/>
              </w:rPr>
              <w:t>97 608</w:t>
            </w:r>
          </w:p>
        </w:tc>
        <w:tc>
          <w:tcPr>
            <w:tcW w:w="1175" w:type="dxa"/>
            <w:tcBorders>
              <w:top w:val="nil"/>
              <w:left w:val="nil"/>
              <w:bottom w:val="single" w:sz="4" w:space="0" w:color="auto"/>
              <w:right w:val="single" w:sz="4" w:space="0" w:color="auto"/>
            </w:tcBorders>
            <w:shd w:val="clear" w:color="auto" w:fill="auto"/>
            <w:noWrap/>
            <w:vAlign w:val="bottom"/>
            <w:hideMark/>
          </w:tcPr>
          <w:p w:rsidR="007D13F3" w:rsidRPr="0003434E" w:rsidRDefault="007D13F3" w:rsidP="00465CAC">
            <w:pPr>
              <w:jc w:val="right"/>
              <w:rPr>
                <w:rFonts w:ascii="Times New Roman" w:hAnsi="Times New Roman" w:cs="Times New Roman"/>
                <w:color w:val="000000"/>
                <w:sz w:val="14"/>
                <w:szCs w:val="14"/>
                <w:lang w:eastAsia="sk-SK"/>
              </w:rPr>
            </w:pPr>
            <w:r w:rsidRPr="0003434E">
              <w:rPr>
                <w:rFonts w:ascii="Times New Roman" w:hAnsi="Times New Roman" w:cs="Times New Roman"/>
                <w:color w:val="000000"/>
                <w:sz w:val="14"/>
                <w:szCs w:val="14"/>
                <w:lang w:eastAsia="sk-SK"/>
              </w:rPr>
              <w:t>93 276</w:t>
            </w:r>
          </w:p>
        </w:tc>
        <w:tc>
          <w:tcPr>
            <w:tcW w:w="1175" w:type="dxa"/>
            <w:tcBorders>
              <w:top w:val="nil"/>
              <w:left w:val="nil"/>
              <w:bottom w:val="single" w:sz="4" w:space="0" w:color="auto"/>
              <w:right w:val="single" w:sz="4" w:space="0" w:color="auto"/>
            </w:tcBorders>
            <w:shd w:val="clear" w:color="auto" w:fill="auto"/>
            <w:noWrap/>
            <w:vAlign w:val="bottom"/>
            <w:hideMark/>
          </w:tcPr>
          <w:p w:rsidR="007D13F3" w:rsidRPr="0003434E" w:rsidRDefault="007D13F3" w:rsidP="00465CAC">
            <w:pPr>
              <w:jc w:val="right"/>
              <w:rPr>
                <w:rFonts w:ascii="Times New Roman" w:hAnsi="Times New Roman" w:cs="Times New Roman"/>
                <w:color w:val="000000"/>
                <w:sz w:val="14"/>
                <w:szCs w:val="14"/>
                <w:lang w:eastAsia="sk-SK"/>
              </w:rPr>
            </w:pPr>
            <w:r w:rsidRPr="0003434E">
              <w:rPr>
                <w:rFonts w:ascii="Times New Roman" w:hAnsi="Times New Roman" w:cs="Times New Roman"/>
                <w:color w:val="000000"/>
                <w:sz w:val="14"/>
                <w:szCs w:val="14"/>
                <w:lang w:eastAsia="sk-SK"/>
              </w:rPr>
              <w:t>91 349</w:t>
            </w:r>
          </w:p>
        </w:tc>
        <w:tc>
          <w:tcPr>
            <w:tcW w:w="1175" w:type="dxa"/>
            <w:tcBorders>
              <w:top w:val="nil"/>
              <w:left w:val="nil"/>
              <w:bottom w:val="single" w:sz="4" w:space="0" w:color="auto"/>
              <w:right w:val="single" w:sz="4" w:space="0" w:color="auto"/>
            </w:tcBorders>
            <w:shd w:val="clear" w:color="auto" w:fill="auto"/>
            <w:noWrap/>
            <w:vAlign w:val="bottom"/>
            <w:hideMark/>
          </w:tcPr>
          <w:p w:rsidR="007D13F3" w:rsidRPr="0003434E" w:rsidRDefault="007D13F3" w:rsidP="00465CAC">
            <w:pPr>
              <w:jc w:val="right"/>
              <w:rPr>
                <w:rFonts w:ascii="Times New Roman" w:hAnsi="Times New Roman" w:cs="Times New Roman"/>
                <w:color w:val="000000"/>
                <w:sz w:val="14"/>
                <w:szCs w:val="14"/>
                <w:lang w:eastAsia="sk-SK"/>
              </w:rPr>
            </w:pPr>
            <w:r w:rsidRPr="0003434E">
              <w:rPr>
                <w:rFonts w:ascii="Times New Roman" w:hAnsi="Times New Roman" w:cs="Times New Roman"/>
                <w:color w:val="000000"/>
                <w:sz w:val="14"/>
                <w:szCs w:val="14"/>
                <w:lang w:eastAsia="sk-SK"/>
              </w:rPr>
              <w:t>88</w:t>
            </w:r>
            <w:r>
              <w:rPr>
                <w:rFonts w:ascii="Times New Roman" w:hAnsi="Times New Roman" w:cs="Times New Roman"/>
                <w:color w:val="000000"/>
                <w:sz w:val="14"/>
                <w:szCs w:val="14"/>
                <w:lang w:eastAsia="sk-SK"/>
              </w:rPr>
              <w:t xml:space="preserve"> </w:t>
            </w:r>
            <w:r w:rsidRPr="0003434E">
              <w:rPr>
                <w:rFonts w:ascii="Times New Roman" w:hAnsi="Times New Roman" w:cs="Times New Roman"/>
                <w:color w:val="000000"/>
                <w:sz w:val="14"/>
                <w:szCs w:val="14"/>
                <w:lang w:eastAsia="sk-SK"/>
              </w:rPr>
              <w:t>170</w:t>
            </w:r>
          </w:p>
        </w:tc>
      </w:tr>
      <w:tr w:rsidR="007D13F3" w:rsidRPr="0003434E" w:rsidTr="00465CAC">
        <w:trPr>
          <w:trHeight w:hRule="exac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D13F3" w:rsidRPr="0003434E" w:rsidRDefault="007D13F3" w:rsidP="00465CAC">
            <w:pPr>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externé</w:t>
            </w:r>
          </w:p>
        </w:tc>
        <w:tc>
          <w:tcPr>
            <w:tcW w:w="1134" w:type="dxa"/>
            <w:tcBorders>
              <w:top w:val="nil"/>
              <w:left w:val="nil"/>
              <w:bottom w:val="single" w:sz="4" w:space="0" w:color="auto"/>
              <w:right w:val="single" w:sz="4" w:space="0" w:color="auto"/>
            </w:tcBorders>
            <w:shd w:val="clear" w:color="auto" w:fill="auto"/>
            <w:noWrap/>
            <w:vAlign w:val="bottom"/>
            <w:hideMark/>
          </w:tcPr>
          <w:p w:rsidR="007D13F3" w:rsidRPr="0003434E" w:rsidRDefault="007D13F3" w:rsidP="00465CAC">
            <w:pPr>
              <w:jc w:val="right"/>
              <w:rPr>
                <w:rFonts w:ascii="Times New Roman" w:hAnsi="Times New Roman" w:cs="Times New Roman"/>
                <w:color w:val="000000"/>
                <w:sz w:val="14"/>
                <w:szCs w:val="14"/>
                <w:lang w:eastAsia="sk-SK"/>
              </w:rPr>
            </w:pPr>
            <w:r w:rsidRPr="0003434E">
              <w:rPr>
                <w:rFonts w:ascii="Times New Roman" w:hAnsi="Times New Roman" w:cs="Times New Roman"/>
                <w:color w:val="000000"/>
                <w:sz w:val="14"/>
                <w:szCs w:val="14"/>
                <w:lang w:eastAsia="sk-SK"/>
              </w:rPr>
              <w:t>31 829</w:t>
            </w:r>
          </w:p>
        </w:tc>
        <w:tc>
          <w:tcPr>
            <w:tcW w:w="1134" w:type="dxa"/>
            <w:tcBorders>
              <w:top w:val="nil"/>
              <w:left w:val="nil"/>
              <w:bottom w:val="single" w:sz="4" w:space="0" w:color="auto"/>
              <w:right w:val="single" w:sz="4" w:space="0" w:color="auto"/>
            </w:tcBorders>
            <w:shd w:val="clear" w:color="auto" w:fill="auto"/>
            <w:noWrap/>
            <w:vAlign w:val="bottom"/>
            <w:hideMark/>
          </w:tcPr>
          <w:p w:rsidR="007D13F3" w:rsidRPr="0003434E" w:rsidRDefault="007D13F3" w:rsidP="00465CAC">
            <w:pPr>
              <w:jc w:val="right"/>
              <w:rPr>
                <w:rFonts w:ascii="Times New Roman" w:hAnsi="Times New Roman" w:cs="Times New Roman"/>
                <w:color w:val="000000"/>
                <w:sz w:val="14"/>
                <w:szCs w:val="14"/>
                <w:lang w:eastAsia="sk-SK"/>
              </w:rPr>
            </w:pPr>
            <w:r w:rsidRPr="0003434E">
              <w:rPr>
                <w:rFonts w:ascii="Times New Roman" w:hAnsi="Times New Roman" w:cs="Times New Roman"/>
                <w:color w:val="000000"/>
                <w:sz w:val="14"/>
                <w:szCs w:val="14"/>
                <w:lang w:eastAsia="sk-SK"/>
              </w:rPr>
              <w:t>29 593</w:t>
            </w:r>
          </w:p>
        </w:tc>
        <w:tc>
          <w:tcPr>
            <w:tcW w:w="965" w:type="dxa"/>
            <w:tcBorders>
              <w:top w:val="nil"/>
              <w:left w:val="nil"/>
              <w:bottom w:val="single" w:sz="4" w:space="0" w:color="auto"/>
              <w:right w:val="single" w:sz="4" w:space="0" w:color="auto"/>
            </w:tcBorders>
            <w:shd w:val="clear" w:color="auto" w:fill="auto"/>
            <w:noWrap/>
            <w:vAlign w:val="bottom"/>
            <w:hideMark/>
          </w:tcPr>
          <w:p w:rsidR="007D13F3" w:rsidRPr="0003434E" w:rsidRDefault="007D13F3" w:rsidP="00465CAC">
            <w:pPr>
              <w:jc w:val="right"/>
              <w:rPr>
                <w:rFonts w:ascii="Times New Roman" w:hAnsi="Times New Roman" w:cs="Times New Roman"/>
                <w:color w:val="000000"/>
                <w:sz w:val="14"/>
                <w:szCs w:val="14"/>
                <w:lang w:eastAsia="sk-SK"/>
              </w:rPr>
            </w:pPr>
            <w:r w:rsidRPr="0003434E">
              <w:rPr>
                <w:rFonts w:ascii="Times New Roman" w:hAnsi="Times New Roman" w:cs="Times New Roman"/>
                <w:color w:val="000000"/>
                <w:sz w:val="14"/>
                <w:szCs w:val="14"/>
                <w:lang w:eastAsia="sk-SK"/>
              </w:rPr>
              <w:t>27 429</w:t>
            </w:r>
          </w:p>
        </w:tc>
        <w:tc>
          <w:tcPr>
            <w:tcW w:w="1175" w:type="dxa"/>
            <w:tcBorders>
              <w:top w:val="nil"/>
              <w:left w:val="nil"/>
              <w:bottom w:val="single" w:sz="4" w:space="0" w:color="auto"/>
              <w:right w:val="single" w:sz="4" w:space="0" w:color="auto"/>
            </w:tcBorders>
            <w:shd w:val="clear" w:color="auto" w:fill="auto"/>
            <w:noWrap/>
            <w:vAlign w:val="bottom"/>
            <w:hideMark/>
          </w:tcPr>
          <w:p w:rsidR="007D13F3" w:rsidRPr="0003434E" w:rsidRDefault="007D13F3" w:rsidP="00465CAC">
            <w:pPr>
              <w:jc w:val="right"/>
              <w:rPr>
                <w:rFonts w:ascii="Times New Roman" w:hAnsi="Times New Roman" w:cs="Times New Roman"/>
                <w:color w:val="000000"/>
                <w:sz w:val="14"/>
                <w:szCs w:val="14"/>
                <w:lang w:eastAsia="sk-SK"/>
              </w:rPr>
            </w:pPr>
            <w:r w:rsidRPr="0003434E">
              <w:rPr>
                <w:rFonts w:ascii="Times New Roman" w:hAnsi="Times New Roman" w:cs="Times New Roman"/>
                <w:color w:val="000000"/>
                <w:sz w:val="14"/>
                <w:szCs w:val="14"/>
                <w:lang w:eastAsia="sk-SK"/>
              </w:rPr>
              <w:t>27 330</w:t>
            </w:r>
          </w:p>
        </w:tc>
        <w:tc>
          <w:tcPr>
            <w:tcW w:w="1175" w:type="dxa"/>
            <w:tcBorders>
              <w:top w:val="nil"/>
              <w:left w:val="nil"/>
              <w:bottom w:val="single" w:sz="4" w:space="0" w:color="auto"/>
              <w:right w:val="single" w:sz="4" w:space="0" w:color="auto"/>
            </w:tcBorders>
            <w:shd w:val="clear" w:color="auto" w:fill="auto"/>
            <w:noWrap/>
            <w:vAlign w:val="bottom"/>
            <w:hideMark/>
          </w:tcPr>
          <w:p w:rsidR="007D13F3" w:rsidRPr="0003434E" w:rsidRDefault="007D13F3" w:rsidP="00465CAC">
            <w:pPr>
              <w:jc w:val="right"/>
              <w:rPr>
                <w:rFonts w:ascii="Times New Roman" w:hAnsi="Times New Roman" w:cs="Times New Roman"/>
                <w:color w:val="000000"/>
                <w:sz w:val="14"/>
                <w:szCs w:val="14"/>
                <w:lang w:eastAsia="sk-SK"/>
              </w:rPr>
            </w:pPr>
            <w:r w:rsidRPr="0003434E">
              <w:rPr>
                <w:rFonts w:ascii="Times New Roman" w:hAnsi="Times New Roman" w:cs="Times New Roman"/>
                <w:color w:val="000000"/>
                <w:sz w:val="14"/>
                <w:szCs w:val="14"/>
                <w:lang w:eastAsia="sk-SK"/>
              </w:rPr>
              <w:t>26 117</w:t>
            </w:r>
          </w:p>
        </w:tc>
        <w:tc>
          <w:tcPr>
            <w:tcW w:w="1175" w:type="dxa"/>
            <w:tcBorders>
              <w:top w:val="nil"/>
              <w:left w:val="nil"/>
              <w:bottom w:val="single" w:sz="4" w:space="0" w:color="auto"/>
              <w:right w:val="single" w:sz="4" w:space="0" w:color="auto"/>
            </w:tcBorders>
            <w:shd w:val="clear" w:color="auto" w:fill="auto"/>
            <w:noWrap/>
            <w:vAlign w:val="bottom"/>
            <w:hideMark/>
          </w:tcPr>
          <w:p w:rsidR="007D13F3" w:rsidRPr="0003434E" w:rsidRDefault="007D13F3" w:rsidP="00465CAC">
            <w:pPr>
              <w:jc w:val="right"/>
              <w:rPr>
                <w:rFonts w:ascii="Times New Roman" w:hAnsi="Times New Roman" w:cs="Times New Roman"/>
                <w:color w:val="000000"/>
                <w:sz w:val="14"/>
                <w:szCs w:val="14"/>
                <w:lang w:eastAsia="sk-SK"/>
              </w:rPr>
            </w:pPr>
            <w:r w:rsidRPr="0003434E">
              <w:rPr>
                <w:rFonts w:ascii="Times New Roman" w:hAnsi="Times New Roman" w:cs="Times New Roman"/>
                <w:color w:val="000000"/>
                <w:sz w:val="14"/>
                <w:szCs w:val="14"/>
                <w:lang w:eastAsia="sk-SK"/>
              </w:rPr>
              <w:t>25 578</w:t>
            </w:r>
          </w:p>
        </w:tc>
        <w:tc>
          <w:tcPr>
            <w:tcW w:w="1175" w:type="dxa"/>
            <w:tcBorders>
              <w:top w:val="nil"/>
              <w:left w:val="nil"/>
              <w:bottom w:val="single" w:sz="4" w:space="0" w:color="auto"/>
              <w:right w:val="single" w:sz="4" w:space="0" w:color="auto"/>
            </w:tcBorders>
            <w:shd w:val="clear" w:color="auto" w:fill="auto"/>
            <w:noWrap/>
            <w:vAlign w:val="bottom"/>
            <w:hideMark/>
          </w:tcPr>
          <w:p w:rsidR="007D13F3" w:rsidRPr="0003434E" w:rsidRDefault="007D13F3" w:rsidP="00465CAC">
            <w:pPr>
              <w:jc w:val="right"/>
              <w:rPr>
                <w:rFonts w:ascii="Times New Roman" w:hAnsi="Times New Roman" w:cs="Times New Roman"/>
                <w:color w:val="000000"/>
                <w:sz w:val="14"/>
                <w:szCs w:val="14"/>
                <w:lang w:eastAsia="sk-SK"/>
              </w:rPr>
            </w:pPr>
            <w:r w:rsidRPr="0003434E">
              <w:rPr>
                <w:rFonts w:ascii="Times New Roman" w:hAnsi="Times New Roman" w:cs="Times New Roman"/>
                <w:color w:val="000000"/>
                <w:sz w:val="14"/>
                <w:szCs w:val="14"/>
                <w:lang w:eastAsia="sk-SK"/>
              </w:rPr>
              <w:t>24</w:t>
            </w:r>
            <w:r>
              <w:rPr>
                <w:rFonts w:ascii="Times New Roman" w:hAnsi="Times New Roman" w:cs="Times New Roman"/>
                <w:color w:val="000000"/>
                <w:sz w:val="14"/>
                <w:szCs w:val="14"/>
                <w:lang w:eastAsia="sk-SK"/>
              </w:rPr>
              <w:t xml:space="preserve"> </w:t>
            </w:r>
            <w:r w:rsidRPr="0003434E">
              <w:rPr>
                <w:rFonts w:ascii="Times New Roman" w:hAnsi="Times New Roman" w:cs="Times New Roman"/>
                <w:color w:val="000000"/>
                <w:sz w:val="14"/>
                <w:szCs w:val="14"/>
                <w:lang w:eastAsia="sk-SK"/>
              </w:rPr>
              <w:t>688</w:t>
            </w:r>
          </w:p>
        </w:tc>
      </w:tr>
      <w:tr w:rsidR="007D13F3" w:rsidRPr="0003434E" w:rsidTr="00465CAC">
        <w:trPr>
          <w:trHeight w:hRule="exact" w:val="255"/>
        </w:trPr>
        <w:tc>
          <w:tcPr>
            <w:tcW w:w="1129" w:type="dxa"/>
            <w:tcBorders>
              <w:top w:val="single" w:sz="4" w:space="0" w:color="auto"/>
              <w:left w:val="single" w:sz="4" w:space="0" w:color="auto"/>
              <w:bottom w:val="single" w:sz="4" w:space="0" w:color="auto"/>
              <w:right w:val="single" w:sz="4" w:space="0" w:color="auto"/>
            </w:tcBorders>
            <w:shd w:val="pct25" w:color="auto" w:fill="auto"/>
            <w:noWrap/>
            <w:vAlign w:val="bottom"/>
            <w:hideMark/>
          </w:tcPr>
          <w:p w:rsidR="007D13F3" w:rsidRPr="0003434E" w:rsidRDefault="007D13F3" w:rsidP="00465CAC">
            <w:pPr>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 xml:space="preserve">Študenti spolu </w:t>
            </w:r>
          </w:p>
        </w:tc>
        <w:tc>
          <w:tcPr>
            <w:tcW w:w="1134" w:type="dxa"/>
            <w:tcBorders>
              <w:top w:val="single" w:sz="4" w:space="0" w:color="auto"/>
              <w:left w:val="nil"/>
              <w:bottom w:val="single" w:sz="4" w:space="0" w:color="auto"/>
              <w:right w:val="single" w:sz="4" w:space="0" w:color="auto"/>
            </w:tcBorders>
            <w:shd w:val="pct25" w:color="auto" w:fill="auto"/>
            <w:noWrap/>
            <w:vAlign w:val="bottom"/>
            <w:hideMark/>
          </w:tcPr>
          <w:p w:rsidR="007D13F3" w:rsidRPr="0003434E" w:rsidRDefault="007D13F3" w:rsidP="00465CAC">
            <w:pPr>
              <w:jc w:val="right"/>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145 040</w:t>
            </w:r>
          </w:p>
        </w:tc>
        <w:tc>
          <w:tcPr>
            <w:tcW w:w="1134" w:type="dxa"/>
            <w:tcBorders>
              <w:top w:val="single" w:sz="4" w:space="0" w:color="auto"/>
              <w:left w:val="nil"/>
              <w:bottom w:val="single" w:sz="4" w:space="0" w:color="auto"/>
              <w:right w:val="single" w:sz="4" w:space="0" w:color="auto"/>
            </w:tcBorders>
            <w:shd w:val="pct25" w:color="auto" w:fill="auto"/>
            <w:noWrap/>
            <w:vAlign w:val="bottom"/>
            <w:hideMark/>
          </w:tcPr>
          <w:p w:rsidR="007D13F3" w:rsidRPr="0003434E" w:rsidRDefault="007D13F3" w:rsidP="00465CAC">
            <w:pPr>
              <w:jc w:val="right"/>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135 281</w:t>
            </w:r>
          </w:p>
        </w:tc>
        <w:tc>
          <w:tcPr>
            <w:tcW w:w="965" w:type="dxa"/>
            <w:tcBorders>
              <w:top w:val="single" w:sz="4" w:space="0" w:color="auto"/>
              <w:left w:val="nil"/>
              <w:bottom w:val="single" w:sz="4" w:space="0" w:color="auto"/>
              <w:right w:val="single" w:sz="4" w:space="0" w:color="auto"/>
            </w:tcBorders>
            <w:shd w:val="pct25" w:color="auto" w:fill="auto"/>
            <w:noWrap/>
            <w:vAlign w:val="bottom"/>
            <w:hideMark/>
          </w:tcPr>
          <w:p w:rsidR="007D13F3" w:rsidRPr="0003434E" w:rsidRDefault="007D13F3" w:rsidP="00465CAC">
            <w:pPr>
              <w:jc w:val="right"/>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125 388</w:t>
            </w:r>
          </w:p>
        </w:tc>
        <w:tc>
          <w:tcPr>
            <w:tcW w:w="1175" w:type="dxa"/>
            <w:tcBorders>
              <w:top w:val="single" w:sz="4" w:space="0" w:color="auto"/>
              <w:left w:val="nil"/>
              <w:bottom w:val="single" w:sz="4" w:space="0" w:color="auto"/>
              <w:right w:val="single" w:sz="4" w:space="0" w:color="auto"/>
            </w:tcBorders>
            <w:shd w:val="pct25" w:color="auto" w:fill="auto"/>
            <w:noWrap/>
            <w:vAlign w:val="bottom"/>
            <w:hideMark/>
          </w:tcPr>
          <w:p w:rsidR="007D13F3" w:rsidRPr="0003434E" w:rsidRDefault="007D13F3" w:rsidP="00465CAC">
            <w:pPr>
              <w:jc w:val="right"/>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124 938</w:t>
            </w:r>
          </w:p>
        </w:tc>
        <w:tc>
          <w:tcPr>
            <w:tcW w:w="1175" w:type="dxa"/>
            <w:tcBorders>
              <w:top w:val="single" w:sz="4" w:space="0" w:color="auto"/>
              <w:left w:val="nil"/>
              <w:bottom w:val="single" w:sz="4" w:space="0" w:color="auto"/>
              <w:right w:val="single" w:sz="4" w:space="0" w:color="auto"/>
            </w:tcBorders>
            <w:shd w:val="pct25" w:color="auto" w:fill="auto"/>
            <w:noWrap/>
            <w:vAlign w:val="bottom"/>
            <w:hideMark/>
          </w:tcPr>
          <w:p w:rsidR="007D13F3" w:rsidRPr="0003434E" w:rsidRDefault="007D13F3" w:rsidP="00465CAC">
            <w:pPr>
              <w:jc w:val="right"/>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119 393</w:t>
            </w:r>
          </w:p>
        </w:tc>
        <w:tc>
          <w:tcPr>
            <w:tcW w:w="1175" w:type="dxa"/>
            <w:tcBorders>
              <w:top w:val="single" w:sz="4" w:space="0" w:color="auto"/>
              <w:left w:val="nil"/>
              <w:bottom w:val="single" w:sz="4" w:space="0" w:color="auto"/>
              <w:right w:val="single" w:sz="4" w:space="0" w:color="auto"/>
            </w:tcBorders>
            <w:shd w:val="pct25" w:color="auto" w:fill="auto"/>
            <w:noWrap/>
            <w:vAlign w:val="bottom"/>
            <w:hideMark/>
          </w:tcPr>
          <w:p w:rsidR="007D13F3" w:rsidRPr="0003434E" w:rsidRDefault="007D13F3" w:rsidP="00465CAC">
            <w:pPr>
              <w:jc w:val="right"/>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116 927</w:t>
            </w:r>
          </w:p>
        </w:tc>
        <w:tc>
          <w:tcPr>
            <w:tcW w:w="1175" w:type="dxa"/>
            <w:tcBorders>
              <w:top w:val="single" w:sz="4" w:space="0" w:color="auto"/>
              <w:left w:val="nil"/>
              <w:bottom w:val="single" w:sz="4" w:space="0" w:color="auto"/>
              <w:right w:val="single" w:sz="4" w:space="0" w:color="auto"/>
            </w:tcBorders>
            <w:shd w:val="pct25" w:color="auto" w:fill="auto"/>
            <w:noWrap/>
            <w:vAlign w:val="bottom"/>
            <w:hideMark/>
          </w:tcPr>
          <w:p w:rsidR="007D13F3" w:rsidRPr="0003434E" w:rsidRDefault="007D13F3" w:rsidP="00465CAC">
            <w:pPr>
              <w:jc w:val="right"/>
              <w:rPr>
                <w:rFonts w:ascii="Times New Roman" w:hAnsi="Times New Roman" w:cs="Times New Roman"/>
                <w:b/>
                <w:bCs/>
                <w:color w:val="000000"/>
                <w:sz w:val="14"/>
                <w:szCs w:val="14"/>
                <w:lang w:eastAsia="sk-SK"/>
              </w:rPr>
            </w:pPr>
            <w:r w:rsidRPr="0003434E">
              <w:rPr>
                <w:rFonts w:ascii="Times New Roman" w:hAnsi="Times New Roman" w:cs="Times New Roman"/>
                <w:b/>
                <w:bCs/>
                <w:color w:val="000000"/>
                <w:sz w:val="14"/>
                <w:szCs w:val="14"/>
                <w:lang w:eastAsia="sk-SK"/>
              </w:rPr>
              <w:t>112 858</w:t>
            </w:r>
          </w:p>
        </w:tc>
      </w:tr>
    </w:tbl>
    <w:p w:rsidR="007D13F3" w:rsidRDefault="007D13F3" w:rsidP="007D13F3">
      <w:pPr>
        <w:spacing w:after="200" w:line="276" w:lineRule="auto"/>
        <w:jc w:val="both"/>
        <w:rPr>
          <w:rFonts w:ascii="Times New Roman" w:hAnsi="Times New Roman" w:cs="Times New Roman"/>
          <w:sz w:val="14"/>
          <w:szCs w:val="14"/>
        </w:rPr>
      </w:pPr>
      <w:r w:rsidRPr="00BE0CC1">
        <w:rPr>
          <w:rFonts w:ascii="Times New Roman" w:hAnsi="Times New Roman" w:cs="Times New Roman"/>
          <w:sz w:val="14"/>
          <w:szCs w:val="14"/>
        </w:rPr>
        <w:t>*Zdroj: MŠVVŠ SR</w:t>
      </w:r>
    </w:p>
    <w:tbl>
      <w:tblPr>
        <w:tblW w:w="5000" w:type="pct"/>
        <w:tblCellMar>
          <w:left w:w="70" w:type="dxa"/>
          <w:right w:w="70" w:type="dxa"/>
        </w:tblCellMar>
        <w:tblLook w:val="04A0" w:firstRow="1" w:lastRow="0" w:firstColumn="1" w:lastColumn="0" w:noHBand="0" w:noVBand="1"/>
      </w:tblPr>
      <w:tblGrid>
        <w:gridCol w:w="3182"/>
        <w:gridCol w:w="840"/>
        <w:gridCol w:w="840"/>
        <w:gridCol w:w="840"/>
        <w:gridCol w:w="840"/>
        <w:gridCol w:w="840"/>
        <w:gridCol w:w="840"/>
        <w:gridCol w:w="840"/>
      </w:tblGrid>
      <w:tr w:rsidR="007D13F3" w:rsidRPr="004A3B43" w:rsidTr="00465CAC">
        <w:trPr>
          <w:trHeight w:hRule="exact" w:val="255"/>
        </w:trPr>
        <w:tc>
          <w:tcPr>
            <w:tcW w:w="1930"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4A3B43" w:rsidRDefault="007D13F3" w:rsidP="00465CAC">
            <w:pPr>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v eurách</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4A3B43" w:rsidRDefault="007D13F3" w:rsidP="00465CAC">
            <w:pPr>
              <w:jc w:val="center"/>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2015 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4A3B43" w:rsidRDefault="007D13F3" w:rsidP="00465CAC">
            <w:pPr>
              <w:jc w:val="center"/>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2016 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4A3B43" w:rsidRDefault="007D13F3" w:rsidP="00465CAC">
            <w:pPr>
              <w:jc w:val="center"/>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2017 R</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4A3B43" w:rsidRDefault="007D13F3" w:rsidP="00465CAC">
            <w:pPr>
              <w:jc w:val="center"/>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2017 OS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4A3B43" w:rsidRDefault="007D13F3" w:rsidP="00465CAC">
            <w:pPr>
              <w:jc w:val="center"/>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2018 N</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4A3B43" w:rsidRDefault="007D13F3" w:rsidP="00465CAC">
            <w:pPr>
              <w:jc w:val="center"/>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2019 N</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4A3B43" w:rsidRDefault="007D13F3" w:rsidP="00465CAC">
            <w:pPr>
              <w:jc w:val="center"/>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2020 N</w:t>
            </w:r>
          </w:p>
        </w:tc>
      </w:tr>
      <w:tr w:rsidR="007D13F3" w:rsidRPr="004A3B43" w:rsidTr="00465CAC">
        <w:trPr>
          <w:trHeight w:hRule="exact" w:val="255"/>
        </w:trPr>
        <w:tc>
          <w:tcPr>
            <w:tcW w:w="1930" w:type="pct"/>
            <w:tcBorders>
              <w:top w:val="nil"/>
              <w:left w:val="single" w:sz="4" w:space="0" w:color="auto"/>
              <w:bottom w:val="single" w:sz="4" w:space="0" w:color="auto"/>
              <w:right w:val="single" w:sz="4" w:space="0" w:color="auto"/>
            </w:tcBorders>
            <w:shd w:val="clear" w:color="auto" w:fill="auto"/>
            <w:noWrap/>
            <w:vAlign w:val="bottom"/>
            <w:hideMark/>
          </w:tcPr>
          <w:p w:rsidR="007D13F3" w:rsidRPr="004A3B43" w:rsidRDefault="007D13F3" w:rsidP="00465CAC">
            <w:pPr>
              <w:rPr>
                <w:rFonts w:ascii="Times New Roman" w:hAnsi="Times New Roman" w:cs="Times New Roman"/>
                <w:sz w:val="14"/>
                <w:szCs w:val="14"/>
                <w:lang w:eastAsia="sk-SK"/>
              </w:rPr>
            </w:pPr>
            <w:r w:rsidRPr="004A3B43">
              <w:rPr>
                <w:rFonts w:ascii="Times New Roman" w:hAnsi="Times New Roman" w:cs="Times New Roman"/>
                <w:sz w:val="14"/>
                <w:szCs w:val="14"/>
                <w:lang w:eastAsia="sk-SK"/>
              </w:rPr>
              <w:t>Výdavky pre  VVŠ spolu cez MŠVVŠ SR</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455 382 186</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498 770 139</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489 348 020</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494 098 010</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509 801 806</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509 774 040</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509 756 879</w:t>
            </w:r>
          </w:p>
        </w:tc>
      </w:tr>
      <w:tr w:rsidR="007D13F3" w:rsidRPr="004A3B43" w:rsidTr="00465CAC">
        <w:trPr>
          <w:trHeight w:hRule="exact" w:val="255"/>
        </w:trPr>
        <w:tc>
          <w:tcPr>
            <w:tcW w:w="1930" w:type="pct"/>
            <w:tcBorders>
              <w:top w:val="nil"/>
              <w:left w:val="single" w:sz="4" w:space="0" w:color="auto"/>
              <w:bottom w:val="single" w:sz="4" w:space="0" w:color="auto"/>
              <w:right w:val="single" w:sz="4" w:space="0" w:color="auto"/>
            </w:tcBorders>
            <w:shd w:val="clear" w:color="auto" w:fill="auto"/>
            <w:noWrap/>
            <w:vAlign w:val="bottom"/>
            <w:hideMark/>
          </w:tcPr>
          <w:p w:rsidR="007D13F3" w:rsidRPr="004A3B43" w:rsidRDefault="007D13F3" w:rsidP="00465CAC">
            <w:pPr>
              <w:rPr>
                <w:rFonts w:ascii="Times New Roman" w:hAnsi="Times New Roman" w:cs="Times New Roman"/>
                <w:sz w:val="14"/>
                <w:szCs w:val="14"/>
                <w:lang w:eastAsia="sk-SK"/>
              </w:rPr>
            </w:pPr>
            <w:r w:rsidRPr="004A3B43">
              <w:rPr>
                <w:rFonts w:ascii="Times New Roman" w:hAnsi="Times New Roman" w:cs="Times New Roman"/>
                <w:sz w:val="14"/>
                <w:szCs w:val="14"/>
                <w:lang w:eastAsia="sk-SK"/>
              </w:rPr>
              <w:t>Rezortné vysokoškolské vzdelávanie</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35 844 226</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25 131 355</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25 189 055</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26 432 142</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27 791 204</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27 599 008</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29 225 911</w:t>
            </w:r>
          </w:p>
        </w:tc>
      </w:tr>
      <w:tr w:rsidR="007D13F3" w:rsidRPr="004A3B43" w:rsidTr="00465CAC">
        <w:trPr>
          <w:trHeight w:hRule="exact" w:val="255"/>
        </w:trPr>
        <w:tc>
          <w:tcPr>
            <w:tcW w:w="1930"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4A3B43" w:rsidRDefault="007D13F3" w:rsidP="00465CAC">
            <w:pPr>
              <w:rPr>
                <w:rFonts w:ascii="Times New Roman" w:hAnsi="Times New Roman" w:cs="Times New Roman"/>
                <w:sz w:val="14"/>
                <w:szCs w:val="14"/>
                <w:lang w:eastAsia="sk-SK"/>
              </w:rPr>
            </w:pPr>
            <w:r w:rsidRPr="004A3B43">
              <w:rPr>
                <w:rFonts w:ascii="Times New Roman" w:hAnsi="Times New Roman" w:cs="Times New Roman"/>
                <w:sz w:val="14"/>
                <w:szCs w:val="14"/>
                <w:lang w:eastAsia="sk-SK"/>
              </w:rPr>
              <w:t xml:space="preserve">Výdavky štátneho rozpočtu spolu </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491 226 412</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523 901 494</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514 537 075</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520 530 152</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537 593 010</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537 373 048</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538 982 790</w:t>
            </w:r>
          </w:p>
        </w:tc>
      </w:tr>
      <w:tr w:rsidR="007D13F3" w:rsidRPr="004A3B43" w:rsidTr="00465CAC">
        <w:trPr>
          <w:trHeight w:hRule="exact" w:val="255"/>
        </w:trPr>
        <w:tc>
          <w:tcPr>
            <w:tcW w:w="1930" w:type="pct"/>
            <w:tcBorders>
              <w:top w:val="nil"/>
              <w:left w:val="single" w:sz="4" w:space="0" w:color="auto"/>
              <w:bottom w:val="single" w:sz="4" w:space="0" w:color="auto"/>
              <w:right w:val="single" w:sz="4" w:space="0" w:color="auto"/>
            </w:tcBorders>
            <w:shd w:val="clear" w:color="auto" w:fill="auto"/>
            <w:noWrap/>
            <w:vAlign w:val="bottom"/>
            <w:hideMark/>
          </w:tcPr>
          <w:p w:rsidR="007D13F3" w:rsidRPr="004A3B43" w:rsidRDefault="007D13F3" w:rsidP="00465CAC">
            <w:pPr>
              <w:rPr>
                <w:rFonts w:ascii="Times New Roman" w:hAnsi="Times New Roman" w:cs="Times New Roman"/>
                <w:sz w:val="14"/>
                <w:szCs w:val="14"/>
                <w:lang w:eastAsia="sk-SK"/>
              </w:rPr>
            </w:pPr>
            <w:r w:rsidRPr="004A3B43">
              <w:rPr>
                <w:rFonts w:ascii="Times New Roman" w:hAnsi="Times New Roman" w:cs="Times New Roman"/>
                <w:sz w:val="14"/>
                <w:szCs w:val="14"/>
                <w:lang w:eastAsia="sk-SK"/>
              </w:rPr>
              <w:t>Počet študentov (denní a externí) spolu</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145 040</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135 281</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124 938</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124 938</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119 393</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116 927</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112 858</w:t>
            </w:r>
          </w:p>
        </w:tc>
      </w:tr>
      <w:tr w:rsidR="007D13F3" w:rsidRPr="004A3B43" w:rsidTr="00465CAC">
        <w:trPr>
          <w:trHeight w:hRule="exact" w:val="255"/>
        </w:trPr>
        <w:tc>
          <w:tcPr>
            <w:tcW w:w="1930"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4A3B43" w:rsidRDefault="007D13F3" w:rsidP="00465CAC">
            <w:pPr>
              <w:rPr>
                <w:rFonts w:ascii="Times New Roman" w:hAnsi="Times New Roman" w:cs="Times New Roman"/>
                <w:sz w:val="14"/>
                <w:szCs w:val="14"/>
                <w:lang w:eastAsia="sk-SK"/>
              </w:rPr>
            </w:pPr>
            <w:r w:rsidRPr="004A3B43">
              <w:rPr>
                <w:rFonts w:ascii="Times New Roman" w:hAnsi="Times New Roman" w:cs="Times New Roman"/>
                <w:sz w:val="14"/>
                <w:szCs w:val="14"/>
                <w:lang w:eastAsia="sk-SK"/>
              </w:rPr>
              <w:t>Výdavky na študenta vysokej školy v eurách</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3 387</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3 873</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4 118</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4 166</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4 503</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4 596</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4 776</w:t>
            </w:r>
          </w:p>
        </w:tc>
      </w:tr>
      <w:tr w:rsidR="007D13F3" w:rsidRPr="004A3B43" w:rsidTr="00465CAC">
        <w:trPr>
          <w:trHeight w:hRule="exact" w:val="255"/>
        </w:trPr>
        <w:tc>
          <w:tcPr>
            <w:tcW w:w="1930" w:type="pct"/>
            <w:tcBorders>
              <w:top w:val="nil"/>
              <w:left w:val="single" w:sz="4" w:space="0" w:color="auto"/>
              <w:bottom w:val="single" w:sz="4" w:space="0" w:color="auto"/>
              <w:right w:val="single" w:sz="4" w:space="0" w:color="auto"/>
            </w:tcBorders>
            <w:shd w:val="clear" w:color="auto" w:fill="auto"/>
            <w:noWrap/>
            <w:vAlign w:val="bottom"/>
            <w:hideMark/>
          </w:tcPr>
          <w:p w:rsidR="007D13F3" w:rsidRPr="004A3B43" w:rsidRDefault="007D13F3" w:rsidP="00465CAC">
            <w:pPr>
              <w:rPr>
                <w:rFonts w:ascii="Times New Roman" w:hAnsi="Times New Roman" w:cs="Times New Roman"/>
                <w:sz w:val="14"/>
                <w:szCs w:val="14"/>
                <w:lang w:eastAsia="sk-SK"/>
              </w:rPr>
            </w:pPr>
            <w:r w:rsidRPr="004A3B43">
              <w:rPr>
                <w:rFonts w:ascii="Times New Roman" w:hAnsi="Times New Roman" w:cs="Times New Roman"/>
                <w:sz w:val="14"/>
                <w:szCs w:val="14"/>
                <w:lang w:eastAsia="sk-SK"/>
              </w:rPr>
              <w:t>medziročná zmena v %</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14,15%</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14,35%</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21,17%</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7,58%</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16,27%</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11,59%</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14,63%</w:t>
            </w:r>
          </w:p>
        </w:tc>
      </w:tr>
    </w:tbl>
    <w:p w:rsidR="007D13F3" w:rsidRDefault="007D13F3" w:rsidP="007D13F3">
      <w:pPr>
        <w:spacing w:after="200" w:line="276" w:lineRule="auto"/>
        <w:contextualSpacing/>
        <w:jc w:val="both"/>
        <w:rPr>
          <w:rFonts w:ascii="Times New Roman" w:hAnsi="Times New Roman" w:cs="Times New Roman"/>
          <w:b/>
        </w:rPr>
      </w:pPr>
    </w:p>
    <w:p w:rsidR="007D13F3" w:rsidRDefault="007D13F3" w:rsidP="007D13F3">
      <w:pPr>
        <w:spacing w:after="200" w:line="276" w:lineRule="auto"/>
        <w:contextualSpacing/>
        <w:jc w:val="both"/>
        <w:rPr>
          <w:rFonts w:ascii="Times New Roman" w:hAnsi="Times New Roman" w:cs="Times New Roman"/>
          <w:b/>
        </w:rPr>
      </w:pPr>
      <w:r w:rsidRPr="00933EB3">
        <w:rPr>
          <w:rFonts w:ascii="Times New Roman" w:hAnsi="Times New Roman" w:cs="Times New Roman"/>
          <w:b/>
        </w:rPr>
        <w:t>Veda a</w:t>
      </w:r>
      <w:r>
        <w:rPr>
          <w:rFonts w:ascii="Times New Roman" w:hAnsi="Times New Roman" w:cs="Times New Roman"/>
          <w:b/>
        </w:rPr>
        <w:t> technika</w:t>
      </w:r>
    </w:p>
    <w:p w:rsidR="007D13F3" w:rsidRDefault="007D13F3" w:rsidP="007D13F3">
      <w:pPr>
        <w:spacing w:line="240" w:lineRule="exact"/>
        <w:ind w:right="-20"/>
        <w:jc w:val="both"/>
        <w:rPr>
          <w:rFonts w:ascii="Times New Roman" w:eastAsia="Calibri" w:hAnsi="Times New Roman" w:cs="Times New Roman"/>
          <w:highlight w:val="yellow"/>
        </w:rPr>
      </w:pPr>
    </w:p>
    <w:p w:rsidR="007D13F3" w:rsidRPr="009A046E" w:rsidRDefault="007D13F3" w:rsidP="007D13F3">
      <w:pPr>
        <w:ind w:firstLine="709"/>
        <w:jc w:val="both"/>
        <w:rPr>
          <w:rFonts w:ascii="Times New Roman" w:eastAsia="Calibri" w:hAnsi="Times New Roman" w:cs="Times New Roman"/>
        </w:rPr>
      </w:pPr>
      <w:r w:rsidRPr="009A046E">
        <w:rPr>
          <w:rFonts w:ascii="Times New Roman" w:eastAsia="Calibri" w:hAnsi="Times New Roman" w:cs="Times New Roman"/>
        </w:rPr>
        <w:t xml:space="preserve">Výkon slovenskej vedy výrazne zaostáva v porovnaní s inými vyspelými krajinami. Zaostávanie v počte </w:t>
      </w:r>
      <w:proofErr w:type="spellStart"/>
      <w:r w:rsidRPr="009A046E">
        <w:rPr>
          <w:rFonts w:ascii="Times New Roman" w:eastAsia="Calibri" w:hAnsi="Times New Roman" w:cs="Times New Roman"/>
        </w:rPr>
        <w:t>impaktových</w:t>
      </w:r>
      <w:proofErr w:type="spellEnd"/>
      <w:r w:rsidRPr="009A046E">
        <w:rPr>
          <w:rFonts w:ascii="Times New Roman" w:eastAsia="Calibri" w:hAnsi="Times New Roman" w:cs="Times New Roman"/>
        </w:rPr>
        <w:t xml:space="preserve"> publikácií na počet obyvateľov sa týka takmer všetkých vedných oborov, vrátane tých so silným zastúpením v počte výskumníkov. Rozdiel sa ďalej prehlbuje, ak sú posudzované len publikácie v špičkových časopisoch. </w:t>
      </w:r>
    </w:p>
    <w:p w:rsidR="007D13F3" w:rsidRPr="009A046E" w:rsidRDefault="007D13F3" w:rsidP="007D13F3">
      <w:pPr>
        <w:ind w:firstLine="709"/>
        <w:jc w:val="both"/>
        <w:rPr>
          <w:rFonts w:ascii="Times New Roman" w:hAnsi="Times New Roman" w:cs="Times New Roman"/>
        </w:rPr>
      </w:pPr>
    </w:p>
    <w:p w:rsidR="007D13F3" w:rsidRPr="009A046E" w:rsidRDefault="007D13F3" w:rsidP="007D13F3">
      <w:pPr>
        <w:ind w:firstLine="709"/>
        <w:jc w:val="both"/>
        <w:rPr>
          <w:rFonts w:ascii="Times New Roman" w:hAnsi="Times New Roman" w:cs="Times New Roman"/>
        </w:rPr>
      </w:pPr>
      <w:r w:rsidRPr="009A046E">
        <w:rPr>
          <w:rFonts w:ascii="Times New Roman" w:hAnsi="Times New Roman" w:cs="Times New Roman"/>
        </w:rPr>
        <w:t xml:space="preserve">Indikátorom nízko rozvinutej </w:t>
      </w:r>
      <w:proofErr w:type="spellStart"/>
      <w:r w:rsidRPr="009A046E">
        <w:rPr>
          <w:rFonts w:ascii="Times New Roman" w:hAnsi="Times New Roman" w:cs="Times New Roman"/>
        </w:rPr>
        <w:t>excelentnosti</w:t>
      </w:r>
      <w:proofErr w:type="spellEnd"/>
      <w:r w:rsidRPr="009A046E">
        <w:rPr>
          <w:rFonts w:ascii="Times New Roman" w:hAnsi="Times New Roman" w:cs="Times New Roman"/>
        </w:rPr>
        <w:t xml:space="preserve"> v slovenskej vede je tiež slabé využívanie grantov ERC</w:t>
      </w:r>
      <w:r w:rsidRPr="009A046E">
        <w:rPr>
          <w:rFonts w:ascii="Times New Roman" w:hAnsi="Times New Roman" w:cs="Times New Roman"/>
          <w:b/>
        </w:rPr>
        <w:t>.</w:t>
      </w:r>
      <w:r w:rsidRPr="009A046E">
        <w:rPr>
          <w:rFonts w:ascii="Times New Roman" w:hAnsi="Times New Roman" w:cs="Times New Roman"/>
        </w:rPr>
        <w:t xml:space="preserve"> Medzi viac ako 7 000 projektmi financovanými jedn</w:t>
      </w:r>
      <w:r>
        <w:rPr>
          <w:rFonts w:ascii="Times New Roman" w:hAnsi="Times New Roman" w:cs="Times New Roman"/>
        </w:rPr>
        <w:t>ou</w:t>
      </w:r>
      <w:r w:rsidRPr="009A046E">
        <w:rPr>
          <w:rFonts w:ascii="Times New Roman" w:hAnsi="Times New Roman" w:cs="Times New Roman"/>
        </w:rPr>
        <w:t xml:space="preserve"> z najprestížnejších grantových schém na svete ERC bol od roku 2007 len jeden slovenský projekt (konkrétne z Chemického ústavu SAV). Za rovnaké obdobie ERC financovalo 25 projektov z ČR, 54 projektov z Maďarska alebo 638 projektov z Holandska. </w:t>
      </w:r>
    </w:p>
    <w:p w:rsidR="007D13F3" w:rsidRPr="009A046E" w:rsidRDefault="007D13F3" w:rsidP="007D13F3">
      <w:pPr>
        <w:ind w:firstLine="709"/>
        <w:jc w:val="both"/>
        <w:rPr>
          <w:rFonts w:ascii="Times New Roman" w:eastAsia="Calibri" w:hAnsi="Times New Roman" w:cs="Times New Roman"/>
        </w:rPr>
      </w:pPr>
    </w:p>
    <w:p w:rsidR="007D13F3" w:rsidRPr="009A046E" w:rsidRDefault="007D13F3" w:rsidP="007D13F3">
      <w:pPr>
        <w:ind w:firstLine="709"/>
        <w:jc w:val="both"/>
        <w:rPr>
          <w:rFonts w:ascii="Times New Roman" w:eastAsia="Calibri" w:hAnsi="Times New Roman" w:cs="Times New Roman"/>
        </w:rPr>
      </w:pPr>
      <w:r w:rsidRPr="009A046E">
        <w:rPr>
          <w:rFonts w:ascii="Times New Roman" w:eastAsia="Calibri" w:hAnsi="Times New Roman" w:cs="Times New Roman"/>
        </w:rPr>
        <w:t xml:space="preserve">Slovensko </w:t>
      </w:r>
      <w:r w:rsidRPr="008A005B">
        <w:rPr>
          <w:rFonts w:ascii="Times New Roman" w:eastAsia="Calibri" w:hAnsi="Times New Roman" w:cs="Times New Roman"/>
        </w:rPr>
        <w:t xml:space="preserve">dáva podľa </w:t>
      </w:r>
      <w:proofErr w:type="spellStart"/>
      <w:r w:rsidRPr="008A005B">
        <w:rPr>
          <w:rFonts w:ascii="Times New Roman" w:eastAsia="Calibri" w:hAnsi="Times New Roman" w:cs="Times New Roman"/>
        </w:rPr>
        <w:t>Eurostatu</w:t>
      </w:r>
      <w:proofErr w:type="spellEnd"/>
      <w:r>
        <w:rPr>
          <w:rFonts w:ascii="Times New Roman" w:eastAsia="Calibri" w:hAnsi="Times New Roman" w:cs="Times New Roman"/>
        </w:rPr>
        <w:t xml:space="preserve"> </w:t>
      </w:r>
      <w:r w:rsidRPr="009A046E">
        <w:rPr>
          <w:rFonts w:ascii="Times New Roman" w:eastAsia="Calibri" w:hAnsi="Times New Roman" w:cs="Times New Roman"/>
        </w:rPr>
        <w:t xml:space="preserve">na vedu a výskum približne 1,2 % HDP, čím stále výrazne zaostáva za priemerom krajín OECD aj V3, predovšetkým podielom súkromných zdrojov. Rastúce výdavky na vedu a výskum sa vo výsledkoch výraznejšie neprejavili. Výskumníci produkujú menej publikácií, ich </w:t>
      </w:r>
      <w:proofErr w:type="spellStart"/>
      <w:r w:rsidRPr="009A046E">
        <w:rPr>
          <w:rFonts w:ascii="Times New Roman" w:eastAsia="Calibri" w:hAnsi="Times New Roman" w:cs="Times New Roman"/>
        </w:rPr>
        <w:t>citovanosť</w:t>
      </w:r>
      <w:proofErr w:type="spellEnd"/>
      <w:r w:rsidRPr="009A046E">
        <w:rPr>
          <w:rFonts w:ascii="Times New Roman" w:eastAsia="Calibri" w:hAnsi="Times New Roman" w:cs="Times New Roman"/>
        </w:rPr>
        <w:t xml:space="preserve"> sa mierne zvýšila, ale stále je 25 % pod priemerom krajín V3. </w:t>
      </w:r>
    </w:p>
    <w:p w:rsidR="007D13F3" w:rsidRPr="009A046E" w:rsidRDefault="007D13F3" w:rsidP="007D13F3">
      <w:pPr>
        <w:ind w:firstLine="709"/>
        <w:jc w:val="both"/>
        <w:rPr>
          <w:rFonts w:ascii="Times New Roman" w:eastAsia="Calibri" w:hAnsi="Times New Roman" w:cs="Times New Roman"/>
        </w:rPr>
      </w:pPr>
    </w:p>
    <w:p w:rsidR="007D13F3" w:rsidRDefault="007D13F3" w:rsidP="007D13F3">
      <w:pPr>
        <w:ind w:firstLine="709"/>
        <w:jc w:val="both"/>
        <w:rPr>
          <w:rFonts w:ascii="Times New Roman" w:eastAsia="Calibri" w:hAnsi="Times New Roman" w:cs="Times New Roman"/>
        </w:rPr>
      </w:pPr>
      <w:r w:rsidRPr="009A046E">
        <w:rPr>
          <w:rFonts w:ascii="Times New Roman" w:eastAsia="Calibri" w:hAnsi="Times New Roman" w:cs="Times New Roman"/>
        </w:rPr>
        <w:t>Mimo financií z fondov EÚ, väčšina verejných zdrojov do vedy a výskumu smeruje do verejných vysokých škôl. Okrem toho MŠVVŠ</w:t>
      </w:r>
      <w:r>
        <w:rPr>
          <w:rFonts w:ascii="Times New Roman" w:eastAsia="Calibri" w:hAnsi="Times New Roman" w:cs="Times New Roman"/>
        </w:rPr>
        <w:t xml:space="preserve"> SR</w:t>
      </w:r>
      <w:r w:rsidRPr="009A046E">
        <w:rPr>
          <w:rFonts w:ascii="Times New Roman" w:eastAsia="Calibri" w:hAnsi="Times New Roman" w:cs="Times New Roman"/>
        </w:rPr>
        <w:t xml:space="preserve"> financuje vedu prostredníctvom svojich podriadených organizácií, najmä Agentúry na podporu výskumu a vývoja (APVV). MŠVVŠ </w:t>
      </w:r>
      <w:r>
        <w:rPr>
          <w:rFonts w:ascii="Times New Roman" w:eastAsia="Calibri" w:hAnsi="Times New Roman" w:cs="Times New Roman"/>
        </w:rPr>
        <w:t xml:space="preserve">SR </w:t>
      </w:r>
      <w:r w:rsidRPr="009A046E">
        <w:rPr>
          <w:rFonts w:ascii="Times New Roman" w:eastAsia="Calibri" w:hAnsi="Times New Roman" w:cs="Times New Roman"/>
        </w:rPr>
        <w:t>tiež financuje členské príspevky v medzinárodných organizáciách a financuje aj iné aktivity spadajúce pod vedu, výskum a vývoj. Do oblasti výskumu a vývoja smeruje aj veľká časť prostriedkov z fondov EÚ.</w:t>
      </w:r>
    </w:p>
    <w:p w:rsidR="007D13F3" w:rsidRDefault="007D13F3" w:rsidP="007D13F3">
      <w:pPr>
        <w:spacing w:after="160" w:line="259" w:lineRule="auto"/>
        <w:rPr>
          <w:rFonts w:ascii="Times New Roman" w:eastAsia="Calibri" w:hAnsi="Times New Roman" w:cs="Times New Roman"/>
        </w:rPr>
      </w:pPr>
      <w:r>
        <w:rPr>
          <w:rFonts w:ascii="Times New Roman" w:eastAsia="Calibri" w:hAnsi="Times New Roman" w:cs="Times New Roman"/>
        </w:rPr>
        <w:br w:type="page"/>
      </w:r>
    </w:p>
    <w:p w:rsidR="007D13F3" w:rsidRPr="00383B53" w:rsidRDefault="007D13F3" w:rsidP="007D13F3">
      <w:pPr>
        <w:spacing w:after="200" w:line="276" w:lineRule="auto"/>
        <w:contextualSpacing/>
        <w:jc w:val="both"/>
        <w:rPr>
          <w:rFonts w:ascii="Times New Roman" w:hAnsi="Times New Roman" w:cs="Times New Roman"/>
        </w:rPr>
      </w:pPr>
      <w:r w:rsidRPr="008F1F8B">
        <w:rPr>
          <w:rFonts w:ascii="Times New Roman" w:hAnsi="Times New Roman" w:cs="Times New Roman"/>
        </w:rPr>
        <w:lastRenderedPageBreak/>
        <w:t>Výdavky na vedu a techniku sú uvedené v nasledujúcej tabuľke.</w:t>
      </w:r>
    </w:p>
    <w:p w:rsidR="007D13F3" w:rsidRDefault="007D13F3" w:rsidP="007D13F3">
      <w:pPr>
        <w:spacing w:after="200" w:line="276" w:lineRule="auto"/>
        <w:contextualSpacing/>
        <w:jc w:val="both"/>
        <w:rPr>
          <w:rFonts w:ascii="Times New Roman" w:hAnsi="Times New Roman" w:cs="Times New Roman"/>
          <w:b/>
        </w:rPr>
      </w:pPr>
    </w:p>
    <w:tbl>
      <w:tblPr>
        <w:tblW w:w="9758" w:type="dxa"/>
        <w:tblLayout w:type="fixed"/>
        <w:tblCellMar>
          <w:left w:w="70" w:type="dxa"/>
          <w:right w:w="70" w:type="dxa"/>
        </w:tblCellMar>
        <w:tblLook w:val="04A0" w:firstRow="1" w:lastRow="0" w:firstColumn="1" w:lastColumn="0" w:noHBand="0" w:noVBand="1"/>
      </w:tblPr>
      <w:tblGrid>
        <w:gridCol w:w="284"/>
        <w:gridCol w:w="3531"/>
        <w:gridCol w:w="849"/>
        <w:gridCol w:w="849"/>
        <w:gridCol w:w="849"/>
        <w:gridCol w:w="849"/>
        <w:gridCol w:w="849"/>
        <w:gridCol w:w="849"/>
        <w:gridCol w:w="849"/>
      </w:tblGrid>
      <w:tr w:rsidR="007D13F3" w:rsidRPr="00C50103" w:rsidTr="00465CAC">
        <w:trPr>
          <w:trHeight w:hRule="exact" w:val="255"/>
        </w:trPr>
        <w:tc>
          <w:tcPr>
            <w:tcW w:w="3815" w:type="dxa"/>
            <w:gridSpan w:val="2"/>
            <w:tcBorders>
              <w:top w:val="single" w:sz="4" w:space="0" w:color="auto"/>
              <w:left w:val="single" w:sz="4" w:space="0" w:color="auto"/>
              <w:bottom w:val="single" w:sz="4" w:space="0" w:color="auto"/>
              <w:right w:val="single" w:sz="4" w:space="0" w:color="000000"/>
            </w:tcBorders>
            <w:shd w:val="pct35" w:color="000000" w:fill="auto"/>
            <w:noWrap/>
            <w:vAlign w:val="center"/>
            <w:hideMark/>
          </w:tcPr>
          <w:p w:rsidR="007D13F3" w:rsidRPr="00C50103" w:rsidRDefault="007D13F3" w:rsidP="00465CAC">
            <w:pPr>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v eurách</w:t>
            </w:r>
          </w:p>
        </w:tc>
        <w:tc>
          <w:tcPr>
            <w:tcW w:w="849" w:type="dxa"/>
            <w:tcBorders>
              <w:top w:val="single" w:sz="4" w:space="0" w:color="auto"/>
              <w:left w:val="nil"/>
              <w:bottom w:val="single" w:sz="4" w:space="0" w:color="auto"/>
              <w:right w:val="single" w:sz="4" w:space="0" w:color="auto"/>
            </w:tcBorders>
            <w:shd w:val="pct35" w:color="000000" w:fill="auto"/>
            <w:noWrap/>
            <w:vAlign w:val="center"/>
            <w:hideMark/>
          </w:tcPr>
          <w:p w:rsidR="007D13F3" w:rsidRPr="00C50103" w:rsidRDefault="007D13F3" w:rsidP="00465CAC">
            <w:pPr>
              <w:jc w:val="center"/>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2015 S</w:t>
            </w:r>
          </w:p>
        </w:tc>
        <w:tc>
          <w:tcPr>
            <w:tcW w:w="849" w:type="dxa"/>
            <w:tcBorders>
              <w:top w:val="single" w:sz="4" w:space="0" w:color="auto"/>
              <w:left w:val="nil"/>
              <w:bottom w:val="single" w:sz="4" w:space="0" w:color="auto"/>
              <w:right w:val="single" w:sz="4" w:space="0" w:color="auto"/>
            </w:tcBorders>
            <w:shd w:val="pct35" w:color="000000" w:fill="auto"/>
            <w:noWrap/>
            <w:vAlign w:val="center"/>
            <w:hideMark/>
          </w:tcPr>
          <w:p w:rsidR="007D13F3" w:rsidRPr="00C50103" w:rsidRDefault="007D13F3" w:rsidP="00465CAC">
            <w:pPr>
              <w:jc w:val="center"/>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2016 S</w:t>
            </w:r>
          </w:p>
        </w:tc>
        <w:tc>
          <w:tcPr>
            <w:tcW w:w="849" w:type="dxa"/>
            <w:tcBorders>
              <w:top w:val="single" w:sz="4" w:space="0" w:color="auto"/>
              <w:left w:val="nil"/>
              <w:bottom w:val="single" w:sz="4" w:space="0" w:color="auto"/>
              <w:right w:val="single" w:sz="4" w:space="0" w:color="auto"/>
            </w:tcBorders>
            <w:shd w:val="pct35" w:color="000000" w:fill="auto"/>
            <w:noWrap/>
            <w:vAlign w:val="center"/>
            <w:hideMark/>
          </w:tcPr>
          <w:p w:rsidR="007D13F3" w:rsidRPr="00C50103" w:rsidRDefault="007D13F3" w:rsidP="00465CAC">
            <w:pPr>
              <w:jc w:val="center"/>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2017 R</w:t>
            </w:r>
          </w:p>
        </w:tc>
        <w:tc>
          <w:tcPr>
            <w:tcW w:w="849" w:type="dxa"/>
            <w:tcBorders>
              <w:top w:val="single" w:sz="4" w:space="0" w:color="auto"/>
              <w:left w:val="nil"/>
              <w:bottom w:val="single" w:sz="4" w:space="0" w:color="auto"/>
              <w:right w:val="single" w:sz="4" w:space="0" w:color="auto"/>
            </w:tcBorders>
            <w:shd w:val="pct35" w:color="000000" w:fill="auto"/>
            <w:noWrap/>
            <w:vAlign w:val="center"/>
            <w:hideMark/>
          </w:tcPr>
          <w:p w:rsidR="007D13F3" w:rsidRPr="00C50103" w:rsidRDefault="007D13F3" w:rsidP="00465CAC">
            <w:pPr>
              <w:jc w:val="center"/>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2017 OS</w:t>
            </w:r>
          </w:p>
        </w:tc>
        <w:tc>
          <w:tcPr>
            <w:tcW w:w="849" w:type="dxa"/>
            <w:tcBorders>
              <w:top w:val="single" w:sz="4" w:space="0" w:color="auto"/>
              <w:left w:val="nil"/>
              <w:bottom w:val="single" w:sz="4" w:space="0" w:color="auto"/>
              <w:right w:val="single" w:sz="4" w:space="0" w:color="auto"/>
            </w:tcBorders>
            <w:shd w:val="pct35" w:color="000000" w:fill="auto"/>
            <w:noWrap/>
            <w:vAlign w:val="center"/>
            <w:hideMark/>
          </w:tcPr>
          <w:p w:rsidR="007D13F3" w:rsidRPr="00C50103" w:rsidRDefault="007D13F3" w:rsidP="00465CAC">
            <w:pPr>
              <w:jc w:val="center"/>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2018 N</w:t>
            </w:r>
          </w:p>
        </w:tc>
        <w:tc>
          <w:tcPr>
            <w:tcW w:w="849" w:type="dxa"/>
            <w:tcBorders>
              <w:top w:val="single" w:sz="4" w:space="0" w:color="auto"/>
              <w:left w:val="nil"/>
              <w:bottom w:val="single" w:sz="4" w:space="0" w:color="auto"/>
              <w:right w:val="single" w:sz="4" w:space="0" w:color="auto"/>
            </w:tcBorders>
            <w:shd w:val="pct35" w:color="000000" w:fill="auto"/>
            <w:noWrap/>
            <w:vAlign w:val="center"/>
            <w:hideMark/>
          </w:tcPr>
          <w:p w:rsidR="007D13F3" w:rsidRPr="00C50103" w:rsidRDefault="007D13F3" w:rsidP="00465CAC">
            <w:pPr>
              <w:jc w:val="center"/>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2019 N</w:t>
            </w:r>
          </w:p>
        </w:tc>
        <w:tc>
          <w:tcPr>
            <w:tcW w:w="849" w:type="dxa"/>
            <w:tcBorders>
              <w:top w:val="single" w:sz="4" w:space="0" w:color="auto"/>
              <w:left w:val="nil"/>
              <w:bottom w:val="single" w:sz="4" w:space="0" w:color="auto"/>
              <w:right w:val="single" w:sz="4" w:space="0" w:color="auto"/>
            </w:tcBorders>
            <w:shd w:val="pct35" w:color="000000" w:fill="auto"/>
            <w:noWrap/>
            <w:vAlign w:val="center"/>
            <w:hideMark/>
          </w:tcPr>
          <w:p w:rsidR="007D13F3" w:rsidRPr="00C50103" w:rsidRDefault="007D13F3" w:rsidP="00465CAC">
            <w:pPr>
              <w:jc w:val="center"/>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2020 N</w:t>
            </w:r>
          </w:p>
        </w:tc>
      </w:tr>
      <w:tr w:rsidR="007D13F3" w:rsidRPr="00C50103" w:rsidTr="00465CAC">
        <w:trPr>
          <w:trHeight w:hRule="exact" w:val="255"/>
        </w:trPr>
        <w:tc>
          <w:tcPr>
            <w:tcW w:w="3815" w:type="dxa"/>
            <w:gridSpan w:val="2"/>
            <w:tcBorders>
              <w:top w:val="single" w:sz="4" w:space="0" w:color="auto"/>
              <w:left w:val="single" w:sz="4" w:space="0" w:color="auto"/>
              <w:bottom w:val="single" w:sz="4" w:space="0" w:color="auto"/>
              <w:right w:val="single" w:sz="4" w:space="0" w:color="000000"/>
            </w:tcBorders>
            <w:shd w:val="pct25" w:color="000000" w:fill="auto"/>
            <w:noWrap/>
            <w:vAlign w:val="bottom"/>
            <w:hideMark/>
          </w:tcPr>
          <w:p w:rsidR="007D13F3" w:rsidRPr="00C50103" w:rsidRDefault="007D13F3" w:rsidP="00465CAC">
            <w:pPr>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Výdavky na vedu a techniku celkom</w:t>
            </w:r>
          </w:p>
        </w:tc>
        <w:tc>
          <w:tcPr>
            <w:tcW w:w="849" w:type="dxa"/>
            <w:tcBorders>
              <w:top w:val="single" w:sz="4" w:space="0" w:color="auto"/>
              <w:left w:val="nil"/>
              <w:bottom w:val="single" w:sz="4" w:space="0" w:color="auto"/>
              <w:right w:val="single" w:sz="4" w:space="0" w:color="auto"/>
            </w:tcBorders>
            <w:shd w:val="pct25" w:color="000000"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729 462 438</w:t>
            </w:r>
          </w:p>
        </w:tc>
        <w:tc>
          <w:tcPr>
            <w:tcW w:w="849" w:type="dxa"/>
            <w:tcBorders>
              <w:top w:val="single" w:sz="4" w:space="0" w:color="auto"/>
              <w:left w:val="nil"/>
              <w:bottom w:val="single" w:sz="4" w:space="0" w:color="auto"/>
              <w:right w:val="single" w:sz="4" w:space="0" w:color="auto"/>
            </w:tcBorders>
            <w:shd w:val="pct25" w:color="000000"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335 291 270</w:t>
            </w:r>
          </w:p>
        </w:tc>
        <w:tc>
          <w:tcPr>
            <w:tcW w:w="849" w:type="dxa"/>
            <w:tcBorders>
              <w:top w:val="single" w:sz="4" w:space="0" w:color="auto"/>
              <w:left w:val="nil"/>
              <w:bottom w:val="single" w:sz="4" w:space="0" w:color="auto"/>
              <w:right w:val="single" w:sz="4" w:space="0" w:color="auto"/>
            </w:tcBorders>
            <w:shd w:val="pct25" w:color="000000"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335 652 350</w:t>
            </w:r>
          </w:p>
        </w:tc>
        <w:tc>
          <w:tcPr>
            <w:tcW w:w="849" w:type="dxa"/>
            <w:tcBorders>
              <w:top w:val="single" w:sz="4" w:space="0" w:color="auto"/>
              <w:left w:val="nil"/>
              <w:bottom w:val="single" w:sz="4" w:space="0" w:color="auto"/>
              <w:right w:val="single" w:sz="4" w:space="0" w:color="auto"/>
            </w:tcBorders>
            <w:shd w:val="pct25" w:color="000000"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316 440 786</w:t>
            </w:r>
          </w:p>
        </w:tc>
        <w:tc>
          <w:tcPr>
            <w:tcW w:w="849" w:type="dxa"/>
            <w:tcBorders>
              <w:top w:val="single" w:sz="4" w:space="0" w:color="auto"/>
              <w:left w:val="nil"/>
              <w:bottom w:val="single" w:sz="4" w:space="0" w:color="auto"/>
              <w:right w:val="single" w:sz="4" w:space="0" w:color="auto"/>
            </w:tcBorders>
            <w:shd w:val="pct25" w:color="000000" w:fill="auto"/>
            <w:noWrap/>
            <w:vAlign w:val="bottom"/>
            <w:hideMark/>
          </w:tcPr>
          <w:p w:rsidR="007D13F3" w:rsidRDefault="007D13F3" w:rsidP="00465CAC">
            <w:pPr>
              <w:jc w:val="right"/>
              <w:rPr>
                <w:rFonts w:ascii="Times New Roman" w:hAnsi="Times New Roman" w:cs="Times New Roman"/>
                <w:b/>
                <w:bCs/>
                <w:sz w:val="14"/>
                <w:szCs w:val="14"/>
                <w:lang w:eastAsia="sk-SK"/>
              </w:rPr>
            </w:pPr>
            <w:r w:rsidRPr="00931A99">
              <w:rPr>
                <w:rFonts w:ascii="Times New Roman" w:hAnsi="Times New Roman" w:cs="Times New Roman"/>
                <w:b/>
                <w:bCs/>
                <w:sz w:val="14"/>
                <w:szCs w:val="14"/>
                <w:lang w:eastAsia="sk-SK"/>
              </w:rPr>
              <w:t>350 386 484</w:t>
            </w:r>
          </w:p>
        </w:tc>
        <w:tc>
          <w:tcPr>
            <w:tcW w:w="849" w:type="dxa"/>
            <w:tcBorders>
              <w:top w:val="single" w:sz="4" w:space="0" w:color="auto"/>
              <w:left w:val="nil"/>
              <w:bottom w:val="single" w:sz="4" w:space="0" w:color="auto"/>
              <w:right w:val="single" w:sz="4" w:space="0" w:color="auto"/>
            </w:tcBorders>
            <w:shd w:val="pct25" w:color="000000"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497 712 178</w:t>
            </w:r>
          </w:p>
        </w:tc>
        <w:tc>
          <w:tcPr>
            <w:tcW w:w="849" w:type="dxa"/>
            <w:tcBorders>
              <w:top w:val="single" w:sz="4" w:space="0" w:color="auto"/>
              <w:left w:val="nil"/>
              <w:bottom w:val="single" w:sz="4" w:space="0" w:color="auto"/>
              <w:right w:val="single" w:sz="4" w:space="0" w:color="auto"/>
            </w:tcBorders>
            <w:shd w:val="pct25" w:color="000000"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527 092 047</w:t>
            </w:r>
          </w:p>
        </w:tc>
      </w:tr>
      <w:tr w:rsidR="007D13F3" w:rsidRPr="00C50103" w:rsidTr="00465CAC">
        <w:trPr>
          <w:trHeight w:hRule="exact" w:val="355"/>
        </w:trPr>
        <w:tc>
          <w:tcPr>
            <w:tcW w:w="38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13F3" w:rsidRPr="00C50103" w:rsidRDefault="007D13F3" w:rsidP="00465CAC">
            <w:pPr>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Veda a technika v MŠVVŠ SR zo štátneho rozpočtu (A až D)</w:t>
            </w:r>
            <w:r w:rsidR="00202892">
              <w:rPr>
                <w:rFonts w:ascii="Times New Roman" w:hAnsi="Times New Roman" w:cs="Times New Roman"/>
                <w:b/>
                <w:bCs/>
                <w:sz w:val="14"/>
                <w:szCs w:val="14"/>
                <w:lang w:eastAsia="sk-SK"/>
              </w:rPr>
              <w:t>,</w:t>
            </w:r>
            <w:r w:rsidRPr="00C50103">
              <w:rPr>
                <w:rFonts w:ascii="Times New Roman" w:hAnsi="Times New Roman" w:cs="Times New Roman"/>
                <w:b/>
                <w:bCs/>
                <w:sz w:val="14"/>
                <w:szCs w:val="14"/>
                <w:lang w:eastAsia="sk-SK"/>
              </w:rPr>
              <w:t xml:space="preserve"> v tom:</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200 200 403</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221 156 763</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204 201 470</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211 909 050</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931A99" w:rsidRDefault="007D13F3" w:rsidP="00465CAC">
            <w:pPr>
              <w:jc w:val="right"/>
              <w:rPr>
                <w:rFonts w:ascii="Times New Roman" w:hAnsi="Times New Roman" w:cs="Times New Roman"/>
                <w:b/>
                <w:bCs/>
                <w:sz w:val="14"/>
                <w:szCs w:val="14"/>
                <w:lang w:eastAsia="sk-SK"/>
              </w:rPr>
            </w:pPr>
            <w:r w:rsidRPr="00931A99">
              <w:rPr>
                <w:rFonts w:ascii="Times New Roman" w:hAnsi="Times New Roman" w:cs="Times New Roman"/>
                <w:b/>
                <w:bCs/>
                <w:sz w:val="14"/>
                <w:szCs w:val="14"/>
                <w:lang w:eastAsia="sk-SK"/>
              </w:rPr>
              <w:t>236 221 253</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213 153 253</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211 553 253</w:t>
            </w:r>
          </w:p>
        </w:tc>
      </w:tr>
      <w:tr w:rsidR="007D13F3" w:rsidRPr="00C50103" w:rsidTr="00465CAC">
        <w:trPr>
          <w:trHeight w:hRule="exact" w:val="419"/>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A.</w:t>
            </w:r>
          </w:p>
        </w:tc>
        <w:tc>
          <w:tcPr>
            <w:tcW w:w="3531" w:type="dxa"/>
            <w:tcBorders>
              <w:top w:val="nil"/>
              <w:left w:val="nil"/>
              <w:bottom w:val="single" w:sz="4" w:space="0" w:color="auto"/>
              <w:right w:val="single" w:sz="4" w:space="0" w:color="auto"/>
            </w:tcBorders>
            <w:shd w:val="clear" w:color="auto" w:fill="auto"/>
            <w:vAlign w:val="bottom"/>
            <w:hideMark/>
          </w:tcPr>
          <w:p w:rsidR="007D13F3" w:rsidRPr="00C50103" w:rsidRDefault="007D13F3" w:rsidP="00465CAC">
            <w:pPr>
              <w:rPr>
                <w:rFonts w:ascii="Times New Roman" w:hAnsi="Times New Roman" w:cs="Times New Roman"/>
                <w:b/>
                <w:bCs/>
                <w:i/>
                <w:iCs/>
                <w:sz w:val="14"/>
                <w:szCs w:val="14"/>
                <w:lang w:eastAsia="sk-SK"/>
              </w:rPr>
            </w:pPr>
            <w:r w:rsidRPr="00C50103">
              <w:rPr>
                <w:rFonts w:ascii="Times New Roman" w:hAnsi="Times New Roman" w:cs="Times New Roman"/>
                <w:b/>
                <w:bCs/>
                <w:i/>
                <w:iCs/>
                <w:sz w:val="14"/>
                <w:szCs w:val="14"/>
                <w:lang w:eastAsia="sk-SK"/>
              </w:rPr>
              <w:t>Vysokoškolská  veda cez MŠVVŠ SR vrátane osobných výdavkov pedagogických zamestnancov na výskum</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146 003 063</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160 517 891</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151 927 491</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931A99" w:rsidRDefault="007D13F3" w:rsidP="00465CAC">
            <w:pPr>
              <w:jc w:val="right"/>
              <w:rPr>
                <w:rFonts w:ascii="Times New Roman" w:hAnsi="Times New Roman" w:cs="Times New Roman"/>
                <w:bCs/>
                <w:i/>
                <w:sz w:val="14"/>
                <w:szCs w:val="14"/>
                <w:lang w:eastAsia="sk-SK"/>
              </w:rPr>
            </w:pPr>
            <w:r w:rsidRPr="00931A99">
              <w:rPr>
                <w:rFonts w:ascii="Times New Roman" w:hAnsi="Times New Roman" w:cs="Times New Roman"/>
                <w:bCs/>
                <w:i/>
                <w:sz w:val="14"/>
                <w:szCs w:val="14"/>
                <w:lang w:eastAsia="sk-SK"/>
              </w:rPr>
              <w:t>157 895 136</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931A99" w:rsidRDefault="007D13F3" w:rsidP="00465CAC">
            <w:pPr>
              <w:jc w:val="right"/>
              <w:rPr>
                <w:rFonts w:ascii="Times New Roman" w:hAnsi="Times New Roman" w:cs="Times New Roman"/>
                <w:bCs/>
                <w:i/>
                <w:sz w:val="14"/>
                <w:szCs w:val="14"/>
                <w:lang w:eastAsia="sk-SK"/>
              </w:rPr>
            </w:pPr>
            <w:r w:rsidRPr="00931A99">
              <w:rPr>
                <w:rFonts w:ascii="Times New Roman" w:hAnsi="Times New Roman" w:cs="Times New Roman"/>
                <w:bCs/>
                <w:i/>
                <w:sz w:val="14"/>
                <w:szCs w:val="14"/>
                <w:lang w:eastAsia="sk-SK"/>
              </w:rPr>
              <w:t>157 895 136</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157 895 136</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157 895 136</w:t>
            </w:r>
          </w:p>
        </w:tc>
      </w:tr>
      <w:tr w:rsidR="007D13F3" w:rsidRPr="00C50103" w:rsidTr="00465CAC">
        <w:trPr>
          <w:trHeight w:hRule="exact" w:val="25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B.</w:t>
            </w:r>
          </w:p>
        </w:tc>
        <w:tc>
          <w:tcPr>
            <w:tcW w:w="3531"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b/>
                <w:bCs/>
                <w:i/>
                <w:iCs/>
                <w:sz w:val="14"/>
                <w:szCs w:val="14"/>
                <w:lang w:eastAsia="sk-SK"/>
              </w:rPr>
            </w:pPr>
            <w:r w:rsidRPr="00C50103">
              <w:rPr>
                <w:rFonts w:ascii="Times New Roman" w:hAnsi="Times New Roman" w:cs="Times New Roman"/>
                <w:b/>
                <w:bCs/>
                <w:i/>
                <w:iCs/>
                <w:sz w:val="14"/>
                <w:szCs w:val="14"/>
                <w:lang w:eastAsia="sk-SK"/>
              </w:rPr>
              <w:t>Agentúra na podporu výskumu a vývoja MŠVVŠ SR</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25 036 055</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27 773 994</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27 963 731</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931A99" w:rsidRDefault="007D13F3" w:rsidP="00465CAC">
            <w:pPr>
              <w:jc w:val="right"/>
              <w:rPr>
                <w:rFonts w:ascii="Times New Roman" w:hAnsi="Times New Roman" w:cs="Times New Roman"/>
                <w:bCs/>
                <w:i/>
                <w:sz w:val="14"/>
                <w:szCs w:val="14"/>
                <w:lang w:eastAsia="sk-SK"/>
              </w:rPr>
            </w:pPr>
            <w:r w:rsidRPr="00931A99">
              <w:rPr>
                <w:rFonts w:ascii="Times New Roman" w:hAnsi="Times New Roman" w:cs="Times New Roman"/>
                <w:bCs/>
                <w:i/>
                <w:sz w:val="14"/>
                <w:szCs w:val="14"/>
                <w:lang w:eastAsia="sk-SK"/>
              </w:rPr>
              <w:t>39 963 731</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931A99" w:rsidRDefault="007D13F3" w:rsidP="00465CAC">
            <w:pPr>
              <w:jc w:val="right"/>
              <w:rPr>
                <w:rFonts w:ascii="Times New Roman" w:hAnsi="Times New Roman" w:cs="Times New Roman"/>
                <w:bCs/>
                <w:i/>
                <w:sz w:val="14"/>
                <w:szCs w:val="14"/>
                <w:lang w:eastAsia="sk-SK"/>
              </w:rPr>
            </w:pPr>
            <w:r>
              <w:rPr>
                <w:rFonts w:ascii="Times New Roman" w:hAnsi="Times New Roman" w:cs="Times New Roman"/>
                <w:bCs/>
                <w:i/>
                <w:sz w:val="14"/>
                <w:szCs w:val="14"/>
                <w:lang w:eastAsia="sk-SK"/>
              </w:rPr>
              <w:t>39</w:t>
            </w:r>
            <w:r w:rsidRPr="00931A99">
              <w:rPr>
                <w:rFonts w:ascii="Times New Roman" w:hAnsi="Times New Roman" w:cs="Times New Roman"/>
                <w:bCs/>
                <w:i/>
                <w:sz w:val="14"/>
                <w:szCs w:val="14"/>
                <w:lang w:eastAsia="sk-SK"/>
              </w:rPr>
              <w:t xml:space="preserve"> 963 731</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27 963 731</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27 963 731</w:t>
            </w:r>
          </w:p>
        </w:tc>
      </w:tr>
      <w:tr w:rsidR="007D13F3" w:rsidRPr="00C50103" w:rsidTr="00465CAC">
        <w:trPr>
          <w:trHeight w:hRule="exact" w:val="25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C.</w:t>
            </w:r>
          </w:p>
        </w:tc>
        <w:tc>
          <w:tcPr>
            <w:tcW w:w="3531"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b/>
                <w:bCs/>
                <w:i/>
                <w:iCs/>
                <w:sz w:val="14"/>
                <w:szCs w:val="14"/>
                <w:lang w:eastAsia="sk-SK"/>
              </w:rPr>
            </w:pPr>
            <w:r w:rsidRPr="00C50103">
              <w:rPr>
                <w:rFonts w:ascii="Times New Roman" w:hAnsi="Times New Roman" w:cs="Times New Roman"/>
                <w:b/>
                <w:bCs/>
                <w:i/>
                <w:iCs/>
                <w:sz w:val="14"/>
                <w:szCs w:val="14"/>
                <w:lang w:eastAsia="sk-SK"/>
              </w:rPr>
              <w:t xml:space="preserve">Členské príspevky </w:t>
            </w:r>
            <w:proofErr w:type="spellStart"/>
            <w:r w:rsidRPr="00C50103">
              <w:rPr>
                <w:rFonts w:ascii="Times New Roman" w:hAnsi="Times New Roman" w:cs="Times New Roman"/>
                <w:b/>
                <w:bCs/>
                <w:i/>
                <w:iCs/>
                <w:sz w:val="14"/>
                <w:szCs w:val="14"/>
                <w:lang w:eastAsia="sk-SK"/>
              </w:rPr>
              <w:t>medzinárod</w:t>
            </w:r>
            <w:proofErr w:type="spellEnd"/>
            <w:r w:rsidRPr="00C50103">
              <w:rPr>
                <w:rFonts w:ascii="Times New Roman" w:hAnsi="Times New Roman" w:cs="Times New Roman"/>
                <w:b/>
                <w:bCs/>
                <w:i/>
                <w:iCs/>
                <w:sz w:val="14"/>
                <w:szCs w:val="14"/>
                <w:lang w:eastAsia="sk-SK"/>
              </w:rPr>
              <w:t xml:space="preserve">. </w:t>
            </w:r>
            <w:proofErr w:type="spellStart"/>
            <w:r w:rsidRPr="00C50103">
              <w:rPr>
                <w:rFonts w:ascii="Times New Roman" w:hAnsi="Times New Roman" w:cs="Times New Roman"/>
                <w:b/>
                <w:bCs/>
                <w:i/>
                <w:iCs/>
                <w:sz w:val="14"/>
                <w:szCs w:val="14"/>
                <w:lang w:eastAsia="sk-SK"/>
              </w:rPr>
              <w:t>organizác</w:t>
            </w:r>
            <w:proofErr w:type="spellEnd"/>
            <w:r w:rsidRPr="00C50103">
              <w:rPr>
                <w:rFonts w:ascii="Times New Roman" w:hAnsi="Times New Roman" w:cs="Times New Roman"/>
                <w:b/>
                <w:bCs/>
                <w:i/>
                <w:iCs/>
                <w:sz w:val="14"/>
                <w:szCs w:val="14"/>
                <w:lang w:eastAsia="sk-SK"/>
              </w:rPr>
              <w:t>. v MŠVVŠ SR</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11 146 718</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10 407 576</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9 096 718</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931A99" w:rsidRDefault="007D13F3" w:rsidP="00465CAC">
            <w:pPr>
              <w:jc w:val="right"/>
              <w:rPr>
                <w:rFonts w:ascii="Times New Roman" w:hAnsi="Times New Roman" w:cs="Times New Roman"/>
                <w:bCs/>
                <w:i/>
                <w:sz w:val="14"/>
                <w:szCs w:val="14"/>
                <w:lang w:eastAsia="sk-SK"/>
              </w:rPr>
            </w:pPr>
            <w:r w:rsidRPr="00931A99">
              <w:rPr>
                <w:rFonts w:ascii="Times New Roman" w:hAnsi="Times New Roman" w:cs="Times New Roman"/>
                <w:bCs/>
                <w:i/>
                <w:sz w:val="14"/>
                <w:szCs w:val="14"/>
                <w:lang w:eastAsia="sk-SK"/>
              </w:rPr>
              <w:t>350 386 484</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931A99" w:rsidRDefault="007D13F3" w:rsidP="00465CAC">
            <w:pPr>
              <w:jc w:val="right"/>
              <w:rPr>
                <w:rFonts w:ascii="Times New Roman" w:hAnsi="Times New Roman" w:cs="Times New Roman"/>
                <w:bCs/>
                <w:i/>
                <w:sz w:val="14"/>
                <w:szCs w:val="14"/>
                <w:lang w:eastAsia="sk-SK"/>
              </w:rPr>
            </w:pPr>
            <w:r w:rsidRPr="00931A99">
              <w:rPr>
                <w:rFonts w:ascii="Times New Roman" w:hAnsi="Times New Roman" w:cs="Times New Roman"/>
                <w:bCs/>
                <w:i/>
                <w:sz w:val="14"/>
                <w:szCs w:val="14"/>
                <w:lang w:eastAsia="sk-SK"/>
              </w:rPr>
              <w:t>9 096 718</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9 096 718</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9 096 718</w:t>
            </w:r>
          </w:p>
        </w:tc>
      </w:tr>
      <w:tr w:rsidR="007D13F3" w:rsidRPr="00C50103" w:rsidTr="00465CAC">
        <w:trPr>
          <w:trHeight w:hRule="exact" w:val="25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i/>
                <w:iCs/>
                <w:sz w:val="14"/>
                <w:szCs w:val="14"/>
                <w:lang w:eastAsia="sk-SK"/>
              </w:rPr>
            </w:pPr>
            <w:r w:rsidRPr="00C50103">
              <w:rPr>
                <w:rFonts w:ascii="Times New Roman" w:hAnsi="Times New Roman" w:cs="Times New Roman"/>
                <w:i/>
                <w:iCs/>
                <w:sz w:val="14"/>
                <w:szCs w:val="14"/>
                <w:lang w:eastAsia="sk-SK"/>
              </w:rPr>
              <w:t>D.</w:t>
            </w:r>
          </w:p>
        </w:tc>
        <w:tc>
          <w:tcPr>
            <w:tcW w:w="3531"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b/>
                <w:bCs/>
                <w:i/>
                <w:iCs/>
                <w:sz w:val="14"/>
                <w:szCs w:val="14"/>
                <w:lang w:eastAsia="sk-SK"/>
              </w:rPr>
            </w:pPr>
            <w:r w:rsidRPr="00C50103">
              <w:rPr>
                <w:rFonts w:ascii="Times New Roman" w:hAnsi="Times New Roman" w:cs="Times New Roman"/>
                <w:b/>
                <w:bCs/>
                <w:i/>
                <w:iCs/>
                <w:sz w:val="14"/>
                <w:szCs w:val="14"/>
                <w:lang w:eastAsia="sk-SK"/>
              </w:rPr>
              <w:t>Ostatné výdavky na vedu a techniku v MŠVVŠ SR</w:t>
            </w:r>
            <w:r w:rsidR="00202892">
              <w:rPr>
                <w:rFonts w:ascii="Times New Roman" w:hAnsi="Times New Roman" w:cs="Times New Roman"/>
                <w:b/>
                <w:bCs/>
                <w:i/>
                <w:iCs/>
                <w:sz w:val="14"/>
                <w:szCs w:val="14"/>
                <w:lang w:eastAsia="sk-SK"/>
              </w:rPr>
              <w:t>,</w:t>
            </w:r>
            <w:r w:rsidRPr="00C50103">
              <w:rPr>
                <w:rFonts w:ascii="Times New Roman" w:hAnsi="Times New Roman" w:cs="Times New Roman"/>
                <w:b/>
                <w:bCs/>
                <w:i/>
                <w:iCs/>
                <w:sz w:val="14"/>
                <w:szCs w:val="14"/>
                <w:lang w:eastAsia="sk-SK"/>
              </w:rPr>
              <w:t xml:space="preserve"> z toho:</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i/>
                <w:iCs/>
                <w:sz w:val="14"/>
                <w:szCs w:val="14"/>
                <w:lang w:eastAsia="sk-SK"/>
              </w:rPr>
            </w:pPr>
            <w:r w:rsidRPr="00C50103">
              <w:rPr>
                <w:rFonts w:ascii="Times New Roman" w:hAnsi="Times New Roman" w:cs="Times New Roman"/>
                <w:b/>
                <w:bCs/>
                <w:i/>
                <w:iCs/>
                <w:sz w:val="14"/>
                <w:szCs w:val="14"/>
                <w:lang w:eastAsia="sk-SK"/>
              </w:rPr>
              <w:t>18 014 567</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i/>
                <w:iCs/>
                <w:sz w:val="14"/>
                <w:szCs w:val="14"/>
                <w:lang w:eastAsia="sk-SK"/>
              </w:rPr>
            </w:pPr>
            <w:r w:rsidRPr="00C50103">
              <w:rPr>
                <w:rFonts w:ascii="Times New Roman" w:hAnsi="Times New Roman" w:cs="Times New Roman"/>
                <w:b/>
                <w:bCs/>
                <w:i/>
                <w:iCs/>
                <w:sz w:val="14"/>
                <w:szCs w:val="14"/>
                <w:lang w:eastAsia="sk-SK"/>
              </w:rPr>
              <w:t>22 457 302</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i/>
                <w:iCs/>
                <w:sz w:val="14"/>
                <w:szCs w:val="14"/>
                <w:lang w:eastAsia="sk-SK"/>
              </w:rPr>
            </w:pPr>
            <w:r w:rsidRPr="00C50103">
              <w:rPr>
                <w:rFonts w:ascii="Times New Roman" w:hAnsi="Times New Roman" w:cs="Times New Roman"/>
                <w:b/>
                <w:bCs/>
                <w:i/>
                <w:iCs/>
                <w:sz w:val="14"/>
                <w:szCs w:val="14"/>
                <w:lang w:eastAsia="sk-SK"/>
              </w:rPr>
              <w:t>15 213 530</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6B5FFE" w:rsidRDefault="007D13F3" w:rsidP="00465CAC">
            <w:pPr>
              <w:jc w:val="right"/>
              <w:rPr>
                <w:rFonts w:ascii="Times New Roman" w:hAnsi="Times New Roman" w:cs="Times New Roman"/>
                <w:b/>
                <w:i/>
                <w:iCs/>
                <w:sz w:val="14"/>
                <w:szCs w:val="14"/>
                <w:lang w:eastAsia="sk-SK"/>
              </w:rPr>
            </w:pPr>
            <w:r w:rsidRPr="006B5FFE">
              <w:rPr>
                <w:rFonts w:ascii="Times New Roman" w:hAnsi="Times New Roman" w:cs="Times New Roman"/>
                <w:b/>
                <w:i/>
                <w:iCs/>
                <w:sz w:val="14"/>
                <w:szCs w:val="14"/>
                <w:lang w:eastAsia="sk-SK"/>
              </w:rPr>
              <w:t>29 265 668</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6B5FFE" w:rsidRDefault="007D13F3" w:rsidP="00465CAC">
            <w:pPr>
              <w:jc w:val="right"/>
              <w:rPr>
                <w:rFonts w:ascii="Times New Roman" w:hAnsi="Times New Roman" w:cs="Times New Roman"/>
                <w:b/>
                <w:i/>
                <w:iCs/>
                <w:sz w:val="14"/>
                <w:szCs w:val="14"/>
                <w:lang w:eastAsia="sk-SK"/>
              </w:rPr>
            </w:pPr>
            <w:r w:rsidRPr="006B5FFE">
              <w:rPr>
                <w:rFonts w:ascii="Times New Roman" w:hAnsi="Times New Roman" w:cs="Times New Roman"/>
                <w:b/>
                <w:i/>
                <w:iCs/>
                <w:sz w:val="14"/>
                <w:szCs w:val="14"/>
                <w:lang w:eastAsia="sk-SK"/>
              </w:rPr>
              <w:t>29 265 668</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i/>
                <w:iCs/>
                <w:sz w:val="14"/>
                <w:szCs w:val="14"/>
                <w:lang w:eastAsia="sk-SK"/>
              </w:rPr>
            </w:pPr>
            <w:r w:rsidRPr="00C50103">
              <w:rPr>
                <w:rFonts w:ascii="Times New Roman" w:hAnsi="Times New Roman" w:cs="Times New Roman"/>
                <w:b/>
                <w:bCs/>
                <w:i/>
                <w:iCs/>
                <w:sz w:val="14"/>
                <w:szCs w:val="14"/>
                <w:lang w:eastAsia="sk-SK"/>
              </w:rPr>
              <w:t>18 197 668</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i/>
                <w:iCs/>
                <w:sz w:val="14"/>
                <w:szCs w:val="14"/>
                <w:lang w:eastAsia="sk-SK"/>
              </w:rPr>
            </w:pPr>
            <w:r w:rsidRPr="00C50103">
              <w:rPr>
                <w:rFonts w:ascii="Times New Roman" w:hAnsi="Times New Roman" w:cs="Times New Roman"/>
                <w:b/>
                <w:bCs/>
                <w:i/>
                <w:iCs/>
                <w:sz w:val="14"/>
                <w:szCs w:val="14"/>
                <w:lang w:eastAsia="sk-SK"/>
              </w:rPr>
              <w:t>16 597 668</w:t>
            </w:r>
          </w:p>
        </w:tc>
      </w:tr>
      <w:tr w:rsidR="007D13F3" w:rsidRPr="00C50103" w:rsidTr="00465CAC">
        <w:trPr>
          <w:trHeight w:hRule="exact" w:val="25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sz w:val="14"/>
                <w:szCs w:val="14"/>
                <w:lang w:eastAsia="sk-SK"/>
              </w:rPr>
            </w:pPr>
            <w:r w:rsidRPr="00C50103">
              <w:rPr>
                <w:rFonts w:ascii="Times New Roman" w:hAnsi="Times New Roman" w:cs="Times New Roman"/>
                <w:sz w:val="14"/>
                <w:szCs w:val="14"/>
                <w:lang w:eastAsia="sk-SK"/>
              </w:rPr>
              <w:t> </w:t>
            </w:r>
          </w:p>
        </w:tc>
        <w:tc>
          <w:tcPr>
            <w:tcW w:w="3531"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sz w:val="14"/>
                <w:szCs w:val="14"/>
                <w:lang w:eastAsia="sk-SK"/>
              </w:rPr>
            </w:pPr>
            <w:r w:rsidRPr="00C50103">
              <w:rPr>
                <w:rFonts w:ascii="Times New Roman" w:hAnsi="Times New Roman" w:cs="Times New Roman"/>
                <w:sz w:val="14"/>
                <w:szCs w:val="14"/>
                <w:lang w:eastAsia="sk-SK"/>
              </w:rPr>
              <w:t xml:space="preserve">            1. CVTI príspevková organizácia</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4 893 373</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8 150 632</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3 936 411</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6B5FFE" w:rsidRDefault="007D13F3" w:rsidP="00465CAC">
            <w:pPr>
              <w:jc w:val="right"/>
              <w:rPr>
                <w:rFonts w:ascii="Times New Roman" w:hAnsi="Times New Roman" w:cs="Times New Roman"/>
                <w:i/>
                <w:iCs/>
                <w:sz w:val="14"/>
                <w:szCs w:val="14"/>
                <w:lang w:eastAsia="sk-SK"/>
              </w:rPr>
            </w:pPr>
            <w:r w:rsidRPr="006B5FFE">
              <w:rPr>
                <w:rFonts w:ascii="Times New Roman" w:hAnsi="Times New Roman" w:cs="Times New Roman"/>
                <w:i/>
                <w:iCs/>
                <w:sz w:val="14"/>
                <w:szCs w:val="14"/>
                <w:lang w:eastAsia="sk-SK"/>
              </w:rPr>
              <w:t>3 976 186</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6B5FFE" w:rsidRDefault="007D13F3" w:rsidP="00465CAC">
            <w:pPr>
              <w:jc w:val="right"/>
              <w:rPr>
                <w:rFonts w:ascii="Times New Roman" w:hAnsi="Times New Roman" w:cs="Times New Roman"/>
                <w:i/>
                <w:iCs/>
                <w:sz w:val="14"/>
                <w:szCs w:val="14"/>
                <w:lang w:eastAsia="sk-SK"/>
              </w:rPr>
            </w:pPr>
            <w:r w:rsidRPr="006B5FFE">
              <w:rPr>
                <w:rFonts w:ascii="Times New Roman" w:hAnsi="Times New Roman" w:cs="Times New Roman"/>
                <w:i/>
                <w:iCs/>
                <w:sz w:val="14"/>
                <w:szCs w:val="14"/>
                <w:lang w:eastAsia="sk-SK"/>
              </w:rPr>
              <w:t>3 976 186</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3 976 186</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3 976 186</w:t>
            </w:r>
          </w:p>
        </w:tc>
      </w:tr>
      <w:tr w:rsidR="007D13F3" w:rsidRPr="00C50103" w:rsidTr="00465CAC">
        <w:trPr>
          <w:trHeight w:hRule="exact" w:val="25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sz w:val="14"/>
                <w:szCs w:val="14"/>
                <w:lang w:eastAsia="sk-SK"/>
              </w:rPr>
            </w:pPr>
            <w:r w:rsidRPr="00C50103">
              <w:rPr>
                <w:rFonts w:ascii="Times New Roman" w:hAnsi="Times New Roman" w:cs="Times New Roman"/>
                <w:sz w:val="14"/>
                <w:szCs w:val="14"/>
                <w:lang w:eastAsia="sk-SK"/>
              </w:rPr>
              <w:t> </w:t>
            </w:r>
          </w:p>
        </w:tc>
        <w:tc>
          <w:tcPr>
            <w:tcW w:w="3531"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sz w:val="14"/>
                <w:szCs w:val="14"/>
                <w:lang w:eastAsia="sk-SK"/>
              </w:rPr>
            </w:pPr>
            <w:r w:rsidRPr="00C50103">
              <w:rPr>
                <w:rFonts w:ascii="Times New Roman" w:hAnsi="Times New Roman" w:cs="Times New Roman"/>
                <w:sz w:val="14"/>
                <w:szCs w:val="14"/>
                <w:lang w:eastAsia="sk-SK"/>
              </w:rPr>
              <w:t xml:space="preserve">             2. APVV prevádzka</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1 253 884</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1 502 128</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1 372 837</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6B5FFE" w:rsidRDefault="007D13F3" w:rsidP="00465CAC">
            <w:pPr>
              <w:jc w:val="right"/>
              <w:rPr>
                <w:rFonts w:ascii="Times New Roman" w:hAnsi="Times New Roman" w:cs="Times New Roman"/>
                <w:i/>
                <w:iCs/>
                <w:sz w:val="14"/>
                <w:szCs w:val="14"/>
                <w:lang w:eastAsia="sk-SK"/>
              </w:rPr>
            </w:pPr>
            <w:r w:rsidRPr="006B5FFE">
              <w:rPr>
                <w:rFonts w:ascii="Times New Roman" w:hAnsi="Times New Roman" w:cs="Times New Roman"/>
                <w:i/>
                <w:iCs/>
                <w:sz w:val="14"/>
                <w:szCs w:val="14"/>
                <w:lang w:eastAsia="sk-SK"/>
              </w:rPr>
              <w:t>1 405 347</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6B5FFE" w:rsidRDefault="007D13F3" w:rsidP="00465CAC">
            <w:pPr>
              <w:jc w:val="right"/>
              <w:rPr>
                <w:rFonts w:ascii="Times New Roman" w:hAnsi="Times New Roman" w:cs="Times New Roman"/>
                <w:i/>
                <w:iCs/>
                <w:sz w:val="14"/>
                <w:szCs w:val="14"/>
                <w:lang w:eastAsia="sk-SK"/>
              </w:rPr>
            </w:pPr>
            <w:r w:rsidRPr="006B5FFE">
              <w:rPr>
                <w:rFonts w:ascii="Times New Roman" w:hAnsi="Times New Roman" w:cs="Times New Roman"/>
                <w:i/>
                <w:iCs/>
                <w:sz w:val="14"/>
                <w:szCs w:val="14"/>
                <w:lang w:eastAsia="sk-SK"/>
              </w:rPr>
              <w:t>1 405 347</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1 405 347</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1 405 347</w:t>
            </w:r>
          </w:p>
        </w:tc>
      </w:tr>
      <w:tr w:rsidR="007D13F3" w:rsidRPr="00C50103" w:rsidTr="00465CAC">
        <w:trPr>
          <w:trHeight w:hRule="exact" w:val="25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sz w:val="14"/>
                <w:szCs w:val="14"/>
                <w:lang w:eastAsia="sk-SK"/>
              </w:rPr>
            </w:pPr>
            <w:r w:rsidRPr="00C50103">
              <w:rPr>
                <w:rFonts w:ascii="Times New Roman" w:hAnsi="Times New Roman" w:cs="Times New Roman"/>
                <w:sz w:val="14"/>
                <w:szCs w:val="14"/>
                <w:lang w:eastAsia="sk-SK"/>
              </w:rPr>
              <w:t> </w:t>
            </w:r>
          </w:p>
        </w:tc>
        <w:tc>
          <w:tcPr>
            <w:tcW w:w="3531"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sz w:val="14"/>
                <w:szCs w:val="14"/>
                <w:lang w:eastAsia="sk-SK"/>
              </w:rPr>
            </w:pPr>
            <w:r w:rsidRPr="00C50103">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w:t>
            </w:r>
            <w:r w:rsidRPr="00C50103">
              <w:rPr>
                <w:rFonts w:ascii="Times New Roman" w:hAnsi="Times New Roman" w:cs="Times New Roman"/>
                <w:sz w:val="14"/>
                <w:szCs w:val="14"/>
                <w:lang w:eastAsia="sk-SK"/>
              </w:rPr>
              <w:t>3. Koordinácia prierezových aktivít ŠVT politiky</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8 564 348</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9 197 027</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6 616 894</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6B5FFE" w:rsidRDefault="007D13F3" w:rsidP="00465CAC">
            <w:pPr>
              <w:jc w:val="right"/>
              <w:rPr>
                <w:rFonts w:ascii="Times New Roman" w:hAnsi="Times New Roman" w:cs="Times New Roman"/>
                <w:i/>
                <w:iCs/>
                <w:sz w:val="14"/>
                <w:szCs w:val="14"/>
                <w:lang w:eastAsia="sk-SK"/>
              </w:rPr>
            </w:pPr>
            <w:r w:rsidRPr="006B5FFE">
              <w:rPr>
                <w:rFonts w:ascii="Times New Roman" w:hAnsi="Times New Roman" w:cs="Times New Roman"/>
                <w:i/>
                <w:iCs/>
                <w:sz w:val="14"/>
                <w:szCs w:val="14"/>
                <w:lang w:eastAsia="sk-SK"/>
              </w:rPr>
              <w:t>20 069 894</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6B5FFE" w:rsidRDefault="007D13F3" w:rsidP="00465CAC">
            <w:pPr>
              <w:jc w:val="right"/>
              <w:rPr>
                <w:rFonts w:ascii="Times New Roman" w:hAnsi="Times New Roman" w:cs="Times New Roman"/>
                <w:i/>
                <w:iCs/>
                <w:sz w:val="14"/>
                <w:szCs w:val="14"/>
                <w:lang w:eastAsia="sk-SK"/>
              </w:rPr>
            </w:pPr>
            <w:r w:rsidRPr="006B5FFE">
              <w:rPr>
                <w:rFonts w:ascii="Times New Roman" w:hAnsi="Times New Roman" w:cs="Times New Roman"/>
                <w:i/>
                <w:iCs/>
                <w:sz w:val="14"/>
                <w:szCs w:val="14"/>
                <w:lang w:eastAsia="sk-SK"/>
              </w:rPr>
              <w:t>20 069 894</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9 001 894</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7 401 894</w:t>
            </w:r>
          </w:p>
        </w:tc>
      </w:tr>
      <w:tr w:rsidR="007D13F3" w:rsidRPr="00C50103" w:rsidTr="00465CAC">
        <w:trPr>
          <w:trHeight w:hRule="exact" w:val="25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sz w:val="14"/>
                <w:szCs w:val="14"/>
                <w:lang w:eastAsia="sk-SK"/>
              </w:rPr>
            </w:pPr>
            <w:r w:rsidRPr="00C50103">
              <w:rPr>
                <w:rFonts w:ascii="Times New Roman" w:hAnsi="Times New Roman" w:cs="Times New Roman"/>
                <w:sz w:val="14"/>
                <w:szCs w:val="14"/>
                <w:lang w:eastAsia="sk-SK"/>
              </w:rPr>
              <w:t> </w:t>
            </w:r>
          </w:p>
        </w:tc>
        <w:tc>
          <w:tcPr>
            <w:tcW w:w="3531"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sz w:val="14"/>
                <w:szCs w:val="14"/>
                <w:lang w:eastAsia="sk-SK"/>
              </w:rPr>
            </w:pPr>
            <w:r w:rsidRPr="00C50103">
              <w:rPr>
                <w:rFonts w:ascii="Times New Roman" w:hAnsi="Times New Roman" w:cs="Times New Roman"/>
                <w:sz w:val="14"/>
                <w:szCs w:val="14"/>
                <w:lang w:eastAsia="sk-SK"/>
              </w:rPr>
              <w:t xml:space="preserve">             4. Výskum v ostatných štát. organizáciách</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3 218 609</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3 521 221</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3 196 049</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6B5FFE" w:rsidRDefault="007D13F3" w:rsidP="00465CAC">
            <w:pPr>
              <w:jc w:val="right"/>
              <w:rPr>
                <w:rFonts w:ascii="Times New Roman" w:hAnsi="Times New Roman" w:cs="Times New Roman"/>
                <w:i/>
                <w:iCs/>
                <w:sz w:val="14"/>
                <w:szCs w:val="14"/>
                <w:lang w:eastAsia="sk-SK"/>
              </w:rPr>
            </w:pPr>
            <w:r w:rsidRPr="006B5FFE">
              <w:rPr>
                <w:rFonts w:ascii="Times New Roman" w:hAnsi="Times New Roman" w:cs="Times New Roman"/>
                <w:i/>
                <w:iCs/>
                <w:sz w:val="14"/>
                <w:szCs w:val="14"/>
                <w:lang w:eastAsia="sk-SK"/>
              </w:rPr>
              <w:t>3 715 346</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6B5FFE" w:rsidRDefault="007D13F3" w:rsidP="00465CAC">
            <w:pPr>
              <w:jc w:val="right"/>
              <w:rPr>
                <w:rFonts w:ascii="Times New Roman" w:hAnsi="Times New Roman" w:cs="Times New Roman"/>
                <w:i/>
                <w:iCs/>
                <w:sz w:val="14"/>
                <w:szCs w:val="14"/>
                <w:lang w:eastAsia="sk-SK"/>
              </w:rPr>
            </w:pPr>
            <w:r w:rsidRPr="006B5FFE">
              <w:rPr>
                <w:rFonts w:ascii="Times New Roman" w:hAnsi="Times New Roman" w:cs="Times New Roman"/>
                <w:i/>
                <w:iCs/>
                <w:sz w:val="14"/>
                <w:szCs w:val="14"/>
                <w:lang w:eastAsia="sk-SK"/>
              </w:rPr>
              <w:t>3 715 346</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3 715 346</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3 715 346</w:t>
            </w:r>
          </w:p>
        </w:tc>
      </w:tr>
      <w:tr w:rsidR="007D13F3" w:rsidRPr="00C50103" w:rsidTr="00465CAC">
        <w:trPr>
          <w:trHeight w:hRule="exact" w:val="255"/>
        </w:trPr>
        <w:tc>
          <w:tcPr>
            <w:tcW w:w="284" w:type="dxa"/>
            <w:tcBorders>
              <w:top w:val="nil"/>
              <w:left w:val="single" w:sz="4" w:space="0" w:color="auto"/>
              <w:bottom w:val="single" w:sz="4" w:space="0" w:color="auto"/>
              <w:right w:val="nil"/>
            </w:tcBorders>
            <w:shd w:val="clear" w:color="auto" w:fill="auto"/>
            <w:noWrap/>
            <w:vAlign w:val="bottom"/>
            <w:hideMark/>
          </w:tcPr>
          <w:p w:rsidR="007D13F3" w:rsidRPr="00C50103" w:rsidRDefault="007D13F3" w:rsidP="00465CAC">
            <w:pPr>
              <w:rPr>
                <w:rFonts w:ascii="Times New Roman" w:hAnsi="Times New Roman" w:cs="Times New Roman"/>
                <w:sz w:val="14"/>
                <w:szCs w:val="14"/>
                <w:lang w:eastAsia="sk-SK"/>
              </w:rPr>
            </w:pPr>
            <w:r w:rsidRPr="00C50103">
              <w:rPr>
                <w:rFonts w:ascii="Times New Roman" w:hAnsi="Times New Roman" w:cs="Times New Roman"/>
                <w:sz w:val="14"/>
                <w:szCs w:val="14"/>
                <w:lang w:eastAsia="sk-SK"/>
              </w:rPr>
              <w:t> </w:t>
            </w:r>
          </w:p>
        </w:tc>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sz w:val="14"/>
                <w:szCs w:val="14"/>
                <w:lang w:eastAsia="sk-SK"/>
              </w:rPr>
            </w:pPr>
            <w:r w:rsidRPr="00C50103">
              <w:rPr>
                <w:rFonts w:ascii="Times New Roman" w:hAnsi="Times New Roman" w:cs="Times New Roman"/>
                <w:sz w:val="14"/>
                <w:szCs w:val="14"/>
                <w:lang w:eastAsia="sk-SK"/>
              </w:rPr>
              <w:t xml:space="preserve">             5. Slovenský historický ústav v Ríme</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84 353</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86 294</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86 840</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6B5FFE" w:rsidRDefault="007D13F3" w:rsidP="00465CAC">
            <w:pPr>
              <w:jc w:val="right"/>
              <w:rPr>
                <w:rFonts w:ascii="Times New Roman" w:hAnsi="Times New Roman" w:cs="Times New Roman"/>
                <w:i/>
                <w:iCs/>
                <w:sz w:val="14"/>
                <w:szCs w:val="14"/>
                <w:lang w:eastAsia="sk-SK"/>
              </w:rPr>
            </w:pPr>
            <w:r w:rsidRPr="006B5FFE">
              <w:rPr>
                <w:rFonts w:ascii="Times New Roman" w:hAnsi="Times New Roman" w:cs="Times New Roman"/>
                <w:i/>
                <w:iCs/>
                <w:sz w:val="14"/>
                <w:szCs w:val="14"/>
                <w:lang w:eastAsia="sk-SK"/>
              </w:rPr>
              <w:t>88 566</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6B5FFE" w:rsidRDefault="007D13F3" w:rsidP="00465CAC">
            <w:pPr>
              <w:jc w:val="right"/>
              <w:rPr>
                <w:rFonts w:ascii="Times New Roman" w:hAnsi="Times New Roman" w:cs="Times New Roman"/>
                <w:i/>
                <w:iCs/>
                <w:sz w:val="14"/>
                <w:szCs w:val="14"/>
                <w:lang w:eastAsia="sk-SK"/>
              </w:rPr>
            </w:pPr>
            <w:r w:rsidRPr="006B5FFE">
              <w:rPr>
                <w:rFonts w:ascii="Times New Roman" w:hAnsi="Times New Roman" w:cs="Times New Roman"/>
                <w:i/>
                <w:iCs/>
                <w:sz w:val="14"/>
                <w:szCs w:val="14"/>
                <w:lang w:eastAsia="sk-SK"/>
              </w:rPr>
              <w:t>88 566</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88 566</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88 566</w:t>
            </w:r>
          </w:p>
        </w:tc>
      </w:tr>
      <w:tr w:rsidR="007D13F3" w:rsidRPr="00C50103" w:rsidTr="00465CAC">
        <w:trPr>
          <w:trHeight w:hRule="exact" w:val="255"/>
        </w:trPr>
        <w:tc>
          <w:tcPr>
            <w:tcW w:w="284" w:type="dxa"/>
            <w:tcBorders>
              <w:top w:val="nil"/>
              <w:left w:val="single" w:sz="4" w:space="0" w:color="auto"/>
              <w:bottom w:val="single" w:sz="4" w:space="0" w:color="auto"/>
              <w:right w:val="nil"/>
            </w:tcBorders>
            <w:shd w:val="clear" w:color="auto" w:fill="auto"/>
            <w:noWrap/>
            <w:vAlign w:val="bottom"/>
            <w:hideMark/>
          </w:tcPr>
          <w:p w:rsidR="007D13F3" w:rsidRPr="00C50103" w:rsidRDefault="007D13F3" w:rsidP="00465CAC">
            <w:pPr>
              <w:rPr>
                <w:rFonts w:ascii="Times New Roman" w:hAnsi="Times New Roman" w:cs="Times New Roman"/>
                <w:sz w:val="14"/>
                <w:szCs w:val="14"/>
                <w:lang w:eastAsia="sk-SK"/>
              </w:rPr>
            </w:pPr>
            <w:r w:rsidRPr="00C50103">
              <w:rPr>
                <w:rFonts w:ascii="Times New Roman" w:hAnsi="Times New Roman" w:cs="Times New Roman"/>
                <w:sz w:val="14"/>
                <w:szCs w:val="14"/>
                <w:lang w:eastAsia="sk-SK"/>
              </w:rPr>
              <w:t> </w:t>
            </w:r>
          </w:p>
        </w:tc>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sz w:val="14"/>
                <w:szCs w:val="14"/>
                <w:lang w:eastAsia="sk-SK"/>
              </w:rPr>
            </w:pPr>
            <w:r w:rsidRPr="00C50103">
              <w:rPr>
                <w:rFonts w:ascii="Times New Roman" w:hAnsi="Times New Roman" w:cs="Times New Roman"/>
                <w:sz w:val="14"/>
                <w:szCs w:val="14"/>
                <w:lang w:eastAsia="sk-SK"/>
              </w:rPr>
              <w:t xml:space="preserve">              6. Informačné technológie</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0</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0</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4 499</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6B5FFE" w:rsidRDefault="007D13F3" w:rsidP="00465CAC">
            <w:pPr>
              <w:jc w:val="right"/>
              <w:rPr>
                <w:rFonts w:ascii="Times New Roman" w:hAnsi="Times New Roman" w:cs="Times New Roman"/>
                <w:i/>
                <w:iCs/>
                <w:sz w:val="14"/>
                <w:szCs w:val="14"/>
                <w:lang w:eastAsia="sk-SK"/>
              </w:rPr>
            </w:pPr>
            <w:r w:rsidRPr="006B5FFE">
              <w:rPr>
                <w:rFonts w:ascii="Times New Roman" w:hAnsi="Times New Roman" w:cs="Times New Roman"/>
                <w:i/>
                <w:iCs/>
                <w:sz w:val="14"/>
                <w:szCs w:val="14"/>
                <w:lang w:eastAsia="sk-SK"/>
              </w:rPr>
              <w:t>10 329</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6B5FFE" w:rsidRDefault="007D13F3" w:rsidP="00465CAC">
            <w:pPr>
              <w:jc w:val="right"/>
              <w:rPr>
                <w:rFonts w:ascii="Times New Roman" w:hAnsi="Times New Roman" w:cs="Times New Roman"/>
                <w:i/>
                <w:iCs/>
                <w:sz w:val="14"/>
                <w:szCs w:val="14"/>
                <w:lang w:eastAsia="sk-SK"/>
              </w:rPr>
            </w:pPr>
            <w:r w:rsidRPr="006B5FFE">
              <w:rPr>
                <w:rFonts w:ascii="Times New Roman" w:hAnsi="Times New Roman" w:cs="Times New Roman"/>
                <w:i/>
                <w:iCs/>
                <w:sz w:val="14"/>
                <w:szCs w:val="14"/>
                <w:lang w:eastAsia="sk-SK"/>
              </w:rPr>
              <w:t>10 329</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10 329</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sz w:val="14"/>
                <w:szCs w:val="14"/>
                <w:lang w:eastAsia="sk-SK"/>
              </w:rPr>
            </w:pPr>
            <w:r w:rsidRPr="00C50103">
              <w:rPr>
                <w:rFonts w:ascii="Times New Roman" w:hAnsi="Times New Roman" w:cs="Times New Roman"/>
                <w:sz w:val="14"/>
                <w:szCs w:val="14"/>
                <w:lang w:eastAsia="sk-SK"/>
              </w:rPr>
              <w:t>10 329</w:t>
            </w:r>
          </w:p>
        </w:tc>
      </w:tr>
      <w:tr w:rsidR="007D13F3" w:rsidRPr="00C50103" w:rsidTr="00465CAC">
        <w:trPr>
          <w:trHeight w:hRule="exact" w:val="386"/>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b/>
                <w:bCs/>
                <w:i/>
                <w:iCs/>
                <w:sz w:val="14"/>
                <w:szCs w:val="14"/>
                <w:lang w:eastAsia="sk-SK"/>
              </w:rPr>
            </w:pPr>
            <w:r w:rsidRPr="00C50103">
              <w:rPr>
                <w:rFonts w:ascii="Times New Roman" w:hAnsi="Times New Roman" w:cs="Times New Roman"/>
                <w:b/>
                <w:bCs/>
                <w:i/>
                <w:iCs/>
                <w:sz w:val="14"/>
                <w:szCs w:val="14"/>
                <w:lang w:eastAsia="sk-SK"/>
              </w:rPr>
              <w:t>E.</w:t>
            </w:r>
          </w:p>
        </w:tc>
        <w:tc>
          <w:tcPr>
            <w:tcW w:w="3531"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Prostriedky  EÚ a spolufinancovanie  zo ŠR v MŠVVŠ SR</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372 394 102</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35 422 517</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54 505 530</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6B5FFE" w:rsidRDefault="007D13F3" w:rsidP="00465CAC">
            <w:pPr>
              <w:jc w:val="right"/>
              <w:rPr>
                <w:rFonts w:ascii="Times New Roman" w:hAnsi="Times New Roman" w:cs="Times New Roman"/>
                <w:b/>
                <w:bCs/>
                <w:sz w:val="14"/>
                <w:szCs w:val="14"/>
                <w:lang w:eastAsia="sk-SK"/>
              </w:rPr>
            </w:pPr>
            <w:r w:rsidRPr="006B5FFE">
              <w:rPr>
                <w:rFonts w:ascii="Times New Roman" w:hAnsi="Times New Roman" w:cs="Times New Roman"/>
                <w:b/>
                <w:bCs/>
                <w:sz w:val="14"/>
                <w:szCs w:val="14"/>
                <w:lang w:eastAsia="sk-SK"/>
              </w:rPr>
              <w:t>33 579 453</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33 579 453</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203 610 755</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231 792 185</w:t>
            </w:r>
          </w:p>
        </w:tc>
      </w:tr>
      <w:tr w:rsidR="007D13F3" w:rsidRPr="00C50103" w:rsidTr="00465CAC">
        <w:trPr>
          <w:trHeight w:hRule="exact" w:val="255"/>
        </w:trPr>
        <w:tc>
          <w:tcPr>
            <w:tcW w:w="38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13F3" w:rsidRPr="00C50103" w:rsidRDefault="007D13F3" w:rsidP="00465CAC">
            <w:pPr>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Slovenská akadémia vied</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122 968 032</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62 031 198</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59 161 023</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63 762 589</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6B5FFE" w:rsidRDefault="007D13F3" w:rsidP="00465CAC">
            <w:pPr>
              <w:jc w:val="right"/>
              <w:rPr>
                <w:rFonts w:ascii="Times New Roman" w:hAnsi="Times New Roman" w:cs="Times New Roman"/>
                <w:b/>
                <w:bCs/>
                <w:sz w:val="14"/>
                <w:szCs w:val="14"/>
                <w:lang w:eastAsia="sk-SK"/>
              </w:rPr>
            </w:pPr>
            <w:r w:rsidRPr="006B5FFE">
              <w:rPr>
                <w:rFonts w:ascii="Times New Roman" w:hAnsi="Times New Roman" w:cs="Times New Roman"/>
                <w:b/>
                <w:bCs/>
                <w:sz w:val="14"/>
                <w:szCs w:val="14"/>
                <w:lang w:eastAsia="sk-SK"/>
              </w:rPr>
              <w:t>63 842 398</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63 840 806</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63 840 806</w:t>
            </w:r>
          </w:p>
        </w:tc>
      </w:tr>
      <w:tr w:rsidR="007D13F3" w:rsidRPr="00C50103" w:rsidTr="00465CAC">
        <w:trPr>
          <w:trHeight w:hRule="exact" w:val="255"/>
        </w:trPr>
        <w:tc>
          <w:tcPr>
            <w:tcW w:w="38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13F3" w:rsidRPr="00C50103" w:rsidRDefault="007D13F3" w:rsidP="00465CAC">
            <w:pPr>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 xml:space="preserve">Rezortná veda </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33 899 901</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16 680 792</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17 784 327</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21 336 173</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16 743 380</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17 107 364</w:t>
            </w:r>
          </w:p>
        </w:tc>
        <w:tc>
          <w:tcPr>
            <w:tcW w:w="849" w:type="dxa"/>
            <w:tcBorders>
              <w:top w:val="nil"/>
              <w:left w:val="nil"/>
              <w:bottom w:val="single" w:sz="4" w:space="0" w:color="auto"/>
              <w:right w:val="single" w:sz="4" w:space="0" w:color="auto"/>
            </w:tcBorders>
            <w:shd w:val="clear" w:color="auto" w:fill="auto"/>
            <w:noWrap/>
            <w:vAlign w:val="bottom"/>
            <w:hideMark/>
          </w:tcPr>
          <w:p w:rsidR="007D13F3" w:rsidRPr="00C50103" w:rsidRDefault="007D13F3" w:rsidP="00465CAC">
            <w:pPr>
              <w:jc w:val="right"/>
              <w:rPr>
                <w:rFonts w:ascii="Times New Roman" w:hAnsi="Times New Roman" w:cs="Times New Roman"/>
                <w:b/>
                <w:bCs/>
                <w:sz w:val="14"/>
                <w:szCs w:val="14"/>
                <w:lang w:eastAsia="sk-SK"/>
              </w:rPr>
            </w:pPr>
            <w:r w:rsidRPr="00C50103">
              <w:rPr>
                <w:rFonts w:ascii="Times New Roman" w:hAnsi="Times New Roman" w:cs="Times New Roman"/>
                <w:b/>
                <w:bCs/>
                <w:sz w:val="14"/>
                <w:szCs w:val="14"/>
                <w:lang w:eastAsia="sk-SK"/>
              </w:rPr>
              <w:t>19 905 803</w:t>
            </w:r>
          </w:p>
        </w:tc>
      </w:tr>
    </w:tbl>
    <w:p w:rsidR="007D13F3" w:rsidRPr="00292C16" w:rsidRDefault="007D13F3" w:rsidP="007D13F3">
      <w:pPr>
        <w:spacing w:after="200" w:line="276" w:lineRule="auto"/>
        <w:contextualSpacing/>
        <w:jc w:val="both"/>
        <w:rPr>
          <w:rFonts w:ascii="Times New Roman" w:hAnsi="Times New Roman" w:cs="Times New Roman"/>
          <w:b/>
          <w:szCs w:val="36"/>
          <w:highlight w:val="yellow"/>
        </w:rPr>
      </w:pPr>
    </w:p>
    <w:p w:rsidR="007D13F3" w:rsidRDefault="007D13F3" w:rsidP="007D13F3">
      <w:pPr>
        <w:spacing w:after="200"/>
        <w:ind w:firstLine="708"/>
        <w:contextualSpacing/>
        <w:jc w:val="both"/>
        <w:rPr>
          <w:rFonts w:ascii="Times New Roman" w:hAnsi="Times New Roman" w:cs="Times New Roman"/>
        </w:rPr>
      </w:pPr>
      <w:r w:rsidRPr="007E674F">
        <w:rPr>
          <w:rFonts w:ascii="Times New Roman" w:hAnsi="Times New Roman" w:cs="Times New Roman"/>
        </w:rPr>
        <w:t>Verejné výdavky na vedu a techniku v roku 2018 sa rozpočtujú  vo výške 3</w:t>
      </w:r>
      <w:r>
        <w:rPr>
          <w:rFonts w:ascii="Times New Roman" w:hAnsi="Times New Roman" w:cs="Times New Roman"/>
        </w:rPr>
        <w:t>50</w:t>
      </w:r>
      <w:r w:rsidRPr="007E674F">
        <w:rPr>
          <w:rFonts w:ascii="Times New Roman" w:hAnsi="Times New Roman" w:cs="Times New Roman"/>
        </w:rPr>
        <w:t xml:space="preserve"> mil. eur, čo predstavuje nárast oproti schválenému rozpočtu roku 2017 o</w:t>
      </w:r>
      <w:r>
        <w:rPr>
          <w:rFonts w:ascii="Times New Roman" w:hAnsi="Times New Roman" w:cs="Times New Roman"/>
        </w:rPr>
        <w:t> 14,7</w:t>
      </w:r>
      <w:r w:rsidRPr="007E674F">
        <w:rPr>
          <w:rFonts w:ascii="Times New Roman" w:hAnsi="Times New Roman" w:cs="Times New Roman"/>
        </w:rPr>
        <w:t xml:space="preserve"> mil. eur (o </w:t>
      </w:r>
      <w:r>
        <w:rPr>
          <w:rFonts w:ascii="Times New Roman" w:hAnsi="Times New Roman" w:cs="Times New Roman"/>
        </w:rPr>
        <w:t>4,39</w:t>
      </w:r>
      <w:r w:rsidR="00202892">
        <w:rPr>
          <w:rFonts w:ascii="Times New Roman" w:hAnsi="Times New Roman" w:cs="Times New Roman"/>
        </w:rPr>
        <w:t xml:space="preserve"> </w:t>
      </w:r>
      <w:r w:rsidRPr="007E674F">
        <w:rPr>
          <w:rFonts w:ascii="Times New Roman" w:hAnsi="Times New Roman" w:cs="Times New Roman"/>
        </w:rPr>
        <w:t>%).</w:t>
      </w:r>
    </w:p>
    <w:p w:rsidR="007D13F3" w:rsidRPr="00933EB3" w:rsidRDefault="007D13F3" w:rsidP="007D13F3">
      <w:pPr>
        <w:spacing w:after="200"/>
        <w:ind w:firstLine="708"/>
        <w:contextualSpacing/>
        <w:jc w:val="both"/>
        <w:rPr>
          <w:rFonts w:ascii="Times New Roman" w:hAnsi="Times New Roman" w:cs="Times New Roman"/>
        </w:rPr>
      </w:pPr>
    </w:p>
    <w:p w:rsidR="007D13F3" w:rsidRPr="00933EB3" w:rsidRDefault="007D13F3" w:rsidP="007D13F3">
      <w:pPr>
        <w:spacing w:after="200"/>
        <w:ind w:firstLine="708"/>
        <w:contextualSpacing/>
        <w:jc w:val="both"/>
        <w:rPr>
          <w:rFonts w:ascii="Times New Roman" w:hAnsi="Times New Roman" w:cs="Times New Roman"/>
        </w:rPr>
      </w:pPr>
      <w:r w:rsidRPr="00933EB3">
        <w:rPr>
          <w:rFonts w:ascii="Times New Roman" w:hAnsi="Times New Roman" w:cs="Times New Roman"/>
        </w:rPr>
        <w:t>Celkové výdavky štátneho rozpočtu poskytované MŠVVŠ SR na vedu a techniku medziročne rastú o</w:t>
      </w:r>
      <w:r>
        <w:rPr>
          <w:rFonts w:ascii="Times New Roman" w:hAnsi="Times New Roman" w:cs="Times New Roman"/>
        </w:rPr>
        <w:t> 32,00</w:t>
      </w:r>
      <w:r w:rsidRPr="00933EB3">
        <w:rPr>
          <w:rFonts w:ascii="Times New Roman" w:hAnsi="Times New Roman" w:cs="Times New Roman"/>
        </w:rPr>
        <w:t xml:space="preserve"> mil. eur, t. j. o</w:t>
      </w:r>
      <w:r>
        <w:rPr>
          <w:rFonts w:ascii="Times New Roman" w:hAnsi="Times New Roman" w:cs="Times New Roman"/>
        </w:rPr>
        <w:t> 15,7</w:t>
      </w:r>
      <w:r w:rsidRPr="00933EB3">
        <w:rPr>
          <w:rFonts w:ascii="Times New Roman" w:hAnsi="Times New Roman" w:cs="Times New Roman"/>
        </w:rPr>
        <w:t xml:space="preserve"> %. </w:t>
      </w:r>
    </w:p>
    <w:p w:rsidR="007D13F3" w:rsidRPr="00933EB3" w:rsidRDefault="007D13F3" w:rsidP="007D13F3">
      <w:pPr>
        <w:spacing w:after="200"/>
        <w:contextualSpacing/>
        <w:jc w:val="both"/>
        <w:rPr>
          <w:rFonts w:ascii="Times New Roman" w:hAnsi="Times New Roman" w:cs="Times New Roman"/>
          <w:highlight w:val="yellow"/>
        </w:rPr>
      </w:pPr>
    </w:p>
    <w:p w:rsidR="007D13F3" w:rsidRPr="00933EB3" w:rsidRDefault="007D13F3" w:rsidP="007D13F3">
      <w:pPr>
        <w:spacing w:after="200"/>
        <w:ind w:firstLine="708"/>
        <w:contextualSpacing/>
        <w:jc w:val="both"/>
        <w:rPr>
          <w:rFonts w:ascii="Times New Roman" w:hAnsi="Times New Roman" w:cs="Times New Roman"/>
        </w:rPr>
      </w:pPr>
      <w:r w:rsidRPr="00933EB3">
        <w:rPr>
          <w:rFonts w:ascii="Times New Roman" w:hAnsi="Times New Roman" w:cs="Times New Roman"/>
        </w:rPr>
        <w:t xml:space="preserve">Výdavky MŠVVŠ SR na vedu a techniku sú tvorené hlavne výdavkami na prevádzku a rozvoj infraštruktúry pre vysokoškolský výskum a vývoj vrátane osobných výdavkov pedagogických zamestnancov vysokých škôl, ktorých pracovnou náplňou je aj vedecká činnosť a tiež výdavkami na štipendiá pre doktorandov. Tieto výdavky rastú medziročne </w:t>
      </w:r>
      <w:r w:rsidR="00202892">
        <w:rPr>
          <w:rFonts w:ascii="Times New Roman" w:hAnsi="Times New Roman" w:cs="Times New Roman"/>
        </w:rPr>
        <w:br/>
      </w:r>
      <w:r w:rsidRPr="00933EB3">
        <w:rPr>
          <w:rFonts w:ascii="Times New Roman" w:hAnsi="Times New Roman" w:cs="Times New Roman"/>
        </w:rPr>
        <w:t>o</w:t>
      </w:r>
      <w:r>
        <w:rPr>
          <w:rFonts w:ascii="Times New Roman" w:hAnsi="Times New Roman" w:cs="Times New Roman"/>
        </w:rPr>
        <w:t> 5,97</w:t>
      </w:r>
      <w:r w:rsidRPr="00933EB3">
        <w:rPr>
          <w:rFonts w:ascii="Times New Roman" w:hAnsi="Times New Roman" w:cs="Times New Roman"/>
        </w:rPr>
        <w:t xml:space="preserve"> mil. eur, t. j. o</w:t>
      </w:r>
      <w:r>
        <w:rPr>
          <w:rFonts w:ascii="Times New Roman" w:hAnsi="Times New Roman" w:cs="Times New Roman"/>
        </w:rPr>
        <w:t> 3,93</w:t>
      </w:r>
      <w:r w:rsidRPr="00933EB3">
        <w:rPr>
          <w:rFonts w:ascii="Times New Roman" w:hAnsi="Times New Roman" w:cs="Times New Roman"/>
        </w:rPr>
        <w:t xml:space="preserve"> %.</w:t>
      </w:r>
    </w:p>
    <w:p w:rsidR="007D13F3" w:rsidRPr="00933EB3" w:rsidRDefault="007D13F3" w:rsidP="007D13F3">
      <w:pPr>
        <w:spacing w:after="200"/>
        <w:ind w:firstLine="708"/>
        <w:contextualSpacing/>
        <w:jc w:val="both"/>
        <w:rPr>
          <w:rFonts w:ascii="Times New Roman" w:hAnsi="Times New Roman" w:cs="Times New Roman"/>
        </w:rPr>
      </w:pPr>
    </w:p>
    <w:p w:rsidR="007D13F3" w:rsidRPr="00933EB3" w:rsidRDefault="007D13F3" w:rsidP="007D13F3">
      <w:pPr>
        <w:spacing w:after="200"/>
        <w:ind w:firstLine="708"/>
        <w:contextualSpacing/>
        <w:jc w:val="both"/>
        <w:rPr>
          <w:rFonts w:ascii="Times New Roman" w:hAnsi="Times New Roman" w:cs="Times New Roman"/>
        </w:rPr>
      </w:pPr>
      <w:r w:rsidRPr="00933EB3">
        <w:rPr>
          <w:rFonts w:ascii="Times New Roman" w:hAnsi="Times New Roman" w:cs="Times New Roman"/>
        </w:rPr>
        <w:t xml:space="preserve">Agentúra na podporu výskumu a vývoja predstavuje významnú položku výdavkov na vedu a techniku z MŠVVŠ SR. Jej výdavky sú rozpočtované v sume </w:t>
      </w:r>
      <w:r>
        <w:rPr>
          <w:rFonts w:ascii="Times New Roman" w:hAnsi="Times New Roman" w:cs="Times New Roman"/>
        </w:rPr>
        <w:t xml:space="preserve">40,0 mil. eur, čo je nárast oproti </w:t>
      </w:r>
      <w:r w:rsidRPr="00933EB3">
        <w:rPr>
          <w:rFonts w:ascii="Times New Roman" w:hAnsi="Times New Roman" w:cs="Times New Roman"/>
        </w:rPr>
        <w:t>schválené</w:t>
      </w:r>
      <w:r>
        <w:rPr>
          <w:rFonts w:ascii="Times New Roman" w:hAnsi="Times New Roman" w:cs="Times New Roman"/>
        </w:rPr>
        <w:t>mu</w:t>
      </w:r>
      <w:r w:rsidRPr="00933EB3">
        <w:rPr>
          <w:rFonts w:ascii="Times New Roman" w:hAnsi="Times New Roman" w:cs="Times New Roman"/>
        </w:rPr>
        <w:t xml:space="preserve"> rozpočtu roku  201</w:t>
      </w:r>
      <w:r>
        <w:rPr>
          <w:rFonts w:ascii="Times New Roman" w:hAnsi="Times New Roman" w:cs="Times New Roman"/>
        </w:rPr>
        <w:t>7</w:t>
      </w:r>
      <w:r w:rsidRPr="00933EB3">
        <w:rPr>
          <w:rFonts w:ascii="Times New Roman" w:hAnsi="Times New Roman" w:cs="Times New Roman"/>
        </w:rPr>
        <w:t xml:space="preserve"> </w:t>
      </w:r>
      <w:r>
        <w:rPr>
          <w:rFonts w:ascii="Times New Roman" w:hAnsi="Times New Roman" w:cs="Times New Roman"/>
        </w:rPr>
        <w:t xml:space="preserve">o 12,0 mil. eur, t. j. o 42,9 % </w:t>
      </w:r>
      <w:r w:rsidRPr="00933EB3">
        <w:rPr>
          <w:rFonts w:ascii="Times New Roman" w:hAnsi="Times New Roman" w:cs="Times New Roman"/>
        </w:rPr>
        <w:t>a sú určené na financovanie projektov výskumu</w:t>
      </w:r>
      <w:r>
        <w:rPr>
          <w:rFonts w:ascii="Times New Roman" w:hAnsi="Times New Roman" w:cs="Times New Roman"/>
        </w:rPr>
        <w:t xml:space="preserve"> a vývoja</w:t>
      </w:r>
      <w:r w:rsidRPr="00933EB3">
        <w:rPr>
          <w:rFonts w:ascii="Times New Roman" w:hAnsi="Times New Roman" w:cs="Times New Roman"/>
        </w:rPr>
        <w:t>.</w:t>
      </w:r>
    </w:p>
    <w:p w:rsidR="007D13F3" w:rsidRPr="00933EB3" w:rsidRDefault="007D13F3" w:rsidP="007D13F3">
      <w:pPr>
        <w:spacing w:after="200"/>
        <w:ind w:firstLine="708"/>
        <w:contextualSpacing/>
        <w:jc w:val="both"/>
        <w:rPr>
          <w:rFonts w:ascii="Times New Roman" w:hAnsi="Times New Roman" w:cs="Times New Roman"/>
        </w:rPr>
      </w:pPr>
    </w:p>
    <w:p w:rsidR="007D13F3" w:rsidRPr="00933EB3" w:rsidRDefault="007D13F3" w:rsidP="007D13F3">
      <w:pPr>
        <w:spacing w:after="200"/>
        <w:ind w:firstLine="708"/>
        <w:contextualSpacing/>
        <w:jc w:val="both"/>
        <w:rPr>
          <w:rFonts w:ascii="Times New Roman" w:hAnsi="Times New Roman" w:cs="Times New Roman"/>
        </w:rPr>
      </w:pPr>
      <w:r w:rsidRPr="00933EB3">
        <w:rPr>
          <w:rFonts w:ascii="Times New Roman" w:hAnsi="Times New Roman" w:cs="Times New Roman"/>
        </w:rPr>
        <w:t xml:space="preserve">Ďalším zdrojom financovania vedy a techniky z verejných zdrojov v kapitole MŠVVŠ SR sú aj finančné zdroje zo štrukturálnych fondov EÚ, ktoré sa navrhujú v sume </w:t>
      </w:r>
      <w:r w:rsidRPr="00933EB3">
        <w:rPr>
          <w:rFonts w:ascii="Times New Roman" w:hAnsi="Times New Roman" w:cs="Times New Roman"/>
        </w:rPr>
        <w:br/>
      </w:r>
      <w:r>
        <w:rPr>
          <w:rFonts w:ascii="Times New Roman" w:hAnsi="Times New Roman" w:cs="Times New Roman"/>
        </w:rPr>
        <w:t>33,6</w:t>
      </w:r>
      <w:r w:rsidRPr="00933EB3">
        <w:rPr>
          <w:rFonts w:ascii="Times New Roman" w:hAnsi="Times New Roman" w:cs="Times New Roman"/>
        </w:rPr>
        <w:t xml:space="preserve"> mil. eur.  </w:t>
      </w:r>
      <w:r>
        <w:rPr>
          <w:rFonts w:ascii="Times New Roman" w:hAnsi="Times New Roman" w:cs="Times New Roman"/>
        </w:rPr>
        <w:t>Pokles</w:t>
      </w:r>
      <w:r w:rsidRPr="00933EB3">
        <w:rPr>
          <w:rFonts w:ascii="Times New Roman" w:hAnsi="Times New Roman" w:cs="Times New Roman"/>
        </w:rPr>
        <w:t xml:space="preserve"> týchto zdrojov medziročne predstavuje </w:t>
      </w:r>
      <w:r>
        <w:rPr>
          <w:rFonts w:ascii="Times New Roman" w:hAnsi="Times New Roman" w:cs="Times New Roman"/>
        </w:rPr>
        <w:t>38,4</w:t>
      </w:r>
      <w:r w:rsidRPr="00933EB3">
        <w:rPr>
          <w:rFonts w:ascii="Times New Roman" w:hAnsi="Times New Roman" w:cs="Times New Roman"/>
        </w:rPr>
        <w:t xml:space="preserve"> %. MŠVVŠ SR </w:t>
      </w:r>
      <w:r w:rsidR="00202892">
        <w:rPr>
          <w:rFonts w:ascii="Times New Roman" w:hAnsi="Times New Roman" w:cs="Times New Roman"/>
        </w:rPr>
        <w:t>na</w:t>
      </w:r>
      <w:r w:rsidRPr="00933EB3">
        <w:rPr>
          <w:rFonts w:ascii="Times New Roman" w:hAnsi="Times New Roman" w:cs="Times New Roman"/>
        </w:rPr>
        <w:t xml:space="preserve"> rok 201</w:t>
      </w:r>
      <w:r>
        <w:rPr>
          <w:rFonts w:ascii="Times New Roman" w:hAnsi="Times New Roman" w:cs="Times New Roman"/>
        </w:rPr>
        <w:t>8 má rozpísanú</w:t>
      </w:r>
      <w:r w:rsidRPr="00933EB3">
        <w:rPr>
          <w:rFonts w:ascii="Times New Roman" w:hAnsi="Times New Roman" w:cs="Times New Roman"/>
        </w:rPr>
        <w:t xml:space="preserve"> </w:t>
      </w:r>
      <w:r>
        <w:rPr>
          <w:rFonts w:ascii="Times New Roman" w:hAnsi="Times New Roman" w:cs="Times New Roman"/>
        </w:rPr>
        <w:t>nižšiu alokáciu prostriedkov štrukturálnych fondov vrátane spolufinancovania zo štátneho rozpočtu, čo sa premietlo aj vo vyčlenení výdavkov na vedu a techniku</w:t>
      </w:r>
      <w:r w:rsidRPr="00933EB3">
        <w:rPr>
          <w:rFonts w:ascii="Times New Roman" w:hAnsi="Times New Roman" w:cs="Times New Roman"/>
        </w:rPr>
        <w:t xml:space="preserve">. Okrem toho môžu slovenské subjekty čerpať na vedecké projekty zdroje aj z programu EÚ Horizont 2020. </w:t>
      </w:r>
    </w:p>
    <w:p w:rsidR="007D13F3" w:rsidRPr="00933EB3" w:rsidRDefault="007D13F3" w:rsidP="007D13F3">
      <w:pPr>
        <w:spacing w:after="200"/>
        <w:ind w:firstLine="708"/>
        <w:contextualSpacing/>
        <w:jc w:val="both"/>
        <w:rPr>
          <w:rFonts w:ascii="Times New Roman" w:hAnsi="Times New Roman" w:cs="Times New Roman"/>
        </w:rPr>
      </w:pPr>
    </w:p>
    <w:p w:rsidR="007D13F3" w:rsidRPr="00933EB3" w:rsidRDefault="007D13F3" w:rsidP="007D13F3">
      <w:pPr>
        <w:spacing w:after="200"/>
        <w:ind w:firstLine="708"/>
        <w:contextualSpacing/>
        <w:jc w:val="both"/>
        <w:rPr>
          <w:rFonts w:ascii="Times New Roman" w:hAnsi="Times New Roman" w:cs="Times New Roman"/>
        </w:rPr>
      </w:pPr>
      <w:r w:rsidRPr="00933EB3">
        <w:rPr>
          <w:rFonts w:ascii="Times New Roman" w:hAnsi="Times New Roman" w:cs="Times New Roman"/>
        </w:rPr>
        <w:t xml:space="preserve">Slovenská akadémia vied predstavuje druhú najväčšiu položku z celkovej sumy výdavkov na základný a aplikovaný výskum, a to </w:t>
      </w:r>
      <w:r>
        <w:rPr>
          <w:rFonts w:ascii="Times New Roman" w:hAnsi="Times New Roman" w:cs="Times New Roman"/>
        </w:rPr>
        <w:t>63,8</w:t>
      </w:r>
      <w:r w:rsidRPr="00933EB3">
        <w:rPr>
          <w:rFonts w:ascii="Times New Roman" w:hAnsi="Times New Roman" w:cs="Times New Roman"/>
        </w:rPr>
        <w:t xml:space="preserve"> mil. eur. Nárast výdavkov SAV oprot</w:t>
      </w:r>
      <w:r>
        <w:rPr>
          <w:rFonts w:ascii="Times New Roman" w:hAnsi="Times New Roman" w:cs="Times New Roman"/>
        </w:rPr>
        <w:t>i schválenému rozpočtu roku 2017</w:t>
      </w:r>
      <w:r w:rsidRPr="00933EB3">
        <w:rPr>
          <w:rFonts w:ascii="Times New Roman" w:hAnsi="Times New Roman" w:cs="Times New Roman"/>
        </w:rPr>
        <w:t xml:space="preserve"> je vo výške </w:t>
      </w:r>
      <w:r>
        <w:rPr>
          <w:rFonts w:ascii="Times New Roman" w:hAnsi="Times New Roman" w:cs="Times New Roman"/>
        </w:rPr>
        <w:t>4,68</w:t>
      </w:r>
      <w:r w:rsidRPr="00933EB3">
        <w:rPr>
          <w:rFonts w:ascii="Times New Roman" w:hAnsi="Times New Roman" w:cs="Times New Roman"/>
        </w:rPr>
        <w:t xml:space="preserve"> mil. eur, t. j. o</w:t>
      </w:r>
      <w:r>
        <w:rPr>
          <w:rFonts w:ascii="Times New Roman" w:hAnsi="Times New Roman" w:cs="Times New Roman"/>
        </w:rPr>
        <w:t> 7,91</w:t>
      </w:r>
      <w:r w:rsidRPr="00933EB3">
        <w:rPr>
          <w:rFonts w:ascii="Times New Roman" w:hAnsi="Times New Roman" w:cs="Times New Roman"/>
        </w:rPr>
        <w:t xml:space="preserve"> %. Celkové rozpočtované výdavky SAV sú v objeme 6</w:t>
      </w:r>
      <w:r>
        <w:rPr>
          <w:rFonts w:ascii="Times New Roman" w:hAnsi="Times New Roman" w:cs="Times New Roman"/>
        </w:rPr>
        <w:t>7,1</w:t>
      </w:r>
      <w:r w:rsidRPr="00933EB3">
        <w:rPr>
          <w:rFonts w:ascii="Times New Roman" w:hAnsi="Times New Roman" w:cs="Times New Roman"/>
        </w:rPr>
        <w:t xml:space="preserve"> mil. eur. </w:t>
      </w:r>
    </w:p>
    <w:p w:rsidR="007D13F3" w:rsidRPr="00933EB3" w:rsidRDefault="007D13F3" w:rsidP="007D13F3">
      <w:pPr>
        <w:spacing w:after="200"/>
        <w:contextualSpacing/>
        <w:jc w:val="both"/>
        <w:rPr>
          <w:rFonts w:ascii="Times New Roman" w:hAnsi="Times New Roman" w:cs="Times New Roman"/>
          <w:highlight w:val="yellow"/>
        </w:rPr>
      </w:pPr>
    </w:p>
    <w:p w:rsidR="007D13F3" w:rsidRPr="00933EB3" w:rsidRDefault="007D13F3" w:rsidP="007D13F3">
      <w:pPr>
        <w:spacing w:after="200"/>
        <w:ind w:firstLine="708"/>
        <w:contextualSpacing/>
        <w:jc w:val="both"/>
        <w:rPr>
          <w:rFonts w:ascii="Times New Roman" w:hAnsi="Times New Roman" w:cs="Times New Roman"/>
        </w:rPr>
      </w:pPr>
      <w:r w:rsidRPr="007E674F">
        <w:rPr>
          <w:rFonts w:ascii="Times New Roman" w:hAnsi="Times New Roman" w:cs="Times New Roman"/>
        </w:rPr>
        <w:t xml:space="preserve">Financovanie vedy a techniky je realizované aj ďalšími rezortmi ako sú Ministerstvo obrany SR, Ministerstvo pôdohospodárstva a rozvoja vidieka SR, Ministerstvo dopravy, </w:t>
      </w:r>
      <w:r w:rsidRPr="007E674F">
        <w:rPr>
          <w:rFonts w:ascii="Times New Roman" w:hAnsi="Times New Roman" w:cs="Times New Roman"/>
        </w:rPr>
        <w:lastRenderedPageBreak/>
        <w:t>výstavby a regionálneho rozvoja SR, Úrad jadrového dozoru SR atď. Výdavky na rezortnú vedu a techniku medziročne klesajú o 1,04 mil. eur, t. j. o 5,85 %.</w:t>
      </w:r>
    </w:p>
    <w:p w:rsidR="007D13F3" w:rsidRPr="00933EB3" w:rsidRDefault="007D13F3" w:rsidP="007D13F3">
      <w:pPr>
        <w:spacing w:after="200" w:line="276" w:lineRule="auto"/>
        <w:contextualSpacing/>
        <w:jc w:val="both"/>
        <w:rPr>
          <w:rFonts w:ascii="Times New Roman" w:hAnsi="Times New Roman" w:cs="Times New Roman"/>
          <w:b/>
        </w:rPr>
      </w:pPr>
    </w:p>
    <w:p w:rsidR="007D13F3" w:rsidRDefault="007D13F3" w:rsidP="007D13F3">
      <w:pPr>
        <w:spacing w:after="200" w:line="276" w:lineRule="auto"/>
        <w:contextualSpacing/>
        <w:jc w:val="both"/>
        <w:rPr>
          <w:rFonts w:ascii="Times New Roman" w:hAnsi="Times New Roman" w:cs="Times New Roman"/>
          <w:b/>
        </w:rPr>
      </w:pPr>
      <w:r w:rsidRPr="00933EB3">
        <w:rPr>
          <w:rFonts w:ascii="Times New Roman" w:hAnsi="Times New Roman" w:cs="Times New Roman"/>
          <w:b/>
        </w:rPr>
        <w:t>Šport</w:t>
      </w:r>
    </w:p>
    <w:p w:rsidR="007D13F3" w:rsidRDefault="007D13F3" w:rsidP="007D13F3">
      <w:pPr>
        <w:spacing w:after="200" w:line="276" w:lineRule="auto"/>
        <w:contextualSpacing/>
        <w:jc w:val="both"/>
        <w:rPr>
          <w:rFonts w:ascii="Times New Roman" w:hAnsi="Times New Roman" w:cs="Times New Roman"/>
          <w:b/>
        </w:rPr>
      </w:pPr>
    </w:p>
    <w:tbl>
      <w:tblPr>
        <w:tblW w:w="9208" w:type="dxa"/>
        <w:tblCellMar>
          <w:left w:w="70" w:type="dxa"/>
          <w:right w:w="70" w:type="dxa"/>
        </w:tblCellMar>
        <w:tblLook w:val="04A0" w:firstRow="1" w:lastRow="0" w:firstColumn="1" w:lastColumn="0" w:noHBand="0" w:noVBand="1"/>
      </w:tblPr>
      <w:tblGrid>
        <w:gridCol w:w="3536"/>
        <w:gridCol w:w="779"/>
        <w:gridCol w:w="780"/>
        <w:gridCol w:w="851"/>
        <w:gridCol w:w="851"/>
        <w:gridCol w:w="851"/>
        <w:gridCol w:w="780"/>
        <w:gridCol w:w="780"/>
      </w:tblGrid>
      <w:tr w:rsidR="007D13F3" w:rsidRPr="004A3B43" w:rsidTr="00465CAC">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4A3B43" w:rsidRDefault="007D13F3" w:rsidP="00465CAC">
            <w:pPr>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000000" w:fill="auto"/>
            <w:noWrap/>
            <w:vAlign w:val="center"/>
            <w:hideMark/>
          </w:tcPr>
          <w:p w:rsidR="007D13F3" w:rsidRPr="004A3B43" w:rsidRDefault="007D13F3" w:rsidP="00465CAC">
            <w:pPr>
              <w:jc w:val="center"/>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2015 S</w:t>
            </w:r>
          </w:p>
        </w:tc>
        <w:tc>
          <w:tcPr>
            <w:tcW w:w="0" w:type="auto"/>
            <w:tcBorders>
              <w:top w:val="single" w:sz="4" w:space="0" w:color="auto"/>
              <w:left w:val="nil"/>
              <w:bottom w:val="single" w:sz="4" w:space="0" w:color="auto"/>
              <w:right w:val="single" w:sz="4" w:space="0" w:color="auto"/>
            </w:tcBorders>
            <w:shd w:val="pct35" w:color="000000" w:fill="auto"/>
            <w:noWrap/>
            <w:vAlign w:val="center"/>
            <w:hideMark/>
          </w:tcPr>
          <w:p w:rsidR="007D13F3" w:rsidRPr="004A3B43" w:rsidRDefault="007D13F3" w:rsidP="00465CAC">
            <w:pPr>
              <w:jc w:val="center"/>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2016 S</w:t>
            </w:r>
          </w:p>
        </w:tc>
        <w:tc>
          <w:tcPr>
            <w:tcW w:w="0" w:type="auto"/>
            <w:tcBorders>
              <w:top w:val="single" w:sz="4" w:space="0" w:color="auto"/>
              <w:left w:val="nil"/>
              <w:bottom w:val="single" w:sz="4" w:space="0" w:color="auto"/>
              <w:right w:val="single" w:sz="4" w:space="0" w:color="auto"/>
            </w:tcBorders>
            <w:shd w:val="pct35" w:color="000000" w:fill="auto"/>
            <w:noWrap/>
            <w:vAlign w:val="center"/>
            <w:hideMark/>
          </w:tcPr>
          <w:p w:rsidR="007D13F3" w:rsidRPr="004A3B43" w:rsidRDefault="007D13F3" w:rsidP="00465CAC">
            <w:pPr>
              <w:jc w:val="center"/>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2017 R</w:t>
            </w:r>
          </w:p>
        </w:tc>
        <w:tc>
          <w:tcPr>
            <w:tcW w:w="0" w:type="auto"/>
            <w:tcBorders>
              <w:top w:val="single" w:sz="4" w:space="0" w:color="auto"/>
              <w:left w:val="nil"/>
              <w:bottom w:val="single" w:sz="4" w:space="0" w:color="auto"/>
              <w:right w:val="single" w:sz="4" w:space="0" w:color="auto"/>
            </w:tcBorders>
            <w:shd w:val="pct35" w:color="000000" w:fill="auto"/>
            <w:noWrap/>
            <w:vAlign w:val="center"/>
            <w:hideMark/>
          </w:tcPr>
          <w:p w:rsidR="007D13F3" w:rsidRPr="004A3B43" w:rsidRDefault="007D13F3" w:rsidP="00465CAC">
            <w:pPr>
              <w:jc w:val="center"/>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2017 OS</w:t>
            </w:r>
          </w:p>
        </w:tc>
        <w:tc>
          <w:tcPr>
            <w:tcW w:w="0" w:type="auto"/>
            <w:tcBorders>
              <w:top w:val="single" w:sz="4" w:space="0" w:color="auto"/>
              <w:left w:val="nil"/>
              <w:bottom w:val="single" w:sz="4" w:space="0" w:color="auto"/>
              <w:right w:val="single" w:sz="4" w:space="0" w:color="auto"/>
            </w:tcBorders>
            <w:shd w:val="pct35" w:color="000000" w:fill="auto"/>
            <w:noWrap/>
            <w:vAlign w:val="center"/>
            <w:hideMark/>
          </w:tcPr>
          <w:p w:rsidR="007D13F3" w:rsidRPr="004A3B43" w:rsidRDefault="007D13F3" w:rsidP="00465CAC">
            <w:pPr>
              <w:jc w:val="center"/>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2018 N</w:t>
            </w:r>
          </w:p>
        </w:tc>
        <w:tc>
          <w:tcPr>
            <w:tcW w:w="0" w:type="auto"/>
            <w:tcBorders>
              <w:top w:val="single" w:sz="4" w:space="0" w:color="auto"/>
              <w:left w:val="nil"/>
              <w:bottom w:val="single" w:sz="4" w:space="0" w:color="auto"/>
              <w:right w:val="single" w:sz="4" w:space="0" w:color="auto"/>
            </w:tcBorders>
            <w:shd w:val="pct35" w:color="000000" w:fill="auto"/>
            <w:noWrap/>
            <w:vAlign w:val="center"/>
            <w:hideMark/>
          </w:tcPr>
          <w:p w:rsidR="007D13F3" w:rsidRPr="004A3B43" w:rsidRDefault="007D13F3" w:rsidP="00465CAC">
            <w:pPr>
              <w:jc w:val="center"/>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2019 N</w:t>
            </w:r>
          </w:p>
        </w:tc>
        <w:tc>
          <w:tcPr>
            <w:tcW w:w="0" w:type="auto"/>
            <w:tcBorders>
              <w:top w:val="single" w:sz="4" w:space="0" w:color="auto"/>
              <w:left w:val="nil"/>
              <w:bottom w:val="single" w:sz="4" w:space="0" w:color="auto"/>
              <w:right w:val="single" w:sz="4" w:space="0" w:color="auto"/>
            </w:tcBorders>
            <w:shd w:val="pct35" w:color="000000" w:fill="auto"/>
            <w:noWrap/>
            <w:vAlign w:val="center"/>
            <w:hideMark/>
          </w:tcPr>
          <w:p w:rsidR="007D13F3" w:rsidRPr="004A3B43" w:rsidRDefault="007D13F3" w:rsidP="00465CAC">
            <w:pPr>
              <w:jc w:val="center"/>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2020 N</w:t>
            </w:r>
          </w:p>
        </w:tc>
      </w:tr>
      <w:tr w:rsidR="007D13F3" w:rsidRPr="004A3B43" w:rsidTr="00465CAC">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4A3B43" w:rsidRDefault="007D13F3" w:rsidP="00465CAC">
            <w:pPr>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Zdroje štátneho rozpočtu</w:t>
            </w:r>
          </w:p>
        </w:tc>
        <w:tc>
          <w:tcPr>
            <w:tcW w:w="0" w:type="auto"/>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46 825 717</w:t>
            </w:r>
          </w:p>
        </w:tc>
        <w:tc>
          <w:tcPr>
            <w:tcW w:w="0" w:type="auto"/>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56 107 614</w:t>
            </w:r>
          </w:p>
        </w:tc>
        <w:tc>
          <w:tcPr>
            <w:tcW w:w="0" w:type="auto"/>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101 941 494</w:t>
            </w:r>
          </w:p>
        </w:tc>
        <w:tc>
          <w:tcPr>
            <w:tcW w:w="0" w:type="auto"/>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102 297 674</w:t>
            </w:r>
          </w:p>
        </w:tc>
        <w:tc>
          <w:tcPr>
            <w:tcW w:w="0" w:type="auto"/>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132 706 543</w:t>
            </w:r>
          </w:p>
        </w:tc>
        <w:tc>
          <w:tcPr>
            <w:tcW w:w="0" w:type="auto"/>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80 204 708</w:t>
            </w:r>
          </w:p>
        </w:tc>
        <w:tc>
          <w:tcPr>
            <w:tcW w:w="0" w:type="auto"/>
            <w:tcBorders>
              <w:top w:val="single" w:sz="4" w:space="0" w:color="auto"/>
              <w:left w:val="nil"/>
              <w:bottom w:val="single" w:sz="4" w:space="0" w:color="auto"/>
              <w:right w:val="single" w:sz="4" w:space="0" w:color="auto"/>
            </w:tcBorders>
            <w:shd w:val="pct25" w:color="000000" w:fill="auto"/>
            <w:noWrap/>
            <w:vAlign w:val="bottom"/>
            <w:hideMark/>
          </w:tcPr>
          <w:p w:rsidR="007D13F3" w:rsidRPr="004A3B43" w:rsidRDefault="007D13F3" w:rsidP="00465CAC">
            <w:pPr>
              <w:jc w:val="right"/>
              <w:rPr>
                <w:rFonts w:ascii="Times New Roman" w:hAnsi="Times New Roman" w:cs="Times New Roman"/>
                <w:b/>
                <w:bCs/>
                <w:sz w:val="14"/>
                <w:szCs w:val="14"/>
                <w:lang w:eastAsia="sk-SK"/>
              </w:rPr>
            </w:pPr>
            <w:r w:rsidRPr="004A3B43">
              <w:rPr>
                <w:rFonts w:ascii="Times New Roman" w:hAnsi="Times New Roman" w:cs="Times New Roman"/>
                <w:b/>
                <w:bCs/>
                <w:sz w:val="14"/>
                <w:szCs w:val="14"/>
                <w:lang w:eastAsia="sk-SK"/>
              </w:rPr>
              <w:t>80 666 068</w:t>
            </w:r>
          </w:p>
        </w:tc>
      </w:tr>
      <w:tr w:rsidR="007D13F3" w:rsidRPr="004A3B43" w:rsidTr="00465CAC">
        <w:trPr>
          <w:trHeight w:hRule="exac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D13F3" w:rsidRPr="004A3B43" w:rsidRDefault="007D13F3" w:rsidP="00465CAC">
            <w:pPr>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Ministerstvo školstva, vedy, výskumu a športu SR</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38 903 446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48 406 319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94 613 961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94 576 669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125 082 210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71 842 210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72 142 210</w:t>
            </w:r>
          </w:p>
        </w:tc>
      </w:tr>
      <w:tr w:rsidR="007D13F3" w:rsidRPr="004A3B43" w:rsidTr="00465CAC">
        <w:trPr>
          <w:trHeight w:hRule="exac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D13F3" w:rsidRPr="004A3B43" w:rsidRDefault="007D13F3" w:rsidP="00465CAC">
            <w:pPr>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z toho: rekonštrukcie a modernizácie futbalových štadiónov</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4 500 000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4 500 000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37 000 000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15 250 000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4 500 000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4 500 000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4 500 000</w:t>
            </w:r>
          </w:p>
        </w:tc>
      </w:tr>
      <w:tr w:rsidR="007D13F3" w:rsidRPr="004A3B43" w:rsidTr="00465CAC">
        <w:trPr>
          <w:trHeight w:hRule="exac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D13F3" w:rsidRPr="004A3B43" w:rsidRDefault="007D13F3" w:rsidP="00465CAC">
            <w:pPr>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 xml:space="preserve">              Národný futbalový štadión</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10 569 558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10 569 558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63 040 000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0</w:t>
            </w:r>
          </w:p>
        </w:tc>
      </w:tr>
      <w:tr w:rsidR="007D13F3" w:rsidRPr="004A3B43" w:rsidTr="00465CAC">
        <w:trPr>
          <w:trHeight w:hRule="exac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D13F3" w:rsidRPr="004A3B43" w:rsidRDefault="007D13F3" w:rsidP="00465CAC">
            <w:pPr>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 xml:space="preserve">             ostatný šport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34 403 446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43 906 319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47 044 403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68 757 111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57 542 210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67 342 210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67 642 210</w:t>
            </w:r>
          </w:p>
        </w:tc>
      </w:tr>
      <w:tr w:rsidR="007D13F3" w:rsidRPr="004A3B43" w:rsidTr="00465CAC">
        <w:trPr>
          <w:trHeight w:hRule="exac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D13F3" w:rsidRPr="004A3B43" w:rsidRDefault="007D13F3" w:rsidP="00465CAC">
            <w:pPr>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Ministerstvo obrany SR</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5 484 441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4 903 900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5 089 905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5 203 445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5 169 144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5 907 309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6 068 669</w:t>
            </w:r>
          </w:p>
        </w:tc>
      </w:tr>
      <w:tr w:rsidR="007D13F3" w:rsidRPr="004A3B43" w:rsidTr="00465CAC">
        <w:trPr>
          <w:trHeight w:hRule="exac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7D13F3" w:rsidRPr="004A3B43" w:rsidRDefault="007D13F3" w:rsidP="00465CAC">
            <w:pPr>
              <w:rPr>
                <w:rFonts w:ascii="Times New Roman" w:hAnsi="Times New Roman" w:cs="Times New Roman"/>
                <w:color w:val="000000"/>
                <w:sz w:val="14"/>
                <w:szCs w:val="14"/>
                <w:lang w:eastAsia="sk-SK"/>
              </w:rPr>
            </w:pPr>
            <w:r w:rsidRPr="004A3B43">
              <w:rPr>
                <w:rFonts w:ascii="Times New Roman" w:hAnsi="Times New Roman" w:cs="Times New Roman"/>
                <w:color w:val="000000"/>
                <w:sz w:val="14"/>
                <w:szCs w:val="14"/>
                <w:lang w:eastAsia="sk-SK"/>
              </w:rPr>
              <w:t>Ministerstvo vnútra SR</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2 437 830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2 797 395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2 237 628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2 517 560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2 455 189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2 455 189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4A3B43" w:rsidRDefault="007D13F3" w:rsidP="00465CAC">
            <w:pPr>
              <w:jc w:val="right"/>
              <w:rPr>
                <w:rFonts w:ascii="Times New Roman" w:hAnsi="Times New Roman" w:cs="Times New Roman"/>
                <w:sz w:val="14"/>
                <w:szCs w:val="14"/>
                <w:lang w:eastAsia="sk-SK"/>
              </w:rPr>
            </w:pPr>
            <w:r w:rsidRPr="004A3B43">
              <w:rPr>
                <w:rFonts w:ascii="Times New Roman" w:hAnsi="Times New Roman" w:cs="Times New Roman"/>
                <w:sz w:val="14"/>
                <w:szCs w:val="14"/>
                <w:lang w:eastAsia="sk-SK"/>
              </w:rPr>
              <w:t>2 455 189</w:t>
            </w:r>
          </w:p>
        </w:tc>
      </w:tr>
    </w:tbl>
    <w:p w:rsidR="007D13F3" w:rsidRPr="00292C16" w:rsidRDefault="007D13F3" w:rsidP="007D13F3">
      <w:pPr>
        <w:spacing w:after="200" w:line="276" w:lineRule="auto"/>
        <w:contextualSpacing/>
        <w:jc w:val="both"/>
        <w:rPr>
          <w:rFonts w:ascii="Times New Roman" w:hAnsi="Times New Roman" w:cs="Times New Roman"/>
          <w:b/>
          <w:szCs w:val="36"/>
          <w:highlight w:val="yellow"/>
        </w:rPr>
      </w:pPr>
    </w:p>
    <w:p w:rsidR="007D13F3" w:rsidRPr="00933EB3" w:rsidRDefault="007D13F3" w:rsidP="007D13F3">
      <w:pPr>
        <w:spacing w:after="200"/>
        <w:ind w:firstLine="708"/>
        <w:contextualSpacing/>
        <w:jc w:val="both"/>
        <w:rPr>
          <w:rFonts w:ascii="Times New Roman" w:hAnsi="Times New Roman" w:cs="Times New Roman"/>
        </w:rPr>
      </w:pPr>
      <w:r w:rsidRPr="00933EB3">
        <w:rPr>
          <w:rFonts w:ascii="Times New Roman" w:hAnsi="Times New Roman" w:cs="Times New Roman"/>
        </w:rPr>
        <w:t>Celkové výdavky na podporu športu v roku 201</w:t>
      </w:r>
      <w:r>
        <w:rPr>
          <w:rFonts w:ascii="Times New Roman" w:hAnsi="Times New Roman" w:cs="Times New Roman"/>
        </w:rPr>
        <w:t>8</w:t>
      </w:r>
      <w:r w:rsidRPr="00933EB3">
        <w:rPr>
          <w:rFonts w:ascii="Times New Roman" w:hAnsi="Times New Roman" w:cs="Times New Roman"/>
        </w:rPr>
        <w:t xml:space="preserve"> oprot</w:t>
      </w:r>
      <w:r>
        <w:rPr>
          <w:rFonts w:ascii="Times New Roman" w:hAnsi="Times New Roman" w:cs="Times New Roman"/>
        </w:rPr>
        <w:t>i schválenému rozpočtu roku 2017</w:t>
      </w:r>
      <w:r w:rsidRPr="00933EB3">
        <w:rPr>
          <w:rFonts w:ascii="Times New Roman" w:hAnsi="Times New Roman" w:cs="Times New Roman"/>
        </w:rPr>
        <w:t xml:space="preserve"> rastú o</w:t>
      </w:r>
      <w:r>
        <w:rPr>
          <w:rFonts w:ascii="Times New Roman" w:hAnsi="Times New Roman" w:cs="Times New Roman"/>
        </w:rPr>
        <w:t> 30,8</w:t>
      </w:r>
      <w:r w:rsidRPr="00933EB3">
        <w:rPr>
          <w:rFonts w:ascii="Times New Roman" w:hAnsi="Times New Roman" w:cs="Times New Roman"/>
        </w:rPr>
        <w:t xml:space="preserve"> mil. eur, t. j. o</w:t>
      </w:r>
      <w:r>
        <w:rPr>
          <w:rFonts w:ascii="Times New Roman" w:hAnsi="Times New Roman" w:cs="Times New Roman"/>
        </w:rPr>
        <w:t> 30,2</w:t>
      </w:r>
      <w:r w:rsidRPr="00933EB3">
        <w:rPr>
          <w:rFonts w:ascii="Times New Roman" w:hAnsi="Times New Roman" w:cs="Times New Roman"/>
        </w:rPr>
        <w:t xml:space="preserve"> %.</w:t>
      </w:r>
    </w:p>
    <w:p w:rsidR="007D13F3" w:rsidRPr="00933EB3" w:rsidRDefault="007D13F3" w:rsidP="007D13F3">
      <w:pPr>
        <w:spacing w:after="200"/>
        <w:contextualSpacing/>
        <w:jc w:val="both"/>
        <w:rPr>
          <w:rFonts w:ascii="Times New Roman" w:hAnsi="Times New Roman" w:cs="Times New Roman"/>
          <w:highlight w:val="yellow"/>
        </w:rPr>
      </w:pPr>
    </w:p>
    <w:p w:rsidR="007D13F3" w:rsidRDefault="007D13F3" w:rsidP="007D13F3">
      <w:pPr>
        <w:ind w:firstLine="709"/>
        <w:jc w:val="both"/>
        <w:rPr>
          <w:rFonts w:ascii="Times New Roman" w:hAnsi="Times New Roman" w:cs="Times New Roman"/>
        </w:rPr>
      </w:pPr>
      <w:r w:rsidRPr="00933EB3">
        <w:rPr>
          <w:rFonts w:ascii="Times New Roman" w:hAnsi="Times New Roman" w:cs="Times New Roman"/>
        </w:rPr>
        <w:t>Výdavky na podporu športu poskytované MŠVVŠ SR v roku 201</w:t>
      </w:r>
      <w:r>
        <w:rPr>
          <w:rFonts w:ascii="Times New Roman" w:hAnsi="Times New Roman" w:cs="Times New Roman"/>
        </w:rPr>
        <w:t>8</w:t>
      </w:r>
      <w:r w:rsidRPr="00933EB3">
        <w:rPr>
          <w:rFonts w:ascii="Times New Roman" w:hAnsi="Times New Roman" w:cs="Times New Roman"/>
        </w:rPr>
        <w:t xml:space="preserve"> rastú medziročne o</w:t>
      </w:r>
      <w:r>
        <w:rPr>
          <w:rFonts w:ascii="Times New Roman" w:hAnsi="Times New Roman" w:cs="Times New Roman"/>
        </w:rPr>
        <w:t> 30,5</w:t>
      </w:r>
      <w:r w:rsidRPr="00933EB3">
        <w:rPr>
          <w:rFonts w:ascii="Times New Roman" w:hAnsi="Times New Roman" w:cs="Times New Roman"/>
        </w:rPr>
        <w:t xml:space="preserve"> mil. eur, t. j. o</w:t>
      </w:r>
      <w:r>
        <w:rPr>
          <w:rFonts w:ascii="Times New Roman" w:hAnsi="Times New Roman" w:cs="Times New Roman"/>
        </w:rPr>
        <w:t> 32,2</w:t>
      </w:r>
      <w:r w:rsidRPr="00933EB3">
        <w:rPr>
          <w:rFonts w:ascii="Times New Roman" w:hAnsi="Times New Roman" w:cs="Times New Roman"/>
        </w:rPr>
        <w:t xml:space="preserve"> %. Zvýšenie výdavkov je ovplyvnené prijat</w:t>
      </w:r>
      <w:r>
        <w:rPr>
          <w:rFonts w:ascii="Times New Roman" w:hAnsi="Times New Roman" w:cs="Times New Roman"/>
        </w:rPr>
        <w:t>ím</w:t>
      </w:r>
      <w:r w:rsidRPr="00933EB3">
        <w:rPr>
          <w:rFonts w:ascii="Times New Roman" w:hAnsi="Times New Roman" w:cs="Times New Roman"/>
        </w:rPr>
        <w:t xml:space="preserve"> zákona o</w:t>
      </w:r>
      <w:r>
        <w:rPr>
          <w:rFonts w:ascii="Times New Roman" w:hAnsi="Times New Roman" w:cs="Times New Roman"/>
        </w:rPr>
        <w:t> </w:t>
      </w:r>
      <w:r w:rsidRPr="00933EB3">
        <w:rPr>
          <w:rFonts w:ascii="Times New Roman" w:hAnsi="Times New Roman" w:cs="Times New Roman"/>
        </w:rPr>
        <w:t>športe</w:t>
      </w:r>
      <w:r>
        <w:rPr>
          <w:rFonts w:ascii="Times New Roman" w:hAnsi="Times New Roman" w:cs="Times New Roman"/>
        </w:rPr>
        <w:t>.</w:t>
      </w:r>
      <w:r w:rsidRPr="00933EB3">
        <w:rPr>
          <w:rFonts w:ascii="Times New Roman" w:hAnsi="Times New Roman" w:cs="Times New Roman"/>
        </w:rPr>
        <w:t> Nárast je z dôvodu, že v roku 201</w:t>
      </w:r>
      <w:r>
        <w:rPr>
          <w:rFonts w:ascii="Times New Roman" w:hAnsi="Times New Roman" w:cs="Times New Roman"/>
        </w:rPr>
        <w:t>8</w:t>
      </w:r>
      <w:r w:rsidRPr="00933EB3">
        <w:rPr>
          <w:rFonts w:ascii="Times New Roman" w:hAnsi="Times New Roman" w:cs="Times New Roman"/>
        </w:rPr>
        <w:t xml:space="preserve"> sú zapracované zvýšené výdavky z odvodu z prevádzkovania lotériových hier vo výške </w:t>
      </w:r>
      <w:r>
        <w:rPr>
          <w:rFonts w:ascii="Times New Roman" w:hAnsi="Times New Roman" w:cs="Times New Roman"/>
        </w:rPr>
        <w:t>75</w:t>
      </w:r>
      <w:r w:rsidRPr="00933EB3">
        <w:rPr>
          <w:rFonts w:ascii="Times New Roman" w:hAnsi="Times New Roman" w:cs="Times New Roman"/>
        </w:rPr>
        <w:t xml:space="preserve"> % v</w:t>
      </w:r>
      <w:r>
        <w:rPr>
          <w:rFonts w:ascii="Times New Roman" w:hAnsi="Times New Roman" w:cs="Times New Roman"/>
        </w:rPr>
        <w:t> </w:t>
      </w:r>
      <w:r w:rsidRPr="00933EB3">
        <w:rPr>
          <w:rFonts w:ascii="Times New Roman" w:hAnsi="Times New Roman" w:cs="Times New Roman"/>
        </w:rPr>
        <w:t>zmysle</w:t>
      </w:r>
      <w:r>
        <w:rPr>
          <w:rFonts w:ascii="Times New Roman" w:hAnsi="Times New Roman" w:cs="Times New Roman"/>
        </w:rPr>
        <w:t xml:space="preserve"> § 77 ods. 1 písm. b)</w:t>
      </w:r>
      <w:r w:rsidRPr="00933EB3">
        <w:rPr>
          <w:rFonts w:ascii="Times New Roman" w:hAnsi="Times New Roman" w:cs="Times New Roman"/>
        </w:rPr>
        <w:t xml:space="preserve"> zákona </w:t>
      </w:r>
      <w:r w:rsidR="00202892">
        <w:rPr>
          <w:rFonts w:ascii="Times New Roman" w:hAnsi="Times New Roman" w:cs="Times New Roman"/>
        </w:rPr>
        <w:br/>
      </w:r>
      <w:r w:rsidRPr="00933EB3">
        <w:rPr>
          <w:rFonts w:ascii="Times New Roman" w:hAnsi="Times New Roman" w:cs="Times New Roman"/>
        </w:rPr>
        <w:t>č. 440/2015 Z. z. o športe a zmene a doplnení niektorých zákonov</w:t>
      </w:r>
      <w:r>
        <w:rPr>
          <w:rFonts w:ascii="Times New Roman" w:hAnsi="Times New Roman" w:cs="Times New Roman"/>
        </w:rPr>
        <w:t xml:space="preserve"> a na projekt Národného futbalového štadióna.</w:t>
      </w:r>
      <w:r w:rsidRPr="00933EB3">
        <w:rPr>
          <w:rFonts w:ascii="Times New Roman" w:hAnsi="Times New Roman" w:cs="Times New Roman"/>
        </w:rPr>
        <w:t xml:space="preserve"> </w:t>
      </w:r>
    </w:p>
    <w:p w:rsidR="007D13F3" w:rsidRPr="00933EB3" w:rsidRDefault="007D13F3" w:rsidP="007D13F3">
      <w:pPr>
        <w:ind w:firstLine="709"/>
        <w:jc w:val="both"/>
        <w:rPr>
          <w:rFonts w:ascii="Times New Roman" w:hAnsi="Times New Roman" w:cs="Times New Roman"/>
        </w:rPr>
      </w:pPr>
    </w:p>
    <w:p w:rsidR="007D13F3" w:rsidRPr="00933EB3" w:rsidRDefault="007D13F3" w:rsidP="007D13F3">
      <w:pPr>
        <w:spacing w:after="200"/>
        <w:ind w:firstLine="708"/>
        <w:contextualSpacing/>
        <w:jc w:val="both"/>
        <w:rPr>
          <w:rFonts w:ascii="Times New Roman" w:hAnsi="Times New Roman" w:cs="Times New Roman"/>
        </w:rPr>
      </w:pPr>
      <w:r w:rsidRPr="00933EB3">
        <w:rPr>
          <w:rFonts w:ascii="Times New Roman" w:hAnsi="Times New Roman" w:cs="Times New Roman"/>
        </w:rPr>
        <w:t>Na športovú reprezentáciu Slovenskej republiky sú okrem výdavkov rozpočtovaných v kapitole MŠVVŠ SR rozpočtované aj výdavky v kapitolách Ministerstva obrany SR a Ministerstva vnútra SR. Výdavky rozpočtované na šport v kapitolách Ministerstva obrany SR rastú v roku 201</w:t>
      </w:r>
      <w:r>
        <w:rPr>
          <w:rFonts w:ascii="Times New Roman" w:hAnsi="Times New Roman" w:cs="Times New Roman"/>
        </w:rPr>
        <w:t>8</w:t>
      </w:r>
      <w:r w:rsidRPr="00933EB3">
        <w:rPr>
          <w:rFonts w:ascii="Times New Roman" w:hAnsi="Times New Roman" w:cs="Times New Roman"/>
        </w:rPr>
        <w:t xml:space="preserve"> oproti schválenému rozpočtu roku 201</w:t>
      </w:r>
      <w:r>
        <w:rPr>
          <w:rFonts w:ascii="Times New Roman" w:hAnsi="Times New Roman" w:cs="Times New Roman"/>
        </w:rPr>
        <w:t>7</w:t>
      </w:r>
      <w:r w:rsidRPr="00933EB3">
        <w:rPr>
          <w:rFonts w:ascii="Times New Roman" w:hAnsi="Times New Roman" w:cs="Times New Roman"/>
        </w:rPr>
        <w:t xml:space="preserve"> o</w:t>
      </w:r>
      <w:r>
        <w:rPr>
          <w:rFonts w:ascii="Times New Roman" w:hAnsi="Times New Roman" w:cs="Times New Roman"/>
        </w:rPr>
        <w:t> 1,56</w:t>
      </w:r>
      <w:r w:rsidRPr="00933EB3">
        <w:rPr>
          <w:rFonts w:ascii="Times New Roman" w:hAnsi="Times New Roman" w:cs="Times New Roman"/>
        </w:rPr>
        <w:t xml:space="preserve"> % a Ministerstva vnútra SR o</w:t>
      </w:r>
      <w:r>
        <w:rPr>
          <w:rFonts w:ascii="Times New Roman" w:hAnsi="Times New Roman" w:cs="Times New Roman"/>
        </w:rPr>
        <w:t> 9,72</w:t>
      </w:r>
      <w:r w:rsidRPr="00933EB3">
        <w:rPr>
          <w:rFonts w:ascii="Times New Roman" w:hAnsi="Times New Roman" w:cs="Times New Roman"/>
        </w:rPr>
        <w:t xml:space="preserve"> %.</w:t>
      </w:r>
    </w:p>
    <w:p w:rsidR="007D13F3" w:rsidRPr="00933EB3" w:rsidRDefault="007D13F3" w:rsidP="007D13F3">
      <w:pPr>
        <w:spacing w:after="200"/>
        <w:contextualSpacing/>
        <w:jc w:val="both"/>
        <w:rPr>
          <w:rFonts w:ascii="Times New Roman" w:hAnsi="Times New Roman" w:cs="Times New Roman"/>
          <w:highlight w:val="yellow"/>
        </w:rPr>
      </w:pPr>
    </w:p>
    <w:p w:rsidR="007D13F3" w:rsidRDefault="007D13F3" w:rsidP="007D13F3">
      <w:pPr>
        <w:spacing w:after="200" w:line="276" w:lineRule="auto"/>
        <w:contextualSpacing/>
        <w:jc w:val="both"/>
        <w:rPr>
          <w:rFonts w:ascii="Times New Roman" w:hAnsi="Times New Roman" w:cs="Times New Roman"/>
          <w:b/>
        </w:rPr>
      </w:pPr>
      <w:r w:rsidRPr="00933EB3">
        <w:rPr>
          <w:rFonts w:ascii="Times New Roman" w:hAnsi="Times New Roman" w:cs="Times New Roman"/>
          <w:b/>
        </w:rPr>
        <w:t>Administratíva a iné výdavky</w:t>
      </w:r>
    </w:p>
    <w:p w:rsidR="007D13F3" w:rsidRDefault="007D13F3" w:rsidP="007D13F3">
      <w:pPr>
        <w:spacing w:after="200" w:line="276" w:lineRule="auto"/>
        <w:contextualSpacing/>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2966"/>
        <w:gridCol w:w="893"/>
        <w:gridCol w:w="953"/>
        <w:gridCol w:w="850"/>
        <w:gridCol w:w="850"/>
        <w:gridCol w:w="850"/>
        <w:gridCol w:w="850"/>
        <w:gridCol w:w="850"/>
      </w:tblGrid>
      <w:tr w:rsidR="007D13F3" w:rsidRPr="007F080E" w:rsidTr="00465CAC">
        <w:trPr>
          <w:trHeight w:hRule="exact" w:val="255"/>
        </w:trPr>
        <w:tc>
          <w:tcPr>
            <w:tcW w:w="1636"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7F080E" w:rsidRDefault="007D13F3" w:rsidP="00465CAC">
            <w:pP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v eurách</w:t>
            </w:r>
          </w:p>
        </w:tc>
        <w:tc>
          <w:tcPr>
            <w:tcW w:w="492"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F080E" w:rsidRDefault="007D13F3" w:rsidP="00465CAC">
            <w:pPr>
              <w:jc w:val="cente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2015 S</w:t>
            </w:r>
          </w:p>
        </w:tc>
        <w:tc>
          <w:tcPr>
            <w:tcW w:w="526"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F080E" w:rsidRDefault="007D13F3" w:rsidP="00465CAC">
            <w:pPr>
              <w:jc w:val="cente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2016 S</w:t>
            </w:r>
          </w:p>
        </w:tc>
        <w:tc>
          <w:tcPr>
            <w:tcW w:w="46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F080E" w:rsidRDefault="007D13F3" w:rsidP="00465CAC">
            <w:pPr>
              <w:jc w:val="cente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2017 R</w:t>
            </w:r>
          </w:p>
        </w:tc>
        <w:tc>
          <w:tcPr>
            <w:tcW w:w="46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F080E" w:rsidRDefault="007D13F3" w:rsidP="00465CAC">
            <w:pPr>
              <w:jc w:val="cente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2017 OS</w:t>
            </w:r>
          </w:p>
        </w:tc>
        <w:tc>
          <w:tcPr>
            <w:tcW w:w="46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F080E" w:rsidRDefault="007D13F3" w:rsidP="00465CAC">
            <w:pPr>
              <w:jc w:val="cente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2018 N</w:t>
            </w:r>
          </w:p>
        </w:tc>
        <w:tc>
          <w:tcPr>
            <w:tcW w:w="46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F080E" w:rsidRDefault="007D13F3" w:rsidP="00465CAC">
            <w:pPr>
              <w:jc w:val="cente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2019 N</w:t>
            </w:r>
          </w:p>
        </w:tc>
        <w:tc>
          <w:tcPr>
            <w:tcW w:w="46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F080E" w:rsidRDefault="007D13F3" w:rsidP="00465CAC">
            <w:pPr>
              <w:jc w:val="cente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2020 N</w:t>
            </w:r>
          </w:p>
        </w:tc>
      </w:tr>
      <w:tr w:rsidR="007D13F3" w:rsidRPr="007F080E" w:rsidTr="00465CAC">
        <w:trPr>
          <w:trHeight w:hRule="exact" w:val="255"/>
        </w:trPr>
        <w:tc>
          <w:tcPr>
            <w:tcW w:w="1636"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7F080E" w:rsidRDefault="007D13F3" w:rsidP="00465CAC">
            <w:pP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Administratíva spolu</w:t>
            </w:r>
          </w:p>
        </w:tc>
        <w:tc>
          <w:tcPr>
            <w:tcW w:w="492"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32 051 700</w:t>
            </w:r>
          </w:p>
        </w:tc>
        <w:tc>
          <w:tcPr>
            <w:tcW w:w="526"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29 079 505</w:t>
            </w:r>
          </w:p>
        </w:tc>
        <w:tc>
          <w:tcPr>
            <w:tcW w:w="46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27 268 216</w:t>
            </w:r>
          </w:p>
        </w:tc>
        <w:tc>
          <w:tcPr>
            <w:tcW w:w="46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28 462 565</w:t>
            </w:r>
          </w:p>
        </w:tc>
        <w:tc>
          <w:tcPr>
            <w:tcW w:w="46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28 078 081</w:t>
            </w:r>
          </w:p>
        </w:tc>
        <w:tc>
          <w:tcPr>
            <w:tcW w:w="46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28 078 081</w:t>
            </w:r>
          </w:p>
        </w:tc>
        <w:tc>
          <w:tcPr>
            <w:tcW w:w="46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28 078 081</w:t>
            </w:r>
          </w:p>
        </w:tc>
      </w:tr>
      <w:tr w:rsidR="007D13F3" w:rsidRPr="007F080E" w:rsidTr="00465CAC">
        <w:trPr>
          <w:trHeight w:hRule="exact" w:val="255"/>
        </w:trPr>
        <w:tc>
          <w:tcPr>
            <w:tcW w:w="1636" w:type="pct"/>
            <w:tcBorders>
              <w:top w:val="nil"/>
              <w:left w:val="single" w:sz="4" w:space="0" w:color="auto"/>
              <w:bottom w:val="single" w:sz="4" w:space="0" w:color="auto"/>
              <w:right w:val="single" w:sz="4" w:space="0" w:color="auto"/>
            </w:tcBorders>
            <w:shd w:val="clear" w:color="auto" w:fill="auto"/>
            <w:noWrap/>
            <w:vAlign w:val="bottom"/>
            <w:hideMark/>
          </w:tcPr>
          <w:p w:rsidR="007D13F3" w:rsidRPr="007F080E" w:rsidRDefault="007D13F3" w:rsidP="00465CAC">
            <w:pPr>
              <w:rPr>
                <w:rFonts w:ascii="Times New Roman" w:hAnsi="Times New Roman" w:cs="Times New Roman"/>
                <w:sz w:val="14"/>
                <w:szCs w:val="14"/>
                <w:lang w:eastAsia="sk-SK"/>
              </w:rPr>
            </w:pPr>
            <w:r w:rsidRPr="007F080E">
              <w:rPr>
                <w:rFonts w:ascii="Times New Roman" w:hAnsi="Times New Roman" w:cs="Times New Roman"/>
                <w:sz w:val="14"/>
                <w:szCs w:val="14"/>
                <w:lang w:eastAsia="sk-SK"/>
              </w:rPr>
              <w:t>Tvorba a implementácia politík</w:t>
            </w:r>
          </w:p>
        </w:tc>
        <w:tc>
          <w:tcPr>
            <w:tcW w:w="492"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27 937 715</w:t>
            </w:r>
          </w:p>
        </w:tc>
        <w:tc>
          <w:tcPr>
            <w:tcW w:w="526"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24 726 163</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19 649 236</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19 878 593</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20 093 621</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20 093 621</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20 093 621</w:t>
            </w:r>
          </w:p>
        </w:tc>
      </w:tr>
      <w:tr w:rsidR="007D13F3" w:rsidRPr="007F080E" w:rsidTr="00465CAC">
        <w:trPr>
          <w:trHeight w:hRule="exact" w:val="255"/>
        </w:trPr>
        <w:tc>
          <w:tcPr>
            <w:tcW w:w="1636" w:type="pct"/>
            <w:tcBorders>
              <w:top w:val="nil"/>
              <w:left w:val="single" w:sz="4" w:space="0" w:color="auto"/>
              <w:bottom w:val="single" w:sz="4" w:space="0" w:color="auto"/>
              <w:right w:val="single" w:sz="4" w:space="0" w:color="auto"/>
            </w:tcBorders>
            <w:shd w:val="clear" w:color="auto" w:fill="auto"/>
            <w:noWrap/>
            <w:vAlign w:val="bottom"/>
            <w:hideMark/>
          </w:tcPr>
          <w:p w:rsidR="007D13F3" w:rsidRPr="007F080E" w:rsidRDefault="007D13F3" w:rsidP="00465CAC">
            <w:pPr>
              <w:rPr>
                <w:rFonts w:ascii="Times New Roman" w:hAnsi="Times New Roman" w:cs="Times New Roman"/>
                <w:sz w:val="14"/>
                <w:szCs w:val="14"/>
                <w:lang w:eastAsia="sk-SK"/>
              </w:rPr>
            </w:pPr>
            <w:r w:rsidRPr="007F080E">
              <w:rPr>
                <w:rFonts w:ascii="Times New Roman" w:hAnsi="Times New Roman" w:cs="Times New Roman"/>
                <w:sz w:val="14"/>
                <w:szCs w:val="14"/>
                <w:lang w:eastAsia="sk-SK"/>
              </w:rPr>
              <w:t>IT financované zo ŠR administratíva</w:t>
            </w:r>
          </w:p>
        </w:tc>
        <w:tc>
          <w:tcPr>
            <w:tcW w:w="492"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0</w:t>
            </w:r>
          </w:p>
        </w:tc>
        <w:tc>
          <w:tcPr>
            <w:tcW w:w="526"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2 889 073</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4 857 043</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3 252 937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3 252 937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3 252 937</w:t>
            </w:r>
          </w:p>
        </w:tc>
      </w:tr>
      <w:tr w:rsidR="007D13F3" w:rsidRPr="007F080E" w:rsidTr="00465CAC">
        <w:trPr>
          <w:trHeight w:hRule="exact" w:val="255"/>
        </w:trPr>
        <w:tc>
          <w:tcPr>
            <w:tcW w:w="1636" w:type="pct"/>
            <w:tcBorders>
              <w:top w:val="nil"/>
              <w:left w:val="single" w:sz="4" w:space="0" w:color="auto"/>
              <w:bottom w:val="single" w:sz="4" w:space="0" w:color="auto"/>
              <w:right w:val="single" w:sz="4" w:space="0" w:color="auto"/>
            </w:tcBorders>
            <w:shd w:val="clear" w:color="auto" w:fill="auto"/>
            <w:noWrap/>
            <w:vAlign w:val="bottom"/>
            <w:hideMark/>
          </w:tcPr>
          <w:p w:rsidR="007D13F3" w:rsidRPr="007F080E" w:rsidRDefault="007D13F3" w:rsidP="00465CAC">
            <w:pPr>
              <w:rPr>
                <w:rFonts w:ascii="Times New Roman" w:hAnsi="Times New Roman" w:cs="Times New Roman"/>
                <w:sz w:val="14"/>
                <w:szCs w:val="14"/>
                <w:lang w:eastAsia="sk-SK"/>
              </w:rPr>
            </w:pPr>
            <w:r w:rsidRPr="007F080E">
              <w:rPr>
                <w:rFonts w:ascii="Times New Roman" w:hAnsi="Times New Roman" w:cs="Times New Roman"/>
                <w:sz w:val="14"/>
                <w:szCs w:val="14"/>
                <w:lang w:eastAsia="sk-SK"/>
              </w:rPr>
              <w:t>Hospodárska mobilizácia</w:t>
            </w:r>
          </w:p>
        </w:tc>
        <w:tc>
          <w:tcPr>
            <w:tcW w:w="492"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0</w:t>
            </w:r>
          </w:p>
        </w:tc>
        <w:tc>
          <w:tcPr>
            <w:tcW w:w="526"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5 297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5 297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5 297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5 297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5 297</w:t>
            </w:r>
          </w:p>
        </w:tc>
      </w:tr>
      <w:tr w:rsidR="007D13F3" w:rsidRPr="007F080E" w:rsidTr="00465CAC">
        <w:trPr>
          <w:trHeight w:hRule="exact" w:val="255"/>
        </w:trPr>
        <w:tc>
          <w:tcPr>
            <w:tcW w:w="1636" w:type="pct"/>
            <w:tcBorders>
              <w:top w:val="nil"/>
              <w:left w:val="single" w:sz="4" w:space="0" w:color="auto"/>
              <w:bottom w:val="single" w:sz="4" w:space="0" w:color="auto"/>
              <w:right w:val="single" w:sz="4" w:space="0" w:color="auto"/>
            </w:tcBorders>
            <w:shd w:val="clear" w:color="auto" w:fill="auto"/>
            <w:noWrap/>
            <w:vAlign w:val="bottom"/>
            <w:hideMark/>
          </w:tcPr>
          <w:p w:rsidR="007D13F3" w:rsidRPr="007F080E" w:rsidRDefault="007D13F3" w:rsidP="00465CAC">
            <w:pPr>
              <w:rPr>
                <w:rFonts w:ascii="Times New Roman" w:hAnsi="Times New Roman" w:cs="Times New Roman"/>
                <w:sz w:val="14"/>
                <w:szCs w:val="14"/>
                <w:lang w:eastAsia="sk-SK"/>
              </w:rPr>
            </w:pPr>
            <w:r w:rsidRPr="007F080E">
              <w:rPr>
                <w:rFonts w:ascii="Times New Roman" w:hAnsi="Times New Roman" w:cs="Times New Roman"/>
                <w:sz w:val="14"/>
                <w:szCs w:val="14"/>
                <w:lang w:eastAsia="sk-SK"/>
              </w:rPr>
              <w:t>Podpora detí a mládeže</w:t>
            </w:r>
          </w:p>
        </w:tc>
        <w:tc>
          <w:tcPr>
            <w:tcW w:w="492"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4 037 944</w:t>
            </w:r>
          </w:p>
        </w:tc>
        <w:tc>
          <w:tcPr>
            <w:tcW w:w="526"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3 924 410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3 496 092</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3 713 632</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3 497 708</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3 497 708</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3 497 708</w:t>
            </w:r>
          </w:p>
        </w:tc>
      </w:tr>
      <w:tr w:rsidR="007D13F3" w:rsidRPr="007F080E" w:rsidTr="00465CAC">
        <w:trPr>
          <w:trHeight w:hRule="exact" w:val="255"/>
        </w:trPr>
        <w:tc>
          <w:tcPr>
            <w:tcW w:w="1636" w:type="pct"/>
            <w:tcBorders>
              <w:top w:val="nil"/>
              <w:left w:val="single" w:sz="4" w:space="0" w:color="auto"/>
              <w:bottom w:val="single" w:sz="4" w:space="0" w:color="auto"/>
              <w:right w:val="single" w:sz="4" w:space="0" w:color="auto"/>
            </w:tcBorders>
            <w:shd w:val="clear" w:color="auto" w:fill="auto"/>
            <w:noWrap/>
            <w:vAlign w:val="bottom"/>
            <w:hideMark/>
          </w:tcPr>
          <w:p w:rsidR="007D13F3" w:rsidRPr="007F080E" w:rsidRDefault="007D13F3" w:rsidP="00955E4D">
            <w:pPr>
              <w:rPr>
                <w:rFonts w:ascii="Times New Roman" w:hAnsi="Times New Roman" w:cs="Times New Roman"/>
                <w:sz w:val="14"/>
                <w:szCs w:val="14"/>
                <w:lang w:eastAsia="sk-SK"/>
              </w:rPr>
            </w:pPr>
            <w:r w:rsidRPr="007F080E">
              <w:rPr>
                <w:rFonts w:ascii="Times New Roman" w:hAnsi="Times New Roman" w:cs="Times New Roman"/>
                <w:sz w:val="14"/>
                <w:szCs w:val="14"/>
                <w:lang w:eastAsia="sk-SK"/>
              </w:rPr>
              <w:t xml:space="preserve">Výdavky na </w:t>
            </w:r>
            <w:r w:rsidR="00955E4D">
              <w:rPr>
                <w:rFonts w:ascii="Times New Roman" w:hAnsi="Times New Roman" w:cs="Times New Roman"/>
                <w:sz w:val="14"/>
                <w:szCs w:val="14"/>
                <w:lang w:eastAsia="sk-SK"/>
              </w:rPr>
              <w:t>k</w:t>
            </w:r>
            <w:r w:rsidRPr="007F080E">
              <w:rPr>
                <w:rFonts w:ascii="Times New Roman" w:hAnsi="Times New Roman" w:cs="Times New Roman"/>
                <w:sz w:val="14"/>
                <w:szCs w:val="14"/>
                <w:lang w:eastAsia="sk-SK"/>
              </w:rPr>
              <w:t xml:space="preserve">oordináciu prierezových aktivít </w:t>
            </w:r>
          </w:p>
        </w:tc>
        <w:tc>
          <w:tcPr>
            <w:tcW w:w="492"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0</w:t>
            </w:r>
          </w:p>
        </w:tc>
        <w:tc>
          <w:tcPr>
            <w:tcW w:w="526"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1 188 518</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1 188 518</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1 188 518</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1 188 518</w:t>
            </w:r>
          </w:p>
        </w:tc>
      </w:tr>
      <w:tr w:rsidR="007D13F3" w:rsidRPr="007F080E" w:rsidTr="00465CAC">
        <w:trPr>
          <w:trHeight w:hRule="exact" w:val="255"/>
        </w:trPr>
        <w:tc>
          <w:tcPr>
            <w:tcW w:w="1636" w:type="pct"/>
            <w:tcBorders>
              <w:top w:val="nil"/>
              <w:left w:val="single" w:sz="4" w:space="0" w:color="auto"/>
              <w:bottom w:val="single" w:sz="4" w:space="0" w:color="auto"/>
              <w:right w:val="single" w:sz="4" w:space="0" w:color="auto"/>
            </w:tcBorders>
            <w:shd w:val="clear" w:color="auto" w:fill="auto"/>
            <w:noWrap/>
            <w:vAlign w:val="bottom"/>
            <w:hideMark/>
          </w:tcPr>
          <w:p w:rsidR="007D13F3" w:rsidRPr="007F080E" w:rsidRDefault="007D13F3" w:rsidP="00465CAC">
            <w:pPr>
              <w:rPr>
                <w:rFonts w:ascii="Times New Roman" w:hAnsi="Times New Roman" w:cs="Times New Roman"/>
                <w:sz w:val="14"/>
                <w:szCs w:val="14"/>
                <w:lang w:eastAsia="sk-SK"/>
              </w:rPr>
            </w:pPr>
            <w:r w:rsidRPr="007F080E">
              <w:rPr>
                <w:rFonts w:ascii="Times New Roman" w:hAnsi="Times New Roman" w:cs="Times New Roman"/>
                <w:sz w:val="14"/>
                <w:szCs w:val="14"/>
                <w:lang w:eastAsia="sk-SK"/>
              </w:rPr>
              <w:t>MŠVVŠ SR protidrogová politika</w:t>
            </w:r>
          </w:p>
        </w:tc>
        <w:tc>
          <w:tcPr>
            <w:tcW w:w="492"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8 998</w:t>
            </w:r>
          </w:p>
        </w:tc>
        <w:tc>
          <w:tcPr>
            <w:tcW w:w="526"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10 227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40 000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8 000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40 000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40 000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40 000</w:t>
            </w:r>
          </w:p>
        </w:tc>
      </w:tr>
      <w:tr w:rsidR="007D13F3" w:rsidRPr="007F080E" w:rsidTr="00465CAC">
        <w:trPr>
          <w:trHeight w:hRule="exact" w:val="255"/>
        </w:trPr>
        <w:tc>
          <w:tcPr>
            <w:tcW w:w="1636" w:type="pct"/>
            <w:tcBorders>
              <w:top w:val="nil"/>
              <w:left w:val="single" w:sz="4" w:space="0" w:color="auto"/>
              <w:bottom w:val="single" w:sz="4" w:space="0" w:color="auto"/>
              <w:right w:val="single" w:sz="4" w:space="0" w:color="auto"/>
            </w:tcBorders>
            <w:shd w:val="clear" w:color="auto" w:fill="auto"/>
            <w:noWrap/>
            <w:vAlign w:val="bottom"/>
            <w:hideMark/>
          </w:tcPr>
          <w:p w:rsidR="007D13F3" w:rsidRPr="007F080E" w:rsidRDefault="007D13F3" w:rsidP="00465CAC">
            <w:pPr>
              <w:rPr>
                <w:rFonts w:ascii="Times New Roman" w:hAnsi="Times New Roman" w:cs="Times New Roman"/>
                <w:sz w:val="14"/>
                <w:szCs w:val="14"/>
                <w:lang w:eastAsia="sk-SK"/>
              </w:rPr>
            </w:pPr>
            <w:r w:rsidRPr="007F080E">
              <w:rPr>
                <w:rFonts w:ascii="Times New Roman" w:hAnsi="Times New Roman" w:cs="Times New Roman"/>
                <w:sz w:val="14"/>
                <w:szCs w:val="14"/>
                <w:lang w:eastAsia="sk-SK"/>
              </w:rPr>
              <w:t>SK PRESS 2016 - MŠVVŠ SR</w:t>
            </w:r>
          </w:p>
        </w:tc>
        <w:tc>
          <w:tcPr>
            <w:tcW w:w="492"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67 043</w:t>
            </w:r>
          </w:p>
        </w:tc>
        <w:tc>
          <w:tcPr>
            <w:tcW w:w="526"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418 705</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0</w:t>
            </w:r>
          </w:p>
        </w:tc>
      </w:tr>
    </w:tbl>
    <w:p w:rsidR="00202892" w:rsidRDefault="007D13F3" w:rsidP="007D13F3">
      <w:pPr>
        <w:spacing w:after="200"/>
        <w:contextualSpacing/>
        <w:jc w:val="both"/>
        <w:rPr>
          <w:rFonts w:ascii="Times New Roman" w:hAnsi="Times New Roman" w:cs="Times New Roman"/>
          <w:szCs w:val="36"/>
        </w:rPr>
      </w:pPr>
      <w:r>
        <w:rPr>
          <w:rFonts w:ascii="Times New Roman" w:hAnsi="Times New Roman" w:cs="Times New Roman"/>
          <w:szCs w:val="36"/>
        </w:rPr>
        <w:tab/>
      </w:r>
    </w:p>
    <w:p w:rsidR="007D13F3" w:rsidRPr="00933EB3" w:rsidRDefault="007D13F3" w:rsidP="00202892">
      <w:pPr>
        <w:spacing w:after="200"/>
        <w:ind w:firstLine="708"/>
        <w:contextualSpacing/>
        <w:jc w:val="both"/>
        <w:rPr>
          <w:rFonts w:ascii="Times New Roman" w:hAnsi="Times New Roman" w:cs="Times New Roman"/>
        </w:rPr>
      </w:pPr>
      <w:r w:rsidRPr="00933EB3">
        <w:rPr>
          <w:rFonts w:ascii="Times New Roman" w:hAnsi="Times New Roman" w:cs="Times New Roman"/>
        </w:rPr>
        <w:t>Na rok 201</w:t>
      </w:r>
      <w:r>
        <w:rPr>
          <w:rFonts w:ascii="Times New Roman" w:hAnsi="Times New Roman" w:cs="Times New Roman"/>
        </w:rPr>
        <w:t>8</w:t>
      </w:r>
      <w:r w:rsidRPr="00933EB3">
        <w:rPr>
          <w:rFonts w:ascii="Times New Roman" w:hAnsi="Times New Roman" w:cs="Times New Roman"/>
        </w:rPr>
        <w:t xml:space="preserve"> na administratívu a iné výdavky kapitoly sú vyčlenené finančné prostriedky v sume 2</w:t>
      </w:r>
      <w:r>
        <w:rPr>
          <w:rFonts w:ascii="Times New Roman" w:hAnsi="Times New Roman" w:cs="Times New Roman"/>
        </w:rPr>
        <w:t>8,1</w:t>
      </w:r>
      <w:r w:rsidRPr="00933EB3">
        <w:rPr>
          <w:rFonts w:ascii="Times New Roman" w:hAnsi="Times New Roman" w:cs="Times New Roman"/>
        </w:rPr>
        <w:t xml:space="preserve"> mil. eur.</w:t>
      </w:r>
      <w:r w:rsidR="00202892">
        <w:rPr>
          <w:rFonts w:ascii="Times New Roman" w:hAnsi="Times New Roman" w:cs="Times New Roman"/>
        </w:rPr>
        <w:t xml:space="preserve"> </w:t>
      </w:r>
    </w:p>
    <w:p w:rsidR="007D13F3" w:rsidRPr="00933EB3" w:rsidRDefault="007D13F3" w:rsidP="007D13F3">
      <w:pPr>
        <w:spacing w:after="200"/>
        <w:ind w:firstLine="708"/>
        <w:contextualSpacing/>
        <w:jc w:val="both"/>
        <w:rPr>
          <w:rFonts w:ascii="Times New Roman" w:hAnsi="Times New Roman" w:cs="Times New Roman"/>
          <w:highlight w:val="yellow"/>
        </w:rPr>
      </w:pPr>
    </w:p>
    <w:p w:rsidR="007D13F3" w:rsidRPr="00933EB3" w:rsidRDefault="007D13F3" w:rsidP="007D13F3">
      <w:pPr>
        <w:spacing w:after="200"/>
        <w:ind w:firstLine="708"/>
        <w:contextualSpacing/>
        <w:jc w:val="both"/>
        <w:rPr>
          <w:rFonts w:ascii="Times New Roman" w:hAnsi="Times New Roman" w:cs="Times New Roman"/>
        </w:rPr>
      </w:pPr>
      <w:r w:rsidRPr="00933EB3">
        <w:rPr>
          <w:rFonts w:ascii="Times New Roman" w:hAnsi="Times New Roman" w:cs="Times New Roman"/>
        </w:rPr>
        <w:t xml:space="preserve">Výdavky na </w:t>
      </w:r>
      <w:r w:rsidR="00955E4D">
        <w:rPr>
          <w:rFonts w:ascii="Times New Roman" w:hAnsi="Times New Roman" w:cs="Times New Roman"/>
        </w:rPr>
        <w:t>k</w:t>
      </w:r>
      <w:r w:rsidRPr="00933EB3">
        <w:rPr>
          <w:rFonts w:ascii="Times New Roman" w:hAnsi="Times New Roman" w:cs="Times New Roman"/>
        </w:rPr>
        <w:t>oordináciu prierezových aktivít navrhované na rok 201</w:t>
      </w:r>
      <w:r>
        <w:rPr>
          <w:rFonts w:ascii="Times New Roman" w:hAnsi="Times New Roman" w:cs="Times New Roman"/>
        </w:rPr>
        <w:t>8</w:t>
      </w:r>
      <w:r w:rsidRPr="00933EB3">
        <w:rPr>
          <w:rFonts w:ascii="Times New Roman" w:hAnsi="Times New Roman" w:cs="Times New Roman"/>
        </w:rPr>
        <w:t xml:space="preserve"> sú na úrovni schváleného rozpočtu roku 201</w:t>
      </w:r>
      <w:r>
        <w:rPr>
          <w:rFonts w:ascii="Times New Roman" w:hAnsi="Times New Roman" w:cs="Times New Roman"/>
        </w:rPr>
        <w:t>7 s predpokladom ich čerpania v priebehu roka 2018 na financovanie vedy a výskumu.</w:t>
      </w:r>
    </w:p>
    <w:p w:rsidR="007D13F3" w:rsidRPr="00933EB3" w:rsidRDefault="007D13F3" w:rsidP="007D13F3">
      <w:pPr>
        <w:spacing w:after="200"/>
        <w:contextualSpacing/>
        <w:jc w:val="both"/>
        <w:rPr>
          <w:rFonts w:ascii="Times New Roman" w:hAnsi="Times New Roman" w:cs="Times New Roman"/>
          <w:highlight w:val="yellow"/>
        </w:rPr>
      </w:pPr>
    </w:p>
    <w:p w:rsidR="007D13F3" w:rsidRPr="00933EB3" w:rsidRDefault="007D13F3" w:rsidP="007D13F3">
      <w:pPr>
        <w:spacing w:after="200"/>
        <w:ind w:firstLine="708"/>
        <w:contextualSpacing/>
        <w:jc w:val="both"/>
        <w:rPr>
          <w:rFonts w:ascii="Times New Roman" w:hAnsi="Times New Roman" w:cs="Times New Roman"/>
        </w:rPr>
      </w:pPr>
      <w:r w:rsidRPr="00933EB3">
        <w:rPr>
          <w:rFonts w:ascii="Times New Roman" w:hAnsi="Times New Roman" w:cs="Times New Roman"/>
        </w:rPr>
        <w:t>Výdavky na podporu detí a mládeže rastú na rok 201</w:t>
      </w:r>
      <w:r>
        <w:rPr>
          <w:rFonts w:ascii="Times New Roman" w:hAnsi="Times New Roman" w:cs="Times New Roman"/>
        </w:rPr>
        <w:t>8</w:t>
      </w:r>
      <w:r w:rsidRPr="00933EB3">
        <w:rPr>
          <w:rFonts w:ascii="Times New Roman" w:hAnsi="Times New Roman" w:cs="Times New Roman"/>
        </w:rPr>
        <w:t xml:space="preserve"> oproti schválenému rozpočtu roku 201</w:t>
      </w:r>
      <w:r>
        <w:rPr>
          <w:rFonts w:ascii="Times New Roman" w:hAnsi="Times New Roman" w:cs="Times New Roman"/>
        </w:rPr>
        <w:t>7</w:t>
      </w:r>
      <w:r w:rsidRPr="00933EB3">
        <w:rPr>
          <w:rFonts w:ascii="Times New Roman" w:hAnsi="Times New Roman" w:cs="Times New Roman"/>
        </w:rPr>
        <w:t xml:space="preserve"> o</w:t>
      </w:r>
      <w:r>
        <w:rPr>
          <w:rFonts w:ascii="Times New Roman" w:hAnsi="Times New Roman" w:cs="Times New Roman"/>
        </w:rPr>
        <w:t> 1,61</w:t>
      </w:r>
      <w:r w:rsidRPr="00933EB3">
        <w:rPr>
          <w:rFonts w:ascii="Times New Roman" w:hAnsi="Times New Roman" w:cs="Times New Roman"/>
        </w:rPr>
        <w:t xml:space="preserve"> tis. eur.</w:t>
      </w:r>
    </w:p>
    <w:p w:rsidR="007D13F3" w:rsidRDefault="007D13F3" w:rsidP="007D13F3">
      <w:pPr>
        <w:spacing w:after="200"/>
        <w:contextualSpacing/>
        <w:jc w:val="both"/>
        <w:rPr>
          <w:rFonts w:ascii="Times New Roman" w:hAnsi="Times New Roman" w:cs="Times New Roman"/>
        </w:rPr>
      </w:pPr>
      <w:r>
        <w:rPr>
          <w:rFonts w:ascii="Times New Roman" w:hAnsi="Times New Roman" w:cs="Times New Roman"/>
        </w:rPr>
        <w:lastRenderedPageBreak/>
        <w:tab/>
      </w:r>
      <w:r w:rsidRPr="00933EB3">
        <w:rPr>
          <w:rFonts w:ascii="Times New Roman" w:hAnsi="Times New Roman" w:cs="Times New Roman"/>
        </w:rPr>
        <w:t xml:space="preserve">V rámci programu Tvorba a implementácia politík sú rozpočtované výdavky pre dve rozpočtové organizácie vrátane úradu ministerstva a dve príspevkové </w:t>
      </w:r>
      <w:r>
        <w:rPr>
          <w:rFonts w:ascii="Times New Roman" w:hAnsi="Times New Roman" w:cs="Times New Roman"/>
        </w:rPr>
        <w:t>organizácie. Výdavky na rok 2018</w:t>
      </w:r>
      <w:r w:rsidRPr="00933EB3">
        <w:rPr>
          <w:rFonts w:ascii="Times New Roman" w:hAnsi="Times New Roman" w:cs="Times New Roman"/>
        </w:rPr>
        <w:t xml:space="preserve"> zaznamenávajú </w:t>
      </w:r>
      <w:r>
        <w:rPr>
          <w:rFonts w:ascii="Times New Roman" w:hAnsi="Times New Roman" w:cs="Times New Roman"/>
        </w:rPr>
        <w:t>nárast</w:t>
      </w:r>
      <w:r w:rsidRPr="00933EB3">
        <w:rPr>
          <w:rFonts w:ascii="Times New Roman" w:hAnsi="Times New Roman" w:cs="Times New Roman"/>
        </w:rPr>
        <w:t xml:space="preserve"> oproti schválenému rozpočtu roku 201</w:t>
      </w:r>
      <w:r>
        <w:rPr>
          <w:rFonts w:ascii="Times New Roman" w:hAnsi="Times New Roman" w:cs="Times New Roman"/>
        </w:rPr>
        <w:t>7</w:t>
      </w:r>
      <w:r w:rsidRPr="00933EB3">
        <w:rPr>
          <w:rFonts w:ascii="Times New Roman" w:hAnsi="Times New Roman" w:cs="Times New Roman"/>
        </w:rPr>
        <w:t xml:space="preserve"> o</w:t>
      </w:r>
      <w:r>
        <w:rPr>
          <w:rFonts w:ascii="Times New Roman" w:hAnsi="Times New Roman" w:cs="Times New Roman"/>
        </w:rPr>
        <w:t> 444 tis.</w:t>
      </w:r>
      <w:r w:rsidRPr="00933EB3">
        <w:rPr>
          <w:rFonts w:ascii="Times New Roman" w:hAnsi="Times New Roman" w:cs="Times New Roman"/>
        </w:rPr>
        <w:t xml:space="preserve"> eur, t. j. o</w:t>
      </w:r>
      <w:r>
        <w:rPr>
          <w:rFonts w:ascii="Times New Roman" w:hAnsi="Times New Roman" w:cs="Times New Roman"/>
        </w:rPr>
        <w:t> 2,26</w:t>
      </w:r>
      <w:r w:rsidRPr="00933EB3">
        <w:rPr>
          <w:rFonts w:ascii="Times New Roman" w:hAnsi="Times New Roman" w:cs="Times New Roman"/>
        </w:rPr>
        <w:t xml:space="preserve"> %.</w:t>
      </w:r>
    </w:p>
    <w:p w:rsidR="007D13F3" w:rsidRDefault="007D13F3" w:rsidP="007D13F3">
      <w:pPr>
        <w:spacing w:after="200"/>
        <w:contextualSpacing/>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967"/>
        <w:gridCol w:w="894"/>
        <w:gridCol w:w="953"/>
        <w:gridCol w:w="850"/>
        <w:gridCol w:w="850"/>
        <w:gridCol w:w="850"/>
        <w:gridCol w:w="850"/>
        <w:gridCol w:w="848"/>
      </w:tblGrid>
      <w:tr w:rsidR="007D13F3" w:rsidRPr="007F080E" w:rsidTr="00465CAC">
        <w:trPr>
          <w:trHeight w:hRule="exact" w:val="255"/>
        </w:trPr>
        <w:tc>
          <w:tcPr>
            <w:tcW w:w="1637"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7F080E" w:rsidRDefault="007D13F3" w:rsidP="00465CAC">
            <w:pP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v</w:t>
            </w:r>
            <w:r>
              <w:rPr>
                <w:rFonts w:ascii="Times New Roman" w:hAnsi="Times New Roman" w:cs="Times New Roman"/>
                <w:b/>
                <w:bCs/>
                <w:sz w:val="14"/>
                <w:szCs w:val="14"/>
                <w:lang w:eastAsia="sk-SK"/>
              </w:rPr>
              <w:t> </w:t>
            </w:r>
            <w:r w:rsidRPr="007F080E">
              <w:rPr>
                <w:rFonts w:ascii="Times New Roman" w:hAnsi="Times New Roman" w:cs="Times New Roman"/>
                <w:b/>
                <w:bCs/>
                <w:sz w:val="14"/>
                <w:szCs w:val="14"/>
                <w:lang w:eastAsia="sk-SK"/>
              </w:rPr>
              <w:t>eurách</w:t>
            </w:r>
          </w:p>
        </w:tc>
        <w:tc>
          <w:tcPr>
            <w:tcW w:w="493"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F080E" w:rsidRDefault="007D13F3" w:rsidP="00465CAC">
            <w:pPr>
              <w:jc w:val="cente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2015 S</w:t>
            </w:r>
          </w:p>
        </w:tc>
        <w:tc>
          <w:tcPr>
            <w:tcW w:w="526"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F080E" w:rsidRDefault="007D13F3" w:rsidP="00465CAC">
            <w:pPr>
              <w:jc w:val="cente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2016 S</w:t>
            </w:r>
          </w:p>
        </w:tc>
        <w:tc>
          <w:tcPr>
            <w:tcW w:w="46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F080E" w:rsidRDefault="007D13F3" w:rsidP="00465CAC">
            <w:pPr>
              <w:jc w:val="cente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2017 R</w:t>
            </w:r>
          </w:p>
        </w:tc>
        <w:tc>
          <w:tcPr>
            <w:tcW w:w="46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F080E" w:rsidRDefault="007D13F3" w:rsidP="00465CAC">
            <w:pPr>
              <w:jc w:val="cente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2017 OS</w:t>
            </w:r>
          </w:p>
        </w:tc>
        <w:tc>
          <w:tcPr>
            <w:tcW w:w="46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F080E" w:rsidRDefault="007D13F3" w:rsidP="00465CAC">
            <w:pPr>
              <w:jc w:val="cente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2018 N</w:t>
            </w:r>
          </w:p>
        </w:tc>
        <w:tc>
          <w:tcPr>
            <w:tcW w:w="469"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F080E" w:rsidRDefault="007D13F3" w:rsidP="00465CAC">
            <w:pPr>
              <w:jc w:val="cente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2019 N</w:t>
            </w:r>
          </w:p>
        </w:tc>
        <w:tc>
          <w:tcPr>
            <w:tcW w:w="468"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F080E" w:rsidRDefault="007D13F3" w:rsidP="00465CAC">
            <w:pPr>
              <w:jc w:val="cente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2020 N</w:t>
            </w:r>
          </w:p>
        </w:tc>
      </w:tr>
      <w:tr w:rsidR="007D13F3" w:rsidRPr="007F080E" w:rsidTr="00465CAC">
        <w:trPr>
          <w:trHeight w:hRule="exact" w:val="255"/>
        </w:trPr>
        <w:tc>
          <w:tcPr>
            <w:tcW w:w="1637"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7F080E" w:rsidRDefault="007D13F3" w:rsidP="00465CAC">
            <w:pP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Rozpočtové a príspevkové  organizácie spolu</w:t>
            </w:r>
          </w:p>
        </w:tc>
        <w:tc>
          <w:tcPr>
            <w:tcW w:w="493"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27 937 715</w:t>
            </w:r>
          </w:p>
        </w:tc>
        <w:tc>
          <w:tcPr>
            <w:tcW w:w="526"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24 726 163</w:t>
            </w:r>
          </w:p>
        </w:tc>
        <w:tc>
          <w:tcPr>
            <w:tcW w:w="46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19 649 236</w:t>
            </w:r>
          </w:p>
        </w:tc>
        <w:tc>
          <w:tcPr>
            <w:tcW w:w="46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19 878 593</w:t>
            </w:r>
          </w:p>
        </w:tc>
        <w:tc>
          <w:tcPr>
            <w:tcW w:w="46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D75F1B" w:rsidRDefault="007D13F3" w:rsidP="00465CAC">
            <w:pPr>
              <w:jc w:val="right"/>
              <w:rPr>
                <w:rFonts w:ascii="Times New Roman" w:hAnsi="Times New Roman" w:cs="Times New Roman"/>
                <w:b/>
                <w:bCs/>
                <w:sz w:val="14"/>
                <w:szCs w:val="14"/>
                <w:lang w:eastAsia="sk-SK"/>
              </w:rPr>
            </w:pPr>
            <w:r w:rsidRPr="00D75F1B">
              <w:rPr>
                <w:rFonts w:ascii="Times New Roman" w:hAnsi="Times New Roman" w:cs="Times New Roman"/>
                <w:b/>
                <w:bCs/>
                <w:sz w:val="14"/>
                <w:szCs w:val="14"/>
              </w:rPr>
              <w:t>20 093 621</w:t>
            </w:r>
          </w:p>
        </w:tc>
        <w:tc>
          <w:tcPr>
            <w:tcW w:w="469"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D75F1B" w:rsidRDefault="007D13F3" w:rsidP="00465CAC">
            <w:pPr>
              <w:jc w:val="right"/>
              <w:rPr>
                <w:rFonts w:ascii="Times New Roman" w:hAnsi="Times New Roman" w:cs="Times New Roman"/>
                <w:b/>
                <w:bCs/>
                <w:sz w:val="14"/>
                <w:szCs w:val="14"/>
              </w:rPr>
            </w:pPr>
            <w:r w:rsidRPr="00D75F1B">
              <w:rPr>
                <w:rFonts w:ascii="Times New Roman" w:hAnsi="Times New Roman" w:cs="Times New Roman"/>
                <w:b/>
                <w:bCs/>
                <w:sz w:val="14"/>
                <w:szCs w:val="14"/>
              </w:rPr>
              <w:t>20 093 621</w:t>
            </w:r>
          </w:p>
        </w:tc>
        <w:tc>
          <w:tcPr>
            <w:tcW w:w="468"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D75F1B" w:rsidRDefault="007D13F3" w:rsidP="00465CAC">
            <w:pPr>
              <w:jc w:val="right"/>
              <w:rPr>
                <w:rFonts w:ascii="Times New Roman" w:hAnsi="Times New Roman" w:cs="Times New Roman"/>
                <w:b/>
                <w:bCs/>
                <w:sz w:val="14"/>
                <w:szCs w:val="14"/>
              </w:rPr>
            </w:pPr>
            <w:r w:rsidRPr="00D75F1B">
              <w:rPr>
                <w:rFonts w:ascii="Times New Roman" w:hAnsi="Times New Roman" w:cs="Times New Roman"/>
                <w:b/>
                <w:bCs/>
                <w:sz w:val="14"/>
                <w:szCs w:val="14"/>
              </w:rPr>
              <w:t>20 093 621</w:t>
            </w:r>
          </w:p>
        </w:tc>
      </w:tr>
      <w:tr w:rsidR="007D13F3" w:rsidRPr="007F080E" w:rsidTr="00465CAC">
        <w:trPr>
          <w:trHeight w:hRule="exact" w:val="255"/>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7D13F3" w:rsidRPr="007F080E" w:rsidRDefault="007D13F3" w:rsidP="00465CAC">
            <w:pP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Príspevkové organizácie</w:t>
            </w:r>
          </w:p>
        </w:tc>
        <w:tc>
          <w:tcPr>
            <w:tcW w:w="493"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1 800 992</w:t>
            </w:r>
          </w:p>
        </w:tc>
        <w:tc>
          <w:tcPr>
            <w:tcW w:w="526"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1 773 106</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1 867 190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2 000 404</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b/>
                <w:bCs/>
                <w:sz w:val="14"/>
                <w:szCs w:val="14"/>
              </w:rPr>
            </w:pPr>
            <w:r w:rsidRPr="00D75F1B">
              <w:rPr>
                <w:rFonts w:ascii="Times New Roman" w:hAnsi="Times New Roman" w:cs="Times New Roman"/>
                <w:b/>
                <w:bCs/>
                <w:sz w:val="14"/>
                <w:szCs w:val="14"/>
              </w:rPr>
              <w:t>1 910 577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b/>
                <w:bCs/>
                <w:sz w:val="14"/>
                <w:szCs w:val="14"/>
              </w:rPr>
            </w:pPr>
            <w:r w:rsidRPr="00D75F1B">
              <w:rPr>
                <w:rFonts w:ascii="Times New Roman" w:hAnsi="Times New Roman" w:cs="Times New Roman"/>
                <w:b/>
                <w:bCs/>
                <w:sz w:val="14"/>
                <w:szCs w:val="14"/>
              </w:rPr>
              <w:t>1 910 577</w:t>
            </w:r>
          </w:p>
        </w:tc>
        <w:tc>
          <w:tcPr>
            <w:tcW w:w="468"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b/>
                <w:bCs/>
                <w:sz w:val="14"/>
                <w:szCs w:val="14"/>
              </w:rPr>
            </w:pPr>
            <w:r w:rsidRPr="00D75F1B">
              <w:rPr>
                <w:rFonts w:ascii="Times New Roman" w:hAnsi="Times New Roman" w:cs="Times New Roman"/>
                <w:b/>
                <w:bCs/>
                <w:sz w:val="14"/>
                <w:szCs w:val="14"/>
              </w:rPr>
              <w:t>1 910 577</w:t>
            </w:r>
          </w:p>
        </w:tc>
      </w:tr>
      <w:tr w:rsidR="007D13F3" w:rsidRPr="007F080E" w:rsidTr="00465CAC">
        <w:trPr>
          <w:trHeight w:hRule="exact" w:val="255"/>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7D13F3" w:rsidRPr="007F080E" w:rsidRDefault="007D13F3" w:rsidP="00465CAC">
            <w:pPr>
              <w:rPr>
                <w:rFonts w:ascii="Times New Roman" w:hAnsi="Times New Roman" w:cs="Times New Roman"/>
                <w:sz w:val="14"/>
                <w:szCs w:val="14"/>
                <w:lang w:eastAsia="sk-SK"/>
              </w:rPr>
            </w:pPr>
            <w:r w:rsidRPr="007F080E">
              <w:rPr>
                <w:rFonts w:ascii="Times New Roman" w:hAnsi="Times New Roman" w:cs="Times New Roman"/>
                <w:sz w:val="14"/>
                <w:szCs w:val="14"/>
                <w:lang w:eastAsia="sk-SK"/>
              </w:rPr>
              <w:t>Národný ústav celoživotného vzdelávania</w:t>
            </w:r>
          </w:p>
        </w:tc>
        <w:tc>
          <w:tcPr>
            <w:tcW w:w="493"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279 467</w:t>
            </w:r>
          </w:p>
        </w:tc>
        <w:tc>
          <w:tcPr>
            <w:tcW w:w="526"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427 452</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287 452</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341 061</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sz w:val="14"/>
                <w:szCs w:val="14"/>
              </w:rPr>
            </w:pPr>
            <w:r w:rsidRPr="00D75F1B">
              <w:rPr>
                <w:rFonts w:ascii="Times New Roman" w:hAnsi="Times New Roman" w:cs="Times New Roman"/>
                <w:sz w:val="14"/>
                <w:szCs w:val="14"/>
              </w:rPr>
              <w:t>292 660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sz w:val="14"/>
                <w:szCs w:val="14"/>
              </w:rPr>
            </w:pPr>
            <w:r w:rsidRPr="00D75F1B">
              <w:rPr>
                <w:rFonts w:ascii="Times New Roman" w:hAnsi="Times New Roman" w:cs="Times New Roman"/>
                <w:sz w:val="14"/>
                <w:szCs w:val="14"/>
              </w:rPr>
              <w:t>292 660</w:t>
            </w:r>
          </w:p>
        </w:tc>
        <w:tc>
          <w:tcPr>
            <w:tcW w:w="468"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sz w:val="14"/>
                <w:szCs w:val="14"/>
              </w:rPr>
            </w:pPr>
            <w:r w:rsidRPr="00D75F1B">
              <w:rPr>
                <w:rFonts w:ascii="Times New Roman" w:hAnsi="Times New Roman" w:cs="Times New Roman"/>
                <w:sz w:val="14"/>
                <w:szCs w:val="14"/>
              </w:rPr>
              <w:t>292 660</w:t>
            </w:r>
          </w:p>
        </w:tc>
      </w:tr>
      <w:tr w:rsidR="007D13F3" w:rsidRPr="007F080E" w:rsidTr="00465CAC">
        <w:trPr>
          <w:trHeight w:hRule="exact" w:val="255"/>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7D13F3" w:rsidRPr="007F080E" w:rsidRDefault="007D13F3" w:rsidP="00465CAC">
            <w:pPr>
              <w:rPr>
                <w:rFonts w:ascii="Times New Roman" w:hAnsi="Times New Roman" w:cs="Times New Roman"/>
                <w:sz w:val="14"/>
                <w:szCs w:val="14"/>
                <w:lang w:eastAsia="sk-SK"/>
              </w:rPr>
            </w:pPr>
            <w:r w:rsidRPr="007F080E">
              <w:rPr>
                <w:rFonts w:ascii="Times New Roman" w:hAnsi="Times New Roman" w:cs="Times New Roman"/>
                <w:sz w:val="14"/>
                <w:szCs w:val="14"/>
                <w:lang w:eastAsia="sk-SK"/>
              </w:rPr>
              <w:t>Centrum vedecko-technických informácií</w:t>
            </w:r>
          </w:p>
        </w:tc>
        <w:tc>
          <w:tcPr>
            <w:tcW w:w="493"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1 521 525</w:t>
            </w:r>
          </w:p>
        </w:tc>
        <w:tc>
          <w:tcPr>
            <w:tcW w:w="526"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1 345 654</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1 579 738</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1 659 343</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sz w:val="14"/>
                <w:szCs w:val="14"/>
              </w:rPr>
            </w:pPr>
            <w:r w:rsidRPr="00D75F1B">
              <w:rPr>
                <w:rFonts w:ascii="Times New Roman" w:hAnsi="Times New Roman" w:cs="Times New Roman"/>
                <w:sz w:val="14"/>
                <w:szCs w:val="14"/>
              </w:rPr>
              <w:t>1 617 917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sz w:val="14"/>
                <w:szCs w:val="14"/>
              </w:rPr>
            </w:pPr>
            <w:r w:rsidRPr="00D75F1B">
              <w:rPr>
                <w:rFonts w:ascii="Times New Roman" w:hAnsi="Times New Roman" w:cs="Times New Roman"/>
                <w:sz w:val="14"/>
                <w:szCs w:val="14"/>
              </w:rPr>
              <w:t>1 617 917</w:t>
            </w:r>
          </w:p>
        </w:tc>
        <w:tc>
          <w:tcPr>
            <w:tcW w:w="468"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sz w:val="14"/>
                <w:szCs w:val="14"/>
              </w:rPr>
            </w:pPr>
            <w:r w:rsidRPr="00D75F1B">
              <w:rPr>
                <w:rFonts w:ascii="Times New Roman" w:hAnsi="Times New Roman" w:cs="Times New Roman"/>
                <w:sz w:val="14"/>
                <w:szCs w:val="14"/>
              </w:rPr>
              <w:t>1 617 917</w:t>
            </w:r>
          </w:p>
        </w:tc>
      </w:tr>
      <w:tr w:rsidR="007D13F3" w:rsidRPr="007F080E" w:rsidTr="00465CAC">
        <w:trPr>
          <w:trHeight w:hRule="exact" w:val="255"/>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7D13F3" w:rsidRPr="007F080E" w:rsidRDefault="007D13F3" w:rsidP="00465CAC">
            <w:pPr>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Rozpočtové organizácie spolu</w:t>
            </w:r>
            <w:r w:rsidR="00202892">
              <w:rPr>
                <w:rFonts w:ascii="Times New Roman" w:hAnsi="Times New Roman" w:cs="Times New Roman"/>
                <w:b/>
                <w:bCs/>
                <w:sz w:val="14"/>
                <w:szCs w:val="14"/>
                <w:lang w:eastAsia="sk-SK"/>
              </w:rPr>
              <w:t>,</w:t>
            </w:r>
            <w:r w:rsidRPr="007F080E">
              <w:rPr>
                <w:rFonts w:ascii="Times New Roman" w:hAnsi="Times New Roman" w:cs="Times New Roman"/>
                <w:b/>
                <w:bCs/>
                <w:sz w:val="14"/>
                <w:szCs w:val="14"/>
                <w:lang w:eastAsia="sk-SK"/>
              </w:rPr>
              <w:t xml:space="preserve"> z toho:</w:t>
            </w:r>
          </w:p>
        </w:tc>
        <w:tc>
          <w:tcPr>
            <w:tcW w:w="493"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26 136 723</w:t>
            </w:r>
          </w:p>
        </w:tc>
        <w:tc>
          <w:tcPr>
            <w:tcW w:w="526"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22 953 057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17 782 046</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b/>
                <w:bCs/>
                <w:sz w:val="14"/>
                <w:szCs w:val="14"/>
                <w:lang w:eastAsia="sk-SK"/>
              </w:rPr>
            </w:pPr>
            <w:r w:rsidRPr="007F080E">
              <w:rPr>
                <w:rFonts w:ascii="Times New Roman" w:hAnsi="Times New Roman" w:cs="Times New Roman"/>
                <w:b/>
                <w:bCs/>
                <w:sz w:val="14"/>
                <w:szCs w:val="14"/>
                <w:lang w:eastAsia="sk-SK"/>
              </w:rPr>
              <w:t>17 878 189</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b/>
                <w:bCs/>
                <w:sz w:val="14"/>
                <w:szCs w:val="14"/>
              </w:rPr>
            </w:pPr>
            <w:r w:rsidRPr="00D75F1B">
              <w:rPr>
                <w:rFonts w:ascii="Times New Roman" w:hAnsi="Times New Roman" w:cs="Times New Roman"/>
                <w:b/>
                <w:bCs/>
                <w:sz w:val="14"/>
                <w:szCs w:val="14"/>
              </w:rPr>
              <w:t>18 183 044</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b/>
                <w:bCs/>
                <w:sz w:val="14"/>
                <w:szCs w:val="14"/>
              </w:rPr>
            </w:pPr>
            <w:r w:rsidRPr="00D75F1B">
              <w:rPr>
                <w:rFonts w:ascii="Times New Roman" w:hAnsi="Times New Roman" w:cs="Times New Roman"/>
                <w:b/>
                <w:bCs/>
                <w:sz w:val="14"/>
                <w:szCs w:val="14"/>
              </w:rPr>
              <w:t>18 183 044</w:t>
            </w:r>
          </w:p>
        </w:tc>
        <w:tc>
          <w:tcPr>
            <w:tcW w:w="468"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b/>
                <w:bCs/>
                <w:sz w:val="14"/>
                <w:szCs w:val="14"/>
              </w:rPr>
            </w:pPr>
            <w:r w:rsidRPr="00D75F1B">
              <w:rPr>
                <w:rFonts w:ascii="Times New Roman" w:hAnsi="Times New Roman" w:cs="Times New Roman"/>
                <w:b/>
                <w:bCs/>
                <w:sz w:val="14"/>
                <w:szCs w:val="14"/>
              </w:rPr>
              <w:t>18 183 044</w:t>
            </w:r>
          </w:p>
        </w:tc>
      </w:tr>
      <w:tr w:rsidR="007D13F3" w:rsidRPr="007F080E" w:rsidTr="00465CAC">
        <w:trPr>
          <w:trHeight w:hRule="exact" w:val="255"/>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7D13F3" w:rsidRPr="007F080E" w:rsidRDefault="007D13F3" w:rsidP="00465CAC">
            <w:pPr>
              <w:rPr>
                <w:rFonts w:ascii="Times New Roman" w:hAnsi="Times New Roman" w:cs="Times New Roman"/>
                <w:sz w:val="14"/>
                <w:szCs w:val="14"/>
                <w:lang w:eastAsia="sk-SK"/>
              </w:rPr>
            </w:pPr>
            <w:r w:rsidRPr="007F080E">
              <w:rPr>
                <w:rFonts w:ascii="Times New Roman" w:hAnsi="Times New Roman" w:cs="Times New Roman"/>
                <w:sz w:val="14"/>
                <w:szCs w:val="14"/>
                <w:lang w:eastAsia="sk-SK"/>
              </w:rPr>
              <w:t>Výskumná agentúra (AŠF MŠVVŠ SR)</w:t>
            </w:r>
          </w:p>
        </w:tc>
        <w:tc>
          <w:tcPr>
            <w:tcW w:w="493"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2 738 948</w:t>
            </w:r>
          </w:p>
        </w:tc>
        <w:tc>
          <w:tcPr>
            <w:tcW w:w="526"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1 559 783</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939 309</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1 413 087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sz w:val="14"/>
                <w:szCs w:val="14"/>
              </w:rPr>
            </w:pPr>
            <w:r w:rsidRPr="00D75F1B">
              <w:rPr>
                <w:rFonts w:ascii="Times New Roman" w:hAnsi="Times New Roman" w:cs="Times New Roman"/>
                <w:sz w:val="14"/>
                <w:szCs w:val="14"/>
              </w:rPr>
              <w:t>934 045</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sz w:val="14"/>
                <w:szCs w:val="14"/>
              </w:rPr>
            </w:pPr>
            <w:r w:rsidRPr="00D75F1B">
              <w:rPr>
                <w:rFonts w:ascii="Times New Roman" w:hAnsi="Times New Roman" w:cs="Times New Roman"/>
                <w:sz w:val="14"/>
                <w:szCs w:val="14"/>
              </w:rPr>
              <w:t>934 045</w:t>
            </w:r>
          </w:p>
        </w:tc>
        <w:tc>
          <w:tcPr>
            <w:tcW w:w="468"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sz w:val="14"/>
                <w:szCs w:val="14"/>
              </w:rPr>
            </w:pPr>
            <w:r w:rsidRPr="00D75F1B">
              <w:rPr>
                <w:rFonts w:ascii="Times New Roman" w:hAnsi="Times New Roman" w:cs="Times New Roman"/>
                <w:sz w:val="14"/>
                <w:szCs w:val="14"/>
              </w:rPr>
              <w:t>934 045</w:t>
            </w:r>
          </w:p>
        </w:tc>
      </w:tr>
      <w:tr w:rsidR="007D13F3" w:rsidRPr="007F080E" w:rsidTr="00465CAC">
        <w:trPr>
          <w:trHeight w:hRule="exact" w:val="255"/>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7D13F3" w:rsidRPr="007F080E" w:rsidRDefault="007D13F3" w:rsidP="00465CAC">
            <w:pPr>
              <w:rPr>
                <w:rFonts w:ascii="Times New Roman" w:hAnsi="Times New Roman" w:cs="Times New Roman"/>
                <w:sz w:val="14"/>
                <w:szCs w:val="14"/>
                <w:lang w:eastAsia="sk-SK"/>
              </w:rPr>
            </w:pPr>
            <w:r w:rsidRPr="007F080E">
              <w:rPr>
                <w:rFonts w:ascii="Times New Roman" w:hAnsi="Times New Roman" w:cs="Times New Roman"/>
                <w:sz w:val="14"/>
                <w:szCs w:val="14"/>
                <w:lang w:eastAsia="sk-SK"/>
              </w:rPr>
              <w:t>Úrad MŠVVŠ SR</w:t>
            </w:r>
          </w:p>
        </w:tc>
        <w:tc>
          <w:tcPr>
            <w:tcW w:w="493"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23 397 775</w:t>
            </w:r>
          </w:p>
        </w:tc>
        <w:tc>
          <w:tcPr>
            <w:tcW w:w="526"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21 393 274</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16 842 737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7F080E" w:rsidRDefault="007D13F3" w:rsidP="00465CAC">
            <w:pPr>
              <w:jc w:val="right"/>
              <w:rPr>
                <w:rFonts w:ascii="Times New Roman" w:hAnsi="Times New Roman" w:cs="Times New Roman"/>
                <w:sz w:val="14"/>
                <w:szCs w:val="14"/>
                <w:lang w:eastAsia="sk-SK"/>
              </w:rPr>
            </w:pPr>
            <w:r w:rsidRPr="007F080E">
              <w:rPr>
                <w:rFonts w:ascii="Times New Roman" w:hAnsi="Times New Roman" w:cs="Times New Roman"/>
                <w:sz w:val="14"/>
                <w:szCs w:val="14"/>
                <w:lang w:eastAsia="sk-SK"/>
              </w:rPr>
              <w:t>16 465 102</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sz w:val="14"/>
                <w:szCs w:val="14"/>
              </w:rPr>
            </w:pPr>
            <w:r w:rsidRPr="00D75F1B">
              <w:rPr>
                <w:rFonts w:ascii="Times New Roman" w:hAnsi="Times New Roman" w:cs="Times New Roman"/>
                <w:sz w:val="14"/>
                <w:szCs w:val="14"/>
              </w:rPr>
              <w:t>17 248 999</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sz w:val="14"/>
                <w:szCs w:val="14"/>
              </w:rPr>
            </w:pPr>
            <w:r w:rsidRPr="00D75F1B">
              <w:rPr>
                <w:rFonts w:ascii="Times New Roman" w:hAnsi="Times New Roman" w:cs="Times New Roman"/>
                <w:sz w:val="14"/>
                <w:szCs w:val="14"/>
              </w:rPr>
              <w:t>17 248 999</w:t>
            </w:r>
          </w:p>
        </w:tc>
        <w:tc>
          <w:tcPr>
            <w:tcW w:w="468" w:type="pct"/>
            <w:tcBorders>
              <w:top w:val="nil"/>
              <w:left w:val="nil"/>
              <w:bottom w:val="single" w:sz="4" w:space="0" w:color="auto"/>
              <w:right w:val="single" w:sz="4" w:space="0" w:color="auto"/>
            </w:tcBorders>
            <w:shd w:val="clear" w:color="auto" w:fill="auto"/>
            <w:noWrap/>
            <w:vAlign w:val="bottom"/>
            <w:hideMark/>
          </w:tcPr>
          <w:p w:rsidR="007D13F3" w:rsidRPr="00D75F1B" w:rsidRDefault="007D13F3" w:rsidP="00465CAC">
            <w:pPr>
              <w:jc w:val="right"/>
              <w:rPr>
                <w:rFonts w:ascii="Times New Roman" w:hAnsi="Times New Roman" w:cs="Times New Roman"/>
                <w:sz w:val="14"/>
                <w:szCs w:val="14"/>
              </w:rPr>
            </w:pPr>
            <w:r w:rsidRPr="00D75F1B">
              <w:rPr>
                <w:rFonts w:ascii="Times New Roman" w:hAnsi="Times New Roman" w:cs="Times New Roman"/>
                <w:sz w:val="14"/>
                <w:szCs w:val="14"/>
              </w:rPr>
              <w:t>17 248 999</w:t>
            </w:r>
          </w:p>
        </w:tc>
      </w:tr>
    </w:tbl>
    <w:p w:rsidR="007D13F3" w:rsidRDefault="007D13F3" w:rsidP="007D13F3">
      <w:pPr>
        <w:spacing w:line="276" w:lineRule="auto"/>
        <w:jc w:val="both"/>
        <w:rPr>
          <w:rFonts w:ascii="Times New Roman" w:hAnsi="Times New Roman" w:cs="Times New Roman"/>
          <w:b/>
        </w:rPr>
      </w:pPr>
    </w:p>
    <w:p w:rsidR="007D13F3" w:rsidRDefault="007D13F3" w:rsidP="007D13F3">
      <w:pPr>
        <w:spacing w:after="200" w:line="276" w:lineRule="auto"/>
        <w:jc w:val="both"/>
        <w:rPr>
          <w:rFonts w:ascii="Times New Roman" w:hAnsi="Times New Roman" w:cs="Times New Roman"/>
          <w:b/>
        </w:rPr>
      </w:pPr>
      <w:r w:rsidRPr="00933EB3">
        <w:rPr>
          <w:rFonts w:ascii="Times New Roman" w:hAnsi="Times New Roman" w:cs="Times New Roman"/>
          <w:b/>
        </w:rPr>
        <w:t>Prostriedky EÚ a</w:t>
      </w:r>
      <w:r>
        <w:rPr>
          <w:rFonts w:ascii="Times New Roman" w:hAnsi="Times New Roman" w:cs="Times New Roman"/>
          <w:b/>
        </w:rPr>
        <w:t> </w:t>
      </w:r>
      <w:r w:rsidR="00202892">
        <w:rPr>
          <w:rFonts w:ascii="Times New Roman" w:hAnsi="Times New Roman" w:cs="Times New Roman"/>
          <w:b/>
        </w:rPr>
        <w:t>spolufinancovanie</w:t>
      </w:r>
    </w:p>
    <w:tbl>
      <w:tblPr>
        <w:tblW w:w="5000" w:type="pct"/>
        <w:tblCellMar>
          <w:left w:w="70" w:type="dxa"/>
          <w:right w:w="70" w:type="dxa"/>
        </w:tblCellMar>
        <w:tblLook w:val="04A0" w:firstRow="1" w:lastRow="0" w:firstColumn="1" w:lastColumn="0" w:noHBand="0" w:noVBand="1"/>
      </w:tblPr>
      <w:tblGrid>
        <w:gridCol w:w="3249"/>
        <w:gridCol w:w="840"/>
        <w:gridCol w:w="817"/>
        <w:gridCol w:w="840"/>
        <w:gridCol w:w="817"/>
        <w:gridCol w:w="819"/>
        <w:gridCol w:w="840"/>
        <w:gridCol w:w="840"/>
      </w:tblGrid>
      <w:tr w:rsidR="007D13F3" w:rsidRPr="00703D1C" w:rsidTr="00465CAC">
        <w:trPr>
          <w:trHeight w:hRule="exact" w:val="255"/>
        </w:trPr>
        <w:tc>
          <w:tcPr>
            <w:tcW w:w="1791"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703D1C" w:rsidRDefault="007D13F3" w:rsidP="00465CAC">
            <w:pPr>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v eurách</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03D1C" w:rsidRDefault="007D13F3" w:rsidP="00465CAC">
            <w:pPr>
              <w:jc w:val="center"/>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2015 S</w:t>
            </w:r>
          </w:p>
        </w:tc>
        <w:tc>
          <w:tcPr>
            <w:tcW w:w="45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03D1C" w:rsidRDefault="007D13F3" w:rsidP="00465CAC">
            <w:pPr>
              <w:jc w:val="center"/>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2016 S</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03D1C" w:rsidRDefault="007D13F3" w:rsidP="00465CAC">
            <w:pPr>
              <w:jc w:val="center"/>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2017 R</w:t>
            </w:r>
          </w:p>
        </w:tc>
        <w:tc>
          <w:tcPr>
            <w:tcW w:w="45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03D1C" w:rsidRDefault="007D13F3" w:rsidP="00465CAC">
            <w:pPr>
              <w:jc w:val="center"/>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2017 OS</w:t>
            </w:r>
          </w:p>
        </w:tc>
        <w:tc>
          <w:tcPr>
            <w:tcW w:w="452"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03D1C" w:rsidRDefault="007D13F3" w:rsidP="00465CAC">
            <w:pPr>
              <w:jc w:val="center"/>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2018 N</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03D1C" w:rsidRDefault="007D13F3" w:rsidP="00465CAC">
            <w:pPr>
              <w:jc w:val="center"/>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2019 N</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703D1C" w:rsidRDefault="007D13F3" w:rsidP="00465CAC">
            <w:pPr>
              <w:jc w:val="center"/>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2020 N</w:t>
            </w:r>
          </w:p>
        </w:tc>
      </w:tr>
      <w:tr w:rsidR="007D13F3" w:rsidRPr="00703D1C" w:rsidTr="00465CAC">
        <w:trPr>
          <w:trHeight w:hRule="exact" w:val="255"/>
        </w:trPr>
        <w:tc>
          <w:tcPr>
            <w:tcW w:w="1791"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703D1C" w:rsidRDefault="007D13F3" w:rsidP="00465CAC">
            <w:pPr>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 xml:space="preserve">OP spolu </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619 041 224</w:t>
            </w:r>
          </w:p>
        </w:tc>
        <w:tc>
          <w:tcPr>
            <w:tcW w:w="45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56 871 121</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190 702 076</w:t>
            </w:r>
          </w:p>
        </w:tc>
        <w:tc>
          <w:tcPr>
            <w:tcW w:w="45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66 264 478</w:t>
            </w:r>
          </w:p>
        </w:tc>
        <w:tc>
          <w:tcPr>
            <w:tcW w:w="452"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66 748 826</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302 168 722</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318 299 858</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OP Vzdelávanie</w:t>
            </w:r>
            <w:r w:rsidR="00202892">
              <w:rPr>
                <w:rFonts w:ascii="Times New Roman" w:hAnsi="Times New Roman" w:cs="Times New Roman"/>
                <w:b/>
                <w:bCs/>
                <w:sz w:val="14"/>
                <w:szCs w:val="14"/>
                <w:lang w:eastAsia="sk-SK"/>
              </w:rPr>
              <w:t>,</w:t>
            </w:r>
            <w:r w:rsidRPr="00703D1C">
              <w:rPr>
                <w:rFonts w:ascii="Times New Roman" w:hAnsi="Times New Roman" w:cs="Times New Roman"/>
                <w:b/>
                <w:bCs/>
                <w:sz w:val="14"/>
                <w:szCs w:val="14"/>
                <w:lang w:eastAsia="sk-SK"/>
              </w:rPr>
              <w:t xml:space="preserve"> z toho: </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147 387 397</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4 339 971</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xml:space="preserve">            Regionálne školstvo</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19 198 705</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492 825</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xml:space="preserve">            Vysoké školy</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17 775 560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3 006 106</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xml:space="preserve">            Disponibilné zdroje pre ďalšie subjekty</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109 338 802</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750 788</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202892">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xml:space="preserve">            Veda a technika</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1 074 330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90 252</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OP Výskum a</w:t>
            </w:r>
            <w:r w:rsidR="00202892">
              <w:rPr>
                <w:rFonts w:ascii="Times New Roman" w:hAnsi="Times New Roman" w:cs="Times New Roman"/>
                <w:b/>
                <w:bCs/>
                <w:sz w:val="14"/>
                <w:szCs w:val="14"/>
                <w:lang w:eastAsia="sk-SK"/>
              </w:rPr>
              <w:t> </w:t>
            </w:r>
            <w:r w:rsidRPr="00703D1C">
              <w:rPr>
                <w:rFonts w:ascii="Times New Roman" w:hAnsi="Times New Roman" w:cs="Times New Roman"/>
                <w:b/>
                <w:bCs/>
                <w:sz w:val="14"/>
                <w:szCs w:val="14"/>
                <w:lang w:eastAsia="sk-SK"/>
              </w:rPr>
              <w:t>vývoj</w:t>
            </w:r>
            <w:r w:rsidR="00202892">
              <w:rPr>
                <w:rFonts w:ascii="Times New Roman" w:hAnsi="Times New Roman" w:cs="Times New Roman"/>
                <w:b/>
                <w:bCs/>
                <w:sz w:val="14"/>
                <w:szCs w:val="14"/>
                <w:lang w:eastAsia="sk-SK"/>
              </w:rPr>
              <w:t>,</w:t>
            </w:r>
            <w:r w:rsidRPr="00703D1C">
              <w:rPr>
                <w:rFonts w:ascii="Times New Roman" w:hAnsi="Times New Roman" w:cs="Times New Roman"/>
                <w:b/>
                <w:bCs/>
                <w:sz w:val="14"/>
                <w:szCs w:val="14"/>
                <w:lang w:eastAsia="sk-SK"/>
              </w:rPr>
              <w:t xml:space="preserve"> z toho:</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458 424 237</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37 849 046</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xml:space="preserve">            Vysoké školy</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28 788 497</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2 619 996</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xml:space="preserve">             Disponibilné zdroje pre ďalšie subjekty</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58 315 968</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3 141 706</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xml:space="preserve">             Veda a technika</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371 319 772</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32 087 344</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OP Ľudské zdroje - Vzdelávani</w:t>
            </w:r>
            <w:r w:rsidR="00202892">
              <w:rPr>
                <w:rFonts w:ascii="Times New Roman" w:hAnsi="Times New Roman" w:cs="Times New Roman"/>
                <w:b/>
                <w:bCs/>
                <w:sz w:val="14"/>
                <w:szCs w:val="14"/>
                <w:lang w:eastAsia="sk-SK"/>
              </w:rPr>
              <w:t>e</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799 723</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51 192 146</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15 421 008</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25 677 372</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91 065 970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81 399 677</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xml:space="preserve">            Regionálne školstvo</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29 100 000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5 600 000</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xml:space="preserve">            Vysoké školy</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11 114 810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6 850 000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11 400 000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13 700 000</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xml:space="preserve">            Disponibilné zdroje pre ďalšie subjekty</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799 723</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10 977 336</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9 821 008</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18 827 372</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79 665 970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67 699 677</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xml:space="preserve">            Veda a technika</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OP Výskum a</w:t>
            </w:r>
            <w:r w:rsidR="00202892">
              <w:rPr>
                <w:rFonts w:ascii="Times New Roman" w:hAnsi="Times New Roman" w:cs="Times New Roman"/>
                <w:b/>
                <w:bCs/>
                <w:sz w:val="14"/>
                <w:szCs w:val="14"/>
                <w:lang w:eastAsia="sk-SK"/>
              </w:rPr>
              <w:t> </w:t>
            </w:r>
            <w:r w:rsidRPr="00703D1C">
              <w:rPr>
                <w:rFonts w:ascii="Times New Roman" w:hAnsi="Times New Roman" w:cs="Times New Roman"/>
                <w:b/>
                <w:bCs/>
                <w:sz w:val="14"/>
                <w:szCs w:val="14"/>
                <w:lang w:eastAsia="sk-SK"/>
              </w:rPr>
              <w:t>inovácie</w:t>
            </w:r>
            <w:r w:rsidR="00202892">
              <w:rPr>
                <w:rFonts w:ascii="Times New Roman" w:hAnsi="Times New Roman" w:cs="Times New Roman"/>
                <w:b/>
                <w:bCs/>
                <w:sz w:val="14"/>
                <w:szCs w:val="14"/>
                <w:lang w:eastAsia="sk-SK"/>
              </w:rPr>
              <w:t>,</w:t>
            </w:r>
            <w:r w:rsidRPr="00703D1C">
              <w:rPr>
                <w:rFonts w:ascii="Times New Roman" w:hAnsi="Times New Roman" w:cs="Times New Roman"/>
                <w:b/>
                <w:bCs/>
                <w:sz w:val="14"/>
                <w:szCs w:val="14"/>
                <w:lang w:eastAsia="sk-SK"/>
              </w:rPr>
              <w:t xml:space="preserve"> z toho:</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5 897 017</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139 509 930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50 843 470</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41 071 454</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211 102 752</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236 900 181</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xml:space="preserve">            Vysoké školy</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78 668 000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21 739 120</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xml:space="preserve">             Disponibilné zdroje pre ďalšie subjekty</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2 652 096</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6 336 400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9 671 376</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7 492 001</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7 491 997</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5 107 996</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sz w:val="14"/>
                <w:szCs w:val="14"/>
                <w:lang w:eastAsia="sk-SK"/>
              </w:rPr>
            </w:pPr>
            <w:r w:rsidRPr="00703D1C">
              <w:rPr>
                <w:rFonts w:ascii="Times New Roman" w:hAnsi="Times New Roman" w:cs="Times New Roman"/>
                <w:sz w:val="14"/>
                <w:szCs w:val="14"/>
                <w:lang w:eastAsia="sk-SK"/>
              </w:rPr>
              <w:t xml:space="preserve">             Veda a technika</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3 244 921</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54 505 530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19 432 974</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33 579 453</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203 610 755</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sz w:val="14"/>
                <w:szCs w:val="14"/>
                <w:lang w:eastAsia="sk-SK"/>
              </w:rPr>
            </w:pPr>
            <w:r w:rsidRPr="00703D1C">
              <w:rPr>
                <w:rFonts w:ascii="Times New Roman" w:hAnsi="Times New Roman" w:cs="Times New Roman"/>
                <w:sz w:val="14"/>
                <w:szCs w:val="14"/>
                <w:lang w:eastAsia="sk-SK"/>
              </w:rPr>
              <w:t>231 792 185</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OP Informatizácia spoločnosti</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13 229 590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7 652 571</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 </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r>
      <w:tr w:rsidR="007D13F3" w:rsidRPr="00703D1C" w:rsidTr="00465CAC">
        <w:trPr>
          <w:trHeight w:hRule="exact" w:val="255"/>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OP od iných kapitol</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332 793</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c>
          <w:tcPr>
            <w:tcW w:w="451"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 </w:t>
            </w:r>
          </w:p>
        </w:tc>
        <w:tc>
          <w:tcPr>
            <w:tcW w:w="452"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703D1C" w:rsidRDefault="007D13F3" w:rsidP="00465CAC">
            <w:pPr>
              <w:jc w:val="right"/>
              <w:rPr>
                <w:rFonts w:ascii="Times New Roman" w:hAnsi="Times New Roman" w:cs="Times New Roman"/>
                <w:b/>
                <w:bCs/>
                <w:sz w:val="14"/>
                <w:szCs w:val="14"/>
                <w:lang w:eastAsia="sk-SK"/>
              </w:rPr>
            </w:pPr>
            <w:r w:rsidRPr="00703D1C">
              <w:rPr>
                <w:rFonts w:ascii="Times New Roman" w:hAnsi="Times New Roman" w:cs="Times New Roman"/>
                <w:b/>
                <w:bCs/>
                <w:sz w:val="14"/>
                <w:szCs w:val="14"/>
                <w:lang w:eastAsia="sk-SK"/>
              </w:rPr>
              <w:t>0</w:t>
            </w:r>
          </w:p>
        </w:tc>
      </w:tr>
    </w:tbl>
    <w:p w:rsidR="007D13F3" w:rsidRDefault="007D13F3" w:rsidP="007D13F3">
      <w:pPr>
        <w:ind w:firstLine="709"/>
        <w:contextualSpacing/>
        <w:jc w:val="both"/>
        <w:rPr>
          <w:rFonts w:ascii="Times New Roman" w:hAnsi="Times New Roman" w:cs="Times New Roman"/>
        </w:rPr>
      </w:pPr>
    </w:p>
    <w:p w:rsidR="007D13F3" w:rsidRDefault="007D13F3" w:rsidP="007D13F3">
      <w:pPr>
        <w:ind w:firstLine="709"/>
        <w:contextualSpacing/>
        <w:jc w:val="both"/>
        <w:rPr>
          <w:rFonts w:ascii="Times New Roman" w:hAnsi="Times New Roman" w:cs="Times New Roman"/>
        </w:rPr>
      </w:pPr>
      <w:r w:rsidRPr="00933EB3">
        <w:rPr>
          <w:rFonts w:ascii="Times New Roman" w:hAnsi="Times New Roman" w:cs="Times New Roman"/>
        </w:rPr>
        <w:t xml:space="preserve">V rámci výdavkov sú uvádzané zdroje OP Ľudské zdroje - Vzdelávanie a OP Výskum a inovácie </w:t>
      </w:r>
      <w:r>
        <w:rPr>
          <w:rFonts w:ascii="Times New Roman" w:hAnsi="Times New Roman" w:cs="Times New Roman"/>
        </w:rPr>
        <w:t>vrátane</w:t>
      </w:r>
      <w:r w:rsidRPr="00933EB3">
        <w:rPr>
          <w:rFonts w:ascii="Times New Roman" w:hAnsi="Times New Roman" w:cs="Times New Roman"/>
        </w:rPr>
        <w:t xml:space="preserve"> zdrojov určených pre oblasť vedy a techniky, ktoré sú </w:t>
      </w:r>
      <w:r>
        <w:rPr>
          <w:rFonts w:ascii="Times New Roman" w:hAnsi="Times New Roman" w:cs="Times New Roman"/>
        </w:rPr>
        <w:t>uvedené v rámci oblasti výdavkov na vedu a techniku.</w:t>
      </w:r>
    </w:p>
    <w:p w:rsidR="00202892" w:rsidRPr="00933EB3" w:rsidRDefault="00202892" w:rsidP="007D13F3">
      <w:pPr>
        <w:ind w:firstLine="709"/>
        <w:contextualSpacing/>
        <w:jc w:val="both"/>
        <w:rPr>
          <w:rFonts w:ascii="Times New Roman" w:hAnsi="Times New Roman" w:cs="Times New Roman"/>
        </w:rPr>
      </w:pPr>
    </w:p>
    <w:p w:rsidR="007D13F3" w:rsidRDefault="007D13F3" w:rsidP="007D13F3">
      <w:pPr>
        <w:jc w:val="both"/>
        <w:rPr>
          <w:rFonts w:ascii="Times New Roman" w:hAnsi="Times New Roman" w:cs="Times New Roman"/>
          <w:b/>
        </w:rPr>
      </w:pPr>
      <w:r w:rsidRPr="00933EB3">
        <w:rPr>
          <w:rFonts w:ascii="Times New Roman" w:hAnsi="Times New Roman" w:cs="Times New Roman"/>
          <w:b/>
        </w:rPr>
        <w:t>Informačné technológie financované zo štátneho rozpočtu</w:t>
      </w:r>
    </w:p>
    <w:p w:rsidR="007D13F3" w:rsidRDefault="007D13F3" w:rsidP="007D13F3">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3470"/>
        <w:gridCol w:w="800"/>
        <w:gridCol w:w="799"/>
        <w:gridCol w:w="799"/>
        <w:gridCol w:w="799"/>
        <w:gridCol w:w="799"/>
        <w:gridCol w:w="799"/>
        <w:gridCol w:w="797"/>
      </w:tblGrid>
      <w:tr w:rsidR="007D13F3" w:rsidRPr="00F15731" w:rsidTr="00465CAC">
        <w:trPr>
          <w:trHeight w:val="255"/>
        </w:trPr>
        <w:tc>
          <w:tcPr>
            <w:tcW w:w="1914"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F15731" w:rsidRDefault="007D13F3" w:rsidP="00465CAC">
            <w:pPr>
              <w:rPr>
                <w:rFonts w:ascii="Times New Roman" w:hAnsi="Times New Roman" w:cs="Times New Roman"/>
                <w:b/>
                <w:bCs/>
                <w:sz w:val="14"/>
                <w:szCs w:val="14"/>
                <w:lang w:eastAsia="sk-SK"/>
              </w:rPr>
            </w:pPr>
            <w:r w:rsidRPr="00F15731">
              <w:rPr>
                <w:rFonts w:ascii="Times New Roman" w:hAnsi="Times New Roman" w:cs="Times New Roman"/>
                <w:b/>
                <w:bCs/>
                <w:sz w:val="14"/>
                <w:szCs w:val="14"/>
                <w:lang w:eastAsia="sk-SK"/>
              </w:rPr>
              <w:t>v eurách</w:t>
            </w:r>
          </w:p>
        </w:tc>
        <w:tc>
          <w:tcPr>
            <w:tcW w:w="4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F15731" w:rsidRDefault="007D13F3" w:rsidP="00465CAC">
            <w:pPr>
              <w:jc w:val="center"/>
              <w:rPr>
                <w:rFonts w:ascii="Times New Roman" w:hAnsi="Times New Roman" w:cs="Times New Roman"/>
                <w:b/>
                <w:bCs/>
                <w:sz w:val="14"/>
                <w:szCs w:val="14"/>
                <w:lang w:eastAsia="sk-SK"/>
              </w:rPr>
            </w:pPr>
            <w:r w:rsidRPr="00F15731">
              <w:rPr>
                <w:rFonts w:ascii="Times New Roman" w:hAnsi="Times New Roman" w:cs="Times New Roman"/>
                <w:b/>
                <w:bCs/>
                <w:sz w:val="14"/>
                <w:szCs w:val="14"/>
                <w:lang w:eastAsia="sk-SK"/>
              </w:rPr>
              <w:t>2015 S</w:t>
            </w:r>
          </w:p>
        </w:tc>
        <w:tc>
          <w:tcPr>
            <w:tcW w:w="4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F15731" w:rsidRDefault="007D13F3" w:rsidP="00465CAC">
            <w:pPr>
              <w:jc w:val="center"/>
              <w:rPr>
                <w:rFonts w:ascii="Times New Roman" w:hAnsi="Times New Roman" w:cs="Times New Roman"/>
                <w:b/>
                <w:bCs/>
                <w:sz w:val="14"/>
                <w:szCs w:val="14"/>
                <w:lang w:eastAsia="sk-SK"/>
              </w:rPr>
            </w:pPr>
            <w:r w:rsidRPr="00F15731">
              <w:rPr>
                <w:rFonts w:ascii="Times New Roman" w:hAnsi="Times New Roman" w:cs="Times New Roman"/>
                <w:b/>
                <w:bCs/>
                <w:sz w:val="14"/>
                <w:szCs w:val="14"/>
                <w:lang w:eastAsia="sk-SK"/>
              </w:rPr>
              <w:t>2016 S</w:t>
            </w:r>
          </w:p>
        </w:tc>
        <w:tc>
          <w:tcPr>
            <w:tcW w:w="4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F15731" w:rsidRDefault="007D13F3" w:rsidP="00465CAC">
            <w:pPr>
              <w:jc w:val="center"/>
              <w:rPr>
                <w:rFonts w:ascii="Times New Roman" w:hAnsi="Times New Roman" w:cs="Times New Roman"/>
                <w:b/>
                <w:bCs/>
                <w:sz w:val="14"/>
                <w:szCs w:val="14"/>
                <w:lang w:eastAsia="sk-SK"/>
              </w:rPr>
            </w:pPr>
            <w:r w:rsidRPr="00F15731">
              <w:rPr>
                <w:rFonts w:ascii="Times New Roman" w:hAnsi="Times New Roman" w:cs="Times New Roman"/>
                <w:b/>
                <w:bCs/>
                <w:sz w:val="14"/>
                <w:szCs w:val="14"/>
                <w:lang w:eastAsia="sk-SK"/>
              </w:rPr>
              <w:t>2017 R</w:t>
            </w:r>
          </w:p>
        </w:tc>
        <w:tc>
          <w:tcPr>
            <w:tcW w:w="4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F15731" w:rsidRDefault="007D13F3" w:rsidP="00465CAC">
            <w:pPr>
              <w:jc w:val="center"/>
              <w:rPr>
                <w:rFonts w:ascii="Times New Roman" w:hAnsi="Times New Roman" w:cs="Times New Roman"/>
                <w:b/>
                <w:bCs/>
                <w:sz w:val="14"/>
                <w:szCs w:val="14"/>
                <w:lang w:eastAsia="sk-SK"/>
              </w:rPr>
            </w:pPr>
            <w:r w:rsidRPr="00F15731">
              <w:rPr>
                <w:rFonts w:ascii="Times New Roman" w:hAnsi="Times New Roman" w:cs="Times New Roman"/>
                <w:b/>
                <w:bCs/>
                <w:sz w:val="14"/>
                <w:szCs w:val="14"/>
                <w:lang w:eastAsia="sk-SK"/>
              </w:rPr>
              <w:t>2017 OS</w:t>
            </w:r>
          </w:p>
        </w:tc>
        <w:tc>
          <w:tcPr>
            <w:tcW w:w="4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F15731" w:rsidRDefault="007D13F3" w:rsidP="00465CAC">
            <w:pPr>
              <w:jc w:val="center"/>
              <w:rPr>
                <w:rFonts w:ascii="Times New Roman" w:hAnsi="Times New Roman" w:cs="Times New Roman"/>
                <w:b/>
                <w:bCs/>
                <w:sz w:val="14"/>
                <w:szCs w:val="14"/>
                <w:lang w:eastAsia="sk-SK"/>
              </w:rPr>
            </w:pPr>
            <w:r w:rsidRPr="00F15731">
              <w:rPr>
                <w:rFonts w:ascii="Times New Roman" w:hAnsi="Times New Roman" w:cs="Times New Roman"/>
                <w:b/>
                <w:bCs/>
                <w:sz w:val="14"/>
                <w:szCs w:val="14"/>
                <w:lang w:eastAsia="sk-SK"/>
              </w:rPr>
              <w:t>2018 N</w:t>
            </w:r>
          </w:p>
        </w:tc>
        <w:tc>
          <w:tcPr>
            <w:tcW w:w="4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F15731" w:rsidRDefault="007D13F3" w:rsidP="00465CAC">
            <w:pPr>
              <w:jc w:val="center"/>
              <w:rPr>
                <w:rFonts w:ascii="Times New Roman" w:hAnsi="Times New Roman" w:cs="Times New Roman"/>
                <w:b/>
                <w:bCs/>
                <w:sz w:val="14"/>
                <w:szCs w:val="14"/>
                <w:lang w:eastAsia="sk-SK"/>
              </w:rPr>
            </w:pPr>
            <w:r w:rsidRPr="00F15731">
              <w:rPr>
                <w:rFonts w:ascii="Times New Roman" w:hAnsi="Times New Roman" w:cs="Times New Roman"/>
                <w:b/>
                <w:bCs/>
                <w:sz w:val="14"/>
                <w:szCs w:val="14"/>
                <w:lang w:eastAsia="sk-SK"/>
              </w:rPr>
              <w:t>2019 N</w:t>
            </w:r>
          </w:p>
        </w:tc>
        <w:tc>
          <w:tcPr>
            <w:tcW w:w="4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F15731" w:rsidRDefault="007D13F3" w:rsidP="00465CAC">
            <w:pPr>
              <w:jc w:val="center"/>
              <w:rPr>
                <w:rFonts w:ascii="Times New Roman" w:hAnsi="Times New Roman" w:cs="Times New Roman"/>
                <w:b/>
                <w:bCs/>
                <w:sz w:val="14"/>
                <w:szCs w:val="14"/>
                <w:lang w:eastAsia="sk-SK"/>
              </w:rPr>
            </w:pPr>
            <w:r w:rsidRPr="00F15731">
              <w:rPr>
                <w:rFonts w:ascii="Times New Roman" w:hAnsi="Times New Roman" w:cs="Times New Roman"/>
                <w:b/>
                <w:bCs/>
                <w:sz w:val="14"/>
                <w:szCs w:val="14"/>
                <w:lang w:eastAsia="sk-SK"/>
              </w:rPr>
              <w:t>2020 N</w:t>
            </w:r>
          </w:p>
        </w:tc>
      </w:tr>
      <w:tr w:rsidR="007D13F3" w:rsidRPr="00F15731" w:rsidTr="00465CAC">
        <w:trPr>
          <w:trHeight w:val="255"/>
        </w:trPr>
        <w:tc>
          <w:tcPr>
            <w:tcW w:w="1914"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F15731" w:rsidRDefault="007D13F3" w:rsidP="00465CAC">
            <w:pPr>
              <w:rPr>
                <w:rFonts w:ascii="Times New Roman" w:hAnsi="Times New Roman" w:cs="Times New Roman"/>
                <w:b/>
                <w:bCs/>
                <w:sz w:val="14"/>
                <w:szCs w:val="14"/>
                <w:lang w:eastAsia="sk-SK"/>
              </w:rPr>
            </w:pPr>
            <w:r w:rsidRPr="00F15731">
              <w:rPr>
                <w:rFonts w:ascii="Times New Roman" w:hAnsi="Times New Roman" w:cs="Times New Roman"/>
                <w:b/>
                <w:bCs/>
                <w:sz w:val="14"/>
                <w:szCs w:val="14"/>
                <w:lang w:eastAsia="sk-SK"/>
              </w:rPr>
              <w:t>IT zo ŠR spolu</w:t>
            </w:r>
          </w:p>
        </w:tc>
        <w:tc>
          <w:tcPr>
            <w:tcW w:w="4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F15731" w:rsidRDefault="007D13F3" w:rsidP="00465CAC">
            <w:pPr>
              <w:jc w:val="right"/>
              <w:rPr>
                <w:rFonts w:ascii="Times New Roman" w:hAnsi="Times New Roman" w:cs="Times New Roman"/>
                <w:b/>
                <w:bCs/>
                <w:sz w:val="14"/>
                <w:szCs w:val="14"/>
                <w:lang w:eastAsia="sk-SK"/>
              </w:rPr>
            </w:pPr>
            <w:r w:rsidRPr="00F15731">
              <w:rPr>
                <w:rFonts w:ascii="Times New Roman" w:hAnsi="Times New Roman" w:cs="Times New Roman"/>
                <w:b/>
                <w:bCs/>
                <w:sz w:val="14"/>
                <w:szCs w:val="14"/>
                <w:lang w:eastAsia="sk-SK"/>
              </w:rPr>
              <w:t>0</w:t>
            </w:r>
          </w:p>
        </w:tc>
        <w:tc>
          <w:tcPr>
            <w:tcW w:w="4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F15731" w:rsidRDefault="007D13F3" w:rsidP="00465CAC">
            <w:pPr>
              <w:jc w:val="right"/>
              <w:rPr>
                <w:rFonts w:ascii="Times New Roman" w:hAnsi="Times New Roman" w:cs="Times New Roman"/>
                <w:b/>
                <w:bCs/>
                <w:sz w:val="14"/>
                <w:szCs w:val="14"/>
                <w:lang w:eastAsia="sk-SK"/>
              </w:rPr>
            </w:pPr>
            <w:r w:rsidRPr="00F15731">
              <w:rPr>
                <w:rFonts w:ascii="Times New Roman" w:hAnsi="Times New Roman" w:cs="Times New Roman"/>
                <w:b/>
                <w:bCs/>
                <w:sz w:val="14"/>
                <w:szCs w:val="14"/>
                <w:lang w:eastAsia="sk-SK"/>
              </w:rPr>
              <w:t>0</w:t>
            </w:r>
          </w:p>
        </w:tc>
        <w:tc>
          <w:tcPr>
            <w:tcW w:w="4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F15731" w:rsidRDefault="007D13F3" w:rsidP="00465CAC">
            <w:pPr>
              <w:jc w:val="right"/>
              <w:rPr>
                <w:rFonts w:ascii="Times New Roman" w:hAnsi="Times New Roman" w:cs="Times New Roman"/>
                <w:b/>
                <w:bCs/>
                <w:sz w:val="14"/>
                <w:szCs w:val="14"/>
                <w:lang w:eastAsia="sk-SK"/>
              </w:rPr>
            </w:pPr>
            <w:r w:rsidRPr="00F15731">
              <w:rPr>
                <w:rFonts w:ascii="Times New Roman" w:hAnsi="Times New Roman" w:cs="Times New Roman"/>
                <w:b/>
                <w:bCs/>
                <w:sz w:val="14"/>
                <w:szCs w:val="14"/>
                <w:lang w:eastAsia="sk-SK"/>
              </w:rPr>
              <w:t>14 180 135</w:t>
            </w:r>
          </w:p>
        </w:tc>
        <w:tc>
          <w:tcPr>
            <w:tcW w:w="4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F15731" w:rsidRDefault="007D13F3" w:rsidP="00465CAC">
            <w:pPr>
              <w:jc w:val="right"/>
              <w:rPr>
                <w:rFonts w:ascii="Times New Roman" w:hAnsi="Times New Roman" w:cs="Times New Roman"/>
                <w:b/>
                <w:bCs/>
                <w:sz w:val="14"/>
                <w:szCs w:val="14"/>
                <w:lang w:eastAsia="sk-SK"/>
              </w:rPr>
            </w:pPr>
            <w:r w:rsidRPr="00F15731">
              <w:rPr>
                <w:rFonts w:ascii="Times New Roman" w:hAnsi="Times New Roman" w:cs="Times New Roman"/>
                <w:b/>
                <w:bCs/>
                <w:sz w:val="14"/>
                <w:szCs w:val="14"/>
                <w:lang w:eastAsia="sk-SK"/>
              </w:rPr>
              <w:t>16 620 676</w:t>
            </w:r>
          </w:p>
        </w:tc>
        <w:tc>
          <w:tcPr>
            <w:tcW w:w="4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F15731" w:rsidRDefault="007D13F3" w:rsidP="00465CAC">
            <w:pPr>
              <w:jc w:val="right"/>
              <w:rPr>
                <w:rFonts w:ascii="Times New Roman" w:hAnsi="Times New Roman" w:cs="Times New Roman"/>
                <w:b/>
                <w:bCs/>
                <w:sz w:val="14"/>
                <w:szCs w:val="14"/>
                <w:lang w:eastAsia="sk-SK"/>
              </w:rPr>
            </w:pPr>
            <w:r w:rsidRPr="00F15731">
              <w:rPr>
                <w:rFonts w:ascii="Times New Roman" w:hAnsi="Times New Roman" w:cs="Times New Roman"/>
                <w:b/>
                <w:bCs/>
                <w:sz w:val="14"/>
                <w:szCs w:val="14"/>
                <w:lang w:eastAsia="sk-SK"/>
              </w:rPr>
              <w:t>14 309 319</w:t>
            </w:r>
          </w:p>
        </w:tc>
        <w:tc>
          <w:tcPr>
            <w:tcW w:w="4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F15731" w:rsidRDefault="007D13F3" w:rsidP="00465CAC">
            <w:pPr>
              <w:jc w:val="right"/>
              <w:rPr>
                <w:rFonts w:ascii="Times New Roman" w:hAnsi="Times New Roman" w:cs="Times New Roman"/>
                <w:b/>
                <w:bCs/>
                <w:sz w:val="14"/>
                <w:szCs w:val="14"/>
                <w:lang w:eastAsia="sk-SK"/>
              </w:rPr>
            </w:pPr>
            <w:r w:rsidRPr="00F15731">
              <w:rPr>
                <w:rFonts w:ascii="Times New Roman" w:hAnsi="Times New Roman" w:cs="Times New Roman"/>
                <w:b/>
                <w:bCs/>
                <w:sz w:val="14"/>
                <w:szCs w:val="14"/>
                <w:lang w:eastAsia="sk-SK"/>
              </w:rPr>
              <w:t>14 309 319</w:t>
            </w:r>
          </w:p>
        </w:tc>
        <w:tc>
          <w:tcPr>
            <w:tcW w:w="4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F15731" w:rsidRDefault="007D13F3" w:rsidP="00465CAC">
            <w:pPr>
              <w:jc w:val="right"/>
              <w:rPr>
                <w:rFonts w:ascii="Times New Roman" w:hAnsi="Times New Roman" w:cs="Times New Roman"/>
                <w:b/>
                <w:bCs/>
                <w:sz w:val="14"/>
                <w:szCs w:val="14"/>
                <w:lang w:eastAsia="sk-SK"/>
              </w:rPr>
            </w:pPr>
            <w:r w:rsidRPr="00F15731">
              <w:rPr>
                <w:rFonts w:ascii="Times New Roman" w:hAnsi="Times New Roman" w:cs="Times New Roman"/>
                <w:b/>
                <w:bCs/>
                <w:sz w:val="14"/>
                <w:szCs w:val="14"/>
                <w:lang w:eastAsia="sk-SK"/>
              </w:rPr>
              <w:t>14 309 319</w:t>
            </w:r>
          </w:p>
        </w:tc>
      </w:tr>
      <w:tr w:rsidR="007D13F3" w:rsidRPr="00F15731" w:rsidTr="00465CAC">
        <w:trPr>
          <w:trHeight w:val="255"/>
        </w:trPr>
        <w:tc>
          <w:tcPr>
            <w:tcW w:w="1914" w:type="pct"/>
            <w:tcBorders>
              <w:top w:val="nil"/>
              <w:left w:val="single" w:sz="4" w:space="0" w:color="auto"/>
              <w:bottom w:val="single" w:sz="4" w:space="0" w:color="auto"/>
              <w:right w:val="single" w:sz="4" w:space="0" w:color="auto"/>
            </w:tcBorders>
            <w:shd w:val="clear" w:color="auto" w:fill="auto"/>
            <w:noWrap/>
            <w:vAlign w:val="bottom"/>
            <w:hideMark/>
          </w:tcPr>
          <w:p w:rsidR="007D13F3" w:rsidRPr="00F15731" w:rsidRDefault="007D13F3" w:rsidP="00465CAC">
            <w:pPr>
              <w:rPr>
                <w:rFonts w:ascii="Times New Roman" w:hAnsi="Times New Roman" w:cs="Times New Roman"/>
                <w:sz w:val="14"/>
                <w:szCs w:val="14"/>
                <w:lang w:eastAsia="sk-SK"/>
              </w:rPr>
            </w:pPr>
            <w:r w:rsidRPr="00F15731">
              <w:rPr>
                <w:rFonts w:ascii="Times New Roman" w:hAnsi="Times New Roman" w:cs="Times New Roman"/>
                <w:sz w:val="14"/>
                <w:szCs w:val="14"/>
                <w:lang w:eastAsia="sk-SK"/>
              </w:rPr>
              <w:t>Systémy vnútornej správy</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418 913</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178 758</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476 854</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476 854</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476 854</w:t>
            </w:r>
          </w:p>
        </w:tc>
      </w:tr>
      <w:tr w:rsidR="007D13F3" w:rsidRPr="00F15731" w:rsidTr="00465CAC">
        <w:trPr>
          <w:trHeight w:val="255"/>
        </w:trPr>
        <w:tc>
          <w:tcPr>
            <w:tcW w:w="1914" w:type="pct"/>
            <w:tcBorders>
              <w:top w:val="nil"/>
              <w:left w:val="single" w:sz="4" w:space="0" w:color="auto"/>
              <w:bottom w:val="single" w:sz="4" w:space="0" w:color="auto"/>
              <w:right w:val="single" w:sz="4" w:space="0" w:color="auto"/>
            </w:tcBorders>
            <w:shd w:val="clear" w:color="auto" w:fill="auto"/>
            <w:noWrap/>
            <w:vAlign w:val="bottom"/>
            <w:hideMark/>
          </w:tcPr>
          <w:p w:rsidR="007D13F3" w:rsidRPr="00F15731" w:rsidRDefault="007D13F3" w:rsidP="00465CAC">
            <w:pPr>
              <w:rPr>
                <w:rFonts w:ascii="Times New Roman" w:hAnsi="Times New Roman" w:cs="Times New Roman"/>
                <w:sz w:val="14"/>
                <w:szCs w:val="14"/>
                <w:lang w:eastAsia="sk-SK"/>
              </w:rPr>
            </w:pPr>
            <w:r w:rsidRPr="00F15731">
              <w:rPr>
                <w:rFonts w:ascii="Times New Roman" w:hAnsi="Times New Roman" w:cs="Times New Roman"/>
                <w:sz w:val="14"/>
                <w:szCs w:val="14"/>
                <w:lang w:eastAsia="sk-SK"/>
              </w:rPr>
              <w:t>Špecializované systémy</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88 000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88 000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88 000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88 000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88 000</w:t>
            </w:r>
          </w:p>
        </w:tc>
      </w:tr>
      <w:tr w:rsidR="007D13F3" w:rsidRPr="00F15731" w:rsidTr="00465CAC">
        <w:trPr>
          <w:trHeight w:val="255"/>
        </w:trPr>
        <w:tc>
          <w:tcPr>
            <w:tcW w:w="1914" w:type="pct"/>
            <w:tcBorders>
              <w:top w:val="nil"/>
              <w:left w:val="single" w:sz="4" w:space="0" w:color="auto"/>
              <w:bottom w:val="single" w:sz="4" w:space="0" w:color="auto"/>
              <w:right w:val="single" w:sz="4" w:space="0" w:color="auto"/>
            </w:tcBorders>
            <w:shd w:val="clear" w:color="auto" w:fill="auto"/>
            <w:noWrap/>
            <w:vAlign w:val="bottom"/>
            <w:hideMark/>
          </w:tcPr>
          <w:p w:rsidR="007D13F3" w:rsidRPr="00F15731" w:rsidRDefault="007D13F3" w:rsidP="00465CAC">
            <w:pPr>
              <w:rPr>
                <w:rFonts w:ascii="Times New Roman" w:hAnsi="Times New Roman" w:cs="Times New Roman"/>
                <w:sz w:val="14"/>
                <w:szCs w:val="14"/>
                <w:lang w:eastAsia="sk-SK"/>
              </w:rPr>
            </w:pPr>
            <w:r w:rsidRPr="00F15731">
              <w:rPr>
                <w:rFonts w:ascii="Times New Roman" w:hAnsi="Times New Roman" w:cs="Times New Roman"/>
                <w:sz w:val="14"/>
                <w:szCs w:val="14"/>
                <w:lang w:eastAsia="sk-SK"/>
              </w:rPr>
              <w:t>Podpora infraštruktúry</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2 382 160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2 828 829</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2 688 083</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2 688 083</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2 688 083</w:t>
            </w:r>
          </w:p>
        </w:tc>
      </w:tr>
      <w:tr w:rsidR="007D13F3" w:rsidRPr="00F15731" w:rsidTr="00465CAC">
        <w:trPr>
          <w:trHeight w:val="255"/>
        </w:trPr>
        <w:tc>
          <w:tcPr>
            <w:tcW w:w="1914" w:type="pct"/>
            <w:tcBorders>
              <w:top w:val="nil"/>
              <w:left w:val="single" w:sz="4" w:space="0" w:color="auto"/>
              <w:bottom w:val="single" w:sz="4" w:space="0" w:color="auto"/>
              <w:right w:val="single" w:sz="4" w:space="0" w:color="auto"/>
            </w:tcBorders>
            <w:shd w:val="clear" w:color="auto" w:fill="auto"/>
            <w:noWrap/>
            <w:vAlign w:val="bottom"/>
            <w:hideMark/>
          </w:tcPr>
          <w:p w:rsidR="007D13F3" w:rsidRPr="00F15731" w:rsidRDefault="007D13F3" w:rsidP="00465CAC">
            <w:pPr>
              <w:rPr>
                <w:rFonts w:ascii="Times New Roman" w:hAnsi="Times New Roman" w:cs="Times New Roman"/>
                <w:sz w:val="14"/>
                <w:szCs w:val="14"/>
                <w:lang w:eastAsia="sk-SK"/>
              </w:rPr>
            </w:pPr>
            <w:r w:rsidRPr="00F15731">
              <w:rPr>
                <w:rFonts w:ascii="Times New Roman" w:hAnsi="Times New Roman" w:cs="Times New Roman"/>
                <w:sz w:val="14"/>
                <w:szCs w:val="14"/>
                <w:lang w:eastAsia="sk-SK"/>
              </w:rPr>
              <w:t>Informačné technológie v RŠ</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6 621 349</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8 837 424</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6 386 669</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6 386 669</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6 386 669</w:t>
            </w:r>
          </w:p>
        </w:tc>
      </w:tr>
      <w:tr w:rsidR="007D13F3" w:rsidRPr="00F15731" w:rsidTr="00465CAC">
        <w:trPr>
          <w:trHeight w:val="255"/>
        </w:trPr>
        <w:tc>
          <w:tcPr>
            <w:tcW w:w="1914" w:type="pct"/>
            <w:tcBorders>
              <w:top w:val="nil"/>
              <w:left w:val="single" w:sz="4" w:space="0" w:color="auto"/>
              <w:bottom w:val="single" w:sz="4" w:space="0" w:color="auto"/>
              <w:right w:val="single" w:sz="4" w:space="0" w:color="auto"/>
            </w:tcBorders>
            <w:shd w:val="clear" w:color="auto" w:fill="auto"/>
            <w:noWrap/>
            <w:vAlign w:val="bottom"/>
            <w:hideMark/>
          </w:tcPr>
          <w:p w:rsidR="007D13F3" w:rsidRPr="00F15731" w:rsidRDefault="007D13F3" w:rsidP="00465CAC">
            <w:pPr>
              <w:rPr>
                <w:rFonts w:ascii="Times New Roman" w:hAnsi="Times New Roman" w:cs="Times New Roman"/>
                <w:sz w:val="14"/>
                <w:szCs w:val="14"/>
                <w:lang w:eastAsia="sk-SK"/>
              </w:rPr>
            </w:pPr>
            <w:r w:rsidRPr="00F15731">
              <w:rPr>
                <w:rFonts w:ascii="Times New Roman" w:hAnsi="Times New Roman" w:cs="Times New Roman"/>
                <w:sz w:val="14"/>
                <w:szCs w:val="14"/>
                <w:lang w:eastAsia="sk-SK"/>
              </w:rPr>
              <w:t>Informačné technológie vo VŠ</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4 669 713</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4 687 665</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4 669 713</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4 669 713</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F15731" w:rsidRDefault="007D13F3" w:rsidP="00465CAC">
            <w:pPr>
              <w:jc w:val="right"/>
              <w:rPr>
                <w:rFonts w:ascii="Times New Roman" w:hAnsi="Times New Roman" w:cs="Times New Roman"/>
                <w:sz w:val="14"/>
                <w:szCs w:val="14"/>
                <w:lang w:eastAsia="sk-SK"/>
              </w:rPr>
            </w:pPr>
            <w:r w:rsidRPr="00F15731">
              <w:rPr>
                <w:rFonts w:ascii="Times New Roman" w:hAnsi="Times New Roman" w:cs="Times New Roman"/>
                <w:sz w:val="14"/>
                <w:szCs w:val="14"/>
                <w:lang w:eastAsia="sk-SK"/>
              </w:rPr>
              <w:t>4 669 713</w:t>
            </w:r>
          </w:p>
        </w:tc>
      </w:tr>
    </w:tbl>
    <w:p w:rsidR="007D13F3" w:rsidRDefault="007D13F3" w:rsidP="007D13F3">
      <w:pPr>
        <w:spacing w:after="200"/>
        <w:contextualSpacing/>
        <w:jc w:val="both"/>
        <w:rPr>
          <w:rFonts w:ascii="Times New Roman" w:hAnsi="Times New Roman" w:cs="Times New Roman"/>
        </w:rPr>
      </w:pPr>
    </w:p>
    <w:p w:rsidR="007D13F3" w:rsidRDefault="007D13F3" w:rsidP="007D13F3">
      <w:pPr>
        <w:ind w:firstLine="708"/>
        <w:contextualSpacing/>
        <w:jc w:val="both"/>
        <w:rPr>
          <w:rFonts w:ascii="Times New Roman" w:hAnsi="Times New Roman" w:cs="Times New Roman"/>
        </w:rPr>
      </w:pPr>
      <w:r w:rsidRPr="00933EB3">
        <w:rPr>
          <w:rFonts w:ascii="Times New Roman" w:hAnsi="Times New Roman" w:cs="Times New Roman"/>
        </w:rPr>
        <w:lastRenderedPageBreak/>
        <w:t xml:space="preserve">Pre potreby centrálneho rozpočtovania a sledovania výdavkov na informačné technológie </w:t>
      </w:r>
      <w:r>
        <w:rPr>
          <w:rFonts w:ascii="Times New Roman" w:hAnsi="Times New Roman" w:cs="Times New Roman"/>
        </w:rPr>
        <w:t>bo</w:t>
      </w:r>
      <w:r w:rsidRPr="00933EB3">
        <w:rPr>
          <w:rFonts w:ascii="Times New Roman" w:hAnsi="Times New Roman" w:cs="Times New Roman"/>
        </w:rPr>
        <w:t>l vytvorený medzirezortný podprogram – 0EK0F Informačné technológie financované zo štátneho rozpočtu. MŠVVŠ SR ako účastník medzirezortného podprogramu vykonalo presuny výdavkov rozpočtovaných v rámci programov pre jednotlivé oblasti do nového medzirezortného podprogramu. Výdavky z tohto medzirezortného podprogramu sú zahrnuté podľa vecnej príslušnosti do jednotlivých oblastí</w:t>
      </w:r>
      <w:r>
        <w:rPr>
          <w:rFonts w:ascii="Times New Roman" w:hAnsi="Times New Roman" w:cs="Times New Roman"/>
        </w:rPr>
        <w:t>.</w:t>
      </w:r>
    </w:p>
    <w:p w:rsidR="007D13F3" w:rsidRDefault="007D13F3" w:rsidP="007D13F3">
      <w:pPr>
        <w:jc w:val="both"/>
        <w:rPr>
          <w:rFonts w:ascii="Times New Roman" w:hAnsi="Times New Roman" w:cs="Times New Roman"/>
        </w:rPr>
      </w:pPr>
    </w:p>
    <w:p w:rsidR="007D13F3" w:rsidRPr="00FD3034" w:rsidRDefault="007D13F3" w:rsidP="007D13F3">
      <w:pPr>
        <w:pStyle w:val="Nadpis5"/>
        <w:pBdr>
          <w:bottom w:val="single" w:sz="4" w:space="1" w:color="auto"/>
        </w:pBdr>
        <w:spacing w:before="0" w:after="0"/>
        <w:ind w:left="0"/>
        <w:rPr>
          <w:i w:val="0"/>
          <w:sz w:val="24"/>
          <w:szCs w:val="24"/>
        </w:rPr>
      </w:pPr>
      <w:bookmarkStart w:id="90" w:name="_Toc400551754"/>
      <w:bookmarkStart w:id="91" w:name="_Toc494470094"/>
      <w:bookmarkStart w:id="92" w:name="_Toc494472270"/>
      <w:r w:rsidRPr="00FD3034">
        <w:rPr>
          <w:i w:val="0"/>
          <w:sz w:val="24"/>
          <w:szCs w:val="24"/>
        </w:rPr>
        <w:t>Ministerstvo dopravy</w:t>
      </w:r>
      <w:r>
        <w:rPr>
          <w:i w:val="0"/>
          <w:sz w:val="24"/>
          <w:szCs w:val="24"/>
        </w:rPr>
        <w:t xml:space="preserve"> a</w:t>
      </w:r>
      <w:r w:rsidRPr="00FD3034">
        <w:rPr>
          <w:i w:val="0"/>
          <w:sz w:val="24"/>
          <w:szCs w:val="24"/>
        </w:rPr>
        <w:t xml:space="preserve"> výstavby SR</w:t>
      </w:r>
      <w:bookmarkEnd w:id="90"/>
      <w:bookmarkEnd w:id="91"/>
      <w:bookmarkEnd w:id="92"/>
    </w:p>
    <w:p w:rsidR="007D13F3" w:rsidRDefault="007D13F3" w:rsidP="007D13F3">
      <w:pPr>
        <w:pStyle w:val="titulok"/>
        <w:spacing w:before="0" w:beforeAutospacing="0" w:after="0" w:afterAutospacing="0"/>
        <w:jc w:val="both"/>
        <w:rPr>
          <w:rFonts w:ascii="Times New Roman" w:hAnsi="Times New Roman" w:cs="Courier"/>
          <w:b w:val="0"/>
          <w:bCs w:val="0"/>
          <w:color w:val="auto"/>
          <w:highlight w:val="yellow"/>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5"/>
        <w:gridCol w:w="949"/>
        <w:gridCol w:w="948"/>
        <w:gridCol w:w="948"/>
        <w:gridCol w:w="948"/>
        <w:gridCol w:w="948"/>
        <w:gridCol w:w="948"/>
        <w:gridCol w:w="948"/>
      </w:tblGrid>
      <w:tr w:rsidR="007D13F3" w:rsidRPr="00900D1A" w:rsidTr="00465CAC">
        <w:trPr>
          <w:trHeight w:val="285"/>
        </w:trPr>
        <w:tc>
          <w:tcPr>
            <w:tcW w:w="2425" w:type="dxa"/>
            <w:shd w:val="clear" w:color="000000" w:fill="A6A6A6" w:themeFill="background1" w:themeFillShade="A6"/>
            <w:noWrap/>
            <w:vAlign w:val="bottom"/>
          </w:tcPr>
          <w:p w:rsidR="007D13F3" w:rsidRPr="00C52925" w:rsidRDefault="007D13F3" w:rsidP="00465CAC">
            <w:pP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 xml:space="preserve">v eurách </w:t>
            </w:r>
          </w:p>
        </w:tc>
        <w:tc>
          <w:tcPr>
            <w:tcW w:w="949" w:type="dxa"/>
            <w:shd w:val="clear" w:color="000000" w:fill="A6A6A6" w:themeFill="background1" w:themeFillShade="A6"/>
            <w:vAlign w:val="bottom"/>
          </w:tcPr>
          <w:p w:rsidR="007D13F3" w:rsidRPr="00C52925" w:rsidRDefault="007D13F3" w:rsidP="00465CAC">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C52925">
              <w:rPr>
                <w:rFonts w:ascii="Times New Roman" w:hAnsi="Times New Roman" w:cs="Times New Roman"/>
                <w:b/>
                <w:bCs/>
                <w:color w:val="000000"/>
                <w:sz w:val="14"/>
                <w:szCs w:val="14"/>
              </w:rPr>
              <w:t xml:space="preserve"> S</w:t>
            </w:r>
          </w:p>
        </w:tc>
        <w:tc>
          <w:tcPr>
            <w:tcW w:w="948" w:type="dxa"/>
            <w:shd w:val="clear" w:color="000000" w:fill="A6A6A6" w:themeFill="background1" w:themeFillShade="A6"/>
            <w:vAlign w:val="bottom"/>
          </w:tcPr>
          <w:p w:rsidR="007D13F3" w:rsidRPr="00C52925" w:rsidRDefault="007D13F3" w:rsidP="00465CAC">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C52925">
              <w:rPr>
                <w:rFonts w:ascii="Times New Roman" w:hAnsi="Times New Roman" w:cs="Times New Roman"/>
                <w:b/>
                <w:bCs/>
                <w:color w:val="000000"/>
                <w:sz w:val="14"/>
                <w:szCs w:val="14"/>
              </w:rPr>
              <w:t xml:space="preserve"> S</w:t>
            </w:r>
          </w:p>
        </w:tc>
        <w:tc>
          <w:tcPr>
            <w:tcW w:w="948" w:type="dxa"/>
            <w:shd w:val="clear" w:color="000000" w:fill="A6A6A6" w:themeFill="background1" w:themeFillShade="A6"/>
            <w:vAlign w:val="bottom"/>
          </w:tcPr>
          <w:p w:rsidR="007D13F3" w:rsidRPr="00C52925" w:rsidRDefault="007D13F3" w:rsidP="00465CAC">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C52925">
              <w:rPr>
                <w:rFonts w:ascii="Times New Roman" w:hAnsi="Times New Roman" w:cs="Times New Roman"/>
                <w:b/>
                <w:bCs/>
                <w:color w:val="000000"/>
                <w:sz w:val="14"/>
                <w:szCs w:val="14"/>
              </w:rPr>
              <w:t xml:space="preserve"> R</w:t>
            </w:r>
          </w:p>
        </w:tc>
        <w:tc>
          <w:tcPr>
            <w:tcW w:w="948" w:type="dxa"/>
            <w:shd w:val="clear" w:color="000000" w:fill="A6A6A6" w:themeFill="background1" w:themeFillShade="A6"/>
            <w:vAlign w:val="bottom"/>
          </w:tcPr>
          <w:p w:rsidR="007D13F3" w:rsidRPr="00775C7E" w:rsidRDefault="007D13F3" w:rsidP="00465CAC">
            <w:pPr>
              <w:jc w:val="center"/>
              <w:rPr>
                <w:rFonts w:ascii="Times New Roman" w:hAnsi="Times New Roman" w:cs="Times New Roman"/>
                <w:b/>
                <w:bCs/>
                <w:color w:val="000000"/>
                <w:sz w:val="14"/>
                <w:szCs w:val="14"/>
                <w:highlight w:val="yellow"/>
              </w:rPr>
            </w:pPr>
            <w:r w:rsidRPr="00C52925">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C52925">
              <w:rPr>
                <w:rFonts w:ascii="Times New Roman" w:hAnsi="Times New Roman" w:cs="Times New Roman"/>
                <w:b/>
                <w:bCs/>
                <w:color w:val="000000"/>
                <w:sz w:val="14"/>
                <w:szCs w:val="14"/>
              </w:rPr>
              <w:t xml:space="preserve"> OS</w:t>
            </w:r>
          </w:p>
        </w:tc>
        <w:tc>
          <w:tcPr>
            <w:tcW w:w="948" w:type="dxa"/>
            <w:shd w:val="clear" w:color="000000" w:fill="A6A6A6" w:themeFill="background1" w:themeFillShade="A6"/>
            <w:vAlign w:val="bottom"/>
          </w:tcPr>
          <w:p w:rsidR="007D13F3" w:rsidRPr="00775C7E" w:rsidRDefault="007D13F3" w:rsidP="00465CAC">
            <w:pPr>
              <w:jc w:val="center"/>
              <w:rPr>
                <w:rFonts w:ascii="Times New Roman" w:hAnsi="Times New Roman" w:cs="Times New Roman"/>
                <w:b/>
                <w:bCs/>
                <w:color w:val="000000"/>
                <w:sz w:val="14"/>
                <w:szCs w:val="14"/>
                <w:highlight w:val="yellow"/>
              </w:rPr>
            </w:pPr>
            <w:r w:rsidRPr="00C52925">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C52925">
              <w:rPr>
                <w:rFonts w:ascii="Times New Roman" w:hAnsi="Times New Roman" w:cs="Times New Roman"/>
                <w:b/>
                <w:bCs/>
                <w:color w:val="000000"/>
                <w:sz w:val="14"/>
                <w:szCs w:val="14"/>
              </w:rPr>
              <w:t xml:space="preserve"> N</w:t>
            </w:r>
          </w:p>
        </w:tc>
        <w:tc>
          <w:tcPr>
            <w:tcW w:w="948" w:type="dxa"/>
            <w:shd w:val="clear" w:color="000000" w:fill="A6A6A6" w:themeFill="background1" w:themeFillShade="A6"/>
            <w:vAlign w:val="bottom"/>
          </w:tcPr>
          <w:p w:rsidR="007D13F3" w:rsidRPr="00C52925" w:rsidRDefault="007D13F3" w:rsidP="00465CAC">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201</w:t>
            </w:r>
            <w:r>
              <w:rPr>
                <w:rFonts w:ascii="Times New Roman" w:hAnsi="Times New Roman" w:cs="Times New Roman"/>
                <w:b/>
                <w:bCs/>
                <w:color w:val="000000"/>
                <w:sz w:val="14"/>
                <w:szCs w:val="14"/>
              </w:rPr>
              <w:t xml:space="preserve">9 </w:t>
            </w:r>
            <w:r w:rsidRPr="00C52925">
              <w:rPr>
                <w:rFonts w:ascii="Times New Roman" w:hAnsi="Times New Roman" w:cs="Times New Roman"/>
                <w:b/>
                <w:bCs/>
                <w:color w:val="000000"/>
                <w:sz w:val="14"/>
                <w:szCs w:val="14"/>
              </w:rPr>
              <w:t>N</w:t>
            </w:r>
          </w:p>
        </w:tc>
        <w:tc>
          <w:tcPr>
            <w:tcW w:w="948" w:type="dxa"/>
            <w:shd w:val="clear" w:color="000000" w:fill="A6A6A6" w:themeFill="background1" w:themeFillShade="A6"/>
            <w:vAlign w:val="bottom"/>
          </w:tcPr>
          <w:p w:rsidR="007D13F3" w:rsidRPr="00C52925" w:rsidRDefault="007D13F3" w:rsidP="00465CAC">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w:t>
            </w:r>
            <w:r>
              <w:rPr>
                <w:rFonts w:ascii="Times New Roman" w:hAnsi="Times New Roman" w:cs="Times New Roman"/>
                <w:b/>
                <w:bCs/>
                <w:color w:val="000000"/>
                <w:sz w:val="14"/>
                <w:szCs w:val="14"/>
              </w:rPr>
              <w:t>20</w:t>
            </w:r>
            <w:r w:rsidRPr="00C52925">
              <w:rPr>
                <w:rFonts w:ascii="Times New Roman" w:hAnsi="Times New Roman" w:cs="Times New Roman"/>
                <w:b/>
                <w:bCs/>
                <w:color w:val="000000"/>
                <w:sz w:val="14"/>
                <w:szCs w:val="14"/>
              </w:rPr>
              <w:t xml:space="preserve"> N</w:t>
            </w:r>
          </w:p>
        </w:tc>
      </w:tr>
      <w:tr w:rsidR="007D13F3" w:rsidRPr="00900D1A" w:rsidTr="00465CAC">
        <w:trPr>
          <w:trHeight w:val="285"/>
        </w:trPr>
        <w:tc>
          <w:tcPr>
            <w:tcW w:w="2425" w:type="dxa"/>
            <w:shd w:val="clear" w:color="000000" w:fill="BFBFBF" w:themeFill="background1" w:themeFillShade="BF"/>
            <w:noWrap/>
            <w:vAlign w:val="bottom"/>
          </w:tcPr>
          <w:p w:rsidR="007D13F3" w:rsidRPr="00346A12" w:rsidRDefault="007D13F3" w:rsidP="00465CAC">
            <w:pPr>
              <w:rPr>
                <w:rFonts w:ascii="Times New Roman" w:hAnsi="Times New Roman" w:cs="Times New Roman"/>
                <w:b/>
                <w:bCs/>
                <w:color w:val="000000"/>
                <w:sz w:val="14"/>
                <w:szCs w:val="14"/>
                <w:lang w:eastAsia="sk-SK"/>
              </w:rPr>
            </w:pPr>
            <w:r w:rsidRPr="00A629CF">
              <w:rPr>
                <w:rFonts w:ascii="Times New Roman" w:hAnsi="Times New Roman" w:cs="Times New Roman"/>
                <w:b/>
                <w:bCs/>
                <w:sz w:val="14"/>
                <w:szCs w:val="14"/>
                <w:lang w:eastAsia="sk-SK"/>
              </w:rPr>
              <w:t>Zdroje príslušnej kapitoly vrátane 72e</w:t>
            </w:r>
          </w:p>
        </w:tc>
        <w:tc>
          <w:tcPr>
            <w:tcW w:w="949" w:type="dxa"/>
            <w:shd w:val="clear" w:color="000000" w:fill="BFBFBF" w:themeFill="background1" w:themeFillShade="BF"/>
            <w:vAlign w:val="bottom"/>
          </w:tcPr>
          <w:p w:rsidR="007D13F3" w:rsidRPr="00D57A20" w:rsidRDefault="007D13F3" w:rsidP="00465CAC">
            <w:pPr>
              <w:jc w:val="center"/>
              <w:rPr>
                <w:rFonts w:ascii="Times New Roman" w:hAnsi="Times New Roman" w:cs="Times New Roman"/>
                <w:b/>
                <w:bCs/>
                <w:color w:val="000000"/>
                <w:sz w:val="14"/>
                <w:szCs w:val="14"/>
                <w:lang w:eastAsia="sk-SK"/>
              </w:rPr>
            </w:pPr>
            <w:r w:rsidRPr="00D57A20">
              <w:rPr>
                <w:rFonts w:ascii="Times New Roman" w:hAnsi="Times New Roman" w:cs="Times New Roman"/>
                <w:b/>
                <w:bCs/>
                <w:color w:val="000000"/>
                <w:sz w:val="14"/>
                <w:szCs w:val="14"/>
              </w:rPr>
              <w:t>2 898 743 898</w:t>
            </w:r>
          </w:p>
        </w:tc>
        <w:tc>
          <w:tcPr>
            <w:tcW w:w="948" w:type="dxa"/>
            <w:shd w:val="clear" w:color="000000" w:fill="BFBFBF" w:themeFill="background1" w:themeFillShade="BF"/>
            <w:vAlign w:val="bottom"/>
          </w:tcPr>
          <w:p w:rsidR="007D13F3" w:rsidRPr="00D57A20" w:rsidRDefault="007D13F3" w:rsidP="00465CAC">
            <w:pPr>
              <w:jc w:val="center"/>
              <w:rPr>
                <w:rFonts w:ascii="Times New Roman" w:hAnsi="Times New Roman" w:cs="Times New Roman"/>
                <w:b/>
                <w:bCs/>
                <w:color w:val="000000"/>
                <w:sz w:val="14"/>
                <w:szCs w:val="14"/>
              </w:rPr>
            </w:pPr>
            <w:r w:rsidRPr="00D57A20">
              <w:rPr>
                <w:rFonts w:ascii="Times New Roman" w:hAnsi="Times New Roman" w:cs="Times New Roman"/>
                <w:b/>
                <w:bCs/>
                <w:color w:val="000000"/>
                <w:sz w:val="14"/>
                <w:szCs w:val="14"/>
              </w:rPr>
              <w:t>1 488 391 067</w:t>
            </w:r>
          </w:p>
        </w:tc>
        <w:tc>
          <w:tcPr>
            <w:tcW w:w="948" w:type="dxa"/>
            <w:shd w:val="clear" w:color="000000" w:fill="BFBFBF" w:themeFill="background1" w:themeFillShade="BF"/>
            <w:vAlign w:val="bottom"/>
          </w:tcPr>
          <w:p w:rsidR="007D13F3" w:rsidRPr="00346A12" w:rsidRDefault="007D13F3" w:rsidP="00465CAC">
            <w:pPr>
              <w:jc w:val="right"/>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2 149 834 492</w:t>
            </w:r>
          </w:p>
        </w:tc>
        <w:tc>
          <w:tcPr>
            <w:tcW w:w="948" w:type="dxa"/>
            <w:shd w:val="clear" w:color="000000" w:fill="BFBFBF" w:themeFill="background1" w:themeFillShade="BF"/>
            <w:vAlign w:val="bottom"/>
          </w:tcPr>
          <w:p w:rsidR="007D13F3" w:rsidRPr="00715793" w:rsidRDefault="007D13F3" w:rsidP="00465CAC">
            <w:pPr>
              <w:jc w:val="center"/>
              <w:rPr>
                <w:rFonts w:ascii="Times New Roman" w:hAnsi="Times New Roman" w:cs="Times New Roman"/>
                <w:b/>
                <w:bCs/>
                <w:color w:val="000000"/>
                <w:sz w:val="14"/>
                <w:szCs w:val="14"/>
                <w:lang w:eastAsia="sk-SK"/>
              </w:rPr>
            </w:pPr>
            <w:r w:rsidRPr="00715793">
              <w:rPr>
                <w:rFonts w:ascii="Times New Roman" w:hAnsi="Times New Roman" w:cs="Times New Roman"/>
                <w:b/>
                <w:bCs/>
                <w:color w:val="000000"/>
                <w:sz w:val="14"/>
                <w:szCs w:val="14"/>
              </w:rPr>
              <w:t>1 625 672 113</w:t>
            </w:r>
          </w:p>
        </w:tc>
        <w:tc>
          <w:tcPr>
            <w:tcW w:w="948" w:type="dxa"/>
            <w:shd w:val="clear" w:color="000000" w:fill="BFBFBF" w:themeFill="background1" w:themeFillShade="BF"/>
            <w:vAlign w:val="bottom"/>
          </w:tcPr>
          <w:p w:rsidR="007D13F3" w:rsidRPr="002615B8" w:rsidRDefault="007D13F3" w:rsidP="00465CAC">
            <w:pPr>
              <w:jc w:val="center"/>
              <w:rPr>
                <w:rFonts w:ascii="Times New Roman" w:hAnsi="Times New Roman" w:cs="Times New Roman"/>
                <w:b/>
                <w:bCs/>
                <w:color w:val="000000"/>
                <w:sz w:val="14"/>
                <w:szCs w:val="14"/>
                <w:lang w:eastAsia="sk-SK"/>
              </w:rPr>
            </w:pPr>
            <w:r w:rsidRPr="002615B8">
              <w:rPr>
                <w:rFonts w:ascii="Times New Roman" w:hAnsi="Times New Roman" w:cs="Times New Roman"/>
                <w:b/>
                <w:bCs/>
                <w:color w:val="000000"/>
                <w:sz w:val="14"/>
                <w:szCs w:val="14"/>
              </w:rPr>
              <w:t>1 176 185 143</w:t>
            </w:r>
          </w:p>
        </w:tc>
        <w:tc>
          <w:tcPr>
            <w:tcW w:w="948" w:type="dxa"/>
            <w:shd w:val="clear" w:color="000000" w:fill="BFBFBF" w:themeFill="background1" w:themeFillShade="BF"/>
            <w:vAlign w:val="bottom"/>
          </w:tcPr>
          <w:p w:rsidR="007D13F3" w:rsidRPr="002615B8" w:rsidRDefault="007D13F3" w:rsidP="00465CAC">
            <w:pPr>
              <w:jc w:val="center"/>
              <w:rPr>
                <w:rFonts w:ascii="Times New Roman" w:hAnsi="Times New Roman" w:cs="Times New Roman"/>
                <w:b/>
                <w:bCs/>
                <w:color w:val="000000"/>
                <w:sz w:val="14"/>
                <w:szCs w:val="14"/>
              </w:rPr>
            </w:pPr>
            <w:r w:rsidRPr="002615B8">
              <w:rPr>
                <w:rFonts w:ascii="Times New Roman" w:hAnsi="Times New Roman" w:cs="Times New Roman"/>
                <w:b/>
                <w:bCs/>
                <w:color w:val="000000"/>
                <w:sz w:val="14"/>
                <w:szCs w:val="14"/>
              </w:rPr>
              <w:t>1 546 267 196</w:t>
            </w:r>
          </w:p>
        </w:tc>
        <w:tc>
          <w:tcPr>
            <w:tcW w:w="948" w:type="dxa"/>
            <w:shd w:val="clear" w:color="000000" w:fill="BFBFBF" w:themeFill="background1" w:themeFillShade="BF"/>
            <w:vAlign w:val="bottom"/>
          </w:tcPr>
          <w:p w:rsidR="007D13F3" w:rsidRPr="002615B8" w:rsidRDefault="007D13F3" w:rsidP="00465CAC">
            <w:pPr>
              <w:jc w:val="center"/>
              <w:rPr>
                <w:rFonts w:ascii="Times New Roman" w:hAnsi="Times New Roman" w:cs="Times New Roman"/>
                <w:b/>
                <w:bCs/>
                <w:color w:val="000000"/>
                <w:sz w:val="14"/>
                <w:szCs w:val="14"/>
              </w:rPr>
            </w:pPr>
            <w:r w:rsidRPr="002615B8">
              <w:rPr>
                <w:rFonts w:ascii="Times New Roman" w:hAnsi="Times New Roman" w:cs="Times New Roman"/>
                <w:b/>
                <w:bCs/>
                <w:color w:val="000000"/>
                <w:sz w:val="14"/>
                <w:szCs w:val="14"/>
              </w:rPr>
              <w:t>1 561 760 387</w:t>
            </w:r>
          </w:p>
        </w:tc>
      </w:tr>
      <w:tr w:rsidR="007D13F3" w:rsidRPr="00900D1A" w:rsidTr="00465CAC">
        <w:trPr>
          <w:trHeight w:val="285"/>
        </w:trPr>
        <w:tc>
          <w:tcPr>
            <w:tcW w:w="2425" w:type="dxa"/>
            <w:shd w:val="clear" w:color="000000" w:fill="BFBFBF" w:themeFill="background1" w:themeFillShade="BF"/>
            <w:noWrap/>
            <w:vAlign w:val="bottom"/>
            <w:hideMark/>
          </w:tcPr>
          <w:p w:rsidR="007D13F3" w:rsidRPr="00346A12" w:rsidRDefault="007D13F3" w:rsidP="00465CAC">
            <w:pP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Zdroje príslušnej kapitoly </w:t>
            </w:r>
          </w:p>
        </w:tc>
        <w:tc>
          <w:tcPr>
            <w:tcW w:w="949" w:type="dxa"/>
            <w:shd w:val="clear" w:color="000000" w:fill="BFBFBF" w:themeFill="background1" w:themeFillShade="BF"/>
            <w:vAlign w:val="bottom"/>
            <w:hideMark/>
          </w:tcPr>
          <w:p w:rsidR="007D13F3" w:rsidRPr="00346A12" w:rsidRDefault="007D13F3" w:rsidP="00465CAC">
            <w:pPr>
              <w:jc w:val="right"/>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2 898 642 561</w:t>
            </w:r>
          </w:p>
        </w:tc>
        <w:tc>
          <w:tcPr>
            <w:tcW w:w="948" w:type="dxa"/>
            <w:shd w:val="clear" w:color="000000" w:fill="BFBFBF" w:themeFill="background1" w:themeFillShade="BF"/>
            <w:vAlign w:val="bottom"/>
            <w:hideMark/>
          </w:tcPr>
          <w:p w:rsidR="007D13F3" w:rsidRPr="00346A12" w:rsidRDefault="007D13F3" w:rsidP="00465CAC">
            <w:pPr>
              <w:jc w:val="right"/>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1 488 293 230</w:t>
            </w:r>
          </w:p>
        </w:tc>
        <w:tc>
          <w:tcPr>
            <w:tcW w:w="948" w:type="dxa"/>
            <w:shd w:val="clear" w:color="000000" w:fill="BFBFBF" w:themeFill="background1" w:themeFillShade="BF"/>
            <w:vAlign w:val="bottom"/>
            <w:hideMark/>
          </w:tcPr>
          <w:p w:rsidR="007D13F3" w:rsidRPr="00346A12" w:rsidRDefault="007D13F3" w:rsidP="00465CAC">
            <w:pPr>
              <w:jc w:val="right"/>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2 149 834 492</w:t>
            </w:r>
          </w:p>
        </w:tc>
        <w:tc>
          <w:tcPr>
            <w:tcW w:w="948" w:type="dxa"/>
            <w:shd w:val="clear" w:color="000000" w:fill="BFBFBF" w:themeFill="background1" w:themeFillShade="BF"/>
            <w:vAlign w:val="bottom"/>
            <w:hideMark/>
          </w:tcPr>
          <w:p w:rsidR="007D13F3" w:rsidRPr="00715793" w:rsidRDefault="007D13F3" w:rsidP="00465CAC">
            <w:pPr>
              <w:jc w:val="right"/>
              <w:rPr>
                <w:rFonts w:ascii="Times New Roman" w:hAnsi="Times New Roman" w:cs="Times New Roman"/>
                <w:b/>
                <w:bCs/>
                <w:color w:val="000000"/>
                <w:sz w:val="14"/>
                <w:szCs w:val="14"/>
              </w:rPr>
            </w:pPr>
            <w:r w:rsidRPr="00715793">
              <w:rPr>
                <w:rFonts w:ascii="Times New Roman" w:hAnsi="Times New Roman" w:cs="Times New Roman"/>
                <w:b/>
                <w:bCs/>
                <w:color w:val="000000"/>
                <w:sz w:val="14"/>
                <w:szCs w:val="14"/>
              </w:rPr>
              <w:t>1 625 672 113</w:t>
            </w:r>
          </w:p>
        </w:tc>
        <w:tc>
          <w:tcPr>
            <w:tcW w:w="948" w:type="dxa"/>
            <w:shd w:val="clear" w:color="000000" w:fill="BFBFBF" w:themeFill="background1" w:themeFillShade="BF"/>
            <w:vAlign w:val="bottom"/>
            <w:hideMark/>
          </w:tcPr>
          <w:p w:rsidR="007D13F3" w:rsidRPr="002615B8" w:rsidRDefault="007D13F3" w:rsidP="00465CAC">
            <w:pPr>
              <w:jc w:val="right"/>
              <w:rPr>
                <w:rFonts w:ascii="Times New Roman" w:hAnsi="Times New Roman" w:cs="Times New Roman"/>
                <w:b/>
                <w:bCs/>
                <w:color w:val="000000"/>
                <w:sz w:val="14"/>
                <w:szCs w:val="14"/>
              </w:rPr>
            </w:pPr>
            <w:r w:rsidRPr="002615B8">
              <w:rPr>
                <w:rFonts w:ascii="Times New Roman" w:hAnsi="Times New Roman" w:cs="Times New Roman"/>
                <w:b/>
                <w:bCs/>
                <w:color w:val="000000"/>
                <w:sz w:val="14"/>
                <w:szCs w:val="14"/>
              </w:rPr>
              <w:t>1 176 185 143</w:t>
            </w:r>
          </w:p>
        </w:tc>
        <w:tc>
          <w:tcPr>
            <w:tcW w:w="948" w:type="dxa"/>
            <w:shd w:val="clear" w:color="000000" w:fill="BFBFBF" w:themeFill="background1" w:themeFillShade="BF"/>
            <w:vAlign w:val="bottom"/>
            <w:hideMark/>
          </w:tcPr>
          <w:p w:rsidR="007D13F3" w:rsidRPr="002615B8" w:rsidRDefault="007D13F3" w:rsidP="00465CAC">
            <w:pPr>
              <w:jc w:val="right"/>
              <w:rPr>
                <w:rFonts w:ascii="Times New Roman" w:hAnsi="Times New Roman" w:cs="Times New Roman"/>
                <w:b/>
                <w:bCs/>
                <w:color w:val="000000"/>
                <w:sz w:val="14"/>
                <w:szCs w:val="14"/>
              </w:rPr>
            </w:pPr>
            <w:r w:rsidRPr="002615B8">
              <w:rPr>
                <w:rFonts w:ascii="Times New Roman" w:hAnsi="Times New Roman" w:cs="Times New Roman"/>
                <w:b/>
                <w:bCs/>
                <w:color w:val="000000"/>
                <w:sz w:val="14"/>
                <w:szCs w:val="14"/>
              </w:rPr>
              <w:t>1 546 267 196</w:t>
            </w:r>
          </w:p>
        </w:tc>
        <w:tc>
          <w:tcPr>
            <w:tcW w:w="948" w:type="dxa"/>
            <w:shd w:val="clear" w:color="000000" w:fill="BFBFBF" w:themeFill="background1" w:themeFillShade="BF"/>
            <w:vAlign w:val="bottom"/>
            <w:hideMark/>
          </w:tcPr>
          <w:p w:rsidR="007D13F3" w:rsidRPr="002615B8" w:rsidRDefault="007D13F3" w:rsidP="00465CAC">
            <w:pPr>
              <w:jc w:val="right"/>
              <w:rPr>
                <w:rFonts w:ascii="Times New Roman" w:hAnsi="Times New Roman" w:cs="Times New Roman"/>
                <w:b/>
                <w:bCs/>
                <w:color w:val="000000"/>
                <w:sz w:val="14"/>
                <w:szCs w:val="14"/>
              </w:rPr>
            </w:pPr>
            <w:r w:rsidRPr="002615B8">
              <w:rPr>
                <w:rFonts w:ascii="Times New Roman" w:hAnsi="Times New Roman" w:cs="Times New Roman"/>
                <w:b/>
                <w:bCs/>
                <w:color w:val="000000"/>
                <w:sz w:val="14"/>
                <w:szCs w:val="14"/>
              </w:rPr>
              <w:t>1 561 760 387</w:t>
            </w:r>
          </w:p>
        </w:tc>
      </w:tr>
      <w:tr w:rsidR="007D13F3" w:rsidRPr="00900D1A" w:rsidTr="00465CAC">
        <w:trPr>
          <w:trHeight w:hRule="exact" w:val="284"/>
        </w:trPr>
        <w:tc>
          <w:tcPr>
            <w:tcW w:w="2425" w:type="dxa"/>
            <w:shd w:val="clear" w:color="auto" w:fill="auto"/>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z toho:</w:t>
            </w:r>
          </w:p>
        </w:tc>
        <w:tc>
          <w:tcPr>
            <w:tcW w:w="949" w:type="dxa"/>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w:t>
            </w:r>
          </w:p>
        </w:tc>
        <w:tc>
          <w:tcPr>
            <w:tcW w:w="948" w:type="dxa"/>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w:t>
            </w:r>
          </w:p>
        </w:tc>
        <w:tc>
          <w:tcPr>
            <w:tcW w:w="948" w:type="dxa"/>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w:t>
            </w:r>
          </w:p>
        </w:tc>
        <w:tc>
          <w:tcPr>
            <w:tcW w:w="948" w:type="dxa"/>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w:t>
            </w:r>
          </w:p>
        </w:tc>
        <w:tc>
          <w:tcPr>
            <w:tcW w:w="948" w:type="dxa"/>
            <w:shd w:val="clear" w:color="auto" w:fill="auto"/>
            <w:noWrap/>
            <w:vAlign w:val="bottom"/>
            <w:hideMark/>
          </w:tcPr>
          <w:p w:rsidR="007D13F3" w:rsidRPr="002615B8" w:rsidRDefault="007D13F3" w:rsidP="00465CAC">
            <w:pPr>
              <w:jc w:val="right"/>
              <w:rPr>
                <w:rFonts w:ascii="Times New Roman" w:hAnsi="Times New Roman" w:cs="Times New Roman"/>
                <w:color w:val="000000"/>
                <w:sz w:val="14"/>
                <w:szCs w:val="14"/>
                <w:lang w:eastAsia="sk-SK"/>
              </w:rPr>
            </w:pPr>
            <w:r w:rsidRPr="002615B8">
              <w:rPr>
                <w:rFonts w:ascii="Times New Roman" w:hAnsi="Times New Roman" w:cs="Times New Roman"/>
                <w:color w:val="000000"/>
                <w:sz w:val="14"/>
                <w:szCs w:val="14"/>
                <w:lang w:eastAsia="sk-SK"/>
              </w:rPr>
              <w:t> </w:t>
            </w:r>
          </w:p>
        </w:tc>
        <w:tc>
          <w:tcPr>
            <w:tcW w:w="948" w:type="dxa"/>
            <w:shd w:val="clear" w:color="auto" w:fill="auto"/>
            <w:noWrap/>
            <w:vAlign w:val="bottom"/>
            <w:hideMark/>
          </w:tcPr>
          <w:p w:rsidR="007D13F3" w:rsidRPr="002615B8" w:rsidRDefault="007D13F3" w:rsidP="00465CAC">
            <w:pPr>
              <w:jc w:val="right"/>
              <w:rPr>
                <w:rFonts w:ascii="Times New Roman" w:hAnsi="Times New Roman" w:cs="Times New Roman"/>
                <w:color w:val="000000"/>
                <w:sz w:val="14"/>
                <w:szCs w:val="14"/>
                <w:lang w:eastAsia="sk-SK"/>
              </w:rPr>
            </w:pPr>
            <w:r w:rsidRPr="002615B8">
              <w:rPr>
                <w:rFonts w:ascii="Times New Roman" w:hAnsi="Times New Roman" w:cs="Times New Roman"/>
                <w:color w:val="000000"/>
                <w:sz w:val="14"/>
                <w:szCs w:val="14"/>
                <w:lang w:eastAsia="sk-SK"/>
              </w:rPr>
              <w:t> </w:t>
            </w:r>
          </w:p>
        </w:tc>
        <w:tc>
          <w:tcPr>
            <w:tcW w:w="948" w:type="dxa"/>
            <w:shd w:val="clear" w:color="auto" w:fill="auto"/>
            <w:noWrap/>
            <w:vAlign w:val="bottom"/>
            <w:hideMark/>
          </w:tcPr>
          <w:p w:rsidR="007D13F3" w:rsidRPr="002615B8" w:rsidRDefault="007D13F3" w:rsidP="00465CAC">
            <w:pPr>
              <w:jc w:val="right"/>
              <w:rPr>
                <w:rFonts w:ascii="Times New Roman" w:hAnsi="Times New Roman" w:cs="Times New Roman"/>
                <w:color w:val="000000"/>
                <w:sz w:val="14"/>
                <w:szCs w:val="14"/>
                <w:lang w:eastAsia="sk-SK"/>
              </w:rPr>
            </w:pPr>
            <w:r w:rsidRPr="002615B8">
              <w:rPr>
                <w:rFonts w:ascii="Times New Roman" w:hAnsi="Times New Roman" w:cs="Times New Roman"/>
                <w:color w:val="000000"/>
                <w:sz w:val="14"/>
                <w:szCs w:val="14"/>
                <w:lang w:eastAsia="sk-SK"/>
              </w:rPr>
              <w:t> </w:t>
            </w:r>
          </w:p>
        </w:tc>
      </w:tr>
      <w:tr w:rsidR="007D13F3" w:rsidRPr="00900D1A" w:rsidTr="00465CAC">
        <w:trPr>
          <w:trHeight w:hRule="exact" w:val="284"/>
        </w:trPr>
        <w:tc>
          <w:tcPr>
            <w:tcW w:w="2425" w:type="dxa"/>
            <w:shd w:val="clear" w:color="auto" w:fill="auto"/>
            <w:noWrap/>
            <w:vAlign w:val="bottom"/>
            <w:hideMark/>
          </w:tcPr>
          <w:p w:rsidR="007D13F3" w:rsidRPr="0095721B" w:rsidRDefault="007D13F3" w:rsidP="00465CAC">
            <w:pPr>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 xml:space="preserve">rozpočtové zdroje kapitoly </w:t>
            </w:r>
          </w:p>
        </w:tc>
        <w:tc>
          <w:tcPr>
            <w:tcW w:w="949" w:type="dxa"/>
            <w:shd w:val="clear" w:color="auto" w:fill="auto"/>
            <w:vAlign w:val="bottom"/>
            <w:hideMark/>
          </w:tcPr>
          <w:p w:rsidR="007D13F3" w:rsidRPr="0095721B" w:rsidRDefault="007D13F3" w:rsidP="00465CAC">
            <w:pPr>
              <w:jc w:val="right"/>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1 068 398 661</w:t>
            </w:r>
          </w:p>
        </w:tc>
        <w:tc>
          <w:tcPr>
            <w:tcW w:w="948" w:type="dxa"/>
            <w:shd w:val="clear" w:color="auto" w:fill="auto"/>
            <w:vAlign w:val="bottom"/>
            <w:hideMark/>
          </w:tcPr>
          <w:p w:rsidR="007D13F3" w:rsidRPr="0095721B" w:rsidRDefault="007D13F3" w:rsidP="00465CAC">
            <w:pPr>
              <w:jc w:val="right"/>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1 107 492 717</w:t>
            </w:r>
          </w:p>
        </w:tc>
        <w:tc>
          <w:tcPr>
            <w:tcW w:w="948" w:type="dxa"/>
            <w:shd w:val="clear" w:color="auto" w:fill="auto"/>
            <w:vAlign w:val="bottom"/>
            <w:hideMark/>
          </w:tcPr>
          <w:p w:rsidR="007D13F3" w:rsidRPr="0095721B" w:rsidRDefault="007D13F3" w:rsidP="00465CAC">
            <w:pPr>
              <w:jc w:val="right"/>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1 109 427 294</w:t>
            </w:r>
          </w:p>
        </w:tc>
        <w:tc>
          <w:tcPr>
            <w:tcW w:w="948" w:type="dxa"/>
            <w:shd w:val="clear" w:color="auto" w:fill="auto"/>
            <w:vAlign w:val="bottom"/>
            <w:hideMark/>
          </w:tcPr>
          <w:p w:rsidR="007D13F3" w:rsidRPr="00715793" w:rsidRDefault="007D13F3" w:rsidP="00465CAC">
            <w:pPr>
              <w:jc w:val="right"/>
              <w:rPr>
                <w:rFonts w:ascii="Times New Roman" w:hAnsi="Times New Roman" w:cs="Times New Roman"/>
                <w:b/>
                <w:color w:val="000000"/>
                <w:sz w:val="14"/>
                <w:szCs w:val="14"/>
                <w:lang w:eastAsia="sk-SK"/>
              </w:rPr>
            </w:pPr>
            <w:r w:rsidRPr="00715793">
              <w:rPr>
                <w:rFonts w:ascii="Times New Roman" w:hAnsi="Times New Roman" w:cs="Times New Roman"/>
                <w:b/>
                <w:color w:val="000000"/>
                <w:sz w:val="14"/>
                <w:szCs w:val="14"/>
              </w:rPr>
              <w:t>1 127 272 257</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b/>
                <w:color w:val="000000"/>
                <w:sz w:val="14"/>
                <w:szCs w:val="14"/>
                <w:lang w:eastAsia="sk-SK"/>
              </w:rPr>
            </w:pPr>
            <w:r w:rsidRPr="002615B8">
              <w:rPr>
                <w:rFonts w:ascii="Times New Roman" w:hAnsi="Times New Roman" w:cs="Times New Roman"/>
                <w:b/>
                <w:color w:val="000000"/>
                <w:sz w:val="14"/>
                <w:szCs w:val="14"/>
              </w:rPr>
              <w:t>1 176 185 143</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b/>
                <w:color w:val="000000"/>
                <w:sz w:val="14"/>
                <w:szCs w:val="14"/>
              </w:rPr>
            </w:pPr>
            <w:r w:rsidRPr="002615B8">
              <w:rPr>
                <w:rFonts w:ascii="Times New Roman" w:hAnsi="Times New Roman" w:cs="Times New Roman"/>
                <w:b/>
                <w:color w:val="000000"/>
                <w:sz w:val="14"/>
                <w:szCs w:val="14"/>
              </w:rPr>
              <w:t>1 069 003 715</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b/>
                <w:color w:val="000000"/>
                <w:sz w:val="14"/>
                <w:szCs w:val="14"/>
              </w:rPr>
            </w:pPr>
            <w:r w:rsidRPr="002615B8">
              <w:rPr>
                <w:rFonts w:ascii="Times New Roman" w:hAnsi="Times New Roman" w:cs="Times New Roman"/>
                <w:b/>
                <w:color w:val="000000"/>
                <w:sz w:val="14"/>
                <w:szCs w:val="14"/>
              </w:rPr>
              <w:t>1 084 496 906</w:t>
            </w:r>
          </w:p>
        </w:tc>
      </w:tr>
      <w:tr w:rsidR="007D13F3" w:rsidRPr="00900D1A" w:rsidTr="00465CAC">
        <w:trPr>
          <w:trHeight w:hRule="exact" w:val="284"/>
        </w:trPr>
        <w:tc>
          <w:tcPr>
            <w:tcW w:w="2425" w:type="dxa"/>
            <w:shd w:val="clear" w:color="auto" w:fill="auto"/>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v tom: bežné výdavky  600</w:t>
            </w:r>
          </w:p>
        </w:tc>
        <w:tc>
          <w:tcPr>
            <w:tcW w:w="949"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850 004 998</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841 765 037</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840 224 602</w:t>
            </w:r>
          </w:p>
        </w:tc>
        <w:tc>
          <w:tcPr>
            <w:tcW w:w="948" w:type="dxa"/>
            <w:shd w:val="clear" w:color="auto" w:fill="auto"/>
            <w:vAlign w:val="bottom"/>
            <w:hideMark/>
          </w:tcPr>
          <w:p w:rsidR="007D13F3" w:rsidRPr="00DD005D" w:rsidRDefault="007D13F3" w:rsidP="00465CAC">
            <w:pPr>
              <w:jc w:val="right"/>
              <w:rPr>
                <w:rFonts w:ascii="Times New Roman" w:hAnsi="Times New Roman" w:cs="Times New Roman"/>
                <w:color w:val="000000"/>
                <w:sz w:val="14"/>
                <w:szCs w:val="14"/>
                <w:lang w:eastAsia="sk-SK"/>
              </w:rPr>
            </w:pPr>
            <w:r w:rsidRPr="00DD005D">
              <w:rPr>
                <w:rFonts w:ascii="Times New Roman" w:hAnsi="Times New Roman" w:cs="Times New Roman"/>
                <w:color w:val="000000"/>
                <w:sz w:val="14"/>
                <w:szCs w:val="14"/>
              </w:rPr>
              <w:t>915 851 349</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color w:val="000000"/>
                <w:sz w:val="14"/>
                <w:szCs w:val="14"/>
              </w:rPr>
            </w:pPr>
            <w:r w:rsidRPr="002615B8">
              <w:rPr>
                <w:rFonts w:ascii="Times New Roman" w:hAnsi="Times New Roman" w:cs="Times New Roman"/>
                <w:color w:val="000000"/>
                <w:sz w:val="14"/>
                <w:szCs w:val="14"/>
              </w:rPr>
              <w:t>884 212 237</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color w:val="000000"/>
                <w:sz w:val="14"/>
                <w:szCs w:val="14"/>
              </w:rPr>
            </w:pPr>
            <w:r w:rsidRPr="002615B8">
              <w:rPr>
                <w:rFonts w:ascii="Times New Roman" w:hAnsi="Times New Roman" w:cs="Times New Roman"/>
                <w:color w:val="000000"/>
                <w:sz w:val="14"/>
                <w:szCs w:val="14"/>
              </w:rPr>
              <w:t>835 808 435</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color w:val="000000"/>
                <w:sz w:val="14"/>
                <w:szCs w:val="14"/>
              </w:rPr>
            </w:pPr>
            <w:r w:rsidRPr="002615B8">
              <w:rPr>
                <w:rFonts w:ascii="Times New Roman" w:hAnsi="Times New Roman" w:cs="Times New Roman"/>
                <w:color w:val="000000"/>
                <w:sz w:val="14"/>
                <w:szCs w:val="14"/>
              </w:rPr>
              <w:t>852 701 626</w:t>
            </w:r>
          </w:p>
        </w:tc>
      </w:tr>
      <w:tr w:rsidR="007D13F3" w:rsidRPr="00900D1A" w:rsidTr="00465CAC">
        <w:trPr>
          <w:trHeight w:hRule="exact" w:val="284"/>
        </w:trPr>
        <w:tc>
          <w:tcPr>
            <w:tcW w:w="2425" w:type="dxa"/>
            <w:shd w:val="clear" w:color="auto" w:fill="auto"/>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610 mzdy</w:t>
            </w:r>
          </w:p>
        </w:tc>
        <w:tc>
          <w:tcPr>
            <w:tcW w:w="949"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16 287 322</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17 872 401</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sz w:val="14"/>
                <w:szCs w:val="14"/>
                <w:lang w:eastAsia="sk-SK"/>
              </w:rPr>
            </w:pPr>
            <w:r w:rsidRPr="00346A12">
              <w:rPr>
                <w:rFonts w:ascii="Times New Roman" w:hAnsi="Times New Roman" w:cs="Times New Roman"/>
                <w:sz w:val="14"/>
                <w:szCs w:val="14"/>
                <w:lang w:eastAsia="sk-SK"/>
              </w:rPr>
              <w:t>18 429 028</w:t>
            </w:r>
          </w:p>
        </w:tc>
        <w:tc>
          <w:tcPr>
            <w:tcW w:w="948" w:type="dxa"/>
            <w:shd w:val="clear" w:color="auto" w:fill="auto"/>
            <w:noWrap/>
            <w:vAlign w:val="bottom"/>
            <w:hideMark/>
          </w:tcPr>
          <w:p w:rsidR="007D13F3" w:rsidRPr="00DD005D" w:rsidRDefault="007D13F3" w:rsidP="00465CAC">
            <w:pPr>
              <w:jc w:val="right"/>
              <w:rPr>
                <w:rFonts w:ascii="Times New Roman" w:hAnsi="Times New Roman" w:cs="Times New Roman"/>
                <w:color w:val="000000"/>
                <w:sz w:val="14"/>
                <w:szCs w:val="14"/>
              </w:rPr>
            </w:pPr>
            <w:r w:rsidRPr="00DD005D">
              <w:rPr>
                <w:rFonts w:ascii="Times New Roman" w:hAnsi="Times New Roman" w:cs="Times New Roman"/>
                <w:color w:val="000000"/>
                <w:sz w:val="14"/>
                <w:szCs w:val="14"/>
              </w:rPr>
              <w:t>20 560 414</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sz w:val="14"/>
                <w:szCs w:val="14"/>
              </w:rPr>
            </w:pPr>
            <w:r w:rsidRPr="002615B8">
              <w:rPr>
                <w:rFonts w:ascii="Times New Roman" w:hAnsi="Times New Roman" w:cs="Times New Roman"/>
                <w:sz w:val="14"/>
                <w:szCs w:val="14"/>
              </w:rPr>
              <w:t>20 840 224</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color w:val="000000"/>
                <w:sz w:val="14"/>
                <w:szCs w:val="14"/>
              </w:rPr>
            </w:pPr>
            <w:r w:rsidRPr="002615B8">
              <w:rPr>
                <w:rFonts w:ascii="Times New Roman" w:hAnsi="Times New Roman" w:cs="Times New Roman"/>
                <w:color w:val="000000"/>
                <w:sz w:val="14"/>
                <w:szCs w:val="14"/>
              </w:rPr>
              <w:t>21 055 421</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color w:val="000000"/>
                <w:sz w:val="14"/>
                <w:szCs w:val="14"/>
              </w:rPr>
            </w:pPr>
            <w:r w:rsidRPr="002615B8">
              <w:rPr>
                <w:rFonts w:ascii="Times New Roman" w:hAnsi="Times New Roman" w:cs="Times New Roman"/>
                <w:color w:val="000000"/>
                <w:sz w:val="14"/>
                <w:szCs w:val="14"/>
              </w:rPr>
              <w:t>21 107 993</w:t>
            </w:r>
          </w:p>
        </w:tc>
      </w:tr>
      <w:tr w:rsidR="007D13F3" w:rsidRPr="00900D1A" w:rsidTr="00465CAC">
        <w:trPr>
          <w:trHeight w:hRule="exact" w:val="284"/>
        </w:trPr>
        <w:tc>
          <w:tcPr>
            <w:tcW w:w="2425" w:type="dxa"/>
            <w:shd w:val="clear" w:color="auto" w:fill="auto"/>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620 odvody</w:t>
            </w:r>
          </w:p>
        </w:tc>
        <w:tc>
          <w:tcPr>
            <w:tcW w:w="949"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6 055 890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6 676 517</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6 442 504</w:t>
            </w:r>
          </w:p>
        </w:tc>
        <w:tc>
          <w:tcPr>
            <w:tcW w:w="948" w:type="dxa"/>
            <w:shd w:val="clear" w:color="auto" w:fill="auto"/>
            <w:vAlign w:val="bottom"/>
            <w:hideMark/>
          </w:tcPr>
          <w:p w:rsidR="007D13F3" w:rsidRPr="00DD005D" w:rsidRDefault="007D13F3" w:rsidP="00465CAC">
            <w:pPr>
              <w:jc w:val="right"/>
              <w:rPr>
                <w:rFonts w:ascii="Times New Roman" w:hAnsi="Times New Roman" w:cs="Times New Roman"/>
                <w:color w:val="000000"/>
                <w:sz w:val="14"/>
                <w:szCs w:val="14"/>
              </w:rPr>
            </w:pPr>
            <w:r w:rsidRPr="00DD005D">
              <w:rPr>
                <w:rFonts w:ascii="Times New Roman" w:hAnsi="Times New Roman" w:cs="Times New Roman"/>
                <w:color w:val="000000"/>
                <w:sz w:val="14"/>
                <w:szCs w:val="14"/>
              </w:rPr>
              <w:t>7 250 861</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color w:val="000000"/>
                <w:sz w:val="14"/>
                <w:szCs w:val="14"/>
              </w:rPr>
            </w:pPr>
            <w:r w:rsidRPr="002615B8">
              <w:rPr>
                <w:rFonts w:ascii="Times New Roman" w:hAnsi="Times New Roman" w:cs="Times New Roman"/>
                <w:color w:val="000000"/>
                <w:sz w:val="14"/>
                <w:szCs w:val="14"/>
              </w:rPr>
              <w:t>7 278 721</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color w:val="000000"/>
                <w:sz w:val="14"/>
                <w:szCs w:val="14"/>
              </w:rPr>
            </w:pPr>
            <w:r w:rsidRPr="002615B8">
              <w:rPr>
                <w:rFonts w:ascii="Times New Roman" w:hAnsi="Times New Roman" w:cs="Times New Roman"/>
                <w:color w:val="000000"/>
                <w:sz w:val="14"/>
                <w:szCs w:val="14"/>
              </w:rPr>
              <w:t>7 353 932</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color w:val="000000"/>
                <w:sz w:val="14"/>
                <w:szCs w:val="14"/>
              </w:rPr>
            </w:pPr>
            <w:r w:rsidRPr="002615B8">
              <w:rPr>
                <w:rFonts w:ascii="Times New Roman" w:hAnsi="Times New Roman" w:cs="Times New Roman"/>
                <w:color w:val="000000"/>
                <w:sz w:val="14"/>
                <w:szCs w:val="14"/>
              </w:rPr>
              <w:t>7 372 305</w:t>
            </w:r>
          </w:p>
        </w:tc>
      </w:tr>
      <w:tr w:rsidR="007D13F3" w:rsidRPr="00900D1A" w:rsidTr="00465CAC">
        <w:trPr>
          <w:trHeight w:hRule="exact" w:val="284"/>
        </w:trPr>
        <w:tc>
          <w:tcPr>
            <w:tcW w:w="2425" w:type="dxa"/>
            <w:shd w:val="clear" w:color="auto" w:fill="auto"/>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630 tovary a služby</w:t>
            </w:r>
          </w:p>
        </w:tc>
        <w:tc>
          <w:tcPr>
            <w:tcW w:w="949"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183 159 190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179 124 657</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187 220 253</w:t>
            </w:r>
          </w:p>
        </w:tc>
        <w:tc>
          <w:tcPr>
            <w:tcW w:w="948" w:type="dxa"/>
            <w:shd w:val="clear" w:color="auto" w:fill="auto"/>
            <w:vAlign w:val="bottom"/>
            <w:hideMark/>
          </w:tcPr>
          <w:p w:rsidR="007D13F3" w:rsidRPr="00DD005D" w:rsidRDefault="007D13F3" w:rsidP="00465CAC">
            <w:pPr>
              <w:jc w:val="right"/>
              <w:rPr>
                <w:rFonts w:ascii="Times New Roman" w:hAnsi="Times New Roman" w:cs="Times New Roman"/>
                <w:color w:val="000000"/>
                <w:sz w:val="14"/>
                <w:szCs w:val="14"/>
              </w:rPr>
            </w:pPr>
            <w:r w:rsidRPr="00DD005D">
              <w:rPr>
                <w:rFonts w:ascii="Times New Roman" w:hAnsi="Times New Roman" w:cs="Times New Roman"/>
                <w:color w:val="000000"/>
                <w:sz w:val="14"/>
                <w:szCs w:val="14"/>
              </w:rPr>
              <w:t>194 160 434</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color w:val="000000"/>
                <w:sz w:val="14"/>
                <w:szCs w:val="14"/>
              </w:rPr>
            </w:pPr>
            <w:r w:rsidRPr="002615B8">
              <w:rPr>
                <w:rFonts w:ascii="Times New Roman" w:hAnsi="Times New Roman" w:cs="Times New Roman"/>
                <w:color w:val="000000"/>
                <w:sz w:val="14"/>
                <w:szCs w:val="14"/>
              </w:rPr>
              <w:t>236 028 000</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color w:val="000000"/>
                <w:sz w:val="14"/>
                <w:szCs w:val="14"/>
              </w:rPr>
            </w:pPr>
            <w:r w:rsidRPr="002615B8">
              <w:rPr>
                <w:rFonts w:ascii="Times New Roman" w:hAnsi="Times New Roman" w:cs="Times New Roman"/>
                <w:color w:val="000000"/>
                <w:sz w:val="14"/>
                <w:szCs w:val="14"/>
              </w:rPr>
              <w:t>195 990 759</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color w:val="000000"/>
                <w:sz w:val="14"/>
                <w:szCs w:val="14"/>
              </w:rPr>
            </w:pPr>
            <w:r w:rsidRPr="002615B8">
              <w:rPr>
                <w:rFonts w:ascii="Times New Roman" w:hAnsi="Times New Roman" w:cs="Times New Roman"/>
                <w:color w:val="000000"/>
                <w:sz w:val="14"/>
                <w:szCs w:val="14"/>
              </w:rPr>
              <w:t>220 016 698</w:t>
            </w:r>
          </w:p>
        </w:tc>
      </w:tr>
      <w:tr w:rsidR="007D13F3" w:rsidRPr="00900D1A" w:rsidTr="00465CAC">
        <w:trPr>
          <w:trHeight w:hRule="exact" w:val="284"/>
        </w:trPr>
        <w:tc>
          <w:tcPr>
            <w:tcW w:w="2425" w:type="dxa"/>
            <w:shd w:val="clear" w:color="auto" w:fill="auto"/>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640 bežné transfery</w:t>
            </w:r>
          </w:p>
        </w:tc>
        <w:tc>
          <w:tcPr>
            <w:tcW w:w="949"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644 502 596</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638 091 462</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628 132 817</w:t>
            </w:r>
          </w:p>
        </w:tc>
        <w:tc>
          <w:tcPr>
            <w:tcW w:w="948" w:type="dxa"/>
            <w:shd w:val="clear" w:color="auto" w:fill="auto"/>
            <w:vAlign w:val="bottom"/>
            <w:hideMark/>
          </w:tcPr>
          <w:p w:rsidR="007D13F3" w:rsidRPr="00DD005D" w:rsidRDefault="007D13F3" w:rsidP="00465CAC">
            <w:pPr>
              <w:jc w:val="right"/>
              <w:rPr>
                <w:rFonts w:ascii="Times New Roman" w:hAnsi="Times New Roman" w:cs="Times New Roman"/>
                <w:color w:val="000000"/>
                <w:sz w:val="14"/>
                <w:szCs w:val="14"/>
              </w:rPr>
            </w:pPr>
            <w:r w:rsidRPr="00DD005D">
              <w:rPr>
                <w:rFonts w:ascii="Times New Roman" w:hAnsi="Times New Roman" w:cs="Times New Roman"/>
                <w:color w:val="000000"/>
                <w:sz w:val="14"/>
                <w:szCs w:val="14"/>
              </w:rPr>
              <w:t>693 879 640</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color w:val="000000"/>
                <w:sz w:val="14"/>
                <w:szCs w:val="14"/>
              </w:rPr>
            </w:pPr>
            <w:r w:rsidRPr="002615B8">
              <w:rPr>
                <w:rFonts w:ascii="Times New Roman" w:hAnsi="Times New Roman" w:cs="Times New Roman"/>
                <w:color w:val="000000"/>
                <w:sz w:val="14"/>
                <w:szCs w:val="14"/>
              </w:rPr>
              <w:t>620 065 292</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color w:val="000000"/>
                <w:sz w:val="14"/>
                <w:szCs w:val="14"/>
              </w:rPr>
            </w:pPr>
            <w:r w:rsidRPr="002615B8">
              <w:rPr>
                <w:rFonts w:ascii="Times New Roman" w:hAnsi="Times New Roman" w:cs="Times New Roman"/>
                <w:color w:val="000000"/>
                <w:sz w:val="14"/>
                <w:szCs w:val="14"/>
              </w:rPr>
              <w:t>611 408 323</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color w:val="000000"/>
                <w:sz w:val="14"/>
                <w:szCs w:val="14"/>
              </w:rPr>
            </w:pPr>
            <w:r w:rsidRPr="002615B8">
              <w:rPr>
                <w:rFonts w:ascii="Times New Roman" w:hAnsi="Times New Roman" w:cs="Times New Roman"/>
                <w:color w:val="000000"/>
                <w:sz w:val="14"/>
                <w:szCs w:val="14"/>
              </w:rPr>
              <w:t>604 204 630</w:t>
            </w:r>
          </w:p>
        </w:tc>
      </w:tr>
      <w:tr w:rsidR="007D13F3" w:rsidRPr="00900D1A" w:rsidTr="00465CAC">
        <w:trPr>
          <w:trHeight w:hRule="exact" w:val="284"/>
        </w:trPr>
        <w:tc>
          <w:tcPr>
            <w:tcW w:w="2425" w:type="dxa"/>
            <w:shd w:val="clear" w:color="auto" w:fill="auto"/>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kapitálové výdavky 700</w:t>
            </w:r>
          </w:p>
        </w:tc>
        <w:tc>
          <w:tcPr>
            <w:tcW w:w="949"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218 393 663</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265 727 680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269 202 692</w:t>
            </w:r>
          </w:p>
        </w:tc>
        <w:tc>
          <w:tcPr>
            <w:tcW w:w="948" w:type="dxa"/>
            <w:shd w:val="clear" w:color="auto" w:fill="auto"/>
            <w:vAlign w:val="bottom"/>
            <w:hideMark/>
          </w:tcPr>
          <w:p w:rsidR="007D13F3" w:rsidRPr="00DD005D" w:rsidRDefault="007D13F3" w:rsidP="00465CAC">
            <w:pPr>
              <w:jc w:val="right"/>
              <w:rPr>
                <w:rFonts w:ascii="Times New Roman" w:hAnsi="Times New Roman" w:cs="Times New Roman"/>
                <w:color w:val="000000"/>
                <w:sz w:val="14"/>
                <w:szCs w:val="14"/>
              </w:rPr>
            </w:pPr>
            <w:r w:rsidRPr="00DD005D">
              <w:rPr>
                <w:rFonts w:ascii="Times New Roman" w:hAnsi="Times New Roman" w:cs="Times New Roman"/>
                <w:color w:val="000000"/>
                <w:sz w:val="14"/>
                <w:szCs w:val="14"/>
              </w:rPr>
              <w:t>211 542 164</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color w:val="000000"/>
                <w:sz w:val="14"/>
                <w:szCs w:val="14"/>
              </w:rPr>
            </w:pPr>
            <w:r w:rsidRPr="002615B8">
              <w:rPr>
                <w:rFonts w:ascii="Times New Roman" w:hAnsi="Times New Roman" w:cs="Times New Roman"/>
                <w:color w:val="000000"/>
                <w:sz w:val="14"/>
                <w:szCs w:val="14"/>
              </w:rPr>
              <w:t>291 972 906</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color w:val="000000"/>
                <w:sz w:val="14"/>
                <w:szCs w:val="14"/>
              </w:rPr>
            </w:pPr>
            <w:r w:rsidRPr="002615B8">
              <w:rPr>
                <w:rFonts w:ascii="Times New Roman" w:hAnsi="Times New Roman" w:cs="Times New Roman"/>
                <w:color w:val="000000"/>
                <w:sz w:val="14"/>
                <w:szCs w:val="14"/>
              </w:rPr>
              <w:t>233 195 280</w:t>
            </w:r>
          </w:p>
        </w:tc>
        <w:tc>
          <w:tcPr>
            <w:tcW w:w="948" w:type="dxa"/>
            <w:shd w:val="clear" w:color="auto" w:fill="auto"/>
            <w:vAlign w:val="bottom"/>
            <w:hideMark/>
          </w:tcPr>
          <w:p w:rsidR="007D13F3" w:rsidRPr="002615B8" w:rsidRDefault="007D13F3" w:rsidP="00465CAC">
            <w:pPr>
              <w:jc w:val="right"/>
              <w:rPr>
                <w:rFonts w:ascii="Times New Roman" w:hAnsi="Times New Roman" w:cs="Times New Roman"/>
                <w:color w:val="000000"/>
                <w:sz w:val="14"/>
                <w:szCs w:val="14"/>
              </w:rPr>
            </w:pPr>
            <w:r w:rsidRPr="002615B8">
              <w:rPr>
                <w:rFonts w:ascii="Times New Roman" w:hAnsi="Times New Roman" w:cs="Times New Roman"/>
                <w:color w:val="000000"/>
                <w:sz w:val="14"/>
                <w:szCs w:val="14"/>
              </w:rPr>
              <w:t>231 795 280</w:t>
            </w:r>
          </w:p>
        </w:tc>
      </w:tr>
      <w:tr w:rsidR="007D13F3" w:rsidRPr="00900D1A" w:rsidTr="00465CAC">
        <w:trPr>
          <w:trHeight w:hRule="exact" w:val="284"/>
        </w:trPr>
        <w:tc>
          <w:tcPr>
            <w:tcW w:w="2425" w:type="dxa"/>
            <w:shd w:val="clear" w:color="auto" w:fill="auto"/>
            <w:noWrap/>
            <w:vAlign w:val="bottom"/>
            <w:hideMark/>
          </w:tcPr>
          <w:p w:rsidR="007D13F3" w:rsidRPr="0095721B" w:rsidRDefault="007D13F3" w:rsidP="00465CAC">
            <w:pPr>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 xml:space="preserve">zdroje EÚ vrátane spolufinancovania: </w:t>
            </w:r>
          </w:p>
        </w:tc>
        <w:tc>
          <w:tcPr>
            <w:tcW w:w="949" w:type="dxa"/>
            <w:shd w:val="clear" w:color="auto" w:fill="auto"/>
            <w:vAlign w:val="bottom"/>
            <w:hideMark/>
          </w:tcPr>
          <w:p w:rsidR="007D13F3" w:rsidRPr="0095721B" w:rsidRDefault="007D13F3" w:rsidP="00465CAC">
            <w:pPr>
              <w:jc w:val="right"/>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802 131 878</w:t>
            </w:r>
          </w:p>
        </w:tc>
        <w:tc>
          <w:tcPr>
            <w:tcW w:w="948" w:type="dxa"/>
            <w:shd w:val="clear" w:color="auto" w:fill="auto"/>
            <w:vAlign w:val="bottom"/>
            <w:hideMark/>
          </w:tcPr>
          <w:p w:rsidR="007D13F3" w:rsidRPr="0095721B" w:rsidRDefault="007D13F3" w:rsidP="00465CAC">
            <w:pPr>
              <w:jc w:val="right"/>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180 253 236</w:t>
            </w:r>
          </w:p>
        </w:tc>
        <w:tc>
          <w:tcPr>
            <w:tcW w:w="948" w:type="dxa"/>
            <w:shd w:val="clear" w:color="auto" w:fill="auto"/>
            <w:vAlign w:val="bottom"/>
            <w:hideMark/>
          </w:tcPr>
          <w:p w:rsidR="007D13F3" w:rsidRPr="0095721B" w:rsidRDefault="007D13F3" w:rsidP="00465CAC">
            <w:pPr>
              <w:jc w:val="right"/>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1 040 407 198</w:t>
            </w:r>
          </w:p>
        </w:tc>
        <w:tc>
          <w:tcPr>
            <w:tcW w:w="948" w:type="dxa"/>
            <w:shd w:val="clear" w:color="auto" w:fill="auto"/>
            <w:vAlign w:val="bottom"/>
            <w:hideMark/>
          </w:tcPr>
          <w:p w:rsidR="007D13F3" w:rsidRPr="0095721B" w:rsidRDefault="007D13F3" w:rsidP="00465CAC">
            <w:pPr>
              <w:jc w:val="right"/>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0</w:t>
            </w:r>
          </w:p>
        </w:tc>
        <w:tc>
          <w:tcPr>
            <w:tcW w:w="948" w:type="dxa"/>
            <w:shd w:val="clear" w:color="auto" w:fill="auto"/>
            <w:vAlign w:val="bottom"/>
            <w:hideMark/>
          </w:tcPr>
          <w:p w:rsidR="007D13F3" w:rsidRPr="0095721B" w:rsidRDefault="007D13F3" w:rsidP="00465CAC">
            <w:pPr>
              <w:jc w:val="right"/>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0</w:t>
            </w:r>
          </w:p>
        </w:tc>
        <w:tc>
          <w:tcPr>
            <w:tcW w:w="948" w:type="dxa"/>
            <w:shd w:val="clear" w:color="auto" w:fill="auto"/>
            <w:vAlign w:val="bottom"/>
            <w:hideMark/>
          </w:tcPr>
          <w:p w:rsidR="007D13F3" w:rsidRPr="0095721B" w:rsidRDefault="007D13F3" w:rsidP="00465CAC">
            <w:pPr>
              <w:jc w:val="right"/>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477 263 481</w:t>
            </w:r>
          </w:p>
        </w:tc>
        <w:tc>
          <w:tcPr>
            <w:tcW w:w="948" w:type="dxa"/>
            <w:shd w:val="clear" w:color="auto" w:fill="auto"/>
            <w:vAlign w:val="bottom"/>
            <w:hideMark/>
          </w:tcPr>
          <w:p w:rsidR="007D13F3" w:rsidRPr="0095721B" w:rsidRDefault="007D13F3" w:rsidP="00465CAC">
            <w:pPr>
              <w:jc w:val="right"/>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477 263 481</w:t>
            </w:r>
          </w:p>
        </w:tc>
      </w:tr>
      <w:tr w:rsidR="007D13F3" w:rsidRPr="00900D1A" w:rsidTr="00465CAC">
        <w:trPr>
          <w:trHeight w:hRule="exact" w:val="284"/>
        </w:trPr>
        <w:tc>
          <w:tcPr>
            <w:tcW w:w="2425" w:type="dxa"/>
            <w:shd w:val="clear" w:color="auto" w:fill="auto"/>
            <w:noWrap/>
            <w:vAlign w:val="bottom"/>
            <w:hideMark/>
          </w:tcPr>
          <w:p w:rsidR="007D13F3" w:rsidRPr="00346A12" w:rsidRDefault="007D13F3" w:rsidP="009F4D57">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v tom: </w:t>
            </w:r>
            <w:r w:rsidRPr="00346A12">
              <w:rPr>
                <w:rFonts w:ascii="Times New Roman" w:hAnsi="Times New Roman" w:cs="Times New Roman"/>
                <w:color w:val="000000"/>
                <w:sz w:val="14"/>
                <w:szCs w:val="14"/>
                <w:lang w:eastAsia="sk-SK"/>
              </w:rPr>
              <w:t>2. program. obdobie  E</w:t>
            </w:r>
            <w:r w:rsidR="009F4D57">
              <w:rPr>
                <w:rFonts w:ascii="Times New Roman" w:hAnsi="Times New Roman" w:cs="Times New Roman"/>
                <w:color w:val="000000"/>
                <w:sz w:val="14"/>
                <w:szCs w:val="14"/>
                <w:lang w:eastAsia="sk-SK"/>
              </w:rPr>
              <w:t>Ú</w:t>
            </w:r>
          </w:p>
        </w:tc>
        <w:tc>
          <w:tcPr>
            <w:tcW w:w="949"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652 196 516</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17 375 677</w:t>
            </w:r>
          </w:p>
        </w:tc>
        <w:tc>
          <w:tcPr>
            <w:tcW w:w="948" w:type="dxa"/>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r>
      <w:tr w:rsidR="007D13F3" w:rsidRPr="00900D1A" w:rsidTr="00465CAC">
        <w:trPr>
          <w:trHeight w:hRule="exact" w:val="284"/>
        </w:trPr>
        <w:tc>
          <w:tcPr>
            <w:tcW w:w="2425" w:type="dxa"/>
            <w:shd w:val="clear" w:color="auto" w:fill="auto"/>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spolufinancovanie zo ŠR</w:t>
            </w:r>
          </w:p>
        </w:tc>
        <w:tc>
          <w:tcPr>
            <w:tcW w:w="949"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114 935 550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2 633 903</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r>
      <w:tr w:rsidR="007D13F3" w:rsidRPr="00900D1A" w:rsidTr="00465CAC">
        <w:trPr>
          <w:trHeight w:hRule="exact" w:val="284"/>
        </w:trPr>
        <w:tc>
          <w:tcPr>
            <w:tcW w:w="2425" w:type="dxa"/>
            <w:shd w:val="clear" w:color="auto" w:fill="auto"/>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3. program. obdobie E</w:t>
            </w:r>
            <w:r w:rsidR="009F4D57">
              <w:rPr>
                <w:rFonts w:ascii="Times New Roman" w:hAnsi="Times New Roman" w:cs="Times New Roman"/>
                <w:color w:val="000000"/>
                <w:sz w:val="14"/>
                <w:szCs w:val="14"/>
                <w:lang w:eastAsia="sk-SK"/>
              </w:rPr>
              <w:t>Ú</w:t>
            </w:r>
          </w:p>
        </w:tc>
        <w:tc>
          <w:tcPr>
            <w:tcW w:w="949"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29 749 840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136 706 426</w:t>
            </w:r>
          </w:p>
        </w:tc>
        <w:tc>
          <w:tcPr>
            <w:tcW w:w="948" w:type="dxa"/>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882 897 338</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tcPr>
          <w:p w:rsidR="007D13F3" w:rsidRPr="00346A1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414 512 784</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414 512 784</w:t>
            </w:r>
          </w:p>
        </w:tc>
      </w:tr>
      <w:tr w:rsidR="007D13F3" w:rsidRPr="00900D1A" w:rsidTr="00465CAC">
        <w:trPr>
          <w:trHeight w:hRule="exact" w:val="284"/>
        </w:trPr>
        <w:tc>
          <w:tcPr>
            <w:tcW w:w="2425" w:type="dxa"/>
            <w:shd w:val="clear" w:color="auto" w:fill="auto"/>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spolufinancovanie zo ŠR</w:t>
            </w:r>
          </w:p>
        </w:tc>
        <w:tc>
          <w:tcPr>
            <w:tcW w:w="949"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5 249 972</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23 537 230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157 509 860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tcPr>
          <w:p w:rsidR="007D13F3" w:rsidRPr="00346A1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62 750 697</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62 750 697</w:t>
            </w:r>
          </w:p>
        </w:tc>
      </w:tr>
      <w:tr w:rsidR="007D13F3" w:rsidRPr="00900D1A" w:rsidTr="00465CAC">
        <w:trPr>
          <w:trHeight w:hRule="exact" w:val="284"/>
        </w:trPr>
        <w:tc>
          <w:tcPr>
            <w:tcW w:w="2425" w:type="dxa"/>
            <w:shd w:val="clear" w:color="auto" w:fill="auto"/>
            <w:noWrap/>
            <w:vAlign w:val="bottom"/>
            <w:hideMark/>
          </w:tcPr>
          <w:p w:rsidR="007D13F3" w:rsidRPr="0095721B" w:rsidRDefault="007D13F3" w:rsidP="00465CAC">
            <w:pPr>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presun z minulých rokov §</w:t>
            </w:r>
            <w:r w:rsidR="009F4D57">
              <w:rPr>
                <w:rFonts w:ascii="Times New Roman" w:hAnsi="Times New Roman" w:cs="Times New Roman"/>
                <w:b/>
                <w:color w:val="000000"/>
                <w:sz w:val="14"/>
                <w:szCs w:val="14"/>
                <w:lang w:eastAsia="sk-SK"/>
              </w:rPr>
              <w:t xml:space="preserve"> </w:t>
            </w:r>
            <w:r w:rsidRPr="0095721B">
              <w:rPr>
                <w:rFonts w:ascii="Times New Roman" w:hAnsi="Times New Roman" w:cs="Times New Roman"/>
                <w:b/>
                <w:color w:val="000000"/>
                <w:sz w:val="14"/>
                <w:szCs w:val="14"/>
                <w:lang w:eastAsia="sk-SK"/>
              </w:rPr>
              <w:t>8</w:t>
            </w:r>
          </w:p>
        </w:tc>
        <w:tc>
          <w:tcPr>
            <w:tcW w:w="949" w:type="dxa"/>
            <w:shd w:val="clear" w:color="auto" w:fill="auto"/>
            <w:vAlign w:val="bottom"/>
            <w:hideMark/>
          </w:tcPr>
          <w:p w:rsidR="007D13F3" w:rsidRPr="0095721B" w:rsidRDefault="007D13F3" w:rsidP="00465CAC">
            <w:pPr>
              <w:jc w:val="right"/>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1 028 112 022</w:t>
            </w:r>
          </w:p>
        </w:tc>
        <w:tc>
          <w:tcPr>
            <w:tcW w:w="948" w:type="dxa"/>
            <w:shd w:val="clear" w:color="auto" w:fill="auto"/>
            <w:vAlign w:val="bottom"/>
            <w:hideMark/>
          </w:tcPr>
          <w:p w:rsidR="007D13F3" w:rsidRPr="0095721B" w:rsidRDefault="007D13F3" w:rsidP="00465CAC">
            <w:pPr>
              <w:jc w:val="right"/>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200 547 277</w:t>
            </w:r>
          </w:p>
        </w:tc>
        <w:tc>
          <w:tcPr>
            <w:tcW w:w="948" w:type="dxa"/>
            <w:shd w:val="clear" w:color="auto" w:fill="auto"/>
            <w:vAlign w:val="bottom"/>
            <w:hideMark/>
          </w:tcPr>
          <w:p w:rsidR="007D13F3" w:rsidRPr="0095721B" w:rsidRDefault="007D13F3" w:rsidP="00465CAC">
            <w:pPr>
              <w:jc w:val="right"/>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0</w:t>
            </w:r>
          </w:p>
        </w:tc>
        <w:tc>
          <w:tcPr>
            <w:tcW w:w="948" w:type="dxa"/>
            <w:shd w:val="clear" w:color="auto" w:fill="auto"/>
            <w:vAlign w:val="bottom"/>
            <w:hideMark/>
          </w:tcPr>
          <w:p w:rsidR="007D13F3" w:rsidRPr="00715793" w:rsidRDefault="007D13F3" w:rsidP="00465CAC">
            <w:pPr>
              <w:jc w:val="right"/>
              <w:rPr>
                <w:rFonts w:ascii="Times New Roman" w:hAnsi="Times New Roman" w:cs="Times New Roman"/>
                <w:b/>
                <w:color w:val="000000"/>
                <w:sz w:val="14"/>
                <w:szCs w:val="14"/>
                <w:lang w:eastAsia="sk-SK"/>
              </w:rPr>
            </w:pPr>
            <w:r w:rsidRPr="00715793">
              <w:rPr>
                <w:rFonts w:ascii="Times New Roman" w:hAnsi="Times New Roman" w:cs="Times New Roman"/>
                <w:b/>
                <w:color w:val="000000"/>
                <w:sz w:val="14"/>
                <w:szCs w:val="14"/>
              </w:rPr>
              <w:t>498 278 600</w:t>
            </w:r>
          </w:p>
        </w:tc>
        <w:tc>
          <w:tcPr>
            <w:tcW w:w="948" w:type="dxa"/>
            <w:shd w:val="clear" w:color="auto" w:fill="auto"/>
            <w:vAlign w:val="bottom"/>
            <w:hideMark/>
          </w:tcPr>
          <w:p w:rsidR="007D13F3" w:rsidRPr="0095721B" w:rsidRDefault="007D13F3" w:rsidP="00465CAC">
            <w:pPr>
              <w:jc w:val="right"/>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0</w:t>
            </w:r>
          </w:p>
        </w:tc>
        <w:tc>
          <w:tcPr>
            <w:tcW w:w="948" w:type="dxa"/>
            <w:shd w:val="clear" w:color="auto" w:fill="auto"/>
            <w:vAlign w:val="bottom"/>
            <w:hideMark/>
          </w:tcPr>
          <w:p w:rsidR="007D13F3" w:rsidRPr="0095721B" w:rsidRDefault="007D13F3" w:rsidP="00465CAC">
            <w:pPr>
              <w:jc w:val="right"/>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0</w:t>
            </w:r>
          </w:p>
        </w:tc>
        <w:tc>
          <w:tcPr>
            <w:tcW w:w="948" w:type="dxa"/>
            <w:shd w:val="clear" w:color="auto" w:fill="auto"/>
            <w:vAlign w:val="bottom"/>
            <w:hideMark/>
          </w:tcPr>
          <w:p w:rsidR="007D13F3" w:rsidRPr="0095721B" w:rsidRDefault="007D13F3" w:rsidP="00465CAC">
            <w:pPr>
              <w:jc w:val="right"/>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0</w:t>
            </w:r>
          </w:p>
        </w:tc>
      </w:tr>
      <w:tr w:rsidR="007D13F3" w:rsidRPr="00900D1A" w:rsidTr="00465CAC">
        <w:trPr>
          <w:trHeight w:hRule="exact" w:val="284"/>
        </w:trPr>
        <w:tc>
          <w:tcPr>
            <w:tcW w:w="2425" w:type="dxa"/>
            <w:shd w:val="clear" w:color="auto" w:fill="auto"/>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v tom: štátny rozpočet</w:t>
            </w:r>
          </w:p>
        </w:tc>
        <w:tc>
          <w:tcPr>
            <w:tcW w:w="949"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218 259 725</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29 489 245</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715793" w:rsidRDefault="007D13F3" w:rsidP="00465CAC">
            <w:pPr>
              <w:jc w:val="right"/>
              <w:rPr>
                <w:rFonts w:ascii="Times New Roman" w:hAnsi="Times New Roman" w:cs="Times New Roman"/>
                <w:color w:val="000000"/>
                <w:sz w:val="14"/>
                <w:szCs w:val="14"/>
              </w:rPr>
            </w:pPr>
            <w:r w:rsidRPr="00715793">
              <w:rPr>
                <w:rFonts w:ascii="Times New Roman" w:hAnsi="Times New Roman" w:cs="Times New Roman"/>
                <w:color w:val="000000"/>
                <w:sz w:val="14"/>
                <w:szCs w:val="14"/>
              </w:rPr>
              <w:t>80 830 384</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r>
      <w:tr w:rsidR="007D13F3" w:rsidRPr="00900D1A" w:rsidTr="00465CAC">
        <w:trPr>
          <w:trHeight w:hRule="exact" w:val="284"/>
        </w:trPr>
        <w:tc>
          <w:tcPr>
            <w:tcW w:w="2425" w:type="dxa"/>
            <w:shd w:val="clear" w:color="auto" w:fill="auto"/>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EU prostriedky</w:t>
            </w:r>
          </w:p>
        </w:tc>
        <w:tc>
          <w:tcPr>
            <w:tcW w:w="949"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691 976 740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146 251 172</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715793" w:rsidRDefault="007D13F3" w:rsidP="00465CAC">
            <w:pPr>
              <w:jc w:val="right"/>
              <w:rPr>
                <w:rFonts w:ascii="Times New Roman" w:hAnsi="Times New Roman" w:cs="Times New Roman"/>
                <w:color w:val="000000"/>
                <w:sz w:val="14"/>
                <w:szCs w:val="14"/>
              </w:rPr>
            </w:pPr>
            <w:r w:rsidRPr="00715793">
              <w:rPr>
                <w:rFonts w:ascii="Times New Roman" w:hAnsi="Times New Roman" w:cs="Times New Roman"/>
                <w:color w:val="000000"/>
                <w:sz w:val="14"/>
                <w:szCs w:val="14"/>
              </w:rPr>
              <w:t>356 586 378</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r>
      <w:tr w:rsidR="007D13F3" w:rsidRPr="00900D1A" w:rsidTr="00465CAC">
        <w:trPr>
          <w:trHeight w:hRule="exact" w:val="284"/>
        </w:trPr>
        <w:tc>
          <w:tcPr>
            <w:tcW w:w="2425" w:type="dxa"/>
            <w:shd w:val="clear" w:color="auto" w:fill="auto"/>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spolufinancovanie zo ŠR</w:t>
            </w:r>
          </w:p>
        </w:tc>
        <w:tc>
          <w:tcPr>
            <w:tcW w:w="949"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117 875 557</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24 806 860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715793" w:rsidRDefault="007D13F3" w:rsidP="00465CAC">
            <w:pPr>
              <w:jc w:val="right"/>
              <w:rPr>
                <w:rFonts w:ascii="Times New Roman" w:hAnsi="Times New Roman" w:cs="Times New Roman"/>
                <w:color w:val="000000"/>
                <w:sz w:val="14"/>
                <w:szCs w:val="14"/>
              </w:rPr>
            </w:pPr>
            <w:r w:rsidRPr="00715793">
              <w:rPr>
                <w:rFonts w:ascii="Times New Roman" w:hAnsi="Times New Roman" w:cs="Times New Roman"/>
                <w:color w:val="000000"/>
                <w:sz w:val="14"/>
                <w:szCs w:val="14"/>
              </w:rPr>
              <w:t>60 861 838</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r>
      <w:tr w:rsidR="007D13F3" w:rsidRPr="00900D1A" w:rsidTr="00465CAC">
        <w:trPr>
          <w:trHeight w:hRule="exact" w:val="284"/>
        </w:trPr>
        <w:tc>
          <w:tcPr>
            <w:tcW w:w="2425" w:type="dxa"/>
            <w:shd w:val="clear" w:color="auto" w:fill="auto"/>
            <w:noWrap/>
            <w:vAlign w:val="bottom"/>
            <w:hideMark/>
          </w:tcPr>
          <w:p w:rsidR="007D13F3" w:rsidRPr="00D57A20" w:rsidRDefault="007D13F3" w:rsidP="00465CAC">
            <w:pPr>
              <w:rPr>
                <w:rFonts w:ascii="Times New Roman" w:hAnsi="Times New Roman" w:cs="Times New Roman"/>
                <w:color w:val="000000"/>
                <w:sz w:val="14"/>
                <w:szCs w:val="14"/>
                <w:lang w:eastAsia="sk-SK"/>
              </w:rPr>
            </w:pPr>
            <w:r w:rsidRPr="00D57A20">
              <w:rPr>
                <w:rFonts w:ascii="Times New Roman" w:hAnsi="Times New Roman" w:cs="Times New Roman"/>
                <w:color w:val="000000"/>
                <w:sz w:val="14"/>
                <w:szCs w:val="14"/>
                <w:lang w:eastAsia="sk-SK"/>
              </w:rPr>
              <w:t>zdroj 72</w:t>
            </w:r>
            <w:r>
              <w:rPr>
                <w:rFonts w:ascii="Times New Roman" w:hAnsi="Times New Roman" w:cs="Times New Roman"/>
                <w:color w:val="000000"/>
                <w:sz w:val="14"/>
                <w:szCs w:val="14"/>
                <w:lang w:eastAsia="sk-SK"/>
              </w:rPr>
              <w:t>e*</w:t>
            </w:r>
          </w:p>
        </w:tc>
        <w:tc>
          <w:tcPr>
            <w:tcW w:w="949" w:type="dxa"/>
            <w:shd w:val="clear" w:color="auto" w:fill="auto"/>
            <w:vAlign w:val="bottom"/>
            <w:hideMark/>
          </w:tcPr>
          <w:p w:rsidR="007D13F3" w:rsidRPr="00D57A20" w:rsidRDefault="007D13F3" w:rsidP="00465CAC">
            <w:pPr>
              <w:jc w:val="right"/>
              <w:rPr>
                <w:rFonts w:ascii="Times New Roman" w:hAnsi="Times New Roman" w:cs="Times New Roman"/>
                <w:color w:val="000000"/>
                <w:sz w:val="14"/>
                <w:szCs w:val="14"/>
                <w:lang w:eastAsia="sk-SK"/>
              </w:rPr>
            </w:pPr>
            <w:r w:rsidRPr="00D57A20">
              <w:rPr>
                <w:rFonts w:ascii="Times New Roman" w:hAnsi="Times New Roman" w:cs="Times New Roman"/>
                <w:color w:val="000000"/>
                <w:sz w:val="14"/>
                <w:szCs w:val="14"/>
                <w:lang w:eastAsia="sk-SK"/>
              </w:rPr>
              <w:t>101 337</w:t>
            </w:r>
          </w:p>
        </w:tc>
        <w:tc>
          <w:tcPr>
            <w:tcW w:w="948" w:type="dxa"/>
            <w:shd w:val="clear" w:color="auto" w:fill="auto"/>
            <w:vAlign w:val="bottom"/>
            <w:hideMark/>
          </w:tcPr>
          <w:p w:rsidR="007D13F3" w:rsidRPr="00D57A20" w:rsidRDefault="007D13F3" w:rsidP="00465CAC">
            <w:pPr>
              <w:jc w:val="right"/>
              <w:rPr>
                <w:rFonts w:ascii="Times New Roman" w:hAnsi="Times New Roman" w:cs="Times New Roman"/>
                <w:color w:val="000000"/>
                <w:sz w:val="14"/>
                <w:szCs w:val="14"/>
                <w:lang w:eastAsia="sk-SK"/>
              </w:rPr>
            </w:pPr>
            <w:r w:rsidRPr="00D57A20">
              <w:rPr>
                <w:rFonts w:ascii="Times New Roman" w:hAnsi="Times New Roman" w:cs="Times New Roman"/>
                <w:color w:val="000000"/>
                <w:sz w:val="14"/>
                <w:szCs w:val="14"/>
                <w:lang w:eastAsia="sk-SK"/>
              </w:rPr>
              <w:t>97 837</w:t>
            </w:r>
          </w:p>
        </w:tc>
        <w:tc>
          <w:tcPr>
            <w:tcW w:w="948" w:type="dxa"/>
            <w:shd w:val="clear" w:color="auto" w:fill="auto"/>
            <w:vAlign w:val="bottom"/>
            <w:hideMark/>
          </w:tcPr>
          <w:p w:rsidR="007D13F3" w:rsidRPr="00D57A20" w:rsidRDefault="007D13F3" w:rsidP="00465CAC">
            <w:pPr>
              <w:jc w:val="right"/>
              <w:rPr>
                <w:rFonts w:ascii="Times New Roman" w:hAnsi="Times New Roman" w:cs="Times New Roman"/>
                <w:color w:val="000000"/>
                <w:sz w:val="14"/>
                <w:szCs w:val="14"/>
                <w:lang w:eastAsia="sk-SK"/>
              </w:rPr>
            </w:pPr>
            <w:r w:rsidRPr="00D57A20">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D57A20" w:rsidRDefault="007D13F3" w:rsidP="00465CAC">
            <w:pPr>
              <w:jc w:val="right"/>
              <w:rPr>
                <w:rFonts w:ascii="Times New Roman" w:hAnsi="Times New Roman" w:cs="Times New Roman"/>
                <w:color w:val="000000"/>
                <w:sz w:val="14"/>
                <w:szCs w:val="14"/>
                <w:lang w:eastAsia="sk-SK"/>
              </w:rPr>
            </w:pPr>
            <w:r w:rsidRPr="00D57A20">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D57A20" w:rsidRDefault="007D13F3" w:rsidP="00465CAC">
            <w:pPr>
              <w:jc w:val="right"/>
              <w:rPr>
                <w:rFonts w:ascii="Times New Roman" w:hAnsi="Times New Roman" w:cs="Times New Roman"/>
                <w:color w:val="000000"/>
                <w:sz w:val="14"/>
                <w:szCs w:val="14"/>
                <w:lang w:eastAsia="sk-SK"/>
              </w:rPr>
            </w:pPr>
            <w:r w:rsidRPr="00D57A20">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D57A20" w:rsidRDefault="007D13F3" w:rsidP="00465CAC">
            <w:pPr>
              <w:jc w:val="right"/>
              <w:rPr>
                <w:rFonts w:ascii="Times New Roman" w:hAnsi="Times New Roman" w:cs="Times New Roman"/>
                <w:color w:val="000000"/>
                <w:sz w:val="14"/>
                <w:szCs w:val="14"/>
                <w:lang w:eastAsia="sk-SK"/>
              </w:rPr>
            </w:pPr>
            <w:r w:rsidRPr="00D57A20">
              <w:rPr>
                <w:rFonts w:ascii="Times New Roman" w:hAnsi="Times New Roman" w:cs="Times New Roman"/>
                <w:color w:val="000000"/>
                <w:sz w:val="14"/>
                <w:szCs w:val="14"/>
                <w:lang w:eastAsia="sk-SK"/>
              </w:rPr>
              <w:t>0</w:t>
            </w:r>
          </w:p>
        </w:tc>
        <w:tc>
          <w:tcPr>
            <w:tcW w:w="948" w:type="dxa"/>
            <w:shd w:val="clear" w:color="auto" w:fill="auto"/>
            <w:vAlign w:val="bottom"/>
            <w:hideMark/>
          </w:tcPr>
          <w:p w:rsidR="007D13F3" w:rsidRPr="00D57A20" w:rsidRDefault="007D13F3" w:rsidP="00465CAC">
            <w:pPr>
              <w:jc w:val="right"/>
              <w:rPr>
                <w:rFonts w:ascii="Times New Roman" w:hAnsi="Times New Roman" w:cs="Times New Roman"/>
                <w:color w:val="000000"/>
                <w:sz w:val="14"/>
                <w:szCs w:val="14"/>
                <w:lang w:eastAsia="sk-SK"/>
              </w:rPr>
            </w:pPr>
            <w:r w:rsidRPr="00D57A20">
              <w:rPr>
                <w:rFonts w:ascii="Times New Roman" w:hAnsi="Times New Roman" w:cs="Times New Roman"/>
                <w:color w:val="000000"/>
                <w:sz w:val="14"/>
                <w:szCs w:val="14"/>
                <w:lang w:eastAsia="sk-SK"/>
              </w:rPr>
              <w:t>0</w:t>
            </w:r>
          </w:p>
        </w:tc>
      </w:tr>
    </w:tbl>
    <w:p w:rsidR="007D13F3" w:rsidRPr="009F4D57" w:rsidRDefault="007D13F3" w:rsidP="007D13F3">
      <w:pPr>
        <w:pStyle w:val="titulok"/>
        <w:spacing w:before="0" w:beforeAutospacing="0" w:after="0" w:afterAutospacing="0"/>
        <w:jc w:val="both"/>
        <w:rPr>
          <w:rFonts w:ascii="Times New Roman" w:hAnsi="Times New Roman" w:cs="Times New Roman"/>
          <w:b w:val="0"/>
          <w:color w:val="000000"/>
          <w:sz w:val="14"/>
          <w:szCs w:val="14"/>
        </w:rPr>
      </w:pPr>
      <w:r w:rsidRPr="009F4D57">
        <w:rPr>
          <w:rFonts w:ascii="Times New Roman" w:hAnsi="Times New Roman" w:cs="Times New Roman"/>
          <w:b w:val="0"/>
          <w:color w:val="000000"/>
          <w:sz w:val="14"/>
          <w:szCs w:val="14"/>
        </w:rPr>
        <w:t>*z poistného plnenia zo zmluvného poistenia alebo zo zákonného poistenia</w:t>
      </w:r>
    </w:p>
    <w:p w:rsidR="007D13F3" w:rsidRDefault="007D13F3" w:rsidP="007D13F3">
      <w:pPr>
        <w:pStyle w:val="titulok"/>
        <w:spacing w:before="0" w:beforeAutospacing="0" w:after="0" w:afterAutospacing="0"/>
        <w:jc w:val="both"/>
        <w:rPr>
          <w:rFonts w:ascii="Times New Roman" w:hAnsi="Times New Roman" w:cs="Times New Roman"/>
          <w:color w:val="000000"/>
          <w:sz w:val="14"/>
          <w:szCs w:val="14"/>
        </w:rPr>
      </w:pPr>
    </w:p>
    <w:tbl>
      <w:tblPr>
        <w:tblW w:w="5000" w:type="pct"/>
        <w:tblCellMar>
          <w:left w:w="70" w:type="dxa"/>
          <w:right w:w="70" w:type="dxa"/>
        </w:tblCellMar>
        <w:tblLook w:val="04A0" w:firstRow="1" w:lastRow="0" w:firstColumn="1" w:lastColumn="0" w:noHBand="0" w:noVBand="1"/>
      </w:tblPr>
      <w:tblGrid>
        <w:gridCol w:w="2440"/>
        <w:gridCol w:w="963"/>
        <w:gridCol w:w="850"/>
        <w:gridCol w:w="991"/>
        <w:gridCol w:w="991"/>
        <w:gridCol w:w="991"/>
        <w:gridCol w:w="942"/>
        <w:gridCol w:w="894"/>
      </w:tblGrid>
      <w:tr w:rsidR="007D13F3" w:rsidRPr="000E76EC" w:rsidTr="00A5207C">
        <w:trPr>
          <w:trHeight w:hRule="exact" w:val="255"/>
        </w:trPr>
        <w:tc>
          <w:tcPr>
            <w:tcW w:w="1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0E76EC" w:rsidRDefault="007D13F3" w:rsidP="00465CAC">
            <w:pPr>
              <w:rPr>
                <w:rFonts w:ascii="Times New Roman" w:hAnsi="Times New Roman" w:cs="Times New Roman"/>
                <w:b/>
                <w:bCs/>
                <w:sz w:val="14"/>
                <w:szCs w:val="14"/>
                <w:lang w:eastAsia="sk-SK"/>
              </w:rPr>
            </w:pPr>
            <w:r w:rsidRPr="000E76EC">
              <w:rPr>
                <w:rFonts w:ascii="Times New Roman" w:hAnsi="Times New Roman" w:cs="Times New Roman"/>
                <w:b/>
                <w:bCs/>
                <w:sz w:val="14"/>
                <w:szCs w:val="14"/>
                <w:lang w:eastAsia="sk-SK"/>
              </w:rPr>
              <w:t>Samostatné účty</w:t>
            </w:r>
          </w:p>
        </w:tc>
        <w:tc>
          <w:tcPr>
            <w:tcW w:w="531"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25 088 589</w:t>
            </w:r>
          </w:p>
        </w:tc>
        <w:tc>
          <w:tcPr>
            <w:tcW w:w="469"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11 351 376</w:t>
            </w:r>
          </w:p>
        </w:tc>
        <w:tc>
          <w:tcPr>
            <w:tcW w:w="547"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21 750 139</w:t>
            </w:r>
          </w:p>
        </w:tc>
        <w:tc>
          <w:tcPr>
            <w:tcW w:w="547"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20 534 139</w:t>
            </w:r>
          </w:p>
        </w:tc>
        <w:tc>
          <w:tcPr>
            <w:tcW w:w="547"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19 931 515</w:t>
            </w:r>
          </w:p>
        </w:tc>
        <w:tc>
          <w:tcPr>
            <w:tcW w:w="520"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27 810 806</w:t>
            </w:r>
          </w:p>
        </w:tc>
        <w:tc>
          <w:tcPr>
            <w:tcW w:w="493"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34 599 814</w:t>
            </w:r>
          </w:p>
        </w:tc>
      </w:tr>
    </w:tbl>
    <w:p w:rsidR="007D13F3" w:rsidRDefault="007D13F3" w:rsidP="007D13F3">
      <w:pPr>
        <w:pStyle w:val="titulok"/>
        <w:spacing w:before="0" w:beforeAutospacing="0" w:after="0" w:afterAutospacing="0"/>
        <w:ind w:firstLine="709"/>
        <w:jc w:val="both"/>
        <w:rPr>
          <w:rFonts w:ascii="Times New Roman" w:hAnsi="Times New Roman" w:cs="Courier"/>
          <w:b w:val="0"/>
          <w:bCs w:val="0"/>
          <w:color w:val="auto"/>
          <w:lang w:eastAsia="cs-CZ"/>
        </w:rPr>
      </w:pPr>
    </w:p>
    <w:p w:rsidR="007D13F3" w:rsidRDefault="007D13F3" w:rsidP="007D13F3">
      <w:pPr>
        <w:pStyle w:val="titulok"/>
        <w:spacing w:before="0" w:beforeAutospacing="0" w:after="0" w:afterAutospacing="0"/>
        <w:ind w:firstLine="709"/>
        <w:jc w:val="both"/>
        <w:rPr>
          <w:rFonts w:ascii="Times New Roman" w:hAnsi="Times New Roman" w:cs="Courier"/>
          <w:b w:val="0"/>
          <w:bCs w:val="0"/>
          <w:color w:val="auto"/>
          <w:lang w:eastAsia="cs-CZ"/>
        </w:rPr>
      </w:pPr>
      <w:r w:rsidRPr="00C52925">
        <w:rPr>
          <w:rFonts w:ascii="Times New Roman" w:hAnsi="Times New Roman" w:cs="Courier"/>
          <w:b w:val="0"/>
          <w:bCs w:val="0"/>
          <w:color w:val="auto"/>
          <w:lang w:eastAsia="cs-CZ"/>
        </w:rPr>
        <w:t>V kapitole Ministerstva dopravy</w:t>
      </w:r>
      <w:r>
        <w:rPr>
          <w:rFonts w:ascii="Times New Roman" w:hAnsi="Times New Roman" w:cs="Courier"/>
          <w:b w:val="0"/>
          <w:bCs w:val="0"/>
          <w:color w:val="auto"/>
          <w:lang w:eastAsia="cs-CZ"/>
        </w:rPr>
        <w:t xml:space="preserve"> a</w:t>
      </w:r>
      <w:r w:rsidRPr="00C52925">
        <w:rPr>
          <w:rFonts w:ascii="Times New Roman" w:hAnsi="Times New Roman" w:cs="Courier"/>
          <w:b w:val="0"/>
          <w:bCs w:val="0"/>
          <w:color w:val="auto"/>
          <w:lang w:eastAsia="cs-CZ"/>
        </w:rPr>
        <w:t xml:space="preserve"> výstavby SR (ďalej len „MDV SR“) sa rozpočtujú na rok 201</w:t>
      </w:r>
      <w:r>
        <w:rPr>
          <w:rFonts w:ascii="Times New Roman" w:hAnsi="Times New Roman" w:cs="Courier"/>
          <w:b w:val="0"/>
          <w:bCs w:val="0"/>
          <w:color w:val="auto"/>
          <w:lang w:eastAsia="cs-CZ"/>
        </w:rPr>
        <w:t>8</w:t>
      </w:r>
      <w:r w:rsidRPr="00C52925">
        <w:rPr>
          <w:rFonts w:ascii="Times New Roman" w:hAnsi="Times New Roman" w:cs="Courier"/>
          <w:b w:val="0"/>
          <w:bCs w:val="0"/>
          <w:color w:val="auto"/>
          <w:lang w:eastAsia="cs-CZ"/>
        </w:rPr>
        <w:t xml:space="preserve"> výdavky v celkovej sume </w:t>
      </w:r>
      <w:r>
        <w:rPr>
          <w:rFonts w:ascii="Times New Roman" w:hAnsi="Times New Roman" w:cs="Courier"/>
          <w:b w:val="0"/>
          <w:bCs w:val="0"/>
          <w:color w:val="auto"/>
          <w:lang w:eastAsia="cs-CZ"/>
        </w:rPr>
        <w:t>1</w:t>
      </w:r>
      <w:r w:rsidRPr="00C52925">
        <w:rPr>
          <w:rFonts w:ascii="Times New Roman" w:hAnsi="Times New Roman" w:cs="Courier"/>
          <w:b w:val="0"/>
          <w:bCs w:val="0"/>
          <w:color w:val="auto"/>
          <w:lang w:eastAsia="cs-CZ"/>
        </w:rPr>
        <w:t>,</w:t>
      </w:r>
      <w:r>
        <w:rPr>
          <w:rFonts w:ascii="Times New Roman" w:hAnsi="Times New Roman" w:cs="Courier"/>
          <w:b w:val="0"/>
          <w:bCs w:val="0"/>
          <w:color w:val="auto"/>
          <w:lang w:eastAsia="cs-CZ"/>
        </w:rPr>
        <w:t xml:space="preserve">18 </w:t>
      </w:r>
      <w:r w:rsidRPr="00C52925">
        <w:rPr>
          <w:rFonts w:ascii="Times New Roman" w:hAnsi="Times New Roman" w:cs="Courier"/>
          <w:b w:val="0"/>
          <w:bCs w:val="0"/>
          <w:color w:val="auto"/>
          <w:lang w:eastAsia="cs-CZ"/>
        </w:rPr>
        <w:t>mld. eur, čo v porovnaní so schváleným rozpočtom roku 201</w:t>
      </w:r>
      <w:r>
        <w:rPr>
          <w:rFonts w:ascii="Times New Roman" w:hAnsi="Times New Roman" w:cs="Courier"/>
          <w:b w:val="0"/>
          <w:bCs w:val="0"/>
          <w:color w:val="auto"/>
          <w:lang w:eastAsia="cs-CZ"/>
        </w:rPr>
        <w:t>7</w:t>
      </w:r>
      <w:r w:rsidRPr="00C52925">
        <w:rPr>
          <w:rFonts w:ascii="Times New Roman" w:hAnsi="Times New Roman" w:cs="Courier"/>
          <w:b w:val="0"/>
          <w:bCs w:val="0"/>
          <w:color w:val="auto"/>
          <w:lang w:eastAsia="cs-CZ"/>
        </w:rPr>
        <w:t xml:space="preserve"> predstavuje z</w:t>
      </w:r>
      <w:r>
        <w:rPr>
          <w:rFonts w:ascii="Times New Roman" w:hAnsi="Times New Roman" w:cs="Courier"/>
          <w:b w:val="0"/>
          <w:bCs w:val="0"/>
          <w:color w:val="auto"/>
          <w:lang w:eastAsia="cs-CZ"/>
        </w:rPr>
        <w:t>níže</w:t>
      </w:r>
      <w:r w:rsidRPr="00C52925">
        <w:rPr>
          <w:rFonts w:ascii="Times New Roman" w:hAnsi="Times New Roman" w:cs="Courier"/>
          <w:b w:val="0"/>
          <w:bCs w:val="0"/>
          <w:color w:val="auto"/>
          <w:lang w:eastAsia="cs-CZ"/>
        </w:rPr>
        <w:t>nie o</w:t>
      </w:r>
      <w:r>
        <w:rPr>
          <w:rFonts w:ascii="Times New Roman" w:hAnsi="Times New Roman" w:cs="Courier"/>
          <w:b w:val="0"/>
          <w:bCs w:val="0"/>
          <w:color w:val="auto"/>
          <w:lang w:eastAsia="cs-CZ"/>
        </w:rPr>
        <w:t xml:space="preserve"> 974 </w:t>
      </w:r>
      <w:r w:rsidRPr="00C52925">
        <w:rPr>
          <w:rFonts w:ascii="Times New Roman" w:hAnsi="Times New Roman" w:cs="Courier"/>
          <w:b w:val="0"/>
          <w:bCs w:val="0"/>
          <w:color w:val="auto"/>
          <w:lang w:eastAsia="cs-CZ"/>
        </w:rPr>
        <w:t>m</w:t>
      </w:r>
      <w:r>
        <w:rPr>
          <w:rFonts w:ascii="Times New Roman" w:hAnsi="Times New Roman" w:cs="Courier"/>
          <w:b w:val="0"/>
          <w:bCs w:val="0"/>
          <w:color w:val="auto"/>
          <w:lang w:eastAsia="cs-CZ"/>
        </w:rPr>
        <w:t>i</w:t>
      </w:r>
      <w:r w:rsidRPr="00C52925">
        <w:rPr>
          <w:rFonts w:ascii="Times New Roman" w:hAnsi="Times New Roman" w:cs="Courier"/>
          <w:b w:val="0"/>
          <w:bCs w:val="0"/>
          <w:color w:val="auto"/>
          <w:lang w:eastAsia="cs-CZ"/>
        </w:rPr>
        <w:t>l. eur, t. j. o</w:t>
      </w:r>
      <w:r>
        <w:rPr>
          <w:rFonts w:ascii="Times New Roman" w:hAnsi="Times New Roman" w:cs="Courier"/>
          <w:b w:val="0"/>
          <w:bCs w:val="0"/>
          <w:color w:val="auto"/>
          <w:lang w:eastAsia="cs-CZ"/>
        </w:rPr>
        <w:t xml:space="preserve"> 45,3 </w:t>
      </w:r>
      <w:r w:rsidRPr="00384762">
        <w:rPr>
          <w:rFonts w:ascii="Times New Roman" w:hAnsi="Times New Roman" w:cs="Courier"/>
          <w:b w:val="0"/>
          <w:bCs w:val="0"/>
          <w:color w:val="auto"/>
          <w:lang w:eastAsia="cs-CZ"/>
        </w:rPr>
        <w:t xml:space="preserve">%. Zmeny </w:t>
      </w:r>
      <w:r>
        <w:rPr>
          <w:rFonts w:ascii="Times New Roman" w:hAnsi="Times New Roman" w:cs="Courier"/>
          <w:b w:val="0"/>
          <w:bCs w:val="0"/>
          <w:color w:val="auto"/>
          <w:lang w:eastAsia="cs-CZ"/>
        </w:rPr>
        <w:t xml:space="preserve">vo výške </w:t>
      </w:r>
      <w:r w:rsidRPr="00384762">
        <w:rPr>
          <w:rFonts w:ascii="Times New Roman" w:hAnsi="Times New Roman" w:cs="Courier"/>
          <w:b w:val="0"/>
          <w:bCs w:val="0"/>
          <w:color w:val="auto"/>
          <w:lang w:eastAsia="cs-CZ"/>
        </w:rPr>
        <w:t>výdavkov kapitoly súvisia s aktualizáciou čerpania prostriedkov zo zdrojov EÚ a spolufinancovania zo štátneho rozpočtu.</w:t>
      </w:r>
      <w:r w:rsidRPr="00C52925">
        <w:rPr>
          <w:rFonts w:ascii="Times New Roman" w:hAnsi="Times New Roman" w:cs="Courier"/>
          <w:b w:val="0"/>
          <w:bCs w:val="0"/>
          <w:color w:val="auto"/>
          <w:lang w:eastAsia="cs-CZ"/>
        </w:rPr>
        <w:t xml:space="preserve"> </w:t>
      </w:r>
    </w:p>
    <w:p w:rsidR="007D13F3" w:rsidRPr="00C52925" w:rsidRDefault="007D13F3" w:rsidP="007D13F3">
      <w:pPr>
        <w:pStyle w:val="titulok"/>
        <w:spacing w:before="0" w:beforeAutospacing="0" w:after="0" w:afterAutospacing="0"/>
        <w:ind w:firstLine="709"/>
        <w:jc w:val="both"/>
        <w:rPr>
          <w:rFonts w:ascii="Times New Roman" w:hAnsi="Times New Roman" w:cs="Courier"/>
          <w:b w:val="0"/>
          <w:bCs w:val="0"/>
          <w:color w:val="auto"/>
          <w:lang w:eastAsia="cs-CZ"/>
        </w:rPr>
      </w:pPr>
    </w:p>
    <w:p w:rsidR="007D13F3" w:rsidRPr="001E1F81" w:rsidRDefault="007D13F3" w:rsidP="007D13F3">
      <w:pPr>
        <w:jc w:val="both"/>
        <w:rPr>
          <w:rFonts w:ascii="Times New Roman" w:hAnsi="Times New Roman" w:cs="Times New Roman"/>
          <w:lang w:eastAsia="en-US"/>
        </w:rPr>
      </w:pPr>
      <w:r>
        <w:rPr>
          <w:rFonts w:ascii="Times New Roman" w:hAnsi="Times New Roman" w:cs="Times New Roman"/>
          <w:lang w:eastAsia="en-US"/>
        </w:rPr>
        <w:tab/>
      </w:r>
      <w:r w:rsidRPr="00E32B2D">
        <w:rPr>
          <w:rFonts w:ascii="Times New Roman" w:hAnsi="Times New Roman" w:cs="Times New Roman"/>
          <w:lang w:eastAsia="en-US"/>
        </w:rPr>
        <w:t>Objem osobných výdavkov sa na rok 201</w:t>
      </w:r>
      <w:r>
        <w:rPr>
          <w:rFonts w:ascii="Times New Roman" w:hAnsi="Times New Roman" w:cs="Times New Roman"/>
          <w:lang w:eastAsia="en-US"/>
        </w:rPr>
        <w:t>8</w:t>
      </w:r>
      <w:r w:rsidRPr="00E32B2D">
        <w:rPr>
          <w:rFonts w:ascii="Times New Roman" w:hAnsi="Times New Roman" w:cs="Times New Roman"/>
          <w:lang w:eastAsia="en-US"/>
        </w:rPr>
        <w:t xml:space="preserve"> rozpočtuje v sume 2</w:t>
      </w:r>
      <w:r>
        <w:rPr>
          <w:rFonts w:ascii="Times New Roman" w:hAnsi="Times New Roman" w:cs="Times New Roman"/>
          <w:lang w:eastAsia="en-US"/>
        </w:rPr>
        <w:t>8</w:t>
      </w:r>
      <w:r w:rsidRPr="00E32B2D">
        <w:rPr>
          <w:rFonts w:ascii="Times New Roman" w:hAnsi="Times New Roman" w:cs="Times New Roman"/>
          <w:lang w:eastAsia="en-US"/>
        </w:rPr>
        <w:t>,</w:t>
      </w:r>
      <w:r>
        <w:rPr>
          <w:rFonts w:ascii="Times New Roman" w:hAnsi="Times New Roman" w:cs="Times New Roman"/>
          <w:lang w:eastAsia="en-US"/>
        </w:rPr>
        <w:t>1</w:t>
      </w:r>
      <w:r w:rsidRPr="00E32B2D">
        <w:rPr>
          <w:rFonts w:ascii="Times New Roman" w:hAnsi="Times New Roman" w:cs="Times New Roman"/>
          <w:lang w:eastAsia="en-US"/>
        </w:rPr>
        <w:t xml:space="preserve"> mil. eur a v porovnaní so schváleným rozpočtom roku 201</w:t>
      </w:r>
      <w:r>
        <w:rPr>
          <w:rFonts w:ascii="Times New Roman" w:hAnsi="Times New Roman" w:cs="Times New Roman"/>
          <w:lang w:eastAsia="en-US"/>
        </w:rPr>
        <w:t>7</w:t>
      </w:r>
      <w:r w:rsidRPr="00E32B2D">
        <w:rPr>
          <w:rFonts w:ascii="Times New Roman" w:hAnsi="Times New Roman" w:cs="Times New Roman"/>
          <w:lang w:eastAsia="en-US"/>
        </w:rPr>
        <w:t xml:space="preserve"> je vyšší o </w:t>
      </w:r>
      <w:r>
        <w:rPr>
          <w:rFonts w:ascii="Times New Roman" w:hAnsi="Times New Roman" w:cs="Times New Roman"/>
          <w:lang w:eastAsia="en-US"/>
        </w:rPr>
        <w:t>3</w:t>
      </w:r>
      <w:r w:rsidRPr="00E32B2D">
        <w:rPr>
          <w:rFonts w:ascii="Times New Roman" w:hAnsi="Times New Roman" w:cs="Times New Roman"/>
          <w:lang w:eastAsia="en-US"/>
        </w:rPr>
        <w:t>,</w:t>
      </w:r>
      <w:r>
        <w:rPr>
          <w:rFonts w:ascii="Times New Roman" w:hAnsi="Times New Roman" w:cs="Times New Roman"/>
          <w:lang w:eastAsia="en-US"/>
        </w:rPr>
        <w:t>25</w:t>
      </w:r>
      <w:r w:rsidRPr="00E32B2D">
        <w:rPr>
          <w:rFonts w:ascii="Times New Roman" w:hAnsi="Times New Roman" w:cs="Times New Roman"/>
          <w:lang w:eastAsia="en-US"/>
        </w:rPr>
        <w:t xml:space="preserve"> mil. eur, čo predstavuje</w:t>
      </w:r>
      <w:r w:rsidRPr="00E32B2D">
        <w:rPr>
          <w:rFonts w:ascii="Times New Roman" w:hAnsi="Times New Roman" w:cs="Times New Roman"/>
          <w:lang w:eastAsia="en-US"/>
        </w:rPr>
        <w:br/>
      </w:r>
      <w:r>
        <w:rPr>
          <w:rFonts w:ascii="Times New Roman" w:hAnsi="Times New Roman" w:cs="Times New Roman"/>
          <w:lang w:eastAsia="en-US"/>
        </w:rPr>
        <w:t>13</w:t>
      </w:r>
      <w:r w:rsidRPr="00E32B2D">
        <w:rPr>
          <w:rFonts w:ascii="Times New Roman" w:hAnsi="Times New Roman" w:cs="Times New Roman"/>
          <w:lang w:eastAsia="en-US"/>
        </w:rPr>
        <w:t>,</w:t>
      </w:r>
      <w:r>
        <w:rPr>
          <w:rFonts w:ascii="Times New Roman" w:hAnsi="Times New Roman" w:cs="Times New Roman"/>
          <w:lang w:eastAsia="en-US"/>
        </w:rPr>
        <w:t>1</w:t>
      </w:r>
      <w:r w:rsidRPr="00E32B2D">
        <w:rPr>
          <w:rFonts w:ascii="Times New Roman" w:hAnsi="Times New Roman" w:cs="Times New Roman"/>
          <w:lang w:eastAsia="en-US"/>
        </w:rPr>
        <w:t xml:space="preserve"> %, z dôvodu </w:t>
      </w:r>
      <w:r w:rsidRPr="00E32B2D">
        <w:rPr>
          <w:rFonts w:ascii="Times New Roman" w:hAnsi="Times New Roman"/>
          <w:lang w:eastAsia="sk-SK"/>
        </w:rPr>
        <w:t>premietnutia</w:t>
      </w:r>
      <w:r w:rsidRPr="00E32B2D">
        <w:rPr>
          <w:rFonts w:ascii="Times New Roman" w:hAnsi="Times New Roman" w:cs="Times New Roman"/>
          <w:lang w:eastAsia="en-US"/>
        </w:rPr>
        <w:t xml:space="preserve"> valorizácie miezd</w:t>
      </w:r>
      <w:r>
        <w:rPr>
          <w:rFonts w:ascii="Times New Roman" w:hAnsi="Times New Roman" w:cs="Times New Roman"/>
          <w:lang w:eastAsia="en-US"/>
        </w:rPr>
        <w:t xml:space="preserve"> z  roku 2017, </w:t>
      </w:r>
      <w:r w:rsidRPr="00E32B2D">
        <w:rPr>
          <w:rFonts w:ascii="Times New Roman" w:hAnsi="Times New Roman" w:cs="Times New Roman"/>
          <w:lang w:eastAsia="en-US"/>
        </w:rPr>
        <w:t> </w:t>
      </w:r>
      <w:r>
        <w:rPr>
          <w:rFonts w:ascii="Times New Roman" w:hAnsi="Times New Roman" w:cs="Times New Roman"/>
          <w:lang w:eastAsia="en-US"/>
        </w:rPr>
        <w:t>zriadenia funkcie</w:t>
      </w:r>
      <w:r w:rsidRPr="001E1F81">
        <w:rPr>
          <w:rFonts w:ascii="Times New Roman" w:hAnsi="Times New Roman" w:cs="Times New Roman"/>
          <w:lang w:eastAsia="en-US"/>
        </w:rPr>
        <w:t xml:space="preserve"> splnomocnenca vlády SR pre rýchlostné cesty</w:t>
      </w:r>
      <w:r>
        <w:rPr>
          <w:rFonts w:ascii="Times New Roman" w:hAnsi="Times New Roman" w:cs="Times New Roman"/>
          <w:lang w:eastAsia="en-US"/>
        </w:rPr>
        <w:t>,</w:t>
      </w:r>
      <w:r w:rsidRPr="001E1F81">
        <w:rPr>
          <w:rFonts w:ascii="Times New Roman" w:hAnsi="Times New Roman" w:cs="Times New Roman"/>
          <w:lang w:eastAsia="en-US"/>
        </w:rPr>
        <w:t> delimitáci</w:t>
      </w:r>
      <w:r>
        <w:rPr>
          <w:rFonts w:ascii="Times New Roman" w:hAnsi="Times New Roman" w:cs="Times New Roman"/>
          <w:lang w:eastAsia="en-US"/>
        </w:rPr>
        <w:t>e</w:t>
      </w:r>
      <w:r w:rsidRPr="001E1F81">
        <w:rPr>
          <w:rFonts w:ascii="Times New Roman" w:hAnsi="Times New Roman" w:cs="Times New Roman"/>
          <w:lang w:eastAsia="en-US"/>
        </w:rPr>
        <w:t xml:space="preserve"> časti pracovníkov zo zrušenej príspevkovej organizácie </w:t>
      </w:r>
      <w:r>
        <w:rPr>
          <w:rFonts w:ascii="Times New Roman" w:hAnsi="Times New Roman" w:cs="Times New Roman"/>
          <w:lang w:eastAsia="en-US"/>
        </w:rPr>
        <w:t>Slovenskej agentúry pre cestovný ruch (ďalej len „</w:t>
      </w:r>
      <w:r w:rsidRPr="001E1F81">
        <w:rPr>
          <w:rFonts w:ascii="Times New Roman" w:hAnsi="Times New Roman" w:cs="Times New Roman"/>
          <w:lang w:eastAsia="en-US"/>
        </w:rPr>
        <w:t>SACR</w:t>
      </w:r>
      <w:r>
        <w:rPr>
          <w:rFonts w:ascii="Times New Roman" w:hAnsi="Times New Roman" w:cs="Times New Roman"/>
          <w:lang w:eastAsia="en-US"/>
        </w:rPr>
        <w:t>“)</w:t>
      </w:r>
      <w:r w:rsidRPr="001E1F81">
        <w:rPr>
          <w:rFonts w:ascii="Times New Roman" w:hAnsi="Times New Roman" w:cs="Times New Roman"/>
          <w:lang w:eastAsia="en-US"/>
        </w:rPr>
        <w:t xml:space="preserve"> do úradu ministerstva</w:t>
      </w:r>
      <w:r>
        <w:rPr>
          <w:rFonts w:ascii="Times New Roman" w:hAnsi="Times New Roman" w:cs="Times New Roman"/>
          <w:lang w:eastAsia="en-US"/>
        </w:rPr>
        <w:t>,  dopadov vyplývajúcich z  novely zákona o  elektronických komunikáciách, z novely zákona o podmienkach prevádzky v premávke na pozemných komunikáciách a</w:t>
      </w:r>
      <w:r w:rsidRPr="00616A08">
        <w:rPr>
          <w:rFonts w:ascii="Times New Roman" w:hAnsi="Times New Roman" w:cs="Times New Roman"/>
          <w:lang w:eastAsia="en-US"/>
        </w:rPr>
        <w:t xml:space="preserve"> zo smerníc Európskeho parlamentu a Rady</w:t>
      </w:r>
      <w:r w:rsidRPr="001E1F81">
        <w:rPr>
          <w:rFonts w:ascii="Times New Roman" w:hAnsi="Times New Roman" w:cs="Times New Roman"/>
          <w:lang w:eastAsia="en-US"/>
        </w:rPr>
        <w:t>.</w:t>
      </w:r>
    </w:p>
    <w:p w:rsidR="007D13F3" w:rsidRDefault="007D13F3" w:rsidP="007D13F3">
      <w:pPr>
        <w:ind w:firstLine="708"/>
        <w:jc w:val="both"/>
        <w:rPr>
          <w:rFonts w:ascii="Times New Roman" w:hAnsi="Times New Roman" w:cs="Times New Roman"/>
          <w:lang w:eastAsia="en-US"/>
        </w:rPr>
      </w:pPr>
    </w:p>
    <w:p w:rsidR="007D13F3" w:rsidRPr="00E32B2D" w:rsidRDefault="007D13F3" w:rsidP="007D13F3">
      <w:pPr>
        <w:ind w:firstLine="708"/>
        <w:jc w:val="both"/>
        <w:rPr>
          <w:rFonts w:ascii="Times New Roman" w:hAnsi="Times New Roman" w:cs="Times New Roman"/>
          <w:lang w:eastAsia="en-US"/>
        </w:rPr>
      </w:pPr>
      <w:r w:rsidRPr="00E32B2D">
        <w:rPr>
          <w:rFonts w:ascii="Times New Roman" w:hAnsi="Times New Roman"/>
          <w:lang w:eastAsia="sk-SK"/>
        </w:rPr>
        <w:t xml:space="preserve"> </w:t>
      </w:r>
      <w:r w:rsidRPr="00E32B2D">
        <w:rPr>
          <w:rFonts w:ascii="Times New Roman" w:hAnsi="Times New Roman" w:cs="Times New Roman"/>
          <w:lang w:eastAsia="en-US"/>
        </w:rPr>
        <w:t>Výdavky na tovary a služby v roku 201</w:t>
      </w:r>
      <w:r>
        <w:rPr>
          <w:rFonts w:ascii="Times New Roman" w:hAnsi="Times New Roman" w:cs="Times New Roman"/>
          <w:lang w:eastAsia="en-US"/>
        </w:rPr>
        <w:t>8</w:t>
      </w:r>
      <w:r w:rsidRPr="00E32B2D">
        <w:rPr>
          <w:rFonts w:ascii="Times New Roman" w:hAnsi="Times New Roman" w:cs="Times New Roman"/>
          <w:lang w:eastAsia="en-US"/>
        </w:rPr>
        <w:t xml:space="preserve"> sa rozpočtujú v objeme </w:t>
      </w:r>
      <w:r>
        <w:rPr>
          <w:rFonts w:ascii="Times New Roman" w:hAnsi="Times New Roman" w:cs="Times New Roman"/>
          <w:lang w:eastAsia="en-US"/>
        </w:rPr>
        <w:t>236</w:t>
      </w:r>
      <w:r w:rsidRPr="00E32B2D">
        <w:rPr>
          <w:rFonts w:ascii="Times New Roman" w:hAnsi="Times New Roman" w:cs="Times New Roman"/>
          <w:lang w:eastAsia="en-US"/>
        </w:rPr>
        <w:t xml:space="preserve"> mil. eur</w:t>
      </w:r>
      <w:r w:rsidRPr="00E32B2D">
        <w:rPr>
          <w:rFonts w:ascii="Times New Roman" w:hAnsi="Times New Roman" w:cs="Times New Roman"/>
          <w:lang w:eastAsia="en-US"/>
        </w:rPr>
        <w:br/>
        <w:t>a v porovnaní  so  schváleným  rozpočtom  roku 201</w:t>
      </w:r>
      <w:r>
        <w:rPr>
          <w:rFonts w:ascii="Times New Roman" w:hAnsi="Times New Roman" w:cs="Times New Roman"/>
          <w:lang w:eastAsia="en-US"/>
        </w:rPr>
        <w:t>7</w:t>
      </w:r>
      <w:r w:rsidRPr="00E32B2D">
        <w:rPr>
          <w:rFonts w:ascii="Times New Roman" w:hAnsi="Times New Roman" w:cs="Times New Roman"/>
          <w:lang w:eastAsia="en-US"/>
        </w:rPr>
        <w:t xml:space="preserve"> sú </w:t>
      </w:r>
      <w:r>
        <w:rPr>
          <w:rFonts w:ascii="Times New Roman" w:hAnsi="Times New Roman" w:cs="Times New Roman"/>
          <w:lang w:eastAsia="en-US"/>
        </w:rPr>
        <w:t>vyš</w:t>
      </w:r>
      <w:r w:rsidRPr="00E32B2D">
        <w:rPr>
          <w:rFonts w:ascii="Times New Roman" w:hAnsi="Times New Roman" w:cs="Times New Roman"/>
          <w:lang w:eastAsia="en-US"/>
        </w:rPr>
        <w:t>šie o </w:t>
      </w:r>
      <w:r>
        <w:rPr>
          <w:rFonts w:ascii="Times New Roman" w:hAnsi="Times New Roman" w:cs="Times New Roman"/>
          <w:lang w:eastAsia="en-US"/>
        </w:rPr>
        <w:t>48</w:t>
      </w:r>
      <w:r w:rsidRPr="00E32B2D">
        <w:rPr>
          <w:rFonts w:ascii="Times New Roman" w:hAnsi="Times New Roman" w:cs="Times New Roman"/>
          <w:lang w:eastAsia="en-US"/>
        </w:rPr>
        <w:t>,</w:t>
      </w:r>
      <w:r>
        <w:rPr>
          <w:rFonts w:ascii="Times New Roman" w:hAnsi="Times New Roman" w:cs="Times New Roman"/>
          <w:lang w:eastAsia="en-US"/>
        </w:rPr>
        <w:t>8</w:t>
      </w:r>
      <w:r w:rsidRPr="00E32B2D">
        <w:rPr>
          <w:rFonts w:ascii="Times New Roman" w:hAnsi="Times New Roman" w:cs="Times New Roman"/>
          <w:lang w:eastAsia="en-US"/>
        </w:rPr>
        <w:t xml:space="preserve"> mil. eur, t. j. o</w:t>
      </w:r>
      <w:r>
        <w:rPr>
          <w:rFonts w:ascii="Times New Roman" w:hAnsi="Times New Roman" w:cs="Times New Roman"/>
          <w:lang w:eastAsia="en-US"/>
        </w:rPr>
        <w:t> 26,1</w:t>
      </w:r>
      <w:r w:rsidRPr="00E32B2D">
        <w:rPr>
          <w:rFonts w:ascii="Times New Roman" w:hAnsi="Times New Roman" w:cs="Times New Roman"/>
          <w:lang w:eastAsia="en-US"/>
        </w:rPr>
        <w:t xml:space="preserve"> %</w:t>
      </w:r>
      <w:r>
        <w:rPr>
          <w:rFonts w:ascii="Times New Roman" w:hAnsi="Times New Roman" w:cs="Times New Roman"/>
          <w:lang w:eastAsia="en-US"/>
        </w:rPr>
        <w:t>,</w:t>
      </w:r>
      <w:r w:rsidRPr="00E32B2D">
        <w:rPr>
          <w:rFonts w:ascii="Times New Roman" w:hAnsi="Times New Roman" w:cs="Times New Roman"/>
          <w:lang w:eastAsia="en-US"/>
        </w:rPr>
        <w:t xml:space="preserve"> </w:t>
      </w:r>
      <w:r>
        <w:rPr>
          <w:rFonts w:ascii="Times New Roman" w:hAnsi="Times New Roman" w:cs="Times New Roman"/>
          <w:lang w:eastAsia="en-US"/>
        </w:rPr>
        <w:lastRenderedPageBreak/>
        <w:t>z dôvodu rozpočtovania výdavkov na implementáciu rezortných politik,</w:t>
      </w:r>
      <w:r w:rsidRPr="00D37F3C">
        <w:rPr>
          <w:rFonts w:ascii="Times New Roman" w:hAnsi="Times New Roman" w:cs="Times New Roman"/>
          <w:lang w:eastAsia="en-US"/>
        </w:rPr>
        <w:t xml:space="preserve"> zmen</w:t>
      </w:r>
      <w:r>
        <w:rPr>
          <w:rFonts w:ascii="Times New Roman" w:hAnsi="Times New Roman" w:cs="Times New Roman"/>
          <w:lang w:eastAsia="en-US"/>
        </w:rPr>
        <w:t>y</w:t>
      </w:r>
      <w:r w:rsidRPr="00D37F3C">
        <w:rPr>
          <w:rFonts w:ascii="Times New Roman" w:hAnsi="Times New Roman" w:cs="Times New Roman"/>
          <w:lang w:eastAsia="en-US"/>
        </w:rPr>
        <w:t xml:space="preserve"> rozpočtovania výdavkov na cestovný ruch z bežných transferov na tovary a služby v nadväznosti na zrušenie príspevkovej organizácie SACR</w:t>
      </w:r>
      <w:r>
        <w:rPr>
          <w:rFonts w:ascii="Times New Roman" w:hAnsi="Times New Roman" w:cs="Times New Roman"/>
          <w:lang w:eastAsia="en-US"/>
        </w:rPr>
        <w:t xml:space="preserve"> a zmeny rozpočtovania a vykazovania výdavkov na informačné technológie financované zo štátneho rozpočtu za celú kapitolu.</w:t>
      </w:r>
    </w:p>
    <w:p w:rsidR="007D13F3" w:rsidRPr="00775C7E" w:rsidRDefault="007D13F3" w:rsidP="007D13F3">
      <w:pPr>
        <w:ind w:firstLine="708"/>
        <w:jc w:val="both"/>
        <w:rPr>
          <w:rFonts w:ascii="Times New Roman" w:hAnsi="Times New Roman" w:cs="Times New Roman"/>
          <w:highlight w:val="yellow"/>
          <w:lang w:eastAsia="en-US"/>
        </w:rPr>
      </w:pPr>
    </w:p>
    <w:p w:rsidR="007D13F3" w:rsidRDefault="007D13F3" w:rsidP="007D13F3">
      <w:pPr>
        <w:ind w:firstLine="708"/>
        <w:jc w:val="both"/>
        <w:rPr>
          <w:rFonts w:ascii="Times New Roman" w:hAnsi="Times New Roman" w:cs="Times New Roman"/>
          <w:lang w:eastAsia="en-US"/>
        </w:rPr>
      </w:pPr>
      <w:r w:rsidRPr="000917AF">
        <w:rPr>
          <w:rFonts w:ascii="Times New Roman" w:hAnsi="Times New Roman" w:cs="Times New Roman"/>
          <w:lang w:eastAsia="en-US"/>
        </w:rPr>
        <w:t>Bežné transfery sa na rok 201</w:t>
      </w:r>
      <w:r>
        <w:rPr>
          <w:rFonts w:ascii="Times New Roman" w:hAnsi="Times New Roman" w:cs="Times New Roman"/>
          <w:lang w:eastAsia="en-US"/>
        </w:rPr>
        <w:t>8</w:t>
      </w:r>
      <w:r w:rsidRPr="000917AF">
        <w:rPr>
          <w:rFonts w:ascii="Times New Roman" w:hAnsi="Times New Roman" w:cs="Times New Roman"/>
          <w:lang w:eastAsia="en-US"/>
        </w:rPr>
        <w:t xml:space="preserve"> rozpočtujú vo výške 6</w:t>
      </w:r>
      <w:r>
        <w:rPr>
          <w:rFonts w:ascii="Times New Roman" w:hAnsi="Times New Roman" w:cs="Times New Roman"/>
          <w:lang w:eastAsia="en-US"/>
        </w:rPr>
        <w:t>20</w:t>
      </w:r>
      <w:r w:rsidRPr="000917AF">
        <w:rPr>
          <w:rFonts w:ascii="Times New Roman" w:hAnsi="Times New Roman" w:cs="Times New Roman"/>
          <w:lang w:eastAsia="en-US"/>
        </w:rPr>
        <w:t xml:space="preserve"> mil. eur, v porovnaní so schváleným rozpočtom roku 201</w:t>
      </w:r>
      <w:r>
        <w:rPr>
          <w:rFonts w:ascii="Times New Roman" w:hAnsi="Times New Roman" w:cs="Times New Roman"/>
          <w:lang w:eastAsia="en-US"/>
        </w:rPr>
        <w:t>7</w:t>
      </w:r>
      <w:r w:rsidRPr="000917AF">
        <w:rPr>
          <w:rFonts w:ascii="Times New Roman" w:hAnsi="Times New Roman" w:cs="Times New Roman"/>
          <w:lang w:eastAsia="en-US"/>
        </w:rPr>
        <w:t xml:space="preserve"> klesajú o</w:t>
      </w:r>
      <w:r>
        <w:rPr>
          <w:rFonts w:ascii="Times New Roman" w:hAnsi="Times New Roman" w:cs="Times New Roman"/>
          <w:lang w:eastAsia="en-US"/>
        </w:rPr>
        <w:t> 8,07</w:t>
      </w:r>
      <w:r w:rsidRPr="000917AF">
        <w:rPr>
          <w:rFonts w:ascii="Times New Roman" w:hAnsi="Times New Roman" w:cs="Times New Roman"/>
          <w:lang w:eastAsia="en-US"/>
        </w:rPr>
        <w:t xml:space="preserve"> mil. eur, t. j. o </w:t>
      </w:r>
      <w:r>
        <w:rPr>
          <w:rFonts w:ascii="Times New Roman" w:hAnsi="Times New Roman" w:cs="Times New Roman"/>
          <w:lang w:eastAsia="en-US"/>
        </w:rPr>
        <w:t>1</w:t>
      </w:r>
      <w:r w:rsidRPr="000917AF">
        <w:rPr>
          <w:rFonts w:ascii="Times New Roman" w:hAnsi="Times New Roman" w:cs="Times New Roman"/>
          <w:lang w:eastAsia="en-US"/>
        </w:rPr>
        <w:t>,</w:t>
      </w:r>
      <w:r>
        <w:rPr>
          <w:rFonts w:ascii="Times New Roman" w:hAnsi="Times New Roman" w:cs="Times New Roman"/>
          <w:lang w:eastAsia="en-US"/>
        </w:rPr>
        <w:t>28</w:t>
      </w:r>
      <w:r w:rsidRPr="000917AF">
        <w:rPr>
          <w:rFonts w:ascii="Times New Roman" w:hAnsi="Times New Roman" w:cs="Times New Roman"/>
          <w:lang w:eastAsia="en-US"/>
        </w:rPr>
        <w:t xml:space="preserve"> %, z</w:t>
      </w:r>
      <w:r>
        <w:rPr>
          <w:rFonts w:ascii="Times New Roman" w:hAnsi="Times New Roman" w:cs="Times New Roman"/>
          <w:lang w:eastAsia="en-US"/>
        </w:rPr>
        <w:t> </w:t>
      </w:r>
      <w:r w:rsidRPr="000917AF">
        <w:rPr>
          <w:rFonts w:ascii="Times New Roman" w:hAnsi="Times New Roman" w:cs="Times New Roman"/>
          <w:lang w:eastAsia="en-US"/>
        </w:rPr>
        <w:t>dôvodu</w:t>
      </w:r>
      <w:r>
        <w:rPr>
          <w:rFonts w:ascii="Times New Roman" w:hAnsi="Times New Roman" w:cs="Times New Roman"/>
          <w:lang w:eastAsia="en-US"/>
        </w:rPr>
        <w:t xml:space="preserve"> aktualizácie </w:t>
      </w:r>
      <w:r w:rsidRPr="000917AF">
        <w:rPr>
          <w:rFonts w:ascii="Times New Roman" w:hAnsi="Times New Roman" w:cs="Times New Roman"/>
          <w:lang w:eastAsia="en-US"/>
        </w:rPr>
        <w:t xml:space="preserve">výdavkov </w:t>
      </w:r>
      <w:r>
        <w:rPr>
          <w:rFonts w:ascii="Times New Roman" w:hAnsi="Times New Roman" w:cs="Times New Roman"/>
          <w:lang w:eastAsia="en-US"/>
        </w:rPr>
        <w:t xml:space="preserve">na </w:t>
      </w:r>
      <w:r w:rsidRPr="000917AF">
        <w:rPr>
          <w:rFonts w:ascii="Times New Roman" w:hAnsi="Times New Roman" w:cs="Times New Roman"/>
          <w:lang w:eastAsia="en-US"/>
        </w:rPr>
        <w:t>štátnu prémiu k stavebnému sporeniu</w:t>
      </w:r>
      <w:r>
        <w:rPr>
          <w:rFonts w:ascii="Times New Roman" w:hAnsi="Times New Roman" w:cs="Times New Roman"/>
          <w:lang w:eastAsia="en-US"/>
        </w:rPr>
        <w:t>, zníženia</w:t>
      </w:r>
      <w:r w:rsidRPr="000917AF">
        <w:rPr>
          <w:rFonts w:ascii="Times New Roman" w:hAnsi="Times New Roman" w:cs="Times New Roman"/>
          <w:lang w:eastAsia="en-US"/>
        </w:rPr>
        <w:t xml:space="preserve"> výdavkov </w:t>
      </w:r>
      <w:r>
        <w:rPr>
          <w:rFonts w:ascii="Times New Roman" w:hAnsi="Times New Roman" w:cs="Times New Roman"/>
          <w:lang w:eastAsia="en-US"/>
        </w:rPr>
        <w:t>na štátny príspevok k hypotekárnym úverom</w:t>
      </w:r>
      <w:r>
        <w:rPr>
          <w:rFonts w:ascii="Times New Roman" w:hAnsi="Times New Roman" w:cs="Times New Roman"/>
          <w:szCs w:val="22"/>
        </w:rPr>
        <w:t xml:space="preserve"> z dôvodu zmeny systému podpory poskytovania hypotekárnych úverov</w:t>
      </w:r>
      <w:r>
        <w:rPr>
          <w:rFonts w:ascii="Times New Roman" w:hAnsi="Times New Roman" w:cs="Times New Roman"/>
          <w:lang w:eastAsia="en-US"/>
        </w:rPr>
        <w:t xml:space="preserve">, </w:t>
      </w:r>
      <w:r w:rsidRPr="0025117C">
        <w:rPr>
          <w:rFonts w:ascii="Times New Roman" w:hAnsi="Times New Roman" w:cs="Times New Roman"/>
          <w:lang w:eastAsia="en-US"/>
        </w:rPr>
        <w:t>zmen</w:t>
      </w:r>
      <w:r>
        <w:rPr>
          <w:rFonts w:ascii="Times New Roman" w:hAnsi="Times New Roman" w:cs="Times New Roman"/>
          <w:lang w:eastAsia="en-US"/>
        </w:rPr>
        <w:t>y</w:t>
      </w:r>
      <w:r w:rsidRPr="0025117C">
        <w:rPr>
          <w:rFonts w:ascii="Times New Roman" w:hAnsi="Times New Roman" w:cs="Times New Roman"/>
          <w:lang w:eastAsia="en-US"/>
        </w:rPr>
        <w:t xml:space="preserve"> rozpočtovania výdavkov na cestovný ruch z bežných transferov na tovary a služby v nadväznosti na zrušenie príspevkovej organizácie SACR a delimitácie výdavkov regionálneho rozvoja na Ú</w:t>
      </w:r>
      <w:r>
        <w:rPr>
          <w:rFonts w:ascii="Times New Roman" w:hAnsi="Times New Roman" w:cs="Times New Roman"/>
          <w:lang w:eastAsia="en-US"/>
        </w:rPr>
        <w:t>rad vlády</w:t>
      </w:r>
      <w:r w:rsidRPr="0025117C">
        <w:rPr>
          <w:rFonts w:ascii="Times New Roman" w:hAnsi="Times New Roman" w:cs="Times New Roman"/>
          <w:lang w:eastAsia="en-US"/>
        </w:rPr>
        <w:t xml:space="preserve"> SR</w:t>
      </w:r>
      <w:r>
        <w:rPr>
          <w:rFonts w:ascii="Times New Roman" w:hAnsi="Times New Roman" w:cs="Times New Roman"/>
          <w:lang w:eastAsia="en-US"/>
        </w:rPr>
        <w:t xml:space="preserve"> (ďalej len „ÚV SR“).</w:t>
      </w:r>
    </w:p>
    <w:p w:rsidR="007D13F3" w:rsidRPr="00775C7E" w:rsidRDefault="007D13F3" w:rsidP="007D13F3">
      <w:pPr>
        <w:ind w:firstLine="708"/>
        <w:jc w:val="both"/>
        <w:rPr>
          <w:rFonts w:ascii="Times New Roman" w:hAnsi="Times New Roman" w:cs="Times New Roman"/>
          <w:highlight w:val="yellow"/>
          <w:lang w:eastAsia="en-US"/>
        </w:rPr>
      </w:pPr>
    </w:p>
    <w:p w:rsidR="007D13F3" w:rsidRDefault="007D13F3" w:rsidP="007D13F3">
      <w:pPr>
        <w:ind w:firstLine="708"/>
        <w:jc w:val="both"/>
        <w:rPr>
          <w:rFonts w:ascii="Times New Roman" w:hAnsi="Times New Roman" w:cs="Times New Roman"/>
          <w:lang w:eastAsia="en-US"/>
        </w:rPr>
      </w:pPr>
      <w:r w:rsidRPr="000917AF">
        <w:rPr>
          <w:rFonts w:ascii="Times New Roman" w:hAnsi="Times New Roman" w:cs="Times New Roman"/>
          <w:lang w:eastAsia="en-US"/>
        </w:rPr>
        <w:t>Kapitálové výdavky v roku 201</w:t>
      </w:r>
      <w:r>
        <w:rPr>
          <w:rFonts w:ascii="Times New Roman" w:hAnsi="Times New Roman" w:cs="Times New Roman"/>
          <w:lang w:eastAsia="en-US"/>
        </w:rPr>
        <w:t>8</w:t>
      </w:r>
      <w:r w:rsidRPr="000917AF">
        <w:rPr>
          <w:rFonts w:ascii="Times New Roman" w:hAnsi="Times New Roman" w:cs="Times New Roman"/>
          <w:lang w:eastAsia="en-US"/>
        </w:rPr>
        <w:t xml:space="preserve"> v sume </w:t>
      </w:r>
      <w:r>
        <w:rPr>
          <w:rFonts w:ascii="Times New Roman" w:hAnsi="Times New Roman" w:cs="Times New Roman"/>
          <w:lang w:eastAsia="en-US"/>
        </w:rPr>
        <w:t>292</w:t>
      </w:r>
      <w:r w:rsidRPr="000917AF">
        <w:rPr>
          <w:rFonts w:ascii="Times New Roman" w:hAnsi="Times New Roman" w:cs="Times New Roman"/>
          <w:lang w:eastAsia="en-US"/>
        </w:rPr>
        <w:t xml:space="preserve"> mil. eur</w:t>
      </w:r>
      <w:r>
        <w:rPr>
          <w:rFonts w:ascii="Times New Roman" w:hAnsi="Times New Roman" w:cs="Times New Roman"/>
          <w:lang w:eastAsia="en-US"/>
        </w:rPr>
        <w:t xml:space="preserve">, </w:t>
      </w:r>
      <w:r w:rsidRPr="000917AF">
        <w:rPr>
          <w:rFonts w:ascii="Times New Roman" w:hAnsi="Times New Roman" w:cs="Times New Roman"/>
          <w:lang w:eastAsia="en-US"/>
        </w:rPr>
        <w:t>v porovnaní so schváleným rozpočtom roku 201</w:t>
      </w:r>
      <w:r>
        <w:rPr>
          <w:rFonts w:ascii="Times New Roman" w:hAnsi="Times New Roman" w:cs="Times New Roman"/>
          <w:lang w:eastAsia="en-US"/>
        </w:rPr>
        <w:t>7</w:t>
      </w:r>
      <w:r w:rsidRPr="000917AF">
        <w:rPr>
          <w:rFonts w:ascii="Times New Roman" w:hAnsi="Times New Roman" w:cs="Times New Roman"/>
          <w:lang w:eastAsia="en-US"/>
        </w:rPr>
        <w:t xml:space="preserve"> sú </w:t>
      </w:r>
      <w:r>
        <w:rPr>
          <w:rFonts w:ascii="Times New Roman" w:hAnsi="Times New Roman" w:cs="Times New Roman"/>
          <w:lang w:eastAsia="en-US"/>
        </w:rPr>
        <w:t>vyššie</w:t>
      </w:r>
      <w:r w:rsidRPr="000917AF">
        <w:rPr>
          <w:rFonts w:ascii="Times New Roman" w:hAnsi="Times New Roman" w:cs="Times New Roman"/>
          <w:lang w:eastAsia="en-US"/>
        </w:rPr>
        <w:t xml:space="preserve"> o</w:t>
      </w:r>
      <w:r>
        <w:rPr>
          <w:rFonts w:ascii="Times New Roman" w:hAnsi="Times New Roman" w:cs="Times New Roman"/>
          <w:lang w:eastAsia="en-US"/>
        </w:rPr>
        <w:t> 22,8</w:t>
      </w:r>
      <w:r w:rsidRPr="000917AF">
        <w:rPr>
          <w:rFonts w:ascii="Times New Roman" w:hAnsi="Times New Roman" w:cs="Times New Roman"/>
          <w:lang w:eastAsia="en-US"/>
        </w:rPr>
        <w:t xml:space="preserve"> mil. eur, t. j. o </w:t>
      </w:r>
      <w:r>
        <w:rPr>
          <w:rFonts w:ascii="Times New Roman" w:hAnsi="Times New Roman" w:cs="Times New Roman"/>
          <w:lang w:eastAsia="en-US"/>
        </w:rPr>
        <w:t>8</w:t>
      </w:r>
      <w:r w:rsidRPr="000917AF">
        <w:rPr>
          <w:rFonts w:ascii="Times New Roman" w:hAnsi="Times New Roman" w:cs="Times New Roman"/>
          <w:lang w:eastAsia="en-US"/>
        </w:rPr>
        <w:t>,</w:t>
      </w:r>
      <w:r>
        <w:rPr>
          <w:rFonts w:ascii="Times New Roman" w:hAnsi="Times New Roman" w:cs="Times New Roman"/>
          <w:lang w:eastAsia="en-US"/>
        </w:rPr>
        <w:t>46</w:t>
      </w:r>
      <w:r w:rsidRPr="000917AF">
        <w:rPr>
          <w:rFonts w:ascii="Times New Roman" w:hAnsi="Times New Roman" w:cs="Times New Roman"/>
          <w:lang w:eastAsia="en-US"/>
        </w:rPr>
        <w:t xml:space="preserve"> %</w:t>
      </w:r>
      <w:r>
        <w:rPr>
          <w:rFonts w:ascii="Times New Roman" w:hAnsi="Times New Roman" w:cs="Times New Roman"/>
          <w:lang w:eastAsia="en-US"/>
        </w:rPr>
        <w:t>, z dôvodu rozpočtovania výdavkov na implementáciu rezortných politik.</w:t>
      </w:r>
    </w:p>
    <w:p w:rsidR="007D13F3" w:rsidRDefault="007D13F3" w:rsidP="007D13F3">
      <w:pPr>
        <w:ind w:firstLine="708"/>
        <w:jc w:val="both"/>
        <w:rPr>
          <w:rFonts w:ascii="Times New Roman" w:hAnsi="Times New Roman" w:cs="Times New Roman"/>
          <w:highlight w:val="yellow"/>
          <w:lang w:eastAsia="en-US"/>
        </w:rPr>
      </w:pPr>
    </w:p>
    <w:p w:rsidR="007D13F3" w:rsidRPr="00070753" w:rsidRDefault="007D13F3" w:rsidP="007D13F3">
      <w:pPr>
        <w:pStyle w:val="Odsekzoznamu"/>
        <w:ind w:left="0" w:firstLine="708"/>
        <w:jc w:val="both"/>
        <w:rPr>
          <w:rFonts w:ascii="Times New Roman" w:hAnsi="Times New Roman" w:cs="Times New Roman"/>
          <w:color w:val="000000" w:themeColor="text1"/>
        </w:rPr>
      </w:pPr>
      <w:r>
        <w:rPr>
          <w:rFonts w:ascii="Times New Roman" w:hAnsi="Times New Roman"/>
        </w:rPr>
        <w:t>MDV SR na rok 2018 rozpočtuje n</w:t>
      </w:r>
      <w:r w:rsidRPr="004B42D0">
        <w:rPr>
          <w:rFonts w:ascii="Times New Roman" w:hAnsi="Times New Roman"/>
        </w:rPr>
        <w:t>a samostatných účto</w:t>
      </w:r>
      <w:r>
        <w:rPr>
          <w:rFonts w:ascii="Times New Roman" w:hAnsi="Times New Roman"/>
        </w:rPr>
        <w:t>ch sumu 19,9 mil. eur. Uvedené prostriedky sú určené na</w:t>
      </w:r>
      <w:r w:rsidRPr="004B42D0">
        <w:rPr>
          <w:rFonts w:ascii="Times New Roman" w:hAnsi="Times New Roman"/>
        </w:rPr>
        <w:t xml:space="preserve"> financ</w:t>
      </w:r>
      <w:r>
        <w:rPr>
          <w:rFonts w:ascii="Times New Roman" w:hAnsi="Times New Roman"/>
        </w:rPr>
        <w:t xml:space="preserve">ovanie </w:t>
      </w:r>
      <w:r w:rsidRPr="00B7698B">
        <w:rPr>
          <w:rFonts w:ascii="Times New Roman" w:hAnsi="Times New Roman"/>
        </w:rPr>
        <w:t>projekt</w:t>
      </w:r>
      <w:r>
        <w:rPr>
          <w:rFonts w:ascii="Times New Roman" w:hAnsi="Times New Roman"/>
        </w:rPr>
        <w:t>ov</w:t>
      </w:r>
      <w:r w:rsidRPr="004B42D0">
        <w:rPr>
          <w:rFonts w:ascii="Times New Roman" w:hAnsi="Times New Roman"/>
        </w:rPr>
        <w:t xml:space="preserve"> </w:t>
      </w:r>
      <w:r w:rsidRPr="00B7698B">
        <w:rPr>
          <w:rFonts w:ascii="Times New Roman" w:hAnsi="Times New Roman"/>
        </w:rPr>
        <w:t>dopravných sieti Európy z Nástroja na prepájanie Európy (CEF)</w:t>
      </w:r>
      <w:r w:rsidRPr="004B42D0">
        <w:rPr>
          <w:rFonts w:ascii="Times New Roman" w:hAnsi="Times New Roman"/>
        </w:rPr>
        <w:t>,</w:t>
      </w:r>
      <w:r>
        <w:rPr>
          <w:rFonts w:ascii="Times New Roman" w:hAnsi="Times New Roman"/>
        </w:rPr>
        <w:t xml:space="preserve"> na</w:t>
      </w:r>
      <w:r w:rsidRPr="00B7698B">
        <w:rPr>
          <w:rFonts w:ascii="Times New Roman" w:hAnsi="Times New Roman"/>
        </w:rPr>
        <w:t xml:space="preserve"> </w:t>
      </w:r>
      <w:r w:rsidRPr="004B42D0">
        <w:rPr>
          <w:rFonts w:ascii="Times New Roman" w:hAnsi="Times New Roman"/>
        </w:rPr>
        <w:t>kompenzáci</w:t>
      </w:r>
      <w:r>
        <w:rPr>
          <w:rFonts w:ascii="Times New Roman" w:hAnsi="Times New Roman"/>
        </w:rPr>
        <w:t>u</w:t>
      </w:r>
      <w:r w:rsidRPr="004B42D0">
        <w:rPr>
          <w:rFonts w:ascii="Times New Roman" w:hAnsi="Times New Roman"/>
        </w:rPr>
        <w:t xml:space="preserve"> rozdielu medzi čistými nákladmi poskytovateľa univerzálnej služby a príspevkov poštových podnikov</w:t>
      </w:r>
      <w:r w:rsidRPr="008F3DE1">
        <w:rPr>
          <w:rFonts w:ascii="Times New Roman" w:hAnsi="Times New Roman"/>
        </w:rPr>
        <w:t xml:space="preserve"> </w:t>
      </w:r>
      <w:r>
        <w:rPr>
          <w:rFonts w:ascii="Times New Roman" w:hAnsi="Times New Roman"/>
        </w:rPr>
        <w:t xml:space="preserve">a na </w:t>
      </w:r>
      <w:r w:rsidRPr="008F3DE1">
        <w:rPr>
          <w:rFonts w:ascii="Times New Roman" w:hAnsi="Times New Roman"/>
        </w:rPr>
        <w:t>zabezpečenie činností národného dozorného orgánu</w:t>
      </w:r>
      <w:r>
        <w:rPr>
          <w:rFonts w:ascii="Times New Roman" w:hAnsi="Times New Roman"/>
        </w:rPr>
        <w:t xml:space="preserve"> </w:t>
      </w:r>
      <w:r w:rsidRPr="00C83E1B">
        <w:rPr>
          <w:rFonts w:ascii="Times New Roman" w:hAnsi="Times New Roman"/>
          <w:color w:val="000000" w:themeColor="text1"/>
        </w:rPr>
        <w:t>na účinné a včasné plnenie úloh podľa čl. 4 ods. 4 novelizovaného nariadenia Európskeho parlamentu a Rady (ES) č. 549/2004 zo dňa 10.</w:t>
      </w:r>
      <w:r w:rsidR="009F4D57">
        <w:rPr>
          <w:rFonts w:ascii="Times New Roman" w:hAnsi="Times New Roman"/>
          <w:color w:val="000000" w:themeColor="text1"/>
        </w:rPr>
        <w:t xml:space="preserve"> </w:t>
      </w:r>
      <w:r w:rsidRPr="00C83E1B">
        <w:rPr>
          <w:rFonts w:ascii="Times New Roman" w:hAnsi="Times New Roman"/>
          <w:color w:val="000000" w:themeColor="text1"/>
        </w:rPr>
        <w:t>3.</w:t>
      </w:r>
      <w:r w:rsidR="009F4D57">
        <w:rPr>
          <w:rFonts w:ascii="Times New Roman" w:hAnsi="Times New Roman"/>
          <w:color w:val="000000" w:themeColor="text1"/>
        </w:rPr>
        <w:t xml:space="preserve"> </w:t>
      </w:r>
      <w:r w:rsidRPr="00C83E1B">
        <w:rPr>
          <w:rFonts w:ascii="Times New Roman" w:hAnsi="Times New Roman"/>
          <w:color w:val="000000" w:themeColor="text1"/>
        </w:rPr>
        <w:t>2004</w:t>
      </w:r>
      <w:r>
        <w:rPr>
          <w:rFonts w:ascii="Times New Roman" w:hAnsi="Times New Roman"/>
          <w:color w:val="000000" w:themeColor="text1"/>
        </w:rPr>
        <w:t>, ktorým sa stanovuje rámec na vytvorenie jednotného európskeho neba</w:t>
      </w:r>
      <w:r w:rsidRPr="00C83E1B">
        <w:rPr>
          <w:rFonts w:ascii="Times New Roman" w:hAnsi="Times New Roman"/>
          <w:color w:val="000000" w:themeColor="text1"/>
        </w:rPr>
        <w:t>.</w:t>
      </w:r>
    </w:p>
    <w:p w:rsidR="007D13F3" w:rsidRPr="00775C7E" w:rsidRDefault="007D13F3" w:rsidP="007D13F3">
      <w:pPr>
        <w:jc w:val="both"/>
        <w:rPr>
          <w:rFonts w:ascii="Times New Roman" w:hAnsi="Times New Roman" w:cs="Times New Roman"/>
          <w:highlight w:val="yellow"/>
          <w:lang w:eastAsia="en-US"/>
        </w:rPr>
      </w:pPr>
    </w:p>
    <w:p w:rsidR="007D13F3" w:rsidRDefault="007D13F3" w:rsidP="007D13F3">
      <w:pPr>
        <w:ind w:firstLine="708"/>
        <w:jc w:val="both"/>
        <w:rPr>
          <w:rFonts w:ascii="Times New Roman" w:hAnsi="Times New Roman" w:cs="Times New Roman"/>
          <w:lang w:eastAsia="en-US"/>
        </w:rPr>
      </w:pPr>
      <w:r w:rsidRPr="000917AF">
        <w:rPr>
          <w:rFonts w:ascii="Times New Roman" w:hAnsi="Times New Roman" w:cs="Times New Roman"/>
          <w:lang w:eastAsia="en-US"/>
        </w:rPr>
        <w:t>Výdavky MDV SR sú smerované do nasledovných oblastí.</w:t>
      </w:r>
      <w:r>
        <w:rPr>
          <w:rFonts w:ascii="Times New Roman" w:hAnsi="Times New Roman" w:cs="Times New Roman"/>
          <w:lang w:eastAsia="en-US"/>
        </w:rPr>
        <w:t xml:space="preserve"> </w:t>
      </w:r>
    </w:p>
    <w:p w:rsidR="007D13F3" w:rsidRPr="0027777C" w:rsidRDefault="007D13F3" w:rsidP="007D13F3">
      <w:pPr>
        <w:ind w:firstLine="708"/>
        <w:jc w:val="both"/>
        <w:rPr>
          <w:rFonts w:ascii="Times New Roman" w:hAnsi="Times New Roman" w:cs="Times New Roman"/>
          <w:lang w:eastAsia="en-US"/>
        </w:rPr>
      </w:pPr>
    </w:p>
    <w:tbl>
      <w:tblPr>
        <w:tblW w:w="5000" w:type="pct"/>
        <w:tblCellMar>
          <w:left w:w="70" w:type="dxa"/>
          <w:right w:w="70" w:type="dxa"/>
        </w:tblCellMar>
        <w:tblLook w:val="04A0" w:firstRow="1" w:lastRow="0" w:firstColumn="1" w:lastColumn="0" w:noHBand="0" w:noVBand="1"/>
      </w:tblPr>
      <w:tblGrid>
        <w:gridCol w:w="2228"/>
        <w:gridCol w:w="978"/>
        <w:gridCol w:w="979"/>
        <w:gridCol w:w="979"/>
        <w:gridCol w:w="979"/>
        <w:gridCol w:w="979"/>
        <w:gridCol w:w="979"/>
        <w:gridCol w:w="961"/>
      </w:tblGrid>
      <w:tr w:rsidR="007D13F3" w:rsidRPr="00346A12" w:rsidTr="00465CAC">
        <w:trPr>
          <w:trHeight w:hRule="exact" w:val="284"/>
        </w:trPr>
        <w:tc>
          <w:tcPr>
            <w:tcW w:w="1230"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7D13F3" w:rsidRPr="00346A12" w:rsidRDefault="007D13F3" w:rsidP="00465CAC">
            <w:pP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v eurách</w:t>
            </w:r>
          </w:p>
        </w:tc>
        <w:tc>
          <w:tcPr>
            <w:tcW w:w="540"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346A12" w:rsidRDefault="007D13F3" w:rsidP="00465CAC">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2015 S</w:t>
            </w:r>
          </w:p>
        </w:tc>
        <w:tc>
          <w:tcPr>
            <w:tcW w:w="540"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346A12" w:rsidRDefault="007D13F3" w:rsidP="00465CAC">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40"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346A12" w:rsidRDefault="007D13F3" w:rsidP="00465CAC">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2017 R</w:t>
            </w:r>
          </w:p>
        </w:tc>
        <w:tc>
          <w:tcPr>
            <w:tcW w:w="540"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346A12" w:rsidRDefault="007D13F3" w:rsidP="00465CAC">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2017 OS</w:t>
            </w:r>
          </w:p>
        </w:tc>
        <w:tc>
          <w:tcPr>
            <w:tcW w:w="540"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346A12" w:rsidRDefault="007D13F3" w:rsidP="00465CAC">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2018 N</w:t>
            </w:r>
          </w:p>
        </w:tc>
        <w:tc>
          <w:tcPr>
            <w:tcW w:w="540"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346A12" w:rsidRDefault="007D13F3" w:rsidP="00465CAC">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30"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346A12" w:rsidRDefault="007D13F3" w:rsidP="00465CAC">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r>
      <w:tr w:rsidR="007D13F3" w:rsidRPr="00346A12" w:rsidTr="00465CAC">
        <w:trPr>
          <w:trHeight w:hRule="exact" w:val="284"/>
        </w:trPr>
        <w:tc>
          <w:tcPr>
            <w:tcW w:w="1230"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7D13F3" w:rsidRPr="00346A12" w:rsidRDefault="007D13F3" w:rsidP="00465CAC">
            <w:pP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Zdroje príslušnej kapitoly</w:t>
            </w:r>
          </w:p>
        </w:tc>
        <w:tc>
          <w:tcPr>
            <w:tcW w:w="540"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346A12" w:rsidRDefault="007D13F3" w:rsidP="00465CAC">
            <w:pPr>
              <w:jc w:val="right"/>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2 898 642 559</w:t>
            </w:r>
          </w:p>
        </w:tc>
        <w:tc>
          <w:tcPr>
            <w:tcW w:w="540"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346A12" w:rsidRDefault="007D13F3" w:rsidP="00465CAC">
            <w:pPr>
              <w:jc w:val="right"/>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1 488 293 230</w:t>
            </w:r>
          </w:p>
        </w:tc>
        <w:tc>
          <w:tcPr>
            <w:tcW w:w="540"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346A12" w:rsidRDefault="007D13F3" w:rsidP="00465CAC">
            <w:pPr>
              <w:jc w:val="right"/>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2 149 834 492</w:t>
            </w:r>
          </w:p>
        </w:tc>
        <w:tc>
          <w:tcPr>
            <w:tcW w:w="540"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E96CDA" w:rsidRDefault="007D13F3" w:rsidP="00465CAC">
            <w:pPr>
              <w:jc w:val="right"/>
              <w:rPr>
                <w:rFonts w:ascii="Times New Roman" w:hAnsi="Times New Roman" w:cs="Times New Roman"/>
                <w:b/>
                <w:bCs/>
                <w:color w:val="000000"/>
                <w:sz w:val="14"/>
                <w:szCs w:val="14"/>
                <w:lang w:eastAsia="sk-SK"/>
              </w:rPr>
            </w:pPr>
            <w:r w:rsidRPr="00E96CDA">
              <w:rPr>
                <w:rFonts w:ascii="Times New Roman" w:hAnsi="Times New Roman" w:cs="Times New Roman"/>
                <w:b/>
                <w:bCs/>
                <w:color w:val="000000"/>
                <w:sz w:val="14"/>
                <w:szCs w:val="14"/>
              </w:rPr>
              <w:t>1 625 672 113</w:t>
            </w:r>
          </w:p>
        </w:tc>
        <w:tc>
          <w:tcPr>
            <w:tcW w:w="540"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7E466E" w:rsidRDefault="007D13F3" w:rsidP="00465CAC">
            <w:pPr>
              <w:jc w:val="right"/>
              <w:rPr>
                <w:rFonts w:ascii="Times New Roman" w:hAnsi="Times New Roman" w:cs="Times New Roman"/>
                <w:b/>
                <w:bCs/>
                <w:color w:val="000000"/>
                <w:sz w:val="14"/>
                <w:szCs w:val="14"/>
                <w:lang w:eastAsia="sk-SK"/>
              </w:rPr>
            </w:pPr>
            <w:r w:rsidRPr="007E466E">
              <w:rPr>
                <w:rFonts w:ascii="Times New Roman" w:hAnsi="Times New Roman" w:cs="Times New Roman"/>
                <w:b/>
                <w:bCs/>
                <w:color w:val="000000"/>
                <w:sz w:val="14"/>
                <w:szCs w:val="14"/>
              </w:rPr>
              <w:t>1 176 185 143</w:t>
            </w:r>
          </w:p>
        </w:tc>
        <w:tc>
          <w:tcPr>
            <w:tcW w:w="540"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7E466E" w:rsidRDefault="007D13F3" w:rsidP="00465CAC">
            <w:pPr>
              <w:jc w:val="right"/>
              <w:rPr>
                <w:rFonts w:ascii="Times New Roman" w:hAnsi="Times New Roman" w:cs="Times New Roman"/>
                <w:b/>
                <w:bCs/>
                <w:color w:val="000000"/>
                <w:sz w:val="14"/>
                <w:szCs w:val="14"/>
              </w:rPr>
            </w:pPr>
            <w:r w:rsidRPr="007E466E">
              <w:rPr>
                <w:rFonts w:ascii="Times New Roman" w:hAnsi="Times New Roman" w:cs="Times New Roman"/>
                <w:b/>
                <w:bCs/>
                <w:color w:val="000000"/>
                <w:sz w:val="14"/>
                <w:szCs w:val="14"/>
              </w:rPr>
              <w:t>1 546 267 196</w:t>
            </w:r>
          </w:p>
        </w:tc>
        <w:tc>
          <w:tcPr>
            <w:tcW w:w="530"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7E466E" w:rsidRDefault="007D13F3" w:rsidP="00465CAC">
            <w:pPr>
              <w:jc w:val="right"/>
              <w:rPr>
                <w:rFonts w:ascii="Times New Roman" w:hAnsi="Times New Roman" w:cs="Times New Roman"/>
                <w:b/>
                <w:bCs/>
                <w:color w:val="000000"/>
                <w:sz w:val="14"/>
                <w:szCs w:val="14"/>
              </w:rPr>
            </w:pPr>
            <w:r w:rsidRPr="007E466E">
              <w:rPr>
                <w:rFonts w:ascii="Times New Roman" w:hAnsi="Times New Roman" w:cs="Times New Roman"/>
                <w:b/>
                <w:bCs/>
                <w:color w:val="000000"/>
                <w:sz w:val="14"/>
                <w:szCs w:val="14"/>
              </w:rPr>
              <w:t>1 561 760 387</w:t>
            </w:r>
          </w:p>
        </w:tc>
      </w:tr>
      <w:tr w:rsidR="007D13F3" w:rsidRPr="00346A12" w:rsidTr="00465CAC">
        <w:trPr>
          <w:trHeight w:hRule="exact" w:val="284"/>
        </w:trPr>
        <w:tc>
          <w:tcPr>
            <w:tcW w:w="1230"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Cest</w:t>
            </w:r>
            <w:r>
              <w:rPr>
                <w:rFonts w:ascii="Times New Roman" w:hAnsi="Times New Roman" w:cs="Times New Roman"/>
                <w:color w:val="000000"/>
                <w:sz w:val="14"/>
                <w:szCs w:val="14"/>
                <w:lang w:eastAsia="sk-SK"/>
              </w:rPr>
              <w:t>ná</w:t>
            </w:r>
            <w:r w:rsidRPr="00346A12">
              <w:rPr>
                <w:rFonts w:ascii="Times New Roman" w:hAnsi="Times New Roman" w:cs="Times New Roman"/>
                <w:color w:val="000000"/>
                <w:sz w:val="14"/>
                <w:szCs w:val="14"/>
                <w:lang w:eastAsia="sk-SK"/>
              </w:rPr>
              <w:t xml:space="preserve">. a </w:t>
            </w:r>
            <w:proofErr w:type="spellStart"/>
            <w:r w:rsidRPr="00346A12">
              <w:rPr>
                <w:rFonts w:ascii="Times New Roman" w:hAnsi="Times New Roman" w:cs="Times New Roman"/>
                <w:color w:val="000000"/>
                <w:sz w:val="14"/>
                <w:szCs w:val="14"/>
                <w:lang w:eastAsia="sk-SK"/>
              </w:rPr>
              <w:t>žel</w:t>
            </w:r>
            <w:proofErr w:type="spellEnd"/>
            <w:r w:rsidRPr="00346A12">
              <w:rPr>
                <w:rFonts w:ascii="Times New Roman" w:hAnsi="Times New Roman" w:cs="Times New Roman"/>
                <w:color w:val="000000"/>
                <w:sz w:val="14"/>
                <w:szCs w:val="14"/>
                <w:lang w:eastAsia="sk-SK"/>
              </w:rPr>
              <w:t>. infraštruk</w:t>
            </w:r>
            <w:r>
              <w:rPr>
                <w:rFonts w:ascii="Times New Roman" w:hAnsi="Times New Roman" w:cs="Times New Roman"/>
                <w:color w:val="000000"/>
                <w:sz w:val="14"/>
                <w:szCs w:val="14"/>
                <w:lang w:eastAsia="sk-SK"/>
              </w:rPr>
              <w:t>túra</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2 682 116 977</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1 301 238 510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1 945 972 248</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1 415 290 302</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880 881 845</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1 350 814 112</w:t>
            </w:r>
          </w:p>
        </w:tc>
        <w:tc>
          <w:tcPr>
            <w:tcW w:w="53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1 373 440 651</w:t>
            </w:r>
          </w:p>
        </w:tc>
      </w:tr>
      <w:tr w:rsidR="007D13F3" w:rsidRPr="00346A12" w:rsidTr="00465CAC">
        <w:trPr>
          <w:trHeight w:hRule="exact" w:val="284"/>
        </w:trPr>
        <w:tc>
          <w:tcPr>
            <w:tcW w:w="1230"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Letecká doprava </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6 168 020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3 997 000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1 000 000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8 706 396</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1 000 000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1 000 000</w:t>
            </w:r>
          </w:p>
        </w:tc>
        <w:tc>
          <w:tcPr>
            <w:tcW w:w="53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1 000 000</w:t>
            </w:r>
          </w:p>
        </w:tc>
      </w:tr>
      <w:tr w:rsidR="007D13F3" w:rsidRPr="00346A12" w:rsidTr="00465CAC">
        <w:trPr>
          <w:trHeight w:hRule="exact" w:val="284"/>
        </w:trPr>
        <w:tc>
          <w:tcPr>
            <w:tcW w:w="1230"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346A12" w:rsidRDefault="009F4D57" w:rsidP="00465CAC">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Podpora</w:t>
            </w:r>
            <w:r w:rsidR="007D13F3" w:rsidRPr="00346A12">
              <w:rPr>
                <w:rFonts w:ascii="Times New Roman" w:hAnsi="Times New Roman" w:cs="Times New Roman"/>
                <w:color w:val="000000"/>
                <w:sz w:val="14"/>
                <w:szCs w:val="14"/>
                <w:lang w:eastAsia="sk-SK"/>
              </w:rPr>
              <w:t xml:space="preserve"> bývania </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136 707 573</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112 813 992</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132 500 000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131 297 205</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126 653 622</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118 076 653</w:t>
            </w:r>
          </w:p>
        </w:tc>
        <w:tc>
          <w:tcPr>
            <w:tcW w:w="53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110 872 960</w:t>
            </w:r>
          </w:p>
        </w:tc>
      </w:tr>
      <w:tr w:rsidR="007D13F3" w:rsidRPr="00346A12" w:rsidTr="00465CAC">
        <w:trPr>
          <w:trHeight w:hRule="exact" w:val="284"/>
        </w:trPr>
        <w:tc>
          <w:tcPr>
            <w:tcW w:w="1230"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Cestovný ruch</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7 994 011</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8 758 016</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7 542 978</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7 491 103</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7 653 792</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6 453 792</w:t>
            </w:r>
          </w:p>
        </w:tc>
        <w:tc>
          <w:tcPr>
            <w:tcW w:w="53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6 453 792</w:t>
            </w:r>
          </w:p>
        </w:tc>
      </w:tr>
      <w:tr w:rsidR="007D13F3" w:rsidRPr="00346A12" w:rsidTr="00465CAC">
        <w:trPr>
          <w:trHeight w:hRule="exact" w:val="284"/>
        </w:trPr>
        <w:tc>
          <w:tcPr>
            <w:tcW w:w="1230"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Vodná doprava</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173 615</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233 333</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2 697 973</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416 241</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202 647</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2 799 495</w:t>
            </w:r>
          </w:p>
        </w:tc>
        <w:tc>
          <w:tcPr>
            <w:tcW w:w="53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2 799 495</w:t>
            </w:r>
          </w:p>
        </w:tc>
      </w:tr>
      <w:tr w:rsidR="007D13F3" w:rsidRPr="00346A12" w:rsidTr="00465CAC">
        <w:trPr>
          <w:trHeight w:hRule="exact" w:val="284"/>
        </w:trPr>
        <w:tc>
          <w:tcPr>
            <w:tcW w:w="1230"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Ostatné činnosti</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54 594 492</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61 175 786</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60 121 293</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lang w:eastAsia="sk-SK"/>
              </w:rPr>
            </w:pPr>
            <w:r w:rsidRPr="00426D16">
              <w:rPr>
                <w:rFonts w:ascii="Times New Roman" w:hAnsi="Times New Roman" w:cs="Times New Roman"/>
                <w:color w:val="000000"/>
                <w:sz w:val="14"/>
                <w:szCs w:val="14"/>
              </w:rPr>
              <w:t>62 470 866</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159 793 237</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67 123 144</w:t>
            </w:r>
          </w:p>
        </w:tc>
        <w:tc>
          <w:tcPr>
            <w:tcW w:w="530" w:type="pct"/>
            <w:tcBorders>
              <w:top w:val="nil"/>
              <w:left w:val="nil"/>
              <w:bottom w:val="single" w:sz="4" w:space="0" w:color="auto"/>
              <w:right w:val="single" w:sz="4" w:space="0" w:color="auto"/>
            </w:tcBorders>
            <w:shd w:val="clear" w:color="auto" w:fill="auto"/>
            <w:noWrap/>
            <w:vAlign w:val="bottom"/>
            <w:hideMark/>
          </w:tcPr>
          <w:p w:rsidR="007D13F3" w:rsidRPr="007E466E" w:rsidRDefault="007D13F3" w:rsidP="00465CAC">
            <w:pPr>
              <w:jc w:val="right"/>
              <w:rPr>
                <w:rFonts w:ascii="Times New Roman" w:hAnsi="Times New Roman" w:cs="Times New Roman"/>
                <w:color w:val="000000"/>
                <w:sz w:val="14"/>
                <w:szCs w:val="14"/>
              </w:rPr>
            </w:pPr>
            <w:r w:rsidRPr="007E466E">
              <w:rPr>
                <w:rFonts w:ascii="Times New Roman" w:hAnsi="Times New Roman" w:cs="Times New Roman"/>
                <w:color w:val="000000"/>
                <w:sz w:val="14"/>
                <w:szCs w:val="14"/>
              </w:rPr>
              <w:t>67 193 489</w:t>
            </w:r>
          </w:p>
        </w:tc>
      </w:tr>
      <w:tr w:rsidR="007D13F3" w:rsidRPr="00346A12" w:rsidTr="00465CAC">
        <w:trPr>
          <w:trHeight w:hRule="exact" w:val="284"/>
        </w:trPr>
        <w:tc>
          <w:tcPr>
            <w:tcW w:w="1230"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OP Informatizácia spoločnosti</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10 833 326</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76 593</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53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r>
      <w:tr w:rsidR="007D13F3" w:rsidRPr="00346A12" w:rsidTr="00465CAC">
        <w:trPr>
          <w:trHeight w:hRule="exact" w:val="284"/>
        </w:trPr>
        <w:tc>
          <w:tcPr>
            <w:tcW w:w="1230"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346A12" w:rsidRDefault="007D13F3" w:rsidP="00664AC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MD</w:t>
            </w:r>
            <w:r w:rsidR="00664ACC">
              <w:rPr>
                <w:rFonts w:ascii="Times New Roman" w:hAnsi="Times New Roman" w:cs="Times New Roman"/>
                <w:color w:val="000000"/>
                <w:sz w:val="14"/>
                <w:szCs w:val="14"/>
                <w:lang w:eastAsia="sk-SK"/>
              </w:rPr>
              <w:t>V</w:t>
            </w:r>
            <w:r w:rsidRPr="00346A12">
              <w:rPr>
                <w:rFonts w:ascii="Times New Roman" w:hAnsi="Times New Roman" w:cs="Times New Roman"/>
                <w:color w:val="000000"/>
                <w:sz w:val="14"/>
                <w:szCs w:val="14"/>
                <w:lang w:eastAsia="sk-SK"/>
              </w:rPr>
              <w:t xml:space="preserve"> SR - nakladanie s odpadom</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54 545</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530" w:type="pct"/>
            <w:tcBorders>
              <w:top w:val="nil"/>
              <w:left w:val="nil"/>
              <w:bottom w:val="single" w:sz="4" w:space="0" w:color="auto"/>
              <w:right w:val="single" w:sz="4" w:space="0" w:color="auto"/>
            </w:tcBorders>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r>
    </w:tbl>
    <w:p w:rsidR="007D13F3" w:rsidRDefault="007D13F3" w:rsidP="007D13F3">
      <w:pPr>
        <w:jc w:val="both"/>
        <w:rPr>
          <w:rFonts w:ascii="Times New Roman" w:hAnsi="Times New Roman" w:cs="Times New Roman"/>
          <w:b/>
          <w:highlight w:val="yellow"/>
        </w:rPr>
      </w:pPr>
    </w:p>
    <w:p w:rsidR="007D13F3" w:rsidRPr="00FA75B2" w:rsidRDefault="007D13F3" w:rsidP="007D13F3">
      <w:pPr>
        <w:jc w:val="both"/>
        <w:rPr>
          <w:rFonts w:ascii="Times New Roman" w:hAnsi="Times New Roman" w:cs="Times New Roman"/>
          <w:b/>
        </w:rPr>
      </w:pPr>
      <w:r w:rsidRPr="00FA75B2">
        <w:rPr>
          <w:rFonts w:ascii="Times New Roman" w:hAnsi="Times New Roman" w:cs="Times New Roman"/>
          <w:b/>
        </w:rPr>
        <w:t>Cestná a železničná infraštruktúra</w:t>
      </w:r>
    </w:p>
    <w:p w:rsidR="009F4D57" w:rsidRDefault="007D13F3" w:rsidP="007D13F3">
      <w:pPr>
        <w:pStyle w:val="titulok"/>
        <w:spacing w:before="0" w:beforeAutospacing="0" w:after="0" w:afterAutospacing="0"/>
        <w:jc w:val="both"/>
        <w:rPr>
          <w:rFonts w:ascii="Times New Roman" w:hAnsi="Times New Roman" w:cs="Times New Roman"/>
          <w:b w:val="0"/>
          <w:bCs w:val="0"/>
          <w:color w:val="auto"/>
          <w:lang w:eastAsia="cs-CZ"/>
        </w:rPr>
      </w:pPr>
      <w:r>
        <w:rPr>
          <w:rFonts w:ascii="Times New Roman" w:hAnsi="Times New Roman" w:cs="Times New Roman"/>
          <w:b w:val="0"/>
          <w:bCs w:val="0"/>
          <w:color w:val="auto"/>
          <w:lang w:eastAsia="cs-CZ"/>
        </w:rPr>
        <w:tab/>
      </w:r>
    </w:p>
    <w:p w:rsidR="007D13F3" w:rsidRDefault="007D13F3" w:rsidP="009F4D57">
      <w:pPr>
        <w:pStyle w:val="titulok"/>
        <w:spacing w:before="0" w:beforeAutospacing="0" w:after="0" w:afterAutospacing="0"/>
        <w:ind w:firstLine="708"/>
        <w:jc w:val="both"/>
        <w:rPr>
          <w:rFonts w:ascii="Times New Roman" w:hAnsi="Times New Roman" w:cs="Courier"/>
          <w:b w:val="0"/>
          <w:bCs w:val="0"/>
          <w:color w:val="auto"/>
          <w:lang w:eastAsia="cs-CZ"/>
        </w:rPr>
      </w:pPr>
      <w:r w:rsidRPr="006F7634">
        <w:rPr>
          <w:rFonts w:ascii="Times New Roman" w:hAnsi="Times New Roman" w:cs="Times New Roman"/>
          <w:b w:val="0"/>
          <w:color w:val="auto"/>
        </w:rPr>
        <w:t>Na cestnú a železničnú infraštruktúru na rok 2018 sa rozpočtujú výdavky vo výške</w:t>
      </w:r>
      <w:r w:rsidRPr="006F7634">
        <w:rPr>
          <w:rFonts w:ascii="Times New Roman" w:hAnsi="Times New Roman" w:cs="Times New Roman"/>
          <w:b w:val="0"/>
          <w:color w:val="auto"/>
        </w:rPr>
        <w:br/>
      </w:r>
      <w:r>
        <w:rPr>
          <w:rFonts w:ascii="Times New Roman" w:hAnsi="Times New Roman" w:cs="Times New Roman"/>
          <w:b w:val="0"/>
          <w:color w:val="auto"/>
        </w:rPr>
        <w:t>881</w:t>
      </w:r>
      <w:r w:rsidRPr="006F7634">
        <w:rPr>
          <w:rFonts w:ascii="Times New Roman" w:hAnsi="Times New Roman" w:cs="Times New Roman"/>
          <w:b w:val="0"/>
          <w:color w:val="auto"/>
        </w:rPr>
        <w:t xml:space="preserve"> mil. eur, čo v porovnaní so schváleným rozpočtom roku 2017 predstavuje zníženie</w:t>
      </w:r>
      <w:r w:rsidRPr="006F7634">
        <w:rPr>
          <w:rFonts w:ascii="Times New Roman" w:hAnsi="Times New Roman" w:cs="Times New Roman"/>
          <w:b w:val="0"/>
          <w:color w:val="auto"/>
        </w:rPr>
        <w:br/>
        <w:t>o </w:t>
      </w:r>
      <w:r>
        <w:rPr>
          <w:rFonts w:ascii="Times New Roman" w:hAnsi="Times New Roman" w:cs="Times New Roman"/>
          <w:b w:val="0"/>
          <w:color w:val="auto"/>
        </w:rPr>
        <w:t>1,07</w:t>
      </w:r>
      <w:r w:rsidRPr="006F7634">
        <w:rPr>
          <w:rFonts w:ascii="Times New Roman" w:hAnsi="Times New Roman" w:cs="Times New Roman"/>
          <w:b w:val="0"/>
          <w:color w:val="auto"/>
        </w:rPr>
        <w:t xml:space="preserve"> ml</w:t>
      </w:r>
      <w:r>
        <w:rPr>
          <w:rFonts w:ascii="Times New Roman" w:hAnsi="Times New Roman" w:cs="Times New Roman"/>
          <w:b w:val="0"/>
          <w:color w:val="auto"/>
        </w:rPr>
        <w:t>d</w:t>
      </w:r>
      <w:r w:rsidRPr="006F7634">
        <w:rPr>
          <w:rFonts w:ascii="Times New Roman" w:hAnsi="Times New Roman" w:cs="Times New Roman"/>
          <w:b w:val="0"/>
          <w:color w:val="auto"/>
        </w:rPr>
        <w:t>. eur, t. j. o </w:t>
      </w:r>
      <w:r>
        <w:rPr>
          <w:rFonts w:ascii="Times New Roman" w:hAnsi="Times New Roman" w:cs="Times New Roman"/>
          <w:b w:val="0"/>
          <w:color w:val="auto"/>
        </w:rPr>
        <w:t>54</w:t>
      </w:r>
      <w:r w:rsidRPr="006F7634">
        <w:rPr>
          <w:rFonts w:ascii="Times New Roman" w:hAnsi="Times New Roman" w:cs="Times New Roman"/>
          <w:b w:val="0"/>
          <w:color w:val="auto"/>
        </w:rPr>
        <w:t>,</w:t>
      </w:r>
      <w:r>
        <w:rPr>
          <w:rFonts w:ascii="Times New Roman" w:hAnsi="Times New Roman" w:cs="Times New Roman"/>
          <w:b w:val="0"/>
          <w:color w:val="auto"/>
        </w:rPr>
        <w:t>7</w:t>
      </w:r>
      <w:r w:rsidRPr="006F7634">
        <w:rPr>
          <w:rFonts w:ascii="Times New Roman" w:hAnsi="Times New Roman" w:cs="Times New Roman"/>
          <w:b w:val="0"/>
          <w:color w:val="auto"/>
        </w:rPr>
        <w:t> %</w:t>
      </w:r>
      <w:r>
        <w:rPr>
          <w:rFonts w:ascii="Times New Roman" w:hAnsi="Times New Roman" w:cs="Times New Roman"/>
          <w:b w:val="0"/>
          <w:color w:val="auto"/>
        </w:rPr>
        <w:t xml:space="preserve">. </w:t>
      </w:r>
      <w:r w:rsidRPr="00384762">
        <w:rPr>
          <w:rFonts w:ascii="Times New Roman" w:hAnsi="Times New Roman" w:cs="Times New Roman"/>
          <w:b w:val="0"/>
          <w:color w:val="auto"/>
        </w:rPr>
        <w:t xml:space="preserve">Zmeny </w:t>
      </w:r>
      <w:r>
        <w:rPr>
          <w:rFonts w:ascii="Times New Roman" w:hAnsi="Times New Roman" w:cs="Times New Roman"/>
          <w:b w:val="0"/>
          <w:color w:val="auto"/>
        </w:rPr>
        <w:t xml:space="preserve">vo výške </w:t>
      </w:r>
      <w:r w:rsidRPr="00384762">
        <w:rPr>
          <w:rFonts w:ascii="Times New Roman" w:hAnsi="Times New Roman" w:cs="Times New Roman"/>
          <w:b w:val="0"/>
          <w:color w:val="auto"/>
        </w:rPr>
        <w:t xml:space="preserve">výdavkov </w:t>
      </w:r>
      <w:r w:rsidRPr="00384762">
        <w:rPr>
          <w:rFonts w:ascii="Times New Roman" w:hAnsi="Times New Roman" w:cs="Courier"/>
          <w:b w:val="0"/>
          <w:bCs w:val="0"/>
          <w:color w:val="auto"/>
          <w:lang w:eastAsia="cs-CZ"/>
        </w:rPr>
        <w:t>súvisia s aktualizáciou čerpania prostriedkov zo zdrojov EÚ a spolufinancovania zo štátneho rozpočtu.</w:t>
      </w:r>
      <w:r w:rsidRPr="00C52925">
        <w:rPr>
          <w:rFonts w:ascii="Times New Roman" w:hAnsi="Times New Roman" w:cs="Courier"/>
          <w:b w:val="0"/>
          <w:bCs w:val="0"/>
          <w:color w:val="auto"/>
          <w:lang w:eastAsia="cs-CZ"/>
        </w:rPr>
        <w:t xml:space="preserve"> </w:t>
      </w:r>
      <w:r>
        <w:rPr>
          <w:rFonts w:ascii="Times New Roman" w:hAnsi="Times New Roman" w:cs="Courier"/>
          <w:b w:val="0"/>
          <w:bCs w:val="0"/>
          <w:color w:val="auto"/>
          <w:lang w:eastAsia="cs-CZ"/>
        </w:rPr>
        <w:t>V rámci týchto výdavkov sú započítané výdavky na financovanie neoprávnených výdavkov a výdavkov nad rámec finančnej medzery pre projekty financované z OPII.</w:t>
      </w:r>
    </w:p>
    <w:p w:rsidR="007D13F3" w:rsidRPr="00C816E1" w:rsidRDefault="007D13F3" w:rsidP="007D13F3">
      <w:pPr>
        <w:spacing w:after="160" w:line="259" w:lineRule="auto"/>
        <w:rPr>
          <w:rFonts w:ascii="Times New Roman" w:hAnsi="Times New Roman"/>
          <w:b/>
          <w:bCs/>
        </w:rPr>
      </w:pPr>
      <w:r>
        <w:rPr>
          <w:rFonts w:ascii="Times New Roman" w:hAnsi="Times New Roman"/>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3"/>
        <w:gridCol w:w="1012"/>
        <w:gridCol w:w="1012"/>
        <w:gridCol w:w="1011"/>
        <w:gridCol w:w="1011"/>
        <w:gridCol w:w="1011"/>
        <w:gridCol w:w="1011"/>
        <w:gridCol w:w="1011"/>
      </w:tblGrid>
      <w:tr w:rsidR="007D13F3" w:rsidRPr="00E5587A" w:rsidTr="00465CAC">
        <w:trPr>
          <w:trHeight w:hRule="exact" w:val="284"/>
        </w:trPr>
        <w:tc>
          <w:tcPr>
            <w:tcW w:w="1983" w:type="dxa"/>
            <w:shd w:val="clear" w:color="000000" w:fill="A6A6A6"/>
            <w:noWrap/>
            <w:vAlign w:val="center"/>
            <w:hideMark/>
          </w:tcPr>
          <w:p w:rsidR="007D13F3" w:rsidRPr="00346A12" w:rsidRDefault="007D13F3" w:rsidP="00465CAC">
            <w:pP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lastRenderedPageBreak/>
              <w:t>v eurách</w:t>
            </w:r>
          </w:p>
        </w:tc>
        <w:tc>
          <w:tcPr>
            <w:tcW w:w="1012" w:type="dxa"/>
            <w:shd w:val="clear" w:color="000000" w:fill="A6A6A6"/>
            <w:noWrap/>
            <w:vAlign w:val="center"/>
            <w:hideMark/>
          </w:tcPr>
          <w:p w:rsidR="007D13F3" w:rsidRPr="00346A12" w:rsidRDefault="007D13F3" w:rsidP="00465CAC">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2015 S</w:t>
            </w:r>
          </w:p>
        </w:tc>
        <w:tc>
          <w:tcPr>
            <w:tcW w:w="1012" w:type="dxa"/>
            <w:shd w:val="clear" w:color="000000" w:fill="A6A6A6"/>
            <w:noWrap/>
            <w:vAlign w:val="center"/>
            <w:hideMark/>
          </w:tcPr>
          <w:p w:rsidR="007D13F3" w:rsidRPr="00346A12" w:rsidRDefault="007D13F3" w:rsidP="00465CAC">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1011" w:type="dxa"/>
            <w:shd w:val="clear" w:color="000000" w:fill="A6A6A6"/>
            <w:noWrap/>
            <w:vAlign w:val="center"/>
            <w:hideMark/>
          </w:tcPr>
          <w:p w:rsidR="007D13F3" w:rsidRPr="00346A12" w:rsidRDefault="007D13F3" w:rsidP="00465CAC">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2017 R</w:t>
            </w:r>
          </w:p>
        </w:tc>
        <w:tc>
          <w:tcPr>
            <w:tcW w:w="1011" w:type="dxa"/>
            <w:shd w:val="clear" w:color="000000" w:fill="A6A6A6"/>
            <w:noWrap/>
            <w:vAlign w:val="center"/>
            <w:hideMark/>
          </w:tcPr>
          <w:p w:rsidR="007D13F3" w:rsidRPr="00346A12" w:rsidRDefault="007D13F3" w:rsidP="00465CAC">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2017 OS</w:t>
            </w:r>
          </w:p>
        </w:tc>
        <w:tc>
          <w:tcPr>
            <w:tcW w:w="1011" w:type="dxa"/>
            <w:shd w:val="clear" w:color="000000" w:fill="A6A6A6"/>
            <w:noWrap/>
            <w:vAlign w:val="center"/>
            <w:hideMark/>
          </w:tcPr>
          <w:p w:rsidR="007D13F3" w:rsidRPr="00346A12" w:rsidRDefault="007D13F3" w:rsidP="00465CAC">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2018 N</w:t>
            </w:r>
          </w:p>
        </w:tc>
        <w:tc>
          <w:tcPr>
            <w:tcW w:w="1011" w:type="dxa"/>
            <w:shd w:val="clear" w:color="000000" w:fill="A6A6A6"/>
            <w:noWrap/>
            <w:vAlign w:val="center"/>
            <w:hideMark/>
          </w:tcPr>
          <w:p w:rsidR="007D13F3" w:rsidRPr="00346A12" w:rsidRDefault="007D13F3" w:rsidP="00465CAC">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1011" w:type="dxa"/>
            <w:shd w:val="clear" w:color="000000" w:fill="A6A6A6"/>
            <w:noWrap/>
            <w:vAlign w:val="center"/>
            <w:hideMark/>
          </w:tcPr>
          <w:p w:rsidR="007D13F3" w:rsidRPr="00346A12" w:rsidRDefault="007D13F3" w:rsidP="00465CAC">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r>
      <w:tr w:rsidR="007D13F3" w:rsidRPr="00346A12" w:rsidTr="00465CAC">
        <w:trPr>
          <w:trHeight w:hRule="exact" w:val="284"/>
        </w:trPr>
        <w:tc>
          <w:tcPr>
            <w:tcW w:w="1983" w:type="dxa"/>
            <w:shd w:val="clear" w:color="auto" w:fill="auto"/>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Prostriedky ŠR</w:t>
            </w:r>
          </w:p>
        </w:tc>
        <w:tc>
          <w:tcPr>
            <w:tcW w:w="1012" w:type="dxa"/>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1 081 020 674</w:t>
            </w:r>
          </w:p>
        </w:tc>
        <w:tc>
          <w:tcPr>
            <w:tcW w:w="1012" w:type="dxa"/>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950 053 607</w:t>
            </w:r>
          </w:p>
        </w:tc>
        <w:tc>
          <w:tcPr>
            <w:tcW w:w="1011" w:type="dxa"/>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908 065 050</w:t>
            </w:r>
          </w:p>
        </w:tc>
        <w:tc>
          <w:tcPr>
            <w:tcW w:w="1011" w:type="dxa"/>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lang w:eastAsia="sk-SK"/>
              </w:rPr>
            </w:pPr>
            <w:r w:rsidRPr="00E96CDA">
              <w:rPr>
                <w:rFonts w:ascii="Times New Roman" w:hAnsi="Times New Roman" w:cs="Times New Roman"/>
                <w:color w:val="000000"/>
                <w:sz w:val="14"/>
                <w:szCs w:val="14"/>
              </w:rPr>
              <w:t>997 842 086</w:t>
            </w:r>
          </w:p>
        </w:tc>
        <w:tc>
          <w:tcPr>
            <w:tcW w:w="1011" w:type="dxa"/>
            <w:shd w:val="clear" w:color="auto" w:fill="auto"/>
            <w:noWrap/>
            <w:vAlign w:val="bottom"/>
            <w:hideMark/>
          </w:tcPr>
          <w:p w:rsidR="007D13F3" w:rsidRPr="00CA699F" w:rsidRDefault="007D13F3" w:rsidP="00465CAC">
            <w:pPr>
              <w:jc w:val="right"/>
              <w:rPr>
                <w:rFonts w:ascii="Times New Roman" w:hAnsi="Times New Roman" w:cs="Times New Roman"/>
                <w:color w:val="000000"/>
                <w:sz w:val="14"/>
                <w:szCs w:val="14"/>
                <w:lang w:eastAsia="sk-SK"/>
              </w:rPr>
            </w:pPr>
            <w:r w:rsidRPr="00CA699F">
              <w:rPr>
                <w:rFonts w:ascii="Times New Roman" w:hAnsi="Times New Roman" w:cs="Times New Roman"/>
                <w:color w:val="000000"/>
                <w:sz w:val="14"/>
                <w:szCs w:val="14"/>
              </w:rPr>
              <w:t>880 881 845</w:t>
            </w:r>
          </w:p>
        </w:tc>
        <w:tc>
          <w:tcPr>
            <w:tcW w:w="1011" w:type="dxa"/>
            <w:shd w:val="clear" w:color="auto" w:fill="auto"/>
            <w:noWrap/>
            <w:vAlign w:val="bottom"/>
            <w:hideMark/>
          </w:tcPr>
          <w:p w:rsidR="007D13F3" w:rsidRPr="007D3EC2" w:rsidRDefault="007D13F3" w:rsidP="00465CAC">
            <w:pPr>
              <w:jc w:val="right"/>
              <w:rPr>
                <w:rFonts w:ascii="Times New Roman" w:hAnsi="Times New Roman" w:cs="Times New Roman"/>
                <w:color w:val="000000"/>
                <w:sz w:val="14"/>
                <w:szCs w:val="14"/>
              </w:rPr>
            </w:pPr>
            <w:r w:rsidRPr="007D3EC2">
              <w:rPr>
                <w:rFonts w:ascii="Times New Roman" w:hAnsi="Times New Roman" w:cs="Times New Roman"/>
                <w:color w:val="000000"/>
                <w:sz w:val="14"/>
                <w:szCs w:val="14"/>
              </w:rPr>
              <w:t>876 147 479</w:t>
            </w:r>
          </w:p>
        </w:tc>
        <w:tc>
          <w:tcPr>
            <w:tcW w:w="1011" w:type="dxa"/>
            <w:shd w:val="clear" w:color="auto" w:fill="auto"/>
            <w:noWrap/>
            <w:vAlign w:val="bottom"/>
            <w:hideMark/>
          </w:tcPr>
          <w:p w:rsidR="007D13F3" w:rsidRPr="007D3EC2" w:rsidRDefault="007D13F3" w:rsidP="00465CAC">
            <w:pPr>
              <w:jc w:val="right"/>
              <w:rPr>
                <w:rFonts w:ascii="Times New Roman" w:hAnsi="Times New Roman" w:cs="Times New Roman"/>
                <w:color w:val="000000"/>
                <w:sz w:val="14"/>
                <w:szCs w:val="14"/>
              </w:rPr>
            </w:pPr>
            <w:r w:rsidRPr="007D3EC2">
              <w:rPr>
                <w:rFonts w:ascii="Times New Roman" w:hAnsi="Times New Roman" w:cs="Times New Roman"/>
                <w:color w:val="000000"/>
                <w:sz w:val="14"/>
                <w:szCs w:val="14"/>
              </w:rPr>
              <w:t>898 774 018</w:t>
            </w:r>
          </w:p>
        </w:tc>
      </w:tr>
      <w:tr w:rsidR="007D13F3" w:rsidRPr="00346A12" w:rsidTr="00465CAC">
        <w:trPr>
          <w:trHeight w:hRule="exact" w:val="284"/>
        </w:trPr>
        <w:tc>
          <w:tcPr>
            <w:tcW w:w="1983" w:type="dxa"/>
            <w:shd w:val="clear" w:color="auto" w:fill="auto"/>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Prostriedky EÚ</w:t>
            </w:r>
          </w:p>
        </w:tc>
        <w:tc>
          <w:tcPr>
            <w:tcW w:w="1012" w:type="dxa"/>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1 365 740 245</w:t>
            </w:r>
          </w:p>
        </w:tc>
        <w:tc>
          <w:tcPr>
            <w:tcW w:w="1012" w:type="dxa"/>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300 250 394</w:t>
            </w:r>
          </w:p>
        </w:tc>
        <w:tc>
          <w:tcPr>
            <w:tcW w:w="1011" w:type="dxa"/>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880 772 338</w:t>
            </w:r>
          </w:p>
        </w:tc>
        <w:tc>
          <w:tcPr>
            <w:tcW w:w="1011" w:type="dxa"/>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356 586 378</w:t>
            </w:r>
          </w:p>
        </w:tc>
        <w:tc>
          <w:tcPr>
            <w:tcW w:w="1011" w:type="dxa"/>
            <w:shd w:val="clear" w:color="auto" w:fill="auto"/>
            <w:noWrap/>
            <w:vAlign w:val="bottom"/>
            <w:hideMark/>
          </w:tcPr>
          <w:p w:rsidR="007D13F3" w:rsidRPr="00CA699F" w:rsidRDefault="007D13F3" w:rsidP="00465CAC">
            <w:pPr>
              <w:jc w:val="right"/>
              <w:rPr>
                <w:rFonts w:ascii="Times New Roman" w:hAnsi="Times New Roman" w:cs="Times New Roman"/>
                <w:color w:val="000000"/>
                <w:sz w:val="14"/>
                <w:szCs w:val="14"/>
              </w:rPr>
            </w:pPr>
            <w:r w:rsidRPr="00CA699F">
              <w:rPr>
                <w:rFonts w:ascii="Times New Roman" w:hAnsi="Times New Roman" w:cs="Times New Roman"/>
                <w:color w:val="000000"/>
                <w:sz w:val="14"/>
                <w:szCs w:val="14"/>
              </w:rPr>
              <w:t>0</w:t>
            </w:r>
          </w:p>
        </w:tc>
        <w:tc>
          <w:tcPr>
            <w:tcW w:w="1011" w:type="dxa"/>
            <w:shd w:val="clear" w:color="auto" w:fill="auto"/>
            <w:noWrap/>
            <w:vAlign w:val="bottom"/>
            <w:hideMark/>
          </w:tcPr>
          <w:p w:rsidR="007D13F3" w:rsidRPr="007D3EC2" w:rsidRDefault="007D13F3" w:rsidP="00465CAC">
            <w:pPr>
              <w:jc w:val="right"/>
              <w:rPr>
                <w:rFonts w:ascii="Times New Roman" w:hAnsi="Times New Roman" w:cs="Times New Roman"/>
                <w:color w:val="000000"/>
                <w:sz w:val="14"/>
                <w:szCs w:val="14"/>
              </w:rPr>
            </w:pPr>
            <w:r w:rsidRPr="007D3EC2">
              <w:rPr>
                <w:rFonts w:ascii="Times New Roman" w:hAnsi="Times New Roman" w:cs="Times New Roman"/>
                <w:color w:val="000000"/>
                <w:sz w:val="14"/>
                <w:szCs w:val="14"/>
              </w:rPr>
              <w:t>412 147 798</w:t>
            </w:r>
          </w:p>
        </w:tc>
        <w:tc>
          <w:tcPr>
            <w:tcW w:w="1011" w:type="dxa"/>
            <w:shd w:val="clear" w:color="auto" w:fill="auto"/>
            <w:noWrap/>
            <w:vAlign w:val="bottom"/>
            <w:hideMark/>
          </w:tcPr>
          <w:p w:rsidR="007D13F3" w:rsidRPr="007D3EC2" w:rsidRDefault="007D13F3" w:rsidP="00465CAC">
            <w:pPr>
              <w:jc w:val="right"/>
              <w:rPr>
                <w:rFonts w:ascii="Times New Roman" w:hAnsi="Times New Roman" w:cs="Times New Roman"/>
                <w:color w:val="000000"/>
                <w:sz w:val="14"/>
                <w:szCs w:val="14"/>
              </w:rPr>
            </w:pPr>
            <w:r w:rsidRPr="007D3EC2">
              <w:rPr>
                <w:rFonts w:ascii="Times New Roman" w:hAnsi="Times New Roman" w:cs="Times New Roman"/>
                <w:color w:val="000000"/>
                <w:sz w:val="14"/>
                <w:szCs w:val="14"/>
              </w:rPr>
              <w:t>412 147 798</w:t>
            </w:r>
          </w:p>
        </w:tc>
      </w:tr>
      <w:tr w:rsidR="007D13F3" w:rsidRPr="00346A12" w:rsidTr="00465CAC">
        <w:trPr>
          <w:trHeight w:hRule="exact" w:val="284"/>
        </w:trPr>
        <w:tc>
          <w:tcPr>
            <w:tcW w:w="1983" w:type="dxa"/>
            <w:shd w:val="clear" w:color="auto" w:fill="auto"/>
            <w:noWrap/>
            <w:vAlign w:val="bottom"/>
            <w:hideMark/>
          </w:tcPr>
          <w:p w:rsidR="007D13F3" w:rsidRPr="00346A12" w:rsidRDefault="007D13F3" w:rsidP="00465CAC">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Spolufinancovanie</w:t>
            </w:r>
          </w:p>
        </w:tc>
        <w:tc>
          <w:tcPr>
            <w:tcW w:w="1012" w:type="dxa"/>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235 356 058</w:t>
            </w:r>
          </w:p>
        </w:tc>
        <w:tc>
          <w:tcPr>
            <w:tcW w:w="1012" w:type="dxa"/>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50 934 509</w:t>
            </w:r>
          </w:p>
        </w:tc>
        <w:tc>
          <w:tcPr>
            <w:tcW w:w="1011" w:type="dxa"/>
            <w:shd w:val="clear" w:color="auto" w:fill="auto"/>
            <w:noWrap/>
            <w:vAlign w:val="bottom"/>
            <w:hideMark/>
          </w:tcPr>
          <w:p w:rsidR="007D13F3" w:rsidRPr="00346A12" w:rsidRDefault="007D13F3" w:rsidP="00465CAC">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157 134 860</w:t>
            </w:r>
          </w:p>
        </w:tc>
        <w:tc>
          <w:tcPr>
            <w:tcW w:w="1011" w:type="dxa"/>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60 861 838</w:t>
            </w:r>
          </w:p>
        </w:tc>
        <w:tc>
          <w:tcPr>
            <w:tcW w:w="1011" w:type="dxa"/>
            <w:shd w:val="clear" w:color="auto" w:fill="auto"/>
            <w:noWrap/>
            <w:vAlign w:val="bottom"/>
            <w:hideMark/>
          </w:tcPr>
          <w:p w:rsidR="007D13F3" w:rsidRPr="00CA699F" w:rsidRDefault="007D13F3" w:rsidP="00465CAC">
            <w:pPr>
              <w:jc w:val="right"/>
              <w:rPr>
                <w:rFonts w:ascii="Times New Roman" w:hAnsi="Times New Roman" w:cs="Times New Roman"/>
                <w:color w:val="000000"/>
                <w:sz w:val="14"/>
                <w:szCs w:val="14"/>
              </w:rPr>
            </w:pPr>
            <w:r w:rsidRPr="00CA699F">
              <w:rPr>
                <w:rFonts w:ascii="Times New Roman" w:hAnsi="Times New Roman" w:cs="Times New Roman"/>
                <w:color w:val="000000"/>
                <w:sz w:val="14"/>
                <w:szCs w:val="14"/>
              </w:rPr>
              <w:t>0</w:t>
            </w:r>
          </w:p>
        </w:tc>
        <w:tc>
          <w:tcPr>
            <w:tcW w:w="1011" w:type="dxa"/>
            <w:shd w:val="clear" w:color="auto" w:fill="auto"/>
            <w:noWrap/>
            <w:vAlign w:val="bottom"/>
            <w:hideMark/>
          </w:tcPr>
          <w:p w:rsidR="007D13F3" w:rsidRPr="007D3EC2" w:rsidRDefault="007D13F3" w:rsidP="00465CAC">
            <w:pPr>
              <w:jc w:val="right"/>
              <w:rPr>
                <w:rFonts w:ascii="Times New Roman" w:hAnsi="Times New Roman" w:cs="Times New Roman"/>
                <w:color w:val="000000"/>
                <w:sz w:val="14"/>
                <w:szCs w:val="14"/>
              </w:rPr>
            </w:pPr>
            <w:r w:rsidRPr="007D3EC2">
              <w:rPr>
                <w:rFonts w:ascii="Times New Roman" w:hAnsi="Times New Roman" w:cs="Times New Roman"/>
                <w:color w:val="000000"/>
                <w:sz w:val="14"/>
                <w:szCs w:val="14"/>
              </w:rPr>
              <w:t>62 518 835</w:t>
            </w:r>
          </w:p>
        </w:tc>
        <w:tc>
          <w:tcPr>
            <w:tcW w:w="1011" w:type="dxa"/>
            <w:shd w:val="clear" w:color="auto" w:fill="auto"/>
            <w:noWrap/>
            <w:vAlign w:val="bottom"/>
            <w:hideMark/>
          </w:tcPr>
          <w:p w:rsidR="007D13F3" w:rsidRPr="007D3EC2" w:rsidRDefault="007D13F3" w:rsidP="00465CAC">
            <w:pPr>
              <w:jc w:val="right"/>
              <w:rPr>
                <w:rFonts w:ascii="Times New Roman" w:hAnsi="Times New Roman" w:cs="Times New Roman"/>
                <w:color w:val="000000"/>
                <w:sz w:val="14"/>
                <w:szCs w:val="14"/>
              </w:rPr>
            </w:pPr>
            <w:r w:rsidRPr="007D3EC2">
              <w:rPr>
                <w:rFonts w:ascii="Times New Roman" w:hAnsi="Times New Roman" w:cs="Times New Roman"/>
                <w:color w:val="000000"/>
                <w:sz w:val="14"/>
                <w:szCs w:val="14"/>
              </w:rPr>
              <w:t>62 518 835</w:t>
            </w:r>
          </w:p>
        </w:tc>
      </w:tr>
      <w:tr w:rsidR="007D13F3" w:rsidRPr="00E5587A" w:rsidTr="00465CAC">
        <w:trPr>
          <w:trHeight w:hRule="exact" w:val="284"/>
        </w:trPr>
        <w:tc>
          <w:tcPr>
            <w:tcW w:w="1983" w:type="dxa"/>
            <w:shd w:val="clear" w:color="auto" w:fill="BFBFBF" w:themeFill="background1" w:themeFillShade="BF"/>
            <w:noWrap/>
            <w:vAlign w:val="bottom"/>
            <w:hideMark/>
          </w:tcPr>
          <w:p w:rsidR="007D13F3" w:rsidRPr="00346A12" w:rsidRDefault="007D13F3" w:rsidP="00465CAC">
            <w:pP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Spolu </w:t>
            </w:r>
          </w:p>
        </w:tc>
        <w:tc>
          <w:tcPr>
            <w:tcW w:w="1012" w:type="dxa"/>
            <w:shd w:val="clear" w:color="auto" w:fill="BFBFBF" w:themeFill="background1" w:themeFillShade="BF"/>
            <w:noWrap/>
            <w:vAlign w:val="bottom"/>
            <w:hideMark/>
          </w:tcPr>
          <w:p w:rsidR="007D13F3" w:rsidRPr="00346A12" w:rsidRDefault="007D13F3" w:rsidP="00465CAC">
            <w:pPr>
              <w:jc w:val="right"/>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2 682 116 977</w:t>
            </w:r>
          </w:p>
        </w:tc>
        <w:tc>
          <w:tcPr>
            <w:tcW w:w="1012" w:type="dxa"/>
            <w:shd w:val="clear" w:color="auto" w:fill="BFBFBF" w:themeFill="background1" w:themeFillShade="BF"/>
            <w:noWrap/>
            <w:vAlign w:val="bottom"/>
            <w:hideMark/>
          </w:tcPr>
          <w:p w:rsidR="007D13F3" w:rsidRPr="00346A12" w:rsidRDefault="007D13F3" w:rsidP="00465CAC">
            <w:pPr>
              <w:jc w:val="right"/>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1 301 238 510</w:t>
            </w:r>
          </w:p>
        </w:tc>
        <w:tc>
          <w:tcPr>
            <w:tcW w:w="1011" w:type="dxa"/>
            <w:shd w:val="clear" w:color="auto" w:fill="BFBFBF" w:themeFill="background1" w:themeFillShade="BF"/>
            <w:noWrap/>
            <w:vAlign w:val="bottom"/>
            <w:hideMark/>
          </w:tcPr>
          <w:p w:rsidR="007D13F3" w:rsidRPr="00346A12" w:rsidRDefault="007D13F3" w:rsidP="00465CAC">
            <w:pPr>
              <w:jc w:val="right"/>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1 945 972 248</w:t>
            </w:r>
          </w:p>
        </w:tc>
        <w:tc>
          <w:tcPr>
            <w:tcW w:w="1011" w:type="dxa"/>
            <w:shd w:val="clear" w:color="auto" w:fill="BFBFBF" w:themeFill="background1" w:themeFillShade="BF"/>
            <w:noWrap/>
            <w:vAlign w:val="bottom"/>
            <w:hideMark/>
          </w:tcPr>
          <w:p w:rsidR="007D13F3" w:rsidRPr="00E96CDA" w:rsidRDefault="007D13F3" w:rsidP="00465CAC">
            <w:pPr>
              <w:jc w:val="right"/>
              <w:rPr>
                <w:rFonts w:ascii="Times New Roman" w:hAnsi="Times New Roman" w:cs="Times New Roman"/>
                <w:b/>
                <w:bCs/>
                <w:color w:val="000000"/>
                <w:sz w:val="14"/>
                <w:szCs w:val="14"/>
              </w:rPr>
            </w:pPr>
            <w:r w:rsidRPr="00E96CDA">
              <w:rPr>
                <w:rFonts w:ascii="Times New Roman" w:hAnsi="Times New Roman" w:cs="Times New Roman"/>
                <w:b/>
                <w:bCs/>
                <w:color w:val="000000"/>
                <w:sz w:val="14"/>
                <w:szCs w:val="14"/>
              </w:rPr>
              <w:t>1 415 290 302</w:t>
            </w:r>
          </w:p>
        </w:tc>
        <w:tc>
          <w:tcPr>
            <w:tcW w:w="1011" w:type="dxa"/>
            <w:shd w:val="clear" w:color="auto" w:fill="BFBFBF" w:themeFill="background1" w:themeFillShade="BF"/>
            <w:noWrap/>
            <w:vAlign w:val="bottom"/>
            <w:hideMark/>
          </w:tcPr>
          <w:p w:rsidR="007D13F3" w:rsidRPr="00CA699F" w:rsidRDefault="007D13F3" w:rsidP="00465CAC">
            <w:pPr>
              <w:jc w:val="right"/>
              <w:rPr>
                <w:rFonts w:ascii="Times New Roman" w:hAnsi="Times New Roman" w:cs="Times New Roman"/>
                <w:b/>
                <w:bCs/>
                <w:color w:val="000000"/>
                <w:sz w:val="14"/>
                <w:szCs w:val="14"/>
              </w:rPr>
            </w:pPr>
            <w:r w:rsidRPr="00CA699F">
              <w:rPr>
                <w:rFonts w:ascii="Times New Roman" w:hAnsi="Times New Roman" w:cs="Times New Roman"/>
                <w:b/>
                <w:bCs/>
                <w:color w:val="000000"/>
                <w:sz w:val="14"/>
                <w:szCs w:val="14"/>
              </w:rPr>
              <w:t>880 881 845</w:t>
            </w:r>
          </w:p>
        </w:tc>
        <w:tc>
          <w:tcPr>
            <w:tcW w:w="1011" w:type="dxa"/>
            <w:shd w:val="clear" w:color="auto" w:fill="BFBFBF" w:themeFill="background1" w:themeFillShade="BF"/>
            <w:noWrap/>
            <w:vAlign w:val="bottom"/>
            <w:hideMark/>
          </w:tcPr>
          <w:p w:rsidR="007D13F3" w:rsidRPr="007D3EC2" w:rsidRDefault="007D13F3" w:rsidP="00465CAC">
            <w:pPr>
              <w:jc w:val="right"/>
              <w:rPr>
                <w:rFonts w:ascii="Times New Roman" w:hAnsi="Times New Roman" w:cs="Times New Roman"/>
                <w:b/>
                <w:bCs/>
                <w:color w:val="000000"/>
                <w:sz w:val="14"/>
                <w:szCs w:val="14"/>
              </w:rPr>
            </w:pPr>
            <w:r w:rsidRPr="007D3EC2">
              <w:rPr>
                <w:rFonts w:ascii="Times New Roman" w:hAnsi="Times New Roman" w:cs="Times New Roman"/>
                <w:b/>
                <w:bCs/>
                <w:color w:val="000000"/>
                <w:sz w:val="14"/>
                <w:szCs w:val="14"/>
              </w:rPr>
              <w:t>1 350 814 112</w:t>
            </w:r>
          </w:p>
        </w:tc>
        <w:tc>
          <w:tcPr>
            <w:tcW w:w="1011" w:type="dxa"/>
            <w:shd w:val="clear" w:color="auto" w:fill="BFBFBF" w:themeFill="background1" w:themeFillShade="BF"/>
            <w:noWrap/>
            <w:vAlign w:val="bottom"/>
            <w:hideMark/>
          </w:tcPr>
          <w:p w:rsidR="007D13F3" w:rsidRPr="007D3EC2" w:rsidRDefault="007D13F3" w:rsidP="00465CAC">
            <w:pPr>
              <w:jc w:val="right"/>
              <w:rPr>
                <w:rFonts w:ascii="Times New Roman" w:hAnsi="Times New Roman" w:cs="Times New Roman"/>
                <w:b/>
                <w:bCs/>
                <w:color w:val="000000"/>
                <w:sz w:val="14"/>
                <w:szCs w:val="14"/>
              </w:rPr>
            </w:pPr>
            <w:r w:rsidRPr="007D3EC2">
              <w:rPr>
                <w:rFonts w:ascii="Times New Roman" w:hAnsi="Times New Roman" w:cs="Times New Roman"/>
                <w:b/>
                <w:bCs/>
                <w:color w:val="000000"/>
                <w:sz w:val="14"/>
                <w:szCs w:val="14"/>
              </w:rPr>
              <w:t>1 373 440 651</w:t>
            </w:r>
          </w:p>
        </w:tc>
      </w:tr>
    </w:tbl>
    <w:p w:rsidR="007D13F3" w:rsidRDefault="007D13F3" w:rsidP="007D13F3">
      <w:pPr>
        <w:jc w:val="both"/>
        <w:rPr>
          <w:rFonts w:ascii="Times New Roman" w:hAnsi="Times New Roman" w:cs="Times New Roman"/>
          <w:highlight w:val="yellow"/>
        </w:rPr>
      </w:pPr>
    </w:p>
    <w:p w:rsidR="007D13F3" w:rsidRDefault="007D13F3" w:rsidP="007D13F3">
      <w:pPr>
        <w:jc w:val="both"/>
        <w:rPr>
          <w:rFonts w:ascii="Times New Roman" w:hAnsi="Times New Roman" w:cs="Times New Roman"/>
          <w:i/>
          <w:u w:val="single"/>
        </w:rPr>
      </w:pPr>
      <w:r w:rsidRPr="00DE0B02">
        <w:rPr>
          <w:rFonts w:ascii="Times New Roman" w:hAnsi="Times New Roman" w:cs="Times New Roman"/>
          <w:i/>
          <w:u w:val="single"/>
        </w:rPr>
        <w:t>Operačný program Doprava a Operačný program Integrovaná infraštruktúra</w:t>
      </w:r>
    </w:p>
    <w:p w:rsidR="007D13F3" w:rsidRDefault="007D13F3" w:rsidP="007D13F3">
      <w:pPr>
        <w:jc w:val="both"/>
        <w:rPr>
          <w:rFonts w:ascii="Times New Roman" w:hAnsi="Times New Roman" w:cs="Times New Roman"/>
          <w:highlight w:val="yellow"/>
        </w:rPr>
      </w:pPr>
    </w:p>
    <w:tbl>
      <w:tblPr>
        <w:tblW w:w="5000" w:type="pct"/>
        <w:tblLayout w:type="fixed"/>
        <w:tblCellMar>
          <w:left w:w="70" w:type="dxa"/>
          <w:right w:w="70" w:type="dxa"/>
        </w:tblCellMar>
        <w:tblLook w:val="04A0" w:firstRow="1" w:lastRow="0" w:firstColumn="1" w:lastColumn="0" w:noHBand="0" w:noVBand="1"/>
      </w:tblPr>
      <w:tblGrid>
        <w:gridCol w:w="2392"/>
        <w:gridCol w:w="952"/>
        <w:gridCol w:w="953"/>
        <w:gridCol w:w="953"/>
        <w:gridCol w:w="953"/>
        <w:gridCol w:w="953"/>
        <w:gridCol w:w="953"/>
        <w:gridCol w:w="953"/>
      </w:tblGrid>
      <w:tr w:rsidR="007D13F3" w:rsidRPr="00E5587A" w:rsidTr="00465CAC">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000000" w:fill="A6A6A6" w:themeFill="background1" w:themeFillShade="A6"/>
            <w:noWrap/>
            <w:vAlign w:val="center"/>
            <w:hideMark/>
          </w:tcPr>
          <w:p w:rsidR="007D13F3" w:rsidRPr="00E5587A" w:rsidRDefault="007D13F3" w:rsidP="00465CAC">
            <w:pPr>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OPD a OPII spolu</w:t>
            </w:r>
          </w:p>
        </w:tc>
        <w:tc>
          <w:tcPr>
            <w:tcW w:w="952"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7D13F3" w:rsidRPr="00E5587A" w:rsidRDefault="007D13F3" w:rsidP="00465CAC">
            <w:pPr>
              <w:jc w:val="center"/>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2015 S</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7D13F3" w:rsidRPr="00E5587A" w:rsidRDefault="007D13F3" w:rsidP="00465CAC">
            <w:pPr>
              <w:jc w:val="center"/>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2016 S</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7D13F3" w:rsidRPr="00E5587A" w:rsidRDefault="007D13F3" w:rsidP="00465CAC">
            <w:pPr>
              <w:jc w:val="center"/>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2017 R</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7D13F3" w:rsidRPr="00E5587A" w:rsidRDefault="007D13F3" w:rsidP="00465CAC">
            <w:pPr>
              <w:jc w:val="center"/>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2017 OS</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7D13F3" w:rsidRPr="00E5587A" w:rsidRDefault="007D13F3" w:rsidP="00465CAC">
            <w:pPr>
              <w:jc w:val="center"/>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2018 N</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7D13F3" w:rsidRPr="00E5587A" w:rsidRDefault="007D13F3" w:rsidP="00465CAC">
            <w:pPr>
              <w:jc w:val="center"/>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2019 N</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7D13F3" w:rsidRPr="00E5587A" w:rsidRDefault="007D13F3" w:rsidP="00465CAC">
            <w:pPr>
              <w:jc w:val="center"/>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2020 N</w:t>
            </w:r>
          </w:p>
        </w:tc>
      </w:tr>
      <w:tr w:rsidR="007D13F3" w:rsidRPr="00E5587A" w:rsidTr="00955E4D">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Výstavba diaľnic a RC</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836 195 776</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310 097 844</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678 878 954</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96CDA" w:rsidRDefault="007D13F3" w:rsidP="00465CAC">
            <w:pPr>
              <w:jc w:val="right"/>
              <w:rPr>
                <w:rFonts w:ascii="Times New Roman" w:hAnsi="Times New Roman" w:cs="Times New Roman"/>
                <w:color w:val="000000"/>
                <w:sz w:val="14"/>
                <w:szCs w:val="14"/>
                <w:lang w:eastAsia="sk-SK"/>
              </w:rPr>
            </w:pPr>
            <w:r w:rsidRPr="00E96CDA">
              <w:rPr>
                <w:rFonts w:ascii="Times New Roman" w:hAnsi="Times New Roman" w:cs="Times New Roman"/>
                <w:color w:val="000000"/>
                <w:sz w:val="14"/>
                <w:szCs w:val="14"/>
              </w:rPr>
              <w:t>416 889 175</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97 968 151</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307 850 259</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307 850 259</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2. 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547 689 827</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11 207 183</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2. 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96 524 520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1 977 738</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ŠR mimo spolufinancovania 2</w:t>
            </w:r>
            <w:r w:rsidRPr="00E5587A">
              <w:rPr>
                <w:rFonts w:ascii="Times New Roman" w:hAnsi="Times New Roman" w:cs="Times New Roman"/>
                <w:color w:val="000000"/>
                <w:sz w:val="14"/>
                <w:szCs w:val="14"/>
                <w:lang w:eastAsia="sk-SK"/>
              </w:rPr>
              <w:t xml:space="preserve">. PO </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156 981 617</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58 584 740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651 488</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29 749 840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193 187 932</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497 884 501</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275 207 493</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181 797 409</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181 797 409</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sidR="00664ACC">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5 249 972</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33 978 413</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87 861 971</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47 246 224</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32 081 896</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32 081 896</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mimo spolufinancovania </w:t>
            </w:r>
            <w:r>
              <w:rPr>
                <w:rFonts w:ascii="Times New Roman" w:hAnsi="Times New Roman" w:cs="Times New Roman"/>
                <w:color w:val="000000"/>
                <w:sz w:val="14"/>
                <w:szCs w:val="14"/>
                <w:lang w:eastAsia="sk-SK"/>
              </w:rPr>
              <w:t>3</w:t>
            </w:r>
            <w:r w:rsidRPr="00E5587A">
              <w:rPr>
                <w:rFonts w:ascii="Times New Roman" w:hAnsi="Times New Roman" w:cs="Times New Roman"/>
                <w:color w:val="000000"/>
                <w:sz w:val="14"/>
                <w:szCs w:val="14"/>
                <w:lang w:eastAsia="sk-SK"/>
              </w:rPr>
              <w:t xml:space="preserve">. PO </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11 161 838</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93 132 482</w:t>
            </w:r>
          </w:p>
        </w:tc>
        <w:tc>
          <w:tcPr>
            <w:tcW w:w="953" w:type="dxa"/>
            <w:tcBorders>
              <w:top w:val="nil"/>
              <w:left w:val="nil"/>
              <w:bottom w:val="single" w:sz="4" w:space="0" w:color="auto"/>
              <w:right w:val="single" w:sz="4" w:space="0" w:color="auto"/>
            </w:tcBorders>
            <w:shd w:val="clear" w:color="000000" w:fill="FFFFF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93 783 970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97 968 151</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93 970 954</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93 970 954</w:t>
            </w:r>
          </w:p>
        </w:tc>
      </w:tr>
      <w:tr w:rsidR="007D13F3" w:rsidRPr="00E5587A" w:rsidTr="00955E4D">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Výstavba ciest I. triedy</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223 628 108</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57 242 719</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131 808 478</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52 649 286</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14 050 660</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43 586 886</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43 586 886</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2</w:t>
            </w:r>
            <w:r w:rsidR="00664ACC">
              <w:rPr>
                <w:rFonts w:ascii="Times New Roman" w:hAnsi="Times New Roman" w:cs="Times New Roman"/>
                <w:color w:val="000000"/>
                <w:sz w:val="14"/>
                <w:szCs w:val="14"/>
                <w:lang w:eastAsia="sk-SK"/>
              </w:rPr>
              <w:t>.</w:t>
            </w:r>
            <w:r w:rsidRPr="00E5587A">
              <w:rPr>
                <w:rFonts w:ascii="Times New Roman" w:hAnsi="Times New Roman" w:cs="Times New Roman"/>
                <w:color w:val="000000"/>
                <w:sz w:val="14"/>
                <w:szCs w:val="14"/>
                <w:lang w:eastAsia="sk-SK"/>
              </w:rPr>
              <w:t xml:space="preserve"> 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180 528 040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4 160 242</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2</w:t>
            </w:r>
            <w:r w:rsidR="00664ACC">
              <w:rPr>
                <w:rFonts w:ascii="Times New Roman" w:hAnsi="Times New Roman" w:cs="Times New Roman"/>
                <w:color w:val="000000"/>
                <w:sz w:val="14"/>
                <w:szCs w:val="14"/>
                <w:lang w:eastAsia="sk-SK"/>
              </w:rPr>
              <w:t>.</w:t>
            </w:r>
            <w:r w:rsidRPr="00E5587A">
              <w:rPr>
                <w:rFonts w:ascii="Times New Roman" w:hAnsi="Times New Roman" w:cs="Times New Roman"/>
                <w:color w:val="000000"/>
                <w:sz w:val="14"/>
                <w:szCs w:val="14"/>
                <w:lang w:eastAsia="sk-SK"/>
              </w:rPr>
              <w:t xml:space="preserve"> 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31 893 107</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802 277</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ŠR mimo spolufinancovania</w:t>
            </w:r>
            <w:r>
              <w:rPr>
                <w:rFonts w:ascii="Times New Roman" w:hAnsi="Times New Roman" w:cs="Times New Roman"/>
                <w:color w:val="000000"/>
                <w:sz w:val="14"/>
                <w:szCs w:val="14"/>
                <w:lang w:eastAsia="sk-SK"/>
              </w:rPr>
              <w:t xml:space="preserve"> 2. PO</w:t>
            </w:r>
            <w:r w:rsidRPr="00E5587A">
              <w:rPr>
                <w:rFonts w:ascii="Times New Roman" w:hAnsi="Times New Roman" w:cs="Times New Roman"/>
                <w:color w:val="000000"/>
                <w:sz w:val="14"/>
                <w:szCs w:val="14"/>
                <w:lang w:eastAsia="sk-SK"/>
              </w:rPr>
              <w:t xml:space="preserve"> </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10 664 810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16 551 141</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29 092 892</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84 132 497</w:t>
            </w:r>
          </w:p>
        </w:tc>
        <w:tc>
          <w:tcPr>
            <w:tcW w:w="953" w:type="dxa"/>
            <w:tcBorders>
              <w:top w:val="nil"/>
              <w:left w:val="nil"/>
              <w:bottom w:val="single" w:sz="4" w:space="0" w:color="auto"/>
              <w:right w:val="single" w:sz="4" w:space="0" w:color="auto"/>
            </w:tcBorders>
            <w:shd w:val="clear" w:color="000000" w:fill="FFFFF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7 876 513</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24 058 826</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24 058 826</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sidR="00664ACC">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5 134 039</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14 846 911</w:t>
            </w:r>
          </w:p>
        </w:tc>
        <w:tc>
          <w:tcPr>
            <w:tcW w:w="953" w:type="dxa"/>
            <w:tcBorders>
              <w:top w:val="nil"/>
              <w:left w:val="nil"/>
              <w:bottom w:val="single" w:sz="4" w:space="0" w:color="auto"/>
              <w:right w:val="single" w:sz="4" w:space="0" w:color="auto"/>
            </w:tcBorders>
            <w:shd w:val="clear" w:color="000000" w:fill="FFFFF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2 234 849</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4 682 384</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4 682 384</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mimo spolufinancovania </w:t>
            </w:r>
            <w:r>
              <w:rPr>
                <w:rFonts w:ascii="Times New Roman" w:hAnsi="Times New Roman" w:cs="Times New Roman"/>
                <w:color w:val="000000"/>
                <w:sz w:val="14"/>
                <w:szCs w:val="14"/>
                <w:lang w:eastAsia="sk-SK"/>
              </w:rPr>
              <w:t>3</w:t>
            </w:r>
            <w:r w:rsidRPr="00E5587A">
              <w:rPr>
                <w:rFonts w:ascii="Times New Roman" w:hAnsi="Times New Roman" w:cs="Times New Roman"/>
                <w:color w:val="000000"/>
                <w:sz w:val="14"/>
                <w:szCs w:val="14"/>
                <w:lang w:eastAsia="sk-SK"/>
              </w:rPr>
              <w:t xml:space="preserve">. PO </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1 502 128</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12 829 070</w:t>
            </w:r>
          </w:p>
        </w:tc>
        <w:tc>
          <w:tcPr>
            <w:tcW w:w="953" w:type="dxa"/>
            <w:tcBorders>
              <w:top w:val="nil"/>
              <w:left w:val="nil"/>
              <w:bottom w:val="single" w:sz="4" w:space="0" w:color="auto"/>
              <w:right w:val="single" w:sz="4" w:space="0" w:color="auto"/>
            </w:tcBorders>
            <w:shd w:val="clear" w:color="000000" w:fill="FFFFF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22 537 924</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14 050 660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14 845 676</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14 845 676</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spolufinancovanie CEF </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542 151</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20 000 000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20 000 000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r>
      <w:tr w:rsidR="007D13F3" w:rsidRPr="00E5587A" w:rsidTr="00955E4D">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Železničná infraštruktúra</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337 967 634</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49 609 708</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170 269 889</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58 107 267</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37 900 000</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97 110 851</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97 110 851</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2. 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256 249 515</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17 034 191</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2.</w:t>
            </w:r>
            <w:r w:rsidR="00664ACC">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39 654 984</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2 575 517</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mimo spolufinancovania </w:t>
            </w:r>
            <w:r>
              <w:rPr>
                <w:rFonts w:ascii="Times New Roman" w:hAnsi="Times New Roman" w:cs="Times New Roman"/>
                <w:color w:val="000000"/>
                <w:sz w:val="14"/>
                <w:szCs w:val="14"/>
                <w:lang w:eastAsia="sk-SK"/>
              </w:rPr>
              <w:t>2.</w:t>
            </w:r>
            <w:r w:rsidR="00664ACC">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42 063 135</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30 000 000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132 429 906</w:t>
            </w:r>
          </w:p>
        </w:tc>
        <w:tc>
          <w:tcPr>
            <w:tcW w:w="953" w:type="dxa"/>
            <w:tcBorders>
              <w:top w:val="nil"/>
              <w:left w:val="nil"/>
              <w:bottom w:val="single" w:sz="4" w:space="0" w:color="auto"/>
              <w:right w:val="single" w:sz="4" w:space="0" w:color="auto"/>
            </w:tcBorders>
            <w:shd w:val="clear" w:color="000000" w:fill="FFFFF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37 091 675</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51 944 223</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51 944 223</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sidR="00664ACC">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23 369 983</w:t>
            </w:r>
          </w:p>
        </w:tc>
        <w:tc>
          <w:tcPr>
            <w:tcW w:w="953" w:type="dxa"/>
            <w:tcBorders>
              <w:top w:val="nil"/>
              <w:left w:val="nil"/>
              <w:bottom w:val="single" w:sz="4" w:space="0" w:color="auto"/>
              <w:right w:val="single" w:sz="4" w:space="0" w:color="auto"/>
            </w:tcBorders>
            <w:shd w:val="clear" w:color="000000" w:fill="FFFFF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6 545 592</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9 166 628</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9 166 628</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ŠR mimo spolufinancovania</w:t>
            </w:r>
            <w:r>
              <w:rPr>
                <w:rFonts w:ascii="Times New Roman" w:hAnsi="Times New Roman" w:cs="Times New Roman"/>
                <w:color w:val="000000"/>
                <w:sz w:val="14"/>
                <w:szCs w:val="14"/>
                <w:lang w:eastAsia="sk-SK"/>
              </w:rPr>
              <w:t xml:space="preserve"> 3</w:t>
            </w:r>
            <w:r w:rsidRPr="00E5587A">
              <w:rPr>
                <w:rFonts w:ascii="Times New Roman" w:hAnsi="Times New Roman" w:cs="Times New Roman"/>
                <w:color w:val="000000"/>
                <w:sz w:val="14"/>
                <w:szCs w:val="14"/>
                <w:lang w:eastAsia="sk-SK"/>
              </w:rPr>
              <w:t xml:space="preserve">. PO </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14 470 000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14 470 000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37 900 000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36 000 000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36 000 000</w:t>
            </w:r>
          </w:p>
        </w:tc>
      </w:tr>
      <w:tr w:rsidR="007D13F3" w:rsidRPr="00E5587A" w:rsidTr="00955E4D">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Obnova mobilných prostriedkov</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403 781 639</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6 569 072</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59 844 988</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8 222 407</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49 007 733</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49 007 733</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2. 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343 214 393</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5 583 711</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2</w:t>
            </w:r>
            <w:r w:rsidR="00664ACC">
              <w:rPr>
                <w:rFonts w:ascii="Times New Roman" w:hAnsi="Times New Roman" w:cs="Times New Roman"/>
                <w:color w:val="000000"/>
                <w:sz w:val="14"/>
                <w:szCs w:val="14"/>
                <w:lang w:eastAsia="sk-SK"/>
              </w:rPr>
              <w:t>.</w:t>
            </w:r>
            <w:r w:rsidRPr="00E5587A">
              <w:rPr>
                <w:rFonts w:ascii="Times New Roman" w:hAnsi="Times New Roman" w:cs="Times New Roman"/>
                <w:color w:val="000000"/>
                <w:sz w:val="14"/>
                <w:szCs w:val="14"/>
                <w:lang w:eastAsia="sk-SK"/>
              </w:rPr>
              <w:t xml:space="preserve"> 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60 567 246</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985 361</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50 868 240</w:t>
            </w:r>
          </w:p>
        </w:tc>
        <w:tc>
          <w:tcPr>
            <w:tcW w:w="953" w:type="dxa"/>
            <w:tcBorders>
              <w:top w:val="nil"/>
              <w:left w:val="nil"/>
              <w:bottom w:val="single" w:sz="4" w:space="0" w:color="auto"/>
              <w:right w:val="single" w:sz="4" w:space="0" w:color="auto"/>
            </w:tcBorders>
            <w:shd w:val="clear" w:color="000000" w:fill="FFFFF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6 989 039</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41 656 573</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41 656 573</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sidR="00664ACC">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8 976 748</w:t>
            </w:r>
          </w:p>
        </w:tc>
        <w:tc>
          <w:tcPr>
            <w:tcW w:w="953" w:type="dxa"/>
            <w:tcBorders>
              <w:top w:val="nil"/>
              <w:left w:val="nil"/>
              <w:bottom w:val="single" w:sz="4" w:space="0" w:color="auto"/>
              <w:right w:val="single" w:sz="4" w:space="0" w:color="auto"/>
            </w:tcBorders>
            <w:shd w:val="clear" w:color="000000" w:fill="FFFFF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1 233 368</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7 351 160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7 351 160</w:t>
            </w:r>
          </w:p>
        </w:tc>
      </w:tr>
      <w:tr w:rsidR="007D13F3" w:rsidRPr="00E5587A" w:rsidTr="00955E4D">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 xml:space="preserve">Technická pomoc spolu </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9 774 859</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10 552 812</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13 647 059</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1 641 449</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4 151 334</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595DBC" w:rsidRDefault="007D13F3" w:rsidP="00465CAC">
            <w:pPr>
              <w:jc w:val="right"/>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4 151 334</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2. 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8 308 630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2 515 907</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2. 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1 466 229</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443 984</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6 230 751</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11 600 000</w:t>
            </w:r>
          </w:p>
        </w:tc>
        <w:tc>
          <w:tcPr>
            <w:tcW w:w="953" w:type="dxa"/>
            <w:tcBorders>
              <w:top w:val="nil"/>
              <w:left w:val="nil"/>
              <w:bottom w:val="single" w:sz="4" w:space="0" w:color="auto"/>
              <w:right w:val="single" w:sz="4" w:space="0" w:color="auto"/>
            </w:tcBorders>
            <w:shd w:val="clear" w:color="000000" w:fill="FFFFF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1 346 973</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3 605 517</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3 605 517</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sidR="00664ACC">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1 362 170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2 047 059</w:t>
            </w:r>
          </w:p>
        </w:tc>
        <w:tc>
          <w:tcPr>
            <w:tcW w:w="953" w:type="dxa"/>
            <w:tcBorders>
              <w:top w:val="nil"/>
              <w:left w:val="nil"/>
              <w:bottom w:val="single" w:sz="4" w:space="0" w:color="auto"/>
              <w:right w:val="single" w:sz="4" w:space="0" w:color="auto"/>
            </w:tcBorders>
            <w:shd w:val="clear" w:color="000000" w:fill="FFFFF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294 476</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545 817</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545 817</w:t>
            </w:r>
          </w:p>
        </w:tc>
      </w:tr>
      <w:tr w:rsidR="007D13F3" w:rsidRPr="00E5587A" w:rsidTr="00955E4D">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A56AF0" w:rsidRDefault="007D13F3" w:rsidP="00465CAC">
            <w:pPr>
              <w:rPr>
                <w:rFonts w:ascii="Times New Roman" w:hAnsi="Times New Roman" w:cs="Times New Roman"/>
                <w:color w:val="000000"/>
                <w:sz w:val="14"/>
                <w:szCs w:val="14"/>
                <w:lang w:eastAsia="sk-SK"/>
              </w:rPr>
            </w:pPr>
            <w:r w:rsidRPr="00A56AF0">
              <w:rPr>
                <w:rFonts w:ascii="Times New Roman" w:hAnsi="Times New Roman" w:cs="Times New Roman"/>
                <w:color w:val="000000"/>
                <w:sz w:val="14"/>
                <w:szCs w:val="14"/>
                <w:lang w:eastAsia="sk-SK"/>
              </w:rPr>
              <w:t>Verejná osobná doprava</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A56AF0" w:rsidRDefault="007D13F3" w:rsidP="00465CAC">
            <w:pPr>
              <w:jc w:val="right"/>
              <w:rPr>
                <w:rFonts w:ascii="Times New Roman" w:hAnsi="Times New Roman" w:cs="Times New Roman"/>
                <w:color w:val="000000"/>
                <w:sz w:val="14"/>
                <w:szCs w:val="14"/>
                <w:lang w:eastAsia="sk-SK"/>
              </w:rPr>
            </w:pPr>
            <w:r w:rsidRPr="00A56AF0">
              <w:rPr>
                <w:rFonts w:ascii="Times New Roman" w:hAnsi="Times New Roman" w:cs="Times New Roman"/>
                <w:color w:val="000000"/>
                <w:sz w:val="14"/>
                <w:szCs w:val="14"/>
                <w:lang w:eastAsia="sk-SK"/>
              </w:rPr>
              <w:t>0</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A56AF0" w:rsidRDefault="007D13F3" w:rsidP="00465CAC">
            <w:pPr>
              <w:jc w:val="right"/>
              <w:rPr>
                <w:rFonts w:ascii="Times New Roman" w:hAnsi="Times New Roman" w:cs="Times New Roman"/>
                <w:color w:val="000000"/>
                <w:sz w:val="14"/>
                <w:szCs w:val="14"/>
                <w:lang w:eastAsia="sk-SK"/>
              </w:rPr>
            </w:pPr>
            <w:r w:rsidRPr="00A56AF0">
              <w:rPr>
                <w:rFonts w:ascii="Times New Roman" w:hAnsi="Times New Roman" w:cs="Times New Roman"/>
                <w:color w:val="000000"/>
                <w:sz w:val="14"/>
                <w:szCs w:val="14"/>
                <w:lang w:eastAsia="sk-SK"/>
              </w:rPr>
              <w:t>34 912 595</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A56AF0" w:rsidRDefault="007D13F3" w:rsidP="00465CAC">
            <w:pPr>
              <w:jc w:val="right"/>
              <w:rPr>
                <w:rFonts w:ascii="Times New Roman" w:hAnsi="Times New Roman" w:cs="Times New Roman"/>
                <w:color w:val="000000"/>
                <w:sz w:val="14"/>
                <w:szCs w:val="14"/>
                <w:lang w:eastAsia="sk-SK"/>
              </w:rPr>
            </w:pPr>
            <w:r w:rsidRPr="00A56AF0">
              <w:rPr>
                <w:rFonts w:ascii="Times New Roman" w:hAnsi="Times New Roman" w:cs="Times New Roman"/>
                <w:color w:val="000000"/>
                <w:sz w:val="14"/>
                <w:szCs w:val="14"/>
                <w:lang w:eastAsia="sk-SK"/>
              </w:rPr>
              <w:t>123 889 382</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31 382 014</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A56AF0" w:rsidRDefault="007D13F3" w:rsidP="00465CAC">
            <w:pPr>
              <w:jc w:val="right"/>
              <w:rPr>
                <w:rFonts w:ascii="Times New Roman" w:hAnsi="Times New Roman" w:cs="Times New Roman"/>
                <w:color w:val="000000"/>
                <w:sz w:val="14"/>
                <w:szCs w:val="14"/>
                <w:lang w:eastAsia="sk-SK"/>
              </w:rPr>
            </w:pPr>
            <w:r w:rsidRPr="00A56AF0">
              <w:rPr>
                <w:rFonts w:ascii="Times New Roman" w:hAnsi="Times New Roman" w:cs="Times New Roman"/>
                <w:color w:val="000000"/>
                <w:sz w:val="14"/>
                <w:szCs w:val="14"/>
                <w:lang w:eastAsia="sk-SK"/>
              </w:rPr>
              <w:t>117 776 200</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A56AF0" w:rsidRDefault="007D13F3" w:rsidP="00465CAC">
            <w:pPr>
              <w:jc w:val="right"/>
              <w:rPr>
                <w:rFonts w:ascii="Times New Roman" w:hAnsi="Times New Roman" w:cs="Times New Roman"/>
                <w:color w:val="000000"/>
                <w:sz w:val="14"/>
                <w:szCs w:val="14"/>
                <w:lang w:eastAsia="sk-SK"/>
              </w:rPr>
            </w:pPr>
            <w:r w:rsidRPr="00A56AF0">
              <w:rPr>
                <w:rFonts w:ascii="Times New Roman" w:hAnsi="Times New Roman" w:cs="Times New Roman"/>
                <w:color w:val="000000"/>
                <w:sz w:val="14"/>
                <w:szCs w:val="14"/>
                <w:lang w:eastAsia="sk-SK"/>
              </w:rPr>
              <w:t>117 776 200</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31 237 585</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103 857 194</w:t>
            </w:r>
          </w:p>
        </w:tc>
        <w:tc>
          <w:tcPr>
            <w:tcW w:w="953" w:type="dxa"/>
            <w:tcBorders>
              <w:top w:val="nil"/>
              <w:left w:val="nil"/>
              <w:bottom w:val="single" w:sz="4" w:space="0" w:color="auto"/>
              <w:right w:val="single" w:sz="4" w:space="0" w:color="auto"/>
            </w:tcBorders>
            <w:shd w:val="clear" w:color="000000" w:fill="FFFFF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28 074 685</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109 085 250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109 085 250</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sidR="00664ACC">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3 675 010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20 032 188</w:t>
            </w:r>
          </w:p>
        </w:tc>
        <w:tc>
          <w:tcPr>
            <w:tcW w:w="953" w:type="dxa"/>
            <w:tcBorders>
              <w:top w:val="nil"/>
              <w:left w:val="nil"/>
              <w:bottom w:val="single" w:sz="4" w:space="0" w:color="auto"/>
              <w:right w:val="single" w:sz="4" w:space="0" w:color="auto"/>
            </w:tcBorders>
            <w:shd w:val="clear" w:color="000000" w:fill="FFFFFF"/>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3 307 329</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8 690 950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8 690 950</w:t>
            </w:r>
          </w:p>
        </w:tc>
      </w:tr>
      <w:tr w:rsidR="007D13F3" w:rsidRPr="00E5587A" w:rsidTr="00955E4D">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E5587A" w:rsidRDefault="007D13F3" w:rsidP="00465CAC">
            <w:pPr>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OPD a OPII spolu</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5587A" w:rsidRDefault="007D13F3" w:rsidP="00465CAC">
            <w:pPr>
              <w:jc w:val="right"/>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1 811 348 016</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5587A" w:rsidRDefault="007D13F3" w:rsidP="00465CAC">
            <w:pPr>
              <w:jc w:val="right"/>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468 984 750</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5587A" w:rsidRDefault="007D13F3" w:rsidP="00465CAC">
            <w:pPr>
              <w:jc w:val="right"/>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1 178 338 750</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96CDA" w:rsidRDefault="007D13F3" w:rsidP="00465CAC">
            <w:pPr>
              <w:jc w:val="right"/>
              <w:rPr>
                <w:rFonts w:ascii="Times New Roman" w:hAnsi="Times New Roman" w:cs="Times New Roman"/>
                <w:b/>
                <w:bCs/>
                <w:color w:val="000000"/>
                <w:sz w:val="14"/>
                <w:szCs w:val="14"/>
              </w:rPr>
            </w:pPr>
            <w:r w:rsidRPr="00E96CDA">
              <w:rPr>
                <w:rFonts w:ascii="Times New Roman" w:hAnsi="Times New Roman" w:cs="Times New Roman"/>
                <w:b/>
                <w:bCs/>
                <w:color w:val="000000"/>
                <w:sz w:val="14"/>
                <w:szCs w:val="14"/>
              </w:rPr>
              <w:t>568 891 598</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96CDA" w:rsidRDefault="007D13F3" w:rsidP="00465CAC">
            <w:pPr>
              <w:jc w:val="right"/>
              <w:rPr>
                <w:rFonts w:ascii="Times New Roman" w:hAnsi="Times New Roman" w:cs="Times New Roman"/>
                <w:b/>
                <w:bCs/>
                <w:color w:val="000000"/>
                <w:sz w:val="14"/>
                <w:szCs w:val="14"/>
              </w:rPr>
            </w:pPr>
            <w:r w:rsidRPr="00E96CDA">
              <w:rPr>
                <w:rFonts w:ascii="Times New Roman" w:hAnsi="Times New Roman" w:cs="Times New Roman"/>
                <w:b/>
                <w:bCs/>
                <w:color w:val="000000"/>
                <w:sz w:val="14"/>
                <w:szCs w:val="14"/>
              </w:rPr>
              <w:t>149 918 811</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5587A" w:rsidRDefault="007D13F3" w:rsidP="00465CAC">
            <w:pPr>
              <w:jc w:val="right"/>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619 483 263</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E5587A" w:rsidRDefault="007D13F3" w:rsidP="00465CAC">
            <w:pPr>
              <w:jc w:val="right"/>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619 483 263</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Prostriedky EÚ </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1 365 740 245</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300 250 394</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880 772 338</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356 586 378</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412 147 798</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412 147 798</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Spolufinancovanie ŠR  </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235 356 058</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50 934 509</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157 134 860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60 861 838</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62 518 835</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62 518 835</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mimo spolufinancovania </w:t>
            </w:r>
            <w:r>
              <w:rPr>
                <w:rFonts w:ascii="Times New Roman" w:hAnsi="Times New Roman" w:cs="Times New Roman"/>
                <w:color w:val="000000"/>
                <w:sz w:val="14"/>
                <w:szCs w:val="14"/>
                <w:lang w:eastAsia="sk-SK"/>
              </w:rPr>
              <w:t>3</w:t>
            </w:r>
            <w:r w:rsidRPr="00E5587A">
              <w:rPr>
                <w:rFonts w:ascii="Times New Roman" w:hAnsi="Times New Roman" w:cs="Times New Roman"/>
                <w:color w:val="000000"/>
                <w:sz w:val="14"/>
                <w:szCs w:val="14"/>
                <w:lang w:eastAsia="sk-SK"/>
              </w:rPr>
              <w:t xml:space="preserve">. PO </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209 709 562</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117 799 847</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120 431 552</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131 443 382</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149 918 811</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144 816 630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931 489 517</w:t>
            </w:r>
          </w:p>
        </w:tc>
      </w:tr>
      <w:tr w:rsidR="007D13F3" w:rsidRPr="00E5587A" w:rsidTr="00465CAC">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7D13F3" w:rsidRPr="00E5587A" w:rsidRDefault="007D13F3" w:rsidP="00465CAC">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spolufinancovanie CEF </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542 151</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20 000 000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20 000 000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96CDA" w:rsidRDefault="007D13F3" w:rsidP="00465CAC">
            <w:pPr>
              <w:jc w:val="right"/>
              <w:rPr>
                <w:rFonts w:ascii="Times New Roman" w:hAnsi="Times New Roman" w:cs="Times New Roman"/>
                <w:color w:val="000000"/>
                <w:sz w:val="14"/>
                <w:szCs w:val="14"/>
              </w:rPr>
            </w:pPr>
            <w:r w:rsidRPr="00E96CD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c>
          <w:tcPr>
            <w:tcW w:w="953" w:type="dxa"/>
            <w:tcBorders>
              <w:top w:val="nil"/>
              <w:left w:val="nil"/>
              <w:bottom w:val="single" w:sz="4" w:space="0" w:color="auto"/>
              <w:right w:val="single" w:sz="4" w:space="0" w:color="auto"/>
            </w:tcBorders>
            <w:shd w:val="clear" w:color="auto" w:fill="auto"/>
            <w:noWrap/>
            <w:vAlign w:val="bottom"/>
            <w:hideMark/>
          </w:tcPr>
          <w:p w:rsidR="007D13F3" w:rsidRPr="00E5587A" w:rsidRDefault="007D13F3" w:rsidP="00465CAC">
            <w:pPr>
              <w:jc w:val="right"/>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0</w:t>
            </w:r>
          </w:p>
        </w:tc>
      </w:tr>
    </w:tbl>
    <w:p w:rsidR="007D13F3" w:rsidRPr="00DE0B02" w:rsidRDefault="007D13F3" w:rsidP="007D13F3">
      <w:pPr>
        <w:jc w:val="both"/>
        <w:rPr>
          <w:rFonts w:ascii="Times New Roman" w:hAnsi="Times New Roman" w:cs="Times New Roman"/>
        </w:rPr>
      </w:pPr>
      <w:r>
        <w:rPr>
          <w:rFonts w:ascii="Times New Roman" w:hAnsi="Times New Roman" w:cs="Times New Roman"/>
        </w:rPr>
        <w:lastRenderedPageBreak/>
        <w:tab/>
        <w:t xml:space="preserve">Na </w:t>
      </w:r>
      <w:r w:rsidRPr="00DE0B02">
        <w:rPr>
          <w:rFonts w:ascii="Times New Roman" w:hAnsi="Times New Roman" w:cs="Times New Roman"/>
        </w:rPr>
        <w:t>Operačný program Integrovaná infraštruktúra (ďalej len „OPII“) pre cestnú</w:t>
      </w:r>
      <w:r>
        <w:rPr>
          <w:rFonts w:ascii="Times New Roman" w:hAnsi="Times New Roman" w:cs="Times New Roman"/>
        </w:rPr>
        <w:t>,</w:t>
      </w:r>
      <w:r w:rsidRPr="00DE0B02">
        <w:rPr>
          <w:rFonts w:ascii="Times New Roman" w:hAnsi="Times New Roman" w:cs="Times New Roman"/>
        </w:rPr>
        <w:t xml:space="preserve"> železničnú </w:t>
      </w:r>
      <w:r>
        <w:rPr>
          <w:rFonts w:ascii="Times New Roman" w:hAnsi="Times New Roman" w:cs="Times New Roman"/>
        </w:rPr>
        <w:t xml:space="preserve">a verejnú osobnú </w:t>
      </w:r>
      <w:r w:rsidRPr="00DE0B02">
        <w:rPr>
          <w:rFonts w:ascii="Times New Roman" w:hAnsi="Times New Roman" w:cs="Times New Roman"/>
        </w:rPr>
        <w:t>dopravu sa v roku 201</w:t>
      </w:r>
      <w:r>
        <w:rPr>
          <w:rFonts w:ascii="Times New Roman" w:hAnsi="Times New Roman" w:cs="Times New Roman"/>
        </w:rPr>
        <w:t>8</w:t>
      </w:r>
      <w:r w:rsidRPr="00DE0B02">
        <w:rPr>
          <w:rFonts w:ascii="Times New Roman" w:hAnsi="Times New Roman" w:cs="Times New Roman"/>
        </w:rPr>
        <w:t xml:space="preserve"> rozpočtujú výdavky v</w:t>
      </w:r>
      <w:r>
        <w:rPr>
          <w:rFonts w:ascii="Times New Roman" w:hAnsi="Times New Roman" w:cs="Times New Roman"/>
        </w:rPr>
        <w:t> </w:t>
      </w:r>
      <w:r w:rsidRPr="00DE0B02">
        <w:rPr>
          <w:rFonts w:ascii="Times New Roman" w:hAnsi="Times New Roman" w:cs="Times New Roman"/>
        </w:rPr>
        <w:t>sume</w:t>
      </w:r>
      <w:r>
        <w:rPr>
          <w:rFonts w:ascii="Times New Roman" w:hAnsi="Times New Roman" w:cs="Times New Roman"/>
        </w:rPr>
        <w:br/>
        <w:t>150</w:t>
      </w:r>
      <w:r w:rsidRPr="00DE0B02">
        <w:rPr>
          <w:rFonts w:ascii="Times New Roman" w:hAnsi="Times New Roman" w:cs="Times New Roman"/>
        </w:rPr>
        <w:t xml:space="preserve"> m</w:t>
      </w:r>
      <w:r>
        <w:rPr>
          <w:rFonts w:ascii="Times New Roman" w:hAnsi="Times New Roman" w:cs="Times New Roman"/>
        </w:rPr>
        <w:t>i</w:t>
      </w:r>
      <w:r w:rsidRPr="00DE0B02">
        <w:rPr>
          <w:rFonts w:ascii="Times New Roman" w:hAnsi="Times New Roman" w:cs="Times New Roman"/>
        </w:rPr>
        <w:t>l. eur, čo v porovnaní so schváleným rozpočtom roku 201</w:t>
      </w:r>
      <w:r>
        <w:rPr>
          <w:rFonts w:ascii="Times New Roman" w:hAnsi="Times New Roman" w:cs="Times New Roman"/>
        </w:rPr>
        <w:t>7</w:t>
      </w:r>
      <w:r w:rsidRPr="00DE0B02">
        <w:rPr>
          <w:rFonts w:ascii="Times New Roman" w:hAnsi="Times New Roman" w:cs="Times New Roman"/>
        </w:rPr>
        <w:t xml:space="preserve"> predstavuje z</w:t>
      </w:r>
      <w:r>
        <w:rPr>
          <w:rFonts w:ascii="Times New Roman" w:hAnsi="Times New Roman" w:cs="Times New Roman"/>
        </w:rPr>
        <w:t>níž</w:t>
      </w:r>
      <w:r w:rsidRPr="00DE0B02">
        <w:rPr>
          <w:rFonts w:ascii="Times New Roman" w:hAnsi="Times New Roman" w:cs="Times New Roman"/>
        </w:rPr>
        <w:t>enie o</w:t>
      </w:r>
      <w:r>
        <w:rPr>
          <w:rFonts w:ascii="Times New Roman" w:hAnsi="Times New Roman" w:cs="Times New Roman"/>
        </w:rPr>
        <w:t> 1,03</w:t>
      </w:r>
      <w:r w:rsidRPr="00DE0B02">
        <w:rPr>
          <w:rFonts w:ascii="Times New Roman" w:hAnsi="Times New Roman" w:cs="Times New Roman"/>
        </w:rPr>
        <w:t> ml</w:t>
      </w:r>
      <w:r>
        <w:rPr>
          <w:rFonts w:ascii="Times New Roman" w:hAnsi="Times New Roman" w:cs="Times New Roman"/>
        </w:rPr>
        <w:t>d</w:t>
      </w:r>
      <w:r w:rsidRPr="00DE0B02">
        <w:rPr>
          <w:rFonts w:ascii="Times New Roman" w:hAnsi="Times New Roman" w:cs="Times New Roman"/>
        </w:rPr>
        <w:t>. eur, t. j. o </w:t>
      </w:r>
      <w:r>
        <w:rPr>
          <w:rFonts w:ascii="Times New Roman" w:hAnsi="Times New Roman" w:cs="Times New Roman"/>
        </w:rPr>
        <w:t>87</w:t>
      </w:r>
      <w:r w:rsidRPr="00DE0B02">
        <w:rPr>
          <w:rFonts w:ascii="Times New Roman" w:hAnsi="Times New Roman" w:cs="Times New Roman"/>
        </w:rPr>
        <w:t>,</w:t>
      </w:r>
      <w:r>
        <w:rPr>
          <w:rFonts w:ascii="Times New Roman" w:hAnsi="Times New Roman" w:cs="Times New Roman"/>
        </w:rPr>
        <w:t>3 %.</w:t>
      </w:r>
      <w:r w:rsidRPr="00DE0B02">
        <w:rPr>
          <w:rFonts w:ascii="Times New Roman" w:hAnsi="Times New Roman" w:cs="Times New Roman"/>
        </w:rPr>
        <w:t xml:space="preserve"> </w:t>
      </w:r>
      <w:r w:rsidRPr="00384762">
        <w:rPr>
          <w:rFonts w:ascii="Times New Roman" w:hAnsi="Times New Roman" w:cs="Times New Roman"/>
        </w:rPr>
        <w:t xml:space="preserve">Zmeny </w:t>
      </w:r>
      <w:r>
        <w:rPr>
          <w:rFonts w:ascii="Times New Roman" w:hAnsi="Times New Roman" w:cs="Times New Roman"/>
        </w:rPr>
        <w:t xml:space="preserve">vo výške </w:t>
      </w:r>
      <w:r w:rsidRPr="00384762">
        <w:rPr>
          <w:rFonts w:ascii="Times New Roman" w:hAnsi="Times New Roman" w:cs="Times New Roman"/>
        </w:rPr>
        <w:t>výdavkov súvisia s aktualizáciou čerpania prostriedkov zo zdrojov EÚ a spolufinancovania zo štátneho rozpočtu.</w:t>
      </w:r>
      <w:r w:rsidRPr="00063DF2">
        <w:rPr>
          <w:rFonts w:ascii="Times New Roman" w:hAnsi="Times New Roman" w:cs="Times New Roman"/>
        </w:rPr>
        <w:t xml:space="preserve"> </w:t>
      </w:r>
    </w:p>
    <w:p w:rsidR="007D13F3" w:rsidRPr="00775C7E" w:rsidRDefault="007D13F3" w:rsidP="007D13F3">
      <w:pPr>
        <w:jc w:val="both"/>
        <w:rPr>
          <w:rFonts w:ascii="Times New Roman" w:hAnsi="Times New Roman" w:cs="Times New Roman"/>
          <w:highlight w:val="yellow"/>
        </w:rPr>
      </w:pPr>
    </w:p>
    <w:p w:rsidR="007D13F3" w:rsidRPr="00DE0B02" w:rsidRDefault="007D13F3" w:rsidP="007D13F3">
      <w:pPr>
        <w:jc w:val="both"/>
        <w:rPr>
          <w:rFonts w:ascii="Times New Roman" w:hAnsi="Times New Roman" w:cs="Times New Roman"/>
          <w:i/>
          <w:u w:val="single"/>
        </w:rPr>
      </w:pPr>
      <w:r w:rsidRPr="00DE0B02">
        <w:rPr>
          <w:rFonts w:ascii="Times New Roman" w:hAnsi="Times New Roman" w:cs="Times New Roman"/>
          <w:i/>
          <w:u w:val="single"/>
        </w:rPr>
        <w:t>Rozvoj a modernizácia železničnej dopravnej cesty mimo OPII</w:t>
      </w:r>
    </w:p>
    <w:p w:rsidR="007D13F3" w:rsidRPr="00775C7E" w:rsidRDefault="007D13F3" w:rsidP="007D13F3">
      <w:pPr>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285"/>
        <w:gridCol w:w="995"/>
        <w:gridCol w:w="953"/>
        <w:gridCol w:w="953"/>
        <w:gridCol w:w="953"/>
        <w:gridCol w:w="1037"/>
        <w:gridCol w:w="953"/>
        <w:gridCol w:w="933"/>
      </w:tblGrid>
      <w:tr w:rsidR="007D13F3" w:rsidRPr="0053295A" w:rsidTr="00465CAC">
        <w:trPr>
          <w:trHeight w:hRule="exact" w:val="284"/>
        </w:trPr>
        <w:tc>
          <w:tcPr>
            <w:tcW w:w="1260"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53295A" w:rsidRDefault="007D13F3" w:rsidP="00465CAC">
            <w:pPr>
              <w:rPr>
                <w:rFonts w:ascii="Times New Roman" w:hAnsi="Times New Roman" w:cs="Times New Roman"/>
                <w:b/>
                <w:bCs/>
                <w:color w:val="000000"/>
                <w:sz w:val="14"/>
                <w:szCs w:val="14"/>
                <w:lang w:eastAsia="sk-SK"/>
              </w:rPr>
            </w:pPr>
            <w:r w:rsidRPr="00546390">
              <w:rPr>
                <w:rFonts w:ascii="Times New Roman" w:hAnsi="Times New Roman" w:cs="Times New Roman"/>
                <w:b/>
                <w:bCs/>
                <w:color w:val="000000"/>
                <w:sz w:val="14"/>
                <w:szCs w:val="14"/>
              </w:rPr>
              <w:t>v eurách</w:t>
            </w:r>
          </w:p>
        </w:tc>
        <w:tc>
          <w:tcPr>
            <w:tcW w:w="549"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7D13F3" w:rsidRPr="0053295A" w:rsidRDefault="007D13F3" w:rsidP="00465CAC">
            <w:pPr>
              <w:jc w:val="center"/>
              <w:rPr>
                <w:rFonts w:ascii="Times New Roman" w:hAnsi="Times New Roman" w:cs="Times New Roman"/>
                <w:b/>
                <w:bCs/>
                <w:color w:val="000000"/>
                <w:sz w:val="14"/>
                <w:szCs w:val="14"/>
                <w:lang w:eastAsia="sk-SK"/>
              </w:rPr>
            </w:pPr>
            <w:r w:rsidRPr="0053295A">
              <w:rPr>
                <w:rFonts w:ascii="Times New Roman" w:hAnsi="Times New Roman" w:cs="Times New Roman"/>
                <w:b/>
                <w:bCs/>
                <w:color w:val="000000"/>
                <w:sz w:val="14"/>
                <w:szCs w:val="14"/>
                <w:lang w:eastAsia="sk-SK"/>
              </w:rPr>
              <w:t>2015 S</w:t>
            </w:r>
          </w:p>
        </w:tc>
        <w:tc>
          <w:tcPr>
            <w:tcW w:w="526"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7D13F3" w:rsidRPr="0053295A" w:rsidRDefault="007D13F3" w:rsidP="00465CAC">
            <w:pPr>
              <w:jc w:val="center"/>
              <w:rPr>
                <w:rFonts w:ascii="Times New Roman" w:hAnsi="Times New Roman" w:cs="Times New Roman"/>
                <w:b/>
                <w:bCs/>
                <w:color w:val="000000"/>
                <w:sz w:val="14"/>
                <w:szCs w:val="14"/>
                <w:lang w:eastAsia="sk-SK"/>
              </w:rPr>
            </w:pPr>
            <w:r w:rsidRPr="0053295A">
              <w:rPr>
                <w:rFonts w:ascii="Times New Roman" w:hAnsi="Times New Roman" w:cs="Times New Roman"/>
                <w:b/>
                <w:bCs/>
                <w:color w:val="000000"/>
                <w:sz w:val="14"/>
                <w:szCs w:val="14"/>
                <w:lang w:eastAsia="sk-SK"/>
              </w:rPr>
              <w:t>2016 S</w:t>
            </w:r>
          </w:p>
        </w:tc>
        <w:tc>
          <w:tcPr>
            <w:tcW w:w="526"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7D13F3" w:rsidRPr="0053295A" w:rsidRDefault="007D13F3" w:rsidP="00465CAC">
            <w:pPr>
              <w:jc w:val="center"/>
              <w:rPr>
                <w:rFonts w:ascii="Times New Roman" w:hAnsi="Times New Roman" w:cs="Times New Roman"/>
                <w:b/>
                <w:bCs/>
                <w:color w:val="000000"/>
                <w:sz w:val="14"/>
                <w:szCs w:val="14"/>
                <w:lang w:eastAsia="sk-SK"/>
              </w:rPr>
            </w:pPr>
            <w:r w:rsidRPr="0053295A">
              <w:rPr>
                <w:rFonts w:ascii="Times New Roman" w:hAnsi="Times New Roman" w:cs="Times New Roman"/>
                <w:b/>
                <w:bCs/>
                <w:color w:val="000000"/>
                <w:sz w:val="14"/>
                <w:szCs w:val="14"/>
                <w:lang w:eastAsia="sk-SK"/>
              </w:rPr>
              <w:t>2017 R</w:t>
            </w:r>
          </w:p>
        </w:tc>
        <w:tc>
          <w:tcPr>
            <w:tcW w:w="526"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7D13F3" w:rsidRPr="0053295A" w:rsidRDefault="007D13F3" w:rsidP="00465CAC">
            <w:pPr>
              <w:jc w:val="center"/>
              <w:rPr>
                <w:rFonts w:ascii="Times New Roman" w:hAnsi="Times New Roman" w:cs="Times New Roman"/>
                <w:b/>
                <w:bCs/>
                <w:color w:val="000000"/>
                <w:sz w:val="14"/>
                <w:szCs w:val="14"/>
                <w:lang w:eastAsia="sk-SK"/>
              </w:rPr>
            </w:pPr>
            <w:r w:rsidRPr="0053295A">
              <w:rPr>
                <w:rFonts w:ascii="Times New Roman" w:hAnsi="Times New Roman" w:cs="Times New Roman"/>
                <w:b/>
                <w:bCs/>
                <w:color w:val="000000"/>
                <w:sz w:val="14"/>
                <w:szCs w:val="14"/>
                <w:lang w:eastAsia="sk-SK"/>
              </w:rPr>
              <w:t>2017 OS</w:t>
            </w:r>
          </w:p>
        </w:tc>
        <w:tc>
          <w:tcPr>
            <w:tcW w:w="572"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7D13F3" w:rsidRPr="0053295A" w:rsidRDefault="007D13F3" w:rsidP="00465CAC">
            <w:pPr>
              <w:jc w:val="center"/>
              <w:rPr>
                <w:rFonts w:ascii="Times New Roman" w:hAnsi="Times New Roman" w:cs="Times New Roman"/>
                <w:b/>
                <w:bCs/>
                <w:color w:val="000000"/>
                <w:sz w:val="14"/>
                <w:szCs w:val="14"/>
                <w:lang w:eastAsia="sk-SK"/>
              </w:rPr>
            </w:pPr>
            <w:r w:rsidRPr="0053295A">
              <w:rPr>
                <w:rFonts w:ascii="Times New Roman" w:hAnsi="Times New Roman" w:cs="Times New Roman"/>
                <w:b/>
                <w:bCs/>
                <w:color w:val="000000"/>
                <w:sz w:val="14"/>
                <w:szCs w:val="14"/>
                <w:lang w:eastAsia="sk-SK"/>
              </w:rPr>
              <w:t>2018 N</w:t>
            </w:r>
          </w:p>
        </w:tc>
        <w:tc>
          <w:tcPr>
            <w:tcW w:w="526"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7D13F3" w:rsidRPr="0053295A" w:rsidRDefault="007D13F3" w:rsidP="00465CAC">
            <w:pPr>
              <w:jc w:val="center"/>
              <w:rPr>
                <w:rFonts w:ascii="Times New Roman" w:hAnsi="Times New Roman" w:cs="Times New Roman"/>
                <w:b/>
                <w:bCs/>
                <w:color w:val="000000"/>
                <w:sz w:val="14"/>
                <w:szCs w:val="14"/>
                <w:lang w:eastAsia="sk-SK"/>
              </w:rPr>
            </w:pPr>
            <w:r w:rsidRPr="0053295A">
              <w:rPr>
                <w:rFonts w:ascii="Times New Roman" w:hAnsi="Times New Roman" w:cs="Times New Roman"/>
                <w:b/>
                <w:bCs/>
                <w:color w:val="000000"/>
                <w:sz w:val="14"/>
                <w:szCs w:val="14"/>
                <w:lang w:eastAsia="sk-SK"/>
              </w:rPr>
              <w:t>2019 N</w:t>
            </w:r>
          </w:p>
        </w:tc>
        <w:tc>
          <w:tcPr>
            <w:tcW w:w="516"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7D13F3" w:rsidRPr="0053295A" w:rsidRDefault="007D13F3" w:rsidP="00465CAC">
            <w:pPr>
              <w:jc w:val="center"/>
              <w:rPr>
                <w:rFonts w:ascii="Times New Roman" w:hAnsi="Times New Roman" w:cs="Times New Roman"/>
                <w:b/>
                <w:bCs/>
                <w:color w:val="000000"/>
                <w:sz w:val="14"/>
                <w:szCs w:val="14"/>
                <w:lang w:eastAsia="sk-SK"/>
              </w:rPr>
            </w:pPr>
            <w:r w:rsidRPr="0053295A">
              <w:rPr>
                <w:rFonts w:ascii="Times New Roman" w:hAnsi="Times New Roman" w:cs="Times New Roman"/>
                <w:b/>
                <w:bCs/>
                <w:color w:val="000000"/>
                <w:sz w:val="14"/>
                <w:szCs w:val="14"/>
                <w:lang w:eastAsia="sk-SK"/>
              </w:rPr>
              <w:t>2020 N</w:t>
            </w:r>
          </w:p>
        </w:tc>
      </w:tr>
      <w:tr w:rsidR="007D13F3" w:rsidRPr="0053295A" w:rsidTr="00465CAC">
        <w:trPr>
          <w:trHeight w:hRule="exact" w:val="284"/>
        </w:trPr>
        <w:tc>
          <w:tcPr>
            <w:tcW w:w="1260"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7D13F3" w:rsidRPr="00EB36DA" w:rsidRDefault="007D13F3" w:rsidP="00465CAC">
            <w:pPr>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Spolu</w:t>
            </w:r>
          </w:p>
        </w:tc>
        <w:tc>
          <w:tcPr>
            <w:tcW w:w="549"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EB36DA" w:rsidRDefault="007D13F3" w:rsidP="00465CAC">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73 620 286</w:t>
            </w:r>
          </w:p>
        </w:tc>
        <w:tc>
          <w:tcPr>
            <w:tcW w:w="526"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EB36DA" w:rsidRDefault="007D13F3" w:rsidP="00465CAC">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8 320 000</w:t>
            </w:r>
          </w:p>
        </w:tc>
        <w:tc>
          <w:tcPr>
            <w:tcW w:w="526"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EB36DA" w:rsidRDefault="007D13F3" w:rsidP="00465CAC">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8 320 000</w:t>
            </w:r>
          </w:p>
        </w:tc>
        <w:tc>
          <w:tcPr>
            <w:tcW w:w="526"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EB36DA" w:rsidRDefault="007D13F3" w:rsidP="00465CAC">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8 320 000</w:t>
            </w:r>
          </w:p>
        </w:tc>
        <w:tc>
          <w:tcPr>
            <w:tcW w:w="572"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EB36DA" w:rsidRDefault="007D13F3" w:rsidP="00465CAC">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8 320 000</w:t>
            </w:r>
          </w:p>
        </w:tc>
        <w:tc>
          <w:tcPr>
            <w:tcW w:w="526"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EB36DA" w:rsidRDefault="007D13F3" w:rsidP="00465CAC">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8 320 000</w:t>
            </w:r>
          </w:p>
        </w:tc>
        <w:tc>
          <w:tcPr>
            <w:tcW w:w="516"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EB36DA" w:rsidRDefault="007D13F3" w:rsidP="00465CAC">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8 320 000</w:t>
            </w:r>
          </w:p>
        </w:tc>
      </w:tr>
      <w:tr w:rsidR="007D13F3" w:rsidRPr="0053295A" w:rsidTr="00465CAC">
        <w:trPr>
          <w:trHeight w:hRule="exact" w:val="284"/>
        </w:trPr>
        <w:tc>
          <w:tcPr>
            <w:tcW w:w="1260" w:type="pct"/>
            <w:tcBorders>
              <w:top w:val="nil"/>
              <w:left w:val="single" w:sz="4" w:space="0" w:color="auto"/>
              <w:bottom w:val="single" w:sz="4" w:space="0" w:color="auto"/>
              <w:right w:val="single" w:sz="4" w:space="0" w:color="auto"/>
            </w:tcBorders>
            <w:shd w:val="clear" w:color="auto" w:fill="auto"/>
            <w:noWrap/>
            <w:vAlign w:val="bottom"/>
            <w:hideMark/>
          </w:tcPr>
          <w:p w:rsidR="007D13F3" w:rsidRPr="0053295A" w:rsidRDefault="007D13F3" w:rsidP="00465CAC">
            <w:pPr>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Výstavba a obnova železničnej siete</w:t>
            </w:r>
          </w:p>
        </w:tc>
        <w:tc>
          <w:tcPr>
            <w:tcW w:w="549" w:type="pct"/>
            <w:tcBorders>
              <w:top w:val="nil"/>
              <w:left w:val="nil"/>
              <w:bottom w:val="single" w:sz="4" w:space="0" w:color="auto"/>
              <w:right w:val="single" w:sz="4" w:space="0" w:color="auto"/>
            </w:tcBorders>
            <w:shd w:val="clear" w:color="auto" w:fill="auto"/>
            <w:noWrap/>
            <w:vAlign w:val="bottom"/>
            <w:hideMark/>
          </w:tcPr>
          <w:p w:rsidR="007D13F3" w:rsidRPr="0053295A" w:rsidRDefault="007D13F3" w:rsidP="00465CAC">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73 620 286</w:t>
            </w:r>
          </w:p>
        </w:tc>
        <w:tc>
          <w:tcPr>
            <w:tcW w:w="526" w:type="pct"/>
            <w:tcBorders>
              <w:top w:val="nil"/>
              <w:left w:val="nil"/>
              <w:bottom w:val="single" w:sz="4" w:space="0" w:color="auto"/>
              <w:right w:val="single" w:sz="4" w:space="0" w:color="auto"/>
            </w:tcBorders>
            <w:shd w:val="clear" w:color="auto" w:fill="auto"/>
            <w:noWrap/>
            <w:vAlign w:val="bottom"/>
            <w:hideMark/>
          </w:tcPr>
          <w:p w:rsidR="007D13F3" w:rsidRPr="0053295A" w:rsidRDefault="007D13F3" w:rsidP="00465CAC">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c>
          <w:tcPr>
            <w:tcW w:w="526" w:type="pct"/>
            <w:tcBorders>
              <w:top w:val="nil"/>
              <w:left w:val="nil"/>
              <w:bottom w:val="single" w:sz="4" w:space="0" w:color="auto"/>
              <w:right w:val="single" w:sz="4" w:space="0" w:color="auto"/>
            </w:tcBorders>
            <w:shd w:val="clear" w:color="000000" w:fill="FFFFFF"/>
            <w:noWrap/>
            <w:vAlign w:val="bottom"/>
            <w:hideMark/>
          </w:tcPr>
          <w:p w:rsidR="007D13F3" w:rsidRPr="0053295A" w:rsidRDefault="007D13F3" w:rsidP="00465CAC">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c>
          <w:tcPr>
            <w:tcW w:w="526" w:type="pct"/>
            <w:tcBorders>
              <w:top w:val="nil"/>
              <w:left w:val="nil"/>
              <w:bottom w:val="single" w:sz="4" w:space="0" w:color="auto"/>
              <w:right w:val="single" w:sz="4" w:space="0" w:color="auto"/>
            </w:tcBorders>
            <w:shd w:val="clear" w:color="auto" w:fill="auto"/>
            <w:noWrap/>
            <w:vAlign w:val="bottom"/>
            <w:hideMark/>
          </w:tcPr>
          <w:p w:rsidR="007D13F3" w:rsidRPr="0053295A" w:rsidRDefault="007D13F3" w:rsidP="00465CAC">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c>
          <w:tcPr>
            <w:tcW w:w="572" w:type="pct"/>
            <w:tcBorders>
              <w:top w:val="nil"/>
              <w:left w:val="nil"/>
              <w:bottom w:val="single" w:sz="4" w:space="0" w:color="auto"/>
              <w:right w:val="single" w:sz="4" w:space="0" w:color="auto"/>
            </w:tcBorders>
            <w:shd w:val="clear" w:color="000000" w:fill="FFFFFF"/>
            <w:noWrap/>
            <w:vAlign w:val="bottom"/>
            <w:hideMark/>
          </w:tcPr>
          <w:p w:rsidR="007D13F3" w:rsidRPr="0053295A" w:rsidRDefault="007D13F3" w:rsidP="00465CAC">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c>
          <w:tcPr>
            <w:tcW w:w="526" w:type="pct"/>
            <w:tcBorders>
              <w:top w:val="nil"/>
              <w:left w:val="nil"/>
              <w:bottom w:val="single" w:sz="4" w:space="0" w:color="auto"/>
              <w:right w:val="single" w:sz="4" w:space="0" w:color="auto"/>
            </w:tcBorders>
            <w:shd w:val="clear" w:color="000000" w:fill="FFFFFF"/>
            <w:noWrap/>
            <w:vAlign w:val="bottom"/>
            <w:hideMark/>
          </w:tcPr>
          <w:p w:rsidR="007D13F3" w:rsidRPr="0053295A" w:rsidRDefault="007D13F3" w:rsidP="00465CAC">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c>
          <w:tcPr>
            <w:tcW w:w="516" w:type="pct"/>
            <w:tcBorders>
              <w:top w:val="nil"/>
              <w:left w:val="nil"/>
              <w:bottom w:val="single" w:sz="4" w:space="0" w:color="auto"/>
              <w:right w:val="single" w:sz="4" w:space="0" w:color="auto"/>
            </w:tcBorders>
            <w:shd w:val="clear" w:color="000000" w:fill="FFFFFF"/>
            <w:noWrap/>
            <w:vAlign w:val="bottom"/>
            <w:hideMark/>
          </w:tcPr>
          <w:p w:rsidR="007D13F3" w:rsidRPr="0053295A" w:rsidRDefault="007D13F3" w:rsidP="00465CAC">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r>
    </w:tbl>
    <w:p w:rsidR="007D13F3" w:rsidRPr="004271B1" w:rsidRDefault="007D13F3" w:rsidP="007D13F3">
      <w:pPr>
        <w:ind w:firstLine="709"/>
        <w:jc w:val="both"/>
        <w:rPr>
          <w:rFonts w:ascii="Times New Roman" w:hAnsi="Times New Roman" w:cs="Times New Roman"/>
          <w:highlight w:val="yellow"/>
        </w:rPr>
      </w:pPr>
    </w:p>
    <w:p w:rsidR="007D13F3" w:rsidRPr="00546390" w:rsidRDefault="007D13F3" w:rsidP="007D13F3">
      <w:pPr>
        <w:ind w:firstLine="709"/>
        <w:jc w:val="both"/>
        <w:rPr>
          <w:rFonts w:ascii="Times New Roman" w:hAnsi="Times New Roman" w:cs="Times New Roman"/>
        </w:rPr>
      </w:pPr>
      <w:r w:rsidRPr="00546390">
        <w:rPr>
          <w:rFonts w:ascii="Times New Roman" w:hAnsi="Times New Roman" w:cs="Times New Roman"/>
        </w:rPr>
        <w:t>Na projekty rozvoja a modernizácie železničnej dopravnej cesty sa rozpočtujú výdavky na rok 201</w:t>
      </w:r>
      <w:r>
        <w:rPr>
          <w:rFonts w:ascii="Times New Roman" w:hAnsi="Times New Roman" w:cs="Times New Roman"/>
        </w:rPr>
        <w:t>8</w:t>
      </w:r>
      <w:r w:rsidRPr="00546390">
        <w:rPr>
          <w:rFonts w:ascii="Times New Roman" w:hAnsi="Times New Roman" w:cs="Times New Roman"/>
        </w:rPr>
        <w:t xml:space="preserve"> v sume 8,32 mil. eur. Výška rozpočtovaných výdavkov je na úrovni schváleného rozpočtu roku 201</w:t>
      </w:r>
      <w:r>
        <w:rPr>
          <w:rFonts w:ascii="Times New Roman" w:hAnsi="Times New Roman" w:cs="Times New Roman"/>
        </w:rPr>
        <w:t>7</w:t>
      </w:r>
      <w:r w:rsidRPr="00546390">
        <w:rPr>
          <w:rFonts w:ascii="Times New Roman" w:hAnsi="Times New Roman" w:cs="Times New Roman"/>
        </w:rPr>
        <w:t>. Výdavkami sa realizuje príprava projektov železničnej infraštruktúry, ako sú štúdie a predprojektová dokumentácia, realizácia opatrení na zníženie počtu nezabezpečených priecestí a ďalšie výdavky súvisiace s rozvojom a modernizác</w:t>
      </w:r>
      <w:r>
        <w:rPr>
          <w:rFonts w:ascii="Times New Roman" w:hAnsi="Times New Roman" w:cs="Times New Roman"/>
        </w:rPr>
        <w:t>iou železničnej infraštruktúry Železnicami Slovenskej republiky (ďalej len „ŽSR“).</w:t>
      </w:r>
    </w:p>
    <w:p w:rsidR="007D13F3" w:rsidRPr="00775C7E" w:rsidRDefault="007D13F3" w:rsidP="007D13F3">
      <w:pPr>
        <w:ind w:firstLine="709"/>
        <w:jc w:val="both"/>
        <w:rPr>
          <w:rFonts w:ascii="Times New Roman" w:hAnsi="Times New Roman" w:cs="Times New Roman"/>
          <w:highlight w:val="yellow"/>
        </w:rPr>
      </w:pPr>
    </w:p>
    <w:p w:rsidR="007D13F3" w:rsidRPr="00546390" w:rsidRDefault="007D13F3" w:rsidP="007D13F3">
      <w:pPr>
        <w:jc w:val="both"/>
        <w:rPr>
          <w:rFonts w:ascii="Times New Roman" w:hAnsi="Times New Roman" w:cs="Times New Roman"/>
          <w:i/>
          <w:u w:val="single"/>
        </w:rPr>
      </w:pPr>
      <w:r w:rsidRPr="00546390">
        <w:rPr>
          <w:rFonts w:ascii="Times New Roman" w:hAnsi="Times New Roman" w:cs="Times New Roman"/>
          <w:i/>
          <w:u w:val="single"/>
        </w:rPr>
        <w:t>Investície N</w:t>
      </w:r>
      <w:r>
        <w:rPr>
          <w:rFonts w:ascii="Times New Roman" w:hAnsi="Times New Roman" w:cs="Times New Roman"/>
          <w:i/>
          <w:u w:val="single"/>
        </w:rPr>
        <w:t>árodnej diaľničnej spoločnosti</w:t>
      </w:r>
      <w:r w:rsidRPr="00546390">
        <w:rPr>
          <w:rFonts w:ascii="Times New Roman" w:hAnsi="Times New Roman" w:cs="Times New Roman"/>
          <w:i/>
          <w:u w:val="single"/>
        </w:rPr>
        <w:t xml:space="preserve"> a Slovenskej správy ciest mimo OPII</w:t>
      </w:r>
    </w:p>
    <w:p w:rsidR="007D13F3" w:rsidRPr="00775C7E" w:rsidRDefault="007D13F3" w:rsidP="007D13F3">
      <w:pPr>
        <w:jc w:val="both"/>
        <w:rPr>
          <w:rFonts w:ascii="Times New Roman" w:hAnsi="Times New Roman" w:cs="Times New Roman"/>
          <w:i/>
          <w:highlight w:val="yellow"/>
          <w:u w:val="single"/>
        </w:rPr>
      </w:pPr>
    </w:p>
    <w:tbl>
      <w:tblPr>
        <w:tblW w:w="5000" w:type="pct"/>
        <w:tblCellMar>
          <w:left w:w="70" w:type="dxa"/>
          <w:right w:w="70" w:type="dxa"/>
        </w:tblCellMar>
        <w:tblLook w:val="04A0" w:firstRow="1" w:lastRow="0" w:firstColumn="1" w:lastColumn="0" w:noHBand="0" w:noVBand="1"/>
      </w:tblPr>
      <w:tblGrid>
        <w:gridCol w:w="2663"/>
        <w:gridCol w:w="914"/>
        <w:gridCol w:w="915"/>
        <w:gridCol w:w="915"/>
        <w:gridCol w:w="915"/>
        <w:gridCol w:w="915"/>
        <w:gridCol w:w="915"/>
        <w:gridCol w:w="910"/>
      </w:tblGrid>
      <w:tr w:rsidR="007D13F3" w:rsidRPr="00352E03" w:rsidTr="00465CAC">
        <w:trPr>
          <w:trHeight w:hRule="exact" w:val="284"/>
        </w:trPr>
        <w:tc>
          <w:tcPr>
            <w:tcW w:w="146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546390" w:rsidRDefault="007D13F3" w:rsidP="00465CAC">
            <w:pP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v eurách</w:t>
            </w:r>
          </w:p>
        </w:tc>
        <w:tc>
          <w:tcPr>
            <w:tcW w:w="50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352E03" w:rsidRDefault="007D13F3" w:rsidP="00465CAC">
            <w:pPr>
              <w:jc w:val="center"/>
              <w:rPr>
                <w:rFonts w:ascii="Times New Roman" w:hAnsi="Times New Roman" w:cs="Times New Roman"/>
                <w:b/>
                <w:bCs/>
                <w:color w:val="000000"/>
                <w:sz w:val="14"/>
                <w:szCs w:val="14"/>
                <w:lang w:eastAsia="sk-SK"/>
              </w:rPr>
            </w:pPr>
            <w:r w:rsidRPr="00352E03">
              <w:rPr>
                <w:rFonts w:ascii="Times New Roman" w:hAnsi="Times New Roman" w:cs="Times New Roman"/>
                <w:b/>
                <w:bCs/>
                <w:color w:val="000000"/>
                <w:sz w:val="14"/>
                <w:szCs w:val="14"/>
                <w:lang w:eastAsia="sk-SK"/>
              </w:rPr>
              <w:t>2015 S</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352E03" w:rsidRDefault="007D13F3" w:rsidP="00465CAC">
            <w:pPr>
              <w:jc w:val="center"/>
              <w:rPr>
                <w:rFonts w:ascii="Times New Roman" w:hAnsi="Times New Roman" w:cs="Times New Roman"/>
                <w:b/>
                <w:bCs/>
                <w:color w:val="000000"/>
                <w:sz w:val="14"/>
                <w:szCs w:val="14"/>
                <w:lang w:eastAsia="sk-SK"/>
              </w:rPr>
            </w:pPr>
            <w:r w:rsidRPr="00352E03">
              <w:rPr>
                <w:rFonts w:ascii="Times New Roman" w:hAnsi="Times New Roman" w:cs="Times New Roman"/>
                <w:b/>
                <w:bCs/>
                <w:color w:val="000000"/>
                <w:sz w:val="14"/>
                <w:szCs w:val="14"/>
                <w:lang w:eastAsia="sk-SK"/>
              </w:rPr>
              <w:t>2016 S</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352E03" w:rsidRDefault="007D13F3" w:rsidP="00465CAC">
            <w:pPr>
              <w:jc w:val="center"/>
              <w:rPr>
                <w:rFonts w:ascii="Times New Roman" w:hAnsi="Times New Roman" w:cs="Times New Roman"/>
                <w:b/>
                <w:bCs/>
                <w:color w:val="000000"/>
                <w:sz w:val="14"/>
                <w:szCs w:val="14"/>
                <w:lang w:eastAsia="sk-SK"/>
              </w:rPr>
            </w:pPr>
            <w:r w:rsidRPr="00352E03">
              <w:rPr>
                <w:rFonts w:ascii="Times New Roman" w:hAnsi="Times New Roman" w:cs="Times New Roman"/>
                <w:b/>
                <w:bCs/>
                <w:color w:val="000000"/>
                <w:sz w:val="14"/>
                <w:szCs w:val="14"/>
                <w:lang w:eastAsia="sk-SK"/>
              </w:rPr>
              <w:t>2017 R</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352E03" w:rsidRDefault="007D13F3" w:rsidP="00465CAC">
            <w:pPr>
              <w:jc w:val="center"/>
              <w:rPr>
                <w:rFonts w:ascii="Times New Roman" w:hAnsi="Times New Roman" w:cs="Times New Roman"/>
                <w:b/>
                <w:bCs/>
                <w:color w:val="000000"/>
                <w:sz w:val="14"/>
                <w:szCs w:val="14"/>
                <w:lang w:eastAsia="sk-SK"/>
              </w:rPr>
            </w:pPr>
            <w:r w:rsidRPr="00352E03">
              <w:rPr>
                <w:rFonts w:ascii="Times New Roman" w:hAnsi="Times New Roman" w:cs="Times New Roman"/>
                <w:b/>
                <w:bCs/>
                <w:color w:val="000000"/>
                <w:sz w:val="14"/>
                <w:szCs w:val="14"/>
                <w:lang w:eastAsia="sk-SK"/>
              </w:rPr>
              <w:t>2017 OS</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352E03" w:rsidRDefault="007D13F3" w:rsidP="00465CAC">
            <w:pPr>
              <w:jc w:val="center"/>
              <w:rPr>
                <w:rFonts w:ascii="Times New Roman" w:hAnsi="Times New Roman" w:cs="Times New Roman"/>
                <w:b/>
                <w:bCs/>
                <w:color w:val="000000"/>
                <w:sz w:val="14"/>
                <w:szCs w:val="14"/>
                <w:lang w:eastAsia="sk-SK"/>
              </w:rPr>
            </w:pPr>
            <w:r w:rsidRPr="00352E03">
              <w:rPr>
                <w:rFonts w:ascii="Times New Roman" w:hAnsi="Times New Roman" w:cs="Times New Roman"/>
                <w:b/>
                <w:bCs/>
                <w:color w:val="000000"/>
                <w:sz w:val="14"/>
                <w:szCs w:val="14"/>
                <w:lang w:eastAsia="sk-SK"/>
              </w:rPr>
              <w:t>2018 N</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352E03" w:rsidRDefault="007D13F3" w:rsidP="00465CAC">
            <w:pPr>
              <w:jc w:val="center"/>
              <w:rPr>
                <w:rFonts w:ascii="Times New Roman" w:hAnsi="Times New Roman" w:cs="Times New Roman"/>
                <w:b/>
                <w:bCs/>
                <w:color w:val="000000"/>
                <w:sz w:val="14"/>
                <w:szCs w:val="14"/>
                <w:lang w:eastAsia="sk-SK"/>
              </w:rPr>
            </w:pPr>
            <w:r w:rsidRPr="00352E03">
              <w:rPr>
                <w:rFonts w:ascii="Times New Roman" w:hAnsi="Times New Roman" w:cs="Times New Roman"/>
                <w:b/>
                <w:bCs/>
                <w:color w:val="000000"/>
                <w:sz w:val="14"/>
                <w:szCs w:val="14"/>
                <w:lang w:eastAsia="sk-SK"/>
              </w:rPr>
              <w:t>2019 N</w:t>
            </w:r>
          </w:p>
        </w:tc>
        <w:tc>
          <w:tcPr>
            <w:tcW w:w="50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352E03" w:rsidRDefault="007D13F3" w:rsidP="00465CAC">
            <w:pPr>
              <w:jc w:val="center"/>
              <w:rPr>
                <w:rFonts w:ascii="Times New Roman" w:hAnsi="Times New Roman" w:cs="Times New Roman"/>
                <w:b/>
                <w:bCs/>
                <w:color w:val="000000"/>
                <w:sz w:val="14"/>
                <w:szCs w:val="14"/>
                <w:lang w:eastAsia="sk-SK"/>
              </w:rPr>
            </w:pPr>
            <w:r w:rsidRPr="00352E03">
              <w:rPr>
                <w:rFonts w:ascii="Times New Roman" w:hAnsi="Times New Roman" w:cs="Times New Roman"/>
                <w:b/>
                <w:bCs/>
                <w:color w:val="000000"/>
                <w:sz w:val="14"/>
                <w:szCs w:val="14"/>
                <w:lang w:eastAsia="sk-SK"/>
              </w:rPr>
              <w:t>2020 N</w:t>
            </w:r>
          </w:p>
        </w:tc>
      </w:tr>
      <w:tr w:rsidR="007D13F3" w:rsidRPr="00352E03" w:rsidTr="00465CAC">
        <w:trPr>
          <w:trHeight w:hRule="exact" w:val="284"/>
        </w:trPr>
        <w:tc>
          <w:tcPr>
            <w:tcW w:w="146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7D13F3" w:rsidRPr="00546390" w:rsidRDefault="007D13F3" w:rsidP="00465CAC">
            <w:pP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Spolu</w:t>
            </w:r>
          </w:p>
        </w:tc>
        <w:tc>
          <w:tcPr>
            <w:tcW w:w="504"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EB36DA" w:rsidRDefault="007D13F3" w:rsidP="00465CAC">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112 127 593</w:t>
            </w:r>
          </w:p>
        </w:tc>
        <w:tc>
          <w:tcPr>
            <w:tcW w:w="50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EB36DA" w:rsidRDefault="007D13F3" w:rsidP="00465CAC">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131 369 091</w:t>
            </w:r>
          </w:p>
        </w:tc>
        <w:tc>
          <w:tcPr>
            <w:tcW w:w="50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EB36DA" w:rsidRDefault="007D13F3" w:rsidP="00465CAC">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69 753 775</w:t>
            </w:r>
          </w:p>
        </w:tc>
        <w:tc>
          <w:tcPr>
            <w:tcW w:w="50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EB36DA" w:rsidRDefault="007D13F3" w:rsidP="00465CAC">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rPr>
              <w:t xml:space="preserve">80 </w:t>
            </w:r>
            <w:r>
              <w:rPr>
                <w:rFonts w:ascii="Times New Roman" w:hAnsi="Times New Roman" w:cs="Times New Roman"/>
                <w:b/>
                <w:color w:val="000000"/>
                <w:sz w:val="14"/>
                <w:szCs w:val="14"/>
              </w:rPr>
              <w:t>880</w:t>
            </w:r>
            <w:r w:rsidRPr="00EB36DA">
              <w:rPr>
                <w:rFonts w:ascii="Times New Roman" w:hAnsi="Times New Roman" w:cs="Times New Roman"/>
                <w:b/>
                <w:color w:val="000000"/>
                <w:sz w:val="14"/>
                <w:szCs w:val="14"/>
              </w:rPr>
              <w:t xml:space="preserve"> </w:t>
            </w:r>
            <w:r>
              <w:rPr>
                <w:rFonts w:ascii="Times New Roman" w:hAnsi="Times New Roman" w:cs="Times New Roman"/>
                <w:b/>
                <w:color w:val="000000"/>
                <w:sz w:val="14"/>
                <w:szCs w:val="14"/>
              </w:rPr>
              <w:t>140</w:t>
            </w:r>
          </w:p>
        </w:tc>
        <w:tc>
          <w:tcPr>
            <w:tcW w:w="50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063DF2" w:rsidRDefault="007D13F3" w:rsidP="00465CAC">
            <w:pPr>
              <w:jc w:val="right"/>
              <w:rPr>
                <w:rFonts w:ascii="Times New Roman" w:hAnsi="Times New Roman" w:cs="Times New Roman"/>
                <w:b/>
                <w:color w:val="000000"/>
                <w:sz w:val="14"/>
                <w:szCs w:val="14"/>
                <w:lang w:eastAsia="sk-SK"/>
              </w:rPr>
            </w:pPr>
            <w:r w:rsidRPr="00063DF2">
              <w:rPr>
                <w:rFonts w:ascii="Times New Roman" w:hAnsi="Times New Roman" w:cs="Times New Roman"/>
                <w:b/>
                <w:color w:val="000000"/>
                <w:sz w:val="14"/>
                <w:szCs w:val="14"/>
              </w:rPr>
              <w:t>34 369 632</w:t>
            </w:r>
          </w:p>
        </w:tc>
        <w:tc>
          <w:tcPr>
            <w:tcW w:w="50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063DF2" w:rsidRDefault="007D13F3" w:rsidP="00465CAC">
            <w:pPr>
              <w:jc w:val="right"/>
              <w:rPr>
                <w:rFonts w:ascii="Times New Roman" w:hAnsi="Times New Roman" w:cs="Times New Roman"/>
                <w:b/>
                <w:color w:val="000000"/>
                <w:sz w:val="14"/>
                <w:szCs w:val="14"/>
              </w:rPr>
            </w:pPr>
            <w:r w:rsidRPr="00063DF2">
              <w:rPr>
                <w:rFonts w:ascii="Times New Roman" w:hAnsi="Times New Roman" w:cs="Times New Roman"/>
                <w:b/>
                <w:color w:val="000000"/>
                <w:sz w:val="14"/>
                <w:szCs w:val="14"/>
              </w:rPr>
              <w:t>34 369 632</w:t>
            </w:r>
          </w:p>
        </w:tc>
        <w:tc>
          <w:tcPr>
            <w:tcW w:w="503"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063DF2" w:rsidRDefault="007D13F3" w:rsidP="00465CAC">
            <w:pPr>
              <w:jc w:val="right"/>
              <w:rPr>
                <w:rFonts w:ascii="Times New Roman" w:hAnsi="Times New Roman" w:cs="Times New Roman"/>
                <w:b/>
                <w:color w:val="000000"/>
                <w:sz w:val="14"/>
                <w:szCs w:val="14"/>
              </w:rPr>
            </w:pPr>
            <w:r w:rsidRPr="00063DF2">
              <w:rPr>
                <w:rFonts w:ascii="Times New Roman" w:hAnsi="Times New Roman" w:cs="Times New Roman"/>
                <w:b/>
                <w:color w:val="000000"/>
                <w:sz w:val="14"/>
                <w:szCs w:val="14"/>
              </w:rPr>
              <w:t>34 369 632</w:t>
            </w:r>
          </w:p>
        </w:tc>
      </w:tr>
      <w:tr w:rsidR="007D13F3" w:rsidRPr="00352E03" w:rsidTr="00465CAC">
        <w:trPr>
          <w:trHeight w:hRule="exact" w:val="284"/>
        </w:trPr>
        <w:tc>
          <w:tcPr>
            <w:tcW w:w="1469" w:type="pct"/>
            <w:tcBorders>
              <w:top w:val="nil"/>
              <w:left w:val="single" w:sz="4" w:space="0" w:color="auto"/>
              <w:bottom w:val="single" w:sz="4" w:space="0" w:color="auto"/>
              <w:right w:val="single" w:sz="4" w:space="0" w:color="auto"/>
            </w:tcBorders>
            <w:shd w:val="clear" w:color="auto" w:fill="auto"/>
            <w:noWrap/>
            <w:vAlign w:val="bottom"/>
            <w:hideMark/>
          </w:tcPr>
          <w:p w:rsidR="007D13F3" w:rsidRPr="00352E03" w:rsidRDefault="007D13F3" w:rsidP="00465CAC">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 xml:space="preserve">NDS výdavky zo ŠR mimo OPD </w:t>
            </w:r>
          </w:p>
        </w:tc>
        <w:tc>
          <w:tcPr>
            <w:tcW w:w="504" w:type="pct"/>
            <w:tcBorders>
              <w:top w:val="nil"/>
              <w:left w:val="nil"/>
              <w:bottom w:val="single" w:sz="4" w:space="0" w:color="auto"/>
              <w:right w:val="single" w:sz="4" w:space="0" w:color="auto"/>
            </w:tcBorders>
            <w:shd w:val="clear" w:color="auto" w:fill="auto"/>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101 551 145</w:t>
            </w:r>
          </w:p>
        </w:tc>
        <w:tc>
          <w:tcPr>
            <w:tcW w:w="505" w:type="pct"/>
            <w:tcBorders>
              <w:top w:val="nil"/>
              <w:left w:val="nil"/>
              <w:bottom w:val="single" w:sz="4" w:space="0" w:color="auto"/>
              <w:right w:val="single" w:sz="4" w:space="0" w:color="auto"/>
            </w:tcBorders>
            <w:shd w:val="clear" w:color="auto" w:fill="auto"/>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92 005 037</w:t>
            </w:r>
          </w:p>
        </w:tc>
        <w:tc>
          <w:tcPr>
            <w:tcW w:w="505" w:type="pct"/>
            <w:tcBorders>
              <w:top w:val="nil"/>
              <w:left w:val="nil"/>
              <w:bottom w:val="single" w:sz="4" w:space="0" w:color="auto"/>
              <w:right w:val="single" w:sz="4" w:space="0" w:color="auto"/>
            </w:tcBorders>
            <w:shd w:val="clear" w:color="000000" w:fill="FFFFFF"/>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31 400 000</w:t>
            </w:r>
          </w:p>
        </w:tc>
        <w:tc>
          <w:tcPr>
            <w:tcW w:w="505" w:type="pct"/>
            <w:tcBorders>
              <w:top w:val="nil"/>
              <w:left w:val="nil"/>
              <w:bottom w:val="single" w:sz="4" w:space="0" w:color="auto"/>
              <w:right w:val="single" w:sz="4" w:space="0" w:color="auto"/>
            </w:tcBorders>
            <w:shd w:val="clear" w:color="auto" w:fill="auto"/>
            <w:noWrap/>
            <w:vAlign w:val="bottom"/>
            <w:hideMark/>
          </w:tcPr>
          <w:p w:rsidR="007D13F3" w:rsidRPr="00EB36DA" w:rsidRDefault="007D13F3" w:rsidP="00465CAC">
            <w:pPr>
              <w:jc w:val="right"/>
              <w:rPr>
                <w:rFonts w:ascii="Times New Roman" w:hAnsi="Times New Roman" w:cs="Times New Roman"/>
                <w:color w:val="000000"/>
                <w:sz w:val="14"/>
                <w:szCs w:val="14"/>
              </w:rPr>
            </w:pPr>
            <w:r w:rsidRPr="00EB36DA">
              <w:rPr>
                <w:rFonts w:ascii="Times New Roman" w:hAnsi="Times New Roman" w:cs="Times New Roman"/>
                <w:color w:val="000000"/>
                <w:sz w:val="14"/>
                <w:szCs w:val="14"/>
              </w:rPr>
              <w:t>1</w:t>
            </w:r>
            <w:r>
              <w:rPr>
                <w:rFonts w:ascii="Times New Roman" w:hAnsi="Times New Roman" w:cs="Times New Roman"/>
                <w:color w:val="000000"/>
                <w:sz w:val="14"/>
                <w:szCs w:val="14"/>
              </w:rPr>
              <w:t>7</w:t>
            </w:r>
            <w:r w:rsidRPr="00EB36DA">
              <w:rPr>
                <w:rFonts w:ascii="Times New Roman" w:hAnsi="Times New Roman" w:cs="Times New Roman"/>
                <w:color w:val="000000"/>
                <w:sz w:val="14"/>
                <w:szCs w:val="14"/>
              </w:rPr>
              <w:t xml:space="preserve"> </w:t>
            </w:r>
            <w:r>
              <w:rPr>
                <w:rFonts w:ascii="Times New Roman" w:hAnsi="Times New Roman" w:cs="Times New Roman"/>
                <w:color w:val="000000"/>
                <w:sz w:val="14"/>
                <w:szCs w:val="14"/>
              </w:rPr>
              <w:t>870</w:t>
            </w:r>
            <w:r w:rsidRPr="00EB36DA">
              <w:rPr>
                <w:rFonts w:ascii="Times New Roman" w:hAnsi="Times New Roman" w:cs="Times New Roman"/>
                <w:color w:val="000000"/>
                <w:sz w:val="14"/>
                <w:szCs w:val="14"/>
              </w:rPr>
              <w:t xml:space="preserve"> </w:t>
            </w:r>
            <w:r>
              <w:rPr>
                <w:rFonts w:ascii="Times New Roman" w:hAnsi="Times New Roman" w:cs="Times New Roman"/>
                <w:color w:val="000000"/>
                <w:sz w:val="14"/>
                <w:szCs w:val="14"/>
              </w:rPr>
              <w:t>9</w:t>
            </w:r>
            <w:r w:rsidRPr="00EB36DA">
              <w:rPr>
                <w:rFonts w:ascii="Times New Roman" w:hAnsi="Times New Roman" w:cs="Times New Roman"/>
                <w:color w:val="000000"/>
                <w:sz w:val="14"/>
                <w:szCs w:val="14"/>
              </w:rPr>
              <w:t>7</w:t>
            </w:r>
            <w:r>
              <w:rPr>
                <w:rFonts w:ascii="Times New Roman" w:hAnsi="Times New Roman" w:cs="Times New Roman"/>
                <w:color w:val="000000"/>
                <w:sz w:val="14"/>
                <w:szCs w:val="14"/>
              </w:rPr>
              <w:t>4</w:t>
            </w:r>
          </w:p>
        </w:tc>
        <w:tc>
          <w:tcPr>
            <w:tcW w:w="505" w:type="pct"/>
            <w:tcBorders>
              <w:top w:val="nil"/>
              <w:left w:val="nil"/>
              <w:bottom w:val="single" w:sz="4" w:space="0" w:color="auto"/>
              <w:right w:val="single" w:sz="4" w:space="0" w:color="auto"/>
            </w:tcBorders>
            <w:shd w:val="clear" w:color="000000" w:fill="FFFFFF"/>
            <w:noWrap/>
            <w:vAlign w:val="bottom"/>
            <w:hideMark/>
          </w:tcPr>
          <w:p w:rsidR="007D13F3" w:rsidRPr="00063DF2" w:rsidRDefault="007D13F3" w:rsidP="00465CAC">
            <w:pPr>
              <w:jc w:val="right"/>
              <w:rPr>
                <w:rFonts w:ascii="Times New Roman" w:hAnsi="Times New Roman" w:cs="Times New Roman"/>
                <w:color w:val="000000"/>
                <w:sz w:val="14"/>
                <w:szCs w:val="14"/>
              </w:rPr>
            </w:pPr>
            <w:r w:rsidRPr="00063DF2">
              <w:rPr>
                <w:rFonts w:ascii="Times New Roman" w:hAnsi="Times New Roman" w:cs="Times New Roman"/>
                <w:color w:val="000000"/>
                <w:sz w:val="14"/>
                <w:szCs w:val="14"/>
              </w:rPr>
              <w:t>31 400 000</w:t>
            </w:r>
          </w:p>
        </w:tc>
        <w:tc>
          <w:tcPr>
            <w:tcW w:w="505" w:type="pct"/>
            <w:tcBorders>
              <w:top w:val="nil"/>
              <w:left w:val="nil"/>
              <w:bottom w:val="single" w:sz="4" w:space="0" w:color="auto"/>
              <w:right w:val="single" w:sz="4" w:space="0" w:color="auto"/>
            </w:tcBorders>
            <w:shd w:val="clear" w:color="000000" w:fill="FFFFFF"/>
            <w:noWrap/>
            <w:vAlign w:val="bottom"/>
            <w:hideMark/>
          </w:tcPr>
          <w:p w:rsidR="007D13F3" w:rsidRPr="00063DF2" w:rsidRDefault="007D13F3" w:rsidP="00465CAC">
            <w:pPr>
              <w:jc w:val="right"/>
              <w:rPr>
                <w:rFonts w:ascii="Times New Roman" w:hAnsi="Times New Roman" w:cs="Times New Roman"/>
                <w:color w:val="000000"/>
                <w:sz w:val="14"/>
                <w:szCs w:val="14"/>
              </w:rPr>
            </w:pPr>
            <w:r w:rsidRPr="00063DF2">
              <w:rPr>
                <w:rFonts w:ascii="Times New Roman" w:hAnsi="Times New Roman" w:cs="Times New Roman"/>
                <w:color w:val="000000"/>
                <w:sz w:val="14"/>
                <w:szCs w:val="14"/>
              </w:rPr>
              <w:t>31 400 000</w:t>
            </w:r>
          </w:p>
        </w:tc>
        <w:tc>
          <w:tcPr>
            <w:tcW w:w="503" w:type="pct"/>
            <w:tcBorders>
              <w:top w:val="nil"/>
              <w:left w:val="nil"/>
              <w:bottom w:val="single" w:sz="4" w:space="0" w:color="auto"/>
              <w:right w:val="single" w:sz="4" w:space="0" w:color="auto"/>
            </w:tcBorders>
            <w:shd w:val="clear" w:color="000000" w:fill="FFFFFF"/>
            <w:noWrap/>
            <w:vAlign w:val="bottom"/>
            <w:hideMark/>
          </w:tcPr>
          <w:p w:rsidR="007D13F3" w:rsidRPr="00063DF2" w:rsidRDefault="007D13F3" w:rsidP="00465CAC">
            <w:pPr>
              <w:jc w:val="right"/>
              <w:rPr>
                <w:rFonts w:ascii="Times New Roman" w:hAnsi="Times New Roman" w:cs="Times New Roman"/>
                <w:color w:val="000000"/>
                <w:sz w:val="14"/>
                <w:szCs w:val="14"/>
              </w:rPr>
            </w:pPr>
            <w:r w:rsidRPr="00063DF2">
              <w:rPr>
                <w:rFonts w:ascii="Times New Roman" w:hAnsi="Times New Roman" w:cs="Times New Roman"/>
                <w:color w:val="000000"/>
                <w:sz w:val="14"/>
                <w:szCs w:val="14"/>
              </w:rPr>
              <w:t>31 400 000</w:t>
            </w:r>
          </w:p>
        </w:tc>
      </w:tr>
      <w:tr w:rsidR="007D13F3" w:rsidRPr="00352E03" w:rsidTr="00465CAC">
        <w:trPr>
          <w:trHeight w:hRule="exact" w:val="284"/>
        </w:trPr>
        <w:tc>
          <w:tcPr>
            <w:tcW w:w="1469" w:type="pct"/>
            <w:tcBorders>
              <w:top w:val="nil"/>
              <w:left w:val="single" w:sz="4" w:space="0" w:color="auto"/>
              <w:bottom w:val="single" w:sz="4" w:space="0" w:color="auto"/>
              <w:right w:val="single" w:sz="4" w:space="0" w:color="auto"/>
            </w:tcBorders>
            <w:shd w:val="clear" w:color="auto" w:fill="auto"/>
            <w:noWrap/>
            <w:vAlign w:val="bottom"/>
            <w:hideMark/>
          </w:tcPr>
          <w:p w:rsidR="007D13F3" w:rsidRPr="00352E03" w:rsidRDefault="007D13F3" w:rsidP="00465CAC">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SSC výdavky zo ŠR mimo OPD</w:t>
            </w:r>
          </w:p>
        </w:tc>
        <w:tc>
          <w:tcPr>
            <w:tcW w:w="504" w:type="pct"/>
            <w:tcBorders>
              <w:top w:val="nil"/>
              <w:left w:val="nil"/>
              <w:bottom w:val="single" w:sz="4" w:space="0" w:color="auto"/>
              <w:right w:val="single" w:sz="4" w:space="0" w:color="auto"/>
            </w:tcBorders>
            <w:shd w:val="clear" w:color="auto" w:fill="auto"/>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10 576 448</w:t>
            </w:r>
          </w:p>
        </w:tc>
        <w:tc>
          <w:tcPr>
            <w:tcW w:w="505" w:type="pct"/>
            <w:tcBorders>
              <w:top w:val="nil"/>
              <w:left w:val="nil"/>
              <w:bottom w:val="single" w:sz="4" w:space="0" w:color="auto"/>
              <w:right w:val="single" w:sz="4" w:space="0" w:color="auto"/>
            </w:tcBorders>
            <w:shd w:val="clear" w:color="auto" w:fill="auto"/>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39 364 054</w:t>
            </w:r>
          </w:p>
        </w:tc>
        <w:tc>
          <w:tcPr>
            <w:tcW w:w="505" w:type="pct"/>
            <w:tcBorders>
              <w:top w:val="nil"/>
              <w:left w:val="nil"/>
              <w:bottom w:val="single" w:sz="4" w:space="0" w:color="auto"/>
              <w:right w:val="single" w:sz="4" w:space="0" w:color="auto"/>
            </w:tcBorders>
            <w:shd w:val="clear" w:color="000000" w:fill="FFFFFF"/>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38 353 775</w:t>
            </w:r>
          </w:p>
        </w:tc>
        <w:tc>
          <w:tcPr>
            <w:tcW w:w="505" w:type="pct"/>
            <w:tcBorders>
              <w:top w:val="nil"/>
              <w:left w:val="nil"/>
              <w:bottom w:val="single" w:sz="4" w:space="0" w:color="auto"/>
              <w:right w:val="single" w:sz="4" w:space="0" w:color="auto"/>
            </w:tcBorders>
            <w:shd w:val="clear" w:color="auto" w:fill="auto"/>
            <w:noWrap/>
            <w:vAlign w:val="bottom"/>
            <w:hideMark/>
          </w:tcPr>
          <w:p w:rsidR="007D13F3" w:rsidRPr="00EB36DA" w:rsidRDefault="007D13F3" w:rsidP="00465CAC">
            <w:pPr>
              <w:jc w:val="right"/>
              <w:rPr>
                <w:rFonts w:ascii="Times New Roman" w:hAnsi="Times New Roman" w:cs="Times New Roman"/>
                <w:color w:val="000000"/>
                <w:sz w:val="14"/>
                <w:szCs w:val="14"/>
              </w:rPr>
            </w:pPr>
            <w:r w:rsidRPr="00EB36DA">
              <w:rPr>
                <w:rFonts w:ascii="Times New Roman" w:hAnsi="Times New Roman" w:cs="Times New Roman"/>
                <w:color w:val="000000"/>
                <w:sz w:val="14"/>
                <w:szCs w:val="14"/>
              </w:rPr>
              <w:t>6</w:t>
            </w:r>
            <w:r>
              <w:rPr>
                <w:rFonts w:ascii="Times New Roman" w:hAnsi="Times New Roman" w:cs="Times New Roman"/>
                <w:color w:val="000000"/>
                <w:sz w:val="14"/>
                <w:szCs w:val="14"/>
              </w:rPr>
              <w:t>3</w:t>
            </w:r>
            <w:r w:rsidRPr="00EB36DA">
              <w:rPr>
                <w:rFonts w:ascii="Times New Roman" w:hAnsi="Times New Roman" w:cs="Times New Roman"/>
                <w:color w:val="000000"/>
                <w:sz w:val="14"/>
                <w:szCs w:val="14"/>
              </w:rPr>
              <w:t xml:space="preserve"> </w:t>
            </w:r>
            <w:r>
              <w:rPr>
                <w:rFonts w:ascii="Times New Roman" w:hAnsi="Times New Roman" w:cs="Times New Roman"/>
                <w:color w:val="000000"/>
                <w:sz w:val="14"/>
                <w:szCs w:val="14"/>
              </w:rPr>
              <w:t>009</w:t>
            </w:r>
            <w:r w:rsidRPr="00EB36DA">
              <w:rPr>
                <w:rFonts w:ascii="Times New Roman" w:hAnsi="Times New Roman" w:cs="Times New Roman"/>
                <w:color w:val="000000"/>
                <w:sz w:val="14"/>
                <w:szCs w:val="14"/>
              </w:rPr>
              <w:t xml:space="preserve"> </w:t>
            </w:r>
            <w:r>
              <w:rPr>
                <w:rFonts w:ascii="Times New Roman" w:hAnsi="Times New Roman" w:cs="Times New Roman"/>
                <w:color w:val="000000"/>
                <w:sz w:val="14"/>
                <w:szCs w:val="14"/>
              </w:rPr>
              <w:t>16</w:t>
            </w:r>
            <w:r w:rsidRPr="00EB36DA">
              <w:rPr>
                <w:rFonts w:ascii="Times New Roman" w:hAnsi="Times New Roman" w:cs="Times New Roman"/>
                <w:color w:val="000000"/>
                <w:sz w:val="14"/>
                <w:szCs w:val="14"/>
              </w:rPr>
              <w:t>6</w:t>
            </w:r>
          </w:p>
        </w:tc>
        <w:tc>
          <w:tcPr>
            <w:tcW w:w="505" w:type="pct"/>
            <w:tcBorders>
              <w:top w:val="nil"/>
              <w:left w:val="nil"/>
              <w:bottom w:val="single" w:sz="4" w:space="0" w:color="auto"/>
              <w:right w:val="single" w:sz="4" w:space="0" w:color="auto"/>
            </w:tcBorders>
            <w:shd w:val="clear" w:color="000000" w:fill="FFFFFF"/>
            <w:noWrap/>
            <w:vAlign w:val="bottom"/>
            <w:hideMark/>
          </w:tcPr>
          <w:p w:rsidR="007D13F3" w:rsidRPr="00063DF2" w:rsidRDefault="007D13F3" w:rsidP="00465CAC">
            <w:pPr>
              <w:jc w:val="right"/>
              <w:rPr>
                <w:rFonts w:ascii="Times New Roman" w:hAnsi="Times New Roman" w:cs="Times New Roman"/>
                <w:color w:val="000000"/>
                <w:sz w:val="14"/>
                <w:szCs w:val="14"/>
              </w:rPr>
            </w:pPr>
            <w:r w:rsidRPr="00063DF2">
              <w:rPr>
                <w:rFonts w:ascii="Times New Roman" w:hAnsi="Times New Roman" w:cs="Times New Roman"/>
                <w:color w:val="000000"/>
                <w:sz w:val="14"/>
                <w:szCs w:val="14"/>
              </w:rPr>
              <w:t>2 969 632</w:t>
            </w:r>
          </w:p>
        </w:tc>
        <w:tc>
          <w:tcPr>
            <w:tcW w:w="505" w:type="pct"/>
            <w:tcBorders>
              <w:top w:val="nil"/>
              <w:left w:val="nil"/>
              <w:bottom w:val="single" w:sz="4" w:space="0" w:color="auto"/>
              <w:right w:val="single" w:sz="4" w:space="0" w:color="auto"/>
            </w:tcBorders>
            <w:shd w:val="clear" w:color="000000" w:fill="FFFFFF"/>
            <w:noWrap/>
            <w:vAlign w:val="bottom"/>
            <w:hideMark/>
          </w:tcPr>
          <w:p w:rsidR="007D13F3" w:rsidRPr="00063DF2" w:rsidRDefault="007D13F3" w:rsidP="00465CAC">
            <w:pPr>
              <w:jc w:val="right"/>
              <w:rPr>
                <w:rFonts w:ascii="Times New Roman" w:hAnsi="Times New Roman" w:cs="Times New Roman"/>
                <w:color w:val="000000"/>
                <w:sz w:val="14"/>
                <w:szCs w:val="14"/>
              </w:rPr>
            </w:pPr>
            <w:r w:rsidRPr="00063DF2">
              <w:rPr>
                <w:rFonts w:ascii="Times New Roman" w:hAnsi="Times New Roman" w:cs="Times New Roman"/>
                <w:color w:val="000000"/>
                <w:sz w:val="14"/>
                <w:szCs w:val="14"/>
              </w:rPr>
              <w:t>2 969 632</w:t>
            </w:r>
          </w:p>
        </w:tc>
        <w:tc>
          <w:tcPr>
            <w:tcW w:w="503" w:type="pct"/>
            <w:tcBorders>
              <w:top w:val="nil"/>
              <w:left w:val="nil"/>
              <w:bottom w:val="single" w:sz="4" w:space="0" w:color="auto"/>
              <w:right w:val="single" w:sz="4" w:space="0" w:color="auto"/>
            </w:tcBorders>
            <w:shd w:val="clear" w:color="000000" w:fill="FFFFFF"/>
            <w:noWrap/>
            <w:vAlign w:val="bottom"/>
            <w:hideMark/>
          </w:tcPr>
          <w:p w:rsidR="007D13F3" w:rsidRPr="00063DF2" w:rsidRDefault="007D13F3" w:rsidP="00465CAC">
            <w:pPr>
              <w:jc w:val="right"/>
              <w:rPr>
                <w:rFonts w:ascii="Times New Roman" w:hAnsi="Times New Roman" w:cs="Times New Roman"/>
                <w:color w:val="000000"/>
                <w:sz w:val="14"/>
                <w:szCs w:val="14"/>
              </w:rPr>
            </w:pPr>
            <w:r w:rsidRPr="00063DF2">
              <w:rPr>
                <w:rFonts w:ascii="Times New Roman" w:hAnsi="Times New Roman" w:cs="Times New Roman"/>
                <w:color w:val="000000"/>
                <w:sz w:val="14"/>
                <w:szCs w:val="14"/>
              </w:rPr>
              <w:t>2 969 632</w:t>
            </w:r>
          </w:p>
        </w:tc>
      </w:tr>
    </w:tbl>
    <w:p w:rsidR="007D13F3" w:rsidRPr="00775C7E" w:rsidRDefault="007D13F3" w:rsidP="007D13F3">
      <w:pPr>
        <w:jc w:val="both"/>
        <w:rPr>
          <w:rFonts w:ascii="Times New Roman" w:hAnsi="Times New Roman" w:cs="Times New Roman"/>
          <w:highlight w:val="yellow"/>
        </w:rPr>
      </w:pPr>
    </w:p>
    <w:p w:rsidR="007D13F3" w:rsidRPr="00546390" w:rsidRDefault="007D13F3" w:rsidP="007D13F3">
      <w:pPr>
        <w:ind w:firstLine="709"/>
        <w:jc w:val="both"/>
        <w:rPr>
          <w:rFonts w:ascii="Times New Roman" w:hAnsi="Times New Roman" w:cs="Times New Roman"/>
        </w:rPr>
      </w:pPr>
      <w:r w:rsidRPr="00546390">
        <w:rPr>
          <w:rFonts w:ascii="Times New Roman" w:hAnsi="Times New Roman" w:cs="Times New Roman"/>
        </w:rPr>
        <w:t>Na investície realizované N</w:t>
      </w:r>
      <w:r>
        <w:rPr>
          <w:rFonts w:ascii="Times New Roman" w:hAnsi="Times New Roman" w:cs="Times New Roman"/>
        </w:rPr>
        <w:t>árodnou diaľničnou spoločnosťou (ďalej len „NDS“)</w:t>
      </w:r>
      <w:r w:rsidRPr="00546390">
        <w:rPr>
          <w:rFonts w:ascii="Times New Roman" w:hAnsi="Times New Roman" w:cs="Times New Roman"/>
        </w:rPr>
        <w:t xml:space="preserve"> a Slovenskou správou ciest (ďalej len „SSC“) mimo OPII sa rozpočtujú výdavky na rok 201</w:t>
      </w:r>
      <w:r>
        <w:rPr>
          <w:rFonts w:ascii="Times New Roman" w:hAnsi="Times New Roman" w:cs="Times New Roman"/>
        </w:rPr>
        <w:t>8</w:t>
      </w:r>
      <w:r w:rsidRPr="00546390">
        <w:rPr>
          <w:rFonts w:ascii="Times New Roman" w:hAnsi="Times New Roman" w:cs="Times New Roman"/>
        </w:rPr>
        <w:t xml:space="preserve"> v sume </w:t>
      </w:r>
      <w:r>
        <w:rPr>
          <w:rFonts w:ascii="Times New Roman" w:hAnsi="Times New Roman" w:cs="Times New Roman"/>
        </w:rPr>
        <w:t>34,3</w:t>
      </w:r>
      <w:r w:rsidRPr="00546390">
        <w:rPr>
          <w:rFonts w:ascii="Times New Roman" w:hAnsi="Times New Roman" w:cs="Times New Roman"/>
        </w:rPr>
        <w:t xml:space="preserve"> mil. eur, čo</w:t>
      </w:r>
      <w:r>
        <w:rPr>
          <w:rFonts w:ascii="Times New Roman" w:hAnsi="Times New Roman" w:cs="Times New Roman"/>
        </w:rPr>
        <w:t xml:space="preserve"> v porovnaní so </w:t>
      </w:r>
      <w:r w:rsidRPr="00546390">
        <w:rPr>
          <w:rFonts w:ascii="Times New Roman" w:hAnsi="Times New Roman" w:cs="Times New Roman"/>
        </w:rPr>
        <w:t xml:space="preserve"> schválen</w:t>
      </w:r>
      <w:r>
        <w:rPr>
          <w:rFonts w:ascii="Times New Roman" w:hAnsi="Times New Roman" w:cs="Times New Roman"/>
        </w:rPr>
        <w:t>ým</w:t>
      </w:r>
      <w:r w:rsidRPr="00546390">
        <w:rPr>
          <w:rFonts w:ascii="Times New Roman" w:hAnsi="Times New Roman" w:cs="Times New Roman"/>
        </w:rPr>
        <w:t xml:space="preserve"> rozpočt</w:t>
      </w:r>
      <w:r>
        <w:rPr>
          <w:rFonts w:ascii="Times New Roman" w:hAnsi="Times New Roman" w:cs="Times New Roman"/>
        </w:rPr>
        <w:t>om</w:t>
      </w:r>
      <w:r w:rsidRPr="00546390">
        <w:rPr>
          <w:rFonts w:ascii="Times New Roman" w:hAnsi="Times New Roman" w:cs="Times New Roman"/>
        </w:rPr>
        <w:t xml:space="preserve"> roku 201</w:t>
      </w:r>
      <w:r>
        <w:rPr>
          <w:rFonts w:ascii="Times New Roman" w:hAnsi="Times New Roman" w:cs="Times New Roman"/>
        </w:rPr>
        <w:t>7 predstavuje zníženie o 35,4 mil. eur, t. j. o 50,7 % z dôvodu, že v roku 2017 boli jednorazovo zohľadnené výdavky pre SSC v sume 32,5 mil. eur</w:t>
      </w:r>
      <w:r w:rsidRPr="00546390">
        <w:rPr>
          <w:rFonts w:ascii="Times New Roman" w:hAnsi="Times New Roman" w:cs="Times New Roman"/>
        </w:rPr>
        <w:t xml:space="preserve">. </w:t>
      </w:r>
    </w:p>
    <w:p w:rsidR="007D13F3" w:rsidRPr="00775C7E" w:rsidRDefault="007D13F3" w:rsidP="007D13F3">
      <w:pPr>
        <w:ind w:firstLine="708"/>
        <w:jc w:val="both"/>
        <w:rPr>
          <w:rFonts w:ascii="Times New Roman" w:hAnsi="Times New Roman" w:cs="Times New Roman"/>
          <w:highlight w:val="yellow"/>
        </w:rPr>
      </w:pPr>
    </w:p>
    <w:p w:rsidR="007D13F3" w:rsidRPr="00546390" w:rsidRDefault="007D13F3" w:rsidP="007D13F3">
      <w:pPr>
        <w:jc w:val="both"/>
        <w:rPr>
          <w:rFonts w:ascii="Times New Roman" w:hAnsi="Times New Roman" w:cs="Times New Roman"/>
          <w:i/>
          <w:u w:val="single"/>
        </w:rPr>
      </w:pPr>
      <w:r w:rsidRPr="00546390">
        <w:rPr>
          <w:rFonts w:ascii="Times New Roman" w:hAnsi="Times New Roman" w:cs="Times New Roman"/>
          <w:i/>
          <w:u w:val="single"/>
        </w:rPr>
        <w:t>Údržba a opravy ciest a diaľnic</w:t>
      </w:r>
    </w:p>
    <w:p w:rsidR="007D13F3" w:rsidRDefault="007D13F3" w:rsidP="007D13F3">
      <w:pPr>
        <w:ind w:firstLine="709"/>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497"/>
        <w:gridCol w:w="964"/>
        <w:gridCol w:w="922"/>
        <w:gridCol w:w="922"/>
        <w:gridCol w:w="922"/>
        <w:gridCol w:w="1007"/>
        <w:gridCol w:w="923"/>
        <w:gridCol w:w="905"/>
      </w:tblGrid>
      <w:tr w:rsidR="007D13F3" w:rsidRPr="001957B8" w:rsidTr="00465CAC">
        <w:trPr>
          <w:trHeight w:val="300"/>
        </w:trPr>
        <w:tc>
          <w:tcPr>
            <w:tcW w:w="125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1957B8" w:rsidRDefault="007D13F3" w:rsidP="00465CAC">
            <w:pPr>
              <w:rPr>
                <w:rFonts w:ascii="Times New Roman" w:hAnsi="Times New Roman" w:cs="Times New Roman"/>
                <w:b/>
                <w:bCs/>
                <w:color w:val="000000"/>
                <w:sz w:val="14"/>
                <w:szCs w:val="14"/>
                <w:lang w:eastAsia="sk-SK"/>
              </w:rPr>
            </w:pPr>
            <w:r w:rsidRPr="001957B8">
              <w:rPr>
                <w:rFonts w:ascii="Times New Roman" w:hAnsi="Times New Roman" w:cs="Times New Roman"/>
                <w:b/>
                <w:bCs/>
                <w:color w:val="000000"/>
                <w:sz w:val="14"/>
                <w:szCs w:val="14"/>
                <w:lang w:eastAsia="sk-SK"/>
              </w:rPr>
              <w:t>Správa, údržba a opravy ciest a diaľnic</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957B8" w:rsidRDefault="007D13F3" w:rsidP="00465CAC">
            <w:pPr>
              <w:jc w:val="center"/>
              <w:rPr>
                <w:rFonts w:ascii="Times New Roman" w:hAnsi="Times New Roman" w:cs="Times New Roman"/>
                <w:b/>
                <w:bCs/>
                <w:color w:val="000000"/>
                <w:sz w:val="14"/>
                <w:szCs w:val="14"/>
                <w:lang w:eastAsia="sk-SK"/>
              </w:rPr>
            </w:pPr>
            <w:r w:rsidRPr="001957B8">
              <w:rPr>
                <w:rFonts w:ascii="Times New Roman" w:hAnsi="Times New Roman" w:cs="Times New Roman"/>
                <w:b/>
                <w:bCs/>
                <w:color w:val="000000"/>
                <w:sz w:val="14"/>
                <w:szCs w:val="14"/>
                <w:lang w:eastAsia="sk-SK"/>
              </w:rPr>
              <w:t>2015 S</w:t>
            </w:r>
          </w:p>
        </w:tc>
        <w:tc>
          <w:tcPr>
            <w:tcW w:w="52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957B8" w:rsidRDefault="007D13F3" w:rsidP="00465CAC">
            <w:pPr>
              <w:jc w:val="center"/>
              <w:rPr>
                <w:rFonts w:ascii="Times New Roman" w:hAnsi="Times New Roman" w:cs="Times New Roman"/>
                <w:b/>
                <w:bCs/>
                <w:color w:val="000000"/>
                <w:sz w:val="14"/>
                <w:szCs w:val="14"/>
                <w:lang w:eastAsia="sk-SK"/>
              </w:rPr>
            </w:pPr>
            <w:r w:rsidRPr="001957B8">
              <w:rPr>
                <w:rFonts w:ascii="Times New Roman" w:hAnsi="Times New Roman" w:cs="Times New Roman"/>
                <w:b/>
                <w:bCs/>
                <w:color w:val="000000"/>
                <w:sz w:val="14"/>
                <w:szCs w:val="14"/>
                <w:lang w:eastAsia="sk-SK"/>
              </w:rPr>
              <w:t>2016 S</w:t>
            </w:r>
          </w:p>
        </w:tc>
        <w:tc>
          <w:tcPr>
            <w:tcW w:w="52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957B8" w:rsidRDefault="007D13F3" w:rsidP="00465CAC">
            <w:pPr>
              <w:jc w:val="center"/>
              <w:rPr>
                <w:rFonts w:ascii="Times New Roman" w:hAnsi="Times New Roman" w:cs="Times New Roman"/>
                <w:b/>
                <w:bCs/>
                <w:color w:val="000000"/>
                <w:sz w:val="14"/>
                <w:szCs w:val="14"/>
                <w:lang w:eastAsia="sk-SK"/>
              </w:rPr>
            </w:pPr>
            <w:r w:rsidRPr="001957B8">
              <w:rPr>
                <w:rFonts w:ascii="Times New Roman" w:hAnsi="Times New Roman" w:cs="Times New Roman"/>
                <w:b/>
                <w:bCs/>
                <w:color w:val="000000"/>
                <w:sz w:val="14"/>
                <w:szCs w:val="14"/>
                <w:lang w:eastAsia="sk-SK"/>
              </w:rPr>
              <w:t>2017 R</w:t>
            </w:r>
          </w:p>
        </w:tc>
        <w:tc>
          <w:tcPr>
            <w:tcW w:w="52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957B8" w:rsidRDefault="007D13F3" w:rsidP="00465CAC">
            <w:pPr>
              <w:jc w:val="center"/>
              <w:rPr>
                <w:rFonts w:ascii="Times New Roman" w:hAnsi="Times New Roman" w:cs="Times New Roman"/>
                <w:b/>
                <w:bCs/>
                <w:color w:val="000000"/>
                <w:sz w:val="14"/>
                <w:szCs w:val="14"/>
                <w:lang w:eastAsia="sk-SK"/>
              </w:rPr>
            </w:pPr>
            <w:r w:rsidRPr="001957B8">
              <w:rPr>
                <w:rFonts w:ascii="Times New Roman" w:hAnsi="Times New Roman" w:cs="Times New Roman"/>
                <w:b/>
                <w:bCs/>
                <w:color w:val="000000"/>
                <w:sz w:val="14"/>
                <w:szCs w:val="14"/>
                <w:lang w:eastAsia="sk-SK"/>
              </w:rPr>
              <w:t>2017 OS</w:t>
            </w:r>
          </w:p>
        </w:tc>
        <w:tc>
          <w:tcPr>
            <w:tcW w:w="57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957B8" w:rsidRDefault="007D13F3" w:rsidP="00465CAC">
            <w:pPr>
              <w:jc w:val="center"/>
              <w:rPr>
                <w:rFonts w:ascii="Times New Roman" w:hAnsi="Times New Roman" w:cs="Times New Roman"/>
                <w:b/>
                <w:bCs/>
                <w:color w:val="000000"/>
                <w:sz w:val="14"/>
                <w:szCs w:val="14"/>
                <w:lang w:eastAsia="sk-SK"/>
              </w:rPr>
            </w:pPr>
            <w:r w:rsidRPr="001957B8">
              <w:rPr>
                <w:rFonts w:ascii="Times New Roman" w:hAnsi="Times New Roman" w:cs="Times New Roman"/>
                <w:b/>
                <w:bCs/>
                <w:color w:val="000000"/>
                <w:sz w:val="14"/>
                <w:szCs w:val="14"/>
                <w:lang w:eastAsia="sk-SK"/>
              </w:rPr>
              <w:t>2018 N</w:t>
            </w:r>
          </w:p>
        </w:tc>
        <w:tc>
          <w:tcPr>
            <w:tcW w:w="52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957B8" w:rsidRDefault="007D13F3" w:rsidP="00465CAC">
            <w:pPr>
              <w:jc w:val="center"/>
              <w:rPr>
                <w:rFonts w:ascii="Times New Roman" w:hAnsi="Times New Roman" w:cs="Times New Roman"/>
                <w:b/>
                <w:bCs/>
                <w:color w:val="000000"/>
                <w:sz w:val="14"/>
                <w:szCs w:val="14"/>
                <w:lang w:eastAsia="sk-SK"/>
              </w:rPr>
            </w:pPr>
            <w:r w:rsidRPr="001957B8">
              <w:rPr>
                <w:rFonts w:ascii="Times New Roman" w:hAnsi="Times New Roman" w:cs="Times New Roman"/>
                <w:b/>
                <w:bCs/>
                <w:color w:val="000000"/>
                <w:sz w:val="14"/>
                <w:szCs w:val="14"/>
                <w:lang w:eastAsia="sk-SK"/>
              </w:rPr>
              <w:t>2019 N</w:t>
            </w:r>
          </w:p>
        </w:tc>
        <w:tc>
          <w:tcPr>
            <w:tcW w:w="51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957B8" w:rsidRDefault="007D13F3" w:rsidP="00465CAC">
            <w:pPr>
              <w:jc w:val="center"/>
              <w:rPr>
                <w:rFonts w:ascii="Times New Roman" w:hAnsi="Times New Roman" w:cs="Times New Roman"/>
                <w:b/>
                <w:bCs/>
                <w:color w:val="000000"/>
                <w:sz w:val="14"/>
                <w:szCs w:val="14"/>
                <w:lang w:eastAsia="sk-SK"/>
              </w:rPr>
            </w:pPr>
            <w:r w:rsidRPr="001957B8">
              <w:rPr>
                <w:rFonts w:ascii="Times New Roman" w:hAnsi="Times New Roman" w:cs="Times New Roman"/>
                <w:b/>
                <w:bCs/>
                <w:color w:val="000000"/>
                <w:sz w:val="14"/>
                <w:szCs w:val="14"/>
                <w:lang w:eastAsia="sk-SK"/>
              </w:rPr>
              <w:t>2020 N</w:t>
            </w:r>
          </w:p>
        </w:tc>
      </w:tr>
      <w:tr w:rsidR="007D13F3" w:rsidRPr="001957B8" w:rsidTr="00465CAC">
        <w:trPr>
          <w:trHeight w:val="300"/>
        </w:trPr>
        <w:tc>
          <w:tcPr>
            <w:tcW w:w="1252"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7D13F3" w:rsidRPr="001957B8" w:rsidRDefault="007D13F3" w:rsidP="00465CAC">
            <w:pPr>
              <w:rPr>
                <w:rFonts w:ascii="Times New Roman" w:hAnsi="Times New Roman" w:cs="Times New Roman"/>
                <w:b/>
                <w:color w:val="000000"/>
                <w:sz w:val="14"/>
                <w:szCs w:val="14"/>
                <w:lang w:eastAsia="sk-SK"/>
              </w:rPr>
            </w:pPr>
            <w:r w:rsidRPr="001957B8">
              <w:rPr>
                <w:rFonts w:ascii="Times New Roman" w:hAnsi="Times New Roman" w:cs="Times New Roman"/>
                <w:b/>
                <w:color w:val="000000"/>
                <w:sz w:val="14"/>
                <w:szCs w:val="14"/>
                <w:lang w:eastAsia="sk-SK"/>
              </w:rPr>
              <w:t xml:space="preserve">NDS a SSC opravy a údržba spolu </w:t>
            </w:r>
          </w:p>
        </w:tc>
        <w:tc>
          <w:tcPr>
            <w:tcW w:w="550"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1957B8" w:rsidRDefault="007D13F3" w:rsidP="00465CAC">
            <w:pPr>
              <w:jc w:val="right"/>
              <w:rPr>
                <w:rFonts w:ascii="Times New Roman" w:hAnsi="Times New Roman" w:cs="Times New Roman"/>
                <w:b/>
                <w:color w:val="000000"/>
                <w:sz w:val="14"/>
                <w:szCs w:val="14"/>
                <w:lang w:eastAsia="sk-SK"/>
              </w:rPr>
            </w:pPr>
            <w:r w:rsidRPr="001957B8">
              <w:rPr>
                <w:rFonts w:ascii="Times New Roman" w:hAnsi="Times New Roman" w:cs="Times New Roman"/>
                <w:b/>
                <w:color w:val="000000"/>
                <w:sz w:val="14"/>
                <w:szCs w:val="14"/>
                <w:lang w:eastAsia="sk-SK"/>
              </w:rPr>
              <w:t>65 544 236</w:t>
            </w:r>
          </w:p>
        </w:tc>
        <w:tc>
          <w:tcPr>
            <w:tcW w:w="527"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1957B8" w:rsidRDefault="007D13F3" w:rsidP="00465CAC">
            <w:pPr>
              <w:jc w:val="right"/>
              <w:rPr>
                <w:rFonts w:ascii="Times New Roman" w:hAnsi="Times New Roman" w:cs="Times New Roman"/>
                <w:b/>
                <w:color w:val="000000"/>
                <w:sz w:val="14"/>
                <w:szCs w:val="14"/>
                <w:lang w:eastAsia="sk-SK"/>
              </w:rPr>
            </w:pPr>
            <w:r w:rsidRPr="001957B8">
              <w:rPr>
                <w:rFonts w:ascii="Times New Roman" w:hAnsi="Times New Roman" w:cs="Times New Roman"/>
                <w:b/>
                <w:color w:val="000000"/>
                <w:sz w:val="14"/>
                <w:szCs w:val="14"/>
                <w:lang w:eastAsia="sk-SK"/>
              </w:rPr>
              <w:t>69 787 543</w:t>
            </w:r>
          </w:p>
        </w:tc>
        <w:tc>
          <w:tcPr>
            <w:tcW w:w="527"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1957B8" w:rsidRDefault="007D13F3" w:rsidP="00465CAC">
            <w:pPr>
              <w:jc w:val="right"/>
              <w:rPr>
                <w:rFonts w:ascii="Times New Roman" w:hAnsi="Times New Roman" w:cs="Times New Roman"/>
                <w:b/>
                <w:color w:val="000000"/>
                <w:sz w:val="14"/>
                <w:szCs w:val="14"/>
                <w:lang w:eastAsia="sk-SK"/>
              </w:rPr>
            </w:pPr>
            <w:r w:rsidRPr="001957B8">
              <w:rPr>
                <w:rFonts w:ascii="Times New Roman" w:hAnsi="Times New Roman" w:cs="Times New Roman"/>
                <w:b/>
                <w:color w:val="000000"/>
                <w:sz w:val="14"/>
                <w:szCs w:val="14"/>
                <w:lang w:eastAsia="sk-SK"/>
              </w:rPr>
              <w:t>64 989 614</w:t>
            </w:r>
          </w:p>
        </w:tc>
        <w:tc>
          <w:tcPr>
            <w:tcW w:w="527"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1957B8" w:rsidRDefault="007D13F3" w:rsidP="00465CAC">
            <w:pPr>
              <w:jc w:val="right"/>
              <w:rPr>
                <w:rFonts w:ascii="Times New Roman" w:hAnsi="Times New Roman" w:cs="Times New Roman"/>
                <w:b/>
                <w:color w:val="000000"/>
                <w:sz w:val="14"/>
                <w:szCs w:val="14"/>
                <w:lang w:eastAsia="sk-SK"/>
              </w:rPr>
            </w:pPr>
            <w:r w:rsidRPr="001957B8">
              <w:rPr>
                <w:rFonts w:ascii="Times New Roman" w:hAnsi="Times New Roman" w:cs="Times New Roman"/>
                <w:b/>
                <w:color w:val="000000"/>
                <w:sz w:val="14"/>
                <w:szCs w:val="14"/>
                <w:lang w:eastAsia="sk-SK"/>
              </w:rPr>
              <w:t>65 250 629</w:t>
            </w:r>
          </w:p>
        </w:tc>
        <w:tc>
          <w:tcPr>
            <w:tcW w:w="573"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1957B8" w:rsidRDefault="007D13F3" w:rsidP="00465CAC">
            <w:pPr>
              <w:jc w:val="right"/>
              <w:rPr>
                <w:rFonts w:ascii="Times New Roman" w:hAnsi="Times New Roman" w:cs="Times New Roman"/>
                <w:b/>
                <w:color w:val="000000"/>
                <w:sz w:val="14"/>
                <w:szCs w:val="14"/>
                <w:lang w:eastAsia="sk-SK"/>
              </w:rPr>
            </w:pPr>
            <w:r w:rsidRPr="001957B8">
              <w:rPr>
                <w:rFonts w:ascii="Times New Roman" w:hAnsi="Times New Roman" w:cs="Times New Roman"/>
                <w:b/>
                <w:color w:val="000000"/>
                <w:sz w:val="14"/>
                <w:szCs w:val="14"/>
                <w:lang w:eastAsia="sk-SK"/>
              </w:rPr>
              <w:t>64 101 580</w:t>
            </w:r>
          </w:p>
        </w:tc>
        <w:tc>
          <w:tcPr>
            <w:tcW w:w="527"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1957B8" w:rsidRDefault="007D13F3" w:rsidP="00465CAC">
            <w:pPr>
              <w:jc w:val="right"/>
              <w:rPr>
                <w:rFonts w:ascii="Times New Roman" w:hAnsi="Times New Roman" w:cs="Times New Roman"/>
                <w:b/>
                <w:color w:val="000000"/>
                <w:sz w:val="14"/>
                <w:szCs w:val="14"/>
                <w:lang w:eastAsia="sk-SK"/>
              </w:rPr>
            </w:pPr>
            <w:r w:rsidRPr="001957B8">
              <w:rPr>
                <w:rFonts w:ascii="Times New Roman" w:hAnsi="Times New Roman" w:cs="Times New Roman"/>
                <w:b/>
                <w:color w:val="000000"/>
                <w:sz w:val="14"/>
                <w:szCs w:val="14"/>
                <w:lang w:eastAsia="sk-SK"/>
              </w:rPr>
              <w:t>64 101 580</w:t>
            </w:r>
          </w:p>
        </w:tc>
        <w:tc>
          <w:tcPr>
            <w:tcW w:w="519"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1957B8" w:rsidRDefault="007D13F3" w:rsidP="00465CAC">
            <w:pPr>
              <w:jc w:val="right"/>
              <w:rPr>
                <w:rFonts w:ascii="Times New Roman" w:hAnsi="Times New Roman" w:cs="Times New Roman"/>
                <w:b/>
                <w:color w:val="000000"/>
                <w:sz w:val="14"/>
                <w:szCs w:val="14"/>
                <w:lang w:eastAsia="sk-SK"/>
              </w:rPr>
            </w:pPr>
            <w:r w:rsidRPr="001957B8">
              <w:rPr>
                <w:rFonts w:ascii="Times New Roman" w:hAnsi="Times New Roman" w:cs="Times New Roman"/>
                <w:b/>
                <w:color w:val="000000"/>
                <w:sz w:val="14"/>
                <w:szCs w:val="14"/>
                <w:lang w:eastAsia="sk-SK"/>
              </w:rPr>
              <w:t>64 101 580</w:t>
            </w:r>
          </w:p>
        </w:tc>
      </w:tr>
      <w:tr w:rsidR="007D13F3" w:rsidRPr="001957B8" w:rsidTr="00465CAC">
        <w:trPr>
          <w:trHeight w:val="300"/>
        </w:trPr>
        <w:tc>
          <w:tcPr>
            <w:tcW w:w="1252" w:type="pct"/>
            <w:tcBorders>
              <w:top w:val="nil"/>
              <w:left w:val="single" w:sz="4" w:space="0" w:color="auto"/>
              <w:bottom w:val="single" w:sz="4" w:space="0" w:color="auto"/>
              <w:right w:val="single" w:sz="4" w:space="0" w:color="auto"/>
            </w:tcBorders>
            <w:shd w:val="clear" w:color="auto" w:fill="auto"/>
            <w:noWrap/>
            <w:vAlign w:val="bottom"/>
            <w:hideMark/>
          </w:tcPr>
          <w:p w:rsidR="007D13F3" w:rsidRPr="001957B8" w:rsidRDefault="007D13F3" w:rsidP="00465CAC">
            <w:pPr>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NDS - opravy a údržba zo ŠR</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18 218 490</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28 857 050</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16 054 999</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16 054 999</w:t>
            </w:r>
          </w:p>
        </w:tc>
        <w:tc>
          <w:tcPr>
            <w:tcW w:w="573" w:type="pct"/>
            <w:tcBorders>
              <w:top w:val="nil"/>
              <w:left w:val="nil"/>
              <w:bottom w:val="single" w:sz="4" w:space="0" w:color="auto"/>
              <w:right w:val="single" w:sz="4" w:space="0" w:color="auto"/>
            </w:tcBorders>
            <w:shd w:val="clear" w:color="auto" w:fill="auto"/>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16 000 000</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16 000 000</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16 000 000</w:t>
            </w:r>
          </w:p>
        </w:tc>
      </w:tr>
      <w:tr w:rsidR="007D13F3" w:rsidRPr="001957B8" w:rsidTr="00465CAC">
        <w:trPr>
          <w:trHeight w:val="300"/>
        </w:trPr>
        <w:tc>
          <w:tcPr>
            <w:tcW w:w="1252" w:type="pct"/>
            <w:tcBorders>
              <w:top w:val="nil"/>
              <w:left w:val="single" w:sz="4" w:space="0" w:color="auto"/>
              <w:bottom w:val="single" w:sz="4" w:space="0" w:color="auto"/>
              <w:right w:val="single" w:sz="4" w:space="0" w:color="auto"/>
            </w:tcBorders>
            <w:shd w:val="clear" w:color="auto" w:fill="auto"/>
            <w:noWrap/>
            <w:vAlign w:val="bottom"/>
            <w:hideMark/>
          </w:tcPr>
          <w:p w:rsidR="007D13F3" w:rsidRPr="001957B8" w:rsidRDefault="007D13F3" w:rsidP="00465CAC">
            <w:pPr>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SSC - správa a prevádzka</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8 466 452</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8 401 260</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8 405 382</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8 666 397</w:t>
            </w:r>
          </w:p>
        </w:tc>
        <w:tc>
          <w:tcPr>
            <w:tcW w:w="573" w:type="pct"/>
            <w:tcBorders>
              <w:top w:val="nil"/>
              <w:left w:val="nil"/>
              <w:bottom w:val="single" w:sz="4" w:space="0" w:color="auto"/>
              <w:right w:val="single" w:sz="4" w:space="0" w:color="auto"/>
            </w:tcBorders>
            <w:shd w:val="clear" w:color="auto" w:fill="auto"/>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7 572 347</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7 572 347</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7 572 347</w:t>
            </w:r>
          </w:p>
        </w:tc>
      </w:tr>
      <w:tr w:rsidR="007D13F3" w:rsidRPr="001957B8" w:rsidTr="00465CAC">
        <w:trPr>
          <w:trHeight w:val="300"/>
        </w:trPr>
        <w:tc>
          <w:tcPr>
            <w:tcW w:w="1252" w:type="pct"/>
            <w:tcBorders>
              <w:top w:val="nil"/>
              <w:left w:val="single" w:sz="4" w:space="0" w:color="auto"/>
              <w:bottom w:val="single" w:sz="4" w:space="0" w:color="auto"/>
              <w:right w:val="single" w:sz="4" w:space="0" w:color="auto"/>
            </w:tcBorders>
            <w:shd w:val="clear" w:color="auto" w:fill="auto"/>
            <w:noWrap/>
            <w:vAlign w:val="bottom"/>
            <w:hideMark/>
          </w:tcPr>
          <w:p w:rsidR="007D13F3" w:rsidRPr="001957B8" w:rsidRDefault="007D13F3" w:rsidP="00465CAC">
            <w:pPr>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SSC - údržba a opravy ciest I. triedy</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38 859 294</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32 529 233</w:t>
            </w:r>
          </w:p>
        </w:tc>
        <w:tc>
          <w:tcPr>
            <w:tcW w:w="527" w:type="pct"/>
            <w:tcBorders>
              <w:top w:val="nil"/>
              <w:left w:val="nil"/>
              <w:bottom w:val="single" w:sz="4" w:space="0" w:color="auto"/>
              <w:right w:val="single" w:sz="4" w:space="0" w:color="auto"/>
            </w:tcBorders>
            <w:shd w:val="clear" w:color="000000" w:fill="FFFFFF"/>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40 529 233</w:t>
            </w:r>
          </w:p>
        </w:tc>
        <w:tc>
          <w:tcPr>
            <w:tcW w:w="527" w:type="pct"/>
            <w:tcBorders>
              <w:top w:val="nil"/>
              <w:left w:val="nil"/>
              <w:bottom w:val="single" w:sz="4" w:space="0" w:color="auto"/>
              <w:right w:val="single" w:sz="4" w:space="0" w:color="auto"/>
            </w:tcBorders>
            <w:shd w:val="clear" w:color="000000" w:fill="FFFFFF"/>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40 529 233</w:t>
            </w:r>
          </w:p>
        </w:tc>
        <w:tc>
          <w:tcPr>
            <w:tcW w:w="573" w:type="pct"/>
            <w:tcBorders>
              <w:top w:val="nil"/>
              <w:left w:val="nil"/>
              <w:bottom w:val="single" w:sz="4" w:space="0" w:color="auto"/>
              <w:right w:val="single" w:sz="4" w:space="0" w:color="auto"/>
            </w:tcBorders>
            <w:shd w:val="clear" w:color="000000" w:fill="FFFFFF"/>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40 529 233</w:t>
            </w:r>
          </w:p>
        </w:tc>
        <w:tc>
          <w:tcPr>
            <w:tcW w:w="527" w:type="pct"/>
            <w:tcBorders>
              <w:top w:val="nil"/>
              <w:left w:val="nil"/>
              <w:bottom w:val="single" w:sz="4" w:space="0" w:color="auto"/>
              <w:right w:val="single" w:sz="4" w:space="0" w:color="auto"/>
            </w:tcBorders>
            <w:shd w:val="clear" w:color="000000" w:fill="FFFFFF"/>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40 529 233</w:t>
            </w:r>
          </w:p>
        </w:tc>
        <w:tc>
          <w:tcPr>
            <w:tcW w:w="519" w:type="pct"/>
            <w:tcBorders>
              <w:top w:val="nil"/>
              <w:left w:val="nil"/>
              <w:bottom w:val="single" w:sz="4" w:space="0" w:color="auto"/>
              <w:right w:val="single" w:sz="4" w:space="0" w:color="auto"/>
            </w:tcBorders>
            <w:shd w:val="clear" w:color="000000" w:fill="FFFFFF"/>
            <w:noWrap/>
            <w:vAlign w:val="bottom"/>
            <w:hideMark/>
          </w:tcPr>
          <w:p w:rsidR="007D13F3" w:rsidRPr="001957B8" w:rsidRDefault="007D13F3" w:rsidP="00465CAC">
            <w:pPr>
              <w:jc w:val="right"/>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40 529 233</w:t>
            </w:r>
          </w:p>
        </w:tc>
      </w:tr>
    </w:tbl>
    <w:p w:rsidR="007D13F3" w:rsidRDefault="007D13F3" w:rsidP="007D13F3">
      <w:pPr>
        <w:jc w:val="both"/>
        <w:rPr>
          <w:rFonts w:ascii="Times New Roman" w:hAnsi="Times New Roman" w:cs="Times New Roman"/>
          <w:highlight w:val="yellow"/>
        </w:rPr>
      </w:pPr>
    </w:p>
    <w:p w:rsidR="007D13F3" w:rsidRPr="000917AF" w:rsidRDefault="007D13F3" w:rsidP="007D13F3">
      <w:pPr>
        <w:jc w:val="both"/>
        <w:rPr>
          <w:rFonts w:ascii="Times New Roman" w:hAnsi="Times New Roman" w:cs="Times New Roman"/>
          <w:color w:val="000000"/>
          <w:lang w:eastAsia="en-US"/>
        </w:rPr>
      </w:pPr>
      <w:r>
        <w:rPr>
          <w:rFonts w:ascii="Times New Roman" w:hAnsi="Times New Roman" w:cs="Times New Roman"/>
        </w:rPr>
        <w:tab/>
      </w:r>
      <w:r w:rsidRPr="00DC4C1E">
        <w:rPr>
          <w:rFonts w:ascii="Times New Roman" w:hAnsi="Times New Roman" w:cs="Times New Roman"/>
        </w:rPr>
        <w:t>Na </w:t>
      </w:r>
      <w:r>
        <w:rPr>
          <w:rFonts w:ascii="Times New Roman" w:hAnsi="Times New Roman" w:cs="Times New Roman"/>
        </w:rPr>
        <w:t xml:space="preserve">správu, </w:t>
      </w:r>
      <w:r w:rsidRPr="00DC4C1E">
        <w:rPr>
          <w:rFonts w:ascii="Times New Roman" w:hAnsi="Times New Roman" w:cs="Times New Roman"/>
        </w:rPr>
        <w:t>údržbu a opravy ciest a diaľnic sa rozpočtujú výdavky</w:t>
      </w:r>
      <w:r>
        <w:rPr>
          <w:rFonts w:ascii="Times New Roman" w:hAnsi="Times New Roman" w:cs="Times New Roman"/>
        </w:rPr>
        <w:t xml:space="preserve"> zo štátneho rozpočtu vo výške </w:t>
      </w:r>
      <w:r w:rsidRPr="00DC4C1E">
        <w:rPr>
          <w:rFonts w:ascii="Times New Roman" w:hAnsi="Times New Roman" w:cs="Times New Roman"/>
        </w:rPr>
        <w:t>6</w:t>
      </w:r>
      <w:r>
        <w:rPr>
          <w:rFonts w:ascii="Times New Roman" w:hAnsi="Times New Roman" w:cs="Times New Roman"/>
        </w:rPr>
        <w:t>4</w:t>
      </w:r>
      <w:r w:rsidRPr="00DC4C1E">
        <w:rPr>
          <w:rFonts w:ascii="Times New Roman" w:hAnsi="Times New Roman" w:cs="Times New Roman"/>
        </w:rPr>
        <w:t>,</w:t>
      </w:r>
      <w:r>
        <w:rPr>
          <w:rFonts w:ascii="Times New Roman" w:hAnsi="Times New Roman" w:cs="Times New Roman"/>
        </w:rPr>
        <w:t>1</w:t>
      </w:r>
      <w:r w:rsidRPr="00DC4C1E">
        <w:rPr>
          <w:rFonts w:ascii="Times New Roman" w:hAnsi="Times New Roman" w:cs="Times New Roman"/>
        </w:rPr>
        <w:t xml:space="preserve">  mil. eur,</w:t>
      </w:r>
      <w:r>
        <w:rPr>
          <w:rFonts w:ascii="Times New Roman" w:hAnsi="Times New Roman" w:cs="Times New Roman"/>
        </w:rPr>
        <w:t xml:space="preserve"> </w:t>
      </w:r>
      <w:r w:rsidRPr="00DC4C1E">
        <w:rPr>
          <w:rFonts w:ascii="Times New Roman" w:hAnsi="Times New Roman" w:cs="Times New Roman"/>
        </w:rPr>
        <w:t>čo v porovnaní so schváleným rozpočtom roku 201</w:t>
      </w:r>
      <w:r>
        <w:rPr>
          <w:rFonts w:ascii="Times New Roman" w:hAnsi="Times New Roman" w:cs="Times New Roman"/>
        </w:rPr>
        <w:t>7</w:t>
      </w:r>
      <w:r w:rsidRPr="00DC4C1E">
        <w:rPr>
          <w:rFonts w:ascii="Times New Roman" w:hAnsi="Times New Roman" w:cs="Times New Roman"/>
        </w:rPr>
        <w:t xml:space="preserve"> predstavuje pokles o </w:t>
      </w:r>
      <w:r>
        <w:rPr>
          <w:rFonts w:ascii="Times New Roman" w:hAnsi="Times New Roman" w:cs="Times New Roman"/>
        </w:rPr>
        <w:t>888</w:t>
      </w:r>
      <w:r w:rsidRPr="00DC4C1E">
        <w:rPr>
          <w:rFonts w:ascii="Times New Roman" w:hAnsi="Times New Roman" w:cs="Times New Roman"/>
        </w:rPr>
        <w:t xml:space="preserve"> </w:t>
      </w:r>
      <w:r>
        <w:rPr>
          <w:rFonts w:ascii="Times New Roman" w:hAnsi="Times New Roman" w:cs="Times New Roman"/>
        </w:rPr>
        <w:t>tis</w:t>
      </w:r>
      <w:r w:rsidRPr="00DC4C1E">
        <w:rPr>
          <w:rFonts w:ascii="Times New Roman" w:hAnsi="Times New Roman" w:cs="Times New Roman"/>
        </w:rPr>
        <w:t>. eur, t. j. o </w:t>
      </w:r>
      <w:r>
        <w:rPr>
          <w:rFonts w:ascii="Times New Roman" w:hAnsi="Times New Roman" w:cs="Times New Roman"/>
        </w:rPr>
        <w:t>1</w:t>
      </w:r>
      <w:r w:rsidRPr="00DC4C1E">
        <w:rPr>
          <w:rFonts w:ascii="Times New Roman" w:hAnsi="Times New Roman" w:cs="Times New Roman"/>
        </w:rPr>
        <w:t>,</w:t>
      </w:r>
      <w:r>
        <w:rPr>
          <w:rFonts w:ascii="Times New Roman" w:hAnsi="Times New Roman" w:cs="Times New Roman"/>
        </w:rPr>
        <w:t>3</w:t>
      </w:r>
      <w:r w:rsidRPr="00DC4C1E">
        <w:rPr>
          <w:rFonts w:ascii="Times New Roman" w:hAnsi="Times New Roman" w:cs="Times New Roman"/>
        </w:rPr>
        <w:t>7 %</w:t>
      </w:r>
      <w:r>
        <w:rPr>
          <w:rFonts w:ascii="Times New Roman" w:hAnsi="Times New Roman" w:cs="Times New Roman"/>
        </w:rPr>
        <w:t>. Dôvodom tohto</w:t>
      </w:r>
      <w:r w:rsidRPr="00DC4C1E">
        <w:rPr>
          <w:rFonts w:ascii="Times New Roman" w:hAnsi="Times New Roman" w:cs="Times New Roman"/>
        </w:rPr>
        <w:t xml:space="preserve"> poklesu </w:t>
      </w:r>
      <w:r>
        <w:rPr>
          <w:rFonts w:ascii="Times New Roman" w:hAnsi="Times New Roman" w:cs="Times New Roman"/>
        </w:rPr>
        <w:t>je zníženie vý</w:t>
      </w:r>
      <w:r w:rsidRPr="00DC4C1E">
        <w:rPr>
          <w:rFonts w:ascii="Times New Roman" w:hAnsi="Times New Roman" w:cs="Times New Roman"/>
        </w:rPr>
        <w:t>davkov</w:t>
      </w:r>
      <w:r>
        <w:rPr>
          <w:rFonts w:ascii="Times New Roman" w:hAnsi="Times New Roman" w:cs="Times New Roman"/>
        </w:rPr>
        <w:t xml:space="preserve"> na správu a prevádzku SSC</w:t>
      </w:r>
      <w:r>
        <w:rPr>
          <w:rFonts w:ascii="Times New Roman" w:hAnsi="Times New Roman" w:cs="Times New Roman"/>
          <w:color w:val="000000"/>
          <w:lang w:eastAsia="en-US"/>
        </w:rPr>
        <w:t>.</w:t>
      </w:r>
    </w:p>
    <w:p w:rsidR="007D13F3" w:rsidRDefault="007D13F3" w:rsidP="007D13F3">
      <w:pPr>
        <w:spacing w:after="160" w:line="259" w:lineRule="auto"/>
        <w:rPr>
          <w:rFonts w:ascii="Times New Roman" w:hAnsi="Times New Roman" w:cs="Times New Roman"/>
          <w:highlight w:val="yellow"/>
        </w:rPr>
      </w:pPr>
      <w:r>
        <w:rPr>
          <w:rFonts w:ascii="Times New Roman" w:hAnsi="Times New Roman" w:cs="Times New Roman"/>
          <w:highlight w:val="yellow"/>
        </w:rPr>
        <w:br w:type="page"/>
      </w:r>
    </w:p>
    <w:p w:rsidR="007D13F3" w:rsidRPr="00DC4C1E" w:rsidRDefault="007D13F3" w:rsidP="007D13F3">
      <w:pPr>
        <w:jc w:val="both"/>
        <w:rPr>
          <w:rFonts w:ascii="Times New Roman" w:hAnsi="Times New Roman" w:cs="Times New Roman"/>
          <w:i/>
          <w:u w:val="single"/>
        </w:rPr>
      </w:pPr>
      <w:r w:rsidRPr="00DC4C1E">
        <w:rPr>
          <w:rFonts w:ascii="Times New Roman" w:hAnsi="Times New Roman" w:cs="Times New Roman"/>
          <w:i/>
          <w:u w:val="single"/>
        </w:rPr>
        <w:lastRenderedPageBreak/>
        <w:t>Zmluva o prevádzkovaní železničnej infraštruktúry so ŽSR a zmluvy o dopravných službách vo verejnom záujme pre železničnú osobnú dopravu</w:t>
      </w:r>
    </w:p>
    <w:p w:rsidR="007D13F3" w:rsidRPr="00775C7E" w:rsidRDefault="007D13F3" w:rsidP="007D13F3">
      <w:pPr>
        <w:jc w:val="both"/>
        <w:rPr>
          <w:rFonts w:ascii="Times New Roman" w:hAnsi="Times New Roman" w:cs="Times New Roman"/>
          <w:highlight w:val="yellow"/>
        </w:rPr>
      </w:pPr>
    </w:p>
    <w:tbl>
      <w:tblPr>
        <w:tblW w:w="9085" w:type="dxa"/>
        <w:tblInd w:w="57" w:type="dxa"/>
        <w:tblCellMar>
          <w:left w:w="70" w:type="dxa"/>
          <w:right w:w="70" w:type="dxa"/>
        </w:tblCellMar>
        <w:tblLook w:val="04A0" w:firstRow="1" w:lastRow="0" w:firstColumn="1" w:lastColumn="0" w:noHBand="0" w:noVBand="1"/>
      </w:tblPr>
      <w:tblGrid>
        <w:gridCol w:w="2269"/>
        <w:gridCol w:w="973"/>
        <w:gridCol w:w="973"/>
        <w:gridCol w:w="974"/>
        <w:gridCol w:w="974"/>
        <w:gridCol w:w="974"/>
        <w:gridCol w:w="974"/>
        <w:gridCol w:w="974"/>
      </w:tblGrid>
      <w:tr w:rsidR="007D13F3" w:rsidRPr="00DC4C1E" w:rsidTr="00465CAC">
        <w:trPr>
          <w:trHeight w:hRule="exact" w:val="255"/>
        </w:trPr>
        <w:tc>
          <w:tcPr>
            <w:tcW w:w="2269" w:type="dxa"/>
            <w:tcBorders>
              <w:top w:val="single" w:sz="4" w:space="0" w:color="auto"/>
              <w:left w:val="single" w:sz="4" w:space="0" w:color="auto"/>
              <w:bottom w:val="single" w:sz="4" w:space="0" w:color="auto"/>
              <w:right w:val="single" w:sz="4" w:space="0" w:color="auto"/>
            </w:tcBorders>
            <w:shd w:val="pct35" w:color="auto" w:fill="FFFFFF"/>
            <w:noWrap/>
            <w:vAlign w:val="center"/>
            <w:hideMark/>
          </w:tcPr>
          <w:p w:rsidR="007D13F3" w:rsidRPr="00DC4C1E" w:rsidRDefault="007D13F3" w:rsidP="00465CAC">
            <w:pP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v eurách</w:t>
            </w:r>
          </w:p>
        </w:tc>
        <w:tc>
          <w:tcPr>
            <w:tcW w:w="973" w:type="dxa"/>
            <w:tcBorders>
              <w:top w:val="single" w:sz="4" w:space="0" w:color="auto"/>
              <w:left w:val="nil"/>
              <w:bottom w:val="single" w:sz="4" w:space="0" w:color="auto"/>
              <w:right w:val="single" w:sz="4" w:space="0" w:color="auto"/>
            </w:tcBorders>
            <w:shd w:val="pct35" w:color="auto" w:fill="FFFFFF"/>
            <w:noWrap/>
            <w:vAlign w:val="center"/>
            <w:hideMark/>
          </w:tcPr>
          <w:p w:rsidR="007D13F3" w:rsidRPr="00DC4C1E" w:rsidRDefault="007D13F3" w:rsidP="00465CAC">
            <w:pPr>
              <w:jc w:val="cente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DC4C1E">
              <w:rPr>
                <w:rFonts w:ascii="Times New Roman" w:hAnsi="Times New Roman" w:cs="Times New Roman"/>
                <w:b/>
                <w:bCs/>
                <w:color w:val="000000"/>
                <w:sz w:val="14"/>
                <w:szCs w:val="14"/>
              </w:rPr>
              <w:t xml:space="preserve"> S</w:t>
            </w:r>
          </w:p>
        </w:tc>
        <w:tc>
          <w:tcPr>
            <w:tcW w:w="973" w:type="dxa"/>
            <w:tcBorders>
              <w:top w:val="single" w:sz="4" w:space="0" w:color="auto"/>
              <w:left w:val="nil"/>
              <w:bottom w:val="single" w:sz="4" w:space="0" w:color="auto"/>
              <w:right w:val="single" w:sz="4" w:space="0" w:color="auto"/>
            </w:tcBorders>
            <w:shd w:val="pct35" w:color="auto" w:fill="FFFFFF"/>
            <w:noWrap/>
            <w:vAlign w:val="center"/>
            <w:hideMark/>
          </w:tcPr>
          <w:p w:rsidR="007D13F3" w:rsidRPr="00DC4C1E" w:rsidRDefault="007D13F3" w:rsidP="00465CAC">
            <w:pPr>
              <w:jc w:val="cente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DC4C1E">
              <w:rPr>
                <w:rFonts w:ascii="Times New Roman" w:hAnsi="Times New Roman" w:cs="Times New Roman"/>
                <w:b/>
                <w:bCs/>
                <w:color w:val="000000"/>
                <w:sz w:val="14"/>
                <w:szCs w:val="14"/>
              </w:rPr>
              <w:t xml:space="preserve"> S</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7D13F3" w:rsidRPr="00DC4C1E" w:rsidRDefault="007D13F3" w:rsidP="00465CAC">
            <w:pPr>
              <w:jc w:val="cente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DC4C1E">
              <w:rPr>
                <w:rFonts w:ascii="Times New Roman" w:hAnsi="Times New Roman" w:cs="Times New Roman"/>
                <w:b/>
                <w:bCs/>
                <w:color w:val="000000"/>
                <w:sz w:val="14"/>
                <w:szCs w:val="14"/>
              </w:rPr>
              <w:t xml:space="preserve">  R</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7D13F3" w:rsidRPr="00DC4C1E" w:rsidRDefault="007D13F3" w:rsidP="00465CAC">
            <w:pPr>
              <w:jc w:val="cente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DC4C1E">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7D13F3" w:rsidRPr="00DC4C1E" w:rsidRDefault="007D13F3" w:rsidP="00465CAC">
            <w:pPr>
              <w:jc w:val="cente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201</w:t>
            </w:r>
            <w:r>
              <w:rPr>
                <w:rFonts w:ascii="Times New Roman" w:hAnsi="Times New Roman" w:cs="Times New Roman"/>
                <w:b/>
                <w:bCs/>
                <w:color w:val="000000"/>
                <w:sz w:val="14"/>
                <w:szCs w:val="14"/>
              </w:rPr>
              <w:t xml:space="preserve">8 </w:t>
            </w:r>
            <w:r w:rsidRPr="00DC4C1E">
              <w:rPr>
                <w:rFonts w:ascii="Times New Roman" w:hAnsi="Times New Roman" w:cs="Times New Roman"/>
                <w:b/>
                <w:bCs/>
                <w:color w:val="000000"/>
                <w:sz w:val="14"/>
                <w:szCs w:val="14"/>
              </w:rPr>
              <w:t>N</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7D13F3" w:rsidRPr="00DC4C1E" w:rsidRDefault="007D13F3" w:rsidP="00465CAC">
            <w:pPr>
              <w:jc w:val="cente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DC4C1E">
              <w:rPr>
                <w:rFonts w:ascii="Times New Roman" w:hAnsi="Times New Roman" w:cs="Times New Roman"/>
                <w:b/>
                <w:bCs/>
                <w:color w:val="000000"/>
                <w:sz w:val="14"/>
                <w:szCs w:val="14"/>
              </w:rPr>
              <w:t xml:space="preserve"> N</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7D13F3" w:rsidRPr="00DC4C1E" w:rsidRDefault="007D13F3" w:rsidP="00465CAC">
            <w:pPr>
              <w:jc w:val="cente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20</w:t>
            </w:r>
            <w:r>
              <w:rPr>
                <w:rFonts w:ascii="Times New Roman" w:hAnsi="Times New Roman" w:cs="Times New Roman"/>
                <w:b/>
                <w:bCs/>
                <w:color w:val="000000"/>
                <w:sz w:val="14"/>
                <w:szCs w:val="14"/>
              </w:rPr>
              <w:t>20</w:t>
            </w:r>
            <w:r w:rsidRPr="00DC4C1E">
              <w:rPr>
                <w:rFonts w:ascii="Times New Roman" w:hAnsi="Times New Roman" w:cs="Times New Roman"/>
                <w:b/>
                <w:bCs/>
                <w:color w:val="000000"/>
                <w:sz w:val="14"/>
                <w:szCs w:val="14"/>
              </w:rPr>
              <w:t xml:space="preserve"> N</w:t>
            </w:r>
          </w:p>
        </w:tc>
      </w:tr>
      <w:tr w:rsidR="007D13F3" w:rsidRPr="00DC4C1E" w:rsidTr="00465CAC">
        <w:trPr>
          <w:trHeight w:hRule="exact" w:val="255"/>
        </w:trPr>
        <w:tc>
          <w:tcPr>
            <w:tcW w:w="2269" w:type="dxa"/>
            <w:tcBorders>
              <w:top w:val="single" w:sz="4" w:space="0" w:color="auto"/>
              <w:left w:val="single" w:sz="4" w:space="0" w:color="auto"/>
              <w:bottom w:val="single" w:sz="4" w:space="0" w:color="auto"/>
              <w:right w:val="single" w:sz="4" w:space="0" w:color="auto"/>
            </w:tcBorders>
            <w:shd w:val="pct25" w:color="auto" w:fill="FFFFFF"/>
            <w:noWrap/>
            <w:vAlign w:val="bottom"/>
            <w:hideMark/>
          </w:tcPr>
          <w:p w:rsidR="007D13F3" w:rsidRPr="00F91183" w:rsidRDefault="007D13F3" w:rsidP="00465CAC">
            <w:pPr>
              <w:rPr>
                <w:rFonts w:ascii="Times New Roman" w:hAnsi="Times New Roman" w:cs="Times New Roman"/>
                <w:b/>
                <w:color w:val="000000"/>
                <w:sz w:val="14"/>
                <w:szCs w:val="14"/>
              </w:rPr>
            </w:pPr>
            <w:r w:rsidRPr="00F91183">
              <w:rPr>
                <w:rFonts w:ascii="Times New Roman" w:hAnsi="Times New Roman" w:cs="Times New Roman"/>
                <w:b/>
                <w:color w:val="000000"/>
                <w:sz w:val="14"/>
                <w:szCs w:val="14"/>
              </w:rPr>
              <w:t>Spolu</w:t>
            </w:r>
          </w:p>
        </w:tc>
        <w:tc>
          <w:tcPr>
            <w:tcW w:w="973" w:type="dxa"/>
            <w:tcBorders>
              <w:top w:val="single" w:sz="4" w:space="0" w:color="auto"/>
              <w:left w:val="nil"/>
              <w:bottom w:val="single" w:sz="4" w:space="0" w:color="auto"/>
              <w:right w:val="single" w:sz="4" w:space="0" w:color="auto"/>
            </w:tcBorders>
            <w:shd w:val="pct25" w:color="auto" w:fill="FFFFFF"/>
            <w:noWrap/>
            <w:vAlign w:val="bottom"/>
            <w:hideMark/>
          </w:tcPr>
          <w:p w:rsidR="007D13F3" w:rsidRPr="00F91183" w:rsidRDefault="007D13F3" w:rsidP="00465CAC">
            <w:pPr>
              <w:jc w:val="right"/>
              <w:rPr>
                <w:rFonts w:ascii="Times New Roman" w:hAnsi="Times New Roman" w:cs="Times New Roman"/>
                <w:b/>
                <w:color w:val="000000"/>
                <w:sz w:val="14"/>
                <w:szCs w:val="14"/>
              </w:rPr>
            </w:pPr>
            <w:r w:rsidRPr="00F91183">
              <w:rPr>
                <w:rFonts w:ascii="Times New Roman" w:hAnsi="Times New Roman" w:cs="Times New Roman"/>
                <w:b/>
                <w:color w:val="000000"/>
                <w:sz w:val="14"/>
                <w:szCs w:val="14"/>
              </w:rPr>
              <w:t>490 483 700</w:t>
            </w:r>
          </w:p>
        </w:tc>
        <w:tc>
          <w:tcPr>
            <w:tcW w:w="973" w:type="dxa"/>
            <w:tcBorders>
              <w:top w:val="single" w:sz="4" w:space="0" w:color="auto"/>
              <w:left w:val="nil"/>
              <w:bottom w:val="single" w:sz="4" w:space="0" w:color="auto"/>
              <w:right w:val="single" w:sz="4" w:space="0" w:color="auto"/>
            </w:tcBorders>
            <w:shd w:val="pct25" w:color="auto" w:fill="FFFFFF"/>
            <w:noWrap/>
            <w:vAlign w:val="bottom"/>
          </w:tcPr>
          <w:p w:rsidR="007D13F3" w:rsidRPr="00F91183" w:rsidRDefault="007D13F3" w:rsidP="00465CAC">
            <w:pPr>
              <w:jc w:val="right"/>
              <w:rPr>
                <w:rFonts w:ascii="Times New Roman" w:hAnsi="Times New Roman" w:cs="Times New Roman"/>
                <w:b/>
                <w:color w:val="000000"/>
                <w:sz w:val="14"/>
                <w:szCs w:val="14"/>
                <w:lang w:eastAsia="sk-SK"/>
              </w:rPr>
            </w:pPr>
            <w:r w:rsidRPr="00F91183">
              <w:rPr>
                <w:rFonts w:ascii="Times New Roman" w:hAnsi="Times New Roman" w:cs="Times New Roman"/>
                <w:b/>
                <w:color w:val="000000"/>
                <w:sz w:val="14"/>
                <w:szCs w:val="14"/>
              </w:rPr>
              <w:t>491 318 776</w:t>
            </w:r>
          </w:p>
        </w:tc>
        <w:tc>
          <w:tcPr>
            <w:tcW w:w="974" w:type="dxa"/>
            <w:tcBorders>
              <w:top w:val="single" w:sz="4" w:space="0" w:color="auto"/>
              <w:left w:val="nil"/>
              <w:bottom w:val="single" w:sz="4" w:space="0" w:color="auto"/>
              <w:right w:val="single" w:sz="4" w:space="0" w:color="auto"/>
            </w:tcBorders>
            <w:shd w:val="pct25" w:color="auto" w:fill="FFFFFF"/>
            <w:noWrap/>
            <w:vAlign w:val="bottom"/>
            <w:hideMark/>
          </w:tcPr>
          <w:p w:rsidR="007D13F3" w:rsidRPr="00F91183" w:rsidRDefault="007D13F3" w:rsidP="00465CAC">
            <w:pPr>
              <w:jc w:val="right"/>
              <w:rPr>
                <w:rFonts w:ascii="Times New Roman" w:hAnsi="Times New Roman" w:cs="Times New Roman"/>
                <w:b/>
                <w:color w:val="000000"/>
                <w:sz w:val="14"/>
                <w:szCs w:val="14"/>
              </w:rPr>
            </w:pPr>
            <w:r w:rsidRPr="00F91183">
              <w:rPr>
                <w:rFonts w:ascii="Times New Roman" w:hAnsi="Times New Roman" w:cs="Times New Roman"/>
                <w:b/>
                <w:color w:val="000000"/>
                <w:sz w:val="14"/>
                <w:szCs w:val="14"/>
              </w:rPr>
              <w:t>490 500 000</w:t>
            </w:r>
          </w:p>
        </w:tc>
        <w:tc>
          <w:tcPr>
            <w:tcW w:w="974" w:type="dxa"/>
            <w:tcBorders>
              <w:top w:val="single" w:sz="4" w:space="0" w:color="auto"/>
              <w:left w:val="nil"/>
              <w:bottom w:val="single" w:sz="4" w:space="0" w:color="auto"/>
              <w:right w:val="single" w:sz="4" w:space="0" w:color="auto"/>
            </w:tcBorders>
            <w:shd w:val="pct25" w:color="auto" w:fill="FFFFFF"/>
            <w:noWrap/>
            <w:vAlign w:val="bottom"/>
          </w:tcPr>
          <w:p w:rsidR="007D13F3" w:rsidRPr="00F91183" w:rsidRDefault="007D13F3" w:rsidP="00465CAC">
            <w:pPr>
              <w:jc w:val="right"/>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554 867 075</w:t>
            </w:r>
          </w:p>
        </w:tc>
        <w:tc>
          <w:tcPr>
            <w:tcW w:w="974" w:type="dxa"/>
            <w:tcBorders>
              <w:top w:val="single" w:sz="4" w:space="0" w:color="auto"/>
              <w:left w:val="nil"/>
              <w:bottom w:val="single" w:sz="4" w:space="0" w:color="auto"/>
              <w:right w:val="single" w:sz="4" w:space="0" w:color="auto"/>
            </w:tcBorders>
            <w:shd w:val="pct25" w:color="auto" w:fill="FFFFFF"/>
            <w:noWrap/>
            <w:vAlign w:val="bottom"/>
          </w:tcPr>
          <w:p w:rsidR="007D13F3" w:rsidRPr="00F91183" w:rsidRDefault="007D13F3" w:rsidP="00465CAC">
            <w:pPr>
              <w:jc w:val="right"/>
              <w:rPr>
                <w:rFonts w:ascii="Times New Roman" w:hAnsi="Times New Roman" w:cs="Times New Roman"/>
                <w:b/>
                <w:color w:val="000000"/>
                <w:sz w:val="14"/>
                <w:szCs w:val="14"/>
                <w:lang w:eastAsia="sk-SK"/>
              </w:rPr>
            </w:pPr>
            <w:r w:rsidRPr="00F91183">
              <w:rPr>
                <w:rFonts w:ascii="Times New Roman" w:hAnsi="Times New Roman" w:cs="Times New Roman"/>
                <w:b/>
                <w:color w:val="000000"/>
                <w:sz w:val="14"/>
                <w:szCs w:val="14"/>
              </w:rPr>
              <w:t>490 500 000</w:t>
            </w:r>
          </w:p>
        </w:tc>
        <w:tc>
          <w:tcPr>
            <w:tcW w:w="974" w:type="dxa"/>
            <w:tcBorders>
              <w:top w:val="single" w:sz="4" w:space="0" w:color="auto"/>
              <w:left w:val="nil"/>
              <w:bottom w:val="single" w:sz="4" w:space="0" w:color="auto"/>
              <w:right w:val="single" w:sz="4" w:space="0" w:color="auto"/>
            </w:tcBorders>
            <w:shd w:val="pct25" w:color="auto" w:fill="FFFFFF"/>
            <w:noWrap/>
            <w:vAlign w:val="bottom"/>
          </w:tcPr>
          <w:p w:rsidR="007D13F3" w:rsidRPr="00F91183" w:rsidRDefault="007D13F3" w:rsidP="00465CAC">
            <w:pPr>
              <w:jc w:val="right"/>
              <w:rPr>
                <w:rFonts w:ascii="Times New Roman" w:hAnsi="Times New Roman" w:cs="Times New Roman"/>
                <w:b/>
                <w:color w:val="000000"/>
                <w:sz w:val="14"/>
                <w:szCs w:val="14"/>
              </w:rPr>
            </w:pPr>
            <w:r w:rsidRPr="00F91183">
              <w:rPr>
                <w:rFonts w:ascii="Times New Roman" w:hAnsi="Times New Roman" w:cs="Times New Roman"/>
                <w:b/>
                <w:color w:val="000000"/>
                <w:sz w:val="14"/>
                <w:szCs w:val="14"/>
              </w:rPr>
              <w:t>490 500 000</w:t>
            </w:r>
          </w:p>
        </w:tc>
        <w:tc>
          <w:tcPr>
            <w:tcW w:w="974" w:type="dxa"/>
            <w:tcBorders>
              <w:top w:val="single" w:sz="4" w:space="0" w:color="auto"/>
              <w:left w:val="nil"/>
              <w:bottom w:val="single" w:sz="4" w:space="0" w:color="auto"/>
              <w:right w:val="single" w:sz="4" w:space="0" w:color="auto"/>
            </w:tcBorders>
            <w:shd w:val="pct25" w:color="auto" w:fill="FFFFFF"/>
            <w:noWrap/>
            <w:vAlign w:val="bottom"/>
          </w:tcPr>
          <w:p w:rsidR="007D13F3" w:rsidRPr="00F91183" w:rsidRDefault="007D13F3" w:rsidP="00465CAC">
            <w:pPr>
              <w:jc w:val="right"/>
              <w:rPr>
                <w:rFonts w:ascii="Times New Roman" w:hAnsi="Times New Roman" w:cs="Times New Roman"/>
                <w:b/>
                <w:color w:val="000000"/>
                <w:sz w:val="14"/>
                <w:szCs w:val="14"/>
              </w:rPr>
            </w:pPr>
            <w:r w:rsidRPr="00F91183">
              <w:rPr>
                <w:rFonts w:ascii="Times New Roman" w:hAnsi="Times New Roman" w:cs="Times New Roman"/>
                <w:b/>
                <w:color w:val="000000"/>
                <w:sz w:val="14"/>
                <w:szCs w:val="14"/>
              </w:rPr>
              <w:t>490 500 000</w:t>
            </w:r>
          </w:p>
        </w:tc>
      </w:tr>
      <w:tr w:rsidR="007D13F3" w:rsidRPr="00DC4C1E" w:rsidTr="00465CAC">
        <w:trPr>
          <w:trHeight w:hRule="exact" w:val="255"/>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7D13F3" w:rsidRPr="00DC4C1E" w:rsidRDefault="007D13F3" w:rsidP="00465CAC">
            <w:pPr>
              <w:rPr>
                <w:rFonts w:ascii="Times New Roman" w:hAnsi="Times New Roman" w:cs="Times New Roman"/>
                <w:color w:val="000000"/>
                <w:sz w:val="14"/>
                <w:szCs w:val="14"/>
              </w:rPr>
            </w:pPr>
            <w:r w:rsidRPr="00DC4C1E">
              <w:rPr>
                <w:rFonts w:ascii="Times New Roman" w:hAnsi="Times New Roman" w:cs="Times New Roman"/>
                <w:color w:val="000000"/>
                <w:sz w:val="14"/>
                <w:szCs w:val="14"/>
              </w:rPr>
              <w:t>ŽSR - zmluva o </w:t>
            </w:r>
            <w:proofErr w:type="spellStart"/>
            <w:r w:rsidRPr="00DC4C1E">
              <w:rPr>
                <w:rFonts w:ascii="Times New Roman" w:hAnsi="Times New Roman" w:cs="Times New Roman"/>
                <w:color w:val="000000"/>
                <w:sz w:val="14"/>
                <w:szCs w:val="14"/>
              </w:rPr>
              <w:t>prevádz</w:t>
            </w:r>
            <w:proofErr w:type="spellEnd"/>
            <w:r w:rsidRPr="00DC4C1E">
              <w:rPr>
                <w:rFonts w:ascii="Times New Roman" w:hAnsi="Times New Roman" w:cs="Times New Roman"/>
                <w:color w:val="000000"/>
                <w:sz w:val="14"/>
                <w:szCs w:val="14"/>
              </w:rPr>
              <w:t xml:space="preserve">. </w:t>
            </w:r>
            <w:proofErr w:type="spellStart"/>
            <w:r w:rsidRPr="00DC4C1E">
              <w:rPr>
                <w:rFonts w:ascii="Times New Roman" w:hAnsi="Times New Roman" w:cs="Times New Roman"/>
                <w:color w:val="000000"/>
                <w:sz w:val="14"/>
                <w:szCs w:val="14"/>
              </w:rPr>
              <w:t>želez</w:t>
            </w:r>
            <w:proofErr w:type="spellEnd"/>
            <w:r w:rsidRPr="00DC4C1E">
              <w:rPr>
                <w:rFonts w:ascii="Times New Roman" w:hAnsi="Times New Roman" w:cs="Times New Roman"/>
                <w:color w:val="000000"/>
                <w:sz w:val="14"/>
                <w:szCs w:val="14"/>
              </w:rPr>
              <w:t xml:space="preserve">. </w:t>
            </w:r>
            <w:proofErr w:type="spellStart"/>
            <w:r w:rsidRPr="00DC4C1E">
              <w:rPr>
                <w:rFonts w:ascii="Times New Roman" w:hAnsi="Times New Roman" w:cs="Times New Roman"/>
                <w:color w:val="000000"/>
                <w:sz w:val="14"/>
                <w:szCs w:val="14"/>
              </w:rPr>
              <w:t>inf</w:t>
            </w:r>
            <w:proofErr w:type="spellEnd"/>
            <w:r w:rsidRPr="00DC4C1E">
              <w:rPr>
                <w:rFonts w:ascii="Times New Roman" w:hAnsi="Times New Roman" w:cs="Times New Roman"/>
                <w:color w:val="000000"/>
                <w:sz w:val="14"/>
                <w:szCs w:val="14"/>
              </w:rPr>
              <w:t>.</w:t>
            </w:r>
          </w:p>
        </w:tc>
        <w:tc>
          <w:tcPr>
            <w:tcW w:w="973" w:type="dxa"/>
            <w:tcBorders>
              <w:top w:val="single" w:sz="4" w:space="0" w:color="auto"/>
              <w:left w:val="nil"/>
              <w:bottom w:val="single" w:sz="4" w:space="0" w:color="auto"/>
              <w:right w:val="single" w:sz="4" w:space="0" w:color="auto"/>
            </w:tcBorders>
            <w:noWrap/>
            <w:vAlign w:val="bottom"/>
            <w:hideMark/>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272 483 700</w:t>
            </w:r>
          </w:p>
        </w:tc>
        <w:tc>
          <w:tcPr>
            <w:tcW w:w="973" w:type="dxa"/>
            <w:tcBorders>
              <w:top w:val="single" w:sz="4" w:space="0" w:color="auto"/>
              <w:left w:val="nil"/>
              <w:bottom w:val="single" w:sz="4" w:space="0" w:color="auto"/>
              <w:right w:val="single" w:sz="4" w:space="0" w:color="auto"/>
            </w:tcBorders>
            <w:noWrap/>
            <w:vAlign w:val="bottom"/>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hideMark/>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tcPr>
          <w:p w:rsidR="007D13F3" w:rsidRPr="00352E03"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292 500 000</w:t>
            </w:r>
          </w:p>
        </w:tc>
        <w:tc>
          <w:tcPr>
            <w:tcW w:w="974" w:type="dxa"/>
            <w:tcBorders>
              <w:top w:val="single" w:sz="4" w:space="0" w:color="auto"/>
              <w:left w:val="nil"/>
              <w:bottom w:val="single" w:sz="4" w:space="0" w:color="auto"/>
              <w:right w:val="single" w:sz="4" w:space="0" w:color="auto"/>
            </w:tcBorders>
            <w:noWrap/>
            <w:vAlign w:val="bottom"/>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272 500 000</w:t>
            </w:r>
          </w:p>
        </w:tc>
      </w:tr>
      <w:tr w:rsidR="007D13F3" w:rsidRPr="00DC4C1E" w:rsidTr="00465CAC">
        <w:trPr>
          <w:trHeight w:hRule="exact" w:val="34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7D13F3" w:rsidRPr="00DC4C1E" w:rsidRDefault="007D13F3" w:rsidP="00465CAC">
            <w:pPr>
              <w:rPr>
                <w:rFonts w:ascii="Times New Roman" w:hAnsi="Times New Roman" w:cs="Times New Roman"/>
                <w:color w:val="000000"/>
                <w:sz w:val="14"/>
                <w:szCs w:val="14"/>
              </w:rPr>
            </w:pPr>
            <w:r w:rsidRPr="00DC4C1E">
              <w:rPr>
                <w:rFonts w:ascii="Times New Roman" w:hAnsi="Times New Roman" w:cs="Times New Roman"/>
                <w:color w:val="000000"/>
                <w:sz w:val="14"/>
                <w:szCs w:val="14"/>
              </w:rPr>
              <w:t xml:space="preserve">ŽSSK -  zmluva o dopr. </w:t>
            </w:r>
            <w:proofErr w:type="spellStart"/>
            <w:r w:rsidRPr="00DC4C1E">
              <w:rPr>
                <w:rFonts w:ascii="Times New Roman" w:hAnsi="Times New Roman" w:cs="Times New Roman"/>
                <w:color w:val="000000"/>
                <w:sz w:val="14"/>
                <w:szCs w:val="14"/>
              </w:rPr>
              <w:t>služ</w:t>
            </w:r>
            <w:proofErr w:type="spellEnd"/>
            <w:r w:rsidRPr="00DC4C1E">
              <w:rPr>
                <w:rFonts w:ascii="Times New Roman" w:hAnsi="Times New Roman" w:cs="Times New Roman"/>
                <w:color w:val="000000"/>
                <w:sz w:val="14"/>
                <w:szCs w:val="14"/>
              </w:rPr>
              <w:t xml:space="preserve">. vo ver. záujme  </w:t>
            </w:r>
          </w:p>
        </w:tc>
        <w:tc>
          <w:tcPr>
            <w:tcW w:w="973" w:type="dxa"/>
            <w:tcBorders>
              <w:top w:val="single" w:sz="4" w:space="0" w:color="auto"/>
              <w:left w:val="nil"/>
              <w:bottom w:val="single" w:sz="4" w:space="0" w:color="auto"/>
              <w:right w:val="single" w:sz="4" w:space="0" w:color="auto"/>
            </w:tcBorders>
            <w:noWrap/>
            <w:vAlign w:val="bottom"/>
            <w:hideMark/>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210 485 815</w:t>
            </w:r>
          </w:p>
        </w:tc>
        <w:tc>
          <w:tcPr>
            <w:tcW w:w="973" w:type="dxa"/>
            <w:tcBorders>
              <w:top w:val="single" w:sz="4" w:space="0" w:color="auto"/>
              <w:left w:val="nil"/>
              <w:bottom w:val="single" w:sz="4" w:space="0" w:color="auto"/>
              <w:right w:val="single" w:sz="4" w:space="0" w:color="auto"/>
            </w:tcBorders>
            <w:noWrap/>
            <w:vAlign w:val="bottom"/>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209 559 000</w:t>
            </w:r>
          </w:p>
        </w:tc>
        <w:tc>
          <w:tcPr>
            <w:tcW w:w="974" w:type="dxa"/>
            <w:tcBorders>
              <w:top w:val="single" w:sz="4" w:space="0" w:color="auto"/>
              <w:left w:val="nil"/>
              <w:bottom w:val="single" w:sz="4" w:space="0" w:color="auto"/>
              <w:right w:val="single" w:sz="4" w:space="0" w:color="auto"/>
            </w:tcBorders>
            <w:noWrap/>
            <w:vAlign w:val="bottom"/>
            <w:hideMark/>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209 559 000</w:t>
            </w:r>
          </w:p>
        </w:tc>
        <w:tc>
          <w:tcPr>
            <w:tcW w:w="974" w:type="dxa"/>
            <w:tcBorders>
              <w:top w:val="single" w:sz="4" w:space="0" w:color="auto"/>
              <w:left w:val="nil"/>
              <w:bottom w:val="single" w:sz="4" w:space="0" w:color="auto"/>
              <w:right w:val="single" w:sz="4" w:space="0" w:color="auto"/>
            </w:tcBorders>
            <w:noWrap/>
            <w:vAlign w:val="bottom"/>
          </w:tcPr>
          <w:p w:rsidR="007D13F3" w:rsidRPr="00352E03"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253 926 075</w:t>
            </w:r>
          </w:p>
        </w:tc>
        <w:tc>
          <w:tcPr>
            <w:tcW w:w="974" w:type="dxa"/>
            <w:tcBorders>
              <w:top w:val="single" w:sz="4" w:space="0" w:color="auto"/>
              <w:left w:val="nil"/>
              <w:bottom w:val="single" w:sz="4" w:space="0" w:color="auto"/>
              <w:right w:val="single" w:sz="4" w:space="0" w:color="auto"/>
            </w:tcBorders>
            <w:noWrap/>
            <w:vAlign w:val="bottom"/>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209 559 000</w:t>
            </w:r>
          </w:p>
        </w:tc>
        <w:tc>
          <w:tcPr>
            <w:tcW w:w="974" w:type="dxa"/>
            <w:tcBorders>
              <w:top w:val="single" w:sz="4" w:space="0" w:color="auto"/>
              <w:left w:val="nil"/>
              <w:bottom w:val="single" w:sz="4" w:space="0" w:color="auto"/>
              <w:right w:val="single" w:sz="4" w:space="0" w:color="auto"/>
            </w:tcBorders>
            <w:noWrap/>
            <w:vAlign w:val="bottom"/>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209 559 000</w:t>
            </w:r>
          </w:p>
        </w:tc>
        <w:tc>
          <w:tcPr>
            <w:tcW w:w="974" w:type="dxa"/>
            <w:tcBorders>
              <w:top w:val="single" w:sz="4" w:space="0" w:color="auto"/>
              <w:left w:val="nil"/>
              <w:bottom w:val="single" w:sz="4" w:space="0" w:color="auto"/>
              <w:right w:val="single" w:sz="4" w:space="0" w:color="auto"/>
            </w:tcBorders>
            <w:noWrap/>
            <w:vAlign w:val="bottom"/>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209 559 000</w:t>
            </w:r>
          </w:p>
        </w:tc>
      </w:tr>
      <w:tr w:rsidR="007D13F3" w:rsidRPr="00DC4C1E" w:rsidTr="00465CAC">
        <w:trPr>
          <w:trHeight w:hRule="exact" w:val="340"/>
        </w:trPr>
        <w:tc>
          <w:tcPr>
            <w:tcW w:w="2269" w:type="dxa"/>
            <w:tcBorders>
              <w:top w:val="single" w:sz="4" w:space="0" w:color="auto"/>
              <w:left w:val="single" w:sz="4" w:space="0" w:color="auto"/>
              <w:bottom w:val="single" w:sz="4" w:space="0" w:color="auto"/>
              <w:right w:val="single" w:sz="4" w:space="0" w:color="auto"/>
            </w:tcBorders>
            <w:noWrap/>
            <w:vAlign w:val="bottom"/>
          </w:tcPr>
          <w:p w:rsidR="007D13F3" w:rsidRPr="00DC4C1E" w:rsidRDefault="00664ACC" w:rsidP="00465CAC">
            <w:pPr>
              <w:rPr>
                <w:rFonts w:ascii="Times New Roman" w:hAnsi="Times New Roman" w:cs="Times New Roman"/>
                <w:color w:val="000000"/>
                <w:sz w:val="14"/>
                <w:szCs w:val="14"/>
              </w:rPr>
            </w:pPr>
            <w:r>
              <w:rPr>
                <w:rFonts w:ascii="Times New Roman" w:hAnsi="Times New Roman" w:cs="Times New Roman"/>
                <w:color w:val="000000"/>
                <w:sz w:val="14"/>
                <w:szCs w:val="14"/>
              </w:rPr>
              <w:t>Iní</w:t>
            </w:r>
            <w:r w:rsidR="007D13F3" w:rsidRPr="00DC4C1E">
              <w:rPr>
                <w:rFonts w:ascii="Times New Roman" w:hAnsi="Times New Roman" w:cs="Times New Roman"/>
                <w:color w:val="000000"/>
                <w:sz w:val="14"/>
                <w:szCs w:val="14"/>
              </w:rPr>
              <w:t xml:space="preserve"> dopravcovia - zmluva o dopr. </w:t>
            </w:r>
            <w:proofErr w:type="spellStart"/>
            <w:r w:rsidR="007D13F3" w:rsidRPr="00DC4C1E">
              <w:rPr>
                <w:rFonts w:ascii="Times New Roman" w:hAnsi="Times New Roman" w:cs="Times New Roman"/>
                <w:color w:val="000000"/>
                <w:sz w:val="14"/>
                <w:szCs w:val="14"/>
              </w:rPr>
              <w:t>služ</w:t>
            </w:r>
            <w:proofErr w:type="spellEnd"/>
            <w:r w:rsidR="007D13F3" w:rsidRPr="00DC4C1E">
              <w:rPr>
                <w:rFonts w:ascii="Times New Roman" w:hAnsi="Times New Roman" w:cs="Times New Roman"/>
                <w:color w:val="000000"/>
                <w:sz w:val="14"/>
                <w:szCs w:val="14"/>
              </w:rPr>
              <w:t xml:space="preserve">. vo ver. záujme  </w:t>
            </w:r>
          </w:p>
        </w:tc>
        <w:tc>
          <w:tcPr>
            <w:tcW w:w="973" w:type="dxa"/>
            <w:tcBorders>
              <w:top w:val="single" w:sz="4" w:space="0" w:color="auto"/>
              <w:left w:val="nil"/>
              <w:bottom w:val="single" w:sz="4" w:space="0" w:color="auto"/>
              <w:right w:val="single" w:sz="4" w:space="0" w:color="auto"/>
            </w:tcBorders>
            <w:noWrap/>
            <w:vAlign w:val="bottom"/>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7 514 185</w:t>
            </w:r>
          </w:p>
        </w:tc>
        <w:tc>
          <w:tcPr>
            <w:tcW w:w="973" w:type="dxa"/>
            <w:tcBorders>
              <w:top w:val="single" w:sz="4" w:space="0" w:color="auto"/>
              <w:left w:val="nil"/>
              <w:bottom w:val="single" w:sz="4" w:space="0" w:color="auto"/>
              <w:right w:val="single" w:sz="4" w:space="0" w:color="auto"/>
            </w:tcBorders>
            <w:noWrap/>
            <w:vAlign w:val="bottom"/>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9 259 776</w:t>
            </w:r>
          </w:p>
        </w:tc>
        <w:tc>
          <w:tcPr>
            <w:tcW w:w="974" w:type="dxa"/>
            <w:tcBorders>
              <w:top w:val="single" w:sz="4" w:space="0" w:color="auto"/>
              <w:left w:val="nil"/>
              <w:bottom w:val="single" w:sz="4" w:space="0" w:color="auto"/>
              <w:right w:val="single" w:sz="4" w:space="0" w:color="auto"/>
            </w:tcBorders>
            <w:noWrap/>
            <w:vAlign w:val="bottom"/>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8 441 000</w:t>
            </w:r>
          </w:p>
        </w:tc>
        <w:tc>
          <w:tcPr>
            <w:tcW w:w="974" w:type="dxa"/>
            <w:tcBorders>
              <w:top w:val="single" w:sz="4" w:space="0" w:color="auto"/>
              <w:left w:val="nil"/>
              <w:bottom w:val="single" w:sz="4" w:space="0" w:color="auto"/>
              <w:right w:val="single" w:sz="4" w:space="0" w:color="auto"/>
            </w:tcBorders>
            <w:noWrap/>
            <w:vAlign w:val="bottom"/>
          </w:tcPr>
          <w:p w:rsidR="007D13F3" w:rsidRPr="00352E03"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8 441 000</w:t>
            </w:r>
          </w:p>
        </w:tc>
        <w:tc>
          <w:tcPr>
            <w:tcW w:w="974" w:type="dxa"/>
            <w:tcBorders>
              <w:top w:val="single" w:sz="4" w:space="0" w:color="auto"/>
              <w:left w:val="nil"/>
              <w:bottom w:val="single" w:sz="4" w:space="0" w:color="auto"/>
              <w:right w:val="single" w:sz="4" w:space="0" w:color="auto"/>
            </w:tcBorders>
            <w:noWrap/>
            <w:vAlign w:val="bottom"/>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8 441 000</w:t>
            </w:r>
          </w:p>
        </w:tc>
        <w:tc>
          <w:tcPr>
            <w:tcW w:w="974" w:type="dxa"/>
            <w:tcBorders>
              <w:top w:val="single" w:sz="4" w:space="0" w:color="auto"/>
              <w:left w:val="nil"/>
              <w:bottom w:val="single" w:sz="4" w:space="0" w:color="auto"/>
              <w:right w:val="single" w:sz="4" w:space="0" w:color="auto"/>
            </w:tcBorders>
            <w:noWrap/>
            <w:vAlign w:val="bottom"/>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8 441 000</w:t>
            </w:r>
          </w:p>
        </w:tc>
        <w:tc>
          <w:tcPr>
            <w:tcW w:w="974" w:type="dxa"/>
            <w:tcBorders>
              <w:top w:val="single" w:sz="4" w:space="0" w:color="auto"/>
              <w:left w:val="nil"/>
              <w:bottom w:val="single" w:sz="4" w:space="0" w:color="auto"/>
              <w:right w:val="single" w:sz="4" w:space="0" w:color="auto"/>
            </w:tcBorders>
            <w:noWrap/>
            <w:vAlign w:val="bottom"/>
          </w:tcPr>
          <w:p w:rsidR="007D13F3" w:rsidRPr="00352E03" w:rsidRDefault="007D13F3" w:rsidP="00465CAC">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8 441 000</w:t>
            </w:r>
          </w:p>
        </w:tc>
      </w:tr>
    </w:tbl>
    <w:p w:rsidR="007D13F3" w:rsidRPr="00775C7E" w:rsidRDefault="007D13F3" w:rsidP="007D13F3">
      <w:pPr>
        <w:ind w:firstLine="709"/>
        <w:jc w:val="both"/>
        <w:rPr>
          <w:rFonts w:ascii="Times New Roman" w:hAnsi="Times New Roman" w:cs="Times New Roman"/>
          <w:highlight w:val="yellow"/>
        </w:rPr>
      </w:pPr>
    </w:p>
    <w:p w:rsidR="007D13F3" w:rsidRPr="00DC4C1E" w:rsidRDefault="007D13F3" w:rsidP="007D13F3">
      <w:pPr>
        <w:ind w:firstLine="709"/>
        <w:jc w:val="both"/>
        <w:rPr>
          <w:rFonts w:ascii="Times New Roman" w:hAnsi="Times New Roman" w:cs="Times New Roman"/>
        </w:rPr>
      </w:pPr>
      <w:r w:rsidRPr="00DC4C1E">
        <w:rPr>
          <w:rFonts w:ascii="Times New Roman" w:hAnsi="Times New Roman" w:cs="Times New Roman"/>
        </w:rPr>
        <w:t>Na zabezpečenie zmluvy o prevádzkovaní železničnej infraštruktúry so Železnicami Slovenskej republiky a zmlúv o dopravných službách vo verejnom záujme pre železničnú osobnú dopravu sú rozpočtované výdavky v sume 4</w:t>
      </w:r>
      <w:r>
        <w:rPr>
          <w:rFonts w:ascii="Times New Roman" w:hAnsi="Times New Roman" w:cs="Times New Roman"/>
        </w:rPr>
        <w:t>91</w:t>
      </w:r>
      <w:r w:rsidRPr="00DC4C1E">
        <w:rPr>
          <w:rFonts w:ascii="Times New Roman" w:hAnsi="Times New Roman" w:cs="Times New Roman"/>
        </w:rPr>
        <w:t xml:space="preserve"> mil. eur, čo </w:t>
      </w:r>
      <w:r>
        <w:rPr>
          <w:rFonts w:ascii="Times New Roman" w:hAnsi="Times New Roman" w:cs="Times New Roman"/>
        </w:rPr>
        <w:t>je na úrovni schvá</w:t>
      </w:r>
      <w:r w:rsidRPr="00DC4C1E">
        <w:rPr>
          <w:rFonts w:ascii="Times New Roman" w:hAnsi="Times New Roman" w:cs="Times New Roman"/>
        </w:rPr>
        <w:t>len</w:t>
      </w:r>
      <w:r>
        <w:rPr>
          <w:rFonts w:ascii="Times New Roman" w:hAnsi="Times New Roman" w:cs="Times New Roman"/>
        </w:rPr>
        <w:t>ého</w:t>
      </w:r>
      <w:r w:rsidRPr="00DC4C1E">
        <w:rPr>
          <w:rFonts w:ascii="Times New Roman" w:hAnsi="Times New Roman" w:cs="Times New Roman"/>
        </w:rPr>
        <w:t xml:space="preserve"> rozpočt</w:t>
      </w:r>
      <w:r>
        <w:rPr>
          <w:rFonts w:ascii="Times New Roman" w:hAnsi="Times New Roman" w:cs="Times New Roman"/>
        </w:rPr>
        <w:t>u</w:t>
      </w:r>
      <w:r w:rsidRPr="00DC4C1E">
        <w:rPr>
          <w:rFonts w:ascii="Times New Roman" w:hAnsi="Times New Roman" w:cs="Times New Roman"/>
        </w:rPr>
        <w:t xml:space="preserve"> roku 201</w:t>
      </w:r>
      <w:r>
        <w:rPr>
          <w:rFonts w:ascii="Times New Roman" w:hAnsi="Times New Roman" w:cs="Times New Roman"/>
        </w:rPr>
        <w:t>7.</w:t>
      </w:r>
      <w:r w:rsidRPr="00DC4C1E">
        <w:rPr>
          <w:rFonts w:ascii="Times New Roman" w:hAnsi="Times New Roman" w:cs="Times New Roman"/>
        </w:rPr>
        <w:t xml:space="preserve"> </w:t>
      </w:r>
    </w:p>
    <w:p w:rsidR="007D13F3" w:rsidRPr="00775C7E" w:rsidRDefault="007D13F3" w:rsidP="007D13F3">
      <w:pPr>
        <w:ind w:firstLine="709"/>
        <w:jc w:val="both"/>
        <w:rPr>
          <w:rFonts w:ascii="Times New Roman" w:hAnsi="Times New Roman" w:cs="Times New Roman"/>
          <w:highlight w:val="yellow"/>
        </w:rPr>
      </w:pPr>
    </w:p>
    <w:p w:rsidR="007D13F3" w:rsidRPr="00740F80" w:rsidRDefault="007D13F3" w:rsidP="007D13F3">
      <w:pPr>
        <w:ind w:firstLine="709"/>
        <w:jc w:val="both"/>
        <w:rPr>
          <w:rFonts w:ascii="Times New Roman" w:hAnsi="Times New Roman" w:cs="Times New Roman"/>
        </w:rPr>
      </w:pPr>
      <w:r w:rsidRPr="00740F80">
        <w:rPr>
          <w:rFonts w:ascii="Times New Roman" w:hAnsi="Times New Roman" w:cs="Times New Roman"/>
        </w:rPr>
        <w:t>Z uvedenej čiastky sú pre ŽSR na zmluvu o prevádzkovaní železničnej infraštruktúry rozpočtované výdavky v sume 250 mil. eur</w:t>
      </w:r>
      <w:r>
        <w:rPr>
          <w:rFonts w:ascii="Times New Roman" w:hAnsi="Times New Roman" w:cs="Times New Roman"/>
        </w:rPr>
        <w:t xml:space="preserve"> a 22,5 mil. eur </w:t>
      </w:r>
      <w:r w:rsidRPr="00DC4C1E">
        <w:rPr>
          <w:rFonts w:ascii="Times New Roman" w:hAnsi="Times New Roman" w:cs="Times New Roman"/>
        </w:rPr>
        <w:t>na kompenzáciu finančných dopadov vyplývajúcich zo zníženia poplatku za prístup k železničnej infraštruktúre</w:t>
      </w:r>
      <w:r>
        <w:rPr>
          <w:rFonts w:ascii="Times New Roman" w:hAnsi="Times New Roman" w:cs="Times New Roman"/>
        </w:rPr>
        <w:t>. N</w:t>
      </w:r>
      <w:r w:rsidRPr="00740F80">
        <w:rPr>
          <w:rFonts w:ascii="Times New Roman" w:hAnsi="Times New Roman" w:cs="Times New Roman"/>
        </w:rPr>
        <w:t>a zmluvy o dopravných službách vo verejnom záujme pre železničnú osobnú dopravu sú rozpočtované výdavky</w:t>
      </w:r>
      <w:r>
        <w:rPr>
          <w:rFonts w:ascii="Times New Roman" w:hAnsi="Times New Roman" w:cs="Times New Roman"/>
        </w:rPr>
        <w:t xml:space="preserve"> v čiastke 218 mil. eur, z toho 210 mil. eur </w:t>
      </w:r>
      <w:r w:rsidRPr="00740F80">
        <w:rPr>
          <w:rFonts w:ascii="Times New Roman" w:hAnsi="Times New Roman" w:cs="Times New Roman"/>
        </w:rPr>
        <w:t>pre</w:t>
      </w:r>
      <w:r>
        <w:rPr>
          <w:rFonts w:ascii="Times New Roman" w:hAnsi="Times New Roman" w:cs="Times New Roman"/>
        </w:rPr>
        <w:t xml:space="preserve"> Železničnú spoločnosť Slovensko (ďalej len „Z</w:t>
      </w:r>
      <w:r w:rsidRPr="00740F80">
        <w:rPr>
          <w:rFonts w:ascii="Times New Roman" w:hAnsi="Times New Roman" w:cs="Times New Roman"/>
        </w:rPr>
        <w:t>SSK</w:t>
      </w:r>
      <w:r>
        <w:rPr>
          <w:rFonts w:ascii="Times New Roman" w:hAnsi="Times New Roman" w:cs="Times New Roman"/>
        </w:rPr>
        <w:t>“)</w:t>
      </w:r>
      <w:r w:rsidRPr="00740F80">
        <w:rPr>
          <w:rFonts w:ascii="Times New Roman" w:hAnsi="Times New Roman" w:cs="Times New Roman"/>
        </w:rPr>
        <w:t xml:space="preserve"> a</w:t>
      </w:r>
      <w:r>
        <w:rPr>
          <w:rFonts w:ascii="Times New Roman" w:hAnsi="Times New Roman" w:cs="Times New Roman"/>
        </w:rPr>
        <w:t xml:space="preserve"> 8,44 mil. eur pre spoločnosť </w:t>
      </w:r>
      <w:proofErr w:type="spellStart"/>
      <w:r>
        <w:rPr>
          <w:rFonts w:ascii="Times New Roman" w:hAnsi="Times New Roman" w:cs="Times New Roman"/>
        </w:rPr>
        <w:t>Regio</w:t>
      </w:r>
      <w:proofErr w:type="spellEnd"/>
      <w:r>
        <w:rPr>
          <w:rFonts w:ascii="Times New Roman" w:hAnsi="Times New Roman" w:cs="Times New Roman"/>
        </w:rPr>
        <w:t xml:space="preserve"> </w:t>
      </w:r>
      <w:proofErr w:type="spellStart"/>
      <w:r>
        <w:rPr>
          <w:rFonts w:ascii="Times New Roman" w:hAnsi="Times New Roman" w:cs="Times New Roman"/>
        </w:rPr>
        <w:t>Jet</w:t>
      </w:r>
      <w:proofErr w:type="spellEnd"/>
      <w:r>
        <w:rPr>
          <w:rFonts w:ascii="Times New Roman" w:hAnsi="Times New Roman" w:cs="Times New Roman"/>
        </w:rPr>
        <w:t>.</w:t>
      </w:r>
    </w:p>
    <w:p w:rsidR="007D13F3" w:rsidRPr="00740F80" w:rsidRDefault="007D13F3" w:rsidP="007D13F3">
      <w:pPr>
        <w:jc w:val="both"/>
        <w:rPr>
          <w:rFonts w:ascii="Times New Roman" w:hAnsi="Times New Roman" w:cs="Times New Roman"/>
          <w:i/>
          <w:u w:val="single"/>
        </w:rPr>
      </w:pPr>
    </w:p>
    <w:p w:rsidR="007D13F3" w:rsidRPr="00740F80" w:rsidRDefault="007D13F3" w:rsidP="007D13F3">
      <w:pPr>
        <w:jc w:val="both"/>
        <w:rPr>
          <w:rFonts w:ascii="Times New Roman" w:hAnsi="Times New Roman" w:cs="Times New Roman"/>
          <w:i/>
          <w:u w:val="single"/>
        </w:rPr>
      </w:pPr>
      <w:r w:rsidRPr="00740F80">
        <w:rPr>
          <w:rFonts w:ascii="Times New Roman" w:hAnsi="Times New Roman" w:cs="Times New Roman"/>
          <w:i/>
          <w:u w:val="single"/>
        </w:rPr>
        <w:t>Výstavba nadradenej cestnej siete a platba za dostupnosť</w:t>
      </w:r>
    </w:p>
    <w:p w:rsidR="007D13F3" w:rsidRDefault="007D13F3" w:rsidP="007D13F3">
      <w:pPr>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1966"/>
        <w:gridCol w:w="1040"/>
        <w:gridCol w:w="997"/>
        <w:gridCol w:w="997"/>
        <w:gridCol w:w="997"/>
        <w:gridCol w:w="1086"/>
        <w:gridCol w:w="997"/>
        <w:gridCol w:w="982"/>
      </w:tblGrid>
      <w:tr w:rsidR="007D13F3" w:rsidRPr="00352E03" w:rsidTr="00465CAC">
        <w:trPr>
          <w:trHeight w:hRule="exact" w:val="284"/>
        </w:trPr>
        <w:tc>
          <w:tcPr>
            <w:tcW w:w="108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104A3A" w:rsidRDefault="007D13F3" w:rsidP="00465CAC">
            <w:pP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v eurách</w:t>
            </w:r>
          </w:p>
        </w:tc>
        <w:tc>
          <w:tcPr>
            <w:tcW w:w="57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04A3A" w:rsidRDefault="007D13F3" w:rsidP="00465CAC">
            <w:pPr>
              <w:jc w:val="cente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104A3A">
              <w:rPr>
                <w:rFonts w:ascii="Times New Roman" w:hAnsi="Times New Roman" w:cs="Times New Roman"/>
                <w:b/>
                <w:bCs/>
                <w:color w:val="000000"/>
                <w:sz w:val="14"/>
                <w:szCs w:val="14"/>
              </w:rPr>
              <w:t xml:space="preserve"> S</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04A3A" w:rsidRDefault="007D13F3" w:rsidP="00465CAC">
            <w:pPr>
              <w:jc w:val="cente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104A3A">
              <w:rPr>
                <w:rFonts w:ascii="Times New Roman" w:hAnsi="Times New Roman" w:cs="Times New Roman"/>
                <w:b/>
                <w:bCs/>
                <w:color w:val="000000"/>
                <w:sz w:val="14"/>
                <w:szCs w:val="14"/>
              </w:rPr>
              <w:t xml:space="preserve"> S</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04A3A" w:rsidRDefault="007D13F3" w:rsidP="00465CAC">
            <w:pPr>
              <w:jc w:val="cente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104A3A">
              <w:rPr>
                <w:rFonts w:ascii="Times New Roman" w:hAnsi="Times New Roman" w:cs="Times New Roman"/>
                <w:b/>
                <w:bCs/>
                <w:color w:val="000000"/>
                <w:sz w:val="14"/>
                <w:szCs w:val="14"/>
              </w:rPr>
              <w:t xml:space="preserve">  R</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04A3A" w:rsidRDefault="007D13F3" w:rsidP="00465CAC">
            <w:pPr>
              <w:jc w:val="cente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104A3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9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04A3A" w:rsidRDefault="007D13F3" w:rsidP="00465CAC">
            <w:pPr>
              <w:jc w:val="cente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104A3A">
              <w:rPr>
                <w:rFonts w:ascii="Times New Roman" w:hAnsi="Times New Roman" w:cs="Times New Roman"/>
                <w:b/>
                <w:bCs/>
                <w:color w:val="000000"/>
                <w:sz w:val="14"/>
                <w:szCs w:val="14"/>
              </w:rPr>
              <w:t xml:space="preserve"> N</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04A3A" w:rsidRDefault="007D13F3" w:rsidP="00465CAC">
            <w:pPr>
              <w:jc w:val="cente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104A3A">
              <w:rPr>
                <w:rFonts w:ascii="Times New Roman" w:hAnsi="Times New Roman" w:cs="Times New Roman"/>
                <w:b/>
                <w:bCs/>
                <w:color w:val="000000"/>
                <w:sz w:val="14"/>
                <w:szCs w:val="14"/>
              </w:rPr>
              <w:t xml:space="preserve"> N</w:t>
            </w:r>
          </w:p>
        </w:tc>
        <w:tc>
          <w:tcPr>
            <w:tcW w:w="54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04A3A" w:rsidRDefault="007D13F3" w:rsidP="00465CAC">
            <w:pPr>
              <w:jc w:val="cente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20</w:t>
            </w:r>
            <w:r>
              <w:rPr>
                <w:rFonts w:ascii="Times New Roman" w:hAnsi="Times New Roman" w:cs="Times New Roman"/>
                <w:b/>
                <w:bCs/>
                <w:color w:val="000000"/>
                <w:sz w:val="14"/>
                <w:szCs w:val="14"/>
              </w:rPr>
              <w:t>20</w:t>
            </w:r>
            <w:r w:rsidRPr="00104A3A">
              <w:rPr>
                <w:rFonts w:ascii="Times New Roman" w:hAnsi="Times New Roman" w:cs="Times New Roman"/>
                <w:b/>
                <w:bCs/>
                <w:color w:val="000000"/>
                <w:sz w:val="14"/>
                <w:szCs w:val="14"/>
              </w:rPr>
              <w:t xml:space="preserve"> N</w:t>
            </w:r>
          </w:p>
        </w:tc>
      </w:tr>
      <w:tr w:rsidR="007D13F3" w:rsidRPr="00352E03" w:rsidTr="00465CAC">
        <w:trPr>
          <w:trHeight w:hRule="exact" w:val="284"/>
        </w:trPr>
        <w:tc>
          <w:tcPr>
            <w:tcW w:w="108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1C2062" w:rsidRDefault="007D13F3" w:rsidP="00465CAC">
            <w:pPr>
              <w:rPr>
                <w:rFonts w:ascii="Times New Roman" w:hAnsi="Times New Roman" w:cs="Times New Roman"/>
                <w:b/>
                <w:bCs/>
                <w:color w:val="000000"/>
                <w:sz w:val="14"/>
                <w:szCs w:val="14"/>
              </w:rPr>
            </w:pPr>
            <w:r w:rsidRPr="001C2062">
              <w:rPr>
                <w:rFonts w:ascii="Times New Roman" w:hAnsi="Times New Roman" w:cs="Times New Roman"/>
                <w:b/>
                <w:bCs/>
                <w:color w:val="000000"/>
                <w:sz w:val="14"/>
                <w:szCs w:val="14"/>
              </w:rPr>
              <w:t>Spolu</w:t>
            </w:r>
          </w:p>
        </w:tc>
        <w:tc>
          <w:tcPr>
            <w:tcW w:w="57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352E03" w:rsidRDefault="007D13F3" w:rsidP="00465CAC">
            <w:pPr>
              <w:jc w:val="right"/>
              <w:rPr>
                <w:rFonts w:ascii="Times New Roman" w:hAnsi="Times New Roman" w:cs="Times New Roman"/>
                <w:b/>
                <w:bCs/>
                <w:color w:val="000000"/>
                <w:sz w:val="14"/>
                <w:szCs w:val="14"/>
              </w:rPr>
            </w:pPr>
            <w:r w:rsidRPr="00352E03">
              <w:rPr>
                <w:rFonts w:ascii="Times New Roman" w:hAnsi="Times New Roman" w:cs="Times New Roman"/>
                <w:b/>
                <w:bCs/>
                <w:color w:val="000000"/>
                <w:sz w:val="14"/>
                <w:szCs w:val="14"/>
              </w:rPr>
              <w:t>128 993 146</w:t>
            </w:r>
          </w:p>
        </w:tc>
        <w:tc>
          <w:tcPr>
            <w:tcW w:w="550"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352E03" w:rsidRDefault="007D13F3" w:rsidP="00465CAC">
            <w:pPr>
              <w:jc w:val="right"/>
              <w:rPr>
                <w:rFonts w:ascii="Times New Roman" w:hAnsi="Times New Roman" w:cs="Times New Roman"/>
                <w:b/>
                <w:bCs/>
                <w:color w:val="000000"/>
                <w:sz w:val="14"/>
                <w:szCs w:val="14"/>
              </w:rPr>
            </w:pPr>
            <w:r w:rsidRPr="00352E03">
              <w:rPr>
                <w:rFonts w:ascii="Times New Roman" w:hAnsi="Times New Roman" w:cs="Times New Roman"/>
                <w:b/>
                <w:bCs/>
                <w:color w:val="000000"/>
                <w:sz w:val="14"/>
                <w:szCs w:val="14"/>
              </w:rPr>
              <w:t>131 458 350</w:t>
            </w:r>
          </w:p>
        </w:tc>
        <w:tc>
          <w:tcPr>
            <w:tcW w:w="550"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352E03" w:rsidRDefault="007D13F3" w:rsidP="00465CAC">
            <w:pPr>
              <w:jc w:val="right"/>
              <w:rPr>
                <w:rFonts w:ascii="Times New Roman" w:hAnsi="Times New Roman" w:cs="Times New Roman"/>
                <w:b/>
                <w:bCs/>
                <w:color w:val="000000"/>
                <w:sz w:val="14"/>
                <w:szCs w:val="14"/>
              </w:rPr>
            </w:pPr>
            <w:r w:rsidRPr="00352E03">
              <w:rPr>
                <w:rFonts w:ascii="Times New Roman" w:hAnsi="Times New Roman" w:cs="Times New Roman"/>
                <w:b/>
                <w:bCs/>
                <w:color w:val="000000"/>
                <w:sz w:val="14"/>
                <w:szCs w:val="14"/>
              </w:rPr>
              <w:t>134 070 109</w:t>
            </w:r>
          </w:p>
        </w:tc>
        <w:tc>
          <w:tcPr>
            <w:tcW w:w="550"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352E03" w:rsidRDefault="007D13F3" w:rsidP="00465CAC">
            <w:pPr>
              <w:jc w:val="right"/>
              <w:rPr>
                <w:rFonts w:ascii="Times New Roman" w:hAnsi="Times New Roman" w:cs="Times New Roman"/>
                <w:b/>
                <w:bCs/>
                <w:color w:val="000000"/>
                <w:sz w:val="14"/>
                <w:szCs w:val="14"/>
              </w:rPr>
            </w:pPr>
            <w:r w:rsidRPr="00352E03">
              <w:rPr>
                <w:rFonts w:ascii="Times New Roman" w:hAnsi="Times New Roman" w:cs="Times New Roman"/>
                <w:b/>
                <w:bCs/>
                <w:color w:val="000000"/>
                <w:sz w:val="14"/>
                <w:szCs w:val="14"/>
              </w:rPr>
              <w:t>13</w:t>
            </w:r>
            <w:r>
              <w:rPr>
                <w:rFonts w:ascii="Times New Roman" w:hAnsi="Times New Roman" w:cs="Times New Roman"/>
                <w:b/>
                <w:bCs/>
                <w:color w:val="000000"/>
                <w:sz w:val="14"/>
                <w:szCs w:val="14"/>
              </w:rPr>
              <w:t>7</w:t>
            </w:r>
            <w:r w:rsidRPr="00352E03">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080</w:t>
            </w:r>
            <w:r w:rsidRPr="00352E03">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860</w:t>
            </w:r>
          </w:p>
        </w:tc>
        <w:tc>
          <w:tcPr>
            <w:tcW w:w="59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352E03" w:rsidRDefault="007D13F3" w:rsidP="00465CAC">
            <w:pPr>
              <w:jc w:val="right"/>
              <w:rPr>
                <w:rFonts w:ascii="Times New Roman" w:hAnsi="Times New Roman" w:cs="Times New Roman"/>
                <w:b/>
                <w:bCs/>
                <w:color w:val="000000"/>
                <w:sz w:val="14"/>
                <w:szCs w:val="14"/>
              </w:rPr>
            </w:pPr>
            <w:r w:rsidRPr="00352E03">
              <w:rPr>
                <w:rFonts w:ascii="Times New Roman" w:hAnsi="Times New Roman" w:cs="Times New Roman"/>
                <w:b/>
                <w:bCs/>
                <w:color w:val="000000"/>
                <w:sz w:val="14"/>
                <w:szCs w:val="14"/>
              </w:rPr>
              <w:t>133 671 822</w:t>
            </w:r>
          </w:p>
        </w:tc>
        <w:tc>
          <w:tcPr>
            <w:tcW w:w="550"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352E03" w:rsidRDefault="007D13F3" w:rsidP="00465CAC">
            <w:pPr>
              <w:jc w:val="right"/>
              <w:rPr>
                <w:rFonts w:ascii="Times New Roman" w:hAnsi="Times New Roman" w:cs="Times New Roman"/>
                <w:b/>
                <w:bCs/>
                <w:color w:val="000000"/>
                <w:sz w:val="14"/>
                <w:szCs w:val="14"/>
              </w:rPr>
            </w:pPr>
            <w:r w:rsidRPr="00352E03">
              <w:rPr>
                <w:rFonts w:ascii="Times New Roman" w:hAnsi="Times New Roman" w:cs="Times New Roman"/>
                <w:b/>
                <w:bCs/>
                <w:color w:val="000000"/>
                <w:sz w:val="14"/>
                <w:szCs w:val="14"/>
              </w:rPr>
              <w:t>134 039 637</w:t>
            </w:r>
          </w:p>
        </w:tc>
        <w:tc>
          <w:tcPr>
            <w:tcW w:w="542"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352E03" w:rsidRDefault="007D13F3" w:rsidP="00465CAC">
            <w:pPr>
              <w:jc w:val="right"/>
              <w:rPr>
                <w:rFonts w:ascii="Times New Roman" w:hAnsi="Times New Roman" w:cs="Times New Roman"/>
                <w:b/>
                <w:bCs/>
                <w:color w:val="000000"/>
                <w:sz w:val="14"/>
                <w:szCs w:val="14"/>
              </w:rPr>
            </w:pPr>
            <w:r w:rsidRPr="00352E03">
              <w:rPr>
                <w:rFonts w:ascii="Times New Roman" w:hAnsi="Times New Roman" w:cs="Times New Roman"/>
                <w:b/>
                <w:bCs/>
                <w:color w:val="000000"/>
                <w:sz w:val="14"/>
                <w:szCs w:val="14"/>
              </w:rPr>
              <w:t>156 666 176</w:t>
            </w:r>
          </w:p>
        </w:tc>
      </w:tr>
      <w:tr w:rsidR="007D13F3" w:rsidRPr="00352E03" w:rsidTr="00465CAC">
        <w:trPr>
          <w:trHeight w:hRule="exact" w:val="28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7D13F3" w:rsidRPr="00352E03" w:rsidRDefault="007D13F3" w:rsidP="00465CAC">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Platba za dostupnosť  R1</w:t>
            </w:r>
          </w:p>
        </w:tc>
        <w:tc>
          <w:tcPr>
            <w:tcW w:w="574" w:type="pct"/>
            <w:tcBorders>
              <w:top w:val="nil"/>
              <w:left w:val="nil"/>
              <w:bottom w:val="single" w:sz="4" w:space="0" w:color="auto"/>
              <w:right w:val="single" w:sz="4" w:space="0" w:color="auto"/>
            </w:tcBorders>
            <w:shd w:val="clear" w:color="auto" w:fill="auto"/>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123 776 797</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124 416 325</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127 218 987</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127 218 987</w:t>
            </w:r>
          </w:p>
        </w:tc>
        <w:tc>
          <w:tcPr>
            <w:tcW w:w="599" w:type="pct"/>
            <w:tcBorders>
              <w:top w:val="nil"/>
              <w:left w:val="nil"/>
              <w:bottom w:val="single" w:sz="4" w:space="0" w:color="auto"/>
              <w:right w:val="single" w:sz="4" w:space="0" w:color="auto"/>
            </w:tcBorders>
            <w:shd w:val="clear" w:color="000000" w:fill="FFFFFF"/>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127 300 700</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127 668 515</w:t>
            </w:r>
          </w:p>
        </w:tc>
        <w:tc>
          <w:tcPr>
            <w:tcW w:w="542" w:type="pct"/>
            <w:tcBorders>
              <w:top w:val="nil"/>
              <w:left w:val="nil"/>
              <w:bottom w:val="single" w:sz="4" w:space="0" w:color="auto"/>
              <w:right w:val="single" w:sz="4" w:space="0" w:color="auto"/>
            </w:tcBorders>
            <w:shd w:val="clear" w:color="000000" w:fill="FFFFFF"/>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128 044 054</w:t>
            </w:r>
          </w:p>
        </w:tc>
      </w:tr>
      <w:tr w:rsidR="007D13F3" w:rsidRPr="00352E03" w:rsidTr="00465CAC">
        <w:trPr>
          <w:trHeight w:hRule="exact" w:val="28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7D13F3" w:rsidRPr="00352E03" w:rsidRDefault="007D13F3" w:rsidP="00465CAC">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Platba za dostupnosť  D4/R7</w:t>
            </w:r>
          </w:p>
        </w:tc>
        <w:tc>
          <w:tcPr>
            <w:tcW w:w="574" w:type="pct"/>
            <w:tcBorders>
              <w:top w:val="nil"/>
              <w:left w:val="nil"/>
              <w:bottom w:val="single" w:sz="4" w:space="0" w:color="auto"/>
              <w:right w:val="single" w:sz="4" w:space="0" w:color="auto"/>
            </w:tcBorders>
            <w:shd w:val="clear" w:color="auto" w:fill="auto"/>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r w:rsidRPr="00352E03">
              <w:rPr>
                <w:rFonts w:ascii="Times New Roman" w:hAnsi="Times New Roman" w:cs="Times New Roman"/>
                <w:color w:val="000000"/>
                <w:sz w:val="14"/>
                <w:szCs w:val="14"/>
                <w:lang w:eastAsia="sk-SK"/>
              </w:rPr>
              <w:t> </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r w:rsidRPr="00352E03">
              <w:rPr>
                <w:rFonts w:ascii="Times New Roman" w:hAnsi="Times New Roman" w:cs="Times New Roman"/>
                <w:color w:val="000000"/>
                <w:sz w:val="14"/>
                <w:szCs w:val="14"/>
                <w:lang w:eastAsia="sk-SK"/>
              </w:rPr>
              <w:t> </w:t>
            </w:r>
          </w:p>
        </w:tc>
        <w:tc>
          <w:tcPr>
            <w:tcW w:w="599" w:type="pct"/>
            <w:tcBorders>
              <w:top w:val="nil"/>
              <w:left w:val="nil"/>
              <w:bottom w:val="single" w:sz="4" w:space="0" w:color="auto"/>
              <w:right w:val="single" w:sz="4" w:space="0" w:color="auto"/>
            </w:tcBorders>
            <w:shd w:val="clear" w:color="000000" w:fill="FFFFFF"/>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r w:rsidRPr="00352E03">
              <w:rPr>
                <w:rFonts w:ascii="Times New Roman" w:hAnsi="Times New Roman" w:cs="Times New Roman"/>
                <w:color w:val="000000"/>
                <w:sz w:val="14"/>
                <w:szCs w:val="14"/>
                <w:lang w:eastAsia="sk-SK"/>
              </w:rPr>
              <w:t> </w:t>
            </w:r>
          </w:p>
        </w:tc>
        <w:tc>
          <w:tcPr>
            <w:tcW w:w="542" w:type="pct"/>
            <w:tcBorders>
              <w:top w:val="nil"/>
              <w:left w:val="nil"/>
              <w:bottom w:val="single" w:sz="4" w:space="0" w:color="auto"/>
              <w:right w:val="single" w:sz="4" w:space="0" w:color="auto"/>
            </w:tcBorders>
            <w:shd w:val="clear" w:color="000000" w:fill="FFFFFF"/>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22 251 000</w:t>
            </w:r>
          </w:p>
        </w:tc>
      </w:tr>
      <w:tr w:rsidR="007D13F3" w:rsidRPr="00352E03" w:rsidTr="00465CAC">
        <w:trPr>
          <w:trHeight w:hRule="exact" w:val="28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7D13F3" w:rsidRPr="00352E03" w:rsidRDefault="007D13F3" w:rsidP="00465CAC">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 xml:space="preserve">Príprava a ukončenie PPP </w:t>
            </w:r>
          </w:p>
        </w:tc>
        <w:tc>
          <w:tcPr>
            <w:tcW w:w="574" w:type="pct"/>
            <w:tcBorders>
              <w:top w:val="nil"/>
              <w:left w:val="nil"/>
              <w:bottom w:val="single" w:sz="4" w:space="0" w:color="auto"/>
              <w:right w:val="single" w:sz="4" w:space="0" w:color="auto"/>
            </w:tcBorders>
            <w:shd w:val="clear" w:color="auto" w:fill="auto"/>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5 216 349</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4 911 108</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6 000 000</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9</w:t>
            </w:r>
            <w:r w:rsidRPr="00352E03">
              <w:rPr>
                <w:rFonts w:ascii="Times New Roman" w:hAnsi="Times New Roman" w:cs="Times New Roman"/>
                <w:color w:val="000000"/>
                <w:sz w:val="14"/>
                <w:szCs w:val="14"/>
                <w:lang w:eastAsia="sk-SK"/>
              </w:rPr>
              <w:t xml:space="preserve"> 4</w:t>
            </w:r>
            <w:r>
              <w:rPr>
                <w:rFonts w:ascii="Times New Roman" w:hAnsi="Times New Roman" w:cs="Times New Roman"/>
                <w:color w:val="000000"/>
                <w:sz w:val="14"/>
                <w:szCs w:val="14"/>
                <w:lang w:eastAsia="sk-SK"/>
              </w:rPr>
              <w:t>96</w:t>
            </w:r>
            <w:r w:rsidRPr="00352E03">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510</w:t>
            </w:r>
          </w:p>
        </w:tc>
        <w:tc>
          <w:tcPr>
            <w:tcW w:w="599" w:type="pct"/>
            <w:tcBorders>
              <w:top w:val="nil"/>
              <w:left w:val="nil"/>
              <w:bottom w:val="single" w:sz="4" w:space="0" w:color="auto"/>
              <w:right w:val="single" w:sz="4" w:space="0" w:color="auto"/>
            </w:tcBorders>
            <w:shd w:val="clear" w:color="000000" w:fill="FFFFFF"/>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6 371 122</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1 771 122</w:t>
            </w:r>
          </w:p>
        </w:tc>
        <w:tc>
          <w:tcPr>
            <w:tcW w:w="542" w:type="pct"/>
            <w:tcBorders>
              <w:top w:val="nil"/>
              <w:left w:val="nil"/>
              <w:bottom w:val="single" w:sz="4" w:space="0" w:color="auto"/>
              <w:right w:val="single" w:sz="4" w:space="0" w:color="auto"/>
            </w:tcBorders>
            <w:shd w:val="clear" w:color="000000" w:fill="FFFFFF"/>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371 122</w:t>
            </w:r>
          </w:p>
        </w:tc>
      </w:tr>
      <w:tr w:rsidR="007D13F3" w:rsidRPr="00352E03" w:rsidTr="00465CAC">
        <w:trPr>
          <w:trHeight w:hRule="exact" w:val="284"/>
        </w:trPr>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7D13F3" w:rsidRPr="00352E03" w:rsidRDefault="007D13F3" w:rsidP="00465CAC">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Projekty PPP D4 a R7</w:t>
            </w:r>
          </w:p>
        </w:tc>
        <w:tc>
          <w:tcPr>
            <w:tcW w:w="574" w:type="pct"/>
            <w:tcBorders>
              <w:top w:val="nil"/>
              <w:left w:val="nil"/>
              <w:bottom w:val="single" w:sz="4" w:space="0" w:color="auto"/>
              <w:right w:val="single" w:sz="4" w:space="0" w:color="auto"/>
            </w:tcBorders>
            <w:shd w:val="clear" w:color="auto" w:fill="auto"/>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 </w:t>
            </w:r>
            <w:r>
              <w:rPr>
                <w:rFonts w:ascii="Times New Roman" w:hAnsi="Times New Roman" w:cs="Times New Roman"/>
                <w:color w:val="000000"/>
                <w:sz w:val="14"/>
                <w:szCs w:val="14"/>
                <w:lang w:eastAsia="sk-SK"/>
              </w:rPr>
              <w:t>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2 130 917</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851 122</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365 363</w:t>
            </w:r>
          </w:p>
        </w:tc>
        <w:tc>
          <w:tcPr>
            <w:tcW w:w="599" w:type="pct"/>
            <w:tcBorders>
              <w:top w:val="nil"/>
              <w:left w:val="nil"/>
              <w:bottom w:val="single" w:sz="4" w:space="0" w:color="auto"/>
              <w:right w:val="single" w:sz="4" w:space="0" w:color="auto"/>
            </w:tcBorders>
            <w:shd w:val="clear" w:color="000000" w:fill="FFFFFF"/>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0</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4 600 000</w:t>
            </w:r>
          </w:p>
        </w:tc>
        <w:tc>
          <w:tcPr>
            <w:tcW w:w="542" w:type="pct"/>
            <w:tcBorders>
              <w:top w:val="nil"/>
              <w:left w:val="nil"/>
              <w:bottom w:val="single" w:sz="4" w:space="0" w:color="auto"/>
              <w:right w:val="single" w:sz="4" w:space="0" w:color="auto"/>
            </w:tcBorders>
            <w:shd w:val="clear" w:color="000000" w:fill="FFFFFF"/>
            <w:noWrap/>
            <w:vAlign w:val="bottom"/>
            <w:hideMark/>
          </w:tcPr>
          <w:p w:rsidR="007D13F3" w:rsidRPr="00352E03" w:rsidRDefault="007D13F3" w:rsidP="00465CAC">
            <w:pPr>
              <w:jc w:val="right"/>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6 000 000</w:t>
            </w:r>
          </w:p>
        </w:tc>
      </w:tr>
    </w:tbl>
    <w:p w:rsidR="007D13F3" w:rsidRDefault="007D13F3" w:rsidP="007D13F3">
      <w:pPr>
        <w:jc w:val="both"/>
        <w:rPr>
          <w:rFonts w:ascii="Times New Roman" w:hAnsi="Times New Roman" w:cs="Times New Roman"/>
          <w:highlight w:val="yellow"/>
        </w:rPr>
      </w:pPr>
    </w:p>
    <w:p w:rsidR="007D13F3" w:rsidRPr="0052170A" w:rsidRDefault="007D13F3" w:rsidP="007D13F3">
      <w:pPr>
        <w:ind w:firstLine="708"/>
        <w:jc w:val="both"/>
        <w:rPr>
          <w:rFonts w:ascii="Times New Roman" w:hAnsi="Times New Roman" w:cs="Times New Roman"/>
        </w:rPr>
      </w:pPr>
      <w:r w:rsidRPr="0052170A">
        <w:rPr>
          <w:rFonts w:ascii="Times New Roman" w:hAnsi="Times New Roman" w:cs="Times New Roman"/>
        </w:rPr>
        <w:t xml:space="preserve">Na výstavbu nadradenej cestnej siete </w:t>
      </w:r>
      <w:r>
        <w:rPr>
          <w:rFonts w:ascii="Times New Roman" w:hAnsi="Times New Roman" w:cs="Times New Roman"/>
        </w:rPr>
        <w:t xml:space="preserve">a platbu za dostupnosť </w:t>
      </w:r>
      <w:r w:rsidRPr="0052170A">
        <w:rPr>
          <w:rFonts w:ascii="Times New Roman" w:hAnsi="Times New Roman" w:cs="Times New Roman"/>
        </w:rPr>
        <w:t>sa v roku 201</w:t>
      </w:r>
      <w:r>
        <w:rPr>
          <w:rFonts w:ascii="Times New Roman" w:hAnsi="Times New Roman" w:cs="Times New Roman"/>
        </w:rPr>
        <w:t>8</w:t>
      </w:r>
      <w:r w:rsidRPr="0052170A">
        <w:rPr>
          <w:rFonts w:ascii="Times New Roman" w:hAnsi="Times New Roman" w:cs="Times New Roman"/>
        </w:rPr>
        <w:t xml:space="preserve"> rozpočtujú výdavky v</w:t>
      </w:r>
      <w:r>
        <w:rPr>
          <w:rFonts w:ascii="Times New Roman" w:hAnsi="Times New Roman" w:cs="Times New Roman"/>
        </w:rPr>
        <w:t> </w:t>
      </w:r>
      <w:r w:rsidRPr="0052170A">
        <w:rPr>
          <w:rFonts w:ascii="Times New Roman" w:hAnsi="Times New Roman" w:cs="Times New Roman"/>
        </w:rPr>
        <w:t>čiastke</w:t>
      </w:r>
      <w:r>
        <w:rPr>
          <w:rFonts w:ascii="Times New Roman" w:hAnsi="Times New Roman" w:cs="Times New Roman"/>
        </w:rPr>
        <w:t xml:space="preserve"> </w:t>
      </w:r>
      <w:r w:rsidRPr="0052170A">
        <w:rPr>
          <w:rFonts w:ascii="Times New Roman" w:hAnsi="Times New Roman" w:cs="Times New Roman"/>
        </w:rPr>
        <w:t>134 mil. eur, z toho na platbu za dostupnosť PPP  projektu cesty R1 vo výške</w:t>
      </w:r>
      <w:r w:rsidRPr="0052170A">
        <w:rPr>
          <w:rFonts w:ascii="Times New Roman" w:hAnsi="Times New Roman" w:cs="Times New Roman"/>
        </w:rPr>
        <w:br/>
        <w:t>127 mil. eur</w:t>
      </w:r>
      <w:r>
        <w:rPr>
          <w:rFonts w:ascii="Times New Roman" w:hAnsi="Times New Roman" w:cs="Times New Roman"/>
        </w:rPr>
        <w:t xml:space="preserve"> a</w:t>
      </w:r>
      <w:r w:rsidRPr="0052170A">
        <w:rPr>
          <w:rFonts w:ascii="Times New Roman" w:hAnsi="Times New Roman" w:cs="Times New Roman"/>
        </w:rPr>
        <w:t xml:space="preserve"> na prípravu a ukončenie PPP projektov 6,</w:t>
      </w:r>
      <w:r>
        <w:rPr>
          <w:rFonts w:ascii="Times New Roman" w:hAnsi="Times New Roman" w:cs="Times New Roman"/>
        </w:rPr>
        <w:t>37</w:t>
      </w:r>
      <w:r w:rsidRPr="0052170A">
        <w:rPr>
          <w:rFonts w:ascii="Times New Roman" w:hAnsi="Times New Roman" w:cs="Times New Roman"/>
        </w:rPr>
        <w:t xml:space="preserve"> mil. eur</w:t>
      </w:r>
      <w:r>
        <w:rPr>
          <w:rFonts w:ascii="Times New Roman" w:hAnsi="Times New Roman" w:cs="Times New Roman"/>
        </w:rPr>
        <w:t xml:space="preserve">. </w:t>
      </w:r>
      <w:r w:rsidRPr="0052170A">
        <w:rPr>
          <w:rFonts w:ascii="Times New Roman" w:hAnsi="Times New Roman" w:cs="Times New Roman"/>
        </w:rPr>
        <w:t>V porovnaní s</w:t>
      </w:r>
      <w:r>
        <w:rPr>
          <w:rFonts w:ascii="Times New Roman" w:hAnsi="Times New Roman" w:cs="Times New Roman"/>
        </w:rPr>
        <w:t>o schváleným rozpočtom  roku 2017</w:t>
      </w:r>
      <w:r w:rsidRPr="0052170A">
        <w:rPr>
          <w:rFonts w:ascii="Times New Roman" w:hAnsi="Times New Roman" w:cs="Times New Roman"/>
        </w:rPr>
        <w:t xml:space="preserve"> sú výdavky na </w:t>
      </w:r>
      <w:r>
        <w:rPr>
          <w:rFonts w:ascii="Times New Roman" w:hAnsi="Times New Roman" w:cs="Times New Roman"/>
        </w:rPr>
        <w:t>uvedenú oblasť</w:t>
      </w:r>
      <w:r w:rsidRPr="0052170A">
        <w:rPr>
          <w:rFonts w:ascii="Times New Roman" w:hAnsi="Times New Roman" w:cs="Times New Roman"/>
        </w:rPr>
        <w:t xml:space="preserve"> </w:t>
      </w:r>
      <w:r>
        <w:rPr>
          <w:rFonts w:ascii="Times New Roman" w:hAnsi="Times New Roman" w:cs="Times New Roman"/>
        </w:rPr>
        <w:t>niž</w:t>
      </w:r>
      <w:r w:rsidRPr="0052170A">
        <w:rPr>
          <w:rFonts w:ascii="Times New Roman" w:hAnsi="Times New Roman" w:cs="Times New Roman"/>
        </w:rPr>
        <w:t>šie o </w:t>
      </w:r>
      <w:r>
        <w:rPr>
          <w:rFonts w:ascii="Times New Roman" w:hAnsi="Times New Roman" w:cs="Times New Roman"/>
        </w:rPr>
        <w:t>398</w:t>
      </w:r>
      <w:r w:rsidRPr="0052170A">
        <w:rPr>
          <w:rFonts w:ascii="Times New Roman" w:hAnsi="Times New Roman" w:cs="Times New Roman"/>
        </w:rPr>
        <w:t xml:space="preserve"> tis. eur, </w:t>
      </w:r>
      <w:r>
        <w:rPr>
          <w:rFonts w:ascii="Times New Roman" w:hAnsi="Times New Roman" w:cs="Times New Roman"/>
        </w:rPr>
        <w:t xml:space="preserve"> </w:t>
      </w:r>
      <w:r w:rsidRPr="0052170A">
        <w:rPr>
          <w:rFonts w:ascii="Times New Roman" w:hAnsi="Times New Roman" w:cs="Times New Roman"/>
        </w:rPr>
        <w:t>t. j.  o </w:t>
      </w:r>
      <w:r>
        <w:rPr>
          <w:rFonts w:ascii="Times New Roman" w:hAnsi="Times New Roman" w:cs="Times New Roman"/>
        </w:rPr>
        <w:t xml:space="preserve"> </w:t>
      </w:r>
      <w:r w:rsidRPr="0052170A">
        <w:rPr>
          <w:rFonts w:ascii="Times New Roman" w:hAnsi="Times New Roman" w:cs="Times New Roman"/>
        </w:rPr>
        <w:t>0,</w:t>
      </w:r>
      <w:r>
        <w:rPr>
          <w:rFonts w:ascii="Times New Roman" w:hAnsi="Times New Roman" w:cs="Times New Roman"/>
        </w:rPr>
        <w:t>30</w:t>
      </w:r>
      <w:r w:rsidRPr="0052170A">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br/>
        <w:t>z dôvodu</w:t>
      </w:r>
      <w:r w:rsidRPr="0052170A">
        <w:rPr>
          <w:rFonts w:ascii="Times New Roman" w:hAnsi="Times New Roman" w:cs="Times New Roman"/>
        </w:rPr>
        <w:t xml:space="preserve"> </w:t>
      </w:r>
      <w:r>
        <w:rPr>
          <w:rFonts w:ascii="Times New Roman" w:hAnsi="Times New Roman" w:cs="Times New Roman"/>
        </w:rPr>
        <w:t>nerozpočtovania</w:t>
      </w:r>
      <w:r w:rsidRPr="0052170A">
        <w:rPr>
          <w:rFonts w:ascii="Times New Roman" w:hAnsi="Times New Roman" w:cs="Times New Roman"/>
        </w:rPr>
        <w:t xml:space="preserve"> výdavkov na prípravu PPP</w:t>
      </w:r>
      <w:r>
        <w:rPr>
          <w:rFonts w:ascii="Times New Roman" w:hAnsi="Times New Roman" w:cs="Times New Roman"/>
        </w:rPr>
        <w:t> </w:t>
      </w:r>
      <w:r w:rsidRPr="0052170A">
        <w:rPr>
          <w:rFonts w:ascii="Times New Roman" w:hAnsi="Times New Roman" w:cs="Times New Roman"/>
        </w:rPr>
        <w:t>projekt</w:t>
      </w:r>
      <w:r>
        <w:rPr>
          <w:rFonts w:ascii="Times New Roman" w:hAnsi="Times New Roman" w:cs="Times New Roman"/>
        </w:rPr>
        <w:t xml:space="preserve">ov </w:t>
      </w:r>
      <w:r w:rsidRPr="0052170A">
        <w:rPr>
          <w:rFonts w:ascii="Times New Roman" w:hAnsi="Times New Roman" w:cs="Times New Roman"/>
        </w:rPr>
        <w:t>D4 a R7.</w:t>
      </w:r>
    </w:p>
    <w:p w:rsidR="007D13F3" w:rsidRPr="00775C7E" w:rsidRDefault="007D13F3" w:rsidP="007D13F3">
      <w:pPr>
        <w:ind w:firstLine="709"/>
        <w:jc w:val="both"/>
        <w:rPr>
          <w:rFonts w:ascii="Times New Roman" w:hAnsi="Times New Roman" w:cs="Times New Roman"/>
          <w:highlight w:val="yellow"/>
        </w:rPr>
      </w:pPr>
    </w:p>
    <w:p w:rsidR="007D13F3" w:rsidRPr="00252EC4" w:rsidRDefault="007D13F3" w:rsidP="007D13F3">
      <w:pPr>
        <w:jc w:val="both"/>
        <w:rPr>
          <w:rFonts w:ascii="Times New Roman" w:hAnsi="Times New Roman" w:cs="Times New Roman"/>
          <w:b/>
        </w:rPr>
      </w:pPr>
      <w:r w:rsidRPr="00252EC4">
        <w:rPr>
          <w:rFonts w:ascii="Times New Roman" w:hAnsi="Times New Roman" w:cs="Times New Roman"/>
          <w:b/>
        </w:rPr>
        <w:t>Letecká doprava</w:t>
      </w:r>
    </w:p>
    <w:p w:rsidR="007D13F3" w:rsidRPr="00252EC4" w:rsidRDefault="007D13F3" w:rsidP="007D13F3">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1000"/>
        <w:gridCol w:w="999"/>
        <w:gridCol w:w="1066"/>
        <w:gridCol w:w="1066"/>
        <w:gridCol w:w="1066"/>
        <w:gridCol w:w="1066"/>
        <w:gridCol w:w="986"/>
      </w:tblGrid>
      <w:tr w:rsidR="007D13F3" w:rsidRPr="00252EC4" w:rsidTr="00465CAC">
        <w:trPr>
          <w:trHeight w:hRule="exact" w:val="255"/>
        </w:trPr>
        <w:tc>
          <w:tcPr>
            <w:tcW w:w="1000" w:type="pct"/>
            <w:shd w:val="pct35" w:color="auto" w:fill="FFFFFF"/>
            <w:noWrap/>
            <w:vAlign w:val="center"/>
            <w:hideMark/>
          </w:tcPr>
          <w:p w:rsidR="007D13F3" w:rsidRPr="00252EC4" w:rsidRDefault="007D13F3" w:rsidP="00465CAC">
            <w:pP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v eurách</w:t>
            </w:r>
          </w:p>
        </w:tc>
        <w:tc>
          <w:tcPr>
            <w:tcW w:w="552" w:type="pct"/>
            <w:shd w:val="pct35" w:color="auto" w:fill="FFFFFF"/>
            <w:noWrap/>
            <w:vAlign w:val="center"/>
            <w:hideMark/>
          </w:tcPr>
          <w:p w:rsidR="007D13F3" w:rsidRPr="00252EC4" w:rsidRDefault="007D13F3" w:rsidP="00465CAC">
            <w:pPr>
              <w:jc w:val="cente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252EC4">
              <w:rPr>
                <w:rFonts w:ascii="Times New Roman" w:hAnsi="Times New Roman" w:cs="Times New Roman"/>
                <w:b/>
                <w:bCs/>
                <w:color w:val="000000"/>
                <w:sz w:val="14"/>
                <w:szCs w:val="14"/>
              </w:rPr>
              <w:t xml:space="preserve"> S</w:t>
            </w:r>
          </w:p>
        </w:tc>
        <w:tc>
          <w:tcPr>
            <w:tcW w:w="551" w:type="pct"/>
            <w:shd w:val="pct35" w:color="auto" w:fill="FFFFFF"/>
            <w:noWrap/>
            <w:vAlign w:val="center"/>
            <w:hideMark/>
          </w:tcPr>
          <w:p w:rsidR="007D13F3" w:rsidRPr="00252EC4" w:rsidRDefault="007D13F3" w:rsidP="00465CAC">
            <w:pPr>
              <w:jc w:val="cente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252EC4">
              <w:rPr>
                <w:rFonts w:ascii="Times New Roman" w:hAnsi="Times New Roman" w:cs="Times New Roman"/>
                <w:b/>
                <w:bCs/>
                <w:color w:val="000000"/>
                <w:sz w:val="14"/>
                <w:szCs w:val="14"/>
              </w:rPr>
              <w:t xml:space="preserve"> S</w:t>
            </w:r>
          </w:p>
        </w:tc>
        <w:tc>
          <w:tcPr>
            <w:tcW w:w="588" w:type="pct"/>
            <w:shd w:val="pct35" w:color="auto" w:fill="FFFFFF"/>
            <w:noWrap/>
            <w:vAlign w:val="center"/>
            <w:hideMark/>
          </w:tcPr>
          <w:p w:rsidR="007D13F3" w:rsidRPr="00252EC4" w:rsidRDefault="007D13F3" w:rsidP="00465CAC">
            <w:pPr>
              <w:jc w:val="cente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252EC4">
              <w:rPr>
                <w:rFonts w:ascii="Times New Roman" w:hAnsi="Times New Roman" w:cs="Times New Roman"/>
                <w:b/>
                <w:bCs/>
                <w:color w:val="000000"/>
                <w:sz w:val="14"/>
                <w:szCs w:val="14"/>
              </w:rPr>
              <w:t xml:space="preserve"> R</w:t>
            </w:r>
          </w:p>
        </w:tc>
        <w:tc>
          <w:tcPr>
            <w:tcW w:w="588" w:type="pct"/>
            <w:shd w:val="pct35" w:color="auto" w:fill="FFFFFF"/>
            <w:noWrap/>
            <w:vAlign w:val="center"/>
            <w:hideMark/>
          </w:tcPr>
          <w:p w:rsidR="007D13F3" w:rsidRPr="00252EC4" w:rsidRDefault="007D13F3" w:rsidP="00465CAC">
            <w:pPr>
              <w:jc w:val="cente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2</w:t>
            </w:r>
            <w:r>
              <w:rPr>
                <w:rFonts w:ascii="Times New Roman" w:hAnsi="Times New Roman" w:cs="Times New Roman"/>
                <w:b/>
                <w:bCs/>
                <w:color w:val="000000"/>
                <w:sz w:val="14"/>
                <w:szCs w:val="14"/>
              </w:rPr>
              <w:t>017</w:t>
            </w:r>
            <w:r w:rsidRPr="00252EC4">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OS</w:t>
            </w:r>
          </w:p>
        </w:tc>
        <w:tc>
          <w:tcPr>
            <w:tcW w:w="588" w:type="pct"/>
            <w:shd w:val="pct35" w:color="auto" w:fill="FFFFFF"/>
            <w:noWrap/>
            <w:vAlign w:val="center"/>
            <w:hideMark/>
          </w:tcPr>
          <w:p w:rsidR="007D13F3" w:rsidRPr="00252EC4" w:rsidRDefault="007D13F3" w:rsidP="00465CAC">
            <w:pPr>
              <w:jc w:val="cente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252EC4">
              <w:rPr>
                <w:rFonts w:ascii="Times New Roman" w:hAnsi="Times New Roman" w:cs="Times New Roman"/>
                <w:b/>
                <w:bCs/>
                <w:color w:val="000000"/>
                <w:sz w:val="14"/>
                <w:szCs w:val="14"/>
              </w:rPr>
              <w:t xml:space="preserve"> N</w:t>
            </w:r>
          </w:p>
        </w:tc>
        <w:tc>
          <w:tcPr>
            <w:tcW w:w="588" w:type="pct"/>
            <w:shd w:val="pct35" w:color="auto" w:fill="FFFFFF"/>
            <w:noWrap/>
            <w:vAlign w:val="center"/>
            <w:hideMark/>
          </w:tcPr>
          <w:p w:rsidR="007D13F3" w:rsidRPr="00252EC4" w:rsidRDefault="007D13F3" w:rsidP="00465CAC">
            <w:pPr>
              <w:jc w:val="cente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252EC4">
              <w:rPr>
                <w:rFonts w:ascii="Times New Roman" w:hAnsi="Times New Roman" w:cs="Times New Roman"/>
                <w:b/>
                <w:bCs/>
                <w:color w:val="000000"/>
                <w:sz w:val="14"/>
                <w:szCs w:val="14"/>
              </w:rPr>
              <w:t xml:space="preserve"> N</w:t>
            </w:r>
          </w:p>
        </w:tc>
        <w:tc>
          <w:tcPr>
            <w:tcW w:w="544" w:type="pct"/>
            <w:shd w:val="pct35" w:color="auto" w:fill="FFFFFF"/>
            <w:noWrap/>
            <w:vAlign w:val="center"/>
            <w:hideMark/>
          </w:tcPr>
          <w:p w:rsidR="007D13F3" w:rsidRPr="00252EC4" w:rsidRDefault="007D13F3" w:rsidP="00465CAC">
            <w:pPr>
              <w:jc w:val="cente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20</w:t>
            </w:r>
            <w:r>
              <w:rPr>
                <w:rFonts w:ascii="Times New Roman" w:hAnsi="Times New Roman" w:cs="Times New Roman"/>
                <w:b/>
                <w:bCs/>
                <w:color w:val="000000"/>
                <w:sz w:val="14"/>
                <w:szCs w:val="14"/>
              </w:rPr>
              <w:t>20</w:t>
            </w:r>
            <w:r w:rsidRPr="00252EC4">
              <w:rPr>
                <w:rFonts w:ascii="Times New Roman" w:hAnsi="Times New Roman" w:cs="Times New Roman"/>
                <w:b/>
                <w:bCs/>
                <w:color w:val="000000"/>
                <w:sz w:val="14"/>
                <w:szCs w:val="14"/>
              </w:rPr>
              <w:t xml:space="preserve"> N</w:t>
            </w:r>
          </w:p>
        </w:tc>
      </w:tr>
      <w:tr w:rsidR="007D13F3" w:rsidRPr="00252EC4" w:rsidTr="00465CAC">
        <w:trPr>
          <w:trHeight w:hRule="exact" w:val="255"/>
        </w:trPr>
        <w:tc>
          <w:tcPr>
            <w:tcW w:w="1000" w:type="pct"/>
            <w:shd w:val="pct25" w:color="auto" w:fill="FFFFFF"/>
            <w:noWrap/>
            <w:vAlign w:val="bottom"/>
            <w:hideMark/>
          </w:tcPr>
          <w:p w:rsidR="007D13F3" w:rsidRPr="00252EC4" w:rsidRDefault="007D13F3" w:rsidP="00465CAC">
            <w:pP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Spolu</w:t>
            </w:r>
          </w:p>
        </w:tc>
        <w:tc>
          <w:tcPr>
            <w:tcW w:w="552" w:type="pct"/>
            <w:shd w:val="pct25" w:color="auto" w:fill="FFFFFF"/>
            <w:noWrap/>
            <w:vAlign w:val="bottom"/>
            <w:hideMark/>
          </w:tcPr>
          <w:p w:rsidR="007D13F3" w:rsidRPr="00252EC4" w:rsidRDefault="007D13F3" w:rsidP="00465CAC">
            <w:pPr>
              <w:jc w:val="right"/>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6 168 020</w:t>
            </w:r>
          </w:p>
        </w:tc>
        <w:tc>
          <w:tcPr>
            <w:tcW w:w="551" w:type="pct"/>
            <w:shd w:val="pct25" w:color="auto" w:fill="FFFFFF"/>
            <w:noWrap/>
            <w:vAlign w:val="bottom"/>
          </w:tcPr>
          <w:p w:rsidR="007D13F3" w:rsidRPr="00252EC4" w:rsidRDefault="007D13F3" w:rsidP="00465CAC">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3 997 000</w:t>
            </w:r>
          </w:p>
        </w:tc>
        <w:tc>
          <w:tcPr>
            <w:tcW w:w="588" w:type="pct"/>
            <w:shd w:val="pct25" w:color="auto" w:fill="FFFFFF"/>
            <w:noWrap/>
            <w:vAlign w:val="bottom"/>
            <w:hideMark/>
          </w:tcPr>
          <w:p w:rsidR="007D13F3" w:rsidRPr="00252EC4" w:rsidRDefault="007D13F3" w:rsidP="00465CAC">
            <w:pPr>
              <w:jc w:val="right"/>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1 000 000</w:t>
            </w:r>
          </w:p>
        </w:tc>
        <w:tc>
          <w:tcPr>
            <w:tcW w:w="588" w:type="pct"/>
            <w:shd w:val="pct25" w:color="auto" w:fill="FFFFFF"/>
            <w:noWrap/>
            <w:vAlign w:val="bottom"/>
          </w:tcPr>
          <w:p w:rsidR="007D13F3" w:rsidRPr="00252EC4" w:rsidRDefault="007D13F3" w:rsidP="00465CAC">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8 706 396</w:t>
            </w:r>
          </w:p>
        </w:tc>
        <w:tc>
          <w:tcPr>
            <w:tcW w:w="588" w:type="pct"/>
            <w:shd w:val="pct25" w:color="auto" w:fill="FFFFFF"/>
            <w:noWrap/>
            <w:vAlign w:val="bottom"/>
            <w:hideMark/>
          </w:tcPr>
          <w:p w:rsidR="007D13F3" w:rsidRPr="00252EC4" w:rsidRDefault="007D13F3" w:rsidP="00465CAC">
            <w:pPr>
              <w:jc w:val="right"/>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1 000 000</w:t>
            </w:r>
          </w:p>
        </w:tc>
        <w:tc>
          <w:tcPr>
            <w:tcW w:w="588" w:type="pct"/>
            <w:shd w:val="pct25" w:color="auto" w:fill="FFFFFF"/>
            <w:noWrap/>
            <w:vAlign w:val="bottom"/>
            <w:hideMark/>
          </w:tcPr>
          <w:p w:rsidR="007D13F3" w:rsidRPr="00252EC4" w:rsidRDefault="007D13F3" w:rsidP="00465CAC">
            <w:pPr>
              <w:jc w:val="right"/>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1 000 000</w:t>
            </w:r>
          </w:p>
        </w:tc>
        <w:tc>
          <w:tcPr>
            <w:tcW w:w="544" w:type="pct"/>
            <w:shd w:val="pct25" w:color="auto" w:fill="FFFFFF"/>
            <w:noWrap/>
            <w:vAlign w:val="bottom"/>
            <w:hideMark/>
          </w:tcPr>
          <w:p w:rsidR="007D13F3" w:rsidRPr="00252EC4" w:rsidRDefault="007D13F3" w:rsidP="00465CAC">
            <w:pPr>
              <w:jc w:val="right"/>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1 000 000</w:t>
            </w:r>
          </w:p>
        </w:tc>
      </w:tr>
      <w:tr w:rsidR="007D13F3" w:rsidRPr="00252EC4" w:rsidTr="00465CAC">
        <w:trPr>
          <w:trHeight w:hRule="exact" w:val="255"/>
        </w:trPr>
        <w:tc>
          <w:tcPr>
            <w:tcW w:w="1000" w:type="pct"/>
            <w:shd w:val="clear" w:color="auto" w:fill="FFFFFF"/>
            <w:noWrap/>
            <w:vAlign w:val="bottom"/>
            <w:hideMark/>
          </w:tcPr>
          <w:p w:rsidR="007D13F3" w:rsidRPr="00252EC4" w:rsidRDefault="007D13F3" w:rsidP="00465CAC">
            <w:pPr>
              <w:rPr>
                <w:rFonts w:ascii="Times New Roman" w:hAnsi="Times New Roman" w:cs="Times New Roman"/>
                <w:color w:val="000000"/>
                <w:sz w:val="14"/>
                <w:szCs w:val="14"/>
              </w:rPr>
            </w:pPr>
            <w:r w:rsidRPr="00252EC4">
              <w:rPr>
                <w:rFonts w:ascii="Times New Roman" w:hAnsi="Times New Roman" w:cs="Times New Roman"/>
                <w:color w:val="000000"/>
                <w:sz w:val="14"/>
                <w:szCs w:val="14"/>
              </w:rPr>
              <w:t xml:space="preserve">Zdroje ŠR </w:t>
            </w:r>
          </w:p>
        </w:tc>
        <w:tc>
          <w:tcPr>
            <w:tcW w:w="552" w:type="pct"/>
            <w:shd w:val="clear" w:color="auto" w:fill="FFFFFF"/>
            <w:noWrap/>
            <w:vAlign w:val="bottom"/>
            <w:hideMark/>
          </w:tcPr>
          <w:p w:rsidR="007D13F3" w:rsidRPr="00252EC4" w:rsidRDefault="007D13F3" w:rsidP="00465CAC">
            <w:pPr>
              <w:jc w:val="right"/>
              <w:rPr>
                <w:rFonts w:ascii="Times New Roman" w:hAnsi="Times New Roman" w:cs="Times New Roman"/>
                <w:color w:val="000000"/>
                <w:sz w:val="14"/>
                <w:szCs w:val="14"/>
              </w:rPr>
            </w:pPr>
            <w:r w:rsidRPr="00252EC4">
              <w:rPr>
                <w:rFonts w:ascii="Times New Roman" w:hAnsi="Times New Roman" w:cs="Times New Roman"/>
                <w:color w:val="000000"/>
                <w:sz w:val="14"/>
                <w:szCs w:val="14"/>
              </w:rPr>
              <w:t>6 168 020</w:t>
            </w:r>
          </w:p>
        </w:tc>
        <w:tc>
          <w:tcPr>
            <w:tcW w:w="551" w:type="pct"/>
            <w:shd w:val="clear" w:color="auto" w:fill="FFFFFF"/>
            <w:noWrap/>
            <w:vAlign w:val="bottom"/>
          </w:tcPr>
          <w:p w:rsidR="007D13F3" w:rsidRPr="00252EC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3 997 000</w:t>
            </w:r>
          </w:p>
        </w:tc>
        <w:tc>
          <w:tcPr>
            <w:tcW w:w="588" w:type="pct"/>
            <w:shd w:val="clear" w:color="auto" w:fill="FFFFFF"/>
            <w:noWrap/>
            <w:vAlign w:val="bottom"/>
            <w:hideMark/>
          </w:tcPr>
          <w:p w:rsidR="007D13F3" w:rsidRPr="00252EC4" w:rsidRDefault="007D13F3" w:rsidP="00465CAC">
            <w:pPr>
              <w:jc w:val="right"/>
              <w:rPr>
                <w:rFonts w:ascii="Times New Roman" w:hAnsi="Times New Roman" w:cs="Times New Roman"/>
                <w:color w:val="000000"/>
                <w:sz w:val="14"/>
                <w:szCs w:val="14"/>
              </w:rPr>
            </w:pPr>
            <w:r w:rsidRPr="00252EC4">
              <w:rPr>
                <w:rFonts w:ascii="Times New Roman" w:hAnsi="Times New Roman" w:cs="Times New Roman"/>
                <w:color w:val="000000"/>
                <w:sz w:val="14"/>
                <w:szCs w:val="14"/>
              </w:rPr>
              <w:t>1 000 000</w:t>
            </w:r>
          </w:p>
        </w:tc>
        <w:tc>
          <w:tcPr>
            <w:tcW w:w="588" w:type="pct"/>
            <w:shd w:val="clear" w:color="auto" w:fill="FFFFFF"/>
            <w:noWrap/>
            <w:vAlign w:val="bottom"/>
          </w:tcPr>
          <w:p w:rsidR="007D13F3" w:rsidRPr="00252EC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8 706 396</w:t>
            </w:r>
          </w:p>
        </w:tc>
        <w:tc>
          <w:tcPr>
            <w:tcW w:w="588" w:type="pct"/>
            <w:shd w:val="clear" w:color="auto" w:fill="FFFFFF"/>
            <w:noWrap/>
            <w:vAlign w:val="bottom"/>
            <w:hideMark/>
          </w:tcPr>
          <w:p w:rsidR="007D13F3" w:rsidRPr="00252EC4" w:rsidRDefault="007D13F3" w:rsidP="00465CAC">
            <w:pPr>
              <w:jc w:val="right"/>
              <w:rPr>
                <w:rFonts w:ascii="Times New Roman" w:hAnsi="Times New Roman" w:cs="Times New Roman"/>
                <w:color w:val="000000"/>
                <w:sz w:val="14"/>
                <w:szCs w:val="14"/>
              </w:rPr>
            </w:pPr>
            <w:r w:rsidRPr="00252EC4">
              <w:rPr>
                <w:rFonts w:ascii="Times New Roman" w:hAnsi="Times New Roman" w:cs="Times New Roman"/>
                <w:color w:val="000000"/>
                <w:sz w:val="14"/>
                <w:szCs w:val="14"/>
              </w:rPr>
              <w:t>1 000 000</w:t>
            </w:r>
          </w:p>
        </w:tc>
        <w:tc>
          <w:tcPr>
            <w:tcW w:w="588" w:type="pct"/>
            <w:shd w:val="clear" w:color="auto" w:fill="FFFFFF"/>
            <w:noWrap/>
            <w:vAlign w:val="bottom"/>
            <w:hideMark/>
          </w:tcPr>
          <w:p w:rsidR="007D13F3" w:rsidRPr="00252EC4" w:rsidRDefault="007D13F3" w:rsidP="00465CAC">
            <w:pPr>
              <w:jc w:val="right"/>
              <w:rPr>
                <w:rFonts w:ascii="Times New Roman" w:hAnsi="Times New Roman" w:cs="Times New Roman"/>
                <w:color w:val="000000"/>
                <w:sz w:val="14"/>
                <w:szCs w:val="14"/>
              </w:rPr>
            </w:pPr>
            <w:r w:rsidRPr="00252EC4">
              <w:rPr>
                <w:rFonts w:ascii="Times New Roman" w:hAnsi="Times New Roman" w:cs="Times New Roman"/>
                <w:color w:val="000000"/>
                <w:sz w:val="14"/>
                <w:szCs w:val="14"/>
              </w:rPr>
              <w:t>1 000 000</w:t>
            </w:r>
          </w:p>
        </w:tc>
        <w:tc>
          <w:tcPr>
            <w:tcW w:w="544" w:type="pct"/>
            <w:shd w:val="clear" w:color="auto" w:fill="FFFFFF"/>
            <w:noWrap/>
            <w:vAlign w:val="bottom"/>
            <w:hideMark/>
          </w:tcPr>
          <w:p w:rsidR="007D13F3" w:rsidRPr="00252EC4" w:rsidRDefault="007D13F3" w:rsidP="00465CAC">
            <w:pPr>
              <w:jc w:val="right"/>
              <w:rPr>
                <w:rFonts w:ascii="Times New Roman" w:hAnsi="Times New Roman" w:cs="Times New Roman"/>
                <w:color w:val="000000"/>
                <w:sz w:val="14"/>
                <w:szCs w:val="14"/>
              </w:rPr>
            </w:pPr>
            <w:r w:rsidRPr="00252EC4">
              <w:rPr>
                <w:rFonts w:ascii="Times New Roman" w:hAnsi="Times New Roman" w:cs="Times New Roman"/>
                <w:color w:val="000000"/>
                <w:sz w:val="14"/>
                <w:szCs w:val="14"/>
              </w:rPr>
              <w:t>1 000 000</w:t>
            </w:r>
          </w:p>
        </w:tc>
      </w:tr>
    </w:tbl>
    <w:p w:rsidR="007D13F3" w:rsidRPr="00252EC4" w:rsidRDefault="007D13F3" w:rsidP="007D13F3">
      <w:pPr>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252EC4">
        <w:rPr>
          <w:rFonts w:ascii="Times New Roman" w:hAnsi="Times New Roman" w:cs="Times New Roman"/>
        </w:rPr>
        <w:t>V oblasti leteckej dopravy sú výdavky v roku 201</w:t>
      </w:r>
      <w:r>
        <w:rPr>
          <w:rFonts w:ascii="Times New Roman" w:hAnsi="Times New Roman" w:cs="Times New Roman"/>
        </w:rPr>
        <w:t>8</w:t>
      </w:r>
      <w:r w:rsidRPr="00252EC4">
        <w:rPr>
          <w:rFonts w:ascii="Times New Roman" w:hAnsi="Times New Roman" w:cs="Times New Roman"/>
        </w:rPr>
        <w:t xml:space="preserve"> rozpočtované vo výške 1,0 mil. eur, čo je na úrovni schváleného rozpočtu roku 201</w:t>
      </w:r>
      <w:r>
        <w:rPr>
          <w:rFonts w:ascii="Times New Roman" w:hAnsi="Times New Roman" w:cs="Times New Roman"/>
        </w:rPr>
        <w:t>7</w:t>
      </w:r>
      <w:r w:rsidRPr="00252EC4">
        <w:rPr>
          <w:rFonts w:ascii="Times New Roman" w:hAnsi="Times New Roman" w:cs="Times New Roman"/>
        </w:rPr>
        <w:t xml:space="preserve">. Výdavky sú smerované najmä na poskytovanie služieb súvisiacich s odbavovaním letov oslobodených od odplát. </w:t>
      </w:r>
    </w:p>
    <w:p w:rsidR="007D13F3" w:rsidRPr="00C816E1" w:rsidRDefault="007D13F3" w:rsidP="007D13F3">
      <w:pPr>
        <w:spacing w:after="160" w:line="259" w:lineRule="auto"/>
        <w:rPr>
          <w:rFonts w:ascii="Times New Roman" w:hAnsi="Times New Roman" w:cs="Times New Roman"/>
        </w:rPr>
      </w:pPr>
      <w:r>
        <w:rPr>
          <w:rFonts w:ascii="Times New Roman" w:hAnsi="Times New Roman" w:cs="Times New Roman"/>
        </w:rPr>
        <w:br w:type="page"/>
      </w:r>
      <w:r w:rsidRPr="00E90AA1">
        <w:rPr>
          <w:rFonts w:ascii="Times New Roman" w:hAnsi="Times New Roman" w:cs="Times New Roman"/>
          <w:b/>
        </w:rPr>
        <w:lastRenderedPageBreak/>
        <w:t>Vodná doprava</w:t>
      </w:r>
    </w:p>
    <w:tbl>
      <w:tblPr>
        <w:tblW w:w="5000" w:type="pct"/>
        <w:tblCellMar>
          <w:left w:w="70" w:type="dxa"/>
          <w:right w:w="70" w:type="dxa"/>
        </w:tblCellMar>
        <w:tblLook w:val="04A0" w:firstRow="1" w:lastRow="0" w:firstColumn="1" w:lastColumn="0" w:noHBand="0" w:noVBand="1"/>
      </w:tblPr>
      <w:tblGrid>
        <w:gridCol w:w="1948"/>
        <w:gridCol w:w="1019"/>
        <w:gridCol w:w="1019"/>
        <w:gridCol w:w="1019"/>
        <w:gridCol w:w="1019"/>
        <w:gridCol w:w="1019"/>
        <w:gridCol w:w="1019"/>
        <w:gridCol w:w="1000"/>
      </w:tblGrid>
      <w:tr w:rsidR="007D13F3" w:rsidRPr="00E90AA1" w:rsidTr="00465CAC">
        <w:trPr>
          <w:trHeight w:hRule="exact" w:val="255"/>
        </w:trPr>
        <w:tc>
          <w:tcPr>
            <w:tcW w:w="1075" w:type="pct"/>
            <w:tcBorders>
              <w:top w:val="single" w:sz="4" w:space="0" w:color="auto"/>
              <w:left w:val="single" w:sz="4" w:space="0" w:color="auto"/>
              <w:bottom w:val="single" w:sz="4" w:space="0" w:color="auto"/>
              <w:right w:val="single" w:sz="4" w:space="0" w:color="auto"/>
            </w:tcBorders>
            <w:shd w:val="pct35" w:color="000000" w:fill="FFFFFF"/>
            <w:noWrap/>
            <w:vAlign w:val="center"/>
            <w:hideMark/>
          </w:tcPr>
          <w:p w:rsidR="007D13F3" w:rsidRPr="00E90AA1" w:rsidRDefault="007D13F3" w:rsidP="00465CAC">
            <w:pPr>
              <w:rPr>
                <w:rFonts w:ascii="Times New Roman" w:hAnsi="Times New Roman" w:cs="Times New Roman"/>
                <w:b/>
                <w:bCs/>
                <w:color w:val="000000"/>
                <w:sz w:val="14"/>
                <w:szCs w:val="14"/>
                <w:lang w:eastAsia="sk-SK"/>
              </w:rPr>
            </w:pPr>
            <w:r w:rsidRPr="00E90AA1">
              <w:rPr>
                <w:rFonts w:ascii="Times New Roman" w:hAnsi="Times New Roman" w:cs="Times New Roman"/>
                <w:b/>
                <w:bCs/>
                <w:color w:val="000000"/>
                <w:sz w:val="14"/>
                <w:szCs w:val="14"/>
                <w:lang w:eastAsia="sk-SK"/>
              </w:rPr>
              <w:t>v eurách</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7D13F3" w:rsidRPr="00E90AA1" w:rsidRDefault="007D13F3" w:rsidP="00465CAC">
            <w:pPr>
              <w:jc w:val="center"/>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E90AA1">
              <w:rPr>
                <w:rFonts w:ascii="Times New Roman" w:hAnsi="Times New Roman" w:cs="Times New Roman"/>
                <w:b/>
                <w:bCs/>
                <w:color w:val="000000"/>
                <w:sz w:val="14"/>
                <w:szCs w:val="14"/>
              </w:rPr>
              <w:t xml:space="preserve"> 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7D13F3" w:rsidRPr="00E90AA1" w:rsidRDefault="007D13F3" w:rsidP="00465CAC">
            <w:pPr>
              <w:jc w:val="center"/>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E90AA1">
              <w:rPr>
                <w:rFonts w:ascii="Times New Roman" w:hAnsi="Times New Roman" w:cs="Times New Roman"/>
                <w:b/>
                <w:bCs/>
                <w:color w:val="000000"/>
                <w:sz w:val="14"/>
                <w:szCs w:val="14"/>
              </w:rPr>
              <w:t xml:space="preserve"> 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7D13F3" w:rsidRPr="00E90AA1" w:rsidRDefault="007D13F3" w:rsidP="00465CAC">
            <w:pPr>
              <w:jc w:val="center"/>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E90AA1">
              <w:rPr>
                <w:rFonts w:ascii="Times New Roman" w:hAnsi="Times New Roman" w:cs="Times New Roman"/>
                <w:b/>
                <w:bCs/>
                <w:color w:val="000000"/>
                <w:sz w:val="14"/>
                <w:szCs w:val="14"/>
              </w:rPr>
              <w:t xml:space="preserve"> R</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7D13F3" w:rsidRPr="00E90AA1" w:rsidRDefault="007D13F3" w:rsidP="00465CAC">
            <w:pPr>
              <w:jc w:val="center"/>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 OS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7D13F3" w:rsidRPr="00E90AA1" w:rsidRDefault="007D13F3" w:rsidP="00465CAC">
            <w:pPr>
              <w:jc w:val="center"/>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2</w:t>
            </w:r>
            <w:r>
              <w:rPr>
                <w:rFonts w:ascii="Times New Roman" w:hAnsi="Times New Roman" w:cs="Times New Roman"/>
                <w:b/>
                <w:bCs/>
                <w:color w:val="000000"/>
                <w:sz w:val="14"/>
                <w:szCs w:val="14"/>
              </w:rPr>
              <w:t>018</w:t>
            </w:r>
            <w:r w:rsidRPr="00E90AA1">
              <w:rPr>
                <w:rFonts w:ascii="Times New Roman" w:hAnsi="Times New Roman" w:cs="Times New Roman"/>
                <w:b/>
                <w:bCs/>
                <w:color w:val="000000"/>
                <w:sz w:val="14"/>
                <w:szCs w:val="14"/>
              </w:rPr>
              <w:t xml:space="preserve"> N</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7D13F3" w:rsidRPr="00E90AA1" w:rsidRDefault="007D13F3" w:rsidP="00465CAC">
            <w:pPr>
              <w:jc w:val="center"/>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E90AA1">
              <w:rPr>
                <w:rFonts w:ascii="Times New Roman" w:hAnsi="Times New Roman" w:cs="Times New Roman"/>
                <w:b/>
                <w:bCs/>
                <w:color w:val="000000"/>
                <w:sz w:val="14"/>
                <w:szCs w:val="14"/>
              </w:rPr>
              <w:t xml:space="preserve"> N</w:t>
            </w:r>
          </w:p>
        </w:tc>
        <w:tc>
          <w:tcPr>
            <w:tcW w:w="552" w:type="pct"/>
            <w:tcBorders>
              <w:top w:val="single" w:sz="4" w:space="0" w:color="auto"/>
              <w:left w:val="nil"/>
              <w:bottom w:val="single" w:sz="4" w:space="0" w:color="auto"/>
              <w:right w:val="single" w:sz="4" w:space="0" w:color="auto"/>
            </w:tcBorders>
            <w:shd w:val="pct35" w:color="000000" w:fill="FFFFFF"/>
            <w:noWrap/>
            <w:vAlign w:val="center"/>
            <w:hideMark/>
          </w:tcPr>
          <w:p w:rsidR="007D13F3" w:rsidRPr="00E90AA1" w:rsidRDefault="007D13F3" w:rsidP="00465CAC">
            <w:pPr>
              <w:jc w:val="center"/>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20</w:t>
            </w:r>
            <w:r>
              <w:rPr>
                <w:rFonts w:ascii="Times New Roman" w:hAnsi="Times New Roman" w:cs="Times New Roman"/>
                <w:b/>
                <w:bCs/>
                <w:color w:val="000000"/>
                <w:sz w:val="14"/>
                <w:szCs w:val="14"/>
              </w:rPr>
              <w:t>20</w:t>
            </w:r>
            <w:r w:rsidRPr="00E90AA1">
              <w:rPr>
                <w:rFonts w:ascii="Times New Roman" w:hAnsi="Times New Roman" w:cs="Times New Roman"/>
                <w:b/>
                <w:bCs/>
                <w:color w:val="000000"/>
                <w:sz w:val="14"/>
                <w:szCs w:val="14"/>
              </w:rPr>
              <w:t xml:space="preserve"> N</w:t>
            </w:r>
          </w:p>
        </w:tc>
      </w:tr>
      <w:tr w:rsidR="007D13F3" w:rsidRPr="00E90AA1" w:rsidTr="00465CAC">
        <w:trPr>
          <w:trHeight w:hRule="exact" w:val="255"/>
        </w:trPr>
        <w:tc>
          <w:tcPr>
            <w:tcW w:w="1075" w:type="pc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7D13F3" w:rsidRPr="00E90AA1" w:rsidRDefault="007D13F3" w:rsidP="00465CAC">
            <w:pPr>
              <w:rPr>
                <w:rFonts w:ascii="Times New Roman" w:hAnsi="Times New Roman" w:cs="Times New Roman"/>
                <w:b/>
                <w:bCs/>
                <w:color w:val="000000"/>
                <w:sz w:val="14"/>
                <w:szCs w:val="14"/>
                <w:lang w:eastAsia="sk-SK"/>
              </w:rPr>
            </w:pPr>
            <w:r w:rsidRPr="00E90AA1">
              <w:rPr>
                <w:rFonts w:ascii="Times New Roman" w:hAnsi="Times New Roman" w:cs="Times New Roman"/>
                <w:b/>
                <w:bCs/>
                <w:color w:val="000000"/>
                <w:sz w:val="14"/>
                <w:szCs w:val="14"/>
                <w:lang w:eastAsia="sk-SK"/>
              </w:rPr>
              <w:t>Spolu</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7D13F3" w:rsidRPr="00E90AA1" w:rsidRDefault="007D13F3" w:rsidP="00465CAC">
            <w:pPr>
              <w:jc w:val="right"/>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173 615</w:t>
            </w:r>
          </w:p>
        </w:tc>
        <w:tc>
          <w:tcPr>
            <w:tcW w:w="562" w:type="pct"/>
            <w:tcBorders>
              <w:top w:val="single" w:sz="4" w:space="0" w:color="auto"/>
              <w:left w:val="nil"/>
              <w:bottom w:val="single" w:sz="4" w:space="0" w:color="auto"/>
              <w:right w:val="single" w:sz="4" w:space="0" w:color="auto"/>
            </w:tcBorders>
            <w:shd w:val="pct25" w:color="000000" w:fill="FFFFFF"/>
            <w:noWrap/>
            <w:vAlign w:val="bottom"/>
          </w:tcPr>
          <w:p w:rsidR="007D13F3" w:rsidRPr="00E90AA1" w:rsidRDefault="007D13F3" w:rsidP="00465CAC">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233 333</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7D13F3" w:rsidRPr="00E90AA1" w:rsidRDefault="007D13F3" w:rsidP="00465CAC">
            <w:pPr>
              <w:jc w:val="right"/>
              <w:rPr>
                <w:rFonts w:ascii="Times New Roman" w:hAnsi="Times New Roman" w:cs="Times New Roman"/>
                <w:b/>
                <w:bCs/>
                <w:color w:val="000000"/>
                <w:sz w:val="14"/>
                <w:szCs w:val="14"/>
              </w:rPr>
            </w:pPr>
            <w:r w:rsidRPr="00E90AA1">
              <w:rPr>
                <w:rFonts w:ascii="Times New Roman" w:hAnsi="Times New Roman" w:cs="Times New Roman"/>
                <w:b/>
                <w:bCs/>
                <w:color w:val="000000"/>
                <w:sz w:val="14"/>
                <w:szCs w:val="14"/>
              </w:rPr>
              <w:t>2 697 973</w:t>
            </w:r>
          </w:p>
        </w:tc>
        <w:tc>
          <w:tcPr>
            <w:tcW w:w="562" w:type="pct"/>
            <w:tcBorders>
              <w:top w:val="single" w:sz="4" w:space="0" w:color="auto"/>
              <w:left w:val="nil"/>
              <w:bottom w:val="single" w:sz="4" w:space="0" w:color="auto"/>
              <w:right w:val="single" w:sz="4" w:space="0" w:color="auto"/>
            </w:tcBorders>
            <w:shd w:val="pct25" w:color="000000" w:fill="FFFFFF"/>
            <w:noWrap/>
            <w:vAlign w:val="bottom"/>
          </w:tcPr>
          <w:p w:rsidR="007D13F3" w:rsidRPr="00E90AA1" w:rsidRDefault="007D13F3" w:rsidP="00465CAC">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416 241</w:t>
            </w:r>
          </w:p>
        </w:tc>
        <w:tc>
          <w:tcPr>
            <w:tcW w:w="562" w:type="pct"/>
            <w:tcBorders>
              <w:top w:val="single" w:sz="4" w:space="0" w:color="auto"/>
              <w:left w:val="nil"/>
              <w:bottom w:val="single" w:sz="4" w:space="0" w:color="auto"/>
              <w:right w:val="single" w:sz="4" w:space="0" w:color="auto"/>
            </w:tcBorders>
            <w:shd w:val="pct25" w:color="000000" w:fill="FFFFFF"/>
            <w:noWrap/>
            <w:vAlign w:val="bottom"/>
          </w:tcPr>
          <w:p w:rsidR="007D13F3" w:rsidRPr="00B9790A"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rPr>
              <w:t>202</w:t>
            </w:r>
            <w:r w:rsidRPr="00B9790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6</w:t>
            </w:r>
            <w:r w:rsidRPr="00B9790A">
              <w:rPr>
                <w:rFonts w:ascii="Times New Roman" w:hAnsi="Times New Roman" w:cs="Times New Roman"/>
                <w:b/>
                <w:bCs/>
                <w:color w:val="000000"/>
                <w:sz w:val="14"/>
                <w:szCs w:val="14"/>
              </w:rPr>
              <w:t>4</w:t>
            </w:r>
            <w:r>
              <w:rPr>
                <w:rFonts w:ascii="Times New Roman" w:hAnsi="Times New Roman" w:cs="Times New Roman"/>
                <w:b/>
                <w:bCs/>
                <w:color w:val="000000"/>
                <w:sz w:val="14"/>
                <w:szCs w:val="14"/>
              </w:rPr>
              <w:t>7</w:t>
            </w:r>
          </w:p>
        </w:tc>
        <w:tc>
          <w:tcPr>
            <w:tcW w:w="562" w:type="pct"/>
            <w:tcBorders>
              <w:top w:val="single" w:sz="4" w:space="0" w:color="auto"/>
              <w:left w:val="nil"/>
              <w:bottom w:val="single" w:sz="4" w:space="0" w:color="auto"/>
              <w:right w:val="single" w:sz="4" w:space="0" w:color="auto"/>
            </w:tcBorders>
            <w:shd w:val="pct25" w:color="000000" w:fill="FFFFFF"/>
            <w:noWrap/>
            <w:vAlign w:val="bottom"/>
          </w:tcPr>
          <w:p w:rsidR="007D13F3" w:rsidRPr="00B9790A" w:rsidRDefault="007D13F3" w:rsidP="00465CAC">
            <w:pPr>
              <w:jc w:val="right"/>
              <w:rPr>
                <w:rFonts w:ascii="Times New Roman" w:hAnsi="Times New Roman" w:cs="Times New Roman"/>
                <w:b/>
                <w:bCs/>
                <w:color w:val="000000"/>
                <w:sz w:val="14"/>
                <w:szCs w:val="14"/>
              </w:rPr>
            </w:pPr>
            <w:r w:rsidRPr="00B9790A">
              <w:rPr>
                <w:rFonts w:ascii="Times New Roman" w:hAnsi="Times New Roman" w:cs="Times New Roman"/>
                <w:b/>
                <w:bCs/>
                <w:color w:val="000000"/>
                <w:sz w:val="14"/>
                <w:szCs w:val="14"/>
              </w:rPr>
              <w:t>2 799 495</w:t>
            </w:r>
          </w:p>
        </w:tc>
        <w:tc>
          <w:tcPr>
            <w:tcW w:w="552" w:type="pct"/>
            <w:tcBorders>
              <w:top w:val="single" w:sz="4" w:space="0" w:color="auto"/>
              <w:left w:val="nil"/>
              <w:bottom w:val="single" w:sz="4" w:space="0" w:color="auto"/>
              <w:right w:val="single" w:sz="4" w:space="0" w:color="auto"/>
            </w:tcBorders>
            <w:shd w:val="pct25" w:color="000000" w:fill="FFFFFF"/>
            <w:noWrap/>
            <w:vAlign w:val="bottom"/>
          </w:tcPr>
          <w:p w:rsidR="007D13F3" w:rsidRPr="00B9790A" w:rsidRDefault="007D13F3" w:rsidP="00465CAC">
            <w:pPr>
              <w:jc w:val="right"/>
              <w:rPr>
                <w:rFonts w:ascii="Times New Roman" w:hAnsi="Times New Roman" w:cs="Times New Roman"/>
                <w:b/>
                <w:bCs/>
                <w:color w:val="000000"/>
                <w:sz w:val="14"/>
                <w:szCs w:val="14"/>
              </w:rPr>
            </w:pPr>
            <w:r w:rsidRPr="00B9790A">
              <w:rPr>
                <w:rFonts w:ascii="Times New Roman" w:hAnsi="Times New Roman" w:cs="Times New Roman"/>
                <w:b/>
                <w:bCs/>
                <w:color w:val="000000"/>
                <w:sz w:val="14"/>
                <w:szCs w:val="14"/>
              </w:rPr>
              <w:t>2 799 495</w:t>
            </w:r>
          </w:p>
        </w:tc>
      </w:tr>
      <w:tr w:rsidR="007D13F3" w:rsidRPr="00E90AA1" w:rsidTr="00465CAC">
        <w:trPr>
          <w:trHeight w:hRule="exact" w:val="255"/>
        </w:trPr>
        <w:tc>
          <w:tcPr>
            <w:tcW w:w="1075" w:type="pct"/>
            <w:tcBorders>
              <w:top w:val="nil"/>
              <w:left w:val="single" w:sz="4" w:space="0" w:color="auto"/>
              <w:bottom w:val="single" w:sz="4" w:space="0" w:color="auto"/>
              <w:right w:val="single" w:sz="4" w:space="0" w:color="auto"/>
            </w:tcBorders>
            <w:noWrap/>
            <w:vAlign w:val="bottom"/>
            <w:hideMark/>
          </w:tcPr>
          <w:p w:rsidR="007D13F3" w:rsidRPr="00E90AA1" w:rsidRDefault="007D13F3" w:rsidP="00465CAC">
            <w:pPr>
              <w:rPr>
                <w:rFonts w:ascii="Times New Roman" w:hAnsi="Times New Roman" w:cs="Times New Roman"/>
                <w:color w:val="000000"/>
                <w:sz w:val="14"/>
                <w:szCs w:val="14"/>
                <w:lang w:eastAsia="sk-SK"/>
              </w:rPr>
            </w:pPr>
            <w:r w:rsidRPr="00E90AA1">
              <w:rPr>
                <w:rFonts w:ascii="Times New Roman" w:hAnsi="Times New Roman" w:cs="Times New Roman"/>
                <w:color w:val="000000"/>
                <w:sz w:val="14"/>
                <w:szCs w:val="14"/>
                <w:lang w:eastAsia="sk-SK"/>
              </w:rPr>
              <w:t>Prostriedky ŠR</w:t>
            </w:r>
          </w:p>
        </w:tc>
        <w:tc>
          <w:tcPr>
            <w:tcW w:w="562" w:type="pct"/>
            <w:tcBorders>
              <w:top w:val="nil"/>
              <w:left w:val="nil"/>
              <w:bottom w:val="single" w:sz="4" w:space="0" w:color="auto"/>
              <w:right w:val="single" w:sz="4" w:space="0" w:color="auto"/>
            </w:tcBorders>
            <w:shd w:val="clear" w:color="000000" w:fill="FFFFFF"/>
            <w:noWrap/>
            <w:vAlign w:val="bottom"/>
            <w:hideMark/>
          </w:tcPr>
          <w:p w:rsidR="007D13F3" w:rsidRPr="00E90AA1" w:rsidRDefault="007D13F3" w:rsidP="00465CAC">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173 615</w:t>
            </w:r>
          </w:p>
        </w:tc>
        <w:tc>
          <w:tcPr>
            <w:tcW w:w="562" w:type="pct"/>
            <w:tcBorders>
              <w:top w:val="nil"/>
              <w:left w:val="nil"/>
              <w:bottom w:val="single" w:sz="4" w:space="0" w:color="auto"/>
              <w:right w:val="single" w:sz="4" w:space="0" w:color="auto"/>
            </w:tcBorders>
            <w:shd w:val="clear" w:color="000000" w:fill="FFFFFF"/>
            <w:noWrap/>
            <w:vAlign w:val="bottom"/>
          </w:tcPr>
          <w:p w:rsidR="007D13F3" w:rsidRPr="00E90AA1"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183 560</w:t>
            </w:r>
          </w:p>
        </w:tc>
        <w:tc>
          <w:tcPr>
            <w:tcW w:w="562" w:type="pct"/>
            <w:tcBorders>
              <w:top w:val="nil"/>
              <w:left w:val="nil"/>
              <w:bottom w:val="single" w:sz="4" w:space="0" w:color="auto"/>
              <w:right w:val="single" w:sz="4" w:space="0" w:color="auto"/>
            </w:tcBorders>
            <w:shd w:val="clear" w:color="000000" w:fill="FFFFFF"/>
            <w:noWrap/>
            <w:vAlign w:val="bottom"/>
            <w:hideMark/>
          </w:tcPr>
          <w:p w:rsidR="007D13F3" w:rsidRPr="00E90AA1" w:rsidRDefault="007D13F3" w:rsidP="00465CAC">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197 973</w:t>
            </w:r>
          </w:p>
        </w:tc>
        <w:tc>
          <w:tcPr>
            <w:tcW w:w="562" w:type="pct"/>
            <w:tcBorders>
              <w:top w:val="nil"/>
              <w:left w:val="nil"/>
              <w:bottom w:val="single" w:sz="4" w:space="0" w:color="auto"/>
              <w:right w:val="single" w:sz="4" w:space="0" w:color="auto"/>
            </w:tcBorders>
            <w:shd w:val="clear" w:color="000000" w:fill="FFFFFF"/>
            <w:noWrap/>
            <w:vAlign w:val="bottom"/>
          </w:tcPr>
          <w:p w:rsidR="007D13F3" w:rsidRPr="00E90AA1"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416 241</w:t>
            </w:r>
          </w:p>
        </w:tc>
        <w:tc>
          <w:tcPr>
            <w:tcW w:w="562" w:type="pct"/>
            <w:tcBorders>
              <w:top w:val="nil"/>
              <w:left w:val="nil"/>
              <w:bottom w:val="single" w:sz="4" w:space="0" w:color="auto"/>
              <w:right w:val="single" w:sz="4" w:space="0" w:color="auto"/>
            </w:tcBorders>
            <w:shd w:val="clear" w:color="000000" w:fill="FFFFFF"/>
            <w:noWrap/>
            <w:vAlign w:val="bottom"/>
          </w:tcPr>
          <w:p w:rsidR="007D13F3" w:rsidRPr="00B9790A" w:rsidRDefault="007D13F3" w:rsidP="00465CAC">
            <w:pPr>
              <w:jc w:val="right"/>
              <w:rPr>
                <w:rFonts w:ascii="Times New Roman" w:hAnsi="Times New Roman" w:cs="Times New Roman"/>
                <w:color w:val="000000"/>
                <w:sz w:val="14"/>
                <w:szCs w:val="14"/>
              </w:rPr>
            </w:pPr>
            <w:r w:rsidRPr="00B9790A">
              <w:rPr>
                <w:rFonts w:ascii="Times New Roman" w:hAnsi="Times New Roman" w:cs="Times New Roman"/>
                <w:color w:val="000000"/>
                <w:sz w:val="14"/>
                <w:szCs w:val="14"/>
              </w:rPr>
              <w:t>202 647</w:t>
            </w:r>
          </w:p>
        </w:tc>
        <w:tc>
          <w:tcPr>
            <w:tcW w:w="562" w:type="pct"/>
            <w:tcBorders>
              <w:top w:val="nil"/>
              <w:left w:val="nil"/>
              <w:bottom w:val="single" w:sz="4" w:space="0" w:color="auto"/>
              <w:right w:val="single" w:sz="4" w:space="0" w:color="auto"/>
            </w:tcBorders>
            <w:shd w:val="clear" w:color="000000" w:fill="FFFFFF"/>
            <w:noWrap/>
            <w:vAlign w:val="bottom"/>
          </w:tcPr>
          <w:p w:rsidR="007D13F3" w:rsidRPr="00B9790A" w:rsidRDefault="007D13F3" w:rsidP="00465CAC">
            <w:pPr>
              <w:jc w:val="right"/>
              <w:rPr>
                <w:rFonts w:ascii="Times New Roman" w:hAnsi="Times New Roman" w:cs="Times New Roman"/>
                <w:color w:val="000000"/>
                <w:sz w:val="14"/>
                <w:szCs w:val="14"/>
              </w:rPr>
            </w:pPr>
            <w:r w:rsidRPr="00B9790A">
              <w:rPr>
                <w:rFonts w:ascii="Times New Roman" w:hAnsi="Times New Roman" w:cs="Times New Roman"/>
                <w:color w:val="000000"/>
                <w:sz w:val="14"/>
                <w:szCs w:val="14"/>
              </w:rPr>
              <w:t>202 647</w:t>
            </w:r>
          </w:p>
        </w:tc>
        <w:tc>
          <w:tcPr>
            <w:tcW w:w="552" w:type="pct"/>
            <w:tcBorders>
              <w:top w:val="nil"/>
              <w:left w:val="nil"/>
              <w:bottom w:val="single" w:sz="4" w:space="0" w:color="auto"/>
              <w:right w:val="single" w:sz="4" w:space="0" w:color="auto"/>
            </w:tcBorders>
            <w:shd w:val="clear" w:color="000000" w:fill="FFFFFF"/>
            <w:noWrap/>
            <w:vAlign w:val="bottom"/>
          </w:tcPr>
          <w:p w:rsidR="007D13F3" w:rsidRPr="00B9790A" w:rsidRDefault="007D13F3" w:rsidP="00465CAC">
            <w:pPr>
              <w:jc w:val="right"/>
              <w:rPr>
                <w:rFonts w:ascii="Times New Roman" w:hAnsi="Times New Roman" w:cs="Times New Roman"/>
                <w:color w:val="000000"/>
                <w:sz w:val="14"/>
                <w:szCs w:val="14"/>
              </w:rPr>
            </w:pPr>
            <w:r w:rsidRPr="00B9790A">
              <w:rPr>
                <w:rFonts w:ascii="Times New Roman" w:hAnsi="Times New Roman" w:cs="Times New Roman"/>
                <w:color w:val="000000"/>
                <w:sz w:val="14"/>
                <w:szCs w:val="14"/>
              </w:rPr>
              <w:t>202 647</w:t>
            </w:r>
          </w:p>
        </w:tc>
      </w:tr>
      <w:tr w:rsidR="007D13F3" w:rsidRPr="00E90AA1" w:rsidTr="00465CAC">
        <w:trPr>
          <w:trHeight w:hRule="exact" w:val="255"/>
        </w:trPr>
        <w:tc>
          <w:tcPr>
            <w:tcW w:w="1075" w:type="pct"/>
            <w:tcBorders>
              <w:top w:val="nil"/>
              <w:left w:val="single" w:sz="4" w:space="0" w:color="auto"/>
              <w:bottom w:val="single" w:sz="4" w:space="0" w:color="auto"/>
              <w:right w:val="single" w:sz="4" w:space="0" w:color="auto"/>
            </w:tcBorders>
            <w:noWrap/>
            <w:vAlign w:val="bottom"/>
            <w:hideMark/>
          </w:tcPr>
          <w:p w:rsidR="007D13F3" w:rsidRPr="00E90AA1" w:rsidRDefault="007D13F3" w:rsidP="00465CAC">
            <w:pPr>
              <w:rPr>
                <w:rFonts w:ascii="Times New Roman" w:hAnsi="Times New Roman" w:cs="Times New Roman"/>
                <w:color w:val="000000"/>
                <w:sz w:val="14"/>
                <w:szCs w:val="14"/>
                <w:lang w:eastAsia="sk-SK"/>
              </w:rPr>
            </w:pPr>
            <w:r w:rsidRPr="00E90AA1">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vAlign w:val="bottom"/>
            <w:hideMark/>
          </w:tcPr>
          <w:p w:rsidR="007D13F3" w:rsidRPr="00E90AA1" w:rsidRDefault="007D13F3" w:rsidP="00465CAC">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7D13F3" w:rsidRPr="00E90AA1"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25 201</w:t>
            </w:r>
          </w:p>
        </w:tc>
        <w:tc>
          <w:tcPr>
            <w:tcW w:w="562" w:type="pct"/>
            <w:tcBorders>
              <w:top w:val="nil"/>
              <w:left w:val="nil"/>
              <w:bottom w:val="single" w:sz="4" w:space="0" w:color="auto"/>
              <w:right w:val="single" w:sz="4" w:space="0" w:color="auto"/>
            </w:tcBorders>
            <w:noWrap/>
            <w:vAlign w:val="bottom"/>
            <w:hideMark/>
          </w:tcPr>
          <w:p w:rsidR="007D13F3" w:rsidRPr="00E90AA1" w:rsidRDefault="007D13F3" w:rsidP="00465CAC">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2 125 000</w:t>
            </w:r>
          </w:p>
        </w:tc>
        <w:tc>
          <w:tcPr>
            <w:tcW w:w="562" w:type="pct"/>
            <w:tcBorders>
              <w:top w:val="nil"/>
              <w:left w:val="nil"/>
              <w:bottom w:val="single" w:sz="4" w:space="0" w:color="auto"/>
              <w:right w:val="single" w:sz="4" w:space="0" w:color="auto"/>
            </w:tcBorders>
            <w:noWrap/>
            <w:vAlign w:val="bottom"/>
          </w:tcPr>
          <w:p w:rsidR="007D13F3" w:rsidRPr="00E90AA1"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7D13F3" w:rsidRPr="00B9790A"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7D13F3" w:rsidRPr="00B9790A" w:rsidRDefault="007D13F3" w:rsidP="00465CAC">
            <w:pPr>
              <w:jc w:val="right"/>
              <w:rPr>
                <w:rFonts w:ascii="Times New Roman" w:hAnsi="Times New Roman" w:cs="Times New Roman"/>
                <w:color w:val="000000"/>
                <w:sz w:val="14"/>
                <w:szCs w:val="14"/>
              </w:rPr>
            </w:pPr>
            <w:r w:rsidRPr="00B9790A">
              <w:rPr>
                <w:rFonts w:ascii="Times New Roman" w:hAnsi="Times New Roman" w:cs="Times New Roman"/>
                <w:color w:val="000000"/>
                <w:sz w:val="14"/>
                <w:szCs w:val="14"/>
              </w:rPr>
              <w:t>2 364 986</w:t>
            </w:r>
          </w:p>
        </w:tc>
        <w:tc>
          <w:tcPr>
            <w:tcW w:w="552" w:type="pct"/>
            <w:tcBorders>
              <w:top w:val="nil"/>
              <w:left w:val="nil"/>
              <w:bottom w:val="single" w:sz="4" w:space="0" w:color="auto"/>
              <w:right w:val="single" w:sz="4" w:space="0" w:color="auto"/>
            </w:tcBorders>
            <w:noWrap/>
            <w:vAlign w:val="bottom"/>
          </w:tcPr>
          <w:p w:rsidR="007D13F3" w:rsidRPr="00B9790A" w:rsidRDefault="007D13F3" w:rsidP="00465CAC">
            <w:pPr>
              <w:jc w:val="right"/>
              <w:rPr>
                <w:rFonts w:ascii="Times New Roman" w:hAnsi="Times New Roman" w:cs="Times New Roman"/>
                <w:color w:val="000000"/>
                <w:sz w:val="14"/>
                <w:szCs w:val="14"/>
              </w:rPr>
            </w:pPr>
            <w:r w:rsidRPr="00B9790A">
              <w:rPr>
                <w:rFonts w:ascii="Times New Roman" w:hAnsi="Times New Roman" w:cs="Times New Roman"/>
                <w:color w:val="000000"/>
                <w:sz w:val="14"/>
                <w:szCs w:val="14"/>
              </w:rPr>
              <w:t>2 364 986</w:t>
            </w:r>
          </w:p>
        </w:tc>
      </w:tr>
      <w:tr w:rsidR="007D13F3" w:rsidRPr="00775C7E" w:rsidTr="00465CAC">
        <w:trPr>
          <w:trHeight w:hRule="exact" w:val="255"/>
        </w:trPr>
        <w:tc>
          <w:tcPr>
            <w:tcW w:w="1075" w:type="pct"/>
            <w:tcBorders>
              <w:top w:val="nil"/>
              <w:left w:val="single" w:sz="4" w:space="0" w:color="auto"/>
              <w:bottom w:val="single" w:sz="4" w:space="0" w:color="auto"/>
              <w:right w:val="single" w:sz="4" w:space="0" w:color="auto"/>
            </w:tcBorders>
            <w:noWrap/>
            <w:vAlign w:val="bottom"/>
            <w:hideMark/>
          </w:tcPr>
          <w:p w:rsidR="007D13F3" w:rsidRPr="00E90AA1" w:rsidRDefault="007D13F3" w:rsidP="00465CAC">
            <w:pPr>
              <w:rPr>
                <w:rFonts w:ascii="Times New Roman" w:hAnsi="Times New Roman" w:cs="Times New Roman"/>
                <w:color w:val="000000"/>
                <w:sz w:val="14"/>
                <w:szCs w:val="14"/>
                <w:lang w:eastAsia="sk-SK"/>
              </w:rPr>
            </w:pPr>
            <w:r w:rsidRPr="00E90AA1">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vAlign w:val="bottom"/>
            <w:hideMark/>
          </w:tcPr>
          <w:p w:rsidR="007D13F3" w:rsidRPr="00E90AA1" w:rsidRDefault="007D13F3" w:rsidP="00465CAC">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7D13F3" w:rsidRPr="00E90AA1"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24 572</w:t>
            </w:r>
          </w:p>
        </w:tc>
        <w:tc>
          <w:tcPr>
            <w:tcW w:w="562" w:type="pct"/>
            <w:tcBorders>
              <w:top w:val="nil"/>
              <w:left w:val="nil"/>
              <w:bottom w:val="single" w:sz="4" w:space="0" w:color="auto"/>
              <w:right w:val="single" w:sz="4" w:space="0" w:color="auto"/>
            </w:tcBorders>
            <w:noWrap/>
            <w:vAlign w:val="bottom"/>
            <w:hideMark/>
          </w:tcPr>
          <w:p w:rsidR="007D13F3" w:rsidRPr="00E90AA1" w:rsidRDefault="007D13F3" w:rsidP="00465CAC">
            <w:pPr>
              <w:jc w:val="right"/>
              <w:rPr>
                <w:rFonts w:ascii="Times New Roman" w:hAnsi="Times New Roman" w:cs="Times New Roman"/>
                <w:color w:val="000000"/>
                <w:sz w:val="14"/>
                <w:szCs w:val="14"/>
              </w:rPr>
            </w:pPr>
            <w:r w:rsidRPr="00E90AA1">
              <w:rPr>
                <w:rFonts w:ascii="Times New Roman" w:hAnsi="Times New Roman" w:cs="Times New Roman"/>
                <w:color w:val="000000"/>
                <w:sz w:val="14"/>
                <w:szCs w:val="14"/>
              </w:rPr>
              <w:t>375 000</w:t>
            </w:r>
          </w:p>
        </w:tc>
        <w:tc>
          <w:tcPr>
            <w:tcW w:w="562" w:type="pct"/>
            <w:tcBorders>
              <w:top w:val="nil"/>
              <w:left w:val="nil"/>
              <w:bottom w:val="single" w:sz="4" w:space="0" w:color="auto"/>
              <w:right w:val="single" w:sz="4" w:space="0" w:color="auto"/>
            </w:tcBorders>
            <w:noWrap/>
            <w:vAlign w:val="bottom"/>
          </w:tcPr>
          <w:p w:rsidR="007D13F3" w:rsidRPr="00E90AA1"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7D13F3" w:rsidRPr="00B9790A"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7D13F3" w:rsidRPr="00B9790A" w:rsidRDefault="007D13F3" w:rsidP="00465CAC">
            <w:pPr>
              <w:jc w:val="right"/>
              <w:rPr>
                <w:rFonts w:ascii="Times New Roman" w:hAnsi="Times New Roman" w:cs="Times New Roman"/>
                <w:color w:val="000000"/>
                <w:sz w:val="14"/>
                <w:szCs w:val="14"/>
              </w:rPr>
            </w:pPr>
            <w:r w:rsidRPr="00B9790A">
              <w:rPr>
                <w:rFonts w:ascii="Times New Roman" w:hAnsi="Times New Roman" w:cs="Times New Roman"/>
                <w:color w:val="000000"/>
                <w:sz w:val="14"/>
                <w:szCs w:val="14"/>
              </w:rPr>
              <w:t>231 862</w:t>
            </w:r>
          </w:p>
        </w:tc>
        <w:tc>
          <w:tcPr>
            <w:tcW w:w="552" w:type="pct"/>
            <w:tcBorders>
              <w:top w:val="nil"/>
              <w:left w:val="nil"/>
              <w:bottom w:val="single" w:sz="4" w:space="0" w:color="auto"/>
              <w:right w:val="single" w:sz="4" w:space="0" w:color="auto"/>
            </w:tcBorders>
            <w:noWrap/>
            <w:vAlign w:val="bottom"/>
          </w:tcPr>
          <w:p w:rsidR="007D13F3" w:rsidRPr="00B9790A" w:rsidRDefault="007D13F3" w:rsidP="00465CAC">
            <w:pPr>
              <w:jc w:val="right"/>
              <w:rPr>
                <w:rFonts w:ascii="Times New Roman" w:hAnsi="Times New Roman" w:cs="Times New Roman"/>
                <w:color w:val="000000"/>
                <w:sz w:val="14"/>
                <w:szCs w:val="14"/>
              </w:rPr>
            </w:pPr>
            <w:r w:rsidRPr="00B9790A">
              <w:rPr>
                <w:rFonts w:ascii="Times New Roman" w:hAnsi="Times New Roman" w:cs="Times New Roman"/>
                <w:color w:val="000000"/>
                <w:sz w:val="14"/>
                <w:szCs w:val="14"/>
              </w:rPr>
              <w:t>231 862</w:t>
            </w:r>
          </w:p>
        </w:tc>
      </w:tr>
    </w:tbl>
    <w:p w:rsidR="007D13F3" w:rsidRPr="00F8472E" w:rsidRDefault="007D13F3" w:rsidP="007D13F3">
      <w:pPr>
        <w:jc w:val="both"/>
        <w:rPr>
          <w:rFonts w:ascii="Times New Roman" w:hAnsi="Times New Roman" w:cs="Times New Roman"/>
          <w:b/>
          <w:sz w:val="20"/>
          <w:szCs w:val="20"/>
          <w:highlight w:val="yellow"/>
        </w:rPr>
      </w:pPr>
    </w:p>
    <w:p w:rsidR="007D13F3" w:rsidRDefault="007D13F3" w:rsidP="007D13F3">
      <w:pPr>
        <w:pStyle w:val="titulok"/>
        <w:spacing w:before="0" w:beforeAutospacing="0" w:after="0" w:afterAutospacing="0"/>
        <w:ind w:firstLine="709"/>
        <w:jc w:val="both"/>
        <w:rPr>
          <w:rFonts w:ascii="Times New Roman" w:hAnsi="Times New Roman" w:cs="Courier"/>
          <w:b w:val="0"/>
          <w:bCs w:val="0"/>
          <w:color w:val="auto"/>
          <w:lang w:eastAsia="cs-CZ"/>
        </w:rPr>
      </w:pPr>
      <w:r w:rsidRPr="003935C8">
        <w:rPr>
          <w:rFonts w:ascii="Times New Roman" w:hAnsi="Times New Roman" w:cs="Times New Roman"/>
          <w:b w:val="0"/>
          <w:bCs w:val="0"/>
          <w:color w:val="auto"/>
          <w:lang w:eastAsia="cs-CZ"/>
        </w:rPr>
        <w:t>Na vodnú dopravu sa v roku 2018 rozpočtujú výdavky vo výške 202 tis. eur, čo v porovnaní so schváleným rozpočtom roku 2017 predstavuje zníženie o 2,50 mil. eur.</w:t>
      </w:r>
      <w:r>
        <w:rPr>
          <w:rFonts w:ascii="Times New Roman" w:hAnsi="Times New Roman" w:cs="Times New Roman"/>
        </w:rPr>
        <w:t xml:space="preserve"> </w:t>
      </w:r>
      <w:r w:rsidRPr="00384762">
        <w:rPr>
          <w:rFonts w:ascii="Times New Roman" w:hAnsi="Times New Roman" w:cs="Times New Roman"/>
          <w:b w:val="0"/>
          <w:color w:val="auto"/>
        </w:rPr>
        <w:t xml:space="preserve">Zmeny </w:t>
      </w:r>
      <w:r>
        <w:rPr>
          <w:rFonts w:ascii="Times New Roman" w:hAnsi="Times New Roman" w:cs="Times New Roman"/>
          <w:b w:val="0"/>
          <w:color w:val="auto"/>
        </w:rPr>
        <w:t xml:space="preserve">vo výške </w:t>
      </w:r>
      <w:r w:rsidRPr="00384762">
        <w:rPr>
          <w:rFonts w:ascii="Times New Roman" w:hAnsi="Times New Roman" w:cs="Times New Roman"/>
          <w:b w:val="0"/>
          <w:color w:val="auto"/>
        </w:rPr>
        <w:t xml:space="preserve">výdavkov </w:t>
      </w:r>
      <w:r w:rsidRPr="00384762">
        <w:rPr>
          <w:rFonts w:ascii="Times New Roman" w:hAnsi="Times New Roman" w:cs="Courier"/>
          <w:b w:val="0"/>
          <w:bCs w:val="0"/>
          <w:color w:val="auto"/>
          <w:lang w:eastAsia="cs-CZ"/>
        </w:rPr>
        <w:t>súvisia s aktualizáciou čerpania prostriedkov zo zdrojov EÚ a spolufinancovania zo štátneho rozpočtu.</w:t>
      </w:r>
      <w:r w:rsidRPr="00C52925">
        <w:rPr>
          <w:rFonts w:ascii="Times New Roman" w:hAnsi="Times New Roman" w:cs="Courier"/>
          <w:b w:val="0"/>
          <w:bCs w:val="0"/>
          <w:color w:val="auto"/>
          <w:lang w:eastAsia="cs-CZ"/>
        </w:rPr>
        <w:t xml:space="preserve"> </w:t>
      </w:r>
    </w:p>
    <w:p w:rsidR="007D13F3" w:rsidRPr="00F8472E" w:rsidRDefault="007D13F3" w:rsidP="007D13F3">
      <w:pPr>
        <w:jc w:val="both"/>
        <w:rPr>
          <w:rFonts w:ascii="Times New Roman" w:hAnsi="Times New Roman" w:cs="Times New Roman"/>
          <w:sz w:val="20"/>
          <w:szCs w:val="20"/>
          <w:highlight w:val="yellow"/>
        </w:rPr>
      </w:pPr>
    </w:p>
    <w:p w:rsidR="007D13F3" w:rsidRPr="0022533F" w:rsidRDefault="007D13F3" w:rsidP="007D13F3">
      <w:pPr>
        <w:jc w:val="both"/>
        <w:rPr>
          <w:rFonts w:ascii="Times New Roman" w:hAnsi="Times New Roman" w:cs="Times New Roman"/>
          <w:b/>
        </w:rPr>
      </w:pPr>
      <w:r w:rsidRPr="0022533F">
        <w:rPr>
          <w:rFonts w:ascii="Times New Roman" w:hAnsi="Times New Roman" w:cs="Times New Roman"/>
          <w:b/>
        </w:rPr>
        <w:t>Podpora rozvoja bývania</w:t>
      </w:r>
    </w:p>
    <w:p w:rsidR="007D13F3" w:rsidRDefault="007D13F3" w:rsidP="007D13F3">
      <w:pPr>
        <w:jc w:val="both"/>
        <w:rPr>
          <w:rFonts w:ascii="Times New Roman" w:hAnsi="Times New Roman" w:cs="Times New Roman"/>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6"/>
        <w:gridCol w:w="971"/>
        <w:gridCol w:w="970"/>
        <w:gridCol w:w="971"/>
        <w:gridCol w:w="971"/>
        <w:gridCol w:w="971"/>
        <w:gridCol w:w="971"/>
        <w:gridCol w:w="971"/>
      </w:tblGrid>
      <w:tr w:rsidR="007D13F3" w:rsidRPr="0022533F" w:rsidTr="00465CAC">
        <w:trPr>
          <w:trHeight w:val="255"/>
        </w:trPr>
        <w:tc>
          <w:tcPr>
            <w:tcW w:w="2266" w:type="dxa"/>
            <w:shd w:val="clear" w:color="000000" w:fill="A5A5A5"/>
            <w:noWrap/>
            <w:vAlign w:val="bottom"/>
            <w:hideMark/>
          </w:tcPr>
          <w:p w:rsidR="007D13F3" w:rsidRPr="0022533F" w:rsidRDefault="007D13F3" w:rsidP="00465CAC">
            <w:pPr>
              <w:rPr>
                <w:rFonts w:ascii="Times New Roman" w:hAnsi="Times New Roman" w:cs="Times New Roman"/>
                <w:b/>
                <w:bCs/>
                <w:color w:val="000000"/>
                <w:sz w:val="14"/>
                <w:szCs w:val="14"/>
              </w:rPr>
            </w:pPr>
            <w:r w:rsidRPr="0022533F">
              <w:rPr>
                <w:rFonts w:ascii="Times New Roman" w:hAnsi="Times New Roman" w:cs="Times New Roman"/>
                <w:b/>
                <w:bCs/>
                <w:color w:val="000000"/>
                <w:sz w:val="14"/>
                <w:szCs w:val="14"/>
              </w:rPr>
              <w:t>v eurách</w:t>
            </w:r>
          </w:p>
        </w:tc>
        <w:tc>
          <w:tcPr>
            <w:tcW w:w="971" w:type="dxa"/>
            <w:shd w:val="clear" w:color="000000" w:fill="A6A6A6"/>
            <w:noWrap/>
            <w:vAlign w:val="bottom"/>
            <w:hideMark/>
          </w:tcPr>
          <w:p w:rsidR="007D13F3" w:rsidRPr="0022533F" w:rsidRDefault="007D13F3" w:rsidP="00465CAC">
            <w:pPr>
              <w:jc w:val="center"/>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22533F">
              <w:rPr>
                <w:rFonts w:ascii="Times New Roman" w:hAnsi="Times New Roman" w:cs="Times New Roman"/>
                <w:b/>
                <w:bCs/>
                <w:color w:val="000000"/>
                <w:sz w:val="14"/>
                <w:szCs w:val="14"/>
                <w:lang w:eastAsia="sk-SK"/>
              </w:rPr>
              <w:t xml:space="preserve"> S</w:t>
            </w:r>
          </w:p>
        </w:tc>
        <w:tc>
          <w:tcPr>
            <w:tcW w:w="970" w:type="dxa"/>
            <w:shd w:val="clear" w:color="000000" w:fill="A6A6A6"/>
            <w:noWrap/>
            <w:vAlign w:val="bottom"/>
            <w:hideMark/>
          </w:tcPr>
          <w:p w:rsidR="007D13F3" w:rsidRPr="0022533F" w:rsidRDefault="007D13F3" w:rsidP="00465CAC">
            <w:pPr>
              <w:jc w:val="center"/>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22533F">
              <w:rPr>
                <w:rFonts w:ascii="Times New Roman" w:hAnsi="Times New Roman" w:cs="Times New Roman"/>
                <w:b/>
                <w:bCs/>
                <w:color w:val="000000"/>
                <w:sz w:val="14"/>
                <w:szCs w:val="14"/>
                <w:lang w:eastAsia="sk-SK"/>
              </w:rPr>
              <w:t xml:space="preserve"> S</w:t>
            </w:r>
          </w:p>
        </w:tc>
        <w:tc>
          <w:tcPr>
            <w:tcW w:w="971" w:type="dxa"/>
            <w:shd w:val="clear" w:color="000000" w:fill="A6A6A6"/>
            <w:noWrap/>
            <w:vAlign w:val="bottom"/>
            <w:hideMark/>
          </w:tcPr>
          <w:p w:rsidR="007D13F3" w:rsidRPr="0022533F" w:rsidRDefault="007D13F3" w:rsidP="00465CAC">
            <w:pPr>
              <w:jc w:val="center"/>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22533F">
              <w:rPr>
                <w:rFonts w:ascii="Times New Roman" w:hAnsi="Times New Roman" w:cs="Times New Roman"/>
                <w:b/>
                <w:bCs/>
                <w:color w:val="000000"/>
                <w:sz w:val="14"/>
                <w:szCs w:val="14"/>
                <w:lang w:eastAsia="sk-SK"/>
              </w:rPr>
              <w:t xml:space="preserve"> R</w:t>
            </w:r>
          </w:p>
        </w:tc>
        <w:tc>
          <w:tcPr>
            <w:tcW w:w="971" w:type="dxa"/>
            <w:shd w:val="clear" w:color="000000" w:fill="A6A6A6"/>
            <w:noWrap/>
            <w:vAlign w:val="bottom"/>
            <w:hideMark/>
          </w:tcPr>
          <w:p w:rsidR="007D13F3" w:rsidRPr="0022533F" w:rsidRDefault="007D13F3" w:rsidP="00465CAC">
            <w:pPr>
              <w:jc w:val="center"/>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22533F">
              <w:rPr>
                <w:rFonts w:ascii="Times New Roman" w:hAnsi="Times New Roman" w:cs="Times New Roman"/>
                <w:b/>
                <w:bCs/>
                <w:color w:val="000000"/>
                <w:sz w:val="14"/>
                <w:szCs w:val="14"/>
                <w:lang w:eastAsia="sk-SK"/>
              </w:rPr>
              <w:t xml:space="preserve"> OS</w:t>
            </w:r>
          </w:p>
        </w:tc>
        <w:tc>
          <w:tcPr>
            <w:tcW w:w="971" w:type="dxa"/>
            <w:shd w:val="clear" w:color="000000" w:fill="A6A6A6"/>
            <w:noWrap/>
            <w:vAlign w:val="bottom"/>
            <w:hideMark/>
          </w:tcPr>
          <w:p w:rsidR="007D13F3" w:rsidRPr="0022533F" w:rsidRDefault="007D13F3" w:rsidP="00465CAC">
            <w:pPr>
              <w:jc w:val="center"/>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8 </w:t>
            </w:r>
            <w:r w:rsidRPr="0022533F">
              <w:rPr>
                <w:rFonts w:ascii="Times New Roman" w:hAnsi="Times New Roman" w:cs="Times New Roman"/>
                <w:b/>
                <w:bCs/>
                <w:color w:val="000000"/>
                <w:sz w:val="14"/>
                <w:szCs w:val="14"/>
                <w:lang w:eastAsia="sk-SK"/>
              </w:rPr>
              <w:t>N</w:t>
            </w:r>
          </w:p>
        </w:tc>
        <w:tc>
          <w:tcPr>
            <w:tcW w:w="971" w:type="dxa"/>
            <w:shd w:val="clear" w:color="000000" w:fill="A6A6A6"/>
            <w:noWrap/>
            <w:vAlign w:val="bottom"/>
            <w:hideMark/>
          </w:tcPr>
          <w:p w:rsidR="007D13F3" w:rsidRPr="0022533F" w:rsidRDefault="007D13F3" w:rsidP="00465CAC">
            <w:pPr>
              <w:jc w:val="center"/>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22533F">
              <w:rPr>
                <w:rFonts w:ascii="Times New Roman" w:hAnsi="Times New Roman" w:cs="Times New Roman"/>
                <w:b/>
                <w:bCs/>
                <w:color w:val="000000"/>
                <w:sz w:val="14"/>
                <w:szCs w:val="14"/>
                <w:lang w:eastAsia="sk-SK"/>
              </w:rPr>
              <w:t xml:space="preserve"> N</w:t>
            </w:r>
          </w:p>
        </w:tc>
        <w:tc>
          <w:tcPr>
            <w:tcW w:w="971" w:type="dxa"/>
            <w:shd w:val="clear" w:color="000000" w:fill="A6A6A6"/>
            <w:noWrap/>
            <w:vAlign w:val="bottom"/>
            <w:hideMark/>
          </w:tcPr>
          <w:p w:rsidR="007D13F3" w:rsidRPr="0022533F" w:rsidRDefault="007D13F3" w:rsidP="00465CAC">
            <w:pPr>
              <w:jc w:val="center"/>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22533F">
              <w:rPr>
                <w:rFonts w:ascii="Times New Roman" w:hAnsi="Times New Roman" w:cs="Times New Roman"/>
                <w:b/>
                <w:bCs/>
                <w:color w:val="000000"/>
                <w:sz w:val="14"/>
                <w:szCs w:val="14"/>
                <w:lang w:eastAsia="sk-SK"/>
              </w:rPr>
              <w:t xml:space="preserve"> N</w:t>
            </w:r>
          </w:p>
        </w:tc>
      </w:tr>
      <w:tr w:rsidR="007D13F3" w:rsidRPr="0022533F" w:rsidTr="00465CAC">
        <w:trPr>
          <w:trHeight w:val="255"/>
        </w:trPr>
        <w:tc>
          <w:tcPr>
            <w:tcW w:w="2266" w:type="dxa"/>
            <w:shd w:val="clear" w:color="auto" w:fill="BFBFBF" w:themeFill="background1" w:themeFillShade="BF"/>
            <w:noWrap/>
            <w:vAlign w:val="bottom"/>
            <w:hideMark/>
          </w:tcPr>
          <w:p w:rsidR="007D13F3" w:rsidRPr="0022533F" w:rsidRDefault="007D13F3" w:rsidP="00465CAC">
            <w:pPr>
              <w:rPr>
                <w:rFonts w:ascii="Times New Roman" w:hAnsi="Times New Roman" w:cs="Times New Roman"/>
                <w:b/>
                <w:bCs/>
                <w:color w:val="000000"/>
                <w:sz w:val="14"/>
                <w:szCs w:val="14"/>
              </w:rPr>
            </w:pPr>
            <w:r w:rsidRPr="0022533F">
              <w:rPr>
                <w:rFonts w:ascii="Times New Roman" w:hAnsi="Times New Roman" w:cs="Times New Roman"/>
                <w:b/>
                <w:bCs/>
                <w:color w:val="000000"/>
                <w:sz w:val="14"/>
                <w:szCs w:val="14"/>
              </w:rPr>
              <w:t xml:space="preserve">Spolu dotácie </w:t>
            </w:r>
          </w:p>
        </w:tc>
        <w:tc>
          <w:tcPr>
            <w:tcW w:w="971" w:type="dxa"/>
            <w:shd w:val="clear" w:color="auto" w:fill="BFBFBF" w:themeFill="background1" w:themeFillShade="BF"/>
            <w:noWrap/>
            <w:vAlign w:val="bottom"/>
            <w:hideMark/>
          </w:tcPr>
          <w:p w:rsidR="007D13F3" w:rsidRPr="0022533F" w:rsidRDefault="007D13F3" w:rsidP="00465CAC">
            <w:pPr>
              <w:jc w:val="right"/>
              <w:rPr>
                <w:rFonts w:ascii="Times New Roman" w:hAnsi="Times New Roman" w:cs="Times New Roman"/>
                <w:b/>
                <w:bCs/>
                <w:color w:val="000000"/>
                <w:sz w:val="14"/>
                <w:szCs w:val="14"/>
                <w:lang w:eastAsia="sk-SK"/>
              </w:rPr>
            </w:pPr>
            <w:r w:rsidRPr="0022533F">
              <w:rPr>
                <w:rFonts w:ascii="Times New Roman" w:hAnsi="Times New Roman" w:cs="Times New Roman"/>
                <w:b/>
                <w:bCs/>
                <w:color w:val="000000"/>
                <w:sz w:val="14"/>
                <w:szCs w:val="14"/>
                <w:lang w:eastAsia="sk-SK"/>
              </w:rPr>
              <w:t>104 680 242</w:t>
            </w:r>
          </w:p>
        </w:tc>
        <w:tc>
          <w:tcPr>
            <w:tcW w:w="970" w:type="dxa"/>
            <w:shd w:val="clear" w:color="auto" w:fill="BFBFBF" w:themeFill="background1" w:themeFillShade="BF"/>
            <w:noWrap/>
            <w:vAlign w:val="bottom"/>
          </w:tcPr>
          <w:p w:rsidR="007D13F3" w:rsidRPr="002248A7" w:rsidRDefault="007D13F3" w:rsidP="00465CAC">
            <w:pPr>
              <w:jc w:val="right"/>
              <w:rPr>
                <w:rFonts w:ascii="Times New Roman" w:hAnsi="Times New Roman" w:cs="Times New Roman"/>
                <w:b/>
                <w:bCs/>
                <w:color w:val="000000"/>
                <w:sz w:val="14"/>
                <w:szCs w:val="14"/>
                <w:lang w:eastAsia="sk-SK"/>
              </w:rPr>
            </w:pPr>
            <w:r w:rsidRPr="002248A7">
              <w:rPr>
                <w:rFonts w:ascii="Times New Roman" w:hAnsi="Times New Roman" w:cs="Times New Roman"/>
                <w:b/>
                <w:bCs/>
                <w:color w:val="000000"/>
                <w:sz w:val="14"/>
                <w:szCs w:val="14"/>
              </w:rPr>
              <w:t>91 451 910</w:t>
            </w:r>
          </w:p>
        </w:tc>
        <w:tc>
          <w:tcPr>
            <w:tcW w:w="971" w:type="dxa"/>
            <w:shd w:val="clear" w:color="auto" w:fill="BFBFBF" w:themeFill="background1" w:themeFillShade="BF"/>
            <w:noWrap/>
            <w:vAlign w:val="bottom"/>
            <w:hideMark/>
          </w:tcPr>
          <w:p w:rsidR="007D13F3" w:rsidRPr="002248A7" w:rsidRDefault="007D13F3" w:rsidP="00465CAC">
            <w:pPr>
              <w:jc w:val="right"/>
              <w:rPr>
                <w:rFonts w:ascii="Times New Roman" w:hAnsi="Times New Roman" w:cs="Times New Roman"/>
                <w:b/>
                <w:bCs/>
                <w:color w:val="000000"/>
                <w:sz w:val="14"/>
                <w:szCs w:val="14"/>
                <w:lang w:eastAsia="sk-SK"/>
              </w:rPr>
            </w:pPr>
            <w:r w:rsidRPr="002248A7">
              <w:rPr>
                <w:rFonts w:ascii="Times New Roman" w:hAnsi="Times New Roman" w:cs="Times New Roman"/>
                <w:b/>
                <w:bCs/>
                <w:color w:val="000000"/>
                <w:sz w:val="14"/>
                <w:szCs w:val="14"/>
                <w:lang w:eastAsia="sk-SK"/>
              </w:rPr>
              <w:t>107 500 000</w:t>
            </w:r>
          </w:p>
        </w:tc>
        <w:tc>
          <w:tcPr>
            <w:tcW w:w="971" w:type="dxa"/>
            <w:shd w:val="clear" w:color="auto" w:fill="BFBFBF" w:themeFill="background1" w:themeFillShade="BF"/>
            <w:noWrap/>
            <w:vAlign w:val="bottom"/>
          </w:tcPr>
          <w:p w:rsidR="007D13F3" w:rsidRPr="003E07D5" w:rsidRDefault="007D13F3" w:rsidP="00465CAC">
            <w:pPr>
              <w:jc w:val="right"/>
              <w:rPr>
                <w:rFonts w:ascii="Times New Roman" w:hAnsi="Times New Roman" w:cs="Times New Roman"/>
                <w:b/>
                <w:bCs/>
                <w:color w:val="000000"/>
                <w:sz w:val="14"/>
                <w:szCs w:val="14"/>
                <w:lang w:eastAsia="sk-SK"/>
              </w:rPr>
            </w:pPr>
            <w:r w:rsidRPr="003E07D5">
              <w:rPr>
                <w:rFonts w:ascii="Times New Roman" w:hAnsi="Times New Roman" w:cs="Times New Roman"/>
                <w:b/>
                <w:bCs/>
                <w:color w:val="000000"/>
                <w:sz w:val="14"/>
                <w:szCs w:val="14"/>
              </w:rPr>
              <w:t>106 297 205</w:t>
            </w:r>
          </w:p>
        </w:tc>
        <w:tc>
          <w:tcPr>
            <w:tcW w:w="971" w:type="dxa"/>
            <w:shd w:val="clear" w:color="auto" w:fill="BFBFBF" w:themeFill="background1" w:themeFillShade="BF"/>
            <w:noWrap/>
            <w:vAlign w:val="bottom"/>
          </w:tcPr>
          <w:p w:rsidR="007D13F3" w:rsidRPr="00003FFB" w:rsidRDefault="007D13F3" w:rsidP="00465CAC">
            <w:pPr>
              <w:jc w:val="right"/>
              <w:rPr>
                <w:rFonts w:ascii="Times New Roman" w:hAnsi="Times New Roman" w:cs="Times New Roman"/>
                <w:b/>
                <w:bCs/>
                <w:color w:val="000000"/>
                <w:sz w:val="14"/>
                <w:szCs w:val="14"/>
                <w:lang w:eastAsia="sk-SK"/>
              </w:rPr>
            </w:pPr>
            <w:r w:rsidRPr="00003FFB">
              <w:rPr>
                <w:rFonts w:ascii="Times New Roman" w:hAnsi="Times New Roman" w:cs="Times New Roman"/>
                <w:b/>
                <w:bCs/>
                <w:color w:val="000000"/>
                <w:sz w:val="14"/>
                <w:szCs w:val="14"/>
              </w:rPr>
              <w:t>101 653 622</w:t>
            </w:r>
          </w:p>
        </w:tc>
        <w:tc>
          <w:tcPr>
            <w:tcW w:w="971" w:type="dxa"/>
            <w:shd w:val="clear" w:color="auto" w:fill="BFBFBF" w:themeFill="background1" w:themeFillShade="BF"/>
            <w:noWrap/>
            <w:vAlign w:val="bottom"/>
          </w:tcPr>
          <w:p w:rsidR="007D13F3" w:rsidRPr="00003FFB" w:rsidRDefault="007D13F3" w:rsidP="00465CAC">
            <w:pPr>
              <w:jc w:val="right"/>
              <w:rPr>
                <w:rFonts w:ascii="Times New Roman" w:hAnsi="Times New Roman" w:cs="Times New Roman"/>
                <w:b/>
                <w:bCs/>
                <w:color w:val="000000"/>
                <w:sz w:val="14"/>
                <w:szCs w:val="14"/>
              </w:rPr>
            </w:pPr>
            <w:r w:rsidRPr="00003FFB">
              <w:rPr>
                <w:rFonts w:ascii="Times New Roman" w:hAnsi="Times New Roman" w:cs="Times New Roman"/>
                <w:b/>
                <w:bCs/>
                <w:color w:val="000000"/>
                <w:sz w:val="14"/>
                <w:szCs w:val="14"/>
              </w:rPr>
              <w:t>93 076 653</w:t>
            </w:r>
          </w:p>
        </w:tc>
        <w:tc>
          <w:tcPr>
            <w:tcW w:w="971" w:type="dxa"/>
            <w:shd w:val="clear" w:color="auto" w:fill="BFBFBF" w:themeFill="background1" w:themeFillShade="BF"/>
            <w:noWrap/>
            <w:vAlign w:val="bottom"/>
          </w:tcPr>
          <w:p w:rsidR="007D13F3" w:rsidRPr="00003FFB" w:rsidRDefault="007D13F3" w:rsidP="00465CAC">
            <w:pPr>
              <w:jc w:val="right"/>
              <w:rPr>
                <w:rFonts w:ascii="Times New Roman" w:hAnsi="Times New Roman" w:cs="Times New Roman"/>
                <w:b/>
                <w:bCs/>
                <w:color w:val="000000"/>
                <w:sz w:val="14"/>
                <w:szCs w:val="14"/>
              </w:rPr>
            </w:pPr>
            <w:r w:rsidRPr="00003FFB">
              <w:rPr>
                <w:rFonts w:ascii="Times New Roman" w:hAnsi="Times New Roman" w:cs="Times New Roman"/>
                <w:b/>
                <w:bCs/>
                <w:color w:val="000000"/>
                <w:sz w:val="14"/>
                <w:szCs w:val="14"/>
              </w:rPr>
              <w:t>85 872 960</w:t>
            </w:r>
          </w:p>
        </w:tc>
      </w:tr>
      <w:tr w:rsidR="007D13F3" w:rsidRPr="0022533F" w:rsidTr="00465CAC">
        <w:trPr>
          <w:trHeight w:val="255"/>
        </w:trPr>
        <w:tc>
          <w:tcPr>
            <w:tcW w:w="2266" w:type="dxa"/>
            <w:shd w:val="clear" w:color="auto" w:fill="auto"/>
            <w:noWrap/>
            <w:vAlign w:val="bottom"/>
            <w:hideMark/>
          </w:tcPr>
          <w:p w:rsidR="007D13F3" w:rsidRPr="0022533F" w:rsidRDefault="007D13F3" w:rsidP="00465CAC">
            <w:pPr>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rPr>
              <w:t>Podpora bývania</w:t>
            </w:r>
          </w:p>
        </w:tc>
        <w:tc>
          <w:tcPr>
            <w:tcW w:w="971" w:type="dxa"/>
            <w:shd w:val="clear" w:color="auto" w:fill="auto"/>
            <w:noWrap/>
            <w:vAlign w:val="bottom"/>
            <w:hideMark/>
          </w:tcPr>
          <w:p w:rsidR="007D13F3" w:rsidRPr="0022533F" w:rsidRDefault="007D13F3" w:rsidP="00465CAC">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34 861 090</w:t>
            </w:r>
          </w:p>
        </w:tc>
        <w:tc>
          <w:tcPr>
            <w:tcW w:w="970" w:type="dxa"/>
            <w:shd w:val="clear" w:color="auto" w:fill="auto"/>
            <w:noWrap/>
            <w:vAlign w:val="bottom"/>
          </w:tcPr>
          <w:p w:rsidR="007D13F3" w:rsidRPr="002248A7" w:rsidRDefault="007D13F3" w:rsidP="00465CAC">
            <w:pPr>
              <w:jc w:val="right"/>
              <w:rPr>
                <w:rFonts w:ascii="Times New Roman" w:hAnsi="Times New Roman" w:cs="Times New Roman"/>
                <w:color w:val="000000"/>
                <w:sz w:val="14"/>
                <w:szCs w:val="14"/>
              </w:rPr>
            </w:pPr>
            <w:r w:rsidRPr="002248A7">
              <w:rPr>
                <w:rFonts w:ascii="Times New Roman" w:hAnsi="Times New Roman" w:cs="Times New Roman"/>
                <w:color w:val="000000"/>
                <w:sz w:val="14"/>
                <w:szCs w:val="14"/>
              </w:rPr>
              <w:t>28 071 365</w:t>
            </w:r>
          </w:p>
        </w:tc>
        <w:tc>
          <w:tcPr>
            <w:tcW w:w="971" w:type="dxa"/>
            <w:shd w:val="clear" w:color="auto" w:fill="auto"/>
            <w:noWrap/>
            <w:vAlign w:val="bottom"/>
            <w:hideMark/>
          </w:tcPr>
          <w:p w:rsidR="007D13F3" w:rsidRPr="002248A7" w:rsidRDefault="007D13F3" w:rsidP="00465CAC">
            <w:pPr>
              <w:jc w:val="right"/>
              <w:rPr>
                <w:rFonts w:ascii="Times New Roman" w:hAnsi="Times New Roman" w:cs="Times New Roman"/>
                <w:color w:val="000000"/>
                <w:sz w:val="14"/>
                <w:szCs w:val="14"/>
                <w:lang w:eastAsia="sk-SK"/>
              </w:rPr>
            </w:pPr>
            <w:r w:rsidRPr="002248A7">
              <w:rPr>
                <w:rFonts w:ascii="Times New Roman" w:hAnsi="Times New Roman" w:cs="Times New Roman"/>
                <w:color w:val="000000"/>
                <w:sz w:val="14"/>
                <w:szCs w:val="14"/>
                <w:lang w:eastAsia="sk-SK"/>
              </w:rPr>
              <w:t>40 000 000</w:t>
            </w:r>
          </w:p>
        </w:tc>
        <w:tc>
          <w:tcPr>
            <w:tcW w:w="971" w:type="dxa"/>
            <w:shd w:val="clear" w:color="auto" w:fill="auto"/>
            <w:noWrap/>
            <w:vAlign w:val="bottom"/>
          </w:tcPr>
          <w:p w:rsidR="007D13F3" w:rsidRPr="003E07D5" w:rsidRDefault="007D13F3" w:rsidP="00465CAC">
            <w:pPr>
              <w:jc w:val="right"/>
              <w:rPr>
                <w:rFonts w:ascii="Times New Roman" w:hAnsi="Times New Roman" w:cs="Times New Roman"/>
                <w:color w:val="000000"/>
                <w:sz w:val="14"/>
                <w:szCs w:val="14"/>
              </w:rPr>
            </w:pPr>
            <w:r w:rsidRPr="003E07D5">
              <w:rPr>
                <w:rFonts w:ascii="Times New Roman" w:hAnsi="Times New Roman" w:cs="Times New Roman"/>
                <w:color w:val="000000"/>
                <w:sz w:val="14"/>
                <w:szCs w:val="14"/>
              </w:rPr>
              <w:t>40 000 000</w:t>
            </w:r>
          </w:p>
        </w:tc>
        <w:tc>
          <w:tcPr>
            <w:tcW w:w="971" w:type="dxa"/>
            <w:shd w:val="clear" w:color="auto" w:fill="auto"/>
            <w:noWrap/>
            <w:vAlign w:val="bottom"/>
          </w:tcPr>
          <w:p w:rsidR="007D13F3" w:rsidRPr="002248A7" w:rsidRDefault="007D13F3" w:rsidP="00465CAC">
            <w:pPr>
              <w:jc w:val="right"/>
              <w:rPr>
                <w:rFonts w:ascii="Times New Roman" w:hAnsi="Times New Roman" w:cs="Times New Roman"/>
                <w:color w:val="000000"/>
                <w:sz w:val="14"/>
                <w:szCs w:val="14"/>
              </w:rPr>
            </w:pPr>
            <w:r w:rsidRPr="002248A7">
              <w:rPr>
                <w:rFonts w:ascii="Times New Roman" w:hAnsi="Times New Roman" w:cs="Times New Roman"/>
                <w:color w:val="000000"/>
                <w:sz w:val="14"/>
                <w:szCs w:val="14"/>
              </w:rPr>
              <w:t>40 000 000</w:t>
            </w:r>
          </w:p>
        </w:tc>
        <w:tc>
          <w:tcPr>
            <w:tcW w:w="971" w:type="dxa"/>
            <w:shd w:val="clear" w:color="auto" w:fill="auto"/>
            <w:noWrap/>
            <w:vAlign w:val="bottom"/>
          </w:tcPr>
          <w:p w:rsidR="007D13F3" w:rsidRPr="002248A7" w:rsidRDefault="007D13F3" w:rsidP="00465CAC">
            <w:pPr>
              <w:jc w:val="right"/>
              <w:rPr>
                <w:rFonts w:ascii="Times New Roman" w:hAnsi="Times New Roman" w:cs="Times New Roman"/>
                <w:color w:val="000000"/>
                <w:sz w:val="14"/>
                <w:szCs w:val="14"/>
              </w:rPr>
            </w:pPr>
            <w:r w:rsidRPr="002248A7">
              <w:rPr>
                <w:rFonts w:ascii="Times New Roman" w:hAnsi="Times New Roman" w:cs="Times New Roman"/>
                <w:color w:val="000000"/>
                <w:sz w:val="14"/>
                <w:szCs w:val="14"/>
              </w:rPr>
              <w:t>40 000 000</w:t>
            </w:r>
          </w:p>
        </w:tc>
        <w:tc>
          <w:tcPr>
            <w:tcW w:w="971" w:type="dxa"/>
            <w:shd w:val="clear" w:color="auto" w:fill="auto"/>
            <w:noWrap/>
            <w:vAlign w:val="bottom"/>
          </w:tcPr>
          <w:p w:rsidR="007D13F3" w:rsidRPr="002248A7" w:rsidRDefault="007D13F3" w:rsidP="00465CAC">
            <w:pPr>
              <w:jc w:val="right"/>
              <w:rPr>
                <w:rFonts w:ascii="Times New Roman" w:hAnsi="Times New Roman" w:cs="Times New Roman"/>
                <w:color w:val="000000"/>
                <w:sz w:val="14"/>
                <w:szCs w:val="14"/>
              </w:rPr>
            </w:pPr>
            <w:r w:rsidRPr="002248A7">
              <w:rPr>
                <w:rFonts w:ascii="Times New Roman" w:hAnsi="Times New Roman" w:cs="Times New Roman"/>
                <w:color w:val="000000"/>
                <w:sz w:val="14"/>
                <w:szCs w:val="14"/>
              </w:rPr>
              <w:t>40 000 000</w:t>
            </w:r>
          </w:p>
        </w:tc>
      </w:tr>
      <w:tr w:rsidR="007D13F3" w:rsidRPr="0022533F" w:rsidTr="00465CAC">
        <w:trPr>
          <w:trHeight w:val="300"/>
        </w:trPr>
        <w:tc>
          <w:tcPr>
            <w:tcW w:w="2266" w:type="dxa"/>
            <w:shd w:val="clear" w:color="auto" w:fill="auto"/>
            <w:noWrap/>
            <w:vAlign w:val="bottom"/>
            <w:hideMark/>
          </w:tcPr>
          <w:p w:rsidR="007D13F3" w:rsidRPr="0022533F" w:rsidRDefault="007D13F3" w:rsidP="00465CAC">
            <w:pPr>
              <w:rPr>
                <w:rFonts w:ascii="Times New Roman" w:hAnsi="Times New Roman" w:cs="Times New Roman"/>
                <w:color w:val="000000"/>
                <w:sz w:val="14"/>
                <w:szCs w:val="14"/>
              </w:rPr>
            </w:pPr>
            <w:r w:rsidRPr="0022533F">
              <w:rPr>
                <w:rFonts w:ascii="Times New Roman" w:hAnsi="Times New Roman" w:cs="Times New Roman"/>
                <w:color w:val="000000"/>
                <w:sz w:val="14"/>
                <w:szCs w:val="14"/>
              </w:rPr>
              <w:t>Náhradné nájomné byty</w:t>
            </w:r>
          </w:p>
          <w:p w:rsidR="007D13F3" w:rsidRPr="0022533F" w:rsidRDefault="007D13F3" w:rsidP="00465CAC">
            <w:pPr>
              <w:rPr>
                <w:rFonts w:ascii="Times New Roman" w:hAnsi="Times New Roman" w:cs="Times New Roman"/>
                <w:color w:val="000000"/>
                <w:sz w:val="14"/>
                <w:szCs w:val="14"/>
              </w:rPr>
            </w:pPr>
            <w:r w:rsidRPr="0022533F">
              <w:rPr>
                <w:rFonts w:ascii="Times New Roman" w:hAnsi="Times New Roman" w:cs="Times New Roman"/>
                <w:color w:val="000000"/>
                <w:sz w:val="14"/>
                <w:szCs w:val="14"/>
              </w:rPr>
              <w:t xml:space="preserve">(zákon </w:t>
            </w:r>
            <w:r w:rsidR="00664ACC">
              <w:rPr>
                <w:rFonts w:ascii="Times New Roman" w:hAnsi="Times New Roman" w:cs="Times New Roman"/>
                <w:color w:val="000000"/>
                <w:sz w:val="14"/>
                <w:szCs w:val="14"/>
              </w:rPr>
              <w:t xml:space="preserve">č. </w:t>
            </w:r>
            <w:r w:rsidRPr="0022533F">
              <w:rPr>
                <w:rFonts w:ascii="Times New Roman" w:hAnsi="Times New Roman" w:cs="Times New Roman"/>
                <w:color w:val="000000"/>
                <w:sz w:val="14"/>
                <w:szCs w:val="14"/>
              </w:rPr>
              <w:t xml:space="preserve">261/2011 </w:t>
            </w:r>
            <w:r>
              <w:rPr>
                <w:rFonts w:ascii="Times New Roman" w:hAnsi="Times New Roman" w:cs="Times New Roman"/>
                <w:color w:val="000000"/>
                <w:sz w:val="14"/>
                <w:szCs w:val="14"/>
              </w:rPr>
              <w:t>Z</w:t>
            </w:r>
            <w:r w:rsidRPr="0022533F">
              <w:rPr>
                <w:rFonts w:ascii="Times New Roman" w:hAnsi="Times New Roman" w:cs="Times New Roman"/>
                <w:color w:val="000000"/>
                <w:sz w:val="14"/>
                <w:szCs w:val="14"/>
              </w:rPr>
              <w:t>. z.)</w:t>
            </w:r>
          </w:p>
        </w:tc>
        <w:tc>
          <w:tcPr>
            <w:tcW w:w="971" w:type="dxa"/>
            <w:shd w:val="clear" w:color="auto" w:fill="auto"/>
            <w:noWrap/>
            <w:vAlign w:val="bottom"/>
            <w:hideMark/>
          </w:tcPr>
          <w:p w:rsidR="007D13F3" w:rsidRPr="0022533F" w:rsidRDefault="007D13F3" w:rsidP="00465CAC">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906 460</w:t>
            </w:r>
          </w:p>
        </w:tc>
        <w:tc>
          <w:tcPr>
            <w:tcW w:w="970" w:type="dxa"/>
            <w:shd w:val="clear" w:color="auto" w:fill="auto"/>
            <w:noWrap/>
            <w:vAlign w:val="bottom"/>
          </w:tcPr>
          <w:p w:rsidR="007D13F3" w:rsidRPr="002248A7" w:rsidRDefault="007D13F3" w:rsidP="00465CAC">
            <w:pPr>
              <w:jc w:val="right"/>
              <w:rPr>
                <w:rFonts w:ascii="Times New Roman" w:hAnsi="Times New Roman" w:cs="Times New Roman"/>
                <w:color w:val="000000"/>
                <w:sz w:val="14"/>
                <w:szCs w:val="14"/>
              </w:rPr>
            </w:pPr>
            <w:r w:rsidRPr="002248A7">
              <w:rPr>
                <w:rFonts w:ascii="Times New Roman" w:hAnsi="Times New Roman" w:cs="Times New Roman"/>
                <w:color w:val="000000"/>
                <w:sz w:val="14"/>
                <w:szCs w:val="14"/>
              </w:rPr>
              <w:t>1 120 260</w:t>
            </w:r>
          </w:p>
        </w:tc>
        <w:tc>
          <w:tcPr>
            <w:tcW w:w="971" w:type="dxa"/>
            <w:shd w:val="clear" w:color="auto" w:fill="auto"/>
            <w:noWrap/>
            <w:vAlign w:val="bottom"/>
            <w:hideMark/>
          </w:tcPr>
          <w:p w:rsidR="007D13F3" w:rsidRPr="002248A7" w:rsidRDefault="007D13F3" w:rsidP="00465CAC">
            <w:pPr>
              <w:jc w:val="right"/>
              <w:rPr>
                <w:rFonts w:ascii="Times New Roman" w:hAnsi="Times New Roman" w:cs="Times New Roman"/>
                <w:color w:val="000000"/>
                <w:sz w:val="14"/>
                <w:szCs w:val="14"/>
                <w:lang w:eastAsia="sk-SK"/>
              </w:rPr>
            </w:pPr>
            <w:r w:rsidRPr="002248A7">
              <w:rPr>
                <w:rFonts w:ascii="Times New Roman" w:hAnsi="Times New Roman" w:cs="Times New Roman"/>
                <w:color w:val="000000"/>
                <w:sz w:val="14"/>
                <w:szCs w:val="14"/>
                <w:lang w:eastAsia="sk-SK"/>
              </w:rPr>
              <w:t>1 500 000</w:t>
            </w:r>
          </w:p>
        </w:tc>
        <w:tc>
          <w:tcPr>
            <w:tcW w:w="971" w:type="dxa"/>
            <w:shd w:val="clear" w:color="auto" w:fill="auto"/>
            <w:noWrap/>
            <w:vAlign w:val="bottom"/>
          </w:tcPr>
          <w:p w:rsidR="007D13F3" w:rsidRPr="003E07D5" w:rsidRDefault="007D13F3" w:rsidP="00465CAC">
            <w:pPr>
              <w:jc w:val="right"/>
              <w:rPr>
                <w:rFonts w:ascii="Times New Roman" w:hAnsi="Times New Roman" w:cs="Times New Roman"/>
                <w:color w:val="000000"/>
                <w:sz w:val="14"/>
                <w:szCs w:val="14"/>
              </w:rPr>
            </w:pPr>
            <w:r w:rsidRPr="003E07D5">
              <w:rPr>
                <w:rFonts w:ascii="Times New Roman" w:hAnsi="Times New Roman" w:cs="Times New Roman"/>
                <w:color w:val="000000"/>
                <w:sz w:val="14"/>
                <w:szCs w:val="14"/>
              </w:rPr>
              <w:t>5 478 850</w:t>
            </w:r>
          </w:p>
        </w:tc>
        <w:tc>
          <w:tcPr>
            <w:tcW w:w="971" w:type="dxa"/>
            <w:shd w:val="clear" w:color="auto" w:fill="auto"/>
            <w:noWrap/>
            <w:vAlign w:val="bottom"/>
          </w:tcPr>
          <w:p w:rsidR="007D13F3" w:rsidRPr="002248A7" w:rsidRDefault="007D13F3" w:rsidP="00465CAC">
            <w:pPr>
              <w:jc w:val="right"/>
              <w:rPr>
                <w:rFonts w:ascii="Times New Roman" w:hAnsi="Times New Roman" w:cs="Times New Roman"/>
                <w:color w:val="000000"/>
                <w:sz w:val="14"/>
                <w:szCs w:val="14"/>
              </w:rPr>
            </w:pPr>
            <w:r w:rsidRPr="002248A7">
              <w:rPr>
                <w:rFonts w:ascii="Times New Roman" w:hAnsi="Times New Roman" w:cs="Times New Roman"/>
                <w:color w:val="000000"/>
                <w:sz w:val="14"/>
                <w:szCs w:val="14"/>
              </w:rPr>
              <w:t>0</w:t>
            </w:r>
          </w:p>
        </w:tc>
        <w:tc>
          <w:tcPr>
            <w:tcW w:w="971" w:type="dxa"/>
            <w:shd w:val="clear" w:color="auto" w:fill="auto"/>
            <w:noWrap/>
            <w:vAlign w:val="bottom"/>
          </w:tcPr>
          <w:p w:rsidR="007D13F3" w:rsidRPr="002248A7" w:rsidRDefault="007D13F3" w:rsidP="00465CAC">
            <w:pPr>
              <w:jc w:val="right"/>
              <w:rPr>
                <w:rFonts w:ascii="Times New Roman" w:hAnsi="Times New Roman" w:cs="Times New Roman"/>
                <w:color w:val="000000"/>
                <w:sz w:val="14"/>
                <w:szCs w:val="14"/>
              </w:rPr>
            </w:pPr>
            <w:r w:rsidRPr="002248A7">
              <w:rPr>
                <w:rFonts w:ascii="Times New Roman" w:hAnsi="Times New Roman" w:cs="Times New Roman"/>
                <w:color w:val="000000"/>
                <w:sz w:val="14"/>
                <w:szCs w:val="14"/>
              </w:rPr>
              <w:t>0</w:t>
            </w:r>
          </w:p>
        </w:tc>
        <w:tc>
          <w:tcPr>
            <w:tcW w:w="971" w:type="dxa"/>
            <w:shd w:val="clear" w:color="auto" w:fill="auto"/>
            <w:noWrap/>
            <w:vAlign w:val="bottom"/>
          </w:tcPr>
          <w:p w:rsidR="007D13F3" w:rsidRPr="002248A7"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2248A7">
              <w:rPr>
                <w:rFonts w:ascii="Times New Roman" w:hAnsi="Times New Roman" w:cs="Times New Roman"/>
                <w:color w:val="000000"/>
                <w:sz w:val="14"/>
                <w:szCs w:val="14"/>
              </w:rPr>
              <w:t> </w:t>
            </w:r>
          </w:p>
        </w:tc>
      </w:tr>
      <w:tr w:rsidR="007D13F3" w:rsidRPr="0022533F" w:rsidTr="00465CAC">
        <w:trPr>
          <w:trHeight w:val="255"/>
        </w:trPr>
        <w:tc>
          <w:tcPr>
            <w:tcW w:w="2266" w:type="dxa"/>
            <w:shd w:val="clear" w:color="auto" w:fill="auto"/>
            <w:noWrap/>
            <w:vAlign w:val="bottom"/>
            <w:hideMark/>
          </w:tcPr>
          <w:p w:rsidR="007D13F3" w:rsidRPr="0022533F" w:rsidRDefault="007D13F3" w:rsidP="00465CAC">
            <w:pPr>
              <w:rPr>
                <w:rFonts w:ascii="Times New Roman" w:hAnsi="Times New Roman" w:cs="Times New Roman"/>
                <w:color w:val="000000"/>
                <w:sz w:val="14"/>
                <w:szCs w:val="14"/>
              </w:rPr>
            </w:pPr>
            <w:r w:rsidRPr="0022533F">
              <w:rPr>
                <w:rFonts w:ascii="Times New Roman" w:hAnsi="Times New Roman" w:cs="Times New Roman"/>
                <w:color w:val="000000"/>
                <w:sz w:val="14"/>
                <w:szCs w:val="14"/>
              </w:rPr>
              <w:t xml:space="preserve">Štát. prémia v stavebnom sporení </w:t>
            </w:r>
          </w:p>
        </w:tc>
        <w:tc>
          <w:tcPr>
            <w:tcW w:w="971" w:type="dxa"/>
            <w:shd w:val="clear" w:color="auto" w:fill="auto"/>
            <w:noWrap/>
            <w:vAlign w:val="bottom"/>
            <w:hideMark/>
          </w:tcPr>
          <w:p w:rsidR="007D13F3" w:rsidRPr="0022533F" w:rsidRDefault="007D13F3" w:rsidP="00465CAC">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35 878 506</w:t>
            </w:r>
          </w:p>
        </w:tc>
        <w:tc>
          <w:tcPr>
            <w:tcW w:w="970" w:type="dxa"/>
            <w:shd w:val="clear" w:color="auto" w:fill="auto"/>
            <w:noWrap/>
            <w:vAlign w:val="bottom"/>
          </w:tcPr>
          <w:p w:rsidR="007D13F3" w:rsidRPr="002248A7" w:rsidRDefault="007D13F3" w:rsidP="00465CAC">
            <w:pPr>
              <w:jc w:val="right"/>
              <w:rPr>
                <w:rFonts w:ascii="Times New Roman" w:hAnsi="Times New Roman" w:cs="Times New Roman"/>
                <w:color w:val="000000"/>
                <w:sz w:val="14"/>
                <w:szCs w:val="14"/>
              </w:rPr>
            </w:pPr>
            <w:r w:rsidRPr="002248A7">
              <w:rPr>
                <w:rFonts w:ascii="Times New Roman" w:hAnsi="Times New Roman" w:cs="Times New Roman"/>
                <w:color w:val="000000"/>
                <w:sz w:val="14"/>
                <w:szCs w:val="14"/>
              </w:rPr>
              <w:t>27 543 096</w:t>
            </w:r>
          </w:p>
        </w:tc>
        <w:tc>
          <w:tcPr>
            <w:tcW w:w="971" w:type="dxa"/>
            <w:shd w:val="clear" w:color="auto" w:fill="auto"/>
            <w:noWrap/>
            <w:vAlign w:val="bottom"/>
            <w:hideMark/>
          </w:tcPr>
          <w:p w:rsidR="007D13F3" w:rsidRPr="002248A7" w:rsidRDefault="007D13F3" w:rsidP="00465CAC">
            <w:pPr>
              <w:jc w:val="right"/>
              <w:rPr>
                <w:rFonts w:ascii="Times New Roman" w:hAnsi="Times New Roman" w:cs="Times New Roman"/>
                <w:color w:val="000000"/>
                <w:sz w:val="14"/>
                <w:szCs w:val="14"/>
                <w:lang w:eastAsia="sk-SK"/>
              </w:rPr>
            </w:pPr>
            <w:r w:rsidRPr="002248A7">
              <w:rPr>
                <w:rFonts w:ascii="Times New Roman" w:hAnsi="Times New Roman" w:cs="Times New Roman"/>
                <w:color w:val="000000"/>
                <w:sz w:val="14"/>
                <w:szCs w:val="14"/>
                <w:lang w:eastAsia="sk-SK"/>
              </w:rPr>
              <w:t>29 000 000</w:t>
            </w:r>
          </w:p>
        </w:tc>
        <w:tc>
          <w:tcPr>
            <w:tcW w:w="971" w:type="dxa"/>
            <w:shd w:val="clear" w:color="auto" w:fill="auto"/>
            <w:noWrap/>
            <w:vAlign w:val="bottom"/>
          </w:tcPr>
          <w:p w:rsidR="007D13F3" w:rsidRPr="003E07D5" w:rsidRDefault="007D13F3" w:rsidP="00465CAC">
            <w:pPr>
              <w:jc w:val="right"/>
              <w:rPr>
                <w:rFonts w:ascii="Times New Roman" w:hAnsi="Times New Roman" w:cs="Times New Roman"/>
                <w:color w:val="000000"/>
                <w:sz w:val="14"/>
                <w:szCs w:val="14"/>
              </w:rPr>
            </w:pPr>
            <w:r w:rsidRPr="003E07D5">
              <w:rPr>
                <w:rFonts w:ascii="Times New Roman" w:hAnsi="Times New Roman" w:cs="Times New Roman"/>
                <w:color w:val="000000"/>
                <w:sz w:val="14"/>
                <w:szCs w:val="14"/>
              </w:rPr>
              <w:t>23 818 355</w:t>
            </w:r>
          </w:p>
        </w:tc>
        <w:tc>
          <w:tcPr>
            <w:tcW w:w="971" w:type="dxa"/>
            <w:shd w:val="clear" w:color="auto" w:fill="auto"/>
            <w:noWrap/>
            <w:vAlign w:val="bottom"/>
          </w:tcPr>
          <w:p w:rsidR="007D13F3" w:rsidRPr="002248A7" w:rsidRDefault="007D13F3" w:rsidP="00465CAC">
            <w:pPr>
              <w:jc w:val="right"/>
              <w:rPr>
                <w:rFonts w:ascii="Times New Roman" w:hAnsi="Times New Roman" w:cs="Times New Roman"/>
                <w:color w:val="000000"/>
                <w:sz w:val="14"/>
                <w:szCs w:val="14"/>
              </w:rPr>
            </w:pPr>
            <w:r w:rsidRPr="002248A7">
              <w:rPr>
                <w:rFonts w:ascii="Times New Roman" w:hAnsi="Times New Roman" w:cs="Times New Roman"/>
                <w:color w:val="000000"/>
                <w:sz w:val="14"/>
                <w:szCs w:val="14"/>
              </w:rPr>
              <w:t>25 000 000</w:t>
            </w:r>
          </w:p>
        </w:tc>
        <w:tc>
          <w:tcPr>
            <w:tcW w:w="971" w:type="dxa"/>
            <w:shd w:val="clear" w:color="auto" w:fill="auto"/>
            <w:noWrap/>
            <w:vAlign w:val="bottom"/>
          </w:tcPr>
          <w:p w:rsidR="007D13F3" w:rsidRPr="002248A7" w:rsidRDefault="007D13F3" w:rsidP="00465CAC">
            <w:pPr>
              <w:jc w:val="right"/>
              <w:rPr>
                <w:rFonts w:ascii="Times New Roman" w:hAnsi="Times New Roman" w:cs="Times New Roman"/>
                <w:color w:val="000000"/>
                <w:sz w:val="14"/>
                <w:szCs w:val="14"/>
              </w:rPr>
            </w:pPr>
            <w:r w:rsidRPr="002248A7">
              <w:rPr>
                <w:rFonts w:ascii="Times New Roman" w:hAnsi="Times New Roman" w:cs="Times New Roman"/>
                <w:color w:val="000000"/>
                <w:sz w:val="14"/>
                <w:szCs w:val="14"/>
              </w:rPr>
              <w:t>24 000 000</w:t>
            </w:r>
          </w:p>
        </w:tc>
        <w:tc>
          <w:tcPr>
            <w:tcW w:w="971" w:type="dxa"/>
            <w:shd w:val="clear" w:color="auto" w:fill="auto"/>
            <w:noWrap/>
            <w:vAlign w:val="bottom"/>
          </w:tcPr>
          <w:p w:rsidR="007D13F3" w:rsidRPr="002248A7" w:rsidRDefault="007D13F3" w:rsidP="00465CAC">
            <w:pPr>
              <w:jc w:val="right"/>
              <w:rPr>
                <w:rFonts w:ascii="Times New Roman" w:hAnsi="Times New Roman" w:cs="Times New Roman"/>
                <w:color w:val="000000"/>
                <w:sz w:val="14"/>
                <w:szCs w:val="14"/>
              </w:rPr>
            </w:pPr>
            <w:r w:rsidRPr="002248A7">
              <w:rPr>
                <w:rFonts w:ascii="Times New Roman" w:hAnsi="Times New Roman" w:cs="Times New Roman"/>
                <w:color w:val="000000"/>
                <w:sz w:val="14"/>
                <w:szCs w:val="14"/>
              </w:rPr>
              <w:t>24 000 000</w:t>
            </w:r>
          </w:p>
        </w:tc>
      </w:tr>
      <w:tr w:rsidR="007D13F3" w:rsidRPr="0022533F" w:rsidTr="00465CAC">
        <w:trPr>
          <w:trHeight w:val="255"/>
        </w:trPr>
        <w:tc>
          <w:tcPr>
            <w:tcW w:w="2266" w:type="dxa"/>
            <w:shd w:val="clear" w:color="auto" w:fill="auto"/>
            <w:noWrap/>
            <w:vAlign w:val="bottom"/>
            <w:hideMark/>
          </w:tcPr>
          <w:p w:rsidR="007D13F3" w:rsidRPr="0022533F" w:rsidRDefault="007D13F3" w:rsidP="00465CAC">
            <w:pPr>
              <w:rPr>
                <w:rFonts w:ascii="Times New Roman" w:hAnsi="Times New Roman" w:cs="Times New Roman"/>
                <w:color w:val="000000"/>
                <w:sz w:val="14"/>
                <w:szCs w:val="14"/>
              </w:rPr>
            </w:pPr>
            <w:r w:rsidRPr="0022533F">
              <w:rPr>
                <w:rFonts w:ascii="Times New Roman" w:hAnsi="Times New Roman" w:cs="Times New Roman"/>
                <w:color w:val="000000"/>
                <w:sz w:val="14"/>
                <w:szCs w:val="14"/>
              </w:rPr>
              <w:t>Bonifikácia k hypotek</w:t>
            </w:r>
            <w:r>
              <w:rPr>
                <w:rFonts w:ascii="Times New Roman" w:hAnsi="Times New Roman" w:cs="Times New Roman"/>
                <w:color w:val="000000"/>
                <w:sz w:val="14"/>
                <w:szCs w:val="14"/>
              </w:rPr>
              <w:t>árnym</w:t>
            </w:r>
            <w:r w:rsidRPr="0022533F">
              <w:rPr>
                <w:rFonts w:ascii="Times New Roman" w:hAnsi="Times New Roman" w:cs="Times New Roman"/>
                <w:color w:val="000000"/>
                <w:sz w:val="14"/>
                <w:szCs w:val="14"/>
              </w:rPr>
              <w:t xml:space="preserve"> úverom </w:t>
            </w:r>
          </w:p>
        </w:tc>
        <w:tc>
          <w:tcPr>
            <w:tcW w:w="971" w:type="dxa"/>
            <w:shd w:val="clear" w:color="auto" w:fill="auto"/>
            <w:noWrap/>
            <w:vAlign w:val="bottom"/>
            <w:hideMark/>
          </w:tcPr>
          <w:p w:rsidR="007D13F3" w:rsidRPr="0022533F" w:rsidRDefault="007D13F3" w:rsidP="00465CAC">
            <w:pPr>
              <w:jc w:val="right"/>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lang w:eastAsia="sk-SK"/>
              </w:rPr>
              <w:t>33 034 186</w:t>
            </w:r>
          </w:p>
        </w:tc>
        <w:tc>
          <w:tcPr>
            <w:tcW w:w="970" w:type="dxa"/>
            <w:shd w:val="clear" w:color="auto" w:fill="auto"/>
            <w:noWrap/>
            <w:vAlign w:val="bottom"/>
          </w:tcPr>
          <w:p w:rsidR="007D13F3" w:rsidRPr="002248A7" w:rsidRDefault="007D13F3" w:rsidP="00465CAC">
            <w:pPr>
              <w:jc w:val="right"/>
              <w:rPr>
                <w:rFonts w:ascii="Times New Roman" w:hAnsi="Times New Roman" w:cs="Times New Roman"/>
                <w:color w:val="000000"/>
                <w:sz w:val="14"/>
                <w:szCs w:val="14"/>
              </w:rPr>
            </w:pPr>
            <w:r w:rsidRPr="002248A7">
              <w:rPr>
                <w:rFonts w:ascii="Times New Roman" w:hAnsi="Times New Roman" w:cs="Times New Roman"/>
                <w:color w:val="000000"/>
                <w:sz w:val="14"/>
                <w:szCs w:val="14"/>
              </w:rPr>
              <w:t>34 717 189</w:t>
            </w:r>
          </w:p>
        </w:tc>
        <w:tc>
          <w:tcPr>
            <w:tcW w:w="971" w:type="dxa"/>
            <w:shd w:val="clear" w:color="auto" w:fill="auto"/>
            <w:noWrap/>
            <w:vAlign w:val="bottom"/>
            <w:hideMark/>
          </w:tcPr>
          <w:p w:rsidR="007D13F3" w:rsidRPr="002248A7" w:rsidRDefault="007D13F3" w:rsidP="00465CAC">
            <w:pPr>
              <w:jc w:val="right"/>
              <w:rPr>
                <w:rFonts w:ascii="Times New Roman" w:hAnsi="Times New Roman" w:cs="Times New Roman"/>
                <w:color w:val="000000"/>
                <w:sz w:val="14"/>
                <w:szCs w:val="14"/>
                <w:lang w:eastAsia="sk-SK"/>
              </w:rPr>
            </w:pPr>
            <w:r w:rsidRPr="002248A7">
              <w:rPr>
                <w:rFonts w:ascii="Times New Roman" w:hAnsi="Times New Roman" w:cs="Times New Roman"/>
                <w:color w:val="000000"/>
                <w:sz w:val="14"/>
                <w:szCs w:val="14"/>
                <w:lang w:eastAsia="sk-SK"/>
              </w:rPr>
              <w:t>37 000 000</w:t>
            </w:r>
          </w:p>
        </w:tc>
        <w:tc>
          <w:tcPr>
            <w:tcW w:w="971" w:type="dxa"/>
            <w:shd w:val="clear" w:color="auto" w:fill="auto"/>
            <w:noWrap/>
            <w:vAlign w:val="bottom"/>
          </w:tcPr>
          <w:p w:rsidR="007D13F3" w:rsidRPr="003E07D5" w:rsidRDefault="007D13F3" w:rsidP="00465CAC">
            <w:pPr>
              <w:jc w:val="right"/>
              <w:rPr>
                <w:rFonts w:ascii="Times New Roman" w:hAnsi="Times New Roman" w:cs="Times New Roman"/>
                <w:color w:val="000000"/>
                <w:sz w:val="14"/>
                <w:szCs w:val="14"/>
              </w:rPr>
            </w:pPr>
            <w:r w:rsidRPr="003E07D5">
              <w:rPr>
                <w:rFonts w:ascii="Times New Roman" w:hAnsi="Times New Roman" w:cs="Times New Roman"/>
                <w:color w:val="000000"/>
                <w:sz w:val="14"/>
                <w:szCs w:val="14"/>
              </w:rPr>
              <w:t>37 000 000</w:t>
            </w:r>
          </w:p>
        </w:tc>
        <w:tc>
          <w:tcPr>
            <w:tcW w:w="971" w:type="dxa"/>
            <w:shd w:val="clear" w:color="auto" w:fill="auto"/>
            <w:noWrap/>
            <w:vAlign w:val="bottom"/>
          </w:tcPr>
          <w:p w:rsidR="007D13F3" w:rsidRPr="003C0DBE" w:rsidRDefault="007D13F3" w:rsidP="00465CAC">
            <w:pPr>
              <w:jc w:val="right"/>
              <w:rPr>
                <w:rFonts w:ascii="Times New Roman" w:hAnsi="Times New Roman" w:cs="Times New Roman"/>
                <w:color w:val="000000"/>
                <w:sz w:val="14"/>
                <w:szCs w:val="14"/>
                <w:lang w:eastAsia="sk-SK"/>
              </w:rPr>
            </w:pPr>
            <w:r w:rsidRPr="003C0DBE">
              <w:rPr>
                <w:rFonts w:ascii="Times New Roman" w:hAnsi="Times New Roman" w:cs="Times New Roman"/>
                <w:color w:val="000000"/>
                <w:sz w:val="14"/>
                <w:szCs w:val="14"/>
              </w:rPr>
              <w:t>36 653 622</w:t>
            </w:r>
          </w:p>
        </w:tc>
        <w:tc>
          <w:tcPr>
            <w:tcW w:w="971" w:type="dxa"/>
            <w:shd w:val="clear" w:color="auto" w:fill="auto"/>
            <w:noWrap/>
            <w:vAlign w:val="bottom"/>
          </w:tcPr>
          <w:p w:rsidR="007D13F3" w:rsidRPr="003C0DBE" w:rsidRDefault="007D13F3" w:rsidP="00465CAC">
            <w:pPr>
              <w:jc w:val="right"/>
              <w:rPr>
                <w:rFonts w:ascii="Times New Roman" w:hAnsi="Times New Roman" w:cs="Times New Roman"/>
                <w:color w:val="000000"/>
                <w:sz w:val="14"/>
                <w:szCs w:val="14"/>
              </w:rPr>
            </w:pPr>
            <w:r w:rsidRPr="003C0DBE">
              <w:rPr>
                <w:rFonts w:ascii="Times New Roman" w:hAnsi="Times New Roman" w:cs="Times New Roman"/>
                <w:color w:val="000000"/>
                <w:sz w:val="14"/>
                <w:szCs w:val="14"/>
              </w:rPr>
              <w:t>29 076 653</w:t>
            </w:r>
          </w:p>
        </w:tc>
        <w:tc>
          <w:tcPr>
            <w:tcW w:w="971" w:type="dxa"/>
            <w:shd w:val="clear" w:color="auto" w:fill="auto"/>
            <w:noWrap/>
            <w:vAlign w:val="bottom"/>
          </w:tcPr>
          <w:p w:rsidR="007D13F3" w:rsidRPr="003C0DBE" w:rsidRDefault="007D13F3" w:rsidP="00465CAC">
            <w:pPr>
              <w:jc w:val="right"/>
              <w:rPr>
                <w:rFonts w:ascii="Times New Roman" w:hAnsi="Times New Roman" w:cs="Times New Roman"/>
                <w:color w:val="000000"/>
                <w:sz w:val="14"/>
                <w:szCs w:val="14"/>
              </w:rPr>
            </w:pPr>
            <w:r w:rsidRPr="003C0DBE">
              <w:rPr>
                <w:rFonts w:ascii="Times New Roman" w:hAnsi="Times New Roman" w:cs="Times New Roman"/>
                <w:color w:val="000000"/>
                <w:sz w:val="14"/>
                <w:szCs w:val="14"/>
              </w:rPr>
              <w:t>21 872 960</w:t>
            </w:r>
          </w:p>
        </w:tc>
      </w:tr>
    </w:tbl>
    <w:p w:rsidR="007D13F3" w:rsidRPr="00F8472E" w:rsidRDefault="007D13F3" w:rsidP="007D13F3">
      <w:pPr>
        <w:shd w:val="clear" w:color="auto" w:fill="FFFFFF"/>
        <w:jc w:val="both"/>
        <w:rPr>
          <w:rFonts w:ascii="Times New Roman" w:hAnsi="Times New Roman" w:cs="Times New Roman"/>
          <w:sz w:val="20"/>
          <w:szCs w:val="20"/>
          <w:highlight w:val="yellow"/>
        </w:rPr>
      </w:pPr>
    </w:p>
    <w:p w:rsidR="007D13F3" w:rsidRPr="00831BCB" w:rsidRDefault="007D13F3" w:rsidP="007D13F3">
      <w:pPr>
        <w:ind w:firstLine="708"/>
        <w:jc w:val="both"/>
        <w:rPr>
          <w:rFonts w:ascii="Times New Roman" w:hAnsi="Times New Roman" w:cs="Times New Roman"/>
          <w:szCs w:val="22"/>
        </w:rPr>
      </w:pPr>
      <w:r w:rsidRPr="00831BCB">
        <w:rPr>
          <w:rFonts w:ascii="Times New Roman" w:hAnsi="Times New Roman" w:cs="Times New Roman"/>
          <w:szCs w:val="22"/>
        </w:rPr>
        <w:t>Na podporu rozvoja bývania prostredníctvom poskytovania</w:t>
      </w:r>
      <w:r w:rsidRPr="00831BCB">
        <w:rPr>
          <w:rFonts w:ascii="Times New Roman" w:hAnsi="Times New Roman" w:cs="Times New Roman"/>
          <w:b/>
          <w:szCs w:val="22"/>
        </w:rPr>
        <w:t xml:space="preserve"> </w:t>
      </w:r>
      <w:r w:rsidRPr="00831BCB">
        <w:rPr>
          <w:rFonts w:ascii="Times New Roman" w:hAnsi="Times New Roman" w:cs="Times New Roman"/>
          <w:szCs w:val="22"/>
        </w:rPr>
        <w:t>dotácií sa v roku 201</w:t>
      </w:r>
      <w:r>
        <w:rPr>
          <w:rFonts w:ascii="Times New Roman" w:hAnsi="Times New Roman" w:cs="Times New Roman"/>
          <w:szCs w:val="22"/>
        </w:rPr>
        <w:t>8</w:t>
      </w:r>
      <w:r w:rsidRPr="00831BCB">
        <w:rPr>
          <w:rFonts w:ascii="Times New Roman" w:hAnsi="Times New Roman" w:cs="Times New Roman"/>
          <w:szCs w:val="22"/>
        </w:rPr>
        <w:t xml:space="preserve"> rozpočtujú výdavky zo štátneho rozpočtu v sume 10</w:t>
      </w:r>
      <w:r>
        <w:rPr>
          <w:rFonts w:ascii="Times New Roman" w:hAnsi="Times New Roman" w:cs="Times New Roman"/>
          <w:szCs w:val="22"/>
        </w:rPr>
        <w:t>2</w:t>
      </w:r>
      <w:r w:rsidRPr="00831BCB">
        <w:rPr>
          <w:rFonts w:ascii="Times New Roman" w:hAnsi="Times New Roman" w:cs="Times New Roman"/>
          <w:szCs w:val="22"/>
        </w:rPr>
        <w:t xml:space="preserve"> mil. eur, čo v porovnaní so schváleným rozpočtom roku 201</w:t>
      </w:r>
      <w:r>
        <w:rPr>
          <w:rFonts w:ascii="Times New Roman" w:hAnsi="Times New Roman" w:cs="Times New Roman"/>
          <w:szCs w:val="22"/>
        </w:rPr>
        <w:t>7</w:t>
      </w:r>
      <w:r w:rsidRPr="00831BCB">
        <w:rPr>
          <w:rFonts w:ascii="Times New Roman" w:hAnsi="Times New Roman" w:cs="Times New Roman"/>
          <w:szCs w:val="22"/>
        </w:rPr>
        <w:t xml:space="preserve"> predstavuje pokles o </w:t>
      </w:r>
      <w:r>
        <w:rPr>
          <w:rFonts w:ascii="Times New Roman" w:hAnsi="Times New Roman" w:cs="Times New Roman"/>
          <w:szCs w:val="22"/>
        </w:rPr>
        <w:t>5</w:t>
      </w:r>
      <w:r w:rsidRPr="00831BCB">
        <w:rPr>
          <w:rFonts w:ascii="Times New Roman" w:hAnsi="Times New Roman" w:cs="Times New Roman"/>
          <w:szCs w:val="22"/>
        </w:rPr>
        <w:t>,</w:t>
      </w:r>
      <w:r>
        <w:rPr>
          <w:rFonts w:ascii="Times New Roman" w:hAnsi="Times New Roman" w:cs="Times New Roman"/>
          <w:szCs w:val="22"/>
        </w:rPr>
        <w:t>85</w:t>
      </w:r>
      <w:r w:rsidRPr="00831BCB">
        <w:rPr>
          <w:rFonts w:ascii="Times New Roman" w:hAnsi="Times New Roman" w:cs="Times New Roman"/>
          <w:szCs w:val="22"/>
        </w:rPr>
        <w:t xml:space="preserve"> mil. eur, t. j. o</w:t>
      </w:r>
      <w:r>
        <w:rPr>
          <w:rFonts w:ascii="Times New Roman" w:hAnsi="Times New Roman" w:cs="Times New Roman"/>
          <w:szCs w:val="22"/>
        </w:rPr>
        <w:t> 5,44</w:t>
      </w:r>
      <w:r w:rsidRPr="00831BCB">
        <w:rPr>
          <w:rFonts w:ascii="Times New Roman" w:hAnsi="Times New Roman" w:cs="Times New Roman"/>
          <w:szCs w:val="22"/>
        </w:rPr>
        <w:t xml:space="preserve"> %</w:t>
      </w:r>
      <w:r>
        <w:rPr>
          <w:rFonts w:ascii="Times New Roman" w:hAnsi="Times New Roman" w:cs="Times New Roman"/>
          <w:szCs w:val="22"/>
        </w:rPr>
        <w:t>, z dôvodu aktualizácie výdavkov na štátnu prémiu k stavebnému sporeniu, zníženia výdavkov na štátny príspevok k hypotekárnym úverom z dôvodu zmeny systému poskytovania podpory hypotekárnych úverov a nerozpočtovania výdavkov na dotácie na náhradné nájomné byty z titulu uplynutia lehôt</w:t>
      </w:r>
      <w:r>
        <w:rPr>
          <w:rFonts w:ascii="Times New Roman" w:hAnsi="Times New Roman" w:cs="Times New Roman"/>
          <w:lang w:eastAsia="en-US"/>
        </w:rPr>
        <w:t xml:space="preserve"> </w:t>
      </w:r>
      <w:r w:rsidRPr="00797419">
        <w:rPr>
          <w:rFonts w:ascii="Times New Roman" w:hAnsi="Times New Roman" w:cs="Times New Roman"/>
          <w:lang w:eastAsia="en-US"/>
        </w:rPr>
        <w:t>v</w:t>
      </w:r>
      <w:r>
        <w:rPr>
          <w:rFonts w:ascii="Times New Roman" w:hAnsi="Times New Roman" w:cs="Times New Roman"/>
          <w:lang w:eastAsia="en-US"/>
        </w:rPr>
        <w:t xml:space="preserve"> zmysle doložky vplyvov k </w:t>
      </w:r>
      <w:r w:rsidRPr="00797419">
        <w:rPr>
          <w:rFonts w:ascii="Times New Roman" w:hAnsi="Times New Roman" w:cs="Times New Roman"/>
          <w:lang w:eastAsia="en-US"/>
        </w:rPr>
        <w:t>zákon</w:t>
      </w:r>
      <w:r>
        <w:rPr>
          <w:rFonts w:ascii="Times New Roman" w:hAnsi="Times New Roman" w:cs="Times New Roman"/>
          <w:lang w:eastAsia="en-US"/>
        </w:rPr>
        <w:t xml:space="preserve">u </w:t>
      </w:r>
      <w:r w:rsidRPr="00797419">
        <w:rPr>
          <w:rFonts w:ascii="Times New Roman" w:hAnsi="Times New Roman" w:cs="Times New Roman"/>
          <w:lang w:eastAsia="en-US"/>
        </w:rPr>
        <w:t xml:space="preserve">č. 261/2011 </w:t>
      </w:r>
      <w:r w:rsidR="00664ACC">
        <w:rPr>
          <w:rFonts w:ascii="Times New Roman" w:hAnsi="Times New Roman" w:cs="Times New Roman"/>
          <w:lang w:eastAsia="en-US"/>
        </w:rPr>
        <w:t xml:space="preserve">Z. z. </w:t>
      </w:r>
      <w:r w:rsidRPr="00797419">
        <w:rPr>
          <w:rFonts w:ascii="Times New Roman" w:hAnsi="Times New Roman" w:cs="Times New Roman"/>
          <w:lang w:eastAsia="en-US"/>
        </w:rPr>
        <w:t>o poskytovaní dotácií na náhradné nájomné byty</w:t>
      </w:r>
      <w:r>
        <w:rPr>
          <w:rFonts w:ascii="Times New Roman" w:hAnsi="Times New Roman" w:cs="Times New Roman"/>
          <w:lang w:eastAsia="en-US"/>
        </w:rPr>
        <w:t>.</w:t>
      </w:r>
      <w:r w:rsidRPr="00831BCB">
        <w:rPr>
          <w:rFonts w:ascii="Times New Roman" w:hAnsi="Times New Roman" w:cs="Times New Roman"/>
          <w:szCs w:val="22"/>
        </w:rPr>
        <w:t xml:space="preserve"> Výdavky sú určené na podporu bývania, na štátnu prémiu k stavebnému sporeniu</w:t>
      </w:r>
      <w:r>
        <w:rPr>
          <w:rFonts w:ascii="Times New Roman" w:hAnsi="Times New Roman" w:cs="Times New Roman"/>
          <w:szCs w:val="22"/>
        </w:rPr>
        <w:t>,</w:t>
      </w:r>
      <w:r w:rsidRPr="00831BCB">
        <w:rPr>
          <w:rFonts w:ascii="Times New Roman" w:hAnsi="Times New Roman" w:cs="Times New Roman"/>
          <w:szCs w:val="22"/>
        </w:rPr>
        <w:t> na štátny príspevok k hypotekárnym úverom</w:t>
      </w:r>
      <w:r>
        <w:rPr>
          <w:rFonts w:ascii="Times New Roman" w:hAnsi="Times New Roman" w:cs="Times New Roman"/>
          <w:szCs w:val="22"/>
        </w:rPr>
        <w:t xml:space="preserve"> poskytnutým k 31. 12. 2017 a na zatepľovanie rodinných domov</w:t>
      </w:r>
      <w:r w:rsidRPr="00831BCB">
        <w:rPr>
          <w:rFonts w:ascii="Times New Roman" w:hAnsi="Times New Roman" w:cs="Times New Roman"/>
          <w:szCs w:val="22"/>
        </w:rPr>
        <w:t xml:space="preserve">. </w:t>
      </w:r>
    </w:p>
    <w:p w:rsidR="007D13F3" w:rsidRPr="00897DAD" w:rsidRDefault="007D13F3" w:rsidP="007D13F3">
      <w:pPr>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8"/>
        <w:gridCol w:w="1019"/>
        <w:gridCol w:w="1019"/>
        <w:gridCol w:w="1019"/>
        <w:gridCol w:w="1019"/>
        <w:gridCol w:w="1019"/>
        <w:gridCol w:w="1019"/>
        <w:gridCol w:w="1000"/>
      </w:tblGrid>
      <w:tr w:rsidR="007D13F3" w:rsidRPr="00FC3C78" w:rsidTr="000E76EC">
        <w:trPr>
          <w:trHeight w:hRule="exact" w:val="255"/>
        </w:trPr>
        <w:tc>
          <w:tcPr>
            <w:tcW w:w="1075" w:type="pct"/>
            <w:shd w:val="clear" w:color="000000" w:fill="A6A6A6"/>
            <w:noWrap/>
            <w:vAlign w:val="center"/>
            <w:hideMark/>
          </w:tcPr>
          <w:p w:rsidR="007D13F3" w:rsidRPr="00046BC1" w:rsidRDefault="007D13F3" w:rsidP="00465CAC">
            <w:pPr>
              <w:jc w:val="both"/>
              <w:rPr>
                <w:rFonts w:ascii="Times New Roman" w:hAnsi="Times New Roman" w:cs="Times New Roman"/>
                <w:b/>
                <w:bCs/>
                <w:color w:val="000000"/>
                <w:sz w:val="14"/>
                <w:szCs w:val="14"/>
              </w:rPr>
            </w:pPr>
            <w:r w:rsidRPr="00046BC1">
              <w:rPr>
                <w:rFonts w:ascii="Times New Roman" w:hAnsi="Times New Roman" w:cs="Times New Roman"/>
                <w:b/>
                <w:bCs/>
                <w:color w:val="000000"/>
                <w:sz w:val="14"/>
                <w:szCs w:val="14"/>
              </w:rPr>
              <w:t>v eurách</w:t>
            </w:r>
          </w:p>
        </w:tc>
        <w:tc>
          <w:tcPr>
            <w:tcW w:w="562" w:type="pct"/>
            <w:shd w:val="clear" w:color="000000" w:fill="A6A6A6"/>
            <w:noWrap/>
            <w:vAlign w:val="center"/>
            <w:hideMark/>
          </w:tcPr>
          <w:p w:rsidR="007D13F3" w:rsidRPr="00FC3C78" w:rsidRDefault="007D13F3" w:rsidP="00465CAC">
            <w:pPr>
              <w:jc w:val="center"/>
              <w:rPr>
                <w:rFonts w:ascii="Times New Roman" w:hAnsi="Times New Roman" w:cs="Times New Roman"/>
                <w:b/>
                <w:bCs/>
                <w:color w:val="000000"/>
                <w:sz w:val="14"/>
                <w:szCs w:val="14"/>
              </w:rPr>
            </w:pPr>
            <w:r w:rsidRPr="00FC3C78">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FC3C78">
              <w:rPr>
                <w:rFonts w:ascii="Times New Roman" w:hAnsi="Times New Roman" w:cs="Times New Roman"/>
                <w:b/>
                <w:bCs/>
                <w:color w:val="000000"/>
                <w:sz w:val="14"/>
                <w:szCs w:val="14"/>
              </w:rPr>
              <w:t xml:space="preserve"> S</w:t>
            </w:r>
          </w:p>
        </w:tc>
        <w:tc>
          <w:tcPr>
            <w:tcW w:w="562" w:type="pct"/>
            <w:shd w:val="clear" w:color="000000" w:fill="A6A6A6"/>
            <w:noWrap/>
            <w:vAlign w:val="center"/>
            <w:hideMark/>
          </w:tcPr>
          <w:p w:rsidR="007D13F3" w:rsidRPr="00FC3C78" w:rsidRDefault="007D13F3" w:rsidP="00465CAC">
            <w:pPr>
              <w:jc w:val="center"/>
              <w:rPr>
                <w:rFonts w:ascii="Times New Roman" w:hAnsi="Times New Roman" w:cs="Times New Roman"/>
                <w:b/>
                <w:bCs/>
                <w:color w:val="000000"/>
                <w:sz w:val="14"/>
                <w:szCs w:val="14"/>
              </w:rPr>
            </w:pPr>
            <w:r w:rsidRPr="00FC3C78">
              <w:rPr>
                <w:rFonts w:ascii="Times New Roman" w:hAnsi="Times New Roman" w:cs="Times New Roman"/>
                <w:b/>
                <w:bCs/>
                <w:color w:val="000000"/>
                <w:sz w:val="14"/>
                <w:szCs w:val="14"/>
              </w:rPr>
              <w:t>2</w:t>
            </w:r>
            <w:r>
              <w:rPr>
                <w:rFonts w:ascii="Times New Roman" w:hAnsi="Times New Roman" w:cs="Times New Roman"/>
                <w:b/>
                <w:bCs/>
                <w:color w:val="000000"/>
                <w:sz w:val="14"/>
                <w:szCs w:val="14"/>
              </w:rPr>
              <w:t>016</w:t>
            </w:r>
            <w:r w:rsidRPr="00FC3C78">
              <w:rPr>
                <w:rFonts w:ascii="Times New Roman" w:hAnsi="Times New Roman" w:cs="Times New Roman"/>
                <w:b/>
                <w:bCs/>
                <w:color w:val="000000"/>
                <w:sz w:val="14"/>
                <w:szCs w:val="14"/>
              </w:rPr>
              <w:t xml:space="preserve"> S</w:t>
            </w:r>
          </w:p>
        </w:tc>
        <w:tc>
          <w:tcPr>
            <w:tcW w:w="562" w:type="pct"/>
            <w:shd w:val="clear" w:color="000000" w:fill="A6A6A6"/>
            <w:noWrap/>
            <w:vAlign w:val="center"/>
            <w:hideMark/>
          </w:tcPr>
          <w:p w:rsidR="007D13F3" w:rsidRPr="00FC3C78" w:rsidRDefault="007D13F3" w:rsidP="00465CAC">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2017</w:t>
            </w:r>
            <w:r w:rsidRPr="00FC3C78">
              <w:rPr>
                <w:rFonts w:ascii="Times New Roman" w:hAnsi="Times New Roman" w:cs="Times New Roman"/>
                <w:b/>
                <w:bCs/>
                <w:color w:val="000000"/>
                <w:sz w:val="14"/>
                <w:szCs w:val="14"/>
              </w:rPr>
              <w:t xml:space="preserve"> R</w:t>
            </w:r>
          </w:p>
        </w:tc>
        <w:tc>
          <w:tcPr>
            <w:tcW w:w="562" w:type="pct"/>
            <w:shd w:val="clear" w:color="000000" w:fill="A6A6A6"/>
            <w:noWrap/>
            <w:vAlign w:val="center"/>
            <w:hideMark/>
          </w:tcPr>
          <w:p w:rsidR="007D13F3" w:rsidRPr="00FC3C78" w:rsidRDefault="007D13F3" w:rsidP="00465CAC">
            <w:pPr>
              <w:jc w:val="center"/>
              <w:rPr>
                <w:rFonts w:ascii="Times New Roman" w:hAnsi="Times New Roman" w:cs="Times New Roman"/>
                <w:b/>
                <w:bCs/>
                <w:color w:val="000000"/>
                <w:sz w:val="14"/>
                <w:szCs w:val="14"/>
              </w:rPr>
            </w:pPr>
            <w:r w:rsidRPr="00FC3C78">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FC3C78">
              <w:rPr>
                <w:rFonts w:ascii="Times New Roman" w:hAnsi="Times New Roman" w:cs="Times New Roman"/>
                <w:b/>
                <w:bCs/>
                <w:color w:val="000000"/>
                <w:sz w:val="14"/>
                <w:szCs w:val="14"/>
              </w:rPr>
              <w:t xml:space="preserve"> OS</w:t>
            </w:r>
          </w:p>
        </w:tc>
        <w:tc>
          <w:tcPr>
            <w:tcW w:w="562" w:type="pct"/>
            <w:shd w:val="clear" w:color="000000" w:fill="A6A6A6"/>
            <w:noWrap/>
            <w:vAlign w:val="center"/>
            <w:hideMark/>
          </w:tcPr>
          <w:p w:rsidR="007D13F3" w:rsidRPr="00FC3C78" w:rsidRDefault="007D13F3" w:rsidP="00465CAC">
            <w:pPr>
              <w:jc w:val="center"/>
              <w:rPr>
                <w:rFonts w:ascii="Times New Roman" w:hAnsi="Times New Roman" w:cs="Times New Roman"/>
                <w:b/>
                <w:bCs/>
                <w:color w:val="000000"/>
                <w:sz w:val="14"/>
                <w:szCs w:val="14"/>
              </w:rPr>
            </w:pPr>
            <w:r w:rsidRPr="00FC3C78">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FC3C78">
              <w:rPr>
                <w:rFonts w:ascii="Times New Roman" w:hAnsi="Times New Roman" w:cs="Times New Roman"/>
                <w:b/>
                <w:bCs/>
                <w:color w:val="000000"/>
                <w:sz w:val="14"/>
                <w:szCs w:val="14"/>
              </w:rPr>
              <w:t xml:space="preserve"> N</w:t>
            </w:r>
          </w:p>
        </w:tc>
        <w:tc>
          <w:tcPr>
            <w:tcW w:w="562" w:type="pct"/>
            <w:shd w:val="clear" w:color="000000" w:fill="A6A6A6"/>
            <w:noWrap/>
            <w:vAlign w:val="center"/>
            <w:hideMark/>
          </w:tcPr>
          <w:p w:rsidR="007D13F3" w:rsidRPr="00FC3C78" w:rsidRDefault="007D13F3" w:rsidP="00465CAC">
            <w:pPr>
              <w:jc w:val="center"/>
              <w:rPr>
                <w:rFonts w:ascii="Times New Roman" w:hAnsi="Times New Roman" w:cs="Times New Roman"/>
                <w:b/>
                <w:bCs/>
                <w:color w:val="000000"/>
                <w:sz w:val="14"/>
                <w:szCs w:val="14"/>
              </w:rPr>
            </w:pPr>
            <w:r w:rsidRPr="00FC3C78">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FC3C78">
              <w:rPr>
                <w:rFonts w:ascii="Times New Roman" w:hAnsi="Times New Roman" w:cs="Times New Roman"/>
                <w:b/>
                <w:bCs/>
                <w:color w:val="000000"/>
                <w:sz w:val="14"/>
                <w:szCs w:val="14"/>
              </w:rPr>
              <w:t xml:space="preserve"> N</w:t>
            </w:r>
          </w:p>
        </w:tc>
        <w:tc>
          <w:tcPr>
            <w:tcW w:w="552" w:type="pct"/>
            <w:shd w:val="clear" w:color="000000" w:fill="A6A6A6"/>
            <w:noWrap/>
            <w:vAlign w:val="center"/>
            <w:hideMark/>
          </w:tcPr>
          <w:p w:rsidR="007D13F3" w:rsidRPr="00FC3C78" w:rsidRDefault="007D13F3" w:rsidP="00465CAC">
            <w:pPr>
              <w:jc w:val="center"/>
              <w:rPr>
                <w:rFonts w:ascii="Times New Roman" w:hAnsi="Times New Roman" w:cs="Times New Roman"/>
                <w:b/>
                <w:bCs/>
                <w:color w:val="000000"/>
                <w:sz w:val="14"/>
                <w:szCs w:val="14"/>
              </w:rPr>
            </w:pPr>
            <w:r w:rsidRPr="00FC3C78">
              <w:rPr>
                <w:rFonts w:ascii="Times New Roman" w:hAnsi="Times New Roman" w:cs="Times New Roman"/>
                <w:b/>
                <w:bCs/>
                <w:color w:val="000000"/>
                <w:sz w:val="14"/>
                <w:szCs w:val="14"/>
              </w:rPr>
              <w:t>20</w:t>
            </w:r>
            <w:r>
              <w:rPr>
                <w:rFonts w:ascii="Times New Roman" w:hAnsi="Times New Roman" w:cs="Times New Roman"/>
                <w:b/>
                <w:bCs/>
                <w:color w:val="000000"/>
                <w:sz w:val="14"/>
                <w:szCs w:val="14"/>
              </w:rPr>
              <w:t>20</w:t>
            </w:r>
            <w:r w:rsidRPr="00FC3C78">
              <w:rPr>
                <w:rFonts w:ascii="Times New Roman" w:hAnsi="Times New Roman" w:cs="Times New Roman"/>
                <w:b/>
                <w:bCs/>
                <w:color w:val="000000"/>
                <w:sz w:val="14"/>
                <w:szCs w:val="14"/>
              </w:rPr>
              <w:t xml:space="preserve"> N</w:t>
            </w:r>
          </w:p>
        </w:tc>
      </w:tr>
      <w:tr w:rsidR="007D13F3" w:rsidRPr="00FC3C78" w:rsidTr="000E76EC">
        <w:trPr>
          <w:trHeight w:hRule="exact" w:val="255"/>
        </w:trPr>
        <w:tc>
          <w:tcPr>
            <w:tcW w:w="1075" w:type="pct"/>
            <w:shd w:val="clear" w:color="auto" w:fill="BFBFBF" w:themeFill="background1" w:themeFillShade="BF"/>
            <w:noWrap/>
            <w:vAlign w:val="bottom"/>
            <w:hideMark/>
          </w:tcPr>
          <w:p w:rsidR="007D13F3" w:rsidRPr="00FC3C78" w:rsidRDefault="007D13F3" w:rsidP="00465CAC">
            <w:pPr>
              <w:jc w:val="both"/>
              <w:rPr>
                <w:rFonts w:ascii="Times New Roman" w:hAnsi="Times New Roman" w:cs="Times New Roman"/>
                <w:b/>
                <w:bCs/>
                <w:color w:val="000000"/>
                <w:sz w:val="14"/>
                <w:szCs w:val="14"/>
              </w:rPr>
            </w:pPr>
            <w:r w:rsidRPr="00FC3C78">
              <w:rPr>
                <w:rFonts w:ascii="Times New Roman" w:hAnsi="Times New Roman" w:cs="Times New Roman"/>
                <w:b/>
                <w:bCs/>
                <w:color w:val="000000"/>
                <w:sz w:val="14"/>
                <w:szCs w:val="14"/>
              </w:rPr>
              <w:t>Zdroje ŠFRB</w:t>
            </w:r>
          </w:p>
        </w:tc>
        <w:tc>
          <w:tcPr>
            <w:tcW w:w="562" w:type="pct"/>
            <w:shd w:val="clear" w:color="auto" w:fill="BFBFBF" w:themeFill="background1" w:themeFillShade="BF"/>
            <w:noWrap/>
            <w:vAlign w:val="bottom"/>
            <w:hideMark/>
          </w:tcPr>
          <w:p w:rsidR="007D13F3" w:rsidRPr="00894616" w:rsidRDefault="007D13F3" w:rsidP="00465CAC">
            <w:pPr>
              <w:jc w:val="right"/>
              <w:rPr>
                <w:rFonts w:ascii="Times New Roman" w:hAnsi="Times New Roman" w:cs="Times New Roman"/>
                <w:b/>
                <w:bCs/>
                <w:color w:val="000000"/>
                <w:sz w:val="14"/>
                <w:szCs w:val="14"/>
              </w:rPr>
            </w:pPr>
            <w:r w:rsidRPr="00894616">
              <w:rPr>
                <w:rFonts w:ascii="Times New Roman" w:hAnsi="Times New Roman" w:cs="Times New Roman"/>
                <w:b/>
                <w:bCs/>
                <w:color w:val="000000"/>
                <w:sz w:val="14"/>
                <w:szCs w:val="14"/>
              </w:rPr>
              <w:t>422 582 414</w:t>
            </w:r>
          </w:p>
        </w:tc>
        <w:tc>
          <w:tcPr>
            <w:tcW w:w="562" w:type="pct"/>
            <w:shd w:val="clear" w:color="auto" w:fill="BFBFBF" w:themeFill="background1" w:themeFillShade="BF"/>
            <w:noWrap/>
            <w:vAlign w:val="bottom"/>
          </w:tcPr>
          <w:p w:rsidR="007D13F3" w:rsidRPr="00894616" w:rsidRDefault="007D13F3" w:rsidP="00465CAC">
            <w:pPr>
              <w:jc w:val="right"/>
              <w:rPr>
                <w:rFonts w:ascii="Times New Roman" w:hAnsi="Times New Roman" w:cs="Times New Roman"/>
                <w:b/>
                <w:bCs/>
                <w:color w:val="000000"/>
                <w:sz w:val="14"/>
                <w:szCs w:val="14"/>
              </w:rPr>
            </w:pPr>
            <w:r w:rsidRPr="00894616">
              <w:rPr>
                <w:rFonts w:ascii="Times New Roman" w:hAnsi="Times New Roman" w:cs="Times New Roman"/>
                <w:b/>
                <w:bCs/>
                <w:color w:val="000000"/>
                <w:sz w:val="14"/>
                <w:szCs w:val="14"/>
              </w:rPr>
              <w:t>416 625 255</w:t>
            </w:r>
          </w:p>
        </w:tc>
        <w:tc>
          <w:tcPr>
            <w:tcW w:w="562" w:type="pct"/>
            <w:shd w:val="clear" w:color="auto" w:fill="BFBFBF" w:themeFill="background1" w:themeFillShade="BF"/>
            <w:noWrap/>
            <w:vAlign w:val="bottom"/>
            <w:hideMark/>
          </w:tcPr>
          <w:p w:rsidR="007D13F3" w:rsidRPr="00894616" w:rsidRDefault="007D13F3" w:rsidP="00465CAC">
            <w:pPr>
              <w:jc w:val="right"/>
              <w:rPr>
                <w:rFonts w:ascii="Times New Roman" w:hAnsi="Times New Roman" w:cs="Times New Roman"/>
                <w:b/>
                <w:bCs/>
                <w:color w:val="000000"/>
                <w:sz w:val="14"/>
                <w:szCs w:val="14"/>
              </w:rPr>
            </w:pPr>
            <w:r w:rsidRPr="00894616">
              <w:rPr>
                <w:rFonts w:ascii="Times New Roman" w:hAnsi="Times New Roman" w:cs="Times New Roman"/>
                <w:b/>
                <w:bCs/>
                <w:color w:val="000000"/>
                <w:sz w:val="14"/>
                <w:szCs w:val="14"/>
              </w:rPr>
              <w:t>348 264 138</w:t>
            </w:r>
          </w:p>
        </w:tc>
        <w:tc>
          <w:tcPr>
            <w:tcW w:w="562" w:type="pct"/>
            <w:shd w:val="clear" w:color="auto" w:fill="BFBFBF" w:themeFill="background1" w:themeFillShade="BF"/>
            <w:noWrap/>
            <w:vAlign w:val="bottom"/>
          </w:tcPr>
          <w:p w:rsidR="007D13F3" w:rsidRPr="00046BC1" w:rsidRDefault="007D13F3" w:rsidP="00465CAC">
            <w:pPr>
              <w:jc w:val="right"/>
              <w:rPr>
                <w:rFonts w:ascii="Times New Roman" w:hAnsi="Times New Roman" w:cs="Times New Roman"/>
                <w:b/>
                <w:bCs/>
                <w:color w:val="000000"/>
                <w:sz w:val="14"/>
                <w:szCs w:val="14"/>
              </w:rPr>
            </w:pPr>
            <w:r w:rsidRPr="00046BC1">
              <w:rPr>
                <w:rFonts w:ascii="Times New Roman" w:hAnsi="Times New Roman" w:cs="Times New Roman"/>
                <w:b/>
                <w:bCs/>
                <w:color w:val="000000"/>
                <w:sz w:val="14"/>
                <w:szCs w:val="14"/>
              </w:rPr>
              <w:t>362 245 363</w:t>
            </w:r>
          </w:p>
        </w:tc>
        <w:tc>
          <w:tcPr>
            <w:tcW w:w="562" w:type="pct"/>
            <w:shd w:val="clear" w:color="auto" w:fill="BFBFBF" w:themeFill="background1" w:themeFillShade="BF"/>
            <w:noWrap/>
            <w:vAlign w:val="bottom"/>
          </w:tcPr>
          <w:p w:rsidR="007D13F3" w:rsidRPr="001C44D0" w:rsidRDefault="007D13F3" w:rsidP="00465CAC">
            <w:pPr>
              <w:jc w:val="right"/>
              <w:rPr>
                <w:rFonts w:ascii="Times New Roman" w:hAnsi="Times New Roman" w:cs="Times New Roman"/>
                <w:b/>
                <w:bCs/>
                <w:color w:val="000000"/>
                <w:sz w:val="14"/>
                <w:szCs w:val="14"/>
              </w:rPr>
            </w:pPr>
            <w:r w:rsidRPr="001C44D0">
              <w:rPr>
                <w:rFonts w:ascii="Times New Roman" w:hAnsi="Times New Roman" w:cs="Times New Roman"/>
                <w:b/>
                <w:bCs/>
                <w:color w:val="000000"/>
                <w:sz w:val="14"/>
                <w:szCs w:val="14"/>
              </w:rPr>
              <w:t>310 336 988</w:t>
            </w:r>
          </w:p>
        </w:tc>
        <w:tc>
          <w:tcPr>
            <w:tcW w:w="562" w:type="pct"/>
            <w:shd w:val="clear" w:color="auto" w:fill="BFBFBF" w:themeFill="background1" w:themeFillShade="BF"/>
            <w:noWrap/>
            <w:vAlign w:val="bottom"/>
          </w:tcPr>
          <w:p w:rsidR="007D13F3" w:rsidRPr="001C44D0" w:rsidRDefault="007D13F3" w:rsidP="00465CAC">
            <w:pPr>
              <w:jc w:val="right"/>
              <w:rPr>
                <w:rFonts w:ascii="Times New Roman" w:hAnsi="Times New Roman" w:cs="Times New Roman"/>
                <w:b/>
                <w:bCs/>
                <w:color w:val="000000"/>
                <w:sz w:val="14"/>
                <w:szCs w:val="14"/>
              </w:rPr>
            </w:pPr>
            <w:r w:rsidRPr="001C44D0">
              <w:rPr>
                <w:rFonts w:ascii="Times New Roman" w:hAnsi="Times New Roman" w:cs="Times New Roman"/>
                <w:b/>
                <w:bCs/>
                <w:color w:val="000000"/>
                <w:sz w:val="14"/>
                <w:szCs w:val="14"/>
              </w:rPr>
              <w:t>266 127 727</w:t>
            </w:r>
          </w:p>
        </w:tc>
        <w:tc>
          <w:tcPr>
            <w:tcW w:w="552" w:type="pct"/>
            <w:shd w:val="clear" w:color="auto" w:fill="BFBFBF" w:themeFill="background1" w:themeFillShade="BF"/>
            <w:noWrap/>
            <w:vAlign w:val="bottom"/>
          </w:tcPr>
          <w:p w:rsidR="007D13F3" w:rsidRPr="001C44D0" w:rsidRDefault="007D13F3" w:rsidP="00465CAC">
            <w:pPr>
              <w:jc w:val="right"/>
              <w:rPr>
                <w:rFonts w:ascii="Times New Roman" w:hAnsi="Times New Roman" w:cs="Times New Roman"/>
                <w:b/>
                <w:bCs/>
                <w:color w:val="000000"/>
                <w:sz w:val="14"/>
                <w:szCs w:val="14"/>
              </w:rPr>
            </w:pPr>
            <w:r w:rsidRPr="001C44D0">
              <w:rPr>
                <w:rFonts w:ascii="Times New Roman" w:hAnsi="Times New Roman" w:cs="Times New Roman"/>
                <w:b/>
                <w:bCs/>
                <w:color w:val="000000"/>
                <w:sz w:val="14"/>
                <w:szCs w:val="14"/>
              </w:rPr>
              <w:t>241 259 731</w:t>
            </w:r>
          </w:p>
        </w:tc>
      </w:tr>
      <w:tr w:rsidR="007D13F3" w:rsidRPr="00FC3C78" w:rsidTr="000E76EC">
        <w:trPr>
          <w:trHeight w:hRule="exact" w:val="255"/>
        </w:trPr>
        <w:tc>
          <w:tcPr>
            <w:tcW w:w="1075" w:type="pct"/>
            <w:shd w:val="clear" w:color="auto" w:fill="auto"/>
            <w:noWrap/>
            <w:vAlign w:val="bottom"/>
            <w:hideMark/>
          </w:tcPr>
          <w:p w:rsidR="007D13F3" w:rsidRPr="00FC3C78" w:rsidRDefault="007D13F3" w:rsidP="00664ACC">
            <w:pPr>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Transfer zo ŠR z</w:t>
            </w:r>
            <w:r>
              <w:rPr>
                <w:rFonts w:ascii="Times New Roman" w:hAnsi="Times New Roman" w:cs="Times New Roman"/>
                <w:color w:val="000000"/>
                <w:sz w:val="14"/>
                <w:szCs w:val="14"/>
                <w:lang w:eastAsia="sk-SK"/>
              </w:rPr>
              <w:t> </w:t>
            </w:r>
            <w:r w:rsidRPr="00FC3C78">
              <w:rPr>
                <w:rFonts w:ascii="Times New Roman" w:hAnsi="Times New Roman" w:cs="Times New Roman"/>
                <w:color w:val="000000"/>
                <w:sz w:val="14"/>
                <w:szCs w:val="14"/>
                <w:lang w:eastAsia="sk-SK"/>
              </w:rPr>
              <w:t>MDV</w:t>
            </w:r>
            <w:r>
              <w:rPr>
                <w:rFonts w:ascii="Times New Roman" w:hAnsi="Times New Roman" w:cs="Times New Roman"/>
                <w:color w:val="000000"/>
                <w:sz w:val="14"/>
                <w:szCs w:val="14"/>
                <w:lang w:eastAsia="sk-SK"/>
              </w:rPr>
              <w:t xml:space="preserve"> SR</w:t>
            </w:r>
          </w:p>
        </w:tc>
        <w:tc>
          <w:tcPr>
            <w:tcW w:w="562" w:type="pct"/>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32 027 331</w:t>
            </w:r>
          </w:p>
        </w:tc>
        <w:tc>
          <w:tcPr>
            <w:tcW w:w="562" w:type="pct"/>
            <w:shd w:val="clear" w:color="auto" w:fill="auto"/>
            <w:noWrap/>
            <w:vAlign w:val="bottom"/>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21 362 082</w:t>
            </w:r>
          </w:p>
        </w:tc>
        <w:tc>
          <w:tcPr>
            <w:tcW w:w="562" w:type="pct"/>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25 000 000</w:t>
            </w:r>
          </w:p>
        </w:tc>
        <w:tc>
          <w:tcPr>
            <w:tcW w:w="562" w:type="pct"/>
            <w:shd w:val="clear" w:color="000000" w:fill="FFFFFF"/>
            <w:noWrap/>
            <w:vAlign w:val="bottom"/>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25 000 000</w:t>
            </w:r>
          </w:p>
        </w:tc>
        <w:tc>
          <w:tcPr>
            <w:tcW w:w="562" w:type="pct"/>
            <w:shd w:val="clear" w:color="000000" w:fill="FFFFFF"/>
            <w:noWrap/>
            <w:vAlign w:val="bottom"/>
          </w:tcPr>
          <w:p w:rsidR="007D13F3" w:rsidRPr="001C44D0" w:rsidRDefault="007D13F3" w:rsidP="00465CAC">
            <w:pPr>
              <w:jc w:val="right"/>
              <w:rPr>
                <w:rFonts w:ascii="Times New Roman" w:hAnsi="Times New Roman" w:cs="Times New Roman"/>
                <w:color w:val="000000"/>
                <w:sz w:val="14"/>
                <w:szCs w:val="14"/>
              </w:rPr>
            </w:pPr>
            <w:r w:rsidRPr="001C44D0">
              <w:rPr>
                <w:rFonts w:ascii="Times New Roman" w:hAnsi="Times New Roman" w:cs="Times New Roman"/>
                <w:color w:val="000000"/>
                <w:sz w:val="14"/>
                <w:szCs w:val="14"/>
              </w:rPr>
              <w:t>25 000 000</w:t>
            </w:r>
          </w:p>
        </w:tc>
        <w:tc>
          <w:tcPr>
            <w:tcW w:w="562" w:type="pct"/>
            <w:shd w:val="clear" w:color="000000" w:fill="FFFFFF"/>
            <w:noWrap/>
            <w:vAlign w:val="bottom"/>
          </w:tcPr>
          <w:p w:rsidR="007D13F3" w:rsidRPr="001C44D0" w:rsidRDefault="007D13F3" w:rsidP="00465CAC">
            <w:pPr>
              <w:jc w:val="right"/>
              <w:rPr>
                <w:rFonts w:ascii="Times New Roman" w:hAnsi="Times New Roman" w:cs="Times New Roman"/>
                <w:color w:val="000000"/>
                <w:sz w:val="14"/>
                <w:szCs w:val="14"/>
              </w:rPr>
            </w:pPr>
            <w:r w:rsidRPr="001C44D0">
              <w:rPr>
                <w:rFonts w:ascii="Times New Roman" w:hAnsi="Times New Roman" w:cs="Times New Roman"/>
                <w:color w:val="000000"/>
                <w:sz w:val="14"/>
                <w:szCs w:val="14"/>
              </w:rPr>
              <w:t>25 000 000</w:t>
            </w:r>
          </w:p>
        </w:tc>
        <w:tc>
          <w:tcPr>
            <w:tcW w:w="552" w:type="pct"/>
            <w:shd w:val="clear" w:color="000000" w:fill="FFFFFF"/>
            <w:noWrap/>
            <w:vAlign w:val="bottom"/>
          </w:tcPr>
          <w:p w:rsidR="007D13F3" w:rsidRPr="001C44D0" w:rsidRDefault="007D13F3" w:rsidP="00465CAC">
            <w:pPr>
              <w:jc w:val="right"/>
              <w:rPr>
                <w:rFonts w:ascii="Times New Roman" w:hAnsi="Times New Roman" w:cs="Times New Roman"/>
                <w:color w:val="000000"/>
                <w:sz w:val="14"/>
                <w:szCs w:val="14"/>
              </w:rPr>
            </w:pPr>
            <w:r w:rsidRPr="001C44D0">
              <w:rPr>
                <w:rFonts w:ascii="Times New Roman" w:hAnsi="Times New Roman" w:cs="Times New Roman"/>
                <w:color w:val="000000"/>
                <w:sz w:val="14"/>
                <w:szCs w:val="14"/>
              </w:rPr>
              <w:t>25 000 000</w:t>
            </w:r>
          </w:p>
        </w:tc>
      </w:tr>
      <w:tr w:rsidR="007D13F3" w:rsidRPr="00FC3C78" w:rsidTr="000E76EC">
        <w:trPr>
          <w:trHeight w:hRule="exact" w:val="255"/>
        </w:trPr>
        <w:tc>
          <w:tcPr>
            <w:tcW w:w="1075" w:type="pct"/>
            <w:shd w:val="clear" w:color="auto" w:fill="auto"/>
            <w:noWrap/>
            <w:vAlign w:val="bottom"/>
            <w:hideMark/>
          </w:tcPr>
          <w:p w:rsidR="007D13F3" w:rsidRPr="00FC3C78" w:rsidRDefault="007D13F3" w:rsidP="00465CAC">
            <w:pPr>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Transfer z EÚ a</w:t>
            </w:r>
            <w:r>
              <w:rPr>
                <w:rFonts w:ascii="Times New Roman" w:hAnsi="Times New Roman" w:cs="Times New Roman"/>
                <w:color w:val="000000"/>
                <w:sz w:val="14"/>
                <w:szCs w:val="14"/>
                <w:lang w:eastAsia="sk-SK"/>
              </w:rPr>
              <w:t> </w:t>
            </w:r>
            <w:proofErr w:type="spellStart"/>
            <w:r w:rsidRPr="00FC3C78">
              <w:rPr>
                <w:rFonts w:ascii="Times New Roman" w:hAnsi="Times New Roman" w:cs="Times New Roman"/>
                <w:color w:val="000000"/>
                <w:sz w:val="14"/>
                <w:szCs w:val="14"/>
                <w:lang w:eastAsia="sk-SK"/>
              </w:rPr>
              <w:t>spoluf</w:t>
            </w:r>
            <w:r>
              <w:rPr>
                <w:rFonts w:ascii="Times New Roman" w:hAnsi="Times New Roman" w:cs="Times New Roman"/>
                <w:color w:val="000000"/>
                <w:sz w:val="14"/>
                <w:szCs w:val="14"/>
                <w:lang w:eastAsia="sk-SK"/>
              </w:rPr>
              <w:t>inancov</w:t>
            </w:r>
            <w:proofErr w:type="spellEnd"/>
            <w:r>
              <w:rPr>
                <w:rFonts w:ascii="Times New Roman" w:hAnsi="Times New Roman" w:cs="Times New Roman"/>
                <w:color w:val="000000"/>
                <w:sz w:val="14"/>
                <w:szCs w:val="14"/>
                <w:lang w:eastAsia="sk-SK"/>
              </w:rPr>
              <w:t>.</w:t>
            </w:r>
          </w:p>
        </w:tc>
        <w:tc>
          <w:tcPr>
            <w:tcW w:w="562" w:type="pct"/>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233 173 952</w:t>
            </w:r>
          </w:p>
        </w:tc>
        <w:tc>
          <w:tcPr>
            <w:tcW w:w="562" w:type="pct"/>
            <w:shd w:val="clear" w:color="auto" w:fill="auto"/>
            <w:noWrap/>
            <w:vAlign w:val="bottom"/>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562" w:type="pct"/>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562" w:type="pct"/>
            <w:shd w:val="clear" w:color="000000" w:fill="FFFFFF"/>
            <w:noWrap/>
            <w:vAlign w:val="bottom"/>
          </w:tcPr>
          <w:p w:rsidR="007D13F3" w:rsidRPr="00894616"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r w:rsidRPr="00894616">
              <w:rPr>
                <w:rFonts w:ascii="Times New Roman" w:hAnsi="Times New Roman" w:cs="Times New Roman"/>
                <w:color w:val="000000"/>
                <w:sz w:val="14"/>
                <w:szCs w:val="14"/>
                <w:lang w:eastAsia="sk-SK"/>
              </w:rPr>
              <w:t> </w:t>
            </w:r>
          </w:p>
        </w:tc>
        <w:tc>
          <w:tcPr>
            <w:tcW w:w="562" w:type="pct"/>
            <w:shd w:val="clear" w:color="000000" w:fill="FFFFFF"/>
            <w:noWrap/>
            <w:vAlign w:val="bottom"/>
          </w:tcPr>
          <w:p w:rsidR="007D13F3" w:rsidRPr="001C44D0" w:rsidRDefault="007D13F3" w:rsidP="00465CAC">
            <w:pPr>
              <w:jc w:val="right"/>
              <w:rPr>
                <w:rFonts w:ascii="Times New Roman" w:hAnsi="Times New Roman" w:cs="Times New Roman"/>
                <w:color w:val="000000"/>
                <w:sz w:val="14"/>
                <w:szCs w:val="14"/>
              </w:rPr>
            </w:pPr>
            <w:r w:rsidRPr="001C44D0">
              <w:rPr>
                <w:rFonts w:ascii="Times New Roman" w:hAnsi="Times New Roman" w:cs="Times New Roman"/>
                <w:color w:val="000000"/>
                <w:sz w:val="14"/>
                <w:szCs w:val="14"/>
              </w:rPr>
              <w:t>0</w:t>
            </w:r>
          </w:p>
        </w:tc>
        <w:tc>
          <w:tcPr>
            <w:tcW w:w="562" w:type="pct"/>
            <w:shd w:val="clear" w:color="000000" w:fill="FFFFFF"/>
            <w:noWrap/>
            <w:vAlign w:val="bottom"/>
          </w:tcPr>
          <w:p w:rsidR="007D13F3" w:rsidRPr="001C44D0" w:rsidRDefault="007D13F3" w:rsidP="00465CAC">
            <w:pPr>
              <w:jc w:val="right"/>
              <w:rPr>
                <w:rFonts w:ascii="Times New Roman" w:hAnsi="Times New Roman" w:cs="Times New Roman"/>
                <w:color w:val="000000"/>
                <w:sz w:val="14"/>
                <w:szCs w:val="14"/>
              </w:rPr>
            </w:pPr>
            <w:r w:rsidRPr="001C44D0">
              <w:rPr>
                <w:rFonts w:ascii="Times New Roman" w:hAnsi="Times New Roman" w:cs="Times New Roman"/>
                <w:color w:val="000000"/>
                <w:sz w:val="14"/>
                <w:szCs w:val="14"/>
              </w:rPr>
              <w:t>0</w:t>
            </w:r>
          </w:p>
        </w:tc>
        <w:tc>
          <w:tcPr>
            <w:tcW w:w="552" w:type="pct"/>
            <w:shd w:val="clear" w:color="000000" w:fill="FFFFFF"/>
            <w:noWrap/>
            <w:vAlign w:val="bottom"/>
          </w:tcPr>
          <w:p w:rsidR="007D13F3" w:rsidRPr="001C44D0" w:rsidRDefault="007D13F3" w:rsidP="00465CAC">
            <w:pPr>
              <w:jc w:val="right"/>
              <w:rPr>
                <w:rFonts w:ascii="Times New Roman" w:hAnsi="Times New Roman" w:cs="Times New Roman"/>
                <w:color w:val="000000"/>
                <w:sz w:val="14"/>
                <w:szCs w:val="14"/>
              </w:rPr>
            </w:pPr>
            <w:r w:rsidRPr="001C44D0">
              <w:rPr>
                <w:rFonts w:ascii="Times New Roman" w:hAnsi="Times New Roman" w:cs="Times New Roman"/>
                <w:color w:val="000000"/>
                <w:sz w:val="14"/>
                <w:szCs w:val="14"/>
              </w:rPr>
              <w:t>0</w:t>
            </w:r>
          </w:p>
        </w:tc>
      </w:tr>
      <w:tr w:rsidR="007D13F3" w:rsidRPr="00FC3C78" w:rsidTr="000E76EC">
        <w:trPr>
          <w:trHeight w:hRule="exact" w:val="255"/>
        </w:trPr>
        <w:tc>
          <w:tcPr>
            <w:tcW w:w="1075" w:type="pct"/>
            <w:shd w:val="clear" w:color="auto" w:fill="auto"/>
            <w:noWrap/>
            <w:vAlign w:val="bottom"/>
            <w:hideMark/>
          </w:tcPr>
          <w:p w:rsidR="007D13F3" w:rsidRPr="00FC3C78" w:rsidRDefault="007D13F3" w:rsidP="00465CAC">
            <w:pPr>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Vlastné príjmy</w:t>
            </w:r>
          </w:p>
        </w:tc>
        <w:tc>
          <w:tcPr>
            <w:tcW w:w="562" w:type="pct"/>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157 381 131</w:t>
            </w:r>
          </w:p>
        </w:tc>
        <w:tc>
          <w:tcPr>
            <w:tcW w:w="562" w:type="pct"/>
            <w:shd w:val="clear" w:color="auto" w:fill="auto"/>
            <w:noWrap/>
            <w:vAlign w:val="bottom"/>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395 263 173</w:t>
            </w:r>
          </w:p>
        </w:tc>
        <w:tc>
          <w:tcPr>
            <w:tcW w:w="562" w:type="pct"/>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323 264 138</w:t>
            </w:r>
          </w:p>
        </w:tc>
        <w:tc>
          <w:tcPr>
            <w:tcW w:w="562" w:type="pct"/>
            <w:shd w:val="clear" w:color="000000" w:fill="FFFFFF"/>
            <w:noWrap/>
            <w:vAlign w:val="bottom"/>
          </w:tcPr>
          <w:p w:rsidR="007D13F3" w:rsidRPr="00387D12" w:rsidRDefault="007D13F3" w:rsidP="00465CAC">
            <w:pPr>
              <w:jc w:val="right"/>
              <w:rPr>
                <w:rFonts w:ascii="Times New Roman" w:hAnsi="Times New Roman" w:cs="Times New Roman"/>
                <w:color w:val="000000"/>
                <w:sz w:val="14"/>
                <w:szCs w:val="14"/>
                <w:highlight w:val="yellow"/>
                <w:lang w:eastAsia="sk-SK"/>
              </w:rPr>
            </w:pPr>
            <w:r w:rsidRPr="001C44D0">
              <w:rPr>
                <w:rFonts w:ascii="Times New Roman" w:hAnsi="Times New Roman" w:cs="Times New Roman"/>
                <w:color w:val="000000"/>
                <w:sz w:val="14"/>
                <w:szCs w:val="14"/>
                <w:lang w:eastAsia="sk-SK"/>
              </w:rPr>
              <w:t>337 245 363</w:t>
            </w:r>
          </w:p>
        </w:tc>
        <w:tc>
          <w:tcPr>
            <w:tcW w:w="562" w:type="pct"/>
            <w:shd w:val="clear" w:color="000000" w:fill="FFFFFF"/>
            <w:noWrap/>
            <w:vAlign w:val="bottom"/>
          </w:tcPr>
          <w:p w:rsidR="007D13F3" w:rsidRPr="001C44D0" w:rsidRDefault="007D13F3" w:rsidP="00465CAC">
            <w:pPr>
              <w:jc w:val="right"/>
              <w:rPr>
                <w:rFonts w:ascii="Times New Roman" w:hAnsi="Times New Roman" w:cs="Times New Roman"/>
                <w:color w:val="000000"/>
                <w:sz w:val="14"/>
                <w:szCs w:val="14"/>
              </w:rPr>
            </w:pPr>
            <w:r w:rsidRPr="001C44D0">
              <w:rPr>
                <w:rFonts w:ascii="Times New Roman" w:hAnsi="Times New Roman" w:cs="Times New Roman"/>
                <w:color w:val="000000"/>
                <w:sz w:val="14"/>
                <w:szCs w:val="14"/>
              </w:rPr>
              <w:t>285 336 988</w:t>
            </w:r>
          </w:p>
        </w:tc>
        <w:tc>
          <w:tcPr>
            <w:tcW w:w="562" w:type="pct"/>
            <w:shd w:val="clear" w:color="000000" w:fill="FFFFFF"/>
            <w:noWrap/>
            <w:vAlign w:val="bottom"/>
          </w:tcPr>
          <w:p w:rsidR="007D13F3" w:rsidRPr="001C44D0" w:rsidRDefault="007D13F3" w:rsidP="00465CAC">
            <w:pPr>
              <w:jc w:val="right"/>
              <w:rPr>
                <w:rFonts w:ascii="Times New Roman" w:hAnsi="Times New Roman" w:cs="Times New Roman"/>
                <w:color w:val="000000"/>
                <w:sz w:val="14"/>
                <w:szCs w:val="14"/>
              </w:rPr>
            </w:pPr>
            <w:r w:rsidRPr="001C44D0">
              <w:rPr>
                <w:rFonts w:ascii="Times New Roman" w:hAnsi="Times New Roman" w:cs="Times New Roman"/>
                <w:color w:val="000000"/>
                <w:sz w:val="14"/>
                <w:szCs w:val="14"/>
              </w:rPr>
              <w:t>241 127 727</w:t>
            </w:r>
          </w:p>
        </w:tc>
        <w:tc>
          <w:tcPr>
            <w:tcW w:w="552" w:type="pct"/>
            <w:shd w:val="clear" w:color="000000" w:fill="FFFFFF"/>
            <w:noWrap/>
            <w:vAlign w:val="bottom"/>
          </w:tcPr>
          <w:p w:rsidR="007D13F3" w:rsidRPr="001C44D0" w:rsidRDefault="007D13F3" w:rsidP="00465CAC">
            <w:pPr>
              <w:jc w:val="right"/>
              <w:rPr>
                <w:rFonts w:ascii="Times New Roman" w:hAnsi="Times New Roman" w:cs="Times New Roman"/>
                <w:color w:val="000000"/>
                <w:sz w:val="14"/>
                <w:szCs w:val="14"/>
              </w:rPr>
            </w:pPr>
            <w:r w:rsidRPr="001C44D0">
              <w:rPr>
                <w:rFonts w:ascii="Times New Roman" w:hAnsi="Times New Roman" w:cs="Times New Roman"/>
                <w:color w:val="000000"/>
                <w:sz w:val="14"/>
                <w:szCs w:val="14"/>
              </w:rPr>
              <w:t>216 259 731</w:t>
            </w:r>
          </w:p>
        </w:tc>
      </w:tr>
    </w:tbl>
    <w:p w:rsidR="007D13F3" w:rsidRDefault="007D13F3" w:rsidP="007D13F3">
      <w:pPr>
        <w:jc w:val="both"/>
        <w:rPr>
          <w:rFonts w:ascii="Times New Roman" w:hAnsi="Times New Roman" w:cs="Times New Roman"/>
          <w:highlight w:val="yellow"/>
        </w:rPr>
      </w:pPr>
      <w:r w:rsidRPr="00775C7E">
        <w:rPr>
          <w:rFonts w:ascii="Times New Roman" w:hAnsi="Times New Roman" w:cs="Times New Roman"/>
          <w:highlight w:val="yellow"/>
        </w:rPr>
        <w:t xml:space="preserve"> </w:t>
      </w:r>
    </w:p>
    <w:p w:rsidR="007D13F3" w:rsidRDefault="007D13F3" w:rsidP="007D13F3">
      <w:pPr>
        <w:ind w:firstLine="708"/>
        <w:jc w:val="both"/>
        <w:rPr>
          <w:rFonts w:ascii="Times New Roman" w:hAnsi="Times New Roman" w:cs="Times New Roman"/>
        </w:rPr>
      </w:pPr>
      <w:r w:rsidRPr="000B2954">
        <w:rPr>
          <w:rFonts w:ascii="Times New Roman" w:hAnsi="Times New Roman" w:cs="Times New Roman"/>
        </w:rPr>
        <w:t>Významnú úlohu v podpore rozvoja bývania má Štátny fond rozvoja bývania, ktorého celkové zdroje v roku 201</w:t>
      </w:r>
      <w:r>
        <w:rPr>
          <w:rFonts w:ascii="Times New Roman" w:hAnsi="Times New Roman" w:cs="Times New Roman"/>
        </w:rPr>
        <w:t>8</w:t>
      </w:r>
      <w:r w:rsidRPr="000B2954">
        <w:rPr>
          <w:rFonts w:ascii="Times New Roman" w:hAnsi="Times New Roman" w:cs="Times New Roman"/>
        </w:rPr>
        <w:t xml:space="preserve"> predstavujú čiastku </w:t>
      </w:r>
      <w:r>
        <w:rPr>
          <w:rFonts w:ascii="Times New Roman" w:hAnsi="Times New Roman" w:cs="Times New Roman"/>
        </w:rPr>
        <w:t>310</w:t>
      </w:r>
      <w:r w:rsidRPr="000B2954">
        <w:rPr>
          <w:rFonts w:ascii="Times New Roman" w:hAnsi="Times New Roman" w:cs="Times New Roman"/>
        </w:rPr>
        <w:t xml:space="preserve"> mil. eur, čo je z</w:t>
      </w:r>
      <w:r>
        <w:rPr>
          <w:rFonts w:ascii="Times New Roman" w:hAnsi="Times New Roman" w:cs="Times New Roman"/>
        </w:rPr>
        <w:t>níž</w:t>
      </w:r>
      <w:r w:rsidRPr="000B2954">
        <w:rPr>
          <w:rFonts w:ascii="Times New Roman" w:hAnsi="Times New Roman" w:cs="Times New Roman"/>
        </w:rPr>
        <w:t>enie o</w:t>
      </w:r>
      <w:r>
        <w:rPr>
          <w:rFonts w:ascii="Times New Roman" w:hAnsi="Times New Roman" w:cs="Times New Roman"/>
        </w:rPr>
        <w:t> 37,9</w:t>
      </w:r>
      <w:r w:rsidRPr="000B2954">
        <w:rPr>
          <w:rFonts w:ascii="Times New Roman" w:hAnsi="Times New Roman" w:cs="Times New Roman"/>
        </w:rPr>
        <w:t xml:space="preserve"> mil. eur, </w:t>
      </w:r>
      <w:r w:rsidRPr="000B2954">
        <w:rPr>
          <w:rFonts w:ascii="Times New Roman" w:hAnsi="Times New Roman" w:cs="Times New Roman"/>
        </w:rPr>
        <w:br/>
        <w:t>t. j. o</w:t>
      </w:r>
      <w:r>
        <w:rPr>
          <w:rFonts w:ascii="Times New Roman" w:hAnsi="Times New Roman" w:cs="Times New Roman"/>
        </w:rPr>
        <w:t> </w:t>
      </w:r>
      <w:r w:rsidRPr="000B2954">
        <w:rPr>
          <w:rFonts w:ascii="Times New Roman" w:hAnsi="Times New Roman" w:cs="Times New Roman"/>
        </w:rPr>
        <w:t>1</w:t>
      </w:r>
      <w:r>
        <w:rPr>
          <w:rFonts w:ascii="Times New Roman" w:hAnsi="Times New Roman" w:cs="Times New Roman"/>
        </w:rPr>
        <w:t>0,9</w:t>
      </w:r>
      <w:r w:rsidRPr="000B2954">
        <w:rPr>
          <w:rFonts w:ascii="Times New Roman" w:hAnsi="Times New Roman" w:cs="Times New Roman"/>
        </w:rPr>
        <w:t xml:space="preserve"> % v porovnaní so schváleným rozpočtom roku 201</w:t>
      </w:r>
      <w:r>
        <w:rPr>
          <w:rFonts w:ascii="Times New Roman" w:hAnsi="Times New Roman" w:cs="Times New Roman"/>
        </w:rPr>
        <w:t xml:space="preserve">7, </w:t>
      </w:r>
      <w:r w:rsidRPr="003935C8">
        <w:rPr>
          <w:rFonts w:ascii="Times New Roman" w:hAnsi="Times New Roman" w:cs="Times New Roman"/>
        </w:rPr>
        <w:t>z dôvodu nižšieho zostatku prostriedkov z predchádzajúceho roka.</w:t>
      </w:r>
      <w:r>
        <w:t xml:space="preserve"> </w:t>
      </w:r>
      <w:r w:rsidRPr="000B2954">
        <w:rPr>
          <w:rFonts w:ascii="Times New Roman" w:hAnsi="Times New Roman" w:cs="Times New Roman"/>
        </w:rPr>
        <w:t xml:space="preserve">Transfer zo štátneho rozpočtu  sa rozpočtuje v sume 25,0 mil. eur </w:t>
      </w:r>
      <w:r>
        <w:rPr>
          <w:rFonts w:ascii="Times New Roman" w:hAnsi="Times New Roman" w:cs="Times New Roman"/>
        </w:rPr>
        <w:t>a je na úrovni schváleného rozpočtu roku 2017. V</w:t>
      </w:r>
      <w:r w:rsidRPr="000B2954">
        <w:rPr>
          <w:rFonts w:ascii="Times New Roman" w:hAnsi="Times New Roman" w:cs="Times New Roman"/>
        </w:rPr>
        <w:t xml:space="preserve">lastné príjmy fondu najmä príjmy zo splácania poskytnutých úverov, z úrokov a zostatku prostriedkov z predchádzajúcich rokov predstavujú </w:t>
      </w:r>
      <w:r>
        <w:rPr>
          <w:rFonts w:ascii="Times New Roman" w:hAnsi="Times New Roman" w:cs="Times New Roman"/>
        </w:rPr>
        <w:t>285</w:t>
      </w:r>
      <w:r w:rsidRPr="000B2954">
        <w:rPr>
          <w:rFonts w:ascii="Times New Roman" w:hAnsi="Times New Roman" w:cs="Times New Roman"/>
        </w:rPr>
        <w:t xml:space="preserve"> mil. eur.</w:t>
      </w:r>
    </w:p>
    <w:p w:rsidR="007D13F3" w:rsidRDefault="007D13F3" w:rsidP="007D13F3">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7D13F3" w:rsidRPr="009C5059" w:rsidRDefault="007D13F3" w:rsidP="007D13F3">
      <w:pPr>
        <w:jc w:val="both"/>
        <w:rPr>
          <w:rFonts w:ascii="Times New Roman" w:hAnsi="Times New Roman" w:cs="Times New Roman"/>
          <w:b/>
        </w:rPr>
      </w:pPr>
      <w:r w:rsidRPr="009C5059">
        <w:rPr>
          <w:rFonts w:ascii="Times New Roman" w:hAnsi="Times New Roman" w:cs="Times New Roman"/>
          <w:b/>
        </w:rPr>
        <w:lastRenderedPageBreak/>
        <w:t>Podpora cestovného ruchu</w:t>
      </w:r>
    </w:p>
    <w:p w:rsidR="007D13F3" w:rsidRDefault="007D13F3" w:rsidP="007D13F3">
      <w:pPr>
        <w:ind w:firstLine="708"/>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9"/>
        <w:gridCol w:w="982"/>
        <w:gridCol w:w="981"/>
        <w:gridCol w:w="975"/>
        <w:gridCol w:w="975"/>
        <w:gridCol w:w="975"/>
        <w:gridCol w:w="975"/>
        <w:gridCol w:w="890"/>
      </w:tblGrid>
      <w:tr w:rsidR="007D13F3" w:rsidRPr="00F34196" w:rsidTr="00465CAC">
        <w:trPr>
          <w:trHeight w:hRule="exact" w:val="255"/>
        </w:trPr>
        <w:tc>
          <w:tcPr>
            <w:tcW w:w="1274" w:type="pct"/>
            <w:shd w:val="pct35" w:color="auto" w:fill="FFFFFF"/>
            <w:noWrap/>
            <w:vAlign w:val="center"/>
            <w:hideMark/>
          </w:tcPr>
          <w:p w:rsidR="007D13F3" w:rsidRPr="00F34196" w:rsidRDefault="007D13F3" w:rsidP="00465CAC">
            <w:pPr>
              <w:jc w:val="both"/>
              <w:rPr>
                <w:rFonts w:ascii="Times New Roman" w:hAnsi="Times New Roman" w:cs="Times New Roman"/>
                <w:b/>
                <w:bCs/>
                <w:color w:val="000000"/>
                <w:sz w:val="14"/>
                <w:szCs w:val="14"/>
              </w:rPr>
            </w:pPr>
            <w:r w:rsidRPr="00F34196">
              <w:rPr>
                <w:rFonts w:ascii="Times New Roman" w:hAnsi="Times New Roman" w:cs="Times New Roman"/>
                <w:b/>
                <w:bCs/>
                <w:color w:val="000000"/>
                <w:sz w:val="14"/>
                <w:szCs w:val="14"/>
              </w:rPr>
              <w:t>v eurách</w:t>
            </w:r>
          </w:p>
        </w:tc>
        <w:tc>
          <w:tcPr>
            <w:tcW w:w="542" w:type="pct"/>
            <w:shd w:val="pct35" w:color="auto" w:fill="FFFFFF"/>
            <w:noWrap/>
            <w:vAlign w:val="center"/>
            <w:hideMark/>
          </w:tcPr>
          <w:p w:rsidR="007D13F3" w:rsidRPr="00F34196" w:rsidRDefault="007D13F3" w:rsidP="00465CAC">
            <w:pPr>
              <w:jc w:val="center"/>
              <w:rPr>
                <w:rFonts w:ascii="Times New Roman" w:hAnsi="Times New Roman" w:cs="Times New Roman"/>
                <w:b/>
                <w:bCs/>
                <w:color w:val="000000"/>
                <w:sz w:val="14"/>
                <w:szCs w:val="14"/>
                <w:lang w:eastAsia="sk-SK"/>
              </w:rPr>
            </w:pPr>
            <w:r w:rsidRPr="00F34196">
              <w:rPr>
                <w:rFonts w:ascii="Times New Roman" w:hAnsi="Times New Roman" w:cs="Times New Roman"/>
                <w:b/>
                <w:bCs/>
                <w:color w:val="000000"/>
                <w:sz w:val="14"/>
                <w:szCs w:val="14"/>
              </w:rPr>
              <w:t>2015 S</w:t>
            </w:r>
          </w:p>
        </w:tc>
        <w:tc>
          <w:tcPr>
            <w:tcW w:w="541" w:type="pct"/>
            <w:shd w:val="pct35" w:color="auto" w:fill="FFFFFF"/>
            <w:noWrap/>
            <w:vAlign w:val="center"/>
            <w:hideMark/>
          </w:tcPr>
          <w:p w:rsidR="007D13F3" w:rsidRPr="00F34196" w:rsidRDefault="007D13F3" w:rsidP="00465CAC">
            <w:pPr>
              <w:jc w:val="center"/>
              <w:rPr>
                <w:rFonts w:ascii="Times New Roman" w:hAnsi="Times New Roman" w:cs="Times New Roman"/>
                <w:b/>
                <w:bCs/>
                <w:color w:val="000000"/>
                <w:sz w:val="14"/>
                <w:szCs w:val="14"/>
              </w:rPr>
            </w:pPr>
            <w:r w:rsidRPr="00F34196">
              <w:rPr>
                <w:rFonts w:ascii="Times New Roman" w:hAnsi="Times New Roman" w:cs="Times New Roman"/>
                <w:b/>
                <w:bCs/>
                <w:color w:val="000000"/>
                <w:sz w:val="14"/>
                <w:szCs w:val="14"/>
              </w:rPr>
              <w:t>2016 S</w:t>
            </w:r>
          </w:p>
        </w:tc>
        <w:tc>
          <w:tcPr>
            <w:tcW w:w="538" w:type="pct"/>
            <w:shd w:val="pct35" w:color="auto" w:fill="FFFFFF"/>
            <w:noWrap/>
            <w:vAlign w:val="center"/>
            <w:hideMark/>
          </w:tcPr>
          <w:p w:rsidR="007D13F3" w:rsidRPr="00F34196" w:rsidRDefault="007D13F3" w:rsidP="00465CAC">
            <w:pPr>
              <w:jc w:val="center"/>
              <w:rPr>
                <w:rFonts w:ascii="Times New Roman" w:hAnsi="Times New Roman" w:cs="Times New Roman"/>
                <w:b/>
                <w:bCs/>
                <w:color w:val="000000"/>
                <w:sz w:val="14"/>
                <w:szCs w:val="14"/>
              </w:rPr>
            </w:pPr>
            <w:r w:rsidRPr="00F34196">
              <w:rPr>
                <w:rFonts w:ascii="Times New Roman" w:hAnsi="Times New Roman" w:cs="Times New Roman"/>
                <w:b/>
                <w:bCs/>
                <w:color w:val="000000"/>
                <w:sz w:val="14"/>
                <w:szCs w:val="14"/>
              </w:rPr>
              <w:t>2017 R</w:t>
            </w:r>
          </w:p>
        </w:tc>
        <w:tc>
          <w:tcPr>
            <w:tcW w:w="538" w:type="pct"/>
            <w:shd w:val="pct35" w:color="auto" w:fill="FFFFFF"/>
            <w:noWrap/>
            <w:vAlign w:val="center"/>
            <w:hideMark/>
          </w:tcPr>
          <w:p w:rsidR="007D13F3" w:rsidRPr="00F34196" w:rsidRDefault="007D13F3" w:rsidP="00465CAC">
            <w:pPr>
              <w:jc w:val="center"/>
              <w:rPr>
                <w:rFonts w:ascii="Times New Roman" w:hAnsi="Times New Roman" w:cs="Times New Roman"/>
                <w:b/>
                <w:bCs/>
                <w:color w:val="000000"/>
                <w:sz w:val="14"/>
                <w:szCs w:val="14"/>
              </w:rPr>
            </w:pPr>
            <w:r w:rsidRPr="00F34196">
              <w:rPr>
                <w:rFonts w:ascii="Times New Roman" w:hAnsi="Times New Roman" w:cs="Times New Roman"/>
                <w:b/>
                <w:bCs/>
                <w:color w:val="000000"/>
                <w:sz w:val="14"/>
                <w:szCs w:val="14"/>
              </w:rPr>
              <w:t>2017 OS</w:t>
            </w:r>
          </w:p>
        </w:tc>
        <w:tc>
          <w:tcPr>
            <w:tcW w:w="538" w:type="pct"/>
            <w:shd w:val="pct35" w:color="auto" w:fill="FFFFFF"/>
            <w:noWrap/>
            <w:vAlign w:val="center"/>
            <w:hideMark/>
          </w:tcPr>
          <w:p w:rsidR="007D13F3" w:rsidRPr="00F34196" w:rsidRDefault="007D13F3" w:rsidP="00465CAC">
            <w:pPr>
              <w:jc w:val="center"/>
              <w:rPr>
                <w:rFonts w:ascii="Times New Roman" w:hAnsi="Times New Roman" w:cs="Times New Roman"/>
                <w:b/>
                <w:bCs/>
                <w:color w:val="000000"/>
                <w:sz w:val="14"/>
                <w:szCs w:val="14"/>
              </w:rPr>
            </w:pPr>
            <w:r w:rsidRPr="00F34196">
              <w:rPr>
                <w:rFonts w:ascii="Times New Roman" w:hAnsi="Times New Roman" w:cs="Times New Roman"/>
                <w:b/>
                <w:bCs/>
                <w:color w:val="000000"/>
                <w:sz w:val="14"/>
                <w:szCs w:val="14"/>
              </w:rPr>
              <w:t>2018 N</w:t>
            </w:r>
          </w:p>
        </w:tc>
        <w:tc>
          <w:tcPr>
            <w:tcW w:w="538" w:type="pct"/>
            <w:shd w:val="pct35" w:color="auto" w:fill="FFFFFF"/>
            <w:noWrap/>
            <w:vAlign w:val="center"/>
            <w:hideMark/>
          </w:tcPr>
          <w:p w:rsidR="007D13F3" w:rsidRPr="00F34196" w:rsidRDefault="007D13F3" w:rsidP="00465CAC">
            <w:pPr>
              <w:jc w:val="center"/>
              <w:rPr>
                <w:rFonts w:ascii="Times New Roman" w:hAnsi="Times New Roman" w:cs="Times New Roman"/>
                <w:b/>
                <w:bCs/>
                <w:color w:val="000000"/>
                <w:sz w:val="14"/>
                <w:szCs w:val="14"/>
              </w:rPr>
            </w:pPr>
            <w:r w:rsidRPr="00F34196">
              <w:rPr>
                <w:rFonts w:ascii="Times New Roman" w:hAnsi="Times New Roman" w:cs="Times New Roman"/>
                <w:b/>
                <w:bCs/>
                <w:color w:val="000000"/>
                <w:sz w:val="14"/>
                <w:szCs w:val="14"/>
              </w:rPr>
              <w:t>2019 N</w:t>
            </w:r>
          </w:p>
        </w:tc>
        <w:tc>
          <w:tcPr>
            <w:tcW w:w="491" w:type="pct"/>
            <w:shd w:val="pct35" w:color="auto" w:fill="FFFFFF"/>
            <w:noWrap/>
            <w:vAlign w:val="center"/>
            <w:hideMark/>
          </w:tcPr>
          <w:p w:rsidR="007D13F3" w:rsidRPr="00F34196" w:rsidRDefault="007D13F3" w:rsidP="00465CAC">
            <w:pPr>
              <w:jc w:val="center"/>
              <w:rPr>
                <w:rFonts w:ascii="Times New Roman" w:hAnsi="Times New Roman" w:cs="Times New Roman"/>
                <w:b/>
                <w:bCs/>
                <w:color w:val="000000"/>
                <w:sz w:val="14"/>
                <w:szCs w:val="14"/>
              </w:rPr>
            </w:pPr>
            <w:r w:rsidRPr="00F34196">
              <w:rPr>
                <w:rFonts w:ascii="Times New Roman" w:hAnsi="Times New Roman" w:cs="Times New Roman"/>
                <w:b/>
                <w:bCs/>
                <w:color w:val="000000"/>
                <w:sz w:val="14"/>
                <w:szCs w:val="14"/>
              </w:rPr>
              <w:t>2020 N</w:t>
            </w:r>
          </w:p>
        </w:tc>
      </w:tr>
      <w:tr w:rsidR="007D13F3" w:rsidRPr="00F34196" w:rsidTr="00465CAC">
        <w:trPr>
          <w:trHeight w:hRule="exact" w:val="255"/>
        </w:trPr>
        <w:tc>
          <w:tcPr>
            <w:tcW w:w="1274" w:type="pct"/>
            <w:shd w:val="pct25" w:color="auto" w:fill="FFFFFF"/>
            <w:noWrap/>
            <w:vAlign w:val="bottom"/>
            <w:hideMark/>
          </w:tcPr>
          <w:p w:rsidR="007D13F3" w:rsidRPr="00F34196" w:rsidRDefault="007D13F3" w:rsidP="00465CAC">
            <w:pPr>
              <w:rPr>
                <w:rFonts w:ascii="Times New Roman" w:hAnsi="Times New Roman" w:cs="Times New Roman"/>
                <w:b/>
                <w:color w:val="000000"/>
                <w:sz w:val="14"/>
                <w:szCs w:val="14"/>
              </w:rPr>
            </w:pPr>
            <w:r w:rsidRPr="00F34196">
              <w:rPr>
                <w:rFonts w:ascii="Times New Roman" w:hAnsi="Times New Roman" w:cs="Times New Roman"/>
                <w:b/>
                <w:color w:val="000000"/>
                <w:sz w:val="14"/>
                <w:szCs w:val="14"/>
              </w:rPr>
              <w:t>Spolu zdroje</w:t>
            </w:r>
          </w:p>
        </w:tc>
        <w:tc>
          <w:tcPr>
            <w:tcW w:w="542" w:type="pct"/>
            <w:shd w:val="pct25" w:color="auto" w:fill="FFFFFF"/>
            <w:noWrap/>
            <w:vAlign w:val="bottom"/>
            <w:hideMark/>
          </w:tcPr>
          <w:p w:rsidR="007D13F3" w:rsidRPr="00F34196" w:rsidRDefault="007D13F3" w:rsidP="00465CAC">
            <w:pPr>
              <w:jc w:val="right"/>
              <w:rPr>
                <w:rFonts w:ascii="Times New Roman" w:hAnsi="Times New Roman" w:cs="Times New Roman"/>
                <w:b/>
                <w:bCs/>
                <w:color w:val="000000"/>
                <w:sz w:val="14"/>
                <w:szCs w:val="14"/>
              </w:rPr>
            </w:pPr>
            <w:r w:rsidRPr="00F34196">
              <w:rPr>
                <w:rFonts w:ascii="Times New Roman" w:hAnsi="Times New Roman" w:cs="Times New Roman"/>
                <w:b/>
                <w:bCs/>
                <w:color w:val="000000"/>
                <w:sz w:val="14"/>
                <w:szCs w:val="14"/>
              </w:rPr>
              <w:t>7 994 011</w:t>
            </w:r>
          </w:p>
        </w:tc>
        <w:tc>
          <w:tcPr>
            <w:tcW w:w="541" w:type="pct"/>
            <w:shd w:val="pct25" w:color="auto" w:fill="FFFFFF"/>
            <w:noWrap/>
            <w:vAlign w:val="bottom"/>
          </w:tcPr>
          <w:p w:rsidR="007D13F3" w:rsidRPr="00F34196" w:rsidRDefault="007D13F3" w:rsidP="00465CAC">
            <w:pPr>
              <w:jc w:val="right"/>
              <w:rPr>
                <w:rFonts w:ascii="Times New Roman" w:hAnsi="Times New Roman" w:cs="Times New Roman"/>
                <w:b/>
                <w:bCs/>
                <w:color w:val="000000"/>
                <w:sz w:val="14"/>
                <w:szCs w:val="14"/>
              </w:rPr>
            </w:pPr>
            <w:r w:rsidRPr="00F34196">
              <w:rPr>
                <w:rFonts w:ascii="Times New Roman" w:hAnsi="Times New Roman" w:cs="Times New Roman"/>
                <w:b/>
                <w:bCs/>
                <w:color w:val="000000"/>
                <w:sz w:val="14"/>
                <w:szCs w:val="14"/>
              </w:rPr>
              <w:t>8 758 016</w:t>
            </w:r>
          </w:p>
        </w:tc>
        <w:tc>
          <w:tcPr>
            <w:tcW w:w="538" w:type="pct"/>
            <w:shd w:val="pct25" w:color="auto" w:fill="FFFFFF"/>
            <w:noWrap/>
            <w:vAlign w:val="bottom"/>
            <w:hideMark/>
          </w:tcPr>
          <w:p w:rsidR="007D13F3" w:rsidRPr="00F34196" w:rsidRDefault="007D13F3" w:rsidP="00465CAC">
            <w:pPr>
              <w:jc w:val="right"/>
              <w:rPr>
                <w:rFonts w:ascii="Times New Roman" w:hAnsi="Times New Roman" w:cs="Times New Roman"/>
                <w:b/>
                <w:bCs/>
                <w:color w:val="000000"/>
                <w:sz w:val="14"/>
                <w:szCs w:val="14"/>
              </w:rPr>
            </w:pPr>
            <w:r w:rsidRPr="00F34196">
              <w:rPr>
                <w:rFonts w:ascii="Times New Roman" w:hAnsi="Times New Roman" w:cs="Times New Roman"/>
                <w:b/>
                <w:bCs/>
                <w:color w:val="000000"/>
                <w:sz w:val="14"/>
                <w:szCs w:val="14"/>
              </w:rPr>
              <w:t>7 542 978</w:t>
            </w:r>
          </w:p>
        </w:tc>
        <w:tc>
          <w:tcPr>
            <w:tcW w:w="538" w:type="pct"/>
            <w:shd w:val="pct25" w:color="auto" w:fill="FFFFFF"/>
            <w:noWrap/>
            <w:vAlign w:val="bottom"/>
          </w:tcPr>
          <w:p w:rsidR="007D13F3" w:rsidRPr="00F34196" w:rsidRDefault="007D13F3" w:rsidP="00465CAC">
            <w:pPr>
              <w:jc w:val="right"/>
              <w:rPr>
                <w:rFonts w:ascii="Times New Roman" w:hAnsi="Times New Roman" w:cs="Times New Roman"/>
                <w:b/>
                <w:bCs/>
                <w:color w:val="000000"/>
                <w:sz w:val="14"/>
                <w:szCs w:val="14"/>
              </w:rPr>
            </w:pPr>
            <w:r w:rsidRPr="00F34196">
              <w:rPr>
                <w:rFonts w:ascii="Times New Roman" w:hAnsi="Times New Roman" w:cs="Times New Roman"/>
                <w:b/>
                <w:bCs/>
                <w:color w:val="000000"/>
                <w:sz w:val="14"/>
                <w:szCs w:val="14"/>
              </w:rPr>
              <w:t>7 491 103</w:t>
            </w:r>
          </w:p>
        </w:tc>
        <w:tc>
          <w:tcPr>
            <w:tcW w:w="538" w:type="pct"/>
            <w:shd w:val="pct25" w:color="auto" w:fill="FFFFFF"/>
            <w:noWrap/>
            <w:vAlign w:val="bottom"/>
          </w:tcPr>
          <w:p w:rsidR="007D13F3" w:rsidRPr="00F34196" w:rsidRDefault="007D13F3" w:rsidP="00465CAC">
            <w:pPr>
              <w:jc w:val="right"/>
              <w:rPr>
                <w:rFonts w:ascii="Times New Roman" w:hAnsi="Times New Roman" w:cs="Times New Roman"/>
                <w:b/>
                <w:bCs/>
                <w:color w:val="000000"/>
                <w:sz w:val="14"/>
                <w:szCs w:val="14"/>
              </w:rPr>
            </w:pPr>
            <w:r w:rsidRPr="00F34196">
              <w:rPr>
                <w:rFonts w:ascii="Times New Roman" w:hAnsi="Times New Roman" w:cs="Times New Roman"/>
                <w:b/>
                <w:bCs/>
                <w:color w:val="000000"/>
                <w:sz w:val="14"/>
                <w:szCs w:val="14"/>
              </w:rPr>
              <w:t>7 653 792</w:t>
            </w:r>
          </w:p>
        </w:tc>
        <w:tc>
          <w:tcPr>
            <w:tcW w:w="538" w:type="pct"/>
            <w:shd w:val="pct25" w:color="auto" w:fill="FFFFFF"/>
            <w:noWrap/>
            <w:vAlign w:val="bottom"/>
          </w:tcPr>
          <w:p w:rsidR="007D13F3" w:rsidRPr="00F34196" w:rsidRDefault="007D13F3" w:rsidP="00465CAC">
            <w:pPr>
              <w:jc w:val="right"/>
              <w:rPr>
                <w:rFonts w:ascii="Times New Roman" w:hAnsi="Times New Roman" w:cs="Times New Roman"/>
                <w:b/>
                <w:bCs/>
                <w:color w:val="000000"/>
                <w:sz w:val="14"/>
                <w:szCs w:val="14"/>
              </w:rPr>
            </w:pPr>
            <w:r w:rsidRPr="00F34196">
              <w:rPr>
                <w:rFonts w:ascii="Times New Roman" w:hAnsi="Times New Roman" w:cs="Times New Roman"/>
                <w:b/>
                <w:bCs/>
                <w:color w:val="000000"/>
                <w:sz w:val="14"/>
                <w:szCs w:val="14"/>
              </w:rPr>
              <w:t>6 453 792</w:t>
            </w:r>
          </w:p>
        </w:tc>
        <w:tc>
          <w:tcPr>
            <w:tcW w:w="491" w:type="pct"/>
            <w:shd w:val="pct25" w:color="auto" w:fill="FFFFFF"/>
            <w:noWrap/>
            <w:vAlign w:val="bottom"/>
          </w:tcPr>
          <w:p w:rsidR="007D13F3" w:rsidRPr="00F34196" w:rsidRDefault="007D13F3" w:rsidP="00465CAC">
            <w:pPr>
              <w:jc w:val="right"/>
              <w:rPr>
                <w:rFonts w:ascii="Times New Roman" w:hAnsi="Times New Roman" w:cs="Times New Roman"/>
                <w:b/>
                <w:bCs/>
                <w:color w:val="000000"/>
                <w:sz w:val="14"/>
                <w:szCs w:val="14"/>
              </w:rPr>
            </w:pPr>
            <w:r w:rsidRPr="00F34196">
              <w:rPr>
                <w:rFonts w:ascii="Times New Roman" w:hAnsi="Times New Roman" w:cs="Times New Roman"/>
                <w:b/>
                <w:bCs/>
                <w:color w:val="000000"/>
                <w:sz w:val="14"/>
                <w:szCs w:val="14"/>
              </w:rPr>
              <w:t>6 453 792</w:t>
            </w:r>
          </w:p>
        </w:tc>
      </w:tr>
      <w:tr w:rsidR="007D13F3" w:rsidRPr="00F34196" w:rsidTr="00465CAC">
        <w:trPr>
          <w:trHeight w:hRule="exact" w:val="255"/>
        </w:trPr>
        <w:tc>
          <w:tcPr>
            <w:tcW w:w="1274" w:type="pct"/>
            <w:noWrap/>
            <w:vAlign w:val="bottom"/>
            <w:hideMark/>
          </w:tcPr>
          <w:p w:rsidR="007D13F3" w:rsidRPr="00F34196" w:rsidRDefault="007D13F3" w:rsidP="00465CAC">
            <w:pPr>
              <w:rPr>
                <w:rFonts w:ascii="Times New Roman" w:hAnsi="Times New Roman" w:cs="Times New Roman"/>
                <w:color w:val="000000"/>
                <w:sz w:val="14"/>
                <w:szCs w:val="14"/>
              </w:rPr>
            </w:pPr>
            <w:r w:rsidRPr="00F34196">
              <w:rPr>
                <w:rFonts w:ascii="Times New Roman" w:hAnsi="Times New Roman" w:cs="Times New Roman"/>
                <w:color w:val="000000"/>
                <w:sz w:val="14"/>
                <w:szCs w:val="14"/>
              </w:rPr>
              <w:t xml:space="preserve">Propagácia cestovného ruchu </w:t>
            </w:r>
          </w:p>
        </w:tc>
        <w:tc>
          <w:tcPr>
            <w:tcW w:w="542" w:type="pct"/>
            <w:noWrap/>
            <w:vAlign w:val="bottom"/>
            <w:hideMark/>
          </w:tcPr>
          <w:p w:rsidR="007D13F3" w:rsidRPr="00F34196" w:rsidRDefault="007D13F3" w:rsidP="00465CAC">
            <w:pPr>
              <w:jc w:val="right"/>
              <w:rPr>
                <w:rFonts w:ascii="Times New Roman" w:hAnsi="Times New Roman" w:cs="Times New Roman"/>
                <w:color w:val="000000"/>
                <w:sz w:val="14"/>
                <w:szCs w:val="14"/>
              </w:rPr>
            </w:pPr>
            <w:r w:rsidRPr="00F34196">
              <w:rPr>
                <w:rFonts w:ascii="Times New Roman" w:hAnsi="Times New Roman" w:cs="Times New Roman"/>
                <w:color w:val="000000"/>
                <w:sz w:val="14"/>
                <w:szCs w:val="14"/>
              </w:rPr>
              <w:t>3 684 369</w:t>
            </w:r>
          </w:p>
        </w:tc>
        <w:tc>
          <w:tcPr>
            <w:tcW w:w="541" w:type="pct"/>
            <w:noWrap/>
            <w:vAlign w:val="bottom"/>
          </w:tcPr>
          <w:p w:rsidR="007D13F3" w:rsidRPr="00F34196" w:rsidRDefault="007D13F3" w:rsidP="00465CAC">
            <w:pPr>
              <w:jc w:val="right"/>
              <w:rPr>
                <w:rFonts w:ascii="Times New Roman" w:hAnsi="Times New Roman" w:cs="Times New Roman"/>
                <w:color w:val="000000"/>
                <w:sz w:val="14"/>
                <w:szCs w:val="14"/>
              </w:rPr>
            </w:pPr>
            <w:r w:rsidRPr="00F34196">
              <w:rPr>
                <w:rFonts w:ascii="Times New Roman" w:hAnsi="Times New Roman" w:cs="Times New Roman"/>
                <w:color w:val="000000"/>
                <w:sz w:val="14"/>
                <w:szCs w:val="14"/>
              </w:rPr>
              <w:t>4 405 757</w:t>
            </w:r>
          </w:p>
        </w:tc>
        <w:tc>
          <w:tcPr>
            <w:tcW w:w="538" w:type="pct"/>
            <w:noWrap/>
            <w:vAlign w:val="bottom"/>
            <w:hideMark/>
          </w:tcPr>
          <w:p w:rsidR="007D13F3" w:rsidRPr="00F34196" w:rsidRDefault="007D13F3" w:rsidP="00465CAC">
            <w:pPr>
              <w:jc w:val="right"/>
              <w:rPr>
                <w:rFonts w:ascii="Times New Roman" w:hAnsi="Times New Roman" w:cs="Times New Roman"/>
                <w:color w:val="000000"/>
                <w:sz w:val="14"/>
                <w:szCs w:val="14"/>
              </w:rPr>
            </w:pPr>
            <w:r w:rsidRPr="00F34196">
              <w:rPr>
                <w:rFonts w:ascii="Times New Roman" w:hAnsi="Times New Roman" w:cs="Times New Roman"/>
                <w:color w:val="000000"/>
                <w:sz w:val="14"/>
                <w:szCs w:val="14"/>
              </w:rPr>
              <w:t>3 042 978</w:t>
            </w:r>
          </w:p>
        </w:tc>
        <w:tc>
          <w:tcPr>
            <w:tcW w:w="538" w:type="pct"/>
            <w:noWrap/>
            <w:vAlign w:val="bottom"/>
          </w:tcPr>
          <w:p w:rsidR="007D13F3" w:rsidRPr="00F34196" w:rsidRDefault="007D13F3" w:rsidP="00465CAC">
            <w:pPr>
              <w:jc w:val="right"/>
              <w:rPr>
                <w:rFonts w:ascii="Times New Roman" w:hAnsi="Times New Roman" w:cs="Times New Roman"/>
                <w:color w:val="000000"/>
                <w:sz w:val="14"/>
                <w:szCs w:val="14"/>
              </w:rPr>
            </w:pPr>
            <w:r w:rsidRPr="00F34196">
              <w:rPr>
                <w:rFonts w:ascii="Times New Roman" w:hAnsi="Times New Roman" w:cs="Times New Roman"/>
                <w:color w:val="000000"/>
                <w:sz w:val="14"/>
                <w:szCs w:val="14"/>
              </w:rPr>
              <w:t>3 293 179</w:t>
            </w:r>
          </w:p>
        </w:tc>
        <w:tc>
          <w:tcPr>
            <w:tcW w:w="538" w:type="pct"/>
            <w:noWrap/>
            <w:vAlign w:val="bottom"/>
          </w:tcPr>
          <w:p w:rsidR="007D13F3" w:rsidRPr="00F34196" w:rsidRDefault="007D13F3" w:rsidP="00465CAC">
            <w:pPr>
              <w:jc w:val="right"/>
              <w:rPr>
                <w:rFonts w:ascii="Times New Roman" w:hAnsi="Times New Roman" w:cs="Times New Roman"/>
                <w:color w:val="000000"/>
                <w:sz w:val="14"/>
                <w:szCs w:val="14"/>
              </w:rPr>
            </w:pPr>
            <w:r w:rsidRPr="00F34196">
              <w:rPr>
                <w:rFonts w:ascii="Times New Roman" w:hAnsi="Times New Roman" w:cs="Times New Roman"/>
                <w:color w:val="000000"/>
                <w:sz w:val="14"/>
                <w:szCs w:val="14"/>
              </w:rPr>
              <w:t>1 953 792</w:t>
            </w:r>
          </w:p>
        </w:tc>
        <w:tc>
          <w:tcPr>
            <w:tcW w:w="538" w:type="pct"/>
            <w:noWrap/>
            <w:vAlign w:val="bottom"/>
          </w:tcPr>
          <w:p w:rsidR="007D13F3" w:rsidRPr="00F34196" w:rsidRDefault="007D13F3" w:rsidP="00465CAC">
            <w:pPr>
              <w:jc w:val="right"/>
              <w:rPr>
                <w:rFonts w:ascii="Times New Roman" w:hAnsi="Times New Roman" w:cs="Times New Roman"/>
                <w:color w:val="000000"/>
                <w:sz w:val="14"/>
                <w:szCs w:val="14"/>
              </w:rPr>
            </w:pPr>
            <w:r w:rsidRPr="00F34196">
              <w:rPr>
                <w:rFonts w:ascii="Times New Roman" w:hAnsi="Times New Roman" w:cs="Times New Roman"/>
                <w:color w:val="000000"/>
                <w:sz w:val="14"/>
                <w:szCs w:val="14"/>
              </w:rPr>
              <w:t>1 953 792</w:t>
            </w:r>
          </w:p>
        </w:tc>
        <w:tc>
          <w:tcPr>
            <w:tcW w:w="491" w:type="pct"/>
            <w:noWrap/>
            <w:vAlign w:val="bottom"/>
          </w:tcPr>
          <w:p w:rsidR="007D13F3" w:rsidRPr="00F34196" w:rsidRDefault="007D13F3" w:rsidP="00465CAC">
            <w:pPr>
              <w:jc w:val="right"/>
              <w:rPr>
                <w:rFonts w:ascii="Times New Roman" w:hAnsi="Times New Roman" w:cs="Times New Roman"/>
                <w:color w:val="000000"/>
                <w:sz w:val="14"/>
                <w:szCs w:val="14"/>
              </w:rPr>
            </w:pPr>
            <w:r w:rsidRPr="00F34196">
              <w:rPr>
                <w:rFonts w:ascii="Times New Roman" w:hAnsi="Times New Roman" w:cs="Times New Roman"/>
                <w:color w:val="000000"/>
                <w:sz w:val="14"/>
                <w:szCs w:val="14"/>
              </w:rPr>
              <w:t>1 953 792</w:t>
            </w:r>
          </w:p>
        </w:tc>
      </w:tr>
      <w:tr w:rsidR="007D13F3" w:rsidRPr="002248A7" w:rsidTr="00465CAC">
        <w:trPr>
          <w:trHeight w:hRule="exact" w:val="255"/>
        </w:trPr>
        <w:tc>
          <w:tcPr>
            <w:tcW w:w="1274" w:type="pct"/>
            <w:noWrap/>
            <w:vAlign w:val="bottom"/>
            <w:hideMark/>
          </w:tcPr>
          <w:p w:rsidR="007D13F3" w:rsidRPr="00F34196" w:rsidRDefault="007D13F3" w:rsidP="00465CAC">
            <w:pPr>
              <w:rPr>
                <w:rFonts w:ascii="Times New Roman" w:hAnsi="Times New Roman" w:cs="Times New Roman"/>
                <w:color w:val="000000"/>
                <w:sz w:val="14"/>
                <w:szCs w:val="14"/>
              </w:rPr>
            </w:pPr>
            <w:r w:rsidRPr="00F34196">
              <w:rPr>
                <w:rFonts w:ascii="Times New Roman" w:hAnsi="Times New Roman" w:cs="Times New Roman"/>
                <w:color w:val="000000"/>
                <w:sz w:val="14"/>
                <w:szCs w:val="14"/>
              </w:rPr>
              <w:t xml:space="preserve">Dotácie na podporu cestovného ruchu   </w:t>
            </w:r>
          </w:p>
        </w:tc>
        <w:tc>
          <w:tcPr>
            <w:tcW w:w="542" w:type="pct"/>
            <w:noWrap/>
            <w:vAlign w:val="bottom"/>
            <w:hideMark/>
          </w:tcPr>
          <w:p w:rsidR="007D13F3" w:rsidRPr="00F34196" w:rsidRDefault="007D13F3" w:rsidP="00465CAC">
            <w:pPr>
              <w:jc w:val="right"/>
              <w:rPr>
                <w:rFonts w:ascii="Times New Roman" w:hAnsi="Times New Roman" w:cs="Times New Roman"/>
                <w:color w:val="000000"/>
                <w:sz w:val="14"/>
                <w:szCs w:val="14"/>
              </w:rPr>
            </w:pPr>
            <w:r w:rsidRPr="00F34196">
              <w:rPr>
                <w:rFonts w:ascii="Times New Roman" w:hAnsi="Times New Roman" w:cs="Times New Roman"/>
                <w:color w:val="000000"/>
                <w:sz w:val="14"/>
                <w:szCs w:val="14"/>
              </w:rPr>
              <w:t>4 309 642</w:t>
            </w:r>
          </w:p>
        </w:tc>
        <w:tc>
          <w:tcPr>
            <w:tcW w:w="541" w:type="pct"/>
            <w:noWrap/>
            <w:vAlign w:val="bottom"/>
          </w:tcPr>
          <w:p w:rsidR="007D13F3" w:rsidRPr="00F34196" w:rsidRDefault="007D13F3" w:rsidP="00465CAC">
            <w:pPr>
              <w:jc w:val="right"/>
              <w:rPr>
                <w:rFonts w:ascii="Times New Roman" w:hAnsi="Times New Roman" w:cs="Times New Roman"/>
                <w:color w:val="000000"/>
                <w:sz w:val="14"/>
                <w:szCs w:val="14"/>
              </w:rPr>
            </w:pPr>
            <w:r w:rsidRPr="00F34196">
              <w:rPr>
                <w:rFonts w:ascii="Times New Roman" w:hAnsi="Times New Roman" w:cs="Times New Roman"/>
                <w:color w:val="000000"/>
                <w:sz w:val="14"/>
                <w:szCs w:val="14"/>
              </w:rPr>
              <w:t>4 352 259</w:t>
            </w:r>
          </w:p>
        </w:tc>
        <w:tc>
          <w:tcPr>
            <w:tcW w:w="538" w:type="pct"/>
            <w:noWrap/>
            <w:vAlign w:val="bottom"/>
            <w:hideMark/>
          </w:tcPr>
          <w:p w:rsidR="007D13F3" w:rsidRPr="00F34196" w:rsidRDefault="007D13F3" w:rsidP="00465CAC">
            <w:pPr>
              <w:jc w:val="right"/>
              <w:rPr>
                <w:rFonts w:ascii="Times New Roman" w:hAnsi="Times New Roman" w:cs="Times New Roman"/>
                <w:color w:val="000000"/>
                <w:sz w:val="14"/>
                <w:szCs w:val="14"/>
              </w:rPr>
            </w:pPr>
            <w:r w:rsidRPr="00F34196">
              <w:rPr>
                <w:rFonts w:ascii="Times New Roman" w:hAnsi="Times New Roman" w:cs="Times New Roman"/>
                <w:color w:val="000000"/>
                <w:sz w:val="14"/>
                <w:szCs w:val="14"/>
              </w:rPr>
              <w:t>4 500 000</w:t>
            </w:r>
          </w:p>
        </w:tc>
        <w:tc>
          <w:tcPr>
            <w:tcW w:w="538" w:type="pct"/>
            <w:shd w:val="clear" w:color="auto" w:fill="FFFFFF"/>
            <w:noWrap/>
            <w:vAlign w:val="bottom"/>
          </w:tcPr>
          <w:p w:rsidR="007D13F3" w:rsidRPr="00F34196" w:rsidRDefault="007D13F3" w:rsidP="00465CAC">
            <w:pPr>
              <w:jc w:val="right"/>
              <w:rPr>
                <w:rFonts w:ascii="Times New Roman" w:hAnsi="Times New Roman" w:cs="Times New Roman"/>
                <w:color w:val="000000"/>
                <w:sz w:val="14"/>
                <w:szCs w:val="14"/>
              </w:rPr>
            </w:pPr>
            <w:r w:rsidRPr="00F34196">
              <w:rPr>
                <w:rFonts w:ascii="Times New Roman" w:hAnsi="Times New Roman" w:cs="Times New Roman"/>
                <w:color w:val="000000"/>
                <w:sz w:val="14"/>
                <w:szCs w:val="14"/>
              </w:rPr>
              <w:t>4 197 924</w:t>
            </w:r>
          </w:p>
        </w:tc>
        <w:tc>
          <w:tcPr>
            <w:tcW w:w="538" w:type="pct"/>
            <w:shd w:val="clear" w:color="auto" w:fill="FFFFFF"/>
            <w:noWrap/>
            <w:vAlign w:val="bottom"/>
          </w:tcPr>
          <w:p w:rsidR="007D13F3" w:rsidRPr="00F34196" w:rsidRDefault="007D13F3" w:rsidP="00465CAC">
            <w:pPr>
              <w:jc w:val="right"/>
              <w:rPr>
                <w:rFonts w:ascii="Times New Roman" w:hAnsi="Times New Roman" w:cs="Times New Roman"/>
                <w:color w:val="000000"/>
                <w:sz w:val="14"/>
                <w:szCs w:val="14"/>
              </w:rPr>
            </w:pPr>
            <w:r w:rsidRPr="00F34196">
              <w:rPr>
                <w:rFonts w:ascii="Times New Roman" w:hAnsi="Times New Roman" w:cs="Times New Roman"/>
                <w:color w:val="000000"/>
                <w:sz w:val="14"/>
                <w:szCs w:val="14"/>
              </w:rPr>
              <w:t>5 700 000</w:t>
            </w:r>
          </w:p>
        </w:tc>
        <w:tc>
          <w:tcPr>
            <w:tcW w:w="538" w:type="pct"/>
            <w:shd w:val="clear" w:color="auto" w:fill="FFFFFF"/>
            <w:noWrap/>
            <w:vAlign w:val="bottom"/>
          </w:tcPr>
          <w:p w:rsidR="007D13F3" w:rsidRPr="00F34196" w:rsidRDefault="007D13F3" w:rsidP="00465CAC">
            <w:pPr>
              <w:jc w:val="right"/>
              <w:rPr>
                <w:rFonts w:ascii="Times New Roman" w:hAnsi="Times New Roman" w:cs="Times New Roman"/>
                <w:color w:val="000000"/>
                <w:sz w:val="14"/>
                <w:szCs w:val="14"/>
              </w:rPr>
            </w:pPr>
            <w:r w:rsidRPr="00F34196">
              <w:rPr>
                <w:rFonts w:ascii="Times New Roman" w:hAnsi="Times New Roman" w:cs="Times New Roman"/>
                <w:color w:val="000000"/>
                <w:sz w:val="14"/>
                <w:szCs w:val="14"/>
              </w:rPr>
              <w:t>4 500 000</w:t>
            </w:r>
          </w:p>
        </w:tc>
        <w:tc>
          <w:tcPr>
            <w:tcW w:w="491" w:type="pct"/>
            <w:shd w:val="clear" w:color="auto" w:fill="FFFFFF"/>
            <w:noWrap/>
            <w:vAlign w:val="bottom"/>
          </w:tcPr>
          <w:p w:rsidR="007D13F3" w:rsidRPr="00FF7F38" w:rsidRDefault="007D13F3" w:rsidP="00465CAC">
            <w:pPr>
              <w:jc w:val="right"/>
              <w:rPr>
                <w:rFonts w:ascii="Times New Roman" w:hAnsi="Times New Roman" w:cs="Times New Roman"/>
                <w:color w:val="000000"/>
                <w:sz w:val="14"/>
                <w:szCs w:val="14"/>
              </w:rPr>
            </w:pPr>
            <w:r w:rsidRPr="00F34196">
              <w:rPr>
                <w:rFonts w:ascii="Times New Roman" w:hAnsi="Times New Roman" w:cs="Times New Roman"/>
                <w:color w:val="000000"/>
                <w:sz w:val="14"/>
                <w:szCs w:val="14"/>
              </w:rPr>
              <w:t>4 500 000</w:t>
            </w:r>
          </w:p>
        </w:tc>
      </w:tr>
    </w:tbl>
    <w:p w:rsidR="007D13F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9C5059">
        <w:rPr>
          <w:rFonts w:ascii="Times New Roman" w:hAnsi="Times New Roman" w:cs="Times New Roman"/>
        </w:rPr>
        <w:t>Výdavky na podporu cestovného ruchu sa na rok 201</w:t>
      </w:r>
      <w:r>
        <w:rPr>
          <w:rFonts w:ascii="Times New Roman" w:hAnsi="Times New Roman" w:cs="Times New Roman"/>
        </w:rPr>
        <w:t>8</w:t>
      </w:r>
      <w:r w:rsidRPr="009C5059">
        <w:rPr>
          <w:rFonts w:ascii="Times New Roman" w:hAnsi="Times New Roman" w:cs="Times New Roman"/>
        </w:rPr>
        <w:t xml:space="preserve"> rozpočtujú v sume </w:t>
      </w:r>
      <w:r>
        <w:rPr>
          <w:rFonts w:ascii="Times New Roman" w:hAnsi="Times New Roman" w:cs="Times New Roman"/>
        </w:rPr>
        <w:t>7</w:t>
      </w:r>
      <w:r w:rsidRPr="009C5059">
        <w:rPr>
          <w:rFonts w:ascii="Times New Roman" w:hAnsi="Times New Roman" w:cs="Times New Roman"/>
        </w:rPr>
        <w:t>,</w:t>
      </w:r>
      <w:r>
        <w:rPr>
          <w:rFonts w:ascii="Times New Roman" w:hAnsi="Times New Roman" w:cs="Times New Roman"/>
        </w:rPr>
        <w:t>6</w:t>
      </w:r>
      <w:r w:rsidRPr="009C5059">
        <w:rPr>
          <w:rFonts w:ascii="Times New Roman" w:hAnsi="Times New Roman" w:cs="Times New Roman"/>
        </w:rPr>
        <w:t>5 mil. eur a v porovnaní so schváleným rozpočtom roku 201</w:t>
      </w:r>
      <w:r>
        <w:rPr>
          <w:rFonts w:ascii="Times New Roman" w:hAnsi="Times New Roman" w:cs="Times New Roman"/>
        </w:rPr>
        <w:t>7</w:t>
      </w:r>
      <w:r w:rsidRPr="009C5059">
        <w:rPr>
          <w:rFonts w:ascii="Times New Roman" w:hAnsi="Times New Roman" w:cs="Times New Roman"/>
        </w:rPr>
        <w:t xml:space="preserve"> sú </w:t>
      </w:r>
      <w:r>
        <w:rPr>
          <w:rFonts w:ascii="Times New Roman" w:hAnsi="Times New Roman" w:cs="Times New Roman"/>
        </w:rPr>
        <w:t>vyšši</w:t>
      </w:r>
      <w:r w:rsidRPr="009C5059">
        <w:rPr>
          <w:rFonts w:ascii="Times New Roman" w:hAnsi="Times New Roman" w:cs="Times New Roman"/>
        </w:rPr>
        <w:t>e o </w:t>
      </w:r>
      <w:r>
        <w:rPr>
          <w:rFonts w:ascii="Times New Roman" w:hAnsi="Times New Roman" w:cs="Times New Roman"/>
        </w:rPr>
        <w:t>111</w:t>
      </w:r>
      <w:r w:rsidRPr="009C5059">
        <w:rPr>
          <w:rFonts w:ascii="Times New Roman" w:hAnsi="Times New Roman" w:cs="Times New Roman"/>
        </w:rPr>
        <w:t xml:space="preserve"> </w:t>
      </w:r>
      <w:r>
        <w:rPr>
          <w:rFonts w:ascii="Times New Roman" w:hAnsi="Times New Roman" w:cs="Times New Roman"/>
        </w:rPr>
        <w:t>tis</w:t>
      </w:r>
      <w:r w:rsidRPr="009C5059">
        <w:rPr>
          <w:rFonts w:ascii="Times New Roman" w:hAnsi="Times New Roman" w:cs="Times New Roman"/>
        </w:rPr>
        <w:t>. eur, t. j. o </w:t>
      </w:r>
      <w:r>
        <w:rPr>
          <w:rFonts w:ascii="Times New Roman" w:hAnsi="Times New Roman" w:cs="Times New Roman"/>
        </w:rPr>
        <w:t>1</w:t>
      </w:r>
      <w:r w:rsidRPr="009C5059">
        <w:rPr>
          <w:rFonts w:ascii="Times New Roman" w:hAnsi="Times New Roman" w:cs="Times New Roman"/>
        </w:rPr>
        <w:t>,</w:t>
      </w:r>
      <w:r>
        <w:rPr>
          <w:rFonts w:ascii="Times New Roman" w:hAnsi="Times New Roman" w:cs="Times New Roman"/>
        </w:rPr>
        <w:t>47</w:t>
      </w:r>
      <w:r w:rsidRPr="009C5059">
        <w:rPr>
          <w:rFonts w:ascii="Times New Roman" w:hAnsi="Times New Roman" w:cs="Times New Roman"/>
        </w:rPr>
        <w:t xml:space="preserve"> %</w:t>
      </w:r>
      <w:r>
        <w:rPr>
          <w:rFonts w:ascii="Times New Roman" w:hAnsi="Times New Roman" w:cs="Times New Roman"/>
        </w:rPr>
        <w:t xml:space="preserve">.  Výdavky </w:t>
      </w:r>
      <w:r w:rsidRPr="009C5059">
        <w:rPr>
          <w:rFonts w:ascii="Times New Roman" w:hAnsi="Times New Roman" w:cs="Times New Roman"/>
        </w:rPr>
        <w:t>na dotácie na podporu cestovného ruchu pre oblastné a krajské organizácie cestovného ruchu</w:t>
      </w:r>
      <w:r>
        <w:rPr>
          <w:rFonts w:ascii="Times New Roman" w:hAnsi="Times New Roman" w:cs="Times New Roman"/>
        </w:rPr>
        <w:t>,</w:t>
      </w:r>
      <w:r w:rsidRPr="009C5059">
        <w:rPr>
          <w:rFonts w:ascii="Times New Roman" w:hAnsi="Times New Roman" w:cs="Times New Roman"/>
        </w:rPr>
        <w:t xml:space="preserve"> </w:t>
      </w:r>
      <w:r>
        <w:rPr>
          <w:rFonts w:ascii="Times New Roman" w:hAnsi="Times New Roman" w:cs="Times New Roman"/>
        </w:rPr>
        <w:t xml:space="preserve">poskytované </w:t>
      </w:r>
      <w:r w:rsidRPr="009C5059">
        <w:rPr>
          <w:rFonts w:ascii="Times New Roman" w:hAnsi="Times New Roman" w:cs="Times New Roman"/>
        </w:rPr>
        <w:t>v súlade so zákonom č. 91/2010 Z. z. o podpore cestovného ruch</w:t>
      </w:r>
      <w:r>
        <w:rPr>
          <w:rFonts w:ascii="Times New Roman" w:hAnsi="Times New Roman" w:cs="Times New Roman"/>
        </w:rPr>
        <w:t>u v znení neskorších predpisov, sú v porovnaní so schváleným rozpočtom roku 2017 vyššie o 1,20 mil. eur, t. j. o 26,7 %.</w:t>
      </w:r>
    </w:p>
    <w:p w:rsidR="007D13F3" w:rsidRDefault="007D13F3" w:rsidP="007D13F3">
      <w:pPr>
        <w:jc w:val="both"/>
        <w:rPr>
          <w:rFonts w:ascii="Times New Roman" w:hAnsi="Times New Roman" w:cs="Times New Roman"/>
          <w:highlight w:val="yellow"/>
        </w:rPr>
      </w:pPr>
    </w:p>
    <w:p w:rsidR="007D13F3" w:rsidRPr="00661433" w:rsidRDefault="007D13F3" w:rsidP="007D13F3">
      <w:pPr>
        <w:jc w:val="both"/>
        <w:rPr>
          <w:rFonts w:ascii="Times New Roman" w:hAnsi="Times New Roman" w:cs="Times New Roman"/>
          <w:b/>
        </w:rPr>
      </w:pPr>
      <w:r w:rsidRPr="00661433">
        <w:rPr>
          <w:rFonts w:ascii="Times New Roman" w:hAnsi="Times New Roman" w:cs="Times New Roman"/>
          <w:b/>
        </w:rPr>
        <w:t>Administratíva</w:t>
      </w:r>
    </w:p>
    <w:p w:rsidR="007D13F3" w:rsidRDefault="007D13F3" w:rsidP="007D13F3">
      <w:pPr>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569"/>
        <w:gridCol w:w="896"/>
        <w:gridCol w:w="896"/>
        <w:gridCol w:w="895"/>
        <w:gridCol w:w="895"/>
        <w:gridCol w:w="1029"/>
        <w:gridCol w:w="941"/>
        <w:gridCol w:w="941"/>
      </w:tblGrid>
      <w:tr w:rsidR="007D13F3" w:rsidRPr="00894616" w:rsidTr="00465CAC">
        <w:trPr>
          <w:trHeight w:hRule="exact" w:val="284"/>
        </w:trPr>
        <w:tc>
          <w:tcPr>
            <w:tcW w:w="141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894616" w:rsidRDefault="007D13F3" w:rsidP="00465CAC">
            <w:pP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894616">
              <w:rPr>
                <w:rFonts w:ascii="Times New Roman" w:hAnsi="Times New Roman" w:cs="Times New Roman"/>
                <w:b/>
                <w:bCs/>
                <w:color w:val="000000"/>
                <w:sz w:val="14"/>
                <w:szCs w:val="14"/>
              </w:rPr>
              <w:t>eurách</w:t>
            </w:r>
          </w:p>
        </w:tc>
        <w:tc>
          <w:tcPr>
            <w:tcW w:w="494"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894616" w:rsidRDefault="007D13F3" w:rsidP="00465CAC">
            <w:pPr>
              <w:jc w:val="cente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2015 S</w:t>
            </w:r>
          </w:p>
        </w:tc>
        <w:tc>
          <w:tcPr>
            <w:tcW w:w="494"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894616" w:rsidRDefault="007D13F3" w:rsidP="00465CAC">
            <w:pPr>
              <w:jc w:val="cente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2016 S</w:t>
            </w:r>
          </w:p>
        </w:tc>
        <w:tc>
          <w:tcPr>
            <w:tcW w:w="494"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894616" w:rsidRDefault="007D13F3" w:rsidP="00465CAC">
            <w:pPr>
              <w:jc w:val="cente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2017 R</w:t>
            </w:r>
          </w:p>
        </w:tc>
        <w:tc>
          <w:tcPr>
            <w:tcW w:w="494"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894616" w:rsidRDefault="007D13F3" w:rsidP="00465CAC">
            <w:pPr>
              <w:jc w:val="cente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2017 OS</w:t>
            </w:r>
          </w:p>
        </w:tc>
        <w:tc>
          <w:tcPr>
            <w:tcW w:w="568"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894616" w:rsidRDefault="007D13F3" w:rsidP="00465CAC">
            <w:pPr>
              <w:jc w:val="cente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2018 N</w:t>
            </w:r>
          </w:p>
        </w:tc>
        <w:tc>
          <w:tcPr>
            <w:tcW w:w="519"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894616" w:rsidRDefault="007D13F3" w:rsidP="00465CAC">
            <w:pPr>
              <w:jc w:val="cente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2019 N</w:t>
            </w:r>
          </w:p>
        </w:tc>
        <w:tc>
          <w:tcPr>
            <w:tcW w:w="519"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894616" w:rsidRDefault="007D13F3" w:rsidP="00465CAC">
            <w:pPr>
              <w:jc w:val="cente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2020 N</w:t>
            </w:r>
          </w:p>
        </w:tc>
      </w:tr>
      <w:tr w:rsidR="007D13F3" w:rsidRPr="00894616" w:rsidTr="00465CAC">
        <w:trPr>
          <w:cantSplit/>
          <w:trHeight w:hRule="exact" w:val="284"/>
        </w:trPr>
        <w:tc>
          <w:tcPr>
            <w:tcW w:w="141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894616" w:rsidRDefault="007D13F3" w:rsidP="00465CAC">
            <w:pP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SPOLU</w:t>
            </w:r>
          </w:p>
        </w:tc>
        <w:tc>
          <w:tcPr>
            <w:tcW w:w="49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894616" w:rsidRDefault="007D13F3" w:rsidP="00465CAC">
            <w:pPr>
              <w:jc w:val="right"/>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54 594 492</w:t>
            </w:r>
          </w:p>
        </w:tc>
        <w:tc>
          <w:tcPr>
            <w:tcW w:w="49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894616" w:rsidRDefault="007D13F3" w:rsidP="00465CAC">
            <w:pPr>
              <w:jc w:val="right"/>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61 175 786</w:t>
            </w:r>
          </w:p>
        </w:tc>
        <w:tc>
          <w:tcPr>
            <w:tcW w:w="49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894616" w:rsidRDefault="007D13F3" w:rsidP="00465CAC">
            <w:pPr>
              <w:jc w:val="right"/>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60 121 293</w:t>
            </w:r>
          </w:p>
        </w:tc>
        <w:tc>
          <w:tcPr>
            <w:tcW w:w="49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894616" w:rsidRDefault="007D13F3" w:rsidP="00465CAC">
            <w:pPr>
              <w:jc w:val="right"/>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6</w:t>
            </w:r>
            <w:r>
              <w:rPr>
                <w:rFonts w:ascii="Times New Roman" w:hAnsi="Times New Roman" w:cs="Times New Roman"/>
                <w:b/>
                <w:bCs/>
                <w:color w:val="000000"/>
                <w:sz w:val="14"/>
                <w:szCs w:val="14"/>
                <w:lang w:eastAsia="sk-SK"/>
              </w:rPr>
              <w:t>2</w:t>
            </w:r>
            <w:r w:rsidRPr="00894616">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470</w:t>
            </w:r>
            <w:r w:rsidRPr="00894616">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866</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0B5FC6" w:rsidRDefault="007D13F3" w:rsidP="00465CAC">
            <w:pPr>
              <w:jc w:val="right"/>
              <w:rPr>
                <w:rFonts w:ascii="Times New Roman" w:hAnsi="Times New Roman" w:cs="Times New Roman"/>
                <w:b/>
                <w:bCs/>
                <w:color w:val="000000"/>
                <w:sz w:val="14"/>
                <w:szCs w:val="14"/>
                <w:lang w:eastAsia="sk-SK"/>
              </w:rPr>
            </w:pPr>
            <w:r w:rsidRPr="000B5FC6">
              <w:rPr>
                <w:rFonts w:ascii="Times New Roman" w:hAnsi="Times New Roman" w:cs="Times New Roman"/>
                <w:b/>
                <w:bCs/>
                <w:color w:val="000000"/>
                <w:sz w:val="14"/>
                <w:szCs w:val="14"/>
              </w:rPr>
              <w:t>159 793 237</w:t>
            </w:r>
          </w:p>
        </w:tc>
        <w:tc>
          <w:tcPr>
            <w:tcW w:w="51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0B5FC6" w:rsidRDefault="007D13F3" w:rsidP="00465CAC">
            <w:pPr>
              <w:jc w:val="right"/>
              <w:rPr>
                <w:rFonts w:ascii="Times New Roman" w:hAnsi="Times New Roman" w:cs="Times New Roman"/>
                <w:b/>
                <w:bCs/>
                <w:color w:val="000000"/>
                <w:sz w:val="14"/>
                <w:szCs w:val="14"/>
              </w:rPr>
            </w:pPr>
            <w:r w:rsidRPr="000B5FC6">
              <w:rPr>
                <w:rFonts w:ascii="Times New Roman" w:hAnsi="Times New Roman" w:cs="Times New Roman"/>
                <w:b/>
                <w:bCs/>
                <w:color w:val="000000"/>
                <w:sz w:val="14"/>
                <w:szCs w:val="14"/>
              </w:rPr>
              <w:t>67 123 144</w:t>
            </w:r>
          </w:p>
        </w:tc>
        <w:tc>
          <w:tcPr>
            <w:tcW w:w="51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0B5FC6" w:rsidRDefault="007D13F3" w:rsidP="00465CAC">
            <w:pPr>
              <w:jc w:val="right"/>
              <w:rPr>
                <w:rFonts w:ascii="Times New Roman" w:hAnsi="Times New Roman" w:cs="Times New Roman"/>
                <w:b/>
                <w:bCs/>
                <w:color w:val="000000"/>
                <w:sz w:val="14"/>
                <w:szCs w:val="14"/>
              </w:rPr>
            </w:pPr>
            <w:r w:rsidRPr="000B5FC6">
              <w:rPr>
                <w:rFonts w:ascii="Times New Roman" w:hAnsi="Times New Roman" w:cs="Times New Roman"/>
                <w:b/>
                <w:bCs/>
                <w:color w:val="000000"/>
                <w:sz w:val="14"/>
                <w:szCs w:val="14"/>
              </w:rPr>
              <w:t>67 193 489</w:t>
            </w:r>
          </w:p>
        </w:tc>
      </w:tr>
      <w:tr w:rsidR="007D13F3" w:rsidRPr="00894616" w:rsidTr="00465CAC">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Tvorba a implementácia politík</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51 328 884</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57 863 090</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53 401 645</w:t>
            </w:r>
          </w:p>
        </w:tc>
        <w:tc>
          <w:tcPr>
            <w:tcW w:w="49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w:t>
            </w:r>
            <w:r>
              <w:rPr>
                <w:rFonts w:ascii="Times New Roman" w:hAnsi="Times New Roman" w:cs="Times New Roman"/>
                <w:color w:val="000000"/>
                <w:sz w:val="14"/>
                <w:szCs w:val="14"/>
                <w:lang w:eastAsia="sk-SK"/>
              </w:rPr>
              <w:t>2</w:t>
            </w:r>
            <w:r w:rsidRPr="00894616">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607</w:t>
            </w:r>
            <w:r w:rsidRPr="00894616">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663</w:t>
            </w:r>
          </w:p>
        </w:tc>
        <w:tc>
          <w:tcPr>
            <w:tcW w:w="568" w:type="pct"/>
            <w:tcBorders>
              <w:top w:val="nil"/>
              <w:left w:val="nil"/>
              <w:bottom w:val="single" w:sz="4" w:space="0" w:color="auto"/>
              <w:right w:val="single" w:sz="4" w:space="0" w:color="auto"/>
            </w:tcBorders>
            <w:shd w:val="clear" w:color="auto" w:fill="auto"/>
            <w:noWrap/>
            <w:vAlign w:val="bottom"/>
            <w:hideMark/>
          </w:tcPr>
          <w:p w:rsidR="007D13F3" w:rsidRPr="000B5FC6" w:rsidRDefault="007D13F3" w:rsidP="00465CAC">
            <w:pPr>
              <w:jc w:val="right"/>
              <w:rPr>
                <w:rFonts w:ascii="Times New Roman" w:hAnsi="Times New Roman" w:cs="Times New Roman"/>
                <w:color w:val="000000"/>
                <w:sz w:val="14"/>
                <w:szCs w:val="14"/>
                <w:lang w:eastAsia="sk-SK"/>
              </w:rPr>
            </w:pPr>
            <w:r w:rsidRPr="000B5FC6">
              <w:rPr>
                <w:rFonts w:ascii="Times New Roman" w:hAnsi="Times New Roman" w:cs="Times New Roman"/>
                <w:color w:val="000000"/>
                <w:sz w:val="14"/>
                <w:szCs w:val="14"/>
              </w:rPr>
              <w:t>147 867 091</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0B5FC6" w:rsidRDefault="007D13F3" w:rsidP="00465CAC">
            <w:pPr>
              <w:jc w:val="right"/>
              <w:rPr>
                <w:rFonts w:ascii="Times New Roman" w:hAnsi="Times New Roman" w:cs="Times New Roman"/>
                <w:color w:val="000000"/>
                <w:sz w:val="14"/>
                <w:szCs w:val="14"/>
              </w:rPr>
            </w:pPr>
            <w:r w:rsidRPr="000B5FC6">
              <w:rPr>
                <w:rFonts w:ascii="Times New Roman" w:hAnsi="Times New Roman" w:cs="Times New Roman"/>
                <w:color w:val="000000"/>
                <w:sz w:val="14"/>
                <w:szCs w:val="14"/>
              </w:rPr>
              <w:t>55 274 634</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0B5FC6" w:rsidRDefault="007D13F3" w:rsidP="00465CAC">
            <w:pPr>
              <w:jc w:val="right"/>
              <w:rPr>
                <w:rFonts w:ascii="Times New Roman" w:hAnsi="Times New Roman" w:cs="Times New Roman"/>
                <w:color w:val="000000"/>
                <w:sz w:val="14"/>
                <w:szCs w:val="14"/>
              </w:rPr>
            </w:pPr>
            <w:r w:rsidRPr="000B5FC6">
              <w:rPr>
                <w:rFonts w:ascii="Times New Roman" w:hAnsi="Times New Roman" w:cs="Times New Roman"/>
                <w:color w:val="000000"/>
                <w:sz w:val="14"/>
                <w:szCs w:val="14"/>
              </w:rPr>
              <w:t>55 347 459</w:t>
            </w:r>
          </w:p>
        </w:tc>
      </w:tr>
      <w:tr w:rsidR="007D13F3" w:rsidRPr="00894616" w:rsidTr="00465CAC">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Informačné technológie financované zo ŠR</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3 793 872</w:t>
            </w:r>
          </w:p>
        </w:tc>
        <w:tc>
          <w:tcPr>
            <w:tcW w:w="49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6 927 314</w:t>
            </w:r>
          </w:p>
        </w:tc>
        <w:tc>
          <w:tcPr>
            <w:tcW w:w="568" w:type="pct"/>
            <w:tcBorders>
              <w:top w:val="nil"/>
              <w:left w:val="nil"/>
              <w:bottom w:val="single" w:sz="4" w:space="0" w:color="auto"/>
              <w:right w:val="single" w:sz="4" w:space="0" w:color="auto"/>
            </w:tcBorders>
            <w:shd w:val="clear" w:color="auto" w:fill="auto"/>
            <w:noWrap/>
            <w:vAlign w:val="bottom"/>
            <w:hideMark/>
          </w:tcPr>
          <w:p w:rsidR="007D13F3" w:rsidRPr="000B5FC6" w:rsidRDefault="007D13F3" w:rsidP="00465CAC">
            <w:pPr>
              <w:jc w:val="right"/>
              <w:rPr>
                <w:rFonts w:ascii="Times New Roman" w:hAnsi="Times New Roman" w:cs="Times New Roman"/>
                <w:color w:val="000000"/>
                <w:sz w:val="14"/>
                <w:szCs w:val="14"/>
              </w:rPr>
            </w:pPr>
            <w:r w:rsidRPr="000B5FC6">
              <w:rPr>
                <w:rFonts w:ascii="Times New Roman" w:hAnsi="Times New Roman" w:cs="Times New Roman"/>
                <w:color w:val="000000"/>
                <w:sz w:val="14"/>
                <w:szCs w:val="14"/>
              </w:rPr>
              <w:t>8 790 200</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0B5FC6" w:rsidRDefault="007D13F3" w:rsidP="00465CAC">
            <w:pPr>
              <w:jc w:val="right"/>
              <w:rPr>
                <w:rFonts w:ascii="Times New Roman" w:hAnsi="Times New Roman" w:cs="Times New Roman"/>
                <w:color w:val="000000"/>
                <w:sz w:val="14"/>
                <w:szCs w:val="14"/>
              </w:rPr>
            </w:pPr>
            <w:r w:rsidRPr="000B5FC6">
              <w:rPr>
                <w:rFonts w:ascii="Times New Roman" w:hAnsi="Times New Roman" w:cs="Times New Roman"/>
                <w:color w:val="000000"/>
                <w:sz w:val="14"/>
                <w:szCs w:val="14"/>
              </w:rPr>
              <w:t>8 590 320</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0B5FC6" w:rsidRDefault="007D13F3" w:rsidP="00465CAC">
            <w:pPr>
              <w:jc w:val="right"/>
              <w:rPr>
                <w:rFonts w:ascii="Times New Roman" w:hAnsi="Times New Roman" w:cs="Times New Roman"/>
                <w:color w:val="000000"/>
                <w:sz w:val="14"/>
                <w:szCs w:val="14"/>
              </w:rPr>
            </w:pPr>
            <w:r w:rsidRPr="000B5FC6">
              <w:rPr>
                <w:rFonts w:ascii="Times New Roman" w:hAnsi="Times New Roman" w:cs="Times New Roman"/>
                <w:color w:val="000000"/>
                <w:sz w:val="14"/>
                <w:szCs w:val="14"/>
              </w:rPr>
              <w:t>8 587 840</w:t>
            </w:r>
          </w:p>
        </w:tc>
      </w:tr>
      <w:tr w:rsidR="007D13F3" w:rsidRPr="00894616" w:rsidTr="00465CAC">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 xml:space="preserve">Civilné a núdzové plánovanie </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5 175</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5 245</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5 245</w:t>
            </w:r>
          </w:p>
        </w:tc>
        <w:tc>
          <w:tcPr>
            <w:tcW w:w="49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5 245</w:t>
            </w:r>
          </w:p>
        </w:tc>
        <w:tc>
          <w:tcPr>
            <w:tcW w:w="568"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5 245</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5 245</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5 245</w:t>
            </w:r>
          </w:p>
        </w:tc>
      </w:tr>
      <w:tr w:rsidR="007D13F3" w:rsidRPr="00894616" w:rsidTr="00465CAC">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Podpora obrany</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839 230</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653 063</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677 756</w:t>
            </w:r>
          </w:p>
        </w:tc>
        <w:tc>
          <w:tcPr>
            <w:tcW w:w="49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677 756</w:t>
            </w:r>
          </w:p>
        </w:tc>
        <w:tc>
          <w:tcPr>
            <w:tcW w:w="568"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677 756</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800 000</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800 000</w:t>
            </w:r>
          </w:p>
        </w:tc>
      </w:tr>
      <w:tr w:rsidR="007D13F3" w:rsidRPr="00894616" w:rsidTr="00465CAC">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 xml:space="preserve">Hospodárska mobilizácia </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1 616 498</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1 651 220</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1 660 720</w:t>
            </w:r>
          </w:p>
        </w:tc>
        <w:tc>
          <w:tcPr>
            <w:tcW w:w="49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1 660 720</w:t>
            </w:r>
          </w:p>
        </w:tc>
        <w:tc>
          <w:tcPr>
            <w:tcW w:w="568"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1 660 720</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1 660 720</w:t>
            </w:r>
          </w:p>
        </w:tc>
        <w:tc>
          <w:tcPr>
            <w:tcW w:w="519"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1 660 720</w:t>
            </w:r>
          </w:p>
        </w:tc>
      </w:tr>
      <w:tr w:rsidR="007D13F3" w:rsidRPr="00894616" w:rsidTr="00465CAC">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Príspevky SR do MO</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582 055</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581 897</w:t>
            </w:r>
          </w:p>
        </w:tc>
        <w:tc>
          <w:tcPr>
            <w:tcW w:w="49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582 055</w:t>
            </w:r>
          </w:p>
        </w:tc>
        <w:tc>
          <w:tcPr>
            <w:tcW w:w="49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582 055</w:t>
            </w:r>
          </w:p>
        </w:tc>
        <w:tc>
          <w:tcPr>
            <w:tcW w:w="568"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792 225</w:t>
            </w:r>
          </w:p>
        </w:tc>
        <w:tc>
          <w:tcPr>
            <w:tcW w:w="519"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792 225</w:t>
            </w:r>
          </w:p>
        </w:tc>
        <w:tc>
          <w:tcPr>
            <w:tcW w:w="519"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792 225</w:t>
            </w:r>
          </w:p>
        </w:tc>
      </w:tr>
      <w:tr w:rsidR="007D13F3" w:rsidRPr="00894616" w:rsidTr="00465CAC">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894616" w:rsidRDefault="007D13F3" w:rsidP="00465CAC">
            <w:pPr>
              <w:rPr>
                <w:rFonts w:ascii="Times New Roman" w:hAnsi="Times New Roman" w:cs="Times New Roman"/>
                <w:color w:val="000000"/>
                <w:sz w:val="14"/>
                <w:szCs w:val="14"/>
                <w:lang w:eastAsia="sk-SK"/>
              </w:rPr>
            </w:pPr>
            <w:proofErr w:type="spellStart"/>
            <w:r w:rsidRPr="00894616">
              <w:rPr>
                <w:rFonts w:ascii="Times New Roman" w:hAnsi="Times New Roman" w:cs="Times New Roman"/>
                <w:color w:val="000000"/>
                <w:sz w:val="14"/>
                <w:szCs w:val="14"/>
                <w:lang w:eastAsia="sk-SK"/>
              </w:rPr>
              <w:t>Realiz</w:t>
            </w:r>
            <w:proofErr w:type="spellEnd"/>
            <w:r w:rsidRPr="00894616">
              <w:rPr>
                <w:rFonts w:ascii="Times New Roman" w:hAnsi="Times New Roman" w:cs="Times New Roman"/>
                <w:color w:val="000000"/>
                <w:sz w:val="14"/>
                <w:szCs w:val="14"/>
                <w:lang w:eastAsia="sk-SK"/>
              </w:rPr>
              <w:t xml:space="preserve"> II. etapy MZP SZO</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3 830</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20 667</w:t>
            </w:r>
          </w:p>
        </w:tc>
        <w:tc>
          <w:tcPr>
            <w:tcW w:w="49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9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r w:rsidRPr="00894616">
              <w:rPr>
                <w:rFonts w:ascii="Times New Roman" w:hAnsi="Times New Roman" w:cs="Times New Roman"/>
                <w:color w:val="000000"/>
                <w:sz w:val="14"/>
                <w:szCs w:val="14"/>
                <w:lang w:eastAsia="sk-SK"/>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r>
      <w:tr w:rsidR="007D13F3" w:rsidRPr="00894616" w:rsidTr="00465CAC">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SK PRES 2016</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218 820</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400 604</w:t>
            </w:r>
          </w:p>
        </w:tc>
        <w:tc>
          <w:tcPr>
            <w:tcW w:w="49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9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10 113</w:t>
            </w:r>
          </w:p>
        </w:tc>
        <w:tc>
          <w:tcPr>
            <w:tcW w:w="568"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r>
    </w:tbl>
    <w:p w:rsidR="007D13F3" w:rsidRPr="00775C7E" w:rsidRDefault="007D13F3" w:rsidP="007D13F3">
      <w:pPr>
        <w:jc w:val="both"/>
        <w:rPr>
          <w:rFonts w:ascii="Times New Roman" w:hAnsi="Times New Roman" w:cs="Times New Roman"/>
          <w:highlight w:val="yellow"/>
        </w:rPr>
      </w:pPr>
    </w:p>
    <w:p w:rsidR="007D13F3" w:rsidRPr="000B5FC6" w:rsidRDefault="007D13F3" w:rsidP="007D13F3">
      <w:pPr>
        <w:ind w:firstLine="708"/>
        <w:jc w:val="both"/>
        <w:rPr>
          <w:rFonts w:ascii="Times New Roman" w:hAnsi="Times New Roman" w:cs="Times New Roman"/>
        </w:rPr>
      </w:pPr>
      <w:r w:rsidRPr="00661433">
        <w:rPr>
          <w:rFonts w:ascii="Times New Roman" w:hAnsi="Times New Roman" w:cs="Times New Roman"/>
        </w:rPr>
        <w:t>Výdavky na ostatné činnosti sa v roku 201</w:t>
      </w:r>
      <w:r>
        <w:rPr>
          <w:rFonts w:ascii="Times New Roman" w:hAnsi="Times New Roman" w:cs="Times New Roman"/>
        </w:rPr>
        <w:t>8</w:t>
      </w:r>
      <w:r w:rsidRPr="00661433">
        <w:rPr>
          <w:rFonts w:ascii="Times New Roman" w:hAnsi="Times New Roman" w:cs="Times New Roman"/>
        </w:rPr>
        <w:t xml:space="preserve"> navrhujú v sume </w:t>
      </w:r>
      <w:r>
        <w:rPr>
          <w:rFonts w:ascii="Times New Roman" w:hAnsi="Times New Roman" w:cs="Times New Roman"/>
        </w:rPr>
        <w:t>160</w:t>
      </w:r>
      <w:r w:rsidRPr="00661433">
        <w:rPr>
          <w:rFonts w:ascii="Times New Roman" w:hAnsi="Times New Roman" w:cs="Times New Roman"/>
        </w:rPr>
        <w:t xml:space="preserve"> mil. eur a v porovnaní so schváleným rozpočtom roku 201</w:t>
      </w:r>
      <w:r>
        <w:rPr>
          <w:rFonts w:ascii="Times New Roman" w:hAnsi="Times New Roman" w:cs="Times New Roman"/>
        </w:rPr>
        <w:t>7</w:t>
      </w:r>
      <w:r w:rsidRPr="00661433">
        <w:rPr>
          <w:rFonts w:ascii="Times New Roman" w:hAnsi="Times New Roman" w:cs="Times New Roman"/>
        </w:rPr>
        <w:t xml:space="preserve"> sú vyššie  o </w:t>
      </w:r>
      <w:r>
        <w:rPr>
          <w:rFonts w:ascii="Times New Roman" w:hAnsi="Times New Roman" w:cs="Times New Roman"/>
        </w:rPr>
        <w:t>99</w:t>
      </w:r>
      <w:r w:rsidRPr="00661433">
        <w:rPr>
          <w:rFonts w:ascii="Times New Roman" w:hAnsi="Times New Roman" w:cs="Times New Roman"/>
        </w:rPr>
        <w:t>,</w:t>
      </w:r>
      <w:r>
        <w:rPr>
          <w:rFonts w:ascii="Times New Roman" w:hAnsi="Times New Roman" w:cs="Times New Roman"/>
        </w:rPr>
        <w:t>7</w:t>
      </w:r>
      <w:r w:rsidRPr="00661433">
        <w:rPr>
          <w:rFonts w:ascii="Times New Roman" w:hAnsi="Times New Roman" w:cs="Times New Roman"/>
        </w:rPr>
        <w:t xml:space="preserve"> mil. eur, t. j</w:t>
      </w:r>
      <w:r w:rsidR="00664ACC">
        <w:rPr>
          <w:rFonts w:ascii="Times New Roman" w:hAnsi="Times New Roman" w:cs="Times New Roman"/>
        </w:rPr>
        <w:t>.</w:t>
      </w:r>
      <w:r w:rsidRPr="00661433">
        <w:rPr>
          <w:rFonts w:ascii="Times New Roman" w:hAnsi="Times New Roman" w:cs="Times New Roman"/>
        </w:rPr>
        <w:t xml:space="preserve"> o </w:t>
      </w:r>
      <w:r>
        <w:rPr>
          <w:rFonts w:ascii="Times New Roman" w:hAnsi="Times New Roman" w:cs="Times New Roman"/>
        </w:rPr>
        <w:t>166</w:t>
      </w:r>
      <w:r w:rsidRPr="00661433">
        <w:rPr>
          <w:rFonts w:ascii="Times New Roman" w:hAnsi="Times New Roman" w:cs="Times New Roman"/>
        </w:rPr>
        <w:t xml:space="preserve"> %</w:t>
      </w:r>
      <w:r>
        <w:rPr>
          <w:rFonts w:ascii="Times New Roman" w:hAnsi="Times New Roman" w:cs="Times New Roman"/>
        </w:rPr>
        <w:t>, z dôvodu</w:t>
      </w:r>
      <w:r w:rsidRPr="00661433">
        <w:rPr>
          <w:rFonts w:ascii="Times New Roman" w:hAnsi="Times New Roman" w:cs="Times New Roman"/>
        </w:rPr>
        <w:t xml:space="preserve"> </w:t>
      </w:r>
      <w:r w:rsidRPr="00382FCF">
        <w:rPr>
          <w:rFonts w:ascii="Times New Roman" w:hAnsi="Times New Roman" w:cs="Times New Roman"/>
        </w:rPr>
        <w:t xml:space="preserve">premietnutia </w:t>
      </w:r>
      <w:r w:rsidRPr="00661433">
        <w:rPr>
          <w:rFonts w:ascii="Times New Roman" w:hAnsi="Times New Roman" w:cs="Times New Roman"/>
        </w:rPr>
        <w:t>valorizácie miezd</w:t>
      </w:r>
      <w:r>
        <w:rPr>
          <w:rFonts w:ascii="Times New Roman" w:hAnsi="Times New Roman" w:cs="Times New Roman"/>
        </w:rPr>
        <w:t xml:space="preserve"> z roku 2017,</w:t>
      </w:r>
      <w:r w:rsidRPr="00661433">
        <w:rPr>
          <w:rFonts w:ascii="Times New Roman" w:hAnsi="Times New Roman" w:cs="Times New Roman"/>
        </w:rPr>
        <w:t> </w:t>
      </w:r>
      <w:r w:rsidRPr="00382FCF">
        <w:rPr>
          <w:rFonts w:ascii="Times New Roman" w:hAnsi="Times New Roman" w:cs="Times New Roman"/>
        </w:rPr>
        <w:t>zvýšeni</w:t>
      </w:r>
      <w:r>
        <w:rPr>
          <w:rFonts w:ascii="Times New Roman" w:hAnsi="Times New Roman" w:cs="Times New Roman"/>
        </w:rPr>
        <w:t>a</w:t>
      </w:r>
      <w:r w:rsidRPr="00382FCF">
        <w:rPr>
          <w:rFonts w:ascii="Times New Roman" w:hAnsi="Times New Roman" w:cs="Times New Roman"/>
        </w:rPr>
        <w:t xml:space="preserve"> počtu pracovníkov v súvislosti s vytvorením funkcie splnomocnenca vlády SR pre rýchlostné cesty</w:t>
      </w:r>
      <w:r>
        <w:rPr>
          <w:rFonts w:ascii="Times New Roman" w:hAnsi="Times New Roman" w:cs="Times New Roman"/>
        </w:rPr>
        <w:t>,</w:t>
      </w:r>
      <w:r w:rsidRPr="00382FCF">
        <w:rPr>
          <w:rFonts w:ascii="Times New Roman" w:hAnsi="Times New Roman" w:cs="Times New Roman"/>
        </w:rPr>
        <w:t> delimitáci</w:t>
      </w:r>
      <w:r>
        <w:rPr>
          <w:rFonts w:ascii="Times New Roman" w:hAnsi="Times New Roman" w:cs="Times New Roman"/>
        </w:rPr>
        <w:t>e</w:t>
      </w:r>
      <w:r w:rsidRPr="00382FCF">
        <w:rPr>
          <w:rFonts w:ascii="Times New Roman" w:hAnsi="Times New Roman" w:cs="Times New Roman"/>
        </w:rPr>
        <w:t xml:space="preserve"> časti pracovníkov zo zrušenej príspevkovej organizácie SACR do úradu ministerstva</w:t>
      </w:r>
      <w:r>
        <w:rPr>
          <w:rFonts w:ascii="Times New Roman" w:hAnsi="Times New Roman" w:cs="Times New Roman"/>
        </w:rPr>
        <w:t xml:space="preserve">, </w:t>
      </w:r>
      <w:r>
        <w:rPr>
          <w:rFonts w:ascii="Times New Roman" w:hAnsi="Times New Roman" w:cs="Times New Roman"/>
          <w:lang w:eastAsia="en-US"/>
        </w:rPr>
        <w:t>dopadov vyplývajúcich z novely zákona o elektronických komunikáciách, z novely zákona o podmienkach prevádzky v premávke na pozemných komunikáciách a</w:t>
      </w:r>
      <w:r w:rsidRPr="00616A08">
        <w:rPr>
          <w:rFonts w:ascii="Times New Roman" w:hAnsi="Times New Roman" w:cs="Times New Roman"/>
          <w:lang w:eastAsia="en-US"/>
        </w:rPr>
        <w:t xml:space="preserve"> zo smerníc Európskeho parlamentu a</w:t>
      </w:r>
      <w:r>
        <w:rPr>
          <w:rFonts w:ascii="Times New Roman" w:hAnsi="Times New Roman" w:cs="Times New Roman"/>
          <w:lang w:eastAsia="en-US"/>
        </w:rPr>
        <w:t> </w:t>
      </w:r>
      <w:r w:rsidRPr="00616A08">
        <w:rPr>
          <w:rFonts w:ascii="Times New Roman" w:hAnsi="Times New Roman" w:cs="Times New Roman"/>
          <w:lang w:eastAsia="en-US"/>
        </w:rPr>
        <w:t>Rady</w:t>
      </w:r>
      <w:r>
        <w:rPr>
          <w:rFonts w:ascii="Times New Roman" w:hAnsi="Times New Roman" w:cs="Times New Roman"/>
          <w:lang w:eastAsia="en-US"/>
        </w:rPr>
        <w:t>,</w:t>
      </w:r>
      <w:r>
        <w:rPr>
          <w:rFonts w:ascii="Times New Roman" w:hAnsi="Times New Roman" w:cs="Times New Roman"/>
        </w:rPr>
        <w:t xml:space="preserve"> na prenesený výkon štátnej správy na úseku stavebného poriadku a na</w:t>
      </w:r>
      <w:r w:rsidRPr="000B5FC6">
        <w:rPr>
          <w:rFonts w:ascii="Times New Roman" w:hAnsi="Times New Roman" w:cs="Times New Roman"/>
        </w:rPr>
        <w:t xml:space="preserve"> plneni</w:t>
      </w:r>
      <w:r>
        <w:rPr>
          <w:rFonts w:ascii="Times New Roman" w:hAnsi="Times New Roman" w:cs="Times New Roman"/>
        </w:rPr>
        <w:t>e</w:t>
      </w:r>
      <w:r w:rsidRPr="000B5FC6">
        <w:rPr>
          <w:rFonts w:ascii="Times New Roman" w:hAnsi="Times New Roman" w:cs="Times New Roman"/>
        </w:rPr>
        <w:t xml:space="preserve"> úloh vyplývajúcich z rezortných politík v oblasti výstavby a modernizácie dopravnej infraštruktúry</w:t>
      </w:r>
      <w:r>
        <w:rPr>
          <w:rFonts w:ascii="Times New Roman" w:hAnsi="Times New Roman" w:cs="Times New Roman"/>
        </w:rPr>
        <w:t xml:space="preserve">, </w:t>
      </w:r>
      <w:r w:rsidRPr="000B5FC6">
        <w:rPr>
          <w:rFonts w:ascii="Times New Roman" w:hAnsi="Times New Roman" w:cs="Times New Roman"/>
        </w:rPr>
        <w:t>podpor</w:t>
      </w:r>
      <w:r>
        <w:rPr>
          <w:rFonts w:ascii="Times New Roman" w:hAnsi="Times New Roman" w:cs="Times New Roman"/>
        </w:rPr>
        <w:t>y</w:t>
      </w:r>
      <w:r w:rsidRPr="000B5FC6">
        <w:rPr>
          <w:rFonts w:ascii="Times New Roman" w:hAnsi="Times New Roman" w:cs="Times New Roman"/>
        </w:rPr>
        <w:t xml:space="preserve"> moderných a efektívnych spôsobov dopravy</w:t>
      </w:r>
      <w:r>
        <w:rPr>
          <w:rFonts w:ascii="Times New Roman" w:hAnsi="Times New Roman" w:cs="Times New Roman"/>
        </w:rPr>
        <w:t xml:space="preserve">, </w:t>
      </w:r>
      <w:r w:rsidRPr="000B5FC6">
        <w:rPr>
          <w:rFonts w:ascii="Times New Roman" w:hAnsi="Times New Roman" w:cs="Times New Roman"/>
        </w:rPr>
        <w:t>zlepšovanie energetickej hospodárnosti budov</w:t>
      </w:r>
      <w:r>
        <w:rPr>
          <w:rFonts w:ascii="Times New Roman" w:hAnsi="Times New Roman" w:cs="Times New Roman"/>
        </w:rPr>
        <w:t xml:space="preserve"> a podpory produktov cestovného ruchu. Zvýšenie výdavkov na informačné technológie financované zo štátneho rozpočtu je spôsobené zmenou rozpočtovania a vykazovania výdavkov na tento účel za celú kapitolu na jednom medzirezortnom podprograme, v ktorom sú osobitne sledované výdavky na informačné technológie za všetky organizácie v rámci kapitoly. </w:t>
      </w:r>
      <w:r w:rsidRPr="000B5FC6">
        <w:rPr>
          <w:rFonts w:ascii="Times New Roman" w:hAnsi="Times New Roman" w:cs="Times New Roman"/>
        </w:rPr>
        <w:t xml:space="preserve"> </w:t>
      </w:r>
      <w:r>
        <w:rPr>
          <w:rFonts w:ascii="Times New Roman" w:hAnsi="Times New Roman" w:cs="Times New Roman"/>
        </w:rPr>
        <w:t xml:space="preserve"> </w:t>
      </w:r>
    </w:p>
    <w:p w:rsidR="007D13F3" w:rsidRPr="00775C7E" w:rsidRDefault="007D13F3" w:rsidP="007D13F3">
      <w:pPr>
        <w:ind w:firstLine="708"/>
        <w:jc w:val="both"/>
        <w:rPr>
          <w:rFonts w:ascii="Times New Roman" w:hAnsi="Times New Roman" w:cs="Times New Roman"/>
          <w:highlight w:val="yellow"/>
          <w:lang w:eastAsia="en-US"/>
        </w:rPr>
      </w:pPr>
      <w:r>
        <w:rPr>
          <w:rFonts w:ascii="Times New Roman" w:hAnsi="Times New Roman" w:cs="Times New Roman"/>
        </w:rPr>
        <w:t xml:space="preserve"> </w:t>
      </w:r>
    </w:p>
    <w:p w:rsidR="007D13F3" w:rsidRDefault="007D13F3" w:rsidP="007D13F3">
      <w:pPr>
        <w:ind w:firstLine="708"/>
        <w:jc w:val="both"/>
        <w:rPr>
          <w:rFonts w:ascii="Times New Roman" w:hAnsi="Times New Roman" w:cs="Times New Roman"/>
        </w:rPr>
      </w:pPr>
      <w:r w:rsidRPr="00262B5E">
        <w:rPr>
          <w:rFonts w:ascii="Times New Roman" w:hAnsi="Times New Roman" w:cs="Times New Roman"/>
        </w:rPr>
        <w:t xml:space="preserve">Z uvedenej sumy na podprogramy, ktoré kapitola rieši ako účastník medzirezortného programu, sa rozpočtujú výdavky v sume </w:t>
      </w:r>
      <w:r>
        <w:rPr>
          <w:rFonts w:ascii="Times New Roman" w:hAnsi="Times New Roman" w:cs="Times New Roman"/>
        </w:rPr>
        <w:t>11</w:t>
      </w:r>
      <w:r w:rsidRPr="00262B5E">
        <w:rPr>
          <w:rFonts w:ascii="Times New Roman" w:hAnsi="Times New Roman" w:cs="Times New Roman"/>
        </w:rPr>
        <w:t>,</w:t>
      </w:r>
      <w:r>
        <w:rPr>
          <w:rFonts w:ascii="Times New Roman" w:hAnsi="Times New Roman" w:cs="Times New Roman"/>
        </w:rPr>
        <w:t>9</w:t>
      </w:r>
      <w:r w:rsidRPr="00262B5E">
        <w:rPr>
          <w:rFonts w:ascii="Times New Roman" w:hAnsi="Times New Roman" w:cs="Times New Roman"/>
        </w:rPr>
        <w:t xml:space="preserve"> mil. eur. Uvedené výdavky sú určené </w:t>
      </w:r>
      <w:r w:rsidR="00664ACC">
        <w:rPr>
          <w:rFonts w:ascii="Times New Roman" w:hAnsi="Times New Roman" w:cs="Times New Roman"/>
        </w:rPr>
        <w:t>na</w:t>
      </w:r>
      <w:r w:rsidRPr="00262B5E">
        <w:rPr>
          <w:rFonts w:ascii="Times New Roman" w:hAnsi="Times New Roman" w:cs="Times New Roman"/>
        </w:rPr>
        <w:t xml:space="preserve"> podprogramy Informačné technológie financované zo štátneho rozpočtu, Civilné a núdzové plánovanie, </w:t>
      </w:r>
      <w:r>
        <w:rPr>
          <w:rFonts w:ascii="Times New Roman" w:hAnsi="Times New Roman" w:cs="Times New Roman"/>
        </w:rPr>
        <w:t>Podpora obrany</w:t>
      </w:r>
      <w:r w:rsidRPr="00262B5E">
        <w:rPr>
          <w:rFonts w:ascii="Times New Roman" w:hAnsi="Times New Roman" w:cs="Times New Roman"/>
        </w:rPr>
        <w:t>, Hospodárska mobilizácia a Príspevky SR do medzinárodných organizácií.</w:t>
      </w:r>
    </w:p>
    <w:p w:rsidR="007D13F3" w:rsidRDefault="007D13F3" w:rsidP="007D13F3">
      <w:pPr>
        <w:spacing w:after="160" w:line="259" w:lineRule="auto"/>
        <w:rPr>
          <w:rFonts w:ascii="Times New Roman" w:hAnsi="Times New Roman" w:cs="Times New Roman"/>
          <w:highlight w:val="yellow"/>
        </w:rPr>
      </w:pPr>
      <w:r>
        <w:rPr>
          <w:rFonts w:ascii="Times New Roman" w:hAnsi="Times New Roman" w:cs="Times New Roman"/>
          <w:highlight w:val="yellow"/>
        </w:rPr>
        <w:br w:type="page"/>
      </w:r>
    </w:p>
    <w:p w:rsidR="007D13F3" w:rsidRPr="00AE59F7" w:rsidRDefault="007D13F3" w:rsidP="007D13F3">
      <w:pPr>
        <w:jc w:val="both"/>
        <w:rPr>
          <w:rFonts w:ascii="Times New Roman" w:hAnsi="Times New Roman" w:cs="Times New Roman"/>
          <w:i/>
          <w:u w:val="single"/>
        </w:rPr>
      </w:pPr>
      <w:r w:rsidRPr="00AE59F7">
        <w:rPr>
          <w:rFonts w:ascii="Times New Roman" w:hAnsi="Times New Roman" w:cs="Times New Roman"/>
          <w:i/>
          <w:u w:val="single"/>
        </w:rPr>
        <w:lastRenderedPageBreak/>
        <w:t>Tvorba a implementácia politík</w:t>
      </w:r>
    </w:p>
    <w:p w:rsidR="007D13F3" w:rsidRDefault="007D13F3" w:rsidP="007D13F3">
      <w:pPr>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3305"/>
        <w:gridCol w:w="822"/>
        <w:gridCol w:w="823"/>
        <w:gridCol w:w="823"/>
        <w:gridCol w:w="823"/>
        <w:gridCol w:w="840"/>
        <w:gridCol w:w="823"/>
        <w:gridCol w:w="803"/>
      </w:tblGrid>
      <w:tr w:rsidR="007D13F3" w:rsidRPr="00894616" w:rsidTr="00465CAC">
        <w:trPr>
          <w:trHeight w:val="300"/>
        </w:trPr>
        <w:tc>
          <w:tcPr>
            <w:tcW w:w="182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894616" w:rsidRDefault="007D13F3" w:rsidP="00465CAC">
            <w:pP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894616">
              <w:rPr>
                <w:rFonts w:ascii="Times New Roman" w:hAnsi="Times New Roman" w:cs="Times New Roman"/>
                <w:b/>
                <w:bCs/>
                <w:color w:val="000000"/>
                <w:sz w:val="14"/>
                <w:szCs w:val="14"/>
                <w:lang w:eastAsia="sk-SK"/>
              </w:rPr>
              <w:t>eurách</w:t>
            </w:r>
          </w:p>
        </w:tc>
        <w:tc>
          <w:tcPr>
            <w:tcW w:w="45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94616" w:rsidRDefault="007D13F3" w:rsidP="00465CAC">
            <w:pPr>
              <w:jc w:val="cente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2015 S</w:t>
            </w:r>
          </w:p>
        </w:tc>
        <w:tc>
          <w:tcPr>
            <w:tcW w:w="45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94616" w:rsidRDefault="007D13F3" w:rsidP="00465CAC">
            <w:pPr>
              <w:jc w:val="cente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2016 S</w:t>
            </w:r>
          </w:p>
        </w:tc>
        <w:tc>
          <w:tcPr>
            <w:tcW w:w="45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94616" w:rsidRDefault="007D13F3" w:rsidP="00465CAC">
            <w:pPr>
              <w:jc w:val="cente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2017 R</w:t>
            </w:r>
          </w:p>
        </w:tc>
        <w:tc>
          <w:tcPr>
            <w:tcW w:w="45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94616" w:rsidRDefault="007D13F3" w:rsidP="00465CAC">
            <w:pPr>
              <w:jc w:val="cente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2017 OS</w:t>
            </w:r>
          </w:p>
        </w:tc>
        <w:tc>
          <w:tcPr>
            <w:tcW w:w="46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94616" w:rsidRDefault="007D13F3" w:rsidP="00465CAC">
            <w:pPr>
              <w:jc w:val="cente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2018 N</w:t>
            </w:r>
          </w:p>
        </w:tc>
        <w:tc>
          <w:tcPr>
            <w:tcW w:w="45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94616" w:rsidRDefault="007D13F3" w:rsidP="00465CAC">
            <w:pPr>
              <w:jc w:val="cente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2019 N</w:t>
            </w:r>
          </w:p>
        </w:tc>
        <w:tc>
          <w:tcPr>
            <w:tcW w:w="44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94616" w:rsidRDefault="007D13F3" w:rsidP="00465CAC">
            <w:pPr>
              <w:jc w:val="cente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2020 N</w:t>
            </w:r>
          </w:p>
        </w:tc>
      </w:tr>
      <w:tr w:rsidR="007D13F3" w:rsidRPr="00894616" w:rsidTr="00465CAC">
        <w:trPr>
          <w:trHeight w:hRule="exact" w:val="284"/>
        </w:trPr>
        <w:tc>
          <w:tcPr>
            <w:tcW w:w="1824"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7D13F3" w:rsidRPr="00894616" w:rsidRDefault="007D13F3" w:rsidP="00465CAC">
            <w:pP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Tvorba a implementácia politík</w:t>
            </w:r>
          </w:p>
        </w:tc>
        <w:tc>
          <w:tcPr>
            <w:tcW w:w="454"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894616" w:rsidRDefault="007D13F3" w:rsidP="00465CAC">
            <w:pPr>
              <w:jc w:val="right"/>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51 328 884</w:t>
            </w:r>
          </w:p>
        </w:tc>
        <w:tc>
          <w:tcPr>
            <w:tcW w:w="454"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894616" w:rsidRDefault="007D13F3" w:rsidP="00465CAC">
            <w:pPr>
              <w:jc w:val="right"/>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57 863 090</w:t>
            </w:r>
          </w:p>
        </w:tc>
        <w:tc>
          <w:tcPr>
            <w:tcW w:w="454"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894616" w:rsidRDefault="007D13F3" w:rsidP="00465CAC">
            <w:pPr>
              <w:jc w:val="right"/>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53 401 645</w:t>
            </w:r>
          </w:p>
        </w:tc>
        <w:tc>
          <w:tcPr>
            <w:tcW w:w="454"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894616" w:rsidRDefault="007D13F3" w:rsidP="00465CAC">
            <w:pPr>
              <w:jc w:val="right"/>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5</w:t>
            </w:r>
            <w:r>
              <w:rPr>
                <w:rFonts w:ascii="Times New Roman" w:hAnsi="Times New Roman" w:cs="Times New Roman"/>
                <w:b/>
                <w:bCs/>
                <w:color w:val="000000"/>
                <w:sz w:val="14"/>
                <w:szCs w:val="14"/>
                <w:lang w:eastAsia="sk-SK"/>
              </w:rPr>
              <w:t>2</w:t>
            </w:r>
            <w:r w:rsidRPr="00894616">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607</w:t>
            </w:r>
            <w:r w:rsidRPr="00894616">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663</w:t>
            </w:r>
          </w:p>
        </w:tc>
        <w:tc>
          <w:tcPr>
            <w:tcW w:w="463"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E8528B" w:rsidRDefault="007D13F3" w:rsidP="00465CAC">
            <w:pPr>
              <w:jc w:val="right"/>
              <w:rPr>
                <w:rFonts w:ascii="Times New Roman" w:hAnsi="Times New Roman" w:cs="Times New Roman"/>
                <w:b/>
                <w:bCs/>
                <w:color w:val="000000"/>
                <w:sz w:val="14"/>
                <w:szCs w:val="14"/>
                <w:lang w:eastAsia="sk-SK"/>
              </w:rPr>
            </w:pPr>
            <w:r w:rsidRPr="00E8528B">
              <w:rPr>
                <w:rFonts w:ascii="Times New Roman" w:hAnsi="Times New Roman" w:cs="Times New Roman"/>
                <w:b/>
                <w:bCs/>
                <w:color w:val="000000"/>
                <w:sz w:val="14"/>
                <w:szCs w:val="14"/>
              </w:rPr>
              <w:t>147 867 091</w:t>
            </w:r>
          </w:p>
        </w:tc>
        <w:tc>
          <w:tcPr>
            <w:tcW w:w="454"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E8528B" w:rsidRDefault="007D13F3" w:rsidP="00465CAC">
            <w:pPr>
              <w:jc w:val="right"/>
              <w:rPr>
                <w:rFonts w:ascii="Times New Roman" w:hAnsi="Times New Roman" w:cs="Times New Roman"/>
                <w:b/>
                <w:bCs/>
                <w:color w:val="000000"/>
                <w:sz w:val="14"/>
                <w:szCs w:val="14"/>
              </w:rPr>
            </w:pPr>
            <w:r w:rsidRPr="00E8528B">
              <w:rPr>
                <w:rFonts w:ascii="Times New Roman" w:hAnsi="Times New Roman" w:cs="Times New Roman"/>
                <w:b/>
                <w:bCs/>
                <w:color w:val="000000"/>
                <w:sz w:val="14"/>
                <w:szCs w:val="14"/>
              </w:rPr>
              <w:t>55 274 634</w:t>
            </w:r>
          </w:p>
        </w:tc>
        <w:tc>
          <w:tcPr>
            <w:tcW w:w="444"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7D13F3" w:rsidRPr="00E8528B" w:rsidRDefault="007D13F3" w:rsidP="00465CAC">
            <w:pPr>
              <w:jc w:val="right"/>
              <w:rPr>
                <w:rFonts w:ascii="Times New Roman" w:hAnsi="Times New Roman" w:cs="Times New Roman"/>
                <w:b/>
                <w:bCs/>
                <w:color w:val="000000"/>
                <w:sz w:val="14"/>
                <w:szCs w:val="14"/>
              </w:rPr>
            </w:pPr>
            <w:r w:rsidRPr="00E8528B">
              <w:rPr>
                <w:rFonts w:ascii="Times New Roman" w:hAnsi="Times New Roman" w:cs="Times New Roman"/>
                <w:b/>
                <w:bCs/>
                <w:color w:val="000000"/>
                <w:sz w:val="14"/>
                <w:szCs w:val="14"/>
              </w:rPr>
              <w:t>55 347 459</w:t>
            </w:r>
          </w:p>
        </w:tc>
      </w:tr>
      <w:tr w:rsidR="007D13F3" w:rsidRPr="00894616" w:rsidTr="00465CAC">
        <w:trPr>
          <w:trHeight w:hRule="exact" w:val="284"/>
        </w:trPr>
        <w:tc>
          <w:tcPr>
            <w:tcW w:w="1824" w:type="pct"/>
            <w:tcBorders>
              <w:top w:val="nil"/>
              <w:left w:val="single" w:sz="4" w:space="0" w:color="auto"/>
              <w:bottom w:val="single" w:sz="4" w:space="0" w:color="auto"/>
              <w:right w:val="single" w:sz="4" w:space="0" w:color="auto"/>
            </w:tcBorders>
            <w:shd w:val="clear" w:color="auto" w:fill="auto"/>
            <w:noWrap/>
            <w:vAlign w:val="bottom"/>
            <w:hideMark/>
          </w:tcPr>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Ústredný orgán MDV SR</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21 245 058</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24 911 252</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20 399 800</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0</w:t>
            </w:r>
            <w:r w:rsidRPr="00894616">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510</w:t>
            </w:r>
            <w:r w:rsidRPr="00894616">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596</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22 569 922</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22 511 631</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22 532 797</w:t>
            </w:r>
          </w:p>
        </w:tc>
      </w:tr>
      <w:tr w:rsidR="007D13F3" w:rsidRPr="00894616" w:rsidTr="00465CAC">
        <w:trPr>
          <w:trHeight w:hRule="exact" w:val="284"/>
        </w:trPr>
        <w:tc>
          <w:tcPr>
            <w:tcW w:w="1824" w:type="pct"/>
            <w:tcBorders>
              <w:top w:val="nil"/>
              <w:left w:val="single" w:sz="4" w:space="0" w:color="auto"/>
              <w:bottom w:val="single" w:sz="4" w:space="0" w:color="auto"/>
              <w:right w:val="single" w:sz="4" w:space="0" w:color="auto"/>
            </w:tcBorders>
            <w:shd w:val="clear" w:color="auto" w:fill="auto"/>
            <w:noWrap/>
            <w:vAlign w:val="bottom"/>
            <w:hideMark/>
          </w:tcPr>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Dopravný úrad</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4 540 534</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5 204 327</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4 887 744</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5 029 264</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5 315 880</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5 315 880</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5 315 880</w:t>
            </w:r>
          </w:p>
        </w:tc>
      </w:tr>
      <w:tr w:rsidR="007D13F3" w:rsidRPr="00894616" w:rsidTr="00465CAC">
        <w:trPr>
          <w:trHeight w:val="300"/>
        </w:trPr>
        <w:tc>
          <w:tcPr>
            <w:tcW w:w="1824" w:type="pct"/>
            <w:tcBorders>
              <w:top w:val="nil"/>
              <w:left w:val="single" w:sz="4" w:space="0" w:color="auto"/>
              <w:bottom w:val="single" w:sz="4" w:space="0" w:color="auto"/>
              <w:right w:val="single" w:sz="4" w:space="0" w:color="auto"/>
            </w:tcBorders>
            <w:shd w:val="clear" w:color="auto" w:fill="auto"/>
            <w:noWrap/>
            <w:vAlign w:val="bottom"/>
            <w:hideMark/>
          </w:tcPr>
          <w:p w:rsidR="007D13F3"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Úrad pre reguláciu elektronických komunikácií</w:t>
            </w:r>
          </w:p>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 xml:space="preserve"> a poštových služieb</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4 398 681</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4 628 725</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5 939 396</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5 939 396</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5 446 283</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5 712 117</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5 763 776</w:t>
            </w:r>
          </w:p>
        </w:tc>
      </w:tr>
      <w:tr w:rsidR="007D13F3" w:rsidRPr="00894616" w:rsidTr="00465CAC">
        <w:trPr>
          <w:trHeight w:hRule="exact" w:val="284"/>
        </w:trPr>
        <w:tc>
          <w:tcPr>
            <w:tcW w:w="1824" w:type="pct"/>
            <w:tcBorders>
              <w:top w:val="nil"/>
              <w:left w:val="single" w:sz="4" w:space="0" w:color="auto"/>
              <w:bottom w:val="single" w:sz="4" w:space="0" w:color="auto"/>
              <w:right w:val="single" w:sz="4" w:space="0" w:color="auto"/>
            </w:tcBorders>
            <w:shd w:val="clear" w:color="auto" w:fill="auto"/>
            <w:noWrap/>
            <w:vAlign w:val="bottom"/>
            <w:hideMark/>
          </w:tcPr>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Slovenská stavebná inšpekcia</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533 497</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690 024</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827 705</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827 705</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828 184</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828 184</w:t>
            </w:r>
          </w:p>
        </w:tc>
        <w:tc>
          <w:tcPr>
            <w:tcW w:w="444" w:type="pct"/>
            <w:tcBorders>
              <w:top w:val="nil"/>
              <w:left w:val="nil"/>
              <w:bottom w:val="single" w:sz="4" w:space="0" w:color="auto"/>
              <w:right w:val="single" w:sz="4" w:space="0" w:color="auto"/>
            </w:tcBorders>
            <w:shd w:val="clear" w:color="auto" w:fill="auto"/>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828 184</w:t>
            </w:r>
          </w:p>
        </w:tc>
      </w:tr>
      <w:tr w:rsidR="007D13F3" w:rsidRPr="00894616" w:rsidTr="00465CAC">
        <w:trPr>
          <w:trHeight w:hRule="exact" w:val="284"/>
        </w:trPr>
        <w:tc>
          <w:tcPr>
            <w:tcW w:w="1824" w:type="pct"/>
            <w:tcBorders>
              <w:top w:val="nil"/>
              <w:left w:val="single" w:sz="4" w:space="0" w:color="auto"/>
              <w:bottom w:val="single" w:sz="4" w:space="0" w:color="auto"/>
              <w:right w:val="single" w:sz="4" w:space="0" w:color="auto"/>
            </w:tcBorders>
            <w:shd w:val="clear" w:color="auto" w:fill="auto"/>
            <w:noWrap/>
            <w:vAlign w:val="bottom"/>
            <w:hideMark/>
          </w:tcPr>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Prenesený výkon štátnej správy</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6 429 470</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6 435 901</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6 503 665</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6 503 665</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7 503 665</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7 503 665</w:t>
            </w:r>
          </w:p>
        </w:tc>
        <w:tc>
          <w:tcPr>
            <w:tcW w:w="444" w:type="pct"/>
            <w:tcBorders>
              <w:top w:val="nil"/>
              <w:left w:val="nil"/>
              <w:bottom w:val="single" w:sz="4" w:space="0" w:color="auto"/>
              <w:right w:val="single" w:sz="4" w:space="0" w:color="auto"/>
            </w:tcBorders>
            <w:shd w:val="clear" w:color="000000" w:fill="FFFFFF"/>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7 503 665</w:t>
            </w:r>
          </w:p>
        </w:tc>
      </w:tr>
      <w:tr w:rsidR="007D13F3" w:rsidRPr="00894616" w:rsidTr="00465CAC">
        <w:trPr>
          <w:trHeight w:hRule="exact" w:val="284"/>
        </w:trPr>
        <w:tc>
          <w:tcPr>
            <w:tcW w:w="1824" w:type="pct"/>
            <w:tcBorders>
              <w:top w:val="nil"/>
              <w:left w:val="single" w:sz="4" w:space="0" w:color="auto"/>
              <w:bottom w:val="single" w:sz="4" w:space="0" w:color="auto"/>
              <w:right w:val="single" w:sz="4" w:space="0" w:color="auto"/>
            </w:tcBorders>
            <w:shd w:val="clear" w:color="auto" w:fill="auto"/>
            <w:noWrap/>
            <w:vAlign w:val="bottom"/>
            <w:hideMark/>
          </w:tcPr>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Poštová univerzálna služba</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11 452 049</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12 023 669</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12 000 000</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12 000 000</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12 000 000</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12 000 000</w:t>
            </w:r>
          </w:p>
        </w:tc>
        <w:tc>
          <w:tcPr>
            <w:tcW w:w="444" w:type="pct"/>
            <w:tcBorders>
              <w:top w:val="nil"/>
              <w:left w:val="nil"/>
              <w:bottom w:val="single" w:sz="4" w:space="0" w:color="auto"/>
              <w:right w:val="single" w:sz="4" w:space="0" w:color="auto"/>
            </w:tcBorders>
            <w:shd w:val="clear" w:color="000000" w:fill="FFFFFF"/>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12 000 000</w:t>
            </w:r>
          </w:p>
        </w:tc>
      </w:tr>
      <w:tr w:rsidR="007D13F3" w:rsidRPr="00894616" w:rsidTr="00465CAC">
        <w:trPr>
          <w:trHeight w:hRule="exact" w:val="284"/>
        </w:trPr>
        <w:tc>
          <w:tcPr>
            <w:tcW w:w="1824" w:type="pct"/>
            <w:tcBorders>
              <w:top w:val="nil"/>
              <w:left w:val="single" w:sz="4" w:space="0" w:color="auto"/>
              <w:bottom w:val="single" w:sz="4" w:space="0" w:color="auto"/>
              <w:right w:val="single" w:sz="4" w:space="0" w:color="auto"/>
            </w:tcBorders>
            <w:shd w:val="clear" w:color="auto" w:fill="auto"/>
            <w:noWrap/>
            <w:vAlign w:val="bottom"/>
            <w:hideMark/>
          </w:tcPr>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Podpora integrovanej siete RRA</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774 317</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832 634</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832 634</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4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r>
      <w:tr w:rsidR="007D13F3" w:rsidRPr="00894616" w:rsidTr="00465CAC">
        <w:trPr>
          <w:trHeight w:hRule="exact" w:val="284"/>
        </w:trPr>
        <w:tc>
          <w:tcPr>
            <w:tcW w:w="1824" w:type="pct"/>
            <w:tcBorders>
              <w:top w:val="nil"/>
              <w:left w:val="single" w:sz="4" w:space="0" w:color="auto"/>
              <w:bottom w:val="single" w:sz="4" w:space="0" w:color="auto"/>
              <w:right w:val="single" w:sz="4" w:space="0" w:color="auto"/>
            </w:tcBorders>
            <w:shd w:val="clear" w:color="auto" w:fill="auto"/>
            <w:noWrap/>
            <w:vAlign w:val="bottom"/>
            <w:hideMark/>
          </w:tcPr>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Podpora na projekty Euroregiónov</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459 122</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204 587</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277 544</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4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r>
      <w:tr w:rsidR="007D13F3" w:rsidRPr="00894616" w:rsidTr="00465CAC">
        <w:trPr>
          <w:trHeight w:hRule="exact" w:val="284"/>
        </w:trPr>
        <w:tc>
          <w:tcPr>
            <w:tcW w:w="1824" w:type="pct"/>
            <w:tcBorders>
              <w:top w:val="nil"/>
              <w:left w:val="single" w:sz="4" w:space="0" w:color="auto"/>
              <w:bottom w:val="single" w:sz="4" w:space="0" w:color="auto"/>
              <w:right w:val="single" w:sz="4" w:space="0" w:color="auto"/>
            </w:tcBorders>
            <w:shd w:val="clear" w:color="auto" w:fill="auto"/>
            <w:noWrap/>
            <w:vAlign w:val="bottom"/>
            <w:hideMark/>
          </w:tcPr>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Program podpory územného rozvoja obcí a miest</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679 061</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548 899</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610 000</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610 000</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610 000</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610 000</w:t>
            </w:r>
          </w:p>
        </w:tc>
        <w:tc>
          <w:tcPr>
            <w:tcW w:w="444" w:type="pct"/>
            <w:tcBorders>
              <w:top w:val="nil"/>
              <w:left w:val="nil"/>
              <w:bottom w:val="single" w:sz="4" w:space="0" w:color="auto"/>
              <w:right w:val="single" w:sz="4" w:space="0" w:color="auto"/>
            </w:tcBorders>
            <w:shd w:val="clear" w:color="000000" w:fill="FFFFFF"/>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610 000</w:t>
            </w:r>
          </w:p>
        </w:tc>
      </w:tr>
      <w:tr w:rsidR="007D13F3" w:rsidRPr="00894616" w:rsidTr="00465CAC">
        <w:trPr>
          <w:trHeight w:hRule="exact" w:val="284"/>
        </w:trPr>
        <w:tc>
          <w:tcPr>
            <w:tcW w:w="1824" w:type="pct"/>
            <w:tcBorders>
              <w:top w:val="nil"/>
              <w:left w:val="single" w:sz="4" w:space="0" w:color="auto"/>
              <w:bottom w:val="single" w:sz="4" w:space="0" w:color="auto"/>
              <w:right w:val="single" w:sz="4" w:space="0" w:color="auto"/>
            </w:tcBorders>
            <w:shd w:val="clear" w:color="auto" w:fill="auto"/>
            <w:noWrap/>
            <w:vAlign w:val="bottom"/>
            <w:hideMark/>
          </w:tcPr>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Veda a výskum</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817 095</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647 224</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1 123 157</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1 187 037</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793 157</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793 157</w:t>
            </w:r>
          </w:p>
        </w:tc>
        <w:tc>
          <w:tcPr>
            <w:tcW w:w="444" w:type="pct"/>
            <w:tcBorders>
              <w:top w:val="nil"/>
              <w:left w:val="nil"/>
              <w:bottom w:val="single" w:sz="4" w:space="0" w:color="auto"/>
              <w:right w:val="single" w:sz="4" w:space="0" w:color="auto"/>
            </w:tcBorders>
            <w:shd w:val="clear" w:color="000000" w:fill="FFFFFF"/>
            <w:noWrap/>
            <w:vAlign w:val="bottom"/>
            <w:hideMark/>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793 157</w:t>
            </w:r>
          </w:p>
        </w:tc>
      </w:tr>
      <w:tr w:rsidR="007D13F3" w:rsidRPr="00894616" w:rsidTr="00465CAC">
        <w:trPr>
          <w:trHeight w:hRule="exact" w:val="284"/>
        </w:trPr>
        <w:tc>
          <w:tcPr>
            <w:tcW w:w="1824" w:type="pct"/>
            <w:tcBorders>
              <w:top w:val="nil"/>
              <w:left w:val="single" w:sz="4" w:space="0" w:color="auto"/>
              <w:bottom w:val="single" w:sz="4" w:space="0" w:color="auto"/>
              <w:right w:val="single" w:sz="4" w:space="0" w:color="auto"/>
            </w:tcBorders>
            <w:shd w:val="clear" w:color="auto" w:fill="auto"/>
            <w:noWrap/>
            <w:vAlign w:val="bottom"/>
          </w:tcPr>
          <w:p w:rsidR="007D13F3" w:rsidRPr="00894616" w:rsidRDefault="007D13F3" w:rsidP="00465CAC">
            <w:pPr>
              <w:rPr>
                <w:rFonts w:ascii="Times New Roman" w:hAnsi="Times New Roman" w:cs="Times New Roman"/>
                <w:color w:val="000000"/>
                <w:sz w:val="14"/>
                <w:szCs w:val="14"/>
                <w:lang w:eastAsia="sk-SK"/>
              </w:rPr>
            </w:pPr>
            <w:r w:rsidRPr="00E8528B">
              <w:rPr>
                <w:rFonts w:ascii="Times New Roman" w:hAnsi="Times New Roman" w:cs="Times New Roman"/>
                <w:color w:val="000000"/>
                <w:sz w:val="14"/>
                <w:szCs w:val="14"/>
                <w:lang w:eastAsia="sk-SK"/>
              </w:rPr>
              <w:t>Implementácia rezortných polit</w:t>
            </w:r>
            <w:r>
              <w:rPr>
                <w:rFonts w:ascii="Times New Roman" w:hAnsi="Times New Roman" w:cs="Times New Roman"/>
                <w:color w:val="000000"/>
                <w:sz w:val="14"/>
                <w:szCs w:val="14"/>
                <w:lang w:eastAsia="sk-SK"/>
              </w:rPr>
              <w:t>í</w:t>
            </w:r>
            <w:r w:rsidRPr="00E8528B">
              <w:rPr>
                <w:rFonts w:ascii="Times New Roman" w:hAnsi="Times New Roman" w:cs="Times New Roman"/>
                <w:color w:val="000000"/>
                <w:sz w:val="14"/>
                <w:szCs w:val="14"/>
                <w:lang w:eastAsia="sk-SK"/>
              </w:rPr>
              <w:t>k</w:t>
            </w:r>
          </w:p>
        </w:tc>
        <w:tc>
          <w:tcPr>
            <w:tcW w:w="454" w:type="pct"/>
            <w:tcBorders>
              <w:top w:val="nil"/>
              <w:left w:val="nil"/>
              <w:bottom w:val="single" w:sz="4" w:space="0" w:color="auto"/>
              <w:right w:val="single" w:sz="4" w:space="0" w:color="auto"/>
            </w:tcBorders>
            <w:shd w:val="clear" w:color="auto" w:fill="auto"/>
            <w:noWrap/>
            <w:vAlign w:val="bottom"/>
          </w:tcPr>
          <w:p w:rsidR="007D13F3" w:rsidRPr="00894616"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tcPr>
          <w:p w:rsidR="007D13F3" w:rsidRPr="00894616"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000000" w:fill="FFFFFF"/>
            <w:noWrap/>
            <w:vAlign w:val="bottom"/>
          </w:tcPr>
          <w:p w:rsidR="007D13F3" w:rsidRPr="00894616"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000000" w:fill="FFFFFF"/>
            <w:noWrap/>
            <w:vAlign w:val="bottom"/>
          </w:tcPr>
          <w:p w:rsidR="007D13F3" w:rsidRPr="00894616"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463" w:type="pct"/>
            <w:tcBorders>
              <w:top w:val="nil"/>
              <w:left w:val="nil"/>
              <w:bottom w:val="single" w:sz="4" w:space="0" w:color="auto"/>
              <w:right w:val="single" w:sz="4" w:space="0" w:color="auto"/>
            </w:tcBorders>
            <w:shd w:val="clear" w:color="000000" w:fill="FFFFFF"/>
            <w:noWrap/>
            <w:vAlign w:val="bottom"/>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92 800 000</w:t>
            </w:r>
          </w:p>
        </w:tc>
        <w:tc>
          <w:tcPr>
            <w:tcW w:w="454" w:type="pct"/>
            <w:tcBorders>
              <w:top w:val="nil"/>
              <w:left w:val="nil"/>
              <w:bottom w:val="single" w:sz="4" w:space="0" w:color="auto"/>
              <w:right w:val="single" w:sz="4" w:space="0" w:color="auto"/>
            </w:tcBorders>
            <w:shd w:val="clear" w:color="000000" w:fill="FFFFFF"/>
            <w:noWrap/>
            <w:vAlign w:val="bottom"/>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0</w:t>
            </w:r>
          </w:p>
        </w:tc>
        <w:tc>
          <w:tcPr>
            <w:tcW w:w="444" w:type="pct"/>
            <w:tcBorders>
              <w:top w:val="nil"/>
              <w:left w:val="nil"/>
              <w:bottom w:val="single" w:sz="4" w:space="0" w:color="auto"/>
              <w:right w:val="single" w:sz="4" w:space="0" w:color="auto"/>
            </w:tcBorders>
            <w:shd w:val="clear" w:color="000000" w:fill="FFFFFF"/>
            <w:noWrap/>
            <w:vAlign w:val="bottom"/>
          </w:tcPr>
          <w:p w:rsidR="007D13F3" w:rsidRPr="00E8528B" w:rsidRDefault="007D13F3" w:rsidP="00465CAC">
            <w:pPr>
              <w:jc w:val="right"/>
              <w:rPr>
                <w:rFonts w:ascii="Times New Roman" w:hAnsi="Times New Roman" w:cs="Times New Roman"/>
                <w:color w:val="000000"/>
                <w:sz w:val="14"/>
                <w:szCs w:val="14"/>
              </w:rPr>
            </w:pPr>
            <w:r w:rsidRPr="00E8528B">
              <w:rPr>
                <w:rFonts w:ascii="Times New Roman" w:hAnsi="Times New Roman" w:cs="Times New Roman"/>
                <w:color w:val="000000"/>
                <w:sz w:val="14"/>
                <w:szCs w:val="14"/>
              </w:rPr>
              <w:t>0</w:t>
            </w:r>
          </w:p>
        </w:tc>
      </w:tr>
      <w:tr w:rsidR="007D13F3" w:rsidRPr="00894616" w:rsidTr="00465CAC">
        <w:trPr>
          <w:trHeight w:hRule="exact" w:val="284"/>
        </w:trPr>
        <w:tc>
          <w:tcPr>
            <w:tcW w:w="1824" w:type="pct"/>
            <w:tcBorders>
              <w:top w:val="nil"/>
              <w:left w:val="single" w:sz="4" w:space="0" w:color="auto"/>
              <w:bottom w:val="single" w:sz="4" w:space="0" w:color="auto"/>
              <w:right w:val="single" w:sz="4" w:space="0" w:color="auto"/>
            </w:tcBorders>
            <w:shd w:val="clear" w:color="auto" w:fill="auto"/>
            <w:noWrap/>
            <w:vAlign w:val="bottom"/>
            <w:hideMark/>
          </w:tcPr>
          <w:p w:rsidR="007D13F3" w:rsidRPr="00894616" w:rsidRDefault="007D13F3" w:rsidP="00465CAC">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Rozvoj cyklistickej dopravy</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23 848</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4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r>
      <w:tr w:rsidR="007D13F3" w:rsidRPr="00894616" w:rsidTr="00465CAC">
        <w:trPr>
          <w:trHeight w:hRule="exact" w:val="284"/>
        </w:trPr>
        <w:tc>
          <w:tcPr>
            <w:tcW w:w="1824" w:type="pct"/>
            <w:tcBorders>
              <w:top w:val="nil"/>
              <w:left w:val="single" w:sz="4" w:space="0" w:color="auto"/>
              <w:bottom w:val="single" w:sz="4" w:space="0" w:color="auto"/>
              <w:right w:val="single" w:sz="4" w:space="0" w:color="auto"/>
            </w:tcBorders>
            <w:shd w:val="clear" w:color="auto" w:fill="auto"/>
            <w:noWrap/>
            <w:vAlign w:val="bottom"/>
            <w:hideMark/>
          </w:tcPr>
          <w:p w:rsidR="007D13F3" w:rsidRPr="00894616" w:rsidRDefault="007D13F3" w:rsidP="00465CAC">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Regionálny</w:t>
            </w:r>
            <w:r w:rsidRPr="00894616">
              <w:rPr>
                <w:rFonts w:ascii="Times New Roman" w:hAnsi="Times New Roman" w:cs="Times New Roman"/>
                <w:color w:val="000000"/>
                <w:sz w:val="14"/>
                <w:szCs w:val="14"/>
                <w:lang w:eastAsia="sk-SK"/>
              </w:rPr>
              <w:t xml:space="preserve"> príspevok</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1 712 000</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c>
          <w:tcPr>
            <w:tcW w:w="444" w:type="pct"/>
            <w:tcBorders>
              <w:top w:val="nil"/>
              <w:left w:val="nil"/>
              <w:bottom w:val="single" w:sz="4" w:space="0" w:color="auto"/>
              <w:right w:val="single" w:sz="4" w:space="0" w:color="auto"/>
            </w:tcBorders>
            <w:shd w:val="clear" w:color="000000" w:fill="FFFFFF"/>
            <w:noWrap/>
            <w:vAlign w:val="bottom"/>
            <w:hideMark/>
          </w:tcPr>
          <w:p w:rsidR="007D13F3" w:rsidRPr="00894616" w:rsidRDefault="007D13F3" w:rsidP="00465CAC">
            <w:pPr>
              <w:jc w:val="right"/>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0</w:t>
            </w:r>
          </w:p>
        </w:tc>
      </w:tr>
    </w:tbl>
    <w:p w:rsidR="007D13F3" w:rsidRPr="005215E8" w:rsidRDefault="007D13F3" w:rsidP="007D13F3">
      <w:pPr>
        <w:jc w:val="both"/>
        <w:rPr>
          <w:rFonts w:ascii="Times New Roman" w:hAnsi="Times New Roman" w:cs="Times New Roman"/>
          <w:sz w:val="20"/>
          <w:szCs w:val="20"/>
          <w:highlight w:val="yellow"/>
        </w:rPr>
      </w:pPr>
    </w:p>
    <w:p w:rsidR="007D13F3" w:rsidRDefault="007D13F3" w:rsidP="007D13F3">
      <w:pPr>
        <w:ind w:firstLine="708"/>
        <w:jc w:val="both"/>
        <w:rPr>
          <w:rFonts w:ascii="Times New Roman" w:hAnsi="Times New Roman" w:cs="Times New Roman"/>
        </w:rPr>
      </w:pPr>
      <w:r w:rsidRPr="00AE59F7">
        <w:rPr>
          <w:rFonts w:ascii="Times New Roman" w:hAnsi="Times New Roman" w:cs="Times New Roman"/>
        </w:rPr>
        <w:t>Výdavky na tvorbu a implementáciu politík</w:t>
      </w:r>
      <w:r>
        <w:rPr>
          <w:rFonts w:ascii="Times New Roman" w:hAnsi="Times New Roman" w:cs="Times New Roman"/>
        </w:rPr>
        <w:t xml:space="preserve"> v sume 148 mil. eur</w:t>
      </w:r>
      <w:r w:rsidRPr="00AE59F7">
        <w:rPr>
          <w:rFonts w:ascii="Times New Roman" w:hAnsi="Times New Roman" w:cs="Times New Roman"/>
        </w:rPr>
        <w:t xml:space="preserve"> sú určené na zabezpečenie financovania úloh samotného úradu MDV SR, pre organizácie ministerstva dopravy </w:t>
      </w:r>
      <w:r>
        <w:rPr>
          <w:rFonts w:ascii="Times New Roman" w:hAnsi="Times New Roman" w:cs="Times New Roman"/>
        </w:rPr>
        <w:t xml:space="preserve">a výstavby, na </w:t>
      </w:r>
      <w:r w:rsidRPr="000B5FC6">
        <w:rPr>
          <w:rFonts w:ascii="Times New Roman" w:hAnsi="Times New Roman" w:cs="Times New Roman"/>
        </w:rPr>
        <w:t>plneni</w:t>
      </w:r>
      <w:r>
        <w:rPr>
          <w:rFonts w:ascii="Times New Roman" w:hAnsi="Times New Roman" w:cs="Times New Roman"/>
        </w:rPr>
        <w:t>e</w:t>
      </w:r>
      <w:r w:rsidRPr="000B5FC6">
        <w:rPr>
          <w:rFonts w:ascii="Times New Roman" w:hAnsi="Times New Roman" w:cs="Times New Roman"/>
        </w:rPr>
        <w:t xml:space="preserve"> úloh vyplývajúcich z rezortných politík </w:t>
      </w:r>
      <w:r w:rsidRPr="00AE59F7">
        <w:rPr>
          <w:rFonts w:ascii="Times New Roman" w:hAnsi="Times New Roman" w:cs="Times New Roman"/>
        </w:rPr>
        <w:t>a tiež na prenesený výkon štátnej správy. Výdavky v roku 201</w:t>
      </w:r>
      <w:r>
        <w:rPr>
          <w:rFonts w:ascii="Times New Roman" w:hAnsi="Times New Roman" w:cs="Times New Roman"/>
        </w:rPr>
        <w:t>8</w:t>
      </w:r>
      <w:r w:rsidRPr="00AE59F7">
        <w:rPr>
          <w:rFonts w:ascii="Times New Roman" w:hAnsi="Times New Roman" w:cs="Times New Roman"/>
        </w:rPr>
        <w:t xml:space="preserve"> v porovnaní so schváleným rozpočtom roku 201</w:t>
      </w:r>
      <w:r>
        <w:rPr>
          <w:rFonts w:ascii="Times New Roman" w:hAnsi="Times New Roman" w:cs="Times New Roman"/>
        </w:rPr>
        <w:t>7</w:t>
      </w:r>
      <w:r w:rsidRPr="00AE59F7">
        <w:rPr>
          <w:rFonts w:ascii="Times New Roman" w:hAnsi="Times New Roman" w:cs="Times New Roman"/>
        </w:rPr>
        <w:t xml:space="preserve"> sú </w:t>
      </w:r>
      <w:r>
        <w:rPr>
          <w:rFonts w:ascii="Times New Roman" w:hAnsi="Times New Roman" w:cs="Times New Roman"/>
        </w:rPr>
        <w:t>vyšš</w:t>
      </w:r>
      <w:r w:rsidRPr="00AE59F7">
        <w:rPr>
          <w:rFonts w:ascii="Times New Roman" w:hAnsi="Times New Roman" w:cs="Times New Roman"/>
        </w:rPr>
        <w:t>ie o</w:t>
      </w:r>
      <w:r>
        <w:rPr>
          <w:rFonts w:ascii="Times New Roman" w:hAnsi="Times New Roman" w:cs="Times New Roman"/>
        </w:rPr>
        <w:t> 94,5 mil</w:t>
      </w:r>
      <w:r w:rsidRPr="00AE59F7">
        <w:rPr>
          <w:rFonts w:ascii="Times New Roman" w:hAnsi="Times New Roman" w:cs="Times New Roman"/>
        </w:rPr>
        <w:t>. eur, čo predstavuje</w:t>
      </w:r>
      <w:r>
        <w:rPr>
          <w:rFonts w:ascii="Times New Roman" w:hAnsi="Times New Roman" w:cs="Times New Roman"/>
        </w:rPr>
        <w:t xml:space="preserve"> 177</w:t>
      </w:r>
      <w:r w:rsidRPr="00AE59F7">
        <w:rPr>
          <w:rFonts w:ascii="Times New Roman" w:hAnsi="Times New Roman" w:cs="Times New Roman"/>
        </w:rPr>
        <w:t xml:space="preserve"> %.  Dôvodom </w:t>
      </w:r>
      <w:r>
        <w:rPr>
          <w:rFonts w:ascii="Times New Roman" w:hAnsi="Times New Roman" w:cs="Times New Roman"/>
        </w:rPr>
        <w:t>zvýšenia</w:t>
      </w:r>
      <w:r w:rsidRPr="00AE59F7">
        <w:rPr>
          <w:rFonts w:ascii="Times New Roman" w:hAnsi="Times New Roman" w:cs="Times New Roman"/>
        </w:rPr>
        <w:t xml:space="preserve"> výdavkov</w:t>
      </w:r>
      <w:r>
        <w:rPr>
          <w:rFonts w:ascii="Times New Roman" w:hAnsi="Times New Roman" w:cs="Times New Roman"/>
        </w:rPr>
        <w:t xml:space="preserve"> je najmä nárast výdavkov na prenesený výkon štátnej správy a na implementáciu rezortných politík </w:t>
      </w:r>
      <w:r w:rsidRPr="000B5FC6">
        <w:rPr>
          <w:rFonts w:ascii="Times New Roman" w:hAnsi="Times New Roman" w:cs="Times New Roman"/>
        </w:rPr>
        <w:t>v oblasti výstavby a modernizácie dopravnej infraštruktúry</w:t>
      </w:r>
      <w:r>
        <w:rPr>
          <w:rFonts w:ascii="Times New Roman" w:hAnsi="Times New Roman" w:cs="Times New Roman"/>
        </w:rPr>
        <w:t xml:space="preserve">, </w:t>
      </w:r>
      <w:r w:rsidRPr="000B5FC6">
        <w:rPr>
          <w:rFonts w:ascii="Times New Roman" w:hAnsi="Times New Roman" w:cs="Times New Roman"/>
        </w:rPr>
        <w:t>podpor</w:t>
      </w:r>
      <w:r>
        <w:rPr>
          <w:rFonts w:ascii="Times New Roman" w:hAnsi="Times New Roman" w:cs="Times New Roman"/>
        </w:rPr>
        <w:t>y</w:t>
      </w:r>
      <w:r w:rsidRPr="000B5FC6">
        <w:rPr>
          <w:rFonts w:ascii="Times New Roman" w:hAnsi="Times New Roman" w:cs="Times New Roman"/>
        </w:rPr>
        <w:t xml:space="preserve"> moderných a efektívnych spôsobov dopravy </w:t>
      </w:r>
      <w:r>
        <w:rPr>
          <w:rFonts w:ascii="Times New Roman" w:hAnsi="Times New Roman" w:cs="Times New Roman"/>
        </w:rPr>
        <w:t xml:space="preserve">a </w:t>
      </w:r>
      <w:r w:rsidRPr="000B5FC6">
        <w:rPr>
          <w:rFonts w:ascii="Times New Roman" w:hAnsi="Times New Roman" w:cs="Times New Roman"/>
        </w:rPr>
        <w:t xml:space="preserve">zlepšovanie </w:t>
      </w:r>
      <w:r>
        <w:rPr>
          <w:rFonts w:ascii="Times New Roman" w:hAnsi="Times New Roman" w:cs="Times New Roman"/>
        </w:rPr>
        <w:t xml:space="preserve">energetickej hospodárnosti budov a podpory produktov cestovného ruchu. Výdavky ústredného orgánu MDV SR a organizácií ministerstva dopravy a výstavby sú vykazované bez výdavkov na informačné technológie financované zo štátneho rozpočtu. </w:t>
      </w:r>
    </w:p>
    <w:p w:rsidR="007D13F3" w:rsidRDefault="007D13F3" w:rsidP="007D13F3">
      <w:pPr>
        <w:spacing w:after="160" w:line="259" w:lineRule="auto"/>
        <w:rPr>
          <w:rFonts w:ascii="Times New Roman" w:hAnsi="Times New Roman" w:cs="Times New Roman"/>
        </w:rPr>
      </w:pPr>
      <w:r>
        <w:rPr>
          <w:rFonts w:ascii="Times New Roman" w:hAnsi="Times New Roman" w:cs="Times New Roman"/>
        </w:rPr>
        <w:br w:type="page"/>
      </w:r>
    </w:p>
    <w:p w:rsidR="007D13F3" w:rsidRPr="00FA749F" w:rsidRDefault="007D13F3" w:rsidP="007D13F3">
      <w:pPr>
        <w:pStyle w:val="Nadpis5"/>
        <w:pBdr>
          <w:bottom w:val="single" w:sz="4" w:space="1" w:color="auto"/>
        </w:pBdr>
        <w:spacing w:before="0" w:after="0"/>
        <w:ind w:left="0"/>
        <w:rPr>
          <w:i w:val="0"/>
          <w:sz w:val="24"/>
          <w:lang w:eastAsia="sk-SK"/>
        </w:rPr>
      </w:pPr>
      <w:bookmarkStart w:id="93" w:name="_Toc494470095"/>
      <w:bookmarkStart w:id="94" w:name="_Toc494472271"/>
      <w:r w:rsidRPr="00FA749F">
        <w:rPr>
          <w:i w:val="0"/>
          <w:sz w:val="24"/>
          <w:lang w:eastAsia="sk-SK"/>
        </w:rPr>
        <w:lastRenderedPageBreak/>
        <w:t>Ministerstvo pôdohospodárstva a rozvoja vidieka SR</w:t>
      </w:r>
      <w:bookmarkEnd w:id="93"/>
      <w:bookmarkEnd w:id="94"/>
    </w:p>
    <w:p w:rsidR="007D13F3" w:rsidRPr="00375D8C" w:rsidRDefault="007D13F3" w:rsidP="007D13F3">
      <w:pPr>
        <w:jc w:val="both"/>
        <w:rPr>
          <w:rFonts w:ascii="Arial Narrow" w:hAnsi="Arial Narrow" w:cs="Times New Roman"/>
          <w:b/>
          <w:sz w:val="22"/>
          <w:szCs w:val="22"/>
          <w:u w:val="single"/>
          <w:lang w:eastAsia="sk-SK"/>
        </w:rPr>
      </w:pPr>
    </w:p>
    <w:tbl>
      <w:tblPr>
        <w:tblW w:w="5000" w:type="pct"/>
        <w:tblCellMar>
          <w:left w:w="70" w:type="dxa"/>
          <w:right w:w="70" w:type="dxa"/>
        </w:tblCellMar>
        <w:tblLook w:val="04A0" w:firstRow="1" w:lastRow="0" w:firstColumn="1" w:lastColumn="0" w:noHBand="0" w:noVBand="1"/>
      </w:tblPr>
      <w:tblGrid>
        <w:gridCol w:w="2657"/>
        <w:gridCol w:w="945"/>
        <w:gridCol w:w="840"/>
        <w:gridCol w:w="945"/>
        <w:gridCol w:w="840"/>
        <w:gridCol w:w="945"/>
        <w:gridCol w:w="945"/>
        <w:gridCol w:w="945"/>
      </w:tblGrid>
      <w:tr w:rsidR="007D13F3" w:rsidRPr="00375D8C" w:rsidTr="00B61698">
        <w:trPr>
          <w:trHeight w:val="255"/>
        </w:trPr>
        <w:tc>
          <w:tcPr>
            <w:tcW w:w="146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v eurách</w:t>
            </w:r>
          </w:p>
        </w:tc>
        <w:tc>
          <w:tcPr>
            <w:tcW w:w="52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2015 S</w:t>
            </w:r>
          </w:p>
        </w:tc>
        <w:tc>
          <w:tcPr>
            <w:tcW w:w="46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2016 S</w:t>
            </w:r>
          </w:p>
        </w:tc>
        <w:tc>
          <w:tcPr>
            <w:tcW w:w="52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R</w:t>
            </w:r>
          </w:p>
        </w:tc>
        <w:tc>
          <w:tcPr>
            <w:tcW w:w="46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OS</w:t>
            </w:r>
          </w:p>
        </w:tc>
        <w:tc>
          <w:tcPr>
            <w:tcW w:w="52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2018 N</w:t>
            </w:r>
          </w:p>
        </w:tc>
        <w:tc>
          <w:tcPr>
            <w:tcW w:w="52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2019 N</w:t>
            </w:r>
          </w:p>
        </w:tc>
        <w:tc>
          <w:tcPr>
            <w:tcW w:w="52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2020 N</w:t>
            </w:r>
          </w:p>
        </w:tc>
      </w:tr>
      <w:tr w:rsidR="007D13F3" w:rsidRPr="00375D8C" w:rsidTr="00B61698">
        <w:trPr>
          <w:trHeight w:val="255"/>
        </w:trPr>
        <w:tc>
          <w:tcPr>
            <w:tcW w:w="1466"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Zdroje kapitoly  (zdroj 11, 13)</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1 255 758 519</w:t>
            </w:r>
          </w:p>
        </w:tc>
        <w:tc>
          <w:tcPr>
            <w:tcW w:w="463"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820 320 430</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1 095 118 518</w:t>
            </w:r>
          </w:p>
        </w:tc>
        <w:tc>
          <w:tcPr>
            <w:tcW w:w="463"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927 551 456</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1 100 869 219</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1 492 339 367</w:t>
            </w:r>
          </w:p>
        </w:tc>
        <w:tc>
          <w:tcPr>
            <w:tcW w:w="52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1 366 949 272</w:t>
            </w:r>
          </w:p>
        </w:tc>
      </w:tr>
      <w:tr w:rsidR="007D13F3" w:rsidRPr="00375D8C" w:rsidTr="00B61698">
        <w:trPr>
          <w:trHeight w:val="255"/>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rozpočtové zdroje kapitoly (111, 11H)</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118 709 385</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137 850 341</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108 293 496</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112 047 805</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85 432 368</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85 432 368</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85 432 368</w:t>
            </w:r>
          </w:p>
        </w:tc>
      </w:tr>
      <w:tr w:rsidR="007D13F3" w:rsidRPr="00375D8C" w:rsidTr="00B61698">
        <w:trPr>
          <w:trHeight w:val="255"/>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 xml:space="preserve">    v tom: bežné výdavky  600</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115 366 068</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136 282 289</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91 543 496</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94 865 583</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83 932 368</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83 932 368</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83 932 368</w:t>
            </w:r>
          </w:p>
        </w:tc>
      </w:tr>
      <w:tr w:rsidR="007D13F3" w:rsidRPr="00375D8C" w:rsidTr="00B61698">
        <w:trPr>
          <w:trHeight w:val="255"/>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 xml:space="preserve">                          610 mzdy</w:t>
            </w:r>
          </w:p>
        </w:tc>
        <w:tc>
          <w:tcPr>
            <w:tcW w:w="521" w:type="pct"/>
            <w:tcBorders>
              <w:top w:val="nil"/>
              <w:left w:val="nil"/>
              <w:bottom w:val="single" w:sz="4" w:space="0" w:color="auto"/>
              <w:right w:val="single" w:sz="4" w:space="0" w:color="auto"/>
            </w:tcBorders>
            <w:shd w:val="clear" w:color="000000" w:fill="FFFFFF"/>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20 596 744</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30 069 411</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28 951 076</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30 039 744</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31 486 473</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31 486 473</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31 486 473</w:t>
            </w:r>
          </w:p>
        </w:tc>
      </w:tr>
      <w:tr w:rsidR="007D13F3" w:rsidRPr="00375D8C" w:rsidTr="00B61698">
        <w:trPr>
          <w:trHeight w:val="255"/>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 xml:space="preserve">                          620 odvody</w:t>
            </w:r>
          </w:p>
        </w:tc>
        <w:tc>
          <w:tcPr>
            <w:tcW w:w="521" w:type="pct"/>
            <w:tcBorders>
              <w:top w:val="nil"/>
              <w:left w:val="nil"/>
              <w:bottom w:val="single" w:sz="4" w:space="0" w:color="auto"/>
              <w:right w:val="single" w:sz="4" w:space="0" w:color="auto"/>
            </w:tcBorders>
            <w:shd w:val="clear" w:color="000000" w:fill="FFFFFF"/>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7 789 923</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11 212 023</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10 025 236</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10 506 952</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11 004 523</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11 004 523</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11 004 523</w:t>
            </w:r>
          </w:p>
        </w:tc>
      </w:tr>
      <w:tr w:rsidR="007D13F3" w:rsidRPr="00375D8C" w:rsidTr="00B61698">
        <w:trPr>
          <w:trHeight w:val="255"/>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 xml:space="preserve">                          630 tovary a služby</w:t>
            </w:r>
          </w:p>
        </w:tc>
        <w:tc>
          <w:tcPr>
            <w:tcW w:w="521" w:type="pct"/>
            <w:tcBorders>
              <w:top w:val="nil"/>
              <w:left w:val="nil"/>
              <w:bottom w:val="single" w:sz="4" w:space="0" w:color="auto"/>
              <w:right w:val="single" w:sz="4" w:space="0" w:color="auto"/>
            </w:tcBorders>
            <w:shd w:val="clear" w:color="000000" w:fill="FFFFFF"/>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48 253 604</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63 579 764</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34 724 668</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33 445 009</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27 581 620</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25 781 620</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25 781 620</w:t>
            </w:r>
          </w:p>
        </w:tc>
      </w:tr>
      <w:tr w:rsidR="007D13F3" w:rsidRPr="00375D8C" w:rsidTr="00B61698">
        <w:trPr>
          <w:trHeight w:val="255"/>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 xml:space="preserve">                          640 bežné transfery</w:t>
            </w:r>
          </w:p>
        </w:tc>
        <w:tc>
          <w:tcPr>
            <w:tcW w:w="521" w:type="pct"/>
            <w:tcBorders>
              <w:top w:val="nil"/>
              <w:left w:val="nil"/>
              <w:bottom w:val="single" w:sz="4" w:space="0" w:color="auto"/>
              <w:right w:val="single" w:sz="4" w:space="0" w:color="auto"/>
            </w:tcBorders>
            <w:shd w:val="clear" w:color="000000" w:fill="FFFFFF"/>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38 725 797</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31 421 091</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17 842 516</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20 873 878</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13 859 752</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15 659 752</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15 659 752</w:t>
            </w:r>
          </w:p>
        </w:tc>
      </w:tr>
      <w:tr w:rsidR="007D13F3" w:rsidRPr="00375D8C" w:rsidTr="00B61698">
        <w:trPr>
          <w:trHeight w:val="255"/>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 xml:space="preserve">               kapitálové výdavky 700</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3 343 317</w:t>
            </w:r>
          </w:p>
        </w:tc>
        <w:tc>
          <w:tcPr>
            <w:tcW w:w="46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1 568 052</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16 750 000</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17 182 222</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1 500 000</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1 500 000</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1 500 000</w:t>
            </w:r>
          </w:p>
        </w:tc>
      </w:tr>
      <w:tr w:rsidR="007D13F3" w:rsidRPr="00375D8C" w:rsidTr="00B61698">
        <w:trPr>
          <w:trHeight w:val="255"/>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 xml:space="preserve">zdroje EÚ vrátane spolufinancovania: </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580 539 859</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365 770 480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986 825 022</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525 860 330</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1 015 436 851</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1 406 906 999</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1 281 516 904</w:t>
            </w:r>
          </w:p>
        </w:tc>
      </w:tr>
      <w:tr w:rsidR="007D13F3" w:rsidRPr="00375D8C" w:rsidTr="00B61698">
        <w:trPr>
          <w:trHeight w:val="255"/>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 xml:space="preserve">               2. program. obdobie EÚ</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191 621 076</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12 066 650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r w:rsidRPr="00375D8C">
              <w:rPr>
                <w:rFonts w:ascii="Times New Roman" w:hAnsi="Times New Roman" w:cs="Times New Roman"/>
                <w:sz w:val="14"/>
                <w:szCs w:val="14"/>
                <w:lang w:eastAsia="sk-SK"/>
              </w:rPr>
              <w:t> </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r w:rsidRPr="00375D8C">
              <w:rPr>
                <w:rFonts w:ascii="Times New Roman" w:hAnsi="Times New Roman" w:cs="Times New Roman"/>
                <w:sz w:val="14"/>
                <w:szCs w:val="14"/>
                <w:lang w:eastAsia="sk-SK"/>
              </w:rPr>
              <w:t> </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r w:rsidRPr="00375D8C">
              <w:rPr>
                <w:rFonts w:ascii="Times New Roman" w:hAnsi="Times New Roman" w:cs="Times New Roman"/>
                <w:sz w:val="14"/>
                <w:szCs w:val="14"/>
                <w:lang w:eastAsia="sk-SK"/>
              </w:rPr>
              <w:t> </w:t>
            </w:r>
          </w:p>
        </w:tc>
      </w:tr>
      <w:tr w:rsidR="007D13F3" w:rsidRPr="00375D8C" w:rsidTr="00B61698">
        <w:trPr>
          <w:trHeight w:val="255"/>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 xml:space="preserve">                   spolufinancovanie zo ŠR</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57 042 039</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4 941 900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r w:rsidRPr="00375D8C">
              <w:rPr>
                <w:rFonts w:ascii="Times New Roman" w:hAnsi="Times New Roman" w:cs="Times New Roman"/>
                <w:sz w:val="14"/>
                <w:szCs w:val="14"/>
                <w:lang w:eastAsia="sk-SK"/>
              </w:rPr>
              <w:t xml:space="preserve"> </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r w:rsidRPr="00375D8C">
              <w:rPr>
                <w:rFonts w:ascii="Times New Roman" w:hAnsi="Times New Roman" w:cs="Times New Roman"/>
                <w:sz w:val="14"/>
                <w:szCs w:val="14"/>
                <w:lang w:eastAsia="sk-SK"/>
              </w:rPr>
              <w:t> </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r w:rsidRPr="00375D8C">
              <w:rPr>
                <w:rFonts w:ascii="Times New Roman" w:hAnsi="Times New Roman" w:cs="Times New Roman"/>
                <w:sz w:val="14"/>
                <w:szCs w:val="14"/>
                <w:lang w:eastAsia="sk-SK"/>
              </w:rPr>
              <w:t> </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r w:rsidRPr="00375D8C">
              <w:rPr>
                <w:rFonts w:ascii="Times New Roman" w:hAnsi="Times New Roman" w:cs="Times New Roman"/>
                <w:sz w:val="14"/>
                <w:szCs w:val="14"/>
                <w:lang w:eastAsia="sk-SK"/>
              </w:rPr>
              <w:t> </w:t>
            </w:r>
          </w:p>
        </w:tc>
      </w:tr>
      <w:tr w:rsidR="007D13F3" w:rsidRPr="00375D8C" w:rsidTr="00B61698">
        <w:trPr>
          <w:trHeight w:val="255"/>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 xml:space="preserve">               3. program. obdobie EÚ</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321 660 504</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323 350 995</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819 041 849</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453 052 034</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884 018 310</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1 236 686 967</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1 107 894 383</w:t>
            </w:r>
          </w:p>
        </w:tc>
      </w:tr>
      <w:tr w:rsidR="007D13F3" w:rsidRPr="00375D8C" w:rsidTr="00B61698">
        <w:trPr>
          <w:trHeight w:val="255"/>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 xml:space="preserve">                   spolufinancovanie zo ŠR</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10 216 240</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25 410 935</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167 783 173</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72 808 296</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131 418 541</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170 220 032</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173 622 521</w:t>
            </w:r>
          </w:p>
        </w:tc>
      </w:tr>
      <w:tr w:rsidR="007D13F3" w:rsidRPr="00375D8C" w:rsidTr="00B61698">
        <w:trPr>
          <w:trHeight w:val="255"/>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presun z minulých rokov § 8</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543 615 538</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313 959 860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288 984 191</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0</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0</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0</w:t>
            </w:r>
          </w:p>
        </w:tc>
      </w:tr>
      <w:tr w:rsidR="007D13F3" w:rsidRPr="00375D8C" w:rsidTr="00B61698">
        <w:trPr>
          <w:trHeight w:val="255"/>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 xml:space="preserve">    z toho: štátny rozpočet</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7 869 949</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4 492 008</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298 615</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r>
      <w:tr w:rsidR="007D13F3" w:rsidRPr="00375D8C" w:rsidTr="00B61698">
        <w:trPr>
          <w:trHeight w:val="255"/>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 xml:space="preserve">                EÚ prostriedky</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448 551 499</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269 653 102</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235 412 520</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r>
      <w:tr w:rsidR="007D13F3" w:rsidRPr="00375D8C" w:rsidTr="00B61698">
        <w:trPr>
          <w:trHeight w:val="255"/>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 xml:space="preserve">                spolufinancovanie zo ŠR</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87 194 090</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39 814 750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53 273 056</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r>
      <w:tr w:rsidR="007D13F3" w:rsidRPr="00375D8C" w:rsidTr="00B61698">
        <w:trPr>
          <w:trHeight w:val="255"/>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3F3" w:rsidRPr="00375D8C" w:rsidRDefault="007D13F3" w:rsidP="00465CAC">
            <w:pPr>
              <w:rPr>
                <w:rFonts w:ascii="Times New Roman" w:hAnsi="Times New Roman" w:cs="Times New Roman"/>
                <w:b/>
                <w:bCs/>
                <w:color w:val="000000"/>
                <w:sz w:val="14"/>
                <w:szCs w:val="14"/>
                <w:lang w:eastAsia="sk-SK"/>
              </w:rPr>
            </w:pPr>
            <w:r w:rsidRPr="00375D8C">
              <w:rPr>
                <w:rFonts w:ascii="Times New Roman" w:hAnsi="Times New Roman" w:cs="Times New Roman"/>
                <w:b/>
                <w:bCs/>
                <w:color w:val="000000"/>
                <w:sz w:val="14"/>
                <w:szCs w:val="14"/>
                <w:lang w:eastAsia="sk-SK"/>
              </w:rPr>
              <w:t>iné zdroje (súčasné  bez § 17)</w:t>
            </w:r>
          </w:p>
        </w:tc>
        <w:tc>
          <w:tcPr>
            <w:tcW w:w="521" w:type="pct"/>
            <w:tcBorders>
              <w:top w:val="single" w:sz="4" w:space="0" w:color="auto"/>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12 893 737</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2 739 749</w:t>
            </w:r>
          </w:p>
        </w:tc>
        <w:tc>
          <w:tcPr>
            <w:tcW w:w="521" w:type="pct"/>
            <w:tcBorders>
              <w:top w:val="single" w:sz="4" w:space="0" w:color="auto"/>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color w:val="000000"/>
                <w:sz w:val="14"/>
                <w:szCs w:val="14"/>
                <w:lang w:eastAsia="sk-SK"/>
              </w:rPr>
            </w:pPr>
            <w:r w:rsidRPr="00375D8C">
              <w:rPr>
                <w:rFonts w:ascii="Times New Roman" w:hAnsi="Times New Roman" w:cs="Times New Roman"/>
                <w:color w:val="000000"/>
                <w:sz w:val="14"/>
                <w:szCs w:val="14"/>
                <w:lang w:eastAsia="sk-SK"/>
              </w:rPr>
              <w:t>0</w:t>
            </w:r>
          </w:p>
        </w:tc>
        <w:tc>
          <w:tcPr>
            <w:tcW w:w="463"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color w:val="000000"/>
                <w:sz w:val="14"/>
                <w:szCs w:val="14"/>
                <w:lang w:eastAsia="sk-SK"/>
              </w:rPr>
            </w:pPr>
            <w:r w:rsidRPr="00375D8C">
              <w:rPr>
                <w:rFonts w:ascii="Times New Roman" w:hAnsi="Times New Roman" w:cs="Times New Roman"/>
                <w:color w:val="000000"/>
                <w:sz w:val="14"/>
                <w:szCs w:val="14"/>
                <w:lang w:eastAsia="sk-SK"/>
              </w:rPr>
              <w:t>659 130</w:t>
            </w:r>
          </w:p>
        </w:tc>
        <w:tc>
          <w:tcPr>
            <w:tcW w:w="521"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21"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21"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r>
      <w:tr w:rsidR="007D13F3" w:rsidRPr="00375D8C" w:rsidTr="00B61698">
        <w:trPr>
          <w:trHeight w:val="255"/>
        </w:trPr>
        <w:tc>
          <w:tcPr>
            <w:tcW w:w="1466" w:type="pct"/>
            <w:tcBorders>
              <w:top w:val="single" w:sz="4" w:space="0" w:color="auto"/>
              <w:bottom w:val="single" w:sz="4" w:space="0" w:color="auto"/>
            </w:tcBorders>
            <w:shd w:val="clear" w:color="auto" w:fill="auto"/>
            <w:vAlign w:val="center"/>
            <w:hideMark/>
          </w:tcPr>
          <w:p w:rsidR="007D13F3" w:rsidRPr="00375D8C" w:rsidRDefault="007D13F3" w:rsidP="00465CAC">
            <w:pPr>
              <w:rPr>
                <w:rFonts w:ascii="Times New Roman" w:hAnsi="Times New Roman" w:cs="Times New Roman"/>
                <w:b/>
                <w:bCs/>
                <w:color w:val="000000"/>
                <w:sz w:val="14"/>
                <w:szCs w:val="14"/>
                <w:lang w:eastAsia="sk-SK"/>
              </w:rPr>
            </w:pPr>
            <w:r w:rsidRPr="00375D8C">
              <w:rPr>
                <w:rFonts w:ascii="Times New Roman" w:hAnsi="Times New Roman" w:cs="Times New Roman"/>
                <w:b/>
                <w:bCs/>
                <w:color w:val="000000"/>
                <w:sz w:val="14"/>
                <w:szCs w:val="14"/>
                <w:lang w:eastAsia="sk-SK"/>
              </w:rPr>
              <w:t> </w:t>
            </w:r>
          </w:p>
        </w:tc>
        <w:tc>
          <w:tcPr>
            <w:tcW w:w="521" w:type="pct"/>
            <w:tcBorders>
              <w:top w:val="single" w:sz="4" w:space="0" w:color="auto"/>
              <w:bottom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 </w:t>
            </w:r>
          </w:p>
        </w:tc>
        <w:tc>
          <w:tcPr>
            <w:tcW w:w="463" w:type="pct"/>
            <w:tcBorders>
              <w:top w:val="single" w:sz="4" w:space="0" w:color="auto"/>
              <w:bottom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 </w:t>
            </w:r>
          </w:p>
        </w:tc>
        <w:tc>
          <w:tcPr>
            <w:tcW w:w="521" w:type="pct"/>
            <w:tcBorders>
              <w:top w:val="single" w:sz="4" w:space="0" w:color="auto"/>
              <w:bottom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color w:val="000000"/>
                <w:sz w:val="14"/>
                <w:szCs w:val="14"/>
                <w:lang w:eastAsia="sk-SK"/>
              </w:rPr>
            </w:pPr>
            <w:r w:rsidRPr="00375D8C">
              <w:rPr>
                <w:rFonts w:ascii="Times New Roman" w:hAnsi="Times New Roman" w:cs="Times New Roman"/>
                <w:color w:val="000000"/>
                <w:sz w:val="14"/>
                <w:szCs w:val="14"/>
                <w:lang w:eastAsia="sk-SK"/>
              </w:rPr>
              <w:t> </w:t>
            </w:r>
          </w:p>
        </w:tc>
        <w:tc>
          <w:tcPr>
            <w:tcW w:w="463" w:type="pct"/>
            <w:tcBorders>
              <w:top w:val="single" w:sz="4" w:space="0" w:color="auto"/>
              <w:bottom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color w:val="000000"/>
                <w:sz w:val="14"/>
                <w:szCs w:val="14"/>
                <w:lang w:eastAsia="sk-SK"/>
              </w:rPr>
            </w:pPr>
            <w:r w:rsidRPr="00375D8C">
              <w:rPr>
                <w:rFonts w:ascii="Times New Roman" w:hAnsi="Times New Roman" w:cs="Times New Roman"/>
                <w:color w:val="000000"/>
                <w:sz w:val="14"/>
                <w:szCs w:val="14"/>
                <w:lang w:eastAsia="sk-SK"/>
              </w:rPr>
              <w:t> </w:t>
            </w:r>
          </w:p>
        </w:tc>
        <w:tc>
          <w:tcPr>
            <w:tcW w:w="521" w:type="pct"/>
            <w:tcBorders>
              <w:top w:val="single" w:sz="4" w:space="0" w:color="auto"/>
              <w:bottom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 </w:t>
            </w:r>
          </w:p>
        </w:tc>
        <w:tc>
          <w:tcPr>
            <w:tcW w:w="521" w:type="pct"/>
            <w:tcBorders>
              <w:top w:val="single" w:sz="4" w:space="0" w:color="auto"/>
              <w:bottom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 </w:t>
            </w:r>
          </w:p>
        </w:tc>
        <w:tc>
          <w:tcPr>
            <w:tcW w:w="521" w:type="pct"/>
            <w:tcBorders>
              <w:top w:val="single" w:sz="4" w:space="0" w:color="auto"/>
              <w:bottom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 </w:t>
            </w:r>
          </w:p>
        </w:tc>
      </w:tr>
      <w:tr w:rsidR="007D13F3" w:rsidRPr="000E76EC" w:rsidTr="00B61698">
        <w:trPr>
          <w:trHeight w:val="255"/>
        </w:trPr>
        <w:tc>
          <w:tcPr>
            <w:tcW w:w="14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13F3" w:rsidRPr="000E76EC" w:rsidRDefault="000E76EC" w:rsidP="00465CAC">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w:t>
            </w:r>
            <w:r w:rsidR="007D13F3" w:rsidRPr="000E76EC">
              <w:rPr>
                <w:rFonts w:ascii="Times New Roman" w:hAnsi="Times New Roman" w:cs="Times New Roman"/>
                <w:b/>
                <w:bCs/>
                <w:color w:val="000000"/>
                <w:sz w:val="14"/>
                <w:szCs w:val="14"/>
                <w:lang w:eastAsia="sk-SK"/>
              </w:rPr>
              <w:t xml:space="preserve">amostatné účty </w:t>
            </w:r>
          </w:p>
        </w:tc>
        <w:tc>
          <w:tcPr>
            <w:tcW w:w="521"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205 423 975</w:t>
            </w:r>
          </w:p>
        </w:tc>
        <w:tc>
          <w:tcPr>
            <w:tcW w:w="463"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98 939 092</w:t>
            </w:r>
          </w:p>
        </w:tc>
        <w:tc>
          <w:tcPr>
            <w:tcW w:w="521"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168 210 959</w:t>
            </w:r>
          </w:p>
        </w:tc>
        <w:tc>
          <w:tcPr>
            <w:tcW w:w="463"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168 210 959</w:t>
            </w:r>
          </w:p>
        </w:tc>
        <w:tc>
          <w:tcPr>
            <w:tcW w:w="521"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73 560 660</w:t>
            </w:r>
          </w:p>
        </w:tc>
        <w:tc>
          <w:tcPr>
            <w:tcW w:w="521"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70 194 843</w:t>
            </w:r>
          </w:p>
        </w:tc>
        <w:tc>
          <w:tcPr>
            <w:tcW w:w="521"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64 679 939</w:t>
            </w:r>
          </w:p>
        </w:tc>
      </w:tr>
    </w:tbl>
    <w:p w:rsidR="007D13F3" w:rsidRPr="00375D8C" w:rsidRDefault="007D13F3" w:rsidP="007D13F3">
      <w:pPr>
        <w:rPr>
          <w:rFonts w:ascii="Arial Narrow" w:hAnsi="Arial Narrow" w:cs="Times New Roman"/>
          <w:sz w:val="22"/>
          <w:szCs w:val="22"/>
          <w:lang w:eastAsia="sk-SK"/>
        </w:rPr>
      </w:pPr>
      <w:r w:rsidRPr="00375D8C">
        <w:rPr>
          <w:rFonts w:ascii="Arial Narrow" w:hAnsi="Arial Narrow" w:cs="Times New Roman"/>
          <w:sz w:val="22"/>
          <w:szCs w:val="22"/>
          <w:lang w:eastAsia="sk-SK"/>
        </w:rPr>
        <w:tab/>
      </w:r>
      <w:r w:rsidRPr="00375D8C">
        <w:rPr>
          <w:rFonts w:ascii="Arial Narrow" w:hAnsi="Arial Narrow" w:cs="Times New Roman"/>
          <w:sz w:val="22"/>
          <w:szCs w:val="22"/>
          <w:lang w:eastAsia="sk-SK"/>
        </w:rPr>
        <w:tab/>
      </w:r>
      <w:r w:rsidRPr="00375D8C">
        <w:rPr>
          <w:rFonts w:ascii="Arial Narrow" w:hAnsi="Arial Narrow" w:cs="Times New Roman"/>
          <w:sz w:val="22"/>
          <w:szCs w:val="22"/>
          <w:lang w:eastAsia="sk-SK"/>
        </w:rPr>
        <w:tab/>
      </w:r>
      <w:r w:rsidRPr="00375D8C">
        <w:rPr>
          <w:rFonts w:ascii="Arial Narrow" w:hAnsi="Arial Narrow" w:cs="Times New Roman"/>
          <w:sz w:val="22"/>
          <w:szCs w:val="22"/>
          <w:lang w:eastAsia="sk-SK"/>
        </w:rPr>
        <w:tab/>
      </w:r>
      <w:r w:rsidRPr="00375D8C">
        <w:rPr>
          <w:rFonts w:ascii="Arial Narrow" w:hAnsi="Arial Narrow" w:cs="Times New Roman"/>
          <w:sz w:val="22"/>
          <w:szCs w:val="22"/>
          <w:lang w:eastAsia="sk-SK"/>
        </w:rPr>
        <w:tab/>
      </w:r>
      <w:r w:rsidRPr="00375D8C">
        <w:rPr>
          <w:rFonts w:ascii="Arial Narrow" w:hAnsi="Arial Narrow" w:cs="Times New Roman"/>
          <w:sz w:val="22"/>
          <w:szCs w:val="22"/>
          <w:lang w:eastAsia="sk-SK"/>
        </w:rPr>
        <w:tab/>
      </w:r>
      <w:r w:rsidRPr="00375D8C">
        <w:rPr>
          <w:rFonts w:ascii="Arial Narrow" w:hAnsi="Arial Narrow" w:cs="Times New Roman"/>
          <w:sz w:val="22"/>
          <w:szCs w:val="22"/>
          <w:lang w:eastAsia="sk-SK"/>
        </w:rPr>
        <w:tab/>
      </w:r>
      <w:r w:rsidRPr="00375D8C">
        <w:rPr>
          <w:rFonts w:ascii="Arial Narrow" w:hAnsi="Arial Narrow" w:cs="Times New Roman"/>
          <w:sz w:val="22"/>
          <w:szCs w:val="22"/>
          <w:lang w:eastAsia="sk-SK"/>
        </w:rPr>
        <w:tab/>
      </w:r>
      <w:r w:rsidRPr="00375D8C">
        <w:rPr>
          <w:rFonts w:ascii="Arial Narrow" w:hAnsi="Arial Narrow" w:cs="Times New Roman"/>
          <w:sz w:val="22"/>
          <w:szCs w:val="22"/>
          <w:lang w:eastAsia="sk-SK"/>
        </w:rPr>
        <w:tab/>
      </w:r>
      <w:r w:rsidRPr="00375D8C">
        <w:rPr>
          <w:rFonts w:ascii="Arial Narrow" w:hAnsi="Arial Narrow" w:cs="Times New Roman"/>
          <w:sz w:val="22"/>
          <w:szCs w:val="22"/>
          <w:lang w:eastAsia="sk-SK"/>
        </w:rPr>
        <w:tab/>
      </w:r>
      <w:r w:rsidRPr="00375D8C">
        <w:rPr>
          <w:rFonts w:ascii="Arial Narrow" w:hAnsi="Arial Narrow" w:cs="Times New Roman"/>
          <w:sz w:val="22"/>
          <w:szCs w:val="22"/>
          <w:lang w:eastAsia="sk-SK"/>
        </w:rPr>
        <w:tab/>
        <w:t xml:space="preserve">        </w:t>
      </w:r>
    </w:p>
    <w:p w:rsidR="007D13F3" w:rsidRPr="00375D8C" w:rsidRDefault="007D13F3" w:rsidP="007D13F3">
      <w:pPr>
        <w:jc w:val="both"/>
        <w:rPr>
          <w:rFonts w:ascii="Times New Roman" w:hAnsi="Times New Roman" w:cs="Times New Roman"/>
          <w:lang w:eastAsia="sk-SK"/>
        </w:rPr>
      </w:pPr>
      <w:r w:rsidRPr="00375D8C">
        <w:rPr>
          <w:rFonts w:ascii="Arial Narrow" w:hAnsi="Arial Narrow" w:cs="Times New Roman"/>
          <w:b/>
          <w:sz w:val="22"/>
          <w:szCs w:val="22"/>
          <w:lang w:eastAsia="sk-SK"/>
        </w:rPr>
        <w:tab/>
      </w:r>
      <w:r w:rsidRPr="00375D8C">
        <w:rPr>
          <w:rFonts w:ascii="Times New Roman" w:hAnsi="Times New Roman" w:cs="Times New Roman"/>
          <w:lang w:eastAsia="sk-SK"/>
        </w:rPr>
        <w:t xml:space="preserve">Kapitola Ministerstva pôdohospodárstva a rozvoja vidieka SR (ďalej len „MPRV SR“) má na rok  2018 rozpočtované zdroje vo výške 1,10 mld. eur, v tom rozpočtové prostriedky kapitoly predstavujú sumu 85,4 mil. eur. Výdavky EÚ a spolufinancovania zo štátneho rozpočtu tvoria sumu 1,02 mld. eur. </w:t>
      </w:r>
    </w:p>
    <w:p w:rsidR="007D13F3" w:rsidRPr="00375D8C" w:rsidRDefault="007D13F3" w:rsidP="007D13F3">
      <w:pPr>
        <w:jc w:val="both"/>
        <w:rPr>
          <w:rFonts w:ascii="Times New Roman" w:hAnsi="Times New Roman" w:cs="Times New Roman"/>
          <w:lang w:eastAsia="sk-SK"/>
        </w:rPr>
      </w:pPr>
    </w:p>
    <w:p w:rsidR="007D13F3" w:rsidRPr="00375D8C" w:rsidRDefault="007D13F3" w:rsidP="007D13F3">
      <w:pPr>
        <w:jc w:val="both"/>
        <w:rPr>
          <w:rFonts w:ascii="Times New Roman" w:hAnsi="Times New Roman" w:cs="Times New Roman"/>
          <w:lang w:eastAsia="sk-SK"/>
        </w:rPr>
      </w:pPr>
      <w:r w:rsidRPr="00375D8C">
        <w:rPr>
          <w:rFonts w:ascii="Times New Roman" w:hAnsi="Times New Roman" w:cs="Times New Roman"/>
          <w:lang w:eastAsia="sk-SK"/>
        </w:rPr>
        <w:tab/>
        <w:t>Osobné výdavky sa rozpočtujú v sume 42,5 mil. eur, čo v porovnaní so schváleným rozpočtom v roku 2017 predstavuje zvýšenie o 3,51 mil. eur, t. j. o 9,02 %. Uvedenú zmenu ovplyvnila valorizácia miezd z roku 2017.</w:t>
      </w:r>
    </w:p>
    <w:p w:rsidR="007D13F3" w:rsidRPr="00375D8C" w:rsidRDefault="007D13F3" w:rsidP="007D13F3">
      <w:pPr>
        <w:jc w:val="both"/>
        <w:rPr>
          <w:rFonts w:ascii="Times New Roman" w:hAnsi="Times New Roman" w:cs="Times New Roman"/>
          <w:lang w:eastAsia="sk-SK"/>
        </w:rPr>
      </w:pPr>
    </w:p>
    <w:p w:rsidR="007D13F3" w:rsidRPr="00375D8C" w:rsidRDefault="007D13F3" w:rsidP="007D13F3">
      <w:pPr>
        <w:jc w:val="both"/>
        <w:rPr>
          <w:rFonts w:ascii="Times New Roman" w:hAnsi="Times New Roman" w:cs="Times New Roman"/>
          <w:lang w:eastAsia="sk-SK"/>
        </w:rPr>
      </w:pPr>
      <w:r w:rsidRPr="00375D8C">
        <w:rPr>
          <w:rFonts w:ascii="Times New Roman" w:hAnsi="Times New Roman" w:cs="Times New Roman"/>
          <w:lang w:eastAsia="sk-SK"/>
        </w:rPr>
        <w:tab/>
        <w:t>Výdavky na tovary a služby predstavujú  sumu 27,6 mil. eur. V porovnaní so schváleným rozpočtom roku 2017 sa znižujú o 7,14 mil. eur, t. j. o 20,6 %. Uvedený vývoj  ovplyvnilo nepremietnuté jednorazové zvýšenie výdavkov na tovary a služby z roku 2017.</w:t>
      </w:r>
    </w:p>
    <w:p w:rsidR="007D13F3" w:rsidRPr="00375D8C" w:rsidRDefault="007D13F3" w:rsidP="007D13F3">
      <w:pPr>
        <w:jc w:val="both"/>
        <w:rPr>
          <w:rFonts w:ascii="Times New Roman" w:hAnsi="Times New Roman" w:cs="Times New Roman"/>
          <w:lang w:eastAsia="sk-SK"/>
        </w:rPr>
      </w:pPr>
    </w:p>
    <w:p w:rsidR="007D13F3" w:rsidRPr="00375D8C" w:rsidRDefault="007D13F3" w:rsidP="007D13F3">
      <w:pPr>
        <w:jc w:val="both"/>
        <w:rPr>
          <w:rFonts w:ascii="Times New Roman" w:hAnsi="Times New Roman" w:cs="Times New Roman"/>
          <w:lang w:eastAsia="sk-SK"/>
        </w:rPr>
      </w:pPr>
      <w:r w:rsidRPr="00375D8C">
        <w:rPr>
          <w:rFonts w:ascii="Times New Roman" w:hAnsi="Times New Roman" w:cs="Times New Roman"/>
          <w:lang w:eastAsia="sk-SK"/>
        </w:rPr>
        <w:tab/>
        <w:t>Výdavky na bežné transfery sa rozpočtujú v sume 13,9 mil. eur, čo v porovnaní</w:t>
      </w:r>
      <w:r w:rsidRPr="00375D8C">
        <w:rPr>
          <w:rFonts w:ascii="Times New Roman" w:hAnsi="Times New Roman" w:cs="Times New Roman"/>
          <w:lang w:eastAsia="sk-SK"/>
        </w:rPr>
        <w:br/>
        <w:t>so schváleným rozpočtom roku 2017 predstavuje zníženie o 3,98 mil. eur, t. j. o 22,3 %.</w:t>
      </w:r>
    </w:p>
    <w:p w:rsidR="007D13F3" w:rsidRPr="00375D8C" w:rsidRDefault="007D13F3" w:rsidP="007D13F3">
      <w:pPr>
        <w:jc w:val="both"/>
        <w:rPr>
          <w:rFonts w:ascii="Times New Roman" w:hAnsi="Times New Roman" w:cs="Times New Roman"/>
          <w:lang w:eastAsia="sk-SK"/>
        </w:rPr>
      </w:pPr>
    </w:p>
    <w:p w:rsidR="007D13F3" w:rsidRPr="00375D8C" w:rsidRDefault="007D13F3" w:rsidP="007D13F3">
      <w:pPr>
        <w:jc w:val="both"/>
        <w:rPr>
          <w:rFonts w:ascii="Times New Roman" w:hAnsi="Times New Roman" w:cs="Times New Roman"/>
          <w:lang w:eastAsia="sk-SK"/>
        </w:rPr>
      </w:pPr>
      <w:r w:rsidRPr="00375D8C">
        <w:rPr>
          <w:rFonts w:ascii="Times New Roman" w:hAnsi="Times New Roman" w:cs="Times New Roman"/>
          <w:lang w:eastAsia="sk-SK"/>
        </w:rPr>
        <w:tab/>
        <w:t>Objem kapitálových výdavkov predstavuje sumu 1,50 mil. eur, čo v porovnaní</w:t>
      </w:r>
      <w:r w:rsidRPr="00375D8C">
        <w:rPr>
          <w:rFonts w:ascii="Times New Roman" w:hAnsi="Times New Roman" w:cs="Times New Roman"/>
          <w:lang w:eastAsia="sk-SK"/>
        </w:rPr>
        <w:br/>
        <w:t>so schváleným rozpočtom roku 2017 predstavuje zníženie o 15,3 mil. eur, t. j. o 91,0 %. Uvedenú medziročnú zmenu ovplyvnilo nepremietnuté jednorazové zvýšenie kapitálových výdavkov z roku 2017.</w:t>
      </w:r>
    </w:p>
    <w:p w:rsidR="007D13F3" w:rsidRPr="00375D8C" w:rsidRDefault="007D13F3" w:rsidP="007D13F3">
      <w:pPr>
        <w:jc w:val="both"/>
        <w:rPr>
          <w:rFonts w:ascii="Times New Roman" w:hAnsi="Times New Roman" w:cs="Times New Roman"/>
          <w:lang w:eastAsia="sk-SK"/>
        </w:rPr>
      </w:pPr>
    </w:p>
    <w:p w:rsidR="007D13F3" w:rsidRPr="00375D8C" w:rsidRDefault="007D13F3" w:rsidP="007D13F3">
      <w:pPr>
        <w:ind w:firstLine="708"/>
        <w:jc w:val="both"/>
        <w:rPr>
          <w:rFonts w:ascii="Times New Roman" w:hAnsi="Times New Roman" w:cs="Times New Roman"/>
          <w:lang w:eastAsia="sk-SK"/>
        </w:rPr>
      </w:pPr>
      <w:r w:rsidRPr="00375D8C">
        <w:rPr>
          <w:rFonts w:ascii="Times New Roman" w:hAnsi="Times New Roman" w:cs="Times New Roman"/>
          <w:lang w:eastAsia="sk-SK"/>
        </w:rPr>
        <w:t xml:space="preserve">MPRV SR na rok 2018 rozpočtuje výdavky na samostatných účtoch v celkovej sume </w:t>
      </w:r>
      <w:r w:rsidRPr="00375D8C">
        <w:rPr>
          <w:rFonts w:ascii="Times New Roman" w:hAnsi="Times New Roman" w:cs="Times New Roman"/>
          <w:lang w:eastAsia="sk-SK"/>
        </w:rPr>
        <w:br/>
        <w:t xml:space="preserve">73,6 mil. eur. Uvedené prostriedky sú určené na nákup intervenčných zásob, výdavky spojené </w:t>
      </w:r>
      <w:r w:rsidRPr="00375D8C">
        <w:rPr>
          <w:rFonts w:ascii="Times New Roman" w:hAnsi="Times New Roman" w:cs="Times New Roman"/>
          <w:lang w:eastAsia="sk-SK"/>
        </w:rPr>
        <w:br/>
        <w:t>so skladovaním a manipuláciou intervenčných zásob, prípadné splátky úrokov, na náklady spojené s vyhľadávaním, odberom a analýzou vzoriek škodlivých organizmov, na čerpanie v súvislosti s plnením programov z Európskeho poľnohospodárskeho a záručného fondu a Európskeho poľnohospodárskeho fondu pre rozvoj vidieka.</w:t>
      </w:r>
    </w:p>
    <w:p w:rsidR="007D13F3" w:rsidRPr="00375D8C" w:rsidRDefault="007D13F3" w:rsidP="007D13F3">
      <w:pPr>
        <w:jc w:val="both"/>
        <w:rPr>
          <w:rFonts w:ascii="Arial Narrow" w:hAnsi="Arial Narrow" w:cs="Times New Roman"/>
          <w:b/>
          <w:sz w:val="22"/>
          <w:szCs w:val="22"/>
          <w:u w:val="single"/>
          <w:lang w:eastAsia="sk-SK"/>
        </w:rPr>
      </w:pPr>
    </w:p>
    <w:p w:rsidR="007D13F3" w:rsidRPr="00375D8C" w:rsidRDefault="007D13F3" w:rsidP="007D13F3">
      <w:pPr>
        <w:jc w:val="both"/>
        <w:rPr>
          <w:rFonts w:ascii="Times New Roman" w:hAnsi="Times New Roman" w:cs="Times New Roman"/>
          <w:lang w:eastAsia="sk-SK"/>
        </w:rPr>
      </w:pPr>
      <w:r w:rsidRPr="00375D8C">
        <w:rPr>
          <w:rFonts w:ascii="Times New Roman" w:hAnsi="Times New Roman" w:cs="Times New Roman"/>
          <w:lang w:eastAsia="sk-SK"/>
        </w:rPr>
        <w:lastRenderedPageBreak/>
        <w:t>Výdavky kapitoly MPRV SR sú smerované do nasledovných oblastí</w:t>
      </w:r>
      <w:r w:rsidR="007E7B9D">
        <w:rPr>
          <w:rFonts w:ascii="Times New Roman" w:hAnsi="Times New Roman" w:cs="Times New Roman"/>
          <w:lang w:eastAsia="sk-SK"/>
        </w:rPr>
        <w:t>:</w:t>
      </w:r>
    </w:p>
    <w:p w:rsidR="007D13F3" w:rsidRPr="00375D8C" w:rsidRDefault="007D13F3" w:rsidP="007D13F3">
      <w:pPr>
        <w:jc w:val="both"/>
        <w:rPr>
          <w:rFonts w:ascii="Times New Roman" w:hAnsi="Times New Roman" w:cs="Times New Roman"/>
          <w:lang w:eastAsia="sk-SK"/>
        </w:rPr>
      </w:pPr>
    </w:p>
    <w:tbl>
      <w:tblPr>
        <w:tblW w:w="0" w:type="auto"/>
        <w:tblCellMar>
          <w:left w:w="70" w:type="dxa"/>
          <w:right w:w="70" w:type="dxa"/>
        </w:tblCellMar>
        <w:tblLook w:val="04A0" w:firstRow="1" w:lastRow="0" w:firstColumn="1" w:lastColumn="0" w:noHBand="0" w:noVBand="1"/>
      </w:tblPr>
      <w:tblGrid>
        <w:gridCol w:w="2087"/>
        <w:gridCol w:w="977"/>
        <w:gridCol w:w="977"/>
        <w:gridCol w:w="977"/>
        <w:gridCol w:w="978"/>
        <w:gridCol w:w="977"/>
        <w:gridCol w:w="1117"/>
        <w:gridCol w:w="972"/>
      </w:tblGrid>
      <w:tr w:rsidR="007D13F3" w:rsidRPr="00375D8C" w:rsidTr="00465CAC">
        <w:trPr>
          <w:trHeight w:val="255"/>
        </w:trPr>
        <w:tc>
          <w:tcPr>
            <w:tcW w:w="2122"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7D13F3" w:rsidRPr="00375D8C" w:rsidRDefault="007D13F3" w:rsidP="00465CAC">
            <w:pPr>
              <w:rPr>
                <w:rFonts w:ascii="Times New Roman" w:hAnsi="Times New Roman" w:cs="Times New Roman"/>
                <w:b/>
                <w:bCs/>
                <w:color w:val="000000"/>
                <w:sz w:val="14"/>
                <w:szCs w:val="14"/>
                <w:lang w:eastAsia="sk-SK"/>
              </w:rPr>
            </w:pPr>
            <w:r w:rsidRPr="00375D8C">
              <w:rPr>
                <w:rFonts w:ascii="Times New Roman" w:hAnsi="Times New Roman" w:cs="Times New Roman"/>
                <w:b/>
                <w:bCs/>
                <w:color w:val="000000"/>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2015 S</w:t>
            </w:r>
          </w:p>
        </w:tc>
        <w:tc>
          <w:tcPr>
            <w:tcW w:w="992" w:type="dxa"/>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2016 S</w:t>
            </w:r>
          </w:p>
        </w:tc>
        <w:tc>
          <w:tcPr>
            <w:tcW w:w="992" w:type="dxa"/>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R</w:t>
            </w:r>
          </w:p>
        </w:tc>
        <w:tc>
          <w:tcPr>
            <w:tcW w:w="993" w:type="dxa"/>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OS</w:t>
            </w:r>
          </w:p>
        </w:tc>
        <w:tc>
          <w:tcPr>
            <w:tcW w:w="992" w:type="dxa"/>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2018 N</w:t>
            </w:r>
          </w:p>
        </w:tc>
        <w:tc>
          <w:tcPr>
            <w:tcW w:w="1134" w:type="dxa"/>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2019 N</w:t>
            </w:r>
          </w:p>
        </w:tc>
        <w:tc>
          <w:tcPr>
            <w:tcW w:w="987" w:type="dxa"/>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2020 N</w:t>
            </w:r>
          </w:p>
        </w:tc>
      </w:tr>
      <w:tr w:rsidR="007D13F3" w:rsidRPr="00375D8C" w:rsidTr="00465CAC">
        <w:trPr>
          <w:trHeight w:val="255"/>
        </w:trPr>
        <w:tc>
          <w:tcPr>
            <w:tcW w:w="2122" w:type="dxa"/>
            <w:tcBorders>
              <w:top w:val="nil"/>
              <w:left w:val="single" w:sz="4" w:space="0" w:color="auto"/>
              <w:bottom w:val="single" w:sz="4" w:space="0" w:color="auto"/>
              <w:right w:val="single" w:sz="4" w:space="0" w:color="auto"/>
            </w:tcBorders>
            <w:shd w:val="clear" w:color="000000" w:fill="C0C0C0"/>
            <w:vAlign w:val="center"/>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Ministerstvo pôdohospodárstva a rozvoja vidieka SR</w:t>
            </w:r>
          </w:p>
        </w:tc>
        <w:tc>
          <w:tcPr>
            <w:tcW w:w="992" w:type="dxa"/>
            <w:tcBorders>
              <w:top w:val="nil"/>
              <w:left w:val="nil"/>
              <w:bottom w:val="single" w:sz="4" w:space="0" w:color="auto"/>
              <w:right w:val="single" w:sz="4" w:space="0" w:color="auto"/>
            </w:tcBorders>
            <w:shd w:val="clear" w:color="000000" w:fill="C0C0C0"/>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1 255 758 519</w:t>
            </w:r>
          </w:p>
        </w:tc>
        <w:tc>
          <w:tcPr>
            <w:tcW w:w="992" w:type="dxa"/>
            <w:tcBorders>
              <w:top w:val="nil"/>
              <w:left w:val="nil"/>
              <w:bottom w:val="single" w:sz="4" w:space="0" w:color="auto"/>
              <w:right w:val="single" w:sz="4" w:space="0" w:color="auto"/>
            </w:tcBorders>
            <w:shd w:val="clear" w:color="000000" w:fill="C0C0C0"/>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820 320 430</w:t>
            </w:r>
          </w:p>
        </w:tc>
        <w:tc>
          <w:tcPr>
            <w:tcW w:w="992" w:type="dxa"/>
            <w:tcBorders>
              <w:top w:val="nil"/>
              <w:left w:val="nil"/>
              <w:bottom w:val="single" w:sz="4" w:space="0" w:color="auto"/>
              <w:right w:val="single" w:sz="4" w:space="0" w:color="auto"/>
            </w:tcBorders>
            <w:shd w:val="clear" w:color="000000" w:fill="C0C0C0"/>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1 095 118 518</w:t>
            </w:r>
          </w:p>
        </w:tc>
        <w:tc>
          <w:tcPr>
            <w:tcW w:w="993" w:type="dxa"/>
            <w:tcBorders>
              <w:top w:val="nil"/>
              <w:left w:val="nil"/>
              <w:bottom w:val="single" w:sz="4" w:space="0" w:color="auto"/>
              <w:right w:val="single" w:sz="4" w:space="0" w:color="auto"/>
            </w:tcBorders>
            <w:shd w:val="clear" w:color="000000" w:fill="C0C0C0"/>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927 551 456</w:t>
            </w:r>
          </w:p>
        </w:tc>
        <w:tc>
          <w:tcPr>
            <w:tcW w:w="992" w:type="dxa"/>
            <w:tcBorders>
              <w:top w:val="nil"/>
              <w:left w:val="nil"/>
              <w:bottom w:val="single" w:sz="4" w:space="0" w:color="auto"/>
              <w:right w:val="single" w:sz="4" w:space="0" w:color="auto"/>
            </w:tcBorders>
            <w:shd w:val="clear" w:color="000000" w:fill="C0C0C0"/>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1 100 869 219</w:t>
            </w:r>
          </w:p>
        </w:tc>
        <w:tc>
          <w:tcPr>
            <w:tcW w:w="1134" w:type="dxa"/>
            <w:tcBorders>
              <w:top w:val="nil"/>
              <w:left w:val="nil"/>
              <w:bottom w:val="single" w:sz="4" w:space="0" w:color="auto"/>
              <w:right w:val="single" w:sz="4" w:space="0" w:color="auto"/>
            </w:tcBorders>
            <w:shd w:val="clear" w:color="000000" w:fill="C0C0C0"/>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1 492 339 367</w:t>
            </w:r>
          </w:p>
        </w:tc>
        <w:tc>
          <w:tcPr>
            <w:tcW w:w="987" w:type="dxa"/>
            <w:tcBorders>
              <w:top w:val="nil"/>
              <w:left w:val="nil"/>
              <w:bottom w:val="single" w:sz="4" w:space="0" w:color="auto"/>
              <w:right w:val="single" w:sz="4" w:space="0" w:color="auto"/>
            </w:tcBorders>
            <w:shd w:val="clear" w:color="000000" w:fill="C0C0C0"/>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1 366 949 272</w:t>
            </w:r>
          </w:p>
        </w:tc>
      </w:tr>
      <w:tr w:rsidR="007D13F3" w:rsidRPr="00375D8C" w:rsidTr="00465CAC">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Priame platby</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384 954 882</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408 006 533</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463 667 811</w:t>
            </w:r>
          </w:p>
        </w:tc>
        <w:tc>
          <w:tcPr>
            <w:tcW w:w="993"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460 960 384</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467 160 159</w:t>
            </w:r>
          </w:p>
        </w:tc>
        <w:tc>
          <w:tcPr>
            <w:tcW w:w="1134"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467 132 094</w:t>
            </w:r>
          </w:p>
        </w:tc>
        <w:tc>
          <w:tcPr>
            <w:tcW w:w="987"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470 767 761</w:t>
            </w:r>
          </w:p>
        </w:tc>
      </w:tr>
      <w:tr w:rsidR="007D13F3" w:rsidRPr="00375D8C" w:rsidTr="00465CAC">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Rozvoj vidieka</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373 749 281</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162 419 206</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481 573 902</w:t>
            </w:r>
          </w:p>
        </w:tc>
        <w:tc>
          <w:tcPr>
            <w:tcW w:w="993"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296 361 090</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309 440 402</w:t>
            </w:r>
          </w:p>
        </w:tc>
        <w:tc>
          <w:tcPr>
            <w:tcW w:w="1134"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300 562 902</w:t>
            </w:r>
          </w:p>
        </w:tc>
        <w:tc>
          <w:tcPr>
            <w:tcW w:w="987"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317 420 851</w:t>
            </w:r>
          </w:p>
        </w:tc>
      </w:tr>
      <w:tr w:rsidR="007D13F3" w:rsidRPr="00375D8C" w:rsidTr="00465CAC">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Rybné hospodárstvo</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2 602 255</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413 467</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993"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6 549 083</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1 213 787</w:t>
            </w:r>
          </w:p>
        </w:tc>
        <w:tc>
          <w:tcPr>
            <w:tcW w:w="1134"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7 781 232</w:t>
            </w:r>
          </w:p>
        </w:tc>
        <w:tc>
          <w:tcPr>
            <w:tcW w:w="987"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4 828 285</w:t>
            </w:r>
          </w:p>
        </w:tc>
      </w:tr>
      <w:tr w:rsidR="007D13F3" w:rsidRPr="00375D8C" w:rsidTr="00465CAC">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Trhovo-orientované výdavky</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13 714 089</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11 509 048</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15 600 000</w:t>
            </w:r>
          </w:p>
        </w:tc>
        <w:tc>
          <w:tcPr>
            <w:tcW w:w="993"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21 341 845</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16 400 000</w:t>
            </w:r>
          </w:p>
        </w:tc>
        <w:tc>
          <w:tcPr>
            <w:tcW w:w="1134"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16 400 000</w:t>
            </w:r>
          </w:p>
        </w:tc>
        <w:tc>
          <w:tcPr>
            <w:tcW w:w="987"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16 800 000</w:t>
            </w:r>
          </w:p>
        </w:tc>
      </w:tr>
      <w:tr w:rsidR="007D13F3" w:rsidRPr="00375D8C" w:rsidTr="00465CAC">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Štátna pomoc</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11 298 637</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4 599 685</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3 186 272</w:t>
            </w:r>
          </w:p>
        </w:tc>
        <w:tc>
          <w:tcPr>
            <w:tcW w:w="993"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3 186 404</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1 000 000</w:t>
            </w:r>
          </w:p>
        </w:tc>
        <w:tc>
          <w:tcPr>
            <w:tcW w:w="1134"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2 800 000</w:t>
            </w:r>
          </w:p>
        </w:tc>
        <w:tc>
          <w:tcPr>
            <w:tcW w:w="987"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2 800 000</w:t>
            </w:r>
          </w:p>
        </w:tc>
      </w:tr>
      <w:tr w:rsidR="007D13F3" w:rsidRPr="00375D8C" w:rsidTr="00465CAC">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Regionálny rozvoj</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341 210 814</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92 799 657</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25 983 309</w:t>
            </w:r>
          </w:p>
        </w:tc>
        <w:tc>
          <w:tcPr>
            <w:tcW w:w="993"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29 333 504</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221 222 503</w:t>
            </w:r>
          </w:p>
        </w:tc>
        <w:tc>
          <w:tcPr>
            <w:tcW w:w="1134"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615 030 771</w:t>
            </w:r>
          </w:p>
        </w:tc>
        <w:tc>
          <w:tcPr>
            <w:tcW w:w="987"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471 700 007</w:t>
            </w:r>
          </w:p>
        </w:tc>
      </w:tr>
      <w:tr w:rsidR="007D13F3" w:rsidRPr="00375D8C" w:rsidTr="00465CA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 xml:space="preserve">Inštitucionálna podpora </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128 228 561</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140 572 834</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105 107 224</w:t>
            </w:r>
          </w:p>
        </w:tc>
        <w:tc>
          <w:tcPr>
            <w:tcW w:w="993"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109 819 146</w:t>
            </w:r>
          </w:p>
        </w:tc>
        <w:tc>
          <w:tcPr>
            <w:tcW w:w="992"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84 432 368</w:t>
            </w:r>
          </w:p>
        </w:tc>
        <w:tc>
          <w:tcPr>
            <w:tcW w:w="1134"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82 632 368</w:t>
            </w:r>
          </w:p>
        </w:tc>
        <w:tc>
          <w:tcPr>
            <w:tcW w:w="987" w:type="dxa"/>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82 632 368</w:t>
            </w:r>
          </w:p>
        </w:tc>
      </w:tr>
    </w:tbl>
    <w:p w:rsidR="007D13F3" w:rsidRPr="00375D8C" w:rsidRDefault="007D13F3" w:rsidP="007D13F3">
      <w:pPr>
        <w:jc w:val="both"/>
        <w:rPr>
          <w:rFonts w:ascii="Times New Roman" w:hAnsi="Times New Roman" w:cs="Times New Roman"/>
          <w:lang w:eastAsia="sk-SK"/>
        </w:rPr>
      </w:pPr>
      <w:r w:rsidRPr="00375D8C">
        <w:rPr>
          <w:rFonts w:ascii="Times New Roman" w:hAnsi="Times New Roman" w:cs="Times New Roman"/>
          <w:lang w:eastAsia="sk-SK"/>
        </w:rPr>
        <w:tab/>
      </w:r>
      <w:r w:rsidRPr="00375D8C">
        <w:rPr>
          <w:rFonts w:ascii="Arial Narrow" w:hAnsi="Arial Narrow" w:cs="Times New Roman"/>
          <w:sz w:val="22"/>
          <w:szCs w:val="22"/>
          <w:lang w:eastAsia="sk-SK"/>
        </w:rPr>
        <w:tab/>
      </w:r>
      <w:r w:rsidRPr="00375D8C">
        <w:rPr>
          <w:rFonts w:ascii="Arial Narrow" w:hAnsi="Arial Narrow" w:cs="Times New Roman"/>
          <w:sz w:val="22"/>
          <w:szCs w:val="22"/>
          <w:lang w:eastAsia="sk-SK"/>
        </w:rPr>
        <w:tab/>
      </w:r>
      <w:r w:rsidRPr="00375D8C">
        <w:rPr>
          <w:rFonts w:ascii="Arial Narrow" w:hAnsi="Arial Narrow" w:cs="Times New Roman"/>
          <w:sz w:val="22"/>
          <w:szCs w:val="22"/>
          <w:lang w:eastAsia="sk-SK"/>
        </w:rPr>
        <w:tab/>
        <w:t xml:space="preserve"> </w:t>
      </w:r>
    </w:p>
    <w:p w:rsidR="007D13F3" w:rsidRPr="00375D8C" w:rsidRDefault="007D13F3" w:rsidP="007D13F3">
      <w:pPr>
        <w:jc w:val="both"/>
        <w:rPr>
          <w:rFonts w:ascii="Times New Roman" w:hAnsi="Times New Roman" w:cs="Times New Roman"/>
          <w:b/>
          <w:lang w:eastAsia="sk-SK"/>
        </w:rPr>
      </w:pPr>
      <w:r w:rsidRPr="00375D8C">
        <w:rPr>
          <w:rFonts w:ascii="Times New Roman" w:hAnsi="Times New Roman" w:cs="Times New Roman"/>
          <w:b/>
          <w:lang w:eastAsia="sk-SK"/>
        </w:rPr>
        <w:t>Priame platby</w:t>
      </w:r>
    </w:p>
    <w:p w:rsidR="007D13F3" w:rsidRPr="00375D8C" w:rsidRDefault="007D13F3" w:rsidP="007D13F3">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978"/>
        <w:gridCol w:w="891"/>
        <w:gridCol w:w="891"/>
        <w:gridCol w:w="840"/>
        <w:gridCol w:w="891"/>
        <w:gridCol w:w="891"/>
        <w:gridCol w:w="840"/>
        <w:gridCol w:w="840"/>
      </w:tblGrid>
      <w:tr w:rsidR="007D13F3" w:rsidRPr="00375D8C" w:rsidTr="00465CAC">
        <w:trPr>
          <w:trHeight w:val="255"/>
        </w:trPr>
        <w:tc>
          <w:tcPr>
            <w:tcW w:w="1655"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v eurách</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2015 S</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2016 S</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R</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OS</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2018 N</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2019 N</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2020 N</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000000" w:fill="BFBFBF"/>
            <w:noWrap/>
            <w:vAlign w:val="center"/>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 xml:space="preserve">Priame platby </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384 954 882</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408 006 533</w:t>
            </w:r>
          </w:p>
        </w:tc>
        <w:tc>
          <w:tcPr>
            <w:tcW w:w="442"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463 667 811</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460 960 384</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467 160 159</w:t>
            </w:r>
          </w:p>
        </w:tc>
        <w:tc>
          <w:tcPr>
            <w:tcW w:w="442"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467 132 094</w:t>
            </w:r>
          </w:p>
        </w:tc>
        <w:tc>
          <w:tcPr>
            <w:tcW w:w="442"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470 767 761</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prostriedky EÚ</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310 480 477</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274 576 607</w:t>
            </w:r>
          </w:p>
        </w:tc>
        <w:tc>
          <w:tcPr>
            <w:tcW w:w="442"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441 478 000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279 187 072</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444 636 000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448 155 000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451 659 000</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spolufinancovanie zo ŠR</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3 107 806</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3 179 000</w:t>
            </w:r>
          </w:p>
        </w:tc>
        <w:tc>
          <w:tcPr>
            <w:tcW w:w="442"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3 158 000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3 158 000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3 519 000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prechodná vnútroštátna platba</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5 699 751</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4 789 393</w:t>
            </w:r>
          </w:p>
        </w:tc>
        <w:tc>
          <w:tcPr>
            <w:tcW w:w="442"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19 031 811</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19 031 811</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19 005 159</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18 977 094</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19 108 761</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presun z minulých rokov</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65 666 848</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125 461 533</w:t>
            </w:r>
          </w:p>
        </w:tc>
        <w:tc>
          <w:tcPr>
            <w:tcW w:w="442"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159 583 501</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r>
    </w:tbl>
    <w:p w:rsidR="007D13F3" w:rsidRPr="00375D8C" w:rsidRDefault="007D13F3" w:rsidP="007D13F3">
      <w:pPr>
        <w:jc w:val="both"/>
        <w:rPr>
          <w:rFonts w:ascii="Times New Roman" w:hAnsi="Times New Roman" w:cs="Times New Roman"/>
          <w:noProof/>
          <w:sz w:val="14"/>
          <w:szCs w:val="14"/>
          <w:lang w:eastAsia="sk-SK"/>
        </w:rPr>
      </w:pPr>
    </w:p>
    <w:p w:rsidR="007D13F3" w:rsidRPr="00375D8C" w:rsidRDefault="007D13F3" w:rsidP="007D13F3">
      <w:pPr>
        <w:jc w:val="both"/>
        <w:rPr>
          <w:rFonts w:ascii="Times New Roman" w:hAnsi="Times New Roman" w:cs="Times New Roman"/>
          <w:noProof/>
          <w:lang w:eastAsia="sk-SK"/>
        </w:rPr>
      </w:pPr>
    </w:p>
    <w:p w:rsidR="007D13F3" w:rsidRPr="00375D8C" w:rsidRDefault="007D13F3" w:rsidP="007D13F3">
      <w:pPr>
        <w:ind w:firstLine="708"/>
        <w:jc w:val="both"/>
        <w:rPr>
          <w:rFonts w:ascii="Times New Roman" w:hAnsi="Times New Roman" w:cs="Times New Roman"/>
          <w:noProof/>
          <w:lang w:eastAsia="sk-SK"/>
        </w:rPr>
      </w:pPr>
      <w:r w:rsidRPr="00375D8C">
        <w:rPr>
          <w:rFonts w:ascii="Times New Roman" w:hAnsi="Times New Roman" w:cs="Times New Roman"/>
          <w:noProof/>
          <w:lang w:eastAsia="sk-SK"/>
        </w:rPr>
        <w:t>Priame platby predstavujú dotácie na zachovanie poľnohospodárskej produkcie podľa vopred stanovených výrobných kvót. Stabilizujú príjmy farmárov, zlepšujú konkurenčnú pozíciu farmárov, zabraňujú negatívnemu vplyvu cezhraničnej dotačnej konkurencie z okolitých krajín, rozvíjajú odvetvia tvoriace pridanú hodnotu na území SR a revitalizujú živočíšnu výrobu.</w:t>
      </w:r>
    </w:p>
    <w:p w:rsidR="007D13F3" w:rsidRPr="00375D8C" w:rsidRDefault="007D13F3" w:rsidP="007D13F3">
      <w:pPr>
        <w:jc w:val="both"/>
        <w:rPr>
          <w:rFonts w:ascii="Times New Roman" w:hAnsi="Times New Roman" w:cs="Times New Roman"/>
          <w:noProof/>
          <w:lang w:eastAsia="sk-SK"/>
        </w:rPr>
      </w:pPr>
    </w:p>
    <w:p w:rsidR="007D13F3" w:rsidRPr="00375D8C" w:rsidRDefault="007D13F3" w:rsidP="007D13F3">
      <w:pPr>
        <w:ind w:firstLine="708"/>
        <w:jc w:val="both"/>
        <w:rPr>
          <w:rFonts w:ascii="Times New Roman" w:hAnsi="Times New Roman" w:cs="Times New Roman"/>
          <w:noProof/>
          <w:lang w:eastAsia="sk-SK"/>
        </w:rPr>
      </w:pPr>
      <w:r w:rsidRPr="00375D8C">
        <w:rPr>
          <w:rFonts w:ascii="Times New Roman" w:hAnsi="Times New Roman" w:cs="Times New Roman"/>
          <w:noProof/>
          <w:lang w:eastAsia="sk-SK"/>
        </w:rPr>
        <w:t>V porovnaní so schváleným rozpočtom roku 2017</w:t>
      </w:r>
      <w:r w:rsidRPr="00375D8C">
        <w:rPr>
          <w:rFonts w:ascii="Times New Roman" w:hAnsi="Times New Roman" w:cs="Times New Roman"/>
          <w:b/>
          <w:noProof/>
          <w:lang w:eastAsia="sk-SK"/>
        </w:rPr>
        <w:t xml:space="preserve"> </w:t>
      </w:r>
      <w:r w:rsidRPr="00375D8C">
        <w:rPr>
          <w:rFonts w:ascii="Times New Roman" w:hAnsi="Times New Roman" w:cs="Times New Roman"/>
          <w:noProof/>
          <w:lang w:eastAsia="sk-SK"/>
        </w:rPr>
        <w:t xml:space="preserve">sú priame platby vyššie </w:t>
      </w:r>
      <w:r w:rsidR="007E7B9D">
        <w:rPr>
          <w:rFonts w:ascii="Times New Roman" w:hAnsi="Times New Roman" w:cs="Times New Roman"/>
          <w:noProof/>
          <w:lang w:eastAsia="sk-SK"/>
        </w:rPr>
        <w:br/>
      </w:r>
      <w:r w:rsidRPr="00375D8C">
        <w:rPr>
          <w:rFonts w:ascii="Times New Roman" w:hAnsi="Times New Roman" w:cs="Times New Roman"/>
          <w:noProof/>
          <w:lang w:eastAsia="sk-SK"/>
        </w:rPr>
        <w:t>o 3,49 mil. eur, t. j. o 0,75</w:t>
      </w:r>
      <w:r w:rsidR="007E7B9D">
        <w:rPr>
          <w:rFonts w:ascii="Times New Roman" w:hAnsi="Times New Roman" w:cs="Times New Roman"/>
          <w:noProof/>
          <w:lang w:eastAsia="sk-SK"/>
        </w:rPr>
        <w:t xml:space="preserve"> </w:t>
      </w:r>
      <w:r w:rsidRPr="00375D8C">
        <w:rPr>
          <w:rFonts w:ascii="Times New Roman" w:hAnsi="Times New Roman" w:cs="Times New Roman"/>
          <w:noProof/>
          <w:lang w:eastAsia="sk-SK"/>
        </w:rPr>
        <w:t xml:space="preserve">%. V rámci týchto prostriedkov je rozpočtovaná aj prechodná vnútroštátna platba, ktorá je </w:t>
      </w:r>
      <w:r w:rsidR="007E7B9D">
        <w:rPr>
          <w:rFonts w:ascii="Times New Roman" w:hAnsi="Times New Roman" w:cs="Times New Roman"/>
          <w:noProof/>
          <w:lang w:eastAsia="sk-SK"/>
        </w:rPr>
        <w:t>na</w:t>
      </w:r>
      <w:r w:rsidRPr="00375D8C">
        <w:rPr>
          <w:rFonts w:ascii="Times New Roman" w:hAnsi="Times New Roman" w:cs="Times New Roman"/>
          <w:noProof/>
          <w:lang w:eastAsia="sk-SK"/>
        </w:rPr>
        <w:t xml:space="preserve"> rok 2018 navrhnutá v sume 19,0 mil. eur v súlade s Koncepciou rozvoja pôdohospodárstva SR na roky 2013 – 2020. </w:t>
      </w:r>
    </w:p>
    <w:p w:rsidR="007D13F3" w:rsidRPr="00375D8C" w:rsidRDefault="007D13F3" w:rsidP="007D13F3">
      <w:pPr>
        <w:jc w:val="both"/>
        <w:rPr>
          <w:rFonts w:ascii="Arial Narrow" w:hAnsi="Arial Narrow" w:cs="Times New Roman"/>
          <w:b/>
          <w:sz w:val="22"/>
          <w:szCs w:val="22"/>
          <w:lang w:eastAsia="sk-SK"/>
        </w:rPr>
      </w:pPr>
    </w:p>
    <w:p w:rsidR="007D13F3" w:rsidRPr="00375D8C" w:rsidRDefault="007D13F3" w:rsidP="007D13F3">
      <w:pPr>
        <w:jc w:val="both"/>
        <w:rPr>
          <w:rFonts w:ascii="Times New Roman" w:hAnsi="Times New Roman" w:cs="Times New Roman"/>
          <w:b/>
          <w:lang w:eastAsia="sk-SK"/>
        </w:rPr>
      </w:pPr>
      <w:r w:rsidRPr="00375D8C">
        <w:rPr>
          <w:rFonts w:ascii="Times New Roman" w:hAnsi="Times New Roman" w:cs="Times New Roman"/>
          <w:b/>
          <w:lang w:eastAsia="sk-SK"/>
        </w:rPr>
        <w:t>Rozvoj vidieka</w:t>
      </w:r>
    </w:p>
    <w:p w:rsidR="007D13F3" w:rsidRPr="00375D8C" w:rsidRDefault="007D13F3" w:rsidP="007D13F3">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978"/>
        <w:gridCol w:w="891"/>
        <w:gridCol w:w="891"/>
        <w:gridCol w:w="840"/>
        <w:gridCol w:w="891"/>
        <w:gridCol w:w="891"/>
        <w:gridCol w:w="840"/>
        <w:gridCol w:w="840"/>
      </w:tblGrid>
      <w:tr w:rsidR="007D13F3" w:rsidRPr="00375D8C" w:rsidTr="00465CAC">
        <w:trPr>
          <w:trHeight w:val="255"/>
        </w:trPr>
        <w:tc>
          <w:tcPr>
            <w:tcW w:w="1655" w:type="pct"/>
            <w:tcBorders>
              <w:top w:val="single" w:sz="4" w:space="0" w:color="auto"/>
              <w:left w:val="single" w:sz="4" w:space="0" w:color="auto"/>
              <w:bottom w:val="single" w:sz="4" w:space="0" w:color="auto"/>
              <w:right w:val="single" w:sz="4" w:space="0" w:color="auto"/>
            </w:tcBorders>
            <w:shd w:val="clear" w:color="000000" w:fill="A5A5A5"/>
            <w:noWrap/>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v eurách</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2015 S</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2016 S</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R</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OS</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2018 N</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2019 N</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2020 N</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000000" w:fill="C0C0C0"/>
            <w:noWrap/>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 xml:space="preserve">Rozvoj vidieka </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373 749 281</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162 419 206</w:t>
            </w:r>
          </w:p>
        </w:tc>
        <w:tc>
          <w:tcPr>
            <w:tcW w:w="442"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481 573 902</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 xml:space="preserve">296 361 090 </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309 440 402</w:t>
            </w:r>
          </w:p>
        </w:tc>
        <w:tc>
          <w:tcPr>
            <w:tcW w:w="442"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300 562 902</w:t>
            </w:r>
          </w:p>
        </w:tc>
        <w:tc>
          <w:tcPr>
            <w:tcW w:w="442"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317 420 851</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auto" w:fill="auto"/>
            <w:noWrap/>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prostriedky EÚ</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126 868 295</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40 843 667</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357 481 652</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153 782 765</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229 616 492</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224 458 327</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233 989 722</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auto" w:fill="auto"/>
            <w:noWrap/>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spolufinancovanie zo ŠR</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41 224 918</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14 407 191</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124 092 250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28 597 167</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79 823 910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76 104 575</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83 431 129</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auto" w:fill="auto"/>
            <w:noWrap/>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presun z minulých rokov</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205 656 068</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107 168 348</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113 981 158</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r>
    </w:tbl>
    <w:p w:rsidR="007D13F3" w:rsidRPr="00375D8C" w:rsidRDefault="007D13F3" w:rsidP="007D13F3">
      <w:pPr>
        <w:jc w:val="both"/>
        <w:rPr>
          <w:rFonts w:ascii="Times New Roman" w:hAnsi="Times New Roman" w:cs="Times New Roman"/>
          <w:b/>
          <w:sz w:val="14"/>
          <w:szCs w:val="14"/>
          <w:lang w:eastAsia="sk-SK"/>
        </w:rPr>
      </w:pPr>
    </w:p>
    <w:p w:rsidR="007D13F3" w:rsidRPr="00375D8C" w:rsidRDefault="007D13F3" w:rsidP="007D13F3">
      <w:pPr>
        <w:jc w:val="both"/>
        <w:rPr>
          <w:rFonts w:ascii="Times New Roman" w:hAnsi="Times New Roman" w:cs="Times New Roman"/>
          <w:noProof/>
          <w:lang w:eastAsia="sk-SK"/>
        </w:rPr>
      </w:pPr>
    </w:p>
    <w:p w:rsidR="007D13F3" w:rsidRPr="00375D8C" w:rsidRDefault="007D13F3" w:rsidP="007D13F3">
      <w:pPr>
        <w:ind w:firstLine="708"/>
        <w:jc w:val="both"/>
        <w:rPr>
          <w:rFonts w:ascii="Times New Roman" w:hAnsi="Times New Roman" w:cs="Times New Roman"/>
          <w:lang w:eastAsia="sk-SK"/>
        </w:rPr>
      </w:pPr>
      <w:r w:rsidRPr="00375D8C">
        <w:rPr>
          <w:rFonts w:ascii="Times New Roman" w:hAnsi="Times New Roman" w:cs="Times New Roman"/>
          <w:noProof/>
          <w:lang w:eastAsia="sk-SK"/>
        </w:rPr>
        <w:t xml:space="preserve">Výdavky na rozvoj vidieka sú oproti schválenému rozpočtu roku 2017 nižšie </w:t>
      </w:r>
      <w:r w:rsidR="009C37FC">
        <w:rPr>
          <w:rFonts w:ascii="Times New Roman" w:hAnsi="Times New Roman" w:cs="Times New Roman"/>
          <w:noProof/>
          <w:lang w:eastAsia="sk-SK"/>
        </w:rPr>
        <w:br/>
      </w:r>
      <w:r w:rsidRPr="00375D8C">
        <w:rPr>
          <w:rFonts w:ascii="Times New Roman" w:hAnsi="Times New Roman" w:cs="Times New Roman"/>
          <w:noProof/>
          <w:lang w:eastAsia="sk-SK"/>
        </w:rPr>
        <w:t xml:space="preserve">o 172 mil. eur, t. j. o 35,7 %. Medziročné zníženie týchto výdavkov je spôsobené </w:t>
      </w:r>
      <w:r w:rsidRPr="00375D8C">
        <w:rPr>
          <w:rFonts w:ascii="Times New Roman" w:hAnsi="Times New Roman" w:cs="Times New Roman"/>
          <w:lang w:eastAsia="sk-SK"/>
        </w:rPr>
        <w:t>poklesom zdrojov EÚ a spolufinancovania.</w:t>
      </w:r>
    </w:p>
    <w:p w:rsidR="007D13F3" w:rsidRDefault="007D13F3" w:rsidP="007D13F3">
      <w:pPr>
        <w:spacing w:after="160" w:line="259" w:lineRule="auto"/>
        <w:rPr>
          <w:rFonts w:ascii="Arial Narrow" w:hAnsi="Arial Narrow" w:cs="Times New Roman"/>
          <w:b/>
          <w:sz w:val="22"/>
          <w:szCs w:val="22"/>
          <w:lang w:eastAsia="sk-SK"/>
        </w:rPr>
      </w:pPr>
      <w:r>
        <w:rPr>
          <w:rFonts w:ascii="Arial Narrow" w:hAnsi="Arial Narrow" w:cs="Times New Roman"/>
          <w:b/>
          <w:sz w:val="22"/>
          <w:szCs w:val="22"/>
          <w:lang w:eastAsia="sk-SK"/>
        </w:rPr>
        <w:br w:type="page"/>
      </w:r>
    </w:p>
    <w:p w:rsidR="007D13F3" w:rsidRPr="00375D8C" w:rsidRDefault="007D13F3" w:rsidP="007D13F3">
      <w:pPr>
        <w:rPr>
          <w:rFonts w:ascii="Times New Roman" w:hAnsi="Times New Roman" w:cs="Times New Roman"/>
          <w:b/>
          <w:lang w:eastAsia="sk-SK"/>
        </w:rPr>
      </w:pPr>
      <w:r w:rsidRPr="00375D8C">
        <w:rPr>
          <w:rFonts w:ascii="Times New Roman" w:hAnsi="Times New Roman" w:cs="Times New Roman"/>
          <w:b/>
          <w:lang w:eastAsia="sk-SK"/>
        </w:rPr>
        <w:lastRenderedPageBreak/>
        <w:t>Rybné hospodárstvo</w:t>
      </w:r>
    </w:p>
    <w:p w:rsidR="007D13F3" w:rsidRPr="00375D8C" w:rsidRDefault="007D13F3" w:rsidP="007D13F3">
      <w:pPr>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3002"/>
        <w:gridCol w:w="914"/>
        <w:gridCol w:w="914"/>
        <w:gridCol w:w="802"/>
        <w:gridCol w:w="914"/>
        <w:gridCol w:w="914"/>
        <w:gridCol w:w="801"/>
        <w:gridCol w:w="801"/>
      </w:tblGrid>
      <w:tr w:rsidR="007D13F3" w:rsidRPr="00375D8C" w:rsidTr="00465CAC">
        <w:trPr>
          <w:trHeight w:val="255"/>
        </w:trPr>
        <w:tc>
          <w:tcPr>
            <w:tcW w:w="1655" w:type="pct"/>
            <w:tcBorders>
              <w:top w:val="single" w:sz="4" w:space="0" w:color="auto"/>
              <w:left w:val="single" w:sz="4" w:space="0" w:color="auto"/>
              <w:bottom w:val="single" w:sz="4" w:space="0" w:color="auto"/>
              <w:right w:val="single" w:sz="4" w:space="0" w:color="auto"/>
            </w:tcBorders>
            <w:shd w:val="clear" w:color="000000" w:fill="A5A5A5"/>
            <w:noWrap/>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v eurách</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2015 S</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2016 S</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R</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OS</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2018 N</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2019 N</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2020 N</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000000" w:fill="BFBFBF"/>
            <w:noWrap/>
            <w:vAlign w:val="center"/>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 xml:space="preserve">Rybné hospodárstvo </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2 602 255</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413 467</w:t>
            </w:r>
          </w:p>
        </w:tc>
        <w:tc>
          <w:tcPr>
            <w:tcW w:w="442"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0</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6 549 083</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1 213 787</w:t>
            </w:r>
          </w:p>
        </w:tc>
        <w:tc>
          <w:tcPr>
            <w:tcW w:w="442"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7 781 232</w:t>
            </w:r>
          </w:p>
        </w:tc>
        <w:tc>
          <w:tcPr>
            <w:tcW w:w="442"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4 828 285</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 xml:space="preserve">prostriedky EÚ </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000000" w:fill="FFFFFF"/>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950 195</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5 867 074</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3 665 919</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 xml:space="preserve">spolufinancovanie zo ŠR </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000000" w:fill="FFFFFF"/>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263 592</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1 914 158</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1 162 366</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auto" w:fill="auto"/>
            <w:noWrap/>
            <w:vAlign w:val="bottom"/>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presun z minulých rokov</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2 602 255</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413 467</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6 549 083</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r>
    </w:tbl>
    <w:p w:rsidR="007D13F3" w:rsidRPr="00545E49" w:rsidRDefault="007D13F3" w:rsidP="007D13F3">
      <w:pPr>
        <w:jc w:val="both"/>
        <w:rPr>
          <w:rFonts w:ascii="Times New Roman" w:hAnsi="Times New Roman" w:cs="Times New Roman"/>
          <w:noProof/>
          <w:lang w:eastAsia="sk-SK"/>
        </w:rPr>
      </w:pPr>
    </w:p>
    <w:p w:rsidR="007D13F3" w:rsidRPr="00375D8C" w:rsidRDefault="007D13F3" w:rsidP="007D13F3">
      <w:pPr>
        <w:ind w:firstLine="708"/>
        <w:jc w:val="both"/>
        <w:rPr>
          <w:rFonts w:ascii="Times New Roman" w:hAnsi="Times New Roman" w:cs="Times New Roman"/>
          <w:noProof/>
          <w:lang w:eastAsia="sk-SK"/>
        </w:rPr>
      </w:pPr>
      <w:r w:rsidRPr="00375D8C">
        <w:rPr>
          <w:rFonts w:ascii="Times New Roman" w:hAnsi="Times New Roman" w:cs="Times New Roman"/>
          <w:noProof/>
          <w:lang w:eastAsia="sk-SK"/>
        </w:rPr>
        <w:t xml:space="preserve">Výdavky na podporu, ktorou sa zabezpečuje modernizácia existujúcich rybochovných zariadení, resp. dobudovanie a obstaranie chýbajúcich technológií, infraštruktúry alebo iných výrobných objektov, efektívna koordinácia zberu údajov v sektore akvakultúry a spracovania rýb v súlade s požiadavkami legislatívy EÚ sú oproti schválenému rozpočtu roku 2017 vyššie o 1,21 mil. eur. </w:t>
      </w:r>
    </w:p>
    <w:p w:rsidR="007D13F3" w:rsidRPr="00375D8C" w:rsidRDefault="007D13F3" w:rsidP="007D13F3">
      <w:pPr>
        <w:jc w:val="both"/>
        <w:rPr>
          <w:rFonts w:ascii="Times New Roman" w:hAnsi="Times New Roman" w:cs="Times New Roman"/>
          <w:noProof/>
          <w:lang w:eastAsia="sk-SK"/>
        </w:rPr>
      </w:pPr>
    </w:p>
    <w:p w:rsidR="007D13F3" w:rsidRPr="00375D8C" w:rsidRDefault="007D13F3" w:rsidP="007D13F3">
      <w:pPr>
        <w:jc w:val="both"/>
        <w:rPr>
          <w:rFonts w:ascii="Times New Roman" w:hAnsi="Times New Roman" w:cs="Times New Roman"/>
          <w:b/>
          <w:lang w:eastAsia="sk-SK"/>
        </w:rPr>
      </w:pPr>
      <w:r w:rsidRPr="00375D8C">
        <w:rPr>
          <w:rFonts w:ascii="Times New Roman" w:hAnsi="Times New Roman" w:cs="Times New Roman"/>
          <w:b/>
          <w:lang w:eastAsia="sk-SK"/>
        </w:rPr>
        <w:t>Trhovo-orientované výdavky</w:t>
      </w:r>
    </w:p>
    <w:p w:rsidR="007D13F3" w:rsidRPr="00375D8C" w:rsidRDefault="007D13F3" w:rsidP="007D13F3">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3002"/>
        <w:gridCol w:w="914"/>
        <w:gridCol w:w="914"/>
        <w:gridCol w:w="802"/>
        <w:gridCol w:w="914"/>
        <w:gridCol w:w="914"/>
        <w:gridCol w:w="801"/>
        <w:gridCol w:w="801"/>
      </w:tblGrid>
      <w:tr w:rsidR="007D13F3" w:rsidRPr="00375D8C" w:rsidTr="00465CAC">
        <w:trPr>
          <w:trHeight w:val="255"/>
        </w:trPr>
        <w:tc>
          <w:tcPr>
            <w:tcW w:w="1655" w:type="pct"/>
            <w:tcBorders>
              <w:top w:val="single" w:sz="4" w:space="0" w:color="auto"/>
              <w:left w:val="single" w:sz="4" w:space="0" w:color="auto"/>
              <w:bottom w:val="single" w:sz="4" w:space="0" w:color="auto"/>
              <w:right w:val="single" w:sz="4" w:space="0" w:color="auto"/>
            </w:tcBorders>
            <w:shd w:val="clear" w:color="000000" w:fill="A5A5A5"/>
            <w:noWrap/>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v eurách</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2015 S</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2016 S</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R</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OS</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2018 N</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2019 N</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2020 N</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000000" w:fill="BFBFBF"/>
            <w:vAlign w:val="center"/>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Trhovo-orientované výdavky</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13 714 089</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11 509 048</w:t>
            </w:r>
          </w:p>
        </w:tc>
        <w:tc>
          <w:tcPr>
            <w:tcW w:w="442"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15 600 000</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21 341 845</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16 400 000</w:t>
            </w:r>
          </w:p>
        </w:tc>
        <w:tc>
          <w:tcPr>
            <w:tcW w:w="442"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16 400 000</w:t>
            </w:r>
          </w:p>
        </w:tc>
        <w:tc>
          <w:tcPr>
            <w:tcW w:w="442"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16 800 000</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prostriedky EÚ</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11 151 084</w:t>
            </w:r>
          </w:p>
        </w:tc>
        <w:tc>
          <w:tcPr>
            <w:tcW w:w="504" w:type="pct"/>
            <w:tcBorders>
              <w:top w:val="nil"/>
              <w:left w:val="nil"/>
              <w:bottom w:val="single" w:sz="4" w:space="0" w:color="auto"/>
              <w:right w:val="single" w:sz="4" w:space="0" w:color="auto"/>
            </w:tcBorders>
            <w:shd w:val="clear" w:color="000000" w:fill="FFFFFF"/>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7 930 721</w:t>
            </w:r>
          </w:p>
        </w:tc>
        <w:tc>
          <w:tcPr>
            <w:tcW w:w="442" w:type="pct"/>
            <w:tcBorders>
              <w:top w:val="nil"/>
              <w:left w:val="nil"/>
              <w:bottom w:val="single" w:sz="4" w:space="0" w:color="auto"/>
              <w:right w:val="single" w:sz="4" w:space="0" w:color="auto"/>
            </w:tcBorders>
            <w:shd w:val="clear" w:color="auto" w:fill="auto"/>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12 000 000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12 000 000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12 000 000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12 000 000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12 000 000</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spolufinancovanie zo ŠR</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1 349 107</w:t>
            </w:r>
          </w:p>
        </w:tc>
        <w:tc>
          <w:tcPr>
            <w:tcW w:w="504" w:type="pct"/>
            <w:tcBorders>
              <w:top w:val="nil"/>
              <w:left w:val="nil"/>
              <w:bottom w:val="single" w:sz="4" w:space="0" w:color="auto"/>
              <w:right w:val="single" w:sz="4" w:space="0" w:color="auto"/>
            </w:tcBorders>
            <w:shd w:val="clear" w:color="000000" w:fill="FFFFFF"/>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1 927 434</w:t>
            </w:r>
          </w:p>
        </w:tc>
        <w:tc>
          <w:tcPr>
            <w:tcW w:w="442" w:type="pct"/>
            <w:tcBorders>
              <w:top w:val="nil"/>
              <w:left w:val="nil"/>
              <w:bottom w:val="single" w:sz="4" w:space="0" w:color="auto"/>
              <w:right w:val="single" w:sz="4" w:space="0" w:color="auto"/>
            </w:tcBorders>
            <w:shd w:val="clear" w:color="auto" w:fill="auto"/>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3 600 000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3 600 000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4 400 000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4 400 000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4 800 000</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presun z minulých rokov</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1 213 898</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1 650 893</w:t>
            </w:r>
          </w:p>
        </w:tc>
        <w:tc>
          <w:tcPr>
            <w:tcW w:w="442" w:type="pct"/>
            <w:tcBorders>
              <w:top w:val="nil"/>
              <w:left w:val="nil"/>
              <w:bottom w:val="single" w:sz="4" w:space="0" w:color="auto"/>
              <w:right w:val="single" w:sz="4" w:space="0" w:color="auto"/>
            </w:tcBorders>
            <w:shd w:val="clear" w:color="auto" w:fill="auto"/>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5 741 845</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r>
    </w:tbl>
    <w:p w:rsidR="007D13F3" w:rsidRPr="002343FA" w:rsidRDefault="007D13F3" w:rsidP="007D13F3">
      <w:pPr>
        <w:jc w:val="both"/>
        <w:rPr>
          <w:rFonts w:ascii="Times New Roman" w:hAnsi="Times New Roman" w:cs="Times New Roman"/>
          <w:noProof/>
          <w:lang w:eastAsia="sk-SK"/>
        </w:rPr>
      </w:pPr>
    </w:p>
    <w:p w:rsidR="007D13F3" w:rsidRPr="00375D8C" w:rsidRDefault="007D13F3" w:rsidP="007D13F3">
      <w:pPr>
        <w:ind w:firstLine="708"/>
        <w:jc w:val="both"/>
        <w:rPr>
          <w:rFonts w:ascii="Times New Roman" w:hAnsi="Times New Roman" w:cs="Times New Roman"/>
          <w:noProof/>
          <w:lang w:eastAsia="sk-SK"/>
        </w:rPr>
      </w:pPr>
      <w:r w:rsidRPr="00375D8C">
        <w:rPr>
          <w:rFonts w:ascii="Times New Roman" w:hAnsi="Times New Roman" w:cs="Times New Roman"/>
          <w:noProof/>
          <w:lang w:eastAsia="sk-SK"/>
        </w:rPr>
        <w:t xml:space="preserve">Trhovo orientované výdavky sú výdavky na trhové opatrenia, ktoré sa realizujú </w:t>
      </w:r>
      <w:r w:rsidRPr="00375D8C">
        <w:rPr>
          <w:rFonts w:ascii="Times New Roman" w:hAnsi="Times New Roman" w:cs="Times New Roman"/>
          <w:noProof/>
          <w:lang w:eastAsia="sk-SK"/>
        </w:rPr>
        <w:br/>
        <w:t>na základe záväzných nariadení, ktorými sa uskutočňuje spoločná organizácia trhu v EÚ.</w:t>
      </w:r>
      <w:r w:rsidRPr="00375D8C">
        <w:rPr>
          <w:rFonts w:ascii="Times New Roman" w:hAnsi="Times New Roman" w:cs="Times New Roman"/>
          <w:noProof/>
          <w:lang w:eastAsia="sk-SK"/>
        </w:rPr>
        <w:br/>
        <w:t>Vo všeobecnosti ich možno rozdeliť na intervencie určené na reguláciu poľnohospodárskych trhov, náhrady stanovené za vývoz poľnohospodárskych výrobkov do tretích krajín a iné podporné opatrenia v zmysle spoločnej organizácie trhu v rámci EÚ ako sú výrobné náhrady, podpory v sektore ovocia a zeleniny, špecifické opatrenia vo vinohradníckom sektore (napr. reštrukturalizácia a konverz</w:t>
      </w:r>
      <w:r w:rsidR="007E7B9D">
        <w:rPr>
          <w:rFonts w:ascii="Times New Roman" w:hAnsi="Times New Roman" w:cs="Times New Roman"/>
          <w:noProof/>
          <w:lang w:eastAsia="sk-SK"/>
        </w:rPr>
        <w:t>ia vinohradov a ďalšie opatrenia</w:t>
      </w:r>
      <w:r w:rsidRPr="00375D8C">
        <w:rPr>
          <w:rFonts w:ascii="Times New Roman" w:hAnsi="Times New Roman" w:cs="Times New Roman"/>
          <w:noProof/>
          <w:lang w:eastAsia="sk-SK"/>
        </w:rPr>
        <w:t>), podpora spotreby školského mlieka a mliečnych výrobkov a ďalšie opatrenia. Výdavky na trhovo-orientované výdavky sú oproti schválenému rozpočtu roku 2017 vyššie o 800 tis. eur, t.</w:t>
      </w:r>
      <w:r w:rsidR="007E7B9D">
        <w:rPr>
          <w:rFonts w:ascii="Times New Roman" w:hAnsi="Times New Roman" w:cs="Times New Roman"/>
          <w:noProof/>
          <w:lang w:eastAsia="sk-SK"/>
        </w:rPr>
        <w:t xml:space="preserve"> </w:t>
      </w:r>
      <w:r w:rsidRPr="00375D8C">
        <w:rPr>
          <w:rFonts w:ascii="Times New Roman" w:hAnsi="Times New Roman" w:cs="Times New Roman"/>
          <w:noProof/>
          <w:lang w:eastAsia="sk-SK"/>
        </w:rPr>
        <w:t>j. o 5,13 %. Medziročnú zmenu týchto výdavkov v plnej miere ovplyvnila vyššia alokácia výdavkov na spolufinancovanie v rámci 3. programového obdobia.</w:t>
      </w:r>
    </w:p>
    <w:p w:rsidR="007D13F3" w:rsidRPr="00375D8C" w:rsidRDefault="007D13F3" w:rsidP="007D13F3">
      <w:pPr>
        <w:jc w:val="both"/>
        <w:rPr>
          <w:rFonts w:ascii="Times New Roman" w:hAnsi="Times New Roman" w:cs="Times New Roman"/>
          <w:noProof/>
          <w:lang w:eastAsia="sk-SK"/>
        </w:rPr>
      </w:pPr>
    </w:p>
    <w:p w:rsidR="007D13F3" w:rsidRPr="00375D8C" w:rsidRDefault="007D13F3" w:rsidP="007D13F3">
      <w:pPr>
        <w:jc w:val="both"/>
        <w:rPr>
          <w:rFonts w:ascii="Times New Roman" w:hAnsi="Times New Roman" w:cs="Times New Roman"/>
          <w:b/>
          <w:lang w:eastAsia="sk-SK"/>
        </w:rPr>
      </w:pPr>
      <w:r w:rsidRPr="00375D8C">
        <w:rPr>
          <w:rFonts w:ascii="Times New Roman" w:hAnsi="Times New Roman" w:cs="Times New Roman"/>
          <w:b/>
          <w:lang w:eastAsia="sk-SK"/>
        </w:rPr>
        <w:t>Štátna pomoc</w:t>
      </w:r>
    </w:p>
    <w:p w:rsidR="007D13F3" w:rsidRPr="00375D8C" w:rsidRDefault="007D13F3" w:rsidP="007D13F3">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3002"/>
        <w:gridCol w:w="914"/>
        <w:gridCol w:w="914"/>
        <w:gridCol w:w="802"/>
        <w:gridCol w:w="914"/>
        <w:gridCol w:w="914"/>
        <w:gridCol w:w="801"/>
        <w:gridCol w:w="801"/>
      </w:tblGrid>
      <w:tr w:rsidR="007D13F3" w:rsidRPr="00375D8C" w:rsidTr="00465CAC">
        <w:trPr>
          <w:trHeight w:val="255"/>
        </w:trPr>
        <w:tc>
          <w:tcPr>
            <w:tcW w:w="1655" w:type="pct"/>
            <w:tcBorders>
              <w:top w:val="single" w:sz="4" w:space="0" w:color="auto"/>
              <w:left w:val="single" w:sz="4" w:space="0" w:color="auto"/>
              <w:bottom w:val="single" w:sz="4" w:space="0" w:color="auto"/>
              <w:right w:val="single" w:sz="4" w:space="0" w:color="auto"/>
            </w:tcBorders>
            <w:shd w:val="clear" w:color="000000" w:fill="A5A5A5"/>
            <w:noWrap/>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v eurách</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2015 S</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2016 S</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R</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OS</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2018 N</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2019 N</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2020 N</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000000" w:fill="C0C0C0"/>
            <w:noWrap/>
            <w:vAlign w:val="center"/>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Štátna pomoc</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11 298 637</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4 599 685</w:t>
            </w:r>
          </w:p>
        </w:tc>
        <w:tc>
          <w:tcPr>
            <w:tcW w:w="442"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3 186 272</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3 186 404</w:t>
            </w:r>
          </w:p>
        </w:tc>
        <w:tc>
          <w:tcPr>
            <w:tcW w:w="504"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1 000 000</w:t>
            </w:r>
          </w:p>
        </w:tc>
        <w:tc>
          <w:tcPr>
            <w:tcW w:w="442"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2 800 000</w:t>
            </w:r>
          </w:p>
        </w:tc>
        <w:tc>
          <w:tcPr>
            <w:tcW w:w="442" w:type="pct"/>
            <w:tcBorders>
              <w:top w:val="nil"/>
              <w:left w:val="nil"/>
              <w:bottom w:val="single" w:sz="4" w:space="0" w:color="auto"/>
              <w:right w:val="single" w:sz="4" w:space="0" w:color="auto"/>
            </w:tcBorders>
            <w:shd w:val="clear" w:color="000000" w:fill="BFBFBF"/>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2 800 000</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prostriedky ŠR</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6 013 084</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4 599 685</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3 186 272</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3 186 404</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1 000 000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2 800 000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2 800 000</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presun z minulých rokov</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5 285 553</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r>
    </w:tbl>
    <w:p w:rsidR="007D13F3" w:rsidRPr="00191DC1" w:rsidRDefault="007D13F3" w:rsidP="007D13F3">
      <w:pPr>
        <w:jc w:val="both"/>
        <w:rPr>
          <w:rFonts w:ascii="Arial Narrow" w:hAnsi="Arial Narrow" w:cs="Times New Roman"/>
          <w:noProof/>
          <w:color w:val="000000"/>
          <w:lang w:eastAsia="sk-SK"/>
        </w:rPr>
      </w:pPr>
    </w:p>
    <w:p w:rsidR="007D13F3" w:rsidRDefault="007D13F3" w:rsidP="007D13F3">
      <w:pPr>
        <w:ind w:firstLine="708"/>
        <w:jc w:val="both"/>
        <w:rPr>
          <w:rFonts w:ascii="Times New Roman" w:hAnsi="Times New Roman" w:cs="Times New Roman"/>
          <w:noProof/>
          <w:color w:val="000000"/>
          <w:lang w:eastAsia="sk-SK"/>
        </w:rPr>
      </w:pPr>
      <w:r w:rsidRPr="00375D8C">
        <w:rPr>
          <w:rFonts w:ascii="Times New Roman" w:hAnsi="Times New Roman" w:cs="Times New Roman"/>
          <w:noProof/>
          <w:lang w:eastAsia="sk-SK"/>
        </w:rPr>
        <w:t xml:space="preserve">EÚ umožňuje poskytovať podnikateľským subjektom v pôdohospodárstve štátnu pomoc z vlastných zdrojov členského štátu v súlade s pravidlami EÚ o štátnej pomoci. V sektore pôdohospodárstva sa podporujú činnosti v poľnohospodárskej prvovýrobe, v spracovaní poľnohospodárskych výrobkov a výrobe potravinárskych výrobkov, činnosti v marketingu, investície na ochranu kultúrneho a prírodného dedičstva, náprava škôd spôsobených nepriaznivými poveternostnými udalosťami a živelnou pohromou, výskum a vývoj, činnosti v lesnom hospodárstve, činnosti zamerané na rozvoj vidieka a zamestnávanie znevýhodnených a značne znevýhodnených zamestnancov a činnosti v hospodárskom chove </w:t>
      </w:r>
      <w:r>
        <w:rPr>
          <w:rFonts w:ascii="Times New Roman" w:hAnsi="Times New Roman" w:cs="Times New Roman"/>
          <w:noProof/>
          <w:lang w:eastAsia="sk-SK"/>
        </w:rPr>
        <w:t>rýb.</w:t>
      </w:r>
      <w:r>
        <w:rPr>
          <w:rFonts w:ascii="Times New Roman" w:hAnsi="Times New Roman" w:cs="Times New Roman"/>
          <w:noProof/>
          <w:color w:val="000000"/>
          <w:lang w:eastAsia="sk-SK"/>
        </w:rPr>
        <w:t>Výdavky</w:t>
      </w:r>
      <w:r w:rsidR="007E7B9D">
        <w:rPr>
          <w:rFonts w:ascii="Times New Roman" w:hAnsi="Times New Roman" w:cs="Times New Roman"/>
          <w:noProof/>
          <w:color w:val="000000"/>
          <w:lang w:eastAsia="sk-SK"/>
        </w:rPr>
        <w:t xml:space="preserve"> </w:t>
      </w:r>
      <w:r w:rsidRPr="00375D8C">
        <w:rPr>
          <w:rFonts w:ascii="Times New Roman" w:hAnsi="Times New Roman" w:cs="Times New Roman"/>
          <w:noProof/>
          <w:color w:val="000000"/>
          <w:lang w:eastAsia="sk-SK"/>
        </w:rPr>
        <w:t xml:space="preserve">na bežné transfery </w:t>
      </w:r>
      <w:r w:rsidR="007E7B9D">
        <w:rPr>
          <w:rFonts w:ascii="Times New Roman" w:hAnsi="Times New Roman" w:cs="Times New Roman"/>
          <w:noProof/>
          <w:color w:val="000000"/>
          <w:lang w:eastAsia="sk-SK"/>
        </w:rPr>
        <w:t>na</w:t>
      </w:r>
      <w:r w:rsidRPr="00375D8C">
        <w:rPr>
          <w:rFonts w:ascii="Times New Roman" w:hAnsi="Times New Roman" w:cs="Times New Roman"/>
          <w:noProof/>
          <w:color w:val="000000"/>
          <w:lang w:eastAsia="sk-SK"/>
        </w:rPr>
        <w:t xml:space="preserve"> štátnu pomoc a národné podpory sú oproti schválenému rozpočtu roku 2017 nižšie o 2,19 mil. eur, čo znamená pokles o 68,6 %. </w:t>
      </w:r>
    </w:p>
    <w:p w:rsidR="007D13F3" w:rsidRPr="009E4E05" w:rsidRDefault="007D13F3" w:rsidP="007D13F3">
      <w:pPr>
        <w:jc w:val="both"/>
        <w:rPr>
          <w:rFonts w:ascii="Times New Roman" w:hAnsi="Times New Roman" w:cs="Times New Roman"/>
          <w:noProof/>
          <w:color w:val="000000"/>
          <w:lang w:eastAsia="sk-SK"/>
        </w:rPr>
      </w:pPr>
      <w:r w:rsidRPr="00375D8C">
        <w:rPr>
          <w:rFonts w:ascii="Times New Roman" w:hAnsi="Times New Roman" w:cs="Times New Roman"/>
          <w:b/>
          <w:lang w:eastAsia="sk-SK"/>
        </w:rPr>
        <w:lastRenderedPageBreak/>
        <w:t xml:space="preserve">Regionálny rozvoj </w:t>
      </w:r>
    </w:p>
    <w:p w:rsidR="007D13F3" w:rsidRPr="00375D8C" w:rsidRDefault="007D13F3" w:rsidP="007D13F3">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989"/>
        <w:gridCol w:w="901"/>
        <w:gridCol w:w="901"/>
        <w:gridCol w:w="789"/>
        <w:gridCol w:w="901"/>
        <w:gridCol w:w="901"/>
        <w:gridCol w:w="840"/>
        <w:gridCol w:w="840"/>
      </w:tblGrid>
      <w:tr w:rsidR="007D13F3" w:rsidRPr="00375D8C" w:rsidTr="00465CAC">
        <w:trPr>
          <w:trHeight w:val="255"/>
        </w:trPr>
        <w:tc>
          <w:tcPr>
            <w:tcW w:w="1655" w:type="pct"/>
            <w:tcBorders>
              <w:top w:val="single" w:sz="4" w:space="0" w:color="auto"/>
              <w:left w:val="single" w:sz="4" w:space="0" w:color="auto"/>
              <w:bottom w:val="single" w:sz="4" w:space="0" w:color="auto"/>
              <w:right w:val="single" w:sz="4" w:space="0" w:color="auto"/>
            </w:tcBorders>
            <w:shd w:val="clear" w:color="000000" w:fill="A5A5A5"/>
            <w:noWrap/>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v eurách</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2015 S</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2016 S</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R</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OS</w:t>
            </w:r>
          </w:p>
        </w:tc>
        <w:tc>
          <w:tcPr>
            <w:tcW w:w="504"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2018 N</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2019 N</w:t>
            </w:r>
          </w:p>
        </w:tc>
        <w:tc>
          <w:tcPr>
            <w:tcW w:w="442"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2020 N</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000000" w:fill="C0C0C0"/>
            <w:vAlign w:val="center"/>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 xml:space="preserve">Regionálny rozvoj </w:t>
            </w:r>
          </w:p>
        </w:tc>
        <w:tc>
          <w:tcPr>
            <w:tcW w:w="504" w:type="pct"/>
            <w:tcBorders>
              <w:top w:val="nil"/>
              <w:left w:val="nil"/>
              <w:bottom w:val="single" w:sz="4" w:space="0" w:color="auto"/>
              <w:right w:val="single" w:sz="4" w:space="0" w:color="auto"/>
            </w:tcBorders>
            <w:shd w:val="clear" w:color="000000" w:fill="C0C0C0"/>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341 210 814</w:t>
            </w:r>
          </w:p>
        </w:tc>
        <w:tc>
          <w:tcPr>
            <w:tcW w:w="504" w:type="pct"/>
            <w:tcBorders>
              <w:top w:val="nil"/>
              <w:left w:val="nil"/>
              <w:bottom w:val="single" w:sz="4" w:space="0" w:color="auto"/>
              <w:right w:val="single" w:sz="4" w:space="0" w:color="auto"/>
            </w:tcBorders>
            <w:shd w:val="clear" w:color="000000" w:fill="C0C0C0"/>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92 799 657</w:t>
            </w:r>
          </w:p>
        </w:tc>
        <w:tc>
          <w:tcPr>
            <w:tcW w:w="442" w:type="pct"/>
            <w:tcBorders>
              <w:top w:val="nil"/>
              <w:left w:val="nil"/>
              <w:bottom w:val="single" w:sz="4" w:space="0" w:color="auto"/>
              <w:right w:val="single" w:sz="4" w:space="0" w:color="auto"/>
            </w:tcBorders>
            <w:shd w:val="clear" w:color="000000" w:fill="C0C0C0"/>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25 983 309</w:t>
            </w:r>
          </w:p>
        </w:tc>
        <w:tc>
          <w:tcPr>
            <w:tcW w:w="504" w:type="pct"/>
            <w:tcBorders>
              <w:top w:val="nil"/>
              <w:left w:val="nil"/>
              <w:bottom w:val="single" w:sz="4" w:space="0" w:color="auto"/>
              <w:right w:val="single" w:sz="4" w:space="0" w:color="auto"/>
            </w:tcBorders>
            <w:shd w:val="clear" w:color="000000" w:fill="C0C0C0"/>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29 333 504</w:t>
            </w:r>
          </w:p>
        </w:tc>
        <w:tc>
          <w:tcPr>
            <w:tcW w:w="504" w:type="pct"/>
            <w:tcBorders>
              <w:top w:val="nil"/>
              <w:left w:val="nil"/>
              <w:bottom w:val="single" w:sz="4" w:space="0" w:color="auto"/>
              <w:right w:val="single" w:sz="4" w:space="0" w:color="auto"/>
            </w:tcBorders>
            <w:shd w:val="clear" w:color="000000" w:fill="C0C0C0"/>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221 222 503</w:t>
            </w:r>
          </w:p>
        </w:tc>
        <w:tc>
          <w:tcPr>
            <w:tcW w:w="442" w:type="pct"/>
            <w:tcBorders>
              <w:top w:val="nil"/>
              <w:left w:val="nil"/>
              <w:bottom w:val="single" w:sz="4" w:space="0" w:color="auto"/>
              <w:right w:val="single" w:sz="4" w:space="0" w:color="auto"/>
            </w:tcBorders>
            <w:shd w:val="clear" w:color="000000" w:fill="C0C0C0"/>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615 030 771</w:t>
            </w:r>
          </w:p>
        </w:tc>
        <w:tc>
          <w:tcPr>
            <w:tcW w:w="442" w:type="pct"/>
            <w:tcBorders>
              <w:top w:val="nil"/>
              <w:left w:val="nil"/>
              <w:bottom w:val="single" w:sz="4" w:space="0" w:color="auto"/>
              <w:right w:val="single" w:sz="4" w:space="0" w:color="auto"/>
            </w:tcBorders>
            <w:shd w:val="clear" w:color="000000" w:fill="C0C0C0"/>
            <w:noWrap/>
            <w:vAlign w:val="center"/>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471 700 007</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prostriedky EÚ</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64 738 351</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12 066 650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8 082 197</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8 082 197</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196 815 623</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546 206 566</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406 579 742</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000000" w:fill="FFFFFF"/>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spolufinancovanie zo ŠR</w:t>
            </w:r>
          </w:p>
        </w:tc>
        <w:tc>
          <w:tcPr>
            <w:tcW w:w="504" w:type="pct"/>
            <w:tcBorders>
              <w:top w:val="nil"/>
              <w:left w:val="nil"/>
              <w:bottom w:val="single" w:sz="4" w:space="0" w:color="auto"/>
              <w:right w:val="single" w:sz="4" w:space="0" w:color="auto"/>
            </w:tcBorders>
            <w:shd w:val="clear" w:color="000000" w:fill="FFFFFF"/>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15 869 040</w:t>
            </w:r>
          </w:p>
        </w:tc>
        <w:tc>
          <w:tcPr>
            <w:tcW w:w="504" w:type="pct"/>
            <w:tcBorders>
              <w:top w:val="nil"/>
              <w:left w:val="nil"/>
              <w:bottom w:val="single" w:sz="4" w:space="0" w:color="auto"/>
              <w:right w:val="single" w:sz="4" w:space="0" w:color="auto"/>
            </w:tcBorders>
            <w:shd w:val="clear" w:color="000000" w:fill="FFFFFF"/>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6 049 817</w:t>
            </w:r>
          </w:p>
        </w:tc>
        <w:tc>
          <w:tcPr>
            <w:tcW w:w="442" w:type="pct"/>
            <w:tcBorders>
              <w:top w:val="nil"/>
              <w:left w:val="nil"/>
              <w:bottom w:val="single" w:sz="4" w:space="0" w:color="auto"/>
              <w:right w:val="single" w:sz="4" w:space="0" w:color="auto"/>
            </w:tcBorders>
            <w:shd w:val="clear" w:color="000000" w:fill="FFFFFF"/>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17 901 112</w:t>
            </w:r>
          </w:p>
        </w:tc>
        <w:tc>
          <w:tcPr>
            <w:tcW w:w="504" w:type="pct"/>
            <w:tcBorders>
              <w:top w:val="nil"/>
              <w:left w:val="nil"/>
              <w:bottom w:val="single" w:sz="4" w:space="0" w:color="auto"/>
              <w:right w:val="single" w:sz="4" w:space="0" w:color="auto"/>
            </w:tcBorders>
            <w:shd w:val="clear" w:color="000000" w:fill="FFFFFF"/>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18 421 318</w:t>
            </w:r>
          </w:p>
        </w:tc>
        <w:tc>
          <w:tcPr>
            <w:tcW w:w="504" w:type="pct"/>
            <w:tcBorders>
              <w:top w:val="nil"/>
              <w:left w:val="nil"/>
              <w:bottom w:val="single" w:sz="4" w:space="0" w:color="auto"/>
              <w:right w:val="single" w:sz="4" w:space="0" w:color="auto"/>
            </w:tcBorders>
            <w:shd w:val="clear" w:color="000000" w:fill="FFFFFF"/>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24 406 880</w:t>
            </w:r>
          </w:p>
        </w:tc>
        <w:tc>
          <w:tcPr>
            <w:tcW w:w="442" w:type="pct"/>
            <w:tcBorders>
              <w:top w:val="nil"/>
              <w:left w:val="nil"/>
              <w:bottom w:val="single" w:sz="4" w:space="0" w:color="auto"/>
              <w:right w:val="single" w:sz="4" w:space="0" w:color="auto"/>
            </w:tcBorders>
            <w:shd w:val="clear" w:color="000000" w:fill="FFFFFF"/>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68 824 205</w:t>
            </w:r>
          </w:p>
        </w:tc>
        <w:tc>
          <w:tcPr>
            <w:tcW w:w="442" w:type="pct"/>
            <w:tcBorders>
              <w:top w:val="nil"/>
              <w:left w:val="nil"/>
              <w:bottom w:val="single" w:sz="4" w:space="0" w:color="auto"/>
              <w:right w:val="single" w:sz="4" w:space="0" w:color="auto"/>
            </w:tcBorders>
            <w:shd w:val="clear" w:color="000000" w:fill="FFFFFF"/>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65 120 265</w:t>
            </w:r>
          </w:p>
        </w:tc>
      </w:tr>
      <w:tr w:rsidR="007D13F3" w:rsidRPr="00375D8C" w:rsidTr="00465CAC">
        <w:trPr>
          <w:trHeight w:val="255"/>
        </w:trPr>
        <w:tc>
          <w:tcPr>
            <w:tcW w:w="1655"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presun z minulých rokov</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260 603 423</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74 683 190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2 829 989</w:t>
            </w:r>
          </w:p>
        </w:tc>
        <w:tc>
          <w:tcPr>
            <w:tcW w:w="504"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2" w:type="pct"/>
            <w:tcBorders>
              <w:top w:val="nil"/>
              <w:left w:val="nil"/>
              <w:bottom w:val="single" w:sz="4" w:space="0" w:color="auto"/>
              <w:right w:val="single" w:sz="4" w:space="0" w:color="auto"/>
            </w:tcBorders>
            <w:shd w:val="clear" w:color="auto" w:fill="auto"/>
            <w:noWrap/>
            <w:vAlign w:val="center"/>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r>
    </w:tbl>
    <w:p w:rsidR="007D13F3" w:rsidRPr="00191DC1" w:rsidRDefault="007D13F3" w:rsidP="007D13F3">
      <w:pPr>
        <w:jc w:val="both"/>
        <w:rPr>
          <w:rFonts w:ascii="Times New Roman" w:hAnsi="Times New Roman" w:cs="Times New Roman"/>
          <w:noProof/>
          <w:lang w:eastAsia="sk-SK"/>
        </w:rPr>
      </w:pPr>
      <w:r w:rsidRPr="00375D8C">
        <w:rPr>
          <w:rFonts w:ascii="Times New Roman" w:hAnsi="Times New Roman" w:cs="Times New Roman"/>
          <w:sz w:val="14"/>
          <w:szCs w:val="14"/>
          <w:lang w:eastAsia="sk-SK"/>
        </w:rPr>
        <w:t xml:space="preserve"> </w:t>
      </w:r>
    </w:p>
    <w:p w:rsidR="007D13F3" w:rsidRDefault="007D13F3" w:rsidP="007D13F3">
      <w:pPr>
        <w:ind w:firstLine="708"/>
        <w:jc w:val="both"/>
        <w:rPr>
          <w:rFonts w:ascii="Times New Roman" w:hAnsi="Times New Roman" w:cs="Times New Roman"/>
          <w:noProof/>
          <w:lang w:eastAsia="sk-SK"/>
        </w:rPr>
      </w:pPr>
      <w:r w:rsidRPr="00375D8C">
        <w:rPr>
          <w:rFonts w:ascii="Times New Roman" w:hAnsi="Times New Roman" w:cs="Times New Roman"/>
          <w:noProof/>
          <w:lang w:eastAsia="sk-SK"/>
        </w:rPr>
        <w:t xml:space="preserve">Finančné prostriedky určené na financovanie projektov zo štrukturálnych fondov </w:t>
      </w:r>
      <w:r w:rsidR="007E7B9D">
        <w:rPr>
          <w:rFonts w:ascii="Times New Roman" w:hAnsi="Times New Roman" w:cs="Times New Roman"/>
          <w:noProof/>
          <w:lang w:eastAsia="sk-SK"/>
        </w:rPr>
        <w:t>na</w:t>
      </w:r>
      <w:r w:rsidRPr="00375D8C">
        <w:rPr>
          <w:rFonts w:ascii="Times New Roman" w:hAnsi="Times New Roman" w:cs="Times New Roman"/>
          <w:noProof/>
          <w:lang w:eastAsia="sk-SK"/>
        </w:rPr>
        <w:t xml:space="preserve"> programové obdobie 2014 </w:t>
      </w:r>
      <w:r w:rsidR="008E30EC">
        <w:rPr>
          <w:rFonts w:ascii="Times New Roman" w:hAnsi="Times New Roman" w:cs="Times New Roman"/>
          <w:noProof/>
          <w:lang w:eastAsia="sk-SK"/>
        </w:rPr>
        <w:t>-</w:t>
      </w:r>
      <w:r w:rsidRPr="00375D8C">
        <w:rPr>
          <w:rFonts w:ascii="Times New Roman" w:hAnsi="Times New Roman" w:cs="Times New Roman"/>
          <w:noProof/>
          <w:lang w:eastAsia="sk-SK"/>
        </w:rPr>
        <w:t xml:space="preserve"> 2020 a ich spolufinancovanie zo štátneho rozpočtu sú smerované do programu Integrovaný regionálny operačný program a Európsku územnú spoluprácu 2014 až 2020. Výdavky sú smerované na modernizáciu regionálnych ciest II. a III. triedy, rozvoj verejnej osobnej dopravy a cyklodopravy, podporu deinštitucionalizácie sociálnych služieb a náhradnej starostlivosti, rozvoj infraštruktúry vzdelávania, rozvoj zdravotníckej infraštruktúry, podporu energetickej efektívnosti v sektore bývania, investície v sektore vodného hospodárstva, rozvoj zelenej infraštruktúry, revitalizáciu zanedbaných objektov a areálov a pod. </w:t>
      </w:r>
    </w:p>
    <w:p w:rsidR="007D13F3" w:rsidRPr="00375D8C" w:rsidRDefault="007D13F3" w:rsidP="007D13F3">
      <w:pPr>
        <w:ind w:firstLine="708"/>
        <w:jc w:val="both"/>
        <w:rPr>
          <w:rFonts w:ascii="Times New Roman" w:hAnsi="Times New Roman" w:cs="Times New Roman"/>
          <w:noProof/>
          <w:lang w:eastAsia="sk-SK"/>
        </w:rPr>
      </w:pPr>
    </w:p>
    <w:p w:rsidR="007D13F3" w:rsidRPr="00375D8C" w:rsidRDefault="007D13F3" w:rsidP="007D13F3">
      <w:pPr>
        <w:ind w:firstLine="708"/>
        <w:jc w:val="both"/>
        <w:rPr>
          <w:rFonts w:ascii="Times New Roman" w:hAnsi="Times New Roman" w:cs="Times New Roman"/>
          <w:noProof/>
          <w:lang w:eastAsia="sk-SK"/>
        </w:rPr>
      </w:pPr>
      <w:r w:rsidRPr="00375D8C">
        <w:rPr>
          <w:rFonts w:ascii="Times New Roman" w:hAnsi="Times New Roman" w:cs="Times New Roman"/>
          <w:noProof/>
          <w:lang w:eastAsia="sk-SK"/>
        </w:rPr>
        <w:t>Výdavky na regionálny rozvoj sú na rok 2018 rozpočtované vo výške 221 mil. eur, čo predstavuje oproti schválenému rozpočtu roku 2017 zvýšenie o 195 mil. eur. Medziročnú zmenu ovplyvnilo zvýšenie zdrojov EÚ a spolufinancovania.</w:t>
      </w:r>
    </w:p>
    <w:p w:rsidR="007D13F3" w:rsidRPr="00375D8C" w:rsidRDefault="007D13F3" w:rsidP="007D13F3">
      <w:pPr>
        <w:jc w:val="both"/>
        <w:rPr>
          <w:rFonts w:ascii="Times New Roman" w:hAnsi="Times New Roman" w:cs="Times New Roman"/>
          <w:noProof/>
          <w:lang w:eastAsia="sk-SK"/>
        </w:rPr>
      </w:pPr>
    </w:p>
    <w:p w:rsidR="007D13F3" w:rsidRPr="00375D8C" w:rsidRDefault="007D13F3" w:rsidP="007D13F3">
      <w:pPr>
        <w:rPr>
          <w:rFonts w:ascii="Times New Roman" w:hAnsi="Times New Roman" w:cs="Times New Roman"/>
          <w:b/>
          <w:lang w:eastAsia="sk-SK"/>
        </w:rPr>
      </w:pPr>
      <w:r w:rsidRPr="00375D8C">
        <w:rPr>
          <w:rFonts w:ascii="Times New Roman" w:hAnsi="Times New Roman" w:cs="Times New Roman"/>
          <w:b/>
          <w:lang w:eastAsia="sk-SK"/>
        </w:rPr>
        <w:t>Inštitucionálna podpora pôdohospodárstva</w:t>
      </w:r>
    </w:p>
    <w:p w:rsidR="007D13F3" w:rsidRPr="00375D8C" w:rsidRDefault="007D13F3" w:rsidP="007D13F3">
      <w:pPr>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987"/>
        <w:gridCol w:w="910"/>
        <w:gridCol w:w="910"/>
        <w:gridCol w:w="840"/>
        <w:gridCol w:w="911"/>
        <w:gridCol w:w="911"/>
        <w:gridCol w:w="798"/>
        <w:gridCol w:w="795"/>
      </w:tblGrid>
      <w:tr w:rsidR="007D13F3" w:rsidRPr="00375D8C" w:rsidTr="00465CAC">
        <w:trPr>
          <w:trHeight w:val="255"/>
        </w:trPr>
        <w:tc>
          <w:tcPr>
            <w:tcW w:w="1649"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v eurách</w:t>
            </w:r>
          </w:p>
        </w:tc>
        <w:tc>
          <w:tcPr>
            <w:tcW w:w="503"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2015 S</w:t>
            </w:r>
          </w:p>
        </w:tc>
        <w:tc>
          <w:tcPr>
            <w:tcW w:w="503"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2016 S</w:t>
            </w:r>
          </w:p>
        </w:tc>
        <w:tc>
          <w:tcPr>
            <w:tcW w:w="459"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R</w:t>
            </w:r>
          </w:p>
        </w:tc>
        <w:tc>
          <w:tcPr>
            <w:tcW w:w="503"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2017 OS</w:t>
            </w:r>
          </w:p>
        </w:tc>
        <w:tc>
          <w:tcPr>
            <w:tcW w:w="503"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2018 N</w:t>
            </w:r>
          </w:p>
        </w:tc>
        <w:tc>
          <w:tcPr>
            <w:tcW w:w="441"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2019 N</w:t>
            </w:r>
          </w:p>
        </w:tc>
        <w:tc>
          <w:tcPr>
            <w:tcW w:w="439"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375D8C" w:rsidRDefault="007D13F3" w:rsidP="00465CAC">
            <w:pPr>
              <w:jc w:val="cente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2020 N</w:t>
            </w:r>
          </w:p>
        </w:tc>
      </w:tr>
      <w:tr w:rsidR="007D13F3" w:rsidRPr="00375D8C" w:rsidTr="00465CAC">
        <w:trPr>
          <w:trHeight w:val="255"/>
        </w:trPr>
        <w:tc>
          <w:tcPr>
            <w:tcW w:w="1649" w:type="pct"/>
            <w:tcBorders>
              <w:top w:val="nil"/>
              <w:left w:val="single" w:sz="4" w:space="0" w:color="auto"/>
              <w:bottom w:val="single" w:sz="4" w:space="0" w:color="auto"/>
              <w:right w:val="single" w:sz="4" w:space="0" w:color="auto"/>
            </w:tcBorders>
            <w:shd w:val="clear" w:color="000000" w:fill="BFBFBF"/>
            <w:vAlign w:val="center"/>
            <w:hideMark/>
          </w:tcPr>
          <w:p w:rsidR="007D13F3" w:rsidRPr="00375D8C" w:rsidRDefault="007D13F3" w:rsidP="00465CAC">
            <w:pPr>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 xml:space="preserve">Inštitucionálna podpora  </w:t>
            </w:r>
          </w:p>
        </w:tc>
        <w:tc>
          <w:tcPr>
            <w:tcW w:w="503" w:type="pct"/>
            <w:tcBorders>
              <w:top w:val="nil"/>
              <w:left w:val="nil"/>
              <w:bottom w:val="single" w:sz="4" w:space="0" w:color="auto"/>
              <w:right w:val="single" w:sz="4" w:space="0" w:color="auto"/>
            </w:tcBorders>
            <w:shd w:val="clear" w:color="000000" w:fill="BFBFB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128 228 561</w:t>
            </w:r>
          </w:p>
        </w:tc>
        <w:tc>
          <w:tcPr>
            <w:tcW w:w="503" w:type="pct"/>
            <w:tcBorders>
              <w:top w:val="nil"/>
              <w:left w:val="nil"/>
              <w:bottom w:val="single" w:sz="4" w:space="0" w:color="auto"/>
              <w:right w:val="single" w:sz="4" w:space="0" w:color="auto"/>
            </w:tcBorders>
            <w:shd w:val="clear" w:color="000000" w:fill="BFBFB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140 572 834</w:t>
            </w:r>
          </w:p>
        </w:tc>
        <w:tc>
          <w:tcPr>
            <w:tcW w:w="459" w:type="pct"/>
            <w:tcBorders>
              <w:top w:val="nil"/>
              <w:left w:val="nil"/>
              <w:bottom w:val="single" w:sz="4" w:space="0" w:color="auto"/>
              <w:right w:val="single" w:sz="4" w:space="0" w:color="auto"/>
            </w:tcBorders>
            <w:shd w:val="clear" w:color="000000" w:fill="BFBFB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105 107 224</w:t>
            </w:r>
          </w:p>
        </w:tc>
        <w:tc>
          <w:tcPr>
            <w:tcW w:w="503" w:type="pct"/>
            <w:tcBorders>
              <w:top w:val="nil"/>
              <w:left w:val="nil"/>
              <w:bottom w:val="single" w:sz="4" w:space="0" w:color="auto"/>
              <w:right w:val="single" w:sz="4" w:space="0" w:color="auto"/>
            </w:tcBorders>
            <w:shd w:val="clear" w:color="000000" w:fill="BFBFB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109 819 146</w:t>
            </w:r>
          </w:p>
        </w:tc>
        <w:tc>
          <w:tcPr>
            <w:tcW w:w="503" w:type="pct"/>
            <w:tcBorders>
              <w:top w:val="nil"/>
              <w:left w:val="nil"/>
              <w:bottom w:val="single" w:sz="4" w:space="0" w:color="auto"/>
              <w:right w:val="single" w:sz="4" w:space="0" w:color="auto"/>
            </w:tcBorders>
            <w:shd w:val="clear" w:color="000000" w:fill="BFBFB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84 432 368</w:t>
            </w:r>
          </w:p>
        </w:tc>
        <w:tc>
          <w:tcPr>
            <w:tcW w:w="441" w:type="pct"/>
            <w:tcBorders>
              <w:top w:val="nil"/>
              <w:left w:val="nil"/>
              <w:bottom w:val="single" w:sz="4" w:space="0" w:color="auto"/>
              <w:right w:val="single" w:sz="4" w:space="0" w:color="auto"/>
            </w:tcBorders>
            <w:shd w:val="clear" w:color="000000" w:fill="BFBFB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82 632 368</w:t>
            </w:r>
          </w:p>
        </w:tc>
        <w:tc>
          <w:tcPr>
            <w:tcW w:w="439" w:type="pct"/>
            <w:tcBorders>
              <w:top w:val="nil"/>
              <w:left w:val="nil"/>
              <w:bottom w:val="single" w:sz="4" w:space="0" w:color="auto"/>
              <w:right w:val="single" w:sz="4" w:space="0" w:color="auto"/>
            </w:tcBorders>
            <w:shd w:val="clear" w:color="000000" w:fill="BFBFBF"/>
            <w:noWrap/>
            <w:vAlign w:val="bottom"/>
            <w:hideMark/>
          </w:tcPr>
          <w:p w:rsidR="007D13F3" w:rsidRPr="00375D8C" w:rsidRDefault="007D13F3" w:rsidP="00465CAC">
            <w:pPr>
              <w:jc w:val="right"/>
              <w:rPr>
                <w:rFonts w:ascii="Times New Roman" w:hAnsi="Times New Roman" w:cs="Times New Roman"/>
                <w:b/>
                <w:bCs/>
                <w:sz w:val="14"/>
                <w:szCs w:val="14"/>
                <w:lang w:eastAsia="sk-SK"/>
              </w:rPr>
            </w:pPr>
            <w:r w:rsidRPr="00375D8C">
              <w:rPr>
                <w:rFonts w:ascii="Times New Roman" w:hAnsi="Times New Roman" w:cs="Times New Roman"/>
                <w:b/>
                <w:bCs/>
                <w:sz w:val="14"/>
                <w:szCs w:val="14"/>
                <w:lang w:eastAsia="sk-SK"/>
              </w:rPr>
              <w:t>82 632 368</w:t>
            </w:r>
          </w:p>
        </w:tc>
      </w:tr>
      <w:tr w:rsidR="007D13F3" w:rsidRPr="00375D8C" w:rsidTr="00465CAC">
        <w:trPr>
          <w:trHeight w:val="255"/>
        </w:trPr>
        <w:tc>
          <w:tcPr>
            <w:tcW w:w="1649" w:type="pct"/>
            <w:tcBorders>
              <w:top w:val="nil"/>
              <w:left w:val="single" w:sz="4" w:space="0" w:color="auto"/>
              <w:bottom w:val="single" w:sz="4" w:space="0" w:color="auto"/>
              <w:right w:val="single" w:sz="4" w:space="0" w:color="auto"/>
            </w:tcBorders>
            <w:shd w:val="clear" w:color="auto" w:fill="auto"/>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 xml:space="preserve">prostriedky ŠR </w:t>
            </w:r>
          </w:p>
        </w:tc>
        <w:tc>
          <w:tcPr>
            <w:tcW w:w="50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112 696 301</w:t>
            </w:r>
          </w:p>
        </w:tc>
        <w:tc>
          <w:tcPr>
            <w:tcW w:w="50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133 250 656</w:t>
            </w:r>
          </w:p>
        </w:tc>
        <w:tc>
          <w:tcPr>
            <w:tcW w:w="459"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105 107 224</w:t>
            </w:r>
          </w:p>
        </w:tc>
        <w:tc>
          <w:tcPr>
            <w:tcW w:w="50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108 861 401</w:t>
            </w:r>
          </w:p>
        </w:tc>
        <w:tc>
          <w:tcPr>
            <w:tcW w:w="50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84 432 368</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82 632 368</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82 632 368</w:t>
            </w:r>
          </w:p>
        </w:tc>
      </w:tr>
      <w:tr w:rsidR="007D13F3" w:rsidRPr="00375D8C" w:rsidTr="00465CAC">
        <w:trPr>
          <w:trHeight w:val="255"/>
        </w:trPr>
        <w:tc>
          <w:tcPr>
            <w:tcW w:w="1649"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prostriedky EÚ</w:t>
            </w:r>
          </w:p>
        </w:tc>
        <w:tc>
          <w:tcPr>
            <w:tcW w:w="50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43 375</w:t>
            </w:r>
          </w:p>
        </w:tc>
        <w:tc>
          <w:tcPr>
            <w:tcW w:w="50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r>
      <w:tr w:rsidR="007D13F3" w:rsidRPr="00375D8C" w:rsidTr="00465CAC">
        <w:trPr>
          <w:trHeight w:val="255"/>
        </w:trPr>
        <w:tc>
          <w:tcPr>
            <w:tcW w:w="1649"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spolufinancovanie zo ŠR</w:t>
            </w:r>
          </w:p>
        </w:tc>
        <w:tc>
          <w:tcPr>
            <w:tcW w:w="50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7 655</w:t>
            </w:r>
          </w:p>
        </w:tc>
        <w:tc>
          <w:tcPr>
            <w:tcW w:w="50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r>
      <w:tr w:rsidR="007D13F3" w:rsidRPr="00375D8C" w:rsidTr="00465CAC">
        <w:trPr>
          <w:trHeight w:val="255"/>
        </w:trPr>
        <w:tc>
          <w:tcPr>
            <w:tcW w:w="1649" w:type="pct"/>
            <w:tcBorders>
              <w:top w:val="nil"/>
              <w:left w:val="single" w:sz="4" w:space="0" w:color="auto"/>
              <w:bottom w:val="single" w:sz="4" w:space="0" w:color="auto"/>
              <w:right w:val="single" w:sz="4" w:space="0" w:color="auto"/>
            </w:tcBorders>
            <w:shd w:val="clear" w:color="auto" w:fill="auto"/>
            <w:noWrap/>
            <w:vAlign w:val="center"/>
            <w:hideMark/>
          </w:tcPr>
          <w:p w:rsidR="007D13F3" w:rsidRPr="00375D8C" w:rsidRDefault="007D13F3" w:rsidP="00465CAC">
            <w:pPr>
              <w:rPr>
                <w:rFonts w:ascii="Times New Roman" w:hAnsi="Times New Roman" w:cs="Times New Roman"/>
                <w:sz w:val="14"/>
                <w:szCs w:val="14"/>
                <w:lang w:eastAsia="sk-SK"/>
              </w:rPr>
            </w:pPr>
            <w:r w:rsidRPr="00375D8C">
              <w:rPr>
                <w:rFonts w:ascii="Times New Roman" w:hAnsi="Times New Roman" w:cs="Times New Roman"/>
                <w:sz w:val="14"/>
                <w:szCs w:val="14"/>
                <w:lang w:eastAsia="sk-SK"/>
              </w:rPr>
              <w:t>presun z minulých rokov</w:t>
            </w:r>
          </w:p>
        </w:tc>
        <w:tc>
          <w:tcPr>
            <w:tcW w:w="50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2 587 493</w:t>
            </w:r>
          </w:p>
        </w:tc>
        <w:tc>
          <w:tcPr>
            <w:tcW w:w="50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4 582 429</w:t>
            </w:r>
          </w:p>
        </w:tc>
        <w:tc>
          <w:tcPr>
            <w:tcW w:w="459"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298 615</w:t>
            </w:r>
          </w:p>
        </w:tc>
        <w:tc>
          <w:tcPr>
            <w:tcW w:w="50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r>
      <w:tr w:rsidR="007D13F3" w:rsidRPr="00375D8C" w:rsidTr="00465CAC">
        <w:trPr>
          <w:trHeight w:val="255"/>
        </w:trPr>
        <w:tc>
          <w:tcPr>
            <w:tcW w:w="1649" w:type="pct"/>
            <w:tcBorders>
              <w:top w:val="nil"/>
              <w:left w:val="single" w:sz="4" w:space="0" w:color="auto"/>
              <w:bottom w:val="single" w:sz="4" w:space="0" w:color="auto"/>
              <w:right w:val="single" w:sz="4" w:space="0" w:color="auto"/>
            </w:tcBorders>
            <w:shd w:val="clear" w:color="auto" w:fill="auto"/>
            <w:noWrap/>
            <w:vAlign w:val="bottom"/>
            <w:hideMark/>
          </w:tcPr>
          <w:p w:rsidR="007D13F3" w:rsidRPr="00375D8C" w:rsidRDefault="007D13F3" w:rsidP="00465CAC">
            <w:pPr>
              <w:rPr>
                <w:rFonts w:ascii="Times New Roman" w:hAnsi="Times New Roman" w:cs="Times New Roman"/>
                <w:color w:val="000000"/>
                <w:sz w:val="14"/>
                <w:szCs w:val="14"/>
                <w:lang w:eastAsia="sk-SK"/>
              </w:rPr>
            </w:pPr>
            <w:r w:rsidRPr="00375D8C">
              <w:rPr>
                <w:rFonts w:ascii="Times New Roman" w:hAnsi="Times New Roman" w:cs="Times New Roman"/>
                <w:color w:val="000000"/>
                <w:sz w:val="14"/>
                <w:szCs w:val="14"/>
                <w:lang w:eastAsia="sk-SK"/>
              </w:rPr>
              <w:t>iné zdroje zo zahraničia (napr. NATO)</w:t>
            </w:r>
          </w:p>
        </w:tc>
        <w:tc>
          <w:tcPr>
            <w:tcW w:w="50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12 893 737</w:t>
            </w:r>
          </w:p>
        </w:tc>
        <w:tc>
          <w:tcPr>
            <w:tcW w:w="50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2 739 749</w:t>
            </w:r>
          </w:p>
        </w:tc>
        <w:tc>
          <w:tcPr>
            <w:tcW w:w="459"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503" w:type="pct"/>
            <w:tcBorders>
              <w:top w:val="nil"/>
              <w:left w:val="nil"/>
              <w:bottom w:val="single" w:sz="4" w:space="0" w:color="auto"/>
              <w:right w:val="single" w:sz="4" w:space="0" w:color="auto"/>
            </w:tcBorders>
            <w:shd w:val="clear" w:color="000000" w:fill="FFFFFF"/>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659 130</w:t>
            </w:r>
          </w:p>
        </w:tc>
        <w:tc>
          <w:tcPr>
            <w:tcW w:w="503"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c>
          <w:tcPr>
            <w:tcW w:w="439" w:type="pct"/>
            <w:tcBorders>
              <w:top w:val="nil"/>
              <w:left w:val="nil"/>
              <w:bottom w:val="single" w:sz="4" w:space="0" w:color="auto"/>
              <w:right w:val="single" w:sz="4" w:space="0" w:color="auto"/>
            </w:tcBorders>
            <w:shd w:val="clear" w:color="auto" w:fill="auto"/>
            <w:noWrap/>
            <w:vAlign w:val="bottom"/>
            <w:hideMark/>
          </w:tcPr>
          <w:p w:rsidR="007D13F3" w:rsidRPr="00375D8C" w:rsidRDefault="007D13F3" w:rsidP="00465CAC">
            <w:pPr>
              <w:jc w:val="right"/>
              <w:rPr>
                <w:rFonts w:ascii="Times New Roman" w:hAnsi="Times New Roman" w:cs="Times New Roman"/>
                <w:sz w:val="14"/>
                <w:szCs w:val="14"/>
                <w:lang w:eastAsia="sk-SK"/>
              </w:rPr>
            </w:pPr>
            <w:r w:rsidRPr="00375D8C">
              <w:rPr>
                <w:rFonts w:ascii="Times New Roman" w:hAnsi="Times New Roman" w:cs="Times New Roman"/>
                <w:sz w:val="14"/>
                <w:szCs w:val="14"/>
                <w:lang w:eastAsia="sk-SK"/>
              </w:rPr>
              <w:t>0</w:t>
            </w:r>
          </w:p>
        </w:tc>
      </w:tr>
    </w:tbl>
    <w:p w:rsidR="007D13F3" w:rsidRPr="00191DC1" w:rsidRDefault="007D13F3" w:rsidP="007D13F3">
      <w:pPr>
        <w:jc w:val="both"/>
        <w:rPr>
          <w:rFonts w:ascii="Arial Narrow" w:hAnsi="Arial Narrow" w:cs="Arial"/>
          <w:b/>
          <w:noProof/>
          <w:lang w:eastAsia="sk-SK"/>
        </w:rPr>
      </w:pPr>
    </w:p>
    <w:p w:rsidR="007D13F3" w:rsidRDefault="007D13F3" w:rsidP="007D13F3">
      <w:pPr>
        <w:ind w:firstLine="708"/>
        <w:jc w:val="both"/>
        <w:rPr>
          <w:rFonts w:ascii="Times New Roman" w:hAnsi="Times New Roman" w:cs="Times New Roman"/>
          <w:noProof/>
          <w:lang w:eastAsia="sk-SK"/>
        </w:rPr>
      </w:pPr>
      <w:r w:rsidRPr="00375D8C">
        <w:rPr>
          <w:rFonts w:ascii="Times New Roman" w:hAnsi="Times New Roman" w:cs="Times New Roman"/>
          <w:noProof/>
          <w:lang w:eastAsia="sk-SK"/>
        </w:rPr>
        <w:t xml:space="preserve">Celkové výdavky na inštitucionálnu podporu pôdohospodárstva sú určené </w:t>
      </w:r>
      <w:r w:rsidRPr="00375D8C">
        <w:rPr>
          <w:rFonts w:ascii="Times New Roman" w:hAnsi="Times New Roman" w:cs="Times New Roman"/>
          <w:noProof/>
          <w:lang w:eastAsia="sk-SK"/>
        </w:rPr>
        <w:br/>
        <w:t xml:space="preserve">na zabezpečenie plnenia úloh rozpočtových a príspevkových organizácií rezortu, riadenie programov regionálneho rozvoja a na ďalšie výdavky ako sú napr. pozemkové úpravy, vyhotovenie lesných hospodárskych plánov, eradikácia chorôb,  štatistický informačný systém, špecifické činnosti v lesnom hospodárstve, potravinový dozor a iné úlohy rezortu. </w:t>
      </w:r>
    </w:p>
    <w:p w:rsidR="007D13F3" w:rsidRPr="00375D8C" w:rsidRDefault="007D13F3" w:rsidP="007D13F3">
      <w:pPr>
        <w:ind w:firstLine="708"/>
        <w:jc w:val="both"/>
        <w:rPr>
          <w:rFonts w:ascii="Times New Roman" w:hAnsi="Times New Roman" w:cs="Times New Roman"/>
          <w:noProof/>
          <w:lang w:eastAsia="sk-SK"/>
        </w:rPr>
      </w:pPr>
    </w:p>
    <w:p w:rsidR="007D13F3" w:rsidRDefault="007D13F3" w:rsidP="007D13F3">
      <w:pPr>
        <w:ind w:firstLine="708"/>
        <w:jc w:val="both"/>
        <w:rPr>
          <w:rFonts w:ascii="Times New Roman" w:hAnsi="Times New Roman" w:cs="Times New Roman"/>
          <w:lang w:eastAsia="sk-SK"/>
        </w:rPr>
      </w:pPr>
      <w:r w:rsidRPr="00375D8C">
        <w:rPr>
          <w:rFonts w:ascii="Times New Roman" w:hAnsi="Times New Roman" w:cs="Times New Roman"/>
          <w:noProof/>
          <w:lang w:eastAsia="sk-SK"/>
        </w:rPr>
        <w:t>Výdavky na inštitucionálnu podporu pôdohospodárstva sú oproti schválenému rozpočtu roku 2017 nižšie o 20,7 mil. eur, t. j.  o 19,7 %. Uvedenú zmenu ovplyvnil</w:t>
      </w:r>
      <w:r w:rsidRPr="00375D8C">
        <w:rPr>
          <w:rFonts w:ascii="Times New Roman" w:hAnsi="Times New Roman" w:cs="Times New Roman"/>
          <w:lang w:eastAsia="sk-SK"/>
        </w:rPr>
        <w:t xml:space="preserve">a najmä skutočnosť, </w:t>
      </w:r>
      <w:r w:rsidRPr="00375D8C">
        <w:rPr>
          <w:rFonts w:ascii="Times New Roman" w:hAnsi="Times New Roman" w:cs="Times New Roman"/>
          <w:lang w:eastAsia="sk-SK"/>
        </w:rPr>
        <w:br/>
        <w:t>že v rozpočte na rok 2018 nie je premietnuté jednorazové zvýšenie výdavkov na tovary a služby a kapitálových výdavkov z roku 2017.</w:t>
      </w:r>
    </w:p>
    <w:p w:rsidR="007D13F3" w:rsidRPr="00375D8C" w:rsidRDefault="007D13F3" w:rsidP="007D13F3">
      <w:pPr>
        <w:spacing w:after="160" w:line="259" w:lineRule="auto"/>
        <w:rPr>
          <w:rFonts w:ascii="Times New Roman" w:hAnsi="Times New Roman" w:cs="Times New Roman"/>
          <w:lang w:eastAsia="sk-SK"/>
        </w:rPr>
      </w:pPr>
      <w:r>
        <w:rPr>
          <w:rFonts w:ascii="Times New Roman" w:hAnsi="Times New Roman" w:cs="Times New Roman"/>
          <w:lang w:eastAsia="sk-SK"/>
        </w:rPr>
        <w:br w:type="page"/>
      </w:r>
    </w:p>
    <w:p w:rsidR="007D13F3" w:rsidRPr="00375D8C" w:rsidRDefault="007D13F3" w:rsidP="007D13F3">
      <w:pPr>
        <w:ind w:firstLine="708"/>
        <w:jc w:val="both"/>
        <w:rPr>
          <w:rFonts w:ascii="Times New Roman" w:hAnsi="Times New Roman" w:cs="Times New Roman"/>
          <w:noProof/>
          <w:lang w:eastAsia="sk-SK"/>
        </w:rPr>
      </w:pPr>
      <w:r w:rsidRPr="00375D8C">
        <w:rPr>
          <w:rFonts w:ascii="Times New Roman" w:hAnsi="Times New Roman" w:cs="Times New Roman"/>
          <w:noProof/>
          <w:lang w:eastAsia="sk-SK"/>
        </w:rPr>
        <w:lastRenderedPageBreak/>
        <w:t>Podrobné členenie výdavkov zo štátneho rozpočtu na inštitucionálnu podporu pôdohospodárstva je uvedené v nasledujúcej tabuľke.</w:t>
      </w:r>
    </w:p>
    <w:p w:rsidR="007D13F3" w:rsidRPr="00375D8C" w:rsidRDefault="007D13F3" w:rsidP="007D13F3">
      <w:pPr>
        <w:ind w:firstLine="708"/>
        <w:jc w:val="both"/>
        <w:rPr>
          <w:rFonts w:ascii="Times New Roman" w:hAnsi="Times New Roman" w:cs="Times New Roman"/>
          <w:noProof/>
          <w:lang w:eastAsia="sk-SK"/>
        </w:rPr>
      </w:pPr>
    </w:p>
    <w:tbl>
      <w:tblPr>
        <w:tblW w:w="5000" w:type="pct"/>
        <w:tblCellMar>
          <w:left w:w="70" w:type="dxa"/>
          <w:right w:w="70" w:type="dxa"/>
        </w:tblCellMar>
        <w:tblLook w:val="04A0" w:firstRow="1" w:lastRow="0" w:firstColumn="1" w:lastColumn="0" w:noHBand="0" w:noVBand="1"/>
      </w:tblPr>
      <w:tblGrid>
        <w:gridCol w:w="3196"/>
        <w:gridCol w:w="840"/>
        <w:gridCol w:w="840"/>
        <w:gridCol w:w="840"/>
        <w:gridCol w:w="840"/>
        <w:gridCol w:w="835"/>
        <w:gridCol w:w="835"/>
        <w:gridCol w:w="836"/>
      </w:tblGrid>
      <w:tr w:rsidR="007D13F3" w:rsidRPr="00191DC1" w:rsidTr="00465CAC">
        <w:trPr>
          <w:trHeight w:val="300"/>
        </w:trPr>
        <w:tc>
          <w:tcPr>
            <w:tcW w:w="1763"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7D13F3" w:rsidRPr="00191DC1" w:rsidRDefault="007D13F3" w:rsidP="00465CAC">
            <w:pPr>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v eurách</w:t>
            </w:r>
          </w:p>
        </w:tc>
        <w:tc>
          <w:tcPr>
            <w:tcW w:w="463"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191DC1" w:rsidRDefault="007D13F3" w:rsidP="00465CAC">
            <w:pPr>
              <w:jc w:val="center"/>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2015 S</w:t>
            </w:r>
          </w:p>
        </w:tc>
        <w:tc>
          <w:tcPr>
            <w:tcW w:w="463"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191DC1" w:rsidRDefault="007D13F3" w:rsidP="00465CAC">
            <w:pPr>
              <w:jc w:val="center"/>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2016 S</w:t>
            </w:r>
          </w:p>
        </w:tc>
        <w:tc>
          <w:tcPr>
            <w:tcW w:w="463"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191DC1" w:rsidRDefault="007D13F3" w:rsidP="00465CAC">
            <w:pPr>
              <w:jc w:val="center"/>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2017 R</w:t>
            </w:r>
          </w:p>
        </w:tc>
        <w:tc>
          <w:tcPr>
            <w:tcW w:w="463"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191DC1" w:rsidRDefault="007D13F3" w:rsidP="00465CAC">
            <w:pPr>
              <w:jc w:val="center"/>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2017 OS</w:t>
            </w:r>
          </w:p>
        </w:tc>
        <w:tc>
          <w:tcPr>
            <w:tcW w:w="461"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191DC1" w:rsidRDefault="007D13F3" w:rsidP="00465CAC">
            <w:pPr>
              <w:jc w:val="center"/>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2018 N</w:t>
            </w:r>
          </w:p>
        </w:tc>
        <w:tc>
          <w:tcPr>
            <w:tcW w:w="461"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191DC1" w:rsidRDefault="007D13F3" w:rsidP="00465CAC">
            <w:pPr>
              <w:jc w:val="center"/>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2019 N</w:t>
            </w:r>
          </w:p>
        </w:tc>
        <w:tc>
          <w:tcPr>
            <w:tcW w:w="461" w:type="pct"/>
            <w:tcBorders>
              <w:top w:val="single" w:sz="4" w:space="0" w:color="auto"/>
              <w:left w:val="nil"/>
              <w:bottom w:val="single" w:sz="4" w:space="0" w:color="auto"/>
              <w:right w:val="single" w:sz="4" w:space="0" w:color="auto"/>
            </w:tcBorders>
            <w:shd w:val="clear" w:color="000000" w:fill="A5A5A5"/>
            <w:noWrap/>
            <w:vAlign w:val="center"/>
            <w:hideMark/>
          </w:tcPr>
          <w:p w:rsidR="007D13F3" w:rsidRPr="00191DC1" w:rsidRDefault="007D13F3" w:rsidP="00465CAC">
            <w:pPr>
              <w:jc w:val="center"/>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2020 N</w:t>
            </w:r>
          </w:p>
        </w:tc>
      </w:tr>
      <w:tr w:rsidR="007D13F3" w:rsidRPr="00191DC1" w:rsidTr="00465CAC">
        <w:trPr>
          <w:trHeight w:val="300"/>
        </w:trPr>
        <w:tc>
          <w:tcPr>
            <w:tcW w:w="1763" w:type="pct"/>
            <w:tcBorders>
              <w:top w:val="nil"/>
              <w:left w:val="single" w:sz="4" w:space="0" w:color="auto"/>
              <w:bottom w:val="single" w:sz="4" w:space="0" w:color="auto"/>
              <w:right w:val="single" w:sz="4" w:space="0" w:color="auto"/>
            </w:tcBorders>
            <w:shd w:val="clear" w:color="000000" w:fill="C0C0C0"/>
            <w:vAlign w:val="center"/>
            <w:hideMark/>
          </w:tcPr>
          <w:p w:rsidR="007D13F3" w:rsidRPr="00191DC1" w:rsidRDefault="007D13F3" w:rsidP="00465CAC">
            <w:pPr>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 xml:space="preserve">Výdavky zo ŠR na inštitucionálnu podporu </w:t>
            </w:r>
          </w:p>
        </w:tc>
        <w:tc>
          <w:tcPr>
            <w:tcW w:w="463" w:type="pct"/>
            <w:tcBorders>
              <w:top w:val="nil"/>
              <w:left w:val="nil"/>
              <w:bottom w:val="single" w:sz="4" w:space="0" w:color="auto"/>
              <w:right w:val="single" w:sz="4" w:space="0" w:color="auto"/>
            </w:tcBorders>
            <w:shd w:val="clear" w:color="000000" w:fill="C0C0C0"/>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112 696 301</w:t>
            </w:r>
          </w:p>
        </w:tc>
        <w:tc>
          <w:tcPr>
            <w:tcW w:w="463" w:type="pct"/>
            <w:tcBorders>
              <w:top w:val="nil"/>
              <w:left w:val="nil"/>
              <w:bottom w:val="single" w:sz="4" w:space="0" w:color="auto"/>
              <w:right w:val="single" w:sz="4" w:space="0" w:color="auto"/>
            </w:tcBorders>
            <w:shd w:val="clear" w:color="000000" w:fill="C0C0C0"/>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133 250 656</w:t>
            </w:r>
          </w:p>
        </w:tc>
        <w:tc>
          <w:tcPr>
            <w:tcW w:w="463" w:type="pct"/>
            <w:tcBorders>
              <w:top w:val="nil"/>
              <w:left w:val="nil"/>
              <w:bottom w:val="single" w:sz="4" w:space="0" w:color="auto"/>
              <w:right w:val="single" w:sz="4" w:space="0" w:color="auto"/>
            </w:tcBorders>
            <w:shd w:val="clear" w:color="000000" w:fill="C0C0C0"/>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105 107 224</w:t>
            </w:r>
          </w:p>
        </w:tc>
        <w:tc>
          <w:tcPr>
            <w:tcW w:w="463" w:type="pct"/>
            <w:tcBorders>
              <w:top w:val="nil"/>
              <w:left w:val="nil"/>
              <w:bottom w:val="single" w:sz="4" w:space="0" w:color="auto"/>
              <w:right w:val="single" w:sz="4" w:space="0" w:color="auto"/>
            </w:tcBorders>
            <w:shd w:val="clear" w:color="000000" w:fill="C0C0C0"/>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108 861 401</w:t>
            </w:r>
          </w:p>
        </w:tc>
        <w:tc>
          <w:tcPr>
            <w:tcW w:w="461" w:type="pct"/>
            <w:tcBorders>
              <w:top w:val="nil"/>
              <w:left w:val="nil"/>
              <w:bottom w:val="single" w:sz="4" w:space="0" w:color="auto"/>
              <w:right w:val="single" w:sz="4" w:space="0" w:color="auto"/>
            </w:tcBorders>
            <w:shd w:val="clear" w:color="000000" w:fill="C0C0C0"/>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84 432 368</w:t>
            </w:r>
          </w:p>
        </w:tc>
        <w:tc>
          <w:tcPr>
            <w:tcW w:w="461" w:type="pct"/>
            <w:tcBorders>
              <w:top w:val="nil"/>
              <w:left w:val="nil"/>
              <w:bottom w:val="single" w:sz="4" w:space="0" w:color="auto"/>
              <w:right w:val="single" w:sz="4" w:space="0" w:color="auto"/>
            </w:tcBorders>
            <w:shd w:val="clear" w:color="000000" w:fill="C0C0C0"/>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82 632 368</w:t>
            </w:r>
          </w:p>
        </w:tc>
        <w:tc>
          <w:tcPr>
            <w:tcW w:w="461" w:type="pct"/>
            <w:tcBorders>
              <w:top w:val="nil"/>
              <w:left w:val="nil"/>
              <w:bottom w:val="single" w:sz="4" w:space="0" w:color="auto"/>
              <w:right w:val="single" w:sz="4" w:space="0" w:color="auto"/>
            </w:tcBorders>
            <w:shd w:val="clear" w:color="000000" w:fill="C0C0C0"/>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82 632 368</w:t>
            </w:r>
          </w:p>
        </w:tc>
      </w:tr>
      <w:tr w:rsidR="007D13F3" w:rsidRPr="00191DC1" w:rsidTr="00465CAC">
        <w:trPr>
          <w:trHeight w:val="300"/>
        </w:trPr>
        <w:tc>
          <w:tcPr>
            <w:tcW w:w="1763" w:type="pct"/>
            <w:tcBorders>
              <w:top w:val="nil"/>
              <w:left w:val="single" w:sz="4" w:space="0" w:color="auto"/>
              <w:bottom w:val="single" w:sz="4" w:space="0" w:color="auto"/>
              <w:right w:val="single" w:sz="4" w:space="0" w:color="auto"/>
            </w:tcBorders>
            <w:shd w:val="clear" w:color="000000" w:fill="FFFFFF"/>
            <w:vAlign w:val="center"/>
            <w:hideMark/>
          </w:tcPr>
          <w:p w:rsidR="007D13F3" w:rsidRPr="00191DC1" w:rsidRDefault="007D13F3" w:rsidP="00465CAC">
            <w:pPr>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Rozpočtové organizácie:</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88 727 488</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109 222 850</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91 992 248</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94 568 473</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73 346 716</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71 546 716</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71 546 716</w:t>
            </w:r>
          </w:p>
        </w:tc>
      </w:tr>
      <w:tr w:rsidR="007D13F3" w:rsidRPr="00191DC1" w:rsidTr="00465CAC">
        <w:trPr>
          <w:trHeight w:val="300"/>
        </w:trPr>
        <w:tc>
          <w:tcPr>
            <w:tcW w:w="1763" w:type="pct"/>
            <w:tcBorders>
              <w:top w:val="nil"/>
              <w:left w:val="single" w:sz="4" w:space="0" w:color="auto"/>
              <w:bottom w:val="single" w:sz="4" w:space="0" w:color="auto"/>
              <w:right w:val="single" w:sz="4" w:space="0" w:color="auto"/>
            </w:tcBorders>
            <w:shd w:val="clear" w:color="000000" w:fill="FFFFFF"/>
            <w:vAlign w:val="center"/>
            <w:hideMark/>
          </w:tcPr>
          <w:p w:rsidR="007D13F3" w:rsidRPr="00191DC1" w:rsidRDefault="007D13F3" w:rsidP="00465CAC">
            <w:pPr>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Služobný úrad MPRV SR</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44 847 173</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65 474 739</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49 392 384</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49 965 739</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30 090 345</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28 290 345</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28 290 345</w:t>
            </w:r>
          </w:p>
        </w:tc>
      </w:tr>
      <w:tr w:rsidR="007D13F3" w:rsidRPr="00191DC1" w:rsidTr="00465CAC">
        <w:trPr>
          <w:trHeight w:val="300"/>
        </w:trPr>
        <w:tc>
          <w:tcPr>
            <w:tcW w:w="1763" w:type="pct"/>
            <w:tcBorders>
              <w:top w:val="nil"/>
              <w:left w:val="single" w:sz="4" w:space="0" w:color="auto"/>
              <w:bottom w:val="single" w:sz="4" w:space="0" w:color="auto"/>
              <w:right w:val="single" w:sz="4" w:space="0" w:color="auto"/>
            </w:tcBorders>
            <w:shd w:val="clear" w:color="000000" w:fill="FFFFFF"/>
            <w:vAlign w:val="center"/>
            <w:hideMark/>
          </w:tcPr>
          <w:p w:rsidR="007D13F3" w:rsidRPr="00191DC1" w:rsidRDefault="007D13F3" w:rsidP="00465CAC">
            <w:pPr>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Štátna veterinárna a potravinová správa SR</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17 488 016</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18 138 936</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20 317 626</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20 333 097</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20 520 679</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20 520 679</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20 520 679</w:t>
            </w:r>
          </w:p>
        </w:tc>
      </w:tr>
      <w:tr w:rsidR="007D13F3" w:rsidRPr="00191DC1" w:rsidTr="00465CAC">
        <w:trPr>
          <w:trHeight w:val="300"/>
        </w:trPr>
        <w:tc>
          <w:tcPr>
            <w:tcW w:w="1763" w:type="pct"/>
            <w:tcBorders>
              <w:top w:val="nil"/>
              <w:left w:val="single" w:sz="4" w:space="0" w:color="auto"/>
              <w:bottom w:val="single" w:sz="4" w:space="0" w:color="auto"/>
              <w:right w:val="single" w:sz="4" w:space="0" w:color="auto"/>
            </w:tcBorders>
            <w:shd w:val="clear" w:color="000000" w:fill="FFFFFF"/>
            <w:vAlign w:val="center"/>
            <w:hideMark/>
          </w:tcPr>
          <w:p w:rsidR="007D13F3" w:rsidRPr="00191DC1" w:rsidRDefault="007D13F3" w:rsidP="00465CAC">
            <w:pPr>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Ústredný kontrolný a skúšobný ústav poľnohospodársky</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8 882 978</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12 117 365</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9 544 967</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9 544 967</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10 311 340</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10 311 340</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10 311 340</w:t>
            </w:r>
          </w:p>
        </w:tc>
      </w:tr>
      <w:tr w:rsidR="007D13F3" w:rsidRPr="00191DC1" w:rsidTr="00465CAC">
        <w:trPr>
          <w:trHeight w:val="300"/>
        </w:trPr>
        <w:tc>
          <w:tcPr>
            <w:tcW w:w="1763" w:type="pct"/>
            <w:tcBorders>
              <w:top w:val="nil"/>
              <w:left w:val="single" w:sz="4" w:space="0" w:color="auto"/>
              <w:bottom w:val="single" w:sz="4" w:space="0" w:color="auto"/>
              <w:right w:val="single" w:sz="4" w:space="0" w:color="auto"/>
            </w:tcBorders>
            <w:shd w:val="clear" w:color="auto" w:fill="auto"/>
            <w:vAlign w:val="center"/>
            <w:hideMark/>
          </w:tcPr>
          <w:p w:rsidR="007D13F3" w:rsidRPr="00191DC1" w:rsidRDefault="007D13F3" w:rsidP="00465CAC">
            <w:pPr>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Plemenárska inšpekcia SR</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214 676</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220 990</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196 421</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196 421</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202 013</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202 013</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202 013</w:t>
            </w:r>
          </w:p>
        </w:tc>
      </w:tr>
      <w:tr w:rsidR="007D13F3" w:rsidRPr="00191DC1" w:rsidTr="00465CAC">
        <w:trPr>
          <w:trHeight w:val="300"/>
        </w:trPr>
        <w:tc>
          <w:tcPr>
            <w:tcW w:w="1763" w:type="pct"/>
            <w:tcBorders>
              <w:top w:val="nil"/>
              <w:left w:val="single" w:sz="4" w:space="0" w:color="auto"/>
              <w:bottom w:val="single" w:sz="4" w:space="0" w:color="auto"/>
              <w:right w:val="single" w:sz="4" w:space="0" w:color="auto"/>
            </w:tcBorders>
            <w:shd w:val="clear" w:color="auto" w:fill="auto"/>
            <w:vAlign w:val="center"/>
            <w:hideMark/>
          </w:tcPr>
          <w:p w:rsidR="007D13F3" w:rsidRPr="00191DC1" w:rsidRDefault="007D13F3" w:rsidP="00465CAC">
            <w:pPr>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Pôdohospodárska platobná agentúra</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17 294 645</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13 270 820</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12 540 850</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14 528 249</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12 222 339</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12 222 339</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12 222 339</w:t>
            </w:r>
          </w:p>
        </w:tc>
      </w:tr>
      <w:tr w:rsidR="007D13F3" w:rsidRPr="00191DC1" w:rsidTr="00465CAC">
        <w:trPr>
          <w:trHeight w:val="300"/>
        </w:trPr>
        <w:tc>
          <w:tcPr>
            <w:tcW w:w="1763" w:type="pct"/>
            <w:tcBorders>
              <w:top w:val="nil"/>
              <w:left w:val="single" w:sz="4" w:space="0" w:color="auto"/>
              <w:bottom w:val="single" w:sz="4" w:space="0" w:color="auto"/>
              <w:right w:val="single" w:sz="4" w:space="0" w:color="auto"/>
            </w:tcBorders>
            <w:shd w:val="clear" w:color="000000" w:fill="FFFFFF"/>
            <w:vAlign w:val="center"/>
            <w:hideMark/>
          </w:tcPr>
          <w:p w:rsidR="007D13F3" w:rsidRPr="00191DC1" w:rsidRDefault="007D13F3" w:rsidP="00465CAC">
            <w:pPr>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Príspevkové organizácie:</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23 968 813</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24 027 806</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13 114 976</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14 292 928</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11 085 652</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11 085 652</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b/>
                <w:bCs/>
                <w:color w:val="000000"/>
                <w:sz w:val="14"/>
                <w:szCs w:val="14"/>
                <w:lang w:eastAsia="sk-SK"/>
              </w:rPr>
            </w:pPr>
            <w:r w:rsidRPr="00191DC1">
              <w:rPr>
                <w:rFonts w:ascii="Times New Roman" w:hAnsi="Times New Roman" w:cs="Times New Roman"/>
                <w:b/>
                <w:bCs/>
                <w:color w:val="000000"/>
                <w:sz w:val="14"/>
                <w:szCs w:val="14"/>
                <w:lang w:eastAsia="sk-SK"/>
              </w:rPr>
              <w:t>11 085 652</w:t>
            </w:r>
          </w:p>
        </w:tc>
      </w:tr>
      <w:tr w:rsidR="007D13F3" w:rsidRPr="00191DC1" w:rsidTr="00465CAC">
        <w:trPr>
          <w:trHeight w:val="300"/>
        </w:trPr>
        <w:tc>
          <w:tcPr>
            <w:tcW w:w="1763" w:type="pct"/>
            <w:tcBorders>
              <w:top w:val="nil"/>
              <w:left w:val="single" w:sz="4" w:space="0" w:color="auto"/>
              <w:bottom w:val="single" w:sz="4" w:space="0" w:color="auto"/>
              <w:right w:val="single" w:sz="4" w:space="0" w:color="auto"/>
            </w:tcBorders>
            <w:shd w:val="clear" w:color="000000" w:fill="FFFFFF"/>
            <w:vAlign w:val="center"/>
            <w:hideMark/>
          </w:tcPr>
          <w:p w:rsidR="007D13F3" w:rsidRPr="00191DC1" w:rsidRDefault="007D13F3" w:rsidP="00465CAC">
            <w:pPr>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Národné lesnícke centrum Zvolen</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3 533 580</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3 610 449</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3 841 879</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4 012 879</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1 430 340</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1 430 340</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1 430 340</w:t>
            </w:r>
          </w:p>
        </w:tc>
      </w:tr>
      <w:tr w:rsidR="007D13F3" w:rsidRPr="00191DC1" w:rsidTr="00465CAC">
        <w:trPr>
          <w:trHeight w:val="300"/>
        </w:trPr>
        <w:tc>
          <w:tcPr>
            <w:tcW w:w="1763" w:type="pct"/>
            <w:tcBorders>
              <w:top w:val="nil"/>
              <w:left w:val="single" w:sz="4" w:space="0" w:color="auto"/>
              <w:bottom w:val="single" w:sz="4" w:space="0" w:color="auto"/>
              <w:right w:val="single" w:sz="4" w:space="0" w:color="auto"/>
            </w:tcBorders>
            <w:shd w:val="clear" w:color="000000" w:fill="FFFFFF"/>
            <w:vAlign w:val="center"/>
            <w:hideMark/>
          </w:tcPr>
          <w:p w:rsidR="007D13F3" w:rsidRPr="00191DC1" w:rsidRDefault="007D13F3" w:rsidP="00465CAC">
            <w:pPr>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Inštitút vzdelávania veterinárnych lekárov, Košice</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117 345</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112 977</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91 960</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91 960</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87 365</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87 365</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87 365</w:t>
            </w:r>
          </w:p>
        </w:tc>
      </w:tr>
      <w:tr w:rsidR="007D13F3" w:rsidRPr="00191DC1" w:rsidTr="00465CAC">
        <w:trPr>
          <w:trHeight w:val="420"/>
        </w:trPr>
        <w:tc>
          <w:tcPr>
            <w:tcW w:w="1763" w:type="pct"/>
            <w:tcBorders>
              <w:top w:val="nil"/>
              <w:left w:val="single" w:sz="4" w:space="0" w:color="auto"/>
              <w:bottom w:val="single" w:sz="4" w:space="0" w:color="auto"/>
              <w:right w:val="single" w:sz="4" w:space="0" w:color="auto"/>
            </w:tcBorders>
            <w:shd w:val="clear" w:color="000000" w:fill="FFFFFF"/>
            <w:vAlign w:val="center"/>
            <w:hideMark/>
          </w:tcPr>
          <w:p w:rsidR="007D13F3" w:rsidRPr="00191DC1" w:rsidRDefault="007D13F3" w:rsidP="00465CAC">
            <w:pPr>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Štátne lesy Tatranského národného parku, Tatranská Lomnica</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885 958</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845 949</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781 577</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781 577</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742 500</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742 500</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742 500</w:t>
            </w:r>
          </w:p>
        </w:tc>
      </w:tr>
      <w:tr w:rsidR="007D13F3" w:rsidRPr="00191DC1" w:rsidTr="00465CAC">
        <w:trPr>
          <w:trHeight w:val="300"/>
        </w:trPr>
        <w:tc>
          <w:tcPr>
            <w:tcW w:w="1763" w:type="pct"/>
            <w:tcBorders>
              <w:top w:val="nil"/>
              <w:left w:val="single" w:sz="4" w:space="0" w:color="auto"/>
              <w:bottom w:val="single" w:sz="4" w:space="0" w:color="auto"/>
              <w:right w:val="single" w:sz="4" w:space="0" w:color="auto"/>
            </w:tcBorders>
            <w:shd w:val="clear" w:color="000000" w:fill="FFFFFF"/>
            <w:vAlign w:val="center"/>
            <w:hideMark/>
          </w:tcPr>
          <w:p w:rsidR="007D13F3" w:rsidRPr="00191DC1" w:rsidRDefault="007D13F3" w:rsidP="00465CAC">
            <w:pPr>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Agentúra pre rozvoj vidieka, Nitra</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124 620</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110 698</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91 857</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91 857</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87 265</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87 265</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87 265</w:t>
            </w:r>
          </w:p>
        </w:tc>
      </w:tr>
      <w:tr w:rsidR="007D13F3" w:rsidRPr="00191DC1" w:rsidTr="00465CAC">
        <w:trPr>
          <w:trHeight w:val="300"/>
        </w:trPr>
        <w:tc>
          <w:tcPr>
            <w:tcW w:w="1763" w:type="pct"/>
            <w:tcBorders>
              <w:top w:val="nil"/>
              <w:left w:val="single" w:sz="4" w:space="0" w:color="auto"/>
              <w:bottom w:val="single" w:sz="4" w:space="0" w:color="auto"/>
              <w:right w:val="single" w:sz="4" w:space="0" w:color="auto"/>
            </w:tcBorders>
            <w:shd w:val="clear" w:color="000000" w:fill="FFFFFF"/>
            <w:vAlign w:val="center"/>
            <w:hideMark/>
          </w:tcPr>
          <w:p w:rsidR="007D13F3" w:rsidRPr="00191DC1" w:rsidRDefault="007D13F3" w:rsidP="00465CAC">
            <w:pPr>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 xml:space="preserve">Múzeum vo Svätom </w:t>
            </w:r>
            <w:proofErr w:type="spellStart"/>
            <w:r w:rsidRPr="00191DC1">
              <w:rPr>
                <w:rFonts w:ascii="Times New Roman" w:hAnsi="Times New Roman" w:cs="Times New Roman"/>
                <w:color w:val="000000"/>
                <w:sz w:val="14"/>
                <w:szCs w:val="14"/>
                <w:lang w:eastAsia="sk-SK"/>
              </w:rPr>
              <w:t>Antone</w:t>
            </w:r>
            <w:proofErr w:type="spellEnd"/>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251 436</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227 800</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130 720</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130 720</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124 184</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124 184</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124 184</w:t>
            </w:r>
          </w:p>
        </w:tc>
      </w:tr>
      <w:tr w:rsidR="007D13F3" w:rsidRPr="00191DC1" w:rsidTr="00465CAC">
        <w:trPr>
          <w:trHeight w:val="420"/>
        </w:trPr>
        <w:tc>
          <w:tcPr>
            <w:tcW w:w="1763" w:type="pct"/>
            <w:tcBorders>
              <w:top w:val="nil"/>
              <w:left w:val="single" w:sz="4" w:space="0" w:color="auto"/>
              <w:bottom w:val="single" w:sz="4" w:space="0" w:color="auto"/>
              <w:right w:val="single" w:sz="4" w:space="0" w:color="auto"/>
            </w:tcBorders>
            <w:shd w:val="clear" w:color="000000" w:fill="FFFFFF"/>
            <w:vAlign w:val="center"/>
            <w:hideMark/>
          </w:tcPr>
          <w:p w:rsidR="007D13F3" w:rsidRPr="00191DC1" w:rsidRDefault="007D13F3" w:rsidP="00465CAC">
            <w:pPr>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Národné poľnohospodárske a potravinárske centrum Lužianky</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15 363 191</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15 388 582</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4 823 982</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5 830 934</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5 428 648</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5 428 648</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5 428 648</w:t>
            </w:r>
          </w:p>
        </w:tc>
      </w:tr>
      <w:tr w:rsidR="007D13F3" w:rsidRPr="00191DC1" w:rsidTr="00465CAC">
        <w:trPr>
          <w:trHeight w:val="300"/>
        </w:trPr>
        <w:tc>
          <w:tcPr>
            <w:tcW w:w="1763" w:type="pct"/>
            <w:tcBorders>
              <w:top w:val="nil"/>
              <w:left w:val="single" w:sz="4" w:space="0" w:color="auto"/>
              <w:bottom w:val="single" w:sz="4" w:space="0" w:color="auto"/>
              <w:right w:val="single" w:sz="4" w:space="0" w:color="auto"/>
            </w:tcBorders>
            <w:shd w:val="clear" w:color="000000" w:fill="FFFFFF"/>
            <w:vAlign w:val="center"/>
            <w:hideMark/>
          </w:tcPr>
          <w:p w:rsidR="007D13F3" w:rsidRPr="00191DC1" w:rsidRDefault="007D13F3" w:rsidP="00465CAC">
            <w:pPr>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Štátny veterinárny a potravinový ústav Dolný Kubín</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3 692 683</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3 731 351</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3 353 001</w:t>
            </w:r>
          </w:p>
        </w:tc>
        <w:tc>
          <w:tcPr>
            <w:tcW w:w="463"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3 353 001</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3 185 350</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3 185 350</w:t>
            </w:r>
          </w:p>
        </w:tc>
        <w:tc>
          <w:tcPr>
            <w:tcW w:w="461" w:type="pct"/>
            <w:tcBorders>
              <w:top w:val="nil"/>
              <w:left w:val="nil"/>
              <w:bottom w:val="single" w:sz="4" w:space="0" w:color="auto"/>
              <w:right w:val="single" w:sz="4" w:space="0" w:color="auto"/>
            </w:tcBorders>
            <w:shd w:val="clear" w:color="auto" w:fill="auto"/>
            <w:noWrap/>
            <w:vAlign w:val="center"/>
            <w:hideMark/>
          </w:tcPr>
          <w:p w:rsidR="007D13F3" w:rsidRPr="00191DC1" w:rsidRDefault="007D13F3" w:rsidP="00465CAC">
            <w:pPr>
              <w:jc w:val="right"/>
              <w:rPr>
                <w:rFonts w:ascii="Times New Roman" w:hAnsi="Times New Roman" w:cs="Times New Roman"/>
                <w:color w:val="000000"/>
                <w:sz w:val="14"/>
                <w:szCs w:val="14"/>
                <w:lang w:eastAsia="sk-SK"/>
              </w:rPr>
            </w:pPr>
            <w:r w:rsidRPr="00191DC1">
              <w:rPr>
                <w:rFonts w:ascii="Times New Roman" w:hAnsi="Times New Roman" w:cs="Times New Roman"/>
                <w:color w:val="000000"/>
                <w:sz w:val="14"/>
                <w:szCs w:val="14"/>
                <w:lang w:eastAsia="sk-SK"/>
              </w:rPr>
              <w:t>3 185 350</w:t>
            </w:r>
          </w:p>
        </w:tc>
      </w:tr>
    </w:tbl>
    <w:p w:rsidR="007D13F3" w:rsidRPr="00375D8C" w:rsidRDefault="007D13F3" w:rsidP="007D13F3">
      <w:pPr>
        <w:jc w:val="both"/>
        <w:rPr>
          <w:rFonts w:ascii="Times New Roman" w:hAnsi="Times New Roman" w:cs="Times New Roman"/>
          <w:lang w:eastAsia="sk-SK"/>
        </w:rPr>
      </w:pPr>
    </w:p>
    <w:p w:rsidR="007D13F3" w:rsidRPr="00375D8C" w:rsidRDefault="007D13F3" w:rsidP="007D13F3">
      <w:pPr>
        <w:ind w:firstLine="708"/>
        <w:jc w:val="both"/>
        <w:rPr>
          <w:rFonts w:ascii="Times New Roman" w:hAnsi="Times New Roman" w:cs="Times New Roman"/>
          <w:noProof/>
          <w:lang w:eastAsia="sk-SK"/>
        </w:rPr>
      </w:pPr>
      <w:r w:rsidRPr="00375D8C">
        <w:rPr>
          <w:rFonts w:ascii="Times New Roman" w:hAnsi="Times New Roman" w:cs="Times New Roman"/>
          <w:noProof/>
          <w:lang w:eastAsia="sk-SK"/>
        </w:rPr>
        <w:t xml:space="preserve">Celkové výdavky zo </w:t>
      </w:r>
      <w:r w:rsidR="007E7B9D">
        <w:rPr>
          <w:rFonts w:ascii="Times New Roman" w:hAnsi="Times New Roman" w:cs="Times New Roman"/>
          <w:noProof/>
          <w:lang w:eastAsia="sk-SK"/>
        </w:rPr>
        <w:t>štátneho rozpočtu</w:t>
      </w:r>
      <w:r w:rsidRPr="00375D8C">
        <w:rPr>
          <w:rFonts w:ascii="Times New Roman" w:hAnsi="Times New Roman" w:cs="Times New Roman"/>
          <w:noProof/>
          <w:lang w:eastAsia="sk-SK"/>
        </w:rPr>
        <w:t xml:space="preserve"> na inštitucionálnu podporu pôdohospodárstva sú rozpočtované vo výške 84,4 mil. eur, čo predstavuje pokles oproti schválenému rozpočtu roku 2017 o 19,7 %. Výdavky rozpočtových organizácií v porovnaní so schváleným rozpočtom roku 2017 klesajú o 20,3</w:t>
      </w:r>
      <w:r w:rsidR="007E7B9D">
        <w:rPr>
          <w:rFonts w:ascii="Times New Roman" w:hAnsi="Times New Roman" w:cs="Times New Roman"/>
          <w:noProof/>
          <w:lang w:eastAsia="sk-SK"/>
        </w:rPr>
        <w:t xml:space="preserve"> </w:t>
      </w:r>
      <w:r w:rsidRPr="00375D8C">
        <w:rPr>
          <w:rFonts w:ascii="Times New Roman" w:hAnsi="Times New Roman" w:cs="Times New Roman"/>
          <w:noProof/>
          <w:lang w:eastAsia="sk-SK"/>
        </w:rPr>
        <w:t>% a výdavky príspevkových organizácií medziročne klesajú o 15,5 %.</w:t>
      </w:r>
    </w:p>
    <w:p w:rsidR="007D13F3" w:rsidRPr="001B18C2" w:rsidRDefault="007D13F3" w:rsidP="007D13F3">
      <w:pPr>
        <w:pStyle w:val="Nadpis1"/>
        <w:spacing w:before="0"/>
        <w:rPr>
          <w:rFonts w:ascii="Times New Roman" w:hAnsi="Times New Roman" w:cs="Times New Roman"/>
          <w:b w:val="0"/>
          <w:sz w:val="24"/>
          <w:highlight w:val="yellow"/>
        </w:rPr>
      </w:pPr>
      <w:r>
        <w:rPr>
          <w:rFonts w:ascii="Arial Narrow" w:hAnsi="Arial Narrow" w:cs="Times New Roman"/>
          <w:b w:val="0"/>
          <w:bCs w:val="0"/>
          <w:kern w:val="0"/>
          <w:sz w:val="22"/>
          <w:szCs w:val="22"/>
          <w:lang w:eastAsia="sk-SK"/>
        </w:rPr>
        <w:tab/>
      </w:r>
      <w:r>
        <w:rPr>
          <w:rFonts w:ascii="Arial Narrow" w:hAnsi="Arial Narrow" w:cs="Times New Roman"/>
          <w:b w:val="0"/>
          <w:bCs w:val="0"/>
          <w:kern w:val="0"/>
          <w:sz w:val="22"/>
          <w:szCs w:val="22"/>
          <w:lang w:eastAsia="sk-SK"/>
        </w:rPr>
        <w:tab/>
      </w:r>
      <w:r>
        <w:rPr>
          <w:rFonts w:ascii="Arial Narrow" w:hAnsi="Arial Narrow" w:cs="Times New Roman"/>
          <w:b w:val="0"/>
          <w:bCs w:val="0"/>
          <w:kern w:val="0"/>
          <w:sz w:val="22"/>
          <w:szCs w:val="22"/>
          <w:lang w:eastAsia="sk-SK"/>
        </w:rPr>
        <w:tab/>
      </w:r>
      <w:r>
        <w:rPr>
          <w:rFonts w:ascii="Arial Narrow" w:hAnsi="Arial Narrow" w:cs="Times New Roman"/>
          <w:b w:val="0"/>
          <w:bCs w:val="0"/>
          <w:kern w:val="0"/>
          <w:sz w:val="22"/>
          <w:szCs w:val="22"/>
          <w:lang w:eastAsia="sk-SK"/>
        </w:rPr>
        <w:tab/>
      </w:r>
      <w:r>
        <w:rPr>
          <w:rFonts w:ascii="Arial Narrow" w:hAnsi="Arial Narrow" w:cs="Times New Roman"/>
          <w:b w:val="0"/>
          <w:bCs w:val="0"/>
          <w:kern w:val="0"/>
          <w:sz w:val="22"/>
          <w:szCs w:val="22"/>
          <w:lang w:eastAsia="sk-SK"/>
        </w:rPr>
        <w:tab/>
      </w:r>
      <w:r>
        <w:rPr>
          <w:rFonts w:ascii="Arial Narrow" w:hAnsi="Arial Narrow" w:cs="Times New Roman"/>
          <w:b w:val="0"/>
          <w:bCs w:val="0"/>
          <w:kern w:val="0"/>
          <w:sz w:val="22"/>
          <w:szCs w:val="22"/>
          <w:lang w:eastAsia="sk-SK"/>
        </w:rPr>
        <w:tab/>
      </w:r>
      <w:r>
        <w:rPr>
          <w:rFonts w:ascii="Arial Narrow" w:hAnsi="Arial Narrow" w:cs="Times New Roman"/>
          <w:b w:val="0"/>
          <w:bCs w:val="0"/>
          <w:kern w:val="0"/>
          <w:sz w:val="22"/>
          <w:szCs w:val="22"/>
          <w:lang w:eastAsia="sk-SK"/>
        </w:rPr>
        <w:tab/>
      </w:r>
      <w:r>
        <w:rPr>
          <w:rFonts w:ascii="Arial Narrow" w:hAnsi="Arial Narrow" w:cs="Times New Roman"/>
          <w:b w:val="0"/>
          <w:bCs w:val="0"/>
          <w:kern w:val="0"/>
          <w:sz w:val="22"/>
          <w:szCs w:val="22"/>
          <w:lang w:eastAsia="sk-SK"/>
        </w:rPr>
        <w:tab/>
      </w:r>
      <w:r>
        <w:rPr>
          <w:rFonts w:ascii="Arial Narrow" w:hAnsi="Arial Narrow" w:cs="Times New Roman"/>
          <w:b w:val="0"/>
          <w:bCs w:val="0"/>
          <w:kern w:val="0"/>
          <w:sz w:val="22"/>
          <w:szCs w:val="22"/>
          <w:lang w:eastAsia="sk-SK"/>
        </w:rPr>
        <w:tab/>
      </w:r>
      <w:r>
        <w:rPr>
          <w:rFonts w:ascii="Arial Narrow" w:hAnsi="Arial Narrow" w:cs="Times New Roman"/>
          <w:b w:val="0"/>
          <w:bCs w:val="0"/>
          <w:kern w:val="0"/>
          <w:sz w:val="22"/>
          <w:szCs w:val="22"/>
          <w:lang w:eastAsia="sk-SK"/>
        </w:rPr>
        <w:tab/>
      </w:r>
    </w:p>
    <w:p w:rsidR="007D13F3" w:rsidRDefault="007D13F3" w:rsidP="007D13F3">
      <w:pPr>
        <w:pStyle w:val="Nadpis5"/>
        <w:pBdr>
          <w:bottom w:val="single" w:sz="4" w:space="1" w:color="auto"/>
        </w:pBdr>
        <w:spacing w:before="0" w:after="0"/>
        <w:ind w:left="0"/>
        <w:rPr>
          <w:i w:val="0"/>
          <w:sz w:val="24"/>
          <w:lang w:eastAsia="sk-SK"/>
        </w:rPr>
      </w:pPr>
      <w:bookmarkStart w:id="95" w:name="_Toc400551759"/>
      <w:bookmarkStart w:id="96" w:name="_Toc494470096"/>
      <w:bookmarkStart w:id="97" w:name="_Toc494472272"/>
      <w:r w:rsidRPr="00924379">
        <w:rPr>
          <w:i w:val="0"/>
          <w:sz w:val="24"/>
          <w:lang w:eastAsia="sk-SK"/>
        </w:rPr>
        <w:t>Ministerstvo obrany SR</w:t>
      </w:r>
      <w:bookmarkEnd w:id="95"/>
      <w:bookmarkEnd w:id="96"/>
      <w:bookmarkEnd w:id="97"/>
    </w:p>
    <w:p w:rsidR="007D13F3" w:rsidRDefault="007D13F3" w:rsidP="007D13F3">
      <w:pPr>
        <w:rPr>
          <w:lang w:eastAsia="sk-SK"/>
        </w:rPr>
      </w:pPr>
    </w:p>
    <w:p w:rsidR="007D13F3" w:rsidRPr="000D79F8" w:rsidRDefault="007D13F3" w:rsidP="007D13F3">
      <w:pPr>
        <w:jc w:val="both"/>
        <w:rPr>
          <w:rFonts w:ascii="Times New Roman" w:hAnsi="Times New Roman" w:cs="Times New Roman"/>
          <w:b/>
          <w:bCs/>
          <w:lang w:eastAsia="sk-SK"/>
        </w:rPr>
      </w:pPr>
      <w:r w:rsidRPr="000D79F8">
        <w:rPr>
          <w:rFonts w:ascii="Times New Roman" w:hAnsi="Times New Roman" w:cs="Times New Roman"/>
          <w:b/>
          <w:bCs/>
          <w:lang w:eastAsia="sk-SK"/>
        </w:rPr>
        <w:t>Obranné výdavky</w:t>
      </w:r>
    </w:p>
    <w:p w:rsidR="007D13F3" w:rsidRPr="000D79F8" w:rsidRDefault="007D13F3" w:rsidP="007D13F3">
      <w:pPr>
        <w:jc w:val="both"/>
        <w:rPr>
          <w:rFonts w:ascii="Times New Roman" w:hAnsi="Times New Roman" w:cs="Times New Roman"/>
          <w:b/>
          <w:bCs/>
          <w:lang w:eastAsia="sk-SK"/>
        </w:rPr>
      </w:pPr>
    </w:p>
    <w:p w:rsidR="007D13F3" w:rsidRPr="000D79F8" w:rsidRDefault="007D13F3" w:rsidP="007D13F3">
      <w:pPr>
        <w:ind w:firstLine="708"/>
        <w:jc w:val="both"/>
        <w:rPr>
          <w:rFonts w:ascii="Times New Roman" w:hAnsi="Times New Roman" w:cs="Times New Roman"/>
        </w:rPr>
      </w:pPr>
      <w:r w:rsidRPr="000D79F8">
        <w:rPr>
          <w:rFonts w:ascii="Times New Roman" w:hAnsi="Times New Roman" w:cs="Times New Roman"/>
        </w:rPr>
        <w:t>Celkov</w:t>
      </w:r>
      <w:r>
        <w:rPr>
          <w:rFonts w:ascii="Times New Roman" w:hAnsi="Times New Roman" w:cs="Times New Roman"/>
        </w:rPr>
        <w:t>é obranné výdavky sú na rok 2018 rozpočtované vo výške 1,22</w:t>
      </w:r>
      <w:r w:rsidRPr="000D79F8">
        <w:rPr>
          <w:rFonts w:ascii="Times New Roman" w:hAnsi="Times New Roman" w:cs="Times New Roman"/>
        </w:rPr>
        <w:t xml:space="preserve"> % HDP, vrátane výdavkov ostatných kapitol </w:t>
      </w:r>
      <w:r w:rsidR="008E30EC">
        <w:rPr>
          <w:rFonts w:ascii="Times New Roman" w:hAnsi="Times New Roman" w:cs="Times New Roman"/>
        </w:rPr>
        <w:t xml:space="preserve">štátneho rozpočtu </w:t>
      </w:r>
      <w:r w:rsidRPr="000D79F8">
        <w:rPr>
          <w:rFonts w:ascii="Times New Roman" w:hAnsi="Times New Roman" w:cs="Times New Roman"/>
        </w:rPr>
        <w:t xml:space="preserve">v rámci medzirezortných programov Podpora obrany, Hospodárska mobilizácia a Vysielanie civilných expertov do aktivít krízového manažmentu mimo územia SR. </w:t>
      </w:r>
    </w:p>
    <w:p w:rsidR="007D13F3" w:rsidRPr="000D79F8" w:rsidRDefault="007D13F3" w:rsidP="007D13F3">
      <w:pPr>
        <w:ind w:firstLine="708"/>
        <w:jc w:val="both"/>
        <w:rPr>
          <w:rFonts w:ascii="Times New Roman" w:hAnsi="Times New Roman" w:cs="Times New Roman"/>
        </w:rPr>
      </w:pPr>
    </w:p>
    <w:tbl>
      <w:tblPr>
        <w:tblW w:w="9067" w:type="dxa"/>
        <w:tblLayout w:type="fixed"/>
        <w:tblCellMar>
          <w:left w:w="70" w:type="dxa"/>
          <w:right w:w="70" w:type="dxa"/>
        </w:tblCellMar>
        <w:tblLook w:val="04A0" w:firstRow="1" w:lastRow="0" w:firstColumn="1" w:lastColumn="0" w:noHBand="0" w:noVBand="1"/>
      </w:tblPr>
      <w:tblGrid>
        <w:gridCol w:w="2405"/>
        <w:gridCol w:w="951"/>
        <w:gridCol w:w="952"/>
        <w:gridCol w:w="952"/>
        <w:gridCol w:w="951"/>
        <w:gridCol w:w="952"/>
        <w:gridCol w:w="952"/>
        <w:gridCol w:w="952"/>
      </w:tblGrid>
      <w:tr w:rsidR="007D13F3" w:rsidRPr="00544A07" w:rsidTr="00465CAC">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544A07" w:rsidRDefault="007D13F3" w:rsidP="00465CAC">
            <w:pP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v eurách</w:t>
            </w:r>
          </w:p>
        </w:tc>
        <w:tc>
          <w:tcPr>
            <w:tcW w:w="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CB7118" w:rsidRDefault="007D13F3" w:rsidP="00465CAC">
            <w:pPr>
              <w:jc w:val="center"/>
              <w:rPr>
                <w:rFonts w:ascii="Times New Roman" w:hAnsi="Times New Roman" w:cs="Times New Roman"/>
                <w:b/>
                <w:bCs/>
                <w:color w:val="000000"/>
                <w:sz w:val="14"/>
                <w:szCs w:val="14"/>
                <w:lang w:eastAsia="sk-SK"/>
              </w:rPr>
            </w:pPr>
            <w:r w:rsidRPr="00CB7118">
              <w:rPr>
                <w:rFonts w:ascii="Times New Roman" w:hAnsi="Times New Roman" w:cs="Times New Roman"/>
                <w:b/>
                <w:bCs/>
                <w:color w:val="000000"/>
                <w:sz w:val="14"/>
                <w:szCs w:val="14"/>
              </w:rPr>
              <w:t>2015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CB7118" w:rsidRDefault="007D13F3" w:rsidP="00465CAC">
            <w:pPr>
              <w:jc w:val="center"/>
              <w:rPr>
                <w:rFonts w:ascii="Times New Roman" w:hAnsi="Times New Roman" w:cs="Times New Roman"/>
                <w:b/>
                <w:bCs/>
                <w:color w:val="000000"/>
                <w:sz w:val="14"/>
                <w:szCs w:val="14"/>
              </w:rPr>
            </w:pPr>
            <w:r w:rsidRPr="00CB7118">
              <w:rPr>
                <w:rFonts w:ascii="Times New Roman" w:hAnsi="Times New Roman" w:cs="Times New Roman"/>
                <w:b/>
                <w:bCs/>
                <w:color w:val="000000"/>
                <w:sz w:val="14"/>
                <w:szCs w:val="14"/>
              </w:rPr>
              <w:t>2016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CB7118" w:rsidRDefault="007D13F3" w:rsidP="00465CAC">
            <w:pPr>
              <w:jc w:val="center"/>
              <w:rPr>
                <w:rFonts w:ascii="Times New Roman" w:hAnsi="Times New Roman" w:cs="Times New Roman"/>
                <w:b/>
                <w:bCs/>
                <w:color w:val="000000"/>
                <w:sz w:val="14"/>
                <w:szCs w:val="14"/>
              </w:rPr>
            </w:pPr>
            <w:r w:rsidRPr="00CB7118">
              <w:rPr>
                <w:rFonts w:ascii="Times New Roman" w:hAnsi="Times New Roman" w:cs="Times New Roman"/>
                <w:b/>
                <w:bCs/>
                <w:color w:val="000000"/>
                <w:sz w:val="14"/>
                <w:szCs w:val="14"/>
              </w:rPr>
              <w:t>2017 R</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CB7118" w:rsidRDefault="007D13F3" w:rsidP="00465CAC">
            <w:pPr>
              <w:jc w:val="center"/>
              <w:rPr>
                <w:rFonts w:ascii="Times New Roman" w:hAnsi="Times New Roman" w:cs="Times New Roman"/>
                <w:b/>
                <w:bCs/>
                <w:color w:val="000000"/>
                <w:sz w:val="14"/>
                <w:szCs w:val="14"/>
              </w:rPr>
            </w:pPr>
            <w:r w:rsidRPr="00CB7118">
              <w:rPr>
                <w:rFonts w:ascii="Times New Roman" w:hAnsi="Times New Roman" w:cs="Times New Roman"/>
                <w:b/>
                <w:bCs/>
                <w:color w:val="000000"/>
                <w:sz w:val="14"/>
                <w:szCs w:val="14"/>
              </w:rPr>
              <w:t>2017 OS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CB7118" w:rsidRDefault="007D13F3" w:rsidP="00465CAC">
            <w:pPr>
              <w:jc w:val="center"/>
              <w:rPr>
                <w:rFonts w:ascii="Times New Roman" w:hAnsi="Times New Roman" w:cs="Times New Roman"/>
                <w:b/>
                <w:bCs/>
                <w:color w:val="000000"/>
                <w:sz w:val="14"/>
                <w:szCs w:val="14"/>
              </w:rPr>
            </w:pPr>
            <w:r w:rsidRPr="00CB7118">
              <w:rPr>
                <w:rFonts w:ascii="Times New Roman" w:hAnsi="Times New Roman" w:cs="Times New Roman"/>
                <w:b/>
                <w:bCs/>
                <w:color w:val="000000"/>
                <w:sz w:val="14"/>
                <w:szCs w:val="14"/>
              </w:rPr>
              <w:t>2018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CB7118" w:rsidRDefault="007D13F3" w:rsidP="00465CAC">
            <w:pPr>
              <w:jc w:val="center"/>
              <w:rPr>
                <w:rFonts w:ascii="Times New Roman" w:hAnsi="Times New Roman" w:cs="Times New Roman"/>
                <w:b/>
                <w:bCs/>
                <w:color w:val="000000"/>
                <w:sz w:val="14"/>
                <w:szCs w:val="14"/>
              </w:rPr>
            </w:pPr>
            <w:r w:rsidRPr="00CB7118">
              <w:rPr>
                <w:rFonts w:ascii="Times New Roman" w:hAnsi="Times New Roman" w:cs="Times New Roman"/>
                <w:b/>
                <w:bCs/>
                <w:color w:val="000000"/>
                <w:sz w:val="14"/>
                <w:szCs w:val="14"/>
              </w:rPr>
              <w:t>2019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CB7118" w:rsidRDefault="007D13F3" w:rsidP="00465CAC">
            <w:pPr>
              <w:jc w:val="center"/>
              <w:rPr>
                <w:rFonts w:ascii="Times New Roman" w:hAnsi="Times New Roman" w:cs="Times New Roman"/>
                <w:b/>
                <w:bCs/>
                <w:color w:val="000000"/>
                <w:sz w:val="14"/>
                <w:szCs w:val="14"/>
              </w:rPr>
            </w:pPr>
            <w:r w:rsidRPr="00CB7118">
              <w:rPr>
                <w:rFonts w:ascii="Times New Roman" w:hAnsi="Times New Roman" w:cs="Times New Roman"/>
                <w:b/>
                <w:bCs/>
                <w:color w:val="000000"/>
                <w:sz w:val="14"/>
                <w:szCs w:val="14"/>
              </w:rPr>
              <w:t>2020 N</w:t>
            </w:r>
          </w:p>
        </w:tc>
      </w:tr>
      <w:tr w:rsidR="007D13F3" w:rsidRPr="00544A07" w:rsidTr="00465CAC">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544A07" w:rsidRDefault="007D13F3" w:rsidP="00465CAC">
            <w:pP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Obranné výdavky celkom</w:t>
            </w:r>
          </w:p>
        </w:tc>
        <w:tc>
          <w:tcPr>
            <w:tcW w:w="951"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7D13F3" w:rsidRPr="00CB7118" w:rsidRDefault="007D13F3" w:rsidP="00465CAC">
            <w:pPr>
              <w:jc w:val="right"/>
              <w:rPr>
                <w:rFonts w:ascii="Times New Roman" w:hAnsi="Times New Roman" w:cs="Times New Roman"/>
                <w:b/>
                <w:bCs/>
                <w:color w:val="000000"/>
                <w:sz w:val="14"/>
                <w:szCs w:val="14"/>
              </w:rPr>
            </w:pPr>
            <w:r w:rsidRPr="00CB7118">
              <w:rPr>
                <w:rFonts w:ascii="Times New Roman" w:hAnsi="Times New Roman" w:cs="Times New Roman"/>
                <w:b/>
                <w:bCs/>
                <w:color w:val="000000"/>
                <w:sz w:val="14"/>
                <w:szCs w:val="14"/>
              </w:rPr>
              <w:t>895 277 544</w:t>
            </w:r>
          </w:p>
        </w:tc>
        <w:tc>
          <w:tcPr>
            <w:tcW w:w="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D13F3" w:rsidRPr="004F5C34" w:rsidRDefault="007D13F3" w:rsidP="00465CAC">
            <w:pPr>
              <w:jc w:val="right"/>
              <w:rPr>
                <w:rFonts w:ascii="Times New Roman" w:hAnsi="Times New Roman" w:cs="Times New Roman"/>
                <w:b/>
                <w:bCs/>
                <w:color w:val="000000"/>
                <w:sz w:val="14"/>
                <w:szCs w:val="14"/>
                <w:lang w:eastAsia="sk-SK"/>
              </w:rPr>
            </w:pPr>
            <w:r w:rsidRPr="004F5C34">
              <w:rPr>
                <w:rFonts w:ascii="Times New Roman" w:hAnsi="Times New Roman" w:cs="Times New Roman"/>
                <w:b/>
                <w:bCs/>
                <w:color w:val="000000"/>
                <w:sz w:val="14"/>
                <w:szCs w:val="14"/>
              </w:rPr>
              <w:t>913 379 679</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CB7118" w:rsidRDefault="007D13F3" w:rsidP="00465CAC">
            <w:pPr>
              <w:jc w:val="right"/>
              <w:rPr>
                <w:rFonts w:ascii="Times New Roman" w:hAnsi="Times New Roman" w:cs="Times New Roman"/>
                <w:b/>
                <w:bCs/>
                <w:color w:val="000000"/>
                <w:sz w:val="14"/>
                <w:szCs w:val="14"/>
              </w:rPr>
            </w:pPr>
            <w:r w:rsidRPr="00CB7118">
              <w:rPr>
                <w:rFonts w:ascii="Times New Roman" w:hAnsi="Times New Roman" w:cs="Times New Roman"/>
                <w:b/>
                <w:bCs/>
                <w:color w:val="000000"/>
                <w:sz w:val="14"/>
                <w:szCs w:val="14"/>
              </w:rPr>
              <w:t>998 448 866</w:t>
            </w:r>
          </w:p>
        </w:tc>
        <w:tc>
          <w:tcPr>
            <w:tcW w:w="951"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BF3945" w:rsidRDefault="007D13F3" w:rsidP="00465CAC">
            <w:pPr>
              <w:jc w:val="right"/>
              <w:rPr>
                <w:rFonts w:ascii="Times New Roman" w:hAnsi="Times New Roman" w:cs="Times New Roman"/>
                <w:b/>
                <w:sz w:val="14"/>
                <w:szCs w:val="14"/>
              </w:rPr>
            </w:pPr>
            <w:r w:rsidRPr="00BF3945">
              <w:rPr>
                <w:rFonts w:ascii="Times New Roman" w:hAnsi="Times New Roman" w:cs="Times New Roman"/>
                <w:b/>
                <w:sz w:val="14"/>
                <w:szCs w:val="14"/>
              </w:rPr>
              <w:t>984 978 654</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BF3945" w:rsidRDefault="007D13F3" w:rsidP="00465CAC">
            <w:pPr>
              <w:jc w:val="right"/>
              <w:rPr>
                <w:rFonts w:ascii="Times New Roman" w:hAnsi="Times New Roman" w:cs="Times New Roman"/>
                <w:b/>
                <w:sz w:val="14"/>
                <w:szCs w:val="14"/>
              </w:rPr>
            </w:pPr>
            <w:r w:rsidRPr="00BF3945">
              <w:rPr>
                <w:rFonts w:ascii="Times New Roman" w:hAnsi="Times New Roman" w:cs="Times New Roman"/>
                <w:b/>
                <w:sz w:val="14"/>
                <w:szCs w:val="14"/>
              </w:rPr>
              <w:t>1 090 552 015</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BF3945" w:rsidRDefault="007D13F3" w:rsidP="00465CAC">
            <w:pPr>
              <w:jc w:val="right"/>
              <w:rPr>
                <w:rFonts w:ascii="Times New Roman" w:hAnsi="Times New Roman" w:cs="Times New Roman"/>
                <w:b/>
                <w:sz w:val="14"/>
                <w:szCs w:val="14"/>
              </w:rPr>
            </w:pPr>
            <w:r w:rsidRPr="00BF3945">
              <w:rPr>
                <w:rFonts w:ascii="Times New Roman" w:hAnsi="Times New Roman" w:cs="Times New Roman"/>
                <w:b/>
                <w:sz w:val="14"/>
                <w:szCs w:val="14"/>
              </w:rPr>
              <w:t>1 163 341 491</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BF3945" w:rsidRDefault="007D13F3" w:rsidP="00465CAC">
            <w:pPr>
              <w:jc w:val="right"/>
              <w:rPr>
                <w:rFonts w:ascii="Times New Roman" w:hAnsi="Times New Roman" w:cs="Times New Roman"/>
                <w:b/>
                <w:sz w:val="14"/>
                <w:szCs w:val="14"/>
              </w:rPr>
            </w:pPr>
            <w:r w:rsidRPr="00BF3945">
              <w:rPr>
                <w:rFonts w:ascii="Times New Roman" w:hAnsi="Times New Roman" w:cs="Times New Roman"/>
                <w:b/>
                <w:sz w:val="14"/>
                <w:szCs w:val="14"/>
              </w:rPr>
              <w:t>1 620 660 935</w:t>
            </w:r>
          </w:p>
        </w:tc>
      </w:tr>
      <w:tr w:rsidR="007D13F3" w:rsidRPr="00544A07" w:rsidTr="00465CAC">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544A07" w:rsidRDefault="007D13F3" w:rsidP="00465CAC">
            <w:pP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Podiel na HDP v %</w:t>
            </w:r>
          </w:p>
        </w:tc>
        <w:tc>
          <w:tcPr>
            <w:tcW w:w="951"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7D13F3" w:rsidRPr="00CB7118" w:rsidRDefault="007D13F3" w:rsidP="00F30F1A">
            <w:pPr>
              <w:jc w:val="right"/>
              <w:rPr>
                <w:rFonts w:ascii="Times New Roman" w:hAnsi="Times New Roman" w:cs="Times New Roman"/>
                <w:b/>
                <w:bCs/>
                <w:color w:val="000000"/>
                <w:sz w:val="14"/>
                <w:szCs w:val="14"/>
              </w:rPr>
            </w:pPr>
            <w:r w:rsidRPr="00CB7118">
              <w:rPr>
                <w:rFonts w:ascii="Times New Roman" w:hAnsi="Times New Roman" w:cs="Times New Roman"/>
                <w:b/>
                <w:bCs/>
                <w:color w:val="000000"/>
                <w:sz w:val="14"/>
                <w:szCs w:val="14"/>
              </w:rPr>
              <w:t>1,14</w:t>
            </w:r>
          </w:p>
        </w:tc>
        <w:tc>
          <w:tcPr>
            <w:tcW w:w="952"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7D13F3" w:rsidRPr="004F5C34" w:rsidRDefault="007D13F3" w:rsidP="00F30F1A">
            <w:pPr>
              <w:jc w:val="right"/>
              <w:rPr>
                <w:rFonts w:ascii="Times New Roman" w:hAnsi="Times New Roman" w:cs="Times New Roman"/>
                <w:b/>
                <w:bCs/>
                <w:color w:val="000000"/>
                <w:sz w:val="14"/>
                <w:szCs w:val="14"/>
              </w:rPr>
            </w:pPr>
            <w:r w:rsidRPr="004F5C34">
              <w:rPr>
                <w:rFonts w:ascii="Times New Roman" w:hAnsi="Times New Roman" w:cs="Times New Roman"/>
                <w:b/>
                <w:bCs/>
                <w:color w:val="000000"/>
                <w:sz w:val="14"/>
                <w:szCs w:val="14"/>
              </w:rPr>
              <w:t>1,13</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CB7118" w:rsidRDefault="007D13F3" w:rsidP="00F30F1A">
            <w:pPr>
              <w:jc w:val="right"/>
              <w:rPr>
                <w:rFonts w:ascii="Times New Roman" w:hAnsi="Times New Roman" w:cs="Times New Roman"/>
                <w:b/>
                <w:bCs/>
                <w:color w:val="000000"/>
                <w:sz w:val="14"/>
                <w:szCs w:val="14"/>
              </w:rPr>
            </w:pPr>
            <w:r w:rsidRPr="00CB7118">
              <w:rPr>
                <w:rFonts w:ascii="Times New Roman" w:hAnsi="Times New Roman" w:cs="Times New Roman"/>
                <w:b/>
                <w:bCs/>
                <w:color w:val="000000"/>
                <w:sz w:val="14"/>
                <w:szCs w:val="14"/>
              </w:rPr>
              <w:t>1,19</w:t>
            </w:r>
          </w:p>
        </w:tc>
        <w:tc>
          <w:tcPr>
            <w:tcW w:w="951"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BF3945" w:rsidRDefault="007D13F3" w:rsidP="00F30F1A">
            <w:pPr>
              <w:jc w:val="right"/>
              <w:rPr>
                <w:rFonts w:ascii="Times New Roman" w:hAnsi="Times New Roman" w:cs="Times New Roman"/>
                <w:b/>
                <w:sz w:val="14"/>
                <w:szCs w:val="14"/>
              </w:rPr>
            </w:pPr>
            <w:r w:rsidRPr="00BF3945">
              <w:rPr>
                <w:rFonts w:ascii="Times New Roman" w:hAnsi="Times New Roman" w:cs="Times New Roman"/>
                <w:b/>
                <w:sz w:val="14"/>
                <w:szCs w:val="14"/>
              </w:rPr>
              <w:t>1,16</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BF3945" w:rsidRDefault="007D13F3" w:rsidP="00F30F1A">
            <w:pPr>
              <w:jc w:val="right"/>
              <w:rPr>
                <w:rFonts w:ascii="Times New Roman" w:hAnsi="Times New Roman" w:cs="Times New Roman"/>
                <w:b/>
                <w:sz w:val="14"/>
                <w:szCs w:val="14"/>
              </w:rPr>
            </w:pPr>
            <w:r w:rsidRPr="00BF3945">
              <w:rPr>
                <w:rFonts w:ascii="Times New Roman" w:hAnsi="Times New Roman" w:cs="Times New Roman"/>
                <w:b/>
                <w:sz w:val="14"/>
                <w:szCs w:val="14"/>
              </w:rPr>
              <w:t>1,22</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BF3945" w:rsidRDefault="007D13F3" w:rsidP="00F30F1A">
            <w:pPr>
              <w:jc w:val="right"/>
              <w:rPr>
                <w:rFonts w:ascii="Times New Roman" w:hAnsi="Times New Roman" w:cs="Times New Roman"/>
                <w:b/>
                <w:sz w:val="14"/>
                <w:szCs w:val="14"/>
              </w:rPr>
            </w:pPr>
            <w:r w:rsidRPr="00BF3945">
              <w:rPr>
                <w:rFonts w:ascii="Times New Roman" w:hAnsi="Times New Roman" w:cs="Times New Roman"/>
                <w:b/>
                <w:sz w:val="14"/>
                <w:szCs w:val="14"/>
              </w:rPr>
              <w:t>1,22</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BF3945" w:rsidRDefault="007D13F3" w:rsidP="00F30F1A">
            <w:pPr>
              <w:jc w:val="right"/>
              <w:rPr>
                <w:rFonts w:ascii="Times New Roman" w:hAnsi="Times New Roman" w:cs="Times New Roman"/>
                <w:b/>
                <w:sz w:val="14"/>
                <w:szCs w:val="14"/>
              </w:rPr>
            </w:pPr>
            <w:r w:rsidRPr="00BF3945">
              <w:rPr>
                <w:rFonts w:ascii="Times New Roman" w:hAnsi="Times New Roman" w:cs="Times New Roman"/>
                <w:b/>
                <w:sz w:val="14"/>
                <w:szCs w:val="14"/>
              </w:rPr>
              <w:t>1,60</w:t>
            </w:r>
          </w:p>
        </w:tc>
      </w:tr>
      <w:tr w:rsidR="007D13F3" w:rsidRPr="00544A07"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544A07" w:rsidRDefault="007D13F3" w:rsidP="00465CAC">
            <w:pPr>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Ministerstvo obrany SR</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D13F3" w:rsidRPr="00CB7118" w:rsidRDefault="007D13F3" w:rsidP="00465CAC">
            <w:pPr>
              <w:jc w:val="right"/>
              <w:rPr>
                <w:rFonts w:ascii="Times New Roman" w:hAnsi="Times New Roman" w:cs="Times New Roman"/>
                <w:color w:val="000000"/>
                <w:sz w:val="14"/>
                <w:szCs w:val="14"/>
              </w:rPr>
            </w:pPr>
            <w:r w:rsidRPr="00CB7118">
              <w:rPr>
                <w:rFonts w:ascii="Times New Roman" w:hAnsi="Times New Roman" w:cs="Times New Roman"/>
                <w:color w:val="000000"/>
                <w:sz w:val="14"/>
                <w:szCs w:val="14"/>
              </w:rPr>
              <w:t>885 573 572</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7D13F3" w:rsidRPr="004F5C34" w:rsidRDefault="007D13F3" w:rsidP="00465CAC">
            <w:pPr>
              <w:jc w:val="right"/>
              <w:rPr>
                <w:rFonts w:ascii="Times New Roman" w:hAnsi="Times New Roman" w:cs="Times New Roman"/>
                <w:color w:val="000000"/>
                <w:sz w:val="14"/>
                <w:szCs w:val="14"/>
              </w:rPr>
            </w:pPr>
            <w:r w:rsidRPr="004F5C34">
              <w:rPr>
                <w:rFonts w:ascii="Times New Roman" w:hAnsi="Times New Roman" w:cs="Times New Roman"/>
                <w:color w:val="000000"/>
                <w:sz w:val="14"/>
                <w:szCs w:val="14"/>
              </w:rPr>
              <w:t>903 891 691</w:t>
            </w:r>
          </w:p>
        </w:tc>
        <w:tc>
          <w:tcPr>
            <w:tcW w:w="952" w:type="dxa"/>
            <w:tcBorders>
              <w:top w:val="nil"/>
              <w:left w:val="nil"/>
              <w:bottom w:val="single" w:sz="4" w:space="0" w:color="auto"/>
              <w:right w:val="single" w:sz="4" w:space="0" w:color="auto"/>
            </w:tcBorders>
            <w:shd w:val="clear" w:color="auto" w:fill="auto"/>
            <w:vAlign w:val="bottom"/>
            <w:hideMark/>
          </w:tcPr>
          <w:p w:rsidR="007D13F3" w:rsidRPr="00CB7118" w:rsidRDefault="007D13F3" w:rsidP="00465CAC">
            <w:pPr>
              <w:jc w:val="right"/>
              <w:rPr>
                <w:rFonts w:ascii="Times New Roman" w:hAnsi="Times New Roman" w:cs="Times New Roman"/>
                <w:color w:val="000000"/>
                <w:sz w:val="14"/>
                <w:szCs w:val="14"/>
              </w:rPr>
            </w:pPr>
            <w:r w:rsidRPr="00CB7118">
              <w:rPr>
                <w:rFonts w:ascii="Times New Roman" w:hAnsi="Times New Roman" w:cs="Times New Roman"/>
                <w:color w:val="000000"/>
                <w:sz w:val="14"/>
                <w:szCs w:val="14"/>
              </w:rPr>
              <w:t>990 054 525</w:t>
            </w:r>
          </w:p>
        </w:tc>
        <w:tc>
          <w:tcPr>
            <w:tcW w:w="951" w:type="dxa"/>
            <w:tcBorders>
              <w:top w:val="nil"/>
              <w:left w:val="nil"/>
              <w:bottom w:val="single" w:sz="4" w:space="0" w:color="auto"/>
              <w:right w:val="single" w:sz="4" w:space="0" w:color="auto"/>
            </w:tcBorders>
            <w:shd w:val="clear" w:color="auto" w:fill="auto"/>
            <w:vAlign w:val="bottom"/>
            <w:hideMark/>
          </w:tcPr>
          <w:p w:rsidR="007D13F3" w:rsidRPr="00BF3945" w:rsidRDefault="007D13F3" w:rsidP="00465CAC">
            <w:pPr>
              <w:jc w:val="right"/>
              <w:rPr>
                <w:rFonts w:ascii="Times New Roman" w:hAnsi="Times New Roman" w:cs="Times New Roman"/>
                <w:sz w:val="14"/>
                <w:szCs w:val="14"/>
              </w:rPr>
            </w:pPr>
            <w:r w:rsidRPr="00BF3945">
              <w:rPr>
                <w:rFonts w:ascii="Times New Roman" w:hAnsi="Times New Roman" w:cs="Times New Roman"/>
                <w:sz w:val="14"/>
                <w:szCs w:val="14"/>
              </w:rPr>
              <w:t>972 144 947</w:t>
            </w:r>
          </w:p>
        </w:tc>
        <w:tc>
          <w:tcPr>
            <w:tcW w:w="952" w:type="dxa"/>
            <w:tcBorders>
              <w:top w:val="nil"/>
              <w:left w:val="nil"/>
              <w:bottom w:val="single" w:sz="4" w:space="0" w:color="auto"/>
              <w:right w:val="single" w:sz="4" w:space="0" w:color="auto"/>
            </w:tcBorders>
            <w:shd w:val="clear" w:color="auto" w:fill="auto"/>
            <w:vAlign w:val="bottom"/>
            <w:hideMark/>
          </w:tcPr>
          <w:p w:rsidR="007D13F3" w:rsidRPr="00BF3945" w:rsidRDefault="007D13F3" w:rsidP="00465CAC">
            <w:pPr>
              <w:jc w:val="right"/>
              <w:rPr>
                <w:rFonts w:ascii="Times New Roman" w:hAnsi="Times New Roman" w:cs="Times New Roman"/>
                <w:sz w:val="14"/>
                <w:szCs w:val="14"/>
              </w:rPr>
            </w:pPr>
            <w:r w:rsidRPr="00BF3945">
              <w:rPr>
                <w:rFonts w:ascii="Times New Roman" w:hAnsi="Times New Roman" w:cs="Times New Roman"/>
                <w:sz w:val="14"/>
                <w:szCs w:val="14"/>
              </w:rPr>
              <w:t>1 082 078 792</w:t>
            </w:r>
          </w:p>
        </w:tc>
        <w:tc>
          <w:tcPr>
            <w:tcW w:w="952" w:type="dxa"/>
            <w:tcBorders>
              <w:top w:val="nil"/>
              <w:left w:val="nil"/>
              <w:bottom w:val="single" w:sz="4" w:space="0" w:color="auto"/>
              <w:right w:val="single" w:sz="4" w:space="0" w:color="auto"/>
            </w:tcBorders>
            <w:shd w:val="clear" w:color="auto" w:fill="auto"/>
            <w:vAlign w:val="bottom"/>
            <w:hideMark/>
          </w:tcPr>
          <w:p w:rsidR="007D13F3" w:rsidRPr="00BF3945" w:rsidRDefault="007D13F3" w:rsidP="00465CAC">
            <w:pPr>
              <w:jc w:val="right"/>
              <w:rPr>
                <w:rFonts w:ascii="Times New Roman" w:hAnsi="Times New Roman" w:cs="Times New Roman"/>
                <w:sz w:val="14"/>
                <w:szCs w:val="14"/>
              </w:rPr>
            </w:pPr>
            <w:r w:rsidRPr="00BF3945">
              <w:rPr>
                <w:rFonts w:ascii="Times New Roman" w:hAnsi="Times New Roman" w:cs="Times New Roman"/>
                <w:sz w:val="14"/>
                <w:szCs w:val="14"/>
              </w:rPr>
              <w:t>1 154 651 596</w:t>
            </w:r>
          </w:p>
        </w:tc>
        <w:tc>
          <w:tcPr>
            <w:tcW w:w="952" w:type="dxa"/>
            <w:tcBorders>
              <w:top w:val="nil"/>
              <w:left w:val="nil"/>
              <w:bottom w:val="single" w:sz="4" w:space="0" w:color="auto"/>
              <w:right w:val="single" w:sz="4" w:space="0" w:color="auto"/>
            </w:tcBorders>
            <w:shd w:val="clear" w:color="auto" w:fill="auto"/>
            <w:vAlign w:val="bottom"/>
            <w:hideMark/>
          </w:tcPr>
          <w:p w:rsidR="007D13F3" w:rsidRPr="00BF3945" w:rsidRDefault="007D13F3" w:rsidP="00465CAC">
            <w:pPr>
              <w:jc w:val="right"/>
              <w:rPr>
                <w:rFonts w:ascii="Times New Roman" w:hAnsi="Times New Roman" w:cs="Times New Roman"/>
                <w:sz w:val="14"/>
                <w:szCs w:val="14"/>
              </w:rPr>
            </w:pPr>
            <w:r w:rsidRPr="00BF3945">
              <w:rPr>
                <w:rFonts w:ascii="Times New Roman" w:hAnsi="Times New Roman" w:cs="Times New Roman"/>
                <w:sz w:val="14"/>
                <w:szCs w:val="14"/>
              </w:rPr>
              <w:t>1 611 822 040</w:t>
            </w:r>
          </w:p>
        </w:tc>
      </w:tr>
      <w:tr w:rsidR="007D13F3" w:rsidRPr="00544A07"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544A07" w:rsidRDefault="007D13F3" w:rsidP="00465CAC">
            <w:pPr>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Podpora obrany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D13F3" w:rsidRPr="00CB7118" w:rsidRDefault="007D13F3" w:rsidP="00465CAC">
            <w:pPr>
              <w:jc w:val="right"/>
              <w:rPr>
                <w:rFonts w:ascii="Times New Roman" w:hAnsi="Times New Roman" w:cs="Times New Roman"/>
                <w:color w:val="000000"/>
                <w:sz w:val="14"/>
                <w:szCs w:val="14"/>
              </w:rPr>
            </w:pPr>
            <w:r w:rsidRPr="00CB7118">
              <w:rPr>
                <w:rFonts w:ascii="Times New Roman" w:hAnsi="Times New Roman" w:cs="Times New Roman"/>
                <w:color w:val="000000"/>
                <w:sz w:val="14"/>
                <w:szCs w:val="14"/>
              </w:rPr>
              <w:t>3 176 909</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7D13F3" w:rsidRPr="004F5C34" w:rsidRDefault="007D13F3" w:rsidP="00465CAC">
            <w:pPr>
              <w:jc w:val="right"/>
              <w:rPr>
                <w:rFonts w:ascii="Times New Roman" w:hAnsi="Times New Roman" w:cs="Times New Roman"/>
                <w:color w:val="000000"/>
                <w:sz w:val="14"/>
                <w:szCs w:val="14"/>
              </w:rPr>
            </w:pPr>
            <w:r w:rsidRPr="004F5C34">
              <w:rPr>
                <w:rFonts w:ascii="Times New Roman" w:hAnsi="Times New Roman" w:cs="Times New Roman"/>
                <w:color w:val="000000"/>
                <w:sz w:val="14"/>
                <w:szCs w:val="14"/>
              </w:rPr>
              <w:t>2 690 409</w:t>
            </w:r>
          </w:p>
        </w:tc>
        <w:tc>
          <w:tcPr>
            <w:tcW w:w="952" w:type="dxa"/>
            <w:tcBorders>
              <w:top w:val="nil"/>
              <w:left w:val="nil"/>
              <w:bottom w:val="single" w:sz="4" w:space="0" w:color="auto"/>
              <w:right w:val="single" w:sz="4" w:space="0" w:color="auto"/>
            </w:tcBorders>
            <w:shd w:val="clear" w:color="auto" w:fill="auto"/>
            <w:vAlign w:val="bottom"/>
            <w:hideMark/>
          </w:tcPr>
          <w:p w:rsidR="007D13F3" w:rsidRPr="00CB7118" w:rsidRDefault="007D13F3" w:rsidP="00465CAC">
            <w:pPr>
              <w:jc w:val="right"/>
              <w:rPr>
                <w:rFonts w:ascii="Times New Roman" w:hAnsi="Times New Roman" w:cs="Times New Roman"/>
                <w:color w:val="000000"/>
                <w:sz w:val="14"/>
                <w:szCs w:val="14"/>
              </w:rPr>
            </w:pPr>
            <w:r w:rsidRPr="00CB7118">
              <w:rPr>
                <w:rFonts w:ascii="Times New Roman" w:hAnsi="Times New Roman" w:cs="Times New Roman"/>
                <w:color w:val="000000"/>
                <w:sz w:val="14"/>
                <w:szCs w:val="14"/>
              </w:rPr>
              <w:t>3 037 409</w:t>
            </w:r>
          </w:p>
        </w:tc>
        <w:tc>
          <w:tcPr>
            <w:tcW w:w="951" w:type="dxa"/>
            <w:tcBorders>
              <w:top w:val="nil"/>
              <w:left w:val="nil"/>
              <w:bottom w:val="single" w:sz="4" w:space="0" w:color="auto"/>
              <w:right w:val="single" w:sz="4" w:space="0" w:color="auto"/>
            </w:tcBorders>
            <w:shd w:val="clear" w:color="auto" w:fill="auto"/>
            <w:vAlign w:val="bottom"/>
            <w:hideMark/>
          </w:tcPr>
          <w:p w:rsidR="007D13F3" w:rsidRPr="00BF3945" w:rsidRDefault="007D13F3" w:rsidP="00465CAC">
            <w:pPr>
              <w:jc w:val="right"/>
              <w:rPr>
                <w:rFonts w:ascii="Times New Roman" w:hAnsi="Times New Roman" w:cs="Times New Roman"/>
                <w:sz w:val="14"/>
                <w:szCs w:val="14"/>
              </w:rPr>
            </w:pPr>
            <w:r w:rsidRPr="00BF3945">
              <w:rPr>
                <w:rFonts w:ascii="Times New Roman" w:hAnsi="Times New Roman" w:cs="Times New Roman"/>
                <w:sz w:val="14"/>
                <w:szCs w:val="14"/>
              </w:rPr>
              <w:t>4 037 409</w:t>
            </w:r>
          </w:p>
        </w:tc>
        <w:tc>
          <w:tcPr>
            <w:tcW w:w="952" w:type="dxa"/>
            <w:tcBorders>
              <w:top w:val="nil"/>
              <w:left w:val="nil"/>
              <w:bottom w:val="single" w:sz="4" w:space="0" w:color="auto"/>
              <w:right w:val="single" w:sz="4" w:space="0" w:color="auto"/>
            </w:tcBorders>
            <w:shd w:val="clear" w:color="auto" w:fill="auto"/>
            <w:vAlign w:val="bottom"/>
            <w:hideMark/>
          </w:tcPr>
          <w:p w:rsidR="007D13F3" w:rsidRPr="00BF3945" w:rsidRDefault="007D13F3" w:rsidP="00465CAC">
            <w:pPr>
              <w:jc w:val="right"/>
              <w:rPr>
                <w:rFonts w:ascii="Times New Roman" w:hAnsi="Times New Roman" w:cs="Times New Roman"/>
                <w:sz w:val="14"/>
                <w:szCs w:val="14"/>
              </w:rPr>
            </w:pPr>
            <w:r w:rsidRPr="00BF3945">
              <w:rPr>
                <w:rFonts w:ascii="Times New Roman" w:hAnsi="Times New Roman" w:cs="Times New Roman"/>
                <w:sz w:val="14"/>
                <w:szCs w:val="14"/>
              </w:rPr>
              <w:t>2 931 276</w:t>
            </w:r>
          </w:p>
        </w:tc>
        <w:tc>
          <w:tcPr>
            <w:tcW w:w="952" w:type="dxa"/>
            <w:tcBorders>
              <w:top w:val="nil"/>
              <w:left w:val="nil"/>
              <w:bottom w:val="single" w:sz="4" w:space="0" w:color="auto"/>
              <w:right w:val="single" w:sz="4" w:space="0" w:color="auto"/>
            </w:tcBorders>
            <w:shd w:val="clear" w:color="auto" w:fill="auto"/>
            <w:vAlign w:val="bottom"/>
            <w:hideMark/>
          </w:tcPr>
          <w:p w:rsidR="007D13F3" w:rsidRPr="00BF3945" w:rsidRDefault="007D13F3" w:rsidP="00465CAC">
            <w:pPr>
              <w:jc w:val="right"/>
              <w:rPr>
                <w:rFonts w:ascii="Times New Roman" w:hAnsi="Times New Roman" w:cs="Times New Roman"/>
                <w:sz w:val="14"/>
                <w:szCs w:val="14"/>
              </w:rPr>
            </w:pPr>
            <w:r w:rsidRPr="00BF3945">
              <w:rPr>
                <w:rFonts w:ascii="Times New Roman" w:hAnsi="Times New Roman" w:cs="Times New Roman"/>
                <w:sz w:val="14"/>
                <w:szCs w:val="14"/>
              </w:rPr>
              <w:t>3 137 653</w:t>
            </w:r>
          </w:p>
        </w:tc>
        <w:tc>
          <w:tcPr>
            <w:tcW w:w="952" w:type="dxa"/>
            <w:tcBorders>
              <w:top w:val="nil"/>
              <w:left w:val="nil"/>
              <w:bottom w:val="single" w:sz="4" w:space="0" w:color="auto"/>
              <w:right w:val="single" w:sz="4" w:space="0" w:color="auto"/>
            </w:tcBorders>
            <w:shd w:val="clear" w:color="auto" w:fill="auto"/>
            <w:vAlign w:val="bottom"/>
            <w:hideMark/>
          </w:tcPr>
          <w:p w:rsidR="007D13F3" w:rsidRPr="00BF3945" w:rsidRDefault="007D13F3" w:rsidP="00465CAC">
            <w:pPr>
              <w:jc w:val="right"/>
              <w:rPr>
                <w:rFonts w:ascii="Times New Roman" w:hAnsi="Times New Roman" w:cs="Times New Roman"/>
                <w:sz w:val="14"/>
                <w:szCs w:val="14"/>
              </w:rPr>
            </w:pPr>
            <w:r w:rsidRPr="00BF3945">
              <w:rPr>
                <w:rFonts w:ascii="Times New Roman" w:hAnsi="Times New Roman" w:cs="Times New Roman"/>
                <w:sz w:val="14"/>
                <w:szCs w:val="14"/>
              </w:rPr>
              <w:t>3 200 653</w:t>
            </w:r>
          </w:p>
        </w:tc>
      </w:tr>
      <w:tr w:rsidR="007D13F3" w:rsidRPr="00544A07"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544A07" w:rsidRDefault="007D13F3" w:rsidP="00465CAC">
            <w:pPr>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Hospodárska mobilizácia</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D13F3" w:rsidRPr="00CB7118" w:rsidRDefault="007D13F3" w:rsidP="00465CAC">
            <w:pPr>
              <w:jc w:val="right"/>
              <w:rPr>
                <w:rFonts w:ascii="Times New Roman" w:hAnsi="Times New Roman" w:cs="Times New Roman"/>
                <w:color w:val="000000"/>
                <w:sz w:val="14"/>
                <w:szCs w:val="14"/>
              </w:rPr>
            </w:pPr>
            <w:r w:rsidRPr="00CB7118">
              <w:rPr>
                <w:rFonts w:ascii="Times New Roman" w:hAnsi="Times New Roman" w:cs="Times New Roman"/>
                <w:color w:val="000000"/>
                <w:sz w:val="14"/>
                <w:szCs w:val="14"/>
              </w:rPr>
              <w:t>6 527 063</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7D13F3" w:rsidRPr="004F5C34" w:rsidRDefault="007D13F3" w:rsidP="00465CAC">
            <w:pPr>
              <w:jc w:val="right"/>
              <w:rPr>
                <w:rFonts w:ascii="Times New Roman" w:hAnsi="Times New Roman" w:cs="Times New Roman"/>
                <w:color w:val="000000"/>
                <w:sz w:val="14"/>
                <w:szCs w:val="14"/>
              </w:rPr>
            </w:pPr>
            <w:r w:rsidRPr="004F5C34">
              <w:rPr>
                <w:rFonts w:ascii="Times New Roman" w:hAnsi="Times New Roman" w:cs="Times New Roman"/>
                <w:color w:val="000000"/>
                <w:sz w:val="14"/>
                <w:szCs w:val="14"/>
              </w:rPr>
              <w:t>6 797 579</w:t>
            </w:r>
          </w:p>
        </w:tc>
        <w:tc>
          <w:tcPr>
            <w:tcW w:w="952" w:type="dxa"/>
            <w:tcBorders>
              <w:top w:val="nil"/>
              <w:left w:val="nil"/>
              <w:bottom w:val="single" w:sz="4" w:space="0" w:color="auto"/>
              <w:right w:val="single" w:sz="4" w:space="0" w:color="auto"/>
            </w:tcBorders>
            <w:shd w:val="clear" w:color="auto" w:fill="auto"/>
            <w:vAlign w:val="bottom"/>
            <w:hideMark/>
          </w:tcPr>
          <w:p w:rsidR="007D13F3" w:rsidRPr="00CB7118" w:rsidRDefault="007D13F3" w:rsidP="00465CAC">
            <w:pPr>
              <w:jc w:val="right"/>
              <w:rPr>
                <w:rFonts w:ascii="Times New Roman" w:hAnsi="Times New Roman" w:cs="Times New Roman"/>
                <w:color w:val="000000"/>
                <w:sz w:val="14"/>
                <w:szCs w:val="14"/>
              </w:rPr>
            </w:pPr>
            <w:r w:rsidRPr="00CB7118">
              <w:rPr>
                <w:rFonts w:ascii="Times New Roman" w:hAnsi="Times New Roman" w:cs="Times New Roman"/>
                <w:color w:val="000000"/>
                <w:sz w:val="14"/>
                <w:szCs w:val="14"/>
              </w:rPr>
              <w:t>5 300 932</w:t>
            </w:r>
          </w:p>
        </w:tc>
        <w:tc>
          <w:tcPr>
            <w:tcW w:w="951" w:type="dxa"/>
            <w:tcBorders>
              <w:top w:val="nil"/>
              <w:left w:val="nil"/>
              <w:bottom w:val="single" w:sz="4" w:space="0" w:color="auto"/>
              <w:right w:val="single" w:sz="4" w:space="0" w:color="auto"/>
            </w:tcBorders>
            <w:shd w:val="clear" w:color="auto" w:fill="auto"/>
            <w:vAlign w:val="bottom"/>
            <w:hideMark/>
          </w:tcPr>
          <w:p w:rsidR="007D13F3" w:rsidRPr="00BF3945" w:rsidRDefault="007D13F3" w:rsidP="00465CAC">
            <w:pPr>
              <w:jc w:val="right"/>
              <w:rPr>
                <w:rFonts w:ascii="Times New Roman" w:hAnsi="Times New Roman" w:cs="Times New Roman"/>
                <w:sz w:val="14"/>
                <w:szCs w:val="14"/>
              </w:rPr>
            </w:pPr>
            <w:r w:rsidRPr="00BF3945">
              <w:rPr>
                <w:rFonts w:ascii="Times New Roman" w:hAnsi="Times New Roman" w:cs="Times New Roman"/>
                <w:sz w:val="14"/>
                <w:szCs w:val="14"/>
              </w:rPr>
              <w:t>8 740 298</w:t>
            </w:r>
          </w:p>
        </w:tc>
        <w:tc>
          <w:tcPr>
            <w:tcW w:w="952" w:type="dxa"/>
            <w:tcBorders>
              <w:top w:val="nil"/>
              <w:left w:val="nil"/>
              <w:bottom w:val="single" w:sz="4" w:space="0" w:color="auto"/>
              <w:right w:val="single" w:sz="4" w:space="0" w:color="auto"/>
            </w:tcBorders>
            <w:shd w:val="clear" w:color="auto" w:fill="auto"/>
            <w:vAlign w:val="bottom"/>
            <w:hideMark/>
          </w:tcPr>
          <w:p w:rsidR="007D13F3" w:rsidRPr="00BF3945" w:rsidRDefault="007D13F3" w:rsidP="00465CAC">
            <w:pPr>
              <w:jc w:val="right"/>
              <w:rPr>
                <w:rFonts w:ascii="Times New Roman" w:hAnsi="Times New Roman" w:cs="Times New Roman"/>
                <w:sz w:val="14"/>
                <w:szCs w:val="14"/>
              </w:rPr>
            </w:pPr>
            <w:r w:rsidRPr="00BF3945">
              <w:rPr>
                <w:rFonts w:ascii="Times New Roman" w:hAnsi="Times New Roman" w:cs="Times New Roman"/>
                <w:sz w:val="14"/>
                <w:szCs w:val="14"/>
              </w:rPr>
              <w:t>5 391 947</w:t>
            </w:r>
          </w:p>
        </w:tc>
        <w:tc>
          <w:tcPr>
            <w:tcW w:w="952" w:type="dxa"/>
            <w:tcBorders>
              <w:top w:val="nil"/>
              <w:left w:val="nil"/>
              <w:bottom w:val="single" w:sz="4" w:space="0" w:color="auto"/>
              <w:right w:val="single" w:sz="4" w:space="0" w:color="auto"/>
            </w:tcBorders>
            <w:shd w:val="clear" w:color="auto" w:fill="auto"/>
            <w:vAlign w:val="bottom"/>
            <w:hideMark/>
          </w:tcPr>
          <w:p w:rsidR="007D13F3" w:rsidRPr="00BF3945" w:rsidRDefault="007D13F3" w:rsidP="00465CAC">
            <w:pPr>
              <w:jc w:val="right"/>
              <w:rPr>
                <w:rFonts w:ascii="Times New Roman" w:hAnsi="Times New Roman" w:cs="Times New Roman"/>
                <w:sz w:val="14"/>
                <w:szCs w:val="14"/>
              </w:rPr>
            </w:pPr>
            <w:r w:rsidRPr="00BF3945">
              <w:rPr>
                <w:rFonts w:ascii="Times New Roman" w:hAnsi="Times New Roman" w:cs="Times New Roman"/>
                <w:sz w:val="14"/>
                <w:szCs w:val="14"/>
              </w:rPr>
              <w:t>5 402 242</w:t>
            </w:r>
          </w:p>
        </w:tc>
        <w:tc>
          <w:tcPr>
            <w:tcW w:w="952" w:type="dxa"/>
            <w:tcBorders>
              <w:top w:val="nil"/>
              <w:left w:val="nil"/>
              <w:bottom w:val="single" w:sz="4" w:space="0" w:color="auto"/>
              <w:right w:val="single" w:sz="4" w:space="0" w:color="auto"/>
            </w:tcBorders>
            <w:shd w:val="clear" w:color="auto" w:fill="auto"/>
            <w:vAlign w:val="bottom"/>
            <w:hideMark/>
          </w:tcPr>
          <w:p w:rsidR="007D13F3" w:rsidRPr="00BF3945" w:rsidRDefault="007D13F3" w:rsidP="00465CAC">
            <w:pPr>
              <w:jc w:val="right"/>
              <w:rPr>
                <w:rFonts w:ascii="Times New Roman" w:hAnsi="Times New Roman" w:cs="Times New Roman"/>
                <w:sz w:val="14"/>
                <w:szCs w:val="14"/>
              </w:rPr>
            </w:pPr>
            <w:r w:rsidRPr="00BF3945">
              <w:rPr>
                <w:rFonts w:ascii="Times New Roman" w:hAnsi="Times New Roman" w:cs="Times New Roman"/>
                <w:sz w:val="14"/>
                <w:szCs w:val="14"/>
              </w:rPr>
              <w:t>5 394 242</w:t>
            </w:r>
          </w:p>
        </w:tc>
      </w:tr>
      <w:tr w:rsidR="007D13F3" w:rsidRPr="00544A07"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544A07" w:rsidRDefault="007D13F3" w:rsidP="00465CAC">
            <w:pPr>
              <w:rPr>
                <w:rFonts w:ascii="Times New Roman" w:hAnsi="Times New Roman" w:cs="Times New Roman"/>
                <w:color w:val="000000"/>
                <w:sz w:val="14"/>
                <w:szCs w:val="14"/>
                <w:lang w:eastAsia="sk-SK"/>
              </w:rPr>
            </w:pPr>
            <w:proofErr w:type="spellStart"/>
            <w:r>
              <w:rPr>
                <w:rFonts w:ascii="Times New Roman" w:hAnsi="Times New Roman" w:cs="Times New Roman"/>
                <w:color w:val="000000"/>
                <w:sz w:val="14"/>
                <w:szCs w:val="14"/>
                <w:lang w:eastAsia="sk-SK"/>
              </w:rPr>
              <w:t>Vys</w:t>
            </w:r>
            <w:proofErr w:type="spellEnd"/>
            <w:r>
              <w:rPr>
                <w:rFonts w:ascii="Times New Roman" w:hAnsi="Times New Roman" w:cs="Times New Roman"/>
                <w:color w:val="000000"/>
                <w:sz w:val="14"/>
                <w:szCs w:val="14"/>
                <w:lang w:eastAsia="sk-SK"/>
              </w:rPr>
              <w:t xml:space="preserve">. civil. </w:t>
            </w:r>
            <w:proofErr w:type="spellStart"/>
            <w:r>
              <w:rPr>
                <w:rFonts w:ascii="Times New Roman" w:hAnsi="Times New Roman" w:cs="Times New Roman"/>
                <w:color w:val="000000"/>
                <w:sz w:val="14"/>
                <w:szCs w:val="14"/>
                <w:lang w:eastAsia="sk-SK"/>
              </w:rPr>
              <w:t>exp</w:t>
            </w:r>
            <w:proofErr w:type="spellEnd"/>
            <w:r>
              <w:rPr>
                <w:rFonts w:ascii="Times New Roman" w:hAnsi="Times New Roman" w:cs="Times New Roman"/>
                <w:color w:val="000000"/>
                <w:sz w:val="14"/>
                <w:szCs w:val="14"/>
                <w:lang w:eastAsia="sk-SK"/>
              </w:rPr>
              <w:t>.</w:t>
            </w:r>
            <w:r w:rsidRPr="00544A07">
              <w:rPr>
                <w:rFonts w:ascii="Times New Roman" w:hAnsi="Times New Roman" w:cs="Times New Roman"/>
                <w:color w:val="000000"/>
                <w:sz w:val="14"/>
                <w:szCs w:val="14"/>
                <w:lang w:eastAsia="sk-SK"/>
              </w:rPr>
              <w:t xml:space="preserve"> do aktivít KM mimo SR</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D13F3" w:rsidRPr="00CB7118" w:rsidRDefault="007D13F3" w:rsidP="00465CAC">
            <w:pPr>
              <w:jc w:val="right"/>
              <w:rPr>
                <w:rFonts w:ascii="Times New Roman" w:hAnsi="Times New Roman" w:cs="Times New Roman"/>
                <w:color w:val="000000"/>
                <w:sz w:val="14"/>
                <w:szCs w:val="14"/>
              </w:rPr>
            </w:pPr>
            <w:r w:rsidRPr="00CB7118">
              <w:rPr>
                <w:rFonts w:ascii="Times New Roman" w:hAnsi="Times New Roman" w:cs="Times New Roman"/>
                <w:color w:val="000000"/>
                <w:sz w:val="14"/>
                <w:szCs w:val="14"/>
              </w:rPr>
              <w:t>0</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7D13F3" w:rsidRPr="004F5C34" w:rsidRDefault="007D13F3" w:rsidP="00465CAC">
            <w:pPr>
              <w:jc w:val="right"/>
              <w:rPr>
                <w:rFonts w:ascii="Times New Roman" w:hAnsi="Times New Roman" w:cs="Times New Roman"/>
                <w:color w:val="000000"/>
                <w:sz w:val="14"/>
                <w:szCs w:val="14"/>
              </w:rPr>
            </w:pPr>
            <w:r w:rsidRPr="004F5C34">
              <w:rPr>
                <w:rFonts w:ascii="Times New Roman" w:hAnsi="Times New Roman" w:cs="Times New Roman"/>
                <w:color w:val="000000"/>
                <w:sz w:val="14"/>
                <w:szCs w:val="14"/>
              </w:rPr>
              <w:t>0</w:t>
            </w:r>
          </w:p>
        </w:tc>
        <w:tc>
          <w:tcPr>
            <w:tcW w:w="952" w:type="dxa"/>
            <w:tcBorders>
              <w:top w:val="nil"/>
              <w:left w:val="nil"/>
              <w:bottom w:val="single" w:sz="4" w:space="0" w:color="auto"/>
              <w:right w:val="single" w:sz="4" w:space="0" w:color="auto"/>
            </w:tcBorders>
            <w:shd w:val="clear" w:color="auto" w:fill="auto"/>
            <w:vAlign w:val="bottom"/>
            <w:hideMark/>
          </w:tcPr>
          <w:p w:rsidR="007D13F3" w:rsidRPr="00CB7118" w:rsidRDefault="007D13F3" w:rsidP="00465CAC">
            <w:pPr>
              <w:jc w:val="right"/>
              <w:rPr>
                <w:rFonts w:ascii="Times New Roman" w:hAnsi="Times New Roman" w:cs="Times New Roman"/>
                <w:color w:val="000000"/>
                <w:sz w:val="14"/>
                <w:szCs w:val="14"/>
              </w:rPr>
            </w:pPr>
            <w:r w:rsidRPr="00CB7118">
              <w:rPr>
                <w:rFonts w:ascii="Times New Roman" w:hAnsi="Times New Roman" w:cs="Times New Roman"/>
                <w:color w:val="000000"/>
                <w:sz w:val="14"/>
                <w:szCs w:val="14"/>
              </w:rPr>
              <w:t>56 000</w:t>
            </w:r>
          </w:p>
        </w:tc>
        <w:tc>
          <w:tcPr>
            <w:tcW w:w="951" w:type="dxa"/>
            <w:tcBorders>
              <w:top w:val="nil"/>
              <w:left w:val="nil"/>
              <w:bottom w:val="single" w:sz="4" w:space="0" w:color="auto"/>
              <w:right w:val="single" w:sz="4" w:space="0" w:color="auto"/>
            </w:tcBorders>
            <w:shd w:val="clear" w:color="auto" w:fill="auto"/>
            <w:vAlign w:val="bottom"/>
            <w:hideMark/>
          </w:tcPr>
          <w:p w:rsidR="007D13F3" w:rsidRPr="00BF3945" w:rsidRDefault="007D13F3" w:rsidP="00465CAC">
            <w:pPr>
              <w:jc w:val="right"/>
              <w:rPr>
                <w:rFonts w:ascii="Times New Roman" w:hAnsi="Times New Roman" w:cs="Times New Roman"/>
                <w:sz w:val="14"/>
                <w:szCs w:val="14"/>
              </w:rPr>
            </w:pPr>
            <w:r w:rsidRPr="00BF3945">
              <w:rPr>
                <w:rFonts w:ascii="Times New Roman" w:hAnsi="Times New Roman" w:cs="Times New Roman"/>
                <w:sz w:val="14"/>
                <w:szCs w:val="14"/>
              </w:rPr>
              <w:t>56 000</w:t>
            </w:r>
          </w:p>
        </w:tc>
        <w:tc>
          <w:tcPr>
            <w:tcW w:w="952" w:type="dxa"/>
            <w:tcBorders>
              <w:top w:val="nil"/>
              <w:left w:val="nil"/>
              <w:bottom w:val="single" w:sz="4" w:space="0" w:color="auto"/>
              <w:right w:val="single" w:sz="4" w:space="0" w:color="auto"/>
            </w:tcBorders>
            <w:shd w:val="clear" w:color="auto" w:fill="auto"/>
            <w:vAlign w:val="bottom"/>
            <w:hideMark/>
          </w:tcPr>
          <w:p w:rsidR="007D13F3" w:rsidRPr="00BF3945" w:rsidRDefault="007D13F3" w:rsidP="00465CAC">
            <w:pPr>
              <w:jc w:val="right"/>
              <w:rPr>
                <w:rFonts w:ascii="Times New Roman" w:hAnsi="Times New Roman" w:cs="Times New Roman"/>
                <w:sz w:val="14"/>
                <w:szCs w:val="14"/>
              </w:rPr>
            </w:pPr>
            <w:r w:rsidRPr="00BF3945">
              <w:rPr>
                <w:rFonts w:ascii="Times New Roman" w:hAnsi="Times New Roman" w:cs="Times New Roman"/>
                <w:sz w:val="14"/>
                <w:szCs w:val="14"/>
              </w:rPr>
              <w:t>150 000</w:t>
            </w:r>
          </w:p>
        </w:tc>
        <w:tc>
          <w:tcPr>
            <w:tcW w:w="952" w:type="dxa"/>
            <w:tcBorders>
              <w:top w:val="nil"/>
              <w:left w:val="nil"/>
              <w:bottom w:val="single" w:sz="4" w:space="0" w:color="auto"/>
              <w:right w:val="single" w:sz="4" w:space="0" w:color="auto"/>
            </w:tcBorders>
            <w:shd w:val="clear" w:color="auto" w:fill="auto"/>
            <w:vAlign w:val="bottom"/>
            <w:hideMark/>
          </w:tcPr>
          <w:p w:rsidR="007D13F3" w:rsidRPr="00BF3945" w:rsidRDefault="007D13F3" w:rsidP="00465CAC">
            <w:pPr>
              <w:jc w:val="right"/>
              <w:rPr>
                <w:rFonts w:ascii="Times New Roman" w:hAnsi="Times New Roman" w:cs="Times New Roman"/>
                <w:sz w:val="14"/>
                <w:szCs w:val="14"/>
              </w:rPr>
            </w:pPr>
            <w:r w:rsidRPr="00BF3945">
              <w:rPr>
                <w:rFonts w:ascii="Times New Roman" w:hAnsi="Times New Roman" w:cs="Times New Roman"/>
                <w:sz w:val="14"/>
                <w:szCs w:val="14"/>
              </w:rPr>
              <w:t>150 000</w:t>
            </w:r>
          </w:p>
        </w:tc>
        <w:tc>
          <w:tcPr>
            <w:tcW w:w="952" w:type="dxa"/>
            <w:tcBorders>
              <w:top w:val="nil"/>
              <w:left w:val="nil"/>
              <w:bottom w:val="single" w:sz="4" w:space="0" w:color="auto"/>
              <w:right w:val="single" w:sz="4" w:space="0" w:color="auto"/>
            </w:tcBorders>
            <w:shd w:val="clear" w:color="auto" w:fill="auto"/>
            <w:vAlign w:val="bottom"/>
            <w:hideMark/>
          </w:tcPr>
          <w:p w:rsidR="007D13F3" w:rsidRPr="00BF3945" w:rsidRDefault="007D13F3" w:rsidP="00465CAC">
            <w:pPr>
              <w:jc w:val="right"/>
              <w:rPr>
                <w:rFonts w:ascii="Times New Roman" w:hAnsi="Times New Roman" w:cs="Times New Roman"/>
                <w:sz w:val="14"/>
                <w:szCs w:val="14"/>
              </w:rPr>
            </w:pPr>
            <w:r w:rsidRPr="00BF3945">
              <w:rPr>
                <w:rFonts w:ascii="Times New Roman" w:hAnsi="Times New Roman" w:cs="Times New Roman"/>
                <w:sz w:val="14"/>
                <w:szCs w:val="14"/>
              </w:rPr>
              <w:t>244 000</w:t>
            </w:r>
          </w:p>
        </w:tc>
      </w:tr>
    </w:tbl>
    <w:p w:rsidR="007D13F3" w:rsidRPr="000D79F8" w:rsidRDefault="007D13F3" w:rsidP="007D13F3">
      <w:pPr>
        <w:jc w:val="both"/>
        <w:rPr>
          <w:rFonts w:ascii="Times New Roman" w:hAnsi="Times New Roman" w:cs="Times New Roman"/>
          <w:b/>
          <w:bCs/>
          <w:highlight w:val="yellow"/>
          <w:lang w:eastAsia="sk-SK"/>
        </w:rPr>
      </w:pPr>
    </w:p>
    <w:p w:rsidR="007D13F3" w:rsidRDefault="007D13F3" w:rsidP="007D13F3">
      <w:pPr>
        <w:spacing w:after="160" w:line="259" w:lineRule="auto"/>
        <w:rPr>
          <w:rFonts w:ascii="Times New Roman" w:hAnsi="Times New Roman" w:cs="Times New Roman"/>
          <w:b/>
          <w:bCs/>
          <w:lang w:eastAsia="sk-SK"/>
        </w:rPr>
      </w:pPr>
      <w:r>
        <w:rPr>
          <w:rFonts w:ascii="Times New Roman" w:hAnsi="Times New Roman" w:cs="Times New Roman"/>
          <w:b/>
          <w:bCs/>
          <w:lang w:eastAsia="sk-SK"/>
        </w:rPr>
        <w:br w:type="page"/>
      </w:r>
    </w:p>
    <w:p w:rsidR="007D13F3" w:rsidRDefault="007D13F3" w:rsidP="007D13F3">
      <w:pPr>
        <w:jc w:val="both"/>
        <w:rPr>
          <w:rFonts w:ascii="Times New Roman" w:hAnsi="Times New Roman" w:cs="Times New Roman"/>
          <w:b/>
          <w:bCs/>
          <w:lang w:eastAsia="sk-SK"/>
        </w:rPr>
      </w:pPr>
      <w:r w:rsidRPr="000D79F8">
        <w:rPr>
          <w:rFonts w:ascii="Times New Roman" w:hAnsi="Times New Roman" w:cs="Times New Roman"/>
          <w:b/>
          <w:bCs/>
          <w:lang w:eastAsia="sk-SK"/>
        </w:rPr>
        <w:lastRenderedPageBreak/>
        <w:t>Ministerstvo obrany SR</w:t>
      </w:r>
    </w:p>
    <w:p w:rsidR="007D13F3" w:rsidRPr="000D79F8" w:rsidRDefault="007D13F3" w:rsidP="007D13F3">
      <w:pPr>
        <w:jc w:val="both"/>
        <w:rPr>
          <w:rFonts w:ascii="Times New Roman" w:hAnsi="Times New Roman" w:cs="Times New Roman"/>
          <w:b/>
          <w:bCs/>
          <w:lang w:eastAsia="sk-SK"/>
        </w:rPr>
      </w:pPr>
    </w:p>
    <w:tbl>
      <w:tblPr>
        <w:tblW w:w="9067" w:type="dxa"/>
        <w:tblLayout w:type="fixed"/>
        <w:tblCellMar>
          <w:left w:w="70" w:type="dxa"/>
          <w:right w:w="70" w:type="dxa"/>
        </w:tblCellMar>
        <w:tblLook w:val="04A0" w:firstRow="1" w:lastRow="0" w:firstColumn="1" w:lastColumn="0" w:noHBand="0" w:noVBand="1"/>
      </w:tblPr>
      <w:tblGrid>
        <w:gridCol w:w="2830"/>
        <w:gridCol w:w="891"/>
        <w:gridCol w:w="891"/>
        <w:gridCol w:w="891"/>
        <w:gridCol w:w="891"/>
        <w:gridCol w:w="891"/>
        <w:gridCol w:w="891"/>
        <w:gridCol w:w="891"/>
      </w:tblGrid>
      <w:tr w:rsidR="007D13F3" w:rsidRPr="00BF3945" w:rsidTr="00465CAC">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BF3945" w:rsidRDefault="007D13F3" w:rsidP="00465CAC">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 xml:space="preserve">v eurách </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F3945" w:rsidRDefault="007D13F3" w:rsidP="00465CAC">
            <w:pPr>
              <w:jc w:val="cente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2015 S</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F3945" w:rsidRDefault="007D13F3" w:rsidP="00465CAC">
            <w:pPr>
              <w:jc w:val="cente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2016 S</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F3945" w:rsidRDefault="007D13F3" w:rsidP="00465CAC">
            <w:pPr>
              <w:jc w:val="cente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2017 R</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F3945" w:rsidRDefault="007D13F3" w:rsidP="00465CAC">
            <w:pPr>
              <w:jc w:val="cente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2017 OS</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F3945" w:rsidRDefault="007D13F3" w:rsidP="00465CAC">
            <w:pPr>
              <w:jc w:val="cente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2018 N</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F3945" w:rsidRDefault="007D13F3" w:rsidP="00465CAC">
            <w:pPr>
              <w:jc w:val="cente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2019 N</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F3945" w:rsidRDefault="007D13F3" w:rsidP="00465CAC">
            <w:pPr>
              <w:jc w:val="cente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2020 N</w:t>
            </w:r>
          </w:p>
        </w:tc>
      </w:tr>
      <w:tr w:rsidR="007D13F3" w:rsidRPr="00BF3945" w:rsidTr="00465CAC">
        <w:trPr>
          <w:trHeight w:val="255"/>
        </w:trPr>
        <w:tc>
          <w:tcPr>
            <w:tcW w:w="283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BF3945" w:rsidRDefault="007D13F3" w:rsidP="00465CAC">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xml:space="preserve">Zdroje </w:t>
            </w:r>
            <w:proofErr w:type="spellStart"/>
            <w:r>
              <w:rPr>
                <w:rFonts w:ascii="Times New Roman" w:hAnsi="Times New Roman" w:cs="Times New Roman"/>
                <w:b/>
                <w:bCs/>
                <w:color w:val="000000"/>
                <w:sz w:val="14"/>
                <w:szCs w:val="14"/>
                <w:lang w:eastAsia="sk-SK"/>
              </w:rPr>
              <w:t>prísl</w:t>
            </w:r>
            <w:proofErr w:type="spellEnd"/>
            <w:r>
              <w:rPr>
                <w:rFonts w:ascii="Times New Roman" w:hAnsi="Times New Roman" w:cs="Times New Roman"/>
                <w:b/>
                <w:bCs/>
                <w:color w:val="000000"/>
                <w:sz w:val="14"/>
                <w:szCs w:val="14"/>
                <w:lang w:eastAsia="sk-SK"/>
              </w:rPr>
              <w:t>.</w:t>
            </w:r>
            <w:r w:rsidRPr="00BF3945">
              <w:rPr>
                <w:rFonts w:ascii="Times New Roman" w:hAnsi="Times New Roman" w:cs="Times New Roman"/>
                <w:b/>
                <w:bCs/>
                <w:color w:val="000000"/>
                <w:sz w:val="14"/>
                <w:szCs w:val="14"/>
                <w:lang w:eastAsia="sk-SK"/>
              </w:rPr>
              <w:t xml:space="preserve"> kapitoly vrátane</w:t>
            </w:r>
            <w:r>
              <w:rPr>
                <w:rFonts w:ascii="Times New Roman" w:hAnsi="Times New Roman" w:cs="Times New Roman"/>
                <w:b/>
                <w:bCs/>
                <w:color w:val="000000"/>
                <w:sz w:val="14"/>
                <w:szCs w:val="14"/>
                <w:lang w:eastAsia="sk-SK"/>
              </w:rPr>
              <w:t xml:space="preserve"> 72d,</w:t>
            </w:r>
            <w:r w:rsidRPr="00BF3945">
              <w:rPr>
                <w:rFonts w:ascii="Times New Roman" w:hAnsi="Times New Roman" w:cs="Times New Roman"/>
                <w:b/>
                <w:bCs/>
                <w:color w:val="000000"/>
                <w:sz w:val="14"/>
                <w:szCs w:val="14"/>
                <w:lang w:eastAsia="sk-SK"/>
              </w:rPr>
              <w:t xml:space="preserve"> 72e</w:t>
            </w:r>
            <w:r>
              <w:rPr>
                <w:rFonts w:ascii="Times New Roman" w:hAnsi="Times New Roman" w:cs="Times New Roman"/>
                <w:b/>
                <w:bCs/>
                <w:color w:val="000000"/>
                <w:sz w:val="14"/>
                <w:szCs w:val="14"/>
                <w:lang w:eastAsia="sk-SK"/>
              </w:rPr>
              <w:t>, 72g</w:t>
            </w:r>
            <w:r w:rsidRPr="00BF3945">
              <w:rPr>
                <w:rFonts w:ascii="Times New Roman" w:hAnsi="Times New Roman" w:cs="Times New Roman"/>
                <w:b/>
                <w:bCs/>
                <w:color w:val="000000"/>
                <w:sz w:val="14"/>
                <w:szCs w:val="14"/>
                <w:lang w:eastAsia="sk-SK"/>
              </w:rPr>
              <w:t xml:space="preserve"> </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885 573 572</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903 891 691</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990 054 525</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972 144 947</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1 082 078 792</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1 154 651 596</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1 611 822 040</w:t>
            </w:r>
          </w:p>
        </w:tc>
      </w:tr>
      <w:tr w:rsidR="007D13F3" w:rsidRPr="00BF3945" w:rsidTr="00465CAC">
        <w:trPr>
          <w:trHeight w:val="255"/>
        </w:trPr>
        <w:tc>
          <w:tcPr>
            <w:tcW w:w="283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BF3945" w:rsidRDefault="007D13F3" w:rsidP="00465CAC">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 xml:space="preserve">zdroje príslušnej kapitoly </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885 527 209</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903 846 598</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990 054 525</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972 124 723</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1 082 032 172</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1 154 604 976</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1 611 775 420</w:t>
            </w:r>
          </w:p>
        </w:tc>
      </w:tr>
      <w:tr w:rsidR="007D13F3" w:rsidRPr="00BF3945" w:rsidTr="00465CAC">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D13F3" w:rsidRPr="00BF3945" w:rsidRDefault="007D13F3" w:rsidP="00465CAC">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 xml:space="preserve">rozpočtové zdroje kapitoly </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836 252 155</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836 176 017</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990 054 525</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972 124 723</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1 082 032 172</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1 154 604 976</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1 611 775 420</w:t>
            </w:r>
          </w:p>
        </w:tc>
      </w:tr>
      <w:tr w:rsidR="007D13F3" w:rsidRPr="00BF3945" w:rsidTr="00465CAC">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D13F3" w:rsidRPr="00BF3945" w:rsidRDefault="007D13F3" w:rsidP="00465CAC">
            <w:pPr>
              <w:rPr>
                <w:rFonts w:ascii="Times New Roman" w:hAnsi="Times New Roman" w:cs="Times New Roman"/>
                <w:color w:val="000000"/>
                <w:sz w:val="14"/>
                <w:szCs w:val="14"/>
                <w:lang w:eastAsia="sk-SK"/>
              </w:rPr>
            </w:pPr>
            <w:r w:rsidRPr="00BF3945">
              <w:rPr>
                <w:rFonts w:ascii="Times New Roman" w:hAnsi="Times New Roman" w:cs="Times New Roman"/>
                <w:color w:val="000000"/>
                <w:sz w:val="14"/>
                <w:szCs w:val="14"/>
                <w:lang w:eastAsia="sk-SK"/>
              </w:rPr>
              <w:t xml:space="preserve">    v tom: bežné výdavky  600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677 320 257</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719 013 329</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751 098 760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795 276 961</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834 878 427</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833 912 644</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1 169 868 035</w:t>
            </w:r>
          </w:p>
        </w:tc>
      </w:tr>
      <w:tr w:rsidR="007D13F3" w:rsidRPr="00BF3945" w:rsidTr="00465CAC">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D13F3" w:rsidRPr="00BF3945" w:rsidRDefault="007D13F3" w:rsidP="00465CAC">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BF3945">
              <w:rPr>
                <w:rFonts w:ascii="Times New Roman" w:hAnsi="Times New Roman" w:cs="Times New Roman"/>
                <w:color w:val="000000"/>
                <w:sz w:val="14"/>
                <w:szCs w:val="14"/>
                <w:lang w:eastAsia="sk-SK"/>
              </w:rPr>
              <w:t xml:space="preserve">  610 mzdy</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243 018 020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265 977 404</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266 848 474</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277 023 069</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277 542 180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277 542 180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277 542 180</w:t>
            </w:r>
          </w:p>
        </w:tc>
      </w:tr>
      <w:tr w:rsidR="007D13F3" w:rsidRPr="00BF3945" w:rsidTr="00465CAC">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D13F3" w:rsidRPr="00BF3945" w:rsidRDefault="007D13F3" w:rsidP="00465CAC">
            <w:pPr>
              <w:rPr>
                <w:rFonts w:ascii="Times New Roman" w:hAnsi="Times New Roman" w:cs="Times New Roman"/>
                <w:color w:val="000000"/>
                <w:sz w:val="14"/>
                <w:szCs w:val="14"/>
                <w:lang w:eastAsia="sk-SK"/>
              </w:rPr>
            </w:pPr>
            <w:r w:rsidRPr="00BF3945">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BF3945">
              <w:rPr>
                <w:rFonts w:ascii="Times New Roman" w:hAnsi="Times New Roman" w:cs="Times New Roman"/>
                <w:color w:val="000000"/>
                <w:sz w:val="14"/>
                <w:szCs w:val="14"/>
                <w:lang w:eastAsia="sk-SK"/>
              </w:rPr>
              <w:t>620 odvody</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88 482 200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94 976 012</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96 499 004</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100 024 240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106 404 751</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106 861 927</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107 584 922</w:t>
            </w:r>
          </w:p>
        </w:tc>
      </w:tr>
      <w:tr w:rsidR="007D13F3" w:rsidRPr="00BF3945" w:rsidTr="00465CAC">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D13F3" w:rsidRPr="00BF3945" w:rsidRDefault="007D13F3" w:rsidP="00465CAC">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BF3945">
              <w:rPr>
                <w:rFonts w:ascii="Times New Roman" w:hAnsi="Times New Roman" w:cs="Times New Roman"/>
                <w:color w:val="000000"/>
                <w:sz w:val="14"/>
                <w:szCs w:val="14"/>
                <w:lang w:eastAsia="sk-SK"/>
              </w:rPr>
              <w:t>630 tovary a služby</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189 408 879</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197 510 296</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230 639 482</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262 379 181</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288 732 160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286 830 808</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617 201 144</w:t>
            </w:r>
          </w:p>
        </w:tc>
      </w:tr>
      <w:tr w:rsidR="007D13F3" w:rsidRPr="00BF3945" w:rsidTr="00465CAC">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D13F3" w:rsidRPr="00BF3945" w:rsidRDefault="007D13F3" w:rsidP="00465CAC">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BF3945">
              <w:rPr>
                <w:rFonts w:ascii="Times New Roman" w:hAnsi="Times New Roman" w:cs="Times New Roman"/>
                <w:color w:val="000000"/>
                <w:sz w:val="14"/>
                <w:szCs w:val="14"/>
                <w:lang w:eastAsia="sk-SK"/>
              </w:rPr>
              <w:t>640 bežné transfery</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156 411 158</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160 549 617</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157 111 800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155 850 471</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162 199 336</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162 677 729</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167 539 789</w:t>
            </w:r>
          </w:p>
        </w:tc>
      </w:tr>
      <w:tr w:rsidR="007D13F3" w:rsidRPr="00BF3945" w:rsidTr="00465CAC">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D13F3" w:rsidRPr="00BF3945" w:rsidRDefault="007D13F3" w:rsidP="00465CAC">
            <w:pPr>
              <w:rPr>
                <w:rFonts w:ascii="Times New Roman" w:hAnsi="Times New Roman" w:cs="Times New Roman"/>
                <w:color w:val="000000"/>
                <w:sz w:val="14"/>
                <w:szCs w:val="14"/>
                <w:lang w:eastAsia="sk-SK"/>
              </w:rPr>
            </w:pPr>
            <w:r w:rsidRPr="00BF3945">
              <w:rPr>
                <w:rFonts w:ascii="Times New Roman" w:hAnsi="Times New Roman" w:cs="Times New Roman"/>
                <w:color w:val="000000"/>
                <w:sz w:val="14"/>
                <w:szCs w:val="14"/>
                <w:lang w:eastAsia="sk-SK"/>
              </w:rPr>
              <w:t xml:space="preserve">               kapitálové výdavky 700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158 931 898</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117 162 688</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238 955 765</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176 847 762</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247 153 745</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320 692 332</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lang w:eastAsia="sk-SK"/>
              </w:rPr>
            </w:pPr>
            <w:r w:rsidRPr="000A2622">
              <w:rPr>
                <w:rFonts w:ascii="Times New Roman" w:hAnsi="Times New Roman" w:cs="Times New Roman"/>
                <w:color w:val="000000"/>
                <w:sz w:val="13"/>
                <w:szCs w:val="13"/>
                <w:lang w:eastAsia="sk-SK"/>
              </w:rPr>
              <w:t>441 907 385</w:t>
            </w:r>
          </w:p>
        </w:tc>
      </w:tr>
      <w:tr w:rsidR="007D13F3" w:rsidRPr="00BF3945" w:rsidTr="00465CAC">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D13F3" w:rsidRPr="00BF3945" w:rsidRDefault="007D13F3" w:rsidP="00465CAC">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zdroje EÚ vrátane spolufinancovania</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12 970 117</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19 400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0</w:t>
            </w:r>
          </w:p>
        </w:tc>
      </w:tr>
      <w:tr w:rsidR="007D13F3" w:rsidRPr="00BF3945" w:rsidTr="00465CAC">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D13F3" w:rsidRPr="00BF3945" w:rsidRDefault="007D13F3" w:rsidP="00465CAC">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presun z minulých rokov § 8</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36 304 937</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67 651 181</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0</w:t>
            </w:r>
          </w:p>
        </w:tc>
      </w:tr>
      <w:tr w:rsidR="007D13F3" w:rsidRPr="00BF3945" w:rsidTr="00465CAC">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7D13F3" w:rsidRPr="00BF3945" w:rsidRDefault="007D13F3" w:rsidP="00465CAC">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zdroj 72d, 72e, 72g*</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46 363</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45 093</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20 224</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46 620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46 620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b/>
                <w:bCs/>
                <w:color w:val="000000"/>
                <w:sz w:val="13"/>
                <w:szCs w:val="13"/>
                <w:lang w:eastAsia="sk-SK"/>
              </w:rPr>
            </w:pPr>
            <w:r w:rsidRPr="000A2622">
              <w:rPr>
                <w:rFonts w:ascii="Times New Roman" w:hAnsi="Times New Roman" w:cs="Times New Roman"/>
                <w:b/>
                <w:bCs/>
                <w:color w:val="000000"/>
                <w:sz w:val="13"/>
                <w:szCs w:val="13"/>
                <w:lang w:eastAsia="sk-SK"/>
              </w:rPr>
              <w:t>46 620</w:t>
            </w:r>
          </w:p>
        </w:tc>
      </w:tr>
    </w:tbl>
    <w:p w:rsidR="007D13F3" w:rsidRDefault="007D13F3" w:rsidP="007D13F3">
      <w:pPr>
        <w:jc w:val="both"/>
        <w:rPr>
          <w:rFonts w:ascii="Times New Roman" w:hAnsi="Times New Roman" w:cs="Times New Roman"/>
          <w:sz w:val="12"/>
          <w:szCs w:val="12"/>
          <w:lang w:eastAsia="sk-SK"/>
        </w:rPr>
      </w:pPr>
      <w:r>
        <w:rPr>
          <w:rFonts w:ascii="Times New Roman" w:hAnsi="Times New Roman" w:cs="Times New Roman"/>
          <w:sz w:val="12"/>
          <w:szCs w:val="12"/>
          <w:lang w:eastAsia="sk-SK"/>
        </w:rPr>
        <w:t>*72d – získané z rozdielu medzi výnosmi a nákladmi z podnikateľskej činnosti po zdanení</w:t>
      </w:r>
    </w:p>
    <w:p w:rsidR="007D13F3" w:rsidRDefault="007D13F3" w:rsidP="007D13F3">
      <w:pPr>
        <w:jc w:val="both"/>
        <w:rPr>
          <w:rFonts w:ascii="Times New Roman" w:hAnsi="Times New Roman" w:cs="Times New Roman"/>
          <w:sz w:val="12"/>
          <w:szCs w:val="12"/>
          <w:lang w:eastAsia="sk-SK"/>
        </w:rPr>
      </w:pPr>
      <w:r>
        <w:rPr>
          <w:rFonts w:ascii="Times New Roman" w:hAnsi="Times New Roman" w:cs="Times New Roman"/>
          <w:sz w:val="12"/>
          <w:szCs w:val="12"/>
          <w:lang w:eastAsia="sk-SK"/>
        </w:rPr>
        <w:t xml:space="preserve">  72e – z poistného plnenia zo zmluvného poistenia alebo zo zákonného poistenia</w:t>
      </w:r>
    </w:p>
    <w:p w:rsidR="007D13F3" w:rsidRDefault="007D13F3" w:rsidP="007D13F3">
      <w:pPr>
        <w:jc w:val="both"/>
        <w:rPr>
          <w:rFonts w:ascii="Times New Roman" w:hAnsi="Times New Roman" w:cs="Times New Roman"/>
          <w:sz w:val="12"/>
          <w:szCs w:val="12"/>
          <w:lang w:eastAsia="sk-SK"/>
        </w:rPr>
      </w:pPr>
      <w:r>
        <w:rPr>
          <w:rFonts w:ascii="Times New Roman" w:hAnsi="Times New Roman" w:cs="Times New Roman"/>
          <w:sz w:val="12"/>
          <w:szCs w:val="12"/>
          <w:lang w:eastAsia="sk-SK"/>
        </w:rPr>
        <w:t xml:space="preserve">  72g – od fyzickej osoby alebo právnickej osoby podľa osobitného predpisu</w:t>
      </w:r>
    </w:p>
    <w:p w:rsidR="007D13F3" w:rsidRPr="0021519A" w:rsidRDefault="007D13F3" w:rsidP="007D13F3">
      <w:pPr>
        <w:jc w:val="both"/>
        <w:rPr>
          <w:rFonts w:ascii="Times New Roman" w:hAnsi="Times New Roman" w:cs="Times New Roman"/>
          <w:sz w:val="12"/>
          <w:szCs w:val="12"/>
          <w:lang w:eastAsia="sk-SK"/>
        </w:rPr>
      </w:pPr>
    </w:p>
    <w:tbl>
      <w:tblPr>
        <w:tblW w:w="9067" w:type="dxa"/>
        <w:tblLayout w:type="fixed"/>
        <w:tblCellMar>
          <w:left w:w="70" w:type="dxa"/>
          <w:right w:w="70" w:type="dxa"/>
        </w:tblCellMar>
        <w:tblLook w:val="04A0" w:firstRow="1" w:lastRow="0" w:firstColumn="1" w:lastColumn="0" w:noHBand="0" w:noVBand="1"/>
      </w:tblPr>
      <w:tblGrid>
        <w:gridCol w:w="2830"/>
        <w:gridCol w:w="851"/>
        <w:gridCol w:w="992"/>
        <w:gridCol w:w="851"/>
        <w:gridCol w:w="850"/>
        <w:gridCol w:w="992"/>
        <w:gridCol w:w="851"/>
        <w:gridCol w:w="850"/>
      </w:tblGrid>
      <w:tr w:rsidR="007D13F3" w:rsidRPr="0021519A" w:rsidTr="00465CAC">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21519A" w:rsidRDefault="007D13F3" w:rsidP="00465CAC">
            <w:pPr>
              <w:rPr>
                <w:rFonts w:ascii="Times New Roman" w:hAnsi="Times New Roman" w:cs="Times New Roman"/>
                <w:b/>
                <w:bCs/>
                <w:color w:val="000000"/>
                <w:sz w:val="14"/>
                <w:szCs w:val="14"/>
                <w:lang w:eastAsia="sk-SK"/>
              </w:rPr>
            </w:pPr>
            <w:r w:rsidRPr="0021519A">
              <w:rPr>
                <w:rFonts w:ascii="Times New Roman" w:hAnsi="Times New Roman" w:cs="Times New Roman"/>
                <w:b/>
                <w:bCs/>
                <w:color w:val="000000"/>
                <w:sz w:val="14"/>
                <w:szCs w:val="14"/>
                <w:lang w:eastAsia="sk-SK"/>
              </w:rPr>
              <w:t>Samostatné účty</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3F3" w:rsidRPr="0021519A" w:rsidRDefault="007D13F3" w:rsidP="00465CAC">
            <w:pPr>
              <w:jc w:val="right"/>
              <w:rPr>
                <w:rFonts w:ascii="Times New Roman" w:hAnsi="Times New Roman" w:cs="Times New Roman"/>
                <w:b/>
                <w:bCs/>
                <w:color w:val="000000"/>
                <w:sz w:val="14"/>
                <w:szCs w:val="14"/>
                <w:lang w:eastAsia="sk-SK"/>
              </w:rPr>
            </w:pPr>
            <w:r w:rsidRPr="0021519A">
              <w:rPr>
                <w:rFonts w:ascii="Times New Roman" w:hAnsi="Times New Roman" w:cs="Times New Roman"/>
                <w:b/>
                <w:bCs/>
                <w:color w:val="000000"/>
                <w:sz w:val="14"/>
                <w:szCs w:val="14"/>
                <w:lang w:eastAsia="sk-SK"/>
              </w:rPr>
              <w:t>170 604 575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D13F3" w:rsidRPr="0021519A" w:rsidRDefault="007D13F3" w:rsidP="00465CAC">
            <w:pPr>
              <w:jc w:val="right"/>
              <w:rPr>
                <w:rFonts w:ascii="Times New Roman" w:hAnsi="Times New Roman" w:cs="Times New Roman"/>
                <w:b/>
                <w:bCs/>
                <w:color w:val="000000"/>
                <w:sz w:val="14"/>
                <w:szCs w:val="14"/>
                <w:lang w:eastAsia="sk-SK"/>
              </w:rPr>
            </w:pPr>
            <w:r w:rsidRPr="0021519A">
              <w:rPr>
                <w:rFonts w:ascii="Times New Roman" w:hAnsi="Times New Roman" w:cs="Times New Roman"/>
                <w:b/>
                <w:bCs/>
                <w:color w:val="000000"/>
                <w:sz w:val="14"/>
                <w:szCs w:val="14"/>
                <w:lang w:eastAsia="sk-SK"/>
              </w:rPr>
              <w:t>177 397 639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3F3" w:rsidRPr="0021519A" w:rsidRDefault="007D13F3" w:rsidP="00465CAC">
            <w:pPr>
              <w:jc w:val="right"/>
              <w:rPr>
                <w:rFonts w:ascii="Times New Roman" w:hAnsi="Times New Roman" w:cs="Times New Roman"/>
                <w:b/>
                <w:bCs/>
                <w:color w:val="000000"/>
                <w:sz w:val="14"/>
                <w:szCs w:val="14"/>
                <w:lang w:eastAsia="sk-SK"/>
              </w:rPr>
            </w:pPr>
            <w:r w:rsidRPr="0021519A">
              <w:rPr>
                <w:rFonts w:ascii="Times New Roman" w:hAnsi="Times New Roman" w:cs="Times New Roman"/>
                <w:b/>
                <w:bCs/>
                <w:color w:val="000000"/>
                <w:sz w:val="14"/>
                <w:szCs w:val="14"/>
                <w:lang w:eastAsia="sk-SK"/>
              </w:rPr>
              <w:t>182 194 476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D13F3" w:rsidRPr="0021519A" w:rsidRDefault="007D13F3" w:rsidP="00465CAC">
            <w:pPr>
              <w:jc w:val="right"/>
              <w:rPr>
                <w:rFonts w:ascii="Times New Roman" w:hAnsi="Times New Roman" w:cs="Times New Roman"/>
                <w:b/>
                <w:bCs/>
                <w:color w:val="000000"/>
                <w:sz w:val="14"/>
                <w:szCs w:val="14"/>
                <w:lang w:eastAsia="sk-SK"/>
              </w:rPr>
            </w:pPr>
            <w:r w:rsidRPr="0021519A">
              <w:rPr>
                <w:rFonts w:ascii="Times New Roman" w:hAnsi="Times New Roman" w:cs="Times New Roman"/>
                <w:b/>
                <w:bCs/>
                <w:color w:val="000000"/>
                <w:sz w:val="14"/>
                <w:szCs w:val="14"/>
                <w:lang w:eastAsia="sk-SK"/>
              </w:rPr>
              <w:t>182 110 947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D13F3" w:rsidRPr="0021519A" w:rsidRDefault="007D13F3" w:rsidP="00465CAC">
            <w:pPr>
              <w:jc w:val="right"/>
              <w:rPr>
                <w:rFonts w:ascii="Times New Roman" w:hAnsi="Times New Roman" w:cs="Times New Roman"/>
                <w:b/>
                <w:bCs/>
                <w:color w:val="000000"/>
                <w:sz w:val="14"/>
                <w:szCs w:val="14"/>
                <w:lang w:eastAsia="sk-SK"/>
              </w:rPr>
            </w:pPr>
            <w:r w:rsidRPr="0021519A">
              <w:rPr>
                <w:rFonts w:ascii="Times New Roman" w:hAnsi="Times New Roman" w:cs="Times New Roman"/>
                <w:b/>
                <w:bCs/>
                <w:color w:val="000000"/>
                <w:sz w:val="14"/>
                <w:szCs w:val="14"/>
                <w:lang w:eastAsia="sk-SK"/>
              </w:rPr>
              <w:t>181 947 540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3F3" w:rsidRPr="0021519A" w:rsidRDefault="007D13F3" w:rsidP="00465CAC">
            <w:pPr>
              <w:jc w:val="right"/>
              <w:rPr>
                <w:rFonts w:ascii="Times New Roman" w:hAnsi="Times New Roman" w:cs="Times New Roman"/>
                <w:b/>
                <w:bCs/>
                <w:color w:val="000000"/>
                <w:sz w:val="14"/>
                <w:szCs w:val="14"/>
                <w:lang w:eastAsia="sk-SK"/>
              </w:rPr>
            </w:pPr>
            <w:r w:rsidRPr="0021519A">
              <w:rPr>
                <w:rFonts w:ascii="Times New Roman" w:hAnsi="Times New Roman" w:cs="Times New Roman"/>
                <w:b/>
                <w:bCs/>
                <w:color w:val="000000"/>
                <w:sz w:val="14"/>
                <w:szCs w:val="14"/>
                <w:lang w:eastAsia="sk-SK"/>
              </w:rPr>
              <w:t>181 813 040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D13F3" w:rsidRPr="0021519A" w:rsidRDefault="007D13F3" w:rsidP="00465CAC">
            <w:pPr>
              <w:jc w:val="right"/>
              <w:rPr>
                <w:rFonts w:ascii="Times New Roman" w:hAnsi="Times New Roman" w:cs="Times New Roman"/>
                <w:b/>
                <w:bCs/>
                <w:color w:val="000000"/>
                <w:sz w:val="14"/>
                <w:szCs w:val="14"/>
                <w:lang w:eastAsia="sk-SK"/>
              </w:rPr>
            </w:pPr>
            <w:r w:rsidRPr="0021519A">
              <w:rPr>
                <w:rFonts w:ascii="Times New Roman" w:hAnsi="Times New Roman" w:cs="Times New Roman"/>
                <w:b/>
                <w:bCs/>
                <w:color w:val="000000"/>
                <w:sz w:val="14"/>
                <w:szCs w:val="14"/>
                <w:lang w:eastAsia="sk-SK"/>
              </w:rPr>
              <w:t>181 813 040</w:t>
            </w:r>
          </w:p>
        </w:tc>
      </w:tr>
    </w:tbl>
    <w:p w:rsidR="007D13F3" w:rsidRDefault="007D13F3" w:rsidP="007D13F3">
      <w:pPr>
        <w:jc w:val="both"/>
        <w:rPr>
          <w:rFonts w:ascii="Times New Roman" w:hAnsi="Times New Roman" w:cs="Times New Roman"/>
          <w:lang w:eastAsia="sk-SK"/>
        </w:rPr>
      </w:pPr>
    </w:p>
    <w:p w:rsidR="007D13F3" w:rsidRPr="00FD3AAE" w:rsidRDefault="007D13F3" w:rsidP="007D13F3">
      <w:pPr>
        <w:ind w:firstLine="708"/>
        <w:jc w:val="both"/>
        <w:rPr>
          <w:rFonts w:ascii="Times New Roman" w:hAnsi="Times New Roman" w:cs="Times New Roman"/>
        </w:rPr>
      </w:pPr>
      <w:r w:rsidRPr="00FD3AAE">
        <w:rPr>
          <w:rFonts w:ascii="Times New Roman" w:hAnsi="Times New Roman" w:cs="Times New Roman"/>
        </w:rPr>
        <w:t xml:space="preserve">Celkové výdavky kapitoly na rok 2018 sa rozpočtujú v sume 1,08 mld. </w:t>
      </w:r>
      <w:r w:rsidRPr="00FD3AAE">
        <w:rPr>
          <w:rFonts w:ascii="Times New Roman" w:hAnsi="Times New Roman" w:cs="Times New Roman"/>
          <w:color w:val="000000"/>
        </w:rPr>
        <w:t>eur</w:t>
      </w:r>
      <w:r w:rsidRPr="00FD3AAE">
        <w:rPr>
          <w:rFonts w:ascii="Times New Roman" w:hAnsi="Times New Roman" w:cs="Times New Roman"/>
        </w:rPr>
        <w:t xml:space="preserve">. Rozpočtové výdavky kapitoly na rok 2018 v porovnaní so schváleným rozpočtom na rok 2017 rastú </w:t>
      </w:r>
      <w:r w:rsidR="00F30F1A">
        <w:rPr>
          <w:rFonts w:ascii="Times New Roman" w:hAnsi="Times New Roman" w:cs="Times New Roman"/>
        </w:rPr>
        <w:br/>
      </w:r>
      <w:r w:rsidRPr="00FD3AAE">
        <w:rPr>
          <w:rFonts w:ascii="Times New Roman" w:hAnsi="Times New Roman" w:cs="Times New Roman"/>
        </w:rPr>
        <w:t>o</w:t>
      </w:r>
      <w:r>
        <w:rPr>
          <w:rFonts w:ascii="Times New Roman" w:hAnsi="Times New Roman" w:cs="Times New Roman"/>
        </w:rPr>
        <w:t> 92,0 mil.</w:t>
      </w:r>
      <w:r w:rsidRPr="00FD3AAE">
        <w:rPr>
          <w:rFonts w:ascii="Times New Roman" w:hAnsi="Times New Roman" w:cs="Times New Roman"/>
        </w:rPr>
        <w:t xml:space="preserve"> eur, t. j. o</w:t>
      </w:r>
      <w:r>
        <w:rPr>
          <w:rFonts w:ascii="Times New Roman" w:hAnsi="Times New Roman" w:cs="Times New Roman"/>
        </w:rPr>
        <w:t> 9,29</w:t>
      </w:r>
      <w:r w:rsidRPr="00FD3AAE">
        <w:rPr>
          <w:rFonts w:ascii="Times New Roman" w:hAnsi="Times New Roman" w:cs="Times New Roman"/>
        </w:rPr>
        <w:t xml:space="preserve"> %.   </w:t>
      </w:r>
    </w:p>
    <w:p w:rsidR="007D13F3" w:rsidRPr="000D79F8" w:rsidRDefault="007D13F3" w:rsidP="007D13F3">
      <w:pPr>
        <w:jc w:val="both"/>
        <w:rPr>
          <w:rFonts w:ascii="Arial Narrow" w:hAnsi="Arial Narrow"/>
          <w:sz w:val="22"/>
          <w:szCs w:val="22"/>
        </w:rPr>
      </w:pPr>
    </w:p>
    <w:p w:rsidR="007D13F3" w:rsidRDefault="007D13F3" w:rsidP="007D13F3">
      <w:pPr>
        <w:shd w:val="clear" w:color="auto" w:fill="FFFFFF"/>
        <w:ind w:firstLine="708"/>
        <w:jc w:val="both"/>
        <w:rPr>
          <w:rFonts w:ascii="Times New Roman" w:hAnsi="Times New Roman" w:cs="Times New Roman"/>
        </w:rPr>
      </w:pPr>
      <w:r>
        <w:rPr>
          <w:rFonts w:ascii="Times New Roman" w:hAnsi="Times New Roman" w:cs="Times New Roman"/>
        </w:rPr>
        <w:t>Osobné výdavky na rok 2018</w:t>
      </w:r>
      <w:r w:rsidRPr="000D79F8">
        <w:rPr>
          <w:rFonts w:ascii="Times New Roman" w:hAnsi="Times New Roman" w:cs="Times New Roman"/>
        </w:rPr>
        <w:t xml:space="preserve"> sa rozpočtujú v sume </w:t>
      </w:r>
      <w:r>
        <w:rPr>
          <w:rFonts w:ascii="Times New Roman" w:hAnsi="Times New Roman" w:cs="Times New Roman"/>
        </w:rPr>
        <w:t>384</w:t>
      </w:r>
      <w:r w:rsidRPr="000D79F8">
        <w:rPr>
          <w:rFonts w:ascii="Times New Roman" w:hAnsi="Times New Roman" w:cs="Times New Roman"/>
        </w:rPr>
        <w:t xml:space="preserve"> mil. eur, čo predstavuje oprot</w:t>
      </w:r>
      <w:r>
        <w:rPr>
          <w:rFonts w:ascii="Times New Roman" w:hAnsi="Times New Roman" w:cs="Times New Roman"/>
        </w:rPr>
        <w:t>i schválenému rozpočtu roku 2017</w:t>
      </w:r>
      <w:r w:rsidRPr="000D79F8">
        <w:rPr>
          <w:rFonts w:ascii="Times New Roman" w:hAnsi="Times New Roman" w:cs="Times New Roman"/>
        </w:rPr>
        <w:t xml:space="preserve"> </w:t>
      </w:r>
      <w:r>
        <w:rPr>
          <w:rFonts w:ascii="Times New Roman" w:hAnsi="Times New Roman" w:cs="Times New Roman"/>
        </w:rPr>
        <w:t>nárast</w:t>
      </w:r>
      <w:r w:rsidRPr="000D79F8">
        <w:rPr>
          <w:rFonts w:ascii="Times New Roman" w:hAnsi="Times New Roman" w:cs="Times New Roman"/>
        </w:rPr>
        <w:t xml:space="preserve"> o sumu </w:t>
      </w:r>
      <w:r>
        <w:rPr>
          <w:rFonts w:ascii="Times New Roman" w:hAnsi="Times New Roman" w:cs="Times New Roman"/>
        </w:rPr>
        <w:t>20,6</w:t>
      </w:r>
      <w:r w:rsidRPr="000D79F8">
        <w:rPr>
          <w:rFonts w:ascii="Times New Roman" w:hAnsi="Times New Roman" w:cs="Times New Roman"/>
        </w:rPr>
        <w:t xml:space="preserve"> mil. eur, t. j. o</w:t>
      </w:r>
      <w:r>
        <w:rPr>
          <w:rFonts w:ascii="Times New Roman" w:hAnsi="Times New Roman" w:cs="Times New Roman"/>
        </w:rPr>
        <w:t> 5,67</w:t>
      </w:r>
      <w:r w:rsidRPr="000D79F8">
        <w:rPr>
          <w:rFonts w:ascii="Times New Roman" w:hAnsi="Times New Roman" w:cs="Times New Roman"/>
        </w:rPr>
        <w:t xml:space="preserve"> %</w:t>
      </w:r>
      <w:r>
        <w:rPr>
          <w:rFonts w:ascii="Times New Roman" w:hAnsi="Times New Roman" w:cs="Times New Roman"/>
        </w:rPr>
        <w:t>.</w:t>
      </w:r>
      <w:r w:rsidRPr="000D79F8">
        <w:rPr>
          <w:rFonts w:ascii="Times New Roman" w:hAnsi="Times New Roman" w:cs="Times New Roman"/>
        </w:rPr>
        <w:t xml:space="preserve"> </w:t>
      </w:r>
      <w:r>
        <w:rPr>
          <w:rFonts w:ascii="Times New Roman" w:hAnsi="Times New Roman" w:cs="Times New Roman"/>
        </w:rPr>
        <w:t xml:space="preserve">Tento nárast je spôsobený premietnutím valorizácie platov z roku 2017 do nasledujúcich rokov. </w:t>
      </w:r>
    </w:p>
    <w:p w:rsidR="007D13F3" w:rsidRPr="000D79F8" w:rsidRDefault="007D13F3" w:rsidP="007D13F3">
      <w:pPr>
        <w:shd w:val="clear" w:color="auto" w:fill="FFFFFF"/>
        <w:ind w:firstLine="708"/>
        <w:jc w:val="both"/>
        <w:rPr>
          <w:rFonts w:ascii="Times New Roman" w:hAnsi="Times New Roman" w:cs="Times New Roman"/>
        </w:rPr>
      </w:pPr>
    </w:p>
    <w:p w:rsidR="007D13F3" w:rsidRPr="000D79F8" w:rsidRDefault="007D13F3" w:rsidP="007D13F3">
      <w:pPr>
        <w:ind w:firstLine="708"/>
        <w:jc w:val="both"/>
        <w:rPr>
          <w:rFonts w:ascii="Times New Roman" w:hAnsi="Times New Roman" w:cs="Times New Roman"/>
        </w:rPr>
      </w:pPr>
      <w:r>
        <w:rPr>
          <w:rFonts w:ascii="Times New Roman" w:hAnsi="Times New Roman" w:cs="Times New Roman"/>
        </w:rPr>
        <w:t>Tovary a služby na rok 2018</w:t>
      </w:r>
      <w:r w:rsidRPr="000D79F8">
        <w:rPr>
          <w:rFonts w:ascii="Times New Roman" w:hAnsi="Times New Roman" w:cs="Times New Roman"/>
        </w:rPr>
        <w:t xml:space="preserve"> sa rozpočtujú v sume </w:t>
      </w:r>
      <w:r>
        <w:rPr>
          <w:rFonts w:ascii="Times New Roman" w:hAnsi="Times New Roman" w:cs="Times New Roman"/>
        </w:rPr>
        <w:t>289</w:t>
      </w:r>
      <w:r w:rsidRPr="000D79F8">
        <w:rPr>
          <w:rFonts w:ascii="Times New Roman" w:hAnsi="Times New Roman" w:cs="Times New Roman"/>
        </w:rPr>
        <w:t xml:space="preserve"> mil. eur,  čo predstavuje oprot</w:t>
      </w:r>
      <w:r>
        <w:rPr>
          <w:rFonts w:ascii="Times New Roman" w:hAnsi="Times New Roman" w:cs="Times New Roman"/>
        </w:rPr>
        <w:t>i schválenému rozpočtu roku 2017</w:t>
      </w:r>
      <w:r w:rsidRPr="000D79F8">
        <w:rPr>
          <w:rFonts w:ascii="Times New Roman" w:hAnsi="Times New Roman" w:cs="Times New Roman"/>
        </w:rPr>
        <w:t xml:space="preserve"> nárast o sumu </w:t>
      </w:r>
      <w:r>
        <w:rPr>
          <w:rFonts w:ascii="Times New Roman" w:hAnsi="Times New Roman" w:cs="Times New Roman"/>
        </w:rPr>
        <w:t>58,1</w:t>
      </w:r>
      <w:r w:rsidRPr="000D79F8">
        <w:rPr>
          <w:rFonts w:ascii="Times New Roman" w:hAnsi="Times New Roman" w:cs="Times New Roman"/>
        </w:rPr>
        <w:t xml:space="preserve"> mil. eur, t. j. o</w:t>
      </w:r>
      <w:r>
        <w:rPr>
          <w:rFonts w:ascii="Times New Roman" w:hAnsi="Times New Roman" w:cs="Times New Roman"/>
        </w:rPr>
        <w:t> 25,2</w:t>
      </w:r>
      <w:r w:rsidRPr="000D79F8">
        <w:rPr>
          <w:rFonts w:ascii="Times New Roman" w:hAnsi="Times New Roman" w:cs="Times New Roman"/>
        </w:rPr>
        <w:t xml:space="preserve"> %</w:t>
      </w:r>
      <w:r>
        <w:rPr>
          <w:rFonts w:ascii="Times New Roman" w:hAnsi="Times New Roman" w:cs="Times New Roman"/>
        </w:rPr>
        <w:t xml:space="preserve">, </w:t>
      </w:r>
      <w:r w:rsidRPr="000D79F8">
        <w:rPr>
          <w:rFonts w:ascii="Times New Roman" w:hAnsi="Times New Roman" w:cs="Times New Roman"/>
        </w:rPr>
        <w:t xml:space="preserve">najmä v oblasti rozvoja obrany. </w:t>
      </w:r>
    </w:p>
    <w:p w:rsidR="007D13F3" w:rsidRPr="000D79F8" w:rsidRDefault="007D13F3" w:rsidP="007D13F3">
      <w:pPr>
        <w:ind w:firstLine="708"/>
        <w:jc w:val="both"/>
        <w:rPr>
          <w:rFonts w:ascii="Times New Roman" w:hAnsi="Times New Roman" w:cs="Times New Roman"/>
        </w:rPr>
      </w:pPr>
    </w:p>
    <w:p w:rsidR="007D13F3" w:rsidRPr="000D79F8" w:rsidRDefault="007D13F3" w:rsidP="007D13F3">
      <w:pPr>
        <w:ind w:firstLine="708"/>
        <w:jc w:val="both"/>
        <w:rPr>
          <w:rFonts w:ascii="Times New Roman" w:hAnsi="Times New Roman" w:cs="Times New Roman"/>
        </w:rPr>
      </w:pPr>
      <w:r w:rsidRPr="000D79F8">
        <w:rPr>
          <w:rFonts w:ascii="Times New Roman" w:hAnsi="Times New Roman" w:cs="Times New Roman"/>
        </w:rPr>
        <w:t xml:space="preserve">Bežné transfery na </w:t>
      </w:r>
      <w:r>
        <w:rPr>
          <w:rFonts w:ascii="Times New Roman" w:hAnsi="Times New Roman" w:cs="Times New Roman"/>
        </w:rPr>
        <w:t>rok 2018 sa rozpočtujú v sume 162</w:t>
      </w:r>
      <w:r w:rsidRPr="000D79F8">
        <w:rPr>
          <w:rFonts w:ascii="Times New Roman" w:hAnsi="Times New Roman" w:cs="Times New Roman"/>
        </w:rPr>
        <w:t xml:space="preserve"> mil. eur, čo predstavuje oprot</w:t>
      </w:r>
      <w:r>
        <w:rPr>
          <w:rFonts w:ascii="Times New Roman" w:hAnsi="Times New Roman" w:cs="Times New Roman"/>
        </w:rPr>
        <w:t>i schválenému rozpočtu roku 2017</w:t>
      </w:r>
      <w:r w:rsidRPr="000D79F8">
        <w:rPr>
          <w:rFonts w:ascii="Times New Roman" w:hAnsi="Times New Roman" w:cs="Times New Roman"/>
        </w:rPr>
        <w:t xml:space="preserve"> </w:t>
      </w:r>
      <w:r>
        <w:rPr>
          <w:rFonts w:ascii="Times New Roman" w:hAnsi="Times New Roman" w:cs="Times New Roman"/>
        </w:rPr>
        <w:t>nárast</w:t>
      </w:r>
      <w:r w:rsidRPr="000D79F8">
        <w:rPr>
          <w:rFonts w:ascii="Times New Roman" w:hAnsi="Times New Roman" w:cs="Times New Roman"/>
        </w:rPr>
        <w:t xml:space="preserve"> o sumu </w:t>
      </w:r>
      <w:r>
        <w:rPr>
          <w:rFonts w:ascii="Times New Roman" w:hAnsi="Times New Roman" w:cs="Times New Roman"/>
        </w:rPr>
        <w:t>5,09</w:t>
      </w:r>
      <w:r w:rsidRPr="000D79F8">
        <w:rPr>
          <w:rFonts w:ascii="Times New Roman" w:hAnsi="Times New Roman" w:cs="Times New Roman"/>
        </w:rPr>
        <w:t xml:space="preserve"> mil. eur, t. j. o</w:t>
      </w:r>
      <w:r>
        <w:rPr>
          <w:rFonts w:ascii="Times New Roman" w:hAnsi="Times New Roman" w:cs="Times New Roman"/>
        </w:rPr>
        <w:t> 3,24</w:t>
      </w:r>
      <w:r w:rsidRPr="000D79F8">
        <w:rPr>
          <w:rFonts w:ascii="Times New Roman" w:hAnsi="Times New Roman" w:cs="Times New Roman"/>
        </w:rPr>
        <w:t xml:space="preserve"> %</w:t>
      </w:r>
      <w:r>
        <w:rPr>
          <w:rFonts w:ascii="Times New Roman" w:hAnsi="Times New Roman" w:cs="Times New Roman"/>
        </w:rPr>
        <w:t>, najmä</w:t>
      </w:r>
      <w:r w:rsidRPr="000D79F8">
        <w:rPr>
          <w:rFonts w:ascii="Times New Roman" w:hAnsi="Times New Roman" w:cs="Times New Roman"/>
        </w:rPr>
        <w:t xml:space="preserve"> z dôvodu </w:t>
      </w:r>
      <w:r>
        <w:rPr>
          <w:rFonts w:ascii="Times New Roman" w:hAnsi="Times New Roman" w:cs="Times New Roman"/>
        </w:rPr>
        <w:t>nárastu</w:t>
      </w:r>
      <w:r w:rsidRPr="000D79F8">
        <w:rPr>
          <w:rFonts w:ascii="Times New Roman" w:hAnsi="Times New Roman" w:cs="Times New Roman"/>
        </w:rPr>
        <w:t xml:space="preserve"> </w:t>
      </w:r>
      <w:r>
        <w:rPr>
          <w:rFonts w:ascii="Times New Roman" w:hAnsi="Times New Roman" w:cs="Times New Roman"/>
        </w:rPr>
        <w:t xml:space="preserve">stabilizačného príspevku a transferov medzinárodným organizáciám.   </w:t>
      </w:r>
    </w:p>
    <w:p w:rsidR="007D13F3" w:rsidRPr="000D79F8" w:rsidRDefault="007D13F3" w:rsidP="007D13F3">
      <w:pPr>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Pr>
          <w:rFonts w:ascii="Times New Roman" w:hAnsi="Times New Roman" w:cs="Times New Roman"/>
        </w:rPr>
        <w:t>Kapitálové výdavky na rok 2018</w:t>
      </w:r>
      <w:r w:rsidRPr="000D79F8">
        <w:rPr>
          <w:rFonts w:ascii="Times New Roman" w:hAnsi="Times New Roman" w:cs="Times New Roman"/>
        </w:rPr>
        <w:t xml:space="preserve"> sa rozpočtujú v sume </w:t>
      </w:r>
      <w:r>
        <w:rPr>
          <w:rFonts w:ascii="Times New Roman" w:hAnsi="Times New Roman" w:cs="Times New Roman"/>
        </w:rPr>
        <w:t>247</w:t>
      </w:r>
      <w:r w:rsidRPr="000D79F8">
        <w:rPr>
          <w:rFonts w:ascii="Times New Roman" w:hAnsi="Times New Roman" w:cs="Times New Roman"/>
        </w:rPr>
        <w:t xml:space="preserve"> mil. eur, čo predstavuje oprot</w:t>
      </w:r>
      <w:r>
        <w:rPr>
          <w:rFonts w:ascii="Times New Roman" w:hAnsi="Times New Roman" w:cs="Times New Roman"/>
        </w:rPr>
        <w:t>i schválenému rozpočtu roku 2017</w:t>
      </w:r>
      <w:r w:rsidRPr="000D79F8">
        <w:rPr>
          <w:rFonts w:ascii="Times New Roman" w:hAnsi="Times New Roman" w:cs="Times New Roman"/>
        </w:rPr>
        <w:t xml:space="preserve"> nárast o sumu </w:t>
      </w:r>
      <w:r>
        <w:rPr>
          <w:rFonts w:ascii="Times New Roman" w:hAnsi="Times New Roman" w:cs="Times New Roman"/>
        </w:rPr>
        <w:t>8,20</w:t>
      </w:r>
      <w:r w:rsidRPr="000D79F8">
        <w:rPr>
          <w:rFonts w:ascii="Times New Roman" w:hAnsi="Times New Roman" w:cs="Times New Roman"/>
        </w:rPr>
        <w:t xml:space="preserve"> mil. eur, t. j. o</w:t>
      </w:r>
      <w:r>
        <w:rPr>
          <w:rFonts w:ascii="Times New Roman" w:hAnsi="Times New Roman" w:cs="Times New Roman"/>
        </w:rPr>
        <w:t> 3,43</w:t>
      </w:r>
      <w:r w:rsidRPr="000D79F8">
        <w:rPr>
          <w:rFonts w:ascii="Times New Roman" w:hAnsi="Times New Roman" w:cs="Times New Roman"/>
        </w:rPr>
        <w:t xml:space="preserve"> %</w:t>
      </w:r>
      <w:r>
        <w:rPr>
          <w:rFonts w:ascii="Times New Roman" w:hAnsi="Times New Roman" w:cs="Times New Roman"/>
        </w:rPr>
        <w:t>,</w:t>
      </w:r>
      <w:r w:rsidRPr="000D79F8">
        <w:rPr>
          <w:rFonts w:ascii="Times New Roman" w:hAnsi="Times New Roman" w:cs="Times New Roman"/>
        </w:rPr>
        <w:t xml:space="preserve"> najmä v oblasti rozvoja obrany. </w:t>
      </w:r>
    </w:p>
    <w:p w:rsidR="00F30F1A" w:rsidRDefault="00F30F1A" w:rsidP="007D13F3">
      <w:pPr>
        <w:ind w:firstLine="708"/>
        <w:jc w:val="both"/>
        <w:rPr>
          <w:rFonts w:ascii="Times New Roman" w:hAnsi="Times New Roman" w:cs="Times New Roman"/>
        </w:rPr>
      </w:pPr>
    </w:p>
    <w:p w:rsidR="007D13F3" w:rsidRPr="00C862A6" w:rsidRDefault="007D13F3" w:rsidP="007D13F3">
      <w:pPr>
        <w:jc w:val="both"/>
        <w:rPr>
          <w:rFonts w:ascii="Times New Roman" w:eastAsiaTheme="minorHAnsi" w:hAnsi="Times New Roman" w:cs="Times New Roman"/>
          <w:lang w:eastAsia="en-US"/>
        </w:rPr>
      </w:pPr>
      <w:r>
        <w:rPr>
          <w:rFonts w:ascii="Times New Roman" w:hAnsi="Times New Roman" w:cs="Times New Roman"/>
        </w:rPr>
        <w:tab/>
      </w:r>
      <w:r w:rsidRPr="00C862A6">
        <w:rPr>
          <w:rFonts w:ascii="Times New Roman" w:eastAsiaTheme="minorHAnsi" w:hAnsi="Times New Roman" w:cs="Times New Roman"/>
          <w:lang w:eastAsia="en-US"/>
        </w:rPr>
        <w:t>Kapitola v nadväznosti na § 17 ods. 4 zákona č. 523/2004 Z. z. o rozpočtových pravidlách verejnej správy v znení neskorších predpisov rozpočtuje tiež výdavky zodpovedajúce príjmom z poistného plnenia zo zmluvného poistenia alebo zo zákonného poistenia</w:t>
      </w:r>
      <w:r w:rsidRPr="00414807">
        <w:rPr>
          <w:rFonts w:ascii="Times New Roman" w:eastAsiaTheme="minorHAnsi" w:hAnsi="Times New Roman" w:cs="Times New Roman"/>
          <w:lang w:eastAsia="en-US"/>
        </w:rPr>
        <w:t xml:space="preserve">, výdavky od fyzickej osoby alebo právnickej osoby podľa osobitného predpisu a výdavky získané z rozdielu medzi výnosmi a nákladmi z podnikateľskej činnosti po zdanení </w:t>
      </w:r>
      <w:r w:rsidRPr="00C862A6">
        <w:rPr>
          <w:rFonts w:ascii="Times New Roman" w:eastAsiaTheme="minorHAnsi" w:hAnsi="Times New Roman" w:cs="Times New Roman"/>
          <w:lang w:eastAsia="en-US"/>
        </w:rPr>
        <w:t xml:space="preserve">v sume </w:t>
      </w:r>
      <w:r w:rsidRPr="00414807">
        <w:rPr>
          <w:rFonts w:ascii="Times New Roman" w:eastAsiaTheme="minorHAnsi" w:hAnsi="Times New Roman" w:cs="Times New Roman"/>
          <w:lang w:eastAsia="en-US"/>
        </w:rPr>
        <w:t>46,6</w:t>
      </w:r>
      <w:r w:rsidRPr="00C862A6">
        <w:rPr>
          <w:rFonts w:ascii="Times New Roman" w:eastAsiaTheme="minorHAnsi" w:hAnsi="Times New Roman" w:cs="Times New Roman"/>
          <w:lang w:eastAsia="en-US"/>
        </w:rPr>
        <w:t xml:space="preserve"> tis. eur. </w:t>
      </w:r>
    </w:p>
    <w:p w:rsidR="007D13F3" w:rsidRPr="00C862A6" w:rsidRDefault="007D13F3" w:rsidP="007D13F3">
      <w:pPr>
        <w:jc w:val="both"/>
        <w:rPr>
          <w:rFonts w:ascii="Times New Roman" w:hAnsi="Times New Roman" w:cs="Times New Roman"/>
          <w:noProof/>
          <w:lang w:eastAsia="sk-SK"/>
        </w:rPr>
      </w:pPr>
    </w:p>
    <w:p w:rsidR="007D13F3" w:rsidRDefault="007D13F3" w:rsidP="007D13F3">
      <w:pPr>
        <w:ind w:firstLine="708"/>
        <w:jc w:val="both"/>
        <w:rPr>
          <w:rFonts w:ascii="Times New Roman" w:hAnsi="Times New Roman" w:cs="Times New Roman"/>
        </w:rPr>
      </w:pPr>
      <w:r w:rsidRPr="00E9420A">
        <w:rPr>
          <w:rFonts w:ascii="Times New Roman" w:hAnsi="Times New Roman" w:cs="Times New Roman"/>
          <w:noProof/>
          <w:lang w:eastAsia="sk-SK"/>
        </w:rPr>
        <w:t>Kapitola na rok 2018 rozpočtuje výdavky na samostatných účtoch v celkovej sume</w:t>
      </w:r>
      <w:r w:rsidRPr="00E9420A">
        <w:rPr>
          <w:rFonts w:ascii="Times New Roman" w:hAnsi="Times New Roman" w:cs="Times New Roman"/>
          <w:noProof/>
          <w:lang w:eastAsia="sk-SK"/>
        </w:rPr>
        <w:br/>
      </w:r>
      <w:r w:rsidRPr="00E9420A">
        <w:rPr>
          <w:rFonts w:ascii="Times New Roman" w:hAnsi="Times New Roman" w:cs="Times New Roman"/>
          <w:bCs/>
        </w:rPr>
        <w:t>182 mil. eur. Uvedené prostriedky sú určené na financovanie sociálneho zabezpečenia vojakov,</w:t>
      </w:r>
      <w:r>
        <w:rPr>
          <w:rFonts w:ascii="Times New Roman" w:hAnsi="Times New Roman" w:cs="Times New Roman"/>
          <w:bCs/>
        </w:rPr>
        <w:t xml:space="preserve"> podnikateľskú činnosť Akadémie ozbrojených síl M. R. Štefánika v Liptovskom Mikuláši, na stravovanie, na výdavky v súvislosti s prijatými prostriedkami na základe darovacej zmluvy </w:t>
      </w:r>
      <w:r>
        <w:rPr>
          <w:rFonts w:ascii="Times New Roman" w:hAnsi="Times New Roman" w:cs="Times New Roman"/>
          <w:bCs/>
        </w:rPr>
        <w:lastRenderedPageBreak/>
        <w:t xml:space="preserve">alebo formou dotácie alebo grantu na projekty pre vysoké školy a na granty programov EÚ pre Vojenský technický a skúšobný ústav Záhorie.   </w:t>
      </w:r>
      <w:r w:rsidRPr="00E9420A">
        <w:rPr>
          <w:rFonts w:ascii="Times New Roman" w:hAnsi="Times New Roman" w:cs="Times New Roman"/>
          <w:bCs/>
        </w:rPr>
        <w:t xml:space="preserve"> </w:t>
      </w:r>
      <w:r w:rsidRPr="00C862A6">
        <w:rPr>
          <w:rFonts w:ascii="Times New Roman" w:hAnsi="Times New Roman" w:cs="Times New Roman"/>
          <w:bCs/>
        </w:rPr>
        <w:t xml:space="preserve">            </w:t>
      </w:r>
    </w:p>
    <w:p w:rsidR="009C37FC" w:rsidRDefault="009C37FC" w:rsidP="007D13F3">
      <w:pPr>
        <w:ind w:firstLine="708"/>
        <w:jc w:val="both"/>
        <w:rPr>
          <w:rFonts w:ascii="Times New Roman" w:hAnsi="Times New Roman" w:cs="Times New Roman"/>
          <w:lang w:eastAsia="sk-SK"/>
        </w:rPr>
      </w:pPr>
    </w:p>
    <w:p w:rsidR="007D13F3" w:rsidRPr="000D79F8" w:rsidRDefault="007D13F3" w:rsidP="007D13F3">
      <w:pPr>
        <w:ind w:firstLine="708"/>
        <w:jc w:val="both"/>
        <w:rPr>
          <w:rFonts w:ascii="Times New Roman" w:hAnsi="Times New Roman" w:cs="Times New Roman"/>
          <w:lang w:eastAsia="sk-SK"/>
        </w:rPr>
      </w:pPr>
      <w:r w:rsidRPr="000D79F8">
        <w:rPr>
          <w:rFonts w:ascii="Times New Roman" w:hAnsi="Times New Roman" w:cs="Times New Roman"/>
          <w:lang w:eastAsia="sk-SK"/>
        </w:rPr>
        <w:t>Rozpočet ministerstva obrany sa skladá z nasledovných oblastí.</w:t>
      </w:r>
    </w:p>
    <w:p w:rsidR="007D13F3" w:rsidRDefault="007D13F3" w:rsidP="007D13F3">
      <w:pPr>
        <w:ind w:firstLine="708"/>
        <w:jc w:val="both"/>
        <w:rPr>
          <w:rFonts w:ascii="Times New Roman" w:hAnsi="Times New Roman" w:cs="Times New Roman"/>
          <w:lang w:eastAsia="sk-SK"/>
        </w:rPr>
      </w:pPr>
    </w:p>
    <w:tbl>
      <w:tblPr>
        <w:tblW w:w="5003" w:type="pct"/>
        <w:tblLayout w:type="fixed"/>
        <w:tblCellMar>
          <w:left w:w="70" w:type="dxa"/>
          <w:right w:w="70" w:type="dxa"/>
        </w:tblCellMar>
        <w:tblLook w:val="04A0" w:firstRow="1" w:lastRow="0" w:firstColumn="1" w:lastColumn="0" w:noHBand="0" w:noVBand="1"/>
      </w:tblPr>
      <w:tblGrid>
        <w:gridCol w:w="2834"/>
        <w:gridCol w:w="891"/>
        <w:gridCol w:w="891"/>
        <w:gridCol w:w="891"/>
        <w:gridCol w:w="890"/>
        <w:gridCol w:w="890"/>
        <w:gridCol w:w="890"/>
        <w:gridCol w:w="890"/>
      </w:tblGrid>
      <w:tr w:rsidR="007D13F3" w:rsidRPr="001E0FBE" w:rsidTr="00465CAC">
        <w:trPr>
          <w:trHeight w:val="255"/>
        </w:trPr>
        <w:tc>
          <w:tcPr>
            <w:tcW w:w="156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1E0FBE" w:rsidRDefault="007D13F3" w:rsidP="00465CAC">
            <w:pPr>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v eurách</w:t>
            </w:r>
          </w:p>
        </w:tc>
        <w:tc>
          <w:tcPr>
            <w:tcW w:w="49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98358D" w:rsidRDefault="007D13F3" w:rsidP="00465CAC">
            <w:pPr>
              <w:jc w:val="center"/>
              <w:rPr>
                <w:rFonts w:ascii="Times New Roman" w:hAnsi="Times New Roman" w:cs="Times New Roman"/>
                <w:b/>
                <w:bCs/>
                <w:color w:val="000000"/>
                <w:sz w:val="14"/>
                <w:szCs w:val="14"/>
                <w:lang w:eastAsia="sk-SK"/>
              </w:rPr>
            </w:pPr>
            <w:r w:rsidRPr="0098358D">
              <w:rPr>
                <w:rFonts w:ascii="Times New Roman" w:hAnsi="Times New Roman" w:cs="Times New Roman"/>
                <w:b/>
                <w:bCs/>
                <w:color w:val="000000"/>
                <w:sz w:val="14"/>
                <w:szCs w:val="14"/>
              </w:rPr>
              <w:t>2015 S</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98358D" w:rsidRDefault="007D13F3" w:rsidP="00465CAC">
            <w:pPr>
              <w:jc w:val="center"/>
              <w:rPr>
                <w:rFonts w:ascii="Times New Roman" w:hAnsi="Times New Roman" w:cs="Times New Roman"/>
                <w:b/>
                <w:bCs/>
                <w:color w:val="000000"/>
                <w:sz w:val="14"/>
                <w:szCs w:val="14"/>
              </w:rPr>
            </w:pPr>
            <w:r w:rsidRPr="0098358D">
              <w:rPr>
                <w:rFonts w:ascii="Times New Roman" w:hAnsi="Times New Roman" w:cs="Times New Roman"/>
                <w:b/>
                <w:bCs/>
                <w:color w:val="000000"/>
                <w:sz w:val="14"/>
                <w:szCs w:val="14"/>
              </w:rPr>
              <w:t>2016 S</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98358D" w:rsidRDefault="007D13F3" w:rsidP="00465CAC">
            <w:pPr>
              <w:jc w:val="center"/>
              <w:rPr>
                <w:rFonts w:ascii="Times New Roman" w:hAnsi="Times New Roman" w:cs="Times New Roman"/>
                <w:b/>
                <w:bCs/>
                <w:color w:val="000000"/>
                <w:sz w:val="14"/>
                <w:szCs w:val="14"/>
              </w:rPr>
            </w:pPr>
            <w:r w:rsidRPr="0098358D">
              <w:rPr>
                <w:rFonts w:ascii="Times New Roman" w:hAnsi="Times New Roman" w:cs="Times New Roman"/>
                <w:b/>
                <w:bCs/>
                <w:color w:val="000000"/>
                <w:sz w:val="14"/>
                <w:szCs w:val="14"/>
              </w:rPr>
              <w:t>2017 R</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98358D" w:rsidRDefault="007D13F3" w:rsidP="00465CAC">
            <w:pPr>
              <w:jc w:val="center"/>
              <w:rPr>
                <w:rFonts w:ascii="Times New Roman" w:hAnsi="Times New Roman" w:cs="Times New Roman"/>
                <w:b/>
                <w:bCs/>
                <w:color w:val="000000"/>
                <w:sz w:val="14"/>
                <w:szCs w:val="14"/>
              </w:rPr>
            </w:pPr>
            <w:r w:rsidRPr="0098358D">
              <w:rPr>
                <w:rFonts w:ascii="Times New Roman" w:hAnsi="Times New Roman" w:cs="Times New Roman"/>
                <w:b/>
                <w:bCs/>
                <w:color w:val="000000"/>
                <w:sz w:val="14"/>
                <w:szCs w:val="14"/>
              </w:rPr>
              <w:t>2017 OS</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98358D" w:rsidRDefault="007D13F3" w:rsidP="00465CAC">
            <w:pPr>
              <w:jc w:val="center"/>
              <w:rPr>
                <w:rFonts w:ascii="Times New Roman" w:hAnsi="Times New Roman" w:cs="Times New Roman"/>
                <w:b/>
                <w:bCs/>
                <w:color w:val="000000"/>
                <w:sz w:val="14"/>
                <w:szCs w:val="14"/>
              </w:rPr>
            </w:pPr>
            <w:r w:rsidRPr="0098358D">
              <w:rPr>
                <w:rFonts w:ascii="Times New Roman" w:hAnsi="Times New Roman" w:cs="Times New Roman"/>
                <w:b/>
                <w:bCs/>
                <w:color w:val="000000"/>
                <w:sz w:val="14"/>
                <w:szCs w:val="14"/>
              </w:rPr>
              <w:t>2018 N</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98358D" w:rsidRDefault="007D13F3" w:rsidP="00465CAC">
            <w:pPr>
              <w:jc w:val="center"/>
              <w:rPr>
                <w:rFonts w:ascii="Times New Roman" w:hAnsi="Times New Roman" w:cs="Times New Roman"/>
                <w:b/>
                <w:bCs/>
                <w:color w:val="000000"/>
                <w:sz w:val="14"/>
                <w:szCs w:val="14"/>
              </w:rPr>
            </w:pPr>
            <w:r w:rsidRPr="0098358D">
              <w:rPr>
                <w:rFonts w:ascii="Times New Roman" w:hAnsi="Times New Roman" w:cs="Times New Roman"/>
                <w:b/>
                <w:bCs/>
                <w:color w:val="000000"/>
                <w:sz w:val="14"/>
                <w:szCs w:val="14"/>
              </w:rPr>
              <w:t>2019 N</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98358D" w:rsidRDefault="007D13F3" w:rsidP="00465CAC">
            <w:pPr>
              <w:jc w:val="center"/>
              <w:rPr>
                <w:rFonts w:ascii="Times New Roman" w:hAnsi="Times New Roman" w:cs="Times New Roman"/>
                <w:b/>
                <w:bCs/>
                <w:color w:val="000000"/>
                <w:sz w:val="14"/>
                <w:szCs w:val="14"/>
              </w:rPr>
            </w:pPr>
            <w:r w:rsidRPr="0098358D">
              <w:rPr>
                <w:rFonts w:ascii="Times New Roman" w:hAnsi="Times New Roman" w:cs="Times New Roman"/>
                <w:b/>
                <w:bCs/>
                <w:color w:val="000000"/>
                <w:sz w:val="14"/>
                <w:szCs w:val="14"/>
              </w:rPr>
              <w:t>2020 N</w:t>
            </w:r>
          </w:p>
        </w:tc>
      </w:tr>
      <w:tr w:rsidR="007D13F3" w:rsidRPr="001E0FBE" w:rsidTr="00465CAC">
        <w:trPr>
          <w:trHeight w:val="255"/>
        </w:trPr>
        <w:tc>
          <w:tcPr>
            <w:tcW w:w="1562"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1E0FBE" w:rsidRDefault="007D13F3" w:rsidP="00465CAC">
            <w:pPr>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Ministerstvo obrany SR</w:t>
            </w:r>
          </w:p>
        </w:tc>
        <w:tc>
          <w:tcPr>
            <w:tcW w:w="491"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bCs/>
                <w:color w:val="000000"/>
                <w:sz w:val="13"/>
                <w:szCs w:val="13"/>
              </w:rPr>
            </w:pPr>
            <w:r w:rsidRPr="000A2622">
              <w:rPr>
                <w:rFonts w:ascii="Times New Roman" w:hAnsi="Times New Roman" w:cs="Times New Roman"/>
                <w:b/>
                <w:bCs/>
                <w:color w:val="000000"/>
                <w:sz w:val="13"/>
                <w:szCs w:val="13"/>
              </w:rPr>
              <w:t>885 573 572</w:t>
            </w:r>
          </w:p>
        </w:tc>
        <w:tc>
          <w:tcPr>
            <w:tcW w:w="49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bCs/>
                <w:color w:val="000000"/>
                <w:sz w:val="13"/>
                <w:szCs w:val="13"/>
              </w:rPr>
            </w:pPr>
            <w:r w:rsidRPr="000A2622">
              <w:rPr>
                <w:rFonts w:ascii="Times New Roman" w:hAnsi="Times New Roman" w:cs="Times New Roman"/>
                <w:b/>
                <w:bCs/>
                <w:color w:val="000000"/>
                <w:sz w:val="13"/>
                <w:szCs w:val="13"/>
              </w:rPr>
              <w:t>903 891 691</w:t>
            </w:r>
          </w:p>
        </w:tc>
        <w:tc>
          <w:tcPr>
            <w:tcW w:w="49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bCs/>
                <w:color w:val="000000"/>
                <w:sz w:val="13"/>
                <w:szCs w:val="13"/>
              </w:rPr>
            </w:pPr>
            <w:r w:rsidRPr="000A2622">
              <w:rPr>
                <w:rFonts w:ascii="Times New Roman" w:hAnsi="Times New Roman" w:cs="Times New Roman"/>
                <w:b/>
                <w:bCs/>
                <w:color w:val="000000"/>
                <w:sz w:val="13"/>
                <w:szCs w:val="13"/>
              </w:rPr>
              <w:t>990 054 525</w:t>
            </w:r>
          </w:p>
        </w:tc>
        <w:tc>
          <w:tcPr>
            <w:tcW w:w="49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sz w:val="13"/>
                <w:szCs w:val="13"/>
              </w:rPr>
            </w:pPr>
            <w:r w:rsidRPr="000A2622">
              <w:rPr>
                <w:rFonts w:ascii="Times New Roman" w:hAnsi="Times New Roman" w:cs="Times New Roman"/>
                <w:b/>
                <w:sz w:val="13"/>
                <w:szCs w:val="13"/>
              </w:rPr>
              <w:t>972 144 947</w:t>
            </w:r>
          </w:p>
        </w:tc>
        <w:tc>
          <w:tcPr>
            <w:tcW w:w="49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sz w:val="13"/>
                <w:szCs w:val="13"/>
              </w:rPr>
            </w:pPr>
            <w:r w:rsidRPr="000A2622">
              <w:rPr>
                <w:rFonts w:ascii="Times New Roman" w:hAnsi="Times New Roman" w:cs="Times New Roman"/>
                <w:b/>
                <w:sz w:val="13"/>
                <w:szCs w:val="13"/>
              </w:rPr>
              <w:t>1 082 078 792</w:t>
            </w:r>
          </w:p>
        </w:tc>
        <w:tc>
          <w:tcPr>
            <w:tcW w:w="49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sz w:val="13"/>
                <w:szCs w:val="13"/>
              </w:rPr>
            </w:pPr>
            <w:r w:rsidRPr="000A2622">
              <w:rPr>
                <w:rFonts w:ascii="Times New Roman" w:hAnsi="Times New Roman" w:cs="Times New Roman"/>
                <w:b/>
                <w:sz w:val="13"/>
                <w:szCs w:val="13"/>
              </w:rPr>
              <w:t>1 154 651 596</w:t>
            </w:r>
          </w:p>
        </w:tc>
        <w:tc>
          <w:tcPr>
            <w:tcW w:w="491"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A2622" w:rsidRDefault="007D13F3" w:rsidP="00465CAC">
            <w:pPr>
              <w:jc w:val="right"/>
              <w:rPr>
                <w:rFonts w:ascii="Times New Roman" w:hAnsi="Times New Roman" w:cs="Times New Roman"/>
                <w:b/>
                <w:sz w:val="13"/>
                <w:szCs w:val="13"/>
              </w:rPr>
            </w:pPr>
            <w:r w:rsidRPr="000A2622">
              <w:rPr>
                <w:rFonts w:ascii="Times New Roman" w:hAnsi="Times New Roman" w:cs="Times New Roman"/>
                <w:b/>
                <w:sz w:val="13"/>
                <w:szCs w:val="13"/>
              </w:rPr>
              <w:t>1 611 822 040</w:t>
            </w:r>
          </w:p>
        </w:tc>
      </w:tr>
      <w:tr w:rsidR="007D13F3" w:rsidRPr="001E0FBE" w:rsidTr="00465CAC">
        <w:trPr>
          <w:trHeight w:val="255"/>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rsidR="007D13F3" w:rsidRPr="001E0FBE" w:rsidRDefault="007D13F3" w:rsidP="00465CAC">
            <w:pPr>
              <w:rPr>
                <w:rFonts w:ascii="Times New Roman" w:hAnsi="Times New Roman" w:cs="Times New Roman"/>
                <w:sz w:val="14"/>
                <w:szCs w:val="14"/>
                <w:lang w:eastAsia="sk-SK"/>
              </w:rPr>
            </w:pPr>
            <w:r w:rsidRPr="001E0FBE">
              <w:rPr>
                <w:rFonts w:ascii="Times New Roman" w:hAnsi="Times New Roman" w:cs="Times New Roman"/>
                <w:sz w:val="14"/>
                <w:szCs w:val="14"/>
                <w:lang w:eastAsia="sk-SK"/>
              </w:rPr>
              <w:t>Rozvoj obrany</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224 548 347</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224 378 290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282 196 053</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237 054 615</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325 434 426</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362 530 370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546 606 959</w:t>
            </w:r>
          </w:p>
        </w:tc>
      </w:tr>
      <w:tr w:rsidR="007D13F3" w:rsidRPr="001E0FBE" w:rsidTr="00465CAC">
        <w:trPr>
          <w:trHeight w:val="255"/>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rsidR="007D13F3" w:rsidRPr="001E0FBE" w:rsidRDefault="007D13F3" w:rsidP="00465CAC">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Obrana</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652 702 906</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673 209 025</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705 688 596</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726 689 370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749 454 490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784 751 350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1 057 845 205</w:t>
            </w:r>
          </w:p>
        </w:tc>
      </w:tr>
      <w:tr w:rsidR="007D13F3" w:rsidRPr="001E0FBE" w:rsidTr="00465CAC">
        <w:trPr>
          <w:trHeight w:val="255"/>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rsidR="007D13F3" w:rsidRPr="001E0FBE" w:rsidRDefault="007D13F3" w:rsidP="00465CAC">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Podpora obrany (MO SR)</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61 243</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123 608</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550 000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550 000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870 000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1 050 000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1 050 000</w:t>
            </w:r>
          </w:p>
        </w:tc>
      </w:tr>
      <w:tr w:rsidR="007D13F3" w:rsidRPr="001E0FBE" w:rsidTr="00465CAC">
        <w:trPr>
          <w:trHeight w:val="255"/>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rsidR="007D13F3" w:rsidRPr="001E0FBE" w:rsidRDefault="007D13F3" w:rsidP="00465CAC">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Hospodárska mobilizácia (MO SR)</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8 073 927</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5 435 919</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1 300 000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7 300 000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6 000 000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6 000 000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6 000 000</w:t>
            </w:r>
          </w:p>
        </w:tc>
      </w:tr>
      <w:tr w:rsidR="007D13F3" w:rsidRPr="001E0FBE" w:rsidTr="00465CAC">
        <w:trPr>
          <w:trHeight w:val="255"/>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rsidR="007D13F3" w:rsidRPr="001E0FBE" w:rsidRDefault="007D13F3" w:rsidP="00465CAC">
            <w:pPr>
              <w:rPr>
                <w:rFonts w:ascii="Times New Roman" w:hAnsi="Times New Roman" w:cs="Times New Roman"/>
                <w:color w:val="000000"/>
                <w:sz w:val="14"/>
                <w:szCs w:val="14"/>
                <w:lang w:eastAsia="sk-SK"/>
              </w:rPr>
            </w:pPr>
            <w:proofErr w:type="spellStart"/>
            <w:r>
              <w:rPr>
                <w:rFonts w:ascii="Times New Roman" w:hAnsi="Times New Roman" w:cs="Times New Roman"/>
                <w:color w:val="000000"/>
                <w:sz w:val="14"/>
                <w:szCs w:val="14"/>
                <w:lang w:eastAsia="sk-SK"/>
              </w:rPr>
              <w:t>Vys</w:t>
            </w:r>
            <w:proofErr w:type="spellEnd"/>
            <w:r>
              <w:rPr>
                <w:rFonts w:ascii="Times New Roman" w:hAnsi="Times New Roman" w:cs="Times New Roman"/>
                <w:color w:val="000000"/>
                <w:sz w:val="14"/>
                <w:szCs w:val="14"/>
                <w:lang w:eastAsia="sk-SK"/>
              </w:rPr>
              <w:t>. civil. expertov</w:t>
            </w:r>
            <w:r w:rsidRPr="001E0FBE">
              <w:rPr>
                <w:rFonts w:ascii="Times New Roman" w:hAnsi="Times New Roman" w:cs="Times New Roman"/>
                <w:color w:val="000000"/>
                <w:sz w:val="14"/>
                <w:szCs w:val="14"/>
                <w:lang w:eastAsia="sk-SK"/>
              </w:rPr>
              <w:t xml:space="preserve"> do KM mimo SR (MO SR)</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4 122</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58 699</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307 376</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478 654</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307 376</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307 376</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307 376</w:t>
            </w:r>
          </w:p>
        </w:tc>
      </w:tr>
      <w:tr w:rsidR="007D13F3" w:rsidRPr="001E0FBE" w:rsidTr="00465CAC">
        <w:trPr>
          <w:trHeight w:val="255"/>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rsidR="007D13F3" w:rsidRPr="001E0FBE" w:rsidRDefault="007D13F3" w:rsidP="00465CAC">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Oficiálna rozvojová pomoc</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6 000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9 997</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10 000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10 000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10 000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10 000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10 000</w:t>
            </w:r>
          </w:p>
        </w:tc>
      </w:tr>
      <w:tr w:rsidR="007D13F3" w:rsidRPr="001E0FBE" w:rsidTr="00465CAC">
        <w:trPr>
          <w:trHeight w:val="255"/>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rsidR="007D13F3" w:rsidRPr="001E0FBE" w:rsidRDefault="007D13F3" w:rsidP="00465CAC">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SK PRES 2016</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145 449</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669 591</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59 808</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0</w:t>
            </w:r>
          </w:p>
        </w:tc>
      </w:tr>
      <w:tr w:rsidR="007D13F3" w:rsidRPr="001E0FBE" w:rsidTr="00465CAC">
        <w:trPr>
          <w:trHeight w:val="255"/>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rsidR="007D13F3" w:rsidRPr="001E0FBE" w:rsidRDefault="007D13F3" w:rsidP="00465CAC">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2. etapa implementácie MZP SZO v SR</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2 442</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2 500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2 500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2 500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2 500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2 500</w:t>
            </w:r>
          </w:p>
        </w:tc>
      </w:tr>
      <w:tr w:rsidR="007D13F3" w:rsidRPr="001E0FBE" w:rsidTr="00465CAC">
        <w:trPr>
          <w:trHeight w:val="255"/>
        </w:trPr>
        <w:tc>
          <w:tcPr>
            <w:tcW w:w="1562" w:type="pct"/>
            <w:tcBorders>
              <w:top w:val="nil"/>
              <w:left w:val="single" w:sz="4" w:space="0" w:color="auto"/>
              <w:bottom w:val="single" w:sz="4" w:space="0" w:color="auto"/>
              <w:right w:val="single" w:sz="4" w:space="0" w:color="auto"/>
            </w:tcBorders>
            <w:shd w:val="clear" w:color="auto" w:fill="auto"/>
            <w:vAlign w:val="center"/>
            <w:hideMark/>
          </w:tcPr>
          <w:p w:rsidR="007D13F3" w:rsidRPr="001E0FBE" w:rsidRDefault="007D13F3" w:rsidP="00465CAC">
            <w:pPr>
              <w:rPr>
                <w:rFonts w:ascii="Times New Roman" w:hAnsi="Times New Roman" w:cs="Times New Roman"/>
                <w:color w:val="000000"/>
                <w:sz w:val="14"/>
                <w:szCs w:val="14"/>
                <w:lang w:eastAsia="sk-SK"/>
              </w:rPr>
            </w:pPr>
            <w:proofErr w:type="spellStart"/>
            <w:r w:rsidRPr="001E0FBE">
              <w:rPr>
                <w:rFonts w:ascii="Times New Roman" w:hAnsi="Times New Roman" w:cs="Times New Roman"/>
                <w:color w:val="000000"/>
                <w:sz w:val="14"/>
                <w:szCs w:val="14"/>
                <w:lang w:eastAsia="sk-SK"/>
              </w:rPr>
              <w:t>Dig</w:t>
            </w:r>
            <w:proofErr w:type="spellEnd"/>
            <w:r w:rsidRPr="001E0FBE">
              <w:rPr>
                <w:rFonts w:ascii="Times New Roman" w:hAnsi="Times New Roman" w:cs="Times New Roman"/>
                <w:color w:val="000000"/>
                <w:sz w:val="14"/>
                <w:szCs w:val="14"/>
                <w:lang w:eastAsia="sk-SK"/>
              </w:rPr>
              <w:t>. obsahu pamäť</w:t>
            </w:r>
            <w:r>
              <w:rPr>
                <w:rFonts w:ascii="Times New Roman" w:hAnsi="Times New Roman" w:cs="Times New Roman"/>
                <w:color w:val="000000"/>
                <w:sz w:val="14"/>
                <w:szCs w:val="14"/>
                <w:lang w:eastAsia="sk-SK"/>
              </w:rPr>
              <w:t>. a fond. inštitúcií, archivácia</w:t>
            </w:r>
            <w:r w:rsidRPr="001E0FBE">
              <w:rPr>
                <w:rFonts w:ascii="Times New Roman" w:hAnsi="Times New Roman" w:cs="Times New Roman"/>
                <w:color w:val="000000"/>
                <w:sz w:val="14"/>
                <w:szCs w:val="14"/>
                <w:lang w:eastAsia="sk-SK"/>
              </w:rPr>
              <w:t>, prístup a ochrana systému MO SR</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31 576</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4 120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color w:val="000000"/>
                <w:sz w:val="13"/>
                <w:szCs w:val="13"/>
              </w:rPr>
            </w:pPr>
            <w:r w:rsidRPr="000A2622">
              <w:rPr>
                <w:rFonts w:ascii="Times New Roman" w:hAnsi="Times New Roman" w:cs="Times New Roman"/>
                <w:color w:val="000000"/>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7D13F3" w:rsidRPr="000A2622" w:rsidRDefault="007D13F3" w:rsidP="00465CAC">
            <w:pPr>
              <w:jc w:val="right"/>
              <w:rPr>
                <w:rFonts w:ascii="Times New Roman" w:hAnsi="Times New Roman" w:cs="Times New Roman"/>
                <w:sz w:val="13"/>
                <w:szCs w:val="13"/>
              </w:rPr>
            </w:pPr>
            <w:r w:rsidRPr="000A2622">
              <w:rPr>
                <w:rFonts w:ascii="Times New Roman" w:hAnsi="Times New Roman" w:cs="Times New Roman"/>
                <w:sz w:val="13"/>
                <w:szCs w:val="13"/>
              </w:rPr>
              <w:t>0</w:t>
            </w:r>
          </w:p>
        </w:tc>
      </w:tr>
    </w:tbl>
    <w:p w:rsidR="007D13F3" w:rsidRPr="000D79F8" w:rsidRDefault="007D13F3" w:rsidP="007D13F3">
      <w:pPr>
        <w:jc w:val="both"/>
        <w:rPr>
          <w:rFonts w:ascii="Times New Roman" w:hAnsi="Times New Roman" w:cs="Times New Roman"/>
          <w:iCs/>
          <w:lang w:eastAsia="sk-SK"/>
        </w:rPr>
      </w:pPr>
    </w:p>
    <w:p w:rsidR="007D13F3" w:rsidRPr="000D79F8" w:rsidRDefault="007D13F3" w:rsidP="007D13F3">
      <w:pPr>
        <w:jc w:val="both"/>
        <w:rPr>
          <w:rFonts w:ascii="Times New Roman" w:hAnsi="Times New Roman" w:cs="Times New Roman"/>
          <w:lang w:eastAsia="sk-SK"/>
        </w:rPr>
      </w:pPr>
      <w:r w:rsidRPr="000D79F8">
        <w:rPr>
          <w:rFonts w:ascii="Times New Roman" w:hAnsi="Times New Roman" w:cs="Times New Roman"/>
          <w:i/>
          <w:iCs/>
          <w:u w:val="single"/>
          <w:lang w:eastAsia="sk-SK"/>
        </w:rPr>
        <w:t>Rozvoj obrany</w:t>
      </w:r>
    </w:p>
    <w:p w:rsidR="007D13F3" w:rsidRPr="000D79F8" w:rsidRDefault="007D13F3" w:rsidP="007D13F3">
      <w:pPr>
        <w:jc w:val="both"/>
        <w:rPr>
          <w:rFonts w:ascii="Times New Roman" w:hAnsi="Times New Roman" w:cs="Times New Roman"/>
          <w:i/>
          <w:iCs/>
          <w:lang w:eastAsia="sk-SK"/>
        </w:rPr>
      </w:pPr>
      <w:r w:rsidRPr="000D79F8">
        <w:rPr>
          <w:rFonts w:ascii="Times New Roman" w:hAnsi="Times New Roman" w:cs="Times New Roman"/>
          <w:i/>
          <w:iCs/>
          <w:lang w:eastAsia="sk-SK"/>
        </w:rPr>
        <w:t> </w:t>
      </w:r>
    </w:p>
    <w:tbl>
      <w:tblPr>
        <w:tblW w:w="9067" w:type="dxa"/>
        <w:tblLayout w:type="fixed"/>
        <w:tblCellMar>
          <w:left w:w="70" w:type="dxa"/>
          <w:right w:w="70" w:type="dxa"/>
        </w:tblCellMar>
        <w:tblLook w:val="04A0" w:firstRow="1" w:lastRow="0" w:firstColumn="1" w:lastColumn="0" w:noHBand="0" w:noVBand="1"/>
      </w:tblPr>
      <w:tblGrid>
        <w:gridCol w:w="2405"/>
        <w:gridCol w:w="951"/>
        <w:gridCol w:w="952"/>
        <w:gridCol w:w="952"/>
        <w:gridCol w:w="951"/>
        <w:gridCol w:w="952"/>
        <w:gridCol w:w="952"/>
        <w:gridCol w:w="952"/>
      </w:tblGrid>
      <w:tr w:rsidR="007D13F3" w:rsidRPr="0049188B" w:rsidTr="00465CAC">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49188B" w:rsidRDefault="007D13F3" w:rsidP="00465CAC">
            <w:pPr>
              <w:rPr>
                <w:rFonts w:ascii="Times New Roman" w:hAnsi="Times New Roman" w:cs="Times New Roman"/>
                <w:b/>
                <w:bCs/>
                <w:sz w:val="14"/>
                <w:szCs w:val="14"/>
                <w:lang w:eastAsia="sk-SK"/>
              </w:rPr>
            </w:pPr>
            <w:r w:rsidRPr="0049188B">
              <w:rPr>
                <w:rFonts w:ascii="Times New Roman" w:hAnsi="Times New Roman" w:cs="Times New Roman"/>
                <w:b/>
                <w:bCs/>
                <w:sz w:val="14"/>
                <w:szCs w:val="14"/>
                <w:lang w:eastAsia="sk-SK"/>
              </w:rPr>
              <w:t>v eurách</w:t>
            </w:r>
          </w:p>
        </w:tc>
        <w:tc>
          <w:tcPr>
            <w:tcW w:w="95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CB3921" w:rsidRDefault="007D13F3" w:rsidP="00465CAC">
            <w:pPr>
              <w:jc w:val="center"/>
              <w:rPr>
                <w:rFonts w:ascii="Times New Roman" w:hAnsi="Times New Roman" w:cs="Times New Roman"/>
                <w:b/>
                <w:bCs/>
                <w:sz w:val="14"/>
                <w:szCs w:val="14"/>
                <w:lang w:eastAsia="sk-SK"/>
              </w:rPr>
            </w:pPr>
            <w:r w:rsidRPr="00CB3921">
              <w:rPr>
                <w:rFonts w:ascii="Times New Roman" w:hAnsi="Times New Roman" w:cs="Times New Roman"/>
                <w:b/>
                <w:bCs/>
                <w:sz w:val="14"/>
                <w:szCs w:val="14"/>
              </w:rPr>
              <w:t>2015 S</w:t>
            </w:r>
          </w:p>
        </w:tc>
        <w:tc>
          <w:tcPr>
            <w:tcW w:w="952"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CB3921" w:rsidRDefault="007D13F3" w:rsidP="00465CAC">
            <w:pPr>
              <w:jc w:val="center"/>
              <w:rPr>
                <w:rFonts w:ascii="Times New Roman" w:hAnsi="Times New Roman" w:cs="Times New Roman"/>
                <w:b/>
                <w:bCs/>
                <w:sz w:val="14"/>
                <w:szCs w:val="14"/>
              </w:rPr>
            </w:pPr>
            <w:r w:rsidRPr="00CB3921">
              <w:rPr>
                <w:rFonts w:ascii="Times New Roman" w:hAnsi="Times New Roman" w:cs="Times New Roman"/>
                <w:b/>
                <w:bCs/>
                <w:sz w:val="14"/>
                <w:szCs w:val="14"/>
              </w:rPr>
              <w:t>2016 S</w:t>
            </w:r>
          </w:p>
        </w:tc>
        <w:tc>
          <w:tcPr>
            <w:tcW w:w="952"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CB3921" w:rsidRDefault="007D13F3" w:rsidP="00465CAC">
            <w:pPr>
              <w:jc w:val="center"/>
              <w:rPr>
                <w:rFonts w:ascii="Times New Roman" w:hAnsi="Times New Roman" w:cs="Times New Roman"/>
                <w:b/>
                <w:bCs/>
                <w:sz w:val="14"/>
                <w:szCs w:val="14"/>
              </w:rPr>
            </w:pPr>
            <w:r w:rsidRPr="00CB3921">
              <w:rPr>
                <w:rFonts w:ascii="Times New Roman" w:hAnsi="Times New Roman" w:cs="Times New Roman"/>
                <w:b/>
                <w:bCs/>
                <w:sz w:val="14"/>
                <w:szCs w:val="14"/>
              </w:rPr>
              <w:t>2017 R</w:t>
            </w:r>
          </w:p>
        </w:tc>
        <w:tc>
          <w:tcPr>
            <w:tcW w:w="951"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CB3921" w:rsidRDefault="007D13F3" w:rsidP="00465CAC">
            <w:pPr>
              <w:jc w:val="center"/>
              <w:rPr>
                <w:rFonts w:ascii="Times New Roman" w:hAnsi="Times New Roman" w:cs="Times New Roman"/>
                <w:b/>
                <w:bCs/>
                <w:sz w:val="14"/>
                <w:szCs w:val="14"/>
              </w:rPr>
            </w:pPr>
            <w:r w:rsidRPr="00CB3921">
              <w:rPr>
                <w:rFonts w:ascii="Times New Roman" w:hAnsi="Times New Roman" w:cs="Times New Roman"/>
                <w:b/>
                <w:bCs/>
                <w:sz w:val="14"/>
                <w:szCs w:val="14"/>
              </w:rPr>
              <w:t>2017 OS</w:t>
            </w:r>
          </w:p>
        </w:tc>
        <w:tc>
          <w:tcPr>
            <w:tcW w:w="952"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CB3921" w:rsidRDefault="007D13F3" w:rsidP="00465CAC">
            <w:pPr>
              <w:jc w:val="center"/>
              <w:rPr>
                <w:rFonts w:ascii="Times New Roman" w:hAnsi="Times New Roman" w:cs="Times New Roman"/>
                <w:b/>
                <w:bCs/>
                <w:sz w:val="14"/>
                <w:szCs w:val="14"/>
              </w:rPr>
            </w:pPr>
            <w:r w:rsidRPr="00CB3921">
              <w:rPr>
                <w:rFonts w:ascii="Times New Roman" w:hAnsi="Times New Roman" w:cs="Times New Roman"/>
                <w:b/>
                <w:bCs/>
                <w:sz w:val="14"/>
                <w:szCs w:val="14"/>
              </w:rPr>
              <w:t>2018 N</w:t>
            </w:r>
          </w:p>
        </w:tc>
        <w:tc>
          <w:tcPr>
            <w:tcW w:w="952"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CB3921" w:rsidRDefault="007D13F3" w:rsidP="00465CAC">
            <w:pPr>
              <w:jc w:val="center"/>
              <w:rPr>
                <w:rFonts w:ascii="Times New Roman" w:hAnsi="Times New Roman" w:cs="Times New Roman"/>
                <w:b/>
                <w:bCs/>
                <w:sz w:val="14"/>
                <w:szCs w:val="14"/>
              </w:rPr>
            </w:pPr>
            <w:r w:rsidRPr="00CB3921">
              <w:rPr>
                <w:rFonts w:ascii="Times New Roman" w:hAnsi="Times New Roman" w:cs="Times New Roman"/>
                <w:b/>
                <w:bCs/>
                <w:sz w:val="14"/>
                <w:szCs w:val="14"/>
              </w:rPr>
              <w:t>2019 N</w:t>
            </w:r>
          </w:p>
        </w:tc>
        <w:tc>
          <w:tcPr>
            <w:tcW w:w="952"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CB3921" w:rsidRDefault="007D13F3" w:rsidP="00465CAC">
            <w:pPr>
              <w:jc w:val="center"/>
              <w:rPr>
                <w:rFonts w:ascii="Times New Roman" w:hAnsi="Times New Roman" w:cs="Times New Roman"/>
                <w:b/>
                <w:bCs/>
                <w:sz w:val="14"/>
                <w:szCs w:val="14"/>
              </w:rPr>
            </w:pPr>
            <w:r w:rsidRPr="00CB3921">
              <w:rPr>
                <w:rFonts w:ascii="Times New Roman" w:hAnsi="Times New Roman" w:cs="Times New Roman"/>
                <w:b/>
                <w:bCs/>
                <w:sz w:val="14"/>
                <w:szCs w:val="14"/>
              </w:rPr>
              <w:t>2020 N</w:t>
            </w:r>
          </w:p>
        </w:tc>
      </w:tr>
      <w:tr w:rsidR="007D13F3" w:rsidRPr="0049188B" w:rsidTr="00465CAC">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49188B" w:rsidRDefault="007D13F3" w:rsidP="00465CAC">
            <w:pPr>
              <w:rPr>
                <w:rFonts w:ascii="Times New Roman" w:hAnsi="Times New Roman" w:cs="Times New Roman"/>
                <w:b/>
                <w:bCs/>
                <w:color w:val="000000"/>
                <w:sz w:val="14"/>
                <w:szCs w:val="14"/>
                <w:lang w:eastAsia="sk-SK"/>
              </w:rPr>
            </w:pPr>
            <w:r w:rsidRPr="0049188B">
              <w:rPr>
                <w:rFonts w:ascii="Times New Roman" w:hAnsi="Times New Roman" w:cs="Times New Roman"/>
                <w:b/>
                <w:bCs/>
                <w:color w:val="000000"/>
                <w:sz w:val="14"/>
                <w:szCs w:val="14"/>
                <w:lang w:eastAsia="sk-SK"/>
              </w:rPr>
              <w:t>Rozvoj obrany</w:t>
            </w:r>
          </w:p>
        </w:tc>
        <w:tc>
          <w:tcPr>
            <w:tcW w:w="951"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7D13F3" w:rsidRPr="00CB3921" w:rsidRDefault="007D13F3" w:rsidP="00465CAC">
            <w:pPr>
              <w:jc w:val="right"/>
              <w:rPr>
                <w:rFonts w:ascii="Times New Roman" w:hAnsi="Times New Roman" w:cs="Times New Roman"/>
                <w:b/>
                <w:bCs/>
                <w:sz w:val="14"/>
                <w:szCs w:val="14"/>
              </w:rPr>
            </w:pPr>
            <w:r w:rsidRPr="00CB3921">
              <w:rPr>
                <w:rFonts w:ascii="Times New Roman" w:hAnsi="Times New Roman" w:cs="Times New Roman"/>
                <w:b/>
                <w:bCs/>
                <w:sz w:val="14"/>
                <w:szCs w:val="14"/>
              </w:rPr>
              <w:t>224 548 347</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CB3921" w:rsidRDefault="007D13F3" w:rsidP="00465CAC">
            <w:pPr>
              <w:jc w:val="right"/>
              <w:rPr>
                <w:rFonts w:ascii="Times New Roman" w:hAnsi="Times New Roman" w:cs="Times New Roman"/>
                <w:b/>
                <w:bCs/>
                <w:sz w:val="14"/>
                <w:szCs w:val="14"/>
              </w:rPr>
            </w:pPr>
            <w:r w:rsidRPr="00CB3921">
              <w:rPr>
                <w:rFonts w:ascii="Times New Roman" w:hAnsi="Times New Roman" w:cs="Times New Roman"/>
                <w:b/>
                <w:bCs/>
                <w:sz w:val="14"/>
                <w:szCs w:val="14"/>
              </w:rPr>
              <w:t>224 378 290</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CB3921" w:rsidRDefault="007D13F3" w:rsidP="00465CAC">
            <w:pPr>
              <w:jc w:val="right"/>
              <w:rPr>
                <w:rFonts w:ascii="Times New Roman" w:hAnsi="Times New Roman" w:cs="Times New Roman"/>
                <w:b/>
                <w:bCs/>
                <w:sz w:val="14"/>
                <w:szCs w:val="14"/>
              </w:rPr>
            </w:pPr>
            <w:r w:rsidRPr="00CB3921">
              <w:rPr>
                <w:rFonts w:ascii="Times New Roman" w:hAnsi="Times New Roman" w:cs="Times New Roman"/>
                <w:b/>
                <w:bCs/>
                <w:sz w:val="14"/>
                <w:szCs w:val="14"/>
              </w:rPr>
              <w:t>282 196 053</w:t>
            </w:r>
          </w:p>
        </w:tc>
        <w:tc>
          <w:tcPr>
            <w:tcW w:w="951"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32413D" w:rsidRDefault="007D13F3" w:rsidP="00465CAC">
            <w:pPr>
              <w:jc w:val="right"/>
              <w:rPr>
                <w:rFonts w:ascii="Times New Roman" w:hAnsi="Times New Roman" w:cs="Times New Roman"/>
                <w:b/>
                <w:sz w:val="14"/>
                <w:szCs w:val="14"/>
              </w:rPr>
            </w:pPr>
            <w:r w:rsidRPr="0032413D">
              <w:rPr>
                <w:rFonts w:ascii="Times New Roman" w:hAnsi="Times New Roman" w:cs="Times New Roman"/>
                <w:b/>
                <w:sz w:val="14"/>
                <w:szCs w:val="14"/>
              </w:rPr>
              <w:t>237 054 615</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32413D" w:rsidRDefault="007D13F3" w:rsidP="00465CAC">
            <w:pPr>
              <w:jc w:val="right"/>
              <w:rPr>
                <w:rFonts w:ascii="Times New Roman" w:hAnsi="Times New Roman" w:cs="Times New Roman"/>
                <w:b/>
                <w:sz w:val="14"/>
                <w:szCs w:val="14"/>
              </w:rPr>
            </w:pPr>
            <w:r w:rsidRPr="0032413D">
              <w:rPr>
                <w:rFonts w:ascii="Times New Roman" w:hAnsi="Times New Roman" w:cs="Times New Roman"/>
                <w:b/>
                <w:sz w:val="14"/>
                <w:szCs w:val="14"/>
              </w:rPr>
              <w:t>325 434 426</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32413D" w:rsidRDefault="007D13F3" w:rsidP="00465CAC">
            <w:pPr>
              <w:jc w:val="right"/>
              <w:rPr>
                <w:rFonts w:ascii="Times New Roman" w:hAnsi="Times New Roman" w:cs="Times New Roman"/>
                <w:b/>
                <w:sz w:val="14"/>
                <w:szCs w:val="14"/>
              </w:rPr>
            </w:pPr>
            <w:r w:rsidRPr="0032413D">
              <w:rPr>
                <w:rFonts w:ascii="Times New Roman" w:hAnsi="Times New Roman" w:cs="Times New Roman"/>
                <w:b/>
                <w:sz w:val="14"/>
                <w:szCs w:val="14"/>
              </w:rPr>
              <w:t>362 530 370</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32413D" w:rsidRDefault="007D13F3" w:rsidP="00465CAC">
            <w:pPr>
              <w:jc w:val="right"/>
              <w:rPr>
                <w:rFonts w:ascii="Times New Roman" w:hAnsi="Times New Roman" w:cs="Times New Roman"/>
                <w:b/>
                <w:sz w:val="14"/>
                <w:szCs w:val="14"/>
              </w:rPr>
            </w:pPr>
            <w:r w:rsidRPr="0032413D">
              <w:rPr>
                <w:rFonts w:ascii="Times New Roman" w:hAnsi="Times New Roman" w:cs="Times New Roman"/>
                <w:b/>
                <w:sz w:val="14"/>
                <w:szCs w:val="14"/>
              </w:rPr>
              <w:t>546 606 959</w:t>
            </w:r>
          </w:p>
        </w:tc>
      </w:tr>
      <w:tr w:rsidR="007D13F3" w:rsidRPr="0049188B"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49188B" w:rsidRDefault="007D13F3" w:rsidP="00465CAC">
            <w:pPr>
              <w:rPr>
                <w:rFonts w:ascii="Times New Roman" w:hAnsi="Times New Roman" w:cs="Times New Roman"/>
                <w:sz w:val="14"/>
                <w:szCs w:val="14"/>
                <w:lang w:eastAsia="sk-SK"/>
              </w:rPr>
            </w:pPr>
            <w:r w:rsidRPr="0049188B">
              <w:rPr>
                <w:rFonts w:ascii="Times New Roman" w:hAnsi="Times New Roman" w:cs="Times New Roman"/>
                <w:sz w:val="14"/>
                <w:szCs w:val="14"/>
                <w:lang w:eastAsia="sk-SK"/>
              </w:rPr>
              <w:t>Rozvoj infraštruktúry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D13F3" w:rsidRPr="00CB3921" w:rsidRDefault="007D13F3" w:rsidP="00465CAC">
            <w:pPr>
              <w:jc w:val="right"/>
              <w:rPr>
                <w:rFonts w:ascii="Times New Roman" w:hAnsi="Times New Roman" w:cs="Times New Roman"/>
                <w:color w:val="000000"/>
                <w:sz w:val="14"/>
                <w:szCs w:val="14"/>
              </w:rPr>
            </w:pPr>
            <w:r w:rsidRPr="00CB3921">
              <w:rPr>
                <w:rFonts w:ascii="Times New Roman" w:hAnsi="Times New Roman" w:cs="Times New Roman"/>
                <w:color w:val="000000"/>
                <w:sz w:val="14"/>
                <w:szCs w:val="14"/>
              </w:rPr>
              <w:t>18 323 454</w:t>
            </w:r>
          </w:p>
        </w:tc>
        <w:tc>
          <w:tcPr>
            <w:tcW w:w="952" w:type="dxa"/>
            <w:tcBorders>
              <w:top w:val="nil"/>
              <w:left w:val="nil"/>
              <w:bottom w:val="single" w:sz="4" w:space="0" w:color="auto"/>
              <w:right w:val="single" w:sz="4" w:space="0" w:color="auto"/>
            </w:tcBorders>
            <w:shd w:val="clear" w:color="auto" w:fill="auto"/>
            <w:vAlign w:val="bottom"/>
            <w:hideMark/>
          </w:tcPr>
          <w:p w:rsidR="007D13F3" w:rsidRPr="00CB3921" w:rsidRDefault="007D13F3" w:rsidP="00465CAC">
            <w:pPr>
              <w:jc w:val="right"/>
              <w:rPr>
                <w:rFonts w:ascii="Times New Roman" w:hAnsi="Times New Roman" w:cs="Times New Roman"/>
                <w:color w:val="000000"/>
                <w:sz w:val="14"/>
                <w:szCs w:val="14"/>
              </w:rPr>
            </w:pPr>
            <w:r w:rsidRPr="00CB3921">
              <w:rPr>
                <w:rFonts w:ascii="Times New Roman" w:hAnsi="Times New Roman" w:cs="Times New Roman"/>
                <w:color w:val="000000"/>
                <w:sz w:val="14"/>
                <w:szCs w:val="14"/>
              </w:rPr>
              <w:t>31 809 860</w:t>
            </w:r>
          </w:p>
        </w:tc>
        <w:tc>
          <w:tcPr>
            <w:tcW w:w="952" w:type="dxa"/>
            <w:tcBorders>
              <w:top w:val="nil"/>
              <w:left w:val="nil"/>
              <w:bottom w:val="single" w:sz="4" w:space="0" w:color="auto"/>
              <w:right w:val="single" w:sz="4" w:space="0" w:color="auto"/>
            </w:tcBorders>
            <w:shd w:val="clear" w:color="auto" w:fill="auto"/>
            <w:vAlign w:val="bottom"/>
            <w:hideMark/>
          </w:tcPr>
          <w:p w:rsidR="007D13F3" w:rsidRPr="00CB3921" w:rsidRDefault="007D13F3" w:rsidP="00465CAC">
            <w:pPr>
              <w:jc w:val="right"/>
              <w:rPr>
                <w:rFonts w:ascii="Times New Roman" w:hAnsi="Times New Roman" w:cs="Times New Roman"/>
                <w:color w:val="000000"/>
                <w:sz w:val="14"/>
                <w:szCs w:val="14"/>
              </w:rPr>
            </w:pPr>
            <w:r w:rsidRPr="00CB3921">
              <w:rPr>
                <w:rFonts w:ascii="Times New Roman" w:hAnsi="Times New Roman" w:cs="Times New Roman"/>
                <w:color w:val="000000"/>
                <w:sz w:val="14"/>
                <w:szCs w:val="14"/>
              </w:rPr>
              <w:t>36 657 506</w:t>
            </w:r>
          </w:p>
        </w:tc>
        <w:tc>
          <w:tcPr>
            <w:tcW w:w="951" w:type="dxa"/>
            <w:tcBorders>
              <w:top w:val="nil"/>
              <w:left w:val="nil"/>
              <w:bottom w:val="single" w:sz="4" w:space="0" w:color="auto"/>
              <w:right w:val="single" w:sz="4" w:space="0" w:color="auto"/>
            </w:tcBorders>
            <w:shd w:val="clear" w:color="auto" w:fill="auto"/>
            <w:vAlign w:val="bottom"/>
            <w:hideMark/>
          </w:tcPr>
          <w:p w:rsidR="007D13F3" w:rsidRPr="0032413D" w:rsidRDefault="007D13F3" w:rsidP="00465CAC">
            <w:pPr>
              <w:jc w:val="right"/>
              <w:rPr>
                <w:rFonts w:ascii="Times New Roman" w:hAnsi="Times New Roman" w:cs="Times New Roman"/>
                <w:sz w:val="14"/>
                <w:szCs w:val="14"/>
              </w:rPr>
            </w:pPr>
            <w:r w:rsidRPr="0032413D">
              <w:rPr>
                <w:rFonts w:ascii="Times New Roman" w:hAnsi="Times New Roman" w:cs="Times New Roman"/>
                <w:sz w:val="14"/>
                <w:szCs w:val="14"/>
              </w:rPr>
              <w:t>36 657 506</w:t>
            </w:r>
          </w:p>
        </w:tc>
        <w:tc>
          <w:tcPr>
            <w:tcW w:w="952" w:type="dxa"/>
            <w:tcBorders>
              <w:top w:val="nil"/>
              <w:left w:val="nil"/>
              <w:bottom w:val="single" w:sz="4" w:space="0" w:color="auto"/>
              <w:right w:val="single" w:sz="4" w:space="0" w:color="auto"/>
            </w:tcBorders>
            <w:shd w:val="clear" w:color="auto" w:fill="auto"/>
            <w:vAlign w:val="bottom"/>
            <w:hideMark/>
          </w:tcPr>
          <w:p w:rsidR="007D13F3" w:rsidRPr="0032413D" w:rsidRDefault="007D13F3" w:rsidP="00465CAC">
            <w:pPr>
              <w:jc w:val="right"/>
              <w:rPr>
                <w:rFonts w:ascii="Times New Roman" w:hAnsi="Times New Roman" w:cs="Times New Roman"/>
                <w:sz w:val="14"/>
                <w:szCs w:val="14"/>
              </w:rPr>
            </w:pPr>
            <w:r w:rsidRPr="0032413D">
              <w:rPr>
                <w:rFonts w:ascii="Times New Roman" w:hAnsi="Times New Roman" w:cs="Times New Roman"/>
                <w:sz w:val="14"/>
                <w:szCs w:val="14"/>
              </w:rPr>
              <w:t>32 982 033</w:t>
            </w:r>
          </w:p>
        </w:tc>
        <w:tc>
          <w:tcPr>
            <w:tcW w:w="952" w:type="dxa"/>
            <w:tcBorders>
              <w:top w:val="nil"/>
              <w:left w:val="nil"/>
              <w:bottom w:val="single" w:sz="4" w:space="0" w:color="auto"/>
              <w:right w:val="single" w:sz="4" w:space="0" w:color="auto"/>
            </w:tcBorders>
            <w:shd w:val="clear" w:color="auto" w:fill="auto"/>
            <w:vAlign w:val="bottom"/>
            <w:hideMark/>
          </w:tcPr>
          <w:p w:rsidR="007D13F3" w:rsidRPr="0032413D" w:rsidRDefault="007D13F3" w:rsidP="00465CAC">
            <w:pPr>
              <w:jc w:val="right"/>
              <w:rPr>
                <w:rFonts w:ascii="Times New Roman" w:hAnsi="Times New Roman" w:cs="Times New Roman"/>
                <w:sz w:val="14"/>
                <w:szCs w:val="14"/>
              </w:rPr>
            </w:pPr>
            <w:r w:rsidRPr="0032413D">
              <w:rPr>
                <w:rFonts w:ascii="Times New Roman" w:hAnsi="Times New Roman" w:cs="Times New Roman"/>
                <w:sz w:val="14"/>
                <w:szCs w:val="14"/>
              </w:rPr>
              <w:t>37 082 512</w:t>
            </w:r>
          </w:p>
        </w:tc>
        <w:tc>
          <w:tcPr>
            <w:tcW w:w="952" w:type="dxa"/>
            <w:tcBorders>
              <w:top w:val="nil"/>
              <w:left w:val="nil"/>
              <w:bottom w:val="single" w:sz="4" w:space="0" w:color="auto"/>
              <w:right w:val="single" w:sz="4" w:space="0" w:color="auto"/>
            </w:tcBorders>
            <w:shd w:val="clear" w:color="auto" w:fill="auto"/>
            <w:vAlign w:val="bottom"/>
            <w:hideMark/>
          </w:tcPr>
          <w:p w:rsidR="007D13F3" w:rsidRPr="0032413D" w:rsidRDefault="007D13F3" w:rsidP="00465CAC">
            <w:pPr>
              <w:jc w:val="right"/>
              <w:rPr>
                <w:rFonts w:ascii="Times New Roman" w:hAnsi="Times New Roman" w:cs="Times New Roman"/>
                <w:sz w:val="14"/>
                <w:szCs w:val="14"/>
              </w:rPr>
            </w:pPr>
            <w:r w:rsidRPr="0032413D">
              <w:rPr>
                <w:rFonts w:ascii="Times New Roman" w:hAnsi="Times New Roman" w:cs="Times New Roman"/>
                <w:sz w:val="14"/>
                <w:szCs w:val="14"/>
              </w:rPr>
              <w:t>39 444 056</w:t>
            </w:r>
          </w:p>
        </w:tc>
      </w:tr>
      <w:tr w:rsidR="007D13F3" w:rsidRPr="0049188B"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49188B" w:rsidRDefault="007D13F3" w:rsidP="00465CAC">
            <w:pPr>
              <w:rPr>
                <w:rFonts w:ascii="Times New Roman" w:hAnsi="Times New Roman" w:cs="Times New Roman"/>
                <w:sz w:val="14"/>
                <w:szCs w:val="14"/>
                <w:lang w:eastAsia="sk-SK"/>
              </w:rPr>
            </w:pPr>
            <w:r w:rsidRPr="0049188B">
              <w:rPr>
                <w:rFonts w:ascii="Times New Roman" w:hAnsi="Times New Roman" w:cs="Times New Roman"/>
                <w:sz w:val="14"/>
                <w:szCs w:val="14"/>
                <w:lang w:eastAsia="sk-SK"/>
              </w:rPr>
              <w:t>Rozvoj výzbroje, techniky a materiálu</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D13F3" w:rsidRPr="00CB3921" w:rsidRDefault="007D13F3" w:rsidP="00465CAC">
            <w:pPr>
              <w:jc w:val="right"/>
              <w:rPr>
                <w:rFonts w:ascii="Times New Roman" w:hAnsi="Times New Roman" w:cs="Times New Roman"/>
                <w:color w:val="000000"/>
                <w:sz w:val="14"/>
                <w:szCs w:val="14"/>
              </w:rPr>
            </w:pPr>
            <w:r w:rsidRPr="00CB3921">
              <w:rPr>
                <w:rFonts w:ascii="Times New Roman" w:hAnsi="Times New Roman" w:cs="Times New Roman"/>
                <w:color w:val="000000"/>
                <w:sz w:val="14"/>
                <w:szCs w:val="14"/>
              </w:rPr>
              <w:t>87 777 332</w:t>
            </w:r>
          </w:p>
        </w:tc>
        <w:tc>
          <w:tcPr>
            <w:tcW w:w="952" w:type="dxa"/>
            <w:tcBorders>
              <w:top w:val="nil"/>
              <w:left w:val="nil"/>
              <w:bottom w:val="single" w:sz="4" w:space="0" w:color="auto"/>
              <w:right w:val="single" w:sz="4" w:space="0" w:color="auto"/>
            </w:tcBorders>
            <w:shd w:val="clear" w:color="auto" w:fill="auto"/>
            <w:vAlign w:val="bottom"/>
            <w:hideMark/>
          </w:tcPr>
          <w:p w:rsidR="007D13F3" w:rsidRPr="00CB3921" w:rsidRDefault="007D13F3" w:rsidP="00465CAC">
            <w:pPr>
              <w:jc w:val="right"/>
              <w:rPr>
                <w:rFonts w:ascii="Times New Roman" w:hAnsi="Times New Roman" w:cs="Times New Roman"/>
                <w:color w:val="000000"/>
                <w:sz w:val="14"/>
                <w:szCs w:val="14"/>
              </w:rPr>
            </w:pPr>
            <w:r w:rsidRPr="00CB3921">
              <w:rPr>
                <w:rFonts w:ascii="Times New Roman" w:hAnsi="Times New Roman" w:cs="Times New Roman"/>
                <w:color w:val="000000"/>
                <w:sz w:val="14"/>
                <w:szCs w:val="14"/>
              </w:rPr>
              <w:t>111 610 367</w:t>
            </w:r>
          </w:p>
        </w:tc>
        <w:tc>
          <w:tcPr>
            <w:tcW w:w="952" w:type="dxa"/>
            <w:tcBorders>
              <w:top w:val="nil"/>
              <w:left w:val="nil"/>
              <w:bottom w:val="single" w:sz="4" w:space="0" w:color="auto"/>
              <w:right w:val="single" w:sz="4" w:space="0" w:color="auto"/>
            </w:tcBorders>
            <w:shd w:val="clear" w:color="auto" w:fill="auto"/>
            <w:vAlign w:val="bottom"/>
            <w:hideMark/>
          </w:tcPr>
          <w:p w:rsidR="007D13F3" w:rsidRPr="00CB3921" w:rsidRDefault="007D13F3" w:rsidP="00465CAC">
            <w:pPr>
              <w:jc w:val="right"/>
              <w:rPr>
                <w:rFonts w:ascii="Times New Roman" w:hAnsi="Times New Roman" w:cs="Times New Roman"/>
                <w:color w:val="000000"/>
                <w:sz w:val="14"/>
                <w:szCs w:val="14"/>
              </w:rPr>
            </w:pPr>
            <w:r w:rsidRPr="00CB3921">
              <w:rPr>
                <w:rFonts w:ascii="Times New Roman" w:hAnsi="Times New Roman" w:cs="Times New Roman"/>
                <w:color w:val="000000"/>
                <w:sz w:val="14"/>
                <w:szCs w:val="14"/>
              </w:rPr>
              <w:t>182 318 022</w:t>
            </w:r>
          </w:p>
        </w:tc>
        <w:tc>
          <w:tcPr>
            <w:tcW w:w="951" w:type="dxa"/>
            <w:tcBorders>
              <w:top w:val="nil"/>
              <w:left w:val="nil"/>
              <w:bottom w:val="single" w:sz="4" w:space="0" w:color="auto"/>
              <w:right w:val="single" w:sz="4" w:space="0" w:color="auto"/>
            </w:tcBorders>
            <w:shd w:val="clear" w:color="auto" w:fill="auto"/>
            <w:vAlign w:val="bottom"/>
            <w:hideMark/>
          </w:tcPr>
          <w:p w:rsidR="007D13F3" w:rsidRPr="0032413D" w:rsidRDefault="007D13F3" w:rsidP="00465CAC">
            <w:pPr>
              <w:jc w:val="right"/>
              <w:rPr>
                <w:rFonts w:ascii="Times New Roman" w:hAnsi="Times New Roman" w:cs="Times New Roman"/>
                <w:sz w:val="14"/>
                <w:szCs w:val="14"/>
              </w:rPr>
            </w:pPr>
            <w:r w:rsidRPr="0032413D">
              <w:rPr>
                <w:rFonts w:ascii="Times New Roman" w:hAnsi="Times New Roman" w:cs="Times New Roman"/>
                <w:sz w:val="14"/>
                <w:szCs w:val="14"/>
              </w:rPr>
              <w:t>150 491 990</w:t>
            </w:r>
          </w:p>
        </w:tc>
        <w:tc>
          <w:tcPr>
            <w:tcW w:w="952" w:type="dxa"/>
            <w:tcBorders>
              <w:top w:val="nil"/>
              <w:left w:val="nil"/>
              <w:bottom w:val="single" w:sz="4" w:space="0" w:color="auto"/>
              <w:right w:val="single" w:sz="4" w:space="0" w:color="auto"/>
            </w:tcBorders>
            <w:shd w:val="clear" w:color="auto" w:fill="auto"/>
            <w:vAlign w:val="bottom"/>
            <w:hideMark/>
          </w:tcPr>
          <w:p w:rsidR="007D13F3" w:rsidRPr="0032413D" w:rsidRDefault="007D13F3" w:rsidP="00465CAC">
            <w:pPr>
              <w:jc w:val="right"/>
              <w:rPr>
                <w:rFonts w:ascii="Times New Roman" w:hAnsi="Times New Roman" w:cs="Times New Roman"/>
                <w:sz w:val="14"/>
                <w:szCs w:val="14"/>
              </w:rPr>
            </w:pPr>
            <w:r w:rsidRPr="0032413D">
              <w:rPr>
                <w:rFonts w:ascii="Times New Roman" w:hAnsi="Times New Roman" w:cs="Times New Roman"/>
                <w:sz w:val="14"/>
                <w:szCs w:val="14"/>
              </w:rPr>
              <w:t>231 450 055</w:t>
            </w:r>
          </w:p>
        </w:tc>
        <w:tc>
          <w:tcPr>
            <w:tcW w:w="952" w:type="dxa"/>
            <w:tcBorders>
              <w:top w:val="nil"/>
              <w:left w:val="nil"/>
              <w:bottom w:val="single" w:sz="4" w:space="0" w:color="auto"/>
              <w:right w:val="single" w:sz="4" w:space="0" w:color="auto"/>
            </w:tcBorders>
            <w:shd w:val="clear" w:color="auto" w:fill="auto"/>
            <w:vAlign w:val="bottom"/>
            <w:hideMark/>
          </w:tcPr>
          <w:p w:rsidR="007D13F3" w:rsidRPr="0032413D" w:rsidRDefault="007D13F3" w:rsidP="00465CAC">
            <w:pPr>
              <w:jc w:val="right"/>
              <w:rPr>
                <w:rFonts w:ascii="Times New Roman" w:hAnsi="Times New Roman" w:cs="Times New Roman"/>
                <w:sz w:val="14"/>
                <w:szCs w:val="14"/>
              </w:rPr>
            </w:pPr>
            <w:r w:rsidRPr="0032413D">
              <w:rPr>
                <w:rFonts w:ascii="Times New Roman" w:hAnsi="Times New Roman" w:cs="Times New Roman"/>
                <w:sz w:val="14"/>
                <w:szCs w:val="14"/>
              </w:rPr>
              <w:t>263 676 140</w:t>
            </w:r>
          </w:p>
        </w:tc>
        <w:tc>
          <w:tcPr>
            <w:tcW w:w="952" w:type="dxa"/>
            <w:tcBorders>
              <w:top w:val="nil"/>
              <w:left w:val="nil"/>
              <w:bottom w:val="single" w:sz="4" w:space="0" w:color="auto"/>
              <w:right w:val="single" w:sz="4" w:space="0" w:color="auto"/>
            </w:tcBorders>
            <w:shd w:val="clear" w:color="auto" w:fill="auto"/>
            <w:vAlign w:val="bottom"/>
            <w:hideMark/>
          </w:tcPr>
          <w:p w:rsidR="007D13F3" w:rsidRPr="0032413D" w:rsidRDefault="007D13F3" w:rsidP="00465CAC">
            <w:pPr>
              <w:jc w:val="right"/>
              <w:rPr>
                <w:rFonts w:ascii="Times New Roman" w:hAnsi="Times New Roman" w:cs="Times New Roman"/>
                <w:sz w:val="14"/>
                <w:szCs w:val="14"/>
              </w:rPr>
            </w:pPr>
            <w:r w:rsidRPr="0032413D">
              <w:rPr>
                <w:rFonts w:ascii="Times New Roman" w:hAnsi="Times New Roman" w:cs="Times New Roman"/>
                <w:sz w:val="14"/>
                <w:szCs w:val="14"/>
              </w:rPr>
              <w:t>407 171 403</w:t>
            </w:r>
          </w:p>
        </w:tc>
      </w:tr>
      <w:tr w:rsidR="007D13F3" w:rsidRPr="0049188B"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49188B" w:rsidRDefault="007D13F3" w:rsidP="00465CAC">
            <w:pPr>
              <w:rPr>
                <w:rFonts w:ascii="Times New Roman" w:hAnsi="Times New Roman" w:cs="Times New Roman"/>
                <w:sz w:val="14"/>
                <w:szCs w:val="14"/>
                <w:lang w:eastAsia="sk-SK"/>
              </w:rPr>
            </w:pPr>
            <w:r w:rsidRPr="0049188B">
              <w:rPr>
                <w:rFonts w:ascii="Times New Roman" w:hAnsi="Times New Roman" w:cs="Times New Roman"/>
                <w:sz w:val="14"/>
                <w:szCs w:val="14"/>
                <w:lang w:eastAsia="sk-SK"/>
              </w:rPr>
              <w:t>Rozvoj kom. a informačných systémov</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D13F3" w:rsidRPr="00CB3921" w:rsidRDefault="007D13F3" w:rsidP="00465CAC">
            <w:pPr>
              <w:jc w:val="right"/>
              <w:rPr>
                <w:rFonts w:ascii="Times New Roman" w:hAnsi="Times New Roman" w:cs="Times New Roman"/>
                <w:color w:val="000000"/>
                <w:sz w:val="14"/>
                <w:szCs w:val="14"/>
              </w:rPr>
            </w:pPr>
            <w:r w:rsidRPr="00CB3921">
              <w:rPr>
                <w:rFonts w:ascii="Times New Roman" w:hAnsi="Times New Roman" w:cs="Times New Roman"/>
                <w:color w:val="000000"/>
                <w:sz w:val="14"/>
                <w:szCs w:val="14"/>
              </w:rPr>
              <w:t>89 765 943</w:t>
            </w:r>
          </w:p>
        </w:tc>
        <w:tc>
          <w:tcPr>
            <w:tcW w:w="952" w:type="dxa"/>
            <w:tcBorders>
              <w:top w:val="nil"/>
              <w:left w:val="nil"/>
              <w:bottom w:val="single" w:sz="4" w:space="0" w:color="auto"/>
              <w:right w:val="single" w:sz="4" w:space="0" w:color="auto"/>
            </w:tcBorders>
            <w:shd w:val="clear" w:color="auto" w:fill="auto"/>
            <w:vAlign w:val="bottom"/>
            <w:hideMark/>
          </w:tcPr>
          <w:p w:rsidR="007D13F3" w:rsidRPr="00CB3921" w:rsidRDefault="007D13F3" w:rsidP="00465CAC">
            <w:pPr>
              <w:jc w:val="right"/>
              <w:rPr>
                <w:rFonts w:ascii="Times New Roman" w:hAnsi="Times New Roman" w:cs="Times New Roman"/>
                <w:color w:val="000000"/>
                <w:sz w:val="14"/>
                <w:szCs w:val="14"/>
              </w:rPr>
            </w:pPr>
            <w:r w:rsidRPr="00CB3921">
              <w:rPr>
                <w:rFonts w:ascii="Times New Roman" w:hAnsi="Times New Roman" w:cs="Times New Roman"/>
                <w:color w:val="000000"/>
                <w:sz w:val="14"/>
                <w:szCs w:val="14"/>
              </w:rPr>
              <w:t>49 322 620</w:t>
            </w:r>
          </w:p>
        </w:tc>
        <w:tc>
          <w:tcPr>
            <w:tcW w:w="952" w:type="dxa"/>
            <w:tcBorders>
              <w:top w:val="nil"/>
              <w:left w:val="nil"/>
              <w:bottom w:val="single" w:sz="4" w:space="0" w:color="auto"/>
              <w:right w:val="single" w:sz="4" w:space="0" w:color="auto"/>
            </w:tcBorders>
            <w:shd w:val="clear" w:color="auto" w:fill="auto"/>
            <w:vAlign w:val="bottom"/>
            <w:hideMark/>
          </w:tcPr>
          <w:p w:rsidR="007D13F3" w:rsidRPr="00CB3921" w:rsidRDefault="007D13F3" w:rsidP="00465CAC">
            <w:pPr>
              <w:jc w:val="right"/>
              <w:rPr>
                <w:rFonts w:ascii="Times New Roman" w:hAnsi="Times New Roman" w:cs="Times New Roman"/>
                <w:color w:val="000000"/>
                <w:sz w:val="14"/>
                <w:szCs w:val="14"/>
              </w:rPr>
            </w:pPr>
            <w:r w:rsidRPr="00CB3921">
              <w:rPr>
                <w:rFonts w:ascii="Times New Roman" w:hAnsi="Times New Roman" w:cs="Times New Roman"/>
                <w:color w:val="000000"/>
                <w:sz w:val="14"/>
                <w:szCs w:val="14"/>
              </w:rPr>
              <w:t>26 150 111</w:t>
            </w:r>
          </w:p>
        </w:tc>
        <w:tc>
          <w:tcPr>
            <w:tcW w:w="951" w:type="dxa"/>
            <w:tcBorders>
              <w:top w:val="nil"/>
              <w:left w:val="nil"/>
              <w:bottom w:val="single" w:sz="4" w:space="0" w:color="auto"/>
              <w:right w:val="single" w:sz="4" w:space="0" w:color="auto"/>
            </w:tcBorders>
            <w:shd w:val="clear" w:color="auto" w:fill="auto"/>
            <w:vAlign w:val="bottom"/>
            <w:hideMark/>
          </w:tcPr>
          <w:p w:rsidR="007D13F3" w:rsidRPr="0032413D" w:rsidRDefault="007D13F3" w:rsidP="00465CAC">
            <w:pPr>
              <w:jc w:val="right"/>
              <w:rPr>
                <w:rFonts w:ascii="Times New Roman" w:hAnsi="Times New Roman" w:cs="Times New Roman"/>
                <w:sz w:val="14"/>
                <w:szCs w:val="14"/>
              </w:rPr>
            </w:pPr>
            <w:r w:rsidRPr="0032413D">
              <w:rPr>
                <w:rFonts w:ascii="Times New Roman" w:hAnsi="Times New Roman" w:cs="Times New Roman"/>
                <w:sz w:val="14"/>
                <w:szCs w:val="14"/>
              </w:rPr>
              <w:t>24 183 490</w:t>
            </w:r>
          </w:p>
        </w:tc>
        <w:tc>
          <w:tcPr>
            <w:tcW w:w="952" w:type="dxa"/>
            <w:tcBorders>
              <w:top w:val="nil"/>
              <w:left w:val="nil"/>
              <w:bottom w:val="single" w:sz="4" w:space="0" w:color="auto"/>
              <w:right w:val="single" w:sz="4" w:space="0" w:color="auto"/>
            </w:tcBorders>
            <w:shd w:val="clear" w:color="auto" w:fill="auto"/>
            <w:vAlign w:val="bottom"/>
            <w:hideMark/>
          </w:tcPr>
          <w:p w:rsidR="007D13F3" w:rsidRPr="0032413D" w:rsidRDefault="007D13F3" w:rsidP="00465CAC">
            <w:pPr>
              <w:jc w:val="right"/>
              <w:rPr>
                <w:rFonts w:ascii="Times New Roman" w:hAnsi="Times New Roman" w:cs="Times New Roman"/>
                <w:sz w:val="14"/>
                <w:szCs w:val="14"/>
              </w:rPr>
            </w:pPr>
            <w:r w:rsidRPr="0032413D">
              <w:rPr>
                <w:rFonts w:ascii="Times New Roman" w:hAnsi="Times New Roman" w:cs="Times New Roman"/>
                <w:sz w:val="14"/>
                <w:szCs w:val="14"/>
              </w:rPr>
              <w:t>31 282 338</w:t>
            </w:r>
          </w:p>
        </w:tc>
        <w:tc>
          <w:tcPr>
            <w:tcW w:w="952" w:type="dxa"/>
            <w:tcBorders>
              <w:top w:val="nil"/>
              <w:left w:val="nil"/>
              <w:bottom w:val="single" w:sz="4" w:space="0" w:color="auto"/>
              <w:right w:val="single" w:sz="4" w:space="0" w:color="auto"/>
            </w:tcBorders>
            <w:shd w:val="clear" w:color="auto" w:fill="auto"/>
            <w:vAlign w:val="bottom"/>
            <w:hideMark/>
          </w:tcPr>
          <w:p w:rsidR="007D13F3" w:rsidRPr="0032413D" w:rsidRDefault="007D13F3" w:rsidP="00465CAC">
            <w:pPr>
              <w:jc w:val="right"/>
              <w:rPr>
                <w:rFonts w:ascii="Times New Roman" w:hAnsi="Times New Roman" w:cs="Times New Roman"/>
                <w:sz w:val="14"/>
                <w:szCs w:val="14"/>
              </w:rPr>
            </w:pPr>
            <w:r w:rsidRPr="0032413D">
              <w:rPr>
                <w:rFonts w:ascii="Times New Roman" w:hAnsi="Times New Roman" w:cs="Times New Roman"/>
                <w:sz w:val="14"/>
                <w:szCs w:val="14"/>
              </w:rPr>
              <w:t>32 066 718</w:t>
            </w:r>
          </w:p>
        </w:tc>
        <w:tc>
          <w:tcPr>
            <w:tcW w:w="952" w:type="dxa"/>
            <w:tcBorders>
              <w:top w:val="nil"/>
              <w:left w:val="nil"/>
              <w:bottom w:val="single" w:sz="4" w:space="0" w:color="auto"/>
              <w:right w:val="single" w:sz="4" w:space="0" w:color="auto"/>
            </w:tcBorders>
            <w:shd w:val="clear" w:color="auto" w:fill="auto"/>
            <w:vAlign w:val="bottom"/>
            <w:hideMark/>
          </w:tcPr>
          <w:p w:rsidR="007D13F3" w:rsidRPr="0032413D" w:rsidRDefault="007D13F3" w:rsidP="00465CAC">
            <w:pPr>
              <w:jc w:val="right"/>
              <w:rPr>
                <w:rFonts w:ascii="Times New Roman" w:hAnsi="Times New Roman" w:cs="Times New Roman"/>
                <w:sz w:val="14"/>
                <w:szCs w:val="14"/>
              </w:rPr>
            </w:pPr>
            <w:r w:rsidRPr="0032413D">
              <w:rPr>
                <w:rFonts w:ascii="Times New Roman" w:hAnsi="Times New Roman" w:cs="Times New Roman"/>
                <w:sz w:val="14"/>
                <w:szCs w:val="14"/>
              </w:rPr>
              <w:t>70 191 500</w:t>
            </w:r>
          </w:p>
        </w:tc>
      </w:tr>
      <w:tr w:rsidR="007D13F3" w:rsidRPr="0049188B"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49188B" w:rsidRDefault="007D13F3" w:rsidP="00465CAC">
            <w:pPr>
              <w:rPr>
                <w:rFonts w:ascii="Times New Roman" w:hAnsi="Times New Roman" w:cs="Times New Roman"/>
                <w:sz w:val="14"/>
                <w:szCs w:val="14"/>
                <w:lang w:eastAsia="sk-SK"/>
              </w:rPr>
            </w:pPr>
            <w:r w:rsidRPr="0049188B">
              <w:rPr>
                <w:rFonts w:ascii="Times New Roman" w:hAnsi="Times New Roman" w:cs="Times New Roman"/>
                <w:sz w:val="14"/>
                <w:szCs w:val="14"/>
                <w:lang w:eastAsia="sk-SK"/>
              </w:rPr>
              <w:t>Rozvoj centrálnej logistiky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D13F3" w:rsidRPr="00CB3921" w:rsidRDefault="007D13F3" w:rsidP="00465CAC">
            <w:pPr>
              <w:jc w:val="right"/>
              <w:rPr>
                <w:rFonts w:ascii="Times New Roman" w:hAnsi="Times New Roman" w:cs="Times New Roman"/>
                <w:color w:val="000000"/>
                <w:sz w:val="14"/>
                <w:szCs w:val="14"/>
              </w:rPr>
            </w:pPr>
            <w:r w:rsidRPr="00CB3921">
              <w:rPr>
                <w:rFonts w:ascii="Times New Roman" w:hAnsi="Times New Roman" w:cs="Times New Roman"/>
                <w:color w:val="000000"/>
                <w:sz w:val="14"/>
                <w:szCs w:val="14"/>
              </w:rPr>
              <w:t>28 681 618</w:t>
            </w:r>
          </w:p>
        </w:tc>
        <w:tc>
          <w:tcPr>
            <w:tcW w:w="952" w:type="dxa"/>
            <w:tcBorders>
              <w:top w:val="nil"/>
              <w:left w:val="nil"/>
              <w:bottom w:val="single" w:sz="4" w:space="0" w:color="auto"/>
              <w:right w:val="single" w:sz="4" w:space="0" w:color="auto"/>
            </w:tcBorders>
            <w:shd w:val="clear" w:color="auto" w:fill="auto"/>
            <w:vAlign w:val="bottom"/>
            <w:hideMark/>
          </w:tcPr>
          <w:p w:rsidR="007D13F3" w:rsidRPr="00CB3921" w:rsidRDefault="007D13F3" w:rsidP="00465CAC">
            <w:pPr>
              <w:jc w:val="right"/>
              <w:rPr>
                <w:rFonts w:ascii="Times New Roman" w:hAnsi="Times New Roman" w:cs="Times New Roman"/>
                <w:color w:val="000000"/>
                <w:sz w:val="14"/>
                <w:szCs w:val="14"/>
              </w:rPr>
            </w:pPr>
            <w:r w:rsidRPr="00CB3921">
              <w:rPr>
                <w:rFonts w:ascii="Times New Roman" w:hAnsi="Times New Roman" w:cs="Times New Roman"/>
                <w:color w:val="000000"/>
                <w:sz w:val="14"/>
                <w:szCs w:val="14"/>
              </w:rPr>
              <w:t>31 635 443</w:t>
            </w:r>
          </w:p>
        </w:tc>
        <w:tc>
          <w:tcPr>
            <w:tcW w:w="952" w:type="dxa"/>
            <w:tcBorders>
              <w:top w:val="nil"/>
              <w:left w:val="nil"/>
              <w:bottom w:val="single" w:sz="4" w:space="0" w:color="auto"/>
              <w:right w:val="single" w:sz="4" w:space="0" w:color="auto"/>
            </w:tcBorders>
            <w:shd w:val="clear" w:color="auto" w:fill="auto"/>
            <w:vAlign w:val="bottom"/>
            <w:hideMark/>
          </w:tcPr>
          <w:p w:rsidR="007D13F3" w:rsidRPr="00CB3921" w:rsidRDefault="007D13F3" w:rsidP="00465CAC">
            <w:pPr>
              <w:jc w:val="right"/>
              <w:rPr>
                <w:rFonts w:ascii="Times New Roman" w:hAnsi="Times New Roman" w:cs="Times New Roman"/>
                <w:color w:val="000000"/>
                <w:sz w:val="14"/>
                <w:szCs w:val="14"/>
              </w:rPr>
            </w:pPr>
            <w:r w:rsidRPr="00CB3921">
              <w:rPr>
                <w:rFonts w:ascii="Times New Roman" w:hAnsi="Times New Roman" w:cs="Times New Roman"/>
                <w:color w:val="000000"/>
                <w:sz w:val="14"/>
                <w:szCs w:val="14"/>
              </w:rPr>
              <w:t>37 070 414</w:t>
            </w:r>
          </w:p>
        </w:tc>
        <w:tc>
          <w:tcPr>
            <w:tcW w:w="951" w:type="dxa"/>
            <w:tcBorders>
              <w:top w:val="nil"/>
              <w:left w:val="nil"/>
              <w:bottom w:val="single" w:sz="4" w:space="0" w:color="auto"/>
              <w:right w:val="single" w:sz="4" w:space="0" w:color="auto"/>
            </w:tcBorders>
            <w:shd w:val="clear" w:color="auto" w:fill="auto"/>
            <w:vAlign w:val="bottom"/>
            <w:hideMark/>
          </w:tcPr>
          <w:p w:rsidR="007D13F3" w:rsidRPr="0032413D" w:rsidRDefault="007D13F3" w:rsidP="00465CAC">
            <w:pPr>
              <w:jc w:val="right"/>
              <w:rPr>
                <w:rFonts w:ascii="Times New Roman" w:hAnsi="Times New Roman" w:cs="Times New Roman"/>
                <w:sz w:val="14"/>
                <w:szCs w:val="14"/>
              </w:rPr>
            </w:pPr>
            <w:r w:rsidRPr="0032413D">
              <w:rPr>
                <w:rFonts w:ascii="Times New Roman" w:hAnsi="Times New Roman" w:cs="Times New Roman"/>
                <w:sz w:val="14"/>
                <w:szCs w:val="14"/>
              </w:rPr>
              <w:t>25 721 629</w:t>
            </w:r>
          </w:p>
        </w:tc>
        <w:tc>
          <w:tcPr>
            <w:tcW w:w="952" w:type="dxa"/>
            <w:tcBorders>
              <w:top w:val="nil"/>
              <w:left w:val="nil"/>
              <w:bottom w:val="single" w:sz="4" w:space="0" w:color="auto"/>
              <w:right w:val="single" w:sz="4" w:space="0" w:color="auto"/>
            </w:tcBorders>
            <w:shd w:val="clear" w:color="auto" w:fill="auto"/>
            <w:vAlign w:val="bottom"/>
            <w:hideMark/>
          </w:tcPr>
          <w:p w:rsidR="007D13F3" w:rsidRPr="0032413D" w:rsidRDefault="007D13F3" w:rsidP="00465CAC">
            <w:pPr>
              <w:jc w:val="right"/>
              <w:rPr>
                <w:rFonts w:ascii="Times New Roman" w:hAnsi="Times New Roman" w:cs="Times New Roman"/>
                <w:sz w:val="14"/>
                <w:szCs w:val="14"/>
              </w:rPr>
            </w:pPr>
            <w:r w:rsidRPr="0032413D">
              <w:rPr>
                <w:rFonts w:ascii="Times New Roman" w:hAnsi="Times New Roman" w:cs="Times New Roman"/>
                <w:sz w:val="14"/>
                <w:szCs w:val="14"/>
              </w:rPr>
              <w:t>29 720 000</w:t>
            </w:r>
          </w:p>
        </w:tc>
        <w:tc>
          <w:tcPr>
            <w:tcW w:w="952" w:type="dxa"/>
            <w:tcBorders>
              <w:top w:val="nil"/>
              <w:left w:val="nil"/>
              <w:bottom w:val="single" w:sz="4" w:space="0" w:color="auto"/>
              <w:right w:val="single" w:sz="4" w:space="0" w:color="auto"/>
            </w:tcBorders>
            <w:shd w:val="clear" w:color="auto" w:fill="auto"/>
            <w:vAlign w:val="bottom"/>
            <w:hideMark/>
          </w:tcPr>
          <w:p w:rsidR="007D13F3" w:rsidRPr="0032413D" w:rsidRDefault="007D13F3" w:rsidP="00465CAC">
            <w:pPr>
              <w:jc w:val="right"/>
              <w:rPr>
                <w:rFonts w:ascii="Times New Roman" w:hAnsi="Times New Roman" w:cs="Times New Roman"/>
                <w:sz w:val="14"/>
                <w:szCs w:val="14"/>
              </w:rPr>
            </w:pPr>
            <w:r w:rsidRPr="0032413D">
              <w:rPr>
                <w:rFonts w:ascii="Times New Roman" w:hAnsi="Times New Roman" w:cs="Times New Roman"/>
                <w:sz w:val="14"/>
                <w:szCs w:val="14"/>
              </w:rPr>
              <w:t>29 705 000</w:t>
            </w:r>
          </w:p>
        </w:tc>
        <w:tc>
          <w:tcPr>
            <w:tcW w:w="952" w:type="dxa"/>
            <w:tcBorders>
              <w:top w:val="nil"/>
              <w:left w:val="nil"/>
              <w:bottom w:val="single" w:sz="4" w:space="0" w:color="auto"/>
              <w:right w:val="single" w:sz="4" w:space="0" w:color="auto"/>
            </w:tcBorders>
            <w:shd w:val="clear" w:color="auto" w:fill="auto"/>
            <w:vAlign w:val="bottom"/>
            <w:hideMark/>
          </w:tcPr>
          <w:p w:rsidR="007D13F3" w:rsidRPr="0032413D" w:rsidRDefault="007D13F3" w:rsidP="00465CAC">
            <w:pPr>
              <w:jc w:val="right"/>
              <w:rPr>
                <w:rFonts w:ascii="Times New Roman" w:hAnsi="Times New Roman" w:cs="Times New Roman"/>
                <w:sz w:val="14"/>
                <w:szCs w:val="14"/>
              </w:rPr>
            </w:pPr>
            <w:r w:rsidRPr="0032413D">
              <w:rPr>
                <w:rFonts w:ascii="Times New Roman" w:hAnsi="Times New Roman" w:cs="Times New Roman"/>
                <w:sz w:val="14"/>
                <w:szCs w:val="14"/>
              </w:rPr>
              <w:t>29 800 000</w:t>
            </w:r>
          </w:p>
        </w:tc>
      </w:tr>
    </w:tbl>
    <w:p w:rsidR="007D13F3" w:rsidRPr="000D79F8" w:rsidRDefault="007D13F3" w:rsidP="007D13F3">
      <w:pPr>
        <w:jc w:val="both"/>
        <w:rPr>
          <w:rFonts w:ascii="Times New Roman" w:hAnsi="Times New Roman" w:cs="Times New Roman"/>
          <w:highlight w:val="yellow"/>
          <w:lang w:eastAsia="sk-SK"/>
        </w:rPr>
      </w:pPr>
    </w:p>
    <w:p w:rsidR="007D13F3" w:rsidRPr="000D79F8" w:rsidRDefault="007D13F3" w:rsidP="007D13F3">
      <w:pPr>
        <w:ind w:firstLine="708"/>
        <w:jc w:val="both"/>
        <w:rPr>
          <w:rFonts w:ascii="Times New Roman" w:hAnsi="Times New Roman" w:cs="Times New Roman"/>
        </w:rPr>
      </w:pPr>
      <w:r w:rsidRPr="000D79F8">
        <w:rPr>
          <w:rFonts w:ascii="Times New Roman" w:hAnsi="Times New Roman" w:cs="Times New Roman"/>
        </w:rPr>
        <w:t>V rám</w:t>
      </w:r>
      <w:r>
        <w:rPr>
          <w:rFonts w:ascii="Times New Roman" w:hAnsi="Times New Roman" w:cs="Times New Roman"/>
        </w:rPr>
        <w:t>ci rozvoja obrany sú na rok 2018</w:t>
      </w:r>
      <w:r w:rsidRPr="000D79F8">
        <w:rPr>
          <w:rFonts w:ascii="Times New Roman" w:hAnsi="Times New Roman" w:cs="Times New Roman"/>
        </w:rPr>
        <w:t xml:space="preserve"> vyčlenené prostriedky na rozvojové aktivity rezortu, a to naj</w:t>
      </w:r>
      <w:r>
        <w:rPr>
          <w:rFonts w:ascii="Times New Roman" w:hAnsi="Times New Roman" w:cs="Times New Roman"/>
        </w:rPr>
        <w:t xml:space="preserve">mä na rozvoj výzbroje, techniky </w:t>
      </w:r>
      <w:r w:rsidRPr="000D79F8">
        <w:rPr>
          <w:rFonts w:ascii="Times New Roman" w:hAnsi="Times New Roman" w:cs="Times New Roman"/>
        </w:rPr>
        <w:t xml:space="preserve">a špeciálneho materiálu, na </w:t>
      </w:r>
      <w:r>
        <w:rPr>
          <w:rFonts w:ascii="Times New Roman" w:hAnsi="Times New Roman" w:cs="Times New Roman"/>
        </w:rPr>
        <w:t xml:space="preserve">rozvoj infraštruktúry, rozvoj komunikačných a informačných systémov, nákup dopravných prostriedkov </w:t>
      </w:r>
      <w:r w:rsidRPr="00FC186F">
        <w:rPr>
          <w:rFonts w:ascii="Times New Roman" w:hAnsi="Times New Roman" w:cs="Times New Roman"/>
        </w:rPr>
        <w:t>a modernizáciu leteckej techniky</w:t>
      </w:r>
      <w:r>
        <w:rPr>
          <w:rFonts w:ascii="Times New Roman" w:hAnsi="Times New Roman" w:cs="Times New Roman"/>
        </w:rPr>
        <w:t>,</w:t>
      </w:r>
      <w:r w:rsidRPr="00FC186F">
        <w:rPr>
          <w:rFonts w:ascii="Times New Roman" w:hAnsi="Times New Roman" w:cs="Times New Roman"/>
        </w:rPr>
        <w:t xml:space="preserve"> vrátane nákupu vrtuľníkov.</w:t>
      </w:r>
      <w:r w:rsidRPr="000D79F8">
        <w:rPr>
          <w:rFonts w:ascii="Times New Roman" w:hAnsi="Times New Roman" w:cs="Times New Roman"/>
        </w:rPr>
        <w:t xml:space="preserve">   </w:t>
      </w:r>
    </w:p>
    <w:p w:rsidR="007D13F3" w:rsidRPr="000D79F8" w:rsidRDefault="007D13F3" w:rsidP="007D13F3">
      <w:pPr>
        <w:jc w:val="both"/>
        <w:rPr>
          <w:rFonts w:ascii="Times New Roman" w:hAnsi="Times New Roman" w:cs="Times New Roman"/>
        </w:rPr>
      </w:pPr>
    </w:p>
    <w:p w:rsidR="007D13F3" w:rsidRPr="000D79F8" w:rsidRDefault="007D13F3" w:rsidP="007D13F3">
      <w:pPr>
        <w:ind w:firstLine="708"/>
        <w:jc w:val="both"/>
        <w:rPr>
          <w:rFonts w:ascii="Times New Roman" w:hAnsi="Times New Roman" w:cs="Times New Roman"/>
        </w:rPr>
      </w:pPr>
      <w:r w:rsidRPr="000D79F8">
        <w:rPr>
          <w:rFonts w:ascii="Times New Roman" w:hAnsi="Times New Roman" w:cs="Times New Roman"/>
        </w:rPr>
        <w:t>Nárast výdavkov v </w:t>
      </w:r>
      <w:r>
        <w:rPr>
          <w:rFonts w:ascii="Times New Roman" w:hAnsi="Times New Roman" w:cs="Times New Roman"/>
        </w:rPr>
        <w:t>rámci rozvoja obrany v roku 2018</w:t>
      </w:r>
      <w:r w:rsidRPr="000D79F8">
        <w:rPr>
          <w:rFonts w:ascii="Times New Roman" w:hAnsi="Times New Roman" w:cs="Times New Roman"/>
        </w:rPr>
        <w:t xml:space="preserve"> oprot</w:t>
      </w:r>
      <w:r>
        <w:rPr>
          <w:rFonts w:ascii="Times New Roman" w:hAnsi="Times New Roman" w:cs="Times New Roman"/>
        </w:rPr>
        <w:t>i schválenému rozpočtu roku 2017</w:t>
      </w:r>
      <w:r w:rsidRPr="000D79F8">
        <w:rPr>
          <w:rFonts w:ascii="Times New Roman" w:hAnsi="Times New Roman" w:cs="Times New Roman"/>
        </w:rPr>
        <w:t xml:space="preserve"> predstavuje sumu </w:t>
      </w:r>
      <w:r>
        <w:rPr>
          <w:rFonts w:ascii="Times New Roman" w:hAnsi="Times New Roman" w:cs="Times New Roman"/>
        </w:rPr>
        <w:t>43,2</w:t>
      </w:r>
      <w:r w:rsidRPr="000D79F8">
        <w:rPr>
          <w:rFonts w:ascii="Times New Roman" w:hAnsi="Times New Roman" w:cs="Times New Roman"/>
        </w:rPr>
        <w:t xml:space="preserve"> mil. eur, čo je zvýšenie o</w:t>
      </w:r>
      <w:r>
        <w:rPr>
          <w:rFonts w:ascii="Times New Roman" w:hAnsi="Times New Roman" w:cs="Times New Roman"/>
        </w:rPr>
        <w:t> 15,3</w:t>
      </w:r>
      <w:r w:rsidRPr="000D79F8">
        <w:rPr>
          <w:rFonts w:ascii="Times New Roman" w:hAnsi="Times New Roman" w:cs="Times New Roman"/>
        </w:rPr>
        <w:t xml:space="preserve"> %. Najväčší nárast zaznamenáva oblasť rozvoja výzbroje, techniky a materiálu. </w:t>
      </w:r>
    </w:p>
    <w:p w:rsidR="007D13F3" w:rsidRPr="000D79F8" w:rsidRDefault="007D13F3" w:rsidP="007D13F3">
      <w:pPr>
        <w:jc w:val="both"/>
        <w:rPr>
          <w:rFonts w:ascii="Times New Roman" w:hAnsi="Times New Roman" w:cs="Times New Roman"/>
          <w:lang w:eastAsia="sk-SK"/>
        </w:rPr>
      </w:pPr>
      <w:r w:rsidRPr="000D79F8">
        <w:rPr>
          <w:rFonts w:ascii="Times New Roman" w:hAnsi="Times New Roman" w:cs="Times New Roman"/>
          <w:i/>
          <w:iCs/>
          <w:lang w:eastAsia="sk-SK"/>
        </w:rPr>
        <w:t> </w:t>
      </w:r>
    </w:p>
    <w:p w:rsidR="007D13F3" w:rsidRPr="000D79F8" w:rsidRDefault="007D13F3" w:rsidP="007D13F3">
      <w:pPr>
        <w:jc w:val="both"/>
        <w:rPr>
          <w:rFonts w:ascii="Times New Roman" w:hAnsi="Times New Roman" w:cs="Times New Roman"/>
          <w:lang w:eastAsia="sk-SK"/>
        </w:rPr>
      </w:pPr>
      <w:r w:rsidRPr="000D79F8">
        <w:rPr>
          <w:rFonts w:ascii="Times New Roman" w:hAnsi="Times New Roman" w:cs="Times New Roman"/>
          <w:i/>
          <w:iCs/>
          <w:u w:val="single"/>
          <w:lang w:eastAsia="sk-SK"/>
        </w:rPr>
        <w:t>Obrana</w:t>
      </w:r>
    </w:p>
    <w:p w:rsidR="007D13F3" w:rsidRDefault="007D13F3" w:rsidP="007D13F3">
      <w:pPr>
        <w:jc w:val="both"/>
        <w:rPr>
          <w:rFonts w:ascii="Times New Roman" w:hAnsi="Times New Roman" w:cs="Times New Roman"/>
          <w:lang w:eastAsia="sk-SK"/>
        </w:rPr>
      </w:pPr>
      <w:r w:rsidRPr="000D79F8">
        <w:rPr>
          <w:rFonts w:ascii="Times New Roman" w:hAnsi="Times New Roman" w:cs="Times New Roman"/>
          <w:lang w:eastAsia="sk-SK"/>
        </w:rPr>
        <w:t> </w:t>
      </w:r>
    </w:p>
    <w:tbl>
      <w:tblPr>
        <w:tblW w:w="9067" w:type="dxa"/>
        <w:tblLayout w:type="fixed"/>
        <w:tblCellMar>
          <w:left w:w="70" w:type="dxa"/>
          <w:right w:w="70" w:type="dxa"/>
        </w:tblCellMar>
        <w:tblLook w:val="04A0" w:firstRow="1" w:lastRow="0" w:firstColumn="1" w:lastColumn="0" w:noHBand="0" w:noVBand="1"/>
      </w:tblPr>
      <w:tblGrid>
        <w:gridCol w:w="2405"/>
        <w:gridCol w:w="951"/>
        <w:gridCol w:w="952"/>
        <w:gridCol w:w="952"/>
        <w:gridCol w:w="951"/>
        <w:gridCol w:w="952"/>
        <w:gridCol w:w="952"/>
        <w:gridCol w:w="952"/>
      </w:tblGrid>
      <w:tr w:rsidR="007D13F3" w:rsidRPr="007475EB" w:rsidTr="00465CAC">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7475EB" w:rsidRDefault="007D13F3" w:rsidP="00465CAC">
            <w:pPr>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v eurách</w:t>
            </w:r>
          </w:p>
        </w:tc>
        <w:tc>
          <w:tcPr>
            <w:tcW w:w="95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6E4D43" w:rsidRDefault="007D13F3" w:rsidP="00465CAC">
            <w:pPr>
              <w:jc w:val="center"/>
              <w:rPr>
                <w:rFonts w:ascii="Times New Roman" w:hAnsi="Times New Roman" w:cs="Times New Roman"/>
                <w:b/>
                <w:bCs/>
                <w:sz w:val="14"/>
                <w:szCs w:val="14"/>
                <w:lang w:eastAsia="sk-SK"/>
              </w:rPr>
            </w:pPr>
            <w:r w:rsidRPr="006E4D43">
              <w:rPr>
                <w:rFonts w:ascii="Times New Roman" w:hAnsi="Times New Roman" w:cs="Times New Roman"/>
                <w:b/>
                <w:bCs/>
                <w:sz w:val="14"/>
                <w:szCs w:val="14"/>
              </w:rPr>
              <w:t>2015 S</w:t>
            </w:r>
          </w:p>
        </w:tc>
        <w:tc>
          <w:tcPr>
            <w:tcW w:w="952"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6E4D43" w:rsidRDefault="007D13F3" w:rsidP="00465CAC">
            <w:pPr>
              <w:jc w:val="center"/>
              <w:rPr>
                <w:rFonts w:ascii="Times New Roman" w:hAnsi="Times New Roman" w:cs="Times New Roman"/>
                <w:b/>
                <w:bCs/>
                <w:sz w:val="14"/>
                <w:szCs w:val="14"/>
              </w:rPr>
            </w:pPr>
            <w:r w:rsidRPr="006E4D43">
              <w:rPr>
                <w:rFonts w:ascii="Times New Roman" w:hAnsi="Times New Roman" w:cs="Times New Roman"/>
                <w:b/>
                <w:bCs/>
                <w:sz w:val="14"/>
                <w:szCs w:val="14"/>
              </w:rPr>
              <w:t>2016 S</w:t>
            </w:r>
          </w:p>
        </w:tc>
        <w:tc>
          <w:tcPr>
            <w:tcW w:w="952"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6E4D43" w:rsidRDefault="007D13F3" w:rsidP="00465CAC">
            <w:pPr>
              <w:jc w:val="center"/>
              <w:rPr>
                <w:rFonts w:ascii="Times New Roman" w:hAnsi="Times New Roman" w:cs="Times New Roman"/>
                <w:b/>
                <w:bCs/>
                <w:sz w:val="14"/>
                <w:szCs w:val="14"/>
              </w:rPr>
            </w:pPr>
            <w:r w:rsidRPr="006E4D43">
              <w:rPr>
                <w:rFonts w:ascii="Times New Roman" w:hAnsi="Times New Roman" w:cs="Times New Roman"/>
                <w:b/>
                <w:bCs/>
                <w:sz w:val="14"/>
                <w:szCs w:val="14"/>
              </w:rPr>
              <w:t>2017 R</w:t>
            </w:r>
          </w:p>
        </w:tc>
        <w:tc>
          <w:tcPr>
            <w:tcW w:w="951"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6E4D43" w:rsidRDefault="007D13F3" w:rsidP="00465CAC">
            <w:pPr>
              <w:jc w:val="center"/>
              <w:rPr>
                <w:rFonts w:ascii="Times New Roman" w:hAnsi="Times New Roman" w:cs="Times New Roman"/>
                <w:b/>
                <w:bCs/>
                <w:sz w:val="14"/>
                <w:szCs w:val="14"/>
              </w:rPr>
            </w:pPr>
            <w:r w:rsidRPr="006E4D43">
              <w:rPr>
                <w:rFonts w:ascii="Times New Roman" w:hAnsi="Times New Roman" w:cs="Times New Roman"/>
                <w:b/>
                <w:bCs/>
                <w:sz w:val="14"/>
                <w:szCs w:val="14"/>
              </w:rPr>
              <w:t>2017 OS</w:t>
            </w:r>
          </w:p>
        </w:tc>
        <w:tc>
          <w:tcPr>
            <w:tcW w:w="952"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6E4D43" w:rsidRDefault="007D13F3" w:rsidP="00465CAC">
            <w:pPr>
              <w:jc w:val="center"/>
              <w:rPr>
                <w:rFonts w:ascii="Times New Roman" w:hAnsi="Times New Roman" w:cs="Times New Roman"/>
                <w:b/>
                <w:bCs/>
                <w:sz w:val="14"/>
                <w:szCs w:val="14"/>
              </w:rPr>
            </w:pPr>
            <w:r w:rsidRPr="006E4D43">
              <w:rPr>
                <w:rFonts w:ascii="Times New Roman" w:hAnsi="Times New Roman" w:cs="Times New Roman"/>
                <w:b/>
                <w:bCs/>
                <w:sz w:val="14"/>
                <w:szCs w:val="14"/>
              </w:rPr>
              <w:t>2018 N</w:t>
            </w:r>
          </w:p>
        </w:tc>
        <w:tc>
          <w:tcPr>
            <w:tcW w:w="952"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6E4D43" w:rsidRDefault="007D13F3" w:rsidP="00465CAC">
            <w:pPr>
              <w:jc w:val="center"/>
              <w:rPr>
                <w:rFonts w:ascii="Times New Roman" w:hAnsi="Times New Roman" w:cs="Times New Roman"/>
                <w:b/>
                <w:bCs/>
                <w:sz w:val="14"/>
                <w:szCs w:val="14"/>
              </w:rPr>
            </w:pPr>
            <w:r w:rsidRPr="006E4D43">
              <w:rPr>
                <w:rFonts w:ascii="Times New Roman" w:hAnsi="Times New Roman" w:cs="Times New Roman"/>
                <w:b/>
                <w:bCs/>
                <w:sz w:val="14"/>
                <w:szCs w:val="14"/>
              </w:rPr>
              <w:t>2019 N</w:t>
            </w:r>
          </w:p>
        </w:tc>
        <w:tc>
          <w:tcPr>
            <w:tcW w:w="952"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6E4D43" w:rsidRDefault="007D13F3" w:rsidP="00465CAC">
            <w:pPr>
              <w:jc w:val="center"/>
              <w:rPr>
                <w:rFonts w:ascii="Times New Roman" w:hAnsi="Times New Roman" w:cs="Times New Roman"/>
                <w:b/>
                <w:bCs/>
                <w:sz w:val="14"/>
                <w:szCs w:val="14"/>
              </w:rPr>
            </w:pPr>
            <w:r w:rsidRPr="006E4D43">
              <w:rPr>
                <w:rFonts w:ascii="Times New Roman" w:hAnsi="Times New Roman" w:cs="Times New Roman"/>
                <w:b/>
                <w:bCs/>
                <w:sz w:val="14"/>
                <w:szCs w:val="14"/>
              </w:rPr>
              <w:t>2020 N</w:t>
            </w:r>
          </w:p>
        </w:tc>
      </w:tr>
      <w:tr w:rsidR="007D13F3" w:rsidRPr="007475EB" w:rsidTr="00465CAC">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7475EB" w:rsidRDefault="007D13F3" w:rsidP="00465CAC">
            <w:pPr>
              <w:rPr>
                <w:rFonts w:ascii="Times New Roman" w:hAnsi="Times New Roman" w:cs="Times New Roman"/>
                <w:b/>
                <w:bCs/>
                <w:color w:val="000000"/>
                <w:sz w:val="14"/>
                <w:szCs w:val="14"/>
                <w:lang w:eastAsia="sk-SK"/>
              </w:rPr>
            </w:pPr>
            <w:r w:rsidRPr="007475EB">
              <w:rPr>
                <w:rFonts w:ascii="Times New Roman" w:hAnsi="Times New Roman" w:cs="Times New Roman"/>
                <w:b/>
                <w:bCs/>
                <w:color w:val="000000"/>
                <w:sz w:val="14"/>
                <w:szCs w:val="14"/>
                <w:lang w:eastAsia="sk-SK"/>
              </w:rPr>
              <w:t>Obrana</w:t>
            </w:r>
          </w:p>
        </w:tc>
        <w:tc>
          <w:tcPr>
            <w:tcW w:w="951"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7D13F3" w:rsidRPr="006E4D43" w:rsidRDefault="007D13F3" w:rsidP="00465CAC">
            <w:pPr>
              <w:jc w:val="right"/>
              <w:rPr>
                <w:rFonts w:ascii="Times New Roman" w:hAnsi="Times New Roman" w:cs="Times New Roman"/>
                <w:b/>
                <w:bCs/>
                <w:color w:val="000000"/>
                <w:sz w:val="14"/>
                <w:szCs w:val="14"/>
              </w:rPr>
            </w:pPr>
            <w:r w:rsidRPr="006E4D43">
              <w:rPr>
                <w:rFonts w:ascii="Times New Roman" w:hAnsi="Times New Roman" w:cs="Times New Roman"/>
                <w:b/>
                <w:bCs/>
                <w:color w:val="000000"/>
                <w:sz w:val="14"/>
                <w:szCs w:val="14"/>
              </w:rPr>
              <w:t>652 656 546</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6E4D43" w:rsidRDefault="007D13F3" w:rsidP="00465CAC">
            <w:pPr>
              <w:jc w:val="right"/>
              <w:rPr>
                <w:rFonts w:ascii="Times New Roman" w:hAnsi="Times New Roman" w:cs="Times New Roman"/>
                <w:b/>
                <w:bCs/>
                <w:color w:val="000000"/>
                <w:sz w:val="14"/>
                <w:szCs w:val="14"/>
              </w:rPr>
            </w:pPr>
            <w:r w:rsidRPr="006E4D43">
              <w:rPr>
                <w:rFonts w:ascii="Times New Roman" w:hAnsi="Times New Roman" w:cs="Times New Roman"/>
                <w:b/>
                <w:bCs/>
                <w:color w:val="000000"/>
                <w:sz w:val="14"/>
                <w:szCs w:val="14"/>
              </w:rPr>
              <w:t>673 209 025</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6E4D43" w:rsidRDefault="007D13F3" w:rsidP="00465CAC">
            <w:pPr>
              <w:jc w:val="right"/>
              <w:rPr>
                <w:rFonts w:ascii="Times New Roman" w:hAnsi="Times New Roman" w:cs="Times New Roman"/>
                <w:b/>
                <w:bCs/>
                <w:color w:val="000000"/>
                <w:sz w:val="14"/>
                <w:szCs w:val="14"/>
              </w:rPr>
            </w:pPr>
            <w:r w:rsidRPr="006E4D43">
              <w:rPr>
                <w:rFonts w:ascii="Times New Roman" w:hAnsi="Times New Roman" w:cs="Times New Roman"/>
                <w:b/>
                <w:bCs/>
                <w:color w:val="000000"/>
                <w:sz w:val="14"/>
                <w:szCs w:val="14"/>
              </w:rPr>
              <w:t>705 688 596</w:t>
            </w:r>
          </w:p>
        </w:tc>
        <w:tc>
          <w:tcPr>
            <w:tcW w:w="951"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843310" w:rsidRDefault="007D13F3" w:rsidP="00465CAC">
            <w:pPr>
              <w:jc w:val="right"/>
              <w:rPr>
                <w:rFonts w:ascii="Times New Roman" w:hAnsi="Times New Roman" w:cs="Times New Roman"/>
                <w:b/>
                <w:sz w:val="14"/>
                <w:szCs w:val="14"/>
              </w:rPr>
            </w:pPr>
            <w:r w:rsidRPr="00843310">
              <w:rPr>
                <w:rFonts w:ascii="Times New Roman" w:hAnsi="Times New Roman" w:cs="Times New Roman"/>
                <w:b/>
                <w:sz w:val="14"/>
                <w:szCs w:val="14"/>
              </w:rPr>
              <w:t>726 689 370</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843310" w:rsidRDefault="007D13F3" w:rsidP="00465CAC">
            <w:pPr>
              <w:jc w:val="right"/>
              <w:rPr>
                <w:rFonts w:ascii="Times New Roman" w:hAnsi="Times New Roman" w:cs="Times New Roman"/>
                <w:b/>
                <w:sz w:val="14"/>
                <w:szCs w:val="14"/>
              </w:rPr>
            </w:pPr>
            <w:r w:rsidRPr="00843310">
              <w:rPr>
                <w:rFonts w:ascii="Times New Roman" w:hAnsi="Times New Roman" w:cs="Times New Roman"/>
                <w:b/>
                <w:sz w:val="14"/>
                <w:szCs w:val="14"/>
              </w:rPr>
              <w:t>749 454 490</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843310" w:rsidRDefault="007D13F3" w:rsidP="00465CAC">
            <w:pPr>
              <w:jc w:val="right"/>
              <w:rPr>
                <w:rFonts w:ascii="Times New Roman" w:hAnsi="Times New Roman" w:cs="Times New Roman"/>
                <w:b/>
                <w:sz w:val="14"/>
                <w:szCs w:val="14"/>
              </w:rPr>
            </w:pPr>
            <w:r w:rsidRPr="00843310">
              <w:rPr>
                <w:rFonts w:ascii="Times New Roman" w:hAnsi="Times New Roman" w:cs="Times New Roman"/>
                <w:b/>
                <w:sz w:val="14"/>
                <w:szCs w:val="14"/>
              </w:rPr>
              <w:t>784 751 350</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843310" w:rsidRDefault="007D13F3" w:rsidP="00465CAC">
            <w:pPr>
              <w:jc w:val="right"/>
              <w:rPr>
                <w:rFonts w:ascii="Times New Roman" w:hAnsi="Times New Roman" w:cs="Times New Roman"/>
                <w:b/>
                <w:sz w:val="14"/>
                <w:szCs w:val="14"/>
              </w:rPr>
            </w:pPr>
            <w:r w:rsidRPr="00843310">
              <w:rPr>
                <w:rFonts w:ascii="Times New Roman" w:hAnsi="Times New Roman" w:cs="Times New Roman"/>
                <w:b/>
                <w:sz w:val="14"/>
                <w:szCs w:val="14"/>
              </w:rPr>
              <w:t>1 057 845 205</w:t>
            </w:r>
          </w:p>
        </w:tc>
      </w:tr>
      <w:tr w:rsidR="007D13F3" w:rsidRPr="007475EB"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7475EB" w:rsidRDefault="007D13F3" w:rsidP="00465CAC">
            <w:pPr>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Riadenie a podpora obrany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b/>
                <w:bCs/>
                <w:sz w:val="14"/>
                <w:szCs w:val="14"/>
              </w:rPr>
            </w:pPr>
            <w:r w:rsidRPr="006E4D43">
              <w:rPr>
                <w:rFonts w:ascii="Times New Roman" w:hAnsi="Times New Roman" w:cs="Times New Roman"/>
                <w:b/>
                <w:bCs/>
                <w:sz w:val="14"/>
                <w:szCs w:val="14"/>
              </w:rPr>
              <w:t>283 483 750</w:t>
            </w:r>
          </w:p>
        </w:tc>
        <w:tc>
          <w:tcPr>
            <w:tcW w:w="952" w:type="dxa"/>
            <w:tcBorders>
              <w:top w:val="nil"/>
              <w:left w:val="nil"/>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b/>
                <w:bCs/>
                <w:sz w:val="14"/>
                <w:szCs w:val="14"/>
              </w:rPr>
            </w:pPr>
            <w:r w:rsidRPr="006E4D43">
              <w:rPr>
                <w:rFonts w:ascii="Times New Roman" w:hAnsi="Times New Roman" w:cs="Times New Roman"/>
                <w:b/>
                <w:bCs/>
                <w:sz w:val="14"/>
                <w:szCs w:val="14"/>
              </w:rPr>
              <w:t>280 413 181</w:t>
            </w:r>
          </w:p>
        </w:tc>
        <w:tc>
          <w:tcPr>
            <w:tcW w:w="952" w:type="dxa"/>
            <w:tcBorders>
              <w:top w:val="nil"/>
              <w:left w:val="nil"/>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b/>
                <w:bCs/>
                <w:sz w:val="14"/>
                <w:szCs w:val="14"/>
              </w:rPr>
            </w:pPr>
            <w:r w:rsidRPr="006E4D43">
              <w:rPr>
                <w:rFonts w:ascii="Times New Roman" w:hAnsi="Times New Roman" w:cs="Times New Roman"/>
                <w:b/>
                <w:bCs/>
                <w:sz w:val="14"/>
                <w:szCs w:val="14"/>
              </w:rPr>
              <w:t>285 392 617</w:t>
            </w:r>
          </w:p>
        </w:tc>
        <w:tc>
          <w:tcPr>
            <w:tcW w:w="951"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b/>
                <w:sz w:val="14"/>
                <w:szCs w:val="14"/>
              </w:rPr>
            </w:pPr>
            <w:r w:rsidRPr="00843310">
              <w:rPr>
                <w:rFonts w:ascii="Times New Roman" w:hAnsi="Times New Roman" w:cs="Times New Roman"/>
                <w:b/>
                <w:sz w:val="14"/>
                <w:szCs w:val="14"/>
              </w:rPr>
              <w:t>299 465 177</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b/>
                <w:sz w:val="14"/>
                <w:szCs w:val="14"/>
              </w:rPr>
            </w:pPr>
            <w:r w:rsidRPr="00843310">
              <w:rPr>
                <w:rFonts w:ascii="Times New Roman" w:hAnsi="Times New Roman" w:cs="Times New Roman"/>
                <w:b/>
                <w:sz w:val="14"/>
                <w:szCs w:val="14"/>
              </w:rPr>
              <w:t>309 761 216</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b/>
                <w:sz w:val="14"/>
                <w:szCs w:val="14"/>
              </w:rPr>
            </w:pPr>
            <w:r w:rsidRPr="00843310">
              <w:rPr>
                <w:rFonts w:ascii="Times New Roman" w:hAnsi="Times New Roman" w:cs="Times New Roman"/>
                <w:b/>
                <w:sz w:val="14"/>
                <w:szCs w:val="14"/>
              </w:rPr>
              <w:t>323 911 959</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b/>
                <w:sz w:val="14"/>
                <w:szCs w:val="14"/>
              </w:rPr>
            </w:pPr>
            <w:r w:rsidRPr="00843310">
              <w:rPr>
                <w:rFonts w:ascii="Times New Roman" w:hAnsi="Times New Roman" w:cs="Times New Roman"/>
                <w:b/>
                <w:sz w:val="14"/>
                <w:szCs w:val="14"/>
              </w:rPr>
              <w:t>380 592 165</w:t>
            </w:r>
          </w:p>
        </w:tc>
      </w:tr>
      <w:tr w:rsidR="007D13F3" w:rsidRPr="007475EB"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7475EB" w:rsidRDefault="007D13F3" w:rsidP="00465CAC">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7475EB">
              <w:rPr>
                <w:rFonts w:ascii="Times New Roman" w:hAnsi="Times New Roman" w:cs="Times New Roman"/>
                <w:sz w:val="14"/>
                <w:szCs w:val="14"/>
                <w:lang w:eastAsia="sk-SK"/>
              </w:rPr>
              <w:t xml:space="preserve"> Transfer na osobitný účet</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91 928 807</w:t>
            </w:r>
          </w:p>
        </w:tc>
        <w:tc>
          <w:tcPr>
            <w:tcW w:w="952" w:type="dxa"/>
            <w:tcBorders>
              <w:top w:val="nil"/>
              <w:left w:val="nil"/>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90 877 284</w:t>
            </w:r>
          </w:p>
        </w:tc>
        <w:tc>
          <w:tcPr>
            <w:tcW w:w="952" w:type="dxa"/>
            <w:tcBorders>
              <w:top w:val="nil"/>
              <w:left w:val="nil"/>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94 343 500</w:t>
            </w:r>
          </w:p>
        </w:tc>
        <w:tc>
          <w:tcPr>
            <w:tcW w:w="951"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92 493 500</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94 662 000</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95 162 000</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95 662 000</w:t>
            </w:r>
          </w:p>
        </w:tc>
      </w:tr>
      <w:tr w:rsidR="007D13F3" w:rsidRPr="007475EB"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7475EB" w:rsidRDefault="007D13F3" w:rsidP="00465CAC">
            <w:pPr>
              <w:ind w:left="351" w:hanging="351"/>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5F4405">
              <w:rPr>
                <w:rFonts w:ascii="Times New Roman" w:hAnsi="Times New Roman" w:cs="Times New Roman"/>
                <w:sz w:val="14"/>
                <w:szCs w:val="14"/>
                <w:lang w:eastAsia="sk-SK"/>
              </w:rPr>
              <w:t>Príspevok na bývanie</w:t>
            </w:r>
            <w:r>
              <w:rPr>
                <w:rFonts w:ascii="Times New Roman" w:hAnsi="Times New Roman" w:cs="Times New Roman"/>
                <w:sz w:val="14"/>
                <w:szCs w:val="14"/>
                <w:lang w:eastAsia="sk-SK"/>
              </w:rPr>
              <w:t xml:space="preserve"> (do r. 2015)</w:t>
            </w:r>
            <w:r w:rsidRPr="005F4405">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w:t>
            </w:r>
            <w:r w:rsidRPr="005F4405">
              <w:rPr>
                <w:rFonts w:ascii="Times New Roman" w:hAnsi="Times New Roman" w:cs="Times New Roman"/>
                <w:sz w:val="14"/>
                <w:szCs w:val="14"/>
                <w:lang w:eastAsia="sk-SK"/>
              </w:rPr>
              <w:t>a stabilizačný príspevok</w:t>
            </w:r>
            <w:r>
              <w:rPr>
                <w:rFonts w:ascii="Times New Roman" w:hAnsi="Times New Roman" w:cs="Times New Roman"/>
                <w:sz w:val="14"/>
                <w:szCs w:val="14"/>
                <w:lang w:eastAsia="sk-SK"/>
              </w:rPr>
              <w:t xml:space="preserve"> </w:t>
            </w:r>
            <w:r w:rsidRPr="005F4405">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1 911 554</w:t>
            </w:r>
          </w:p>
        </w:tc>
        <w:tc>
          <w:tcPr>
            <w:tcW w:w="952" w:type="dxa"/>
            <w:tcBorders>
              <w:top w:val="nil"/>
              <w:left w:val="nil"/>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2 001 691</w:t>
            </w:r>
          </w:p>
        </w:tc>
        <w:tc>
          <w:tcPr>
            <w:tcW w:w="952" w:type="dxa"/>
            <w:tcBorders>
              <w:top w:val="nil"/>
              <w:left w:val="nil"/>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2 170 404</w:t>
            </w:r>
          </w:p>
        </w:tc>
        <w:tc>
          <w:tcPr>
            <w:tcW w:w="951"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2 145 904</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2 527 664</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2 527 664</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2 527 664</w:t>
            </w:r>
          </w:p>
        </w:tc>
      </w:tr>
      <w:tr w:rsidR="007D13F3" w:rsidRPr="007475EB"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7475EB" w:rsidRDefault="007D13F3" w:rsidP="00465CAC">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proofErr w:type="spellStart"/>
            <w:r>
              <w:rPr>
                <w:rFonts w:ascii="Times New Roman" w:hAnsi="Times New Roman" w:cs="Times New Roman"/>
                <w:sz w:val="14"/>
                <w:szCs w:val="14"/>
                <w:lang w:eastAsia="sk-SK"/>
              </w:rPr>
              <w:t>Ost</w:t>
            </w:r>
            <w:proofErr w:type="spellEnd"/>
            <w:r>
              <w:rPr>
                <w:rFonts w:ascii="Times New Roman" w:hAnsi="Times New Roman" w:cs="Times New Roman"/>
                <w:sz w:val="14"/>
                <w:szCs w:val="14"/>
                <w:lang w:eastAsia="sk-SK"/>
              </w:rPr>
              <w:t>.</w:t>
            </w:r>
            <w:r w:rsidRPr="007475EB">
              <w:rPr>
                <w:rFonts w:ascii="Times New Roman" w:hAnsi="Times New Roman" w:cs="Times New Roman"/>
                <w:sz w:val="14"/>
                <w:szCs w:val="14"/>
                <w:lang w:eastAsia="sk-SK"/>
              </w:rPr>
              <w:t xml:space="preserve"> riadenie a podpora obrany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189 643 389</w:t>
            </w:r>
          </w:p>
        </w:tc>
        <w:tc>
          <w:tcPr>
            <w:tcW w:w="952" w:type="dxa"/>
            <w:tcBorders>
              <w:top w:val="nil"/>
              <w:left w:val="nil"/>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187 534 205</w:t>
            </w:r>
          </w:p>
        </w:tc>
        <w:tc>
          <w:tcPr>
            <w:tcW w:w="952" w:type="dxa"/>
            <w:tcBorders>
              <w:top w:val="nil"/>
              <w:left w:val="nil"/>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188 878 713</w:t>
            </w:r>
          </w:p>
        </w:tc>
        <w:tc>
          <w:tcPr>
            <w:tcW w:w="951"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204 825 773</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212 571 552</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226 222 295</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282 402 501</w:t>
            </w:r>
          </w:p>
        </w:tc>
      </w:tr>
      <w:tr w:rsidR="007D13F3" w:rsidRPr="007475EB"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7475EB" w:rsidRDefault="007D13F3" w:rsidP="00465CAC">
            <w:pPr>
              <w:rPr>
                <w:rFonts w:ascii="Times New Roman" w:hAnsi="Times New Roman" w:cs="Times New Roman"/>
                <w:b/>
                <w:bCs/>
                <w:color w:val="000000"/>
                <w:sz w:val="14"/>
                <w:szCs w:val="14"/>
                <w:lang w:eastAsia="sk-SK"/>
              </w:rPr>
            </w:pPr>
            <w:r w:rsidRPr="007475EB">
              <w:rPr>
                <w:rFonts w:ascii="Times New Roman" w:hAnsi="Times New Roman" w:cs="Times New Roman"/>
                <w:b/>
                <w:bCs/>
                <w:color w:val="000000"/>
                <w:sz w:val="14"/>
                <w:szCs w:val="14"/>
                <w:lang w:eastAsia="sk-SK"/>
              </w:rPr>
              <w:t>Velenie a zaručovanie obrany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b/>
                <w:bCs/>
                <w:sz w:val="14"/>
                <w:szCs w:val="14"/>
              </w:rPr>
            </w:pPr>
            <w:r w:rsidRPr="006E4D43">
              <w:rPr>
                <w:rFonts w:ascii="Times New Roman" w:hAnsi="Times New Roman" w:cs="Times New Roman"/>
                <w:b/>
                <w:bCs/>
                <w:sz w:val="14"/>
                <w:szCs w:val="14"/>
              </w:rPr>
              <w:t>369 172 795</w:t>
            </w:r>
          </w:p>
        </w:tc>
        <w:tc>
          <w:tcPr>
            <w:tcW w:w="952" w:type="dxa"/>
            <w:tcBorders>
              <w:top w:val="nil"/>
              <w:left w:val="nil"/>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b/>
                <w:bCs/>
                <w:sz w:val="14"/>
                <w:szCs w:val="14"/>
              </w:rPr>
            </w:pPr>
            <w:r w:rsidRPr="006E4D43">
              <w:rPr>
                <w:rFonts w:ascii="Times New Roman" w:hAnsi="Times New Roman" w:cs="Times New Roman"/>
                <w:b/>
                <w:bCs/>
                <w:sz w:val="14"/>
                <w:szCs w:val="14"/>
              </w:rPr>
              <w:t>392 795 845</w:t>
            </w:r>
          </w:p>
        </w:tc>
        <w:tc>
          <w:tcPr>
            <w:tcW w:w="952" w:type="dxa"/>
            <w:tcBorders>
              <w:top w:val="nil"/>
              <w:left w:val="nil"/>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b/>
                <w:bCs/>
                <w:sz w:val="14"/>
                <w:szCs w:val="14"/>
              </w:rPr>
            </w:pPr>
            <w:r w:rsidRPr="006E4D43">
              <w:rPr>
                <w:rFonts w:ascii="Times New Roman" w:hAnsi="Times New Roman" w:cs="Times New Roman"/>
                <w:b/>
                <w:bCs/>
                <w:sz w:val="14"/>
                <w:szCs w:val="14"/>
              </w:rPr>
              <w:t>420 295 979</w:t>
            </w:r>
          </w:p>
        </w:tc>
        <w:tc>
          <w:tcPr>
            <w:tcW w:w="951"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b/>
                <w:sz w:val="14"/>
                <w:szCs w:val="14"/>
              </w:rPr>
            </w:pPr>
            <w:r w:rsidRPr="00843310">
              <w:rPr>
                <w:rFonts w:ascii="Times New Roman" w:hAnsi="Times New Roman" w:cs="Times New Roman"/>
                <w:b/>
                <w:sz w:val="14"/>
                <w:szCs w:val="14"/>
              </w:rPr>
              <w:t>427 224 193</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b/>
                <w:sz w:val="14"/>
                <w:szCs w:val="14"/>
              </w:rPr>
            </w:pPr>
            <w:r w:rsidRPr="00843310">
              <w:rPr>
                <w:rFonts w:ascii="Times New Roman" w:hAnsi="Times New Roman" w:cs="Times New Roman"/>
                <w:b/>
                <w:sz w:val="14"/>
                <w:szCs w:val="14"/>
              </w:rPr>
              <w:t>439 693 274</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b/>
                <w:sz w:val="14"/>
                <w:szCs w:val="14"/>
              </w:rPr>
            </w:pPr>
            <w:r w:rsidRPr="00843310">
              <w:rPr>
                <w:rFonts w:ascii="Times New Roman" w:hAnsi="Times New Roman" w:cs="Times New Roman"/>
                <w:b/>
                <w:sz w:val="14"/>
                <w:szCs w:val="14"/>
              </w:rPr>
              <w:t>460 839 391</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b/>
                <w:sz w:val="14"/>
                <w:szCs w:val="14"/>
              </w:rPr>
            </w:pPr>
            <w:r w:rsidRPr="00843310">
              <w:rPr>
                <w:rFonts w:ascii="Times New Roman" w:hAnsi="Times New Roman" w:cs="Times New Roman"/>
                <w:b/>
                <w:sz w:val="14"/>
                <w:szCs w:val="14"/>
              </w:rPr>
              <w:t>677 253 040</w:t>
            </w:r>
          </w:p>
        </w:tc>
      </w:tr>
      <w:tr w:rsidR="007D13F3" w:rsidRPr="007475EB"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7475EB" w:rsidRDefault="007D13F3" w:rsidP="00465CAC">
            <w:pPr>
              <w:ind w:left="351" w:hanging="351"/>
              <w:rPr>
                <w:rFonts w:ascii="Times New Roman" w:hAnsi="Times New Roman" w:cs="Times New Roman"/>
                <w:sz w:val="14"/>
                <w:szCs w:val="14"/>
                <w:lang w:eastAsia="sk-SK"/>
              </w:rPr>
            </w:pPr>
            <w:r>
              <w:rPr>
                <w:rFonts w:ascii="Times New Roman" w:hAnsi="Times New Roman" w:cs="Times New Roman"/>
                <w:sz w:val="14"/>
                <w:szCs w:val="14"/>
                <w:lang w:eastAsia="sk-SK"/>
              </w:rPr>
              <w:t xml:space="preserve">          Príspevok na bývanie (do r. 2015) a stabilizačný príspevok</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34 559 585</w:t>
            </w:r>
          </w:p>
        </w:tc>
        <w:tc>
          <w:tcPr>
            <w:tcW w:w="952" w:type="dxa"/>
            <w:tcBorders>
              <w:top w:val="nil"/>
              <w:left w:val="nil"/>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36 152 498</w:t>
            </w:r>
          </w:p>
        </w:tc>
        <w:tc>
          <w:tcPr>
            <w:tcW w:w="952" w:type="dxa"/>
            <w:tcBorders>
              <w:top w:val="nil"/>
              <w:left w:val="nil"/>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37 069 862</w:t>
            </w:r>
          </w:p>
        </w:tc>
        <w:tc>
          <w:tcPr>
            <w:tcW w:w="951"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36 973 542</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39 017 704</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39 290 713</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40 811 844</w:t>
            </w:r>
          </w:p>
        </w:tc>
      </w:tr>
      <w:tr w:rsidR="007D13F3" w:rsidRPr="007475EB"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7475EB" w:rsidRDefault="007D13F3" w:rsidP="00465CAC">
            <w:pPr>
              <w:rPr>
                <w:rFonts w:ascii="Times New Roman" w:hAnsi="Times New Roman" w:cs="Times New Roman"/>
                <w:sz w:val="14"/>
                <w:szCs w:val="14"/>
                <w:lang w:eastAsia="sk-SK"/>
              </w:rPr>
            </w:pPr>
            <w:r w:rsidRPr="007475EB">
              <w:rPr>
                <w:rFonts w:ascii="Times New Roman" w:hAnsi="Times New Roman" w:cs="Times New Roman"/>
                <w:sz w:val="14"/>
                <w:szCs w:val="14"/>
                <w:lang w:eastAsia="sk-SK"/>
              </w:rPr>
              <w:t xml:space="preserve">          Operácie mimo územia štátu</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17 114 133</w:t>
            </w:r>
          </w:p>
        </w:tc>
        <w:tc>
          <w:tcPr>
            <w:tcW w:w="952" w:type="dxa"/>
            <w:tcBorders>
              <w:top w:val="nil"/>
              <w:left w:val="nil"/>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16 188 123</w:t>
            </w:r>
          </w:p>
        </w:tc>
        <w:tc>
          <w:tcPr>
            <w:tcW w:w="952" w:type="dxa"/>
            <w:tcBorders>
              <w:top w:val="nil"/>
              <w:left w:val="nil"/>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29 365 901</w:t>
            </w:r>
          </w:p>
        </w:tc>
        <w:tc>
          <w:tcPr>
            <w:tcW w:w="951"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26 326 816</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27 233 576</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27 474 761</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30 061 027</w:t>
            </w:r>
          </w:p>
        </w:tc>
      </w:tr>
      <w:tr w:rsidR="007D13F3" w:rsidRPr="007475EB"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7475EB" w:rsidRDefault="007D13F3" w:rsidP="00465CAC">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proofErr w:type="spellStart"/>
            <w:r>
              <w:rPr>
                <w:rFonts w:ascii="Times New Roman" w:hAnsi="Times New Roman" w:cs="Times New Roman"/>
                <w:sz w:val="14"/>
                <w:szCs w:val="14"/>
                <w:lang w:eastAsia="sk-SK"/>
              </w:rPr>
              <w:t>Ost</w:t>
            </w:r>
            <w:proofErr w:type="spellEnd"/>
            <w:r>
              <w:rPr>
                <w:rFonts w:ascii="Times New Roman" w:hAnsi="Times New Roman" w:cs="Times New Roman"/>
                <w:sz w:val="14"/>
                <w:szCs w:val="14"/>
                <w:lang w:eastAsia="sk-SK"/>
              </w:rPr>
              <w:t>.</w:t>
            </w:r>
            <w:r w:rsidRPr="007475EB">
              <w:rPr>
                <w:rFonts w:ascii="Times New Roman" w:hAnsi="Times New Roman" w:cs="Times New Roman"/>
                <w:sz w:val="14"/>
                <w:szCs w:val="14"/>
                <w:lang w:eastAsia="sk-SK"/>
              </w:rPr>
              <w:t xml:space="preserve"> velenie a zaručovanie obrany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317 499 077</w:t>
            </w:r>
          </w:p>
        </w:tc>
        <w:tc>
          <w:tcPr>
            <w:tcW w:w="952" w:type="dxa"/>
            <w:tcBorders>
              <w:top w:val="nil"/>
              <w:left w:val="nil"/>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340 455 224</w:t>
            </w:r>
          </w:p>
        </w:tc>
        <w:tc>
          <w:tcPr>
            <w:tcW w:w="952" w:type="dxa"/>
            <w:tcBorders>
              <w:top w:val="nil"/>
              <w:left w:val="nil"/>
              <w:bottom w:val="single" w:sz="4" w:space="0" w:color="auto"/>
              <w:right w:val="single" w:sz="4" w:space="0" w:color="auto"/>
            </w:tcBorders>
            <w:shd w:val="clear" w:color="auto" w:fill="auto"/>
            <w:vAlign w:val="bottom"/>
            <w:hideMark/>
          </w:tcPr>
          <w:p w:rsidR="007D13F3" w:rsidRPr="006E4D43" w:rsidRDefault="007D13F3" w:rsidP="00465CAC">
            <w:pPr>
              <w:jc w:val="right"/>
              <w:rPr>
                <w:rFonts w:ascii="Times New Roman" w:hAnsi="Times New Roman" w:cs="Times New Roman"/>
                <w:sz w:val="14"/>
                <w:szCs w:val="14"/>
              </w:rPr>
            </w:pPr>
            <w:r w:rsidRPr="006E4D43">
              <w:rPr>
                <w:rFonts w:ascii="Times New Roman" w:hAnsi="Times New Roman" w:cs="Times New Roman"/>
                <w:sz w:val="14"/>
                <w:szCs w:val="14"/>
              </w:rPr>
              <w:t>353 860 216</w:t>
            </w:r>
          </w:p>
        </w:tc>
        <w:tc>
          <w:tcPr>
            <w:tcW w:w="951"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363 923 835</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373 441 994</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394 073 917</w:t>
            </w:r>
          </w:p>
        </w:tc>
        <w:tc>
          <w:tcPr>
            <w:tcW w:w="952" w:type="dxa"/>
            <w:tcBorders>
              <w:top w:val="nil"/>
              <w:left w:val="nil"/>
              <w:bottom w:val="single" w:sz="4" w:space="0" w:color="auto"/>
              <w:right w:val="single" w:sz="4" w:space="0" w:color="auto"/>
            </w:tcBorders>
            <w:shd w:val="clear" w:color="auto" w:fill="auto"/>
            <w:vAlign w:val="bottom"/>
            <w:hideMark/>
          </w:tcPr>
          <w:p w:rsidR="007D13F3" w:rsidRPr="00843310" w:rsidRDefault="007D13F3" w:rsidP="00465CAC">
            <w:pPr>
              <w:jc w:val="right"/>
              <w:rPr>
                <w:rFonts w:ascii="Times New Roman" w:hAnsi="Times New Roman" w:cs="Times New Roman"/>
                <w:sz w:val="14"/>
                <w:szCs w:val="14"/>
              </w:rPr>
            </w:pPr>
            <w:r w:rsidRPr="00843310">
              <w:rPr>
                <w:rFonts w:ascii="Times New Roman" w:hAnsi="Times New Roman" w:cs="Times New Roman"/>
                <w:sz w:val="14"/>
                <w:szCs w:val="14"/>
              </w:rPr>
              <w:t>606 380 169</w:t>
            </w:r>
          </w:p>
        </w:tc>
      </w:tr>
    </w:tbl>
    <w:p w:rsidR="007D13F3" w:rsidRPr="000D79F8" w:rsidRDefault="007D13F3" w:rsidP="007D13F3">
      <w:pPr>
        <w:jc w:val="both"/>
        <w:rPr>
          <w:rFonts w:ascii="Times New Roman" w:hAnsi="Times New Roman" w:cs="Times New Roman"/>
        </w:rPr>
      </w:pPr>
    </w:p>
    <w:p w:rsidR="007D13F3" w:rsidRPr="000D79F8" w:rsidRDefault="007D13F3" w:rsidP="007D13F3">
      <w:pPr>
        <w:ind w:firstLine="708"/>
        <w:jc w:val="both"/>
        <w:rPr>
          <w:rFonts w:ascii="Times New Roman" w:hAnsi="Times New Roman" w:cs="Times New Roman"/>
        </w:rPr>
      </w:pPr>
      <w:r w:rsidRPr="000D79F8">
        <w:rPr>
          <w:rFonts w:ascii="Times New Roman" w:hAnsi="Times New Roman" w:cs="Times New Roman"/>
        </w:rPr>
        <w:t xml:space="preserve">V rámci programu Obrana sa rozpočtuje bežná prevádzka rezortu, a to najmä riadenie, velenie a podpora obrany, vzdelávanie v rámci Akadémie ozbrojených síl M. R. Štefánika v Liptovskom Mikuláši, správa majetku, ako aj operácie medzinárodného krízového </w:t>
      </w:r>
      <w:r>
        <w:rPr>
          <w:rFonts w:ascii="Times New Roman" w:hAnsi="Times New Roman" w:cs="Times New Roman"/>
        </w:rPr>
        <w:lastRenderedPageBreak/>
        <w:t xml:space="preserve">manažmentu. </w:t>
      </w:r>
      <w:r w:rsidRPr="000D79F8">
        <w:rPr>
          <w:rFonts w:ascii="Times New Roman" w:hAnsi="Times New Roman" w:cs="Times New Roman"/>
        </w:rPr>
        <w:t>Rozpočtujú sa tu výdavky na vojenskú políciu, činnosť Vojenského spravodajstva, Vojenského archívu v Trnave, Úradu hlavného lekára, Centra výcviku Lešť,</w:t>
      </w:r>
      <w:r w:rsidR="008E30EC">
        <w:rPr>
          <w:rFonts w:ascii="Times New Roman" w:hAnsi="Times New Roman" w:cs="Times New Roman"/>
        </w:rPr>
        <w:t xml:space="preserve"> </w:t>
      </w:r>
      <w:r w:rsidRPr="000D79F8">
        <w:rPr>
          <w:rFonts w:ascii="Times New Roman" w:hAnsi="Times New Roman" w:cs="Times New Roman"/>
        </w:rPr>
        <w:t xml:space="preserve">Vojenského technického a skúšobného ústavu Záhorie, Vojenského úradu sociálneho zabezpečenia, úlohy </w:t>
      </w:r>
      <w:proofErr w:type="spellStart"/>
      <w:r w:rsidRPr="000D79F8">
        <w:rPr>
          <w:rFonts w:ascii="Times New Roman" w:hAnsi="Times New Roman" w:cs="Times New Roman"/>
        </w:rPr>
        <w:t>Ordinariátu</w:t>
      </w:r>
      <w:proofErr w:type="spellEnd"/>
      <w:r w:rsidRPr="000D79F8">
        <w:rPr>
          <w:rFonts w:ascii="Times New Roman" w:hAnsi="Times New Roman" w:cs="Times New Roman"/>
        </w:rPr>
        <w:t xml:space="preserve"> ozbrojených síl, Ústredia ekumenickej pastoračnej služby v ozbrojených silách, Vojenského historického ústavu, Úradu pre obrannú štandardizáciu </w:t>
      </w:r>
      <w:r>
        <w:rPr>
          <w:rFonts w:ascii="Times New Roman" w:hAnsi="Times New Roman" w:cs="Times New Roman"/>
        </w:rPr>
        <w:br/>
      </w:r>
      <w:r w:rsidRPr="000D79F8">
        <w:rPr>
          <w:rFonts w:ascii="Times New Roman" w:hAnsi="Times New Roman" w:cs="Times New Roman"/>
        </w:rPr>
        <w:t xml:space="preserve">a Vojenského športového centra Dukla Banská Bystrica. </w:t>
      </w:r>
    </w:p>
    <w:p w:rsidR="007D13F3" w:rsidRPr="000D79F8" w:rsidRDefault="007D13F3" w:rsidP="007D13F3">
      <w:pPr>
        <w:jc w:val="both"/>
        <w:rPr>
          <w:rFonts w:ascii="Times New Roman" w:hAnsi="Times New Roman" w:cs="Times New Roman"/>
        </w:rPr>
      </w:pPr>
    </w:p>
    <w:p w:rsidR="007D13F3" w:rsidRPr="000D79F8" w:rsidRDefault="007D13F3" w:rsidP="007D13F3">
      <w:pPr>
        <w:ind w:firstLine="708"/>
        <w:jc w:val="both"/>
        <w:rPr>
          <w:rFonts w:ascii="Times New Roman" w:hAnsi="Times New Roman" w:cs="Times New Roman"/>
        </w:rPr>
      </w:pPr>
      <w:r w:rsidRPr="000D79F8">
        <w:rPr>
          <w:rFonts w:ascii="Times New Roman" w:hAnsi="Times New Roman" w:cs="Times New Roman"/>
        </w:rPr>
        <w:t>Systém sociálneho zabezpečenia definovaný v zákone č. 328/2002 Z. z. o sociálnom zabezpečení policajtov a vojakov je pri súčasných existujúcich parametroch vysoko deficitný. Vzhľadom na úroveň sociálnych benefitov a vývoja počtu prispievateľov a prijímateľov v rámci systému sociálneho zabezpečenia sa tak každoročne odčerpáva zo štátneho rozpočtu významná suma zdrojov, ktorá tak znižuje disponibilné zdroje rezortu. Prostriedky urč</w:t>
      </w:r>
      <w:r>
        <w:rPr>
          <w:rFonts w:ascii="Times New Roman" w:hAnsi="Times New Roman" w:cs="Times New Roman"/>
        </w:rPr>
        <w:t>ené na osobitný účet v roku 2018 sú rozpočtované v sume 94,7</w:t>
      </w:r>
      <w:r w:rsidRPr="000D79F8">
        <w:rPr>
          <w:rFonts w:ascii="Times New Roman" w:hAnsi="Times New Roman" w:cs="Times New Roman"/>
        </w:rPr>
        <w:t xml:space="preserve"> mil. eur. </w:t>
      </w:r>
    </w:p>
    <w:p w:rsidR="007D13F3" w:rsidRPr="000D79F8" w:rsidRDefault="007D13F3" w:rsidP="007D13F3">
      <w:pPr>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0D79F8">
        <w:rPr>
          <w:rFonts w:ascii="Times New Roman" w:hAnsi="Times New Roman" w:cs="Times New Roman"/>
        </w:rPr>
        <w:t>Peňažnou dá</w:t>
      </w:r>
      <w:r>
        <w:rPr>
          <w:rFonts w:ascii="Times New Roman" w:hAnsi="Times New Roman" w:cs="Times New Roman"/>
        </w:rPr>
        <w:t>vkou poskytovanou vojakom je aj stabilizačný príspevok, ktorý sa vypláca</w:t>
      </w:r>
      <w:r w:rsidRPr="000D79F8">
        <w:rPr>
          <w:rFonts w:ascii="Times New Roman" w:hAnsi="Times New Roman" w:cs="Times New Roman"/>
        </w:rPr>
        <w:t xml:space="preserve"> v zmysle  zákona č. </w:t>
      </w:r>
      <w:r>
        <w:rPr>
          <w:rFonts w:ascii="Times New Roman" w:hAnsi="Times New Roman" w:cs="Times New Roman"/>
        </w:rPr>
        <w:t>281/2015</w:t>
      </w:r>
      <w:r w:rsidRPr="000D79F8">
        <w:rPr>
          <w:rFonts w:ascii="Times New Roman" w:hAnsi="Times New Roman" w:cs="Times New Roman"/>
        </w:rPr>
        <w:t xml:space="preserve"> Z. z. o štátnej službe profesionálnych vojakov</w:t>
      </w:r>
      <w:r>
        <w:rPr>
          <w:rFonts w:ascii="Times New Roman" w:hAnsi="Times New Roman" w:cs="Times New Roman"/>
        </w:rPr>
        <w:t xml:space="preserve">. Prostriedky určené na </w:t>
      </w:r>
      <w:r w:rsidRPr="000D79F8">
        <w:rPr>
          <w:rFonts w:ascii="Times New Roman" w:hAnsi="Times New Roman" w:cs="Times New Roman"/>
        </w:rPr>
        <w:t>st</w:t>
      </w:r>
      <w:r>
        <w:rPr>
          <w:rFonts w:ascii="Times New Roman" w:hAnsi="Times New Roman" w:cs="Times New Roman"/>
        </w:rPr>
        <w:t>abilizačný príspevok na rok 2018</w:t>
      </w:r>
      <w:r w:rsidRPr="000D79F8">
        <w:rPr>
          <w:rFonts w:ascii="Times New Roman" w:hAnsi="Times New Roman" w:cs="Times New Roman"/>
        </w:rPr>
        <w:t xml:space="preserve"> sú rozpočtované v sume </w:t>
      </w:r>
      <w:r>
        <w:rPr>
          <w:rFonts w:ascii="Times New Roman" w:hAnsi="Times New Roman" w:cs="Times New Roman"/>
        </w:rPr>
        <w:t xml:space="preserve">41,5 mil. eur, čo predstavuje oproti schválenému rozpočtu roku 2017 nárast o 2,31 mil. eur, t. j. o 5,87 %. </w:t>
      </w:r>
      <w:r w:rsidRPr="000D79F8">
        <w:rPr>
          <w:rFonts w:ascii="Times New Roman" w:hAnsi="Times New Roman" w:cs="Times New Roman"/>
        </w:rPr>
        <w:t xml:space="preserve"> </w:t>
      </w:r>
    </w:p>
    <w:p w:rsidR="007D13F3" w:rsidRPr="000D79F8" w:rsidRDefault="007D13F3" w:rsidP="007D13F3">
      <w:pPr>
        <w:ind w:firstLine="708"/>
        <w:jc w:val="both"/>
        <w:rPr>
          <w:rFonts w:ascii="Times New Roman" w:hAnsi="Times New Roman" w:cs="Times New Roman"/>
        </w:rPr>
      </w:pPr>
    </w:p>
    <w:tbl>
      <w:tblPr>
        <w:tblW w:w="9067" w:type="dxa"/>
        <w:tblLayout w:type="fixed"/>
        <w:tblCellMar>
          <w:left w:w="70" w:type="dxa"/>
          <w:right w:w="70" w:type="dxa"/>
        </w:tblCellMar>
        <w:tblLook w:val="04A0" w:firstRow="1" w:lastRow="0" w:firstColumn="1" w:lastColumn="0" w:noHBand="0" w:noVBand="1"/>
      </w:tblPr>
      <w:tblGrid>
        <w:gridCol w:w="1980"/>
        <w:gridCol w:w="1012"/>
        <w:gridCol w:w="1012"/>
        <w:gridCol w:w="1013"/>
        <w:gridCol w:w="1012"/>
        <w:gridCol w:w="1013"/>
        <w:gridCol w:w="1012"/>
        <w:gridCol w:w="1013"/>
      </w:tblGrid>
      <w:tr w:rsidR="007D13F3" w:rsidRPr="00C67589" w:rsidTr="00465CAC">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C67589" w:rsidRDefault="007D13F3" w:rsidP="00465CAC">
            <w:pPr>
              <w:rPr>
                <w:rFonts w:ascii="Times New Roman" w:hAnsi="Times New Roman" w:cs="Times New Roman"/>
                <w:b/>
                <w:bCs/>
                <w:sz w:val="14"/>
                <w:szCs w:val="14"/>
                <w:lang w:eastAsia="sk-SK"/>
              </w:rPr>
            </w:pPr>
            <w:r w:rsidRPr="00C67589">
              <w:rPr>
                <w:rFonts w:ascii="Times New Roman" w:hAnsi="Times New Roman" w:cs="Times New Roman"/>
                <w:b/>
                <w:bCs/>
                <w:sz w:val="14"/>
                <w:szCs w:val="14"/>
                <w:lang w:eastAsia="sk-SK"/>
              </w:rPr>
              <w:t>v eurách</w:t>
            </w:r>
          </w:p>
        </w:tc>
        <w:tc>
          <w:tcPr>
            <w:tcW w:w="101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6F1FD3" w:rsidRDefault="007D13F3" w:rsidP="00465CAC">
            <w:pPr>
              <w:jc w:val="center"/>
              <w:rPr>
                <w:rFonts w:ascii="Times New Roman" w:hAnsi="Times New Roman" w:cs="Times New Roman"/>
                <w:b/>
                <w:bCs/>
                <w:sz w:val="14"/>
                <w:szCs w:val="14"/>
                <w:lang w:eastAsia="sk-SK"/>
              </w:rPr>
            </w:pPr>
            <w:r w:rsidRPr="006F1FD3">
              <w:rPr>
                <w:rFonts w:ascii="Times New Roman" w:hAnsi="Times New Roman" w:cs="Times New Roman"/>
                <w:b/>
                <w:bCs/>
                <w:sz w:val="14"/>
                <w:szCs w:val="14"/>
              </w:rPr>
              <w:t>2015 S</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F1FD3" w:rsidRDefault="007D13F3" w:rsidP="00465CAC">
            <w:pPr>
              <w:jc w:val="center"/>
              <w:rPr>
                <w:rFonts w:ascii="Times New Roman" w:hAnsi="Times New Roman" w:cs="Times New Roman"/>
                <w:b/>
                <w:bCs/>
                <w:sz w:val="14"/>
                <w:szCs w:val="14"/>
              </w:rPr>
            </w:pPr>
            <w:r w:rsidRPr="006F1FD3">
              <w:rPr>
                <w:rFonts w:ascii="Times New Roman" w:hAnsi="Times New Roman" w:cs="Times New Roman"/>
                <w:b/>
                <w:bCs/>
                <w:sz w:val="14"/>
                <w:szCs w:val="14"/>
              </w:rPr>
              <w:t>2016 S</w:t>
            </w:r>
          </w:p>
        </w:tc>
        <w:tc>
          <w:tcPr>
            <w:tcW w:w="101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F1FD3" w:rsidRDefault="007D13F3" w:rsidP="00465CAC">
            <w:pPr>
              <w:jc w:val="center"/>
              <w:rPr>
                <w:rFonts w:ascii="Times New Roman" w:hAnsi="Times New Roman" w:cs="Times New Roman"/>
                <w:b/>
                <w:bCs/>
                <w:sz w:val="14"/>
                <w:szCs w:val="14"/>
              </w:rPr>
            </w:pPr>
            <w:r w:rsidRPr="006F1FD3">
              <w:rPr>
                <w:rFonts w:ascii="Times New Roman" w:hAnsi="Times New Roman" w:cs="Times New Roman"/>
                <w:b/>
                <w:bCs/>
                <w:sz w:val="14"/>
                <w:szCs w:val="14"/>
              </w:rPr>
              <w:t>2017 R</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F1FD3" w:rsidRDefault="007D13F3" w:rsidP="00465CAC">
            <w:pPr>
              <w:jc w:val="center"/>
              <w:rPr>
                <w:rFonts w:ascii="Times New Roman" w:hAnsi="Times New Roman" w:cs="Times New Roman"/>
                <w:b/>
                <w:bCs/>
                <w:sz w:val="14"/>
                <w:szCs w:val="14"/>
              </w:rPr>
            </w:pPr>
            <w:r w:rsidRPr="006F1FD3">
              <w:rPr>
                <w:rFonts w:ascii="Times New Roman" w:hAnsi="Times New Roman" w:cs="Times New Roman"/>
                <w:b/>
                <w:bCs/>
                <w:sz w:val="14"/>
                <w:szCs w:val="14"/>
              </w:rPr>
              <w:t>2017 OS</w:t>
            </w:r>
          </w:p>
        </w:tc>
        <w:tc>
          <w:tcPr>
            <w:tcW w:w="101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F1FD3" w:rsidRDefault="007D13F3" w:rsidP="00465CAC">
            <w:pPr>
              <w:jc w:val="center"/>
              <w:rPr>
                <w:rFonts w:ascii="Times New Roman" w:hAnsi="Times New Roman" w:cs="Times New Roman"/>
                <w:b/>
                <w:bCs/>
                <w:sz w:val="14"/>
                <w:szCs w:val="14"/>
              </w:rPr>
            </w:pPr>
            <w:r w:rsidRPr="006F1FD3">
              <w:rPr>
                <w:rFonts w:ascii="Times New Roman" w:hAnsi="Times New Roman" w:cs="Times New Roman"/>
                <w:b/>
                <w:bCs/>
                <w:sz w:val="14"/>
                <w:szCs w:val="14"/>
              </w:rPr>
              <w:t>2018 N</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F1FD3" w:rsidRDefault="007D13F3" w:rsidP="00465CAC">
            <w:pPr>
              <w:jc w:val="center"/>
              <w:rPr>
                <w:rFonts w:ascii="Times New Roman" w:hAnsi="Times New Roman" w:cs="Times New Roman"/>
                <w:b/>
                <w:bCs/>
                <w:sz w:val="14"/>
                <w:szCs w:val="14"/>
              </w:rPr>
            </w:pPr>
            <w:r w:rsidRPr="006F1FD3">
              <w:rPr>
                <w:rFonts w:ascii="Times New Roman" w:hAnsi="Times New Roman" w:cs="Times New Roman"/>
                <w:b/>
                <w:bCs/>
                <w:sz w:val="14"/>
                <w:szCs w:val="14"/>
              </w:rPr>
              <w:t>2019 N</w:t>
            </w:r>
          </w:p>
        </w:tc>
        <w:tc>
          <w:tcPr>
            <w:tcW w:w="101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F1FD3" w:rsidRDefault="007D13F3" w:rsidP="00465CAC">
            <w:pPr>
              <w:jc w:val="center"/>
              <w:rPr>
                <w:rFonts w:ascii="Times New Roman" w:hAnsi="Times New Roman" w:cs="Times New Roman"/>
                <w:b/>
                <w:bCs/>
                <w:sz w:val="14"/>
                <w:szCs w:val="14"/>
              </w:rPr>
            </w:pPr>
            <w:r w:rsidRPr="006F1FD3">
              <w:rPr>
                <w:rFonts w:ascii="Times New Roman" w:hAnsi="Times New Roman" w:cs="Times New Roman"/>
                <w:b/>
                <w:bCs/>
                <w:sz w:val="14"/>
                <w:szCs w:val="14"/>
              </w:rPr>
              <w:t>2020 N</w:t>
            </w:r>
          </w:p>
        </w:tc>
      </w:tr>
      <w:tr w:rsidR="007D13F3" w:rsidRPr="00C67589" w:rsidTr="00465CAC">
        <w:trPr>
          <w:trHeight w:val="255"/>
        </w:trPr>
        <w:tc>
          <w:tcPr>
            <w:tcW w:w="198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C67589" w:rsidRDefault="007D13F3" w:rsidP="00465CAC">
            <w:pPr>
              <w:rPr>
                <w:rFonts w:ascii="Times New Roman" w:hAnsi="Times New Roman" w:cs="Times New Roman"/>
                <w:b/>
                <w:bCs/>
                <w:color w:val="000000"/>
                <w:sz w:val="14"/>
                <w:szCs w:val="14"/>
                <w:lang w:eastAsia="sk-SK"/>
              </w:rPr>
            </w:pPr>
            <w:r w:rsidRPr="00C67589">
              <w:rPr>
                <w:rFonts w:ascii="Times New Roman" w:hAnsi="Times New Roman" w:cs="Times New Roman"/>
                <w:b/>
                <w:bCs/>
                <w:color w:val="000000"/>
                <w:sz w:val="14"/>
                <w:szCs w:val="14"/>
                <w:lang w:eastAsia="sk-SK"/>
              </w:rPr>
              <w:t>Operácie mimo územia štátu</w:t>
            </w:r>
          </w:p>
        </w:tc>
        <w:tc>
          <w:tcPr>
            <w:tcW w:w="1012"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7D13F3" w:rsidRPr="006F1FD3" w:rsidRDefault="007D13F3" w:rsidP="00465CAC">
            <w:pPr>
              <w:jc w:val="right"/>
              <w:rPr>
                <w:rFonts w:ascii="Times New Roman" w:hAnsi="Times New Roman" w:cs="Times New Roman"/>
                <w:b/>
                <w:bCs/>
                <w:color w:val="000000"/>
                <w:sz w:val="14"/>
                <w:szCs w:val="14"/>
              </w:rPr>
            </w:pPr>
            <w:r w:rsidRPr="006F1FD3">
              <w:rPr>
                <w:rFonts w:ascii="Times New Roman" w:hAnsi="Times New Roman" w:cs="Times New Roman"/>
                <w:b/>
                <w:bCs/>
                <w:color w:val="000000"/>
                <w:sz w:val="14"/>
                <w:szCs w:val="14"/>
              </w:rPr>
              <w:t>19 135 070</w:t>
            </w:r>
          </w:p>
        </w:tc>
        <w:tc>
          <w:tcPr>
            <w:tcW w:w="101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6F1FD3" w:rsidRDefault="007D13F3" w:rsidP="00465CAC">
            <w:pPr>
              <w:jc w:val="right"/>
              <w:rPr>
                <w:rFonts w:ascii="Times New Roman" w:hAnsi="Times New Roman" w:cs="Times New Roman"/>
                <w:b/>
                <w:bCs/>
                <w:color w:val="000000"/>
                <w:sz w:val="14"/>
                <w:szCs w:val="14"/>
              </w:rPr>
            </w:pPr>
            <w:r w:rsidRPr="006F1FD3">
              <w:rPr>
                <w:rFonts w:ascii="Times New Roman" w:hAnsi="Times New Roman" w:cs="Times New Roman"/>
                <w:b/>
                <w:bCs/>
                <w:color w:val="000000"/>
                <w:sz w:val="14"/>
                <w:szCs w:val="14"/>
              </w:rPr>
              <w:t>19 246 495</w:t>
            </w:r>
          </w:p>
        </w:tc>
        <w:tc>
          <w:tcPr>
            <w:tcW w:w="1013"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6F1FD3" w:rsidRDefault="007D13F3" w:rsidP="00465CAC">
            <w:pPr>
              <w:jc w:val="right"/>
              <w:rPr>
                <w:rFonts w:ascii="Times New Roman" w:hAnsi="Times New Roman" w:cs="Times New Roman"/>
                <w:b/>
                <w:bCs/>
                <w:color w:val="000000"/>
                <w:sz w:val="14"/>
                <w:szCs w:val="14"/>
              </w:rPr>
            </w:pPr>
            <w:r w:rsidRPr="006F1FD3">
              <w:rPr>
                <w:rFonts w:ascii="Times New Roman" w:hAnsi="Times New Roman" w:cs="Times New Roman"/>
                <w:b/>
                <w:bCs/>
                <w:color w:val="000000"/>
                <w:sz w:val="14"/>
                <w:szCs w:val="14"/>
              </w:rPr>
              <w:t>29 365 901</w:t>
            </w:r>
          </w:p>
        </w:tc>
        <w:tc>
          <w:tcPr>
            <w:tcW w:w="101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DB5A6D" w:rsidRDefault="007D13F3" w:rsidP="00465CAC">
            <w:pPr>
              <w:jc w:val="right"/>
              <w:rPr>
                <w:rFonts w:ascii="Times New Roman" w:hAnsi="Times New Roman" w:cs="Times New Roman"/>
                <w:b/>
                <w:sz w:val="14"/>
                <w:szCs w:val="14"/>
              </w:rPr>
            </w:pPr>
            <w:r w:rsidRPr="00DB5A6D">
              <w:rPr>
                <w:rFonts w:ascii="Times New Roman" w:hAnsi="Times New Roman" w:cs="Times New Roman"/>
                <w:b/>
                <w:sz w:val="14"/>
                <w:szCs w:val="14"/>
              </w:rPr>
              <w:t>26 706 816</w:t>
            </w:r>
          </w:p>
        </w:tc>
        <w:tc>
          <w:tcPr>
            <w:tcW w:w="1013"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DB5A6D" w:rsidRDefault="007D13F3" w:rsidP="00465CAC">
            <w:pPr>
              <w:jc w:val="right"/>
              <w:rPr>
                <w:rFonts w:ascii="Times New Roman" w:hAnsi="Times New Roman" w:cs="Times New Roman"/>
                <w:b/>
                <w:sz w:val="14"/>
                <w:szCs w:val="14"/>
              </w:rPr>
            </w:pPr>
            <w:r w:rsidRPr="00DB5A6D">
              <w:rPr>
                <w:rFonts w:ascii="Times New Roman" w:hAnsi="Times New Roman" w:cs="Times New Roman"/>
                <w:b/>
                <w:sz w:val="14"/>
                <w:szCs w:val="14"/>
              </w:rPr>
              <w:t>27 233 576</w:t>
            </w:r>
          </w:p>
        </w:tc>
        <w:tc>
          <w:tcPr>
            <w:tcW w:w="1012"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DB5A6D" w:rsidRDefault="007D13F3" w:rsidP="00465CAC">
            <w:pPr>
              <w:jc w:val="right"/>
              <w:rPr>
                <w:rFonts w:ascii="Times New Roman" w:hAnsi="Times New Roman" w:cs="Times New Roman"/>
                <w:b/>
                <w:sz w:val="14"/>
                <w:szCs w:val="14"/>
              </w:rPr>
            </w:pPr>
            <w:r w:rsidRPr="00DB5A6D">
              <w:rPr>
                <w:rFonts w:ascii="Times New Roman" w:hAnsi="Times New Roman" w:cs="Times New Roman"/>
                <w:b/>
                <w:sz w:val="14"/>
                <w:szCs w:val="14"/>
              </w:rPr>
              <w:t>27 474 761</w:t>
            </w:r>
          </w:p>
        </w:tc>
        <w:tc>
          <w:tcPr>
            <w:tcW w:w="1013" w:type="dxa"/>
            <w:tcBorders>
              <w:top w:val="nil"/>
              <w:left w:val="nil"/>
              <w:bottom w:val="single" w:sz="4" w:space="0" w:color="auto"/>
              <w:right w:val="single" w:sz="4" w:space="0" w:color="auto"/>
            </w:tcBorders>
            <w:shd w:val="clear" w:color="auto" w:fill="BFBFBF" w:themeFill="background1" w:themeFillShade="BF"/>
            <w:vAlign w:val="bottom"/>
            <w:hideMark/>
          </w:tcPr>
          <w:p w:rsidR="007D13F3" w:rsidRPr="00DB5A6D" w:rsidRDefault="007D13F3" w:rsidP="00465CAC">
            <w:pPr>
              <w:jc w:val="right"/>
              <w:rPr>
                <w:rFonts w:ascii="Times New Roman" w:hAnsi="Times New Roman" w:cs="Times New Roman"/>
                <w:b/>
                <w:sz w:val="14"/>
                <w:szCs w:val="14"/>
              </w:rPr>
            </w:pPr>
            <w:r w:rsidRPr="00DB5A6D">
              <w:rPr>
                <w:rFonts w:ascii="Times New Roman" w:hAnsi="Times New Roman" w:cs="Times New Roman"/>
                <w:b/>
                <w:sz w:val="14"/>
                <w:szCs w:val="14"/>
              </w:rPr>
              <w:t>30 061 027</w:t>
            </w:r>
          </w:p>
        </w:tc>
      </w:tr>
      <w:tr w:rsidR="007D13F3" w:rsidRPr="00C67589" w:rsidTr="00465CAC">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7D13F3" w:rsidRPr="00C67589" w:rsidRDefault="007D13F3" w:rsidP="00465CAC">
            <w:pPr>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Osobné výdavky</w:t>
            </w:r>
          </w:p>
        </w:tc>
        <w:tc>
          <w:tcPr>
            <w:tcW w:w="1012" w:type="dxa"/>
            <w:tcBorders>
              <w:top w:val="nil"/>
              <w:left w:val="single" w:sz="4" w:space="0" w:color="auto"/>
              <w:bottom w:val="single" w:sz="4" w:space="0" w:color="auto"/>
              <w:right w:val="single" w:sz="4" w:space="0" w:color="auto"/>
            </w:tcBorders>
            <w:shd w:val="clear" w:color="auto" w:fill="auto"/>
            <w:vAlign w:val="bottom"/>
            <w:hideMark/>
          </w:tcPr>
          <w:p w:rsidR="007D13F3" w:rsidRPr="006F1FD3" w:rsidRDefault="007D13F3" w:rsidP="00465CAC">
            <w:pPr>
              <w:jc w:val="right"/>
              <w:rPr>
                <w:rFonts w:ascii="Times New Roman" w:hAnsi="Times New Roman" w:cs="Times New Roman"/>
                <w:sz w:val="14"/>
                <w:szCs w:val="14"/>
              </w:rPr>
            </w:pPr>
            <w:r w:rsidRPr="006F1FD3">
              <w:rPr>
                <w:rFonts w:ascii="Times New Roman" w:hAnsi="Times New Roman" w:cs="Times New Roman"/>
                <w:sz w:val="14"/>
                <w:szCs w:val="14"/>
              </w:rPr>
              <w:t xml:space="preserve">10 581 716 </w:t>
            </w:r>
          </w:p>
        </w:tc>
        <w:tc>
          <w:tcPr>
            <w:tcW w:w="1012" w:type="dxa"/>
            <w:tcBorders>
              <w:top w:val="nil"/>
              <w:left w:val="nil"/>
              <w:bottom w:val="single" w:sz="4" w:space="0" w:color="auto"/>
              <w:right w:val="single" w:sz="4" w:space="0" w:color="auto"/>
            </w:tcBorders>
            <w:shd w:val="clear" w:color="auto" w:fill="auto"/>
            <w:noWrap/>
            <w:vAlign w:val="bottom"/>
            <w:hideMark/>
          </w:tcPr>
          <w:p w:rsidR="007D13F3" w:rsidRPr="006F1FD3" w:rsidRDefault="007D13F3" w:rsidP="00465CAC">
            <w:pPr>
              <w:jc w:val="right"/>
              <w:rPr>
                <w:rFonts w:ascii="Times New Roman" w:hAnsi="Times New Roman" w:cs="Times New Roman"/>
                <w:sz w:val="14"/>
                <w:szCs w:val="14"/>
              </w:rPr>
            </w:pPr>
            <w:r w:rsidRPr="006F1FD3">
              <w:rPr>
                <w:rFonts w:ascii="Times New Roman" w:hAnsi="Times New Roman" w:cs="Times New Roman"/>
                <w:sz w:val="14"/>
                <w:szCs w:val="14"/>
              </w:rPr>
              <w:t xml:space="preserve">11 106 691 </w:t>
            </w:r>
          </w:p>
        </w:tc>
        <w:tc>
          <w:tcPr>
            <w:tcW w:w="1013" w:type="dxa"/>
            <w:tcBorders>
              <w:top w:val="nil"/>
              <w:left w:val="nil"/>
              <w:bottom w:val="single" w:sz="4" w:space="0" w:color="auto"/>
              <w:right w:val="single" w:sz="4" w:space="0" w:color="auto"/>
            </w:tcBorders>
            <w:shd w:val="clear" w:color="auto" w:fill="auto"/>
            <w:vAlign w:val="bottom"/>
            <w:hideMark/>
          </w:tcPr>
          <w:p w:rsidR="007D13F3" w:rsidRPr="006F1FD3" w:rsidRDefault="007D13F3" w:rsidP="00465CAC">
            <w:pPr>
              <w:jc w:val="right"/>
              <w:rPr>
                <w:rFonts w:ascii="Times New Roman" w:hAnsi="Times New Roman" w:cs="Times New Roman"/>
                <w:sz w:val="14"/>
                <w:szCs w:val="14"/>
              </w:rPr>
            </w:pPr>
            <w:r w:rsidRPr="006F1FD3">
              <w:rPr>
                <w:rFonts w:ascii="Times New Roman" w:hAnsi="Times New Roman" w:cs="Times New Roman"/>
                <w:sz w:val="14"/>
                <w:szCs w:val="14"/>
              </w:rPr>
              <w:t xml:space="preserve">13 768 768 </w:t>
            </w:r>
          </w:p>
        </w:tc>
        <w:tc>
          <w:tcPr>
            <w:tcW w:w="1012" w:type="dxa"/>
            <w:tcBorders>
              <w:top w:val="nil"/>
              <w:left w:val="nil"/>
              <w:bottom w:val="single" w:sz="4" w:space="0" w:color="auto"/>
              <w:right w:val="single" w:sz="4" w:space="0" w:color="auto"/>
            </w:tcBorders>
            <w:shd w:val="clear" w:color="auto" w:fill="auto"/>
            <w:vAlign w:val="bottom"/>
            <w:hideMark/>
          </w:tcPr>
          <w:p w:rsidR="007D13F3" w:rsidRPr="00DB5A6D" w:rsidRDefault="007D13F3" w:rsidP="00465CAC">
            <w:pPr>
              <w:jc w:val="right"/>
              <w:rPr>
                <w:rFonts w:ascii="Times New Roman" w:hAnsi="Times New Roman" w:cs="Times New Roman"/>
                <w:sz w:val="14"/>
                <w:szCs w:val="14"/>
              </w:rPr>
            </w:pPr>
            <w:r w:rsidRPr="00DB5A6D">
              <w:rPr>
                <w:rFonts w:ascii="Times New Roman" w:hAnsi="Times New Roman" w:cs="Times New Roman"/>
                <w:sz w:val="14"/>
                <w:szCs w:val="14"/>
              </w:rPr>
              <w:t xml:space="preserve">14 280 618 </w:t>
            </w:r>
          </w:p>
        </w:tc>
        <w:tc>
          <w:tcPr>
            <w:tcW w:w="1013" w:type="dxa"/>
            <w:tcBorders>
              <w:top w:val="nil"/>
              <w:left w:val="nil"/>
              <w:bottom w:val="single" w:sz="4" w:space="0" w:color="auto"/>
              <w:right w:val="single" w:sz="4" w:space="0" w:color="auto"/>
            </w:tcBorders>
            <w:shd w:val="clear" w:color="auto" w:fill="auto"/>
            <w:noWrap/>
            <w:vAlign w:val="bottom"/>
            <w:hideMark/>
          </w:tcPr>
          <w:p w:rsidR="007D13F3" w:rsidRPr="00DB5A6D" w:rsidRDefault="007D13F3" w:rsidP="00465CAC">
            <w:pPr>
              <w:jc w:val="right"/>
              <w:rPr>
                <w:rFonts w:ascii="Times New Roman" w:hAnsi="Times New Roman" w:cs="Times New Roman"/>
                <w:sz w:val="14"/>
                <w:szCs w:val="14"/>
              </w:rPr>
            </w:pPr>
            <w:r w:rsidRPr="00DB5A6D">
              <w:rPr>
                <w:rFonts w:ascii="Times New Roman" w:hAnsi="Times New Roman" w:cs="Times New Roman"/>
                <w:sz w:val="14"/>
                <w:szCs w:val="14"/>
              </w:rPr>
              <w:t xml:space="preserve">11 714 782 </w:t>
            </w:r>
          </w:p>
        </w:tc>
        <w:tc>
          <w:tcPr>
            <w:tcW w:w="1012" w:type="dxa"/>
            <w:tcBorders>
              <w:top w:val="nil"/>
              <w:left w:val="nil"/>
              <w:bottom w:val="single" w:sz="4" w:space="0" w:color="auto"/>
              <w:right w:val="single" w:sz="4" w:space="0" w:color="auto"/>
            </w:tcBorders>
            <w:shd w:val="clear" w:color="auto" w:fill="auto"/>
            <w:noWrap/>
            <w:vAlign w:val="bottom"/>
            <w:hideMark/>
          </w:tcPr>
          <w:p w:rsidR="007D13F3" w:rsidRPr="00DB5A6D" w:rsidRDefault="007D13F3" w:rsidP="00465CAC">
            <w:pPr>
              <w:jc w:val="right"/>
              <w:rPr>
                <w:rFonts w:ascii="Times New Roman" w:hAnsi="Times New Roman" w:cs="Times New Roman"/>
                <w:sz w:val="14"/>
                <w:szCs w:val="14"/>
              </w:rPr>
            </w:pPr>
            <w:r w:rsidRPr="00DB5A6D">
              <w:rPr>
                <w:rFonts w:ascii="Times New Roman" w:hAnsi="Times New Roman" w:cs="Times New Roman"/>
                <w:sz w:val="14"/>
                <w:szCs w:val="14"/>
              </w:rPr>
              <w:t xml:space="preserve">11 400 730 </w:t>
            </w:r>
          </w:p>
        </w:tc>
        <w:tc>
          <w:tcPr>
            <w:tcW w:w="1013" w:type="dxa"/>
            <w:tcBorders>
              <w:top w:val="nil"/>
              <w:left w:val="nil"/>
              <w:bottom w:val="single" w:sz="4" w:space="0" w:color="auto"/>
              <w:right w:val="single" w:sz="4" w:space="0" w:color="auto"/>
            </w:tcBorders>
            <w:shd w:val="clear" w:color="auto" w:fill="auto"/>
            <w:noWrap/>
            <w:vAlign w:val="bottom"/>
            <w:hideMark/>
          </w:tcPr>
          <w:p w:rsidR="007D13F3" w:rsidRPr="00DB5A6D" w:rsidRDefault="007D13F3" w:rsidP="00465CAC">
            <w:pPr>
              <w:jc w:val="right"/>
              <w:rPr>
                <w:rFonts w:ascii="Times New Roman" w:hAnsi="Times New Roman" w:cs="Times New Roman"/>
                <w:sz w:val="14"/>
                <w:szCs w:val="14"/>
              </w:rPr>
            </w:pPr>
            <w:r w:rsidRPr="00DB5A6D">
              <w:rPr>
                <w:rFonts w:ascii="Times New Roman" w:hAnsi="Times New Roman" w:cs="Times New Roman"/>
                <w:sz w:val="14"/>
                <w:szCs w:val="14"/>
              </w:rPr>
              <w:t xml:space="preserve">11 406 182 </w:t>
            </w:r>
          </w:p>
        </w:tc>
      </w:tr>
      <w:tr w:rsidR="007D13F3" w:rsidRPr="00C67589" w:rsidTr="00465CAC">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7D13F3" w:rsidRPr="00C67589" w:rsidRDefault="007D13F3" w:rsidP="00465CAC">
            <w:pPr>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Tovary a služby</w:t>
            </w:r>
          </w:p>
        </w:tc>
        <w:tc>
          <w:tcPr>
            <w:tcW w:w="1012" w:type="dxa"/>
            <w:tcBorders>
              <w:top w:val="nil"/>
              <w:left w:val="single" w:sz="4" w:space="0" w:color="auto"/>
              <w:bottom w:val="single" w:sz="4" w:space="0" w:color="auto"/>
              <w:right w:val="single" w:sz="4" w:space="0" w:color="auto"/>
            </w:tcBorders>
            <w:shd w:val="clear" w:color="auto" w:fill="auto"/>
            <w:vAlign w:val="bottom"/>
            <w:hideMark/>
          </w:tcPr>
          <w:p w:rsidR="007D13F3" w:rsidRPr="006F1FD3" w:rsidRDefault="007D13F3" w:rsidP="00465CAC">
            <w:pPr>
              <w:jc w:val="right"/>
              <w:rPr>
                <w:rFonts w:ascii="Times New Roman" w:hAnsi="Times New Roman" w:cs="Times New Roman"/>
                <w:sz w:val="14"/>
                <w:szCs w:val="14"/>
              </w:rPr>
            </w:pPr>
            <w:r w:rsidRPr="006F1FD3">
              <w:rPr>
                <w:rFonts w:ascii="Times New Roman" w:hAnsi="Times New Roman" w:cs="Times New Roman"/>
                <w:sz w:val="14"/>
                <w:szCs w:val="14"/>
              </w:rPr>
              <w:t xml:space="preserve">7 743 479 </w:t>
            </w:r>
          </w:p>
        </w:tc>
        <w:tc>
          <w:tcPr>
            <w:tcW w:w="1012" w:type="dxa"/>
            <w:tcBorders>
              <w:top w:val="nil"/>
              <w:left w:val="nil"/>
              <w:bottom w:val="single" w:sz="4" w:space="0" w:color="auto"/>
              <w:right w:val="single" w:sz="4" w:space="0" w:color="auto"/>
            </w:tcBorders>
            <w:shd w:val="clear" w:color="auto" w:fill="auto"/>
            <w:vAlign w:val="bottom"/>
            <w:hideMark/>
          </w:tcPr>
          <w:p w:rsidR="007D13F3" w:rsidRPr="006F1FD3" w:rsidRDefault="007D13F3" w:rsidP="00465CAC">
            <w:pPr>
              <w:jc w:val="right"/>
              <w:rPr>
                <w:rFonts w:ascii="Times New Roman" w:hAnsi="Times New Roman" w:cs="Times New Roman"/>
                <w:sz w:val="14"/>
                <w:szCs w:val="14"/>
              </w:rPr>
            </w:pPr>
            <w:r w:rsidRPr="006F1FD3">
              <w:rPr>
                <w:rFonts w:ascii="Times New Roman" w:hAnsi="Times New Roman" w:cs="Times New Roman"/>
                <w:sz w:val="14"/>
                <w:szCs w:val="14"/>
              </w:rPr>
              <w:t xml:space="preserve">7 245 914 </w:t>
            </w:r>
          </w:p>
        </w:tc>
        <w:tc>
          <w:tcPr>
            <w:tcW w:w="1013" w:type="dxa"/>
            <w:tcBorders>
              <w:top w:val="nil"/>
              <w:left w:val="nil"/>
              <w:bottom w:val="single" w:sz="4" w:space="0" w:color="auto"/>
              <w:right w:val="single" w:sz="4" w:space="0" w:color="auto"/>
            </w:tcBorders>
            <w:shd w:val="clear" w:color="auto" w:fill="auto"/>
            <w:vAlign w:val="bottom"/>
            <w:hideMark/>
          </w:tcPr>
          <w:p w:rsidR="007D13F3" w:rsidRPr="006F1FD3" w:rsidRDefault="007D13F3" w:rsidP="00465CAC">
            <w:pPr>
              <w:jc w:val="right"/>
              <w:rPr>
                <w:rFonts w:ascii="Times New Roman" w:hAnsi="Times New Roman" w:cs="Times New Roman"/>
                <w:sz w:val="14"/>
                <w:szCs w:val="14"/>
              </w:rPr>
            </w:pPr>
            <w:r w:rsidRPr="006F1FD3">
              <w:rPr>
                <w:rFonts w:ascii="Times New Roman" w:hAnsi="Times New Roman" w:cs="Times New Roman"/>
                <w:sz w:val="14"/>
                <w:szCs w:val="14"/>
              </w:rPr>
              <w:t xml:space="preserve">14 402 766 </w:t>
            </w:r>
          </w:p>
        </w:tc>
        <w:tc>
          <w:tcPr>
            <w:tcW w:w="1012" w:type="dxa"/>
            <w:tcBorders>
              <w:top w:val="nil"/>
              <w:left w:val="nil"/>
              <w:bottom w:val="single" w:sz="4" w:space="0" w:color="auto"/>
              <w:right w:val="single" w:sz="4" w:space="0" w:color="auto"/>
            </w:tcBorders>
            <w:shd w:val="clear" w:color="auto" w:fill="auto"/>
            <w:vAlign w:val="bottom"/>
            <w:hideMark/>
          </w:tcPr>
          <w:p w:rsidR="007D13F3" w:rsidRPr="00DB5A6D" w:rsidRDefault="007D13F3" w:rsidP="00465CAC">
            <w:pPr>
              <w:jc w:val="right"/>
              <w:rPr>
                <w:rFonts w:ascii="Times New Roman" w:hAnsi="Times New Roman" w:cs="Times New Roman"/>
                <w:sz w:val="14"/>
                <w:szCs w:val="14"/>
              </w:rPr>
            </w:pPr>
            <w:r w:rsidRPr="00DB5A6D">
              <w:rPr>
                <w:rFonts w:ascii="Times New Roman" w:hAnsi="Times New Roman" w:cs="Times New Roman"/>
                <w:sz w:val="14"/>
                <w:szCs w:val="14"/>
              </w:rPr>
              <w:t xml:space="preserve">10 778 531 </w:t>
            </w:r>
          </w:p>
        </w:tc>
        <w:tc>
          <w:tcPr>
            <w:tcW w:w="1013" w:type="dxa"/>
            <w:tcBorders>
              <w:top w:val="nil"/>
              <w:left w:val="nil"/>
              <w:bottom w:val="single" w:sz="4" w:space="0" w:color="auto"/>
              <w:right w:val="single" w:sz="4" w:space="0" w:color="auto"/>
            </w:tcBorders>
            <w:shd w:val="clear" w:color="auto" w:fill="auto"/>
            <w:vAlign w:val="bottom"/>
            <w:hideMark/>
          </w:tcPr>
          <w:p w:rsidR="007D13F3" w:rsidRPr="00DB5A6D" w:rsidRDefault="007D13F3" w:rsidP="00465CAC">
            <w:pPr>
              <w:jc w:val="right"/>
              <w:rPr>
                <w:rFonts w:ascii="Times New Roman" w:hAnsi="Times New Roman" w:cs="Times New Roman"/>
                <w:sz w:val="14"/>
                <w:szCs w:val="14"/>
              </w:rPr>
            </w:pPr>
            <w:r w:rsidRPr="00DB5A6D">
              <w:rPr>
                <w:rFonts w:ascii="Times New Roman" w:hAnsi="Times New Roman" w:cs="Times New Roman"/>
                <w:sz w:val="14"/>
                <w:szCs w:val="14"/>
              </w:rPr>
              <w:t xml:space="preserve">14 287 646 </w:t>
            </w:r>
          </w:p>
        </w:tc>
        <w:tc>
          <w:tcPr>
            <w:tcW w:w="1012" w:type="dxa"/>
            <w:tcBorders>
              <w:top w:val="nil"/>
              <w:left w:val="nil"/>
              <w:bottom w:val="single" w:sz="4" w:space="0" w:color="auto"/>
              <w:right w:val="single" w:sz="4" w:space="0" w:color="auto"/>
            </w:tcBorders>
            <w:shd w:val="clear" w:color="auto" w:fill="auto"/>
            <w:noWrap/>
            <w:vAlign w:val="bottom"/>
            <w:hideMark/>
          </w:tcPr>
          <w:p w:rsidR="007D13F3" w:rsidRPr="00DB5A6D" w:rsidRDefault="007D13F3" w:rsidP="00465CAC">
            <w:pPr>
              <w:jc w:val="right"/>
              <w:rPr>
                <w:rFonts w:ascii="Times New Roman" w:hAnsi="Times New Roman" w:cs="Times New Roman"/>
                <w:sz w:val="14"/>
                <w:szCs w:val="14"/>
              </w:rPr>
            </w:pPr>
            <w:r w:rsidRPr="00DB5A6D">
              <w:rPr>
                <w:rFonts w:ascii="Times New Roman" w:hAnsi="Times New Roman" w:cs="Times New Roman"/>
                <w:sz w:val="14"/>
                <w:szCs w:val="14"/>
              </w:rPr>
              <w:t xml:space="preserve">14 854 883 </w:t>
            </w:r>
          </w:p>
        </w:tc>
        <w:tc>
          <w:tcPr>
            <w:tcW w:w="1013" w:type="dxa"/>
            <w:tcBorders>
              <w:top w:val="nil"/>
              <w:left w:val="nil"/>
              <w:bottom w:val="single" w:sz="4" w:space="0" w:color="auto"/>
              <w:right w:val="single" w:sz="4" w:space="0" w:color="auto"/>
            </w:tcBorders>
            <w:shd w:val="clear" w:color="auto" w:fill="auto"/>
            <w:noWrap/>
            <w:vAlign w:val="bottom"/>
            <w:hideMark/>
          </w:tcPr>
          <w:p w:rsidR="007D13F3" w:rsidRPr="00DB5A6D" w:rsidRDefault="007D13F3" w:rsidP="00465CAC">
            <w:pPr>
              <w:jc w:val="right"/>
              <w:rPr>
                <w:rFonts w:ascii="Times New Roman" w:hAnsi="Times New Roman" w:cs="Times New Roman"/>
                <w:sz w:val="14"/>
                <w:szCs w:val="14"/>
              </w:rPr>
            </w:pPr>
            <w:r w:rsidRPr="00DB5A6D">
              <w:rPr>
                <w:rFonts w:ascii="Times New Roman" w:hAnsi="Times New Roman" w:cs="Times New Roman"/>
                <w:sz w:val="14"/>
                <w:szCs w:val="14"/>
              </w:rPr>
              <w:t xml:space="preserve">17 410 697 </w:t>
            </w:r>
          </w:p>
        </w:tc>
      </w:tr>
      <w:tr w:rsidR="007D13F3" w:rsidRPr="00C67589" w:rsidTr="00465CAC">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7D13F3" w:rsidRPr="00C67589" w:rsidRDefault="007D13F3" w:rsidP="00465CAC">
            <w:pPr>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Transfery</w:t>
            </w:r>
          </w:p>
        </w:tc>
        <w:tc>
          <w:tcPr>
            <w:tcW w:w="1012" w:type="dxa"/>
            <w:tcBorders>
              <w:top w:val="nil"/>
              <w:left w:val="single" w:sz="4" w:space="0" w:color="auto"/>
              <w:bottom w:val="single" w:sz="4" w:space="0" w:color="auto"/>
              <w:right w:val="single" w:sz="4" w:space="0" w:color="auto"/>
            </w:tcBorders>
            <w:shd w:val="clear" w:color="auto" w:fill="auto"/>
            <w:vAlign w:val="bottom"/>
            <w:hideMark/>
          </w:tcPr>
          <w:p w:rsidR="007D13F3" w:rsidRPr="006F1FD3" w:rsidRDefault="007D13F3" w:rsidP="00465CAC">
            <w:pPr>
              <w:jc w:val="right"/>
              <w:rPr>
                <w:rFonts w:ascii="Times New Roman" w:hAnsi="Times New Roman" w:cs="Times New Roman"/>
                <w:sz w:val="14"/>
                <w:szCs w:val="14"/>
              </w:rPr>
            </w:pPr>
            <w:r w:rsidRPr="006F1FD3">
              <w:rPr>
                <w:rFonts w:ascii="Times New Roman" w:hAnsi="Times New Roman" w:cs="Times New Roman"/>
                <w:sz w:val="14"/>
                <w:szCs w:val="14"/>
              </w:rPr>
              <w:t xml:space="preserve">809 875 </w:t>
            </w:r>
          </w:p>
        </w:tc>
        <w:tc>
          <w:tcPr>
            <w:tcW w:w="1012" w:type="dxa"/>
            <w:tcBorders>
              <w:top w:val="nil"/>
              <w:left w:val="nil"/>
              <w:bottom w:val="single" w:sz="4" w:space="0" w:color="auto"/>
              <w:right w:val="single" w:sz="4" w:space="0" w:color="auto"/>
            </w:tcBorders>
            <w:shd w:val="clear" w:color="auto" w:fill="auto"/>
            <w:vAlign w:val="bottom"/>
            <w:hideMark/>
          </w:tcPr>
          <w:p w:rsidR="007D13F3" w:rsidRPr="006F1FD3" w:rsidRDefault="007D13F3" w:rsidP="00465CAC">
            <w:pPr>
              <w:jc w:val="right"/>
              <w:rPr>
                <w:rFonts w:ascii="Times New Roman" w:hAnsi="Times New Roman" w:cs="Times New Roman"/>
                <w:sz w:val="14"/>
                <w:szCs w:val="14"/>
              </w:rPr>
            </w:pPr>
            <w:r w:rsidRPr="006F1FD3">
              <w:rPr>
                <w:rFonts w:ascii="Times New Roman" w:hAnsi="Times New Roman" w:cs="Times New Roman"/>
                <w:sz w:val="14"/>
                <w:szCs w:val="14"/>
              </w:rPr>
              <w:t xml:space="preserve">840 447 </w:t>
            </w:r>
          </w:p>
        </w:tc>
        <w:tc>
          <w:tcPr>
            <w:tcW w:w="1013" w:type="dxa"/>
            <w:tcBorders>
              <w:top w:val="nil"/>
              <w:left w:val="nil"/>
              <w:bottom w:val="single" w:sz="4" w:space="0" w:color="auto"/>
              <w:right w:val="single" w:sz="4" w:space="0" w:color="auto"/>
            </w:tcBorders>
            <w:shd w:val="clear" w:color="auto" w:fill="auto"/>
            <w:vAlign w:val="bottom"/>
            <w:hideMark/>
          </w:tcPr>
          <w:p w:rsidR="007D13F3" w:rsidRPr="006F1FD3" w:rsidRDefault="007D13F3" w:rsidP="00465CAC">
            <w:pPr>
              <w:jc w:val="right"/>
              <w:rPr>
                <w:rFonts w:ascii="Times New Roman" w:hAnsi="Times New Roman" w:cs="Times New Roman"/>
                <w:sz w:val="14"/>
                <w:szCs w:val="14"/>
              </w:rPr>
            </w:pPr>
            <w:r w:rsidRPr="006F1FD3">
              <w:rPr>
                <w:rFonts w:ascii="Times New Roman" w:hAnsi="Times New Roman" w:cs="Times New Roman"/>
                <w:sz w:val="14"/>
                <w:szCs w:val="14"/>
              </w:rPr>
              <w:t xml:space="preserve">894 367 </w:t>
            </w:r>
          </w:p>
        </w:tc>
        <w:tc>
          <w:tcPr>
            <w:tcW w:w="1012" w:type="dxa"/>
            <w:tcBorders>
              <w:top w:val="nil"/>
              <w:left w:val="nil"/>
              <w:bottom w:val="single" w:sz="4" w:space="0" w:color="auto"/>
              <w:right w:val="single" w:sz="4" w:space="0" w:color="auto"/>
            </w:tcBorders>
            <w:shd w:val="clear" w:color="auto" w:fill="auto"/>
            <w:vAlign w:val="bottom"/>
            <w:hideMark/>
          </w:tcPr>
          <w:p w:rsidR="007D13F3" w:rsidRPr="00DB5A6D" w:rsidRDefault="007D13F3" w:rsidP="00465CAC">
            <w:pPr>
              <w:jc w:val="right"/>
              <w:rPr>
                <w:rFonts w:ascii="Times New Roman" w:hAnsi="Times New Roman" w:cs="Times New Roman"/>
                <w:sz w:val="14"/>
                <w:szCs w:val="14"/>
              </w:rPr>
            </w:pPr>
            <w:r w:rsidRPr="00DB5A6D">
              <w:rPr>
                <w:rFonts w:ascii="Times New Roman" w:hAnsi="Times New Roman" w:cs="Times New Roman"/>
                <w:sz w:val="14"/>
                <w:szCs w:val="14"/>
              </w:rPr>
              <w:t xml:space="preserve">967 667 </w:t>
            </w:r>
          </w:p>
        </w:tc>
        <w:tc>
          <w:tcPr>
            <w:tcW w:w="1013" w:type="dxa"/>
            <w:tcBorders>
              <w:top w:val="nil"/>
              <w:left w:val="nil"/>
              <w:bottom w:val="single" w:sz="4" w:space="0" w:color="auto"/>
              <w:right w:val="single" w:sz="4" w:space="0" w:color="auto"/>
            </w:tcBorders>
            <w:shd w:val="clear" w:color="auto" w:fill="auto"/>
            <w:vAlign w:val="bottom"/>
            <w:hideMark/>
          </w:tcPr>
          <w:p w:rsidR="007D13F3" w:rsidRPr="00DB5A6D" w:rsidRDefault="007D13F3" w:rsidP="00465CAC">
            <w:pPr>
              <w:jc w:val="right"/>
              <w:rPr>
                <w:rFonts w:ascii="Times New Roman" w:hAnsi="Times New Roman" w:cs="Times New Roman"/>
                <w:sz w:val="14"/>
                <w:szCs w:val="14"/>
              </w:rPr>
            </w:pPr>
            <w:r w:rsidRPr="00DB5A6D">
              <w:rPr>
                <w:rFonts w:ascii="Times New Roman" w:hAnsi="Times New Roman" w:cs="Times New Roman"/>
                <w:sz w:val="14"/>
                <w:szCs w:val="14"/>
              </w:rPr>
              <w:t xml:space="preserve">1 016 948 </w:t>
            </w:r>
          </w:p>
        </w:tc>
        <w:tc>
          <w:tcPr>
            <w:tcW w:w="1012" w:type="dxa"/>
            <w:tcBorders>
              <w:top w:val="nil"/>
              <w:left w:val="nil"/>
              <w:bottom w:val="single" w:sz="4" w:space="0" w:color="auto"/>
              <w:right w:val="single" w:sz="4" w:space="0" w:color="auto"/>
            </w:tcBorders>
            <w:shd w:val="clear" w:color="auto" w:fill="auto"/>
            <w:noWrap/>
            <w:vAlign w:val="bottom"/>
            <w:hideMark/>
          </w:tcPr>
          <w:p w:rsidR="007D13F3" w:rsidRPr="00DB5A6D" w:rsidRDefault="007D13F3" w:rsidP="00465CAC">
            <w:pPr>
              <w:jc w:val="right"/>
              <w:rPr>
                <w:rFonts w:ascii="Times New Roman" w:hAnsi="Times New Roman" w:cs="Times New Roman"/>
                <w:sz w:val="14"/>
                <w:szCs w:val="14"/>
              </w:rPr>
            </w:pPr>
            <w:r w:rsidRPr="00DB5A6D">
              <w:rPr>
                <w:rFonts w:ascii="Times New Roman" w:hAnsi="Times New Roman" w:cs="Times New Roman"/>
                <w:sz w:val="14"/>
                <w:szCs w:val="14"/>
              </w:rPr>
              <w:t>1 016 948</w:t>
            </w:r>
          </w:p>
        </w:tc>
        <w:tc>
          <w:tcPr>
            <w:tcW w:w="1013" w:type="dxa"/>
            <w:tcBorders>
              <w:top w:val="nil"/>
              <w:left w:val="nil"/>
              <w:bottom w:val="single" w:sz="4" w:space="0" w:color="auto"/>
              <w:right w:val="single" w:sz="4" w:space="0" w:color="auto"/>
            </w:tcBorders>
            <w:shd w:val="clear" w:color="auto" w:fill="auto"/>
            <w:noWrap/>
            <w:vAlign w:val="bottom"/>
            <w:hideMark/>
          </w:tcPr>
          <w:p w:rsidR="007D13F3" w:rsidRPr="00DB5A6D" w:rsidRDefault="007D13F3" w:rsidP="00465CAC">
            <w:pPr>
              <w:jc w:val="right"/>
              <w:rPr>
                <w:rFonts w:ascii="Times New Roman" w:hAnsi="Times New Roman" w:cs="Times New Roman"/>
                <w:sz w:val="14"/>
                <w:szCs w:val="14"/>
              </w:rPr>
            </w:pPr>
            <w:r w:rsidRPr="00DB5A6D">
              <w:rPr>
                <w:rFonts w:ascii="Times New Roman" w:hAnsi="Times New Roman" w:cs="Times New Roman"/>
                <w:sz w:val="14"/>
                <w:szCs w:val="14"/>
              </w:rPr>
              <w:t>1 016 948</w:t>
            </w:r>
          </w:p>
        </w:tc>
      </w:tr>
      <w:tr w:rsidR="007D13F3" w:rsidRPr="00C67589" w:rsidTr="00465CAC">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7D13F3" w:rsidRPr="00C67589" w:rsidRDefault="007D13F3" w:rsidP="00465CAC">
            <w:pPr>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Kapitálové výdavky</w:t>
            </w:r>
          </w:p>
        </w:tc>
        <w:tc>
          <w:tcPr>
            <w:tcW w:w="1012" w:type="dxa"/>
            <w:tcBorders>
              <w:top w:val="nil"/>
              <w:left w:val="single" w:sz="4" w:space="0" w:color="auto"/>
              <w:bottom w:val="single" w:sz="4" w:space="0" w:color="auto"/>
              <w:right w:val="single" w:sz="4" w:space="0" w:color="auto"/>
            </w:tcBorders>
            <w:shd w:val="clear" w:color="auto" w:fill="auto"/>
            <w:vAlign w:val="bottom"/>
            <w:hideMark/>
          </w:tcPr>
          <w:p w:rsidR="007D13F3" w:rsidRPr="006F1FD3" w:rsidRDefault="007D13F3" w:rsidP="00465CAC">
            <w:pPr>
              <w:jc w:val="right"/>
              <w:rPr>
                <w:rFonts w:ascii="Times New Roman" w:hAnsi="Times New Roman" w:cs="Times New Roman"/>
                <w:sz w:val="14"/>
                <w:szCs w:val="14"/>
              </w:rPr>
            </w:pPr>
            <w:r w:rsidRPr="006F1FD3">
              <w:rPr>
                <w:rFonts w:ascii="Times New Roman" w:hAnsi="Times New Roman" w:cs="Times New Roman"/>
                <w:sz w:val="14"/>
                <w:szCs w:val="14"/>
              </w:rPr>
              <w:t xml:space="preserve">0 </w:t>
            </w:r>
          </w:p>
        </w:tc>
        <w:tc>
          <w:tcPr>
            <w:tcW w:w="1012" w:type="dxa"/>
            <w:tcBorders>
              <w:top w:val="nil"/>
              <w:left w:val="nil"/>
              <w:bottom w:val="single" w:sz="4" w:space="0" w:color="auto"/>
              <w:right w:val="single" w:sz="4" w:space="0" w:color="auto"/>
            </w:tcBorders>
            <w:shd w:val="clear" w:color="auto" w:fill="auto"/>
            <w:vAlign w:val="bottom"/>
            <w:hideMark/>
          </w:tcPr>
          <w:p w:rsidR="007D13F3" w:rsidRPr="006F1FD3" w:rsidRDefault="007D13F3" w:rsidP="00465CAC">
            <w:pPr>
              <w:jc w:val="right"/>
              <w:rPr>
                <w:rFonts w:ascii="Times New Roman" w:hAnsi="Times New Roman" w:cs="Times New Roman"/>
                <w:sz w:val="14"/>
                <w:szCs w:val="14"/>
              </w:rPr>
            </w:pPr>
            <w:r w:rsidRPr="006F1FD3">
              <w:rPr>
                <w:rFonts w:ascii="Times New Roman" w:hAnsi="Times New Roman" w:cs="Times New Roman"/>
                <w:sz w:val="14"/>
                <w:szCs w:val="14"/>
              </w:rPr>
              <w:t xml:space="preserve">53 443 </w:t>
            </w:r>
          </w:p>
        </w:tc>
        <w:tc>
          <w:tcPr>
            <w:tcW w:w="1013" w:type="dxa"/>
            <w:tcBorders>
              <w:top w:val="nil"/>
              <w:left w:val="nil"/>
              <w:bottom w:val="single" w:sz="4" w:space="0" w:color="auto"/>
              <w:right w:val="single" w:sz="4" w:space="0" w:color="auto"/>
            </w:tcBorders>
            <w:shd w:val="clear" w:color="auto" w:fill="auto"/>
            <w:vAlign w:val="bottom"/>
            <w:hideMark/>
          </w:tcPr>
          <w:p w:rsidR="007D13F3" w:rsidRPr="006F1FD3" w:rsidRDefault="007D13F3" w:rsidP="00465CAC">
            <w:pPr>
              <w:jc w:val="right"/>
              <w:rPr>
                <w:rFonts w:ascii="Times New Roman" w:hAnsi="Times New Roman" w:cs="Times New Roman"/>
                <w:sz w:val="14"/>
                <w:szCs w:val="14"/>
              </w:rPr>
            </w:pPr>
            <w:r w:rsidRPr="006F1FD3">
              <w:rPr>
                <w:rFonts w:ascii="Times New Roman" w:hAnsi="Times New Roman" w:cs="Times New Roman"/>
                <w:sz w:val="14"/>
                <w:szCs w:val="14"/>
              </w:rPr>
              <w:t xml:space="preserve">300 000 </w:t>
            </w:r>
          </w:p>
        </w:tc>
        <w:tc>
          <w:tcPr>
            <w:tcW w:w="1012" w:type="dxa"/>
            <w:tcBorders>
              <w:top w:val="nil"/>
              <w:left w:val="nil"/>
              <w:bottom w:val="single" w:sz="4" w:space="0" w:color="auto"/>
              <w:right w:val="single" w:sz="4" w:space="0" w:color="auto"/>
            </w:tcBorders>
            <w:shd w:val="clear" w:color="auto" w:fill="auto"/>
            <w:vAlign w:val="bottom"/>
            <w:hideMark/>
          </w:tcPr>
          <w:p w:rsidR="007D13F3" w:rsidRPr="00DB5A6D" w:rsidRDefault="007D13F3" w:rsidP="00465CAC">
            <w:pPr>
              <w:jc w:val="right"/>
              <w:rPr>
                <w:rFonts w:ascii="Times New Roman" w:hAnsi="Times New Roman" w:cs="Times New Roman"/>
                <w:sz w:val="14"/>
                <w:szCs w:val="14"/>
              </w:rPr>
            </w:pPr>
            <w:r w:rsidRPr="00DB5A6D">
              <w:rPr>
                <w:rFonts w:ascii="Times New Roman" w:hAnsi="Times New Roman" w:cs="Times New Roman"/>
                <w:sz w:val="14"/>
                <w:szCs w:val="14"/>
              </w:rPr>
              <w:t xml:space="preserve">680 000 </w:t>
            </w:r>
          </w:p>
        </w:tc>
        <w:tc>
          <w:tcPr>
            <w:tcW w:w="1013" w:type="dxa"/>
            <w:tcBorders>
              <w:top w:val="nil"/>
              <w:left w:val="nil"/>
              <w:bottom w:val="single" w:sz="4" w:space="0" w:color="auto"/>
              <w:right w:val="single" w:sz="4" w:space="0" w:color="auto"/>
            </w:tcBorders>
            <w:shd w:val="clear" w:color="auto" w:fill="auto"/>
            <w:vAlign w:val="bottom"/>
            <w:hideMark/>
          </w:tcPr>
          <w:p w:rsidR="007D13F3" w:rsidRPr="00DB5A6D" w:rsidRDefault="007D13F3" w:rsidP="00465CAC">
            <w:pPr>
              <w:jc w:val="right"/>
              <w:rPr>
                <w:rFonts w:ascii="Times New Roman" w:hAnsi="Times New Roman" w:cs="Times New Roman"/>
                <w:sz w:val="14"/>
                <w:szCs w:val="14"/>
              </w:rPr>
            </w:pPr>
            <w:r w:rsidRPr="00DB5A6D">
              <w:rPr>
                <w:rFonts w:ascii="Times New Roman" w:hAnsi="Times New Roman" w:cs="Times New Roman"/>
                <w:sz w:val="14"/>
                <w:szCs w:val="14"/>
              </w:rPr>
              <w:t xml:space="preserve">214 200 </w:t>
            </w:r>
          </w:p>
        </w:tc>
        <w:tc>
          <w:tcPr>
            <w:tcW w:w="1012" w:type="dxa"/>
            <w:tcBorders>
              <w:top w:val="nil"/>
              <w:left w:val="nil"/>
              <w:bottom w:val="single" w:sz="4" w:space="0" w:color="auto"/>
              <w:right w:val="single" w:sz="4" w:space="0" w:color="auto"/>
            </w:tcBorders>
            <w:shd w:val="clear" w:color="auto" w:fill="auto"/>
            <w:noWrap/>
            <w:vAlign w:val="bottom"/>
            <w:hideMark/>
          </w:tcPr>
          <w:p w:rsidR="007D13F3" w:rsidRPr="00DB5A6D" w:rsidRDefault="007D13F3" w:rsidP="00465CAC">
            <w:pPr>
              <w:jc w:val="right"/>
              <w:rPr>
                <w:rFonts w:ascii="Times New Roman" w:hAnsi="Times New Roman" w:cs="Times New Roman"/>
                <w:sz w:val="14"/>
                <w:szCs w:val="14"/>
              </w:rPr>
            </w:pPr>
            <w:r w:rsidRPr="00DB5A6D">
              <w:rPr>
                <w:rFonts w:ascii="Times New Roman" w:hAnsi="Times New Roman" w:cs="Times New Roman"/>
                <w:sz w:val="14"/>
                <w:szCs w:val="14"/>
              </w:rPr>
              <w:t>202 200</w:t>
            </w:r>
          </w:p>
        </w:tc>
        <w:tc>
          <w:tcPr>
            <w:tcW w:w="1013" w:type="dxa"/>
            <w:tcBorders>
              <w:top w:val="nil"/>
              <w:left w:val="nil"/>
              <w:bottom w:val="single" w:sz="4" w:space="0" w:color="auto"/>
              <w:right w:val="single" w:sz="4" w:space="0" w:color="auto"/>
            </w:tcBorders>
            <w:shd w:val="clear" w:color="auto" w:fill="auto"/>
            <w:noWrap/>
            <w:vAlign w:val="bottom"/>
            <w:hideMark/>
          </w:tcPr>
          <w:p w:rsidR="007D13F3" w:rsidRPr="00DB5A6D" w:rsidRDefault="007D13F3" w:rsidP="00465CAC">
            <w:pPr>
              <w:jc w:val="right"/>
              <w:rPr>
                <w:rFonts w:ascii="Times New Roman" w:hAnsi="Times New Roman" w:cs="Times New Roman"/>
                <w:sz w:val="14"/>
                <w:szCs w:val="14"/>
              </w:rPr>
            </w:pPr>
            <w:r w:rsidRPr="00DB5A6D">
              <w:rPr>
                <w:rFonts w:ascii="Times New Roman" w:hAnsi="Times New Roman" w:cs="Times New Roman"/>
                <w:sz w:val="14"/>
                <w:szCs w:val="14"/>
              </w:rPr>
              <w:t>227 200</w:t>
            </w:r>
          </w:p>
        </w:tc>
      </w:tr>
    </w:tbl>
    <w:p w:rsidR="007D13F3" w:rsidRPr="000D79F8" w:rsidRDefault="007D13F3" w:rsidP="007D13F3">
      <w:pPr>
        <w:jc w:val="both"/>
        <w:rPr>
          <w:rFonts w:ascii="Times New Roman" w:hAnsi="Times New Roman" w:cs="Times New Roman"/>
          <w:highlight w:val="yellow"/>
          <w:lang w:eastAsia="sk-SK"/>
        </w:rPr>
      </w:pPr>
    </w:p>
    <w:p w:rsidR="007D13F3" w:rsidRPr="000D79F8" w:rsidRDefault="007D13F3" w:rsidP="007D13F3">
      <w:pPr>
        <w:ind w:firstLine="567"/>
        <w:jc w:val="both"/>
        <w:rPr>
          <w:rFonts w:ascii="Times New Roman" w:hAnsi="Times New Roman" w:cs="Times New Roman"/>
        </w:rPr>
      </w:pPr>
      <w:r w:rsidRPr="000D79F8">
        <w:rPr>
          <w:rFonts w:ascii="Times New Roman" w:hAnsi="Times New Roman" w:cs="Times New Roman"/>
        </w:rPr>
        <w:t>V oblasti operácií mim</w:t>
      </w:r>
      <w:r>
        <w:rPr>
          <w:rFonts w:ascii="Times New Roman" w:hAnsi="Times New Roman" w:cs="Times New Roman"/>
        </w:rPr>
        <w:t>o územia štátu došlo v roku 2018</w:t>
      </w:r>
      <w:r w:rsidRPr="000D79F8">
        <w:rPr>
          <w:rFonts w:ascii="Times New Roman" w:hAnsi="Times New Roman" w:cs="Times New Roman"/>
        </w:rPr>
        <w:t xml:space="preserve"> oprot</w:t>
      </w:r>
      <w:r>
        <w:rPr>
          <w:rFonts w:ascii="Times New Roman" w:hAnsi="Times New Roman" w:cs="Times New Roman"/>
        </w:rPr>
        <w:t>i schválenému rozpočtu roku 2017</w:t>
      </w:r>
      <w:r w:rsidRPr="000D79F8">
        <w:rPr>
          <w:rFonts w:ascii="Times New Roman" w:hAnsi="Times New Roman" w:cs="Times New Roman"/>
        </w:rPr>
        <w:t xml:space="preserve"> k </w:t>
      </w:r>
      <w:r>
        <w:rPr>
          <w:rFonts w:ascii="Times New Roman" w:hAnsi="Times New Roman" w:cs="Times New Roman"/>
        </w:rPr>
        <w:t>poklesu</w:t>
      </w:r>
      <w:r w:rsidRPr="000D79F8">
        <w:rPr>
          <w:rFonts w:ascii="Times New Roman" w:hAnsi="Times New Roman" w:cs="Times New Roman"/>
        </w:rPr>
        <w:t xml:space="preserve"> o</w:t>
      </w:r>
      <w:r>
        <w:rPr>
          <w:rFonts w:ascii="Times New Roman" w:hAnsi="Times New Roman" w:cs="Times New Roman"/>
        </w:rPr>
        <w:t> 2,13</w:t>
      </w:r>
      <w:r w:rsidRPr="000D79F8">
        <w:rPr>
          <w:rFonts w:ascii="Times New Roman" w:hAnsi="Times New Roman" w:cs="Times New Roman"/>
        </w:rPr>
        <w:t xml:space="preserve"> mil. eur, t. j. o</w:t>
      </w:r>
      <w:r>
        <w:rPr>
          <w:rFonts w:ascii="Times New Roman" w:hAnsi="Times New Roman" w:cs="Times New Roman"/>
        </w:rPr>
        <w:t> 7,26</w:t>
      </w:r>
      <w:r w:rsidRPr="000D79F8">
        <w:rPr>
          <w:rFonts w:ascii="Times New Roman" w:hAnsi="Times New Roman" w:cs="Times New Roman"/>
        </w:rPr>
        <w:t xml:space="preserve"> %. Tento </w:t>
      </w:r>
      <w:r>
        <w:rPr>
          <w:rFonts w:ascii="Times New Roman" w:hAnsi="Times New Roman" w:cs="Times New Roman"/>
        </w:rPr>
        <w:t>pokles</w:t>
      </w:r>
      <w:r w:rsidRPr="000D79F8">
        <w:rPr>
          <w:rFonts w:ascii="Times New Roman" w:hAnsi="Times New Roman" w:cs="Times New Roman"/>
        </w:rPr>
        <w:t xml:space="preserve"> je spôsobený najmä </w:t>
      </w:r>
      <w:r>
        <w:rPr>
          <w:rFonts w:ascii="Times New Roman" w:hAnsi="Times New Roman" w:cs="Times New Roman"/>
        </w:rPr>
        <w:t>znížením</w:t>
      </w:r>
      <w:r w:rsidRPr="000D79F8">
        <w:rPr>
          <w:rFonts w:ascii="Times New Roman" w:hAnsi="Times New Roman" w:cs="Times New Roman"/>
        </w:rPr>
        <w:t xml:space="preserve"> osobných výdavkov. K</w:t>
      </w:r>
      <w:r>
        <w:rPr>
          <w:rFonts w:ascii="Times New Roman" w:hAnsi="Times New Roman" w:cs="Times New Roman"/>
        </w:rPr>
        <w:t> 31. augustu 2017</w:t>
      </w:r>
      <w:r w:rsidRPr="000D79F8">
        <w:rPr>
          <w:rFonts w:ascii="Times New Roman" w:hAnsi="Times New Roman" w:cs="Times New Roman"/>
        </w:rPr>
        <w:t xml:space="preserve"> pôsobilo v rámc</w:t>
      </w:r>
      <w:r>
        <w:rPr>
          <w:rFonts w:ascii="Times New Roman" w:hAnsi="Times New Roman" w:cs="Times New Roman"/>
        </w:rPr>
        <w:t>i operácií mimo územia štátu 260</w:t>
      </w:r>
      <w:r w:rsidRPr="000D79F8">
        <w:rPr>
          <w:rFonts w:ascii="Times New Roman" w:hAnsi="Times New Roman" w:cs="Times New Roman"/>
        </w:rPr>
        <w:t xml:space="preserve"> vojakov. Slovenskí vojaci pôsobia v nasledovných misiách: </w:t>
      </w:r>
    </w:p>
    <w:p w:rsidR="007D13F3" w:rsidRPr="000D79F8" w:rsidRDefault="007D13F3" w:rsidP="007D13F3">
      <w:pPr>
        <w:ind w:firstLine="567"/>
        <w:jc w:val="both"/>
        <w:rPr>
          <w:rFonts w:ascii="Times New Roman" w:hAnsi="Times New Roman" w:cs="Times New Roman"/>
        </w:rPr>
      </w:pPr>
    </w:p>
    <w:p w:rsidR="007D13F3" w:rsidRPr="000D79F8" w:rsidRDefault="007D13F3" w:rsidP="007D13F3">
      <w:pPr>
        <w:jc w:val="both"/>
        <w:rPr>
          <w:rFonts w:ascii="Times New Roman" w:hAnsi="Times New Roman" w:cs="Times New Roman"/>
        </w:rPr>
      </w:pPr>
      <w:r>
        <w:rPr>
          <w:rFonts w:ascii="Times New Roman" w:hAnsi="Times New Roman" w:cs="Times New Roman"/>
        </w:rPr>
        <w:t xml:space="preserve">       </w:t>
      </w:r>
      <w:r w:rsidRPr="000D79F8">
        <w:rPr>
          <w:rFonts w:ascii="Times New Roman" w:hAnsi="Times New Roman" w:cs="Times New Roman"/>
        </w:rPr>
        <w:t>Op</w:t>
      </w:r>
      <w:r>
        <w:rPr>
          <w:rFonts w:ascii="Times New Roman" w:hAnsi="Times New Roman" w:cs="Times New Roman"/>
        </w:rPr>
        <w:t>erácie OSN: UNFICYP Cyprus - 169</w:t>
      </w:r>
      <w:r w:rsidRPr="000D79F8">
        <w:rPr>
          <w:rFonts w:ascii="Times New Roman" w:hAnsi="Times New Roman" w:cs="Times New Roman"/>
        </w:rPr>
        <w:t xml:space="preserve"> osôb, UNTSO Sýria - 2 osoby,</w:t>
      </w:r>
    </w:p>
    <w:p w:rsidR="007D13F3" w:rsidRPr="000D79F8" w:rsidRDefault="007D13F3" w:rsidP="007D13F3">
      <w:pPr>
        <w:jc w:val="both"/>
        <w:rPr>
          <w:rFonts w:ascii="Times New Roman" w:hAnsi="Times New Roman" w:cs="Times New Roman"/>
        </w:rPr>
      </w:pPr>
      <w:r>
        <w:rPr>
          <w:rFonts w:ascii="Times New Roman" w:hAnsi="Times New Roman" w:cs="Times New Roman"/>
        </w:rPr>
        <w:t xml:space="preserve">       </w:t>
      </w:r>
      <w:r w:rsidRPr="000D79F8">
        <w:rPr>
          <w:rFonts w:ascii="Times New Roman" w:hAnsi="Times New Roman" w:cs="Times New Roman"/>
        </w:rPr>
        <w:t xml:space="preserve">Operácie EÚ: </w:t>
      </w:r>
      <w:proofErr w:type="spellStart"/>
      <w:r w:rsidRPr="000D79F8">
        <w:rPr>
          <w:rFonts w:ascii="Times New Roman" w:hAnsi="Times New Roman" w:cs="Times New Roman"/>
        </w:rPr>
        <w:t>Althea</w:t>
      </w:r>
      <w:proofErr w:type="spellEnd"/>
      <w:r w:rsidRPr="000D79F8">
        <w:rPr>
          <w:rFonts w:ascii="Times New Roman" w:hAnsi="Times New Roman" w:cs="Times New Roman"/>
        </w:rPr>
        <w:t xml:space="preserve"> Bosna</w:t>
      </w:r>
      <w:r>
        <w:rPr>
          <w:rFonts w:ascii="Times New Roman" w:hAnsi="Times New Roman" w:cs="Times New Roman"/>
        </w:rPr>
        <w:t xml:space="preserve"> a Hercegovina - 41</w:t>
      </w:r>
      <w:r w:rsidRPr="000D79F8">
        <w:rPr>
          <w:rFonts w:ascii="Times New Roman" w:hAnsi="Times New Roman" w:cs="Times New Roman"/>
        </w:rPr>
        <w:t xml:space="preserve"> osôb, </w:t>
      </w:r>
      <w:r>
        <w:rPr>
          <w:rFonts w:ascii="Times New Roman" w:hAnsi="Times New Roman" w:cs="Times New Roman"/>
        </w:rPr>
        <w:t xml:space="preserve">EUNAVFOR MED </w:t>
      </w:r>
      <w:proofErr w:type="spellStart"/>
      <w:r>
        <w:rPr>
          <w:rFonts w:ascii="Times New Roman" w:hAnsi="Times New Roman" w:cs="Times New Roman"/>
        </w:rPr>
        <w:t>Sophia</w:t>
      </w:r>
      <w:proofErr w:type="spellEnd"/>
      <w:r>
        <w:rPr>
          <w:rFonts w:ascii="Times New Roman" w:hAnsi="Times New Roman" w:cs="Times New Roman"/>
        </w:rPr>
        <w:t xml:space="preserve"> - 10 osôb</w:t>
      </w:r>
      <w:r w:rsidRPr="000D79F8">
        <w:rPr>
          <w:rFonts w:ascii="Times New Roman" w:hAnsi="Times New Roman" w:cs="Times New Roman"/>
        </w:rPr>
        <w:t>,</w:t>
      </w:r>
      <w:r>
        <w:rPr>
          <w:rFonts w:ascii="Times New Roman" w:hAnsi="Times New Roman" w:cs="Times New Roman"/>
        </w:rPr>
        <w:t xml:space="preserve"> </w:t>
      </w:r>
    </w:p>
    <w:p w:rsidR="007D13F3" w:rsidRPr="000D79F8" w:rsidRDefault="007D13F3" w:rsidP="007D13F3">
      <w:pPr>
        <w:jc w:val="both"/>
        <w:rPr>
          <w:rFonts w:ascii="Times New Roman" w:hAnsi="Times New Roman" w:cs="Times New Roman"/>
        </w:rPr>
      </w:pPr>
      <w:r>
        <w:rPr>
          <w:rFonts w:ascii="Times New Roman" w:hAnsi="Times New Roman" w:cs="Times New Roman"/>
        </w:rPr>
        <w:t xml:space="preserve">       </w:t>
      </w:r>
      <w:r w:rsidRPr="000D79F8">
        <w:rPr>
          <w:rFonts w:ascii="Times New Roman" w:hAnsi="Times New Roman" w:cs="Times New Roman"/>
        </w:rPr>
        <w:t>O</w:t>
      </w:r>
      <w:r>
        <w:rPr>
          <w:rFonts w:ascii="Times New Roman" w:hAnsi="Times New Roman" w:cs="Times New Roman"/>
        </w:rPr>
        <w:t>perácie NATO: RS Afganistan - 37</w:t>
      </w:r>
      <w:r w:rsidRPr="000D79F8">
        <w:rPr>
          <w:rFonts w:ascii="Times New Roman" w:hAnsi="Times New Roman" w:cs="Times New Roman"/>
        </w:rPr>
        <w:t xml:space="preserve"> osôb, NATO HQ Sarajevo - 1 osoba, </w:t>
      </w:r>
    </w:p>
    <w:p w:rsidR="007D13F3" w:rsidRPr="000D79F8" w:rsidRDefault="007D13F3" w:rsidP="007D13F3">
      <w:pPr>
        <w:ind w:left="2552" w:hanging="3402"/>
        <w:jc w:val="both"/>
        <w:rPr>
          <w:rFonts w:ascii="Times New Roman" w:hAnsi="Times New Roman" w:cs="Times New Roman"/>
        </w:rPr>
      </w:pPr>
      <w:r>
        <w:rPr>
          <w:rFonts w:ascii="Times New Roman" w:hAnsi="Times New Roman" w:cs="Times New Roman"/>
        </w:rPr>
        <w:t xml:space="preserve">                     SPOLU: 260 vojakov k 31. augustu 2017</w:t>
      </w:r>
      <w:r w:rsidRPr="000D79F8">
        <w:rPr>
          <w:rFonts w:ascii="Times New Roman" w:hAnsi="Times New Roman" w:cs="Times New Roman"/>
        </w:rPr>
        <w:t>.</w:t>
      </w:r>
    </w:p>
    <w:p w:rsidR="007D13F3" w:rsidRPr="000D79F8" w:rsidRDefault="007D13F3" w:rsidP="007D13F3">
      <w:pPr>
        <w:ind w:left="851"/>
        <w:jc w:val="both"/>
        <w:rPr>
          <w:rFonts w:ascii="Arial" w:hAnsi="Arial" w:cs="Arial"/>
          <w:sz w:val="19"/>
          <w:szCs w:val="19"/>
          <w:lang w:eastAsia="sk-SK"/>
        </w:rPr>
      </w:pPr>
    </w:p>
    <w:p w:rsidR="007D13F3" w:rsidRDefault="007D13F3" w:rsidP="007D13F3">
      <w:pPr>
        <w:ind w:firstLine="708"/>
        <w:jc w:val="both"/>
        <w:rPr>
          <w:rFonts w:ascii="Times New Roman" w:hAnsi="Times New Roman" w:cs="Times New Roman"/>
        </w:rPr>
      </w:pPr>
      <w:r w:rsidRPr="000D79F8">
        <w:rPr>
          <w:rFonts w:ascii="Times New Roman" w:hAnsi="Times New Roman" w:cs="Times New Roman"/>
        </w:rPr>
        <w:t>V súlade s výnosom MO SR o poskytovaní dotácií v</w:t>
      </w:r>
      <w:r>
        <w:rPr>
          <w:rFonts w:ascii="Times New Roman" w:hAnsi="Times New Roman" w:cs="Times New Roman"/>
        </w:rPr>
        <w:t> pôsobnosti MO SR sú na rok 2018</w:t>
      </w:r>
      <w:r w:rsidRPr="000D79F8">
        <w:rPr>
          <w:rFonts w:ascii="Times New Roman" w:hAnsi="Times New Roman" w:cs="Times New Roman"/>
        </w:rPr>
        <w:t xml:space="preserve"> plánované prostriedky na dotácie pre Vojenské lesy a majetky, š. p. Pliešovce vo výške </w:t>
      </w:r>
      <w:r>
        <w:rPr>
          <w:rFonts w:ascii="Times New Roman" w:hAnsi="Times New Roman" w:cs="Times New Roman"/>
        </w:rPr>
        <w:br/>
      </w:r>
      <w:r w:rsidRPr="000D79F8">
        <w:rPr>
          <w:rFonts w:ascii="Times New Roman" w:hAnsi="Times New Roman" w:cs="Times New Roman"/>
        </w:rPr>
        <w:t>1,01 mil. eur</w:t>
      </w:r>
      <w:r>
        <w:rPr>
          <w:rFonts w:ascii="Times New Roman" w:hAnsi="Times New Roman" w:cs="Times New Roman"/>
        </w:rPr>
        <w:t xml:space="preserve"> na lesníctvo.</w:t>
      </w:r>
      <w:r w:rsidRPr="004C7075">
        <w:rPr>
          <w:rFonts w:ascii="Times New Roman" w:hAnsi="Times New Roman" w:cs="Times New Roman"/>
        </w:rPr>
        <w:t xml:space="preserve">  </w:t>
      </w:r>
      <w:r>
        <w:rPr>
          <w:rFonts w:ascii="Times New Roman" w:hAnsi="Times New Roman" w:cs="Times New Roman"/>
        </w:rPr>
        <w:t xml:space="preserve"> </w:t>
      </w:r>
    </w:p>
    <w:p w:rsidR="007D13F3" w:rsidRDefault="007D13F3" w:rsidP="007D13F3">
      <w:r>
        <w:br w:type="page"/>
      </w:r>
    </w:p>
    <w:p w:rsidR="007D13F3" w:rsidRPr="0044568B" w:rsidRDefault="007D13F3" w:rsidP="007D13F3">
      <w:pPr>
        <w:pStyle w:val="Nadpis5"/>
        <w:pBdr>
          <w:bottom w:val="single" w:sz="4" w:space="1" w:color="auto"/>
        </w:pBdr>
        <w:ind w:left="0"/>
        <w:rPr>
          <w:i w:val="0"/>
          <w:sz w:val="24"/>
          <w:lang w:eastAsia="sk-SK"/>
        </w:rPr>
      </w:pPr>
      <w:bookmarkStart w:id="98" w:name="_Toc400551762"/>
      <w:bookmarkStart w:id="99" w:name="_Toc494470097"/>
      <w:bookmarkStart w:id="100" w:name="_Toc494472273"/>
      <w:r w:rsidRPr="0044568B">
        <w:rPr>
          <w:i w:val="0"/>
          <w:sz w:val="24"/>
          <w:lang w:eastAsia="sk-SK"/>
        </w:rPr>
        <w:lastRenderedPageBreak/>
        <w:t>Ministerstvo spravodlivosti SR</w:t>
      </w:r>
      <w:bookmarkEnd w:id="98"/>
      <w:bookmarkEnd w:id="99"/>
      <w:bookmarkEnd w:id="100"/>
    </w:p>
    <w:p w:rsidR="007D13F3" w:rsidRDefault="007D13F3" w:rsidP="007D13F3">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692"/>
        <w:gridCol w:w="910"/>
        <w:gridCol w:w="910"/>
        <w:gridCol w:w="910"/>
        <w:gridCol w:w="910"/>
        <w:gridCol w:w="910"/>
        <w:gridCol w:w="910"/>
        <w:gridCol w:w="910"/>
      </w:tblGrid>
      <w:tr w:rsidR="007D13F3" w:rsidRPr="00650B90" w:rsidTr="00465CAC">
        <w:trPr>
          <w:trHeight w:hRule="exact" w:val="255"/>
        </w:trPr>
        <w:tc>
          <w:tcPr>
            <w:tcW w:w="148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650B90" w:rsidRDefault="007D13F3" w:rsidP="00465CAC">
            <w:pPr>
              <w:rPr>
                <w:rFonts w:ascii="Times New Roman" w:hAnsi="Times New Roman" w:cs="Times New Roman"/>
                <w:b/>
                <w:bCs/>
                <w:color w:val="000000"/>
                <w:sz w:val="14"/>
                <w:szCs w:val="14"/>
                <w:lang w:eastAsia="sk-SK"/>
              </w:rPr>
            </w:pPr>
            <w:r w:rsidRPr="00650B90">
              <w:rPr>
                <w:rFonts w:ascii="Times New Roman" w:hAnsi="Times New Roman" w:cs="Times New Roman"/>
                <w:b/>
                <w:bCs/>
                <w:color w:val="000000"/>
                <w:sz w:val="14"/>
                <w:szCs w:val="14"/>
                <w:lang w:eastAsia="sk-SK"/>
              </w:rPr>
              <w:t>v eurách</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50B90" w:rsidRDefault="007D13F3" w:rsidP="00465CAC">
            <w:pPr>
              <w:jc w:val="center"/>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2015 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50B90" w:rsidRDefault="007D13F3" w:rsidP="00465CAC">
            <w:pPr>
              <w:jc w:val="center"/>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2016 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50B90" w:rsidRDefault="007D13F3" w:rsidP="00465CAC">
            <w:pPr>
              <w:jc w:val="center"/>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2017 R</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50B90" w:rsidRDefault="007D13F3" w:rsidP="00A23F29">
            <w:pPr>
              <w:jc w:val="center"/>
              <w:rPr>
                <w:rFonts w:ascii="Times New Roman" w:hAnsi="Times New Roman" w:cs="Times New Roman"/>
                <w:b/>
                <w:bCs/>
                <w:color w:val="000000"/>
                <w:sz w:val="14"/>
                <w:szCs w:val="14"/>
                <w:lang w:eastAsia="sk-SK"/>
              </w:rPr>
            </w:pPr>
            <w:r w:rsidRPr="00650B90">
              <w:rPr>
                <w:rFonts w:ascii="Times New Roman" w:hAnsi="Times New Roman" w:cs="Times New Roman"/>
                <w:b/>
                <w:bCs/>
                <w:color w:val="000000"/>
                <w:sz w:val="14"/>
                <w:szCs w:val="14"/>
                <w:lang w:eastAsia="sk-SK"/>
              </w:rPr>
              <w:t xml:space="preserve">2017 </w:t>
            </w:r>
            <w:r w:rsidR="00A23F29">
              <w:rPr>
                <w:rFonts w:ascii="Times New Roman" w:hAnsi="Times New Roman" w:cs="Times New Roman"/>
                <w:b/>
                <w:bCs/>
                <w:color w:val="000000"/>
                <w:sz w:val="14"/>
                <w:szCs w:val="14"/>
                <w:lang w:eastAsia="sk-SK"/>
              </w:rPr>
              <w:t>OS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50B90" w:rsidRDefault="007D13F3" w:rsidP="00A23F29">
            <w:pPr>
              <w:jc w:val="center"/>
              <w:rPr>
                <w:rFonts w:ascii="Times New Roman" w:hAnsi="Times New Roman" w:cs="Times New Roman"/>
                <w:b/>
                <w:bCs/>
                <w:color w:val="000000"/>
                <w:sz w:val="14"/>
                <w:szCs w:val="14"/>
                <w:lang w:eastAsia="sk-SK"/>
              </w:rPr>
            </w:pPr>
            <w:r w:rsidRPr="00650B90">
              <w:rPr>
                <w:rFonts w:ascii="Times New Roman" w:hAnsi="Times New Roman" w:cs="Times New Roman"/>
                <w:b/>
                <w:bCs/>
                <w:color w:val="000000"/>
                <w:sz w:val="14"/>
                <w:szCs w:val="14"/>
                <w:lang w:eastAsia="sk-SK"/>
              </w:rPr>
              <w:t xml:space="preserve">2018 </w:t>
            </w:r>
            <w:r w:rsidR="00A23F29">
              <w:rPr>
                <w:rFonts w:ascii="Times New Roman" w:hAnsi="Times New Roman" w:cs="Times New Roman"/>
                <w:b/>
                <w:bCs/>
                <w:color w:val="000000"/>
                <w:sz w:val="14"/>
                <w:szCs w:val="14"/>
                <w:lang w:eastAsia="sk-SK"/>
              </w:rPr>
              <w:t>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50B90" w:rsidRDefault="007D13F3" w:rsidP="00A23F29">
            <w:pPr>
              <w:jc w:val="center"/>
              <w:rPr>
                <w:rFonts w:ascii="Times New Roman" w:hAnsi="Times New Roman" w:cs="Times New Roman"/>
                <w:b/>
                <w:bCs/>
                <w:color w:val="000000"/>
                <w:sz w:val="14"/>
                <w:szCs w:val="14"/>
                <w:lang w:eastAsia="sk-SK"/>
              </w:rPr>
            </w:pPr>
            <w:r w:rsidRPr="00650B90">
              <w:rPr>
                <w:rFonts w:ascii="Times New Roman" w:hAnsi="Times New Roman" w:cs="Times New Roman"/>
                <w:b/>
                <w:bCs/>
                <w:color w:val="000000"/>
                <w:sz w:val="14"/>
                <w:szCs w:val="14"/>
                <w:lang w:eastAsia="sk-SK"/>
              </w:rPr>
              <w:t xml:space="preserve">2019 </w:t>
            </w:r>
            <w:r w:rsidR="00A23F29">
              <w:rPr>
                <w:rFonts w:ascii="Times New Roman" w:hAnsi="Times New Roman" w:cs="Times New Roman"/>
                <w:b/>
                <w:bCs/>
                <w:color w:val="000000"/>
                <w:sz w:val="14"/>
                <w:szCs w:val="14"/>
                <w:lang w:eastAsia="sk-SK"/>
              </w:rPr>
              <w:t>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50B90" w:rsidRDefault="007D13F3" w:rsidP="00A23F29">
            <w:pPr>
              <w:jc w:val="center"/>
              <w:rPr>
                <w:rFonts w:ascii="Times New Roman" w:hAnsi="Times New Roman" w:cs="Times New Roman"/>
                <w:b/>
                <w:bCs/>
                <w:color w:val="000000"/>
                <w:sz w:val="14"/>
                <w:szCs w:val="14"/>
                <w:lang w:eastAsia="sk-SK"/>
              </w:rPr>
            </w:pPr>
            <w:r w:rsidRPr="00650B90">
              <w:rPr>
                <w:rFonts w:ascii="Times New Roman" w:hAnsi="Times New Roman" w:cs="Times New Roman"/>
                <w:b/>
                <w:bCs/>
                <w:color w:val="000000"/>
                <w:sz w:val="14"/>
                <w:szCs w:val="14"/>
                <w:lang w:eastAsia="sk-SK"/>
              </w:rPr>
              <w:t xml:space="preserve">2020 </w:t>
            </w:r>
            <w:r w:rsidR="00A23F29">
              <w:rPr>
                <w:rFonts w:ascii="Times New Roman" w:hAnsi="Times New Roman" w:cs="Times New Roman"/>
                <w:b/>
                <w:bCs/>
                <w:color w:val="000000"/>
                <w:sz w:val="14"/>
                <w:szCs w:val="14"/>
                <w:lang w:eastAsia="sk-SK"/>
              </w:rPr>
              <w:t>N</w:t>
            </w:r>
          </w:p>
        </w:tc>
      </w:tr>
      <w:tr w:rsidR="007D13F3" w:rsidRPr="00650B90" w:rsidTr="00465CAC">
        <w:trPr>
          <w:trHeight w:hRule="exact" w:val="255"/>
        </w:trPr>
        <w:tc>
          <w:tcPr>
            <w:tcW w:w="148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650B90" w:rsidRDefault="007D13F3" w:rsidP="00465CAC">
            <w:pPr>
              <w:rPr>
                <w:rFonts w:ascii="Times New Roman" w:hAnsi="Times New Roman" w:cs="Times New Roman"/>
                <w:b/>
                <w:bCs/>
                <w:color w:val="000000"/>
                <w:sz w:val="14"/>
                <w:szCs w:val="14"/>
                <w:lang w:eastAsia="sk-SK"/>
              </w:rPr>
            </w:pPr>
            <w:r w:rsidRPr="00650B90">
              <w:rPr>
                <w:rFonts w:ascii="Times New Roman" w:hAnsi="Times New Roman" w:cs="Times New Roman"/>
                <w:b/>
                <w:bCs/>
                <w:color w:val="000000"/>
                <w:sz w:val="14"/>
                <w:szCs w:val="14"/>
                <w:lang w:eastAsia="sk-SK"/>
              </w:rPr>
              <w:t>Zdroje príslušnej kapitoly vrátane 72e</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650B90" w:rsidRDefault="007D13F3" w:rsidP="00465CAC">
            <w:pPr>
              <w:jc w:val="right"/>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400 614 201</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650B90" w:rsidRDefault="007D13F3" w:rsidP="00465CAC">
            <w:pPr>
              <w:jc w:val="right"/>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387 541 349</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650B90" w:rsidRDefault="007D13F3" w:rsidP="00465CAC">
            <w:pPr>
              <w:jc w:val="right"/>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390 941 910</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650B90" w:rsidRDefault="007D13F3" w:rsidP="00465CAC">
            <w:pPr>
              <w:jc w:val="right"/>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410 362 940</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650B90" w:rsidRDefault="007D13F3" w:rsidP="00465CAC">
            <w:pPr>
              <w:jc w:val="right"/>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400 006 100</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650B90" w:rsidRDefault="007D13F3" w:rsidP="00465CAC">
            <w:pPr>
              <w:jc w:val="right"/>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403 232 576</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650B90" w:rsidRDefault="007D13F3" w:rsidP="00465CAC">
            <w:pPr>
              <w:jc w:val="right"/>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407 401 032</w:t>
            </w:r>
          </w:p>
        </w:tc>
      </w:tr>
      <w:tr w:rsidR="007D13F3" w:rsidRPr="00650B90" w:rsidTr="00465CAC">
        <w:trPr>
          <w:trHeight w:hRule="exact" w:val="255"/>
        </w:trPr>
        <w:tc>
          <w:tcPr>
            <w:tcW w:w="148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650B90" w:rsidRDefault="007D13F3" w:rsidP="00465CAC">
            <w:pPr>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zdroje kapitoly  (11, 13)</w:t>
            </w:r>
          </w:p>
        </w:tc>
        <w:tc>
          <w:tcPr>
            <w:tcW w:w="502"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650B90" w:rsidRDefault="007D13F3" w:rsidP="00465CAC">
            <w:pPr>
              <w:jc w:val="right"/>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400 609 478</w:t>
            </w:r>
          </w:p>
        </w:tc>
        <w:tc>
          <w:tcPr>
            <w:tcW w:w="502"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650B90" w:rsidRDefault="007D13F3" w:rsidP="00465CAC">
            <w:pPr>
              <w:jc w:val="right"/>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387 497 281</w:t>
            </w:r>
          </w:p>
        </w:tc>
        <w:tc>
          <w:tcPr>
            <w:tcW w:w="502"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650B90" w:rsidRDefault="007D13F3" w:rsidP="00465CAC">
            <w:pPr>
              <w:jc w:val="right"/>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390 941 910</w:t>
            </w:r>
          </w:p>
        </w:tc>
        <w:tc>
          <w:tcPr>
            <w:tcW w:w="502"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650B90" w:rsidRDefault="007D13F3" w:rsidP="00465CAC">
            <w:pPr>
              <w:jc w:val="right"/>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410 362 940</w:t>
            </w:r>
          </w:p>
        </w:tc>
        <w:tc>
          <w:tcPr>
            <w:tcW w:w="502"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650B90" w:rsidRDefault="007D13F3" w:rsidP="00465CAC">
            <w:pPr>
              <w:jc w:val="right"/>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400 006 100</w:t>
            </w:r>
          </w:p>
        </w:tc>
        <w:tc>
          <w:tcPr>
            <w:tcW w:w="502"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650B90" w:rsidRDefault="007D13F3" w:rsidP="00465CAC">
            <w:pPr>
              <w:jc w:val="right"/>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403 232 576</w:t>
            </w:r>
          </w:p>
        </w:tc>
        <w:tc>
          <w:tcPr>
            <w:tcW w:w="502"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650B90" w:rsidRDefault="007D13F3" w:rsidP="00465CAC">
            <w:pPr>
              <w:jc w:val="right"/>
              <w:rPr>
                <w:rFonts w:ascii="Times New Roman" w:hAnsi="Times New Roman" w:cs="Times New Roman"/>
                <w:b/>
                <w:bCs/>
                <w:sz w:val="14"/>
                <w:szCs w:val="14"/>
                <w:lang w:eastAsia="sk-SK"/>
              </w:rPr>
            </w:pPr>
            <w:r w:rsidRPr="00650B90">
              <w:rPr>
                <w:rFonts w:ascii="Times New Roman" w:hAnsi="Times New Roman" w:cs="Times New Roman"/>
                <w:b/>
                <w:bCs/>
                <w:sz w:val="14"/>
                <w:szCs w:val="14"/>
                <w:lang w:eastAsia="sk-SK"/>
              </w:rPr>
              <w:t>407 401 032</w:t>
            </w:r>
          </w:p>
        </w:tc>
      </w:tr>
      <w:tr w:rsidR="007D13F3" w:rsidRPr="00650B90" w:rsidTr="00465CAC">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50B90" w:rsidRDefault="007D13F3" w:rsidP="00465CAC">
            <w:pPr>
              <w:rPr>
                <w:rFonts w:ascii="Times New Roman" w:hAnsi="Times New Roman" w:cs="Times New Roman"/>
                <w:b/>
                <w:bCs/>
                <w:color w:val="000000"/>
                <w:sz w:val="14"/>
                <w:szCs w:val="14"/>
                <w:lang w:eastAsia="sk-SK"/>
              </w:rPr>
            </w:pPr>
            <w:r w:rsidRPr="00650B90">
              <w:rPr>
                <w:rFonts w:ascii="Times New Roman" w:hAnsi="Times New Roman" w:cs="Times New Roman"/>
                <w:b/>
                <w:bCs/>
                <w:color w:val="000000"/>
                <w:sz w:val="14"/>
                <w:szCs w:val="14"/>
                <w:lang w:eastAsia="sk-SK"/>
              </w:rPr>
              <w:t xml:space="preserve">rozpočtové zdroje kapitoly </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340 803 690</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356 652 378</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390 941 910</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401 583 723</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400 006 100</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403 232 576</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407 401 032</w:t>
            </w:r>
          </w:p>
        </w:tc>
      </w:tr>
      <w:tr w:rsidR="007D13F3" w:rsidRPr="00650B90" w:rsidTr="00465CAC">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50B90" w:rsidRDefault="007D13F3" w:rsidP="00465CAC">
            <w:pPr>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xml:space="preserve">    v tom: bežné výdavky  600</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335 083 093</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350 029 621</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370 121 283</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380 763 096</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391 278 282</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395 501 758</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399 670 214</w:t>
            </w:r>
          </w:p>
        </w:tc>
      </w:tr>
      <w:tr w:rsidR="007D13F3" w:rsidRPr="00650B90" w:rsidTr="00465CAC">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50B90" w:rsidRDefault="007D13F3" w:rsidP="00465CAC">
            <w:pPr>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xml:space="preserve">                 610 mzdy</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176 835 546</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186 036 414</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189 411 266</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196 436 155</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200 977 550</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203 525 781</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206 681 659</w:t>
            </w:r>
          </w:p>
        </w:tc>
      </w:tr>
      <w:tr w:rsidR="007D13F3" w:rsidRPr="00650B90" w:rsidTr="00465CAC">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50B90" w:rsidRDefault="007D13F3" w:rsidP="00465CAC">
            <w:pPr>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xml:space="preserve">                 620 odvody</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63 928 057</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65 955 557</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67 331 212</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69 360 378</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71 871 859</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72 689 492</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73 702 070</w:t>
            </w:r>
          </w:p>
        </w:tc>
      </w:tr>
      <w:tr w:rsidR="007D13F3" w:rsidRPr="00650B90" w:rsidTr="00465CAC">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50B90" w:rsidRDefault="007D13F3" w:rsidP="00465CAC">
            <w:pPr>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xml:space="preserve">                 630 tovary a služby</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76 983 761</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83 504 797</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94 161 047</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94 250 290</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95 061 676</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96 504 676</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96 504 676</w:t>
            </w:r>
          </w:p>
        </w:tc>
      </w:tr>
      <w:tr w:rsidR="007D13F3" w:rsidRPr="00650B90" w:rsidTr="00465CAC">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50B90" w:rsidRDefault="007D13F3" w:rsidP="00465CAC">
            <w:pPr>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xml:space="preserve">                 640 bežné transfery</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17 335 729</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14 532 853</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19 217 758</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20 716 273</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23 367 197</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22 781 809</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22 781 809</w:t>
            </w:r>
          </w:p>
        </w:tc>
      </w:tr>
      <w:tr w:rsidR="007D13F3" w:rsidRPr="00650B90" w:rsidTr="00465CAC">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50B90" w:rsidRDefault="007D13F3" w:rsidP="00465CAC">
            <w:pPr>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xml:space="preserve">               kapitálové výdavky 700</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5 720 597</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6 622 757</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20 820 627</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20 820 627</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8 727 818</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7 730 818</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7 730 818</w:t>
            </w:r>
          </w:p>
        </w:tc>
      </w:tr>
      <w:tr w:rsidR="007D13F3" w:rsidRPr="00650B90" w:rsidTr="00465CAC">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50B90" w:rsidRDefault="007D13F3" w:rsidP="00465CAC">
            <w:pPr>
              <w:rPr>
                <w:rFonts w:ascii="Times New Roman" w:hAnsi="Times New Roman" w:cs="Times New Roman"/>
                <w:b/>
                <w:bCs/>
                <w:color w:val="000000"/>
                <w:sz w:val="14"/>
                <w:szCs w:val="14"/>
                <w:lang w:eastAsia="sk-SK"/>
              </w:rPr>
            </w:pPr>
            <w:r w:rsidRPr="00650B90">
              <w:rPr>
                <w:rFonts w:ascii="Times New Roman" w:hAnsi="Times New Roman" w:cs="Times New Roman"/>
                <w:b/>
                <w:bCs/>
                <w:color w:val="000000"/>
                <w:sz w:val="14"/>
                <w:szCs w:val="14"/>
                <w:lang w:eastAsia="sk-SK"/>
              </w:rPr>
              <w:t xml:space="preserve">zdroje EÚ vrátane spolufinancovania: </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50 452 124</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19 207 519</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B70A01"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r w:rsidR="007D13F3" w:rsidRPr="00650B90">
              <w:rPr>
                <w:rFonts w:ascii="Times New Roman" w:hAnsi="Times New Roman" w:cs="Times New Roman"/>
                <w:sz w:val="14"/>
                <w:szCs w:val="14"/>
                <w:lang w:eastAsia="sk-SK"/>
              </w:rPr>
              <w:t> </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1 317 232</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B70A01" w:rsidP="00B70A01">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r w:rsidR="007D13F3" w:rsidRPr="00650B90">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7D13F3" w:rsidP="00B70A01">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w:t>
            </w:r>
            <w:r w:rsidR="00B70A01">
              <w:rPr>
                <w:rFonts w:ascii="Times New Roman" w:hAnsi="Times New Roman" w:cs="Times New Roman"/>
                <w:color w:val="000000"/>
                <w:sz w:val="14"/>
                <w:szCs w:val="14"/>
                <w:lang w:eastAsia="sk-SK"/>
              </w:rPr>
              <w:t>0</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7D13F3" w:rsidP="00B70A01">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w:t>
            </w:r>
            <w:r w:rsidR="00B70A01">
              <w:rPr>
                <w:rFonts w:ascii="Times New Roman" w:hAnsi="Times New Roman" w:cs="Times New Roman"/>
                <w:color w:val="000000"/>
                <w:sz w:val="14"/>
                <w:szCs w:val="14"/>
                <w:lang w:eastAsia="sk-SK"/>
              </w:rPr>
              <w:t>0</w:t>
            </w:r>
          </w:p>
        </w:tc>
      </w:tr>
      <w:tr w:rsidR="007D13F3" w:rsidRPr="00650B90" w:rsidTr="00465CAC">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50B90" w:rsidRDefault="007D13F3" w:rsidP="00465CAC">
            <w:pPr>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xml:space="preserve">    v tom: 2. program. obdobie  EÚ </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38 248 749</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14 688 354</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B70A01"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r w:rsidR="007D13F3" w:rsidRPr="00650B90">
              <w:rPr>
                <w:rFonts w:ascii="Times New Roman" w:hAnsi="Times New Roman" w:cs="Times New Roman"/>
                <w:sz w:val="14"/>
                <w:szCs w:val="14"/>
                <w:lang w:eastAsia="sk-SK"/>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354BF0">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w:t>
            </w:r>
            <w:r w:rsidR="00354BF0">
              <w:rPr>
                <w:rFonts w:ascii="Times New Roman" w:hAnsi="Times New Roman" w:cs="Times New Roman"/>
                <w:color w:val="000000"/>
                <w:sz w:val="14"/>
                <w:szCs w:val="14"/>
                <w:lang w:eastAsia="sk-SK"/>
              </w:rPr>
              <w:t>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7D13F3" w:rsidP="00B70A01">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w:t>
            </w:r>
            <w:r w:rsidR="00B70A01">
              <w:rPr>
                <w:rFonts w:ascii="Times New Roman" w:hAnsi="Times New Roman" w:cs="Times New Roman"/>
                <w:color w:val="000000"/>
                <w:sz w:val="14"/>
                <w:szCs w:val="14"/>
                <w:lang w:eastAsia="sk-SK"/>
              </w:rPr>
              <w:t>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7D13F3" w:rsidP="00B70A01">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w:t>
            </w:r>
            <w:r w:rsidR="00B70A01">
              <w:rPr>
                <w:rFonts w:ascii="Times New Roman" w:hAnsi="Times New Roman" w:cs="Times New Roman"/>
                <w:color w:val="000000"/>
                <w:sz w:val="14"/>
                <w:szCs w:val="14"/>
                <w:lang w:eastAsia="sk-SK"/>
              </w:rPr>
              <w:t>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7D13F3" w:rsidP="00B70A01">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w:t>
            </w:r>
            <w:r w:rsidR="00B70A01">
              <w:rPr>
                <w:rFonts w:ascii="Times New Roman" w:hAnsi="Times New Roman" w:cs="Times New Roman"/>
                <w:color w:val="000000"/>
                <w:sz w:val="14"/>
                <w:szCs w:val="14"/>
                <w:lang w:eastAsia="sk-SK"/>
              </w:rPr>
              <w:t>0</w:t>
            </w:r>
          </w:p>
        </w:tc>
      </w:tr>
      <w:tr w:rsidR="007D13F3" w:rsidRPr="00650B90" w:rsidTr="00465CAC">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50B90" w:rsidRDefault="007D13F3" w:rsidP="00465CAC">
            <w:pPr>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xml:space="preserve">             spolufinancovanie zo ŠR</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12 203 375</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4 519 165</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B70A01"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r w:rsidR="007D13F3" w:rsidRPr="00650B90">
              <w:rPr>
                <w:rFonts w:ascii="Times New Roman" w:hAnsi="Times New Roman" w:cs="Times New Roman"/>
                <w:sz w:val="14"/>
                <w:szCs w:val="14"/>
                <w:lang w:eastAsia="sk-SK"/>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7D13F3" w:rsidP="00354BF0">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w:t>
            </w:r>
            <w:r w:rsidR="00354BF0">
              <w:rPr>
                <w:rFonts w:ascii="Times New Roman" w:hAnsi="Times New Roman" w:cs="Times New Roman"/>
                <w:color w:val="000000"/>
                <w:sz w:val="14"/>
                <w:szCs w:val="14"/>
                <w:lang w:eastAsia="sk-SK"/>
              </w:rPr>
              <w:t>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7D13F3" w:rsidP="00B70A01">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w:t>
            </w:r>
            <w:r w:rsidR="00B70A01">
              <w:rPr>
                <w:rFonts w:ascii="Times New Roman" w:hAnsi="Times New Roman" w:cs="Times New Roman"/>
                <w:color w:val="000000"/>
                <w:sz w:val="14"/>
                <w:szCs w:val="14"/>
                <w:lang w:eastAsia="sk-SK"/>
              </w:rPr>
              <w:t>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7D13F3" w:rsidP="00B70A01">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w:t>
            </w:r>
            <w:r w:rsidR="00B70A01">
              <w:rPr>
                <w:rFonts w:ascii="Times New Roman" w:hAnsi="Times New Roman" w:cs="Times New Roman"/>
                <w:color w:val="000000"/>
                <w:sz w:val="14"/>
                <w:szCs w:val="14"/>
                <w:lang w:eastAsia="sk-SK"/>
              </w:rPr>
              <w:t>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7D13F3" w:rsidP="00B70A01">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w:t>
            </w:r>
            <w:r w:rsidR="00B70A01">
              <w:rPr>
                <w:rFonts w:ascii="Times New Roman" w:hAnsi="Times New Roman" w:cs="Times New Roman"/>
                <w:color w:val="000000"/>
                <w:sz w:val="14"/>
                <w:szCs w:val="14"/>
                <w:lang w:eastAsia="sk-SK"/>
              </w:rPr>
              <w:t>0</w:t>
            </w:r>
          </w:p>
        </w:tc>
      </w:tr>
      <w:tr w:rsidR="007D13F3" w:rsidRPr="00650B90" w:rsidTr="00465CAC">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50B90" w:rsidRDefault="007D13F3" w:rsidP="00465CAC">
            <w:pPr>
              <w:rPr>
                <w:rFonts w:ascii="Times New Roman" w:hAnsi="Times New Roman" w:cs="Times New Roman"/>
                <w:b/>
                <w:bCs/>
                <w:color w:val="000000"/>
                <w:sz w:val="14"/>
                <w:szCs w:val="14"/>
                <w:lang w:eastAsia="sk-SK"/>
              </w:rPr>
            </w:pPr>
            <w:r w:rsidRPr="00650B90">
              <w:rPr>
                <w:rFonts w:ascii="Times New Roman" w:hAnsi="Times New Roman" w:cs="Times New Roman"/>
                <w:b/>
                <w:bCs/>
                <w:color w:val="000000"/>
                <w:sz w:val="14"/>
                <w:szCs w:val="14"/>
                <w:lang w:eastAsia="sk-SK"/>
              </w:rPr>
              <w:t>presun z minulých rokov § 8</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9 353 664</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11 637 384</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B70A01"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7 461 985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B70A01" w:rsidP="00B70A01">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r w:rsidR="007D13F3" w:rsidRPr="00650B90">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B70A01" w:rsidP="00B70A01">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r w:rsidR="007D13F3" w:rsidRPr="00650B90">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B70A01" w:rsidP="00B70A01">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r w:rsidR="007D13F3" w:rsidRPr="00650B90">
              <w:rPr>
                <w:rFonts w:ascii="Times New Roman" w:hAnsi="Times New Roman" w:cs="Times New Roman"/>
                <w:color w:val="000000"/>
                <w:sz w:val="14"/>
                <w:szCs w:val="14"/>
                <w:lang w:eastAsia="sk-SK"/>
              </w:rPr>
              <w:t> </w:t>
            </w:r>
          </w:p>
        </w:tc>
      </w:tr>
      <w:tr w:rsidR="007D13F3" w:rsidRPr="00650B90" w:rsidTr="00465CAC">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7D13F3" w:rsidRPr="00650B90" w:rsidRDefault="007D13F3" w:rsidP="00465CAC">
            <w:pPr>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 xml:space="preserve">    v tom: štátny rozpočet</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9 353 664</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11 637 384</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B70A01"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7D13F3" w:rsidP="00465CAC">
            <w:pPr>
              <w:jc w:val="right"/>
              <w:rPr>
                <w:rFonts w:ascii="Times New Roman" w:hAnsi="Times New Roman" w:cs="Times New Roman"/>
                <w:color w:val="000000"/>
                <w:sz w:val="14"/>
                <w:szCs w:val="14"/>
                <w:lang w:eastAsia="sk-SK"/>
              </w:rPr>
            </w:pPr>
            <w:r w:rsidRPr="00650B90">
              <w:rPr>
                <w:rFonts w:ascii="Times New Roman" w:hAnsi="Times New Roman" w:cs="Times New Roman"/>
                <w:color w:val="000000"/>
                <w:sz w:val="14"/>
                <w:szCs w:val="14"/>
                <w:lang w:eastAsia="sk-SK"/>
              </w:rPr>
              <w:t>7 461 985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B70A01" w:rsidP="00B70A01">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 xml:space="preserve"> 0</w:t>
            </w:r>
            <w:r w:rsidR="007D13F3" w:rsidRPr="00650B90">
              <w:rPr>
                <w:rFonts w:ascii="Times New Roman" w:hAnsi="Times New Roman" w:cs="Times New Roman"/>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B70A01" w:rsidP="00B70A01">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r w:rsidR="007D13F3" w:rsidRPr="00650B90">
              <w:rPr>
                <w:rFonts w:ascii="Times New Roman" w:hAnsi="Times New Roman" w:cs="Times New Roman"/>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B70A01" w:rsidP="00B70A01">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r w:rsidR="007D13F3" w:rsidRPr="00650B90">
              <w:rPr>
                <w:rFonts w:ascii="Times New Roman" w:hAnsi="Times New Roman" w:cs="Times New Roman"/>
                <w:sz w:val="14"/>
                <w:szCs w:val="14"/>
                <w:lang w:eastAsia="sk-SK"/>
              </w:rPr>
              <w:t> </w:t>
            </w:r>
          </w:p>
        </w:tc>
      </w:tr>
      <w:tr w:rsidR="007D13F3" w:rsidRPr="00650B90" w:rsidTr="00465CAC">
        <w:trPr>
          <w:trHeight w:hRule="exact" w:val="255"/>
        </w:trPr>
        <w:tc>
          <w:tcPr>
            <w:tcW w:w="1485" w:type="pct"/>
            <w:tcBorders>
              <w:top w:val="nil"/>
              <w:left w:val="single" w:sz="4" w:space="0" w:color="auto"/>
              <w:bottom w:val="single" w:sz="4" w:space="0" w:color="auto"/>
              <w:right w:val="single" w:sz="4" w:space="0" w:color="auto"/>
            </w:tcBorders>
            <w:shd w:val="clear" w:color="000000" w:fill="FFFFFF"/>
            <w:noWrap/>
            <w:vAlign w:val="center"/>
            <w:hideMark/>
          </w:tcPr>
          <w:p w:rsidR="007D13F3" w:rsidRPr="00650B90" w:rsidRDefault="007D13F3" w:rsidP="00465CAC">
            <w:pPr>
              <w:rPr>
                <w:rFonts w:ascii="Times New Roman" w:hAnsi="Times New Roman" w:cs="Times New Roman"/>
                <w:b/>
                <w:bCs/>
                <w:color w:val="000000"/>
                <w:sz w:val="14"/>
                <w:szCs w:val="14"/>
                <w:lang w:eastAsia="sk-SK"/>
              </w:rPr>
            </w:pPr>
            <w:r w:rsidRPr="00650B90">
              <w:rPr>
                <w:rFonts w:ascii="Times New Roman" w:hAnsi="Times New Roman" w:cs="Times New Roman"/>
                <w:b/>
                <w:bCs/>
                <w:color w:val="000000"/>
                <w:sz w:val="14"/>
                <w:szCs w:val="14"/>
                <w:lang w:eastAsia="sk-SK"/>
              </w:rPr>
              <w:t>§ 17 ods. 4 zdroj 72</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4 723</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650B90" w:rsidRDefault="007D13F3" w:rsidP="00465CAC">
            <w:pPr>
              <w:jc w:val="right"/>
              <w:rPr>
                <w:rFonts w:ascii="Times New Roman" w:hAnsi="Times New Roman" w:cs="Times New Roman"/>
                <w:sz w:val="14"/>
                <w:szCs w:val="14"/>
                <w:lang w:eastAsia="sk-SK"/>
              </w:rPr>
            </w:pPr>
            <w:r w:rsidRPr="00650B90">
              <w:rPr>
                <w:rFonts w:ascii="Times New Roman" w:hAnsi="Times New Roman" w:cs="Times New Roman"/>
                <w:sz w:val="14"/>
                <w:szCs w:val="14"/>
                <w:lang w:eastAsia="sk-SK"/>
              </w:rPr>
              <w:t>44 068</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B70A01"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02" w:type="pct"/>
            <w:tcBorders>
              <w:top w:val="nil"/>
              <w:left w:val="nil"/>
              <w:bottom w:val="single" w:sz="4" w:space="0" w:color="auto"/>
              <w:right w:val="single" w:sz="4" w:space="0" w:color="auto"/>
            </w:tcBorders>
            <w:shd w:val="clear" w:color="000000" w:fill="FFFFFF"/>
            <w:vAlign w:val="center"/>
            <w:hideMark/>
          </w:tcPr>
          <w:p w:rsidR="007D13F3" w:rsidRPr="00650B90" w:rsidRDefault="00354BF0"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B70A01" w:rsidP="00B70A01">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B70A01" w:rsidP="00B70A01">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02" w:type="pct"/>
            <w:tcBorders>
              <w:top w:val="nil"/>
              <w:left w:val="nil"/>
              <w:bottom w:val="single" w:sz="4" w:space="0" w:color="auto"/>
              <w:right w:val="single" w:sz="4" w:space="0" w:color="auto"/>
            </w:tcBorders>
            <w:shd w:val="clear" w:color="000000" w:fill="FFFFFF"/>
            <w:noWrap/>
            <w:vAlign w:val="center"/>
            <w:hideMark/>
          </w:tcPr>
          <w:p w:rsidR="007D13F3" w:rsidRPr="00650B90" w:rsidRDefault="00B70A01" w:rsidP="00B70A01">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r>
    </w:tbl>
    <w:p w:rsidR="007D13F3" w:rsidRDefault="007D13F3" w:rsidP="007D13F3">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692"/>
        <w:gridCol w:w="910"/>
        <w:gridCol w:w="910"/>
        <w:gridCol w:w="910"/>
        <w:gridCol w:w="910"/>
        <w:gridCol w:w="910"/>
        <w:gridCol w:w="910"/>
        <w:gridCol w:w="910"/>
      </w:tblGrid>
      <w:tr w:rsidR="007D13F3" w:rsidRPr="000E76EC" w:rsidTr="00465CAC">
        <w:trPr>
          <w:trHeight w:val="255"/>
        </w:trPr>
        <w:tc>
          <w:tcPr>
            <w:tcW w:w="14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13F3" w:rsidRPr="000E76EC" w:rsidRDefault="000E76EC" w:rsidP="00465CAC">
            <w:pPr>
              <w:rPr>
                <w:rFonts w:ascii="Times New Roman" w:hAnsi="Times New Roman" w:cs="Times New Roman"/>
                <w:b/>
                <w:bCs/>
                <w:sz w:val="14"/>
                <w:szCs w:val="14"/>
                <w:lang w:eastAsia="sk-SK"/>
              </w:rPr>
            </w:pPr>
            <w:r w:rsidRPr="000E76EC">
              <w:rPr>
                <w:rFonts w:ascii="Times New Roman" w:hAnsi="Times New Roman" w:cs="Times New Roman"/>
                <w:b/>
                <w:bCs/>
                <w:sz w:val="14"/>
                <w:szCs w:val="14"/>
                <w:lang w:eastAsia="sk-SK"/>
              </w:rPr>
              <w:t>S</w:t>
            </w:r>
            <w:r w:rsidR="007D13F3" w:rsidRPr="000E76EC">
              <w:rPr>
                <w:rFonts w:ascii="Times New Roman" w:hAnsi="Times New Roman" w:cs="Times New Roman"/>
                <w:b/>
                <w:bCs/>
                <w:sz w:val="14"/>
                <w:szCs w:val="14"/>
                <w:lang w:eastAsia="sk-SK"/>
              </w:rPr>
              <w:t xml:space="preserve">amostatné účty </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51 716 587</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41 540 679</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31 951 844</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31 951 844</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34 965 685</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36 999 182</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38 421 892</w:t>
            </w:r>
          </w:p>
        </w:tc>
      </w:tr>
    </w:tbl>
    <w:p w:rsidR="007D13F3" w:rsidRDefault="007D13F3" w:rsidP="007D13F3">
      <w:pPr>
        <w:rPr>
          <w:rFonts w:ascii="Times New Roman" w:hAnsi="Times New Roman" w:cs="Times New Roman"/>
        </w:rPr>
      </w:pPr>
    </w:p>
    <w:p w:rsidR="007D13F3" w:rsidRPr="00F85660" w:rsidRDefault="007D13F3" w:rsidP="007D13F3">
      <w:pPr>
        <w:jc w:val="both"/>
        <w:rPr>
          <w:rFonts w:ascii="Times New Roman" w:hAnsi="Times New Roman" w:cs="Times New Roman"/>
        </w:rPr>
      </w:pPr>
      <w:r w:rsidRPr="00E47F40">
        <w:rPr>
          <w:rFonts w:ascii="Times New Roman" w:hAnsi="Times New Roman" w:cs="Times New Roman"/>
          <w:color w:val="000000"/>
        </w:rPr>
        <w:t xml:space="preserve"> </w:t>
      </w:r>
      <w:r>
        <w:rPr>
          <w:rFonts w:ascii="Times New Roman" w:hAnsi="Times New Roman" w:cs="Times New Roman"/>
          <w:color w:val="000000"/>
        </w:rPr>
        <w:tab/>
      </w:r>
      <w:r w:rsidRPr="00F85660">
        <w:rPr>
          <w:rFonts w:ascii="Times New Roman" w:hAnsi="Times New Roman" w:cs="Times New Roman"/>
        </w:rPr>
        <w:t xml:space="preserve">Celkové </w:t>
      </w:r>
      <w:r>
        <w:rPr>
          <w:rFonts w:ascii="Times New Roman" w:hAnsi="Times New Roman" w:cs="Times New Roman"/>
        </w:rPr>
        <w:t xml:space="preserve">výdavky kapitoly Ministerstvo spravodlivosti SR (ďalej len „MS SR“) </w:t>
      </w:r>
      <w:r w:rsidRPr="00F85660">
        <w:rPr>
          <w:rFonts w:ascii="Times New Roman" w:hAnsi="Times New Roman" w:cs="Times New Roman"/>
        </w:rPr>
        <w:t xml:space="preserve">na rok 2018 </w:t>
      </w:r>
      <w:r w:rsidRPr="002224F9">
        <w:rPr>
          <w:rFonts w:ascii="Times New Roman" w:hAnsi="Times New Roman" w:cs="Times New Roman"/>
        </w:rPr>
        <w:t xml:space="preserve">sa rozpočtujú vo výške </w:t>
      </w:r>
      <w:r>
        <w:rPr>
          <w:rFonts w:ascii="Times New Roman" w:hAnsi="Times New Roman" w:cs="Times New Roman"/>
        </w:rPr>
        <w:t>400</w:t>
      </w:r>
      <w:r w:rsidRPr="002224F9">
        <w:rPr>
          <w:rFonts w:ascii="Times New Roman" w:hAnsi="Times New Roman" w:cs="Times New Roman"/>
        </w:rPr>
        <w:t xml:space="preserve"> mil. eur</w:t>
      </w:r>
      <w:r>
        <w:rPr>
          <w:rFonts w:ascii="Times New Roman" w:hAnsi="Times New Roman" w:cs="Times New Roman"/>
        </w:rPr>
        <w:t xml:space="preserve">. Nárast výdavkov oproti </w:t>
      </w:r>
      <w:r w:rsidRPr="00F85660">
        <w:rPr>
          <w:rFonts w:ascii="Times New Roman" w:hAnsi="Times New Roman" w:cs="Times New Roman"/>
        </w:rPr>
        <w:t>schválen</w:t>
      </w:r>
      <w:r>
        <w:rPr>
          <w:rFonts w:ascii="Times New Roman" w:hAnsi="Times New Roman" w:cs="Times New Roman"/>
        </w:rPr>
        <w:t>ému</w:t>
      </w:r>
      <w:r w:rsidRPr="00F85660">
        <w:rPr>
          <w:rFonts w:ascii="Times New Roman" w:hAnsi="Times New Roman" w:cs="Times New Roman"/>
        </w:rPr>
        <w:t xml:space="preserve"> rozpočt</w:t>
      </w:r>
      <w:r>
        <w:rPr>
          <w:rFonts w:ascii="Times New Roman" w:hAnsi="Times New Roman" w:cs="Times New Roman"/>
        </w:rPr>
        <w:t>u</w:t>
      </w:r>
      <w:r w:rsidRPr="00F85660">
        <w:rPr>
          <w:rFonts w:ascii="Times New Roman" w:hAnsi="Times New Roman" w:cs="Times New Roman"/>
        </w:rPr>
        <w:t xml:space="preserve"> na rok 2017 </w:t>
      </w:r>
      <w:r>
        <w:rPr>
          <w:rFonts w:ascii="Times New Roman" w:hAnsi="Times New Roman" w:cs="Times New Roman"/>
        </w:rPr>
        <w:t>predstavuje</w:t>
      </w:r>
      <w:r w:rsidRPr="00F85660">
        <w:rPr>
          <w:rFonts w:ascii="Times New Roman" w:hAnsi="Times New Roman" w:cs="Times New Roman"/>
        </w:rPr>
        <w:t> </w:t>
      </w:r>
      <w:r>
        <w:rPr>
          <w:rFonts w:ascii="Times New Roman" w:hAnsi="Times New Roman" w:cs="Times New Roman"/>
        </w:rPr>
        <w:t>9,06</w:t>
      </w:r>
      <w:r w:rsidRPr="00F85660">
        <w:rPr>
          <w:rFonts w:ascii="Times New Roman" w:hAnsi="Times New Roman" w:cs="Times New Roman"/>
        </w:rPr>
        <w:t xml:space="preserve"> </w:t>
      </w:r>
      <w:r>
        <w:rPr>
          <w:rFonts w:ascii="Times New Roman" w:hAnsi="Times New Roman" w:cs="Times New Roman"/>
        </w:rPr>
        <w:t>mil</w:t>
      </w:r>
      <w:r w:rsidRPr="00F85660">
        <w:rPr>
          <w:rFonts w:ascii="Times New Roman" w:hAnsi="Times New Roman" w:cs="Times New Roman"/>
        </w:rPr>
        <w:t xml:space="preserve">. eur, </w:t>
      </w:r>
      <w:r>
        <w:rPr>
          <w:rFonts w:ascii="Times New Roman" w:hAnsi="Times New Roman" w:cs="Times New Roman"/>
        </w:rPr>
        <w:t>t. j. 2</w:t>
      </w:r>
      <w:r w:rsidRPr="00F85660">
        <w:rPr>
          <w:rFonts w:ascii="Times New Roman" w:hAnsi="Times New Roman" w:cs="Times New Roman"/>
        </w:rPr>
        <w:t>,</w:t>
      </w:r>
      <w:r>
        <w:rPr>
          <w:rFonts w:ascii="Times New Roman" w:hAnsi="Times New Roman" w:cs="Times New Roman"/>
        </w:rPr>
        <w:t>3</w:t>
      </w:r>
      <w:r w:rsidRPr="00F85660">
        <w:rPr>
          <w:rFonts w:ascii="Times New Roman" w:hAnsi="Times New Roman" w:cs="Times New Roman"/>
        </w:rPr>
        <w:t xml:space="preserve">2 %. </w:t>
      </w:r>
    </w:p>
    <w:p w:rsidR="007D13F3" w:rsidRPr="00F85660" w:rsidRDefault="007D13F3" w:rsidP="007D13F3">
      <w:pPr>
        <w:jc w:val="both"/>
        <w:rPr>
          <w:rFonts w:ascii="Times New Roman" w:hAnsi="Times New Roman" w:cs="Times New Roman"/>
          <w:highlight w:val="yellow"/>
        </w:rPr>
      </w:pPr>
    </w:p>
    <w:p w:rsidR="007D13F3" w:rsidRPr="00F85660" w:rsidRDefault="007D13F3" w:rsidP="007D13F3">
      <w:pPr>
        <w:ind w:firstLine="708"/>
        <w:jc w:val="both"/>
        <w:rPr>
          <w:rFonts w:ascii="Times New Roman" w:hAnsi="Times New Roman" w:cs="Times New Roman"/>
          <w:color w:val="000000"/>
        </w:rPr>
      </w:pPr>
      <w:r w:rsidRPr="00F85660">
        <w:rPr>
          <w:rFonts w:ascii="Times New Roman" w:hAnsi="Times New Roman" w:cs="Times New Roman"/>
        </w:rPr>
        <w:t xml:space="preserve">Osobné výdavky na rok 2018 sa </w:t>
      </w:r>
      <w:r>
        <w:rPr>
          <w:rFonts w:ascii="Times New Roman" w:hAnsi="Times New Roman" w:cs="Times New Roman"/>
        </w:rPr>
        <w:t>rozpočtujú</w:t>
      </w:r>
      <w:r w:rsidRPr="00F85660">
        <w:rPr>
          <w:rFonts w:ascii="Times New Roman" w:hAnsi="Times New Roman" w:cs="Times New Roman"/>
        </w:rPr>
        <w:t xml:space="preserve"> </w:t>
      </w:r>
      <w:r>
        <w:rPr>
          <w:rFonts w:ascii="Times New Roman" w:hAnsi="Times New Roman" w:cs="Times New Roman"/>
        </w:rPr>
        <w:t>v sume</w:t>
      </w:r>
      <w:r w:rsidRPr="00F85660">
        <w:rPr>
          <w:rFonts w:ascii="Times New Roman" w:hAnsi="Times New Roman" w:cs="Times New Roman"/>
        </w:rPr>
        <w:t xml:space="preserve"> 2</w:t>
      </w:r>
      <w:r>
        <w:rPr>
          <w:rFonts w:ascii="Times New Roman" w:hAnsi="Times New Roman" w:cs="Times New Roman"/>
        </w:rPr>
        <w:t>73</w:t>
      </w:r>
      <w:r w:rsidRPr="00F85660">
        <w:rPr>
          <w:rFonts w:ascii="Times New Roman" w:hAnsi="Times New Roman" w:cs="Times New Roman"/>
        </w:rPr>
        <w:t xml:space="preserve"> mil. eur,  čo predstavuje oproti schválenému rozpočtu roku 2017 nárast o 1</w:t>
      </w:r>
      <w:r>
        <w:rPr>
          <w:rFonts w:ascii="Times New Roman" w:hAnsi="Times New Roman" w:cs="Times New Roman"/>
        </w:rPr>
        <w:t>6</w:t>
      </w:r>
      <w:r w:rsidRPr="00F85660">
        <w:rPr>
          <w:rFonts w:ascii="Times New Roman" w:hAnsi="Times New Roman" w:cs="Times New Roman"/>
        </w:rPr>
        <w:t>,</w:t>
      </w:r>
      <w:r>
        <w:rPr>
          <w:rFonts w:ascii="Times New Roman" w:hAnsi="Times New Roman" w:cs="Times New Roman"/>
        </w:rPr>
        <w:t>1</w:t>
      </w:r>
      <w:r w:rsidRPr="00F85660">
        <w:rPr>
          <w:rFonts w:ascii="Times New Roman" w:hAnsi="Times New Roman" w:cs="Times New Roman"/>
        </w:rPr>
        <w:t xml:space="preserve"> mil. eur, t. j. o </w:t>
      </w:r>
      <w:r>
        <w:rPr>
          <w:rFonts w:ascii="Times New Roman" w:hAnsi="Times New Roman" w:cs="Times New Roman"/>
        </w:rPr>
        <w:t>6</w:t>
      </w:r>
      <w:r w:rsidRPr="00F85660">
        <w:rPr>
          <w:rFonts w:ascii="Times New Roman" w:hAnsi="Times New Roman" w:cs="Times New Roman"/>
        </w:rPr>
        <w:t>,</w:t>
      </w:r>
      <w:r>
        <w:rPr>
          <w:rFonts w:ascii="Times New Roman" w:hAnsi="Times New Roman" w:cs="Times New Roman"/>
        </w:rPr>
        <w:t>27</w:t>
      </w:r>
      <w:r w:rsidRPr="00F85660">
        <w:rPr>
          <w:rFonts w:ascii="Times New Roman" w:hAnsi="Times New Roman" w:cs="Times New Roman"/>
        </w:rPr>
        <w:t xml:space="preserve"> %. Nárast osobných výdavkov zohľadňuje premietnutie valorizácie platov z roku 2017</w:t>
      </w:r>
      <w:r>
        <w:rPr>
          <w:rFonts w:ascii="Times New Roman" w:hAnsi="Times New Roman" w:cs="Times New Roman"/>
        </w:rPr>
        <w:t xml:space="preserve"> a </w:t>
      </w:r>
      <w:r w:rsidRPr="00F85660">
        <w:rPr>
          <w:rFonts w:ascii="Times New Roman" w:hAnsi="Times New Roman" w:cs="Times New Roman"/>
        </w:rPr>
        <w:t xml:space="preserve">dopočet zákonných náležitostí sudcov. </w:t>
      </w:r>
    </w:p>
    <w:p w:rsidR="007D13F3" w:rsidRPr="00EB44C6" w:rsidRDefault="007D13F3" w:rsidP="007D13F3">
      <w:pPr>
        <w:ind w:firstLine="708"/>
        <w:jc w:val="both"/>
        <w:rPr>
          <w:rFonts w:ascii="Times New Roman" w:hAnsi="Times New Roman" w:cs="Times New Roman"/>
          <w:bCs/>
          <w:highlight w:val="yellow"/>
        </w:rPr>
      </w:pPr>
    </w:p>
    <w:p w:rsidR="007D13F3" w:rsidRDefault="007D13F3" w:rsidP="007D13F3">
      <w:pPr>
        <w:ind w:firstLine="708"/>
        <w:jc w:val="both"/>
        <w:rPr>
          <w:rFonts w:ascii="Times New Roman" w:hAnsi="Times New Roman" w:cs="Times New Roman"/>
        </w:rPr>
      </w:pPr>
      <w:r>
        <w:rPr>
          <w:rFonts w:ascii="Times New Roman" w:hAnsi="Times New Roman" w:cs="Times New Roman"/>
        </w:rPr>
        <w:t>T</w:t>
      </w:r>
      <w:r w:rsidRPr="00CF3201">
        <w:rPr>
          <w:rFonts w:ascii="Times New Roman" w:hAnsi="Times New Roman" w:cs="Times New Roman"/>
        </w:rPr>
        <w:t xml:space="preserve">ovary a služby na rok 2018 </w:t>
      </w:r>
      <w:r>
        <w:rPr>
          <w:rFonts w:ascii="Times New Roman" w:hAnsi="Times New Roman" w:cs="Times New Roman"/>
        </w:rPr>
        <w:t xml:space="preserve">sa rozpočtujú v sume 95,1 mil. eur, medziročne rastú </w:t>
      </w:r>
      <w:r w:rsidR="00F358AE">
        <w:rPr>
          <w:rFonts w:ascii="Times New Roman" w:hAnsi="Times New Roman" w:cs="Times New Roman"/>
        </w:rPr>
        <w:br/>
      </w:r>
      <w:r w:rsidRPr="00CF3201">
        <w:rPr>
          <w:rFonts w:ascii="Times New Roman" w:hAnsi="Times New Roman" w:cs="Times New Roman"/>
        </w:rPr>
        <w:t xml:space="preserve">o 901 tis. eur, </w:t>
      </w:r>
      <w:r>
        <w:rPr>
          <w:rFonts w:ascii="Times New Roman" w:hAnsi="Times New Roman" w:cs="Times New Roman"/>
        </w:rPr>
        <w:t xml:space="preserve">t. j. o </w:t>
      </w:r>
      <w:r w:rsidRPr="00CF3201">
        <w:rPr>
          <w:rFonts w:ascii="Times New Roman" w:hAnsi="Times New Roman" w:cs="Times New Roman"/>
        </w:rPr>
        <w:t>0,</w:t>
      </w:r>
      <w:r>
        <w:rPr>
          <w:rFonts w:ascii="Times New Roman" w:hAnsi="Times New Roman" w:cs="Times New Roman"/>
        </w:rPr>
        <w:t>96</w:t>
      </w:r>
      <w:r w:rsidRPr="00CF3201">
        <w:rPr>
          <w:rFonts w:ascii="Times New Roman" w:hAnsi="Times New Roman" w:cs="Times New Roman"/>
        </w:rPr>
        <w:t xml:space="preserve"> %. Ide o zabezpečenie bežných prevádzkových výdavkov a prevádzky </w:t>
      </w:r>
      <w:r>
        <w:rPr>
          <w:rFonts w:ascii="Times New Roman" w:hAnsi="Times New Roman" w:cs="Times New Roman"/>
        </w:rPr>
        <w:t>informačných systémov</w:t>
      </w:r>
      <w:r w:rsidRPr="00CF3201">
        <w:rPr>
          <w:rFonts w:ascii="Times New Roman" w:hAnsi="Times New Roman" w:cs="Times New Roman"/>
        </w:rPr>
        <w:t xml:space="preserve"> súdnictva.</w:t>
      </w:r>
      <w:r w:rsidR="00F358AE">
        <w:t xml:space="preserve"> </w:t>
      </w:r>
      <w:r w:rsidRPr="00DB705D">
        <w:rPr>
          <w:rFonts w:ascii="Times New Roman" w:hAnsi="Times New Roman" w:cs="Times New Roman"/>
        </w:rPr>
        <w:t>Zvýšenie predstavujú výdavky pre ZVJS (pre VH a vnútornú prevádzku ústavov) ako aj pracovné odmeny odsúdených.</w:t>
      </w:r>
    </w:p>
    <w:p w:rsidR="007D13F3" w:rsidRPr="00DB705D" w:rsidRDefault="007D13F3" w:rsidP="007D13F3">
      <w:pPr>
        <w:ind w:firstLine="708"/>
        <w:jc w:val="both"/>
        <w:rPr>
          <w:rFonts w:ascii="Times New Roman" w:hAnsi="Times New Roman" w:cs="Times New Roman"/>
          <w:color w:val="000000"/>
          <w:highlight w:val="yellow"/>
        </w:rPr>
      </w:pPr>
    </w:p>
    <w:p w:rsidR="007D13F3" w:rsidRPr="00DB705D" w:rsidRDefault="007D13F3" w:rsidP="007D13F3">
      <w:pPr>
        <w:ind w:firstLine="708"/>
        <w:jc w:val="both"/>
        <w:rPr>
          <w:rFonts w:ascii="Times New Roman" w:hAnsi="Times New Roman" w:cs="Times New Roman"/>
        </w:rPr>
      </w:pPr>
      <w:r>
        <w:rPr>
          <w:rFonts w:ascii="Times New Roman" w:hAnsi="Times New Roman" w:cs="Times New Roman"/>
        </w:rPr>
        <w:t>B</w:t>
      </w:r>
      <w:r w:rsidRPr="00CF3201">
        <w:rPr>
          <w:rFonts w:ascii="Times New Roman" w:hAnsi="Times New Roman" w:cs="Times New Roman"/>
        </w:rPr>
        <w:t xml:space="preserve">ežné transfery </w:t>
      </w:r>
      <w:r>
        <w:rPr>
          <w:rFonts w:ascii="Times New Roman" w:hAnsi="Times New Roman" w:cs="Times New Roman"/>
        </w:rPr>
        <w:t xml:space="preserve">na </w:t>
      </w:r>
      <w:r w:rsidRPr="00CF3201">
        <w:rPr>
          <w:rFonts w:ascii="Times New Roman" w:hAnsi="Times New Roman" w:cs="Times New Roman"/>
        </w:rPr>
        <w:t xml:space="preserve">rok 2018 </w:t>
      </w:r>
      <w:r>
        <w:rPr>
          <w:rFonts w:ascii="Times New Roman" w:hAnsi="Times New Roman" w:cs="Times New Roman"/>
        </w:rPr>
        <w:t xml:space="preserve">sa </w:t>
      </w:r>
      <w:r w:rsidRPr="00CF3201">
        <w:rPr>
          <w:rFonts w:ascii="Times New Roman" w:hAnsi="Times New Roman" w:cs="Times New Roman"/>
        </w:rPr>
        <w:t>rozpočtujú v sume 2</w:t>
      </w:r>
      <w:r>
        <w:rPr>
          <w:rFonts w:ascii="Times New Roman" w:hAnsi="Times New Roman" w:cs="Times New Roman"/>
        </w:rPr>
        <w:t>3</w:t>
      </w:r>
      <w:r w:rsidRPr="00CF3201">
        <w:rPr>
          <w:rFonts w:ascii="Times New Roman" w:hAnsi="Times New Roman" w:cs="Times New Roman"/>
        </w:rPr>
        <w:t>,</w:t>
      </w:r>
      <w:r>
        <w:rPr>
          <w:rFonts w:ascii="Times New Roman" w:hAnsi="Times New Roman" w:cs="Times New Roman"/>
        </w:rPr>
        <w:t>4</w:t>
      </w:r>
      <w:r w:rsidRPr="00CF3201">
        <w:rPr>
          <w:rFonts w:ascii="Times New Roman" w:hAnsi="Times New Roman" w:cs="Times New Roman"/>
        </w:rPr>
        <w:t xml:space="preserve"> mil. eur, čo </w:t>
      </w:r>
      <w:r>
        <w:rPr>
          <w:rFonts w:ascii="Times New Roman" w:hAnsi="Times New Roman" w:cs="Times New Roman"/>
        </w:rPr>
        <w:t>predstavu</w:t>
      </w:r>
      <w:r w:rsidRPr="00CF3201">
        <w:rPr>
          <w:rFonts w:ascii="Times New Roman" w:hAnsi="Times New Roman" w:cs="Times New Roman"/>
        </w:rPr>
        <w:t xml:space="preserve">je </w:t>
      </w:r>
      <w:r w:rsidRPr="00CF3201">
        <w:rPr>
          <w:rFonts w:ascii="Times New Roman" w:hAnsi="Times New Roman" w:cs="Times New Roman"/>
        </w:rPr>
        <w:br/>
        <w:t>nárast o </w:t>
      </w:r>
      <w:r>
        <w:rPr>
          <w:rFonts w:ascii="Times New Roman" w:hAnsi="Times New Roman" w:cs="Times New Roman"/>
        </w:rPr>
        <w:t>4</w:t>
      </w:r>
      <w:r w:rsidRPr="00CF3201">
        <w:rPr>
          <w:rFonts w:ascii="Times New Roman" w:hAnsi="Times New Roman" w:cs="Times New Roman"/>
        </w:rPr>
        <w:t>,</w:t>
      </w:r>
      <w:r>
        <w:rPr>
          <w:rFonts w:ascii="Times New Roman" w:hAnsi="Times New Roman" w:cs="Times New Roman"/>
        </w:rPr>
        <w:t>15</w:t>
      </w:r>
      <w:r w:rsidRPr="00CF3201">
        <w:rPr>
          <w:rFonts w:ascii="Times New Roman" w:hAnsi="Times New Roman" w:cs="Times New Roman"/>
        </w:rPr>
        <w:t xml:space="preserve"> mil. eur</w:t>
      </w:r>
      <w:r>
        <w:rPr>
          <w:rFonts w:ascii="Times New Roman" w:hAnsi="Times New Roman" w:cs="Times New Roman"/>
        </w:rPr>
        <w:t>, t. j. o 21</w:t>
      </w:r>
      <w:r w:rsidRPr="00CF3201">
        <w:rPr>
          <w:rFonts w:ascii="Times New Roman" w:hAnsi="Times New Roman" w:cs="Times New Roman"/>
        </w:rPr>
        <w:t>,</w:t>
      </w:r>
      <w:r>
        <w:rPr>
          <w:rFonts w:ascii="Times New Roman" w:hAnsi="Times New Roman" w:cs="Times New Roman"/>
        </w:rPr>
        <w:t>6</w:t>
      </w:r>
      <w:r w:rsidRPr="00CF3201">
        <w:rPr>
          <w:rFonts w:ascii="Times New Roman" w:hAnsi="Times New Roman" w:cs="Times New Roman"/>
        </w:rPr>
        <w:t xml:space="preserve"> %. </w:t>
      </w:r>
      <w:r>
        <w:rPr>
          <w:rFonts w:ascii="Times New Roman" w:hAnsi="Times New Roman" w:cs="Times New Roman"/>
        </w:rPr>
        <w:t>Nárast predstavuje hlavne p</w:t>
      </w:r>
      <w:r w:rsidRPr="00E73B37">
        <w:rPr>
          <w:rFonts w:ascii="Times New Roman" w:hAnsi="Times New Roman" w:cs="Times New Roman"/>
        </w:rPr>
        <w:t>ríspevok na bývanie</w:t>
      </w:r>
      <w:r>
        <w:rPr>
          <w:rFonts w:ascii="Times New Roman" w:hAnsi="Times New Roman" w:cs="Times New Roman"/>
        </w:rPr>
        <w:t xml:space="preserve"> </w:t>
      </w:r>
      <w:r w:rsidRPr="00E73B37">
        <w:rPr>
          <w:rFonts w:ascii="Times New Roman" w:hAnsi="Times New Roman" w:cs="Times New Roman"/>
        </w:rPr>
        <w:t>v sume 2</w:t>
      </w:r>
      <w:r>
        <w:rPr>
          <w:rFonts w:ascii="Times New Roman" w:hAnsi="Times New Roman" w:cs="Times New Roman"/>
        </w:rPr>
        <w:t xml:space="preserve">,27 mil. eur, </w:t>
      </w:r>
      <w:r w:rsidRPr="00DB705D">
        <w:rPr>
          <w:rFonts w:ascii="Times New Roman" w:hAnsi="Times New Roman" w:cs="Times New Roman"/>
        </w:rPr>
        <w:t xml:space="preserve">delimitácia v oblasti ľudských práv z </w:t>
      </w:r>
      <w:proofErr w:type="spellStart"/>
      <w:r w:rsidRPr="00DB705D">
        <w:rPr>
          <w:rFonts w:ascii="Times New Roman" w:hAnsi="Times New Roman" w:cs="Times New Roman"/>
        </w:rPr>
        <w:t>MZVaEZ</w:t>
      </w:r>
      <w:proofErr w:type="spellEnd"/>
      <w:r w:rsidRPr="00DB705D">
        <w:rPr>
          <w:rFonts w:ascii="Times New Roman" w:hAnsi="Times New Roman" w:cs="Times New Roman"/>
        </w:rPr>
        <w:t xml:space="preserve"> SR na MS SR</w:t>
      </w:r>
      <w:r>
        <w:rPr>
          <w:rFonts w:ascii="Times New Roman" w:hAnsi="Times New Roman" w:cs="Times New Roman"/>
        </w:rPr>
        <w:t xml:space="preserve"> v sume </w:t>
      </w:r>
      <w:r w:rsidR="00F358AE">
        <w:rPr>
          <w:rFonts w:ascii="Times New Roman" w:hAnsi="Times New Roman" w:cs="Times New Roman"/>
        </w:rPr>
        <w:br/>
      </w:r>
      <w:r>
        <w:rPr>
          <w:rFonts w:ascii="Times New Roman" w:hAnsi="Times New Roman" w:cs="Times New Roman"/>
        </w:rPr>
        <w:t xml:space="preserve">769 tis. eur, </w:t>
      </w:r>
      <w:r w:rsidRPr="00DB705D">
        <w:rPr>
          <w:rFonts w:ascii="Times New Roman" w:hAnsi="Times New Roman" w:cs="Times New Roman"/>
        </w:rPr>
        <w:t>odchodné a odstupné zamestnancov súdnictva</w:t>
      </w:r>
      <w:r>
        <w:rPr>
          <w:rFonts w:ascii="Times New Roman" w:hAnsi="Times New Roman" w:cs="Times New Roman"/>
        </w:rPr>
        <w:t xml:space="preserve"> v sume 585 tis. eur a príplatok za výkon funkcie sudcu v sume 400 tis. eur</w:t>
      </w:r>
      <w:r w:rsidRPr="00DB705D">
        <w:rPr>
          <w:rFonts w:ascii="Times New Roman" w:hAnsi="Times New Roman" w:cs="Times New Roman"/>
        </w:rPr>
        <w:t>. Dotácia</w:t>
      </w:r>
      <w:r w:rsidRPr="00DB705D">
        <w:rPr>
          <w:rFonts w:ascii="Times New Roman" w:hAnsi="Times New Roman" w:cs="Times New Roman"/>
          <w:b/>
        </w:rPr>
        <w:t xml:space="preserve"> </w:t>
      </w:r>
      <w:r w:rsidRPr="00DB705D">
        <w:rPr>
          <w:rFonts w:ascii="Times New Roman" w:hAnsi="Times New Roman" w:cs="Times New Roman"/>
        </w:rPr>
        <w:t xml:space="preserve">na osobitný účet ZVJS </w:t>
      </w:r>
      <w:r>
        <w:rPr>
          <w:rFonts w:ascii="Times New Roman" w:hAnsi="Times New Roman" w:cs="Times New Roman"/>
        </w:rPr>
        <w:t>sa rozpočtuje v sume</w:t>
      </w:r>
      <w:r w:rsidRPr="00DB705D">
        <w:rPr>
          <w:rFonts w:ascii="Times New Roman" w:hAnsi="Times New Roman" w:cs="Times New Roman"/>
        </w:rPr>
        <w:t xml:space="preserve"> 3,18 mil. eur. </w:t>
      </w:r>
    </w:p>
    <w:p w:rsidR="007D13F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CF3201">
        <w:rPr>
          <w:rFonts w:ascii="Times New Roman" w:hAnsi="Times New Roman" w:cs="Times New Roman"/>
        </w:rPr>
        <w:t xml:space="preserve">Kapitálové výdavky na rok 2018 </w:t>
      </w:r>
      <w:r>
        <w:rPr>
          <w:rFonts w:ascii="Times New Roman" w:hAnsi="Times New Roman" w:cs="Times New Roman"/>
        </w:rPr>
        <w:t xml:space="preserve">sa </w:t>
      </w:r>
      <w:r w:rsidRPr="00CF3201">
        <w:rPr>
          <w:rFonts w:ascii="Times New Roman" w:hAnsi="Times New Roman" w:cs="Times New Roman"/>
        </w:rPr>
        <w:t>rozpočt</w:t>
      </w:r>
      <w:r>
        <w:rPr>
          <w:rFonts w:ascii="Times New Roman" w:hAnsi="Times New Roman" w:cs="Times New Roman"/>
        </w:rPr>
        <w:t>ujú</w:t>
      </w:r>
      <w:r w:rsidRPr="00CF3201">
        <w:rPr>
          <w:rFonts w:ascii="Times New Roman" w:hAnsi="Times New Roman" w:cs="Times New Roman"/>
        </w:rPr>
        <w:t xml:space="preserve"> v sume </w:t>
      </w:r>
      <w:r>
        <w:rPr>
          <w:rFonts w:ascii="Times New Roman" w:hAnsi="Times New Roman" w:cs="Times New Roman"/>
        </w:rPr>
        <w:t>8</w:t>
      </w:r>
      <w:r w:rsidRPr="00CF3201">
        <w:rPr>
          <w:rFonts w:ascii="Times New Roman" w:hAnsi="Times New Roman" w:cs="Times New Roman"/>
        </w:rPr>
        <w:t>,7</w:t>
      </w:r>
      <w:r>
        <w:rPr>
          <w:rFonts w:ascii="Times New Roman" w:hAnsi="Times New Roman" w:cs="Times New Roman"/>
        </w:rPr>
        <w:t>3</w:t>
      </w:r>
      <w:r w:rsidRPr="00CF3201">
        <w:rPr>
          <w:rFonts w:ascii="Times New Roman" w:hAnsi="Times New Roman" w:cs="Times New Roman"/>
        </w:rPr>
        <w:t xml:space="preserve"> mil. eur. V porovnaní so schváleným rozpočtom na rok 2017 ide o pokles o 1</w:t>
      </w:r>
      <w:r>
        <w:rPr>
          <w:rFonts w:ascii="Times New Roman" w:hAnsi="Times New Roman" w:cs="Times New Roman"/>
        </w:rPr>
        <w:t>2</w:t>
      </w:r>
      <w:r w:rsidRPr="00CF3201">
        <w:rPr>
          <w:rFonts w:ascii="Times New Roman" w:hAnsi="Times New Roman" w:cs="Times New Roman"/>
        </w:rPr>
        <w:t xml:space="preserve">,0 mil. eur, </w:t>
      </w:r>
      <w:r>
        <w:rPr>
          <w:rFonts w:ascii="Times New Roman" w:hAnsi="Times New Roman" w:cs="Times New Roman"/>
        </w:rPr>
        <w:t>t. j. o 58</w:t>
      </w:r>
      <w:r w:rsidRPr="00CF3201">
        <w:rPr>
          <w:rFonts w:ascii="Times New Roman" w:hAnsi="Times New Roman" w:cs="Times New Roman"/>
        </w:rPr>
        <w:t xml:space="preserve">,8 %. </w:t>
      </w:r>
      <w:r>
        <w:rPr>
          <w:rFonts w:ascii="Times New Roman" w:hAnsi="Times New Roman" w:cs="Times New Roman"/>
        </w:rPr>
        <w:t xml:space="preserve">Pokles spôsobilo jednorazové poskytnutie kapitálových výdavkov v roku 2017 na </w:t>
      </w:r>
      <w:r w:rsidRPr="00CF6990">
        <w:rPr>
          <w:rFonts w:ascii="Times New Roman" w:hAnsi="Times New Roman" w:cs="Times New Roman"/>
        </w:rPr>
        <w:t>rekonštrukci</w:t>
      </w:r>
      <w:r w:rsidR="008E30EC">
        <w:rPr>
          <w:rFonts w:ascii="Times New Roman" w:hAnsi="Times New Roman" w:cs="Times New Roman"/>
        </w:rPr>
        <w:t>u</w:t>
      </w:r>
      <w:r w:rsidRPr="00CF6990">
        <w:rPr>
          <w:rFonts w:ascii="Times New Roman" w:hAnsi="Times New Roman" w:cs="Times New Roman"/>
        </w:rPr>
        <w:t xml:space="preserve"> ústavov väzenstva</w:t>
      </w:r>
      <w:r>
        <w:rPr>
          <w:rFonts w:ascii="Times New Roman" w:hAnsi="Times New Roman" w:cs="Times New Roman"/>
        </w:rPr>
        <w:t xml:space="preserve"> a na </w:t>
      </w:r>
      <w:r w:rsidRPr="00CF6990">
        <w:rPr>
          <w:rFonts w:ascii="Times New Roman" w:hAnsi="Times New Roman" w:cs="Times New Roman"/>
        </w:rPr>
        <w:t>realizáci</w:t>
      </w:r>
      <w:r>
        <w:rPr>
          <w:rFonts w:ascii="Times New Roman" w:hAnsi="Times New Roman" w:cs="Times New Roman"/>
        </w:rPr>
        <w:t>u</w:t>
      </w:r>
      <w:r w:rsidRPr="00CF6990">
        <w:rPr>
          <w:rFonts w:ascii="Times New Roman" w:hAnsi="Times New Roman" w:cs="Times New Roman"/>
        </w:rPr>
        <w:t xml:space="preserve"> zákon</w:t>
      </w:r>
      <w:r>
        <w:rPr>
          <w:rFonts w:ascii="Times New Roman" w:hAnsi="Times New Roman" w:cs="Times New Roman"/>
        </w:rPr>
        <w:t xml:space="preserve">ov </w:t>
      </w:r>
      <w:r w:rsidRPr="00CF6990">
        <w:rPr>
          <w:rFonts w:ascii="Times New Roman" w:hAnsi="Times New Roman" w:cs="Times New Roman"/>
        </w:rPr>
        <w:t xml:space="preserve">o </w:t>
      </w:r>
      <w:proofErr w:type="spellStart"/>
      <w:r w:rsidRPr="00CF6990">
        <w:rPr>
          <w:rFonts w:ascii="Times New Roman" w:hAnsi="Times New Roman" w:cs="Times New Roman"/>
        </w:rPr>
        <w:t>upomínacom</w:t>
      </w:r>
      <w:proofErr w:type="spellEnd"/>
      <w:r w:rsidRPr="00CF6990">
        <w:rPr>
          <w:rFonts w:ascii="Times New Roman" w:hAnsi="Times New Roman" w:cs="Times New Roman"/>
        </w:rPr>
        <w:t xml:space="preserve"> konaní,</w:t>
      </w:r>
      <w:r w:rsidR="008E30EC">
        <w:rPr>
          <w:rFonts w:ascii="Times New Roman" w:hAnsi="Times New Roman" w:cs="Times New Roman"/>
        </w:rPr>
        <w:t xml:space="preserve"> o</w:t>
      </w:r>
      <w:r w:rsidRPr="00CF6990">
        <w:rPr>
          <w:rFonts w:ascii="Times New Roman" w:hAnsi="Times New Roman" w:cs="Times New Roman"/>
        </w:rPr>
        <w:t xml:space="preserve"> súdnych exekútoroch, o konkurze a reštrukturalizácii a</w:t>
      </w:r>
      <w:r>
        <w:rPr>
          <w:rFonts w:ascii="Times New Roman" w:hAnsi="Times New Roman" w:cs="Times New Roman"/>
        </w:rPr>
        <w:t xml:space="preserve"> na</w:t>
      </w:r>
      <w:r w:rsidRPr="00CF6990">
        <w:rPr>
          <w:rFonts w:ascii="Times New Roman" w:hAnsi="Times New Roman" w:cs="Times New Roman"/>
        </w:rPr>
        <w:t xml:space="preserve"> </w:t>
      </w:r>
      <w:proofErr w:type="spellStart"/>
      <w:r w:rsidRPr="00CF6990">
        <w:rPr>
          <w:rFonts w:ascii="Times New Roman" w:hAnsi="Times New Roman" w:cs="Times New Roman"/>
        </w:rPr>
        <w:t>protischránkový</w:t>
      </w:r>
      <w:proofErr w:type="spellEnd"/>
      <w:r w:rsidRPr="00CF6990">
        <w:rPr>
          <w:rFonts w:ascii="Times New Roman" w:hAnsi="Times New Roman" w:cs="Times New Roman"/>
        </w:rPr>
        <w:t xml:space="preserve"> zákon.</w:t>
      </w:r>
      <w:r>
        <w:rPr>
          <w:rFonts w:ascii="Times New Roman" w:hAnsi="Times New Roman" w:cs="Times New Roman"/>
        </w:rPr>
        <w:t xml:space="preserve"> V roku 2018 sa z</w:t>
      </w:r>
      <w:r w:rsidRPr="00CD463B">
        <w:rPr>
          <w:rFonts w:ascii="Times New Roman" w:hAnsi="Times New Roman" w:cs="Times New Roman"/>
        </w:rPr>
        <w:t xml:space="preserve"> kapitálových výdavkov bude realizovať rekonštrukcia ústavov väzenstva v súlade s Aktualizovanou Koncepciou väzenstva Slovenskej republiky na roky 2011 až 2020 ako aj pokračovanie investič</w:t>
      </w:r>
      <w:r>
        <w:rPr>
          <w:rFonts w:ascii="Times New Roman" w:hAnsi="Times New Roman" w:cs="Times New Roman"/>
        </w:rPr>
        <w:t xml:space="preserve">ných akcií v oblasti súdnictva. </w:t>
      </w:r>
      <w:r w:rsidRPr="00CD463B">
        <w:rPr>
          <w:rFonts w:ascii="Times New Roman" w:hAnsi="Times New Roman" w:cs="Times New Roman"/>
        </w:rPr>
        <w:t>Tiež sa rozpočtuje obstaranie softvéru</w:t>
      </w:r>
      <w:r>
        <w:rPr>
          <w:rFonts w:ascii="Times New Roman" w:hAnsi="Times New Roman" w:cs="Times New Roman"/>
        </w:rPr>
        <w:t xml:space="preserve">, hardvéru, obstaranie vozidiel </w:t>
      </w:r>
      <w:r w:rsidRPr="00CD463B">
        <w:rPr>
          <w:rFonts w:ascii="Times New Roman" w:hAnsi="Times New Roman" w:cs="Times New Roman"/>
        </w:rPr>
        <w:t xml:space="preserve">a prevádzkových strojov. </w:t>
      </w:r>
    </w:p>
    <w:p w:rsidR="007D13F3" w:rsidRPr="00CD463B" w:rsidRDefault="007D13F3" w:rsidP="007D13F3">
      <w:pPr>
        <w:ind w:firstLine="708"/>
        <w:jc w:val="both"/>
        <w:rPr>
          <w:rFonts w:ascii="Times New Roman" w:hAnsi="Times New Roman" w:cs="Times New Roman"/>
        </w:rPr>
      </w:pPr>
      <w:r w:rsidRPr="00420D52">
        <w:rPr>
          <w:rFonts w:ascii="Times New Roman" w:hAnsi="Times New Roman" w:cs="Times New Roman"/>
        </w:rPr>
        <w:lastRenderedPageBreak/>
        <w:t>M</w:t>
      </w:r>
      <w:r>
        <w:rPr>
          <w:rFonts w:ascii="Times New Roman" w:hAnsi="Times New Roman" w:cs="Times New Roman"/>
        </w:rPr>
        <w:t>S</w:t>
      </w:r>
      <w:r w:rsidRPr="00420D52">
        <w:rPr>
          <w:rFonts w:ascii="Times New Roman" w:hAnsi="Times New Roman" w:cs="Times New Roman"/>
        </w:rPr>
        <w:t xml:space="preserve"> SR na rok 2018 rozpočtuje výdavky na samostatných účtoch v</w:t>
      </w:r>
      <w:r>
        <w:rPr>
          <w:rFonts w:ascii="Times New Roman" w:hAnsi="Times New Roman" w:cs="Times New Roman"/>
        </w:rPr>
        <w:t> </w:t>
      </w:r>
      <w:r w:rsidRPr="00420D52">
        <w:rPr>
          <w:rFonts w:ascii="Times New Roman" w:hAnsi="Times New Roman" w:cs="Times New Roman"/>
        </w:rPr>
        <w:t>sume</w:t>
      </w:r>
      <w:r>
        <w:rPr>
          <w:rFonts w:ascii="Times New Roman" w:hAnsi="Times New Roman" w:cs="Times New Roman"/>
        </w:rPr>
        <w:t xml:space="preserve"> 34,9</w:t>
      </w:r>
      <w:r w:rsidRPr="00420D52">
        <w:rPr>
          <w:rFonts w:ascii="Times New Roman" w:hAnsi="Times New Roman" w:cs="Times New Roman"/>
        </w:rPr>
        <w:t xml:space="preserve"> mil. eur. Uvedené prostriedky sú určené na financovanie sociálneho zabezpečenia </w:t>
      </w:r>
      <w:r>
        <w:rPr>
          <w:rFonts w:ascii="Times New Roman" w:hAnsi="Times New Roman" w:cs="Times New Roman"/>
        </w:rPr>
        <w:t>policajtov a vojakov, účet tuzemských darov, grantov a dotácií a na účet súvisiaci so stravovaním vrátane úhrad stravy.</w:t>
      </w:r>
    </w:p>
    <w:p w:rsidR="007D13F3" w:rsidRPr="00EB44C6" w:rsidRDefault="007D13F3" w:rsidP="007D13F3">
      <w:pPr>
        <w:ind w:firstLine="708"/>
        <w:jc w:val="both"/>
        <w:rPr>
          <w:rFonts w:ascii="Times New Roman" w:hAnsi="Times New Roman" w:cs="Times New Roman"/>
        </w:rPr>
      </w:pPr>
    </w:p>
    <w:p w:rsidR="007D13F3" w:rsidRDefault="007D13F3" w:rsidP="007D13F3">
      <w:pPr>
        <w:ind w:firstLine="708"/>
        <w:rPr>
          <w:rFonts w:ascii="Times New Roman" w:hAnsi="Times New Roman" w:cs="Times New Roman"/>
        </w:rPr>
      </w:pPr>
      <w:r w:rsidRPr="00CD463B">
        <w:rPr>
          <w:rFonts w:ascii="Times New Roman" w:hAnsi="Times New Roman" w:cs="Times New Roman"/>
        </w:rPr>
        <w:t>Rozpočet ministerstva spravodlivosti sa skladá z nasledovných oblastí.</w:t>
      </w:r>
    </w:p>
    <w:p w:rsidR="007D13F3" w:rsidRDefault="007D13F3" w:rsidP="007D13F3">
      <w:pPr>
        <w:ind w:firstLine="708"/>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692"/>
        <w:gridCol w:w="910"/>
        <w:gridCol w:w="910"/>
        <w:gridCol w:w="910"/>
        <w:gridCol w:w="910"/>
        <w:gridCol w:w="910"/>
        <w:gridCol w:w="910"/>
        <w:gridCol w:w="910"/>
      </w:tblGrid>
      <w:tr w:rsidR="007D13F3" w:rsidRPr="00A23809" w:rsidTr="00465CAC">
        <w:trPr>
          <w:trHeight w:hRule="exact" w:val="255"/>
        </w:trPr>
        <w:tc>
          <w:tcPr>
            <w:tcW w:w="148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A23809" w:rsidRDefault="007D13F3" w:rsidP="00465CAC">
            <w:pPr>
              <w:rPr>
                <w:rFonts w:ascii="Times New Roman" w:hAnsi="Times New Roman" w:cs="Times New Roman"/>
                <w:b/>
                <w:bCs/>
                <w:color w:val="000000"/>
                <w:sz w:val="14"/>
                <w:szCs w:val="14"/>
                <w:lang w:eastAsia="sk-SK"/>
              </w:rPr>
            </w:pPr>
            <w:r w:rsidRPr="00A23809">
              <w:rPr>
                <w:rFonts w:ascii="Times New Roman" w:hAnsi="Times New Roman" w:cs="Times New Roman"/>
                <w:b/>
                <w:bCs/>
                <w:color w:val="000000"/>
                <w:sz w:val="14"/>
                <w:szCs w:val="14"/>
                <w:lang w:eastAsia="sk-SK"/>
              </w:rPr>
              <w:t> </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A23809" w:rsidRDefault="007D13F3" w:rsidP="00465CAC">
            <w:pPr>
              <w:jc w:val="center"/>
              <w:rPr>
                <w:rFonts w:ascii="Times New Roman" w:hAnsi="Times New Roman" w:cs="Times New Roman"/>
                <w:b/>
                <w:bCs/>
                <w:color w:val="000000"/>
                <w:sz w:val="14"/>
                <w:szCs w:val="14"/>
                <w:lang w:eastAsia="sk-SK"/>
              </w:rPr>
            </w:pPr>
            <w:r w:rsidRPr="00A23809">
              <w:rPr>
                <w:rFonts w:ascii="Times New Roman" w:hAnsi="Times New Roman" w:cs="Times New Roman"/>
                <w:b/>
                <w:bCs/>
                <w:color w:val="000000"/>
                <w:sz w:val="14"/>
                <w:szCs w:val="14"/>
                <w:lang w:eastAsia="sk-SK"/>
              </w:rPr>
              <w:t>2015 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A23809" w:rsidRDefault="007D13F3" w:rsidP="00465CAC">
            <w:pPr>
              <w:jc w:val="center"/>
              <w:rPr>
                <w:rFonts w:ascii="Times New Roman" w:hAnsi="Times New Roman" w:cs="Times New Roman"/>
                <w:b/>
                <w:bCs/>
                <w:color w:val="000000"/>
                <w:sz w:val="14"/>
                <w:szCs w:val="14"/>
                <w:lang w:eastAsia="sk-SK"/>
              </w:rPr>
            </w:pPr>
            <w:r w:rsidRPr="00A23809">
              <w:rPr>
                <w:rFonts w:ascii="Times New Roman" w:hAnsi="Times New Roman" w:cs="Times New Roman"/>
                <w:b/>
                <w:bCs/>
                <w:color w:val="000000"/>
                <w:sz w:val="14"/>
                <w:szCs w:val="14"/>
                <w:lang w:eastAsia="sk-SK"/>
              </w:rPr>
              <w:t>2016 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A23809" w:rsidRDefault="007D13F3" w:rsidP="00465CAC">
            <w:pPr>
              <w:jc w:val="center"/>
              <w:rPr>
                <w:rFonts w:ascii="Times New Roman" w:hAnsi="Times New Roman" w:cs="Times New Roman"/>
                <w:b/>
                <w:bCs/>
                <w:color w:val="000000"/>
                <w:sz w:val="14"/>
                <w:szCs w:val="14"/>
                <w:lang w:eastAsia="sk-SK"/>
              </w:rPr>
            </w:pPr>
            <w:r w:rsidRPr="00A23809">
              <w:rPr>
                <w:rFonts w:ascii="Times New Roman" w:hAnsi="Times New Roman" w:cs="Times New Roman"/>
                <w:b/>
                <w:bCs/>
                <w:color w:val="000000"/>
                <w:sz w:val="14"/>
                <w:szCs w:val="14"/>
                <w:lang w:eastAsia="sk-SK"/>
              </w:rPr>
              <w:t>2017 R</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A23809" w:rsidRDefault="007D13F3" w:rsidP="00F358AE">
            <w:pPr>
              <w:jc w:val="center"/>
              <w:rPr>
                <w:rFonts w:ascii="Times New Roman" w:hAnsi="Times New Roman" w:cs="Times New Roman"/>
                <w:b/>
                <w:bCs/>
                <w:color w:val="000000"/>
                <w:sz w:val="14"/>
                <w:szCs w:val="14"/>
                <w:lang w:eastAsia="sk-SK"/>
              </w:rPr>
            </w:pPr>
            <w:r w:rsidRPr="00A23809">
              <w:rPr>
                <w:rFonts w:ascii="Times New Roman" w:hAnsi="Times New Roman" w:cs="Times New Roman"/>
                <w:b/>
                <w:bCs/>
                <w:color w:val="000000"/>
                <w:sz w:val="14"/>
                <w:szCs w:val="14"/>
                <w:lang w:eastAsia="sk-SK"/>
              </w:rPr>
              <w:t xml:space="preserve">2017 </w:t>
            </w:r>
            <w:r w:rsidR="00F358AE">
              <w:rPr>
                <w:rFonts w:ascii="Times New Roman" w:hAnsi="Times New Roman" w:cs="Times New Roman"/>
                <w:b/>
                <w:bCs/>
                <w:color w:val="000000"/>
                <w:sz w:val="14"/>
                <w:szCs w:val="14"/>
                <w:lang w:eastAsia="sk-SK"/>
              </w:rPr>
              <w:t>OS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A23809" w:rsidRDefault="007D13F3" w:rsidP="00465CAC">
            <w:pPr>
              <w:jc w:val="center"/>
              <w:rPr>
                <w:rFonts w:ascii="Times New Roman" w:hAnsi="Times New Roman" w:cs="Times New Roman"/>
                <w:b/>
                <w:bCs/>
                <w:color w:val="000000"/>
                <w:sz w:val="14"/>
                <w:szCs w:val="14"/>
                <w:lang w:eastAsia="sk-SK"/>
              </w:rPr>
            </w:pPr>
            <w:r w:rsidRPr="00A23809">
              <w:rPr>
                <w:rFonts w:ascii="Times New Roman" w:hAnsi="Times New Roman" w:cs="Times New Roman"/>
                <w:b/>
                <w:bCs/>
                <w:color w:val="000000"/>
                <w:sz w:val="14"/>
                <w:szCs w:val="14"/>
                <w:lang w:eastAsia="sk-SK"/>
              </w:rPr>
              <w:t>2018 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A23809" w:rsidRDefault="007D13F3" w:rsidP="00465CAC">
            <w:pPr>
              <w:jc w:val="center"/>
              <w:rPr>
                <w:rFonts w:ascii="Times New Roman" w:hAnsi="Times New Roman" w:cs="Times New Roman"/>
                <w:b/>
                <w:bCs/>
                <w:color w:val="000000"/>
                <w:sz w:val="14"/>
                <w:szCs w:val="14"/>
                <w:lang w:eastAsia="sk-SK"/>
              </w:rPr>
            </w:pPr>
            <w:r w:rsidRPr="00A23809">
              <w:rPr>
                <w:rFonts w:ascii="Times New Roman" w:hAnsi="Times New Roman" w:cs="Times New Roman"/>
                <w:b/>
                <w:bCs/>
                <w:color w:val="000000"/>
                <w:sz w:val="14"/>
                <w:szCs w:val="14"/>
                <w:lang w:eastAsia="sk-SK"/>
              </w:rPr>
              <w:t>2019 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A23809" w:rsidRDefault="007D13F3" w:rsidP="00465CAC">
            <w:pPr>
              <w:jc w:val="center"/>
              <w:rPr>
                <w:rFonts w:ascii="Times New Roman" w:hAnsi="Times New Roman" w:cs="Times New Roman"/>
                <w:b/>
                <w:bCs/>
                <w:color w:val="000000"/>
                <w:sz w:val="14"/>
                <w:szCs w:val="14"/>
                <w:lang w:eastAsia="sk-SK"/>
              </w:rPr>
            </w:pPr>
            <w:r w:rsidRPr="00A23809">
              <w:rPr>
                <w:rFonts w:ascii="Times New Roman" w:hAnsi="Times New Roman" w:cs="Times New Roman"/>
                <w:b/>
                <w:bCs/>
                <w:color w:val="000000"/>
                <w:sz w:val="14"/>
                <w:szCs w:val="14"/>
                <w:lang w:eastAsia="sk-SK"/>
              </w:rPr>
              <w:t>2020 N</w:t>
            </w:r>
          </w:p>
        </w:tc>
      </w:tr>
      <w:tr w:rsidR="007D13F3" w:rsidRPr="00A23809" w:rsidTr="00465CAC">
        <w:trPr>
          <w:trHeight w:hRule="exact" w:val="255"/>
        </w:trPr>
        <w:tc>
          <w:tcPr>
            <w:tcW w:w="1486"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A23809" w:rsidRDefault="007D13F3" w:rsidP="00465CAC">
            <w:pPr>
              <w:rPr>
                <w:rFonts w:ascii="Times New Roman" w:hAnsi="Times New Roman" w:cs="Times New Roman"/>
                <w:b/>
                <w:bCs/>
                <w:color w:val="000000"/>
                <w:sz w:val="14"/>
                <w:szCs w:val="14"/>
                <w:lang w:eastAsia="sk-SK"/>
              </w:rPr>
            </w:pPr>
            <w:r w:rsidRPr="00A23809">
              <w:rPr>
                <w:rFonts w:ascii="Times New Roman" w:hAnsi="Times New Roman" w:cs="Times New Roman"/>
                <w:b/>
                <w:bCs/>
                <w:color w:val="000000"/>
                <w:sz w:val="14"/>
                <w:szCs w:val="14"/>
                <w:lang w:eastAsia="sk-SK"/>
              </w:rPr>
              <w:t>Ministerstvo spravodlivosti SR</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A23809" w:rsidRDefault="007D13F3" w:rsidP="00465CAC">
            <w:pPr>
              <w:jc w:val="right"/>
              <w:rPr>
                <w:rFonts w:ascii="Times New Roman" w:hAnsi="Times New Roman" w:cs="Times New Roman"/>
                <w:b/>
                <w:bCs/>
                <w:color w:val="000000"/>
                <w:sz w:val="14"/>
                <w:szCs w:val="14"/>
                <w:lang w:eastAsia="sk-SK"/>
              </w:rPr>
            </w:pPr>
            <w:r w:rsidRPr="00A23809">
              <w:rPr>
                <w:rFonts w:ascii="Times New Roman" w:hAnsi="Times New Roman" w:cs="Times New Roman"/>
                <w:b/>
                <w:bCs/>
                <w:color w:val="000000"/>
                <w:sz w:val="14"/>
                <w:szCs w:val="14"/>
                <w:lang w:eastAsia="sk-SK"/>
              </w:rPr>
              <w:t>400 609 478</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A23809" w:rsidRDefault="007D13F3" w:rsidP="00465CAC">
            <w:pPr>
              <w:jc w:val="right"/>
              <w:rPr>
                <w:rFonts w:ascii="Times New Roman" w:hAnsi="Times New Roman" w:cs="Times New Roman"/>
                <w:b/>
                <w:bCs/>
                <w:color w:val="000000"/>
                <w:sz w:val="14"/>
                <w:szCs w:val="14"/>
                <w:lang w:eastAsia="sk-SK"/>
              </w:rPr>
            </w:pPr>
            <w:r w:rsidRPr="00A23809">
              <w:rPr>
                <w:rFonts w:ascii="Times New Roman" w:hAnsi="Times New Roman" w:cs="Times New Roman"/>
                <w:b/>
                <w:bCs/>
                <w:color w:val="000000"/>
                <w:sz w:val="14"/>
                <w:szCs w:val="14"/>
                <w:lang w:eastAsia="sk-SK"/>
              </w:rPr>
              <w:t>387</w:t>
            </w:r>
            <w:r>
              <w:rPr>
                <w:rFonts w:ascii="Times New Roman" w:hAnsi="Times New Roman" w:cs="Times New Roman"/>
                <w:b/>
                <w:bCs/>
                <w:color w:val="000000"/>
                <w:sz w:val="14"/>
                <w:szCs w:val="14"/>
                <w:lang w:eastAsia="sk-SK"/>
              </w:rPr>
              <w:t> 497 281</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A23809" w:rsidRDefault="007D13F3" w:rsidP="00465CAC">
            <w:pPr>
              <w:jc w:val="right"/>
              <w:rPr>
                <w:rFonts w:ascii="Times New Roman" w:hAnsi="Times New Roman" w:cs="Times New Roman"/>
                <w:b/>
                <w:bCs/>
                <w:color w:val="000000"/>
                <w:sz w:val="14"/>
                <w:szCs w:val="14"/>
                <w:lang w:eastAsia="sk-SK"/>
              </w:rPr>
            </w:pPr>
            <w:r w:rsidRPr="00A23809">
              <w:rPr>
                <w:rFonts w:ascii="Times New Roman" w:hAnsi="Times New Roman" w:cs="Times New Roman"/>
                <w:b/>
                <w:bCs/>
                <w:color w:val="000000"/>
                <w:sz w:val="14"/>
                <w:szCs w:val="14"/>
                <w:lang w:eastAsia="sk-SK"/>
              </w:rPr>
              <w:t>390 941 910</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A23809" w:rsidRDefault="007D13F3" w:rsidP="00465CAC">
            <w:pPr>
              <w:jc w:val="right"/>
              <w:rPr>
                <w:rFonts w:ascii="Times New Roman" w:hAnsi="Times New Roman" w:cs="Times New Roman"/>
                <w:b/>
                <w:bCs/>
                <w:color w:val="000000"/>
                <w:sz w:val="14"/>
                <w:szCs w:val="14"/>
                <w:lang w:eastAsia="sk-SK"/>
              </w:rPr>
            </w:pPr>
            <w:r w:rsidRPr="00A23809">
              <w:rPr>
                <w:rFonts w:ascii="Times New Roman" w:hAnsi="Times New Roman" w:cs="Times New Roman"/>
                <w:b/>
                <w:bCs/>
                <w:color w:val="000000"/>
                <w:sz w:val="14"/>
                <w:szCs w:val="14"/>
                <w:lang w:eastAsia="sk-SK"/>
              </w:rPr>
              <w:t>411 715 303</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A23809" w:rsidRDefault="007D13F3" w:rsidP="00465CAC">
            <w:pPr>
              <w:jc w:val="right"/>
              <w:rPr>
                <w:rFonts w:ascii="Times New Roman" w:hAnsi="Times New Roman" w:cs="Times New Roman"/>
                <w:b/>
                <w:bCs/>
                <w:color w:val="000000"/>
                <w:sz w:val="14"/>
                <w:szCs w:val="14"/>
                <w:lang w:eastAsia="sk-SK"/>
              </w:rPr>
            </w:pPr>
            <w:r w:rsidRPr="00A23809">
              <w:rPr>
                <w:rFonts w:ascii="Times New Roman" w:hAnsi="Times New Roman" w:cs="Times New Roman"/>
                <w:b/>
                <w:bCs/>
                <w:color w:val="000000"/>
                <w:sz w:val="14"/>
                <w:szCs w:val="14"/>
                <w:lang w:eastAsia="sk-SK"/>
              </w:rPr>
              <w:t>400 006 100</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A23809" w:rsidRDefault="007D13F3" w:rsidP="00465CAC">
            <w:pPr>
              <w:jc w:val="right"/>
              <w:rPr>
                <w:rFonts w:ascii="Times New Roman" w:hAnsi="Times New Roman" w:cs="Times New Roman"/>
                <w:b/>
                <w:bCs/>
                <w:color w:val="000000"/>
                <w:sz w:val="14"/>
                <w:szCs w:val="14"/>
                <w:lang w:eastAsia="sk-SK"/>
              </w:rPr>
            </w:pPr>
            <w:r w:rsidRPr="00A23809">
              <w:rPr>
                <w:rFonts w:ascii="Times New Roman" w:hAnsi="Times New Roman" w:cs="Times New Roman"/>
                <w:b/>
                <w:bCs/>
                <w:color w:val="000000"/>
                <w:sz w:val="14"/>
                <w:szCs w:val="14"/>
                <w:lang w:eastAsia="sk-SK"/>
              </w:rPr>
              <w:t>403 232 576</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A23809" w:rsidRDefault="007D13F3" w:rsidP="00465CAC">
            <w:pPr>
              <w:jc w:val="right"/>
              <w:rPr>
                <w:rFonts w:ascii="Times New Roman" w:hAnsi="Times New Roman" w:cs="Times New Roman"/>
                <w:b/>
                <w:bCs/>
                <w:color w:val="000000"/>
                <w:sz w:val="14"/>
                <w:szCs w:val="14"/>
                <w:lang w:eastAsia="sk-SK"/>
              </w:rPr>
            </w:pPr>
            <w:r w:rsidRPr="00A23809">
              <w:rPr>
                <w:rFonts w:ascii="Times New Roman" w:hAnsi="Times New Roman" w:cs="Times New Roman"/>
                <w:b/>
                <w:bCs/>
                <w:color w:val="000000"/>
                <w:sz w:val="14"/>
                <w:szCs w:val="14"/>
                <w:lang w:eastAsia="sk-SK"/>
              </w:rPr>
              <w:t>407 401 032</w:t>
            </w:r>
          </w:p>
        </w:tc>
      </w:tr>
      <w:tr w:rsidR="007D13F3" w:rsidRPr="00A23809" w:rsidTr="00465CAC">
        <w:trPr>
          <w:trHeight w:hRule="exact" w:val="255"/>
        </w:trPr>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7D13F3" w:rsidRPr="00A23809" w:rsidRDefault="007D13F3" w:rsidP="00465CAC">
            <w:pPr>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Väzenstvo</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157</w:t>
            </w:r>
            <w:r>
              <w:rPr>
                <w:rFonts w:ascii="Times New Roman" w:hAnsi="Times New Roman" w:cs="Times New Roman"/>
                <w:color w:val="000000"/>
                <w:sz w:val="14"/>
                <w:szCs w:val="14"/>
                <w:lang w:eastAsia="sk-SK"/>
              </w:rPr>
              <w:t> </w:t>
            </w:r>
            <w:r w:rsidRPr="00A23809">
              <w:rPr>
                <w:rFonts w:ascii="Times New Roman" w:hAnsi="Times New Roman" w:cs="Times New Roman"/>
                <w:color w:val="000000"/>
                <w:sz w:val="14"/>
                <w:szCs w:val="14"/>
                <w:lang w:eastAsia="sk-SK"/>
              </w:rPr>
              <w:t>27</w:t>
            </w:r>
            <w:r>
              <w:rPr>
                <w:rFonts w:ascii="Times New Roman" w:hAnsi="Times New Roman" w:cs="Times New Roman"/>
                <w:color w:val="000000"/>
                <w:sz w:val="14"/>
                <w:szCs w:val="14"/>
                <w:lang w:eastAsia="sk-SK"/>
              </w:rPr>
              <w:t>2 941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167 015 59</w:t>
            </w:r>
            <w:r>
              <w:rPr>
                <w:rFonts w:ascii="Times New Roman" w:hAnsi="Times New Roman" w:cs="Times New Roman"/>
                <w:color w:val="000000"/>
                <w:sz w:val="14"/>
                <w:szCs w:val="14"/>
                <w:lang w:eastAsia="sk-SK"/>
              </w:rPr>
              <w:t>2</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162 872 355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170 182 946</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164 420 345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164 395 545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164 492 445</w:t>
            </w:r>
          </w:p>
        </w:tc>
      </w:tr>
      <w:tr w:rsidR="007D13F3" w:rsidRPr="00A23809" w:rsidTr="00465CAC">
        <w:trPr>
          <w:trHeight w:hRule="exact" w:val="255"/>
        </w:trPr>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7D13F3" w:rsidRPr="00A23809" w:rsidRDefault="007D13F3" w:rsidP="00465CAC">
            <w:pPr>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Súdnictvo</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179 334 095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185</w:t>
            </w:r>
            <w:r>
              <w:rPr>
                <w:rFonts w:ascii="Times New Roman" w:hAnsi="Times New Roman" w:cs="Times New Roman"/>
                <w:color w:val="000000"/>
                <w:sz w:val="14"/>
                <w:szCs w:val="14"/>
                <w:lang w:eastAsia="sk-SK"/>
              </w:rPr>
              <w:t> </w:t>
            </w:r>
            <w:r w:rsidRPr="00A23809">
              <w:rPr>
                <w:rFonts w:ascii="Times New Roman" w:hAnsi="Times New Roman" w:cs="Times New Roman"/>
                <w:color w:val="000000"/>
                <w:sz w:val="14"/>
                <w:szCs w:val="14"/>
                <w:lang w:eastAsia="sk-SK"/>
              </w:rPr>
              <w:t>8</w:t>
            </w:r>
            <w:r>
              <w:rPr>
                <w:rFonts w:ascii="Times New Roman" w:hAnsi="Times New Roman" w:cs="Times New Roman"/>
                <w:color w:val="000000"/>
                <w:sz w:val="14"/>
                <w:szCs w:val="14"/>
                <w:lang w:eastAsia="sk-SK"/>
              </w:rPr>
              <w:t>29 029</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196 073 515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201 944 328</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200 501 311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202 947 945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207 116 729</w:t>
            </w:r>
          </w:p>
        </w:tc>
      </w:tr>
      <w:tr w:rsidR="007D13F3" w:rsidRPr="00A23809" w:rsidTr="00465CAC">
        <w:trPr>
          <w:trHeight w:hRule="exact" w:val="255"/>
        </w:trPr>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7D13F3" w:rsidRPr="00A23809" w:rsidRDefault="007D13F3" w:rsidP="00465CAC">
            <w:pPr>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Riadenie, kontrola a podpora</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14 548 975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16 156 98</w:t>
            </w:r>
            <w:r>
              <w:rPr>
                <w:rFonts w:ascii="Times New Roman" w:hAnsi="Times New Roman" w:cs="Times New Roman"/>
                <w:color w:val="000000"/>
                <w:sz w:val="14"/>
                <w:szCs w:val="14"/>
                <w:lang w:eastAsia="sk-SK"/>
              </w:rPr>
              <w:t>6</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13 015 781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17 782 380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14 454 886</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15 954 886</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15 954 886</w:t>
            </w:r>
          </w:p>
        </w:tc>
      </w:tr>
      <w:tr w:rsidR="007D13F3" w:rsidRPr="00A23809" w:rsidTr="00465CAC">
        <w:trPr>
          <w:trHeight w:hRule="exact" w:val="255"/>
        </w:trPr>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7D13F3" w:rsidRPr="00A23809" w:rsidRDefault="007D13F3" w:rsidP="00465CAC">
            <w:pPr>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Medzirezortné programy</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 xml:space="preserve">49 453 </w:t>
            </w:r>
            <w:r>
              <w:rPr>
                <w:rFonts w:ascii="Times New Roman" w:hAnsi="Times New Roman" w:cs="Times New Roman"/>
                <w:color w:val="000000"/>
                <w:sz w:val="14"/>
                <w:szCs w:val="14"/>
                <w:lang w:eastAsia="sk-SK"/>
              </w:rPr>
              <w:t>467</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18 495 674</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18 980 259</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sz w:val="14"/>
                <w:szCs w:val="14"/>
                <w:lang w:eastAsia="sk-SK"/>
              </w:rPr>
            </w:pPr>
            <w:r w:rsidRPr="00A23809">
              <w:rPr>
                <w:rFonts w:ascii="Times New Roman" w:hAnsi="Times New Roman" w:cs="Times New Roman"/>
                <w:sz w:val="14"/>
                <w:szCs w:val="14"/>
                <w:lang w:eastAsia="sk-SK"/>
              </w:rPr>
              <w:t>21 805 649</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20 629 558</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19 934 200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A23809" w:rsidRDefault="007D13F3" w:rsidP="00465CAC">
            <w:pPr>
              <w:jc w:val="right"/>
              <w:rPr>
                <w:rFonts w:ascii="Times New Roman" w:hAnsi="Times New Roman" w:cs="Times New Roman"/>
                <w:color w:val="000000"/>
                <w:sz w:val="14"/>
                <w:szCs w:val="14"/>
                <w:lang w:eastAsia="sk-SK"/>
              </w:rPr>
            </w:pPr>
            <w:r w:rsidRPr="00A23809">
              <w:rPr>
                <w:rFonts w:ascii="Times New Roman" w:hAnsi="Times New Roman" w:cs="Times New Roman"/>
                <w:color w:val="000000"/>
                <w:sz w:val="14"/>
                <w:szCs w:val="14"/>
                <w:lang w:eastAsia="sk-SK"/>
              </w:rPr>
              <w:t>19 836 972</w:t>
            </w:r>
          </w:p>
        </w:tc>
      </w:tr>
    </w:tbl>
    <w:p w:rsidR="007D13F3" w:rsidRDefault="007D13F3" w:rsidP="007D13F3">
      <w:pPr>
        <w:ind w:firstLine="708"/>
        <w:rPr>
          <w:rFonts w:ascii="Times New Roman" w:hAnsi="Times New Roman" w:cs="Times New Roman"/>
        </w:rPr>
      </w:pPr>
    </w:p>
    <w:p w:rsidR="007D13F3" w:rsidRDefault="007D13F3" w:rsidP="007D13F3">
      <w:pPr>
        <w:jc w:val="both"/>
        <w:rPr>
          <w:rFonts w:ascii="Times New Roman" w:hAnsi="Times New Roman" w:cs="Times New Roman"/>
          <w:b/>
        </w:rPr>
      </w:pPr>
      <w:r w:rsidRPr="00B52D07">
        <w:rPr>
          <w:rFonts w:ascii="Times New Roman" w:hAnsi="Times New Roman" w:cs="Times New Roman"/>
          <w:b/>
        </w:rPr>
        <w:t>Väzenstvo</w:t>
      </w:r>
    </w:p>
    <w:p w:rsidR="007D13F3" w:rsidRDefault="007D13F3" w:rsidP="007D13F3">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2692"/>
        <w:gridCol w:w="910"/>
        <w:gridCol w:w="910"/>
        <w:gridCol w:w="910"/>
        <w:gridCol w:w="910"/>
        <w:gridCol w:w="910"/>
        <w:gridCol w:w="910"/>
        <w:gridCol w:w="910"/>
      </w:tblGrid>
      <w:tr w:rsidR="007D13F3" w:rsidRPr="008913C5" w:rsidTr="00465CAC">
        <w:trPr>
          <w:trHeight w:hRule="exact" w:val="255"/>
        </w:trPr>
        <w:tc>
          <w:tcPr>
            <w:tcW w:w="148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8913C5" w:rsidRDefault="007D13F3" w:rsidP="00465CAC">
            <w:pPr>
              <w:rPr>
                <w:rFonts w:ascii="Times New Roman" w:hAnsi="Times New Roman" w:cs="Times New Roman"/>
                <w:b/>
                <w:bCs/>
                <w:color w:val="000000"/>
                <w:sz w:val="14"/>
                <w:szCs w:val="14"/>
                <w:lang w:eastAsia="sk-SK"/>
              </w:rPr>
            </w:pPr>
            <w:r w:rsidRPr="008913C5">
              <w:rPr>
                <w:rFonts w:ascii="Times New Roman" w:hAnsi="Times New Roman" w:cs="Times New Roman"/>
                <w:b/>
                <w:bCs/>
                <w:color w:val="000000"/>
                <w:sz w:val="14"/>
                <w:szCs w:val="14"/>
                <w:lang w:eastAsia="sk-SK"/>
              </w:rPr>
              <w:t> </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913C5" w:rsidRDefault="007D13F3" w:rsidP="00465CAC">
            <w:pPr>
              <w:jc w:val="center"/>
              <w:rPr>
                <w:rFonts w:ascii="Times New Roman" w:hAnsi="Times New Roman" w:cs="Times New Roman"/>
                <w:b/>
                <w:bCs/>
                <w:color w:val="000000"/>
                <w:sz w:val="14"/>
                <w:szCs w:val="14"/>
                <w:lang w:eastAsia="sk-SK"/>
              </w:rPr>
            </w:pPr>
            <w:r w:rsidRPr="008913C5">
              <w:rPr>
                <w:rFonts w:ascii="Times New Roman" w:hAnsi="Times New Roman" w:cs="Times New Roman"/>
                <w:b/>
                <w:bCs/>
                <w:color w:val="000000"/>
                <w:sz w:val="14"/>
                <w:szCs w:val="14"/>
                <w:lang w:eastAsia="sk-SK"/>
              </w:rPr>
              <w:t>2015 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913C5" w:rsidRDefault="007D13F3" w:rsidP="00465CAC">
            <w:pPr>
              <w:jc w:val="center"/>
              <w:rPr>
                <w:rFonts w:ascii="Times New Roman" w:hAnsi="Times New Roman" w:cs="Times New Roman"/>
                <w:b/>
                <w:bCs/>
                <w:color w:val="000000"/>
                <w:sz w:val="14"/>
                <w:szCs w:val="14"/>
                <w:lang w:eastAsia="sk-SK"/>
              </w:rPr>
            </w:pPr>
            <w:r w:rsidRPr="008913C5">
              <w:rPr>
                <w:rFonts w:ascii="Times New Roman" w:hAnsi="Times New Roman" w:cs="Times New Roman"/>
                <w:b/>
                <w:bCs/>
                <w:color w:val="000000"/>
                <w:sz w:val="14"/>
                <w:szCs w:val="14"/>
                <w:lang w:eastAsia="sk-SK"/>
              </w:rPr>
              <w:t>2016 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913C5" w:rsidRDefault="007D13F3" w:rsidP="00465CAC">
            <w:pPr>
              <w:jc w:val="center"/>
              <w:rPr>
                <w:rFonts w:ascii="Times New Roman" w:hAnsi="Times New Roman" w:cs="Times New Roman"/>
                <w:b/>
                <w:bCs/>
                <w:color w:val="000000"/>
                <w:sz w:val="14"/>
                <w:szCs w:val="14"/>
                <w:lang w:eastAsia="sk-SK"/>
              </w:rPr>
            </w:pPr>
            <w:r w:rsidRPr="008913C5">
              <w:rPr>
                <w:rFonts w:ascii="Times New Roman" w:hAnsi="Times New Roman" w:cs="Times New Roman"/>
                <w:b/>
                <w:bCs/>
                <w:color w:val="000000"/>
                <w:sz w:val="14"/>
                <w:szCs w:val="14"/>
                <w:lang w:eastAsia="sk-SK"/>
              </w:rPr>
              <w:t>2017 R</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913C5" w:rsidRDefault="00F358AE"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OS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913C5" w:rsidRDefault="007D13F3" w:rsidP="00465CAC">
            <w:pPr>
              <w:jc w:val="center"/>
              <w:rPr>
                <w:rFonts w:ascii="Times New Roman" w:hAnsi="Times New Roman" w:cs="Times New Roman"/>
                <w:b/>
                <w:bCs/>
                <w:color w:val="000000"/>
                <w:sz w:val="14"/>
                <w:szCs w:val="14"/>
                <w:lang w:eastAsia="sk-SK"/>
              </w:rPr>
            </w:pPr>
            <w:r w:rsidRPr="008913C5">
              <w:rPr>
                <w:rFonts w:ascii="Times New Roman" w:hAnsi="Times New Roman" w:cs="Times New Roman"/>
                <w:b/>
                <w:bCs/>
                <w:color w:val="000000"/>
                <w:sz w:val="14"/>
                <w:szCs w:val="14"/>
                <w:lang w:eastAsia="sk-SK"/>
              </w:rPr>
              <w:t>2018 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913C5" w:rsidRDefault="007D13F3" w:rsidP="00465CAC">
            <w:pPr>
              <w:jc w:val="center"/>
              <w:rPr>
                <w:rFonts w:ascii="Times New Roman" w:hAnsi="Times New Roman" w:cs="Times New Roman"/>
                <w:b/>
                <w:bCs/>
                <w:color w:val="000000"/>
                <w:sz w:val="14"/>
                <w:szCs w:val="14"/>
                <w:lang w:eastAsia="sk-SK"/>
              </w:rPr>
            </w:pPr>
            <w:r w:rsidRPr="008913C5">
              <w:rPr>
                <w:rFonts w:ascii="Times New Roman" w:hAnsi="Times New Roman" w:cs="Times New Roman"/>
                <w:b/>
                <w:bCs/>
                <w:color w:val="000000"/>
                <w:sz w:val="14"/>
                <w:szCs w:val="14"/>
                <w:lang w:eastAsia="sk-SK"/>
              </w:rPr>
              <w:t>2019 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913C5" w:rsidRDefault="007D13F3" w:rsidP="00465CAC">
            <w:pPr>
              <w:jc w:val="center"/>
              <w:rPr>
                <w:rFonts w:ascii="Times New Roman" w:hAnsi="Times New Roman" w:cs="Times New Roman"/>
                <w:b/>
                <w:bCs/>
                <w:color w:val="000000"/>
                <w:sz w:val="14"/>
                <w:szCs w:val="14"/>
                <w:lang w:eastAsia="sk-SK"/>
              </w:rPr>
            </w:pPr>
            <w:r w:rsidRPr="008913C5">
              <w:rPr>
                <w:rFonts w:ascii="Times New Roman" w:hAnsi="Times New Roman" w:cs="Times New Roman"/>
                <w:b/>
                <w:bCs/>
                <w:color w:val="000000"/>
                <w:sz w:val="14"/>
                <w:szCs w:val="14"/>
                <w:lang w:eastAsia="sk-SK"/>
              </w:rPr>
              <w:t>2020 N</w:t>
            </w:r>
          </w:p>
        </w:tc>
      </w:tr>
      <w:tr w:rsidR="007D13F3" w:rsidRPr="008913C5" w:rsidTr="00465CAC">
        <w:trPr>
          <w:trHeight w:hRule="exact" w:val="255"/>
        </w:trPr>
        <w:tc>
          <w:tcPr>
            <w:tcW w:w="1486"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8913C5" w:rsidRDefault="007D13F3" w:rsidP="00465CAC">
            <w:pPr>
              <w:rPr>
                <w:rFonts w:ascii="Times New Roman" w:hAnsi="Times New Roman" w:cs="Times New Roman"/>
                <w:b/>
                <w:bCs/>
                <w:color w:val="000000"/>
                <w:sz w:val="14"/>
                <w:szCs w:val="14"/>
                <w:lang w:eastAsia="sk-SK"/>
              </w:rPr>
            </w:pPr>
            <w:r w:rsidRPr="008913C5">
              <w:rPr>
                <w:rFonts w:ascii="Times New Roman" w:hAnsi="Times New Roman" w:cs="Times New Roman"/>
                <w:b/>
                <w:bCs/>
                <w:color w:val="000000"/>
                <w:sz w:val="14"/>
                <w:szCs w:val="14"/>
                <w:lang w:eastAsia="sk-SK"/>
              </w:rPr>
              <w:t>070 Väzenstvo</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8913C5" w:rsidRDefault="007D13F3" w:rsidP="00465CAC">
            <w:pPr>
              <w:jc w:val="right"/>
              <w:rPr>
                <w:rFonts w:ascii="Times New Roman" w:hAnsi="Times New Roman" w:cs="Times New Roman"/>
                <w:b/>
                <w:bCs/>
                <w:color w:val="000000"/>
                <w:sz w:val="14"/>
                <w:szCs w:val="14"/>
                <w:lang w:eastAsia="sk-SK"/>
              </w:rPr>
            </w:pPr>
            <w:r w:rsidRPr="008913C5">
              <w:rPr>
                <w:rFonts w:ascii="Times New Roman" w:hAnsi="Times New Roman" w:cs="Times New Roman"/>
                <w:b/>
                <w:bCs/>
                <w:color w:val="000000"/>
                <w:sz w:val="14"/>
                <w:szCs w:val="14"/>
                <w:lang w:eastAsia="sk-SK"/>
              </w:rPr>
              <w:t>157 272 941</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8913C5" w:rsidRDefault="007D13F3" w:rsidP="00465CAC">
            <w:pPr>
              <w:jc w:val="right"/>
              <w:rPr>
                <w:rFonts w:ascii="Times New Roman" w:hAnsi="Times New Roman" w:cs="Times New Roman"/>
                <w:b/>
                <w:bCs/>
                <w:color w:val="000000"/>
                <w:sz w:val="14"/>
                <w:szCs w:val="14"/>
                <w:lang w:eastAsia="sk-SK"/>
              </w:rPr>
            </w:pPr>
            <w:r w:rsidRPr="008913C5">
              <w:rPr>
                <w:rFonts w:ascii="Times New Roman" w:hAnsi="Times New Roman" w:cs="Times New Roman"/>
                <w:b/>
                <w:bCs/>
                <w:color w:val="000000"/>
                <w:sz w:val="14"/>
                <w:szCs w:val="14"/>
                <w:lang w:eastAsia="sk-SK"/>
              </w:rPr>
              <w:t>167 015 59</w:t>
            </w:r>
            <w:r>
              <w:rPr>
                <w:rFonts w:ascii="Times New Roman" w:hAnsi="Times New Roman" w:cs="Times New Roman"/>
                <w:b/>
                <w:bCs/>
                <w:color w:val="000000"/>
                <w:sz w:val="14"/>
                <w:szCs w:val="14"/>
                <w:lang w:eastAsia="sk-SK"/>
              </w:rPr>
              <w:t>2</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8913C5" w:rsidRDefault="007D13F3" w:rsidP="00465CAC">
            <w:pPr>
              <w:jc w:val="right"/>
              <w:rPr>
                <w:rFonts w:ascii="Times New Roman" w:hAnsi="Times New Roman" w:cs="Times New Roman"/>
                <w:b/>
                <w:bCs/>
                <w:color w:val="000000"/>
                <w:sz w:val="14"/>
                <w:szCs w:val="14"/>
                <w:lang w:eastAsia="sk-SK"/>
              </w:rPr>
            </w:pPr>
            <w:r w:rsidRPr="008913C5">
              <w:rPr>
                <w:rFonts w:ascii="Times New Roman" w:hAnsi="Times New Roman" w:cs="Times New Roman"/>
                <w:b/>
                <w:bCs/>
                <w:color w:val="000000"/>
                <w:sz w:val="14"/>
                <w:szCs w:val="14"/>
                <w:lang w:eastAsia="sk-SK"/>
              </w:rPr>
              <w:t>162 872 355</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8913C5" w:rsidRDefault="007D13F3" w:rsidP="00465CAC">
            <w:pPr>
              <w:jc w:val="right"/>
              <w:rPr>
                <w:rFonts w:ascii="Times New Roman" w:hAnsi="Times New Roman" w:cs="Times New Roman"/>
                <w:b/>
                <w:bCs/>
                <w:color w:val="000000"/>
                <w:sz w:val="14"/>
                <w:szCs w:val="14"/>
                <w:lang w:eastAsia="sk-SK"/>
              </w:rPr>
            </w:pPr>
            <w:r w:rsidRPr="008913C5">
              <w:rPr>
                <w:rFonts w:ascii="Times New Roman" w:hAnsi="Times New Roman" w:cs="Times New Roman"/>
                <w:b/>
                <w:bCs/>
                <w:color w:val="000000"/>
                <w:sz w:val="14"/>
                <w:szCs w:val="14"/>
                <w:lang w:eastAsia="sk-SK"/>
              </w:rPr>
              <w:t>166 597 810</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8913C5" w:rsidRDefault="007D13F3" w:rsidP="00465CAC">
            <w:pPr>
              <w:jc w:val="right"/>
              <w:rPr>
                <w:rFonts w:ascii="Times New Roman" w:hAnsi="Times New Roman" w:cs="Times New Roman"/>
                <w:b/>
                <w:bCs/>
                <w:color w:val="000000"/>
                <w:sz w:val="14"/>
                <w:szCs w:val="14"/>
                <w:lang w:eastAsia="sk-SK"/>
              </w:rPr>
            </w:pPr>
            <w:r w:rsidRPr="008913C5">
              <w:rPr>
                <w:rFonts w:ascii="Times New Roman" w:hAnsi="Times New Roman" w:cs="Times New Roman"/>
                <w:b/>
                <w:bCs/>
                <w:color w:val="000000"/>
                <w:sz w:val="14"/>
                <w:szCs w:val="14"/>
                <w:lang w:eastAsia="sk-SK"/>
              </w:rPr>
              <w:t>164 420 345</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8913C5" w:rsidRDefault="007D13F3" w:rsidP="00465CAC">
            <w:pPr>
              <w:jc w:val="right"/>
              <w:rPr>
                <w:rFonts w:ascii="Times New Roman" w:hAnsi="Times New Roman" w:cs="Times New Roman"/>
                <w:b/>
                <w:bCs/>
                <w:color w:val="000000"/>
                <w:sz w:val="14"/>
                <w:szCs w:val="14"/>
                <w:lang w:eastAsia="sk-SK"/>
              </w:rPr>
            </w:pPr>
            <w:r w:rsidRPr="008913C5">
              <w:rPr>
                <w:rFonts w:ascii="Times New Roman" w:hAnsi="Times New Roman" w:cs="Times New Roman"/>
                <w:b/>
                <w:bCs/>
                <w:color w:val="000000"/>
                <w:sz w:val="14"/>
                <w:szCs w:val="14"/>
                <w:lang w:eastAsia="sk-SK"/>
              </w:rPr>
              <w:t>164 395 545</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8913C5" w:rsidRDefault="007D13F3" w:rsidP="00465CAC">
            <w:pPr>
              <w:jc w:val="right"/>
              <w:rPr>
                <w:rFonts w:ascii="Times New Roman" w:hAnsi="Times New Roman" w:cs="Times New Roman"/>
                <w:b/>
                <w:bCs/>
                <w:color w:val="000000"/>
                <w:sz w:val="14"/>
                <w:szCs w:val="14"/>
                <w:lang w:eastAsia="sk-SK"/>
              </w:rPr>
            </w:pPr>
            <w:r w:rsidRPr="008913C5">
              <w:rPr>
                <w:rFonts w:ascii="Times New Roman" w:hAnsi="Times New Roman" w:cs="Times New Roman"/>
                <w:b/>
                <w:bCs/>
                <w:color w:val="000000"/>
                <w:sz w:val="14"/>
                <w:szCs w:val="14"/>
                <w:lang w:eastAsia="sk-SK"/>
              </w:rPr>
              <w:t>164 492 445</w:t>
            </w:r>
          </w:p>
        </w:tc>
      </w:tr>
      <w:tr w:rsidR="007D13F3" w:rsidRPr="008913C5" w:rsidTr="00465CAC">
        <w:trPr>
          <w:trHeight w:hRule="exact" w:val="255"/>
        </w:trPr>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7D13F3" w:rsidRPr="008913C5" w:rsidRDefault="007D13F3" w:rsidP="00465CAC">
            <w:pPr>
              <w:rPr>
                <w:rFonts w:ascii="Times New Roman" w:hAnsi="Times New Roman" w:cs="Times New Roman"/>
                <w:sz w:val="14"/>
                <w:szCs w:val="14"/>
                <w:lang w:eastAsia="sk-SK"/>
              </w:rPr>
            </w:pPr>
            <w:r w:rsidRPr="008913C5">
              <w:rPr>
                <w:rFonts w:ascii="Times New Roman" w:hAnsi="Times New Roman" w:cs="Times New Roman"/>
                <w:sz w:val="14"/>
                <w:szCs w:val="14"/>
                <w:lang w:eastAsia="sk-SK"/>
              </w:rPr>
              <w:t>600 bežné výdavky</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149 897 123</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155 376 61</w:t>
            </w:r>
            <w:r>
              <w:rPr>
                <w:rFonts w:ascii="Times New Roman" w:hAnsi="Times New Roman" w:cs="Times New Roman"/>
                <w:sz w:val="14"/>
                <w:szCs w:val="14"/>
                <w:lang w:eastAsia="sk-SK"/>
              </w:rPr>
              <w:t>9</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153 073 955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156 909 410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162 641 745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162 641 745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162 641 745</w:t>
            </w:r>
          </w:p>
        </w:tc>
      </w:tr>
      <w:tr w:rsidR="007D13F3" w:rsidRPr="008913C5" w:rsidTr="00465CAC">
        <w:trPr>
          <w:trHeight w:hRule="exact" w:val="255"/>
        </w:trPr>
        <w:tc>
          <w:tcPr>
            <w:tcW w:w="1486" w:type="pct"/>
            <w:tcBorders>
              <w:top w:val="nil"/>
              <w:left w:val="single" w:sz="4" w:space="0" w:color="auto"/>
              <w:bottom w:val="single" w:sz="4" w:space="0" w:color="auto"/>
              <w:right w:val="single" w:sz="4" w:space="0" w:color="auto"/>
            </w:tcBorders>
            <w:shd w:val="clear" w:color="000000" w:fill="FFFFFF"/>
            <w:vAlign w:val="center"/>
            <w:hideMark/>
          </w:tcPr>
          <w:p w:rsidR="007D13F3" w:rsidRPr="008913C5" w:rsidRDefault="007D13F3" w:rsidP="00465CAC">
            <w:pPr>
              <w:rPr>
                <w:rFonts w:ascii="Times New Roman" w:hAnsi="Times New Roman" w:cs="Times New Roman"/>
                <w:sz w:val="14"/>
                <w:szCs w:val="14"/>
                <w:lang w:eastAsia="sk-SK"/>
              </w:rPr>
            </w:pPr>
            <w:r w:rsidRPr="008913C5">
              <w:rPr>
                <w:rFonts w:ascii="Times New Roman" w:hAnsi="Times New Roman" w:cs="Times New Roman"/>
                <w:sz w:val="14"/>
                <w:szCs w:val="14"/>
                <w:lang w:eastAsia="sk-SK"/>
              </w:rPr>
              <w:t>610 mzdy</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74 734 469</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79 153 846</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78 923 841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81 941 247</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color w:val="000000"/>
                <w:sz w:val="14"/>
                <w:szCs w:val="14"/>
                <w:lang w:eastAsia="sk-SK"/>
              </w:rPr>
            </w:pPr>
            <w:r w:rsidRPr="008913C5">
              <w:rPr>
                <w:rFonts w:ascii="Times New Roman" w:hAnsi="Times New Roman" w:cs="Times New Roman"/>
                <w:color w:val="000000"/>
                <w:sz w:val="14"/>
                <w:szCs w:val="14"/>
                <w:lang w:eastAsia="sk-SK"/>
              </w:rPr>
              <w:t>83 187 805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color w:val="000000"/>
                <w:sz w:val="14"/>
                <w:szCs w:val="14"/>
                <w:lang w:eastAsia="sk-SK"/>
              </w:rPr>
            </w:pPr>
            <w:r w:rsidRPr="008913C5">
              <w:rPr>
                <w:rFonts w:ascii="Times New Roman" w:hAnsi="Times New Roman" w:cs="Times New Roman"/>
                <w:color w:val="000000"/>
                <w:sz w:val="14"/>
                <w:szCs w:val="14"/>
                <w:lang w:eastAsia="sk-SK"/>
              </w:rPr>
              <w:t>83 187 805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color w:val="000000"/>
                <w:sz w:val="14"/>
                <w:szCs w:val="14"/>
                <w:lang w:eastAsia="sk-SK"/>
              </w:rPr>
            </w:pPr>
            <w:r w:rsidRPr="008913C5">
              <w:rPr>
                <w:rFonts w:ascii="Times New Roman" w:hAnsi="Times New Roman" w:cs="Times New Roman"/>
                <w:color w:val="000000"/>
                <w:sz w:val="14"/>
                <w:szCs w:val="14"/>
                <w:lang w:eastAsia="sk-SK"/>
              </w:rPr>
              <w:t>83 187 805</w:t>
            </w:r>
          </w:p>
        </w:tc>
      </w:tr>
      <w:tr w:rsidR="007D13F3" w:rsidRPr="008913C5" w:rsidTr="00465CAC">
        <w:trPr>
          <w:trHeight w:hRule="exact" w:val="255"/>
        </w:trPr>
        <w:tc>
          <w:tcPr>
            <w:tcW w:w="1486" w:type="pct"/>
            <w:tcBorders>
              <w:top w:val="nil"/>
              <w:left w:val="single" w:sz="4" w:space="0" w:color="auto"/>
              <w:bottom w:val="single" w:sz="4" w:space="0" w:color="auto"/>
              <w:right w:val="single" w:sz="4" w:space="0" w:color="auto"/>
            </w:tcBorders>
            <w:shd w:val="clear" w:color="000000" w:fill="FFFFFF"/>
            <w:vAlign w:val="center"/>
            <w:hideMark/>
          </w:tcPr>
          <w:p w:rsidR="007D13F3" w:rsidRPr="008913C5" w:rsidRDefault="007D13F3" w:rsidP="00465CAC">
            <w:pPr>
              <w:rPr>
                <w:rFonts w:ascii="Times New Roman" w:hAnsi="Times New Roman" w:cs="Times New Roman"/>
                <w:sz w:val="14"/>
                <w:szCs w:val="14"/>
                <w:lang w:eastAsia="sk-SK"/>
              </w:rPr>
            </w:pPr>
            <w:r w:rsidRPr="008913C5">
              <w:rPr>
                <w:rFonts w:ascii="Times New Roman" w:hAnsi="Times New Roman" w:cs="Times New Roman"/>
                <w:sz w:val="14"/>
                <w:szCs w:val="14"/>
                <w:lang w:eastAsia="sk-SK"/>
              </w:rPr>
              <w:t>620 odvody</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29 010 086</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30 729 481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31 147 469</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31 551 817</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color w:val="000000"/>
                <w:sz w:val="14"/>
                <w:szCs w:val="14"/>
                <w:lang w:eastAsia="sk-SK"/>
              </w:rPr>
            </w:pPr>
            <w:r w:rsidRPr="008913C5">
              <w:rPr>
                <w:rFonts w:ascii="Times New Roman" w:hAnsi="Times New Roman" w:cs="Times New Roman"/>
                <w:color w:val="000000"/>
                <w:sz w:val="14"/>
                <w:szCs w:val="14"/>
                <w:lang w:eastAsia="sk-SK"/>
              </w:rPr>
              <w:t>33 245 398</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color w:val="000000"/>
                <w:sz w:val="14"/>
                <w:szCs w:val="14"/>
                <w:lang w:eastAsia="sk-SK"/>
              </w:rPr>
            </w:pPr>
            <w:r w:rsidRPr="008913C5">
              <w:rPr>
                <w:rFonts w:ascii="Times New Roman" w:hAnsi="Times New Roman" w:cs="Times New Roman"/>
                <w:color w:val="000000"/>
                <w:sz w:val="14"/>
                <w:szCs w:val="14"/>
                <w:lang w:eastAsia="sk-SK"/>
              </w:rPr>
              <w:t>33 245 398</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color w:val="000000"/>
                <w:sz w:val="14"/>
                <w:szCs w:val="14"/>
                <w:lang w:eastAsia="sk-SK"/>
              </w:rPr>
            </w:pPr>
            <w:r w:rsidRPr="008913C5">
              <w:rPr>
                <w:rFonts w:ascii="Times New Roman" w:hAnsi="Times New Roman" w:cs="Times New Roman"/>
                <w:color w:val="000000"/>
                <w:sz w:val="14"/>
                <w:szCs w:val="14"/>
                <w:lang w:eastAsia="sk-SK"/>
              </w:rPr>
              <w:t>33 245 398</w:t>
            </w:r>
          </w:p>
        </w:tc>
      </w:tr>
      <w:tr w:rsidR="007D13F3" w:rsidRPr="008913C5" w:rsidTr="00465CAC">
        <w:trPr>
          <w:trHeight w:hRule="exact" w:val="255"/>
        </w:trPr>
        <w:tc>
          <w:tcPr>
            <w:tcW w:w="1486" w:type="pct"/>
            <w:tcBorders>
              <w:top w:val="nil"/>
              <w:left w:val="single" w:sz="4" w:space="0" w:color="auto"/>
              <w:bottom w:val="single" w:sz="4" w:space="0" w:color="auto"/>
              <w:right w:val="single" w:sz="4" w:space="0" w:color="auto"/>
            </w:tcBorders>
            <w:shd w:val="clear" w:color="000000" w:fill="FFFFFF"/>
            <w:vAlign w:val="center"/>
            <w:hideMark/>
          </w:tcPr>
          <w:p w:rsidR="007D13F3" w:rsidRPr="008913C5" w:rsidRDefault="007D13F3" w:rsidP="00465CAC">
            <w:pPr>
              <w:rPr>
                <w:rFonts w:ascii="Times New Roman" w:hAnsi="Times New Roman" w:cs="Times New Roman"/>
                <w:sz w:val="14"/>
                <w:szCs w:val="14"/>
                <w:lang w:eastAsia="sk-SK"/>
              </w:rPr>
            </w:pPr>
            <w:r w:rsidRPr="008913C5">
              <w:rPr>
                <w:rFonts w:ascii="Times New Roman" w:hAnsi="Times New Roman" w:cs="Times New Roman"/>
                <w:sz w:val="14"/>
                <w:szCs w:val="14"/>
                <w:lang w:eastAsia="sk-SK"/>
              </w:rPr>
              <w:t>630 tovary a služby</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38 695 617</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38 802 13</w:t>
            </w:r>
            <w:r>
              <w:rPr>
                <w:rFonts w:ascii="Times New Roman" w:hAnsi="Times New Roman" w:cs="Times New Roman"/>
                <w:sz w:val="14"/>
                <w:szCs w:val="14"/>
                <w:lang w:eastAsia="sk-SK"/>
              </w:rPr>
              <w:t>3</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36 451 185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35 737 789</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color w:val="000000"/>
                <w:sz w:val="14"/>
                <w:szCs w:val="14"/>
                <w:lang w:eastAsia="sk-SK"/>
              </w:rPr>
            </w:pPr>
            <w:r w:rsidRPr="008913C5">
              <w:rPr>
                <w:rFonts w:ascii="Times New Roman" w:hAnsi="Times New Roman" w:cs="Times New Roman"/>
                <w:color w:val="000000"/>
                <w:sz w:val="14"/>
                <w:szCs w:val="14"/>
                <w:lang w:eastAsia="sk-SK"/>
              </w:rPr>
              <w:t>37 262 531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color w:val="000000"/>
                <w:sz w:val="14"/>
                <w:szCs w:val="14"/>
                <w:lang w:eastAsia="sk-SK"/>
              </w:rPr>
            </w:pPr>
            <w:r w:rsidRPr="008913C5">
              <w:rPr>
                <w:rFonts w:ascii="Times New Roman" w:hAnsi="Times New Roman" w:cs="Times New Roman"/>
                <w:color w:val="000000"/>
                <w:sz w:val="14"/>
                <w:szCs w:val="14"/>
                <w:lang w:eastAsia="sk-SK"/>
              </w:rPr>
              <w:t>37 262 531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color w:val="000000"/>
                <w:sz w:val="14"/>
                <w:szCs w:val="14"/>
                <w:lang w:eastAsia="sk-SK"/>
              </w:rPr>
            </w:pPr>
            <w:r w:rsidRPr="008913C5">
              <w:rPr>
                <w:rFonts w:ascii="Times New Roman" w:hAnsi="Times New Roman" w:cs="Times New Roman"/>
                <w:color w:val="000000"/>
                <w:sz w:val="14"/>
                <w:szCs w:val="14"/>
                <w:lang w:eastAsia="sk-SK"/>
              </w:rPr>
              <w:t>37 262 531</w:t>
            </w:r>
          </w:p>
        </w:tc>
      </w:tr>
      <w:tr w:rsidR="007D13F3" w:rsidRPr="008913C5" w:rsidTr="00465CAC">
        <w:trPr>
          <w:trHeight w:hRule="exact" w:val="255"/>
        </w:trPr>
        <w:tc>
          <w:tcPr>
            <w:tcW w:w="1486" w:type="pct"/>
            <w:tcBorders>
              <w:top w:val="nil"/>
              <w:left w:val="single" w:sz="4" w:space="0" w:color="auto"/>
              <w:bottom w:val="single" w:sz="4" w:space="0" w:color="auto"/>
              <w:right w:val="single" w:sz="4" w:space="0" w:color="auto"/>
            </w:tcBorders>
            <w:shd w:val="clear" w:color="000000" w:fill="FFFFFF"/>
            <w:vAlign w:val="center"/>
            <w:hideMark/>
          </w:tcPr>
          <w:p w:rsidR="007D13F3" w:rsidRPr="008913C5" w:rsidRDefault="007D13F3" w:rsidP="00465CAC">
            <w:pPr>
              <w:rPr>
                <w:rFonts w:ascii="Times New Roman" w:hAnsi="Times New Roman" w:cs="Times New Roman"/>
                <w:sz w:val="14"/>
                <w:szCs w:val="14"/>
                <w:lang w:eastAsia="sk-SK"/>
              </w:rPr>
            </w:pPr>
            <w:r w:rsidRPr="008913C5">
              <w:rPr>
                <w:rFonts w:ascii="Times New Roman" w:hAnsi="Times New Roman" w:cs="Times New Roman"/>
                <w:sz w:val="14"/>
                <w:szCs w:val="14"/>
                <w:lang w:eastAsia="sk-SK"/>
              </w:rPr>
              <w:t>640 bežné transfery</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7 456 951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6 691 159</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6 551 460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7 678 557</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color w:val="000000"/>
                <w:sz w:val="14"/>
                <w:szCs w:val="14"/>
                <w:lang w:eastAsia="sk-SK"/>
              </w:rPr>
            </w:pPr>
            <w:r w:rsidRPr="008913C5">
              <w:rPr>
                <w:rFonts w:ascii="Times New Roman" w:hAnsi="Times New Roman" w:cs="Times New Roman"/>
                <w:color w:val="000000"/>
                <w:sz w:val="14"/>
                <w:szCs w:val="14"/>
                <w:lang w:eastAsia="sk-SK"/>
              </w:rPr>
              <w:t>8 946 011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color w:val="000000"/>
                <w:sz w:val="14"/>
                <w:szCs w:val="14"/>
                <w:lang w:eastAsia="sk-SK"/>
              </w:rPr>
            </w:pPr>
            <w:r w:rsidRPr="008913C5">
              <w:rPr>
                <w:rFonts w:ascii="Times New Roman" w:hAnsi="Times New Roman" w:cs="Times New Roman"/>
                <w:color w:val="000000"/>
                <w:sz w:val="14"/>
                <w:szCs w:val="14"/>
                <w:lang w:eastAsia="sk-SK"/>
              </w:rPr>
              <w:t>8 946 011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color w:val="000000"/>
                <w:sz w:val="14"/>
                <w:szCs w:val="14"/>
                <w:lang w:eastAsia="sk-SK"/>
              </w:rPr>
            </w:pPr>
            <w:r w:rsidRPr="008913C5">
              <w:rPr>
                <w:rFonts w:ascii="Times New Roman" w:hAnsi="Times New Roman" w:cs="Times New Roman"/>
                <w:color w:val="000000"/>
                <w:sz w:val="14"/>
                <w:szCs w:val="14"/>
                <w:lang w:eastAsia="sk-SK"/>
              </w:rPr>
              <w:t>8 946 011</w:t>
            </w:r>
          </w:p>
        </w:tc>
      </w:tr>
      <w:tr w:rsidR="007D13F3" w:rsidRPr="008913C5" w:rsidTr="00465CAC">
        <w:trPr>
          <w:trHeight w:hRule="exact" w:val="255"/>
        </w:trPr>
        <w:tc>
          <w:tcPr>
            <w:tcW w:w="1486" w:type="pct"/>
            <w:tcBorders>
              <w:top w:val="nil"/>
              <w:left w:val="single" w:sz="4" w:space="0" w:color="auto"/>
              <w:bottom w:val="single" w:sz="4" w:space="0" w:color="auto"/>
              <w:right w:val="single" w:sz="4" w:space="0" w:color="auto"/>
            </w:tcBorders>
            <w:shd w:val="clear" w:color="000000" w:fill="FFFFFF"/>
            <w:vAlign w:val="center"/>
            <w:hideMark/>
          </w:tcPr>
          <w:p w:rsidR="007D13F3" w:rsidRPr="008913C5" w:rsidRDefault="007D13F3" w:rsidP="00465CAC">
            <w:pPr>
              <w:rPr>
                <w:rFonts w:ascii="Times New Roman" w:hAnsi="Times New Roman" w:cs="Times New Roman"/>
                <w:sz w:val="14"/>
                <w:szCs w:val="14"/>
                <w:lang w:eastAsia="sk-SK"/>
              </w:rPr>
            </w:pPr>
            <w:r w:rsidRPr="008913C5">
              <w:rPr>
                <w:rFonts w:ascii="Times New Roman" w:hAnsi="Times New Roman" w:cs="Times New Roman"/>
                <w:sz w:val="14"/>
                <w:szCs w:val="14"/>
                <w:lang w:eastAsia="sk-SK"/>
              </w:rPr>
              <w:t xml:space="preserve">700 kapitálové výdavky  </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7 375 818</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11 638 973</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9 798 400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sz w:val="14"/>
                <w:szCs w:val="14"/>
                <w:lang w:eastAsia="sk-SK"/>
              </w:rPr>
            </w:pPr>
            <w:r w:rsidRPr="008913C5">
              <w:rPr>
                <w:rFonts w:ascii="Times New Roman" w:hAnsi="Times New Roman" w:cs="Times New Roman"/>
                <w:sz w:val="14"/>
                <w:szCs w:val="14"/>
                <w:lang w:eastAsia="sk-SK"/>
              </w:rPr>
              <w:t>9 688 400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color w:val="000000"/>
                <w:sz w:val="14"/>
                <w:szCs w:val="14"/>
                <w:lang w:eastAsia="sk-SK"/>
              </w:rPr>
            </w:pPr>
            <w:r w:rsidRPr="008913C5">
              <w:rPr>
                <w:rFonts w:ascii="Times New Roman" w:hAnsi="Times New Roman" w:cs="Times New Roman"/>
                <w:color w:val="000000"/>
                <w:sz w:val="14"/>
                <w:szCs w:val="14"/>
                <w:lang w:eastAsia="sk-SK"/>
              </w:rPr>
              <w:t>1 778 600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color w:val="000000"/>
                <w:sz w:val="14"/>
                <w:szCs w:val="14"/>
                <w:lang w:eastAsia="sk-SK"/>
              </w:rPr>
            </w:pPr>
            <w:r w:rsidRPr="008913C5">
              <w:rPr>
                <w:rFonts w:ascii="Times New Roman" w:hAnsi="Times New Roman" w:cs="Times New Roman"/>
                <w:color w:val="000000"/>
                <w:sz w:val="14"/>
                <w:szCs w:val="14"/>
                <w:lang w:eastAsia="sk-SK"/>
              </w:rPr>
              <w:t>1 753 800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8913C5" w:rsidRDefault="007D13F3" w:rsidP="00465CAC">
            <w:pPr>
              <w:jc w:val="right"/>
              <w:rPr>
                <w:rFonts w:ascii="Times New Roman" w:hAnsi="Times New Roman" w:cs="Times New Roman"/>
                <w:color w:val="000000"/>
                <w:sz w:val="14"/>
                <w:szCs w:val="14"/>
                <w:lang w:eastAsia="sk-SK"/>
              </w:rPr>
            </w:pPr>
            <w:r w:rsidRPr="008913C5">
              <w:rPr>
                <w:rFonts w:ascii="Times New Roman" w:hAnsi="Times New Roman" w:cs="Times New Roman"/>
                <w:color w:val="000000"/>
                <w:sz w:val="14"/>
                <w:szCs w:val="14"/>
                <w:lang w:eastAsia="sk-SK"/>
              </w:rPr>
              <w:t>1 850 700</w:t>
            </w:r>
          </w:p>
        </w:tc>
      </w:tr>
    </w:tbl>
    <w:p w:rsidR="007D13F3" w:rsidRDefault="007D13F3" w:rsidP="007D13F3">
      <w:pPr>
        <w:jc w:val="both"/>
        <w:rPr>
          <w:rFonts w:ascii="Times New Roman" w:hAnsi="Times New Roman" w:cs="Times New Roman"/>
          <w:b/>
        </w:rPr>
      </w:pPr>
    </w:p>
    <w:p w:rsidR="007D13F3" w:rsidRDefault="007D13F3" w:rsidP="007D13F3">
      <w:pPr>
        <w:ind w:firstLine="708"/>
        <w:jc w:val="both"/>
        <w:rPr>
          <w:rFonts w:ascii="Times New Roman" w:hAnsi="Times New Roman" w:cs="Times New Roman"/>
        </w:rPr>
      </w:pPr>
      <w:r w:rsidRPr="00CA1B83">
        <w:rPr>
          <w:rFonts w:ascii="Times New Roman" w:hAnsi="Times New Roman" w:cs="Times New Roman"/>
        </w:rPr>
        <w:t>Na väzenstvo sa rozpočtujú výdavky v sume 16</w:t>
      </w:r>
      <w:r>
        <w:rPr>
          <w:rFonts w:ascii="Times New Roman" w:hAnsi="Times New Roman" w:cs="Times New Roman"/>
        </w:rPr>
        <w:t>4</w:t>
      </w:r>
      <w:r w:rsidRPr="00CA1B83">
        <w:rPr>
          <w:rFonts w:ascii="Times New Roman" w:hAnsi="Times New Roman" w:cs="Times New Roman"/>
        </w:rPr>
        <w:t xml:space="preserve"> mil. eur. V porovnaní so schváleným rozpočtom roku 2017 sú výdavky väzenstva v roku 2018 </w:t>
      </w:r>
      <w:r>
        <w:rPr>
          <w:rFonts w:ascii="Times New Roman" w:hAnsi="Times New Roman" w:cs="Times New Roman"/>
        </w:rPr>
        <w:t>vyššie</w:t>
      </w:r>
      <w:r w:rsidRPr="00CA1B83">
        <w:rPr>
          <w:rFonts w:ascii="Times New Roman" w:hAnsi="Times New Roman" w:cs="Times New Roman"/>
        </w:rPr>
        <w:t xml:space="preserve"> o </w:t>
      </w:r>
      <w:r>
        <w:rPr>
          <w:rFonts w:ascii="Times New Roman" w:hAnsi="Times New Roman" w:cs="Times New Roman"/>
        </w:rPr>
        <w:t>1</w:t>
      </w:r>
      <w:r w:rsidRPr="00CA1B83">
        <w:rPr>
          <w:rFonts w:ascii="Times New Roman" w:hAnsi="Times New Roman" w:cs="Times New Roman"/>
        </w:rPr>
        <w:t>,</w:t>
      </w:r>
      <w:r>
        <w:rPr>
          <w:rFonts w:ascii="Times New Roman" w:hAnsi="Times New Roman" w:cs="Times New Roman"/>
        </w:rPr>
        <w:t>55</w:t>
      </w:r>
      <w:r w:rsidRPr="00CA1B83">
        <w:rPr>
          <w:rFonts w:ascii="Times New Roman" w:hAnsi="Times New Roman" w:cs="Times New Roman"/>
        </w:rPr>
        <w:t xml:space="preserve"> mil. eur, t. j. o </w:t>
      </w:r>
      <w:r>
        <w:rPr>
          <w:rFonts w:ascii="Times New Roman" w:hAnsi="Times New Roman" w:cs="Times New Roman"/>
        </w:rPr>
        <w:t>0</w:t>
      </w:r>
      <w:r w:rsidRPr="00CA1B83">
        <w:rPr>
          <w:rFonts w:ascii="Times New Roman" w:hAnsi="Times New Roman" w:cs="Times New Roman"/>
        </w:rPr>
        <w:t>,</w:t>
      </w:r>
      <w:r>
        <w:rPr>
          <w:rFonts w:ascii="Times New Roman" w:hAnsi="Times New Roman" w:cs="Times New Roman"/>
        </w:rPr>
        <w:t>95</w:t>
      </w:r>
      <w:r w:rsidRPr="00CA1B83">
        <w:rPr>
          <w:rFonts w:ascii="Times New Roman" w:hAnsi="Times New Roman" w:cs="Times New Roman"/>
        </w:rPr>
        <w:t xml:space="preserve"> %. </w:t>
      </w:r>
      <w:r>
        <w:rPr>
          <w:rFonts w:ascii="Times New Roman" w:hAnsi="Times New Roman" w:cs="Times New Roman"/>
        </w:rPr>
        <w:t xml:space="preserve">Nárast spôsobili vyššie osobné výdavky, </w:t>
      </w:r>
      <w:r w:rsidRPr="008D7E39">
        <w:rPr>
          <w:rFonts w:ascii="Times New Roman" w:hAnsi="Times New Roman" w:cs="Times New Roman"/>
        </w:rPr>
        <w:t>vyššie výdavky na pracovné odmeny obvinených a odsúdených v súvislosti s ich valorizáciou</w:t>
      </w:r>
      <w:r>
        <w:rPr>
          <w:rFonts w:ascii="Times New Roman" w:hAnsi="Times New Roman" w:cs="Times New Roman"/>
        </w:rPr>
        <w:t xml:space="preserve"> a rozpočtovanie príspevku </w:t>
      </w:r>
      <w:r w:rsidRPr="0065490B">
        <w:rPr>
          <w:rFonts w:ascii="Times New Roman" w:hAnsi="Times New Roman" w:cs="Times New Roman"/>
        </w:rPr>
        <w:t>na bývanie</w:t>
      </w:r>
      <w:r>
        <w:rPr>
          <w:rFonts w:ascii="Times New Roman" w:hAnsi="Times New Roman" w:cs="Times New Roman"/>
        </w:rPr>
        <w:t xml:space="preserve">. </w:t>
      </w:r>
      <w:r w:rsidRPr="00CA1B83">
        <w:rPr>
          <w:rFonts w:ascii="Times New Roman" w:hAnsi="Times New Roman" w:cs="Times New Roman"/>
        </w:rPr>
        <w:t>Výdavky na riešenie potrieb väzenstva pokrývajú základné zabezpečenie výkonu väzby a výkonu trestu odňatia slobody, vrátane súvisiacej ochrany a stráženia objektov, ako aj zabezpečenia ochrany poriadku a bezpečnosti v súdnych objektoch.</w:t>
      </w:r>
      <w:r w:rsidRPr="000602FF">
        <w:rPr>
          <w:rFonts w:ascii="Times New Roman" w:hAnsi="Times New Roman" w:cs="Times New Roman"/>
        </w:rPr>
        <w:t xml:space="preserve"> </w:t>
      </w:r>
    </w:p>
    <w:p w:rsidR="007D13F3" w:rsidRDefault="007D13F3" w:rsidP="007D13F3">
      <w:pPr>
        <w:ind w:firstLine="708"/>
        <w:jc w:val="both"/>
        <w:rPr>
          <w:rFonts w:ascii="Times New Roman" w:hAnsi="Times New Roman" w:cs="Times New Roman"/>
        </w:rPr>
      </w:pPr>
      <w:r w:rsidRPr="000602FF">
        <w:rPr>
          <w:rFonts w:ascii="Times New Roman" w:hAnsi="Times New Roman" w:cs="Times New Roman"/>
        </w:rPr>
        <w:t xml:space="preserve">   </w:t>
      </w:r>
    </w:p>
    <w:tbl>
      <w:tblPr>
        <w:tblW w:w="5000" w:type="pct"/>
        <w:tblCellMar>
          <w:left w:w="70" w:type="dxa"/>
          <w:right w:w="70" w:type="dxa"/>
        </w:tblCellMar>
        <w:tblLook w:val="04A0" w:firstRow="1" w:lastRow="0" w:firstColumn="1" w:lastColumn="0" w:noHBand="0" w:noVBand="1"/>
      </w:tblPr>
      <w:tblGrid>
        <w:gridCol w:w="2082"/>
        <w:gridCol w:w="998"/>
        <w:gridCol w:w="997"/>
        <w:gridCol w:w="997"/>
        <w:gridCol w:w="997"/>
        <w:gridCol w:w="997"/>
        <w:gridCol w:w="997"/>
        <w:gridCol w:w="997"/>
      </w:tblGrid>
      <w:tr w:rsidR="007D13F3" w:rsidRPr="000602FF" w:rsidTr="00465CAC">
        <w:trPr>
          <w:trHeight w:val="261"/>
        </w:trPr>
        <w:tc>
          <w:tcPr>
            <w:tcW w:w="114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0602FF" w:rsidRDefault="007D13F3" w:rsidP="00465CAC">
            <w:pPr>
              <w:rPr>
                <w:rFonts w:ascii="Times New Roman" w:hAnsi="Times New Roman" w:cs="Times New Roman"/>
                <w:b/>
                <w:bCs/>
                <w:color w:val="000000"/>
                <w:sz w:val="14"/>
                <w:szCs w:val="14"/>
                <w:lang w:eastAsia="sk-SK"/>
              </w:rPr>
            </w:pPr>
            <w:r w:rsidRPr="000602FF">
              <w:rPr>
                <w:rFonts w:ascii="Times New Roman" w:hAnsi="Times New Roman" w:cs="Times New Roman"/>
                <w:b/>
                <w:bCs/>
                <w:color w:val="000000"/>
                <w:sz w:val="14"/>
                <w:szCs w:val="14"/>
                <w:lang w:eastAsia="sk-SK"/>
              </w:rPr>
              <w:t>Priemerný počet osôb</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0602FF" w:rsidRDefault="007D13F3" w:rsidP="00465CAC">
            <w:pPr>
              <w:jc w:val="center"/>
              <w:rPr>
                <w:rFonts w:ascii="Times New Roman" w:hAnsi="Times New Roman" w:cs="Times New Roman"/>
                <w:b/>
                <w:bCs/>
                <w:color w:val="000000"/>
                <w:sz w:val="14"/>
                <w:szCs w:val="14"/>
                <w:lang w:eastAsia="sk-SK"/>
              </w:rPr>
            </w:pPr>
            <w:r w:rsidRPr="000602FF">
              <w:rPr>
                <w:rFonts w:ascii="Times New Roman" w:hAnsi="Times New Roman" w:cs="Times New Roman"/>
                <w:b/>
                <w:bCs/>
                <w:color w:val="000000"/>
                <w:sz w:val="14"/>
                <w:szCs w:val="14"/>
                <w:lang w:eastAsia="sk-SK"/>
              </w:rPr>
              <w:t>2015 S</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0602FF" w:rsidRDefault="007D13F3" w:rsidP="00465CAC">
            <w:pPr>
              <w:jc w:val="center"/>
              <w:rPr>
                <w:rFonts w:ascii="Times New Roman" w:hAnsi="Times New Roman" w:cs="Times New Roman"/>
                <w:b/>
                <w:bCs/>
                <w:color w:val="000000"/>
                <w:sz w:val="14"/>
                <w:szCs w:val="14"/>
                <w:lang w:eastAsia="sk-SK"/>
              </w:rPr>
            </w:pPr>
            <w:r w:rsidRPr="000602FF">
              <w:rPr>
                <w:rFonts w:ascii="Times New Roman" w:hAnsi="Times New Roman" w:cs="Times New Roman"/>
                <w:b/>
                <w:bCs/>
                <w:color w:val="000000"/>
                <w:sz w:val="14"/>
                <w:szCs w:val="14"/>
                <w:lang w:eastAsia="sk-SK"/>
              </w:rPr>
              <w:t>2016 S</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0602FF" w:rsidRDefault="007D13F3" w:rsidP="00465CAC">
            <w:pPr>
              <w:jc w:val="center"/>
              <w:rPr>
                <w:rFonts w:ascii="Times New Roman" w:hAnsi="Times New Roman" w:cs="Times New Roman"/>
                <w:b/>
                <w:bCs/>
                <w:color w:val="000000"/>
                <w:sz w:val="14"/>
                <w:szCs w:val="14"/>
                <w:lang w:eastAsia="sk-SK"/>
              </w:rPr>
            </w:pPr>
            <w:r w:rsidRPr="000602FF">
              <w:rPr>
                <w:rFonts w:ascii="Times New Roman" w:hAnsi="Times New Roman" w:cs="Times New Roman"/>
                <w:b/>
                <w:bCs/>
                <w:color w:val="000000"/>
                <w:sz w:val="14"/>
                <w:szCs w:val="14"/>
                <w:lang w:eastAsia="sk-SK"/>
              </w:rPr>
              <w:t>2017 R</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0602FF" w:rsidRDefault="007D13F3" w:rsidP="002D230D">
            <w:pPr>
              <w:jc w:val="center"/>
              <w:rPr>
                <w:rFonts w:ascii="Times New Roman" w:hAnsi="Times New Roman" w:cs="Times New Roman"/>
                <w:b/>
                <w:bCs/>
                <w:color w:val="000000"/>
                <w:sz w:val="14"/>
                <w:szCs w:val="14"/>
                <w:lang w:eastAsia="sk-SK"/>
              </w:rPr>
            </w:pPr>
            <w:r w:rsidRPr="000602FF">
              <w:rPr>
                <w:rFonts w:ascii="Times New Roman" w:hAnsi="Times New Roman" w:cs="Times New Roman"/>
                <w:b/>
                <w:bCs/>
                <w:color w:val="000000"/>
                <w:sz w:val="14"/>
                <w:szCs w:val="14"/>
                <w:lang w:eastAsia="sk-SK"/>
              </w:rPr>
              <w:t xml:space="preserve">2017 </w:t>
            </w:r>
            <w:r w:rsidR="002D230D">
              <w:rPr>
                <w:rFonts w:ascii="Times New Roman" w:hAnsi="Times New Roman" w:cs="Times New Roman"/>
                <w:b/>
                <w:bCs/>
                <w:color w:val="000000"/>
                <w:sz w:val="14"/>
                <w:szCs w:val="14"/>
                <w:lang w:eastAsia="sk-SK"/>
              </w:rPr>
              <w:t>OS</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0602FF" w:rsidRDefault="007D13F3" w:rsidP="00465CAC">
            <w:pPr>
              <w:jc w:val="center"/>
              <w:rPr>
                <w:rFonts w:ascii="Times New Roman" w:hAnsi="Times New Roman" w:cs="Times New Roman"/>
                <w:b/>
                <w:bCs/>
                <w:color w:val="000000"/>
                <w:sz w:val="14"/>
                <w:szCs w:val="14"/>
                <w:lang w:eastAsia="sk-SK"/>
              </w:rPr>
            </w:pPr>
            <w:r w:rsidRPr="000602FF">
              <w:rPr>
                <w:rFonts w:ascii="Times New Roman" w:hAnsi="Times New Roman" w:cs="Times New Roman"/>
                <w:b/>
                <w:bCs/>
                <w:color w:val="000000"/>
                <w:sz w:val="14"/>
                <w:szCs w:val="14"/>
                <w:lang w:eastAsia="sk-SK"/>
              </w:rPr>
              <w:t>2018 N</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0602FF" w:rsidRDefault="007D13F3" w:rsidP="00465CAC">
            <w:pPr>
              <w:jc w:val="center"/>
              <w:rPr>
                <w:rFonts w:ascii="Times New Roman" w:hAnsi="Times New Roman" w:cs="Times New Roman"/>
                <w:b/>
                <w:bCs/>
                <w:color w:val="000000"/>
                <w:sz w:val="14"/>
                <w:szCs w:val="14"/>
                <w:lang w:eastAsia="sk-SK"/>
              </w:rPr>
            </w:pPr>
            <w:r w:rsidRPr="000602FF">
              <w:rPr>
                <w:rFonts w:ascii="Times New Roman" w:hAnsi="Times New Roman" w:cs="Times New Roman"/>
                <w:b/>
                <w:bCs/>
                <w:color w:val="000000"/>
                <w:sz w:val="14"/>
                <w:szCs w:val="14"/>
                <w:lang w:eastAsia="sk-SK"/>
              </w:rPr>
              <w:t>2019 N</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0602FF" w:rsidRDefault="007D13F3" w:rsidP="00465CAC">
            <w:pPr>
              <w:jc w:val="center"/>
              <w:rPr>
                <w:rFonts w:ascii="Times New Roman" w:hAnsi="Times New Roman" w:cs="Times New Roman"/>
                <w:b/>
                <w:bCs/>
                <w:color w:val="000000"/>
                <w:sz w:val="14"/>
                <w:szCs w:val="14"/>
                <w:lang w:eastAsia="sk-SK"/>
              </w:rPr>
            </w:pPr>
            <w:r w:rsidRPr="000602FF">
              <w:rPr>
                <w:rFonts w:ascii="Times New Roman" w:hAnsi="Times New Roman" w:cs="Times New Roman"/>
                <w:b/>
                <w:bCs/>
                <w:color w:val="000000"/>
                <w:sz w:val="14"/>
                <w:szCs w:val="14"/>
                <w:lang w:eastAsia="sk-SK"/>
              </w:rPr>
              <w:t>2020 N</w:t>
            </w:r>
          </w:p>
        </w:tc>
      </w:tr>
      <w:tr w:rsidR="007D13F3" w:rsidRPr="000602FF" w:rsidTr="00465CAC">
        <w:trPr>
          <w:trHeight w:val="261"/>
        </w:trPr>
        <w:tc>
          <w:tcPr>
            <w:tcW w:w="1147" w:type="pct"/>
            <w:tcBorders>
              <w:top w:val="nil"/>
              <w:left w:val="single" w:sz="4" w:space="0" w:color="auto"/>
              <w:bottom w:val="single" w:sz="4" w:space="0" w:color="auto"/>
              <w:right w:val="single" w:sz="4" w:space="0" w:color="auto"/>
            </w:tcBorders>
            <w:shd w:val="clear" w:color="auto" w:fill="auto"/>
            <w:noWrap/>
            <w:vAlign w:val="center"/>
            <w:hideMark/>
          </w:tcPr>
          <w:p w:rsidR="007D13F3" w:rsidRPr="000602FF" w:rsidRDefault="007D13F3" w:rsidP="00465CAC">
            <w:pPr>
              <w:rPr>
                <w:rFonts w:ascii="Times New Roman" w:hAnsi="Times New Roman" w:cs="Times New Roman"/>
                <w:color w:val="000000"/>
                <w:sz w:val="14"/>
                <w:szCs w:val="14"/>
                <w:lang w:eastAsia="sk-SK"/>
              </w:rPr>
            </w:pPr>
            <w:r w:rsidRPr="000602FF">
              <w:rPr>
                <w:rFonts w:ascii="Times New Roman" w:hAnsi="Times New Roman" w:cs="Times New Roman"/>
                <w:color w:val="000000"/>
                <w:sz w:val="14"/>
                <w:szCs w:val="14"/>
                <w:lang w:eastAsia="sk-SK"/>
              </w:rPr>
              <w:t>Obvinení</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0602FF" w:rsidRDefault="007D13F3" w:rsidP="00465CAC">
            <w:pPr>
              <w:jc w:val="right"/>
              <w:rPr>
                <w:rFonts w:ascii="Times New Roman" w:hAnsi="Times New Roman" w:cs="Times New Roman"/>
                <w:color w:val="000000"/>
                <w:sz w:val="14"/>
                <w:szCs w:val="14"/>
                <w:lang w:eastAsia="sk-SK"/>
              </w:rPr>
            </w:pPr>
            <w:r w:rsidRPr="000602FF">
              <w:rPr>
                <w:rFonts w:ascii="Times New Roman" w:hAnsi="Times New Roman" w:cs="Times New Roman"/>
                <w:color w:val="000000"/>
                <w:sz w:val="14"/>
                <w:szCs w:val="14"/>
                <w:lang w:eastAsia="sk-SK"/>
              </w:rPr>
              <w:t>1 392</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0602FF" w:rsidRDefault="007D13F3" w:rsidP="00465CAC">
            <w:pPr>
              <w:jc w:val="right"/>
              <w:rPr>
                <w:rFonts w:ascii="Times New Roman" w:hAnsi="Times New Roman" w:cs="Times New Roman"/>
                <w:color w:val="000000"/>
                <w:sz w:val="14"/>
                <w:szCs w:val="14"/>
                <w:lang w:eastAsia="sk-SK"/>
              </w:rPr>
            </w:pPr>
            <w:r w:rsidRPr="000602FF">
              <w:rPr>
                <w:rFonts w:ascii="Times New Roman" w:hAnsi="Times New Roman" w:cs="Times New Roman"/>
                <w:color w:val="000000"/>
                <w:sz w:val="14"/>
                <w:szCs w:val="14"/>
                <w:lang w:eastAsia="sk-SK"/>
              </w:rPr>
              <w:t>1 451</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0602FF" w:rsidRDefault="007D13F3" w:rsidP="00465CAC">
            <w:pPr>
              <w:jc w:val="right"/>
              <w:rPr>
                <w:rFonts w:ascii="Times New Roman" w:hAnsi="Times New Roman" w:cs="Times New Roman"/>
                <w:color w:val="000000"/>
                <w:sz w:val="14"/>
                <w:szCs w:val="14"/>
                <w:lang w:eastAsia="sk-SK"/>
              </w:rPr>
            </w:pPr>
            <w:r w:rsidRPr="000602FF">
              <w:rPr>
                <w:rFonts w:ascii="Times New Roman" w:hAnsi="Times New Roman" w:cs="Times New Roman"/>
                <w:color w:val="000000"/>
                <w:sz w:val="14"/>
                <w:szCs w:val="14"/>
                <w:lang w:eastAsia="sk-SK"/>
              </w:rPr>
              <w:t>1 546</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0602FF" w:rsidRDefault="007D13F3" w:rsidP="00465CAC">
            <w:pPr>
              <w:jc w:val="right"/>
              <w:rPr>
                <w:rFonts w:ascii="Times New Roman" w:hAnsi="Times New Roman" w:cs="Times New Roman"/>
                <w:color w:val="000000"/>
                <w:sz w:val="14"/>
                <w:szCs w:val="14"/>
                <w:lang w:eastAsia="sk-SK"/>
              </w:rPr>
            </w:pPr>
            <w:r w:rsidRPr="000602FF">
              <w:rPr>
                <w:rFonts w:ascii="Times New Roman" w:hAnsi="Times New Roman" w:cs="Times New Roman"/>
                <w:color w:val="000000"/>
                <w:sz w:val="14"/>
                <w:szCs w:val="14"/>
                <w:lang w:eastAsia="sk-SK"/>
              </w:rPr>
              <w:t>1 546</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0602FF" w:rsidRDefault="007D13F3" w:rsidP="00465CAC">
            <w:pPr>
              <w:jc w:val="right"/>
              <w:rPr>
                <w:rFonts w:ascii="Times New Roman" w:hAnsi="Times New Roman" w:cs="Times New Roman"/>
                <w:color w:val="000000"/>
                <w:sz w:val="14"/>
                <w:szCs w:val="14"/>
                <w:lang w:eastAsia="sk-SK"/>
              </w:rPr>
            </w:pPr>
            <w:r w:rsidRPr="000602FF">
              <w:rPr>
                <w:rFonts w:ascii="Times New Roman" w:hAnsi="Times New Roman" w:cs="Times New Roman"/>
                <w:color w:val="000000"/>
                <w:sz w:val="14"/>
                <w:szCs w:val="14"/>
                <w:lang w:eastAsia="sk-SK"/>
              </w:rPr>
              <w:t>1 551</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0602FF" w:rsidRDefault="007D13F3" w:rsidP="00465CAC">
            <w:pPr>
              <w:jc w:val="right"/>
              <w:rPr>
                <w:rFonts w:ascii="Times New Roman" w:hAnsi="Times New Roman" w:cs="Times New Roman"/>
                <w:color w:val="000000"/>
                <w:sz w:val="14"/>
                <w:szCs w:val="14"/>
                <w:lang w:eastAsia="sk-SK"/>
              </w:rPr>
            </w:pPr>
            <w:r w:rsidRPr="000602FF">
              <w:rPr>
                <w:rFonts w:ascii="Times New Roman" w:hAnsi="Times New Roman" w:cs="Times New Roman"/>
                <w:color w:val="000000"/>
                <w:sz w:val="14"/>
                <w:szCs w:val="14"/>
                <w:lang w:eastAsia="sk-SK"/>
              </w:rPr>
              <w:t>1 556</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0602FF" w:rsidRDefault="007D13F3" w:rsidP="00465CAC">
            <w:pPr>
              <w:jc w:val="right"/>
              <w:rPr>
                <w:rFonts w:ascii="Times New Roman" w:hAnsi="Times New Roman" w:cs="Times New Roman"/>
                <w:color w:val="000000"/>
                <w:sz w:val="14"/>
                <w:szCs w:val="14"/>
                <w:lang w:eastAsia="sk-SK"/>
              </w:rPr>
            </w:pPr>
            <w:r w:rsidRPr="000602FF">
              <w:rPr>
                <w:rFonts w:ascii="Times New Roman" w:hAnsi="Times New Roman" w:cs="Times New Roman"/>
                <w:color w:val="000000"/>
                <w:sz w:val="14"/>
                <w:szCs w:val="14"/>
                <w:lang w:eastAsia="sk-SK"/>
              </w:rPr>
              <w:t>1 561</w:t>
            </w:r>
          </w:p>
        </w:tc>
      </w:tr>
      <w:tr w:rsidR="007D13F3" w:rsidRPr="000602FF" w:rsidTr="00465CAC">
        <w:trPr>
          <w:trHeight w:val="261"/>
        </w:trPr>
        <w:tc>
          <w:tcPr>
            <w:tcW w:w="1147" w:type="pct"/>
            <w:tcBorders>
              <w:top w:val="nil"/>
              <w:left w:val="single" w:sz="4" w:space="0" w:color="auto"/>
              <w:bottom w:val="single" w:sz="4" w:space="0" w:color="auto"/>
              <w:right w:val="single" w:sz="4" w:space="0" w:color="auto"/>
            </w:tcBorders>
            <w:shd w:val="clear" w:color="auto" w:fill="auto"/>
            <w:noWrap/>
            <w:vAlign w:val="center"/>
            <w:hideMark/>
          </w:tcPr>
          <w:p w:rsidR="007D13F3" w:rsidRPr="000602FF" w:rsidRDefault="007D13F3" w:rsidP="00465CAC">
            <w:pPr>
              <w:rPr>
                <w:rFonts w:ascii="Times New Roman" w:hAnsi="Times New Roman" w:cs="Times New Roman"/>
                <w:color w:val="000000"/>
                <w:sz w:val="14"/>
                <w:szCs w:val="14"/>
                <w:lang w:eastAsia="sk-SK"/>
              </w:rPr>
            </w:pPr>
            <w:r w:rsidRPr="000602FF">
              <w:rPr>
                <w:rFonts w:ascii="Times New Roman" w:hAnsi="Times New Roman" w:cs="Times New Roman"/>
                <w:color w:val="000000"/>
                <w:sz w:val="14"/>
                <w:szCs w:val="14"/>
                <w:lang w:eastAsia="sk-SK"/>
              </w:rPr>
              <w:t>Odsúdení</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0602FF" w:rsidRDefault="007D13F3" w:rsidP="00465CAC">
            <w:pPr>
              <w:jc w:val="right"/>
              <w:rPr>
                <w:rFonts w:ascii="Times New Roman" w:hAnsi="Times New Roman" w:cs="Times New Roman"/>
                <w:color w:val="000000"/>
                <w:sz w:val="14"/>
                <w:szCs w:val="14"/>
                <w:lang w:eastAsia="sk-SK"/>
              </w:rPr>
            </w:pPr>
            <w:r w:rsidRPr="000602FF">
              <w:rPr>
                <w:rFonts w:ascii="Times New Roman" w:hAnsi="Times New Roman" w:cs="Times New Roman"/>
                <w:color w:val="000000"/>
                <w:sz w:val="14"/>
                <w:szCs w:val="14"/>
                <w:lang w:eastAsia="sk-SK"/>
              </w:rPr>
              <w:t>8 707</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0602FF" w:rsidRDefault="007D13F3" w:rsidP="00465CAC">
            <w:pPr>
              <w:jc w:val="right"/>
              <w:rPr>
                <w:rFonts w:ascii="Times New Roman" w:hAnsi="Times New Roman" w:cs="Times New Roman"/>
                <w:color w:val="000000"/>
                <w:sz w:val="14"/>
                <w:szCs w:val="14"/>
                <w:lang w:eastAsia="sk-SK"/>
              </w:rPr>
            </w:pPr>
            <w:r w:rsidRPr="000602FF">
              <w:rPr>
                <w:rFonts w:ascii="Times New Roman" w:hAnsi="Times New Roman" w:cs="Times New Roman"/>
                <w:color w:val="000000"/>
                <w:sz w:val="14"/>
                <w:szCs w:val="14"/>
                <w:lang w:eastAsia="sk-SK"/>
              </w:rPr>
              <w:t>8 665</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0602FF" w:rsidRDefault="007D13F3" w:rsidP="00465CAC">
            <w:pPr>
              <w:jc w:val="right"/>
              <w:rPr>
                <w:rFonts w:ascii="Times New Roman" w:hAnsi="Times New Roman" w:cs="Times New Roman"/>
                <w:color w:val="000000"/>
                <w:sz w:val="14"/>
                <w:szCs w:val="14"/>
                <w:lang w:eastAsia="sk-SK"/>
              </w:rPr>
            </w:pPr>
            <w:r w:rsidRPr="000602FF">
              <w:rPr>
                <w:rFonts w:ascii="Times New Roman" w:hAnsi="Times New Roman" w:cs="Times New Roman"/>
                <w:color w:val="000000"/>
                <w:sz w:val="14"/>
                <w:szCs w:val="14"/>
                <w:lang w:eastAsia="sk-SK"/>
              </w:rPr>
              <w:t>9 036</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0602FF" w:rsidRDefault="007D13F3" w:rsidP="00465CAC">
            <w:pPr>
              <w:jc w:val="right"/>
              <w:rPr>
                <w:rFonts w:ascii="Times New Roman" w:hAnsi="Times New Roman" w:cs="Times New Roman"/>
                <w:color w:val="000000"/>
                <w:sz w:val="14"/>
                <w:szCs w:val="14"/>
                <w:lang w:eastAsia="sk-SK"/>
              </w:rPr>
            </w:pPr>
            <w:r w:rsidRPr="000602FF">
              <w:rPr>
                <w:rFonts w:ascii="Times New Roman" w:hAnsi="Times New Roman" w:cs="Times New Roman"/>
                <w:color w:val="000000"/>
                <w:sz w:val="14"/>
                <w:szCs w:val="14"/>
                <w:lang w:eastAsia="sk-SK"/>
              </w:rPr>
              <w:t>9 036</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0602FF" w:rsidRDefault="007D13F3" w:rsidP="00465CAC">
            <w:pPr>
              <w:jc w:val="right"/>
              <w:rPr>
                <w:rFonts w:ascii="Times New Roman" w:hAnsi="Times New Roman" w:cs="Times New Roman"/>
                <w:color w:val="000000"/>
                <w:sz w:val="14"/>
                <w:szCs w:val="14"/>
                <w:lang w:eastAsia="sk-SK"/>
              </w:rPr>
            </w:pPr>
            <w:r w:rsidRPr="000602FF">
              <w:rPr>
                <w:rFonts w:ascii="Times New Roman" w:hAnsi="Times New Roman" w:cs="Times New Roman"/>
                <w:color w:val="000000"/>
                <w:sz w:val="14"/>
                <w:szCs w:val="14"/>
                <w:lang w:eastAsia="sk-SK"/>
              </w:rPr>
              <w:t>9 188</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0602FF" w:rsidRDefault="007D13F3" w:rsidP="00465CAC">
            <w:pPr>
              <w:jc w:val="right"/>
              <w:rPr>
                <w:rFonts w:ascii="Times New Roman" w:hAnsi="Times New Roman" w:cs="Times New Roman"/>
                <w:color w:val="000000"/>
                <w:sz w:val="14"/>
                <w:szCs w:val="14"/>
                <w:lang w:eastAsia="sk-SK"/>
              </w:rPr>
            </w:pPr>
            <w:r w:rsidRPr="000602FF">
              <w:rPr>
                <w:rFonts w:ascii="Times New Roman" w:hAnsi="Times New Roman" w:cs="Times New Roman"/>
                <w:color w:val="000000"/>
                <w:sz w:val="14"/>
                <w:szCs w:val="14"/>
                <w:lang w:eastAsia="sk-SK"/>
              </w:rPr>
              <w:t>9 340</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0602FF" w:rsidRDefault="007D13F3" w:rsidP="00465CAC">
            <w:pPr>
              <w:jc w:val="right"/>
              <w:rPr>
                <w:rFonts w:ascii="Times New Roman" w:hAnsi="Times New Roman" w:cs="Times New Roman"/>
                <w:color w:val="000000"/>
                <w:sz w:val="14"/>
                <w:szCs w:val="14"/>
                <w:lang w:eastAsia="sk-SK"/>
              </w:rPr>
            </w:pPr>
            <w:r w:rsidRPr="000602FF">
              <w:rPr>
                <w:rFonts w:ascii="Times New Roman" w:hAnsi="Times New Roman" w:cs="Times New Roman"/>
                <w:color w:val="000000"/>
                <w:sz w:val="14"/>
                <w:szCs w:val="14"/>
                <w:lang w:eastAsia="sk-SK"/>
              </w:rPr>
              <w:t>9 492</w:t>
            </w:r>
          </w:p>
        </w:tc>
      </w:tr>
      <w:tr w:rsidR="007D13F3" w:rsidRPr="000602FF" w:rsidTr="00465CAC">
        <w:trPr>
          <w:trHeight w:val="261"/>
        </w:trPr>
        <w:tc>
          <w:tcPr>
            <w:tcW w:w="1147"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0602FF" w:rsidRDefault="007D13F3" w:rsidP="00465CAC">
            <w:pPr>
              <w:rPr>
                <w:rFonts w:ascii="Times New Roman" w:hAnsi="Times New Roman" w:cs="Times New Roman"/>
                <w:b/>
                <w:bCs/>
                <w:color w:val="000000"/>
                <w:sz w:val="14"/>
                <w:szCs w:val="14"/>
                <w:lang w:eastAsia="sk-SK"/>
              </w:rPr>
            </w:pPr>
            <w:r w:rsidRPr="000602FF">
              <w:rPr>
                <w:rFonts w:ascii="Times New Roman" w:hAnsi="Times New Roman" w:cs="Times New Roman"/>
                <w:b/>
                <w:bCs/>
                <w:color w:val="000000"/>
                <w:sz w:val="14"/>
                <w:szCs w:val="14"/>
                <w:lang w:eastAsia="sk-SK"/>
              </w:rPr>
              <w:t>Obvinení a odsúdení spolu</w:t>
            </w:r>
          </w:p>
        </w:tc>
        <w:tc>
          <w:tcPr>
            <w:tcW w:w="550"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0602FF" w:rsidRDefault="007D13F3" w:rsidP="00465CAC">
            <w:pPr>
              <w:jc w:val="right"/>
              <w:rPr>
                <w:rFonts w:ascii="Times New Roman" w:hAnsi="Times New Roman" w:cs="Times New Roman"/>
                <w:b/>
                <w:bCs/>
                <w:color w:val="000000"/>
                <w:sz w:val="14"/>
                <w:szCs w:val="14"/>
                <w:lang w:eastAsia="sk-SK"/>
              </w:rPr>
            </w:pPr>
            <w:r w:rsidRPr="000602FF">
              <w:rPr>
                <w:rFonts w:ascii="Times New Roman" w:hAnsi="Times New Roman" w:cs="Times New Roman"/>
                <w:b/>
                <w:bCs/>
                <w:color w:val="000000"/>
                <w:sz w:val="14"/>
                <w:szCs w:val="14"/>
                <w:lang w:eastAsia="sk-SK"/>
              </w:rPr>
              <w:t>10 099</w:t>
            </w:r>
          </w:p>
        </w:tc>
        <w:tc>
          <w:tcPr>
            <w:tcW w:w="550"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0602FF" w:rsidRDefault="007D13F3" w:rsidP="00465CAC">
            <w:pPr>
              <w:jc w:val="right"/>
              <w:rPr>
                <w:rFonts w:ascii="Times New Roman" w:hAnsi="Times New Roman" w:cs="Times New Roman"/>
                <w:b/>
                <w:bCs/>
                <w:color w:val="000000"/>
                <w:sz w:val="14"/>
                <w:szCs w:val="14"/>
                <w:lang w:eastAsia="sk-SK"/>
              </w:rPr>
            </w:pPr>
            <w:r w:rsidRPr="000602FF">
              <w:rPr>
                <w:rFonts w:ascii="Times New Roman" w:hAnsi="Times New Roman" w:cs="Times New Roman"/>
                <w:b/>
                <w:bCs/>
                <w:color w:val="000000"/>
                <w:sz w:val="14"/>
                <w:szCs w:val="14"/>
                <w:lang w:eastAsia="sk-SK"/>
              </w:rPr>
              <w:t>10 116</w:t>
            </w:r>
          </w:p>
        </w:tc>
        <w:tc>
          <w:tcPr>
            <w:tcW w:w="550"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0602FF" w:rsidRDefault="007D13F3" w:rsidP="00465CAC">
            <w:pPr>
              <w:jc w:val="right"/>
              <w:rPr>
                <w:rFonts w:ascii="Times New Roman" w:hAnsi="Times New Roman" w:cs="Times New Roman"/>
                <w:b/>
                <w:bCs/>
                <w:color w:val="000000"/>
                <w:sz w:val="14"/>
                <w:szCs w:val="14"/>
                <w:lang w:eastAsia="sk-SK"/>
              </w:rPr>
            </w:pPr>
            <w:r w:rsidRPr="000602FF">
              <w:rPr>
                <w:rFonts w:ascii="Times New Roman" w:hAnsi="Times New Roman" w:cs="Times New Roman"/>
                <w:b/>
                <w:bCs/>
                <w:color w:val="000000"/>
                <w:sz w:val="14"/>
                <w:szCs w:val="14"/>
                <w:lang w:eastAsia="sk-SK"/>
              </w:rPr>
              <w:t>10 582</w:t>
            </w:r>
          </w:p>
        </w:tc>
        <w:tc>
          <w:tcPr>
            <w:tcW w:w="550"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0602FF" w:rsidRDefault="007D13F3" w:rsidP="00465CAC">
            <w:pPr>
              <w:jc w:val="right"/>
              <w:rPr>
                <w:rFonts w:ascii="Times New Roman" w:hAnsi="Times New Roman" w:cs="Times New Roman"/>
                <w:b/>
                <w:bCs/>
                <w:color w:val="000000"/>
                <w:sz w:val="14"/>
                <w:szCs w:val="14"/>
                <w:lang w:eastAsia="sk-SK"/>
              </w:rPr>
            </w:pPr>
            <w:r w:rsidRPr="000602FF">
              <w:rPr>
                <w:rFonts w:ascii="Times New Roman" w:hAnsi="Times New Roman" w:cs="Times New Roman"/>
                <w:b/>
                <w:bCs/>
                <w:color w:val="000000"/>
                <w:sz w:val="14"/>
                <w:szCs w:val="14"/>
                <w:lang w:eastAsia="sk-SK"/>
              </w:rPr>
              <w:t>10 582</w:t>
            </w:r>
          </w:p>
        </w:tc>
        <w:tc>
          <w:tcPr>
            <w:tcW w:w="550"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0602FF" w:rsidRDefault="007D13F3" w:rsidP="00465CAC">
            <w:pPr>
              <w:jc w:val="right"/>
              <w:rPr>
                <w:rFonts w:ascii="Times New Roman" w:hAnsi="Times New Roman" w:cs="Times New Roman"/>
                <w:b/>
                <w:bCs/>
                <w:color w:val="000000"/>
                <w:sz w:val="14"/>
                <w:szCs w:val="14"/>
                <w:lang w:eastAsia="sk-SK"/>
              </w:rPr>
            </w:pPr>
            <w:r w:rsidRPr="000602FF">
              <w:rPr>
                <w:rFonts w:ascii="Times New Roman" w:hAnsi="Times New Roman" w:cs="Times New Roman"/>
                <w:b/>
                <w:bCs/>
                <w:color w:val="000000"/>
                <w:sz w:val="14"/>
                <w:szCs w:val="14"/>
                <w:lang w:eastAsia="sk-SK"/>
              </w:rPr>
              <w:t>10 739</w:t>
            </w:r>
          </w:p>
        </w:tc>
        <w:tc>
          <w:tcPr>
            <w:tcW w:w="550"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0602FF" w:rsidRDefault="007D13F3" w:rsidP="00465CAC">
            <w:pPr>
              <w:jc w:val="right"/>
              <w:rPr>
                <w:rFonts w:ascii="Times New Roman" w:hAnsi="Times New Roman" w:cs="Times New Roman"/>
                <w:b/>
                <w:bCs/>
                <w:color w:val="000000"/>
                <w:sz w:val="14"/>
                <w:szCs w:val="14"/>
                <w:lang w:eastAsia="sk-SK"/>
              </w:rPr>
            </w:pPr>
            <w:r w:rsidRPr="000602FF">
              <w:rPr>
                <w:rFonts w:ascii="Times New Roman" w:hAnsi="Times New Roman" w:cs="Times New Roman"/>
                <w:b/>
                <w:bCs/>
                <w:color w:val="000000"/>
                <w:sz w:val="14"/>
                <w:szCs w:val="14"/>
                <w:lang w:eastAsia="sk-SK"/>
              </w:rPr>
              <w:t>10 896</w:t>
            </w:r>
          </w:p>
        </w:tc>
        <w:tc>
          <w:tcPr>
            <w:tcW w:w="550"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0602FF" w:rsidRDefault="007D13F3" w:rsidP="00465CAC">
            <w:pPr>
              <w:jc w:val="right"/>
              <w:rPr>
                <w:rFonts w:ascii="Times New Roman" w:hAnsi="Times New Roman" w:cs="Times New Roman"/>
                <w:b/>
                <w:bCs/>
                <w:color w:val="000000"/>
                <w:sz w:val="14"/>
                <w:szCs w:val="14"/>
                <w:lang w:eastAsia="sk-SK"/>
              </w:rPr>
            </w:pPr>
            <w:r w:rsidRPr="000602FF">
              <w:rPr>
                <w:rFonts w:ascii="Times New Roman" w:hAnsi="Times New Roman" w:cs="Times New Roman"/>
                <w:b/>
                <w:bCs/>
                <w:color w:val="000000"/>
                <w:sz w:val="14"/>
                <w:szCs w:val="14"/>
                <w:lang w:eastAsia="sk-SK"/>
              </w:rPr>
              <w:t>11 053</w:t>
            </w:r>
          </w:p>
        </w:tc>
      </w:tr>
    </w:tbl>
    <w:p w:rsidR="007D13F3" w:rsidRDefault="007D13F3" w:rsidP="007D13F3">
      <w:pPr>
        <w:ind w:firstLine="708"/>
        <w:jc w:val="both"/>
        <w:rPr>
          <w:rFonts w:ascii="Times New Roman" w:hAnsi="Times New Roman" w:cs="Times New Roman"/>
        </w:rPr>
      </w:pPr>
    </w:p>
    <w:p w:rsidR="007D13F3" w:rsidRPr="00CA1B83" w:rsidRDefault="007D13F3" w:rsidP="007D13F3">
      <w:pPr>
        <w:ind w:firstLine="708"/>
        <w:jc w:val="both"/>
        <w:rPr>
          <w:rFonts w:ascii="Times New Roman" w:hAnsi="Times New Roman" w:cs="Times New Roman"/>
        </w:rPr>
      </w:pPr>
      <w:r w:rsidRPr="00CA1B83">
        <w:rPr>
          <w:rFonts w:ascii="Times New Roman" w:hAnsi="Times New Roman" w:cs="Times New Roman"/>
        </w:rPr>
        <w:t xml:space="preserve">V ústavoch na výkon väzby a v ústavoch na výkon trestu odňatia slobody bolo ku koncu augusta 2017 umiestnených spolu 10 385 osôb, z toho 1 509 obvinených a 8 876 odsúdených. </w:t>
      </w:r>
    </w:p>
    <w:p w:rsidR="007D13F3" w:rsidRPr="00CA1B8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CA1B83">
        <w:rPr>
          <w:rFonts w:ascii="Times New Roman" w:hAnsi="Times New Roman" w:cs="Times New Roman"/>
        </w:rPr>
        <w:t>Výdavky na väzenstvo sú ovplyvňované dynamikou rastu počtu obvinených a odsúdených. Pokiaľ bude pokračovať nárast aj v budúcnosti, vyvolá to problém nielen v ubytovacej kapacite väzenstva, ale aj vo výdavkoch, ktoré sú rozpočtované a určené na zabezpečenie prevádzky v ústavoch na výkon väzby a v ústavoch na výkon trestu odňatia slobody. Z tohto dôvodu sa v kapitole rozpočtujú prostriedky na rekonštrukciu väzenských objektov a ich technologických zariadení a na rekonštrukciu integrovaných bezpečnostných systémov.</w:t>
      </w:r>
    </w:p>
    <w:p w:rsidR="007D13F3" w:rsidRDefault="007D13F3" w:rsidP="007D13F3">
      <w:pPr>
        <w:spacing w:after="160" w:line="259" w:lineRule="auto"/>
        <w:rPr>
          <w:rFonts w:ascii="Times New Roman" w:hAnsi="Times New Roman" w:cs="Times New Roman"/>
        </w:rPr>
      </w:pPr>
      <w:r>
        <w:rPr>
          <w:rFonts w:ascii="Times New Roman" w:hAnsi="Times New Roman" w:cs="Times New Roman"/>
        </w:rPr>
        <w:br w:type="page"/>
      </w:r>
    </w:p>
    <w:tbl>
      <w:tblPr>
        <w:tblW w:w="5000" w:type="pct"/>
        <w:tblCellMar>
          <w:left w:w="70" w:type="dxa"/>
          <w:right w:w="70" w:type="dxa"/>
        </w:tblCellMar>
        <w:tblLook w:val="04A0" w:firstRow="1" w:lastRow="0" w:firstColumn="1" w:lastColumn="0" w:noHBand="0" w:noVBand="1"/>
      </w:tblPr>
      <w:tblGrid>
        <w:gridCol w:w="2948"/>
        <w:gridCol w:w="620"/>
        <w:gridCol w:w="602"/>
        <w:gridCol w:w="620"/>
        <w:gridCol w:w="602"/>
        <w:gridCol w:w="620"/>
        <w:gridCol w:w="602"/>
        <w:gridCol w:w="620"/>
        <w:gridCol w:w="604"/>
        <w:gridCol w:w="620"/>
        <w:gridCol w:w="604"/>
      </w:tblGrid>
      <w:tr w:rsidR="007D13F3" w:rsidRPr="002D230D" w:rsidTr="00465CAC">
        <w:trPr>
          <w:trHeight w:hRule="exact" w:val="255"/>
        </w:trPr>
        <w:tc>
          <w:tcPr>
            <w:tcW w:w="1627"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2D230D" w:rsidRDefault="007D13F3" w:rsidP="00465CAC">
            <w:pPr>
              <w:rPr>
                <w:rFonts w:ascii="Times New Roman" w:hAnsi="Times New Roman" w:cs="Times New Roman"/>
                <w:b/>
                <w:bCs/>
                <w:color w:val="000000"/>
                <w:sz w:val="14"/>
                <w:szCs w:val="14"/>
                <w:lang w:eastAsia="sk-SK"/>
              </w:rPr>
            </w:pPr>
          </w:p>
          <w:p w:rsidR="007D13F3" w:rsidRPr="002D230D" w:rsidRDefault="007D13F3" w:rsidP="00465CAC">
            <w:pPr>
              <w:rPr>
                <w:rFonts w:ascii="Times New Roman" w:hAnsi="Times New Roman" w:cs="Times New Roman"/>
                <w:b/>
                <w:bCs/>
                <w:color w:val="000000"/>
                <w:sz w:val="14"/>
                <w:szCs w:val="14"/>
                <w:lang w:eastAsia="sk-SK"/>
              </w:rPr>
            </w:pPr>
            <w:r w:rsidRPr="002D230D">
              <w:rPr>
                <w:rFonts w:ascii="Times New Roman" w:hAnsi="Times New Roman" w:cs="Times New Roman"/>
                <w:b/>
                <w:bCs/>
                <w:color w:val="000000"/>
                <w:sz w:val="14"/>
                <w:szCs w:val="14"/>
                <w:lang w:eastAsia="sk-SK"/>
              </w:rPr>
              <w:t>Investičné výdavky na 4 ústavy v eurách</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2D230D" w:rsidRDefault="007D13F3" w:rsidP="00465CAC">
            <w:pPr>
              <w:jc w:val="center"/>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2016</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2D230D" w:rsidRDefault="007D13F3" w:rsidP="00465CAC">
            <w:pPr>
              <w:jc w:val="center"/>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nové kapacity</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2D230D" w:rsidRDefault="007D13F3" w:rsidP="00465CAC">
            <w:pPr>
              <w:jc w:val="center"/>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2017</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2D230D" w:rsidRDefault="007D13F3" w:rsidP="00465CAC">
            <w:pPr>
              <w:jc w:val="center"/>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nové kapacity</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2D230D" w:rsidRDefault="007D13F3" w:rsidP="00465CAC">
            <w:pPr>
              <w:jc w:val="center"/>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2018</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2D230D" w:rsidRDefault="007D13F3" w:rsidP="00465CAC">
            <w:pPr>
              <w:jc w:val="center"/>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nové kapacity</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2D230D" w:rsidRDefault="007D13F3" w:rsidP="00465CAC">
            <w:pPr>
              <w:jc w:val="center"/>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2019</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2D230D" w:rsidRDefault="007D13F3" w:rsidP="00465CAC">
            <w:pPr>
              <w:jc w:val="center"/>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nové kapacity</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2D230D" w:rsidRDefault="007D13F3" w:rsidP="00465CAC">
            <w:pPr>
              <w:jc w:val="center"/>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2020</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2D230D" w:rsidRDefault="007D13F3" w:rsidP="00465CAC">
            <w:pPr>
              <w:jc w:val="center"/>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nové kapacity</w:t>
            </w:r>
          </w:p>
        </w:tc>
      </w:tr>
      <w:tr w:rsidR="007D13F3" w:rsidRPr="002D230D" w:rsidTr="00465CAC">
        <w:trPr>
          <w:trHeight w:hRule="exact" w:val="255"/>
        </w:trPr>
        <w:tc>
          <w:tcPr>
            <w:tcW w:w="1627"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2D230D" w:rsidRDefault="007D13F3" w:rsidP="00465CAC">
            <w:pPr>
              <w:rPr>
                <w:rFonts w:ascii="Times New Roman" w:hAnsi="Times New Roman" w:cs="Times New Roman"/>
                <w:b/>
                <w:bCs/>
                <w:color w:val="000000"/>
                <w:sz w:val="14"/>
                <w:szCs w:val="14"/>
                <w:lang w:eastAsia="sk-SK"/>
              </w:rPr>
            </w:pPr>
          </w:p>
        </w:tc>
        <w:tc>
          <w:tcPr>
            <w:tcW w:w="342"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2D230D" w:rsidRDefault="007D13F3" w:rsidP="00465CAC">
            <w:pPr>
              <w:rPr>
                <w:rFonts w:ascii="Times New Roman" w:hAnsi="Times New Roman" w:cs="Times New Roman"/>
                <w:b/>
                <w:bCs/>
                <w:color w:val="000000"/>
                <w:sz w:val="12"/>
                <w:szCs w:val="12"/>
                <w:lang w:eastAsia="sk-SK"/>
              </w:rPr>
            </w:pPr>
          </w:p>
        </w:tc>
        <w:tc>
          <w:tcPr>
            <w:tcW w:w="332"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2D230D" w:rsidRDefault="007D13F3" w:rsidP="00465CAC">
            <w:pPr>
              <w:rPr>
                <w:rFonts w:ascii="Times New Roman" w:hAnsi="Times New Roman" w:cs="Times New Roman"/>
                <w:b/>
                <w:bCs/>
                <w:color w:val="000000"/>
                <w:sz w:val="12"/>
                <w:szCs w:val="12"/>
                <w:lang w:eastAsia="sk-SK"/>
              </w:rPr>
            </w:pPr>
          </w:p>
        </w:tc>
        <w:tc>
          <w:tcPr>
            <w:tcW w:w="342"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2D230D" w:rsidRDefault="007D13F3" w:rsidP="00465CAC">
            <w:pPr>
              <w:rPr>
                <w:rFonts w:ascii="Times New Roman" w:hAnsi="Times New Roman" w:cs="Times New Roman"/>
                <w:b/>
                <w:bCs/>
                <w:color w:val="000000"/>
                <w:sz w:val="12"/>
                <w:szCs w:val="12"/>
                <w:lang w:eastAsia="sk-SK"/>
              </w:rPr>
            </w:pPr>
          </w:p>
        </w:tc>
        <w:tc>
          <w:tcPr>
            <w:tcW w:w="332"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2D230D" w:rsidRDefault="007D13F3" w:rsidP="00465CAC">
            <w:pPr>
              <w:rPr>
                <w:rFonts w:ascii="Times New Roman" w:hAnsi="Times New Roman" w:cs="Times New Roman"/>
                <w:b/>
                <w:bCs/>
                <w:color w:val="000000"/>
                <w:sz w:val="12"/>
                <w:szCs w:val="12"/>
                <w:lang w:eastAsia="sk-SK"/>
              </w:rPr>
            </w:pPr>
          </w:p>
        </w:tc>
        <w:tc>
          <w:tcPr>
            <w:tcW w:w="342"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2D230D" w:rsidRDefault="007D13F3" w:rsidP="00465CAC">
            <w:pPr>
              <w:rPr>
                <w:rFonts w:ascii="Times New Roman" w:hAnsi="Times New Roman" w:cs="Times New Roman"/>
                <w:b/>
                <w:bCs/>
                <w:color w:val="000000"/>
                <w:sz w:val="12"/>
                <w:szCs w:val="12"/>
                <w:lang w:eastAsia="sk-SK"/>
              </w:rPr>
            </w:pPr>
          </w:p>
        </w:tc>
        <w:tc>
          <w:tcPr>
            <w:tcW w:w="332"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2D230D" w:rsidRDefault="007D13F3" w:rsidP="00465CAC">
            <w:pPr>
              <w:rPr>
                <w:rFonts w:ascii="Times New Roman" w:hAnsi="Times New Roman" w:cs="Times New Roman"/>
                <w:b/>
                <w:bCs/>
                <w:color w:val="000000"/>
                <w:sz w:val="12"/>
                <w:szCs w:val="12"/>
                <w:lang w:eastAsia="sk-SK"/>
              </w:rPr>
            </w:pPr>
          </w:p>
        </w:tc>
        <w:tc>
          <w:tcPr>
            <w:tcW w:w="342"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2D230D" w:rsidRDefault="007D13F3" w:rsidP="00465CAC">
            <w:pPr>
              <w:rPr>
                <w:rFonts w:ascii="Times New Roman" w:hAnsi="Times New Roman" w:cs="Times New Roman"/>
                <w:b/>
                <w:bCs/>
                <w:color w:val="000000"/>
                <w:sz w:val="12"/>
                <w:szCs w:val="12"/>
                <w:lang w:eastAsia="sk-SK"/>
              </w:rPr>
            </w:pPr>
          </w:p>
        </w:tc>
        <w:tc>
          <w:tcPr>
            <w:tcW w:w="333"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2D230D" w:rsidRDefault="007D13F3" w:rsidP="00465CAC">
            <w:pPr>
              <w:rPr>
                <w:rFonts w:ascii="Times New Roman" w:hAnsi="Times New Roman" w:cs="Times New Roman"/>
                <w:b/>
                <w:bCs/>
                <w:color w:val="000000"/>
                <w:sz w:val="12"/>
                <w:szCs w:val="12"/>
                <w:lang w:eastAsia="sk-SK"/>
              </w:rPr>
            </w:pPr>
          </w:p>
        </w:tc>
        <w:tc>
          <w:tcPr>
            <w:tcW w:w="342"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2D230D" w:rsidRDefault="007D13F3" w:rsidP="00465CAC">
            <w:pPr>
              <w:rPr>
                <w:rFonts w:ascii="Times New Roman" w:hAnsi="Times New Roman" w:cs="Times New Roman"/>
                <w:b/>
                <w:bCs/>
                <w:color w:val="000000"/>
                <w:sz w:val="12"/>
                <w:szCs w:val="12"/>
                <w:lang w:eastAsia="sk-SK"/>
              </w:rPr>
            </w:pPr>
          </w:p>
        </w:tc>
        <w:tc>
          <w:tcPr>
            <w:tcW w:w="333"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2D230D" w:rsidRDefault="007D13F3" w:rsidP="00465CAC">
            <w:pPr>
              <w:rPr>
                <w:rFonts w:ascii="Times New Roman" w:hAnsi="Times New Roman" w:cs="Times New Roman"/>
                <w:b/>
                <w:bCs/>
                <w:color w:val="000000"/>
                <w:sz w:val="12"/>
                <w:szCs w:val="12"/>
                <w:lang w:eastAsia="sk-SK"/>
              </w:rPr>
            </w:pPr>
          </w:p>
        </w:tc>
      </w:tr>
      <w:tr w:rsidR="007D13F3" w:rsidRPr="002D230D" w:rsidTr="00465CAC">
        <w:trPr>
          <w:trHeight w:hRule="exact" w:val="255"/>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7D13F3" w:rsidRPr="002D230D" w:rsidRDefault="007D13F3" w:rsidP="00465CAC">
            <w:pPr>
              <w:rPr>
                <w:rFonts w:ascii="Times New Roman" w:hAnsi="Times New Roman" w:cs="Times New Roman"/>
                <w:color w:val="000000"/>
                <w:sz w:val="14"/>
                <w:szCs w:val="14"/>
                <w:lang w:eastAsia="sk-SK"/>
              </w:rPr>
            </w:pPr>
            <w:r w:rsidRPr="002D230D">
              <w:rPr>
                <w:rFonts w:ascii="Times New Roman" w:hAnsi="Times New Roman" w:cs="Times New Roman"/>
                <w:color w:val="000000"/>
                <w:sz w:val="14"/>
                <w:szCs w:val="14"/>
                <w:lang w:eastAsia="sk-SK"/>
              </w:rPr>
              <w:t>rekonštrukcia objektov Dubnica nad Váhom, SBT</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1 120 077</w:t>
            </w:r>
          </w:p>
        </w:tc>
        <w:tc>
          <w:tcPr>
            <w:tcW w:w="33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1 459 131</w:t>
            </w:r>
          </w:p>
        </w:tc>
        <w:tc>
          <w:tcPr>
            <w:tcW w:w="33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73 683</w:t>
            </w:r>
          </w:p>
        </w:tc>
        <w:tc>
          <w:tcPr>
            <w:tcW w:w="33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160</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33"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33"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r>
      <w:tr w:rsidR="007D13F3" w:rsidRPr="002D230D" w:rsidTr="00465CAC">
        <w:trPr>
          <w:trHeight w:hRule="exact" w:val="255"/>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7D13F3" w:rsidRPr="002D230D" w:rsidRDefault="007D13F3" w:rsidP="00465CAC">
            <w:pPr>
              <w:rPr>
                <w:rFonts w:ascii="Times New Roman" w:hAnsi="Times New Roman" w:cs="Times New Roman"/>
                <w:color w:val="000000"/>
                <w:sz w:val="14"/>
                <w:szCs w:val="14"/>
                <w:lang w:eastAsia="sk-SK"/>
              </w:rPr>
            </w:pPr>
            <w:r w:rsidRPr="002D230D">
              <w:rPr>
                <w:rFonts w:ascii="Times New Roman" w:hAnsi="Times New Roman" w:cs="Times New Roman"/>
                <w:color w:val="000000"/>
                <w:sz w:val="14"/>
                <w:szCs w:val="14"/>
                <w:lang w:eastAsia="sk-SK"/>
              </w:rPr>
              <w:t>rekonštrukcia ÚVV Bratislava</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504 023</w:t>
            </w:r>
          </w:p>
        </w:tc>
        <w:tc>
          <w:tcPr>
            <w:tcW w:w="33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6 238 969</w:t>
            </w:r>
          </w:p>
        </w:tc>
        <w:tc>
          <w:tcPr>
            <w:tcW w:w="33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1 550 417</w:t>
            </w:r>
          </w:p>
        </w:tc>
        <w:tc>
          <w:tcPr>
            <w:tcW w:w="33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33"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33"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r>
      <w:tr w:rsidR="007D13F3" w:rsidRPr="002D230D" w:rsidTr="00465CAC">
        <w:trPr>
          <w:trHeight w:hRule="exact" w:val="255"/>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7D13F3" w:rsidRPr="002D230D" w:rsidRDefault="007D13F3" w:rsidP="00465CAC">
            <w:pPr>
              <w:rPr>
                <w:rFonts w:ascii="Times New Roman" w:hAnsi="Times New Roman" w:cs="Times New Roman"/>
                <w:color w:val="000000"/>
                <w:sz w:val="14"/>
                <w:szCs w:val="14"/>
                <w:lang w:eastAsia="sk-SK"/>
              </w:rPr>
            </w:pPr>
            <w:r w:rsidRPr="002D230D">
              <w:rPr>
                <w:rFonts w:ascii="Times New Roman" w:hAnsi="Times New Roman" w:cs="Times New Roman"/>
                <w:color w:val="000000"/>
                <w:sz w:val="14"/>
                <w:szCs w:val="14"/>
                <w:lang w:eastAsia="sk-SK"/>
              </w:rPr>
              <w:t>Rozšírenie priestorov VV a VT v ústave Žilina</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3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3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3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33"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1 120 077</w:t>
            </w:r>
          </w:p>
        </w:tc>
        <w:tc>
          <w:tcPr>
            <w:tcW w:w="333"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r>
      <w:tr w:rsidR="007D13F3" w:rsidRPr="002D230D" w:rsidTr="00465CAC">
        <w:trPr>
          <w:trHeight w:hRule="exact" w:val="255"/>
        </w:trPr>
        <w:tc>
          <w:tcPr>
            <w:tcW w:w="1627" w:type="pct"/>
            <w:tcBorders>
              <w:top w:val="nil"/>
              <w:left w:val="single" w:sz="4" w:space="0" w:color="auto"/>
              <w:bottom w:val="single" w:sz="4" w:space="0" w:color="auto"/>
              <w:right w:val="single" w:sz="4" w:space="0" w:color="auto"/>
            </w:tcBorders>
            <w:shd w:val="clear" w:color="auto" w:fill="auto"/>
            <w:noWrap/>
            <w:vAlign w:val="center"/>
            <w:hideMark/>
          </w:tcPr>
          <w:p w:rsidR="007D13F3" w:rsidRPr="002D230D" w:rsidRDefault="007D13F3" w:rsidP="00465CAC">
            <w:pPr>
              <w:rPr>
                <w:rFonts w:ascii="Times New Roman" w:hAnsi="Times New Roman" w:cs="Times New Roman"/>
                <w:color w:val="000000"/>
                <w:sz w:val="14"/>
                <w:szCs w:val="14"/>
                <w:lang w:eastAsia="sk-SK"/>
              </w:rPr>
            </w:pPr>
            <w:r w:rsidRPr="002D230D">
              <w:rPr>
                <w:rFonts w:ascii="Times New Roman" w:hAnsi="Times New Roman" w:cs="Times New Roman"/>
                <w:color w:val="000000"/>
                <w:sz w:val="14"/>
                <w:szCs w:val="14"/>
                <w:lang w:eastAsia="sk-SK"/>
              </w:rPr>
              <w:t>Rekonštrukcia  areálu OO na VTOS žien Prešov</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3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3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 </w:t>
            </w:r>
          </w:p>
        </w:tc>
        <w:tc>
          <w:tcPr>
            <w:tcW w:w="33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1 624 000</w:t>
            </w:r>
          </w:p>
        </w:tc>
        <w:tc>
          <w:tcPr>
            <w:tcW w:w="333"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c>
          <w:tcPr>
            <w:tcW w:w="342"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291 800</w:t>
            </w:r>
          </w:p>
        </w:tc>
        <w:tc>
          <w:tcPr>
            <w:tcW w:w="333" w:type="pct"/>
            <w:tcBorders>
              <w:top w:val="nil"/>
              <w:left w:val="nil"/>
              <w:bottom w:val="single" w:sz="4" w:space="0" w:color="auto"/>
              <w:right w:val="single" w:sz="4" w:space="0" w:color="auto"/>
            </w:tcBorders>
            <w:shd w:val="clear" w:color="auto" w:fill="auto"/>
            <w:noWrap/>
            <w:vAlign w:val="center"/>
            <w:hideMark/>
          </w:tcPr>
          <w:p w:rsidR="007D13F3" w:rsidRPr="002D230D" w:rsidRDefault="007D13F3" w:rsidP="00465CAC">
            <w:pPr>
              <w:jc w:val="right"/>
              <w:rPr>
                <w:rFonts w:ascii="Times New Roman" w:hAnsi="Times New Roman" w:cs="Times New Roman"/>
                <w:color w:val="000000"/>
                <w:sz w:val="12"/>
                <w:szCs w:val="12"/>
                <w:lang w:eastAsia="sk-SK"/>
              </w:rPr>
            </w:pPr>
            <w:r w:rsidRPr="002D230D">
              <w:rPr>
                <w:rFonts w:ascii="Times New Roman" w:hAnsi="Times New Roman" w:cs="Times New Roman"/>
                <w:color w:val="000000"/>
                <w:sz w:val="12"/>
                <w:szCs w:val="12"/>
                <w:lang w:eastAsia="sk-SK"/>
              </w:rPr>
              <w:t>0</w:t>
            </w:r>
          </w:p>
        </w:tc>
      </w:tr>
      <w:tr w:rsidR="007D13F3" w:rsidRPr="002D230D" w:rsidTr="00465CAC">
        <w:trPr>
          <w:trHeight w:hRule="exact" w:val="255"/>
        </w:trPr>
        <w:tc>
          <w:tcPr>
            <w:tcW w:w="1627"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2D230D" w:rsidRDefault="007D13F3" w:rsidP="00465CAC">
            <w:pPr>
              <w:rPr>
                <w:rFonts w:ascii="Times New Roman" w:hAnsi="Times New Roman" w:cs="Times New Roman"/>
                <w:b/>
                <w:bCs/>
                <w:color w:val="000000"/>
                <w:sz w:val="14"/>
                <w:szCs w:val="14"/>
                <w:lang w:eastAsia="sk-SK"/>
              </w:rPr>
            </w:pPr>
            <w:r w:rsidRPr="002D230D">
              <w:rPr>
                <w:rFonts w:ascii="Times New Roman" w:hAnsi="Times New Roman" w:cs="Times New Roman"/>
                <w:b/>
                <w:bCs/>
                <w:color w:val="000000"/>
                <w:sz w:val="14"/>
                <w:szCs w:val="14"/>
                <w:lang w:eastAsia="sk-SK"/>
              </w:rPr>
              <w:t>Spolu</w:t>
            </w:r>
          </w:p>
        </w:tc>
        <w:tc>
          <w:tcPr>
            <w:tcW w:w="34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2D230D" w:rsidRDefault="007D13F3" w:rsidP="00465CAC">
            <w:pPr>
              <w:jc w:val="right"/>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1 624 100</w:t>
            </w:r>
          </w:p>
        </w:tc>
        <w:tc>
          <w:tcPr>
            <w:tcW w:w="33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2D230D" w:rsidRDefault="007D13F3" w:rsidP="00465CAC">
            <w:pPr>
              <w:jc w:val="right"/>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0</w:t>
            </w:r>
          </w:p>
        </w:tc>
        <w:tc>
          <w:tcPr>
            <w:tcW w:w="34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2D230D" w:rsidRDefault="007D13F3" w:rsidP="00465CAC">
            <w:pPr>
              <w:jc w:val="right"/>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7 698 100</w:t>
            </w:r>
          </w:p>
        </w:tc>
        <w:tc>
          <w:tcPr>
            <w:tcW w:w="33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2D230D" w:rsidRDefault="007D13F3" w:rsidP="00465CAC">
            <w:pPr>
              <w:jc w:val="right"/>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0</w:t>
            </w:r>
          </w:p>
        </w:tc>
        <w:tc>
          <w:tcPr>
            <w:tcW w:w="34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2D230D" w:rsidRDefault="007D13F3" w:rsidP="00465CAC">
            <w:pPr>
              <w:jc w:val="right"/>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1 624 100</w:t>
            </w:r>
          </w:p>
        </w:tc>
        <w:tc>
          <w:tcPr>
            <w:tcW w:w="33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2D230D" w:rsidRDefault="007D13F3" w:rsidP="00465CAC">
            <w:pPr>
              <w:jc w:val="right"/>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0</w:t>
            </w:r>
          </w:p>
        </w:tc>
        <w:tc>
          <w:tcPr>
            <w:tcW w:w="34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2D230D" w:rsidRDefault="007D13F3" w:rsidP="00465CAC">
            <w:pPr>
              <w:jc w:val="right"/>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1 624 100</w:t>
            </w:r>
          </w:p>
        </w:tc>
        <w:tc>
          <w:tcPr>
            <w:tcW w:w="333"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2D230D" w:rsidRDefault="007D13F3" w:rsidP="00465CAC">
            <w:pPr>
              <w:jc w:val="right"/>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0</w:t>
            </w:r>
          </w:p>
        </w:tc>
        <w:tc>
          <w:tcPr>
            <w:tcW w:w="34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2D230D" w:rsidRDefault="007D13F3" w:rsidP="00465CAC">
            <w:pPr>
              <w:jc w:val="right"/>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1 624 100</w:t>
            </w:r>
          </w:p>
        </w:tc>
        <w:tc>
          <w:tcPr>
            <w:tcW w:w="333"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2D230D" w:rsidRDefault="007D13F3" w:rsidP="00465CAC">
            <w:pPr>
              <w:jc w:val="right"/>
              <w:rPr>
                <w:rFonts w:ascii="Times New Roman" w:hAnsi="Times New Roman" w:cs="Times New Roman"/>
                <w:b/>
                <w:bCs/>
                <w:color w:val="000000"/>
                <w:sz w:val="12"/>
                <w:szCs w:val="12"/>
                <w:lang w:eastAsia="sk-SK"/>
              </w:rPr>
            </w:pPr>
            <w:r w:rsidRPr="002D230D">
              <w:rPr>
                <w:rFonts w:ascii="Times New Roman" w:hAnsi="Times New Roman" w:cs="Times New Roman"/>
                <w:b/>
                <w:bCs/>
                <w:color w:val="000000"/>
                <w:sz w:val="12"/>
                <w:szCs w:val="12"/>
                <w:lang w:eastAsia="sk-SK"/>
              </w:rPr>
              <w:t>0</w:t>
            </w:r>
          </w:p>
        </w:tc>
      </w:tr>
    </w:tbl>
    <w:p w:rsidR="007D13F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FA6BC4">
        <w:rPr>
          <w:rFonts w:ascii="Times New Roman" w:hAnsi="Times New Roman" w:cs="Times New Roman"/>
        </w:rPr>
        <w:t>Tabuľkový prehľad o základných výdavkoch rozpočtovaných na väzenstvo.</w:t>
      </w:r>
    </w:p>
    <w:p w:rsidR="007D13F3" w:rsidRDefault="007D13F3" w:rsidP="007D13F3">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096"/>
        <w:gridCol w:w="996"/>
        <w:gridCol w:w="995"/>
        <w:gridCol w:w="995"/>
        <w:gridCol w:w="995"/>
        <w:gridCol w:w="995"/>
        <w:gridCol w:w="995"/>
        <w:gridCol w:w="995"/>
      </w:tblGrid>
      <w:tr w:rsidR="007D13F3" w:rsidRPr="00B33BEC" w:rsidTr="00465CAC">
        <w:trPr>
          <w:trHeight w:hRule="exact" w:val="255"/>
        </w:trPr>
        <w:tc>
          <w:tcPr>
            <w:tcW w:w="115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B33BEC" w:rsidRDefault="007D13F3" w:rsidP="00465CAC">
            <w:pPr>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 </w:t>
            </w:r>
          </w:p>
        </w:tc>
        <w:tc>
          <w:tcPr>
            <w:tcW w:w="54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33BEC" w:rsidRDefault="007D13F3" w:rsidP="00465CAC">
            <w:pPr>
              <w:jc w:val="center"/>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2015 S</w:t>
            </w:r>
          </w:p>
        </w:tc>
        <w:tc>
          <w:tcPr>
            <w:tcW w:w="54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33BEC" w:rsidRDefault="007D13F3" w:rsidP="00465CAC">
            <w:pPr>
              <w:jc w:val="center"/>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2016 S</w:t>
            </w:r>
          </w:p>
        </w:tc>
        <w:tc>
          <w:tcPr>
            <w:tcW w:w="549"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B33BEC" w:rsidRDefault="007D13F3" w:rsidP="00465CAC">
            <w:pPr>
              <w:jc w:val="center"/>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2017 R</w:t>
            </w:r>
          </w:p>
        </w:tc>
        <w:tc>
          <w:tcPr>
            <w:tcW w:w="549"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B33BEC" w:rsidRDefault="007D13F3" w:rsidP="002D230D">
            <w:pPr>
              <w:jc w:val="center"/>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 xml:space="preserve">2017 </w:t>
            </w:r>
            <w:r w:rsidR="002D230D">
              <w:rPr>
                <w:rFonts w:ascii="Times New Roman" w:hAnsi="Times New Roman" w:cs="Times New Roman"/>
                <w:b/>
                <w:bCs/>
                <w:color w:val="000000"/>
                <w:sz w:val="14"/>
                <w:szCs w:val="14"/>
                <w:lang w:eastAsia="sk-SK"/>
              </w:rPr>
              <w:t>OS</w:t>
            </w:r>
          </w:p>
        </w:tc>
        <w:tc>
          <w:tcPr>
            <w:tcW w:w="549"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B33BEC" w:rsidRDefault="007D13F3" w:rsidP="00465CAC">
            <w:pPr>
              <w:jc w:val="center"/>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2018 N</w:t>
            </w:r>
          </w:p>
        </w:tc>
        <w:tc>
          <w:tcPr>
            <w:tcW w:w="549"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B33BEC" w:rsidRDefault="007D13F3" w:rsidP="00465CAC">
            <w:pPr>
              <w:jc w:val="center"/>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2019 N</w:t>
            </w:r>
          </w:p>
        </w:tc>
        <w:tc>
          <w:tcPr>
            <w:tcW w:w="549"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D13F3" w:rsidRPr="00B33BEC" w:rsidRDefault="007D13F3" w:rsidP="00465CAC">
            <w:pPr>
              <w:jc w:val="center"/>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2020 N</w:t>
            </w:r>
          </w:p>
        </w:tc>
      </w:tr>
      <w:tr w:rsidR="007D13F3" w:rsidRPr="00B33BEC" w:rsidTr="00465CAC">
        <w:trPr>
          <w:trHeight w:hRule="exact" w:val="255"/>
        </w:trPr>
        <w:tc>
          <w:tcPr>
            <w:tcW w:w="1156"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B33BEC" w:rsidRDefault="007D13F3" w:rsidP="00465CAC">
            <w:pPr>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väzenstvo spolu</w:t>
            </w:r>
          </w:p>
        </w:tc>
        <w:tc>
          <w:tcPr>
            <w:tcW w:w="549"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B33BEC" w:rsidRDefault="007D13F3" w:rsidP="00465CAC">
            <w:pPr>
              <w:jc w:val="right"/>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152 272 941</w:t>
            </w:r>
          </w:p>
        </w:tc>
        <w:tc>
          <w:tcPr>
            <w:tcW w:w="549"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B33BEC" w:rsidRDefault="007D13F3" w:rsidP="00465CAC">
            <w:pPr>
              <w:jc w:val="right"/>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167 015 591</w:t>
            </w:r>
          </w:p>
        </w:tc>
        <w:tc>
          <w:tcPr>
            <w:tcW w:w="549"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B33BEC" w:rsidRDefault="007D13F3" w:rsidP="00465CAC">
            <w:pPr>
              <w:jc w:val="right"/>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162 872 355</w:t>
            </w:r>
          </w:p>
        </w:tc>
        <w:tc>
          <w:tcPr>
            <w:tcW w:w="549"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B33BEC" w:rsidRDefault="007D13F3" w:rsidP="00465CAC">
            <w:pPr>
              <w:jc w:val="right"/>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162 872 355</w:t>
            </w:r>
          </w:p>
        </w:tc>
        <w:tc>
          <w:tcPr>
            <w:tcW w:w="549"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B33BEC" w:rsidRDefault="007D13F3" w:rsidP="00465CAC">
            <w:pPr>
              <w:jc w:val="right"/>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164 420 345</w:t>
            </w:r>
          </w:p>
        </w:tc>
        <w:tc>
          <w:tcPr>
            <w:tcW w:w="549"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B33BEC" w:rsidRDefault="007D13F3" w:rsidP="00465CAC">
            <w:pPr>
              <w:jc w:val="right"/>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164 395 545</w:t>
            </w:r>
          </w:p>
        </w:tc>
        <w:tc>
          <w:tcPr>
            <w:tcW w:w="549"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B33BEC" w:rsidRDefault="007D13F3" w:rsidP="00465CAC">
            <w:pPr>
              <w:jc w:val="right"/>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164 492 445</w:t>
            </w:r>
          </w:p>
        </w:tc>
      </w:tr>
      <w:tr w:rsidR="007D13F3" w:rsidRPr="00B33BEC" w:rsidTr="00465CAC">
        <w:trPr>
          <w:trHeight w:hRule="exact" w:val="25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7D13F3" w:rsidRPr="00B33BEC" w:rsidRDefault="007D13F3" w:rsidP="00465CAC">
            <w:pPr>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KV na nové kapacity</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-1 624 100</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-1 624 100</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-7 698 100</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-7 698 100</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-1 624 100</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-1 624 100</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-1 624 100</w:t>
            </w:r>
          </w:p>
        </w:tc>
      </w:tr>
      <w:tr w:rsidR="007D13F3" w:rsidRPr="00B33BEC" w:rsidTr="00465CAC">
        <w:trPr>
          <w:trHeight w:hRule="exact" w:val="25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7D13F3" w:rsidRPr="00B33BEC" w:rsidRDefault="007D13F3" w:rsidP="00465CAC">
            <w:pPr>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dotácia osobitného účtu</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-3 178 411</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-3 178 411</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-3 178 411</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-3 178 411</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-3 178 411</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-3 178 411</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-3 178 411</w:t>
            </w:r>
          </w:p>
        </w:tc>
      </w:tr>
      <w:tr w:rsidR="007D13F3" w:rsidRPr="00B33BEC" w:rsidTr="00465CAC">
        <w:trPr>
          <w:trHeight w:hRule="exact" w:val="25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7D13F3" w:rsidRPr="00B33BEC" w:rsidRDefault="007D13F3" w:rsidP="00465CAC">
            <w:pPr>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základné výdavky väzenstva</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147 470 430</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162 213 080</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151 995 844</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151 995 844</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159 617 834</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159 593 034</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159 689 934</w:t>
            </w:r>
          </w:p>
        </w:tc>
      </w:tr>
      <w:tr w:rsidR="007D13F3" w:rsidRPr="00B33BEC" w:rsidTr="00465CAC">
        <w:trPr>
          <w:trHeight w:hRule="exact" w:val="255"/>
        </w:trPr>
        <w:tc>
          <w:tcPr>
            <w:tcW w:w="1156" w:type="pct"/>
            <w:tcBorders>
              <w:top w:val="nil"/>
              <w:left w:val="single" w:sz="4" w:space="0" w:color="auto"/>
              <w:bottom w:val="single" w:sz="4" w:space="0" w:color="auto"/>
              <w:right w:val="single" w:sz="4" w:space="0" w:color="auto"/>
            </w:tcBorders>
            <w:shd w:val="clear" w:color="auto" w:fill="auto"/>
            <w:vAlign w:val="center"/>
            <w:hideMark/>
          </w:tcPr>
          <w:p w:rsidR="007D13F3" w:rsidRPr="00B33BEC" w:rsidRDefault="007D13F3" w:rsidP="00465CAC">
            <w:pPr>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obvinení a odsúdení spolu</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10 099</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10 116</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10 582</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10 582</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10 739</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10 896</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11 053</w:t>
            </w:r>
          </w:p>
        </w:tc>
      </w:tr>
      <w:tr w:rsidR="007D13F3" w:rsidRPr="00B33BEC" w:rsidTr="00465CAC">
        <w:trPr>
          <w:trHeight w:hRule="exact" w:val="25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7D13F3" w:rsidRPr="00B33BEC" w:rsidRDefault="007D13F3" w:rsidP="00465CAC">
            <w:pPr>
              <w:rPr>
                <w:rFonts w:ascii="Times New Roman" w:hAnsi="Times New Roman" w:cs="Times New Roman"/>
                <w:b/>
                <w:bCs/>
                <w:color w:val="000000"/>
                <w:sz w:val="14"/>
                <w:szCs w:val="14"/>
                <w:lang w:eastAsia="sk-SK"/>
              </w:rPr>
            </w:pPr>
            <w:r w:rsidRPr="00B33BEC">
              <w:rPr>
                <w:rFonts w:ascii="Times New Roman" w:hAnsi="Times New Roman" w:cs="Times New Roman"/>
                <w:b/>
                <w:bCs/>
                <w:color w:val="000000"/>
                <w:sz w:val="14"/>
                <w:szCs w:val="14"/>
                <w:lang w:eastAsia="sk-SK"/>
              </w:rPr>
              <w:t>základné výdavky na väzňa</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14 602</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16 035</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14 364</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14 364</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14 863</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14 647</w:t>
            </w:r>
          </w:p>
        </w:tc>
        <w:tc>
          <w:tcPr>
            <w:tcW w:w="549" w:type="pct"/>
            <w:tcBorders>
              <w:top w:val="nil"/>
              <w:left w:val="nil"/>
              <w:bottom w:val="single" w:sz="4" w:space="0" w:color="auto"/>
              <w:right w:val="single" w:sz="4" w:space="0" w:color="auto"/>
            </w:tcBorders>
            <w:shd w:val="clear" w:color="auto" w:fill="auto"/>
            <w:noWrap/>
            <w:vAlign w:val="center"/>
            <w:hideMark/>
          </w:tcPr>
          <w:p w:rsidR="007D13F3" w:rsidRPr="00B33BEC" w:rsidRDefault="007D13F3" w:rsidP="00465CAC">
            <w:pPr>
              <w:jc w:val="right"/>
              <w:rPr>
                <w:rFonts w:ascii="Times New Roman" w:hAnsi="Times New Roman" w:cs="Times New Roman"/>
                <w:color w:val="000000"/>
                <w:sz w:val="14"/>
                <w:szCs w:val="14"/>
                <w:lang w:eastAsia="sk-SK"/>
              </w:rPr>
            </w:pPr>
            <w:r w:rsidRPr="00B33BEC">
              <w:rPr>
                <w:rFonts w:ascii="Times New Roman" w:hAnsi="Times New Roman" w:cs="Times New Roman"/>
                <w:color w:val="000000"/>
                <w:sz w:val="14"/>
                <w:szCs w:val="14"/>
                <w:lang w:eastAsia="sk-SK"/>
              </w:rPr>
              <w:t>14 448</w:t>
            </w:r>
          </w:p>
        </w:tc>
      </w:tr>
    </w:tbl>
    <w:p w:rsidR="007D13F3" w:rsidRDefault="007D13F3" w:rsidP="007D13F3">
      <w:pPr>
        <w:ind w:firstLine="708"/>
        <w:jc w:val="both"/>
        <w:rPr>
          <w:rFonts w:ascii="Times New Roman" w:hAnsi="Times New Roman" w:cs="Times New Roman"/>
        </w:rPr>
      </w:pPr>
    </w:p>
    <w:p w:rsidR="007D13F3" w:rsidRPr="00CA1B83" w:rsidRDefault="007D13F3" w:rsidP="007D13F3">
      <w:pPr>
        <w:ind w:firstLine="708"/>
        <w:jc w:val="both"/>
        <w:rPr>
          <w:rFonts w:ascii="Times New Roman" w:hAnsi="Times New Roman" w:cs="Times New Roman"/>
        </w:rPr>
      </w:pPr>
      <w:r w:rsidRPr="00CA1B83">
        <w:rPr>
          <w:rFonts w:ascii="Times New Roman" w:hAnsi="Times New Roman" w:cs="Times New Roman"/>
        </w:rPr>
        <w:t xml:space="preserve">Celkové výdavky na väzenstvo sú </w:t>
      </w:r>
      <w:r w:rsidR="002D230D">
        <w:rPr>
          <w:rFonts w:ascii="Times New Roman" w:hAnsi="Times New Roman" w:cs="Times New Roman"/>
        </w:rPr>
        <w:t>znížené</w:t>
      </w:r>
      <w:r w:rsidRPr="00CA1B83">
        <w:rPr>
          <w:rFonts w:ascii="Times New Roman" w:hAnsi="Times New Roman" w:cs="Times New Roman"/>
        </w:rPr>
        <w:t xml:space="preserve"> o kapitálové výdavky na nové kapacity ústavov, ktoré sa vytvoria prostredníctvom rozpočtovaných investičných nákladov na rekonštrukciu ústavov väzenstva a o dotáciu na osobitný účet väzenstva, ktorá je rozpočtovaná z titulu zabezpečenia vyrovnaného hospodárenia Zboru väzenskej a justičnej stráže. Základné výdavky väzenstva sa prepočítavajú na priemerné počty obvinených a odsúdených osôb, z čoho vyplývajú základné výdavky na väzňa.</w:t>
      </w:r>
    </w:p>
    <w:p w:rsidR="007D13F3" w:rsidRPr="001E25AA" w:rsidRDefault="007D13F3" w:rsidP="007D13F3">
      <w:pPr>
        <w:jc w:val="both"/>
        <w:rPr>
          <w:rFonts w:ascii="Times New Roman" w:hAnsi="Times New Roman" w:cs="Times New Roman"/>
          <w:highlight w:val="yellow"/>
        </w:rPr>
      </w:pPr>
    </w:p>
    <w:p w:rsidR="007D13F3" w:rsidRDefault="007D13F3" w:rsidP="007D13F3">
      <w:pPr>
        <w:jc w:val="both"/>
        <w:rPr>
          <w:rFonts w:ascii="Times New Roman" w:hAnsi="Times New Roman" w:cs="Times New Roman"/>
        </w:rPr>
      </w:pPr>
      <w:r w:rsidRPr="002015B2">
        <w:rPr>
          <w:rFonts w:ascii="Times New Roman" w:hAnsi="Times New Roman" w:cs="Times New Roman"/>
        </w:rPr>
        <w:tab/>
        <w:t xml:space="preserve">V oblasti väzenstva treba venovať zvýšenú pozornosť problematike osobitného účtu v zmysle zákona č. 328/2002 Z. z. o sociálnom zabezpečení policajtov a vojakov, ktorý slúži na zabezpečenie sociálnych nárokov príslušníkov </w:t>
      </w:r>
      <w:r>
        <w:rPr>
          <w:rFonts w:ascii="Times New Roman" w:hAnsi="Times New Roman" w:cs="Times New Roman"/>
        </w:rPr>
        <w:t xml:space="preserve">Zboru </w:t>
      </w:r>
      <w:r w:rsidRPr="002015B2">
        <w:rPr>
          <w:rFonts w:ascii="Times New Roman" w:hAnsi="Times New Roman" w:cs="Times New Roman"/>
        </w:rPr>
        <w:t>väzens</w:t>
      </w:r>
      <w:r>
        <w:rPr>
          <w:rFonts w:ascii="Times New Roman" w:hAnsi="Times New Roman" w:cs="Times New Roman"/>
        </w:rPr>
        <w:t>kej</w:t>
      </w:r>
      <w:r w:rsidRPr="002015B2">
        <w:rPr>
          <w:rFonts w:ascii="Times New Roman" w:hAnsi="Times New Roman" w:cs="Times New Roman"/>
        </w:rPr>
        <w:t xml:space="preserve"> a justičnej stráže.</w:t>
      </w:r>
      <w:r w:rsidRPr="00FA6BC4">
        <w:rPr>
          <w:rFonts w:ascii="Times New Roman" w:hAnsi="Times New Roman" w:cs="Times New Roman"/>
        </w:rPr>
        <w:t xml:space="preserve"> </w:t>
      </w:r>
    </w:p>
    <w:p w:rsidR="007D13F3" w:rsidRDefault="007D13F3" w:rsidP="007D13F3">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252"/>
        <w:gridCol w:w="974"/>
        <w:gridCol w:w="973"/>
        <w:gridCol w:w="973"/>
        <w:gridCol w:w="973"/>
        <w:gridCol w:w="973"/>
        <w:gridCol w:w="973"/>
        <w:gridCol w:w="971"/>
      </w:tblGrid>
      <w:tr w:rsidR="007D13F3" w:rsidRPr="00643935" w:rsidTr="00465CAC">
        <w:trPr>
          <w:trHeight w:hRule="exact" w:val="255"/>
        </w:trPr>
        <w:tc>
          <w:tcPr>
            <w:tcW w:w="124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643935" w:rsidRDefault="007D13F3" w:rsidP="00465CAC">
            <w:pPr>
              <w:rPr>
                <w:rFonts w:ascii="Times New Roman" w:hAnsi="Times New Roman" w:cs="Times New Roman"/>
                <w:b/>
                <w:bCs/>
                <w:color w:val="000000"/>
                <w:sz w:val="14"/>
                <w:szCs w:val="14"/>
                <w:lang w:eastAsia="sk-SK"/>
              </w:rPr>
            </w:pPr>
            <w:r w:rsidRPr="00643935">
              <w:rPr>
                <w:rFonts w:ascii="Times New Roman" w:hAnsi="Times New Roman" w:cs="Times New Roman"/>
                <w:b/>
                <w:bCs/>
                <w:color w:val="000000"/>
                <w:sz w:val="14"/>
                <w:szCs w:val="14"/>
                <w:lang w:eastAsia="sk-SK"/>
              </w:rPr>
              <w:t>Osobitný účet ZVJS  (v eurách)</w:t>
            </w:r>
          </w:p>
        </w:tc>
        <w:tc>
          <w:tcPr>
            <w:tcW w:w="53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43935" w:rsidRDefault="007D13F3" w:rsidP="00465CAC">
            <w:pPr>
              <w:jc w:val="center"/>
              <w:rPr>
                <w:rFonts w:ascii="Times New Roman" w:hAnsi="Times New Roman" w:cs="Times New Roman"/>
                <w:b/>
                <w:bCs/>
                <w:color w:val="000000"/>
                <w:sz w:val="14"/>
                <w:szCs w:val="14"/>
                <w:lang w:eastAsia="sk-SK"/>
              </w:rPr>
            </w:pPr>
            <w:r w:rsidRPr="00643935">
              <w:rPr>
                <w:rFonts w:ascii="Times New Roman" w:hAnsi="Times New Roman" w:cs="Times New Roman"/>
                <w:b/>
                <w:bCs/>
                <w:color w:val="000000"/>
                <w:sz w:val="14"/>
                <w:szCs w:val="14"/>
                <w:lang w:eastAsia="sk-SK"/>
              </w:rPr>
              <w:t>2015 S</w:t>
            </w:r>
          </w:p>
        </w:tc>
        <w:tc>
          <w:tcPr>
            <w:tcW w:w="53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43935" w:rsidRDefault="007D13F3" w:rsidP="00465CAC">
            <w:pPr>
              <w:jc w:val="center"/>
              <w:rPr>
                <w:rFonts w:ascii="Times New Roman" w:hAnsi="Times New Roman" w:cs="Times New Roman"/>
                <w:b/>
                <w:bCs/>
                <w:color w:val="000000"/>
                <w:sz w:val="14"/>
                <w:szCs w:val="14"/>
                <w:lang w:eastAsia="sk-SK"/>
              </w:rPr>
            </w:pPr>
            <w:r w:rsidRPr="00643935">
              <w:rPr>
                <w:rFonts w:ascii="Times New Roman" w:hAnsi="Times New Roman" w:cs="Times New Roman"/>
                <w:b/>
                <w:bCs/>
                <w:color w:val="000000"/>
                <w:sz w:val="14"/>
                <w:szCs w:val="14"/>
                <w:lang w:eastAsia="sk-SK"/>
              </w:rPr>
              <w:t>2016 R</w:t>
            </w:r>
          </w:p>
        </w:tc>
        <w:tc>
          <w:tcPr>
            <w:tcW w:w="53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43935" w:rsidRDefault="007D13F3" w:rsidP="00465CAC">
            <w:pPr>
              <w:jc w:val="center"/>
              <w:rPr>
                <w:rFonts w:ascii="Times New Roman" w:hAnsi="Times New Roman" w:cs="Times New Roman"/>
                <w:b/>
                <w:bCs/>
                <w:color w:val="000000"/>
                <w:sz w:val="14"/>
                <w:szCs w:val="14"/>
                <w:lang w:eastAsia="sk-SK"/>
              </w:rPr>
            </w:pPr>
            <w:r w:rsidRPr="00643935">
              <w:rPr>
                <w:rFonts w:ascii="Times New Roman" w:hAnsi="Times New Roman" w:cs="Times New Roman"/>
                <w:b/>
                <w:bCs/>
                <w:color w:val="000000"/>
                <w:sz w:val="14"/>
                <w:szCs w:val="14"/>
                <w:lang w:eastAsia="sk-SK"/>
              </w:rPr>
              <w:t>2017</w:t>
            </w:r>
          </w:p>
        </w:tc>
        <w:tc>
          <w:tcPr>
            <w:tcW w:w="53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43935" w:rsidRDefault="007D13F3" w:rsidP="002D230D">
            <w:pPr>
              <w:jc w:val="center"/>
              <w:rPr>
                <w:rFonts w:ascii="Times New Roman" w:hAnsi="Times New Roman" w:cs="Times New Roman"/>
                <w:b/>
                <w:bCs/>
                <w:color w:val="000000"/>
                <w:sz w:val="14"/>
                <w:szCs w:val="14"/>
                <w:lang w:eastAsia="sk-SK"/>
              </w:rPr>
            </w:pPr>
            <w:r w:rsidRPr="00643935">
              <w:rPr>
                <w:rFonts w:ascii="Times New Roman" w:hAnsi="Times New Roman" w:cs="Times New Roman"/>
                <w:b/>
                <w:bCs/>
                <w:color w:val="000000"/>
                <w:sz w:val="14"/>
                <w:szCs w:val="14"/>
                <w:lang w:eastAsia="sk-SK"/>
              </w:rPr>
              <w:t xml:space="preserve">2017 </w:t>
            </w:r>
            <w:r w:rsidR="002D230D">
              <w:rPr>
                <w:rFonts w:ascii="Times New Roman" w:hAnsi="Times New Roman" w:cs="Times New Roman"/>
                <w:b/>
                <w:bCs/>
                <w:color w:val="000000"/>
                <w:sz w:val="14"/>
                <w:szCs w:val="14"/>
                <w:lang w:eastAsia="sk-SK"/>
              </w:rPr>
              <w:t>OS</w:t>
            </w:r>
          </w:p>
        </w:tc>
        <w:tc>
          <w:tcPr>
            <w:tcW w:w="53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43935" w:rsidRDefault="007D13F3" w:rsidP="00465CAC">
            <w:pPr>
              <w:jc w:val="center"/>
              <w:rPr>
                <w:rFonts w:ascii="Times New Roman" w:hAnsi="Times New Roman" w:cs="Times New Roman"/>
                <w:b/>
                <w:bCs/>
                <w:color w:val="000000"/>
                <w:sz w:val="14"/>
                <w:szCs w:val="14"/>
                <w:lang w:eastAsia="sk-SK"/>
              </w:rPr>
            </w:pPr>
            <w:r w:rsidRPr="00643935">
              <w:rPr>
                <w:rFonts w:ascii="Times New Roman" w:hAnsi="Times New Roman" w:cs="Times New Roman"/>
                <w:b/>
                <w:bCs/>
                <w:color w:val="000000"/>
                <w:sz w:val="14"/>
                <w:szCs w:val="14"/>
                <w:lang w:eastAsia="sk-SK"/>
              </w:rPr>
              <w:t>2018 N</w:t>
            </w:r>
          </w:p>
        </w:tc>
        <w:tc>
          <w:tcPr>
            <w:tcW w:w="53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43935" w:rsidRDefault="007D13F3" w:rsidP="00465CAC">
            <w:pPr>
              <w:jc w:val="center"/>
              <w:rPr>
                <w:rFonts w:ascii="Times New Roman" w:hAnsi="Times New Roman" w:cs="Times New Roman"/>
                <w:b/>
                <w:bCs/>
                <w:color w:val="000000"/>
                <w:sz w:val="14"/>
                <w:szCs w:val="14"/>
                <w:lang w:eastAsia="sk-SK"/>
              </w:rPr>
            </w:pPr>
            <w:r w:rsidRPr="00643935">
              <w:rPr>
                <w:rFonts w:ascii="Times New Roman" w:hAnsi="Times New Roman" w:cs="Times New Roman"/>
                <w:b/>
                <w:bCs/>
                <w:color w:val="000000"/>
                <w:sz w:val="14"/>
                <w:szCs w:val="14"/>
                <w:lang w:eastAsia="sk-SK"/>
              </w:rPr>
              <w:t>2019 N</w:t>
            </w:r>
          </w:p>
        </w:tc>
        <w:tc>
          <w:tcPr>
            <w:tcW w:w="53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643935" w:rsidRDefault="007D13F3" w:rsidP="00465CAC">
            <w:pPr>
              <w:jc w:val="center"/>
              <w:rPr>
                <w:rFonts w:ascii="Times New Roman" w:hAnsi="Times New Roman" w:cs="Times New Roman"/>
                <w:b/>
                <w:bCs/>
                <w:color w:val="000000"/>
                <w:sz w:val="14"/>
                <w:szCs w:val="14"/>
                <w:lang w:eastAsia="sk-SK"/>
              </w:rPr>
            </w:pPr>
            <w:r w:rsidRPr="00643935">
              <w:rPr>
                <w:rFonts w:ascii="Times New Roman" w:hAnsi="Times New Roman" w:cs="Times New Roman"/>
                <w:b/>
                <w:bCs/>
                <w:color w:val="000000"/>
                <w:sz w:val="14"/>
                <w:szCs w:val="14"/>
                <w:lang w:eastAsia="sk-SK"/>
              </w:rPr>
              <w:t>2020 N</w:t>
            </w:r>
          </w:p>
        </w:tc>
      </w:tr>
      <w:tr w:rsidR="007D13F3" w:rsidRPr="00643935" w:rsidTr="00465CAC">
        <w:trPr>
          <w:trHeight w:hRule="exact" w:val="255"/>
        </w:trPr>
        <w:tc>
          <w:tcPr>
            <w:tcW w:w="1242" w:type="pct"/>
            <w:tcBorders>
              <w:top w:val="nil"/>
              <w:left w:val="single" w:sz="4" w:space="0" w:color="auto"/>
              <w:bottom w:val="single" w:sz="4" w:space="0" w:color="auto"/>
              <w:right w:val="single" w:sz="4" w:space="0" w:color="auto"/>
            </w:tcBorders>
            <w:shd w:val="clear" w:color="auto" w:fill="auto"/>
            <w:noWrap/>
            <w:vAlign w:val="center"/>
            <w:hideMark/>
          </w:tcPr>
          <w:p w:rsidR="007D13F3" w:rsidRPr="00643935" w:rsidRDefault="007D13F3" w:rsidP="00465CAC">
            <w:pPr>
              <w:rPr>
                <w:rFonts w:ascii="Times New Roman" w:hAnsi="Times New Roman" w:cs="Times New Roman"/>
                <w:color w:val="000000"/>
                <w:sz w:val="14"/>
                <w:szCs w:val="14"/>
                <w:lang w:eastAsia="sk-SK"/>
              </w:rPr>
            </w:pPr>
            <w:r w:rsidRPr="00643935">
              <w:rPr>
                <w:rFonts w:ascii="Times New Roman" w:hAnsi="Times New Roman" w:cs="Times New Roman"/>
                <w:color w:val="000000"/>
                <w:sz w:val="14"/>
                <w:szCs w:val="14"/>
                <w:lang w:eastAsia="sk-SK"/>
              </w:rPr>
              <w:t>príjmy osobitného účtu</w:t>
            </w:r>
          </w:p>
        </w:tc>
        <w:tc>
          <w:tcPr>
            <w:tcW w:w="537" w:type="pct"/>
            <w:tcBorders>
              <w:top w:val="nil"/>
              <w:left w:val="nil"/>
              <w:bottom w:val="single" w:sz="4" w:space="0" w:color="auto"/>
              <w:right w:val="single" w:sz="4" w:space="0" w:color="auto"/>
            </w:tcBorders>
            <w:shd w:val="clear" w:color="auto" w:fill="auto"/>
            <w:noWrap/>
            <w:vAlign w:val="center"/>
            <w:hideMark/>
          </w:tcPr>
          <w:p w:rsidR="007D13F3" w:rsidRPr="00643935" w:rsidRDefault="007D13F3" w:rsidP="00465CAC">
            <w:pPr>
              <w:jc w:val="right"/>
              <w:rPr>
                <w:rFonts w:ascii="Times New Roman" w:hAnsi="Times New Roman" w:cs="Times New Roman"/>
                <w:color w:val="000000"/>
                <w:sz w:val="14"/>
                <w:szCs w:val="14"/>
                <w:lang w:eastAsia="sk-SK"/>
              </w:rPr>
            </w:pPr>
            <w:r w:rsidRPr="00643935">
              <w:rPr>
                <w:rFonts w:ascii="Times New Roman" w:hAnsi="Times New Roman" w:cs="Times New Roman"/>
                <w:color w:val="000000"/>
                <w:sz w:val="14"/>
                <w:szCs w:val="14"/>
                <w:lang w:eastAsia="sk-SK"/>
              </w:rPr>
              <w:t>22 255 370</w:t>
            </w:r>
          </w:p>
        </w:tc>
        <w:tc>
          <w:tcPr>
            <w:tcW w:w="537" w:type="pct"/>
            <w:tcBorders>
              <w:top w:val="nil"/>
              <w:left w:val="nil"/>
              <w:bottom w:val="single" w:sz="4" w:space="0" w:color="auto"/>
              <w:right w:val="single" w:sz="4" w:space="0" w:color="auto"/>
            </w:tcBorders>
            <w:shd w:val="clear" w:color="auto" w:fill="auto"/>
            <w:noWrap/>
            <w:vAlign w:val="center"/>
            <w:hideMark/>
          </w:tcPr>
          <w:p w:rsidR="007D13F3" w:rsidRPr="00643935" w:rsidRDefault="007D13F3" w:rsidP="00465CAC">
            <w:pPr>
              <w:jc w:val="right"/>
              <w:rPr>
                <w:rFonts w:ascii="Times New Roman" w:hAnsi="Times New Roman" w:cs="Times New Roman"/>
                <w:color w:val="000000"/>
                <w:sz w:val="14"/>
                <w:szCs w:val="14"/>
                <w:lang w:eastAsia="sk-SK"/>
              </w:rPr>
            </w:pPr>
            <w:r w:rsidRPr="00643935">
              <w:rPr>
                <w:rFonts w:ascii="Times New Roman" w:hAnsi="Times New Roman" w:cs="Times New Roman"/>
                <w:color w:val="000000"/>
                <w:sz w:val="14"/>
                <w:szCs w:val="14"/>
                <w:lang w:eastAsia="sk-SK"/>
              </w:rPr>
              <w:t>26 004 282</w:t>
            </w:r>
          </w:p>
        </w:tc>
        <w:tc>
          <w:tcPr>
            <w:tcW w:w="537" w:type="pct"/>
            <w:tcBorders>
              <w:top w:val="nil"/>
              <w:left w:val="nil"/>
              <w:bottom w:val="single" w:sz="4" w:space="0" w:color="auto"/>
              <w:right w:val="single" w:sz="4" w:space="0" w:color="auto"/>
            </w:tcBorders>
            <w:shd w:val="clear" w:color="auto" w:fill="auto"/>
            <w:noWrap/>
            <w:vAlign w:val="center"/>
            <w:hideMark/>
          </w:tcPr>
          <w:p w:rsidR="007D13F3" w:rsidRPr="00643935" w:rsidRDefault="007D13F3" w:rsidP="00465CAC">
            <w:pPr>
              <w:jc w:val="right"/>
              <w:rPr>
                <w:rFonts w:ascii="Times New Roman" w:hAnsi="Times New Roman" w:cs="Times New Roman"/>
                <w:color w:val="000000"/>
                <w:sz w:val="14"/>
                <w:szCs w:val="14"/>
                <w:lang w:eastAsia="sk-SK"/>
              </w:rPr>
            </w:pPr>
            <w:r w:rsidRPr="00643935">
              <w:rPr>
                <w:rFonts w:ascii="Times New Roman" w:hAnsi="Times New Roman" w:cs="Times New Roman"/>
                <w:color w:val="000000"/>
                <w:sz w:val="14"/>
                <w:szCs w:val="14"/>
                <w:lang w:eastAsia="sk-SK"/>
              </w:rPr>
              <w:t>27 748 650</w:t>
            </w:r>
          </w:p>
        </w:tc>
        <w:tc>
          <w:tcPr>
            <w:tcW w:w="537" w:type="pct"/>
            <w:tcBorders>
              <w:top w:val="nil"/>
              <w:left w:val="nil"/>
              <w:bottom w:val="single" w:sz="4" w:space="0" w:color="auto"/>
              <w:right w:val="single" w:sz="4" w:space="0" w:color="auto"/>
            </w:tcBorders>
            <w:shd w:val="clear" w:color="auto" w:fill="auto"/>
            <w:noWrap/>
            <w:vAlign w:val="center"/>
            <w:hideMark/>
          </w:tcPr>
          <w:p w:rsidR="007D13F3" w:rsidRPr="00643935" w:rsidRDefault="007D13F3" w:rsidP="00465CAC">
            <w:pPr>
              <w:jc w:val="right"/>
              <w:rPr>
                <w:rFonts w:ascii="Times New Roman" w:hAnsi="Times New Roman" w:cs="Times New Roman"/>
                <w:color w:val="000000"/>
                <w:sz w:val="14"/>
                <w:szCs w:val="14"/>
                <w:lang w:eastAsia="sk-SK"/>
              </w:rPr>
            </w:pPr>
            <w:r w:rsidRPr="00643935">
              <w:rPr>
                <w:rFonts w:ascii="Times New Roman" w:hAnsi="Times New Roman" w:cs="Times New Roman"/>
                <w:color w:val="000000"/>
                <w:sz w:val="14"/>
                <w:szCs w:val="14"/>
                <w:lang w:eastAsia="sk-SK"/>
              </w:rPr>
              <w:t>27 748 650</w:t>
            </w:r>
          </w:p>
        </w:tc>
        <w:tc>
          <w:tcPr>
            <w:tcW w:w="537" w:type="pct"/>
            <w:tcBorders>
              <w:top w:val="nil"/>
              <w:left w:val="nil"/>
              <w:bottom w:val="single" w:sz="4" w:space="0" w:color="auto"/>
              <w:right w:val="single" w:sz="4" w:space="0" w:color="auto"/>
            </w:tcBorders>
            <w:shd w:val="clear" w:color="auto" w:fill="auto"/>
            <w:noWrap/>
            <w:vAlign w:val="center"/>
            <w:hideMark/>
          </w:tcPr>
          <w:p w:rsidR="007D13F3" w:rsidRPr="00643935" w:rsidRDefault="007D13F3" w:rsidP="00465CAC">
            <w:pPr>
              <w:jc w:val="right"/>
              <w:rPr>
                <w:rFonts w:ascii="Times New Roman" w:hAnsi="Times New Roman" w:cs="Times New Roman"/>
                <w:color w:val="000000"/>
                <w:sz w:val="14"/>
                <w:szCs w:val="14"/>
                <w:lang w:eastAsia="sk-SK"/>
              </w:rPr>
            </w:pPr>
            <w:r w:rsidRPr="00643935">
              <w:rPr>
                <w:rFonts w:ascii="Times New Roman" w:hAnsi="Times New Roman" w:cs="Times New Roman"/>
                <w:color w:val="000000"/>
                <w:sz w:val="14"/>
                <w:szCs w:val="14"/>
                <w:lang w:eastAsia="sk-SK"/>
              </w:rPr>
              <w:t>30 980 624</w:t>
            </w:r>
          </w:p>
        </w:tc>
        <w:tc>
          <w:tcPr>
            <w:tcW w:w="537" w:type="pct"/>
            <w:tcBorders>
              <w:top w:val="nil"/>
              <w:left w:val="nil"/>
              <w:bottom w:val="single" w:sz="4" w:space="0" w:color="auto"/>
              <w:right w:val="single" w:sz="4" w:space="0" w:color="auto"/>
            </w:tcBorders>
            <w:shd w:val="clear" w:color="auto" w:fill="auto"/>
            <w:noWrap/>
            <w:vAlign w:val="center"/>
            <w:hideMark/>
          </w:tcPr>
          <w:p w:rsidR="007D13F3" w:rsidRPr="00643935" w:rsidRDefault="007D13F3" w:rsidP="00465CAC">
            <w:pPr>
              <w:jc w:val="right"/>
              <w:rPr>
                <w:rFonts w:ascii="Times New Roman" w:hAnsi="Times New Roman" w:cs="Times New Roman"/>
                <w:color w:val="000000"/>
                <w:sz w:val="14"/>
                <w:szCs w:val="14"/>
                <w:lang w:eastAsia="sk-SK"/>
              </w:rPr>
            </w:pPr>
            <w:r w:rsidRPr="00643935">
              <w:rPr>
                <w:rFonts w:ascii="Times New Roman" w:hAnsi="Times New Roman" w:cs="Times New Roman"/>
                <w:color w:val="000000"/>
                <w:sz w:val="14"/>
                <w:szCs w:val="14"/>
                <w:lang w:eastAsia="sk-SK"/>
              </w:rPr>
              <w:t>32 708 978</w:t>
            </w:r>
          </w:p>
        </w:tc>
        <w:tc>
          <w:tcPr>
            <w:tcW w:w="537" w:type="pct"/>
            <w:tcBorders>
              <w:top w:val="nil"/>
              <w:left w:val="nil"/>
              <w:bottom w:val="single" w:sz="4" w:space="0" w:color="auto"/>
              <w:right w:val="single" w:sz="4" w:space="0" w:color="auto"/>
            </w:tcBorders>
            <w:shd w:val="clear" w:color="auto" w:fill="auto"/>
            <w:noWrap/>
            <w:vAlign w:val="center"/>
            <w:hideMark/>
          </w:tcPr>
          <w:p w:rsidR="007D13F3" w:rsidRPr="00643935" w:rsidRDefault="007D13F3" w:rsidP="00465CAC">
            <w:pPr>
              <w:jc w:val="right"/>
              <w:rPr>
                <w:rFonts w:ascii="Times New Roman" w:hAnsi="Times New Roman" w:cs="Times New Roman"/>
                <w:color w:val="000000"/>
                <w:sz w:val="14"/>
                <w:szCs w:val="14"/>
                <w:lang w:eastAsia="sk-SK"/>
              </w:rPr>
            </w:pPr>
            <w:r w:rsidRPr="00643935">
              <w:rPr>
                <w:rFonts w:ascii="Times New Roman" w:hAnsi="Times New Roman" w:cs="Times New Roman"/>
                <w:color w:val="000000"/>
                <w:sz w:val="14"/>
                <w:szCs w:val="14"/>
                <w:lang w:eastAsia="sk-SK"/>
              </w:rPr>
              <w:t>34 427 782</w:t>
            </w:r>
          </w:p>
        </w:tc>
      </w:tr>
      <w:tr w:rsidR="007D13F3" w:rsidRPr="00643935" w:rsidTr="00465CAC">
        <w:trPr>
          <w:trHeight w:hRule="exact" w:val="255"/>
        </w:trPr>
        <w:tc>
          <w:tcPr>
            <w:tcW w:w="1242" w:type="pct"/>
            <w:tcBorders>
              <w:top w:val="nil"/>
              <w:left w:val="single" w:sz="4" w:space="0" w:color="auto"/>
              <w:bottom w:val="single" w:sz="4" w:space="0" w:color="auto"/>
              <w:right w:val="single" w:sz="4" w:space="0" w:color="auto"/>
            </w:tcBorders>
            <w:shd w:val="clear" w:color="auto" w:fill="auto"/>
            <w:noWrap/>
            <w:vAlign w:val="center"/>
            <w:hideMark/>
          </w:tcPr>
          <w:p w:rsidR="007D13F3" w:rsidRPr="00643935" w:rsidRDefault="007D13F3" w:rsidP="00465CAC">
            <w:pPr>
              <w:rPr>
                <w:rFonts w:ascii="Times New Roman" w:hAnsi="Times New Roman" w:cs="Times New Roman"/>
                <w:color w:val="000000"/>
                <w:sz w:val="14"/>
                <w:szCs w:val="14"/>
                <w:lang w:eastAsia="sk-SK"/>
              </w:rPr>
            </w:pPr>
            <w:r w:rsidRPr="00643935">
              <w:rPr>
                <w:rFonts w:ascii="Times New Roman" w:hAnsi="Times New Roman" w:cs="Times New Roman"/>
                <w:color w:val="000000"/>
                <w:sz w:val="14"/>
                <w:szCs w:val="14"/>
                <w:lang w:eastAsia="sk-SK"/>
              </w:rPr>
              <w:t>výdavky osobitného účtu</w:t>
            </w:r>
          </w:p>
        </w:tc>
        <w:tc>
          <w:tcPr>
            <w:tcW w:w="537" w:type="pct"/>
            <w:tcBorders>
              <w:top w:val="nil"/>
              <w:left w:val="nil"/>
              <w:bottom w:val="single" w:sz="4" w:space="0" w:color="auto"/>
              <w:right w:val="single" w:sz="4" w:space="0" w:color="auto"/>
            </w:tcBorders>
            <w:shd w:val="clear" w:color="auto" w:fill="auto"/>
            <w:vAlign w:val="center"/>
            <w:hideMark/>
          </w:tcPr>
          <w:p w:rsidR="007D13F3" w:rsidRPr="00643935" w:rsidRDefault="007D13F3" w:rsidP="00465CAC">
            <w:pPr>
              <w:jc w:val="right"/>
              <w:rPr>
                <w:rFonts w:ascii="Times New Roman" w:hAnsi="Times New Roman" w:cs="Times New Roman"/>
                <w:color w:val="000000"/>
                <w:sz w:val="14"/>
                <w:szCs w:val="14"/>
                <w:lang w:eastAsia="sk-SK"/>
              </w:rPr>
            </w:pPr>
            <w:r w:rsidRPr="00643935">
              <w:rPr>
                <w:rFonts w:ascii="Times New Roman" w:hAnsi="Times New Roman" w:cs="Times New Roman"/>
                <w:color w:val="000000"/>
                <w:sz w:val="14"/>
                <w:szCs w:val="14"/>
                <w:lang w:eastAsia="sk-SK"/>
              </w:rPr>
              <w:t>25 433 781</w:t>
            </w:r>
          </w:p>
        </w:tc>
        <w:tc>
          <w:tcPr>
            <w:tcW w:w="537" w:type="pct"/>
            <w:tcBorders>
              <w:top w:val="nil"/>
              <w:left w:val="nil"/>
              <w:bottom w:val="single" w:sz="4" w:space="0" w:color="auto"/>
              <w:right w:val="single" w:sz="4" w:space="0" w:color="auto"/>
            </w:tcBorders>
            <w:shd w:val="clear" w:color="auto" w:fill="auto"/>
            <w:vAlign w:val="center"/>
            <w:hideMark/>
          </w:tcPr>
          <w:p w:rsidR="007D13F3" w:rsidRPr="00643935" w:rsidRDefault="007D13F3" w:rsidP="00465CAC">
            <w:pPr>
              <w:jc w:val="right"/>
              <w:rPr>
                <w:rFonts w:ascii="Times New Roman" w:hAnsi="Times New Roman" w:cs="Times New Roman"/>
                <w:color w:val="000000"/>
                <w:sz w:val="14"/>
                <w:szCs w:val="14"/>
                <w:lang w:eastAsia="sk-SK"/>
              </w:rPr>
            </w:pPr>
            <w:r w:rsidRPr="00643935">
              <w:rPr>
                <w:rFonts w:ascii="Times New Roman" w:hAnsi="Times New Roman" w:cs="Times New Roman"/>
                <w:color w:val="000000"/>
                <w:sz w:val="14"/>
                <w:szCs w:val="14"/>
                <w:lang w:eastAsia="sk-SK"/>
              </w:rPr>
              <w:t>29 182 693</w:t>
            </w:r>
          </w:p>
        </w:tc>
        <w:tc>
          <w:tcPr>
            <w:tcW w:w="537" w:type="pct"/>
            <w:tcBorders>
              <w:top w:val="nil"/>
              <w:left w:val="nil"/>
              <w:bottom w:val="single" w:sz="4" w:space="0" w:color="auto"/>
              <w:right w:val="single" w:sz="4" w:space="0" w:color="auto"/>
            </w:tcBorders>
            <w:shd w:val="clear" w:color="auto" w:fill="auto"/>
            <w:vAlign w:val="center"/>
            <w:hideMark/>
          </w:tcPr>
          <w:p w:rsidR="007D13F3" w:rsidRPr="00643935" w:rsidRDefault="007D13F3" w:rsidP="00465CAC">
            <w:pPr>
              <w:jc w:val="right"/>
              <w:rPr>
                <w:rFonts w:ascii="Times New Roman" w:hAnsi="Times New Roman" w:cs="Times New Roman"/>
                <w:color w:val="000000"/>
                <w:sz w:val="14"/>
                <w:szCs w:val="14"/>
                <w:lang w:eastAsia="sk-SK"/>
              </w:rPr>
            </w:pPr>
            <w:r w:rsidRPr="00643935">
              <w:rPr>
                <w:rFonts w:ascii="Times New Roman" w:hAnsi="Times New Roman" w:cs="Times New Roman"/>
                <w:color w:val="000000"/>
                <w:sz w:val="14"/>
                <w:szCs w:val="14"/>
                <w:lang w:eastAsia="sk-SK"/>
              </w:rPr>
              <w:t>30 927 061</w:t>
            </w:r>
          </w:p>
        </w:tc>
        <w:tc>
          <w:tcPr>
            <w:tcW w:w="537" w:type="pct"/>
            <w:tcBorders>
              <w:top w:val="nil"/>
              <w:left w:val="nil"/>
              <w:bottom w:val="single" w:sz="4" w:space="0" w:color="auto"/>
              <w:right w:val="single" w:sz="4" w:space="0" w:color="auto"/>
            </w:tcBorders>
            <w:shd w:val="clear" w:color="auto" w:fill="auto"/>
            <w:vAlign w:val="center"/>
            <w:hideMark/>
          </w:tcPr>
          <w:p w:rsidR="007D13F3" w:rsidRPr="00643935" w:rsidRDefault="007D13F3" w:rsidP="00465CAC">
            <w:pPr>
              <w:jc w:val="right"/>
              <w:rPr>
                <w:rFonts w:ascii="Times New Roman" w:hAnsi="Times New Roman" w:cs="Times New Roman"/>
                <w:color w:val="000000"/>
                <w:sz w:val="14"/>
                <w:szCs w:val="14"/>
                <w:lang w:eastAsia="sk-SK"/>
              </w:rPr>
            </w:pPr>
            <w:r w:rsidRPr="00643935">
              <w:rPr>
                <w:rFonts w:ascii="Times New Roman" w:hAnsi="Times New Roman" w:cs="Times New Roman"/>
                <w:color w:val="000000"/>
                <w:sz w:val="14"/>
                <w:szCs w:val="14"/>
                <w:lang w:eastAsia="sk-SK"/>
              </w:rPr>
              <w:t>30 927 061</w:t>
            </w:r>
          </w:p>
        </w:tc>
        <w:tc>
          <w:tcPr>
            <w:tcW w:w="537" w:type="pct"/>
            <w:tcBorders>
              <w:top w:val="nil"/>
              <w:left w:val="nil"/>
              <w:bottom w:val="single" w:sz="4" w:space="0" w:color="auto"/>
              <w:right w:val="single" w:sz="4" w:space="0" w:color="auto"/>
            </w:tcBorders>
            <w:shd w:val="clear" w:color="auto" w:fill="auto"/>
            <w:vAlign w:val="center"/>
            <w:hideMark/>
          </w:tcPr>
          <w:p w:rsidR="007D13F3" w:rsidRPr="00643935" w:rsidRDefault="007D13F3" w:rsidP="00465CAC">
            <w:pPr>
              <w:jc w:val="right"/>
              <w:rPr>
                <w:rFonts w:ascii="Times New Roman" w:hAnsi="Times New Roman" w:cs="Times New Roman"/>
                <w:color w:val="000000"/>
                <w:sz w:val="14"/>
                <w:szCs w:val="14"/>
                <w:lang w:eastAsia="sk-SK"/>
              </w:rPr>
            </w:pPr>
            <w:r w:rsidRPr="00643935">
              <w:rPr>
                <w:rFonts w:ascii="Times New Roman" w:hAnsi="Times New Roman" w:cs="Times New Roman"/>
                <w:color w:val="000000"/>
                <w:sz w:val="14"/>
                <w:szCs w:val="14"/>
                <w:lang w:eastAsia="sk-SK"/>
              </w:rPr>
              <w:t>34 159 035</w:t>
            </w:r>
          </w:p>
        </w:tc>
        <w:tc>
          <w:tcPr>
            <w:tcW w:w="537" w:type="pct"/>
            <w:tcBorders>
              <w:top w:val="nil"/>
              <w:left w:val="nil"/>
              <w:bottom w:val="single" w:sz="4" w:space="0" w:color="auto"/>
              <w:right w:val="single" w:sz="4" w:space="0" w:color="auto"/>
            </w:tcBorders>
            <w:shd w:val="clear" w:color="auto" w:fill="auto"/>
            <w:vAlign w:val="center"/>
            <w:hideMark/>
          </w:tcPr>
          <w:p w:rsidR="007D13F3" w:rsidRPr="00643935" w:rsidRDefault="007D13F3" w:rsidP="00465CAC">
            <w:pPr>
              <w:jc w:val="right"/>
              <w:rPr>
                <w:rFonts w:ascii="Times New Roman" w:hAnsi="Times New Roman" w:cs="Times New Roman"/>
                <w:color w:val="000000"/>
                <w:sz w:val="14"/>
                <w:szCs w:val="14"/>
                <w:lang w:eastAsia="sk-SK"/>
              </w:rPr>
            </w:pPr>
            <w:r w:rsidRPr="00643935">
              <w:rPr>
                <w:rFonts w:ascii="Times New Roman" w:hAnsi="Times New Roman" w:cs="Times New Roman"/>
                <w:color w:val="000000"/>
                <w:sz w:val="14"/>
                <w:szCs w:val="14"/>
                <w:lang w:eastAsia="sk-SK"/>
              </w:rPr>
              <w:t>35 887 389</w:t>
            </w:r>
          </w:p>
        </w:tc>
        <w:tc>
          <w:tcPr>
            <w:tcW w:w="537" w:type="pct"/>
            <w:tcBorders>
              <w:top w:val="nil"/>
              <w:left w:val="nil"/>
              <w:bottom w:val="single" w:sz="4" w:space="0" w:color="auto"/>
              <w:right w:val="single" w:sz="4" w:space="0" w:color="auto"/>
            </w:tcBorders>
            <w:shd w:val="clear" w:color="auto" w:fill="auto"/>
            <w:vAlign w:val="center"/>
            <w:hideMark/>
          </w:tcPr>
          <w:p w:rsidR="007D13F3" w:rsidRPr="00643935" w:rsidRDefault="007D13F3" w:rsidP="00465CAC">
            <w:pPr>
              <w:jc w:val="right"/>
              <w:rPr>
                <w:rFonts w:ascii="Times New Roman" w:hAnsi="Times New Roman" w:cs="Times New Roman"/>
                <w:color w:val="000000"/>
                <w:sz w:val="14"/>
                <w:szCs w:val="14"/>
                <w:lang w:eastAsia="sk-SK"/>
              </w:rPr>
            </w:pPr>
            <w:r w:rsidRPr="00643935">
              <w:rPr>
                <w:rFonts w:ascii="Times New Roman" w:hAnsi="Times New Roman" w:cs="Times New Roman"/>
                <w:color w:val="000000"/>
                <w:sz w:val="14"/>
                <w:szCs w:val="14"/>
                <w:lang w:eastAsia="sk-SK"/>
              </w:rPr>
              <w:t>37 606 193</w:t>
            </w:r>
          </w:p>
        </w:tc>
      </w:tr>
      <w:tr w:rsidR="007D13F3" w:rsidRPr="00643935" w:rsidTr="00465CAC">
        <w:trPr>
          <w:trHeight w:hRule="exact" w:val="255"/>
        </w:trPr>
        <w:tc>
          <w:tcPr>
            <w:tcW w:w="1242" w:type="pct"/>
            <w:tcBorders>
              <w:top w:val="nil"/>
              <w:left w:val="single" w:sz="4" w:space="0" w:color="auto"/>
              <w:bottom w:val="single" w:sz="4" w:space="0" w:color="auto"/>
              <w:right w:val="single" w:sz="4" w:space="0" w:color="auto"/>
            </w:tcBorders>
            <w:shd w:val="clear" w:color="auto" w:fill="auto"/>
            <w:noWrap/>
            <w:vAlign w:val="center"/>
            <w:hideMark/>
          </w:tcPr>
          <w:p w:rsidR="007D13F3" w:rsidRPr="00643935" w:rsidRDefault="007D13F3" w:rsidP="00465CAC">
            <w:pPr>
              <w:rPr>
                <w:rFonts w:ascii="Times New Roman" w:hAnsi="Times New Roman" w:cs="Times New Roman"/>
                <w:b/>
                <w:bCs/>
                <w:color w:val="000000"/>
                <w:sz w:val="14"/>
                <w:szCs w:val="14"/>
                <w:lang w:eastAsia="sk-SK"/>
              </w:rPr>
            </w:pPr>
            <w:r w:rsidRPr="00643935">
              <w:rPr>
                <w:rFonts w:ascii="Times New Roman" w:hAnsi="Times New Roman" w:cs="Times New Roman"/>
                <w:b/>
                <w:bCs/>
                <w:color w:val="000000"/>
                <w:sz w:val="14"/>
                <w:szCs w:val="14"/>
                <w:lang w:eastAsia="sk-SK"/>
              </w:rPr>
              <w:t>Dotácia zo štátneho rozpočtu</w:t>
            </w:r>
          </w:p>
        </w:tc>
        <w:tc>
          <w:tcPr>
            <w:tcW w:w="537" w:type="pct"/>
            <w:tcBorders>
              <w:top w:val="nil"/>
              <w:left w:val="nil"/>
              <w:bottom w:val="single" w:sz="4" w:space="0" w:color="auto"/>
              <w:right w:val="single" w:sz="4" w:space="0" w:color="auto"/>
            </w:tcBorders>
            <w:shd w:val="clear" w:color="auto" w:fill="auto"/>
            <w:vAlign w:val="center"/>
            <w:hideMark/>
          </w:tcPr>
          <w:p w:rsidR="007D13F3" w:rsidRPr="00643935" w:rsidRDefault="007D13F3" w:rsidP="00465CAC">
            <w:pPr>
              <w:jc w:val="right"/>
              <w:rPr>
                <w:rFonts w:ascii="Times New Roman" w:hAnsi="Times New Roman" w:cs="Times New Roman"/>
                <w:b/>
                <w:bCs/>
                <w:color w:val="000000"/>
                <w:sz w:val="14"/>
                <w:szCs w:val="14"/>
                <w:lang w:eastAsia="sk-SK"/>
              </w:rPr>
            </w:pPr>
            <w:r w:rsidRPr="00643935">
              <w:rPr>
                <w:rFonts w:ascii="Times New Roman" w:hAnsi="Times New Roman" w:cs="Times New Roman"/>
                <w:b/>
                <w:bCs/>
                <w:color w:val="000000"/>
                <w:sz w:val="14"/>
                <w:szCs w:val="14"/>
                <w:lang w:eastAsia="sk-SK"/>
              </w:rPr>
              <w:t>3 178 411</w:t>
            </w:r>
          </w:p>
        </w:tc>
        <w:tc>
          <w:tcPr>
            <w:tcW w:w="537" w:type="pct"/>
            <w:tcBorders>
              <w:top w:val="nil"/>
              <w:left w:val="nil"/>
              <w:bottom w:val="single" w:sz="4" w:space="0" w:color="auto"/>
              <w:right w:val="single" w:sz="4" w:space="0" w:color="auto"/>
            </w:tcBorders>
            <w:shd w:val="clear" w:color="auto" w:fill="auto"/>
            <w:vAlign w:val="center"/>
            <w:hideMark/>
          </w:tcPr>
          <w:p w:rsidR="007D13F3" w:rsidRPr="00643935" w:rsidRDefault="007D13F3" w:rsidP="00465CAC">
            <w:pPr>
              <w:jc w:val="right"/>
              <w:rPr>
                <w:rFonts w:ascii="Times New Roman" w:hAnsi="Times New Roman" w:cs="Times New Roman"/>
                <w:b/>
                <w:bCs/>
                <w:color w:val="000000"/>
                <w:sz w:val="14"/>
                <w:szCs w:val="14"/>
                <w:lang w:eastAsia="sk-SK"/>
              </w:rPr>
            </w:pPr>
            <w:r w:rsidRPr="00643935">
              <w:rPr>
                <w:rFonts w:ascii="Times New Roman" w:hAnsi="Times New Roman" w:cs="Times New Roman"/>
                <w:b/>
                <w:bCs/>
                <w:color w:val="000000"/>
                <w:sz w:val="14"/>
                <w:szCs w:val="14"/>
                <w:lang w:eastAsia="sk-SK"/>
              </w:rPr>
              <w:t>3 178 411</w:t>
            </w:r>
          </w:p>
        </w:tc>
        <w:tc>
          <w:tcPr>
            <w:tcW w:w="537" w:type="pct"/>
            <w:tcBorders>
              <w:top w:val="nil"/>
              <w:left w:val="nil"/>
              <w:bottom w:val="single" w:sz="4" w:space="0" w:color="auto"/>
              <w:right w:val="single" w:sz="4" w:space="0" w:color="auto"/>
            </w:tcBorders>
            <w:shd w:val="clear" w:color="auto" w:fill="auto"/>
            <w:vAlign w:val="center"/>
            <w:hideMark/>
          </w:tcPr>
          <w:p w:rsidR="007D13F3" w:rsidRPr="00643935" w:rsidRDefault="007D13F3" w:rsidP="00465CAC">
            <w:pPr>
              <w:jc w:val="right"/>
              <w:rPr>
                <w:rFonts w:ascii="Times New Roman" w:hAnsi="Times New Roman" w:cs="Times New Roman"/>
                <w:b/>
                <w:bCs/>
                <w:color w:val="000000"/>
                <w:sz w:val="14"/>
                <w:szCs w:val="14"/>
                <w:lang w:eastAsia="sk-SK"/>
              </w:rPr>
            </w:pPr>
            <w:r w:rsidRPr="00643935">
              <w:rPr>
                <w:rFonts w:ascii="Times New Roman" w:hAnsi="Times New Roman" w:cs="Times New Roman"/>
                <w:b/>
                <w:bCs/>
                <w:color w:val="000000"/>
                <w:sz w:val="14"/>
                <w:szCs w:val="14"/>
                <w:lang w:eastAsia="sk-SK"/>
              </w:rPr>
              <w:t>3 178 411</w:t>
            </w:r>
          </w:p>
        </w:tc>
        <w:tc>
          <w:tcPr>
            <w:tcW w:w="537" w:type="pct"/>
            <w:tcBorders>
              <w:top w:val="nil"/>
              <w:left w:val="nil"/>
              <w:bottom w:val="single" w:sz="4" w:space="0" w:color="auto"/>
              <w:right w:val="single" w:sz="4" w:space="0" w:color="auto"/>
            </w:tcBorders>
            <w:shd w:val="clear" w:color="auto" w:fill="auto"/>
            <w:vAlign w:val="center"/>
            <w:hideMark/>
          </w:tcPr>
          <w:p w:rsidR="007D13F3" w:rsidRPr="00643935" w:rsidRDefault="007D13F3" w:rsidP="00465CAC">
            <w:pPr>
              <w:jc w:val="right"/>
              <w:rPr>
                <w:rFonts w:ascii="Times New Roman" w:hAnsi="Times New Roman" w:cs="Times New Roman"/>
                <w:b/>
                <w:bCs/>
                <w:color w:val="000000"/>
                <w:sz w:val="14"/>
                <w:szCs w:val="14"/>
                <w:lang w:eastAsia="sk-SK"/>
              </w:rPr>
            </w:pPr>
            <w:r w:rsidRPr="00643935">
              <w:rPr>
                <w:rFonts w:ascii="Times New Roman" w:hAnsi="Times New Roman" w:cs="Times New Roman"/>
                <w:b/>
                <w:bCs/>
                <w:color w:val="000000"/>
                <w:sz w:val="14"/>
                <w:szCs w:val="14"/>
                <w:lang w:eastAsia="sk-SK"/>
              </w:rPr>
              <w:t>3 178 411</w:t>
            </w:r>
          </w:p>
        </w:tc>
        <w:tc>
          <w:tcPr>
            <w:tcW w:w="537" w:type="pct"/>
            <w:tcBorders>
              <w:top w:val="nil"/>
              <w:left w:val="nil"/>
              <w:bottom w:val="single" w:sz="4" w:space="0" w:color="auto"/>
              <w:right w:val="single" w:sz="4" w:space="0" w:color="auto"/>
            </w:tcBorders>
            <w:shd w:val="clear" w:color="auto" w:fill="auto"/>
            <w:vAlign w:val="center"/>
            <w:hideMark/>
          </w:tcPr>
          <w:p w:rsidR="007D13F3" w:rsidRPr="00643935" w:rsidRDefault="007D13F3" w:rsidP="00465CAC">
            <w:pPr>
              <w:jc w:val="right"/>
              <w:rPr>
                <w:rFonts w:ascii="Times New Roman" w:hAnsi="Times New Roman" w:cs="Times New Roman"/>
                <w:b/>
                <w:bCs/>
                <w:color w:val="000000"/>
                <w:sz w:val="14"/>
                <w:szCs w:val="14"/>
                <w:lang w:eastAsia="sk-SK"/>
              </w:rPr>
            </w:pPr>
            <w:r w:rsidRPr="00643935">
              <w:rPr>
                <w:rFonts w:ascii="Times New Roman" w:hAnsi="Times New Roman" w:cs="Times New Roman"/>
                <w:b/>
                <w:bCs/>
                <w:color w:val="000000"/>
                <w:sz w:val="14"/>
                <w:szCs w:val="14"/>
                <w:lang w:eastAsia="sk-SK"/>
              </w:rPr>
              <w:t>3 178 411</w:t>
            </w:r>
          </w:p>
        </w:tc>
        <w:tc>
          <w:tcPr>
            <w:tcW w:w="537" w:type="pct"/>
            <w:tcBorders>
              <w:top w:val="nil"/>
              <w:left w:val="nil"/>
              <w:bottom w:val="single" w:sz="4" w:space="0" w:color="auto"/>
              <w:right w:val="single" w:sz="4" w:space="0" w:color="auto"/>
            </w:tcBorders>
            <w:shd w:val="clear" w:color="auto" w:fill="auto"/>
            <w:vAlign w:val="center"/>
            <w:hideMark/>
          </w:tcPr>
          <w:p w:rsidR="007D13F3" w:rsidRPr="00643935" w:rsidRDefault="007D13F3" w:rsidP="00465CAC">
            <w:pPr>
              <w:jc w:val="right"/>
              <w:rPr>
                <w:rFonts w:ascii="Times New Roman" w:hAnsi="Times New Roman" w:cs="Times New Roman"/>
                <w:b/>
                <w:bCs/>
                <w:color w:val="000000"/>
                <w:sz w:val="14"/>
                <w:szCs w:val="14"/>
                <w:lang w:eastAsia="sk-SK"/>
              </w:rPr>
            </w:pPr>
            <w:r w:rsidRPr="00643935">
              <w:rPr>
                <w:rFonts w:ascii="Times New Roman" w:hAnsi="Times New Roman" w:cs="Times New Roman"/>
                <w:b/>
                <w:bCs/>
                <w:color w:val="000000"/>
                <w:sz w:val="14"/>
                <w:szCs w:val="14"/>
                <w:lang w:eastAsia="sk-SK"/>
              </w:rPr>
              <w:t>3 178 411</w:t>
            </w:r>
          </w:p>
        </w:tc>
        <w:tc>
          <w:tcPr>
            <w:tcW w:w="537" w:type="pct"/>
            <w:tcBorders>
              <w:top w:val="nil"/>
              <w:left w:val="nil"/>
              <w:bottom w:val="single" w:sz="4" w:space="0" w:color="auto"/>
              <w:right w:val="single" w:sz="4" w:space="0" w:color="auto"/>
            </w:tcBorders>
            <w:shd w:val="clear" w:color="auto" w:fill="auto"/>
            <w:vAlign w:val="center"/>
            <w:hideMark/>
          </w:tcPr>
          <w:p w:rsidR="007D13F3" w:rsidRPr="00643935" w:rsidRDefault="007D13F3" w:rsidP="00465CAC">
            <w:pPr>
              <w:jc w:val="right"/>
              <w:rPr>
                <w:rFonts w:ascii="Times New Roman" w:hAnsi="Times New Roman" w:cs="Times New Roman"/>
                <w:b/>
                <w:bCs/>
                <w:color w:val="000000"/>
                <w:sz w:val="14"/>
                <w:szCs w:val="14"/>
                <w:lang w:eastAsia="sk-SK"/>
              </w:rPr>
            </w:pPr>
            <w:r w:rsidRPr="00643935">
              <w:rPr>
                <w:rFonts w:ascii="Times New Roman" w:hAnsi="Times New Roman" w:cs="Times New Roman"/>
                <w:b/>
                <w:bCs/>
                <w:color w:val="000000"/>
                <w:sz w:val="14"/>
                <w:szCs w:val="14"/>
                <w:lang w:eastAsia="sk-SK"/>
              </w:rPr>
              <w:t>3 178 411</w:t>
            </w:r>
          </w:p>
        </w:tc>
      </w:tr>
    </w:tbl>
    <w:p w:rsidR="007D13F3" w:rsidRDefault="007D13F3" w:rsidP="007D13F3">
      <w:pPr>
        <w:jc w:val="both"/>
        <w:rPr>
          <w:rFonts w:ascii="Times New Roman" w:hAnsi="Times New Roman" w:cs="Times New Roman"/>
        </w:rPr>
      </w:pPr>
    </w:p>
    <w:p w:rsidR="007D13F3" w:rsidRDefault="007D13F3" w:rsidP="007D13F3">
      <w:pPr>
        <w:tabs>
          <w:tab w:val="left" w:pos="360"/>
        </w:tabs>
        <w:jc w:val="both"/>
        <w:rPr>
          <w:rFonts w:ascii="Times New Roman" w:hAnsi="Times New Roman" w:cs="Times New Roman"/>
          <w:b/>
        </w:rPr>
      </w:pPr>
      <w:r w:rsidRPr="00643935">
        <w:rPr>
          <w:rFonts w:ascii="Times New Roman" w:hAnsi="Times New Roman" w:cs="Times New Roman"/>
          <w:b/>
        </w:rPr>
        <w:t>Súdnictvo</w:t>
      </w:r>
    </w:p>
    <w:p w:rsidR="007D13F3" w:rsidRDefault="007D13F3" w:rsidP="007D13F3">
      <w:pPr>
        <w:tabs>
          <w:tab w:val="left" w:pos="360"/>
        </w:tabs>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2692"/>
        <w:gridCol w:w="910"/>
        <w:gridCol w:w="910"/>
        <w:gridCol w:w="910"/>
        <w:gridCol w:w="910"/>
        <w:gridCol w:w="910"/>
        <w:gridCol w:w="910"/>
        <w:gridCol w:w="910"/>
      </w:tblGrid>
      <w:tr w:rsidR="007D13F3" w:rsidRPr="007B7BC3" w:rsidTr="00465CAC">
        <w:trPr>
          <w:trHeight w:hRule="exact" w:val="255"/>
        </w:trPr>
        <w:tc>
          <w:tcPr>
            <w:tcW w:w="148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7B7BC3" w:rsidRDefault="007D13F3" w:rsidP="00465CAC">
            <w:pPr>
              <w:rPr>
                <w:rFonts w:ascii="Times New Roman" w:hAnsi="Times New Roman" w:cs="Times New Roman"/>
                <w:b/>
                <w:bCs/>
                <w:color w:val="000000"/>
                <w:sz w:val="14"/>
                <w:szCs w:val="14"/>
                <w:lang w:eastAsia="sk-SK"/>
              </w:rPr>
            </w:pPr>
            <w:r w:rsidRPr="007B7BC3">
              <w:rPr>
                <w:rFonts w:ascii="Times New Roman" w:hAnsi="Times New Roman" w:cs="Times New Roman"/>
                <w:b/>
                <w:bCs/>
                <w:color w:val="000000"/>
                <w:sz w:val="14"/>
                <w:szCs w:val="14"/>
                <w:lang w:eastAsia="sk-SK"/>
              </w:rPr>
              <w:t> </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7B7BC3" w:rsidRDefault="007D13F3" w:rsidP="00465CAC">
            <w:pPr>
              <w:jc w:val="center"/>
              <w:rPr>
                <w:rFonts w:ascii="Times New Roman" w:hAnsi="Times New Roman" w:cs="Times New Roman"/>
                <w:b/>
                <w:bCs/>
                <w:color w:val="000000"/>
                <w:sz w:val="14"/>
                <w:szCs w:val="14"/>
                <w:lang w:eastAsia="sk-SK"/>
              </w:rPr>
            </w:pPr>
            <w:r w:rsidRPr="007B7BC3">
              <w:rPr>
                <w:rFonts w:ascii="Times New Roman" w:hAnsi="Times New Roman" w:cs="Times New Roman"/>
                <w:b/>
                <w:bCs/>
                <w:color w:val="000000"/>
                <w:sz w:val="14"/>
                <w:szCs w:val="14"/>
                <w:lang w:eastAsia="sk-SK"/>
              </w:rPr>
              <w:t>2015 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7B7BC3" w:rsidRDefault="007D13F3" w:rsidP="00465CAC">
            <w:pPr>
              <w:jc w:val="center"/>
              <w:rPr>
                <w:rFonts w:ascii="Times New Roman" w:hAnsi="Times New Roman" w:cs="Times New Roman"/>
                <w:b/>
                <w:bCs/>
                <w:color w:val="000000"/>
                <w:sz w:val="14"/>
                <w:szCs w:val="14"/>
                <w:lang w:eastAsia="sk-SK"/>
              </w:rPr>
            </w:pPr>
            <w:r w:rsidRPr="007B7BC3">
              <w:rPr>
                <w:rFonts w:ascii="Times New Roman" w:hAnsi="Times New Roman" w:cs="Times New Roman"/>
                <w:b/>
                <w:bCs/>
                <w:color w:val="000000"/>
                <w:sz w:val="14"/>
                <w:szCs w:val="14"/>
                <w:lang w:eastAsia="sk-SK"/>
              </w:rPr>
              <w:t>2016 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7B7BC3" w:rsidRDefault="007D13F3" w:rsidP="00465CAC">
            <w:pPr>
              <w:jc w:val="center"/>
              <w:rPr>
                <w:rFonts w:ascii="Times New Roman" w:hAnsi="Times New Roman" w:cs="Times New Roman"/>
                <w:b/>
                <w:bCs/>
                <w:color w:val="000000"/>
                <w:sz w:val="14"/>
                <w:szCs w:val="14"/>
                <w:lang w:eastAsia="sk-SK"/>
              </w:rPr>
            </w:pPr>
            <w:r w:rsidRPr="007B7BC3">
              <w:rPr>
                <w:rFonts w:ascii="Times New Roman" w:hAnsi="Times New Roman" w:cs="Times New Roman"/>
                <w:b/>
                <w:bCs/>
                <w:color w:val="000000"/>
                <w:sz w:val="14"/>
                <w:szCs w:val="14"/>
                <w:lang w:eastAsia="sk-SK"/>
              </w:rPr>
              <w:t>2017 R</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7B7BC3" w:rsidRDefault="007D13F3" w:rsidP="002D230D">
            <w:pPr>
              <w:jc w:val="center"/>
              <w:rPr>
                <w:rFonts w:ascii="Times New Roman" w:hAnsi="Times New Roman" w:cs="Times New Roman"/>
                <w:b/>
                <w:bCs/>
                <w:color w:val="000000"/>
                <w:sz w:val="14"/>
                <w:szCs w:val="14"/>
                <w:lang w:eastAsia="sk-SK"/>
              </w:rPr>
            </w:pPr>
            <w:r w:rsidRPr="007B7BC3">
              <w:rPr>
                <w:rFonts w:ascii="Times New Roman" w:hAnsi="Times New Roman" w:cs="Times New Roman"/>
                <w:b/>
                <w:bCs/>
                <w:color w:val="000000"/>
                <w:sz w:val="14"/>
                <w:szCs w:val="14"/>
                <w:lang w:eastAsia="sk-SK"/>
              </w:rPr>
              <w:t xml:space="preserve">2017 </w:t>
            </w:r>
            <w:r w:rsidR="002D230D">
              <w:rPr>
                <w:rFonts w:ascii="Times New Roman" w:hAnsi="Times New Roman" w:cs="Times New Roman"/>
                <w:b/>
                <w:bCs/>
                <w:color w:val="000000"/>
                <w:sz w:val="14"/>
                <w:szCs w:val="14"/>
                <w:lang w:eastAsia="sk-SK"/>
              </w:rPr>
              <w:t>OS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7B7BC3" w:rsidRDefault="007D13F3" w:rsidP="00465CAC">
            <w:pPr>
              <w:jc w:val="center"/>
              <w:rPr>
                <w:rFonts w:ascii="Times New Roman" w:hAnsi="Times New Roman" w:cs="Times New Roman"/>
                <w:b/>
                <w:bCs/>
                <w:color w:val="000000"/>
                <w:sz w:val="14"/>
                <w:szCs w:val="14"/>
                <w:lang w:eastAsia="sk-SK"/>
              </w:rPr>
            </w:pPr>
            <w:r w:rsidRPr="007B7BC3">
              <w:rPr>
                <w:rFonts w:ascii="Times New Roman" w:hAnsi="Times New Roman" w:cs="Times New Roman"/>
                <w:b/>
                <w:bCs/>
                <w:color w:val="000000"/>
                <w:sz w:val="14"/>
                <w:szCs w:val="14"/>
                <w:lang w:eastAsia="sk-SK"/>
              </w:rPr>
              <w:t>2018 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7B7BC3" w:rsidRDefault="007D13F3" w:rsidP="00465CAC">
            <w:pPr>
              <w:jc w:val="center"/>
              <w:rPr>
                <w:rFonts w:ascii="Times New Roman" w:hAnsi="Times New Roman" w:cs="Times New Roman"/>
                <w:b/>
                <w:bCs/>
                <w:color w:val="000000"/>
                <w:sz w:val="14"/>
                <w:szCs w:val="14"/>
                <w:lang w:eastAsia="sk-SK"/>
              </w:rPr>
            </w:pPr>
            <w:r w:rsidRPr="007B7BC3">
              <w:rPr>
                <w:rFonts w:ascii="Times New Roman" w:hAnsi="Times New Roman" w:cs="Times New Roman"/>
                <w:b/>
                <w:bCs/>
                <w:color w:val="000000"/>
                <w:sz w:val="14"/>
                <w:szCs w:val="14"/>
                <w:lang w:eastAsia="sk-SK"/>
              </w:rPr>
              <w:t>2019 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7B7BC3" w:rsidRDefault="007D13F3" w:rsidP="00465CAC">
            <w:pPr>
              <w:jc w:val="center"/>
              <w:rPr>
                <w:rFonts w:ascii="Times New Roman" w:hAnsi="Times New Roman" w:cs="Times New Roman"/>
                <w:b/>
                <w:bCs/>
                <w:color w:val="000000"/>
                <w:sz w:val="14"/>
                <w:szCs w:val="14"/>
                <w:lang w:eastAsia="sk-SK"/>
              </w:rPr>
            </w:pPr>
            <w:r w:rsidRPr="007B7BC3">
              <w:rPr>
                <w:rFonts w:ascii="Times New Roman" w:hAnsi="Times New Roman" w:cs="Times New Roman"/>
                <w:b/>
                <w:bCs/>
                <w:color w:val="000000"/>
                <w:sz w:val="14"/>
                <w:szCs w:val="14"/>
                <w:lang w:eastAsia="sk-SK"/>
              </w:rPr>
              <w:t>2020 N</w:t>
            </w:r>
          </w:p>
        </w:tc>
      </w:tr>
      <w:tr w:rsidR="007D13F3" w:rsidRPr="007B7BC3" w:rsidTr="00465CAC">
        <w:trPr>
          <w:trHeight w:hRule="exact" w:val="255"/>
        </w:trPr>
        <w:tc>
          <w:tcPr>
            <w:tcW w:w="1486"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7B7BC3" w:rsidRDefault="007D13F3" w:rsidP="00465CAC">
            <w:pPr>
              <w:rPr>
                <w:rFonts w:ascii="Times New Roman" w:hAnsi="Times New Roman" w:cs="Times New Roman"/>
                <w:b/>
                <w:bCs/>
                <w:color w:val="000000"/>
                <w:sz w:val="14"/>
                <w:szCs w:val="14"/>
                <w:lang w:eastAsia="sk-SK"/>
              </w:rPr>
            </w:pPr>
            <w:r w:rsidRPr="007B7BC3">
              <w:rPr>
                <w:rFonts w:ascii="Times New Roman" w:hAnsi="Times New Roman" w:cs="Times New Roman"/>
                <w:b/>
                <w:bCs/>
                <w:color w:val="000000"/>
                <w:sz w:val="14"/>
                <w:szCs w:val="14"/>
                <w:lang w:eastAsia="sk-SK"/>
              </w:rPr>
              <w:t>08P Súdnictvo</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B7BC3" w:rsidRDefault="007D13F3" w:rsidP="00465CAC">
            <w:pPr>
              <w:jc w:val="right"/>
              <w:rPr>
                <w:rFonts w:ascii="Times New Roman" w:hAnsi="Times New Roman" w:cs="Times New Roman"/>
                <w:b/>
                <w:bCs/>
                <w:color w:val="000000"/>
                <w:sz w:val="14"/>
                <w:szCs w:val="14"/>
                <w:lang w:eastAsia="sk-SK"/>
              </w:rPr>
            </w:pPr>
            <w:r w:rsidRPr="007B7BC3">
              <w:rPr>
                <w:rFonts w:ascii="Times New Roman" w:hAnsi="Times New Roman" w:cs="Times New Roman"/>
                <w:b/>
                <w:bCs/>
                <w:color w:val="000000"/>
                <w:sz w:val="14"/>
                <w:szCs w:val="14"/>
                <w:lang w:eastAsia="sk-SK"/>
              </w:rPr>
              <w:t>179 334 0</w:t>
            </w:r>
            <w:r>
              <w:rPr>
                <w:rFonts w:ascii="Times New Roman" w:hAnsi="Times New Roman" w:cs="Times New Roman"/>
                <w:b/>
                <w:bCs/>
                <w:color w:val="000000"/>
                <w:sz w:val="14"/>
                <w:szCs w:val="14"/>
                <w:lang w:eastAsia="sk-SK"/>
              </w:rPr>
              <w:t>95</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B7BC3" w:rsidRDefault="007D13F3" w:rsidP="00465CAC">
            <w:pPr>
              <w:jc w:val="right"/>
              <w:rPr>
                <w:rFonts w:ascii="Times New Roman" w:hAnsi="Times New Roman" w:cs="Times New Roman"/>
                <w:b/>
                <w:bCs/>
                <w:color w:val="000000"/>
                <w:sz w:val="14"/>
                <w:szCs w:val="14"/>
                <w:lang w:eastAsia="sk-SK"/>
              </w:rPr>
            </w:pPr>
            <w:r w:rsidRPr="007B7BC3">
              <w:rPr>
                <w:rFonts w:ascii="Times New Roman" w:hAnsi="Times New Roman" w:cs="Times New Roman"/>
                <w:b/>
                <w:bCs/>
                <w:color w:val="000000"/>
                <w:sz w:val="14"/>
                <w:szCs w:val="14"/>
                <w:lang w:eastAsia="sk-SK"/>
              </w:rPr>
              <w:t>185</w:t>
            </w:r>
            <w:r>
              <w:rPr>
                <w:rFonts w:ascii="Times New Roman" w:hAnsi="Times New Roman" w:cs="Times New Roman"/>
                <w:b/>
                <w:bCs/>
                <w:color w:val="000000"/>
                <w:sz w:val="14"/>
                <w:szCs w:val="14"/>
                <w:lang w:eastAsia="sk-SK"/>
              </w:rPr>
              <w:t> </w:t>
            </w:r>
            <w:r w:rsidRPr="007B7BC3">
              <w:rPr>
                <w:rFonts w:ascii="Times New Roman" w:hAnsi="Times New Roman" w:cs="Times New Roman"/>
                <w:b/>
                <w:bCs/>
                <w:color w:val="000000"/>
                <w:sz w:val="14"/>
                <w:szCs w:val="14"/>
                <w:lang w:eastAsia="sk-SK"/>
              </w:rPr>
              <w:t>8</w:t>
            </w:r>
            <w:r>
              <w:rPr>
                <w:rFonts w:ascii="Times New Roman" w:hAnsi="Times New Roman" w:cs="Times New Roman"/>
                <w:b/>
                <w:bCs/>
                <w:color w:val="000000"/>
                <w:sz w:val="14"/>
                <w:szCs w:val="14"/>
                <w:lang w:eastAsia="sk-SK"/>
              </w:rPr>
              <w:t>29 029</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B7BC3" w:rsidRDefault="007D13F3" w:rsidP="00465CAC">
            <w:pPr>
              <w:jc w:val="right"/>
              <w:rPr>
                <w:rFonts w:ascii="Times New Roman" w:hAnsi="Times New Roman" w:cs="Times New Roman"/>
                <w:b/>
                <w:bCs/>
                <w:color w:val="000000"/>
                <w:sz w:val="14"/>
                <w:szCs w:val="14"/>
                <w:lang w:eastAsia="sk-SK"/>
              </w:rPr>
            </w:pPr>
            <w:r w:rsidRPr="007B7BC3">
              <w:rPr>
                <w:rFonts w:ascii="Times New Roman" w:hAnsi="Times New Roman" w:cs="Times New Roman"/>
                <w:b/>
                <w:bCs/>
                <w:color w:val="000000"/>
                <w:sz w:val="14"/>
                <w:szCs w:val="14"/>
                <w:lang w:eastAsia="sk-SK"/>
              </w:rPr>
              <w:t>196 073 515</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B7BC3" w:rsidRDefault="007D13F3" w:rsidP="00465CAC">
            <w:pPr>
              <w:jc w:val="right"/>
              <w:rPr>
                <w:rFonts w:ascii="Times New Roman" w:hAnsi="Times New Roman" w:cs="Times New Roman"/>
                <w:b/>
                <w:bCs/>
                <w:color w:val="000000"/>
                <w:sz w:val="14"/>
                <w:szCs w:val="14"/>
                <w:lang w:eastAsia="sk-SK"/>
              </w:rPr>
            </w:pPr>
            <w:r w:rsidRPr="007B7BC3">
              <w:rPr>
                <w:rFonts w:ascii="Times New Roman" w:hAnsi="Times New Roman" w:cs="Times New Roman"/>
                <w:b/>
                <w:bCs/>
                <w:color w:val="000000"/>
                <w:sz w:val="14"/>
                <w:szCs w:val="14"/>
                <w:lang w:eastAsia="sk-SK"/>
              </w:rPr>
              <w:t>198 685 799</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B7BC3" w:rsidRDefault="007D13F3" w:rsidP="00465CAC">
            <w:pPr>
              <w:jc w:val="right"/>
              <w:rPr>
                <w:rFonts w:ascii="Times New Roman" w:hAnsi="Times New Roman" w:cs="Times New Roman"/>
                <w:b/>
                <w:bCs/>
                <w:color w:val="000000"/>
                <w:sz w:val="14"/>
                <w:szCs w:val="14"/>
                <w:lang w:eastAsia="sk-SK"/>
              </w:rPr>
            </w:pPr>
            <w:r w:rsidRPr="007B7BC3">
              <w:rPr>
                <w:rFonts w:ascii="Times New Roman" w:hAnsi="Times New Roman" w:cs="Times New Roman"/>
                <w:b/>
                <w:bCs/>
                <w:color w:val="000000"/>
                <w:sz w:val="14"/>
                <w:szCs w:val="14"/>
                <w:lang w:eastAsia="sk-SK"/>
              </w:rPr>
              <w:t>200 501 311</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B7BC3" w:rsidRDefault="007D13F3" w:rsidP="00465CAC">
            <w:pPr>
              <w:jc w:val="right"/>
              <w:rPr>
                <w:rFonts w:ascii="Times New Roman" w:hAnsi="Times New Roman" w:cs="Times New Roman"/>
                <w:b/>
                <w:bCs/>
                <w:color w:val="000000"/>
                <w:sz w:val="14"/>
                <w:szCs w:val="14"/>
                <w:lang w:eastAsia="sk-SK"/>
              </w:rPr>
            </w:pPr>
            <w:r w:rsidRPr="007B7BC3">
              <w:rPr>
                <w:rFonts w:ascii="Times New Roman" w:hAnsi="Times New Roman" w:cs="Times New Roman"/>
                <w:b/>
                <w:bCs/>
                <w:color w:val="000000"/>
                <w:sz w:val="14"/>
                <w:szCs w:val="14"/>
                <w:lang w:eastAsia="sk-SK"/>
              </w:rPr>
              <w:t>202 947 945</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7B7BC3" w:rsidRDefault="007D13F3" w:rsidP="00465CAC">
            <w:pPr>
              <w:jc w:val="right"/>
              <w:rPr>
                <w:rFonts w:ascii="Times New Roman" w:hAnsi="Times New Roman" w:cs="Times New Roman"/>
                <w:b/>
                <w:bCs/>
                <w:color w:val="000000"/>
                <w:sz w:val="14"/>
                <w:szCs w:val="14"/>
                <w:lang w:eastAsia="sk-SK"/>
              </w:rPr>
            </w:pPr>
            <w:r w:rsidRPr="007B7BC3">
              <w:rPr>
                <w:rFonts w:ascii="Times New Roman" w:hAnsi="Times New Roman" w:cs="Times New Roman"/>
                <w:b/>
                <w:bCs/>
                <w:color w:val="000000"/>
                <w:sz w:val="14"/>
                <w:szCs w:val="14"/>
                <w:lang w:eastAsia="sk-SK"/>
              </w:rPr>
              <w:t>207 116 729</w:t>
            </w:r>
          </w:p>
        </w:tc>
      </w:tr>
      <w:tr w:rsidR="007D13F3" w:rsidRPr="007B7BC3" w:rsidTr="00465CAC">
        <w:trPr>
          <w:trHeight w:hRule="exact" w:val="255"/>
        </w:trPr>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7D13F3" w:rsidRPr="007B7BC3" w:rsidRDefault="007D13F3" w:rsidP="00465CAC">
            <w:pPr>
              <w:rPr>
                <w:rFonts w:ascii="Times New Roman" w:hAnsi="Times New Roman" w:cs="Times New Roman"/>
                <w:sz w:val="14"/>
                <w:szCs w:val="14"/>
                <w:lang w:eastAsia="sk-SK"/>
              </w:rPr>
            </w:pPr>
            <w:r w:rsidRPr="007B7BC3">
              <w:rPr>
                <w:rFonts w:ascii="Times New Roman" w:hAnsi="Times New Roman" w:cs="Times New Roman"/>
                <w:sz w:val="14"/>
                <w:szCs w:val="14"/>
                <w:lang w:eastAsia="sk-SK"/>
              </w:rPr>
              <w:t>600 bežné výdavky</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 xml:space="preserve">171 778 </w:t>
            </w:r>
            <w:r>
              <w:rPr>
                <w:rFonts w:ascii="Times New Roman" w:hAnsi="Times New Roman" w:cs="Times New Roman"/>
                <w:sz w:val="14"/>
                <w:szCs w:val="14"/>
                <w:lang w:eastAsia="sk-SK"/>
              </w:rPr>
              <w:t>312</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179</w:t>
            </w:r>
            <w:r>
              <w:rPr>
                <w:rFonts w:ascii="Times New Roman" w:hAnsi="Times New Roman" w:cs="Times New Roman"/>
                <w:sz w:val="14"/>
                <w:szCs w:val="14"/>
                <w:lang w:eastAsia="sk-SK"/>
              </w:rPr>
              <w:t> </w:t>
            </w:r>
            <w:r w:rsidRPr="007B7BC3">
              <w:rPr>
                <w:rFonts w:ascii="Times New Roman" w:hAnsi="Times New Roman" w:cs="Times New Roman"/>
                <w:sz w:val="14"/>
                <w:szCs w:val="14"/>
                <w:lang w:eastAsia="sk-SK"/>
              </w:rPr>
              <w:t>43</w:t>
            </w:r>
            <w:r>
              <w:rPr>
                <w:rFonts w:ascii="Times New Roman" w:hAnsi="Times New Roman" w:cs="Times New Roman"/>
                <w:sz w:val="14"/>
                <w:szCs w:val="14"/>
                <w:lang w:eastAsia="sk-SK"/>
              </w:rPr>
              <w:t>6 283</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186 198 588</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190 513 731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195 219 193</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197 972 827</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202 141 611</w:t>
            </w:r>
          </w:p>
        </w:tc>
      </w:tr>
      <w:tr w:rsidR="007D13F3" w:rsidRPr="007B7BC3" w:rsidTr="00465CAC">
        <w:trPr>
          <w:trHeight w:hRule="exact" w:val="255"/>
        </w:trPr>
        <w:tc>
          <w:tcPr>
            <w:tcW w:w="1486" w:type="pct"/>
            <w:tcBorders>
              <w:top w:val="nil"/>
              <w:left w:val="single" w:sz="4" w:space="0" w:color="auto"/>
              <w:bottom w:val="single" w:sz="4" w:space="0" w:color="auto"/>
              <w:right w:val="single" w:sz="4" w:space="0" w:color="auto"/>
            </w:tcBorders>
            <w:shd w:val="clear" w:color="000000" w:fill="FFFFFF"/>
            <w:vAlign w:val="center"/>
            <w:hideMark/>
          </w:tcPr>
          <w:p w:rsidR="007D13F3" w:rsidRPr="007B7BC3" w:rsidRDefault="007D13F3" w:rsidP="00465CAC">
            <w:pPr>
              <w:rPr>
                <w:rFonts w:ascii="Times New Roman" w:hAnsi="Times New Roman" w:cs="Times New Roman"/>
                <w:sz w:val="14"/>
                <w:szCs w:val="14"/>
                <w:lang w:eastAsia="sk-SK"/>
              </w:rPr>
            </w:pPr>
            <w:r w:rsidRPr="007B7BC3">
              <w:rPr>
                <w:rFonts w:ascii="Times New Roman" w:hAnsi="Times New Roman" w:cs="Times New Roman"/>
                <w:sz w:val="14"/>
                <w:szCs w:val="14"/>
                <w:lang w:eastAsia="sk-SK"/>
              </w:rPr>
              <w:t>610 mzdy</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97 108 29</w:t>
            </w:r>
            <w:r>
              <w:rPr>
                <w:rFonts w:ascii="Times New Roman" w:hAnsi="Times New Roman" w:cs="Times New Roman"/>
                <w:sz w:val="14"/>
                <w:szCs w:val="14"/>
                <w:lang w:eastAsia="sk-SK"/>
              </w:rPr>
              <w:t>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102 363 615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105 341 795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109 133 096</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color w:val="000000"/>
                <w:sz w:val="14"/>
                <w:szCs w:val="14"/>
                <w:lang w:eastAsia="sk-SK"/>
              </w:rPr>
            </w:pPr>
            <w:r w:rsidRPr="007B7BC3">
              <w:rPr>
                <w:rFonts w:ascii="Times New Roman" w:hAnsi="Times New Roman" w:cs="Times New Roman"/>
                <w:color w:val="000000"/>
                <w:sz w:val="14"/>
                <w:szCs w:val="14"/>
                <w:lang w:eastAsia="sk-SK"/>
              </w:rPr>
              <w:t>112 444 174</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color w:val="000000"/>
                <w:sz w:val="14"/>
                <w:szCs w:val="14"/>
                <w:lang w:eastAsia="sk-SK"/>
              </w:rPr>
            </w:pPr>
            <w:r w:rsidRPr="007B7BC3">
              <w:rPr>
                <w:rFonts w:ascii="Times New Roman" w:hAnsi="Times New Roman" w:cs="Times New Roman"/>
                <w:color w:val="000000"/>
                <w:sz w:val="14"/>
                <w:szCs w:val="14"/>
                <w:lang w:eastAsia="sk-SK"/>
              </w:rPr>
              <w:t>114 992 405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color w:val="000000"/>
                <w:sz w:val="14"/>
                <w:szCs w:val="14"/>
                <w:lang w:eastAsia="sk-SK"/>
              </w:rPr>
            </w:pPr>
            <w:r w:rsidRPr="007B7BC3">
              <w:rPr>
                <w:rFonts w:ascii="Times New Roman" w:hAnsi="Times New Roman" w:cs="Times New Roman"/>
                <w:color w:val="000000"/>
                <w:sz w:val="14"/>
                <w:szCs w:val="14"/>
                <w:lang w:eastAsia="sk-SK"/>
              </w:rPr>
              <w:t>118 148 283</w:t>
            </w:r>
          </w:p>
        </w:tc>
      </w:tr>
      <w:tr w:rsidR="007D13F3" w:rsidRPr="007B7BC3" w:rsidTr="00465CAC">
        <w:trPr>
          <w:trHeight w:hRule="exact" w:val="255"/>
        </w:trPr>
        <w:tc>
          <w:tcPr>
            <w:tcW w:w="1486" w:type="pct"/>
            <w:tcBorders>
              <w:top w:val="nil"/>
              <w:left w:val="single" w:sz="4" w:space="0" w:color="auto"/>
              <w:bottom w:val="single" w:sz="4" w:space="0" w:color="auto"/>
              <w:right w:val="single" w:sz="4" w:space="0" w:color="auto"/>
            </w:tcBorders>
            <w:shd w:val="clear" w:color="000000" w:fill="FFFFFF"/>
            <w:vAlign w:val="center"/>
            <w:hideMark/>
          </w:tcPr>
          <w:p w:rsidR="007D13F3" w:rsidRPr="007B7BC3" w:rsidRDefault="007D13F3" w:rsidP="00465CAC">
            <w:pPr>
              <w:rPr>
                <w:rFonts w:ascii="Times New Roman" w:hAnsi="Times New Roman" w:cs="Times New Roman"/>
                <w:sz w:val="14"/>
                <w:szCs w:val="14"/>
                <w:lang w:eastAsia="sk-SK"/>
              </w:rPr>
            </w:pPr>
            <w:r w:rsidRPr="007B7BC3">
              <w:rPr>
                <w:rFonts w:ascii="Times New Roman" w:hAnsi="Times New Roman" w:cs="Times New Roman"/>
                <w:sz w:val="14"/>
                <w:szCs w:val="14"/>
                <w:lang w:eastAsia="sk-SK"/>
              </w:rPr>
              <w:t>620 odvody</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33 252 261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3</w:t>
            </w:r>
            <w:r>
              <w:rPr>
                <w:rFonts w:ascii="Times New Roman" w:hAnsi="Times New Roman" w:cs="Times New Roman"/>
                <w:sz w:val="14"/>
                <w:szCs w:val="14"/>
                <w:lang w:eastAsia="sk-SK"/>
              </w:rPr>
              <w:t>3 639 889</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34 396 366</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35 597 208</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color w:val="000000"/>
                <w:sz w:val="14"/>
                <w:szCs w:val="14"/>
                <w:lang w:eastAsia="sk-SK"/>
              </w:rPr>
            </w:pPr>
            <w:r w:rsidRPr="007B7BC3">
              <w:rPr>
                <w:rFonts w:ascii="Times New Roman" w:hAnsi="Times New Roman" w:cs="Times New Roman"/>
                <w:color w:val="000000"/>
                <w:sz w:val="14"/>
                <w:szCs w:val="14"/>
                <w:lang w:eastAsia="sk-SK"/>
              </w:rPr>
              <w:t>36 769 420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color w:val="000000"/>
                <w:sz w:val="14"/>
                <w:szCs w:val="14"/>
                <w:lang w:eastAsia="sk-SK"/>
              </w:rPr>
            </w:pPr>
            <w:r w:rsidRPr="007B7BC3">
              <w:rPr>
                <w:rFonts w:ascii="Times New Roman" w:hAnsi="Times New Roman" w:cs="Times New Roman"/>
                <w:color w:val="000000"/>
                <w:sz w:val="14"/>
                <w:szCs w:val="14"/>
                <w:lang w:eastAsia="sk-SK"/>
              </w:rPr>
              <w:t>37 587 053</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color w:val="000000"/>
                <w:sz w:val="14"/>
                <w:szCs w:val="14"/>
                <w:lang w:eastAsia="sk-SK"/>
              </w:rPr>
            </w:pPr>
            <w:r w:rsidRPr="007B7BC3">
              <w:rPr>
                <w:rFonts w:ascii="Times New Roman" w:hAnsi="Times New Roman" w:cs="Times New Roman"/>
                <w:color w:val="000000"/>
                <w:sz w:val="14"/>
                <w:szCs w:val="14"/>
                <w:lang w:eastAsia="sk-SK"/>
              </w:rPr>
              <w:t>38 599 631</w:t>
            </w:r>
          </w:p>
        </w:tc>
      </w:tr>
      <w:tr w:rsidR="007D13F3" w:rsidRPr="007B7BC3" w:rsidTr="00465CAC">
        <w:trPr>
          <w:trHeight w:hRule="exact" w:val="255"/>
        </w:trPr>
        <w:tc>
          <w:tcPr>
            <w:tcW w:w="1486" w:type="pct"/>
            <w:tcBorders>
              <w:top w:val="nil"/>
              <w:left w:val="single" w:sz="4" w:space="0" w:color="auto"/>
              <w:bottom w:val="single" w:sz="4" w:space="0" w:color="auto"/>
              <w:right w:val="single" w:sz="4" w:space="0" w:color="auto"/>
            </w:tcBorders>
            <w:shd w:val="clear" w:color="000000" w:fill="FFFFFF"/>
            <w:vAlign w:val="center"/>
            <w:hideMark/>
          </w:tcPr>
          <w:p w:rsidR="007D13F3" w:rsidRPr="007B7BC3" w:rsidRDefault="007D13F3" w:rsidP="00465CAC">
            <w:pPr>
              <w:rPr>
                <w:rFonts w:ascii="Times New Roman" w:hAnsi="Times New Roman" w:cs="Times New Roman"/>
                <w:sz w:val="14"/>
                <w:szCs w:val="14"/>
                <w:lang w:eastAsia="sk-SK"/>
              </w:rPr>
            </w:pPr>
            <w:r w:rsidRPr="007B7BC3">
              <w:rPr>
                <w:rFonts w:ascii="Times New Roman" w:hAnsi="Times New Roman" w:cs="Times New Roman"/>
                <w:sz w:val="14"/>
                <w:szCs w:val="14"/>
                <w:lang w:eastAsia="sk-SK"/>
              </w:rPr>
              <w:t>630 tovary a služby</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37 736 5</w:t>
            </w:r>
            <w:r>
              <w:rPr>
                <w:rFonts w:ascii="Times New Roman" w:hAnsi="Times New Roman" w:cs="Times New Roman"/>
                <w:sz w:val="14"/>
                <w:szCs w:val="14"/>
                <w:lang w:eastAsia="sk-SK"/>
              </w:rPr>
              <w:t>85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40</w:t>
            </w:r>
            <w:r>
              <w:rPr>
                <w:rFonts w:ascii="Times New Roman" w:hAnsi="Times New Roman" w:cs="Times New Roman"/>
                <w:sz w:val="14"/>
                <w:szCs w:val="14"/>
                <w:lang w:eastAsia="sk-SK"/>
              </w:rPr>
              <w:t> </w:t>
            </w:r>
            <w:r w:rsidRPr="007B7BC3">
              <w:rPr>
                <w:rFonts w:ascii="Times New Roman" w:hAnsi="Times New Roman" w:cs="Times New Roman"/>
                <w:sz w:val="14"/>
                <w:szCs w:val="14"/>
                <w:lang w:eastAsia="sk-SK"/>
              </w:rPr>
              <w:t>3</w:t>
            </w:r>
            <w:r>
              <w:rPr>
                <w:rFonts w:ascii="Times New Roman" w:hAnsi="Times New Roman" w:cs="Times New Roman"/>
                <w:sz w:val="14"/>
                <w:szCs w:val="14"/>
                <w:lang w:eastAsia="sk-SK"/>
              </w:rPr>
              <w:t>37 048</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38 164 909</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37 478 874</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color w:val="000000"/>
                <w:sz w:val="14"/>
                <w:szCs w:val="14"/>
                <w:lang w:eastAsia="sk-SK"/>
              </w:rPr>
            </w:pPr>
            <w:r w:rsidRPr="007B7BC3">
              <w:rPr>
                <w:rFonts w:ascii="Times New Roman" w:hAnsi="Times New Roman" w:cs="Times New Roman"/>
                <w:color w:val="000000"/>
                <w:sz w:val="14"/>
                <w:szCs w:val="14"/>
                <w:lang w:eastAsia="sk-SK"/>
              </w:rPr>
              <w:t>37 124 693</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color w:val="000000"/>
                <w:sz w:val="14"/>
                <w:szCs w:val="14"/>
                <w:lang w:eastAsia="sk-SK"/>
              </w:rPr>
            </w:pPr>
            <w:r w:rsidRPr="007B7BC3">
              <w:rPr>
                <w:rFonts w:ascii="Times New Roman" w:hAnsi="Times New Roman" w:cs="Times New Roman"/>
                <w:color w:val="000000"/>
                <w:sz w:val="14"/>
                <w:szCs w:val="14"/>
                <w:lang w:eastAsia="sk-SK"/>
              </w:rPr>
              <w:t>37 097 851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color w:val="000000"/>
                <w:sz w:val="14"/>
                <w:szCs w:val="14"/>
                <w:lang w:eastAsia="sk-SK"/>
              </w:rPr>
            </w:pPr>
            <w:r w:rsidRPr="007B7BC3">
              <w:rPr>
                <w:rFonts w:ascii="Times New Roman" w:hAnsi="Times New Roman" w:cs="Times New Roman"/>
                <w:color w:val="000000"/>
                <w:sz w:val="14"/>
                <w:szCs w:val="14"/>
                <w:lang w:eastAsia="sk-SK"/>
              </w:rPr>
              <w:t>37 098 179</w:t>
            </w:r>
          </w:p>
        </w:tc>
      </w:tr>
      <w:tr w:rsidR="007D13F3" w:rsidRPr="007B7BC3" w:rsidTr="00465CAC">
        <w:trPr>
          <w:trHeight w:hRule="exact" w:val="255"/>
        </w:trPr>
        <w:tc>
          <w:tcPr>
            <w:tcW w:w="1486" w:type="pct"/>
            <w:tcBorders>
              <w:top w:val="nil"/>
              <w:left w:val="single" w:sz="4" w:space="0" w:color="auto"/>
              <w:bottom w:val="single" w:sz="4" w:space="0" w:color="auto"/>
              <w:right w:val="single" w:sz="4" w:space="0" w:color="auto"/>
            </w:tcBorders>
            <w:shd w:val="clear" w:color="000000" w:fill="FFFFFF"/>
            <w:vAlign w:val="center"/>
            <w:hideMark/>
          </w:tcPr>
          <w:p w:rsidR="007D13F3" w:rsidRPr="007B7BC3" w:rsidRDefault="007D13F3" w:rsidP="00465CAC">
            <w:pPr>
              <w:rPr>
                <w:rFonts w:ascii="Times New Roman" w:hAnsi="Times New Roman" w:cs="Times New Roman"/>
                <w:sz w:val="14"/>
                <w:szCs w:val="14"/>
                <w:lang w:eastAsia="sk-SK"/>
              </w:rPr>
            </w:pPr>
            <w:r w:rsidRPr="007B7BC3">
              <w:rPr>
                <w:rFonts w:ascii="Times New Roman" w:hAnsi="Times New Roman" w:cs="Times New Roman"/>
                <w:sz w:val="14"/>
                <w:szCs w:val="14"/>
                <w:lang w:eastAsia="sk-SK"/>
              </w:rPr>
              <w:t>640 bežné transfery</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3 681 171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3 095 73</w:t>
            </w:r>
            <w:r>
              <w:rPr>
                <w:rFonts w:ascii="Times New Roman" w:hAnsi="Times New Roman" w:cs="Times New Roman"/>
                <w:sz w:val="14"/>
                <w:szCs w:val="14"/>
                <w:lang w:eastAsia="sk-SK"/>
              </w:rPr>
              <w:t>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8 295 518</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8 304 553</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color w:val="000000"/>
                <w:sz w:val="14"/>
                <w:szCs w:val="14"/>
                <w:lang w:eastAsia="sk-SK"/>
              </w:rPr>
            </w:pPr>
            <w:r w:rsidRPr="007B7BC3">
              <w:rPr>
                <w:rFonts w:ascii="Times New Roman" w:hAnsi="Times New Roman" w:cs="Times New Roman"/>
                <w:color w:val="000000"/>
                <w:sz w:val="14"/>
                <w:szCs w:val="14"/>
                <w:lang w:eastAsia="sk-SK"/>
              </w:rPr>
              <w:t>8 880 906</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color w:val="000000"/>
                <w:sz w:val="14"/>
                <w:szCs w:val="14"/>
                <w:lang w:eastAsia="sk-SK"/>
              </w:rPr>
            </w:pPr>
            <w:r w:rsidRPr="007B7BC3">
              <w:rPr>
                <w:rFonts w:ascii="Times New Roman" w:hAnsi="Times New Roman" w:cs="Times New Roman"/>
                <w:color w:val="000000"/>
                <w:sz w:val="14"/>
                <w:szCs w:val="14"/>
                <w:lang w:eastAsia="sk-SK"/>
              </w:rPr>
              <w:t>8 295 518</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color w:val="000000"/>
                <w:sz w:val="14"/>
                <w:szCs w:val="14"/>
                <w:lang w:eastAsia="sk-SK"/>
              </w:rPr>
            </w:pPr>
            <w:r w:rsidRPr="007B7BC3">
              <w:rPr>
                <w:rFonts w:ascii="Times New Roman" w:hAnsi="Times New Roman" w:cs="Times New Roman"/>
                <w:color w:val="000000"/>
                <w:sz w:val="14"/>
                <w:szCs w:val="14"/>
                <w:lang w:eastAsia="sk-SK"/>
              </w:rPr>
              <w:t>8 295 518</w:t>
            </w:r>
          </w:p>
        </w:tc>
      </w:tr>
      <w:tr w:rsidR="007D13F3" w:rsidRPr="007B7BC3" w:rsidTr="00465CAC">
        <w:trPr>
          <w:trHeight w:hRule="exact" w:val="255"/>
        </w:trPr>
        <w:tc>
          <w:tcPr>
            <w:tcW w:w="1486" w:type="pct"/>
            <w:tcBorders>
              <w:top w:val="nil"/>
              <w:left w:val="single" w:sz="4" w:space="0" w:color="auto"/>
              <w:bottom w:val="single" w:sz="4" w:space="0" w:color="auto"/>
              <w:right w:val="single" w:sz="4" w:space="0" w:color="auto"/>
            </w:tcBorders>
            <w:shd w:val="clear" w:color="000000" w:fill="FFFFFF"/>
            <w:vAlign w:val="center"/>
            <w:hideMark/>
          </w:tcPr>
          <w:p w:rsidR="007D13F3" w:rsidRPr="007B7BC3" w:rsidRDefault="007D13F3" w:rsidP="00465CAC">
            <w:pPr>
              <w:rPr>
                <w:rFonts w:ascii="Times New Roman" w:hAnsi="Times New Roman" w:cs="Times New Roman"/>
                <w:sz w:val="14"/>
                <w:szCs w:val="14"/>
                <w:lang w:eastAsia="sk-SK"/>
              </w:rPr>
            </w:pPr>
            <w:r w:rsidRPr="007B7BC3">
              <w:rPr>
                <w:rFonts w:ascii="Times New Roman" w:hAnsi="Times New Roman" w:cs="Times New Roman"/>
                <w:sz w:val="14"/>
                <w:szCs w:val="14"/>
                <w:lang w:eastAsia="sk-SK"/>
              </w:rPr>
              <w:t xml:space="preserve">700 kapitálové výdavky  </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7 555 783</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6 392 74</w:t>
            </w:r>
            <w:r>
              <w:rPr>
                <w:rFonts w:ascii="Times New Roman" w:hAnsi="Times New Roman" w:cs="Times New Roman"/>
                <w:sz w:val="14"/>
                <w:szCs w:val="14"/>
                <w:lang w:eastAsia="sk-SK"/>
              </w:rPr>
              <w:t>6</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9 874 927</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sz w:val="14"/>
                <w:szCs w:val="14"/>
                <w:lang w:eastAsia="sk-SK"/>
              </w:rPr>
            </w:pPr>
            <w:r w:rsidRPr="007B7BC3">
              <w:rPr>
                <w:rFonts w:ascii="Times New Roman" w:hAnsi="Times New Roman" w:cs="Times New Roman"/>
                <w:sz w:val="14"/>
                <w:szCs w:val="14"/>
                <w:lang w:eastAsia="sk-SK"/>
              </w:rPr>
              <w:t>8 172 068</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color w:val="000000"/>
                <w:sz w:val="14"/>
                <w:szCs w:val="14"/>
                <w:lang w:eastAsia="sk-SK"/>
              </w:rPr>
            </w:pPr>
            <w:r w:rsidRPr="007B7BC3">
              <w:rPr>
                <w:rFonts w:ascii="Times New Roman" w:hAnsi="Times New Roman" w:cs="Times New Roman"/>
                <w:color w:val="000000"/>
                <w:sz w:val="14"/>
                <w:szCs w:val="14"/>
                <w:lang w:eastAsia="sk-SK"/>
              </w:rPr>
              <w:t>5 282 118</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color w:val="000000"/>
                <w:sz w:val="14"/>
                <w:szCs w:val="14"/>
                <w:lang w:eastAsia="sk-SK"/>
              </w:rPr>
            </w:pPr>
            <w:r w:rsidRPr="007B7BC3">
              <w:rPr>
                <w:rFonts w:ascii="Times New Roman" w:hAnsi="Times New Roman" w:cs="Times New Roman"/>
                <w:color w:val="000000"/>
                <w:sz w:val="14"/>
                <w:szCs w:val="14"/>
                <w:lang w:eastAsia="sk-SK"/>
              </w:rPr>
              <w:t>4 975 118</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7B7BC3" w:rsidRDefault="007D13F3" w:rsidP="00465CAC">
            <w:pPr>
              <w:jc w:val="right"/>
              <w:rPr>
                <w:rFonts w:ascii="Times New Roman" w:hAnsi="Times New Roman" w:cs="Times New Roman"/>
                <w:color w:val="000000"/>
                <w:sz w:val="14"/>
                <w:szCs w:val="14"/>
                <w:lang w:eastAsia="sk-SK"/>
              </w:rPr>
            </w:pPr>
            <w:r w:rsidRPr="007B7BC3">
              <w:rPr>
                <w:rFonts w:ascii="Times New Roman" w:hAnsi="Times New Roman" w:cs="Times New Roman"/>
                <w:color w:val="000000"/>
                <w:sz w:val="14"/>
                <w:szCs w:val="14"/>
                <w:lang w:eastAsia="sk-SK"/>
              </w:rPr>
              <w:t>4 975 118</w:t>
            </w:r>
          </w:p>
        </w:tc>
      </w:tr>
    </w:tbl>
    <w:p w:rsidR="007D13F3" w:rsidRDefault="007D13F3" w:rsidP="007D13F3">
      <w:pPr>
        <w:tabs>
          <w:tab w:val="left" w:pos="360"/>
        </w:tabs>
        <w:jc w:val="both"/>
        <w:rPr>
          <w:rFonts w:ascii="Times New Roman" w:hAnsi="Times New Roman" w:cs="Times New Roman"/>
          <w:b/>
        </w:rPr>
      </w:pPr>
    </w:p>
    <w:p w:rsidR="007D13F3" w:rsidRDefault="007D13F3" w:rsidP="007D13F3">
      <w:pPr>
        <w:ind w:firstLine="708"/>
        <w:jc w:val="both"/>
        <w:rPr>
          <w:rFonts w:ascii="Times New Roman" w:hAnsi="Times New Roman" w:cs="Times New Roman"/>
        </w:rPr>
      </w:pPr>
      <w:r w:rsidRPr="002015B2">
        <w:rPr>
          <w:rFonts w:ascii="Times New Roman" w:hAnsi="Times New Roman" w:cs="Times New Roman"/>
        </w:rPr>
        <w:t xml:space="preserve">Na personálne a materiálno–technické zabezpečenie činnosti súdov, ostatných rozpočtových organizácií a na efektívny výkon okresných súdov, krajských súdov a Špecializovaného trestného súdu sa na rok 2018 rozpočtujú výdavky v sume </w:t>
      </w:r>
      <w:r>
        <w:rPr>
          <w:rFonts w:ascii="Times New Roman" w:hAnsi="Times New Roman" w:cs="Times New Roman"/>
        </w:rPr>
        <w:t>200</w:t>
      </w:r>
      <w:r w:rsidRPr="002015B2">
        <w:rPr>
          <w:rFonts w:ascii="Times New Roman" w:hAnsi="Times New Roman" w:cs="Times New Roman"/>
        </w:rPr>
        <w:t xml:space="preserve"> mil. eur. V porovnaní so schváleným rozpočtom na</w:t>
      </w:r>
      <w:r w:rsidR="008E30EC">
        <w:rPr>
          <w:rFonts w:ascii="Times New Roman" w:hAnsi="Times New Roman" w:cs="Times New Roman"/>
        </w:rPr>
        <w:t xml:space="preserve"> rok</w:t>
      </w:r>
      <w:r w:rsidRPr="002015B2">
        <w:rPr>
          <w:rFonts w:ascii="Times New Roman" w:hAnsi="Times New Roman" w:cs="Times New Roman"/>
        </w:rPr>
        <w:t xml:space="preserve"> 2017 sa na súdnictvo rozpočtujú výdavky </w:t>
      </w:r>
      <w:r>
        <w:rPr>
          <w:rFonts w:ascii="Times New Roman" w:hAnsi="Times New Roman" w:cs="Times New Roman"/>
        </w:rPr>
        <w:t>vyššie</w:t>
      </w:r>
      <w:r w:rsidRPr="002015B2">
        <w:rPr>
          <w:rFonts w:ascii="Times New Roman" w:hAnsi="Times New Roman" w:cs="Times New Roman"/>
        </w:rPr>
        <w:t xml:space="preserve"> o </w:t>
      </w:r>
      <w:r>
        <w:rPr>
          <w:rFonts w:ascii="Times New Roman" w:hAnsi="Times New Roman" w:cs="Times New Roman"/>
        </w:rPr>
        <w:t>4</w:t>
      </w:r>
      <w:r w:rsidRPr="002015B2">
        <w:rPr>
          <w:rFonts w:ascii="Times New Roman" w:hAnsi="Times New Roman" w:cs="Times New Roman"/>
        </w:rPr>
        <w:t>,</w:t>
      </w:r>
      <w:r>
        <w:rPr>
          <w:rFonts w:ascii="Times New Roman" w:hAnsi="Times New Roman" w:cs="Times New Roman"/>
        </w:rPr>
        <w:t xml:space="preserve">43 mil. </w:t>
      </w:r>
      <w:r w:rsidRPr="002015B2">
        <w:rPr>
          <w:rFonts w:ascii="Times New Roman" w:hAnsi="Times New Roman" w:cs="Times New Roman"/>
        </w:rPr>
        <w:t>eur, t. j. o </w:t>
      </w:r>
      <w:r>
        <w:rPr>
          <w:rFonts w:ascii="Times New Roman" w:hAnsi="Times New Roman" w:cs="Times New Roman"/>
        </w:rPr>
        <w:t>2</w:t>
      </w:r>
      <w:r w:rsidRPr="002015B2">
        <w:rPr>
          <w:rFonts w:ascii="Times New Roman" w:hAnsi="Times New Roman" w:cs="Times New Roman"/>
        </w:rPr>
        <w:t>,</w:t>
      </w:r>
      <w:r>
        <w:rPr>
          <w:rFonts w:ascii="Times New Roman" w:hAnsi="Times New Roman" w:cs="Times New Roman"/>
        </w:rPr>
        <w:t>26</w:t>
      </w:r>
      <w:r w:rsidRPr="002015B2">
        <w:rPr>
          <w:rFonts w:ascii="Times New Roman" w:hAnsi="Times New Roman" w:cs="Times New Roman"/>
        </w:rPr>
        <w:t xml:space="preserve"> %.</w:t>
      </w:r>
      <w:r>
        <w:rPr>
          <w:rFonts w:ascii="Times New Roman" w:hAnsi="Times New Roman" w:cs="Times New Roman"/>
        </w:rPr>
        <w:t xml:space="preserve"> Nárast je spôsobený hlavne rastom osobných výdavkov.</w:t>
      </w:r>
    </w:p>
    <w:p w:rsidR="007D13F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867A75">
        <w:rPr>
          <w:rFonts w:ascii="Times New Roman" w:hAnsi="Times New Roman" w:cs="Times New Roman"/>
        </w:rPr>
        <w:lastRenderedPageBreak/>
        <w:t>Osobné výdavky súdnictva na rok 2018 v sume 14</w:t>
      </w:r>
      <w:r>
        <w:rPr>
          <w:rFonts w:ascii="Times New Roman" w:hAnsi="Times New Roman" w:cs="Times New Roman"/>
        </w:rPr>
        <w:t>9</w:t>
      </w:r>
      <w:r w:rsidRPr="00867A75">
        <w:rPr>
          <w:rFonts w:ascii="Times New Roman" w:hAnsi="Times New Roman" w:cs="Times New Roman"/>
        </w:rPr>
        <w:t xml:space="preserve"> mil. eur sú medziročne vyššie </w:t>
      </w:r>
      <w:r w:rsidR="009C37FC">
        <w:rPr>
          <w:rFonts w:ascii="Times New Roman" w:hAnsi="Times New Roman" w:cs="Times New Roman"/>
        </w:rPr>
        <w:br/>
      </w:r>
      <w:r w:rsidRPr="00867A75">
        <w:rPr>
          <w:rFonts w:ascii="Times New Roman" w:hAnsi="Times New Roman" w:cs="Times New Roman"/>
        </w:rPr>
        <w:t>o </w:t>
      </w:r>
      <w:r>
        <w:rPr>
          <w:rFonts w:ascii="Times New Roman" w:hAnsi="Times New Roman" w:cs="Times New Roman"/>
        </w:rPr>
        <w:t>9</w:t>
      </w:r>
      <w:r w:rsidRPr="00867A75">
        <w:rPr>
          <w:rFonts w:ascii="Times New Roman" w:hAnsi="Times New Roman" w:cs="Times New Roman"/>
        </w:rPr>
        <w:t>,47 mil. eur, čo predstavuje nárast o </w:t>
      </w:r>
      <w:r>
        <w:rPr>
          <w:rFonts w:ascii="Times New Roman" w:hAnsi="Times New Roman" w:cs="Times New Roman"/>
        </w:rPr>
        <w:t>6</w:t>
      </w:r>
      <w:r w:rsidRPr="00867A75">
        <w:rPr>
          <w:rFonts w:ascii="Times New Roman" w:hAnsi="Times New Roman" w:cs="Times New Roman"/>
        </w:rPr>
        <w:t>,</w:t>
      </w:r>
      <w:r>
        <w:rPr>
          <w:rFonts w:ascii="Times New Roman" w:hAnsi="Times New Roman" w:cs="Times New Roman"/>
        </w:rPr>
        <w:t>78</w:t>
      </w:r>
      <w:r w:rsidRPr="00867A75">
        <w:rPr>
          <w:rFonts w:ascii="Times New Roman" w:hAnsi="Times New Roman" w:cs="Times New Roman"/>
        </w:rPr>
        <w:t xml:space="preserve"> %. Zvýšenie reaguje na dofinancovanie rozpočtu v súvislosti s úpravami platov sudcov a zvýšením platových taríf</w:t>
      </w:r>
      <w:r>
        <w:rPr>
          <w:rFonts w:ascii="Times New Roman" w:hAnsi="Times New Roman" w:cs="Times New Roman"/>
        </w:rPr>
        <w:t xml:space="preserve"> v </w:t>
      </w:r>
      <w:r w:rsidRPr="00867A75">
        <w:rPr>
          <w:rFonts w:ascii="Times New Roman" w:hAnsi="Times New Roman" w:cs="Times New Roman"/>
        </w:rPr>
        <w:t xml:space="preserve">roku 2017.  </w:t>
      </w:r>
    </w:p>
    <w:p w:rsidR="007D13F3" w:rsidRPr="001D4D75"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BA14EB">
        <w:rPr>
          <w:rFonts w:ascii="Times New Roman" w:hAnsi="Times New Roman" w:cs="Times New Roman"/>
        </w:rPr>
        <w:t xml:space="preserve">Tovary a služby súdnictva na rok 2018 oproti schválenému rozpočtu roku 2017 klesajú </w:t>
      </w:r>
      <w:r w:rsidRPr="00BA14EB">
        <w:rPr>
          <w:rFonts w:ascii="Times New Roman" w:hAnsi="Times New Roman" w:cs="Times New Roman"/>
        </w:rPr>
        <w:br/>
        <w:t xml:space="preserve">o 1,04 mil. eur (pokles o 2,73 %). </w:t>
      </w:r>
      <w:r w:rsidRPr="00A017CA">
        <w:rPr>
          <w:rFonts w:ascii="Times New Roman" w:hAnsi="Times New Roman" w:cs="Times New Roman"/>
        </w:rPr>
        <w:t xml:space="preserve">Pokles je spôsobený jednorazovým poskytnutím výdavkov v roku 2017 na realizáciu zákonov o </w:t>
      </w:r>
      <w:proofErr w:type="spellStart"/>
      <w:r w:rsidRPr="00A017CA">
        <w:rPr>
          <w:rFonts w:ascii="Times New Roman" w:hAnsi="Times New Roman" w:cs="Times New Roman"/>
        </w:rPr>
        <w:t>upomínacom</w:t>
      </w:r>
      <w:proofErr w:type="spellEnd"/>
      <w:r w:rsidRPr="00A017CA">
        <w:rPr>
          <w:rFonts w:ascii="Times New Roman" w:hAnsi="Times New Roman" w:cs="Times New Roman"/>
        </w:rPr>
        <w:t xml:space="preserve"> konaní, súdnych exekútoroch, o konkurze a reštrukturalizácii a na </w:t>
      </w:r>
      <w:proofErr w:type="spellStart"/>
      <w:r w:rsidRPr="00A017CA">
        <w:rPr>
          <w:rFonts w:ascii="Times New Roman" w:hAnsi="Times New Roman" w:cs="Times New Roman"/>
        </w:rPr>
        <w:t>protischránkový</w:t>
      </w:r>
      <w:proofErr w:type="spellEnd"/>
      <w:r w:rsidRPr="00A017CA">
        <w:rPr>
          <w:rFonts w:ascii="Times New Roman" w:hAnsi="Times New Roman" w:cs="Times New Roman"/>
        </w:rPr>
        <w:t xml:space="preserve"> zákon.</w:t>
      </w:r>
      <w:r>
        <w:rPr>
          <w:rFonts w:ascii="Times New Roman" w:hAnsi="Times New Roman" w:cs="Times New Roman"/>
        </w:rPr>
        <w:t xml:space="preserve"> </w:t>
      </w:r>
      <w:r w:rsidRPr="00BA14EB">
        <w:rPr>
          <w:rFonts w:ascii="Times New Roman" w:hAnsi="Times New Roman" w:cs="Times New Roman"/>
        </w:rPr>
        <w:t xml:space="preserve">Rozpočtové prostriedky zabezpečia bežnú prevádzkovú činnosť súdov, vrátane výdavkov na súdne konania. Na zabezpečenie výdavkov na súdne konania - advokátske služby-ex </w:t>
      </w:r>
      <w:proofErr w:type="spellStart"/>
      <w:r w:rsidRPr="00BA14EB">
        <w:rPr>
          <w:rFonts w:ascii="Times New Roman" w:hAnsi="Times New Roman" w:cs="Times New Roman"/>
        </w:rPr>
        <w:t>offo</w:t>
      </w:r>
      <w:proofErr w:type="spellEnd"/>
      <w:r w:rsidRPr="00BA14EB">
        <w:rPr>
          <w:rFonts w:ascii="Times New Roman" w:hAnsi="Times New Roman" w:cs="Times New Roman"/>
        </w:rPr>
        <w:t xml:space="preserve">, za znalecké posudky, notárske a exekútorské služby, tlmočnícku a prekladateľskú činnosť, úhradu výdavkov svedkom a prísediacim ministerstvo rozpísalo sumu 10,7 mil. eur, čo predstavuje úroveň roka 2017. Zostávajúce prostriedky v sume 26,4 mil. eur sú určené na realizáciu bežných prevádzkových výdavkov. </w:t>
      </w:r>
    </w:p>
    <w:p w:rsidR="007D13F3" w:rsidRPr="001E25AA" w:rsidRDefault="007D13F3" w:rsidP="007D13F3">
      <w:pPr>
        <w:ind w:firstLine="708"/>
        <w:jc w:val="both"/>
        <w:rPr>
          <w:rFonts w:ascii="Times New Roman" w:hAnsi="Times New Roman" w:cs="Times New Roman"/>
          <w:highlight w:val="yellow"/>
        </w:rPr>
      </w:pPr>
    </w:p>
    <w:p w:rsidR="007D13F3" w:rsidRPr="00200DC5" w:rsidRDefault="007D13F3" w:rsidP="007D13F3">
      <w:pPr>
        <w:ind w:firstLine="708"/>
        <w:jc w:val="both"/>
        <w:rPr>
          <w:rFonts w:ascii="Times New Roman" w:hAnsi="Times New Roman" w:cs="Times New Roman"/>
        </w:rPr>
      </w:pPr>
      <w:r w:rsidRPr="00200DC5">
        <w:rPr>
          <w:rFonts w:ascii="Times New Roman" w:hAnsi="Times New Roman" w:cs="Times New Roman"/>
        </w:rPr>
        <w:t xml:space="preserve">Bežné transfery na rok 2018 rastú o 585 tis. eur, t. j. o 7,06 %. Nárast je spôsobený rozpočtovaním odchodného a odstupného zamestnancov súdnictva v sume 585 tis. eur. Prostriedky sú určené na realizáciu nárokov podľa zákona č. 385/2000 Z. z. o sudcoch a prísediacich (príplatky k nemocenskému, k podpore pri ošetrení člena rodiny, k peňažnej pomoci v materstve, plat pri odchode do dôchodku). </w:t>
      </w:r>
    </w:p>
    <w:p w:rsidR="007D13F3" w:rsidRPr="001E25AA" w:rsidRDefault="007D13F3" w:rsidP="007D13F3">
      <w:pPr>
        <w:jc w:val="both"/>
        <w:rPr>
          <w:rFonts w:ascii="Times New Roman" w:hAnsi="Times New Roman" w:cs="Times New Roman"/>
          <w:highlight w:val="yellow"/>
        </w:rPr>
      </w:pPr>
    </w:p>
    <w:p w:rsidR="007D13F3" w:rsidRDefault="007D13F3" w:rsidP="007D13F3">
      <w:pPr>
        <w:ind w:firstLine="708"/>
        <w:jc w:val="both"/>
        <w:rPr>
          <w:rFonts w:ascii="Times New Roman" w:hAnsi="Times New Roman" w:cs="Times New Roman"/>
        </w:rPr>
      </w:pPr>
      <w:r w:rsidRPr="00200DC5">
        <w:rPr>
          <w:rFonts w:ascii="Times New Roman" w:hAnsi="Times New Roman" w:cs="Times New Roman"/>
        </w:rPr>
        <w:t xml:space="preserve">Kapitálové výdavky na rok 2018 sa rozpočtujú v sume </w:t>
      </w:r>
      <w:r>
        <w:rPr>
          <w:rFonts w:ascii="Times New Roman" w:hAnsi="Times New Roman" w:cs="Times New Roman"/>
        </w:rPr>
        <w:t>5</w:t>
      </w:r>
      <w:r w:rsidRPr="00200DC5">
        <w:rPr>
          <w:rFonts w:ascii="Times New Roman" w:hAnsi="Times New Roman" w:cs="Times New Roman"/>
        </w:rPr>
        <w:t>,</w:t>
      </w:r>
      <w:r>
        <w:rPr>
          <w:rFonts w:ascii="Times New Roman" w:hAnsi="Times New Roman" w:cs="Times New Roman"/>
        </w:rPr>
        <w:t>2</w:t>
      </w:r>
      <w:r w:rsidRPr="00200DC5">
        <w:rPr>
          <w:rFonts w:ascii="Times New Roman" w:hAnsi="Times New Roman" w:cs="Times New Roman"/>
        </w:rPr>
        <w:t>8 mil. eur (pokles o </w:t>
      </w:r>
      <w:r>
        <w:rPr>
          <w:rFonts w:ascii="Times New Roman" w:hAnsi="Times New Roman" w:cs="Times New Roman"/>
        </w:rPr>
        <w:t>46</w:t>
      </w:r>
      <w:r w:rsidRPr="00200DC5">
        <w:rPr>
          <w:rFonts w:ascii="Times New Roman" w:hAnsi="Times New Roman" w:cs="Times New Roman"/>
        </w:rPr>
        <w:t xml:space="preserve">,5 %). Pokles je spôsobený jednorazovým poskytnutím kapitálových výdavkov v roku 2017. </w:t>
      </w:r>
      <w:r w:rsidRPr="001F786E">
        <w:rPr>
          <w:rFonts w:ascii="Times New Roman" w:hAnsi="Times New Roman" w:cs="Times New Roman"/>
        </w:rPr>
        <w:t xml:space="preserve">Na stavebné investičné akcie sú rozpočtované výdavky v sume </w:t>
      </w:r>
      <w:r>
        <w:rPr>
          <w:rFonts w:ascii="Times New Roman" w:hAnsi="Times New Roman" w:cs="Times New Roman"/>
        </w:rPr>
        <w:t>3</w:t>
      </w:r>
      <w:r w:rsidRPr="001F786E">
        <w:rPr>
          <w:rFonts w:ascii="Times New Roman" w:hAnsi="Times New Roman" w:cs="Times New Roman"/>
        </w:rPr>
        <w:t>,</w:t>
      </w:r>
      <w:r>
        <w:rPr>
          <w:rFonts w:ascii="Times New Roman" w:hAnsi="Times New Roman" w:cs="Times New Roman"/>
        </w:rPr>
        <w:t>28</w:t>
      </w:r>
      <w:r w:rsidRPr="001F786E">
        <w:rPr>
          <w:rFonts w:ascii="Times New Roman" w:hAnsi="Times New Roman" w:cs="Times New Roman"/>
        </w:rPr>
        <w:t xml:space="preserve"> mil. eur (900 tis. eur na rekonštrukciu strechy a fasády pre Krajský súd Košic</w:t>
      </w:r>
      <w:r>
        <w:rPr>
          <w:rFonts w:ascii="Times New Roman" w:hAnsi="Times New Roman" w:cs="Times New Roman"/>
        </w:rPr>
        <w:t>e</w:t>
      </w:r>
      <w:r w:rsidRPr="001F786E">
        <w:rPr>
          <w:rFonts w:ascii="Times New Roman" w:hAnsi="Times New Roman" w:cs="Times New Roman"/>
        </w:rPr>
        <w:t xml:space="preserve">, </w:t>
      </w:r>
      <w:r>
        <w:rPr>
          <w:rFonts w:ascii="Times New Roman" w:hAnsi="Times New Roman" w:cs="Times New Roman"/>
        </w:rPr>
        <w:t xml:space="preserve">500 tis. eur na rekonštrukciu priestorov Okresného súdu Považská Bystrica, </w:t>
      </w:r>
      <w:r w:rsidRPr="001F786E">
        <w:rPr>
          <w:rFonts w:ascii="Times New Roman" w:hAnsi="Times New Roman" w:cs="Times New Roman"/>
        </w:rPr>
        <w:t xml:space="preserve">150 tis. eur na rekonštrukciu strechy Okresného súdu Čadca, 200 tis. eur na pokračovanie rekonštrukcie fasády a vykurovania pre Okresný súd Prešov, 700 tis. eur na rekonštrukciu a modernizáciu budovy Okresného súdu Brezno, </w:t>
      </w:r>
      <w:r w:rsidR="008E30EC">
        <w:rPr>
          <w:rFonts w:ascii="Times New Roman" w:hAnsi="Times New Roman" w:cs="Times New Roman"/>
        </w:rPr>
        <w:br/>
      </w:r>
      <w:r w:rsidRPr="001F786E">
        <w:rPr>
          <w:rFonts w:ascii="Times New Roman" w:hAnsi="Times New Roman" w:cs="Times New Roman"/>
        </w:rPr>
        <w:t>109 tis. eur na rekonštrukciu budovy pre Okresný súd Vranov nad Topľou</w:t>
      </w:r>
      <w:r>
        <w:rPr>
          <w:rFonts w:ascii="Times New Roman" w:hAnsi="Times New Roman" w:cs="Times New Roman"/>
        </w:rPr>
        <w:t>)</w:t>
      </w:r>
      <w:r w:rsidRPr="001F786E">
        <w:rPr>
          <w:rFonts w:ascii="Times New Roman" w:hAnsi="Times New Roman" w:cs="Times New Roman"/>
        </w:rPr>
        <w:t>. Výdavky v sume 1,60 mil. eur sú určené pre súdy na investičné akcie do 100 tis. eur (rekonštrukcie budov a nákup strojov a zariadení) podľa požiadaviek súdov posúdených na základe kritérií hodnotenia investičných akcií stanovených MS SR (odstránenie havarijného stavu, legislatívne požiadavky, opatrenia z technických prehliadok budov).</w:t>
      </w:r>
      <w:r>
        <w:rPr>
          <w:rFonts w:ascii="Times New Roman" w:hAnsi="Times New Roman" w:cs="Times New Roman"/>
        </w:rPr>
        <w:t xml:space="preserve"> Ďalej sa rozpočtuje </w:t>
      </w:r>
      <w:r w:rsidRPr="00200DC5">
        <w:rPr>
          <w:rFonts w:ascii="Times New Roman" w:hAnsi="Times New Roman" w:cs="Times New Roman"/>
        </w:rPr>
        <w:t>obstaranie posuvných regálových systémov do archívov súdov</w:t>
      </w:r>
      <w:r w:rsidRPr="00200DC5">
        <w:t xml:space="preserve"> </w:t>
      </w:r>
      <w:r w:rsidRPr="00200DC5">
        <w:rPr>
          <w:rFonts w:ascii="Times New Roman" w:hAnsi="Times New Roman" w:cs="Times New Roman"/>
        </w:rPr>
        <w:t>v sume 200 t</w:t>
      </w:r>
      <w:r w:rsidRPr="00586787">
        <w:rPr>
          <w:rFonts w:ascii="Times New Roman" w:hAnsi="Times New Roman" w:cs="Times New Roman"/>
        </w:rPr>
        <w:t xml:space="preserve">is. eur. Na nákup služobných motorových vozidiel sú vyčlenené výdavky v sume 200 tis. eur. </w:t>
      </w:r>
    </w:p>
    <w:p w:rsidR="007D13F3" w:rsidRPr="00AA6F6A" w:rsidRDefault="007D13F3" w:rsidP="007D13F3">
      <w:pPr>
        <w:ind w:firstLine="708"/>
        <w:jc w:val="both"/>
        <w:rPr>
          <w:rFonts w:ascii="Times New Roman" w:hAnsi="Times New Roman" w:cs="Times New Roman"/>
        </w:rPr>
      </w:pPr>
    </w:p>
    <w:p w:rsidR="007D13F3" w:rsidRPr="00AA6F6A" w:rsidRDefault="007D13F3" w:rsidP="007D13F3">
      <w:pPr>
        <w:jc w:val="both"/>
        <w:rPr>
          <w:rFonts w:ascii="Times New Roman" w:hAnsi="Times New Roman" w:cs="Times New Roman"/>
          <w:i/>
          <w:u w:val="single"/>
        </w:rPr>
      </w:pPr>
      <w:r w:rsidRPr="00AA6F6A">
        <w:rPr>
          <w:rFonts w:ascii="Times New Roman" w:hAnsi="Times New Roman" w:cs="Times New Roman"/>
          <w:i/>
          <w:u w:val="single"/>
        </w:rPr>
        <w:t>Odmeny a náhrady za služby</w:t>
      </w:r>
    </w:p>
    <w:p w:rsidR="007D13F3" w:rsidRPr="00AA6F6A" w:rsidRDefault="007D13F3" w:rsidP="007D13F3">
      <w:pPr>
        <w:ind w:firstLine="708"/>
        <w:jc w:val="both"/>
        <w:rPr>
          <w:rFonts w:ascii="Times New Roman" w:hAnsi="Times New Roman" w:cs="Times New Roman"/>
          <w:b/>
        </w:rPr>
      </w:pPr>
    </w:p>
    <w:p w:rsidR="007D13F3" w:rsidRDefault="007D13F3" w:rsidP="007D13F3">
      <w:pPr>
        <w:ind w:firstLine="708"/>
        <w:jc w:val="both"/>
        <w:rPr>
          <w:rFonts w:ascii="Times New Roman" w:hAnsi="Times New Roman" w:cs="Times New Roman"/>
        </w:rPr>
      </w:pPr>
      <w:r w:rsidRPr="00AA6F6A">
        <w:rPr>
          <w:rFonts w:ascii="Times New Roman" w:hAnsi="Times New Roman" w:cs="Times New Roman"/>
        </w:rPr>
        <w:t xml:space="preserve">V rámci odmien a náhrad za služby sú rozpočtované prostriedky na zabezpečenie súdneho konania, advokátske služby ex </w:t>
      </w:r>
      <w:proofErr w:type="spellStart"/>
      <w:r w:rsidRPr="00AA6F6A">
        <w:rPr>
          <w:rFonts w:ascii="Times New Roman" w:hAnsi="Times New Roman" w:cs="Times New Roman"/>
        </w:rPr>
        <w:t>offo</w:t>
      </w:r>
      <w:proofErr w:type="spellEnd"/>
      <w:r w:rsidRPr="00AA6F6A">
        <w:rPr>
          <w:rFonts w:ascii="Times New Roman" w:hAnsi="Times New Roman" w:cs="Times New Roman"/>
        </w:rPr>
        <w:t>, na znalecké posudky, notárske a exekútorské služby, tlmočnícku a prekladateľskú činnosť, úhradu výdavkov svedkom a prísediacim.</w:t>
      </w:r>
    </w:p>
    <w:p w:rsidR="007D13F3" w:rsidRPr="00BE042C" w:rsidRDefault="007D13F3" w:rsidP="007D13F3">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553"/>
        <w:gridCol w:w="929"/>
        <w:gridCol w:w="930"/>
        <w:gridCol w:w="930"/>
        <w:gridCol w:w="930"/>
        <w:gridCol w:w="930"/>
        <w:gridCol w:w="930"/>
        <w:gridCol w:w="930"/>
      </w:tblGrid>
      <w:tr w:rsidR="007D13F3" w:rsidRPr="00BE042C" w:rsidTr="00465CAC">
        <w:trPr>
          <w:trHeight w:hRule="exact" w:val="255"/>
        </w:trPr>
        <w:tc>
          <w:tcPr>
            <w:tcW w:w="140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13F3" w:rsidRPr="00BE042C" w:rsidRDefault="007D13F3" w:rsidP="00465CAC">
            <w:pPr>
              <w:rPr>
                <w:rFonts w:ascii="Times New Roman" w:hAnsi="Times New Roman" w:cs="Times New Roman"/>
                <w:b/>
                <w:bCs/>
                <w:color w:val="000000"/>
                <w:sz w:val="14"/>
                <w:szCs w:val="14"/>
                <w:lang w:eastAsia="sk-SK"/>
              </w:rPr>
            </w:pPr>
            <w:r w:rsidRPr="00BE042C">
              <w:rPr>
                <w:rFonts w:ascii="Times New Roman" w:hAnsi="Times New Roman" w:cs="Times New Roman"/>
                <w:b/>
                <w:bCs/>
                <w:color w:val="000000"/>
                <w:sz w:val="14"/>
                <w:szCs w:val="14"/>
                <w:lang w:eastAsia="sk-SK"/>
              </w:rPr>
              <w:t> </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E042C" w:rsidRDefault="007D13F3" w:rsidP="00465CAC">
            <w:pPr>
              <w:jc w:val="center"/>
              <w:rPr>
                <w:rFonts w:ascii="Times New Roman" w:hAnsi="Times New Roman" w:cs="Times New Roman"/>
                <w:b/>
                <w:bCs/>
                <w:color w:val="000000"/>
                <w:sz w:val="14"/>
                <w:szCs w:val="14"/>
                <w:lang w:eastAsia="sk-SK"/>
              </w:rPr>
            </w:pPr>
            <w:r w:rsidRPr="00BE042C">
              <w:rPr>
                <w:rFonts w:ascii="Times New Roman" w:hAnsi="Times New Roman" w:cs="Times New Roman"/>
                <w:b/>
                <w:bCs/>
                <w:color w:val="000000"/>
                <w:sz w:val="14"/>
                <w:szCs w:val="14"/>
                <w:lang w:eastAsia="sk-SK"/>
              </w:rPr>
              <w:t>2015 S</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E042C" w:rsidRDefault="007D13F3" w:rsidP="00465CAC">
            <w:pPr>
              <w:jc w:val="center"/>
              <w:rPr>
                <w:rFonts w:ascii="Times New Roman" w:hAnsi="Times New Roman" w:cs="Times New Roman"/>
                <w:b/>
                <w:bCs/>
                <w:color w:val="000000"/>
                <w:sz w:val="14"/>
                <w:szCs w:val="14"/>
                <w:lang w:eastAsia="sk-SK"/>
              </w:rPr>
            </w:pPr>
            <w:r w:rsidRPr="00BE042C">
              <w:rPr>
                <w:rFonts w:ascii="Times New Roman" w:hAnsi="Times New Roman" w:cs="Times New Roman"/>
                <w:b/>
                <w:bCs/>
                <w:color w:val="000000"/>
                <w:sz w:val="14"/>
                <w:szCs w:val="14"/>
                <w:lang w:eastAsia="sk-SK"/>
              </w:rPr>
              <w:t>2016 S</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E042C" w:rsidRDefault="007D13F3" w:rsidP="00465CAC">
            <w:pPr>
              <w:jc w:val="center"/>
              <w:rPr>
                <w:rFonts w:ascii="Times New Roman" w:hAnsi="Times New Roman" w:cs="Times New Roman"/>
                <w:b/>
                <w:bCs/>
                <w:color w:val="000000"/>
                <w:sz w:val="14"/>
                <w:szCs w:val="14"/>
                <w:lang w:eastAsia="sk-SK"/>
              </w:rPr>
            </w:pPr>
            <w:r w:rsidRPr="00BE042C">
              <w:rPr>
                <w:rFonts w:ascii="Times New Roman" w:hAnsi="Times New Roman" w:cs="Times New Roman"/>
                <w:b/>
                <w:bCs/>
                <w:color w:val="000000"/>
                <w:sz w:val="14"/>
                <w:szCs w:val="14"/>
                <w:lang w:eastAsia="sk-SK"/>
              </w:rPr>
              <w:t>2017 R</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E042C" w:rsidRDefault="007D13F3" w:rsidP="002D230D">
            <w:pPr>
              <w:jc w:val="center"/>
              <w:rPr>
                <w:rFonts w:ascii="Times New Roman" w:hAnsi="Times New Roman" w:cs="Times New Roman"/>
                <w:b/>
                <w:bCs/>
                <w:color w:val="000000"/>
                <w:sz w:val="14"/>
                <w:szCs w:val="14"/>
                <w:lang w:eastAsia="sk-SK"/>
              </w:rPr>
            </w:pPr>
            <w:r w:rsidRPr="00BE042C">
              <w:rPr>
                <w:rFonts w:ascii="Times New Roman" w:hAnsi="Times New Roman" w:cs="Times New Roman"/>
                <w:b/>
                <w:bCs/>
                <w:color w:val="000000"/>
                <w:sz w:val="14"/>
                <w:szCs w:val="14"/>
                <w:lang w:eastAsia="sk-SK"/>
              </w:rPr>
              <w:t xml:space="preserve">2017 </w:t>
            </w:r>
            <w:r w:rsidR="002D230D">
              <w:rPr>
                <w:rFonts w:ascii="Times New Roman" w:hAnsi="Times New Roman" w:cs="Times New Roman"/>
                <w:b/>
                <w:bCs/>
                <w:color w:val="000000"/>
                <w:sz w:val="14"/>
                <w:szCs w:val="14"/>
                <w:lang w:eastAsia="sk-SK"/>
              </w:rPr>
              <w:t>OS</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E042C" w:rsidRDefault="007D13F3" w:rsidP="00465CAC">
            <w:pPr>
              <w:jc w:val="center"/>
              <w:rPr>
                <w:rFonts w:ascii="Times New Roman" w:hAnsi="Times New Roman" w:cs="Times New Roman"/>
                <w:b/>
                <w:bCs/>
                <w:color w:val="000000"/>
                <w:sz w:val="14"/>
                <w:szCs w:val="14"/>
                <w:lang w:eastAsia="sk-SK"/>
              </w:rPr>
            </w:pPr>
            <w:r w:rsidRPr="00BE042C">
              <w:rPr>
                <w:rFonts w:ascii="Times New Roman" w:hAnsi="Times New Roman" w:cs="Times New Roman"/>
                <w:b/>
                <w:bCs/>
                <w:color w:val="000000"/>
                <w:sz w:val="14"/>
                <w:szCs w:val="14"/>
                <w:lang w:eastAsia="sk-SK"/>
              </w:rPr>
              <w:t>2018 N</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E042C" w:rsidRDefault="007D13F3" w:rsidP="00465CAC">
            <w:pPr>
              <w:jc w:val="center"/>
              <w:rPr>
                <w:rFonts w:ascii="Times New Roman" w:hAnsi="Times New Roman" w:cs="Times New Roman"/>
                <w:b/>
                <w:bCs/>
                <w:color w:val="000000"/>
                <w:sz w:val="14"/>
                <w:szCs w:val="14"/>
                <w:lang w:eastAsia="sk-SK"/>
              </w:rPr>
            </w:pPr>
            <w:r w:rsidRPr="00BE042C">
              <w:rPr>
                <w:rFonts w:ascii="Times New Roman" w:hAnsi="Times New Roman" w:cs="Times New Roman"/>
                <w:b/>
                <w:bCs/>
                <w:color w:val="000000"/>
                <w:sz w:val="14"/>
                <w:szCs w:val="14"/>
                <w:lang w:eastAsia="sk-SK"/>
              </w:rPr>
              <w:t>2019 N</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E042C" w:rsidRDefault="007D13F3" w:rsidP="00465CAC">
            <w:pPr>
              <w:jc w:val="center"/>
              <w:rPr>
                <w:rFonts w:ascii="Times New Roman" w:hAnsi="Times New Roman" w:cs="Times New Roman"/>
                <w:b/>
                <w:bCs/>
                <w:color w:val="000000"/>
                <w:sz w:val="14"/>
                <w:szCs w:val="14"/>
                <w:lang w:eastAsia="sk-SK"/>
              </w:rPr>
            </w:pPr>
            <w:r w:rsidRPr="00BE042C">
              <w:rPr>
                <w:rFonts w:ascii="Times New Roman" w:hAnsi="Times New Roman" w:cs="Times New Roman"/>
                <w:b/>
                <w:bCs/>
                <w:color w:val="000000"/>
                <w:sz w:val="14"/>
                <w:szCs w:val="14"/>
                <w:lang w:eastAsia="sk-SK"/>
              </w:rPr>
              <w:t>2020 N</w:t>
            </w:r>
          </w:p>
        </w:tc>
      </w:tr>
      <w:tr w:rsidR="007D13F3" w:rsidRPr="00BE042C" w:rsidTr="00465CAC">
        <w:trPr>
          <w:trHeight w:hRule="exact" w:val="255"/>
        </w:trPr>
        <w:tc>
          <w:tcPr>
            <w:tcW w:w="1409" w:type="pct"/>
            <w:tcBorders>
              <w:top w:val="nil"/>
              <w:left w:val="single" w:sz="4" w:space="0" w:color="auto"/>
              <w:bottom w:val="single" w:sz="4" w:space="0" w:color="auto"/>
              <w:right w:val="single" w:sz="4" w:space="0" w:color="auto"/>
            </w:tcBorders>
            <w:shd w:val="clear" w:color="auto" w:fill="auto"/>
            <w:vAlign w:val="center"/>
            <w:hideMark/>
          </w:tcPr>
          <w:p w:rsidR="007D13F3" w:rsidRPr="00BE042C" w:rsidRDefault="007D13F3" w:rsidP="00465CAC">
            <w:pPr>
              <w:rPr>
                <w:rFonts w:ascii="Times New Roman" w:hAnsi="Times New Roman" w:cs="Times New Roman"/>
                <w:color w:val="000000"/>
                <w:sz w:val="14"/>
                <w:szCs w:val="14"/>
                <w:lang w:eastAsia="sk-SK"/>
              </w:rPr>
            </w:pPr>
            <w:r w:rsidRPr="00BE042C">
              <w:rPr>
                <w:rFonts w:ascii="Times New Roman" w:hAnsi="Times New Roman" w:cs="Times New Roman"/>
                <w:color w:val="000000"/>
                <w:sz w:val="14"/>
                <w:szCs w:val="14"/>
                <w:lang w:eastAsia="sk-SK"/>
              </w:rPr>
              <w:t>odmeny a náhrady za služby*</w:t>
            </w:r>
          </w:p>
        </w:tc>
        <w:tc>
          <w:tcPr>
            <w:tcW w:w="513" w:type="pct"/>
            <w:tcBorders>
              <w:top w:val="nil"/>
              <w:left w:val="nil"/>
              <w:bottom w:val="single" w:sz="4" w:space="0" w:color="auto"/>
              <w:right w:val="single" w:sz="4" w:space="0" w:color="auto"/>
            </w:tcBorders>
            <w:shd w:val="clear" w:color="auto" w:fill="auto"/>
            <w:noWrap/>
            <w:vAlign w:val="center"/>
            <w:hideMark/>
          </w:tcPr>
          <w:p w:rsidR="007D13F3" w:rsidRPr="00BE042C" w:rsidRDefault="007D13F3" w:rsidP="00465CAC">
            <w:pPr>
              <w:jc w:val="right"/>
              <w:rPr>
                <w:rFonts w:ascii="Times New Roman" w:hAnsi="Times New Roman" w:cs="Times New Roman"/>
                <w:color w:val="000000"/>
                <w:sz w:val="14"/>
                <w:szCs w:val="14"/>
                <w:lang w:eastAsia="sk-SK"/>
              </w:rPr>
            </w:pPr>
            <w:r w:rsidRPr="00BE042C">
              <w:rPr>
                <w:rFonts w:ascii="Times New Roman" w:hAnsi="Times New Roman" w:cs="Times New Roman"/>
                <w:color w:val="000000"/>
                <w:sz w:val="14"/>
                <w:szCs w:val="14"/>
                <w:lang w:eastAsia="sk-SK"/>
              </w:rPr>
              <w:t xml:space="preserve">10 963 </w:t>
            </w:r>
            <w:r>
              <w:rPr>
                <w:rFonts w:ascii="Times New Roman" w:hAnsi="Times New Roman" w:cs="Times New Roman"/>
                <w:color w:val="000000"/>
                <w:sz w:val="14"/>
                <w:szCs w:val="14"/>
                <w:lang w:eastAsia="sk-SK"/>
              </w:rPr>
              <w:t>6</w:t>
            </w:r>
            <w:r w:rsidRPr="00BE042C">
              <w:rPr>
                <w:rFonts w:ascii="Times New Roman" w:hAnsi="Times New Roman" w:cs="Times New Roman"/>
                <w:color w:val="000000"/>
                <w:sz w:val="14"/>
                <w:szCs w:val="14"/>
                <w:lang w:eastAsia="sk-SK"/>
              </w:rPr>
              <w:t>01</w:t>
            </w:r>
          </w:p>
        </w:tc>
        <w:tc>
          <w:tcPr>
            <w:tcW w:w="513" w:type="pct"/>
            <w:tcBorders>
              <w:top w:val="nil"/>
              <w:left w:val="nil"/>
              <w:bottom w:val="single" w:sz="4" w:space="0" w:color="auto"/>
              <w:right w:val="single" w:sz="4" w:space="0" w:color="auto"/>
            </w:tcBorders>
            <w:shd w:val="clear" w:color="auto" w:fill="auto"/>
            <w:noWrap/>
            <w:vAlign w:val="center"/>
            <w:hideMark/>
          </w:tcPr>
          <w:p w:rsidR="007D13F3" w:rsidRPr="00BE042C" w:rsidRDefault="007D13F3" w:rsidP="00465CAC">
            <w:pPr>
              <w:jc w:val="right"/>
              <w:rPr>
                <w:rFonts w:ascii="Times New Roman" w:hAnsi="Times New Roman" w:cs="Times New Roman"/>
                <w:color w:val="000000"/>
                <w:sz w:val="14"/>
                <w:szCs w:val="14"/>
                <w:lang w:eastAsia="sk-SK"/>
              </w:rPr>
            </w:pPr>
            <w:r w:rsidRPr="00BE042C">
              <w:rPr>
                <w:rFonts w:ascii="Times New Roman" w:hAnsi="Times New Roman" w:cs="Times New Roman"/>
                <w:color w:val="000000"/>
                <w:sz w:val="14"/>
                <w:szCs w:val="14"/>
                <w:lang w:eastAsia="sk-SK"/>
              </w:rPr>
              <w:t>10 734 946</w:t>
            </w:r>
          </w:p>
        </w:tc>
        <w:tc>
          <w:tcPr>
            <w:tcW w:w="513" w:type="pct"/>
            <w:tcBorders>
              <w:top w:val="nil"/>
              <w:left w:val="nil"/>
              <w:bottom w:val="single" w:sz="4" w:space="0" w:color="auto"/>
              <w:right w:val="single" w:sz="4" w:space="0" w:color="auto"/>
            </w:tcBorders>
            <w:shd w:val="clear" w:color="auto" w:fill="auto"/>
            <w:noWrap/>
            <w:vAlign w:val="center"/>
            <w:hideMark/>
          </w:tcPr>
          <w:p w:rsidR="007D13F3" w:rsidRPr="00BE042C" w:rsidRDefault="007D13F3" w:rsidP="00465CAC">
            <w:pPr>
              <w:jc w:val="right"/>
              <w:rPr>
                <w:rFonts w:ascii="Times New Roman" w:hAnsi="Times New Roman" w:cs="Times New Roman"/>
                <w:color w:val="000000"/>
                <w:sz w:val="14"/>
                <w:szCs w:val="14"/>
                <w:lang w:eastAsia="sk-SK"/>
              </w:rPr>
            </w:pPr>
            <w:r w:rsidRPr="00BE042C">
              <w:rPr>
                <w:rFonts w:ascii="Times New Roman" w:hAnsi="Times New Roman" w:cs="Times New Roman"/>
                <w:color w:val="000000"/>
                <w:sz w:val="14"/>
                <w:szCs w:val="14"/>
                <w:lang w:eastAsia="sk-SK"/>
              </w:rPr>
              <w:t>10 734 946</w:t>
            </w:r>
          </w:p>
        </w:tc>
        <w:tc>
          <w:tcPr>
            <w:tcW w:w="513" w:type="pct"/>
            <w:tcBorders>
              <w:top w:val="nil"/>
              <w:left w:val="nil"/>
              <w:bottom w:val="single" w:sz="4" w:space="0" w:color="auto"/>
              <w:right w:val="single" w:sz="4" w:space="0" w:color="auto"/>
            </w:tcBorders>
            <w:shd w:val="clear" w:color="auto" w:fill="auto"/>
            <w:noWrap/>
            <w:vAlign w:val="center"/>
            <w:hideMark/>
          </w:tcPr>
          <w:p w:rsidR="007D13F3" w:rsidRPr="00BE042C" w:rsidRDefault="007D13F3" w:rsidP="00465CAC">
            <w:pPr>
              <w:jc w:val="right"/>
              <w:rPr>
                <w:rFonts w:ascii="Times New Roman" w:hAnsi="Times New Roman" w:cs="Times New Roman"/>
                <w:color w:val="000000"/>
                <w:sz w:val="14"/>
                <w:szCs w:val="14"/>
                <w:lang w:eastAsia="sk-SK"/>
              </w:rPr>
            </w:pPr>
            <w:r w:rsidRPr="00BE042C">
              <w:rPr>
                <w:rFonts w:ascii="Times New Roman" w:hAnsi="Times New Roman" w:cs="Times New Roman"/>
                <w:color w:val="000000"/>
                <w:sz w:val="14"/>
                <w:szCs w:val="14"/>
                <w:lang w:eastAsia="sk-SK"/>
              </w:rPr>
              <w:t>10 734 946</w:t>
            </w:r>
          </w:p>
        </w:tc>
        <w:tc>
          <w:tcPr>
            <w:tcW w:w="513" w:type="pct"/>
            <w:tcBorders>
              <w:top w:val="nil"/>
              <w:left w:val="nil"/>
              <w:bottom w:val="single" w:sz="4" w:space="0" w:color="auto"/>
              <w:right w:val="single" w:sz="4" w:space="0" w:color="auto"/>
            </w:tcBorders>
            <w:shd w:val="clear" w:color="auto" w:fill="auto"/>
            <w:noWrap/>
            <w:vAlign w:val="center"/>
            <w:hideMark/>
          </w:tcPr>
          <w:p w:rsidR="007D13F3" w:rsidRPr="00BE042C" w:rsidRDefault="007D13F3" w:rsidP="00465CAC">
            <w:pPr>
              <w:jc w:val="right"/>
              <w:rPr>
                <w:rFonts w:ascii="Times New Roman" w:hAnsi="Times New Roman" w:cs="Times New Roman"/>
                <w:color w:val="000000"/>
                <w:sz w:val="14"/>
                <w:szCs w:val="14"/>
                <w:lang w:eastAsia="sk-SK"/>
              </w:rPr>
            </w:pPr>
            <w:r w:rsidRPr="00BE042C">
              <w:rPr>
                <w:rFonts w:ascii="Times New Roman" w:hAnsi="Times New Roman" w:cs="Times New Roman"/>
                <w:color w:val="000000"/>
                <w:sz w:val="14"/>
                <w:szCs w:val="14"/>
                <w:lang w:eastAsia="sk-SK"/>
              </w:rPr>
              <w:t>10 734 946</w:t>
            </w:r>
          </w:p>
        </w:tc>
        <w:tc>
          <w:tcPr>
            <w:tcW w:w="513" w:type="pct"/>
            <w:tcBorders>
              <w:top w:val="nil"/>
              <w:left w:val="nil"/>
              <w:bottom w:val="single" w:sz="4" w:space="0" w:color="auto"/>
              <w:right w:val="single" w:sz="4" w:space="0" w:color="auto"/>
            </w:tcBorders>
            <w:shd w:val="clear" w:color="auto" w:fill="auto"/>
            <w:noWrap/>
            <w:vAlign w:val="center"/>
            <w:hideMark/>
          </w:tcPr>
          <w:p w:rsidR="007D13F3" w:rsidRPr="00BE042C" w:rsidRDefault="007D13F3" w:rsidP="00465CAC">
            <w:pPr>
              <w:jc w:val="right"/>
              <w:rPr>
                <w:rFonts w:ascii="Times New Roman" w:hAnsi="Times New Roman" w:cs="Times New Roman"/>
                <w:color w:val="000000"/>
                <w:sz w:val="14"/>
                <w:szCs w:val="14"/>
                <w:lang w:eastAsia="sk-SK"/>
              </w:rPr>
            </w:pPr>
            <w:r w:rsidRPr="00BE042C">
              <w:rPr>
                <w:rFonts w:ascii="Times New Roman" w:hAnsi="Times New Roman" w:cs="Times New Roman"/>
                <w:color w:val="000000"/>
                <w:sz w:val="14"/>
                <w:szCs w:val="14"/>
                <w:lang w:eastAsia="sk-SK"/>
              </w:rPr>
              <w:t>10 734 946</w:t>
            </w:r>
          </w:p>
        </w:tc>
        <w:tc>
          <w:tcPr>
            <w:tcW w:w="513" w:type="pct"/>
            <w:tcBorders>
              <w:top w:val="nil"/>
              <w:left w:val="nil"/>
              <w:bottom w:val="single" w:sz="4" w:space="0" w:color="auto"/>
              <w:right w:val="single" w:sz="4" w:space="0" w:color="auto"/>
            </w:tcBorders>
            <w:shd w:val="clear" w:color="auto" w:fill="auto"/>
            <w:noWrap/>
            <w:vAlign w:val="center"/>
            <w:hideMark/>
          </w:tcPr>
          <w:p w:rsidR="007D13F3" w:rsidRPr="00BE042C" w:rsidRDefault="007D13F3" w:rsidP="00465CAC">
            <w:pPr>
              <w:jc w:val="right"/>
              <w:rPr>
                <w:rFonts w:ascii="Times New Roman" w:hAnsi="Times New Roman" w:cs="Times New Roman"/>
                <w:color w:val="000000"/>
                <w:sz w:val="14"/>
                <w:szCs w:val="14"/>
                <w:lang w:eastAsia="sk-SK"/>
              </w:rPr>
            </w:pPr>
            <w:r w:rsidRPr="00BE042C">
              <w:rPr>
                <w:rFonts w:ascii="Times New Roman" w:hAnsi="Times New Roman" w:cs="Times New Roman"/>
                <w:color w:val="000000"/>
                <w:sz w:val="14"/>
                <w:szCs w:val="14"/>
                <w:lang w:eastAsia="sk-SK"/>
              </w:rPr>
              <w:t>10 734 946</w:t>
            </w:r>
          </w:p>
        </w:tc>
      </w:tr>
    </w:tbl>
    <w:p w:rsidR="007D13F3" w:rsidRPr="00BE042C" w:rsidRDefault="007D13F3" w:rsidP="007D13F3">
      <w:pPr>
        <w:jc w:val="both"/>
        <w:rPr>
          <w:rFonts w:ascii="Times New Roman" w:hAnsi="Times New Roman" w:cs="Times New Roman"/>
          <w:color w:val="000000"/>
          <w:sz w:val="14"/>
          <w:szCs w:val="14"/>
          <w:lang w:eastAsia="sk-SK"/>
        </w:rPr>
      </w:pPr>
      <w:r w:rsidRPr="00BE042C">
        <w:rPr>
          <w:rFonts w:ascii="Times New Roman" w:hAnsi="Times New Roman" w:cs="Times New Roman"/>
          <w:color w:val="000000"/>
          <w:sz w:val="14"/>
          <w:szCs w:val="14"/>
          <w:lang w:eastAsia="sk-SK"/>
        </w:rPr>
        <w:t>*Výdavky na odmeny a náhrady pre advokátov, notárov, exekútorov, svedkov, tlmočníkov, prekladateľov a znalcov</w:t>
      </w:r>
    </w:p>
    <w:p w:rsidR="007D13F3" w:rsidRDefault="007D13F3" w:rsidP="007D13F3">
      <w:pPr>
        <w:jc w:val="both"/>
        <w:rPr>
          <w:rFonts w:ascii="Times New Roman" w:hAnsi="Times New Roman" w:cs="Times New Roman"/>
        </w:rPr>
      </w:pPr>
    </w:p>
    <w:p w:rsidR="007D13F3" w:rsidRPr="00BE042C" w:rsidRDefault="007D13F3" w:rsidP="007D13F3">
      <w:pPr>
        <w:jc w:val="both"/>
        <w:rPr>
          <w:rFonts w:ascii="Times New Roman" w:hAnsi="Times New Roman" w:cs="Times New Roman"/>
          <w:i/>
          <w:u w:val="single"/>
        </w:rPr>
      </w:pPr>
      <w:r w:rsidRPr="00BE042C">
        <w:rPr>
          <w:rFonts w:ascii="Times New Roman" w:hAnsi="Times New Roman" w:cs="Times New Roman"/>
          <w:i/>
          <w:u w:val="single"/>
        </w:rPr>
        <w:t>Odškodňovanie v súdnictve</w:t>
      </w:r>
    </w:p>
    <w:p w:rsidR="007D13F3" w:rsidRPr="00BF3531" w:rsidRDefault="007D13F3" w:rsidP="007D13F3">
      <w:pPr>
        <w:jc w:val="both"/>
        <w:rPr>
          <w:rFonts w:ascii="Times New Roman" w:hAnsi="Times New Roman" w:cs="Times New Roman"/>
          <w:b/>
          <w:highlight w:val="yellow"/>
        </w:rPr>
      </w:pPr>
    </w:p>
    <w:p w:rsidR="007D13F3" w:rsidRDefault="007D13F3" w:rsidP="007D13F3">
      <w:pPr>
        <w:ind w:firstLine="708"/>
        <w:jc w:val="both"/>
      </w:pPr>
      <w:r w:rsidRPr="00C86D64">
        <w:rPr>
          <w:rFonts w:ascii="Times New Roman" w:hAnsi="Times New Roman" w:cs="Times New Roman"/>
        </w:rPr>
        <w:t>Kapitola rozpočtuje v oblasti súdnictva výdavky na odškodňovanie určené na nálezy Ústavného súdu Slovenskej republiky za prieťahy v súdnom konaní.</w:t>
      </w:r>
      <w:r w:rsidRPr="0027702E">
        <w:t xml:space="preserve"> </w:t>
      </w:r>
    </w:p>
    <w:p w:rsidR="007D13F3" w:rsidRPr="00E620E5" w:rsidRDefault="007D13F3" w:rsidP="007D13F3">
      <w:r>
        <w:br w:type="page"/>
      </w:r>
    </w:p>
    <w:tbl>
      <w:tblPr>
        <w:tblW w:w="5000" w:type="pct"/>
        <w:tblCellMar>
          <w:left w:w="70" w:type="dxa"/>
          <w:right w:w="70" w:type="dxa"/>
        </w:tblCellMar>
        <w:tblLook w:val="04A0" w:firstRow="1" w:lastRow="0" w:firstColumn="1" w:lastColumn="0" w:noHBand="0" w:noVBand="1"/>
      </w:tblPr>
      <w:tblGrid>
        <w:gridCol w:w="2553"/>
        <w:gridCol w:w="929"/>
        <w:gridCol w:w="930"/>
        <w:gridCol w:w="930"/>
        <w:gridCol w:w="930"/>
        <w:gridCol w:w="930"/>
        <w:gridCol w:w="930"/>
        <w:gridCol w:w="930"/>
      </w:tblGrid>
      <w:tr w:rsidR="007D13F3" w:rsidRPr="0027702E" w:rsidTr="00465CAC">
        <w:trPr>
          <w:trHeight w:hRule="exact" w:val="255"/>
        </w:trPr>
        <w:tc>
          <w:tcPr>
            <w:tcW w:w="140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27702E" w:rsidRDefault="007D13F3" w:rsidP="00465CAC">
            <w:pPr>
              <w:rPr>
                <w:rFonts w:ascii="Times New Roman" w:hAnsi="Times New Roman" w:cs="Times New Roman"/>
                <w:b/>
                <w:color w:val="000000"/>
                <w:sz w:val="14"/>
                <w:szCs w:val="14"/>
                <w:lang w:eastAsia="sk-SK"/>
              </w:rPr>
            </w:pPr>
          </w:p>
        </w:tc>
        <w:tc>
          <w:tcPr>
            <w:tcW w:w="51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D13F3" w:rsidRPr="0027702E" w:rsidRDefault="007D13F3" w:rsidP="00465CAC">
            <w:pPr>
              <w:jc w:val="center"/>
              <w:rPr>
                <w:rFonts w:ascii="Times New Roman" w:hAnsi="Times New Roman" w:cs="Times New Roman"/>
                <w:b/>
                <w:color w:val="000000"/>
                <w:sz w:val="14"/>
                <w:szCs w:val="14"/>
                <w:lang w:eastAsia="sk-SK"/>
              </w:rPr>
            </w:pPr>
            <w:r w:rsidRPr="0027702E">
              <w:rPr>
                <w:rFonts w:ascii="Times New Roman" w:hAnsi="Times New Roman" w:cs="Times New Roman"/>
                <w:b/>
                <w:color w:val="000000"/>
                <w:sz w:val="14"/>
                <w:szCs w:val="14"/>
                <w:lang w:eastAsia="sk-SK"/>
              </w:rPr>
              <w:t>2015 S</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D13F3" w:rsidRPr="0027702E" w:rsidRDefault="007D13F3" w:rsidP="00465CAC">
            <w:pPr>
              <w:jc w:val="center"/>
              <w:rPr>
                <w:rFonts w:ascii="Times New Roman" w:hAnsi="Times New Roman" w:cs="Times New Roman"/>
                <w:b/>
                <w:color w:val="000000"/>
                <w:sz w:val="14"/>
                <w:szCs w:val="14"/>
                <w:lang w:eastAsia="sk-SK"/>
              </w:rPr>
            </w:pPr>
            <w:r w:rsidRPr="0027702E">
              <w:rPr>
                <w:rFonts w:ascii="Times New Roman" w:hAnsi="Times New Roman" w:cs="Times New Roman"/>
                <w:b/>
                <w:color w:val="000000"/>
                <w:sz w:val="14"/>
                <w:szCs w:val="14"/>
                <w:lang w:eastAsia="sk-SK"/>
              </w:rPr>
              <w:t>2016 S</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D13F3" w:rsidRPr="0027702E" w:rsidRDefault="007D13F3" w:rsidP="00465CAC">
            <w:pPr>
              <w:jc w:val="center"/>
              <w:rPr>
                <w:rFonts w:ascii="Times New Roman" w:hAnsi="Times New Roman" w:cs="Times New Roman"/>
                <w:b/>
                <w:color w:val="000000"/>
                <w:sz w:val="14"/>
                <w:szCs w:val="14"/>
                <w:lang w:eastAsia="sk-SK"/>
              </w:rPr>
            </w:pPr>
            <w:r w:rsidRPr="0027702E">
              <w:rPr>
                <w:rFonts w:ascii="Times New Roman" w:hAnsi="Times New Roman" w:cs="Times New Roman"/>
                <w:b/>
                <w:color w:val="000000"/>
                <w:sz w:val="14"/>
                <w:szCs w:val="14"/>
                <w:lang w:eastAsia="sk-SK"/>
              </w:rPr>
              <w:t>2017 R</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D13F3" w:rsidRPr="0027702E" w:rsidRDefault="007D13F3" w:rsidP="002D230D">
            <w:pPr>
              <w:jc w:val="center"/>
              <w:rPr>
                <w:rFonts w:ascii="Times New Roman" w:hAnsi="Times New Roman" w:cs="Times New Roman"/>
                <w:b/>
                <w:color w:val="000000"/>
                <w:sz w:val="14"/>
                <w:szCs w:val="14"/>
                <w:lang w:eastAsia="sk-SK"/>
              </w:rPr>
            </w:pPr>
            <w:r w:rsidRPr="0027702E">
              <w:rPr>
                <w:rFonts w:ascii="Times New Roman" w:hAnsi="Times New Roman" w:cs="Times New Roman"/>
                <w:b/>
                <w:color w:val="000000"/>
                <w:sz w:val="14"/>
                <w:szCs w:val="14"/>
                <w:lang w:eastAsia="sk-SK"/>
              </w:rPr>
              <w:t xml:space="preserve">2017 </w:t>
            </w:r>
            <w:r w:rsidR="002D230D">
              <w:rPr>
                <w:rFonts w:ascii="Times New Roman" w:hAnsi="Times New Roman" w:cs="Times New Roman"/>
                <w:b/>
                <w:color w:val="000000"/>
                <w:sz w:val="14"/>
                <w:szCs w:val="14"/>
                <w:lang w:eastAsia="sk-SK"/>
              </w:rPr>
              <w:t>OS</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D13F3" w:rsidRPr="0027702E" w:rsidRDefault="007D13F3" w:rsidP="00465CAC">
            <w:pPr>
              <w:jc w:val="center"/>
              <w:rPr>
                <w:rFonts w:ascii="Times New Roman" w:hAnsi="Times New Roman" w:cs="Times New Roman"/>
                <w:b/>
                <w:color w:val="000000"/>
                <w:sz w:val="14"/>
                <w:szCs w:val="14"/>
                <w:lang w:eastAsia="sk-SK"/>
              </w:rPr>
            </w:pPr>
            <w:r w:rsidRPr="0027702E">
              <w:rPr>
                <w:rFonts w:ascii="Times New Roman" w:hAnsi="Times New Roman" w:cs="Times New Roman"/>
                <w:b/>
                <w:color w:val="000000"/>
                <w:sz w:val="14"/>
                <w:szCs w:val="14"/>
                <w:lang w:eastAsia="sk-SK"/>
              </w:rPr>
              <w:t>2018 N</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D13F3" w:rsidRPr="0027702E" w:rsidRDefault="007D13F3" w:rsidP="00465CAC">
            <w:pPr>
              <w:jc w:val="center"/>
              <w:rPr>
                <w:rFonts w:ascii="Times New Roman" w:hAnsi="Times New Roman" w:cs="Times New Roman"/>
                <w:b/>
                <w:color w:val="000000"/>
                <w:sz w:val="14"/>
                <w:szCs w:val="14"/>
                <w:lang w:eastAsia="sk-SK"/>
              </w:rPr>
            </w:pPr>
            <w:r w:rsidRPr="0027702E">
              <w:rPr>
                <w:rFonts w:ascii="Times New Roman" w:hAnsi="Times New Roman" w:cs="Times New Roman"/>
                <w:b/>
                <w:color w:val="000000"/>
                <w:sz w:val="14"/>
                <w:szCs w:val="14"/>
                <w:lang w:eastAsia="sk-SK"/>
              </w:rPr>
              <w:t>2019 N</w:t>
            </w:r>
          </w:p>
        </w:tc>
        <w:tc>
          <w:tcPr>
            <w:tcW w:w="51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D13F3" w:rsidRPr="0027702E" w:rsidRDefault="007D13F3" w:rsidP="00465CAC">
            <w:pPr>
              <w:jc w:val="center"/>
              <w:rPr>
                <w:rFonts w:ascii="Times New Roman" w:hAnsi="Times New Roman" w:cs="Times New Roman"/>
                <w:b/>
                <w:color w:val="000000"/>
                <w:sz w:val="14"/>
                <w:szCs w:val="14"/>
                <w:lang w:eastAsia="sk-SK"/>
              </w:rPr>
            </w:pPr>
            <w:r w:rsidRPr="0027702E">
              <w:rPr>
                <w:rFonts w:ascii="Times New Roman" w:hAnsi="Times New Roman" w:cs="Times New Roman"/>
                <w:b/>
                <w:color w:val="000000"/>
                <w:sz w:val="14"/>
                <w:szCs w:val="14"/>
                <w:lang w:eastAsia="sk-SK"/>
              </w:rPr>
              <w:t>2020 N</w:t>
            </w:r>
          </w:p>
        </w:tc>
      </w:tr>
      <w:tr w:rsidR="007D13F3" w:rsidRPr="0027702E" w:rsidTr="00465CAC">
        <w:trPr>
          <w:trHeight w:hRule="exact" w:val="255"/>
        </w:trPr>
        <w:tc>
          <w:tcPr>
            <w:tcW w:w="1409" w:type="pct"/>
            <w:tcBorders>
              <w:top w:val="nil"/>
              <w:left w:val="single" w:sz="4" w:space="0" w:color="auto"/>
              <w:bottom w:val="single" w:sz="4" w:space="0" w:color="auto"/>
              <w:right w:val="single" w:sz="4" w:space="0" w:color="auto"/>
            </w:tcBorders>
            <w:shd w:val="clear" w:color="auto" w:fill="auto"/>
            <w:vAlign w:val="center"/>
            <w:hideMark/>
          </w:tcPr>
          <w:p w:rsidR="007D13F3" w:rsidRPr="0027702E" w:rsidRDefault="007D13F3" w:rsidP="00465CAC">
            <w:pPr>
              <w:rPr>
                <w:rFonts w:ascii="Times New Roman" w:hAnsi="Times New Roman" w:cs="Times New Roman"/>
                <w:color w:val="000000"/>
                <w:sz w:val="14"/>
                <w:szCs w:val="14"/>
                <w:lang w:eastAsia="sk-SK"/>
              </w:rPr>
            </w:pPr>
            <w:r w:rsidRPr="0027702E">
              <w:rPr>
                <w:rFonts w:ascii="Times New Roman" w:hAnsi="Times New Roman" w:cs="Times New Roman"/>
                <w:color w:val="000000"/>
                <w:sz w:val="14"/>
                <w:szCs w:val="14"/>
                <w:lang w:eastAsia="sk-SK"/>
              </w:rPr>
              <w:t>Odškodňovanie v oblasti súdnictva</w:t>
            </w:r>
          </w:p>
        </w:tc>
        <w:tc>
          <w:tcPr>
            <w:tcW w:w="513" w:type="pct"/>
            <w:tcBorders>
              <w:top w:val="nil"/>
              <w:left w:val="nil"/>
              <w:bottom w:val="single" w:sz="4" w:space="0" w:color="auto"/>
              <w:right w:val="single" w:sz="4" w:space="0" w:color="auto"/>
            </w:tcBorders>
            <w:shd w:val="clear" w:color="auto" w:fill="auto"/>
            <w:vAlign w:val="center"/>
          </w:tcPr>
          <w:p w:rsidR="007D13F3" w:rsidRPr="0027702E" w:rsidRDefault="007D13F3" w:rsidP="00465CAC">
            <w:pPr>
              <w:jc w:val="right"/>
              <w:rPr>
                <w:rFonts w:ascii="Times New Roman" w:hAnsi="Times New Roman" w:cs="Times New Roman"/>
                <w:color w:val="000000"/>
                <w:sz w:val="14"/>
                <w:szCs w:val="14"/>
                <w:lang w:eastAsia="sk-SK"/>
              </w:rPr>
            </w:pPr>
            <w:r w:rsidRPr="0027702E">
              <w:rPr>
                <w:rFonts w:ascii="Times New Roman" w:hAnsi="Times New Roman" w:cs="Times New Roman"/>
                <w:color w:val="000000"/>
                <w:sz w:val="14"/>
                <w:szCs w:val="14"/>
                <w:lang w:eastAsia="sk-SK"/>
              </w:rPr>
              <w:t>970 60</w:t>
            </w:r>
            <w:r>
              <w:rPr>
                <w:rFonts w:ascii="Times New Roman" w:hAnsi="Times New Roman" w:cs="Times New Roman"/>
                <w:color w:val="000000"/>
                <w:sz w:val="14"/>
                <w:szCs w:val="14"/>
                <w:lang w:eastAsia="sk-SK"/>
              </w:rPr>
              <w:t>2</w:t>
            </w:r>
          </w:p>
        </w:tc>
        <w:tc>
          <w:tcPr>
            <w:tcW w:w="513" w:type="pct"/>
            <w:tcBorders>
              <w:top w:val="nil"/>
              <w:left w:val="nil"/>
              <w:bottom w:val="single" w:sz="4" w:space="0" w:color="auto"/>
              <w:right w:val="single" w:sz="4" w:space="0" w:color="auto"/>
            </w:tcBorders>
            <w:shd w:val="clear" w:color="auto" w:fill="auto"/>
            <w:vAlign w:val="center"/>
          </w:tcPr>
          <w:p w:rsidR="007D13F3" w:rsidRPr="0027702E" w:rsidRDefault="007D13F3" w:rsidP="00465CAC">
            <w:pPr>
              <w:jc w:val="right"/>
              <w:rPr>
                <w:rFonts w:ascii="Times New Roman" w:hAnsi="Times New Roman" w:cs="Times New Roman"/>
                <w:color w:val="000000"/>
                <w:sz w:val="14"/>
                <w:szCs w:val="14"/>
                <w:lang w:eastAsia="sk-SK"/>
              </w:rPr>
            </w:pPr>
            <w:r w:rsidRPr="0027702E">
              <w:rPr>
                <w:rFonts w:ascii="Times New Roman" w:hAnsi="Times New Roman" w:cs="Times New Roman"/>
                <w:color w:val="000000"/>
                <w:sz w:val="14"/>
                <w:szCs w:val="14"/>
                <w:lang w:eastAsia="sk-SK"/>
              </w:rPr>
              <w:t>643 681</w:t>
            </w:r>
          </w:p>
        </w:tc>
        <w:tc>
          <w:tcPr>
            <w:tcW w:w="513" w:type="pct"/>
            <w:tcBorders>
              <w:top w:val="nil"/>
              <w:left w:val="nil"/>
              <w:bottom w:val="single" w:sz="4" w:space="0" w:color="auto"/>
              <w:right w:val="single" w:sz="4" w:space="0" w:color="auto"/>
            </w:tcBorders>
            <w:shd w:val="clear" w:color="auto" w:fill="auto"/>
            <w:vAlign w:val="center"/>
          </w:tcPr>
          <w:p w:rsidR="007D13F3" w:rsidRPr="0027702E" w:rsidRDefault="007D13F3" w:rsidP="00465CAC">
            <w:pPr>
              <w:jc w:val="right"/>
              <w:rPr>
                <w:rFonts w:ascii="Times New Roman" w:hAnsi="Times New Roman" w:cs="Times New Roman"/>
                <w:color w:val="000000"/>
                <w:sz w:val="14"/>
                <w:szCs w:val="14"/>
                <w:lang w:eastAsia="sk-SK"/>
              </w:rPr>
            </w:pPr>
            <w:r w:rsidRPr="0027702E">
              <w:rPr>
                <w:rFonts w:ascii="Times New Roman" w:hAnsi="Times New Roman" w:cs="Times New Roman"/>
                <w:color w:val="000000"/>
                <w:sz w:val="14"/>
                <w:szCs w:val="14"/>
                <w:lang w:eastAsia="sk-SK"/>
              </w:rPr>
              <w:t>306 724</w:t>
            </w:r>
          </w:p>
        </w:tc>
        <w:tc>
          <w:tcPr>
            <w:tcW w:w="513" w:type="pct"/>
            <w:tcBorders>
              <w:top w:val="nil"/>
              <w:left w:val="nil"/>
              <w:bottom w:val="single" w:sz="4" w:space="0" w:color="auto"/>
              <w:right w:val="single" w:sz="4" w:space="0" w:color="auto"/>
            </w:tcBorders>
            <w:shd w:val="clear" w:color="auto" w:fill="auto"/>
            <w:vAlign w:val="center"/>
          </w:tcPr>
          <w:p w:rsidR="007D13F3" w:rsidRPr="0027702E" w:rsidRDefault="007D13F3" w:rsidP="00465CAC">
            <w:pPr>
              <w:jc w:val="right"/>
              <w:rPr>
                <w:rFonts w:ascii="Times New Roman" w:hAnsi="Times New Roman" w:cs="Times New Roman"/>
                <w:color w:val="000000"/>
                <w:sz w:val="14"/>
                <w:szCs w:val="14"/>
                <w:lang w:eastAsia="sk-SK"/>
              </w:rPr>
            </w:pPr>
            <w:r w:rsidRPr="0027702E">
              <w:rPr>
                <w:rFonts w:ascii="Times New Roman" w:hAnsi="Times New Roman" w:cs="Times New Roman"/>
                <w:color w:val="000000"/>
                <w:sz w:val="14"/>
                <w:szCs w:val="14"/>
                <w:lang w:eastAsia="sk-SK"/>
              </w:rPr>
              <w:t>408 500</w:t>
            </w:r>
          </w:p>
        </w:tc>
        <w:tc>
          <w:tcPr>
            <w:tcW w:w="513" w:type="pct"/>
            <w:tcBorders>
              <w:top w:val="nil"/>
              <w:left w:val="nil"/>
              <w:bottom w:val="single" w:sz="4" w:space="0" w:color="auto"/>
              <w:right w:val="single" w:sz="4" w:space="0" w:color="auto"/>
            </w:tcBorders>
            <w:shd w:val="clear" w:color="auto" w:fill="auto"/>
            <w:vAlign w:val="center"/>
          </w:tcPr>
          <w:p w:rsidR="007D13F3" w:rsidRPr="0027702E" w:rsidRDefault="007D13F3" w:rsidP="00465CAC">
            <w:pPr>
              <w:jc w:val="right"/>
              <w:rPr>
                <w:rFonts w:ascii="Times New Roman" w:hAnsi="Times New Roman" w:cs="Times New Roman"/>
                <w:color w:val="000000"/>
                <w:sz w:val="14"/>
                <w:szCs w:val="14"/>
                <w:lang w:eastAsia="sk-SK"/>
              </w:rPr>
            </w:pPr>
            <w:r w:rsidRPr="0027702E">
              <w:rPr>
                <w:rFonts w:ascii="Times New Roman" w:hAnsi="Times New Roman" w:cs="Times New Roman"/>
                <w:color w:val="000000"/>
                <w:sz w:val="14"/>
                <w:szCs w:val="14"/>
                <w:lang w:eastAsia="sk-SK"/>
              </w:rPr>
              <w:t>488 319</w:t>
            </w:r>
          </w:p>
        </w:tc>
        <w:tc>
          <w:tcPr>
            <w:tcW w:w="513" w:type="pct"/>
            <w:tcBorders>
              <w:top w:val="nil"/>
              <w:left w:val="nil"/>
              <w:bottom w:val="single" w:sz="4" w:space="0" w:color="auto"/>
              <w:right w:val="single" w:sz="4" w:space="0" w:color="auto"/>
            </w:tcBorders>
            <w:shd w:val="clear" w:color="auto" w:fill="auto"/>
            <w:vAlign w:val="center"/>
          </w:tcPr>
          <w:p w:rsidR="007D13F3" w:rsidRPr="0027702E" w:rsidRDefault="007D13F3" w:rsidP="00465CAC">
            <w:pPr>
              <w:jc w:val="right"/>
              <w:rPr>
                <w:rFonts w:ascii="Times New Roman" w:hAnsi="Times New Roman" w:cs="Times New Roman"/>
                <w:color w:val="000000"/>
                <w:sz w:val="14"/>
                <w:szCs w:val="14"/>
                <w:lang w:eastAsia="sk-SK"/>
              </w:rPr>
            </w:pPr>
            <w:r w:rsidRPr="0027702E">
              <w:rPr>
                <w:rFonts w:ascii="Times New Roman" w:hAnsi="Times New Roman" w:cs="Times New Roman"/>
                <w:color w:val="000000"/>
                <w:sz w:val="14"/>
                <w:szCs w:val="14"/>
                <w:lang w:eastAsia="sk-SK"/>
              </w:rPr>
              <w:t>488 319</w:t>
            </w:r>
          </w:p>
        </w:tc>
        <w:tc>
          <w:tcPr>
            <w:tcW w:w="513" w:type="pct"/>
            <w:tcBorders>
              <w:top w:val="nil"/>
              <w:left w:val="nil"/>
              <w:bottom w:val="single" w:sz="4" w:space="0" w:color="auto"/>
              <w:right w:val="single" w:sz="4" w:space="0" w:color="auto"/>
            </w:tcBorders>
            <w:shd w:val="clear" w:color="auto" w:fill="auto"/>
            <w:vAlign w:val="center"/>
          </w:tcPr>
          <w:p w:rsidR="007D13F3" w:rsidRPr="0027702E" w:rsidRDefault="007D13F3" w:rsidP="00465CAC">
            <w:pPr>
              <w:jc w:val="right"/>
              <w:rPr>
                <w:rFonts w:ascii="Times New Roman" w:hAnsi="Times New Roman" w:cs="Times New Roman"/>
                <w:color w:val="000000"/>
                <w:sz w:val="14"/>
                <w:szCs w:val="14"/>
                <w:lang w:eastAsia="sk-SK"/>
              </w:rPr>
            </w:pPr>
            <w:r w:rsidRPr="0027702E">
              <w:rPr>
                <w:rFonts w:ascii="Times New Roman" w:hAnsi="Times New Roman" w:cs="Times New Roman"/>
                <w:color w:val="000000"/>
                <w:sz w:val="14"/>
                <w:szCs w:val="14"/>
                <w:lang w:eastAsia="sk-SK"/>
              </w:rPr>
              <w:t>488 319</w:t>
            </w:r>
          </w:p>
        </w:tc>
      </w:tr>
    </w:tbl>
    <w:p w:rsidR="007D13F3" w:rsidRDefault="007D13F3" w:rsidP="007D13F3">
      <w:pPr>
        <w:jc w:val="both"/>
        <w:rPr>
          <w:rFonts w:ascii="Times New Roman" w:hAnsi="Times New Roman" w:cs="Times New Roman"/>
          <w:b/>
        </w:rPr>
      </w:pPr>
    </w:p>
    <w:p w:rsidR="007D13F3" w:rsidRPr="0027702E" w:rsidRDefault="007D13F3" w:rsidP="007D13F3">
      <w:pPr>
        <w:jc w:val="both"/>
        <w:rPr>
          <w:rFonts w:ascii="Times New Roman" w:hAnsi="Times New Roman" w:cs="Times New Roman"/>
          <w:b/>
        </w:rPr>
      </w:pPr>
      <w:r w:rsidRPr="0027702E">
        <w:rPr>
          <w:rFonts w:ascii="Times New Roman" w:hAnsi="Times New Roman" w:cs="Times New Roman"/>
          <w:b/>
        </w:rPr>
        <w:t>Administratíva</w:t>
      </w:r>
    </w:p>
    <w:p w:rsidR="007D13F3" w:rsidRDefault="007D13F3" w:rsidP="007D13F3">
      <w:pPr>
        <w:jc w:val="both"/>
        <w:rPr>
          <w:rFonts w:ascii="Times New Roman" w:hAnsi="Times New Roman" w:cs="Times New Roman"/>
          <w:b/>
          <w:highlight w:val="yellow"/>
        </w:rPr>
      </w:pPr>
    </w:p>
    <w:tbl>
      <w:tblPr>
        <w:tblW w:w="5000" w:type="pct"/>
        <w:tblCellMar>
          <w:left w:w="70" w:type="dxa"/>
          <w:right w:w="70" w:type="dxa"/>
        </w:tblCellMar>
        <w:tblLook w:val="04A0" w:firstRow="1" w:lastRow="0" w:firstColumn="1" w:lastColumn="0" w:noHBand="0" w:noVBand="1"/>
      </w:tblPr>
      <w:tblGrid>
        <w:gridCol w:w="2692"/>
        <w:gridCol w:w="910"/>
        <w:gridCol w:w="910"/>
        <w:gridCol w:w="910"/>
        <w:gridCol w:w="910"/>
        <w:gridCol w:w="910"/>
        <w:gridCol w:w="910"/>
        <w:gridCol w:w="910"/>
      </w:tblGrid>
      <w:tr w:rsidR="007D13F3" w:rsidRPr="00C27AB7" w:rsidTr="00465CAC">
        <w:trPr>
          <w:trHeight w:hRule="exact" w:val="255"/>
        </w:trPr>
        <w:tc>
          <w:tcPr>
            <w:tcW w:w="148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C27AB7" w:rsidRDefault="007D13F3" w:rsidP="00465CAC">
            <w:pPr>
              <w:rPr>
                <w:rFonts w:ascii="Times New Roman" w:hAnsi="Times New Roman" w:cs="Times New Roman"/>
                <w:b/>
                <w:bCs/>
                <w:color w:val="000000"/>
                <w:sz w:val="14"/>
                <w:szCs w:val="14"/>
                <w:lang w:eastAsia="sk-SK"/>
              </w:rPr>
            </w:pPr>
            <w:r w:rsidRPr="00C27AB7">
              <w:rPr>
                <w:rFonts w:ascii="Times New Roman" w:hAnsi="Times New Roman" w:cs="Times New Roman"/>
                <w:b/>
                <w:bCs/>
                <w:color w:val="000000"/>
                <w:sz w:val="14"/>
                <w:szCs w:val="14"/>
                <w:lang w:eastAsia="sk-SK"/>
              </w:rPr>
              <w:t> </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C27AB7" w:rsidRDefault="007D13F3" w:rsidP="00465CAC">
            <w:pPr>
              <w:jc w:val="center"/>
              <w:rPr>
                <w:rFonts w:ascii="Times New Roman" w:hAnsi="Times New Roman" w:cs="Times New Roman"/>
                <w:b/>
                <w:bCs/>
                <w:color w:val="000000"/>
                <w:sz w:val="14"/>
                <w:szCs w:val="14"/>
                <w:lang w:eastAsia="sk-SK"/>
              </w:rPr>
            </w:pPr>
            <w:r w:rsidRPr="00C27AB7">
              <w:rPr>
                <w:rFonts w:ascii="Times New Roman" w:hAnsi="Times New Roman" w:cs="Times New Roman"/>
                <w:b/>
                <w:bCs/>
                <w:color w:val="000000"/>
                <w:sz w:val="14"/>
                <w:szCs w:val="14"/>
                <w:lang w:eastAsia="sk-SK"/>
              </w:rPr>
              <w:t>2015 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C27AB7" w:rsidRDefault="007D13F3" w:rsidP="00465CAC">
            <w:pPr>
              <w:jc w:val="center"/>
              <w:rPr>
                <w:rFonts w:ascii="Times New Roman" w:hAnsi="Times New Roman" w:cs="Times New Roman"/>
                <w:b/>
                <w:bCs/>
                <w:color w:val="000000"/>
                <w:sz w:val="14"/>
                <w:szCs w:val="14"/>
                <w:lang w:eastAsia="sk-SK"/>
              </w:rPr>
            </w:pPr>
            <w:r w:rsidRPr="00C27AB7">
              <w:rPr>
                <w:rFonts w:ascii="Times New Roman" w:hAnsi="Times New Roman" w:cs="Times New Roman"/>
                <w:b/>
                <w:bCs/>
                <w:color w:val="000000"/>
                <w:sz w:val="14"/>
                <w:szCs w:val="14"/>
                <w:lang w:eastAsia="sk-SK"/>
              </w:rPr>
              <w:t>2016 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C27AB7" w:rsidRDefault="007D13F3" w:rsidP="00465CAC">
            <w:pPr>
              <w:jc w:val="center"/>
              <w:rPr>
                <w:rFonts w:ascii="Times New Roman" w:hAnsi="Times New Roman" w:cs="Times New Roman"/>
                <w:b/>
                <w:bCs/>
                <w:color w:val="000000"/>
                <w:sz w:val="14"/>
                <w:szCs w:val="14"/>
                <w:lang w:eastAsia="sk-SK"/>
              </w:rPr>
            </w:pPr>
            <w:r w:rsidRPr="00C27AB7">
              <w:rPr>
                <w:rFonts w:ascii="Times New Roman" w:hAnsi="Times New Roman" w:cs="Times New Roman"/>
                <w:b/>
                <w:bCs/>
                <w:color w:val="000000"/>
                <w:sz w:val="14"/>
                <w:szCs w:val="14"/>
                <w:lang w:eastAsia="sk-SK"/>
              </w:rPr>
              <w:t>2017 R</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C27AB7" w:rsidRDefault="007D13F3" w:rsidP="002D230D">
            <w:pPr>
              <w:jc w:val="center"/>
              <w:rPr>
                <w:rFonts w:ascii="Times New Roman" w:hAnsi="Times New Roman" w:cs="Times New Roman"/>
                <w:b/>
                <w:bCs/>
                <w:color w:val="000000"/>
                <w:sz w:val="14"/>
                <w:szCs w:val="14"/>
                <w:lang w:eastAsia="sk-SK"/>
              </w:rPr>
            </w:pPr>
            <w:r w:rsidRPr="00C27AB7">
              <w:rPr>
                <w:rFonts w:ascii="Times New Roman" w:hAnsi="Times New Roman" w:cs="Times New Roman"/>
                <w:b/>
                <w:bCs/>
                <w:color w:val="000000"/>
                <w:sz w:val="14"/>
                <w:szCs w:val="14"/>
                <w:lang w:eastAsia="sk-SK"/>
              </w:rPr>
              <w:t xml:space="preserve">2017 </w:t>
            </w:r>
            <w:r w:rsidR="002D230D">
              <w:rPr>
                <w:rFonts w:ascii="Times New Roman" w:hAnsi="Times New Roman" w:cs="Times New Roman"/>
                <w:b/>
                <w:bCs/>
                <w:color w:val="000000"/>
                <w:sz w:val="14"/>
                <w:szCs w:val="14"/>
                <w:lang w:eastAsia="sk-SK"/>
              </w:rPr>
              <w:t>OS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C27AB7" w:rsidRDefault="007D13F3" w:rsidP="00465CAC">
            <w:pPr>
              <w:jc w:val="center"/>
              <w:rPr>
                <w:rFonts w:ascii="Times New Roman" w:hAnsi="Times New Roman" w:cs="Times New Roman"/>
                <w:b/>
                <w:bCs/>
                <w:color w:val="000000"/>
                <w:sz w:val="14"/>
                <w:szCs w:val="14"/>
                <w:lang w:eastAsia="sk-SK"/>
              </w:rPr>
            </w:pPr>
            <w:r w:rsidRPr="00C27AB7">
              <w:rPr>
                <w:rFonts w:ascii="Times New Roman" w:hAnsi="Times New Roman" w:cs="Times New Roman"/>
                <w:b/>
                <w:bCs/>
                <w:color w:val="000000"/>
                <w:sz w:val="14"/>
                <w:szCs w:val="14"/>
                <w:lang w:eastAsia="sk-SK"/>
              </w:rPr>
              <w:t>2018 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C27AB7" w:rsidRDefault="007D13F3" w:rsidP="00465CAC">
            <w:pPr>
              <w:jc w:val="center"/>
              <w:rPr>
                <w:rFonts w:ascii="Times New Roman" w:hAnsi="Times New Roman" w:cs="Times New Roman"/>
                <w:b/>
                <w:bCs/>
                <w:color w:val="000000"/>
                <w:sz w:val="14"/>
                <w:szCs w:val="14"/>
                <w:lang w:eastAsia="sk-SK"/>
              </w:rPr>
            </w:pPr>
            <w:r w:rsidRPr="00C27AB7">
              <w:rPr>
                <w:rFonts w:ascii="Times New Roman" w:hAnsi="Times New Roman" w:cs="Times New Roman"/>
                <w:b/>
                <w:bCs/>
                <w:color w:val="000000"/>
                <w:sz w:val="14"/>
                <w:szCs w:val="14"/>
                <w:lang w:eastAsia="sk-SK"/>
              </w:rPr>
              <w:t>2019 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C27AB7" w:rsidRDefault="007D13F3" w:rsidP="00465CAC">
            <w:pPr>
              <w:jc w:val="center"/>
              <w:rPr>
                <w:rFonts w:ascii="Times New Roman" w:hAnsi="Times New Roman" w:cs="Times New Roman"/>
                <w:b/>
                <w:bCs/>
                <w:color w:val="000000"/>
                <w:sz w:val="14"/>
                <w:szCs w:val="14"/>
                <w:lang w:eastAsia="sk-SK"/>
              </w:rPr>
            </w:pPr>
            <w:r w:rsidRPr="00C27AB7">
              <w:rPr>
                <w:rFonts w:ascii="Times New Roman" w:hAnsi="Times New Roman" w:cs="Times New Roman"/>
                <w:b/>
                <w:bCs/>
                <w:color w:val="000000"/>
                <w:sz w:val="14"/>
                <w:szCs w:val="14"/>
                <w:lang w:eastAsia="sk-SK"/>
              </w:rPr>
              <w:t>2020 N</w:t>
            </w:r>
          </w:p>
        </w:tc>
      </w:tr>
      <w:tr w:rsidR="007D13F3" w:rsidRPr="00C27AB7" w:rsidTr="00465CAC">
        <w:trPr>
          <w:trHeight w:hRule="exact" w:val="255"/>
        </w:trPr>
        <w:tc>
          <w:tcPr>
            <w:tcW w:w="1486"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C27AB7" w:rsidRDefault="007D13F3" w:rsidP="00465CAC">
            <w:pPr>
              <w:rPr>
                <w:rFonts w:ascii="Times New Roman" w:hAnsi="Times New Roman" w:cs="Times New Roman"/>
                <w:b/>
                <w:bCs/>
                <w:color w:val="000000"/>
                <w:sz w:val="14"/>
                <w:szCs w:val="14"/>
                <w:lang w:eastAsia="sk-SK"/>
              </w:rPr>
            </w:pPr>
            <w:r w:rsidRPr="00C27AB7">
              <w:rPr>
                <w:rFonts w:ascii="Times New Roman" w:hAnsi="Times New Roman" w:cs="Times New Roman"/>
                <w:b/>
                <w:bCs/>
                <w:color w:val="000000"/>
                <w:sz w:val="14"/>
                <w:szCs w:val="14"/>
                <w:lang w:eastAsia="sk-SK"/>
              </w:rPr>
              <w:t>08R Tvorba a implementácia politík</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C27AB7" w:rsidRDefault="007D13F3" w:rsidP="00465CAC">
            <w:pPr>
              <w:jc w:val="right"/>
              <w:rPr>
                <w:rFonts w:ascii="Times New Roman" w:hAnsi="Times New Roman" w:cs="Times New Roman"/>
                <w:b/>
                <w:bCs/>
                <w:color w:val="000000"/>
                <w:sz w:val="14"/>
                <w:szCs w:val="14"/>
                <w:lang w:eastAsia="sk-SK"/>
              </w:rPr>
            </w:pPr>
            <w:r w:rsidRPr="00C27AB7">
              <w:rPr>
                <w:rFonts w:ascii="Times New Roman" w:hAnsi="Times New Roman" w:cs="Times New Roman"/>
                <w:b/>
                <w:bCs/>
                <w:color w:val="000000"/>
                <w:sz w:val="14"/>
                <w:szCs w:val="14"/>
                <w:lang w:eastAsia="sk-SK"/>
              </w:rPr>
              <w:t>14 548 976</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C27AB7" w:rsidRDefault="007D13F3" w:rsidP="00465CAC">
            <w:pPr>
              <w:jc w:val="right"/>
              <w:rPr>
                <w:rFonts w:ascii="Times New Roman" w:hAnsi="Times New Roman" w:cs="Times New Roman"/>
                <w:b/>
                <w:bCs/>
                <w:color w:val="000000"/>
                <w:sz w:val="14"/>
                <w:szCs w:val="14"/>
                <w:lang w:eastAsia="sk-SK"/>
              </w:rPr>
            </w:pPr>
            <w:r w:rsidRPr="00C27AB7">
              <w:rPr>
                <w:rFonts w:ascii="Times New Roman" w:hAnsi="Times New Roman" w:cs="Times New Roman"/>
                <w:b/>
                <w:bCs/>
                <w:color w:val="000000"/>
                <w:sz w:val="14"/>
                <w:szCs w:val="14"/>
                <w:lang w:eastAsia="sk-SK"/>
              </w:rPr>
              <w:t>16 156 98</w:t>
            </w:r>
            <w:r>
              <w:rPr>
                <w:rFonts w:ascii="Times New Roman" w:hAnsi="Times New Roman" w:cs="Times New Roman"/>
                <w:b/>
                <w:bCs/>
                <w:color w:val="000000"/>
                <w:sz w:val="14"/>
                <w:szCs w:val="14"/>
                <w:lang w:eastAsia="sk-SK"/>
              </w:rPr>
              <w:t>6</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C27AB7" w:rsidRDefault="007D13F3" w:rsidP="00465CAC">
            <w:pPr>
              <w:jc w:val="right"/>
              <w:rPr>
                <w:rFonts w:ascii="Times New Roman" w:hAnsi="Times New Roman" w:cs="Times New Roman"/>
                <w:b/>
                <w:bCs/>
                <w:color w:val="000000"/>
                <w:sz w:val="14"/>
                <w:szCs w:val="14"/>
                <w:lang w:eastAsia="sk-SK"/>
              </w:rPr>
            </w:pPr>
            <w:r w:rsidRPr="00C27AB7">
              <w:rPr>
                <w:rFonts w:ascii="Times New Roman" w:hAnsi="Times New Roman" w:cs="Times New Roman"/>
                <w:b/>
                <w:bCs/>
                <w:color w:val="000000"/>
                <w:sz w:val="14"/>
                <w:szCs w:val="14"/>
                <w:lang w:eastAsia="sk-SK"/>
              </w:rPr>
              <w:t>13 015 781</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C27AB7" w:rsidRDefault="007D13F3" w:rsidP="00465CAC">
            <w:pPr>
              <w:jc w:val="right"/>
              <w:rPr>
                <w:rFonts w:ascii="Times New Roman" w:hAnsi="Times New Roman" w:cs="Times New Roman"/>
                <w:b/>
                <w:bCs/>
                <w:color w:val="000000"/>
                <w:sz w:val="14"/>
                <w:szCs w:val="14"/>
                <w:lang w:eastAsia="sk-SK"/>
              </w:rPr>
            </w:pPr>
            <w:r w:rsidRPr="00C27AB7">
              <w:rPr>
                <w:rFonts w:ascii="Times New Roman" w:hAnsi="Times New Roman" w:cs="Times New Roman"/>
                <w:b/>
                <w:bCs/>
                <w:color w:val="000000"/>
                <w:sz w:val="14"/>
                <w:szCs w:val="14"/>
                <w:lang w:eastAsia="sk-SK"/>
              </w:rPr>
              <w:t>17 611 645</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C27AB7" w:rsidRDefault="007D13F3" w:rsidP="00465CAC">
            <w:pPr>
              <w:jc w:val="right"/>
              <w:rPr>
                <w:rFonts w:ascii="Times New Roman" w:hAnsi="Times New Roman" w:cs="Times New Roman"/>
                <w:b/>
                <w:bCs/>
                <w:color w:val="000000"/>
                <w:sz w:val="14"/>
                <w:szCs w:val="14"/>
                <w:lang w:eastAsia="sk-SK"/>
              </w:rPr>
            </w:pPr>
            <w:r w:rsidRPr="00C27AB7">
              <w:rPr>
                <w:rFonts w:ascii="Times New Roman" w:hAnsi="Times New Roman" w:cs="Times New Roman"/>
                <w:b/>
                <w:bCs/>
                <w:color w:val="000000"/>
                <w:sz w:val="14"/>
                <w:szCs w:val="14"/>
                <w:lang w:eastAsia="sk-SK"/>
              </w:rPr>
              <w:t>14 454 886</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C27AB7" w:rsidRDefault="007D13F3" w:rsidP="00465CAC">
            <w:pPr>
              <w:jc w:val="right"/>
              <w:rPr>
                <w:rFonts w:ascii="Times New Roman" w:hAnsi="Times New Roman" w:cs="Times New Roman"/>
                <w:b/>
                <w:bCs/>
                <w:color w:val="000000"/>
                <w:sz w:val="14"/>
                <w:szCs w:val="14"/>
                <w:lang w:eastAsia="sk-SK"/>
              </w:rPr>
            </w:pPr>
            <w:r w:rsidRPr="00C27AB7">
              <w:rPr>
                <w:rFonts w:ascii="Times New Roman" w:hAnsi="Times New Roman" w:cs="Times New Roman"/>
                <w:b/>
                <w:bCs/>
                <w:color w:val="000000"/>
                <w:sz w:val="14"/>
                <w:szCs w:val="14"/>
                <w:lang w:eastAsia="sk-SK"/>
              </w:rPr>
              <w:t>15 954 886</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C27AB7" w:rsidRDefault="007D13F3" w:rsidP="00465CAC">
            <w:pPr>
              <w:jc w:val="right"/>
              <w:rPr>
                <w:rFonts w:ascii="Times New Roman" w:hAnsi="Times New Roman" w:cs="Times New Roman"/>
                <w:b/>
                <w:bCs/>
                <w:color w:val="000000"/>
                <w:sz w:val="14"/>
                <w:szCs w:val="14"/>
                <w:lang w:eastAsia="sk-SK"/>
              </w:rPr>
            </w:pPr>
            <w:r w:rsidRPr="00C27AB7">
              <w:rPr>
                <w:rFonts w:ascii="Times New Roman" w:hAnsi="Times New Roman" w:cs="Times New Roman"/>
                <w:b/>
                <w:bCs/>
                <w:color w:val="000000"/>
                <w:sz w:val="14"/>
                <w:szCs w:val="14"/>
                <w:lang w:eastAsia="sk-SK"/>
              </w:rPr>
              <w:t>15 954 886</w:t>
            </w:r>
          </w:p>
        </w:tc>
      </w:tr>
      <w:tr w:rsidR="007D13F3" w:rsidRPr="00C27AB7" w:rsidTr="00465CAC">
        <w:trPr>
          <w:trHeight w:hRule="exact" w:val="255"/>
        </w:trPr>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7D13F3" w:rsidRPr="00C27AB7" w:rsidRDefault="007D13F3" w:rsidP="00465CAC">
            <w:pPr>
              <w:rPr>
                <w:rFonts w:ascii="Times New Roman" w:hAnsi="Times New Roman" w:cs="Times New Roman"/>
                <w:sz w:val="14"/>
                <w:szCs w:val="14"/>
                <w:lang w:eastAsia="sk-SK"/>
              </w:rPr>
            </w:pPr>
            <w:r w:rsidRPr="00C27AB7">
              <w:rPr>
                <w:rFonts w:ascii="Times New Roman" w:hAnsi="Times New Roman" w:cs="Times New Roman"/>
                <w:sz w:val="14"/>
                <w:szCs w:val="14"/>
                <w:lang w:eastAsia="sk-SK"/>
              </w:rPr>
              <w:t>600 bežné výdavky</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14 400 419</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15 928 56</w:t>
            </w:r>
            <w:r>
              <w:rPr>
                <w:rFonts w:ascii="Times New Roman" w:hAnsi="Times New Roman" w:cs="Times New Roman"/>
                <w:sz w:val="14"/>
                <w:szCs w:val="14"/>
                <w:lang w:eastAsia="sk-SK"/>
              </w:rPr>
              <w:t>3</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12 895 781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17 491 645</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14 334 886</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15 834 886</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15 834 886</w:t>
            </w:r>
          </w:p>
        </w:tc>
      </w:tr>
      <w:tr w:rsidR="007D13F3" w:rsidRPr="00C27AB7" w:rsidTr="00465CAC">
        <w:trPr>
          <w:trHeight w:hRule="exact" w:val="255"/>
        </w:trPr>
        <w:tc>
          <w:tcPr>
            <w:tcW w:w="1486" w:type="pct"/>
            <w:tcBorders>
              <w:top w:val="nil"/>
              <w:left w:val="single" w:sz="4" w:space="0" w:color="auto"/>
              <w:bottom w:val="single" w:sz="4" w:space="0" w:color="auto"/>
              <w:right w:val="single" w:sz="4" w:space="0" w:color="auto"/>
            </w:tcBorders>
            <w:shd w:val="clear" w:color="000000" w:fill="FFFFFF"/>
            <w:vAlign w:val="center"/>
            <w:hideMark/>
          </w:tcPr>
          <w:p w:rsidR="007D13F3" w:rsidRPr="00C27AB7" w:rsidRDefault="007D13F3" w:rsidP="00465CAC">
            <w:pPr>
              <w:rPr>
                <w:rFonts w:ascii="Times New Roman" w:hAnsi="Times New Roman" w:cs="Times New Roman"/>
                <w:sz w:val="14"/>
                <w:szCs w:val="14"/>
                <w:lang w:eastAsia="sk-SK"/>
              </w:rPr>
            </w:pPr>
            <w:r w:rsidRPr="00C27AB7">
              <w:rPr>
                <w:rFonts w:ascii="Times New Roman" w:hAnsi="Times New Roman" w:cs="Times New Roman"/>
                <w:sz w:val="14"/>
                <w:szCs w:val="14"/>
                <w:lang w:eastAsia="sk-SK"/>
              </w:rPr>
              <w:t>610 mzdy</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4 958 499</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4 522 427</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5 145 630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5 357 940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color w:val="000000"/>
                <w:sz w:val="14"/>
                <w:szCs w:val="14"/>
                <w:lang w:eastAsia="sk-SK"/>
              </w:rPr>
            </w:pPr>
            <w:r w:rsidRPr="00C27AB7">
              <w:rPr>
                <w:rFonts w:ascii="Times New Roman" w:hAnsi="Times New Roman" w:cs="Times New Roman"/>
                <w:color w:val="000000"/>
                <w:sz w:val="14"/>
                <w:szCs w:val="14"/>
                <w:lang w:eastAsia="sk-SK"/>
              </w:rPr>
              <w:t>5 345 571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color w:val="000000"/>
                <w:sz w:val="14"/>
                <w:szCs w:val="14"/>
                <w:lang w:eastAsia="sk-SK"/>
              </w:rPr>
            </w:pPr>
            <w:r w:rsidRPr="00C27AB7">
              <w:rPr>
                <w:rFonts w:ascii="Times New Roman" w:hAnsi="Times New Roman" w:cs="Times New Roman"/>
                <w:color w:val="000000"/>
                <w:sz w:val="14"/>
                <w:szCs w:val="14"/>
                <w:lang w:eastAsia="sk-SK"/>
              </w:rPr>
              <w:t>5 345 571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color w:val="000000"/>
                <w:sz w:val="14"/>
                <w:szCs w:val="14"/>
                <w:lang w:eastAsia="sk-SK"/>
              </w:rPr>
            </w:pPr>
            <w:r w:rsidRPr="00C27AB7">
              <w:rPr>
                <w:rFonts w:ascii="Times New Roman" w:hAnsi="Times New Roman" w:cs="Times New Roman"/>
                <w:color w:val="000000"/>
                <w:sz w:val="14"/>
                <w:szCs w:val="14"/>
                <w:lang w:eastAsia="sk-SK"/>
              </w:rPr>
              <w:t>5 345 571</w:t>
            </w:r>
          </w:p>
        </w:tc>
      </w:tr>
      <w:tr w:rsidR="007D13F3" w:rsidRPr="00C27AB7" w:rsidTr="00465CAC">
        <w:trPr>
          <w:trHeight w:hRule="exact" w:val="255"/>
        </w:trPr>
        <w:tc>
          <w:tcPr>
            <w:tcW w:w="1486" w:type="pct"/>
            <w:tcBorders>
              <w:top w:val="nil"/>
              <w:left w:val="single" w:sz="4" w:space="0" w:color="auto"/>
              <w:bottom w:val="single" w:sz="4" w:space="0" w:color="auto"/>
              <w:right w:val="single" w:sz="4" w:space="0" w:color="auto"/>
            </w:tcBorders>
            <w:shd w:val="clear" w:color="000000" w:fill="FFFFFF"/>
            <w:vAlign w:val="center"/>
            <w:hideMark/>
          </w:tcPr>
          <w:p w:rsidR="007D13F3" w:rsidRPr="00C27AB7" w:rsidRDefault="007D13F3" w:rsidP="00465CAC">
            <w:pPr>
              <w:rPr>
                <w:rFonts w:ascii="Times New Roman" w:hAnsi="Times New Roman" w:cs="Times New Roman"/>
                <w:sz w:val="14"/>
                <w:szCs w:val="14"/>
                <w:lang w:eastAsia="sk-SK"/>
              </w:rPr>
            </w:pPr>
            <w:r w:rsidRPr="00C27AB7">
              <w:rPr>
                <w:rFonts w:ascii="Times New Roman" w:hAnsi="Times New Roman" w:cs="Times New Roman"/>
                <w:sz w:val="14"/>
                <w:szCs w:val="14"/>
                <w:lang w:eastAsia="sk-SK"/>
              </w:rPr>
              <w:t>620 odvody</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1 664 973</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1 589 823</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1 787 377</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1 860 951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color w:val="000000"/>
                <w:sz w:val="14"/>
                <w:szCs w:val="14"/>
                <w:lang w:eastAsia="sk-SK"/>
              </w:rPr>
            </w:pPr>
            <w:r w:rsidRPr="00C27AB7">
              <w:rPr>
                <w:rFonts w:ascii="Times New Roman" w:hAnsi="Times New Roman" w:cs="Times New Roman"/>
                <w:color w:val="000000"/>
                <w:sz w:val="14"/>
                <w:szCs w:val="14"/>
                <w:lang w:eastAsia="sk-SK"/>
              </w:rPr>
              <w:t>1 857 041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color w:val="000000"/>
                <w:sz w:val="14"/>
                <w:szCs w:val="14"/>
                <w:lang w:eastAsia="sk-SK"/>
              </w:rPr>
            </w:pPr>
            <w:r w:rsidRPr="00C27AB7">
              <w:rPr>
                <w:rFonts w:ascii="Times New Roman" w:hAnsi="Times New Roman" w:cs="Times New Roman"/>
                <w:color w:val="000000"/>
                <w:sz w:val="14"/>
                <w:szCs w:val="14"/>
                <w:lang w:eastAsia="sk-SK"/>
              </w:rPr>
              <w:t>1 857 041</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color w:val="000000"/>
                <w:sz w:val="14"/>
                <w:szCs w:val="14"/>
                <w:lang w:eastAsia="sk-SK"/>
              </w:rPr>
            </w:pPr>
            <w:r w:rsidRPr="00C27AB7">
              <w:rPr>
                <w:rFonts w:ascii="Times New Roman" w:hAnsi="Times New Roman" w:cs="Times New Roman"/>
                <w:color w:val="000000"/>
                <w:sz w:val="14"/>
                <w:szCs w:val="14"/>
                <w:lang w:eastAsia="sk-SK"/>
              </w:rPr>
              <w:t>1 857 041</w:t>
            </w:r>
          </w:p>
        </w:tc>
      </w:tr>
      <w:tr w:rsidR="007D13F3" w:rsidRPr="00C27AB7" w:rsidTr="00465CAC">
        <w:trPr>
          <w:trHeight w:hRule="exact" w:val="255"/>
        </w:trPr>
        <w:tc>
          <w:tcPr>
            <w:tcW w:w="1486" w:type="pct"/>
            <w:tcBorders>
              <w:top w:val="nil"/>
              <w:left w:val="single" w:sz="4" w:space="0" w:color="auto"/>
              <w:bottom w:val="single" w:sz="4" w:space="0" w:color="auto"/>
              <w:right w:val="single" w:sz="4" w:space="0" w:color="auto"/>
            </w:tcBorders>
            <w:shd w:val="clear" w:color="000000" w:fill="FFFFFF"/>
            <w:vAlign w:val="center"/>
            <w:hideMark/>
          </w:tcPr>
          <w:p w:rsidR="007D13F3" w:rsidRPr="00C27AB7" w:rsidRDefault="007D13F3" w:rsidP="00465CAC">
            <w:pPr>
              <w:rPr>
                <w:rFonts w:ascii="Times New Roman" w:hAnsi="Times New Roman" w:cs="Times New Roman"/>
                <w:sz w:val="14"/>
                <w:szCs w:val="14"/>
                <w:lang w:eastAsia="sk-SK"/>
              </w:rPr>
            </w:pPr>
            <w:r w:rsidRPr="00C27AB7">
              <w:rPr>
                <w:rFonts w:ascii="Times New Roman" w:hAnsi="Times New Roman" w:cs="Times New Roman"/>
                <w:sz w:val="14"/>
                <w:szCs w:val="14"/>
                <w:lang w:eastAsia="sk-SK"/>
              </w:rPr>
              <w:t>630 tovary a služby</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1 579 340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5 070 3</w:t>
            </w:r>
            <w:r>
              <w:rPr>
                <w:rFonts w:ascii="Times New Roman" w:hAnsi="Times New Roman" w:cs="Times New Roman"/>
                <w:sz w:val="14"/>
                <w:szCs w:val="14"/>
                <w:lang w:eastAsia="sk-SK"/>
              </w:rPr>
              <w:t>50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1 591 994</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1 490 604</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color w:val="000000"/>
                <w:sz w:val="14"/>
                <w:szCs w:val="14"/>
                <w:lang w:eastAsia="sk-SK"/>
              </w:rPr>
            </w:pPr>
            <w:r w:rsidRPr="00C27AB7">
              <w:rPr>
                <w:rFonts w:ascii="Times New Roman" w:hAnsi="Times New Roman" w:cs="Times New Roman"/>
                <w:color w:val="000000"/>
                <w:sz w:val="14"/>
                <w:szCs w:val="14"/>
                <w:lang w:eastAsia="sk-SK"/>
              </w:rPr>
              <w:t>1 591 994</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color w:val="000000"/>
                <w:sz w:val="14"/>
                <w:szCs w:val="14"/>
                <w:lang w:eastAsia="sk-SK"/>
              </w:rPr>
            </w:pPr>
            <w:r w:rsidRPr="00C27AB7">
              <w:rPr>
                <w:rFonts w:ascii="Times New Roman" w:hAnsi="Times New Roman" w:cs="Times New Roman"/>
                <w:color w:val="000000"/>
                <w:sz w:val="14"/>
                <w:szCs w:val="14"/>
                <w:lang w:eastAsia="sk-SK"/>
              </w:rPr>
              <w:t>3 091 994</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color w:val="000000"/>
                <w:sz w:val="14"/>
                <w:szCs w:val="14"/>
                <w:lang w:eastAsia="sk-SK"/>
              </w:rPr>
            </w:pPr>
            <w:r w:rsidRPr="00C27AB7">
              <w:rPr>
                <w:rFonts w:ascii="Times New Roman" w:hAnsi="Times New Roman" w:cs="Times New Roman"/>
                <w:color w:val="000000"/>
                <w:sz w:val="14"/>
                <w:szCs w:val="14"/>
                <w:lang w:eastAsia="sk-SK"/>
              </w:rPr>
              <w:t>3 091 994</w:t>
            </w:r>
          </w:p>
        </w:tc>
      </w:tr>
      <w:tr w:rsidR="007D13F3" w:rsidRPr="00C27AB7" w:rsidTr="00465CAC">
        <w:trPr>
          <w:trHeight w:hRule="exact" w:val="255"/>
        </w:trPr>
        <w:tc>
          <w:tcPr>
            <w:tcW w:w="1486" w:type="pct"/>
            <w:tcBorders>
              <w:top w:val="nil"/>
              <w:left w:val="single" w:sz="4" w:space="0" w:color="auto"/>
              <w:bottom w:val="single" w:sz="4" w:space="0" w:color="auto"/>
              <w:right w:val="single" w:sz="4" w:space="0" w:color="auto"/>
            </w:tcBorders>
            <w:shd w:val="clear" w:color="000000" w:fill="FFFFFF"/>
            <w:vAlign w:val="center"/>
            <w:hideMark/>
          </w:tcPr>
          <w:p w:rsidR="007D13F3" w:rsidRPr="00C27AB7" w:rsidRDefault="007D13F3" w:rsidP="00465CAC">
            <w:pPr>
              <w:rPr>
                <w:rFonts w:ascii="Times New Roman" w:hAnsi="Times New Roman" w:cs="Times New Roman"/>
                <w:sz w:val="14"/>
                <w:szCs w:val="14"/>
                <w:lang w:eastAsia="sk-SK"/>
              </w:rPr>
            </w:pPr>
            <w:r w:rsidRPr="00C27AB7">
              <w:rPr>
                <w:rFonts w:ascii="Times New Roman" w:hAnsi="Times New Roman" w:cs="Times New Roman"/>
                <w:sz w:val="14"/>
                <w:szCs w:val="14"/>
                <w:lang w:eastAsia="sk-SK"/>
              </w:rPr>
              <w:t>640 bežné transfery</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6 197 607</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4 745 963</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4 370 780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8 782 150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color w:val="000000"/>
                <w:sz w:val="14"/>
                <w:szCs w:val="14"/>
                <w:lang w:eastAsia="sk-SK"/>
              </w:rPr>
            </w:pPr>
            <w:r w:rsidRPr="00C27AB7">
              <w:rPr>
                <w:rFonts w:ascii="Times New Roman" w:hAnsi="Times New Roman" w:cs="Times New Roman"/>
                <w:color w:val="000000"/>
                <w:sz w:val="14"/>
                <w:szCs w:val="14"/>
                <w:lang w:eastAsia="sk-SK"/>
              </w:rPr>
              <w:t>5 540 280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color w:val="000000"/>
                <w:sz w:val="14"/>
                <w:szCs w:val="14"/>
                <w:lang w:eastAsia="sk-SK"/>
              </w:rPr>
            </w:pPr>
            <w:r w:rsidRPr="00C27AB7">
              <w:rPr>
                <w:rFonts w:ascii="Times New Roman" w:hAnsi="Times New Roman" w:cs="Times New Roman"/>
                <w:color w:val="000000"/>
                <w:sz w:val="14"/>
                <w:szCs w:val="14"/>
                <w:lang w:eastAsia="sk-SK"/>
              </w:rPr>
              <w:t>5 540 280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color w:val="000000"/>
                <w:sz w:val="14"/>
                <w:szCs w:val="14"/>
                <w:lang w:eastAsia="sk-SK"/>
              </w:rPr>
            </w:pPr>
            <w:r w:rsidRPr="00C27AB7">
              <w:rPr>
                <w:rFonts w:ascii="Times New Roman" w:hAnsi="Times New Roman" w:cs="Times New Roman"/>
                <w:color w:val="000000"/>
                <w:sz w:val="14"/>
                <w:szCs w:val="14"/>
                <w:lang w:eastAsia="sk-SK"/>
              </w:rPr>
              <w:t>5 540 280</w:t>
            </w:r>
          </w:p>
        </w:tc>
      </w:tr>
      <w:tr w:rsidR="007D13F3" w:rsidRPr="00C27AB7" w:rsidTr="00465CAC">
        <w:trPr>
          <w:trHeight w:hRule="exact" w:val="255"/>
        </w:trPr>
        <w:tc>
          <w:tcPr>
            <w:tcW w:w="1486" w:type="pct"/>
            <w:tcBorders>
              <w:top w:val="nil"/>
              <w:left w:val="single" w:sz="4" w:space="0" w:color="auto"/>
              <w:bottom w:val="single" w:sz="4" w:space="0" w:color="auto"/>
              <w:right w:val="single" w:sz="4" w:space="0" w:color="auto"/>
            </w:tcBorders>
            <w:shd w:val="clear" w:color="000000" w:fill="FFFFFF"/>
            <w:vAlign w:val="center"/>
            <w:hideMark/>
          </w:tcPr>
          <w:p w:rsidR="007D13F3" w:rsidRPr="00C27AB7" w:rsidRDefault="007D13F3" w:rsidP="00465CAC">
            <w:pPr>
              <w:rPr>
                <w:rFonts w:ascii="Times New Roman" w:hAnsi="Times New Roman" w:cs="Times New Roman"/>
                <w:sz w:val="14"/>
                <w:szCs w:val="14"/>
                <w:lang w:eastAsia="sk-SK"/>
              </w:rPr>
            </w:pPr>
            <w:r w:rsidRPr="00C27AB7">
              <w:rPr>
                <w:rFonts w:ascii="Times New Roman" w:hAnsi="Times New Roman" w:cs="Times New Roman"/>
                <w:sz w:val="14"/>
                <w:szCs w:val="14"/>
                <w:lang w:eastAsia="sk-SK"/>
              </w:rPr>
              <w:t xml:space="preserve">700 kapitálové výdavky  </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148 557</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228 423</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120 000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sz w:val="14"/>
                <w:szCs w:val="14"/>
                <w:lang w:eastAsia="sk-SK"/>
              </w:rPr>
            </w:pPr>
            <w:r w:rsidRPr="00C27AB7">
              <w:rPr>
                <w:rFonts w:ascii="Times New Roman" w:hAnsi="Times New Roman" w:cs="Times New Roman"/>
                <w:sz w:val="14"/>
                <w:szCs w:val="14"/>
                <w:lang w:eastAsia="sk-SK"/>
              </w:rPr>
              <w:t>120 000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color w:val="000000"/>
                <w:sz w:val="14"/>
                <w:szCs w:val="14"/>
                <w:lang w:eastAsia="sk-SK"/>
              </w:rPr>
            </w:pPr>
            <w:r w:rsidRPr="00C27AB7">
              <w:rPr>
                <w:rFonts w:ascii="Times New Roman" w:hAnsi="Times New Roman" w:cs="Times New Roman"/>
                <w:color w:val="000000"/>
                <w:sz w:val="14"/>
                <w:szCs w:val="14"/>
                <w:lang w:eastAsia="sk-SK"/>
              </w:rPr>
              <w:t>120 000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color w:val="000000"/>
                <w:sz w:val="14"/>
                <w:szCs w:val="14"/>
                <w:lang w:eastAsia="sk-SK"/>
              </w:rPr>
            </w:pPr>
            <w:r w:rsidRPr="00C27AB7">
              <w:rPr>
                <w:rFonts w:ascii="Times New Roman" w:hAnsi="Times New Roman" w:cs="Times New Roman"/>
                <w:color w:val="000000"/>
                <w:sz w:val="14"/>
                <w:szCs w:val="14"/>
                <w:lang w:eastAsia="sk-SK"/>
              </w:rPr>
              <w:t>120 000</w:t>
            </w:r>
          </w:p>
        </w:tc>
        <w:tc>
          <w:tcPr>
            <w:tcW w:w="502" w:type="pct"/>
            <w:tcBorders>
              <w:top w:val="nil"/>
              <w:left w:val="nil"/>
              <w:bottom w:val="single" w:sz="4" w:space="0" w:color="auto"/>
              <w:right w:val="single" w:sz="4" w:space="0" w:color="auto"/>
            </w:tcBorders>
            <w:shd w:val="clear" w:color="auto" w:fill="auto"/>
            <w:noWrap/>
            <w:vAlign w:val="center"/>
            <w:hideMark/>
          </w:tcPr>
          <w:p w:rsidR="007D13F3" w:rsidRPr="00C27AB7" w:rsidRDefault="007D13F3" w:rsidP="00465CAC">
            <w:pPr>
              <w:jc w:val="right"/>
              <w:rPr>
                <w:rFonts w:ascii="Times New Roman" w:hAnsi="Times New Roman" w:cs="Times New Roman"/>
                <w:color w:val="000000"/>
                <w:sz w:val="14"/>
                <w:szCs w:val="14"/>
                <w:lang w:eastAsia="sk-SK"/>
              </w:rPr>
            </w:pPr>
            <w:r w:rsidRPr="00C27AB7">
              <w:rPr>
                <w:rFonts w:ascii="Times New Roman" w:hAnsi="Times New Roman" w:cs="Times New Roman"/>
                <w:color w:val="000000"/>
                <w:sz w:val="14"/>
                <w:szCs w:val="14"/>
                <w:lang w:eastAsia="sk-SK"/>
              </w:rPr>
              <w:t>120 000</w:t>
            </w:r>
          </w:p>
        </w:tc>
      </w:tr>
    </w:tbl>
    <w:p w:rsidR="007D13F3" w:rsidRDefault="007D13F3" w:rsidP="007D13F3">
      <w:pPr>
        <w:jc w:val="both"/>
        <w:rPr>
          <w:rFonts w:ascii="Times New Roman" w:hAnsi="Times New Roman" w:cs="Times New Roman"/>
          <w:b/>
          <w:highlight w:val="yellow"/>
        </w:rPr>
      </w:pPr>
    </w:p>
    <w:p w:rsidR="007D13F3" w:rsidRPr="00081AAF" w:rsidRDefault="007D13F3" w:rsidP="007D13F3">
      <w:pPr>
        <w:ind w:firstLine="708"/>
        <w:jc w:val="both"/>
        <w:rPr>
          <w:rFonts w:ascii="Times New Roman" w:hAnsi="Times New Roman" w:cs="Times New Roman"/>
        </w:rPr>
      </w:pPr>
      <w:r w:rsidRPr="00081AAF">
        <w:rPr>
          <w:rFonts w:ascii="Times New Roman" w:hAnsi="Times New Roman" w:cs="Times New Roman"/>
        </w:rPr>
        <w:t xml:space="preserve">Na zabezpečenie činnosti ústredného orgánu MS SR sa na rok 2018 rozpočtujú výdavky v sume 14,4 mil. eur, čo predstavuje oproti schválenému rozpočtu roku 2017 nárast o sumu 1,44 mil. eur, t. j. o 11,1 %. Nárast je spôsobený rastom miezd v sume 270 tis. eur, príplatku za výkon funkcie sudcu v sume 400 tis. eur a delimitáciou z </w:t>
      </w:r>
      <w:proofErr w:type="spellStart"/>
      <w:r w:rsidRPr="00081AAF">
        <w:rPr>
          <w:rFonts w:ascii="Times New Roman" w:hAnsi="Times New Roman" w:cs="Times New Roman"/>
        </w:rPr>
        <w:t>MZVaEZ</w:t>
      </w:r>
      <w:proofErr w:type="spellEnd"/>
      <w:r w:rsidRPr="00081AAF">
        <w:rPr>
          <w:rFonts w:ascii="Times New Roman" w:hAnsi="Times New Roman" w:cs="Times New Roman"/>
        </w:rPr>
        <w:t xml:space="preserve"> SR v sume 769 tis. eur.  Úlohy v oblasti administratívy sú zamerané aj na edičnú činnosť a realizáciu odškodňovania občanov v súlade s platnou legislatívou a činnosťou zástupcov Slovenskej republiky pred medzinárodnými súdnymi inštitúciami.  </w:t>
      </w:r>
    </w:p>
    <w:p w:rsidR="007D13F3" w:rsidRPr="001E25AA" w:rsidRDefault="007D13F3" w:rsidP="007D13F3">
      <w:pPr>
        <w:jc w:val="both"/>
        <w:rPr>
          <w:rFonts w:ascii="Times New Roman" w:hAnsi="Times New Roman" w:cs="Times New Roman"/>
          <w:highlight w:val="yellow"/>
        </w:rPr>
      </w:pPr>
    </w:p>
    <w:p w:rsidR="007D13F3" w:rsidRPr="00BA6C2A" w:rsidRDefault="007D13F3" w:rsidP="007D13F3">
      <w:pPr>
        <w:jc w:val="both"/>
        <w:rPr>
          <w:rFonts w:ascii="Times New Roman" w:hAnsi="Times New Roman" w:cs="Times New Roman"/>
          <w:i/>
          <w:u w:val="single"/>
        </w:rPr>
      </w:pPr>
      <w:r w:rsidRPr="00BA6C2A">
        <w:rPr>
          <w:rFonts w:ascii="Times New Roman" w:hAnsi="Times New Roman" w:cs="Times New Roman"/>
          <w:i/>
          <w:u w:val="single"/>
        </w:rPr>
        <w:t>Odškodňovanie v administratíve</w:t>
      </w:r>
    </w:p>
    <w:p w:rsidR="007D13F3" w:rsidRPr="00BA6C2A" w:rsidRDefault="007D13F3" w:rsidP="007D13F3">
      <w:pPr>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BA6C2A">
        <w:rPr>
          <w:rFonts w:ascii="Times New Roman" w:hAnsi="Times New Roman" w:cs="Times New Roman"/>
        </w:rPr>
        <w:t>Prerokovanie žiadostí o odškodnenie podľa zákonov č. 105/2002 Z.</w:t>
      </w:r>
      <w:r w:rsidR="002D230D">
        <w:rPr>
          <w:rFonts w:ascii="Times New Roman" w:hAnsi="Times New Roman" w:cs="Times New Roman"/>
        </w:rPr>
        <w:t xml:space="preserve"> </w:t>
      </w:r>
      <w:r w:rsidRPr="00BA6C2A">
        <w:rPr>
          <w:rFonts w:ascii="Times New Roman" w:hAnsi="Times New Roman" w:cs="Times New Roman"/>
        </w:rPr>
        <w:t>z. (ide o jednorazový finančný príspevok príslušníkom československých zahraničných alebo spojeneckých armád) a 305/1999 Z.</w:t>
      </w:r>
      <w:r w:rsidR="002D230D">
        <w:rPr>
          <w:rFonts w:ascii="Times New Roman" w:hAnsi="Times New Roman" w:cs="Times New Roman"/>
        </w:rPr>
        <w:t xml:space="preserve"> </w:t>
      </w:r>
      <w:r w:rsidRPr="00BA6C2A">
        <w:rPr>
          <w:rFonts w:ascii="Times New Roman" w:hAnsi="Times New Roman" w:cs="Times New Roman"/>
        </w:rPr>
        <w:t>z. o zmiernení niektorých krívd osobám deportovaným do nacistických koncentračných táborov a zajateckých táborov sa malo ukončiť už v roku 2006, avšak agenda odškodňovania bude prebiehať v zmysle platných zákonov a tiež na základe súdnych rozhodnutí až do obdobia rokov 2018</w:t>
      </w:r>
      <w:r w:rsidR="002D230D">
        <w:rPr>
          <w:rFonts w:ascii="Times New Roman" w:hAnsi="Times New Roman" w:cs="Times New Roman"/>
        </w:rPr>
        <w:t xml:space="preserve"> až </w:t>
      </w:r>
      <w:r w:rsidRPr="00BA6C2A">
        <w:rPr>
          <w:rFonts w:ascii="Times New Roman" w:hAnsi="Times New Roman" w:cs="Times New Roman"/>
        </w:rPr>
        <w:t>2020. Žiadosti, ktoré boli podané v zákonom stanovenej lehote nie sú časovo obmedzené, nárok na odškodnenie nezaniká, čiže je potrebné čakať na ukončenie právoplatných dedičských konaní.</w:t>
      </w:r>
    </w:p>
    <w:p w:rsidR="007D13F3" w:rsidRDefault="007D13F3" w:rsidP="007D13F3">
      <w:pPr>
        <w:autoSpaceDE w:val="0"/>
        <w:autoSpaceDN w:val="0"/>
        <w:adjustRightInd w:val="0"/>
        <w:ind w:firstLine="708"/>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615"/>
        <w:gridCol w:w="921"/>
        <w:gridCol w:w="921"/>
        <w:gridCol w:w="921"/>
        <w:gridCol w:w="921"/>
        <w:gridCol w:w="921"/>
        <w:gridCol w:w="921"/>
        <w:gridCol w:w="921"/>
      </w:tblGrid>
      <w:tr w:rsidR="007D13F3" w:rsidRPr="0027702E" w:rsidTr="00465CAC">
        <w:trPr>
          <w:trHeight w:hRule="exact" w:val="255"/>
        </w:trPr>
        <w:tc>
          <w:tcPr>
            <w:tcW w:w="144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27702E" w:rsidRDefault="007D13F3" w:rsidP="00465CAC">
            <w:pPr>
              <w:rPr>
                <w:rFonts w:ascii="Times New Roman" w:hAnsi="Times New Roman" w:cs="Times New Roman"/>
                <w:b/>
                <w:color w:val="000000"/>
                <w:sz w:val="14"/>
                <w:szCs w:val="14"/>
                <w:lang w:eastAsia="sk-SK"/>
              </w:rPr>
            </w:pPr>
          </w:p>
        </w:tc>
        <w:tc>
          <w:tcPr>
            <w:tcW w:w="50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D13F3" w:rsidRPr="0027702E" w:rsidRDefault="007D13F3" w:rsidP="00465CAC">
            <w:pPr>
              <w:jc w:val="center"/>
              <w:rPr>
                <w:rFonts w:ascii="Times New Roman" w:hAnsi="Times New Roman" w:cs="Times New Roman"/>
                <w:b/>
                <w:color w:val="000000"/>
                <w:sz w:val="14"/>
                <w:szCs w:val="14"/>
                <w:lang w:eastAsia="sk-SK"/>
              </w:rPr>
            </w:pPr>
            <w:r w:rsidRPr="0027702E">
              <w:rPr>
                <w:rFonts w:ascii="Times New Roman" w:hAnsi="Times New Roman" w:cs="Times New Roman"/>
                <w:b/>
                <w:color w:val="000000"/>
                <w:sz w:val="14"/>
                <w:szCs w:val="14"/>
                <w:lang w:eastAsia="sk-SK"/>
              </w:rPr>
              <w:t>2015 S</w:t>
            </w:r>
          </w:p>
        </w:tc>
        <w:tc>
          <w:tcPr>
            <w:tcW w:w="50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D13F3" w:rsidRPr="0027702E" w:rsidRDefault="007D13F3" w:rsidP="00465CAC">
            <w:pPr>
              <w:jc w:val="center"/>
              <w:rPr>
                <w:rFonts w:ascii="Times New Roman" w:hAnsi="Times New Roman" w:cs="Times New Roman"/>
                <w:b/>
                <w:color w:val="000000"/>
                <w:sz w:val="14"/>
                <w:szCs w:val="14"/>
                <w:lang w:eastAsia="sk-SK"/>
              </w:rPr>
            </w:pPr>
            <w:r w:rsidRPr="0027702E">
              <w:rPr>
                <w:rFonts w:ascii="Times New Roman" w:hAnsi="Times New Roman" w:cs="Times New Roman"/>
                <w:b/>
                <w:color w:val="000000"/>
                <w:sz w:val="14"/>
                <w:szCs w:val="14"/>
                <w:lang w:eastAsia="sk-SK"/>
              </w:rPr>
              <w:t>2016 S</w:t>
            </w:r>
          </w:p>
        </w:tc>
        <w:tc>
          <w:tcPr>
            <w:tcW w:w="50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D13F3" w:rsidRPr="0027702E" w:rsidRDefault="007D13F3" w:rsidP="00465CAC">
            <w:pPr>
              <w:jc w:val="center"/>
              <w:rPr>
                <w:rFonts w:ascii="Times New Roman" w:hAnsi="Times New Roman" w:cs="Times New Roman"/>
                <w:b/>
                <w:color w:val="000000"/>
                <w:sz w:val="14"/>
                <w:szCs w:val="14"/>
                <w:lang w:eastAsia="sk-SK"/>
              </w:rPr>
            </w:pPr>
            <w:r w:rsidRPr="0027702E">
              <w:rPr>
                <w:rFonts w:ascii="Times New Roman" w:hAnsi="Times New Roman" w:cs="Times New Roman"/>
                <w:b/>
                <w:color w:val="000000"/>
                <w:sz w:val="14"/>
                <w:szCs w:val="14"/>
                <w:lang w:eastAsia="sk-SK"/>
              </w:rPr>
              <w:t>2017 R</w:t>
            </w:r>
          </w:p>
        </w:tc>
        <w:tc>
          <w:tcPr>
            <w:tcW w:w="50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D13F3" w:rsidRPr="0027702E" w:rsidRDefault="007D13F3" w:rsidP="002D230D">
            <w:pPr>
              <w:jc w:val="center"/>
              <w:rPr>
                <w:rFonts w:ascii="Times New Roman" w:hAnsi="Times New Roman" w:cs="Times New Roman"/>
                <w:b/>
                <w:color w:val="000000"/>
                <w:sz w:val="14"/>
                <w:szCs w:val="14"/>
                <w:lang w:eastAsia="sk-SK"/>
              </w:rPr>
            </w:pPr>
            <w:r w:rsidRPr="0027702E">
              <w:rPr>
                <w:rFonts w:ascii="Times New Roman" w:hAnsi="Times New Roman" w:cs="Times New Roman"/>
                <w:b/>
                <w:color w:val="000000"/>
                <w:sz w:val="14"/>
                <w:szCs w:val="14"/>
                <w:lang w:eastAsia="sk-SK"/>
              </w:rPr>
              <w:t xml:space="preserve">2017 </w:t>
            </w:r>
            <w:r w:rsidR="002D230D">
              <w:rPr>
                <w:rFonts w:ascii="Times New Roman" w:hAnsi="Times New Roman" w:cs="Times New Roman"/>
                <w:b/>
                <w:color w:val="000000"/>
                <w:sz w:val="14"/>
                <w:szCs w:val="14"/>
                <w:lang w:eastAsia="sk-SK"/>
              </w:rPr>
              <w:t>OS</w:t>
            </w:r>
          </w:p>
        </w:tc>
        <w:tc>
          <w:tcPr>
            <w:tcW w:w="50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D13F3" w:rsidRPr="0027702E" w:rsidRDefault="007D13F3" w:rsidP="00465CAC">
            <w:pPr>
              <w:jc w:val="center"/>
              <w:rPr>
                <w:rFonts w:ascii="Times New Roman" w:hAnsi="Times New Roman" w:cs="Times New Roman"/>
                <w:b/>
                <w:color w:val="000000"/>
                <w:sz w:val="14"/>
                <w:szCs w:val="14"/>
                <w:lang w:eastAsia="sk-SK"/>
              </w:rPr>
            </w:pPr>
            <w:r w:rsidRPr="0027702E">
              <w:rPr>
                <w:rFonts w:ascii="Times New Roman" w:hAnsi="Times New Roman" w:cs="Times New Roman"/>
                <w:b/>
                <w:color w:val="000000"/>
                <w:sz w:val="14"/>
                <w:szCs w:val="14"/>
                <w:lang w:eastAsia="sk-SK"/>
              </w:rPr>
              <w:t>2018 N</w:t>
            </w:r>
          </w:p>
        </w:tc>
        <w:tc>
          <w:tcPr>
            <w:tcW w:w="50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D13F3" w:rsidRPr="0027702E" w:rsidRDefault="007D13F3" w:rsidP="00465CAC">
            <w:pPr>
              <w:jc w:val="center"/>
              <w:rPr>
                <w:rFonts w:ascii="Times New Roman" w:hAnsi="Times New Roman" w:cs="Times New Roman"/>
                <w:b/>
                <w:color w:val="000000"/>
                <w:sz w:val="14"/>
                <w:szCs w:val="14"/>
                <w:lang w:eastAsia="sk-SK"/>
              </w:rPr>
            </w:pPr>
            <w:r w:rsidRPr="0027702E">
              <w:rPr>
                <w:rFonts w:ascii="Times New Roman" w:hAnsi="Times New Roman" w:cs="Times New Roman"/>
                <w:b/>
                <w:color w:val="000000"/>
                <w:sz w:val="14"/>
                <w:szCs w:val="14"/>
                <w:lang w:eastAsia="sk-SK"/>
              </w:rPr>
              <w:t>2019 N</w:t>
            </w:r>
          </w:p>
        </w:tc>
        <w:tc>
          <w:tcPr>
            <w:tcW w:w="50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D13F3" w:rsidRPr="0027702E" w:rsidRDefault="007D13F3" w:rsidP="00465CAC">
            <w:pPr>
              <w:jc w:val="center"/>
              <w:rPr>
                <w:rFonts w:ascii="Times New Roman" w:hAnsi="Times New Roman" w:cs="Times New Roman"/>
                <w:b/>
                <w:color w:val="000000"/>
                <w:sz w:val="14"/>
                <w:szCs w:val="14"/>
                <w:lang w:eastAsia="sk-SK"/>
              </w:rPr>
            </w:pPr>
            <w:r w:rsidRPr="0027702E">
              <w:rPr>
                <w:rFonts w:ascii="Times New Roman" w:hAnsi="Times New Roman" w:cs="Times New Roman"/>
                <w:b/>
                <w:color w:val="000000"/>
                <w:sz w:val="14"/>
                <w:szCs w:val="14"/>
                <w:lang w:eastAsia="sk-SK"/>
              </w:rPr>
              <w:t>2020 N</w:t>
            </w:r>
          </w:p>
        </w:tc>
      </w:tr>
      <w:tr w:rsidR="007D13F3" w:rsidRPr="0027702E" w:rsidTr="00465CAC">
        <w:trPr>
          <w:trHeight w:hRule="exact" w:val="255"/>
        </w:trPr>
        <w:tc>
          <w:tcPr>
            <w:tcW w:w="1442" w:type="pct"/>
            <w:tcBorders>
              <w:top w:val="nil"/>
              <w:left w:val="single" w:sz="4" w:space="0" w:color="auto"/>
              <w:bottom w:val="single" w:sz="4" w:space="0" w:color="auto"/>
              <w:right w:val="single" w:sz="4" w:space="0" w:color="auto"/>
            </w:tcBorders>
            <w:shd w:val="clear" w:color="auto" w:fill="auto"/>
            <w:vAlign w:val="center"/>
            <w:hideMark/>
          </w:tcPr>
          <w:p w:rsidR="007D13F3" w:rsidRPr="0027702E" w:rsidRDefault="007D13F3" w:rsidP="00465CAC">
            <w:pPr>
              <w:rPr>
                <w:rFonts w:ascii="Times New Roman" w:hAnsi="Times New Roman" w:cs="Times New Roman"/>
                <w:color w:val="000000"/>
                <w:sz w:val="14"/>
                <w:szCs w:val="14"/>
                <w:lang w:eastAsia="sk-SK"/>
              </w:rPr>
            </w:pPr>
            <w:r w:rsidRPr="0027702E">
              <w:rPr>
                <w:rFonts w:ascii="Times New Roman" w:hAnsi="Times New Roman" w:cs="Times New Roman"/>
                <w:color w:val="000000"/>
                <w:sz w:val="14"/>
                <w:szCs w:val="14"/>
                <w:lang w:eastAsia="sk-SK"/>
              </w:rPr>
              <w:t>Odškodňovanie v oblasti administratíva</w:t>
            </w:r>
          </w:p>
        </w:tc>
        <w:tc>
          <w:tcPr>
            <w:tcW w:w="508" w:type="pct"/>
            <w:tcBorders>
              <w:top w:val="nil"/>
              <w:left w:val="nil"/>
              <w:bottom w:val="single" w:sz="4" w:space="0" w:color="auto"/>
              <w:right w:val="single" w:sz="4" w:space="0" w:color="auto"/>
            </w:tcBorders>
            <w:shd w:val="clear" w:color="auto" w:fill="auto"/>
            <w:vAlign w:val="center"/>
          </w:tcPr>
          <w:p w:rsidR="007D13F3" w:rsidRPr="0027702E" w:rsidRDefault="007D13F3" w:rsidP="00465CAC">
            <w:pPr>
              <w:jc w:val="right"/>
              <w:rPr>
                <w:rFonts w:ascii="Times New Roman" w:hAnsi="Times New Roman" w:cs="Times New Roman"/>
                <w:color w:val="000000"/>
                <w:sz w:val="14"/>
                <w:szCs w:val="14"/>
                <w:lang w:eastAsia="sk-SK"/>
              </w:rPr>
            </w:pPr>
            <w:r w:rsidRPr="0027702E">
              <w:rPr>
                <w:rFonts w:ascii="Times New Roman" w:hAnsi="Times New Roman" w:cs="Times New Roman"/>
                <w:color w:val="000000"/>
                <w:sz w:val="14"/>
                <w:szCs w:val="14"/>
                <w:lang w:eastAsia="sk-SK"/>
              </w:rPr>
              <w:t>3</w:t>
            </w:r>
            <w:r>
              <w:rPr>
                <w:rFonts w:ascii="Times New Roman" w:hAnsi="Times New Roman" w:cs="Times New Roman"/>
                <w:color w:val="000000"/>
                <w:sz w:val="14"/>
                <w:szCs w:val="14"/>
                <w:lang w:eastAsia="sk-SK"/>
              </w:rPr>
              <w:t> 364 855</w:t>
            </w:r>
          </w:p>
        </w:tc>
        <w:tc>
          <w:tcPr>
            <w:tcW w:w="508" w:type="pct"/>
            <w:tcBorders>
              <w:top w:val="nil"/>
              <w:left w:val="nil"/>
              <w:bottom w:val="single" w:sz="4" w:space="0" w:color="auto"/>
              <w:right w:val="single" w:sz="4" w:space="0" w:color="auto"/>
            </w:tcBorders>
            <w:shd w:val="clear" w:color="auto" w:fill="auto"/>
            <w:vAlign w:val="center"/>
          </w:tcPr>
          <w:p w:rsidR="007D13F3" w:rsidRPr="0027702E" w:rsidRDefault="007D13F3" w:rsidP="00465CAC">
            <w:pPr>
              <w:jc w:val="right"/>
              <w:rPr>
                <w:rFonts w:ascii="Times New Roman" w:hAnsi="Times New Roman" w:cs="Times New Roman"/>
                <w:color w:val="000000"/>
                <w:sz w:val="14"/>
                <w:szCs w:val="14"/>
                <w:lang w:eastAsia="sk-SK"/>
              </w:rPr>
            </w:pPr>
            <w:r w:rsidRPr="0027702E">
              <w:rPr>
                <w:rFonts w:ascii="Times New Roman" w:hAnsi="Times New Roman" w:cs="Times New Roman"/>
                <w:color w:val="000000"/>
                <w:sz w:val="14"/>
                <w:szCs w:val="14"/>
                <w:lang w:eastAsia="sk-SK"/>
              </w:rPr>
              <w:t>1 461 900</w:t>
            </w:r>
          </w:p>
        </w:tc>
        <w:tc>
          <w:tcPr>
            <w:tcW w:w="508" w:type="pct"/>
            <w:tcBorders>
              <w:top w:val="nil"/>
              <w:left w:val="nil"/>
              <w:bottom w:val="single" w:sz="4" w:space="0" w:color="auto"/>
              <w:right w:val="single" w:sz="4" w:space="0" w:color="auto"/>
            </w:tcBorders>
            <w:shd w:val="clear" w:color="auto" w:fill="auto"/>
            <w:vAlign w:val="center"/>
          </w:tcPr>
          <w:p w:rsidR="007D13F3" w:rsidRPr="0027702E" w:rsidRDefault="007D13F3" w:rsidP="00465CAC">
            <w:pPr>
              <w:jc w:val="right"/>
              <w:rPr>
                <w:rFonts w:ascii="Times New Roman" w:hAnsi="Times New Roman" w:cs="Times New Roman"/>
                <w:color w:val="000000"/>
                <w:sz w:val="14"/>
                <w:szCs w:val="14"/>
                <w:lang w:eastAsia="sk-SK"/>
              </w:rPr>
            </w:pPr>
            <w:r w:rsidRPr="0027702E">
              <w:rPr>
                <w:rFonts w:ascii="Times New Roman" w:hAnsi="Times New Roman" w:cs="Times New Roman"/>
                <w:color w:val="000000"/>
                <w:sz w:val="14"/>
                <w:szCs w:val="14"/>
                <w:lang w:eastAsia="sk-SK"/>
              </w:rPr>
              <w:t>1 663 780</w:t>
            </w:r>
          </w:p>
        </w:tc>
        <w:tc>
          <w:tcPr>
            <w:tcW w:w="508" w:type="pct"/>
            <w:tcBorders>
              <w:top w:val="nil"/>
              <w:left w:val="nil"/>
              <w:bottom w:val="single" w:sz="4" w:space="0" w:color="auto"/>
              <w:right w:val="single" w:sz="4" w:space="0" w:color="auto"/>
            </w:tcBorders>
            <w:shd w:val="clear" w:color="auto" w:fill="auto"/>
            <w:vAlign w:val="center"/>
          </w:tcPr>
          <w:p w:rsidR="007D13F3" w:rsidRPr="0027702E" w:rsidRDefault="007D13F3" w:rsidP="00465CAC">
            <w:pPr>
              <w:jc w:val="right"/>
              <w:rPr>
                <w:rFonts w:ascii="Times New Roman" w:hAnsi="Times New Roman" w:cs="Times New Roman"/>
                <w:color w:val="000000"/>
                <w:sz w:val="14"/>
                <w:szCs w:val="14"/>
                <w:lang w:eastAsia="sk-SK"/>
              </w:rPr>
            </w:pPr>
            <w:r w:rsidRPr="0027702E">
              <w:rPr>
                <w:rFonts w:ascii="Times New Roman" w:hAnsi="Times New Roman" w:cs="Times New Roman"/>
                <w:color w:val="000000"/>
                <w:sz w:val="14"/>
                <w:szCs w:val="14"/>
                <w:lang w:eastAsia="sk-SK"/>
              </w:rPr>
              <w:t>1 663 780</w:t>
            </w:r>
          </w:p>
        </w:tc>
        <w:tc>
          <w:tcPr>
            <w:tcW w:w="508" w:type="pct"/>
            <w:tcBorders>
              <w:top w:val="nil"/>
              <w:left w:val="nil"/>
              <w:bottom w:val="single" w:sz="4" w:space="0" w:color="auto"/>
              <w:right w:val="single" w:sz="4" w:space="0" w:color="auto"/>
            </w:tcBorders>
            <w:shd w:val="clear" w:color="auto" w:fill="auto"/>
            <w:vAlign w:val="center"/>
          </w:tcPr>
          <w:p w:rsidR="007D13F3" w:rsidRPr="0027702E" w:rsidRDefault="007D13F3" w:rsidP="00465CAC">
            <w:pPr>
              <w:jc w:val="right"/>
              <w:rPr>
                <w:rFonts w:ascii="Times New Roman" w:hAnsi="Times New Roman" w:cs="Times New Roman"/>
                <w:color w:val="000000"/>
                <w:sz w:val="14"/>
                <w:szCs w:val="14"/>
                <w:lang w:eastAsia="sk-SK"/>
              </w:rPr>
            </w:pPr>
            <w:r w:rsidRPr="0027702E">
              <w:rPr>
                <w:rFonts w:ascii="Times New Roman" w:hAnsi="Times New Roman" w:cs="Times New Roman"/>
                <w:color w:val="000000"/>
                <w:sz w:val="14"/>
                <w:szCs w:val="14"/>
                <w:lang w:eastAsia="sk-SK"/>
              </w:rPr>
              <w:t>1 250 000</w:t>
            </w:r>
          </w:p>
        </w:tc>
        <w:tc>
          <w:tcPr>
            <w:tcW w:w="508" w:type="pct"/>
            <w:tcBorders>
              <w:top w:val="nil"/>
              <w:left w:val="nil"/>
              <w:bottom w:val="single" w:sz="4" w:space="0" w:color="auto"/>
              <w:right w:val="single" w:sz="4" w:space="0" w:color="auto"/>
            </w:tcBorders>
            <w:shd w:val="clear" w:color="auto" w:fill="auto"/>
            <w:vAlign w:val="center"/>
          </w:tcPr>
          <w:p w:rsidR="007D13F3" w:rsidRPr="0027702E" w:rsidRDefault="007D13F3" w:rsidP="00465CAC">
            <w:pPr>
              <w:jc w:val="right"/>
              <w:rPr>
                <w:rFonts w:ascii="Times New Roman" w:hAnsi="Times New Roman" w:cs="Times New Roman"/>
                <w:color w:val="000000"/>
                <w:sz w:val="14"/>
                <w:szCs w:val="14"/>
                <w:lang w:eastAsia="sk-SK"/>
              </w:rPr>
            </w:pPr>
            <w:r w:rsidRPr="0027702E">
              <w:rPr>
                <w:rFonts w:ascii="Times New Roman" w:hAnsi="Times New Roman" w:cs="Times New Roman"/>
                <w:color w:val="000000"/>
                <w:sz w:val="14"/>
                <w:szCs w:val="14"/>
                <w:lang w:eastAsia="sk-SK"/>
              </w:rPr>
              <w:t>1 250 000</w:t>
            </w:r>
          </w:p>
        </w:tc>
        <w:tc>
          <w:tcPr>
            <w:tcW w:w="508" w:type="pct"/>
            <w:tcBorders>
              <w:top w:val="nil"/>
              <w:left w:val="nil"/>
              <w:bottom w:val="single" w:sz="4" w:space="0" w:color="auto"/>
              <w:right w:val="single" w:sz="4" w:space="0" w:color="auto"/>
            </w:tcBorders>
            <w:shd w:val="clear" w:color="auto" w:fill="auto"/>
            <w:vAlign w:val="center"/>
          </w:tcPr>
          <w:p w:rsidR="007D13F3" w:rsidRPr="0027702E" w:rsidRDefault="007D13F3" w:rsidP="00465CAC">
            <w:pPr>
              <w:jc w:val="right"/>
              <w:rPr>
                <w:rFonts w:ascii="Times New Roman" w:hAnsi="Times New Roman" w:cs="Times New Roman"/>
                <w:color w:val="000000"/>
                <w:sz w:val="14"/>
                <w:szCs w:val="14"/>
                <w:lang w:eastAsia="sk-SK"/>
              </w:rPr>
            </w:pPr>
            <w:r w:rsidRPr="0027702E">
              <w:rPr>
                <w:rFonts w:ascii="Times New Roman" w:hAnsi="Times New Roman" w:cs="Times New Roman"/>
                <w:color w:val="000000"/>
                <w:sz w:val="14"/>
                <w:szCs w:val="14"/>
                <w:lang w:eastAsia="sk-SK"/>
              </w:rPr>
              <w:t>1 250 000</w:t>
            </w:r>
          </w:p>
        </w:tc>
      </w:tr>
    </w:tbl>
    <w:p w:rsidR="007D13F3" w:rsidRDefault="007D13F3" w:rsidP="007D13F3">
      <w:pPr>
        <w:jc w:val="both"/>
        <w:rPr>
          <w:rFonts w:ascii="Times New Roman" w:hAnsi="Times New Roman" w:cs="Times New Roman"/>
          <w:b/>
        </w:rPr>
      </w:pPr>
    </w:p>
    <w:p w:rsidR="007D13F3" w:rsidRDefault="007D13F3" w:rsidP="007D13F3">
      <w:pPr>
        <w:jc w:val="both"/>
        <w:rPr>
          <w:rFonts w:ascii="Times New Roman" w:hAnsi="Times New Roman" w:cs="Times New Roman"/>
          <w:b/>
        </w:rPr>
      </w:pPr>
      <w:r w:rsidRPr="00633CA0">
        <w:rPr>
          <w:rFonts w:ascii="Times New Roman" w:hAnsi="Times New Roman" w:cs="Times New Roman"/>
          <w:b/>
        </w:rPr>
        <w:t>Medzirezortné programy</w:t>
      </w:r>
    </w:p>
    <w:p w:rsidR="007D13F3" w:rsidRDefault="007D13F3" w:rsidP="007D13F3">
      <w:pPr>
        <w:jc w:val="both"/>
        <w:rPr>
          <w:rFonts w:ascii="Times New Roman" w:hAnsi="Times New Roman" w:cs="Times New Roman"/>
          <w:b/>
        </w:rPr>
      </w:pPr>
    </w:p>
    <w:p w:rsidR="007D13F3" w:rsidRDefault="007D13F3" w:rsidP="007D13F3">
      <w:pPr>
        <w:ind w:firstLine="708"/>
        <w:jc w:val="both"/>
        <w:rPr>
          <w:rFonts w:ascii="Times New Roman" w:hAnsi="Times New Roman" w:cs="Times New Roman"/>
        </w:rPr>
      </w:pPr>
      <w:r>
        <w:rPr>
          <w:rFonts w:ascii="Times New Roman" w:hAnsi="Times New Roman" w:cs="Times New Roman"/>
        </w:rPr>
        <w:t>MS SR je účastníkom troch medzirezortných programov.</w:t>
      </w:r>
    </w:p>
    <w:p w:rsidR="007D13F3" w:rsidRDefault="007D13F3" w:rsidP="007D13F3">
      <w:pPr>
        <w:ind w:firstLine="708"/>
        <w:jc w:val="both"/>
        <w:rPr>
          <w:rFonts w:ascii="Times New Roman" w:hAnsi="Times New Roman" w:cs="Times New Roman"/>
        </w:rPr>
      </w:pPr>
    </w:p>
    <w:p w:rsidR="007D13F3" w:rsidRPr="00707897" w:rsidRDefault="007D13F3" w:rsidP="007D13F3">
      <w:pPr>
        <w:ind w:firstLine="708"/>
        <w:jc w:val="both"/>
        <w:rPr>
          <w:rFonts w:ascii="Times New Roman" w:hAnsi="Times New Roman" w:cs="Times New Roman"/>
        </w:rPr>
      </w:pPr>
      <w:r w:rsidRPr="00707897">
        <w:rPr>
          <w:rFonts w:ascii="Times New Roman" w:hAnsi="Times New Roman" w:cs="Times New Roman"/>
        </w:rPr>
        <w:t xml:space="preserve">Na medzirezortný podprogram Hospodárska mobilizácia kapitola rozpočtuje výdavky v sume 14,5 tis. eur, ktoré sú na porovnateľnej úrovni oproti minulým rokom. </w:t>
      </w:r>
    </w:p>
    <w:p w:rsidR="007D13F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707897">
        <w:rPr>
          <w:rFonts w:ascii="Times New Roman" w:hAnsi="Times New Roman" w:cs="Times New Roman"/>
        </w:rPr>
        <w:t xml:space="preserve">V roku 2011 </w:t>
      </w:r>
      <w:r w:rsidR="002D230D">
        <w:rPr>
          <w:rFonts w:ascii="Times New Roman" w:hAnsi="Times New Roman" w:cs="Times New Roman"/>
        </w:rPr>
        <w:t>bol vytvorený</w:t>
      </w:r>
      <w:r w:rsidRPr="00707897">
        <w:rPr>
          <w:rFonts w:ascii="Times New Roman" w:hAnsi="Times New Roman" w:cs="Times New Roman"/>
        </w:rPr>
        <w:t xml:space="preserve"> v kapitole </w:t>
      </w:r>
      <w:r>
        <w:rPr>
          <w:rFonts w:ascii="Times New Roman" w:hAnsi="Times New Roman" w:cs="Times New Roman"/>
        </w:rPr>
        <w:t>MS SR</w:t>
      </w:r>
      <w:r w:rsidRPr="00707897">
        <w:rPr>
          <w:rFonts w:ascii="Times New Roman" w:hAnsi="Times New Roman" w:cs="Times New Roman"/>
        </w:rPr>
        <w:t xml:space="preserve"> medzirezortný podprogram Protidrogová politika, ako súčasť štátneho rozpočtu s </w:t>
      </w:r>
      <w:proofErr w:type="spellStart"/>
      <w:r w:rsidRPr="00707897">
        <w:rPr>
          <w:rFonts w:ascii="Times New Roman" w:hAnsi="Times New Roman" w:cs="Times New Roman"/>
        </w:rPr>
        <w:t>gestorstvom</w:t>
      </w:r>
      <w:proofErr w:type="spellEnd"/>
      <w:r w:rsidRPr="00707897">
        <w:rPr>
          <w:rFonts w:ascii="Times New Roman" w:hAnsi="Times New Roman" w:cs="Times New Roman"/>
        </w:rPr>
        <w:t xml:space="preserve"> Úradu vlády SR, na ktorý sa v oblasti väzenstva rozpočtuje suma 13,8 tis. eur každoročne. </w:t>
      </w:r>
    </w:p>
    <w:p w:rsidR="007D13F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A55803">
        <w:rPr>
          <w:rFonts w:ascii="Times New Roman" w:hAnsi="Times New Roman" w:cs="Times New Roman"/>
        </w:rPr>
        <w:t xml:space="preserve">Na medzirezortný podprogram Informačné technológie financované zo </w:t>
      </w:r>
      <w:r w:rsidR="002D230D">
        <w:rPr>
          <w:rFonts w:ascii="Times New Roman" w:hAnsi="Times New Roman" w:cs="Times New Roman"/>
        </w:rPr>
        <w:t xml:space="preserve">štátneho rozpočtu </w:t>
      </w:r>
      <w:r w:rsidRPr="00A55803">
        <w:rPr>
          <w:rFonts w:ascii="Times New Roman" w:hAnsi="Times New Roman" w:cs="Times New Roman"/>
        </w:rPr>
        <w:t xml:space="preserve">sa rozpočtuje suma 20,6 mil. eur. Zámerom je centrálne rozpočtovanie, realizácia, monitorovanie a hodnotenie výdavkov na informačné technológie. Je vytvorený od roku 2017. </w:t>
      </w:r>
    </w:p>
    <w:p w:rsidR="009C37FC" w:rsidRPr="00A55803" w:rsidRDefault="009C37FC" w:rsidP="007D13F3">
      <w:pPr>
        <w:ind w:firstLine="708"/>
        <w:jc w:val="both"/>
        <w:rPr>
          <w:rFonts w:ascii="Times New Roman" w:hAnsi="Times New Roman" w:cs="Times New Roman"/>
        </w:rPr>
      </w:pPr>
    </w:p>
    <w:p w:rsidR="007D13F3" w:rsidRPr="00C32C89" w:rsidRDefault="007D13F3" w:rsidP="007D13F3"/>
    <w:p w:rsidR="007D13F3" w:rsidRPr="00C77EC4" w:rsidRDefault="007D13F3" w:rsidP="007D13F3">
      <w:pPr>
        <w:pStyle w:val="Nadpis5"/>
        <w:pBdr>
          <w:bottom w:val="single" w:sz="4" w:space="0" w:color="auto"/>
        </w:pBdr>
        <w:spacing w:before="0" w:after="0"/>
        <w:ind w:left="0"/>
        <w:rPr>
          <w:i w:val="0"/>
          <w:sz w:val="24"/>
        </w:rPr>
      </w:pPr>
      <w:bookmarkStart w:id="101" w:name="_Toc400551761"/>
      <w:bookmarkStart w:id="102" w:name="_Toc463048253"/>
      <w:bookmarkStart w:id="103" w:name="_Toc494470098"/>
      <w:bookmarkStart w:id="104" w:name="_Toc494472274"/>
      <w:r w:rsidRPr="00C77EC4">
        <w:rPr>
          <w:i w:val="0"/>
          <w:sz w:val="24"/>
        </w:rPr>
        <w:lastRenderedPageBreak/>
        <w:t>Ministerstvo financií SR</w:t>
      </w:r>
      <w:bookmarkEnd w:id="101"/>
      <w:bookmarkEnd w:id="102"/>
      <w:bookmarkEnd w:id="103"/>
      <w:bookmarkEnd w:id="104"/>
      <w:r w:rsidRPr="00C77EC4">
        <w:rPr>
          <w:i w:val="0"/>
          <w:sz w:val="24"/>
        </w:rPr>
        <w:t xml:space="preserve"> </w:t>
      </w:r>
    </w:p>
    <w:p w:rsidR="007D13F3" w:rsidRPr="00C77EC4" w:rsidRDefault="007D13F3" w:rsidP="007D13F3">
      <w:pPr>
        <w:spacing w:line="360" w:lineRule="auto"/>
        <w:jc w:val="both"/>
        <w:rPr>
          <w:rFonts w:ascii="Times New Roman" w:hAnsi="Times New Roman" w:cs="Times New Roman"/>
          <w:b/>
          <w:lang w:eastAsia="en-US"/>
        </w:rPr>
      </w:pPr>
      <w:r w:rsidRPr="00C77EC4">
        <w:rPr>
          <w:rFonts w:ascii="Times New Roman" w:hAnsi="Times New Roman" w:cs="Times New Roman"/>
          <w:b/>
          <w:lang w:eastAsia="en-US"/>
        </w:rPr>
        <w:t xml:space="preserve">   </w:t>
      </w:r>
    </w:p>
    <w:tbl>
      <w:tblPr>
        <w:tblW w:w="5000" w:type="pct"/>
        <w:tblCellMar>
          <w:left w:w="70" w:type="dxa"/>
          <w:right w:w="70" w:type="dxa"/>
        </w:tblCellMar>
        <w:tblLook w:val="04A0" w:firstRow="1" w:lastRow="0" w:firstColumn="1" w:lastColumn="0" w:noHBand="0" w:noVBand="1"/>
      </w:tblPr>
      <w:tblGrid>
        <w:gridCol w:w="2436"/>
        <w:gridCol w:w="1065"/>
        <w:gridCol w:w="1066"/>
        <w:gridCol w:w="899"/>
        <w:gridCol w:w="899"/>
        <w:gridCol w:w="899"/>
        <w:gridCol w:w="899"/>
        <w:gridCol w:w="899"/>
      </w:tblGrid>
      <w:tr w:rsidR="007D13F3" w:rsidRPr="00C77EC4" w:rsidTr="00465CAC">
        <w:trPr>
          <w:trHeight w:hRule="exact" w:val="255"/>
        </w:trPr>
        <w:tc>
          <w:tcPr>
            <w:tcW w:w="1344"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bottom"/>
            <w:hideMark/>
          </w:tcPr>
          <w:p w:rsidR="007D13F3" w:rsidRPr="00C77EC4" w:rsidRDefault="007D13F3" w:rsidP="00465CAC">
            <w:pP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v eurách</w:t>
            </w:r>
          </w:p>
        </w:tc>
        <w:tc>
          <w:tcPr>
            <w:tcW w:w="588"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2015 S</w:t>
            </w:r>
          </w:p>
        </w:tc>
        <w:tc>
          <w:tcPr>
            <w:tcW w:w="588"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2016 S</w:t>
            </w:r>
          </w:p>
        </w:tc>
        <w:tc>
          <w:tcPr>
            <w:tcW w:w="496"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2017 R</w:t>
            </w:r>
          </w:p>
        </w:tc>
        <w:tc>
          <w:tcPr>
            <w:tcW w:w="496"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2017 OS</w:t>
            </w:r>
          </w:p>
        </w:tc>
        <w:tc>
          <w:tcPr>
            <w:tcW w:w="496"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2018 N</w:t>
            </w:r>
          </w:p>
        </w:tc>
        <w:tc>
          <w:tcPr>
            <w:tcW w:w="496"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2019 N</w:t>
            </w:r>
          </w:p>
        </w:tc>
        <w:tc>
          <w:tcPr>
            <w:tcW w:w="497"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2020 N</w:t>
            </w:r>
          </w:p>
        </w:tc>
      </w:tr>
      <w:tr w:rsidR="007D13F3" w:rsidRPr="00C77EC4" w:rsidTr="00465CAC">
        <w:trPr>
          <w:trHeight w:hRule="exact" w:val="255"/>
        </w:trPr>
        <w:tc>
          <w:tcPr>
            <w:tcW w:w="1344"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7D13F3" w:rsidRPr="00C77EC4" w:rsidRDefault="007D13F3" w:rsidP="00465CAC">
            <w:pP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Zdroje príslušnej kapitoly vrátane 72e</w:t>
            </w:r>
          </w:p>
        </w:tc>
        <w:tc>
          <w:tcPr>
            <w:tcW w:w="588" w:type="pct"/>
            <w:tcBorders>
              <w:top w:val="single" w:sz="4" w:space="0" w:color="auto"/>
              <w:left w:val="nil"/>
              <w:bottom w:val="single" w:sz="4" w:space="0" w:color="auto"/>
              <w:right w:val="single" w:sz="4" w:space="0" w:color="auto"/>
            </w:tcBorders>
            <w:shd w:val="pct25" w:color="auto" w:fill="auto"/>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663 344 487</w:t>
            </w:r>
          </w:p>
        </w:tc>
        <w:tc>
          <w:tcPr>
            <w:tcW w:w="588" w:type="pct"/>
            <w:tcBorders>
              <w:top w:val="single" w:sz="4" w:space="0" w:color="auto"/>
              <w:left w:val="nil"/>
              <w:bottom w:val="single" w:sz="4" w:space="0" w:color="auto"/>
              <w:right w:val="single" w:sz="4" w:space="0" w:color="auto"/>
            </w:tcBorders>
            <w:shd w:val="pct25" w:color="auto" w:fill="auto"/>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510 405 117</w:t>
            </w:r>
          </w:p>
        </w:tc>
        <w:tc>
          <w:tcPr>
            <w:tcW w:w="496" w:type="pct"/>
            <w:tcBorders>
              <w:top w:val="single" w:sz="4" w:space="0" w:color="auto"/>
              <w:left w:val="nil"/>
              <w:bottom w:val="single" w:sz="4" w:space="0" w:color="auto"/>
              <w:right w:val="single" w:sz="4" w:space="0" w:color="auto"/>
            </w:tcBorders>
            <w:shd w:val="pct25" w:color="auto" w:fill="auto"/>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483 857 998</w:t>
            </w:r>
          </w:p>
        </w:tc>
        <w:tc>
          <w:tcPr>
            <w:tcW w:w="496" w:type="pct"/>
            <w:tcBorders>
              <w:top w:val="single" w:sz="4" w:space="0" w:color="auto"/>
              <w:left w:val="nil"/>
              <w:bottom w:val="single" w:sz="4" w:space="0" w:color="auto"/>
              <w:right w:val="single" w:sz="4" w:space="0" w:color="auto"/>
            </w:tcBorders>
            <w:shd w:val="pct25" w:color="auto" w:fill="auto"/>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438 301 842</w:t>
            </w:r>
          </w:p>
        </w:tc>
        <w:tc>
          <w:tcPr>
            <w:tcW w:w="496" w:type="pct"/>
            <w:tcBorders>
              <w:top w:val="single" w:sz="4" w:space="0" w:color="auto"/>
              <w:left w:val="nil"/>
              <w:bottom w:val="single" w:sz="4" w:space="0" w:color="auto"/>
              <w:right w:val="single" w:sz="4" w:space="0" w:color="auto"/>
            </w:tcBorders>
            <w:shd w:val="pct25" w:color="auto" w:fill="auto"/>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364 403 833</w:t>
            </w:r>
          </w:p>
        </w:tc>
        <w:tc>
          <w:tcPr>
            <w:tcW w:w="496" w:type="pct"/>
            <w:tcBorders>
              <w:top w:val="single" w:sz="4" w:space="0" w:color="auto"/>
              <w:left w:val="nil"/>
              <w:bottom w:val="single" w:sz="4" w:space="0" w:color="auto"/>
              <w:right w:val="single" w:sz="4" w:space="0" w:color="auto"/>
            </w:tcBorders>
            <w:shd w:val="pct25" w:color="auto" w:fill="auto"/>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522 107 752</w:t>
            </w:r>
          </w:p>
        </w:tc>
        <w:tc>
          <w:tcPr>
            <w:tcW w:w="497" w:type="pct"/>
            <w:tcBorders>
              <w:top w:val="single" w:sz="4" w:space="0" w:color="auto"/>
              <w:left w:val="nil"/>
              <w:bottom w:val="single" w:sz="4" w:space="0" w:color="auto"/>
              <w:right w:val="single" w:sz="4" w:space="0" w:color="auto"/>
            </w:tcBorders>
            <w:shd w:val="pct25" w:color="auto" w:fill="auto"/>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536 033 200</w:t>
            </w:r>
          </w:p>
        </w:tc>
      </w:tr>
      <w:tr w:rsidR="007D13F3" w:rsidRPr="00C77EC4" w:rsidTr="00465CAC">
        <w:trPr>
          <w:trHeight w:hRule="exact" w:val="255"/>
        </w:trPr>
        <w:tc>
          <w:tcPr>
            <w:tcW w:w="1344"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7D13F3" w:rsidRPr="00C77EC4" w:rsidRDefault="007D13F3" w:rsidP="00465CAC">
            <w:pP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zdroje príslušnej kapitoly</w:t>
            </w:r>
          </w:p>
        </w:tc>
        <w:tc>
          <w:tcPr>
            <w:tcW w:w="588" w:type="pct"/>
            <w:tcBorders>
              <w:top w:val="single" w:sz="4" w:space="0" w:color="auto"/>
              <w:left w:val="nil"/>
              <w:bottom w:val="single" w:sz="4" w:space="0" w:color="auto"/>
              <w:right w:val="single" w:sz="4" w:space="0" w:color="auto"/>
            </w:tcBorders>
            <w:shd w:val="pct25" w:color="auto" w:fill="auto"/>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663 274 798</w:t>
            </w:r>
          </w:p>
        </w:tc>
        <w:tc>
          <w:tcPr>
            <w:tcW w:w="588" w:type="pct"/>
            <w:tcBorders>
              <w:top w:val="single" w:sz="4" w:space="0" w:color="auto"/>
              <w:left w:val="nil"/>
              <w:bottom w:val="single" w:sz="4" w:space="0" w:color="auto"/>
              <w:right w:val="single" w:sz="4" w:space="0" w:color="auto"/>
            </w:tcBorders>
            <w:shd w:val="pct25" w:color="auto" w:fill="auto"/>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510 322 801</w:t>
            </w:r>
          </w:p>
        </w:tc>
        <w:tc>
          <w:tcPr>
            <w:tcW w:w="496" w:type="pct"/>
            <w:tcBorders>
              <w:top w:val="single" w:sz="4" w:space="0" w:color="auto"/>
              <w:left w:val="nil"/>
              <w:bottom w:val="single" w:sz="4" w:space="0" w:color="auto"/>
              <w:right w:val="single" w:sz="4" w:space="0" w:color="auto"/>
            </w:tcBorders>
            <w:shd w:val="pct25" w:color="auto" w:fill="auto"/>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483 857 998</w:t>
            </w:r>
          </w:p>
        </w:tc>
        <w:tc>
          <w:tcPr>
            <w:tcW w:w="496" w:type="pct"/>
            <w:tcBorders>
              <w:top w:val="single" w:sz="4" w:space="0" w:color="auto"/>
              <w:left w:val="nil"/>
              <w:bottom w:val="single" w:sz="4" w:space="0" w:color="auto"/>
              <w:right w:val="single" w:sz="4" w:space="0" w:color="auto"/>
            </w:tcBorders>
            <w:shd w:val="pct25" w:color="auto" w:fill="auto"/>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438 255 511</w:t>
            </w:r>
          </w:p>
        </w:tc>
        <w:tc>
          <w:tcPr>
            <w:tcW w:w="496" w:type="pct"/>
            <w:tcBorders>
              <w:top w:val="single" w:sz="4" w:space="0" w:color="auto"/>
              <w:left w:val="nil"/>
              <w:bottom w:val="single" w:sz="4" w:space="0" w:color="auto"/>
              <w:right w:val="single" w:sz="4" w:space="0" w:color="auto"/>
            </w:tcBorders>
            <w:shd w:val="pct25" w:color="auto" w:fill="auto"/>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364 325 313</w:t>
            </w:r>
          </w:p>
        </w:tc>
        <w:tc>
          <w:tcPr>
            <w:tcW w:w="496" w:type="pct"/>
            <w:tcBorders>
              <w:top w:val="single" w:sz="4" w:space="0" w:color="auto"/>
              <w:left w:val="nil"/>
              <w:bottom w:val="single" w:sz="4" w:space="0" w:color="auto"/>
              <w:right w:val="single" w:sz="4" w:space="0" w:color="auto"/>
            </w:tcBorders>
            <w:shd w:val="pct25" w:color="auto" w:fill="auto"/>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522 029 232</w:t>
            </w:r>
          </w:p>
        </w:tc>
        <w:tc>
          <w:tcPr>
            <w:tcW w:w="497" w:type="pct"/>
            <w:tcBorders>
              <w:top w:val="single" w:sz="4" w:space="0" w:color="auto"/>
              <w:left w:val="nil"/>
              <w:bottom w:val="single" w:sz="4" w:space="0" w:color="auto"/>
              <w:right w:val="single" w:sz="4" w:space="0" w:color="auto"/>
            </w:tcBorders>
            <w:shd w:val="pct25" w:color="auto" w:fill="auto"/>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535 954 680</w:t>
            </w:r>
          </w:p>
        </w:tc>
      </w:tr>
      <w:tr w:rsidR="007D13F3" w:rsidRPr="00C77EC4" w:rsidTr="00465CAC">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 xml:space="preserve">rozpočtové zdroje kapitoly </w:t>
            </w:r>
          </w:p>
        </w:tc>
        <w:tc>
          <w:tcPr>
            <w:tcW w:w="588"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431 092 678</w:t>
            </w:r>
          </w:p>
        </w:tc>
        <w:tc>
          <w:tcPr>
            <w:tcW w:w="588"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413 678 350</w:t>
            </w:r>
          </w:p>
        </w:tc>
        <w:tc>
          <w:tcPr>
            <w:tcW w:w="496"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345 615 123</w:t>
            </w:r>
          </w:p>
        </w:tc>
        <w:tc>
          <w:tcPr>
            <w:tcW w:w="496"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405 102 328</w:t>
            </w:r>
          </w:p>
        </w:tc>
        <w:tc>
          <w:tcPr>
            <w:tcW w:w="496"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364 325 313</w:t>
            </w:r>
          </w:p>
        </w:tc>
        <w:tc>
          <w:tcPr>
            <w:tcW w:w="496"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363 581 568</w:t>
            </w:r>
          </w:p>
        </w:tc>
        <w:tc>
          <w:tcPr>
            <w:tcW w:w="497"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363 295 868</w:t>
            </w:r>
          </w:p>
        </w:tc>
      </w:tr>
      <w:tr w:rsidR="007D13F3" w:rsidRPr="00C77EC4" w:rsidTr="00465CAC">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    v tom: bežné výdavky  600</w:t>
            </w:r>
          </w:p>
        </w:tc>
        <w:tc>
          <w:tcPr>
            <w:tcW w:w="58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371 424 781</w:t>
            </w:r>
          </w:p>
        </w:tc>
        <w:tc>
          <w:tcPr>
            <w:tcW w:w="58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382 644 488</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315 937 543</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380 142 255</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333 518 758</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333 980 704</w:t>
            </w:r>
          </w:p>
        </w:tc>
        <w:tc>
          <w:tcPr>
            <w:tcW w:w="497"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333 827 604</w:t>
            </w:r>
          </w:p>
        </w:tc>
      </w:tr>
      <w:tr w:rsidR="007D13F3" w:rsidRPr="00C77EC4" w:rsidTr="00465CAC">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                 610 mzdy</w:t>
            </w:r>
          </w:p>
        </w:tc>
        <w:tc>
          <w:tcPr>
            <w:tcW w:w="58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138 294 792</w:t>
            </w:r>
          </w:p>
        </w:tc>
        <w:tc>
          <w:tcPr>
            <w:tcW w:w="58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143 857 788</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143 383 120</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152 789 773</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156 612 347</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156 612 347</w:t>
            </w:r>
          </w:p>
        </w:tc>
        <w:tc>
          <w:tcPr>
            <w:tcW w:w="497"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156 612 347</w:t>
            </w:r>
          </w:p>
        </w:tc>
      </w:tr>
      <w:tr w:rsidR="007D13F3" w:rsidRPr="00C77EC4" w:rsidTr="00465CAC">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                 620 odvody</w:t>
            </w:r>
          </w:p>
        </w:tc>
        <w:tc>
          <w:tcPr>
            <w:tcW w:w="58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50 486 478</w:t>
            </w:r>
          </w:p>
        </w:tc>
        <w:tc>
          <w:tcPr>
            <w:tcW w:w="58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52 522 547</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52 511 242</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55 718 950</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55 992 150</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55 992 150</w:t>
            </w:r>
          </w:p>
        </w:tc>
        <w:tc>
          <w:tcPr>
            <w:tcW w:w="497"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55 992 150</w:t>
            </w:r>
          </w:p>
        </w:tc>
      </w:tr>
      <w:tr w:rsidR="007D13F3" w:rsidRPr="00C77EC4" w:rsidTr="00465CAC">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                 630 tovary a služby</w:t>
            </w:r>
          </w:p>
        </w:tc>
        <w:tc>
          <w:tcPr>
            <w:tcW w:w="58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176 460 479</w:t>
            </w:r>
          </w:p>
        </w:tc>
        <w:tc>
          <w:tcPr>
            <w:tcW w:w="58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176 825 685</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115 651 669</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163 694 884</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116 661 739</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116 974 735</w:t>
            </w:r>
          </w:p>
        </w:tc>
        <w:tc>
          <w:tcPr>
            <w:tcW w:w="497"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116 813 635</w:t>
            </w:r>
          </w:p>
        </w:tc>
      </w:tr>
      <w:tr w:rsidR="007D13F3" w:rsidRPr="00C77EC4" w:rsidTr="00465CAC">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                 640 bežné transfery</w:t>
            </w:r>
          </w:p>
        </w:tc>
        <w:tc>
          <w:tcPr>
            <w:tcW w:w="58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6 183 032</w:t>
            </w:r>
          </w:p>
        </w:tc>
        <w:tc>
          <w:tcPr>
            <w:tcW w:w="58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9 438 468</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4 391 512</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7 938 647</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4 252 522</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4 401 472</w:t>
            </w:r>
          </w:p>
        </w:tc>
        <w:tc>
          <w:tcPr>
            <w:tcW w:w="497"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4 409 472</w:t>
            </w:r>
          </w:p>
        </w:tc>
      </w:tr>
      <w:tr w:rsidR="007D13F3" w:rsidRPr="00C77EC4" w:rsidTr="00465CAC">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               kapitálové výdavky 700</w:t>
            </w:r>
          </w:p>
        </w:tc>
        <w:tc>
          <w:tcPr>
            <w:tcW w:w="58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59 667 897</w:t>
            </w:r>
          </w:p>
        </w:tc>
        <w:tc>
          <w:tcPr>
            <w:tcW w:w="58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31 033 862</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29 677 580</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24 960 073</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30 806 555</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29 600 864</w:t>
            </w:r>
          </w:p>
        </w:tc>
        <w:tc>
          <w:tcPr>
            <w:tcW w:w="497"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29 468 264</w:t>
            </w:r>
          </w:p>
        </w:tc>
      </w:tr>
      <w:tr w:rsidR="007D13F3" w:rsidRPr="00C77EC4" w:rsidTr="00465CAC">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 xml:space="preserve">zdroje EÚ vrátane spolufinancovania: </w:t>
            </w:r>
          </w:p>
        </w:tc>
        <w:tc>
          <w:tcPr>
            <w:tcW w:w="588"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71 258 028</w:t>
            </w:r>
          </w:p>
        </w:tc>
        <w:tc>
          <w:tcPr>
            <w:tcW w:w="588"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412 448</w:t>
            </w:r>
          </w:p>
        </w:tc>
        <w:tc>
          <w:tcPr>
            <w:tcW w:w="496"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138 242 875</w:t>
            </w:r>
          </w:p>
        </w:tc>
        <w:tc>
          <w:tcPr>
            <w:tcW w:w="496"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0</w:t>
            </w:r>
          </w:p>
        </w:tc>
        <w:tc>
          <w:tcPr>
            <w:tcW w:w="496"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0</w:t>
            </w:r>
          </w:p>
        </w:tc>
        <w:tc>
          <w:tcPr>
            <w:tcW w:w="496"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158 447 664</w:t>
            </w:r>
          </w:p>
        </w:tc>
        <w:tc>
          <w:tcPr>
            <w:tcW w:w="497"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172 658 812</w:t>
            </w:r>
          </w:p>
        </w:tc>
      </w:tr>
      <w:tr w:rsidR="007D13F3" w:rsidRPr="00C77EC4" w:rsidTr="00465CAC">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    v tom: 2. program. obdobie  EÚ </w:t>
            </w:r>
          </w:p>
        </w:tc>
        <w:tc>
          <w:tcPr>
            <w:tcW w:w="588"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52 642 654</w:t>
            </w:r>
          </w:p>
        </w:tc>
        <w:tc>
          <w:tcPr>
            <w:tcW w:w="588"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300 502</w:t>
            </w:r>
          </w:p>
        </w:tc>
        <w:tc>
          <w:tcPr>
            <w:tcW w:w="496"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r>
      <w:tr w:rsidR="007D13F3" w:rsidRPr="00C77EC4" w:rsidTr="00465CAC">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             spolufinancovanie zo ŠR</w:t>
            </w:r>
          </w:p>
        </w:tc>
        <w:tc>
          <w:tcPr>
            <w:tcW w:w="588"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18 615 374</w:t>
            </w:r>
          </w:p>
        </w:tc>
        <w:tc>
          <w:tcPr>
            <w:tcW w:w="588"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111 946</w:t>
            </w:r>
          </w:p>
        </w:tc>
        <w:tc>
          <w:tcPr>
            <w:tcW w:w="496"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r>
      <w:tr w:rsidR="007D13F3" w:rsidRPr="00C77EC4" w:rsidTr="00465CAC">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             3. program. obdobie  EÚ </w:t>
            </w:r>
          </w:p>
        </w:tc>
        <w:tc>
          <w:tcPr>
            <w:tcW w:w="588"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588"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103 000 000</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119 300 000</w:t>
            </w:r>
          </w:p>
        </w:tc>
        <w:tc>
          <w:tcPr>
            <w:tcW w:w="497"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130 000 000</w:t>
            </w:r>
          </w:p>
        </w:tc>
      </w:tr>
      <w:tr w:rsidR="007D13F3" w:rsidRPr="00C77EC4" w:rsidTr="00465CAC">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             spolufinancovanie zo ŠR</w:t>
            </w:r>
          </w:p>
        </w:tc>
        <w:tc>
          <w:tcPr>
            <w:tcW w:w="588"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588"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35 242 875</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39 147 664</w:t>
            </w:r>
          </w:p>
        </w:tc>
        <w:tc>
          <w:tcPr>
            <w:tcW w:w="497" w:type="pct"/>
            <w:tcBorders>
              <w:top w:val="nil"/>
              <w:left w:val="nil"/>
              <w:bottom w:val="single" w:sz="4" w:space="0" w:color="auto"/>
              <w:right w:val="single" w:sz="4" w:space="0" w:color="auto"/>
            </w:tcBorders>
            <w:shd w:val="clear" w:color="000000" w:fill="FFFFFF"/>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42 658 812</w:t>
            </w:r>
          </w:p>
        </w:tc>
      </w:tr>
      <w:tr w:rsidR="007D13F3" w:rsidRPr="00C77EC4" w:rsidTr="00465CAC">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presun z minulých rokov § 8</w:t>
            </w:r>
          </w:p>
        </w:tc>
        <w:tc>
          <w:tcPr>
            <w:tcW w:w="58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160 924 092</w:t>
            </w:r>
          </w:p>
        </w:tc>
        <w:tc>
          <w:tcPr>
            <w:tcW w:w="58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96 232 003</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0</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33 153 183</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0</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0</w:t>
            </w:r>
          </w:p>
        </w:tc>
      </w:tr>
      <w:tr w:rsidR="007D13F3" w:rsidRPr="00C77EC4" w:rsidTr="00465CAC">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    v tom: štátny rozpočet</w:t>
            </w:r>
          </w:p>
        </w:tc>
        <w:tc>
          <w:tcPr>
            <w:tcW w:w="58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33 092 710</w:t>
            </w:r>
          </w:p>
        </w:tc>
        <w:tc>
          <w:tcPr>
            <w:tcW w:w="58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59 126 822</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3 107 612</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r>
      <w:tr w:rsidR="007D13F3" w:rsidRPr="00C77EC4" w:rsidTr="00465CAC">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               EÚ prostriedky</w:t>
            </w:r>
          </w:p>
        </w:tc>
        <w:tc>
          <w:tcPr>
            <w:tcW w:w="58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105 085 353</w:t>
            </w:r>
          </w:p>
        </w:tc>
        <w:tc>
          <w:tcPr>
            <w:tcW w:w="58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30 065 013</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25 159 258</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7"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r>
      <w:tr w:rsidR="007D13F3" w:rsidRPr="00C77EC4" w:rsidTr="00465CAC">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              spolufinancovanie zo ŠR</w:t>
            </w:r>
          </w:p>
        </w:tc>
        <w:tc>
          <w:tcPr>
            <w:tcW w:w="58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22 746 029</w:t>
            </w:r>
          </w:p>
        </w:tc>
        <w:tc>
          <w:tcPr>
            <w:tcW w:w="58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7 040 168</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4 886 312</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97"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r>
      <w:tr w:rsidR="007D13F3" w:rsidRPr="00C77EC4" w:rsidTr="00465CAC">
        <w:trPr>
          <w:trHeight w:hRule="exact" w:val="255"/>
        </w:trPr>
        <w:tc>
          <w:tcPr>
            <w:tcW w:w="1344"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C77EC4" w:rsidRDefault="007D13F3" w:rsidP="00465CAC">
            <w:pP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 xml:space="preserve"> zdroj 72e*</w:t>
            </w:r>
          </w:p>
        </w:tc>
        <w:tc>
          <w:tcPr>
            <w:tcW w:w="58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69 689</w:t>
            </w:r>
          </w:p>
        </w:tc>
        <w:tc>
          <w:tcPr>
            <w:tcW w:w="58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82 316</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0</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46 332</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78 520</w:t>
            </w:r>
          </w:p>
        </w:tc>
        <w:tc>
          <w:tcPr>
            <w:tcW w:w="496"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78 520</w:t>
            </w:r>
          </w:p>
        </w:tc>
        <w:tc>
          <w:tcPr>
            <w:tcW w:w="497"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78 520</w:t>
            </w:r>
          </w:p>
        </w:tc>
      </w:tr>
      <w:tr w:rsidR="007D13F3" w:rsidRPr="00C77EC4" w:rsidTr="00465CAC">
        <w:trPr>
          <w:trHeight w:hRule="exact" w:val="255"/>
        </w:trPr>
        <w:tc>
          <w:tcPr>
            <w:tcW w:w="2519" w:type="pct"/>
            <w:gridSpan w:val="3"/>
            <w:tcBorders>
              <w:top w:val="single" w:sz="4" w:space="0" w:color="auto"/>
              <w:left w:val="nil"/>
              <w:bottom w:val="nil"/>
              <w:right w:val="nil"/>
            </w:tcBorders>
            <w:shd w:val="clear" w:color="000000" w:fill="FFFFFF"/>
            <w:noWrap/>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*z poistného plnenia zo zmluvného poistenia alebo zo zákonného poistenia</w:t>
            </w:r>
          </w:p>
        </w:tc>
        <w:tc>
          <w:tcPr>
            <w:tcW w:w="496" w:type="pct"/>
            <w:tcBorders>
              <w:top w:val="nil"/>
              <w:left w:val="nil"/>
              <w:bottom w:val="single" w:sz="4" w:space="0" w:color="auto"/>
              <w:right w:val="nil"/>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p>
        </w:tc>
        <w:tc>
          <w:tcPr>
            <w:tcW w:w="496" w:type="pct"/>
            <w:tcBorders>
              <w:top w:val="nil"/>
              <w:left w:val="nil"/>
              <w:bottom w:val="nil"/>
              <w:right w:val="nil"/>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p>
        </w:tc>
        <w:tc>
          <w:tcPr>
            <w:tcW w:w="496" w:type="pct"/>
            <w:tcBorders>
              <w:top w:val="nil"/>
              <w:left w:val="nil"/>
              <w:bottom w:val="nil"/>
              <w:right w:val="nil"/>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p>
        </w:tc>
        <w:tc>
          <w:tcPr>
            <w:tcW w:w="496" w:type="pct"/>
            <w:tcBorders>
              <w:top w:val="nil"/>
              <w:left w:val="nil"/>
              <w:bottom w:val="nil"/>
              <w:right w:val="nil"/>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p>
        </w:tc>
        <w:tc>
          <w:tcPr>
            <w:tcW w:w="497" w:type="pct"/>
            <w:tcBorders>
              <w:top w:val="nil"/>
              <w:left w:val="nil"/>
              <w:bottom w:val="nil"/>
              <w:right w:val="nil"/>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p>
        </w:tc>
      </w:tr>
      <w:tr w:rsidR="007D13F3" w:rsidRPr="00C77EC4" w:rsidTr="00465CAC">
        <w:trPr>
          <w:trHeight w:hRule="exact" w:val="255"/>
        </w:trPr>
        <w:tc>
          <w:tcPr>
            <w:tcW w:w="1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Samostatné účty</w:t>
            </w:r>
          </w:p>
        </w:tc>
        <w:tc>
          <w:tcPr>
            <w:tcW w:w="588"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70 987 356</w:t>
            </w:r>
          </w:p>
        </w:tc>
        <w:tc>
          <w:tcPr>
            <w:tcW w:w="588"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44 426 350</w:t>
            </w:r>
          </w:p>
        </w:tc>
        <w:tc>
          <w:tcPr>
            <w:tcW w:w="496"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15 905 000</w:t>
            </w:r>
          </w:p>
        </w:tc>
        <w:tc>
          <w:tcPr>
            <w:tcW w:w="496"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18 182 354</w:t>
            </w:r>
          </w:p>
        </w:tc>
        <w:tc>
          <w:tcPr>
            <w:tcW w:w="496"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19 336 648</w:t>
            </w:r>
          </w:p>
        </w:tc>
        <w:tc>
          <w:tcPr>
            <w:tcW w:w="496"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18 987 938</w:t>
            </w:r>
          </w:p>
        </w:tc>
        <w:tc>
          <w:tcPr>
            <w:tcW w:w="497" w:type="pct"/>
            <w:tcBorders>
              <w:top w:val="single" w:sz="4" w:space="0" w:color="auto"/>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18 494 410</w:t>
            </w:r>
          </w:p>
        </w:tc>
      </w:tr>
    </w:tbl>
    <w:p w:rsidR="007D13F3" w:rsidRDefault="007D13F3" w:rsidP="007D13F3">
      <w:pPr>
        <w:jc w:val="both"/>
        <w:rPr>
          <w:rFonts w:ascii="Times New Roman" w:eastAsiaTheme="minorHAnsi" w:hAnsi="Times New Roman" w:cs="Times New Roman"/>
          <w:lang w:eastAsia="en-US"/>
        </w:rPr>
      </w:pPr>
    </w:p>
    <w:p w:rsidR="007D13F3" w:rsidRPr="00C77EC4" w:rsidRDefault="007D13F3" w:rsidP="007D13F3">
      <w:pPr>
        <w:ind w:firstLine="708"/>
        <w:jc w:val="both"/>
        <w:rPr>
          <w:rFonts w:ascii="Times New Roman" w:eastAsiaTheme="minorHAnsi" w:hAnsi="Times New Roman" w:cs="Times New Roman"/>
          <w:lang w:eastAsia="en-US"/>
        </w:rPr>
      </w:pPr>
      <w:r w:rsidRPr="009D7637">
        <w:rPr>
          <w:rFonts w:ascii="Times New Roman" w:eastAsiaTheme="minorHAnsi" w:hAnsi="Times New Roman" w:cs="Times New Roman"/>
          <w:lang w:eastAsia="en-US"/>
        </w:rPr>
        <w:t xml:space="preserve">Celkové  výdavky kapitoly Ministerstva financií SR (ďalej len „MF SR“) sa v roku 2018 rozpočtujú vo výške </w:t>
      </w:r>
      <w:r>
        <w:rPr>
          <w:rFonts w:ascii="Times New Roman" w:eastAsiaTheme="minorHAnsi" w:hAnsi="Times New Roman" w:cs="Times New Roman"/>
          <w:lang w:eastAsia="en-US"/>
        </w:rPr>
        <w:t>364</w:t>
      </w:r>
      <w:r w:rsidRPr="009D7637">
        <w:rPr>
          <w:rFonts w:ascii="Times New Roman" w:eastAsiaTheme="minorHAnsi" w:hAnsi="Times New Roman" w:cs="Times New Roman"/>
          <w:lang w:eastAsia="en-US"/>
        </w:rPr>
        <w:t xml:space="preserve"> mil. eur, </w:t>
      </w:r>
      <w:r>
        <w:rPr>
          <w:rFonts w:ascii="Times New Roman" w:eastAsiaTheme="minorHAnsi" w:hAnsi="Times New Roman" w:cs="Times New Roman"/>
          <w:lang w:eastAsia="en-US"/>
        </w:rPr>
        <w:t xml:space="preserve">čo predstavuje pokles v porovnaní so schváleným rozpočtom na rok 2017 o 119 mil. eur, t. j. o 24,7 </w:t>
      </w:r>
      <w:r w:rsidRPr="00A320A9">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Dôvodom poklesu je skutočnosť, že na rok 2018 nie sú rozpočtované výdavky z prostriedkov EÚ a spolufinancovania zo štátneho rozpočtu. </w:t>
      </w:r>
      <w:r w:rsidRPr="00AD6853">
        <w:rPr>
          <w:rFonts w:ascii="Times New Roman" w:eastAsiaTheme="minorHAnsi" w:hAnsi="Times New Roman" w:cs="Times New Roman"/>
          <w:lang w:eastAsia="en-US"/>
        </w:rPr>
        <w:t>Ich financovanie sa predpokladá z nevyčerpaných prostriedkov z predchádzajúcich rokov.</w:t>
      </w:r>
    </w:p>
    <w:p w:rsidR="007D13F3" w:rsidRPr="00C77EC4" w:rsidRDefault="007D13F3" w:rsidP="007D13F3">
      <w:pPr>
        <w:jc w:val="both"/>
        <w:rPr>
          <w:rFonts w:ascii="Times New Roman" w:eastAsiaTheme="minorHAnsi" w:hAnsi="Times New Roman" w:cs="Times New Roman"/>
          <w:lang w:eastAsia="en-US"/>
        </w:rPr>
      </w:pPr>
    </w:p>
    <w:p w:rsidR="007D13F3" w:rsidRPr="00C77EC4" w:rsidRDefault="007D13F3" w:rsidP="007D13F3">
      <w:pPr>
        <w:jc w:val="both"/>
        <w:rPr>
          <w:rFonts w:ascii="Times New Roman" w:eastAsiaTheme="minorHAnsi" w:hAnsi="Times New Roman" w:cs="Times New Roman"/>
          <w:lang w:eastAsia="en-US"/>
        </w:rPr>
      </w:pPr>
      <w:r w:rsidRPr="00C77EC4">
        <w:rPr>
          <w:rFonts w:ascii="Times New Roman" w:eastAsiaTheme="minorHAnsi" w:hAnsi="Times New Roman" w:cs="Times New Roman"/>
          <w:lang w:eastAsia="en-US"/>
        </w:rPr>
        <w:tab/>
        <w:t>Osobné výdavky na rok 2018 sa navrhujú na úrovni 213 mil. eur. V porovnaní so schváleným rozpočtom na rok 2017 rastú o 16,7 mil. eur, čo predstavuje nárast o 8,53 %. Uvedený vývoj osobných výdavkov ovplyvnil najmä rast výdavkov z dôvodu valorizácie pla</w:t>
      </w:r>
      <w:r>
        <w:rPr>
          <w:rFonts w:ascii="Times New Roman" w:eastAsiaTheme="minorHAnsi" w:hAnsi="Times New Roman" w:cs="Times New Roman"/>
          <w:lang w:eastAsia="en-US"/>
        </w:rPr>
        <w:t>tov zamestnancov rezortu z roku 2017.</w:t>
      </w:r>
      <w:r w:rsidRPr="00C77EC4">
        <w:rPr>
          <w:rFonts w:ascii="Times New Roman" w:eastAsiaTheme="minorHAnsi" w:hAnsi="Times New Roman" w:cs="Times New Roman"/>
          <w:lang w:eastAsia="en-US"/>
        </w:rPr>
        <w:t xml:space="preserve"> </w:t>
      </w:r>
    </w:p>
    <w:p w:rsidR="007D13F3" w:rsidRPr="00C77EC4" w:rsidRDefault="007D13F3" w:rsidP="007D13F3">
      <w:pPr>
        <w:jc w:val="both"/>
        <w:rPr>
          <w:rFonts w:ascii="Times New Roman" w:eastAsiaTheme="minorHAnsi" w:hAnsi="Times New Roman" w:cs="Times New Roman"/>
          <w:lang w:eastAsia="en-US"/>
        </w:rPr>
      </w:pPr>
    </w:p>
    <w:p w:rsidR="007D13F3" w:rsidRPr="00C77EC4" w:rsidRDefault="007D13F3" w:rsidP="007D13F3">
      <w:pPr>
        <w:jc w:val="both"/>
        <w:rPr>
          <w:rFonts w:ascii="Times New Roman" w:eastAsiaTheme="minorHAnsi" w:hAnsi="Times New Roman" w:cs="Times New Roman"/>
          <w:lang w:eastAsia="en-US"/>
        </w:rPr>
      </w:pPr>
      <w:r w:rsidRPr="00C77EC4">
        <w:rPr>
          <w:rFonts w:ascii="Times New Roman" w:eastAsiaTheme="minorHAnsi" w:hAnsi="Times New Roman" w:cs="Times New Roman"/>
          <w:lang w:eastAsia="en-US"/>
        </w:rPr>
        <w:tab/>
        <w:t>Výdavky na tovary a služby na rok 2018 v porovnaní so schváleným rozpočtom na rok 2017 rastú o 1,01 mil. eur, čo predstavuje 0,87 %.</w:t>
      </w:r>
    </w:p>
    <w:p w:rsidR="007D13F3" w:rsidRPr="00C77EC4" w:rsidRDefault="007D13F3" w:rsidP="007D13F3">
      <w:pPr>
        <w:jc w:val="both"/>
        <w:rPr>
          <w:rFonts w:ascii="Times New Roman" w:eastAsiaTheme="minorHAnsi" w:hAnsi="Times New Roman" w:cs="Times New Roman"/>
          <w:lang w:eastAsia="en-US"/>
        </w:rPr>
      </w:pPr>
    </w:p>
    <w:p w:rsidR="007D13F3" w:rsidRDefault="007D13F3" w:rsidP="007D13F3">
      <w:pPr>
        <w:jc w:val="both"/>
        <w:rPr>
          <w:rFonts w:ascii="Times New Roman" w:eastAsiaTheme="minorHAnsi" w:hAnsi="Times New Roman" w:cs="Times New Roman"/>
          <w:lang w:eastAsia="en-US"/>
        </w:rPr>
      </w:pPr>
      <w:r w:rsidRPr="00C77EC4">
        <w:rPr>
          <w:rFonts w:ascii="Times New Roman" w:eastAsiaTheme="minorHAnsi" w:hAnsi="Times New Roman" w:cs="Times New Roman"/>
          <w:lang w:eastAsia="en-US"/>
        </w:rPr>
        <w:tab/>
        <w:t xml:space="preserve">Na bežné transfery sa v roku 2018 rozpočtujú výdavky v sume 4,25 mil. eur, čo je </w:t>
      </w:r>
      <w:r w:rsidRPr="00C77EC4">
        <w:rPr>
          <w:rFonts w:ascii="Times New Roman" w:eastAsiaTheme="minorHAnsi" w:hAnsi="Times New Roman" w:cs="Times New Roman"/>
          <w:lang w:eastAsia="en-US"/>
        </w:rPr>
        <w:br/>
        <w:t>o 139 tis. eur menej v porovnaní so schváleným rozpočtom na rok 2017. Uvedený pokles predstavuje 3,16 %.</w:t>
      </w:r>
    </w:p>
    <w:p w:rsidR="007D13F3" w:rsidRPr="00C77EC4" w:rsidRDefault="007D13F3" w:rsidP="007D13F3">
      <w:pPr>
        <w:ind w:firstLine="708"/>
        <w:jc w:val="both"/>
        <w:rPr>
          <w:rFonts w:ascii="Times New Roman" w:eastAsiaTheme="minorHAnsi" w:hAnsi="Times New Roman" w:cs="Times New Roman"/>
          <w:lang w:eastAsia="en-US"/>
        </w:rPr>
      </w:pPr>
    </w:p>
    <w:p w:rsidR="007D13F3" w:rsidRPr="00034E0F" w:rsidRDefault="007D13F3" w:rsidP="007D13F3">
      <w:pPr>
        <w:ind w:firstLine="708"/>
        <w:jc w:val="both"/>
        <w:rPr>
          <w:rFonts w:ascii="Times New Roman" w:hAnsi="Times New Roman" w:cs="Times New Roman"/>
          <w:color w:val="000000"/>
          <w:sz w:val="20"/>
          <w:szCs w:val="20"/>
          <w:lang w:eastAsia="sk-SK"/>
        </w:rPr>
      </w:pPr>
      <w:r w:rsidRPr="00C77EC4">
        <w:rPr>
          <w:rFonts w:ascii="Times New Roman" w:eastAsiaTheme="minorHAnsi" w:hAnsi="Times New Roman" w:cs="Times New Roman"/>
          <w:lang w:eastAsia="en-US"/>
        </w:rPr>
        <w:t>Kapitálové výdavky sú na rok 2018 rozpočtované v sume 30,8 mil. eur. V porovnaní so schváleným rozpočtom na rok 2017 ide o nárast o 1,13 mil. eur, čo predstavuje</w:t>
      </w:r>
      <w:r w:rsidRPr="00C77EC4">
        <w:rPr>
          <w:rFonts w:ascii="Times New Roman" w:eastAsiaTheme="minorHAnsi" w:hAnsi="Times New Roman" w:cs="Times New Roman"/>
          <w:lang w:eastAsia="en-US"/>
        </w:rPr>
        <w:br/>
        <w:t>3,80 %. Výdavky rastú najmä z dôvodu potrebnej aktualizácie daňových a colných informačných systémov v súvislosti s navrhovanými novelami daňových zákonov.</w:t>
      </w:r>
    </w:p>
    <w:p w:rsidR="007D13F3" w:rsidRDefault="007D13F3" w:rsidP="007D13F3">
      <w:pPr>
        <w:ind w:firstLine="708"/>
        <w:jc w:val="both"/>
        <w:rPr>
          <w:rFonts w:ascii="Times New Roman" w:eastAsiaTheme="minorHAnsi" w:hAnsi="Times New Roman" w:cs="Times New Roman"/>
          <w:lang w:eastAsia="en-US"/>
        </w:rPr>
      </w:pPr>
    </w:p>
    <w:p w:rsidR="007D13F3" w:rsidRPr="00C77EC4" w:rsidRDefault="007D13F3" w:rsidP="007D13F3">
      <w:pPr>
        <w:ind w:firstLine="708"/>
        <w:jc w:val="both"/>
        <w:rPr>
          <w:rFonts w:ascii="Times New Roman" w:eastAsiaTheme="minorHAnsi" w:hAnsi="Times New Roman" w:cs="Times New Roman"/>
          <w:lang w:eastAsia="en-US"/>
        </w:rPr>
      </w:pPr>
      <w:r w:rsidRPr="00C77EC4">
        <w:rPr>
          <w:rFonts w:ascii="Times New Roman" w:eastAsiaTheme="minorHAnsi" w:hAnsi="Times New Roman" w:cs="Times New Roman"/>
          <w:lang w:eastAsia="en-US"/>
        </w:rPr>
        <w:t xml:space="preserve">Kapitola v nadväznosti na § 17 ods. 4 zákona č. 523/2004 Z. z. o rozpočtových pravidlách verejnej správy </w:t>
      </w:r>
      <w:r w:rsidR="00F358AE">
        <w:rPr>
          <w:rFonts w:ascii="Times New Roman" w:eastAsiaTheme="minorHAnsi" w:hAnsi="Times New Roman" w:cs="Times New Roman"/>
          <w:lang w:eastAsia="en-US"/>
        </w:rPr>
        <w:t xml:space="preserve">a o zmene a doplnení niektorých zákonov </w:t>
      </w:r>
      <w:r w:rsidRPr="00C77EC4">
        <w:rPr>
          <w:rFonts w:ascii="Times New Roman" w:eastAsiaTheme="minorHAnsi" w:hAnsi="Times New Roman" w:cs="Times New Roman"/>
          <w:lang w:eastAsia="en-US"/>
        </w:rPr>
        <w:t xml:space="preserve">v znení neskorších predpisov rozpočtuje tiež výdavky zodpovedajúce príjmom z poistného plnenia zo zmluvného </w:t>
      </w:r>
      <w:r w:rsidRPr="00C77EC4">
        <w:rPr>
          <w:rFonts w:ascii="Times New Roman" w:eastAsiaTheme="minorHAnsi" w:hAnsi="Times New Roman" w:cs="Times New Roman"/>
          <w:lang w:eastAsia="en-US"/>
        </w:rPr>
        <w:lastRenderedPageBreak/>
        <w:t xml:space="preserve">poistenia alebo zo zákonného poistenia v sume 78,5 tis. eur. Tieto sú určené na financovanie servisu, údržby a opráv motorových vozidiel </w:t>
      </w:r>
      <w:r w:rsidR="009906A2">
        <w:rPr>
          <w:rFonts w:ascii="Times New Roman" w:eastAsiaTheme="minorHAnsi" w:hAnsi="Times New Roman" w:cs="Times New Roman"/>
          <w:lang w:eastAsia="en-US"/>
        </w:rPr>
        <w:t>Finančného riaditeľstva</w:t>
      </w:r>
      <w:r>
        <w:rPr>
          <w:rFonts w:ascii="Times New Roman" w:eastAsiaTheme="minorHAnsi" w:hAnsi="Times New Roman" w:cs="Times New Roman"/>
          <w:lang w:eastAsia="en-US"/>
        </w:rPr>
        <w:t xml:space="preserve"> SR</w:t>
      </w:r>
      <w:r w:rsidRPr="00C77EC4">
        <w:rPr>
          <w:rFonts w:ascii="Times New Roman" w:eastAsiaTheme="minorHAnsi" w:hAnsi="Times New Roman" w:cs="Times New Roman"/>
          <w:lang w:eastAsia="en-US"/>
        </w:rPr>
        <w:t>.</w:t>
      </w:r>
    </w:p>
    <w:p w:rsidR="007D13F3" w:rsidRPr="00C77EC4" w:rsidRDefault="007D13F3" w:rsidP="007D13F3">
      <w:pPr>
        <w:jc w:val="both"/>
        <w:rPr>
          <w:rFonts w:ascii="Times New Roman" w:hAnsi="Times New Roman" w:cs="Times New Roman"/>
          <w:noProof/>
          <w:lang w:eastAsia="sk-SK"/>
        </w:rPr>
      </w:pPr>
    </w:p>
    <w:p w:rsidR="007D13F3" w:rsidRPr="00C77EC4" w:rsidRDefault="007D13F3" w:rsidP="007D13F3">
      <w:pPr>
        <w:ind w:firstLine="708"/>
        <w:jc w:val="both"/>
        <w:rPr>
          <w:rFonts w:ascii="Times New Roman" w:hAnsi="Times New Roman" w:cs="Times New Roman"/>
          <w:bCs/>
        </w:rPr>
      </w:pPr>
      <w:r w:rsidRPr="00C77EC4">
        <w:rPr>
          <w:rFonts w:ascii="Times New Roman" w:hAnsi="Times New Roman" w:cs="Times New Roman"/>
          <w:noProof/>
          <w:lang w:eastAsia="sk-SK"/>
        </w:rPr>
        <w:t>MF SR na rok 2018 rozpočtuje výdavky na samosta</w:t>
      </w:r>
      <w:r>
        <w:rPr>
          <w:rFonts w:ascii="Times New Roman" w:hAnsi="Times New Roman" w:cs="Times New Roman"/>
          <w:noProof/>
          <w:lang w:eastAsia="sk-SK"/>
        </w:rPr>
        <w:t>t</w:t>
      </w:r>
      <w:r w:rsidRPr="00C77EC4">
        <w:rPr>
          <w:rFonts w:ascii="Times New Roman" w:hAnsi="Times New Roman" w:cs="Times New Roman"/>
          <w:noProof/>
          <w:lang w:eastAsia="sk-SK"/>
        </w:rPr>
        <w:t>ných účtoch v celkovej sume</w:t>
      </w:r>
      <w:r w:rsidRPr="00C77EC4">
        <w:rPr>
          <w:rFonts w:ascii="Times New Roman" w:hAnsi="Times New Roman" w:cs="Times New Roman"/>
          <w:noProof/>
          <w:lang w:eastAsia="sk-SK"/>
        </w:rPr>
        <w:br/>
      </w:r>
      <w:r w:rsidRPr="00C77EC4">
        <w:rPr>
          <w:rFonts w:ascii="Times New Roman" w:hAnsi="Times New Roman" w:cs="Times New Roman"/>
          <w:bCs/>
        </w:rPr>
        <w:t xml:space="preserve">19,3 mil. eur. Uvedené prostriedky sú určené na financovanie sociálneho zabezpečenia colníkov, </w:t>
      </w:r>
      <w:r>
        <w:rPr>
          <w:rFonts w:ascii="Times New Roman" w:hAnsi="Times New Roman" w:cs="Times New Roman"/>
          <w:bCs/>
        </w:rPr>
        <w:t xml:space="preserve">grantov </w:t>
      </w:r>
      <w:r w:rsidRPr="00C77EC4">
        <w:rPr>
          <w:rFonts w:ascii="Times New Roman" w:hAnsi="Times New Roman" w:cs="Times New Roman"/>
          <w:bCs/>
        </w:rPr>
        <w:t>programov EÚ</w:t>
      </w:r>
      <w:r>
        <w:rPr>
          <w:rFonts w:ascii="Times New Roman" w:hAnsi="Times New Roman" w:cs="Times New Roman"/>
          <w:bCs/>
        </w:rPr>
        <w:t>,</w:t>
      </w:r>
      <w:r w:rsidRPr="00C77EC4">
        <w:rPr>
          <w:rFonts w:ascii="Times New Roman" w:hAnsi="Times New Roman" w:cs="Times New Roman"/>
          <w:bCs/>
        </w:rPr>
        <w:t xml:space="preserve"> napr.  </w:t>
      </w:r>
      <w:proofErr w:type="spellStart"/>
      <w:r w:rsidRPr="00C77EC4">
        <w:rPr>
          <w:rFonts w:ascii="Times New Roman" w:hAnsi="Times New Roman" w:cs="Times New Roman"/>
          <w:bCs/>
        </w:rPr>
        <w:t>Fiscalis</w:t>
      </w:r>
      <w:proofErr w:type="spellEnd"/>
      <w:r w:rsidRPr="00C77EC4">
        <w:rPr>
          <w:rFonts w:ascii="Times New Roman" w:hAnsi="Times New Roman" w:cs="Times New Roman"/>
          <w:bCs/>
        </w:rPr>
        <w:t xml:space="preserve">, </w:t>
      </w:r>
      <w:proofErr w:type="spellStart"/>
      <w:r w:rsidRPr="00C77EC4">
        <w:rPr>
          <w:rFonts w:ascii="Times New Roman" w:hAnsi="Times New Roman" w:cs="Times New Roman"/>
          <w:bCs/>
        </w:rPr>
        <w:t>Customs</w:t>
      </w:r>
      <w:proofErr w:type="spellEnd"/>
      <w:r w:rsidRPr="00C77EC4">
        <w:rPr>
          <w:rFonts w:ascii="Times New Roman" w:hAnsi="Times New Roman" w:cs="Times New Roman"/>
          <w:bCs/>
        </w:rPr>
        <w:t xml:space="preserve">, </w:t>
      </w:r>
      <w:proofErr w:type="spellStart"/>
      <w:r w:rsidRPr="00C77EC4">
        <w:rPr>
          <w:rFonts w:ascii="Times New Roman" w:hAnsi="Times New Roman" w:cs="Times New Roman"/>
          <w:bCs/>
        </w:rPr>
        <w:t>Eurojust</w:t>
      </w:r>
      <w:proofErr w:type="spellEnd"/>
      <w:r w:rsidRPr="00C77EC4">
        <w:rPr>
          <w:rFonts w:ascii="Times New Roman" w:hAnsi="Times New Roman" w:cs="Times New Roman"/>
          <w:bCs/>
        </w:rPr>
        <w:t xml:space="preserve">,  </w:t>
      </w:r>
      <w:r>
        <w:rPr>
          <w:rFonts w:ascii="Times New Roman" w:hAnsi="Times New Roman" w:cs="Times New Roman"/>
          <w:bCs/>
        </w:rPr>
        <w:t xml:space="preserve">zahraničných grantov </w:t>
      </w:r>
      <w:r w:rsidRPr="00C77EC4">
        <w:rPr>
          <w:rFonts w:ascii="Times New Roman" w:hAnsi="Times New Roman" w:cs="Times New Roman"/>
          <w:bCs/>
        </w:rPr>
        <w:t xml:space="preserve">na krytie výdavkov </w:t>
      </w:r>
      <w:r w:rsidR="009906A2">
        <w:rPr>
          <w:rFonts w:ascii="Times New Roman" w:eastAsiaTheme="minorHAnsi" w:hAnsi="Times New Roman" w:cs="Times New Roman"/>
          <w:lang w:eastAsia="en-US"/>
        </w:rPr>
        <w:t xml:space="preserve">Finančného riaditeľstva </w:t>
      </w:r>
      <w:r w:rsidRPr="00C77EC4">
        <w:rPr>
          <w:rFonts w:ascii="Times New Roman" w:hAnsi="Times New Roman" w:cs="Times New Roman"/>
          <w:bCs/>
        </w:rPr>
        <w:t>SR súvisiacich s bojom proti pašovaniu cigariet, programu INTERACT III, Nórskeho finančného mechanizmu a Finančného mechanizmu EHP.</w:t>
      </w:r>
    </w:p>
    <w:p w:rsidR="007D13F3" w:rsidRPr="00C77EC4" w:rsidRDefault="009906A2" w:rsidP="007D13F3">
      <w:pPr>
        <w:ind w:firstLine="708"/>
        <w:jc w:val="both"/>
        <w:rPr>
          <w:rFonts w:ascii="Times New Roman" w:hAnsi="Times New Roman" w:cs="Times New Roman"/>
          <w:bCs/>
        </w:rPr>
      </w:pPr>
      <w:r>
        <w:rPr>
          <w:rFonts w:ascii="Times New Roman" w:hAnsi="Times New Roman" w:cs="Times New Roman"/>
          <w:bCs/>
        </w:rPr>
        <w:t xml:space="preserve"> </w:t>
      </w:r>
    </w:p>
    <w:p w:rsidR="007D13F3" w:rsidRPr="00C77EC4" w:rsidRDefault="007D13F3" w:rsidP="007D13F3">
      <w:pPr>
        <w:jc w:val="both"/>
        <w:rPr>
          <w:rFonts w:ascii="Times New Roman" w:eastAsiaTheme="minorHAnsi" w:hAnsi="Times New Roman" w:cs="Times New Roman"/>
          <w:lang w:eastAsia="en-US"/>
        </w:rPr>
      </w:pPr>
      <w:r w:rsidRPr="00C77EC4">
        <w:rPr>
          <w:rFonts w:ascii="Times New Roman" w:eastAsiaTheme="minorHAnsi" w:hAnsi="Times New Roman" w:cs="Times New Roman"/>
          <w:lang w:eastAsia="en-US"/>
        </w:rPr>
        <w:tab/>
        <w:t>Výdavky kapitoly MF SR sú alokované do nasledovných oblastí.</w:t>
      </w:r>
    </w:p>
    <w:p w:rsidR="007D13F3" w:rsidRPr="00C77EC4" w:rsidRDefault="007D13F3" w:rsidP="007D13F3">
      <w:pPr>
        <w:jc w:val="both"/>
        <w:rPr>
          <w:rFonts w:ascii="Times New Roman" w:eastAsiaTheme="minorHAnsi" w:hAnsi="Times New Roman" w:cs="Times New Roman"/>
          <w:lang w:eastAsia="en-US"/>
        </w:rPr>
      </w:pPr>
    </w:p>
    <w:tbl>
      <w:tblPr>
        <w:tblW w:w="5000" w:type="pct"/>
        <w:tblCellMar>
          <w:left w:w="70" w:type="dxa"/>
          <w:right w:w="70" w:type="dxa"/>
        </w:tblCellMar>
        <w:tblLook w:val="04A0" w:firstRow="1" w:lastRow="0" w:firstColumn="1" w:lastColumn="0" w:noHBand="0" w:noVBand="1"/>
      </w:tblPr>
      <w:tblGrid>
        <w:gridCol w:w="2135"/>
        <w:gridCol w:w="989"/>
        <w:gridCol w:w="989"/>
        <w:gridCol w:w="989"/>
        <w:gridCol w:w="990"/>
        <w:gridCol w:w="990"/>
        <w:gridCol w:w="990"/>
        <w:gridCol w:w="990"/>
      </w:tblGrid>
      <w:tr w:rsidR="007D13F3" w:rsidRPr="00C77EC4" w:rsidTr="00465CAC">
        <w:trPr>
          <w:trHeight w:val="255"/>
        </w:trPr>
        <w:tc>
          <w:tcPr>
            <w:tcW w:w="1148"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v eurách</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2015 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2016 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2017 R</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2017 OS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2018 N</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2019 N</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2020 N</w:t>
            </w:r>
          </w:p>
        </w:tc>
      </w:tr>
      <w:tr w:rsidR="007D13F3" w:rsidRPr="00C77EC4" w:rsidTr="00465CAC">
        <w:trPr>
          <w:trHeight w:val="255"/>
        </w:trPr>
        <w:tc>
          <w:tcPr>
            <w:tcW w:w="1148" w:type="pct"/>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7D13F3" w:rsidRPr="00C77EC4" w:rsidRDefault="007D13F3" w:rsidP="00465CAC">
            <w:pP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Výdavkové oblasti spolu</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663 344 487</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510 405 117</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483 857 998</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438 301 842</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364 403 833</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522 107 752</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536 033 200</w:t>
            </w:r>
          </w:p>
        </w:tc>
      </w:tr>
      <w:tr w:rsidR="007D13F3" w:rsidRPr="00C77EC4" w:rsidTr="00465CAC">
        <w:trPr>
          <w:trHeight w:val="255"/>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r>
              <w:rPr>
                <w:rFonts w:ascii="Times New Roman" w:hAnsi="Times New Roman" w:cs="Times New Roman"/>
                <w:sz w:val="14"/>
                <w:szCs w:val="14"/>
                <w:lang w:eastAsia="sk-SK"/>
              </w:rPr>
              <w:t>Výber daní a cla finančnou správou</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280 871 424</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310 319 996</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213 286 124</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224 958 909</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228 493 164</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228 771 204</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228 399 504</w:t>
            </w:r>
          </w:p>
        </w:tc>
      </w:tr>
      <w:tr w:rsidR="007D13F3" w:rsidRPr="00C77EC4" w:rsidTr="00465CAC">
        <w:trPr>
          <w:trHeight w:val="255"/>
        </w:trPr>
        <w:tc>
          <w:tcPr>
            <w:tcW w:w="1148" w:type="pct"/>
            <w:tcBorders>
              <w:top w:val="nil"/>
              <w:left w:val="single" w:sz="4" w:space="0" w:color="auto"/>
              <w:bottom w:val="single" w:sz="4" w:space="0" w:color="auto"/>
              <w:right w:val="single" w:sz="4" w:space="0" w:color="auto"/>
            </w:tcBorders>
            <w:shd w:val="clear" w:color="auto" w:fill="auto"/>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Informačná spoločnosť a Informačné technológie financované zo štátneho rozpočtu</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311 056 979</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122 997 024</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218 595 891</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151 086 146</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85 108 822</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242 045 125</w:t>
            </w:r>
          </w:p>
        </w:tc>
        <w:tc>
          <w:tcPr>
            <w:tcW w:w="550" w:type="pct"/>
            <w:tcBorders>
              <w:top w:val="nil"/>
              <w:left w:val="nil"/>
              <w:bottom w:val="single" w:sz="4" w:space="0" w:color="auto"/>
              <w:right w:val="single" w:sz="4" w:space="0" w:color="auto"/>
            </w:tcBorders>
            <w:shd w:val="clear" w:color="auto" w:fill="auto"/>
            <w:noWrap/>
            <w:vAlign w:val="center"/>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256 040 623</w:t>
            </w:r>
          </w:p>
        </w:tc>
      </w:tr>
      <w:tr w:rsidR="007D13F3" w:rsidRPr="00C77EC4" w:rsidTr="00465CAC">
        <w:trPr>
          <w:trHeight w:val="255"/>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Inštitucionálna podpora a kontrola</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71 416 084</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77 088 097</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51 975 983</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62 256 787</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50 801 847</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51 291 423</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51 593 073</w:t>
            </w:r>
          </w:p>
        </w:tc>
      </w:tr>
    </w:tbl>
    <w:p w:rsidR="007D13F3" w:rsidRPr="00C77EC4" w:rsidRDefault="007D13F3" w:rsidP="007D13F3">
      <w:pPr>
        <w:jc w:val="both"/>
        <w:rPr>
          <w:rFonts w:ascii="Times New Roman" w:eastAsiaTheme="minorHAnsi" w:hAnsi="Times New Roman" w:cs="Times New Roman"/>
          <w:lang w:eastAsia="en-US"/>
        </w:rPr>
      </w:pPr>
    </w:p>
    <w:p w:rsidR="007D13F3" w:rsidRPr="00C77EC4" w:rsidRDefault="007D13F3" w:rsidP="007D13F3">
      <w:pPr>
        <w:spacing w:after="200" w:line="360" w:lineRule="auto"/>
        <w:jc w:val="both"/>
        <w:rPr>
          <w:rFonts w:ascii="Times New Roman" w:eastAsiaTheme="minorHAnsi" w:hAnsi="Times New Roman" w:cs="Times New Roman"/>
          <w:b/>
          <w:szCs w:val="36"/>
          <w:lang w:eastAsia="en-US"/>
        </w:rPr>
      </w:pPr>
      <w:r w:rsidRPr="00C77EC4">
        <w:rPr>
          <w:rFonts w:ascii="Times New Roman" w:eastAsiaTheme="minorHAnsi" w:hAnsi="Times New Roman" w:cs="Times New Roman"/>
          <w:b/>
          <w:szCs w:val="36"/>
          <w:lang w:eastAsia="en-US"/>
        </w:rPr>
        <w:t>Výber daní a cla finančnou správou</w:t>
      </w:r>
    </w:p>
    <w:tbl>
      <w:tblPr>
        <w:tblW w:w="5000" w:type="pct"/>
        <w:tblCellMar>
          <w:left w:w="70" w:type="dxa"/>
          <w:right w:w="70" w:type="dxa"/>
        </w:tblCellMar>
        <w:tblLook w:val="04A0" w:firstRow="1" w:lastRow="0" w:firstColumn="1" w:lastColumn="0" w:noHBand="0" w:noVBand="1"/>
      </w:tblPr>
      <w:tblGrid>
        <w:gridCol w:w="2276"/>
        <w:gridCol w:w="969"/>
        <w:gridCol w:w="969"/>
        <w:gridCol w:w="969"/>
        <w:gridCol w:w="969"/>
        <w:gridCol w:w="970"/>
        <w:gridCol w:w="970"/>
        <w:gridCol w:w="970"/>
      </w:tblGrid>
      <w:tr w:rsidR="007D13F3" w:rsidRPr="00C77EC4" w:rsidTr="00465CAC">
        <w:trPr>
          <w:trHeight w:val="282"/>
        </w:trPr>
        <w:tc>
          <w:tcPr>
            <w:tcW w:w="114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C77EC4" w:rsidRDefault="007D13F3" w:rsidP="00465CAC">
            <w:pP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v eurách</w:t>
            </w:r>
          </w:p>
        </w:tc>
        <w:tc>
          <w:tcPr>
            <w:tcW w:w="550"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2015 S</w:t>
            </w:r>
          </w:p>
        </w:tc>
        <w:tc>
          <w:tcPr>
            <w:tcW w:w="550"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2016 S</w:t>
            </w:r>
          </w:p>
        </w:tc>
        <w:tc>
          <w:tcPr>
            <w:tcW w:w="550"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2017 R</w:t>
            </w:r>
          </w:p>
        </w:tc>
        <w:tc>
          <w:tcPr>
            <w:tcW w:w="550"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2017 OS</w:t>
            </w:r>
          </w:p>
        </w:tc>
        <w:tc>
          <w:tcPr>
            <w:tcW w:w="550"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2018 N</w:t>
            </w:r>
          </w:p>
        </w:tc>
        <w:tc>
          <w:tcPr>
            <w:tcW w:w="550"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2019 N</w:t>
            </w:r>
          </w:p>
        </w:tc>
        <w:tc>
          <w:tcPr>
            <w:tcW w:w="550"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2020 N</w:t>
            </w:r>
          </w:p>
        </w:tc>
      </w:tr>
      <w:tr w:rsidR="007D13F3" w:rsidRPr="00C77EC4" w:rsidTr="009C37FC">
        <w:trPr>
          <w:trHeight w:val="282"/>
        </w:trPr>
        <w:tc>
          <w:tcPr>
            <w:tcW w:w="1148"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C77EC4" w:rsidRDefault="007D13F3" w:rsidP="00465CAC">
            <w:pPr>
              <w:rPr>
                <w:rFonts w:ascii="Times New Roman" w:hAnsi="Times New Roman" w:cs="Times New Roman"/>
                <w:b/>
                <w:bCs/>
                <w:sz w:val="14"/>
                <w:szCs w:val="14"/>
                <w:lang w:eastAsia="sk-SK"/>
              </w:rPr>
            </w:pPr>
            <w:r>
              <w:rPr>
                <w:rFonts w:ascii="Times New Roman" w:hAnsi="Times New Roman" w:cs="Times New Roman"/>
                <w:b/>
                <w:bCs/>
                <w:sz w:val="14"/>
                <w:szCs w:val="14"/>
                <w:lang w:eastAsia="sk-SK"/>
              </w:rPr>
              <w:t>Výber daní a cla finančnou správou</w:t>
            </w:r>
          </w:p>
        </w:tc>
        <w:tc>
          <w:tcPr>
            <w:tcW w:w="550" w:type="pct"/>
            <w:tcBorders>
              <w:top w:val="nil"/>
              <w:left w:val="nil"/>
              <w:bottom w:val="single" w:sz="4" w:space="0" w:color="auto"/>
              <w:right w:val="single" w:sz="4" w:space="0" w:color="auto"/>
            </w:tcBorders>
            <w:shd w:val="clear" w:color="auto" w:fill="BFBFBF" w:themeFill="background1" w:themeFillShade="B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280 871 424</w:t>
            </w:r>
          </w:p>
        </w:tc>
        <w:tc>
          <w:tcPr>
            <w:tcW w:w="550" w:type="pct"/>
            <w:tcBorders>
              <w:top w:val="nil"/>
              <w:left w:val="nil"/>
              <w:bottom w:val="single" w:sz="4" w:space="0" w:color="auto"/>
              <w:right w:val="single" w:sz="4" w:space="0" w:color="auto"/>
            </w:tcBorders>
            <w:shd w:val="clear" w:color="auto" w:fill="BFBFBF" w:themeFill="background1" w:themeFillShade="B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310 319 996</w:t>
            </w:r>
          </w:p>
        </w:tc>
        <w:tc>
          <w:tcPr>
            <w:tcW w:w="550" w:type="pct"/>
            <w:tcBorders>
              <w:top w:val="nil"/>
              <w:left w:val="nil"/>
              <w:bottom w:val="single" w:sz="4" w:space="0" w:color="auto"/>
              <w:right w:val="single" w:sz="4" w:space="0" w:color="auto"/>
            </w:tcBorders>
            <w:shd w:val="clear" w:color="auto" w:fill="BFBFBF" w:themeFill="background1" w:themeFillShade="B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213 286 124</w:t>
            </w:r>
          </w:p>
        </w:tc>
        <w:tc>
          <w:tcPr>
            <w:tcW w:w="550" w:type="pct"/>
            <w:tcBorders>
              <w:top w:val="nil"/>
              <w:left w:val="nil"/>
              <w:bottom w:val="single" w:sz="4" w:space="0" w:color="auto"/>
              <w:right w:val="single" w:sz="4" w:space="0" w:color="auto"/>
            </w:tcBorders>
            <w:shd w:val="clear" w:color="auto" w:fill="BFBFBF" w:themeFill="background1" w:themeFillShade="B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224 958 909</w:t>
            </w:r>
          </w:p>
        </w:tc>
        <w:tc>
          <w:tcPr>
            <w:tcW w:w="550" w:type="pct"/>
            <w:tcBorders>
              <w:top w:val="nil"/>
              <w:left w:val="nil"/>
              <w:bottom w:val="single" w:sz="4" w:space="0" w:color="auto"/>
              <w:right w:val="single" w:sz="4" w:space="0" w:color="auto"/>
            </w:tcBorders>
            <w:shd w:val="clear" w:color="auto" w:fill="BFBFBF" w:themeFill="background1" w:themeFillShade="B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228 493 164</w:t>
            </w:r>
          </w:p>
        </w:tc>
        <w:tc>
          <w:tcPr>
            <w:tcW w:w="550" w:type="pct"/>
            <w:tcBorders>
              <w:top w:val="nil"/>
              <w:left w:val="nil"/>
              <w:bottom w:val="single" w:sz="4" w:space="0" w:color="auto"/>
              <w:right w:val="single" w:sz="4" w:space="0" w:color="auto"/>
            </w:tcBorders>
            <w:shd w:val="clear" w:color="auto" w:fill="BFBFBF" w:themeFill="background1" w:themeFillShade="B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228 771 204</w:t>
            </w:r>
          </w:p>
        </w:tc>
        <w:tc>
          <w:tcPr>
            <w:tcW w:w="550" w:type="pct"/>
            <w:tcBorders>
              <w:top w:val="nil"/>
              <w:left w:val="nil"/>
              <w:bottom w:val="single" w:sz="4" w:space="0" w:color="auto"/>
              <w:right w:val="single" w:sz="4" w:space="0" w:color="auto"/>
            </w:tcBorders>
            <w:shd w:val="clear" w:color="auto" w:fill="BFBFBF" w:themeFill="background1" w:themeFillShade="BF"/>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228 399 504</w:t>
            </w:r>
          </w:p>
        </w:tc>
      </w:tr>
      <w:tr w:rsidR="007D13F3" w:rsidRPr="00C77EC4" w:rsidTr="00465CAC">
        <w:trPr>
          <w:trHeight w:val="282"/>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bežné výdavky </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232 407 730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248 587 378</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208 755 614</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220 093 921</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223 972 654</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223 985 694</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223 873 994</w:t>
            </w:r>
          </w:p>
        </w:tc>
      </w:tr>
      <w:tr w:rsidR="007D13F3" w:rsidRPr="00C77EC4" w:rsidTr="00465CAC">
        <w:trPr>
          <w:trHeight w:val="282"/>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kapitálové výdavky </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48 463 694</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61 732 618</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4 530 510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4 864 988</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4 520 510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4 785 510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4 525 510</w:t>
            </w:r>
          </w:p>
        </w:tc>
      </w:tr>
    </w:tbl>
    <w:p w:rsidR="007D13F3" w:rsidRPr="00C77EC4" w:rsidRDefault="007D13F3" w:rsidP="007D13F3">
      <w:pPr>
        <w:spacing w:after="200"/>
        <w:contextualSpacing/>
        <w:jc w:val="both"/>
        <w:rPr>
          <w:rFonts w:ascii="Times New Roman" w:eastAsiaTheme="minorHAnsi" w:hAnsi="Times New Roman" w:cs="Times New Roman"/>
          <w:b/>
          <w:sz w:val="22"/>
          <w:szCs w:val="36"/>
          <w:lang w:eastAsia="en-US"/>
        </w:rPr>
      </w:pPr>
    </w:p>
    <w:p w:rsidR="007D13F3" w:rsidRDefault="007D13F3" w:rsidP="007D13F3">
      <w:pPr>
        <w:jc w:val="both"/>
        <w:rPr>
          <w:rFonts w:ascii="Times New Roman" w:eastAsiaTheme="minorHAnsi" w:hAnsi="Times New Roman" w:cs="Times New Roman"/>
          <w:lang w:eastAsia="en-US"/>
        </w:rPr>
      </w:pPr>
      <w:r w:rsidRPr="00C77EC4">
        <w:rPr>
          <w:rFonts w:ascii="Times New Roman" w:eastAsiaTheme="minorHAnsi" w:hAnsi="Times New Roman" w:cs="Times New Roman"/>
          <w:lang w:eastAsia="en-US"/>
        </w:rPr>
        <w:tab/>
        <w:t>Výdavky na oblasť výberu daní a cla finančnou správou sú na rok 2018 rozpočtované v sume 22</w:t>
      </w:r>
      <w:r>
        <w:rPr>
          <w:rFonts w:ascii="Times New Roman" w:eastAsiaTheme="minorHAnsi" w:hAnsi="Times New Roman" w:cs="Times New Roman"/>
          <w:lang w:eastAsia="en-US"/>
        </w:rPr>
        <w:t>8</w:t>
      </w:r>
      <w:r w:rsidRPr="00C77EC4">
        <w:rPr>
          <w:rFonts w:ascii="Times New Roman" w:eastAsiaTheme="minorHAnsi" w:hAnsi="Times New Roman" w:cs="Times New Roman"/>
          <w:lang w:eastAsia="en-US"/>
        </w:rPr>
        <w:t xml:space="preserve"> mil. eur a v porovnaní so schváleným rozpočtom na rok 2017 rastú o 15,2 mil. eur, čo predstavuje 7,13 %. Od roku 2017 sem patria len výdavky na bežný výkon funkcií finančnej správy, bez výdavkov na prevádzku a rozvoj informačných systémov, ktoré sú rozpočtované </w:t>
      </w:r>
      <w:r>
        <w:rPr>
          <w:rFonts w:ascii="Times New Roman" w:eastAsiaTheme="minorHAnsi" w:hAnsi="Times New Roman" w:cs="Times New Roman"/>
          <w:lang w:eastAsia="en-US"/>
        </w:rPr>
        <w:t xml:space="preserve">v </w:t>
      </w:r>
      <w:r w:rsidRPr="00C77EC4">
        <w:rPr>
          <w:rFonts w:ascii="Times New Roman" w:eastAsiaTheme="minorHAnsi" w:hAnsi="Times New Roman" w:cs="Times New Roman"/>
          <w:lang w:eastAsia="en-US"/>
        </w:rPr>
        <w:t>medzirezortnom programe Informačné technológie financované zo štátneho rozpočtu. Vývoj výdavkov na túto oblasť ovplyvnil najmä rast osobných výdavkov z dôvodu valorizácie platov zamestnancov z roku 2017</w:t>
      </w:r>
      <w:r>
        <w:rPr>
          <w:rFonts w:ascii="Times New Roman" w:eastAsiaTheme="minorHAnsi" w:hAnsi="Times New Roman" w:cs="Times New Roman"/>
          <w:lang w:eastAsia="en-US"/>
        </w:rPr>
        <w:t>.</w:t>
      </w:r>
      <w:r w:rsidRPr="00C77EC4">
        <w:rPr>
          <w:rFonts w:ascii="Times New Roman" w:eastAsiaTheme="minorHAnsi" w:hAnsi="Times New Roman" w:cs="Times New Roman"/>
          <w:lang w:eastAsia="en-US"/>
        </w:rPr>
        <w:t xml:space="preserve"> </w:t>
      </w:r>
    </w:p>
    <w:p w:rsidR="007D13F3" w:rsidRPr="00C77EC4" w:rsidRDefault="007D13F3" w:rsidP="007D13F3">
      <w:pPr>
        <w:jc w:val="both"/>
        <w:rPr>
          <w:rFonts w:ascii="Times New Roman" w:eastAsiaTheme="minorHAnsi" w:hAnsi="Times New Roman" w:cs="Times New Roman"/>
          <w:lang w:eastAsia="en-US"/>
        </w:rPr>
      </w:pPr>
    </w:p>
    <w:p w:rsidR="007D13F3" w:rsidRDefault="009906A2" w:rsidP="007D13F3">
      <w:pPr>
        <w:ind w:firstLine="708"/>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Finančné riaditeľstvo </w:t>
      </w:r>
      <w:r w:rsidR="007D13F3" w:rsidRPr="00C77EC4">
        <w:rPr>
          <w:rFonts w:ascii="Times New Roman" w:eastAsiaTheme="minorHAnsi" w:hAnsi="Times New Roman" w:cs="Times New Roman"/>
          <w:lang w:eastAsia="en-US"/>
        </w:rPr>
        <w:t xml:space="preserve">SR v nadväznosti na § 17 ods. 4 zákona č. 523/2004 o rozpočtových pravidlách verejnej správy </w:t>
      </w:r>
      <w:r w:rsidR="00F358AE">
        <w:rPr>
          <w:rFonts w:ascii="Times New Roman" w:eastAsiaTheme="minorHAnsi" w:hAnsi="Times New Roman" w:cs="Times New Roman"/>
          <w:lang w:eastAsia="en-US"/>
        </w:rPr>
        <w:t xml:space="preserve">a o zmene a doplnení niektorých zákonov </w:t>
      </w:r>
      <w:r w:rsidR="007D13F3" w:rsidRPr="00C77EC4">
        <w:rPr>
          <w:rFonts w:ascii="Times New Roman" w:eastAsiaTheme="minorHAnsi" w:hAnsi="Times New Roman" w:cs="Times New Roman"/>
          <w:lang w:eastAsia="en-US"/>
        </w:rPr>
        <w:t>v znení neskorších predpisov rozpočtuje tiež výdavky zodpovedajúce predpokladaným príjmom z poistného plnenia zo zmluvného poistenia alebo zo zákonného poistenia v sume 78,5 tis. eur. Uvedené výdavky budú použité na servis, údržbu a opravy motorových vozidiel využívaných na</w:t>
      </w:r>
      <w:r w:rsidR="007D13F3">
        <w:rPr>
          <w:rFonts w:ascii="Times New Roman" w:eastAsiaTheme="minorHAnsi" w:hAnsi="Times New Roman" w:cs="Times New Roman"/>
          <w:lang w:eastAsia="en-US"/>
        </w:rPr>
        <w:t xml:space="preserve"> plnenie úloh finančnej správy.</w:t>
      </w:r>
    </w:p>
    <w:p w:rsidR="007D13F3" w:rsidRPr="00034E0F" w:rsidRDefault="007D13F3" w:rsidP="007D13F3">
      <w:pPr>
        <w:ind w:firstLine="708"/>
        <w:jc w:val="both"/>
        <w:rPr>
          <w:rFonts w:ascii="Times New Roman" w:eastAsiaTheme="minorHAnsi" w:hAnsi="Times New Roman" w:cs="Times New Roman"/>
          <w:lang w:eastAsia="en-US"/>
        </w:rPr>
      </w:pPr>
    </w:p>
    <w:p w:rsidR="007D13F3" w:rsidRPr="00C77EC4" w:rsidRDefault="007D13F3" w:rsidP="007D13F3">
      <w:pPr>
        <w:spacing w:after="60" w:line="360" w:lineRule="auto"/>
        <w:jc w:val="both"/>
        <w:rPr>
          <w:rFonts w:ascii="Times New Roman" w:eastAsiaTheme="minorHAnsi" w:hAnsi="Times New Roman" w:cs="Times New Roman"/>
          <w:b/>
          <w:sz w:val="22"/>
          <w:szCs w:val="36"/>
          <w:lang w:eastAsia="en-US"/>
        </w:rPr>
      </w:pPr>
      <w:r w:rsidRPr="00C77EC4">
        <w:rPr>
          <w:rFonts w:ascii="Times New Roman" w:eastAsiaTheme="minorHAnsi" w:hAnsi="Times New Roman" w:cs="Times New Roman"/>
          <w:b/>
          <w:szCs w:val="36"/>
          <w:lang w:eastAsia="en-US"/>
        </w:rPr>
        <w:t>Informačná spoločnosť a Informačné technológie financované zo štátneho rozpočtu</w:t>
      </w:r>
      <w:r w:rsidRPr="00C77EC4">
        <w:rPr>
          <w:rFonts w:ascii="Times New Roman" w:eastAsiaTheme="minorHAnsi" w:hAnsi="Times New Roman" w:cs="Times New Roman"/>
          <w:b/>
          <w:sz w:val="22"/>
          <w:szCs w:val="36"/>
          <w:lang w:eastAsia="en-US"/>
        </w:rPr>
        <w:t> </w:t>
      </w:r>
    </w:p>
    <w:tbl>
      <w:tblPr>
        <w:tblW w:w="5000" w:type="pct"/>
        <w:tblCellMar>
          <w:left w:w="70" w:type="dxa"/>
          <w:right w:w="70" w:type="dxa"/>
        </w:tblCellMar>
        <w:tblLook w:val="04A0" w:firstRow="1" w:lastRow="0" w:firstColumn="1" w:lastColumn="0" w:noHBand="0" w:noVBand="1"/>
      </w:tblPr>
      <w:tblGrid>
        <w:gridCol w:w="2566"/>
        <w:gridCol w:w="928"/>
        <w:gridCol w:w="928"/>
        <w:gridCol w:w="928"/>
        <w:gridCol w:w="928"/>
        <w:gridCol w:w="928"/>
        <w:gridCol w:w="928"/>
        <w:gridCol w:w="928"/>
      </w:tblGrid>
      <w:tr w:rsidR="007D13F3" w:rsidRPr="00AD6853" w:rsidTr="00465CAC">
        <w:trPr>
          <w:trHeight w:val="255"/>
        </w:trPr>
        <w:tc>
          <w:tcPr>
            <w:tcW w:w="1148"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7D13F3" w:rsidRPr="00AD6853" w:rsidRDefault="007D13F3" w:rsidP="00465CAC">
            <w:pP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v eurách</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AD6853" w:rsidRDefault="007D13F3" w:rsidP="00465CAC">
            <w:pPr>
              <w:jc w:val="cente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2015 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AD6853" w:rsidRDefault="007D13F3" w:rsidP="00465CAC">
            <w:pPr>
              <w:jc w:val="cente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2016 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AD6853" w:rsidRDefault="007D13F3" w:rsidP="00465CAC">
            <w:pPr>
              <w:jc w:val="cente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2017 R</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AD6853" w:rsidRDefault="007D13F3" w:rsidP="00465CAC">
            <w:pPr>
              <w:jc w:val="cente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2017 OS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AD6853" w:rsidRDefault="007D13F3" w:rsidP="00465CAC">
            <w:pPr>
              <w:jc w:val="cente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2018 N</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AD6853" w:rsidRDefault="007D13F3" w:rsidP="00465CAC">
            <w:pPr>
              <w:jc w:val="cente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2019 N</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AD6853" w:rsidRDefault="007D13F3" w:rsidP="00465CAC">
            <w:pPr>
              <w:jc w:val="cente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2020 N</w:t>
            </w:r>
          </w:p>
        </w:tc>
      </w:tr>
      <w:tr w:rsidR="007D13F3" w:rsidRPr="00AD6853" w:rsidTr="00465CAC">
        <w:trPr>
          <w:trHeight w:val="255"/>
        </w:trPr>
        <w:tc>
          <w:tcPr>
            <w:tcW w:w="1148" w:type="pct"/>
            <w:tcBorders>
              <w:top w:val="single" w:sz="4" w:space="0" w:color="auto"/>
              <w:left w:val="single" w:sz="4" w:space="0" w:color="auto"/>
              <w:bottom w:val="single" w:sz="4" w:space="0" w:color="auto"/>
              <w:right w:val="single" w:sz="4" w:space="0" w:color="auto"/>
            </w:tcBorders>
            <w:shd w:val="pct25" w:color="auto" w:fill="auto"/>
            <w:vAlign w:val="bottom"/>
            <w:hideMark/>
          </w:tcPr>
          <w:p w:rsidR="007D13F3" w:rsidRPr="00AD6853" w:rsidRDefault="007D13F3" w:rsidP="00465CAC">
            <w:pP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Informačná spoločnosť a Informačné technológie financované zo štátneho rozpočtu</w:t>
            </w:r>
          </w:p>
        </w:tc>
        <w:tc>
          <w:tcPr>
            <w:tcW w:w="550" w:type="pct"/>
            <w:tcBorders>
              <w:top w:val="single" w:sz="4" w:space="0" w:color="auto"/>
              <w:left w:val="nil"/>
              <w:bottom w:val="single" w:sz="4" w:space="0" w:color="auto"/>
              <w:right w:val="single" w:sz="4" w:space="0" w:color="auto"/>
            </w:tcBorders>
            <w:shd w:val="pct25" w:color="auto" w:fill="auto"/>
            <w:vAlign w:val="center"/>
            <w:hideMark/>
          </w:tcPr>
          <w:p w:rsidR="007D13F3" w:rsidRPr="00AD6853" w:rsidRDefault="007D13F3" w:rsidP="00465CAC">
            <w:pPr>
              <w:jc w:val="right"/>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311 056 979</w:t>
            </w:r>
          </w:p>
        </w:tc>
        <w:tc>
          <w:tcPr>
            <w:tcW w:w="550" w:type="pct"/>
            <w:tcBorders>
              <w:top w:val="single" w:sz="4" w:space="0" w:color="auto"/>
              <w:left w:val="nil"/>
              <w:bottom w:val="single" w:sz="4" w:space="0" w:color="auto"/>
              <w:right w:val="single" w:sz="4" w:space="0" w:color="auto"/>
            </w:tcBorders>
            <w:shd w:val="pct25" w:color="auto" w:fill="auto"/>
            <w:vAlign w:val="center"/>
            <w:hideMark/>
          </w:tcPr>
          <w:p w:rsidR="007D13F3" w:rsidRPr="00AD6853" w:rsidRDefault="007D13F3" w:rsidP="00465CAC">
            <w:pPr>
              <w:jc w:val="right"/>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122 997 024</w:t>
            </w:r>
          </w:p>
        </w:tc>
        <w:tc>
          <w:tcPr>
            <w:tcW w:w="550" w:type="pct"/>
            <w:tcBorders>
              <w:top w:val="single" w:sz="4" w:space="0" w:color="auto"/>
              <w:left w:val="nil"/>
              <w:bottom w:val="single" w:sz="4" w:space="0" w:color="auto"/>
              <w:right w:val="single" w:sz="4" w:space="0" w:color="auto"/>
            </w:tcBorders>
            <w:shd w:val="pct25" w:color="auto" w:fill="auto"/>
            <w:vAlign w:val="center"/>
            <w:hideMark/>
          </w:tcPr>
          <w:p w:rsidR="007D13F3" w:rsidRPr="00AD6853" w:rsidRDefault="007D13F3" w:rsidP="00465CAC">
            <w:pPr>
              <w:jc w:val="right"/>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218 595 891</w:t>
            </w:r>
          </w:p>
        </w:tc>
        <w:tc>
          <w:tcPr>
            <w:tcW w:w="550" w:type="pct"/>
            <w:tcBorders>
              <w:top w:val="single" w:sz="4" w:space="0" w:color="auto"/>
              <w:left w:val="nil"/>
              <w:bottom w:val="single" w:sz="4" w:space="0" w:color="auto"/>
              <w:right w:val="single" w:sz="4" w:space="0" w:color="auto"/>
            </w:tcBorders>
            <w:shd w:val="pct25" w:color="auto" w:fill="auto"/>
            <w:vAlign w:val="center"/>
            <w:hideMark/>
          </w:tcPr>
          <w:p w:rsidR="007D13F3" w:rsidRPr="00AD6853" w:rsidRDefault="007D13F3" w:rsidP="00465CAC">
            <w:pPr>
              <w:jc w:val="right"/>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151 086 146</w:t>
            </w:r>
          </w:p>
        </w:tc>
        <w:tc>
          <w:tcPr>
            <w:tcW w:w="550" w:type="pct"/>
            <w:tcBorders>
              <w:top w:val="single" w:sz="4" w:space="0" w:color="auto"/>
              <w:left w:val="nil"/>
              <w:bottom w:val="single" w:sz="4" w:space="0" w:color="auto"/>
              <w:right w:val="single" w:sz="4" w:space="0" w:color="auto"/>
            </w:tcBorders>
            <w:shd w:val="pct25" w:color="auto" w:fill="auto"/>
            <w:vAlign w:val="center"/>
            <w:hideMark/>
          </w:tcPr>
          <w:p w:rsidR="007D13F3" w:rsidRPr="00AD6853" w:rsidRDefault="007D13F3" w:rsidP="00465CAC">
            <w:pPr>
              <w:jc w:val="right"/>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85 108 822</w:t>
            </w:r>
          </w:p>
        </w:tc>
        <w:tc>
          <w:tcPr>
            <w:tcW w:w="550" w:type="pct"/>
            <w:tcBorders>
              <w:top w:val="single" w:sz="4" w:space="0" w:color="auto"/>
              <w:left w:val="nil"/>
              <w:bottom w:val="single" w:sz="4" w:space="0" w:color="auto"/>
              <w:right w:val="single" w:sz="4" w:space="0" w:color="auto"/>
            </w:tcBorders>
            <w:shd w:val="pct25" w:color="auto" w:fill="auto"/>
            <w:vAlign w:val="center"/>
            <w:hideMark/>
          </w:tcPr>
          <w:p w:rsidR="007D13F3" w:rsidRPr="00AD6853" w:rsidRDefault="007D13F3" w:rsidP="00465CAC">
            <w:pPr>
              <w:jc w:val="right"/>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242 045 125</w:t>
            </w:r>
          </w:p>
        </w:tc>
        <w:tc>
          <w:tcPr>
            <w:tcW w:w="550" w:type="pct"/>
            <w:tcBorders>
              <w:top w:val="single" w:sz="4" w:space="0" w:color="auto"/>
              <w:left w:val="nil"/>
              <w:bottom w:val="single" w:sz="4" w:space="0" w:color="auto"/>
              <w:right w:val="single" w:sz="4" w:space="0" w:color="auto"/>
            </w:tcBorders>
            <w:shd w:val="pct25" w:color="auto" w:fill="auto"/>
            <w:vAlign w:val="center"/>
            <w:hideMark/>
          </w:tcPr>
          <w:p w:rsidR="007D13F3" w:rsidRPr="00AD6853" w:rsidRDefault="007D13F3" w:rsidP="00465CAC">
            <w:pPr>
              <w:jc w:val="right"/>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256 040 623</w:t>
            </w:r>
          </w:p>
        </w:tc>
      </w:tr>
      <w:tr w:rsidR="007D13F3" w:rsidRPr="00AD6853" w:rsidTr="00465CAC">
        <w:trPr>
          <w:trHeight w:val="255"/>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AD6853" w:rsidRDefault="00F9563E" w:rsidP="00465CAC">
            <w:pPr>
              <w:rPr>
                <w:rFonts w:ascii="Times New Roman" w:hAnsi="Times New Roman" w:cs="Times New Roman"/>
                <w:sz w:val="14"/>
                <w:szCs w:val="14"/>
                <w:lang w:eastAsia="sk-SK"/>
              </w:rPr>
            </w:pPr>
            <w:r>
              <w:rPr>
                <w:rFonts w:ascii="Times New Roman" w:hAnsi="Times New Roman" w:cs="Times New Roman"/>
                <w:sz w:val="14"/>
                <w:szCs w:val="14"/>
                <w:lang w:eastAsia="sk-SK"/>
              </w:rPr>
              <w:t>výdavky na I</w:t>
            </w:r>
            <w:r w:rsidR="007D13F3" w:rsidRPr="00AD6853">
              <w:rPr>
                <w:rFonts w:ascii="Times New Roman" w:hAnsi="Times New Roman" w:cs="Times New Roman"/>
                <w:sz w:val="14"/>
                <w:szCs w:val="14"/>
                <w:lang w:eastAsia="sk-SK"/>
              </w:rPr>
              <w:t>nformačnú spoločnosť</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189 573 926</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21 594 413</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138 242 875</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29 186 827</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158 447 664</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172 658 812</w:t>
            </w:r>
          </w:p>
        </w:tc>
      </w:tr>
      <w:tr w:rsidR="007D13F3" w:rsidRPr="00AD6853" w:rsidTr="00465CAC">
        <w:trPr>
          <w:trHeight w:val="255"/>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AD6853" w:rsidRDefault="00F9563E" w:rsidP="00465CAC">
            <w:pPr>
              <w:rPr>
                <w:rFonts w:ascii="Times New Roman" w:hAnsi="Times New Roman" w:cs="Times New Roman"/>
                <w:sz w:val="14"/>
                <w:szCs w:val="14"/>
                <w:lang w:eastAsia="sk-SK"/>
              </w:rPr>
            </w:pPr>
            <w:r>
              <w:rPr>
                <w:rFonts w:ascii="Times New Roman" w:hAnsi="Times New Roman" w:cs="Times New Roman"/>
                <w:sz w:val="14"/>
                <w:szCs w:val="14"/>
                <w:lang w:eastAsia="sk-SK"/>
              </w:rPr>
              <w:t>I</w:t>
            </w:r>
            <w:r w:rsidR="007D13F3" w:rsidRPr="00AD6853">
              <w:rPr>
                <w:rFonts w:ascii="Times New Roman" w:hAnsi="Times New Roman" w:cs="Times New Roman"/>
                <w:sz w:val="14"/>
                <w:szCs w:val="14"/>
                <w:lang w:eastAsia="sk-SK"/>
              </w:rPr>
              <w:t>nformačné technológie financované zo ŠR</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121 483 053</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101 402 611</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80 353 016</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121 899 319</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85 108 822</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83 597 461</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83 381 811</w:t>
            </w:r>
          </w:p>
        </w:tc>
      </w:tr>
      <w:tr w:rsidR="007D13F3" w:rsidRPr="00AD6853" w:rsidTr="00465CAC">
        <w:trPr>
          <w:trHeight w:val="282"/>
        </w:trPr>
        <w:tc>
          <w:tcPr>
            <w:tcW w:w="1148" w:type="pct"/>
            <w:tcBorders>
              <w:top w:val="nil"/>
              <w:left w:val="nil"/>
              <w:bottom w:val="single" w:sz="4" w:space="0" w:color="auto"/>
              <w:right w:val="nil"/>
            </w:tcBorders>
            <w:shd w:val="clear" w:color="auto" w:fill="auto"/>
            <w:noWrap/>
            <w:vAlign w:val="center"/>
            <w:hideMark/>
          </w:tcPr>
          <w:p w:rsidR="007D13F3" w:rsidRPr="00AD6853" w:rsidRDefault="007D13F3" w:rsidP="00465CAC">
            <w:pPr>
              <w:jc w:val="right"/>
              <w:rPr>
                <w:rFonts w:ascii="Times New Roman" w:hAnsi="Times New Roman" w:cs="Times New Roman"/>
                <w:sz w:val="14"/>
                <w:szCs w:val="14"/>
                <w:lang w:eastAsia="sk-SK"/>
              </w:rPr>
            </w:pPr>
          </w:p>
        </w:tc>
        <w:tc>
          <w:tcPr>
            <w:tcW w:w="550" w:type="pct"/>
            <w:tcBorders>
              <w:top w:val="nil"/>
              <w:left w:val="nil"/>
              <w:bottom w:val="single" w:sz="4" w:space="0" w:color="auto"/>
              <w:right w:val="nil"/>
            </w:tcBorders>
            <w:shd w:val="clear" w:color="auto" w:fill="auto"/>
            <w:noWrap/>
            <w:vAlign w:val="center"/>
            <w:hideMark/>
          </w:tcPr>
          <w:p w:rsidR="007D13F3" w:rsidRPr="00AD6853" w:rsidRDefault="007D13F3" w:rsidP="00465CAC">
            <w:pPr>
              <w:rPr>
                <w:rFonts w:ascii="Times New Roman" w:hAnsi="Times New Roman" w:cs="Times New Roman"/>
                <w:sz w:val="14"/>
                <w:szCs w:val="14"/>
                <w:lang w:eastAsia="sk-SK"/>
              </w:rPr>
            </w:pPr>
          </w:p>
        </w:tc>
        <w:tc>
          <w:tcPr>
            <w:tcW w:w="550" w:type="pct"/>
            <w:tcBorders>
              <w:top w:val="nil"/>
              <w:left w:val="nil"/>
              <w:bottom w:val="single" w:sz="4" w:space="0" w:color="auto"/>
              <w:right w:val="nil"/>
            </w:tcBorders>
            <w:shd w:val="clear" w:color="auto" w:fill="auto"/>
            <w:noWrap/>
            <w:vAlign w:val="center"/>
            <w:hideMark/>
          </w:tcPr>
          <w:p w:rsidR="007D13F3" w:rsidRPr="00AD6853" w:rsidRDefault="007D13F3" w:rsidP="00465CAC">
            <w:pPr>
              <w:jc w:val="right"/>
              <w:rPr>
                <w:rFonts w:ascii="Times New Roman" w:hAnsi="Times New Roman" w:cs="Times New Roman"/>
                <w:sz w:val="14"/>
                <w:szCs w:val="14"/>
                <w:lang w:eastAsia="sk-SK"/>
              </w:rPr>
            </w:pPr>
          </w:p>
        </w:tc>
        <w:tc>
          <w:tcPr>
            <w:tcW w:w="550" w:type="pct"/>
            <w:tcBorders>
              <w:top w:val="nil"/>
              <w:left w:val="nil"/>
              <w:bottom w:val="single" w:sz="4" w:space="0" w:color="auto"/>
              <w:right w:val="nil"/>
            </w:tcBorders>
            <w:shd w:val="clear" w:color="auto" w:fill="auto"/>
            <w:vAlign w:val="center"/>
            <w:hideMark/>
          </w:tcPr>
          <w:p w:rsidR="007D13F3" w:rsidRPr="00AD6853" w:rsidRDefault="007D13F3" w:rsidP="00465CAC">
            <w:pPr>
              <w:jc w:val="right"/>
              <w:rPr>
                <w:rFonts w:ascii="Times New Roman" w:hAnsi="Times New Roman" w:cs="Times New Roman"/>
                <w:sz w:val="14"/>
                <w:szCs w:val="14"/>
                <w:lang w:eastAsia="sk-SK"/>
              </w:rPr>
            </w:pPr>
          </w:p>
        </w:tc>
        <w:tc>
          <w:tcPr>
            <w:tcW w:w="550" w:type="pct"/>
            <w:tcBorders>
              <w:top w:val="nil"/>
              <w:left w:val="nil"/>
              <w:bottom w:val="single" w:sz="4" w:space="0" w:color="auto"/>
              <w:right w:val="nil"/>
            </w:tcBorders>
            <w:shd w:val="clear" w:color="000000" w:fill="FFFFFF"/>
            <w:vAlign w:val="center"/>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 </w:t>
            </w:r>
          </w:p>
        </w:tc>
        <w:tc>
          <w:tcPr>
            <w:tcW w:w="550" w:type="pct"/>
            <w:tcBorders>
              <w:top w:val="nil"/>
              <w:left w:val="nil"/>
              <w:bottom w:val="single" w:sz="4" w:space="0" w:color="auto"/>
              <w:right w:val="nil"/>
            </w:tcBorders>
            <w:shd w:val="clear" w:color="auto" w:fill="auto"/>
            <w:vAlign w:val="center"/>
            <w:hideMark/>
          </w:tcPr>
          <w:p w:rsidR="007D13F3" w:rsidRPr="00AD6853" w:rsidRDefault="007D13F3" w:rsidP="00465CAC">
            <w:pPr>
              <w:jc w:val="right"/>
              <w:rPr>
                <w:rFonts w:ascii="Times New Roman" w:hAnsi="Times New Roman" w:cs="Times New Roman"/>
                <w:sz w:val="14"/>
                <w:szCs w:val="14"/>
                <w:lang w:eastAsia="sk-SK"/>
              </w:rPr>
            </w:pPr>
          </w:p>
        </w:tc>
        <w:tc>
          <w:tcPr>
            <w:tcW w:w="550" w:type="pct"/>
            <w:tcBorders>
              <w:top w:val="nil"/>
              <w:left w:val="nil"/>
              <w:bottom w:val="single" w:sz="4" w:space="0" w:color="auto"/>
              <w:right w:val="nil"/>
            </w:tcBorders>
            <w:shd w:val="clear" w:color="auto" w:fill="auto"/>
            <w:vAlign w:val="center"/>
            <w:hideMark/>
          </w:tcPr>
          <w:p w:rsidR="007D13F3" w:rsidRPr="00AD6853" w:rsidRDefault="007D13F3" w:rsidP="00465CAC">
            <w:pPr>
              <w:jc w:val="right"/>
              <w:rPr>
                <w:rFonts w:ascii="Times New Roman" w:hAnsi="Times New Roman" w:cs="Times New Roman"/>
                <w:sz w:val="14"/>
                <w:szCs w:val="14"/>
                <w:lang w:eastAsia="sk-SK"/>
              </w:rPr>
            </w:pPr>
          </w:p>
        </w:tc>
        <w:tc>
          <w:tcPr>
            <w:tcW w:w="550" w:type="pct"/>
            <w:tcBorders>
              <w:top w:val="nil"/>
              <w:left w:val="nil"/>
              <w:bottom w:val="single" w:sz="4" w:space="0" w:color="auto"/>
              <w:right w:val="nil"/>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p>
        </w:tc>
      </w:tr>
      <w:tr w:rsidR="007D13F3" w:rsidRPr="00AD6853" w:rsidTr="00465CAC">
        <w:trPr>
          <w:trHeight w:hRule="exact" w:val="255"/>
        </w:trPr>
        <w:tc>
          <w:tcPr>
            <w:tcW w:w="1148"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7D13F3" w:rsidRPr="00AD6853" w:rsidRDefault="007D13F3" w:rsidP="00465CAC">
            <w:pP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v eurách</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AD6853" w:rsidRDefault="007D13F3" w:rsidP="00465CAC">
            <w:pPr>
              <w:jc w:val="cente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2015 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AD6853" w:rsidRDefault="007D13F3" w:rsidP="00465CAC">
            <w:pPr>
              <w:jc w:val="cente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2016 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AD6853" w:rsidRDefault="007D13F3" w:rsidP="00465CAC">
            <w:pPr>
              <w:jc w:val="cente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2017 R</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AD6853" w:rsidRDefault="007D13F3" w:rsidP="00465CAC">
            <w:pPr>
              <w:jc w:val="cente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2017 OS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AD6853" w:rsidRDefault="007D13F3" w:rsidP="00465CAC">
            <w:pPr>
              <w:jc w:val="cente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2018 N</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AD6853" w:rsidRDefault="007D13F3" w:rsidP="00465CAC">
            <w:pPr>
              <w:jc w:val="cente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2019 N</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AD6853" w:rsidRDefault="007D13F3" w:rsidP="00465CAC">
            <w:pPr>
              <w:jc w:val="cente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2020 N</w:t>
            </w:r>
          </w:p>
        </w:tc>
      </w:tr>
      <w:tr w:rsidR="007D13F3" w:rsidRPr="00AD6853" w:rsidTr="00465CAC">
        <w:trPr>
          <w:trHeight w:hRule="exact" w:val="255"/>
        </w:trPr>
        <w:tc>
          <w:tcPr>
            <w:tcW w:w="1148"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7D13F3" w:rsidRPr="00AD6853" w:rsidRDefault="007D13F3" w:rsidP="00465CAC">
            <w:pPr>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Výdavky na informačnú spoločnosť</w:t>
            </w:r>
          </w:p>
        </w:tc>
        <w:tc>
          <w:tcPr>
            <w:tcW w:w="550" w:type="pct"/>
            <w:tcBorders>
              <w:top w:val="single" w:sz="4" w:space="0" w:color="auto"/>
              <w:left w:val="nil"/>
              <w:bottom w:val="single" w:sz="4" w:space="0" w:color="auto"/>
              <w:right w:val="single" w:sz="4" w:space="0" w:color="auto"/>
            </w:tcBorders>
            <w:shd w:val="pct25" w:color="auto" w:fill="auto"/>
            <w:vAlign w:val="bottom"/>
            <w:hideMark/>
          </w:tcPr>
          <w:p w:rsidR="007D13F3" w:rsidRPr="00AD6853" w:rsidRDefault="007D13F3" w:rsidP="00465CAC">
            <w:pPr>
              <w:jc w:val="right"/>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189 573 926</w:t>
            </w:r>
          </w:p>
        </w:tc>
        <w:tc>
          <w:tcPr>
            <w:tcW w:w="550" w:type="pct"/>
            <w:tcBorders>
              <w:top w:val="single" w:sz="4" w:space="0" w:color="auto"/>
              <w:left w:val="nil"/>
              <w:bottom w:val="single" w:sz="4" w:space="0" w:color="auto"/>
              <w:right w:val="single" w:sz="4" w:space="0" w:color="auto"/>
            </w:tcBorders>
            <w:shd w:val="pct25" w:color="auto" w:fill="auto"/>
            <w:vAlign w:val="bottom"/>
            <w:hideMark/>
          </w:tcPr>
          <w:p w:rsidR="007D13F3" w:rsidRPr="00AD6853" w:rsidRDefault="007D13F3" w:rsidP="00465CAC">
            <w:pPr>
              <w:jc w:val="right"/>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21 594 413</w:t>
            </w:r>
          </w:p>
        </w:tc>
        <w:tc>
          <w:tcPr>
            <w:tcW w:w="550" w:type="pct"/>
            <w:tcBorders>
              <w:top w:val="single" w:sz="4" w:space="0" w:color="auto"/>
              <w:left w:val="nil"/>
              <w:bottom w:val="single" w:sz="4" w:space="0" w:color="auto"/>
              <w:right w:val="single" w:sz="4" w:space="0" w:color="auto"/>
            </w:tcBorders>
            <w:shd w:val="pct25" w:color="auto" w:fill="auto"/>
            <w:vAlign w:val="bottom"/>
            <w:hideMark/>
          </w:tcPr>
          <w:p w:rsidR="007D13F3" w:rsidRPr="00AD6853" w:rsidRDefault="007D13F3" w:rsidP="00465CAC">
            <w:pPr>
              <w:jc w:val="right"/>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138 242 875</w:t>
            </w:r>
          </w:p>
        </w:tc>
        <w:tc>
          <w:tcPr>
            <w:tcW w:w="550" w:type="pct"/>
            <w:tcBorders>
              <w:top w:val="single" w:sz="4" w:space="0" w:color="auto"/>
              <w:left w:val="nil"/>
              <w:bottom w:val="single" w:sz="4" w:space="0" w:color="auto"/>
              <w:right w:val="single" w:sz="4" w:space="0" w:color="auto"/>
            </w:tcBorders>
            <w:shd w:val="pct25" w:color="auto" w:fill="auto"/>
            <w:vAlign w:val="bottom"/>
            <w:hideMark/>
          </w:tcPr>
          <w:p w:rsidR="007D13F3" w:rsidRPr="00AD6853" w:rsidRDefault="007D13F3" w:rsidP="00465CAC">
            <w:pPr>
              <w:jc w:val="right"/>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29 186 827</w:t>
            </w:r>
          </w:p>
        </w:tc>
        <w:tc>
          <w:tcPr>
            <w:tcW w:w="550" w:type="pct"/>
            <w:tcBorders>
              <w:top w:val="single" w:sz="4" w:space="0" w:color="auto"/>
              <w:left w:val="nil"/>
              <w:bottom w:val="single" w:sz="4" w:space="0" w:color="auto"/>
              <w:right w:val="single" w:sz="4" w:space="0" w:color="auto"/>
            </w:tcBorders>
            <w:shd w:val="pct25" w:color="auto" w:fill="auto"/>
            <w:vAlign w:val="bottom"/>
            <w:hideMark/>
          </w:tcPr>
          <w:p w:rsidR="007D13F3" w:rsidRPr="00AD6853" w:rsidRDefault="007D13F3" w:rsidP="00465CAC">
            <w:pPr>
              <w:jc w:val="right"/>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0</w:t>
            </w:r>
          </w:p>
        </w:tc>
        <w:tc>
          <w:tcPr>
            <w:tcW w:w="550" w:type="pct"/>
            <w:tcBorders>
              <w:top w:val="single" w:sz="4" w:space="0" w:color="auto"/>
              <w:left w:val="nil"/>
              <w:bottom w:val="single" w:sz="4" w:space="0" w:color="auto"/>
              <w:right w:val="single" w:sz="4" w:space="0" w:color="auto"/>
            </w:tcBorders>
            <w:shd w:val="pct25" w:color="auto" w:fill="auto"/>
            <w:vAlign w:val="bottom"/>
            <w:hideMark/>
          </w:tcPr>
          <w:p w:rsidR="007D13F3" w:rsidRPr="00AD6853" w:rsidRDefault="007D13F3" w:rsidP="00465CAC">
            <w:pPr>
              <w:jc w:val="right"/>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158 447 664</w:t>
            </w:r>
          </w:p>
        </w:tc>
        <w:tc>
          <w:tcPr>
            <w:tcW w:w="550" w:type="pct"/>
            <w:tcBorders>
              <w:top w:val="single" w:sz="4" w:space="0" w:color="auto"/>
              <w:left w:val="nil"/>
              <w:bottom w:val="single" w:sz="4" w:space="0" w:color="auto"/>
              <w:right w:val="single" w:sz="4" w:space="0" w:color="auto"/>
            </w:tcBorders>
            <w:shd w:val="pct25" w:color="auto" w:fill="auto"/>
            <w:vAlign w:val="bottom"/>
            <w:hideMark/>
          </w:tcPr>
          <w:p w:rsidR="007D13F3" w:rsidRPr="00AD6853" w:rsidRDefault="007D13F3" w:rsidP="00465CAC">
            <w:pPr>
              <w:jc w:val="right"/>
              <w:rPr>
                <w:rFonts w:ascii="Times New Roman" w:hAnsi="Times New Roman" w:cs="Times New Roman"/>
                <w:b/>
                <w:bCs/>
                <w:sz w:val="14"/>
                <w:szCs w:val="14"/>
                <w:lang w:eastAsia="sk-SK"/>
              </w:rPr>
            </w:pPr>
            <w:r w:rsidRPr="00AD6853">
              <w:rPr>
                <w:rFonts w:ascii="Times New Roman" w:hAnsi="Times New Roman" w:cs="Times New Roman"/>
                <w:b/>
                <w:bCs/>
                <w:sz w:val="14"/>
                <w:szCs w:val="14"/>
                <w:lang w:eastAsia="sk-SK"/>
              </w:rPr>
              <w:t>172 658 812</w:t>
            </w:r>
          </w:p>
        </w:tc>
      </w:tr>
      <w:tr w:rsidR="007D13F3" w:rsidRPr="00AD6853" w:rsidTr="00465CAC">
        <w:trPr>
          <w:trHeight w:hRule="exact" w:val="255"/>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AD6853" w:rsidRDefault="007D13F3" w:rsidP="00465CAC">
            <w:pPr>
              <w:rPr>
                <w:rFonts w:ascii="Times New Roman" w:hAnsi="Times New Roman" w:cs="Times New Roman"/>
                <w:sz w:val="14"/>
                <w:szCs w:val="14"/>
                <w:lang w:eastAsia="sk-SK"/>
              </w:rPr>
            </w:pPr>
            <w:r w:rsidRPr="00AD6853">
              <w:rPr>
                <w:rFonts w:ascii="Times New Roman" w:hAnsi="Times New Roman" w:cs="Times New Roman"/>
                <w:sz w:val="14"/>
                <w:szCs w:val="14"/>
                <w:lang w:eastAsia="sk-SK"/>
              </w:rPr>
              <w:t>prostriedky EÚ</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150 158 143</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17 219 394</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103 000 000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24 443 515</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119 300 000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130 000 000</w:t>
            </w:r>
          </w:p>
        </w:tc>
      </w:tr>
      <w:tr w:rsidR="007D13F3" w:rsidRPr="00AD6853" w:rsidTr="00465CAC">
        <w:trPr>
          <w:trHeight w:hRule="exact" w:val="255"/>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AD6853" w:rsidRDefault="007D13F3" w:rsidP="00465CAC">
            <w:pPr>
              <w:rPr>
                <w:rFonts w:ascii="Times New Roman" w:hAnsi="Times New Roman" w:cs="Times New Roman"/>
                <w:sz w:val="14"/>
                <w:szCs w:val="14"/>
                <w:lang w:eastAsia="sk-SK"/>
              </w:rPr>
            </w:pPr>
            <w:r w:rsidRPr="00AD6853">
              <w:rPr>
                <w:rFonts w:ascii="Times New Roman" w:hAnsi="Times New Roman" w:cs="Times New Roman"/>
                <w:sz w:val="14"/>
                <w:szCs w:val="14"/>
                <w:lang w:eastAsia="sk-SK"/>
              </w:rPr>
              <w:t>spolufinancovanie zo ŠR</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39 415 783</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4 375 019</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35 242 875</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4 743 312</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39 147 664</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AD6853" w:rsidRDefault="007D13F3" w:rsidP="00465CAC">
            <w:pPr>
              <w:jc w:val="right"/>
              <w:rPr>
                <w:rFonts w:ascii="Times New Roman" w:hAnsi="Times New Roman" w:cs="Times New Roman"/>
                <w:sz w:val="14"/>
                <w:szCs w:val="14"/>
                <w:lang w:eastAsia="sk-SK"/>
              </w:rPr>
            </w:pPr>
            <w:r w:rsidRPr="00AD6853">
              <w:rPr>
                <w:rFonts w:ascii="Times New Roman" w:hAnsi="Times New Roman" w:cs="Times New Roman"/>
                <w:sz w:val="14"/>
                <w:szCs w:val="14"/>
                <w:lang w:eastAsia="sk-SK"/>
              </w:rPr>
              <w:t>42 658 812</w:t>
            </w:r>
          </w:p>
        </w:tc>
      </w:tr>
    </w:tbl>
    <w:p w:rsidR="007D13F3" w:rsidRDefault="007D13F3" w:rsidP="007D13F3">
      <w:pPr>
        <w:jc w:val="both"/>
        <w:rPr>
          <w:rFonts w:ascii="Times New Roman" w:hAnsi="Times New Roman" w:cs="Times New Roman"/>
          <w:b/>
          <w:bCs/>
          <w:sz w:val="14"/>
          <w:szCs w:val="14"/>
          <w:lang w:eastAsia="sk-SK"/>
        </w:rPr>
      </w:pPr>
      <w:r>
        <w:rPr>
          <w:rFonts w:ascii="Times New Roman" w:eastAsiaTheme="minorHAnsi" w:hAnsi="Times New Roman" w:cs="Times New Roman"/>
          <w:b/>
          <w:sz w:val="22"/>
          <w:szCs w:val="36"/>
          <w:lang w:eastAsia="en-US"/>
        </w:rPr>
        <w:lastRenderedPageBreak/>
        <w:tab/>
      </w:r>
      <w:r w:rsidR="00F9563E">
        <w:rPr>
          <w:rFonts w:ascii="Times New Roman" w:eastAsiaTheme="minorHAnsi" w:hAnsi="Times New Roman" w:cs="Times New Roman"/>
          <w:lang w:eastAsia="en-US"/>
        </w:rPr>
        <w:t>Výdavky na I</w:t>
      </w:r>
      <w:r w:rsidRPr="00C77EC4">
        <w:rPr>
          <w:rFonts w:ascii="Times New Roman" w:eastAsiaTheme="minorHAnsi" w:hAnsi="Times New Roman" w:cs="Times New Roman"/>
          <w:lang w:eastAsia="en-US"/>
        </w:rPr>
        <w:t>nformačnú spoločnosť sú financované z prostriedkov EÚ a zo spolufinancovania zo štátneho rozpočtu z  OP Integrovaná infraštruktúra 3. programového obdobia</w:t>
      </w:r>
      <w:r>
        <w:rPr>
          <w:rFonts w:ascii="Times New Roman" w:eastAsiaTheme="minorHAnsi" w:hAnsi="Times New Roman" w:cs="Times New Roman"/>
          <w:lang w:eastAsia="en-US"/>
        </w:rPr>
        <w:t xml:space="preserve"> (Prioritná os 7 Informačná spoločnosť)</w:t>
      </w:r>
      <w:r w:rsidRPr="00C77EC4">
        <w:rPr>
          <w:rFonts w:ascii="Times New Roman" w:eastAsiaTheme="minorHAnsi" w:hAnsi="Times New Roman" w:cs="Times New Roman"/>
          <w:lang w:eastAsia="en-US"/>
        </w:rPr>
        <w:t xml:space="preserve">. Vývoj výdavkov závisí od alokácie uvedených prostriedkov. </w:t>
      </w:r>
      <w:r w:rsidRPr="00AD6853">
        <w:rPr>
          <w:rFonts w:ascii="Times New Roman" w:eastAsiaTheme="minorHAnsi" w:hAnsi="Times New Roman" w:cs="Times New Roman"/>
          <w:lang w:eastAsia="en-US"/>
        </w:rPr>
        <w:t>V roku 2018 sa predpokladá financovanie v uvedenej oblasti z nevyčerpaných prostriedkov z predchádzajúcich rokov.</w:t>
      </w:r>
    </w:p>
    <w:p w:rsidR="007D13F3" w:rsidRPr="00C77EC4" w:rsidRDefault="007D13F3" w:rsidP="007D13F3">
      <w:pPr>
        <w:jc w:val="both"/>
        <w:rPr>
          <w:rFonts w:ascii="Times New Roman" w:eastAsiaTheme="minorHAnsi" w:hAnsi="Times New Roman" w:cs="Times New Roman"/>
          <w:lang w:eastAsia="en-US"/>
        </w:rPr>
      </w:pPr>
    </w:p>
    <w:tbl>
      <w:tblPr>
        <w:tblW w:w="5000" w:type="pct"/>
        <w:tblCellMar>
          <w:left w:w="70" w:type="dxa"/>
          <w:right w:w="70" w:type="dxa"/>
        </w:tblCellMar>
        <w:tblLook w:val="04A0" w:firstRow="1" w:lastRow="0" w:firstColumn="1" w:lastColumn="0" w:noHBand="0" w:noVBand="1"/>
      </w:tblPr>
      <w:tblGrid>
        <w:gridCol w:w="3001"/>
        <w:gridCol w:w="866"/>
        <w:gridCol w:w="866"/>
        <w:gridCol w:w="866"/>
        <w:gridCol w:w="866"/>
        <w:gridCol w:w="866"/>
        <w:gridCol w:w="866"/>
        <w:gridCol w:w="865"/>
      </w:tblGrid>
      <w:tr w:rsidR="007D13F3" w:rsidRPr="00C77EC4" w:rsidTr="00465CAC">
        <w:trPr>
          <w:trHeight w:hRule="exact" w:val="255"/>
        </w:trPr>
        <w:tc>
          <w:tcPr>
            <w:tcW w:w="1655"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v eurách</w:t>
            </w:r>
          </w:p>
        </w:tc>
        <w:tc>
          <w:tcPr>
            <w:tcW w:w="478"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2015 S</w:t>
            </w:r>
          </w:p>
        </w:tc>
        <w:tc>
          <w:tcPr>
            <w:tcW w:w="478"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2016 S</w:t>
            </w:r>
          </w:p>
        </w:tc>
        <w:tc>
          <w:tcPr>
            <w:tcW w:w="478"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2017 R</w:t>
            </w:r>
          </w:p>
        </w:tc>
        <w:tc>
          <w:tcPr>
            <w:tcW w:w="478"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2017 OS</w:t>
            </w:r>
          </w:p>
        </w:tc>
        <w:tc>
          <w:tcPr>
            <w:tcW w:w="478"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2018 N</w:t>
            </w:r>
          </w:p>
        </w:tc>
        <w:tc>
          <w:tcPr>
            <w:tcW w:w="478"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2019 N</w:t>
            </w:r>
          </w:p>
        </w:tc>
        <w:tc>
          <w:tcPr>
            <w:tcW w:w="478"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77EC4" w:rsidRDefault="007D13F3" w:rsidP="00465CAC">
            <w:pPr>
              <w:jc w:val="cente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2020 N</w:t>
            </w:r>
          </w:p>
        </w:tc>
      </w:tr>
      <w:tr w:rsidR="007D13F3" w:rsidRPr="00C77EC4" w:rsidTr="00465CAC">
        <w:trPr>
          <w:trHeight w:hRule="exact" w:val="255"/>
        </w:trPr>
        <w:tc>
          <w:tcPr>
            <w:tcW w:w="1655" w:type="pct"/>
            <w:tcBorders>
              <w:top w:val="single" w:sz="4" w:space="0" w:color="auto"/>
              <w:left w:val="single" w:sz="4" w:space="0" w:color="auto"/>
              <w:bottom w:val="single" w:sz="4" w:space="0" w:color="auto"/>
              <w:right w:val="single" w:sz="4" w:space="0" w:color="auto"/>
            </w:tcBorders>
            <w:shd w:val="pct25" w:color="000000" w:fill="FFFFFF" w:themeFill="background1"/>
            <w:vAlign w:val="bottom"/>
            <w:hideMark/>
          </w:tcPr>
          <w:p w:rsidR="007D13F3" w:rsidRPr="00C77EC4" w:rsidRDefault="007D13F3" w:rsidP="00465CAC">
            <w:pPr>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Informačné technológie financované zo ŠR</w:t>
            </w:r>
          </w:p>
        </w:tc>
        <w:tc>
          <w:tcPr>
            <w:tcW w:w="478"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121 483 053</w:t>
            </w:r>
          </w:p>
        </w:tc>
        <w:tc>
          <w:tcPr>
            <w:tcW w:w="478"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101 402 611</w:t>
            </w:r>
          </w:p>
        </w:tc>
        <w:tc>
          <w:tcPr>
            <w:tcW w:w="478"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80 353 016</w:t>
            </w:r>
          </w:p>
        </w:tc>
        <w:tc>
          <w:tcPr>
            <w:tcW w:w="478"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121 899 319</w:t>
            </w:r>
          </w:p>
        </w:tc>
        <w:tc>
          <w:tcPr>
            <w:tcW w:w="478"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85 108 822</w:t>
            </w:r>
          </w:p>
        </w:tc>
        <w:tc>
          <w:tcPr>
            <w:tcW w:w="478"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83 597 461</w:t>
            </w:r>
          </w:p>
        </w:tc>
        <w:tc>
          <w:tcPr>
            <w:tcW w:w="478"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77EC4" w:rsidRDefault="007D13F3" w:rsidP="00465CAC">
            <w:pPr>
              <w:jc w:val="right"/>
              <w:rPr>
                <w:rFonts w:ascii="Times New Roman" w:hAnsi="Times New Roman" w:cs="Times New Roman"/>
                <w:b/>
                <w:bCs/>
                <w:sz w:val="14"/>
                <w:szCs w:val="14"/>
                <w:lang w:eastAsia="sk-SK"/>
              </w:rPr>
            </w:pPr>
            <w:r w:rsidRPr="00C77EC4">
              <w:rPr>
                <w:rFonts w:ascii="Times New Roman" w:hAnsi="Times New Roman" w:cs="Times New Roman"/>
                <w:b/>
                <w:bCs/>
                <w:sz w:val="14"/>
                <w:szCs w:val="14"/>
                <w:lang w:eastAsia="sk-SK"/>
              </w:rPr>
              <w:t>83 381 811</w:t>
            </w:r>
          </w:p>
        </w:tc>
      </w:tr>
      <w:tr w:rsidR="007D13F3" w:rsidRPr="00C77EC4" w:rsidTr="00465CAC">
        <w:trPr>
          <w:trHeight w:hRule="exact" w:val="255"/>
        </w:trPr>
        <w:tc>
          <w:tcPr>
            <w:tcW w:w="1655" w:type="pct"/>
            <w:tcBorders>
              <w:top w:val="nil"/>
              <w:left w:val="single" w:sz="4" w:space="0" w:color="auto"/>
              <w:bottom w:val="single" w:sz="4" w:space="0" w:color="auto"/>
              <w:right w:val="single" w:sz="4" w:space="0" w:color="auto"/>
            </w:tcBorders>
            <w:shd w:val="clear" w:color="000000" w:fill="FFFFFF"/>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Systémy vnútornej správy</w:t>
            </w:r>
          </w:p>
        </w:tc>
        <w:tc>
          <w:tcPr>
            <w:tcW w:w="47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267 500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324 232</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313 600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213 600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235 900</w:t>
            </w:r>
          </w:p>
        </w:tc>
      </w:tr>
      <w:tr w:rsidR="007D13F3" w:rsidRPr="00C77EC4" w:rsidTr="00465CAC">
        <w:trPr>
          <w:trHeight w:hRule="exact" w:val="255"/>
        </w:trPr>
        <w:tc>
          <w:tcPr>
            <w:tcW w:w="1655"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Špecializované systémy</w:t>
            </w:r>
          </w:p>
        </w:tc>
        <w:tc>
          <w:tcPr>
            <w:tcW w:w="47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25 066 680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26 118 288</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26 708 032</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25 685 242</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25 685 242</w:t>
            </w:r>
          </w:p>
        </w:tc>
      </w:tr>
      <w:tr w:rsidR="007D13F3" w:rsidRPr="00C77EC4" w:rsidTr="00465CAC">
        <w:trPr>
          <w:trHeight w:hRule="exact" w:val="255"/>
        </w:trPr>
        <w:tc>
          <w:tcPr>
            <w:tcW w:w="1655"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Podporná infraštruktúra</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10 655 016</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9 402 499</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10 348 773</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10 331 363</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10 259 013</w:t>
            </w:r>
          </w:p>
        </w:tc>
      </w:tr>
      <w:tr w:rsidR="007D13F3" w:rsidRPr="00C77EC4" w:rsidTr="00465CAC">
        <w:trPr>
          <w:trHeight w:hRule="exact" w:val="255"/>
        </w:trPr>
        <w:tc>
          <w:tcPr>
            <w:tcW w:w="1655"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IS pre systém Štátnej pokladnice</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16 308 833</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16 936 064</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14 884 226</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12 466 276</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15 883 293</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16 083 293</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16 083 293</w:t>
            </w:r>
          </w:p>
        </w:tc>
      </w:tr>
      <w:tr w:rsidR="007D13F3" w:rsidRPr="00C77EC4" w:rsidTr="00465CAC">
        <w:trPr>
          <w:trHeight w:hRule="exact" w:val="255"/>
        </w:trPr>
        <w:tc>
          <w:tcPr>
            <w:tcW w:w="1655"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Rozpočtový informačný systém</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7 023 150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6 436 304</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6 664 278</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6 679 580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7 612 378</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6 664 217</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6 664 217</w:t>
            </w:r>
          </w:p>
        </w:tc>
      </w:tr>
      <w:tr w:rsidR="007D13F3" w:rsidRPr="00C77EC4" w:rsidTr="00465CAC">
        <w:trPr>
          <w:trHeight w:hRule="exact" w:val="255"/>
        </w:trPr>
        <w:tc>
          <w:tcPr>
            <w:tcW w:w="1655"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IS účtovníctva fondov</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610 879</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417 078</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980 133</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1 026 133</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965 133</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1 042 133</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1 095 133</w:t>
            </w:r>
          </w:p>
        </w:tc>
      </w:tr>
      <w:tr w:rsidR="007D13F3" w:rsidRPr="00C77EC4" w:rsidTr="00465CAC">
        <w:trPr>
          <w:trHeight w:hRule="exact" w:val="255"/>
        </w:trPr>
        <w:tc>
          <w:tcPr>
            <w:tcW w:w="1655"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Podporná infraštruktúra pre IS RVF</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26 913 810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22 761 224</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15 217 491</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17 697 951</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15 701 091</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15 701 091</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15 772 491</w:t>
            </w:r>
          </w:p>
        </w:tc>
      </w:tr>
      <w:tr w:rsidR="007D13F3" w:rsidRPr="00C77EC4" w:rsidTr="00465CAC">
        <w:trPr>
          <w:trHeight w:hRule="exact" w:val="255"/>
        </w:trPr>
        <w:tc>
          <w:tcPr>
            <w:tcW w:w="1655"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Centrálny účtovný systém</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8 034 193</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9 068 801</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2 100 000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5 274 075</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2 400 000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2 400 000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2 600 000</w:t>
            </w:r>
          </w:p>
        </w:tc>
      </w:tr>
      <w:tr w:rsidR="007D13F3" w:rsidRPr="00C77EC4" w:rsidTr="00465CAC">
        <w:trPr>
          <w:trHeight w:hRule="exact" w:val="255"/>
        </w:trPr>
        <w:tc>
          <w:tcPr>
            <w:tcW w:w="1655"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Centrálny </w:t>
            </w:r>
            <w:proofErr w:type="spellStart"/>
            <w:r w:rsidRPr="00C77EC4">
              <w:rPr>
                <w:rFonts w:ascii="Times New Roman" w:hAnsi="Times New Roman" w:cs="Times New Roman"/>
                <w:sz w:val="14"/>
                <w:szCs w:val="14"/>
                <w:lang w:eastAsia="sk-SK"/>
              </w:rPr>
              <w:t>metainformačný</w:t>
            </w:r>
            <w:proofErr w:type="spellEnd"/>
            <w:r w:rsidRPr="00C77EC4">
              <w:rPr>
                <w:rFonts w:ascii="Times New Roman" w:hAnsi="Times New Roman" w:cs="Times New Roman"/>
                <w:sz w:val="14"/>
                <w:szCs w:val="14"/>
                <w:lang w:eastAsia="sk-SK"/>
              </w:rPr>
              <w:t xml:space="preserve"> systém VS</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85 319</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172 080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r>
      <w:tr w:rsidR="007D13F3" w:rsidRPr="00C77EC4" w:rsidTr="00465CAC">
        <w:trPr>
          <w:trHeight w:hRule="exact" w:val="255"/>
        </w:trPr>
        <w:tc>
          <w:tcPr>
            <w:tcW w:w="1655"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Jednotný systém štátneho účtov. a výkaz.</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4 470 317</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2 319 060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4 000 000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3 610 721</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5 100 000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5 400 000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4 910 000</w:t>
            </w:r>
          </w:p>
        </w:tc>
      </w:tr>
      <w:tr w:rsidR="007D13F3" w:rsidRPr="00C77EC4" w:rsidTr="00465CAC">
        <w:trPr>
          <w:trHeight w:hRule="exact" w:val="255"/>
        </w:trPr>
        <w:tc>
          <w:tcPr>
            <w:tcW w:w="1655"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IS centrálnej správy referenčných údajov VS</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26 578</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464 820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r>
      <w:tr w:rsidR="007D13F3" w:rsidRPr="00C77EC4" w:rsidTr="00465CAC">
        <w:trPr>
          <w:trHeight w:hRule="exact" w:val="255"/>
        </w:trPr>
        <w:tc>
          <w:tcPr>
            <w:tcW w:w="1655"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ITMS2 - IT servis manažment 2</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r w:rsidRPr="00C77EC4">
              <w:rPr>
                <w:rFonts w:ascii="Times New Roman" w:hAnsi="Times New Roman" w:cs="Times New Roman"/>
                <w:sz w:val="14"/>
                <w:szCs w:val="14"/>
                <w:lang w:eastAsia="sk-SK"/>
              </w:rPr>
              <w:t> </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135 000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r>
      <w:tr w:rsidR="007D13F3" w:rsidRPr="00C77EC4" w:rsidTr="00465CAC">
        <w:trPr>
          <w:trHeight w:hRule="exact" w:val="255"/>
        </w:trPr>
        <w:tc>
          <w:tcPr>
            <w:tcW w:w="1655"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Centrálne licenčné zmluvné vzťahy</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35 882 084</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35 199 998</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382 692</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35 256 534</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76 522</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76 522</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76 522</w:t>
            </w:r>
          </w:p>
        </w:tc>
      </w:tr>
      <w:tr w:rsidR="007D13F3" w:rsidRPr="00C77EC4" w:rsidTr="00465CAC">
        <w:trPr>
          <w:trHeight w:hRule="exact" w:val="255"/>
        </w:trPr>
        <w:tc>
          <w:tcPr>
            <w:tcW w:w="1655"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     z toho: licencie Microsoft*</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 xml:space="preserve">18 609 754 </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22 449 581</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19 065 088</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r>
      <w:tr w:rsidR="007D13F3" w:rsidRPr="00C77EC4" w:rsidTr="00465CAC">
        <w:trPr>
          <w:trHeight w:hRule="exact" w:val="255"/>
        </w:trPr>
        <w:tc>
          <w:tcPr>
            <w:tcW w:w="1655"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UNITAS</w:t>
            </w:r>
          </w:p>
        </w:tc>
        <w:tc>
          <w:tcPr>
            <w:tcW w:w="47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22 239 787</w:t>
            </w:r>
          </w:p>
        </w:tc>
        <w:tc>
          <w:tcPr>
            <w:tcW w:w="47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8 152 186</w:t>
            </w:r>
          </w:p>
        </w:tc>
        <w:tc>
          <w:tcPr>
            <w:tcW w:w="47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000000" w:fill="FFFFFF"/>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3 406 131</w:t>
            </w:r>
          </w:p>
        </w:tc>
        <w:tc>
          <w:tcPr>
            <w:tcW w:w="47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shd w:val="clear" w:color="auto" w:fill="auto"/>
            <w:noWrap/>
            <w:vAlign w:val="bottom"/>
            <w:hideMark/>
          </w:tcPr>
          <w:p w:rsidR="007D13F3" w:rsidRPr="00C77EC4" w:rsidRDefault="007D13F3" w:rsidP="00465CAC">
            <w:pPr>
              <w:jc w:val="right"/>
              <w:rPr>
                <w:rFonts w:ascii="Times New Roman" w:hAnsi="Times New Roman" w:cs="Times New Roman"/>
                <w:sz w:val="14"/>
                <w:szCs w:val="14"/>
                <w:lang w:eastAsia="sk-SK"/>
              </w:rPr>
            </w:pPr>
            <w:r w:rsidRPr="00C77EC4">
              <w:rPr>
                <w:rFonts w:ascii="Times New Roman" w:hAnsi="Times New Roman" w:cs="Times New Roman"/>
                <w:sz w:val="14"/>
                <w:szCs w:val="14"/>
                <w:lang w:eastAsia="sk-SK"/>
              </w:rPr>
              <w:t>0</w:t>
            </w:r>
          </w:p>
        </w:tc>
      </w:tr>
      <w:tr w:rsidR="007D13F3" w:rsidRPr="00C77EC4" w:rsidTr="00465CAC">
        <w:trPr>
          <w:trHeight w:hRule="exact" w:val="255"/>
        </w:trPr>
        <w:tc>
          <w:tcPr>
            <w:tcW w:w="1655" w:type="pct"/>
            <w:tcBorders>
              <w:top w:val="nil"/>
              <w:left w:val="nil"/>
              <w:bottom w:val="nil"/>
              <w:right w:val="nil"/>
            </w:tcBorders>
            <w:shd w:val="clear" w:color="000000" w:fill="FFFFFF"/>
            <w:noWrap/>
            <w:vAlign w:val="center"/>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*rozpočtované v kapitole VPS</w:t>
            </w:r>
          </w:p>
        </w:tc>
        <w:tc>
          <w:tcPr>
            <w:tcW w:w="478" w:type="pct"/>
            <w:tcBorders>
              <w:top w:val="nil"/>
              <w:left w:val="nil"/>
              <w:bottom w:val="nil"/>
              <w:right w:val="nil"/>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p>
        </w:tc>
        <w:tc>
          <w:tcPr>
            <w:tcW w:w="478" w:type="pct"/>
            <w:tcBorders>
              <w:top w:val="nil"/>
              <w:left w:val="nil"/>
              <w:bottom w:val="nil"/>
              <w:right w:val="nil"/>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p>
        </w:tc>
        <w:tc>
          <w:tcPr>
            <w:tcW w:w="478" w:type="pct"/>
            <w:tcBorders>
              <w:top w:val="nil"/>
              <w:left w:val="nil"/>
              <w:bottom w:val="nil"/>
              <w:right w:val="nil"/>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p>
        </w:tc>
        <w:tc>
          <w:tcPr>
            <w:tcW w:w="478" w:type="pct"/>
            <w:tcBorders>
              <w:top w:val="nil"/>
              <w:left w:val="nil"/>
              <w:bottom w:val="nil"/>
              <w:right w:val="nil"/>
            </w:tcBorders>
            <w:shd w:val="clear" w:color="000000" w:fill="FFFFFF"/>
            <w:noWrap/>
            <w:vAlign w:val="bottom"/>
            <w:hideMark/>
          </w:tcPr>
          <w:p w:rsidR="007D13F3" w:rsidRPr="00C77EC4" w:rsidRDefault="007D13F3" w:rsidP="00465CAC">
            <w:pPr>
              <w:rPr>
                <w:rFonts w:ascii="Times New Roman" w:hAnsi="Times New Roman" w:cs="Times New Roman"/>
                <w:sz w:val="14"/>
                <w:szCs w:val="14"/>
                <w:lang w:eastAsia="sk-SK"/>
              </w:rPr>
            </w:pPr>
            <w:r w:rsidRPr="00C77EC4">
              <w:rPr>
                <w:rFonts w:ascii="Times New Roman" w:hAnsi="Times New Roman" w:cs="Times New Roman"/>
                <w:sz w:val="14"/>
                <w:szCs w:val="14"/>
                <w:lang w:eastAsia="sk-SK"/>
              </w:rPr>
              <w:t> </w:t>
            </w:r>
          </w:p>
        </w:tc>
        <w:tc>
          <w:tcPr>
            <w:tcW w:w="478" w:type="pct"/>
            <w:tcBorders>
              <w:top w:val="nil"/>
              <w:left w:val="nil"/>
              <w:bottom w:val="nil"/>
              <w:right w:val="nil"/>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p>
        </w:tc>
        <w:tc>
          <w:tcPr>
            <w:tcW w:w="478" w:type="pct"/>
            <w:tcBorders>
              <w:top w:val="nil"/>
              <w:left w:val="nil"/>
              <w:bottom w:val="nil"/>
              <w:right w:val="nil"/>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p>
        </w:tc>
        <w:tc>
          <w:tcPr>
            <w:tcW w:w="478" w:type="pct"/>
            <w:tcBorders>
              <w:top w:val="nil"/>
              <w:left w:val="nil"/>
              <w:bottom w:val="nil"/>
              <w:right w:val="nil"/>
            </w:tcBorders>
            <w:shd w:val="clear" w:color="auto" w:fill="auto"/>
            <w:noWrap/>
            <w:vAlign w:val="bottom"/>
            <w:hideMark/>
          </w:tcPr>
          <w:p w:rsidR="007D13F3" w:rsidRPr="00C77EC4" w:rsidRDefault="007D13F3" w:rsidP="00465CAC">
            <w:pPr>
              <w:rPr>
                <w:rFonts w:ascii="Times New Roman" w:hAnsi="Times New Roman" w:cs="Times New Roman"/>
                <w:sz w:val="14"/>
                <w:szCs w:val="14"/>
                <w:lang w:eastAsia="sk-SK"/>
              </w:rPr>
            </w:pPr>
          </w:p>
        </w:tc>
      </w:tr>
    </w:tbl>
    <w:p w:rsidR="007D13F3" w:rsidRPr="00C77EC4" w:rsidRDefault="007D13F3" w:rsidP="007D13F3">
      <w:pPr>
        <w:jc w:val="both"/>
        <w:rPr>
          <w:rFonts w:ascii="Times New Roman" w:eastAsiaTheme="minorHAnsi" w:hAnsi="Times New Roman" w:cs="Times New Roman"/>
          <w:lang w:eastAsia="en-US"/>
        </w:rPr>
      </w:pPr>
      <w:r w:rsidRPr="00C77EC4">
        <w:rPr>
          <w:rFonts w:ascii="Times New Roman" w:eastAsiaTheme="minorHAnsi" w:hAnsi="Times New Roman" w:cs="Times New Roman"/>
          <w:lang w:eastAsia="en-US"/>
        </w:rPr>
        <w:tab/>
      </w:r>
    </w:p>
    <w:p w:rsidR="007D13F3" w:rsidRPr="00C77EC4" w:rsidRDefault="007D13F3" w:rsidP="007D13F3">
      <w:pPr>
        <w:jc w:val="both"/>
        <w:rPr>
          <w:rFonts w:ascii="Times New Roman" w:eastAsiaTheme="minorHAnsi" w:hAnsi="Times New Roman" w:cs="Times New Roman"/>
          <w:lang w:eastAsia="en-US"/>
        </w:rPr>
      </w:pPr>
      <w:r w:rsidRPr="00C77EC4">
        <w:rPr>
          <w:rFonts w:ascii="Times New Roman" w:eastAsiaTheme="minorHAnsi" w:hAnsi="Times New Roman" w:cs="Times New Roman"/>
          <w:lang w:eastAsia="en-US"/>
        </w:rPr>
        <w:tab/>
        <w:t xml:space="preserve">MF SR je účastníkom samostatného medzirezortného programu Informačné technológie financované zo štátneho rozpočtu, ktorý bol zriadený od roku 2017 pre potreby centrálneho rozpočtovania a sledovania výdavkov na IT financované zo štátneho rozpočtu. Výdavky na uvedenú oblasť na rok 2018 v porovnaní so schváleným rozpočtom na rok 2017 rastú </w:t>
      </w:r>
      <w:r>
        <w:rPr>
          <w:rFonts w:ascii="Times New Roman" w:eastAsiaTheme="minorHAnsi" w:hAnsi="Times New Roman" w:cs="Times New Roman"/>
          <w:lang w:eastAsia="en-US"/>
        </w:rPr>
        <w:br/>
      </w:r>
      <w:r w:rsidRPr="00C77EC4">
        <w:rPr>
          <w:rFonts w:ascii="Times New Roman" w:eastAsiaTheme="minorHAnsi" w:hAnsi="Times New Roman" w:cs="Times New Roman"/>
          <w:lang w:eastAsia="en-US"/>
        </w:rPr>
        <w:t>o 4,76 mil. eur, čo  predstavuje  5,92 %.  Dôvodom sú najmä plánované výdavky na rekonštrukciu, modernizáciu a údržbu softvéru a nákup výpočtovej techniky.</w:t>
      </w:r>
    </w:p>
    <w:p w:rsidR="007D13F3" w:rsidRDefault="007D13F3" w:rsidP="007D13F3">
      <w:pPr>
        <w:jc w:val="both"/>
        <w:rPr>
          <w:rFonts w:ascii="Times New Roman" w:eastAsiaTheme="minorHAnsi" w:hAnsi="Times New Roman" w:cs="Times New Roman"/>
          <w:lang w:eastAsia="en-US"/>
        </w:rPr>
      </w:pPr>
    </w:p>
    <w:p w:rsidR="007D13F3" w:rsidRPr="00C77EC4" w:rsidRDefault="007D13F3" w:rsidP="007D13F3">
      <w:pPr>
        <w:ind w:firstLine="360"/>
        <w:jc w:val="both"/>
        <w:rPr>
          <w:rFonts w:ascii="Times New Roman" w:eastAsiaTheme="minorHAnsi" w:hAnsi="Times New Roman" w:cs="Times New Roman"/>
          <w:lang w:eastAsia="en-US"/>
        </w:rPr>
      </w:pPr>
      <w:r w:rsidRPr="00C77EC4">
        <w:rPr>
          <w:rFonts w:ascii="Times New Roman" w:eastAsiaTheme="minorHAnsi" w:hAnsi="Times New Roman" w:cs="Times New Roman"/>
          <w:lang w:eastAsia="en-US"/>
        </w:rPr>
        <w:t xml:space="preserve">Výdavky spojené s </w:t>
      </w:r>
      <w:proofErr w:type="spellStart"/>
      <w:r w:rsidRPr="00C77EC4">
        <w:rPr>
          <w:rFonts w:ascii="Times New Roman" w:eastAsiaTheme="minorHAnsi" w:hAnsi="Times New Roman" w:cs="Times New Roman"/>
          <w:lang w:eastAsia="en-US"/>
        </w:rPr>
        <w:t>multilicenčnou</w:t>
      </w:r>
      <w:proofErr w:type="spellEnd"/>
      <w:r w:rsidRPr="00C77EC4">
        <w:rPr>
          <w:rFonts w:ascii="Times New Roman" w:eastAsiaTheme="minorHAnsi" w:hAnsi="Times New Roman" w:cs="Times New Roman"/>
          <w:lang w:eastAsia="en-US"/>
        </w:rPr>
        <w:t xml:space="preserve"> zmluvou so spoločnosťou Microsoft za jednotlivé kapitoly štátneho rozpočtu sú rozpočtované v kapitole Všeobecná pokladničná správa v sume </w:t>
      </w:r>
      <w:r w:rsidRPr="001E5EBD">
        <w:rPr>
          <w:rFonts w:ascii="Times New Roman" w:eastAsiaTheme="minorHAnsi" w:hAnsi="Times New Roman" w:cs="Times New Roman"/>
          <w:lang w:eastAsia="en-US"/>
        </w:rPr>
        <w:t xml:space="preserve">18,6 mil.  eur. </w:t>
      </w:r>
    </w:p>
    <w:p w:rsidR="007D13F3" w:rsidRPr="00C77EC4" w:rsidRDefault="007D13F3" w:rsidP="007D13F3">
      <w:pPr>
        <w:jc w:val="both"/>
        <w:rPr>
          <w:rFonts w:ascii="Times New Roman" w:eastAsiaTheme="minorHAnsi" w:hAnsi="Times New Roman" w:cs="Times New Roman"/>
          <w:lang w:eastAsia="en-US"/>
        </w:rPr>
      </w:pPr>
    </w:p>
    <w:p w:rsidR="007D13F3" w:rsidRPr="00C77EC4" w:rsidRDefault="007D13F3" w:rsidP="00F358AE">
      <w:pPr>
        <w:spacing w:after="200" w:line="276" w:lineRule="auto"/>
        <w:contextualSpacing/>
        <w:jc w:val="both"/>
        <w:rPr>
          <w:rFonts w:ascii="Times New Roman" w:eastAsiaTheme="minorHAnsi" w:hAnsi="Times New Roman" w:cs="Times New Roman"/>
          <w:b/>
          <w:lang w:eastAsia="en-US"/>
        </w:rPr>
      </w:pPr>
      <w:r w:rsidRPr="00C77EC4">
        <w:rPr>
          <w:rFonts w:ascii="Times New Roman" w:eastAsiaTheme="minorHAnsi" w:hAnsi="Times New Roman" w:cs="Times New Roman"/>
          <w:b/>
          <w:lang w:eastAsia="en-US"/>
        </w:rPr>
        <w:t>Inštitucionálna podpora a kontrola</w:t>
      </w:r>
    </w:p>
    <w:p w:rsidR="007D13F3" w:rsidRPr="00C77EC4" w:rsidRDefault="007D13F3" w:rsidP="007D13F3">
      <w:pPr>
        <w:spacing w:after="200" w:line="276" w:lineRule="auto"/>
        <w:ind w:left="720"/>
        <w:contextualSpacing/>
        <w:jc w:val="both"/>
        <w:rPr>
          <w:rFonts w:ascii="Times New Roman" w:eastAsiaTheme="minorHAnsi" w:hAnsi="Times New Roman" w:cs="Times New Roman"/>
          <w:b/>
          <w:lang w:eastAsia="en-US"/>
        </w:rPr>
      </w:pPr>
    </w:p>
    <w:tbl>
      <w:tblPr>
        <w:tblW w:w="5000" w:type="pct"/>
        <w:tblCellMar>
          <w:left w:w="70" w:type="dxa"/>
          <w:right w:w="70" w:type="dxa"/>
        </w:tblCellMar>
        <w:tblLook w:val="04A0" w:firstRow="1" w:lastRow="0" w:firstColumn="1" w:lastColumn="0" w:noHBand="0" w:noVBand="1"/>
      </w:tblPr>
      <w:tblGrid>
        <w:gridCol w:w="2237"/>
        <w:gridCol w:w="975"/>
        <w:gridCol w:w="975"/>
        <w:gridCol w:w="975"/>
        <w:gridCol w:w="975"/>
        <w:gridCol w:w="975"/>
        <w:gridCol w:w="975"/>
        <w:gridCol w:w="975"/>
      </w:tblGrid>
      <w:tr w:rsidR="007D13F3" w:rsidRPr="00C77EC4" w:rsidTr="00465CAC">
        <w:trPr>
          <w:trHeight w:hRule="exact" w:val="255"/>
        </w:trPr>
        <w:tc>
          <w:tcPr>
            <w:tcW w:w="1148"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7D13F3" w:rsidRPr="00F6012C" w:rsidRDefault="007D13F3" w:rsidP="00465CAC">
            <w:pP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v eurách</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F6012C" w:rsidRDefault="007D13F3" w:rsidP="00465CAC">
            <w:pPr>
              <w:jc w:val="cente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2015 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F6012C" w:rsidRDefault="007D13F3" w:rsidP="00465CAC">
            <w:pPr>
              <w:jc w:val="cente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2016 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F6012C" w:rsidRDefault="007D13F3" w:rsidP="00465CAC">
            <w:pPr>
              <w:jc w:val="cente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2017 R</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F6012C" w:rsidRDefault="007D13F3" w:rsidP="00465CAC">
            <w:pPr>
              <w:jc w:val="cente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2017 OS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F6012C" w:rsidRDefault="007D13F3" w:rsidP="00465CAC">
            <w:pPr>
              <w:jc w:val="cente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2018 N</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F6012C" w:rsidRDefault="007D13F3" w:rsidP="00465CAC">
            <w:pPr>
              <w:jc w:val="cente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2019 N</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F6012C" w:rsidRDefault="007D13F3" w:rsidP="00465CAC">
            <w:pPr>
              <w:jc w:val="cente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2020 N</w:t>
            </w:r>
          </w:p>
        </w:tc>
      </w:tr>
      <w:tr w:rsidR="007D13F3" w:rsidRPr="00C77EC4" w:rsidTr="00465CAC">
        <w:trPr>
          <w:trHeight w:hRule="exact" w:val="255"/>
        </w:trPr>
        <w:tc>
          <w:tcPr>
            <w:tcW w:w="1148" w:type="pct"/>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7D13F3" w:rsidRPr="00F6012C" w:rsidRDefault="007D13F3" w:rsidP="00465CAC">
            <w:pP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Inštitucionálna podpora a kontrola</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F6012C" w:rsidRDefault="007D13F3" w:rsidP="00465CAC">
            <w:pPr>
              <w:jc w:val="right"/>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71 416 084</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F6012C" w:rsidRDefault="007D13F3" w:rsidP="00465CAC">
            <w:pPr>
              <w:jc w:val="right"/>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77 088 097</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F6012C" w:rsidRDefault="007D13F3" w:rsidP="00465CAC">
            <w:pPr>
              <w:jc w:val="right"/>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51 975 983</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F6012C" w:rsidRDefault="007D13F3" w:rsidP="00465CAC">
            <w:pPr>
              <w:jc w:val="right"/>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62 256 787</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F6012C" w:rsidRDefault="007D13F3" w:rsidP="00465CAC">
            <w:pPr>
              <w:jc w:val="right"/>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50 801 847</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F6012C" w:rsidRDefault="007D13F3" w:rsidP="00465CAC">
            <w:pPr>
              <w:jc w:val="right"/>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51 291 423</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F6012C" w:rsidRDefault="007D13F3" w:rsidP="00465CAC">
            <w:pPr>
              <w:jc w:val="right"/>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51 593 073</w:t>
            </w:r>
          </w:p>
        </w:tc>
      </w:tr>
      <w:tr w:rsidR="007D13F3" w:rsidRPr="00F6012C" w:rsidTr="00465CAC">
        <w:trPr>
          <w:trHeight w:hRule="exact" w:val="255"/>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F6012C" w:rsidRDefault="007D13F3" w:rsidP="00465CAC">
            <w:pPr>
              <w:rPr>
                <w:rFonts w:ascii="Times New Roman" w:hAnsi="Times New Roman" w:cs="Times New Roman"/>
                <w:sz w:val="14"/>
                <w:szCs w:val="14"/>
                <w:lang w:eastAsia="sk-SK"/>
              </w:rPr>
            </w:pPr>
            <w:r w:rsidRPr="00F6012C">
              <w:rPr>
                <w:rFonts w:ascii="Times New Roman" w:hAnsi="Times New Roman" w:cs="Times New Roman"/>
                <w:sz w:val="14"/>
                <w:szCs w:val="14"/>
                <w:lang w:eastAsia="sk-SK"/>
              </w:rPr>
              <w:t>štátny rozpočet</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61 900 600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61 164 881</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51 975 983</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61 398 044</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50 801 847</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51 291 423</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51 593 073</w:t>
            </w:r>
          </w:p>
        </w:tc>
      </w:tr>
      <w:tr w:rsidR="007D13F3" w:rsidRPr="00F6012C" w:rsidTr="00465CAC">
        <w:trPr>
          <w:trHeight w:hRule="exact" w:val="255"/>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F6012C" w:rsidRDefault="007D13F3" w:rsidP="00465CAC">
            <w:pPr>
              <w:rPr>
                <w:rFonts w:ascii="Times New Roman" w:hAnsi="Times New Roman" w:cs="Times New Roman"/>
                <w:sz w:val="14"/>
                <w:szCs w:val="14"/>
                <w:lang w:eastAsia="sk-SK"/>
              </w:rPr>
            </w:pPr>
            <w:r w:rsidRPr="00F6012C">
              <w:rPr>
                <w:rFonts w:ascii="Times New Roman" w:hAnsi="Times New Roman" w:cs="Times New Roman"/>
                <w:sz w:val="14"/>
                <w:szCs w:val="14"/>
                <w:lang w:eastAsia="sk-SK"/>
              </w:rPr>
              <w:t xml:space="preserve">zdroje EÚ </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7 569 864</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13 146 121</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715 743</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0</w:t>
            </w:r>
          </w:p>
        </w:tc>
      </w:tr>
      <w:tr w:rsidR="007D13F3" w:rsidRPr="00F6012C" w:rsidTr="00465CAC">
        <w:trPr>
          <w:trHeight w:hRule="exact" w:val="255"/>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F6012C" w:rsidRDefault="007D13F3" w:rsidP="00465CAC">
            <w:pPr>
              <w:rPr>
                <w:rFonts w:ascii="Times New Roman" w:hAnsi="Times New Roman" w:cs="Times New Roman"/>
                <w:sz w:val="14"/>
                <w:szCs w:val="14"/>
                <w:lang w:eastAsia="sk-SK"/>
              </w:rPr>
            </w:pPr>
            <w:r w:rsidRPr="00F6012C">
              <w:rPr>
                <w:rFonts w:ascii="Times New Roman" w:hAnsi="Times New Roman" w:cs="Times New Roman"/>
                <w:sz w:val="14"/>
                <w:szCs w:val="14"/>
                <w:lang w:eastAsia="sk-SK"/>
              </w:rPr>
              <w:t>spolufinancovanie zo ŠR</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1 945 620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2 777 095</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143 000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0</w:t>
            </w:r>
          </w:p>
        </w:tc>
      </w:tr>
    </w:tbl>
    <w:p w:rsidR="007D13F3" w:rsidRPr="00C77EC4" w:rsidRDefault="007D13F3" w:rsidP="007D13F3">
      <w:pPr>
        <w:spacing w:line="360" w:lineRule="auto"/>
        <w:jc w:val="both"/>
        <w:rPr>
          <w:rFonts w:ascii="Times New Roman" w:hAnsi="Times New Roman" w:cs="Times New Roman"/>
          <w:b/>
          <w:noProof/>
          <w:sz w:val="22"/>
          <w:szCs w:val="22"/>
          <w:lang w:eastAsia="sk-SK"/>
        </w:rPr>
      </w:pPr>
    </w:p>
    <w:p w:rsidR="007D13F3" w:rsidRDefault="007D13F3" w:rsidP="007D13F3">
      <w:pPr>
        <w:jc w:val="both"/>
        <w:rPr>
          <w:rFonts w:ascii="Times New Roman" w:hAnsi="Times New Roman" w:cs="Times New Roman"/>
          <w:noProof/>
          <w:szCs w:val="22"/>
          <w:lang w:eastAsia="sk-SK"/>
        </w:rPr>
      </w:pPr>
      <w:r w:rsidRPr="00C77EC4">
        <w:rPr>
          <w:rFonts w:ascii="Times New Roman" w:hAnsi="Times New Roman" w:cs="Times New Roman"/>
          <w:noProof/>
          <w:lang w:eastAsia="sk-SK"/>
        </w:rPr>
        <w:tab/>
        <w:t xml:space="preserve">Výdavky na inštitucionálnu podporu a kontrolu a ostatné úlohy kapitoly na rok 2018  sú rozpočtované vo výške 50,8 mil. eur, čo predstavuje medziročný  pokles o 1,17 mil. eur, t. j. o 2,26 %. </w:t>
      </w:r>
      <w:r w:rsidRPr="00C77EC4">
        <w:rPr>
          <w:rFonts w:ascii="Times New Roman" w:hAnsi="Times New Roman" w:cs="Times New Roman"/>
          <w:noProof/>
          <w:szCs w:val="22"/>
          <w:lang w:eastAsia="sk-SK"/>
        </w:rPr>
        <w:t xml:space="preserve">Dôvodom tohto vývoja je na jednej strane zvýšenie osobných výdavkov z dôvodu valorizácie platov zamestnacov z roku 2017, pri súčasnom poklese kapitálových výdavkov. </w:t>
      </w:r>
    </w:p>
    <w:p w:rsidR="007D13F3" w:rsidRPr="00E620E5" w:rsidRDefault="007D13F3" w:rsidP="007D13F3">
      <w:pPr>
        <w:spacing w:after="160" w:line="259" w:lineRule="auto"/>
        <w:rPr>
          <w:rFonts w:ascii="Times New Roman" w:hAnsi="Times New Roman" w:cs="Times New Roman"/>
          <w:noProof/>
          <w:szCs w:val="22"/>
          <w:lang w:eastAsia="sk-SK"/>
        </w:rPr>
      </w:pPr>
      <w:r>
        <w:rPr>
          <w:rFonts w:ascii="Times New Roman" w:hAnsi="Times New Roman" w:cs="Times New Roman"/>
          <w:noProof/>
          <w:szCs w:val="22"/>
          <w:lang w:eastAsia="sk-SK"/>
        </w:rPr>
        <w:br w:type="page"/>
      </w:r>
    </w:p>
    <w:tbl>
      <w:tblPr>
        <w:tblW w:w="5000" w:type="pct"/>
        <w:tblCellMar>
          <w:left w:w="70" w:type="dxa"/>
          <w:right w:w="70" w:type="dxa"/>
        </w:tblCellMar>
        <w:tblLook w:val="04A0" w:firstRow="1" w:lastRow="0" w:firstColumn="1" w:lastColumn="0" w:noHBand="0" w:noVBand="1"/>
      </w:tblPr>
      <w:tblGrid>
        <w:gridCol w:w="2147"/>
        <w:gridCol w:w="987"/>
        <w:gridCol w:w="988"/>
        <w:gridCol w:w="988"/>
        <w:gridCol w:w="988"/>
        <w:gridCol w:w="988"/>
        <w:gridCol w:w="988"/>
        <w:gridCol w:w="988"/>
      </w:tblGrid>
      <w:tr w:rsidR="007D13F3" w:rsidRPr="00C77EC4" w:rsidTr="00465CAC">
        <w:trPr>
          <w:trHeight w:hRule="exact" w:val="255"/>
        </w:trPr>
        <w:tc>
          <w:tcPr>
            <w:tcW w:w="1148"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7D13F3" w:rsidRPr="00F6012C" w:rsidRDefault="007D13F3" w:rsidP="00465CAC">
            <w:pP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lastRenderedPageBreak/>
              <w:t>v eurách</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F6012C" w:rsidRDefault="007D13F3" w:rsidP="00465CAC">
            <w:pPr>
              <w:jc w:val="cente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2015 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F6012C" w:rsidRDefault="007D13F3" w:rsidP="00465CAC">
            <w:pPr>
              <w:jc w:val="cente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2016 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F6012C" w:rsidRDefault="007D13F3" w:rsidP="00465CAC">
            <w:pPr>
              <w:jc w:val="cente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2017 R</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F6012C" w:rsidRDefault="007D13F3" w:rsidP="00465CAC">
            <w:pPr>
              <w:jc w:val="cente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2017 OS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F6012C" w:rsidRDefault="007D13F3" w:rsidP="00465CAC">
            <w:pPr>
              <w:jc w:val="cente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2018 N</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F6012C" w:rsidRDefault="007D13F3" w:rsidP="00465CAC">
            <w:pPr>
              <w:jc w:val="cente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2019 N</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F6012C" w:rsidRDefault="007D13F3" w:rsidP="00465CAC">
            <w:pPr>
              <w:jc w:val="cente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2020 N</w:t>
            </w:r>
          </w:p>
        </w:tc>
      </w:tr>
      <w:tr w:rsidR="007D13F3" w:rsidRPr="00C77EC4" w:rsidTr="00465CAC">
        <w:trPr>
          <w:trHeight w:hRule="exact" w:val="255"/>
        </w:trPr>
        <w:tc>
          <w:tcPr>
            <w:tcW w:w="1148"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7D13F3" w:rsidRPr="00F6012C" w:rsidRDefault="007D13F3" w:rsidP="00465CAC">
            <w:pPr>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Výdavky ŠR na organizácie spolu</w:t>
            </w:r>
          </w:p>
        </w:tc>
        <w:tc>
          <w:tcPr>
            <w:tcW w:w="550" w:type="pct"/>
            <w:tcBorders>
              <w:top w:val="single" w:sz="4" w:space="0" w:color="auto"/>
              <w:left w:val="nil"/>
              <w:bottom w:val="single" w:sz="4" w:space="0" w:color="auto"/>
              <w:right w:val="single" w:sz="4" w:space="0" w:color="auto"/>
            </w:tcBorders>
            <w:shd w:val="pct25" w:color="auto" w:fill="auto"/>
            <w:vAlign w:val="bottom"/>
            <w:hideMark/>
          </w:tcPr>
          <w:p w:rsidR="007D13F3" w:rsidRPr="00F6012C" w:rsidRDefault="007D13F3" w:rsidP="00465CAC">
            <w:pPr>
              <w:jc w:val="right"/>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13 954 754</w:t>
            </w:r>
          </w:p>
        </w:tc>
        <w:tc>
          <w:tcPr>
            <w:tcW w:w="550" w:type="pct"/>
            <w:tcBorders>
              <w:top w:val="single" w:sz="4" w:space="0" w:color="auto"/>
              <w:left w:val="nil"/>
              <w:bottom w:val="single" w:sz="4" w:space="0" w:color="auto"/>
              <w:right w:val="single" w:sz="4" w:space="0" w:color="auto"/>
            </w:tcBorders>
            <w:shd w:val="pct25" w:color="auto" w:fill="auto"/>
            <w:vAlign w:val="bottom"/>
            <w:hideMark/>
          </w:tcPr>
          <w:p w:rsidR="007D13F3" w:rsidRPr="00F6012C" w:rsidRDefault="007D13F3" w:rsidP="00465CAC">
            <w:pPr>
              <w:jc w:val="right"/>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13 381 808</w:t>
            </w:r>
          </w:p>
        </w:tc>
        <w:tc>
          <w:tcPr>
            <w:tcW w:w="550" w:type="pct"/>
            <w:tcBorders>
              <w:top w:val="single" w:sz="4" w:space="0" w:color="auto"/>
              <w:left w:val="nil"/>
              <w:bottom w:val="single" w:sz="4" w:space="0" w:color="auto"/>
              <w:right w:val="single" w:sz="4" w:space="0" w:color="auto"/>
            </w:tcBorders>
            <w:shd w:val="pct25" w:color="auto" w:fill="auto"/>
            <w:vAlign w:val="bottom"/>
            <w:hideMark/>
          </w:tcPr>
          <w:p w:rsidR="007D13F3" w:rsidRPr="00F6012C" w:rsidRDefault="007D13F3" w:rsidP="00465CAC">
            <w:pPr>
              <w:jc w:val="right"/>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11 523 224</w:t>
            </w:r>
          </w:p>
        </w:tc>
        <w:tc>
          <w:tcPr>
            <w:tcW w:w="550" w:type="pct"/>
            <w:tcBorders>
              <w:top w:val="single" w:sz="4" w:space="0" w:color="auto"/>
              <w:left w:val="nil"/>
              <w:bottom w:val="single" w:sz="4" w:space="0" w:color="auto"/>
              <w:right w:val="single" w:sz="4" w:space="0" w:color="auto"/>
            </w:tcBorders>
            <w:shd w:val="pct25" w:color="auto" w:fill="auto"/>
            <w:vAlign w:val="bottom"/>
            <w:hideMark/>
          </w:tcPr>
          <w:p w:rsidR="007D13F3" w:rsidRPr="00F6012C" w:rsidRDefault="007D13F3" w:rsidP="00465CAC">
            <w:pPr>
              <w:jc w:val="right"/>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14 049 362</w:t>
            </w:r>
          </w:p>
        </w:tc>
        <w:tc>
          <w:tcPr>
            <w:tcW w:w="550" w:type="pct"/>
            <w:tcBorders>
              <w:top w:val="single" w:sz="4" w:space="0" w:color="auto"/>
              <w:left w:val="nil"/>
              <w:bottom w:val="single" w:sz="4" w:space="0" w:color="auto"/>
              <w:right w:val="single" w:sz="4" w:space="0" w:color="auto"/>
            </w:tcBorders>
            <w:shd w:val="pct25" w:color="auto" w:fill="auto"/>
            <w:vAlign w:val="bottom"/>
            <w:hideMark/>
          </w:tcPr>
          <w:p w:rsidR="007D13F3" w:rsidRPr="00F6012C" w:rsidRDefault="007D13F3" w:rsidP="00465CAC">
            <w:pPr>
              <w:jc w:val="right"/>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12 230 408</w:t>
            </w:r>
          </w:p>
        </w:tc>
        <w:tc>
          <w:tcPr>
            <w:tcW w:w="550" w:type="pct"/>
            <w:tcBorders>
              <w:top w:val="single" w:sz="4" w:space="0" w:color="auto"/>
              <w:left w:val="nil"/>
              <w:bottom w:val="single" w:sz="4" w:space="0" w:color="auto"/>
              <w:right w:val="single" w:sz="4" w:space="0" w:color="auto"/>
            </w:tcBorders>
            <w:shd w:val="pct25" w:color="auto" w:fill="auto"/>
            <w:vAlign w:val="bottom"/>
            <w:hideMark/>
          </w:tcPr>
          <w:p w:rsidR="007D13F3" w:rsidRPr="00F6012C" w:rsidRDefault="007D13F3" w:rsidP="00465CAC">
            <w:pPr>
              <w:jc w:val="right"/>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12 175 818</w:t>
            </w:r>
          </w:p>
        </w:tc>
        <w:tc>
          <w:tcPr>
            <w:tcW w:w="550" w:type="pct"/>
            <w:tcBorders>
              <w:top w:val="single" w:sz="4" w:space="0" w:color="auto"/>
              <w:left w:val="nil"/>
              <w:bottom w:val="single" w:sz="4" w:space="0" w:color="auto"/>
              <w:right w:val="single" w:sz="4" w:space="0" w:color="auto"/>
            </w:tcBorders>
            <w:shd w:val="pct25" w:color="auto" w:fill="auto"/>
            <w:vAlign w:val="bottom"/>
            <w:hideMark/>
          </w:tcPr>
          <w:p w:rsidR="007D13F3" w:rsidRPr="00F6012C" w:rsidRDefault="007D13F3" w:rsidP="00465CAC">
            <w:pPr>
              <w:jc w:val="right"/>
              <w:rPr>
                <w:rFonts w:ascii="Times New Roman" w:hAnsi="Times New Roman" w:cs="Times New Roman"/>
                <w:b/>
                <w:bCs/>
                <w:sz w:val="14"/>
                <w:szCs w:val="14"/>
                <w:lang w:eastAsia="sk-SK"/>
              </w:rPr>
            </w:pPr>
            <w:r w:rsidRPr="00F6012C">
              <w:rPr>
                <w:rFonts w:ascii="Times New Roman" w:hAnsi="Times New Roman" w:cs="Times New Roman"/>
                <w:b/>
                <w:bCs/>
                <w:sz w:val="14"/>
                <w:szCs w:val="14"/>
                <w:lang w:eastAsia="sk-SK"/>
              </w:rPr>
              <w:t>12 150 418</w:t>
            </w:r>
          </w:p>
        </w:tc>
      </w:tr>
      <w:tr w:rsidR="007D13F3" w:rsidRPr="00F6012C" w:rsidTr="00465CAC">
        <w:trPr>
          <w:trHeight w:hRule="exact" w:val="255"/>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F6012C" w:rsidRDefault="007D13F3" w:rsidP="00465CAC">
            <w:pPr>
              <w:rPr>
                <w:rFonts w:ascii="Times New Roman" w:hAnsi="Times New Roman" w:cs="Times New Roman"/>
                <w:sz w:val="14"/>
                <w:szCs w:val="14"/>
                <w:lang w:eastAsia="sk-SK"/>
              </w:rPr>
            </w:pPr>
            <w:r w:rsidRPr="00F6012C">
              <w:rPr>
                <w:rFonts w:ascii="Times New Roman" w:hAnsi="Times New Roman" w:cs="Times New Roman"/>
                <w:sz w:val="14"/>
                <w:szCs w:val="14"/>
                <w:lang w:eastAsia="sk-SK"/>
              </w:rPr>
              <w:t>SFK Bratislava, Košice, Zvolen</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4 602 384</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0</w:t>
            </w:r>
          </w:p>
        </w:tc>
      </w:tr>
      <w:tr w:rsidR="007D13F3" w:rsidRPr="00F6012C" w:rsidTr="00465CAC">
        <w:trPr>
          <w:trHeight w:hRule="exact" w:val="255"/>
        </w:trPr>
        <w:tc>
          <w:tcPr>
            <w:tcW w:w="1148"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F6012C" w:rsidRDefault="007D13F3" w:rsidP="00465CAC">
            <w:pPr>
              <w:rPr>
                <w:rFonts w:ascii="Times New Roman" w:hAnsi="Times New Roman" w:cs="Times New Roman"/>
                <w:sz w:val="14"/>
                <w:szCs w:val="14"/>
                <w:lang w:eastAsia="sk-SK"/>
              </w:rPr>
            </w:pPr>
            <w:r w:rsidRPr="00F6012C">
              <w:rPr>
                <w:rFonts w:ascii="Times New Roman" w:hAnsi="Times New Roman" w:cs="Times New Roman"/>
                <w:sz w:val="14"/>
                <w:szCs w:val="14"/>
                <w:lang w:eastAsia="sk-SK"/>
              </w:rPr>
              <w:t>Úrad vládneho auditu</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3 332 694</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4 154 597</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5 840 721</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4 335 624</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4 281 034</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4 255 634</w:t>
            </w:r>
          </w:p>
        </w:tc>
      </w:tr>
      <w:tr w:rsidR="007D13F3" w:rsidRPr="00F6012C" w:rsidTr="00465CAC">
        <w:trPr>
          <w:trHeight w:hRule="exact" w:val="255"/>
        </w:trPr>
        <w:tc>
          <w:tcPr>
            <w:tcW w:w="1148"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F6012C" w:rsidRDefault="007D13F3" w:rsidP="00465CAC">
            <w:pPr>
              <w:rPr>
                <w:rFonts w:ascii="Times New Roman" w:hAnsi="Times New Roman" w:cs="Times New Roman"/>
                <w:sz w:val="14"/>
                <w:szCs w:val="14"/>
                <w:lang w:eastAsia="sk-SK"/>
              </w:rPr>
            </w:pPr>
            <w:r w:rsidRPr="00F6012C">
              <w:rPr>
                <w:rFonts w:ascii="Times New Roman" w:hAnsi="Times New Roman" w:cs="Times New Roman"/>
                <w:sz w:val="14"/>
                <w:szCs w:val="14"/>
                <w:lang w:eastAsia="sk-SK"/>
              </w:rPr>
              <w:t>VZD Tatranská Lomnica</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893 314</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1 367 773</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820 744</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1 173 750</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946 598</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946 598</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946 598</w:t>
            </w:r>
          </w:p>
        </w:tc>
      </w:tr>
      <w:tr w:rsidR="007D13F3" w:rsidRPr="00F6012C" w:rsidTr="00465CAC">
        <w:trPr>
          <w:trHeight w:hRule="exact" w:val="255"/>
        </w:trPr>
        <w:tc>
          <w:tcPr>
            <w:tcW w:w="1148"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F6012C" w:rsidRDefault="007D13F3" w:rsidP="00465CAC">
            <w:pPr>
              <w:rPr>
                <w:rFonts w:ascii="Times New Roman" w:hAnsi="Times New Roman" w:cs="Times New Roman"/>
                <w:sz w:val="14"/>
                <w:szCs w:val="14"/>
                <w:lang w:eastAsia="sk-SK"/>
              </w:rPr>
            </w:pPr>
            <w:r w:rsidRPr="00F6012C">
              <w:rPr>
                <w:rFonts w:ascii="Times New Roman" w:hAnsi="Times New Roman" w:cs="Times New Roman"/>
                <w:sz w:val="14"/>
                <w:szCs w:val="14"/>
                <w:lang w:eastAsia="sk-SK"/>
              </w:rPr>
              <w:t>ARDAL</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1 350 149</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1 486 551</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1 053 653</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1 238 867</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1 097 901</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1 097 901</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1 097 901</w:t>
            </w:r>
          </w:p>
        </w:tc>
      </w:tr>
      <w:tr w:rsidR="007D13F3" w:rsidRPr="00F6012C" w:rsidTr="00465CAC">
        <w:trPr>
          <w:trHeight w:hRule="exact" w:val="255"/>
        </w:trPr>
        <w:tc>
          <w:tcPr>
            <w:tcW w:w="1148"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F6012C" w:rsidRDefault="007D13F3" w:rsidP="00465CAC">
            <w:pPr>
              <w:rPr>
                <w:rFonts w:ascii="Times New Roman" w:hAnsi="Times New Roman" w:cs="Times New Roman"/>
                <w:sz w:val="14"/>
                <w:szCs w:val="14"/>
                <w:lang w:eastAsia="sk-SK"/>
              </w:rPr>
            </w:pPr>
            <w:r w:rsidRPr="00F6012C">
              <w:rPr>
                <w:rFonts w:ascii="Times New Roman" w:hAnsi="Times New Roman" w:cs="Times New Roman"/>
                <w:sz w:val="14"/>
                <w:szCs w:val="14"/>
                <w:lang w:eastAsia="sk-SK"/>
              </w:rPr>
              <w:t>Štátna pokladnica</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3 006 017</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2 932 706</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2 577 567</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2 810 559</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2 714 588</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2 714 588</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2 714 588</w:t>
            </w:r>
          </w:p>
        </w:tc>
      </w:tr>
      <w:tr w:rsidR="007D13F3" w:rsidRPr="00F6012C" w:rsidTr="00465CAC">
        <w:trPr>
          <w:trHeight w:hRule="exact" w:val="255"/>
        </w:trPr>
        <w:tc>
          <w:tcPr>
            <w:tcW w:w="1148"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F6012C" w:rsidRDefault="007D13F3" w:rsidP="00465CAC">
            <w:pPr>
              <w:rPr>
                <w:rFonts w:ascii="Times New Roman" w:hAnsi="Times New Roman" w:cs="Times New Roman"/>
                <w:sz w:val="14"/>
                <w:szCs w:val="14"/>
                <w:lang w:eastAsia="sk-SK"/>
              </w:rPr>
            </w:pPr>
            <w:proofErr w:type="spellStart"/>
            <w:r w:rsidRPr="00F6012C">
              <w:rPr>
                <w:rFonts w:ascii="Times New Roman" w:hAnsi="Times New Roman" w:cs="Times New Roman"/>
                <w:sz w:val="14"/>
                <w:szCs w:val="14"/>
                <w:lang w:eastAsia="sk-SK"/>
              </w:rPr>
              <w:t>DataCentrum</w:t>
            </w:r>
            <w:proofErr w:type="spellEnd"/>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4 102 890</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4 262 084</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2 916 663</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2 985 465</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3 135 697</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3 135 697</w:t>
            </w:r>
          </w:p>
        </w:tc>
        <w:tc>
          <w:tcPr>
            <w:tcW w:w="550" w:type="pct"/>
            <w:tcBorders>
              <w:top w:val="nil"/>
              <w:left w:val="nil"/>
              <w:bottom w:val="single" w:sz="4" w:space="0" w:color="auto"/>
              <w:right w:val="single" w:sz="4" w:space="0" w:color="auto"/>
            </w:tcBorders>
            <w:shd w:val="clear" w:color="auto" w:fill="auto"/>
            <w:vAlign w:val="bottom"/>
            <w:hideMark/>
          </w:tcPr>
          <w:p w:rsidR="007D13F3" w:rsidRPr="00F6012C" w:rsidRDefault="007D13F3" w:rsidP="00465CAC">
            <w:pPr>
              <w:jc w:val="right"/>
              <w:rPr>
                <w:rFonts w:ascii="Times New Roman" w:hAnsi="Times New Roman" w:cs="Times New Roman"/>
                <w:sz w:val="14"/>
                <w:szCs w:val="14"/>
                <w:lang w:eastAsia="sk-SK"/>
              </w:rPr>
            </w:pPr>
            <w:r w:rsidRPr="00F6012C">
              <w:rPr>
                <w:rFonts w:ascii="Times New Roman" w:hAnsi="Times New Roman" w:cs="Times New Roman"/>
                <w:sz w:val="14"/>
                <w:szCs w:val="14"/>
                <w:lang w:eastAsia="sk-SK"/>
              </w:rPr>
              <w:t>3 135 697</w:t>
            </w:r>
          </w:p>
        </w:tc>
      </w:tr>
    </w:tbl>
    <w:p w:rsidR="009C37FC" w:rsidRDefault="007D13F3" w:rsidP="009C37FC">
      <w:pPr>
        <w:jc w:val="both"/>
        <w:rPr>
          <w:rFonts w:ascii="Times New Roman" w:eastAsiaTheme="minorHAnsi" w:hAnsi="Times New Roman" w:cs="Times New Roman"/>
          <w:lang w:eastAsia="en-US"/>
        </w:rPr>
      </w:pPr>
      <w:r w:rsidRPr="00C77EC4">
        <w:rPr>
          <w:rFonts w:ascii="Times New Roman" w:hAnsi="Times New Roman" w:cs="Times New Roman"/>
          <w:noProof/>
          <w:lang w:eastAsia="sk-SK"/>
        </w:rPr>
        <w:t xml:space="preserve"> </w:t>
      </w:r>
      <w:r w:rsidRPr="00C77EC4">
        <w:rPr>
          <w:rFonts w:ascii="Times New Roman" w:eastAsiaTheme="minorHAnsi" w:hAnsi="Times New Roman" w:cs="Times New Roman"/>
          <w:lang w:eastAsia="en-US"/>
        </w:rPr>
        <w:tab/>
      </w:r>
    </w:p>
    <w:p w:rsidR="007D13F3" w:rsidRDefault="007D13F3" w:rsidP="009C37FC">
      <w:pPr>
        <w:ind w:firstLine="708"/>
        <w:jc w:val="both"/>
        <w:rPr>
          <w:rFonts w:ascii="Times New Roman" w:hAnsi="Times New Roman" w:cs="Times New Roman"/>
          <w:noProof/>
          <w:szCs w:val="22"/>
          <w:lang w:eastAsia="sk-SK"/>
        </w:rPr>
      </w:pPr>
      <w:r w:rsidRPr="00C77EC4">
        <w:rPr>
          <w:rFonts w:ascii="Times New Roman" w:eastAsiaTheme="minorHAnsi" w:hAnsi="Times New Roman" w:cs="Times New Roman"/>
          <w:lang w:eastAsia="en-US"/>
        </w:rPr>
        <w:t xml:space="preserve">Výdavky na prevádzku organizácií, okrem </w:t>
      </w:r>
      <w:r w:rsidR="009906A2">
        <w:rPr>
          <w:rFonts w:ascii="Times New Roman" w:eastAsiaTheme="minorHAnsi" w:hAnsi="Times New Roman" w:cs="Times New Roman"/>
          <w:lang w:eastAsia="en-US"/>
        </w:rPr>
        <w:t xml:space="preserve">Finančného riaditeľstva </w:t>
      </w:r>
      <w:r w:rsidRPr="00C77EC4">
        <w:rPr>
          <w:rFonts w:ascii="Times New Roman" w:eastAsiaTheme="minorHAnsi" w:hAnsi="Times New Roman" w:cs="Times New Roman"/>
          <w:lang w:eastAsia="en-US"/>
        </w:rPr>
        <w:t>SR a úradu MF SR, v roku 2018 predstavujú 12,2 mil. eur a medziročne rastú o 707 tis. eur, čo je 6,14 %</w:t>
      </w:r>
      <w:r w:rsidR="00F358AE">
        <w:rPr>
          <w:rFonts w:ascii="Times New Roman" w:eastAsiaTheme="minorHAnsi" w:hAnsi="Times New Roman" w:cs="Times New Roman"/>
          <w:lang w:eastAsia="en-US"/>
        </w:rPr>
        <w:t>,</w:t>
      </w:r>
      <w:r w:rsidRPr="00C77EC4">
        <w:rPr>
          <w:rFonts w:ascii="Times New Roman" w:eastAsiaTheme="minorHAnsi" w:hAnsi="Times New Roman" w:cs="Times New Roman"/>
          <w:lang w:eastAsia="en-US"/>
        </w:rPr>
        <w:t xml:space="preserve"> najmä </w:t>
      </w:r>
      <w:r w:rsidRPr="00C77EC4">
        <w:rPr>
          <w:rFonts w:ascii="Times New Roman" w:hAnsi="Times New Roman" w:cs="Times New Roman"/>
          <w:noProof/>
          <w:szCs w:val="22"/>
          <w:lang w:eastAsia="sk-SK"/>
        </w:rPr>
        <w:t xml:space="preserve">z dôvodu valorizácie platov zamestnacov z roku 2017. </w:t>
      </w:r>
      <w:r w:rsidR="009906A2">
        <w:rPr>
          <w:rFonts w:ascii="Times New Roman" w:hAnsi="Times New Roman" w:cs="Times New Roman"/>
          <w:noProof/>
          <w:szCs w:val="22"/>
          <w:lang w:eastAsia="sk-SK"/>
        </w:rPr>
        <w:t xml:space="preserve"> </w:t>
      </w:r>
    </w:p>
    <w:p w:rsidR="007D13F3" w:rsidRPr="00C77EC4" w:rsidRDefault="007D13F3" w:rsidP="007D13F3">
      <w:pPr>
        <w:jc w:val="both"/>
        <w:rPr>
          <w:rFonts w:ascii="Times New Roman" w:hAnsi="Times New Roman" w:cs="Times New Roman"/>
          <w:noProof/>
          <w:szCs w:val="22"/>
          <w:lang w:eastAsia="sk-SK"/>
        </w:rPr>
      </w:pPr>
    </w:p>
    <w:tbl>
      <w:tblPr>
        <w:tblW w:w="5000" w:type="pct"/>
        <w:tblCellMar>
          <w:left w:w="70" w:type="dxa"/>
          <w:right w:w="70" w:type="dxa"/>
        </w:tblCellMar>
        <w:tblLook w:val="04A0" w:firstRow="1" w:lastRow="0" w:firstColumn="1" w:lastColumn="0" w:noHBand="0" w:noVBand="1"/>
      </w:tblPr>
      <w:tblGrid>
        <w:gridCol w:w="2411"/>
        <w:gridCol w:w="950"/>
        <w:gridCol w:w="950"/>
        <w:gridCol w:w="950"/>
        <w:gridCol w:w="950"/>
        <w:gridCol w:w="950"/>
        <w:gridCol w:w="950"/>
        <w:gridCol w:w="951"/>
      </w:tblGrid>
      <w:tr w:rsidR="007D13F3" w:rsidRPr="00CA254D" w:rsidTr="00465CAC">
        <w:trPr>
          <w:trHeight w:hRule="exact" w:val="255"/>
        </w:trPr>
        <w:tc>
          <w:tcPr>
            <w:tcW w:w="1148"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7D13F3" w:rsidRPr="00CA254D" w:rsidRDefault="007D13F3" w:rsidP="00465CAC">
            <w:pPr>
              <w:rPr>
                <w:rFonts w:ascii="Times New Roman" w:hAnsi="Times New Roman" w:cs="Times New Roman"/>
                <w:b/>
                <w:bCs/>
                <w:sz w:val="14"/>
                <w:szCs w:val="14"/>
                <w:lang w:eastAsia="sk-SK"/>
              </w:rPr>
            </w:pPr>
            <w:r w:rsidRPr="00CA254D">
              <w:rPr>
                <w:rFonts w:ascii="Times New Roman" w:hAnsi="Times New Roman" w:cs="Times New Roman"/>
                <w:b/>
                <w:bCs/>
                <w:sz w:val="14"/>
                <w:szCs w:val="14"/>
                <w:lang w:eastAsia="sk-SK"/>
              </w:rPr>
              <w:t>v eurách</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A254D" w:rsidRDefault="007D13F3" w:rsidP="00465CAC">
            <w:pPr>
              <w:jc w:val="center"/>
              <w:rPr>
                <w:rFonts w:ascii="Times New Roman" w:hAnsi="Times New Roman" w:cs="Times New Roman"/>
                <w:b/>
                <w:bCs/>
                <w:sz w:val="14"/>
                <w:szCs w:val="14"/>
                <w:lang w:eastAsia="sk-SK"/>
              </w:rPr>
            </w:pPr>
            <w:r w:rsidRPr="00CA254D">
              <w:rPr>
                <w:rFonts w:ascii="Times New Roman" w:hAnsi="Times New Roman" w:cs="Times New Roman"/>
                <w:b/>
                <w:bCs/>
                <w:sz w:val="14"/>
                <w:szCs w:val="14"/>
                <w:lang w:eastAsia="sk-SK"/>
              </w:rPr>
              <w:t>2015 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A254D" w:rsidRDefault="007D13F3" w:rsidP="00465CAC">
            <w:pPr>
              <w:jc w:val="center"/>
              <w:rPr>
                <w:rFonts w:ascii="Times New Roman" w:hAnsi="Times New Roman" w:cs="Times New Roman"/>
                <w:b/>
                <w:bCs/>
                <w:sz w:val="14"/>
                <w:szCs w:val="14"/>
                <w:lang w:eastAsia="sk-SK"/>
              </w:rPr>
            </w:pPr>
            <w:r w:rsidRPr="00CA254D">
              <w:rPr>
                <w:rFonts w:ascii="Times New Roman" w:hAnsi="Times New Roman" w:cs="Times New Roman"/>
                <w:b/>
                <w:bCs/>
                <w:sz w:val="14"/>
                <w:szCs w:val="14"/>
                <w:lang w:eastAsia="sk-SK"/>
              </w:rPr>
              <w:t>2016 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A254D" w:rsidRDefault="007D13F3" w:rsidP="00465CAC">
            <w:pPr>
              <w:jc w:val="center"/>
              <w:rPr>
                <w:rFonts w:ascii="Times New Roman" w:hAnsi="Times New Roman" w:cs="Times New Roman"/>
                <w:b/>
                <w:bCs/>
                <w:sz w:val="14"/>
                <w:szCs w:val="14"/>
                <w:lang w:eastAsia="sk-SK"/>
              </w:rPr>
            </w:pPr>
            <w:r w:rsidRPr="00CA254D">
              <w:rPr>
                <w:rFonts w:ascii="Times New Roman" w:hAnsi="Times New Roman" w:cs="Times New Roman"/>
                <w:b/>
                <w:bCs/>
                <w:sz w:val="14"/>
                <w:szCs w:val="14"/>
                <w:lang w:eastAsia="sk-SK"/>
              </w:rPr>
              <w:t>2017 R</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A254D" w:rsidRDefault="007D13F3" w:rsidP="00465CAC">
            <w:pPr>
              <w:jc w:val="center"/>
              <w:rPr>
                <w:rFonts w:ascii="Times New Roman" w:hAnsi="Times New Roman" w:cs="Times New Roman"/>
                <w:b/>
                <w:bCs/>
                <w:sz w:val="14"/>
                <w:szCs w:val="14"/>
                <w:lang w:eastAsia="sk-SK"/>
              </w:rPr>
            </w:pPr>
            <w:r w:rsidRPr="00CA254D">
              <w:rPr>
                <w:rFonts w:ascii="Times New Roman" w:hAnsi="Times New Roman" w:cs="Times New Roman"/>
                <w:b/>
                <w:bCs/>
                <w:sz w:val="14"/>
                <w:szCs w:val="14"/>
                <w:lang w:eastAsia="sk-SK"/>
              </w:rPr>
              <w:t>2017 OS</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A254D" w:rsidRDefault="007D13F3" w:rsidP="00465CAC">
            <w:pPr>
              <w:jc w:val="center"/>
              <w:rPr>
                <w:rFonts w:ascii="Times New Roman" w:hAnsi="Times New Roman" w:cs="Times New Roman"/>
                <w:b/>
                <w:bCs/>
                <w:sz w:val="14"/>
                <w:szCs w:val="14"/>
                <w:lang w:eastAsia="sk-SK"/>
              </w:rPr>
            </w:pPr>
            <w:r w:rsidRPr="00CA254D">
              <w:rPr>
                <w:rFonts w:ascii="Times New Roman" w:hAnsi="Times New Roman" w:cs="Times New Roman"/>
                <w:b/>
                <w:bCs/>
                <w:sz w:val="14"/>
                <w:szCs w:val="14"/>
                <w:lang w:eastAsia="sk-SK"/>
              </w:rPr>
              <w:t>2018 N</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A254D" w:rsidRDefault="007D13F3" w:rsidP="00465CAC">
            <w:pPr>
              <w:jc w:val="center"/>
              <w:rPr>
                <w:rFonts w:ascii="Times New Roman" w:hAnsi="Times New Roman" w:cs="Times New Roman"/>
                <w:b/>
                <w:bCs/>
                <w:sz w:val="14"/>
                <w:szCs w:val="14"/>
                <w:lang w:eastAsia="sk-SK"/>
              </w:rPr>
            </w:pPr>
            <w:r w:rsidRPr="00CA254D">
              <w:rPr>
                <w:rFonts w:ascii="Times New Roman" w:hAnsi="Times New Roman" w:cs="Times New Roman"/>
                <w:b/>
                <w:bCs/>
                <w:sz w:val="14"/>
                <w:szCs w:val="14"/>
                <w:lang w:eastAsia="sk-SK"/>
              </w:rPr>
              <w:t>2019 N</w:t>
            </w:r>
          </w:p>
        </w:tc>
        <w:tc>
          <w:tcPr>
            <w:tcW w:w="550"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CA254D" w:rsidRDefault="007D13F3" w:rsidP="00465CAC">
            <w:pPr>
              <w:jc w:val="center"/>
              <w:rPr>
                <w:rFonts w:ascii="Times New Roman" w:hAnsi="Times New Roman" w:cs="Times New Roman"/>
                <w:b/>
                <w:bCs/>
                <w:sz w:val="14"/>
                <w:szCs w:val="14"/>
                <w:lang w:eastAsia="sk-SK"/>
              </w:rPr>
            </w:pPr>
            <w:r w:rsidRPr="00CA254D">
              <w:rPr>
                <w:rFonts w:ascii="Times New Roman" w:hAnsi="Times New Roman" w:cs="Times New Roman"/>
                <w:b/>
                <w:bCs/>
                <w:sz w:val="14"/>
                <w:szCs w:val="14"/>
                <w:lang w:eastAsia="sk-SK"/>
              </w:rPr>
              <w:t>2020 N</w:t>
            </w:r>
          </w:p>
        </w:tc>
      </w:tr>
      <w:tr w:rsidR="007D13F3" w:rsidRPr="00CA254D" w:rsidTr="00465CAC">
        <w:trPr>
          <w:trHeight w:hRule="exact" w:val="255"/>
        </w:trPr>
        <w:tc>
          <w:tcPr>
            <w:tcW w:w="1148" w:type="pct"/>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7D13F3" w:rsidRPr="00CA254D" w:rsidRDefault="007D13F3" w:rsidP="00465CAC">
            <w:pPr>
              <w:rPr>
                <w:rFonts w:ascii="Times New Roman" w:hAnsi="Times New Roman" w:cs="Times New Roman"/>
                <w:b/>
                <w:bCs/>
                <w:sz w:val="14"/>
                <w:szCs w:val="14"/>
                <w:lang w:eastAsia="sk-SK"/>
              </w:rPr>
            </w:pPr>
            <w:r w:rsidRPr="00CA254D">
              <w:rPr>
                <w:rFonts w:ascii="Times New Roman" w:hAnsi="Times New Roman" w:cs="Times New Roman"/>
                <w:b/>
                <w:bCs/>
                <w:sz w:val="14"/>
                <w:szCs w:val="14"/>
                <w:lang w:eastAsia="sk-SK"/>
              </w:rPr>
              <w:t>Úrad MF SR</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A254D" w:rsidRDefault="007D13F3" w:rsidP="00465CAC">
            <w:pPr>
              <w:jc w:val="right"/>
              <w:rPr>
                <w:rFonts w:ascii="Times New Roman" w:hAnsi="Times New Roman" w:cs="Times New Roman"/>
                <w:b/>
                <w:bCs/>
                <w:sz w:val="14"/>
                <w:szCs w:val="14"/>
                <w:lang w:eastAsia="sk-SK"/>
              </w:rPr>
            </w:pPr>
            <w:r w:rsidRPr="00CA254D">
              <w:rPr>
                <w:rFonts w:ascii="Times New Roman" w:hAnsi="Times New Roman" w:cs="Times New Roman"/>
                <w:b/>
                <w:bCs/>
                <w:sz w:val="14"/>
                <w:szCs w:val="14"/>
                <w:lang w:eastAsia="sk-SK"/>
              </w:rPr>
              <w:t>57 461 330</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A254D" w:rsidRDefault="007D13F3" w:rsidP="00465CAC">
            <w:pPr>
              <w:jc w:val="right"/>
              <w:rPr>
                <w:rFonts w:ascii="Times New Roman" w:hAnsi="Times New Roman" w:cs="Times New Roman"/>
                <w:b/>
                <w:bCs/>
                <w:sz w:val="14"/>
                <w:szCs w:val="14"/>
                <w:lang w:eastAsia="sk-SK"/>
              </w:rPr>
            </w:pPr>
            <w:r w:rsidRPr="00CA254D">
              <w:rPr>
                <w:rFonts w:ascii="Times New Roman" w:hAnsi="Times New Roman" w:cs="Times New Roman"/>
                <w:b/>
                <w:bCs/>
                <w:sz w:val="14"/>
                <w:szCs w:val="14"/>
                <w:lang w:eastAsia="sk-SK"/>
              </w:rPr>
              <w:t>63 706 289</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A254D" w:rsidRDefault="007D13F3" w:rsidP="00465CAC">
            <w:pPr>
              <w:jc w:val="right"/>
              <w:rPr>
                <w:rFonts w:ascii="Times New Roman" w:hAnsi="Times New Roman" w:cs="Times New Roman"/>
                <w:b/>
                <w:bCs/>
                <w:sz w:val="14"/>
                <w:szCs w:val="14"/>
                <w:lang w:eastAsia="sk-SK"/>
              </w:rPr>
            </w:pPr>
            <w:r w:rsidRPr="00CA254D">
              <w:rPr>
                <w:rFonts w:ascii="Times New Roman" w:hAnsi="Times New Roman" w:cs="Times New Roman"/>
                <w:b/>
                <w:bCs/>
                <w:sz w:val="14"/>
                <w:szCs w:val="14"/>
                <w:lang w:eastAsia="sk-SK"/>
              </w:rPr>
              <w:t>40 452 759</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A254D" w:rsidRDefault="007D13F3" w:rsidP="00465CAC">
            <w:pPr>
              <w:jc w:val="right"/>
              <w:rPr>
                <w:rFonts w:ascii="Times New Roman" w:hAnsi="Times New Roman" w:cs="Times New Roman"/>
                <w:b/>
                <w:bCs/>
                <w:sz w:val="14"/>
                <w:szCs w:val="14"/>
                <w:lang w:eastAsia="sk-SK"/>
              </w:rPr>
            </w:pPr>
            <w:r w:rsidRPr="00CA254D">
              <w:rPr>
                <w:rFonts w:ascii="Times New Roman" w:hAnsi="Times New Roman" w:cs="Times New Roman"/>
                <w:b/>
                <w:bCs/>
                <w:sz w:val="14"/>
                <w:szCs w:val="14"/>
                <w:lang w:eastAsia="sk-SK"/>
              </w:rPr>
              <w:t>48 207 425</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A254D" w:rsidRDefault="007D13F3" w:rsidP="00465CAC">
            <w:pPr>
              <w:jc w:val="right"/>
              <w:rPr>
                <w:rFonts w:ascii="Times New Roman" w:hAnsi="Times New Roman" w:cs="Times New Roman"/>
                <w:b/>
                <w:bCs/>
                <w:sz w:val="14"/>
                <w:szCs w:val="14"/>
                <w:lang w:eastAsia="sk-SK"/>
              </w:rPr>
            </w:pPr>
            <w:r w:rsidRPr="00CA254D">
              <w:rPr>
                <w:rFonts w:ascii="Times New Roman" w:hAnsi="Times New Roman" w:cs="Times New Roman"/>
                <w:b/>
                <w:bCs/>
                <w:sz w:val="14"/>
                <w:szCs w:val="14"/>
                <w:lang w:eastAsia="sk-SK"/>
              </w:rPr>
              <w:t>38 571 439</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A254D" w:rsidRDefault="007D13F3" w:rsidP="00465CAC">
            <w:pPr>
              <w:jc w:val="right"/>
              <w:rPr>
                <w:rFonts w:ascii="Times New Roman" w:hAnsi="Times New Roman" w:cs="Times New Roman"/>
                <w:b/>
                <w:bCs/>
                <w:sz w:val="14"/>
                <w:szCs w:val="14"/>
                <w:lang w:eastAsia="sk-SK"/>
              </w:rPr>
            </w:pPr>
            <w:r w:rsidRPr="00CA254D">
              <w:rPr>
                <w:rFonts w:ascii="Times New Roman" w:hAnsi="Times New Roman" w:cs="Times New Roman"/>
                <w:b/>
                <w:bCs/>
                <w:sz w:val="14"/>
                <w:szCs w:val="14"/>
                <w:lang w:eastAsia="sk-SK"/>
              </w:rPr>
              <w:t>39 115 605</w:t>
            </w:r>
          </w:p>
        </w:tc>
        <w:tc>
          <w:tcPr>
            <w:tcW w:w="550"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CA254D" w:rsidRDefault="007D13F3" w:rsidP="00465CAC">
            <w:pPr>
              <w:jc w:val="right"/>
              <w:rPr>
                <w:rFonts w:ascii="Times New Roman" w:hAnsi="Times New Roman" w:cs="Times New Roman"/>
                <w:b/>
                <w:bCs/>
                <w:sz w:val="14"/>
                <w:szCs w:val="14"/>
                <w:lang w:eastAsia="sk-SK"/>
              </w:rPr>
            </w:pPr>
            <w:r w:rsidRPr="00CA254D">
              <w:rPr>
                <w:rFonts w:ascii="Times New Roman" w:hAnsi="Times New Roman" w:cs="Times New Roman"/>
                <w:b/>
                <w:bCs/>
                <w:sz w:val="14"/>
                <w:szCs w:val="14"/>
                <w:lang w:eastAsia="sk-SK"/>
              </w:rPr>
              <w:t>39 442 655</w:t>
            </w:r>
          </w:p>
        </w:tc>
      </w:tr>
      <w:tr w:rsidR="007D13F3" w:rsidRPr="00CA254D" w:rsidTr="00465CAC">
        <w:trPr>
          <w:trHeight w:hRule="exact" w:val="255"/>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CA254D" w:rsidRDefault="007D13F3" w:rsidP="00465CAC">
            <w:pPr>
              <w:rPr>
                <w:rFonts w:ascii="Times New Roman" w:hAnsi="Times New Roman" w:cs="Times New Roman"/>
                <w:sz w:val="14"/>
                <w:szCs w:val="14"/>
                <w:lang w:eastAsia="sk-SK"/>
              </w:rPr>
            </w:pPr>
            <w:r w:rsidRPr="00CA254D">
              <w:rPr>
                <w:rFonts w:ascii="Times New Roman" w:hAnsi="Times New Roman" w:cs="Times New Roman"/>
                <w:sz w:val="14"/>
                <w:szCs w:val="14"/>
                <w:lang w:eastAsia="sk-SK"/>
              </w:rPr>
              <w:t>výdavky ŠR na  činnosť</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34 945 032</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28 840 752</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39 665 180</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34 380 944</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37 866 791</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38 249 757</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38 479 807</w:t>
            </w:r>
          </w:p>
        </w:tc>
      </w:tr>
      <w:tr w:rsidR="007D13F3" w:rsidRPr="00CA254D" w:rsidTr="00465CAC">
        <w:trPr>
          <w:trHeight w:hRule="exact" w:val="255"/>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CA254D" w:rsidRDefault="007D13F3" w:rsidP="00465CAC">
            <w:pPr>
              <w:rPr>
                <w:rFonts w:ascii="Times New Roman" w:hAnsi="Times New Roman" w:cs="Times New Roman"/>
                <w:sz w:val="14"/>
                <w:szCs w:val="14"/>
                <w:lang w:eastAsia="sk-SK"/>
              </w:rPr>
            </w:pPr>
            <w:r w:rsidRPr="00CA254D">
              <w:rPr>
                <w:rFonts w:ascii="Times New Roman" w:hAnsi="Times New Roman" w:cs="Times New Roman"/>
                <w:sz w:val="14"/>
                <w:szCs w:val="14"/>
                <w:lang w:eastAsia="sk-SK"/>
              </w:rPr>
              <w:t>výdavky ŠR na medzirezortné programy</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1 534 268</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1 289 919</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787 579</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847 738</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704 648</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865 848</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962 848</w:t>
            </w:r>
          </w:p>
        </w:tc>
      </w:tr>
      <w:tr w:rsidR="007D13F3" w:rsidRPr="00CA254D" w:rsidTr="00465CAC">
        <w:trPr>
          <w:trHeight w:hRule="exact" w:val="255"/>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CA254D" w:rsidRDefault="007D13F3" w:rsidP="00465CAC">
            <w:pPr>
              <w:rPr>
                <w:rFonts w:ascii="Times New Roman" w:hAnsi="Times New Roman" w:cs="Times New Roman"/>
                <w:sz w:val="14"/>
                <w:szCs w:val="14"/>
                <w:lang w:eastAsia="sk-SK"/>
              </w:rPr>
            </w:pPr>
            <w:r w:rsidRPr="00CA254D">
              <w:rPr>
                <w:rFonts w:ascii="Times New Roman" w:hAnsi="Times New Roman" w:cs="Times New Roman"/>
                <w:sz w:val="14"/>
                <w:szCs w:val="14"/>
                <w:lang w:eastAsia="sk-SK"/>
              </w:rPr>
              <w:t>výdavky ŠR na arbitráže*</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2 970 067</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7 414 108</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1 620 000</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0</w:t>
            </w:r>
          </w:p>
        </w:tc>
      </w:tr>
      <w:tr w:rsidR="007D13F3" w:rsidRPr="00CA254D" w:rsidTr="00465CAC">
        <w:trPr>
          <w:trHeight w:hRule="exact" w:val="255"/>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CA254D" w:rsidRDefault="007D13F3" w:rsidP="00465CAC">
            <w:pPr>
              <w:rPr>
                <w:rFonts w:ascii="Times New Roman" w:hAnsi="Times New Roman" w:cs="Times New Roman"/>
                <w:sz w:val="14"/>
                <w:szCs w:val="14"/>
                <w:lang w:eastAsia="sk-SK"/>
              </w:rPr>
            </w:pPr>
            <w:r w:rsidRPr="00CA254D">
              <w:rPr>
                <w:rFonts w:ascii="Times New Roman" w:hAnsi="Times New Roman" w:cs="Times New Roman"/>
                <w:sz w:val="14"/>
                <w:szCs w:val="14"/>
                <w:lang w:eastAsia="sk-SK"/>
              </w:rPr>
              <w:t>výdavky ŠR na e-kolky*</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8 496 479</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10 238 293</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10 500 000</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0</w:t>
            </w:r>
          </w:p>
        </w:tc>
      </w:tr>
      <w:tr w:rsidR="007D13F3" w:rsidRPr="00CA254D" w:rsidTr="00465CAC">
        <w:trPr>
          <w:trHeight w:hRule="exact" w:val="255"/>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CA254D" w:rsidRDefault="007D13F3" w:rsidP="00465CAC">
            <w:pPr>
              <w:rPr>
                <w:rFonts w:ascii="Times New Roman" w:hAnsi="Times New Roman" w:cs="Times New Roman"/>
                <w:sz w:val="14"/>
                <w:szCs w:val="14"/>
                <w:lang w:eastAsia="sk-SK"/>
              </w:rPr>
            </w:pPr>
            <w:r w:rsidRPr="00CA254D">
              <w:rPr>
                <w:rFonts w:ascii="Times New Roman" w:hAnsi="Times New Roman" w:cs="Times New Roman"/>
                <w:sz w:val="14"/>
                <w:szCs w:val="14"/>
                <w:lang w:eastAsia="sk-SK"/>
              </w:rPr>
              <w:t>EÚ prostriedky</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7 569 864</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13 146 121</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715 743</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0</w:t>
            </w:r>
          </w:p>
        </w:tc>
      </w:tr>
      <w:tr w:rsidR="007D13F3" w:rsidRPr="00CA254D" w:rsidTr="00465CAC">
        <w:trPr>
          <w:trHeight w:hRule="exact" w:val="255"/>
        </w:trPr>
        <w:tc>
          <w:tcPr>
            <w:tcW w:w="1148" w:type="pct"/>
            <w:tcBorders>
              <w:top w:val="nil"/>
              <w:left w:val="single" w:sz="4" w:space="0" w:color="auto"/>
              <w:bottom w:val="single" w:sz="4" w:space="0" w:color="auto"/>
              <w:right w:val="single" w:sz="4" w:space="0" w:color="auto"/>
            </w:tcBorders>
            <w:shd w:val="clear" w:color="auto" w:fill="auto"/>
            <w:noWrap/>
            <w:vAlign w:val="bottom"/>
            <w:hideMark/>
          </w:tcPr>
          <w:p w:rsidR="007D13F3" w:rsidRPr="00CA254D" w:rsidRDefault="007D13F3" w:rsidP="00465CAC">
            <w:pPr>
              <w:rPr>
                <w:rFonts w:ascii="Times New Roman" w:hAnsi="Times New Roman" w:cs="Times New Roman"/>
                <w:sz w:val="14"/>
                <w:szCs w:val="14"/>
                <w:lang w:eastAsia="sk-SK"/>
              </w:rPr>
            </w:pPr>
            <w:r w:rsidRPr="00CA254D">
              <w:rPr>
                <w:rFonts w:ascii="Times New Roman" w:hAnsi="Times New Roman" w:cs="Times New Roman"/>
                <w:sz w:val="14"/>
                <w:szCs w:val="14"/>
                <w:lang w:eastAsia="sk-SK"/>
              </w:rPr>
              <w:t>spolufinancovanie zo ŠR</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1 945 620</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2 777 095</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143 000</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0</w:t>
            </w:r>
          </w:p>
        </w:tc>
        <w:tc>
          <w:tcPr>
            <w:tcW w:w="550" w:type="pct"/>
            <w:tcBorders>
              <w:top w:val="nil"/>
              <w:left w:val="nil"/>
              <w:bottom w:val="single" w:sz="4" w:space="0" w:color="auto"/>
              <w:right w:val="single" w:sz="4" w:space="0" w:color="auto"/>
            </w:tcBorders>
            <w:shd w:val="clear" w:color="auto" w:fill="auto"/>
            <w:vAlign w:val="bottom"/>
            <w:hideMark/>
          </w:tcPr>
          <w:p w:rsidR="007D13F3" w:rsidRPr="00CA254D" w:rsidRDefault="007D13F3" w:rsidP="00465CAC">
            <w:pPr>
              <w:jc w:val="right"/>
              <w:rPr>
                <w:rFonts w:ascii="Times New Roman" w:hAnsi="Times New Roman" w:cs="Times New Roman"/>
                <w:sz w:val="14"/>
                <w:szCs w:val="14"/>
                <w:lang w:eastAsia="sk-SK"/>
              </w:rPr>
            </w:pPr>
            <w:r w:rsidRPr="00CA254D">
              <w:rPr>
                <w:rFonts w:ascii="Times New Roman" w:hAnsi="Times New Roman" w:cs="Times New Roman"/>
                <w:sz w:val="14"/>
                <w:szCs w:val="14"/>
                <w:lang w:eastAsia="sk-SK"/>
              </w:rPr>
              <w:t>0</w:t>
            </w:r>
          </w:p>
        </w:tc>
      </w:tr>
    </w:tbl>
    <w:p w:rsidR="007D13F3" w:rsidRDefault="007D13F3" w:rsidP="007D13F3">
      <w:pPr>
        <w:spacing w:line="360" w:lineRule="auto"/>
        <w:jc w:val="both"/>
        <w:rPr>
          <w:rFonts w:ascii="Times New Roman" w:hAnsi="Times New Roman" w:cs="Times New Roman"/>
          <w:sz w:val="14"/>
          <w:szCs w:val="14"/>
          <w:lang w:eastAsia="sk-SK"/>
        </w:rPr>
      </w:pPr>
      <w:r w:rsidRPr="00C77EC4">
        <w:rPr>
          <w:rFonts w:ascii="Times New Roman" w:hAnsi="Times New Roman" w:cs="Times New Roman"/>
          <w:sz w:val="14"/>
          <w:szCs w:val="14"/>
          <w:lang w:eastAsia="sk-SK"/>
        </w:rPr>
        <w:t>*rozpočtované v kapitole VPS</w:t>
      </w:r>
    </w:p>
    <w:p w:rsidR="007D13F3" w:rsidRPr="001D4D75" w:rsidRDefault="007D13F3" w:rsidP="009C37FC">
      <w:pPr>
        <w:jc w:val="both"/>
        <w:rPr>
          <w:rFonts w:ascii="Times New Roman" w:hAnsi="Times New Roman" w:cs="Times New Roman"/>
          <w:lang w:eastAsia="sk-SK"/>
        </w:rPr>
      </w:pPr>
    </w:p>
    <w:p w:rsidR="007D13F3" w:rsidRPr="00C77EC4" w:rsidRDefault="007D13F3" w:rsidP="009C37FC">
      <w:pPr>
        <w:ind w:firstLine="708"/>
        <w:jc w:val="both"/>
        <w:rPr>
          <w:rFonts w:ascii="Times New Roman" w:hAnsi="Times New Roman" w:cs="Times New Roman"/>
          <w:noProof/>
          <w:lang w:eastAsia="sk-SK"/>
        </w:rPr>
      </w:pPr>
      <w:r w:rsidRPr="00C77EC4">
        <w:rPr>
          <w:rFonts w:ascii="Times New Roman" w:hAnsi="Times New Roman" w:cs="Times New Roman"/>
          <w:noProof/>
          <w:lang w:eastAsia="sk-SK"/>
        </w:rPr>
        <w:t>Výdavky na úrad MF SR a iné úlohy rezortu sa v roku 2018 rozpočtujú na úrovni</w:t>
      </w:r>
      <w:r w:rsidRPr="00C77EC4">
        <w:rPr>
          <w:rFonts w:ascii="Times New Roman" w:hAnsi="Times New Roman" w:cs="Times New Roman"/>
          <w:noProof/>
          <w:lang w:eastAsia="sk-SK"/>
        </w:rPr>
        <w:br/>
        <w:t xml:space="preserve">38,6 mil. eur, čo predstavuje pokles v sume </w:t>
      </w:r>
      <w:r>
        <w:rPr>
          <w:rFonts w:ascii="Times New Roman" w:hAnsi="Times New Roman" w:cs="Times New Roman"/>
          <w:noProof/>
          <w:lang w:eastAsia="sk-SK"/>
        </w:rPr>
        <w:t>1,88</w:t>
      </w:r>
      <w:r w:rsidRPr="00C77EC4">
        <w:rPr>
          <w:rFonts w:ascii="Times New Roman" w:hAnsi="Times New Roman" w:cs="Times New Roman"/>
          <w:noProof/>
          <w:lang w:eastAsia="sk-SK"/>
        </w:rPr>
        <w:t xml:space="preserve"> mil. eur, t. j. o 4,65 %. Uvedený vývoj výdavkov ovplyvnilo zvýšenie osobných výdavkov z dôvodu valorizácie platov zamestnancov úradu z roku 2017, pri súčasnom poklese výdavkov najmä na všeobecné a špeciálne služby a kapitálové výdavky. Okrem výdavkov na bežnú činnosť úradu sú súčasťou týchto výdavkov výdavky na medzirezortné programy, napr. na Hospodársku mobilizáciu, Príspe</w:t>
      </w:r>
      <w:r w:rsidR="005C6DD3">
        <w:rPr>
          <w:rFonts w:ascii="Times New Roman" w:hAnsi="Times New Roman" w:cs="Times New Roman"/>
          <w:noProof/>
          <w:lang w:eastAsia="sk-SK"/>
        </w:rPr>
        <w:t xml:space="preserve">vky medzinárodným organizáciám </w:t>
      </w:r>
      <w:r w:rsidRPr="00C77EC4">
        <w:rPr>
          <w:rFonts w:ascii="Times New Roman" w:hAnsi="Times New Roman" w:cs="Times New Roman"/>
          <w:noProof/>
          <w:lang w:eastAsia="sk-SK"/>
        </w:rPr>
        <w:t>a tiež výdavky na činnosť Rady pre rozpočtovú zodpovednosť v sume 1,28 mil. eur a transfer pre Úrad pre dohľad nad výkonom auditu v sume 268 tis. eur.</w:t>
      </w:r>
    </w:p>
    <w:p w:rsidR="007D13F3" w:rsidRDefault="007D13F3" w:rsidP="009C37FC">
      <w:pPr>
        <w:spacing w:line="259" w:lineRule="auto"/>
        <w:rPr>
          <w:rFonts w:ascii="Times New Roman" w:hAnsi="Times New Roman" w:cs="Times New Roman"/>
          <w:noProof/>
          <w:lang w:eastAsia="sk-SK"/>
        </w:rPr>
      </w:pPr>
      <w:r>
        <w:rPr>
          <w:rFonts w:ascii="Times New Roman" w:hAnsi="Times New Roman" w:cs="Times New Roman"/>
          <w:noProof/>
          <w:lang w:eastAsia="sk-SK"/>
        </w:rPr>
        <w:br w:type="page"/>
      </w:r>
      <w:r w:rsidR="009C37FC">
        <w:rPr>
          <w:rFonts w:ascii="Times New Roman" w:hAnsi="Times New Roman" w:cs="Times New Roman"/>
          <w:noProof/>
          <w:lang w:eastAsia="sk-SK"/>
        </w:rPr>
        <w:lastRenderedPageBreak/>
        <w:t xml:space="preserve"> </w:t>
      </w:r>
    </w:p>
    <w:p w:rsidR="007D13F3" w:rsidRPr="00900C84" w:rsidRDefault="007D13F3" w:rsidP="007D13F3">
      <w:pPr>
        <w:pStyle w:val="Nadpis5"/>
        <w:pBdr>
          <w:bottom w:val="single" w:sz="4" w:space="1" w:color="auto"/>
        </w:pBdr>
        <w:spacing w:before="0" w:after="0"/>
        <w:ind w:left="0"/>
        <w:rPr>
          <w:i w:val="0"/>
          <w:sz w:val="24"/>
        </w:rPr>
      </w:pPr>
      <w:bookmarkStart w:id="105" w:name="_Toc400551764"/>
      <w:bookmarkStart w:id="106" w:name="_Toc494470099"/>
      <w:bookmarkStart w:id="107" w:name="_Toc494472275"/>
      <w:r w:rsidRPr="0003125D">
        <w:rPr>
          <w:i w:val="0"/>
          <w:sz w:val="24"/>
        </w:rPr>
        <w:t>Ministerstvo kultúry SR</w:t>
      </w:r>
      <w:bookmarkEnd w:id="105"/>
      <w:bookmarkEnd w:id="106"/>
      <w:bookmarkEnd w:id="107"/>
    </w:p>
    <w:p w:rsidR="007D13F3" w:rsidRDefault="007D13F3" w:rsidP="007D13F3"/>
    <w:tbl>
      <w:tblPr>
        <w:tblW w:w="5000" w:type="pct"/>
        <w:tblCellMar>
          <w:left w:w="70" w:type="dxa"/>
          <w:right w:w="70" w:type="dxa"/>
        </w:tblCellMar>
        <w:tblLook w:val="04A0" w:firstRow="1" w:lastRow="0" w:firstColumn="1" w:lastColumn="0" w:noHBand="0" w:noVBand="1"/>
      </w:tblPr>
      <w:tblGrid>
        <w:gridCol w:w="2727"/>
        <w:gridCol w:w="906"/>
        <w:gridCol w:w="906"/>
        <w:gridCol w:w="906"/>
        <w:gridCol w:w="906"/>
        <w:gridCol w:w="906"/>
        <w:gridCol w:w="906"/>
        <w:gridCol w:w="899"/>
      </w:tblGrid>
      <w:tr w:rsidR="007D13F3" w:rsidRPr="00EC1494" w:rsidTr="00465CAC">
        <w:trPr>
          <w:trHeight w:hRule="exact" w:val="255"/>
        </w:trPr>
        <w:tc>
          <w:tcPr>
            <w:tcW w:w="1504"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EC1494" w:rsidRDefault="007D13F3" w:rsidP="00465CAC">
            <w:pP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v eurách</w:t>
            </w:r>
          </w:p>
        </w:tc>
        <w:tc>
          <w:tcPr>
            <w:tcW w:w="500"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EC1494" w:rsidRDefault="007D13F3" w:rsidP="00465CAC">
            <w:pPr>
              <w:jc w:val="cente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2015 S</w:t>
            </w:r>
          </w:p>
        </w:tc>
        <w:tc>
          <w:tcPr>
            <w:tcW w:w="500"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EC1494" w:rsidRDefault="007D13F3" w:rsidP="00465CAC">
            <w:pPr>
              <w:jc w:val="cente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2016 S</w:t>
            </w:r>
          </w:p>
        </w:tc>
        <w:tc>
          <w:tcPr>
            <w:tcW w:w="500"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EC1494" w:rsidRDefault="007D13F3" w:rsidP="00465CAC">
            <w:pPr>
              <w:jc w:val="cente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2017 R</w:t>
            </w:r>
          </w:p>
        </w:tc>
        <w:tc>
          <w:tcPr>
            <w:tcW w:w="500"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EC1494" w:rsidRDefault="007D13F3" w:rsidP="00465CAC">
            <w:pPr>
              <w:jc w:val="cente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2017 OS</w:t>
            </w:r>
          </w:p>
        </w:tc>
        <w:tc>
          <w:tcPr>
            <w:tcW w:w="500"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EC1494" w:rsidRDefault="007D13F3" w:rsidP="00465CAC">
            <w:pPr>
              <w:jc w:val="cente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2018 N</w:t>
            </w:r>
          </w:p>
        </w:tc>
        <w:tc>
          <w:tcPr>
            <w:tcW w:w="500"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EC1494" w:rsidRDefault="007D13F3" w:rsidP="00465CAC">
            <w:pPr>
              <w:jc w:val="cente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2019 N</w:t>
            </w:r>
          </w:p>
        </w:tc>
        <w:tc>
          <w:tcPr>
            <w:tcW w:w="497"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EC1494" w:rsidRDefault="007D13F3" w:rsidP="00465CAC">
            <w:pPr>
              <w:jc w:val="cente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2020 N</w:t>
            </w:r>
          </w:p>
        </w:tc>
      </w:tr>
      <w:tr w:rsidR="007D13F3" w:rsidRPr="00EC1494" w:rsidTr="00465CAC">
        <w:trPr>
          <w:trHeight w:hRule="exact" w:val="255"/>
        </w:trPr>
        <w:tc>
          <w:tcPr>
            <w:tcW w:w="1504" w:type="pct"/>
            <w:tcBorders>
              <w:top w:val="single" w:sz="4" w:space="0" w:color="auto"/>
              <w:left w:val="single" w:sz="4" w:space="0" w:color="auto"/>
              <w:bottom w:val="single" w:sz="4" w:space="0" w:color="auto"/>
              <w:right w:val="single" w:sz="4" w:space="0" w:color="auto"/>
            </w:tcBorders>
            <w:shd w:val="pct25" w:color="auto" w:fill="auto"/>
            <w:noWrap/>
            <w:vAlign w:val="center"/>
            <w:hideMark/>
          </w:tcPr>
          <w:p w:rsidR="007D13F3" w:rsidRPr="00EC1494" w:rsidRDefault="007D13F3" w:rsidP="00465CAC">
            <w:pP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Zdroje príslušnej kapitoly vrátane 72e</w:t>
            </w:r>
          </w:p>
        </w:tc>
        <w:tc>
          <w:tcPr>
            <w:tcW w:w="500" w:type="pct"/>
            <w:tcBorders>
              <w:top w:val="single" w:sz="4" w:space="0" w:color="auto"/>
              <w:left w:val="nil"/>
              <w:bottom w:val="single" w:sz="4" w:space="0" w:color="auto"/>
              <w:right w:val="single" w:sz="4" w:space="0" w:color="auto"/>
            </w:tcBorders>
            <w:shd w:val="pct25" w:color="auto" w:fill="auto"/>
            <w:noWrap/>
            <w:vAlign w:val="center"/>
            <w:hideMark/>
          </w:tcPr>
          <w:p w:rsidR="007D13F3" w:rsidRPr="00EC1494" w:rsidRDefault="007D13F3" w:rsidP="00465CAC">
            <w:pPr>
              <w:jc w:val="cente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242 266 007</w:t>
            </w:r>
          </w:p>
        </w:tc>
        <w:tc>
          <w:tcPr>
            <w:tcW w:w="500" w:type="pct"/>
            <w:tcBorders>
              <w:top w:val="single" w:sz="4" w:space="0" w:color="auto"/>
              <w:left w:val="nil"/>
              <w:bottom w:val="single" w:sz="4" w:space="0" w:color="auto"/>
              <w:right w:val="single" w:sz="4" w:space="0" w:color="auto"/>
            </w:tcBorders>
            <w:shd w:val="pct25" w:color="auto" w:fill="auto"/>
            <w:noWrap/>
            <w:vAlign w:val="center"/>
            <w:hideMark/>
          </w:tcPr>
          <w:p w:rsidR="007D13F3" w:rsidRPr="00EC1494" w:rsidRDefault="007D13F3" w:rsidP="00465CAC">
            <w:pPr>
              <w:jc w:val="cente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231 391 330</w:t>
            </w:r>
          </w:p>
        </w:tc>
        <w:tc>
          <w:tcPr>
            <w:tcW w:w="500" w:type="pct"/>
            <w:tcBorders>
              <w:top w:val="single" w:sz="4" w:space="0" w:color="auto"/>
              <w:left w:val="nil"/>
              <w:bottom w:val="single" w:sz="4" w:space="0" w:color="auto"/>
              <w:right w:val="single" w:sz="4" w:space="0" w:color="auto"/>
            </w:tcBorders>
            <w:shd w:val="pct25" w:color="auto" w:fill="auto"/>
            <w:noWrap/>
            <w:vAlign w:val="center"/>
            <w:hideMark/>
          </w:tcPr>
          <w:p w:rsidR="007D13F3" w:rsidRPr="00EC1494" w:rsidRDefault="007D13F3" w:rsidP="00465CAC">
            <w:pPr>
              <w:jc w:val="cente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243 687 741</w:t>
            </w:r>
          </w:p>
        </w:tc>
        <w:tc>
          <w:tcPr>
            <w:tcW w:w="500" w:type="pct"/>
            <w:tcBorders>
              <w:top w:val="single" w:sz="4" w:space="0" w:color="auto"/>
              <w:left w:val="nil"/>
              <w:bottom w:val="single" w:sz="4" w:space="0" w:color="auto"/>
              <w:right w:val="single" w:sz="4" w:space="0" w:color="auto"/>
            </w:tcBorders>
            <w:shd w:val="pct25" w:color="auto" w:fill="auto"/>
            <w:noWrap/>
            <w:vAlign w:val="center"/>
            <w:hideMark/>
          </w:tcPr>
          <w:p w:rsidR="007D13F3" w:rsidRPr="00EC1494" w:rsidRDefault="007D13F3" w:rsidP="00465CAC">
            <w:pPr>
              <w:jc w:val="cente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248 650 498</w:t>
            </w:r>
          </w:p>
        </w:tc>
        <w:tc>
          <w:tcPr>
            <w:tcW w:w="500" w:type="pct"/>
            <w:tcBorders>
              <w:top w:val="single" w:sz="4" w:space="0" w:color="auto"/>
              <w:left w:val="nil"/>
              <w:bottom w:val="single" w:sz="4" w:space="0" w:color="auto"/>
              <w:right w:val="single" w:sz="4" w:space="0" w:color="auto"/>
            </w:tcBorders>
            <w:shd w:val="pct25" w:color="auto" w:fill="auto"/>
            <w:noWrap/>
            <w:vAlign w:val="center"/>
            <w:hideMark/>
          </w:tcPr>
          <w:p w:rsidR="007D13F3" w:rsidRPr="00EC1494" w:rsidRDefault="007D13F3" w:rsidP="00465CAC">
            <w:pPr>
              <w:jc w:val="cente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280 159 727</w:t>
            </w:r>
          </w:p>
        </w:tc>
        <w:tc>
          <w:tcPr>
            <w:tcW w:w="500" w:type="pct"/>
            <w:tcBorders>
              <w:top w:val="single" w:sz="4" w:space="0" w:color="auto"/>
              <w:left w:val="nil"/>
              <w:bottom w:val="single" w:sz="4" w:space="0" w:color="auto"/>
              <w:right w:val="single" w:sz="4" w:space="0" w:color="auto"/>
            </w:tcBorders>
            <w:shd w:val="pct25" w:color="auto" w:fill="auto"/>
            <w:noWrap/>
            <w:vAlign w:val="center"/>
            <w:hideMark/>
          </w:tcPr>
          <w:p w:rsidR="007D13F3" w:rsidRPr="00EC1494" w:rsidRDefault="007D13F3" w:rsidP="00465CAC">
            <w:pPr>
              <w:jc w:val="cente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245 821 403</w:t>
            </w:r>
          </w:p>
        </w:tc>
        <w:tc>
          <w:tcPr>
            <w:tcW w:w="497" w:type="pct"/>
            <w:tcBorders>
              <w:top w:val="single" w:sz="4" w:space="0" w:color="auto"/>
              <w:left w:val="nil"/>
              <w:bottom w:val="single" w:sz="4" w:space="0" w:color="auto"/>
              <w:right w:val="single" w:sz="4" w:space="0" w:color="auto"/>
            </w:tcBorders>
            <w:shd w:val="pct25" w:color="auto" w:fill="auto"/>
            <w:noWrap/>
            <w:vAlign w:val="center"/>
            <w:hideMark/>
          </w:tcPr>
          <w:p w:rsidR="007D13F3" w:rsidRPr="00EC1494" w:rsidRDefault="007D13F3" w:rsidP="00465CAC">
            <w:pPr>
              <w:jc w:val="cente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245 681 403</w:t>
            </w:r>
          </w:p>
        </w:tc>
      </w:tr>
      <w:tr w:rsidR="007D13F3" w:rsidRPr="00EC1494" w:rsidTr="00465CAC">
        <w:trPr>
          <w:trHeight w:hRule="exact" w:val="255"/>
        </w:trPr>
        <w:tc>
          <w:tcPr>
            <w:tcW w:w="1504" w:type="pct"/>
            <w:tcBorders>
              <w:top w:val="single" w:sz="4" w:space="0" w:color="auto"/>
              <w:left w:val="single" w:sz="4" w:space="0" w:color="auto"/>
              <w:bottom w:val="single" w:sz="4" w:space="0" w:color="auto"/>
              <w:right w:val="single" w:sz="4" w:space="0" w:color="auto"/>
            </w:tcBorders>
            <w:shd w:val="pct25" w:color="auto" w:fill="auto"/>
            <w:noWrap/>
            <w:vAlign w:val="center"/>
            <w:hideMark/>
          </w:tcPr>
          <w:p w:rsidR="007D13F3" w:rsidRPr="00EC1494" w:rsidRDefault="007D13F3" w:rsidP="00465CAC">
            <w:pP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Zdroje príslušnej kapitoly</w:t>
            </w:r>
          </w:p>
        </w:tc>
        <w:tc>
          <w:tcPr>
            <w:tcW w:w="500" w:type="pct"/>
            <w:tcBorders>
              <w:top w:val="single" w:sz="4" w:space="0" w:color="auto"/>
              <w:left w:val="nil"/>
              <w:bottom w:val="single" w:sz="4" w:space="0" w:color="auto"/>
              <w:right w:val="single" w:sz="4" w:space="0" w:color="auto"/>
            </w:tcBorders>
            <w:shd w:val="pct25" w:color="auto" w:fill="auto"/>
            <w:vAlign w:val="center"/>
            <w:hideMark/>
          </w:tcPr>
          <w:p w:rsidR="007D13F3" w:rsidRPr="00EC1494" w:rsidRDefault="007D13F3" w:rsidP="00465CAC">
            <w:pPr>
              <w:jc w:val="right"/>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242 263 580</w:t>
            </w:r>
          </w:p>
        </w:tc>
        <w:tc>
          <w:tcPr>
            <w:tcW w:w="500" w:type="pct"/>
            <w:tcBorders>
              <w:top w:val="single" w:sz="4" w:space="0" w:color="auto"/>
              <w:left w:val="nil"/>
              <w:bottom w:val="single" w:sz="4" w:space="0" w:color="auto"/>
              <w:right w:val="single" w:sz="4" w:space="0" w:color="auto"/>
            </w:tcBorders>
            <w:shd w:val="pct25" w:color="auto" w:fill="auto"/>
            <w:vAlign w:val="center"/>
            <w:hideMark/>
          </w:tcPr>
          <w:p w:rsidR="007D13F3" w:rsidRPr="00EC1494" w:rsidRDefault="007D13F3" w:rsidP="00465CAC">
            <w:pPr>
              <w:jc w:val="right"/>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231 381 443</w:t>
            </w:r>
          </w:p>
        </w:tc>
        <w:tc>
          <w:tcPr>
            <w:tcW w:w="500" w:type="pct"/>
            <w:tcBorders>
              <w:top w:val="single" w:sz="4" w:space="0" w:color="auto"/>
              <w:left w:val="nil"/>
              <w:bottom w:val="single" w:sz="4" w:space="0" w:color="auto"/>
              <w:right w:val="single" w:sz="4" w:space="0" w:color="auto"/>
            </w:tcBorders>
            <w:shd w:val="pct25" w:color="auto" w:fill="auto"/>
            <w:vAlign w:val="center"/>
            <w:hideMark/>
          </w:tcPr>
          <w:p w:rsidR="007D13F3" w:rsidRPr="00EC1494" w:rsidRDefault="007D13F3" w:rsidP="00465CAC">
            <w:pPr>
              <w:jc w:val="right"/>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243 687 741</w:t>
            </w:r>
          </w:p>
        </w:tc>
        <w:tc>
          <w:tcPr>
            <w:tcW w:w="500" w:type="pct"/>
            <w:tcBorders>
              <w:top w:val="single" w:sz="4" w:space="0" w:color="auto"/>
              <w:left w:val="nil"/>
              <w:bottom w:val="single" w:sz="4" w:space="0" w:color="auto"/>
              <w:right w:val="single" w:sz="4" w:space="0" w:color="auto"/>
            </w:tcBorders>
            <w:shd w:val="pct25" w:color="auto" w:fill="auto"/>
            <w:vAlign w:val="center"/>
            <w:hideMark/>
          </w:tcPr>
          <w:p w:rsidR="007D13F3" w:rsidRPr="00EC1494" w:rsidRDefault="007D13F3" w:rsidP="00465CAC">
            <w:pPr>
              <w:jc w:val="right"/>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248 650 498</w:t>
            </w:r>
          </w:p>
        </w:tc>
        <w:tc>
          <w:tcPr>
            <w:tcW w:w="500" w:type="pct"/>
            <w:tcBorders>
              <w:top w:val="single" w:sz="4" w:space="0" w:color="auto"/>
              <w:left w:val="nil"/>
              <w:bottom w:val="single" w:sz="4" w:space="0" w:color="auto"/>
              <w:right w:val="single" w:sz="4" w:space="0" w:color="auto"/>
            </w:tcBorders>
            <w:shd w:val="pct25" w:color="auto" w:fill="auto"/>
            <w:vAlign w:val="center"/>
            <w:hideMark/>
          </w:tcPr>
          <w:p w:rsidR="007D13F3" w:rsidRPr="00EC1494" w:rsidRDefault="007D13F3" w:rsidP="00465CAC">
            <w:pPr>
              <w:jc w:val="right"/>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280 159 727</w:t>
            </w:r>
          </w:p>
        </w:tc>
        <w:tc>
          <w:tcPr>
            <w:tcW w:w="500" w:type="pct"/>
            <w:tcBorders>
              <w:top w:val="single" w:sz="4" w:space="0" w:color="auto"/>
              <w:left w:val="nil"/>
              <w:bottom w:val="single" w:sz="4" w:space="0" w:color="auto"/>
              <w:right w:val="single" w:sz="4" w:space="0" w:color="auto"/>
            </w:tcBorders>
            <w:shd w:val="pct25" w:color="auto" w:fill="auto"/>
            <w:vAlign w:val="center"/>
            <w:hideMark/>
          </w:tcPr>
          <w:p w:rsidR="007D13F3" w:rsidRPr="00EC1494" w:rsidRDefault="007D13F3" w:rsidP="00465CAC">
            <w:pPr>
              <w:jc w:val="right"/>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245 821 403</w:t>
            </w:r>
          </w:p>
        </w:tc>
        <w:tc>
          <w:tcPr>
            <w:tcW w:w="497" w:type="pct"/>
            <w:tcBorders>
              <w:top w:val="single" w:sz="4" w:space="0" w:color="auto"/>
              <w:left w:val="nil"/>
              <w:bottom w:val="single" w:sz="4" w:space="0" w:color="auto"/>
              <w:right w:val="single" w:sz="4" w:space="0" w:color="auto"/>
            </w:tcBorders>
            <w:shd w:val="pct25" w:color="auto" w:fill="auto"/>
            <w:vAlign w:val="center"/>
            <w:hideMark/>
          </w:tcPr>
          <w:p w:rsidR="007D13F3" w:rsidRPr="00EC1494" w:rsidRDefault="007D13F3" w:rsidP="00465CAC">
            <w:pPr>
              <w:jc w:val="right"/>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245 681 403</w:t>
            </w:r>
          </w:p>
        </w:tc>
      </w:tr>
      <w:tr w:rsidR="007D13F3" w:rsidRPr="00EC1494" w:rsidTr="00465CAC">
        <w:trPr>
          <w:trHeight w:hRule="exact" w:val="255"/>
        </w:trPr>
        <w:tc>
          <w:tcPr>
            <w:tcW w:w="1504" w:type="pct"/>
            <w:tcBorders>
              <w:top w:val="nil"/>
              <w:left w:val="single" w:sz="4" w:space="0" w:color="auto"/>
              <w:bottom w:val="single" w:sz="4" w:space="0" w:color="auto"/>
              <w:right w:val="single" w:sz="4" w:space="0" w:color="auto"/>
            </w:tcBorders>
            <w:shd w:val="clear" w:color="auto" w:fill="auto"/>
            <w:noWrap/>
            <w:vAlign w:val="center"/>
            <w:hideMark/>
          </w:tcPr>
          <w:p w:rsidR="007D13F3" w:rsidRPr="00EC1494" w:rsidRDefault="007D13F3" w:rsidP="00465CAC">
            <w:pPr>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rozpočtové zdroje kapitoly (111 +11H)</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202 017 453</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217 925 596</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243 687 741</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243 239 038</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280 159 727</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245 821 403</w:t>
            </w:r>
          </w:p>
        </w:tc>
        <w:tc>
          <w:tcPr>
            <w:tcW w:w="497"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245 681 403</w:t>
            </w:r>
          </w:p>
        </w:tc>
      </w:tr>
      <w:tr w:rsidR="007D13F3" w:rsidRPr="00EC1494" w:rsidTr="00465CAC">
        <w:trPr>
          <w:trHeight w:hRule="exact" w:val="255"/>
        </w:trPr>
        <w:tc>
          <w:tcPr>
            <w:tcW w:w="1504" w:type="pct"/>
            <w:tcBorders>
              <w:top w:val="nil"/>
              <w:left w:val="single" w:sz="4" w:space="0" w:color="auto"/>
              <w:bottom w:val="single" w:sz="4" w:space="0" w:color="auto"/>
              <w:right w:val="single" w:sz="4" w:space="0" w:color="auto"/>
            </w:tcBorders>
            <w:shd w:val="clear" w:color="auto" w:fill="auto"/>
            <w:noWrap/>
            <w:vAlign w:val="center"/>
            <w:hideMark/>
          </w:tcPr>
          <w:p w:rsidR="007D13F3" w:rsidRPr="00EC1494" w:rsidRDefault="007D13F3" w:rsidP="00465CAC">
            <w:pPr>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v tom: bežné výdavky  600</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187 070 001</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207 229 327</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223 410 157</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222 210 935</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243 170 790</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240 256 403</w:t>
            </w:r>
          </w:p>
        </w:tc>
        <w:tc>
          <w:tcPr>
            <w:tcW w:w="497"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240 126 403</w:t>
            </w:r>
          </w:p>
        </w:tc>
      </w:tr>
      <w:tr w:rsidR="007D13F3" w:rsidRPr="00EC1494" w:rsidTr="00465CAC">
        <w:trPr>
          <w:trHeight w:hRule="exact" w:val="255"/>
        </w:trPr>
        <w:tc>
          <w:tcPr>
            <w:tcW w:w="1504" w:type="pct"/>
            <w:tcBorders>
              <w:top w:val="nil"/>
              <w:left w:val="single" w:sz="4" w:space="0" w:color="auto"/>
              <w:bottom w:val="single" w:sz="4" w:space="0" w:color="auto"/>
              <w:right w:val="single" w:sz="4" w:space="0" w:color="auto"/>
            </w:tcBorders>
            <w:shd w:val="clear" w:color="auto" w:fill="auto"/>
            <w:noWrap/>
            <w:vAlign w:val="center"/>
            <w:hideMark/>
          </w:tcPr>
          <w:p w:rsidR="007D13F3" w:rsidRPr="00EC1494" w:rsidRDefault="007D13F3" w:rsidP="00465CAC">
            <w:pPr>
              <w:ind w:firstLineChars="600" w:firstLine="840"/>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610 mzdy</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10 657 686</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12 002 076</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12 434 330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12 961 279</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13 691 902</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13 691 902</w:t>
            </w:r>
          </w:p>
        </w:tc>
        <w:tc>
          <w:tcPr>
            <w:tcW w:w="497"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13 691 902</w:t>
            </w:r>
          </w:p>
        </w:tc>
      </w:tr>
      <w:tr w:rsidR="007D13F3" w:rsidRPr="00EC1494" w:rsidTr="00465CAC">
        <w:trPr>
          <w:trHeight w:hRule="exact" w:val="255"/>
        </w:trPr>
        <w:tc>
          <w:tcPr>
            <w:tcW w:w="1504" w:type="pct"/>
            <w:tcBorders>
              <w:top w:val="nil"/>
              <w:left w:val="single" w:sz="4" w:space="0" w:color="auto"/>
              <w:bottom w:val="single" w:sz="4" w:space="0" w:color="auto"/>
              <w:right w:val="single" w:sz="4" w:space="0" w:color="auto"/>
            </w:tcBorders>
            <w:shd w:val="clear" w:color="auto" w:fill="auto"/>
            <w:noWrap/>
            <w:vAlign w:val="center"/>
            <w:hideMark/>
          </w:tcPr>
          <w:p w:rsidR="007D13F3" w:rsidRPr="00EC1494" w:rsidRDefault="007D13F3" w:rsidP="00465CAC">
            <w:pPr>
              <w:ind w:firstLineChars="600" w:firstLine="840"/>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620 odvody</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3 968 201</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4 346 325</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4 563 714</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4 754 761</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4 853 796</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4 853 796</w:t>
            </w:r>
          </w:p>
        </w:tc>
        <w:tc>
          <w:tcPr>
            <w:tcW w:w="497"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4 853 796</w:t>
            </w:r>
          </w:p>
        </w:tc>
      </w:tr>
      <w:tr w:rsidR="007D13F3" w:rsidRPr="00EC1494" w:rsidTr="00465CAC">
        <w:trPr>
          <w:trHeight w:hRule="exact" w:val="255"/>
        </w:trPr>
        <w:tc>
          <w:tcPr>
            <w:tcW w:w="1504" w:type="pct"/>
            <w:tcBorders>
              <w:top w:val="nil"/>
              <w:left w:val="single" w:sz="4" w:space="0" w:color="auto"/>
              <w:bottom w:val="single" w:sz="4" w:space="0" w:color="auto"/>
              <w:right w:val="single" w:sz="4" w:space="0" w:color="auto"/>
            </w:tcBorders>
            <w:shd w:val="clear" w:color="auto" w:fill="auto"/>
            <w:noWrap/>
            <w:vAlign w:val="center"/>
            <w:hideMark/>
          </w:tcPr>
          <w:p w:rsidR="007D13F3" w:rsidRPr="00EC1494" w:rsidRDefault="007D13F3" w:rsidP="00465CAC">
            <w:pPr>
              <w:ind w:firstLineChars="600" w:firstLine="840"/>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630 tovary a služby</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17 308 416</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19 906 087</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21 169 343</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17 676 523</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21 475 103</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21 464 900</w:t>
            </w:r>
          </w:p>
        </w:tc>
        <w:tc>
          <w:tcPr>
            <w:tcW w:w="497"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21 494 103</w:t>
            </w:r>
          </w:p>
        </w:tc>
      </w:tr>
      <w:tr w:rsidR="007D13F3" w:rsidRPr="00EC1494" w:rsidTr="00465CAC">
        <w:trPr>
          <w:trHeight w:hRule="exact" w:val="255"/>
        </w:trPr>
        <w:tc>
          <w:tcPr>
            <w:tcW w:w="1504" w:type="pct"/>
            <w:tcBorders>
              <w:top w:val="nil"/>
              <w:left w:val="single" w:sz="4" w:space="0" w:color="auto"/>
              <w:bottom w:val="single" w:sz="4" w:space="0" w:color="auto"/>
              <w:right w:val="single" w:sz="4" w:space="0" w:color="auto"/>
            </w:tcBorders>
            <w:shd w:val="clear" w:color="auto" w:fill="auto"/>
            <w:noWrap/>
            <w:vAlign w:val="center"/>
            <w:hideMark/>
          </w:tcPr>
          <w:p w:rsidR="007D13F3" w:rsidRPr="00EC1494" w:rsidRDefault="007D13F3" w:rsidP="00465CAC">
            <w:pPr>
              <w:ind w:firstLineChars="600" w:firstLine="840"/>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640 bežné transfery</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155 135 698</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170 974 839</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185 242 770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186 818 372</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203 149 989</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200 245 805</w:t>
            </w:r>
          </w:p>
        </w:tc>
        <w:tc>
          <w:tcPr>
            <w:tcW w:w="497"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200 086 602</w:t>
            </w:r>
          </w:p>
        </w:tc>
      </w:tr>
      <w:tr w:rsidR="007D13F3" w:rsidRPr="00EC1494" w:rsidTr="00465CAC">
        <w:trPr>
          <w:trHeight w:hRule="exact" w:val="255"/>
        </w:trPr>
        <w:tc>
          <w:tcPr>
            <w:tcW w:w="1504" w:type="pct"/>
            <w:tcBorders>
              <w:top w:val="nil"/>
              <w:left w:val="single" w:sz="4" w:space="0" w:color="auto"/>
              <w:bottom w:val="single" w:sz="4" w:space="0" w:color="auto"/>
              <w:right w:val="single" w:sz="4" w:space="0" w:color="auto"/>
            </w:tcBorders>
            <w:shd w:val="clear" w:color="auto" w:fill="auto"/>
            <w:noWrap/>
            <w:vAlign w:val="center"/>
            <w:hideMark/>
          </w:tcPr>
          <w:p w:rsidR="007D13F3" w:rsidRPr="00EC1494" w:rsidRDefault="007D13F3" w:rsidP="00465CAC">
            <w:pPr>
              <w:ind w:firstLineChars="300" w:firstLine="420"/>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 xml:space="preserve">   kapitálové výdavky 700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14 947 452</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10 696 269</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20 277 584</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21 028 103</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36 988 937</w:t>
            </w:r>
          </w:p>
        </w:tc>
        <w:tc>
          <w:tcPr>
            <w:tcW w:w="500"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5 565 000</w:t>
            </w:r>
          </w:p>
        </w:tc>
        <w:tc>
          <w:tcPr>
            <w:tcW w:w="497" w:type="pct"/>
            <w:tcBorders>
              <w:top w:val="nil"/>
              <w:left w:val="nil"/>
              <w:bottom w:val="single" w:sz="4" w:space="0" w:color="auto"/>
              <w:right w:val="single" w:sz="4" w:space="0" w:color="auto"/>
            </w:tcBorders>
            <w:shd w:val="clear" w:color="auto" w:fill="auto"/>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5 555 000</w:t>
            </w:r>
          </w:p>
        </w:tc>
      </w:tr>
      <w:tr w:rsidR="007D13F3" w:rsidRPr="00EC1494" w:rsidTr="00465CAC">
        <w:trPr>
          <w:trHeight w:hRule="exact" w:val="255"/>
        </w:trPr>
        <w:tc>
          <w:tcPr>
            <w:tcW w:w="1504" w:type="pct"/>
            <w:tcBorders>
              <w:top w:val="nil"/>
              <w:left w:val="single" w:sz="4" w:space="0" w:color="auto"/>
              <w:bottom w:val="single" w:sz="4" w:space="0" w:color="auto"/>
              <w:right w:val="single" w:sz="4" w:space="0" w:color="auto"/>
            </w:tcBorders>
            <w:shd w:val="clear" w:color="000000" w:fill="FFFFFF"/>
            <w:noWrap/>
            <w:vAlign w:val="center"/>
            <w:hideMark/>
          </w:tcPr>
          <w:p w:rsidR="007D13F3" w:rsidRPr="00EC1494" w:rsidRDefault="007D13F3" w:rsidP="00465CAC">
            <w:pPr>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zdroje EÚ vrátane spolufinancovania</w:t>
            </w:r>
          </w:p>
        </w:tc>
        <w:tc>
          <w:tcPr>
            <w:tcW w:w="500" w:type="pct"/>
            <w:tcBorders>
              <w:top w:val="nil"/>
              <w:left w:val="nil"/>
              <w:bottom w:val="single" w:sz="4" w:space="0" w:color="auto"/>
              <w:right w:val="single" w:sz="4" w:space="0" w:color="auto"/>
            </w:tcBorders>
            <w:shd w:val="clear" w:color="auto" w:fill="auto"/>
            <w:noWrap/>
            <w:vAlign w:val="bottom"/>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14 213 177</w:t>
            </w:r>
          </w:p>
        </w:tc>
        <w:tc>
          <w:tcPr>
            <w:tcW w:w="500" w:type="pct"/>
            <w:tcBorders>
              <w:top w:val="nil"/>
              <w:left w:val="nil"/>
              <w:bottom w:val="single" w:sz="4" w:space="0" w:color="auto"/>
              <w:right w:val="single" w:sz="4" w:space="0" w:color="auto"/>
            </w:tcBorders>
            <w:shd w:val="clear" w:color="auto" w:fill="auto"/>
            <w:noWrap/>
            <w:vAlign w:val="bottom"/>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37 751</w:t>
            </w:r>
          </w:p>
        </w:tc>
        <w:tc>
          <w:tcPr>
            <w:tcW w:w="500" w:type="pct"/>
            <w:tcBorders>
              <w:top w:val="nil"/>
              <w:left w:val="nil"/>
              <w:bottom w:val="single" w:sz="4" w:space="0" w:color="auto"/>
              <w:right w:val="single" w:sz="4" w:space="0" w:color="auto"/>
            </w:tcBorders>
            <w:shd w:val="clear" w:color="auto" w:fill="auto"/>
            <w:noWrap/>
            <w:vAlign w:val="bottom"/>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shd w:val="clear" w:color="auto" w:fill="auto"/>
            <w:noWrap/>
            <w:vAlign w:val="bottom"/>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shd w:val="clear" w:color="auto" w:fill="auto"/>
            <w:noWrap/>
            <w:vAlign w:val="bottom"/>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shd w:val="clear" w:color="auto" w:fill="auto"/>
            <w:noWrap/>
            <w:vAlign w:val="bottom"/>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r>
      <w:tr w:rsidR="007D13F3" w:rsidRPr="00EC1494" w:rsidTr="00465CAC">
        <w:trPr>
          <w:trHeight w:hRule="exact" w:val="255"/>
        </w:trPr>
        <w:tc>
          <w:tcPr>
            <w:tcW w:w="1504" w:type="pct"/>
            <w:tcBorders>
              <w:top w:val="nil"/>
              <w:left w:val="single" w:sz="4" w:space="0" w:color="auto"/>
              <w:bottom w:val="single" w:sz="4" w:space="0" w:color="auto"/>
              <w:right w:val="single" w:sz="4" w:space="0" w:color="auto"/>
            </w:tcBorders>
            <w:shd w:val="clear" w:color="000000" w:fill="FFFFFF"/>
            <w:noWrap/>
            <w:vAlign w:val="center"/>
            <w:hideMark/>
          </w:tcPr>
          <w:p w:rsidR="007D13F3" w:rsidRPr="00EC1494" w:rsidRDefault="007D13F3" w:rsidP="009C37FC">
            <w:pPr>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 xml:space="preserve">      v tom: 2. programov</w:t>
            </w:r>
            <w:r w:rsidR="009C37FC">
              <w:rPr>
                <w:rFonts w:ascii="Times New Roman" w:hAnsi="Times New Roman" w:cs="Times New Roman"/>
                <w:color w:val="000000"/>
                <w:sz w:val="14"/>
                <w:szCs w:val="14"/>
                <w:lang w:eastAsia="sk-SK"/>
              </w:rPr>
              <w:t>é</w:t>
            </w:r>
            <w:r w:rsidR="0061184E">
              <w:rPr>
                <w:rFonts w:ascii="Times New Roman" w:hAnsi="Times New Roman" w:cs="Times New Roman"/>
                <w:color w:val="000000"/>
                <w:sz w:val="14"/>
                <w:szCs w:val="14"/>
                <w:lang w:eastAsia="sk-SK"/>
              </w:rPr>
              <w:t xml:space="preserve"> obdobie EÚ</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10 719 765</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10 878</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497"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r>
      <w:tr w:rsidR="007D13F3" w:rsidRPr="00EC1494" w:rsidTr="00465CAC">
        <w:trPr>
          <w:trHeight w:hRule="exact" w:val="255"/>
        </w:trPr>
        <w:tc>
          <w:tcPr>
            <w:tcW w:w="1504" w:type="pct"/>
            <w:tcBorders>
              <w:top w:val="nil"/>
              <w:left w:val="single" w:sz="4" w:space="0" w:color="auto"/>
              <w:bottom w:val="single" w:sz="4" w:space="0" w:color="auto"/>
              <w:right w:val="single" w:sz="4" w:space="0" w:color="auto"/>
            </w:tcBorders>
            <w:shd w:val="clear" w:color="000000" w:fill="FFFFFF"/>
            <w:noWrap/>
            <w:vAlign w:val="center"/>
            <w:hideMark/>
          </w:tcPr>
          <w:p w:rsidR="007D13F3" w:rsidRPr="00EC1494" w:rsidRDefault="007D13F3" w:rsidP="00465CAC">
            <w:pPr>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 xml:space="preserve">                    spolufinancovanie zo ŠR</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3 493 412</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26 873</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497"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r>
      <w:tr w:rsidR="007D13F3" w:rsidRPr="00EC1494" w:rsidTr="00465CAC">
        <w:trPr>
          <w:trHeight w:hRule="exact" w:val="255"/>
        </w:trPr>
        <w:tc>
          <w:tcPr>
            <w:tcW w:w="1504" w:type="pct"/>
            <w:tcBorders>
              <w:top w:val="nil"/>
              <w:left w:val="single" w:sz="4" w:space="0" w:color="auto"/>
              <w:bottom w:val="single" w:sz="4" w:space="0" w:color="auto"/>
              <w:right w:val="single" w:sz="4" w:space="0" w:color="auto"/>
            </w:tcBorders>
            <w:shd w:val="clear" w:color="000000" w:fill="FFFFFF"/>
            <w:noWrap/>
            <w:vAlign w:val="center"/>
            <w:hideMark/>
          </w:tcPr>
          <w:p w:rsidR="007D13F3" w:rsidRPr="00EC1494" w:rsidRDefault="007D13F3" w:rsidP="00465CAC">
            <w:pPr>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 xml:space="preserve">presun z minulých rokov </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26 032 950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13 418 096</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5 411 460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497"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r>
      <w:tr w:rsidR="007D13F3" w:rsidRPr="00EC1494" w:rsidTr="00465CAC">
        <w:trPr>
          <w:trHeight w:hRule="exact" w:val="255"/>
        </w:trPr>
        <w:tc>
          <w:tcPr>
            <w:tcW w:w="1504" w:type="pct"/>
            <w:tcBorders>
              <w:top w:val="nil"/>
              <w:left w:val="single" w:sz="4" w:space="0" w:color="auto"/>
              <w:bottom w:val="single" w:sz="4" w:space="0" w:color="auto"/>
              <w:right w:val="single" w:sz="4" w:space="0" w:color="auto"/>
            </w:tcBorders>
            <w:shd w:val="clear" w:color="000000" w:fill="FFFFFF"/>
            <w:noWrap/>
            <w:vAlign w:val="center"/>
            <w:hideMark/>
          </w:tcPr>
          <w:p w:rsidR="007D13F3" w:rsidRPr="00EC1494" w:rsidRDefault="007D13F3" w:rsidP="0061184E">
            <w:pPr>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 xml:space="preserve">z toho: </w:t>
            </w:r>
            <w:r w:rsidR="0061184E">
              <w:rPr>
                <w:rFonts w:ascii="Times New Roman" w:hAnsi="Times New Roman" w:cs="Times New Roman"/>
                <w:color w:val="000000"/>
                <w:sz w:val="14"/>
                <w:szCs w:val="14"/>
                <w:lang w:eastAsia="sk-SK"/>
              </w:rPr>
              <w:t>štátny rozpočet</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1 086 243</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11 022 194</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4 776 178</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497"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r>
      <w:tr w:rsidR="007D13F3" w:rsidRPr="00EC1494" w:rsidTr="00465CAC">
        <w:trPr>
          <w:trHeight w:hRule="exact" w:val="255"/>
        </w:trPr>
        <w:tc>
          <w:tcPr>
            <w:tcW w:w="1504" w:type="pct"/>
            <w:tcBorders>
              <w:top w:val="nil"/>
              <w:left w:val="single" w:sz="4" w:space="0" w:color="auto"/>
              <w:bottom w:val="single" w:sz="4" w:space="0" w:color="auto"/>
              <w:right w:val="single" w:sz="4" w:space="0" w:color="auto"/>
            </w:tcBorders>
            <w:shd w:val="clear" w:color="000000" w:fill="FFFFFF"/>
            <w:noWrap/>
            <w:vAlign w:val="center"/>
            <w:hideMark/>
          </w:tcPr>
          <w:p w:rsidR="0061184E" w:rsidRPr="00EC1494" w:rsidRDefault="007D13F3" w:rsidP="0061184E">
            <w:pPr>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 xml:space="preserve">    </w:t>
            </w:r>
            <w:r w:rsidR="0061184E">
              <w:rPr>
                <w:rFonts w:ascii="Times New Roman" w:hAnsi="Times New Roman" w:cs="Times New Roman"/>
                <w:color w:val="000000"/>
                <w:sz w:val="14"/>
                <w:szCs w:val="14"/>
                <w:lang w:eastAsia="sk-SK"/>
              </w:rPr>
              <w:t xml:space="preserve">        EÚ zdroje</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19 484 928</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1 845 731</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532 319</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497"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r>
      <w:tr w:rsidR="007D13F3" w:rsidRPr="00EC1494" w:rsidTr="00465CAC">
        <w:trPr>
          <w:trHeight w:hRule="exact" w:val="255"/>
        </w:trPr>
        <w:tc>
          <w:tcPr>
            <w:tcW w:w="1504" w:type="pct"/>
            <w:tcBorders>
              <w:top w:val="nil"/>
              <w:left w:val="single" w:sz="4" w:space="0" w:color="auto"/>
              <w:bottom w:val="single" w:sz="4" w:space="0" w:color="auto"/>
              <w:right w:val="single" w:sz="4" w:space="0" w:color="auto"/>
            </w:tcBorders>
            <w:shd w:val="clear" w:color="000000" w:fill="FFFFFF"/>
            <w:noWrap/>
            <w:vAlign w:val="center"/>
            <w:hideMark/>
          </w:tcPr>
          <w:p w:rsidR="007D13F3" w:rsidRPr="00EC1494" w:rsidRDefault="0061184E" w:rsidP="00465CAC">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007D13F3" w:rsidRPr="00EC1494">
              <w:rPr>
                <w:rFonts w:ascii="Times New Roman" w:hAnsi="Times New Roman" w:cs="Times New Roman"/>
                <w:color w:val="000000"/>
                <w:sz w:val="14"/>
                <w:szCs w:val="14"/>
                <w:lang w:eastAsia="sk-SK"/>
              </w:rPr>
              <w:t>spolufinancovanie zo ŠR</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5 461 779</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550 171</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102 963</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c>
          <w:tcPr>
            <w:tcW w:w="497"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color w:val="000000"/>
                <w:sz w:val="14"/>
                <w:szCs w:val="14"/>
                <w:lang w:eastAsia="sk-SK"/>
              </w:rPr>
            </w:pPr>
            <w:r w:rsidRPr="00EC1494">
              <w:rPr>
                <w:rFonts w:ascii="Times New Roman" w:hAnsi="Times New Roman" w:cs="Times New Roman"/>
                <w:color w:val="000000"/>
                <w:sz w:val="14"/>
                <w:szCs w:val="14"/>
                <w:lang w:eastAsia="sk-SK"/>
              </w:rPr>
              <w:t>0</w:t>
            </w:r>
          </w:p>
        </w:tc>
      </w:tr>
      <w:tr w:rsidR="007D13F3" w:rsidRPr="00EC1494" w:rsidTr="00465CAC">
        <w:trPr>
          <w:trHeight w:hRule="exact" w:val="255"/>
        </w:trPr>
        <w:tc>
          <w:tcPr>
            <w:tcW w:w="1504" w:type="pct"/>
            <w:tcBorders>
              <w:top w:val="nil"/>
              <w:left w:val="single" w:sz="4" w:space="0" w:color="auto"/>
              <w:bottom w:val="single" w:sz="4" w:space="0" w:color="auto"/>
              <w:right w:val="single" w:sz="4" w:space="0" w:color="auto"/>
            </w:tcBorders>
            <w:shd w:val="clear" w:color="000000" w:fill="FFFFFF"/>
            <w:noWrap/>
            <w:vAlign w:val="center"/>
            <w:hideMark/>
          </w:tcPr>
          <w:p w:rsidR="007D13F3" w:rsidRPr="00EC1494" w:rsidRDefault="007D13F3" w:rsidP="00465CAC">
            <w:pPr>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zdroj 72e*</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2 427</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9 887</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0</w:t>
            </w:r>
          </w:p>
        </w:tc>
        <w:tc>
          <w:tcPr>
            <w:tcW w:w="500"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0</w:t>
            </w:r>
          </w:p>
        </w:tc>
        <w:tc>
          <w:tcPr>
            <w:tcW w:w="497" w:type="pct"/>
            <w:tcBorders>
              <w:top w:val="nil"/>
              <w:left w:val="nil"/>
              <w:bottom w:val="single" w:sz="4" w:space="0" w:color="auto"/>
              <w:right w:val="single" w:sz="4" w:space="0" w:color="auto"/>
            </w:tcBorders>
            <w:shd w:val="clear" w:color="000000" w:fill="FFFFFF"/>
            <w:noWrap/>
            <w:vAlign w:val="center"/>
            <w:hideMark/>
          </w:tcPr>
          <w:p w:rsidR="007D13F3" w:rsidRPr="00EC1494" w:rsidRDefault="007D13F3" w:rsidP="00465CAC">
            <w:pPr>
              <w:jc w:val="right"/>
              <w:rPr>
                <w:rFonts w:ascii="Times New Roman" w:hAnsi="Times New Roman" w:cs="Times New Roman"/>
                <w:b/>
                <w:bCs/>
                <w:color w:val="000000"/>
                <w:sz w:val="14"/>
                <w:szCs w:val="14"/>
                <w:lang w:eastAsia="sk-SK"/>
              </w:rPr>
            </w:pPr>
            <w:r w:rsidRPr="00EC1494">
              <w:rPr>
                <w:rFonts w:ascii="Times New Roman" w:hAnsi="Times New Roman" w:cs="Times New Roman"/>
                <w:b/>
                <w:bCs/>
                <w:color w:val="000000"/>
                <w:sz w:val="14"/>
                <w:szCs w:val="14"/>
                <w:lang w:eastAsia="sk-SK"/>
              </w:rPr>
              <w:t>0</w:t>
            </w:r>
          </w:p>
        </w:tc>
      </w:tr>
    </w:tbl>
    <w:p w:rsidR="007D13F3" w:rsidRDefault="007D13F3" w:rsidP="007D13F3">
      <w:pPr>
        <w:rPr>
          <w:rFonts w:ascii="Times New Roman" w:hAnsi="Times New Roman" w:cs="Times New Roman"/>
          <w:sz w:val="14"/>
          <w:szCs w:val="14"/>
        </w:rPr>
      </w:pPr>
      <w:r w:rsidRPr="009B288A">
        <w:rPr>
          <w:rFonts w:ascii="Times New Roman" w:hAnsi="Times New Roman" w:cs="Times New Roman"/>
          <w:sz w:val="14"/>
          <w:szCs w:val="14"/>
        </w:rPr>
        <w:t>*zdroje z poistného plnenia</w:t>
      </w:r>
    </w:p>
    <w:p w:rsidR="0061184E" w:rsidRDefault="0061184E" w:rsidP="007D13F3">
      <w:pPr>
        <w:rPr>
          <w:rFonts w:ascii="Times New Roman" w:hAnsi="Times New Roman" w:cs="Times New Roman"/>
          <w:sz w:val="14"/>
          <w:szCs w:val="14"/>
        </w:rPr>
      </w:pPr>
    </w:p>
    <w:tbl>
      <w:tblPr>
        <w:tblW w:w="9080" w:type="dxa"/>
        <w:tblCellMar>
          <w:left w:w="70" w:type="dxa"/>
          <w:right w:w="70" w:type="dxa"/>
        </w:tblCellMar>
        <w:tblLook w:val="04A0" w:firstRow="1" w:lastRow="0" w:firstColumn="1" w:lastColumn="0" w:noHBand="0" w:noVBand="1"/>
      </w:tblPr>
      <w:tblGrid>
        <w:gridCol w:w="2689"/>
        <w:gridCol w:w="992"/>
        <w:gridCol w:w="799"/>
        <w:gridCol w:w="902"/>
        <w:gridCol w:w="938"/>
        <w:gridCol w:w="920"/>
        <w:gridCol w:w="920"/>
        <w:gridCol w:w="920"/>
      </w:tblGrid>
      <w:tr w:rsidR="007D13F3" w:rsidRPr="000E76EC" w:rsidTr="009C37FC">
        <w:trPr>
          <w:trHeight w:hRule="exact" w:val="255"/>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3F3" w:rsidRPr="000E76EC" w:rsidRDefault="000E76EC" w:rsidP="00465CAC">
            <w:pPr>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S</w:t>
            </w:r>
            <w:r w:rsidR="007D13F3" w:rsidRPr="000E76EC">
              <w:rPr>
                <w:rFonts w:ascii="Times New Roman" w:hAnsi="Times New Roman" w:cs="Times New Roman"/>
                <w:b/>
                <w:color w:val="000000"/>
                <w:sz w:val="14"/>
                <w:szCs w:val="14"/>
                <w:lang w:eastAsia="sk-SK"/>
              </w:rPr>
              <w:t xml:space="preserve">amostatné účty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8 842 169</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268 616</w:t>
            </w:r>
          </w:p>
        </w:tc>
        <w:tc>
          <w:tcPr>
            <w:tcW w:w="902" w:type="dxa"/>
            <w:tcBorders>
              <w:top w:val="single" w:sz="4" w:space="0" w:color="auto"/>
              <w:left w:val="nil"/>
              <w:bottom w:val="single" w:sz="4" w:space="0" w:color="auto"/>
              <w:right w:val="single" w:sz="4" w:space="0" w:color="auto"/>
            </w:tcBorders>
            <w:shd w:val="clear" w:color="000000" w:fill="FFFFFF"/>
            <w:noWrap/>
            <w:vAlign w:val="center"/>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45 039</w:t>
            </w:r>
          </w:p>
        </w:tc>
        <w:tc>
          <w:tcPr>
            <w:tcW w:w="938" w:type="dxa"/>
            <w:tcBorders>
              <w:top w:val="single" w:sz="4" w:space="0" w:color="auto"/>
              <w:left w:val="nil"/>
              <w:bottom w:val="single" w:sz="4" w:space="0" w:color="auto"/>
              <w:right w:val="single" w:sz="4" w:space="0" w:color="auto"/>
            </w:tcBorders>
            <w:shd w:val="clear" w:color="000000" w:fill="FFFFFF"/>
            <w:noWrap/>
            <w:vAlign w:val="center"/>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45 039</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187 530</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194 284</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201 146</w:t>
            </w:r>
          </w:p>
        </w:tc>
      </w:tr>
    </w:tbl>
    <w:p w:rsidR="007D13F3" w:rsidRPr="0003125D" w:rsidRDefault="007D13F3" w:rsidP="007D13F3">
      <w:pPr>
        <w:jc w:val="both"/>
        <w:rPr>
          <w:rFonts w:ascii="Times New Roman" w:hAnsi="Times New Roman" w:cs="Times New Roman"/>
          <w:b/>
        </w:rPr>
      </w:pPr>
    </w:p>
    <w:p w:rsidR="007D13F3" w:rsidRPr="0003125D" w:rsidRDefault="007D13F3" w:rsidP="007D13F3">
      <w:pPr>
        <w:ind w:firstLine="708"/>
        <w:jc w:val="both"/>
        <w:rPr>
          <w:rFonts w:ascii="Times New Roman" w:hAnsi="Times New Roman" w:cs="Times New Roman"/>
        </w:rPr>
      </w:pPr>
      <w:r w:rsidRPr="0003125D">
        <w:rPr>
          <w:rFonts w:ascii="Times New Roman" w:hAnsi="Times New Roman" w:cs="Times New Roman"/>
        </w:rPr>
        <w:t>Celkové zdroje kapitoly sa na rok 201</w:t>
      </w:r>
      <w:r>
        <w:rPr>
          <w:rFonts w:ascii="Times New Roman" w:hAnsi="Times New Roman" w:cs="Times New Roman"/>
        </w:rPr>
        <w:t>8</w:t>
      </w:r>
      <w:r w:rsidRPr="0003125D">
        <w:rPr>
          <w:rFonts w:ascii="Times New Roman" w:hAnsi="Times New Roman" w:cs="Times New Roman"/>
        </w:rPr>
        <w:t xml:space="preserve"> rozpočtujú vo výške </w:t>
      </w:r>
      <w:r>
        <w:rPr>
          <w:rFonts w:ascii="Times New Roman" w:hAnsi="Times New Roman" w:cs="Times New Roman"/>
        </w:rPr>
        <w:t>280</w:t>
      </w:r>
      <w:r w:rsidRPr="0003125D">
        <w:rPr>
          <w:rFonts w:ascii="Times New Roman" w:hAnsi="Times New Roman" w:cs="Times New Roman"/>
        </w:rPr>
        <w:t xml:space="preserve"> mil. eur. Oproti schválenému rozpočtu roku 201</w:t>
      </w:r>
      <w:r>
        <w:rPr>
          <w:rFonts w:ascii="Times New Roman" w:hAnsi="Times New Roman" w:cs="Times New Roman"/>
        </w:rPr>
        <w:t>7</w:t>
      </w:r>
      <w:r w:rsidRPr="0003125D">
        <w:rPr>
          <w:rFonts w:ascii="Times New Roman" w:hAnsi="Times New Roman" w:cs="Times New Roman"/>
        </w:rPr>
        <w:t xml:space="preserve"> dochádza k ich nárastu o</w:t>
      </w:r>
      <w:r>
        <w:rPr>
          <w:rFonts w:ascii="Times New Roman" w:hAnsi="Times New Roman" w:cs="Times New Roman"/>
        </w:rPr>
        <w:t> 36,5 mil. eur, t. j. o 15,0</w:t>
      </w:r>
      <w:r w:rsidRPr="0003125D">
        <w:rPr>
          <w:rFonts w:ascii="Times New Roman" w:hAnsi="Times New Roman" w:cs="Times New Roman"/>
        </w:rPr>
        <w:t xml:space="preserve"> %.</w:t>
      </w:r>
    </w:p>
    <w:p w:rsidR="007D13F3" w:rsidRPr="0003125D" w:rsidRDefault="007D13F3" w:rsidP="007D13F3">
      <w:pPr>
        <w:jc w:val="both"/>
        <w:rPr>
          <w:rFonts w:ascii="Times New Roman" w:hAnsi="Times New Roman" w:cs="Times New Roman"/>
          <w:color w:val="FF0000"/>
        </w:rPr>
      </w:pPr>
    </w:p>
    <w:p w:rsidR="007D13F3" w:rsidRPr="004B1BA9" w:rsidRDefault="007D13F3" w:rsidP="007D13F3">
      <w:pPr>
        <w:ind w:firstLine="708"/>
        <w:jc w:val="both"/>
        <w:rPr>
          <w:rFonts w:ascii="Times New Roman" w:hAnsi="Times New Roman" w:cs="Times New Roman"/>
          <w:color w:val="FF0000"/>
        </w:rPr>
      </w:pPr>
      <w:r>
        <w:rPr>
          <w:rFonts w:ascii="Times New Roman" w:hAnsi="Times New Roman" w:cs="Times New Roman"/>
        </w:rPr>
        <w:t>Objem osobných výdavkov na rok 2018 sa rozpočtuje v sume</w:t>
      </w:r>
      <w:r w:rsidRPr="0003125D">
        <w:rPr>
          <w:rFonts w:ascii="Times New Roman" w:hAnsi="Times New Roman" w:cs="Times New Roman"/>
        </w:rPr>
        <w:t xml:space="preserve"> </w:t>
      </w:r>
      <w:r>
        <w:rPr>
          <w:rFonts w:ascii="Times New Roman" w:hAnsi="Times New Roman" w:cs="Times New Roman"/>
        </w:rPr>
        <w:t>18,5</w:t>
      </w:r>
      <w:r w:rsidRPr="0003125D">
        <w:rPr>
          <w:rFonts w:ascii="Times New Roman" w:hAnsi="Times New Roman" w:cs="Times New Roman"/>
        </w:rPr>
        <w:t xml:space="preserve"> mil. eur</w:t>
      </w:r>
      <w:r>
        <w:rPr>
          <w:rFonts w:ascii="Times New Roman" w:hAnsi="Times New Roman" w:cs="Times New Roman"/>
        </w:rPr>
        <w:t xml:space="preserve">, čo v porovnaní so schváleným rozpočtom roku 2017 predstavuje zvýšenie </w:t>
      </w:r>
      <w:r w:rsidRPr="0003125D">
        <w:rPr>
          <w:rFonts w:ascii="Times New Roman" w:hAnsi="Times New Roman" w:cs="Times New Roman"/>
        </w:rPr>
        <w:t>o</w:t>
      </w:r>
      <w:r>
        <w:rPr>
          <w:rFonts w:ascii="Times New Roman" w:hAnsi="Times New Roman" w:cs="Times New Roman"/>
        </w:rPr>
        <w:t> 1,54 mil. eur,</w:t>
      </w:r>
      <w:r w:rsidRPr="0003125D">
        <w:rPr>
          <w:rFonts w:ascii="Times New Roman" w:hAnsi="Times New Roman" w:cs="Times New Roman"/>
        </w:rPr>
        <w:t xml:space="preserve"> t. j. o</w:t>
      </w:r>
      <w:r>
        <w:rPr>
          <w:rFonts w:ascii="Times New Roman" w:hAnsi="Times New Roman" w:cs="Times New Roman"/>
        </w:rPr>
        <w:t> 9,1</w:t>
      </w:r>
      <w:r w:rsidRPr="0003125D">
        <w:rPr>
          <w:rFonts w:ascii="Times New Roman" w:hAnsi="Times New Roman" w:cs="Times New Roman"/>
        </w:rPr>
        <w:t xml:space="preserve"> %. </w:t>
      </w:r>
      <w:r w:rsidRPr="008C3397">
        <w:rPr>
          <w:rFonts w:ascii="Times New Roman" w:hAnsi="Times New Roman" w:cs="Times New Roman"/>
        </w:rPr>
        <w:t>Okrem nárastu z titulu valorizácie platov z roku 201</w:t>
      </w:r>
      <w:r>
        <w:rPr>
          <w:rFonts w:ascii="Times New Roman" w:hAnsi="Times New Roman" w:cs="Times New Roman"/>
        </w:rPr>
        <w:t>7</w:t>
      </w:r>
      <w:r w:rsidRPr="008C3397">
        <w:rPr>
          <w:rFonts w:ascii="Times New Roman" w:hAnsi="Times New Roman" w:cs="Times New Roman"/>
        </w:rPr>
        <w:t xml:space="preserve"> je v </w:t>
      </w:r>
      <w:r w:rsidRPr="00821CD7">
        <w:rPr>
          <w:rFonts w:ascii="Times New Roman" w:hAnsi="Times New Roman" w:cs="Times New Roman"/>
        </w:rPr>
        <w:t xml:space="preserve">limite osobných výdavkov zohľadnená </w:t>
      </w:r>
      <w:r w:rsidR="00431F54" w:rsidRPr="00821CD7">
        <w:rPr>
          <w:rFonts w:ascii="Times New Roman" w:hAnsi="Times New Roman" w:cs="Times New Roman"/>
        </w:rPr>
        <w:t xml:space="preserve">aj </w:t>
      </w:r>
      <w:r w:rsidRPr="00821CD7">
        <w:rPr>
          <w:rFonts w:ascii="Times New Roman" w:hAnsi="Times New Roman" w:cs="Times New Roman"/>
        </w:rPr>
        <w:t>udržateľnosť projektov, ktoré realiz</w:t>
      </w:r>
      <w:r>
        <w:rPr>
          <w:rFonts w:ascii="Times New Roman" w:hAnsi="Times New Roman" w:cs="Times New Roman"/>
        </w:rPr>
        <w:t>ovalo</w:t>
      </w:r>
      <w:r w:rsidRPr="00821CD7">
        <w:rPr>
          <w:rFonts w:ascii="Times New Roman" w:hAnsi="Times New Roman" w:cs="Times New Roman"/>
        </w:rPr>
        <w:t xml:space="preserve"> ministerstvo kultúry v rámci OPIS</w:t>
      </w:r>
      <w:r>
        <w:rPr>
          <w:rFonts w:ascii="Times New Roman" w:hAnsi="Times New Roman" w:cs="Times New Roman"/>
        </w:rPr>
        <w:t>, zvýšenie počtu zamestnancov o 14 osôb a posilnenie odmeňovania zamestnancov organizácií rezortu</w:t>
      </w:r>
      <w:r w:rsidRPr="00821CD7">
        <w:rPr>
          <w:rFonts w:ascii="Times New Roman" w:hAnsi="Times New Roman" w:cs="Times New Roman"/>
        </w:rPr>
        <w:t>.</w:t>
      </w:r>
      <w:r>
        <w:rPr>
          <w:rFonts w:ascii="Times New Roman" w:hAnsi="Times New Roman" w:cs="Times New Roman"/>
        </w:rPr>
        <w:t xml:space="preserve"> </w:t>
      </w:r>
    </w:p>
    <w:p w:rsidR="007D13F3" w:rsidRPr="0003125D" w:rsidRDefault="00431F54" w:rsidP="007D13F3">
      <w:pPr>
        <w:jc w:val="both"/>
        <w:rPr>
          <w:rFonts w:ascii="Times New Roman" w:hAnsi="Times New Roman" w:cs="Times New Roman"/>
          <w:color w:val="FF0000"/>
        </w:rPr>
      </w:pPr>
      <w:r>
        <w:rPr>
          <w:rFonts w:ascii="Times New Roman" w:hAnsi="Times New Roman" w:cs="Times New Roman"/>
          <w:color w:val="FF0000"/>
        </w:rPr>
        <w:t xml:space="preserve"> </w:t>
      </w:r>
    </w:p>
    <w:p w:rsidR="007D13F3" w:rsidRDefault="007D13F3" w:rsidP="007D13F3">
      <w:pPr>
        <w:ind w:firstLine="708"/>
        <w:jc w:val="both"/>
        <w:rPr>
          <w:rFonts w:ascii="Times New Roman" w:hAnsi="Times New Roman" w:cs="Times New Roman"/>
        </w:rPr>
      </w:pPr>
      <w:r w:rsidRPr="0003125D">
        <w:rPr>
          <w:rFonts w:ascii="Times New Roman" w:hAnsi="Times New Roman" w:cs="Times New Roman"/>
        </w:rPr>
        <w:t xml:space="preserve">Prostriedky na tovary a služby predstavujú </w:t>
      </w:r>
      <w:r>
        <w:rPr>
          <w:rFonts w:ascii="Times New Roman" w:hAnsi="Times New Roman" w:cs="Times New Roman"/>
        </w:rPr>
        <w:t>21,5</w:t>
      </w:r>
      <w:r w:rsidRPr="0003125D">
        <w:rPr>
          <w:rFonts w:ascii="Times New Roman" w:hAnsi="Times New Roman" w:cs="Times New Roman"/>
        </w:rPr>
        <w:t xml:space="preserve"> mil. eur, čo je </w:t>
      </w:r>
      <w:r>
        <w:rPr>
          <w:rFonts w:ascii="Times New Roman" w:hAnsi="Times New Roman" w:cs="Times New Roman"/>
        </w:rPr>
        <w:t>306</w:t>
      </w:r>
      <w:r w:rsidRPr="0003125D">
        <w:rPr>
          <w:rFonts w:ascii="Times New Roman" w:hAnsi="Times New Roman" w:cs="Times New Roman"/>
        </w:rPr>
        <w:t xml:space="preserve"> </w:t>
      </w:r>
      <w:r>
        <w:rPr>
          <w:rFonts w:ascii="Times New Roman" w:hAnsi="Times New Roman" w:cs="Times New Roman"/>
        </w:rPr>
        <w:t>t</w:t>
      </w:r>
      <w:r w:rsidRPr="0003125D">
        <w:rPr>
          <w:rFonts w:ascii="Times New Roman" w:hAnsi="Times New Roman" w:cs="Times New Roman"/>
        </w:rPr>
        <w:t>i</w:t>
      </w:r>
      <w:r>
        <w:rPr>
          <w:rFonts w:ascii="Times New Roman" w:hAnsi="Times New Roman" w:cs="Times New Roman"/>
        </w:rPr>
        <w:t>s</w:t>
      </w:r>
      <w:r w:rsidRPr="0003125D">
        <w:rPr>
          <w:rFonts w:ascii="Times New Roman" w:hAnsi="Times New Roman" w:cs="Times New Roman"/>
        </w:rPr>
        <w:t xml:space="preserve">. eur </w:t>
      </w:r>
      <w:r>
        <w:rPr>
          <w:rFonts w:ascii="Times New Roman" w:hAnsi="Times New Roman" w:cs="Times New Roman"/>
        </w:rPr>
        <w:t>nad</w:t>
      </w:r>
      <w:r w:rsidRPr="0003125D">
        <w:rPr>
          <w:rFonts w:ascii="Times New Roman" w:hAnsi="Times New Roman" w:cs="Times New Roman"/>
        </w:rPr>
        <w:t xml:space="preserve"> úrovňou schváleného rozpočtu roku 201</w:t>
      </w:r>
      <w:r>
        <w:rPr>
          <w:rFonts w:ascii="Times New Roman" w:hAnsi="Times New Roman" w:cs="Times New Roman"/>
        </w:rPr>
        <w:t>7</w:t>
      </w:r>
      <w:r w:rsidRPr="0003125D">
        <w:rPr>
          <w:rFonts w:ascii="Times New Roman" w:hAnsi="Times New Roman" w:cs="Times New Roman"/>
        </w:rPr>
        <w:t xml:space="preserve">. </w:t>
      </w:r>
      <w:r w:rsidRPr="008C3397">
        <w:rPr>
          <w:rFonts w:ascii="Times New Roman" w:hAnsi="Times New Roman" w:cs="Times New Roman"/>
        </w:rPr>
        <w:t>Zvýšenie je spôsobené zohľadnením udržateľnosti projektov  v rámci OPIS</w:t>
      </w:r>
      <w:r>
        <w:rPr>
          <w:rFonts w:ascii="Times New Roman" w:hAnsi="Times New Roman" w:cs="Times New Roman"/>
        </w:rPr>
        <w:t xml:space="preserve">-u. </w:t>
      </w:r>
    </w:p>
    <w:p w:rsidR="007D13F3" w:rsidRDefault="007D13F3" w:rsidP="007D13F3">
      <w:pPr>
        <w:ind w:firstLine="708"/>
        <w:jc w:val="both"/>
        <w:rPr>
          <w:rFonts w:ascii="Times New Roman" w:hAnsi="Times New Roman" w:cs="Times New Roman"/>
        </w:rPr>
      </w:pPr>
    </w:p>
    <w:p w:rsidR="007D13F3" w:rsidRPr="0090087E" w:rsidRDefault="007D13F3" w:rsidP="007D13F3">
      <w:pPr>
        <w:ind w:firstLine="708"/>
        <w:jc w:val="both"/>
        <w:rPr>
          <w:rFonts w:ascii="Times New Roman" w:hAnsi="Times New Roman" w:cs="Times New Roman"/>
        </w:rPr>
      </w:pPr>
      <w:r w:rsidRPr="0003125D">
        <w:rPr>
          <w:rFonts w:ascii="Times New Roman" w:hAnsi="Times New Roman" w:cs="Times New Roman"/>
        </w:rPr>
        <w:t>Výdavky na bežné transfery sú rozpočtované v </w:t>
      </w:r>
      <w:r>
        <w:rPr>
          <w:rFonts w:ascii="Times New Roman" w:hAnsi="Times New Roman" w:cs="Times New Roman"/>
        </w:rPr>
        <w:t>sume</w:t>
      </w:r>
      <w:r w:rsidRPr="0003125D">
        <w:rPr>
          <w:rFonts w:ascii="Times New Roman" w:hAnsi="Times New Roman" w:cs="Times New Roman"/>
        </w:rPr>
        <w:t xml:space="preserve"> </w:t>
      </w:r>
      <w:r>
        <w:rPr>
          <w:rFonts w:ascii="Times New Roman" w:hAnsi="Times New Roman" w:cs="Times New Roman"/>
        </w:rPr>
        <w:t>203</w:t>
      </w:r>
      <w:r w:rsidRPr="0003125D">
        <w:rPr>
          <w:rFonts w:ascii="Times New Roman" w:hAnsi="Times New Roman" w:cs="Times New Roman"/>
        </w:rPr>
        <w:t xml:space="preserve"> mil. eur s medziročným nárastom o</w:t>
      </w:r>
      <w:r>
        <w:rPr>
          <w:rFonts w:ascii="Times New Roman" w:hAnsi="Times New Roman" w:cs="Times New Roman"/>
        </w:rPr>
        <w:t xml:space="preserve"> 17,9 </w:t>
      </w:r>
      <w:r w:rsidRPr="0003125D">
        <w:rPr>
          <w:rFonts w:ascii="Times New Roman" w:hAnsi="Times New Roman" w:cs="Times New Roman"/>
        </w:rPr>
        <w:t>mil. eur, t. j. o</w:t>
      </w:r>
      <w:r>
        <w:rPr>
          <w:rFonts w:ascii="Times New Roman" w:hAnsi="Times New Roman" w:cs="Times New Roman"/>
        </w:rPr>
        <w:t> 9,67</w:t>
      </w:r>
      <w:r w:rsidRPr="0003125D">
        <w:rPr>
          <w:rFonts w:ascii="Times New Roman" w:hAnsi="Times New Roman" w:cs="Times New Roman"/>
        </w:rPr>
        <w:t xml:space="preserve"> %, predovšetkým </w:t>
      </w:r>
      <w:r w:rsidRPr="0090087E">
        <w:rPr>
          <w:rFonts w:ascii="Times New Roman" w:hAnsi="Times New Roman" w:cs="Times New Roman"/>
        </w:rPr>
        <w:t xml:space="preserve">z dôvodu zvýšenia objemu prostriedkov </w:t>
      </w:r>
      <w:r>
        <w:rPr>
          <w:rFonts w:ascii="Times New Roman" w:hAnsi="Times New Roman" w:cs="Times New Roman"/>
        </w:rPr>
        <w:t xml:space="preserve">na valorizáciu platov z roku 2017 </w:t>
      </w:r>
      <w:r w:rsidRPr="0090087E">
        <w:rPr>
          <w:rFonts w:ascii="Times New Roman" w:hAnsi="Times New Roman" w:cs="Times New Roman"/>
        </w:rPr>
        <w:t xml:space="preserve">pre </w:t>
      </w:r>
      <w:r>
        <w:rPr>
          <w:rFonts w:ascii="Times New Roman" w:hAnsi="Times New Roman" w:cs="Times New Roman"/>
        </w:rPr>
        <w:t>zamestnancov</w:t>
      </w:r>
      <w:r w:rsidRPr="0090087E">
        <w:rPr>
          <w:rFonts w:ascii="Times New Roman" w:hAnsi="Times New Roman" w:cs="Times New Roman"/>
        </w:rPr>
        <w:t xml:space="preserve"> príspevkov</w:t>
      </w:r>
      <w:r>
        <w:rPr>
          <w:rFonts w:ascii="Times New Roman" w:hAnsi="Times New Roman" w:cs="Times New Roman"/>
        </w:rPr>
        <w:t>ých</w:t>
      </w:r>
      <w:r w:rsidRPr="0090087E">
        <w:rPr>
          <w:rFonts w:ascii="Times New Roman" w:hAnsi="Times New Roman" w:cs="Times New Roman"/>
        </w:rPr>
        <w:t xml:space="preserve"> organizáci</w:t>
      </w:r>
      <w:r>
        <w:rPr>
          <w:rFonts w:ascii="Times New Roman" w:hAnsi="Times New Roman" w:cs="Times New Roman"/>
        </w:rPr>
        <w:t>í</w:t>
      </w:r>
      <w:r w:rsidRPr="0090087E">
        <w:rPr>
          <w:rFonts w:ascii="Times New Roman" w:hAnsi="Times New Roman" w:cs="Times New Roman"/>
        </w:rPr>
        <w:t xml:space="preserve"> rezortu </w:t>
      </w:r>
      <w:r w:rsidRPr="00E466D6">
        <w:rPr>
          <w:rFonts w:ascii="Times New Roman" w:hAnsi="Times New Roman" w:cs="Times New Roman"/>
        </w:rPr>
        <w:t>a zabezpečenia udržateľnosti projektov OPIS.</w:t>
      </w:r>
      <w:r>
        <w:rPr>
          <w:rFonts w:ascii="Times New Roman" w:hAnsi="Times New Roman" w:cs="Times New Roman"/>
        </w:rPr>
        <w:t xml:space="preserve"> Ďalej sú zapracované výdavky na nevyhnutné opravy a predchádzanie havarijných stavov v objektoch príspevkových organizácií, podpora kultúrnych a nevykrytých aktivít </w:t>
      </w:r>
      <w:r w:rsidR="0061184E">
        <w:rPr>
          <w:rFonts w:ascii="Times New Roman" w:hAnsi="Times New Roman" w:cs="Times New Roman"/>
        </w:rPr>
        <w:t xml:space="preserve">rozpočtových </w:t>
      </w:r>
      <w:r>
        <w:rPr>
          <w:rFonts w:ascii="Times New Roman" w:hAnsi="Times New Roman" w:cs="Times New Roman"/>
        </w:rPr>
        <w:t>a</w:t>
      </w:r>
      <w:r w:rsidR="0061184E">
        <w:rPr>
          <w:rFonts w:ascii="Times New Roman" w:hAnsi="Times New Roman" w:cs="Times New Roman"/>
        </w:rPr>
        <w:t> príspevkových organizácií</w:t>
      </w:r>
      <w:r>
        <w:rPr>
          <w:rFonts w:ascii="Times New Roman" w:hAnsi="Times New Roman" w:cs="Times New Roman"/>
        </w:rPr>
        <w:t xml:space="preserve">. </w:t>
      </w:r>
    </w:p>
    <w:p w:rsidR="007D13F3" w:rsidRPr="0003125D" w:rsidRDefault="007D13F3" w:rsidP="007D13F3">
      <w:pPr>
        <w:jc w:val="both"/>
        <w:rPr>
          <w:rFonts w:ascii="Times New Roman" w:hAnsi="Times New Roman" w:cs="Times New Roman"/>
          <w:color w:val="FF0000"/>
        </w:rPr>
      </w:pPr>
    </w:p>
    <w:p w:rsidR="007D13F3" w:rsidRDefault="007D13F3" w:rsidP="007D13F3">
      <w:pPr>
        <w:ind w:firstLine="708"/>
        <w:jc w:val="both"/>
        <w:rPr>
          <w:rFonts w:ascii="Times New Roman" w:hAnsi="Times New Roman" w:cs="Times New Roman"/>
        </w:rPr>
      </w:pPr>
      <w:r w:rsidRPr="0003125D">
        <w:rPr>
          <w:rFonts w:ascii="Times New Roman" w:hAnsi="Times New Roman" w:cs="Times New Roman"/>
        </w:rPr>
        <w:t>V rozpočte kapitoly sa na rok 201</w:t>
      </w:r>
      <w:r>
        <w:rPr>
          <w:rFonts w:ascii="Times New Roman" w:hAnsi="Times New Roman" w:cs="Times New Roman"/>
        </w:rPr>
        <w:t>8</w:t>
      </w:r>
      <w:r w:rsidRPr="0003125D">
        <w:rPr>
          <w:rFonts w:ascii="Times New Roman" w:hAnsi="Times New Roman" w:cs="Times New Roman"/>
        </w:rPr>
        <w:t xml:space="preserve"> navrhujú kapitálové výdavky v celkovej sume </w:t>
      </w:r>
      <w:r w:rsidRPr="0003125D">
        <w:rPr>
          <w:rFonts w:ascii="Times New Roman" w:hAnsi="Times New Roman" w:cs="Times New Roman"/>
        </w:rPr>
        <w:br/>
      </w:r>
      <w:r>
        <w:rPr>
          <w:rFonts w:ascii="Times New Roman" w:hAnsi="Times New Roman" w:cs="Times New Roman"/>
        </w:rPr>
        <w:t>37,0</w:t>
      </w:r>
      <w:r w:rsidRPr="0003125D">
        <w:rPr>
          <w:rFonts w:ascii="Times New Roman" w:hAnsi="Times New Roman" w:cs="Times New Roman"/>
        </w:rPr>
        <w:t xml:space="preserve"> mil. eur, čo predstavuje </w:t>
      </w:r>
      <w:r>
        <w:rPr>
          <w:rFonts w:ascii="Times New Roman" w:hAnsi="Times New Roman" w:cs="Times New Roman"/>
        </w:rPr>
        <w:t xml:space="preserve">nárast </w:t>
      </w:r>
      <w:r w:rsidRPr="0003125D">
        <w:rPr>
          <w:rFonts w:ascii="Times New Roman" w:hAnsi="Times New Roman" w:cs="Times New Roman"/>
        </w:rPr>
        <w:t>o</w:t>
      </w:r>
      <w:r>
        <w:rPr>
          <w:rFonts w:ascii="Times New Roman" w:hAnsi="Times New Roman" w:cs="Times New Roman"/>
        </w:rPr>
        <w:t> 16,7 mil. eur</w:t>
      </w:r>
      <w:r w:rsidRPr="0003125D">
        <w:rPr>
          <w:rFonts w:ascii="Times New Roman" w:hAnsi="Times New Roman" w:cs="Times New Roman"/>
        </w:rPr>
        <w:t xml:space="preserve"> oproti schválenému rozpočtu predchádzajúceho roku</w:t>
      </w:r>
      <w:r>
        <w:rPr>
          <w:rFonts w:ascii="Times New Roman" w:hAnsi="Times New Roman" w:cs="Times New Roman"/>
        </w:rPr>
        <w:t>. Nárast súvisí s pokračovaním</w:t>
      </w:r>
      <w:r w:rsidRPr="0003125D">
        <w:rPr>
          <w:rFonts w:ascii="Times New Roman" w:hAnsi="Times New Roman" w:cs="Times New Roman"/>
        </w:rPr>
        <w:t xml:space="preserve"> </w:t>
      </w:r>
      <w:r>
        <w:rPr>
          <w:rFonts w:ascii="Times New Roman" w:hAnsi="Times New Roman" w:cs="Times New Roman"/>
        </w:rPr>
        <w:t xml:space="preserve">prác na rekonštrukcii a modernizácii Slovenskej národnej galérie, rekonštrukciou budovy Slovenskej národnej knižnice v Martine, vypracovaním projektovej dokumentácie pre SND, vybudovanie depozitára pre SNM – Sereď, udržateľnosťou projektov, nákupom motorových vozidiel ako aj zabezpečením investičných projektov ostatnými subjektami verejnej správy. </w:t>
      </w:r>
    </w:p>
    <w:p w:rsidR="007D13F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Pr>
          <w:rFonts w:ascii="Times New Roman" w:hAnsi="Times New Roman" w:cs="Times New Roman"/>
        </w:rPr>
        <w:t xml:space="preserve">MK SR na rok 2018 rozpočtuje výdavky na samostatnom účte v celkovej sume </w:t>
      </w:r>
      <w:r w:rsidR="00431F54">
        <w:rPr>
          <w:rFonts w:ascii="Times New Roman" w:hAnsi="Times New Roman" w:cs="Times New Roman"/>
        </w:rPr>
        <w:br/>
      </w:r>
      <w:r>
        <w:rPr>
          <w:rFonts w:ascii="Times New Roman" w:hAnsi="Times New Roman" w:cs="Times New Roman"/>
        </w:rPr>
        <w:t>187 tis. eur súvisiace s podnikateľskou činnosťou príspevkových organizácií.</w:t>
      </w:r>
    </w:p>
    <w:p w:rsidR="007D13F3" w:rsidRPr="00224CEC"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03125D">
        <w:rPr>
          <w:rFonts w:ascii="Times New Roman" w:hAnsi="Times New Roman" w:cs="Times New Roman"/>
        </w:rPr>
        <w:t>Rozpočtované výdavky kapitoly pokrývajú nasledujúce oblasti.</w:t>
      </w:r>
    </w:p>
    <w:p w:rsidR="007D13F3" w:rsidRDefault="007D13F3" w:rsidP="007D13F3">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282"/>
        <w:gridCol w:w="977"/>
        <w:gridCol w:w="977"/>
        <w:gridCol w:w="978"/>
        <w:gridCol w:w="962"/>
        <w:gridCol w:w="962"/>
        <w:gridCol w:w="962"/>
        <w:gridCol w:w="962"/>
      </w:tblGrid>
      <w:tr w:rsidR="007D13F3" w:rsidRPr="009D5B31" w:rsidTr="00465CAC">
        <w:trPr>
          <w:trHeight w:hRule="exact" w:val="255"/>
        </w:trPr>
        <w:tc>
          <w:tcPr>
            <w:tcW w:w="1186"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9D5B31" w:rsidRDefault="007D13F3" w:rsidP="00465CAC">
            <w:pP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9D5B31">
              <w:rPr>
                <w:rFonts w:ascii="Times New Roman" w:hAnsi="Times New Roman" w:cs="Times New Roman"/>
                <w:b/>
                <w:bCs/>
                <w:color w:val="000000"/>
                <w:sz w:val="14"/>
                <w:szCs w:val="14"/>
                <w:lang w:eastAsia="sk-SK"/>
              </w:rPr>
              <w:t>eurách</w:t>
            </w:r>
          </w:p>
        </w:tc>
        <w:tc>
          <w:tcPr>
            <w:tcW w:w="550"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9D5B31" w:rsidRDefault="007D13F3" w:rsidP="00465CAC">
            <w:pPr>
              <w:jc w:val="cente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2015 S</w:t>
            </w:r>
          </w:p>
        </w:tc>
        <w:tc>
          <w:tcPr>
            <w:tcW w:w="550"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9D5B31" w:rsidRDefault="007D13F3" w:rsidP="00465CAC">
            <w:pPr>
              <w:jc w:val="cente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2016 S</w:t>
            </w:r>
          </w:p>
        </w:tc>
        <w:tc>
          <w:tcPr>
            <w:tcW w:w="550"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9D5B31" w:rsidRDefault="007D13F3" w:rsidP="00465CAC">
            <w:pPr>
              <w:jc w:val="cente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2017 R</w:t>
            </w:r>
          </w:p>
        </w:tc>
        <w:tc>
          <w:tcPr>
            <w:tcW w:w="5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9D5B31" w:rsidRDefault="007D13F3" w:rsidP="00465CAC">
            <w:pPr>
              <w:jc w:val="cente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2017 OS</w:t>
            </w:r>
          </w:p>
        </w:tc>
        <w:tc>
          <w:tcPr>
            <w:tcW w:w="5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9D5B31" w:rsidRDefault="007D13F3" w:rsidP="00465CAC">
            <w:pPr>
              <w:jc w:val="cente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2018 N</w:t>
            </w:r>
          </w:p>
        </w:tc>
        <w:tc>
          <w:tcPr>
            <w:tcW w:w="5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9D5B31" w:rsidRDefault="007D13F3" w:rsidP="00465CAC">
            <w:pPr>
              <w:jc w:val="cente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2019 N</w:t>
            </w:r>
          </w:p>
        </w:tc>
        <w:tc>
          <w:tcPr>
            <w:tcW w:w="5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9D5B31" w:rsidRDefault="007D13F3" w:rsidP="00465CAC">
            <w:pPr>
              <w:jc w:val="cente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2020 N</w:t>
            </w:r>
          </w:p>
        </w:tc>
      </w:tr>
      <w:tr w:rsidR="007D13F3" w:rsidRPr="009D5B31" w:rsidTr="00465CAC">
        <w:trPr>
          <w:trHeight w:hRule="exact" w:val="255"/>
        </w:trPr>
        <w:tc>
          <w:tcPr>
            <w:tcW w:w="1186" w:type="pct"/>
            <w:tcBorders>
              <w:top w:val="nil"/>
              <w:left w:val="single" w:sz="4" w:space="0" w:color="auto"/>
              <w:bottom w:val="single" w:sz="4" w:space="0" w:color="auto"/>
              <w:right w:val="single" w:sz="4" w:space="0" w:color="auto"/>
            </w:tcBorders>
            <w:shd w:val="clear" w:color="000000" w:fill="BFBFBF"/>
            <w:noWrap/>
            <w:vAlign w:val="bottom"/>
            <w:hideMark/>
          </w:tcPr>
          <w:p w:rsidR="007D13F3" w:rsidRPr="009D5B31" w:rsidRDefault="007D13F3" w:rsidP="00465CAC">
            <w:pP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Zdroje príslušnej kapitoly</w:t>
            </w:r>
          </w:p>
        </w:tc>
        <w:tc>
          <w:tcPr>
            <w:tcW w:w="550" w:type="pct"/>
            <w:tcBorders>
              <w:top w:val="nil"/>
              <w:left w:val="nil"/>
              <w:bottom w:val="single" w:sz="4" w:space="0" w:color="auto"/>
              <w:right w:val="single" w:sz="4" w:space="0" w:color="auto"/>
            </w:tcBorders>
            <w:shd w:val="clear" w:color="000000" w:fill="BFBFBF"/>
            <w:vAlign w:val="bottom"/>
            <w:hideMark/>
          </w:tcPr>
          <w:p w:rsidR="007D13F3" w:rsidRPr="009D5B31" w:rsidRDefault="007D13F3" w:rsidP="00465CAC">
            <w:pPr>
              <w:jc w:val="right"/>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242 263 580</w:t>
            </w:r>
          </w:p>
        </w:tc>
        <w:tc>
          <w:tcPr>
            <w:tcW w:w="550" w:type="pct"/>
            <w:tcBorders>
              <w:top w:val="nil"/>
              <w:left w:val="nil"/>
              <w:bottom w:val="single" w:sz="4" w:space="0" w:color="auto"/>
              <w:right w:val="single" w:sz="4" w:space="0" w:color="auto"/>
            </w:tcBorders>
            <w:shd w:val="clear" w:color="000000" w:fill="BFBFBF"/>
            <w:vAlign w:val="bottom"/>
            <w:hideMark/>
          </w:tcPr>
          <w:p w:rsidR="007D13F3" w:rsidRPr="009D5B31" w:rsidRDefault="007D13F3" w:rsidP="00465CAC">
            <w:pPr>
              <w:jc w:val="right"/>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231 381 443</w:t>
            </w:r>
          </w:p>
        </w:tc>
        <w:tc>
          <w:tcPr>
            <w:tcW w:w="550" w:type="pct"/>
            <w:tcBorders>
              <w:top w:val="nil"/>
              <w:left w:val="nil"/>
              <w:bottom w:val="single" w:sz="4" w:space="0" w:color="auto"/>
              <w:right w:val="single" w:sz="4" w:space="0" w:color="auto"/>
            </w:tcBorders>
            <w:shd w:val="clear" w:color="000000" w:fill="BFBFBF"/>
            <w:vAlign w:val="bottom"/>
            <w:hideMark/>
          </w:tcPr>
          <w:p w:rsidR="007D13F3" w:rsidRPr="009D5B31" w:rsidRDefault="007D13F3" w:rsidP="00465CAC">
            <w:pPr>
              <w:jc w:val="right"/>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243 687 741</w:t>
            </w:r>
          </w:p>
        </w:tc>
        <w:tc>
          <w:tcPr>
            <w:tcW w:w="541" w:type="pct"/>
            <w:tcBorders>
              <w:top w:val="nil"/>
              <w:left w:val="nil"/>
              <w:bottom w:val="single" w:sz="4" w:space="0" w:color="auto"/>
              <w:right w:val="single" w:sz="4" w:space="0" w:color="auto"/>
            </w:tcBorders>
            <w:shd w:val="clear" w:color="000000" w:fill="BFBFBF"/>
            <w:vAlign w:val="bottom"/>
            <w:hideMark/>
          </w:tcPr>
          <w:p w:rsidR="007D13F3" w:rsidRPr="009D5B31" w:rsidRDefault="007D13F3" w:rsidP="00465CAC">
            <w:pPr>
              <w:jc w:val="right"/>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248 650 498</w:t>
            </w:r>
          </w:p>
        </w:tc>
        <w:tc>
          <w:tcPr>
            <w:tcW w:w="541" w:type="pct"/>
            <w:tcBorders>
              <w:top w:val="nil"/>
              <w:left w:val="nil"/>
              <w:bottom w:val="single" w:sz="4" w:space="0" w:color="auto"/>
              <w:right w:val="single" w:sz="4" w:space="0" w:color="auto"/>
            </w:tcBorders>
            <w:shd w:val="clear" w:color="000000" w:fill="BFBFBF"/>
            <w:vAlign w:val="bottom"/>
            <w:hideMark/>
          </w:tcPr>
          <w:p w:rsidR="007D13F3" w:rsidRPr="009D5B31" w:rsidRDefault="007D13F3" w:rsidP="00465CAC">
            <w:pPr>
              <w:jc w:val="right"/>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280 159 727</w:t>
            </w:r>
          </w:p>
        </w:tc>
        <w:tc>
          <w:tcPr>
            <w:tcW w:w="541" w:type="pct"/>
            <w:tcBorders>
              <w:top w:val="nil"/>
              <w:left w:val="nil"/>
              <w:bottom w:val="single" w:sz="4" w:space="0" w:color="auto"/>
              <w:right w:val="single" w:sz="4" w:space="0" w:color="auto"/>
            </w:tcBorders>
            <w:shd w:val="clear" w:color="000000" w:fill="BFBFBF"/>
            <w:vAlign w:val="bottom"/>
            <w:hideMark/>
          </w:tcPr>
          <w:p w:rsidR="007D13F3" w:rsidRPr="009D5B31" w:rsidRDefault="007D13F3" w:rsidP="00465CAC">
            <w:pPr>
              <w:jc w:val="right"/>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245 821 403</w:t>
            </w:r>
          </w:p>
        </w:tc>
        <w:tc>
          <w:tcPr>
            <w:tcW w:w="541" w:type="pct"/>
            <w:tcBorders>
              <w:top w:val="nil"/>
              <w:left w:val="nil"/>
              <w:bottom w:val="single" w:sz="4" w:space="0" w:color="auto"/>
              <w:right w:val="single" w:sz="4" w:space="0" w:color="auto"/>
            </w:tcBorders>
            <w:shd w:val="clear" w:color="000000" w:fill="BFBFBF"/>
            <w:vAlign w:val="bottom"/>
            <w:hideMark/>
          </w:tcPr>
          <w:p w:rsidR="007D13F3" w:rsidRPr="009D5B31" w:rsidRDefault="007D13F3" w:rsidP="00465CAC">
            <w:pPr>
              <w:jc w:val="right"/>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245 681 403</w:t>
            </w:r>
          </w:p>
        </w:tc>
      </w:tr>
      <w:tr w:rsidR="007D13F3" w:rsidRPr="009D5B31" w:rsidTr="00465CAC">
        <w:trPr>
          <w:trHeight w:hRule="exact" w:val="255"/>
        </w:trPr>
        <w:tc>
          <w:tcPr>
            <w:tcW w:w="1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9D5B31" w:rsidRDefault="007D13F3" w:rsidP="00465CAC">
            <w:pPr>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Inštitucionálna podpora organizácií</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89 544 862</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113 642 820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121 131 982</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122 402 224</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146 053 972</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112 185 035</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112 185 035</w:t>
            </w:r>
          </w:p>
        </w:tc>
      </w:tr>
      <w:tr w:rsidR="007D13F3" w:rsidRPr="009D5B31" w:rsidTr="00465CAC">
        <w:trPr>
          <w:trHeight w:hRule="exact" w:val="255"/>
        </w:trPr>
        <w:tc>
          <w:tcPr>
            <w:tcW w:w="1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9D5B31" w:rsidRDefault="007D13F3" w:rsidP="00465CAC">
            <w:pPr>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Grantový/Dotačný  systém*</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18 636 202</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9 105 292</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15 996 097</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15 996 097</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15 996 097</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15 996 097</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15 996 097</w:t>
            </w:r>
          </w:p>
        </w:tc>
      </w:tr>
      <w:tr w:rsidR="007D13F3" w:rsidRPr="009D5B31" w:rsidTr="00465CAC">
        <w:trPr>
          <w:trHeight w:hRule="exact" w:val="255"/>
        </w:trPr>
        <w:tc>
          <w:tcPr>
            <w:tcW w:w="1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9D5B31" w:rsidRDefault="007D13F3" w:rsidP="00465CAC">
            <w:pPr>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Transfery pre verejnoprávne inštitúcie</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37 361 842</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49 600 559</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52 992 000</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54 911 110</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62 979 387</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62 510 000</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62 370 000</w:t>
            </w:r>
          </w:p>
        </w:tc>
      </w:tr>
      <w:tr w:rsidR="007D13F3" w:rsidRPr="009D5B31" w:rsidTr="00465CAC">
        <w:trPr>
          <w:trHeight w:hRule="exact" w:val="255"/>
        </w:trPr>
        <w:tc>
          <w:tcPr>
            <w:tcW w:w="1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9D5B31" w:rsidRDefault="007D13F3" w:rsidP="00465CAC">
            <w:pPr>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Strategické zámery kapitoly</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2 818 240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5 123 735</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2 810 332</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3 221 739</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2 819 992</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2 819 992</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2 819 992</w:t>
            </w:r>
          </w:p>
        </w:tc>
      </w:tr>
      <w:tr w:rsidR="007D13F3" w:rsidRPr="009D5B31" w:rsidTr="00465CAC">
        <w:trPr>
          <w:trHeight w:hRule="exact" w:val="255"/>
        </w:trPr>
        <w:tc>
          <w:tcPr>
            <w:tcW w:w="1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9D5B31" w:rsidRDefault="007D13F3" w:rsidP="00465CAC">
            <w:pPr>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 xml:space="preserve">Cirkvi a náboženské spoločnosti </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39 349 895</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40 216 154</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40 017 526</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41 276 265</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41 164 265</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41 164 265</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41 164 265</w:t>
            </w:r>
          </w:p>
        </w:tc>
      </w:tr>
      <w:tr w:rsidR="007D13F3" w:rsidRPr="009D5B31" w:rsidTr="00465CAC">
        <w:trPr>
          <w:trHeight w:hRule="exact" w:val="255"/>
        </w:trPr>
        <w:tc>
          <w:tcPr>
            <w:tcW w:w="1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9D5B31" w:rsidRDefault="007D13F3" w:rsidP="00465CAC">
            <w:pPr>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Aparát a iné výdavkové tituly</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54 552 539</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13 692 883</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8 939 804</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9 043 063</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9 346 014</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9 346 014</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9 346 014</w:t>
            </w:r>
          </w:p>
        </w:tc>
      </w:tr>
      <w:tr w:rsidR="007D13F3" w:rsidRPr="009D5B31" w:rsidTr="00465CAC">
        <w:trPr>
          <w:trHeight w:hRule="exact" w:val="255"/>
        </w:trPr>
        <w:tc>
          <w:tcPr>
            <w:tcW w:w="1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9D5B31" w:rsidRDefault="007D13F3" w:rsidP="00465CAC">
            <w:pPr>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Informačné technológie</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0</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0</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1 800 000</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1 800 000</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1 800 000</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1 800 000</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1 800 000</w:t>
            </w:r>
          </w:p>
        </w:tc>
      </w:tr>
    </w:tbl>
    <w:p w:rsidR="007D13F3" w:rsidRPr="00181E08" w:rsidRDefault="007D13F3" w:rsidP="007D13F3">
      <w:pPr>
        <w:jc w:val="both"/>
        <w:rPr>
          <w:rFonts w:ascii="Times New Roman" w:hAnsi="Times New Roman" w:cs="Times New Roman"/>
          <w:color w:val="000000"/>
          <w:sz w:val="14"/>
          <w:szCs w:val="14"/>
          <w:lang w:eastAsia="sk-SK"/>
        </w:rPr>
      </w:pPr>
      <w:r w:rsidRPr="00181E08">
        <w:rPr>
          <w:rFonts w:ascii="Times New Roman" w:hAnsi="Times New Roman" w:cs="Times New Roman"/>
          <w:color w:val="000000"/>
          <w:sz w:val="14"/>
          <w:szCs w:val="14"/>
          <w:lang w:eastAsia="sk-SK"/>
        </w:rPr>
        <w:t>* Grantový systém do roku 2015, od roku 2016 zmena názvu na Dotačný systém</w:t>
      </w:r>
      <w:r w:rsidR="009C37FC">
        <w:rPr>
          <w:rFonts w:ascii="Times New Roman" w:hAnsi="Times New Roman" w:cs="Times New Roman"/>
          <w:color w:val="000000"/>
          <w:sz w:val="14"/>
          <w:szCs w:val="14"/>
          <w:lang w:eastAsia="sk-SK"/>
        </w:rPr>
        <w:t>.</w:t>
      </w:r>
    </w:p>
    <w:p w:rsidR="007D13F3" w:rsidRDefault="007D13F3" w:rsidP="007D13F3">
      <w:pPr>
        <w:jc w:val="both"/>
        <w:rPr>
          <w:rFonts w:ascii="Times New Roman" w:hAnsi="Times New Roman" w:cs="Times New Roman"/>
          <w:b/>
          <w:bCs/>
        </w:rPr>
      </w:pPr>
    </w:p>
    <w:p w:rsidR="007D13F3" w:rsidRDefault="007D13F3" w:rsidP="007D13F3">
      <w:pPr>
        <w:jc w:val="both"/>
        <w:rPr>
          <w:rFonts w:ascii="Times New Roman" w:hAnsi="Times New Roman" w:cs="Times New Roman"/>
          <w:b/>
          <w:bCs/>
        </w:rPr>
      </w:pPr>
      <w:r w:rsidRPr="0003125D">
        <w:rPr>
          <w:rFonts w:ascii="Times New Roman" w:hAnsi="Times New Roman" w:cs="Times New Roman"/>
          <w:b/>
          <w:bCs/>
        </w:rPr>
        <w:t>Inštitucionálna podpora štátnych organizácií rezortu</w:t>
      </w:r>
    </w:p>
    <w:p w:rsidR="007D13F3" w:rsidRDefault="007D13F3" w:rsidP="007D13F3">
      <w:pPr>
        <w:jc w:val="both"/>
        <w:rPr>
          <w:rFonts w:ascii="Times New Roman" w:hAnsi="Times New Roman" w:cs="Times New Roman"/>
          <w:b/>
          <w:bCs/>
        </w:rPr>
      </w:pPr>
    </w:p>
    <w:tbl>
      <w:tblPr>
        <w:tblW w:w="5000" w:type="pct"/>
        <w:tblCellMar>
          <w:left w:w="70" w:type="dxa"/>
          <w:right w:w="70" w:type="dxa"/>
        </w:tblCellMar>
        <w:tblLook w:val="04A0" w:firstRow="1" w:lastRow="0" w:firstColumn="1" w:lastColumn="0" w:noHBand="0" w:noVBand="1"/>
      </w:tblPr>
      <w:tblGrid>
        <w:gridCol w:w="2758"/>
        <w:gridCol w:w="908"/>
        <w:gridCol w:w="911"/>
        <w:gridCol w:w="911"/>
        <w:gridCol w:w="893"/>
        <w:gridCol w:w="893"/>
        <w:gridCol w:w="894"/>
        <w:gridCol w:w="894"/>
      </w:tblGrid>
      <w:tr w:rsidR="007D13F3" w:rsidRPr="009D5B31" w:rsidTr="00465CAC">
        <w:trPr>
          <w:trHeight w:hRule="exact" w:val="255"/>
        </w:trPr>
        <w:tc>
          <w:tcPr>
            <w:tcW w:w="1247"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7D13F3" w:rsidRPr="009D5B31" w:rsidRDefault="007D13F3" w:rsidP="00465CAC">
            <w:pP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v eurách</w:t>
            </w:r>
          </w:p>
        </w:tc>
        <w:tc>
          <w:tcPr>
            <w:tcW w:w="540" w:type="pct"/>
            <w:tcBorders>
              <w:top w:val="single" w:sz="4" w:space="0" w:color="auto"/>
              <w:left w:val="nil"/>
              <w:bottom w:val="single" w:sz="4" w:space="0" w:color="auto"/>
              <w:right w:val="single" w:sz="4" w:space="0" w:color="auto"/>
            </w:tcBorders>
            <w:shd w:val="clear" w:color="000000" w:fill="A6A6A6"/>
            <w:vAlign w:val="center"/>
            <w:hideMark/>
          </w:tcPr>
          <w:p w:rsidR="007D13F3" w:rsidRPr="009D5B31" w:rsidRDefault="007D13F3" w:rsidP="00465CAC">
            <w:pPr>
              <w:jc w:val="cente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2015 S</w:t>
            </w:r>
          </w:p>
        </w:tc>
        <w:tc>
          <w:tcPr>
            <w:tcW w:w="542" w:type="pct"/>
            <w:tcBorders>
              <w:top w:val="single" w:sz="4" w:space="0" w:color="auto"/>
              <w:left w:val="nil"/>
              <w:bottom w:val="single" w:sz="4" w:space="0" w:color="auto"/>
              <w:right w:val="single" w:sz="4" w:space="0" w:color="auto"/>
            </w:tcBorders>
            <w:shd w:val="clear" w:color="000000" w:fill="A6A6A6"/>
            <w:vAlign w:val="center"/>
            <w:hideMark/>
          </w:tcPr>
          <w:p w:rsidR="007D13F3" w:rsidRPr="009D5B31" w:rsidRDefault="007D13F3" w:rsidP="00465CAC">
            <w:pPr>
              <w:jc w:val="cente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2016 S</w:t>
            </w:r>
          </w:p>
        </w:tc>
        <w:tc>
          <w:tcPr>
            <w:tcW w:w="542" w:type="pct"/>
            <w:tcBorders>
              <w:top w:val="single" w:sz="4" w:space="0" w:color="auto"/>
              <w:left w:val="nil"/>
              <w:bottom w:val="single" w:sz="4" w:space="0" w:color="auto"/>
              <w:right w:val="single" w:sz="4" w:space="0" w:color="auto"/>
            </w:tcBorders>
            <w:shd w:val="clear" w:color="000000" w:fill="A6A6A6"/>
            <w:vAlign w:val="center"/>
            <w:hideMark/>
          </w:tcPr>
          <w:p w:rsidR="007D13F3" w:rsidRPr="009D5B31" w:rsidRDefault="007D13F3" w:rsidP="00465CAC">
            <w:pPr>
              <w:jc w:val="cente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2017 R</w:t>
            </w:r>
          </w:p>
        </w:tc>
        <w:tc>
          <w:tcPr>
            <w:tcW w:w="532" w:type="pct"/>
            <w:tcBorders>
              <w:top w:val="single" w:sz="4" w:space="0" w:color="auto"/>
              <w:left w:val="nil"/>
              <w:bottom w:val="single" w:sz="4" w:space="0" w:color="auto"/>
              <w:right w:val="single" w:sz="4" w:space="0" w:color="auto"/>
            </w:tcBorders>
            <w:shd w:val="clear" w:color="000000" w:fill="A6A6A6"/>
            <w:vAlign w:val="center"/>
            <w:hideMark/>
          </w:tcPr>
          <w:p w:rsidR="007D13F3" w:rsidRPr="009D5B31" w:rsidRDefault="007D13F3" w:rsidP="00465CAC">
            <w:pPr>
              <w:jc w:val="cente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2107 OS</w:t>
            </w:r>
          </w:p>
        </w:tc>
        <w:tc>
          <w:tcPr>
            <w:tcW w:w="532" w:type="pct"/>
            <w:tcBorders>
              <w:top w:val="single" w:sz="4" w:space="0" w:color="auto"/>
              <w:left w:val="nil"/>
              <w:bottom w:val="single" w:sz="4" w:space="0" w:color="auto"/>
              <w:right w:val="single" w:sz="4" w:space="0" w:color="auto"/>
            </w:tcBorders>
            <w:shd w:val="clear" w:color="000000" w:fill="A6A6A6"/>
            <w:vAlign w:val="center"/>
            <w:hideMark/>
          </w:tcPr>
          <w:p w:rsidR="007D13F3" w:rsidRPr="009D5B31" w:rsidRDefault="007D13F3" w:rsidP="00465CAC">
            <w:pPr>
              <w:jc w:val="cente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2018 N</w:t>
            </w:r>
          </w:p>
        </w:tc>
        <w:tc>
          <w:tcPr>
            <w:tcW w:w="532" w:type="pct"/>
            <w:tcBorders>
              <w:top w:val="single" w:sz="4" w:space="0" w:color="auto"/>
              <w:left w:val="nil"/>
              <w:bottom w:val="single" w:sz="4" w:space="0" w:color="auto"/>
              <w:right w:val="single" w:sz="4" w:space="0" w:color="auto"/>
            </w:tcBorders>
            <w:shd w:val="clear" w:color="000000" w:fill="A6A6A6"/>
            <w:vAlign w:val="center"/>
            <w:hideMark/>
          </w:tcPr>
          <w:p w:rsidR="007D13F3" w:rsidRPr="009D5B31" w:rsidRDefault="007D13F3" w:rsidP="00465CAC">
            <w:pPr>
              <w:jc w:val="cente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2019 N</w:t>
            </w:r>
          </w:p>
        </w:tc>
        <w:tc>
          <w:tcPr>
            <w:tcW w:w="532" w:type="pct"/>
            <w:tcBorders>
              <w:top w:val="single" w:sz="4" w:space="0" w:color="auto"/>
              <w:left w:val="nil"/>
              <w:bottom w:val="single" w:sz="4" w:space="0" w:color="auto"/>
              <w:right w:val="single" w:sz="4" w:space="0" w:color="auto"/>
            </w:tcBorders>
            <w:shd w:val="clear" w:color="000000" w:fill="A6A6A6"/>
            <w:vAlign w:val="center"/>
            <w:hideMark/>
          </w:tcPr>
          <w:p w:rsidR="007D13F3" w:rsidRPr="009D5B31" w:rsidRDefault="007D13F3" w:rsidP="00465CAC">
            <w:pPr>
              <w:jc w:val="cente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2020 N</w:t>
            </w:r>
          </w:p>
        </w:tc>
      </w:tr>
      <w:tr w:rsidR="007D13F3" w:rsidRPr="009D5B31" w:rsidTr="00465CAC">
        <w:trPr>
          <w:trHeight w:hRule="exact" w:val="255"/>
        </w:trPr>
        <w:tc>
          <w:tcPr>
            <w:tcW w:w="1247" w:type="pct"/>
            <w:tcBorders>
              <w:top w:val="nil"/>
              <w:left w:val="single" w:sz="4" w:space="0" w:color="auto"/>
              <w:bottom w:val="single" w:sz="4" w:space="0" w:color="auto"/>
              <w:right w:val="single" w:sz="4" w:space="0" w:color="auto"/>
            </w:tcBorders>
            <w:shd w:val="clear" w:color="000000" w:fill="BFBFBF"/>
            <w:noWrap/>
            <w:vAlign w:val="bottom"/>
            <w:hideMark/>
          </w:tcPr>
          <w:p w:rsidR="007D13F3" w:rsidRPr="009D5B31" w:rsidRDefault="007D13F3" w:rsidP="00465CAC">
            <w:pPr>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Inštitucionálna podpora organizácií rezortu</w:t>
            </w:r>
          </w:p>
        </w:tc>
        <w:tc>
          <w:tcPr>
            <w:tcW w:w="540" w:type="pct"/>
            <w:tcBorders>
              <w:top w:val="nil"/>
              <w:left w:val="nil"/>
              <w:bottom w:val="single" w:sz="4" w:space="0" w:color="auto"/>
              <w:right w:val="single" w:sz="4" w:space="0" w:color="auto"/>
            </w:tcBorders>
            <w:shd w:val="clear" w:color="000000" w:fill="BFBFBF"/>
            <w:noWrap/>
            <w:vAlign w:val="bottom"/>
            <w:hideMark/>
          </w:tcPr>
          <w:p w:rsidR="007D13F3" w:rsidRPr="009D5B31" w:rsidRDefault="007D13F3" w:rsidP="00465CAC">
            <w:pPr>
              <w:jc w:val="right"/>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89 544 862</w:t>
            </w:r>
          </w:p>
        </w:tc>
        <w:tc>
          <w:tcPr>
            <w:tcW w:w="542" w:type="pct"/>
            <w:tcBorders>
              <w:top w:val="nil"/>
              <w:left w:val="nil"/>
              <w:bottom w:val="single" w:sz="4" w:space="0" w:color="auto"/>
              <w:right w:val="single" w:sz="4" w:space="0" w:color="auto"/>
            </w:tcBorders>
            <w:shd w:val="clear" w:color="000000" w:fill="BFBFBF"/>
            <w:noWrap/>
            <w:vAlign w:val="bottom"/>
            <w:hideMark/>
          </w:tcPr>
          <w:p w:rsidR="007D13F3" w:rsidRPr="009D5B31" w:rsidRDefault="007D13F3" w:rsidP="00465CAC">
            <w:pPr>
              <w:jc w:val="right"/>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113 642 820</w:t>
            </w:r>
          </w:p>
        </w:tc>
        <w:tc>
          <w:tcPr>
            <w:tcW w:w="542" w:type="pct"/>
            <w:tcBorders>
              <w:top w:val="nil"/>
              <w:left w:val="nil"/>
              <w:bottom w:val="single" w:sz="4" w:space="0" w:color="auto"/>
              <w:right w:val="single" w:sz="4" w:space="0" w:color="auto"/>
            </w:tcBorders>
            <w:shd w:val="clear" w:color="000000" w:fill="BFBFBF"/>
            <w:noWrap/>
            <w:vAlign w:val="bottom"/>
            <w:hideMark/>
          </w:tcPr>
          <w:p w:rsidR="007D13F3" w:rsidRPr="009D5B31" w:rsidRDefault="007D13F3" w:rsidP="00465CAC">
            <w:pPr>
              <w:jc w:val="right"/>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121 131 982</w:t>
            </w:r>
          </w:p>
        </w:tc>
        <w:tc>
          <w:tcPr>
            <w:tcW w:w="532" w:type="pct"/>
            <w:tcBorders>
              <w:top w:val="nil"/>
              <w:left w:val="nil"/>
              <w:bottom w:val="single" w:sz="4" w:space="0" w:color="auto"/>
              <w:right w:val="single" w:sz="4" w:space="0" w:color="auto"/>
            </w:tcBorders>
            <w:shd w:val="clear" w:color="000000" w:fill="BFBFBF"/>
            <w:noWrap/>
            <w:vAlign w:val="bottom"/>
            <w:hideMark/>
          </w:tcPr>
          <w:p w:rsidR="007D13F3" w:rsidRPr="009D5B31" w:rsidRDefault="007D13F3" w:rsidP="00465CAC">
            <w:pPr>
              <w:jc w:val="right"/>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122 402 224</w:t>
            </w:r>
          </w:p>
        </w:tc>
        <w:tc>
          <w:tcPr>
            <w:tcW w:w="532" w:type="pct"/>
            <w:tcBorders>
              <w:top w:val="nil"/>
              <w:left w:val="nil"/>
              <w:bottom w:val="single" w:sz="4" w:space="0" w:color="auto"/>
              <w:right w:val="single" w:sz="4" w:space="0" w:color="auto"/>
            </w:tcBorders>
            <w:shd w:val="clear" w:color="000000" w:fill="BFBFBF"/>
            <w:noWrap/>
            <w:vAlign w:val="bottom"/>
            <w:hideMark/>
          </w:tcPr>
          <w:p w:rsidR="007D13F3" w:rsidRPr="009D5B31" w:rsidRDefault="007D13F3" w:rsidP="00465CAC">
            <w:pPr>
              <w:jc w:val="right"/>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146 053 972</w:t>
            </w:r>
          </w:p>
        </w:tc>
        <w:tc>
          <w:tcPr>
            <w:tcW w:w="532" w:type="pct"/>
            <w:tcBorders>
              <w:top w:val="nil"/>
              <w:left w:val="nil"/>
              <w:bottom w:val="single" w:sz="4" w:space="0" w:color="auto"/>
              <w:right w:val="single" w:sz="4" w:space="0" w:color="auto"/>
            </w:tcBorders>
            <w:shd w:val="clear" w:color="000000" w:fill="BFBFBF"/>
            <w:noWrap/>
            <w:vAlign w:val="bottom"/>
            <w:hideMark/>
          </w:tcPr>
          <w:p w:rsidR="007D13F3" w:rsidRPr="009D5B31" w:rsidRDefault="007D13F3" w:rsidP="00465CAC">
            <w:pPr>
              <w:jc w:val="right"/>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112 185 035</w:t>
            </w:r>
          </w:p>
        </w:tc>
        <w:tc>
          <w:tcPr>
            <w:tcW w:w="532" w:type="pct"/>
            <w:tcBorders>
              <w:top w:val="nil"/>
              <w:left w:val="nil"/>
              <w:bottom w:val="single" w:sz="4" w:space="0" w:color="auto"/>
              <w:right w:val="single" w:sz="4" w:space="0" w:color="auto"/>
            </w:tcBorders>
            <w:shd w:val="clear" w:color="000000" w:fill="BFBFBF"/>
            <w:noWrap/>
            <w:vAlign w:val="bottom"/>
            <w:hideMark/>
          </w:tcPr>
          <w:p w:rsidR="007D13F3" w:rsidRPr="009D5B31" w:rsidRDefault="007D13F3" w:rsidP="00465CAC">
            <w:pPr>
              <w:jc w:val="right"/>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lang w:eastAsia="sk-SK"/>
              </w:rPr>
              <w:t>112 185 035</w:t>
            </w:r>
          </w:p>
        </w:tc>
      </w:tr>
      <w:tr w:rsidR="007D13F3" w:rsidRPr="009D5B31" w:rsidTr="00465CAC">
        <w:trPr>
          <w:trHeight w:hRule="exact" w:val="255"/>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rsidR="007D13F3" w:rsidRPr="009D5B31" w:rsidRDefault="007D13F3" w:rsidP="00465CAC">
            <w:pPr>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Inštitucionálne podpora RO a PO*</w:t>
            </w:r>
          </w:p>
        </w:tc>
        <w:tc>
          <w:tcPr>
            <w:tcW w:w="540"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84 708 661</w:t>
            </w:r>
          </w:p>
        </w:tc>
        <w:tc>
          <w:tcPr>
            <w:tcW w:w="542"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108 054 017</w:t>
            </w:r>
          </w:p>
        </w:tc>
        <w:tc>
          <w:tcPr>
            <w:tcW w:w="542"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115 966 982</w:t>
            </w:r>
          </w:p>
        </w:tc>
        <w:tc>
          <w:tcPr>
            <w:tcW w:w="532"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117 755 224</w:t>
            </w:r>
          </w:p>
        </w:tc>
        <w:tc>
          <w:tcPr>
            <w:tcW w:w="532"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138 153 972</w:t>
            </w:r>
          </w:p>
        </w:tc>
        <w:tc>
          <w:tcPr>
            <w:tcW w:w="532"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106 785 035</w:t>
            </w:r>
          </w:p>
        </w:tc>
        <w:tc>
          <w:tcPr>
            <w:tcW w:w="532"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106 785 035</w:t>
            </w:r>
          </w:p>
        </w:tc>
      </w:tr>
      <w:tr w:rsidR="007D13F3" w:rsidRPr="009D5B31" w:rsidTr="00465CAC">
        <w:trPr>
          <w:trHeight w:hRule="exact" w:val="255"/>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rsidR="007D13F3" w:rsidRPr="009D5B31" w:rsidRDefault="007D13F3" w:rsidP="00465CAC">
            <w:pPr>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Podpora kultúrnych aktivít RO a PO*</w:t>
            </w:r>
          </w:p>
        </w:tc>
        <w:tc>
          <w:tcPr>
            <w:tcW w:w="540"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4 023 334</w:t>
            </w:r>
          </w:p>
        </w:tc>
        <w:tc>
          <w:tcPr>
            <w:tcW w:w="542"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4 504 445</w:t>
            </w:r>
          </w:p>
        </w:tc>
        <w:tc>
          <w:tcPr>
            <w:tcW w:w="542"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4 465 000</w:t>
            </w:r>
          </w:p>
        </w:tc>
        <w:tc>
          <w:tcPr>
            <w:tcW w:w="532"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3 924 550</w:t>
            </w:r>
          </w:p>
        </w:tc>
        <w:tc>
          <w:tcPr>
            <w:tcW w:w="532"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7 200 000</w:t>
            </w:r>
          </w:p>
        </w:tc>
        <w:tc>
          <w:tcPr>
            <w:tcW w:w="532"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4 700 000</w:t>
            </w:r>
          </w:p>
        </w:tc>
        <w:tc>
          <w:tcPr>
            <w:tcW w:w="532"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4 700 000</w:t>
            </w:r>
          </w:p>
        </w:tc>
      </w:tr>
      <w:tr w:rsidR="007D13F3" w:rsidRPr="009D5B31" w:rsidTr="00465CAC">
        <w:trPr>
          <w:trHeight w:hRule="exact" w:val="255"/>
        </w:trPr>
        <w:tc>
          <w:tcPr>
            <w:tcW w:w="1247" w:type="pct"/>
            <w:tcBorders>
              <w:top w:val="nil"/>
              <w:left w:val="single" w:sz="4" w:space="0" w:color="auto"/>
              <w:bottom w:val="single" w:sz="4" w:space="0" w:color="auto"/>
              <w:right w:val="single" w:sz="4" w:space="0" w:color="auto"/>
            </w:tcBorders>
            <w:shd w:val="clear" w:color="auto" w:fill="auto"/>
            <w:noWrap/>
            <w:vAlign w:val="bottom"/>
            <w:hideMark/>
          </w:tcPr>
          <w:p w:rsidR="007D13F3" w:rsidRPr="009D5B31" w:rsidRDefault="007D13F3" w:rsidP="00465CAC">
            <w:pPr>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Podpora kultúrnych aktivít v zahraničí</w:t>
            </w:r>
          </w:p>
        </w:tc>
        <w:tc>
          <w:tcPr>
            <w:tcW w:w="540"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812 867</w:t>
            </w:r>
          </w:p>
        </w:tc>
        <w:tc>
          <w:tcPr>
            <w:tcW w:w="542"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1 084 358</w:t>
            </w:r>
          </w:p>
        </w:tc>
        <w:tc>
          <w:tcPr>
            <w:tcW w:w="542"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700 000</w:t>
            </w:r>
          </w:p>
        </w:tc>
        <w:tc>
          <w:tcPr>
            <w:tcW w:w="532"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722 450</w:t>
            </w:r>
          </w:p>
        </w:tc>
        <w:tc>
          <w:tcPr>
            <w:tcW w:w="532"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700 000</w:t>
            </w:r>
          </w:p>
        </w:tc>
        <w:tc>
          <w:tcPr>
            <w:tcW w:w="532"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700 000</w:t>
            </w:r>
          </w:p>
        </w:tc>
        <w:tc>
          <w:tcPr>
            <w:tcW w:w="532"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lang w:eastAsia="sk-SK"/>
              </w:rPr>
            </w:pPr>
            <w:r w:rsidRPr="009D5B31">
              <w:rPr>
                <w:rFonts w:ascii="Times New Roman" w:hAnsi="Times New Roman" w:cs="Times New Roman"/>
                <w:color w:val="000000"/>
                <w:sz w:val="14"/>
                <w:szCs w:val="14"/>
                <w:lang w:eastAsia="sk-SK"/>
              </w:rPr>
              <w:t>700 000</w:t>
            </w:r>
          </w:p>
        </w:tc>
      </w:tr>
    </w:tbl>
    <w:p w:rsidR="007D13F3" w:rsidRPr="0003125D" w:rsidRDefault="007D13F3" w:rsidP="007D13F3">
      <w:pPr>
        <w:autoSpaceDE w:val="0"/>
        <w:autoSpaceDN w:val="0"/>
        <w:adjustRightInd w:val="0"/>
        <w:jc w:val="both"/>
        <w:rPr>
          <w:rFonts w:ascii="Times New Roman" w:hAnsi="Times New Roman" w:cs="Times New Roman"/>
          <w:sz w:val="14"/>
          <w:szCs w:val="14"/>
        </w:rPr>
      </w:pPr>
      <w:r w:rsidRPr="0003125D">
        <w:rPr>
          <w:rFonts w:ascii="Times New Roman" w:hAnsi="Times New Roman" w:cs="Times New Roman"/>
          <w:sz w:val="14"/>
          <w:szCs w:val="14"/>
        </w:rPr>
        <w:t>*rozpočtových organizácií a príspevkových organizácií</w:t>
      </w:r>
    </w:p>
    <w:p w:rsidR="007D13F3" w:rsidRPr="0003125D" w:rsidRDefault="007D13F3" w:rsidP="007D13F3">
      <w:pPr>
        <w:jc w:val="both"/>
        <w:rPr>
          <w:rFonts w:ascii="Times New Roman" w:hAnsi="Times New Roman" w:cs="Times New Roman"/>
          <w:sz w:val="20"/>
        </w:rPr>
      </w:pPr>
    </w:p>
    <w:p w:rsidR="007D13F3" w:rsidRPr="0003125D" w:rsidRDefault="007D13F3" w:rsidP="007D13F3">
      <w:pPr>
        <w:ind w:firstLine="708"/>
        <w:jc w:val="both"/>
        <w:rPr>
          <w:rFonts w:ascii="Times New Roman" w:hAnsi="Times New Roman" w:cs="Times New Roman"/>
        </w:rPr>
      </w:pPr>
      <w:r w:rsidRPr="0003125D">
        <w:rPr>
          <w:rFonts w:ascii="Times New Roman" w:hAnsi="Times New Roman" w:cs="Times New Roman"/>
        </w:rPr>
        <w:t xml:space="preserve">Výdavky v oblasti inštitucionálnej podpory organizácií rezortu kultúry </w:t>
      </w:r>
      <w:r>
        <w:rPr>
          <w:rFonts w:ascii="Times New Roman" w:hAnsi="Times New Roman" w:cs="Times New Roman"/>
        </w:rPr>
        <w:t xml:space="preserve">zahŕňajú podporu hlavnej činnosti v divadlách a divadelnej činnosti, v hudbe, koncertnej činnosti a umeleckých súboroch, výtvarnom umení, fotografiách, architektúre a dizajne, v múzeách a galériách, knižniciach a knižničnej činnosti, v osvetovej činnosti a tradičnej ľudovej kultúre, v literatúre a knižnej kultúre a v médiách a audiovízii. Okrem toho sú podporované ďalšie kultúrne aktivity </w:t>
      </w:r>
      <w:r w:rsidR="005415D5" w:rsidRPr="0003125D">
        <w:rPr>
          <w:rFonts w:ascii="Times New Roman" w:hAnsi="Times New Roman" w:cs="Times New Roman"/>
        </w:rPr>
        <w:t>rozpočtových a príspevkových organizácií</w:t>
      </w:r>
      <w:r>
        <w:rPr>
          <w:rFonts w:ascii="Times New Roman" w:hAnsi="Times New Roman" w:cs="Times New Roman"/>
        </w:rPr>
        <w:t xml:space="preserve"> </w:t>
      </w:r>
      <w:r w:rsidR="005415D5">
        <w:rPr>
          <w:rFonts w:ascii="Times New Roman" w:hAnsi="Times New Roman" w:cs="Times New Roman"/>
        </w:rPr>
        <w:t xml:space="preserve">(ďalej len „RO </w:t>
      </w:r>
      <w:r>
        <w:rPr>
          <w:rFonts w:ascii="Times New Roman" w:hAnsi="Times New Roman" w:cs="Times New Roman"/>
        </w:rPr>
        <w:t>a</w:t>
      </w:r>
      <w:r w:rsidR="005415D5">
        <w:rPr>
          <w:rFonts w:ascii="Times New Roman" w:hAnsi="Times New Roman" w:cs="Times New Roman"/>
        </w:rPr>
        <w:t> </w:t>
      </w:r>
      <w:r>
        <w:rPr>
          <w:rFonts w:ascii="Times New Roman" w:hAnsi="Times New Roman" w:cs="Times New Roman"/>
        </w:rPr>
        <w:t>PO</w:t>
      </w:r>
      <w:r w:rsidR="005415D5">
        <w:rPr>
          <w:rFonts w:ascii="Times New Roman" w:hAnsi="Times New Roman" w:cs="Times New Roman"/>
        </w:rPr>
        <w:t>)</w:t>
      </w:r>
      <w:r>
        <w:rPr>
          <w:rFonts w:ascii="Times New Roman" w:hAnsi="Times New Roman" w:cs="Times New Roman"/>
        </w:rPr>
        <w:t xml:space="preserve"> ako aj kultúrne aktivity v zahraničí súvisiace s propagáciou Slovenskej republiky. Výdavky na uvedené </w:t>
      </w:r>
      <w:r w:rsidR="00431F54">
        <w:rPr>
          <w:rFonts w:ascii="Times New Roman" w:hAnsi="Times New Roman" w:cs="Times New Roman"/>
        </w:rPr>
        <w:t xml:space="preserve">činnosti </w:t>
      </w:r>
      <w:r w:rsidRPr="0003125D">
        <w:rPr>
          <w:rFonts w:ascii="Times New Roman" w:hAnsi="Times New Roman" w:cs="Times New Roman"/>
        </w:rPr>
        <w:t>s</w:t>
      </w:r>
      <w:r>
        <w:rPr>
          <w:rFonts w:ascii="Times New Roman" w:hAnsi="Times New Roman" w:cs="Times New Roman"/>
        </w:rPr>
        <w:t>ú</w:t>
      </w:r>
      <w:r w:rsidRPr="0003125D">
        <w:rPr>
          <w:rFonts w:ascii="Times New Roman" w:hAnsi="Times New Roman" w:cs="Times New Roman"/>
        </w:rPr>
        <w:t xml:space="preserve"> rozpočt</w:t>
      </w:r>
      <w:r>
        <w:rPr>
          <w:rFonts w:ascii="Times New Roman" w:hAnsi="Times New Roman" w:cs="Times New Roman"/>
        </w:rPr>
        <w:t>ované</w:t>
      </w:r>
      <w:r w:rsidRPr="0003125D">
        <w:rPr>
          <w:rFonts w:ascii="Times New Roman" w:hAnsi="Times New Roman" w:cs="Times New Roman"/>
        </w:rPr>
        <w:t xml:space="preserve"> v sume </w:t>
      </w:r>
      <w:r>
        <w:rPr>
          <w:rFonts w:ascii="Times New Roman" w:hAnsi="Times New Roman" w:cs="Times New Roman"/>
        </w:rPr>
        <w:t>146</w:t>
      </w:r>
      <w:r w:rsidRPr="0003125D">
        <w:rPr>
          <w:rFonts w:ascii="Times New Roman" w:hAnsi="Times New Roman" w:cs="Times New Roman"/>
        </w:rPr>
        <w:t xml:space="preserve"> mil. eur. V porovnaní so schváleným rozpočtom roku 201</w:t>
      </w:r>
      <w:r>
        <w:rPr>
          <w:rFonts w:ascii="Times New Roman" w:hAnsi="Times New Roman" w:cs="Times New Roman"/>
        </w:rPr>
        <w:t>7</w:t>
      </w:r>
      <w:r w:rsidRPr="0003125D">
        <w:rPr>
          <w:rFonts w:ascii="Times New Roman" w:hAnsi="Times New Roman" w:cs="Times New Roman"/>
        </w:rPr>
        <w:t xml:space="preserve"> dochádza k ich </w:t>
      </w:r>
      <w:r>
        <w:rPr>
          <w:rFonts w:ascii="Times New Roman" w:hAnsi="Times New Roman" w:cs="Times New Roman"/>
        </w:rPr>
        <w:t xml:space="preserve">nárastu </w:t>
      </w:r>
      <w:r w:rsidRPr="004B4F3B">
        <w:rPr>
          <w:rFonts w:ascii="Times New Roman" w:hAnsi="Times New Roman" w:cs="Times New Roman"/>
        </w:rPr>
        <w:t>o</w:t>
      </w:r>
      <w:r>
        <w:rPr>
          <w:rFonts w:ascii="Times New Roman" w:hAnsi="Times New Roman" w:cs="Times New Roman"/>
        </w:rPr>
        <w:t> 24,9</w:t>
      </w:r>
      <w:r w:rsidRPr="0003125D">
        <w:rPr>
          <w:rFonts w:ascii="Times New Roman" w:hAnsi="Times New Roman" w:cs="Times New Roman"/>
        </w:rPr>
        <w:t xml:space="preserve"> mil. eur, t. j. o</w:t>
      </w:r>
      <w:r>
        <w:rPr>
          <w:rFonts w:ascii="Times New Roman" w:hAnsi="Times New Roman" w:cs="Times New Roman"/>
        </w:rPr>
        <w:t> 20,6</w:t>
      </w:r>
      <w:r w:rsidRPr="0003125D">
        <w:rPr>
          <w:rFonts w:ascii="Times New Roman" w:hAnsi="Times New Roman" w:cs="Times New Roman"/>
        </w:rPr>
        <w:t xml:space="preserve"> %. </w:t>
      </w:r>
    </w:p>
    <w:p w:rsidR="007D13F3" w:rsidRPr="0065432F" w:rsidRDefault="007D13F3" w:rsidP="007D13F3">
      <w:pPr>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Pr>
          <w:rFonts w:ascii="Times New Roman" w:hAnsi="Times New Roman" w:cs="Times New Roman"/>
        </w:rPr>
        <w:t>I</w:t>
      </w:r>
      <w:r w:rsidRPr="0003125D">
        <w:rPr>
          <w:rFonts w:ascii="Times New Roman" w:hAnsi="Times New Roman" w:cs="Times New Roman"/>
        </w:rPr>
        <w:t>nštitucionáln</w:t>
      </w:r>
      <w:r>
        <w:rPr>
          <w:rFonts w:ascii="Times New Roman" w:hAnsi="Times New Roman" w:cs="Times New Roman"/>
        </w:rPr>
        <w:t>a podpora</w:t>
      </w:r>
      <w:r w:rsidRPr="0003125D">
        <w:rPr>
          <w:rFonts w:ascii="Times New Roman" w:hAnsi="Times New Roman" w:cs="Times New Roman"/>
        </w:rPr>
        <w:t xml:space="preserve"> </w:t>
      </w:r>
      <w:r w:rsidR="005415D5">
        <w:rPr>
          <w:rFonts w:ascii="Times New Roman" w:hAnsi="Times New Roman" w:cs="Times New Roman"/>
        </w:rPr>
        <w:t>RO a PO</w:t>
      </w:r>
      <w:r w:rsidRPr="0003125D">
        <w:rPr>
          <w:rFonts w:ascii="Times New Roman" w:hAnsi="Times New Roman" w:cs="Times New Roman"/>
        </w:rPr>
        <w:t xml:space="preserve"> na rok 201</w:t>
      </w:r>
      <w:r>
        <w:rPr>
          <w:rFonts w:ascii="Times New Roman" w:hAnsi="Times New Roman" w:cs="Times New Roman"/>
        </w:rPr>
        <w:t>8</w:t>
      </w:r>
      <w:r w:rsidRPr="0003125D">
        <w:rPr>
          <w:rFonts w:ascii="Times New Roman" w:hAnsi="Times New Roman" w:cs="Times New Roman"/>
        </w:rPr>
        <w:t xml:space="preserve"> zaznamenáva </w:t>
      </w:r>
      <w:r>
        <w:rPr>
          <w:rFonts w:ascii="Times New Roman" w:hAnsi="Times New Roman" w:cs="Times New Roman"/>
        </w:rPr>
        <w:t>nárast</w:t>
      </w:r>
      <w:r w:rsidRPr="0003125D">
        <w:rPr>
          <w:rFonts w:ascii="Times New Roman" w:hAnsi="Times New Roman" w:cs="Times New Roman"/>
        </w:rPr>
        <w:t xml:space="preserve"> oproti schválenému rozpočtu roku 201</w:t>
      </w:r>
      <w:r>
        <w:rPr>
          <w:rFonts w:ascii="Times New Roman" w:hAnsi="Times New Roman" w:cs="Times New Roman"/>
        </w:rPr>
        <w:t>7</w:t>
      </w:r>
      <w:r w:rsidRPr="0003125D">
        <w:rPr>
          <w:rFonts w:ascii="Times New Roman" w:hAnsi="Times New Roman" w:cs="Times New Roman"/>
        </w:rPr>
        <w:t xml:space="preserve"> o</w:t>
      </w:r>
      <w:r>
        <w:rPr>
          <w:rFonts w:ascii="Times New Roman" w:hAnsi="Times New Roman" w:cs="Times New Roman"/>
        </w:rPr>
        <w:t> 22,2</w:t>
      </w:r>
      <w:r w:rsidRPr="0003125D">
        <w:rPr>
          <w:rFonts w:ascii="Times New Roman" w:hAnsi="Times New Roman" w:cs="Times New Roman"/>
        </w:rPr>
        <w:t xml:space="preserve"> mil. eur, t.</w:t>
      </w:r>
      <w:r>
        <w:rPr>
          <w:rFonts w:ascii="Times New Roman" w:hAnsi="Times New Roman" w:cs="Times New Roman"/>
        </w:rPr>
        <w:t xml:space="preserve"> </w:t>
      </w:r>
      <w:r w:rsidRPr="0003125D">
        <w:rPr>
          <w:rFonts w:ascii="Times New Roman" w:hAnsi="Times New Roman" w:cs="Times New Roman"/>
        </w:rPr>
        <w:t>j. o </w:t>
      </w:r>
      <w:r>
        <w:rPr>
          <w:rFonts w:ascii="Times New Roman" w:hAnsi="Times New Roman" w:cs="Times New Roman"/>
        </w:rPr>
        <w:t>19,1 %.</w:t>
      </w:r>
      <w:r w:rsidRPr="0003125D">
        <w:rPr>
          <w:rFonts w:ascii="Times New Roman" w:hAnsi="Times New Roman" w:cs="Times New Roman"/>
        </w:rPr>
        <w:t xml:space="preserve"> </w:t>
      </w:r>
      <w:r>
        <w:rPr>
          <w:rFonts w:ascii="Times New Roman" w:hAnsi="Times New Roman" w:cs="Times New Roman"/>
        </w:rPr>
        <w:t xml:space="preserve">Rozpis výdavkov na jednotlivé </w:t>
      </w:r>
      <w:r w:rsidR="005415D5">
        <w:rPr>
          <w:rFonts w:ascii="Times New Roman" w:hAnsi="Times New Roman" w:cs="Times New Roman"/>
        </w:rPr>
        <w:t>RO a PO</w:t>
      </w:r>
      <w:r>
        <w:rPr>
          <w:rFonts w:ascii="Times New Roman" w:hAnsi="Times New Roman" w:cs="Times New Roman"/>
        </w:rPr>
        <w:t xml:space="preserve"> zabezpečuje </w:t>
      </w:r>
      <w:r w:rsidRPr="006555FF">
        <w:rPr>
          <w:rFonts w:ascii="Times New Roman" w:hAnsi="Times New Roman" w:cs="Times New Roman"/>
        </w:rPr>
        <w:t>finančnú a inštitucionálnu udržateľnosť národných projektov po skončení ich financovania z </w:t>
      </w:r>
      <w:proofErr w:type="spellStart"/>
      <w:r w:rsidRPr="006555FF">
        <w:rPr>
          <w:rFonts w:ascii="Times New Roman" w:hAnsi="Times New Roman" w:cs="Times New Roman"/>
        </w:rPr>
        <w:t>OPISu</w:t>
      </w:r>
      <w:proofErr w:type="spellEnd"/>
      <w:r w:rsidRPr="006555FF">
        <w:rPr>
          <w:rFonts w:ascii="Times New Roman" w:hAnsi="Times New Roman" w:cs="Times New Roman"/>
        </w:rPr>
        <w:t>,</w:t>
      </w:r>
      <w:r>
        <w:rPr>
          <w:rFonts w:ascii="Times New Roman" w:hAnsi="Times New Roman" w:cs="Times New Roman"/>
        </w:rPr>
        <w:t xml:space="preserve"> 4% valorizáciu platov zamestnancov rezortu kultúry z roku 2017, posilnenie odmeňovania organizácií rezortu a podpora aktivít RO a PO. V rámci rozpočtu sú alokované zdroje na dokončenie rekonštrukcie a modernizácie Slovenskej národnej galérie, ktorá bola dočasne pozastavená v súvislosti so Slovenským predsedníctvom v </w:t>
      </w:r>
      <w:r w:rsidR="005415D5">
        <w:rPr>
          <w:rFonts w:ascii="Times New Roman" w:hAnsi="Times New Roman" w:cs="Times New Roman"/>
        </w:rPr>
        <w:t>R</w:t>
      </w:r>
      <w:r>
        <w:rPr>
          <w:rFonts w:ascii="Times New Roman" w:hAnsi="Times New Roman" w:cs="Times New Roman"/>
        </w:rPr>
        <w:t>ade EÚ. </w:t>
      </w:r>
    </w:p>
    <w:p w:rsidR="007D13F3" w:rsidRDefault="007D13F3" w:rsidP="007D13F3">
      <w:pPr>
        <w:spacing w:after="160" w:line="259" w:lineRule="auto"/>
        <w:rPr>
          <w:rFonts w:ascii="Times New Roman" w:hAnsi="Times New Roman" w:cs="Times New Roman"/>
        </w:rPr>
      </w:pPr>
      <w:r>
        <w:rPr>
          <w:rFonts w:ascii="Times New Roman" w:hAnsi="Times New Roman" w:cs="Times New Roman"/>
        </w:rPr>
        <w:br w:type="page"/>
      </w:r>
    </w:p>
    <w:p w:rsidR="007D13F3" w:rsidRDefault="007D13F3" w:rsidP="007D13F3">
      <w:pPr>
        <w:ind w:firstLine="708"/>
        <w:jc w:val="both"/>
        <w:rPr>
          <w:rFonts w:ascii="Times New Roman" w:hAnsi="Times New Roman" w:cs="Times New Roman"/>
        </w:rPr>
      </w:pPr>
      <w:r>
        <w:rPr>
          <w:rFonts w:ascii="Times New Roman" w:hAnsi="Times New Roman" w:cs="Times New Roman"/>
        </w:rPr>
        <w:lastRenderedPageBreak/>
        <w:t xml:space="preserve"> </w:t>
      </w:r>
      <w:r w:rsidRPr="0003125D">
        <w:rPr>
          <w:rFonts w:ascii="Times New Roman" w:hAnsi="Times New Roman" w:cs="Times New Roman"/>
        </w:rPr>
        <w:t>Prehľad výdavkov rozpočtovaných v inštitucionálnej podpore rozpočtových</w:t>
      </w:r>
      <w:r>
        <w:rPr>
          <w:rFonts w:ascii="Times New Roman" w:hAnsi="Times New Roman" w:cs="Times New Roman"/>
        </w:rPr>
        <w:t xml:space="preserve"> organizácií</w:t>
      </w:r>
      <w:r w:rsidRPr="0003125D">
        <w:rPr>
          <w:rFonts w:ascii="Times New Roman" w:hAnsi="Times New Roman" w:cs="Times New Roman"/>
        </w:rPr>
        <w:t xml:space="preserve"> a príspevkových organizácií.</w:t>
      </w:r>
    </w:p>
    <w:p w:rsidR="007D13F3" w:rsidRDefault="007D13F3" w:rsidP="007D13F3">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636"/>
        <w:gridCol w:w="928"/>
        <w:gridCol w:w="928"/>
        <w:gridCol w:w="928"/>
        <w:gridCol w:w="910"/>
        <w:gridCol w:w="910"/>
        <w:gridCol w:w="911"/>
        <w:gridCol w:w="911"/>
      </w:tblGrid>
      <w:tr w:rsidR="007D13F3" w:rsidRPr="00082ECB" w:rsidTr="00465CAC">
        <w:trPr>
          <w:trHeight w:hRule="exact" w:val="255"/>
        </w:trPr>
        <w:tc>
          <w:tcPr>
            <w:tcW w:w="1189"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082ECB" w:rsidRDefault="007D13F3" w:rsidP="00465CAC">
            <w:pPr>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v eurách</w:t>
            </w:r>
          </w:p>
        </w:tc>
        <w:tc>
          <w:tcPr>
            <w:tcW w:w="550" w:type="pct"/>
            <w:tcBorders>
              <w:top w:val="single" w:sz="4" w:space="0" w:color="auto"/>
              <w:left w:val="nil"/>
              <w:bottom w:val="single" w:sz="4" w:space="0" w:color="auto"/>
              <w:right w:val="single" w:sz="4" w:space="0" w:color="auto"/>
            </w:tcBorders>
            <w:shd w:val="pct35" w:color="000000" w:fill="auto"/>
            <w:vAlign w:val="center"/>
            <w:hideMark/>
          </w:tcPr>
          <w:p w:rsidR="007D13F3" w:rsidRPr="00082ECB" w:rsidRDefault="007D13F3" w:rsidP="00465CAC">
            <w:pPr>
              <w:jc w:val="center"/>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2015 S</w:t>
            </w:r>
          </w:p>
        </w:tc>
        <w:tc>
          <w:tcPr>
            <w:tcW w:w="550" w:type="pct"/>
            <w:tcBorders>
              <w:top w:val="single" w:sz="4" w:space="0" w:color="auto"/>
              <w:left w:val="nil"/>
              <w:bottom w:val="single" w:sz="4" w:space="0" w:color="auto"/>
              <w:right w:val="single" w:sz="4" w:space="0" w:color="auto"/>
            </w:tcBorders>
            <w:shd w:val="pct35" w:color="000000" w:fill="auto"/>
            <w:vAlign w:val="center"/>
            <w:hideMark/>
          </w:tcPr>
          <w:p w:rsidR="007D13F3" w:rsidRPr="00082ECB" w:rsidRDefault="007D13F3" w:rsidP="00465CAC">
            <w:pPr>
              <w:jc w:val="center"/>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2016 S</w:t>
            </w:r>
          </w:p>
        </w:tc>
        <w:tc>
          <w:tcPr>
            <w:tcW w:w="550" w:type="pct"/>
            <w:tcBorders>
              <w:top w:val="single" w:sz="4" w:space="0" w:color="auto"/>
              <w:left w:val="nil"/>
              <w:bottom w:val="single" w:sz="4" w:space="0" w:color="auto"/>
              <w:right w:val="single" w:sz="4" w:space="0" w:color="auto"/>
            </w:tcBorders>
            <w:shd w:val="pct35" w:color="000000" w:fill="auto"/>
            <w:vAlign w:val="center"/>
            <w:hideMark/>
          </w:tcPr>
          <w:p w:rsidR="007D13F3" w:rsidRPr="00082ECB" w:rsidRDefault="007D13F3" w:rsidP="00465CAC">
            <w:pPr>
              <w:jc w:val="center"/>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2017 R</w:t>
            </w:r>
          </w:p>
        </w:tc>
        <w:tc>
          <w:tcPr>
            <w:tcW w:w="540" w:type="pct"/>
            <w:tcBorders>
              <w:top w:val="single" w:sz="4" w:space="0" w:color="auto"/>
              <w:left w:val="nil"/>
              <w:bottom w:val="single" w:sz="4" w:space="0" w:color="auto"/>
              <w:right w:val="single" w:sz="4" w:space="0" w:color="auto"/>
            </w:tcBorders>
            <w:shd w:val="pct35" w:color="000000" w:fill="auto"/>
            <w:vAlign w:val="center"/>
            <w:hideMark/>
          </w:tcPr>
          <w:p w:rsidR="007D13F3" w:rsidRPr="00082ECB" w:rsidRDefault="007D13F3" w:rsidP="00465CAC">
            <w:pPr>
              <w:jc w:val="center"/>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2107 OS</w:t>
            </w:r>
          </w:p>
        </w:tc>
        <w:tc>
          <w:tcPr>
            <w:tcW w:w="540" w:type="pct"/>
            <w:tcBorders>
              <w:top w:val="single" w:sz="4" w:space="0" w:color="auto"/>
              <w:left w:val="nil"/>
              <w:bottom w:val="single" w:sz="4" w:space="0" w:color="auto"/>
              <w:right w:val="single" w:sz="4" w:space="0" w:color="auto"/>
            </w:tcBorders>
            <w:shd w:val="pct35" w:color="000000" w:fill="auto"/>
            <w:vAlign w:val="center"/>
            <w:hideMark/>
          </w:tcPr>
          <w:p w:rsidR="007D13F3" w:rsidRPr="00082ECB" w:rsidRDefault="007D13F3" w:rsidP="00465CAC">
            <w:pPr>
              <w:jc w:val="center"/>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2018 N</w:t>
            </w:r>
          </w:p>
        </w:tc>
        <w:tc>
          <w:tcPr>
            <w:tcW w:w="540" w:type="pct"/>
            <w:tcBorders>
              <w:top w:val="single" w:sz="4" w:space="0" w:color="auto"/>
              <w:left w:val="nil"/>
              <w:bottom w:val="single" w:sz="4" w:space="0" w:color="auto"/>
              <w:right w:val="single" w:sz="4" w:space="0" w:color="auto"/>
            </w:tcBorders>
            <w:shd w:val="pct35" w:color="000000" w:fill="auto"/>
            <w:vAlign w:val="center"/>
            <w:hideMark/>
          </w:tcPr>
          <w:p w:rsidR="007D13F3" w:rsidRPr="00082ECB" w:rsidRDefault="007D13F3" w:rsidP="00465CAC">
            <w:pPr>
              <w:jc w:val="center"/>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2019 N</w:t>
            </w:r>
          </w:p>
        </w:tc>
        <w:tc>
          <w:tcPr>
            <w:tcW w:w="540" w:type="pct"/>
            <w:tcBorders>
              <w:top w:val="single" w:sz="4" w:space="0" w:color="auto"/>
              <w:left w:val="nil"/>
              <w:bottom w:val="single" w:sz="4" w:space="0" w:color="auto"/>
              <w:right w:val="single" w:sz="4" w:space="0" w:color="auto"/>
            </w:tcBorders>
            <w:shd w:val="pct35" w:color="000000" w:fill="auto"/>
            <w:vAlign w:val="center"/>
            <w:hideMark/>
          </w:tcPr>
          <w:p w:rsidR="007D13F3" w:rsidRPr="00082ECB" w:rsidRDefault="007D13F3" w:rsidP="00465CAC">
            <w:pPr>
              <w:jc w:val="center"/>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2020 N</w:t>
            </w:r>
          </w:p>
        </w:tc>
      </w:tr>
      <w:tr w:rsidR="007D13F3" w:rsidRPr="00082ECB" w:rsidTr="00465CAC">
        <w:trPr>
          <w:trHeight w:hRule="exact" w:val="255"/>
        </w:trPr>
        <w:tc>
          <w:tcPr>
            <w:tcW w:w="1189"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082ECB" w:rsidRDefault="007D13F3" w:rsidP="00465CAC">
            <w:pPr>
              <w:jc w:val="both"/>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Rozpočtové organizácie</w:t>
            </w:r>
          </w:p>
        </w:tc>
        <w:tc>
          <w:tcPr>
            <w:tcW w:w="550"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082ECB" w:rsidRDefault="007D13F3" w:rsidP="00465CAC">
            <w:pPr>
              <w:jc w:val="right"/>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27 430 406</w:t>
            </w:r>
          </w:p>
        </w:tc>
        <w:tc>
          <w:tcPr>
            <w:tcW w:w="550"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082ECB" w:rsidRDefault="007D13F3" w:rsidP="00465CAC">
            <w:pPr>
              <w:jc w:val="right"/>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42 091 732</w:t>
            </w:r>
          </w:p>
        </w:tc>
        <w:tc>
          <w:tcPr>
            <w:tcW w:w="550"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082ECB" w:rsidRDefault="007D13F3" w:rsidP="00465CAC">
            <w:pPr>
              <w:jc w:val="right"/>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29 663 555</w:t>
            </w:r>
          </w:p>
        </w:tc>
        <w:tc>
          <w:tcPr>
            <w:tcW w:w="540"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082ECB" w:rsidRDefault="007D13F3" w:rsidP="00465CAC">
            <w:pPr>
              <w:jc w:val="right"/>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29 437 487</w:t>
            </w:r>
          </w:p>
        </w:tc>
        <w:tc>
          <w:tcPr>
            <w:tcW w:w="540"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082ECB" w:rsidRDefault="007D13F3" w:rsidP="00465CAC">
            <w:pPr>
              <w:jc w:val="right"/>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33 217 139</w:t>
            </w:r>
          </w:p>
        </w:tc>
        <w:tc>
          <w:tcPr>
            <w:tcW w:w="540"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082ECB" w:rsidRDefault="007D13F3" w:rsidP="00465CAC">
            <w:pPr>
              <w:jc w:val="right"/>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31 017 139</w:t>
            </w:r>
          </w:p>
        </w:tc>
        <w:tc>
          <w:tcPr>
            <w:tcW w:w="540"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082ECB" w:rsidRDefault="007D13F3" w:rsidP="00465CAC">
            <w:pPr>
              <w:jc w:val="right"/>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31 017 139</w:t>
            </w:r>
          </w:p>
        </w:tc>
      </w:tr>
      <w:tr w:rsidR="007D13F3" w:rsidRPr="00082ECB" w:rsidTr="00465CAC">
        <w:trPr>
          <w:trHeight w:hRule="exact" w:val="255"/>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proofErr w:type="spellStart"/>
            <w:r w:rsidRPr="00082ECB">
              <w:rPr>
                <w:rFonts w:ascii="Times New Roman" w:hAnsi="Times New Roman" w:cs="Times New Roman"/>
                <w:color w:val="000000"/>
                <w:sz w:val="14"/>
                <w:szCs w:val="14"/>
                <w:lang w:eastAsia="sk-SK"/>
              </w:rPr>
              <w:t>Bibiana</w:t>
            </w:r>
            <w:proofErr w:type="spellEnd"/>
            <w:r w:rsidRPr="00082ECB">
              <w:rPr>
                <w:rFonts w:ascii="Times New Roman" w:hAnsi="Times New Roman" w:cs="Times New Roman"/>
                <w:color w:val="000000"/>
                <w:sz w:val="14"/>
                <w:szCs w:val="14"/>
                <w:lang w:eastAsia="sk-SK"/>
              </w:rPr>
              <w:t>, medzinárodný dom umenia pre deti</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1 098 245</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1 065 698</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1 087 804</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1 104 446</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1 202 966</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1 202 966</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1 202 966</w:t>
            </w:r>
          </w:p>
        </w:tc>
      </w:tr>
      <w:tr w:rsidR="007D13F3" w:rsidRPr="00082ECB" w:rsidTr="00465CAC">
        <w:trPr>
          <w:trHeight w:hRule="exact" w:val="255"/>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Pamiatkový úrad Slovenskej republiky</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6 574 515</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6 671 118</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7 359 111</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7 641 299</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7 751 160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7 751 160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7 751 160</w:t>
            </w:r>
          </w:p>
        </w:tc>
      </w:tr>
      <w:tr w:rsidR="007D13F3" w:rsidRPr="00082ECB" w:rsidTr="00465CAC">
        <w:trPr>
          <w:trHeight w:hRule="exact" w:val="255"/>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Slovenská národná knižnica v Martine</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5 949 438</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9 696 198</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9 807 385</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10 670 719</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13 026 044</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10 826 044</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10 826 044</w:t>
            </w:r>
          </w:p>
        </w:tc>
      </w:tr>
      <w:tr w:rsidR="007D13F3" w:rsidRPr="00082ECB" w:rsidTr="00465CAC">
        <w:trPr>
          <w:trHeight w:hRule="exact" w:val="255"/>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Univerzitná knižnica v Bratislave</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4 791 888</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9 432 931</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8 965 169</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7 616 254</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8 731 537</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8 731 537</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8 731 537</w:t>
            </w:r>
          </w:p>
        </w:tc>
      </w:tr>
      <w:tr w:rsidR="007D13F3" w:rsidRPr="00082ECB" w:rsidTr="00465CAC">
        <w:trPr>
          <w:trHeight w:hRule="exact" w:val="255"/>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Štátna vedecká knižnica v Prešove</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931 466</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934 464</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1 207 651</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1 131 352</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1 148 949</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1 148 949</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1 148 949</w:t>
            </w:r>
          </w:p>
        </w:tc>
      </w:tr>
      <w:tr w:rsidR="007D13F3" w:rsidRPr="00082ECB" w:rsidTr="00465CAC">
        <w:trPr>
          <w:trHeight w:hRule="exact" w:val="255"/>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Štátna vedecká knižnica v Košiciach</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1 150 548</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1 191 665</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1 236 435</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1 273 417</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1 356 483</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1 356 483</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1 356 483</w:t>
            </w:r>
          </w:p>
        </w:tc>
      </w:tr>
      <w:tr w:rsidR="007D13F3" w:rsidRPr="00082ECB" w:rsidTr="00465CAC">
        <w:trPr>
          <w:trHeight w:hRule="exact" w:val="255"/>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Ministerstvo kultúry SR</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6 934 306</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13 099 658</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0</w:t>
            </w:r>
          </w:p>
        </w:tc>
        <w:tc>
          <w:tcPr>
            <w:tcW w:w="540"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0</w:t>
            </w:r>
          </w:p>
        </w:tc>
      </w:tr>
    </w:tbl>
    <w:p w:rsidR="007D13F3" w:rsidRDefault="007D13F3" w:rsidP="007D13F3">
      <w:pPr>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587"/>
        <w:gridCol w:w="933"/>
        <w:gridCol w:w="933"/>
        <w:gridCol w:w="933"/>
        <w:gridCol w:w="919"/>
        <w:gridCol w:w="919"/>
        <w:gridCol w:w="919"/>
        <w:gridCol w:w="919"/>
      </w:tblGrid>
      <w:tr w:rsidR="007D13F3" w:rsidRPr="00082ECB" w:rsidTr="00465CAC">
        <w:trPr>
          <w:trHeight w:hRule="exact" w:val="255"/>
        </w:trPr>
        <w:tc>
          <w:tcPr>
            <w:tcW w:w="1427"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082ECB" w:rsidRDefault="007D13F3" w:rsidP="00465CAC">
            <w:pPr>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v eurách</w:t>
            </w:r>
          </w:p>
        </w:tc>
        <w:tc>
          <w:tcPr>
            <w:tcW w:w="515" w:type="pct"/>
            <w:tcBorders>
              <w:top w:val="single" w:sz="4" w:space="0" w:color="auto"/>
              <w:left w:val="nil"/>
              <w:bottom w:val="single" w:sz="4" w:space="0" w:color="auto"/>
              <w:right w:val="single" w:sz="4" w:space="0" w:color="auto"/>
            </w:tcBorders>
            <w:shd w:val="pct35" w:color="000000" w:fill="auto"/>
            <w:vAlign w:val="center"/>
            <w:hideMark/>
          </w:tcPr>
          <w:p w:rsidR="007D13F3" w:rsidRPr="00082ECB" w:rsidRDefault="007D13F3" w:rsidP="00465CAC">
            <w:pPr>
              <w:jc w:val="center"/>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2015 S</w:t>
            </w:r>
          </w:p>
        </w:tc>
        <w:tc>
          <w:tcPr>
            <w:tcW w:w="515" w:type="pct"/>
            <w:tcBorders>
              <w:top w:val="single" w:sz="4" w:space="0" w:color="auto"/>
              <w:left w:val="nil"/>
              <w:bottom w:val="single" w:sz="4" w:space="0" w:color="auto"/>
              <w:right w:val="single" w:sz="4" w:space="0" w:color="auto"/>
            </w:tcBorders>
            <w:shd w:val="pct35" w:color="000000" w:fill="auto"/>
            <w:vAlign w:val="center"/>
            <w:hideMark/>
          </w:tcPr>
          <w:p w:rsidR="007D13F3" w:rsidRPr="00082ECB" w:rsidRDefault="007D13F3" w:rsidP="00465CAC">
            <w:pPr>
              <w:jc w:val="center"/>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2016 S</w:t>
            </w:r>
          </w:p>
        </w:tc>
        <w:tc>
          <w:tcPr>
            <w:tcW w:w="515" w:type="pct"/>
            <w:tcBorders>
              <w:top w:val="single" w:sz="4" w:space="0" w:color="auto"/>
              <w:left w:val="nil"/>
              <w:bottom w:val="single" w:sz="4" w:space="0" w:color="auto"/>
              <w:right w:val="single" w:sz="4" w:space="0" w:color="auto"/>
            </w:tcBorders>
            <w:shd w:val="pct35" w:color="000000" w:fill="auto"/>
            <w:vAlign w:val="center"/>
            <w:hideMark/>
          </w:tcPr>
          <w:p w:rsidR="007D13F3" w:rsidRPr="00082ECB" w:rsidRDefault="007D13F3" w:rsidP="00465CAC">
            <w:pPr>
              <w:jc w:val="center"/>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2017 R</w:t>
            </w:r>
          </w:p>
        </w:tc>
        <w:tc>
          <w:tcPr>
            <w:tcW w:w="507" w:type="pct"/>
            <w:tcBorders>
              <w:top w:val="single" w:sz="4" w:space="0" w:color="auto"/>
              <w:left w:val="nil"/>
              <w:bottom w:val="single" w:sz="4" w:space="0" w:color="auto"/>
              <w:right w:val="single" w:sz="4" w:space="0" w:color="auto"/>
            </w:tcBorders>
            <w:shd w:val="pct35" w:color="000000" w:fill="auto"/>
            <w:vAlign w:val="center"/>
            <w:hideMark/>
          </w:tcPr>
          <w:p w:rsidR="007D13F3" w:rsidRPr="00082ECB" w:rsidRDefault="007D13F3" w:rsidP="00465CAC">
            <w:pPr>
              <w:jc w:val="center"/>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2107 OS</w:t>
            </w:r>
          </w:p>
        </w:tc>
        <w:tc>
          <w:tcPr>
            <w:tcW w:w="507" w:type="pct"/>
            <w:tcBorders>
              <w:top w:val="single" w:sz="4" w:space="0" w:color="auto"/>
              <w:left w:val="nil"/>
              <w:bottom w:val="single" w:sz="4" w:space="0" w:color="auto"/>
              <w:right w:val="single" w:sz="4" w:space="0" w:color="auto"/>
            </w:tcBorders>
            <w:shd w:val="pct35" w:color="000000" w:fill="auto"/>
            <w:vAlign w:val="center"/>
            <w:hideMark/>
          </w:tcPr>
          <w:p w:rsidR="007D13F3" w:rsidRPr="00082ECB" w:rsidRDefault="007D13F3" w:rsidP="00465CAC">
            <w:pPr>
              <w:jc w:val="center"/>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2018 N</w:t>
            </w:r>
          </w:p>
        </w:tc>
        <w:tc>
          <w:tcPr>
            <w:tcW w:w="507" w:type="pct"/>
            <w:tcBorders>
              <w:top w:val="single" w:sz="4" w:space="0" w:color="auto"/>
              <w:left w:val="nil"/>
              <w:bottom w:val="single" w:sz="4" w:space="0" w:color="auto"/>
              <w:right w:val="single" w:sz="4" w:space="0" w:color="auto"/>
            </w:tcBorders>
            <w:shd w:val="pct35" w:color="000000" w:fill="auto"/>
            <w:vAlign w:val="center"/>
            <w:hideMark/>
          </w:tcPr>
          <w:p w:rsidR="007D13F3" w:rsidRPr="00082ECB" w:rsidRDefault="007D13F3" w:rsidP="00465CAC">
            <w:pPr>
              <w:jc w:val="center"/>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2019 N</w:t>
            </w:r>
          </w:p>
        </w:tc>
        <w:tc>
          <w:tcPr>
            <w:tcW w:w="507" w:type="pct"/>
            <w:tcBorders>
              <w:top w:val="single" w:sz="4" w:space="0" w:color="auto"/>
              <w:left w:val="nil"/>
              <w:bottom w:val="single" w:sz="4" w:space="0" w:color="auto"/>
              <w:right w:val="single" w:sz="4" w:space="0" w:color="auto"/>
            </w:tcBorders>
            <w:shd w:val="pct35" w:color="000000" w:fill="auto"/>
            <w:vAlign w:val="center"/>
            <w:hideMark/>
          </w:tcPr>
          <w:p w:rsidR="007D13F3" w:rsidRPr="00082ECB" w:rsidRDefault="007D13F3" w:rsidP="00465CAC">
            <w:pPr>
              <w:jc w:val="center"/>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2020 N</w:t>
            </w:r>
          </w:p>
        </w:tc>
      </w:tr>
      <w:tr w:rsidR="007D13F3" w:rsidRPr="00082ECB" w:rsidTr="00465CAC">
        <w:trPr>
          <w:trHeight w:hRule="exact" w:val="255"/>
        </w:trPr>
        <w:tc>
          <w:tcPr>
            <w:tcW w:w="1427"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082ECB" w:rsidRDefault="007D13F3" w:rsidP="00465CAC">
            <w:pPr>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Príspevkové organizácie</w:t>
            </w:r>
          </w:p>
        </w:tc>
        <w:tc>
          <w:tcPr>
            <w:tcW w:w="515"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082ECB" w:rsidRDefault="007D13F3" w:rsidP="00465CAC">
            <w:pPr>
              <w:jc w:val="right"/>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55 784 255</w:t>
            </w:r>
          </w:p>
        </w:tc>
        <w:tc>
          <w:tcPr>
            <w:tcW w:w="515"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082ECB" w:rsidRDefault="007D13F3" w:rsidP="00465CAC">
            <w:pPr>
              <w:jc w:val="right"/>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64 448 285</w:t>
            </w:r>
          </w:p>
        </w:tc>
        <w:tc>
          <w:tcPr>
            <w:tcW w:w="515"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082ECB" w:rsidRDefault="007D13F3" w:rsidP="00465CAC">
            <w:pPr>
              <w:jc w:val="right"/>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84 809 427</w:t>
            </w:r>
          </w:p>
        </w:tc>
        <w:tc>
          <w:tcPr>
            <w:tcW w:w="507"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082ECB" w:rsidRDefault="007D13F3" w:rsidP="00465CAC">
            <w:pPr>
              <w:jc w:val="right"/>
              <w:rPr>
                <w:rFonts w:ascii="Times New Roman" w:hAnsi="Times New Roman" w:cs="Times New Roman"/>
                <w:b/>
                <w:bCs/>
                <w:color w:val="000000"/>
                <w:sz w:val="14"/>
                <w:szCs w:val="14"/>
                <w:lang w:eastAsia="sk-SK"/>
              </w:rPr>
            </w:pPr>
            <w:r w:rsidRPr="00082ECB">
              <w:rPr>
                <w:rFonts w:ascii="Times New Roman" w:hAnsi="Times New Roman" w:cs="Times New Roman"/>
                <w:b/>
                <w:bCs/>
                <w:color w:val="000000"/>
                <w:sz w:val="14"/>
                <w:szCs w:val="14"/>
                <w:lang w:eastAsia="sk-SK"/>
              </w:rPr>
              <w:t>86 723 737</w:t>
            </w:r>
          </w:p>
        </w:tc>
        <w:tc>
          <w:tcPr>
            <w:tcW w:w="507"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9D5B31" w:rsidRDefault="007D13F3" w:rsidP="00465CAC">
            <w:pPr>
              <w:jc w:val="right"/>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rPr>
              <w:t>103 442 833</w:t>
            </w:r>
          </w:p>
        </w:tc>
        <w:tc>
          <w:tcPr>
            <w:tcW w:w="507"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9D5B31" w:rsidRDefault="007D13F3" w:rsidP="00465CAC">
            <w:pPr>
              <w:jc w:val="right"/>
              <w:rPr>
                <w:rFonts w:ascii="Times New Roman" w:hAnsi="Times New Roman" w:cs="Times New Roman"/>
                <w:b/>
                <w:bCs/>
                <w:color w:val="000000"/>
                <w:sz w:val="14"/>
                <w:szCs w:val="14"/>
              </w:rPr>
            </w:pPr>
            <w:r w:rsidRPr="009D5B31">
              <w:rPr>
                <w:rFonts w:ascii="Times New Roman" w:hAnsi="Times New Roman" w:cs="Times New Roman"/>
                <w:b/>
                <w:bCs/>
                <w:color w:val="000000"/>
                <w:sz w:val="14"/>
                <w:szCs w:val="14"/>
              </w:rPr>
              <w:t>74 273 896</w:t>
            </w:r>
          </w:p>
        </w:tc>
        <w:tc>
          <w:tcPr>
            <w:tcW w:w="507"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9D5B31" w:rsidRDefault="007D13F3" w:rsidP="00465CAC">
            <w:pPr>
              <w:jc w:val="right"/>
              <w:rPr>
                <w:rFonts w:ascii="Times New Roman" w:hAnsi="Times New Roman" w:cs="Times New Roman"/>
                <w:b/>
                <w:bCs/>
                <w:color w:val="000000"/>
                <w:sz w:val="14"/>
                <w:szCs w:val="14"/>
              </w:rPr>
            </w:pPr>
            <w:r w:rsidRPr="009D5B31">
              <w:rPr>
                <w:rFonts w:ascii="Times New Roman" w:hAnsi="Times New Roman" w:cs="Times New Roman"/>
                <w:b/>
                <w:bCs/>
                <w:color w:val="000000"/>
                <w:sz w:val="14"/>
                <w:szCs w:val="14"/>
              </w:rPr>
              <w:t>74 273 896</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Divadelný ústav</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980 326</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1 009 995</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1 078 002</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1 099 624</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1 121 566</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1 121 566</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1 121 566</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Divadlo Nová scéna</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1 631 632</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2 188 608</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2 239 018</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2 291 298</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2 309 760</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2 309 760</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2 309 760</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Hudobné centrum</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945 202</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1 066 524</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1 125 881</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1 143 200</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1 158 806</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1 158 806</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1 158 806</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Literárne informačné centrum</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749 016</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734 922</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797 738</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810 720</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822 488</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822 488</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822 488</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Múzeum Slovenského národného povstania</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1 352 132</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2 334 053</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2 596 308</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3 011 830</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3 066 084</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3 066 084</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3 066 084</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Národné osvetové centrum</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1 879 685</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2 242 555</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4 964 116</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4 153 102</w:t>
            </w:r>
          </w:p>
        </w:tc>
        <w:tc>
          <w:tcPr>
            <w:tcW w:w="507"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4 432 442</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4 182 442</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4 182 442</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Slovenská filharmónia</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6 827 830</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7 298 929</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7 457 313</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7 457 313</w:t>
            </w:r>
          </w:p>
        </w:tc>
        <w:tc>
          <w:tcPr>
            <w:tcW w:w="507"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7 713 183</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7 713 183</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7 713 183</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 xml:space="preserve">Slovenská knižnica pre nevidiacich </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773 047</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769 698</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855 805</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879 084</w:t>
            </w:r>
          </w:p>
        </w:tc>
        <w:tc>
          <w:tcPr>
            <w:tcW w:w="507"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899 258</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899 258</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899 258</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Slovenská národná galéria</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2 305 377</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3 058 234</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15 778 003</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15 820 789</w:t>
            </w:r>
          </w:p>
        </w:tc>
        <w:tc>
          <w:tcPr>
            <w:tcW w:w="507"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30 619 444</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3 900 507</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3 900 507</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Slovenská ústredná hvezdáreň</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479 685</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484 410</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508 790</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519 907</w:t>
            </w:r>
          </w:p>
        </w:tc>
        <w:tc>
          <w:tcPr>
            <w:tcW w:w="507"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532 211</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532 211</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532 211</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Slovenské centrum dizajnu</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352 020</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349 524</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417 125</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425 720</w:t>
            </w:r>
          </w:p>
        </w:tc>
        <w:tc>
          <w:tcPr>
            <w:tcW w:w="507"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434 928</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434 928</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434 928</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Slovenské národné divadlo</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14 942 404</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15 034 205</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16 441 827</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16 441 827</w:t>
            </w:r>
          </w:p>
        </w:tc>
        <w:tc>
          <w:tcPr>
            <w:tcW w:w="507"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18 559 487</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17 059 487</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17 059 487</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Slovenské národné múzeum</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6 887 281</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8 721 688</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10 552 636</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10 720 528</w:t>
            </w:r>
          </w:p>
        </w:tc>
        <w:tc>
          <w:tcPr>
            <w:tcW w:w="507"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8 575 563</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8 575 563</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8 575 563</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Slovenské technické múzeum</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851 594</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1 122 761</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988 348</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1 024 334</w:t>
            </w:r>
          </w:p>
        </w:tc>
        <w:tc>
          <w:tcPr>
            <w:tcW w:w="507"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1 195 047</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1 195 047</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1 195 047</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Slovenský filmový ústav</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904 494</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2 019 606</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2 394 283</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2 478 302</w:t>
            </w:r>
          </w:p>
        </w:tc>
        <w:tc>
          <w:tcPr>
            <w:tcW w:w="507"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2 739 821</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2 739 821</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2 739 821</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Slovenský ľudový umelecký kolektív</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1 329 649</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2 400 931</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1 944 095</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2 289 937</w:t>
            </w:r>
          </w:p>
        </w:tc>
        <w:tc>
          <w:tcPr>
            <w:tcW w:w="507"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2 333 239</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2 333 239</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2 333 239</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Štátna filharmónia Košice</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1 414 590</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1 653 552</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1 945 141</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2 014 732</w:t>
            </w:r>
          </w:p>
        </w:tc>
        <w:tc>
          <w:tcPr>
            <w:tcW w:w="507"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2 077 173</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2 077 173</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2 077 173</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Štátna opera B.B.</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3 532 350</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3 671 162</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3 872 477</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3 985 859</w:t>
            </w:r>
          </w:p>
        </w:tc>
        <w:tc>
          <w:tcPr>
            <w:tcW w:w="507"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4 084 525</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4 084 525</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4 084 525</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Štátna vedecká knižnica v Banskej Bystrici</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939 984</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941 342</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1 042 497</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1 075 299</w:t>
            </w:r>
          </w:p>
        </w:tc>
        <w:tc>
          <w:tcPr>
            <w:tcW w:w="507"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1 106 639</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1 106 639</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1 106 639</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Štátne divadlo Košice</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3 803 026</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4 181 768</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4 481 862</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4 729 522</w:t>
            </w:r>
          </w:p>
        </w:tc>
        <w:tc>
          <w:tcPr>
            <w:tcW w:w="507" w:type="pct"/>
            <w:tcBorders>
              <w:top w:val="nil"/>
              <w:left w:val="nil"/>
              <w:bottom w:val="single" w:sz="4" w:space="0" w:color="auto"/>
              <w:right w:val="single" w:sz="4" w:space="0" w:color="auto"/>
            </w:tcBorders>
            <w:shd w:val="clear" w:color="auto" w:fill="auto"/>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5 360 850</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4 860 850</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4 860 850</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Štátny komorný orchester v Žiline</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705 437</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856 212</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923 717</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945 512</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972 884</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972 884</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972 884</w:t>
            </w:r>
          </w:p>
        </w:tc>
      </w:tr>
      <w:tr w:rsidR="007D13F3" w:rsidRPr="00082ECB" w:rsidTr="00465CAC">
        <w:trPr>
          <w:trHeight w:hRule="exact" w:val="255"/>
        </w:trPr>
        <w:tc>
          <w:tcPr>
            <w:tcW w:w="1427" w:type="pct"/>
            <w:tcBorders>
              <w:top w:val="nil"/>
              <w:left w:val="single" w:sz="4" w:space="0" w:color="auto"/>
              <w:bottom w:val="nil"/>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 xml:space="preserve">Tanečné divadlo </w:t>
            </w:r>
            <w:proofErr w:type="spellStart"/>
            <w:r w:rsidRPr="00082ECB">
              <w:rPr>
                <w:rFonts w:ascii="Times New Roman" w:hAnsi="Times New Roman" w:cs="Times New Roman"/>
                <w:color w:val="000000"/>
                <w:sz w:val="14"/>
                <w:szCs w:val="14"/>
                <w:lang w:eastAsia="sk-SK"/>
              </w:rPr>
              <w:t>Ifjú</w:t>
            </w:r>
            <w:proofErr w:type="spellEnd"/>
            <w:r w:rsidRPr="00082ECB">
              <w:rPr>
                <w:rFonts w:ascii="Times New Roman" w:hAnsi="Times New Roman" w:cs="Times New Roman"/>
                <w:color w:val="000000"/>
                <w:sz w:val="14"/>
                <w:szCs w:val="14"/>
                <w:lang w:eastAsia="sk-SK"/>
              </w:rPr>
              <w:t xml:space="preserve"> </w:t>
            </w:r>
            <w:proofErr w:type="spellStart"/>
            <w:r w:rsidRPr="00082ECB">
              <w:rPr>
                <w:rFonts w:ascii="Times New Roman" w:hAnsi="Times New Roman" w:cs="Times New Roman"/>
                <w:color w:val="000000"/>
                <w:sz w:val="14"/>
                <w:szCs w:val="14"/>
                <w:lang w:eastAsia="sk-SK"/>
              </w:rPr>
              <w:t>Szivek</w:t>
            </w:r>
            <w:proofErr w:type="spellEnd"/>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0</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0</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866 407</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671 093</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471 093</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471 093</w:t>
            </w:r>
          </w:p>
        </w:tc>
      </w:tr>
      <w:tr w:rsidR="007D13F3" w:rsidRPr="00082ECB" w:rsidTr="00465CAC">
        <w:trPr>
          <w:trHeight w:hRule="exact" w:val="255"/>
        </w:trPr>
        <w:tc>
          <w:tcPr>
            <w:tcW w:w="1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Umelecký súbor Lúčnica</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873 435</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866 256</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1 004 361</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1 017 950</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1 031 465</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1 031 465</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1 031 465</w:t>
            </w:r>
          </w:p>
        </w:tc>
      </w:tr>
      <w:tr w:rsidR="007D13F3" w:rsidRPr="00082ECB" w:rsidTr="00465CAC">
        <w:trPr>
          <w:trHeight w:hRule="exact" w:val="255"/>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2ECB" w:rsidRDefault="007D13F3" w:rsidP="00465CAC">
            <w:pPr>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Ústredie ľudovej umeleckej výroby</w:t>
            </w:r>
          </w:p>
        </w:tc>
        <w:tc>
          <w:tcPr>
            <w:tcW w:w="515" w:type="pct"/>
            <w:tcBorders>
              <w:top w:val="nil"/>
              <w:left w:val="nil"/>
              <w:bottom w:val="single" w:sz="4" w:space="0" w:color="auto"/>
              <w:right w:val="single" w:sz="4" w:space="0" w:color="auto"/>
            </w:tcBorders>
            <w:shd w:val="clear" w:color="auto" w:fill="auto"/>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1 324 059</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1 441 350</w:t>
            </w:r>
          </w:p>
        </w:tc>
        <w:tc>
          <w:tcPr>
            <w:tcW w:w="515"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1 400 084</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082ECB" w:rsidRDefault="007D13F3" w:rsidP="00465CAC">
            <w:pPr>
              <w:jc w:val="right"/>
              <w:rPr>
                <w:rFonts w:ascii="Times New Roman" w:hAnsi="Times New Roman" w:cs="Times New Roman"/>
                <w:color w:val="000000"/>
                <w:sz w:val="14"/>
                <w:szCs w:val="14"/>
                <w:lang w:eastAsia="sk-SK"/>
              </w:rPr>
            </w:pPr>
            <w:r w:rsidRPr="00082ECB">
              <w:rPr>
                <w:rFonts w:ascii="Times New Roman" w:hAnsi="Times New Roman" w:cs="Times New Roman"/>
                <w:color w:val="000000"/>
                <w:sz w:val="14"/>
                <w:szCs w:val="14"/>
                <w:lang w:eastAsia="sk-SK"/>
              </w:rPr>
              <w:t>1 520 941</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1 624 877</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1 624 877</w:t>
            </w:r>
          </w:p>
        </w:tc>
        <w:tc>
          <w:tcPr>
            <w:tcW w:w="507"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1 624 877</w:t>
            </w:r>
          </w:p>
        </w:tc>
      </w:tr>
    </w:tbl>
    <w:p w:rsidR="007D13F3" w:rsidRDefault="007D13F3" w:rsidP="007D13F3">
      <w:pPr>
        <w:autoSpaceDE w:val="0"/>
        <w:autoSpaceDN w:val="0"/>
        <w:adjustRightInd w:val="0"/>
        <w:jc w:val="both"/>
        <w:rPr>
          <w:rFonts w:ascii="Times New Roman" w:hAnsi="Times New Roman" w:cs="Times New Roman"/>
          <w:color w:val="FF0000"/>
          <w:sz w:val="20"/>
          <w:szCs w:val="20"/>
          <w:lang w:eastAsia="sk-SK"/>
        </w:rPr>
      </w:pPr>
    </w:p>
    <w:tbl>
      <w:tblPr>
        <w:tblW w:w="5000" w:type="pct"/>
        <w:tblCellMar>
          <w:left w:w="70" w:type="dxa"/>
          <w:right w:w="70" w:type="dxa"/>
        </w:tblCellMar>
        <w:tblLook w:val="04A0" w:firstRow="1" w:lastRow="0" w:firstColumn="1" w:lastColumn="0" w:noHBand="0" w:noVBand="1"/>
      </w:tblPr>
      <w:tblGrid>
        <w:gridCol w:w="2149"/>
        <w:gridCol w:w="996"/>
        <w:gridCol w:w="996"/>
        <w:gridCol w:w="997"/>
        <w:gridCol w:w="981"/>
        <w:gridCol w:w="981"/>
        <w:gridCol w:w="981"/>
        <w:gridCol w:w="981"/>
      </w:tblGrid>
      <w:tr w:rsidR="007D13F3" w:rsidRPr="0082136C" w:rsidTr="00465CAC">
        <w:trPr>
          <w:trHeight w:hRule="exact" w:val="255"/>
        </w:trPr>
        <w:tc>
          <w:tcPr>
            <w:tcW w:w="1186" w:type="pct"/>
            <w:tcBorders>
              <w:top w:val="single" w:sz="4" w:space="0" w:color="auto"/>
              <w:left w:val="single" w:sz="4" w:space="0" w:color="auto"/>
              <w:bottom w:val="single" w:sz="4" w:space="0" w:color="auto"/>
              <w:right w:val="single" w:sz="4" w:space="0" w:color="auto"/>
            </w:tcBorders>
            <w:shd w:val="pct35" w:color="auto" w:fill="auto"/>
            <w:noWrap/>
            <w:vAlign w:val="center"/>
            <w:hideMark/>
          </w:tcPr>
          <w:p w:rsidR="007D13F3" w:rsidRPr="0082136C" w:rsidRDefault="007D13F3" w:rsidP="00465CAC">
            <w:pPr>
              <w:rPr>
                <w:rFonts w:ascii="Times New Roman" w:hAnsi="Times New Roman" w:cs="Times New Roman"/>
                <w:color w:val="000000"/>
                <w:sz w:val="14"/>
                <w:szCs w:val="14"/>
                <w:lang w:eastAsia="sk-SK"/>
              </w:rPr>
            </w:pPr>
            <w:r w:rsidRPr="0082136C">
              <w:rPr>
                <w:rFonts w:ascii="Times New Roman" w:hAnsi="Times New Roman" w:cs="Times New Roman"/>
                <w:color w:val="000000"/>
                <w:sz w:val="14"/>
                <w:szCs w:val="14"/>
                <w:lang w:eastAsia="sk-SK"/>
              </w:rPr>
              <w:t>v eurách</w:t>
            </w:r>
          </w:p>
        </w:tc>
        <w:tc>
          <w:tcPr>
            <w:tcW w:w="550" w:type="pct"/>
            <w:tcBorders>
              <w:top w:val="single" w:sz="4" w:space="0" w:color="auto"/>
              <w:left w:val="nil"/>
              <w:bottom w:val="single" w:sz="4" w:space="0" w:color="auto"/>
              <w:right w:val="single" w:sz="4" w:space="0" w:color="auto"/>
            </w:tcBorders>
            <w:shd w:val="pct35" w:color="auto" w:fill="auto"/>
            <w:vAlign w:val="center"/>
            <w:hideMark/>
          </w:tcPr>
          <w:p w:rsidR="007D13F3" w:rsidRPr="0082136C" w:rsidRDefault="007D13F3" w:rsidP="00465CAC">
            <w:pPr>
              <w:jc w:val="center"/>
              <w:rPr>
                <w:rFonts w:ascii="Times New Roman" w:hAnsi="Times New Roman" w:cs="Times New Roman"/>
                <w:b/>
                <w:bCs/>
                <w:color w:val="000000"/>
                <w:sz w:val="14"/>
                <w:szCs w:val="14"/>
                <w:lang w:eastAsia="sk-SK"/>
              </w:rPr>
            </w:pPr>
            <w:r w:rsidRPr="0082136C">
              <w:rPr>
                <w:rFonts w:ascii="Times New Roman" w:hAnsi="Times New Roman" w:cs="Times New Roman"/>
                <w:b/>
                <w:bCs/>
                <w:color w:val="000000"/>
                <w:sz w:val="14"/>
                <w:szCs w:val="14"/>
                <w:lang w:eastAsia="sk-SK"/>
              </w:rPr>
              <w:t>2015 S</w:t>
            </w:r>
          </w:p>
        </w:tc>
        <w:tc>
          <w:tcPr>
            <w:tcW w:w="550" w:type="pct"/>
            <w:tcBorders>
              <w:top w:val="single" w:sz="4" w:space="0" w:color="auto"/>
              <w:left w:val="nil"/>
              <w:bottom w:val="single" w:sz="4" w:space="0" w:color="auto"/>
              <w:right w:val="single" w:sz="4" w:space="0" w:color="auto"/>
            </w:tcBorders>
            <w:shd w:val="pct35" w:color="auto" w:fill="auto"/>
            <w:vAlign w:val="center"/>
            <w:hideMark/>
          </w:tcPr>
          <w:p w:rsidR="007D13F3" w:rsidRPr="0082136C" w:rsidRDefault="007D13F3" w:rsidP="00465CAC">
            <w:pPr>
              <w:jc w:val="center"/>
              <w:rPr>
                <w:rFonts w:ascii="Times New Roman" w:hAnsi="Times New Roman" w:cs="Times New Roman"/>
                <w:b/>
                <w:bCs/>
                <w:color w:val="000000"/>
                <w:sz w:val="14"/>
                <w:szCs w:val="14"/>
                <w:lang w:eastAsia="sk-SK"/>
              </w:rPr>
            </w:pPr>
            <w:r w:rsidRPr="0082136C">
              <w:rPr>
                <w:rFonts w:ascii="Times New Roman" w:hAnsi="Times New Roman" w:cs="Times New Roman"/>
                <w:b/>
                <w:bCs/>
                <w:color w:val="000000"/>
                <w:sz w:val="14"/>
                <w:szCs w:val="14"/>
                <w:lang w:eastAsia="sk-SK"/>
              </w:rPr>
              <w:t>2016 S</w:t>
            </w:r>
          </w:p>
        </w:tc>
        <w:tc>
          <w:tcPr>
            <w:tcW w:w="550" w:type="pct"/>
            <w:tcBorders>
              <w:top w:val="single" w:sz="4" w:space="0" w:color="auto"/>
              <w:left w:val="nil"/>
              <w:bottom w:val="single" w:sz="4" w:space="0" w:color="auto"/>
              <w:right w:val="single" w:sz="4" w:space="0" w:color="auto"/>
            </w:tcBorders>
            <w:shd w:val="pct35" w:color="auto" w:fill="auto"/>
            <w:vAlign w:val="center"/>
            <w:hideMark/>
          </w:tcPr>
          <w:p w:rsidR="007D13F3" w:rsidRPr="0082136C" w:rsidRDefault="007D13F3" w:rsidP="00465CAC">
            <w:pPr>
              <w:jc w:val="center"/>
              <w:rPr>
                <w:rFonts w:ascii="Times New Roman" w:hAnsi="Times New Roman" w:cs="Times New Roman"/>
                <w:b/>
                <w:bCs/>
                <w:color w:val="000000"/>
                <w:sz w:val="14"/>
                <w:szCs w:val="14"/>
                <w:lang w:eastAsia="sk-SK"/>
              </w:rPr>
            </w:pPr>
            <w:r w:rsidRPr="0082136C">
              <w:rPr>
                <w:rFonts w:ascii="Times New Roman" w:hAnsi="Times New Roman" w:cs="Times New Roman"/>
                <w:b/>
                <w:bCs/>
                <w:color w:val="000000"/>
                <w:sz w:val="14"/>
                <w:szCs w:val="14"/>
                <w:lang w:eastAsia="sk-SK"/>
              </w:rPr>
              <w:t>2017 R</w:t>
            </w:r>
          </w:p>
        </w:tc>
        <w:tc>
          <w:tcPr>
            <w:tcW w:w="541" w:type="pct"/>
            <w:tcBorders>
              <w:top w:val="single" w:sz="4" w:space="0" w:color="auto"/>
              <w:left w:val="nil"/>
              <w:bottom w:val="single" w:sz="4" w:space="0" w:color="auto"/>
              <w:right w:val="single" w:sz="4" w:space="0" w:color="auto"/>
            </w:tcBorders>
            <w:shd w:val="pct35" w:color="auto" w:fill="auto"/>
            <w:vAlign w:val="center"/>
            <w:hideMark/>
          </w:tcPr>
          <w:p w:rsidR="007D13F3" w:rsidRPr="0082136C" w:rsidRDefault="007D13F3" w:rsidP="00465CAC">
            <w:pPr>
              <w:jc w:val="center"/>
              <w:rPr>
                <w:rFonts w:ascii="Times New Roman" w:hAnsi="Times New Roman" w:cs="Times New Roman"/>
                <w:b/>
                <w:bCs/>
                <w:color w:val="000000"/>
                <w:sz w:val="14"/>
                <w:szCs w:val="14"/>
                <w:lang w:eastAsia="sk-SK"/>
              </w:rPr>
            </w:pPr>
            <w:r w:rsidRPr="0082136C">
              <w:rPr>
                <w:rFonts w:ascii="Times New Roman" w:hAnsi="Times New Roman" w:cs="Times New Roman"/>
                <w:b/>
                <w:bCs/>
                <w:color w:val="000000"/>
                <w:sz w:val="14"/>
                <w:szCs w:val="14"/>
                <w:lang w:eastAsia="sk-SK"/>
              </w:rPr>
              <w:t>2107 OS</w:t>
            </w:r>
          </w:p>
        </w:tc>
        <w:tc>
          <w:tcPr>
            <w:tcW w:w="541" w:type="pct"/>
            <w:tcBorders>
              <w:top w:val="single" w:sz="4" w:space="0" w:color="auto"/>
              <w:left w:val="nil"/>
              <w:bottom w:val="single" w:sz="4" w:space="0" w:color="auto"/>
              <w:right w:val="single" w:sz="4" w:space="0" w:color="auto"/>
            </w:tcBorders>
            <w:shd w:val="pct35" w:color="auto" w:fill="auto"/>
            <w:vAlign w:val="center"/>
            <w:hideMark/>
          </w:tcPr>
          <w:p w:rsidR="007D13F3" w:rsidRPr="0082136C" w:rsidRDefault="007D13F3" w:rsidP="00465CAC">
            <w:pPr>
              <w:jc w:val="center"/>
              <w:rPr>
                <w:rFonts w:ascii="Times New Roman" w:hAnsi="Times New Roman" w:cs="Times New Roman"/>
                <w:b/>
                <w:bCs/>
                <w:color w:val="000000"/>
                <w:sz w:val="14"/>
                <w:szCs w:val="14"/>
                <w:lang w:eastAsia="sk-SK"/>
              </w:rPr>
            </w:pPr>
            <w:r w:rsidRPr="0082136C">
              <w:rPr>
                <w:rFonts w:ascii="Times New Roman" w:hAnsi="Times New Roman" w:cs="Times New Roman"/>
                <w:b/>
                <w:bCs/>
                <w:color w:val="000000"/>
                <w:sz w:val="14"/>
                <w:szCs w:val="14"/>
                <w:lang w:eastAsia="sk-SK"/>
              </w:rPr>
              <w:t>2018 N</w:t>
            </w:r>
          </w:p>
        </w:tc>
        <w:tc>
          <w:tcPr>
            <w:tcW w:w="541" w:type="pct"/>
            <w:tcBorders>
              <w:top w:val="single" w:sz="4" w:space="0" w:color="auto"/>
              <w:left w:val="nil"/>
              <w:bottom w:val="single" w:sz="4" w:space="0" w:color="auto"/>
              <w:right w:val="single" w:sz="4" w:space="0" w:color="auto"/>
            </w:tcBorders>
            <w:shd w:val="pct35" w:color="auto" w:fill="auto"/>
            <w:vAlign w:val="center"/>
            <w:hideMark/>
          </w:tcPr>
          <w:p w:rsidR="007D13F3" w:rsidRPr="0082136C" w:rsidRDefault="007D13F3" w:rsidP="00465CAC">
            <w:pPr>
              <w:jc w:val="center"/>
              <w:rPr>
                <w:rFonts w:ascii="Times New Roman" w:hAnsi="Times New Roman" w:cs="Times New Roman"/>
                <w:b/>
                <w:bCs/>
                <w:color w:val="000000"/>
                <w:sz w:val="14"/>
                <w:szCs w:val="14"/>
                <w:lang w:eastAsia="sk-SK"/>
              </w:rPr>
            </w:pPr>
            <w:r w:rsidRPr="0082136C">
              <w:rPr>
                <w:rFonts w:ascii="Times New Roman" w:hAnsi="Times New Roman" w:cs="Times New Roman"/>
                <w:b/>
                <w:bCs/>
                <w:color w:val="000000"/>
                <w:sz w:val="14"/>
                <w:szCs w:val="14"/>
                <w:lang w:eastAsia="sk-SK"/>
              </w:rPr>
              <w:t>2019 N</w:t>
            </w:r>
          </w:p>
        </w:tc>
        <w:tc>
          <w:tcPr>
            <w:tcW w:w="541" w:type="pct"/>
            <w:tcBorders>
              <w:top w:val="single" w:sz="4" w:space="0" w:color="auto"/>
              <w:left w:val="nil"/>
              <w:bottom w:val="single" w:sz="4" w:space="0" w:color="auto"/>
              <w:right w:val="single" w:sz="4" w:space="0" w:color="auto"/>
            </w:tcBorders>
            <w:shd w:val="pct35" w:color="auto" w:fill="auto"/>
            <w:vAlign w:val="center"/>
            <w:hideMark/>
          </w:tcPr>
          <w:p w:rsidR="007D13F3" w:rsidRPr="0082136C" w:rsidRDefault="007D13F3" w:rsidP="00465CAC">
            <w:pPr>
              <w:jc w:val="center"/>
              <w:rPr>
                <w:rFonts w:ascii="Times New Roman" w:hAnsi="Times New Roman" w:cs="Times New Roman"/>
                <w:b/>
                <w:bCs/>
                <w:color w:val="000000"/>
                <w:sz w:val="14"/>
                <w:szCs w:val="14"/>
                <w:lang w:eastAsia="sk-SK"/>
              </w:rPr>
            </w:pPr>
            <w:r w:rsidRPr="0082136C">
              <w:rPr>
                <w:rFonts w:ascii="Times New Roman" w:hAnsi="Times New Roman" w:cs="Times New Roman"/>
                <w:b/>
                <w:bCs/>
                <w:color w:val="000000"/>
                <w:sz w:val="14"/>
                <w:szCs w:val="14"/>
                <w:lang w:eastAsia="sk-SK"/>
              </w:rPr>
              <w:t>2020 N</w:t>
            </w:r>
          </w:p>
        </w:tc>
      </w:tr>
      <w:tr w:rsidR="007D13F3" w:rsidRPr="0082136C" w:rsidTr="00465CAC">
        <w:trPr>
          <w:trHeight w:hRule="exact" w:val="255"/>
        </w:trPr>
        <w:tc>
          <w:tcPr>
            <w:tcW w:w="1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82136C" w:rsidRDefault="007D13F3" w:rsidP="00465CAC">
            <w:pPr>
              <w:rPr>
                <w:rFonts w:ascii="Times New Roman" w:hAnsi="Times New Roman" w:cs="Times New Roman"/>
                <w:color w:val="000000"/>
                <w:sz w:val="14"/>
                <w:szCs w:val="14"/>
                <w:lang w:eastAsia="sk-SK"/>
              </w:rPr>
            </w:pPr>
            <w:r w:rsidRPr="0082136C">
              <w:rPr>
                <w:rFonts w:ascii="Times New Roman" w:hAnsi="Times New Roman" w:cs="Times New Roman"/>
                <w:color w:val="000000"/>
                <w:sz w:val="14"/>
                <w:szCs w:val="14"/>
                <w:lang w:eastAsia="sk-SK"/>
              </w:rPr>
              <w:t>Matica slovenská*</w:t>
            </w:r>
          </w:p>
        </w:tc>
        <w:tc>
          <w:tcPr>
            <w:tcW w:w="550" w:type="pct"/>
            <w:tcBorders>
              <w:top w:val="nil"/>
              <w:left w:val="nil"/>
              <w:bottom w:val="single" w:sz="4" w:space="0" w:color="auto"/>
              <w:right w:val="single" w:sz="4" w:space="0" w:color="auto"/>
            </w:tcBorders>
            <w:shd w:val="clear" w:color="auto" w:fill="auto"/>
            <w:noWrap/>
            <w:vAlign w:val="bottom"/>
            <w:hideMark/>
          </w:tcPr>
          <w:p w:rsidR="007D13F3" w:rsidRPr="0082136C" w:rsidRDefault="007D13F3" w:rsidP="00465CAC">
            <w:pPr>
              <w:jc w:val="right"/>
              <w:rPr>
                <w:rFonts w:ascii="Times New Roman" w:hAnsi="Times New Roman" w:cs="Times New Roman"/>
                <w:color w:val="000000"/>
                <w:sz w:val="14"/>
                <w:szCs w:val="14"/>
                <w:lang w:eastAsia="sk-SK"/>
              </w:rPr>
            </w:pPr>
            <w:r w:rsidRPr="0082136C">
              <w:rPr>
                <w:rFonts w:ascii="Times New Roman" w:hAnsi="Times New Roman" w:cs="Times New Roman"/>
                <w:color w:val="000000"/>
                <w:sz w:val="14"/>
                <w:szCs w:val="14"/>
                <w:lang w:eastAsia="sk-SK"/>
              </w:rPr>
              <w:t>1 494 000</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82136C" w:rsidRDefault="007D13F3" w:rsidP="00465CAC">
            <w:pPr>
              <w:jc w:val="right"/>
              <w:rPr>
                <w:rFonts w:ascii="Times New Roman" w:hAnsi="Times New Roman" w:cs="Times New Roman"/>
                <w:color w:val="000000"/>
                <w:sz w:val="14"/>
                <w:szCs w:val="14"/>
                <w:lang w:eastAsia="sk-SK"/>
              </w:rPr>
            </w:pPr>
            <w:r w:rsidRPr="0082136C">
              <w:rPr>
                <w:rFonts w:ascii="Times New Roman" w:hAnsi="Times New Roman" w:cs="Times New Roman"/>
                <w:color w:val="000000"/>
                <w:sz w:val="14"/>
                <w:szCs w:val="14"/>
                <w:lang w:eastAsia="sk-SK"/>
              </w:rPr>
              <w:t>1 514 000</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82136C" w:rsidRDefault="007D13F3" w:rsidP="00465CAC">
            <w:pPr>
              <w:jc w:val="right"/>
              <w:rPr>
                <w:rFonts w:ascii="Times New Roman" w:hAnsi="Times New Roman" w:cs="Times New Roman"/>
                <w:color w:val="000000"/>
                <w:sz w:val="14"/>
                <w:szCs w:val="14"/>
                <w:lang w:eastAsia="sk-SK"/>
              </w:rPr>
            </w:pPr>
            <w:r w:rsidRPr="0082136C">
              <w:rPr>
                <w:rFonts w:ascii="Times New Roman" w:hAnsi="Times New Roman" w:cs="Times New Roman"/>
                <w:color w:val="000000"/>
                <w:sz w:val="14"/>
                <w:szCs w:val="14"/>
                <w:lang w:eastAsia="sk-SK"/>
              </w:rPr>
              <w:t>1 494 000</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82136C" w:rsidRDefault="007D13F3" w:rsidP="00465CAC">
            <w:pPr>
              <w:jc w:val="right"/>
              <w:rPr>
                <w:rFonts w:ascii="Times New Roman" w:hAnsi="Times New Roman" w:cs="Times New Roman"/>
                <w:color w:val="000000"/>
                <w:sz w:val="14"/>
                <w:szCs w:val="14"/>
                <w:lang w:eastAsia="sk-SK"/>
              </w:rPr>
            </w:pPr>
            <w:r w:rsidRPr="0082136C">
              <w:rPr>
                <w:rFonts w:ascii="Times New Roman" w:hAnsi="Times New Roman" w:cs="Times New Roman"/>
                <w:color w:val="000000"/>
                <w:sz w:val="14"/>
                <w:szCs w:val="14"/>
                <w:lang w:eastAsia="sk-SK"/>
              </w:rPr>
              <w:t>1 594 000</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82136C" w:rsidRDefault="007D13F3" w:rsidP="00465CAC">
            <w:pPr>
              <w:jc w:val="right"/>
              <w:rPr>
                <w:rFonts w:ascii="Times New Roman" w:hAnsi="Times New Roman" w:cs="Times New Roman"/>
                <w:color w:val="000000"/>
                <w:sz w:val="14"/>
                <w:szCs w:val="14"/>
                <w:lang w:eastAsia="sk-SK"/>
              </w:rPr>
            </w:pPr>
            <w:r w:rsidRPr="0082136C">
              <w:rPr>
                <w:rFonts w:ascii="Times New Roman" w:hAnsi="Times New Roman" w:cs="Times New Roman"/>
                <w:color w:val="000000"/>
                <w:sz w:val="14"/>
                <w:szCs w:val="14"/>
                <w:lang w:eastAsia="sk-SK"/>
              </w:rPr>
              <w:t>1 494 000</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82136C" w:rsidRDefault="007D13F3" w:rsidP="00465CAC">
            <w:pPr>
              <w:jc w:val="right"/>
              <w:rPr>
                <w:rFonts w:ascii="Times New Roman" w:hAnsi="Times New Roman" w:cs="Times New Roman"/>
                <w:color w:val="000000"/>
                <w:sz w:val="14"/>
                <w:szCs w:val="14"/>
                <w:lang w:eastAsia="sk-SK"/>
              </w:rPr>
            </w:pPr>
            <w:r w:rsidRPr="0082136C">
              <w:rPr>
                <w:rFonts w:ascii="Times New Roman" w:hAnsi="Times New Roman" w:cs="Times New Roman"/>
                <w:color w:val="000000"/>
                <w:sz w:val="14"/>
                <w:szCs w:val="14"/>
                <w:lang w:eastAsia="sk-SK"/>
              </w:rPr>
              <w:t>1 494 000</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82136C" w:rsidRDefault="007D13F3" w:rsidP="00465CAC">
            <w:pPr>
              <w:jc w:val="right"/>
              <w:rPr>
                <w:rFonts w:ascii="Times New Roman" w:hAnsi="Times New Roman" w:cs="Times New Roman"/>
                <w:color w:val="000000"/>
                <w:sz w:val="14"/>
                <w:szCs w:val="14"/>
                <w:lang w:eastAsia="sk-SK"/>
              </w:rPr>
            </w:pPr>
            <w:r w:rsidRPr="0082136C">
              <w:rPr>
                <w:rFonts w:ascii="Times New Roman" w:hAnsi="Times New Roman" w:cs="Times New Roman"/>
                <w:color w:val="000000"/>
                <w:sz w:val="14"/>
                <w:szCs w:val="14"/>
                <w:lang w:eastAsia="sk-SK"/>
              </w:rPr>
              <w:t>1 494 000</w:t>
            </w:r>
          </w:p>
        </w:tc>
      </w:tr>
    </w:tbl>
    <w:p w:rsidR="007D13F3" w:rsidRPr="00596736" w:rsidRDefault="007D13F3" w:rsidP="007D13F3">
      <w:pPr>
        <w:autoSpaceDE w:val="0"/>
        <w:autoSpaceDN w:val="0"/>
        <w:adjustRightInd w:val="0"/>
        <w:jc w:val="both"/>
        <w:rPr>
          <w:rFonts w:ascii="Times New Roman" w:hAnsi="Times New Roman" w:cs="Times New Roman"/>
          <w:sz w:val="14"/>
          <w:szCs w:val="14"/>
        </w:rPr>
      </w:pPr>
      <w:r w:rsidRPr="00596736">
        <w:rPr>
          <w:rFonts w:ascii="Times New Roman" w:hAnsi="Times New Roman" w:cs="Times New Roman"/>
          <w:sz w:val="14"/>
          <w:szCs w:val="14"/>
        </w:rPr>
        <w:t>*verejnoprávna ustanovizeň</w:t>
      </w:r>
    </w:p>
    <w:p w:rsidR="007D13F3" w:rsidRPr="0003125D" w:rsidRDefault="007D13F3" w:rsidP="007D13F3">
      <w:pPr>
        <w:autoSpaceDE w:val="0"/>
        <w:autoSpaceDN w:val="0"/>
        <w:adjustRightInd w:val="0"/>
        <w:ind w:firstLine="708"/>
        <w:jc w:val="both"/>
        <w:rPr>
          <w:rFonts w:ascii="Times New Roman" w:hAnsi="Times New Roman" w:cs="Times New Roman"/>
        </w:rPr>
      </w:pPr>
    </w:p>
    <w:p w:rsidR="007D13F3" w:rsidRPr="0003125D" w:rsidRDefault="007D13F3" w:rsidP="007D13F3">
      <w:pPr>
        <w:autoSpaceDE w:val="0"/>
        <w:autoSpaceDN w:val="0"/>
        <w:adjustRightInd w:val="0"/>
        <w:ind w:firstLine="708"/>
        <w:jc w:val="both"/>
        <w:rPr>
          <w:rFonts w:ascii="Times New Roman" w:hAnsi="Times New Roman" w:cs="Times New Roman"/>
          <w:sz w:val="12"/>
          <w:szCs w:val="12"/>
        </w:rPr>
      </w:pPr>
      <w:r w:rsidRPr="0003125D">
        <w:rPr>
          <w:rFonts w:ascii="Times New Roman" w:hAnsi="Times New Roman" w:cs="Times New Roman"/>
        </w:rPr>
        <w:t xml:space="preserve">Oblasť inštitucionálnej podpory pokrýva svojou činnosťou podporu </w:t>
      </w:r>
      <w:r>
        <w:rPr>
          <w:rFonts w:ascii="Times New Roman" w:hAnsi="Times New Roman" w:cs="Times New Roman"/>
        </w:rPr>
        <w:t>30</w:t>
      </w:r>
      <w:r w:rsidRPr="0003125D">
        <w:rPr>
          <w:rFonts w:ascii="Times New Roman" w:hAnsi="Times New Roman" w:cs="Times New Roman"/>
        </w:rPr>
        <w:t xml:space="preserve"> rezortných rozpočtových a príspevkových organizácií vo všetkých oblastiach pôsobenia kapitoly.</w:t>
      </w:r>
    </w:p>
    <w:p w:rsidR="007D13F3" w:rsidRPr="00E620E5" w:rsidRDefault="007D13F3" w:rsidP="007D13F3">
      <w:pPr>
        <w:spacing w:after="160" w:line="259" w:lineRule="auto"/>
        <w:rPr>
          <w:rFonts w:ascii="Times New Roman" w:hAnsi="Times New Roman" w:cs="Times New Roman"/>
          <w:b/>
          <w:bCs/>
          <w:color w:val="FF0000"/>
        </w:rPr>
      </w:pPr>
      <w:r>
        <w:rPr>
          <w:rFonts w:ascii="Times New Roman" w:hAnsi="Times New Roman" w:cs="Times New Roman"/>
          <w:b/>
          <w:bCs/>
          <w:color w:val="FF0000"/>
        </w:rPr>
        <w:br w:type="page"/>
      </w:r>
      <w:r>
        <w:rPr>
          <w:rFonts w:ascii="Times New Roman" w:hAnsi="Times New Roman" w:cs="Times New Roman"/>
          <w:b/>
          <w:bCs/>
        </w:rPr>
        <w:lastRenderedPageBreak/>
        <w:t>Dotačný</w:t>
      </w:r>
      <w:r w:rsidRPr="0003125D">
        <w:rPr>
          <w:rFonts w:ascii="Times New Roman" w:hAnsi="Times New Roman" w:cs="Times New Roman"/>
          <w:b/>
          <w:bCs/>
        </w:rPr>
        <w:t xml:space="preserve"> systém MK SR</w:t>
      </w:r>
    </w:p>
    <w:tbl>
      <w:tblPr>
        <w:tblW w:w="5000" w:type="pct"/>
        <w:tblCellMar>
          <w:left w:w="70" w:type="dxa"/>
          <w:right w:w="70" w:type="dxa"/>
        </w:tblCellMar>
        <w:tblLook w:val="04A0" w:firstRow="1" w:lastRow="0" w:firstColumn="1" w:lastColumn="0" w:noHBand="0" w:noVBand="1"/>
      </w:tblPr>
      <w:tblGrid>
        <w:gridCol w:w="2479"/>
        <w:gridCol w:w="951"/>
        <w:gridCol w:w="950"/>
        <w:gridCol w:w="950"/>
        <w:gridCol w:w="933"/>
        <w:gridCol w:w="933"/>
        <w:gridCol w:w="933"/>
        <w:gridCol w:w="933"/>
      </w:tblGrid>
      <w:tr w:rsidR="007D13F3" w:rsidRPr="001576D1" w:rsidTr="00465CAC">
        <w:trPr>
          <w:trHeight w:hRule="exact" w:val="255"/>
        </w:trPr>
        <w:tc>
          <w:tcPr>
            <w:tcW w:w="136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v eurách</w:t>
            </w:r>
          </w:p>
        </w:tc>
        <w:tc>
          <w:tcPr>
            <w:tcW w:w="524"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 xml:space="preserve"> 2015 S</w:t>
            </w:r>
          </w:p>
        </w:tc>
        <w:tc>
          <w:tcPr>
            <w:tcW w:w="524"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 xml:space="preserve"> 2016 S</w:t>
            </w:r>
          </w:p>
        </w:tc>
        <w:tc>
          <w:tcPr>
            <w:tcW w:w="524"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2017 R</w:t>
            </w:r>
          </w:p>
        </w:tc>
        <w:tc>
          <w:tcPr>
            <w:tcW w:w="515"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2017 OS</w:t>
            </w:r>
          </w:p>
        </w:tc>
        <w:tc>
          <w:tcPr>
            <w:tcW w:w="515"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 xml:space="preserve">  2018 N</w:t>
            </w:r>
          </w:p>
        </w:tc>
        <w:tc>
          <w:tcPr>
            <w:tcW w:w="515"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 xml:space="preserve">  2019 N</w:t>
            </w:r>
          </w:p>
        </w:tc>
        <w:tc>
          <w:tcPr>
            <w:tcW w:w="515"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 xml:space="preserve">  2020 N</w:t>
            </w:r>
          </w:p>
        </w:tc>
      </w:tr>
      <w:tr w:rsidR="007D13F3" w:rsidRPr="001576D1" w:rsidTr="009C37FC">
        <w:trPr>
          <w:trHeight w:hRule="exact" w:val="255"/>
        </w:trPr>
        <w:tc>
          <w:tcPr>
            <w:tcW w:w="1367"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1576D1" w:rsidRDefault="007D13F3" w:rsidP="00465CAC">
            <w:pP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 xml:space="preserve">Dotačný systém </w:t>
            </w:r>
          </w:p>
        </w:tc>
        <w:tc>
          <w:tcPr>
            <w:tcW w:w="524"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18 636 202</w:t>
            </w:r>
          </w:p>
        </w:tc>
        <w:tc>
          <w:tcPr>
            <w:tcW w:w="524"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9 105 292</w:t>
            </w:r>
          </w:p>
        </w:tc>
        <w:tc>
          <w:tcPr>
            <w:tcW w:w="524"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15 996 097</w:t>
            </w:r>
          </w:p>
        </w:tc>
        <w:tc>
          <w:tcPr>
            <w:tcW w:w="515"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15 996 097</w:t>
            </w:r>
          </w:p>
        </w:tc>
        <w:tc>
          <w:tcPr>
            <w:tcW w:w="515"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15 996 097</w:t>
            </w:r>
          </w:p>
        </w:tc>
        <w:tc>
          <w:tcPr>
            <w:tcW w:w="515"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15 996 097</w:t>
            </w:r>
          </w:p>
        </w:tc>
        <w:tc>
          <w:tcPr>
            <w:tcW w:w="515"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15 996 097</w:t>
            </w:r>
          </w:p>
        </w:tc>
      </w:tr>
      <w:tr w:rsidR="007D13F3" w:rsidRPr="001576D1" w:rsidTr="00465CAC">
        <w:trPr>
          <w:trHeight w:hRule="exact" w:val="255"/>
        </w:trPr>
        <w:tc>
          <w:tcPr>
            <w:tcW w:w="1367" w:type="pct"/>
            <w:tcBorders>
              <w:top w:val="nil"/>
              <w:left w:val="single" w:sz="4" w:space="0" w:color="auto"/>
              <w:bottom w:val="single" w:sz="4" w:space="0" w:color="auto"/>
              <w:right w:val="single" w:sz="4" w:space="0" w:color="auto"/>
            </w:tcBorders>
            <w:shd w:val="clear" w:color="000000" w:fill="FFFFFF"/>
            <w:noWrap/>
            <w:vAlign w:val="center"/>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Umenie*</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5 485 282</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15" w:type="pct"/>
            <w:tcBorders>
              <w:top w:val="nil"/>
              <w:left w:val="nil"/>
              <w:bottom w:val="single" w:sz="4" w:space="0" w:color="auto"/>
              <w:right w:val="single" w:sz="4" w:space="0" w:color="auto"/>
            </w:tcBorders>
            <w:shd w:val="clear" w:color="000000" w:fill="FFFFFF"/>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15" w:type="pct"/>
            <w:tcBorders>
              <w:top w:val="nil"/>
              <w:left w:val="nil"/>
              <w:bottom w:val="single" w:sz="4" w:space="0" w:color="auto"/>
              <w:right w:val="single" w:sz="4" w:space="0" w:color="auto"/>
            </w:tcBorders>
            <w:shd w:val="clear" w:color="000000" w:fill="FFFFFF"/>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15" w:type="pct"/>
            <w:tcBorders>
              <w:top w:val="nil"/>
              <w:left w:val="nil"/>
              <w:bottom w:val="single" w:sz="4" w:space="0" w:color="auto"/>
              <w:right w:val="single" w:sz="4" w:space="0" w:color="auto"/>
            </w:tcBorders>
            <w:shd w:val="clear" w:color="000000" w:fill="FFFFFF"/>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15" w:type="pct"/>
            <w:tcBorders>
              <w:top w:val="nil"/>
              <w:left w:val="nil"/>
              <w:bottom w:val="single" w:sz="4" w:space="0" w:color="auto"/>
              <w:right w:val="single" w:sz="4" w:space="0" w:color="auto"/>
            </w:tcBorders>
            <w:shd w:val="clear" w:color="000000" w:fill="FFFFFF"/>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r>
      <w:tr w:rsidR="007D13F3" w:rsidRPr="001576D1" w:rsidTr="00465CAC">
        <w:trPr>
          <w:trHeight w:hRule="exact" w:val="255"/>
        </w:trPr>
        <w:tc>
          <w:tcPr>
            <w:tcW w:w="1367" w:type="pct"/>
            <w:tcBorders>
              <w:top w:val="nil"/>
              <w:left w:val="single" w:sz="4" w:space="0" w:color="auto"/>
              <w:bottom w:val="single" w:sz="4" w:space="0" w:color="auto"/>
              <w:right w:val="single" w:sz="4" w:space="0" w:color="auto"/>
            </w:tcBorders>
            <w:shd w:val="clear" w:color="auto" w:fill="auto"/>
            <w:noWrap/>
            <w:vAlign w:val="center"/>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Obnovme si svoj dom</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5 757 483</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xml:space="preserve">6 586 360 </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12 016 097</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12 087 897</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12 016 097</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12 016 097</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12 016 097</w:t>
            </w:r>
          </w:p>
        </w:tc>
      </w:tr>
      <w:tr w:rsidR="007D13F3" w:rsidRPr="001576D1" w:rsidTr="00465CAC">
        <w:trPr>
          <w:trHeight w:hRule="exact" w:val="255"/>
        </w:trPr>
        <w:tc>
          <w:tcPr>
            <w:tcW w:w="1367" w:type="pct"/>
            <w:tcBorders>
              <w:top w:val="nil"/>
              <w:left w:val="single" w:sz="4" w:space="0" w:color="auto"/>
              <w:bottom w:val="single" w:sz="4" w:space="0" w:color="auto"/>
              <w:right w:val="single" w:sz="4" w:space="0" w:color="auto"/>
            </w:tcBorders>
            <w:shd w:val="clear" w:color="auto" w:fill="auto"/>
            <w:noWrap/>
            <w:vAlign w:val="center"/>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Podpora návštevnosti kultúrnych podujatí</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2 138 523</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xml:space="preserve">2 141 157 </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3 000 000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3 000 000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3 000 000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3 000 000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3 000 000</w:t>
            </w:r>
          </w:p>
        </w:tc>
      </w:tr>
      <w:tr w:rsidR="007D13F3" w:rsidRPr="001576D1" w:rsidTr="00465CAC">
        <w:trPr>
          <w:trHeight w:hRule="exact" w:val="255"/>
        </w:trPr>
        <w:tc>
          <w:tcPr>
            <w:tcW w:w="1367" w:type="pct"/>
            <w:tcBorders>
              <w:top w:val="nil"/>
              <w:left w:val="single" w:sz="4" w:space="0" w:color="auto"/>
              <w:bottom w:val="single" w:sz="4" w:space="0" w:color="auto"/>
              <w:right w:val="single" w:sz="4" w:space="0" w:color="auto"/>
            </w:tcBorders>
            <w:shd w:val="clear" w:color="auto" w:fill="auto"/>
            <w:noWrap/>
            <w:vAlign w:val="center"/>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Kultúra znevýhodnených skupín</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357 279</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377 775</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980 000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908 200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980 000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980 000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980 000</w:t>
            </w:r>
          </w:p>
        </w:tc>
      </w:tr>
      <w:tr w:rsidR="007D13F3" w:rsidRPr="001576D1" w:rsidTr="00465CAC">
        <w:trPr>
          <w:trHeight w:hRule="exact" w:val="255"/>
        </w:trPr>
        <w:tc>
          <w:tcPr>
            <w:tcW w:w="1367" w:type="pct"/>
            <w:tcBorders>
              <w:top w:val="nil"/>
              <w:left w:val="single" w:sz="4" w:space="0" w:color="auto"/>
              <w:bottom w:val="single" w:sz="4" w:space="0" w:color="auto"/>
              <w:right w:val="single" w:sz="4" w:space="0" w:color="auto"/>
            </w:tcBorders>
            <w:shd w:val="clear" w:color="auto" w:fill="auto"/>
            <w:noWrap/>
            <w:vAlign w:val="center"/>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Pro Slovakia*</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782 217</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r>
      <w:tr w:rsidR="007D13F3" w:rsidRPr="001576D1" w:rsidTr="00465CAC">
        <w:trPr>
          <w:trHeight w:hRule="exact" w:val="255"/>
        </w:trPr>
        <w:tc>
          <w:tcPr>
            <w:tcW w:w="1367" w:type="pct"/>
            <w:tcBorders>
              <w:top w:val="nil"/>
              <w:left w:val="single" w:sz="4" w:space="0" w:color="auto"/>
              <w:bottom w:val="single" w:sz="4" w:space="0" w:color="auto"/>
              <w:right w:val="single" w:sz="4" w:space="0" w:color="auto"/>
            </w:tcBorders>
            <w:shd w:val="clear" w:color="auto" w:fill="auto"/>
            <w:noWrap/>
            <w:vAlign w:val="center"/>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Nehmotné kultúrne dedičstvo*</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1 871 945</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r>
      <w:tr w:rsidR="007D13F3" w:rsidRPr="001576D1" w:rsidTr="00465CAC">
        <w:trPr>
          <w:trHeight w:hRule="exact" w:val="255"/>
        </w:trPr>
        <w:tc>
          <w:tcPr>
            <w:tcW w:w="1367" w:type="pct"/>
            <w:tcBorders>
              <w:top w:val="nil"/>
              <w:left w:val="single" w:sz="4" w:space="0" w:color="auto"/>
              <w:bottom w:val="single" w:sz="4" w:space="0" w:color="auto"/>
              <w:right w:val="single" w:sz="4" w:space="0" w:color="auto"/>
            </w:tcBorders>
            <w:shd w:val="clear" w:color="auto" w:fill="auto"/>
            <w:noWrap/>
            <w:vAlign w:val="center"/>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Kultúrne aktivity  pamäťových inštitúcií*</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1 743 972</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r>
      <w:tr w:rsidR="007D13F3" w:rsidRPr="001576D1" w:rsidTr="00465CAC">
        <w:trPr>
          <w:trHeight w:hRule="exact" w:val="255"/>
        </w:trPr>
        <w:tc>
          <w:tcPr>
            <w:tcW w:w="1367" w:type="pct"/>
            <w:tcBorders>
              <w:top w:val="nil"/>
              <w:left w:val="single" w:sz="4" w:space="0" w:color="auto"/>
              <w:bottom w:val="single" w:sz="4" w:space="0" w:color="auto"/>
              <w:right w:val="single" w:sz="4" w:space="0" w:color="auto"/>
            </w:tcBorders>
            <w:shd w:val="clear" w:color="auto" w:fill="auto"/>
            <w:noWrap/>
            <w:vAlign w:val="center"/>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EHMK -Košice</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499 500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xml:space="preserve">          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c>
          <w:tcPr>
            <w:tcW w:w="515" w:type="pct"/>
            <w:tcBorders>
              <w:top w:val="nil"/>
              <w:left w:val="nil"/>
              <w:bottom w:val="single" w:sz="4" w:space="0" w:color="auto"/>
              <w:right w:val="single" w:sz="4" w:space="0" w:color="auto"/>
            </w:tcBorders>
            <w:shd w:val="clear" w:color="auto" w:fill="auto"/>
            <w:noWrap/>
            <w:vAlign w:val="center"/>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0</w:t>
            </w:r>
          </w:p>
        </w:tc>
      </w:tr>
    </w:tbl>
    <w:p w:rsidR="007D13F3" w:rsidRPr="005457AA" w:rsidRDefault="007D13F3" w:rsidP="007D13F3">
      <w:pPr>
        <w:jc w:val="both"/>
        <w:rPr>
          <w:rFonts w:ascii="Times New Roman" w:hAnsi="Times New Roman" w:cs="Times New Roman"/>
          <w:sz w:val="14"/>
          <w:szCs w:val="14"/>
        </w:rPr>
      </w:pPr>
      <w:r w:rsidRPr="005457AA">
        <w:rPr>
          <w:rFonts w:ascii="Times New Roman" w:hAnsi="Times New Roman" w:cs="Times New Roman"/>
          <w:sz w:val="14"/>
          <w:szCs w:val="14"/>
        </w:rPr>
        <w:t>*od roku 2016 časť agendy prešla na Fond na podporu umenia</w:t>
      </w:r>
    </w:p>
    <w:p w:rsidR="007D13F3" w:rsidRPr="0003125D" w:rsidRDefault="007D13F3" w:rsidP="007D13F3">
      <w:pPr>
        <w:jc w:val="both"/>
        <w:rPr>
          <w:rFonts w:ascii="Times New Roman" w:hAnsi="Times New Roman" w:cs="Times New Roman"/>
          <w:color w:val="FF0000"/>
        </w:rPr>
      </w:pPr>
    </w:p>
    <w:p w:rsidR="007D13F3" w:rsidRPr="0003125D" w:rsidRDefault="007D13F3" w:rsidP="007D13F3">
      <w:pPr>
        <w:ind w:firstLine="708"/>
        <w:jc w:val="both"/>
        <w:rPr>
          <w:rFonts w:ascii="Times New Roman" w:hAnsi="Times New Roman" w:cs="Times New Roman"/>
          <w:color w:val="FF0000"/>
        </w:rPr>
      </w:pPr>
      <w:r>
        <w:rPr>
          <w:rFonts w:ascii="Times New Roman" w:hAnsi="Times New Roman" w:cs="Times New Roman"/>
        </w:rPr>
        <w:t>Výdavky sú rozpočtované na program Obnovme si svoj dom, na podporu návštevnosti kultúrnych podujatí a na kultúru znevýhodnených skupín. V</w:t>
      </w:r>
      <w:r w:rsidRPr="0003125D">
        <w:rPr>
          <w:rFonts w:ascii="Times New Roman" w:hAnsi="Times New Roman" w:cs="Times New Roman"/>
        </w:rPr>
        <w:t> roku 201</w:t>
      </w:r>
      <w:r>
        <w:rPr>
          <w:rFonts w:ascii="Times New Roman" w:hAnsi="Times New Roman" w:cs="Times New Roman"/>
        </w:rPr>
        <w:t>8</w:t>
      </w:r>
      <w:r w:rsidRPr="0003125D">
        <w:rPr>
          <w:rFonts w:ascii="Times New Roman" w:hAnsi="Times New Roman" w:cs="Times New Roman"/>
        </w:rPr>
        <w:t xml:space="preserve"> </w:t>
      </w:r>
      <w:r>
        <w:rPr>
          <w:rFonts w:ascii="Times New Roman" w:hAnsi="Times New Roman" w:cs="Times New Roman"/>
        </w:rPr>
        <w:t>vo výške 16,0</w:t>
      </w:r>
      <w:r w:rsidRPr="0003125D">
        <w:rPr>
          <w:rFonts w:ascii="Times New Roman" w:hAnsi="Times New Roman" w:cs="Times New Roman"/>
        </w:rPr>
        <w:t xml:space="preserve"> mil. eur</w:t>
      </w:r>
      <w:r>
        <w:rPr>
          <w:rFonts w:ascii="Times New Roman" w:hAnsi="Times New Roman" w:cs="Times New Roman"/>
        </w:rPr>
        <w:t xml:space="preserve"> predstavujú úroveň schváleného rozpočtu roku 2017.</w:t>
      </w:r>
      <w:r w:rsidRPr="0003125D">
        <w:rPr>
          <w:rFonts w:ascii="Times New Roman" w:hAnsi="Times New Roman" w:cs="Times New Roman"/>
        </w:rPr>
        <w:t xml:space="preserve"> </w:t>
      </w:r>
    </w:p>
    <w:p w:rsidR="007D13F3" w:rsidRPr="0003125D" w:rsidRDefault="007D13F3" w:rsidP="007D13F3">
      <w:pPr>
        <w:jc w:val="both"/>
        <w:rPr>
          <w:rFonts w:ascii="Times New Roman" w:hAnsi="Times New Roman" w:cs="Times New Roman"/>
          <w:color w:val="FF0000"/>
        </w:rPr>
      </w:pPr>
    </w:p>
    <w:p w:rsidR="007D13F3" w:rsidRDefault="007D13F3" w:rsidP="007D13F3">
      <w:pPr>
        <w:autoSpaceDE w:val="0"/>
        <w:autoSpaceDN w:val="0"/>
        <w:adjustRightInd w:val="0"/>
        <w:jc w:val="both"/>
        <w:rPr>
          <w:rFonts w:ascii="Times New Roman" w:hAnsi="Times New Roman" w:cs="Times New Roman"/>
          <w:b/>
          <w:bCs/>
        </w:rPr>
      </w:pPr>
      <w:r w:rsidRPr="0003125D">
        <w:rPr>
          <w:rFonts w:ascii="Times New Roman" w:hAnsi="Times New Roman" w:cs="Times New Roman"/>
          <w:b/>
          <w:bCs/>
        </w:rPr>
        <w:t>Transfery pre verejnoprávne inštitúcie (RTVS, AVF, TASR</w:t>
      </w:r>
      <w:r>
        <w:rPr>
          <w:rFonts w:ascii="Times New Roman" w:hAnsi="Times New Roman" w:cs="Times New Roman"/>
          <w:b/>
          <w:bCs/>
        </w:rPr>
        <w:t xml:space="preserve">, </w:t>
      </w:r>
      <w:proofErr w:type="spellStart"/>
      <w:r>
        <w:rPr>
          <w:rFonts w:ascii="Times New Roman" w:hAnsi="Times New Roman" w:cs="Times New Roman"/>
          <w:b/>
          <w:bCs/>
        </w:rPr>
        <w:t>FpU</w:t>
      </w:r>
      <w:proofErr w:type="spellEnd"/>
      <w:r>
        <w:rPr>
          <w:rFonts w:ascii="Times New Roman" w:hAnsi="Times New Roman" w:cs="Times New Roman"/>
          <w:b/>
          <w:bCs/>
        </w:rPr>
        <w:t>, FPKNM</w:t>
      </w:r>
      <w:r w:rsidRPr="0003125D">
        <w:rPr>
          <w:rFonts w:ascii="Times New Roman" w:hAnsi="Times New Roman" w:cs="Times New Roman"/>
          <w:b/>
          <w:bCs/>
        </w:rPr>
        <w:t>)</w:t>
      </w:r>
    </w:p>
    <w:p w:rsidR="007D13F3" w:rsidRDefault="007D13F3" w:rsidP="007D13F3">
      <w:pPr>
        <w:autoSpaceDE w:val="0"/>
        <w:autoSpaceDN w:val="0"/>
        <w:adjustRightInd w:val="0"/>
        <w:jc w:val="both"/>
        <w:rPr>
          <w:rFonts w:ascii="Times New Roman" w:hAnsi="Times New Roman" w:cs="Times New Roman"/>
          <w:b/>
          <w:bCs/>
        </w:rPr>
      </w:pPr>
    </w:p>
    <w:tbl>
      <w:tblPr>
        <w:tblW w:w="5000" w:type="pct"/>
        <w:tblLayout w:type="fixed"/>
        <w:tblCellMar>
          <w:left w:w="70" w:type="dxa"/>
          <w:right w:w="70" w:type="dxa"/>
        </w:tblCellMar>
        <w:tblLook w:val="04A0" w:firstRow="1" w:lastRow="0" w:firstColumn="1" w:lastColumn="0" w:noHBand="0" w:noVBand="1"/>
      </w:tblPr>
      <w:tblGrid>
        <w:gridCol w:w="3280"/>
        <w:gridCol w:w="826"/>
        <w:gridCol w:w="826"/>
        <w:gridCol w:w="826"/>
        <w:gridCol w:w="826"/>
        <w:gridCol w:w="826"/>
        <w:gridCol w:w="826"/>
        <w:gridCol w:w="826"/>
      </w:tblGrid>
      <w:tr w:rsidR="007D13F3" w:rsidRPr="004F2E14" w:rsidTr="00465CAC">
        <w:trPr>
          <w:trHeight w:hRule="exact" w:val="255"/>
        </w:trPr>
        <w:tc>
          <w:tcPr>
            <w:tcW w:w="3397" w:type="dxa"/>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4F2E14" w:rsidRDefault="007D13F3" w:rsidP="00465CAC">
            <w:pPr>
              <w:rPr>
                <w:rFonts w:ascii="Times New Roman" w:hAnsi="Times New Roman" w:cs="Times New Roman"/>
                <w:b/>
                <w:bCs/>
                <w:color w:val="000000"/>
                <w:sz w:val="14"/>
                <w:szCs w:val="14"/>
                <w:lang w:eastAsia="sk-SK"/>
              </w:rPr>
            </w:pPr>
            <w:r w:rsidRPr="004F2E14">
              <w:rPr>
                <w:rFonts w:ascii="Times New Roman" w:hAnsi="Times New Roman" w:cs="Times New Roman"/>
                <w:b/>
                <w:bCs/>
                <w:color w:val="000000"/>
                <w:sz w:val="14"/>
                <w:szCs w:val="14"/>
                <w:lang w:eastAsia="sk-SK"/>
              </w:rPr>
              <w:t>v eurách</w:t>
            </w:r>
          </w:p>
        </w:tc>
        <w:tc>
          <w:tcPr>
            <w:tcW w:w="851" w:type="dxa"/>
            <w:tcBorders>
              <w:top w:val="single" w:sz="4" w:space="0" w:color="auto"/>
              <w:left w:val="nil"/>
              <w:bottom w:val="single" w:sz="4" w:space="0" w:color="auto"/>
              <w:right w:val="single" w:sz="4" w:space="0" w:color="auto"/>
            </w:tcBorders>
            <w:shd w:val="pct35" w:color="000000" w:fill="auto"/>
            <w:noWrap/>
            <w:vAlign w:val="center"/>
            <w:hideMark/>
          </w:tcPr>
          <w:p w:rsidR="007D13F3" w:rsidRPr="004F2E14" w:rsidRDefault="007D13F3" w:rsidP="00465CAC">
            <w:pPr>
              <w:jc w:val="center"/>
              <w:rPr>
                <w:rFonts w:ascii="Times New Roman" w:hAnsi="Times New Roman" w:cs="Times New Roman"/>
                <w:b/>
                <w:bCs/>
                <w:color w:val="000000"/>
                <w:sz w:val="14"/>
                <w:szCs w:val="14"/>
                <w:lang w:eastAsia="sk-SK"/>
              </w:rPr>
            </w:pPr>
            <w:r w:rsidRPr="004F2E14">
              <w:rPr>
                <w:rFonts w:ascii="Times New Roman" w:hAnsi="Times New Roman" w:cs="Times New Roman"/>
                <w:b/>
                <w:bCs/>
                <w:color w:val="000000"/>
                <w:sz w:val="14"/>
                <w:szCs w:val="14"/>
                <w:lang w:eastAsia="sk-SK"/>
              </w:rPr>
              <w:t>2015 S</w:t>
            </w:r>
          </w:p>
        </w:tc>
        <w:tc>
          <w:tcPr>
            <w:tcW w:w="851" w:type="dxa"/>
            <w:tcBorders>
              <w:top w:val="single" w:sz="4" w:space="0" w:color="auto"/>
              <w:left w:val="nil"/>
              <w:bottom w:val="single" w:sz="4" w:space="0" w:color="auto"/>
              <w:right w:val="single" w:sz="4" w:space="0" w:color="auto"/>
            </w:tcBorders>
            <w:shd w:val="pct35" w:color="000000" w:fill="auto"/>
            <w:noWrap/>
            <w:vAlign w:val="center"/>
            <w:hideMark/>
          </w:tcPr>
          <w:p w:rsidR="007D13F3" w:rsidRPr="004F2E14" w:rsidRDefault="007D13F3" w:rsidP="00465CAC">
            <w:pPr>
              <w:jc w:val="center"/>
              <w:rPr>
                <w:rFonts w:ascii="Times New Roman" w:hAnsi="Times New Roman" w:cs="Times New Roman"/>
                <w:b/>
                <w:bCs/>
                <w:color w:val="000000"/>
                <w:sz w:val="14"/>
                <w:szCs w:val="14"/>
                <w:lang w:eastAsia="sk-SK"/>
              </w:rPr>
            </w:pPr>
            <w:r w:rsidRPr="004F2E14">
              <w:rPr>
                <w:rFonts w:ascii="Times New Roman" w:hAnsi="Times New Roman" w:cs="Times New Roman"/>
                <w:b/>
                <w:bCs/>
                <w:color w:val="000000"/>
                <w:sz w:val="14"/>
                <w:szCs w:val="14"/>
                <w:lang w:eastAsia="sk-SK"/>
              </w:rPr>
              <w:t>2016 S</w:t>
            </w:r>
          </w:p>
        </w:tc>
        <w:tc>
          <w:tcPr>
            <w:tcW w:w="851" w:type="dxa"/>
            <w:tcBorders>
              <w:top w:val="single" w:sz="4" w:space="0" w:color="auto"/>
              <w:left w:val="nil"/>
              <w:bottom w:val="single" w:sz="4" w:space="0" w:color="auto"/>
              <w:right w:val="single" w:sz="4" w:space="0" w:color="auto"/>
            </w:tcBorders>
            <w:shd w:val="pct35" w:color="000000" w:fill="auto"/>
            <w:noWrap/>
            <w:vAlign w:val="center"/>
            <w:hideMark/>
          </w:tcPr>
          <w:p w:rsidR="007D13F3" w:rsidRPr="004F2E14" w:rsidRDefault="007D13F3" w:rsidP="00465CAC">
            <w:pPr>
              <w:jc w:val="center"/>
              <w:rPr>
                <w:rFonts w:ascii="Times New Roman" w:hAnsi="Times New Roman" w:cs="Times New Roman"/>
                <w:b/>
                <w:bCs/>
                <w:color w:val="000000"/>
                <w:sz w:val="14"/>
                <w:szCs w:val="14"/>
                <w:lang w:eastAsia="sk-SK"/>
              </w:rPr>
            </w:pPr>
            <w:r w:rsidRPr="004F2E14">
              <w:rPr>
                <w:rFonts w:ascii="Times New Roman" w:hAnsi="Times New Roman" w:cs="Times New Roman"/>
                <w:b/>
                <w:bCs/>
                <w:color w:val="000000"/>
                <w:sz w:val="14"/>
                <w:szCs w:val="14"/>
                <w:lang w:eastAsia="sk-SK"/>
              </w:rPr>
              <w:t>2017 R</w:t>
            </w:r>
          </w:p>
        </w:tc>
        <w:tc>
          <w:tcPr>
            <w:tcW w:w="851" w:type="dxa"/>
            <w:tcBorders>
              <w:top w:val="single" w:sz="4" w:space="0" w:color="auto"/>
              <w:left w:val="nil"/>
              <w:bottom w:val="single" w:sz="4" w:space="0" w:color="auto"/>
              <w:right w:val="single" w:sz="4" w:space="0" w:color="auto"/>
            </w:tcBorders>
            <w:shd w:val="pct35" w:color="000000" w:fill="auto"/>
            <w:noWrap/>
            <w:vAlign w:val="center"/>
            <w:hideMark/>
          </w:tcPr>
          <w:p w:rsidR="007D13F3" w:rsidRPr="004F2E14" w:rsidRDefault="007D13F3" w:rsidP="00465CAC">
            <w:pPr>
              <w:jc w:val="center"/>
              <w:rPr>
                <w:rFonts w:ascii="Times New Roman" w:hAnsi="Times New Roman" w:cs="Times New Roman"/>
                <w:b/>
                <w:bCs/>
                <w:color w:val="000000"/>
                <w:sz w:val="14"/>
                <w:szCs w:val="14"/>
                <w:lang w:eastAsia="sk-SK"/>
              </w:rPr>
            </w:pPr>
            <w:r w:rsidRPr="004F2E14">
              <w:rPr>
                <w:rFonts w:ascii="Times New Roman" w:hAnsi="Times New Roman" w:cs="Times New Roman"/>
                <w:b/>
                <w:bCs/>
                <w:color w:val="000000"/>
                <w:sz w:val="14"/>
                <w:szCs w:val="14"/>
                <w:lang w:eastAsia="sk-SK"/>
              </w:rPr>
              <w:t>2017 OS</w:t>
            </w:r>
          </w:p>
        </w:tc>
        <w:tc>
          <w:tcPr>
            <w:tcW w:w="851" w:type="dxa"/>
            <w:tcBorders>
              <w:top w:val="single" w:sz="4" w:space="0" w:color="auto"/>
              <w:left w:val="nil"/>
              <w:bottom w:val="single" w:sz="4" w:space="0" w:color="auto"/>
              <w:right w:val="single" w:sz="4" w:space="0" w:color="auto"/>
            </w:tcBorders>
            <w:shd w:val="pct35" w:color="000000" w:fill="auto"/>
            <w:noWrap/>
            <w:vAlign w:val="center"/>
            <w:hideMark/>
          </w:tcPr>
          <w:p w:rsidR="007D13F3" w:rsidRPr="004F2E14" w:rsidRDefault="007D13F3" w:rsidP="00465CAC">
            <w:pPr>
              <w:jc w:val="center"/>
              <w:rPr>
                <w:rFonts w:ascii="Times New Roman" w:hAnsi="Times New Roman" w:cs="Times New Roman"/>
                <w:b/>
                <w:bCs/>
                <w:color w:val="000000"/>
                <w:sz w:val="14"/>
                <w:szCs w:val="14"/>
                <w:lang w:eastAsia="sk-SK"/>
              </w:rPr>
            </w:pPr>
            <w:r w:rsidRPr="004F2E14">
              <w:rPr>
                <w:rFonts w:ascii="Times New Roman" w:hAnsi="Times New Roman" w:cs="Times New Roman"/>
                <w:b/>
                <w:bCs/>
                <w:color w:val="000000"/>
                <w:sz w:val="14"/>
                <w:szCs w:val="14"/>
                <w:lang w:eastAsia="sk-SK"/>
              </w:rPr>
              <w:t>2018 N</w:t>
            </w:r>
          </w:p>
        </w:tc>
        <w:tc>
          <w:tcPr>
            <w:tcW w:w="851" w:type="dxa"/>
            <w:tcBorders>
              <w:top w:val="single" w:sz="4" w:space="0" w:color="auto"/>
              <w:left w:val="nil"/>
              <w:bottom w:val="single" w:sz="4" w:space="0" w:color="auto"/>
              <w:right w:val="single" w:sz="4" w:space="0" w:color="auto"/>
            </w:tcBorders>
            <w:shd w:val="pct35" w:color="000000" w:fill="auto"/>
            <w:noWrap/>
            <w:vAlign w:val="center"/>
            <w:hideMark/>
          </w:tcPr>
          <w:p w:rsidR="007D13F3" w:rsidRPr="004F2E14" w:rsidRDefault="007D13F3" w:rsidP="00465CAC">
            <w:pPr>
              <w:jc w:val="center"/>
              <w:rPr>
                <w:rFonts w:ascii="Times New Roman" w:hAnsi="Times New Roman" w:cs="Times New Roman"/>
                <w:b/>
                <w:bCs/>
                <w:color w:val="000000"/>
                <w:sz w:val="14"/>
                <w:szCs w:val="14"/>
                <w:lang w:eastAsia="sk-SK"/>
              </w:rPr>
            </w:pPr>
            <w:r w:rsidRPr="004F2E14">
              <w:rPr>
                <w:rFonts w:ascii="Times New Roman" w:hAnsi="Times New Roman" w:cs="Times New Roman"/>
                <w:b/>
                <w:bCs/>
                <w:color w:val="000000"/>
                <w:sz w:val="14"/>
                <w:szCs w:val="14"/>
                <w:lang w:eastAsia="sk-SK"/>
              </w:rPr>
              <w:t>2019 N</w:t>
            </w:r>
          </w:p>
        </w:tc>
        <w:tc>
          <w:tcPr>
            <w:tcW w:w="851" w:type="dxa"/>
            <w:tcBorders>
              <w:top w:val="single" w:sz="4" w:space="0" w:color="auto"/>
              <w:left w:val="nil"/>
              <w:bottom w:val="single" w:sz="4" w:space="0" w:color="auto"/>
              <w:right w:val="single" w:sz="4" w:space="0" w:color="auto"/>
            </w:tcBorders>
            <w:shd w:val="pct35" w:color="000000" w:fill="auto"/>
            <w:noWrap/>
            <w:vAlign w:val="center"/>
            <w:hideMark/>
          </w:tcPr>
          <w:p w:rsidR="007D13F3" w:rsidRPr="004F2E14" w:rsidRDefault="007D13F3" w:rsidP="00465CAC">
            <w:pPr>
              <w:jc w:val="center"/>
              <w:rPr>
                <w:rFonts w:ascii="Times New Roman" w:hAnsi="Times New Roman" w:cs="Times New Roman"/>
                <w:b/>
                <w:bCs/>
                <w:color w:val="000000"/>
                <w:sz w:val="14"/>
                <w:szCs w:val="14"/>
                <w:lang w:eastAsia="sk-SK"/>
              </w:rPr>
            </w:pPr>
            <w:r w:rsidRPr="004F2E14">
              <w:rPr>
                <w:rFonts w:ascii="Times New Roman" w:hAnsi="Times New Roman" w:cs="Times New Roman"/>
                <w:b/>
                <w:bCs/>
                <w:color w:val="000000"/>
                <w:sz w:val="14"/>
                <w:szCs w:val="14"/>
                <w:lang w:eastAsia="sk-SK"/>
              </w:rPr>
              <w:t>2020 N</w:t>
            </w:r>
          </w:p>
        </w:tc>
      </w:tr>
      <w:tr w:rsidR="007D13F3" w:rsidRPr="004F2E14" w:rsidTr="00465CAC">
        <w:trPr>
          <w:trHeight w:hRule="exact" w:val="255"/>
        </w:trPr>
        <w:tc>
          <w:tcPr>
            <w:tcW w:w="3397" w:type="dxa"/>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4F2E14" w:rsidRDefault="007D13F3" w:rsidP="00465CAC">
            <w:pPr>
              <w:rPr>
                <w:rFonts w:ascii="Times New Roman" w:hAnsi="Times New Roman" w:cs="Times New Roman"/>
                <w:b/>
                <w:bCs/>
                <w:color w:val="000000"/>
                <w:sz w:val="14"/>
                <w:szCs w:val="14"/>
                <w:lang w:eastAsia="sk-SK"/>
              </w:rPr>
            </w:pPr>
            <w:r w:rsidRPr="004F2E14">
              <w:rPr>
                <w:rFonts w:ascii="Times New Roman" w:hAnsi="Times New Roman" w:cs="Times New Roman"/>
                <w:b/>
                <w:bCs/>
                <w:color w:val="000000"/>
                <w:sz w:val="14"/>
                <w:szCs w:val="14"/>
                <w:lang w:eastAsia="sk-SK"/>
              </w:rPr>
              <w:t>Transfery celkom</w:t>
            </w:r>
          </w:p>
        </w:tc>
        <w:tc>
          <w:tcPr>
            <w:tcW w:w="851" w:type="dxa"/>
            <w:tcBorders>
              <w:top w:val="single" w:sz="4" w:space="0" w:color="auto"/>
              <w:left w:val="nil"/>
              <w:bottom w:val="single" w:sz="4" w:space="0" w:color="auto"/>
              <w:right w:val="single" w:sz="4" w:space="0" w:color="auto"/>
            </w:tcBorders>
            <w:shd w:val="pct25" w:color="000000" w:fill="auto"/>
            <w:noWrap/>
            <w:vAlign w:val="bottom"/>
            <w:hideMark/>
          </w:tcPr>
          <w:p w:rsidR="007D13F3" w:rsidRPr="004F2E14" w:rsidRDefault="007D13F3" w:rsidP="00465CAC">
            <w:pPr>
              <w:jc w:val="right"/>
              <w:rPr>
                <w:rFonts w:ascii="Times New Roman" w:hAnsi="Times New Roman" w:cs="Times New Roman"/>
                <w:b/>
                <w:bCs/>
                <w:color w:val="000000"/>
                <w:sz w:val="14"/>
                <w:szCs w:val="14"/>
                <w:lang w:eastAsia="sk-SK"/>
              </w:rPr>
            </w:pPr>
            <w:r w:rsidRPr="004F2E14">
              <w:rPr>
                <w:rFonts w:ascii="Times New Roman" w:hAnsi="Times New Roman" w:cs="Times New Roman"/>
                <w:b/>
                <w:bCs/>
                <w:color w:val="000000"/>
                <w:sz w:val="14"/>
                <w:szCs w:val="14"/>
                <w:lang w:eastAsia="sk-SK"/>
              </w:rPr>
              <w:t>37 361 842</w:t>
            </w:r>
          </w:p>
        </w:tc>
        <w:tc>
          <w:tcPr>
            <w:tcW w:w="851" w:type="dxa"/>
            <w:tcBorders>
              <w:top w:val="single" w:sz="4" w:space="0" w:color="auto"/>
              <w:left w:val="nil"/>
              <w:bottom w:val="single" w:sz="4" w:space="0" w:color="auto"/>
              <w:right w:val="single" w:sz="4" w:space="0" w:color="auto"/>
            </w:tcBorders>
            <w:shd w:val="pct25" w:color="000000" w:fill="auto"/>
            <w:noWrap/>
            <w:vAlign w:val="bottom"/>
            <w:hideMark/>
          </w:tcPr>
          <w:p w:rsidR="007D13F3" w:rsidRPr="004F2E14" w:rsidRDefault="007D13F3" w:rsidP="00465CAC">
            <w:pPr>
              <w:jc w:val="right"/>
              <w:rPr>
                <w:rFonts w:ascii="Times New Roman" w:hAnsi="Times New Roman" w:cs="Times New Roman"/>
                <w:b/>
                <w:bCs/>
                <w:color w:val="000000"/>
                <w:sz w:val="14"/>
                <w:szCs w:val="14"/>
                <w:lang w:eastAsia="sk-SK"/>
              </w:rPr>
            </w:pPr>
            <w:r w:rsidRPr="004F2E14">
              <w:rPr>
                <w:rFonts w:ascii="Times New Roman" w:hAnsi="Times New Roman" w:cs="Times New Roman"/>
                <w:b/>
                <w:bCs/>
                <w:color w:val="000000"/>
                <w:sz w:val="14"/>
                <w:szCs w:val="14"/>
                <w:lang w:eastAsia="sk-SK"/>
              </w:rPr>
              <w:t>49 600 559</w:t>
            </w:r>
          </w:p>
        </w:tc>
        <w:tc>
          <w:tcPr>
            <w:tcW w:w="851" w:type="dxa"/>
            <w:tcBorders>
              <w:top w:val="single" w:sz="4" w:space="0" w:color="auto"/>
              <w:left w:val="nil"/>
              <w:bottom w:val="single" w:sz="4" w:space="0" w:color="auto"/>
              <w:right w:val="single" w:sz="4" w:space="0" w:color="auto"/>
            </w:tcBorders>
            <w:shd w:val="pct25" w:color="000000" w:fill="auto"/>
            <w:noWrap/>
            <w:vAlign w:val="bottom"/>
            <w:hideMark/>
          </w:tcPr>
          <w:p w:rsidR="007D13F3" w:rsidRPr="004F2E14" w:rsidRDefault="007D13F3" w:rsidP="00465CAC">
            <w:pPr>
              <w:jc w:val="right"/>
              <w:rPr>
                <w:rFonts w:ascii="Times New Roman" w:hAnsi="Times New Roman" w:cs="Times New Roman"/>
                <w:b/>
                <w:bCs/>
                <w:color w:val="000000"/>
                <w:sz w:val="14"/>
                <w:szCs w:val="14"/>
                <w:lang w:eastAsia="sk-SK"/>
              </w:rPr>
            </w:pPr>
            <w:r w:rsidRPr="004F2E14">
              <w:rPr>
                <w:rFonts w:ascii="Times New Roman" w:hAnsi="Times New Roman" w:cs="Times New Roman"/>
                <w:b/>
                <w:bCs/>
                <w:color w:val="000000"/>
                <w:sz w:val="14"/>
                <w:szCs w:val="14"/>
                <w:lang w:eastAsia="sk-SK"/>
              </w:rPr>
              <w:t>52 992 000</w:t>
            </w:r>
          </w:p>
        </w:tc>
        <w:tc>
          <w:tcPr>
            <w:tcW w:w="851" w:type="dxa"/>
            <w:tcBorders>
              <w:top w:val="single" w:sz="4" w:space="0" w:color="auto"/>
              <w:left w:val="nil"/>
              <w:bottom w:val="single" w:sz="4" w:space="0" w:color="auto"/>
              <w:right w:val="single" w:sz="4" w:space="0" w:color="auto"/>
            </w:tcBorders>
            <w:shd w:val="pct25" w:color="000000" w:fill="auto"/>
            <w:noWrap/>
            <w:vAlign w:val="bottom"/>
            <w:hideMark/>
          </w:tcPr>
          <w:p w:rsidR="007D13F3" w:rsidRPr="004F2E14" w:rsidRDefault="007D13F3" w:rsidP="00465CAC">
            <w:pPr>
              <w:jc w:val="right"/>
              <w:rPr>
                <w:rFonts w:ascii="Times New Roman" w:hAnsi="Times New Roman" w:cs="Times New Roman"/>
                <w:b/>
                <w:bCs/>
                <w:color w:val="000000"/>
                <w:sz w:val="14"/>
                <w:szCs w:val="14"/>
                <w:lang w:eastAsia="sk-SK"/>
              </w:rPr>
            </w:pPr>
            <w:r w:rsidRPr="004F2E14">
              <w:rPr>
                <w:rFonts w:ascii="Times New Roman" w:hAnsi="Times New Roman" w:cs="Times New Roman"/>
                <w:b/>
                <w:bCs/>
                <w:color w:val="000000"/>
                <w:sz w:val="14"/>
                <w:szCs w:val="14"/>
                <w:lang w:eastAsia="sk-SK"/>
              </w:rPr>
              <w:t>55 158 526</w:t>
            </w:r>
          </w:p>
        </w:tc>
        <w:tc>
          <w:tcPr>
            <w:tcW w:w="851" w:type="dxa"/>
            <w:tcBorders>
              <w:top w:val="single" w:sz="4" w:space="0" w:color="auto"/>
              <w:left w:val="nil"/>
              <w:bottom w:val="single" w:sz="4" w:space="0" w:color="auto"/>
              <w:right w:val="single" w:sz="4" w:space="0" w:color="auto"/>
            </w:tcBorders>
            <w:shd w:val="pct25" w:color="000000" w:fill="auto"/>
            <w:noWrap/>
            <w:vAlign w:val="bottom"/>
            <w:hideMark/>
          </w:tcPr>
          <w:p w:rsidR="007D13F3" w:rsidRPr="004F2E14" w:rsidRDefault="007D13F3" w:rsidP="00465CAC">
            <w:pPr>
              <w:jc w:val="right"/>
              <w:rPr>
                <w:rFonts w:ascii="Times New Roman" w:hAnsi="Times New Roman" w:cs="Times New Roman"/>
                <w:b/>
                <w:bCs/>
                <w:color w:val="000000"/>
                <w:sz w:val="14"/>
                <w:szCs w:val="14"/>
                <w:lang w:eastAsia="sk-SK"/>
              </w:rPr>
            </w:pPr>
            <w:r w:rsidRPr="004F2E14">
              <w:rPr>
                <w:rFonts w:ascii="Times New Roman" w:hAnsi="Times New Roman" w:cs="Times New Roman"/>
                <w:b/>
                <w:bCs/>
                <w:color w:val="000000"/>
                <w:sz w:val="14"/>
                <w:szCs w:val="14"/>
                <w:lang w:eastAsia="sk-SK"/>
              </w:rPr>
              <w:t>62 979 387</w:t>
            </w:r>
          </w:p>
        </w:tc>
        <w:tc>
          <w:tcPr>
            <w:tcW w:w="851" w:type="dxa"/>
            <w:tcBorders>
              <w:top w:val="single" w:sz="4" w:space="0" w:color="auto"/>
              <w:left w:val="nil"/>
              <w:bottom w:val="single" w:sz="4" w:space="0" w:color="auto"/>
              <w:right w:val="single" w:sz="4" w:space="0" w:color="auto"/>
            </w:tcBorders>
            <w:shd w:val="pct25" w:color="000000" w:fill="auto"/>
            <w:noWrap/>
            <w:vAlign w:val="bottom"/>
            <w:hideMark/>
          </w:tcPr>
          <w:p w:rsidR="007D13F3" w:rsidRPr="004F2E14" w:rsidRDefault="007D13F3" w:rsidP="00465CAC">
            <w:pPr>
              <w:jc w:val="right"/>
              <w:rPr>
                <w:rFonts w:ascii="Times New Roman" w:hAnsi="Times New Roman" w:cs="Times New Roman"/>
                <w:b/>
                <w:bCs/>
                <w:color w:val="000000"/>
                <w:sz w:val="14"/>
                <w:szCs w:val="14"/>
                <w:lang w:eastAsia="sk-SK"/>
              </w:rPr>
            </w:pPr>
            <w:r w:rsidRPr="004F2E14">
              <w:rPr>
                <w:rFonts w:ascii="Times New Roman" w:hAnsi="Times New Roman" w:cs="Times New Roman"/>
                <w:b/>
                <w:bCs/>
                <w:color w:val="000000"/>
                <w:sz w:val="14"/>
                <w:szCs w:val="14"/>
                <w:lang w:eastAsia="sk-SK"/>
              </w:rPr>
              <w:t>62 510 000</w:t>
            </w:r>
          </w:p>
        </w:tc>
        <w:tc>
          <w:tcPr>
            <w:tcW w:w="851" w:type="dxa"/>
            <w:tcBorders>
              <w:top w:val="single" w:sz="4" w:space="0" w:color="auto"/>
              <w:left w:val="nil"/>
              <w:bottom w:val="single" w:sz="4" w:space="0" w:color="auto"/>
              <w:right w:val="single" w:sz="4" w:space="0" w:color="auto"/>
            </w:tcBorders>
            <w:shd w:val="pct25" w:color="000000" w:fill="auto"/>
            <w:noWrap/>
            <w:vAlign w:val="bottom"/>
            <w:hideMark/>
          </w:tcPr>
          <w:p w:rsidR="007D13F3" w:rsidRPr="004F2E14" w:rsidRDefault="007D13F3" w:rsidP="00465CAC">
            <w:pPr>
              <w:jc w:val="right"/>
              <w:rPr>
                <w:rFonts w:ascii="Times New Roman" w:hAnsi="Times New Roman" w:cs="Times New Roman"/>
                <w:b/>
                <w:bCs/>
                <w:color w:val="000000"/>
                <w:sz w:val="14"/>
                <w:szCs w:val="14"/>
                <w:lang w:eastAsia="sk-SK"/>
              </w:rPr>
            </w:pPr>
            <w:r w:rsidRPr="004F2E14">
              <w:rPr>
                <w:rFonts w:ascii="Times New Roman" w:hAnsi="Times New Roman" w:cs="Times New Roman"/>
                <w:b/>
                <w:bCs/>
                <w:color w:val="000000"/>
                <w:sz w:val="14"/>
                <w:szCs w:val="14"/>
                <w:lang w:eastAsia="sk-SK"/>
              </w:rPr>
              <w:t>62 370 000</w:t>
            </w:r>
          </w:p>
        </w:tc>
      </w:tr>
      <w:tr w:rsidR="007D13F3" w:rsidRPr="004F2E14" w:rsidTr="00465CAC">
        <w:trPr>
          <w:trHeight w:hRule="exact" w:val="25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7D13F3" w:rsidRPr="004F2E14" w:rsidRDefault="007D13F3" w:rsidP="00465CAC">
            <w:pPr>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Transfer pre RTVS</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30 233 842</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27 287 960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26 000 000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28 669 110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26 000 000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26 000 000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26 000 000</w:t>
            </w:r>
          </w:p>
        </w:tc>
      </w:tr>
      <w:tr w:rsidR="007D13F3" w:rsidRPr="004F2E14" w:rsidTr="00465CAC">
        <w:trPr>
          <w:trHeight w:hRule="exact" w:val="25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7D13F3" w:rsidRPr="004F2E14" w:rsidRDefault="007D13F3" w:rsidP="00465CAC">
            <w:pPr>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Transfer pre AVF</w:t>
            </w:r>
          </w:p>
        </w:tc>
        <w:tc>
          <w:tcPr>
            <w:tcW w:w="851" w:type="dxa"/>
            <w:tcBorders>
              <w:top w:val="nil"/>
              <w:left w:val="nil"/>
              <w:bottom w:val="single" w:sz="4" w:space="0" w:color="auto"/>
              <w:right w:val="single" w:sz="4" w:space="0" w:color="auto"/>
            </w:tcBorders>
            <w:shd w:val="clear" w:color="000000" w:fill="FFFFFF"/>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4 500 000</w:t>
            </w:r>
          </w:p>
        </w:tc>
        <w:tc>
          <w:tcPr>
            <w:tcW w:w="851" w:type="dxa"/>
            <w:tcBorders>
              <w:top w:val="nil"/>
              <w:left w:val="nil"/>
              <w:bottom w:val="single" w:sz="4" w:space="0" w:color="auto"/>
              <w:right w:val="single" w:sz="4" w:space="0" w:color="auto"/>
            </w:tcBorders>
            <w:shd w:val="clear" w:color="000000" w:fill="FFFFFF"/>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4 912 599</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9 492 000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9 492 000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6 779 397</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6 310 000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6 170 000</w:t>
            </w:r>
          </w:p>
        </w:tc>
      </w:tr>
      <w:tr w:rsidR="007D13F3" w:rsidRPr="004F2E14" w:rsidTr="00465CAC">
        <w:trPr>
          <w:trHeight w:hRule="exact" w:val="25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7D13F3" w:rsidRPr="004F2E14" w:rsidRDefault="007D13F3" w:rsidP="00465CAC">
            <w:pPr>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Transfer pre TASR</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2 400 000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2 400 000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2 500 000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2 500 000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2 200 000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2 200 000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2 200 000</w:t>
            </w:r>
          </w:p>
        </w:tc>
      </w:tr>
      <w:tr w:rsidR="007D13F3" w:rsidRPr="004F2E14" w:rsidTr="00465CAC">
        <w:trPr>
          <w:trHeight w:hRule="exact" w:val="25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7D13F3" w:rsidRPr="004F2E14" w:rsidRDefault="007D13F3" w:rsidP="00465CAC">
            <w:pPr>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Transfer pre Fond na podporu umenia</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228 000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15 000 000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15 000 000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14 497 416</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20 000 000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20 000 000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20 000 000</w:t>
            </w:r>
          </w:p>
        </w:tc>
      </w:tr>
      <w:tr w:rsidR="007D13F3" w:rsidRPr="004F2E14" w:rsidTr="00465CAC">
        <w:trPr>
          <w:trHeight w:hRule="exact" w:val="343"/>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7D13F3" w:rsidRPr="004F2E14" w:rsidRDefault="007D13F3" w:rsidP="00465CAC">
            <w:pPr>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Transfer pre Fond na podporu kultúry  národnostných menšín</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8 000 000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8 000 000</w:t>
            </w:r>
          </w:p>
        </w:tc>
        <w:tc>
          <w:tcPr>
            <w:tcW w:w="851" w:type="dxa"/>
            <w:tcBorders>
              <w:top w:val="nil"/>
              <w:left w:val="nil"/>
              <w:bottom w:val="single" w:sz="4" w:space="0" w:color="auto"/>
              <w:right w:val="single" w:sz="4" w:space="0" w:color="auto"/>
            </w:tcBorders>
            <w:shd w:val="clear" w:color="000000" w:fill="FFFFFF"/>
            <w:noWrap/>
            <w:vAlign w:val="bottom"/>
            <w:hideMark/>
          </w:tcPr>
          <w:p w:rsidR="007D13F3" w:rsidRPr="004F2E14" w:rsidRDefault="007D13F3" w:rsidP="00465CAC">
            <w:pPr>
              <w:jc w:val="right"/>
              <w:rPr>
                <w:rFonts w:ascii="Times New Roman" w:hAnsi="Times New Roman" w:cs="Times New Roman"/>
                <w:color w:val="000000"/>
                <w:sz w:val="14"/>
                <w:szCs w:val="14"/>
                <w:lang w:eastAsia="sk-SK"/>
              </w:rPr>
            </w:pPr>
            <w:r w:rsidRPr="004F2E14">
              <w:rPr>
                <w:rFonts w:ascii="Times New Roman" w:hAnsi="Times New Roman" w:cs="Times New Roman"/>
                <w:color w:val="000000"/>
                <w:sz w:val="14"/>
                <w:szCs w:val="14"/>
                <w:lang w:eastAsia="sk-SK"/>
              </w:rPr>
              <w:t>8 000 000</w:t>
            </w:r>
          </w:p>
        </w:tc>
      </w:tr>
    </w:tbl>
    <w:p w:rsidR="007D13F3" w:rsidRPr="0003125D" w:rsidRDefault="007D13F3" w:rsidP="007D13F3">
      <w:pPr>
        <w:jc w:val="both"/>
        <w:rPr>
          <w:rFonts w:ascii="Times New Roman" w:hAnsi="Times New Roman" w:cs="Times New Roman"/>
          <w:color w:val="FF0000"/>
          <w:sz w:val="20"/>
          <w:szCs w:val="20"/>
          <w:lang w:eastAsia="sk-SK"/>
        </w:rPr>
      </w:pPr>
    </w:p>
    <w:p w:rsidR="007D13F3" w:rsidRPr="0003125D" w:rsidRDefault="007D13F3" w:rsidP="007D13F3">
      <w:pPr>
        <w:ind w:firstLine="708"/>
        <w:jc w:val="both"/>
        <w:rPr>
          <w:rFonts w:ascii="Times New Roman" w:hAnsi="Times New Roman" w:cs="Times New Roman"/>
        </w:rPr>
      </w:pPr>
      <w:r w:rsidRPr="0003125D">
        <w:rPr>
          <w:rFonts w:ascii="Times New Roman" w:hAnsi="Times New Roman" w:cs="Times New Roman"/>
        </w:rPr>
        <w:t xml:space="preserve">Transfery pre vyššie uvedené verejnoprávne inštitúcie sa poskytujú na základe zmluvy medzi Ministerstvom kultúry SR a dotknutou inštitúciou, ktorá upravuje mechanizmus poskytovania finančných prostriedkov a špecifikuje ich účel použitia v danom rozpočtovom roku. </w:t>
      </w:r>
    </w:p>
    <w:p w:rsidR="007D13F3" w:rsidRPr="009C37FC" w:rsidRDefault="007D13F3" w:rsidP="007D13F3">
      <w:pPr>
        <w:ind w:firstLine="708"/>
        <w:jc w:val="both"/>
        <w:rPr>
          <w:rFonts w:ascii="Times New Roman" w:hAnsi="Times New Roman" w:cs="Times New Roman"/>
          <w:iCs/>
          <w:sz w:val="12"/>
        </w:rPr>
      </w:pPr>
    </w:p>
    <w:p w:rsidR="007D13F3" w:rsidRPr="00F77835" w:rsidRDefault="007D13F3" w:rsidP="007D13F3">
      <w:pPr>
        <w:ind w:firstLine="708"/>
        <w:jc w:val="both"/>
        <w:rPr>
          <w:rFonts w:ascii="Times New Roman" w:hAnsi="Times New Roman" w:cs="Times New Roman"/>
          <w:iCs/>
        </w:rPr>
      </w:pPr>
      <w:r w:rsidRPr="0003125D">
        <w:rPr>
          <w:rFonts w:ascii="Times New Roman" w:hAnsi="Times New Roman" w:cs="Times New Roman"/>
          <w:iCs/>
        </w:rPr>
        <w:t>Celkový rozpočtovaný objem transfer</w:t>
      </w:r>
      <w:r>
        <w:rPr>
          <w:rFonts w:ascii="Times New Roman" w:hAnsi="Times New Roman" w:cs="Times New Roman"/>
          <w:iCs/>
        </w:rPr>
        <w:t xml:space="preserve">ov pre verejnoprávne inštitúcie </w:t>
      </w:r>
      <w:r w:rsidRPr="0003125D">
        <w:rPr>
          <w:rFonts w:ascii="Times New Roman" w:hAnsi="Times New Roman" w:cs="Times New Roman"/>
          <w:iCs/>
        </w:rPr>
        <w:t xml:space="preserve">v sume </w:t>
      </w:r>
      <w:r w:rsidRPr="0003125D">
        <w:rPr>
          <w:rFonts w:ascii="Times New Roman" w:hAnsi="Times New Roman" w:cs="Times New Roman"/>
          <w:iCs/>
        </w:rPr>
        <w:br/>
      </w:r>
      <w:r>
        <w:rPr>
          <w:rFonts w:ascii="Times New Roman" w:hAnsi="Times New Roman" w:cs="Times New Roman"/>
          <w:iCs/>
        </w:rPr>
        <w:t>63,0</w:t>
      </w:r>
      <w:r w:rsidRPr="0003125D">
        <w:rPr>
          <w:rFonts w:ascii="Times New Roman" w:hAnsi="Times New Roman" w:cs="Times New Roman"/>
          <w:iCs/>
        </w:rPr>
        <w:t xml:space="preserve"> mil. eur predstavuje oproti schválenému rozpočtu roku 201</w:t>
      </w:r>
      <w:r>
        <w:rPr>
          <w:rFonts w:ascii="Times New Roman" w:hAnsi="Times New Roman" w:cs="Times New Roman"/>
          <w:iCs/>
        </w:rPr>
        <w:t>7</w:t>
      </w:r>
      <w:r w:rsidRPr="0003125D">
        <w:rPr>
          <w:rFonts w:ascii="Times New Roman" w:hAnsi="Times New Roman" w:cs="Times New Roman"/>
          <w:iCs/>
        </w:rPr>
        <w:t xml:space="preserve"> v absolútnom vyjadrení z</w:t>
      </w:r>
      <w:r>
        <w:rPr>
          <w:rFonts w:ascii="Times New Roman" w:hAnsi="Times New Roman" w:cs="Times New Roman"/>
          <w:iCs/>
        </w:rPr>
        <w:t>výšenie</w:t>
      </w:r>
      <w:r w:rsidRPr="0003125D">
        <w:rPr>
          <w:rFonts w:ascii="Times New Roman" w:hAnsi="Times New Roman" w:cs="Times New Roman"/>
          <w:iCs/>
        </w:rPr>
        <w:t xml:space="preserve"> o</w:t>
      </w:r>
      <w:r>
        <w:rPr>
          <w:rFonts w:ascii="Times New Roman" w:hAnsi="Times New Roman" w:cs="Times New Roman"/>
          <w:iCs/>
        </w:rPr>
        <w:t xml:space="preserve"> 9,99 </w:t>
      </w:r>
      <w:r w:rsidRPr="0003125D">
        <w:rPr>
          <w:rFonts w:ascii="Times New Roman" w:hAnsi="Times New Roman" w:cs="Times New Roman"/>
          <w:iCs/>
        </w:rPr>
        <w:t>mil. eur, t. j. o</w:t>
      </w:r>
      <w:r>
        <w:rPr>
          <w:rFonts w:ascii="Times New Roman" w:hAnsi="Times New Roman" w:cs="Times New Roman"/>
          <w:iCs/>
        </w:rPr>
        <w:t xml:space="preserve"> 18,8 </w:t>
      </w:r>
      <w:r w:rsidRPr="0003125D">
        <w:rPr>
          <w:rFonts w:ascii="Times New Roman" w:hAnsi="Times New Roman" w:cs="Times New Roman"/>
          <w:iCs/>
        </w:rPr>
        <w:t>%.</w:t>
      </w:r>
      <w:r>
        <w:rPr>
          <w:rFonts w:ascii="Times New Roman" w:hAnsi="Times New Roman" w:cs="Times New Roman"/>
          <w:iCs/>
        </w:rPr>
        <w:t xml:space="preserve"> Transfer pre RTVS zachováva rozpočtovanú úroveň roku 2017. Výrazné zvýšenie je v oblasti štátnej podpory umenia a kultúry národnostných menšín z dôvodu zriadenia Fondu na podporu kultúry národnostných menšín v roku 2017 v zmysle zákona č. 138/2017 Z. z. Zároveň došlo k medziročnej zmene výdavkov na podporu audiovizuálnej kultúry a audiovizuálneho priemyslu o 2,71 mil. eur, t. j. o 28,6 %, na podporu umenia o 5 mil. eur,  t. j. o 33,3</w:t>
      </w:r>
      <w:r w:rsidR="008D5ED4">
        <w:rPr>
          <w:rFonts w:ascii="Times New Roman" w:hAnsi="Times New Roman" w:cs="Times New Roman"/>
          <w:iCs/>
        </w:rPr>
        <w:t xml:space="preserve"> </w:t>
      </w:r>
      <w:r>
        <w:rPr>
          <w:rFonts w:ascii="Times New Roman" w:hAnsi="Times New Roman" w:cs="Times New Roman"/>
          <w:iCs/>
        </w:rPr>
        <w:t>%  a pre Tlačovú agentúru SR o 0,3 mil. eur, čo predstavuje medziročné zníženie o 12,0 %.</w:t>
      </w:r>
    </w:p>
    <w:p w:rsidR="007D13F3" w:rsidRDefault="007D13F3" w:rsidP="007D13F3">
      <w:pPr>
        <w:jc w:val="both"/>
        <w:rPr>
          <w:rFonts w:ascii="Times New Roman" w:hAnsi="Times New Roman" w:cs="Times New Roman"/>
          <w:b/>
        </w:rPr>
      </w:pPr>
    </w:p>
    <w:p w:rsidR="007D13F3" w:rsidRDefault="007D13F3" w:rsidP="007D13F3">
      <w:pPr>
        <w:jc w:val="both"/>
        <w:rPr>
          <w:rFonts w:ascii="Times New Roman" w:hAnsi="Times New Roman" w:cs="Times New Roman"/>
          <w:b/>
        </w:rPr>
      </w:pPr>
      <w:r w:rsidRPr="0003125D">
        <w:rPr>
          <w:rFonts w:ascii="Times New Roman" w:hAnsi="Times New Roman" w:cs="Times New Roman"/>
          <w:b/>
        </w:rPr>
        <w:t>Strategické zámery kapitoly</w:t>
      </w:r>
    </w:p>
    <w:p w:rsidR="009C37FC" w:rsidRDefault="009C37FC" w:rsidP="007D13F3">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3524"/>
        <w:gridCol w:w="800"/>
        <w:gridCol w:w="799"/>
        <w:gridCol w:w="799"/>
        <w:gridCol w:w="785"/>
        <w:gridCol w:w="785"/>
        <w:gridCol w:w="785"/>
        <w:gridCol w:w="785"/>
      </w:tblGrid>
      <w:tr w:rsidR="007D13F3" w:rsidRPr="001576D1" w:rsidTr="00465CAC">
        <w:trPr>
          <w:trHeight w:hRule="exact" w:val="255"/>
        </w:trPr>
        <w:tc>
          <w:tcPr>
            <w:tcW w:w="1944"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1576D1" w:rsidRDefault="007D13F3" w:rsidP="00465CAC">
            <w:pP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v eurách</w:t>
            </w:r>
          </w:p>
        </w:tc>
        <w:tc>
          <w:tcPr>
            <w:tcW w:w="4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2015 S</w:t>
            </w:r>
          </w:p>
        </w:tc>
        <w:tc>
          <w:tcPr>
            <w:tcW w:w="4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2016 S</w:t>
            </w:r>
          </w:p>
        </w:tc>
        <w:tc>
          <w:tcPr>
            <w:tcW w:w="4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 xml:space="preserve">2017 R </w:t>
            </w:r>
          </w:p>
        </w:tc>
        <w:tc>
          <w:tcPr>
            <w:tcW w:w="433"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2017 OS</w:t>
            </w:r>
          </w:p>
        </w:tc>
        <w:tc>
          <w:tcPr>
            <w:tcW w:w="433"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2018 N</w:t>
            </w:r>
          </w:p>
        </w:tc>
        <w:tc>
          <w:tcPr>
            <w:tcW w:w="433"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2019 N</w:t>
            </w:r>
          </w:p>
        </w:tc>
        <w:tc>
          <w:tcPr>
            <w:tcW w:w="433"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2020 N</w:t>
            </w:r>
          </w:p>
        </w:tc>
      </w:tr>
      <w:tr w:rsidR="007D13F3" w:rsidRPr="001576D1" w:rsidTr="00465CAC">
        <w:trPr>
          <w:trHeight w:hRule="exact" w:val="255"/>
        </w:trPr>
        <w:tc>
          <w:tcPr>
            <w:tcW w:w="1944"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1576D1" w:rsidRDefault="007D13F3" w:rsidP="00465CAC">
            <w:pPr>
              <w:jc w:val="both"/>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Strategické zámery kapitoly</w:t>
            </w:r>
          </w:p>
        </w:tc>
        <w:tc>
          <w:tcPr>
            <w:tcW w:w="4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2 818 240</w:t>
            </w:r>
          </w:p>
        </w:tc>
        <w:tc>
          <w:tcPr>
            <w:tcW w:w="4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5 123 735</w:t>
            </w:r>
          </w:p>
        </w:tc>
        <w:tc>
          <w:tcPr>
            <w:tcW w:w="4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2 810 332</w:t>
            </w:r>
          </w:p>
        </w:tc>
        <w:tc>
          <w:tcPr>
            <w:tcW w:w="433"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3 251 739</w:t>
            </w:r>
          </w:p>
        </w:tc>
        <w:tc>
          <w:tcPr>
            <w:tcW w:w="433"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9D5B31" w:rsidRDefault="007D13F3" w:rsidP="00465CAC">
            <w:pPr>
              <w:jc w:val="right"/>
              <w:rPr>
                <w:rFonts w:ascii="Times New Roman" w:hAnsi="Times New Roman" w:cs="Times New Roman"/>
                <w:b/>
                <w:bCs/>
                <w:color w:val="000000"/>
                <w:sz w:val="14"/>
                <w:szCs w:val="14"/>
                <w:lang w:eastAsia="sk-SK"/>
              </w:rPr>
            </w:pPr>
            <w:r w:rsidRPr="009D5B31">
              <w:rPr>
                <w:rFonts w:ascii="Times New Roman" w:hAnsi="Times New Roman" w:cs="Times New Roman"/>
                <w:b/>
                <w:bCs/>
                <w:color w:val="000000"/>
                <w:sz w:val="14"/>
                <w:szCs w:val="14"/>
              </w:rPr>
              <w:t>2 819 992</w:t>
            </w:r>
          </w:p>
        </w:tc>
        <w:tc>
          <w:tcPr>
            <w:tcW w:w="433"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9D5B31" w:rsidRDefault="007D13F3" w:rsidP="00465CAC">
            <w:pPr>
              <w:jc w:val="right"/>
              <w:rPr>
                <w:rFonts w:ascii="Times New Roman" w:hAnsi="Times New Roman" w:cs="Times New Roman"/>
                <w:b/>
                <w:bCs/>
                <w:color w:val="000000"/>
                <w:sz w:val="14"/>
                <w:szCs w:val="14"/>
              </w:rPr>
            </w:pPr>
            <w:r w:rsidRPr="009D5B31">
              <w:rPr>
                <w:rFonts w:ascii="Times New Roman" w:hAnsi="Times New Roman" w:cs="Times New Roman"/>
                <w:b/>
                <w:bCs/>
                <w:color w:val="000000"/>
                <w:sz w:val="14"/>
                <w:szCs w:val="14"/>
              </w:rPr>
              <w:t>2 819 992</w:t>
            </w:r>
          </w:p>
        </w:tc>
        <w:tc>
          <w:tcPr>
            <w:tcW w:w="433"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9D5B31" w:rsidRDefault="007D13F3" w:rsidP="00465CAC">
            <w:pPr>
              <w:jc w:val="right"/>
              <w:rPr>
                <w:rFonts w:ascii="Times New Roman" w:hAnsi="Times New Roman" w:cs="Times New Roman"/>
                <w:b/>
                <w:bCs/>
                <w:color w:val="000000"/>
                <w:sz w:val="14"/>
                <w:szCs w:val="14"/>
              </w:rPr>
            </w:pPr>
            <w:r w:rsidRPr="009D5B31">
              <w:rPr>
                <w:rFonts w:ascii="Times New Roman" w:hAnsi="Times New Roman" w:cs="Times New Roman"/>
                <w:b/>
                <w:bCs/>
                <w:color w:val="000000"/>
                <w:sz w:val="14"/>
                <w:szCs w:val="14"/>
              </w:rPr>
              <w:t>2 819 992</w:t>
            </w:r>
          </w:p>
        </w:tc>
      </w:tr>
      <w:tr w:rsidR="007D13F3" w:rsidRPr="001576D1" w:rsidTr="00465CAC">
        <w:trPr>
          <w:trHeight w:hRule="exact" w:val="255"/>
        </w:trPr>
        <w:tc>
          <w:tcPr>
            <w:tcW w:w="19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1576D1" w:rsidRDefault="007D13F3" w:rsidP="00465CAC">
            <w:pPr>
              <w:jc w:val="both"/>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Systematická obnova audiovizuálneho dedičstva</w:t>
            </w:r>
          </w:p>
        </w:tc>
        <w:tc>
          <w:tcPr>
            <w:tcW w:w="4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1 497 724</w:t>
            </w:r>
          </w:p>
        </w:tc>
        <w:tc>
          <w:tcPr>
            <w:tcW w:w="4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1 498 241</w:t>
            </w:r>
          </w:p>
        </w:tc>
        <w:tc>
          <w:tcPr>
            <w:tcW w:w="4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1 510 332</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1 515 739</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1 519 992</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1 519 992</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1 519 992</w:t>
            </w:r>
          </w:p>
        </w:tc>
      </w:tr>
      <w:tr w:rsidR="007D13F3" w:rsidRPr="001576D1" w:rsidTr="00465CAC">
        <w:trPr>
          <w:trHeight w:hRule="exact" w:val="255"/>
        </w:trPr>
        <w:tc>
          <w:tcPr>
            <w:tcW w:w="19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Projekt informatizácie kultúry</w:t>
            </w:r>
          </w:p>
        </w:tc>
        <w:tc>
          <w:tcPr>
            <w:tcW w:w="441" w:type="pct"/>
            <w:tcBorders>
              <w:top w:val="nil"/>
              <w:left w:val="nil"/>
              <w:bottom w:val="single" w:sz="4" w:space="0" w:color="auto"/>
              <w:right w:val="single" w:sz="4" w:space="0" w:color="auto"/>
            </w:tcBorders>
            <w:shd w:val="clear" w:color="000000" w:fill="FFFFFF"/>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115 000</w:t>
            </w:r>
          </w:p>
        </w:tc>
        <w:tc>
          <w:tcPr>
            <w:tcW w:w="4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1 467 620</w:t>
            </w:r>
          </w:p>
        </w:tc>
        <w:tc>
          <w:tcPr>
            <w:tcW w:w="4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1 090 000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0</w:t>
            </w:r>
          </w:p>
        </w:tc>
      </w:tr>
      <w:tr w:rsidR="007D13F3" w:rsidRPr="001576D1" w:rsidTr="00465CAC">
        <w:trPr>
          <w:trHeight w:hRule="exact" w:val="255"/>
        </w:trPr>
        <w:tc>
          <w:tcPr>
            <w:tcW w:w="19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Stratégia slovacík múzejnej a galerijnej hodnoty</w:t>
            </w:r>
          </w:p>
        </w:tc>
        <w:tc>
          <w:tcPr>
            <w:tcW w:w="441" w:type="pct"/>
            <w:tcBorders>
              <w:top w:val="nil"/>
              <w:left w:val="nil"/>
              <w:bottom w:val="single" w:sz="4" w:space="0" w:color="auto"/>
              <w:right w:val="single" w:sz="4" w:space="0" w:color="auto"/>
            </w:tcBorders>
            <w:shd w:val="clear" w:color="000000" w:fill="FFFFFF"/>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90 000</w:t>
            </w:r>
          </w:p>
        </w:tc>
        <w:tc>
          <w:tcPr>
            <w:tcW w:w="4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100 000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80 000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100 000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100 000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100 000</w:t>
            </w:r>
          </w:p>
        </w:tc>
      </w:tr>
      <w:tr w:rsidR="007D13F3" w:rsidRPr="001576D1" w:rsidTr="00465CAC">
        <w:trPr>
          <w:trHeight w:hRule="exact" w:val="255"/>
        </w:trPr>
        <w:tc>
          <w:tcPr>
            <w:tcW w:w="19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Stratégia rozvoja slovenského knihovníctva</w:t>
            </w:r>
          </w:p>
        </w:tc>
        <w:tc>
          <w:tcPr>
            <w:tcW w:w="441" w:type="pct"/>
            <w:tcBorders>
              <w:top w:val="nil"/>
              <w:left w:val="nil"/>
              <w:bottom w:val="single" w:sz="4" w:space="0" w:color="auto"/>
              <w:right w:val="single" w:sz="4" w:space="0" w:color="auto"/>
            </w:tcBorders>
            <w:shd w:val="clear" w:color="000000" w:fill="FFFFFF"/>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311 003</w:t>
            </w:r>
          </w:p>
        </w:tc>
        <w:tc>
          <w:tcPr>
            <w:tcW w:w="4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101 995</w:t>
            </w:r>
          </w:p>
        </w:tc>
        <w:tc>
          <w:tcPr>
            <w:tcW w:w="4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300 000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87 000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300 000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300 000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300 000</w:t>
            </w:r>
          </w:p>
        </w:tc>
      </w:tr>
      <w:tr w:rsidR="007D13F3" w:rsidRPr="001576D1" w:rsidTr="00465CAC">
        <w:trPr>
          <w:trHeight w:hRule="exact" w:val="255"/>
        </w:trPr>
        <w:tc>
          <w:tcPr>
            <w:tcW w:w="19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Projekt akvizície zbierkových predmetov</w:t>
            </w:r>
          </w:p>
        </w:tc>
        <w:tc>
          <w:tcPr>
            <w:tcW w:w="441" w:type="pct"/>
            <w:tcBorders>
              <w:top w:val="nil"/>
              <w:left w:val="nil"/>
              <w:bottom w:val="single" w:sz="4" w:space="0" w:color="auto"/>
              <w:right w:val="single" w:sz="4" w:space="0" w:color="auto"/>
            </w:tcBorders>
            <w:shd w:val="clear" w:color="000000" w:fill="FFFFFF"/>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523 415</w:t>
            </w:r>
          </w:p>
        </w:tc>
        <w:tc>
          <w:tcPr>
            <w:tcW w:w="4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339 119</w:t>
            </w:r>
          </w:p>
        </w:tc>
        <w:tc>
          <w:tcPr>
            <w:tcW w:w="4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300 000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40 000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300 000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300 000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300 000</w:t>
            </w:r>
          </w:p>
        </w:tc>
      </w:tr>
      <w:tr w:rsidR="007D13F3" w:rsidRPr="001576D1" w:rsidTr="00465CAC">
        <w:trPr>
          <w:trHeight w:hRule="exact" w:val="255"/>
        </w:trPr>
        <w:tc>
          <w:tcPr>
            <w:tcW w:w="19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Stratégia rozvoja múzeí a galérií v SR</w:t>
            </w:r>
          </w:p>
        </w:tc>
        <w:tc>
          <w:tcPr>
            <w:tcW w:w="4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185 098</w:t>
            </w:r>
          </w:p>
        </w:tc>
        <w:tc>
          <w:tcPr>
            <w:tcW w:w="4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497 222</w:t>
            </w:r>
          </w:p>
        </w:tc>
        <w:tc>
          <w:tcPr>
            <w:tcW w:w="4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500 000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279 000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500 000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500 000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500 000</w:t>
            </w:r>
          </w:p>
        </w:tc>
      </w:tr>
      <w:tr w:rsidR="007D13F3" w:rsidRPr="001576D1" w:rsidTr="00465CAC">
        <w:trPr>
          <w:trHeight w:hRule="exact" w:val="255"/>
        </w:trPr>
        <w:tc>
          <w:tcPr>
            <w:tcW w:w="1944" w:type="pct"/>
            <w:tcBorders>
              <w:top w:val="nil"/>
              <w:left w:val="single" w:sz="4" w:space="0" w:color="auto"/>
              <w:bottom w:val="single" w:sz="4" w:space="0" w:color="auto"/>
              <w:right w:val="single" w:sz="4" w:space="0" w:color="auto"/>
            </w:tcBorders>
            <w:shd w:val="clear" w:color="auto" w:fill="auto"/>
            <w:noWrap/>
            <w:vAlign w:val="bottom"/>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Obnova nástrojového vybavenia, nákup krojových súčiastok</w:t>
            </w:r>
          </w:p>
        </w:tc>
        <w:tc>
          <w:tcPr>
            <w:tcW w:w="441" w:type="pct"/>
            <w:tcBorders>
              <w:top w:val="nil"/>
              <w:left w:val="nil"/>
              <w:bottom w:val="single" w:sz="4" w:space="0" w:color="auto"/>
              <w:right w:val="single" w:sz="4" w:space="0" w:color="auto"/>
            </w:tcBorders>
            <w:shd w:val="clear" w:color="000000" w:fill="FFFFFF"/>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186 000</w:t>
            </w:r>
          </w:p>
        </w:tc>
        <w:tc>
          <w:tcPr>
            <w:tcW w:w="4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1 129 538</w:t>
            </w:r>
          </w:p>
        </w:tc>
        <w:tc>
          <w:tcPr>
            <w:tcW w:w="4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100 000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160 000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100 000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100 000</w:t>
            </w:r>
          </w:p>
        </w:tc>
        <w:tc>
          <w:tcPr>
            <w:tcW w:w="433" w:type="pct"/>
            <w:tcBorders>
              <w:top w:val="nil"/>
              <w:left w:val="nil"/>
              <w:bottom w:val="single" w:sz="4" w:space="0" w:color="auto"/>
              <w:right w:val="single" w:sz="4" w:space="0" w:color="auto"/>
            </w:tcBorders>
            <w:shd w:val="clear" w:color="000000" w:fill="FFFFFF"/>
            <w:noWrap/>
            <w:vAlign w:val="bottom"/>
            <w:hideMark/>
          </w:tcPr>
          <w:p w:rsidR="007D13F3" w:rsidRPr="009D5B31" w:rsidRDefault="007D13F3" w:rsidP="00465CAC">
            <w:pPr>
              <w:jc w:val="right"/>
              <w:rPr>
                <w:rFonts w:ascii="Times New Roman" w:hAnsi="Times New Roman" w:cs="Times New Roman"/>
                <w:color w:val="000000"/>
                <w:sz w:val="14"/>
                <w:szCs w:val="14"/>
              </w:rPr>
            </w:pPr>
            <w:r w:rsidRPr="009D5B31">
              <w:rPr>
                <w:rFonts w:ascii="Times New Roman" w:hAnsi="Times New Roman" w:cs="Times New Roman"/>
                <w:color w:val="000000"/>
                <w:sz w:val="14"/>
                <w:szCs w:val="14"/>
              </w:rPr>
              <w:t>100 000</w:t>
            </w:r>
          </w:p>
        </w:tc>
      </w:tr>
    </w:tbl>
    <w:p w:rsidR="007D13F3" w:rsidRPr="0003125D" w:rsidRDefault="007D13F3" w:rsidP="007D13F3">
      <w:pPr>
        <w:jc w:val="both"/>
        <w:rPr>
          <w:rFonts w:ascii="Times New Roman" w:hAnsi="Times New Roman" w:cs="Times New Roman"/>
          <w:color w:val="FF0000"/>
        </w:rPr>
      </w:pPr>
      <w:r>
        <w:rPr>
          <w:rFonts w:ascii="Times New Roman" w:hAnsi="Times New Roman" w:cs="Times New Roman"/>
          <w:color w:val="FF0000"/>
          <w:sz w:val="20"/>
          <w:szCs w:val="20"/>
          <w:lang w:eastAsia="sk-SK"/>
        </w:rPr>
        <w:lastRenderedPageBreak/>
        <w:tab/>
      </w:r>
      <w:r w:rsidRPr="0003125D">
        <w:rPr>
          <w:rFonts w:ascii="Times New Roman" w:hAnsi="Times New Roman" w:cs="Times New Roman"/>
        </w:rPr>
        <w:t>V rámci strategických zámerov kapitoly sa rozpočtujú zdroje na financovanie projektov a stratégií schválených vládou SR</w:t>
      </w:r>
      <w:r>
        <w:rPr>
          <w:rFonts w:ascii="Times New Roman" w:hAnsi="Times New Roman" w:cs="Times New Roman"/>
        </w:rPr>
        <w:t>, ich disponibilný objem na rok 2018 je 2,8</w:t>
      </w:r>
      <w:r w:rsidR="00431F54">
        <w:rPr>
          <w:rFonts w:ascii="Times New Roman" w:hAnsi="Times New Roman" w:cs="Times New Roman"/>
        </w:rPr>
        <w:t>2</w:t>
      </w:r>
      <w:r>
        <w:rPr>
          <w:rFonts w:ascii="Times New Roman" w:hAnsi="Times New Roman" w:cs="Times New Roman"/>
        </w:rPr>
        <w:t xml:space="preserve"> mil. eur, čo predstavuje nárast o </w:t>
      </w:r>
      <w:r w:rsidR="00431F54">
        <w:rPr>
          <w:rFonts w:ascii="Times New Roman" w:hAnsi="Times New Roman" w:cs="Times New Roman"/>
        </w:rPr>
        <w:t>9,66</w:t>
      </w:r>
      <w:r>
        <w:rPr>
          <w:rFonts w:ascii="Times New Roman" w:hAnsi="Times New Roman" w:cs="Times New Roman"/>
        </w:rPr>
        <w:t xml:space="preserve"> tis. eur oproti schválenému rozpočtu roku 2017.</w:t>
      </w:r>
      <w:r w:rsidRPr="0003125D">
        <w:rPr>
          <w:rFonts w:ascii="Times New Roman" w:hAnsi="Times New Roman" w:cs="Times New Roman"/>
        </w:rPr>
        <w:t xml:space="preserve"> </w:t>
      </w:r>
    </w:p>
    <w:p w:rsidR="007D13F3" w:rsidRPr="0003125D" w:rsidRDefault="007D13F3" w:rsidP="007D13F3">
      <w:pPr>
        <w:jc w:val="both"/>
        <w:rPr>
          <w:rFonts w:ascii="Times New Roman" w:hAnsi="Times New Roman" w:cs="Times New Roman"/>
          <w:color w:val="FF0000"/>
        </w:rPr>
      </w:pPr>
    </w:p>
    <w:p w:rsidR="007D13F3" w:rsidRPr="0003125D" w:rsidRDefault="007D13F3" w:rsidP="007D13F3">
      <w:pPr>
        <w:ind w:firstLine="708"/>
        <w:jc w:val="both"/>
        <w:rPr>
          <w:rFonts w:ascii="Times New Roman" w:hAnsi="Times New Roman" w:cs="Times New Roman"/>
          <w:color w:val="FF0000"/>
        </w:rPr>
      </w:pPr>
      <w:r w:rsidRPr="0003125D">
        <w:rPr>
          <w:rFonts w:ascii="Times New Roman" w:hAnsi="Times New Roman" w:cs="Times New Roman"/>
        </w:rPr>
        <w:t>Na financovanie obnovy audiovizuálneho dedičstva sú alokované zdroje pre Slovenský filmový ústav vo výške 1,</w:t>
      </w:r>
      <w:r>
        <w:rPr>
          <w:rFonts w:ascii="Times New Roman" w:hAnsi="Times New Roman" w:cs="Times New Roman"/>
        </w:rPr>
        <w:t>51</w:t>
      </w:r>
      <w:r w:rsidRPr="0003125D">
        <w:rPr>
          <w:rFonts w:ascii="Times New Roman" w:hAnsi="Times New Roman" w:cs="Times New Roman"/>
        </w:rPr>
        <w:t xml:space="preserve"> mil. eur, </w:t>
      </w:r>
      <w:r>
        <w:rPr>
          <w:rFonts w:ascii="Times New Roman" w:hAnsi="Times New Roman" w:cs="Times New Roman"/>
        </w:rPr>
        <w:t>v ktorých je premietnuté vyššie uvedené zvýšenie výdavkov</w:t>
      </w:r>
      <w:r w:rsidRPr="0003125D">
        <w:rPr>
          <w:rFonts w:ascii="Times New Roman" w:hAnsi="Times New Roman" w:cs="Times New Roman"/>
        </w:rPr>
        <w:t>. Prostriedky sú určené na obnovu kinematografických a audiovizuálnych diel a ich postupné sprístupňovanie verejnosti.</w:t>
      </w:r>
    </w:p>
    <w:p w:rsidR="007D13F3" w:rsidRDefault="007D13F3" w:rsidP="007D13F3">
      <w:pPr>
        <w:jc w:val="both"/>
        <w:rPr>
          <w:rFonts w:ascii="Times New Roman" w:hAnsi="Times New Roman" w:cs="Times New Roman"/>
          <w:b/>
        </w:rPr>
      </w:pPr>
    </w:p>
    <w:p w:rsidR="007D13F3" w:rsidRDefault="007D13F3" w:rsidP="007D13F3">
      <w:pPr>
        <w:jc w:val="both"/>
        <w:rPr>
          <w:rFonts w:ascii="Times New Roman" w:hAnsi="Times New Roman" w:cs="Times New Roman"/>
          <w:b/>
        </w:rPr>
      </w:pPr>
      <w:r w:rsidRPr="0003125D">
        <w:rPr>
          <w:rFonts w:ascii="Times New Roman" w:hAnsi="Times New Roman" w:cs="Times New Roman"/>
          <w:b/>
        </w:rPr>
        <w:t>Cirkvi a náboženské spoločnosti</w:t>
      </w:r>
    </w:p>
    <w:p w:rsidR="007D13F3" w:rsidRDefault="007D13F3" w:rsidP="007D13F3">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2149"/>
        <w:gridCol w:w="996"/>
        <w:gridCol w:w="996"/>
        <w:gridCol w:w="997"/>
        <w:gridCol w:w="981"/>
        <w:gridCol w:w="981"/>
        <w:gridCol w:w="981"/>
        <w:gridCol w:w="981"/>
      </w:tblGrid>
      <w:tr w:rsidR="007D13F3" w:rsidRPr="0035529F" w:rsidTr="00465CAC">
        <w:trPr>
          <w:trHeight w:hRule="exact" w:val="255"/>
        </w:trPr>
        <w:tc>
          <w:tcPr>
            <w:tcW w:w="1186"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35529F" w:rsidRDefault="007D13F3" w:rsidP="00465CAC">
            <w:pPr>
              <w:rPr>
                <w:rFonts w:ascii="Times New Roman" w:hAnsi="Times New Roman" w:cs="Times New Roman"/>
                <w:b/>
                <w:bCs/>
                <w:color w:val="000000"/>
                <w:sz w:val="14"/>
                <w:szCs w:val="14"/>
                <w:lang w:eastAsia="sk-SK"/>
              </w:rPr>
            </w:pPr>
            <w:r w:rsidRPr="0035529F">
              <w:rPr>
                <w:rFonts w:ascii="Times New Roman" w:hAnsi="Times New Roman" w:cs="Times New Roman"/>
                <w:b/>
                <w:bCs/>
                <w:color w:val="000000"/>
                <w:sz w:val="14"/>
                <w:szCs w:val="14"/>
                <w:lang w:eastAsia="sk-SK"/>
              </w:rPr>
              <w:t>v eurách</w:t>
            </w:r>
          </w:p>
        </w:tc>
        <w:tc>
          <w:tcPr>
            <w:tcW w:w="550"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35529F" w:rsidRDefault="007D13F3" w:rsidP="00465CAC">
            <w:pPr>
              <w:jc w:val="center"/>
              <w:rPr>
                <w:rFonts w:ascii="Times New Roman" w:hAnsi="Times New Roman" w:cs="Times New Roman"/>
                <w:b/>
                <w:bCs/>
                <w:color w:val="000000"/>
                <w:sz w:val="14"/>
                <w:szCs w:val="14"/>
                <w:lang w:eastAsia="sk-SK"/>
              </w:rPr>
            </w:pPr>
            <w:r w:rsidRPr="0035529F">
              <w:rPr>
                <w:rFonts w:ascii="Times New Roman" w:hAnsi="Times New Roman" w:cs="Times New Roman"/>
                <w:b/>
                <w:bCs/>
                <w:color w:val="000000"/>
                <w:sz w:val="14"/>
                <w:szCs w:val="14"/>
                <w:lang w:eastAsia="sk-SK"/>
              </w:rPr>
              <w:t>2015 S</w:t>
            </w:r>
          </w:p>
        </w:tc>
        <w:tc>
          <w:tcPr>
            <w:tcW w:w="550"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35529F" w:rsidRDefault="007D13F3" w:rsidP="00465CAC">
            <w:pPr>
              <w:jc w:val="center"/>
              <w:rPr>
                <w:rFonts w:ascii="Times New Roman" w:hAnsi="Times New Roman" w:cs="Times New Roman"/>
                <w:b/>
                <w:bCs/>
                <w:color w:val="000000"/>
                <w:sz w:val="14"/>
                <w:szCs w:val="14"/>
                <w:lang w:eastAsia="sk-SK"/>
              </w:rPr>
            </w:pPr>
            <w:r w:rsidRPr="0035529F">
              <w:rPr>
                <w:rFonts w:ascii="Times New Roman" w:hAnsi="Times New Roman" w:cs="Times New Roman"/>
                <w:b/>
                <w:bCs/>
                <w:color w:val="000000"/>
                <w:sz w:val="14"/>
                <w:szCs w:val="14"/>
                <w:lang w:eastAsia="sk-SK"/>
              </w:rPr>
              <w:t>2016 S</w:t>
            </w:r>
          </w:p>
        </w:tc>
        <w:tc>
          <w:tcPr>
            <w:tcW w:w="550"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35529F" w:rsidRDefault="007D13F3" w:rsidP="00465CAC">
            <w:pPr>
              <w:jc w:val="center"/>
              <w:rPr>
                <w:rFonts w:ascii="Times New Roman" w:hAnsi="Times New Roman" w:cs="Times New Roman"/>
                <w:b/>
                <w:bCs/>
                <w:color w:val="000000"/>
                <w:sz w:val="14"/>
                <w:szCs w:val="14"/>
                <w:lang w:eastAsia="sk-SK"/>
              </w:rPr>
            </w:pPr>
            <w:r w:rsidRPr="0035529F">
              <w:rPr>
                <w:rFonts w:ascii="Times New Roman" w:hAnsi="Times New Roman" w:cs="Times New Roman"/>
                <w:b/>
                <w:bCs/>
                <w:color w:val="000000"/>
                <w:sz w:val="14"/>
                <w:szCs w:val="14"/>
                <w:lang w:eastAsia="sk-SK"/>
              </w:rPr>
              <w:t>2017 R</w:t>
            </w:r>
          </w:p>
        </w:tc>
        <w:tc>
          <w:tcPr>
            <w:tcW w:w="5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35529F" w:rsidRDefault="007D13F3" w:rsidP="00465CAC">
            <w:pPr>
              <w:jc w:val="center"/>
              <w:rPr>
                <w:rFonts w:ascii="Times New Roman" w:hAnsi="Times New Roman" w:cs="Times New Roman"/>
                <w:b/>
                <w:bCs/>
                <w:color w:val="000000"/>
                <w:sz w:val="14"/>
                <w:szCs w:val="14"/>
                <w:lang w:eastAsia="sk-SK"/>
              </w:rPr>
            </w:pPr>
            <w:r w:rsidRPr="0035529F">
              <w:rPr>
                <w:rFonts w:ascii="Times New Roman" w:hAnsi="Times New Roman" w:cs="Times New Roman"/>
                <w:b/>
                <w:bCs/>
                <w:color w:val="000000"/>
                <w:sz w:val="14"/>
                <w:szCs w:val="14"/>
                <w:lang w:eastAsia="sk-SK"/>
              </w:rPr>
              <w:t>2017 OS</w:t>
            </w:r>
          </w:p>
        </w:tc>
        <w:tc>
          <w:tcPr>
            <w:tcW w:w="5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35529F" w:rsidRDefault="007D13F3" w:rsidP="00465CAC">
            <w:pPr>
              <w:jc w:val="center"/>
              <w:rPr>
                <w:rFonts w:ascii="Times New Roman" w:hAnsi="Times New Roman" w:cs="Times New Roman"/>
                <w:b/>
                <w:bCs/>
                <w:color w:val="000000"/>
                <w:sz w:val="14"/>
                <w:szCs w:val="14"/>
                <w:lang w:eastAsia="sk-SK"/>
              </w:rPr>
            </w:pPr>
            <w:r w:rsidRPr="0035529F">
              <w:rPr>
                <w:rFonts w:ascii="Times New Roman" w:hAnsi="Times New Roman" w:cs="Times New Roman"/>
                <w:b/>
                <w:bCs/>
                <w:color w:val="000000"/>
                <w:sz w:val="14"/>
                <w:szCs w:val="14"/>
                <w:lang w:eastAsia="sk-SK"/>
              </w:rPr>
              <w:t xml:space="preserve"> 2018 N</w:t>
            </w:r>
          </w:p>
        </w:tc>
        <w:tc>
          <w:tcPr>
            <w:tcW w:w="5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35529F" w:rsidRDefault="007D13F3" w:rsidP="00465CAC">
            <w:pPr>
              <w:jc w:val="center"/>
              <w:rPr>
                <w:rFonts w:ascii="Times New Roman" w:hAnsi="Times New Roman" w:cs="Times New Roman"/>
                <w:b/>
                <w:bCs/>
                <w:color w:val="000000"/>
                <w:sz w:val="14"/>
                <w:szCs w:val="14"/>
                <w:lang w:eastAsia="sk-SK"/>
              </w:rPr>
            </w:pPr>
            <w:r w:rsidRPr="0035529F">
              <w:rPr>
                <w:rFonts w:ascii="Times New Roman" w:hAnsi="Times New Roman" w:cs="Times New Roman"/>
                <w:b/>
                <w:bCs/>
                <w:color w:val="000000"/>
                <w:sz w:val="14"/>
                <w:szCs w:val="14"/>
                <w:lang w:eastAsia="sk-SK"/>
              </w:rPr>
              <w:t xml:space="preserve"> 2019 N</w:t>
            </w:r>
          </w:p>
        </w:tc>
        <w:tc>
          <w:tcPr>
            <w:tcW w:w="5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35529F" w:rsidRDefault="007D13F3" w:rsidP="00465CAC">
            <w:pPr>
              <w:jc w:val="center"/>
              <w:rPr>
                <w:rFonts w:ascii="Times New Roman" w:hAnsi="Times New Roman" w:cs="Times New Roman"/>
                <w:b/>
                <w:bCs/>
                <w:color w:val="000000"/>
                <w:sz w:val="14"/>
                <w:szCs w:val="14"/>
                <w:lang w:eastAsia="sk-SK"/>
              </w:rPr>
            </w:pPr>
            <w:r w:rsidRPr="0035529F">
              <w:rPr>
                <w:rFonts w:ascii="Times New Roman" w:hAnsi="Times New Roman" w:cs="Times New Roman"/>
                <w:b/>
                <w:bCs/>
                <w:color w:val="000000"/>
                <w:sz w:val="14"/>
                <w:szCs w:val="14"/>
                <w:lang w:eastAsia="sk-SK"/>
              </w:rPr>
              <w:t xml:space="preserve"> 2020 N</w:t>
            </w:r>
          </w:p>
        </w:tc>
      </w:tr>
      <w:tr w:rsidR="007D13F3" w:rsidRPr="0035529F" w:rsidTr="00465CAC">
        <w:trPr>
          <w:trHeight w:hRule="exact" w:val="255"/>
        </w:trPr>
        <w:tc>
          <w:tcPr>
            <w:tcW w:w="1186"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35529F" w:rsidRDefault="007D13F3" w:rsidP="00465CAC">
            <w:pPr>
              <w:jc w:val="both"/>
              <w:rPr>
                <w:rFonts w:ascii="Times New Roman" w:hAnsi="Times New Roman" w:cs="Times New Roman"/>
                <w:b/>
                <w:bCs/>
                <w:color w:val="000000"/>
                <w:sz w:val="14"/>
                <w:szCs w:val="14"/>
                <w:lang w:eastAsia="sk-SK"/>
              </w:rPr>
            </w:pPr>
            <w:r w:rsidRPr="0035529F">
              <w:rPr>
                <w:rFonts w:ascii="Times New Roman" w:hAnsi="Times New Roman" w:cs="Times New Roman"/>
                <w:b/>
                <w:bCs/>
                <w:color w:val="000000"/>
                <w:sz w:val="14"/>
                <w:szCs w:val="14"/>
                <w:lang w:eastAsia="sk-SK"/>
              </w:rPr>
              <w:t>Cirkvi a náboženské spoločnosti</w:t>
            </w:r>
            <w:r w:rsidRPr="0035529F">
              <w:rPr>
                <w:rFonts w:ascii="Times New Roman" w:hAnsi="Times New Roman" w:cs="Times New Roman"/>
                <w:color w:val="000000"/>
                <w:sz w:val="14"/>
                <w:szCs w:val="14"/>
                <w:lang w:eastAsia="sk-SK"/>
              </w:rPr>
              <w:t xml:space="preserve"> </w:t>
            </w:r>
          </w:p>
        </w:tc>
        <w:tc>
          <w:tcPr>
            <w:tcW w:w="550"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35529F" w:rsidRDefault="007D13F3" w:rsidP="00465CAC">
            <w:pPr>
              <w:jc w:val="right"/>
              <w:rPr>
                <w:rFonts w:ascii="Times New Roman" w:hAnsi="Times New Roman" w:cs="Times New Roman"/>
                <w:b/>
                <w:bCs/>
                <w:color w:val="000000"/>
                <w:sz w:val="14"/>
                <w:szCs w:val="14"/>
                <w:lang w:eastAsia="sk-SK"/>
              </w:rPr>
            </w:pPr>
            <w:r w:rsidRPr="0035529F">
              <w:rPr>
                <w:rFonts w:ascii="Times New Roman" w:hAnsi="Times New Roman" w:cs="Times New Roman"/>
                <w:b/>
                <w:bCs/>
                <w:color w:val="000000"/>
                <w:sz w:val="14"/>
                <w:szCs w:val="14"/>
                <w:lang w:eastAsia="sk-SK"/>
              </w:rPr>
              <w:t>39 349 895</w:t>
            </w:r>
          </w:p>
        </w:tc>
        <w:tc>
          <w:tcPr>
            <w:tcW w:w="550"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35529F" w:rsidRDefault="007D13F3" w:rsidP="00465CAC">
            <w:pPr>
              <w:jc w:val="right"/>
              <w:rPr>
                <w:rFonts w:ascii="Times New Roman" w:hAnsi="Times New Roman" w:cs="Times New Roman"/>
                <w:b/>
                <w:bCs/>
                <w:color w:val="000000"/>
                <w:sz w:val="14"/>
                <w:szCs w:val="14"/>
                <w:lang w:eastAsia="sk-SK"/>
              </w:rPr>
            </w:pPr>
            <w:r w:rsidRPr="0035529F">
              <w:rPr>
                <w:rFonts w:ascii="Times New Roman" w:hAnsi="Times New Roman" w:cs="Times New Roman"/>
                <w:b/>
                <w:bCs/>
                <w:color w:val="000000"/>
                <w:sz w:val="14"/>
                <w:szCs w:val="14"/>
                <w:lang w:eastAsia="sk-SK"/>
              </w:rPr>
              <w:t>40 216 154</w:t>
            </w:r>
          </w:p>
        </w:tc>
        <w:tc>
          <w:tcPr>
            <w:tcW w:w="550"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35529F" w:rsidRDefault="007D13F3" w:rsidP="00465CAC">
            <w:pPr>
              <w:jc w:val="right"/>
              <w:rPr>
                <w:rFonts w:ascii="Times New Roman" w:hAnsi="Times New Roman" w:cs="Times New Roman"/>
                <w:b/>
                <w:bCs/>
                <w:color w:val="000000"/>
                <w:sz w:val="14"/>
                <w:szCs w:val="14"/>
                <w:lang w:eastAsia="sk-SK"/>
              </w:rPr>
            </w:pPr>
            <w:r w:rsidRPr="0035529F">
              <w:rPr>
                <w:rFonts w:ascii="Times New Roman" w:hAnsi="Times New Roman" w:cs="Times New Roman"/>
                <w:b/>
                <w:bCs/>
                <w:color w:val="000000"/>
                <w:sz w:val="14"/>
                <w:szCs w:val="14"/>
                <w:lang w:eastAsia="sk-SK"/>
              </w:rPr>
              <w:t>40 017 526</w:t>
            </w:r>
          </w:p>
        </w:tc>
        <w:tc>
          <w:tcPr>
            <w:tcW w:w="5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35529F" w:rsidRDefault="007D13F3" w:rsidP="00465CAC">
            <w:pPr>
              <w:jc w:val="right"/>
              <w:rPr>
                <w:rFonts w:ascii="Times New Roman" w:hAnsi="Times New Roman" w:cs="Times New Roman"/>
                <w:b/>
                <w:bCs/>
                <w:color w:val="000000"/>
                <w:sz w:val="14"/>
                <w:szCs w:val="14"/>
                <w:lang w:eastAsia="sk-SK"/>
              </w:rPr>
            </w:pPr>
            <w:r w:rsidRPr="0035529F">
              <w:rPr>
                <w:rFonts w:ascii="Times New Roman" w:hAnsi="Times New Roman" w:cs="Times New Roman"/>
                <w:b/>
                <w:bCs/>
                <w:color w:val="000000"/>
                <w:sz w:val="14"/>
                <w:szCs w:val="14"/>
                <w:lang w:eastAsia="sk-SK"/>
              </w:rPr>
              <w:t>41 276 265</w:t>
            </w:r>
          </w:p>
        </w:tc>
        <w:tc>
          <w:tcPr>
            <w:tcW w:w="5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35529F" w:rsidRDefault="007D13F3" w:rsidP="00465CAC">
            <w:pPr>
              <w:jc w:val="right"/>
              <w:rPr>
                <w:rFonts w:ascii="Times New Roman" w:hAnsi="Times New Roman" w:cs="Times New Roman"/>
                <w:b/>
                <w:bCs/>
                <w:color w:val="000000"/>
                <w:sz w:val="14"/>
                <w:szCs w:val="14"/>
                <w:lang w:eastAsia="sk-SK"/>
              </w:rPr>
            </w:pPr>
            <w:r w:rsidRPr="0035529F">
              <w:rPr>
                <w:rFonts w:ascii="Times New Roman" w:hAnsi="Times New Roman" w:cs="Times New Roman"/>
                <w:b/>
                <w:bCs/>
                <w:color w:val="000000"/>
                <w:sz w:val="14"/>
                <w:szCs w:val="14"/>
                <w:lang w:eastAsia="sk-SK"/>
              </w:rPr>
              <w:t>41 164 265</w:t>
            </w:r>
          </w:p>
        </w:tc>
        <w:tc>
          <w:tcPr>
            <w:tcW w:w="5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35529F" w:rsidRDefault="007D13F3" w:rsidP="00465CAC">
            <w:pPr>
              <w:jc w:val="right"/>
              <w:rPr>
                <w:rFonts w:ascii="Times New Roman" w:hAnsi="Times New Roman" w:cs="Times New Roman"/>
                <w:b/>
                <w:bCs/>
                <w:color w:val="000000"/>
                <w:sz w:val="14"/>
                <w:szCs w:val="14"/>
                <w:lang w:eastAsia="sk-SK"/>
              </w:rPr>
            </w:pPr>
            <w:r w:rsidRPr="0035529F">
              <w:rPr>
                <w:rFonts w:ascii="Times New Roman" w:hAnsi="Times New Roman" w:cs="Times New Roman"/>
                <w:b/>
                <w:bCs/>
                <w:color w:val="000000"/>
                <w:sz w:val="14"/>
                <w:szCs w:val="14"/>
                <w:lang w:eastAsia="sk-SK"/>
              </w:rPr>
              <w:t>41 164 265</w:t>
            </w:r>
          </w:p>
        </w:tc>
        <w:tc>
          <w:tcPr>
            <w:tcW w:w="5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35529F" w:rsidRDefault="007D13F3" w:rsidP="00465CAC">
            <w:pPr>
              <w:jc w:val="right"/>
              <w:rPr>
                <w:rFonts w:ascii="Times New Roman" w:hAnsi="Times New Roman" w:cs="Times New Roman"/>
                <w:b/>
                <w:bCs/>
                <w:color w:val="000000"/>
                <w:sz w:val="14"/>
                <w:szCs w:val="14"/>
                <w:lang w:eastAsia="sk-SK"/>
              </w:rPr>
            </w:pPr>
            <w:r w:rsidRPr="0035529F">
              <w:rPr>
                <w:rFonts w:ascii="Times New Roman" w:hAnsi="Times New Roman" w:cs="Times New Roman"/>
                <w:b/>
                <w:bCs/>
                <w:color w:val="000000"/>
                <w:sz w:val="14"/>
                <w:szCs w:val="14"/>
                <w:lang w:eastAsia="sk-SK"/>
              </w:rPr>
              <w:t>41 164 265</w:t>
            </w:r>
          </w:p>
        </w:tc>
      </w:tr>
      <w:tr w:rsidR="007D13F3" w:rsidRPr="0035529F" w:rsidTr="00465CAC">
        <w:trPr>
          <w:trHeight w:hRule="exact" w:val="255"/>
        </w:trPr>
        <w:tc>
          <w:tcPr>
            <w:tcW w:w="1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35529F" w:rsidRDefault="007D13F3" w:rsidP="00465CAC">
            <w:pPr>
              <w:rPr>
                <w:rFonts w:ascii="Times New Roman" w:hAnsi="Times New Roman" w:cs="Times New Roman"/>
                <w:color w:val="000000"/>
                <w:sz w:val="14"/>
                <w:szCs w:val="14"/>
                <w:lang w:eastAsia="sk-SK"/>
              </w:rPr>
            </w:pPr>
            <w:r w:rsidRPr="0035529F">
              <w:rPr>
                <w:rFonts w:ascii="Times New Roman" w:hAnsi="Times New Roman" w:cs="Times New Roman"/>
                <w:color w:val="000000"/>
                <w:sz w:val="14"/>
                <w:szCs w:val="14"/>
                <w:lang w:eastAsia="sk-SK"/>
              </w:rPr>
              <w:t>bežné výdavky</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35529F" w:rsidRDefault="007D13F3" w:rsidP="00465CAC">
            <w:pPr>
              <w:jc w:val="right"/>
              <w:rPr>
                <w:rFonts w:ascii="Times New Roman" w:hAnsi="Times New Roman" w:cs="Times New Roman"/>
                <w:color w:val="000000"/>
                <w:sz w:val="14"/>
                <w:szCs w:val="14"/>
                <w:lang w:eastAsia="sk-SK"/>
              </w:rPr>
            </w:pPr>
            <w:r w:rsidRPr="0035529F">
              <w:rPr>
                <w:rFonts w:ascii="Times New Roman" w:hAnsi="Times New Roman" w:cs="Times New Roman"/>
                <w:color w:val="000000"/>
                <w:sz w:val="14"/>
                <w:szCs w:val="14"/>
                <w:lang w:eastAsia="sk-SK"/>
              </w:rPr>
              <w:t>39 349 895</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35529F" w:rsidRDefault="007D13F3" w:rsidP="00465CAC">
            <w:pPr>
              <w:jc w:val="right"/>
              <w:rPr>
                <w:rFonts w:ascii="Times New Roman" w:hAnsi="Times New Roman" w:cs="Times New Roman"/>
                <w:color w:val="000000"/>
                <w:sz w:val="14"/>
                <w:szCs w:val="14"/>
                <w:lang w:eastAsia="sk-SK"/>
              </w:rPr>
            </w:pPr>
            <w:r w:rsidRPr="0035529F">
              <w:rPr>
                <w:rFonts w:ascii="Times New Roman" w:hAnsi="Times New Roman" w:cs="Times New Roman"/>
                <w:color w:val="000000"/>
                <w:sz w:val="14"/>
                <w:szCs w:val="14"/>
                <w:lang w:eastAsia="sk-SK"/>
              </w:rPr>
              <w:t>40 216 154</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35529F" w:rsidRDefault="007D13F3" w:rsidP="00465CAC">
            <w:pPr>
              <w:jc w:val="right"/>
              <w:rPr>
                <w:rFonts w:ascii="Times New Roman" w:hAnsi="Times New Roman" w:cs="Times New Roman"/>
                <w:color w:val="000000"/>
                <w:sz w:val="14"/>
                <w:szCs w:val="14"/>
                <w:lang w:eastAsia="sk-SK"/>
              </w:rPr>
            </w:pPr>
            <w:r w:rsidRPr="0035529F">
              <w:rPr>
                <w:rFonts w:ascii="Times New Roman" w:hAnsi="Times New Roman" w:cs="Times New Roman"/>
                <w:color w:val="000000"/>
                <w:sz w:val="14"/>
                <w:szCs w:val="14"/>
                <w:lang w:eastAsia="sk-SK"/>
              </w:rPr>
              <w:t>40 017 526</w:t>
            </w:r>
          </w:p>
        </w:tc>
        <w:tc>
          <w:tcPr>
            <w:tcW w:w="541" w:type="pct"/>
            <w:tcBorders>
              <w:top w:val="nil"/>
              <w:left w:val="nil"/>
              <w:bottom w:val="single" w:sz="4" w:space="0" w:color="auto"/>
              <w:right w:val="single" w:sz="4" w:space="0" w:color="auto"/>
            </w:tcBorders>
            <w:shd w:val="clear" w:color="000000" w:fill="FFFFFF"/>
            <w:vAlign w:val="bottom"/>
            <w:hideMark/>
          </w:tcPr>
          <w:p w:rsidR="007D13F3" w:rsidRPr="0035529F" w:rsidRDefault="007D13F3" w:rsidP="00465CAC">
            <w:pPr>
              <w:jc w:val="right"/>
              <w:rPr>
                <w:rFonts w:ascii="Times New Roman" w:hAnsi="Times New Roman" w:cs="Times New Roman"/>
                <w:color w:val="000000"/>
                <w:sz w:val="14"/>
                <w:szCs w:val="14"/>
                <w:lang w:eastAsia="sk-SK"/>
              </w:rPr>
            </w:pPr>
            <w:r w:rsidRPr="0035529F">
              <w:rPr>
                <w:rFonts w:ascii="Times New Roman" w:hAnsi="Times New Roman" w:cs="Times New Roman"/>
                <w:color w:val="000000"/>
                <w:sz w:val="14"/>
                <w:szCs w:val="14"/>
                <w:lang w:eastAsia="sk-SK"/>
              </w:rPr>
              <w:t>41 276 265</w:t>
            </w:r>
          </w:p>
        </w:tc>
        <w:tc>
          <w:tcPr>
            <w:tcW w:w="541" w:type="pct"/>
            <w:tcBorders>
              <w:top w:val="nil"/>
              <w:left w:val="nil"/>
              <w:bottom w:val="single" w:sz="4" w:space="0" w:color="auto"/>
              <w:right w:val="single" w:sz="4" w:space="0" w:color="auto"/>
            </w:tcBorders>
            <w:shd w:val="clear" w:color="000000" w:fill="FFFFFF"/>
            <w:vAlign w:val="bottom"/>
            <w:hideMark/>
          </w:tcPr>
          <w:p w:rsidR="007D13F3" w:rsidRPr="0035529F" w:rsidRDefault="007D13F3" w:rsidP="00465CAC">
            <w:pPr>
              <w:jc w:val="right"/>
              <w:rPr>
                <w:rFonts w:ascii="Times New Roman" w:hAnsi="Times New Roman" w:cs="Times New Roman"/>
                <w:color w:val="000000"/>
                <w:sz w:val="14"/>
                <w:szCs w:val="14"/>
                <w:lang w:eastAsia="sk-SK"/>
              </w:rPr>
            </w:pPr>
            <w:r w:rsidRPr="0035529F">
              <w:rPr>
                <w:rFonts w:ascii="Times New Roman" w:hAnsi="Times New Roman" w:cs="Times New Roman"/>
                <w:color w:val="000000"/>
                <w:sz w:val="14"/>
                <w:szCs w:val="14"/>
                <w:lang w:eastAsia="sk-SK"/>
              </w:rPr>
              <w:t>41 164 265</w:t>
            </w:r>
          </w:p>
        </w:tc>
        <w:tc>
          <w:tcPr>
            <w:tcW w:w="541" w:type="pct"/>
            <w:tcBorders>
              <w:top w:val="nil"/>
              <w:left w:val="nil"/>
              <w:bottom w:val="single" w:sz="4" w:space="0" w:color="auto"/>
              <w:right w:val="single" w:sz="4" w:space="0" w:color="auto"/>
            </w:tcBorders>
            <w:shd w:val="clear" w:color="000000" w:fill="FFFFFF"/>
            <w:vAlign w:val="bottom"/>
            <w:hideMark/>
          </w:tcPr>
          <w:p w:rsidR="007D13F3" w:rsidRPr="0035529F" w:rsidRDefault="007D13F3" w:rsidP="00465CAC">
            <w:pPr>
              <w:jc w:val="right"/>
              <w:rPr>
                <w:rFonts w:ascii="Times New Roman" w:hAnsi="Times New Roman" w:cs="Times New Roman"/>
                <w:color w:val="000000"/>
                <w:sz w:val="14"/>
                <w:szCs w:val="14"/>
                <w:lang w:eastAsia="sk-SK"/>
              </w:rPr>
            </w:pPr>
            <w:r w:rsidRPr="0035529F">
              <w:rPr>
                <w:rFonts w:ascii="Times New Roman" w:hAnsi="Times New Roman" w:cs="Times New Roman"/>
                <w:color w:val="000000"/>
                <w:sz w:val="14"/>
                <w:szCs w:val="14"/>
                <w:lang w:eastAsia="sk-SK"/>
              </w:rPr>
              <w:t>41 164 265</w:t>
            </w:r>
          </w:p>
        </w:tc>
        <w:tc>
          <w:tcPr>
            <w:tcW w:w="541" w:type="pct"/>
            <w:tcBorders>
              <w:top w:val="nil"/>
              <w:left w:val="nil"/>
              <w:bottom w:val="single" w:sz="4" w:space="0" w:color="auto"/>
              <w:right w:val="single" w:sz="4" w:space="0" w:color="auto"/>
            </w:tcBorders>
            <w:shd w:val="clear" w:color="000000" w:fill="FFFFFF"/>
            <w:vAlign w:val="bottom"/>
            <w:hideMark/>
          </w:tcPr>
          <w:p w:rsidR="007D13F3" w:rsidRPr="0035529F" w:rsidRDefault="007D13F3" w:rsidP="00465CAC">
            <w:pPr>
              <w:jc w:val="right"/>
              <w:rPr>
                <w:rFonts w:ascii="Times New Roman" w:hAnsi="Times New Roman" w:cs="Times New Roman"/>
                <w:color w:val="000000"/>
                <w:sz w:val="14"/>
                <w:szCs w:val="14"/>
                <w:lang w:eastAsia="sk-SK"/>
              </w:rPr>
            </w:pPr>
            <w:r w:rsidRPr="0035529F">
              <w:rPr>
                <w:rFonts w:ascii="Times New Roman" w:hAnsi="Times New Roman" w:cs="Times New Roman"/>
                <w:color w:val="000000"/>
                <w:sz w:val="14"/>
                <w:szCs w:val="14"/>
                <w:lang w:eastAsia="sk-SK"/>
              </w:rPr>
              <w:t>41 164 265</w:t>
            </w:r>
          </w:p>
        </w:tc>
      </w:tr>
    </w:tbl>
    <w:p w:rsidR="007D13F3" w:rsidRPr="006339EF" w:rsidRDefault="007D13F3" w:rsidP="007D13F3">
      <w:pPr>
        <w:jc w:val="both"/>
        <w:rPr>
          <w:rFonts w:ascii="Times New Roman" w:hAnsi="Times New Roman" w:cs="Times New Roman"/>
          <w:color w:val="FF0000"/>
          <w:lang w:eastAsia="sk-SK"/>
        </w:rPr>
      </w:pPr>
    </w:p>
    <w:p w:rsidR="007D13F3" w:rsidRPr="0003125D" w:rsidRDefault="007D13F3" w:rsidP="007D13F3">
      <w:pPr>
        <w:ind w:firstLine="708"/>
        <w:jc w:val="both"/>
        <w:rPr>
          <w:rFonts w:ascii="Times New Roman" w:hAnsi="Times New Roman" w:cs="Times New Roman"/>
        </w:rPr>
      </w:pPr>
      <w:r w:rsidRPr="0003125D">
        <w:rPr>
          <w:rFonts w:ascii="Times New Roman" w:hAnsi="Times New Roman" w:cs="Times New Roman"/>
        </w:rPr>
        <w:t>Objem prostriedkov rozpočtovaný pre cirkvi a náboženské spoločnosti je na rok 201</w:t>
      </w:r>
      <w:r>
        <w:rPr>
          <w:rFonts w:ascii="Times New Roman" w:hAnsi="Times New Roman" w:cs="Times New Roman"/>
        </w:rPr>
        <w:t>8</w:t>
      </w:r>
      <w:r w:rsidRPr="0003125D">
        <w:rPr>
          <w:rFonts w:ascii="Times New Roman" w:hAnsi="Times New Roman" w:cs="Times New Roman"/>
        </w:rPr>
        <w:t xml:space="preserve"> </w:t>
      </w:r>
      <w:r>
        <w:rPr>
          <w:rFonts w:ascii="Times New Roman" w:hAnsi="Times New Roman" w:cs="Times New Roman"/>
        </w:rPr>
        <w:t>z</w:t>
      </w:r>
      <w:r w:rsidRPr="0003125D">
        <w:rPr>
          <w:rFonts w:ascii="Times New Roman" w:hAnsi="Times New Roman" w:cs="Times New Roman"/>
        </w:rPr>
        <w:t>výšený o</w:t>
      </w:r>
      <w:r>
        <w:rPr>
          <w:rFonts w:ascii="Times New Roman" w:hAnsi="Times New Roman" w:cs="Times New Roman"/>
        </w:rPr>
        <w:t> 1,15</w:t>
      </w:r>
      <w:r w:rsidRPr="0003125D">
        <w:rPr>
          <w:rFonts w:ascii="Times New Roman" w:hAnsi="Times New Roman" w:cs="Times New Roman"/>
        </w:rPr>
        <w:t xml:space="preserve"> </w:t>
      </w:r>
      <w:r>
        <w:rPr>
          <w:rFonts w:ascii="Times New Roman" w:hAnsi="Times New Roman" w:cs="Times New Roman"/>
        </w:rPr>
        <w:t>mil. eur,</w:t>
      </w:r>
      <w:r w:rsidRPr="0003125D">
        <w:rPr>
          <w:rFonts w:ascii="Times New Roman" w:hAnsi="Times New Roman" w:cs="Times New Roman"/>
        </w:rPr>
        <w:t xml:space="preserve"> t. j. o</w:t>
      </w:r>
      <w:r>
        <w:rPr>
          <w:rFonts w:ascii="Times New Roman" w:hAnsi="Times New Roman" w:cs="Times New Roman"/>
        </w:rPr>
        <w:t> 2,87</w:t>
      </w:r>
      <w:r w:rsidRPr="0003125D">
        <w:rPr>
          <w:rFonts w:ascii="Times New Roman" w:hAnsi="Times New Roman" w:cs="Times New Roman"/>
        </w:rPr>
        <w:t xml:space="preserve"> % v súvislosti so zapracovaním valorizácie platov duchovných</w:t>
      </w:r>
      <w:r>
        <w:rPr>
          <w:rFonts w:ascii="Times New Roman" w:hAnsi="Times New Roman" w:cs="Times New Roman"/>
        </w:rPr>
        <w:t xml:space="preserve"> z roku 2017.</w:t>
      </w:r>
    </w:p>
    <w:p w:rsidR="007D13F3" w:rsidRPr="0003125D" w:rsidRDefault="007D13F3" w:rsidP="007D13F3">
      <w:pPr>
        <w:jc w:val="both"/>
        <w:rPr>
          <w:rFonts w:ascii="Times New Roman" w:hAnsi="Times New Roman" w:cs="Times New Roman"/>
          <w:color w:val="FF0000"/>
        </w:rPr>
      </w:pPr>
    </w:p>
    <w:p w:rsidR="007D13F3" w:rsidRPr="0003125D" w:rsidRDefault="007D13F3" w:rsidP="007D13F3">
      <w:pPr>
        <w:ind w:firstLine="708"/>
        <w:jc w:val="both"/>
        <w:rPr>
          <w:rFonts w:ascii="Times New Roman" w:hAnsi="Times New Roman" w:cs="Times New Roman"/>
        </w:rPr>
      </w:pPr>
      <w:r w:rsidRPr="0003125D">
        <w:rPr>
          <w:rFonts w:ascii="Times New Roman" w:hAnsi="Times New Roman" w:cs="Times New Roman"/>
        </w:rPr>
        <w:t>Z rozpočtovaných prostriedkov sa financujú platy a poistné duchovných, prevádzka ústredí cirkví a náboženských spoločností a charitných domov (domovy dôchodcov pre kňazov). Výdavky na úhradu nákladov súvisiacich so zameraním vydaných nehnuteľností pre cirkvi a náboženské spoločnosti podľa zákona č. 282/1993 Z. z. o zmiernení niektorých majetkových krívd spôsobených cirkvám a náboženským spoločnostiam sú zahrnuté v administratívnej oblasti kapitoly.</w:t>
      </w:r>
    </w:p>
    <w:p w:rsidR="007D13F3" w:rsidRPr="0003125D" w:rsidRDefault="007D13F3" w:rsidP="007D13F3">
      <w:pPr>
        <w:jc w:val="both"/>
        <w:rPr>
          <w:rFonts w:ascii="Times New Roman" w:hAnsi="Times New Roman" w:cs="Times New Roman"/>
          <w:color w:val="FF0000"/>
        </w:rPr>
      </w:pPr>
    </w:p>
    <w:p w:rsidR="007D13F3" w:rsidRDefault="007D13F3" w:rsidP="007D13F3">
      <w:pPr>
        <w:jc w:val="both"/>
        <w:rPr>
          <w:rFonts w:ascii="Times New Roman" w:hAnsi="Times New Roman" w:cs="Times New Roman"/>
          <w:b/>
        </w:rPr>
      </w:pPr>
      <w:r w:rsidRPr="0003125D">
        <w:rPr>
          <w:rFonts w:ascii="Times New Roman" w:hAnsi="Times New Roman" w:cs="Times New Roman"/>
          <w:b/>
        </w:rPr>
        <w:t>Aparát a iné výdavkové tituly</w:t>
      </w:r>
    </w:p>
    <w:p w:rsidR="007D13F3" w:rsidRDefault="007D13F3" w:rsidP="007D13F3">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2244"/>
        <w:gridCol w:w="983"/>
        <w:gridCol w:w="983"/>
        <w:gridCol w:w="983"/>
        <w:gridCol w:w="967"/>
        <w:gridCol w:w="967"/>
        <w:gridCol w:w="967"/>
        <w:gridCol w:w="968"/>
      </w:tblGrid>
      <w:tr w:rsidR="007D13F3" w:rsidRPr="001576D1" w:rsidTr="00465CAC">
        <w:trPr>
          <w:trHeight w:hRule="exact" w:val="255"/>
        </w:trPr>
        <w:tc>
          <w:tcPr>
            <w:tcW w:w="1186"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1576D1" w:rsidRDefault="007D13F3" w:rsidP="00465CAC">
            <w:pP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v eurách</w:t>
            </w:r>
          </w:p>
        </w:tc>
        <w:tc>
          <w:tcPr>
            <w:tcW w:w="550"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2015 S</w:t>
            </w:r>
          </w:p>
        </w:tc>
        <w:tc>
          <w:tcPr>
            <w:tcW w:w="550"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2016 S</w:t>
            </w:r>
          </w:p>
        </w:tc>
        <w:tc>
          <w:tcPr>
            <w:tcW w:w="550"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2017 R</w:t>
            </w:r>
          </w:p>
        </w:tc>
        <w:tc>
          <w:tcPr>
            <w:tcW w:w="5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2017 OS</w:t>
            </w:r>
          </w:p>
        </w:tc>
        <w:tc>
          <w:tcPr>
            <w:tcW w:w="5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 xml:space="preserve"> 2018 N</w:t>
            </w:r>
          </w:p>
        </w:tc>
        <w:tc>
          <w:tcPr>
            <w:tcW w:w="5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 xml:space="preserve"> 2019 N</w:t>
            </w:r>
          </w:p>
        </w:tc>
        <w:tc>
          <w:tcPr>
            <w:tcW w:w="54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1576D1" w:rsidRDefault="007D13F3" w:rsidP="00465CAC">
            <w:pPr>
              <w:jc w:val="center"/>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 xml:space="preserve"> 2020 N</w:t>
            </w:r>
          </w:p>
        </w:tc>
      </w:tr>
      <w:tr w:rsidR="007D13F3" w:rsidRPr="001576D1" w:rsidTr="00465CAC">
        <w:trPr>
          <w:trHeight w:hRule="exact" w:val="255"/>
        </w:trPr>
        <w:tc>
          <w:tcPr>
            <w:tcW w:w="1186"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1576D1" w:rsidRDefault="007D13F3" w:rsidP="00465CAC">
            <w:pPr>
              <w:jc w:val="both"/>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Aparát a iné výdavkové tituly</w:t>
            </w:r>
          </w:p>
        </w:tc>
        <w:tc>
          <w:tcPr>
            <w:tcW w:w="550"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54 552 539</w:t>
            </w:r>
          </w:p>
        </w:tc>
        <w:tc>
          <w:tcPr>
            <w:tcW w:w="550"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13 692 883</w:t>
            </w:r>
          </w:p>
        </w:tc>
        <w:tc>
          <w:tcPr>
            <w:tcW w:w="550"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8 939 804</w:t>
            </w:r>
          </w:p>
        </w:tc>
        <w:tc>
          <w:tcPr>
            <w:tcW w:w="5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9 043 063</w:t>
            </w:r>
          </w:p>
        </w:tc>
        <w:tc>
          <w:tcPr>
            <w:tcW w:w="5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9 346 014</w:t>
            </w:r>
          </w:p>
        </w:tc>
        <w:tc>
          <w:tcPr>
            <w:tcW w:w="5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9 346 014</w:t>
            </w:r>
          </w:p>
        </w:tc>
        <w:tc>
          <w:tcPr>
            <w:tcW w:w="541"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1576D1" w:rsidRDefault="007D13F3" w:rsidP="00465CAC">
            <w:pPr>
              <w:jc w:val="right"/>
              <w:rPr>
                <w:rFonts w:ascii="Times New Roman" w:hAnsi="Times New Roman" w:cs="Times New Roman"/>
                <w:b/>
                <w:bCs/>
                <w:color w:val="000000"/>
                <w:sz w:val="14"/>
                <w:szCs w:val="14"/>
                <w:lang w:eastAsia="sk-SK"/>
              </w:rPr>
            </w:pPr>
            <w:r w:rsidRPr="001576D1">
              <w:rPr>
                <w:rFonts w:ascii="Times New Roman" w:hAnsi="Times New Roman" w:cs="Times New Roman"/>
                <w:b/>
                <w:bCs/>
                <w:color w:val="000000"/>
                <w:sz w:val="14"/>
                <w:szCs w:val="14"/>
                <w:lang w:eastAsia="sk-SK"/>
              </w:rPr>
              <w:t>9 346 014</w:t>
            </w:r>
          </w:p>
        </w:tc>
      </w:tr>
      <w:tr w:rsidR="007D13F3" w:rsidRPr="001576D1" w:rsidTr="00465CAC">
        <w:trPr>
          <w:trHeight w:hRule="exact" w:val="255"/>
        </w:trPr>
        <w:tc>
          <w:tcPr>
            <w:tcW w:w="1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Koncepčná a riadiaca činnosť</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11 309 747</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9 596 533</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8 937 148</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8 400 826</w:t>
            </w:r>
          </w:p>
        </w:tc>
        <w:tc>
          <w:tcPr>
            <w:tcW w:w="541" w:type="pct"/>
            <w:tcBorders>
              <w:top w:val="nil"/>
              <w:left w:val="nil"/>
              <w:bottom w:val="single" w:sz="4" w:space="0" w:color="auto"/>
              <w:right w:val="single" w:sz="4" w:space="0" w:color="auto"/>
            </w:tcBorders>
            <w:shd w:val="clear" w:color="auto" w:fill="auto"/>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9 343 358</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9 343 358</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9 343 358</w:t>
            </w:r>
          </w:p>
        </w:tc>
      </w:tr>
      <w:tr w:rsidR="007D13F3" w:rsidRPr="001576D1" w:rsidTr="00465CAC">
        <w:trPr>
          <w:trHeight w:hRule="exact" w:val="255"/>
        </w:trPr>
        <w:tc>
          <w:tcPr>
            <w:tcW w:w="1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EHMK (08S010E+08T010D)</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363 520</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49 997</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r>
      <w:tr w:rsidR="007D13F3" w:rsidRPr="001576D1" w:rsidTr="00465CAC">
        <w:trPr>
          <w:trHeight w:hRule="exact" w:val="255"/>
        </w:trPr>
        <w:tc>
          <w:tcPr>
            <w:tcW w:w="1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Ostatné výdavky (štrukturálne fondy)</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39 159 883</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2 430 847</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635 282</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r>
      <w:tr w:rsidR="007D13F3" w:rsidRPr="001576D1" w:rsidTr="00465CAC">
        <w:trPr>
          <w:trHeight w:hRule="exact" w:val="255"/>
        </w:trPr>
        <w:tc>
          <w:tcPr>
            <w:tcW w:w="1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 xml:space="preserve">Hospodárska mobilizácia  </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2 656</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50" w:type="pct"/>
            <w:tcBorders>
              <w:top w:val="nil"/>
              <w:left w:val="nil"/>
              <w:bottom w:val="single" w:sz="4" w:space="0" w:color="auto"/>
              <w:right w:val="single" w:sz="4" w:space="0" w:color="auto"/>
            </w:tcBorders>
            <w:shd w:val="clear" w:color="000000" w:fill="FFFFFF"/>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2 656</w:t>
            </w:r>
          </w:p>
        </w:tc>
        <w:tc>
          <w:tcPr>
            <w:tcW w:w="541" w:type="pct"/>
            <w:tcBorders>
              <w:top w:val="nil"/>
              <w:left w:val="nil"/>
              <w:bottom w:val="single" w:sz="4" w:space="0" w:color="auto"/>
              <w:right w:val="single" w:sz="4" w:space="0" w:color="auto"/>
            </w:tcBorders>
            <w:shd w:val="clear" w:color="000000" w:fill="FFFFFF"/>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2 656</w:t>
            </w:r>
          </w:p>
        </w:tc>
        <w:tc>
          <w:tcPr>
            <w:tcW w:w="541" w:type="pct"/>
            <w:tcBorders>
              <w:top w:val="nil"/>
              <w:left w:val="nil"/>
              <w:bottom w:val="single" w:sz="4" w:space="0" w:color="auto"/>
              <w:right w:val="single" w:sz="4" w:space="0" w:color="auto"/>
            </w:tcBorders>
            <w:shd w:val="clear" w:color="000000" w:fill="FFFFFF"/>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2 656</w:t>
            </w:r>
          </w:p>
        </w:tc>
        <w:tc>
          <w:tcPr>
            <w:tcW w:w="541" w:type="pct"/>
            <w:tcBorders>
              <w:top w:val="nil"/>
              <w:left w:val="nil"/>
              <w:bottom w:val="single" w:sz="4" w:space="0" w:color="auto"/>
              <w:right w:val="single" w:sz="4" w:space="0" w:color="auto"/>
            </w:tcBorders>
            <w:shd w:val="clear" w:color="000000" w:fill="FFFFFF"/>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2 656</w:t>
            </w:r>
          </w:p>
        </w:tc>
        <w:tc>
          <w:tcPr>
            <w:tcW w:w="541" w:type="pct"/>
            <w:tcBorders>
              <w:top w:val="nil"/>
              <w:left w:val="nil"/>
              <w:bottom w:val="single" w:sz="4" w:space="0" w:color="auto"/>
              <w:right w:val="single" w:sz="4" w:space="0" w:color="auto"/>
            </w:tcBorders>
            <w:shd w:val="clear" w:color="000000" w:fill="FFFFFF"/>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2 656</w:t>
            </w:r>
          </w:p>
        </w:tc>
      </w:tr>
      <w:tr w:rsidR="007D13F3" w:rsidRPr="001576D1" w:rsidTr="00465CAC">
        <w:trPr>
          <w:trHeight w:hRule="exact" w:val="255"/>
        </w:trPr>
        <w:tc>
          <w:tcPr>
            <w:tcW w:w="1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1576D1" w:rsidRDefault="007D13F3" w:rsidP="00465CAC">
            <w:pPr>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SK PRES</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3 716 733</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1 615 506</w:t>
            </w:r>
          </w:p>
        </w:tc>
        <w:tc>
          <w:tcPr>
            <w:tcW w:w="550"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4 299</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c>
          <w:tcPr>
            <w:tcW w:w="541" w:type="pct"/>
            <w:tcBorders>
              <w:top w:val="nil"/>
              <w:left w:val="nil"/>
              <w:bottom w:val="single" w:sz="4" w:space="0" w:color="auto"/>
              <w:right w:val="single" w:sz="4" w:space="0" w:color="auto"/>
            </w:tcBorders>
            <w:shd w:val="clear" w:color="000000" w:fill="FFFFFF"/>
            <w:noWrap/>
            <w:vAlign w:val="bottom"/>
            <w:hideMark/>
          </w:tcPr>
          <w:p w:rsidR="007D13F3" w:rsidRPr="001576D1" w:rsidRDefault="007D13F3" w:rsidP="00465CAC">
            <w:pPr>
              <w:jc w:val="right"/>
              <w:rPr>
                <w:rFonts w:ascii="Times New Roman" w:hAnsi="Times New Roman" w:cs="Times New Roman"/>
                <w:color w:val="000000"/>
                <w:sz w:val="14"/>
                <w:szCs w:val="14"/>
                <w:lang w:eastAsia="sk-SK"/>
              </w:rPr>
            </w:pPr>
            <w:r w:rsidRPr="001576D1">
              <w:rPr>
                <w:rFonts w:ascii="Times New Roman" w:hAnsi="Times New Roman" w:cs="Times New Roman"/>
                <w:color w:val="000000"/>
                <w:sz w:val="14"/>
                <w:szCs w:val="14"/>
                <w:lang w:eastAsia="sk-SK"/>
              </w:rPr>
              <w:t>0</w:t>
            </w:r>
          </w:p>
        </w:tc>
      </w:tr>
    </w:tbl>
    <w:p w:rsidR="007D13F3" w:rsidRPr="000B7204" w:rsidRDefault="007D13F3" w:rsidP="007D13F3">
      <w:pPr>
        <w:jc w:val="both"/>
        <w:rPr>
          <w:rFonts w:ascii="Times New Roman" w:hAnsi="Times New Roman" w:cs="Times New Roman"/>
          <w:lang w:eastAsia="sk-SK"/>
        </w:rPr>
      </w:pPr>
    </w:p>
    <w:p w:rsidR="007D13F3" w:rsidRPr="0003125D" w:rsidRDefault="007D13F3" w:rsidP="007D13F3">
      <w:pPr>
        <w:ind w:firstLine="708"/>
        <w:jc w:val="both"/>
        <w:rPr>
          <w:rFonts w:ascii="Times New Roman" w:hAnsi="Times New Roman" w:cs="Times New Roman"/>
        </w:rPr>
      </w:pPr>
      <w:r w:rsidRPr="0003125D">
        <w:rPr>
          <w:rFonts w:ascii="Times New Roman" w:hAnsi="Times New Roman" w:cs="Times New Roman"/>
        </w:rPr>
        <w:t>V roku 201</w:t>
      </w:r>
      <w:r>
        <w:rPr>
          <w:rFonts w:ascii="Times New Roman" w:hAnsi="Times New Roman" w:cs="Times New Roman"/>
        </w:rPr>
        <w:t>8</w:t>
      </w:r>
      <w:r w:rsidRPr="0003125D">
        <w:rPr>
          <w:rFonts w:ascii="Times New Roman" w:hAnsi="Times New Roman" w:cs="Times New Roman"/>
        </w:rPr>
        <w:t xml:space="preserve"> má kapitola na administratívu k dispozícii </w:t>
      </w:r>
      <w:r>
        <w:rPr>
          <w:rFonts w:ascii="Times New Roman" w:hAnsi="Times New Roman" w:cs="Times New Roman"/>
        </w:rPr>
        <w:t>9,3</w:t>
      </w:r>
      <w:r w:rsidR="00431F54">
        <w:rPr>
          <w:rFonts w:ascii="Times New Roman" w:hAnsi="Times New Roman" w:cs="Times New Roman"/>
        </w:rPr>
        <w:t>5</w:t>
      </w:r>
      <w:r w:rsidRPr="0003125D">
        <w:rPr>
          <w:rFonts w:ascii="Times New Roman" w:hAnsi="Times New Roman" w:cs="Times New Roman"/>
        </w:rPr>
        <w:t xml:space="preserve"> mil. eur určených na krytie výdavkov na koncepčn</w:t>
      </w:r>
      <w:r>
        <w:rPr>
          <w:rFonts w:ascii="Times New Roman" w:hAnsi="Times New Roman" w:cs="Times New Roman"/>
        </w:rPr>
        <w:t>ú a riadiacu činnosť</w:t>
      </w:r>
      <w:r w:rsidRPr="0003125D">
        <w:rPr>
          <w:rFonts w:ascii="Times New Roman" w:hAnsi="Times New Roman" w:cs="Times New Roman"/>
        </w:rPr>
        <w:t xml:space="preserve"> a hospodársku mobilizáciu. </w:t>
      </w:r>
      <w:r>
        <w:rPr>
          <w:rFonts w:ascii="Times New Roman" w:hAnsi="Times New Roman" w:cs="Times New Roman"/>
        </w:rPr>
        <w:t xml:space="preserve">Nárast o 406 tis. eur, </w:t>
      </w:r>
      <w:r w:rsidR="005415D5">
        <w:rPr>
          <w:rFonts w:ascii="Times New Roman" w:hAnsi="Times New Roman" w:cs="Times New Roman"/>
        </w:rPr>
        <w:br/>
      </w:r>
      <w:r>
        <w:rPr>
          <w:rFonts w:ascii="Times New Roman" w:hAnsi="Times New Roman" w:cs="Times New Roman"/>
        </w:rPr>
        <w:t xml:space="preserve">t. j. o 4,54 % </w:t>
      </w:r>
      <w:r w:rsidRPr="0003125D">
        <w:rPr>
          <w:rFonts w:ascii="Times New Roman" w:hAnsi="Times New Roman" w:cs="Times New Roman"/>
        </w:rPr>
        <w:t xml:space="preserve">je </w:t>
      </w:r>
      <w:r>
        <w:rPr>
          <w:rFonts w:ascii="Times New Roman" w:hAnsi="Times New Roman" w:cs="Times New Roman"/>
        </w:rPr>
        <w:t>z </w:t>
      </w:r>
      <w:r w:rsidRPr="0003125D">
        <w:rPr>
          <w:rFonts w:ascii="Times New Roman" w:hAnsi="Times New Roman" w:cs="Times New Roman"/>
        </w:rPr>
        <w:t>dôvod</w:t>
      </w:r>
      <w:r>
        <w:rPr>
          <w:rFonts w:ascii="Times New Roman" w:hAnsi="Times New Roman" w:cs="Times New Roman"/>
        </w:rPr>
        <w:t xml:space="preserve">u zapracovania valorizácie platov zamestnancov aparátu z roku 2017 a zvýšenie počtu zamestnancov o 14 osôb. </w:t>
      </w:r>
    </w:p>
    <w:p w:rsidR="007D13F3" w:rsidRDefault="007D13F3" w:rsidP="007D13F3">
      <w:pPr>
        <w:jc w:val="both"/>
        <w:rPr>
          <w:rFonts w:ascii="Times New Roman" w:hAnsi="Times New Roman" w:cs="Times New Roman"/>
          <w:color w:val="FF0000"/>
        </w:rPr>
      </w:pPr>
    </w:p>
    <w:p w:rsidR="007D13F3" w:rsidRPr="0003125D" w:rsidRDefault="007D13F3" w:rsidP="007D13F3">
      <w:pPr>
        <w:jc w:val="both"/>
        <w:rPr>
          <w:rFonts w:ascii="Times New Roman" w:hAnsi="Times New Roman" w:cs="Times New Roman"/>
        </w:rPr>
      </w:pPr>
      <w:r>
        <w:rPr>
          <w:rFonts w:ascii="Times New Roman" w:hAnsi="Times New Roman" w:cs="Times New Roman"/>
          <w:color w:val="FF0000"/>
        </w:rPr>
        <w:tab/>
      </w:r>
      <w:r w:rsidRPr="0003125D">
        <w:rPr>
          <w:rFonts w:ascii="Times New Roman" w:hAnsi="Times New Roman" w:cs="Times New Roman"/>
        </w:rPr>
        <w:t>V rámci koncepčnej a riadiacej činnosti sú okrem výdavkov na mimoriadne kultúrne aktivity alokované výdavky na aparát kapitoly, výdavky určené na úhradu nákladov súvisiacich so zameraním vydaných nehnuteľností pre cirkvi a náboženské spoločnosti a zvyšnú časť tvoria výdavky na vzdelávanie.</w:t>
      </w:r>
    </w:p>
    <w:p w:rsidR="007D13F3" w:rsidRPr="0003125D" w:rsidRDefault="007D13F3" w:rsidP="007D13F3">
      <w:pPr>
        <w:jc w:val="both"/>
        <w:rPr>
          <w:rFonts w:ascii="Times New Roman" w:hAnsi="Times New Roman" w:cs="Times New Roman"/>
          <w:color w:val="FF0000"/>
        </w:rPr>
      </w:pPr>
    </w:p>
    <w:p w:rsidR="007D13F3" w:rsidRDefault="007D13F3" w:rsidP="007D13F3">
      <w:pPr>
        <w:ind w:firstLine="708"/>
        <w:jc w:val="both"/>
        <w:rPr>
          <w:rFonts w:ascii="Times New Roman" w:hAnsi="Times New Roman" w:cs="Times New Roman"/>
        </w:rPr>
      </w:pPr>
      <w:r w:rsidRPr="0003125D">
        <w:rPr>
          <w:rFonts w:ascii="Times New Roman" w:hAnsi="Times New Roman" w:cs="Times New Roman"/>
        </w:rPr>
        <w:t>Prostriedky na hospodársku mobilizáciu zachovávajú úroveň schváleného rozpočtu na rok 201</w:t>
      </w:r>
      <w:r>
        <w:rPr>
          <w:rFonts w:ascii="Times New Roman" w:hAnsi="Times New Roman" w:cs="Times New Roman"/>
        </w:rPr>
        <w:t>7</w:t>
      </w:r>
      <w:r w:rsidRPr="0003125D">
        <w:rPr>
          <w:rFonts w:ascii="Times New Roman" w:hAnsi="Times New Roman" w:cs="Times New Roman"/>
        </w:rPr>
        <w:t>.</w:t>
      </w:r>
    </w:p>
    <w:p w:rsidR="007D13F3" w:rsidRDefault="007D13F3" w:rsidP="007D13F3">
      <w:pPr>
        <w:spacing w:after="160" w:line="259" w:lineRule="auto"/>
        <w:rPr>
          <w:rFonts w:ascii="Times New Roman" w:hAnsi="Times New Roman" w:cs="Times New Roman"/>
        </w:rPr>
      </w:pPr>
      <w:r>
        <w:rPr>
          <w:rFonts w:ascii="Times New Roman" w:hAnsi="Times New Roman" w:cs="Times New Roman"/>
        </w:rPr>
        <w:br w:type="page"/>
      </w:r>
    </w:p>
    <w:p w:rsidR="007D13F3" w:rsidRPr="00E91385" w:rsidRDefault="007D13F3" w:rsidP="007D13F3">
      <w:pPr>
        <w:jc w:val="both"/>
        <w:rPr>
          <w:rFonts w:ascii="Times New Roman" w:hAnsi="Times New Roman" w:cs="Times New Roman"/>
          <w:b/>
        </w:rPr>
      </w:pPr>
      <w:r w:rsidRPr="00B958BF">
        <w:rPr>
          <w:rFonts w:ascii="Times New Roman" w:hAnsi="Times New Roman" w:cs="Times New Roman"/>
          <w:b/>
        </w:rPr>
        <w:lastRenderedPageBreak/>
        <w:t>Informačné technológie financované zo štátneho rozpočtu</w:t>
      </w:r>
    </w:p>
    <w:p w:rsidR="007D13F3" w:rsidRDefault="007D13F3" w:rsidP="007D13F3">
      <w:pPr>
        <w:ind w:firstLine="708"/>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0"/>
        <w:gridCol w:w="897"/>
        <w:gridCol w:w="897"/>
        <w:gridCol w:w="897"/>
        <w:gridCol w:w="881"/>
        <w:gridCol w:w="881"/>
        <w:gridCol w:w="881"/>
        <w:gridCol w:w="878"/>
      </w:tblGrid>
      <w:tr w:rsidR="007D13F3" w:rsidRPr="00B958BF" w:rsidTr="00465CAC">
        <w:trPr>
          <w:trHeight w:hRule="exact" w:val="255"/>
        </w:trPr>
        <w:tc>
          <w:tcPr>
            <w:tcW w:w="1300" w:type="pct"/>
            <w:shd w:val="pct35" w:color="000000" w:fill="auto"/>
            <w:noWrap/>
            <w:vAlign w:val="center"/>
            <w:hideMark/>
          </w:tcPr>
          <w:p w:rsidR="007D13F3" w:rsidRPr="00B958BF" w:rsidRDefault="007D13F3" w:rsidP="00465CAC">
            <w:pPr>
              <w:rPr>
                <w:rFonts w:ascii="Times New Roman" w:hAnsi="Times New Roman" w:cs="Times New Roman"/>
                <w:b/>
                <w:bCs/>
                <w:color w:val="000000"/>
                <w:sz w:val="14"/>
                <w:szCs w:val="14"/>
                <w:lang w:eastAsia="sk-SK"/>
              </w:rPr>
            </w:pPr>
            <w:r w:rsidRPr="00B958BF">
              <w:rPr>
                <w:rFonts w:ascii="Times New Roman" w:hAnsi="Times New Roman" w:cs="Times New Roman"/>
                <w:b/>
                <w:bCs/>
                <w:color w:val="000000"/>
                <w:sz w:val="14"/>
                <w:szCs w:val="14"/>
                <w:lang w:eastAsia="sk-SK"/>
              </w:rPr>
              <w:t>v eurách</w:t>
            </w:r>
          </w:p>
        </w:tc>
        <w:tc>
          <w:tcPr>
            <w:tcW w:w="534" w:type="pct"/>
            <w:shd w:val="pct35" w:color="000000" w:fill="auto"/>
            <w:noWrap/>
            <w:vAlign w:val="center"/>
            <w:hideMark/>
          </w:tcPr>
          <w:p w:rsidR="007D13F3" w:rsidRPr="00B958BF" w:rsidRDefault="007D13F3" w:rsidP="00465CAC">
            <w:pPr>
              <w:jc w:val="center"/>
              <w:rPr>
                <w:rFonts w:ascii="Times New Roman" w:hAnsi="Times New Roman" w:cs="Times New Roman"/>
                <w:b/>
                <w:bCs/>
                <w:color w:val="000000"/>
                <w:sz w:val="14"/>
                <w:szCs w:val="14"/>
                <w:lang w:eastAsia="sk-SK"/>
              </w:rPr>
            </w:pPr>
            <w:r w:rsidRPr="00B958BF">
              <w:rPr>
                <w:rFonts w:ascii="Times New Roman" w:hAnsi="Times New Roman" w:cs="Times New Roman"/>
                <w:b/>
                <w:bCs/>
                <w:color w:val="000000"/>
                <w:sz w:val="14"/>
                <w:szCs w:val="14"/>
                <w:lang w:eastAsia="sk-SK"/>
              </w:rPr>
              <w:t>2015 S</w:t>
            </w:r>
          </w:p>
        </w:tc>
        <w:tc>
          <w:tcPr>
            <w:tcW w:w="534" w:type="pct"/>
            <w:shd w:val="pct35" w:color="000000" w:fill="auto"/>
            <w:noWrap/>
            <w:vAlign w:val="center"/>
            <w:hideMark/>
          </w:tcPr>
          <w:p w:rsidR="007D13F3" w:rsidRPr="00B958BF" w:rsidRDefault="007D13F3" w:rsidP="00465CAC">
            <w:pPr>
              <w:jc w:val="center"/>
              <w:rPr>
                <w:rFonts w:ascii="Times New Roman" w:hAnsi="Times New Roman" w:cs="Times New Roman"/>
                <w:b/>
                <w:bCs/>
                <w:color w:val="000000"/>
                <w:sz w:val="14"/>
                <w:szCs w:val="14"/>
                <w:lang w:eastAsia="sk-SK"/>
              </w:rPr>
            </w:pPr>
            <w:r w:rsidRPr="00B958BF">
              <w:rPr>
                <w:rFonts w:ascii="Times New Roman" w:hAnsi="Times New Roman" w:cs="Times New Roman"/>
                <w:b/>
                <w:bCs/>
                <w:color w:val="000000"/>
                <w:sz w:val="14"/>
                <w:szCs w:val="14"/>
                <w:lang w:eastAsia="sk-SK"/>
              </w:rPr>
              <w:t>2016 S</w:t>
            </w:r>
          </w:p>
        </w:tc>
        <w:tc>
          <w:tcPr>
            <w:tcW w:w="534" w:type="pct"/>
            <w:shd w:val="pct35" w:color="000000" w:fill="auto"/>
            <w:noWrap/>
            <w:vAlign w:val="center"/>
            <w:hideMark/>
          </w:tcPr>
          <w:p w:rsidR="007D13F3" w:rsidRPr="00B958BF" w:rsidRDefault="007D13F3" w:rsidP="00465CAC">
            <w:pPr>
              <w:jc w:val="center"/>
              <w:rPr>
                <w:rFonts w:ascii="Times New Roman" w:hAnsi="Times New Roman" w:cs="Times New Roman"/>
                <w:b/>
                <w:bCs/>
                <w:color w:val="000000"/>
                <w:sz w:val="14"/>
                <w:szCs w:val="14"/>
                <w:lang w:eastAsia="sk-SK"/>
              </w:rPr>
            </w:pPr>
            <w:r w:rsidRPr="00B958BF">
              <w:rPr>
                <w:rFonts w:ascii="Times New Roman" w:hAnsi="Times New Roman" w:cs="Times New Roman"/>
                <w:b/>
                <w:bCs/>
                <w:color w:val="000000"/>
                <w:sz w:val="14"/>
                <w:szCs w:val="14"/>
                <w:lang w:eastAsia="sk-SK"/>
              </w:rPr>
              <w:t>2017 R</w:t>
            </w:r>
          </w:p>
        </w:tc>
        <w:tc>
          <w:tcPr>
            <w:tcW w:w="525" w:type="pct"/>
            <w:shd w:val="pct35" w:color="000000" w:fill="auto"/>
            <w:noWrap/>
            <w:vAlign w:val="center"/>
            <w:hideMark/>
          </w:tcPr>
          <w:p w:rsidR="007D13F3" w:rsidRPr="00B958BF" w:rsidRDefault="007D13F3" w:rsidP="00465CAC">
            <w:pPr>
              <w:jc w:val="center"/>
              <w:rPr>
                <w:rFonts w:ascii="Times New Roman" w:hAnsi="Times New Roman" w:cs="Times New Roman"/>
                <w:b/>
                <w:bCs/>
                <w:color w:val="000000"/>
                <w:sz w:val="14"/>
                <w:szCs w:val="14"/>
                <w:lang w:eastAsia="sk-SK"/>
              </w:rPr>
            </w:pPr>
            <w:r w:rsidRPr="00B958BF">
              <w:rPr>
                <w:rFonts w:ascii="Times New Roman" w:hAnsi="Times New Roman" w:cs="Times New Roman"/>
                <w:b/>
                <w:bCs/>
                <w:color w:val="000000"/>
                <w:sz w:val="14"/>
                <w:szCs w:val="14"/>
                <w:lang w:eastAsia="sk-SK"/>
              </w:rPr>
              <w:t>2017 OS</w:t>
            </w:r>
          </w:p>
        </w:tc>
        <w:tc>
          <w:tcPr>
            <w:tcW w:w="525" w:type="pct"/>
            <w:shd w:val="pct35" w:color="000000" w:fill="auto"/>
            <w:noWrap/>
            <w:vAlign w:val="center"/>
            <w:hideMark/>
          </w:tcPr>
          <w:p w:rsidR="007D13F3" w:rsidRPr="00B958BF" w:rsidRDefault="007D13F3" w:rsidP="00465CAC">
            <w:pPr>
              <w:jc w:val="center"/>
              <w:rPr>
                <w:rFonts w:ascii="Times New Roman" w:hAnsi="Times New Roman" w:cs="Times New Roman"/>
                <w:b/>
                <w:bCs/>
                <w:color w:val="000000"/>
                <w:sz w:val="14"/>
                <w:szCs w:val="14"/>
                <w:lang w:eastAsia="sk-SK"/>
              </w:rPr>
            </w:pPr>
            <w:r w:rsidRPr="00B958BF">
              <w:rPr>
                <w:rFonts w:ascii="Times New Roman" w:hAnsi="Times New Roman" w:cs="Times New Roman"/>
                <w:b/>
                <w:bCs/>
                <w:color w:val="000000"/>
                <w:sz w:val="14"/>
                <w:szCs w:val="14"/>
                <w:lang w:eastAsia="sk-SK"/>
              </w:rPr>
              <w:t xml:space="preserve"> 2018 </w:t>
            </w:r>
            <w:r>
              <w:rPr>
                <w:rFonts w:ascii="Times New Roman" w:hAnsi="Times New Roman" w:cs="Times New Roman"/>
                <w:b/>
                <w:bCs/>
                <w:color w:val="000000"/>
                <w:sz w:val="14"/>
                <w:szCs w:val="14"/>
                <w:lang w:eastAsia="sk-SK"/>
              </w:rPr>
              <w:t>N</w:t>
            </w:r>
          </w:p>
        </w:tc>
        <w:tc>
          <w:tcPr>
            <w:tcW w:w="525" w:type="pct"/>
            <w:shd w:val="pct35" w:color="000000" w:fill="auto"/>
            <w:noWrap/>
            <w:vAlign w:val="center"/>
            <w:hideMark/>
          </w:tcPr>
          <w:p w:rsidR="007D13F3" w:rsidRPr="00B958BF" w:rsidRDefault="007D13F3" w:rsidP="00465CAC">
            <w:pPr>
              <w:jc w:val="center"/>
              <w:rPr>
                <w:rFonts w:ascii="Times New Roman" w:hAnsi="Times New Roman" w:cs="Times New Roman"/>
                <w:b/>
                <w:bCs/>
                <w:color w:val="000000"/>
                <w:sz w:val="14"/>
                <w:szCs w:val="14"/>
                <w:lang w:eastAsia="sk-SK"/>
              </w:rPr>
            </w:pPr>
            <w:r w:rsidRPr="00B958BF">
              <w:rPr>
                <w:rFonts w:ascii="Times New Roman" w:hAnsi="Times New Roman" w:cs="Times New Roman"/>
                <w:b/>
                <w:bCs/>
                <w:color w:val="000000"/>
                <w:sz w:val="14"/>
                <w:szCs w:val="14"/>
                <w:lang w:eastAsia="sk-SK"/>
              </w:rPr>
              <w:t xml:space="preserve"> 2019</w:t>
            </w:r>
            <w:r>
              <w:rPr>
                <w:rFonts w:ascii="Times New Roman" w:hAnsi="Times New Roman" w:cs="Times New Roman"/>
                <w:b/>
                <w:bCs/>
                <w:color w:val="000000"/>
                <w:sz w:val="14"/>
                <w:szCs w:val="14"/>
                <w:lang w:eastAsia="sk-SK"/>
              </w:rPr>
              <w:t xml:space="preserve"> N</w:t>
            </w:r>
            <w:r w:rsidRPr="00B958BF">
              <w:rPr>
                <w:rFonts w:ascii="Times New Roman" w:hAnsi="Times New Roman" w:cs="Times New Roman"/>
                <w:b/>
                <w:bCs/>
                <w:color w:val="000000"/>
                <w:sz w:val="14"/>
                <w:szCs w:val="14"/>
                <w:lang w:eastAsia="sk-SK"/>
              </w:rPr>
              <w:t xml:space="preserve"> </w:t>
            </w:r>
          </w:p>
        </w:tc>
        <w:tc>
          <w:tcPr>
            <w:tcW w:w="525" w:type="pct"/>
            <w:shd w:val="pct35" w:color="000000" w:fill="auto"/>
            <w:noWrap/>
            <w:vAlign w:val="center"/>
            <w:hideMark/>
          </w:tcPr>
          <w:p w:rsidR="007D13F3" w:rsidRPr="00B958BF" w:rsidRDefault="007D13F3" w:rsidP="00465CAC">
            <w:pPr>
              <w:jc w:val="center"/>
              <w:rPr>
                <w:rFonts w:ascii="Times New Roman" w:hAnsi="Times New Roman" w:cs="Times New Roman"/>
                <w:b/>
                <w:bCs/>
                <w:color w:val="000000"/>
                <w:sz w:val="14"/>
                <w:szCs w:val="14"/>
                <w:lang w:eastAsia="sk-SK"/>
              </w:rPr>
            </w:pPr>
            <w:r w:rsidRPr="00B958BF">
              <w:rPr>
                <w:rFonts w:ascii="Times New Roman" w:hAnsi="Times New Roman" w:cs="Times New Roman"/>
                <w:b/>
                <w:bCs/>
                <w:color w:val="000000"/>
                <w:sz w:val="14"/>
                <w:szCs w:val="14"/>
                <w:lang w:eastAsia="sk-SK"/>
              </w:rPr>
              <w:t xml:space="preserve"> 2020 </w:t>
            </w:r>
            <w:r>
              <w:rPr>
                <w:rFonts w:ascii="Times New Roman" w:hAnsi="Times New Roman" w:cs="Times New Roman"/>
                <w:b/>
                <w:bCs/>
                <w:color w:val="000000"/>
                <w:sz w:val="14"/>
                <w:szCs w:val="14"/>
                <w:lang w:eastAsia="sk-SK"/>
              </w:rPr>
              <w:t>N</w:t>
            </w:r>
          </w:p>
        </w:tc>
      </w:tr>
      <w:tr w:rsidR="007D13F3" w:rsidRPr="00B958BF" w:rsidTr="00465CAC">
        <w:trPr>
          <w:trHeight w:hRule="exact" w:val="255"/>
        </w:trPr>
        <w:tc>
          <w:tcPr>
            <w:tcW w:w="1300" w:type="pct"/>
            <w:shd w:val="pct25" w:color="000000" w:fill="auto"/>
            <w:noWrap/>
            <w:vAlign w:val="bottom"/>
            <w:hideMark/>
          </w:tcPr>
          <w:p w:rsidR="007D13F3" w:rsidRPr="00B958BF" w:rsidRDefault="007D13F3" w:rsidP="00465CAC">
            <w:pPr>
              <w:rPr>
                <w:rFonts w:ascii="Times New Roman" w:hAnsi="Times New Roman" w:cs="Times New Roman"/>
                <w:b/>
                <w:bCs/>
                <w:color w:val="000000"/>
                <w:sz w:val="14"/>
                <w:szCs w:val="14"/>
                <w:lang w:eastAsia="sk-SK"/>
              </w:rPr>
            </w:pPr>
            <w:r w:rsidRPr="00B958BF">
              <w:rPr>
                <w:rFonts w:ascii="Times New Roman" w:hAnsi="Times New Roman" w:cs="Times New Roman"/>
                <w:b/>
                <w:bCs/>
                <w:color w:val="000000"/>
                <w:sz w:val="14"/>
                <w:szCs w:val="14"/>
                <w:lang w:eastAsia="sk-SK"/>
              </w:rPr>
              <w:t>Informačné technológie financované zo ŠR</w:t>
            </w:r>
          </w:p>
        </w:tc>
        <w:tc>
          <w:tcPr>
            <w:tcW w:w="534" w:type="pct"/>
            <w:shd w:val="pct25" w:color="000000" w:fill="auto"/>
            <w:noWrap/>
            <w:vAlign w:val="bottom"/>
            <w:hideMark/>
          </w:tcPr>
          <w:p w:rsidR="007D13F3" w:rsidRPr="00B958BF" w:rsidRDefault="007D13F3" w:rsidP="00465CAC">
            <w:pPr>
              <w:jc w:val="right"/>
              <w:rPr>
                <w:rFonts w:ascii="Times New Roman" w:hAnsi="Times New Roman" w:cs="Times New Roman"/>
                <w:b/>
                <w:bCs/>
                <w:color w:val="000000"/>
                <w:sz w:val="14"/>
                <w:szCs w:val="14"/>
                <w:lang w:eastAsia="sk-SK"/>
              </w:rPr>
            </w:pPr>
            <w:r w:rsidRPr="00B958BF">
              <w:rPr>
                <w:rFonts w:ascii="Times New Roman" w:hAnsi="Times New Roman" w:cs="Times New Roman"/>
                <w:b/>
                <w:bCs/>
                <w:color w:val="000000"/>
                <w:sz w:val="14"/>
                <w:szCs w:val="14"/>
                <w:lang w:eastAsia="sk-SK"/>
              </w:rPr>
              <w:t>0</w:t>
            </w:r>
          </w:p>
        </w:tc>
        <w:tc>
          <w:tcPr>
            <w:tcW w:w="534" w:type="pct"/>
            <w:shd w:val="pct25" w:color="000000" w:fill="auto"/>
            <w:noWrap/>
            <w:vAlign w:val="bottom"/>
            <w:hideMark/>
          </w:tcPr>
          <w:p w:rsidR="007D13F3" w:rsidRPr="00B958BF" w:rsidRDefault="007D13F3" w:rsidP="00465CAC">
            <w:pPr>
              <w:jc w:val="right"/>
              <w:rPr>
                <w:rFonts w:ascii="Times New Roman" w:hAnsi="Times New Roman" w:cs="Times New Roman"/>
                <w:b/>
                <w:bCs/>
                <w:color w:val="000000"/>
                <w:sz w:val="14"/>
                <w:szCs w:val="14"/>
                <w:lang w:eastAsia="sk-SK"/>
              </w:rPr>
            </w:pPr>
            <w:r w:rsidRPr="00B958BF">
              <w:rPr>
                <w:rFonts w:ascii="Times New Roman" w:hAnsi="Times New Roman" w:cs="Times New Roman"/>
                <w:b/>
                <w:bCs/>
                <w:color w:val="000000"/>
                <w:sz w:val="14"/>
                <w:szCs w:val="14"/>
                <w:lang w:eastAsia="sk-SK"/>
              </w:rPr>
              <w:t>0</w:t>
            </w:r>
          </w:p>
        </w:tc>
        <w:tc>
          <w:tcPr>
            <w:tcW w:w="534" w:type="pct"/>
            <w:shd w:val="pct25" w:color="000000" w:fill="auto"/>
            <w:noWrap/>
            <w:vAlign w:val="bottom"/>
            <w:hideMark/>
          </w:tcPr>
          <w:p w:rsidR="007D13F3" w:rsidRPr="00B958BF" w:rsidRDefault="007D13F3" w:rsidP="00465CAC">
            <w:pPr>
              <w:jc w:val="right"/>
              <w:rPr>
                <w:rFonts w:ascii="Times New Roman" w:hAnsi="Times New Roman" w:cs="Times New Roman"/>
                <w:b/>
                <w:bCs/>
                <w:color w:val="000000"/>
                <w:sz w:val="14"/>
                <w:szCs w:val="14"/>
                <w:lang w:eastAsia="sk-SK"/>
              </w:rPr>
            </w:pPr>
            <w:r w:rsidRPr="00B958BF">
              <w:rPr>
                <w:rFonts w:ascii="Times New Roman" w:hAnsi="Times New Roman" w:cs="Times New Roman"/>
                <w:b/>
                <w:bCs/>
                <w:color w:val="000000"/>
                <w:sz w:val="14"/>
                <w:szCs w:val="14"/>
                <w:lang w:eastAsia="sk-SK"/>
              </w:rPr>
              <w:t>1 800 000</w:t>
            </w:r>
          </w:p>
        </w:tc>
        <w:tc>
          <w:tcPr>
            <w:tcW w:w="525" w:type="pct"/>
            <w:shd w:val="pct25" w:color="000000" w:fill="auto"/>
            <w:noWrap/>
            <w:vAlign w:val="bottom"/>
            <w:hideMark/>
          </w:tcPr>
          <w:p w:rsidR="007D13F3" w:rsidRPr="00B958BF" w:rsidRDefault="007D13F3" w:rsidP="00465CAC">
            <w:pPr>
              <w:jc w:val="right"/>
              <w:rPr>
                <w:rFonts w:ascii="Times New Roman" w:hAnsi="Times New Roman" w:cs="Times New Roman"/>
                <w:b/>
                <w:bCs/>
                <w:color w:val="000000"/>
                <w:sz w:val="14"/>
                <w:szCs w:val="14"/>
                <w:lang w:eastAsia="sk-SK"/>
              </w:rPr>
            </w:pPr>
            <w:r w:rsidRPr="00B958BF">
              <w:rPr>
                <w:rFonts w:ascii="Times New Roman" w:hAnsi="Times New Roman" w:cs="Times New Roman"/>
                <w:b/>
                <w:bCs/>
                <w:color w:val="000000"/>
                <w:sz w:val="14"/>
                <w:szCs w:val="14"/>
                <w:lang w:eastAsia="sk-SK"/>
              </w:rPr>
              <w:t>1 800 000</w:t>
            </w:r>
          </w:p>
        </w:tc>
        <w:tc>
          <w:tcPr>
            <w:tcW w:w="525" w:type="pct"/>
            <w:shd w:val="pct25" w:color="000000" w:fill="auto"/>
            <w:noWrap/>
            <w:vAlign w:val="bottom"/>
            <w:hideMark/>
          </w:tcPr>
          <w:p w:rsidR="007D13F3" w:rsidRPr="00B958BF" w:rsidRDefault="007D13F3" w:rsidP="00465CAC">
            <w:pPr>
              <w:jc w:val="right"/>
              <w:rPr>
                <w:rFonts w:ascii="Times New Roman" w:hAnsi="Times New Roman" w:cs="Times New Roman"/>
                <w:b/>
                <w:bCs/>
                <w:color w:val="000000"/>
                <w:sz w:val="14"/>
                <w:szCs w:val="14"/>
                <w:lang w:eastAsia="sk-SK"/>
              </w:rPr>
            </w:pPr>
            <w:r w:rsidRPr="00B958BF">
              <w:rPr>
                <w:rFonts w:ascii="Times New Roman" w:hAnsi="Times New Roman" w:cs="Times New Roman"/>
                <w:b/>
                <w:bCs/>
                <w:color w:val="000000"/>
                <w:sz w:val="14"/>
                <w:szCs w:val="14"/>
                <w:lang w:eastAsia="sk-SK"/>
              </w:rPr>
              <w:t>1 800 000</w:t>
            </w:r>
          </w:p>
        </w:tc>
        <w:tc>
          <w:tcPr>
            <w:tcW w:w="525" w:type="pct"/>
            <w:shd w:val="pct25" w:color="000000" w:fill="auto"/>
            <w:noWrap/>
            <w:vAlign w:val="bottom"/>
            <w:hideMark/>
          </w:tcPr>
          <w:p w:rsidR="007D13F3" w:rsidRPr="00B958BF" w:rsidRDefault="007D13F3" w:rsidP="00465CAC">
            <w:pPr>
              <w:jc w:val="right"/>
              <w:rPr>
                <w:rFonts w:ascii="Times New Roman" w:hAnsi="Times New Roman" w:cs="Times New Roman"/>
                <w:b/>
                <w:bCs/>
                <w:color w:val="000000"/>
                <w:sz w:val="14"/>
                <w:szCs w:val="14"/>
                <w:lang w:eastAsia="sk-SK"/>
              </w:rPr>
            </w:pPr>
            <w:r w:rsidRPr="00B958BF">
              <w:rPr>
                <w:rFonts w:ascii="Times New Roman" w:hAnsi="Times New Roman" w:cs="Times New Roman"/>
                <w:b/>
                <w:bCs/>
                <w:color w:val="000000"/>
                <w:sz w:val="14"/>
                <w:szCs w:val="14"/>
                <w:lang w:eastAsia="sk-SK"/>
              </w:rPr>
              <w:t>1 800 000</w:t>
            </w:r>
          </w:p>
        </w:tc>
        <w:tc>
          <w:tcPr>
            <w:tcW w:w="525" w:type="pct"/>
            <w:shd w:val="pct25" w:color="000000" w:fill="auto"/>
            <w:noWrap/>
            <w:vAlign w:val="bottom"/>
            <w:hideMark/>
          </w:tcPr>
          <w:p w:rsidR="007D13F3" w:rsidRPr="00B958BF" w:rsidRDefault="007D13F3" w:rsidP="00465CAC">
            <w:pPr>
              <w:jc w:val="right"/>
              <w:rPr>
                <w:rFonts w:ascii="Times New Roman" w:hAnsi="Times New Roman" w:cs="Times New Roman"/>
                <w:b/>
                <w:bCs/>
                <w:color w:val="000000"/>
                <w:sz w:val="14"/>
                <w:szCs w:val="14"/>
                <w:lang w:eastAsia="sk-SK"/>
              </w:rPr>
            </w:pPr>
            <w:r w:rsidRPr="00B958BF">
              <w:rPr>
                <w:rFonts w:ascii="Times New Roman" w:hAnsi="Times New Roman" w:cs="Times New Roman"/>
                <w:b/>
                <w:bCs/>
                <w:color w:val="000000"/>
                <w:sz w:val="14"/>
                <w:szCs w:val="14"/>
                <w:lang w:eastAsia="sk-SK"/>
              </w:rPr>
              <w:t>1 800 000</w:t>
            </w:r>
          </w:p>
        </w:tc>
      </w:tr>
      <w:tr w:rsidR="007D13F3" w:rsidRPr="00B958BF" w:rsidTr="00465CAC">
        <w:trPr>
          <w:trHeight w:hRule="exact" w:val="255"/>
        </w:trPr>
        <w:tc>
          <w:tcPr>
            <w:tcW w:w="1300" w:type="pct"/>
            <w:shd w:val="clear" w:color="000000" w:fill="FFFFFF"/>
            <w:noWrap/>
            <w:vAlign w:val="bottom"/>
            <w:hideMark/>
          </w:tcPr>
          <w:p w:rsidR="007D13F3" w:rsidRPr="00B958BF" w:rsidRDefault="007D13F3" w:rsidP="00465CAC">
            <w:pPr>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Systémy vnútornej správy</w:t>
            </w:r>
          </w:p>
        </w:tc>
        <w:tc>
          <w:tcPr>
            <w:tcW w:w="534"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0</w:t>
            </w:r>
          </w:p>
        </w:tc>
        <w:tc>
          <w:tcPr>
            <w:tcW w:w="534"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0</w:t>
            </w:r>
          </w:p>
        </w:tc>
        <w:tc>
          <w:tcPr>
            <w:tcW w:w="534"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249 000</w:t>
            </w:r>
          </w:p>
        </w:tc>
        <w:tc>
          <w:tcPr>
            <w:tcW w:w="525"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249 000</w:t>
            </w:r>
          </w:p>
        </w:tc>
        <w:tc>
          <w:tcPr>
            <w:tcW w:w="525"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249 000</w:t>
            </w:r>
          </w:p>
        </w:tc>
        <w:tc>
          <w:tcPr>
            <w:tcW w:w="525"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249 000</w:t>
            </w:r>
          </w:p>
        </w:tc>
        <w:tc>
          <w:tcPr>
            <w:tcW w:w="525"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249 000</w:t>
            </w:r>
          </w:p>
        </w:tc>
      </w:tr>
      <w:tr w:rsidR="007D13F3" w:rsidRPr="00B958BF" w:rsidTr="00465CAC">
        <w:trPr>
          <w:trHeight w:hRule="exact" w:val="255"/>
        </w:trPr>
        <w:tc>
          <w:tcPr>
            <w:tcW w:w="1300" w:type="pct"/>
            <w:shd w:val="clear" w:color="000000" w:fill="FFFFFF"/>
            <w:noWrap/>
            <w:vAlign w:val="bottom"/>
            <w:hideMark/>
          </w:tcPr>
          <w:p w:rsidR="007D13F3" w:rsidRPr="00B958BF" w:rsidRDefault="007D13F3" w:rsidP="00465CAC">
            <w:pPr>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Špecializované systémy</w:t>
            </w:r>
          </w:p>
        </w:tc>
        <w:tc>
          <w:tcPr>
            <w:tcW w:w="534"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0</w:t>
            </w:r>
          </w:p>
        </w:tc>
        <w:tc>
          <w:tcPr>
            <w:tcW w:w="534"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0</w:t>
            </w:r>
          </w:p>
        </w:tc>
        <w:tc>
          <w:tcPr>
            <w:tcW w:w="534"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147 300</w:t>
            </w:r>
          </w:p>
        </w:tc>
        <w:tc>
          <w:tcPr>
            <w:tcW w:w="525"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147 300</w:t>
            </w:r>
          </w:p>
        </w:tc>
        <w:tc>
          <w:tcPr>
            <w:tcW w:w="525"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147 300</w:t>
            </w:r>
          </w:p>
        </w:tc>
        <w:tc>
          <w:tcPr>
            <w:tcW w:w="525"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147 300</w:t>
            </w:r>
          </w:p>
        </w:tc>
        <w:tc>
          <w:tcPr>
            <w:tcW w:w="525"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147 300</w:t>
            </w:r>
          </w:p>
        </w:tc>
      </w:tr>
      <w:tr w:rsidR="007D13F3" w:rsidRPr="00B958BF" w:rsidTr="00465CAC">
        <w:trPr>
          <w:trHeight w:hRule="exact" w:val="255"/>
        </w:trPr>
        <w:tc>
          <w:tcPr>
            <w:tcW w:w="1300" w:type="pct"/>
            <w:shd w:val="clear" w:color="000000" w:fill="FFFFFF"/>
            <w:noWrap/>
            <w:vAlign w:val="bottom"/>
            <w:hideMark/>
          </w:tcPr>
          <w:p w:rsidR="007D13F3" w:rsidRPr="00B958BF" w:rsidRDefault="007D13F3" w:rsidP="00465CAC">
            <w:pPr>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Podporná infraštruktúra</w:t>
            </w:r>
          </w:p>
        </w:tc>
        <w:tc>
          <w:tcPr>
            <w:tcW w:w="534"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0</w:t>
            </w:r>
          </w:p>
        </w:tc>
        <w:tc>
          <w:tcPr>
            <w:tcW w:w="534"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0</w:t>
            </w:r>
          </w:p>
        </w:tc>
        <w:tc>
          <w:tcPr>
            <w:tcW w:w="534"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1 252 700</w:t>
            </w:r>
          </w:p>
        </w:tc>
        <w:tc>
          <w:tcPr>
            <w:tcW w:w="525"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1 252 700</w:t>
            </w:r>
          </w:p>
        </w:tc>
        <w:tc>
          <w:tcPr>
            <w:tcW w:w="525"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1 252 700</w:t>
            </w:r>
          </w:p>
        </w:tc>
        <w:tc>
          <w:tcPr>
            <w:tcW w:w="525"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1 252 700</w:t>
            </w:r>
          </w:p>
        </w:tc>
        <w:tc>
          <w:tcPr>
            <w:tcW w:w="525"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1 252 700</w:t>
            </w:r>
          </w:p>
        </w:tc>
      </w:tr>
      <w:tr w:rsidR="007D13F3" w:rsidRPr="00B958BF" w:rsidTr="00465CAC">
        <w:trPr>
          <w:trHeight w:hRule="exact" w:val="255"/>
        </w:trPr>
        <w:tc>
          <w:tcPr>
            <w:tcW w:w="1300" w:type="pct"/>
            <w:shd w:val="clear" w:color="000000" w:fill="FFFFFF"/>
            <w:noWrap/>
            <w:vAlign w:val="bottom"/>
            <w:hideMark/>
          </w:tcPr>
          <w:p w:rsidR="007D13F3" w:rsidRPr="00B958BF" w:rsidRDefault="007D13F3" w:rsidP="00465CAC">
            <w:pPr>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Podpora prezentácie kultúrno-osvetovej činnosti</w:t>
            </w:r>
          </w:p>
        </w:tc>
        <w:tc>
          <w:tcPr>
            <w:tcW w:w="534"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0</w:t>
            </w:r>
          </w:p>
        </w:tc>
        <w:tc>
          <w:tcPr>
            <w:tcW w:w="534"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0</w:t>
            </w:r>
          </w:p>
        </w:tc>
        <w:tc>
          <w:tcPr>
            <w:tcW w:w="534"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151 000</w:t>
            </w:r>
          </w:p>
        </w:tc>
        <w:tc>
          <w:tcPr>
            <w:tcW w:w="525"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151 000</w:t>
            </w:r>
          </w:p>
        </w:tc>
        <w:tc>
          <w:tcPr>
            <w:tcW w:w="525"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151 000</w:t>
            </w:r>
          </w:p>
        </w:tc>
        <w:tc>
          <w:tcPr>
            <w:tcW w:w="525"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151 000</w:t>
            </w:r>
          </w:p>
        </w:tc>
        <w:tc>
          <w:tcPr>
            <w:tcW w:w="525" w:type="pct"/>
            <w:shd w:val="clear" w:color="000000" w:fill="FFFFFF"/>
            <w:noWrap/>
            <w:vAlign w:val="bottom"/>
            <w:hideMark/>
          </w:tcPr>
          <w:p w:rsidR="007D13F3" w:rsidRPr="00B958BF" w:rsidRDefault="007D13F3" w:rsidP="00465CAC">
            <w:pPr>
              <w:jc w:val="right"/>
              <w:rPr>
                <w:rFonts w:ascii="Times New Roman" w:hAnsi="Times New Roman" w:cs="Times New Roman"/>
                <w:color w:val="000000"/>
                <w:sz w:val="14"/>
                <w:szCs w:val="14"/>
                <w:lang w:eastAsia="sk-SK"/>
              </w:rPr>
            </w:pPr>
            <w:r w:rsidRPr="00B958BF">
              <w:rPr>
                <w:rFonts w:ascii="Times New Roman" w:hAnsi="Times New Roman" w:cs="Times New Roman"/>
                <w:color w:val="000000"/>
                <w:sz w:val="14"/>
                <w:szCs w:val="14"/>
                <w:lang w:eastAsia="sk-SK"/>
              </w:rPr>
              <w:t>151 000</w:t>
            </w:r>
          </w:p>
        </w:tc>
      </w:tr>
    </w:tbl>
    <w:p w:rsidR="007D13F3" w:rsidRDefault="007D13F3" w:rsidP="007D13F3">
      <w:pPr>
        <w:jc w:val="both"/>
        <w:rPr>
          <w:rFonts w:ascii="Times New Roman" w:hAnsi="Times New Roman" w:cs="Times New Roman"/>
        </w:rPr>
      </w:pPr>
    </w:p>
    <w:p w:rsidR="007D13F3" w:rsidRDefault="007D13F3" w:rsidP="007D13F3">
      <w:pPr>
        <w:ind w:firstLine="708"/>
        <w:contextualSpacing/>
        <w:jc w:val="both"/>
        <w:rPr>
          <w:rFonts w:ascii="Times New Roman" w:hAnsi="Times New Roman" w:cs="Times New Roman"/>
        </w:rPr>
      </w:pPr>
      <w:r>
        <w:rPr>
          <w:rFonts w:ascii="Times New Roman" w:hAnsi="Times New Roman" w:cs="Times New Roman"/>
        </w:rPr>
        <w:t xml:space="preserve">Výdavky na </w:t>
      </w:r>
      <w:r w:rsidRPr="00E91385">
        <w:rPr>
          <w:rFonts w:ascii="Times New Roman" w:hAnsi="Times New Roman" w:cs="Times New Roman"/>
        </w:rPr>
        <w:t>Informačné technológie financované zo štátneho rozpočtu</w:t>
      </w:r>
      <w:r>
        <w:rPr>
          <w:rFonts w:ascii="Times New Roman" w:hAnsi="Times New Roman" w:cs="Times New Roman"/>
        </w:rPr>
        <w:t xml:space="preserve"> sú rozpočtované v sume 1,80 mil. eur, čo </w:t>
      </w:r>
      <w:r w:rsidR="005415D5">
        <w:rPr>
          <w:rFonts w:ascii="Times New Roman" w:hAnsi="Times New Roman" w:cs="Times New Roman"/>
        </w:rPr>
        <w:t>je na</w:t>
      </w:r>
      <w:r>
        <w:rPr>
          <w:rFonts w:ascii="Times New Roman" w:hAnsi="Times New Roman" w:cs="Times New Roman"/>
        </w:rPr>
        <w:t xml:space="preserve"> úrov</w:t>
      </w:r>
      <w:r w:rsidR="005415D5">
        <w:rPr>
          <w:rFonts w:ascii="Times New Roman" w:hAnsi="Times New Roman" w:cs="Times New Roman"/>
        </w:rPr>
        <w:t>ni</w:t>
      </w:r>
      <w:r>
        <w:rPr>
          <w:rFonts w:ascii="Times New Roman" w:hAnsi="Times New Roman" w:cs="Times New Roman"/>
        </w:rPr>
        <w:t xml:space="preserve"> schváleného rozpočtu roku 2017.</w:t>
      </w:r>
    </w:p>
    <w:p w:rsidR="007D13F3" w:rsidRDefault="007D13F3" w:rsidP="007D13F3">
      <w:pPr>
        <w:ind w:firstLine="708"/>
        <w:contextualSpacing/>
        <w:jc w:val="both"/>
        <w:rPr>
          <w:rFonts w:ascii="Times New Roman" w:hAnsi="Times New Roman" w:cs="Times New Roman"/>
        </w:rPr>
      </w:pPr>
    </w:p>
    <w:p w:rsidR="007D13F3" w:rsidRDefault="007D13F3" w:rsidP="007D13F3">
      <w:pPr>
        <w:ind w:firstLine="708"/>
        <w:contextualSpacing/>
        <w:jc w:val="both"/>
        <w:rPr>
          <w:rFonts w:ascii="Times New Roman" w:hAnsi="Times New Roman" w:cs="Times New Roman"/>
        </w:rPr>
      </w:pPr>
      <w:r w:rsidRPr="00933EB3">
        <w:rPr>
          <w:rFonts w:ascii="Times New Roman" w:hAnsi="Times New Roman" w:cs="Times New Roman"/>
        </w:rPr>
        <w:t>Pre potreby centrálneho rozpočtovania a sledovania výdavkov na informačné technológie bol vytvorený medzirezortný podprogram – 0EK0</w:t>
      </w:r>
      <w:r>
        <w:rPr>
          <w:rFonts w:ascii="Times New Roman" w:hAnsi="Times New Roman" w:cs="Times New Roman"/>
        </w:rPr>
        <w:t>I</w:t>
      </w:r>
      <w:r w:rsidRPr="00933EB3">
        <w:rPr>
          <w:rFonts w:ascii="Times New Roman" w:hAnsi="Times New Roman" w:cs="Times New Roman"/>
        </w:rPr>
        <w:t xml:space="preserve"> Informačné technológie financované zo štátneho rozpočtu. M</w:t>
      </w:r>
      <w:r>
        <w:rPr>
          <w:rFonts w:ascii="Times New Roman" w:hAnsi="Times New Roman" w:cs="Times New Roman"/>
        </w:rPr>
        <w:t xml:space="preserve">K </w:t>
      </w:r>
      <w:r w:rsidRPr="00933EB3">
        <w:rPr>
          <w:rFonts w:ascii="Times New Roman" w:hAnsi="Times New Roman" w:cs="Times New Roman"/>
        </w:rPr>
        <w:t xml:space="preserve">SR ako účastník medzirezortného podprogramu vykonalo presuny výdavkov rozpočtovaných v rámci programov pre jednotlivé oblasti do nového medzirezortného podprogramu. </w:t>
      </w:r>
    </w:p>
    <w:p w:rsidR="007D13F3" w:rsidRPr="005204CE" w:rsidRDefault="007D13F3" w:rsidP="007D13F3">
      <w:pPr>
        <w:rPr>
          <w:highlight w:val="yellow"/>
        </w:rPr>
      </w:pPr>
    </w:p>
    <w:p w:rsidR="007D13F3" w:rsidRDefault="007D13F3" w:rsidP="007D13F3">
      <w:pPr>
        <w:pStyle w:val="Nadpis5"/>
        <w:pBdr>
          <w:bottom w:val="single" w:sz="4" w:space="1" w:color="auto"/>
        </w:pBdr>
        <w:spacing w:before="0" w:after="0"/>
        <w:ind w:left="0"/>
        <w:rPr>
          <w:i w:val="0"/>
          <w:noProof/>
          <w:sz w:val="24"/>
          <w:lang w:eastAsia="sk-SK"/>
        </w:rPr>
      </w:pPr>
      <w:bookmarkStart w:id="108" w:name="_Toc494470100"/>
      <w:bookmarkStart w:id="109" w:name="_Toc494472276"/>
      <w:r w:rsidRPr="00BA0F16">
        <w:rPr>
          <w:i w:val="0"/>
          <w:noProof/>
          <w:sz w:val="24"/>
          <w:lang w:eastAsia="sk-SK"/>
        </w:rPr>
        <w:t>Ministerstvo hospodárstva SR</w:t>
      </w:r>
      <w:bookmarkEnd w:id="108"/>
      <w:bookmarkEnd w:id="109"/>
      <w:r w:rsidRPr="00BA0F16">
        <w:rPr>
          <w:i w:val="0"/>
          <w:noProof/>
          <w:sz w:val="24"/>
          <w:lang w:eastAsia="sk-SK"/>
        </w:rPr>
        <w:t xml:space="preserve"> </w:t>
      </w:r>
    </w:p>
    <w:p w:rsidR="007D13F3" w:rsidRPr="007A6166" w:rsidRDefault="007D13F3" w:rsidP="007D13F3">
      <w:pPr>
        <w:rPr>
          <w:lang w:eastAsia="sk-SK"/>
        </w:rPr>
      </w:pPr>
    </w:p>
    <w:tbl>
      <w:tblPr>
        <w:tblW w:w="5000" w:type="pct"/>
        <w:tblCellMar>
          <w:left w:w="70" w:type="dxa"/>
          <w:right w:w="70" w:type="dxa"/>
        </w:tblCellMar>
        <w:tblLook w:val="04A0" w:firstRow="1" w:lastRow="0" w:firstColumn="1" w:lastColumn="0" w:noHBand="0" w:noVBand="1"/>
      </w:tblPr>
      <w:tblGrid>
        <w:gridCol w:w="3035"/>
        <w:gridCol w:w="861"/>
        <w:gridCol w:w="861"/>
        <w:gridCol w:w="861"/>
        <w:gridCol w:w="861"/>
        <w:gridCol w:w="861"/>
        <w:gridCol w:w="861"/>
        <w:gridCol w:w="861"/>
      </w:tblGrid>
      <w:tr w:rsidR="007D13F3" w:rsidRPr="007A6166" w:rsidTr="00465CAC">
        <w:trPr>
          <w:trHeight w:hRule="exact" w:val="255"/>
        </w:trPr>
        <w:tc>
          <w:tcPr>
            <w:tcW w:w="167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D13F3" w:rsidRPr="007A6166" w:rsidRDefault="007D13F3" w:rsidP="00465CAC">
            <w:pPr>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v eurách</w:t>
            </w:r>
          </w:p>
        </w:tc>
        <w:tc>
          <w:tcPr>
            <w:tcW w:w="47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7A6166" w:rsidRDefault="007D13F3" w:rsidP="00465CAC">
            <w:pPr>
              <w:jc w:val="center"/>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2015 S</w:t>
            </w:r>
          </w:p>
        </w:tc>
        <w:tc>
          <w:tcPr>
            <w:tcW w:w="47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7A6166" w:rsidRDefault="007D13F3" w:rsidP="00465CAC">
            <w:pPr>
              <w:jc w:val="center"/>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 xml:space="preserve"> 2016 S</w:t>
            </w:r>
          </w:p>
        </w:tc>
        <w:tc>
          <w:tcPr>
            <w:tcW w:w="47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7A6166" w:rsidRDefault="007D13F3" w:rsidP="00465CAC">
            <w:pPr>
              <w:jc w:val="center"/>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2017 R</w:t>
            </w:r>
          </w:p>
        </w:tc>
        <w:tc>
          <w:tcPr>
            <w:tcW w:w="47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7A6166" w:rsidRDefault="007D13F3" w:rsidP="00465CAC">
            <w:pPr>
              <w:jc w:val="center"/>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2017 OS</w:t>
            </w:r>
          </w:p>
        </w:tc>
        <w:tc>
          <w:tcPr>
            <w:tcW w:w="47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7A6166" w:rsidRDefault="007D13F3" w:rsidP="00465CAC">
            <w:pPr>
              <w:jc w:val="center"/>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2018 N</w:t>
            </w:r>
          </w:p>
        </w:tc>
        <w:tc>
          <w:tcPr>
            <w:tcW w:w="47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7A6166" w:rsidRDefault="007D13F3" w:rsidP="00465CAC">
            <w:pPr>
              <w:jc w:val="center"/>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2019 N</w:t>
            </w:r>
          </w:p>
        </w:tc>
        <w:tc>
          <w:tcPr>
            <w:tcW w:w="47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7A6166" w:rsidRDefault="007D13F3" w:rsidP="00465CAC">
            <w:pPr>
              <w:jc w:val="center"/>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2020 N</w:t>
            </w:r>
          </w:p>
        </w:tc>
      </w:tr>
      <w:tr w:rsidR="007D13F3" w:rsidRPr="007A6166" w:rsidTr="00465CAC">
        <w:trPr>
          <w:trHeight w:hRule="exact" w:val="255"/>
        </w:trPr>
        <w:tc>
          <w:tcPr>
            <w:tcW w:w="1673"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7A6166" w:rsidRDefault="007D13F3" w:rsidP="00465CAC">
            <w:pPr>
              <w:rPr>
                <w:rFonts w:ascii="Times New Roman" w:hAnsi="Times New Roman" w:cs="Times New Roman"/>
                <w:b/>
                <w:bCs/>
                <w:sz w:val="14"/>
                <w:szCs w:val="14"/>
                <w:lang w:eastAsia="sk-SK"/>
              </w:rPr>
            </w:pPr>
            <w:r w:rsidRPr="007A6166">
              <w:rPr>
                <w:rFonts w:ascii="Times New Roman" w:hAnsi="Times New Roman" w:cs="Times New Roman"/>
                <w:b/>
                <w:bCs/>
                <w:sz w:val="14"/>
                <w:szCs w:val="14"/>
                <w:lang w:eastAsia="sk-SK"/>
              </w:rPr>
              <w:t xml:space="preserve">Zdroje príslušnej kapitoly </w:t>
            </w:r>
          </w:p>
        </w:tc>
        <w:tc>
          <w:tcPr>
            <w:tcW w:w="475"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441 077 162</w:t>
            </w:r>
          </w:p>
        </w:tc>
        <w:tc>
          <w:tcPr>
            <w:tcW w:w="475"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419 543 193</w:t>
            </w:r>
          </w:p>
        </w:tc>
        <w:tc>
          <w:tcPr>
            <w:tcW w:w="475"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250 908 120</w:t>
            </w:r>
          </w:p>
        </w:tc>
        <w:tc>
          <w:tcPr>
            <w:tcW w:w="475"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188 085 222</w:t>
            </w:r>
          </w:p>
        </w:tc>
        <w:tc>
          <w:tcPr>
            <w:tcW w:w="475"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256 049 889</w:t>
            </w:r>
          </w:p>
        </w:tc>
        <w:tc>
          <w:tcPr>
            <w:tcW w:w="475"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341 440 490</w:t>
            </w:r>
          </w:p>
        </w:tc>
        <w:tc>
          <w:tcPr>
            <w:tcW w:w="475"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339 434 548</w:t>
            </w:r>
          </w:p>
        </w:tc>
      </w:tr>
      <w:tr w:rsidR="007D13F3" w:rsidRPr="007A6166" w:rsidTr="00465CAC">
        <w:trPr>
          <w:trHeight w:hRule="exact" w:val="255"/>
        </w:trPr>
        <w:tc>
          <w:tcPr>
            <w:tcW w:w="1673" w:type="pct"/>
            <w:tcBorders>
              <w:top w:val="nil"/>
              <w:left w:val="single" w:sz="4" w:space="0" w:color="auto"/>
              <w:bottom w:val="single" w:sz="4" w:space="0" w:color="auto"/>
              <w:right w:val="single" w:sz="4" w:space="0" w:color="auto"/>
            </w:tcBorders>
            <w:shd w:val="clear" w:color="auto" w:fill="auto"/>
            <w:noWrap/>
            <w:vAlign w:val="bottom"/>
            <w:hideMark/>
          </w:tcPr>
          <w:p w:rsidR="007D13F3" w:rsidRPr="007A6166" w:rsidRDefault="007D13F3" w:rsidP="00465CAC">
            <w:pPr>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 xml:space="preserve">rozpočtové zdroje kapitoly </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105 261 373</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154 787 556</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151 279 185</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154 213 662</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128 562 683</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119 527 016</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118 451 560</w:t>
            </w:r>
          </w:p>
        </w:tc>
      </w:tr>
      <w:tr w:rsidR="007D13F3" w:rsidRPr="007A6166" w:rsidTr="00465CAC">
        <w:trPr>
          <w:trHeight w:hRule="exact" w:val="255"/>
        </w:trPr>
        <w:tc>
          <w:tcPr>
            <w:tcW w:w="1673" w:type="pct"/>
            <w:tcBorders>
              <w:top w:val="nil"/>
              <w:left w:val="single" w:sz="4" w:space="0" w:color="auto"/>
              <w:bottom w:val="single" w:sz="4" w:space="0" w:color="auto"/>
              <w:right w:val="single" w:sz="4" w:space="0" w:color="auto"/>
            </w:tcBorders>
            <w:shd w:val="clear" w:color="auto" w:fill="auto"/>
            <w:noWrap/>
            <w:vAlign w:val="bottom"/>
            <w:hideMark/>
          </w:tcPr>
          <w:p w:rsidR="007D13F3" w:rsidRPr="007A6166" w:rsidRDefault="007D13F3" w:rsidP="00465CAC">
            <w:pPr>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 xml:space="preserve"> v tom: bežné výdavky  600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101 585 868</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153 820 042</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99 142 407</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104 232 761</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97 505 372</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103 032 356</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104 409 150</w:t>
            </w:r>
          </w:p>
        </w:tc>
      </w:tr>
      <w:tr w:rsidR="007D13F3" w:rsidRPr="007A6166" w:rsidTr="00465CAC">
        <w:trPr>
          <w:trHeight w:hRule="exact" w:val="255"/>
        </w:trPr>
        <w:tc>
          <w:tcPr>
            <w:tcW w:w="1673" w:type="pct"/>
            <w:tcBorders>
              <w:top w:val="nil"/>
              <w:left w:val="single" w:sz="4" w:space="0" w:color="auto"/>
              <w:bottom w:val="single" w:sz="4" w:space="0" w:color="auto"/>
              <w:right w:val="single" w:sz="4" w:space="0" w:color="auto"/>
            </w:tcBorders>
            <w:shd w:val="clear" w:color="auto" w:fill="auto"/>
            <w:noWrap/>
            <w:vAlign w:val="bottom"/>
            <w:hideMark/>
          </w:tcPr>
          <w:p w:rsidR="007D13F3" w:rsidRPr="007A6166" w:rsidRDefault="007D13F3" w:rsidP="00465CAC">
            <w:pPr>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 xml:space="preserve">                610 mzdy</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9 449 157</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10 684 236</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10 837 011</w:t>
            </w:r>
          </w:p>
        </w:tc>
        <w:tc>
          <w:tcPr>
            <w:tcW w:w="475" w:type="pct"/>
            <w:tcBorders>
              <w:top w:val="nil"/>
              <w:left w:val="nil"/>
              <w:bottom w:val="single" w:sz="4" w:space="0" w:color="auto"/>
              <w:right w:val="single" w:sz="4" w:space="0" w:color="auto"/>
            </w:tcBorders>
            <w:shd w:val="clear" w:color="000000" w:fill="FFFFFF"/>
            <w:noWrap/>
            <w:vAlign w:val="bottom"/>
            <w:hideMark/>
          </w:tcPr>
          <w:p w:rsidR="007D13F3" w:rsidRPr="007A6166" w:rsidRDefault="007D13F3" w:rsidP="00465CAC">
            <w:pPr>
              <w:jc w:val="right"/>
              <w:rPr>
                <w:rFonts w:ascii="Times New Roman" w:hAnsi="Times New Roman" w:cs="Times New Roman"/>
                <w:sz w:val="14"/>
                <w:szCs w:val="14"/>
                <w:lang w:eastAsia="sk-SK"/>
              </w:rPr>
            </w:pPr>
            <w:r w:rsidRPr="007A6166">
              <w:rPr>
                <w:rFonts w:ascii="Times New Roman" w:hAnsi="Times New Roman" w:cs="Times New Roman"/>
                <w:sz w:val="14"/>
                <w:szCs w:val="14"/>
                <w:lang w:eastAsia="sk-SK"/>
              </w:rPr>
              <w:t>11 290 148</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11 501 033</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11 634 033</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11 649 033</w:t>
            </w:r>
          </w:p>
        </w:tc>
      </w:tr>
      <w:tr w:rsidR="007D13F3" w:rsidRPr="007A6166" w:rsidTr="00465CAC">
        <w:trPr>
          <w:trHeight w:hRule="exact" w:val="255"/>
        </w:trPr>
        <w:tc>
          <w:tcPr>
            <w:tcW w:w="1673" w:type="pct"/>
            <w:tcBorders>
              <w:top w:val="nil"/>
              <w:left w:val="single" w:sz="4" w:space="0" w:color="auto"/>
              <w:bottom w:val="single" w:sz="4" w:space="0" w:color="auto"/>
              <w:right w:val="single" w:sz="4" w:space="0" w:color="auto"/>
            </w:tcBorders>
            <w:shd w:val="clear" w:color="auto" w:fill="auto"/>
            <w:noWrap/>
            <w:vAlign w:val="bottom"/>
            <w:hideMark/>
          </w:tcPr>
          <w:p w:rsidR="007D13F3" w:rsidRPr="007A6166" w:rsidRDefault="007D13F3" w:rsidP="00465CAC">
            <w:pPr>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 xml:space="preserve">                620 odvody</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3 589 691</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3 903 302</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3 913 568</w:t>
            </w:r>
          </w:p>
        </w:tc>
        <w:tc>
          <w:tcPr>
            <w:tcW w:w="475" w:type="pct"/>
            <w:tcBorders>
              <w:top w:val="nil"/>
              <w:left w:val="nil"/>
              <w:bottom w:val="single" w:sz="4" w:space="0" w:color="auto"/>
              <w:right w:val="single" w:sz="4" w:space="0" w:color="auto"/>
            </w:tcBorders>
            <w:shd w:val="clear" w:color="000000" w:fill="FFFFFF"/>
            <w:noWrap/>
            <w:vAlign w:val="bottom"/>
            <w:hideMark/>
          </w:tcPr>
          <w:p w:rsidR="007D13F3" w:rsidRPr="007A6166" w:rsidRDefault="007D13F3" w:rsidP="00465CAC">
            <w:pPr>
              <w:jc w:val="right"/>
              <w:rPr>
                <w:rFonts w:ascii="Times New Roman" w:hAnsi="Times New Roman" w:cs="Times New Roman"/>
                <w:sz w:val="14"/>
                <w:szCs w:val="14"/>
                <w:lang w:eastAsia="sk-SK"/>
              </w:rPr>
            </w:pPr>
            <w:r w:rsidRPr="007A6166">
              <w:rPr>
                <w:rFonts w:ascii="Times New Roman" w:hAnsi="Times New Roman" w:cs="Times New Roman"/>
                <w:sz w:val="14"/>
                <w:szCs w:val="14"/>
                <w:lang w:eastAsia="sk-SK"/>
              </w:rPr>
              <w:t>4 077 507</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4 137 243</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4 184 243</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4 189 243</w:t>
            </w:r>
          </w:p>
        </w:tc>
      </w:tr>
      <w:tr w:rsidR="007D13F3" w:rsidRPr="007A6166" w:rsidTr="00465CAC">
        <w:trPr>
          <w:trHeight w:hRule="exact" w:val="255"/>
        </w:trPr>
        <w:tc>
          <w:tcPr>
            <w:tcW w:w="1673" w:type="pct"/>
            <w:tcBorders>
              <w:top w:val="nil"/>
              <w:left w:val="single" w:sz="4" w:space="0" w:color="auto"/>
              <w:bottom w:val="single" w:sz="4" w:space="0" w:color="auto"/>
              <w:right w:val="single" w:sz="4" w:space="0" w:color="auto"/>
            </w:tcBorders>
            <w:shd w:val="clear" w:color="auto" w:fill="auto"/>
            <w:noWrap/>
            <w:vAlign w:val="bottom"/>
            <w:hideMark/>
          </w:tcPr>
          <w:p w:rsidR="007D13F3" w:rsidRPr="007A6166" w:rsidRDefault="007D13F3" w:rsidP="00465CAC">
            <w:pPr>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 xml:space="preserve">                630 tovary a služby</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9 364 299</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14 926 974</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13 830 593</w:t>
            </w:r>
          </w:p>
        </w:tc>
        <w:tc>
          <w:tcPr>
            <w:tcW w:w="475" w:type="pct"/>
            <w:tcBorders>
              <w:top w:val="nil"/>
              <w:left w:val="nil"/>
              <w:bottom w:val="single" w:sz="4" w:space="0" w:color="auto"/>
              <w:right w:val="single" w:sz="4" w:space="0" w:color="auto"/>
            </w:tcBorders>
            <w:shd w:val="clear" w:color="000000" w:fill="FFFFFF"/>
            <w:noWrap/>
            <w:vAlign w:val="bottom"/>
            <w:hideMark/>
          </w:tcPr>
          <w:p w:rsidR="007D13F3" w:rsidRPr="007A6166" w:rsidRDefault="007D13F3" w:rsidP="00465CAC">
            <w:pPr>
              <w:jc w:val="right"/>
              <w:rPr>
                <w:rFonts w:ascii="Times New Roman" w:hAnsi="Times New Roman" w:cs="Times New Roman"/>
                <w:sz w:val="14"/>
                <w:szCs w:val="14"/>
                <w:lang w:eastAsia="sk-SK"/>
              </w:rPr>
            </w:pPr>
            <w:r w:rsidRPr="007A6166">
              <w:rPr>
                <w:rFonts w:ascii="Times New Roman" w:hAnsi="Times New Roman" w:cs="Times New Roman"/>
                <w:sz w:val="14"/>
                <w:szCs w:val="14"/>
                <w:lang w:eastAsia="sk-SK"/>
              </w:rPr>
              <w:t>16 185 357</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10 736 186</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10 579 552</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10 574 652</w:t>
            </w:r>
          </w:p>
        </w:tc>
      </w:tr>
      <w:tr w:rsidR="007D13F3" w:rsidRPr="007A6166" w:rsidTr="00465CAC">
        <w:trPr>
          <w:trHeight w:hRule="exact" w:val="255"/>
        </w:trPr>
        <w:tc>
          <w:tcPr>
            <w:tcW w:w="1673" w:type="pct"/>
            <w:tcBorders>
              <w:top w:val="nil"/>
              <w:left w:val="single" w:sz="4" w:space="0" w:color="auto"/>
              <w:bottom w:val="single" w:sz="4" w:space="0" w:color="auto"/>
              <w:right w:val="single" w:sz="4" w:space="0" w:color="auto"/>
            </w:tcBorders>
            <w:shd w:val="clear" w:color="auto" w:fill="auto"/>
            <w:noWrap/>
            <w:vAlign w:val="bottom"/>
            <w:hideMark/>
          </w:tcPr>
          <w:p w:rsidR="007D13F3" w:rsidRPr="007A6166" w:rsidRDefault="007D13F3" w:rsidP="00465CAC">
            <w:pPr>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 xml:space="preserve">                640 bežné transfery</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79 182 721</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124 305 530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70 561 235</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72 679 749</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71 130 910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76 634 528</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77 996 222</w:t>
            </w:r>
          </w:p>
        </w:tc>
      </w:tr>
      <w:tr w:rsidR="007D13F3" w:rsidRPr="007A6166" w:rsidTr="00465CAC">
        <w:trPr>
          <w:trHeight w:hRule="exact" w:val="255"/>
        </w:trPr>
        <w:tc>
          <w:tcPr>
            <w:tcW w:w="1673" w:type="pct"/>
            <w:tcBorders>
              <w:top w:val="nil"/>
              <w:left w:val="single" w:sz="4" w:space="0" w:color="auto"/>
              <w:bottom w:val="single" w:sz="4" w:space="0" w:color="auto"/>
              <w:right w:val="single" w:sz="4" w:space="0" w:color="auto"/>
            </w:tcBorders>
            <w:shd w:val="clear" w:color="auto" w:fill="auto"/>
            <w:noWrap/>
            <w:vAlign w:val="bottom"/>
            <w:hideMark/>
          </w:tcPr>
          <w:p w:rsidR="007D13F3" w:rsidRPr="007A6166" w:rsidRDefault="007D13F3" w:rsidP="00465CAC">
            <w:pPr>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 xml:space="preserve">        kapitálové výdavky 700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3 675 505</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967 514</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52 136 778</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49 980 901</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31 057 311</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16 494 660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14 042 410</w:t>
            </w:r>
          </w:p>
        </w:tc>
      </w:tr>
      <w:tr w:rsidR="007D13F3" w:rsidRPr="007A6166" w:rsidTr="00465CAC">
        <w:trPr>
          <w:trHeight w:hRule="exact" w:val="255"/>
        </w:trPr>
        <w:tc>
          <w:tcPr>
            <w:tcW w:w="1673" w:type="pct"/>
            <w:tcBorders>
              <w:top w:val="nil"/>
              <w:left w:val="single" w:sz="4" w:space="0" w:color="auto"/>
              <w:bottom w:val="single" w:sz="4" w:space="0" w:color="auto"/>
              <w:right w:val="single" w:sz="4" w:space="0" w:color="auto"/>
            </w:tcBorders>
            <w:shd w:val="clear" w:color="auto" w:fill="auto"/>
            <w:noWrap/>
            <w:vAlign w:val="bottom"/>
            <w:hideMark/>
          </w:tcPr>
          <w:p w:rsidR="007D13F3" w:rsidRPr="007A6166" w:rsidRDefault="007D13F3" w:rsidP="00465CAC">
            <w:pPr>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zdroje EÚ vrátane spolufinancovania:</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2 516 925</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28 971 859</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99 628 935</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11 616 634</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127 487 206</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221 913 474</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220 982 988</w:t>
            </w:r>
          </w:p>
        </w:tc>
      </w:tr>
      <w:tr w:rsidR="007D13F3" w:rsidRPr="007A6166" w:rsidTr="00465CAC">
        <w:trPr>
          <w:trHeight w:hRule="exact" w:val="255"/>
        </w:trPr>
        <w:tc>
          <w:tcPr>
            <w:tcW w:w="1673" w:type="pct"/>
            <w:tcBorders>
              <w:top w:val="nil"/>
              <w:left w:val="single" w:sz="4" w:space="0" w:color="auto"/>
              <w:bottom w:val="single" w:sz="4" w:space="0" w:color="auto"/>
              <w:right w:val="single" w:sz="4" w:space="0" w:color="auto"/>
            </w:tcBorders>
            <w:shd w:val="clear" w:color="auto" w:fill="auto"/>
            <w:noWrap/>
            <w:vAlign w:val="bottom"/>
            <w:hideMark/>
          </w:tcPr>
          <w:p w:rsidR="007D13F3" w:rsidRPr="007A6166" w:rsidRDefault="007D13F3" w:rsidP="00465CAC">
            <w:pPr>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 xml:space="preserve">     v tom: 2. program. obdobie EU</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1 801 849</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22 827 400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r>
      <w:tr w:rsidR="007D13F3" w:rsidRPr="007A6166" w:rsidTr="00465CAC">
        <w:trPr>
          <w:trHeight w:hRule="exact" w:val="255"/>
        </w:trPr>
        <w:tc>
          <w:tcPr>
            <w:tcW w:w="1673" w:type="pct"/>
            <w:tcBorders>
              <w:top w:val="nil"/>
              <w:left w:val="single" w:sz="4" w:space="0" w:color="auto"/>
              <w:bottom w:val="single" w:sz="4" w:space="0" w:color="auto"/>
              <w:right w:val="single" w:sz="4" w:space="0" w:color="auto"/>
            </w:tcBorders>
            <w:shd w:val="clear" w:color="auto" w:fill="auto"/>
            <w:noWrap/>
            <w:vAlign w:val="bottom"/>
            <w:hideMark/>
          </w:tcPr>
          <w:p w:rsidR="007D13F3" w:rsidRPr="007A6166" w:rsidRDefault="007D13F3" w:rsidP="00465CAC">
            <w:pPr>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 xml:space="preserve">                 spolufinancovanie zo ŠR</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715 076</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4 719 086</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r>
      <w:tr w:rsidR="007D13F3" w:rsidRPr="007A6166" w:rsidTr="00465CAC">
        <w:trPr>
          <w:trHeight w:hRule="exact" w:val="255"/>
        </w:trPr>
        <w:tc>
          <w:tcPr>
            <w:tcW w:w="1673" w:type="pct"/>
            <w:tcBorders>
              <w:top w:val="nil"/>
              <w:left w:val="single" w:sz="4" w:space="0" w:color="auto"/>
              <w:bottom w:val="single" w:sz="4" w:space="0" w:color="auto"/>
              <w:right w:val="single" w:sz="4" w:space="0" w:color="auto"/>
            </w:tcBorders>
            <w:shd w:val="clear" w:color="auto" w:fill="auto"/>
            <w:noWrap/>
            <w:vAlign w:val="bottom"/>
            <w:hideMark/>
          </w:tcPr>
          <w:p w:rsidR="007D13F3" w:rsidRPr="007A6166" w:rsidRDefault="007D13F3" w:rsidP="00465CAC">
            <w:pPr>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 xml:space="preserve">                 3. program. obdobie EÚ</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91 293 429</w:t>
            </w:r>
          </w:p>
        </w:tc>
        <w:tc>
          <w:tcPr>
            <w:tcW w:w="475" w:type="pct"/>
            <w:tcBorders>
              <w:top w:val="nil"/>
              <w:left w:val="nil"/>
              <w:bottom w:val="single" w:sz="4" w:space="0" w:color="auto"/>
              <w:right w:val="single" w:sz="4" w:space="0" w:color="auto"/>
            </w:tcBorders>
            <w:shd w:val="clear" w:color="000000" w:fill="FFFFFF"/>
            <w:noWrap/>
            <w:vAlign w:val="bottom"/>
            <w:hideMark/>
          </w:tcPr>
          <w:p w:rsidR="007D13F3" w:rsidRPr="0065068D" w:rsidRDefault="007D13F3" w:rsidP="00465CAC">
            <w:pPr>
              <w:jc w:val="right"/>
              <w:rPr>
                <w:rFonts w:ascii="Times New Roman" w:hAnsi="Times New Roman" w:cs="Times New Roman"/>
                <w:bCs/>
                <w:color w:val="000000"/>
                <w:sz w:val="14"/>
                <w:szCs w:val="14"/>
                <w:lang w:eastAsia="sk-SK"/>
              </w:rPr>
            </w:pPr>
            <w:r w:rsidRPr="0065068D">
              <w:rPr>
                <w:rFonts w:ascii="Times New Roman" w:hAnsi="Times New Roman" w:cs="Times New Roman"/>
                <w:bCs/>
                <w:color w:val="000000"/>
                <w:sz w:val="14"/>
                <w:szCs w:val="14"/>
                <w:lang w:eastAsia="sk-SK"/>
              </w:rPr>
              <w:t>10 327 221</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126 290 314</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216 735 935</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216 930 197</w:t>
            </w:r>
          </w:p>
        </w:tc>
      </w:tr>
      <w:tr w:rsidR="007D13F3" w:rsidRPr="007A6166" w:rsidTr="00465CAC">
        <w:trPr>
          <w:trHeight w:hRule="exact" w:val="255"/>
        </w:trPr>
        <w:tc>
          <w:tcPr>
            <w:tcW w:w="1673" w:type="pct"/>
            <w:tcBorders>
              <w:top w:val="nil"/>
              <w:left w:val="single" w:sz="4" w:space="0" w:color="auto"/>
              <w:bottom w:val="single" w:sz="4" w:space="0" w:color="auto"/>
              <w:right w:val="single" w:sz="4" w:space="0" w:color="auto"/>
            </w:tcBorders>
            <w:shd w:val="clear" w:color="auto" w:fill="auto"/>
            <w:noWrap/>
            <w:vAlign w:val="bottom"/>
            <w:hideMark/>
          </w:tcPr>
          <w:p w:rsidR="007D13F3" w:rsidRPr="007A6166" w:rsidRDefault="007D13F3" w:rsidP="00465CAC">
            <w:pPr>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 xml:space="preserve">                  spolufinancovanie zo ŠR</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1 425 373</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8 335 506</w:t>
            </w:r>
          </w:p>
        </w:tc>
        <w:tc>
          <w:tcPr>
            <w:tcW w:w="475" w:type="pct"/>
            <w:tcBorders>
              <w:top w:val="nil"/>
              <w:left w:val="nil"/>
              <w:bottom w:val="single" w:sz="4" w:space="0" w:color="auto"/>
              <w:right w:val="single" w:sz="4" w:space="0" w:color="auto"/>
            </w:tcBorders>
            <w:shd w:val="clear" w:color="000000" w:fill="FFFFFF"/>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1 289 413</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1 196 892</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5 177 539</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4 052 791</w:t>
            </w:r>
          </w:p>
        </w:tc>
      </w:tr>
      <w:tr w:rsidR="007D13F3" w:rsidRPr="007A6166" w:rsidTr="00465CAC">
        <w:trPr>
          <w:trHeight w:hRule="exact" w:val="255"/>
        </w:trPr>
        <w:tc>
          <w:tcPr>
            <w:tcW w:w="1673" w:type="pct"/>
            <w:tcBorders>
              <w:top w:val="nil"/>
              <w:left w:val="single" w:sz="4" w:space="0" w:color="auto"/>
              <w:bottom w:val="single" w:sz="4" w:space="0" w:color="auto"/>
              <w:right w:val="single" w:sz="4" w:space="0" w:color="auto"/>
            </w:tcBorders>
            <w:shd w:val="clear" w:color="auto" w:fill="auto"/>
            <w:noWrap/>
            <w:vAlign w:val="bottom"/>
            <w:hideMark/>
          </w:tcPr>
          <w:p w:rsidR="007D13F3" w:rsidRPr="007A6166" w:rsidRDefault="007D13F3" w:rsidP="00465CAC">
            <w:pPr>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presun z minulých rokov § 8 (13)</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333 298 864</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235 783 778</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0</w:t>
            </w:r>
          </w:p>
        </w:tc>
        <w:tc>
          <w:tcPr>
            <w:tcW w:w="475" w:type="pct"/>
            <w:tcBorders>
              <w:top w:val="nil"/>
              <w:left w:val="nil"/>
              <w:bottom w:val="single" w:sz="4" w:space="0" w:color="auto"/>
              <w:right w:val="single" w:sz="4" w:space="0" w:color="auto"/>
            </w:tcBorders>
            <w:shd w:val="clear" w:color="000000" w:fill="FFFFFF"/>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22 254 926</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b/>
                <w:bCs/>
                <w:color w:val="000000"/>
                <w:sz w:val="14"/>
                <w:szCs w:val="14"/>
                <w:lang w:eastAsia="sk-SK"/>
              </w:rPr>
            </w:pPr>
            <w:r w:rsidRPr="007A6166">
              <w:rPr>
                <w:rFonts w:ascii="Times New Roman" w:hAnsi="Times New Roman" w:cs="Times New Roman"/>
                <w:b/>
                <w:bCs/>
                <w:color w:val="000000"/>
                <w:sz w:val="14"/>
                <w:szCs w:val="14"/>
                <w:lang w:eastAsia="sk-SK"/>
              </w:rPr>
              <w:t>0</w:t>
            </w:r>
          </w:p>
        </w:tc>
      </w:tr>
      <w:tr w:rsidR="007D13F3" w:rsidRPr="007A6166" w:rsidTr="00465CAC">
        <w:trPr>
          <w:trHeight w:hRule="exact" w:val="255"/>
        </w:trPr>
        <w:tc>
          <w:tcPr>
            <w:tcW w:w="1673" w:type="pct"/>
            <w:tcBorders>
              <w:top w:val="nil"/>
              <w:left w:val="single" w:sz="4" w:space="0" w:color="auto"/>
              <w:bottom w:val="single" w:sz="4" w:space="0" w:color="auto"/>
              <w:right w:val="single" w:sz="4" w:space="0" w:color="auto"/>
            </w:tcBorders>
            <w:shd w:val="clear" w:color="auto" w:fill="auto"/>
            <w:noWrap/>
            <w:vAlign w:val="bottom"/>
            <w:hideMark/>
          </w:tcPr>
          <w:p w:rsidR="007D13F3" w:rsidRPr="007A6166" w:rsidRDefault="007D13F3" w:rsidP="00465CAC">
            <w:pPr>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 xml:space="preserve">         z toho:  § 8 ŠR </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12 813 528</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2 719 969</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000000" w:fill="FFFFFF"/>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r>
      <w:tr w:rsidR="007D13F3" w:rsidRPr="007A6166" w:rsidTr="00465CAC">
        <w:trPr>
          <w:trHeight w:hRule="exact" w:val="255"/>
        </w:trPr>
        <w:tc>
          <w:tcPr>
            <w:tcW w:w="1673" w:type="pct"/>
            <w:tcBorders>
              <w:top w:val="nil"/>
              <w:left w:val="single" w:sz="4" w:space="0" w:color="auto"/>
              <w:bottom w:val="single" w:sz="4" w:space="0" w:color="auto"/>
              <w:right w:val="single" w:sz="4" w:space="0" w:color="auto"/>
            </w:tcBorders>
            <w:shd w:val="clear" w:color="auto" w:fill="auto"/>
            <w:noWrap/>
            <w:vAlign w:val="bottom"/>
            <w:hideMark/>
          </w:tcPr>
          <w:p w:rsidR="007D13F3" w:rsidRPr="007A6166" w:rsidRDefault="007D13F3" w:rsidP="00465CAC">
            <w:pPr>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 xml:space="preserve">            EU prostriedky</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273 325 829</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201 770 597</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000000" w:fill="FFFFFF"/>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19 711 577</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r>
      <w:tr w:rsidR="007D13F3" w:rsidRPr="007A6166" w:rsidTr="00465CAC">
        <w:trPr>
          <w:trHeight w:hRule="exact" w:val="255"/>
        </w:trPr>
        <w:tc>
          <w:tcPr>
            <w:tcW w:w="1673" w:type="pct"/>
            <w:tcBorders>
              <w:top w:val="nil"/>
              <w:left w:val="single" w:sz="4" w:space="0" w:color="auto"/>
              <w:bottom w:val="single" w:sz="4" w:space="0" w:color="auto"/>
              <w:right w:val="single" w:sz="4" w:space="0" w:color="auto"/>
            </w:tcBorders>
            <w:shd w:val="clear" w:color="auto" w:fill="auto"/>
            <w:noWrap/>
            <w:vAlign w:val="bottom"/>
            <w:hideMark/>
          </w:tcPr>
          <w:p w:rsidR="007D13F3" w:rsidRPr="007A6166" w:rsidRDefault="007D13F3" w:rsidP="00465CAC">
            <w:pPr>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 xml:space="preserve">            spolufinancovanie zo ŠR</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47 159 507</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31 293 212</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000000" w:fill="FFFFFF"/>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2 543 349</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7D13F3" w:rsidRPr="007A6166" w:rsidRDefault="007D13F3" w:rsidP="00465CAC">
            <w:pPr>
              <w:jc w:val="right"/>
              <w:rPr>
                <w:rFonts w:ascii="Times New Roman" w:hAnsi="Times New Roman" w:cs="Times New Roman"/>
                <w:color w:val="000000"/>
                <w:sz w:val="14"/>
                <w:szCs w:val="14"/>
                <w:lang w:eastAsia="sk-SK"/>
              </w:rPr>
            </w:pPr>
            <w:r w:rsidRPr="007A6166">
              <w:rPr>
                <w:rFonts w:ascii="Times New Roman" w:hAnsi="Times New Roman" w:cs="Times New Roman"/>
                <w:color w:val="000000"/>
                <w:sz w:val="14"/>
                <w:szCs w:val="14"/>
                <w:lang w:eastAsia="sk-SK"/>
              </w:rPr>
              <w:t>0</w:t>
            </w:r>
          </w:p>
        </w:tc>
      </w:tr>
      <w:tr w:rsidR="007D13F3" w:rsidRPr="007A6166" w:rsidTr="005415D5">
        <w:trPr>
          <w:trHeight w:hRule="exact" w:val="255"/>
        </w:trPr>
        <w:tc>
          <w:tcPr>
            <w:tcW w:w="1673" w:type="pct"/>
            <w:tcBorders>
              <w:top w:val="nil"/>
              <w:left w:val="nil"/>
              <w:bottom w:val="single" w:sz="4" w:space="0" w:color="auto"/>
              <w:right w:val="nil"/>
            </w:tcBorders>
            <w:shd w:val="clear" w:color="auto" w:fill="auto"/>
            <w:noWrap/>
            <w:vAlign w:val="center"/>
            <w:hideMark/>
          </w:tcPr>
          <w:p w:rsidR="007D13F3" w:rsidRPr="007A6166" w:rsidRDefault="007D13F3" w:rsidP="00465CAC">
            <w:pPr>
              <w:jc w:val="right"/>
              <w:rPr>
                <w:rFonts w:ascii="Times New Roman" w:hAnsi="Times New Roman" w:cs="Times New Roman"/>
                <w:color w:val="000000"/>
                <w:sz w:val="14"/>
                <w:szCs w:val="14"/>
                <w:lang w:eastAsia="sk-SK"/>
              </w:rPr>
            </w:pPr>
          </w:p>
        </w:tc>
        <w:tc>
          <w:tcPr>
            <w:tcW w:w="475" w:type="pct"/>
            <w:tcBorders>
              <w:top w:val="nil"/>
              <w:left w:val="nil"/>
              <w:bottom w:val="single" w:sz="4" w:space="0" w:color="auto"/>
              <w:right w:val="nil"/>
            </w:tcBorders>
            <w:shd w:val="clear" w:color="auto" w:fill="auto"/>
            <w:noWrap/>
            <w:vAlign w:val="bottom"/>
            <w:hideMark/>
          </w:tcPr>
          <w:p w:rsidR="007D13F3" w:rsidRPr="007A6166" w:rsidRDefault="007D13F3" w:rsidP="00465CAC">
            <w:pPr>
              <w:rPr>
                <w:rFonts w:ascii="Times New Roman" w:hAnsi="Times New Roman" w:cs="Times New Roman"/>
                <w:sz w:val="14"/>
                <w:szCs w:val="14"/>
                <w:lang w:eastAsia="sk-SK"/>
              </w:rPr>
            </w:pPr>
          </w:p>
        </w:tc>
        <w:tc>
          <w:tcPr>
            <w:tcW w:w="475" w:type="pct"/>
            <w:tcBorders>
              <w:top w:val="nil"/>
              <w:left w:val="nil"/>
              <w:bottom w:val="single" w:sz="4" w:space="0" w:color="auto"/>
              <w:right w:val="nil"/>
            </w:tcBorders>
            <w:shd w:val="clear" w:color="auto" w:fill="auto"/>
            <w:noWrap/>
            <w:vAlign w:val="bottom"/>
            <w:hideMark/>
          </w:tcPr>
          <w:p w:rsidR="007D13F3" w:rsidRPr="007A6166" w:rsidRDefault="007D13F3" w:rsidP="00465CAC">
            <w:pPr>
              <w:jc w:val="right"/>
              <w:rPr>
                <w:rFonts w:ascii="Times New Roman" w:hAnsi="Times New Roman" w:cs="Times New Roman"/>
                <w:sz w:val="14"/>
                <w:szCs w:val="14"/>
                <w:lang w:eastAsia="sk-SK"/>
              </w:rPr>
            </w:pPr>
          </w:p>
        </w:tc>
        <w:tc>
          <w:tcPr>
            <w:tcW w:w="475" w:type="pct"/>
            <w:tcBorders>
              <w:top w:val="nil"/>
              <w:left w:val="nil"/>
              <w:bottom w:val="single" w:sz="4" w:space="0" w:color="auto"/>
              <w:right w:val="nil"/>
            </w:tcBorders>
            <w:shd w:val="clear" w:color="auto" w:fill="auto"/>
            <w:noWrap/>
            <w:vAlign w:val="bottom"/>
            <w:hideMark/>
          </w:tcPr>
          <w:p w:rsidR="007D13F3" w:rsidRPr="007A6166" w:rsidRDefault="007D13F3" w:rsidP="00465CAC">
            <w:pPr>
              <w:jc w:val="right"/>
              <w:rPr>
                <w:rFonts w:ascii="Times New Roman" w:hAnsi="Times New Roman" w:cs="Times New Roman"/>
                <w:sz w:val="14"/>
                <w:szCs w:val="14"/>
                <w:lang w:eastAsia="sk-SK"/>
              </w:rPr>
            </w:pPr>
          </w:p>
        </w:tc>
        <w:tc>
          <w:tcPr>
            <w:tcW w:w="475" w:type="pct"/>
            <w:tcBorders>
              <w:top w:val="nil"/>
              <w:left w:val="nil"/>
              <w:bottom w:val="single" w:sz="4" w:space="0" w:color="auto"/>
              <w:right w:val="nil"/>
            </w:tcBorders>
            <w:shd w:val="clear" w:color="auto" w:fill="auto"/>
            <w:noWrap/>
            <w:vAlign w:val="bottom"/>
            <w:hideMark/>
          </w:tcPr>
          <w:p w:rsidR="007D13F3" w:rsidRPr="007A6166" w:rsidRDefault="007D13F3" w:rsidP="00465CAC">
            <w:pPr>
              <w:jc w:val="right"/>
              <w:rPr>
                <w:rFonts w:ascii="Times New Roman" w:hAnsi="Times New Roman" w:cs="Times New Roman"/>
                <w:sz w:val="14"/>
                <w:szCs w:val="14"/>
                <w:lang w:eastAsia="sk-SK"/>
              </w:rPr>
            </w:pPr>
          </w:p>
        </w:tc>
        <w:tc>
          <w:tcPr>
            <w:tcW w:w="475" w:type="pct"/>
            <w:tcBorders>
              <w:top w:val="nil"/>
              <w:left w:val="nil"/>
              <w:bottom w:val="single" w:sz="4" w:space="0" w:color="auto"/>
              <w:right w:val="nil"/>
            </w:tcBorders>
            <w:shd w:val="clear" w:color="auto" w:fill="auto"/>
            <w:noWrap/>
            <w:vAlign w:val="bottom"/>
            <w:hideMark/>
          </w:tcPr>
          <w:p w:rsidR="007D13F3" w:rsidRPr="007A6166" w:rsidRDefault="007D13F3" w:rsidP="00465CAC">
            <w:pPr>
              <w:jc w:val="right"/>
              <w:rPr>
                <w:rFonts w:ascii="Times New Roman" w:hAnsi="Times New Roman" w:cs="Times New Roman"/>
                <w:sz w:val="14"/>
                <w:szCs w:val="14"/>
                <w:lang w:eastAsia="sk-SK"/>
              </w:rPr>
            </w:pPr>
          </w:p>
        </w:tc>
        <w:tc>
          <w:tcPr>
            <w:tcW w:w="475" w:type="pct"/>
            <w:tcBorders>
              <w:top w:val="nil"/>
              <w:left w:val="nil"/>
              <w:bottom w:val="single" w:sz="4" w:space="0" w:color="auto"/>
              <w:right w:val="nil"/>
            </w:tcBorders>
            <w:shd w:val="clear" w:color="auto" w:fill="auto"/>
            <w:noWrap/>
            <w:vAlign w:val="bottom"/>
            <w:hideMark/>
          </w:tcPr>
          <w:p w:rsidR="007D13F3" w:rsidRPr="007A6166" w:rsidRDefault="007D13F3" w:rsidP="00465CAC">
            <w:pPr>
              <w:jc w:val="right"/>
              <w:rPr>
                <w:rFonts w:ascii="Times New Roman" w:hAnsi="Times New Roman" w:cs="Times New Roman"/>
                <w:sz w:val="14"/>
                <w:szCs w:val="14"/>
                <w:lang w:eastAsia="sk-SK"/>
              </w:rPr>
            </w:pPr>
          </w:p>
        </w:tc>
        <w:tc>
          <w:tcPr>
            <w:tcW w:w="475" w:type="pct"/>
            <w:tcBorders>
              <w:top w:val="nil"/>
              <w:left w:val="nil"/>
              <w:bottom w:val="single" w:sz="4" w:space="0" w:color="auto"/>
              <w:right w:val="nil"/>
            </w:tcBorders>
            <w:shd w:val="clear" w:color="auto" w:fill="auto"/>
            <w:noWrap/>
            <w:vAlign w:val="bottom"/>
            <w:hideMark/>
          </w:tcPr>
          <w:p w:rsidR="007D13F3" w:rsidRPr="007A6166" w:rsidRDefault="007D13F3" w:rsidP="00465CAC">
            <w:pPr>
              <w:jc w:val="right"/>
              <w:rPr>
                <w:rFonts w:ascii="Times New Roman" w:hAnsi="Times New Roman" w:cs="Times New Roman"/>
                <w:sz w:val="14"/>
                <w:szCs w:val="14"/>
                <w:lang w:eastAsia="sk-SK"/>
              </w:rPr>
            </w:pPr>
          </w:p>
        </w:tc>
      </w:tr>
      <w:tr w:rsidR="007D13F3" w:rsidRPr="000E76EC" w:rsidTr="005415D5">
        <w:trPr>
          <w:trHeight w:hRule="exact" w:val="255"/>
        </w:trPr>
        <w:tc>
          <w:tcPr>
            <w:tcW w:w="16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0E76EC" w:rsidRDefault="000E76EC" w:rsidP="00465CAC">
            <w:pPr>
              <w:rPr>
                <w:rFonts w:ascii="Times New Roman" w:hAnsi="Times New Roman" w:cs="Times New Roman"/>
                <w:b/>
                <w:bCs/>
                <w:color w:val="000000"/>
                <w:sz w:val="14"/>
                <w:szCs w:val="14"/>
                <w:lang w:eastAsia="sk-SK"/>
              </w:rPr>
            </w:pPr>
            <w:r w:rsidRPr="000E76EC">
              <w:rPr>
                <w:rFonts w:ascii="Times New Roman" w:hAnsi="Times New Roman" w:cs="Times New Roman"/>
                <w:b/>
                <w:bCs/>
                <w:color w:val="000000"/>
                <w:sz w:val="14"/>
                <w:szCs w:val="14"/>
                <w:lang w:eastAsia="sk-SK"/>
              </w:rPr>
              <w:t>S</w:t>
            </w:r>
            <w:r w:rsidR="007D13F3" w:rsidRPr="000E76EC">
              <w:rPr>
                <w:rFonts w:ascii="Times New Roman" w:hAnsi="Times New Roman" w:cs="Times New Roman"/>
                <w:b/>
                <w:bCs/>
                <w:color w:val="000000"/>
                <w:sz w:val="14"/>
                <w:szCs w:val="14"/>
                <w:lang w:eastAsia="sk-SK"/>
              </w:rPr>
              <w:t>amostatné účty</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7 151 481</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4 639 381</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4 169 580</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4 169 580</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175 000</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175 000</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175 000</w:t>
            </w:r>
          </w:p>
        </w:tc>
      </w:tr>
    </w:tbl>
    <w:p w:rsidR="007D13F3" w:rsidRDefault="007D13F3" w:rsidP="007D13F3">
      <w:pPr>
        <w:jc w:val="both"/>
        <w:rPr>
          <w:rFonts w:ascii="Times New Roman" w:hAnsi="Times New Roman" w:cs="Times New Roman"/>
          <w:lang w:eastAsia="sk-SK"/>
        </w:rPr>
      </w:pPr>
    </w:p>
    <w:p w:rsidR="007D13F3" w:rsidRDefault="007D13F3" w:rsidP="007D13F3">
      <w:pPr>
        <w:ind w:firstLine="708"/>
        <w:jc w:val="both"/>
        <w:rPr>
          <w:rFonts w:ascii="Times New Roman" w:hAnsi="Times New Roman" w:cs="Times New Roman"/>
          <w:lang w:eastAsia="sk-SK"/>
        </w:rPr>
      </w:pPr>
      <w:r w:rsidRPr="004617A9">
        <w:rPr>
          <w:rFonts w:ascii="Times New Roman" w:hAnsi="Times New Roman" w:cs="Times New Roman"/>
          <w:lang w:eastAsia="sk-SK"/>
        </w:rPr>
        <w:t>Ministerstv</w:t>
      </w:r>
      <w:r>
        <w:rPr>
          <w:rFonts w:ascii="Times New Roman" w:hAnsi="Times New Roman" w:cs="Times New Roman"/>
          <w:lang w:eastAsia="sk-SK"/>
        </w:rPr>
        <w:t>o</w:t>
      </w:r>
      <w:r w:rsidRPr="004617A9">
        <w:rPr>
          <w:rFonts w:ascii="Times New Roman" w:hAnsi="Times New Roman" w:cs="Times New Roman"/>
          <w:lang w:eastAsia="sk-SK"/>
        </w:rPr>
        <w:t xml:space="preserve"> hospodárstva SR (ďalej len „MH SR“) má v návrhu rozpočtu na rok 201</w:t>
      </w:r>
      <w:r>
        <w:rPr>
          <w:rFonts w:ascii="Times New Roman" w:hAnsi="Times New Roman" w:cs="Times New Roman"/>
          <w:lang w:eastAsia="sk-SK"/>
        </w:rPr>
        <w:t>8</w:t>
      </w:r>
      <w:r w:rsidRPr="004617A9">
        <w:rPr>
          <w:rFonts w:ascii="Times New Roman" w:hAnsi="Times New Roman" w:cs="Times New Roman"/>
          <w:lang w:eastAsia="sk-SK"/>
        </w:rPr>
        <w:t xml:space="preserve"> navrhované výdavky vo výške </w:t>
      </w:r>
      <w:r>
        <w:rPr>
          <w:rFonts w:ascii="Times New Roman" w:hAnsi="Times New Roman" w:cs="Times New Roman"/>
          <w:lang w:eastAsia="sk-SK"/>
        </w:rPr>
        <w:t>256 mil. eur</w:t>
      </w:r>
      <w:r w:rsidRPr="004617A9">
        <w:rPr>
          <w:rFonts w:ascii="Times New Roman" w:hAnsi="Times New Roman" w:cs="Times New Roman"/>
          <w:lang w:eastAsia="sk-SK"/>
        </w:rPr>
        <w:t xml:space="preserve">, ktoré </w:t>
      </w:r>
      <w:r>
        <w:rPr>
          <w:rFonts w:ascii="Times New Roman" w:hAnsi="Times New Roman" w:cs="Times New Roman"/>
          <w:lang w:eastAsia="sk-SK"/>
        </w:rPr>
        <w:t>sú oproti schválenému rozpočtu na rok 2017 vyššie o 5,14 mil. eur, t. j. o 2,05 %.</w:t>
      </w:r>
    </w:p>
    <w:p w:rsidR="009C37FC" w:rsidRDefault="009C37FC" w:rsidP="007D13F3">
      <w:pPr>
        <w:ind w:firstLine="708"/>
        <w:jc w:val="both"/>
        <w:rPr>
          <w:rFonts w:ascii="Times New Roman" w:hAnsi="Times New Roman" w:cs="Times New Roman"/>
          <w:lang w:eastAsia="sk-SK"/>
        </w:rPr>
      </w:pPr>
    </w:p>
    <w:p w:rsidR="007D13F3" w:rsidRPr="00A74F6D" w:rsidRDefault="007D13F3" w:rsidP="007D13F3">
      <w:pPr>
        <w:ind w:firstLine="708"/>
        <w:jc w:val="both"/>
        <w:rPr>
          <w:rFonts w:ascii="Times New Roman" w:hAnsi="Times New Roman" w:cs="Times New Roman"/>
          <w:lang w:eastAsia="sk-SK"/>
        </w:rPr>
      </w:pPr>
      <w:r w:rsidRPr="00547A64">
        <w:rPr>
          <w:rFonts w:ascii="Times New Roman" w:hAnsi="Times New Roman" w:cs="Times New Roman"/>
          <w:lang w:eastAsia="sk-SK"/>
        </w:rPr>
        <w:t xml:space="preserve">Osobné </w:t>
      </w:r>
      <w:r>
        <w:rPr>
          <w:rFonts w:ascii="Times New Roman" w:hAnsi="Times New Roman" w:cs="Times New Roman"/>
          <w:lang w:eastAsia="sk-SK"/>
        </w:rPr>
        <w:t>výdavky rozpočtované na rok 2018</w:t>
      </w:r>
      <w:r w:rsidRPr="00547A64">
        <w:rPr>
          <w:rFonts w:ascii="Times New Roman" w:hAnsi="Times New Roman" w:cs="Times New Roman"/>
          <w:lang w:eastAsia="sk-SK"/>
        </w:rPr>
        <w:t xml:space="preserve"> v sume </w:t>
      </w:r>
      <w:r>
        <w:rPr>
          <w:rFonts w:ascii="Times New Roman" w:hAnsi="Times New Roman" w:cs="Times New Roman"/>
          <w:lang w:eastAsia="sk-SK"/>
        </w:rPr>
        <w:t>15,6</w:t>
      </w:r>
      <w:r w:rsidRPr="00547A64">
        <w:rPr>
          <w:rFonts w:ascii="Times New Roman" w:hAnsi="Times New Roman" w:cs="Times New Roman"/>
          <w:lang w:eastAsia="sk-SK"/>
        </w:rPr>
        <w:t xml:space="preserve"> mil. eur oproti </w:t>
      </w:r>
      <w:r>
        <w:rPr>
          <w:rFonts w:ascii="Times New Roman" w:hAnsi="Times New Roman" w:cs="Times New Roman"/>
          <w:lang w:eastAsia="sk-SK"/>
        </w:rPr>
        <w:t>schválenému rozpočtu na rok 2017 rastú o 888 tis. eur, t. j. o 6,02 %</w:t>
      </w:r>
      <w:r w:rsidRPr="00547A64">
        <w:rPr>
          <w:rFonts w:ascii="Times New Roman" w:hAnsi="Times New Roman" w:cs="Times New Roman"/>
          <w:lang w:eastAsia="sk-SK"/>
        </w:rPr>
        <w:t xml:space="preserve"> </w:t>
      </w:r>
      <w:r>
        <w:rPr>
          <w:rFonts w:ascii="Times New Roman" w:hAnsi="Times New Roman" w:cs="Times New Roman"/>
          <w:lang w:eastAsia="sk-SK"/>
        </w:rPr>
        <w:t xml:space="preserve">najmä z dôvodu </w:t>
      </w:r>
      <w:r>
        <w:rPr>
          <w:rFonts w:ascii="Times New Roman" w:hAnsi="Times New Roman" w:cs="Times New Roman"/>
        </w:rPr>
        <w:t xml:space="preserve">valorizácie miezd  zamestnancov z roku 2017 a nového zákona, ktorým sa mení a dopĺňa zákon </w:t>
      </w:r>
      <w:r>
        <w:rPr>
          <w:rFonts w:ascii="Times New Roman" w:hAnsi="Times New Roman" w:cs="Times New Roman"/>
        </w:rPr>
        <w:br/>
        <w:t>č. 319/2013 Z. z. o pôsobnosti orgánov štátnej správy pre sprístupňovanie biocídnych výrobkov na trh a ich používanie.</w:t>
      </w:r>
    </w:p>
    <w:p w:rsidR="007D13F3" w:rsidRPr="004617A9" w:rsidRDefault="007D13F3" w:rsidP="007D13F3">
      <w:pPr>
        <w:jc w:val="both"/>
        <w:rPr>
          <w:rFonts w:ascii="Times New Roman" w:hAnsi="Times New Roman" w:cs="Times New Roman"/>
          <w:lang w:eastAsia="sk-SK"/>
        </w:rPr>
      </w:pPr>
    </w:p>
    <w:p w:rsidR="007D13F3" w:rsidRPr="00FE0A1B" w:rsidRDefault="007D13F3" w:rsidP="007D13F3">
      <w:pPr>
        <w:ind w:firstLine="708"/>
        <w:jc w:val="both"/>
        <w:rPr>
          <w:rFonts w:ascii="Times New Roman" w:hAnsi="Times New Roman" w:cs="Times New Roman"/>
          <w:lang w:eastAsia="sk-SK"/>
        </w:rPr>
      </w:pPr>
      <w:r w:rsidRPr="00FE0A1B">
        <w:rPr>
          <w:rFonts w:ascii="Times New Roman" w:hAnsi="Times New Roman" w:cs="Times New Roman"/>
          <w:lang w:eastAsia="sk-SK"/>
        </w:rPr>
        <w:t>Výdavky na tovary a služ</w:t>
      </w:r>
      <w:r>
        <w:rPr>
          <w:rFonts w:ascii="Times New Roman" w:hAnsi="Times New Roman" w:cs="Times New Roman"/>
          <w:lang w:eastAsia="sk-SK"/>
        </w:rPr>
        <w:t>by v návrhu rozpočtu na rok 2018 rozpočtované</w:t>
      </w:r>
      <w:r w:rsidRPr="00FE0A1B">
        <w:rPr>
          <w:rFonts w:ascii="Times New Roman" w:hAnsi="Times New Roman" w:cs="Times New Roman"/>
          <w:lang w:eastAsia="sk-SK"/>
        </w:rPr>
        <w:t xml:space="preserve"> v sume </w:t>
      </w:r>
      <w:r w:rsidRPr="00FE0A1B">
        <w:rPr>
          <w:rFonts w:ascii="Times New Roman" w:hAnsi="Times New Roman" w:cs="Times New Roman"/>
          <w:lang w:eastAsia="sk-SK"/>
        </w:rPr>
        <w:br/>
      </w:r>
      <w:r>
        <w:rPr>
          <w:rFonts w:ascii="Times New Roman" w:hAnsi="Times New Roman" w:cs="Times New Roman"/>
          <w:lang w:eastAsia="sk-SK"/>
        </w:rPr>
        <w:t>10,7</w:t>
      </w:r>
      <w:r w:rsidRPr="00FE0A1B">
        <w:rPr>
          <w:rFonts w:ascii="Times New Roman" w:hAnsi="Times New Roman" w:cs="Times New Roman"/>
          <w:lang w:eastAsia="sk-SK"/>
        </w:rPr>
        <w:t xml:space="preserve"> mil. eur </w:t>
      </w:r>
      <w:r>
        <w:rPr>
          <w:rFonts w:ascii="Times New Roman" w:hAnsi="Times New Roman" w:cs="Times New Roman"/>
          <w:lang w:eastAsia="sk-SK"/>
        </w:rPr>
        <w:t xml:space="preserve">sú nižšie oproti návrhu rozpočtu na rok 2017 o 3,09 mil. eur, t. j. 22,4 % </w:t>
      </w:r>
      <w:r w:rsidRPr="00EB1F1B">
        <w:rPr>
          <w:rFonts w:ascii="Times New Roman" w:hAnsi="Times New Roman" w:cs="Times New Roman"/>
          <w:lang w:eastAsia="sk-SK"/>
        </w:rPr>
        <w:t xml:space="preserve">najmä </w:t>
      </w:r>
      <w:r w:rsidRPr="00EB1F1B">
        <w:rPr>
          <w:rFonts w:ascii="Times New Roman" w:hAnsi="Times New Roman" w:cs="Times New Roman"/>
          <w:lang w:eastAsia="sk-SK"/>
        </w:rPr>
        <w:lastRenderedPageBreak/>
        <w:t>z dôvodu medziročného poklesu výdavkov na hospodársku mobilizáciu a tvorbu a implementáciu politík.</w:t>
      </w:r>
      <w:r>
        <w:rPr>
          <w:rFonts w:ascii="Times New Roman" w:hAnsi="Times New Roman" w:cs="Times New Roman"/>
          <w:lang w:eastAsia="sk-SK"/>
        </w:rPr>
        <w:t xml:space="preserve"> </w:t>
      </w:r>
    </w:p>
    <w:p w:rsidR="007D13F3" w:rsidRPr="00FE0A1B" w:rsidRDefault="007D13F3" w:rsidP="007D13F3">
      <w:pPr>
        <w:jc w:val="both"/>
        <w:rPr>
          <w:rFonts w:ascii="Times New Roman" w:hAnsi="Times New Roman" w:cs="Times New Roman"/>
          <w:lang w:eastAsia="sk-SK"/>
        </w:rPr>
      </w:pPr>
    </w:p>
    <w:p w:rsidR="007D13F3" w:rsidRPr="004617A9" w:rsidRDefault="007D13F3" w:rsidP="007D13F3">
      <w:pPr>
        <w:ind w:firstLine="708"/>
        <w:jc w:val="both"/>
        <w:rPr>
          <w:rFonts w:ascii="Times New Roman" w:hAnsi="Times New Roman" w:cs="Times New Roman"/>
          <w:lang w:eastAsia="sk-SK"/>
        </w:rPr>
      </w:pPr>
      <w:r w:rsidRPr="00FE0A1B">
        <w:rPr>
          <w:rFonts w:ascii="Times New Roman" w:hAnsi="Times New Roman" w:cs="Times New Roman"/>
          <w:lang w:eastAsia="sk-SK"/>
        </w:rPr>
        <w:t xml:space="preserve">Bežné transfery rozpočtované v návrhu rozpočtu </w:t>
      </w:r>
      <w:r>
        <w:rPr>
          <w:rFonts w:ascii="Times New Roman" w:hAnsi="Times New Roman" w:cs="Times New Roman"/>
          <w:lang w:eastAsia="sk-SK"/>
        </w:rPr>
        <w:t>na rok 2018</w:t>
      </w:r>
      <w:r w:rsidRPr="00FE0A1B">
        <w:rPr>
          <w:rFonts w:ascii="Times New Roman" w:hAnsi="Times New Roman" w:cs="Times New Roman"/>
          <w:lang w:eastAsia="sk-SK"/>
        </w:rPr>
        <w:t xml:space="preserve"> v sume </w:t>
      </w:r>
      <w:r>
        <w:rPr>
          <w:rFonts w:ascii="Times New Roman" w:hAnsi="Times New Roman" w:cs="Times New Roman"/>
          <w:lang w:eastAsia="sk-SK"/>
        </w:rPr>
        <w:t>71,1</w:t>
      </w:r>
      <w:r w:rsidRPr="00FE0A1B">
        <w:rPr>
          <w:rFonts w:ascii="Times New Roman" w:hAnsi="Times New Roman" w:cs="Times New Roman"/>
          <w:lang w:eastAsia="sk-SK"/>
        </w:rPr>
        <w:t xml:space="preserve"> mil. eur</w:t>
      </w:r>
      <w:r>
        <w:rPr>
          <w:rFonts w:ascii="Times New Roman" w:hAnsi="Times New Roman" w:cs="Times New Roman"/>
          <w:lang w:eastAsia="sk-SK"/>
        </w:rPr>
        <w:t xml:space="preserve"> </w:t>
      </w:r>
      <w:r w:rsidRPr="00EB1F1B">
        <w:rPr>
          <w:rFonts w:ascii="Times New Roman" w:hAnsi="Times New Roman" w:cs="Times New Roman"/>
          <w:lang w:eastAsia="sk-SK"/>
        </w:rPr>
        <w:t xml:space="preserve"> sú v zásade na úrovni schváleného rozpočtu na rok 2017. </w:t>
      </w:r>
    </w:p>
    <w:p w:rsidR="007D13F3" w:rsidRPr="004617A9" w:rsidRDefault="007D13F3" w:rsidP="007D13F3">
      <w:pPr>
        <w:jc w:val="both"/>
        <w:rPr>
          <w:rFonts w:ascii="Times New Roman" w:hAnsi="Times New Roman" w:cs="Times New Roman"/>
          <w:lang w:eastAsia="sk-SK"/>
        </w:rPr>
      </w:pPr>
    </w:p>
    <w:p w:rsidR="007D13F3" w:rsidRDefault="007D13F3" w:rsidP="007D13F3">
      <w:pPr>
        <w:ind w:firstLine="708"/>
        <w:jc w:val="both"/>
        <w:rPr>
          <w:rFonts w:ascii="Times New Roman" w:hAnsi="Times New Roman" w:cs="Times New Roman"/>
          <w:lang w:eastAsia="sk-SK"/>
        </w:rPr>
      </w:pPr>
      <w:r>
        <w:rPr>
          <w:rFonts w:ascii="Times New Roman" w:hAnsi="Times New Roman" w:cs="Times New Roman"/>
          <w:lang w:eastAsia="sk-SK"/>
        </w:rPr>
        <w:t>Kapitálové výdavky na rok 2018</w:t>
      </w:r>
      <w:r w:rsidRPr="00FE0A1B">
        <w:rPr>
          <w:rFonts w:ascii="Times New Roman" w:hAnsi="Times New Roman" w:cs="Times New Roman"/>
          <w:lang w:eastAsia="sk-SK"/>
        </w:rPr>
        <w:t xml:space="preserve"> v</w:t>
      </w:r>
      <w:r>
        <w:rPr>
          <w:rFonts w:ascii="Times New Roman" w:hAnsi="Times New Roman" w:cs="Times New Roman"/>
          <w:lang w:eastAsia="sk-SK"/>
        </w:rPr>
        <w:t> </w:t>
      </w:r>
      <w:r w:rsidRPr="00FE0A1B">
        <w:rPr>
          <w:rFonts w:ascii="Times New Roman" w:hAnsi="Times New Roman" w:cs="Times New Roman"/>
          <w:lang w:eastAsia="sk-SK"/>
        </w:rPr>
        <w:t>sume</w:t>
      </w:r>
      <w:r>
        <w:rPr>
          <w:rFonts w:ascii="Times New Roman" w:hAnsi="Times New Roman" w:cs="Times New Roman"/>
          <w:lang w:eastAsia="sk-SK"/>
        </w:rPr>
        <w:t xml:space="preserve"> 31,1</w:t>
      </w:r>
      <w:r w:rsidRPr="00FE0A1B">
        <w:rPr>
          <w:rFonts w:ascii="Times New Roman" w:hAnsi="Times New Roman" w:cs="Times New Roman"/>
          <w:lang w:eastAsia="sk-SK"/>
        </w:rPr>
        <w:t xml:space="preserve"> mil. eur </w:t>
      </w:r>
      <w:r>
        <w:rPr>
          <w:rFonts w:ascii="Times New Roman" w:hAnsi="Times New Roman" w:cs="Times New Roman"/>
          <w:lang w:eastAsia="sk-SK"/>
        </w:rPr>
        <w:t>klesajú</w:t>
      </w:r>
      <w:r w:rsidRPr="00FE0A1B">
        <w:rPr>
          <w:rFonts w:ascii="Times New Roman" w:hAnsi="Times New Roman" w:cs="Times New Roman"/>
          <w:lang w:eastAsia="sk-SK"/>
        </w:rPr>
        <w:t xml:space="preserve"> oproti </w:t>
      </w:r>
      <w:r>
        <w:rPr>
          <w:rFonts w:ascii="Times New Roman" w:hAnsi="Times New Roman" w:cs="Times New Roman"/>
          <w:lang w:eastAsia="sk-SK"/>
        </w:rPr>
        <w:t>schválenému rozpočtu na rok 2017</w:t>
      </w:r>
      <w:r w:rsidRPr="00FE0A1B">
        <w:rPr>
          <w:rFonts w:ascii="Times New Roman" w:hAnsi="Times New Roman" w:cs="Times New Roman"/>
          <w:lang w:eastAsia="sk-SK"/>
        </w:rPr>
        <w:t xml:space="preserve"> o</w:t>
      </w:r>
      <w:r>
        <w:rPr>
          <w:rFonts w:ascii="Times New Roman" w:hAnsi="Times New Roman" w:cs="Times New Roman"/>
          <w:lang w:eastAsia="sk-SK"/>
        </w:rPr>
        <w:t xml:space="preserve"> 21,1 </w:t>
      </w:r>
      <w:r w:rsidRPr="00FE0A1B">
        <w:rPr>
          <w:rFonts w:ascii="Times New Roman" w:hAnsi="Times New Roman" w:cs="Times New Roman"/>
          <w:lang w:eastAsia="sk-SK"/>
        </w:rPr>
        <w:t>mil. eur</w:t>
      </w:r>
      <w:r>
        <w:rPr>
          <w:rFonts w:ascii="Times New Roman" w:hAnsi="Times New Roman" w:cs="Times New Roman"/>
          <w:lang w:eastAsia="sk-SK"/>
        </w:rPr>
        <w:t>,</w:t>
      </w:r>
      <w:r w:rsidRPr="00FE0A1B">
        <w:rPr>
          <w:rFonts w:ascii="Times New Roman" w:hAnsi="Times New Roman" w:cs="Times New Roman"/>
          <w:lang w:eastAsia="sk-SK"/>
        </w:rPr>
        <w:t xml:space="preserve"> </w:t>
      </w:r>
      <w:r>
        <w:rPr>
          <w:rFonts w:ascii="Times New Roman" w:hAnsi="Times New Roman" w:cs="Times New Roman"/>
          <w:lang w:eastAsia="sk-SK"/>
        </w:rPr>
        <w:t>t. j. 40,4 %</w:t>
      </w:r>
      <w:r w:rsidR="00B61698">
        <w:rPr>
          <w:rFonts w:ascii="Times New Roman" w:hAnsi="Times New Roman" w:cs="Times New Roman"/>
          <w:lang w:eastAsia="sk-SK"/>
        </w:rPr>
        <w:t>,</w:t>
      </w:r>
      <w:r w:rsidRPr="00824333">
        <w:rPr>
          <w:rFonts w:ascii="Times New Roman" w:hAnsi="Times New Roman" w:cs="Times New Roman"/>
          <w:lang w:eastAsia="sk-SK"/>
        </w:rPr>
        <w:t xml:space="preserve">  a to najmä z dôvodu medziročného poklesu výdavkov najmä na podpo</w:t>
      </w:r>
      <w:r>
        <w:rPr>
          <w:rFonts w:ascii="Times New Roman" w:hAnsi="Times New Roman" w:cs="Times New Roman"/>
          <w:lang w:eastAsia="sk-SK"/>
        </w:rPr>
        <w:t xml:space="preserve">ru investičných projektov a transferov pre Národný jadrový fond (ďalej len „NJF“) </w:t>
      </w:r>
      <w:r w:rsidRPr="00824333">
        <w:rPr>
          <w:rFonts w:ascii="Times New Roman" w:hAnsi="Times New Roman" w:cs="Times New Roman"/>
          <w:lang w:eastAsia="sk-SK"/>
        </w:rPr>
        <w:t xml:space="preserve">z odvodov od prevádzkovateľov prenosovej a distribučnej sústavy </w:t>
      </w:r>
      <w:r>
        <w:rPr>
          <w:rFonts w:ascii="Times New Roman" w:hAnsi="Times New Roman" w:cs="Times New Roman"/>
          <w:lang w:eastAsia="sk-SK"/>
        </w:rPr>
        <w:br/>
      </w:r>
      <w:r w:rsidRPr="00824333">
        <w:rPr>
          <w:rFonts w:ascii="Times New Roman" w:hAnsi="Times New Roman" w:cs="Times New Roman"/>
          <w:lang w:eastAsia="sk-SK"/>
        </w:rPr>
        <w:t>a na hospodársku mobilizáciu</w:t>
      </w:r>
      <w:r>
        <w:rPr>
          <w:rFonts w:ascii="Times New Roman" w:hAnsi="Times New Roman" w:cs="Times New Roman"/>
          <w:lang w:eastAsia="sk-SK"/>
        </w:rPr>
        <w:t>.</w:t>
      </w:r>
    </w:p>
    <w:p w:rsidR="007D13F3" w:rsidRDefault="007D13F3" w:rsidP="007D13F3">
      <w:pPr>
        <w:ind w:firstLine="708"/>
        <w:jc w:val="both"/>
        <w:rPr>
          <w:rFonts w:ascii="Times New Roman" w:hAnsi="Times New Roman" w:cs="Times New Roman"/>
          <w:lang w:eastAsia="sk-SK"/>
        </w:rPr>
      </w:pPr>
    </w:p>
    <w:p w:rsidR="007D13F3" w:rsidRDefault="007D13F3" w:rsidP="007D13F3">
      <w:pPr>
        <w:ind w:firstLine="708"/>
        <w:jc w:val="both"/>
        <w:rPr>
          <w:rFonts w:ascii="Times New Roman" w:hAnsi="Times New Roman" w:cs="Times New Roman"/>
          <w:lang w:eastAsia="sk-SK"/>
        </w:rPr>
      </w:pPr>
      <w:r w:rsidRPr="004617A9">
        <w:rPr>
          <w:rFonts w:ascii="Times New Roman" w:hAnsi="Times New Roman" w:cs="Times New Roman"/>
          <w:lang w:eastAsia="sk-SK"/>
        </w:rPr>
        <w:t>V kapito</w:t>
      </w:r>
      <w:r>
        <w:rPr>
          <w:rFonts w:ascii="Times New Roman" w:hAnsi="Times New Roman" w:cs="Times New Roman"/>
          <w:lang w:eastAsia="sk-SK"/>
        </w:rPr>
        <w:t>le MH SR sa na rok 2018</w:t>
      </w:r>
      <w:r w:rsidRPr="004617A9">
        <w:rPr>
          <w:rFonts w:ascii="Times New Roman" w:hAnsi="Times New Roman" w:cs="Times New Roman"/>
          <w:lang w:eastAsia="sk-SK"/>
        </w:rPr>
        <w:t xml:space="preserve"> rozpočtujú výdavky </w:t>
      </w:r>
      <w:r>
        <w:rPr>
          <w:rFonts w:ascii="Times New Roman" w:hAnsi="Times New Roman" w:cs="Times New Roman"/>
          <w:lang w:eastAsia="sk-SK"/>
        </w:rPr>
        <w:t xml:space="preserve">EÚ a spolufinancovania v sume 127 mil. eur, čo je oproti schválenému rozpočtu na rok 2017 viac o 27,9 mil. eur, t. j. </w:t>
      </w:r>
      <w:r>
        <w:rPr>
          <w:rFonts w:ascii="Times New Roman" w:hAnsi="Times New Roman" w:cs="Times New Roman"/>
          <w:lang w:eastAsia="sk-SK"/>
        </w:rPr>
        <w:br/>
        <w:t xml:space="preserve">o 28,0 %. Výdavky sa rozpočtujú v rámci </w:t>
      </w:r>
      <w:r w:rsidRPr="00220E29">
        <w:rPr>
          <w:rFonts w:ascii="Times New Roman" w:hAnsi="Times New Roman" w:cs="Times New Roman"/>
          <w:lang w:eastAsia="sk-SK"/>
        </w:rPr>
        <w:t xml:space="preserve">3. programového obdobia na roky 2014 – 2020 v rámci Operačného programu Výskum a inovácie (ďalej len „OP </w:t>
      </w:r>
      <w:proofErr w:type="spellStart"/>
      <w:r w:rsidRPr="00220E29">
        <w:rPr>
          <w:rFonts w:ascii="Times New Roman" w:hAnsi="Times New Roman" w:cs="Times New Roman"/>
          <w:lang w:eastAsia="sk-SK"/>
        </w:rPr>
        <w:t>VaI</w:t>
      </w:r>
      <w:proofErr w:type="spellEnd"/>
      <w:r w:rsidRPr="00220E29">
        <w:rPr>
          <w:rFonts w:ascii="Times New Roman" w:hAnsi="Times New Roman" w:cs="Times New Roman"/>
          <w:lang w:eastAsia="sk-SK"/>
        </w:rPr>
        <w:t>“) a Európskej územnej s</w:t>
      </w:r>
      <w:r>
        <w:rPr>
          <w:rFonts w:ascii="Times New Roman" w:hAnsi="Times New Roman" w:cs="Times New Roman"/>
          <w:lang w:eastAsia="sk-SK"/>
        </w:rPr>
        <w:t>polupráce.</w:t>
      </w:r>
    </w:p>
    <w:p w:rsidR="007D13F3" w:rsidRDefault="007D13F3" w:rsidP="007D13F3">
      <w:pPr>
        <w:ind w:firstLine="708"/>
        <w:jc w:val="both"/>
        <w:rPr>
          <w:rFonts w:ascii="Times New Roman" w:hAnsi="Times New Roman" w:cs="Times New Roman"/>
          <w:lang w:eastAsia="sk-SK"/>
        </w:rPr>
      </w:pPr>
    </w:p>
    <w:p w:rsidR="007D13F3" w:rsidRDefault="007D13F3" w:rsidP="007D13F3">
      <w:pPr>
        <w:ind w:firstLine="708"/>
        <w:jc w:val="both"/>
        <w:rPr>
          <w:rFonts w:ascii="Times New Roman" w:hAnsi="Times New Roman" w:cs="Times New Roman"/>
          <w:lang w:eastAsia="sk-SK"/>
        </w:rPr>
      </w:pPr>
      <w:r w:rsidRPr="005E1CD3">
        <w:rPr>
          <w:rFonts w:ascii="Times New Roman" w:hAnsi="Times New Roman" w:cs="Times New Roman"/>
          <w:lang w:eastAsia="sk-SK"/>
        </w:rPr>
        <w:t>V kapitole MH SR sú na</w:t>
      </w:r>
      <w:r>
        <w:rPr>
          <w:rFonts w:ascii="Times New Roman" w:hAnsi="Times New Roman" w:cs="Times New Roman"/>
          <w:lang w:eastAsia="sk-SK"/>
        </w:rPr>
        <w:t xml:space="preserve"> samostatných účtoch rozpočtované výdavky určené na úhradu výdavkov spojených s prevodom majetku na základe zákona č. 92/1991 Zb. o podmienkach prevodu majetku štátu na iné osoby v znení neskorších predpisov, činnosť Európskeho spotrebiteľského centra, financovanie aktivít týkajúcich sa energetických služieb v rámci komunitárneho programu Európskej komisie, úhrady za služby vykonávané na základe zákona NR SR č. 319/2013 Z. z. o pôsobnosti orgánov štátnej správy pre sprístupňovanie biocídnych výrobkov na trh a ich používanie.</w:t>
      </w:r>
    </w:p>
    <w:p w:rsidR="007D13F3" w:rsidRDefault="007D13F3" w:rsidP="007D13F3"/>
    <w:p w:rsidR="007D13F3" w:rsidRDefault="007D13F3" w:rsidP="007D13F3">
      <w:pPr>
        <w:ind w:firstLine="708"/>
        <w:rPr>
          <w:rFonts w:ascii="Times New Roman" w:hAnsi="Times New Roman" w:cs="Times New Roman"/>
          <w:lang w:eastAsia="sk-SK"/>
        </w:rPr>
      </w:pPr>
      <w:r w:rsidRPr="004617A9">
        <w:rPr>
          <w:rFonts w:ascii="Times New Roman" w:hAnsi="Times New Roman" w:cs="Times New Roman"/>
          <w:lang w:eastAsia="sk-SK"/>
        </w:rPr>
        <w:t xml:space="preserve">Výdavky kapitoly </w:t>
      </w:r>
      <w:r>
        <w:rPr>
          <w:rFonts w:ascii="Times New Roman" w:hAnsi="Times New Roman" w:cs="Times New Roman"/>
          <w:lang w:eastAsia="sk-SK"/>
        </w:rPr>
        <w:t>smerujú do nasledovných oblastí:</w:t>
      </w:r>
    </w:p>
    <w:p w:rsidR="007D13F3" w:rsidRDefault="007D13F3" w:rsidP="007D13F3">
      <w:pPr>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7D13F3" w:rsidRPr="000F3286" w:rsidTr="00465CAC">
        <w:trPr>
          <w:trHeight w:hRule="exact" w:val="255"/>
        </w:trPr>
        <w:tc>
          <w:tcPr>
            <w:tcW w:w="117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D13F3" w:rsidRPr="000F3286" w:rsidRDefault="007D13F3" w:rsidP="00465CAC">
            <w:pPr>
              <w:rPr>
                <w:rFonts w:ascii="Times New Roman" w:hAnsi="Times New Roman" w:cs="Times New Roman"/>
                <w:sz w:val="14"/>
                <w:szCs w:val="14"/>
                <w:lang w:eastAsia="sk-SK"/>
              </w:rPr>
            </w:pPr>
            <w:r w:rsidRPr="000F3286">
              <w:rPr>
                <w:rFonts w:ascii="Times New Roman" w:hAnsi="Times New Roman" w:cs="Times New Roman"/>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0F3286" w:rsidRDefault="007D13F3" w:rsidP="00465CAC">
            <w:pPr>
              <w:jc w:val="center"/>
              <w:rPr>
                <w:rFonts w:ascii="Times New Roman" w:hAnsi="Times New Roman" w:cs="Times New Roman"/>
                <w:b/>
                <w:bCs/>
                <w:sz w:val="14"/>
                <w:szCs w:val="14"/>
                <w:lang w:eastAsia="sk-SK"/>
              </w:rPr>
            </w:pPr>
            <w:r w:rsidRPr="000F3286">
              <w:rPr>
                <w:rFonts w:ascii="Times New Roman" w:hAnsi="Times New Roman" w:cs="Times New Roman"/>
                <w:b/>
                <w:bCs/>
                <w:sz w:val="14"/>
                <w:szCs w:val="14"/>
                <w:lang w:eastAsia="sk-SK"/>
              </w:rPr>
              <w:t>2015 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0F3286" w:rsidRDefault="007D13F3" w:rsidP="00465CAC">
            <w:pPr>
              <w:jc w:val="center"/>
              <w:rPr>
                <w:rFonts w:ascii="Times New Roman" w:hAnsi="Times New Roman" w:cs="Times New Roman"/>
                <w:b/>
                <w:bCs/>
                <w:sz w:val="14"/>
                <w:szCs w:val="14"/>
                <w:lang w:eastAsia="sk-SK"/>
              </w:rPr>
            </w:pPr>
            <w:r w:rsidRPr="000F3286">
              <w:rPr>
                <w:rFonts w:ascii="Times New Roman" w:hAnsi="Times New Roman" w:cs="Times New Roman"/>
                <w:b/>
                <w:bCs/>
                <w:sz w:val="14"/>
                <w:szCs w:val="14"/>
                <w:lang w:eastAsia="sk-SK"/>
              </w:rPr>
              <w:t>2016 OS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0F3286" w:rsidRDefault="007D13F3" w:rsidP="00465CAC">
            <w:pPr>
              <w:jc w:val="center"/>
              <w:rPr>
                <w:rFonts w:ascii="Times New Roman" w:hAnsi="Times New Roman" w:cs="Times New Roman"/>
                <w:b/>
                <w:bCs/>
                <w:sz w:val="14"/>
                <w:szCs w:val="14"/>
                <w:lang w:eastAsia="sk-SK"/>
              </w:rPr>
            </w:pPr>
            <w:r w:rsidRPr="000F3286">
              <w:rPr>
                <w:rFonts w:ascii="Times New Roman" w:hAnsi="Times New Roman" w:cs="Times New Roman"/>
                <w:b/>
                <w:bCs/>
                <w:sz w:val="14"/>
                <w:szCs w:val="14"/>
                <w:lang w:eastAsia="sk-SK"/>
              </w:rPr>
              <w:t>2017 N</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0F3286" w:rsidRDefault="007D13F3" w:rsidP="00465CAC">
            <w:pPr>
              <w:jc w:val="center"/>
              <w:rPr>
                <w:rFonts w:ascii="Times New Roman" w:hAnsi="Times New Roman" w:cs="Times New Roman"/>
                <w:b/>
                <w:bCs/>
                <w:sz w:val="14"/>
                <w:szCs w:val="14"/>
                <w:lang w:eastAsia="sk-SK"/>
              </w:rPr>
            </w:pPr>
            <w:r w:rsidRPr="000F3286">
              <w:rPr>
                <w:rFonts w:ascii="Times New Roman" w:hAnsi="Times New Roman" w:cs="Times New Roman"/>
                <w:b/>
                <w:bCs/>
                <w:sz w:val="14"/>
                <w:szCs w:val="14"/>
                <w:lang w:eastAsia="sk-SK"/>
              </w:rPr>
              <w:t>2017 OS</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0F3286" w:rsidRDefault="007D13F3" w:rsidP="00465CAC">
            <w:pPr>
              <w:jc w:val="center"/>
              <w:rPr>
                <w:rFonts w:ascii="Times New Roman" w:hAnsi="Times New Roman" w:cs="Times New Roman"/>
                <w:b/>
                <w:bCs/>
                <w:sz w:val="14"/>
                <w:szCs w:val="14"/>
                <w:lang w:eastAsia="sk-SK"/>
              </w:rPr>
            </w:pPr>
            <w:r w:rsidRPr="000F3286">
              <w:rPr>
                <w:rFonts w:ascii="Times New Roman" w:hAnsi="Times New Roman" w:cs="Times New Roman"/>
                <w:b/>
                <w:bCs/>
                <w:sz w:val="14"/>
                <w:szCs w:val="14"/>
                <w:lang w:eastAsia="sk-SK"/>
              </w:rPr>
              <w:t>2018 N</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0F3286" w:rsidRDefault="007D13F3" w:rsidP="00465CAC">
            <w:pPr>
              <w:jc w:val="center"/>
              <w:rPr>
                <w:rFonts w:ascii="Times New Roman" w:hAnsi="Times New Roman" w:cs="Times New Roman"/>
                <w:b/>
                <w:bCs/>
                <w:sz w:val="14"/>
                <w:szCs w:val="14"/>
                <w:lang w:eastAsia="sk-SK"/>
              </w:rPr>
            </w:pPr>
            <w:r w:rsidRPr="000F3286">
              <w:rPr>
                <w:rFonts w:ascii="Times New Roman" w:hAnsi="Times New Roman" w:cs="Times New Roman"/>
                <w:b/>
                <w:bCs/>
                <w:sz w:val="14"/>
                <w:szCs w:val="14"/>
                <w:lang w:eastAsia="sk-SK"/>
              </w:rPr>
              <w:t>2019 N</w:t>
            </w:r>
          </w:p>
        </w:tc>
        <w:tc>
          <w:tcPr>
            <w:tcW w:w="547"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13F3" w:rsidRPr="000F3286" w:rsidRDefault="007D13F3" w:rsidP="00465CAC">
            <w:pPr>
              <w:jc w:val="center"/>
              <w:rPr>
                <w:rFonts w:ascii="Times New Roman" w:hAnsi="Times New Roman" w:cs="Times New Roman"/>
                <w:b/>
                <w:bCs/>
                <w:sz w:val="14"/>
                <w:szCs w:val="14"/>
                <w:lang w:eastAsia="sk-SK"/>
              </w:rPr>
            </w:pPr>
            <w:r w:rsidRPr="000F3286">
              <w:rPr>
                <w:rFonts w:ascii="Times New Roman" w:hAnsi="Times New Roman" w:cs="Times New Roman"/>
                <w:b/>
                <w:bCs/>
                <w:sz w:val="14"/>
                <w:szCs w:val="14"/>
                <w:lang w:eastAsia="sk-SK"/>
              </w:rPr>
              <w:t>2020 N</w:t>
            </w:r>
          </w:p>
        </w:tc>
      </w:tr>
      <w:tr w:rsidR="007D13F3" w:rsidRPr="000F3286"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7D13F3" w:rsidRPr="000F3286" w:rsidRDefault="007D13F3" w:rsidP="00465CAC">
            <w:pPr>
              <w:rPr>
                <w:rFonts w:ascii="Times New Roman" w:hAnsi="Times New Roman" w:cs="Times New Roman"/>
                <w:b/>
                <w:bCs/>
                <w:sz w:val="14"/>
                <w:szCs w:val="14"/>
                <w:lang w:eastAsia="sk-SK"/>
              </w:rPr>
            </w:pPr>
            <w:r w:rsidRPr="000F3286">
              <w:rPr>
                <w:rFonts w:ascii="Times New Roman" w:hAnsi="Times New Roman" w:cs="Times New Roman"/>
                <w:b/>
                <w:bCs/>
                <w:sz w:val="14"/>
                <w:szCs w:val="14"/>
                <w:lang w:eastAsia="sk-SK"/>
              </w:rPr>
              <w:t>Zdroje príslušnej kapitoly</w:t>
            </w:r>
          </w:p>
        </w:tc>
        <w:tc>
          <w:tcPr>
            <w:tcW w:w="547"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F3286" w:rsidRDefault="007D13F3" w:rsidP="00465CAC">
            <w:pPr>
              <w:jc w:val="right"/>
              <w:rPr>
                <w:rFonts w:ascii="Times New Roman" w:hAnsi="Times New Roman" w:cs="Times New Roman"/>
                <w:b/>
                <w:bCs/>
                <w:sz w:val="14"/>
                <w:szCs w:val="14"/>
                <w:lang w:eastAsia="sk-SK"/>
              </w:rPr>
            </w:pPr>
            <w:r w:rsidRPr="000F3286">
              <w:rPr>
                <w:rFonts w:ascii="Times New Roman" w:hAnsi="Times New Roman" w:cs="Times New Roman"/>
                <w:b/>
                <w:bCs/>
                <w:sz w:val="14"/>
                <w:szCs w:val="14"/>
                <w:lang w:eastAsia="sk-SK"/>
              </w:rPr>
              <w:t>441 077 162</w:t>
            </w:r>
          </w:p>
        </w:tc>
        <w:tc>
          <w:tcPr>
            <w:tcW w:w="547"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F3286" w:rsidRDefault="007D13F3" w:rsidP="00465CAC">
            <w:pPr>
              <w:jc w:val="right"/>
              <w:rPr>
                <w:rFonts w:ascii="Times New Roman" w:hAnsi="Times New Roman" w:cs="Times New Roman"/>
                <w:b/>
                <w:bCs/>
                <w:sz w:val="14"/>
                <w:szCs w:val="14"/>
                <w:lang w:eastAsia="sk-SK"/>
              </w:rPr>
            </w:pPr>
            <w:r w:rsidRPr="000F3286">
              <w:rPr>
                <w:rFonts w:ascii="Times New Roman" w:hAnsi="Times New Roman" w:cs="Times New Roman"/>
                <w:b/>
                <w:bCs/>
                <w:sz w:val="14"/>
                <w:szCs w:val="14"/>
                <w:lang w:eastAsia="sk-SK"/>
              </w:rPr>
              <w:t>419 543 193</w:t>
            </w:r>
          </w:p>
        </w:tc>
        <w:tc>
          <w:tcPr>
            <w:tcW w:w="547"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F3286" w:rsidRDefault="007D13F3" w:rsidP="00465CAC">
            <w:pPr>
              <w:jc w:val="right"/>
              <w:rPr>
                <w:rFonts w:ascii="Times New Roman" w:hAnsi="Times New Roman" w:cs="Times New Roman"/>
                <w:b/>
                <w:bCs/>
                <w:sz w:val="14"/>
                <w:szCs w:val="14"/>
                <w:lang w:eastAsia="sk-SK"/>
              </w:rPr>
            </w:pPr>
            <w:r w:rsidRPr="000F3286">
              <w:rPr>
                <w:rFonts w:ascii="Times New Roman" w:hAnsi="Times New Roman" w:cs="Times New Roman"/>
                <w:b/>
                <w:bCs/>
                <w:sz w:val="14"/>
                <w:szCs w:val="14"/>
                <w:lang w:eastAsia="sk-SK"/>
              </w:rPr>
              <w:t>250 908 120</w:t>
            </w:r>
          </w:p>
        </w:tc>
        <w:tc>
          <w:tcPr>
            <w:tcW w:w="547"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F3286" w:rsidRDefault="007D13F3" w:rsidP="00465CAC">
            <w:pPr>
              <w:jc w:val="right"/>
              <w:rPr>
                <w:rFonts w:ascii="Times New Roman" w:hAnsi="Times New Roman" w:cs="Times New Roman"/>
                <w:b/>
                <w:bCs/>
                <w:sz w:val="14"/>
                <w:szCs w:val="14"/>
                <w:lang w:eastAsia="sk-SK"/>
              </w:rPr>
            </w:pPr>
            <w:r w:rsidRPr="000F3286">
              <w:rPr>
                <w:rFonts w:ascii="Times New Roman" w:hAnsi="Times New Roman" w:cs="Times New Roman"/>
                <w:b/>
                <w:bCs/>
                <w:sz w:val="14"/>
                <w:szCs w:val="14"/>
                <w:lang w:eastAsia="sk-SK"/>
              </w:rPr>
              <w:t>188 085 222</w:t>
            </w:r>
          </w:p>
        </w:tc>
        <w:tc>
          <w:tcPr>
            <w:tcW w:w="547"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F3286" w:rsidRDefault="007D13F3" w:rsidP="00465CAC">
            <w:pPr>
              <w:jc w:val="right"/>
              <w:rPr>
                <w:rFonts w:ascii="Times New Roman" w:hAnsi="Times New Roman" w:cs="Times New Roman"/>
                <w:b/>
                <w:bCs/>
                <w:sz w:val="14"/>
                <w:szCs w:val="14"/>
                <w:lang w:eastAsia="sk-SK"/>
              </w:rPr>
            </w:pPr>
            <w:r w:rsidRPr="000F3286">
              <w:rPr>
                <w:rFonts w:ascii="Times New Roman" w:hAnsi="Times New Roman" w:cs="Times New Roman"/>
                <w:b/>
                <w:bCs/>
                <w:sz w:val="14"/>
                <w:szCs w:val="14"/>
                <w:lang w:eastAsia="sk-SK"/>
              </w:rPr>
              <w:t>256 049 889</w:t>
            </w:r>
          </w:p>
        </w:tc>
        <w:tc>
          <w:tcPr>
            <w:tcW w:w="547"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F3286" w:rsidRDefault="007D13F3" w:rsidP="00465CAC">
            <w:pPr>
              <w:jc w:val="right"/>
              <w:rPr>
                <w:rFonts w:ascii="Times New Roman" w:hAnsi="Times New Roman" w:cs="Times New Roman"/>
                <w:b/>
                <w:bCs/>
                <w:sz w:val="14"/>
                <w:szCs w:val="14"/>
                <w:lang w:eastAsia="sk-SK"/>
              </w:rPr>
            </w:pPr>
            <w:r w:rsidRPr="000F3286">
              <w:rPr>
                <w:rFonts w:ascii="Times New Roman" w:hAnsi="Times New Roman" w:cs="Times New Roman"/>
                <w:b/>
                <w:bCs/>
                <w:sz w:val="14"/>
                <w:szCs w:val="14"/>
                <w:lang w:eastAsia="sk-SK"/>
              </w:rPr>
              <w:t>341 440 490</w:t>
            </w:r>
          </w:p>
        </w:tc>
        <w:tc>
          <w:tcPr>
            <w:tcW w:w="547"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F3286" w:rsidRDefault="007D13F3" w:rsidP="00465CAC">
            <w:pPr>
              <w:jc w:val="right"/>
              <w:rPr>
                <w:rFonts w:ascii="Times New Roman" w:hAnsi="Times New Roman" w:cs="Times New Roman"/>
                <w:b/>
                <w:bCs/>
                <w:sz w:val="14"/>
                <w:szCs w:val="14"/>
                <w:lang w:eastAsia="sk-SK"/>
              </w:rPr>
            </w:pPr>
            <w:r w:rsidRPr="000F3286">
              <w:rPr>
                <w:rFonts w:ascii="Times New Roman" w:hAnsi="Times New Roman" w:cs="Times New Roman"/>
                <w:b/>
                <w:bCs/>
                <w:sz w:val="14"/>
                <w:szCs w:val="14"/>
                <w:lang w:eastAsia="sk-SK"/>
              </w:rPr>
              <w:t>339 434 548</w:t>
            </w:r>
          </w:p>
        </w:tc>
      </w:tr>
      <w:tr w:rsidR="007D13F3" w:rsidRPr="000F3286"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7D13F3" w:rsidRPr="000F3286" w:rsidRDefault="007D13F3" w:rsidP="00465CAC">
            <w:pPr>
              <w:rPr>
                <w:rFonts w:ascii="Times New Roman" w:hAnsi="Times New Roman" w:cs="Times New Roman"/>
                <w:sz w:val="14"/>
                <w:szCs w:val="14"/>
                <w:lang w:eastAsia="sk-SK"/>
              </w:rPr>
            </w:pPr>
            <w:proofErr w:type="spellStart"/>
            <w:r w:rsidRPr="000F3286">
              <w:rPr>
                <w:rFonts w:ascii="Times New Roman" w:hAnsi="Times New Roman" w:cs="Times New Roman"/>
                <w:sz w:val="14"/>
                <w:szCs w:val="14"/>
                <w:lang w:eastAsia="sk-SK"/>
              </w:rPr>
              <w:t>Reštrukt</w:t>
            </w:r>
            <w:proofErr w:type="spellEnd"/>
            <w:r w:rsidRPr="000F3286">
              <w:rPr>
                <w:rFonts w:ascii="Times New Roman" w:hAnsi="Times New Roman" w:cs="Times New Roman"/>
                <w:sz w:val="14"/>
                <w:szCs w:val="14"/>
                <w:lang w:eastAsia="sk-SK"/>
              </w:rPr>
              <w:t>. priem. odvetví</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69 665 188</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113 542 018</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66 268 874</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66 568 874</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67 448 530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68 859 837</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70 222 727</w:t>
            </w:r>
          </w:p>
        </w:tc>
      </w:tr>
      <w:tr w:rsidR="007D13F3" w:rsidRPr="000F3286"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7D13F3" w:rsidRPr="000F3286" w:rsidRDefault="007D13F3" w:rsidP="00465CAC">
            <w:pPr>
              <w:rPr>
                <w:rFonts w:ascii="Times New Roman" w:hAnsi="Times New Roman" w:cs="Times New Roman"/>
                <w:sz w:val="14"/>
                <w:szCs w:val="14"/>
                <w:lang w:eastAsia="sk-SK"/>
              </w:rPr>
            </w:pPr>
            <w:r w:rsidRPr="000F3286">
              <w:rPr>
                <w:rFonts w:ascii="Times New Roman" w:hAnsi="Times New Roman" w:cs="Times New Roman"/>
                <w:sz w:val="14"/>
                <w:szCs w:val="14"/>
                <w:lang w:eastAsia="sk-SK"/>
              </w:rPr>
              <w:t>Podpora podnikania</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6 363 595</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3 770 771</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5 020 000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6 475 000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4 300 000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4 300 000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4 300 000</w:t>
            </w:r>
          </w:p>
        </w:tc>
      </w:tr>
      <w:tr w:rsidR="007D13F3" w:rsidRPr="000F3286"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7D13F3" w:rsidRPr="000F3286" w:rsidRDefault="007D13F3" w:rsidP="00465CAC">
            <w:pPr>
              <w:rPr>
                <w:rFonts w:ascii="Times New Roman" w:hAnsi="Times New Roman" w:cs="Times New Roman"/>
                <w:sz w:val="14"/>
                <w:szCs w:val="14"/>
                <w:lang w:eastAsia="sk-SK"/>
              </w:rPr>
            </w:pPr>
            <w:proofErr w:type="spellStart"/>
            <w:r>
              <w:rPr>
                <w:rFonts w:ascii="Times New Roman" w:hAnsi="Times New Roman" w:cs="Times New Roman"/>
                <w:sz w:val="14"/>
                <w:szCs w:val="14"/>
                <w:lang w:eastAsia="sk-SK"/>
              </w:rPr>
              <w:t>Invest</w:t>
            </w:r>
            <w:proofErr w:type="spellEnd"/>
            <w:r>
              <w:rPr>
                <w:rFonts w:ascii="Times New Roman" w:hAnsi="Times New Roman" w:cs="Times New Roman"/>
                <w:sz w:val="14"/>
                <w:szCs w:val="14"/>
                <w:lang w:eastAsia="sk-SK"/>
              </w:rPr>
              <w:t>. projekty</w:t>
            </w:r>
            <w:r w:rsidRPr="000F3286">
              <w:rPr>
                <w:rFonts w:ascii="Times New Roman" w:hAnsi="Times New Roman" w:cs="Times New Roman"/>
                <w:sz w:val="14"/>
                <w:szCs w:val="14"/>
                <w:lang w:eastAsia="sk-SK"/>
              </w:rPr>
              <w:t>, reg. rozvoj</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12 025 806</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5 222 973</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45 029 709</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42 949 032</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26 397 461</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15 872 121</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13 418 675</w:t>
            </w:r>
          </w:p>
        </w:tc>
      </w:tr>
      <w:tr w:rsidR="007D13F3" w:rsidRPr="000F3286"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7D13F3" w:rsidRPr="000F3286" w:rsidRDefault="007D13F3" w:rsidP="00465CAC">
            <w:pPr>
              <w:rPr>
                <w:rFonts w:ascii="Times New Roman" w:hAnsi="Times New Roman" w:cs="Times New Roman"/>
                <w:sz w:val="14"/>
                <w:szCs w:val="14"/>
                <w:lang w:eastAsia="sk-SK"/>
              </w:rPr>
            </w:pPr>
            <w:r w:rsidRPr="000F3286">
              <w:rPr>
                <w:rFonts w:ascii="Times New Roman" w:hAnsi="Times New Roman" w:cs="Times New Roman"/>
                <w:sz w:val="14"/>
                <w:szCs w:val="14"/>
                <w:lang w:eastAsia="sk-SK"/>
              </w:rPr>
              <w:t>Inovácie</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177 334 041</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112 929 896</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1 000 000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1 000 000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0</w:t>
            </w:r>
          </w:p>
        </w:tc>
      </w:tr>
      <w:tr w:rsidR="007D13F3" w:rsidRPr="000F3286"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7D13F3" w:rsidRPr="000F3286" w:rsidRDefault="007D13F3" w:rsidP="00465CAC">
            <w:pPr>
              <w:rPr>
                <w:rFonts w:ascii="Times New Roman" w:hAnsi="Times New Roman" w:cs="Times New Roman"/>
                <w:sz w:val="14"/>
                <w:szCs w:val="14"/>
                <w:lang w:eastAsia="sk-SK"/>
              </w:rPr>
            </w:pPr>
            <w:r w:rsidRPr="000F3286">
              <w:rPr>
                <w:rFonts w:ascii="Times New Roman" w:hAnsi="Times New Roman" w:cs="Times New Roman"/>
                <w:sz w:val="14"/>
                <w:szCs w:val="14"/>
                <w:lang w:eastAsia="sk-SK"/>
              </w:rPr>
              <w:t>Energetika</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99 092 059</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82 841 212</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300 000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0</w:t>
            </w:r>
          </w:p>
        </w:tc>
      </w:tr>
      <w:tr w:rsidR="007D13F3" w:rsidRPr="000F3286"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7D13F3" w:rsidRPr="000F3286" w:rsidRDefault="007D13F3" w:rsidP="00465CAC">
            <w:pPr>
              <w:rPr>
                <w:rFonts w:ascii="Times New Roman" w:hAnsi="Times New Roman" w:cs="Times New Roman"/>
                <w:sz w:val="14"/>
                <w:szCs w:val="14"/>
                <w:lang w:eastAsia="sk-SK"/>
              </w:rPr>
            </w:pPr>
            <w:r w:rsidRPr="000F3286">
              <w:rPr>
                <w:rFonts w:ascii="Times New Roman" w:hAnsi="Times New Roman" w:cs="Times New Roman"/>
                <w:sz w:val="14"/>
                <w:szCs w:val="14"/>
                <w:lang w:eastAsia="sk-SK"/>
              </w:rPr>
              <w:t>Cestovný ruch</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35 334 951</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39 740 297</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0</w:t>
            </w:r>
          </w:p>
        </w:tc>
      </w:tr>
      <w:tr w:rsidR="007D13F3" w:rsidRPr="000F3286"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7D13F3" w:rsidRPr="000F3286" w:rsidRDefault="007D13F3" w:rsidP="00465CAC">
            <w:pPr>
              <w:rPr>
                <w:rFonts w:ascii="Times New Roman" w:hAnsi="Times New Roman" w:cs="Times New Roman"/>
                <w:sz w:val="14"/>
                <w:szCs w:val="14"/>
                <w:lang w:eastAsia="sk-SK"/>
              </w:rPr>
            </w:pPr>
            <w:r w:rsidRPr="000F3286">
              <w:rPr>
                <w:rFonts w:ascii="Times New Roman" w:hAnsi="Times New Roman" w:cs="Times New Roman"/>
                <w:sz w:val="14"/>
                <w:szCs w:val="14"/>
                <w:lang w:eastAsia="sk-SK"/>
              </w:rPr>
              <w:t>OP Výskum a inovácie</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25 231 441</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99 604 131</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32 681 320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127 462 402</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221 888 670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220 958 184</w:t>
            </w:r>
          </w:p>
        </w:tc>
      </w:tr>
      <w:tr w:rsidR="007D13F3" w:rsidRPr="000F3286"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7D13F3" w:rsidRPr="000F3286" w:rsidRDefault="007D13F3" w:rsidP="00465CAC">
            <w:pPr>
              <w:rPr>
                <w:rFonts w:ascii="Times New Roman" w:hAnsi="Times New Roman" w:cs="Times New Roman"/>
                <w:sz w:val="14"/>
                <w:szCs w:val="14"/>
                <w:lang w:eastAsia="sk-SK"/>
              </w:rPr>
            </w:pPr>
            <w:r w:rsidRPr="000F3286">
              <w:rPr>
                <w:rFonts w:ascii="Times New Roman" w:hAnsi="Times New Roman" w:cs="Times New Roman"/>
                <w:sz w:val="14"/>
                <w:szCs w:val="14"/>
                <w:lang w:eastAsia="sk-SK"/>
              </w:rPr>
              <w:t>Administratíva</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41 261 522</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36 264 585</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33 985 406</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38 110 996</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30 441 496</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30 519 862</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F3286" w:rsidRDefault="007D13F3" w:rsidP="00465CAC">
            <w:pPr>
              <w:jc w:val="right"/>
              <w:rPr>
                <w:rFonts w:ascii="Times New Roman" w:hAnsi="Times New Roman" w:cs="Times New Roman"/>
                <w:sz w:val="14"/>
                <w:szCs w:val="14"/>
                <w:lang w:eastAsia="sk-SK"/>
              </w:rPr>
            </w:pPr>
            <w:r w:rsidRPr="000F3286">
              <w:rPr>
                <w:rFonts w:ascii="Times New Roman" w:hAnsi="Times New Roman" w:cs="Times New Roman"/>
                <w:sz w:val="14"/>
                <w:szCs w:val="14"/>
                <w:lang w:eastAsia="sk-SK"/>
              </w:rPr>
              <w:t>30 534 962</w:t>
            </w:r>
          </w:p>
        </w:tc>
      </w:tr>
    </w:tbl>
    <w:p w:rsidR="007D13F3" w:rsidRPr="004617A9" w:rsidRDefault="007D13F3" w:rsidP="007D13F3">
      <w:pPr>
        <w:jc w:val="both"/>
        <w:rPr>
          <w:rFonts w:ascii="Times New Roman" w:hAnsi="Times New Roman" w:cs="Times New Roman"/>
          <w:b/>
          <w:lang w:eastAsia="sk-SK"/>
        </w:rPr>
      </w:pPr>
    </w:p>
    <w:p w:rsidR="007D13F3" w:rsidRDefault="007D13F3" w:rsidP="007D13F3">
      <w:pPr>
        <w:jc w:val="both"/>
        <w:rPr>
          <w:rFonts w:ascii="Times New Roman" w:hAnsi="Times New Roman" w:cs="Times New Roman"/>
          <w:b/>
          <w:lang w:eastAsia="sk-SK"/>
        </w:rPr>
      </w:pPr>
      <w:r w:rsidRPr="004617A9">
        <w:rPr>
          <w:rFonts w:ascii="Times New Roman" w:hAnsi="Times New Roman" w:cs="Times New Roman"/>
          <w:b/>
          <w:lang w:eastAsia="sk-SK"/>
        </w:rPr>
        <w:t>Reštrukturalizácia priemyselných odvetví</w:t>
      </w:r>
    </w:p>
    <w:p w:rsidR="007D13F3" w:rsidRDefault="007D13F3" w:rsidP="007D13F3">
      <w:pPr>
        <w:jc w:val="both"/>
        <w:rPr>
          <w:rFonts w:ascii="Times New Roman" w:hAnsi="Times New Roman" w:cs="Times New Roman"/>
          <w:b/>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7D13F3" w:rsidRPr="00684391" w:rsidTr="00465CAC">
        <w:trPr>
          <w:trHeight w:hRule="exact" w:val="255"/>
        </w:trPr>
        <w:tc>
          <w:tcPr>
            <w:tcW w:w="1171" w:type="pct"/>
            <w:shd w:val="clear" w:color="000000" w:fill="A6A6A6"/>
            <w:noWrap/>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v eurách</w:t>
            </w:r>
          </w:p>
        </w:tc>
        <w:tc>
          <w:tcPr>
            <w:tcW w:w="547" w:type="pct"/>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2015 S</w:t>
            </w:r>
          </w:p>
        </w:tc>
        <w:tc>
          <w:tcPr>
            <w:tcW w:w="547" w:type="pct"/>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2016  S</w:t>
            </w:r>
          </w:p>
        </w:tc>
        <w:tc>
          <w:tcPr>
            <w:tcW w:w="547" w:type="pct"/>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2017 R</w:t>
            </w:r>
          </w:p>
        </w:tc>
        <w:tc>
          <w:tcPr>
            <w:tcW w:w="547" w:type="pct"/>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2017 OS</w:t>
            </w:r>
          </w:p>
        </w:tc>
        <w:tc>
          <w:tcPr>
            <w:tcW w:w="547" w:type="pct"/>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2018 N</w:t>
            </w:r>
          </w:p>
        </w:tc>
        <w:tc>
          <w:tcPr>
            <w:tcW w:w="547" w:type="pct"/>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2019 N</w:t>
            </w:r>
          </w:p>
        </w:tc>
        <w:tc>
          <w:tcPr>
            <w:tcW w:w="547" w:type="pct"/>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2020 N</w:t>
            </w:r>
          </w:p>
        </w:tc>
      </w:tr>
      <w:tr w:rsidR="007D13F3" w:rsidRPr="00684391" w:rsidTr="00465CAC">
        <w:trPr>
          <w:trHeight w:hRule="exact" w:val="255"/>
        </w:trPr>
        <w:tc>
          <w:tcPr>
            <w:tcW w:w="1171" w:type="pct"/>
            <w:shd w:val="clear" w:color="000000" w:fill="BFBFBF"/>
            <w:vAlign w:val="bottom"/>
            <w:hideMark/>
          </w:tcPr>
          <w:p w:rsidR="007D13F3" w:rsidRPr="00091A90" w:rsidRDefault="007D13F3" w:rsidP="00465CAC">
            <w:pPr>
              <w:rPr>
                <w:rFonts w:ascii="Times New Roman" w:hAnsi="Times New Roman" w:cs="Times New Roman"/>
                <w:b/>
                <w:bCs/>
                <w:sz w:val="14"/>
                <w:szCs w:val="14"/>
                <w:lang w:eastAsia="sk-SK"/>
              </w:rPr>
            </w:pPr>
            <w:proofErr w:type="spellStart"/>
            <w:r w:rsidRPr="00091A90">
              <w:rPr>
                <w:rFonts w:ascii="Times New Roman" w:hAnsi="Times New Roman" w:cs="Times New Roman"/>
                <w:b/>
                <w:bCs/>
                <w:sz w:val="14"/>
                <w:szCs w:val="14"/>
                <w:lang w:eastAsia="sk-SK"/>
              </w:rPr>
              <w:t>Reštruktur</w:t>
            </w:r>
            <w:proofErr w:type="spellEnd"/>
            <w:r w:rsidRPr="00091A90">
              <w:rPr>
                <w:rFonts w:ascii="Times New Roman" w:hAnsi="Times New Roman" w:cs="Times New Roman"/>
                <w:b/>
                <w:bCs/>
                <w:sz w:val="14"/>
                <w:szCs w:val="14"/>
                <w:lang w:eastAsia="sk-SK"/>
              </w:rPr>
              <w:t>. priem. odvetví</w:t>
            </w:r>
          </w:p>
        </w:tc>
        <w:tc>
          <w:tcPr>
            <w:tcW w:w="547" w:type="pct"/>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69 665 188</w:t>
            </w:r>
          </w:p>
        </w:tc>
        <w:tc>
          <w:tcPr>
            <w:tcW w:w="547" w:type="pct"/>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113 542 018</w:t>
            </w:r>
          </w:p>
        </w:tc>
        <w:tc>
          <w:tcPr>
            <w:tcW w:w="547" w:type="pct"/>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66 268 874</w:t>
            </w:r>
          </w:p>
        </w:tc>
        <w:tc>
          <w:tcPr>
            <w:tcW w:w="547" w:type="pct"/>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66 568 874</w:t>
            </w:r>
          </w:p>
        </w:tc>
        <w:tc>
          <w:tcPr>
            <w:tcW w:w="547" w:type="pct"/>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67 448 530</w:t>
            </w:r>
          </w:p>
        </w:tc>
        <w:tc>
          <w:tcPr>
            <w:tcW w:w="547" w:type="pct"/>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68 859 837</w:t>
            </w:r>
          </w:p>
        </w:tc>
        <w:tc>
          <w:tcPr>
            <w:tcW w:w="547" w:type="pct"/>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70 222 727</w:t>
            </w:r>
          </w:p>
        </w:tc>
      </w:tr>
      <w:tr w:rsidR="007D13F3" w:rsidRPr="00684391" w:rsidTr="00465CAC">
        <w:trPr>
          <w:trHeight w:hRule="exact" w:val="255"/>
        </w:trPr>
        <w:tc>
          <w:tcPr>
            <w:tcW w:w="1171" w:type="pct"/>
            <w:shd w:val="clear" w:color="000000" w:fill="FFFFFF"/>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Uhoľné baníctvo ŠR</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523 089</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299 000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308 000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308 000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296 000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292 000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289 000</w:t>
            </w:r>
          </w:p>
        </w:tc>
      </w:tr>
      <w:tr w:rsidR="007D13F3" w:rsidRPr="00684391" w:rsidTr="00465CAC">
        <w:trPr>
          <w:trHeight w:hRule="exact" w:val="255"/>
        </w:trPr>
        <w:tc>
          <w:tcPr>
            <w:tcW w:w="1171" w:type="pct"/>
            <w:shd w:val="clear" w:color="000000" w:fill="FFFFFF"/>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 xml:space="preserve">Rudné baníctvo ŠR </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1 561 000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1 559 850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1 782 334</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1 782 334</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1 814 820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1 930 477</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1 930 477</w:t>
            </w:r>
          </w:p>
        </w:tc>
      </w:tr>
      <w:tr w:rsidR="007D13F3" w:rsidRPr="00684391" w:rsidTr="00465CAC">
        <w:trPr>
          <w:trHeight w:hRule="exact" w:val="255"/>
        </w:trPr>
        <w:tc>
          <w:tcPr>
            <w:tcW w:w="1171" w:type="pct"/>
            <w:shd w:val="clear" w:color="000000" w:fill="FFFFFF"/>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Transfer do NJF - ZRAM</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146 521</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270 381</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380 000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380 000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387 600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395 350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403 250</w:t>
            </w:r>
          </w:p>
        </w:tc>
      </w:tr>
      <w:tr w:rsidR="007D13F3" w:rsidRPr="00684391" w:rsidTr="00465CAC">
        <w:trPr>
          <w:trHeight w:hRule="exact" w:val="255"/>
        </w:trPr>
        <w:tc>
          <w:tcPr>
            <w:tcW w:w="1171" w:type="pct"/>
            <w:shd w:val="clear" w:color="000000" w:fill="FFFFFF"/>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Staré banské diela</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100 000</w:t>
            </w:r>
          </w:p>
        </w:tc>
      </w:tr>
      <w:tr w:rsidR="007D13F3" w:rsidRPr="00684391" w:rsidTr="00465CAC">
        <w:trPr>
          <w:trHeight w:hRule="exact" w:val="255"/>
        </w:trPr>
        <w:tc>
          <w:tcPr>
            <w:tcW w:w="1171" w:type="pct"/>
            <w:shd w:val="clear" w:color="000000" w:fill="FFFFFF"/>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Tradície banských činností</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30 000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r w:rsidRPr="00091A90">
              <w:rPr>
                <w:rFonts w:ascii="Times New Roman" w:hAnsi="Times New Roman" w:cs="Times New Roman"/>
                <w:sz w:val="14"/>
                <w:szCs w:val="14"/>
                <w:lang w:eastAsia="sk-SK"/>
              </w:rPr>
              <w:t> </w:t>
            </w:r>
          </w:p>
        </w:tc>
      </w:tr>
      <w:tr w:rsidR="007D13F3" w:rsidRPr="00684391" w:rsidTr="00465CAC">
        <w:trPr>
          <w:trHeight w:hRule="exact" w:val="255"/>
        </w:trPr>
        <w:tc>
          <w:tcPr>
            <w:tcW w:w="1171" w:type="pct"/>
            <w:shd w:val="clear" w:color="000000" w:fill="FFFFFF"/>
            <w:vAlign w:val="bottom"/>
            <w:hideMark/>
          </w:tcPr>
          <w:p w:rsidR="007D13F3" w:rsidRPr="00091A90" w:rsidRDefault="007D13F3" w:rsidP="00B61698">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 xml:space="preserve">NJF- odvody od prenos. a </w:t>
            </w:r>
            <w:proofErr w:type="spellStart"/>
            <w:r w:rsidRPr="00091A90">
              <w:rPr>
                <w:rFonts w:ascii="Times New Roman" w:hAnsi="Times New Roman" w:cs="Times New Roman"/>
                <w:sz w:val="14"/>
                <w:szCs w:val="14"/>
                <w:lang w:eastAsia="sk-SK"/>
              </w:rPr>
              <w:t>distr</w:t>
            </w:r>
            <w:proofErr w:type="spellEnd"/>
            <w:r w:rsidRPr="00091A90">
              <w:rPr>
                <w:rFonts w:ascii="Times New Roman" w:hAnsi="Times New Roman" w:cs="Times New Roman"/>
                <w:sz w:val="14"/>
                <w:szCs w:val="14"/>
                <w:lang w:eastAsia="sk-SK"/>
              </w:rPr>
              <w:t xml:space="preserve">. </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67 334 578</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65 176 259</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63 698 540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63 698 540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64 845 110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66 142 010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67 500 000</w:t>
            </w:r>
          </w:p>
        </w:tc>
      </w:tr>
      <w:tr w:rsidR="007D13F3" w:rsidRPr="00684391" w:rsidTr="00465CAC">
        <w:trPr>
          <w:trHeight w:hRule="exact" w:val="255"/>
        </w:trPr>
        <w:tc>
          <w:tcPr>
            <w:tcW w:w="1171" w:type="pct"/>
            <w:shd w:val="clear" w:color="000000" w:fill="FFFFFF"/>
            <w:vAlign w:val="bottom"/>
            <w:hideMark/>
          </w:tcPr>
          <w:p w:rsidR="007D13F3" w:rsidRPr="00091A90" w:rsidRDefault="007D13F3" w:rsidP="00465CAC">
            <w:pPr>
              <w:rPr>
                <w:rFonts w:ascii="Times New Roman" w:hAnsi="Times New Roman" w:cs="Times New Roman"/>
                <w:sz w:val="14"/>
                <w:szCs w:val="14"/>
                <w:lang w:eastAsia="sk-SK"/>
              </w:rPr>
            </w:pPr>
            <w:proofErr w:type="spellStart"/>
            <w:r w:rsidRPr="00091A90">
              <w:rPr>
                <w:rFonts w:ascii="Times New Roman" w:hAnsi="Times New Roman" w:cs="Times New Roman"/>
                <w:sz w:val="14"/>
                <w:szCs w:val="14"/>
                <w:lang w:eastAsia="sk-SK"/>
              </w:rPr>
              <w:t>Prisp</w:t>
            </w:r>
            <w:proofErr w:type="spellEnd"/>
            <w:r w:rsidRPr="00091A90">
              <w:rPr>
                <w:rFonts w:ascii="Times New Roman" w:hAnsi="Times New Roman" w:cs="Times New Roman"/>
                <w:sz w:val="14"/>
                <w:szCs w:val="14"/>
                <w:lang w:eastAsia="sk-SK"/>
              </w:rPr>
              <w:t xml:space="preserve">. pre domác. za </w:t>
            </w:r>
            <w:proofErr w:type="spellStart"/>
            <w:r w:rsidRPr="00091A90">
              <w:rPr>
                <w:rFonts w:ascii="Times New Roman" w:hAnsi="Times New Roman" w:cs="Times New Roman"/>
                <w:sz w:val="14"/>
                <w:szCs w:val="14"/>
                <w:lang w:eastAsia="sk-SK"/>
              </w:rPr>
              <w:t>spotr</w:t>
            </w:r>
            <w:proofErr w:type="spellEnd"/>
            <w:r w:rsidRPr="00091A90">
              <w:rPr>
                <w:rFonts w:ascii="Times New Roman" w:hAnsi="Times New Roman" w:cs="Times New Roman"/>
                <w:sz w:val="14"/>
                <w:szCs w:val="14"/>
                <w:lang w:eastAsia="sk-SK"/>
              </w:rPr>
              <w:t>. plyn</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46 106 528</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300 000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5 000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r>
    </w:tbl>
    <w:p w:rsidR="007D13F3" w:rsidRPr="004617A9" w:rsidRDefault="007D13F3" w:rsidP="007D13F3">
      <w:pPr>
        <w:jc w:val="both"/>
        <w:rPr>
          <w:rFonts w:ascii="Times New Roman" w:hAnsi="Times New Roman" w:cs="Times New Roman"/>
          <w:b/>
          <w:lang w:eastAsia="sk-SK"/>
        </w:rPr>
      </w:pPr>
    </w:p>
    <w:p w:rsidR="007D13F3" w:rsidRPr="00556C69" w:rsidRDefault="007D13F3" w:rsidP="007D13F3">
      <w:pPr>
        <w:ind w:firstLine="708"/>
        <w:jc w:val="both"/>
        <w:rPr>
          <w:rFonts w:ascii="Times New Roman" w:hAnsi="Times New Roman" w:cs="Times New Roman"/>
          <w:lang w:eastAsia="sk-SK"/>
        </w:rPr>
      </w:pPr>
      <w:r w:rsidRPr="004617A9">
        <w:rPr>
          <w:rFonts w:ascii="Times New Roman" w:hAnsi="Times New Roman" w:cs="Times New Roman"/>
          <w:lang w:eastAsia="sk-SK"/>
        </w:rPr>
        <w:lastRenderedPageBreak/>
        <w:t>Výdavky na reštrukturalizáciu priemyselných odvet</w:t>
      </w:r>
      <w:r>
        <w:rPr>
          <w:rFonts w:ascii="Times New Roman" w:hAnsi="Times New Roman" w:cs="Times New Roman"/>
          <w:lang w:eastAsia="sk-SK"/>
        </w:rPr>
        <w:t>ví v návrhu rozpočtu na rok 2018</w:t>
      </w:r>
      <w:r w:rsidRPr="004617A9">
        <w:rPr>
          <w:rFonts w:ascii="Times New Roman" w:hAnsi="Times New Roman" w:cs="Times New Roman"/>
          <w:lang w:eastAsia="sk-SK"/>
        </w:rPr>
        <w:t xml:space="preserve"> </w:t>
      </w:r>
      <w:r w:rsidRPr="00CE5942">
        <w:rPr>
          <w:rFonts w:ascii="Times New Roman" w:hAnsi="Times New Roman" w:cs="Times New Roman"/>
          <w:lang w:eastAsia="sk-SK"/>
        </w:rPr>
        <w:t xml:space="preserve">predstavujú sumu </w:t>
      </w:r>
      <w:r>
        <w:rPr>
          <w:rFonts w:ascii="Times New Roman" w:hAnsi="Times New Roman" w:cs="Times New Roman"/>
          <w:lang w:eastAsia="sk-SK"/>
        </w:rPr>
        <w:t>67,4</w:t>
      </w:r>
      <w:r w:rsidRPr="00CE5942">
        <w:rPr>
          <w:rFonts w:ascii="Times New Roman" w:hAnsi="Times New Roman" w:cs="Times New Roman"/>
          <w:lang w:eastAsia="sk-SK"/>
        </w:rPr>
        <w:t xml:space="preserve"> mil. eur </w:t>
      </w:r>
      <w:r>
        <w:rPr>
          <w:rFonts w:ascii="Times New Roman" w:hAnsi="Times New Roman" w:cs="Times New Roman"/>
          <w:lang w:eastAsia="sk-SK"/>
        </w:rPr>
        <w:t xml:space="preserve">a v porovnaní so schváleným rozpočtom na rok 2017 rastú </w:t>
      </w:r>
      <w:r>
        <w:rPr>
          <w:rFonts w:ascii="Times New Roman" w:hAnsi="Times New Roman" w:cs="Times New Roman"/>
          <w:lang w:eastAsia="sk-SK"/>
        </w:rPr>
        <w:br/>
        <w:t xml:space="preserve">o 1,18 mil. eur, t. j. o 1,78 % </w:t>
      </w:r>
      <w:r w:rsidRPr="007307B5">
        <w:rPr>
          <w:rFonts w:ascii="Times New Roman" w:hAnsi="Times New Roman" w:cs="Times New Roman"/>
          <w:lang w:eastAsia="sk-SK"/>
        </w:rPr>
        <w:t xml:space="preserve">najmä z dôvodu medziročného nárastu transferov pre NJF  </w:t>
      </w:r>
      <w:r w:rsidR="009C37FC">
        <w:rPr>
          <w:rFonts w:ascii="Times New Roman" w:hAnsi="Times New Roman" w:cs="Times New Roman"/>
          <w:lang w:eastAsia="sk-SK"/>
        </w:rPr>
        <w:br/>
      </w:r>
      <w:r w:rsidRPr="007307B5">
        <w:rPr>
          <w:rFonts w:ascii="Times New Roman" w:hAnsi="Times New Roman" w:cs="Times New Roman"/>
          <w:lang w:eastAsia="sk-SK"/>
        </w:rPr>
        <w:t>o 1,15 mil. eur</w:t>
      </w:r>
      <w:r>
        <w:rPr>
          <w:rFonts w:ascii="Times New Roman" w:hAnsi="Times New Roman" w:cs="Times New Roman"/>
          <w:lang w:eastAsia="sk-SK"/>
        </w:rPr>
        <w:t>.</w:t>
      </w:r>
      <w:r w:rsidRPr="00CE5942">
        <w:rPr>
          <w:rFonts w:ascii="Times New Roman" w:hAnsi="Times New Roman" w:cs="Times New Roman"/>
          <w:lang w:eastAsia="sk-SK"/>
        </w:rPr>
        <w:t xml:space="preserve"> </w:t>
      </w:r>
    </w:p>
    <w:p w:rsidR="007D13F3" w:rsidRPr="004617A9" w:rsidRDefault="007D13F3" w:rsidP="007D13F3">
      <w:pPr>
        <w:jc w:val="both"/>
        <w:rPr>
          <w:rFonts w:ascii="Times New Roman" w:hAnsi="Times New Roman" w:cs="Times New Roman"/>
          <w:b/>
          <w:lang w:eastAsia="sk-SK"/>
        </w:rPr>
      </w:pPr>
    </w:p>
    <w:p w:rsidR="007D13F3" w:rsidRDefault="007D13F3" w:rsidP="007D13F3">
      <w:pPr>
        <w:ind w:firstLine="708"/>
        <w:jc w:val="both"/>
        <w:rPr>
          <w:rFonts w:ascii="Times New Roman" w:hAnsi="Times New Roman" w:cs="Times New Roman"/>
          <w:color w:val="000000"/>
          <w:lang w:eastAsia="sk-SK"/>
        </w:rPr>
      </w:pPr>
      <w:r w:rsidRPr="004617A9">
        <w:rPr>
          <w:rFonts w:ascii="Times New Roman" w:hAnsi="Times New Roman" w:cs="Times New Roman"/>
          <w:lang w:eastAsia="sk-SK"/>
        </w:rPr>
        <w:t xml:space="preserve">Výdavky v tejto oblasti sú smerované do oblasti uhoľného baníctva na deputátne uhlie pre dôchodcov a vdovy po baníkoch. V oblasti  rudného baníctva sú výdavky určené </w:t>
      </w:r>
      <w:r>
        <w:rPr>
          <w:rFonts w:ascii="Times New Roman" w:hAnsi="Times New Roman" w:cs="Times New Roman"/>
          <w:lang w:eastAsia="sk-SK"/>
        </w:rPr>
        <w:br/>
      </w:r>
      <w:r w:rsidRPr="004617A9">
        <w:rPr>
          <w:rFonts w:ascii="Times New Roman" w:hAnsi="Times New Roman" w:cs="Times New Roman"/>
          <w:lang w:eastAsia="sk-SK"/>
        </w:rPr>
        <w:t xml:space="preserve">na technické práce na útlm a na </w:t>
      </w:r>
      <w:r w:rsidRPr="004A576A">
        <w:rPr>
          <w:rFonts w:ascii="Times New Roman" w:hAnsi="Times New Roman" w:cs="Times New Roman"/>
          <w:lang w:eastAsia="sk-SK"/>
        </w:rPr>
        <w:t>zákonné sociálne náklady.</w:t>
      </w:r>
      <w:r w:rsidRPr="004617A9">
        <w:rPr>
          <w:rFonts w:ascii="Times New Roman" w:hAnsi="Times New Roman" w:cs="Times New Roman"/>
          <w:color w:val="000000"/>
          <w:lang w:eastAsia="sk-SK"/>
        </w:rPr>
        <w:t xml:space="preserve"> Výdavky ďalej smerujú </w:t>
      </w:r>
      <w:r>
        <w:rPr>
          <w:rFonts w:ascii="Times New Roman" w:hAnsi="Times New Roman" w:cs="Times New Roman"/>
          <w:color w:val="000000"/>
          <w:lang w:eastAsia="sk-SK"/>
        </w:rPr>
        <w:br/>
      </w:r>
      <w:r w:rsidRPr="004617A9">
        <w:rPr>
          <w:rFonts w:ascii="Times New Roman" w:hAnsi="Times New Roman" w:cs="Times New Roman"/>
          <w:color w:val="000000"/>
          <w:lang w:eastAsia="sk-SK"/>
        </w:rPr>
        <w:t>na zabezpečovanie alebo likvidáciu starých banských diel a ich následkov. Transfer pre</w:t>
      </w:r>
      <w:r>
        <w:rPr>
          <w:rFonts w:ascii="Times New Roman" w:hAnsi="Times New Roman" w:cs="Times New Roman"/>
          <w:color w:val="000000"/>
          <w:lang w:eastAsia="sk-SK"/>
        </w:rPr>
        <w:t xml:space="preserve"> NJF</w:t>
      </w:r>
      <w:r w:rsidRPr="004617A9">
        <w:rPr>
          <w:rFonts w:ascii="Times New Roman" w:hAnsi="Times New Roman" w:cs="Times New Roman"/>
          <w:color w:val="000000"/>
          <w:lang w:eastAsia="sk-SK"/>
        </w:rPr>
        <w:t xml:space="preserve"> je určený v zmysle zákona č. 238/2006 Z. z. o NJF na úhradu nákladov vynaložených </w:t>
      </w:r>
      <w:r>
        <w:rPr>
          <w:rFonts w:ascii="Times New Roman" w:hAnsi="Times New Roman" w:cs="Times New Roman"/>
          <w:color w:val="000000"/>
          <w:lang w:eastAsia="sk-SK"/>
        </w:rPr>
        <w:br/>
      </w:r>
      <w:r w:rsidRPr="004617A9">
        <w:rPr>
          <w:rFonts w:ascii="Times New Roman" w:hAnsi="Times New Roman" w:cs="Times New Roman"/>
          <w:color w:val="000000"/>
          <w:lang w:eastAsia="sk-SK"/>
        </w:rPr>
        <w:t>na nakladanie s jadrovým materiálom alebo rádioaktívnymi odpadmi, ktorých pôvodca nie je známy. MH SR poskytuje NJF aj transfer z odvodu</w:t>
      </w:r>
      <w:r>
        <w:rPr>
          <w:rFonts w:ascii="Times New Roman" w:hAnsi="Times New Roman" w:cs="Times New Roman"/>
          <w:color w:val="000000"/>
          <w:lang w:eastAsia="sk-SK"/>
        </w:rPr>
        <w:t xml:space="preserve"> od prevádzkovateľov prenosovej a distribučnej</w:t>
      </w:r>
      <w:r w:rsidRPr="004617A9">
        <w:rPr>
          <w:rFonts w:ascii="Times New Roman" w:hAnsi="Times New Roman" w:cs="Times New Roman"/>
          <w:color w:val="000000"/>
          <w:lang w:eastAsia="sk-SK"/>
        </w:rPr>
        <w:t xml:space="preserve"> sústav</w:t>
      </w:r>
      <w:r>
        <w:rPr>
          <w:rFonts w:ascii="Times New Roman" w:hAnsi="Times New Roman" w:cs="Times New Roman"/>
          <w:color w:val="000000"/>
          <w:lang w:eastAsia="sk-SK"/>
        </w:rPr>
        <w:t>y</w:t>
      </w:r>
      <w:r w:rsidRPr="004617A9">
        <w:rPr>
          <w:rFonts w:ascii="Times New Roman" w:hAnsi="Times New Roman" w:cs="Times New Roman"/>
          <w:color w:val="000000"/>
          <w:lang w:eastAsia="sk-SK"/>
        </w:rPr>
        <w:t>, určený na úhradu dlhu, ktorý vznikol pri tvorbe zdrojov na krytie nákladov záverečnej časti jadrovej energetiky.</w:t>
      </w:r>
    </w:p>
    <w:p w:rsidR="007D13F3" w:rsidRDefault="007D13F3" w:rsidP="007D13F3">
      <w:pPr>
        <w:jc w:val="both"/>
        <w:rPr>
          <w:rFonts w:ascii="Times New Roman" w:hAnsi="Times New Roman" w:cs="Times New Roman"/>
          <w:b/>
          <w:lang w:eastAsia="sk-SK"/>
        </w:rPr>
      </w:pPr>
    </w:p>
    <w:p w:rsidR="007D13F3" w:rsidRDefault="007D13F3" w:rsidP="007D13F3">
      <w:pPr>
        <w:jc w:val="both"/>
        <w:rPr>
          <w:rFonts w:ascii="Times New Roman" w:hAnsi="Times New Roman" w:cs="Times New Roman"/>
          <w:b/>
          <w:lang w:eastAsia="sk-SK"/>
        </w:rPr>
      </w:pPr>
      <w:r w:rsidRPr="004617A9">
        <w:rPr>
          <w:rFonts w:ascii="Times New Roman" w:hAnsi="Times New Roman" w:cs="Times New Roman"/>
          <w:b/>
          <w:lang w:eastAsia="sk-SK"/>
        </w:rPr>
        <w:t>Podpora podnikania</w:t>
      </w:r>
    </w:p>
    <w:p w:rsidR="007D13F3" w:rsidRDefault="007D13F3" w:rsidP="007D13F3">
      <w:pPr>
        <w:jc w:val="both"/>
        <w:rPr>
          <w:rFonts w:ascii="Times New Roman" w:hAnsi="Times New Roman" w:cs="Times New Roman"/>
          <w:b/>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7D13F3" w:rsidRPr="004A576A" w:rsidTr="00465CAC">
        <w:trPr>
          <w:trHeight w:hRule="exact" w:val="255"/>
        </w:trPr>
        <w:tc>
          <w:tcPr>
            <w:tcW w:w="1171" w:type="pct"/>
            <w:shd w:val="clear" w:color="000000" w:fill="A6A6A6"/>
            <w:noWrap/>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v eurách</w:t>
            </w:r>
          </w:p>
        </w:tc>
        <w:tc>
          <w:tcPr>
            <w:tcW w:w="547" w:type="pct"/>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2015 S</w:t>
            </w:r>
          </w:p>
        </w:tc>
        <w:tc>
          <w:tcPr>
            <w:tcW w:w="547" w:type="pct"/>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2016  S</w:t>
            </w:r>
          </w:p>
        </w:tc>
        <w:tc>
          <w:tcPr>
            <w:tcW w:w="547" w:type="pct"/>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2017 R</w:t>
            </w:r>
          </w:p>
        </w:tc>
        <w:tc>
          <w:tcPr>
            <w:tcW w:w="547" w:type="pct"/>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2017 OS</w:t>
            </w:r>
          </w:p>
        </w:tc>
        <w:tc>
          <w:tcPr>
            <w:tcW w:w="547" w:type="pct"/>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2018 N</w:t>
            </w:r>
          </w:p>
        </w:tc>
        <w:tc>
          <w:tcPr>
            <w:tcW w:w="547" w:type="pct"/>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2019 N</w:t>
            </w:r>
          </w:p>
        </w:tc>
        <w:tc>
          <w:tcPr>
            <w:tcW w:w="547" w:type="pct"/>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2020 N</w:t>
            </w:r>
          </w:p>
        </w:tc>
      </w:tr>
      <w:tr w:rsidR="007D13F3" w:rsidRPr="004A576A" w:rsidTr="00465CAC">
        <w:trPr>
          <w:trHeight w:hRule="exact" w:val="255"/>
        </w:trPr>
        <w:tc>
          <w:tcPr>
            <w:tcW w:w="1171" w:type="pct"/>
            <w:shd w:val="clear" w:color="000000" w:fill="BFBFBF"/>
            <w:vAlign w:val="bottom"/>
            <w:hideMark/>
          </w:tcPr>
          <w:p w:rsidR="007D13F3" w:rsidRPr="00091A90" w:rsidRDefault="007D13F3" w:rsidP="00465CAC">
            <w:pP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Podpora podnikania</w:t>
            </w:r>
          </w:p>
        </w:tc>
        <w:tc>
          <w:tcPr>
            <w:tcW w:w="547" w:type="pct"/>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6 363 595</w:t>
            </w:r>
          </w:p>
        </w:tc>
        <w:tc>
          <w:tcPr>
            <w:tcW w:w="547" w:type="pct"/>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3 770 771</w:t>
            </w:r>
          </w:p>
        </w:tc>
        <w:tc>
          <w:tcPr>
            <w:tcW w:w="547" w:type="pct"/>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5 020 000</w:t>
            </w:r>
          </w:p>
        </w:tc>
        <w:tc>
          <w:tcPr>
            <w:tcW w:w="547" w:type="pct"/>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6 475 000</w:t>
            </w:r>
          </w:p>
        </w:tc>
        <w:tc>
          <w:tcPr>
            <w:tcW w:w="547" w:type="pct"/>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4 300 000</w:t>
            </w:r>
          </w:p>
        </w:tc>
        <w:tc>
          <w:tcPr>
            <w:tcW w:w="547" w:type="pct"/>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4 300 000</w:t>
            </w:r>
          </w:p>
        </w:tc>
        <w:tc>
          <w:tcPr>
            <w:tcW w:w="547" w:type="pct"/>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4 300 000</w:t>
            </w:r>
          </w:p>
        </w:tc>
      </w:tr>
      <w:tr w:rsidR="007D13F3" w:rsidRPr="004A576A" w:rsidTr="00465CAC">
        <w:trPr>
          <w:trHeight w:hRule="exact" w:val="255"/>
        </w:trPr>
        <w:tc>
          <w:tcPr>
            <w:tcW w:w="1171" w:type="pct"/>
            <w:shd w:val="clear" w:color="000000" w:fill="FFFFFF"/>
            <w:vAlign w:val="bottom"/>
            <w:hideMark/>
          </w:tcPr>
          <w:p w:rsidR="007D13F3" w:rsidRPr="00091A90" w:rsidRDefault="007D13F3" w:rsidP="00465CAC">
            <w:pPr>
              <w:rPr>
                <w:rFonts w:ascii="Times New Roman" w:hAnsi="Times New Roman" w:cs="Times New Roman"/>
                <w:sz w:val="14"/>
                <w:szCs w:val="14"/>
                <w:lang w:eastAsia="sk-SK"/>
              </w:rPr>
            </w:pPr>
            <w:proofErr w:type="spellStart"/>
            <w:r w:rsidRPr="00091A90">
              <w:rPr>
                <w:rFonts w:ascii="Times New Roman" w:hAnsi="Times New Roman" w:cs="Times New Roman"/>
                <w:sz w:val="14"/>
                <w:szCs w:val="14"/>
                <w:lang w:eastAsia="sk-SK"/>
              </w:rPr>
              <w:t>Administr</w:t>
            </w:r>
            <w:proofErr w:type="spellEnd"/>
            <w:r w:rsidRPr="00091A90">
              <w:rPr>
                <w:rFonts w:ascii="Times New Roman" w:hAnsi="Times New Roman" w:cs="Times New Roman"/>
                <w:sz w:val="14"/>
                <w:szCs w:val="14"/>
                <w:lang w:eastAsia="sk-SK"/>
              </w:rPr>
              <w:t xml:space="preserve">. </w:t>
            </w:r>
            <w:proofErr w:type="spellStart"/>
            <w:r w:rsidRPr="00091A90">
              <w:rPr>
                <w:rFonts w:ascii="Times New Roman" w:hAnsi="Times New Roman" w:cs="Times New Roman"/>
                <w:sz w:val="14"/>
                <w:szCs w:val="14"/>
                <w:lang w:eastAsia="sk-SK"/>
              </w:rPr>
              <w:t>podp</w:t>
            </w:r>
            <w:proofErr w:type="spellEnd"/>
            <w:r w:rsidRPr="00091A90">
              <w:rPr>
                <w:rFonts w:ascii="Times New Roman" w:hAnsi="Times New Roman" w:cs="Times New Roman"/>
                <w:sz w:val="14"/>
                <w:szCs w:val="14"/>
                <w:lang w:eastAsia="sk-SK"/>
              </w:rPr>
              <w:t xml:space="preserve">. schém a </w:t>
            </w:r>
            <w:proofErr w:type="spellStart"/>
            <w:r w:rsidRPr="00091A90">
              <w:rPr>
                <w:rFonts w:ascii="Times New Roman" w:hAnsi="Times New Roman" w:cs="Times New Roman"/>
                <w:sz w:val="14"/>
                <w:szCs w:val="14"/>
                <w:lang w:eastAsia="sk-SK"/>
              </w:rPr>
              <w:t>progr</w:t>
            </w:r>
            <w:proofErr w:type="spellEnd"/>
            <w:r w:rsidRPr="00091A90">
              <w:rPr>
                <w:rFonts w:ascii="Times New Roman" w:hAnsi="Times New Roman" w:cs="Times New Roman"/>
                <w:sz w:val="14"/>
                <w:szCs w:val="14"/>
                <w:lang w:eastAsia="sk-SK"/>
              </w:rPr>
              <w:t>.</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1 000 000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1 800 000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1 800 000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3 125 000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1 800 000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1 800 000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1 800 000</w:t>
            </w:r>
          </w:p>
        </w:tc>
      </w:tr>
      <w:tr w:rsidR="007D13F3" w:rsidRPr="004A576A" w:rsidTr="00465CAC">
        <w:trPr>
          <w:trHeight w:hRule="exact" w:val="255"/>
        </w:trPr>
        <w:tc>
          <w:tcPr>
            <w:tcW w:w="1171" w:type="pct"/>
            <w:shd w:val="clear" w:color="000000" w:fill="FFFFFF"/>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Podporné programy MSP</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105 000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1 165 000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r w:rsidRPr="00091A90">
              <w:rPr>
                <w:rFonts w:ascii="Times New Roman" w:hAnsi="Times New Roman" w:cs="Times New Roman"/>
                <w:sz w:val="14"/>
                <w:szCs w:val="14"/>
                <w:lang w:eastAsia="sk-SK"/>
              </w:rPr>
              <w:t> </w:t>
            </w:r>
          </w:p>
        </w:tc>
      </w:tr>
      <w:tr w:rsidR="007D13F3" w:rsidRPr="004A576A" w:rsidTr="00465CAC">
        <w:trPr>
          <w:trHeight w:hRule="exact" w:val="255"/>
        </w:trPr>
        <w:tc>
          <w:tcPr>
            <w:tcW w:w="1171" w:type="pct"/>
            <w:shd w:val="clear" w:color="000000" w:fill="FFFFFF"/>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 xml:space="preserve">Znižovanie admin. bremena </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86 400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152 472</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120 000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120 000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r>
      <w:tr w:rsidR="007D13F3" w:rsidRPr="004A576A" w:rsidTr="00465CAC">
        <w:trPr>
          <w:trHeight w:hRule="exact" w:val="255"/>
        </w:trPr>
        <w:tc>
          <w:tcPr>
            <w:tcW w:w="1171" w:type="pct"/>
            <w:shd w:val="clear" w:color="000000" w:fill="FFFFFF"/>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 xml:space="preserve">Podpora inovačných projektov </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480 793</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445 299</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600 000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600 000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r>
      <w:tr w:rsidR="007D13F3" w:rsidRPr="004A576A" w:rsidTr="00465CAC">
        <w:trPr>
          <w:trHeight w:hRule="exact" w:val="255"/>
        </w:trPr>
        <w:tc>
          <w:tcPr>
            <w:tcW w:w="1171" w:type="pct"/>
            <w:shd w:val="clear" w:color="000000" w:fill="FFFFFF"/>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 xml:space="preserve">Podpora </w:t>
            </w:r>
            <w:proofErr w:type="spellStart"/>
            <w:r w:rsidRPr="00091A90">
              <w:rPr>
                <w:rFonts w:ascii="Times New Roman" w:hAnsi="Times New Roman" w:cs="Times New Roman"/>
                <w:sz w:val="14"/>
                <w:szCs w:val="14"/>
                <w:lang w:eastAsia="sk-SK"/>
              </w:rPr>
              <w:t>startupov</w:t>
            </w:r>
            <w:proofErr w:type="spellEnd"/>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1 300 000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973 000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2 500 000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1 400 000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2 500 000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2 500 000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2 500 000</w:t>
            </w:r>
          </w:p>
        </w:tc>
      </w:tr>
      <w:tr w:rsidR="007D13F3" w:rsidRPr="004A576A" w:rsidTr="00465CAC">
        <w:trPr>
          <w:trHeight w:hRule="exact" w:val="255"/>
        </w:trPr>
        <w:tc>
          <w:tcPr>
            <w:tcW w:w="1171" w:type="pct"/>
            <w:shd w:val="clear" w:color="000000" w:fill="FFFFFF"/>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Podpora internetovej ekonomiky</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180 000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200 000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65 000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r>
      <w:tr w:rsidR="007D13F3" w:rsidRPr="004A576A" w:rsidTr="00465CAC">
        <w:trPr>
          <w:trHeight w:hRule="exact" w:val="255"/>
        </w:trPr>
        <w:tc>
          <w:tcPr>
            <w:tcW w:w="1171" w:type="pct"/>
            <w:shd w:val="clear" w:color="000000" w:fill="FFFFFF"/>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 xml:space="preserve">Výdavky EÚ a </w:t>
            </w:r>
            <w:proofErr w:type="spellStart"/>
            <w:r w:rsidRPr="00091A90">
              <w:rPr>
                <w:rFonts w:ascii="Times New Roman" w:hAnsi="Times New Roman" w:cs="Times New Roman"/>
                <w:sz w:val="14"/>
                <w:szCs w:val="14"/>
                <w:lang w:eastAsia="sk-SK"/>
              </w:rPr>
              <w:t>spolufinan</w:t>
            </w:r>
            <w:proofErr w:type="spellEnd"/>
            <w:r w:rsidRPr="00091A90">
              <w:rPr>
                <w:rFonts w:ascii="Times New Roman" w:hAnsi="Times New Roman" w:cs="Times New Roman"/>
                <w:sz w:val="14"/>
                <w:szCs w:val="14"/>
                <w:lang w:eastAsia="sk-SK"/>
              </w:rPr>
              <w:t>.</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3 211 402</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shd w:val="clear" w:color="000000" w:fill="FFFFFF"/>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r>
    </w:tbl>
    <w:p w:rsidR="007D13F3" w:rsidRDefault="007D13F3" w:rsidP="007D13F3">
      <w:pPr>
        <w:jc w:val="both"/>
        <w:rPr>
          <w:rFonts w:ascii="Times New Roman" w:hAnsi="Times New Roman" w:cs="Times New Roman"/>
          <w:lang w:eastAsia="sk-SK"/>
        </w:rPr>
      </w:pPr>
    </w:p>
    <w:p w:rsidR="007D13F3" w:rsidRPr="00C37AC3" w:rsidRDefault="007D13F3" w:rsidP="007D13F3">
      <w:pPr>
        <w:ind w:firstLine="708"/>
        <w:jc w:val="both"/>
        <w:rPr>
          <w:rFonts w:ascii="Times New Roman" w:hAnsi="Times New Roman" w:cs="Times New Roman"/>
          <w:lang w:eastAsia="sk-SK"/>
        </w:rPr>
      </w:pPr>
      <w:r w:rsidRPr="00B731CC">
        <w:rPr>
          <w:rFonts w:ascii="Times New Roman" w:hAnsi="Times New Roman" w:cs="Times New Roman"/>
          <w:lang w:eastAsia="sk-SK"/>
        </w:rPr>
        <w:t>Výdavky na podporu podnikan</w:t>
      </w:r>
      <w:r>
        <w:rPr>
          <w:rFonts w:ascii="Times New Roman" w:hAnsi="Times New Roman" w:cs="Times New Roman"/>
          <w:lang w:eastAsia="sk-SK"/>
        </w:rPr>
        <w:t>ia v návrhu rozpočtu na rok 2018</w:t>
      </w:r>
      <w:r w:rsidRPr="00B731CC">
        <w:rPr>
          <w:rFonts w:ascii="Times New Roman" w:hAnsi="Times New Roman" w:cs="Times New Roman"/>
          <w:lang w:eastAsia="sk-SK"/>
        </w:rPr>
        <w:t xml:space="preserve"> rozpočtované </w:t>
      </w:r>
      <w:r w:rsidRPr="00B731CC">
        <w:rPr>
          <w:rFonts w:ascii="Times New Roman" w:hAnsi="Times New Roman" w:cs="Times New Roman"/>
          <w:lang w:eastAsia="sk-SK"/>
        </w:rPr>
        <w:br/>
        <w:t>v sume</w:t>
      </w:r>
      <w:r>
        <w:rPr>
          <w:rFonts w:ascii="Times New Roman" w:hAnsi="Times New Roman" w:cs="Times New Roman"/>
          <w:lang w:eastAsia="sk-SK"/>
        </w:rPr>
        <w:t xml:space="preserve"> 4,30</w:t>
      </w:r>
      <w:r w:rsidRPr="00B731CC">
        <w:rPr>
          <w:rFonts w:ascii="Times New Roman" w:hAnsi="Times New Roman" w:cs="Times New Roman"/>
          <w:lang w:eastAsia="sk-SK"/>
        </w:rPr>
        <w:t xml:space="preserve"> mil. eur klesajú oproti </w:t>
      </w:r>
      <w:r>
        <w:rPr>
          <w:rFonts w:ascii="Times New Roman" w:hAnsi="Times New Roman" w:cs="Times New Roman"/>
          <w:lang w:eastAsia="sk-SK"/>
        </w:rPr>
        <w:t xml:space="preserve">schválenému rozpočtu na rok 2017 o 720 tis. eur, </w:t>
      </w:r>
      <w:r>
        <w:rPr>
          <w:rFonts w:ascii="Times New Roman" w:hAnsi="Times New Roman" w:cs="Times New Roman"/>
          <w:lang w:eastAsia="sk-SK"/>
        </w:rPr>
        <w:br/>
        <w:t xml:space="preserve">t. j. o 14,3 %, čo je spôsobené </w:t>
      </w:r>
      <w:r w:rsidRPr="004A576A">
        <w:rPr>
          <w:rFonts w:ascii="Times New Roman" w:hAnsi="Times New Roman" w:cs="Times New Roman"/>
          <w:lang w:eastAsia="sk-SK"/>
        </w:rPr>
        <w:t>nerozpočtovaním</w:t>
      </w:r>
      <w:r>
        <w:rPr>
          <w:rFonts w:ascii="Times New Roman" w:hAnsi="Times New Roman" w:cs="Times New Roman"/>
          <w:lang w:eastAsia="sk-SK"/>
        </w:rPr>
        <w:t xml:space="preserve"> výdavkov</w:t>
      </w:r>
      <w:r w:rsidRPr="004A576A">
        <w:rPr>
          <w:rFonts w:ascii="Times New Roman" w:hAnsi="Times New Roman" w:cs="Times New Roman"/>
          <w:lang w:eastAsia="sk-SK"/>
        </w:rPr>
        <w:t xml:space="preserve"> na podporu inovačných projektov a znižov</w:t>
      </w:r>
      <w:r>
        <w:rPr>
          <w:rFonts w:ascii="Times New Roman" w:hAnsi="Times New Roman" w:cs="Times New Roman"/>
          <w:lang w:eastAsia="sk-SK"/>
        </w:rPr>
        <w:t xml:space="preserve">anie administratívneho bremena. </w:t>
      </w:r>
      <w:r w:rsidRPr="00B731CC">
        <w:rPr>
          <w:rFonts w:ascii="Times New Roman" w:hAnsi="Times New Roman" w:cs="Times New Roman"/>
          <w:color w:val="000000"/>
          <w:lang w:eastAsia="sk-SK"/>
        </w:rPr>
        <w:t xml:space="preserve">V oblasti podpory podnikania </w:t>
      </w:r>
      <w:r>
        <w:rPr>
          <w:rFonts w:ascii="Times New Roman" w:hAnsi="Times New Roman" w:cs="Times New Roman"/>
          <w:color w:val="000000"/>
          <w:lang w:eastAsia="sk-SK"/>
        </w:rPr>
        <w:t>sú rozpočtové zdroje v roku 2018</w:t>
      </w:r>
      <w:r w:rsidRPr="00B731CC">
        <w:rPr>
          <w:rFonts w:ascii="Times New Roman" w:hAnsi="Times New Roman" w:cs="Times New Roman"/>
          <w:color w:val="000000"/>
          <w:lang w:eastAsia="sk-SK"/>
        </w:rPr>
        <w:t xml:space="preserve"> smerované na podporu </w:t>
      </w:r>
      <w:proofErr w:type="spellStart"/>
      <w:r w:rsidRPr="00B731CC">
        <w:rPr>
          <w:rFonts w:ascii="Times New Roman" w:hAnsi="Times New Roman" w:cs="Times New Roman"/>
          <w:color w:val="000000"/>
          <w:lang w:eastAsia="sk-SK"/>
        </w:rPr>
        <w:t>startupov</w:t>
      </w:r>
      <w:proofErr w:type="spellEnd"/>
      <w:r w:rsidRPr="00B731CC">
        <w:rPr>
          <w:rFonts w:ascii="Times New Roman" w:hAnsi="Times New Roman" w:cs="Times New Roman"/>
          <w:color w:val="000000"/>
          <w:lang w:eastAsia="sk-SK"/>
        </w:rPr>
        <w:t>, administráciu podporných schém a</w:t>
      </w:r>
      <w:r>
        <w:rPr>
          <w:rFonts w:ascii="Times New Roman" w:hAnsi="Times New Roman" w:cs="Times New Roman"/>
          <w:color w:val="000000"/>
          <w:lang w:eastAsia="sk-SK"/>
        </w:rPr>
        <w:t> </w:t>
      </w:r>
      <w:r w:rsidRPr="00B731CC">
        <w:rPr>
          <w:rFonts w:ascii="Times New Roman" w:hAnsi="Times New Roman" w:cs="Times New Roman"/>
          <w:color w:val="000000"/>
          <w:lang w:eastAsia="sk-SK"/>
        </w:rPr>
        <w:t>programov</w:t>
      </w:r>
      <w:r>
        <w:rPr>
          <w:rFonts w:ascii="Times New Roman" w:hAnsi="Times New Roman" w:cs="Times New Roman"/>
          <w:color w:val="000000"/>
          <w:lang w:eastAsia="sk-SK"/>
        </w:rPr>
        <w:t>.</w:t>
      </w:r>
    </w:p>
    <w:p w:rsidR="007D13F3" w:rsidRPr="004617A9" w:rsidRDefault="007D13F3" w:rsidP="007D13F3">
      <w:pPr>
        <w:ind w:firstLine="708"/>
        <w:jc w:val="both"/>
        <w:rPr>
          <w:rFonts w:ascii="Times New Roman" w:hAnsi="Times New Roman" w:cs="Times New Roman"/>
          <w:color w:val="000000"/>
          <w:lang w:eastAsia="sk-SK"/>
        </w:rPr>
      </w:pPr>
    </w:p>
    <w:p w:rsidR="007D13F3" w:rsidRPr="004617A9" w:rsidRDefault="007D13F3" w:rsidP="007D13F3">
      <w:pPr>
        <w:jc w:val="both"/>
        <w:rPr>
          <w:rFonts w:ascii="Times New Roman" w:hAnsi="Times New Roman" w:cs="Times New Roman"/>
          <w:b/>
          <w:lang w:eastAsia="sk-SK"/>
        </w:rPr>
      </w:pPr>
      <w:r w:rsidRPr="004617A9">
        <w:rPr>
          <w:rFonts w:ascii="Times New Roman" w:hAnsi="Times New Roman" w:cs="Times New Roman"/>
          <w:b/>
          <w:lang w:eastAsia="sk-SK"/>
        </w:rPr>
        <w:t>Podpora investičných projektov</w:t>
      </w:r>
      <w:r>
        <w:rPr>
          <w:rFonts w:ascii="Times New Roman" w:hAnsi="Times New Roman" w:cs="Times New Roman"/>
          <w:b/>
          <w:lang w:eastAsia="sk-SK"/>
        </w:rPr>
        <w:t xml:space="preserve"> a regionálneho rozvoja</w:t>
      </w:r>
    </w:p>
    <w:p w:rsidR="007D13F3" w:rsidRPr="004617A9" w:rsidRDefault="007D13F3" w:rsidP="007D13F3">
      <w:pPr>
        <w:jc w:val="both"/>
        <w:rPr>
          <w:rFonts w:ascii="Times New Roman" w:hAnsi="Times New Roman" w:cs="Times New Roman"/>
          <w:lang w:eastAsia="sk-SK"/>
        </w:rPr>
      </w:pPr>
    </w:p>
    <w:p w:rsidR="007D13F3" w:rsidRPr="004617A9" w:rsidRDefault="007D13F3" w:rsidP="007D13F3">
      <w:pPr>
        <w:ind w:firstLine="708"/>
        <w:jc w:val="both"/>
        <w:rPr>
          <w:rFonts w:ascii="Times New Roman" w:hAnsi="Times New Roman" w:cs="Times New Roman"/>
          <w:lang w:eastAsia="sk-SK"/>
        </w:rPr>
      </w:pPr>
      <w:r w:rsidRPr="00DB194C">
        <w:rPr>
          <w:rFonts w:ascii="Times New Roman" w:hAnsi="Times New Roman" w:cs="Times New Roman"/>
          <w:lang w:eastAsia="sk-SK"/>
        </w:rPr>
        <w:t>Výdavk</w:t>
      </w:r>
      <w:r>
        <w:rPr>
          <w:rFonts w:ascii="Times New Roman" w:hAnsi="Times New Roman" w:cs="Times New Roman"/>
          <w:lang w:eastAsia="sk-SK"/>
        </w:rPr>
        <w:t>y v tejto oblasti sa na rok 2018 navrhujú v sume 26,4</w:t>
      </w:r>
      <w:r w:rsidRPr="00DB194C">
        <w:rPr>
          <w:rFonts w:ascii="Times New Roman" w:hAnsi="Times New Roman" w:cs="Times New Roman"/>
          <w:lang w:eastAsia="sk-SK"/>
        </w:rPr>
        <w:t xml:space="preserve"> mil. eur a v porovnaní </w:t>
      </w:r>
      <w:r>
        <w:rPr>
          <w:rFonts w:ascii="Times New Roman" w:hAnsi="Times New Roman" w:cs="Times New Roman"/>
          <w:lang w:eastAsia="sk-SK"/>
        </w:rPr>
        <w:br/>
      </w:r>
      <w:r w:rsidRPr="00DB194C">
        <w:rPr>
          <w:rFonts w:ascii="Times New Roman" w:hAnsi="Times New Roman" w:cs="Times New Roman"/>
          <w:lang w:eastAsia="sk-SK"/>
        </w:rPr>
        <w:t xml:space="preserve">so </w:t>
      </w:r>
      <w:r>
        <w:rPr>
          <w:rFonts w:ascii="Times New Roman" w:hAnsi="Times New Roman" w:cs="Times New Roman"/>
          <w:lang w:eastAsia="sk-SK"/>
        </w:rPr>
        <w:t>schváleným rozpočtom na rok 2017 klesajú o 18,6 mil. eur, t. j. o 41,4 %</w:t>
      </w:r>
      <w:r w:rsidRPr="00DB194C">
        <w:rPr>
          <w:rFonts w:ascii="Times New Roman" w:hAnsi="Times New Roman" w:cs="Times New Roman"/>
          <w:lang w:eastAsia="sk-SK"/>
        </w:rPr>
        <w:t xml:space="preserve"> </w:t>
      </w:r>
      <w:r w:rsidRPr="002F1A11">
        <w:rPr>
          <w:rFonts w:ascii="Times New Roman" w:hAnsi="Times New Roman" w:cs="Times New Roman"/>
          <w:lang w:eastAsia="sk-SK"/>
        </w:rPr>
        <w:t>z dôvodu poklesu výdavkov na schválené</w:t>
      </w:r>
      <w:r>
        <w:rPr>
          <w:rFonts w:ascii="Times New Roman" w:hAnsi="Times New Roman" w:cs="Times New Roman"/>
          <w:lang w:eastAsia="sk-SK"/>
        </w:rPr>
        <w:t xml:space="preserve"> a pripravované investičné projekty o 23,1</w:t>
      </w:r>
      <w:r w:rsidRPr="002F1A11">
        <w:rPr>
          <w:rFonts w:ascii="Times New Roman" w:hAnsi="Times New Roman" w:cs="Times New Roman"/>
          <w:lang w:eastAsia="sk-SK"/>
        </w:rPr>
        <w:t xml:space="preserve"> mil. eur a poklesu výdavkov pre SARIO na tomto prvku o 495 tis. eur.</w:t>
      </w:r>
      <w:r>
        <w:rPr>
          <w:rFonts w:ascii="Times New Roman" w:hAnsi="Times New Roman" w:cs="Times New Roman"/>
          <w:lang w:eastAsia="sk-SK"/>
        </w:rPr>
        <w:t xml:space="preserve"> V rámci uvedenej oblasti sa rozpočtujú výdavky na priemyselné parky v sume 5,0 mil. eur.</w:t>
      </w:r>
    </w:p>
    <w:p w:rsidR="007D13F3" w:rsidRDefault="007D13F3" w:rsidP="007D13F3">
      <w:pPr>
        <w:jc w:val="both"/>
        <w:rPr>
          <w:rFonts w:ascii="Times New Roman" w:hAnsi="Times New Roman" w:cs="Times New Roman"/>
          <w:b/>
          <w:lang w:eastAsia="sk-SK"/>
        </w:rPr>
      </w:pPr>
    </w:p>
    <w:p w:rsidR="007D13F3" w:rsidRDefault="007D13F3" w:rsidP="007D13F3">
      <w:pPr>
        <w:jc w:val="both"/>
        <w:rPr>
          <w:rFonts w:ascii="Times New Roman" w:hAnsi="Times New Roman" w:cs="Times New Roman"/>
          <w:b/>
          <w:lang w:eastAsia="sk-SK"/>
        </w:rPr>
      </w:pPr>
      <w:r w:rsidRPr="004617A9">
        <w:rPr>
          <w:rFonts w:ascii="Times New Roman" w:hAnsi="Times New Roman" w:cs="Times New Roman"/>
          <w:b/>
          <w:iCs/>
          <w:lang w:eastAsia="sk-SK"/>
        </w:rPr>
        <w:t>Operačn</w:t>
      </w:r>
      <w:r>
        <w:rPr>
          <w:rFonts w:ascii="Times New Roman" w:hAnsi="Times New Roman" w:cs="Times New Roman"/>
          <w:b/>
          <w:iCs/>
          <w:lang w:eastAsia="sk-SK"/>
        </w:rPr>
        <w:t>ý</w:t>
      </w:r>
      <w:r w:rsidRPr="004617A9">
        <w:rPr>
          <w:rFonts w:ascii="Times New Roman" w:hAnsi="Times New Roman" w:cs="Times New Roman"/>
          <w:b/>
          <w:iCs/>
          <w:lang w:eastAsia="sk-SK"/>
        </w:rPr>
        <w:t xml:space="preserve"> program</w:t>
      </w:r>
      <w:r w:rsidRPr="004617A9">
        <w:rPr>
          <w:rFonts w:ascii="Times New Roman" w:hAnsi="Times New Roman" w:cs="Times New Roman"/>
          <w:b/>
          <w:lang w:eastAsia="sk-SK"/>
        </w:rPr>
        <w:t xml:space="preserve"> Výskum a</w:t>
      </w:r>
      <w:r>
        <w:rPr>
          <w:rFonts w:ascii="Times New Roman" w:hAnsi="Times New Roman" w:cs="Times New Roman"/>
          <w:b/>
          <w:lang w:eastAsia="sk-SK"/>
        </w:rPr>
        <w:t> </w:t>
      </w:r>
      <w:r w:rsidRPr="004617A9">
        <w:rPr>
          <w:rFonts w:ascii="Times New Roman" w:hAnsi="Times New Roman" w:cs="Times New Roman"/>
          <w:b/>
          <w:lang w:eastAsia="sk-SK"/>
        </w:rPr>
        <w:t>inovácie</w:t>
      </w:r>
    </w:p>
    <w:p w:rsidR="007D13F3" w:rsidRDefault="007D13F3" w:rsidP="007D13F3">
      <w:pPr>
        <w:jc w:val="both"/>
        <w:rPr>
          <w:rFonts w:ascii="Times New Roman" w:hAnsi="Times New Roman" w:cs="Times New Roman"/>
          <w:b/>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7D13F3" w:rsidRPr="002F1A11" w:rsidTr="00465CAC">
        <w:trPr>
          <w:trHeight w:hRule="exact" w:val="255"/>
        </w:trPr>
        <w:tc>
          <w:tcPr>
            <w:tcW w:w="1171" w:type="pct"/>
            <w:shd w:val="clear" w:color="000000" w:fill="A6A6A6"/>
            <w:noWrap/>
            <w:vAlign w:val="bottom"/>
            <w:hideMark/>
          </w:tcPr>
          <w:p w:rsidR="007D13F3" w:rsidRPr="002F1A11" w:rsidRDefault="007D13F3" w:rsidP="00465CAC">
            <w:pPr>
              <w:rPr>
                <w:rFonts w:ascii="Times New Roman" w:hAnsi="Times New Roman" w:cs="Times New Roman"/>
                <w:sz w:val="14"/>
                <w:szCs w:val="14"/>
                <w:lang w:eastAsia="sk-SK"/>
              </w:rPr>
            </w:pPr>
            <w:r w:rsidRPr="002F1A11">
              <w:rPr>
                <w:rFonts w:ascii="Times New Roman" w:hAnsi="Times New Roman" w:cs="Times New Roman"/>
                <w:sz w:val="14"/>
                <w:szCs w:val="14"/>
                <w:lang w:eastAsia="sk-SK"/>
              </w:rPr>
              <w:t>v eurách</w:t>
            </w:r>
          </w:p>
        </w:tc>
        <w:tc>
          <w:tcPr>
            <w:tcW w:w="547" w:type="pct"/>
            <w:shd w:val="clear" w:color="000000" w:fill="A6A6A6"/>
            <w:noWrap/>
            <w:vAlign w:val="bottom"/>
            <w:hideMark/>
          </w:tcPr>
          <w:p w:rsidR="007D13F3" w:rsidRPr="002F1A11" w:rsidRDefault="007D13F3" w:rsidP="00465CAC">
            <w:pPr>
              <w:jc w:val="center"/>
              <w:rPr>
                <w:rFonts w:ascii="Times New Roman" w:hAnsi="Times New Roman" w:cs="Times New Roman"/>
                <w:b/>
                <w:bCs/>
                <w:sz w:val="14"/>
                <w:szCs w:val="14"/>
                <w:lang w:eastAsia="sk-SK"/>
              </w:rPr>
            </w:pPr>
            <w:r w:rsidRPr="002F1A11">
              <w:rPr>
                <w:rFonts w:ascii="Times New Roman" w:hAnsi="Times New Roman" w:cs="Times New Roman"/>
                <w:b/>
                <w:bCs/>
                <w:sz w:val="14"/>
                <w:szCs w:val="14"/>
                <w:lang w:eastAsia="sk-SK"/>
              </w:rPr>
              <w:t>2015 S</w:t>
            </w:r>
          </w:p>
        </w:tc>
        <w:tc>
          <w:tcPr>
            <w:tcW w:w="547" w:type="pct"/>
            <w:shd w:val="clear" w:color="000000" w:fill="A6A6A6"/>
            <w:noWrap/>
            <w:vAlign w:val="bottom"/>
            <w:hideMark/>
          </w:tcPr>
          <w:p w:rsidR="007D13F3" w:rsidRPr="002F1A11" w:rsidRDefault="007D13F3" w:rsidP="00465CAC">
            <w:pPr>
              <w:jc w:val="center"/>
              <w:rPr>
                <w:rFonts w:ascii="Times New Roman" w:hAnsi="Times New Roman" w:cs="Times New Roman"/>
                <w:b/>
                <w:bCs/>
                <w:sz w:val="14"/>
                <w:szCs w:val="14"/>
                <w:lang w:eastAsia="sk-SK"/>
              </w:rPr>
            </w:pPr>
            <w:r w:rsidRPr="002F1A11">
              <w:rPr>
                <w:rFonts w:ascii="Times New Roman" w:hAnsi="Times New Roman" w:cs="Times New Roman"/>
                <w:b/>
                <w:bCs/>
                <w:sz w:val="14"/>
                <w:szCs w:val="14"/>
                <w:lang w:eastAsia="sk-SK"/>
              </w:rPr>
              <w:t>2016  S</w:t>
            </w:r>
          </w:p>
        </w:tc>
        <w:tc>
          <w:tcPr>
            <w:tcW w:w="547" w:type="pct"/>
            <w:shd w:val="clear" w:color="000000" w:fill="A6A6A6"/>
            <w:noWrap/>
            <w:vAlign w:val="bottom"/>
            <w:hideMark/>
          </w:tcPr>
          <w:p w:rsidR="007D13F3" w:rsidRPr="002F1A11" w:rsidRDefault="007D13F3" w:rsidP="00465CAC">
            <w:pPr>
              <w:jc w:val="center"/>
              <w:rPr>
                <w:rFonts w:ascii="Times New Roman" w:hAnsi="Times New Roman" w:cs="Times New Roman"/>
                <w:b/>
                <w:bCs/>
                <w:sz w:val="14"/>
                <w:szCs w:val="14"/>
                <w:lang w:eastAsia="sk-SK"/>
              </w:rPr>
            </w:pPr>
            <w:r w:rsidRPr="002F1A11">
              <w:rPr>
                <w:rFonts w:ascii="Times New Roman" w:hAnsi="Times New Roman" w:cs="Times New Roman"/>
                <w:b/>
                <w:bCs/>
                <w:sz w:val="14"/>
                <w:szCs w:val="14"/>
                <w:lang w:eastAsia="sk-SK"/>
              </w:rPr>
              <w:t>2017 R</w:t>
            </w:r>
          </w:p>
        </w:tc>
        <w:tc>
          <w:tcPr>
            <w:tcW w:w="547" w:type="pct"/>
            <w:shd w:val="clear" w:color="000000" w:fill="A6A6A6"/>
            <w:noWrap/>
            <w:vAlign w:val="bottom"/>
            <w:hideMark/>
          </w:tcPr>
          <w:p w:rsidR="007D13F3" w:rsidRPr="002F1A11" w:rsidRDefault="007D13F3" w:rsidP="00465CAC">
            <w:pPr>
              <w:jc w:val="center"/>
              <w:rPr>
                <w:rFonts w:ascii="Times New Roman" w:hAnsi="Times New Roman" w:cs="Times New Roman"/>
                <w:b/>
                <w:bCs/>
                <w:sz w:val="14"/>
                <w:szCs w:val="14"/>
                <w:lang w:eastAsia="sk-SK"/>
              </w:rPr>
            </w:pPr>
            <w:r w:rsidRPr="002F1A11">
              <w:rPr>
                <w:rFonts w:ascii="Times New Roman" w:hAnsi="Times New Roman" w:cs="Times New Roman"/>
                <w:b/>
                <w:bCs/>
                <w:sz w:val="14"/>
                <w:szCs w:val="14"/>
                <w:lang w:eastAsia="sk-SK"/>
              </w:rPr>
              <w:t>2017 OS</w:t>
            </w:r>
          </w:p>
        </w:tc>
        <w:tc>
          <w:tcPr>
            <w:tcW w:w="547" w:type="pct"/>
            <w:shd w:val="clear" w:color="000000" w:fill="A6A6A6"/>
            <w:noWrap/>
            <w:vAlign w:val="bottom"/>
            <w:hideMark/>
          </w:tcPr>
          <w:p w:rsidR="007D13F3" w:rsidRPr="002F1A11" w:rsidRDefault="007D13F3" w:rsidP="00465CAC">
            <w:pPr>
              <w:jc w:val="center"/>
              <w:rPr>
                <w:rFonts w:ascii="Times New Roman" w:hAnsi="Times New Roman" w:cs="Times New Roman"/>
                <w:b/>
                <w:bCs/>
                <w:sz w:val="14"/>
                <w:szCs w:val="14"/>
                <w:lang w:eastAsia="sk-SK"/>
              </w:rPr>
            </w:pPr>
            <w:r w:rsidRPr="002F1A11">
              <w:rPr>
                <w:rFonts w:ascii="Times New Roman" w:hAnsi="Times New Roman" w:cs="Times New Roman"/>
                <w:b/>
                <w:bCs/>
                <w:sz w:val="14"/>
                <w:szCs w:val="14"/>
                <w:lang w:eastAsia="sk-SK"/>
              </w:rPr>
              <w:t>2018 N</w:t>
            </w:r>
          </w:p>
        </w:tc>
        <w:tc>
          <w:tcPr>
            <w:tcW w:w="547" w:type="pct"/>
            <w:shd w:val="clear" w:color="000000" w:fill="A6A6A6"/>
            <w:noWrap/>
            <w:vAlign w:val="bottom"/>
            <w:hideMark/>
          </w:tcPr>
          <w:p w:rsidR="007D13F3" w:rsidRPr="002F1A11" w:rsidRDefault="007D13F3" w:rsidP="00465CAC">
            <w:pPr>
              <w:jc w:val="center"/>
              <w:rPr>
                <w:rFonts w:ascii="Times New Roman" w:hAnsi="Times New Roman" w:cs="Times New Roman"/>
                <w:b/>
                <w:bCs/>
                <w:sz w:val="14"/>
                <w:szCs w:val="14"/>
                <w:lang w:eastAsia="sk-SK"/>
              </w:rPr>
            </w:pPr>
            <w:r w:rsidRPr="002F1A11">
              <w:rPr>
                <w:rFonts w:ascii="Times New Roman" w:hAnsi="Times New Roman" w:cs="Times New Roman"/>
                <w:b/>
                <w:bCs/>
                <w:sz w:val="14"/>
                <w:szCs w:val="14"/>
                <w:lang w:eastAsia="sk-SK"/>
              </w:rPr>
              <w:t>2019 N</w:t>
            </w:r>
          </w:p>
        </w:tc>
        <w:tc>
          <w:tcPr>
            <w:tcW w:w="547" w:type="pct"/>
            <w:shd w:val="clear" w:color="000000" w:fill="A6A6A6"/>
            <w:noWrap/>
            <w:vAlign w:val="bottom"/>
            <w:hideMark/>
          </w:tcPr>
          <w:p w:rsidR="007D13F3" w:rsidRPr="002F1A11" w:rsidRDefault="007D13F3" w:rsidP="00465CAC">
            <w:pPr>
              <w:jc w:val="center"/>
              <w:rPr>
                <w:rFonts w:ascii="Times New Roman" w:hAnsi="Times New Roman" w:cs="Times New Roman"/>
                <w:b/>
                <w:bCs/>
                <w:sz w:val="14"/>
                <w:szCs w:val="14"/>
                <w:lang w:eastAsia="sk-SK"/>
              </w:rPr>
            </w:pPr>
            <w:r w:rsidRPr="002F1A11">
              <w:rPr>
                <w:rFonts w:ascii="Times New Roman" w:hAnsi="Times New Roman" w:cs="Times New Roman"/>
                <w:b/>
                <w:bCs/>
                <w:sz w:val="14"/>
                <w:szCs w:val="14"/>
                <w:lang w:eastAsia="sk-SK"/>
              </w:rPr>
              <w:t>2020 N</w:t>
            </w:r>
          </w:p>
        </w:tc>
      </w:tr>
      <w:tr w:rsidR="007D13F3" w:rsidRPr="002F1A11" w:rsidTr="00465CAC">
        <w:trPr>
          <w:trHeight w:hRule="exact" w:val="255"/>
        </w:trPr>
        <w:tc>
          <w:tcPr>
            <w:tcW w:w="1171" w:type="pct"/>
            <w:shd w:val="clear" w:color="000000" w:fill="BFBFBF"/>
            <w:vAlign w:val="bottom"/>
            <w:hideMark/>
          </w:tcPr>
          <w:p w:rsidR="007D13F3" w:rsidRPr="002F1A11" w:rsidRDefault="007D13F3" w:rsidP="00465CAC">
            <w:pPr>
              <w:rPr>
                <w:rFonts w:ascii="Times New Roman" w:hAnsi="Times New Roman" w:cs="Times New Roman"/>
                <w:b/>
                <w:bCs/>
                <w:sz w:val="14"/>
                <w:szCs w:val="14"/>
                <w:lang w:eastAsia="sk-SK"/>
              </w:rPr>
            </w:pPr>
            <w:r w:rsidRPr="002F1A11">
              <w:rPr>
                <w:rFonts w:ascii="Times New Roman" w:hAnsi="Times New Roman" w:cs="Times New Roman"/>
                <w:b/>
                <w:bCs/>
                <w:sz w:val="14"/>
                <w:szCs w:val="14"/>
                <w:lang w:eastAsia="sk-SK"/>
              </w:rPr>
              <w:t>OP Výskum a inovácie</w:t>
            </w:r>
          </w:p>
        </w:tc>
        <w:tc>
          <w:tcPr>
            <w:tcW w:w="547" w:type="pct"/>
            <w:shd w:val="clear" w:color="000000" w:fill="BFBFBF"/>
            <w:noWrap/>
            <w:vAlign w:val="bottom"/>
            <w:hideMark/>
          </w:tcPr>
          <w:p w:rsidR="007D13F3" w:rsidRPr="002F1A11" w:rsidRDefault="007D13F3" w:rsidP="00465CAC">
            <w:pPr>
              <w:jc w:val="right"/>
              <w:rPr>
                <w:rFonts w:ascii="Times New Roman" w:hAnsi="Times New Roman" w:cs="Times New Roman"/>
                <w:b/>
                <w:bCs/>
                <w:sz w:val="14"/>
                <w:szCs w:val="14"/>
                <w:lang w:eastAsia="sk-SK"/>
              </w:rPr>
            </w:pPr>
            <w:r w:rsidRPr="002F1A11">
              <w:rPr>
                <w:rFonts w:ascii="Times New Roman" w:hAnsi="Times New Roman" w:cs="Times New Roman"/>
                <w:b/>
                <w:bCs/>
                <w:sz w:val="14"/>
                <w:szCs w:val="14"/>
                <w:lang w:eastAsia="sk-SK"/>
              </w:rPr>
              <w:t>0</w:t>
            </w:r>
          </w:p>
        </w:tc>
        <w:tc>
          <w:tcPr>
            <w:tcW w:w="547" w:type="pct"/>
            <w:shd w:val="clear" w:color="000000" w:fill="BFBFBF"/>
            <w:noWrap/>
            <w:vAlign w:val="bottom"/>
            <w:hideMark/>
          </w:tcPr>
          <w:p w:rsidR="007D13F3" w:rsidRPr="002F1A11" w:rsidRDefault="007D13F3" w:rsidP="00465CAC">
            <w:pPr>
              <w:jc w:val="right"/>
              <w:rPr>
                <w:rFonts w:ascii="Times New Roman" w:hAnsi="Times New Roman" w:cs="Times New Roman"/>
                <w:b/>
                <w:bCs/>
                <w:sz w:val="14"/>
                <w:szCs w:val="14"/>
                <w:lang w:eastAsia="sk-SK"/>
              </w:rPr>
            </w:pPr>
            <w:r w:rsidRPr="002F1A11">
              <w:rPr>
                <w:rFonts w:ascii="Times New Roman" w:hAnsi="Times New Roman" w:cs="Times New Roman"/>
                <w:b/>
                <w:bCs/>
                <w:sz w:val="14"/>
                <w:szCs w:val="14"/>
                <w:lang w:eastAsia="sk-SK"/>
              </w:rPr>
              <w:t>25 231 441</w:t>
            </w:r>
          </w:p>
        </w:tc>
        <w:tc>
          <w:tcPr>
            <w:tcW w:w="547" w:type="pct"/>
            <w:shd w:val="clear" w:color="000000" w:fill="BFBFBF"/>
            <w:noWrap/>
            <w:vAlign w:val="bottom"/>
            <w:hideMark/>
          </w:tcPr>
          <w:p w:rsidR="007D13F3" w:rsidRPr="002F1A11" w:rsidRDefault="007D13F3" w:rsidP="00465CAC">
            <w:pPr>
              <w:jc w:val="right"/>
              <w:rPr>
                <w:rFonts w:ascii="Times New Roman" w:hAnsi="Times New Roman" w:cs="Times New Roman"/>
                <w:b/>
                <w:bCs/>
                <w:sz w:val="14"/>
                <w:szCs w:val="14"/>
                <w:lang w:eastAsia="sk-SK"/>
              </w:rPr>
            </w:pPr>
            <w:r w:rsidRPr="002F1A11">
              <w:rPr>
                <w:rFonts w:ascii="Times New Roman" w:hAnsi="Times New Roman" w:cs="Times New Roman"/>
                <w:b/>
                <w:bCs/>
                <w:sz w:val="14"/>
                <w:szCs w:val="14"/>
                <w:lang w:eastAsia="sk-SK"/>
              </w:rPr>
              <w:t>99 604 131</w:t>
            </w:r>
          </w:p>
        </w:tc>
        <w:tc>
          <w:tcPr>
            <w:tcW w:w="547" w:type="pct"/>
            <w:shd w:val="clear" w:color="000000" w:fill="BFBFBF"/>
            <w:noWrap/>
            <w:vAlign w:val="bottom"/>
            <w:hideMark/>
          </w:tcPr>
          <w:p w:rsidR="007D13F3" w:rsidRPr="002F1A11" w:rsidRDefault="007D13F3" w:rsidP="00465CAC">
            <w:pPr>
              <w:jc w:val="right"/>
              <w:rPr>
                <w:rFonts w:ascii="Times New Roman" w:hAnsi="Times New Roman" w:cs="Times New Roman"/>
                <w:b/>
                <w:bCs/>
                <w:sz w:val="14"/>
                <w:szCs w:val="14"/>
                <w:lang w:eastAsia="sk-SK"/>
              </w:rPr>
            </w:pPr>
            <w:r w:rsidRPr="002F1A11">
              <w:rPr>
                <w:rFonts w:ascii="Times New Roman" w:hAnsi="Times New Roman" w:cs="Times New Roman"/>
                <w:b/>
                <w:bCs/>
                <w:sz w:val="14"/>
                <w:szCs w:val="14"/>
                <w:lang w:eastAsia="sk-SK"/>
              </w:rPr>
              <w:t>36 852 976</w:t>
            </w:r>
          </w:p>
        </w:tc>
        <w:tc>
          <w:tcPr>
            <w:tcW w:w="547" w:type="pct"/>
            <w:shd w:val="clear" w:color="000000" w:fill="BFBFBF"/>
            <w:noWrap/>
            <w:vAlign w:val="bottom"/>
            <w:hideMark/>
          </w:tcPr>
          <w:p w:rsidR="007D13F3" w:rsidRPr="002F1A11" w:rsidRDefault="007D13F3" w:rsidP="00465CAC">
            <w:pPr>
              <w:jc w:val="right"/>
              <w:rPr>
                <w:rFonts w:ascii="Times New Roman" w:hAnsi="Times New Roman" w:cs="Times New Roman"/>
                <w:b/>
                <w:bCs/>
                <w:sz w:val="14"/>
                <w:szCs w:val="14"/>
                <w:lang w:eastAsia="sk-SK"/>
              </w:rPr>
            </w:pPr>
            <w:r w:rsidRPr="002F1A11">
              <w:rPr>
                <w:rFonts w:ascii="Times New Roman" w:hAnsi="Times New Roman" w:cs="Times New Roman"/>
                <w:b/>
                <w:bCs/>
                <w:sz w:val="14"/>
                <w:szCs w:val="14"/>
                <w:lang w:eastAsia="sk-SK"/>
              </w:rPr>
              <w:t>127 462 402</w:t>
            </w:r>
          </w:p>
        </w:tc>
        <w:tc>
          <w:tcPr>
            <w:tcW w:w="547" w:type="pct"/>
            <w:shd w:val="clear" w:color="000000" w:fill="BFBFBF"/>
            <w:noWrap/>
            <w:vAlign w:val="bottom"/>
            <w:hideMark/>
          </w:tcPr>
          <w:p w:rsidR="007D13F3" w:rsidRPr="002F1A11" w:rsidRDefault="007D13F3" w:rsidP="00465CAC">
            <w:pPr>
              <w:jc w:val="right"/>
              <w:rPr>
                <w:rFonts w:ascii="Times New Roman" w:hAnsi="Times New Roman" w:cs="Times New Roman"/>
                <w:b/>
                <w:bCs/>
                <w:sz w:val="14"/>
                <w:szCs w:val="14"/>
                <w:lang w:eastAsia="sk-SK"/>
              </w:rPr>
            </w:pPr>
            <w:r w:rsidRPr="002F1A11">
              <w:rPr>
                <w:rFonts w:ascii="Times New Roman" w:hAnsi="Times New Roman" w:cs="Times New Roman"/>
                <w:b/>
                <w:bCs/>
                <w:sz w:val="14"/>
                <w:szCs w:val="14"/>
                <w:lang w:eastAsia="sk-SK"/>
              </w:rPr>
              <w:t>221 888 670</w:t>
            </w:r>
          </w:p>
        </w:tc>
        <w:tc>
          <w:tcPr>
            <w:tcW w:w="547" w:type="pct"/>
            <w:shd w:val="clear" w:color="000000" w:fill="BFBFBF"/>
            <w:noWrap/>
            <w:vAlign w:val="bottom"/>
            <w:hideMark/>
          </w:tcPr>
          <w:p w:rsidR="007D13F3" w:rsidRPr="002F1A11" w:rsidRDefault="007D13F3" w:rsidP="00465CAC">
            <w:pPr>
              <w:jc w:val="right"/>
              <w:rPr>
                <w:rFonts w:ascii="Times New Roman" w:hAnsi="Times New Roman" w:cs="Times New Roman"/>
                <w:b/>
                <w:bCs/>
                <w:sz w:val="14"/>
                <w:szCs w:val="14"/>
                <w:lang w:eastAsia="sk-SK"/>
              </w:rPr>
            </w:pPr>
            <w:r w:rsidRPr="002F1A11">
              <w:rPr>
                <w:rFonts w:ascii="Times New Roman" w:hAnsi="Times New Roman" w:cs="Times New Roman"/>
                <w:b/>
                <w:bCs/>
                <w:sz w:val="14"/>
                <w:szCs w:val="14"/>
                <w:lang w:eastAsia="sk-SK"/>
              </w:rPr>
              <w:t>220 958 184</w:t>
            </w:r>
          </w:p>
        </w:tc>
      </w:tr>
      <w:tr w:rsidR="007D13F3" w:rsidRPr="002F1A11" w:rsidTr="00465CAC">
        <w:trPr>
          <w:trHeight w:hRule="exact" w:val="255"/>
        </w:trPr>
        <w:tc>
          <w:tcPr>
            <w:tcW w:w="1171" w:type="pct"/>
            <w:shd w:val="clear" w:color="000000" w:fill="FFFFFF"/>
            <w:vAlign w:val="bottom"/>
            <w:hideMark/>
          </w:tcPr>
          <w:p w:rsidR="007D13F3" w:rsidRPr="002F1A11" w:rsidRDefault="007D13F3" w:rsidP="00465CAC">
            <w:pPr>
              <w:rPr>
                <w:rFonts w:ascii="Times New Roman" w:hAnsi="Times New Roman" w:cs="Times New Roman"/>
                <w:sz w:val="14"/>
                <w:szCs w:val="14"/>
                <w:lang w:eastAsia="sk-SK"/>
              </w:rPr>
            </w:pPr>
            <w:r w:rsidRPr="002F1A11">
              <w:rPr>
                <w:rFonts w:ascii="Times New Roman" w:hAnsi="Times New Roman" w:cs="Times New Roman"/>
                <w:sz w:val="14"/>
                <w:szCs w:val="14"/>
                <w:lang w:eastAsia="sk-SK"/>
              </w:rPr>
              <w:t xml:space="preserve">Výdavky EÚ a </w:t>
            </w:r>
            <w:proofErr w:type="spellStart"/>
            <w:r w:rsidRPr="002F1A11">
              <w:rPr>
                <w:rFonts w:ascii="Times New Roman" w:hAnsi="Times New Roman" w:cs="Times New Roman"/>
                <w:sz w:val="14"/>
                <w:szCs w:val="14"/>
                <w:lang w:eastAsia="sk-SK"/>
              </w:rPr>
              <w:t>spolufin</w:t>
            </w:r>
            <w:proofErr w:type="spellEnd"/>
            <w:r w:rsidRPr="002F1A11">
              <w:rPr>
                <w:rFonts w:ascii="Times New Roman" w:hAnsi="Times New Roman" w:cs="Times New Roman"/>
                <w:sz w:val="14"/>
                <w:szCs w:val="14"/>
                <w:lang w:eastAsia="sk-SK"/>
              </w:rPr>
              <w:t>.</w:t>
            </w:r>
          </w:p>
        </w:tc>
        <w:tc>
          <w:tcPr>
            <w:tcW w:w="547" w:type="pct"/>
            <w:shd w:val="clear" w:color="000000" w:fill="FFFFFF"/>
            <w:vAlign w:val="bottom"/>
            <w:hideMark/>
          </w:tcPr>
          <w:p w:rsidR="007D13F3" w:rsidRPr="002F1A11" w:rsidRDefault="007D13F3" w:rsidP="00465CAC">
            <w:pPr>
              <w:jc w:val="right"/>
              <w:rPr>
                <w:rFonts w:ascii="Times New Roman" w:hAnsi="Times New Roman" w:cs="Times New Roman"/>
                <w:sz w:val="14"/>
                <w:szCs w:val="14"/>
                <w:lang w:eastAsia="sk-SK"/>
              </w:rPr>
            </w:pPr>
            <w:r w:rsidRPr="002F1A11">
              <w:rPr>
                <w:rFonts w:ascii="Times New Roman" w:hAnsi="Times New Roman" w:cs="Times New Roman"/>
                <w:sz w:val="14"/>
                <w:szCs w:val="14"/>
                <w:lang w:eastAsia="sk-SK"/>
              </w:rPr>
              <w:t>0</w:t>
            </w:r>
          </w:p>
        </w:tc>
        <w:tc>
          <w:tcPr>
            <w:tcW w:w="547" w:type="pct"/>
            <w:shd w:val="clear" w:color="000000" w:fill="FFFFFF"/>
            <w:vAlign w:val="bottom"/>
            <w:hideMark/>
          </w:tcPr>
          <w:p w:rsidR="007D13F3" w:rsidRPr="002F1A11" w:rsidRDefault="007D13F3" w:rsidP="00465CAC">
            <w:pPr>
              <w:jc w:val="right"/>
              <w:rPr>
                <w:rFonts w:ascii="Times New Roman" w:hAnsi="Times New Roman" w:cs="Times New Roman"/>
                <w:sz w:val="14"/>
                <w:szCs w:val="14"/>
                <w:lang w:eastAsia="sk-SK"/>
              </w:rPr>
            </w:pPr>
            <w:r w:rsidRPr="002F1A11">
              <w:rPr>
                <w:rFonts w:ascii="Times New Roman" w:hAnsi="Times New Roman" w:cs="Times New Roman"/>
                <w:sz w:val="14"/>
                <w:szCs w:val="14"/>
                <w:lang w:eastAsia="sk-SK"/>
              </w:rPr>
              <w:t>25 231 441</w:t>
            </w:r>
          </w:p>
        </w:tc>
        <w:tc>
          <w:tcPr>
            <w:tcW w:w="547" w:type="pct"/>
            <w:shd w:val="clear" w:color="000000" w:fill="FFFFFF"/>
            <w:vAlign w:val="bottom"/>
            <w:hideMark/>
          </w:tcPr>
          <w:p w:rsidR="007D13F3" w:rsidRPr="002F1A11" w:rsidRDefault="007D13F3" w:rsidP="00465CAC">
            <w:pPr>
              <w:jc w:val="right"/>
              <w:rPr>
                <w:rFonts w:ascii="Times New Roman" w:hAnsi="Times New Roman" w:cs="Times New Roman"/>
                <w:sz w:val="14"/>
                <w:szCs w:val="14"/>
                <w:lang w:eastAsia="sk-SK"/>
              </w:rPr>
            </w:pPr>
            <w:r w:rsidRPr="002F1A11">
              <w:rPr>
                <w:rFonts w:ascii="Times New Roman" w:hAnsi="Times New Roman" w:cs="Times New Roman"/>
                <w:sz w:val="14"/>
                <w:szCs w:val="14"/>
                <w:lang w:eastAsia="sk-SK"/>
              </w:rPr>
              <w:t>99 604 131</w:t>
            </w:r>
          </w:p>
        </w:tc>
        <w:tc>
          <w:tcPr>
            <w:tcW w:w="547" w:type="pct"/>
            <w:shd w:val="clear" w:color="000000" w:fill="FFFFFF"/>
            <w:vAlign w:val="bottom"/>
            <w:hideMark/>
          </w:tcPr>
          <w:p w:rsidR="007D13F3" w:rsidRPr="002F1A11" w:rsidRDefault="007D13F3" w:rsidP="00465CAC">
            <w:pPr>
              <w:jc w:val="right"/>
              <w:rPr>
                <w:rFonts w:ascii="Times New Roman" w:hAnsi="Times New Roman" w:cs="Times New Roman"/>
                <w:sz w:val="14"/>
                <w:szCs w:val="14"/>
                <w:lang w:eastAsia="sk-SK"/>
              </w:rPr>
            </w:pPr>
            <w:r w:rsidRPr="002F1A11">
              <w:rPr>
                <w:rFonts w:ascii="Times New Roman" w:hAnsi="Times New Roman" w:cs="Times New Roman"/>
                <w:sz w:val="14"/>
                <w:szCs w:val="14"/>
                <w:lang w:eastAsia="sk-SK"/>
              </w:rPr>
              <w:t>36 852 976</w:t>
            </w:r>
          </w:p>
        </w:tc>
        <w:tc>
          <w:tcPr>
            <w:tcW w:w="547" w:type="pct"/>
            <w:shd w:val="clear" w:color="000000" w:fill="FFFFFF"/>
            <w:vAlign w:val="bottom"/>
            <w:hideMark/>
          </w:tcPr>
          <w:p w:rsidR="007D13F3" w:rsidRPr="002F1A11" w:rsidRDefault="007D13F3" w:rsidP="00465CAC">
            <w:pPr>
              <w:jc w:val="right"/>
              <w:rPr>
                <w:rFonts w:ascii="Times New Roman" w:hAnsi="Times New Roman" w:cs="Times New Roman"/>
                <w:sz w:val="14"/>
                <w:szCs w:val="14"/>
                <w:lang w:eastAsia="sk-SK"/>
              </w:rPr>
            </w:pPr>
            <w:r w:rsidRPr="002F1A11">
              <w:rPr>
                <w:rFonts w:ascii="Times New Roman" w:hAnsi="Times New Roman" w:cs="Times New Roman"/>
                <w:sz w:val="14"/>
                <w:szCs w:val="14"/>
                <w:lang w:eastAsia="sk-SK"/>
              </w:rPr>
              <w:t>127 462 402</w:t>
            </w:r>
          </w:p>
        </w:tc>
        <w:tc>
          <w:tcPr>
            <w:tcW w:w="547" w:type="pct"/>
            <w:shd w:val="clear" w:color="000000" w:fill="FFFFFF"/>
            <w:vAlign w:val="bottom"/>
            <w:hideMark/>
          </w:tcPr>
          <w:p w:rsidR="007D13F3" w:rsidRPr="002F1A11" w:rsidRDefault="007D13F3" w:rsidP="00465CAC">
            <w:pPr>
              <w:jc w:val="right"/>
              <w:rPr>
                <w:rFonts w:ascii="Times New Roman" w:hAnsi="Times New Roman" w:cs="Times New Roman"/>
                <w:sz w:val="14"/>
                <w:szCs w:val="14"/>
                <w:lang w:eastAsia="sk-SK"/>
              </w:rPr>
            </w:pPr>
            <w:r w:rsidRPr="002F1A11">
              <w:rPr>
                <w:rFonts w:ascii="Times New Roman" w:hAnsi="Times New Roman" w:cs="Times New Roman"/>
                <w:sz w:val="14"/>
                <w:szCs w:val="14"/>
                <w:lang w:eastAsia="sk-SK"/>
              </w:rPr>
              <w:t>221 888 670</w:t>
            </w:r>
          </w:p>
        </w:tc>
        <w:tc>
          <w:tcPr>
            <w:tcW w:w="547" w:type="pct"/>
            <w:shd w:val="clear" w:color="000000" w:fill="FFFFFF"/>
            <w:vAlign w:val="bottom"/>
            <w:hideMark/>
          </w:tcPr>
          <w:p w:rsidR="007D13F3" w:rsidRPr="002F1A11" w:rsidRDefault="007D13F3" w:rsidP="00465CAC">
            <w:pPr>
              <w:jc w:val="right"/>
              <w:rPr>
                <w:rFonts w:ascii="Times New Roman" w:hAnsi="Times New Roman" w:cs="Times New Roman"/>
                <w:sz w:val="14"/>
                <w:szCs w:val="14"/>
                <w:lang w:eastAsia="sk-SK"/>
              </w:rPr>
            </w:pPr>
            <w:r w:rsidRPr="002F1A11">
              <w:rPr>
                <w:rFonts w:ascii="Times New Roman" w:hAnsi="Times New Roman" w:cs="Times New Roman"/>
                <w:sz w:val="14"/>
                <w:szCs w:val="14"/>
                <w:lang w:eastAsia="sk-SK"/>
              </w:rPr>
              <w:t>220 958 184</w:t>
            </w:r>
          </w:p>
        </w:tc>
      </w:tr>
    </w:tbl>
    <w:p w:rsidR="007D13F3" w:rsidRPr="004617A9" w:rsidRDefault="007D13F3" w:rsidP="007D13F3">
      <w:pPr>
        <w:jc w:val="both"/>
        <w:rPr>
          <w:rFonts w:ascii="Times New Roman" w:hAnsi="Times New Roman" w:cs="Times New Roman"/>
          <w:b/>
          <w:lang w:eastAsia="sk-SK"/>
        </w:rPr>
      </w:pPr>
    </w:p>
    <w:p w:rsidR="007D13F3" w:rsidRPr="001227C1" w:rsidRDefault="007D13F3" w:rsidP="007D13F3">
      <w:pPr>
        <w:jc w:val="both"/>
        <w:rPr>
          <w:rFonts w:ascii="Times New Roman" w:hAnsi="Times New Roman" w:cs="Times New Roman"/>
          <w:lang w:eastAsia="sk-SK"/>
        </w:rPr>
      </w:pPr>
      <w:r w:rsidRPr="004617A9">
        <w:rPr>
          <w:rFonts w:ascii="Times New Roman" w:hAnsi="Times New Roman" w:cs="Times New Roman"/>
          <w:b/>
          <w:lang w:eastAsia="sk-SK"/>
        </w:rPr>
        <w:tab/>
      </w:r>
      <w:r w:rsidRPr="004617A9">
        <w:rPr>
          <w:rFonts w:ascii="Times New Roman" w:hAnsi="Times New Roman" w:cs="Times New Roman"/>
          <w:lang w:eastAsia="sk-SK"/>
        </w:rPr>
        <w:t xml:space="preserve">Výdavky 3. programového obdobia v rámci OP </w:t>
      </w:r>
      <w:proofErr w:type="spellStart"/>
      <w:r w:rsidRPr="004617A9">
        <w:rPr>
          <w:rFonts w:ascii="Times New Roman" w:hAnsi="Times New Roman" w:cs="Times New Roman"/>
          <w:lang w:eastAsia="sk-SK"/>
        </w:rPr>
        <w:t>VaI</w:t>
      </w:r>
      <w:proofErr w:type="spellEnd"/>
      <w:r w:rsidRPr="004617A9">
        <w:rPr>
          <w:rFonts w:ascii="Times New Roman" w:hAnsi="Times New Roman" w:cs="Times New Roman"/>
          <w:lang w:eastAsia="sk-SK"/>
        </w:rPr>
        <w:t xml:space="preserve"> sa na rok 201</w:t>
      </w:r>
      <w:r>
        <w:rPr>
          <w:rFonts w:ascii="Times New Roman" w:hAnsi="Times New Roman" w:cs="Times New Roman"/>
          <w:lang w:eastAsia="sk-SK"/>
        </w:rPr>
        <w:t xml:space="preserve">8 navrhujú v sume 127,5 </w:t>
      </w:r>
      <w:r w:rsidRPr="00986BC1">
        <w:rPr>
          <w:rFonts w:ascii="Times New Roman" w:hAnsi="Times New Roman" w:cs="Times New Roman"/>
          <w:lang w:eastAsia="sk-SK"/>
        </w:rPr>
        <w:t>mil. eur</w:t>
      </w:r>
      <w:r>
        <w:rPr>
          <w:rFonts w:ascii="Times New Roman" w:hAnsi="Times New Roman" w:cs="Times New Roman"/>
          <w:lang w:eastAsia="sk-SK"/>
        </w:rPr>
        <w:t xml:space="preserve">, čo je oproti schválenému rozpočtu na rok 2017 viac o 27,9 mil. eur, </w:t>
      </w:r>
      <w:r>
        <w:rPr>
          <w:rFonts w:ascii="Times New Roman" w:hAnsi="Times New Roman" w:cs="Times New Roman"/>
          <w:lang w:eastAsia="sk-SK"/>
        </w:rPr>
        <w:br/>
        <w:t>t. j. o 28,0 %</w:t>
      </w:r>
      <w:r w:rsidRPr="00986BC1">
        <w:rPr>
          <w:rFonts w:ascii="Times New Roman" w:hAnsi="Times New Roman" w:cs="Times New Roman"/>
          <w:lang w:eastAsia="sk-SK"/>
        </w:rPr>
        <w:t>.</w:t>
      </w:r>
      <w:r w:rsidRPr="004617A9">
        <w:rPr>
          <w:rFonts w:ascii="Times New Roman" w:hAnsi="Times New Roman" w:cs="Times New Roman"/>
          <w:lang w:eastAsia="sk-SK"/>
        </w:rPr>
        <w:t xml:space="preserve"> Sú určené najmä na podporu rastu výskumno-vývojových a inovačných kapacít v priemysle a službách,  podporu podnikania prostredníctvom uľahčenia využívania nových </w:t>
      </w:r>
      <w:r w:rsidRPr="004617A9">
        <w:rPr>
          <w:rFonts w:ascii="Times New Roman" w:hAnsi="Times New Roman" w:cs="Times New Roman"/>
          <w:lang w:eastAsia="sk-SK"/>
        </w:rPr>
        <w:lastRenderedPageBreak/>
        <w:t>nápadov v hospodárstve, podporu zakladania nových firiem, a to aj prostredníctvom podnikateľských inkubátorov.</w:t>
      </w:r>
    </w:p>
    <w:p w:rsidR="007D13F3" w:rsidRPr="00DB194C" w:rsidRDefault="007D13F3" w:rsidP="007D13F3">
      <w:pPr>
        <w:jc w:val="both"/>
        <w:rPr>
          <w:rFonts w:ascii="Times New Roman" w:hAnsi="Times New Roman" w:cs="Times New Roman"/>
          <w:lang w:eastAsia="sk-SK"/>
        </w:rPr>
      </w:pPr>
    </w:p>
    <w:p w:rsidR="007D13F3" w:rsidRDefault="007D13F3" w:rsidP="007D13F3">
      <w:pPr>
        <w:jc w:val="both"/>
        <w:rPr>
          <w:rFonts w:ascii="Times New Roman" w:hAnsi="Times New Roman" w:cs="Times New Roman"/>
          <w:b/>
          <w:lang w:eastAsia="sk-SK"/>
        </w:rPr>
      </w:pPr>
      <w:r w:rsidRPr="004617A9">
        <w:rPr>
          <w:rFonts w:ascii="Times New Roman" w:hAnsi="Times New Roman" w:cs="Times New Roman"/>
          <w:b/>
          <w:lang w:eastAsia="sk-SK"/>
        </w:rPr>
        <w:t>Administratíva</w:t>
      </w:r>
    </w:p>
    <w:p w:rsidR="007D13F3" w:rsidRDefault="007D13F3" w:rsidP="007D13F3">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7D13F3" w:rsidRPr="0099101B" w:rsidTr="00465CAC">
        <w:trPr>
          <w:trHeight w:hRule="exact" w:val="255"/>
        </w:trPr>
        <w:tc>
          <w:tcPr>
            <w:tcW w:w="1171"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2015 S</w:t>
            </w:r>
          </w:p>
        </w:tc>
        <w:tc>
          <w:tcPr>
            <w:tcW w:w="547"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2016  S</w:t>
            </w:r>
          </w:p>
        </w:tc>
        <w:tc>
          <w:tcPr>
            <w:tcW w:w="547"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2017 R</w:t>
            </w:r>
          </w:p>
        </w:tc>
        <w:tc>
          <w:tcPr>
            <w:tcW w:w="547"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2017 OS</w:t>
            </w:r>
          </w:p>
        </w:tc>
        <w:tc>
          <w:tcPr>
            <w:tcW w:w="547"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2018 N</w:t>
            </w:r>
          </w:p>
        </w:tc>
        <w:tc>
          <w:tcPr>
            <w:tcW w:w="547"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2019 N</w:t>
            </w:r>
          </w:p>
        </w:tc>
        <w:tc>
          <w:tcPr>
            <w:tcW w:w="547"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2020 N</w:t>
            </w:r>
          </w:p>
        </w:tc>
      </w:tr>
      <w:tr w:rsidR="007D13F3" w:rsidRPr="0099101B" w:rsidTr="00465CAC">
        <w:trPr>
          <w:trHeight w:hRule="exact" w:val="255"/>
        </w:trPr>
        <w:tc>
          <w:tcPr>
            <w:tcW w:w="1171" w:type="pct"/>
            <w:tcBorders>
              <w:top w:val="nil"/>
              <w:left w:val="single" w:sz="4" w:space="0" w:color="auto"/>
              <w:bottom w:val="single" w:sz="4" w:space="0" w:color="auto"/>
              <w:right w:val="single" w:sz="4" w:space="0" w:color="auto"/>
            </w:tcBorders>
            <w:shd w:val="clear" w:color="000000" w:fill="BFBFBF"/>
            <w:vAlign w:val="bottom"/>
            <w:hideMark/>
          </w:tcPr>
          <w:p w:rsidR="007D13F3" w:rsidRPr="00091A90" w:rsidRDefault="007D13F3" w:rsidP="00465CAC">
            <w:pP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Administratíva</w:t>
            </w:r>
          </w:p>
        </w:tc>
        <w:tc>
          <w:tcPr>
            <w:tcW w:w="547" w:type="pct"/>
            <w:tcBorders>
              <w:top w:val="nil"/>
              <w:left w:val="nil"/>
              <w:bottom w:val="single" w:sz="4" w:space="0" w:color="auto"/>
              <w:right w:val="single" w:sz="4" w:space="0" w:color="auto"/>
            </w:tcBorders>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41 261 522</w:t>
            </w:r>
          </w:p>
        </w:tc>
        <w:tc>
          <w:tcPr>
            <w:tcW w:w="547" w:type="pct"/>
            <w:tcBorders>
              <w:top w:val="nil"/>
              <w:left w:val="nil"/>
              <w:bottom w:val="single" w:sz="4" w:space="0" w:color="auto"/>
              <w:right w:val="single" w:sz="4" w:space="0" w:color="auto"/>
            </w:tcBorders>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36 264 585</w:t>
            </w:r>
          </w:p>
        </w:tc>
        <w:tc>
          <w:tcPr>
            <w:tcW w:w="547" w:type="pct"/>
            <w:tcBorders>
              <w:top w:val="nil"/>
              <w:left w:val="nil"/>
              <w:bottom w:val="single" w:sz="4" w:space="0" w:color="auto"/>
              <w:right w:val="single" w:sz="4" w:space="0" w:color="auto"/>
            </w:tcBorders>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33 985 406</w:t>
            </w:r>
          </w:p>
        </w:tc>
        <w:tc>
          <w:tcPr>
            <w:tcW w:w="547" w:type="pct"/>
            <w:tcBorders>
              <w:top w:val="nil"/>
              <w:left w:val="nil"/>
              <w:bottom w:val="single" w:sz="4" w:space="0" w:color="auto"/>
              <w:right w:val="single" w:sz="4" w:space="0" w:color="auto"/>
            </w:tcBorders>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38 110 996</w:t>
            </w:r>
          </w:p>
        </w:tc>
        <w:tc>
          <w:tcPr>
            <w:tcW w:w="547" w:type="pct"/>
            <w:tcBorders>
              <w:top w:val="nil"/>
              <w:left w:val="nil"/>
              <w:bottom w:val="single" w:sz="4" w:space="0" w:color="auto"/>
              <w:right w:val="single" w:sz="4" w:space="0" w:color="auto"/>
            </w:tcBorders>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30 441 496</w:t>
            </w:r>
          </w:p>
        </w:tc>
        <w:tc>
          <w:tcPr>
            <w:tcW w:w="547" w:type="pct"/>
            <w:tcBorders>
              <w:top w:val="nil"/>
              <w:left w:val="nil"/>
              <w:bottom w:val="single" w:sz="4" w:space="0" w:color="auto"/>
              <w:right w:val="single" w:sz="4" w:space="0" w:color="auto"/>
            </w:tcBorders>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30 519 862</w:t>
            </w:r>
          </w:p>
        </w:tc>
        <w:tc>
          <w:tcPr>
            <w:tcW w:w="547" w:type="pct"/>
            <w:tcBorders>
              <w:top w:val="nil"/>
              <w:left w:val="nil"/>
              <w:bottom w:val="single" w:sz="4" w:space="0" w:color="auto"/>
              <w:right w:val="single" w:sz="4" w:space="0" w:color="auto"/>
            </w:tcBorders>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30 534 962</w:t>
            </w:r>
          </w:p>
        </w:tc>
      </w:tr>
      <w:tr w:rsidR="007D13F3" w:rsidRPr="0099101B"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Administrácia aparátu a organ.</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26 169 176</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30 426 000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27 373 548</w:t>
            </w:r>
          </w:p>
        </w:tc>
        <w:tc>
          <w:tcPr>
            <w:tcW w:w="547" w:type="pct"/>
            <w:tcBorders>
              <w:top w:val="nil"/>
              <w:left w:val="nil"/>
              <w:bottom w:val="single" w:sz="4" w:space="0" w:color="auto"/>
              <w:right w:val="single" w:sz="4" w:space="0" w:color="auto"/>
            </w:tcBorders>
            <w:shd w:val="clear" w:color="auto" w:fill="auto"/>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30 523 925</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25 419 556</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25 450 136</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25 465 236</w:t>
            </w:r>
          </w:p>
        </w:tc>
      </w:tr>
      <w:tr w:rsidR="007D13F3" w:rsidRPr="0099101B"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Informačné technológie</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2 430 282</w:t>
            </w:r>
          </w:p>
        </w:tc>
        <w:tc>
          <w:tcPr>
            <w:tcW w:w="547" w:type="pct"/>
            <w:tcBorders>
              <w:top w:val="nil"/>
              <w:left w:val="nil"/>
              <w:bottom w:val="single" w:sz="4" w:space="0" w:color="auto"/>
              <w:right w:val="single" w:sz="4" w:space="0" w:color="auto"/>
            </w:tcBorders>
            <w:shd w:val="clear" w:color="auto" w:fill="auto"/>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2 299 423</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2 490 364</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2 488 150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2 488 150</w:t>
            </w:r>
          </w:p>
        </w:tc>
      </w:tr>
      <w:tr w:rsidR="007D13F3" w:rsidRPr="0099101B"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Informačná spoločnosť 2014-2020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1 165 436</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r>
      <w:tr w:rsidR="007D13F3" w:rsidRPr="0099101B"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Hospodárska mobilizácia</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2 722 602</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2 913 660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2 900 000</w:t>
            </w:r>
          </w:p>
        </w:tc>
        <w:tc>
          <w:tcPr>
            <w:tcW w:w="547" w:type="pct"/>
            <w:tcBorders>
              <w:top w:val="nil"/>
              <w:left w:val="nil"/>
              <w:bottom w:val="single" w:sz="4" w:space="0" w:color="auto"/>
              <w:right w:val="single" w:sz="4" w:space="0" w:color="auto"/>
            </w:tcBorders>
            <w:shd w:val="clear" w:color="auto" w:fill="auto"/>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2 830 860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1 200 000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1 200 000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1 200 000</w:t>
            </w:r>
          </w:p>
        </w:tc>
      </w:tr>
      <w:tr w:rsidR="007D13F3" w:rsidRPr="0099101B"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 xml:space="preserve">Ochrana obyv. pred </w:t>
            </w:r>
            <w:proofErr w:type="spellStart"/>
            <w:r w:rsidRPr="00091A90">
              <w:rPr>
                <w:rFonts w:ascii="Times New Roman" w:hAnsi="Times New Roman" w:cs="Times New Roman"/>
                <w:sz w:val="14"/>
                <w:szCs w:val="14"/>
                <w:lang w:eastAsia="sk-SK"/>
              </w:rPr>
              <w:t>chem</w:t>
            </w:r>
            <w:proofErr w:type="spellEnd"/>
            <w:r w:rsidRPr="00091A90">
              <w:rPr>
                <w:rFonts w:ascii="Times New Roman" w:hAnsi="Times New Roman" w:cs="Times New Roman"/>
                <w:sz w:val="14"/>
                <w:szCs w:val="14"/>
                <w:lang w:eastAsia="sk-SK"/>
              </w:rPr>
              <w:t xml:space="preserve">. </w:t>
            </w:r>
            <w:proofErr w:type="spellStart"/>
            <w:r w:rsidRPr="00091A90">
              <w:rPr>
                <w:rFonts w:ascii="Times New Roman" w:hAnsi="Times New Roman" w:cs="Times New Roman"/>
                <w:sz w:val="14"/>
                <w:szCs w:val="14"/>
                <w:lang w:eastAsia="sk-SK"/>
              </w:rPr>
              <w:t>zbr</w:t>
            </w:r>
            <w:proofErr w:type="spellEnd"/>
            <w:r w:rsidRPr="00091A90">
              <w:rPr>
                <w:rFonts w:ascii="Times New Roman" w:hAnsi="Times New Roman" w:cs="Times New Roman"/>
                <w:sz w:val="14"/>
                <w:szCs w:val="14"/>
                <w:lang w:eastAsia="sk-SK"/>
              </w:rPr>
              <w:t>.</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22 479</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r w:rsidRPr="00091A90">
              <w:rPr>
                <w:rFonts w:ascii="Times New Roman" w:hAnsi="Times New Roman" w:cs="Times New Roman"/>
                <w:sz w:val="14"/>
                <w:szCs w:val="14"/>
                <w:lang w:eastAsia="sk-SK"/>
              </w:rPr>
              <w:t> </w:t>
            </w:r>
          </w:p>
        </w:tc>
      </w:tr>
      <w:tr w:rsidR="007D13F3" w:rsidRPr="0099101B"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Príspevky SR do MO</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1 068 751</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1 011 175</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1 150 000</w:t>
            </w:r>
          </w:p>
        </w:tc>
        <w:tc>
          <w:tcPr>
            <w:tcW w:w="547" w:type="pct"/>
            <w:tcBorders>
              <w:top w:val="nil"/>
              <w:left w:val="nil"/>
              <w:bottom w:val="single" w:sz="4" w:space="0" w:color="auto"/>
              <w:right w:val="single" w:sz="4" w:space="0" w:color="auto"/>
            </w:tcBorders>
            <w:shd w:val="clear" w:color="auto" w:fill="auto"/>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1 150 000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1 200 000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1 250 000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1 250 000</w:t>
            </w:r>
          </w:p>
        </w:tc>
      </w:tr>
      <w:tr w:rsidR="007D13F3" w:rsidRPr="0099101B"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Európska územná spolupráca</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125 501</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auto" w:fill="auto"/>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24 804</w:t>
            </w:r>
          </w:p>
        </w:tc>
      </w:tr>
      <w:tr w:rsidR="007D13F3" w:rsidRPr="0099101B"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Ochrana kritickej infraštruktúry</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3 942</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2 725</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4 300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4 300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4 300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4 300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4 300</w:t>
            </w:r>
          </w:p>
        </w:tc>
      </w:tr>
      <w:tr w:rsidR="007D13F3" w:rsidRPr="0099101B" w:rsidTr="00465CAC">
        <w:trPr>
          <w:trHeight w:hRule="exact" w:val="255"/>
        </w:trPr>
        <w:tc>
          <w:tcPr>
            <w:tcW w:w="1171"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 xml:space="preserve">Technická pomoc </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7 158 284</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1 343 645</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r>
      <w:tr w:rsidR="007D13F3" w:rsidRPr="0099101B" w:rsidTr="00465CAC">
        <w:trPr>
          <w:trHeight w:hRule="exact" w:val="255"/>
        </w:trPr>
        <w:tc>
          <w:tcPr>
            <w:tcW w:w="1171"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Elektronizácia VS</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3 699 677</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0</w:t>
            </w:r>
          </w:p>
        </w:tc>
      </w:tr>
      <w:tr w:rsidR="007D13F3" w:rsidRPr="0099101B" w:rsidTr="00465CAC">
        <w:trPr>
          <w:trHeight w:hRule="exact" w:val="255"/>
        </w:trPr>
        <w:tc>
          <w:tcPr>
            <w:tcW w:w="1171"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99101B" w:rsidRDefault="007D13F3" w:rsidP="00465CAC">
            <w:pPr>
              <w:rPr>
                <w:rFonts w:ascii="Times New Roman" w:hAnsi="Times New Roman" w:cs="Times New Roman"/>
                <w:sz w:val="14"/>
                <w:szCs w:val="14"/>
                <w:lang w:eastAsia="sk-SK"/>
              </w:rPr>
            </w:pPr>
            <w:r w:rsidRPr="0099101B">
              <w:rPr>
                <w:rFonts w:ascii="Times New Roman" w:hAnsi="Times New Roman" w:cs="Times New Roman"/>
                <w:sz w:val="14"/>
                <w:szCs w:val="14"/>
                <w:lang w:eastAsia="sk-SK"/>
              </w:rPr>
              <w:t>SK PRESS 2016</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99101B" w:rsidRDefault="007D13F3" w:rsidP="00465CAC">
            <w:pPr>
              <w:jc w:val="right"/>
              <w:rPr>
                <w:rFonts w:ascii="Times New Roman" w:hAnsi="Times New Roman" w:cs="Times New Roman"/>
                <w:sz w:val="14"/>
                <w:szCs w:val="14"/>
                <w:lang w:eastAsia="sk-SK"/>
              </w:rPr>
            </w:pPr>
            <w:r w:rsidRPr="0099101B">
              <w:rPr>
                <w:rFonts w:ascii="Times New Roman" w:hAnsi="Times New Roman" w:cs="Times New Roman"/>
                <w:sz w:val="14"/>
                <w:szCs w:val="14"/>
                <w:lang w:eastAsia="sk-SK"/>
              </w:rPr>
              <w:t>260 444</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99101B" w:rsidRDefault="007D13F3" w:rsidP="00465CAC">
            <w:pPr>
              <w:jc w:val="right"/>
              <w:rPr>
                <w:rFonts w:ascii="Times New Roman" w:hAnsi="Times New Roman" w:cs="Times New Roman"/>
                <w:sz w:val="14"/>
                <w:szCs w:val="14"/>
                <w:lang w:eastAsia="sk-SK"/>
              </w:rPr>
            </w:pPr>
            <w:r w:rsidRPr="0099101B">
              <w:rPr>
                <w:rFonts w:ascii="Times New Roman" w:hAnsi="Times New Roman" w:cs="Times New Roman"/>
                <w:sz w:val="14"/>
                <w:szCs w:val="14"/>
                <w:lang w:eastAsia="sk-SK"/>
              </w:rPr>
              <w:t>480 240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99101B" w:rsidRDefault="007D13F3" w:rsidP="00465CAC">
            <w:pPr>
              <w:jc w:val="right"/>
              <w:rPr>
                <w:rFonts w:ascii="Times New Roman" w:hAnsi="Times New Roman" w:cs="Times New Roman"/>
                <w:sz w:val="14"/>
                <w:szCs w:val="14"/>
                <w:lang w:eastAsia="sk-SK"/>
              </w:rPr>
            </w:pPr>
            <w:r w:rsidRPr="0099101B">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99101B" w:rsidRDefault="007D13F3" w:rsidP="00465CAC">
            <w:pPr>
              <w:jc w:val="right"/>
              <w:rPr>
                <w:rFonts w:ascii="Times New Roman" w:hAnsi="Times New Roman" w:cs="Times New Roman"/>
                <w:sz w:val="14"/>
                <w:szCs w:val="14"/>
                <w:lang w:eastAsia="sk-SK"/>
              </w:rPr>
            </w:pPr>
            <w:r w:rsidRPr="0099101B">
              <w:rPr>
                <w:rFonts w:ascii="Times New Roman" w:hAnsi="Times New Roman" w:cs="Times New Roman"/>
                <w:sz w:val="14"/>
                <w:szCs w:val="14"/>
                <w:lang w:eastAsia="sk-SK"/>
              </w:rPr>
              <w:t>9 776</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99101B" w:rsidRDefault="007D13F3" w:rsidP="00465CAC">
            <w:pPr>
              <w:jc w:val="right"/>
              <w:rPr>
                <w:rFonts w:ascii="Times New Roman" w:hAnsi="Times New Roman" w:cs="Times New Roman"/>
                <w:sz w:val="14"/>
                <w:szCs w:val="14"/>
                <w:lang w:eastAsia="sk-SK"/>
              </w:rPr>
            </w:pPr>
            <w:r w:rsidRPr="0099101B">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99101B" w:rsidRDefault="007D13F3" w:rsidP="00465CAC">
            <w:pPr>
              <w:jc w:val="right"/>
              <w:rPr>
                <w:rFonts w:ascii="Times New Roman" w:hAnsi="Times New Roman" w:cs="Times New Roman"/>
                <w:sz w:val="14"/>
                <w:szCs w:val="14"/>
                <w:lang w:eastAsia="sk-SK"/>
              </w:rPr>
            </w:pPr>
            <w:r w:rsidRPr="0099101B">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99101B" w:rsidRDefault="007D13F3" w:rsidP="00465CAC">
            <w:pPr>
              <w:jc w:val="right"/>
              <w:rPr>
                <w:rFonts w:ascii="Times New Roman" w:hAnsi="Times New Roman" w:cs="Times New Roman"/>
                <w:sz w:val="14"/>
                <w:szCs w:val="14"/>
                <w:lang w:eastAsia="sk-SK"/>
              </w:rPr>
            </w:pPr>
            <w:r w:rsidRPr="0099101B">
              <w:rPr>
                <w:rFonts w:ascii="Times New Roman" w:hAnsi="Times New Roman" w:cs="Times New Roman"/>
                <w:sz w:val="14"/>
                <w:szCs w:val="14"/>
                <w:lang w:eastAsia="sk-SK"/>
              </w:rPr>
              <w:t>0</w:t>
            </w:r>
          </w:p>
        </w:tc>
      </w:tr>
      <w:tr w:rsidR="007D13F3" w:rsidRPr="0099101B" w:rsidTr="00465CAC">
        <w:trPr>
          <w:trHeight w:hRule="exact" w:val="255"/>
        </w:trPr>
        <w:tc>
          <w:tcPr>
            <w:tcW w:w="1171"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99101B" w:rsidRDefault="007D13F3" w:rsidP="00465CAC">
            <w:pPr>
              <w:rPr>
                <w:rFonts w:ascii="Times New Roman" w:hAnsi="Times New Roman" w:cs="Times New Roman"/>
                <w:sz w:val="14"/>
                <w:szCs w:val="14"/>
                <w:lang w:eastAsia="sk-SK"/>
              </w:rPr>
            </w:pPr>
            <w:r w:rsidRPr="0099101B">
              <w:rPr>
                <w:rFonts w:ascii="Times New Roman" w:hAnsi="Times New Roman" w:cs="Times New Roman"/>
                <w:sz w:val="14"/>
                <w:szCs w:val="14"/>
                <w:lang w:eastAsia="sk-SK"/>
              </w:rPr>
              <w:t>Ostatné výdavky</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99101B" w:rsidRDefault="007D13F3" w:rsidP="00465CAC">
            <w:pPr>
              <w:jc w:val="right"/>
              <w:rPr>
                <w:rFonts w:ascii="Times New Roman" w:hAnsi="Times New Roman" w:cs="Times New Roman"/>
                <w:sz w:val="14"/>
                <w:szCs w:val="14"/>
                <w:lang w:eastAsia="sk-SK"/>
              </w:rPr>
            </w:pPr>
            <w:r w:rsidRPr="0099101B">
              <w:rPr>
                <w:rFonts w:ascii="Times New Roman" w:hAnsi="Times New Roman" w:cs="Times New Roman"/>
                <w:sz w:val="14"/>
                <w:szCs w:val="14"/>
                <w:lang w:eastAsia="sk-SK"/>
              </w:rPr>
              <w:t>30 666</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99101B" w:rsidRDefault="007D13F3" w:rsidP="00465CAC">
            <w:pPr>
              <w:jc w:val="right"/>
              <w:rPr>
                <w:rFonts w:ascii="Times New Roman" w:hAnsi="Times New Roman" w:cs="Times New Roman"/>
                <w:sz w:val="14"/>
                <w:szCs w:val="14"/>
                <w:lang w:eastAsia="sk-SK"/>
              </w:rPr>
            </w:pPr>
            <w:r w:rsidRPr="0099101B">
              <w:rPr>
                <w:rFonts w:ascii="Times New Roman" w:hAnsi="Times New Roman" w:cs="Times New Roman"/>
                <w:sz w:val="14"/>
                <w:szCs w:val="14"/>
                <w:lang w:eastAsia="sk-SK"/>
              </w:rPr>
              <w:t>62 336</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99101B" w:rsidRDefault="007D13F3" w:rsidP="00465CAC">
            <w:pPr>
              <w:jc w:val="right"/>
              <w:rPr>
                <w:rFonts w:ascii="Times New Roman" w:hAnsi="Times New Roman" w:cs="Times New Roman"/>
                <w:sz w:val="14"/>
                <w:szCs w:val="14"/>
                <w:lang w:eastAsia="sk-SK"/>
              </w:rPr>
            </w:pPr>
            <w:r w:rsidRPr="0099101B">
              <w:rPr>
                <w:rFonts w:ascii="Times New Roman" w:hAnsi="Times New Roman" w:cs="Times New Roman"/>
                <w:sz w:val="14"/>
                <w:szCs w:val="14"/>
                <w:lang w:eastAsia="sk-SK"/>
              </w:rPr>
              <w:t>102 472</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99101B" w:rsidRDefault="007D13F3" w:rsidP="00465CAC">
            <w:pPr>
              <w:jc w:val="right"/>
              <w:rPr>
                <w:rFonts w:ascii="Times New Roman" w:hAnsi="Times New Roman" w:cs="Times New Roman"/>
                <w:sz w:val="14"/>
                <w:szCs w:val="14"/>
                <w:lang w:eastAsia="sk-SK"/>
              </w:rPr>
            </w:pPr>
            <w:r w:rsidRPr="0099101B">
              <w:rPr>
                <w:rFonts w:ascii="Times New Roman" w:hAnsi="Times New Roman" w:cs="Times New Roman"/>
                <w:sz w:val="14"/>
                <w:szCs w:val="14"/>
                <w:lang w:eastAsia="sk-SK"/>
              </w:rPr>
              <w:t>102 472</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99101B" w:rsidRDefault="007D13F3" w:rsidP="00465CAC">
            <w:pPr>
              <w:jc w:val="right"/>
              <w:rPr>
                <w:rFonts w:ascii="Times New Roman" w:hAnsi="Times New Roman" w:cs="Times New Roman"/>
                <w:sz w:val="14"/>
                <w:szCs w:val="14"/>
                <w:lang w:eastAsia="sk-SK"/>
              </w:rPr>
            </w:pPr>
            <w:r w:rsidRPr="0099101B">
              <w:rPr>
                <w:rFonts w:ascii="Times New Roman" w:hAnsi="Times New Roman" w:cs="Times New Roman"/>
                <w:sz w:val="14"/>
                <w:szCs w:val="14"/>
                <w:lang w:eastAsia="sk-SK"/>
              </w:rPr>
              <w:t>102 472</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99101B" w:rsidRDefault="007D13F3" w:rsidP="00465CAC">
            <w:pPr>
              <w:jc w:val="right"/>
              <w:rPr>
                <w:rFonts w:ascii="Times New Roman" w:hAnsi="Times New Roman" w:cs="Times New Roman"/>
                <w:sz w:val="14"/>
                <w:szCs w:val="14"/>
                <w:lang w:eastAsia="sk-SK"/>
              </w:rPr>
            </w:pPr>
            <w:r w:rsidRPr="0099101B">
              <w:rPr>
                <w:rFonts w:ascii="Times New Roman" w:hAnsi="Times New Roman" w:cs="Times New Roman"/>
                <w:sz w:val="14"/>
                <w:szCs w:val="14"/>
                <w:lang w:eastAsia="sk-SK"/>
              </w:rPr>
              <w:t>102 472</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99101B" w:rsidRDefault="007D13F3" w:rsidP="00465CAC">
            <w:pPr>
              <w:jc w:val="right"/>
              <w:rPr>
                <w:rFonts w:ascii="Times New Roman" w:hAnsi="Times New Roman" w:cs="Times New Roman"/>
                <w:sz w:val="14"/>
                <w:szCs w:val="14"/>
                <w:lang w:eastAsia="sk-SK"/>
              </w:rPr>
            </w:pPr>
            <w:r w:rsidRPr="0099101B">
              <w:rPr>
                <w:rFonts w:ascii="Times New Roman" w:hAnsi="Times New Roman" w:cs="Times New Roman"/>
                <w:sz w:val="14"/>
                <w:szCs w:val="14"/>
                <w:lang w:eastAsia="sk-SK"/>
              </w:rPr>
              <w:t>102 472</w:t>
            </w:r>
          </w:p>
        </w:tc>
      </w:tr>
    </w:tbl>
    <w:p w:rsidR="007D13F3" w:rsidRPr="004617A9" w:rsidRDefault="007D13F3" w:rsidP="007D13F3">
      <w:pPr>
        <w:jc w:val="both"/>
        <w:rPr>
          <w:rFonts w:ascii="Times New Roman" w:hAnsi="Times New Roman" w:cs="Times New Roman"/>
          <w:b/>
          <w:lang w:eastAsia="sk-SK"/>
        </w:rPr>
      </w:pPr>
    </w:p>
    <w:p w:rsidR="007D13F3" w:rsidRPr="004617A9" w:rsidRDefault="007D13F3" w:rsidP="007D13F3">
      <w:pPr>
        <w:ind w:firstLine="708"/>
        <w:jc w:val="both"/>
        <w:rPr>
          <w:rFonts w:ascii="Times New Roman" w:hAnsi="Times New Roman" w:cs="Times New Roman"/>
          <w:lang w:eastAsia="sk-SK"/>
        </w:rPr>
      </w:pPr>
      <w:r w:rsidRPr="001C5299">
        <w:rPr>
          <w:rFonts w:ascii="Times New Roman" w:hAnsi="Times New Roman" w:cs="Times New Roman"/>
          <w:lang w:eastAsia="sk-SK"/>
        </w:rPr>
        <w:t>Výdav</w:t>
      </w:r>
      <w:r>
        <w:rPr>
          <w:rFonts w:ascii="Times New Roman" w:hAnsi="Times New Roman" w:cs="Times New Roman"/>
          <w:lang w:eastAsia="sk-SK"/>
        </w:rPr>
        <w:t>ky na administratívu na rok 2018 v sume 30,4</w:t>
      </w:r>
      <w:r w:rsidRPr="001C5299">
        <w:rPr>
          <w:rFonts w:ascii="Times New Roman" w:hAnsi="Times New Roman" w:cs="Times New Roman"/>
          <w:lang w:eastAsia="sk-SK"/>
        </w:rPr>
        <w:t xml:space="preserve"> mil. eur sú </w:t>
      </w:r>
      <w:r>
        <w:rPr>
          <w:rFonts w:ascii="Times New Roman" w:hAnsi="Times New Roman" w:cs="Times New Roman"/>
          <w:lang w:eastAsia="sk-SK"/>
        </w:rPr>
        <w:t xml:space="preserve">v porovnaní </w:t>
      </w:r>
      <w:r>
        <w:rPr>
          <w:rFonts w:ascii="Times New Roman" w:hAnsi="Times New Roman" w:cs="Times New Roman"/>
          <w:lang w:eastAsia="sk-SK"/>
        </w:rPr>
        <w:br/>
        <w:t xml:space="preserve">so schváleným rozpočtom na rok 2017 nižšie o 3,54 mil. eur, t. j. o 10,4 %. </w:t>
      </w:r>
      <w:r w:rsidRPr="001227C1">
        <w:rPr>
          <w:rFonts w:ascii="Times New Roman" w:hAnsi="Times New Roman" w:cs="Times New Roman"/>
          <w:lang w:eastAsia="sk-SK"/>
        </w:rPr>
        <w:t xml:space="preserve">Tento vývoj ovplyvnil </w:t>
      </w:r>
      <w:r w:rsidR="000E76EC" w:rsidRPr="001227C1">
        <w:rPr>
          <w:rFonts w:ascii="Times New Roman" w:hAnsi="Times New Roman" w:cs="Times New Roman"/>
          <w:lang w:eastAsia="sk-SK"/>
        </w:rPr>
        <w:t>najmä</w:t>
      </w:r>
      <w:r w:rsidRPr="001227C1">
        <w:rPr>
          <w:rFonts w:ascii="Times New Roman" w:hAnsi="Times New Roman" w:cs="Times New Roman"/>
          <w:lang w:eastAsia="sk-SK"/>
        </w:rPr>
        <w:t xml:space="preserve"> medziročný pokles výdavkov na administráciu aparátu a hospodársku mobilizáciu</w:t>
      </w:r>
      <w:r>
        <w:rPr>
          <w:rFonts w:ascii="Times New Roman" w:hAnsi="Times New Roman" w:cs="Times New Roman"/>
          <w:lang w:eastAsia="sk-SK"/>
        </w:rPr>
        <w:t>.</w:t>
      </w:r>
    </w:p>
    <w:p w:rsidR="007D13F3" w:rsidRPr="004617A9" w:rsidRDefault="007D13F3" w:rsidP="007D13F3">
      <w:pPr>
        <w:jc w:val="both"/>
      </w:pPr>
    </w:p>
    <w:p w:rsidR="007D13F3" w:rsidRDefault="007D13F3" w:rsidP="007D13F3">
      <w:pPr>
        <w:ind w:firstLine="708"/>
        <w:jc w:val="both"/>
        <w:rPr>
          <w:rFonts w:ascii="Times New Roman" w:hAnsi="Times New Roman" w:cs="Times New Roman"/>
          <w:lang w:eastAsia="sk-SK"/>
        </w:rPr>
      </w:pPr>
      <w:r w:rsidRPr="004617A9">
        <w:rPr>
          <w:rFonts w:ascii="Times New Roman" w:hAnsi="Times New Roman" w:cs="Times New Roman"/>
          <w:lang w:eastAsia="sk-SK"/>
        </w:rPr>
        <w:t>Výdavky na administráciu sú rozpočtované na plnenie úloh týchto organizácií:</w:t>
      </w:r>
    </w:p>
    <w:p w:rsidR="007D13F3" w:rsidRDefault="007D13F3" w:rsidP="007D13F3">
      <w:pPr>
        <w:jc w:val="both"/>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7D13F3" w:rsidRPr="005C28ED" w:rsidTr="00465CAC">
        <w:trPr>
          <w:trHeight w:hRule="exact" w:val="255"/>
        </w:trPr>
        <w:tc>
          <w:tcPr>
            <w:tcW w:w="1171"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2015 S</w:t>
            </w:r>
          </w:p>
        </w:tc>
        <w:tc>
          <w:tcPr>
            <w:tcW w:w="547"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2016  S</w:t>
            </w:r>
          </w:p>
        </w:tc>
        <w:tc>
          <w:tcPr>
            <w:tcW w:w="547"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2017 R</w:t>
            </w:r>
          </w:p>
        </w:tc>
        <w:tc>
          <w:tcPr>
            <w:tcW w:w="547"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2017 OS</w:t>
            </w:r>
          </w:p>
        </w:tc>
        <w:tc>
          <w:tcPr>
            <w:tcW w:w="547"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2018 N</w:t>
            </w:r>
          </w:p>
        </w:tc>
        <w:tc>
          <w:tcPr>
            <w:tcW w:w="547"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2019 N</w:t>
            </w:r>
          </w:p>
        </w:tc>
        <w:tc>
          <w:tcPr>
            <w:tcW w:w="547"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091A90" w:rsidRDefault="007D13F3" w:rsidP="00465CAC">
            <w:pPr>
              <w:jc w:val="cente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2020 N</w:t>
            </w:r>
          </w:p>
        </w:tc>
      </w:tr>
      <w:tr w:rsidR="007D13F3" w:rsidRPr="005C28ED" w:rsidTr="00465CAC">
        <w:trPr>
          <w:trHeight w:hRule="exact" w:val="255"/>
        </w:trPr>
        <w:tc>
          <w:tcPr>
            <w:tcW w:w="1171" w:type="pct"/>
            <w:tcBorders>
              <w:top w:val="nil"/>
              <w:left w:val="single" w:sz="4" w:space="0" w:color="auto"/>
              <w:bottom w:val="single" w:sz="4" w:space="0" w:color="auto"/>
              <w:right w:val="single" w:sz="4" w:space="0" w:color="auto"/>
            </w:tcBorders>
            <w:shd w:val="clear" w:color="000000" w:fill="BFBFBF"/>
            <w:noWrap/>
            <w:vAlign w:val="bottom"/>
            <w:hideMark/>
          </w:tcPr>
          <w:p w:rsidR="007D13F3" w:rsidRPr="00091A90" w:rsidRDefault="007D13F3" w:rsidP="00465CAC">
            <w:pPr>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 </w:t>
            </w:r>
          </w:p>
        </w:tc>
        <w:tc>
          <w:tcPr>
            <w:tcW w:w="547" w:type="pct"/>
            <w:tcBorders>
              <w:top w:val="nil"/>
              <w:left w:val="nil"/>
              <w:bottom w:val="single" w:sz="4" w:space="0" w:color="auto"/>
              <w:right w:val="single" w:sz="4" w:space="0" w:color="auto"/>
            </w:tcBorders>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26 169 176</w:t>
            </w:r>
          </w:p>
        </w:tc>
        <w:tc>
          <w:tcPr>
            <w:tcW w:w="547" w:type="pct"/>
            <w:tcBorders>
              <w:top w:val="nil"/>
              <w:left w:val="nil"/>
              <w:bottom w:val="single" w:sz="4" w:space="0" w:color="auto"/>
              <w:right w:val="single" w:sz="4" w:space="0" w:color="auto"/>
            </w:tcBorders>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30 426 000</w:t>
            </w:r>
          </w:p>
        </w:tc>
        <w:tc>
          <w:tcPr>
            <w:tcW w:w="547" w:type="pct"/>
            <w:tcBorders>
              <w:top w:val="nil"/>
              <w:left w:val="nil"/>
              <w:bottom w:val="single" w:sz="4" w:space="0" w:color="auto"/>
              <w:right w:val="single" w:sz="4" w:space="0" w:color="auto"/>
            </w:tcBorders>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27 373 548</w:t>
            </w:r>
          </w:p>
        </w:tc>
        <w:tc>
          <w:tcPr>
            <w:tcW w:w="547" w:type="pct"/>
            <w:tcBorders>
              <w:top w:val="nil"/>
              <w:left w:val="nil"/>
              <w:bottom w:val="single" w:sz="4" w:space="0" w:color="auto"/>
              <w:right w:val="single" w:sz="4" w:space="0" w:color="auto"/>
            </w:tcBorders>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30 523 925</w:t>
            </w:r>
          </w:p>
        </w:tc>
        <w:tc>
          <w:tcPr>
            <w:tcW w:w="547" w:type="pct"/>
            <w:tcBorders>
              <w:top w:val="nil"/>
              <w:left w:val="nil"/>
              <w:bottom w:val="single" w:sz="4" w:space="0" w:color="auto"/>
              <w:right w:val="single" w:sz="4" w:space="0" w:color="auto"/>
            </w:tcBorders>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25 419 556</w:t>
            </w:r>
          </w:p>
        </w:tc>
        <w:tc>
          <w:tcPr>
            <w:tcW w:w="547" w:type="pct"/>
            <w:tcBorders>
              <w:top w:val="nil"/>
              <w:left w:val="nil"/>
              <w:bottom w:val="single" w:sz="4" w:space="0" w:color="auto"/>
              <w:right w:val="single" w:sz="4" w:space="0" w:color="auto"/>
            </w:tcBorders>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25 450 136</w:t>
            </w:r>
          </w:p>
        </w:tc>
        <w:tc>
          <w:tcPr>
            <w:tcW w:w="547" w:type="pct"/>
            <w:tcBorders>
              <w:top w:val="nil"/>
              <w:left w:val="nil"/>
              <w:bottom w:val="single" w:sz="4" w:space="0" w:color="auto"/>
              <w:right w:val="single" w:sz="4" w:space="0" w:color="auto"/>
            </w:tcBorders>
            <w:shd w:val="clear" w:color="000000" w:fill="BFBFBF"/>
            <w:noWrap/>
            <w:vAlign w:val="bottom"/>
            <w:hideMark/>
          </w:tcPr>
          <w:p w:rsidR="007D13F3" w:rsidRPr="00091A90" w:rsidRDefault="007D13F3" w:rsidP="00465CAC">
            <w:pPr>
              <w:jc w:val="right"/>
              <w:rPr>
                <w:rFonts w:ascii="Times New Roman" w:hAnsi="Times New Roman" w:cs="Times New Roman"/>
                <w:b/>
                <w:bCs/>
                <w:sz w:val="14"/>
                <w:szCs w:val="14"/>
                <w:lang w:eastAsia="sk-SK"/>
              </w:rPr>
            </w:pPr>
            <w:r w:rsidRPr="00091A90">
              <w:rPr>
                <w:rFonts w:ascii="Times New Roman" w:hAnsi="Times New Roman" w:cs="Times New Roman"/>
                <w:b/>
                <w:bCs/>
                <w:sz w:val="14"/>
                <w:szCs w:val="14"/>
                <w:lang w:eastAsia="sk-SK"/>
              </w:rPr>
              <w:t>25 465 236</w:t>
            </w:r>
          </w:p>
        </w:tc>
      </w:tr>
      <w:tr w:rsidR="007D13F3" w:rsidRPr="005C28ED"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Puncový úrad</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507 067</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523 810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537 000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552 814</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545 361</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545 361</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545 361</w:t>
            </w:r>
          </w:p>
        </w:tc>
      </w:tr>
      <w:tr w:rsidR="007D13F3" w:rsidRPr="005C28ED"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Múzeum obchodu</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154 781</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180 000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141 968</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141 968</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160 000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160 000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160 000</w:t>
            </w:r>
          </w:p>
        </w:tc>
      </w:tr>
      <w:tr w:rsidR="007D13F3" w:rsidRPr="005C28ED"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 xml:space="preserve">Slovenská obchodná inšpekcia </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5 361 175</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5 781 795</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6 194 208</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6 399 615</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6 399 582</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6 399 582</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6 399 582</w:t>
            </w:r>
          </w:p>
        </w:tc>
      </w:tr>
      <w:tr w:rsidR="007D13F3" w:rsidRPr="005C28ED"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Hlavný banský úrad</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1 426 381</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1 477 608</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1 390 624</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1 481 191</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1 424 283</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1 418 867</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1 418 867</w:t>
            </w:r>
          </w:p>
        </w:tc>
      </w:tr>
      <w:tr w:rsidR="007D13F3" w:rsidRPr="005C28ED"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SIEA</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2 230 000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2 711 000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2 181 300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2 181 300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1 681 300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1 686 300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1 686 300</w:t>
            </w:r>
          </w:p>
        </w:tc>
      </w:tr>
      <w:tr w:rsidR="007D13F3" w:rsidRPr="005C28ED" w:rsidTr="00465CAC">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7D13F3" w:rsidRPr="00091A90" w:rsidRDefault="007D13F3" w:rsidP="00465CAC">
            <w:pPr>
              <w:rPr>
                <w:rFonts w:ascii="Times New Roman" w:hAnsi="Times New Roman" w:cs="Times New Roman"/>
                <w:sz w:val="14"/>
                <w:szCs w:val="14"/>
                <w:lang w:eastAsia="sk-SK"/>
              </w:rPr>
            </w:pPr>
            <w:r w:rsidRPr="00091A90">
              <w:rPr>
                <w:rFonts w:ascii="Times New Roman" w:hAnsi="Times New Roman" w:cs="Times New Roman"/>
                <w:sz w:val="14"/>
                <w:szCs w:val="14"/>
                <w:lang w:eastAsia="sk-SK"/>
              </w:rPr>
              <w:t>MH SR admin.  úradu</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16 489 772</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19 751 787</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16 928 448</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19 767 037</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15 209 030</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15 240 026</w:t>
            </w:r>
          </w:p>
        </w:tc>
        <w:tc>
          <w:tcPr>
            <w:tcW w:w="547" w:type="pct"/>
            <w:tcBorders>
              <w:top w:val="nil"/>
              <w:left w:val="nil"/>
              <w:bottom w:val="single" w:sz="4" w:space="0" w:color="auto"/>
              <w:right w:val="single" w:sz="4" w:space="0" w:color="auto"/>
            </w:tcBorders>
            <w:shd w:val="clear" w:color="000000" w:fill="FFFFFF"/>
            <w:noWrap/>
            <w:vAlign w:val="bottom"/>
            <w:hideMark/>
          </w:tcPr>
          <w:p w:rsidR="007D13F3" w:rsidRPr="00091A90" w:rsidRDefault="007D13F3" w:rsidP="00465CAC">
            <w:pPr>
              <w:jc w:val="right"/>
              <w:rPr>
                <w:rFonts w:ascii="Times New Roman" w:hAnsi="Times New Roman" w:cs="Times New Roman"/>
                <w:sz w:val="14"/>
                <w:szCs w:val="14"/>
                <w:lang w:eastAsia="sk-SK"/>
              </w:rPr>
            </w:pPr>
            <w:r w:rsidRPr="00091A90">
              <w:rPr>
                <w:rFonts w:ascii="Times New Roman" w:hAnsi="Times New Roman" w:cs="Times New Roman"/>
                <w:sz w:val="14"/>
                <w:szCs w:val="14"/>
                <w:lang w:eastAsia="sk-SK"/>
              </w:rPr>
              <w:t>15 255 126</w:t>
            </w:r>
          </w:p>
        </w:tc>
      </w:tr>
    </w:tbl>
    <w:p w:rsidR="007D13F3" w:rsidRDefault="007D13F3" w:rsidP="007D13F3">
      <w:pPr>
        <w:ind w:firstLine="709"/>
        <w:jc w:val="both"/>
        <w:rPr>
          <w:rFonts w:ascii="Times New Roman" w:hAnsi="Times New Roman" w:cs="Times New Roman"/>
          <w:lang w:eastAsia="sk-SK"/>
        </w:rPr>
      </w:pPr>
    </w:p>
    <w:p w:rsidR="007D13F3" w:rsidRPr="004617A9" w:rsidRDefault="007D13F3" w:rsidP="007D13F3">
      <w:pPr>
        <w:ind w:firstLine="709"/>
        <w:jc w:val="both"/>
        <w:rPr>
          <w:rFonts w:ascii="Times New Roman" w:hAnsi="Times New Roman" w:cs="Times New Roman"/>
          <w:lang w:eastAsia="sk-SK"/>
        </w:rPr>
      </w:pPr>
      <w:r w:rsidRPr="00F51524">
        <w:rPr>
          <w:rFonts w:ascii="Times New Roman" w:hAnsi="Times New Roman" w:cs="Times New Roman"/>
          <w:lang w:eastAsia="sk-SK"/>
        </w:rPr>
        <w:t xml:space="preserve">Výdavky na administráciu sú smerované na administráciu vlastného aparátu ministerstva, realizáciu zmiešaných a medzinárodných komisií, organizáciu podujatia Mladý tvorca, zabezpečenie činnosti rozpočtových organizácií v oblasti </w:t>
      </w:r>
      <w:proofErr w:type="spellStart"/>
      <w:r w:rsidRPr="00F51524">
        <w:rPr>
          <w:rFonts w:ascii="Times New Roman" w:hAnsi="Times New Roman" w:cs="Times New Roman"/>
          <w:lang w:eastAsia="sk-SK"/>
        </w:rPr>
        <w:t>puncovníctva</w:t>
      </w:r>
      <w:proofErr w:type="spellEnd"/>
      <w:r w:rsidRPr="00F51524">
        <w:rPr>
          <w:rFonts w:ascii="Times New Roman" w:hAnsi="Times New Roman" w:cs="Times New Roman"/>
          <w:lang w:eastAsia="sk-SK"/>
        </w:rPr>
        <w:t xml:space="preserve"> a skúšania drahých kovov, trhového dozoru v ochrane spotrebiteľa na vnútornom trhu, zabezpečovanie </w:t>
      </w:r>
      <w:r>
        <w:rPr>
          <w:rFonts w:ascii="Times New Roman" w:hAnsi="Times New Roman" w:cs="Times New Roman"/>
          <w:lang w:eastAsia="sk-SK"/>
        </w:rPr>
        <w:br/>
      </w:r>
      <w:r w:rsidRPr="00F51524">
        <w:rPr>
          <w:rFonts w:ascii="Times New Roman" w:hAnsi="Times New Roman" w:cs="Times New Roman"/>
          <w:lang w:eastAsia="sk-SK"/>
        </w:rPr>
        <w:t>a riadenie výkonu štátnej banskej správy. Výdavky v tejto oblasti sú smerované aj pre príspevkové organizácie Múzeum obchodu a Slovenskú inovačnú a energetickú agentúru.</w:t>
      </w:r>
      <w:r w:rsidRPr="004617A9">
        <w:rPr>
          <w:rFonts w:ascii="Times New Roman" w:hAnsi="Times New Roman" w:cs="Times New Roman"/>
          <w:lang w:eastAsia="sk-SK"/>
        </w:rPr>
        <w:t xml:space="preserve"> </w:t>
      </w:r>
    </w:p>
    <w:p w:rsidR="009C37FC" w:rsidRDefault="009C37FC" w:rsidP="007D13F3">
      <w:pPr>
        <w:ind w:firstLine="708"/>
        <w:jc w:val="both"/>
        <w:rPr>
          <w:rFonts w:ascii="Times New Roman" w:hAnsi="Times New Roman" w:cs="Times New Roman"/>
          <w:lang w:eastAsia="sk-SK"/>
        </w:rPr>
      </w:pPr>
    </w:p>
    <w:p w:rsidR="007D13F3" w:rsidRDefault="007D13F3" w:rsidP="007D13F3">
      <w:pPr>
        <w:ind w:firstLine="708"/>
        <w:jc w:val="both"/>
        <w:rPr>
          <w:rFonts w:ascii="Times New Roman" w:hAnsi="Times New Roman" w:cs="Times New Roman"/>
          <w:noProof/>
          <w:lang w:eastAsia="sk-SK"/>
        </w:rPr>
      </w:pPr>
      <w:r>
        <w:rPr>
          <w:rFonts w:ascii="Times New Roman" w:hAnsi="Times New Roman" w:cs="Times New Roman"/>
          <w:lang w:eastAsia="sk-SK"/>
        </w:rPr>
        <w:t>Ďalšie výdavky v oblasti administratívy sú smerované najmä na</w:t>
      </w:r>
      <w:r w:rsidRPr="004617A9">
        <w:rPr>
          <w:rFonts w:ascii="Times New Roman" w:hAnsi="Times New Roman" w:cs="Times New Roman"/>
          <w:lang w:eastAsia="sk-SK"/>
        </w:rPr>
        <w:t xml:space="preserve"> plnenie úloh medzirezortných programov, </w:t>
      </w:r>
      <w:r>
        <w:rPr>
          <w:rFonts w:ascii="Times New Roman" w:hAnsi="Times New Roman" w:cs="Times New Roman"/>
          <w:lang w:eastAsia="sk-SK"/>
        </w:rPr>
        <w:t xml:space="preserve">na príspevky do medzinárodných organizácií, </w:t>
      </w:r>
      <w:r w:rsidRPr="004617A9">
        <w:rPr>
          <w:rFonts w:ascii="Times New Roman" w:hAnsi="Times New Roman" w:cs="Times New Roman"/>
          <w:lang w:eastAsia="sk-SK"/>
        </w:rPr>
        <w:t xml:space="preserve">pre občianske združenia na ochranu práv spotrebiteľa a Európske spotrebiteľské centrum. </w:t>
      </w:r>
      <w:r w:rsidRPr="00BA0F16">
        <w:rPr>
          <w:rFonts w:ascii="Times New Roman" w:hAnsi="Times New Roman" w:cs="Times New Roman"/>
          <w:noProof/>
          <w:lang w:eastAsia="sk-SK"/>
        </w:rPr>
        <w:t xml:space="preserve"> </w:t>
      </w:r>
    </w:p>
    <w:p w:rsidR="007D13F3" w:rsidRPr="001A10E2" w:rsidRDefault="007D13F3" w:rsidP="007D13F3">
      <w:pPr>
        <w:ind w:firstLine="708"/>
        <w:jc w:val="both"/>
        <w:rPr>
          <w:rFonts w:ascii="Times New Roman" w:hAnsi="Times New Roman" w:cs="Times New Roman"/>
          <w:noProof/>
          <w:lang w:eastAsia="sk-SK"/>
        </w:rPr>
      </w:pPr>
    </w:p>
    <w:p w:rsidR="007D13F3" w:rsidRPr="00555DF8" w:rsidRDefault="007D13F3" w:rsidP="007D13F3">
      <w:pPr>
        <w:pStyle w:val="Nadpis5"/>
        <w:pBdr>
          <w:bottom w:val="single" w:sz="4" w:space="1" w:color="auto"/>
        </w:pBdr>
        <w:spacing w:before="0"/>
        <w:ind w:left="0"/>
        <w:rPr>
          <w:i w:val="0"/>
          <w:sz w:val="24"/>
          <w:lang w:eastAsia="sk-SK"/>
        </w:rPr>
      </w:pPr>
      <w:bookmarkStart w:id="110" w:name="_Toc494470101"/>
      <w:bookmarkStart w:id="111" w:name="_Toc494472277"/>
      <w:r w:rsidRPr="00E620E5">
        <w:rPr>
          <w:i w:val="0"/>
          <w:sz w:val="24"/>
          <w:lang w:eastAsia="sk-SK"/>
        </w:rPr>
        <w:t>Ministerstvo životného prostredia SR</w:t>
      </w:r>
      <w:bookmarkEnd w:id="110"/>
      <w:bookmarkEnd w:id="111"/>
    </w:p>
    <w:tbl>
      <w:tblPr>
        <w:tblW w:w="5000" w:type="pct"/>
        <w:tblLayout w:type="fixed"/>
        <w:tblCellMar>
          <w:left w:w="70" w:type="dxa"/>
          <w:right w:w="70" w:type="dxa"/>
        </w:tblCellMar>
        <w:tblLook w:val="04A0" w:firstRow="1" w:lastRow="0" w:firstColumn="1" w:lastColumn="0" w:noHBand="0" w:noVBand="1"/>
      </w:tblPr>
      <w:tblGrid>
        <w:gridCol w:w="9072"/>
      </w:tblGrid>
      <w:tr w:rsidR="007D13F3" w:rsidRPr="00A475D0" w:rsidTr="00465CAC">
        <w:trPr>
          <w:trHeight w:val="300"/>
        </w:trPr>
        <w:tc>
          <w:tcPr>
            <w:tcW w:w="5000" w:type="pct"/>
            <w:tcBorders>
              <w:top w:val="nil"/>
              <w:left w:val="nil"/>
              <w:right w:val="nil"/>
            </w:tcBorders>
            <w:shd w:val="clear" w:color="auto" w:fill="auto"/>
            <w:noWrap/>
            <w:vAlign w:val="bottom"/>
            <w:hideMark/>
          </w:tcPr>
          <w:p w:rsidR="007D13F3" w:rsidRDefault="007D13F3" w:rsidP="00465CAC">
            <w:pPr>
              <w:rPr>
                <w:rFonts w:ascii="Arial Narrow" w:hAnsi="Arial Narrow" w:cs="Times New Roman"/>
                <w:b/>
                <w:color w:val="000000"/>
                <w:sz w:val="20"/>
                <w:szCs w:val="20"/>
                <w:lang w:eastAsia="sk-SK"/>
              </w:rPr>
            </w:pPr>
            <w:bookmarkStart w:id="112" w:name="_Toc485220923"/>
            <w:bookmarkStart w:id="113" w:name="_Toc485221535"/>
            <w:bookmarkStart w:id="114" w:name="_Toc485224425"/>
            <w:bookmarkStart w:id="115" w:name="_Toc485292681"/>
            <w:bookmarkStart w:id="116" w:name="_Toc485308336"/>
            <w:bookmarkStart w:id="117" w:name="_Toc485653212"/>
            <w:bookmarkStart w:id="118" w:name="_Toc485653805"/>
            <w:bookmarkStart w:id="119" w:name="_Toc486413210"/>
            <w:bookmarkStart w:id="120" w:name="_Toc486512465"/>
            <w:bookmarkStart w:id="121" w:name="_Toc486512677"/>
            <w:bookmarkStart w:id="122" w:name="_Toc486513684"/>
          </w:p>
          <w:p w:rsidR="007D13F3" w:rsidRPr="007E7B9D" w:rsidRDefault="007D13F3" w:rsidP="00465CAC">
            <w:pPr>
              <w:ind w:firstLine="708"/>
              <w:jc w:val="both"/>
              <w:rPr>
                <w:rFonts w:ascii="Times New Roman" w:hAnsi="Times New Roman" w:cs="Times New Roman"/>
                <w:color w:val="000000" w:themeColor="text1"/>
              </w:rPr>
            </w:pPr>
            <w:r w:rsidRPr="00C45F92">
              <w:rPr>
                <w:rFonts w:ascii="Times New Roman" w:hAnsi="Times New Roman" w:cs="Times New Roman"/>
                <w:color w:val="000000" w:themeColor="text1"/>
              </w:rPr>
              <w:t xml:space="preserve">Cieľom verejných investícií a politík v životnom prostredí je zvyšovanie kvality životného prostredia. Slovensko vykazuje v medzinárodnom porovnaní nadpriemerné </w:t>
            </w:r>
            <w:r w:rsidRPr="007E7B9D">
              <w:rPr>
                <w:rFonts w:ascii="Times New Roman" w:hAnsi="Times New Roman" w:cs="Times New Roman"/>
                <w:color w:val="000000" w:themeColor="text1"/>
              </w:rPr>
              <w:lastRenderedPageBreak/>
              <w:t>výsledky pri znižovaní skleníkových plynov, no stále zaostáva v kvalite ovzdušia, v manažmente odpadových vôd a odpadového hospodárstva.</w:t>
            </w:r>
          </w:p>
          <w:p w:rsidR="007D13F3" w:rsidRPr="007E7B9D" w:rsidRDefault="007D13F3" w:rsidP="00465CAC">
            <w:pPr>
              <w:ind w:firstLine="708"/>
              <w:jc w:val="both"/>
              <w:rPr>
                <w:rFonts w:ascii="Times New Roman" w:hAnsi="Times New Roman" w:cs="Times New Roman"/>
                <w:color w:val="000000" w:themeColor="text1"/>
              </w:rPr>
            </w:pPr>
          </w:p>
          <w:tbl>
            <w:tblPr>
              <w:tblpPr w:leftFromText="141" w:rightFromText="141" w:vertAnchor="text" w:horzAnchor="margin" w:tblpXSpec="center" w:tblpY="19"/>
              <w:tblOverlap w:val="never"/>
              <w:tblW w:w="492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187"/>
              <w:gridCol w:w="174"/>
              <w:gridCol w:w="2717"/>
              <w:gridCol w:w="1715"/>
            </w:tblGrid>
            <w:tr w:rsidR="007D13F3" w:rsidRPr="007E7B9D" w:rsidTr="007E7B9D">
              <w:trPr>
                <w:trHeight w:hRule="exact" w:val="714"/>
              </w:trPr>
              <w:tc>
                <w:tcPr>
                  <w:tcW w:w="2381" w:type="pct"/>
                  <w:tcBorders>
                    <w:top w:val="nil"/>
                    <w:left w:val="nil"/>
                    <w:bottom w:val="single" w:sz="4" w:space="0" w:color="auto"/>
                    <w:right w:val="nil"/>
                  </w:tcBorders>
                  <w:shd w:val="clear" w:color="auto" w:fill="auto"/>
                  <w:vAlign w:val="center"/>
                </w:tcPr>
                <w:p w:rsidR="007D13F3" w:rsidRPr="007E7B9D" w:rsidRDefault="007D13F3" w:rsidP="00465CAC">
                  <w:pPr>
                    <w:rPr>
                      <w:rFonts w:ascii="Times New Roman" w:hAnsi="Times New Roman" w:cs="Times New Roman"/>
                      <w:b/>
                      <w:iCs/>
                      <w:color w:val="000000" w:themeColor="text1"/>
                      <w:sz w:val="20"/>
                      <w:szCs w:val="18"/>
                      <w:lang w:eastAsia="sk-SK"/>
                    </w:rPr>
                  </w:pPr>
                  <w:bookmarkStart w:id="123" w:name="_Toc485220870"/>
                  <w:bookmarkStart w:id="124" w:name="_Toc485221482"/>
                  <w:bookmarkStart w:id="125" w:name="_Toc485224372"/>
                  <w:bookmarkStart w:id="126" w:name="_Toc485292628"/>
                  <w:bookmarkStart w:id="127" w:name="_Toc485308283"/>
                  <w:bookmarkStart w:id="128" w:name="_Toc485653159"/>
                  <w:bookmarkStart w:id="129" w:name="_Toc485653752"/>
                  <w:bookmarkStart w:id="130" w:name="_Toc486413157"/>
                  <w:bookmarkStart w:id="131" w:name="_Toc486497390"/>
                  <w:bookmarkStart w:id="132" w:name="_Toc486512412"/>
                  <w:bookmarkStart w:id="133" w:name="_Toc486512624"/>
                  <w:bookmarkStart w:id="134" w:name="_Toc486513631"/>
                  <w:r w:rsidRPr="007E7B9D">
                    <w:rPr>
                      <w:rFonts w:ascii="Times New Roman" w:hAnsi="Times New Roman" w:cs="Times New Roman"/>
                      <w:b/>
                      <w:iCs/>
                      <w:color w:val="000000" w:themeColor="text1"/>
                      <w:sz w:val="20"/>
                      <w:szCs w:val="18"/>
                      <w:lang w:eastAsia="sk-SK"/>
                    </w:rPr>
                    <w:t xml:space="preserve">Graf: Verejné výdavky na životné prostredie </w:t>
                  </w:r>
                  <w:r w:rsidR="009C37FC" w:rsidRPr="007E7B9D">
                    <w:rPr>
                      <w:rFonts w:ascii="Times New Roman" w:hAnsi="Times New Roman" w:cs="Times New Roman"/>
                      <w:b/>
                      <w:iCs/>
                      <w:color w:val="000000" w:themeColor="text1"/>
                      <w:sz w:val="20"/>
                      <w:szCs w:val="18"/>
                      <w:lang w:eastAsia="sk-SK"/>
                    </w:rPr>
                    <w:br/>
                  </w:r>
                  <w:r w:rsidRPr="007E7B9D">
                    <w:rPr>
                      <w:rFonts w:ascii="Times New Roman" w:hAnsi="Times New Roman" w:cs="Times New Roman"/>
                      <w:b/>
                      <w:iCs/>
                      <w:color w:val="000000" w:themeColor="text1"/>
                      <w:sz w:val="20"/>
                      <w:szCs w:val="18"/>
                      <w:lang w:eastAsia="sk-SK"/>
                    </w:rPr>
                    <w:t>(v % HDP a % celkových verejných výdavkov, COFOG 05)</w:t>
                  </w:r>
                  <w:bookmarkEnd w:id="123"/>
                  <w:bookmarkEnd w:id="124"/>
                  <w:bookmarkEnd w:id="125"/>
                  <w:bookmarkEnd w:id="126"/>
                  <w:bookmarkEnd w:id="127"/>
                  <w:bookmarkEnd w:id="128"/>
                  <w:bookmarkEnd w:id="129"/>
                  <w:bookmarkEnd w:id="130"/>
                  <w:bookmarkEnd w:id="131"/>
                  <w:bookmarkEnd w:id="132"/>
                  <w:bookmarkEnd w:id="133"/>
                  <w:bookmarkEnd w:id="134"/>
                </w:p>
              </w:tc>
              <w:tc>
                <w:tcPr>
                  <w:tcW w:w="99" w:type="pct"/>
                  <w:tcBorders>
                    <w:top w:val="nil"/>
                    <w:left w:val="nil"/>
                    <w:bottom w:val="nil"/>
                    <w:right w:val="nil"/>
                  </w:tcBorders>
                  <w:shd w:val="clear" w:color="auto" w:fill="auto"/>
                  <w:vAlign w:val="center"/>
                </w:tcPr>
                <w:p w:rsidR="007D13F3" w:rsidRPr="007E7B9D" w:rsidRDefault="007D13F3" w:rsidP="00465CAC">
                  <w:pPr>
                    <w:rPr>
                      <w:rFonts w:ascii="Times New Roman" w:hAnsi="Times New Roman" w:cs="Times New Roman"/>
                      <w:b/>
                      <w:color w:val="000000" w:themeColor="text1"/>
                      <w:sz w:val="20"/>
                      <w:szCs w:val="18"/>
                    </w:rPr>
                  </w:pPr>
                </w:p>
              </w:tc>
              <w:tc>
                <w:tcPr>
                  <w:tcW w:w="2520" w:type="pct"/>
                  <w:gridSpan w:val="2"/>
                  <w:tcBorders>
                    <w:top w:val="nil"/>
                    <w:left w:val="nil"/>
                    <w:bottom w:val="single" w:sz="4" w:space="0" w:color="auto"/>
                    <w:right w:val="nil"/>
                  </w:tcBorders>
                  <w:shd w:val="clear" w:color="auto" w:fill="auto"/>
                  <w:vAlign w:val="center"/>
                </w:tcPr>
                <w:p w:rsidR="007D13F3" w:rsidRPr="007E7B9D" w:rsidRDefault="007D13F3" w:rsidP="00465CAC">
                  <w:pPr>
                    <w:rPr>
                      <w:rFonts w:ascii="Times New Roman" w:hAnsi="Times New Roman" w:cs="Times New Roman"/>
                      <w:iCs/>
                      <w:color w:val="000000" w:themeColor="text1"/>
                      <w:sz w:val="20"/>
                      <w:szCs w:val="18"/>
                      <w:lang w:eastAsia="sk-SK"/>
                    </w:rPr>
                  </w:pPr>
                  <w:bookmarkStart w:id="135" w:name="_Toc486413158"/>
                  <w:bookmarkStart w:id="136" w:name="_Toc486497391"/>
                  <w:bookmarkStart w:id="137" w:name="_Toc486512413"/>
                  <w:bookmarkStart w:id="138" w:name="_Toc486512625"/>
                  <w:bookmarkStart w:id="139" w:name="_Toc486513632"/>
                  <w:bookmarkStart w:id="140" w:name="_Toc485220871"/>
                  <w:bookmarkStart w:id="141" w:name="_Toc485221483"/>
                  <w:bookmarkStart w:id="142" w:name="_Toc485224373"/>
                  <w:bookmarkStart w:id="143" w:name="_Toc485292629"/>
                  <w:bookmarkStart w:id="144" w:name="_Toc485308284"/>
                  <w:bookmarkStart w:id="145" w:name="_Toc485653160"/>
                  <w:bookmarkStart w:id="146" w:name="_Toc485653753"/>
                  <w:r w:rsidRPr="007E7B9D">
                    <w:rPr>
                      <w:rFonts w:ascii="Times New Roman" w:hAnsi="Times New Roman" w:cs="Times New Roman"/>
                      <w:b/>
                      <w:iCs/>
                      <w:color w:val="000000" w:themeColor="text1"/>
                      <w:sz w:val="20"/>
                      <w:szCs w:val="18"/>
                      <w:lang w:eastAsia="sk-SK"/>
                    </w:rPr>
                    <w:t>Graf: Skupina ukazovateľov sledujúca ciele v životnom prostredí</w:t>
                  </w:r>
                  <w:bookmarkEnd w:id="135"/>
                  <w:bookmarkEnd w:id="136"/>
                  <w:bookmarkEnd w:id="137"/>
                  <w:bookmarkEnd w:id="138"/>
                  <w:bookmarkEnd w:id="139"/>
                  <w:r w:rsidRPr="007E7B9D">
                    <w:rPr>
                      <w:rFonts w:ascii="Times New Roman" w:hAnsi="Times New Roman" w:cs="Times New Roman"/>
                      <w:b/>
                      <w:iCs/>
                      <w:color w:val="000000" w:themeColor="text1"/>
                      <w:sz w:val="20"/>
                      <w:szCs w:val="18"/>
                      <w:lang w:eastAsia="sk-SK"/>
                    </w:rPr>
                    <w:t xml:space="preserve"> (1 = najlepšie skóre)</w:t>
                  </w:r>
                </w:p>
                <w:bookmarkEnd w:id="140"/>
                <w:bookmarkEnd w:id="141"/>
                <w:bookmarkEnd w:id="142"/>
                <w:bookmarkEnd w:id="143"/>
                <w:bookmarkEnd w:id="144"/>
                <w:bookmarkEnd w:id="145"/>
                <w:bookmarkEnd w:id="146"/>
                <w:p w:rsidR="007D13F3" w:rsidRPr="007E7B9D" w:rsidRDefault="007D13F3" w:rsidP="00465CAC">
                  <w:pPr>
                    <w:rPr>
                      <w:rFonts w:ascii="Times New Roman" w:hAnsi="Times New Roman" w:cs="Times New Roman"/>
                      <w:iCs/>
                      <w:color w:val="000000" w:themeColor="text1"/>
                      <w:sz w:val="20"/>
                      <w:szCs w:val="18"/>
                      <w:lang w:eastAsia="sk-SK"/>
                    </w:rPr>
                  </w:pPr>
                </w:p>
              </w:tc>
            </w:tr>
            <w:tr w:rsidR="007D13F3" w:rsidRPr="007E7B9D" w:rsidTr="00465CAC">
              <w:trPr>
                <w:trHeight w:val="3966"/>
              </w:trPr>
              <w:tc>
                <w:tcPr>
                  <w:tcW w:w="2381" w:type="pct"/>
                  <w:tcBorders>
                    <w:top w:val="single" w:sz="4" w:space="0" w:color="auto"/>
                    <w:left w:val="nil"/>
                    <w:bottom w:val="single" w:sz="4" w:space="0" w:color="auto"/>
                    <w:right w:val="nil"/>
                  </w:tcBorders>
                  <w:vAlign w:val="center"/>
                </w:tcPr>
                <w:p w:rsidR="007D13F3" w:rsidRPr="007E7B9D" w:rsidRDefault="007D13F3" w:rsidP="00465CAC">
                  <w:pPr>
                    <w:jc w:val="center"/>
                    <w:rPr>
                      <w:rFonts w:ascii="Times New Roman" w:hAnsi="Times New Roman" w:cs="Times New Roman"/>
                      <w:b/>
                      <w:color w:val="000000" w:themeColor="text1"/>
                      <w:sz w:val="20"/>
                      <w:szCs w:val="20"/>
                    </w:rPr>
                  </w:pPr>
                  <w:r w:rsidRPr="007E7B9D">
                    <w:rPr>
                      <w:rFonts w:ascii="Times New Roman" w:hAnsi="Times New Roman" w:cs="Times New Roman"/>
                      <w:noProof/>
                      <w:color w:val="000000" w:themeColor="text1"/>
                      <w:lang w:eastAsia="sk-SK"/>
                    </w:rPr>
                    <w:drawing>
                      <wp:anchor distT="0" distB="0" distL="114300" distR="114300" simplePos="0" relativeHeight="251659264" behindDoc="1" locked="0" layoutInCell="1" allowOverlap="1" wp14:anchorId="29F3C72A" wp14:editId="082C714D">
                        <wp:simplePos x="0" y="0"/>
                        <wp:positionH relativeFrom="column">
                          <wp:posOffset>-2540</wp:posOffset>
                        </wp:positionH>
                        <wp:positionV relativeFrom="paragraph">
                          <wp:posOffset>1905</wp:posOffset>
                        </wp:positionV>
                        <wp:extent cx="2752725" cy="2447925"/>
                        <wp:effectExtent l="0" t="0" r="0" b="0"/>
                        <wp:wrapNone/>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7E7B9D">
                    <w:rPr>
                      <w:rFonts w:ascii="Times New Roman" w:hAnsi="Times New Roman" w:cs="Times New Roman"/>
                      <w:noProof/>
                      <w:color w:val="000000" w:themeColor="text1"/>
                      <w:lang w:eastAsia="sk-SK"/>
                    </w:rPr>
                    <w:t xml:space="preserve"> </w:t>
                  </w:r>
                </w:p>
              </w:tc>
              <w:tc>
                <w:tcPr>
                  <w:tcW w:w="99" w:type="pct"/>
                  <w:tcBorders>
                    <w:top w:val="nil"/>
                    <w:left w:val="nil"/>
                    <w:bottom w:val="nil"/>
                    <w:right w:val="nil"/>
                  </w:tcBorders>
                  <w:vAlign w:val="center"/>
                </w:tcPr>
                <w:p w:rsidR="007D13F3" w:rsidRPr="007E7B9D" w:rsidRDefault="007D13F3" w:rsidP="00465CAC">
                  <w:pPr>
                    <w:jc w:val="center"/>
                    <w:rPr>
                      <w:rFonts w:ascii="Times New Roman" w:hAnsi="Times New Roman" w:cs="Times New Roman"/>
                      <w:b/>
                      <w:color w:val="000000" w:themeColor="text1"/>
                      <w:sz w:val="20"/>
                      <w:szCs w:val="20"/>
                    </w:rPr>
                  </w:pPr>
                </w:p>
              </w:tc>
              <w:tc>
                <w:tcPr>
                  <w:tcW w:w="2520" w:type="pct"/>
                  <w:gridSpan w:val="2"/>
                  <w:tcBorders>
                    <w:top w:val="single" w:sz="4" w:space="0" w:color="auto"/>
                    <w:left w:val="nil"/>
                    <w:bottom w:val="single" w:sz="4" w:space="0" w:color="auto"/>
                    <w:right w:val="nil"/>
                  </w:tcBorders>
                  <w:vAlign w:val="center"/>
                </w:tcPr>
                <w:p w:rsidR="007D13F3" w:rsidRPr="007E7B9D" w:rsidRDefault="007D13F3" w:rsidP="00465CAC">
                  <w:pPr>
                    <w:jc w:val="center"/>
                    <w:rPr>
                      <w:rFonts w:ascii="Times New Roman" w:hAnsi="Times New Roman" w:cs="Times New Roman"/>
                      <w:b/>
                      <w:color w:val="000000" w:themeColor="text1"/>
                      <w:sz w:val="20"/>
                      <w:szCs w:val="20"/>
                    </w:rPr>
                  </w:pPr>
                  <w:r w:rsidRPr="007E7B9D">
                    <w:rPr>
                      <w:rFonts w:ascii="Times New Roman" w:hAnsi="Times New Roman" w:cs="Times New Roman"/>
                      <w:noProof/>
                      <w:lang w:eastAsia="sk-SK"/>
                    </w:rPr>
                    <mc:AlternateContent>
                      <mc:Choice Requires="wps">
                        <w:drawing>
                          <wp:anchor distT="45720" distB="45720" distL="114300" distR="114300" simplePos="0" relativeHeight="251664384" behindDoc="0" locked="0" layoutInCell="1" allowOverlap="1" wp14:anchorId="2C033EB0" wp14:editId="1388A3C2">
                            <wp:simplePos x="0" y="0"/>
                            <wp:positionH relativeFrom="column">
                              <wp:posOffset>2079625</wp:posOffset>
                            </wp:positionH>
                            <wp:positionV relativeFrom="paragraph">
                              <wp:posOffset>757555</wp:posOffset>
                            </wp:positionV>
                            <wp:extent cx="864870" cy="629920"/>
                            <wp:effectExtent l="0" t="0" r="0" b="0"/>
                            <wp:wrapNone/>
                            <wp:docPr id="41" name="Textové pol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629920"/>
                                    </a:xfrm>
                                    <a:prstGeom prst="rect">
                                      <a:avLst/>
                                    </a:prstGeom>
                                    <a:noFill/>
                                    <a:ln w="9525">
                                      <a:noFill/>
                                      <a:miter lim="800000"/>
                                      <a:headEnd/>
                                      <a:tailEnd/>
                                    </a:ln>
                                  </wps:spPr>
                                  <wps:txbx>
                                    <w:txbxContent>
                                      <w:p w:rsidR="003C2539" w:rsidRPr="005A2EDD" w:rsidRDefault="003C2539" w:rsidP="007D13F3">
                                        <w:pPr>
                                          <w:rPr>
                                            <w:rFonts w:ascii="Arial Narrow" w:hAnsi="Arial Narrow"/>
                                            <w:sz w:val="18"/>
                                            <w:szCs w:val="18"/>
                                          </w:rPr>
                                        </w:pPr>
                                        <w:r w:rsidRPr="005A2EDD">
                                          <w:rPr>
                                            <w:rFonts w:ascii="Arial Narrow" w:hAnsi="Arial Narrow"/>
                                            <w:sz w:val="18"/>
                                            <w:szCs w:val="18"/>
                                          </w:rPr>
                                          <w:t>Koncentrácie častíc PM2,5 v</w:t>
                                        </w:r>
                                        <w:r>
                                          <w:rPr>
                                            <w:rFonts w:ascii="Arial Narrow" w:hAnsi="Arial Narrow"/>
                                            <w:sz w:val="18"/>
                                            <w:szCs w:val="18"/>
                                          </w:rPr>
                                          <w:t> </w:t>
                                        </w:r>
                                        <w:r w:rsidRPr="005A2EDD">
                                          <w:rPr>
                                            <w:rFonts w:ascii="Arial Narrow" w:hAnsi="Arial Narrow"/>
                                            <w:sz w:val="18"/>
                                            <w:szCs w:val="18"/>
                                          </w:rPr>
                                          <w:t>ovzduší</w:t>
                                        </w:r>
                                        <w:r>
                                          <w:rPr>
                                            <w:rFonts w:ascii="Arial Narrow" w:hAnsi="Arial Narrow"/>
                                            <w:sz w:val="18"/>
                                            <w:szCs w:val="18"/>
                                          </w:rPr>
                                          <w:t>,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33EB0" id="_x0000_t202" coordsize="21600,21600" o:spt="202" path="m,l,21600r21600,l21600,xe">
                            <v:stroke joinstyle="miter"/>
                            <v:path gradientshapeok="t" o:connecttype="rect"/>
                          </v:shapetype>
                          <v:shape id="Textové pole 41" o:spid="_x0000_s1026" type="#_x0000_t202" style="position:absolute;left:0;text-align:left;margin-left:163.75pt;margin-top:59.65pt;width:68.1pt;height:49.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" filled="f" stroked="f">
                            <v:textbox>
                              <w:txbxContent>
                                <w:p w:rsidR="003C2539" w:rsidRPr="005A2EDD" w:rsidRDefault="003C2539" w:rsidP="007D13F3">
                                  <w:pPr>
                                    <w:rPr>
                                      <w:rFonts w:ascii="Arial Narrow" w:hAnsi="Arial Narrow"/>
                                      <w:sz w:val="18"/>
                                      <w:szCs w:val="18"/>
                                    </w:rPr>
                                  </w:pPr>
                                  <w:r w:rsidRPr="005A2EDD">
                                    <w:rPr>
                                      <w:rFonts w:ascii="Arial Narrow" w:hAnsi="Arial Narrow"/>
                                      <w:sz w:val="18"/>
                                      <w:szCs w:val="18"/>
                                    </w:rPr>
                                    <w:t>Koncentrácie častíc PM2,5 v</w:t>
                                  </w:r>
                                  <w:r>
                                    <w:rPr>
                                      <w:rFonts w:ascii="Arial Narrow" w:hAnsi="Arial Narrow"/>
                                      <w:sz w:val="18"/>
                                      <w:szCs w:val="18"/>
                                    </w:rPr>
                                    <w:t> </w:t>
                                  </w:r>
                                  <w:r w:rsidRPr="005A2EDD">
                                    <w:rPr>
                                      <w:rFonts w:ascii="Arial Narrow" w:hAnsi="Arial Narrow"/>
                                      <w:sz w:val="18"/>
                                      <w:szCs w:val="18"/>
                                    </w:rPr>
                                    <w:t>ovzduší</w:t>
                                  </w:r>
                                  <w:r>
                                    <w:rPr>
                                      <w:rFonts w:ascii="Arial Narrow" w:hAnsi="Arial Narrow"/>
                                      <w:sz w:val="18"/>
                                      <w:szCs w:val="18"/>
                                    </w:rPr>
                                    <w:t>, 2014</w:t>
                                  </w:r>
                                </w:p>
                              </w:txbxContent>
                            </v:textbox>
                          </v:shape>
                        </w:pict>
                      </mc:Fallback>
                    </mc:AlternateContent>
                  </w:r>
                  <w:r w:rsidRPr="007E7B9D">
                    <w:rPr>
                      <w:rFonts w:ascii="Times New Roman" w:hAnsi="Times New Roman" w:cs="Times New Roman"/>
                      <w:noProof/>
                      <w:lang w:eastAsia="sk-SK"/>
                    </w:rPr>
                    <mc:AlternateContent>
                      <mc:Choice Requires="wps">
                        <w:drawing>
                          <wp:anchor distT="45720" distB="45720" distL="114300" distR="114300" simplePos="0" relativeHeight="251663360" behindDoc="0" locked="0" layoutInCell="1" allowOverlap="1" wp14:anchorId="7BFEF754" wp14:editId="7F635802">
                            <wp:simplePos x="0" y="0"/>
                            <wp:positionH relativeFrom="column">
                              <wp:posOffset>1115695</wp:posOffset>
                            </wp:positionH>
                            <wp:positionV relativeFrom="paragraph">
                              <wp:posOffset>65405</wp:posOffset>
                            </wp:positionV>
                            <wp:extent cx="1569085" cy="494030"/>
                            <wp:effectExtent l="0" t="0" r="0" b="1270"/>
                            <wp:wrapNone/>
                            <wp:docPr id="217" name="Textové pol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494030"/>
                                    </a:xfrm>
                                    <a:prstGeom prst="rect">
                                      <a:avLst/>
                                    </a:prstGeom>
                                    <a:noFill/>
                                    <a:ln w="9525">
                                      <a:noFill/>
                                      <a:miter lim="800000"/>
                                      <a:headEnd/>
                                      <a:tailEnd/>
                                    </a:ln>
                                  </wps:spPr>
                                  <wps:txbx>
                                    <w:txbxContent>
                                      <w:p w:rsidR="003C2539" w:rsidRPr="005A2EDD" w:rsidRDefault="003C2539" w:rsidP="007D13F3">
                                        <w:pPr>
                                          <w:rPr>
                                            <w:rFonts w:ascii="Arial Narrow" w:hAnsi="Arial Narrow"/>
                                            <w:sz w:val="18"/>
                                            <w:szCs w:val="20"/>
                                          </w:rPr>
                                        </w:pPr>
                                        <w:r w:rsidRPr="005A2EDD">
                                          <w:rPr>
                                            <w:rFonts w:ascii="Arial Narrow" w:hAnsi="Arial Narrow"/>
                                            <w:sz w:val="18"/>
                                            <w:szCs w:val="20"/>
                                          </w:rPr>
                                          <w:t>Obyvateľstvo pripojené na čistiareň odpadových vôd</w:t>
                                        </w:r>
                                        <w:r>
                                          <w:rPr>
                                            <w:rFonts w:ascii="Arial Narrow" w:hAnsi="Arial Narrow"/>
                                            <w:sz w:val="18"/>
                                            <w:szCs w:val="20"/>
                                          </w:rPr>
                                          <w:t>,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EF754" id="Textové pole 217" o:spid="_x0000_s1027" type="#_x0000_t202" style="position:absolute;left:0;text-align:left;margin-left:87.85pt;margin-top:5.15pt;width:123.55pt;height:3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" filled="f" stroked="f">
                            <v:textbox>
                              <w:txbxContent>
                                <w:p w:rsidR="003C2539" w:rsidRPr="005A2EDD" w:rsidRDefault="003C2539" w:rsidP="007D13F3">
                                  <w:pPr>
                                    <w:rPr>
                                      <w:rFonts w:ascii="Arial Narrow" w:hAnsi="Arial Narrow"/>
                                      <w:sz w:val="18"/>
                                      <w:szCs w:val="20"/>
                                    </w:rPr>
                                  </w:pPr>
                                  <w:r w:rsidRPr="005A2EDD">
                                    <w:rPr>
                                      <w:rFonts w:ascii="Arial Narrow" w:hAnsi="Arial Narrow"/>
                                      <w:sz w:val="18"/>
                                      <w:szCs w:val="20"/>
                                    </w:rPr>
                                    <w:t>Obyvateľstvo pripojené na čistiareň odpadových vôd</w:t>
                                  </w:r>
                                  <w:r>
                                    <w:rPr>
                                      <w:rFonts w:ascii="Arial Narrow" w:hAnsi="Arial Narrow"/>
                                      <w:sz w:val="18"/>
                                      <w:szCs w:val="20"/>
                                    </w:rPr>
                                    <w:t>, 2014</w:t>
                                  </w:r>
                                </w:p>
                              </w:txbxContent>
                            </v:textbox>
                          </v:shape>
                        </w:pict>
                      </mc:Fallback>
                    </mc:AlternateContent>
                  </w:r>
                  <w:r w:rsidRPr="007E7B9D">
                    <w:rPr>
                      <w:rFonts w:ascii="Times New Roman" w:hAnsi="Times New Roman" w:cs="Times New Roman"/>
                      <w:noProof/>
                      <w:lang w:eastAsia="sk-SK"/>
                    </w:rPr>
                    <mc:AlternateContent>
                      <mc:Choice Requires="wps">
                        <w:drawing>
                          <wp:anchor distT="45720" distB="45720" distL="114300" distR="114300" simplePos="0" relativeHeight="251661312" behindDoc="0" locked="0" layoutInCell="1" allowOverlap="1" wp14:anchorId="213446BB" wp14:editId="6D8A2D1A">
                            <wp:simplePos x="0" y="0"/>
                            <wp:positionH relativeFrom="column">
                              <wp:posOffset>65405</wp:posOffset>
                            </wp:positionH>
                            <wp:positionV relativeFrom="paragraph">
                              <wp:posOffset>2054860</wp:posOffset>
                            </wp:positionV>
                            <wp:extent cx="929005" cy="438150"/>
                            <wp:effectExtent l="0" t="0" r="0" b="0"/>
                            <wp:wrapNone/>
                            <wp:docPr id="46" name="Textové pol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438150"/>
                                    </a:xfrm>
                                    <a:prstGeom prst="rect">
                                      <a:avLst/>
                                    </a:prstGeom>
                                    <a:noFill/>
                                    <a:ln w="9525">
                                      <a:noFill/>
                                      <a:miter lim="800000"/>
                                      <a:headEnd/>
                                      <a:tailEnd/>
                                    </a:ln>
                                  </wps:spPr>
                                  <wps:txbx>
                                    <w:txbxContent>
                                      <w:p w:rsidR="003C2539" w:rsidRPr="005A2EDD" w:rsidRDefault="003C2539" w:rsidP="007D13F3">
                                        <w:pPr>
                                          <w:jc w:val="center"/>
                                          <w:rPr>
                                            <w:rFonts w:ascii="Arial Narrow" w:hAnsi="Arial Narrow"/>
                                            <w:sz w:val="18"/>
                                            <w:szCs w:val="18"/>
                                          </w:rPr>
                                        </w:pPr>
                                        <w:r w:rsidRPr="005A2EDD">
                                          <w:rPr>
                                            <w:rFonts w:ascii="Arial Narrow" w:hAnsi="Arial Narrow"/>
                                            <w:sz w:val="18"/>
                                            <w:szCs w:val="18"/>
                                          </w:rPr>
                                          <w:t>Recyklácia odpadov</w:t>
                                        </w:r>
                                        <w:r>
                                          <w:rPr>
                                            <w:rFonts w:ascii="Arial Narrow" w:hAnsi="Arial Narrow"/>
                                            <w:sz w:val="18"/>
                                            <w:szCs w:val="18"/>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446BB" id="Textové pole 46" o:spid="_x0000_s1028" type="#_x0000_t202" style="position:absolute;left:0;text-align:left;margin-left:5.15pt;margin-top:161.8pt;width:73.15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" filled="f" stroked="f">
                            <v:textbox>
                              <w:txbxContent>
                                <w:p w:rsidR="003C2539" w:rsidRPr="005A2EDD" w:rsidRDefault="003C2539" w:rsidP="007D13F3">
                                  <w:pPr>
                                    <w:jc w:val="center"/>
                                    <w:rPr>
                                      <w:rFonts w:ascii="Arial Narrow" w:hAnsi="Arial Narrow"/>
                                      <w:sz w:val="18"/>
                                      <w:szCs w:val="18"/>
                                    </w:rPr>
                                  </w:pPr>
                                  <w:r w:rsidRPr="005A2EDD">
                                    <w:rPr>
                                      <w:rFonts w:ascii="Arial Narrow" w:hAnsi="Arial Narrow"/>
                                      <w:sz w:val="18"/>
                                      <w:szCs w:val="18"/>
                                    </w:rPr>
                                    <w:t>Recyklácia odpadov</w:t>
                                  </w:r>
                                  <w:r>
                                    <w:rPr>
                                      <w:rFonts w:ascii="Arial Narrow" w:hAnsi="Arial Narrow"/>
                                      <w:sz w:val="18"/>
                                      <w:szCs w:val="18"/>
                                    </w:rPr>
                                    <w:t>, 2015</w:t>
                                  </w:r>
                                </w:p>
                              </w:txbxContent>
                            </v:textbox>
                          </v:shape>
                        </w:pict>
                      </mc:Fallback>
                    </mc:AlternateContent>
                  </w:r>
                  <w:r w:rsidRPr="007E7B9D">
                    <w:rPr>
                      <w:rFonts w:ascii="Times New Roman" w:hAnsi="Times New Roman" w:cs="Times New Roman"/>
                      <w:noProof/>
                      <w:lang w:eastAsia="sk-SK"/>
                    </w:rPr>
                    <mc:AlternateContent>
                      <mc:Choice Requires="wps">
                        <w:drawing>
                          <wp:anchor distT="0" distB="0" distL="114300" distR="114300" simplePos="0" relativeHeight="251662336" behindDoc="0" locked="0" layoutInCell="1" allowOverlap="1" wp14:anchorId="68F12EFC" wp14:editId="07A47329">
                            <wp:simplePos x="0" y="0"/>
                            <wp:positionH relativeFrom="column">
                              <wp:posOffset>1339215</wp:posOffset>
                            </wp:positionH>
                            <wp:positionV relativeFrom="paragraph">
                              <wp:posOffset>2049145</wp:posOffset>
                            </wp:positionV>
                            <wp:extent cx="1247775" cy="428625"/>
                            <wp:effectExtent l="0" t="0" r="0" b="0"/>
                            <wp:wrapNone/>
                            <wp:docPr id="44" name="Textové po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428625"/>
                                    </a:xfrm>
                                    <a:prstGeom prst="rect">
                                      <a:avLst/>
                                    </a:prstGeom>
                                    <a:noFill/>
                                    <a:ln w="6350">
                                      <a:noFill/>
                                    </a:ln>
                                    <a:effectLst/>
                                  </wps:spPr>
                                  <wps:txbx>
                                    <w:txbxContent>
                                      <w:p w:rsidR="003C2539" w:rsidRPr="005A2EDD" w:rsidRDefault="003C2539" w:rsidP="007D13F3">
                                        <w:pPr>
                                          <w:jc w:val="center"/>
                                          <w:rPr>
                                            <w:rFonts w:ascii="Arial Narrow" w:hAnsi="Arial Narrow"/>
                                            <w:sz w:val="18"/>
                                            <w:szCs w:val="18"/>
                                          </w:rPr>
                                        </w:pPr>
                                        <w:r w:rsidRPr="005A2EDD">
                                          <w:rPr>
                                            <w:rFonts w:ascii="Arial Narrow" w:hAnsi="Arial Narrow"/>
                                            <w:sz w:val="18"/>
                                            <w:szCs w:val="18"/>
                                          </w:rPr>
                                          <w:t>Podiel ohrozených druhov</w:t>
                                        </w:r>
                                        <w:r>
                                          <w:rPr>
                                            <w:rFonts w:ascii="Arial Narrow" w:hAnsi="Arial Narrow"/>
                                            <w:sz w:val="18"/>
                                            <w:szCs w:val="18"/>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12EFC" id="Textové pole 44" o:spid="_x0000_s1029" type="#_x0000_t202" style="position:absolute;left:0;text-align:left;margin-left:105.45pt;margin-top:161.35pt;width:98.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" filled="f" stroked="f" strokeweight=".5pt">
                            <v:path arrowok="t"/>
                            <v:textbox>
                              <w:txbxContent>
                                <w:p w:rsidR="003C2539" w:rsidRPr="005A2EDD" w:rsidRDefault="003C2539" w:rsidP="007D13F3">
                                  <w:pPr>
                                    <w:jc w:val="center"/>
                                    <w:rPr>
                                      <w:rFonts w:ascii="Arial Narrow" w:hAnsi="Arial Narrow"/>
                                      <w:sz w:val="18"/>
                                      <w:szCs w:val="18"/>
                                    </w:rPr>
                                  </w:pPr>
                                  <w:r w:rsidRPr="005A2EDD">
                                    <w:rPr>
                                      <w:rFonts w:ascii="Arial Narrow" w:hAnsi="Arial Narrow"/>
                                      <w:sz w:val="18"/>
                                      <w:szCs w:val="18"/>
                                    </w:rPr>
                                    <w:t>Podiel ohrozených druhov</w:t>
                                  </w:r>
                                  <w:r>
                                    <w:rPr>
                                      <w:rFonts w:ascii="Arial Narrow" w:hAnsi="Arial Narrow"/>
                                      <w:sz w:val="18"/>
                                      <w:szCs w:val="18"/>
                                    </w:rPr>
                                    <w:t>, 2015</w:t>
                                  </w:r>
                                </w:p>
                              </w:txbxContent>
                            </v:textbox>
                          </v:shape>
                        </w:pict>
                      </mc:Fallback>
                    </mc:AlternateContent>
                  </w:r>
                  <w:r w:rsidRPr="007E7B9D">
                    <w:rPr>
                      <w:rFonts w:ascii="Times New Roman" w:hAnsi="Times New Roman" w:cs="Times New Roman"/>
                      <w:noProof/>
                      <w:lang w:eastAsia="sk-SK"/>
                    </w:rPr>
                    <w:drawing>
                      <wp:inline distT="0" distB="0" distL="0" distR="0" wp14:anchorId="4AE297CD" wp14:editId="71E67E3E">
                        <wp:extent cx="2768600" cy="2463114"/>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7E7B9D">
                    <w:rPr>
                      <w:rFonts w:ascii="Times New Roman" w:hAnsi="Times New Roman" w:cs="Times New Roman"/>
                      <w:noProof/>
                      <w:lang w:eastAsia="sk-SK"/>
                    </w:rPr>
                    <mc:AlternateContent>
                      <mc:Choice Requires="wps">
                        <w:drawing>
                          <wp:anchor distT="45720" distB="45720" distL="114300" distR="114300" simplePos="0" relativeHeight="251665408" behindDoc="0" locked="0" layoutInCell="1" allowOverlap="1" wp14:anchorId="32860A82" wp14:editId="5B4DEBFA">
                            <wp:simplePos x="0" y="0"/>
                            <wp:positionH relativeFrom="column">
                              <wp:posOffset>-175895</wp:posOffset>
                            </wp:positionH>
                            <wp:positionV relativeFrom="paragraph">
                              <wp:posOffset>732790</wp:posOffset>
                            </wp:positionV>
                            <wp:extent cx="819150" cy="600075"/>
                            <wp:effectExtent l="0" t="0" r="0" b="0"/>
                            <wp:wrapNone/>
                            <wp:docPr id="47" name="Textové pol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00075"/>
                                    </a:xfrm>
                                    <a:prstGeom prst="rect">
                                      <a:avLst/>
                                    </a:prstGeom>
                                    <a:noFill/>
                                    <a:ln w="9525">
                                      <a:noFill/>
                                      <a:miter lim="800000"/>
                                      <a:headEnd/>
                                      <a:tailEnd/>
                                    </a:ln>
                                  </wps:spPr>
                                  <wps:txbx>
                                    <w:txbxContent>
                                      <w:p w:rsidR="003C2539" w:rsidRPr="005A2EDD" w:rsidRDefault="003C2539" w:rsidP="007D13F3">
                                        <w:pPr>
                                          <w:jc w:val="center"/>
                                          <w:rPr>
                                            <w:rFonts w:ascii="Arial Narrow" w:hAnsi="Arial Narrow"/>
                                            <w:sz w:val="18"/>
                                            <w:szCs w:val="18"/>
                                          </w:rPr>
                                        </w:pPr>
                                        <w:r w:rsidRPr="005A2EDD">
                                          <w:rPr>
                                            <w:rFonts w:ascii="Arial Narrow" w:hAnsi="Arial Narrow"/>
                                            <w:sz w:val="18"/>
                                            <w:szCs w:val="18"/>
                                          </w:rPr>
                                          <w:t>Emisie skleníkových plynov</w:t>
                                        </w:r>
                                        <w:r>
                                          <w:rPr>
                                            <w:rFonts w:ascii="Arial Narrow" w:hAnsi="Arial Narrow"/>
                                            <w:sz w:val="18"/>
                                            <w:szCs w:val="18"/>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60A82" id="Textové pole 47" o:spid="_x0000_s1030" type="#_x0000_t202" style="position:absolute;left:0;text-align:left;margin-left:-13.85pt;margin-top:57.7pt;width:64.5pt;height:4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" filled="f" stroked="f">
                            <v:textbox>
                              <w:txbxContent>
                                <w:p w:rsidR="003C2539" w:rsidRPr="005A2EDD" w:rsidRDefault="003C2539" w:rsidP="007D13F3">
                                  <w:pPr>
                                    <w:jc w:val="center"/>
                                    <w:rPr>
                                      <w:rFonts w:ascii="Arial Narrow" w:hAnsi="Arial Narrow"/>
                                      <w:sz w:val="18"/>
                                      <w:szCs w:val="18"/>
                                    </w:rPr>
                                  </w:pPr>
                                  <w:r w:rsidRPr="005A2EDD">
                                    <w:rPr>
                                      <w:rFonts w:ascii="Arial Narrow" w:hAnsi="Arial Narrow"/>
                                      <w:sz w:val="18"/>
                                      <w:szCs w:val="18"/>
                                    </w:rPr>
                                    <w:t>Emisie skleníkových plynov</w:t>
                                  </w:r>
                                  <w:r>
                                    <w:rPr>
                                      <w:rFonts w:ascii="Arial Narrow" w:hAnsi="Arial Narrow"/>
                                      <w:sz w:val="18"/>
                                      <w:szCs w:val="18"/>
                                    </w:rPr>
                                    <w:t>, 2015</w:t>
                                  </w:r>
                                </w:p>
                              </w:txbxContent>
                            </v:textbox>
                          </v:shape>
                        </w:pict>
                      </mc:Fallback>
                    </mc:AlternateContent>
                  </w:r>
                </w:p>
              </w:tc>
            </w:tr>
            <w:tr w:rsidR="007D13F3" w:rsidRPr="007E7B9D" w:rsidTr="00465CAC">
              <w:trPr>
                <w:trHeight w:hRule="exact" w:val="401"/>
              </w:trPr>
              <w:tc>
                <w:tcPr>
                  <w:tcW w:w="2381" w:type="pct"/>
                  <w:tcBorders>
                    <w:top w:val="single" w:sz="4" w:space="0" w:color="auto"/>
                    <w:left w:val="nil"/>
                    <w:bottom w:val="nil"/>
                    <w:right w:val="nil"/>
                  </w:tcBorders>
                </w:tcPr>
                <w:p w:rsidR="007D13F3" w:rsidRPr="007E7B9D" w:rsidRDefault="007D13F3" w:rsidP="00465CAC">
                  <w:pPr>
                    <w:contextualSpacing/>
                    <w:jc w:val="right"/>
                    <w:rPr>
                      <w:rFonts w:ascii="Times New Roman" w:hAnsi="Times New Roman" w:cs="Times New Roman"/>
                      <w:i/>
                      <w:color w:val="000000" w:themeColor="text1"/>
                      <w:sz w:val="16"/>
                      <w:szCs w:val="16"/>
                    </w:rPr>
                  </w:pPr>
                  <w:r w:rsidRPr="007E7B9D">
                    <w:rPr>
                      <w:rFonts w:ascii="Times New Roman" w:hAnsi="Times New Roman" w:cs="Times New Roman"/>
                      <w:i/>
                      <w:iCs/>
                      <w:color w:val="000000" w:themeColor="text1"/>
                      <w:sz w:val="16"/>
                      <w:szCs w:val="16"/>
                    </w:rPr>
                    <w:t>Zdroj</w:t>
                  </w:r>
                  <w:r w:rsidRPr="007E7B9D">
                    <w:rPr>
                      <w:rFonts w:ascii="Times New Roman" w:hAnsi="Times New Roman" w:cs="Times New Roman"/>
                      <w:i/>
                      <w:color w:val="000000" w:themeColor="text1"/>
                      <w:sz w:val="16"/>
                      <w:szCs w:val="16"/>
                    </w:rPr>
                    <w:t xml:space="preserve">: </w:t>
                  </w:r>
                  <w:proofErr w:type="spellStart"/>
                  <w:r w:rsidRPr="007E7B9D">
                    <w:rPr>
                      <w:rFonts w:ascii="Times New Roman" w:hAnsi="Times New Roman" w:cs="Times New Roman"/>
                      <w:i/>
                      <w:color w:val="000000" w:themeColor="text1"/>
                      <w:sz w:val="16"/>
                      <w:szCs w:val="16"/>
                    </w:rPr>
                    <w:t>Eurostat</w:t>
                  </w:r>
                  <w:proofErr w:type="spellEnd"/>
                  <w:r w:rsidRPr="007E7B9D">
                    <w:rPr>
                      <w:rFonts w:ascii="Times New Roman" w:hAnsi="Times New Roman" w:cs="Times New Roman"/>
                      <w:i/>
                      <w:color w:val="000000" w:themeColor="text1"/>
                      <w:sz w:val="16"/>
                      <w:szCs w:val="16"/>
                    </w:rPr>
                    <w:t xml:space="preserve"> </w:t>
                  </w:r>
                </w:p>
              </w:tc>
              <w:tc>
                <w:tcPr>
                  <w:tcW w:w="99" w:type="pct"/>
                  <w:tcBorders>
                    <w:top w:val="nil"/>
                    <w:left w:val="nil"/>
                    <w:bottom w:val="nil"/>
                    <w:right w:val="nil"/>
                  </w:tcBorders>
                  <w:vAlign w:val="center"/>
                </w:tcPr>
                <w:p w:rsidR="007D13F3" w:rsidRPr="007E7B9D" w:rsidRDefault="007D13F3" w:rsidP="00465CAC">
                  <w:pPr>
                    <w:contextualSpacing/>
                    <w:jc w:val="center"/>
                    <w:rPr>
                      <w:rFonts w:ascii="Times New Roman" w:hAnsi="Times New Roman" w:cs="Times New Roman"/>
                      <w:i/>
                      <w:color w:val="000000" w:themeColor="text1"/>
                      <w:sz w:val="16"/>
                      <w:szCs w:val="14"/>
                    </w:rPr>
                  </w:pPr>
                </w:p>
              </w:tc>
              <w:tc>
                <w:tcPr>
                  <w:tcW w:w="1545" w:type="pct"/>
                  <w:tcBorders>
                    <w:top w:val="single" w:sz="4" w:space="0" w:color="auto"/>
                    <w:left w:val="nil"/>
                    <w:bottom w:val="nil"/>
                    <w:right w:val="single" w:sz="4" w:space="0" w:color="FFFFFF" w:themeColor="background1"/>
                  </w:tcBorders>
                  <w:shd w:val="clear" w:color="auto" w:fill="auto"/>
                </w:tcPr>
                <w:p w:rsidR="007D13F3" w:rsidRPr="007E7B9D" w:rsidRDefault="007D13F3" w:rsidP="00465CAC">
                  <w:pPr>
                    <w:contextualSpacing/>
                    <w:rPr>
                      <w:rFonts w:ascii="Times New Roman" w:hAnsi="Times New Roman" w:cs="Times New Roman"/>
                      <w:i/>
                      <w:color w:val="000000" w:themeColor="text1"/>
                      <w:sz w:val="16"/>
                      <w:szCs w:val="16"/>
                    </w:rPr>
                  </w:pPr>
                  <w:r w:rsidRPr="007E7B9D">
                    <w:rPr>
                      <w:rFonts w:ascii="Times New Roman" w:hAnsi="Times New Roman" w:cs="Times New Roman"/>
                      <w:i/>
                      <w:color w:val="000000" w:themeColor="text1"/>
                      <w:sz w:val="16"/>
                      <w:szCs w:val="16"/>
                    </w:rPr>
                    <w:t>*Vzorka krajín je v závislosti od ukazovateľa rozdielna.</w:t>
                  </w:r>
                </w:p>
              </w:tc>
              <w:tc>
                <w:tcPr>
                  <w:tcW w:w="975" w:type="pct"/>
                  <w:tcBorders>
                    <w:top w:val="single" w:sz="4" w:space="0" w:color="auto"/>
                    <w:left w:val="single" w:sz="4" w:space="0" w:color="FFFFFF" w:themeColor="background1"/>
                    <w:bottom w:val="nil"/>
                    <w:right w:val="nil"/>
                  </w:tcBorders>
                </w:tcPr>
                <w:p w:rsidR="007D13F3" w:rsidRPr="007E7B9D" w:rsidRDefault="007D13F3" w:rsidP="00465CAC">
                  <w:pPr>
                    <w:contextualSpacing/>
                    <w:jc w:val="right"/>
                    <w:rPr>
                      <w:rFonts w:ascii="Times New Roman" w:hAnsi="Times New Roman" w:cs="Times New Roman"/>
                      <w:i/>
                      <w:color w:val="000000" w:themeColor="text1"/>
                      <w:sz w:val="16"/>
                      <w:szCs w:val="16"/>
                    </w:rPr>
                  </w:pPr>
                  <w:r w:rsidRPr="007E7B9D">
                    <w:rPr>
                      <w:rFonts w:ascii="Times New Roman" w:hAnsi="Times New Roman" w:cs="Times New Roman"/>
                      <w:i/>
                      <w:iCs/>
                      <w:color w:val="000000" w:themeColor="text1"/>
                      <w:sz w:val="16"/>
                      <w:szCs w:val="16"/>
                    </w:rPr>
                    <w:t>Zdroj:</w:t>
                  </w:r>
                  <w:r w:rsidRPr="007E7B9D">
                    <w:rPr>
                      <w:rFonts w:ascii="Times New Roman" w:hAnsi="Times New Roman" w:cs="Times New Roman"/>
                      <w:i/>
                      <w:color w:val="000000" w:themeColor="text1"/>
                      <w:sz w:val="16"/>
                      <w:szCs w:val="16"/>
                    </w:rPr>
                    <w:t xml:space="preserve"> </w:t>
                  </w:r>
                  <w:proofErr w:type="spellStart"/>
                  <w:r w:rsidRPr="007E7B9D">
                    <w:rPr>
                      <w:rFonts w:ascii="Times New Roman" w:hAnsi="Times New Roman" w:cs="Times New Roman"/>
                      <w:i/>
                      <w:color w:val="000000" w:themeColor="text1"/>
                      <w:sz w:val="16"/>
                      <w:szCs w:val="16"/>
                    </w:rPr>
                    <w:t>Eurostat</w:t>
                  </w:r>
                  <w:proofErr w:type="spellEnd"/>
                  <w:r w:rsidRPr="007E7B9D">
                    <w:rPr>
                      <w:rFonts w:ascii="Times New Roman" w:hAnsi="Times New Roman" w:cs="Times New Roman"/>
                      <w:i/>
                      <w:color w:val="000000" w:themeColor="text1"/>
                      <w:sz w:val="16"/>
                      <w:szCs w:val="16"/>
                    </w:rPr>
                    <w:t>, OECD, EPI</w:t>
                  </w:r>
                </w:p>
                <w:p w:rsidR="007D13F3" w:rsidRPr="007E7B9D" w:rsidRDefault="007D13F3" w:rsidP="00465CAC">
                  <w:pPr>
                    <w:contextualSpacing/>
                    <w:jc w:val="right"/>
                    <w:rPr>
                      <w:rFonts w:ascii="Times New Roman" w:hAnsi="Times New Roman" w:cs="Times New Roman"/>
                      <w:i/>
                      <w:color w:val="000000" w:themeColor="text1"/>
                      <w:sz w:val="16"/>
                      <w:szCs w:val="16"/>
                    </w:rPr>
                  </w:pPr>
                </w:p>
                <w:p w:rsidR="007D13F3" w:rsidRPr="007E7B9D" w:rsidRDefault="007D13F3" w:rsidP="00465CAC">
                  <w:pPr>
                    <w:contextualSpacing/>
                    <w:jc w:val="right"/>
                    <w:rPr>
                      <w:rFonts w:ascii="Times New Roman" w:hAnsi="Times New Roman" w:cs="Times New Roman"/>
                      <w:i/>
                      <w:color w:val="000000" w:themeColor="text1"/>
                      <w:sz w:val="16"/>
                      <w:szCs w:val="16"/>
                    </w:rPr>
                  </w:pPr>
                </w:p>
                <w:p w:rsidR="007D13F3" w:rsidRPr="007E7B9D" w:rsidRDefault="007D13F3" w:rsidP="00465CAC">
                  <w:pPr>
                    <w:contextualSpacing/>
                    <w:jc w:val="right"/>
                    <w:rPr>
                      <w:rFonts w:ascii="Times New Roman" w:hAnsi="Times New Roman" w:cs="Times New Roman"/>
                      <w:i/>
                      <w:color w:val="000000" w:themeColor="text1"/>
                      <w:sz w:val="16"/>
                      <w:szCs w:val="16"/>
                    </w:rPr>
                  </w:pPr>
                </w:p>
                <w:p w:rsidR="007D13F3" w:rsidRPr="007E7B9D" w:rsidRDefault="007D13F3" w:rsidP="00465CAC">
                  <w:pPr>
                    <w:contextualSpacing/>
                    <w:jc w:val="right"/>
                    <w:rPr>
                      <w:rFonts w:ascii="Times New Roman" w:hAnsi="Times New Roman" w:cs="Times New Roman"/>
                      <w:i/>
                      <w:color w:val="000000" w:themeColor="text1"/>
                      <w:sz w:val="16"/>
                      <w:szCs w:val="16"/>
                    </w:rPr>
                  </w:pPr>
                </w:p>
                <w:p w:rsidR="007D13F3" w:rsidRPr="007E7B9D" w:rsidRDefault="007D13F3" w:rsidP="00465CAC">
                  <w:pPr>
                    <w:contextualSpacing/>
                    <w:jc w:val="right"/>
                    <w:rPr>
                      <w:rFonts w:ascii="Times New Roman" w:hAnsi="Times New Roman" w:cs="Times New Roman"/>
                      <w:i/>
                      <w:color w:val="000000" w:themeColor="text1"/>
                      <w:sz w:val="16"/>
                      <w:szCs w:val="16"/>
                    </w:rPr>
                  </w:pPr>
                </w:p>
              </w:tc>
            </w:tr>
          </w:tbl>
          <w:p w:rsidR="007E7B9D" w:rsidRDefault="007E7B9D" w:rsidP="009C37FC">
            <w:pPr>
              <w:ind w:firstLine="708"/>
              <w:jc w:val="both"/>
              <w:rPr>
                <w:rFonts w:ascii="Times New Roman" w:hAnsi="Times New Roman" w:cs="Times New Roman"/>
                <w:color w:val="000000" w:themeColor="text1"/>
              </w:rPr>
            </w:pPr>
          </w:p>
          <w:p w:rsidR="007D13F3" w:rsidRPr="007E7B9D" w:rsidRDefault="007D13F3" w:rsidP="009C37FC">
            <w:pPr>
              <w:ind w:firstLine="708"/>
              <w:jc w:val="both"/>
              <w:rPr>
                <w:rFonts w:ascii="Times New Roman" w:hAnsi="Times New Roman" w:cs="Times New Roman"/>
                <w:color w:val="000000" w:themeColor="text1"/>
              </w:rPr>
            </w:pPr>
            <w:r w:rsidRPr="007E7B9D">
              <w:rPr>
                <w:rFonts w:ascii="Times New Roman" w:hAnsi="Times New Roman" w:cs="Times New Roman"/>
                <w:color w:val="000000" w:themeColor="text1"/>
              </w:rPr>
              <w:t xml:space="preserve">V roku 2016 a 2017 vykonalo MF SR spolu s MŽP SR revíziu výdavkov na životné prostredie vo výške 0,6 % HDP. Z revízie vyplynuli opatrenia, ktorých realizácia v rokoch 2018 až 2020 prinesie lepšie hospodárenie verejných financií a dosiahne zlepšenie kvality životného prostredia vo výške 130 mil. eur (0,15 % HDP). Ďalšie opatrenia predstavujú významné zlepšenie hodnoty v životnom prostredí bez potreby ďalšieho financovania. </w:t>
            </w:r>
          </w:p>
          <w:p w:rsidR="007D13F3" w:rsidRPr="007E7B9D" w:rsidRDefault="007D13F3" w:rsidP="009C37FC">
            <w:pPr>
              <w:jc w:val="both"/>
              <w:rPr>
                <w:rFonts w:ascii="Times New Roman" w:hAnsi="Times New Roman" w:cs="Times New Roman"/>
                <w:color w:val="000000" w:themeColor="text1"/>
              </w:rPr>
            </w:pPr>
          </w:p>
          <w:tbl>
            <w:tblPr>
              <w:tblW w:w="5000" w:type="pct"/>
              <w:tblLayout w:type="fixed"/>
              <w:tblCellMar>
                <w:left w:w="70" w:type="dxa"/>
                <w:right w:w="70" w:type="dxa"/>
              </w:tblCellMar>
              <w:tblLook w:val="04A0" w:firstRow="1" w:lastRow="0" w:firstColumn="1" w:lastColumn="0" w:noHBand="0" w:noVBand="1"/>
            </w:tblPr>
            <w:tblGrid>
              <w:gridCol w:w="3908"/>
              <w:gridCol w:w="1954"/>
              <w:gridCol w:w="1024"/>
              <w:gridCol w:w="1024"/>
              <w:gridCol w:w="1022"/>
            </w:tblGrid>
            <w:tr w:rsidR="007D13F3" w:rsidRPr="007E7B9D" w:rsidTr="00465CAC">
              <w:trPr>
                <w:trHeight w:val="300"/>
              </w:trPr>
              <w:tc>
                <w:tcPr>
                  <w:tcW w:w="5000" w:type="pct"/>
                  <w:gridSpan w:val="5"/>
                  <w:tcBorders>
                    <w:top w:val="nil"/>
                    <w:left w:val="nil"/>
                    <w:bottom w:val="single" w:sz="4" w:space="0" w:color="auto"/>
                    <w:right w:val="nil"/>
                  </w:tcBorders>
                  <w:shd w:val="clear" w:color="auto" w:fill="auto"/>
                  <w:noWrap/>
                  <w:vAlign w:val="bottom"/>
                  <w:hideMark/>
                </w:tcPr>
                <w:p w:rsidR="007D13F3" w:rsidRPr="007E7B9D" w:rsidRDefault="007D13F3" w:rsidP="00465CAC">
                  <w:pPr>
                    <w:rPr>
                      <w:rFonts w:ascii="Times New Roman" w:hAnsi="Times New Roman" w:cs="Times New Roman"/>
                      <w:b/>
                      <w:color w:val="000000"/>
                      <w:sz w:val="20"/>
                      <w:szCs w:val="20"/>
                      <w:lang w:eastAsia="sk-SK"/>
                    </w:rPr>
                  </w:pPr>
                  <w:r w:rsidRPr="007E7B9D">
                    <w:rPr>
                      <w:rFonts w:ascii="Times New Roman" w:hAnsi="Times New Roman" w:cs="Times New Roman"/>
                      <w:b/>
                      <w:color w:val="000000"/>
                      <w:sz w:val="20"/>
                      <w:szCs w:val="20"/>
                      <w:lang w:eastAsia="sk-SK"/>
                    </w:rPr>
                    <w:t xml:space="preserve">Návrh úspor a výnosov </w:t>
                  </w:r>
                </w:p>
              </w:tc>
            </w:tr>
            <w:tr w:rsidR="007D13F3" w:rsidRPr="007E7B9D" w:rsidTr="00465CAC">
              <w:trPr>
                <w:trHeight w:val="300"/>
              </w:trPr>
              <w:tc>
                <w:tcPr>
                  <w:tcW w:w="2188" w:type="pct"/>
                  <w:tcBorders>
                    <w:top w:val="single" w:sz="4" w:space="0" w:color="auto"/>
                    <w:left w:val="nil"/>
                    <w:bottom w:val="single" w:sz="4" w:space="0" w:color="auto"/>
                  </w:tcBorders>
                  <w:shd w:val="clear" w:color="auto" w:fill="auto"/>
                  <w:noWrap/>
                  <w:vAlign w:val="center"/>
                  <w:hideMark/>
                </w:tcPr>
                <w:p w:rsidR="007D13F3" w:rsidRPr="007E7B9D" w:rsidRDefault="007D13F3" w:rsidP="00465CAC">
                  <w:pPr>
                    <w:rPr>
                      <w:rFonts w:ascii="Times New Roman" w:hAnsi="Times New Roman" w:cs="Times New Roman"/>
                      <w:color w:val="000000"/>
                      <w:sz w:val="18"/>
                      <w:szCs w:val="18"/>
                      <w:lang w:eastAsia="sk-SK"/>
                    </w:rPr>
                  </w:pPr>
                  <w:r w:rsidRPr="007E7B9D">
                    <w:rPr>
                      <w:rFonts w:ascii="Times New Roman" w:hAnsi="Times New Roman" w:cs="Times New Roman"/>
                      <w:color w:val="000000"/>
                      <w:sz w:val="18"/>
                      <w:szCs w:val="18"/>
                      <w:lang w:eastAsia="sk-SK"/>
                    </w:rPr>
                    <w:t>Opatrenie</w:t>
                  </w:r>
                </w:p>
              </w:tc>
              <w:tc>
                <w:tcPr>
                  <w:tcW w:w="1094" w:type="pct"/>
                  <w:tcBorders>
                    <w:top w:val="single" w:sz="4" w:space="0" w:color="auto"/>
                    <w:bottom w:val="single" w:sz="4" w:space="0" w:color="auto"/>
                  </w:tcBorders>
                  <w:shd w:val="clear" w:color="auto" w:fill="auto"/>
                  <w:vAlign w:val="center"/>
                </w:tcPr>
                <w:p w:rsidR="007D13F3" w:rsidRPr="007E7B9D" w:rsidRDefault="007D13F3" w:rsidP="00465CAC">
                  <w:pPr>
                    <w:rPr>
                      <w:rFonts w:ascii="Times New Roman" w:hAnsi="Times New Roman" w:cs="Times New Roman"/>
                      <w:color w:val="000000"/>
                      <w:sz w:val="18"/>
                      <w:szCs w:val="18"/>
                      <w:lang w:eastAsia="sk-SK"/>
                    </w:rPr>
                  </w:pPr>
                  <w:r w:rsidRPr="007E7B9D">
                    <w:rPr>
                      <w:rFonts w:ascii="Times New Roman" w:hAnsi="Times New Roman" w:cs="Times New Roman"/>
                      <w:color w:val="000000"/>
                      <w:sz w:val="18"/>
                      <w:szCs w:val="18"/>
                      <w:lang w:eastAsia="sk-SK"/>
                    </w:rPr>
                    <w:t>Vplyv na rozpočet</w:t>
                  </w:r>
                </w:p>
              </w:tc>
              <w:tc>
                <w:tcPr>
                  <w:tcW w:w="573" w:type="pct"/>
                  <w:tcBorders>
                    <w:top w:val="nil"/>
                    <w:left w:val="nil"/>
                    <w:bottom w:val="single" w:sz="4" w:space="0" w:color="auto"/>
                    <w:right w:val="nil"/>
                  </w:tcBorders>
                  <w:shd w:val="clear" w:color="auto" w:fill="auto"/>
                  <w:noWrap/>
                  <w:vAlign w:val="center"/>
                  <w:hideMark/>
                </w:tcPr>
                <w:p w:rsidR="007D13F3" w:rsidRPr="007E7B9D" w:rsidRDefault="007D13F3" w:rsidP="00465CAC">
                  <w:pPr>
                    <w:jc w:val="center"/>
                    <w:rPr>
                      <w:rFonts w:ascii="Times New Roman" w:hAnsi="Times New Roman" w:cs="Times New Roman"/>
                      <w:color w:val="000000"/>
                      <w:sz w:val="18"/>
                      <w:szCs w:val="18"/>
                      <w:lang w:eastAsia="sk-SK"/>
                    </w:rPr>
                  </w:pPr>
                  <w:r w:rsidRPr="007E7B9D">
                    <w:rPr>
                      <w:rFonts w:ascii="Times New Roman" w:hAnsi="Times New Roman" w:cs="Times New Roman"/>
                      <w:color w:val="000000"/>
                      <w:sz w:val="18"/>
                      <w:szCs w:val="18"/>
                      <w:lang w:eastAsia="sk-SK"/>
                    </w:rPr>
                    <w:t>2018</w:t>
                  </w:r>
                </w:p>
              </w:tc>
              <w:tc>
                <w:tcPr>
                  <w:tcW w:w="573" w:type="pct"/>
                  <w:tcBorders>
                    <w:top w:val="nil"/>
                    <w:left w:val="nil"/>
                    <w:bottom w:val="single" w:sz="4" w:space="0" w:color="auto"/>
                    <w:right w:val="nil"/>
                  </w:tcBorders>
                  <w:shd w:val="clear" w:color="auto" w:fill="auto"/>
                  <w:noWrap/>
                  <w:vAlign w:val="center"/>
                  <w:hideMark/>
                </w:tcPr>
                <w:p w:rsidR="007D13F3" w:rsidRPr="007E7B9D" w:rsidRDefault="007D13F3" w:rsidP="00465CAC">
                  <w:pPr>
                    <w:jc w:val="center"/>
                    <w:rPr>
                      <w:rFonts w:ascii="Times New Roman" w:hAnsi="Times New Roman" w:cs="Times New Roman"/>
                      <w:color w:val="000000"/>
                      <w:sz w:val="18"/>
                      <w:szCs w:val="18"/>
                      <w:lang w:eastAsia="sk-SK"/>
                    </w:rPr>
                  </w:pPr>
                  <w:r w:rsidRPr="007E7B9D">
                    <w:rPr>
                      <w:rFonts w:ascii="Times New Roman" w:hAnsi="Times New Roman" w:cs="Times New Roman"/>
                      <w:color w:val="000000"/>
                      <w:sz w:val="18"/>
                      <w:szCs w:val="18"/>
                      <w:lang w:eastAsia="sk-SK"/>
                    </w:rPr>
                    <w:t>2019</w:t>
                  </w:r>
                </w:p>
              </w:tc>
              <w:tc>
                <w:tcPr>
                  <w:tcW w:w="572" w:type="pct"/>
                  <w:tcBorders>
                    <w:top w:val="nil"/>
                    <w:left w:val="nil"/>
                    <w:bottom w:val="single" w:sz="4" w:space="0" w:color="auto"/>
                    <w:right w:val="nil"/>
                  </w:tcBorders>
                  <w:shd w:val="clear" w:color="auto" w:fill="auto"/>
                  <w:noWrap/>
                  <w:vAlign w:val="center"/>
                  <w:hideMark/>
                </w:tcPr>
                <w:p w:rsidR="007D13F3" w:rsidRPr="007E7B9D" w:rsidRDefault="007D13F3" w:rsidP="00465CAC">
                  <w:pPr>
                    <w:jc w:val="center"/>
                    <w:rPr>
                      <w:rFonts w:ascii="Times New Roman" w:hAnsi="Times New Roman" w:cs="Times New Roman"/>
                      <w:color w:val="000000"/>
                      <w:sz w:val="18"/>
                      <w:szCs w:val="18"/>
                      <w:lang w:eastAsia="sk-SK"/>
                    </w:rPr>
                  </w:pPr>
                  <w:r w:rsidRPr="007E7B9D">
                    <w:rPr>
                      <w:rFonts w:ascii="Times New Roman" w:hAnsi="Times New Roman" w:cs="Times New Roman"/>
                      <w:color w:val="000000"/>
                      <w:sz w:val="18"/>
                      <w:szCs w:val="18"/>
                      <w:lang w:eastAsia="sk-SK"/>
                    </w:rPr>
                    <w:t>2020</w:t>
                  </w:r>
                </w:p>
              </w:tc>
            </w:tr>
            <w:tr w:rsidR="007D13F3" w:rsidRPr="007E7B9D" w:rsidTr="00465CAC">
              <w:trPr>
                <w:trHeight w:val="300"/>
              </w:trPr>
              <w:tc>
                <w:tcPr>
                  <w:tcW w:w="2188" w:type="pct"/>
                  <w:tcBorders>
                    <w:top w:val="single" w:sz="4" w:space="0" w:color="auto"/>
                    <w:left w:val="nil"/>
                    <w:bottom w:val="dotted" w:sz="4" w:space="0" w:color="auto"/>
                  </w:tcBorders>
                  <w:shd w:val="clear" w:color="auto" w:fill="auto"/>
                  <w:noWrap/>
                  <w:vAlign w:val="center"/>
                  <w:hideMark/>
                </w:tcPr>
                <w:p w:rsidR="007D13F3" w:rsidRPr="007E7B9D" w:rsidRDefault="007D13F3" w:rsidP="00465CAC">
                  <w:pPr>
                    <w:rPr>
                      <w:rFonts w:ascii="Times New Roman" w:hAnsi="Times New Roman" w:cs="Times New Roman"/>
                      <w:color w:val="000000"/>
                      <w:sz w:val="18"/>
                      <w:szCs w:val="18"/>
                      <w:lang w:eastAsia="sk-SK"/>
                    </w:rPr>
                  </w:pPr>
                  <w:r w:rsidRPr="007E7B9D">
                    <w:rPr>
                      <w:rFonts w:ascii="Times New Roman" w:hAnsi="Times New Roman" w:cs="Times New Roman"/>
                      <w:color w:val="000000"/>
                      <w:sz w:val="18"/>
                      <w:szCs w:val="18"/>
                      <w:lang w:eastAsia="sk-SK"/>
                    </w:rPr>
                    <w:t>Zníženie nákladov SVP, š.</w:t>
                  </w:r>
                  <w:r w:rsidR="007E7B9D">
                    <w:rPr>
                      <w:rFonts w:ascii="Times New Roman" w:hAnsi="Times New Roman" w:cs="Times New Roman"/>
                      <w:color w:val="000000"/>
                      <w:sz w:val="18"/>
                      <w:szCs w:val="18"/>
                      <w:lang w:eastAsia="sk-SK"/>
                    </w:rPr>
                    <w:t xml:space="preserve"> </w:t>
                  </w:r>
                  <w:r w:rsidRPr="007E7B9D">
                    <w:rPr>
                      <w:rFonts w:ascii="Times New Roman" w:hAnsi="Times New Roman" w:cs="Times New Roman"/>
                      <w:color w:val="000000"/>
                      <w:sz w:val="18"/>
                      <w:szCs w:val="18"/>
                      <w:lang w:eastAsia="sk-SK"/>
                    </w:rPr>
                    <w:t>p.</w:t>
                  </w:r>
                </w:p>
              </w:tc>
              <w:tc>
                <w:tcPr>
                  <w:tcW w:w="1094" w:type="pct"/>
                  <w:tcBorders>
                    <w:top w:val="single" w:sz="4" w:space="0" w:color="auto"/>
                    <w:bottom w:val="dotted" w:sz="4" w:space="0" w:color="auto"/>
                    <w:right w:val="nil"/>
                  </w:tcBorders>
                  <w:shd w:val="clear" w:color="auto" w:fill="auto"/>
                  <w:noWrap/>
                  <w:vAlign w:val="center"/>
                  <w:hideMark/>
                </w:tcPr>
                <w:p w:rsidR="007D13F3" w:rsidRPr="007E7B9D" w:rsidRDefault="007D13F3" w:rsidP="00465CAC">
                  <w:pPr>
                    <w:rPr>
                      <w:rFonts w:ascii="Times New Roman" w:hAnsi="Times New Roman" w:cs="Times New Roman"/>
                      <w:color w:val="000000"/>
                      <w:sz w:val="18"/>
                      <w:szCs w:val="18"/>
                      <w:lang w:eastAsia="sk-SK"/>
                    </w:rPr>
                  </w:pPr>
                </w:p>
              </w:tc>
              <w:tc>
                <w:tcPr>
                  <w:tcW w:w="573" w:type="pct"/>
                  <w:tcBorders>
                    <w:top w:val="single" w:sz="4" w:space="0" w:color="auto"/>
                    <w:left w:val="nil"/>
                    <w:bottom w:val="dotted" w:sz="4" w:space="0" w:color="auto"/>
                    <w:right w:val="nil"/>
                  </w:tcBorders>
                  <w:shd w:val="clear" w:color="auto" w:fill="auto"/>
                  <w:noWrap/>
                  <w:vAlign w:val="center"/>
                  <w:hideMark/>
                </w:tcPr>
                <w:p w:rsidR="007D13F3" w:rsidRPr="007E7B9D" w:rsidRDefault="007D13F3" w:rsidP="00465CAC">
                  <w:pPr>
                    <w:jc w:val="center"/>
                    <w:rPr>
                      <w:rFonts w:ascii="Times New Roman" w:hAnsi="Times New Roman" w:cs="Times New Roman"/>
                      <w:color w:val="000000"/>
                      <w:sz w:val="18"/>
                      <w:szCs w:val="18"/>
                      <w:lang w:eastAsia="sk-SK"/>
                    </w:rPr>
                  </w:pPr>
                  <w:r w:rsidRPr="007E7B9D">
                    <w:rPr>
                      <w:rFonts w:ascii="Times New Roman" w:hAnsi="Times New Roman" w:cs="Times New Roman"/>
                      <w:color w:val="000000"/>
                      <w:sz w:val="18"/>
                      <w:szCs w:val="18"/>
                      <w:lang w:eastAsia="sk-SK"/>
                    </w:rPr>
                    <w:t>8</w:t>
                  </w:r>
                </w:p>
              </w:tc>
              <w:tc>
                <w:tcPr>
                  <w:tcW w:w="573" w:type="pct"/>
                  <w:tcBorders>
                    <w:top w:val="single" w:sz="4" w:space="0" w:color="auto"/>
                    <w:left w:val="nil"/>
                    <w:bottom w:val="dotted" w:sz="4" w:space="0" w:color="auto"/>
                    <w:right w:val="nil"/>
                  </w:tcBorders>
                  <w:shd w:val="clear" w:color="auto" w:fill="auto"/>
                  <w:noWrap/>
                  <w:vAlign w:val="center"/>
                  <w:hideMark/>
                </w:tcPr>
                <w:p w:rsidR="007D13F3" w:rsidRPr="007E7B9D" w:rsidRDefault="007D13F3" w:rsidP="00465CAC">
                  <w:pPr>
                    <w:jc w:val="center"/>
                    <w:rPr>
                      <w:rFonts w:ascii="Times New Roman" w:hAnsi="Times New Roman" w:cs="Times New Roman"/>
                      <w:color w:val="000000"/>
                      <w:sz w:val="18"/>
                      <w:szCs w:val="18"/>
                      <w:lang w:eastAsia="sk-SK"/>
                    </w:rPr>
                  </w:pPr>
                  <w:r w:rsidRPr="007E7B9D">
                    <w:rPr>
                      <w:rFonts w:ascii="Times New Roman" w:hAnsi="Times New Roman" w:cs="Times New Roman"/>
                      <w:color w:val="000000"/>
                      <w:sz w:val="18"/>
                      <w:szCs w:val="18"/>
                      <w:lang w:eastAsia="sk-SK"/>
                    </w:rPr>
                    <w:t>14</w:t>
                  </w:r>
                </w:p>
              </w:tc>
              <w:tc>
                <w:tcPr>
                  <w:tcW w:w="572" w:type="pct"/>
                  <w:tcBorders>
                    <w:top w:val="single" w:sz="4" w:space="0" w:color="auto"/>
                    <w:left w:val="nil"/>
                    <w:bottom w:val="dotted" w:sz="4" w:space="0" w:color="auto"/>
                    <w:right w:val="nil"/>
                  </w:tcBorders>
                  <w:shd w:val="clear" w:color="auto" w:fill="auto"/>
                  <w:noWrap/>
                  <w:vAlign w:val="center"/>
                  <w:hideMark/>
                </w:tcPr>
                <w:p w:rsidR="007D13F3" w:rsidRPr="007E7B9D" w:rsidRDefault="007D13F3" w:rsidP="00465CAC">
                  <w:pPr>
                    <w:jc w:val="center"/>
                    <w:rPr>
                      <w:rFonts w:ascii="Times New Roman" w:hAnsi="Times New Roman" w:cs="Times New Roman"/>
                      <w:color w:val="000000"/>
                      <w:sz w:val="18"/>
                      <w:szCs w:val="18"/>
                      <w:lang w:eastAsia="sk-SK"/>
                    </w:rPr>
                  </w:pPr>
                  <w:r w:rsidRPr="007E7B9D">
                    <w:rPr>
                      <w:rFonts w:ascii="Times New Roman" w:hAnsi="Times New Roman" w:cs="Times New Roman"/>
                      <w:color w:val="000000"/>
                      <w:sz w:val="18"/>
                      <w:szCs w:val="18"/>
                      <w:lang w:eastAsia="sk-SK"/>
                    </w:rPr>
                    <w:t>20</w:t>
                  </w:r>
                </w:p>
              </w:tc>
            </w:tr>
            <w:tr w:rsidR="007D13F3" w:rsidRPr="007E7B9D" w:rsidTr="00465CAC">
              <w:trPr>
                <w:trHeight w:val="300"/>
              </w:trPr>
              <w:tc>
                <w:tcPr>
                  <w:tcW w:w="2188" w:type="pct"/>
                  <w:tcBorders>
                    <w:top w:val="dotted" w:sz="4" w:space="0" w:color="auto"/>
                    <w:left w:val="nil"/>
                    <w:bottom w:val="dotted" w:sz="4" w:space="0" w:color="auto"/>
                    <w:right w:val="nil"/>
                  </w:tcBorders>
                  <w:shd w:val="clear" w:color="auto" w:fill="auto"/>
                  <w:noWrap/>
                  <w:vAlign w:val="center"/>
                  <w:hideMark/>
                </w:tcPr>
                <w:p w:rsidR="007D13F3" w:rsidRPr="008E30EC" w:rsidRDefault="007D13F3" w:rsidP="00465CAC">
                  <w:pPr>
                    <w:rPr>
                      <w:rFonts w:ascii="Times New Roman" w:hAnsi="Times New Roman" w:cs="Times New Roman"/>
                      <w:sz w:val="18"/>
                      <w:szCs w:val="18"/>
                      <w:lang w:eastAsia="sk-SK"/>
                    </w:rPr>
                  </w:pPr>
                  <w:r w:rsidRPr="008E30EC">
                    <w:rPr>
                      <w:rFonts w:ascii="Times New Roman" w:hAnsi="Times New Roman" w:cs="Times New Roman"/>
                      <w:sz w:val="18"/>
                      <w:szCs w:val="18"/>
                      <w:lang w:eastAsia="sk-SK"/>
                    </w:rPr>
                    <w:t xml:space="preserve">Zavedenie alternatívnych foriem financovania </w:t>
                  </w:r>
                </w:p>
              </w:tc>
              <w:tc>
                <w:tcPr>
                  <w:tcW w:w="1094" w:type="pct"/>
                  <w:tcBorders>
                    <w:top w:val="dotted" w:sz="4" w:space="0" w:color="auto"/>
                    <w:left w:val="nil"/>
                    <w:bottom w:val="dotted" w:sz="4" w:space="0" w:color="auto"/>
                    <w:right w:val="nil"/>
                  </w:tcBorders>
                  <w:shd w:val="clear" w:color="auto" w:fill="auto"/>
                  <w:noWrap/>
                  <w:vAlign w:val="center"/>
                  <w:hideMark/>
                </w:tcPr>
                <w:p w:rsidR="007D13F3" w:rsidRPr="008E30EC" w:rsidRDefault="007D13F3" w:rsidP="00465CAC">
                  <w:pPr>
                    <w:rPr>
                      <w:rFonts w:ascii="Times New Roman" w:hAnsi="Times New Roman" w:cs="Times New Roman"/>
                      <w:sz w:val="18"/>
                      <w:szCs w:val="18"/>
                      <w:lang w:eastAsia="sk-SK"/>
                    </w:rPr>
                  </w:pPr>
                  <w:r w:rsidRPr="008E30EC">
                    <w:rPr>
                      <w:rFonts w:ascii="Times New Roman" w:hAnsi="Times New Roman" w:cs="Times New Roman"/>
                      <w:sz w:val="18"/>
                      <w:szCs w:val="18"/>
                      <w:lang w:eastAsia="sk-SK"/>
                    </w:rPr>
                    <w:t>Vyšší príjem ŠOP ŠR</w:t>
                  </w:r>
                </w:p>
              </w:tc>
              <w:tc>
                <w:tcPr>
                  <w:tcW w:w="573" w:type="pct"/>
                  <w:tcBorders>
                    <w:top w:val="dotted" w:sz="4" w:space="0" w:color="auto"/>
                    <w:left w:val="nil"/>
                    <w:bottom w:val="dotted" w:sz="4" w:space="0" w:color="auto"/>
                    <w:right w:val="nil"/>
                  </w:tcBorders>
                  <w:shd w:val="clear" w:color="auto" w:fill="auto"/>
                  <w:noWrap/>
                  <w:vAlign w:val="center"/>
                  <w:hideMark/>
                </w:tcPr>
                <w:p w:rsidR="007D13F3" w:rsidRPr="008E30EC" w:rsidRDefault="007D13F3" w:rsidP="00465CAC">
                  <w:pPr>
                    <w:jc w:val="center"/>
                    <w:rPr>
                      <w:rFonts w:ascii="Times New Roman" w:hAnsi="Times New Roman" w:cs="Times New Roman"/>
                      <w:sz w:val="18"/>
                      <w:szCs w:val="18"/>
                      <w:lang w:eastAsia="sk-SK"/>
                    </w:rPr>
                  </w:pPr>
                  <w:r w:rsidRPr="008E30EC">
                    <w:rPr>
                      <w:rFonts w:ascii="Times New Roman" w:hAnsi="Times New Roman" w:cs="Times New Roman"/>
                      <w:sz w:val="18"/>
                      <w:szCs w:val="18"/>
                      <w:lang w:eastAsia="sk-SK"/>
                    </w:rPr>
                    <w:t>0</w:t>
                  </w:r>
                </w:p>
              </w:tc>
              <w:tc>
                <w:tcPr>
                  <w:tcW w:w="573" w:type="pct"/>
                  <w:tcBorders>
                    <w:top w:val="dotted" w:sz="4" w:space="0" w:color="auto"/>
                    <w:left w:val="nil"/>
                    <w:bottom w:val="dotted" w:sz="4" w:space="0" w:color="auto"/>
                    <w:right w:val="nil"/>
                  </w:tcBorders>
                  <w:shd w:val="clear" w:color="auto" w:fill="auto"/>
                  <w:noWrap/>
                  <w:vAlign w:val="center"/>
                  <w:hideMark/>
                </w:tcPr>
                <w:p w:rsidR="007D13F3" w:rsidRPr="008E30EC" w:rsidRDefault="007D13F3" w:rsidP="00465CAC">
                  <w:pPr>
                    <w:jc w:val="center"/>
                    <w:rPr>
                      <w:rFonts w:ascii="Times New Roman" w:hAnsi="Times New Roman" w:cs="Times New Roman"/>
                      <w:sz w:val="18"/>
                      <w:szCs w:val="18"/>
                      <w:lang w:eastAsia="sk-SK"/>
                    </w:rPr>
                  </w:pPr>
                  <w:r w:rsidRPr="008E30EC">
                    <w:rPr>
                      <w:rFonts w:ascii="Times New Roman" w:hAnsi="Times New Roman" w:cs="Times New Roman"/>
                      <w:sz w:val="18"/>
                      <w:szCs w:val="18"/>
                      <w:lang w:eastAsia="sk-SK"/>
                    </w:rPr>
                    <w:t>6</w:t>
                  </w:r>
                </w:p>
              </w:tc>
              <w:tc>
                <w:tcPr>
                  <w:tcW w:w="572" w:type="pct"/>
                  <w:tcBorders>
                    <w:top w:val="dotted" w:sz="4" w:space="0" w:color="auto"/>
                    <w:left w:val="nil"/>
                    <w:bottom w:val="dotted" w:sz="4" w:space="0" w:color="auto"/>
                    <w:right w:val="nil"/>
                  </w:tcBorders>
                  <w:shd w:val="clear" w:color="auto" w:fill="auto"/>
                  <w:noWrap/>
                  <w:vAlign w:val="center"/>
                  <w:hideMark/>
                </w:tcPr>
                <w:p w:rsidR="007D13F3" w:rsidRPr="008E30EC" w:rsidRDefault="007D13F3" w:rsidP="00465CAC">
                  <w:pPr>
                    <w:jc w:val="center"/>
                    <w:rPr>
                      <w:rFonts w:ascii="Times New Roman" w:hAnsi="Times New Roman" w:cs="Times New Roman"/>
                      <w:sz w:val="18"/>
                      <w:szCs w:val="18"/>
                      <w:lang w:eastAsia="sk-SK"/>
                    </w:rPr>
                  </w:pPr>
                  <w:r w:rsidRPr="008E30EC">
                    <w:rPr>
                      <w:rFonts w:ascii="Times New Roman" w:hAnsi="Times New Roman" w:cs="Times New Roman"/>
                      <w:sz w:val="18"/>
                      <w:szCs w:val="18"/>
                      <w:lang w:eastAsia="sk-SK"/>
                    </w:rPr>
                    <w:t>6</w:t>
                  </w:r>
                </w:p>
              </w:tc>
            </w:tr>
            <w:tr w:rsidR="007D13F3" w:rsidRPr="007E7B9D" w:rsidTr="00465CAC">
              <w:trPr>
                <w:trHeight w:val="300"/>
              </w:trPr>
              <w:tc>
                <w:tcPr>
                  <w:tcW w:w="2188" w:type="pct"/>
                  <w:tcBorders>
                    <w:top w:val="dotted" w:sz="4" w:space="0" w:color="auto"/>
                    <w:left w:val="nil"/>
                    <w:bottom w:val="dotted" w:sz="4" w:space="0" w:color="auto"/>
                    <w:right w:val="nil"/>
                  </w:tcBorders>
                  <w:shd w:val="clear" w:color="auto" w:fill="auto"/>
                  <w:noWrap/>
                  <w:vAlign w:val="center"/>
                  <w:hideMark/>
                </w:tcPr>
                <w:p w:rsidR="007D13F3" w:rsidRPr="008E30EC" w:rsidRDefault="007D13F3" w:rsidP="00465CAC">
                  <w:pPr>
                    <w:rPr>
                      <w:rFonts w:ascii="Times New Roman" w:hAnsi="Times New Roman" w:cs="Times New Roman"/>
                      <w:sz w:val="18"/>
                      <w:szCs w:val="18"/>
                      <w:lang w:eastAsia="sk-SK"/>
                    </w:rPr>
                  </w:pPr>
                  <w:r w:rsidRPr="008E30EC">
                    <w:rPr>
                      <w:rFonts w:ascii="Times New Roman" w:hAnsi="Times New Roman" w:cs="Times New Roman"/>
                      <w:sz w:val="18"/>
                      <w:szCs w:val="18"/>
                      <w:lang w:eastAsia="sk-SK"/>
                    </w:rPr>
                    <w:t xml:space="preserve">Zrušenie fakultatívnych oslobodení v spotrebných daniach z elektriny, uhlia a zemného plynu </w:t>
                  </w:r>
                </w:p>
              </w:tc>
              <w:tc>
                <w:tcPr>
                  <w:tcW w:w="1094" w:type="pct"/>
                  <w:tcBorders>
                    <w:top w:val="dotted" w:sz="4" w:space="0" w:color="auto"/>
                    <w:left w:val="nil"/>
                    <w:bottom w:val="dotted" w:sz="4" w:space="0" w:color="auto"/>
                    <w:right w:val="nil"/>
                  </w:tcBorders>
                  <w:shd w:val="clear" w:color="auto" w:fill="auto"/>
                  <w:noWrap/>
                  <w:vAlign w:val="center"/>
                  <w:hideMark/>
                </w:tcPr>
                <w:p w:rsidR="007D13F3" w:rsidRPr="008E30EC" w:rsidRDefault="007D13F3" w:rsidP="00465CAC">
                  <w:pPr>
                    <w:rPr>
                      <w:rFonts w:ascii="Times New Roman" w:hAnsi="Times New Roman" w:cs="Times New Roman"/>
                      <w:sz w:val="18"/>
                      <w:szCs w:val="18"/>
                      <w:lang w:eastAsia="sk-SK"/>
                    </w:rPr>
                  </w:pPr>
                  <w:r w:rsidRPr="008E30EC">
                    <w:rPr>
                      <w:rFonts w:ascii="Times New Roman" w:hAnsi="Times New Roman" w:cs="Times New Roman"/>
                      <w:sz w:val="18"/>
                      <w:szCs w:val="18"/>
                      <w:lang w:eastAsia="sk-SK"/>
                    </w:rPr>
                    <w:t>Vyšší daňový príjem</w:t>
                  </w:r>
                </w:p>
              </w:tc>
              <w:tc>
                <w:tcPr>
                  <w:tcW w:w="573" w:type="pct"/>
                  <w:tcBorders>
                    <w:top w:val="dotted" w:sz="4" w:space="0" w:color="auto"/>
                    <w:left w:val="nil"/>
                    <w:bottom w:val="dotted" w:sz="4" w:space="0" w:color="auto"/>
                    <w:right w:val="nil"/>
                  </w:tcBorders>
                  <w:shd w:val="clear" w:color="auto" w:fill="auto"/>
                  <w:noWrap/>
                  <w:vAlign w:val="center"/>
                  <w:hideMark/>
                </w:tcPr>
                <w:p w:rsidR="007D13F3" w:rsidRPr="008E30EC" w:rsidRDefault="007D13F3" w:rsidP="00465CAC">
                  <w:pPr>
                    <w:jc w:val="center"/>
                    <w:rPr>
                      <w:rFonts w:ascii="Times New Roman" w:hAnsi="Times New Roman" w:cs="Times New Roman"/>
                      <w:sz w:val="18"/>
                      <w:szCs w:val="18"/>
                      <w:lang w:eastAsia="sk-SK"/>
                    </w:rPr>
                  </w:pPr>
                  <w:r w:rsidRPr="008E30EC">
                    <w:rPr>
                      <w:rFonts w:ascii="Times New Roman" w:hAnsi="Times New Roman" w:cs="Times New Roman"/>
                      <w:sz w:val="18"/>
                      <w:szCs w:val="18"/>
                      <w:lang w:eastAsia="sk-SK"/>
                    </w:rPr>
                    <w:t>0</w:t>
                  </w:r>
                </w:p>
              </w:tc>
              <w:tc>
                <w:tcPr>
                  <w:tcW w:w="573" w:type="pct"/>
                  <w:tcBorders>
                    <w:top w:val="dotted" w:sz="4" w:space="0" w:color="auto"/>
                    <w:left w:val="nil"/>
                    <w:bottom w:val="dotted" w:sz="4" w:space="0" w:color="auto"/>
                    <w:right w:val="nil"/>
                  </w:tcBorders>
                  <w:shd w:val="clear" w:color="auto" w:fill="auto"/>
                  <w:noWrap/>
                  <w:vAlign w:val="center"/>
                  <w:hideMark/>
                </w:tcPr>
                <w:p w:rsidR="007D13F3" w:rsidRPr="008E30EC" w:rsidRDefault="007D13F3" w:rsidP="00465CAC">
                  <w:pPr>
                    <w:jc w:val="center"/>
                    <w:rPr>
                      <w:rFonts w:ascii="Times New Roman" w:hAnsi="Times New Roman" w:cs="Times New Roman"/>
                      <w:sz w:val="18"/>
                      <w:szCs w:val="18"/>
                      <w:lang w:eastAsia="sk-SK"/>
                    </w:rPr>
                  </w:pPr>
                  <w:r w:rsidRPr="008E30EC">
                    <w:rPr>
                      <w:rFonts w:ascii="Times New Roman" w:hAnsi="Times New Roman" w:cs="Times New Roman"/>
                      <w:sz w:val="18"/>
                      <w:szCs w:val="18"/>
                      <w:lang w:eastAsia="sk-SK"/>
                    </w:rPr>
                    <w:t>65</w:t>
                  </w:r>
                </w:p>
              </w:tc>
              <w:tc>
                <w:tcPr>
                  <w:tcW w:w="572" w:type="pct"/>
                  <w:tcBorders>
                    <w:top w:val="dotted" w:sz="4" w:space="0" w:color="auto"/>
                    <w:left w:val="nil"/>
                    <w:bottom w:val="dotted" w:sz="4" w:space="0" w:color="auto"/>
                    <w:right w:val="nil"/>
                  </w:tcBorders>
                  <w:shd w:val="clear" w:color="auto" w:fill="auto"/>
                  <w:noWrap/>
                  <w:vAlign w:val="center"/>
                  <w:hideMark/>
                </w:tcPr>
                <w:p w:rsidR="007D13F3" w:rsidRPr="008E30EC" w:rsidRDefault="007D13F3" w:rsidP="00465CAC">
                  <w:pPr>
                    <w:jc w:val="center"/>
                    <w:rPr>
                      <w:rFonts w:ascii="Times New Roman" w:hAnsi="Times New Roman" w:cs="Times New Roman"/>
                      <w:sz w:val="18"/>
                      <w:szCs w:val="18"/>
                      <w:lang w:eastAsia="sk-SK"/>
                    </w:rPr>
                  </w:pPr>
                  <w:r w:rsidRPr="008E30EC">
                    <w:rPr>
                      <w:rFonts w:ascii="Times New Roman" w:hAnsi="Times New Roman" w:cs="Times New Roman"/>
                      <w:sz w:val="18"/>
                      <w:szCs w:val="18"/>
                      <w:lang w:eastAsia="sk-SK"/>
                    </w:rPr>
                    <w:t>65</w:t>
                  </w:r>
                </w:p>
              </w:tc>
            </w:tr>
            <w:tr w:rsidR="007D13F3" w:rsidRPr="007E7B9D" w:rsidTr="00465CAC">
              <w:trPr>
                <w:trHeight w:val="300"/>
              </w:trPr>
              <w:tc>
                <w:tcPr>
                  <w:tcW w:w="2188" w:type="pct"/>
                  <w:tcBorders>
                    <w:top w:val="dotted" w:sz="4" w:space="0" w:color="auto"/>
                    <w:left w:val="nil"/>
                    <w:bottom w:val="single" w:sz="4" w:space="0" w:color="auto"/>
                    <w:right w:val="nil"/>
                  </w:tcBorders>
                  <w:shd w:val="clear" w:color="auto" w:fill="auto"/>
                  <w:noWrap/>
                  <w:vAlign w:val="center"/>
                  <w:hideMark/>
                </w:tcPr>
                <w:p w:rsidR="007D13F3" w:rsidRPr="007E7B9D" w:rsidRDefault="007D13F3" w:rsidP="00465CAC">
                  <w:pPr>
                    <w:rPr>
                      <w:rFonts w:ascii="Times New Roman" w:hAnsi="Times New Roman" w:cs="Times New Roman"/>
                      <w:color w:val="000000"/>
                      <w:sz w:val="18"/>
                      <w:szCs w:val="18"/>
                      <w:lang w:eastAsia="sk-SK"/>
                    </w:rPr>
                  </w:pPr>
                  <w:r w:rsidRPr="007E7B9D">
                    <w:rPr>
                      <w:rFonts w:ascii="Times New Roman" w:hAnsi="Times New Roman" w:cs="Times New Roman"/>
                      <w:color w:val="000000"/>
                      <w:sz w:val="18"/>
                      <w:szCs w:val="18"/>
                      <w:lang w:eastAsia="sk-SK"/>
                    </w:rPr>
                    <w:t>Zvýšenie poplatkov za skládkovanie a zavedenie povinného množstvového zberu</w:t>
                  </w:r>
                </w:p>
              </w:tc>
              <w:tc>
                <w:tcPr>
                  <w:tcW w:w="1094" w:type="pct"/>
                  <w:tcBorders>
                    <w:top w:val="dotted" w:sz="4" w:space="0" w:color="auto"/>
                    <w:left w:val="nil"/>
                    <w:bottom w:val="single" w:sz="4" w:space="0" w:color="auto"/>
                    <w:right w:val="nil"/>
                  </w:tcBorders>
                  <w:shd w:val="clear" w:color="auto" w:fill="auto"/>
                  <w:noWrap/>
                  <w:vAlign w:val="center"/>
                  <w:hideMark/>
                </w:tcPr>
                <w:p w:rsidR="007D13F3" w:rsidRPr="007E7B9D" w:rsidRDefault="007D13F3" w:rsidP="00465CAC">
                  <w:pPr>
                    <w:rPr>
                      <w:rFonts w:ascii="Times New Roman" w:hAnsi="Times New Roman" w:cs="Times New Roman"/>
                      <w:color w:val="000000"/>
                      <w:sz w:val="18"/>
                      <w:szCs w:val="18"/>
                      <w:lang w:eastAsia="sk-SK"/>
                    </w:rPr>
                  </w:pPr>
                  <w:r w:rsidRPr="007E7B9D">
                    <w:rPr>
                      <w:rFonts w:ascii="Times New Roman" w:hAnsi="Times New Roman" w:cs="Times New Roman"/>
                      <w:color w:val="000000"/>
                      <w:sz w:val="18"/>
                      <w:szCs w:val="18"/>
                      <w:lang w:eastAsia="sk-SK"/>
                    </w:rPr>
                    <w:t>Vyšší príjem obcí</w:t>
                  </w:r>
                </w:p>
              </w:tc>
              <w:tc>
                <w:tcPr>
                  <w:tcW w:w="573" w:type="pct"/>
                  <w:tcBorders>
                    <w:top w:val="dotted" w:sz="4" w:space="0" w:color="auto"/>
                    <w:left w:val="nil"/>
                    <w:bottom w:val="single" w:sz="4" w:space="0" w:color="auto"/>
                    <w:right w:val="nil"/>
                  </w:tcBorders>
                  <w:shd w:val="clear" w:color="auto" w:fill="auto"/>
                  <w:noWrap/>
                  <w:vAlign w:val="center"/>
                  <w:hideMark/>
                </w:tcPr>
                <w:p w:rsidR="007D13F3" w:rsidRPr="007E7B9D" w:rsidRDefault="007D13F3" w:rsidP="00465CAC">
                  <w:pPr>
                    <w:jc w:val="center"/>
                    <w:rPr>
                      <w:rFonts w:ascii="Times New Roman" w:hAnsi="Times New Roman" w:cs="Times New Roman"/>
                      <w:color w:val="000000"/>
                      <w:sz w:val="18"/>
                      <w:szCs w:val="18"/>
                      <w:lang w:eastAsia="sk-SK"/>
                    </w:rPr>
                  </w:pPr>
                  <w:r w:rsidRPr="007E7B9D">
                    <w:rPr>
                      <w:rFonts w:ascii="Times New Roman" w:hAnsi="Times New Roman" w:cs="Times New Roman"/>
                      <w:color w:val="000000"/>
                      <w:sz w:val="18"/>
                      <w:szCs w:val="18"/>
                      <w:lang w:eastAsia="sk-SK"/>
                    </w:rPr>
                    <w:t>0</w:t>
                  </w:r>
                </w:p>
              </w:tc>
              <w:tc>
                <w:tcPr>
                  <w:tcW w:w="573" w:type="pct"/>
                  <w:tcBorders>
                    <w:top w:val="dotted" w:sz="4" w:space="0" w:color="auto"/>
                    <w:left w:val="nil"/>
                    <w:bottom w:val="single" w:sz="4" w:space="0" w:color="auto"/>
                    <w:right w:val="nil"/>
                  </w:tcBorders>
                  <w:shd w:val="clear" w:color="auto" w:fill="auto"/>
                  <w:noWrap/>
                  <w:vAlign w:val="center"/>
                  <w:hideMark/>
                </w:tcPr>
                <w:p w:rsidR="007D13F3" w:rsidRPr="007E7B9D" w:rsidRDefault="008E30EC" w:rsidP="00465CAC">
                  <w:pPr>
                    <w:jc w:val="center"/>
                    <w:rPr>
                      <w:rFonts w:ascii="Times New Roman" w:hAnsi="Times New Roman" w:cs="Times New Roman"/>
                      <w:color w:val="000000"/>
                      <w:sz w:val="18"/>
                      <w:szCs w:val="18"/>
                      <w:lang w:eastAsia="sk-SK"/>
                    </w:rPr>
                  </w:pPr>
                  <w:r>
                    <w:rPr>
                      <w:rFonts w:ascii="Times New Roman" w:hAnsi="Times New Roman" w:cs="Times New Roman"/>
                      <w:color w:val="000000"/>
                      <w:sz w:val="18"/>
                      <w:szCs w:val="18"/>
                      <w:lang w:eastAsia="sk-SK"/>
                    </w:rPr>
                    <w:t>14</w:t>
                  </w:r>
                </w:p>
              </w:tc>
              <w:tc>
                <w:tcPr>
                  <w:tcW w:w="572" w:type="pct"/>
                  <w:tcBorders>
                    <w:top w:val="dotted" w:sz="4" w:space="0" w:color="auto"/>
                    <w:left w:val="nil"/>
                    <w:bottom w:val="single" w:sz="4" w:space="0" w:color="auto"/>
                    <w:right w:val="nil"/>
                  </w:tcBorders>
                  <w:shd w:val="clear" w:color="auto" w:fill="auto"/>
                  <w:noWrap/>
                  <w:vAlign w:val="center"/>
                  <w:hideMark/>
                </w:tcPr>
                <w:p w:rsidR="007D13F3" w:rsidRPr="007E7B9D" w:rsidRDefault="008E30EC" w:rsidP="00465CAC">
                  <w:pPr>
                    <w:jc w:val="center"/>
                    <w:rPr>
                      <w:rFonts w:ascii="Times New Roman" w:hAnsi="Times New Roman" w:cs="Times New Roman"/>
                      <w:color w:val="000000"/>
                      <w:sz w:val="18"/>
                      <w:szCs w:val="18"/>
                      <w:lang w:eastAsia="sk-SK"/>
                    </w:rPr>
                  </w:pPr>
                  <w:r>
                    <w:rPr>
                      <w:rFonts w:ascii="Times New Roman" w:hAnsi="Times New Roman" w:cs="Times New Roman"/>
                      <w:color w:val="000000"/>
                      <w:sz w:val="18"/>
                      <w:szCs w:val="18"/>
                      <w:lang w:eastAsia="sk-SK"/>
                    </w:rPr>
                    <w:t>20</w:t>
                  </w:r>
                </w:p>
              </w:tc>
            </w:tr>
          </w:tbl>
          <w:p w:rsidR="007D13F3" w:rsidRPr="007E7B9D" w:rsidRDefault="007D13F3" w:rsidP="00465CAC">
            <w:pPr>
              <w:keepNext/>
              <w:keepLines/>
              <w:spacing w:before="240" w:after="120" w:line="276" w:lineRule="auto"/>
              <w:outlineLvl w:val="1"/>
              <w:rPr>
                <w:rFonts w:ascii="Times New Roman" w:eastAsiaTheme="majorEastAsia" w:hAnsi="Times New Roman" w:cs="Times New Roman"/>
                <w:b/>
                <w:color w:val="000000" w:themeColor="text1"/>
                <w:sz w:val="26"/>
                <w:szCs w:val="26"/>
                <w:lang w:eastAsia="en-US"/>
              </w:rPr>
            </w:pPr>
            <w:r w:rsidRPr="007E7B9D">
              <w:rPr>
                <w:rFonts w:ascii="Times New Roman" w:eastAsiaTheme="majorEastAsia" w:hAnsi="Times New Roman" w:cs="Times New Roman"/>
                <w:b/>
                <w:color w:val="000000" w:themeColor="text1"/>
                <w:sz w:val="26"/>
                <w:szCs w:val="26"/>
                <w:lang w:eastAsia="en-US"/>
              </w:rPr>
              <w:t>Voda, odpadové vody a protipovodňové opatrenia</w:t>
            </w:r>
          </w:p>
          <w:p w:rsidR="007D13F3" w:rsidRPr="007E7B9D" w:rsidRDefault="007D13F3" w:rsidP="00465CAC">
            <w:pPr>
              <w:ind w:firstLine="708"/>
              <w:jc w:val="both"/>
              <w:rPr>
                <w:rFonts w:ascii="Times New Roman" w:hAnsi="Times New Roman" w:cs="Times New Roman"/>
              </w:rPr>
            </w:pPr>
            <w:r w:rsidRPr="007E7B9D">
              <w:rPr>
                <w:rFonts w:ascii="Times New Roman" w:hAnsi="Times New Roman" w:cs="Times New Roman"/>
                <w:color w:val="000000" w:themeColor="text1"/>
              </w:rPr>
              <w:t>Cieľom je splniť záväzok Slovenskej republiky o zabezpečení zberných systémov pre komunálnu vodu a následne zabezpečiť požadované čistenie odpadových vôd pre aglomerácie nad 2 000 ekvivalentných obyvateľov</w:t>
            </w:r>
            <w:r w:rsidRPr="007E7B9D">
              <w:rPr>
                <w:rFonts w:ascii="Times New Roman" w:eastAsiaTheme="majorEastAsia" w:hAnsi="Times New Roman" w:cs="Times New Roman"/>
                <w:color w:val="000000" w:themeColor="text1"/>
                <w:sz w:val="16"/>
                <w:szCs w:val="16"/>
              </w:rPr>
              <w:t>.</w:t>
            </w:r>
            <w:r w:rsidRPr="007E7B9D">
              <w:rPr>
                <w:rFonts w:ascii="Times New Roman" w:hAnsi="Times New Roman" w:cs="Times New Roman"/>
                <w:color w:val="000000" w:themeColor="text1"/>
              </w:rPr>
              <w:t xml:space="preserve"> Dobrý stav všetkých vôd mal byť dosiahnutý do roku 2015, resp. najneskôr do roku 2027. Na vybudovanú kanalizačnú infraštruktúru sa už </w:t>
            </w:r>
            <w:r w:rsidR="007E7B9D">
              <w:rPr>
                <w:rFonts w:ascii="Times New Roman" w:hAnsi="Times New Roman" w:cs="Times New Roman"/>
                <w:color w:val="000000" w:themeColor="text1"/>
              </w:rPr>
              <w:t>pripojilo</w:t>
            </w:r>
            <w:r w:rsidRPr="007E7B9D">
              <w:rPr>
                <w:rFonts w:ascii="Times New Roman" w:hAnsi="Times New Roman" w:cs="Times New Roman"/>
                <w:color w:val="000000" w:themeColor="text1"/>
              </w:rPr>
              <w:t xml:space="preserve"> 3,54 mil. obyvateľov, mohla by obslúžiť ďalšie desaťtisíce obyvateľov, ktorí sa zatiaľ nepripojili. </w:t>
            </w:r>
            <w:r w:rsidRPr="007E7B9D">
              <w:rPr>
                <w:rFonts w:ascii="Times New Roman" w:hAnsi="Times New Roman" w:cs="Times New Roman"/>
                <w:bCs/>
              </w:rPr>
              <w:t xml:space="preserve">Finančné prostriedky na investičnú výstavbu protipovodňových opatrení do veľkej miery závisia od štrukturálnych fondov. </w:t>
            </w:r>
            <w:r w:rsidRPr="007E7B9D">
              <w:rPr>
                <w:rFonts w:ascii="Times New Roman" w:hAnsi="Times New Roman" w:cs="Times New Roman"/>
              </w:rPr>
              <w:t xml:space="preserve">Dôsledná </w:t>
            </w:r>
            <w:proofErr w:type="spellStart"/>
            <w:r w:rsidRPr="007E7B9D">
              <w:rPr>
                <w:rFonts w:ascii="Times New Roman" w:hAnsi="Times New Roman" w:cs="Times New Roman"/>
              </w:rPr>
              <w:t>prioritizácia</w:t>
            </w:r>
            <w:proofErr w:type="spellEnd"/>
            <w:r w:rsidRPr="007E7B9D">
              <w:rPr>
                <w:rFonts w:ascii="Times New Roman" w:hAnsi="Times New Roman" w:cs="Times New Roman"/>
              </w:rPr>
              <w:t xml:space="preserve"> projektov na základe Plánu manažmentu povodňových rizík schváleného v decembri 2015 ďalej zvýši vytvorenú hodnotu a posilní potenciál na zabránenie škôd z povodní. </w:t>
            </w:r>
          </w:p>
          <w:p w:rsidR="007D13F3" w:rsidRDefault="007D13F3" w:rsidP="00465CAC">
            <w:pPr>
              <w:jc w:val="both"/>
              <w:rPr>
                <w:rFonts w:ascii="Times New Roman" w:hAnsi="Times New Roman" w:cs="Times New Roman"/>
                <w:color w:val="000000" w:themeColor="text1"/>
              </w:rPr>
            </w:pPr>
          </w:p>
          <w:p w:rsidR="009C37FC" w:rsidRDefault="009C37FC" w:rsidP="00465CAC">
            <w:pPr>
              <w:jc w:val="both"/>
              <w:rPr>
                <w:rFonts w:ascii="Times New Roman" w:hAnsi="Times New Roman" w:cs="Times New Roman"/>
                <w:color w:val="000000" w:themeColor="text1"/>
              </w:rPr>
            </w:pPr>
          </w:p>
          <w:p w:rsidR="009C37FC" w:rsidRDefault="009C37FC" w:rsidP="00465CAC">
            <w:pPr>
              <w:jc w:val="both"/>
              <w:rPr>
                <w:rFonts w:ascii="Times New Roman" w:hAnsi="Times New Roman" w:cs="Times New Roman"/>
                <w:color w:val="000000" w:themeColor="text1"/>
              </w:rPr>
            </w:pPr>
          </w:p>
          <w:p w:rsidR="009C37FC" w:rsidRPr="00C45F92" w:rsidRDefault="009C37FC" w:rsidP="00465CAC">
            <w:pPr>
              <w:jc w:val="both"/>
              <w:rPr>
                <w:rFonts w:ascii="Times New Roman" w:hAnsi="Times New Roman" w:cs="Times New Roman"/>
                <w:color w:val="000000" w:themeColor="text1"/>
              </w:rPr>
            </w:pPr>
          </w:p>
          <w:p w:rsidR="007D13F3" w:rsidRPr="00C45F92" w:rsidRDefault="007D13F3" w:rsidP="00465CAC">
            <w:pPr>
              <w:spacing w:after="120"/>
              <w:jc w:val="both"/>
              <w:rPr>
                <w:rFonts w:ascii="Times New Roman" w:hAnsi="Times New Roman" w:cs="Times New Roman"/>
                <w:b/>
                <w:color w:val="000000" w:themeColor="text1"/>
              </w:rPr>
            </w:pPr>
            <w:r w:rsidRPr="00C45F92">
              <w:rPr>
                <w:rFonts w:ascii="Times New Roman" w:hAnsi="Times New Roman" w:cs="Times New Roman"/>
                <w:b/>
                <w:color w:val="000000" w:themeColor="text1"/>
              </w:rPr>
              <w:t>Opatrenia</w:t>
            </w:r>
          </w:p>
          <w:p w:rsidR="007D13F3" w:rsidRPr="00C45F92" w:rsidRDefault="007D13F3" w:rsidP="00465CAC">
            <w:pPr>
              <w:numPr>
                <w:ilvl w:val="0"/>
                <w:numId w:val="44"/>
              </w:numPr>
              <w:jc w:val="both"/>
              <w:rPr>
                <w:rFonts w:ascii="Times New Roman" w:eastAsiaTheme="minorHAnsi" w:hAnsi="Times New Roman" w:cs="Times New Roman"/>
                <w:color w:val="000000" w:themeColor="text1"/>
                <w:lang w:eastAsia="en-US"/>
              </w:rPr>
            </w:pPr>
            <w:r w:rsidRPr="00C45F92">
              <w:rPr>
                <w:rFonts w:ascii="Times New Roman" w:eastAsiaTheme="minorHAnsi" w:hAnsi="Times New Roman" w:cs="Times New Roman"/>
                <w:color w:val="000000" w:themeColor="text1"/>
                <w:lang w:eastAsia="en-US"/>
              </w:rPr>
              <w:t>Postupná implementácia opatrení na zefektívnenie prevádzky Slovenského vodohospodárskeho podniku prinesie do roku 2020 o 20 mil. eur nižšie ročné prevádzkové náklady.</w:t>
            </w:r>
          </w:p>
          <w:p w:rsidR="007D13F3" w:rsidRPr="00C45F92" w:rsidRDefault="007D13F3" w:rsidP="00465CAC">
            <w:pPr>
              <w:numPr>
                <w:ilvl w:val="0"/>
                <w:numId w:val="44"/>
              </w:numPr>
              <w:jc w:val="both"/>
              <w:rPr>
                <w:rFonts w:ascii="Times New Roman" w:eastAsiaTheme="minorHAnsi" w:hAnsi="Times New Roman" w:cs="Times New Roman"/>
                <w:color w:val="000000" w:themeColor="text1"/>
                <w:lang w:eastAsia="en-US"/>
              </w:rPr>
            </w:pPr>
            <w:proofErr w:type="spellStart"/>
            <w:r w:rsidRPr="00C45F92">
              <w:rPr>
                <w:rFonts w:ascii="Times New Roman" w:eastAsiaTheme="minorHAnsi" w:hAnsi="Times New Roman" w:cs="Times New Roman"/>
                <w:color w:val="000000" w:themeColor="text1"/>
                <w:lang w:eastAsia="en-US"/>
              </w:rPr>
              <w:t>Pripojenosť</w:t>
            </w:r>
            <w:proofErr w:type="spellEnd"/>
            <w:r w:rsidRPr="00C45F92">
              <w:rPr>
                <w:rFonts w:ascii="Times New Roman" w:eastAsiaTheme="minorHAnsi" w:hAnsi="Times New Roman" w:cs="Times New Roman"/>
                <w:color w:val="000000" w:themeColor="text1"/>
                <w:lang w:eastAsia="en-US"/>
              </w:rPr>
              <w:t xml:space="preserve"> obyvateľstva na verejnú kanalizáciu sa môže zvýšiť </w:t>
            </w:r>
            <w:r w:rsidR="00B125B2">
              <w:rPr>
                <w:rFonts w:ascii="Times New Roman" w:eastAsiaTheme="minorHAnsi" w:hAnsi="Times New Roman" w:cs="Times New Roman"/>
                <w:color w:val="000000" w:themeColor="text1"/>
                <w:lang w:eastAsia="en-US"/>
              </w:rPr>
              <w:br/>
            </w:r>
            <w:r w:rsidRPr="00C45F92">
              <w:rPr>
                <w:rFonts w:ascii="Times New Roman" w:eastAsiaTheme="minorHAnsi" w:hAnsi="Times New Roman" w:cs="Times New Roman"/>
                <w:color w:val="000000" w:themeColor="text1"/>
                <w:lang w:eastAsia="en-US"/>
              </w:rPr>
              <w:t>o 240 000 pripojených obyvateľov.</w:t>
            </w:r>
          </w:p>
          <w:p w:rsidR="007D13F3" w:rsidRPr="00C45F92" w:rsidRDefault="007D13F3" w:rsidP="00465CAC">
            <w:pPr>
              <w:numPr>
                <w:ilvl w:val="0"/>
                <w:numId w:val="44"/>
              </w:numPr>
              <w:jc w:val="both"/>
              <w:rPr>
                <w:rFonts w:ascii="Times New Roman" w:eastAsiaTheme="minorHAnsi" w:hAnsi="Times New Roman" w:cs="Times New Roman"/>
                <w:color w:val="000000" w:themeColor="text1"/>
                <w:lang w:eastAsia="en-US"/>
              </w:rPr>
            </w:pPr>
            <w:r w:rsidRPr="00C45F92">
              <w:rPr>
                <w:rFonts w:ascii="Times New Roman" w:eastAsiaTheme="minorHAnsi" w:hAnsi="Times New Roman" w:cs="Times New Roman"/>
                <w:color w:val="000000" w:themeColor="text1"/>
                <w:lang w:eastAsia="en-US"/>
              </w:rPr>
              <w:t xml:space="preserve">Lepšie dodržiavanie existujúcej </w:t>
            </w:r>
            <w:proofErr w:type="spellStart"/>
            <w:r w:rsidRPr="00C45F92">
              <w:rPr>
                <w:rFonts w:ascii="Times New Roman" w:eastAsiaTheme="minorHAnsi" w:hAnsi="Times New Roman" w:cs="Times New Roman"/>
                <w:color w:val="000000" w:themeColor="text1"/>
                <w:lang w:eastAsia="en-US"/>
              </w:rPr>
              <w:t>prioritizácie</w:t>
            </w:r>
            <w:proofErr w:type="spellEnd"/>
            <w:r w:rsidRPr="00C45F92">
              <w:rPr>
                <w:rFonts w:ascii="Times New Roman" w:eastAsiaTheme="minorHAnsi" w:hAnsi="Times New Roman" w:cs="Times New Roman"/>
                <w:color w:val="000000" w:themeColor="text1"/>
                <w:lang w:eastAsia="en-US"/>
              </w:rPr>
              <w:t xml:space="preserve"> </w:t>
            </w:r>
            <w:r w:rsidR="00B125B2">
              <w:rPr>
                <w:rFonts w:ascii="Times New Roman" w:eastAsiaTheme="minorHAnsi" w:hAnsi="Times New Roman" w:cs="Times New Roman"/>
                <w:color w:val="000000" w:themeColor="text1"/>
                <w:lang w:eastAsia="en-US"/>
              </w:rPr>
              <w:t>na</w:t>
            </w:r>
            <w:r w:rsidRPr="00C45F92">
              <w:rPr>
                <w:rFonts w:ascii="Times New Roman" w:eastAsiaTheme="minorHAnsi" w:hAnsi="Times New Roman" w:cs="Times New Roman"/>
                <w:color w:val="000000" w:themeColor="text1"/>
                <w:lang w:eastAsia="en-US"/>
              </w:rPr>
              <w:t xml:space="preserve"> nové protipovodňové projekty prinesie ročne 13 mil. eur v odvrátených škodách.</w:t>
            </w:r>
          </w:p>
          <w:p w:rsidR="007D13F3" w:rsidRPr="00C45F92" w:rsidRDefault="007D13F3" w:rsidP="00465CAC">
            <w:pPr>
              <w:numPr>
                <w:ilvl w:val="0"/>
                <w:numId w:val="44"/>
              </w:numPr>
              <w:jc w:val="both"/>
              <w:rPr>
                <w:rFonts w:ascii="Times New Roman" w:eastAsiaTheme="minorHAnsi" w:hAnsi="Times New Roman" w:cs="Times New Roman"/>
                <w:color w:val="000000" w:themeColor="text1"/>
                <w:lang w:eastAsia="en-US"/>
              </w:rPr>
            </w:pPr>
            <w:r w:rsidRPr="00C45F92">
              <w:rPr>
                <w:rFonts w:ascii="Times New Roman" w:eastAsiaTheme="minorHAnsi" w:hAnsi="Times New Roman" w:cs="Times New Roman"/>
                <w:color w:val="000000" w:themeColor="text1"/>
                <w:lang w:eastAsia="en-US"/>
              </w:rPr>
              <w:t xml:space="preserve">Upravením existujúcej </w:t>
            </w:r>
            <w:proofErr w:type="spellStart"/>
            <w:r w:rsidRPr="00C45F92">
              <w:rPr>
                <w:rFonts w:ascii="Times New Roman" w:eastAsiaTheme="minorHAnsi" w:hAnsi="Times New Roman" w:cs="Times New Roman"/>
                <w:color w:val="000000" w:themeColor="text1"/>
                <w:lang w:eastAsia="en-US"/>
              </w:rPr>
              <w:t>prioritizácie</w:t>
            </w:r>
            <w:proofErr w:type="spellEnd"/>
            <w:r w:rsidRPr="00C45F92">
              <w:rPr>
                <w:rFonts w:ascii="Times New Roman" w:eastAsiaTheme="minorHAnsi" w:hAnsi="Times New Roman" w:cs="Times New Roman"/>
                <w:color w:val="000000" w:themeColor="text1"/>
                <w:lang w:eastAsia="en-US"/>
              </w:rPr>
              <w:t xml:space="preserve"> projektov na základe kvantifikácie čo najväčšieho množstva hodnotiacich kritérií sa identifikuje presnejší zásobník projektov z hľadiska dôležitosti.</w:t>
            </w:r>
          </w:p>
          <w:p w:rsidR="007D13F3" w:rsidRPr="00C45F92" w:rsidRDefault="007D13F3" w:rsidP="00465CAC">
            <w:pPr>
              <w:keepNext/>
              <w:keepLines/>
              <w:spacing w:before="240" w:after="120" w:line="276" w:lineRule="auto"/>
              <w:outlineLvl w:val="1"/>
              <w:rPr>
                <w:rFonts w:ascii="Times New Roman" w:eastAsiaTheme="majorEastAsia" w:hAnsi="Times New Roman" w:cs="Times New Roman"/>
                <w:b/>
                <w:color w:val="000000" w:themeColor="text1"/>
                <w:sz w:val="26"/>
                <w:szCs w:val="26"/>
                <w:lang w:eastAsia="en-US"/>
              </w:rPr>
            </w:pPr>
            <w:r w:rsidRPr="00C45F92">
              <w:rPr>
                <w:rFonts w:ascii="Times New Roman" w:eastAsiaTheme="majorEastAsia" w:hAnsi="Times New Roman" w:cs="Times New Roman"/>
                <w:b/>
                <w:color w:val="000000" w:themeColor="text1"/>
                <w:sz w:val="26"/>
                <w:szCs w:val="26"/>
                <w:lang w:eastAsia="en-US"/>
              </w:rPr>
              <w:t>Odpadové hospodárstvo</w:t>
            </w:r>
          </w:p>
          <w:p w:rsidR="007D13F3" w:rsidRPr="00C45F92" w:rsidRDefault="007D13F3" w:rsidP="00465CAC">
            <w:pPr>
              <w:ind w:firstLine="708"/>
              <w:jc w:val="both"/>
              <w:textAlignment w:val="baseline"/>
              <w:rPr>
                <w:rFonts w:ascii="Times New Roman" w:hAnsi="Times New Roman" w:cs="Times New Roman"/>
                <w:color w:val="000000" w:themeColor="text1"/>
                <w:lang w:eastAsia="sk-SK"/>
              </w:rPr>
            </w:pPr>
            <w:r w:rsidRPr="00C45F92">
              <w:rPr>
                <w:rFonts w:ascii="Times New Roman" w:hAnsi="Times New Roman" w:cs="Times New Roman"/>
                <w:color w:val="000000" w:themeColor="text1"/>
                <w:lang w:eastAsia="sk-SK"/>
              </w:rPr>
              <w:t xml:space="preserve">Hlavným cieľom je znižovanie negatívnych vplyvov vzniku a nakladania s odpadmi na zdravie ľudí. Jednou z príčin vysokej miery skládkovania namiesto zhodnocovania komunálnych odpadov môžu byť aj nízke poplatky za skládkovanie a s tým súvisiaca slabá motivácia k zvýšeniu úrovne triedeného zberu. Krajiny s vyšším poplatkom vykazujú aj vyššiu mieru recyklácie. </w:t>
            </w:r>
          </w:p>
          <w:p w:rsidR="007D13F3" w:rsidRPr="00C45F92" w:rsidRDefault="007D13F3" w:rsidP="00465CAC">
            <w:pPr>
              <w:ind w:firstLine="708"/>
              <w:jc w:val="both"/>
              <w:textAlignment w:val="baseline"/>
              <w:rPr>
                <w:rFonts w:ascii="Times New Roman" w:hAnsi="Times New Roman" w:cs="Times New Roman"/>
                <w:color w:val="000000" w:themeColor="text1"/>
              </w:rPr>
            </w:pPr>
          </w:p>
          <w:tbl>
            <w:tblPr>
              <w:tblpPr w:leftFromText="141" w:rightFromText="141" w:vertAnchor="text" w:horzAnchor="margin" w:tblpXSpec="center" w:tblpY="19"/>
              <w:tblOverlap w:val="never"/>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249"/>
              <w:gridCol w:w="177"/>
              <w:gridCol w:w="4497"/>
            </w:tblGrid>
            <w:tr w:rsidR="007D13F3" w:rsidRPr="00C45F92" w:rsidTr="00465CAC">
              <w:trPr>
                <w:trHeight w:hRule="exact" w:val="426"/>
              </w:trPr>
              <w:tc>
                <w:tcPr>
                  <w:tcW w:w="2381" w:type="pct"/>
                  <w:tcBorders>
                    <w:top w:val="nil"/>
                    <w:left w:val="nil"/>
                    <w:bottom w:val="single" w:sz="4" w:space="0" w:color="auto"/>
                    <w:right w:val="nil"/>
                  </w:tcBorders>
                  <w:shd w:val="clear" w:color="auto" w:fill="auto"/>
                  <w:vAlign w:val="center"/>
                </w:tcPr>
                <w:p w:rsidR="007D13F3" w:rsidRPr="009C37FC" w:rsidRDefault="007D13F3" w:rsidP="00465CAC">
                  <w:pPr>
                    <w:keepNext/>
                    <w:keepLines/>
                    <w:rPr>
                      <w:rFonts w:ascii="Times New Roman" w:eastAsia="Calibri" w:hAnsi="Times New Roman" w:cs="Times New Roman"/>
                      <w:i/>
                      <w:iCs/>
                      <w:color w:val="000000" w:themeColor="text1"/>
                      <w:sz w:val="20"/>
                      <w:szCs w:val="18"/>
                      <w:lang w:eastAsia="sk-SK"/>
                    </w:rPr>
                  </w:pPr>
                  <w:r w:rsidRPr="009C37FC">
                    <w:rPr>
                      <w:rFonts w:ascii="Times New Roman" w:hAnsi="Times New Roman" w:cs="Times New Roman"/>
                      <w:b/>
                      <w:color w:val="000000" w:themeColor="text1"/>
                      <w:sz w:val="20"/>
                      <w:szCs w:val="18"/>
                      <w:lang w:eastAsia="sk-SK"/>
                    </w:rPr>
                    <w:t>Graf: Nízka miera</w:t>
                  </w:r>
                  <w:r w:rsidRPr="009C37FC">
                    <w:rPr>
                      <w:rFonts w:ascii="Times New Roman" w:eastAsia="Calibri" w:hAnsi="Times New Roman" w:cs="Times New Roman"/>
                      <w:b/>
                      <w:iCs/>
                      <w:color w:val="000000" w:themeColor="text1"/>
                      <w:sz w:val="20"/>
                      <w:szCs w:val="18"/>
                      <w:lang w:eastAsia="sk-SK"/>
                    </w:rPr>
                    <w:t xml:space="preserve"> recyklácie komunálu, 2015 (v %)</w:t>
                  </w:r>
                </w:p>
              </w:tc>
              <w:tc>
                <w:tcPr>
                  <w:tcW w:w="99" w:type="pct"/>
                  <w:tcBorders>
                    <w:top w:val="nil"/>
                    <w:left w:val="nil"/>
                    <w:bottom w:val="nil"/>
                    <w:right w:val="nil"/>
                  </w:tcBorders>
                  <w:shd w:val="clear" w:color="auto" w:fill="auto"/>
                  <w:vAlign w:val="center"/>
                </w:tcPr>
                <w:p w:rsidR="007D13F3" w:rsidRPr="009C37FC" w:rsidRDefault="007D13F3" w:rsidP="00465CAC">
                  <w:pPr>
                    <w:keepNext/>
                    <w:keepLines/>
                    <w:rPr>
                      <w:rFonts w:ascii="Times New Roman" w:eastAsia="Calibri" w:hAnsi="Times New Roman" w:cs="Times New Roman"/>
                      <w:b/>
                      <w:color w:val="000000" w:themeColor="text1"/>
                      <w:sz w:val="20"/>
                      <w:szCs w:val="18"/>
                    </w:rPr>
                  </w:pPr>
                </w:p>
              </w:tc>
              <w:tc>
                <w:tcPr>
                  <w:tcW w:w="2520" w:type="pct"/>
                  <w:tcBorders>
                    <w:top w:val="nil"/>
                    <w:left w:val="nil"/>
                    <w:bottom w:val="single" w:sz="4" w:space="0" w:color="auto"/>
                    <w:right w:val="nil"/>
                  </w:tcBorders>
                  <w:shd w:val="clear" w:color="auto" w:fill="auto"/>
                  <w:vAlign w:val="center"/>
                </w:tcPr>
                <w:p w:rsidR="007D13F3" w:rsidRPr="009C37FC" w:rsidRDefault="007D13F3" w:rsidP="00465CAC">
                  <w:pPr>
                    <w:keepNext/>
                    <w:keepLines/>
                    <w:rPr>
                      <w:rFonts w:ascii="Times New Roman" w:hAnsi="Times New Roman" w:cs="Times New Roman"/>
                      <w:i/>
                      <w:iCs/>
                      <w:color w:val="000000" w:themeColor="text1"/>
                      <w:sz w:val="20"/>
                      <w:szCs w:val="18"/>
                      <w:lang w:eastAsia="sk-SK"/>
                    </w:rPr>
                  </w:pPr>
                  <w:r w:rsidRPr="009C37FC">
                    <w:rPr>
                      <w:rFonts w:ascii="Times New Roman" w:hAnsi="Times New Roman" w:cs="Times New Roman"/>
                      <w:b/>
                      <w:color w:val="000000" w:themeColor="text1"/>
                      <w:sz w:val="20"/>
                      <w:szCs w:val="18"/>
                      <w:lang w:eastAsia="sk-SK"/>
                    </w:rPr>
                    <w:t>Graf: Vysoká miera skládkovania odpadov, 2014 (v %)</w:t>
                  </w:r>
                </w:p>
              </w:tc>
            </w:tr>
            <w:tr w:rsidR="007D13F3" w:rsidRPr="00C45F92" w:rsidTr="00465CAC">
              <w:trPr>
                <w:trHeight w:val="4249"/>
              </w:trPr>
              <w:tc>
                <w:tcPr>
                  <w:tcW w:w="2381" w:type="pct"/>
                  <w:tcBorders>
                    <w:top w:val="single" w:sz="4" w:space="0" w:color="auto"/>
                    <w:left w:val="nil"/>
                    <w:bottom w:val="single" w:sz="4" w:space="0" w:color="auto"/>
                    <w:right w:val="nil"/>
                  </w:tcBorders>
                  <w:vAlign w:val="center"/>
                </w:tcPr>
                <w:p w:rsidR="007D13F3" w:rsidRPr="00C45F92" w:rsidRDefault="007D13F3" w:rsidP="00465CAC">
                  <w:pPr>
                    <w:keepNext/>
                    <w:keepLines/>
                    <w:jc w:val="center"/>
                    <w:rPr>
                      <w:rFonts w:ascii="Arial Narrow" w:eastAsia="Calibri" w:hAnsi="Arial Narrow" w:cs="Arial"/>
                      <w:b/>
                      <w:color w:val="000000" w:themeColor="text1"/>
                      <w:sz w:val="20"/>
                      <w:szCs w:val="20"/>
                    </w:rPr>
                  </w:pPr>
                  <w:r>
                    <w:rPr>
                      <w:noProof/>
                      <w:lang w:eastAsia="sk-SK"/>
                    </w:rPr>
                    <mc:AlternateContent>
                      <mc:Choice Requires="wps">
                        <w:drawing>
                          <wp:anchor distT="0" distB="0" distL="114300" distR="114300" simplePos="0" relativeHeight="251666432" behindDoc="0" locked="0" layoutInCell="1" allowOverlap="1" wp14:anchorId="5762ABFD" wp14:editId="7F6CDE66">
                            <wp:simplePos x="0" y="0"/>
                            <wp:positionH relativeFrom="column">
                              <wp:posOffset>2179955</wp:posOffset>
                            </wp:positionH>
                            <wp:positionV relativeFrom="paragraph">
                              <wp:posOffset>471170</wp:posOffset>
                            </wp:positionV>
                            <wp:extent cx="471170" cy="266700"/>
                            <wp:effectExtent l="0" t="0" r="0" b="0"/>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170" cy="266700"/>
                                    </a:xfrm>
                                    <a:prstGeom prst="rect">
                                      <a:avLst/>
                                    </a:prstGeom>
                                  </wps:spPr>
                                  <wps:txbx>
                                    <w:txbxContent>
                                      <w:p w:rsidR="003C2539" w:rsidRDefault="003C2539" w:rsidP="007D13F3">
                                        <w:pPr>
                                          <w:pStyle w:val="Normlnywebov"/>
                                        </w:pPr>
                                        <w:r>
                                          <w:rPr>
                                            <w:rFonts w:ascii="Arial Narrow" w:hAnsi="Arial Narrow" w:cstheme="minorBidi"/>
                                            <w:sz w:val="20"/>
                                            <w:szCs w:val="20"/>
                                          </w:rPr>
                                          <w:t>EU28</w:t>
                                        </w:r>
                                      </w:p>
                                    </w:txbxContent>
                                  </wps:txbx>
                                  <wps:bodyPr wrap="square" rtlCol="0"/>
                                </wps:wsp>
                              </a:graphicData>
                            </a:graphic>
                            <wp14:sizeRelH relativeFrom="margin">
                              <wp14:pctWidth>0</wp14:pctWidth>
                            </wp14:sizeRelH>
                            <wp14:sizeRelV relativeFrom="margin">
                              <wp14:pctHeight>0</wp14:pctHeight>
                            </wp14:sizeRelV>
                          </wp:anchor>
                        </w:drawing>
                      </mc:Choice>
                      <mc:Fallback>
                        <w:pict>
                          <v:shape w14:anchorId="5762ABFD" id="Textové pole 15" o:spid="_x0000_s1031" type="#_x0000_t202" style="position:absolute;left:0;text-align:left;margin-left:171.65pt;margin-top:37.1pt;width:37.1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" filled="f" stroked="f">
                            <v:path arrowok="t"/>
                            <v:textbox>
                              <w:txbxContent>
                                <w:p w:rsidR="003C2539" w:rsidRDefault="003C2539" w:rsidP="007D13F3">
                                  <w:pPr>
                                    <w:pStyle w:val="Normlnywebov"/>
                                  </w:pPr>
                                  <w:r>
                                    <w:rPr>
                                      <w:rFonts w:ascii="Arial Narrow" w:hAnsi="Arial Narrow" w:cstheme="minorBidi"/>
                                      <w:sz w:val="20"/>
                                      <w:szCs w:val="20"/>
                                    </w:rPr>
                                    <w:t>EU28</w:t>
                                  </w:r>
                                </w:p>
                              </w:txbxContent>
                            </v:textbox>
                          </v:shape>
                        </w:pict>
                      </mc:Fallback>
                    </mc:AlternateContent>
                  </w:r>
                  <w:r w:rsidRPr="00C45F92">
                    <w:rPr>
                      <w:noProof/>
                      <w:lang w:eastAsia="sk-SK"/>
                    </w:rPr>
                    <w:drawing>
                      <wp:inline distT="0" distB="0" distL="0" distR="0" wp14:anchorId="0E9CF8ED" wp14:editId="370657F7">
                        <wp:extent cx="2651760" cy="242086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99" w:type="pct"/>
                  <w:tcBorders>
                    <w:top w:val="nil"/>
                    <w:left w:val="nil"/>
                    <w:bottom w:val="nil"/>
                    <w:right w:val="nil"/>
                  </w:tcBorders>
                  <w:vAlign w:val="center"/>
                </w:tcPr>
                <w:p w:rsidR="007D13F3" w:rsidRPr="00C45F92" w:rsidRDefault="007D13F3" w:rsidP="00465CAC">
                  <w:pPr>
                    <w:keepNext/>
                    <w:keepLines/>
                    <w:jc w:val="center"/>
                    <w:rPr>
                      <w:rFonts w:ascii="Arial Narrow" w:eastAsia="Calibri" w:hAnsi="Arial Narrow" w:cs="Arial"/>
                      <w:b/>
                      <w:color w:val="000000" w:themeColor="text1"/>
                      <w:sz w:val="20"/>
                      <w:szCs w:val="20"/>
                    </w:rPr>
                  </w:pPr>
                </w:p>
              </w:tc>
              <w:tc>
                <w:tcPr>
                  <w:tcW w:w="2520" w:type="pct"/>
                  <w:tcBorders>
                    <w:top w:val="single" w:sz="4" w:space="0" w:color="auto"/>
                    <w:left w:val="nil"/>
                    <w:bottom w:val="single" w:sz="4" w:space="0" w:color="auto"/>
                    <w:right w:val="nil"/>
                  </w:tcBorders>
                  <w:vAlign w:val="center"/>
                </w:tcPr>
                <w:p w:rsidR="007D13F3" w:rsidRPr="00C45F92" w:rsidRDefault="007D13F3" w:rsidP="00465CAC">
                  <w:pPr>
                    <w:keepNext/>
                    <w:keepLines/>
                    <w:jc w:val="center"/>
                    <w:rPr>
                      <w:rFonts w:ascii="Arial Narrow" w:hAnsi="Arial Narrow" w:cs="Segoe UI"/>
                      <w:b/>
                      <w:bCs/>
                      <w:color w:val="000000" w:themeColor="text1"/>
                      <w:sz w:val="20"/>
                      <w:lang w:eastAsia="sk-SK"/>
                    </w:rPr>
                  </w:pPr>
                  <w:r w:rsidRPr="00C45F92">
                    <w:rPr>
                      <w:noProof/>
                      <w:lang w:eastAsia="sk-SK"/>
                    </w:rPr>
                    <w:drawing>
                      <wp:inline distT="0" distB="0" distL="0" distR="0" wp14:anchorId="09697D98" wp14:editId="2F03E20C">
                        <wp:extent cx="2811780" cy="2255605"/>
                        <wp:effectExtent l="0" t="0" r="762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7D13F3" w:rsidRPr="00C45F92" w:rsidTr="00465CAC">
              <w:trPr>
                <w:trHeight w:hRule="exact" w:val="236"/>
              </w:trPr>
              <w:tc>
                <w:tcPr>
                  <w:tcW w:w="2381" w:type="pct"/>
                  <w:tcBorders>
                    <w:top w:val="single" w:sz="4" w:space="0" w:color="auto"/>
                    <w:left w:val="nil"/>
                    <w:bottom w:val="nil"/>
                    <w:right w:val="nil"/>
                  </w:tcBorders>
                  <w:vAlign w:val="center"/>
                </w:tcPr>
                <w:p w:rsidR="007D13F3" w:rsidRPr="00C45F92" w:rsidRDefault="007D13F3" w:rsidP="00465CAC">
                  <w:pPr>
                    <w:keepNext/>
                    <w:keepLines/>
                    <w:contextualSpacing/>
                    <w:jc w:val="right"/>
                    <w:rPr>
                      <w:rFonts w:ascii="Arial Narrow" w:eastAsia="Calibri" w:hAnsi="Arial Narrow" w:cs="Arial"/>
                      <w:i/>
                      <w:color w:val="000000" w:themeColor="text1"/>
                      <w:sz w:val="16"/>
                      <w:szCs w:val="16"/>
                    </w:rPr>
                  </w:pPr>
                  <w:r w:rsidRPr="00C45F92">
                    <w:rPr>
                      <w:rFonts w:ascii="Arial Narrow" w:eastAsia="Calibri" w:hAnsi="Arial Narrow" w:cs="Arial"/>
                      <w:i/>
                      <w:iCs/>
                      <w:color w:val="000000" w:themeColor="text1"/>
                      <w:sz w:val="16"/>
                      <w:szCs w:val="16"/>
                    </w:rPr>
                    <w:t xml:space="preserve">Zdroj: </w:t>
                  </w:r>
                  <w:proofErr w:type="spellStart"/>
                  <w:r w:rsidRPr="00C45F92">
                    <w:rPr>
                      <w:rFonts w:ascii="Arial Narrow" w:eastAsia="Calibri" w:hAnsi="Arial Narrow" w:cs="Arial"/>
                      <w:i/>
                      <w:iCs/>
                      <w:color w:val="000000" w:themeColor="text1"/>
                      <w:sz w:val="16"/>
                      <w:szCs w:val="16"/>
                    </w:rPr>
                    <w:t>Eurostat</w:t>
                  </w:r>
                  <w:proofErr w:type="spellEnd"/>
                  <w:r w:rsidRPr="00C45F92">
                    <w:rPr>
                      <w:rFonts w:ascii="Arial Narrow" w:eastAsia="Calibri" w:hAnsi="Arial Narrow" w:cs="Arial"/>
                      <w:i/>
                      <w:iCs/>
                      <w:color w:val="000000" w:themeColor="text1"/>
                      <w:sz w:val="16"/>
                      <w:szCs w:val="16"/>
                    </w:rPr>
                    <w:t xml:space="preserve"> </w:t>
                  </w:r>
                </w:p>
              </w:tc>
              <w:tc>
                <w:tcPr>
                  <w:tcW w:w="99" w:type="pct"/>
                  <w:tcBorders>
                    <w:top w:val="nil"/>
                    <w:left w:val="nil"/>
                    <w:bottom w:val="nil"/>
                    <w:right w:val="nil"/>
                  </w:tcBorders>
                  <w:vAlign w:val="center"/>
                </w:tcPr>
                <w:p w:rsidR="007D13F3" w:rsidRPr="00C45F92" w:rsidRDefault="007D13F3" w:rsidP="00465CAC">
                  <w:pPr>
                    <w:keepNext/>
                    <w:keepLines/>
                    <w:contextualSpacing/>
                    <w:jc w:val="center"/>
                    <w:rPr>
                      <w:rFonts w:ascii="Arial Narrow" w:eastAsia="Calibri" w:hAnsi="Arial Narrow" w:cs="Arial"/>
                      <w:i/>
                      <w:color w:val="000000" w:themeColor="text1"/>
                      <w:sz w:val="16"/>
                      <w:szCs w:val="14"/>
                    </w:rPr>
                  </w:pPr>
                </w:p>
              </w:tc>
              <w:tc>
                <w:tcPr>
                  <w:tcW w:w="2520" w:type="pct"/>
                  <w:tcBorders>
                    <w:top w:val="single" w:sz="4" w:space="0" w:color="auto"/>
                    <w:left w:val="nil"/>
                    <w:bottom w:val="nil"/>
                    <w:right w:val="nil"/>
                  </w:tcBorders>
                  <w:vAlign w:val="center"/>
                </w:tcPr>
                <w:p w:rsidR="007D13F3" w:rsidRPr="00C45F92" w:rsidRDefault="007D13F3" w:rsidP="00465CAC">
                  <w:pPr>
                    <w:keepNext/>
                    <w:keepLines/>
                    <w:contextualSpacing/>
                    <w:jc w:val="right"/>
                    <w:rPr>
                      <w:rFonts w:ascii="Arial Narrow" w:eastAsia="Calibri" w:hAnsi="Arial Narrow" w:cs="Arial"/>
                      <w:i/>
                      <w:color w:val="000000" w:themeColor="text1"/>
                      <w:sz w:val="16"/>
                      <w:szCs w:val="16"/>
                    </w:rPr>
                  </w:pPr>
                  <w:r w:rsidRPr="00C45F92">
                    <w:rPr>
                      <w:rFonts w:ascii="Arial Narrow" w:eastAsia="Calibri" w:hAnsi="Arial Narrow" w:cs="Arial"/>
                      <w:i/>
                      <w:iCs/>
                      <w:color w:val="000000" w:themeColor="text1"/>
                      <w:sz w:val="16"/>
                      <w:szCs w:val="16"/>
                    </w:rPr>
                    <w:t xml:space="preserve">Zdroj: </w:t>
                  </w:r>
                  <w:proofErr w:type="spellStart"/>
                  <w:r w:rsidRPr="00C45F92">
                    <w:rPr>
                      <w:rFonts w:ascii="Arial Narrow" w:eastAsia="Calibri" w:hAnsi="Arial Narrow" w:cs="Arial"/>
                      <w:i/>
                      <w:iCs/>
                      <w:color w:val="000000" w:themeColor="text1"/>
                      <w:sz w:val="16"/>
                      <w:szCs w:val="16"/>
                    </w:rPr>
                    <w:t>Eurostat</w:t>
                  </w:r>
                  <w:proofErr w:type="spellEnd"/>
                  <w:r w:rsidRPr="00C45F92">
                    <w:rPr>
                      <w:rFonts w:ascii="Arial Narrow" w:eastAsia="Calibri" w:hAnsi="Arial Narrow" w:cs="Arial"/>
                      <w:i/>
                      <w:iCs/>
                      <w:color w:val="000000" w:themeColor="text1"/>
                      <w:sz w:val="16"/>
                      <w:szCs w:val="16"/>
                    </w:rPr>
                    <w:t xml:space="preserve"> </w:t>
                  </w:r>
                </w:p>
              </w:tc>
            </w:tr>
          </w:tbl>
          <w:p w:rsidR="007D13F3" w:rsidRPr="00C45F92" w:rsidRDefault="007D13F3" w:rsidP="00465CAC">
            <w:pPr>
              <w:spacing w:after="120"/>
              <w:jc w:val="both"/>
              <w:rPr>
                <w:rFonts w:ascii="Times New Roman" w:hAnsi="Times New Roman" w:cs="Times New Roman"/>
                <w:b/>
                <w:color w:val="000000" w:themeColor="text1"/>
              </w:rPr>
            </w:pPr>
          </w:p>
          <w:p w:rsidR="007D13F3" w:rsidRPr="00C45F92" w:rsidRDefault="007D13F3" w:rsidP="00465CAC">
            <w:pPr>
              <w:spacing w:after="120"/>
              <w:jc w:val="both"/>
              <w:rPr>
                <w:rFonts w:ascii="Times New Roman" w:hAnsi="Times New Roman" w:cs="Times New Roman"/>
                <w:b/>
                <w:color w:val="000000" w:themeColor="text1"/>
              </w:rPr>
            </w:pPr>
            <w:r w:rsidRPr="00C45F92">
              <w:rPr>
                <w:rFonts w:ascii="Times New Roman" w:hAnsi="Times New Roman" w:cs="Times New Roman"/>
                <w:b/>
                <w:color w:val="000000" w:themeColor="text1"/>
              </w:rPr>
              <w:t>Opatrenia</w:t>
            </w:r>
          </w:p>
          <w:p w:rsidR="007D13F3" w:rsidRPr="00C45F92" w:rsidRDefault="00036B1A" w:rsidP="00465CAC">
            <w:pPr>
              <w:numPr>
                <w:ilvl w:val="0"/>
                <w:numId w:val="44"/>
              </w:numPr>
              <w:jc w:val="both"/>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Do roku 2022 sa p</w:t>
            </w:r>
            <w:r w:rsidR="007D13F3" w:rsidRPr="00C45F92">
              <w:rPr>
                <w:rFonts w:ascii="Times New Roman" w:eastAsiaTheme="minorHAnsi" w:hAnsi="Times New Roman" w:cs="Times New Roman"/>
                <w:color w:val="000000" w:themeColor="text1"/>
                <w:lang w:eastAsia="en-US"/>
              </w:rPr>
              <w:t>ostupne zvýšia poplatky za skládkovanie a zavedie sa povinný množstvový zber.</w:t>
            </w:r>
          </w:p>
          <w:p w:rsidR="007D13F3" w:rsidRDefault="007D13F3" w:rsidP="00465CAC">
            <w:pPr>
              <w:numPr>
                <w:ilvl w:val="0"/>
                <w:numId w:val="44"/>
              </w:numPr>
              <w:jc w:val="both"/>
              <w:rPr>
                <w:rFonts w:ascii="Times New Roman" w:eastAsiaTheme="minorHAnsi" w:hAnsi="Times New Roman" w:cs="Times New Roman"/>
                <w:color w:val="000000" w:themeColor="text1"/>
                <w:lang w:eastAsia="en-US"/>
              </w:rPr>
            </w:pPr>
            <w:r w:rsidRPr="00C45F92">
              <w:rPr>
                <w:rFonts w:ascii="Times New Roman" w:eastAsiaTheme="minorHAnsi" w:hAnsi="Times New Roman" w:cs="Times New Roman"/>
                <w:color w:val="000000" w:themeColor="text1"/>
                <w:lang w:eastAsia="en-US"/>
              </w:rPr>
              <w:t>Elektronicky sa budú zbierať dáta o spracovateľských zariadeniach a zberných dvoroch s pravidelnou aktualizáciou (kapacita, množstvo odpadu).</w:t>
            </w:r>
          </w:p>
          <w:p w:rsidR="007D13F3" w:rsidRDefault="007D13F3" w:rsidP="00465CAC">
            <w:pPr>
              <w:ind w:left="720"/>
              <w:jc w:val="both"/>
              <w:rPr>
                <w:rFonts w:ascii="Times New Roman" w:eastAsiaTheme="minorHAnsi" w:hAnsi="Times New Roman" w:cs="Times New Roman"/>
                <w:color w:val="000000" w:themeColor="text1"/>
                <w:lang w:eastAsia="en-US"/>
              </w:rPr>
            </w:pPr>
          </w:p>
          <w:p w:rsidR="00B125B2" w:rsidRDefault="00B125B2" w:rsidP="00465CAC">
            <w:pPr>
              <w:ind w:left="720"/>
              <w:jc w:val="both"/>
              <w:rPr>
                <w:rFonts w:ascii="Times New Roman" w:eastAsiaTheme="minorHAnsi" w:hAnsi="Times New Roman" w:cs="Times New Roman"/>
                <w:color w:val="000000" w:themeColor="text1"/>
                <w:lang w:eastAsia="en-US"/>
              </w:rPr>
            </w:pPr>
          </w:p>
          <w:p w:rsidR="00B125B2" w:rsidRDefault="00B125B2" w:rsidP="00465CAC">
            <w:pPr>
              <w:ind w:left="720"/>
              <w:jc w:val="both"/>
              <w:rPr>
                <w:rFonts w:ascii="Times New Roman" w:eastAsiaTheme="minorHAnsi" w:hAnsi="Times New Roman" w:cs="Times New Roman"/>
                <w:color w:val="000000" w:themeColor="text1"/>
                <w:lang w:eastAsia="en-US"/>
              </w:rPr>
            </w:pPr>
          </w:p>
          <w:p w:rsidR="00036B1A" w:rsidRDefault="00036B1A" w:rsidP="00465CAC">
            <w:pPr>
              <w:ind w:left="720"/>
              <w:jc w:val="both"/>
              <w:rPr>
                <w:rFonts w:ascii="Times New Roman" w:eastAsiaTheme="minorHAnsi" w:hAnsi="Times New Roman" w:cs="Times New Roman"/>
                <w:color w:val="000000" w:themeColor="text1"/>
                <w:lang w:eastAsia="en-US"/>
              </w:rPr>
            </w:pPr>
          </w:p>
          <w:p w:rsidR="00B125B2" w:rsidRPr="00C45F92" w:rsidRDefault="00B125B2" w:rsidP="00465CAC">
            <w:pPr>
              <w:ind w:left="720"/>
              <w:jc w:val="both"/>
              <w:rPr>
                <w:rFonts w:ascii="Times New Roman" w:eastAsiaTheme="minorHAnsi" w:hAnsi="Times New Roman" w:cs="Times New Roman"/>
                <w:color w:val="000000" w:themeColor="text1"/>
                <w:lang w:eastAsia="en-US"/>
              </w:rPr>
            </w:pPr>
          </w:p>
          <w:p w:rsidR="007D13F3" w:rsidRPr="00C45F92" w:rsidRDefault="007D13F3" w:rsidP="00465CAC">
            <w:pPr>
              <w:rPr>
                <w:rFonts w:ascii="Times New Roman" w:hAnsi="Times New Roman" w:cs="Times New Roman"/>
                <w:b/>
                <w:color w:val="000000" w:themeColor="text1"/>
              </w:rPr>
            </w:pPr>
            <w:r w:rsidRPr="00C45F92">
              <w:rPr>
                <w:rFonts w:ascii="Times New Roman" w:hAnsi="Times New Roman" w:cs="Times New Roman"/>
                <w:b/>
                <w:color w:val="000000" w:themeColor="text1"/>
              </w:rPr>
              <w:lastRenderedPageBreak/>
              <w:t>Ochrana ovzdušia a zmena klímy</w:t>
            </w:r>
          </w:p>
          <w:p w:rsidR="007D13F3" w:rsidRPr="00C45F92" w:rsidRDefault="007D13F3" w:rsidP="00465CAC">
            <w:pPr>
              <w:rPr>
                <w:rFonts w:ascii="Times New Roman" w:hAnsi="Times New Roman" w:cs="Times New Roman"/>
                <w:b/>
                <w:color w:val="000000" w:themeColor="text1"/>
              </w:rPr>
            </w:pPr>
          </w:p>
          <w:p w:rsidR="007D13F3" w:rsidRPr="00C45F92" w:rsidRDefault="007D13F3" w:rsidP="00465CAC">
            <w:pPr>
              <w:ind w:firstLine="708"/>
              <w:jc w:val="both"/>
              <w:textAlignment w:val="baseline"/>
              <w:rPr>
                <w:rFonts w:ascii="Times New Roman" w:hAnsi="Times New Roman" w:cs="Times New Roman"/>
                <w:color w:val="000000" w:themeColor="text1"/>
                <w:lang w:eastAsia="sk-SK"/>
              </w:rPr>
            </w:pPr>
            <w:r w:rsidRPr="00C45F92">
              <w:rPr>
                <w:rFonts w:ascii="Times New Roman" w:hAnsi="Times New Roman" w:cs="Times New Roman"/>
                <w:color w:val="000000" w:themeColor="text1"/>
              </w:rPr>
              <w:t>Znečistené ovzdušie prachovými časticami na Slovensku spôsobí viac ako 5</w:t>
            </w:r>
            <w:r w:rsidR="00036B1A">
              <w:rPr>
                <w:rFonts w:ascii="Times New Roman" w:hAnsi="Times New Roman" w:cs="Times New Roman"/>
                <w:color w:val="000000" w:themeColor="text1"/>
              </w:rPr>
              <w:t xml:space="preserve"> </w:t>
            </w:r>
            <w:r w:rsidRPr="00C45F92">
              <w:rPr>
                <w:rFonts w:ascii="Times New Roman" w:hAnsi="Times New Roman" w:cs="Times New Roman"/>
                <w:color w:val="000000" w:themeColor="text1"/>
              </w:rPr>
              <w:t>600 predčasných úmrtí. Ročne tak celá spoločnosť stratí 63 100 rokov života, čo predstavuje náklad v objeme takmer 2 mld. eur ročne.</w:t>
            </w:r>
            <w:r w:rsidRPr="00C45F92">
              <w:rPr>
                <w:rFonts w:ascii="Times New Roman" w:hAnsi="Times New Roman" w:cs="Times New Roman"/>
                <w:color w:val="000000" w:themeColor="text1"/>
                <w:lang w:eastAsia="sk-SK"/>
              </w:rPr>
              <w:t xml:space="preserve"> Doterajšie výdavky boli zamerané primárne na redukciu emisií z priemyslu. </w:t>
            </w:r>
            <w:r w:rsidR="00B125B2">
              <w:rPr>
                <w:rFonts w:ascii="Times New Roman" w:hAnsi="Times New Roman" w:cs="Times New Roman"/>
                <w:color w:val="000000" w:themeColor="text1"/>
                <w:lang w:eastAsia="sk-SK"/>
              </w:rPr>
              <w:t>Na</w:t>
            </w:r>
            <w:r w:rsidRPr="00C45F92">
              <w:rPr>
                <w:rFonts w:ascii="Times New Roman" w:hAnsi="Times New Roman" w:cs="Times New Roman"/>
                <w:color w:val="000000" w:themeColor="text1"/>
                <w:lang w:eastAsia="sk-SK"/>
              </w:rPr>
              <w:t xml:space="preserve"> zvýšenie kvality ovzdušia sú rozhodujúce emisie vypúšťané z lokálnych kúrenísk a v doprave. Zvýšenie (rozšírenie) environmentálnych daní, prípadne obmedzenie existujúcich výnimiek (napr. oslobodenie spotreby palív v domácnostiach) by prispelo k motivácií využívať energiu efektívnejšie. </w:t>
            </w:r>
          </w:p>
          <w:p w:rsidR="007D13F3" w:rsidRPr="00C45F92" w:rsidRDefault="007D13F3" w:rsidP="00465CAC">
            <w:pPr>
              <w:jc w:val="both"/>
              <w:textAlignment w:val="baseline"/>
              <w:rPr>
                <w:rFonts w:ascii="Arial Narrow" w:hAnsi="Arial Narrow" w:cs="Segoe UI"/>
                <w:color w:val="000000" w:themeColor="text1"/>
                <w:lang w:eastAsia="sk-SK"/>
              </w:rPr>
            </w:pPr>
          </w:p>
          <w:tbl>
            <w:tblPr>
              <w:tblpPr w:leftFromText="141" w:rightFromText="141" w:vertAnchor="text" w:horzAnchor="margin" w:tblpXSpec="center" w:tblpY="19"/>
              <w:tblOverlap w:val="never"/>
              <w:tblW w:w="492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187"/>
              <w:gridCol w:w="174"/>
              <w:gridCol w:w="4432"/>
            </w:tblGrid>
            <w:tr w:rsidR="007D13F3" w:rsidRPr="00B125B2" w:rsidTr="00036B1A">
              <w:trPr>
                <w:trHeight w:hRule="exact" w:val="716"/>
              </w:trPr>
              <w:tc>
                <w:tcPr>
                  <w:tcW w:w="2381" w:type="pct"/>
                  <w:tcBorders>
                    <w:top w:val="nil"/>
                    <w:left w:val="nil"/>
                    <w:bottom w:val="single" w:sz="4" w:space="0" w:color="auto"/>
                    <w:right w:val="nil"/>
                  </w:tcBorders>
                  <w:shd w:val="clear" w:color="auto" w:fill="auto"/>
                  <w:vAlign w:val="center"/>
                </w:tcPr>
                <w:p w:rsidR="007D13F3" w:rsidRPr="00B125B2" w:rsidRDefault="007D13F3" w:rsidP="00465CAC">
                  <w:pPr>
                    <w:rPr>
                      <w:rFonts w:ascii="Times New Roman" w:hAnsi="Times New Roman" w:cs="Times New Roman"/>
                      <w:b/>
                      <w:color w:val="000000" w:themeColor="text1"/>
                      <w:sz w:val="20"/>
                      <w:szCs w:val="20"/>
                    </w:rPr>
                  </w:pPr>
                  <w:r w:rsidRPr="00B125B2">
                    <w:rPr>
                      <w:rFonts w:ascii="Times New Roman" w:eastAsia="Calibri" w:hAnsi="Times New Roman" w:cs="Times New Roman"/>
                      <w:b/>
                      <w:color w:val="000000" w:themeColor="text1"/>
                      <w:sz w:val="20"/>
                      <w:szCs w:val="20"/>
                    </w:rPr>
                    <w:t>Graf: Ročná priemerná koncentrácia PM</w:t>
                  </w:r>
                  <w:r w:rsidRPr="00B125B2">
                    <w:rPr>
                      <w:rFonts w:ascii="Times New Roman" w:eastAsia="Calibri" w:hAnsi="Times New Roman" w:cs="Times New Roman"/>
                      <w:b/>
                      <w:color w:val="000000" w:themeColor="text1"/>
                      <w:sz w:val="20"/>
                      <w:szCs w:val="20"/>
                      <w:vertAlign w:val="subscript"/>
                    </w:rPr>
                    <w:t>2,5</w:t>
                  </w:r>
                  <w:r w:rsidR="00036B1A">
                    <w:rPr>
                      <w:rFonts w:ascii="Times New Roman" w:eastAsia="Calibri" w:hAnsi="Times New Roman" w:cs="Times New Roman"/>
                      <w:b/>
                      <w:color w:val="000000" w:themeColor="text1"/>
                      <w:sz w:val="20"/>
                      <w:szCs w:val="20"/>
                      <w:vertAlign w:val="subscript"/>
                    </w:rPr>
                    <w:t xml:space="preserve">, </w:t>
                  </w:r>
                  <w:r w:rsidR="00036B1A" w:rsidRPr="00036B1A">
                    <w:rPr>
                      <w:rFonts w:ascii="Times New Roman" w:eastAsia="Calibri" w:hAnsi="Times New Roman" w:cs="Times New Roman"/>
                      <w:b/>
                      <w:color w:val="000000" w:themeColor="text1"/>
                      <w:sz w:val="20"/>
                      <w:szCs w:val="20"/>
                    </w:rPr>
                    <w:t>2014</w:t>
                  </w:r>
                </w:p>
              </w:tc>
              <w:tc>
                <w:tcPr>
                  <w:tcW w:w="99" w:type="pct"/>
                  <w:tcBorders>
                    <w:top w:val="nil"/>
                    <w:left w:val="nil"/>
                    <w:bottom w:val="nil"/>
                    <w:right w:val="nil"/>
                  </w:tcBorders>
                  <w:shd w:val="clear" w:color="auto" w:fill="auto"/>
                  <w:vAlign w:val="center"/>
                </w:tcPr>
                <w:p w:rsidR="007D13F3" w:rsidRPr="00B125B2" w:rsidRDefault="007D13F3" w:rsidP="00465CAC">
                  <w:pPr>
                    <w:rPr>
                      <w:rFonts w:ascii="Times New Roman" w:hAnsi="Times New Roman" w:cs="Times New Roman"/>
                      <w:b/>
                      <w:color w:val="000000" w:themeColor="text1"/>
                      <w:sz w:val="20"/>
                      <w:szCs w:val="20"/>
                    </w:rPr>
                  </w:pPr>
                </w:p>
              </w:tc>
              <w:tc>
                <w:tcPr>
                  <w:tcW w:w="2520" w:type="pct"/>
                  <w:tcBorders>
                    <w:top w:val="nil"/>
                    <w:left w:val="nil"/>
                    <w:bottom w:val="single" w:sz="4" w:space="0" w:color="auto"/>
                    <w:right w:val="nil"/>
                  </w:tcBorders>
                  <w:shd w:val="clear" w:color="auto" w:fill="auto"/>
                  <w:vAlign w:val="center"/>
                </w:tcPr>
                <w:p w:rsidR="007D13F3" w:rsidRPr="00B125B2" w:rsidRDefault="007D13F3" w:rsidP="00465CAC">
                  <w:pPr>
                    <w:rPr>
                      <w:rFonts w:ascii="Times New Roman" w:eastAsia="Calibri" w:hAnsi="Times New Roman" w:cs="Times New Roman"/>
                      <w:b/>
                      <w:iCs/>
                      <w:color w:val="000000" w:themeColor="text1"/>
                      <w:sz w:val="20"/>
                      <w:szCs w:val="20"/>
                      <w:lang w:eastAsia="sk-SK"/>
                    </w:rPr>
                  </w:pPr>
                  <w:r w:rsidRPr="00B125B2">
                    <w:rPr>
                      <w:rFonts w:ascii="Times New Roman" w:eastAsia="Calibri" w:hAnsi="Times New Roman" w:cs="Times New Roman"/>
                      <w:b/>
                      <w:iCs/>
                      <w:color w:val="000000" w:themeColor="text1"/>
                      <w:sz w:val="20"/>
                      <w:szCs w:val="20"/>
                      <w:lang w:eastAsia="sk-SK"/>
                    </w:rPr>
                    <w:t>Graf: Priemerný podiel obyvateľstva vystaveného nadmernej koncentrácii častíc PM</w:t>
                  </w:r>
                  <w:r w:rsidRPr="00B125B2">
                    <w:rPr>
                      <w:rFonts w:ascii="Times New Roman" w:eastAsia="Calibri" w:hAnsi="Times New Roman" w:cs="Times New Roman"/>
                      <w:b/>
                      <w:iCs/>
                      <w:color w:val="000000" w:themeColor="text1"/>
                      <w:sz w:val="20"/>
                      <w:szCs w:val="20"/>
                      <w:vertAlign w:val="subscript"/>
                      <w:lang w:eastAsia="sk-SK"/>
                    </w:rPr>
                    <w:t xml:space="preserve">2,5 </w:t>
                  </w:r>
                  <w:r w:rsidRPr="00B125B2">
                    <w:rPr>
                      <w:rFonts w:ascii="Times New Roman" w:eastAsia="Calibri" w:hAnsi="Times New Roman" w:cs="Times New Roman"/>
                      <w:b/>
                      <w:iCs/>
                      <w:color w:val="000000" w:themeColor="text1"/>
                      <w:sz w:val="20"/>
                      <w:szCs w:val="20"/>
                      <w:lang w:eastAsia="sk-SK"/>
                    </w:rPr>
                    <w:t>(WHO limit), 2014</w:t>
                  </w:r>
                </w:p>
              </w:tc>
            </w:tr>
            <w:tr w:rsidR="007D13F3" w:rsidRPr="00B125B2" w:rsidTr="00465CAC">
              <w:trPr>
                <w:trHeight w:val="3954"/>
              </w:trPr>
              <w:tc>
                <w:tcPr>
                  <w:tcW w:w="2381" w:type="pct"/>
                  <w:tcBorders>
                    <w:top w:val="single" w:sz="4" w:space="0" w:color="auto"/>
                    <w:left w:val="nil"/>
                    <w:bottom w:val="single" w:sz="4" w:space="0" w:color="auto"/>
                    <w:right w:val="nil"/>
                  </w:tcBorders>
                  <w:vAlign w:val="center"/>
                </w:tcPr>
                <w:p w:rsidR="007D13F3" w:rsidRPr="00B125B2" w:rsidRDefault="007D13F3" w:rsidP="00465CAC">
                  <w:pPr>
                    <w:jc w:val="center"/>
                    <w:rPr>
                      <w:rFonts w:ascii="Times New Roman" w:hAnsi="Times New Roman" w:cs="Times New Roman"/>
                      <w:b/>
                      <w:color w:val="000000" w:themeColor="text1"/>
                      <w:sz w:val="20"/>
                      <w:szCs w:val="20"/>
                    </w:rPr>
                  </w:pPr>
                  <w:r w:rsidRPr="00B125B2">
                    <w:rPr>
                      <w:rFonts w:ascii="Times New Roman" w:eastAsia="Calibri" w:hAnsi="Times New Roman" w:cs="Times New Roman"/>
                      <w:noProof/>
                      <w:color w:val="000000" w:themeColor="text1"/>
                      <w:sz w:val="20"/>
                      <w:szCs w:val="20"/>
                      <w:lang w:eastAsia="sk-SK"/>
                    </w:rPr>
                    <w:drawing>
                      <wp:anchor distT="0" distB="0" distL="114300" distR="114300" simplePos="0" relativeHeight="251660288" behindDoc="1" locked="0" layoutInCell="1" allowOverlap="1" wp14:anchorId="4303B82E" wp14:editId="00BDA40B">
                        <wp:simplePos x="0" y="0"/>
                        <wp:positionH relativeFrom="column">
                          <wp:posOffset>-2540</wp:posOffset>
                        </wp:positionH>
                        <wp:positionV relativeFrom="paragraph">
                          <wp:posOffset>-1905</wp:posOffset>
                        </wp:positionV>
                        <wp:extent cx="2667000" cy="2533650"/>
                        <wp:effectExtent l="0" t="0" r="0" b="0"/>
                        <wp:wrapNone/>
                        <wp:docPr id="13"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c>
              <w:tc>
                <w:tcPr>
                  <w:tcW w:w="99" w:type="pct"/>
                  <w:tcBorders>
                    <w:top w:val="nil"/>
                    <w:left w:val="nil"/>
                    <w:bottom w:val="nil"/>
                    <w:right w:val="nil"/>
                  </w:tcBorders>
                  <w:vAlign w:val="center"/>
                </w:tcPr>
                <w:p w:rsidR="007D13F3" w:rsidRPr="00B125B2" w:rsidRDefault="007D13F3" w:rsidP="00465CAC">
                  <w:pPr>
                    <w:jc w:val="center"/>
                    <w:rPr>
                      <w:rFonts w:ascii="Times New Roman" w:hAnsi="Times New Roman" w:cs="Times New Roman"/>
                      <w:b/>
                      <w:color w:val="000000" w:themeColor="text1"/>
                      <w:sz w:val="20"/>
                      <w:szCs w:val="20"/>
                    </w:rPr>
                  </w:pPr>
                </w:p>
              </w:tc>
              <w:tc>
                <w:tcPr>
                  <w:tcW w:w="2520" w:type="pct"/>
                  <w:tcBorders>
                    <w:top w:val="single" w:sz="4" w:space="0" w:color="auto"/>
                    <w:left w:val="nil"/>
                    <w:bottom w:val="single" w:sz="4" w:space="0" w:color="auto"/>
                    <w:right w:val="nil"/>
                  </w:tcBorders>
                  <w:vAlign w:val="center"/>
                </w:tcPr>
                <w:p w:rsidR="007D13F3" w:rsidRPr="00B125B2" w:rsidRDefault="007D13F3" w:rsidP="00465CAC">
                  <w:pPr>
                    <w:jc w:val="center"/>
                    <w:rPr>
                      <w:rFonts w:ascii="Times New Roman" w:hAnsi="Times New Roman" w:cs="Times New Roman"/>
                      <w:b/>
                      <w:color w:val="000000" w:themeColor="text1"/>
                      <w:sz w:val="20"/>
                      <w:szCs w:val="20"/>
                    </w:rPr>
                  </w:pPr>
                  <w:r w:rsidRPr="00B125B2">
                    <w:rPr>
                      <w:rFonts w:ascii="Times New Roman" w:hAnsi="Times New Roman" w:cs="Times New Roman"/>
                      <w:noProof/>
                      <w:sz w:val="20"/>
                      <w:szCs w:val="20"/>
                      <w:lang w:eastAsia="sk-SK"/>
                    </w:rPr>
                    <w:drawing>
                      <wp:inline distT="0" distB="0" distL="0" distR="0" wp14:anchorId="064AD99F" wp14:editId="008B4EE8">
                        <wp:extent cx="2769235" cy="2353773"/>
                        <wp:effectExtent l="0" t="0" r="0" b="889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7D13F3" w:rsidRPr="00B125B2" w:rsidTr="00B125B2">
              <w:trPr>
                <w:trHeight w:hRule="exact" w:val="708"/>
              </w:trPr>
              <w:tc>
                <w:tcPr>
                  <w:tcW w:w="2381" w:type="pct"/>
                  <w:tcBorders>
                    <w:top w:val="single" w:sz="4" w:space="0" w:color="auto"/>
                    <w:left w:val="nil"/>
                    <w:bottom w:val="nil"/>
                    <w:right w:val="nil"/>
                  </w:tcBorders>
                  <w:vAlign w:val="center"/>
                </w:tcPr>
                <w:p w:rsidR="007D13F3" w:rsidRPr="00B125B2" w:rsidRDefault="007D13F3" w:rsidP="00465CAC">
                  <w:pPr>
                    <w:contextualSpacing/>
                    <w:jc w:val="right"/>
                    <w:rPr>
                      <w:rFonts w:ascii="Times New Roman" w:hAnsi="Times New Roman" w:cs="Times New Roman"/>
                      <w:i/>
                      <w:color w:val="000000" w:themeColor="text1"/>
                      <w:sz w:val="20"/>
                      <w:szCs w:val="20"/>
                    </w:rPr>
                  </w:pPr>
                  <w:r w:rsidRPr="00B125B2">
                    <w:rPr>
                      <w:rFonts w:ascii="Times New Roman" w:hAnsi="Times New Roman" w:cs="Times New Roman"/>
                      <w:i/>
                      <w:iCs/>
                      <w:color w:val="000000" w:themeColor="text1"/>
                      <w:sz w:val="20"/>
                      <w:szCs w:val="20"/>
                    </w:rPr>
                    <w:t>Zdroj: EEA</w:t>
                  </w:r>
                </w:p>
              </w:tc>
              <w:tc>
                <w:tcPr>
                  <w:tcW w:w="99" w:type="pct"/>
                  <w:tcBorders>
                    <w:top w:val="nil"/>
                    <w:left w:val="nil"/>
                    <w:bottom w:val="nil"/>
                    <w:right w:val="nil"/>
                  </w:tcBorders>
                  <w:vAlign w:val="center"/>
                </w:tcPr>
                <w:p w:rsidR="007D13F3" w:rsidRPr="00B125B2" w:rsidRDefault="007D13F3" w:rsidP="00465CAC">
                  <w:pPr>
                    <w:contextualSpacing/>
                    <w:jc w:val="center"/>
                    <w:rPr>
                      <w:rFonts w:ascii="Times New Roman" w:hAnsi="Times New Roman" w:cs="Times New Roman"/>
                      <w:i/>
                      <w:color w:val="000000" w:themeColor="text1"/>
                      <w:sz w:val="20"/>
                      <w:szCs w:val="20"/>
                    </w:rPr>
                  </w:pPr>
                </w:p>
              </w:tc>
              <w:tc>
                <w:tcPr>
                  <w:tcW w:w="2520" w:type="pct"/>
                  <w:tcBorders>
                    <w:top w:val="single" w:sz="4" w:space="0" w:color="auto"/>
                    <w:left w:val="nil"/>
                    <w:bottom w:val="nil"/>
                    <w:right w:val="nil"/>
                  </w:tcBorders>
                  <w:vAlign w:val="center"/>
                </w:tcPr>
                <w:p w:rsidR="007D13F3" w:rsidRPr="00B125B2" w:rsidRDefault="007D13F3" w:rsidP="00465CAC">
                  <w:pPr>
                    <w:contextualSpacing/>
                    <w:jc w:val="right"/>
                    <w:rPr>
                      <w:rFonts w:ascii="Times New Roman" w:hAnsi="Times New Roman" w:cs="Times New Roman"/>
                      <w:i/>
                      <w:color w:val="000000" w:themeColor="text1"/>
                      <w:sz w:val="20"/>
                      <w:szCs w:val="20"/>
                    </w:rPr>
                  </w:pPr>
                  <w:r w:rsidRPr="00B125B2">
                    <w:rPr>
                      <w:rFonts w:ascii="Times New Roman" w:hAnsi="Times New Roman" w:cs="Times New Roman"/>
                      <w:i/>
                      <w:iCs/>
                      <w:color w:val="000000" w:themeColor="text1"/>
                      <w:sz w:val="20"/>
                      <w:szCs w:val="20"/>
                    </w:rPr>
                    <w:t>Zdroj:</w:t>
                  </w:r>
                  <w:r w:rsidRPr="00B125B2">
                    <w:rPr>
                      <w:rFonts w:ascii="Times New Roman" w:hAnsi="Times New Roman" w:cs="Times New Roman"/>
                      <w:i/>
                      <w:color w:val="000000" w:themeColor="text1"/>
                      <w:sz w:val="20"/>
                      <w:szCs w:val="20"/>
                    </w:rPr>
                    <w:t xml:space="preserve"> </w:t>
                  </w:r>
                  <w:r w:rsidRPr="00B125B2">
                    <w:rPr>
                      <w:rFonts w:ascii="Times New Roman" w:eastAsia="Calibri" w:hAnsi="Times New Roman" w:cs="Times New Roman"/>
                      <w:i/>
                      <w:color w:val="000000" w:themeColor="text1"/>
                      <w:sz w:val="20"/>
                      <w:szCs w:val="20"/>
                    </w:rPr>
                    <w:t>EPI podľa satelitných dát z </w:t>
                  </w:r>
                  <w:proofErr w:type="spellStart"/>
                  <w:r w:rsidRPr="00B125B2">
                    <w:rPr>
                      <w:rFonts w:ascii="Times New Roman" w:eastAsia="Calibri" w:hAnsi="Times New Roman" w:cs="Times New Roman"/>
                      <w:i/>
                      <w:color w:val="000000" w:themeColor="text1"/>
                      <w:sz w:val="20"/>
                      <w:szCs w:val="20"/>
                    </w:rPr>
                    <w:t>Dalhousie</w:t>
                  </w:r>
                  <w:proofErr w:type="spellEnd"/>
                  <w:r w:rsidRPr="00B125B2">
                    <w:rPr>
                      <w:rFonts w:ascii="Times New Roman" w:eastAsia="Calibri" w:hAnsi="Times New Roman" w:cs="Times New Roman"/>
                      <w:i/>
                      <w:color w:val="000000" w:themeColor="text1"/>
                      <w:sz w:val="20"/>
                      <w:szCs w:val="20"/>
                    </w:rPr>
                    <w:t xml:space="preserve"> </w:t>
                  </w:r>
                  <w:proofErr w:type="spellStart"/>
                  <w:r w:rsidRPr="00B125B2">
                    <w:rPr>
                      <w:rFonts w:ascii="Times New Roman" w:eastAsia="Calibri" w:hAnsi="Times New Roman" w:cs="Times New Roman"/>
                      <w:i/>
                      <w:color w:val="000000" w:themeColor="text1"/>
                      <w:sz w:val="20"/>
                      <w:szCs w:val="20"/>
                    </w:rPr>
                    <w:t>University</w:t>
                  </w:r>
                  <w:proofErr w:type="spellEnd"/>
                  <w:r w:rsidRPr="00B125B2">
                    <w:rPr>
                      <w:rFonts w:ascii="Times New Roman" w:eastAsia="Calibri" w:hAnsi="Times New Roman" w:cs="Times New Roman"/>
                      <w:i/>
                      <w:color w:val="000000" w:themeColor="text1"/>
                      <w:sz w:val="20"/>
                      <w:szCs w:val="20"/>
                    </w:rPr>
                    <w:t xml:space="preserve">, odhad vystavenej populácie podľa </w:t>
                  </w:r>
                  <w:proofErr w:type="spellStart"/>
                  <w:r w:rsidRPr="00B125B2">
                    <w:rPr>
                      <w:rFonts w:ascii="Times New Roman" w:eastAsia="Calibri" w:hAnsi="Times New Roman" w:cs="Times New Roman"/>
                      <w:i/>
                      <w:color w:val="000000" w:themeColor="text1"/>
                      <w:sz w:val="20"/>
                      <w:szCs w:val="20"/>
                    </w:rPr>
                    <w:t>Global</w:t>
                  </w:r>
                  <w:proofErr w:type="spellEnd"/>
                  <w:r w:rsidRPr="00B125B2">
                    <w:rPr>
                      <w:rFonts w:ascii="Times New Roman" w:eastAsia="Calibri" w:hAnsi="Times New Roman" w:cs="Times New Roman"/>
                      <w:i/>
                      <w:color w:val="000000" w:themeColor="text1"/>
                      <w:sz w:val="20"/>
                      <w:szCs w:val="20"/>
                    </w:rPr>
                    <w:t xml:space="preserve"> </w:t>
                  </w:r>
                  <w:proofErr w:type="spellStart"/>
                  <w:r w:rsidRPr="00B125B2">
                    <w:rPr>
                      <w:rFonts w:ascii="Times New Roman" w:eastAsia="Calibri" w:hAnsi="Times New Roman" w:cs="Times New Roman"/>
                      <w:i/>
                      <w:color w:val="000000" w:themeColor="text1"/>
                      <w:sz w:val="20"/>
                      <w:szCs w:val="20"/>
                    </w:rPr>
                    <w:t>Rural</w:t>
                  </w:r>
                  <w:proofErr w:type="spellEnd"/>
                  <w:r w:rsidRPr="00B125B2">
                    <w:rPr>
                      <w:rFonts w:ascii="Times New Roman" w:eastAsia="Calibri" w:hAnsi="Times New Roman" w:cs="Times New Roman"/>
                      <w:i/>
                      <w:color w:val="000000" w:themeColor="text1"/>
                      <w:sz w:val="20"/>
                      <w:szCs w:val="20"/>
                    </w:rPr>
                    <w:t xml:space="preserve"> Urban </w:t>
                  </w:r>
                  <w:proofErr w:type="spellStart"/>
                  <w:r w:rsidRPr="00B125B2">
                    <w:rPr>
                      <w:rFonts w:ascii="Times New Roman" w:eastAsia="Calibri" w:hAnsi="Times New Roman" w:cs="Times New Roman"/>
                      <w:i/>
                      <w:color w:val="000000" w:themeColor="text1"/>
                      <w:sz w:val="20"/>
                      <w:szCs w:val="20"/>
                    </w:rPr>
                    <w:t>Mapping</w:t>
                  </w:r>
                  <w:proofErr w:type="spellEnd"/>
                  <w:r w:rsidRPr="00B125B2">
                    <w:rPr>
                      <w:rFonts w:ascii="Times New Roman" w:eastAsia="Calibri" w:hAnsi="Times New Roman" w:cs="Times New Roman"/>
                      <w:i/>
                      <w:color w:val="000000" w:themeColor="text1"/>
                      <w:sz w:val="20"/>
                      <w:szCs w:val="20"/>
                    </w:rPr>
                    <w:t xml:space="preserve"> Project, NASA</w:t>
                  </w:r>
                  <w:r w:rsidRPr="00B125B2">
                    <w:rPr>
                      <w:rFonts w:ascii="Times New Roman" w:hAnsi="Times New Roman" w:cs="Times New Roman"/>
                      <w:i/>
                      <w:color w:val="000000" w:themeColor="text1"/>
                      <w:sz w:val="20"/>
                      <w:szCs w:val="20"/>
                    </w:rPr>
                    <w:t xml:space="preserve"> </w:t>
                  </w:r>
                </w:p>
              </w:tc>
            </w:tr>
          </w:tbl>
          <w:p w:rsidR="00B125B2" w:rsidRDefault="00B125B2" w:rsidP="00465CAC">
            <w:pPr>
              <w:spacing w:after="120"/>
              <w:jc w:val="both"/>
              <w:rPr>
                <w:rFonts w:ascii="Times New Roman" w:hAnsi="Times New Roman" w:cs="Times New Roman"/>
                <w:b/>
                <w:color w:val="000000" w:themeColor="text1"/>
              </w:rPr>
            </w:pPr>
          </w:p>
          <w:p w:rsidR="007D13F3" w:rsidRPr="00C45F92" w:rsidRDefault="007D13F3" w:rsidP="00465CAC">
            <w:pPr>
              <w:spacing w:after="120"/>
              <w:jc w:val="both"/>
              <w:rPr>
                <w:rFonts w:ascii="Times New Roman" w:hAnsi="Times New Roman" w:cs="Times New Roman"/>
                <w:b/>
                <w:color w:val="000000" w:themeColor="text1"/>
              </w:rPr>
            </w:pPr>
            <w:r w:rsidRPr="00C45F92">
              <w:rPr>
                <w:rFonts w:ascii="Times New Roman" w:hAnsi="Times New Roman" w:cs="Times New Roman"/>
                <w:b/>
                <w:color w:val="000000" w:themeColor="text1"/>
              </w:rPr>
              <w:t>Opatrenia</w:t>
            </w:r>
          </w:p>
          <w:p w:rsidR="007D13F3" w:rsidRPr="00036B1A" w:rsidRDefault="007D13F3" w:rsidP="00465CAC">
            <w:pPr>
              <w:numPr>
                <w:ilvl w:val="0"/>
                <w:numId w:val="44"/>
              </w:numPr>
              <w:jc w:val="both"/>
              <w:rPr>
                <w:rFonts w:ascii="Times New Roman" w:eastAsiaTheme="minorHAnsi" w:hAnsi="Times New Roman" w:cs="Times New Roman"/>
                <w:color w:val="000000" w:themeColor="text1"/>
                <w:lang w:eastAsia="sk-SK"/>
              </w:rPr>
            </w:pPr>
            <w:r w:rsidRPr="00036B1A">
              <w:rPr>
                <w:rFonts w:ascii="Times New Roman" w:eastAsiaTheme="minorHAnsi" w:hAnsi="Times New Roman" w:cs="Times New Roman"/>
                <w:color w:val="000000" w:themeColor="text1"/>
                <w:lang w:eastAsia="sk-SK"/>
              </w:rPr>
              <w:t>Zrušia sa fakultatívne oslobodenia v spotrebných daniach (uhlie, elektrina, plyn), čo bude znamenať vyššie daňové príjmy o 65 mil. eur.</w:t>
            </w:r>
          </w:p>
          <w:p w:rsidR="007D13F3" w:rsidRPr="00C45F92" w:rsidRDefault="007D13F3" w:rsidP="00465CAC">
            <w:pPr>
              <w:numPr>
                <w:ilvl w:val="0"/>
                <w:numId w:val="44"/>
              </w:numPr>
              <w:jc w:val="both"/>
              <w:rPr>
                <w:rFonts w:ascii="Times New Roman" w:eastAsiaTheme="minorHAnsi" w:hAnsi="Times New Roman" w:cs="Times New Roman"/>
                <w:color w:val="000000" w:themeColor="text1"/>
                <w:lang w:eastAsia="sk-SK"/>
              </w:rPr>
            </w:pPr>
            <w:r w:rsidRPr="00C45F92">
              <w:rPr>
                <w:rFonts w:ascii="Times New Roman" w:eastAsiaTheme="minorHAnsi" w:hAnsi="Times New Roman" w:cs="Times New Roman"/>
                <w:color w:val="000000" w:themeColor="text1"/>
                <w:lang w:eastAsia="sk-SK"/>
              </w:rPr>
              <w:t>Zníži sa znečistenie ovzdušia, najmä emisií PM 2,5, podporou výmeny efektívnejších spaľovacích zariadení pre domácnosti. To povedie k ročnej hodnote 160 mil. eur na zdravotných benefitoch.</w:t>
            </w:r>
          </w:p>
          <w:p w:rsidR="007D13F3" w:rsidRPr="00C45F92" w:rsidRDefault="007D13F3" w:rsidP="00465CAC">
            <w:pPr>
              <w:numPr>
                <w:ilvl w:val="0"/>
                <w:numId w:val="44"/>
              </w:numPr>
              <w:jc w:val="both"/>
              <w:rPr>
                <w:rFonts w:ascii="Times New Roman" w:eastAsiaTheme="minorHAnsi" w:hAnsi="Times New Roman" w:cs="Times New Roman"/>
                <w:color w:val="000000" w:themeColor="text1"/>
                <w:lang w:eastAsia="sk-SK"/>
              </w:rPr>
            </w:pPr>
            <w:r w:rsidRPr="00C45F92">
              <w:rPr>
                <w:rFonts w:ascii="Times New Roman" w:eastAsiaTheme="minorHAnsi" w:hAnsi="Times New Roman" w:cs="Times New Roman"/>
                <w:color w:val="000000" w:themeColor="text1"/>
                <w:lang w:eastAsia="sk-SK"/>
              </w:rPr>
              <w:t xml:space="preserve">Postupné utlmenie výroby elektrickej energie z uhlia by v roku 2015 ušetrilo </w:t>
            </w:r>
            <w:r w:rsidR="00B125B2">
              <w:rPr>
                <w:rFonts w:ascii="Times New Roman" w:eastAsiaTheme="minorHAnsi" w:hAnsi="Times New Roman" w:cs="Times New Roman"/>
                <w:color w:val="000000" w:themeColor="text1"/>
                <w:lang w:eastAsia="sk-SK"/>
              </w:rPr>
              <w:br/>
            </w:r>
            <w:r w:rsidRPr="00C45F92">
              <w:rPr>
                <w:rFonts w:ascii="Times New Roman" w:eastAsiaTheme="minorHAnsi" w:hAnsi="Times New Roman" w:cs="Times New Roman"/>
                <w:color w:val="000000" w:themeColor="text1"/>
                <w:lang w:eastAsia="sk-SK"/>
              </w:rPr>
              <w:t>500 mil. eur na zdravotných benefito</w:t>
            </w:r>
            <w:r w:rsidR="00036B1A">
              <w:rPr>
                <w:rFonts w:ascii="Times New Roman" w:eastAsiaTheme="minorHAnsi" w:hAnsi="Times New Roman" w:cs="Times New Roman"/>
                <w:color w:val="000000" w:themeColor="text1"/>
                <w:lang w:eastAsia="sk-SK"/>
              </w:rPr>
              <w:t>ch</w:t>
            </w:r>
            <w:r w:rsidRPr="00C45F92">
              <w:rPr>
                <w:rFonts w:ascii="Times New Roman" w:eastAsiaTheme="minorHAnsi" w:hAnsi="Times New Roman" w:cs="Times New Roman"/>
                <w:color w:val="000000" w:themeColor="text1"/>
                <w:lang w:eastAsia="sk-SK"/>
              </w:rPr>
              <w:t xml:space="preserve"> a 100 mil. eur na nižších výdavko</w:t>
            </w:r>
            <w:r w:rsidR="00036B1A">
              <w:rPr>
                <w:rFonts w:ascii="Times New Roman" w:eastAsiaTheme="minorHAnsi" w:hAnsi="Times New Roman" w:cs="Times New Roman"/>
                <w:color w:val="000000" w:themeColor="text1"/>
                <w:lang w:eastAsia="sk-SK"/>
              </w:rPr>
              <w:t>ch</w:t>
            </w:r>
            <w:r w:rsidRPr="00C45F92">
              <w:rPr>
                <w:rFonts w:ascii="Times New Roman" w:eastAsiaTheme="minorHAnsi" w:hAnsi="Times New Roman" w:cs="Times New Roman"/>
                <w:color w:val="000000" w:themeColor="text1"/>
                <w:lang w:eastAsia="sk-SK"/>
              </w:rPr>
              <w:t xml:space="preserve"> odberateľov elektriny.</w:t>
            </w:r>
          </w:p>
          <w:p w:rsidR="007D13F3" w:rsidRPr="00C45F92" w:rsidRDefault="007D13F3" w:rsidP="00465CAC">
            <w:pPr>
              <w:numPr>
                <w:ilvl w:val="0"/>
                <w:numId w:val="44"/>
              </w:numPr>
              <w:jc w:val="both"/>
              <w:rPr>
                <w:rFonts w:ascii="Times New Roman" w:eastAsiaTheme="minorHAnsi" w:hAnsi="Times New Roman" w:cs="Times New Roman"/>
                <w:color w:val="000000" w:themeColor="text1"/>
                <w:lang w:eastAsia="sk-SK"/>
              </w:rPr>
            </w:pPr>
            <w:r w:rsidRPr="00C45F92">
              <w:rPr>
                <w:rFonts w:ascii="Times New Roman" w:eastAsiaTheme="minorHAnsi" w:hAnsi="Times New Roman" w:cs="Times New Roman"/>
                <w:color w:val="000000" w:themeColor="text1"/>
                <w:lang w:eastAsia="sk-SK"/>
              </w:rPr>
              <w:t>Zvýši sa počet monitorovacích staníc, skvalitní sa metodika výpočtu množstva jednotlivých znečisťujúcich látok a zlepší sa monitoring kvality a znečistenia ovzdušia.</w:t>
            </w:r>
          </w:p>
          <w:p w:rsidR="007D13F3" w:rsidRPr="00C45F92" w:rsidRDefault="007D13F3" w:rsidP="00465CAC">
            <w:pPr>
              <w:ind w:left="360"/>
              <w:jc w:val="both"/>
              <w:rPr>
                <w:rFonts w:ascii="Times New Roman" w:hAnsi="Times New Roman" w:cs="Times New Roman"/>
                <w:color w:val="000000" w:themeColor="text1"/>
                <w:lang w:eastAsia="sk-SK"/>
              </w:rPr>
            </w:pPr>
          </w:p>
          <w:p w:rsidR="007D13F3" w:rsidRPr="00C45F92" w:rsidRDefault="007D13F3" w:rsidP="00465CAC">
            <w:pPr>
              <w:rPr>
                <w:rFonts w:ascii="Times New Roman" w:hAnsi="Times New Roman" w:cs="Times New Roman"/>
                <w:b/>
                <w:color w:val="000000" w:themeColor="text1"/>
              </w:rPr>
            </w:pPr>
            <w:r w:rsidRPr="00C45F92">
              <w:rPr>
                <w:rFonts w:ascii="Times New Roman" w:hAnsi="Times New Roman" w:cs="Times New Roman"/>
                <w:b/>
                <w:color w:val="000000" w:themeColor="text1"/>
              </w:rPr>
              <w:t>Ochrana prírody a krajiny</w:t>
            </w:r>
          </w:p>
          <w:p w:rsidR="007D13F3" w:rsidRPr="00C45F92" w:rsidRDefault="007D13F3" w:rsidP="00465CAC">
            <w:pPr>
              <w:rPr>
                <w:rFonts w:ascii="Times New Roman" w:hAnsi="Times New Roman" w:cs="Times New Roman"/>
                <w:b/>
                <w:color w:val="000000" w:themeColor="text1"/>
              </w:rPr>
            </w:pPr>
          </w:p>
          <w:p w:rsidR="007D13F3" w:rsidRPr="00C45F92" w:rsidRDefault="007D13F3" w:rsidP="00465CAC">
            <w:pPr>
              <w:ind w:firstLine="708"/>
              <w:jc w:val="both"/>
              <w:rPr>
                <w:rFonts w:ascii="Times New Roman" w:hAnsi="Times New Roman" w:cs="Times New Roman"/>
                <w:color w:val="000000" w:themeColor="text1"/>
              </w:rPr>
            </w:pPr>
            <w:r w:rsidRPr="00C45F92">
              <w:rPr>
                <w:rFonts w:ascii="Times New Roman" w:hAnsi="Times New Roman" w:cs="Times New Roman"/>
                <w:color w:val="000000" w:themeColor="text1"/>
              </w:rPr>
              <w:t xml:space="preserve">Stav chránených druhov a biotopov v období 2007 </w:t>
            </w:r>
            <w:r w:rsidR="00B125B2">
              <w:rPr>
                <w:rFonts w:ascii="Times New Roman" w:hAnsi="Times New Roman" w:cs="Times New Roman"/>
                <w:color w:val="000000" w:themeColor="text1"/>
              </w:rPr>
              <w:t>až</w:t>
            </w:r>
            <w:r w:rsidRPr="00C45F92">
              <w:rPr>
                <w:rFonts w:ascii="Times New Roman" w:hAnsi="Times New Roman" w:cs="Times New Roman"/>
                <w:color w:val="000000" w:themeColor="text1"/>
              </w:rPr>
              <w:t xml:space="preserve"> 2013 vykazuje zlepšenie, je však potrebné zlepšiť vymedzenie chránených lokalít pre vybrané biotopy a druhy európskeho významu. Z dlhodobého hľadiska je potrebné vytvoriť udržateľný systém financovania ochrany prírody, ktorý bude využívať aj zdroje mimo štátneho rozpočtu a EÚ. Ochrana stavu </w:t>
            </w:r>
            <w:r w:rsidRPr="00C45F92">
              <w:rPr>
                <w:rFonts w:ascii="Times New Roman" w:hAnsi="Times New Roman" w:cs="Times New Roman"/>
                <w:color w:val="000000" w:themeColor="text1"/>
              </w:rPr>
              <w:lastRenderedPageBreak/>
              <w:t xml:space="preserve">chránených území a ich manažment si preto vyžiadajú zavedenie inovatívnych foriem financovania. </w:t>
            </w:r>
          </w:p>
          <w:p w:rsidR="007D13F3" w:rsidRPr="00C45F92" w:rsidRDefault="007D13F3" w:rsidP="00465CAC">
            <w:pPr>
              <w:ind w:firstLine="708"/>
              <w:jc w:val="both"/>
              <w:rPr>
                <w:rFonts w:ascii="Times New Roman" w:hAnsi="Times New Roman" w:cs="Times New Roman"/>
                <w:color w:val="000000" w:themeColor="text1"/>
              </w:rPr>
            </w:pPr>
          </w:p>
          <w:p w:rsidR="007D13F3" w:rsidRPr="00C45F92" w:rsidRDefault="007D13F3" w:rsidP="00465CAC">
            <w:pPr>
              <w:spacing w:after="120"/>
              <w:jc w:val="both"/>
              <w:rPr>
                <w:rFonts w:ascii="Times New Roman" w:hAnsi="Times New Roman" w:cs="Times New Roman"/>
                <w:b/>
                <w:color w:val="000000" w:themeColor="text1"/>
              </w:rPr>
            </w:pPr>
            <w:r w:rsidRPr="00C45F92">
              <w:rPr>
                <w:rFonts w:ascii="Times New Roman" w:hAnsi="Times New Roman" w:cs="Times New Roman"/>
                <w:b/>
                <w:color w:val="000000" w:themeColor="text1"/>
              </w:rPr>
              <w:t>Opatrenia</w:t>
            </w:r>
          </w:p>
          <w:p w:rsidR="007D13F3" w:rsidRPr="00C45F92" w:rsidRDefault="007D13F3" w:rsidP="004E497F">
            <w:pPr>
              <w:numPr>
                <w:ilvl w:val="0"/>
                <w:numId w:val="45"/>
              </w:numPr>
              <w:jc w:val="both"/>
              <w:rPr>
                <w:rFonts w:ascii="Times New Roman" w:eastAsiaTheme="minorHAnsi" w:hAnsi="Times New Roman" w:cs="Times New Roman"/>
                <w:color w:val="000000" w:themeColor="text1"/>
                <w:lang w:eastAsia="en-US"/>
              </w:rPr>
            </w:pPr>
            <w:r w:rsidRPr="00C45F92">
              <w:rPr>
                <w:rFonts w:ascii="Times New Roman" w:eastAsiaTheme="minorHAnsi" w:hAnsi="Times New Roman" w:cs="Times New Roman"/>
                <w:color w:val="000000" w:themeColor="text1"/>
                <w:lang w:eastAsia="sk-SK"/>
              </w:rPr>
              <w:t>Zavedú sa inovatívne formy financovania ochrany prírody, napríklad zavedením vstupného do národných parkov, čo prinesie 6 mil. eur ročne od roku 2019.</w:t>
            </w:r>
          </w:p>
          <w:p w:rsidR="007D13F3" w:rsidRPr="00C45F92" w:rsidRDefault="007D13F3" w:rsidP="004E497F">
            <w:pPr>
              <w:numPr>
                <w:ilvl w:val="0"/>
                <w:numId w:val="45"/>
              </w:numPr>
              <w:jc w:val="both"/>
              <w:rPr>
                <w:rFonts w:ascii="Times New Roman" w:eastAsiaTheme="minorHAnsi" w:hAnsi="Times New Roman" w:cs="Times New Roman"/>
                <w:color w:val="000000" w:themeColor="text1"/>
                <w:lang w:eastAsia="en-US"/>
              </w:rPr>
            </w:pPr>
            <w:r w:rsidRPr="00C45F92">
              <w:rPr>
                <w:rFonts w:ascii="Times New Roman" w:eastAsiaTheme="minorHAnsi" w:hAnsi="Times New Roman" w:cs="Times New Roman"/>
                <w:color w:val="000000" w:themeColor="text1"/>
                <w:lang w:eastAsia="en-US"/>
              </w:rPr>
              <w:t xml:space="preserve">Bude sa </w:t>
            </w:r>
            <w:proofErr w:type="spellStart"/>
            <w:r w:rsidRPr="00C45F92">
              <w:rPr>
                <w:rFonts w:ascii="Times New Roman" w:eastAsiaTheme="minorHAnsi" w:hAnsi="Times New Roman" w:cs="Times New Roman"/>
                <w:color w:val="000000" w:themeColor="text1"/>
                <w:lang w:eastAsia="en-US"/>
              </w:rPr>
              <w:t>prioritizovať</w:t>
            </w:r>
            <w:proofErr w:type="spellEnd"/>
            <w:r w:rsidRPr="00C45F92">
              <w:rPr>
                <w:rFonts w:ascii="Times New Roman" w:eastAsiaTheme="minorHAnsi" w:hAnsi="Times New Roman" w:cs="Times New Roman"/>
                <w:color w:val="000000" w:themeColor="text1"/>
                <w:lang w:eastAsia="en-US"/>
              </w:rPr>
              <w:t xml:space="preserve"> podpora chránených území a opatrenia v jednotlivých dokumentoch starostlivosti chránených území.</w:t>
            </w:r>
          </w:p>
          <w:p w:rsidR="007D13F3" w:rsidRPr="00C45F92" w:rsidRDefault="007D13F3" w:rsidP="004E497F">
            <w:pPr>
              <w:numPr>
                <w:ilvl w:val="0"/>
                <w:numId w:val="45"/>
              </w:numPr>
              <w:jc w:val="both"/>
              <w:rPr>
                <w:rFonts w:ascii="Times New Roman" w:eastAsiaTheme="minorHAnsi" w:hAnsi="Times New Roman" w:cs="Times New Roman"/>
                <w:color w:val="000000" w:themeColor="text1"/>
                <w:lang w:eastAsia="en-US"/>
              </w:rPr>
            </w:pPr>
            <w:r w:rsidRPr="00C45F92">
              <w:rPr>
                <w:rFonts w:ascii="Times New Roman" w:eastAsiaTheme="minorHAnsi" w:hAnsi="Times New Roman" w:cs="Times New Roman"/>
                <w:color w:val="000000" w:themeColor="text1"/>
                <w:lang w:eastAsia="sk-SK"/>
              </w:rPr>
              <w:t>Dobuduje sa sústava NATURA 2000 na Slovensku.</w:t>
            </w:r>
          </w:p>
          <w:p w:rsidR="007D13F3" w:rsidRPr="00C45F92" w:rsidRDefault="007D13F3" w:rsidP="004E497F">
            <w:pPr>
              <w:numPr>
                <w:ilvl w:val="0"/>
                <w:numId w:val="45"/>
              </w:numPr>
              <w:jc w:val="both"/>
              <w:rPr>
                <w:rFonts w:ascii="Times New Roman" w:eastAsiaTheme="minorHAnsi" w:hAnsi="Times New Roman" w:cs="Times New Roman"/>
                <w:color w:val="000000" w:themeColor="text1"/>
                <w:lang w:eastAsia="en-US"/>
              </w:rPr>
            </w:pPr>
            <w:r w:rsidRPr="00C45F92">
              <w:rPr>
                <w:rFonts w:ascii="Times New Roman" w:eastAsiaTheme="minorHAnsi" w:hAnsi="Times New Roman" w:cs="Times New Roman"/>
                <w:color w:val="000000" w:themeColor="text1"/>
                <w:lang w:eastAsia="en-US"/>
              </w:rPr>
              <w:t xml:space="preserve">Zabezpečí sa evidencia výdavkov ŠOP SR, ktorá umožní porovnávanie </w:t>
            </w:r>
            <w:r w:rsidR="004E497F">
              <w:rPr>
                <w:rFonts w:ascii="Times New Roman" w:eastAsiaTheme="minorHAnsi" w:hAnsi="Times New Roman" w:cs="Times New Roman"/>
                <w:color w:val="000000" w:themeColor="text1"/>
                <w:lang w:eastAsia="en-US"/>
              </w:rPr>
              <w:t xml:space="preserve">na </w:t>
            </w:r>
            <w:r w:rsidRPr="00C45F92">
              <w:rPr>
                <w:rFonts w:ascii="Times New Roman" w:eastAsiaTheme="minorHAnsi" w:hAnsi="Times New Roman" w:cs="Times New Roman"/>
                <w:color w:val="000000" w:themeColor="text1"/>
                <w:lang w:eastAsia="en-US"/>
              </w:rPr>
              <w:t>základ</w:t>
            </w:r>
            <w:r w:rsidR="00B125B2">
              <w:rPr>
                <w:rFonts w:ascii="Times New Roman" w:eastAsiaTheme="minorHAnsi" w:hAnsi="Times New Roman" w:cs="Times New Roman"/>
                <w:color w:val="000000" w:themeColor="text1"/>
                <w:lang w:eastAsia="en-US"/>
              </w:rPr>
              <w:t>e</w:t>
            </w:r>
            <w:r w:rsidRPr="00C45F92">
              <w:rPr>
                <w:rFonts w:ascii="Times New Roman" w:eastAsiaTheme="minorHAnsi" w:hAnsi="Times New Roman" w:cs="Times New Roman"/>
                <w:color w:val="000000" w:themeColor="text1"/>
                <w:lang w:eastAsia="en-US"/>
              </w:rPr>
              <w:t xml:space="preserve"> hodnoty za peniaze.</w:t>
            </w:r>
          </w:p>
          <w:p w:rsidR="007D13F3" w:rsidRPr="00C45F92" w:rsidRDefault="007D13F3" w:rsidP="00465CAC">
            <w:pPr>
              <w:rPr>
                <w:rFonts w:ascii="Times New Roman" w:hAnsi="Times New Roman" w:cs="Times New Roman"/>
                <w:color w:val="000000" w:themeColor="text1"/>
              </w:rPr>
            </w:pPr>
          </w:p>
          <w:p w:rsidR="007D13F3" w:rsidRPr="00C45F92" w:rsidRDefault="007D13F3" w:rsidP="00465CAC">
            <w:pPr>
              <w:rPr>
                <w:rFonts w:ascii="Times New Roman" w:hAnsi="Times New Roman" w:cs="Times New Roman"/>
                <w:b/>
                <w:color w:val="000000" w:themeColor="text1"/>
              </w:rPr>
            </w:pPr>
            <w:r w:rsidRPr="00C45F92">
              <w:rPr>
                <w:rFonts w:ascii="Times New Roman" w:hAnsi="Times New Roman" w:cs="Times New Roman"/>
                <w:b/>
                <w:color w:val="000000" w:themeColor="text1"/>
              </w:rPr>
              <w:t>Environmentálny fond</w:t>
            </w:r>
          </w:p>
          <w:p w:rsidR="007D13F3" w:rsidRPr="00C45F92" w:rsidRDefault="007D13F3" w:rsidP="00465CAC">
            <w:pPr>
              <w:rPr>
                <w:rFonts w:ascii="Times New Roman" w:hAnsi="Times New Roman" w:cs="Times New Roman"/>
                <w:b/>
                <w:color w:val="000000" w:themeColor="text1"/>
              </w:rPr>
            </w:pPr>
          </w:p>
          <w:p w:rsidR="007D13F3" w:rsidRPr="00C45F92" w:rsidRDefault="007D13F3" w:rsidP="00465CAC">
            <w:pPr>
              <w:ind w:firstLine="708"/>
              <w:jc w:val="both"/>
              <w:rPr>
                <w:rFonts w:ascii="Times New Roman" w:hAnsi="Times New Roman" w:cs="Times New Roman"/>
                <w:lang w:eastAsia="sk-SK"/>
              </w:rPr>
            </w:pPr>
            <w:r w:rsidRPr="00C45F92">
              <w:rPr>
                <w:rFonts w:ascii="Times New Roman" w:hAnsi="Times New Roman" w:cs="Times New Roman"/>
                <w:lang w:eastAsia="sk-SK"/>
              </w:rPr>
              <w:t xml:space="preserve">Najviac dotácií Environmentálneho fondu smerovalo v období </w:t>
            </w:r>
            <w:r w:rsidR="00036B1A">
              <w:rPr>
                <w:rFonts w:ascii="Times New Roman" w:hAnsi="Times New Roman" w:cs="Times New Roman"/>
                <w:lang w:eastAsia="sk-SK"/>
              </w:rPr>
              <w:t xml:space="preserve">rokov </w:t>
            </w:r>
            <w:r w:rsidRPr="00C45F92">
              <w:rPr>
                <w:rFonts w:ascii="Times New Roman" w:hAnsi="Times New Roman" w:cs="Times New Roman"/>
                <w:lang w:eastAsia="sk-SK"/>
              </w:rPr>
              <w:t xml:space="preserve">2013 </w:t>
            </w:r>
            <w:r w:rsidR="004E497F">
              <w:rPr>
                <w:rFonts w:ascii="Times New Roman" w:hAnsi="Times New Roman" w:cs="Times New Roman"/>
                <w:lang w:eastAsia="sk-SK"/>
              </w:rPr>
              <w:t>až</w:t>
            </w:r>
            <w:r w:rsidRPr="00C45F92">
              <w:rPr>
                <w:rFonts w:ascii="Times New Roman" w:hAnsi="Times New Roman" w:cs="Times New Roman"/>
                <w:lang w:eastAsia="sk-SK"/>
              </w:rPr>
              <w:t xml:space="preserve"> 2016 do oblasti vôd (44 %) a ochrany ovzdušia (</w:t>
            </w:r>
            <w:r w:rsidRPr="00036B1A">
              <w:rPr>
                <w:rFonts w:ascii="Times New Roman" w:hAnsi="Times New Roman" w:cs="Times New Roman"/>
                <w:lang w:eastAsia="sk-SK"/>
              </w:rPr>
              <w:t xml:space="preserve">26 %). </w:t>
            </w:r>
            <w:r w:rsidRPr="00036B1A">
              <w:rPr>
                <w:rFonts w:ascii="Times New Roman" w:hAnsi="Times New Roman" w:cs="Times New Roman"/>
                <w:bCs/>
                <w:color w:val="000000" w:themeColor="text1"/>
                <w:lang w:eastAsia="sk-SK"/>
              </w:rPr>
              <w:t xml:space="preserve">Príjmy z aukcií </w:t>
            </w:r>
            <w:r w:rsidRPr="00036B1A">
              <w:rPr>
                <w:rFonts w:ascii="Times New Roman" w:hAnsi="Times New Roman" w:cs="Times New Roman"/>
                <w:color w:val="000000" w:themeColor="text1"/>
                <w:lang w:eastAsia="sk-SK"/>
              </w:rPr>
              <w:t>emisných kvót tvoria najväčšiu časť jeho príjmov. Na zlepšenie napĺňania environmentálnych cieľov bude stanovený pevný podiel</w:t>
            </w:r>
            <w:r w:rsidR="00036B1A" w:rsidRPr="00036B1A">
              <w:rPr>
                <w:rFonts w:ascii="Times New Roman" w:hAnsi="Times New Roman" w:cs="Times New Roman"/>
                <w:color w:val="000000" w:themeColor="text1"/>
                <w:lang w:eastAsia="sk-SK"/>
              </w:rPr>
              <w:t xml:space="preserve"> príjmov z aukcií emisných kvót, </w:t>
            </w:r>
            <w:r w:rsidRPr="00036B1A">
              <w:rPr>
                <w:rFonts w:ascii="Times New Roman" w:hAnsi="Times New Roman" w:cs="Times New Roman"/>
                <w:color w:val="000000" w:themeColor="text1"/>
                <w:lang w:eastAsia="sk-SK"/>
              </w:rPr>
              <w:t xml:space="preserve">ktoré budú použité na projekty fondu. </w:t>
            </w:r>
            <w:r w:rsidRPr="00036B1A">
              <w:rPr>
                <w:rFonts w:ascii="Times New Roman" w:hAnsi="Times New Roman" w:cs="Times New Roman"/>
                <w:lang w:eastAsia="sk-SK"/>
              </w:rPr>
              <w:t>Posilnia sa návratné formy podpory, ktoré boli doteraz málo využívané. Okrem</w:t>
            </w:r>
            <w:r w:rsidRPr="00C45F92">
              <w:rPr>
                <w:rFonts w:ascii="Times New Roman" w:hAnsi="Times New Roman" w:cs="Times New Roman"/>
                <w:lang w:eastAsia="sk-SK"/>
              </w:rPr>
              <w:t xml:space="preserve"> úverov by sa malo portfólio ponúkaných produktov rozšíriť aj o záruky či kapitálové investície do podielov v rentabilných projektoch. Environmentálny fond pritom môže využiť know-how Slovenského investičného holdingu. </w:t>
            </w:r>
          </w:p>
          <w:p w:rsidR="007D13F3" w:rsidRPr="00C45F92" w:rsidRDefault="007D13F3" w:rsidP="00465CAC">
            <w:pPr>
              <w:jc w:val="both"/>
              <w:rPr>
                <w:rFonts w:ascii="Times New Roman" w:hAnsi="Times New Roman" w:cs="Times New Roman"/>
                <w:lang w:eastAsia="sk-SK"/>
              </w:rPr>
            </w:pPr>
          </w:p>
          <w:p w:rsidR="007D13F3" w:rsidRPr="00C45F92" w:rsidRDefault="007D13F3" w:rsidP="00465CAC">
            <w:pPr>
              <w:ind w:firstLine="708"/>
              <w:jc w:val="both"/>
              <w:rPr>
                <w:rFonts w:ascii="Times New Roman" w:hAnsi="Times New Roman" w:cs="Times New Roman"/>
                <w:lang w:eastAsia="sk-SK"/>
              </w:rPr>
            </w:pPr>
            <w:r w:rsidRPr="00C45F92">
              <w:rPr>
                <w:rFonts w:ascii="Times New Roman" w:hAnsi="Times New Roman" w:cs="Times New Roman"/>
                <w:bCs/>
                <w:lang w:eastAsia="sk-SK"/>
              </w:rPr>
              <w:t xml:space="preserve">V rozpočtovom období 2018 </w:t>
            </w:r>
            <w:r w:rsidR="004E497F">
              <w:rPr>
                <w:rFonts w:ascii="Times New Roman" w:hAnsi="Times New Roman" w:cs="Times New Roman"/>
                <w:bCs/>
                <w:lang w:eastAsia="sk-SK"/>
              </w:rPr>
              <w:t>až</w:t>
            </w:r>
            <w:r w:rsidRPr="00C45F92">
              <w:rPr>
                <w:rFonts w:ascii="Times New Roman" w:hAnsi="Times New Roman" w:cs="Times New Roman"/>
                <w:bCs/>
                <w:lang w:eastAsia="sk-SK"/>
              </w:rPr>
              <w:t xml:space="preserve"> 2020 sa bude znižovať administratívn</w:t>
            </w:r>
            <w:r w:rsidR="004E497F">
              <w:rPr>
                <w:rFonts w:ascii="Times New Roman" w:hAnsi="Times New Roman" w:cs="Times New Roman"/>
                <w:bCs/>
                <w:lang w:eastAsia="sk-SK"/>
              </w:rPr>
              <w:t>a</w:t>
            </w:r>
            <w:r w:rsidRPr="00C45F92">
              <w:rPr>
                <w:rFonts w:ascii="Times New Roman" w:hAnsi="Times New Roman" w:cs="Times New Roman"/>
                <w:bCs/>
                <w:lang w:eastAsia="sk-SK"/>
              </w:rPr>
              <w:t xml:space="preserve"> záťaž evidencie a spracovania žiadostí. </w:t>
            </w:r>
            <w:r w:rsidRPr="00C45F92">
              <w:rPr>
                <w:rFonts w:ascii="Times New Roman" w:hAnsi="Times New Roman" w:cs="Times New Roman"/>
                <w:lang w:eastAsia="sk-SK"/>
              </w:rPr>
              <w:t xml:space="preserve">V rokoch 2013 </w:t>
            </w:r>
            <w:r w:rsidR="004E497F">
              <w:rPr>
                <w:rFonts w:ascii="Times New Roman" w:hAnsi="Times New Roman" w:cs="Times New Roman"/>
                <w:lang w:eastAsia="sk-SK"/>
              </w:rPr>
              <w:t>až</w:t>
            </w:r>
            <w:r w:rsidRPr="00C45F92">
              <w:rPr>
                <w:rFonts w:ascii="Times New Roman" w:hAnsi="Times New Roman" w:cs="Times New Roman"/>
                <w:lang w:eastAsia="sk-SK"/>
              </w:rPr>
              <w:t xml:space="preserve"> 2016 bola dotácia udelená 20 % žiadateľov z približne 2 000 žiadostí. Zdroje by sa mali sústrediť na menší počet projektov s väčším dopadom. Pre vyššiu efektívnosť systému je potrebné upraviť jednotlivé postupy, vrátane prispôsobenia elektronického systému fondu, ktorý automaticky žiadateľov upozorní na chýba</w:t>
            </w:r>
            <w:r w:rsidR="004E497F">
              <w:rPr>
                <w:rFonts w:ascii="Times New Roman" w:hAnsi="Times New Roman" w:cs="Times New Roman"/>
                <w:lang w:eastAsia="sk-SK"/>
              </w:rPr>
              <w:t>júce údaje. Určením špecifikácií</w:t>
            </w:r>
            <w:r w:rsidRPr="00C45F92">
              <w:rPr>
                <w:rFonts w:ascii="Times New Roman" w:hAnsi="Times New Roman" w:cs="Times New Roman"/>
                <w:lang w:eastAsia="sk-SK"/>
              </w:rPr>
              <w:t xml:space="preserve"> v jednotlivých dotačných výzvach, napr. stanovením maximálneho limitu podpory alebo </w:t>
            </w:r>
            <w:proofErr w:type="spellStart"/>
            <w:r w:rsidRPr="00C45F92">
              <w:rPr>
                <w:rFonts w:ascii="Times New Roman" w:hAnsi="Times New Roman" w:cs="Times New Roman"/>
                <w:lang w:eastAsia="sk-SK"/>
              </w:rPr>
              <w:t>benchmarkov</w:t>
            </w:r>
            <w:proofErr w:type="spellEnd"/>
            <w:r w:rsidRPr="00C45F92">
              <w:rPr>
                <w:rFonts w:ascii="Times New Roman" w:hAnsi="Times New Roman" w:cs="Times New Roman"/>
                <w:lang w:eastAsia="sk-SK"/>
              </w:rPr>
              <w:t xml:space="preserve"> sa potenciálne zníži podiel neúspešných žiadateľov. Zlepšenie analytického hodnotenia projektov pomôže strategickému riadeniu fondu. V čo najväčšej miere bude zohľadňovať merateľné výsledkové kritériá. Orientácia na výsledkové kritériá odbúra subjektívnosť a pomôže určiť najlepší projekt z pohľadu hodnoty za peniaze.</w:t>
            </w:r>
          </w:p>
          <w:p w:rsidR="007D13F3" w:rsidRPr="00C45F92" w:rsidRDefault="007D13F3" w:rsidP="00465CAC">
            <w:pPr>
              <w:rPr>
                <w:rFonts w:ascii="Times New Roman" w:hAnsi="Times New Roman" w:cs="Times New Roman"/>
                <w:color w:val="000000" w:themeColor="text1"/>
              </w:rPr>
            </w:pPr>
          </w:p>
          <w:p w:rsidR="007D13F3" w:rsidRPr="00C45F92" w:rsidRDefault="007D13F3" w:rsidP="00465CAC">
            <w:pPr>
              <w:spacing w:after="120"/>
              <w:jc w:val="both"/>
              <w:rPr>
                <w:rFonts w:ascii="Times New Roman" w:hAnsi="Times New Roman" w:cs="Times New Roman"/>
                <w:b/>
                <w:color w:val="000000" w:themeColor="text1"/>
              </w:rPr>
            </w:pPr>
            <w:r w:rsidRPr="00C45F92">
              <w:rPr>
                <w:rFonts w:ascii="Times New Roman" w:hAnsi="Times New Roman" w:cs="Times New Roman"/>
                <w:b/>
                <w:color w:val="000000" w:themeColor="text1"/>
              </w:rPr>
              <w:t>Opatrenia</w:t>
            </w:r>
          </w:p>
          <w:p w:rsidR="007D13F3" w:rsidRPr="00C45F92" w:rsidRDefault="007D13F3" w:rsidP="004E497F">
            <w:pPr>
              <w:numPr>
                <w:ilvl w:val="0"/>
                <w:numId w:val="46"/>
              </w:numPr>
              <w:jc w:val="both"/>
              <w:rPr>
                <w:rFonts w:ascii="Times New Roman" w:eastAsiaTheme="minorHAnsi" w:hAnsi="Times New Roman" w:cs="Times New Roman"/>
                <w:color w:val="000000" w:themeColor="text1"/>
                <w:lang w:eastAsia="sk-SK"/>
              </w:rPr>
            </w:pPr>
            <w:r w:rsidRPr="00C45F92">
              <w:rPr>
                <w:rFonts w:ascii="Times New Roman" w:eastAsiaTheme="minorHAnsi" w:hAnsi="Times New Roman" w:cs="Times New Roman"/>
                <w:color w:val="000000" w:themeColor="text1"/>
                <w:lang w:eastAsia="sk-SK"/>
              </w:rPr>
              <w:t>Zlepší sa strategické riadenie so zameraním na výsledky:</w:t>
            </w:r>
          </w:p>
          <w:p w:rsidR="007D13F3" w:rsidRPr="00C45F92" w:rsidRDefault="007D13F3" w:rsidP="004E497F">
            <w:pPr>
              <w:numPr>
                <w:ilvl w:val="1"/>
                <w:numId w:val="46"/>
              </w:numPr>
              <w:contextualSpacing/>
              <w:jc w:val="both"/>
              <w:rPr>
                <w:rFonts w:ascii="Times New Roman" w:eastAsiaTheme="minorHAnsi" w:hAnsi="Times New Roman" w:cs="Times New Roman"/>
                <w:color w:val="000000" w:themeColor="text1"/>
                <w:lang w:eastAsia="sk-SK"/>
              </w:rPr>
            </w:pPr>
            <w:r w:rsidRPr="00C45F92">
              <w:rPr>
                <w:rFonts w:ascii="Times New Roman" w:eastAsiaTheme="minorHAnsi" w:hAnsi="Times New Roman" w:cs="Times New Roman"/>
                <w:color w:val="000000" w:themeColor="text1"/>
                <w:lang w:eastAsia="sk-SK"/>
              </w:rPr>
              <w:t xml:space="preserve">vytvorí sa viacročná stratégia podpory na základe </w:t>
            </w:r>
            <w:proofErr w:type="spellStart"/>
            <w:r w:rsidRPr="00C45F92">
              <w:rPr>
                <w:rFonts w:ascii="Times New Roman" w:eastAsiaTheme="minorHAnsi" w:hAnsi="Times New Roman" w:cs="Times New Roman"/>
                <w:color w:val="000000" w:themeColor="text1"/>
                <w:lang w:eastAsia="sk-SK"/>
              </w:rPr>
              <w:t>prioritizácie</w:t>
            </w:r>
            <w:proofErr w:type="spellEnd"/>
            <w:r w:rsidRPr="00C45F92">
              <w:rPr>
                <w:rFonts w:ascii="Times New Roman" w:eastAsiaTheme="minorHAnsi" w:hAnsi="Times New Roman" w:cs="Times New Roman"/>
                <w:color w:val="000000" w:themeColor="text1"/>
                <w:lang w:eastAsia="sk-SK"/>
              </w:rPr>
              <w:t xml:space="preserve"> cieľových oblastí a projektov,</w:t>
            </w:r>
          </w:p>
          <w:p w:rsidR="007D13F3" w:rsidRPr="00C45F92" w:rsidRDefault="007D13F3" w:rsidP="004E497F">
            <w:pPr>
              <w:numPr>
                <w:ilvl w:val="1"/>
                <w:numId w:val="46"/>
              </w:numPr>
              <w:contextualSpacing/>
              <w:jc w:val="both"/>
              <w:rPr>
                <w:rFonts w:ascii="Times New Roman" w:eastAsiaTheme="minorHAnsi" w:hAnsi="Times New Roman" w:cs="Times New Roman"/>
                <w:color w:val="000000" w:themeColor="text1"/>
                <w:lang w:eastAsia="sk-SK"/>
              </w:rPr>
            </w:pPr>
            <w:r w:rsidRPr="00C45F92">
              <w:rPr>
                <w:rFonts w:ascii="Times New Roman" w:eastAsiaTheme="minorHAnsi" w:hAnsi="Times New Roman" w:cs="Times New Roman"/>
                <w:color w:val="000000" w:themeColor="text1"/>
                <w:lang w:eastAsia="sk-SK"/>
              </w:rPr>
              <w:t>zvýši sa využívanie úverov vo fonde.</w:t>
            </w:r>
          </w:p>
          <w:p w:rsidR="007D13F3" w:rsidRPr="00C45F92" w:rsidRDefault="007D13F3" w:rsidP="004E497F">
            <w:pPr>
              <w:numPr>
                <w:ilvl w:val="0"/>
                <w:numId w:val="46"/>
              </w:numPr>
              <w:jc w:val="both"/>
              <w:rPr>
                <w:rFonts w:ascii="Times New Roman" w:eastAsiaTheme="minorHAnsi" w:hAnsi="Times New Roman" w:cs="Times New Roman"/>
                <w:color w:val="000000" w:themeColor="text1"/>
                <w:lang w:eastAsia="en-US"/>
              </w:rPr>
            </w:pPr>
            <w:r w:rsidRPr="00C45F92">
              <w:rPr>
                <w:rFonts w:ascii="Times New Roman" w:eastAsiaTheme="minorHAnsi" w:hAnsi="Times New Roman" w:cs="Times New Roman"/>
                <w:color w:val="000000" w:themeColor="text1"/>
                <w:lang w:eastAsia="en-US"/>
              </w:rPr>
              <w:t>Dotácie Environmentálneho fondu v manažmente odpadových vôd a zabezpečovanie pitnou vodou sa bude zameriavať na ucelené projekty:</w:t>
            </w:r>
          </w:p>
          <w:p w:rsidR="007D13F3" w:rsidRPr="00C45F92" w:rsidRDefault="007D13F3" w:rsidP="004E497F">
            <w:pPr>
              <w:numPr>
                <w:ilvl w:val="1"/>
                <w:numId w:val="46"/>
              </w:numPr>
              <w:jc w:val="both"/>
              <w:rPr>
                <w:rFonts w:ascii="Times New Roman" w:eastAsiaTheme="minorHAnsi" w:hAnsi="Times New Roman" w:cs="Times New Roman"/>
                <w:color w:val="000000" w:themeColor="text1"/>
                <w:lang w:eastAsia="en-US"/>
              </w:rPr>
            </w:pPr>
            <w:r w:rsidRPr="00C45F92">
              <w:rPr>
                <w:rFonts w:ascii="Times New Roman" w:eastAsiaTheme="minorHAnsi" w:hAnsi="Times New Roman" w:cs="Times New Roman"/>
                <w:color w:val="000000" w:themeColor="text1"/>
                <w:lang w:eastAsia="sk-SK"/>
              </w:rPr>
              <w:t>zlepší sa analytické hodnotenie, vrátane preorientovania výberových kritérií na výsledkové.</w:t>
            </w:r>
          </w:p>
          <w:p w:rsidR="007D13F3" w:rsidRPr="00C45F92" w:rsidRDefault="007D13F3" w:rsidP="004E497F">
            <w:pPr>
              <w:numPr>
                <w:ilvl w:val="0"/>
                <w:numId w:val="46"/>
              </w:numPr>
              <w:jc w:val="both"/>
              <w:rPr>
                <w:rFonts w:ascii="Times New Roman" w:eastAsiaTheme="minorHAnsi" w:hAnsi="Times New Roman" w:cs="Times New Roman"/>
                <w:color w:val="000000" w:themeColor="text1"/>
                <w:lang w:eastAsia="en-US"/>
              </w:rPr>
            </w:pPr>
            <w:r w:rsidRPr="00C45F92">
              <w:rPr>
                <w:rFonts w:ascii="Times New Roman" w:eastAsiaTheme="minorHAnsi" w:hAnsi="Times New Roman" w:cs="Times New Roman"/>
                <w:color w:val="000000" w:themeColor="text1"/>
                <w:lang w:eastAsia="en-US"/>
              </w:rPr>
              <w:t>Zefektívni sa rozpočtovací proces:</w:t>
            </w:r>
          </w:p>
          <w:p w:rsidR="007D13F3" w:rsidRPr="00C45F92" w:rsidRDefault="00036B1A" w:rsidP="00036B1A">
            <w:pPr>
              <w:numPr>
                <w:ilvl w:val="1"/>
                <w:numId w:val="46"/>
              </w:numPr>
              <w:jc w:val="both"/>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xml:space="preserve">stanoví sa </w:t>
            </w:r>
            <w:r w:rsidR="007D13F3" w:rsidRPr="00C45F92">
              <w:rPr>
                <w:rFonts w:ascii="Times New Roman" w:eastAsiaTheme="minorHAnsi" w:hAnsi="Times New Roman" w:cs="Times New Roman"/>
                <w:color w:val="000000" w:themeColor="text1"/>
                <w:lang w:eastAsia="en-US"/>
              </w:rPr>
              <w:t>podiel príjmov z aukcií emisných kvót</w:t>
            </w:r>
            <w:r>
              <w:rPr>
                <w:rFonts w:ascii="Times New Roman" w:eastAsiaTheme="minorHAnsi" w:hAnsi="Times New Roman" w:cs="Times New Roman"/>
                <w:color w:val="000000" w:themeColor="text1"/>
                <w:lang w:eastAsia="en-US"/>
              </w:rPr>
              <w:t xml:space="preserve">, ktoré </w:t>
            </w:r>
            <w:r w:rsidR="007D13F3" w:rsidRPr="00C45F92">
              <w:rPr>
                <w:rFonts w:ascii="Times New Roman" w:eastAsiaTheme="minorHAnsi" w:hAnsi="Times New Roman" w:cs="Times New Roman"/>
                <w:color w:val="000000" w:themeColor="text1"/>
                <w:lang w:eastAsia="en-US"/>
              </w:rPr>
              <w:t>bud</w:t>
            </w:r>
            <w:r>
              <w:rPr>
                <w:rFonts w:ascii="Times New Roman" w:eastAsiaTheme="minorHAnsi" w:hAnsi="Times New Roman" w:cs="Times New Roman"/>
                <w:color w:val="000000" w:themeColor="text1"/>
                <w:lang w:eastAsia="en-US"/>
              </w:rPr>
              <w:t>ú</w:t>
            </w:r>
            <w:r w:rsidR="007D13F3" w:rsidRPr="00C45F92">
              <w:rPr>
                <w:rFonts w:ascii="Times New Roman" w:eastAsiaTheme="minorHAnsi" w:hAnsi="Times New Roman" w:cs="Times New Roman"/>
                <w:color w:val="000000" w:themeColor="text1"/>
                <w:lang w:eastAsia="en-US"/>
              </w:rPr>
              <w:t xml:space="preserve"> použit</w:t>
            </w:r>
            <w:r>
              <w:rPr>
                <w:rFonts w:ascii="Times New Roman" w:eastAsiaTheme="minorHAnsi" w:hAnsi="Times New Roman" w:cs="Times New Roman"/>
                <w:color w:val="000000" w:themeColor="text1"/>
                <w:lang w:eastAsia="en-US"/>
              </w:rPr>
              <w:t>é</w:t>
            </w:r>
            <w:r w:rsidR="007D13F3" w:rsidRPr="00C45F92">
              <w:rPr>
                <w:rFonts w:ascii="Times New Roman" w:eastAsiaTheme="minorHAnsi" w:hAnsi="Times New Roman" w:cs="Times New Roman"/>
                <w:color w:val="000000" w:themeColor="text1"/>
                <w:lang w:eastAsia="en-US"/>
              </w:rPr>
              <w:t xml:space="preserve"> na poskytovanie dotácií a úverov.</w:t>
            </w:r>
          </w:p>
        </w:tc>
      </w:tr>
      <w:bookmarkEnd w:id="112"/>
      <w:bookmarkEnd w:id="113"/>
      <w:bookmarkEnd w:id="114"/>
      <w:bookmarkEnd w:id="115"/>
      <w:bookmarkEnd w:id="116"/>
      <w:bookmarkEnd w:id="117"/>
      <w:bookmarkEnd w:id="118"/>
      <w:bookmarkEnd w:id="119"/>
      <w:bookmarkEnd w:id="120"/>
      <w:bookmarkEnd w:id="121"/>
      <w:bookmarkEnd w:id="122"/>
    </w:tbl>
    <w:p w:rsidR="007D13F3" w:rsidRDefault="007D13F3" w:rsidP="007D13F3">
      <w:pPr>
        <w:rPr>
          <w:color w:val="000000" w:themeColor="text1"/>
        </w:rPr>
      </w:pPr>
    </w:p>
    <w:p w:rsidR="009C37FC" w:rsidRDefault="009C37FC" w:rsidP="007D13F3">
      <w:pPr>
        <w:rPr>
          <w:color w:val="000000" w:themeColor="text1"/>
        </w:rPr>
      </w:pPr>
    </w:p>
    <w:p w:rsidR="007D13F3" w:rsidRPr="00486A87" w:rsidRDefault="007D13F3" w:rsidP="007D13F3">
      <w:pPr>
        <w:jc w:val="both"/>
        <w:rPr>
          <w:rFonts w:ascii="Times New Roman" w:hAnsi="Times New Roman" w:cs="Times New Roman"/>
          <w:b/>
        </w:rPr>
      </w:pPr>
      <w:r w:rsidRPr="00486A87">
        <w:rPr>
          <w:rFonts w:ascii="Times New Roman" w:hAnsi="Times New Roman" w:cs="Times New Roman"/>
          <w:b/>
        </w:rPr>
        <w:lastRenderedPageBreak/>
        <w:t>Výdavky kapitoly Ministerstva životného prostredia SR</w:t>
      </w:r>
    </w:p>
    <w:p w:rsidR="007D13F3" w:rsidRPr="005F1146" w:rsidRDefault="007D13F3" w:rsidP="007D13F3">
      <w:pPr>
        <w:jc w:val="both"/>
        <w:rPr>
          <w:rFonts w:ascii="Times New Roman" w:hAnsi="Times New Roman" w:cs="Times New Roman"/>
        </w:rPr>
      </w:pPr>
    </w:p>
    <w:tbl>
      <w:tblPr>
        <w:tblW w:w="4969"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4"/>
        <w:gridCol w:w="866"/>
        <w:gridCol w:w="866"/>
        <w:gridCol w:w="222"/>
        <w:gridCol w:w="618"/>
        <w:gridCol w:w="853"/>
        <w:gridCol w:w="1006"/>
        <w:gridCol w:w="46"/>
        <w:gridCol w:w="952"/>
        <w:gridCol w:w="1003"/>
      </w:tblGrid>
      <w:tr w:rsidR="007D13F3" w:rsidRPr="006145DA" w:rsidTr="00465CAC">
        <w:trPr>
          <w:trHeight w:val="258"/>
        </w:trPr>
        <w:tc>
          <w:tcPr>
            <w:tcW w:w="1406" w:type="pct"/>
            <w:shd w:val="clear" w:color="000000" w:fill="A6A6A6"/>
            <w:noWrap/>
            <w:vAlign w:val="bottom"/>
            <w:hideMark/>
          </w:tcPr>
          <w:p w:rsidR="007D13F3" w:rsidRPr="006145DA" w:rsidRDefault="007D13F3" w:rsidP="00465CAC">
            <w:pPr>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 </w:t>
            </w:r>
            <w:r w:rsidRPr="006145DA">
              <w:rPr>
                <w:rFonts w:ascii="Times New Roman" w:hAnsi="Times New Roman" w:cs="Times New Roman"/>
                <w:b/>
                <w:bCs/>
                <w:color w:val="000000"/>
                <w:sz w:val="14"/>
                <w:szCs w:val="14"/>
              </w:rPr>
              <w:t>v eurách</w:t>
            </w:r>
          </w:p>
        </w:tc>
        <w:tc>
          <w:tcPr>
            <w:tcW w:w="485" w:type="pct"/>
            <w:shd w:val="clear" w:color="000000" w:fill="A6A6A6"/>
            <w:noWrap/>
            <w:vAlign w:val="bottom"/>
            <w:hideMark/>
          </w:tcPr>
          <w:p w:rsidR="007D13F3" w:rsidRPr="006145DA" w:rsidRDefault="007D13F3" w:rsidP="00465CAC">
            <w:pPr>
              <w:jc w:val="center"/>
              <w:rPr>
                <w:rFonts w:ascii="Times New Roman" w:hAnsi="Times New Roman" w:cs="Times New Roman"/>
                <w:b/>
                <w:bCs/>
                <w:color w:val="000000"/>
                <w:sz w:val="14"/>
                <w:szCs w:val="14"/>
              </w:rPr>
            </w:pPr>
            <w:r w:rsidRPr="006145DA">
              <w:rPr>
                <w:rFonts w:ascii="Times New Roman" w:hAnsi="Times New Roman" w:cs="Times New Roman"/>
                <w:b/>
                <w:bCs/>
                <w:color w:val="000000"/>
                <w:sz w:val="14"/>
                <w:szCs w:val="14"/>
              </w:rPr>
              <w:t>2015 S</w:t>
            </w:r>
          </w:p>
        </w:tc>
        <w:tc>
          <w:tcPr>
            <w:tcW w:w="485" w:type="pct"/>
            <w:shd w:val="clear" w:color="000000" w:fill="A6A6A6"/>
            <w:noWrap/>
            <w:vAlign w:val="bottom"/>
            <w:hideMark/>
          </w:tcPr>
          <w:p w:rsidR="007D13F3" w:rsidRPr="006145DA" w:rsidRDefault="007D13F3" w:rsidP="00465CAC">
            <w:pPr>
              <w:jc w:val="center"/>
              <w:rPr>
                <w:rFonts w:ascii="Times New Roman" w:hAnsi="Times New Roman" w:cs="Times New Roman"/>
                <w:b/>
                <w:bCs/>
                <w:color w:val="000000"/>
                <w:sz w:val="14"/>
                <w:szCs w:val="14"/>
              </w:rPr>
            </w:pPr>
            <w:r w:rsidRPr="006145DA">
              <w:rPr>
                <w:rFonts w:ascii="Times New Roman" w:hAnsi="Times New Roman" w:cs="Times New Roman"/>
                <w:b/>
                <w:bCs/>
                <w:color w:val="000000"/>
                <w:sz w:val="14"/>
                <w:szCs w:val="14"/>
              </w:rPr>
              <w:t>2016 S</w:t>
            </w:r>
          </w:p>
        </w:tc>
        <w:tc>
          <w:tcPr>
            <w:tcW w:w="459" w:type="pct"/>
            <w:gridSpan w:val="2"/>
            <w:shd w:val="clear" w:color="000000" w:fill="A6A6A6"/>
            <w:noWrap/>
            <w:vAlign w:val="bottom"/>
            <w:hideMark/>
          </w:tcPr>
          <w:p w:rsidR="007D13F3" w:rsidRPr="006145DA" w:rsidRDefault="007D13F3" w:rsidP="00465CAC">
            <w:pPr>
              <w:jc w:val="center"/>
              <w:rPr>
                <w:rFonts w:ascii="Times New Roman" w:hAnsi="Times New Roman" w:cs="Times New Roman"/>
                <w:b/>
                <w:bCs/>
                <w:color w:val="000000"/>
                <w:sz w:val="14"/>
                <w:szCs w:val="14"/>
              </w:rPr>
            </w:pPr>
            <w:r w:rsidRPr="006145DA">
              <w:rPr>
                <w:rFonts w:ascii="Times New Roman" w:hAnsi="Times New Roman" w:cs="Times New Roman"/>
                <w:b/>
                <w:bCs/>
                <w:color w:val="000000"/>
                <w:sz w:val="14"/>
                <w:szCs w:val="14"/>
              </w:rPr>
              <w:t>2017 R</w:t>
            </w:r>
          </w:p>
        </w:tc>
        <w:tc>
          <w:tcPr>
            <w:tcW w:w="478" w:type="pct"/>
            <w:shd w:val="clear" w:color="000000" w:fill="A6A6A6"/>
            <w:noWrap/>
            <w:vAlign w:val="bottom"/>
            <w:hideMark/>
          </w:tcPr>
          <w:p w:rsidR="007D13F3" w:rsidRPr="006145DA" w:rsidRDefault="007D13F3" w:rsidP="00465CAC">
            <w:pPr>
              <w:jc w:val="center"/>
              <w:rPr>
                <w:rFonts w:ascii="Times New Roman" w:hAnsi="Times New Roman" w:cs="Times New Roman"/>
                <w:b/>
                <w:bCs/>
                <w:color w:val="000000"/>
                <w:sz w:val="14"/>
                <w:szCs w:val="14"/>
              </w:rPr>
            </w:pPr>
            <w:r w:rsidRPr="006145DA">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563" w:type="pct"/>
            <w:shd w:val="clear" w:color="000000" w:fill="A6A6A6"/>
            <w:noWrap/>
            <w:vAlign w:val="bottom"/>
            <w:hideMark/>
          </w:tcPr>
          <w:p w:rsidR="007D13F3" w:rsidRPr="006145DA" w:rsidRDefault="007D13F3" w:rsidP="00465CAC">
            <w:pPr>
              <w:jc w:val="center"/>
              <w:rPr>
                <w:rFonts w:ascii="Times New Roman" w:hAnsi="Times New Roman" w:cs="Times New Roman"/>
                <w:b/>
                <w:bCs/>
                <w:color w:val="000000"/>
                <w:sz w:val="14"/>
                <w:szCs w:val="14"/>
              </w:rPr>
            </w:pPr>
            <w:r w:rsidRPr="006145DA">
              <w:rPr>
                <w:rFonts w:ascii="Times New Roman" w:hAnsi="Times New Roman" w:cs="Times New Roman"/>
                <w:b/>
                <w:bCs/>
                <w:color w:val="000000"/>
                <w:sz w:val="14"/>
                <w:szCs w:val="14"/>
              </w:rPr>
              <w:t>2018 N</w:t>
            </w:r>
          </w:p>
        </w:tc>
        <w:tc>
          <w:tcPr>
            <w:tcW w:w="563" w:type="pct"/>
            <w:gridSpan w:val="2"/>
            <w:shd w:val="clear" w:color="000000" w:fill="A6A6A6"/>
            <w:noWrap/>
            <w:vAlign w:val="bottom"/>
            <w:hideMark/>
          </w:tcPr>
          <w:p w:rsidR="007D13F3" w:rsidRPr="006145DA" w:rsidRDefault="007D13F3" w:rsidP="00465CAC">
            <w:pPr>
              <w:jc w:val="center"/>
              <w:rPr>
                <w:rFonts w:ascii="Times New Roman" w:hAnsi="Times New Roman" w:cs="Times New Roman"/>
                <w:b/>
                <w:bCs/>
                <w:color w:val="000000"/>
                <w:sz w:val="14"/>
                <w:szCs w:val="14"/>
              </w:rPr>
            </w:pPr>
            <w:r w:rsidRPr="006145DA">
              <w:rPr>
                <w:rFonts w:ascii="Times New Roman" w:hAnsi="Times New Roman" w:cs="Times New Roman"/>
                <w:b/>
                <w:bCs/>
                <w:color w:val="000000"/>
                <w:sz w:val="14"/>
                <w:szCs w:val="14"/>
              </w:rPr>
              <w:t>2019 N</w:t>
            </w:r>
          </w:p>
        </w:tc>
        <w:tc>
          <w:tcPr>
            <w:tcW w:w="563" w:type="pct"/>
            <w:shd w:val="clear" w:color="000000" w:fill="A6A6A6"/>
            <w:noWrap/>
            <w:vAlign w:val="bottom"/>
            <w:hideMark/>
          </w:tcPr>
          <w:p w:rsidR="007D13F3" w:rsidRPr="006145DA" w:rsidRDefault="007D13F3" w:rsidP="00465CAC">
            <w:pPr>
              <w:jc w:val="center"/>
              <w:rPr>
                <w:rFonts w:ascii="Times New Roman" w:hAnsi="Times New Roman" w:cs="Times New Roman"/>
                <w:b/>
                <w:bCs/>
                <w:color w:val="000000"/>
                <w:sz w:val="14"/>
                <w:szCs w:val="14"/>
              </w:rPr>
            </w:pPr>
            <w:r w:rsidRPr="006145DA">
              <w:rPr>
                <w:rFonts w:ascii="Times New Roman" w:hAnsi="Times New Roman" w:cs="Times New Roman"/>
                <w:b/>
                <w:bCs/>
                <w:color w:val="000000"/>
                <w:sz w:val="14"/>
                <w:szCs w:val="14"/>
              </w:rPr>
              <w:t>2020 N</w:t>
            </w:r>
          </w:p>
        </w:tc>
      </w:tr>
      <w:tr w:rsidR="007D13F3" w:rsidRPr="006145DA" w:rsidTr="00465CAC">
        <w:trPr>
          <w:trHeight w:val="258"/>
        </w:trPr>
        <w:tc>
          <w:tcPr>
            <w:tcW w:w="1406" w:type="pct"/>
            <w:shd w:val="clear" w:color="auto" w:fill="BFBFBF" w:themeFill="background1" w:themeFillShade="BF"/>
            <w:noWrap/>
            <w:vAlign w:val="bottom"/>
          </w:tcPr>
          <w:p w:rsidR="007D13F3" w:rsidRPr="006145DA" w:rsidRDefault="007D13F3" w:rsidP="00465CAC">
            <w:pPr>
              <w:rPr>
                <w:rFonts w:ascii="Times New Roman" w:hAnsi="Times New Roman" w:cs="Times New Roman"/>
                <w:b/>
                <w:bCs/>
                <w:sz w:val="14"/>
                <w:szCs w:val="14"/>
                <w:lang w:eastAsia="sk-SK"/>
              </w:rPr>
            </w:pPr>
            <w:r w:rsidRPr="006145DA">
              <w:rPr>
                <w:rFonts w:ascii="Times New Roman" w:hAnsi="Times New Roman" w:cs="Times New Roman"/>
                <w:b/>
                <w:bCs/>
                <w:sz w:val="14"/>
                <w:szCs w:val="14"/>
                <w:lang w:eastAsia="sk-SK"/>
              </w:rPr>
              <w:t>Zdroje príslušnej kapitoly vrátane 72e</w:t>
            </w:r>
          </w:p>
        </w:tc>
        <w:tc>
          <w:tcPr>
            <w:tcW w:w="485" w:type="pct"/>
            <w:shd w:val="clear" w:color="auto" w:fill="BFBFBF" w:themeFill="background1" w:themeFillShade="BF"/>
            <w:noWrap/>
            <w:vAlign w:val="bottom"/>
          </w:tcPr>
          <w:p w:rsidR="007D13F3" w:rsidRPr="006145DA" w:rsidRDefault="007D13F3" w:rsidP="00465CAC">
            <w:pPr>
              <w:jc w:val="right"/>
              <w:rPr>
                <w:rFonts w:ascii="Times New Roman" w:hAnsi="Times New Roman" w:cs="Times New Roman"/>
                <w:b/>
                <w:bCs/>
                <w:sz w:val="14"/>
                <w:szCs w:val="14"/>
                <w:lang w:eastAsia="sk-SK"/>
              </w:rPr>
            </w:pPr>
            <w:r w:rsidRPr="006145DA">
              <w:rPr>
                <w:rFonts w:ascii="Times New Roman" w:hAnsi="Times New Roman" w:cs="Times New Roman"/>
                <w:b/>
                <w:bCs/>
                <w:sz w:val="14"/>
                <w:szCs w:val="14"/>
              </w:rPr>
              <w:t>665 916 607</w:t>
            </w:r>
          </w:p>
        </w:tc>
        <w:tc>
          <w:tcPr>
            <w:tcW w:w="485" w:type="pct"/>
            <w:shd w:val="clear" w:color="auto" w:fill="BFBFBF" w:themeFill="background1" w:themeFillShade="BF"/>
            <w:noWrap/>
            <w:vAlign w:val="bottom"/>
          </w:tcPr>
          <w:p w:rsidR="007D13F3" w:rsidRPr="006145DA" w:rsidRDefault="007D13F3" w:rsidP="00465CAC">
            <w:pPr>
              <w:jc w:val="right"/>
              <w:rPr>
                <w:rFonts w:ascii="Times New Roman" w:hAnsi="Times New Roman" w:cs="Times New Roman"/>
                <w:b/>
                <w:bCs/>
                <w:sz w:val="14"/>
                <w:szCs w:val="14"/>
              </w:rPr>
            </w:pPr>
            <w:r w:rsidRPr="006145DA">
              <w:rPr>
                <w:rFonts w:ascii="Times New Roman" w:hAnsi="Times New Roman" w:cs="Times New Roman"/>
                <w:b/>
                <w:bCs/>
                <w:sz w:val="14"/>
                <w:szCs w:val="14"/>
              </w:rPr>
              <w:t>293 189 164</w:t>
            </w:r>
          </w:p>
        </w:tc>
        <w:tc>
          <w:tcPr>
            <w:tcW w:w="459" w:type="pct"/>
            <w:gridSpan w:val="2"/>
            <w:shd w:val="clear" w:color="auto" w:fill="BFBFBF" w:themeFill="background1" w:themeFillShade="BF"/>
            <w:noWrap/>
            <w:vAlign w:val="bottom"/>
          </w:tcPr>
          <w:p w:rsidR="007D13F3" w:rsidRPr="006145DA" w:rsidRDefault="007D13F3" w:rsidP="00465CAC">
            <w:pPr>
              <w:jc w:val="right"/>
              <w:rPr>
                <w:rFonts w:ascii="Times New Roman" w:hAnsi="Times New Roman" w:cs="Times New Roman"/>
                <w:b/>
                <w:bCs/>
                <w:sz w:val="14"/>
                <w:szCs w:val="14"/>
              </w:rPr>
            </w:pPr>
            <w:r w:rsidRPr="006145DA">
              <w:rPr>
                <w:rFonts w:ascii="Times New Roman" w:hAnsi="Times New Roman" w:cs="Times New Roman"/>
                <w:b/>
                <w:bCs/>
                <w:sz w:val="14"/>
                <w:szCs w:val="14"/>
              </w:rPr>
              <w:t>489 632 980</w:t>
            </w:r>
          </w:p>
        </w:tc>
        <w:tc>
          <w:tcPr>
            <w:tcW w:w="478" w:type="pct"/>
            <w:shd w:val="clear" w:color="auto" w:fill="BFBFBF" w:themeFill="background1" w:themeFillShade="BF"/>
            <w:noWrap/>
            <w:vAlign w:val="bottom"/>
          </w:tcPr>
          <w:p w:rsidR="007D13F3" w:rsidRPr="006145DA" w:rsidRDefault="007D13F3" w:rsidP="00465CAC">
            <w:pPr>
              <w:jc w:val="right"/>
              <w:rPr>
                <w:rFonts w:ascii="Times New Roman" w:hAnsi="Times New Roman" w:cs="Times New Roman"/>
                <w:b/>
                <w:bCs/>
                <w:sz w:val="14"/>
                <w:szCs w:val="14"/>
              </w:rPr>
            </w:pPr>
            <w:r w:rsidRPr="006145DA">
              <w:rPr>
                <w:rFonts w:ascii="Times New Roman" w:hAnsi="Times New Roman" w:cs="Times New Roman"/>
                <w:b/>
                <w:bCs/>
                <w:sz w:val="14"/>
                <w:szCs w:val="14"/>
              </w:rPr>
              <w:t>244 149 641</w:t>
            </w:r>
          </w:p>
        </w:tc>
        <w:tc>
          <w:tcPr>
            <w:tcW w:w="563" w:type="pct"/>
            <w:shd w:val="clear" w:color="auto" w:fill="BFBFBF" w:themeFill="background1" w:themeFillShade="BF"/>
            <w:noWrap/>
            <w:vAlign w:val="bottom"/>
          </w:tcPr>
          <w:p w:rsidR="007D13F3" w:rsidRPr="006145DA" w:rsidRDefault="007D13F3" w:rsidP="00465CAC">
            <w:pPr>
              <w:jc w:val="right"/>
              <w:rPr>
                <w:rFonts w:ascii="Times New Roman" w:hAnsi="Times New Roman" w:cs="Times New Roman"/>
                <w:b/>
                <w:bCs/>
                <w:sz w:val="14"/>
                <w:szCs w:val="14"/>
                <w:lang w:eastAsia="sk-SK"/>
              </w:rPr>
            </w:pPr>
            <w:r w:rsidRPr="006145DA">
              <w:rPr>
                <w:rFonts w:ascii="Times New Roman" w:hAnsi="Times New Roman" w:cs="Times New Roman"/>
                <w:b/>
                <w:bCs/>
                <w:sz w:val="14"/>
                <w:szCs w:val="14"/>
              </w:rPr>
              <w:t>193 159 226</w:t>
            </w:r>
          </w:p>
        </w:tc>
        <w:tc>
          <w:tcPr>
            <w:tcW w:w="563" w:type="pct"/>
            <w:gridSpan w:val="2"/>
            <w:shd w:val="clear" w:color="auto" w:fill="BFBFBF" w:themeFill="background1" w:themeFillShade="BF"/>
            <w:noWrap/>
            <w:vAlign w:val="bottom"/>
          </w:tcPr>
          <w:p w:rsidR="007D13F3" w:rsidRPr="006145DA" w:rsidRDefault="007D13F3" w:rsidP="00465CAC">
            <w:pPr>
              <w:jc w:val="right"/>
              <w:rPr>
                <w:rFonts w:ascii="Times New Roman" w:hAnsi="Times New Roman" w:cs="Times New Roman"/>
                <w:b/>
                <w:bCs/>
                <w:sz w:val="14"/>
                <w:szCs w:val="14"/>
              </w:rPr>
            </w:pPr>
            <w:r w:rsidRPr="006145DA">
              <w:rPr>
                <w:rFonts w:ascii="Times New Roman" w:hAnsi="Times New Roman" w:cs="Times New Roman"/>
                <w:b/>
                <w:bCs/>
                <w:sz w:val="14"/>
                <w:szCs w:val="14"/>
              </w:rPr>
              <w:t>687 885 123</w:t>
            </w:r>
          </w:p>
        </w:tc>
        <w:tc>
          <w:tcPr>
            <w:tcW w:w="563" w:type="pct"/>
            <w:shd w:val="clear" w:color="auto" w:fill="BFBFBF" w:themeFill="background1" w:themeFillShade="BF"/>
            <w:noWrap/>
            <w:vAlign w:val="bottom"/>
          </w:tcPr>
          <w:p w:rsidR="007D13F3" w:rsidRPr="006145DA" w:rsidRDefault="007D13F3" w:rsidP="00465CAC">
            <w:pPr>
              <w:jc w:val="right"/>
              <w:rPr>
                <w:rFonts w:ascii="Times New Roman" w:hAnsi="Times New Roman" w:cs="Times New Roman"/>
                <w:b/>
                <w:bCs/>
                <w:sz w:val="14"/>
                <w:szCs w:val="14"/>
              </w:rPr>
            </w:pPr>
            <w:r w:rsidRPr="006145DA">
              <w:rPr>
                <w:rFonts w:ascii="Times New Roman" w:hAnsi="Times New Roman" w:cs="Times New Roman"/>
                <w:b/>
                <w:bCs/>
                <w:sz w:val="14"/>
                <w:szCs w:val="14"/>
              </w:rPr>
              <w:t>760 426 726</w:t>
            </w:r>
          </w:p>
        </w:tc>
      </w:tr>
      <w:tr w:rsidR="007D13F3" w:rsidRPr="006145DA" w:rsidTr="00465CAC">
        <w:trPr>
          <w:trHeight w:val="258"/>
        </w:trPr>
        <w:tc>
          <w:tcPr>
            <w:tcW w:w="1406" w:type="pct"/>
            <w:shd w:val="clear" w:color="auto" w:fill="BFBFBF" w:themeFill="background1" w:themeFillShade="BF"/>
            <w:noWrap/>
            <w:vAlign w:val="bottom"/>
            <w:hideMark/>
          </w:tcPr>
          <w:p w:rsidR="007D13F3" w:rsidRPr="006145DA" w:rsidRDefault="007D13F3" w:rsidP="00465CAC">
            <w:pPr>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Zdroje príslušnej kapitoly</w:t>
            </w:r>
          </w:p>
        </w:tc>
        <w:tc>
          <w:tcPr>
            <w:tcW w:w="485" w:type="pct"/>
            <w:shd w:val="clear" w:color="auto" w:fill="BFBFBF" w:themeFill="background1" w:themeFillShade="BF"/>
            <w:vAlign w:val="bottom"/>
            <w:hideMark/>
          </w:tcPr>
          <w:p w:rsidR="007D13F3" w:rsidRPr="006145DA" w:rsidRDefault="007D13F3" w:rsidP="00465CAC">
            <w:pPr>
              <w:jc w:val="right"/>
              <w:rPr>
                <w:rFonts w:ascii="Times New Roman" w:hAnsi="Times New Roman" w:cs="Times New Roman"/>
                <w:b/>
                <w:bCs/>
                <w:color w:val="000000"/>
                <w:sz w:val="14"/>
                <w:szCs w:val="14"/>
                <w:lang w:eastAsia="sk-SK"/>
              </w:rPr>
            </w:pPr>
            <w:r w:rsidRPr="006145DA">
              <w:rPr>
                <w:rFonts w:ascii="Times New Roman" w:hAnsi="Times New Roman" w:cs="Times New Roman"/>
                <w:b/>
                <w:bCs/>
                <w:color w:val="000000"/>
                <w:sz w:val="14"/>
                <w:szCs w:val="14"/>
              </w:rPr>
              <w:t>665 840 031</w:t>
            </w:r>
          </w:p>
        </w:tc>
        <w:tc>
          <w:tcPr>
            <w:tcW w:w="485" w:type="pct"/>
            <w:shd w:val="clear" w:color="auto" w:fill="BFBFBF" w:themeFill="background1" w:themeFillShade="BF"/>
            <w:vAlign w:val="bottom"/>
          </w:tcPr>
          <w:p w:rsidR="007D13F3" w:rsidRPr="006145DA" w:rsidRDefault="007D13F3" w:rsidP="00465CAC">
            <w:pPr>
              <w:jc w:val="right"/>
              <w:rPr>
                <w:rFonts w:ascii="Times New Roman" w:hAnsi="Times New Roman" w:cs="Times New Roman"/>
                <w:b/>
                <w:bCs/>
                <w:color w:val="000000"/>
                <w:sz w:val="14"/>
                <w:szCs w:val="14"/>
                <w:lang w:eastAsia="sk-SK"/>
              </w:rPr>
            </w:pPr>
            <w:r w:rsidRPr="006145DA">
              <w:rPr>
                <w:rFonts w:ascii="Times New Roman" w:hAnsi="Times New Roman" w:cs="Times New Roman"/>
                <w:b/>
                <w:bCs/>
                <w:color w:val="000000"/>
                <w:sz w:val="14"/>
                <w:szCs w:val="14"/>
              </w:rPr>
              <w:t>292 939 312</w:t>
            </w:r>
          </w:p>
        </w:tc>
        <w:tc>
          <w:tcPr>
            <w:tcW w:w="459" w:type="pct"/>
            <w:gridSpan w:val="2"/>
            <w:shd w:val="clear" w:color="auto" w:fill="BFBFBF" w:themeFill="background1" w:themeFillShade="BF"/>
            <w:vAlign w:val="bottom"/>
          </w:tcPr>
          <w:p w:rsidR="007D13F3" w:rsidRPr="006145DA" w:rsidRDefault="007D13F3" w:rsidP="00465CAC">
            <w:pPr>
              <w:jc w:val="right"/>
              <w:rPr>
                <w:rFonts w:ascii="Times New Roman" w:hAnsi="Times New Roman" w:cs="Times New Roman"/>
                <w:b/>
                <w:bCs/>
                <w:color w:val="000000"/>
                <w:sz w:val="14"/>
                <w:szCs w:val="14"/>
              </w:rPr>
            </w:pPr>
            <w:r w:rsidRPr="006145DA">
              <w:rPr>
                <w:rFonts w:ascii="Times New Roman" w:hAnsi="Times New Roman" w:cs="Times New Roman"/>
                <w:b/>
                <w:bCs/>
                <w:color w:val="000000"/>
                <w:sz w:val="14"/>
                <w:szCs w:val="14"/>
              </w:rPr>
              <w:t>489 632 980</w:t>
            </w:r>
          </w:p>
        </w:tc>
        <w:tc>
          <w:tcPr>
            <w:tcW w:w="478" w:type="pct"/>
            <w:shd w:val="clear" w:color="auto" w:fill="BFBFBF" w:themeFill="background1" w:themeFillShade="BF"/>
            <w:vAlign w:val="bottom"/>
          </w:tcPr>
          <w:p w:rsidR="007D13F3" w:rsidRPr="006145DA" w:rsidRDefault="007D13F3" w:rsidP="00465CAC">
            <w:pPr>
              <w:jc w:val="right"/>
              <w:rPr>
                <w:rFonts w:ascii="Times New Roman" w:hAnsi="Times New Roman" w:cs="Times New Roman"/>
                <w:b/>
                <w:bCs/>
                <w:color w:val="000000"/>
                <w:sz w:val="14"/>
                <w:szCs w:val="14"/>
              </w:rPr>
            </w:pPr>
            <w:r w:rsidRPr="006145DA">
              <w:rPr>
                <w:rFonts w:ascii="Times New Roman" w:hAnsi="Times New Roman" w:cs="Times New Roman"/>
                <w:b/>
                <w:bCs/>
                <w:color w:val="000000"/>
                <w:sz w:val="14"/>
                <w:szCs w:val="14"/>
              </w:rPr>
              <w:t>244 102 404</w:t>
            </w:r>
          </w:p>
        </w:tc>
        <w:tc>
          <w:tcPr>
            <w:tcW w:w="563" w:type="pct"/>
            <w:shd w:val="clear" w:color="000000" w:fill="C0C0C0"/>
            <w:vAlign w:val="bottom"/>
          </w:tcPr>
          <w:p w:rsidR="007D13F3" w:rsidRPr="006145DA" w:rsidRDefault="007D13F3" w:rsidP="00465CAC">
            <w:pPr>
              <w:jc w:val="right"/>
              <w:rPr>
                <w:rFonts w:ascii="Times New Roman" w:hAnsi="Times New Roman" w:cs="Times New Roman"/>
                <w:b/>
                <w:bCs/>
                <w:color w:val="000000"/>
                <w:sz w:val="14"/>
                <w:szCs w:val="14"/>
                <w:lang w:eastAsia="sk-SK"/>
              </w:rPr>
            </w:pPr>
            <w:r w:rsidRPr="006145DA">
              <w:rPr>
                <w:rFonts w:ascii="Times New Roman" w:hAnsi="Times New Roman" w:cs="Times New Roman"/>
                <w:b/>
                <w:bCs/>
                <w:color w:val="000000"/>
                <w:sz w:val="14"/>
                <w:szCs w:val="14"/>
              </w:rPr>
              <w:t>193 152 226</w:t>
            </w:r>
          </w:p>
        </w:tc>
        <w:tc>
          <w:tcPr>
            <w:tcW w:w="563" w:type="pct"/>
            <w:gridSpan w:val="2"/>
            <w:shd w:val="clear" w:color="000000" w:fill="C0C0C0"/>
            <w:vAlign w:val="bottom"/>
          </w:tcPr>
          <w:p w:rsidR="007D13F3" w:rsidRPr="006145DA" w:rsidRDefault="007D13F3" w:rsidP="00465CAC">
            <w:pPr>
              <w:jc w:val="right"/>
              <w:rPr>
                <w:rFonts w:ascii="Times New Roman" w:hAnsi="Times New Roman" w:cs="Times New Roman"/>
                <w:b/>
                <w:bCs/>
                <w:color w:val="000000"/>
                <w:sz w:val="14"/>
                <w:szCs w:val="14"/>
              </w:rPr>
            </w:pPr>
            <w:r w:rsidRPr="006145DA">
              <w:rPr>
                <w:rFonts w:ascii="Times New Roman" w:hAnsi="Times New Roman" w:cs="Times New Roman"/>
                <w:b/>
                <w:bCs/>
                <w:color w:val="000000"/>
                <w:sz w:val="14"/>
                <w:szCs w:val="14"/>
              </w:rPr>
              <w:t>687 878 123</w:t>
            </w:r>
          </w:p>
        </w:tc>
        <w:tc>
          <w:tcPr>
            <w:tcW w:w="563" w:type="pct"/>
            <w:shd w:val="clear" w:color="000000" w:fill="C0C0C0"/>
            <w:vAlign w:val="bottom"/>
          </w:tcPr>
          <w:p w:rsidR="007D13F3" w:rsidRPr="006145DA" w:rsidRDefault="007D13F3" w:rsidP="00465CAC">
            <w:pPr>
              <w:jc w:val="right"/>
              <w:rPr>
                <w:rFonts w:ascii="Times New Roman" w:hAnsi="Times New Roman" w:cs="Times New Roman"/>
                <w:b/>
                <w:bCs/>
                <w:color w:val="000000"/>
                <w:sz w:val="14"/>
                <w:szCs w:val="14"/>
              </w:rPr>
            </w:pPr>
            <w:r w:rsidRPr="006145DA">
              <w:rPr>
                <w:rFonts w:ascii="Times New Roman" w:hAnsi="Times New Roman" w:cs="Times New Roman"/>
                <w:b/>
                <w:bCs/>
                <w:color w:val="000000"/>
                <w:sz w:val="14"/>
                <w:szCs w:val="14"/>
              </w:rPr>
              <w:t>760 419 726</w:t>
            </w:r>
          </w:p>
        </w:tc>
      </w:tr>
      <w:tr w:rsidR="007D13F3" w:rsidRPr="006145DA" w:rsidTr="00465CAC">
        <w:trPr>
          <w:trHeight w:val="258"/>
        </w:trPr>
        <w:tc>
          <w:tcPr>
            <w:tcW w:w="1406" w:type="pct"/>
            <w:noWrap/>
            <w:vAlign w:val="bottom"/>
            <w:hideMark/>
          </w:tcPr>
          <w:p w:rsidR="007D13F3" w:rsidRPr="006145DA" w:rsidRDefault="007D13F3" w:rsidP="00465CAC">
            <w:pPr>
              <w:rPr>
                <w:rFonts w:ascii="Times New Roman" w:hAnsi="Times New Roman" w:cs="Times New Roman"/>
                <w:color w:val="000000"/>
                <w:sz w:val="14"/>
                <w:szCs w:val="14"/>
                <w:lang w:eastAsia="sk-SK"/>
              </w:rPr>
            </w:pPr>
            <w:r w:rsidRPr="006145DA">
              <w:rPr>
                <w:rFonts w:ascii="Times New Roman" w:hAnsi="Times New Roman" w:cs="Times New Roman"/>
                <w:color w:val="000000"/>
                <w:sz w:val="14"/>
                <w:szCs w:val="14"/>
                <w:lang w:eastAsia="sk-SK"/>
              </w:rPr>
              <w:t>z toho:</w:t>
            </w:r>
          </w:p>
        </w:tc>
        <w:tc>
          <w:tcPr>
            <w:tcW w:w="485" w:type="pct"/>
            <w:shd w:val="clear" w:color="auto" w:fill="auto"/>
            <w:noWrap/>
            <w:vAlign w:val="bottom"/>
            <w:hideMark/>
          </w:tcPr>
          <w:p w:rsidR="007D13F3" w:rsidRPr="006145DA" w:rsidRDefault="007D13F3" w:rsidP="00465CAC">
            <w:pPr>
              <w:jc w:val="right"/>
              <w:rPr>
                <w:rFonts w:ascii="Times New Roman" w:hAnsi="Times New Roman" w:cs="Times New Roman"/>
                <w:color w:val="000000"/>
                <w:sz w:val="14"/>
                <w:szCs w:val="14"/>
              </w:rPr>
            </w:pPr>
          </w:p>
        </w:tc>
        <w:tc>
          <w:tcPr>
            <w:tcW w:w="485"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p>
        </w:tc>
        <w:tc>
          <w:tcPr>
            <w:tcW w:w="459" w:type="pct"/>
            <w:gridSpan w:val="2"/>
            <w:shd w:val="clear" w:color="auto" w:fill="auto"/>
            <w:vAlign w:val="bottom"/>
          </w:tcPr>
          <w:p w:rsidR="007D13F3" w:rsidRPr="006145DA" w:rsidRDefault="007D13F3" w:rsidP="00465CAC">
            <w:pPr>
              <w:jc w:val="right"/>
              <w:rPr>
                <w:rFonts w:ascii="Times New Roman" w:hAnsi="Times New Roman" w:cs="Times New Roman"/>
                <w:color w:val="000000"/>
                <w:sz w:val="14"/>
                <w:szCs w:val="14"/>
              </w:rPr>
            </w:pPr>
          </w:p>
        </w:tc>
        <w:tc>
          <w:tcPr>
            <w:tcW w:w="478" w:type="pct"/>
            <w:shd w:val="clear" w:color="auto" w:fill="auto"/>
            <w:noWrap/>
            <w:vAlign w:val="bottom"/>
          </w:tcPr>
          <w:p w:rsidR="007D13F3" w:rsidRPr="006145DA" w:rsidRDefault="007D13F3" w:rsidP="00465CAC">
            <w:pPr>
              <w:jc w:val="right"/>
              <w:rPr>
                <w:rFonts w:ascii="Times New Roman" w:hAnsi="Times New Roman" w:cs="Times New Roman"/>
                <w:b/>
                <w:bCs/>
                <w:color w:val="000000"/>
                <w:sz w:val="14"/>
                <w:szCs w:val="14"/>
              </w:rPr>
            </w:pP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p>
        </w:tc>
        <w:tc>
          <w:tcPr>
            <w:tcW w:w="563"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p>
        </w:tc>
      </w:tr>
      <w:tr w:rsidR="007D13F3" w:rsidRPr="006145DA" w:rsidTr="00465CAC">
        <w:trPr>
          <w:trHeight w:val="258"/>
        </w:trPr>
        <w:tc>
          <w:tcPr>
            <w:tcW w:w="1406" w:type="pct"/>
            <w:noWrap/>
            <w:vAlign w:val="bottom"/>
            <w:hideMark/>
          </w:tcPr>
          <w:p w:rsidR="007D13F3" w:rsidRPr="006145DA" w:rsidRDefault="007D13F3" w:rsidP="00465CAC">
            <w:pPr>
              <w:rPr>
                <w:rFonts w:ascii="Times New Roman" w:hAnsi="Times New Roman" w:cs="Times New Roman"/>
                <w:b/>
                <w:color w:val="000000"/>
                <w:sz w:val="14"/>
                <w:szCs w:val="14"/>
                <w:lang w:eastAsia="sk-SK"/>
              </w:rPr>
            </w:pPr>
            <w:r w:rsidRPr="006145DA">
              <w:rPr>
                <w:rFonts w:ascii="Times New Roman" w:hAnsi="Times New Roman" w:cs="Times New Roman"/>
                <w:b/>
                <w:color w:val="000000"/>
                <w:sz w:val="14"/>
                <w:szCs w:val="14"/>
                <w:lang w:eastAsia="sk-SK"/>
              </w:rPr>
              <w:t xml:space="preserve">rozpočtové zdroje kapitoly </w:t>
            </w:r>
          </w:p>
        </w:tc>
        <w:tc>
          <w:tcPr>
            <w:tcW w:w="485" w:type="pct"/>
            <w:shd w:val="clear" w:color="auto" w:fill="auto"/>
            <w:noWrap/>
            <w:vAlign w:val="bottom"/>
            <w:hideMark/>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89 835 401</w:t>
            </w:r>
          </w:p>
        </w:tc>
        <w:tc>
          <w:tcPr>
            <w:tcW w:w="485" w:type="pct"/>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lang w:eastAsia="sk-SK"/>
              </w:rPr>
            </w:pPr>
            <w:r w:rsidRPr="006145DA">
              <w:rPr>
                <w:rFonts w:ascii="Times New Roman" w:hAnsi="Times New Roman" w:cs="Times New Roman"/>
                <w:b/>
                <w:color w:val="000000"/>
                <w:sz w:val="14"/>
                <w:szCs w:val="14"/>
              </w:rPr>
              <w:t>55 742 158</w:t>
            </w:r>
          </w:p>
        </w:tc>
        <w:tc>
          <w:tcPr>
            <w:tcW w:w="459" w:type="pct"/>
            <w:gridSpan w:val="2"/>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80 493 159</w:t>
            </w:r>
          </w:p>
        </w:tc>
        <w:tc>
          <w:tcPr>
            <w:tcW w:w="478" w:type="pct"/>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87 843 197</w:t>
            </w:r>
          </w:p>
        </w:tc>
        <w:tc>
          <w:tcPr>
            <w:tcW w:w="563" w:type="pct"/>
            <w:shd w:val="clear" w:color="auto" w:fill="auto"/>
            <w:noWrap/>
            <w:vAlign w:val="bottom"/>
          </w:tcPr>
          <w:p w:rsidR="007D13F3" w:rsidRPr="00486A87" w:rsidRDefault="007D13F3" w:rsidP="00465CAC">
            <w:pPr>
              <w:jc w:val="right"/>
              <w:rPr>
                <w:rFonts w:ascii="Times New Roman" w:hAnsi="Times New Roman" w:cs="Times New Roman"/>
                <w:b/>
                <w:color w:val="000000"/>
                <w:sz w:val="14"/>
                <w:szCs w:val="14"/>
                <w:lang w:eastAsia="sk-SK"/>
              </w:rPr>
            </w:pPr>
            <w:r w:rsidRPr="00486A87">
              <w:rPr>
                <w:rFonts w:ascii="Times New Roman" w:hAnsi="Times New Roman" w:cs="Times New Roman"/>
                <w:b/>
                <w:color w:val="000000"/>
                <w:sz w:val="14"/>
                <w:szCs w:val="14"/>
              </w:rPr>
              <w:t>82 177 806</w:t>
            </w:r>
          </w:p>
        </w:tc>
        <w:tc>
          <w:tcPr>
            <w:tcW w:w="563" w:type="pct"/>
            <w:gridSpan w:val="2"/>
            <w:shd w:val="clear" w:color="auto" w:fill="auto"/>
            <w:noWrap/>
            <w:vAlign w:val="bottom"/>
          </w:tcPr>
          <w:p w:rsidR="007D13F3" w:rsidRPr="00486A87" w:rsidRDefault="007D13F3" w:rsidP="00465CAC">
            <w:pPr>
              <w:jc w:val="right"/>
              <w:rPr>
                <w:rFonts w:ascii="Times New Roman" w:hAnsi="Times New Roman" w:cs="Times New Roman"/>
                <w:b/>
                <w:color w:val="000000"/>
                <w:sz w:val="14"/>
                <w:szCs w:val="14"/>
              </w:rPr>
            </w:pPr>
            <w:r w:rsidRPr="00486A87">
              <w:rPr>
                <w:rFonts w:ascii="Times New Roman" w:hAnsi="Times New Roman" w:cs="Times New Roman"/>
                <w:b/>
                <w:color w:val="000000"/>
                <w:sz w:val="14"/>
                <w:szCs w:val="14"/>
              </w:rPr>
              <w:t>74 104 951</w:t>
            </w:r>
          </w:p>
        </w:tc>
        <w:tc>
          <w:tcPr>
            <w:tcW w:w="563" w:type="pct"/>
            <w:shd w:val="clear" w:color="auto" w:fill="auto"/>
            <w:noWrap/>
            <w:vAlign w:val="bottom"/>
          </w:tcPr>
          <w:p w:rsidR="007D13F3" w:rsidRPr="00486A87" w:rsidRDefault="007D13F3" w:rsidP="00465CAC">
            <w:pPr>
              <w:jc w:val="right"/>
              <w:rPr>
                <w:rFonts w:ascii="Times New Roman" w:hAnsi="Times New Roman" w:cs="Times New Roman"/>
                <w:b/>
                <w:color w:val="000000"/>
                <w:sz w:val="14"/>
                <w:szCs w:val="14"/>
              </w:rPr>
            </w:pPr>
            <w:r w:rsidRPr="00486A87">
              <w:rPr>
                <w:rFonts w:ascii="Times New Roman" w:hAnsi="Times New Roman" w:cs="Times New Roman"/>
                <w:b/>
                <w:color w:val="000000"/>
                <w:sz w:val="14"/>
                <w:szCs w:val="14"/>
              </w:rPr>
              <w:t>74 104 951</w:t>
            </w:r>
          </w:p>
        </w:tc>
      </w:tr>
      <w:tr w:rsidR="007D13F3" w:rsidRPr="006145DA" w:rsidTr="00465CAC">
        <w:trPr>
          <w:trHeight w:val="258"/>
        </w:trPr>
        <w:tc>
          <w:tcPr>
            <w:tcW w:w="1406" w:type="pct"/>
            <w:noWrap/>
            <w:vAlign w:val="bottom"/>
            <w:hideMark/>
          </w:tcPr>
          <w:p w:rsidR="007D13F3" w:rsidRPr="006145DA" w:rsidRDefault="007D13F3" w:rsidP="00465CAC">
            <w:pPr>
              <w:rPr>
                <w:rFonts w:ascii="Times New Roman" w:hAnsi="Times New Roman" w:cs="Times New Roman"/>
                <w:color w:val="000000"/>
                <w:sz w:val="14"/>
                <w:szCs w:val="14"/>
                <w:lang w:eastAsia="sk-SK"/>
              </w:rPr>
            </w:pPr>
            <w:r w:rsidRPr="006145DA">
              <w:rPr>
                <w:rFonts w:ascii="Times New Roman" w:hAnsi="Times New Roman" w:cs="Times New Roman"/>
                <w:color w:val="000000"/>
                <w:sz w:val="14"/>
                <w:szCs w:val="14"/>
                <w:lang w:eastAsia="sk-SK"/>
              </w:rPr>
              <w:t xml:space="preserve"> v tom: bežné výdavky  600</w:t>
            </w:r>
          </w:p>
        </w:tc>
        <w:tc>
          <w:tcPr>
            <w:tcW w:w="485" w:type="pct"/>
            <w:shd w:val="clear" w:color="auto" w:fill="auto"/>
            <w:noWrap/>
            <w:vAlign w:val="bottom"/>
            <w:hideMark/>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81 012 722</w:t>
            </w:r>
          </w:p>
        </w:tc>
        <w:tc>
          <w:tcPr>
            <w:tcW w:w="485"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48 765 052</w:t>
            </w:r>
          </w:p>
        </w:tc>
        <w:tc>
          <w:tcPr>
            <w:tcW w:w="459"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79 975 159</w:t>
            </w:r>
          </w:p>
        </w:tc>
        <w:tc>
          <w:tcPr>
            <w:tcW w:w="478"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86 674 348</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80 352 806</w:t>
            </w:r>
          </w:p>
        </w:tc>
        <w:tc>
          <w:tcPr>
            <w:tcW w:w="563"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73 442 951</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73 452 951</w:t>
            </w:r>
          </w:p>
        </w:tc>
      </w:tr>
      <w:tr w:rsidR="007D13F3" w:rsidRPr="006145DA" w:rsidTr="00465CAC">
        <w:trPr>
          <w:trHeight w:val="258"/>
        </w:trPr>
        <w:tc>
          <w:tcPr>
            <w:tcW w:w="1406" w:type="pct"/>
            <w:noWrap/>
            <w:vAlign w:val="bottom"/>
            <w:hideMark/>
          </w:tcPr>
          <w:p w:rsidR="007D13F3" w:rsidRPr="006145DA" w:rsidRDefault="007D13F3" w:rsidP="00465CAC">
            <w:pPr>
              <w:rPr>
                <w:rFonts w:ascii="Times New Roman" w:hAnsi="Times New Roman" w:cs="Times New Roman"/>
                <w:color w:val="000000"/>
                <w:sz w:val="14"/>
                <w:szCs w:val="14"/>
                <w:lang w:eastAsia="sk-SK"/>
              </w:rPr>
            </w:pPr>
            <w:r w:rsidRPr="006145DA">
              <w:rPr>
                <w:rFonts w:ascii="Times New Roman" w:hAnsi="Times New Roman" w:cs="Times New Roman"/>
                <w:color w:val="000000"/>
                <w:sz w:val="14"/>
                <w:szCs w:val="14"/>
                <w:lang w:eastAsia="sk-SK"/>
              </w:rPr>
              <w:t xml:space="preserve">                                      610 mzdy</w:t>
            </w:r>
          </w:p>
        </w:tc>
        <w:tc>
          <w:tcPr>
            <w:tcW w:w="485" w:type="pct"/>
            <w:shd w:val="clear" w:color="auto" w:fill="auto"/>
            <w:noWrap/>
            <w:vAlign w:val="bottom"/>
            <w:hideMark/>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7 449 657</w:t>
            </w:r>
          </w:p>
        </w:tc>
        <w:tc>
          <w:tcPr>
            <w:tcW w:w="485"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7 935 352</w:t>
            </w:r>
          </w:p>
        </w:tc>
        <w:tc>
          <w:tcPr>
            <w:tcW w:w="459"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7 499 947</w:t>
            </w:r>
          </w:p>
        </w:tc>
        <w:tc>
          <w:tcPr>
            <w:tcW w:w="478" w:type="pct"/>
            <w:shd w:val="clear" w:color="auto" w:fill="auto"/>
            <w:noWrap/>
            <w:vAlign w:val="bottom"/>
          </w:tcPr>
          <w:p w:rsidR="007D13F3" w:rsidRPr="006145DA" w:rsidRDefault="007D13F3" w:rsidP="00465CAC">
            <w:pPr>
              <w:jc w:val="right"/>
              <w:rPr>
                <w:rFonts w:ascii="Times New Roman" w:hAnsi="Times New Roman" w:cs="Times New Roman"/>
                <w:sz w:val="14"/>
                <w:szCs w:val="14"/>
              </w:rPr>
            </w:pPr>
            <w:r w:rsidRPr="006145DA">
              <w:rPr>
                <w:rFonts w:ascii="Times New Roman" w:hAnsi="Times New Roman" w:cs="Times New Roman"/>
                <w:sz w:val="14"/>
                <w:szCs w:val="14"/>
              </w:rPr>
              <w:t>8 084 995</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8 629 171</w:t>
            </w:r>
          </w:p>
        </w:tc>
        <w:tc>
          <w:tcPr>
            <w:tcW w:w="563"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8 629 171</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8 629 171</w:t>
            </w:r>
          </w:p>
        </w:tc>
      </w:tr>
      <w:tr w:rsidR="007D13F3" w:rsidRPr="006145DA" w:rsidTr="00465CAC">
        <w:trPr>
          <w:trHeight w:val="258"/>
        </w:trPr>
        <w:tc>
          <w:tcPr>
            <w:tcW w:w="1406" w:type="pct"/>
            <w:noWrap/>
            <w:vAlign w:val="bottom"/>
            <w:hideMark/>
          </w:tcPr>
          <w:p w:rsidR="007D13F3" w:rsidRPr="006145DA" w:rsidRDefault="007D13F3" w:rsidP="00465CAC">
            <w:pPr>
              <w:rPr>
                <w:rFonts w:ascii="Times New Roman" w:hAnsi="Times New Roman" w:cs="Times New Roman"/>
                <w:color w:val="000000"/>
                <w:sz w:val="14"/>
                <w:szCs w:val="14"/>
                <w:lang w:eastAsia="sk-SK"/>
              </w:rPr>
            </w:pPr>
            <w:r w:rsidRPr="006145DA">
              <w:rPr>
                <w:rFonts w:ascii="Times New Roman" w:hAnsi="Times New Roman" w:cs="Times New Roman"/>
                <w:color w:val="000000"/>
                <w:sz w:val="14"/>
                <w:szCs w:val="14"/>
                <w:lang w:eastAsia="sk-SK"/>
              </w:rPr>
              <w:t xml:space="preserve">                                      620 odvody</w:t>
            </w:r>
          </w:p>
        </w:tc>
        <w:tc>
          <w:tcPr>
            <w:tcW w:w="485" w:type="pct"/>
            <w:shd w:val="clear" w:color="auto" w:fill="auto"/>
            <w:noWrap/>
            <w:vAlign w:val="bottom"/>
            <w:hideMark/>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2 876 144</w:t>
            </w:r>
          </w:p>
        </w:tc>
        <w:tc>
          <w:tcPr>
            <w:tcW w:w="485"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2 243 909</w:t>
            </w:r>
          </w:p>
        </w:tc>
        <w:tc>
          <w:tcPr>
            <w:tcW w:w="459"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2 621 506</w:t>
            </w:r>
          </w:p>
        </w:tc>
        <w:tc>
          <w:tcPr>
            <w:tcW w:w="478" w:type="pct"/>
            <w:shd w:val="clear" w:color="auto" w:fill="auto"/>
            <w:noWrap/>
            <w:vAlign w:val="bottom"/>
          </w:tcPr>
          <w:p w:rsidR="007D13F3" w:rsidRPr="006145DA" w:rsidRDefault="007D13F3" w:rsidP="00465CAC">
            <w:pPr>
              <w:jc w:val="right"/>
              <w:rPr>
                <w:rFonts w:ascii="Times New Roman" w:hAnsi="Times New Roman" w:cs="Times New Roman"/>
                <w:sz w:val="14"/>
                <w:szCs w:val="14"/>
              </w:rPr>
            </w:pPr>
            <w:r w:rsidRPr="006145DA">
              <w:rPr>
                <w:rFonts w:ascii="Times New Roman" w:hAnsi="Times New Roman" w:cs="Times New Roman"/>
                <w:sz w:val="14"/>
                <w:szCs w:val="14"/>
              </w:rPr>
              <w:t>2 975 350</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3 015 894</w:t>
            </w:r>
          </w:p>
        </w:tc>
        <w:tc>
          <w:tcPr>
            <w:tcW w:w="563"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3 015 894</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3 015 894</w:t>
            </w:r>
          </w:p>
        </w:tc>
      </w:tr>
      <w:tr w:rsidR="007D13F3" w:rsidRPr="006145DA" w:rsidTr="00465CAC">
        <w:trPr>
          <w:trHeight w:val="258"/>
        </w:trPr>
        <w:tc>
          <w:tcPr>
            <w:tcW w:w="1406" w:type="pct"/>
            <w:noWrap/>
            <w:vAlign w:val="bottom"/>
            <w:hideMark/>
          </w:tcPr>
          <w:p w:rsidR="007D13F3" w:rsidRPr="006145DA" w:rsidRDefault="007D13F3" w:rsidP="00465CAC">
            <w:pPr>
              <w:rPr>
                <w:rFonts w:ascii="Times New Roman" w:hAnsi="Times New Roman" w:cs="Times New Roman"/>
                <w:color w:val="000000"/>
                <w:sz w:val="14"/>
                <w:szCs w:val="14"/>
                <w:lang w:eastAsia="sk-SK"/>
              </w:rPr>
            </w:pPr>
            <w:r w:rsidRPr="006145DA">
              <w:rPr>
                <w:rFonts w:ascii="Times New Roman" w:hAnsi="Times New Roman" w:cs="Times New Roman"/>
                <w:color w:val="000000"/>
                <w:sz w:val="14"/>
                <w:szCs w:val="14"/>
                <w:lang w:eastAsia="sk-SK"/>
              </w:rPr>
              <w:t xml:space="preserve">                                      630 tovary a služby</w:t>
            </w:r>
          </w:p>
        </w:tc>
        <w:tc>
          <w:tcPr>
            <w:tcW w:w="485" w:type="pct"/>
            <w:shd w:val="clear" w:color="auto" w:fill="auto"/>
            <w:noWrap/>
            <w:vAlign w:val="bottom"/>
            <w:hideMark/>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12 318 010</w:t>
            </w:r>
          </w:p>
        </w:tc>
        <w:tc>
          <w:tcPr>
            <w:tcW w:w="485"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4 317 015</w:t>
            </w:r>
          </w:p>
        </w:tc>
        <w:tc>
          <w:tcPr>
            <w:tcW w:w="459"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12 779 890</w:t>
            </w:r>
          </w:p>
        </w:tc>
        <w:tc>
          <w:tcPr>
            <w:tcW w:w="478" w:type="pct"/>
            <w:shd w:val="clear" w:color="auto" w:fill="auto"/>
            <w:noWrap/>
            <w:vAlign w:val="bottom"/>
          </w:tcPr>
          <w:p w:rsidR="007D13F3" w:rsidRPr="006145DA" w:rsidRDefault="007D13F3" w:rsidP="00465CAC">
            <w:pPr>
              <w:jc w:val="right"/>
              <w:rPr>
                <w:rFonts w:ascii="Times New Roman" w:hAnsi="Times New Roman" w:cs="Times New Roman"/>
                <w:sz w:val="14"/>
                <w:szCs w:val="14"/>
              </w:rPr>
            </w:pPr>
            <w:r w:rsidRPr="006145DA">
              <w:rPr>
                <w:rFonts w:ascii="Times New Roman" w:hAnsi="Times New Roman" w:cs="Times New Roman"/>
                <w:sz w:val="14"/>
                <w:szCs w:val="14"/>
              </w:rPr>
              <w:t>7 645 390</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20 327 499</w:t>
            </w:r>
          </w:p>
        </w:tc>
        <w:tc>
          <w:tcPr>
            <w:tcW w:w="563"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13 723 144</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13 729 344</w:t>
            </w:r>
          </w:p>
        </w:tc>
      </w:tr>
      <w:tr w:rsidR="007D13F3" w:rsidRPr="006145DA" w:rsidTr="00465CAC">
        <w:trPr>
          <w:trHeight w:val="258"/>
        </w:trPr>
        <w:tc>
          <w:tcPr>
            <w:tcW w:w="1406" w:type="pct"/>
            <w:noWrap/>
            <w:vAlign w:val="bottom"/>
            <w:hideMark/>
          </w:tcPr>
          <w:p w:rsidR="007D13F3" w:rsidRPr="006145DA" w:rsidRDefault="007D13F3" w:rsidP="00465CAC">
            <w:pPr>
              <w:rPr>
                <w:rFonts w:ascii="Times New Roman" w:hAnsi="Times New Roman" w:cs="Times New Roman"/>
                <w:color w:val="000000"/>
                <w:sz w:val="14"/>
                <w:szCs w:val="14"/>
                <w:lang w:eastAsia="sk-SK"/>
              </w:rPr>
            </w:pPr>
            <w:r w:rsidRPr="006145DA">
              <w:rPr>
                <w:rFonts w:ascii="Times New Roman" w:hAnsi="Times New Roman" w:cs="Times New Roman"/>
                <w:color w:val="000000"/>
                <w:sz w:val="14"/>
                <w:szCs w:val="14"/>
                <w:lang w:eastAsia="sk-SK"/>
              </w:rPr>
              <w:t xml:space="preserve">                                      640 bežné transfery</w:t>
            </w:r>
          </w:p>
        </w:tc>
        <w:tc>
          <w:tcPr>
            <w:tcW w:w="485" w:type="pct"/>
            <w:shd w:val="clear" w:color="auto" w:fill="auto"/>
            <w:noWrap/>
            <w:vAlign w:val="bottom"/>
            <w:hideMark/>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58 368 910</w:t>
            </w:r>
          </w:p>
        </w:tc>
        <w:tc>
          <w:tcPr>
            <w:tcW w:w="485"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34 268 776</w:t>
            </w:r>
          </w:p>
        </w:tc>
        <w:tc>
          <w:tcPr>
            <w:tcW w:w="459"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57 073 816</w:t>
            </w:r>
          </w:p>
        </w:tc>
        <w:tc>
          <w:tcPr>
            <w:tcW w:w="478" w:type="pct"/>
            <w:shd w:val="clear" w:color="auto" w:fill="auto"/>
            <w:noWrap/>
            <w:vAlign w:val="bottom"/>
          </w:tcPr>
          <w:p w:rsidR="007D13F3" w:rsidRPr="006145DA" w:rsidRDefault="007D13F3" w:rsidP="00465CAC">
            <w:pPr>
              <w:jc w:val="right"/>
              <w:rPr>
                <w:rFonts w:ascii="Times New Roman" w:hAnsi="Times New Roman" w:cs="Times New Roman"/>
                <w:sz w:val="14"/>
                <w:szCs w:val="14"/>
              </w:rPr>
            </w:pPr>
            <w:r w:rsidRPr="006145DA">
              <w:rPr>
                <w:rFonts w:ascii="Times New Roman" w:hAnsi="Times New Roman" w:cs="Times New Roman"/>
                <w:sz w:val="14"/>
                <w:szCs w:val="14"/>
              </w:rPr>
              <w:t>67 968 613</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48 380 242</w:t>
            </w:r>
          </w:p>
        </w:tc>
        <w:tc>
          <w:tcPr>
            <w:tcW w:w="563"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48 074 742</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48 078 542</w:t>
            </w:r>
          </w:p>
        </w:tc>
      </w:tr>
      <w:tr w:rsidR="007D13F3" w:rsidRPr="006145DA" w:rsidTr="00465CAC">
        <w:trPr>
          <w:trHeight w:val="258"/>
        </w:trPr>
        <w:tc>
          <w:tcPr>
            <w:tcW w:w="1406" w:type="pct"/>
            <w:noWrap/>
            <w:vAlign w:val="bottom"/>
            <w:hideMark/>
          </w:tcPr>
          <w:p w:rsidR="007D13F3" w:rsidRPr="006145DA" w:rsidRDefault="007D13F3" w:rsidP="00465CAC">
            <w:pPr>
              <w:rPr>
                <w:rFonts w:ascii="Times New Roman" w:hAnsi="Times New Roman" w:cs="Times New Roman"/>
                <w:color w:val="000000"/>
                <w:sz w:val="14"/>
                <w:szCs w:val="14"/>
                <w:lang w:eastAsia="sk-SK"/>
              </w:rPr>
            </w:pPr>
            <w:r w:rsidRPr="006145DA">
              <w:rPr>
                <w:rFonts w:ascii="Times New Roman" w:hAnsi="Times New Roman" w:cs="Times New Roman"/>
                <w:color w:val="000000"/>
                <w:sz w:val="14"/>
                <w:szCs w:val="14"/>
                <w:lang w:eastAsia="sk-SK"/>
              </w:rPr>
              <w:t xml:space="preserve">             kapitálové výdavky 700</w:t>
            </w:r>
          </w:p>
        </w:tc>
        <w:tc>
          <w:tcPr>
            <w:tcW w:w="485" w:type="pct"/>
            <w:shd w:val="clear" w:color="auto" w:fill="auto"/>
            <w:noWrap/>
            <w:vAlign w:val="bottom"/>
            <w:hideMark/>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8 822 679</w:t>
            </w:r>
          </w:p>
        </w:tc>
        <w:tc>
          <w:tcPr>
            <w:tcW w:w="485"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6 977 106</w:t>
            </w:r>
          </w:p>
        </w:tc>
        <w:tc>
          <w:tcPr>
            <w:tcW w:w="459"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518 000</w:t>
            </w:r>
          </w:p>
        </w:tc>
        <w:tc>
          <w:tcPr>
            <w:tcW w:w="478"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1 168 849</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1 825 000</w:t>
            </w:r>
          </w:p>
        </w:tc>
        <w:tc>
          <w:tcPr>
            <w:tcW w:w="563"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662 000</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652 000</w:t>
            </w:r>
          </w:p>
        </w:tc>
      </w:tr>
      <w:tr w:rsidR="007D13F3" w:rsidRPr="006145DA" w:rsidTr="00465CAC">
        <w:trPr>
          <w:trHeight w:val="258"/>
        </w:trPr>
        <w:tc>
          <w:tcPr>
            <w:tcW w:w="1406" w:type="pct"/>
            <w:noWrap/>
            <w:vAlign w:val="bottom"/>
            <w:hideMark/>
          </w:tcPr>
          <w:p w:rsidR="007D13F3" w:rsidRPr="006145DA" w:rsidRDefault="007D13F3" w:rsidP="00465CAC">
            <w:pPr>
              <w:rPr>
                <w:rFonts w:ascii="Times New Roman" w:hAnsi="Times New Roman" w:cs="Times New Roman"/>
                <w:b/>
                <w:color w:val="000000"/>
                <w:sz w:val="14"/>
                <w:szCs w:val="14"/>
                <w:lang w:eastAsia="sk-SK"/>
              </w:rPr>
            </w:pPr>
            <w:r w:rsidRPr="006145DA">
              <w:rPr>
                <w:rFonts w:ascii="Times New Roman" w:hAnsi="Times New Roman" w:cs="Times New Roman"/>
                <w:b/>
                <w:color w:val="000000"/>
                <w:sz w:val="14"/>
                <w:szCs w:val="14"/>
                <w:lang w:eastAsia="sk-SK"/>
              </w:rPr>
              <w:t xml:space="preserve">zdroje EÚ vrátane spolufinancovania: </w:t>
            </w:r>
          </w:p>
        </w:tc>
        <w:tc>
          <w:tcPr>
            <w:tcW w:w="485" w:type="pct"/>
            <w:shd w:val="clear" w:color="auto" w:fill="auto"/>
            <w:noWrap/>
            <w:vAlign w:val="bottom"/>
            <w:hideMark/>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160 613 549</w:t>
            </w:r>
          </w:p>
        </w:tc>
        <w:tc>
          <w:tcPr>
            <w:tcW w:w="485" w:type="pct"/>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lang w:eastAsia="sk-SK"/>
              </w:rPr>
            </w:pPr>
            <w:r w:rsidRPr="006145DA">
              <w:rPr>
                <w:rFonts w:ascii="Times New Roman" w:hAnsi="Times New Roman" w:cs="Times New Roman"/>
                <w:b/>
                <w:color w:val="000000"/>
                <w:sz w:val="14"/>
                <w:szCs w:val="14"/>
              </w:rPr>
              <w:t>7 555 752</w:t>
            </w:r>
          </w:p>
        </w:tc>
        <w:tc>
          <w:tcPr>
            <w:tcW w:w="459" w:type="pct"/>
            <w:gridSpan w:val="2"/>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409 139 821</w:t>
            </w:r>
          </w:p>
        </w:tc>
        <w:tc>
          <w:tcPr>
            <w:tcW w:w="478" w:type="pct"/>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1 641 282</w:t>
            </w:r>
          </w:p>
        </w:tc>
        <w:tc>
          <w:tcPr>
            <w:tcW w:w="563" w:type="pct"/>
            <w:shd w:val="clear" w:color="auto" w:fill="auto"/>
            <w:noWrap/>
            <w:vAlign w:val="bottom"/>
          </w:tcPr>
          <w:p w:rsidR="007D13F3" w:rsidRPr="00486A87" w:rsidRDefault="007D13F3" w:rsidP="00465CAC">
            <w:pPr>
              <w:jc w:val="right"/>
              <w:rPr>
                <w:rFonts w:ascii="Times New Roman" w:hAnsi="Times New Roman" w:cs="Times New Roman"/>
                <w:b/>
                <w:color w:val="000000"/>
                <w:sz w:val="14"/>
                <w:szCs w:val="14"/>
              </w:rPr>
            </w:pPr>
            <w:r w:rsidRPr="00486A87">
              <w:rPr>
                <w:rFonts w:ascii="Times New Roman" w:hAnsi="Times New Roman" w:cs="Times New Roman"/>
                <w:b/>
                <w:color w:val="000000"/>
                <w:sz w:val="14"/>
                <w:szCs w:val="14"/>
              </w:rPr>
              <w:t>110 974 420</w:t>
            </w:r>
          </w:p>
        </w:tc>
        <w:tc>
          <w:tcPr>
            <w:tcW w:w="563" w:type="pct"/>
            <w:gridSpan w:val="2"/>
            <w:shd w:val="clear" w:color="auto" w:fill="auto"/>
            <w:noWrap/>
            <w:vAlign w:val="bottom"/>
          </w:tcPr>
          <w:p w:rsidR="007D13F3" w:rsidRPr="00486A87" w:rsidRDefault="007D13F3" w:rsidP="00465CAC">
            <w:pPr>
              <w:jc w:val="right"/>
              <w:rPr>
                <w:rFonts w:ascii="Times New Roman" w:hAnsi="Times New Roman" w:cs="Times New Roman"/>
                <w:b/>
                <w:color w:val="000000"/>
                <w:sz w:val="14"/>
                <w:szCs w:val="14"/>
              </w:rPr>
            </w:pPr>
            <w:r w:rsidRPr="00486A87">
              <w:rPr>
                <w:rFonts w:ascii="Times New Roman" w:hAnsi="Times New Roman" w:cs="Times New Roman"/>
                <w:b/>
                <w:color w:val="000000"/>
                <w:sz w:val="14"/>
                <w:szCs w:val="14"/>
              </w:rPr>
              <w:t>613 773 172</w:t>
            </w:r>
          </w:p>
        </w:tc>
        <w:tc>
          <w:tcPr>
            <w:tcW w:w="563" w:type="pct"/>
            <w:shd w:val="clear" w:color="auto" w:fill="auto"/>
            <w:noWrap/>
            <w:vAlign w:val="bottom"/>
          </w:tcPr>
          <w:p w:rsidR="007D13F3" w:rsidRPr="00486A87" w:rsidRDefault="007D13F3" w:rsidP="00465CAC">
            <w:pPr>
              <w:jc w:val="right"/>
              <w:rPr>
                <w:rFonts w:ascii="Times New Roman" w:hAnsi="Times New Roman" w:cs="Times New Roman"/>
                <w:b/>
                <w:color w:val="000000"/>
                <w:sz w:val="14"/>
                <w:szCs w:val="14"/>
              </w:rPr>
            </w:pPr>
            <w:r w:rsidRPr="00486A87">
              <w:rPr>
                <w:rFonts w:ascii="Times New Roman" w:hAnsi="Times New Roman" w:cs="Times New Roman"/>
                <w:b/>
                <w:color w:val="000000"/>
                <w:sz w:val="14"/>
                <w:szCs w:val="14"/>
              </w:rPr>
              <w:t>686 314 775</w:t>
            </w:r>
          </w:p>
        </w:tc>
      </w:tr>
      <w:tr w:rsidR="007D13F3" w:rsidRPr="006145DA" w:rsidTr="00465CAC">
        <w:trPr>
          <w:trHeight w:val="258"/>
        </w:trPr>
        <w:tc>
          <w:tcPr>
            <w:tcW w:w="1406" w:type="pct"/>
            <w:noWrap/>
            <w:vAlign w:val="bottom"/>
            <w:hideMark/>
          </w:tcPr>
          <w:p w:rsidR="007D13F3" w:rsidRPr="006145DA" w:rsidRDefault="007D13F3" w:rsidP="00465CAC">
            <w:pPr>
              <w:rPr>
                <w:rFonts w:ascii="Times New Roman" w:hAnsi="Times New Roman" w:cs="Times New Roman"/>
                <w:color w:val="000000"/>
                <w:sz w:val="14"/>
                <w:szCs w:val="14"/>
                <w:lang w:eastAsia="sk-SK"/>
              </w:rPr>
            </w:pPr>
            <w:r w:rsidRPr="006145DA">
              <w:rPr>
                <w:rFonts w:ascii="Times New Roman" w:hAnsi="Times New Roman" w:cs="Times New Roman"/>
                <w:color w:val="000000"/>
                <w:sz w:val="14"/>
                <w:szCs w:val="14"/>
                <w:lang w:eastAsia="sk-SK"/>
              </w:rPr>
              <w:t xml:space="preserve">    v tom: 2. program. obdobie  EÚ</w:t>
            </w:r>
          </w:p>
        </w:tc>
        <w:tc>
          <w:tcPr>
            <w:tcW w:w="485" w:type="pct"/>
            <w:shd w:val="clear" w:color="auto" w:fill="auto"/>
            <w:noWrap/>
            <w:vAlign w:val="bottom"/>
            <w:hideMark/>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129 112 909</w:t>
            </w:r>
          </w:p>
        </w:tc>
        <w:tc>
          <w:tcPr>
            <w:tcW w:w="485"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1 164</w:t>
            </w:r>
          </w:p>
        </w:tc>
        <w:tc>
          <w:tcPr>
            <w:tcW w:w="459"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c>
          <w:tcPr>
            <w:tcW w:w="478"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c>
          <w:tcPr>
            <w:tcW w:w="563"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r>
      <w:tr w:rsidR="007D13F3" w:rsidRPr="006145DA" w:rsidTr="00465CAC">
        <w:trPr>
          <w:trHeight w:val="258"/>
        </w:trPr>
        <w:tc>
          <w:tcPr>
            <w:tcW w:w="1406" w:type="pct"/>
            <w:noWrap/>
            <w:vAlign w:val="bottom"/>
            <w:hideMark/>
          </w:tcPr>
          <w:p w:rsidR="007D13F3" w:rsidRPr="006145DA" w:rsidRDefault="007D13F3" w:rsidP="00465CAC">
            <w:pPr>
              <w:rPr>
                <w:rFonts w:ascii="Times New Roman" w:hAnsi="Times New Roman" w:cs="Times New Roman"/>
                <w:color w:val="000000"/>
                <w:sz w:val="14"/>
                <w:szCs w:val="14"/>
                <w:lang w:eastAsia="sk-SK"/>
              </w:rPr>
            </w:pPr>
            <w:r w:rsidRPr="006145DA">
              <w:rPr>
                <w:rFonts w:ascii="Times New Roman" w:hAnsi="Times New Roman" w:cs="Times New Roman"/>
                <w:color w:val="000000"/>
                <w:sz w:val="14"/>
                <w:szCs w:val="14"/>
                <w:lang w:eastAsia="sk-SK"/>
              </w:rPr>
              <w:t xml:space="preserve">                spolufinancovanie zo ŠR</w:t>
            </w:r>
          </w:p>
        </w:tc>
        <w:tc>
          <w:tcPr>
            <w:tcW w:w="485" w:type="pct"/>
            <w:shd w:val="clear" w:color="auto" w:fill="auto"/>
            <w:noWrap/>
            <w:vAlign w:val="bottom"/>
            <w:hideMark/>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27 500 640</w:t>
            </w:r>
          </w:p>
        </w:tc>
        <w:tc>
          <w:tcPr>
            <w:tcW w:w="485"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2 693 148</w:t>
            </w:r>
          </w:p>
        </w:tc>
        <w:tc>
          <w:tcPr>
            <w:tcW w:w="459"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c>
          <w:tcPr>
            <w:tcW w:w="478"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c>
          <w:tcPr>
            <w:tcW w:w="563"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r>
      <w:tr w:rsidR="007D13F3" w:rsidRPr="006145DA" w:rsidTr="00465CAC">
        <w:trPr>
          <w:trHeight w:val="258"/>
        </w:trPr>
        <w:tc>
          <w:tcPr>
            <w:tcW w:w="1406" w:type="pct"/>
            <w:noWrap/>
            <w:vAlign w:val="bottom"/>
            <w:hideMark/>
          </w:tcPr>
          <w:p w:rsidR="007D13F3" w:rsidRPr="006145DA" w:rsidRDefault="007D13F3" w:rsidP="00465CAC">
            <w:pPr>
              <w:rPr>
                <w:rFonts w:ascii="Times New Roman" w:hAnsi="Times New Roman" w:cs="Times New Roman"/>
                <w:color w:val="000000"/>
                <w:sz w:val="14"/>
                <w:szCs w:val="14"/>
                <w:lang w:eastAsia="sk-SK"/>
              </w:rPr>
            </w:pPr>
            <w:r w:rsidRPr="006145DA">
              <w:rPr>
                <w:rFonts w:ascii="Times New Roman" w:hAnsi="Times New Roman" w:cs="Times New Roman"/>
                <w:color w:val="000000"/>
                <w:sz w:val="14"/>
                <w:szCs w:val="14"/>
                <w:lang w:eastAsia="sk-SK"/>
              </w:rPr>
              <w:t xml:space="preserve">               3. program. obdobie EÚ</w:t>
            </w:r>
          </w:p>
        </w:tc>
        <w:tc>
          <w:tcPr>
            <w:tcW w:w="485" w:type="pct"/>
            <w:shd w:val="clear" w:color="auto" w:fill="auto"/>
            <w:noWrap/>
            <w:vAlign w:val="bottom"/>
            <w:hideMark/>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3 225 000</w:t>
            </w:r>
          </w:p>
        </w:tc>
        <w:tc>
          <w:tcPr>
            <w:tcW w:w="485"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2 548 421</w:t>
            </w:r>
          </w:p>
        </w:tc>
        <w:tc>
          <w:tcPr>
            <w:tcW w:w="459"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351 223 703</w:t>
            </w:r>
          </w:p>
        </w:tc>
        <w:tc>
          <w:tcPr>
            <w:tcW w:w="478"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1 398 455</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89 551 599</w:t>
            </w:r>
          </w:p>
        </w:tc>
        <w:tc>
          <w:tcPr>
            <w:tcW w:w="563"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546 173 504</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600 568 898</w:t>
            </w:r>
          </w:p>
        </w:tc>
      </w:tr>
      <w:tr w:rsidR="007D13F3" w:rsidRPr="006145DA" w:rsidTr="00465CAC">
        <w:trPr>
          <w:trHeight w:val="258"/>
        </w:trPr>
        <w:tc>
          <w:tcPr>
            <w:tcW w:w="1406" w:type="pct"/>
            <w:noWrap/>
            <w:vAlign w:val="bottom"/>
            <w:hideMark/>
          </w:tcPr>
          <w:p w:rsidR="007D13F3" w:rsidRPr="006145DA" w:rsidRDefault="007D13F3" w:rsidP="00465CAC">
            <w:pPr>
              <w:rPr>
                <w:rFonts w:ascii="Times New Roman" w:hAnsi="Times New Roman" w:cs="Times New Roman"/>
                <w:color w:val="000000"/>
                <w:sz w:val="14"/>
                <w:szCs w:val="14"/>
                <w:lang w:eastAsia="sk-SK"/>
              </w:rPr>
            </w:pPr>
            <w:r w:rsidRPr="006145DA">
              <w:rPr>
                <w:rFonts w:ascii="Times New Roman" w:hAnsi="Times New Roman" w:cs="Times New Roman"/>
                <w:color w:val="000000"/>
                <w:sz w:val="14"/>
                <w:szCs w:val="14"/>
                <w:lang w:eastAsia="sk-SK"/>
              </w:rPr>
              <w:t xml:space="preserve">                spolufinancovanie zo ŠR</w:t>
            </w:r>
          </w:p>
        </w:tc>
        <w:tc>
          <w:tcPr>
            <w:tcW w:w="485" w:type="pct"/>
            <w:shd w:val="clear" w:color="auto" w:fill="auto"/>
            <w:noWrap/>
            <w:vAlign w:val="bottom"/>
            <w:hideMark/>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775 000</w:t>
            </w:r>
          </w:p>
        </w:tc>
        <w:tc>
          <w:tcPr>
            <w:tcW w:w="485"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2 313 019</w:t>
            </w:r>
          </w:p>
        </w:tc>
        <w:tc>
          <w:tcPr>
            <w:tcW w:w="459"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57 916 118</w:t>
            </w:r>
          </w:p>
        </w:tc>
        <w:tc>
          <w:tcPr>
            <w:tcW w:w="478"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242 827</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21 422 821</w:t>
            </w:r>
          </w:p>
        </w:tc>
        <w:tc>
          <w:tcPr>
            <w:tcW w:w="563"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67 599 668</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85 745 877</w:t>
            </w:r>
          </w:p>
        </w:tc>
      </w:tr>
      <w:tr w:rsidR="007D13F3" w:rsidRPr="006145DA" w:rsidTr="00465CAC">
        <w:trPr>
          <w:trHeight w:val="258"/>
        </w:trPr>
        <w:tc>
          <w:tcPr>
            <w:tcW w:w="1406" w:type="pct"/>
            <w:noWrap/>
            <w:vAlign w:val="bottom"/>
            <w:hideMark/>
          </w:tcPr>
          <w:p w:rsidR="007D13F3" w:rsidRPr="006145DA" w:rsidRDefault="007D13F3" w:rsidP="00465CAC">
            <w:pPr>
              <w:rPr>
                <w:rFonts w:ascii="Times New Roman" w:hAnsi="Times New Roman" w:cs="Times New Roman"/>
                <w:b/>
                <w:bCs/>
                <w:sz w:val="14"/>
                <w:szCs w:val="14"/>
                <w:lang w:eastAsia="sk-SK"/>
              </w:rPr>
            </w:pPr>
            <w:r w:rsidRPr="006145DA">
              <w:rPr>
                <w:rFonts w:ascii="Times New Roman" w:hAnsi="Times New Roman" w:cs="Times New Roman"/>
                <w:b/>
                <w:bCs/>
                <w:sz w:val="14"/>
                <w:szCs w:val="14"/>
                <w:lang w:eastAsia="sk-SK"/>
              </w:rPr>
              <w:t>presun z minulých rokov § 8</w:t>
            </w:r>
          </w:p>
        </w:tc>
        <w:tc>
          <w:tcPr>
            <w:tcW w:w="485" w:type="pct"/>
            <w:shd w:val="clear" w:color="auto" w:fill="auto"/>
            <w:noWrap/>
            <w:vAlign w:val="bottom"/>
            <w:hideMark/>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415 391 081</w:t>
            </w:r>
          </w:p>
        </w:tc>
        <w:tc>
          <w:tcPr>
            <w:tcW w:w="485" w:type="pct"/>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229 641 402</w:t>
            </w:r>
          </w:p>
        </w:tc>
        <w:tc>
          <w:tcPr>
            <w:tcW w:w="459" w:type="pct"/>
            <w:gridSpan w:val="2"/>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0</w:t>
            </w:r>
          </w:p>
        </w:tc>
        <w:tc>
          <w:tcPr>
            <w:tcW w:w="478" w:type="pct"/>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154 617 926</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0</w:t>
            </w:r>
          </w:p>
        </w:tc>
        <w:tc>
          <w:tcPr>
            <w:tcW w:w="563" w:type="pct"/>
            <w:gridSpan w:val="2"/>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0</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0</w:t>
            </w:r>
          </w:p>
        </w:tc>
      </w:tr>
      <w:tr w:rsidR="007D13F3" w:rsidRPr="006145DA" w:rsidTr="00465CAC">
        <w:trPr>
          <w:trHeight w:val="258"/>
        </w:trPr>
        <w:tc>
          <w:tcPr>
            <w:tcW w:w="1406" w:type="pct"/>
            <w:noWrap/>
            <w:vAlign w:val="bottom"/>
            <w:hideMark/>
          </w:tcPr>
          <w:p w:rsidR="007D13F3" w:rsidRPr="006145DA" w:rsidRDefault="007D13F3" w:rsidP="00465CAC">
            <w:pPr>
              <w:rPr>
                <w:rFonts w:ascii="Times New Roman" w:hAnsi="Times New Roman" w:cs="Times New Roman"/>
                <w:color w:val="000000"/>
                <w:sz w:val="14"/>
                <w:szCs w:val="14"/>
                <w:lang w:eastAsia="sk-SK"/>
              </w:rPr>
            </w:pPr>
            <w:r w:rsidRPr="006145DA">
              <w:rPr>
                <w:rFonts w:ascii="Times New Roman" w:hAnsi="Times New Roman" w:cs="Times New Roman"/>
                <w:color w:val="000000"/>
                <w:sz w:val="14"/>
                <w:szCs w:val="14"/>
                <w:lang w:eastAsia="sk-SK"/>
              </w:rPr>
              <w:t xml:space="preserve">    z toho: štátny rozpočet</w:t>
            </w:r>
          </w:p>
        </w:tc>
        <w:tc>
          <w:tcPr>
            <w:tcW w:w="485" w:type="pct"/>
            <w:shd w:val="clear" w:color="auto" w:fill="auto"/>
            <w:noWrap/>
            <w:vAlign w:val="bottom"/>
            <w:hideMark/>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27 419</w:t>
            </w:r>
          </w:p>
        </w:tc>
        <w:tc>
          <w:tcPr>
            <w:tcW w:w="485"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229 020</w:t>
            </w:r>
          </w:p>
        </w:tc>
        <w:tc>
          <w:tcPr>
            <w:tcW w:w="459"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c>
          <w:tcPr>
            <w:tcW w:w="478" w:type="pct"/>
            <w:shd w:val="clear" w:color="auto" w:fill="auto"/>
            <w:noWrap/>
            <w:vAlign w:val="bottom"/>
          </w:tcPr>
          <w:p w:rsidR="007D13F3" w:rsidRPr="006145DA" w:rsidRDefault="007D13F3" w:rsidP="00465CAC">
            <w:pPr>
              <w:jc w:val="right"/>
              <w:rPr>
                <w:rFonts w:ascii="Times New Roman" w:hAnsi="Times New Roman" w:cs="Times New Roman"/>
                <w:sz w:val="14"/>
                <w:szCs w:val="14"/>
              </w:rPr>
            </w:pPr>
            <w:r w:rsidRPr="006145DA">
              <w:rPr>
                <w:rFonts w:ascii="Times New Roman" w:hAnsi="Times New Roman" w:cs="Times New Roman"/>
                <w:sz w:val="14"/>
                <w:szCs w:val="14"/>
              </w:rPr>
              <w:t>7 362 520</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c>
          <w:tcPr>
            <w:tcW w:w="563"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r>
      <w:tr w:rsidR="007D13F3" w:rsidRPr="006145DA" w:rsidTr="00465CAC">
        <w:trPr>
          <w:trHeight w:val="258"/>
        </w:trPr>
        <w:tc>
          <w:tcPr>
            <w:tcW w:w="1406" w:type="pct"/>
            <w:noWrap/>
            <w:vAlign w:val="bottom"/>
            <w:hideMark/>
          </w:tcPr>
          <w:p w:rsidR="007D13F3" w:rsidRPr="006145DA" w:rsidRDefault="007D13F3" w:rsidP="00465CAC">
            <w:pPr>
              <w:rPr>
                <w:rFonts w:ascii="Times New Roman" w:hAnsi="Times New Roman" w:cs="Times New Roman"/>
                <w:color w:val="000000"/>
                <w:sz w:val="14"/>
                <w:szCs w:val="14"/>
                <w:lang w:eastAsia="sk-SK"/>
              </w:rPr>
            </w:pPr>
            <w:r w:rsidRPr="006145DA">
              <w:rPr>
                <w:rFonts w:ascii="Times New Roman" w:hAnsi="Times New Roman" w:cs="Times New Roman"/>
                <w:color w:val="000000"/>
                <w:sz w:val="14"/>
                <w:szCs w:val="14"/>
                <w:lang w:eastAsia="sk-SK"/>
              </w:rPr>
              <w:t xml:space="preserve">                EÚ prostriedky</w:t>
            </w:r>
          </w:p>
        </w:tc>
        <w:tc>
          <w:tcPr>
            <w:tcW w:w="485" w:type="pct"/>
            <w:shd w:val="clear" w:color="auto" w:fill="auto"/>
            <w:noWrap/>
            <w:vAlign w:val="bottom"/>
            <w:hideMark/>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360 187 727</w:t>
            </w:r>
          </w:p>
        </w:tc>
        <w:tc>
          <w:tcPr>
            <w:tcW w:w="485"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200 294 509</w:t>
            </w:r>
          </w:p>
        </w:tc>
        <w:tc>
          <w:tcPr>
            <w:tcW w:w="459"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 xml:space="preserve"> 0</w:t>
            </w:r>
          </w:p>
        </w:tc>
        <w:tc>
          <w:tcPr>
            <w:tcW w:w="478" w:type="pct"/>
            <w:shd w:val="clear" w:color="auto" w:fill="auto"/>
            <w:noWrap/>
            <w:vAlign w:val="bottom"/>
          </w:tcPr>
          <w:p w:rsidR="007D13F3" w:rsidRPr="006145DA" w:rsidRDefault="007D13F3" w:rsidP="00465CAC">
            <w:pPr>
              <w:jc w:val="right"/>
              <w:rPr>
                <w:rFonts w:ascii="Times New Roman" w:hAnsi="Times New Roman" w:cs="Times New Roman"/>
                <w:sz w:val="14"/>
                <w:szCs w:val="14"/>
              </w:rPr>
            </w:pPr>
            <w:r w:rsidRPr="006145DA">
              <w:rPr>
                <w:rFonts w:ascii="Times New Roman" w:hAnsi="Times New Roman" w:cs="Times New Roman"/>
                <w:sz w:val="14"/>
                <w:szCs w:val="14"/>
              </w:rPr>
              <w:t>126 466 727</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c>
          <w:tcPr>
            <w:tcW w:w="563" w:type="pct"/>
            <w:gridSpan w:val="2"/>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c>
          <w:tcPr>
            <w:tcW w:w="563" w:type="pct"/>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r>
      <w:tr w:rsidR="007D13F3" w:rsidRPr="006145DA" w:rsidTr="00465CAC">
        <w:trPr>
          <w:trHeight w:val="258"/>
        </w:trPr>
        <w:tc>
          <w:tcPr>
            <w:tcW w:w="1406" w:type="pct"/>
            <w:tcBorders>
              <w:bottom w:val="single" w:sz="4" w:space="0" w:color="auto"/>
            </w:tcBorders>
            <w:noWrap/>
            <w:vAlign w:val="bottom"/>
            <w:hideMark/>
          </w:tcPr>
          <w:p w:rsidR="007D13F3" w:rsidRPr="006145DA" w:rsidRDefault="007D13F3" w:rsidP="00465CAC">
            <w:pPr>
              <w:rPr>
                <w:rFonts w:ascii="Times New Roman" w:hAnsi="Times New Roman" w:cs="Times New Roman"/>
                <w:color w:val="000000"/>
                <w:sz w:val="14"/>
                <w:szCs w:val="14"/>
                <w:lang w:eastAsia="sk-SK"/>
              </w:rPr>
            </w:pPr>
            <w:r w:rsidRPr="006145DA">
              <w:rPr>
                <w:rFonts w:ascii="Times New Roman" w:hAnsi="Times New Roman" w:cs="Times New Roman"/>
                <w:color w:val="000000"/>
                <w:sz w:val="14"/>
                <w:szCs w:val="14"/>
                <w:lang w:eastAsia="sk-SK"/>
              </w:rPr>
              <w:t xml:space="preserve">                spolufinancovanie zo ŠR</w:t>
            </w:r>
          </w:p>
        </w:tc>
        <w:tc>
          <w:tcPr>
            <w:tcW w:w="485" w:type="pct"/>
            <w:tcBorders>
              <w:bottom w:val="single" w:sz="4" w:space="0" w:color="auto"/>
            </w:tcBorders>
            <w:shd w:val="clear" w:color="auto" w:fill="auto"/>
            <w:noWrap/>
            <w:vAlign w:val="bottom"/>
            <w:hideMark/>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55 175 936</w:t>
            </w:r>
          </w:p>
        </w:tc>
        <w:tc>
          <w:tcPr>
            <w:tcW w:w="485" w:type="pct"/>
            <w:tcBorders>
              <w:bottom w:val="single" w:sz="4" w:space="0" w:color="auto"/>
            </w:tcBorders>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29 117 873</w:t>
            </w:r>
          </w:p>
        </w:tc>
        <w:tc>
          <w:tcPr>
            <w:tcW w:w="459" w:type="pct"/>
            <w:gridSpan w:val="2"/>
            <w:tcBorders>
              <w:bottom w:val="single" w:sz="4" w:space="0" w:color="auto"/>
            </w:tcBorders>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c>
          <w:tcPr>
            <w:tcW w:w="478" w:type="pct"/>
            <w:tcBorders>
              <w:bottom w:val="single" w:sz="4" w:space="0" w:color="auto"/>
            </w:tcBorders>
            <w:shd w:val="clear" w:color="auto" w:fill="auto"/>
            <w:noWrap/>
            <w:vAlign w:val="bottom"/>
          </w:tcPr>
          <w:p w:rsidR="007D13F3" w:rsidRPr="006145DA" w:rsidRDefault="007D13F3" w:rsidP="00465CAC">
            <w:pPr>
              <w:jc w:val="right"/>
              <w:rPr>
                <w:rFonts w:ascii="Times New Roman" w:hAnsi="Times New Roman" w:cs="Times New Roman"/>
                <w:sz w:val="14"/>
                <w:szCs w:val="14"/>
              </w:rPr>
            </w:pPr>
            <w:r w:rsidRPr="006145DA">
              <w:rPr>
                <w:rFonts w:ascii="Times New Roman" w:hAnsi="Times New Roman" w:cs="Times New Roman"/>
                <w:sz w:val="14"/>
                <w:szCs w:val="14"/>
              </w:rPr>
              <w:t>20 788 679</w:t>
            </w:r>
          </w:p>
        </w:tc>
        <w:tc>
          <w:tcPr>
            <w:tcW w:w="563" w:type="pct"/>
            <w:tcBorders>
              <w:bottom w:val="single" w:sz="4" w:space="0" w:color="auto"/>
            </w:tcBorders>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c>
          <w:tcPr>
            <w:tcW w:w="563" w:type="pct"/>
            <w:gridSpan w:val="2"/>
            <w:tcBorders>
              <w:bottom w:val="single" w:sz="4" w:space="0" w:color="auto"/>
            </w:tcBorders>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c>
          <w:tcPr>
            <w:tcW w:w="563" w:type="pct"/>
            <w:tcBorders>
              <w:bottom w:val="single" w:sz="4" w:space="0" w:color="auto"/>
            </w:tcBorders>
            <w:shd w:val="clear" w:color="auto" w:fill="auto"/>
            <w:noWrap/>
            <w:vAlign w:val="bottom"/>
          </w:tcPr>
          <w:p w:rsidR="007D13F3" w:rsidRPr="006145DA" w:rsidRDefault="007D13F3" w:rsidP="00465CAC">
            <w:pPr>
              <w:jc w:val="right"/>
              <w:rPr>
                <w:rFonts w:ascii="Times New Roman" w:hAnsi="Times New Roman" w:cs="Times New Roman"/>
                <w:color w:val="000000"/>
                <w:sz w:val="14"/>
                <w:szCs w:val="14"/>
              </w:rPr>
            </w:pPr>
            <w:r w:rsidRPr="006145DA">
              <w:rPr>
                <w:rFonts w:ascii="Times New Roman" w:hAnsi="Times New Roman" w:cs="Times New Roman"/>
                <w:color w:val="000000"/>
                <w:sz w:val="14"/>
                <w:szCs w:val="14"/>
              </w:rPr>
              <w:t>0</w:t>
            </w:r>
          </w:p>
        </w:tc>
      </w:tr>
      <w:tr w:rsidR="007D13F3" w:rsidRPr="006145DA" w:rsidTr="00465CAC">
        <w:trPr>
          <w:trHeight w:val="258"/>
        </w:trPr>
        <w:tc>
          <w:tcPr>
            <w:tcW w:w="1406" w:type="pct"/>
            <w:tcBorders>
              <w:bottom w:val="single" w:sz="4" w:space="0" w:color="auto"/>
            </w:tcBorders>
            <w:noWrap/>
            <w:vAlign w:val="bottom"/>
          </w:tcPr>
          <w:p w:rsidR="007D13F3" w:rsidRPr="006145DA" w:rsidRDefault="007D13F3" w:rsidP="00465CAC">
            <w:pPr>
              <w:rPr>
                <w:rFonts w:ascii="Times New Roman" w:hAnsi="Times New Roman" w:cs="Times New Roman"/>
                <w:b/>
                <w:color w:val="000000"/>
                <w:sz w:val="14"/>
                <w:szCs w:val="14"/>
                <w:lang w:eastAsia="sk-SK"/>
              </w:rPr>
            </w:pPr>
            <w:r w:rsidRPr="006145DA">
              <w:rPr>
                <w:rFonts w:ascii="Times New Roman" w:hAnsi="Times New Roman" w:cs="Times New Roman"/>
                <w:b/>
                <w:bCs/>
                <w:color w:val="000000"/>
                <w:sz w:val="14"/>
                <w:szCs w:val="14"/>
              </w:rPr>
              <w:t>zdroj 72 e*</w:t>
            </w:r>
          </w:p>
        </w:tc>
        <w:tc>
          <w:tcPr>
            <w:tcW w:w="485" w:type="pct"/>
            <w:tcBorders>
              <w:bottom w:val="single" w:sz="4" w:space="0" w:color="auto"/>
            </w:tcBorders>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lang w:eastAsia="sk-SK"/>
              </w:rPr>
            </w:pPr>
            <w:r w:rsidRPr="006145DA">
              <w:rPr>
                <w:rFonts w:ascii="Times New Roman" w:hAnsi="Times New Roman" w:cs="Times New Roman"/>
                <w:b/>
                <w:color w:val="000000"/>
                <w:sz w:val="14"/>
                <w:szCs w:val="14"/>
              </w:rPr>
              <w:t>76 576</w:t>
            </w:r>
          </w:p>
        </w:tc>
        <w:tc>
          <w:tcPr>
            <w:tcW w:w="485" w:type="pct"/>
            <w:tcBorders>
              <w:bottom w:val="single" w:sz="4" w:space="0" w:color="auto"/>
            </w:tcBorders>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249 852</w:t>
            </w:r>
          </w:p>
        </w:tc>
        <w:tc>
          <w:tcPr>
            <w:tcW w:w="459" w:type="pct"/>
            <w:gridSpan w:val="2"/>
            <w:tcBorders>
              <w:bottom w:val="single" w:sz="4" w:space="0" w:color="auto"/>
            </w:tcBorders>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0</w:t>
            </w:r>
          </w:p>
        </w:tc>
        <w:tc>
          <w:tcPr>
            <w:tcW w:w="478" w:type="pct"/>
            <w:tcBorders>
              <w:bottom w:val="single" w:sz="4" w:space="0" w:color="auto"/>
            </w:tcBorders>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0 </w:t>
            </w:r>
          </w:p>
        </w:tc>
        <w:tc>
          <w:tcPr>
            <w:tcW w:w="563" w:type="pct"/>
            <w:tcBorders>
              <w:bottom w:val="single" w:sz="4" w:space="0" w:color="auto"/>
            </w:tcBorders>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7 000</w:t>
            </w:r>
          </w:p>
        </w:tc>
        <w:tc>
          <w:tcPr>
            <w:tcW w:w="563" w:type="pct"/>
            <w:gridSpan w:val="2"/>
            <w:tcBorders>
              <w:bottom w:val="single" w:sz="4" w:space="0" w:color="auto"/>
            </w:tcBorders>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7 000</w:t>
            </w:r>
          </w:p>
        </w:tc>
        <w:tc>
          <w:tcPr>
            <w:tcW w:w="563" w:type="pct"/>
            <w:tcBorders>
              <w:bottom w:val="single" w:sz="4" w:space="0" w:color="auto"/>
            </w:tcBorders>
            <w:shd w:val="clear" w:color="auto" w:fill="auto"/>
            <w:noWrap/>
            <w:vAlign w:val="bottom"/>
          </w:tcPr>
          <w:p w:rsidR="007D13F3" w:rsidRPr="006145DA" w:rsidRDefault="007D13F3" w:rsidP="00465CAC">
            <w:pPr>
              <w:jc w:val="right"/>
              <w:rPr>
                <w:rFonts w:ascii="Times New Roman" w:hAnsi="Times New Roman" w:cs="Times New Roman"/>
                <w:b/>
                <w:color w:val="000000"/>
                <w:sz w:val="14"/>
                <w:szCs w:val="14"/>
              </w:rPr>
            </w:pPr>
            <w:r w:rsidRPr="006145DA">
              <w:rPr>
                <w:rFonts w:ascii="Times New Roman" w:hAnsi="Times New Roman" w:cs="Times New Roman"/>
                <w:b/>
                <w:color w:val="000000"/>
                <w:sz w:val="14"/>
                <w:szCs w:val="14"/>
              </w:rPr>
              <w:t>7 000</w:t>
            </w:r>
          </w:p>
        </w:tc>
      </w:tr>
      <w:tr w:rsidR="007D13F3" w:rsidRPr="006145DA" w:rsidTr="00465CAC">
        <w:trPr>
          <w:trHeight w:hRule="exact" w:val="254"/>
        </w:trPr>
        <w:tc>
          <w:tcPr>
            <w:tcW w:w="2497" w:type="pct"/>
            <w:gridSpan w:val="4"/>
            <w:tcBorders>
              <w:top w:val="single" w:sz="4" w:space="0" w:color="auto"/>
              <w:left w:val="nil"/>
              <w:bottom w:val="single" w:sz="4" w:space="0" w:color="auto"/>
              <w:right w:val="nil"/>
            </w:tcBorders>
            <w:shd w:val="clear" w:color="000000" w:fill="FFFFFF"/>
            <w:noWrap/>
            <w:hideMark/>
          </w:tcPr>
          <w:p w:rsidR="007D13F3" w:rsidRPr="006145DA" w:rsidRDefault="007D13F3" w:rsidP="00465CAC">
            <w:pPr>
              <w:rPr>
                <w:rFonts w:ascii="Times New Roman" w:hAnsi="Times New Roman" w:cs="Times New Roman"/>
                <w:color w:val="000000"/>
                <w:sz w:val="14"/>
                <w:szCs w:val="14"/>
                <w:lang w:eastAsia="sk-SK"/>
              </w:rPr>
            </w:pPr>
            <w:r w:rsidRPr="006145DA">
              <w:rPr>
                <w:rFonts w:ascii="Times New Roman" w:hAnsi="Times New Roman" w:cs="Times New Roman"/>
                <w:color w:val="000000"/>
                <w:sz w:val="14"/>
                <w:szCs w:val="14"/>
                <w:lang w:eastAsia="sk-SK"/>
              </w:rPr>
              <w:t>*</w:t>
            </w:r>
            <w:r w:rsidR="004E497F">
              <w:rPr>
                <w:rFonts w:ascii="Times New Roman" w:hAnsi="Times New Roman" w:cs="Times New Roman"/>
                <w:color w:val="000000"/>
                <w:sz w:val="14"/>
                <w:szCs w:val="14"/>
                <w:lang w:eastAsia="sk-SK"/>
              </w:rPr>
              <w:t xml:space="preserve"> </w:t>
            </w:r>
            <w:r w:rsidRPr="006145DA">
              <w:rPr>
                <w:rFonts w:ascii="Times New Roman" w:hAnsi="Times New Roman" w:cs="Times New Roman"/>
                <w:color w:val="000000"/>
                <w:sz w:val="14"/>
                <w:szCs w:val="14"/>
                <w:lang w:eastAsia="sk-SK"/>
              </w:rPr>
              <w:t>z poistného plnenia zo zmluvného poistenia alebo zo zákonného poistenia</w:t>
            </w:r>
          </w:p>
        </w:tc>
        <w:tc>
          <w:tcPr>
            <w:tcW w:w="338" w:type="pct"/>
            <w:tcBorders>
              <w:top w:val="single" w:sz="4" w:space="0" w:color="auto"/>
              <w:left w:val="nil"/>
              <w:bottom w:val="single" w:sz="4" w:space="0" w:color="auto"/>
              <w:right w:val="nil"/>
            </w:tcBorders>
            <w:shd w:val="clear" w:color="auto" w:fill="auto"/>
            <w:noWrap/>
            <w:vAlign w:val="bottom"/>
            <w:hideMark/>
          </w:tcPr>
          <w:p w:rsidR="007D13F3" w:rsidRPr="006145DA" w:rsidRDefault="007D13F3" w:rsidP="00465CAC">
            <w:pPr>
              <w:rPr>
                <w:rFonts w:ascii="Times New Roman" w:hAnsi="Times New Roman" w:cs="Times New Roman"/>
                <w:color w:val="000000"/>
                <w:sz w:val="14"/>
                <w:szCs w:val="14"/>
                <w:lang w:eastAsia="sk-SK"/>
              </w:rPr>
            </w:pPr>
          </w:p>
        </w:tc>
        <w:tc>
          <w:tcPr>
            <w:tcW w:w="478" w:type="pct"/>
            <w:tcBorders>
              <w:top w:val="single" w:sz="4" w:space="0" w:color="auto"/>
              <w:left w:val="nil"/>
              <w:bottom w:val="single" w:sz="4" w:space="0" w:color="auto"/>
              <w:right w:val="nil"/>
            </w:tcBorders>
            <w:shd w:val="clear" w:color="auto" w:fill="auto"/>
            <w:noWrap/>
            <w:vAlign w:val="bottom"/>
          </w:tcPr>
          <w:p w:rsidR="007D13F3" w:rsidRPr="006145DA" w:rsidRDefault="007D13F3" w:rsidP="00465CAC">
            <w:pPr>
              <w:jc w:val="right"/>
              <w:rPr>
                <w:rFonts w:ascii="Times New Roman" w:hAnsi="Times New Roman" w:cs="Times New Roman"/>
                <w:sz w:val="14"/>
                <w:szCs w:val="14"/>
                <w:lang w:eastAsia="sk-SK"/>
              </w:rPr>
            </w:pPr>
          </w:p>
        </w:tc>
        <w:tc>
          <w:tcPr>
            <w:tcW w:w="593" w:type="pct"/>
            <w:gridSpan w:val="2"/>
            <w:tcBorders>
              <w:top w:val="single" w:sz="4" w:space="0" w:color="auto"/>
              <w:left w:val="nil"/>
              <w:bottom w:val="single" w:sz="4" w:space="0" w:color="auto"/>
              <w:right w:val="nil"/>
            </w:tcBorders>
            <w:shd w:val="clear" w:color="auto" w:fill="auto"/>
            <w:noWrap/>
            <w:vAlign w:val="bottom"/>
            <w:hideMark/>
          </w:tcPr>
          <w:p w:rsidR="007D13F3" w:rsidRPr="006145DA" w:rsidRDefault="007D13F3" w:rsidP="00465CAC">
            <w:pPr>
              <w:jc w:val="right"/>
              <w:rPr>
                <w:rFonts w:ascii="Times New Roman" w:hAnsi="Times New Roman" w:cs="Times New Roman"/>
                <w:sz w:val="14"/>
                <w:szCs w:val="14"/>
                <w:lang w:eastAsia="sk-SK"/>
              </w:rPr>
            </w:pPr>
          </w:p>
        </w:tc>
        <w:tc>
          <w:tcPr>
            <w:tcW w:w="532" w:type="pct"/>
            <w:tcBorders>
              <w:top w:val="single" w:sz="4" w:space="0" w:color="auto"/>
              <w:left w:val="nil"/>
              <w:bottom w:val="single" w:sz="4" w:space="0" w:color="auto"/>
              <w:right w:val="nil"/>
            </w:tcBorders>
            <w:shd w:val="clear" w:color="auto" w:fill="auto"/>
            <w:noWrap/>
            <w:vAlign w:val="bottom"/>
            <w:hideMark/>
          </w:tcPr>
          <w:p w:rsidR="007D13F3" w:rsidRPr="006145DA" w:rsidRDefault="007D13F3" w:rsidP="00465CAC">
            <w:pPr>
              <w:rPr>
                <w:rFonts w:ascii="Times New Roman" w:hAnsi="Times New Roman" w:cs="Times New Roman"/>
                <w:sz w:val="14"/>
                <w:szCs w:val="14"/>
                <w:lang w:eastAsia="sk-SK"/>
              </w:rPr>
            </w:pPr>
          </w:p>
        </w:tc>
        <w:tc>
          <w:tcPr>
            <w:tcW w:w="563" w:type="pct"/>
            <w:tcBorders>
              <w:top w:val="single" w:sz="4" w:space="0" w:color="auto"/>
              <w:left w:val="nil"/>
              <w:bottom w:val="single" w:sz="4" w:space="0" w:color="auto"/>
              <w:right w:val="nil"/>
            </w:tcBorders>
            <w:shd w:val="clear" w:color="auto" w:fill="auto"/>
            <w:noWrap/>
            <w:vAlign w:val="bottom"/>
            <w:hideMark/>
          </w:tcPr>
          <w:p w:rsidR="007D13F3" w:rsidRPr="006145DA" w:rsidRDefault="007D13F3" w:rsidP="00465CAC">
            <w:pPr>
              <w:rPr>
                <w:rFonts w:ascii="Times New Roman" w:hAnsi="Times New Roman" w:cs="Times New Roman"/>
                <w:sz w:val="14"/>
                <w:szCs w:val="14"/>
                <w:lang w:eastAsia="sk-SK"/>
              </w:rPr>
            </w:pPr>
          </w:p>
        </w:tc>
      </w:tr>
      <w:tr w:rsidR="007D13F3" w:rsidRPr="006145DA" w:rsidTr="00465CAC">
        <w:trPr>
          <w:trHeight w:hRule="exact" w:val="254"/>
        </w:trPr>
        <w:tc>
          <w:tcPr>
            <w:tcW w:w="1406" w:type="pct"/>
            <w:tcBorders>
              <w:top w:val="single" w:sz="4" w:space="0" w:color="auto"/>
            </w:tcBorders>
            <w:shd w:val="clear" w:color="auto" w:fill="FFFFFF" w:themeFill="background1"/>
            <w:noWrap/>
            <w:vAlign w:val="bottom"/>
            <w:hideMark/>
          </w:tcPr>
          <w:p w:rsidR="007D13F3" w:rsidRPr="006145DA" w:rsidRDefault="007D13F3" w:rsidP="00465CAC">
            <w:pPr>
              <w:ind w:left="-220" w:firstLine="220"/>
              <w:rPr>
                <w:rFonts w:ascii="Times New Roman" w:hAnsi="Times New Roman" w:cs="Times New Roman"/>
                <w:b/>
                <w:bCs/>
                <w:sz w:val="14"/>
                <w:szCs w:val="14"/>
                <w:lang w:eastAsia="sk-SK"/>
              </w:rPr>
            </w:pPr>
            <w:r w:rsidRPr="006145DA">
              <w:rPr>
                <w:rFonts w:ascii="Times New Roman" w:hAnsi="Times New Roman" w:cs="Times New Roman"/>
                <w:b/>
                <w:bCs/>
                <w:sz w:val="14"/>
                <w:szCs w:val="14"/>
                <w:lang w:eastAsia="sk-SK"/>
              </w:rPr>
              <w:t>Samostatné účty</w:t>
            </w:r>
          </w:p>
        </w:tc>
        <w:tc>
          <w:tcPr>
            <w:tcW w:w="485" w:type="pct"/>
            <w:tcBorders>
              <w:top w:val="single" w:sz="4" w:space="0" w:color="auto"/>
            </w:tcBorders>
            <w:shd w:val="clear" w:color="auto" w:fill="FFFFFF" w:themeFill="background1"/>
            <w:noWrap/>
            <w:vAlign w:val="bottom"/>
          </w:tcPr>
          <w:p w:rsidR="007D13F3" w:rsidRPr="006145DA" w:rsidRDefault="007D13F3" w:rsidP="00465CAC">
            <w:pPr>
              <w:jc w:val="right"/>
              <w:rPr>
                <w:rFonts w:ascii="Times New Roman" w:hAnsi="Times New Roman" w:cs="Times New Roman"/>
                <w:b/>
                <w:bCs/>
                <w:color w:val="000000"/>
                <w:sz w:val="14"/>
                <w:szCs w:val="14"/>
                <w:lang w:eastAsia="sk-SK"/>
              </w:rPr>
            </w:pPr>
            <w:r w:rsidRPr="006145DA">
              <w:rPr>
                <w:rFonts w:ascii="Times New Roman" w:hAnsi="Times New Roman" w:cs="Times New Roman"/>
                <w:b/>
                <w:bCs/>
                <w:color w:val="000000"/>
                <w:sz w:val="14"/>
                <w:szCs w:val="14"/>
              </w:rPr>
              <w:t>5 084 897</w:t>
            </w:r>
          </w:p>
        </w:tc>
        <w:tc>
          <w:tcPr>
            <w:tcW w:w="485" w:type="pct"/>
            <w:tcBorders>
              <w:top w:val="single" w:sz="4" w:space="0" w:color="auto"/>
            </w:tcBorders>
            <w:shd w:val="clear" w:color="auto" w:fill="FFFFFF" w:themeFill="background1"/>
            <w:noWrap/>
            <w:vAlign w:val="bottom"/>
          </w:tcPr>
          <w:p w:rsidR="007D13F3" w:rsidRPr="006145DA" w:rsidRDefault="007D13F3" w:rsidP="00465CAC">
            <w:pPr>
              <w:jc w:val="right"/>
              <w:rPr>
                <w:rFonts w:ascii="Times New Roman" w:hAnsi="Times New Roman" w:cs="Times New Roman"/>
                <w:b/>
                <w:bCs/>
                <w:color w:val="000000"/>
                <w:sz w:val="14"/>
                <w:szCs w:val="14"/>
              </w:rPr>
            </w:pPr>
            <w:r w:rsidRPr="006145DA">
              <w:rPr>
                <w:rFonts w:ascii="Times New Roman" w:hAnsi="Times New Roman" w:cs="Times New Roman"/>
                <w:b/>
                <w:bCs/>
                <w:color w:val="000000"/>
                <w:sz w:val="14"/>
                <w:szCs w:val="14"/>
              </w:rPr>
              <w:t>3 370 417</w:t>
            </w:r>
          </w:p>
        </w:tc>
        <w:tc>
          <w:tcPr>
            <w:tcW w:w="459" w:type="pct"/>
            <w:gridSpan w:val="2"/>
            <w:tcBorders>
              <w:top w:val="single" w:sz="4" w:space="0" w:color="auto"/>
            </w:tcBorders>
            <w:shd w:val="clear" w:color="auto" w:fill="FFFFFF" w:themeFill="background1"/>
            <w:noWrap/>
            <w:vAlign w:val="bottom"/>
          </w:tcPr>
          <w:p w:rsidR="007D13F3" w:rsidRPr="006145DA" w:rsidRDefault="007D13F3" w:rsidP="00465CAC">
            <w:pPr>
              <w:jc w:val="right"/>
              <w:rPr>
                <w:rFonts w:ascii="Times New Roman" w:hAnsi="Times New Roman" w:cs="Times New Roman"/>
                <w:b/>
                <w:bCs/>
                <w:color w:val="000000"/>
                <w:sz w:val="14"/>
                <w:szCs w:val="14"/>
              </w:rPr>
            </w:pPr>
            <w:r w:rsidRPr="006145DA">
              <w:rPr>
                <w:rFonts w:ascii="Times New Roman" w:hAnsi="Times New Roman" w:cs="Times New Roman"/>
                <w:b/>
                <w:bCs/>
                <w:color w:val="000000"/>
                <w:sz w:val="14"/>
                <w:szCs w:val="14"/>
              </w:rPr>
              <w:t>2 760 000</w:t>
            </w:r>
          </w:p>
        </w:tc>
        <w:tc>
          <w:tcPr>
            <w:tcW w:w="478" w:type="pct"/>
            <w:tcBorders>
              <w:top w:val="single" w:sz="4" w:space="0" w:color="auto"/>
            </w:tcBorders>
            <w:shd w:val="clear" w:color="auto" w:fill="FFFFFF" w:themeFill="background1"/>
            <w:noWrap/>
            <w:vAlign w:val="bottom"/>
          </w:tcPr>
          <w:p w:rsidR="007D13F3" w:rsidRPr="006145DA" w:rsidRDefault="007D13F3" w:rsidP="00465CAC">
            <w:pPr>
              <w:jc w:val="right"/>
              <w:rPr>
                <w:rFonts w:ascii="Times New Roman" w:hAnsi="Times New Roman" w:cs="Times New Roman"/>
                <w:b/>
                <w:bCs/>
                <w:color w:val="000000"/>
                <w:sz w:val="14"/>
                <w:szCs w:val="14"/>
              </w:rPr>
            </w:pPr>
            <w:r w:rsidRPr="006145DA">
              <w:rPr>
                <w:rFonts w:ascii="Times New Roman" w:hAnsi="Times New Roman" w:cs="Times New Roman"/>
                <w:b/>
                <w:bCs/>
                <w:color w:val="000000"/>
                <w:sz w:val="14"/>
                <w:szCs w:val="14"/>
              </w:rPr>
              <w:t>2 760 000</w:t>
            </w:r>
          </w:p>
        </w:tc>
        <w:tc>
          <w:tcPr>
            <w:tcW w:w="593" w:type="pct"/>
            <w:gridSpan w:val="2"/>
            <w:tcBorders>
              <w:top w:val="single" w:sz="4" w:space="0" w:color="auto"/>
            </w:tcBorders>
            <w:shd w:val="clear" w:color="auto" w:fill="FFFFFF" w:themeFill="background1"/>
            <w:noWrap/>
            <w:vAlign w:val="bottom"/>
          </w:tcPr>
          <w:p w:rsidR="007D13F3" w:rsidRPr="006145DA" w:rsidRDefault="007D13F3" w:rsidP="00465CAC">
            <w:pPr>
              <w:jc w:val="right"/>
              <w:rPr>
                <w:rFonts w:ascii="Times New Roman" w:hAnsi="Times New Roman" w:cs="Times New Roman"/>
                <w:b/>
                <w:bCs/>
                <w:color w:val="000000"/>
                <w:sz w:val="14"/>
                <w:szCs w:val="14"/>
              </w:rPr>
            </w:pPr>
            <w:r w:rsidRPr="006145DA">
              <w:rPr>
                <w:rFonts w:ascii="Times New Roman" w:hAnsi="Times New Roman" w:cs="Times New Roman"/>
                <w:b/>
                <w:bCs/>
                <w:color w:val="000000"/>
                <w:sz w:val="14"/>
                <w:szCs w:val="14"/>
              </w:rPr>
              <w:t>0</w:t>
            </w:r>
          </w:p>
        </w:tc>
        <w:tc>
          <w:tcPr>
            <w:tcW w:w="532" w:type="pct"/>
            <w:tcBorders>
              <w:top w:val="single" w:sz="4" w:space="0" w:color="auto"/>
            </w:tcBorders>
            <w:shd w:val="clear" w:color="auto" w:fill="FFFFFF" w:themeFill="background1"/>
            <w:noWrap/>
            <w:vAlign w:val="bottom"/>
          </w:tcPr>
          <w:p w:rsidR="007D13F3" w:rsidRPr="006145DA" w:rsidRDefault="007D13F3" w:rsidP="00465CAC">
            <w:pPr>
              <w:jc w:val="right"/>
              <w:rPr>
                <w:rFonts w:ascii="Times New Roman" w:hAnsi="Times New Roman" w:cs="Times New Roman"/>
                <w:b/>
                <w:bCs/>
                <w:color w:val="000000"/>
                <w:sz w:val="14"/>
                <w:szCs w:val="14"/>
              </w:rPr>
            </w:pPr>
            <w:r w:rsidRPr="006145DA">
              <w:rPr>
                <w:rFonts w:ascii="Times New Roman" w:hAnsi="Times New Roman" w:cs="Times New Roman"/>
                <w:b/>
                <w:bCs/>
                <w:color w:val="000000"/>
                <w:sz w:val="14"/>
                <w:szCs w:val="14"/>
              </w:rPr>
              <w:t>0</w:t>
            </w:r>
          </w:p>
        </w:tc>
        <w:tc>
          <w:tcPr>
            <w:tcW w:w="563" w:type="pct"/>
            <w:tcBorders>
              <w:top w:val="single" w:sz="4" w:space="0" w:color="auto"/>
            </w:tcBorders>
            <w:shd w:val="clear" w:color="auto" w:fill="FFFFFF" w:themeFill="background1"/>
            <w:noWrap/>
            <w:vAlign w:val="bottom"/>
          </w:tcPr>
          <w:p w:rsidR="007D13F3" w:rsidRPr="006145DA" w:rsidRDefault="007D13F3" w:rsidP="00465CAC">
            <w:pPr>
              <w:jc w:val="right"/>
              <w:rPr>
                <w:rFonts w:ascii="Times New Roman" w:hAnsi="Times New Roman" w:cs="Times New Roman"/>
                <w:b/>
                <w:bCs/>
                <w:color w:val="000000"/>
                <w:sz w:val="14"/>
                <w:szCs w:val="14"/>
              </w:rPr>
            </w:pPr>
            <w:r w:rsidRPr="006145DA">
              <w:rPr>
                <w:rFonts w:ascii="Times New Roman" w:hAnsi="Times New Roman" w:cs="Times New Roman"/>
                <w:b/>
                <w:bCs/>
                <w:color w:val="000000"/>
                <w:sz w:val="14"/>
                <w:szCs w:val="14"/>
              </w:rPr>
              <w:t>0</w:t>
            </w:r>
          </w:p>
        </w:tc>
      </w:tr>
    </w:tbl>
    <w:p w:rsidR="007D13F3" w:rsidRPr="005F1146" w:rsidRDefault="007D13F3" w:rsidP="007D13F3">
      <w:pPr>
        <w:ind w:firstLine="708"/>
        <w:jc w:val="both"/>
        <w:rPr>
          <w:rFonts w:ascii="Times New Roman" w:hAnsi="Times New Roman" w:cs="Times New Roman"/>
        </w:rPr>
      </w:pPr>
    </w:p>
    <w:p w:rsidR="007D13F3" w:rsidRPr="005F1146" w:rsidRDefault="007D13F3" w:rsidP="007D13F3">
      <w:pPr>
        <w:ind w:firstLine="708"/>
        <w:jc w:val="both"/>
        <w:rPr>
          <w:rFonts w:ascii="Times New Roman" w:hAnsi="Times New Roman" w:cs="Times New Roman"/>
        </w:rPr>
      </w:pPr>
      <w:r w:rsidRPr="005F1146">
        <w:rPr>
          <w:rFonts w:ascii="Times New Roman" w:hAnsi="Times New Roman" w:cs="Times New Roman"/>
        </w:rPr>
        <w:t>Kapitola Ministerstvo životného prostredia SR (ďalej len „MŽP SR“) bude mať v roku 201</w:t>
      </w:r>
      <w:r>
        <w:rPr>
          <w:rFonts w:ascii="Times New Roman" w:hAnsi="Times New Roman" w:cs="Times New Roman"/>
        </w:rPr>
        <w:t>8</w:t>
      </w:r>
      <w:r w:rsidRPr="005F1146">
        <w:rPr>
          <w:rFonts w:ascii="Times New Roman" w:hAnsi="Times New Roman" w:cs="Times New Roman"/>
        </w:rPr>
        <w:t xml:space="preserve"> k dispozí</w:t>
      </w:r>
      <w:r>
        <w:rPr>
          <w:rFonts w:ascii="Times New Roman" w:hAnsi="Times New Roman" w:cs="Times New Roman"/>
        </w:rPr>
        <w:t>cii celkové výdavky vo výške 193</w:t>
      </w:r>
      <w:r w:rsidRPr="005F1146">
        <w:rPr>
          <w:rFonts w:ascii="Times New Roman" w:hAnsi="Times New Roman" w:cs="Times New Roman"/>
        </w:rPr>
        <w:t xml:space="preserve"> mil. eur, v tom rozpočtové p</w:t>
      </w:r>
      <w:r>
        <w:rPr>
          <w:rFonts w:ascii="Times New Roman" w:hAnsi="Times New Roman" w:cs="Times New Roman"/>
        </w:rPr>
        <w:t>rostriedky predstavujú sumu 82,2</w:t>
      </w:r>
      <w:r w:rsidRPr="005F1146">
        <w:rPr>
          <w:rFonts w:ascii="Times New Roman" w:hAnsi="Times New Roman" w:cs="Times New Roman"/>
        </w:rPr>
        <w:t xml:space="preserve"> mil. eur a  výdavky EÚ a spolufinancovania zo</w:t>
      </w:r>
      <w:r>
        <w:rPr>
          <w:rFonts w:ascii="Times New Roman" w:hAnsi="Times New Roman" w:cs="Times New Roman"/>
        </w:rPr>
        <w:t xml:space="preserve"> štátneho rozpočtu sú v sume 111</w:t>
      </w:r>
      <w:r w:rsidRPr="005F1146">
        <w:rPr>
          <w:rFonts w:ascii="Times New Roman" w:hAnsi="Times New Roman" w:cs="Times New Roman"/>
        </w:rPr>
        <w:t xml:space="preserve"> mil. eur. </w:t>
      </w:r>
      <w:r>
        <w:rPr>
          <w:rFonts w:ascii="Times New Roman" w:hAnsi="Times New Roman" w:cs="Times New Roman"/>
        </w:rPr>
        <w:t>Celkové výdavky kapitoly v porovnaní so schváleným rozpočtom v roku 2017 klesajú o 296 mil. eur, t. j. o 60,6 %. Dôvodom poklesu je nižšia alokácia výdavkov EÚ a spolufinancovania v rámci 3. programového obdobia v kapitole.</w:t>
      </w:r>
    </w:p>
    <w:p w:rsidR="007D13F3" w:rsidRPr="000138AC" w:rsidRDefault="007D13F3" w:rsidP="007D13F3">
      <w:pPr>
        <w:jc w:val="both"/>
        <w:rPr>
          <w:rFonts w:ascii="Times New Roman" w:hAnsi="Times New Roman"/>
        </w:rPr>
      </w:pPr>
    </w:p>
    <w:p w:rsidR="007D13F3" w:rsidRPr="00CD2C55" w:rsidRDefault="007D13F3" w:rsidP="007D13F3">
      <w:pPr>
        <w:ind w:firstLine="708"/>
        <w:jc w:val="both"/>
        <w:rPr>
          <w:rFonts w:ascii="Times New Roman" w:hAnsi="Times New Roman" w:cs="Times New Roman"/>
        </w:rPr>
      </w:pPr>
      <w:r w:rsidRPr="00CD2C55">
        <w:rPr>
          <w:rFonts w:ascii="Times New Roman" w:hAnsi="Times New Roman" w:cs="Times New Roman"/>
        </w:rPr>
        <w:t>Na rok 201</w:t>
      </w:r>
      <w:r>
        <w:rPr>
          <w:rFonts w:ascii="Times New Roman" w:hAnsi="Times New Roman" w:cs="Times New Roman"/>
        </w:rPr>
        <w:t>8</w:t>
      </w:r>
      <w:r w:rsidRPr="00CD2C55">
        <w:rPr>
          <w:rFonts w:ascii="Times New Roman" w:hAnsi="Times New Roman" w:cs="Times New Roman"/>
        </w:rPr>
        <w:t xml:space="preserve"> sa navrhuje rozpočet osobných výdavkov na </w:t>
      </w:r>
      <w:r>
        <w:rPr>
          <w:rFonts w:ascii="Times New Roman" w:hAnsi="Times New Roman" w:cs="Times New Roman"/>
        </w:rPr>
        <w:t>úrovni 11,6</w:t>
      </w:r>
      <w:r w:rsidRPr="00CD2C55">
        <w:rPr>
          <w:rFonts w:ascii="Times New Roman" w:hAnsi="Times New Roman" w:cs="Times New Roman"/>
        </w:rPr>
        <w:t xml:space="preserve"> mil. eur, ktoré v porovnaní so schváleným rozpočtom na rok 201</w:t>
      </w:r>
      <w:r>
        <w:rPr>
          <w:rFonts w:ascii="Times New Roman" w:hAnsi="Times New Roman" w:cs="Times New Roman"/>
        </w:rPr>
        <w:t>7 rastú o 1,52 mil. eur, t. j. o 15,1</w:t>
      </w:r>
      <w:r w:rsidRPr="00CD2C55">
        <w:rPr>
          <w:rFonts w:ascii="Times New Roman" w:hAnsi="Times New Roman" w:cs="Times New Roman"/>
        </w:rPr>
        <w:t xml:space="preserve"> %, pričom uvedený nárast je spôsob</w:t>
      </w:r>
      <w:r>
        <w:rPr>
          <w:rFonts w:ascii="Times New Roman" w:hAnsi="Times New Roman" w:cs="Times New Roman"/>
        </w:rPr>
        <w:t>ený zohľadnením nárastu počtu inšpektorov pre Slovenskú inšpekciu životného prostredia, premietnutím 3. diplomatického miesta pre stále zastúpenie v Bruseli z dôvodu nárastu agendy v oblasti životného prostredia a nárastom počtu zamestnancov vecných útvarov v samotnom aparáte kapitoly. V limitoch osobných výdavkov kapitoly je zohľadnená aj valorizácia</w:t>
      </w:r>
      <w:r w:rsidRPr="009F1742">
        <w:rPr>
          <w:rFonts w:ascii="Times New Roman" w:hAnsi="Times New Roman" w:cs="Times New Roman"/>
        </w:rPr>
        <w:t xml:space="preserve"> platov z roku 2017 do nasledujúcich rokov</w:t>
      </w:r>
      <w:r>
        <w:rPr>
          <w:rFonts w:ascii="Times New Roman" w:hAnsi="Times New Roman" w:cs="Times New Roman"/>
        </w:rPr>
        <w:t>.</w:t>
      </w:r>
    </w:p>
    <w:p w:rsidR="007D13F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5F1146">
        <w:rPr>
          <w:rFonts w:ascii="Times New Roman" w:hAnsi="Times New Roman" w:cs="Times New Roman"/>
        </w:rPr>
        <w:t>Výdavky štátneho rozpočtu v oblasti tovarov a služieb v porovnaní so schváleným rozpočtom na rok 20</w:t>
      </w:r>
      <w:r>
        <w:rPr>
          <w:rFonts w:ascii="Times New Roman" w:hAnsi="Times New Roman" w:cs="Times New Roman"/>
        </w:rPr>
        <w:t>17 rastú o 7,55 mil. eur, čo predstavuje nárast o 59,1 %. Dôvodom rastu je najmä premietnutie výdavkov potrebných na vypracovanie stratégie na ochranu ovzdušia, plnenie geologických úloh ako sanácie a havarijné zosuvy,  u</w:t>
      </w:r>
      <w:r w:rsidRPr="000B3909">
        <w:rPr>
          <w:rFonts w:ascii="Times New Roman" w:hAnsi="Times New Roman" w:cs="Times New Roman"/>
        </w:rPr>
        <w:t xml:space="preserve">držateľnosť Európskeho diplomu Rady Európy </w:t>
      </w:r>
      <w:r>
        <w:rPr>
          <w:rFonts w:ascii="Times New Roman" w:hAnsi="Times New Roman" w:cs="Times New Roman"/>
        </w:rPr>
        <w:t>pre NP Poloniny a lokality svetového</w:t>
      </w:r>
      <w:r w:rsidRPr="000B3909">
        <w:rPr>
          <w:rFonts w:ascii="Times New Roman" w:hAnsi="Times New Roman" w:cs="Times New Roman"/>
        </w:rPr>
        <w:t xml:space="preserve"> dedičstva UNESCO  Karpatské bukové pralesy a staré bukové lesy Nemecka</w:t>
      </w:r>
      <w:r>
        <w:rPr>
          <w:rFonts w:ascii="Times New Roman" w:hAnsi="Times New Roman" w:cs="Times New Roman"/>
        </w:rPr>
        <w:t xml:space="preserve"> a tiež na terénne mapovanie a výskum ekosystémov.</w:t>
      </w:r>
    </w:p>
    <w:p w:rsidR="007D13F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5F1146">
        <w:rPr>
          <w:rFonts w:ascii="Times New Roman" w:hAnsi="Times New Roman" w:cs="Times New Roman"/>
        </w:rPr>
        <w:t>Bežné transfery v limitoch kapitoly na rok 201</w:t>
      </w:r>
      <w:r>
        <w:rPr>
          <w:rFonts w:ascii="Times New Roman" w:hAnsi="Times New Roman" w:cs="Times New Roman"/>
        </w:rPr>
        <w:t>8 klesajú</w:t>
      </w:r>
      <w:r w:rsidRPr="005F1146">
        <w:rPr>
          <w:rFonts w:ascii="Times New Roman" w:hAnsi="Times New Roman" w:cs="Times New Roman"/>
        </w:rPr>
        <w:t xml:space="preserve"> na zdroji štátneho rozpočtu v porovnaní so schváleným rozpočtom roku 201</w:t>
      </w:r>
      <w:r>
        <w:rPr>
          <w:rFonts w:ascii="Times New Roman" w:hAnsi="Times New Roman" w:cs="Times New Roman"/>
        </w:rPr>
        <w:t xml:space="preserve">7 o 8,69 mil. eur, t. j. o 15,2 %. Uvedený pokles </w:t>
      </w:r>
      <w:r>
        <w:rPr>
          <w:rFonts w:ascii="Times New Roman" w:hAnsi="Times New Roman" w:cs="Times New Roman"/>
        </w:rPr>
        <w:lastRenderedPageBreak/>
        <w:t>v porovnaní so schváleným rozpočtom 2017 je spôsobený jednorazovým zohľadnením</w:t>
      </w:r>
      <w:r w:rsidRPr="009953BB">
        <w:rPr>
          <w:rFonts w:ascii="Times New Roman" w:hAnsi="Times New Roman" w:cs="Times New Roman"/>
        </w:rPr>
        <w:t xml:space="preserve"> </w:t>
      </w:r>
      <w:r>
        <w:rPr>
          <w:rFonts w:ascii="Times New Roman" w:hAnsi="Times New Roman" w:cs="Times New Roman"/>
        </w:rPr>
        <w:t>priorít v oblasti vodného hospodárstva  v roku 2017.</w:t>
      </w:r>
    </w:p>
    <w:p w:rsidR="007D13F3" w:rsidRPr="005F1146" w:rsidRDefault="007D13F3" w:rsidP="007D13F3">
      <w:pPr>
        <w:ind w:firstLine="708"/>
        <w:jc w:val="both"/>
        <w:rPr>
          <w:rFonts w:ascii="Times New Roman" w:hAnsi="Times New Roman" w:cs="Times New Roman"/>
        </w:rPr>
      </w:pPr>
    </w:p>
    <w:p w:rsidR="007D13F3" w:rsidRDefault="007D13F3" w:rsidP="007D13F3">
      <w:pPr>
        <w:spacing w:before="120"/>
        <w:ind w:firstLine="708"/>
        <w:jc w:val="both"/>
        <w:rPr>
          <w:rFonts w:ascii="Times New Roman" w:hAnsi="Times New Roman" w:cs="Times New Roman"/>
          <w:lang w:eastAsia="sk-SK"/>
        </w:rPr>
      </w:pPr>
      <w:r w:rsidRPr="00D95C08">
        <w:rPr>
          <w:rFonts w:ascii="Times New Roman" w:hAnsi="Times New Roman" w:cs="Times New Roman"/>
        </w:rPr>
        <w:t>Nárast kapitálových výdavkov v porovnaní so schváleným rozpočtom na rok 2017 na zdroji štá</w:t>
      </w:r>
      <w:r>
        <w:rPr>
          <w:rFonts w:ascii="Times New Roman" w:hAnsi="Times New Roman" w:cs="Times New Roman"/>
        </w:rPr>
        <w:t>tneho rozpočtu predstavuje 1,31 mil.</w:t>
      </w:r>
      <w:r w:rsidRPr="00D95C08">
        <w:rPr>
          <w:rFonts w:ascii="Times New Roman" w:hAnsi="Times New Roman" w:cs="Times New Roman"/>
        </w:rPr>
        <w:t xml:space="preserve"> eur, t. j.  </w:t>
      </w:r>
      <w:r>
        <w:rPr>
          <w:rFonts w:ascii="Times New Roman" w:hAnsi="Times New Roman" w:cs="Times New Roman"/>
        </w:rPr>
        <w:t>252</w:t>
      </w:r>
      <w:r w:rsidRPr="00D95C08">
        <w:rPr>
          <w:rFonts w:ascii="Times New Roman" w:hAnsi="Times New Roman" w:cs="Times New Roman"/>
        </w:rPr>
        <w:t xml:space="preserve"> %, pričom </w:t>
      </w:r>
      <w:r>
        <w:rPr>
          <w:rFonts w:ascii="Times New Roman" w:hAnsi="Times New Roman" w:cs="Times New Roman"/>
        </w:rPr>
        <w:t xml:space="preserve">nárast výdavkov je určený na predkupné právo na pozemky v chránených oblastiach a výdavky  v súvislosti so </w:t>
      </w:r>
      <w:proofErr w:type="spellStart"/>
      <w:r>
        <w:rPr>
          <w:rFonts w:ascii="Times New Roman" w:hAnsi="Times New Roman" w:cs="Times New Roman"/>
        </w:rPr>
        <w:t>zonáciou</w:t>
      </w:r>
      <w:proofErr w:type="spellEnd"/>
      <w:r>
        <w:rPr>
          <w:rFonts w:ascii="Times New Roman" w:hAnsi="Times New Roman" w:cs="Times New Roman"/>
        </w:rPr>
        <w:t xml:space="preserve"> TANAP.</w:t>
      </w:r>
    </w:p>
    <w:p w:rsidR="007D13F3" w:rsidRPr="00246998" w:rsidRDefault="007D13F3" w:rsidP="007D13F3">
      <w:pPr>
        <w:spacing w:before="120"/>
        <w:ind w:firstLine="708"/>
        <w:jc w:val="both"/>
        <w:rPr>
          <w:rFonts w:ascii="Times New Roman" w:hAnsi="Times New Roman" w:cs="Times New Roman"/>
          <w:lang w:eastAsia="sk-SK"/>
        </w:rPr>
      </w:pPr>
    </w:p>
    <w:p w:rsidR="007D13F3" w:rsidRPr="005F1146" w:rsidRDefault="007D13F3" w:rsidP="007D13F3">
      <w:pPr>
        <w:ind w:firstLine="708"/>
        <w:jc w:val="both"/>
        <w:rPr>
          <w:rFonts w:ascii="Times New Roman" w:hAnsi="Times New Roman" w:cs="Times New Roman"/>
        </w:rPr>
      </w:pPr>
      <w:r w:rsidRPr="007C6746">
        <w:rPr>
          <w:rFonts w:ascii="Times New Roman" w:hAnsi="Times New Roman" w:cs="Times New Roman"/>
        </w:rPr>
        <w:t xml:space="preserve">Kapitola v nadväznosti na § 17 ods. 4 zákona č. 523/2004 Z. z. o rozpočtových pravidlách verejnej správy </w:t>
      </w:r>
      <w:r w:rsidR="004E497F">
        <w:rPr>
          <w:rFonts w:ascii="Times New Roman" w:hAnsi="Times New Roman" w:cs="Times New Roman"/>
        </w:rPr>
        <w:t xml:space="preserve">a o zmene a doplnení niektorých zákonov </w:t>
      </w:r>
      <w:r w:rsidRPr="007C6746">
        <w:rPr>
          <w:rFonts w:ascii="Times New Roman" w:hAnsi="Times New Roman" w:cs="Times New Roman"/>
        </w:rPr>
        <w:t>v znení neskorších predpisov rozpočtuje tiež výdavky zodpovedajúce príjmom z poistného plnenia zo zmluvného poistenia alebo zo zákonného poistenia v </w:t>
      </w:r>
      <w:r>
        <w:rPr>
          <w:rFonts w:ascii="Times New Roman" w:hAnsi="Times New Roman" w:cs="Times New Roman"/>
        </w:rPr>
        <w:t>sume 7</w:t>
      </w:r>
      <w:r w:rsidRPr="007C6746">
        <w:rPr>
          <w:rFonts w:ascii="Times New Roman" w:hAnsi="Times New Roman" w:cs="Times New Roman"/>
        </w:rPr>
        <w:t xml:space="preserve"> tis. eur. Tieto sú určené na financovanie servisu, údržby a</w:t>
      </w:r>
      <w:r>
        <w:rPr>
          <w:rFonts w:ascii="Times New Roman" w:hAnsi="Times New Roman" w:cs="Times New Roman"/>
        </w:rPr>
        <w:t xml:space="preserve"> opráv motorových vozidiel</w:t>
      </w:r>
      <w:r w:rsidRPr="007C6746">
        <w:rPr>
          <w:rFonts w:ascii="Times New Roman" w:hAnsi="Times New Roman" w:cs="Times New Roman"/>
        </w:rPr>
        <w:t>.</w:t>
      </w:r>
    </w:p>
    <w:p w:rsidR="009C37FC" w:rsidRDefault="009C37FC"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5F1146">
        <w:rPr>
          <w:rFonts w:ascii="Times New Roman" w:hAnsi="Times New Roman" w:cs="Times New Roman"/>
        </w:rPr>
        <w:t>Výdavky kapitoly Ministerstva životného prostredia SR sú smerované do nasledujúcich oblastí.</w:t>
      </w:r>
    </w:p>
    <w:tbl>
      <w:tblPr>
        <w:tblpPr w:leftFromText="141" w:rightFromText="141" w:vertAnchor="text" w:horzAnchor="margin" w:tblpY="193"/>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9"/>
        <w:gridCol w:w="935"/>
        <w:gridCol w:w="937"/>
        <w:gridCol w:w="937"/>
        <w:gridCol w:w="935"/>
        <w:gridCol w:w="937"/>
        <w:gridCol w:w="937"/>
        <w:gridCol w:w="935"/>
      </w:tblGrid>
      <w:tr w:rsidR="007D13F3" w:rsidRPr="000B3909" w:rsidTr="00465CAC">
        <w:trPr>
          <w:trHeight w:val="280"/>
        </w:trPr>
        <w:tc>
          <w:tcPr>
            <w:tcW w:w="1377" w:type="pct"/>
            <w:shd w:val="clear" w:color="auto" w:fill="A6A6A6"/>
            <w:noWrap/>
            <w:vAlign w:val="center"/>
            <w:hideMark/>
          </w:tcPr>
          <w:p w:rsidR="007D13F3" w:rsidRPr="000B3909" w:rsidRDefault="007D13F3" w:rsidP="00465CAC">
            <w:pPr>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v eurách</w:t>
            </w:r>
          </w:p>
        </w:tc>
        <w:tc>
          <w:tcPr>
            <w:tcW w:w="517" w:type="pct"/>
            <w:shd w:val="clear" w:color="000000" w:fill="A6A6A6"/>
            <w:noWrap/>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2015 S</w:t>
            </w:r>
          </w:p>
        </w:tc>
        <w:tc>
          <w:tcPr>
            <w:tcW w:w="518" w:type="pct"/>
            <w:shd w:val="clear" w:color="000000" w:fill="A6A6A6"/>
            <w:noWrap/>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2016 S</w:t>
            </w:r>
          </w:p>
        </w:tc>
        <w:tc>
          <w:tcPr>
            <w:tcW w:w="518" w:type="pct"/>
            <w:shd w:val="clear" w:color="000000" w:fill="A6A6A6"/>
            <w:noWrap/>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2017 R</w:t>
            </w:r>
          </w:p>
        </w:tc>
        <w:tc>
          <w:tcPr>
            <w:tcW w:w="517" w:type="pct"/>
            <w:shd w:val="clear" w:color="000000" w:fill="A6A6A6"/>
            <w:noWrap/>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 xml:space="preserve"> </w:t>
            </w:r>
            <w:r w:rsidRPr="00E437B5">
              <w:rPr>
                <w:rFonts w:ascii="Times New Roman" w:hAnsi="Times New Roman" w:cs="Times New Roman"/>
                <w:b/>
                <w:bCs/>
                <w:color w:val="000000"/>
                <w:sz w:val="14"/>
                <w:szCs w:val="14"/>
              </w:rPr>
              <w:t xml:space="preserve">2017 OS </w:t>
            </w:r>
          </w:p>
        </w:tc>
        <w:tc>
          <w:tcPr>
            <w:tcW w:w="518" w:type="pct"/>
            <w:shd w:val="clear" w:color="000000" w:fill="A6A6A6"/>
            <w:noWrap/>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2018 N</w:t>
            </w:r>
          </w:p>
        </w:tc>
        <w:tc>
          <w:tcPr>
            <w:tcW w:w="518" w:type="pct"/>
            <w:shd w:val="clear" w:color="000000" w:fill="A6A6A6"/>
            <w:noWrap/>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2019 N</w:t>
            </w:r>
          </w:p>
        </w:tc>
        <w:tc>
          <w:tcPr>
            <w:tcW w:w="517" w:type="pct"/>
            <w:shd w:val="clear" w:color="000000" w:fill="A6A6A6"/>
            <w:noWrap/>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2020 N</w:t>
            </w:r>
          </w:p>
        </w:tc>
      </w:tr>
      <w:tr w:rsidR="007D13F3" w:rsidRPr="000B3909" w:rsidTr="00465CAC">
        <w:trPr>
          <w:trHeight w:val="212"/>
        </w:trPr>
        <w:tc>
          <w:tcPr>
            <w:tcW w:w="1377" w:type="pct"/>
            <w:shd w:val="clear" w:color="auto" w:fill="BFBFBF"/>
            <w:noWrap/>
            <w:vAlign w:val="center"/>
            <w:hideMark/>
          </w:tcPr>
          <w:p w:rsidR="007D13F3" w:rsidRPr="000B3909" w:rsidRDefault="007D13F3" w:rsidP="00465CAC">
            <w:pP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Zdroje príslušnej kapitoly</w:t>
            </w:r>
          </w:p>
        </w:tc>
        <w:tc>
          <w:tcPr>
            <w:tcW w:w="517" w:type="pct"/>
            <w:shd w:val="clear" w:color="000000" w:fill="BFBFBF"/>
            <w:vAlign w:val="bottom"/>
            <w:hideMark/>
          </w:tcPr>
          <w:p w:rsidR="007D13F3" w:rsidRPr="000B3909" w:rsidRDefault="007D13F3" w:rsidP="00465CAC">
            <w:pPr>
              <w:jc w:val="right"/>
              <w:rPr>
                <w:rFonts w:ascii="Times New Roman" w:hAnsi="Times New Roman" w:cs="Times New Roman"/>
                <w:b/>
                <w:bCs/>
                <w:color w:val="000000"/>
                <w:sz w:val="14"/>
                <w:szCs w:val="14"/>
                <w:lang w:eastAsia="sk-SK"/>
              </w:rPr>
            </w:pPr>
            <w:r w:rsidRPr="000B3909">
              <w:rPr>
                <w:rFonts w:ascii="Times New Roman" w:hAnsi="Times New Roman" w:cs="Times New Roman"/>
                <w:b/>
                <w:bCs/>
                <w:color w:val="000000"/>
                <w:sz w:val="14"/>
                <w:szCs w:val="14"/>
              </w:rPr>
              <w:t>665 840 031</w:t>
            </w:r>
          </w:p>
        </w:tc>
        <w:tc>
          <w:tcPr>
            <w:tcW w:w="518" w:type="pct"/>
            <w:shd w:val="clear" w:color="000000" w:fill="BFBFBF"/>
            <w:vAlign w:val="bottom"/>
          </w:tcPr>
          <w:p w:rsidR="007D13F3" w:rsidRPr="000B3909" w:rsidRDefault="007D13F3" w:rsidP="00465CAC">
            <w:pPr>
              <w:jc w:val="right"/>
              <w:rPr>
                <w:rFonts w:ascii="Times New Roman" w:hAnsi="Times New Roman" w:cs="Times New Roman"/>
                <w:b/>
                <w:bCs/>
                <w:color w:val="000000"/>
                <w:sz w:val="14"/>
                <w:szCs w:val="14"/>
                <w:lang w:eastAsia="sk-SK"/>
              </w:rPr>
            </w:pPr>
            <w:r w:rsidRPr="000B3909">
              <w:rPr>
                <w:rFonts w:ascii="Times New Roman" w:hAnsi="Times New Roman" w:cs="Times New Roman"/>
                <w:b/>
                <w:bCs/>
                <w:color w:val="000000"/>
                <w:sz w:val="14"/>
                <w:szCs w:val="14"/>
              </w:rPr>
              <w:t>292 939 312</w:t>
            </w:r>
          </w:p>
        </w:tc>
        <w:tc>
          <w:tcPr>
            <w:tcW w:w="518" w:type="pct"/>
            <w:shd w:val="clear" w:color="000000" w:fill="BFBFBF"/>
            <w:vAlign w:val="bottom"/>
          </w:tcPr>
          <w:p w:rsidR="007D13F3" w:rsidRPr="000B3909" w:rsidRDefault="007D13F3" w:rsidP="00465CAC">
            <w:pPr>
              <w:jc w:val="right"/>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489 632 980</w:t>
            </w:r>
          </w:p>
        </w:tc>
        <w:tc>
          <w:tcPr>
            <w:tcW w:w="517" w:type="pct"/>
            <w:shd w:val="clear" w:color="000000" w:fill="BFBFBF"/>
            <w:vAlign w:val="bottom"/>
          </w:tcPr>
          <w:p w:rsidR="007D13F3" w:rsidRPr="000B3909" w:rsidRDefault="007D13F3" w:rsidP="00465CAC">
            <w:pPr>
              <w:jc w:val="right"/>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244 102 404</w:t>
            </w:r>
          </w:p>
        </w:tc>
        <w:tc>
          <w:tcPr>
            <w:tcW w:w="518" w:type="pct"/>
            <w:shd w:val="clear" w:color="000000" w:fill="BFBFBF"/>
            <w:vAlign w:val="bottom"/>
          </w:tcPr>
          <w:p w:rsidR="007D13F3" w:rsidRPr="000B3909" w:rsidRDefault="007D13F3" w:rsidP="00465CAC">
            <w:pPr>
              <w:jc w:val="right"/>
              <w:rPr>
                <w:rFonts w:ascii="Times New Roman" w:hAnsi="Times New Roman" w:cs="Times New Roman"/>
                <w:b/>
                <w:bCs/>
                <w:color w:val="000000"/>
                <w:sz w:val="14"/>
                <w:szCs w:val="14"/>
                <w:lang w:eastAsia="sk-SK"/>
              </w:rPr>
            </w:pPr>
            <w:r w:rsidRPr="000B3909">
              <w:rPr>
                <w:rFonts w:ascii="Times New Roman" w:hAnsi="Times New Roman" w:cs="Times New Roman"/>
                <w:b/>
                <w:bCs/>
                <w:color w:val="000000"/>
                <w:sz w:val="14"/>
                <w:szCs w:val="14"/>
              </w:rPr>
              <w:t>193 152 226</w:t>
            </w:r>
          </w:p>
        </w:tc>
        <w:tc>
          <w:tcPr>
            <w:tcW w:w="518" w:type="pct"/>
            <w:shd w:val="clear" w:color="000000" w:fill="BFBFBF"/>
            <w:vAlign w:val="bottom"/>
          </w:tcPr>
          <w:p w:rsidR="007D13F3" w:rsidRPr="000B3909" w:rsidRDefault="007D13F3" w:rsidP="00465CAC">
            <w:pPr>
              <w:jc w:val="right"/>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687 878 123</w:t>
            </w:r>
          </w:p>
        </w:tc>
        <w:tc>
          <w:tcPr>
            <w:tcW w:w="517" w:type="pct"/>
            <w:shd w:val="clear" w:color="000000" w:fill="BFBFBF"/>
            <w:vAlign w:val="bottom"/>
          </w:tcPr>
          <w:p w:rsidR="007D13F3" w:rsidRPr="000B3909" w:rsidRDefault="007D13F3" w:rsidP="00465CAC">
            <w:pPr>
              <w:jc w:val="right"/>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760 419 726</w:t>
            </w:r>
          </w:p>
        </w:tc>
      </w:tr>
      <w:tr w:rsidR="007D13F3" w:rsidRPr="000B3909" w:rsidTr="00465CAC">
        <w:trPr>
          <w:trHeight w:val="280"/>
        </w:trPr>
        <w:tc>
          <w:tcPr>
            <w:tcW w:w="1377" w:type="pct"/>
            <w:noWrap/>
            <w:vAlign w:val="center"/>
            <w:hideMark/>
          </w:tcPr>
          <w:p w:rsidR="007D13F3" w:rsidRPr="000B3909" w:rsidRDefault="007D13F3" w:rsidP="00465CAC">
            <w:pPr>
              <w:rPr>
                <w:rFonts w:ascii="Times New Roman" w:hAnsi="Times New Roman" w:cs="Times New Roman"/>
                <w:color w:val="000000"/>
                <w:sz w:val="14"/>
                <w:szCs w:val="14"/>
              </w:rPr>
            </w:pPr>
            <w:r w:rsidRPr="000B3909">
              <w:rPr>
                <w:rFonts w:ascii="Times New Roman" w:hAnsi="Times New Roman" w:cs="Times New Roman"/>
                <w:color w:val="000000"/>
                <w:sz w:val="14"/>
                <w:szCs w:val="14"/>
              </w:rPr>
              <w:t>Vodné hospodárstvo</w:t>
            </w:r>
          </w:p>
        </w:tc>
        <w:tc>
          <w:tcPr>
            <w:tcW w:w="517" w:type="pct"/>
            <w:shd w:val="clear" w:color="auto" w:fill="auto"/>
            <w:noWrap/>
            <w:vAlign w:val="bottom"/>
            <w:hideMark/>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442 879 413</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186 512 572</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202 064 889</w:t>
            </w:r>
          </w:p>
        </w:tc>
        <w:tc>
          <w:tcPr>
            <w:tcW w:w="517"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138 955 527</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90 261 533</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403 295 256</w:t>
            </w:r>
          </w:p>
        </w:tc>
        <w:tc>
          <w:tcPr>
            <w:tcW w:w="517"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436 355 997</w:t>
            </w:r>
          </w:p>
        </w:tc>
      </w:tr>
      <w:tr w:rsidR="007D13F3" w:rsidRPr="000B3909" w:rsidTr="00465CAC">
        <w:trPr>
          <w:trHeight w:val="280"/>
        </w:trPr>
        <w:tc>
          <w:tcPr>
            <w:tcW w:w="1377" w:type="pct"/>
            <w:noWrap/>
            <w:vAlign w:val="center"/>
            <w:hideMark/>
          </w:tcPr>
          <w:p w:rsidR="007D13F3" w:rsidRPr="000B3909" w:rsidRDefault="007D13F3" w:rsidP="00465CAC">
            <w:pPr>
              <w:rPr>
                <w:rFonts w:ascii="Times New Roman" w:hAnsi="Times New Roman" w:cs="Times New Roman"/>
                <w:color w:val="000000"/>
                <w:sz w:val="14"/>
                <w:szCs w:val="14"/>
              </w:rPr>
            </w:pPr>
            <w:r w:rsidRPr="000B3909">
              <w:rPr>
                <w:rFonts w:ascii="Times New Roman" w:hAnsi="Times New Roman" w:cs="Times New Roman"/>
                <w:color w:val="000000"/>
                <w:sz w:val="14"/>
                <w:szCs w:val="14"/>
              </w:rPr>
              <w:t>Ochrana ovzdušia</w:t>
            </w:r>
          </w:p>
        </w:tc>
        <w:tc>
          <w:tcPr>
            <w:tcW w:w="517" w:type="pct"/>
            <w:shd w:val="clear" w:color="auto" w:fill="auto"/>
            <w:noWrap/>
            <w:vAlign w:val="bottom"/>
            <w:hideMark/>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47 390 577</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12 927 113</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3 385 000</w:t>
            </w:r>
          </w:p>
        </w:tc>
        <w:tc>
          <w:tcPr>
            <w:tcW w:w="517"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3 462 369</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8 834 664</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8 734 664</w:t>
            </w:r>
          </w:p>
        </w:tc>
        <w:tc>
          <w:tcPr>
            <w:tcW w:w="517"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8 734 664</w:t>
            </w:r>
          </w:p>
        </w:tc>
      </w:tr>
      <w:tr w:rsidR="007D13F3" w:rsidRPr="000B3909" w:rsidTr="00465CAC">
        <w:trPr>
          <w:trHeight w:val="280"/>
        </w:trPr>
        <w:tc>
          <w:tcPr>
            <w:tcW w:w="1377" w:type="pct"/>
            <w:noWrap/>
            <w:vAlign w:val="center"/>
            <w:hideMark/>
          </w:tcPr>
          <w:p w:rsidR="007D13F3" w:rsidRPr="000B3909" w:rsidRDefault="007D13F3" w:rsidP="00465CAC">
            <w:pPr>
              <w:rPr>
                <w:rFonts w:ascii="Times New Roman" w:hAnsi="Times New Roman" w:cs="Times New Roman"/>
                <w:color w:val="000000"/>
                <w:sz w:val="14"/>
                <w:szCs w:val="14"/>
              </w:rPr>
            </w:pPr>
            <w:r w:rsidRPr="000B3909">
              <w:rPr>
                <w:rFonts w:ascii="Times New Roman" w:hAnsi="Times New Roman" w:cs="Times New Roman"/>
                <w:color w:val="000000"/>
                <w:sz w:val="14"/>
                <w:szCs w:val="14"/>
              </w:rPr>
              <w:t>Odpadové hospodárstvo</w:t>
            </w:r>
          </w:p>
        </w:tc>
        <w:tc>
          <w:tcPr>
            <w:tcW w:w="517" w:type="pct"/>
            <w:shd w:val="clear" w:color="auto" w:fill="auto"/>
            <w:noWrap/>
            <w:vAlign w:val="bottom"/>
            <w:hideMark/>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81 450 405</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10 580 670</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517"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517"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r>
      <w:tr w:rsidR="007D13F3" w:rsidRPr="000B3909" w:rsidTr="00465CAC">
        <w:trPr>
          <w:trHeight w:val="280"/>
        </w:trPr>
        <w:tc>
          <w:tcPr>
            <w:tcW w:w="1377" w:type="pct"/>
            <w:noWrap/>
            <w:vAlign w:val="center"/>
            <w:hideMark/>
          </w:tcPr>
          <w:p w:rsidR="007D13F3" w:rsidRPr="000B3909" w:rsidRDefault="007D13F3" w:rsidP="00465CAC">
            <w:pPr>
              <w:rPr>
                <w:rFonts w:ascii="Times New Roman" w:hAnsi="Times New Roman" w:cs="Times New Roman"/>
                <w:color w:val="000000"/>
                <w:sz w:val="14"/>
                <w:szCs w:val="14"/>
              </w:rPr>
            </w:pPr>
            <w:r w:rsidRPr="000B3909">
              <w:rPr>
                <w:rFonts w:ascii="Times New Roman" w:hAnsi="Times New Roman" w:cs="Times New Roman"/>
                <w:color w:val="000000"/>
                <w:sz w:val="14"/>
                <w:szCs w:val="14"/>
              </w:rPr>
              <w:t>Ochrana prírody a krajiny</w:t>
            </w:r>
          </w:p>
        </w:tc>
        <w:tc>
          <w:tcPr>
            <w:tcW w:w="517" w:type="pct"/>
            <w:shd w:val="clear" w:color="auto" w:fill="auto"/>
            <w:noWrap/>
            <w:vAlign w:val="bottom"/>
            <w:hideMark/>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37 905 071</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15 940 986</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19 246 759</w:t>
            </w:r>
          </w:p>
        </w:tc>
        <w:tc>
          <w:tcPr>
            <w:tcW w:w="517"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16 920 036</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18 321 770</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14 186 770</w:t>
            </w:r>
          </w:p>
        </w:tc>
        <w:tc>
          <w:tcPr>
            <w:tcW w:w="517"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14 186 770</w:t>
            </w:r>
          </w:p>
        </w:tc>
      </w:tr>
      <w:tr w:rsidR="007D13F3" w:rsidRPr="000B3909" w:rsidTr="00465CAC">
        <w:trPr>
          <w:trHeight w:val="280"/>
        </w:trPr>
        <w:tc>
          <w:tcPr>
            <w:tcW w:w="1377" w:type="pct"/>
            <w:noWrap/>
            <w:vAlign w:val="center"/>
            <w:hideMark/>
          </w:tcPr>
          <w:p w:rsidR="007D13F3" w:rsidRPr="000B3909" w:rsidRDefault="007D13F3" w:rsidP="00465CAC">
            <w:pPr>
              <w:rPr>
                <w:rFonts w:ascii="Times New Roman" w:hAnsi="Times New Roman" w:cs="Times New Roman"/>
                <w:color w:val="000000"/>
                <w:sz w:val="14"/>
                <w:szCs w:val="14"/>
              </w:rPr>
            </w:pPr>
            <w:r w:rsidRPr="000B3909">
              <w:rPr>
                <w:rFonts w:ascii="Times New Roman" w:hAnsi="Times New Roman" w:cs="Times New Roman"/>
                <w:color w:val="000000"/>
                <w:sz w:val="14"/>
                <w:szCs w:val="14"/>
              </w:rPr>
              <w:t>Riadenie rizík a mimoriadnych udalostí</w:t>
            </w:r>
          </w:p>
        </w:tc>
        <w:tc>
          <w:tcPr>
            <w:tcW w:w="517" w:type="pct"/>
            <w:shd w:val="clear" w:color="auto" w:fill="auto"/>
            <w:noWrap/>
            <w:vAlign w:val="bottom"/>
            <w:hideMark/>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46 148 819</w:t>
            </w:r>
          </w:p>
        </w:tc>
        <w:tc>
          <w:tcPr>
            <w:tcW w:w="517"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24 620 084</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10 343 975</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48 395 146</w:t>
            </w:r>
          </w:p>
        </w:tc>
        <w:tc>
          <w:tcPr>
            <w:tcW w:w="517"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105 794 552</w:t>
            </w:r>
          </w:p>
        </w:tc>
      </w:tr>
      <w:tr w:rsidR="007D13F3" w:rsidRPr="000B3909" w:rsidTr="00465CAC">
        <w:trPr>
          <w:trHeight w:val="280"/>
        </w:trPr>
        <w:tc>
          <w:tcPr>
            <w:tcW w:w="1377" w:type="pct"/>
            <w:noWrap/>
            <w:vAlign w:val="center"/>
            <w:hideMark/>
          </w:tcPr>
          <w:p w:rsidR="007D13F3" w:rsidRPr="000B3909" w:rsidRDefault="007D13F3" w:rsidP="00465CAC">
            <w:pPr>
              <w:rPr>
                <w:rFonts w:ascii="Times New Roman" w:hAnsi="Times New Roman" w:cs="Times New Roman"/>
                <w:color w:val="000000"/>
                <w:sz w:val="14"/>
                <w:szCs w:val="14"/>
              </w:rPr>
            </w:pPr>
            <w:proofErr w:type="spellStart"/>
            <w:r w:rsidRPr="000B3909">
              <w:rPr>
                <w:rFonts w:ascii="Times New Roman" w:hAnsi="Times New Roman" w:cs="Times New Roman"/>
                <w:color w:val="000000"/>
                <w:sz w:val="14"/>
                <w:szCs w:val="14"/>
              </w:rPr>
              <w:t>Nízkouhlíkové</w:t>
            </w:r>
            <w:proofErr w:type="spellEnd"/>
            <w:r w:rsidRPr="000B3909">
              <w:rPr>
                <w:rFonts w:ascii="Times New Roman" w:hAnsi="Times New Roman" w:cs="Times New Roman"/>
                <w:color w:val="000000"/>
                <w:sz w:val="14"/>
                <w:szCs w:val="14"/>
              </w:rPr>
              <w:t xml:space="preserve"> hospodárstvo</w:t>
            </w:r>
          </w:p>
        </w:tc>
        <w:tc>
          <w:tcPr>
            <w:tcW w:w="517" w:type="pct"/>
            <w:shd w:val="clear" w:color="auto" w:fill="auto"/>
            <w:noWrap/>
            <w:vAlign w:val="bottom"/>
            <w:hideMark/>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4 000 000</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21 279 007</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137 566 307</w:t>
            </w:r>
          </w:p>
        </w:tc>
        <w:tc>
          <w:tcPr>
            <w:tcW w:w="517"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22 205 495</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25 771 774</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168 344 383</w:t>
            </w:r>
          </w:p>
        </w:tc>
        <w:tc>
          <w:tcPr>
            <w:tcW w:w="517"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149 532 831</w:t>
            </w:r>
          </w:p>
        </w:tc>
      </w:tr>
      <w:tr w:rsidR="007D13F3" w:rsidRPr="000B3909" w:rsidTr="00465CAC">
        <w:trPr>
          <w:trHeight w:val="280"/>
        </w:trPr>
        <w:tc>
          <w:tcPr>
            <w:tcW w:w="1377" w:type="pct"/>
            <w:noWrap/>
            <w:vAlign w:val="center"/>
          </w:tcPr>
          <w:p w:rsidR="007D13F3" w:rsidRPr="000B3909" w:rsidRDefault="007D13F3" w:rsidP="00465CAC">
            <w:pPr>
              <w:rPr>
                <w:rFonts w:ascii="Times New Roman" w:hAnsi="Times New Roman" w:cs="Times New Roman"/>
                <w:color w:val="000000"/>
                <w:sz w:val="14"/>
                <w:szCs w:val="14"/>
              </w:rPr>
            </w:pPr>
            <w:r w:rsidRPr="000B3909">
              <w:rPr>
                <w:rFonts w:ascii="Times New Roman" w:hAnsi="Times New Roman" w:cs="Times New Roman"/>
                <w:color w:val="000000"/>
                <w:sz w:val="14"/>
                <w:szCs w:val="14"/>
              </w:rPr>
              <w:t>Podpora IT systémov</w:t>
            </w:r>
          </w:p>
        </w:tc>
        <w:tc>
          <w:tcPr>
            <w:tcW w:w="517"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2 172 719</w:t>
            </w:r>
          </w:p>
        </w:tc>
        <w:tc>
          <w:tcPr>
            <w:tcW w:w="517"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2 465 410</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2 037 409</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2 473 409</w:t>
            </w:r>
          </w:p>
        </w:tc>
        <w:tc>
          <w:tcPr>
            <w:tcW w:w="517"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2 444 776</w:t>
            </w:r>
          </w:p>
        </w:tc>
      </w:tr>
      <w:tr w:rsidR="007D13F3" w:rsidRPr="000B3909" w:rsidTr="00465CAC">
        <w:trPr>
          <w:trHeight w:val="280"/>
        </w:trPr>
        <w:tc>
          <w:tcPr>
            <w:tcW w:w="1377" w:type="pct"/>
            <w:noWrap/>
            <w:vAlign w:val="center"/>
            <w:hideMark/>
          </w:tcPr>
          <w:p w:rsidR="007D13F3" w:rsidRPr="000B3909" w:rsidRDefault="007D13F3" w:rsidP="00465CAC">
            <w:pPr>
              <w:rPr>
                <w:rFonts w:ascii="Times New Roman" w:hAnsi="Times New Roman" w:cs="Times New Roman"/>
                <w:color w:val="000000"/>
                <w:sz w:val="14"/>
                <w:szCs w:val="14"/>
              </w:rPr>
            </w:pPr>
            <w:r w:rsidRPr="000B3909">
              <w:rPr>
                <w:rFonts w:ascii="Times New Roman" w:hAnsi="Times New Roman" w:cs="Times New Roman"/>
                <w:color w:val="000000"/>
                <w:sz w:val="14"/>
                <w:szCs w:val="14"/>
              </w:rPr>
              <w:t>Administratíva</w:t>
            </w:r>
          </w:p>
        </w:tc>
        <w:tc>
          <w:tcPr>
            <w:tcW w:w="517" w:type="pct"/>
            <w:shd w:val="clear" w:color="auto" w:fill="auto"/>
            <w:noWrap/>
            <w:vAlign w:val="bottom"/>
            <w:hideMark/>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52 214 567</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45 698 964</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79 048 487</w:t>
            </w:r>
          </w:p>
        </w:tc>
        <w:tc>
          <w:tcPr>
            <w:tcW w:w="517"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35 473 482</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37 581 101</w:t>
            </w:r>
          </w:p>
        </w:tc>
        <w:tc>
          <w:tcPr>
            <w:tcW w:w="518"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42 448 495</w:t>
            </w:r>
          </w:p>
        </w:tc>
        <w:tc>
          <w:tcPr>
            <w:tcW w:w="517" w:type="pct"/>
            <w:shd w:val="clear" w:color="auto" w:fill="auto"/>
            <w:noWrap/>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43 370 136</w:t>
            </w:r>
          </w:p>
        </w:tc>
      </w:tr>
    </w:tbl>
    <w:p w:rsidR="007D13F3" w:rsidRPr="005F1146" w:rsidRDefault="007D13F3" w:rsidP="007D13F3">
      <w:pPr>
        <w:tabs>
          <w:tab w:val="left" w:pos="426"/>
        </w:tabs>
        <w:jc w:val="both"/>
        <w:rPr>
          <w:rFonts w:ascii="Times New Roman" w:hAnsi="Times New Roman" w:cs="Times New Roman"/>
          <w:b/>
        </w:rPr>
      </w:pPr>
    </w:p>
    <w:p w:rsidR="007D13F3" w:rsidRPr="005F1146" w:rsidRDefault="007D13F3" w:rsidP="007D13F3">
      <w:pPr>
        <w:tabs>
          <w:tab w:val="left" w:pos="426"/>
        </w:tabs>
        <w:jc w:val="both"/>
        <w:rPr>
          <w:rFonts w:ascii="Times New Roman" w:hAnsi="Times New Roman" w:cs="Times New Roman"/>
          <w:b/>
        </w:rPr>
      </w:pPr>
      <w:r w:rsidRPr="005F1146">
        <w:rPr>
          <w:rFonts w:ascii="Times New Roman" w:hAnsi="Times New Roman" w:cs="Times New Roman"/>
          <w:b/>
        </w:rPr>
        <w:t>Vodné hospodárstvo</w:t>
      </w:r>
    </w:p>
    <w:p w:rsidR="007D13F3" w:rsidRPr="005F1146" w:rsidRDefault="007D13F3" w:rsidP="007D13F3">
      <w:pPr>
        <w:tabs>
          <w:tab w:val="left" w:pos="426"/>
        </w:tabs>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1"/>
        <w:gridCol w:w="858"/>
        <w:gridCol w:w="915"/>
        <w:gridCol w:w="915"/>
        <w:gridCol w:w="915"/>
        <w:gridCol w:w="915"/>
        <w:gridCol w:w="915"/>
        <w:gridCol w:w="908"/>
      </w:tblGrid>
      <w:tr w:rsidR="007D13F3" w:rsidRPr="00D95C08" w:rsidTr="00465CAC">
        <w:trPr>
          <w:trHeight w:val="255"/>
        </w:trPr>
        <w:tc>
          <w:tcPr>
            <w:tcW w:w="1501" w:type="pct"/>
            <w:shd w:val="clear" w:color="auto" w:fill="A6A6A6"/>
            <w:noWrap/>
            <w:vAlign w:val="center"/>
            <w:hideMark/>
          </w:tcPr>
          <w:p w:rsidR="007D13F3" w:rsidRPr="00D95C08" w:rsidRDefault="007D13F3" w:rsidP="00465CAC">
            <w:pPr>
              <w:rPr>
                <w:rFonts w:ascii="Times New Roman" w:hAnsi="Times New Roman" w:cs="Times New Roman"/>
                <w:b/>
                <w:bCs/>
                <w:color w:val="000000"/>
                <w:sz w:val="14"/>
                <w:szCs w:val="14"/>
              </w:rPr>
            </w:pPr>
            <w:r w:rsidRPr="00D95C08">
              <w:rPr>
                <w:rFonts w:ascii="Times New Roman" w:hAnsi="Times New Roman" w:cs="Times New Roman"/>
                <w:b/>
                <w:bCs/>
                <w:color w:val="000000"/>
                <w:sz w:val="14"/>
                <w:szCs w:val="14"/>
              </w:rPr>
              <w:t>v eurách </w:t>
            </w:r>
          </w:p>
        </w:tc>
        <w:tc>
          <w:tcPr>
            <w:tcW w:w="473" w:type="pct"/>
            <w:shd w:val="clear" w:color="000000" w:fill="A6A6A6"/>
            <w:vAlign w:val="bottom"/>
            <w:hideMark/>
          </w:tcPr>
          <w:p w:rsidR="007D13F3" w:rsidRPr="00D95C08" w:rsidRDefault="007D13F3" w:rsidP="00465CAC">
            <w:pPr>
              <w:jc w:val="center"/>
              <w:rPr>
                <w:rFonts w:ascii="Times New Roman" w:hAnsi="Times New Roman" w:cs="Times New Roman"/>
                <w:b/>
                <w:bCs/>
                <w:color w:val="000000"/>
                <w:sz w:val="14"/>
                <w:szCs w:val="14"/>
              </w:rPr>
            </w:pPr>
            <w:r w:rsidRPr="00D95C08">
              <w:rPr>
                <w:rFonts w:ascii="Times New Roman" w:hAnsi="Times New Roman" w:cs="Times New Roman"/>
                <w:b/>
                <w:bCs/>
                <w:color w:val="000000"/>
                <w:sz w:val="14"/>
                <w:szCs w:val="14"/>
              </w:rPr>
              <w:t>2015 S</w:t>
            </w:r>
          </w:p>
        </w:tc>
        <w:tc>
          <w:tcPr>
            <w:tcW w:w="505" w:type="pct"/>
            <w:shd w:val="clear" w:color="000000" w:fill="A6A6A6"/>
            <w:noWrap/>
            <w:vAlign w:val="bottom"/>
            <w:hideMark/>
          </w:tcPr>
          <w:p w:rsidR="007D13F3" w:rsidRPr="00D95C08" w:rsidRDefault="007D13F3" w:rsidP="00465CAC">
            <w:pPr>
              <w:jc w:val="center"/>
              <w:rPr>
                <w:rFonts w:ascii="Times New Roman" w:hAnsi="Times New Roman" w:cs="Times New Roman"/>
                <w:b/>
                <w:bCs/>
                <w:color w:val="000000"/>
                <w:sz w:val="14"/>
                <w:szCs w:val="14"/>
              </w:rPr>
            </w:pPr>
            <w:r w:rsidRPr="00D95C08">
              <w:rPr>
                <w:rFonts w:ascii="Times New Roman" w:hAnsi="Times New Roman" w:cs="Times New Roman"/>
                <w:b/>
                <w:bCs/>
                <w:color w:val="000000"/>
                <w:sz w:val="14"/>
                <w:szCs w:val="14"/>
              </w:rPr>
              <w:t>2016 S</w:t>
            </w:r>
          </w:p>
        </w:tc>
        <w:tc>
          <w:tcPr>
            <w:tcW w:w="505" w:type="pct"/>
            <w:shd w:val="clear" w:color="000000" w:fill="A6A6A6"/>
            <w:noWrap/>
            <w:vAlign w:val="bottom"/>
            <w:hideMark/>
          </w:tcPr>
          <w:p w:rsidR="007D13F3" w:rsidRPr="00D95C08" w:rsidRDefault="007D13F3" w:rsidP="00465CAC">
            <w:pPr>
              <w:jc w:val="center"/>
              <w:rPr>
                <w:rFonts w:ascii="Times New Roman" w:hAnsi="Times New Roman" w:cs="Times New Roman"/>
                <w:b/>
                <w:bCs/>
                <w:color w:val="000000"/>
                <w:sz w:val="14"/>
                <w:szCs w:val="14"/>
              </w:rPr>
            </w:pPr>
            <w:r w:rsidRPr="00D95C08">
              <w:rPr>
                <w:rFonts w:ascii="Times New Roman" w:hAnsi="Times New Roman" w:cs="Times New Roman"/>
                <w:b/>
                <w:bCs/>
                <w:color w:val="000000"/>
                <w:sz w:val="14"/>
                <w:szCs w:val="14"/>
              </w:rPr>
              <w:t>2017 R</w:t>
            </w:r>
          </w:p>
        </w:tc>
        <w:tc>
          <w:tcPr>
            <w:tcW w:w="505" w:type="pct"/>
            <w:shd w:val="clear" w:color="000000" w:fill="A6A6A6"/>
            <w:vAlign w:val="bottom"/>
            <w:hideMark/>
          </w:tcPr>
          <w:p w:rsidR="007D13F3" w:rsidRPr="00D95C08" w:rsidRDefault="007D13F3" w:rsidP="00465CAC">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2017 OS</w:t>
            </w:r>
          </w:p>
        </w:tc>
        <w:tc>
          <w:tcPr>
            <w:tcW w:w="505" w:type="pct"/>
            <w:shd w:val="clear" w:color="000000" w:fill="A6A6A6"/>
            <w:noWrap/>
            <w:vAlign w:val="bottom"/>
            <w:hideMark/>
          </w:tcPr>
          <w:p w:rsidR="007D13F3" w:rsidRPr="00D95C08" w:rsidRDefault="007D13F3" w:rsidP="00465CAC">
            <w:pPr>
              <w:jc w:val="center"/>
              <w:rPr>
                <w:rFonts w:ascii="Times New Roman" w:hAnsi="Times New Roman" w:cs="Times New Roman"/>
                <w:b/>
                <w:bCs/>
                <w:color w:val="000000"/>
                <w:sz w:val="14"/>
                <w:szCs w:val="14"/>
              </w:rPr>
            </w:pPr>
            <w:r w:rsidRPr="00D95C08">
              <w:rPr>
                <w:rFonts w:ascii="Times New Roman" w:hAnsi="Times New Roman" w:cs="Times New Roman"/>
                <w:b/>
                <w:bCs/>
                <w:color w:val="000000"/>
                <w:sz w:val="14"/>
                <w:szCs w:val="14"/>
              </w:rPr>
              <w:t>2018 N</w:t>
            </w:r>
          </w:p>
        </w:tc>
        <w:tc>
          <w:tcPr>
            <w:tcW w:w="505" w:type="pct"/>
            <w:shd w:val="clear" w:color="000000" w:fill="A6A6A6"/>
            <w:noWrap/>
            <w:vAlign w:val="bottom"/>
            <w:hideMark/>
          </w:tcPr>
          <w:p w:rsidR="007D13F3" w:rsidRPr="00D95C08" w:rsidRDefault="007D13F3" w:rsidP="00465CAC">
            <w:pPr>
              <w:jc w:val="center"/>
              <w:rPr>
                <w:rFonts w:ascii="Times New Roman" w:hAnsi="Times New Roman" w:cs="Times New Roman"/>
                <w:b/>
                <w:bCs/>
                <w:color w:val="000000"/>
                <w:sz w:val="14"/>
                <w:szCs w:val="14"/>
              </w:rPr>
            </w:pPr>
            <w:r w:rsidRPr="00D95C08">
              <w:rPr>
                <w:rFonts w:ascii="Times New Roman" w:hAnsi="Times New Roman" w:cs="Times New Roman"/>
                <w:b/>
                <w:bCs/>
                <w:color w:val="000000"/>
                <w:sz w:val="14"/>
                <w:szCs w:val="14"/>
              </w:rPr>
              <w:t>2019 N</w:t>
            </w:r>
          </w:p>
        </w:tc>
        <w:tc>
          <w:tcPr>
            <w:tcW w:w="501" w:type="pct"/>
            <w:shd w:val="clear" w:color="000000" w:fill="A6A6A6"/>
            <w:noWrap/>
            <w:vAlign w:val="bottom"/>
            <w:hideMark/>
          </w:tcPr>
          <w:p w:rsidR="007D13F3" w:rsidRPr="00D95C08" w:rsidRDefault="007D13F3" w:rsidP="00465CAC">
            <w:pPr>
              <w:jc w:val="center"/>
              <w:rPr>
                <w:rFonts w:ascii="Times New Roman" w:hAnsi="Times New Roman" w:cs="Times New Roman"/>
                <w:b/>
                <w:bCs/>
                <w:color w:val="000000"/>
                <w:sz w:val="14"/>
                <w:szCs w:val="14"/>
              </w:rPr>
            </w:pPr>
            <w:r w:rsidRPr="00D95C08">
              <w:rPr>
                <w:rFonts w:ascii="Times New Roman" w:hAnsi="Times New Roman" w:cs="Times New Roman"/>
                <w:b/>
                <w:bCs/>
                <w:color w:val="000000"/>
                <w:sz w:val="14"/>
                <w:szCs w:val="14"/>
              </w:rPr>
              <w:t>2020 N</w:t>
            </w:r>
          </w:p>
        </w:tc>
      </w:tr>
      <w:tr w:rsidR="007D13F3" w:rsidRPr="00D95C08" w:rsidTr="00465CAC">
        <w:trPr>
          <w:trHeight w:val="255"/>
        </w:trPr>
        <w:tc>
          <w:tcPr>
            <w:tcW w:w="1501" w:type="pct"/>
            <w:shd w:val="clear" w:color="000000" w:fill="BFBFBF"/>
            <w:vAlign w:val="center"/>
            <w:hideMark/>
          </w:tcPr>
          <w:p w:rsidR="007D13F3" w:rsidRPr="00D95C08" w:rsidRDefault="007D13F3" w:rsidP="00465CAC">
            <w:pPr>
              <w:rPr>
                <w:rFonts w:ascii="Times New Roman" w:hAnsi="Times New Roman" w:cs="Times New Roman"/>
                <w:b/>
                <w:bCs/>
                <w:color w:val="000000"/>
                <w:sz w:val="14"/>
                <w:szCs w:val="14"/>
              </w:rPr>
            </w:pPr>
            <w:r w:rsidRPr="00D95C08">
              <w:rPr>
                <w:rFonts w:ascii="Times New Roman" w:hAnsi="Times New Roman" w:cs="Times New Roman"/>
                <w:b/>
                <w:bCs/>
                <w:color w:val="000000"/>
                <w:sz w:val="14"/>
                <w:szCs w:val="14"/>
              </w:rPr>
              <w:t>Vodné hospodárstvo</w:t>
            </w:r>
          </w:p>
        </w:tc>
        <w:tc>
          <w:tcPr>
            <w:tcW w:w="473" w:type="pct"/>
            <w:shd w:val="clear" w:color="000000" w:fill="C0C0C0"/>
            <w:noWrap/>
            <w:vAlign w:val="bottom"/>
            <w:hideMark/>
          </w:tcPr>
          <w:p w:rsidR="007D13F3" w:rsidRPr="00D95C08" w:rsidRDefault="007D13F3" w:rsidP="00465CAC">
            <w:pPr>
              <w:jc w:val="right"/>
              <w:rPr>
                <w:rFonts w:ascii="Times New Roman" w:hAnsi="Times New Roman" w:cs="Times New Roman"/>
                <w:b/>
                <w:bCs/>
                <w:color w:val="000000"/>
                <w:sz w:val="14"/>
                <w:szCs w:val="14"/>
                <w:lang w:eastAsia="sk-SK"/>
              </w:rPr>
            </w:pPr>
            <w:r w:rsidRPr="00D95C08">
              <w:rPr>
                <w:rFonts w:ascii="Times New Roman" w:hAnsi="Times New Roman" w:cs="Times New Roman"/>
                <w:b/>
                <w:bCs/>
                <w:color w:val="000000"/>
                <w:sz w:val="14"/>
                <w:szCs w:val="14"/>
              </w:rPr>
              <w:t>442 879 413</w:t>
            </w:r>
          </w:p>
        </w:tc>
        <w:tc>
          <w:tcPr>
            <w:tcW w:w="505" w:type="pct"/>
            <w:shd w:val="clear" w:color="000000" w:fill="C0C0C0"/>
            <w:noWrap/>
            <w:vAlign w:val="bottom"/>
          </w:tcPr>
          <w:p w:rsidR="007D13F3" w:rsidRPr="00D95C08" w:rsidRDefault="007D13F3" w:rsidP="00465CAC">
            <w:pPr>
              <w:jc w:val="right"/>
              <w:rPr>
                <w:rFonts w:ascii="Times New Roman" w:hAnsi="Times New Roman" w:cs="Times New Roman"/>
                <w:b/>
                <w:bCs/>
                <w:color w:val="000000"/>
                <w:sz w:val="14"/>
                <w:szCs w:val="14"/>
                <w:lang w:eastAsia="sk-SK"/>
              </w:rPr>
            </w:pPr>
            <w:r w:rsidRPr="00D95C08">
              <w:rPr>
                <w:rFonts w:ascii="Times New Roman" w:hAnsi="Times New Roman" w:cs="Times New Roman"/>
                <w:b/>
                <w:bCs/>
                <w:color w:val="000000"/>
                <w:sz w:val="14"/>
                <w:szCs w:val="14"/>
              </w:rPr>
              <w:t>186 512 572</w:t>
            </w:r>
          </w:p>
        </w:tc>
        <w:tc>
          <w:tcPr>
            <w:tcW w:w="505" w:type="pct"/>
            <w:shd w:val="clear" w:color="000000" w:fill="C0C0C0"/>
            <w:noWrap/>
            <w:vAlign w:val="bottom"/>
          </w:tcPr>
          <w:p w:rsidR="007D13F3" w:rsidRPr="00D95C08" w:rsidRDefault="007D13F3" w:rsidP="00465CAC">
            <w:pPr>
              <w:jc w:val="right"/>
              <w:rPr>
                <w:rFonts w:ascii="Times New Roman" w:hAnsi="Times New Roman" w:cs="Times New Roman"/>
                <w:b/>
                <w:bCs/>
                <w:color w:val="000000"/>
                <w:sz w:val="14"/>
                <w:szCs w:val="14"/>
              </w:rPr>
            </w:pPr>
            <w:r w:rsidRPr="00D95C08">
              <w:rPr>
                <w:rFonts w:ascii="Times New Roman" w:hAnsi="Times New Roman" w:cs="Times New Roman"/>
                <w:b/>
                <w:bCs/>
                <w:color w:val="000000"/>
                <w:sz w:val="14"/>
                <w:szCs w:val="14"/>
              </w:rPr>
              <w:t>202 064 889</w:t>
            </w:r>
          </w:p>
        </w:tc>
        <w:tc>
          <w:tcPr>
            <w:tcW w:w="505" w:type="pct"/>
            <w:shd w:val="clear" w:color="000000" w:fill="C0C0C0"/>
            <w:noWrap/>
            <w:vAlign w:val="bottom"/>
          </w:tcPr>
          <w:p w:rsidR="007D13F3" w:rsidRPr="00D95C08" w:rsidRDefault="007D13F3" w:rsidP="00465CAC">
            <w:pPr>
              <w:jc w:val="right"/>
              <w:rPr>
                <w:rFonts w:ascii="Times New Roman" w:hAnsi="Times New Roman" w:cs="Times New Roman"/>
                <w:b/>
                <w:bCs/>
                <w:color w:val="000000"/>
                <w:sz w:val="14"/>
                <w:szCs w:val="14"/>
              </w:rPr>
            </w:pPr>
            <w:r w:rsidRPr="00D95C08">
              <w:rPr>
                <w:rFonts w:ascii="Times New Roman" w:hAnsi="Times New Roman" w:cs="Times New Roman"/>
                <w:b/>
                <w:bCs/>
                <w:color w:val="000000"/>
                <w:sz w:val="14"/>
                <w:szCs w:val="14"/>
              </w:rPr>
              <w:t>138 955 527</w:t>
            </w:r>
          </w:p>
        </w:tc>
        <w:tc>
          <w:tcPr>
            <w:tcW w:w="505" w:type="pct"/>
            <w:shd w:val="clear" w:color="000000" w:fill="C0C0C0"/>
            <w:noWrap/>
            <w:vAlign w:val="bottom"/>
          </w:tcPr>
          <w:p w:rsidR="007D13F3" w:rsidRPr="00D95C08" w:rsidRDefault="007D13F3" w:rsidP="00465CAC">
            <w:pPr>
              <w:jc w:val="right"/>
              <w:rPr>
                <w:rFonts w:ascii="Times New Roman" w:hAnsi="Times New Roman" w:cs="Times New Roman"/>
                <w:b/>
                <w:bCs/>
                <w:color w:val="000000"/>
                <w:sz w:val="14"/>
                <w:szCs w:val="14"/>
              </w:rPr>
            </w:pPr>
            <w:r w:rsidRPr="00D95C08">
              <w:rPr>
                <w:rFonts w:ascii="Times New Roman" w:hAnsi="Times New Roman" w:cs="Times New Roman"/>
                <w:b/>
                <w:bCs/>
                <w:color w:val="000000"/>
                <w:sz w:val="14"/>
                <w:szCs w:val="14"/>
              </w:rPr>
              <w:t>90 261 533</w:t>
            </w:r>
          </w:p>
        </w:tc>
        <w:tc>
          <w:tcPr>
            <w:tcW w:w="505" w:type="pct"/>
            <w:shd w:val="clear" w:color="000000" w:fill="C0C0C0"/>
            <w:noWrap/>
            <w:vAlign w:val="bottom"/>
          </w:tcPr>
          <w:p w:rsidR="007D13F3" w:rsidRPr="00D95C08" w:rsidRDefault="007D13F3" w:rsidP="00465CAC">
            <w:pPr>
              <w:jc w:val="right"/>
              <w:rPr>
                <w:rFonts w:ascii="Times New Roman" w:hAnsi="Times New Roman" w:cs="Times New Roman"/>
                <w:b/>
                <w:bCs/>
                <w:color w:val="000000"/>
                <w:sz w:val="14"/>
                <w:szCs w:val="14"/>
              </w:rPr>
            </w:pPr>
            <w:r w:rsidRPr="00D95C08">
              <w:rPr>
                <w:rFonts w:ascii="Times New Roman" w:hAnsi="Times New Roman" w:cs="Times New Roman"/>
                <w:b/>
                <w:bCs/>
                <w:color w:val="000000"/>
                <w:sz w:val="14"/>
                <w:szCs w:val="14"/>
              </w:rPr>
              <w:t>403 295 256</w:t>
            </w:r>
          </w:p>
        </w:tc>
        <w:tc>
          <w:tcPr>
            <w:tcW w:w="501" w:type="pct"/>
            <w:shd w:val="clear" w:color="000000" w:fill="C0C0C0"/>
            <w:noWrap/>
            <w:vAlign w:val="bottom"/>
          </w:tcPr>
          <w:p w:rsidR="007D13F3" w:rsidRPr="00D95C08" w:rsidRDefault="007D13F3" w:rsidP="00465CAC">
            <w:pPr>
              <w:jc w:val="right"/>
              <w:rPr>
                <w:rFonts w:ascii="Times New Roman" w:hAnsi="Times New Roman" w:cs="Times New Roman"/>
                <w:b/>
                <w:bCs/>
                <w:color w:val="000000"/>
                <w:sz w:val="14"/>
                <w:szCs w:val="14"/>
              </w:rPr>
            </w:pPr>
            <w:r w:rsidRPr="00D95C08">
              <w:rPr>
                <w:rFonts w:ascii="Times New Roman" w:hAnsi="Times New Roman" w:cs="Times New Roman"/>
                <w:b/>
                <w:bCs/>
                <w:color w:val="000000"/>
                <w:sz w:val="14"/>
                <w:szCs w:val="14"/>
              </w:rPr>
              <w:t>436 355 997</w:t>
            </w:r>
          </w:p>
        </w:tc>
      </w:tr>
      <w:tr w:rsidR="007D13F3" w:rsidRPr="00D95C08" w:rsidTr="00465CAC">
        <w:trPr>
          <w:trHeight w:val="255"/>
        </w:trPr>
        <w:tc>
          <w:tcPr>
            <w:tcW w:w="1501" w:type="pct"/>
            <w:shd w:val="clear" w:color="000000" w:fill="FFFFFF"/>
            <w:vAlign w:val="center"/>
            <w:hideMark/>
          </w:tcPr>
          <w:p w:rsidR="007D13F3" w:rsidRPr="00D95C08" w:rsidRDefault="007D13F3" w:rsidP="00465CAC">
            <w:pPr>
              <w:rPr>
                <w:rFonts w:ascii="Times New Roman" w:hAnsi="Times New Roman" w:cs="Times New Roman"/>
                <w:b/>
                <w:color w:val="000000"/>
                <w:sz w:val="14"/>
                <w:szCs w:val="14"/>
              </w:rPr>
            </w:pPr>
            <w:r w:rsidRPr="00D95C08">
              <w:rPr>
                <w:rFonts w:ascii="Times New Roman" w:hAnsi="Times New Roman" w:cs="Times New Roman"/>
                <w:b/>
                <w:color w:val="000000"/>
                <w:sz w:val="14"/>
                <w:szCs w:val="14"/>
              </w:rPr>
              <w:t>rozpočtové zdroje kapitoly, v tom:</w:t>
            </w:r>
          </w:p>
        </w:tc>
        <w:tc>
          <w:tcPr>
            <w:tcW w:w="473" w:type="pct"/>
            <w:shd w:val="clear" w:color="000000" w:fill="FFFFFF"/>
            <w:noWrap/>
            <w:vAlign w:val="bottom"/>
            <w:hideMark/>
          </w:tcPr>
          <w:p w:rsidR="007D13F3" w:rsidRPr="00D95C08" w:rsidRDefault="007D13F3" w:rsidP="00465CAC">
            <w:pPr>
              <w:jc w:val="right"/>
              <w:rPr>
                <w:rFonts w:ascii="Times New Roman" w:hAnsi="Times New Roman" w:cs="Times New Roman"/>
                <w:b/>
                <w:color w:val="000000"/>
                <w:sz w:val="14"/>
                <w:szCs w:val="14"/>
              </w:rPr>
            </w:pPr>
            <w:r w:rsidRPr="00D95C08">
              <w:rPr>
                <w:rFonts w:ascii="Times New Roman" w:hAnsi="Times New Roman" w:cs="Times New Roman"/>
                <w:b/>
                <w:color w:val="000000"/>
                <w:sz w:val="14"/>
                <w:szCs w:val="14"/>
              </w:rPr>
              <w:t>39 295 120</w:t>
            </w:r>
          </w:p>
        </w:tc>
        <w:tc>
          <w:tcPr>
            <w:tcW w:w="505" w:type="pct"/>
            <w:shd w:val="clear" w:color="000000" w:fill="FFFFFF"/>
            <w:noWrap/>
            <w:vAlign w:val="bottom"/>
          </w:tcPr>
          <w:p w:rsidR="007D13F3" w:rsidRPr="00486A87" w:rsidRDefault="007D13F3" w:rsidP="00465CAC">
            <w:pPr>
              <w:jc w:val="right"/>
              <w:rPr>
                <w:rFonts w:ascii="Times New Roman" w:hAnsi="Times New Roman" w:cs="Times New Roman"/>
                <w:b/>
                <w:color w:val="000000"/>
                <w:sz w:val="14"/>
                <w:szCs w:val="14"/>
              </w:rPr>
            </w:pPr>
            <w:r w:rsidRPr="00486A87">
              <w:rPr>
                <w:rFonts w:ascii="Times New Roman" w:hAnsi="Times New Roman" w:cs="Times New Roman"/>
                <w:b/>
                <w:color w:val="000000"/>
                <w:sz w:val="14"/>
                <w:szCs w:val="14"/>
              </w:rPr>
              <w:t>25 060 741</w:t>
            </w:r>
          </w:p>
        </w:tc>
        <w:tc>
          <w:tcPr>
            <w:tcW w:w="505" w:type="pct"/>
            <w:shd w:val="clear" w:color="000000" w:fill="FFFFFF"/>
            <w:noWrap/>
            <w:vAlign w:val="bottom"/>
          </w:tcPr>
          <w:p w:rsidR="007D13F3" w:rsidRPr="00486A87" w:rsidRDefault="007D13F3" w:rsidP="00465CAC">
            <w:pPr>
              <w:jc w:val="right"/>
              <w:rPr>
                <w:rFonts w:ascii="Times New Roman" w:hAnsi="Times New Roman" w:cs="Times New Roman"/>
                <w:b/>
                <w:color w:val="000000"/>
                <w:sz w:val="14"/>
                <w:szCs w:val="14"/>
              </w:rPr>
            </w:pPr>
            <w:r w:rsidRPr="00486A87">
              <w:rPr>
                <w:rFonts w:ascii="Times New Roman" w:hAnsi="Times New Roman" w:cs="Times New Roman"/>
                <w:b/>
                <w:color w:val="000000"/>
                <w:sz w:val="14"/>
                <w:szCs w:val="14"/>
              </w:rPr>
              <w:t>35 221 240</w:t>
            </w:r>
          </w:p>
        </w:tc>
        <w:tc>
          <w:tcPr>
            <w:tcW w:w="505" w:type="pct"/>
            <w:shd w:val="clear" w:color="000000" w:fill="FFFFFF"/>
            <w:noWrap/>
            <w:vAlign w:val="bottom"/>
          </w:tcPr>
          <w:p w:rsidR="007D13F3" w:rsidRPr="00486A87" w:rsidRDefault="007D13F3" w:rsidP="00465CAC">
            <w:pPr>
              <w:jc w:val="right"/>
              <w:rPr>
                <w:rFonts w:ascii="Times New Roman" w:hAnsi="Times New Roman" w:cs="Times New Roman"/>
                <w:b/>
                <w:color w:val="000000"/>
                <w:sz w:val="14"/>
                <w:szCs w:val="14"/>
              </w:rPr>
            </w:pPr>
            <w:r w:rsidRPr="00486A87">
              <w:rPr>
                <w:rFonts w:ascii="Times New Roman" w:hAnsi="Times New Roman" w:cs="Times New Roman"/>
                <w:b/>
                <w:color w:val="000000"/>
                <w:sz w:val="14"/>
                <w:szCs w:val="14"/>
              </w:rPr>
              <w:t>43 173 999</w:t>
            </w:r>
          </w:p>
        </w:tc>
        <w:tc>
          <w:tcPr>
            <w:tcW w:w="505" w:type="pct"/>
            <w:shd w:val="clear" w:color="000000" w:fill="FFFFFF"/>
            <w:noWrap/>
            <w:vAlign w:val="bottom"/>
          </w:tcPr>
          <w:p w:rsidR="007D13F3" w:rsidRPr="00486A87" w:rsidRDefault="007D13F3" w:rsidP="00465CAC">
            <w:pPr>
              <w:jc w:val="right"/>
              <w:rPr>
                <w:rFonts w:ascii="Times New Roman" w:hAnsi="Times New Roman" w:cs="Times New Roman"/>
                <w:b/>
                <w:color w:val="000000"/>
                <w:sz w:val="14"/>
                <w:szCs w:val="14"/>
              </w:rPr>
            </w:pPr>
            <w:r w:rsidRPr="00486A87">
              <w:rPr>
                <w:rFonts w:ascii="Times New Roman" w:hAnsi="Times New Roman" w:cs="Times New Roman"/>
                <w:b/>
                <w:color w:val="000000"/>
                <w:sz w:val="14"/>
                <w:szCs w:val="14"/>
              </w:rPr>
              <w:t>27 621 766</w:t>
            </w:r>
          </w:p>
        </w:tc>
        <w:tc>
          <w:tcPr>
            <w:tcW w:w="505" w:type="pct"/>
            <w:shd w:val="clear" w:color="000000" w:fill="FFFFFF"/>
            <w:noWrap/>
            <w:vAlign w:val="bottom"/>
          </w:tcPr>
          <w:p w:rsidR="007D13F3" w:rsidRPr="00486A87" w:rsidRDefault="007D13F3" w:rsidP="00465CAC">
            <w:pPr>
              <w:jc w:val="right"/>
              <w:rPr>
                <w:rFonts w:ascii="Times New Roman" w:hAnsi="Times New Roman" w:cs="Times New Roman"/>
                <w:b/>
                <w:color w:val="000000"/>
                <w:sz w:val="14"/>
                <w:szCs w:val="14"/>
              </w:rPr>
            </w:pPr>
            <w:r w:rsidRPr="00486A87">
              <w:rPr>
                <w:rFonts w:ascii="Times New Roman" w:hAnsi="Times New Roman" w:cs="Times New Roman"/>
                <w:b/>
                <w:color w:val="000000"/>
                <w:sz w:val="14"/>
                <w:szCs w:val="14"/>
              </w:rPr>
              <w:t>27 621 766</w:t>
            </w:r>
          </w:p>
        </w:tc>
        <w:tc>
          <w:tcPr>
            <w:tcW w:w="501" w:type="pct"/>
            <w:shd w:val="clear" w:color="000000" w:fill="FFFFFF"/>
            <w:noWrap/>
            <w:vAlign w:val="bottom"/>
          </w:tcPr>
          <w:p w:rsidR="007D13F3" w:rsidRPr="00486A87" w:rsidRDefault="007D13F3" w:rsidP="00465CAC">
            <w:pPr>
              <w:jc w:val="right"/>
              <w:rPr>
                <w:rFonts w:ascii="Times New Roman" w:hAnsi="Times New Roman" w:cs="Times New Roman"/>
                <w:b/>
                <w:color w:val="000000"/>
                <w:sz w:val="14"/>
                <w:szCs w:val="14"/>
              </w:rPr>
            </w:pPr>
            <w:r w:rsidRPr="00486A87">
              <w:rPr>
                <w:rFonts w:ascii="Times New Roman" w:hAnsi="Times New Roman" w:cs="Times New Roman"/>
                <w:b/>
                <w:color w:val="000000"/>
                <w:sz w:val="14"/>
                <w:szCs w:val="14"/>
              </w:rPr>
              <w:t>27 621 766</w:t>
            </w:r>
          </w:p>
        </w:tc>
      </w:tr>
      <w:tr w:rsidR="007D13F3" w:rsidRPr="00D95C08" w:rsidTr="00465CAC">
        <w:trPr>
          <w:trHeight w:val="255"/>
        </w:trPr>
        <w:tc>
          <w:tcPr>
            <w:tcW w:w="1501" w:type="pct"/>
            <w:vAlign w:val="center"/>
            <w:hideMark/>
          </w:tcPr>
          <w:p w:rsidR="007D13F3" w:rsidRPr="00D95C08" w:rsidRDefault="007D13F3" w:rsidP="00465CAC">
            <w:pPr>
              <w:rPr>
                <w:rFonts w:ascii="Times New Roman" w:hAnsi="Times New Roman" w:cs="Times New Roman"/>
                <w:i/>
                <w:color w:val="000000"/>
                <w:sz w:val="14"/>
                <w:szCs w:val="14"/>
              </w:rPr>
            </w:pPr>
            <w:r w:rsidRPr="00D95C08">
              <w:rPr>
                <w:rFonts w:ascii="Times New Roman" w:hAnsi="Times New Roman" w:cs="Times New Roman"/>
                <w:i/>
                <w:color w:val="000000"/>
                <w:sz w:val="14"/>
                <w:szCs w:val="14"/>
              </w:rPr>
              <w:t>Výskumný ústav vodného hospodárstva</w:t>
            </w:r>
          </w:p>
        </w:tc>
        <w:tc>
          <w:tcPr>
            <w:tcW w:w="473" w:type="pct"/>
            <w:shd w:val="clear" w:color="auto" w:fill="auto"/>
            <w:vAlign w:val="bottom"/>
            <w:hideMark/>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2 429 038</w:t>
            </w:r>
          </w:p>
        </w:tc>
        <w:tc>
          <w:tcPr>
            <w:tcW w:w="505"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3 038 613</w:t>
            </w:r>
          </w:p>
        </w:tc>
        <w:tc>
          <w:tcPr>
            <w:tcW w:w="505"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2 800 000</w:t>
            </w:r>
          </w:p>
        </w:tc>
        <w:tc>
          <w:tcPr>
            <w:tcW w:w="505"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3 330 418</w:t>
            </w:r>
          </w:p>
        </w:tc>
        <w:tc>
          <w:tcPr>
            <w:tcW w:w="505"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2 749 600</w:t>
            </w:r>
          </w:p>
        </w:tc>
        <w:tc>
          <w:tcPr>
            <w:tcW w:w="505"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2 749 600</w:t>
            </w:r>
          </w:p>
        </w:tc>
        <w:tc>
          <w:tcPr>
            <w:tcW w:w="501"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2 749 600</w:t>
            </w:r>
          </w:p>
        </w:tc>
      </w:tr>
      <w:tr w:rsidR="007D13F3" w:rsidRPr="00D95C08" w:rsidTr="00465CAC">
        <w:trPr>
          <w:trHeight w:val="255"/>
        </w:trPr>
        <w:tc>
          <w:tcPr>
            <w:tcW w:w="1501" w:type="pct"/>
            <w:vAlign w:val="center"/>
            <w:hideMark/>
          </w:tcPr>
          <w:p w:rsidR="007D13F3" w:rsidRPr="00D95C08" w:rsidRDefault="007D13F3" w:rsidP="00465CAC">
            <w:pPr>
              <w:rPr>
                <w:rFonts w:ascii="Times New Roman" w:hAnsi="Times New Roman" w:cs="Times New Roman"/>
                <w:i/>
                <w:color w:val="000000"/>
                <w:sz w:val="14"/>
                <w:szCs w:val="14"/>
              </w:rPr>
            </w:pPr>
            <w:r w:rsidRPr="00D95C08">
              <w:rPr>
                <w:rFonts w:ascii="Times New Roman" w:hAnsi="Times New Roman" w:cs="Times New Roman"/>
                <w:i/>
                <w:color w:val="000000"/>
                <w:sz w:val="14"/>
                <w:szCs w:val="14"/>
              </w:rPr>
              <w:t>Slovenský hydrometeorologický ústav</w:t>
            </w:r>
          </w:p>
        </w:tc>
        <w:tc>
          <w:tcPr>
            <w:tcW w:w="473" w:type="pct"/>
            <w:shd w:val="clear" w:color="auto" w:fill="auto"/>
            <w:vAlign w:val="bottom"/>
            <w:hideMark/>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7 059 635</w:t>
            </w:r>
          </w:p>
        </w:tc>
        <w:tc>
          <w:tcPr>
            <w:tcW w:w="505"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3 236 840</w:t>
            </w:r>
          </w:p>
        </w:tc>
        <w:tc>
          <w:tcPr>
            <w:tcW w:w="505"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5 296 240</w:t>
            </w:r>
          </w:p>
        </w:tc>
        <w:tc>
          <w:tcPr>
            <w:tcW w:w="505"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5 419 167</w:t>
            </w:r>
          </w:p>
        </w:tc>
        <w:tc>
          <w:tcPr>
            <w:tcW w:w="505"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5 372 166</w:t>
            </w:r>
          </w:p>
        </w:tc>
        <w:tc>
          <w:tcPr>
            <w:tcW w:w="505"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5 372 166</w:t>
            </w:r>
          </w:p>
        </w:tc>
        <w:tc>
          <w:tcPr>
            <w:tcW w:w="501"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5 372 166</w:t>
            </w:r>
          </w:p>
        </w:tc>
      </w:tr>
      <w:tr w:rsidR="007D13F3" w:rsidRPr="00D95C08" w:rsidTr="00465CAC">
        <w:trPr>
          <w:trHeight w:val="255"/>
        </w:trPr>
        <w:tc>
          <w:tcPr>
            <w:tcW w:w="1501" w:type="pct"/>
            <w:vAlign w:val="center"/>
            <w:hideMark/>
          </w:tcPr>
          <w:p w:rsidR="007D13F3" w:rsidRPr="00D95C08" w:rsidRDefault="007D13F3" w:rsidP="00465CAC">
            <w:pPr>
              <w:rPr>
                <w:rFonts w:ascii="Times New Roman" w:hAnsi="Times New Roman" w:cs="Times New Roman"/>
                <w:i/>
                <w:color w:val="000000"/>
                <w:sz w:val="14"/>
                <w:szCs w:val="14"/>
              </w:rPr>
            </w:pPr>
            <w:r w:rsidRPr="00D95C08">
              <w:rPr>
                <w:rFonts w:ascii="Times New Roman" w:hAnsi="Times New Roman" w:cs="Times New Roman"/>
                <w:i/>
                <w:color w:val="000000"/>
                <w:sz w:val="14"/>
                <w:szCs w:val="14"/>
              </w:rPr>
              <w:t>Ústredný orgán – neregulované platby SVP</w:t>
            </w:r>
          </w:p>
        </w:tc>
        <w:tc>
          <w:tcPr>
            <w:tcW w:w="473" w:type="pct"/>
            <w:shd w:val="clear" w:color="auto" w:fill="auto"/>
            <w:vAlign w:val="bottom"/>
            <w:hideMark/>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29 806 447</w:t>
            </w:r>
          </w:p>
        </w:tc>
        <w:tc>
          <w:tcPr>
            <w:tcW w:w="505"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18 785 288</w:t>
            </w:r>
          </w:p>
        </w:tc>
        <w:tc>
          <w:tcPr>
            <w:tcW w:w="505"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27 125 000</w:t>
            </w:r>
          </w:p>
        </w:tc>
        <w:tc>
          <w:tcPr>
            <w:tcW w:w="505"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34 424 414</w:t>
            </w:r>
          </w:p>
        </w:tc>
        <w:tc>
          <w:tcPr>
            <w:tcW w:w="505"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19 500 000</w:t>
            </w:r>
          </w:p>
        </w:tc>
        <w:tc>
          <w:tcPr>
            <w:tcW w:w="505"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19 500 000</w:t>
            </w:r>
          </w:p>
        </w:tc>
        <w:tc>
          <w:tcPr>
            <w:tcW w:w="501" w:type="pct"/>
            <w:shd w:val="clear" w:color="auto" w:fill="auto"/>
            <w:vAlign w:val="bottom"/>
          </w:tcPr>
          <w:p w:rsidR="007D13F3" w:rsidRPr="00D95C08" w:rsidRDefault="007D13F3" w:rsidP="00465CAC">
            <w:pPr>
              <w:jc w:val="right"/>
              <w:rPr>
                <w:rFonts w:ascii="Times New Roman" w:hAnsi="Times New Roman" w:cs="Times New Roman"/>
                <w:i/>
                <w:iCs/>
                <w:color w:val="000000"/>
                <w:sz w:val="14"/>
                <w:szCs w:val="14"/>
              </w:rPr>
            </w:pPr>
            <w:r w:rsidRPr="00D95C08">
              <w:rPr>
                <w:rFonts w:ascii="Times New Roman" w:hAnsi="Times New Roman" w:cs="Times New Roman"/>
                <w:i/>
                <w:iCs/>
                <w:color w:val="000000"/>
                <w:sz w:val="14"/>
                <w:szCs w:val="14"/>
              </w:rPr>
              <w:t>19 500 000</w:t>
            </w:r>
          </w:p>
        </w:tc>
      </w:tr>
      <w:tr w:rsidR="007D13F3" w:rsidRPr="00D95C08" w:rsidTr="00465CAC">
        <w:trPr>
          <w:trHeight w:val="255"/>
        </w:trPr>
        <w:tc>
          <w:tcPr>
            <w:tcW w:w="1501" w:type="pct"/>
            <w:shd w:val="clear" w:color="000000" w:fill="FFFFFF"/>
            <w:vAlign w:val="center"/>
            <w:hideMark/>
          </w:tcPr>
          <w:p w:rsidR="007D13F3" w:rsidRPr="00D95C08" w:rsidRDefault="007D13F3" w:rsidP="00465CAC">
            <w:pPr>
              <w:rPr>
                <w:rFonts w:ascii="Times New Roman" w:hAnsi="Times New Roman" w:cs="Times New Roman"/>
                <w:color w:val="000000"/>
                <w:sz w:val="14"/>
                <w:szCs w:val="14"/>
              </w:rPr>
            </w:pPr>
            <w:r w:rsidRPr="00D95C08">
              <w:rPr>
                <w:rFonts w:ascii="Times New Roman" w:hAnsi="Times New Roman" w:cs="Times New Roman"/>
                <w:color w:val="000000"/>
                <w:sz w:val="14"/>
                <w:szCs w:val="14"/>
              </w:rPr>
              <w:t xml:space="preserve">zdroje EÚ </w:t>
            </w:r>
          </w:p>
        </w:tc>
        <w:tc>
          <w:tcPr>
            <w:tcW w:w="473" w:type="pct"/>
            <w:shd w:val="clear" w:color="auto" w:fill="auto"/>
            <w:vAlign w:val="bottom"/>
            <w:hideMark/>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76 103 073</w:t>
            </w:r>
          </w:p>
        </w:tc>
        <w:tc>
          <w:tcPr>
            <w:tcW w:w="505"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0</w:t>
            </w:r>
          </w:p>
        </w:tc>
        <w:tc>
          <w:tcPr>
            <w:tcW w:w="505"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148 375 093</w:t>
            </w:r>
          </w:p>
        </w:tc>
        <w:tc>
          <w:tcPr>
            <w:tcW w:w="505"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1 398 455</w:t>
            </w:r>
          </w:p>
        </w:tc>
        <w:tc>
          <w:tcPr>
            <w:tcW w:w="505"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56 523 947</w:t>
            </w:r>
          </w:p>
        </w:tc>
        <w:tc>
          <w:tcPr>
            <w:tcW w:w="505"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342 197 557</w:t>
            </w:r>
          </w:p>
        </w:tc>
        <w:tc>
          <w:tcPr>
            <w:tcW w:w="501"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366 867 923</w:t>
            </w:r>
          </w:p>
        </w:tc>
      </w:tr>
      <w:tr w:rsidR="007D13F3" w:rsidRPr="00D95C08" w:rsidTr="00465CAC">
        <w:trPr>
          <w:trHeight w:val="255"/>
        </w:trPr>
        <w:tc>
          <w:tcPr>
            <w:tcW w:w="1501" w:type="pct"/>
            <w:shd w:val="clear" w:color="000000" w:fill="FFFFFF"/>
            <w:vAlign w:val="center"/>
            <w:hideMark/>
          </w:tcPr>
          <w:p w:rsidR="007D13F3" w:rsidRPr="00D95C08" w:rsidRDefault="007D13F3" w:rsidP="00465CAC">
            <w:pPr>
              <w:rPr>
                <w:rFonts w:ascii="Times New Roman" w:hAnsi="Times New Roman" w:cs="Times New Roman"/>
                <w:color w:val="000000"/>
                <w:sz w:val="14"/>
                <w:szCs w:val="14"/>
              </w:rPr>
            </w:pPr>
            <w:r w:rsidRPr="00D95C08">
              <w:rPr>
                <w:rFonts w:ascii="Times New Roman" w:hAnsi="Times New Roman" w:cs="Times New Roman"/>
                <w:color w:val="000000"/>
                <w:sz w:val="14"/>
                <w:szCs w:val="14"/>
              </w:rPr>
              <w:t>spolufinancovanie zo ŠR</w:t>
            </w:r>
          </w:p>
        </w:tc>
        <w:tc>
          <w:tcPr>
            <w:tcW w:w="473" w:type="pct"/>
            <w:shd w:val="clear" w:color="auto" w:fill="auto"/>
            <w:vAlign w:val="bottom"/>
            <w:hideMark/>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15 863 833</w:t>
            </w:r>
          </w:p>
        </w:tc>
        <w:tc>
          <w:tcPr>
            <w:tcW w:w="505"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3 537 842</w:t>
            </w:r>
          </w:p>
        </w:tc>
        <w:tc>
          <w:tcPr>
            <w:tcW w:w="505"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18 468 556</w:t>
            </w:r>
          </w:p>
        </w:tc>
        <w:tc>
          <w:tcPr>
            <w:tcW w:w="505"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0</w:t>
            </w:r>
          </w:p>
        </w:tc>
        <w:tc>
          <w:tcPr>
            <w:tcW w:w="505"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6 115 820</w:t>
            </w:r>
          </w:p>
        </w:tc>
        <w:tc>
          <w:tcPr>
            <w:tcW w:w="505"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33 475 933</w:t>
            </w:r>
          </w:p>
        </w:tc>
        <w:tc>
          <w:tcPr>
            <w:tcW w:w="501"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41 866 308</w:t>
            </w:r>
          </w:p>
        </w:tc>
      </w:tr>
      <w:tr w:rsidR="007D13F3" w:rsidRPr="00D95C08" w:rsidTr="00465CAC">
        <w:trPr>
          <w:trHeight w:val="255"/>
        </w:trPr>
        <w:tc>
          <w:tcPr>
            <w:tcW w:w="1501" w:type="pct"/>
            <w:shd w:val="clear" w:color="000000" w:fill="FFFFFF"/>
            <w:vAlign w:val="center"/>
          </w:tcPr>
          <w:p w:rsidR="007D13F3" w:rsidRPr="00D95C08" w:rsidRDefault="007D13F3" w:rsidP="00465CAC">
            <w:pPr>
              <w:rPr>
                <w:rFonts w:ascii="Times New Roman" w:hAnsi="Times New Roman" w:cs="Times New Roman"/>
                <w:color w:val="000000"/>
                <w:sz w:val="14"/>
                <w:szCs w:val="14"/>
              </w:rPr>
            </w:pPr>
            <w:r w:rsidRPr="00D95C08">
              <w:rPr>
                <w:rFonts w:ascii="Times New Roman" w:hAnsi="Times New Roman" w:cs="Times New Roman"/>
                <w:color w:val="000000"/>
                <w:sz w:val="14"/>
                <w:szCs w:val="14"/>
              </w:rPr>
              <w:t>presun z minulých rokov</w:t>
            </w:r>
          </w:p>
        </w:tc>
        <w:tc>
          <w:tcPr>
            <w:tcW w:w="473"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311 617 388</w:t>
            </w:r>
          </w:p>
        </w:tc>
        <w:tc>
          <w:tcPr>
            <w:tcW w:w="505"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157 913 989</w:t>
            </w:r>
          </w:p>
        </w:tc>
        <w:tc>
          <w:tcPr>
            <w:tcW w:w="505"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0</w:t>
            </w:r>
          </w:p>
        </w:tc>
        <w:tc>
          <w:tcPr>
            <w:tcW w:w="505"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94 383 074</w:t>
            </w:r>
          </w:p>
        </w:tc>
        <w:tc>
          <w:tcPr>
            <w:tcW w:w="505"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0</w:t>
            </w:r>
          </w:p>
        </w:tc>
        <w:tc>
          <w:tcPr>
            <w:tcW w:w="505"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0</w:t>
            </w:r>
          </w:p>
        </w:tc>
        <w:tc>
          <w:tcPr>
            <w:tcW w:w="501" w:type="pct"/>
            <w:shd w:val="clear" w:color="auto" w:fill="auto"/>
            <w:vAlign w:val="bottom"/>
          </w:tcPr>
          <w:p w:rsidR="007D13F3" w:rsidRPr="00D95C08" w:rsidRDefault="007D13F3" w:rsidP="00465CAC">
            <w:pPr>
              <w:jc w:val="right"/>
              <w:rPr>
                <w:rFonts w:ascii="Times New Roman" w:hAnsi="Times New Roman" w:cs="Times New Roman"/>
                <w:color w:val="000000"/>
                <w:sz w:val="14"/>
                <w:szCs w:val="14"/>
              </w:rPr>
            </w:pPr>
            <w:r w:rsidRPr="00D95C08">
              <w:rPr>
                <w:rFonts w:ascii="Times New Roman" w:hAnsi="Times New Roman" w:cs="Times New Roman"/>
                <w:color w:val="000000"/>
                <w:sz w:val="14"/>
                <w:szCs w:val="14"/>
              </w:rPr>
              <w:t>0</w:t>
            </w:r>
          </w:p>
        </w:tc>
      </w:tr>
    </w:tbl>
    <w:p w:rsidR="007D13F3" w:rsidRDefault="007D13F3" w:rsidP="007D13F3">
      <w:pPr>
        <w:ind w:firstLine="708"/>
        <w:jc w:val="both"/>
        <w:rPr>
          <w:rFonts w:ascii="Times New Roman" w:hAnsi="Times New Roman" w:cs="Times New Roman"/>
        </w:rPr>
      </w:pPr>
    </w:p>
    <w:p w:rsidR="007D13F3" w:rsidRPr="00AB4999" w:rsidRDefault="007D13F3" w:rsidP="007D13F3">
      <w:pPr>
        <w:ind w:firstLine="708"/>
        <w:jc w:val="both"/>
        <w:rPr>
          <w:rFonts w:ascii="Times New Roman" w:hAnsi="Times New Roman" w:cs="Times New Roman"/>
        </w:rPr>
      </w:pPr>
      <w:r w:rsidRPr="005F1146">
        <w:rPr>
          <w:rFonts w:ascii="Times New Roman" w:hAnsi="Times New Roman" w:cs="Times New Roman"/>
        </w:rPr>
        <w:t>Celkové výdavky smerujú</w:t>
      </w:r>
      <w:r>
        <w:rPr>
          <w:rFonts w:ascii="Times New Roman" w:hAnsi="Times New Roman" w:cs="Times New Roman"/>
        </w:rPr>
        <w:t xml:space="preserve">ce do vodného hospodárstva klesajú </w:t>
      </w:r>
      <w:r w:rsidRPr="005F1146">
        <w:rPr>
          <w:rFonts w:ascii="Times New Roman" w:hAnsi="Times New Roman" w:cs="Times New Roman"/>
        </w:rPr>
        <w:t>v porovnaní so schvál</w:t>
      </w:r>
      <w:r>
        <w:rPr>
          <w:rFonts w:ascii="Times New Roman" w:hAnsi="Times New Roman" w:cs="Times New Roman"/>
        </w:rPr>
        <w:t xml:space="preserve">eným rozpočtom roku 2017 o 55,3 %. Uvedený pokles je spôsobený najmä poklesom výdavkov EÚ na úrovni 61,9 %. </w:t>
      </w:r>
      <w:r w:rsidRPr="005F1146">
        <w:rPr>
          <w:rFonts w:ascii="Times New Roman" w:hAnsi="Times New Roman" w:cs="Times New Roman"/>
        </w:rPr>
        <w:t xml:space="preserve">Výdavky za túto oblasť sú celkovo určené na konkrétne projekty budovania a rekonštrukcie infraštruktúry vodného hospodárstva (preventívne </w:t>
      </w:r>
      <w:r w:rsidRPr="005F1146">
        <w:rPr>
          <w:rFonts w:ascii="Times New Roman" w:hAnsi="Times New Roman" w:cs="Times New Roman"/>
          <w:bCs/>
        </w:rPr>
        <w:t>protipovodňové opatrenia</w:t>
      </w:r>
      <w:r w:rsidRPr="005F1146">
        <w:rPr>
          <w:rFonts w:ascii="Times New Roman" w:hAnsi="Times New Roman" w:cs="Times New Roman"/>
        </w:rPr>
        <w:t xml:space="preserve">, dobudovanie a prevádzka povodňového varovného a predpovedného systému, </w:t>
      </w:r>
      <w:r w:rsidRPr="005F1146">
        <w:rPr>
          <w:rFonts w:ascii="Times New Roman" w:hAnsi="Times New Roman" w:cs="Times New Roman"/>
          <w:bCs/>
        </w:rPr>
        <w:t>zásobovanie vodou</w:t>
      </w:r>
      <w:r w:rsidRPr="005F1146">
        <w:rPr>
          <w:rFonts w:ascii="Times New Roman" w:hAnsi="Times New Roman" w:cs="Times New Roman"/>
        </w:rPr>
        <w:t xml:space="preserve">, </w:t>
      </w:r>
      <w:r w:rsidRPr="005F1146">
        <w:rPr>
          <w:rFonts w:ascii="Times New Roman" w:hAnsi="Times New Roman" w:cs="Times New Roman"/>
          <w:bCs/>
        </w:rPr>
        <w:t>odvádzanie a čistenie odpadových vôd</w:t>
      </w:r>
      <w:r>
        <w:rPr>
          <w:rFonts w:ascii="Times New Roman" w:hAnsi="Times New Roman" w:cs="Times New Roman"/>
        </w:rPr>
        <w:t>).</w:t>
      </w:r>
    </w:p>
    <w:p w:rsidR="007D13F3" w:rsidRDefault="007D13F3" w:rsidP="007D13F3">
      <w:pPr>
        <w:tabs>
          <w:tab w:val="left" w:pos="426"/>
        </w:tabs>
        <w:jc w:val="both"/>
        <w:rPr>
          <w:rFonts w:ascii="Times New Roman" w:hAnsi="Times New Roman" w:cs="Times New Roman"/>
          <w:b/>
        </w:rPr>
      </w:pPr>
    </w:p>
    <w:p w:rsidR="009C37FC" w:rsidRDefault="009C37FC" w:rsidP="007D13F3">
      <w:pPr>
        <w:tabs>
          <w:tab w:val="left" w:pos="426"/>
        </w:tabs>
        <w:jc w:val="both"/>
        <w:rPr>
          <w:rFonts w:ascii="Times New Roman" w:hAnsi="Times New Roman" w:cs="Times New Roman"/>
          <w:b/>
        </w:rPr>
      </w:pPr>
    </w:p>
    <w:p w:rsidR="004E497F" w:rsidRDefault="004E497F" w:rsidP="007D13F3">
      <w:pPr>
        <w:tabs>
          <w:tab w:val="left" w:pos="426"/>
        </w:tabs>
        <w:jc w:val="both"/>
        <w:rPr>
          <w:rFonts w:ascii="Times New Roman" w:hAnsi="Times New Roman" w:cs="Times New Roman"/>
          <w:b/>
        </w:rPr>
      </w:pPr>
    </w:p>
    <w:p w:rsidR="009C37FC" w:rsidRPr="005F1146" w:rsidRDefault="009C37FC" w:rsidP="007D13F3">
      <w:pPr>
        <w:tabs>
          <w:tab w:val="left" w:pos="426"/>
        </w:tabs>
        <w:jc w:val="both"/>
        <w:rPr>
          <w:rFonts w:ascii="Times New Roman" w:hAnsi="Times New Roman" w:cs="Times New Roman"/>
          <w:b/>
        </w:rPr>
      </w:pPr>
    </w:p>
    <w:p w:rsidR="007D13F3" w:rsidRPr="005F1146" w:rsidRDefault="007D13F3" w:rsidP="007D13F3">
      <w:pPr>
        <w:tabs>
          <w:tab w:val="left" w:pos="426"/>
        </w:tabs>
        <w:jc w:val="both"/>
        <w:rPr>
          <w:rFonts w:ascii="Times New Roman" w:hAnsi="Times New Roman" w:cs="Times New Roman"/>
          <w:b/>
        </w:rPr>
      </w:pPr>
      <w:r w:rsidRPr="005F1146">
        <w:rPr>
          <w:rFonts w:ascii="Times New Roman" w:hAnsi="Times New Roman" w:cs="Times New Roman"/>
          <w:b/>
        </w:rPr>
        <w:lastRenderedPageBreak/>
        <w:t>Ochrana ovzdušia</w:t>
      </w:r>
    </w:p>
    <w:p w:rsidR="007D13F3" w:rsidRPr="005F1146" w:rsidRDefault="007D13F3" w:rsidP="007D13F3">
      <w:pPr>
        <w:tabs>
          <w:tab w:val="left" w:pos="426"/>
        </w:tabs>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834"/>
        <w:gridCol w:w="948"/>
        <w:gridCol w:w="910"/>
        <w:gridCol w:w="834"/>
        <w:gridCol w:w="924"/>
        <w:gridCol w:w="1039"/>
        <w:gridCol w:w="884"/>
      </w:tblGrid>
      <w:tr w:rsidR="007D13F3" w:rsidRPr="000B3909" w:rsidTr="00465CAC">
        <w:trPr>
          <w:trHeight w:val="255"/>
        </w:trPr>
        <w:tc>
          <w:tcPr>
            <w:tcW w:w="1483" w:type="pct"/>
            <w:shd w:val="clear" w:color="auto" w:fill="A6A6A6"/>
            <w:noWrap/>
            <w:vAlign w:val="center"/>
            <w:hideMark/>
          </w:tcPr>
          <w:p w:rsidR="007D13F3" w:rsidRPr="000B3909" w:rsidRDefault="007D13F3" w:rsidP="00465CAC">
            <w:pP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v eurách </w:t>
            </w:r>
          </w:p>
        </w:tc>
        <w:tc>
          <w:tcPr>
            <w:tcW w:w="460" w:type="pct"/>
            <w:shd w:val="clear" w:color="000000" w:fill="A6A6A6"/>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2015 S</w:t>
            </w:r>
          </w:p>
        </w:tc>
        <w:tc>
          <w:tcPr>
            <w:tcW w:w="523" w:type="pct"/>
            <w:shd w:val="clear" w:color="000000" w:fill="A6A6A6"/>
            <w:noWrap/>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2016 S</w:t>
            </w:r>
          </w:p>
        </w:tc>
        <w:tc>
          <w:tcPr>
            <w:tcW w:w="502" w:type="pct"/>
            <w:shd w:val="clear" w:color="000000" w:fill="A6A6A6"/>
            <w:noWrap/>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2017 R</w:t>
            </w:r>
          </w:p>
        </w:tc>
        <w:tc>
          <w:tcPr>
            <w:tcW w:w="460" w:type="pct"/>
            <w:shd w:val="clear" w:color="000000" w:fill="A6A6A6"/>
            <w:vAlign w:val="bottom"/>
            <w:hideMark/>
          </w:tcPr>
          <w:p w:rsidR="007D13F3" w:rsidRPr="000B3909" w:rsidRDefault="007D13F3" w:rsidP="00465CAC">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2017 OS</w:t>
            </w:r>
          </w:p>
        </w:tc>
        <w:tc>
          <w:tcPr>
            <w:tcW w:w="510" w:type="pct"/>
            <w:shd w:val="clear" w:color="000000" w:fill="A6A6A6"/>
            <w:noWrap/>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2018 N</w:t>
            </w:r>
          </w:p>
        </w:tc>
        <w:tc>
          <w:tcPr>
            <w:tcW w:w="573" w:type="pct"/>
            <w:shd w:val="clear" w:color="000000" w:fill="A6A6A6"/>
            <w:noWrap/>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2019 N</w:t>
            </w:r>
          </w:p>
        </w:tc>
        <w:tc>
          <w:tcPr>
            <w:tcW w:w="488" w:type="pct"/>
            <w:shd w:val="clear" w:color="000000" w:fill="A6A6A6"/>
            <w:noWrap/>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2020 N</w:t>
            </w:r>
          </w:p>
        </w:tc>
      </w:tr>
      <w:tr w:rsidR="007D13F3" w:rsidRPr="000B3909" w:rsidTr="00465CAC">
        <w:trPr>
          <w:trHeight w:val="255"/>
        </w:trPr>
        <w:tc>
          <w:tcPr>
            <w:tcW w:w="1483" w:type="pct"/>
            <w:shd w:val="clear" w:color="000000" w:fill="BFBFBF"/>
            <w:vAlign w:val="center"/>
            <w:hideMark/>
          </w:tcPr>
          <w:p w:rsidR="007D13F3" w:rsidRPr="000B3909" w:rsidRDefault="007D13F3" w:rsidP="00465CAC">
            <w:pP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Ochrana ovzdušia</w:t>
            </w:r>
          </w:p>
        </w:tc>
        <w:tc>
          <w:tcPr>
            <w:tcW w:w="460" w:type="pct"/>
            <w:shd w:val="clear" w:color="000000" w:fill="C0C0C0"/>
            <w:noWrap/>
            <w:vAlign w:val="bottom"/>
            <w:hideMark/>
          </w:tcPr>
          <w:p w:rsidR="007D13F3" w:rsidRPr="000B3909" w:rsidRDefault="007D13F3" w:rsidP="00465CAC">
            <w:pPr>
              <w:jc w:val="right"/>
              <w:rPr>
                <w:rFonts w:ascii="Times New Roman" w:hAnsi="Times New Roman" w:cs="Times New Roman"/>
                <w:b/>
                <w:bCs/>
                <w:color w:val="000000"/>
                <w:sz w:val="14"/>
                <w:szCs w:val="14"/>
                <w:lang w:eastAsia="sk-SK"/>
              </w:rPr>
            </w:pPr>
            <w:r w:rsidRPr="000B3909">
              <w:rPr>
                <w:rFonts w:ascii="Times New Roman" w:hAnsi="Times New Roman" w:cs="Times New Roman"/>
                <w:b/>
                <w:bCs/>
                <w:color w:val="000000"/>
                <w:sz w:val="14"/>
                <w:szCs w:val="14"/>
              </w:rPr>
              <w:t>47 390 577</w:t>
            </w:r>
          </w:p>
        </w:tc>
        <w:tc>
          <w:tcPr>
            <w:tcW w:w="523" w:type="pct"/>
            <w:shd w:val="clear" w:color="000000" w:fill="C0C0C0"/>
            <w:noWrap/>
            <w:vAlign w:val="bottom"/>
          </w:tcPr>
          <w:p w:rsidR="007D13F3" w:rsidRPr="000B3909" w:rsidRDefault="007D13F3" w:rsidP="00465CAC">
            <w:pPr>
              <w:jc w:val="right"/>
              <w:rPr>
                <w:rFonts w:ascii="Times New Roman" w:hAnsi="Times New Roman" w:cs="Times New Roman"/>
                <w:b/>
                <w:bCs/>
                <w:color w:val="000000"/>
                <w:sz w:val="14"/>
                <w:szCs w:val="14"/>
                <w:lang w:eastAsia="sk-SK"/>
              </w:rPr>
            </w:pPr>
            <w:r w:rsidRPr="000B3909">
              <w:rPr>
                <w:rFonts w:ascii="Times New Roman" w:hAnsi="Times New Roman" w:cs="Times New Roman"/>
                <w:b/>
                <w:bCs/>
                <w:color w:val="000000"/>
                <w:sz w:val="14"/>
                <w:szCs w:val="14"/>
              </w:rPr>
              <w:t>12 927 113</w:t>
            </w:r>
          </w:p>
        </w:tc>
        <w:tc>
          <w:tcPr>
            <w:tcW w:w="502" w:type="pct"/>
            <w:shd w:val="clear" w:color="000000" w:fill="C0C0C0"/>
            <w:noWrap/>
            <w:vAlign w:val="bottom"/>
          </w:tcPr>
          <w:p w:rsidR="007D13F3" w:rsidRPr="000B3909" w:rsidRDefault="007D13F3" w:rsidP="00465CAC">
            <w:pPr>
              <w:jc w:val="right"/>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3 385 000</w:t>
            </w:r>
          </w:p>
        </w:tc>
        <w:tc>
          <w:tcPr>
            <w:tcW w:w="460" w:type="pct"/>
            <w:shd w:val="clear" w:color="000000" w:fill="C0C0C0"/>
            <w:noWrap/>
            <w:vAlign w:val="bottom"/>
          </w:tcPr>
          <w:p w:rsidR="007D13F3" w:rsidRPr="000B3909" w:rsidRDefault="007D13F3" w:rsidP="00465CAC">
            <w:pPr>
              <w:jc w:val="right"/>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3 462 369</w:t>
            </w:r>
          </w:p>
        </w:tc>
        <w:tc>
          <w:tcPr>
            <w:tcW w:w="510" w:type="pct"/>
            <w:shd w:val="clear" w:color="000000" w:fill="C0C0C0"/>
            <w:noWrap/>
            <w:vAlign w:val="bottom"/>
          </w:tcPr>
          <w:p w:rsidR="007D13F3" w:rsidRPr="000B3909" w:rsidRDefault="007D13F3" w:rsidP="00465CAC">
            <w:pPr>
              <w:jc w:val="right"/>
              <w:rPr>
                <w:rFonts w:ascii="Times New Roman" w:hAnsi="Times New Roman" w:cs="Times New Roman"/>
                <w:b/>
                <w:bCs/>
                <w:color w:val="000000"/>
                <w:sz w:val="14"/>
                <w:szCs w:val="14"/>
                <w:lang w:eastAsia="sk-SK"/>
              </w:rPr>
            </w:pPr>
            <w:r w:rsidRPr="000B3909">
              <w:rPr>
                <w:rFonts w:ascii="Times New Roman" w:hAnsi="Times New Roman" w:cs="Times New Roman"/>
                <w:b/>
                <w:bCs/>
                <w:color w:val="000000"/>
                <w:sz w:val="14"/>
                <w:szCs w:val="14"/>
              </w:rPr>
              <w:t>8 834 664</w:t>
            </w:r>
          </w:p>
        </w:tc>
        <w:tc>
          <w:tcPr>
            <w:tcW w:w="573" w:type="pct"/>
            <w:shd w:val="clear" w:color="000000" w:fill="C0C0C0"/>
            <w:noWrap/>
            <w:vAlign w:val="bottom"/>
          </w:tcPr>
          <w:p w:rsidR="007D13F3" w:rsidRPr="000B3909" w:rsidRDefault="007D13F3" w:rsidP="00465CAC">
            <w:pPr>
              <w:jc w:val="right"/>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8 734 664</w:t>
            </w:r>
          </w:p>
        </w:tc>
        <w:tc>
          <w:tcPr>
            <w:tcW w:w="488" w:type="pct"/>
            <w:shd w:val="clear" w:color="000000" w:fill="C0C0C0"/>
            <w:noWrap/>
            <w:vAlign w:val="bottom"/>
          </w:tcPr>
          <w:p w:rsidR="007D13F3" w:rsidRPr="000B3909" w:rsidRDefault="007D13F3" w:rsidP="00465CAC">
            <w:pPr>
              <w:jc w:val="right"/>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8 734 664</w:t>
            </w:r>
          </w:p>
        </w:tc>
      </w:tr>
      <w:tr w:rsidR="007D13F3" w:rsidRPr="000B3909" w:rsidTr="00465CAC">
        <w:trPr>
          <w:trHeight w:val="255"/>
        </w:trPr>
        <w:tc>
          <w:tcPr>
            <w:tcW w:w="1483" w:type="pct"/>
            <w:shd w:val="clear" w:color="000000" w:fill="FFFFFF"/>
            <w:vAlign w:val="center"/>
            <w:hideMark/>
          </w:tcPr>
          <w:p w:rsidR="007D13F3" w:rsidRPr="000B3909" w:rsidRDefault="007D13F3" w:rsidP="00465CAC">
            <w:pPr>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rozpočtové zdroje kapitoly, v tom:</w:t>
            </w:r>
          </w:p>
        </w:tc>
        <w:tc>
          <w:tcPr>
            <w:tcW w:w="460" w:type="pct"/>
            <w:shd w:val="clear" w:color="auto" w:fill="auto"/>
            <w:vAlign w:val="bottom"/>
            <w:hideMark/>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5 048 079</w:t>
            </w:r>
          </w:p>
        </w:tc>
        <w:tc>
          <w:tcPr>
            <w:tcW w:w="523" w:type="pct"/>
            <w:shd w:val="clear" w:color="auto" w:fill="auto"/>
            <w:vAlign w:val="bottom"/>
          </w:tcPr>
          <w:p w:rsidR="007D13F3" w:rsidRPr="00486A87" w:rsidRDefault="007D13F3" w:rsidP="00465CAC">
            <w:pPr>
              <w:jc w:val="right"/>
              <w:rPr>
                <w:rFonts w:ascii="Times New Roman" w:hAnsi="Times New Roman" w:cs="Times New Roman"/>
                <w:b/>
                <w:color w:val="000000"/>
                <w:sz w:val="14"/>
                <w:szCs w:val="14"/>
              </w:rPr>
            </w:pPr>
            <w:r w:rsidRPr="00486A87">
              <w:rPr>
                <w:rFonts w:ascii="Times New Roman" w:hAnsi="Times New Roman" w:cs="Times New Roman"/>
                <w:b/>
                <w:color w:val="000000"/>
                <w:sz w:val="14"/>
                <w:szCs w:val="14"/>
              </w:rPr>
              <w:t>2 297 582</w:t>
            </w:r>
          </w:p>
        </w:tc>
        <w:tc>
          <w:tcPr>
            <w:tcW w:w="502" w:type="pct"/>
            <w:shd w:val="clear" w:color="auto" w:fill="auto"/>
            <w:vAlign w:val="bottom"/>
          </w:tcPr>
          <w:p w:rsidR="007D13F3" w:rsidRPr="00486A87" w:rsidRDefault="007D13F3" w:rsidP="00465CAC">
            <w:pPr>
              <w:jc w:val="right"/>
              <w:rPr>
                <w:rFonts w:ascii="Times New Roman" w:hAnsi="Times New Roman" w:cs="Times New Roman"/>
                <w:b/>
                <w:color w:val="000000"/>
                <w:sz w:val="14"/>
                <w:szCs w:val="14"/>
              </w:rPr>
            </w:pPr>
            <w:r w:rsidRPr="00486A87">
              <w:rPr>
                <w:rFonts w:ascii="Times New Roman" w:hAnsi="Times New Roman" w:cs="Times New Roman"/>
                <w:b/>
                <w:color w:val="000000"/>
                <w:sz w:val="14"/>
                <w:szCs w:val="14"/>
              </w:rPr>
              <w:t>3 385 000</w:t>
            </w:r>
          </w:p>
        </w:tc>
        <w:tc>
          <w:tcPr>
            <w:tcW w:w="460" w:type="pct"/>
            <w:shd w:val="clear" w:color="auto" w:fill="auto"/>
            <w:vAlign w:val="bottom"/>
          </w:tcPr>
          <w:p w:rsidR="007D13F3" w:rsidRPr="00486A87" w:rsidRDefault="007D13F3" w:rsidP="00465CAC">
            <w:pPr>
              <w:jc w:val="right"/>
              <w:rPr>
                <w:rFonts w:ascii="Times New Roman" w:hAnsi="Times New Roman" w:cs="Times New Roman"/>
                <w:b/>
                <w:color w:val="000000"/>
                <w:sz w:val="14"/>
                <w:szCs w:val="14"/>
              </w:rPr>
            </w:pPr>
            <w:r w:rsidRPr="00486A87">
              <w:rPr>
                <w:rFonts w:ascii="Times New Roman" w:hAnsi="Times New Roman" w:cs="Times New Roman"/>
                <w:b/>
                <w:color w:val="000000"/>
                <w:sz w:val="14"/>
                <w:szCs w:val="14"/>
              </w:rPr>
              <w:t>3 462 369</w:t>
            </w:r>
          </w:p>
        </w:tc>
        <w:tc>
          <w:tcPr>
            <w:tcW w:w="510" w:type="pct"/>
            <w:shd w:val="clear" w:color="auto" w:fill="auto"/>
            <w:vAlign w:val="bottom"/>
          </w:tcPr>
          <w:p w:rsidR="007D13F3" w:rsidRPr="00486A87" w:rsidRDefault="007D13F3" w:rsidP="00465CAC">
            <w:pPr>
              <w:jc w:val="right"/>
              <w:rPr>
                <w:rFonts w:ascii="Times New Roman" w:hAnsi="Times New Roman" w:cs="Times New Roman"/>
                <w:b/>
                <w:color w:val="000000"/>
                <w:sz w:val="14"/>
                <w:szCs w:val="14"/>
              </w:rPr>
            </w:pPr>
            <w:r w:rsidRPr="00486A87">
              <w:rPr>
                <w:rFonts w:ascii="Times New Roman" w:hAnsi="Times New Roman" w:cs="Times New Roman"/>
                <w:b/>
                <w:color w:val="000000"/>
                <w:sz w:val="14"/>
                <w:szCs w:val="14"/>
              </w:rPr>
              <w:t>8 834 664</w:t>
            </w:r>
          </w:p>
        </w:tc>
        <w:tc>
          <w:tcPr>
            <w:tcW w:w="573" w:type="pct"/>
            <w:shd w:val="clear" w:color="auto" w:fill="auto"/>
            <w:vAlign w:val="bottom"/>
          </w:tcPr>
          <w:p w:rsidR="007D13F3" w:rsidRPr="00486A87" w:rsidRDefault="007D13F3" w:rsidP="00465CAC">
            <w:pPr>
              <w:jc w:val="right"/>
              <w:rPr>
                <w:rFonts w:ascii="Times New Roman" w:hAnsi="Times New Roman" w:cs="Times New Roman"/>
                <w:b/>
                <w:color w:val="000000"/>
                <w:sz w:val="14"/>
                <w:szCs w:val="14"/>
              </w:rPr>
            </w:pPr>
            <w:r w:rsidRPr="00486A87">
              <w:rPr>
                <w:rFonts w:ascii="Times New Roman" w:hAnsi="Times New Roman" w:cs="Times New Roman"/>
                <w:b/>
                <w:color w:val="000000"/>
                <w:sz w:val="14"/>
                <w:szCs w:val="14"/>
              </w:rPr>
              <w:t>8 734 664</w:t>
            </w:r>
          </w:p>
        </w:tc>
        <w:tc>
          <w:tcPr>
            <w:tcW w:w="488" w:type="pct"/>
            <w:shd w:val="clear" w:color="auto" w:fill="auto"/>
            <w:vAlign w:val="bottom"/>
          </w:tcPr>
          <w:p w:rsidR="007D13F3" w:rsidRPr="00486A87" w:rsidRDefault="007D13F3" w:rsidP="00465CAC">
            <w:pPr>
              <w:jc w:val="right"/>
              <w:rPr>
                <w:rFonts w:ascii="Times New Roman" w:hAnsi="Times New Roman" w:cs="Times New Roman"/>
                <w:b/>
                <w:color w:val="000000"/>
                <w:sz w:val="14"/>
                <w:szCs w:val="14"/>
              </w:rPr>
            </w:pPr>
            <w:r w:rsidRPr="00486A87">
              <w:rPr>
                <w:rFonts w:ascii="Times New Roman" w:hAnsi="Times New Roman" w:cs="Times New Roman"/>
                <w:b/>
                <w:color w:val="000000"/>
                <w:sz w:val="14"/>
                <w:szCs w:val="14"/>
              </w:rPr>
              <w:t>8 734 664</w:t>
            </w:r>
          </w:p>
        </w:tc>
      </w:tr>
      <w:tr w:rsidR="007D13F3" w:rsidRPr="000B3909" w:rsidTr="00465CAC">
        <w:trPr>
          <w:trHeight w:val="255"/>
        </w:trPr>
        <w:tc>
          <w:tcPr>
            <w:tcW w:w="1483" w:type="pct"/>
            <w:shd w:val="clear" w:color="000000" w:fill="FFFFFF"/>
            <w:vAlign w:val="center"/>
            <w:hideMark/>
          </w:tcPr>
          <w:p w:rsidR="007D13F3" w:rsidRPr="000B3909" w:rsidRDefault="007D13F3" w:rsidP="00465CAC">
            <w:pPr>
              <w:rPr>
                <w:rFonts w:ascii="Times New Roman" w:hAnsi="Times New Roman" w:cs="Times New Roman"/>
                <w:i/>
                <w:color w:val="000000"/>
                <w:sz w:val="14"/>
                <w:szCs w:val="14"/>
              </w:rPr>
            </w:pPr>
            <w:r w:rsidRPr="000B3909">
              <w:rPr>
                <w:rFonts w:ascii="Times New Roman" w:hAnsi="Times New Roman" w:cs="Times New Roman"/>
                <w:i/>
                <w:color w:val="000000"/>
                <w:sz w:val="14"/>
                <w:szCs w:val="14"/>
              </w:rPr>
              <w:t>Slovenský hydrometeorologický ústav</w:t>
            </w:r>
          </w:p>
        </w:tc>
        <w:tc>
          <w:tcPr>
            <w:tcW w:w="460" w:type="pct"/>
            <w:shd w:val="clear" w:color="auto" w:fill="auto"/>
            <w:vAlign w:val="bottom"/>
            <w:hideMark/>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5 048 079</w:t>
            </w:r>
          </w:p>
        </w:tc>
        <w:tc>
          <w:tcPr>
            <w:tcW w:w="523" w:type="pct"/>
            <w:shd w:val="clear" w:color="auto" w:fill="auto"/>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2 297 582</w:t>
            </w:r>
          </w:p>
        </w:tc>
        <w:tc>
          <w:tcPr>
            <w:tcW w:w="502" w:type="pct"/>
            <w:shd w:val="clear" w:color="auto" w:fill="auto"/>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3 385 000</w:t>
            </w:r>
          </w:p>
        </w:tc>
        <w:tc>
          <w:tcPr>
            <w:tcW w:w="460" w:type="pct"/>
            <w:shd w:val="clear" w:color="auto" w:fill="auto"/>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3 462 369</w:t>
            </w:r>
          </w:p>
        </w:tc>
        <w:tc>
          <w:tcPr>
            <w:tcW w:w="510" w:type="pct"/>
            <w:shd w:val="clear" w:color="auto" w:fill="auto"/>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3 434 664</w:t>
            </w:r>
          </w:p>
        </w:tc>
        <w:tc>
          <w:tcPr>
            <w:tcW w:w="573" w:type="pct"/>
            <w:shd w:val="clear" w:color="auto" w:fill="auto"/>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3 434 664</w:t>
            </w:r>
          </w:p>
        </w:tc>
        <w:tc>
          <w:tcPr>
            <w:tcW w:w="488" w:type="pct"/>
            <w:shd w:val="clear" w:color="auto" w:fill="auto"/>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3 434 664</w:t>
            </w:r>
          </w:p>
        </w:tc>
      </w:tr>
      <w:tr w:rsidR="007D13F3" w:rsidRPr="000B3909" w:rsidTr="00465CAC">
        <w:trPr>
          <w:trHeight w:val="255"/>
        </w:trPr>
        <w:tc>
          <w:tcPr>
            <w:tcW w:w="1483" w:type="pct"/>
            <w:shd w:val="clear" w:color="000000" w:fill="FFFFFF"/>
            <w:vAlign w:val="center"/>
            <w:hideMark/>
          </w:tcPr>
          <w:p w:rsidR="007D13F3" w:rsidRPr="000B3909" w:rsidRDefault="007D13F3" w:rsidP="00465CAC">
            <w:pPr>
              <w:rPr>
                <w:rFonts w:ascii="Times New Roman" w:hAnsi="Times New Roman" w:cs="Times New Roman"/>
                <w:color w:val="000000"/>
                <w:sz w:val="14"/>
                <w:szCs w:val="14"/>
              </w:rPr>
            </w:pPr>
            <w:r w:rsidRPr="000B3909">
              <w:rPr>
                <w:rFonts w:ascii="Times New Roman" w:hAnsi="Times New Roman" w:cs="Times New Roman"/>
                <w:color w:val="000000"/>
                <w:sz w:val="14"/>
                <w:szCs w:val="14"/>
              </w:rPr>
              <w:t xml:space="preserve">zdroje EÚ </w:t>
            </w:r>
          </w:p>
        </w:tc>
        <w:tc>
          <w:tcPr>
            <w:tcW w:w="460" w:type="pct"/>
            <w:shd w:val="clear" w:color="auto" w:fill="auto"/>
            <w:vAlign w:val="bottom"/>
            <w:hideMark/>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21 021 783</w:t>
            </w:r>
          </w:p>
        </w:tc>
        <w:tc>
          <w:tcPr>
            <w:tcW w:w="523"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502"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460"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510"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573"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488"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r>
      <w:tr w:rsidR="007D13F3" w:rsidRPr="000B3909" w:rsidTr="00465CAC">
        <w:trPr>
          <w:trHeight w:val="255"/>
        </w:trPr>
        <w:tc>
          <w:tcPr>
            <w:tcW w:w="1483" w:type="pct"/>
            <w:shd w:val="clear" w:color="000000" w:fill="FFFFFF"/>
            <w:vAlign w:val="center"/>
            <w:hideMark/>
          </w:tcPr>
          <w:p w:rsidR="007D13F3" w:rsidRPr="000B3909" w:rsidRDefault="007D13F3" w:rsidP="00465CAC">
            <w:pPr>
              <w:rPr>
                <w:rFonts w:ascii="Times New Roman" w:hAnsi="Times New Roman" w:cs="Times New Roman"/>
                <w:color w:val="000000"/>
                <w:sz w:val="14"/>
                <w:szCs w:val="14"/>
              </w:rPr>
            </w:pPr>
            <w:r w:rsidRPr="000B3909">
              <w:rPr>
                <w:rFonts w:ascii="Times New Roman" w:hAnsi="Times New Roman" w:cs="Times New Roman"/>
                <w:color w:val="000000"/>
                <w:sz w:val="14"/>
                <w:szCs w:val="14"/>
              </w:rPr>
              <w:t>spolufinancovanie zo ŠR</w:t>
            </w:r>
          </w:p>
        </w:tc>
        <w:tc>
          <w:tcPr>
            <w:tcW w:w="460" w:type="pct"/>
            <w:shd w:val="clear" w:color="auto" w:fill="auto"/>
            <w:vAlign w:val="bottom"/>
            <w:hideMark/>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4 207 239</w:t>
            </w:r>
          </w:p>
        </w:tc>
        <w:tc>
          <w:tcPr>
            <w:tcW w:w="523"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502"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460"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510"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573"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488"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r>
      <w:tr w:rsidR="007D13F3" w:rsidRPr="000B3909" w:rsidTr="00465CAC">
        <w:trPr>
          <w:trHeight w:val="255"/>
        </w:trPr>
        <w:tc>
          <w:tcPr>
            <w:tcW w:w="1483" w:type="pct"/>
            <w:shd w:val="clear" w:color="000000" w:fill="FFFFFF"/>
            <w:vAlign w:val="center"/>
          </w:tcPr>
          <w:p w:rsidR="007D13F3" w:rsidRPr="000B3909" w:rsidRDefault="007D13F3" w:rsidP="00465CAC">
            <w:pPr>
              <w:rPr>
                <w:rFonts w:ascii="Times New Roman" w:hAnsi="Times New Roman" w:cs="Times New Roman"/>
                <w:color w:val="000000"/>
                <w:sz w:val="14"/>
                <w:szCs w:val="14"/>
              </w:rPr>
            </w:pPr>
            <w:r w:rsidRPr="000B3909">
              <w:rPr>
                <w:rFonts w:ascii="Times New Roman" w:hAnsi="Times New Roman" w:cs="Times New Roman"/>
                <w:color w:val="000000"/>
                <w:sz w:val="14"/>
                <w:szCs w:val="14"/>
              </w:rPr>
              <w:t>presun z minulých rokov</w:t>
            </w:r>
          </w:p>
        </w:tc>
        <w:tc>
          <w:tcPr>
            <w:tcW w:w="460"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17 113 476</w:t>
            </w:r>
          </w:p>
        </w:tc>
        <w:tc>
          <w:tcPr>
            <w:tcW w:w="523"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10 629 531</w:t>
            </w:r>
          </w:p>
        </w:tc>
        <w:tc>
          <w:tcPr>
            <w:tcW w:w="502"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460"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510"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573"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c>
          <w:tcPr>
            <w:tcW w:w="488" w:type="pct"/>
            <w:shd w:val="clear" w:color="auto" w:fill="auto"/>
            <w:vAlign w:val="bottom"/>
          </w:tcPr>
          <w:p w:rsidR="007D13F3" w:rsidRPr="000B3909" w:rsidRDefault="007D13F3" w:rsidP="00465CAC">
            <w:pPr>
              <w:jc w:val="right"/>
              <w:rPr>
                <w:rFonts w:ascii="Times New Roman" w:hAnsi="Times New Roman" w:cs="Times New Roman"/>
                <w:color w:val="000000"/>
                <w:sz w:val="14"/>
                <w:szCs w:val="14"/>
              </w:rPr>
            </w:pPr>
            <w:r w:rsidRPr="000B3909">
              <w:rPr>
                <w:rFonts w:ascii="Times New Roman" w:hAnsi="Times New Roman" w:cs="Times New Roman"/>
                <w:color w:val="000000"/>
                <w:sz w:val="14"/>
                <w:szCs w:val="14"/>
              </w:rPr>
              <w:t>0</w:t>
            </w:r>
          </w:p>
        </w:tc>
      </w:tr>
    </w:tbl>
    <w:p w:rsidR="007D13F3" w:rsidRPr="005F1146" w:rsidRDefault="007D13F3" w:rsidP="007D13F3">
      <w:pPr>
        <w:ind w:firstLine="708"/>
        <w:jc w:val="both"/>
        <w:rPr>
          <w:rFonts w:ascii="Times New Roman" w:hAnsi="Times New Roman" w:cs="Times New Roman"/>
          <w:bCs/>
        </w:rPr>
      </w:pPr>
    </w:p>
    <w:p w:rsidR="007D13F3" w:rsidRDefault="007D13F3" w:rsidP="007D13F3">
      <w:pPr>
        <w:tabs>
          <w:tab w:val="left" w:pos="709"/>
        </w:tabs>
        <w:jc w:val="both"/>
        <w:rPr>
          <w:rFonts w:ascii="Times New Roman" w:hAnsi="Times New Roman" w:cs="Times New Roman"/>
        </w:rPr>
      </w:pPr>
      <w:r w:rsidRPr="005F1146">
        <w:rPr>
          <w:rFonts w:ascii="Times New Roman" w:hAnsi="Times New Roman" w:cs="Times New Roman"/>
        </w:rPr>
        <w:tab/>
        <w:t>Celkové výdavky sme</w:t>
      </w:r>
      <w:r>
        <w:rPr>
          <w:rFonts w:ascii="Times New Roman" w:hAnsi="Times New Roman" w:cs="Times New Roman"/>
        </w:rPr>
        <w:t>rujúce do ochrany ovzdušia sú v roku 2018 tvorené iba prostriedkami štátneho rozpočtu a rastú</w:t>
      </w:r>
      <w:r w:rsidRPr="005F1146">
        <w:rPr>
          <w:rFonts w:ascii="Times New Roman" w:hAnsi="Times New Roman" w:cs="Times New Roman"/>
        </w:rPr>
        <w:t xml:space="preserve"> v porovnaní s</w:t>
      </w:r>
      <w:r>
        <w:rPr>
          <w:rFonts w:ascii="Times New Roman" w:hAnsi="Times New Roman" w:cs="Times New Roman"/>
        </w:rPr>
        <w:t xml:space="preserve">o schváleným rozpočtom roku 2017 </w:t>
      </w:r>
      <w:r w:rsidR="000736F2">
        <w:rPr>
          <w:rFonts w:ascii="Times New Roman" w:hAnsi="Times New Roman" w:cs="Times New Roman"/>
        </w:rPr>
        <w:br/>
      </w:r>
      <w:r>
        <w:rPr>
          <w:rFonts w:ascii="Times New Roman" w:hAnsi="Times New Roman" w:cs="Times New Roman"/>
        </w:rPr>
        <w:t>o 161 %. Nárast výdavkov je spôsobený najmä rozpočtovaním výdavkov</w:t>
      </w:r>
      <w:r w:rsidRPr="00EC76F3">
        <w:rPr>
          <w:rFonts w:ascii="Times New Roman" w:hAnsi="Times New Roman" w:cs="Times New Roman"/>
        </w:rPr>
        <w:t xml:space="preserve"> na zabezpečenie potrieb kapitoly v </w:t>
      </w:r>
      <w:r>
        <w:rPr>
          <w:rFonts w:ascii="Times New Roman" w:hAnsi="Times New Roman" w:cs="Times New Roman"/>
        </w:rPr>
        <w:t>oblasti udržateľnosti projektov</w:t>
      </w:r>
      <w:r w:rsidRPr="00EC76F3">
        <w:rPr>
          <w:rFonts w:ascii="Times New Roman" w:hAnsi="Times New Roman" w:cs="Times New Roman"/>
        </w:rPr>
        <w:t xml:space="preserve"> realizovaných z prostriedkov EÚ</w:t>
      </w:r>
      <w:r>
        <w:rPr>
          <w:rFonts w:ascii="Times New Roman" w:hAnsi="Times New Roman" w:cs="Times New Roman"/>
        </w:rPr>
        <w:t>. Výdavky</w:t>
      </w:r>
      <w:r w:rsidRPr="005F1146">
        <w:rPr>
          <w:rFonts w:ascii="Times New Roman" w:hAnsi="Times New Roman" w:cs="Times New Roman"/>
        </w:rPr>
        <w:t xml:space="preserve"> celkovo smerujú </w:t>
      </w:r>
      <w:r>
        <w:rPr>
          <w:rFonts w:ascii="Times New Roman" w:hAnsi="Times New Roman" w:cs="Times New Roman"/>
        </w:rPr>
        <w:t xml:space="preserve">najmä </w:t>
      </w:r>
      <w:r w:rsidRPr="005F1146">
        <w:rPr>
          <w:rFonts w:ascii="Times New Roman" w:hAnsi="Times New Roman" w:cs="Times New Roman"/>
        </w:rPr>
        <w:t>na</w:t>
      </w:r>
      <w:r w:rsidRPr="00646031">
        <w:rPr>
          <w:rFonts w:ascii="Tahoma" w:hAnsi="Tahoma" w:cs="Tahoma"/>
          <w:color w:val="666666"/>
          <w:sz w:val="17"/>
          <w:szCs w:val="17"/>
        </w:rPr>
        <w:t xml:space="preserve"> </w:t>
      </w:r>
      <w:r w:rsidRPr="00646031">
        <w:rPr>
          <w:rFonts w:ascii="Times New Roman" w:hAnsi="Times New Roman" w:cs="Times New Roman"/>
        </w:rPr>
        <w:t>sledovanie a hodnoten</w:t>
      </w:r>
      <w:r>
        <w:rPr>
          <w:rFonts w:ascii="Times New Roman" w:hAnsi="Times New Roman" w:cs="Times New Roman"/>
        </w:rPr>
        <w:t>ie kvality ovzdušia podľa</w:t>
      </w:r>
      <w:r w:rsidRPr="00646031">
        <w:rPr>
          <w:rFonts w:ascii="Times New Roman" w:hAnsi="Times New Roman" w:cs="Times New Roman"/>
        </w:rPr>
        <w:t xml:space="preserve"> zákona o ochrane ovzdušia</w:t>
      </w:r>
      <w:r>
        <w:rPr>
          <w:rFonts w:ascii="Times New Roman" w:hAnsi="Times New Roman" w:cs="Times New Roman"/>
        </w:rPr>
        <w:t>.</w:t>
      </w:r>
      <w:r w:rsidRPr="00F20987">
        <w:rPr>
          <w:rFonts w:ascii="Times New Roman" w:hAnsi="Times New Roman" w:cs="Times New Roman"/>
        </w:rPr>
        <w:t xml:space="preserve"> </w:t>
      </w:r>
    </w:p>
    <w:p w:rsidR="007D13F3" w:rsidRPr="005F1146" w:rsidRDefault="007D13F3" w:rsidP="007D13F3">
      <w:pPr>
        <w:jc w:val="both"/>
        <w:rPr>
          <w:rFonts w:ascii="Times New Roman" w:hAnsi="Times New Roman" w:cs="Times New Roman"/>
        </w:rPr>
      </w:pPr>
    </w:p>
    <w:p w:rsidR="007D13F3" w:rsidRPr="005F1146" w:rsidRDefault="007D13F3" w:rsidP="007D13F3">
      <w:pPr>
        <w:jc w:val="both"/>
        <w:rPr>
          <w:rFonts w:ascii="Times New Roman" w:hAnsi="Times New Roman" w:cs="Times New Roman"/>
          <w:b/>
        </w:rPr>
      </w:pPr>
      <w:r w:rsidRPr="005F1146">
        <w:rPr>
          <w:rFonts w:ascii="Times New Roman" w:hAnsi="Times New Roman" w:cs="Times New Roman"/>
          <w:b/>
        </w:rPr>
        <w:t>Odpadové hospodárstvo</w:t>
      </w:r>
    </w:p>
    <w:p w:rsidR="007D13F3" w:rsidRPr="005F1146" w:rsidRDefault="007D13F3" w:rsidP="007D13F3">
      <w:pPr>
        <w:jc w:val="both"/>
        <w:rPr>
          <w:rFonts w:ascii="Times New Roman" w:hAnsi="Times New Roman" w:cs="Times New Roman"/>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7"/>
        <w:gridCol w:w="905"/>
        <w:gridCol w:w="905"/>
        <w:gridCol w:w="906"/>
        <w:gridCol w:w="906"/>
        <w:gridCol w:w="906"/>
        <w:gridCol w:w="906"/>
        <w:gridCol w:w="906"/>
      </w:tblGrid>
      <w:tr w:rsidR="007D13F3" w:rsidRPr="00EC76F3" w:rsidTr="00465CAC">
        <w:trPr>
          <w:trHeight w:val="255"/>
        </w:trPr>
        <w:tc>
          <w:tcPr>
            <w:tcW w:w="1564" w:type="pct"/>
            <w:shd w:val="clear" w:color="auto" w:fill="A6A6A6"/>
            <w:noWrap/>
            <w:tcMar>
              <w:top w:w="13" w:type="dxa"/>
              <w:left w:w="13" w:type="dxa"/>
              <w:bottom w:w="0" w:type="dxa"/>
              <w:right w:w="13" w:type="dxa"/>
            </w:tcMar>
            <w:vAlign w:val="center"/>
            <w:hideMark/>
          </w:tcPr>
          <w:p w:rsidR="007D13F3" w:rsidRPr="00EC76F3" w:rsidRDefault="007D13F3" w:rsidP="00465CAC">
            <w:pPr>
              <w:rPr>
                <w:rFonts w:ascii="Times New Roman" w:hAnsi="Times New Roman" w:cs="Times New Roman"/>
                <w:b/>
                <w:bCs/>
                <w:color w:val="000000"/>
                <w:sz w:val="14"/>
                <w:szCs w:val="14"/>
              </w:rPr>
            </w:pPr>
            <w:r w:rsidRPr="00EC76F3">
              <w:rPr>
                <w:rFonts w:ascii="Times New Roman" w:hAnsi="Times New Roman" w:cs="Times New Roman"/>
                <w:b/>
                <w:bCs/>
                <w:color w:val="000000"/>
                <w:sz w:val="14"/>
                <w:szCs w:val="14"/>
              </w:rPr>
              <w:t>v eurách </w:t>
            </w:r>
          </w:p>
        </w:tc>
        <w:tc>
          <w:tcPr>
            <w:tcW w:w="490" w:type="pct"/>
            <w:shd w:val="clear" w:color="000000" w:fill="A6A6A6"/>
            <w:tcMar>
              <w:top w:w="13" w:type="dxa"/>
              <w:left w:w="13" w:type="dxa"/>
              <w:bottom w:w="0" w:type="dxa"/>
              <w:right w:w="13" w:type="dxa"/>
            </w:tcMar>
            <w:vAlign w:val="bottom"/>
            <w:hideMark/>
          </w:tcPr>
          <w:p w:rsidR="007D13F3" w:rsidRPr="00EC76F3" w:rsidRDefault="007D13F3" w:rsidP="00465CAC">
            <w:pPr>
              <w:jc w:val="center"/>
              <w:rPr>
                <w:rFonts w:ascii="Times New Roman" w:hAnsi="Times New Roman" w:cs="Times New Roman"/>
                <w:b/>
                <w:bCs/>
                <w:color w:val="000000"/>
                <w:sz w:val="14"/>
                <w:szCs w:val="14"/>
              </w:rPr>
            </w:pPr>
            <w:r w:rsidRPr="00EC76F3">
              <w:rPr>
                <w:rFonts w:ascii="Times New Roman" w:hAnsi="Times New Roman" w:cs="Times New Roman"/>
                <w:b/>
                <w:bCs/>
                <w:color w:val="000000"/>
                <w:sz w:val="14"/>
                <w:szCs w:val="14"/>
              </w:rPr>
              <w:t>2015 S</w:t>
            </w:r>
          </w:p>
        </w:tc>
        <w:tc>
          <w:tcPr>
            <w:tcW w:w="490" w:type="pct"/>
            <w:shd w:val="clear" w:color="000000" w:fill="A6A6A6"/>
            <w:noWrap/>
            <w:tcMar>
              <w:top w:w="13" w:type="dxa"/>
              <w:left w:w="13" w:type="dxa"/>
              <w:bottom w:w="0" w:type="dxa"/>
              <w:right w:w="13" w:type="dxa"/>
            </w:tcMar>
            <w:vAlign w:val="bottom"/>
            <w:hideMark/>
          </w:tcPr>
          <w:p w:rsidR="007D13F3" w:rsidRPr="00EC76F3" w:rsidRDefault="007D13F3" w:rsidP="00465CAC">
            <w:pPr>
              <w:jc w:val="center"/>
              <w:rPr>
                <w:rFonts w:ascii="Times New Roman" w:hAnsi="Times New Roman" w:cs="Times New Roman"/>
                <w:b/>
                <w:bCs/>
                <w:color w:val="000000"/>
                <w:sz w:val="14"/>
                <w:szCs w:val="14"/>
              </w:rPr>
            </w:pPr>
            <w:r w:rsidRPr="00EC76F3">
              <w:rPr>
                <w:rFonts w:ascii="Times New Roman" w:hAnsi="Times New Roman" w:cs="Times New Roman"/>
                <w:b/>
                <w:bCs/>
                <w:color w:val="000000"/>
                <w:sz w:val="14"/>
                <w:szCs w:val="14"/>
              </w:rPr>
              <w:t>2016 S</w:t>
            </w:r>
          </w:p>
        </w:tc>
        <w:tc>
          <w:tcPr>
            <w:tcW w:w="491" w:type="pct"/>
            <w:shd w:val="clear" w:color="000000" w:fill="A6A6A6"/>
            <w:noWrap/>
            <w:tcMar>
              <w:top w:w="13" w:type="dxa"/>
              <w:left w:w="13" w:type="dxa"/>
              <w:bottom w:w="0" w:type="dxa"/>
              <w:right w:w="13" w:type="dxa"/>
            </w:tcMar>
            <w:vAlign w:val="bottom"/>
            <w:hideMark/>
          </w:tcPr>
          <w:p w:rsidR="007D13F3" w:rsidRPr="00EC76F3" w:rsidRDefault="007D13F3" w:rsidP="00465CAC">
            <w:pPr>
              <w:jc w:val="center"/>
              <w:rPr>
                <w:rFonts w:ascii="Times New Roman" w:hAnsi="Times New Roman" w:cs="Times New Roman"/>
                <w:b/>
                <w:bCs/>
                <w:color w:val="000000"/>
                <w:sz w:val="14"/>
                <w:szCs w:val="14"/>
              </w:rPr>
            </w:pPr>
            <w:r w:rsidRPr="00EC76F3">
              <w:rPr>
                <w:rFonts w:ascii="Times New Roman" w:hAnsi="Times New Roman" w:cs="Times New Roman"/>
                <w:b/>
                <w:bCs/>
                <w:color w:val="000000"/>
                <w:sz w:val="14"/>
                <w:szCs w:val="14"/>
              </w:rPr>
              <w:t>2017 R</w:t>
            </w:r>
          </w:p>
        </w:tc>
        <w:tc>
          <w:tcPr>
            <w:tcW w:w="491" w:type="pct"/>
            <w:shd w:val="clear" w:color="000000" w:fill="A6A6A6"/>
            <w:tcMar>
              <w:top w:w="13" w:type="dxa"/>
              <w:left w:w="13" w:type="dxa"/>
              <w:bottom w:w="0" w:type="dxa"/>
              <w:right w:w="13" w:type="dxa"/>
            </w:tcMar>
            <w:vAlign w:val="bottom"/>
            <w:hideMark/>
          </w:tcPr>
          <w:p w:rsidR="007D13F3" w:rsidRPr="00EC76F3" w:rsidRDefault="007D13F3" w:rsidP="00465CAC">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2017 OS</w:t>
            </w:r>
          </w:p>
        </w:tc>
        <w:tc>
          <w:tcPr>
            <w:tcW w:w="491" w:type="pct"/>
            <w:shd w:val="clear" w:color="000000" w:fill="A6A6A6"/>
            <w:noWrap/>
            <w:tcMar>
              <w:top w:w="13" w:type="dxa"/>
              <w:left w:w="13" w:type="dxa"/>
              <w:bottom w:w="0" w:type="dxa"/>
              <w:right w:w="13" w:type="dxa"/>
            </w:tcMar>
            <w:vAlign w:val="bottom"/>
            <w:hideMark/>
          </w:tcPr>
          <w:p w:rsidR="007D13F3" w:rsidRPr="00EC76F3" w:rsidRDefault="007D13F3" w:rsidP="00465CAC">
            <w:pPr>
              <w:jc w:val="center"/>
              <w:rPr>
                <w:rFonts w:ascii="Times New Roman" w:hAnsi="Times New Roman" w:cs="Times New Roman"/>
                <w:b/>
                <w:bCs/>
                <w:color w:val="000000"/>
                <w:sz w:val="14"/>
                <w:szCs w:val="14"/>
              </w:rPr>
            </w:pPr>
            <w:r w:rsidRPr="00EC76F3">
              <w:rPr>
                <w:rFonts w:ascii="Times New Roman" w:hAnsi="Times New Roman" w:cs="Times New Roman"/>
                <w:b/>
                <w:bCs/>
                <w:color w:val="000000"/>
                <w:sz w:val="14"/>
                <w:szCs w:val="14"/>
              </w:rPr>
              <w:t>2018 N</w:t>
            </w:r>
          </w:p>
        </w:tc>
        <w:tc>
          <w:tcPr>
            <w:tcW w:w="491" w:type="pct"/>
            <w:shd w:val="clear" w:color="000000" w:fill="A6A6A6"/>
            <w:noWrap/>
            <w:tcMar>
              <w:top w:w="13" w:type="dxa"/>
              <w:left w:w="13" w:type="dxa"/>
              <w:bottom w:w="0" w:type="dxa"/>
              <w:right w:w="13" w:type="dxa"/>
            </w:tcMar>
            <w:vAlign w:val="bottom"/>
            <w:hideMark/>
          </w:tcPr>
          <w:p w:rsidR="007D13F3" w:rsidRPr="00EC76F3" w:rsidRDefault="007D13F3" w:rsidP="00465CAC">
            <w:pPr>
              <w:jc w:val="center"/>
              <w:rPr>
                <w:rFonts w:ascii="Times New Roman" w:hAnsi="Times New Roman" w:cs="Times New Roman"/>
                <w:b/>
                <w:bCs/>
                <w:color w:val="000000"/>
                <w:sz w:val="14"/>
                <w:szCs w:val="14"/>
              </w:rPr>
            </w:pPr>
            <w:r w:rsidRPr="00EC76F3">
              <w:rPr>
                <w:rFonts w:ascii="Times New Roman" w:hAnsi="Times New Roman" w:cs="Times New Roman"/>
                <w:b/>
                <w:bCs/>
                <w:color w:val="000000"/>
                <w:sz w:val="14"/>
                <w:szCs w:val="14"/>
              </w:rPr>
              <w:t>2019 N</w:t>
            </w:r>
          </w:p>
        </w:tc>
        <w:tc>
          <w:tcPr>
            <w:tcW w:w="491" w:type="pct"/>
            <w:shd w:val="clear" w:color="000000" w:fill="A6A6A6"/>
            <w:noWrap/>
            <w:tcMar>
              <w:top w:w="13" w:type="dxa"/>
              <w:left w:w="13" w:type="dxa"/>
              <w:bottom w:w="0" w:type="dxa"/>
              <w:right w:w="13" w:type="dxa"/>
            </w:tcMar>
            <w:vAlign w:val="bottom"/>
            <w:hideMark/>
          </w:tcPr>
          <w:p w:rsidR="007D13F3" w:rsidRPr="00EC76F3" w:rsidRDefault="007D13F3" w:rsidP="00465CAC">
            <w:pPr>
              <w:jc w:val="center"/>
              <w:rPr>
                <w:rFonts w:ascii="Times New Roman" w:hAnsi="Times New Roman" w:cs="Times New Roman"/>
                <w:b/>
                <w:bCs/>
                <w:color w:val="000000"/>
                <w:sz w:val="14"/>
                <w:szCs w:val="14"/>
              </w:rPr>
            </w:pPr>
            <w:r w:rsidRPr="00EC76F3">
              <w:rPr>
                <w:rFonts w:ascii="Times New Roman" w:hAnsi="Times New Roman" w:cs="Times New Roman"/>
                <w:b/>
                <w:bCs/>
                <w:color w:val="000000"/>
                <w:sz w:val="14"/>
                <w:szCs w:val="14"/>
              </w:rPr>
              <w:t>2020 N</w:t>
            </w:r>
          </w:p>
        </w:tc>
      </w:tr>
      <w:tr w:rsidR="007D13F3" w:rsidRPr="00EC76F3" w:rsidTr="00465CAC">
        <w:trPr>
          <w:trHeight w:val="255"/>
        </w:trPr>
        <w:tc>
          <w:tcPr>
            <w:tcW w:w="1564" w:type="pct"/>
            <w:shd w:val="clear" w:color="000000" w:fill="BFBFBF"/>
            <w:tcMar>
              <w:top w:w="13" w:type="dxa"/>
              <w:left w:w="13" w:type="dxa"/>
              <w:bottom w:w="0" w:type="dxa"/>
              <w:right w:w="13" w:type="dxa"/>
            </w:tcMar>
            <w:vAlign w:val="center"/>
            <w:hideMark/>
          </w:tcPr>
          <w:p w:rsidR="007D13F3" w:rsidRPr="00EC76F3" w:rsidRDefault="007D13F3" w:rsidP="00465CAC">
            <w:pPr>
              <w:rPr>
                <w:rFonts w:ascii="Times New Roman" w:hAnsi="Times New Roman" w:cs="Times New Roman"/>
                <w:b/>
                <w:bCs/>
                <w:color w:val="000000"/>
                <w:sz w:val="14"/>
                <w:szCs w:val="14"/>
              </w:rPr>
            </w:pPr>
            <w:r w:rsidRPr="00EC76F3">
              <w:rPr>
                <w:rFonts w:ascii="Times New Roman" w:hAnsi="Times New Roman" w:cs="Times New Roman"/>
                <w:b/>
                <w:bCs/>
                <w:color w:val="000000"/>
                <w:sz w:val="14"/>
                <w:szCs w:val="14"/>
              </w:rPr>
              <w:t>Odpadové hospodárstvo</w:t>
            </w:r>
          </w:p>
        </w:tc>
        <w:tc>
          <w:tcPr>
            <w:tcW w:w="490"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68" w:type="dxa"/>
              <w:bottom w:w="0" w:type="dxa"/>
              <w:right w:w="68" w:type="dxa"/>
            </w:tcMar>
            <w:vAlign w:val="bottom"/>
            <w:hideMark/>
          </w:tcPr>
          <w:p w:rsidR="007D13F3" w:rsidRPr="00EC76F3" w:rsidRDefault="007D13F3" w:rsidP="00465CAC">
            <w:pPr>
              <w:jc w:val="right"/>
              <w:rPr>
                <w:rFonts w:ascii="Times New Roman" w:hAnsi="Times New Roman" w:cs="Times New Roman"/>
                <w:b/>
                <w:bCs/>
                <w:color w:val="000000"/>
                <w:sz w:val="14"/>
                <w:szCs w:val="14"/>
                <w:lang w:eastAsia="sk-SK"/>
              </w:rPr>
            </w:pPr>
            <w:r w:rsidRPr="00EC76F3">
              <w:rPr>
                <w:rFonts w:ascii="Times New Roman" w:hAnsi="Times New Roman" w:cs="Times New Roman"/>
                <w:b/>
                <w:bCs/>
                <w:color w:val="000000"/>
                <w:sz w:val="14"/>
                <w:szCs w:val="14"/>
              </w:rPr>
              <w:t>81 450 405</w:t>
            </w:r>
          </w:p>
        </w:tc>
        <w:tc>
          <w:tcPr>
            <w:tcW w:w="490"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b/>
                <w:bCs/>
                <w:color w:val="000000"/>
                <w:sz w:val="14"/>
                <w:szCs w:val="14"/>
                <w:lang w:eastAsia="sk-SK"/>
              </w:rPr>
            </w:pPr>
            <w:r w:rsidRPr="00EC76F3">
              <w:rPr>
                <w:rFonts w:ascii="Times New Roman" w:hAnsi="Times New Roman" w:cs="Times New Roman"/>
                <w:b/>
                <w:bCs/>
                <w:color w:val="000000"/>
                <w:sz w:val="14"/>
                <w:szCs w:val="14"/>
              </w:rPr>
              <w:t>10 580 670</w:t>
            </w:r>
          </w:p>
        </w:tc>
        <w:tc>
          <w:tcPr>
            <w:tcW w:w="491"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b/>
                <w:bCs/>
                <w:color w:val="000000"/>
                <w:sz w:val="14"/>
                <w:szCs w:val="14"/>
              </w:rPr>
            </w:pPr>
            <w:r w:rsidRPr="00EC76F3">
              <w:rPr>
                <w:rFonts w:ascii="Times New Roman" w:hAnsi="Times New Roman" w:cs="Times New Roman"/>
                <w:b/>
                <w:bCs/>
                <w:color w:val="000000"/>
                <w:sz w:val="14"/>
                <w:szCs w:val="14"/>
              </w:rPr>
              <w:t>0</w:t>
            </w:r>
          </w:p>
        </w:tc>
        <w:tc>
          <w:tcPr>
            <w:tcW w:w="491"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b/>
                <w:bCs/>
                <w:color w:val="000000"/>
                <w:sz w:val="14"/>
                <w:szCs w:val="14"/>
              </w:rPr>
            </w:pPr>
            <w:r w:rsidRPr="00EC76F3">
              <w:rPr>
                <w:rFonts w:ascii="Times New Roman" w:hAnsi="Times New Roman" w:cs="Times New Roman"/>
                <w:b/>
                <w:bCs/>
                <w:color w:val="000000"/>
                <w:sz w:val="14"/>
                <w:szCs w:val="14"/>
              </w:rPr>
              <w:t>0</w:t>
            </w:r>
          </w:p>
        </w:tc>
        <w:tc>
          <w:tcPr>
            <w:tcW w:w="491"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b/>
                <w:bCs/>
                <w:color w:val="000000"/>
                <w:sz w:val="14"/>
                <w:szCs w:val="14"/>
              </w:rPr>
            </w:pPr>
            <w:r w:rsidRPr="00EC76F3">
              <w:rPr>
                <w:rFonts w:ascii="Times New Roman" w:hAnsi="Times New Roman" w:cs="Times New Roman"/>
                <w:b/>
                <w:bCs/>
                <w:color w:val="000000"/>
                <w:sz w:val="14"/>
                <w:szCs w:val="14"/>
              </w:rPr>
              <w:t>0</w:t>
            </w:r>
          </w:p>
        </w:tc>
        <w:tc>
          <w:tcPr>
            <w:tcW w:w="491"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b/>
                <w:bCs/>
                <w:color w:val="000000"/>
                <w:sz w:val="14"/>
                <w:szCs w:val="14"/>
              </w:rPr>
            </w:pPr>
            <w:r w:rsidRPr="00EC76F3">
              <w:rPr>
                <w:rFonts w:ascii="Times New Roman" w:hAnsi="Times New Roman" w:cs="Times New Roman"/>
                <w:b/>
                <w:bCs/>
                <w:color w:val="000000"/>
                <w:sz w:val="14"/>
                <w:szCs w:val="14"/>
              </w:rPr>
              <w:t>0</w:t>
            </w:r>
          </w:p>
        </w:tc>
        <w:tc>
          <w:tcPr>
            <w:tcW w:w="491"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b/>
                <w:bCs/>
                <w:color w:val="000000"/>
                <w:sz w:val="14"/>
                <w:szCs w:val="14"/>
              </w:rPr>
            </w:pPr>
            <w:r w:rsidRPr="00EC76F3">
              <w:rPr>
                <w:rFonts w:ascii="Times New Roman" w:hAnsi="Times New Roman" w:cs="Times New Roman"/>
                <w:b/>
                <w:bCs/>
                <w:color w:val="000000"/>
                <w:sz w:val="14"/>
                <w:szCs w:val="14"/>
              </w:rPr>
              <w:t>0</w:t>
            </w:r>
          </w:p>
        </w:tc>
      </w:tr>
      <w:tr w:rsidR="007D13F3" w:rsidRPr="00EC76F3" w:rsidTr="00465CAC">
        <w:trPr>
          <w:trHeight w:val="255"/>
        </w:trPr>
        <w:tc>
          <w:tcPr>
            <w:tcW w:w="1564" w:type="pct"/>
            <w:shd w:val="clear" w:color="000000" w:fill="FFFFFF"/>
            <w:tcMar>
              <w:top w:w="13" w:type="dxa"/>
              <w:left w:w="13" w:type="dxa"/>
              <w:bottom w:w="0" w:type="dxa"/>
              <w:right w:w="13" w:type="dxa"/>
            </w:tcMar>
            <w:vAlign w:val="center"/>
            <w:hideMark/>
          </w:tcPr>
          <w:p w:rsidR="007D13F3" w:rsidRPr="00EC76F3" w:rsidRDefault="007D13F3" w:rsidP="00465CAC">
            <w:pPr>
              <w:rPr>
                <w:rFonts w:ascii="Times New Roman" w:hAnsi="Times New Roman" w:cs="Times New Roman"/>
                <w:color w:val="000000"/>
                <w:sz w:val="14"/>
                <w:szCs w:val="14"/>
              </w:rPr>
            </w:pPr>
            <w:r w:rsidRPr="00EC76F3">
              <w:rPr>
                <w:rFonts w:ascii="Times New Roman" w:hAnsi="Times New Roman" w:cs="Times New Roman"/>
                <w:color w:val="000000"/>
                <w:sz w:val="14"/>
                <w:szCs w:val="14"/>
              </w:rPr>
              <w:t xml:space="preserve">zdroje EÚ </w:t>
            </w:r>
          </w:p>
        </w:tc>
        <w:tc>
          <w:tcPr>
            <w:tcW w:w="490" w:type="pct"/>
            <w:tcBorders>
              <w:top w:val="nil"/>
              <w:left w:val="single" w:sz="4" w:space="0" w:color="auto"/>
              <w:bottom w:val="single" w:sz="4" w:space="0" w:color="auto"/>
              <w:right w:val="single" w:sz="4" w:space="0" w:color="auto"/>
            </w:tcBorders>
            <w:shd w:val="clear" w:color="auto" w:fill="auto"/>
            <w:tcMar>
              <w:top w:w="13" w:type="dxa"/>
              <w:left w:w="68" w:type="dxa"/>
              <w:bottom w:w="0" w:type="dxa"/>
              <w:right w:w="68" w:type="dxa"/>
            </w:tcMar>
            <w:vAlign w:val="bottom"/>
            <w:hideMark/>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20 400 583</w:t>
            </w:r>
          </w:p>
        </w:tc>
        <w:tc>
          <w:tcPr>
            <w:tcW w:w="490" w:type="pct"/>
            <w:tcBorders>
              <w:top w:val="nil"/>
              <w:left w:val="single" w:sz="4" w:space="0" w:color="auto"/>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0</w:t>
            </w:r>
          </w:p>
        </w:tc>
        <w:tc>
          <w:tcPr>
            <w:tcW w:w="491"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0</w:t>
            </w:r>
          </w:p>
        </w:tc>
        <w:tc>
          <w:tcPr>
            <w:tcW w:w="491"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0</w:t>
            </w:r>
          </w:p>
        </w:tc>
        <w:tc>
          <w:tcPr>
            <w:tcW w:w="491"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0</w:t>
            </w:r>
          </w:p>
        </w:tc>
        <w:tc>
          <w:tcPr>
            <w:tcW w:w="491"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0</w:t>
            </w:r>
          </w:p>
        </w:tc>
        <w:tc>
          <w:tcPr>
            <w:tcW w:w="491"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0</w:t>
            </w:r>
          </w:p>
        </w:tc>
      </w:tr>
      <w:tr w:rsidR="007D13F3" w:rsidRPr="00EC76F3" w:rsidTr="00465CAC">
        <w:trPr>
          <w:trHeight w:val="255"/>
        </w:trPr>
        <w:tc>
          <w:tcPr>
            <w:tcW w:w="1564" w:type="pct"/>
            <w:shd w:val="clear" w:color="000000" w:fill="FFFFFF"/>
            <w:tcMar>
              <w:top w:w="13" w:type="dxa"/>
              <w:left w:w="13" w:type="dxa"/>
              <w:bottom w:w="0" w:type="dxa"/>
              <w:right w:w="13" w:type="dxa"/>
            </w:tcMar>
            <w:vAlign w:val="center"/>
            <w:hideMark/>
          </w:tcPr>
          <w:p w:rsidR="007D13F3" w:rsidRPr="00EC76F3" w:rsidRDefault="007D13F3" w:rsidP="00465CAC">
            <w:pPr>
              <w:rPr>
                <w:rFonts w:ascii="Times New Roman" w:hAnsi="Times New Roman" w:cs="Times New Roman"/>
                <w:color w:val="000000"/>
                <w:sz w:val="14"/>
                <w:szCs w:val="14"/>
              </w:rPr>
            </w:pPr>
            <w:r w:rsidRPr="00EC76F3">
              <w:rPr>
                <w:rFonts w:ascii="Times New Roman" w:hAnsi="Times New Roman" w:cs="Times New Roman"/>
                <w:color w:val="000000"/>
                <w:sz w:val="14"/>
                <w:szCs w:val="14"/>
              </w:rPr>
              <w:t>spolufinancovanie zo ŠR</w:t>
            </w:r>
          </w:p>
        </w:tc>
        <w:tc>
          <w:tcPr>
            <w:tcW w:w="490" w:type="pct"/>
            <w:tcBorders>
              <w:top w:val="nil"/>
              <w:left w:val="single" w:sz="4" w:space="0" w:color="auto"/>
              <w:bottom w:val="single" w:sz="4" w:space="0" w:color="auto"/>
              <w:right w:val="single" w:sz="4" w:space="0" w:color="auto"/>
            </w:tcBorders>
            <w:shd w:val="clear" w:color="auto" w:fill="auto"/>
            <w:tcMar>
              <w:top w:w="13" w:type="dxa"/>
              <w:left w:w="68" w:type="dxa"/>
              <w:bottom w:w="0" w:type="dxa"/>
              <w:right w:w="68" w:type="dxa"/>
            </w:tcMar>
            <w:vAlign w:val="bottom"/>
            <w:hideMark/>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3 368 495</w:t>
            </w:r>
          </w:p>
        </w:tc>
        <w:tc>
          <w:tcPr>
            <w:tcW w:w="490" w:type="pct"/>
            <w:tcBorders>
              <w:top w:val="nil"/>
              <w:left w:val="single" w:sz="4" w:space="0" w:color="auto"/>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307 425</w:t>
            </w:r>
          </w:p>
        </w:tc>
        <w:tc>
          <w:tcPr>
            <w:tcW w:w="491"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0</w:t>
            </w:r>
          </w:p>
        </w:tc>
        <w:tc>
          <w:tcPr>
            <w:tcW w:w="491"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0</w:t>
            </w:r>
          </w:p>
        </w:tc>
        <w:tc>
          <w:tcPr>
            <w:tcW w:w="491"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0</w:t>
            </w:r>
          </w:p>
        </w:tc>
        <w:tc>
          <w:tcPr>
            <w:tcW w:w="491"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0</w:t>
            </w:r>
          </w:p>
        </w:tc>
        <w:tc>
          <w:tcPr>
            <w:tcW w:w="491"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0</w:t>
            </w:r>
          </w:p>
        </w:tc>
      </w:tr>
      <w:tr w:rsidR="007D13F3" w:rsidRPr="00EC76F3" w:rsidTr="00465CAC">
        <w:trPr>
          <w:trHeight w:val="255"/>
        </w:trPr>
        <w:tc>
          <w:tcPr>
            <w:tcW w:w="1564" w:type="pct"/>
            <w:shd w:val="clear" w:color="000000" w:fill="FFFFFF"/>
            <w:tcMar>
              <w:top w:w="13" w:type="dxa"/>
              <w:left w:w="13" w:type="dxa"/>
              <w:bottom w:w="0" w:type="dxa"/>
              <w:right w:w="13" w:type="dxa"/>
            </w:tcMar>
            <w:vAlign w:val="center"/>
          </w:tcPr>
          <w:p w:rsidR="007D13F3" w:rsidRPr="00EC76F3" w:rsidRDefault="007D13F3" w:rsidP="00465CAC">
            <w:pPr>
              <w:rPr>
                <w:rFonts w:ascii="Times New Roman" w:hAnsi="Times New Roman" w:cs="Times New Roman"/>
                <w:color w:val="000000"/>
                <w:sz w:val="14"/>
                <w:szCs w:val="14"/>
              </w:rPr>
            </w:pPr>
            <w:r w:rsidRPr="00EC76F3">
              <w:rPr>
                <w:rFonts w:ascii="Times New Roman" w:hAnsi="Times New Roman" w:cs="Times New Roman"/>
                <w:color w:val="000000"/>
                <w:sz w:val="14"/>
                <w:szCs w:val="14"/>
              </w:rPr>
              <w:t>presun z minulých rokov</w:t>
            </w:r>
          </w:p>
        </w:tc>
        <w:tc>
          <w:tcPr>
            <w:tcW w:w="490" w:type="pct"/>
            <w:tcBorders>
              <w:top w:val="nil"/>
              <w:left w:val="single" w:sz="4" w:space="0" w:color="auto"/>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57 681 327</w:t>
            </w:r>
          </w:p>
        </w:tc>
        <w:tc>
          <w:tcPr>
            <w:tcW w:w="490" w:type="pct"/>
            <w:tcBorders>
              <w:top w:val="nil"/>
              <w:left w:val="single" w:sz="4" w:space="0" w:color="auto"/>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10 273 245</w:t>
            </w:r>
          </w:p>
        </w:tc>
        <w:tc>
          <w:tcPr>
            <w:tcW w:w="491"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0</w:t>
            </w:r>
          </w:p>
        </w:tc>
        <w:tc>
          <w:tcPr>
            <w:tcW w:w="491"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0</w:t>
            </w:r>
          </w:p>
        </w:tc>
        <w:tc>
          <w:tcPr>
            <w:tcW w:w="491"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0</w:t>
            </w:r>
          </w:p>
        </w:tc>
        <w:tc>
          <w:tcPr>
            <w:tcW w:w="491"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0</w:t>
            </w:r>
          </w:p>
        </w:tc>
        <w:tc>
          <w:tcPr>
            <w:tcW w:w="491" w:type="pct"/>
            <w:tcBorders>
              <w:top w:val="nil"/>
              <w:left w:val="nil"/>
              <w:bottom w:val="single" w:sz="4" w:space="0" w:color="auto"/>
              <w:right w:val="single" w:sz="4" w:space="0" w:color="auto"/>
            </w:tcBorders>
            <w:shd w:val="clear" w:color="auto" w:fill="auto"/>
            <w:tcMar>
              <w:top w:w="13" w:type="dxa"/>
              <w:left w:w="68" w:type="dxa"/>
              <w:bottom w:w="0" w:type="dxa"/>
              <w:right w:w="68" w:type="dxa"/>
            </w:tcMar>
            <w:vAlign w:val="bottom"/>
          </w:tcPr>
          <w:p w:rsidR="007D13F3" w:rsidRPr="00EC76F3" w:rsidRDefault="007D13F3" w:rsidP="00465CAC">
            <w:pPr>
              <w:jc w:val="right"/>
              <w:rPr>
                <w:rFonts w:ascii="Times New Roman" w:hAnsi="Times New Roman" w:cs="Times New Roman"/>
                <w:color w:val="000000"/>
                <w:sz w:val="14"/>
                <w:szCs w:val="14"/>
              </w:rPr>
            </w:pPr>
            <w:r w:rsidRPr="00EC76F3">
              <w:rPr>
                <w:rFonts w:ascii="Times New Roman" w:hAnsi="Times New Roman" w:cs="Times New Roman"/>
                <w:color w:val="000000"/>
                <w:sz w:val="14"/>
                <w:szCs w:val="14"/>
              </w:rPr>
              <w:t>0</w:t>
            </w:r>
          </w:p>
        </w:tc>
      </w:tr>
    </w:tbl>
    <w:p w:rsidR="007D13F3" w:rsidRPr="005F1146" w:rsidRDefault="007D13F3" w:rsidP="007D13F3">
      <w:pPr>
        <w:jc w:val="both"/>
        <w:rPr>
          <w:rFonts w:ascii="Times New Roman" w:hAnsi="Times New Roman" w:cs="Times New Roman"/>
          <w:b/>
        </w:rPr>
      </w:pPr>
    </w:p>
    <w:p w:rsidR="007D13F3" w:rsidRPr="005F1146" w:rsidRDefault="007D13F3" w:rsidP="007D13F3">
      <w:pPr>
        <w:ind w:firstLine="708"/>
        <w:jc w:val="both"/>
        <w:rPr>
          <w:rFonts w:ascii="Times New Roman" w:hAnsi="Times New Roman" w:cs="Times New Roman"/>
        </w:rPr>
      </w:pPr>
      <w:r w:rsidRPr="005F1146">
        <w:rPr>
          <w:rFonts w:ascii="Times New Roman" w:hAnsi="Times New Roman" w:cs="Times New Roman"/>
        </w:rPr>
        <w:t>Na odpadové hospodárstvo a environmentálne rizikové faktory sa v roku 201</w:t>
      </w:r>
      <w:r>
        <w:rPr>
          <w:rFonts w:ascii="Times New Roman" w:hAnsi="Times New Roman" w:cs="Times New Roman"/>
        </w:rPr>
        <w:t>8 nerozpočtujú žiadne prostriedky</w:t>
      </w:r>
      <w:r w:rsidRPr="00F95B41">
        <w:rPr>
          <w:rFonts w:ascii="Times New Roman" w:hAnsi="Times New Roman" w:cs="Times New Roman"/>
        </w:rPr>
        <w:t xml:space="preserve"> </w:t>
      </w:r>
      <w:r>
        <w:rPr>
          <w:rFonts w:ascii="Times New Roman" w:hAnsi="Times New Roman" w:cs="Times New Roman"/>
        </w:rPr>
        <w:t>EÚ a</w:t>
      </w:r>
      <w:r w:rsidRPr="005F1146">
        <w:rPr>
          <w:rFonts w:ascii="Times New Roman" w:hAnsi="Times New Roman" w:cs="Times New Roman"/>
        </w:rPr>
        <w:t xml:space="preserve"> spolufina</w:t>
      </w:r>
      <w:r>
        <w:rPr>
          <w:rFonts w:ascii="Times New Roman" w:hAnsi="Times New Roman" w:cs="Times New Roman"/>
        </w:rPr>
        <w:t>ncovania v novom programovom období. V predchádzajúcich rokoch prostriedky slúžili</w:t>
      </w:r>
      <w:r w:rsidRPr="005F1146">
        <w:rPr>
          <w:rFonts w:ascii="Times New Roman" w:hAnsi="Times New Roman" w:cs="Times New Roman"/>
        </w:rPr>
        <w:t xml:space="preserve"> na dobudovanie infraštruktúry odpadového hospodárstva (</w:t>
      </w:r>
      <w:r w:rsidRPr="005F1146">
        <w:rPr>
          <w:rFonts w:ascii="Times New Roman" w:hAnsi="Times New Roman" w:cs="Times New Roman"/>
          <w:bCs/>
        </w:rPr>
        <w:t>recyklácia odpadov</w:t>
      </w:r>
      <w:r w:rsidRPr="005F1146">
        <w:rPr>
          <w:rFonts w:ascii="Times New Roman" w:hAnsi="Times New Roman" w:cs="Times New Roman"/>
        </w:rPr>
        <w:t xml:space="preserve">, uzatváranie a rekultivácia </w:t>
      </w:r>
      <w:r w:rsidRPr="005F1146">
        <w:rPr>
          <w:rFonts w:ascii="Times New Roman" w:hAnsi="Times New Roman" w:cs="Times New Roman"/>
          <w:bCs/>
        </w:rPr>
        <w:t>skládok odpadov</w:t>
      </w:r>
      <w:r w:rsidRPr="005F1146">
        <w:rPr>
          <w:rFonts w:ascii="Times New Roman" w:hAnsi="Times New Roman" w:cs="Times New Roman"/>
        </w:rPr>
        <w:t xml:space="preserve">) a elimináciu negatívnych vplyvov </w:t>
      </w:r>
      <w:r w:rsidRPr="005F1146">
        <w:rPr>
          <w:rFonts w:ascii="Times New Roman" w:hAnsi="Times New Roman" w:cs="Times New Roman"/>
          <w:bCs/>
        </w:rPr>
        <w:t>environmentálnych záťaží</w:t>
      </w:r>
      <w:r w:rsidRPr="005F1146">
        <w:rPr>
          <w:rFonts w:ascii="Times New Roman" w:hAnsi="Times New Roman" w:cs="Times New Roman"/>
        </w:rPr>
        <w:t>.</w:t>
      </w:r>
    </w:p>
    <w:p w:rsidR="007D13F3" w:rsidRPr="005F1146" w:rsidRDefault="007D13F3" w:rsidP="007D13F3">
      <w:pPr>
        <w:jc w:val="both"/>
        <w:rPr>
          <w:rFonts w:ascii="Times New Roman" w:hAnsi="Times New Roman" w:cs="Times New Roman"/>
        </w:rPr>
      </w:pPr>
    </w:p>
    <w:p w:rsidR="007D13F3" w:rsidRPr="005F1146" w:rsidRDefault="007D13F3" w:rsidP="007D13F3">
      <w:pPr>
        <w:jc w:val="both"/>
        <w:rPr>
          <w:rFonts w:ascii="Times New Roman" w:hAnsi="Times New Roman" w:cs="Times New Roman"/>
          <w:b/>
        </w:rPr>
      </w:pPr>
      <w:r w:rsidRPr="005F1146">
        <w:rPr>
          <w:rFonts w:ascii="Times New Roman" w:hAnsi="Times New Roman" w:cs="Times New Roman"/>
          <w:b/>
        </w:rPr>
        <w:t>Ochrana prírody a krajiny</w:t>
      </w:r>
    </w:p>
    <w:p w:rsidR="007D13F3" w:rsidRPr="005F1146" w:rsidRDefault="007D13F3" w:rsidP="007D13F3">
      <w:pPr>
        <w:jc w:val="both"/>
        <w:rPr>
          <w:rFonts w:ascii="Times New Roman" w:hAnsi="Times New Roman" w:cs="Times New Roman"/>
        </w:rPr>
      </w:pPr>
    </w:p>
    <w:tbl>
      <w:tblPr>
        <w:tblW w:w="4924" w:type="pct"/>
        <w:tblLayout w:type="fixed"/>
        <w:tblCellMar>
          <w:left w:w="70" w:type="dxa"/>
          <w:right w:w="70" w:type="dxa"/>
        </w:tblCellMar>
        <w:tblLook w:val="04A0" w:firstRow="1" w:lastRow="0" w:firstColumn="1" w:lastColumn="0" w:noHBand="0" w:noVBand="1"/>
      </w:tblPr>
      <w:tblGrid>
        <w:gridCol w:w="2580"/>
        <w:gridCol w:w="906"/>
        <w:gridCol w:w="907"/>
        <w:gridCol w:w="907"/>
        <w:gridCol w:w="907"/>
        <w:gridCol w:w="907"/>
        <w:gridCol w:w="907"/>
        <w:gridCol w:w="903"/>
      </w:tblGrid>
      <w:tr w:rsidR="007D13F3" w:rsidRPr="000B3909" w:rsidTr="00465CAC">
        <w:trPr>
          <w:trHeight w:val="255"/>
        </w:trPr>
        <w:tc>
          <w:tcPr>
            <w:tcW w:w="1446"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D13F3" w:rsidRPr="000B3909" w:rsidRDefault="007D13F3" w:rsidP="00465CAC">
            <w:pP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v eurách </w:t>
            </w:r>
          </w:p>
        </w:tc>
        <w:tc>
          <w:tcPr>
            <w:tcW w:w="508" w:type="pct"/>
            <w:tcBorders>
              <w:top w:val="single" w:sz="4" w:space="0" w:color="auto"/>
              <w:bottom w:val="single" w:sz="4" w:space="0" w:color="auto"/>
              <w:right w:val="single" w:sz="4" w:space="0" w:color="auto"/>
            </w:tcBorders>
            <w:shd w:val="clear" w:color="000000" w:fill="A6A6A6"/>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2015 S</w:t>
            </w:r>
          </w:p>
        </w:tc>
        <w:tc>
          <w:tcPr>
            <w:tcW w:w="50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2016 S</w:t>
            </w:r>
          </w:p>
        </w:tc>
        <w:tc>
          <w:tcPr>
            <w:tcW w:w="50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2017 R</w:t>
            </w:r>
          </w:p>
        </w:tc>
        <w:tc>
          <w:tcPr>
            <w:tcW w:w="508" w:type="pct"/>
            <w:tcBorders>
              <w:top w:val="single" w:sz="4" w:space="0" w:color="auto"/>
              <w:left w:val="single" w:sz="4" w:space="0" w:color="auto"/>
              <w:bottom w:val="single" w:sz="4" w:space="0" w:color="auto"/>
              <w:right w:val="single" w:sz="4" w:space="0" w:color="auto"/>
            </w:tcBorders>
            <w:shd w:val="clear" w:color="000000" w:fill="A6A6A6"/>
            <w:vAlign w:val="bottom"/>
            <w:hideMark/>
          </w:tcPr>
          <w:p w:rsidR="007D13F3" w:rsidRPr="000B3909" w:rsidRDefault="007D13F3" w:rsidP="00465CAC">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2017 OS</w:t>
            </w:r>
          </w:p>
        </w:tc>
        <w:tc>
          <w:tcPr>
            <w:tcW w:w="50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2018 N</w:t>
            </w:r>
          </w:p>
        </w:tc>
        <w:tc>
          <w:tcPr>
            <w:tcW w:w="50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2019 N</w:t>
            </w:r>
          </w:p>
        </w:tc>
        <w:tc>
          <w:tcPr>
            <w:tcW w:w="506"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7D13F3" w:rsidRPr="000B3909" w:rsidRDefault="007D13F3" w:rsidP="00465CAC">
            <w:pPr>
              <w:jc w:val="cente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2020 N</w:t>
            </w:r>
          </w:p>
        </w:tc>
      </w:tr>
      <w:tr w:rsidR="007D13F3" w:rsidRPr="000B3909" w:rsidTr="00465CAC">
        <w:trPr>
          <w:trHeight w:val="255"/>
        </w:trPr>
        <w:tc>
          <w:tcPr>
            <w:tcW w:w="1446" w:type="pct"/>
            <w:tcBorders>
              <w:top w:val="nil"/>
              <w:left w:val="single" w:sz="4" w:space="0" w:color="auto"/>
              <w:bottom w:val="single" w:sz="4" w:space="0" w:color="auto"/>
              <w:right w:val="single" w:sz="4" w:space="0" w:color="auto"/>
            </w:tcBorders>
            <w:shd w:val="clear" w:color="000000" w:fill="BFBFBF"/>
            <w:vAlign w:val="center"/>
            <w:hideMark/>
          </w:tcPr>
          <w:p w:rsidR="007D13F3" w:rsidRPr="000B3909" w:rsidRDefault="007D13F3" w:rsidP="00465CAC">
            <w:pPr>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Ochrana prírody a krajiny</w:t>
            </w:r>
          </w:p>
        </w:tc>
        <w:tc>
          <w:tcPr>
            <w:tcW w:w="508"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D13F3" w:rsidRPr="000B3909" w:rsidRDefault="007D13F3" w:rsidP="00465CAC">
            <w:pPr>
              <w:jc w:val="right"/>
              <w:rPr>
                <w:rFonts w:ascii="Times New Roman" w:hAnsi="Times New Roman" w:cs="Times New Roman"/>
                <w:b/>
                <w:bCs/>
                <w:color w:val="000000"/>
                <w:sz w:val="14"/>
                <w:szCs w:val="14"/>
                <w:lang w:eastAsia="sk-SK"/>
              </w:rPr>
            </w:pPr>
            <w:r w:rsidRPr="000B3909">
              <w:rPr>
                <w:rFonts w:ascii="Times New Roman" w:hAnsi="Times New Roman" w:cs="Times New Roman"/>
                <w:b/>
                <w:bCs/>
                <w:color w:val="000000"/>
                <w:sz w:val="14"/>
                <w:szCs w:val="14"/>
              </w:rPr>
              <w:t>37 905 071</w:t>
            </w:r>
          </w:p>
        </w:tc>
        <w:tc>
          <w:tcPr>
            <w:tcW w:w="508"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7D13F3" w:rsidRPr="000B3909" w:rsidRDefault="007D13F3" w:rsidP="00465CAC">
            <w:pPr>
              <w:jc w:val="right"/>
              <w:rPr>
                <w:rFonts w:ascii="Times New Roman" w:hAnsi="Times New Roman" w:cs="Times New Roman"/>
                <w:b/>
                <w:bCs/>
                <w:color w:val="000000"/>
                <w:sz w:val="14"/>
                <w:szCs w:val="14"/>
                <w:lang w:eastAsia="sk-SK"/>
              </w:rPr>
            </w:pPr>
            <w:r w:rsidRPr="000B3909">
              <w:rPr>
                <w:rFonts w:ascii="Times New Roman" w:hAnsi="Times New Roman" w:cs="Times New Roman"/>
                <w:b/>
                <w:bCs/>
                <w:color w:val="000000"/>
                <w:sz w:val="14"/>
                <w:szCs w:val="14"/>
              </w:rPr>
              <w:t>15 940 986</w:t>
            </w:r>
          </w:p>
        </w:tc>
        <w:tc>
          <w:tcPr>
            <w:tcW w:w="508" w:type="pct"/>
            <w:tcBorders>
              <w:top w:val="single" w:sz="4" w:space="0" w:color="auto"/>
              <w:left w:val="nil"/>
              <w:bottom w:val="single" w:sz="4" w:space="0" w:color="auto"/>
              <w:right w:val="single" w:sz="4" w:space="0" w:color="auto"/>
            </w:tcBorders>
            <w:shd w:val="clear" w:color="000000" w:fill="C0C0C0"/>
            <w:noWrap/>
            <w:vAlign w:val="bottom"/>
          </w:tcPr>
          <w:p w:rsidR="007D13F3" w:rsidRPr="000B3909" w:rsidRDefault="007D13F3" w:rsidP="00465CAC">
            <w:pPr>
              <w:jc w:val="right"/>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19 246 759</w:t>
            </w:r>
          </w:p>
        </w:tc>
        <w:tc>
          <w:tcPr>
            <w:tcW w:w="508" w:type="pct"/>
            <w:tcBorders>
              <w:top w:val="single" w:sz="4" w:space="0" w:color="auto"/>
              <w:left w:val="nil"/>
              <w:bottom w:val="single" w:sz="4" w:space="0" w:color="auto"/>
              <w:right w:val="single" w:sz="4" w:space="0" w:color="auto"/>
            </w:tcBorders>
            <w:shd w:val="clear" w:color="000000" w:fill="C0C0C0"/>
            <w:noWrap/>
            <w:vAlign w:val="bottom"/>
          </w:tcPr>
          <w:p w:rsidR="007D13F3" w:rsidRPr="000B3909" w:rsidRDefault="007D13F3" w:rsidP="00465CAC">
            <w:pPr>
              <w:jc w:val="right"/>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16 920 036</w:t>
            </w:r>
          </w:p>
        </w:tc>
        <w:tc>
          <w:tcPr>
            <w:tcW w:w="508"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7D13F3" w:rsidRPr="000B3909" w:rsidRDefault="007D13F3" w:rsidP="00465CAC">
            <w:pPr>
              <w:jc w:val="right"/>
              <w:rPr>
                <w:rFonts w:ascii="Times New Roman" w:hAnsi="Times New Roman" w:cs="Times New Roman"/>
                <w:b/>
                <w:bCs/>
                <w:color w:val="000000"/>
                <w:sz w:val="14"/>
                <w:szCs w:val="14"/>
                <w:lang w:eastAsia="sk-SK"/>
              </w:rPr>
            </w:pPr>
            <w:r w:rsidRPr="000B3909">
              <w:rPr>
                <w:rFonts w:ascii="Times New Roman" w:hAnsi="Times New Roman" w:cs="Times New Roman"/>
                <w:b/>
                <w:bCs/>
                <w:color w:val="000000"/>
                <w:sz w:val="14"/>
                <w:szCs w:val="14"/>
              </w:rPr>
              <w:t>18 321 770</w:t>
            </w:r>
          </w:p>
        </w:tc>
        <w:tc>
          <w:tcPr>
            <w:tcW w:w="508" w:type="pct"/>
            <w:tcBorders>
              <w:top w:val="single" w:sz="4" w:space="0" w:color="auto"/>
              <w:left w:val="nil"/>
              <w:bottom w:val="single" w:sz="4" w:space="0" w:color="auto"/>
              <w:right w:val="single" w:sz="4" w:space="0" w:color="auto"/>
            </w:tcBorders>
            <w:shd w:val="clear" w:color="000000" w:fill="C0C0C0"/>
            <w:noWrap/>
            <w:vAlign w:val="bottom"/>
          </w:tcPr>
          <w:p w:rsidR="007D13F3" w:rsidRPr="000B3909" w:rsidRDefault="007D13F3" w:rsidP="00465CAC">
            <w:pPr>
              <w:jc w:val="right"/>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14 186 770</w:t>
            </w:r>
          </w:p>
        </w:tc>
        <w:tc>
          <w:tcPr>
            <w:tcW w:w="506" w:type="pct"/>
            <w:tcBorders>
              <w:top w:val="single" w:sz="4" w:space="0" w:color="auto"/>
              <w:left w:val="nil"/>
              <w:bottom w:val="single" w:sz="4" w:space="0" w:color="auto"/>
              <w:right w:val="single" w:sz="4" w:space="0" w:color="auto"/>
            </w:tcBorders>
            <w:shd w:val="clear" w:color="000000" w:fill="C0C0C0"/>
            <w:noWrap/>
            <w:vAlign w:val="bottom"/>
          </w:tcPr>
          <w:p w:rsidR="007D13F3" w:rsidRPr="000B3909" w:rsidRDefault="007D13F3" w:rsidP="00465CAC">
            <w:pPr>
              <w:jc w:val="right"/>
              <w:rPr>
                <w:rFonts w:ascii="Times New Roman" w:hAnsi="Times New Roman" w:cs="Times New Roman"/>
                <w:b/>
                <w:bCs/>
                <w:color w:val="000000"/>
                <w:sz w:val="14"/>
                <w:szCs w:val="14"/>
              </w:rPr>
            </w:pPr>
            <w:r w:rsidRPr="000B3909">
              <w:rPr>
                <w:rFonts w:ascii="Times New Roman" w:hAnsi="Times New Roman" w:cs="Times New Roman"/>
                <w:b/>
                <w:bCs/>
                <w:color w:val="000000"/>
                <w:sz w:val="14"/>
                <w:szCs w:val="14"/>
              </w:rPr>
              <w:t>14 186 770</w:t>
            </w:r>
          </w:p>
        </w:tc>
      </w:tr>
      <w:tr w:rsidR="007D13F3" w:rsidRPr="000B3909" w:rsidTr="00465CAC">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7D13F3" w:rsidRPr="000B3909" w:rsidRDefault="007D13F3" w:rsidP="00465CAC">
            <w:pPr>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rozpočtové zdroje kapitoly, v tom:</w:t>
            </w: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14 339 487</w:t>
            </w:r>
          </w:p>
        </w:tc>
        <w:tc>
          <w:tcPr>
            <w:tcW w:w="508" w:type="pct"/>
            <w:tcBorders>
              <w:top w:val="nil"/>
              <w:left w:val="single" w:sz="4" w:space="0" w:color="auto"/>
              <w:bottom w:val="single" w:sz="4" w:space="0" w:color="auto"/>
              <w:right w:val="single" w:sz="4" w:space="0" w:color="auto"/>
            </w:tcBorders>
            <w:shd w:val="clear" w:color="auto" w:fill="auto"/>
            <w:noWrap/>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10 519 359</w:t>
            </w:r>
          </w:p>
        </w:tc>
        <w:tc>
          <w:tcPr>
            <w:tcW w:w="508" w:type="pct"/>
            <w:tcBorders>
              <w:top w:val="nil"/>
              <w:left w:val="nil"/>
              <w:bottom w:val="single" w:sz="4" w:space="0" w:color="auto"/>
              <w:right w:val="single" w:sz="4" w:space="0" w:color="auto"/>
            </w:tcBorders>
            <w:shd w:val="clear" w:color="auto" w:fill="auto"/>
            <w:noWrap/>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15 746 759</w:t>
            </w:r>
          </w:p>
        </w:tc>
        <w:tc>
          <w:tcPr>
            <w:tcW w:w="508" w:type="pct"/>
            <w:tcBorders>
              <w:top w:val="nil"/>
              <w:left w:val="nil"/>
              <w:bottom w:val="single" w:sz="4" w:space="0" w:color="auto"/>
              <w:right w:val="single" w:sz="4" w:space="0" w:color="auto"/>
            </w:tcBorders>
            <w:shd w:val="clear" w:color="auto" w:fill="auto"/>
            <w:noWrap/>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16 034 314</w:t>
            </w:r>
          </w:p>
        </w:tc>
        <w:tc>
          <w:tcPr>
            <w:tcW w:w="508" w:type="pct"/>
            <w:tcBorders>
              <w:top w:val="nil"/>
              <w:left w:val="single" w:sz="4" w:space="0" w:color="auto"/>
              <w:bottom w:val="single" w:sz="4" w:space="0" w:color="auto"/>
              <w:right w:val="single" w:sz="4" w:space="0" w:color="auto"/>
            </w:tcBorders>
            <w:shd w:val="clear" w:color="auto" w:fill="auto"/>
            <w:noWrap/>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14 821 770</w:t>
            </w:r>
          </w:p>
        </w:tc>
        <w:tc>
          <w:tcPr>
            <w:tcW w:w="508" w:type="pct"/>
            <w:tcBorders>
              <w:top w:val="nil"/>
              <w:left w:val="nil"/>
              <w:bottom w:val="single" w:sz="4" w:space="0" w:color="auto"/>
              <w:right w:val="single" w:sz="4" w:space="0" w:color="auto"/>
            </w:tcBorders>
            <w:shd w:val="clear" w:color="auto" w:fill="auto"/>
            <w:noWrap/>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10 686 770</w:t>
            </w:r>
          </w:p>
        </w:tc>
        <w:tc>
          <w:tcPr>
            <w:tcW w:w="506" w:type="pct"/>
            <w:tcBorders>
              <w:top w:val="nil"/>
              <w:left w:val="nil"/>
              <w:bottom w:val="single" w:sz="4" w:space="0" w:color="auto"/>
              <w:right w:val="single" w:sz="4" w:space="0" w:color="auto"/>
            </w:tcBorders>
            <w:shd w:val="clear" w:color="auto" w:fill="auto"/>
            <w:noWrap/>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10 686 770</w:t>
            </w:r>
          </w:p>
        </w:tc>
      </w:tr>
      <w:tr w:rsidR="007D13F3" w:rsidRPr="000B3909" w:rsidTr="00465CAC">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3F3" w:rsidRPr="000B3909" w:rsidRDefault="007D13F3" w:rsidP="00465CAC">
            <w:pPr>
              <w:rPr>
                <w:rFonts w:ascii="Times New Roman" w:hAnsi="Times New Roman" w:cs="Times New Roman"/>
                <w:i/>
                <w:color w:val="000000"/>
                <w:sz w:val="14"/>
                <w:szCs w:val="14"/>
              </w:rPr>
            </w:pPr>
            <w:r w:rsidRPr="000B3909">
              <w:rPr>
                <w:rFonts w:ascii="Times New Roman" w:hAnsi="Times New Roman" w:cs="Times New Roman"/>
                <w:i/>
                <w:color w:val="000000"/>
                <w:sz w:val="14"/>
                <w:szCs w:val="14"/>
              </w:rPr>
              <w:t xml:space="preserve">Aparát - </w:t>
            </w:r>
            <w:proofErr w:type="spellStart"/>
            <w:r w:rsidRPr="000B3909">
              <w:rPr>
                <w:rFonts w:ascii="Times New Roman" w:hAnsi="Times New Roman" w:cs="Times New Roman"/>
                <w:i/>
                <w:color w:val="000000"/>
                <w:sz w:val="14"/>
                <w:szCs w:val="14"/>
              </w:rPr>
              <w:t>šp</w:t>
            </w:r>
            <w:proofErr w:type="spellEnd"/>
            <w:r w:rsidRPr="000B3909">
              <w:rPr>
                <w:rFonts w:ascii="Times New Roman" w:hAnsi="Times New Roman" w:cs="Times New Roman"/>
                <w:i/>
                <w:color w:val="000000"/>
                <w:sz w:val="14"/>
                <w:szCs w:val="14"/>
              </w:rPr>
              <w:t>. služby, na náhradu</w:t>
            </w:r>
          </w:p>
        </w:tc>
        <w:tc>
          <w:tcPr>
            <w:tcW w:w="508"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930 355</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678 787</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5 411 000</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4 434 181</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4 435 000</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300 000</w:t>
            </w:r>
          </w:p>
        </w:tc>
        <w:tc>
          <w:tcPr>
            <w:tcW w:w="506"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300 000</w:t>
            </w:r>
          </w:p>
        </w:tc>
      </w:tr>
      <w:tr w:rsidR="007D13F3" w:rsidRPr="000B3909" w:rsidTr="00465CAC">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3F3" w:rsidRPr="000B3909" w:rsidRDefault="007D13F3" w:rsidP="00465CAC">
            <w:pPr>
              <w:rPr>
                <w:rFonts w:ascii="Times New Roman" w:hAnsi="Times New Roman" w:cs="Times New Roman"/>
                <w:i/>
                <w:color w:val="000000"/>
                <w:sz w:val="14"/>
                <w:szCs w:val="14"/>
              </w:rPr>
            </w:pPr>
            <w:r w:rsidRPr="000B3909">
              <w:rPr>
                <w:rFonts w:ascii="Times New Roman" w:hAnsi="Times New Roman" w:cs="Times New Roman"/>
                <w:i/>
                <w:color w:val="000000"/>
                <w:sz w:val="14"/>
                <w:szCs w:val="14"/>
              </w:rPr>
              <w:t>Štátny geologický ústav Dionýza Štúra</w:t>
            </w:r>
          </w:p>
        </w:tc>
        <w:tc>
          <w:tcPr>
            <w:tcW w:w="508"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3 251 283</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4 353 250</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3 246 323</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3 813 057</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3 424 944</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3 424 944</w:t>
            </w:r>
          </w:p>
        </w:tc>
        <w:tc>
          <w:tcPr>
            <w:tcW w:w="506"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3 424 944</w:t>
            </w:r>
          </w:p>
        </w:tc>
      </w:tr>
      <w:tr w:rsidR="007D13F3" w:rsidRPr="000B3909" w:rsidTr="00465CAC">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3F3" w:rsidRPr="000B3909" w:rsidRDefault="007D13F3" w:rsidP="00465CAC">
            <w:pPr>
              <w:rPr>
                <w:rFonts w:ascii="Times New Roman" w:hAnsi="Times New Roman" w:cs="Times New Roman"/>
                <w:i/>
                <w:color w:val="000000"/>
                <w:sz w:val="14"/>
                <w:szCs w:val="14"/>
              </w:rPr>
            </w:pPr>
            <w:r w:rsidRPr="000B3909">
              <w:rPr>
                <w:rFonts w:ascii="Times New Roman" w:hAnsi="Times New Roman" w:cs="Times New Roman"/>
                <w:i/>
                <w:color w:val="000000"/>
                <w:sz w:val="14"/>
                <w:szCs w:val="14"/>
              </w:rPr>
              <w:t>Slovenské banské múzeum</w:t>
            </w:r>
          </w:p>
        </w:tc>
        <w:tc>
          <w:tcPr>
            <w:tcW w:w="508"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537 460</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937 542</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718 784</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802 218</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705 846</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705 846</w:t>
            </w:r>
          </w:p>
        </w:tc>
        <w:tc>
          <w:tcPr>
            <w:tcW w:w="506"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705 846</w:t>
            </w:r>
          </w:p>
        </w:tc>
      </w:tr>
      <w:tr w:rsidR="007D13F3" w:rsidRPr="000B3909" w:rsidTr="00465CAC">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3F3" w:rsidRPr="000B3909" w:rsidRDefault="007D13F3" w:rsidP="00465CAC">
            <w:pPr>
              <w:rPr>
                <w:rFonts w:ascii="Times New Roman" w:hAnsi="Times New Roman" w:cs="Times New Roman"/>
                <w:i/>
                <w:color w:val="000000"/>
                <w:sz w:val="14"/>
                <w:szCs w:val="14"/>
              </w:rPr>
            </w:pPr>
            <w:r w:rsidRPr="000B3909">
              <w:rPr>
                <w:rFonts w:ascii="Times New Roman" w:hAnsi="Times New Roman" w:cs="Times New Roman"/>
                <w:i/>
                <w:color w:val="000000"/>
                <w:sz w:val="14"/>
                <w:szCs w:val="14"/>
              </w:rPr>
              <w:t>ZOO Bojnice</w:t>
            </w:r>
          </w:p>
        </w:tc>
        <w:tc>
          <w:tcPr>
            <w:tcW w:w="508"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949 274</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1 246 167</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1 151 329</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1 273 675</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1 130 605</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1 130 605</w:t>
            </w:r>
          </w:p>
        </w:tc>
        <w:tc>
          <w:tcPr>
            <w:tcW w:w="506"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1 130 605</w:t>
            </w:r>
          </w:p>
        </w:tc>
      </w:tr>
      <w:tr w:rsidR="007D13F3" w:rsidRPr="000B3909" w:rsidTr="00465CAC">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3F3" w:rsidRPr="000B3909" w:rsidRDefault="007D13F3" w:rsidP="00465CAC">
            <w:pPr>
              <w:rPr>
                <w:rFonts w:ascii="Times New Roman" w:hAnsi="Times New Roman" w:cs="Times New Roman"/>
                <w:i/>
                <w:color w:val="000000"/>
                <w:sz w:val="14"/>
                <w:szCs w:val="14"/>
              </w:rPr>
            </w:pPr>
            <w:r w:rsidRPr="000B3909">
              <w:rPr>
                <w:rFonts w:ascii="Times New Roman" w:hAnsi="Times New Roman" w:cs="Times New Roman"/>
                <w:i/>
                <w:color w:val="000000"/>
                <w:sz w:val="14"/>
                <w:szCs w:val="14"/>
              </w:rPr>
              <w:t>Štátna ochrana prírody SR</w:t>
            </w:r>
          </w:p>
        </w:tc>
        <w:tc>
          <w:tcPr>
            <w:tcW w:w="508"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7 903 683</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2 556 898</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4 594 959</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4 891 658</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4 512 250</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4 512 250</w:t>
            </w:r>
          </w:p>
        </w:tc>
        <w:tc>
          <w:tcPr>
            <w:tcW w:w="506"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4 512 250</w:t>
            </w:r>
          </w:p>
        </w:tc>
      </w:tr>
      <w:tr w:rsidR="007D13F3" w:rsidRPr="000B3909" w:rsidTr="00465CAC">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3F3" w:rsidRPr="000B3909" w:rsidRDefault="007D13F3" w:rsidP="00465CAC">
            <w:pPr>
              <w:rPr>
                <w:rFonts w:ascii="Times New Roman" w:hAnsi="Times New Roman" w:cs="Times New Roman"/>
                <w:i/>
                <w:color w:val="000000"/>
                <w:sz w:val="14"/>
                <w:szCs w:val="14"/>
              </w:rPr>
            </w:pPr>
            <w:r w:rsidRPr="000B3909">
              <w:rPr>
                <w:rFonts w:ascii="Times New Roman" w:hAnsi="Times New Roman" w:cs="Times New Roman"/>
                <w:i/>
                <w:color w:val="000000"/>
                <w:sz w:val="14"/>
                <w:szCs w:val="14"/>
              </w:rPr>
              <w:t>Slovenské múzeum ochrany prírody a jaskyniarstva</w:t>
            </w:r>
          </w:p>
        </w:tc>
        <w:tc>
          <w:tcPr>
            <w:tcW w:w="508" w:type="pct"/>
            <w:tcBorders>
              <w:top w:val="nil"/>
              <w:left w:val="single" w:sz="4" w:space="0" w:color="auto"/>
              <w:bottom w:val="single" w:sz="4" w:space="0" w:color="auto"/>
              <w:right w:val="single" w:sz="4" w:space="0" w:color="auto"/>
            </w:tcBorders>
            <w:shd w:val="clear" w:color="000000" w:fill="FFFFFF"/>
            <w:noWrap/>
            <w:vAlign w:val="bottom"/>
            <w:hideMark/>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767 432</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746 715</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624 364</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819 525</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613 125</w:t>
            </w:r>
          </w:p>
        </w:tc>
        <w:tc>
          <w:tcPr>
            <w:tcW w:w="508"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613 125</w:t>
            </w:r>
          </w:p>
        </w:tc>
        <w:tc>
          <w:tcPr>
            <w:tcW w:w="506" w:type="pct"/>
            <w:tcBorders>
              <w:top w:val="nil"/>
              <w:left w:val="nil"/>
              <w:bottom w:val="single" w:sz="4" w:space="0" w:color="auto"/>
              <w:right w:val="single" w:sz="4" w:space="0" w:color="auto"/>
            </w:tcBorders>
            <w:shd w:val="clear" w:color="000000" w:fill="FFFFFF"/>
            <w:noWrap/>
            <w:vAlign w:val="bottom"/>
          </w:tcPr>
          <w:p w:rsidR="007D13F3" w:rsidRPr="000B3909" w:rsidRDefault="007D13F3" w:rsidP="00465CAC">
            <w:pPr>
              <w:jc w:val="right"/>
              <w:rPr>
                <w:rFonts w:ascii="Times New Roman" w:hAnsi="Times New Roman" w:cs="Times New Roman"/>
                <w:i/>
                <w:iCs/>
                <w:color w:val="000000"/>
                <w:sz w:val="14"/>
                <w:szCs w:val="14"/>
              </w:rPr>
            </w:pPr>
            <w:r w:rsidRPr="000B3909">
              <w:rPr>
                <w:rFonts w:ascii="Times New Roman" w:hAnsi="Times New Roman" w:cs="Times New Roman"/>
                <w:i/>
                <w:iCs/>
                <w:color w:val="000000"/>
                <w:sz w:val="14"/>
                <w:szCs w:val="14"/>
              </w:rPr>
              <w:t>613 125</w:t>
            </w:r>
          </w:p>
        </w:tc>
      </w:tr>
      <w:tr w:rsidR="007D13F3" w:rsidRPr="000B3909" w:rsidTr="00465CAC">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3F3" w:rsidRPr="000B3909" w:rsidRDefault="007D13F3" w:rsidP="00465CAC">
            <w:pPr>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 xml:space="preserve">zdroje EÚ </w:t>
            </w: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7 549 979</w:t>
            </w:r>
          </w:p>
        </w:tc>
        <w:tc>
          <w:tcPr>
            <w:tcW w:w="508" w:type="pct"/>
            <w:tcBorders>
              <w:top w:val="nil"/>
              <w:left w:val="single" w:sz="4" w:space="0" w:color="auto"/>
              <w:bottom w:val="single" w:sz="4" w:space="0" w:color="auto"/>
              <w:right w:val="single" w:sz="4" w:space="0" w:color="auto"/>
            </w:tcBorders>
            <w:shd w:val="clear" w:color="auto" w:fill="auto"/>
            <w:noWrap/>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0</w:t>
            </w:r>
          </w:p>
        </w:tc>
        <w:tc>
          <w:tcPr>
            <w:tcW w:w="508" w:type="pct"/>
            <w:tcBorders>
              <w:top w:val="nil"/>
              <w:left w:val="nil"/>
              <w:bottom w:val="single" w:sz="4" w:space="0" w:color="auto"/>
              <w:right w:val="single" w:sz="4" w:space="0" w:color="auto"/>
            </w:tcBorders>
            <w:shd w:val="clear" w:color="auto" w:fill="auto"/>
            <w:noWrap/>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0</w:t>
            </w:r>
          </w:p>
        </w:tc>
        <w:tc>
          <w:tcPr>
            <w:tcW w:w="508" w:type="pct"/>
            <w:tcBorders>
              <w:top w:val="nil"/>
              <w:left w:val="nil"/>
              <w:bottom w:val="single" w:sz="4" w:space="0" w:color="auto"/>
              <w:right w:val="single" w:sz="4" w:space="0" w:color="auto"/>
            </w:tcBorders>
            <w:shd w:val="clear" w:color="auto" w:fill="auto"/>
            <w:noWrap/>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0</w:t>
            </w:r>
          </w:p>
        </w:tc>
        <w:tc>
          <w:tcPr>
            <w:tcW w:w="508" w:type="pct"/>
            <w:tcBorders>
              <w:top w:val="nil"/>
              <w:left w:val="nil"/>
              <w:bottom w:val="single" w:sz="4" w:space="0" w:color="auto"/>
              <w:right w:val="single" w:sz="4" w:space="0" w:color="auto"/>
            </w:tcBorders>
            <w:shd w:val="clear" w:color="auto" w:fill="auto"/>
            <w:noWrap/>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0</w:t>
            </w:r>
          </w:p>
        </w:tc>
        <w:tc>
          <w:tcPr>
            <w:tcW w:w="508" w:type="pct"/>
            <w:tcBorders>
              <w:top w:val="nil"/>
              <w:left w:val="nil"/>
              <w:bottom w:val="single" w:sz="4" w:space="0" w:color="auto"/>
              <w:right w:val="single" w:sz="4" w:space="0" w:color="auto"/>
            </w:tcBorders>
            <w:shd w:val="clear" w:color="auto" w:fill="auto"/>
            <w:noWrap/>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0</w:t>
            </w:r>
          </w:p>
        </w:tc>
        <w:tc>
          <w:tcPr>
            <w:tcW w:w="506" w:type="pct"/>
            <w:tcBorders>
              <w:top w:val="nil"/>
              <w:left w:val="nil"/>
              <w:bottom w:val="single" w:sz="4" w:space="0" w:color="auto"/>
              <w:right w:val="single" w:sz="4" w:space="0" w:color="auto"/>
            </w:tcBorders>
            <w:shd w:val="clear" w:color="auto" w:fill="auto"/>
            <w:noWrap/>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0</w:t>
            </w:r>
          </w:p>
        </w:tc>
      </w:tr>
      <w:tr w:rsidR="007D13F3" w:rsidRPr="000B3909" w:rsidTr="00465CAC">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13F3" w:rsidRPr="000B3909" w:rsidRDefault="007D13F3" w:rsidP="00465CAC">
            <w:pPr>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spolufinancovanie zo ŠR</w:t>
            </w:r>
          </w:p>
        </w:tc>
        <w:tc>
          <w:tcPr>
            <w:tcW w:w="508" w:type="pct"/>
            <w:tcBorders>
              <w:top w:val="nil"/>
              <w:left w:val="single" w:sz="4" w:space="0" w:color="auto"/>
              <w:bottom w:val="single" w:sz="4" w:space="0" w:color="auto"/>
              <w:right w:val="single" w:sz="4" w:space="0" w:color="auto"/>
            </w:tcBorders>
            <w:shd w:val="clear" w:color="auto" w:fill="auto"/>
            <w:vAlign w:val="bottom"/>
            <w:hideMark/>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1 574 936</w:t>
            </w:r>
          </w:p>
        </w:tc>
        <w:tc>
          <w:tcPr>
            <w:tcW w:w="508" w:type="pct"/>
            <w:tcBorders>
              <w:top w:val="nil"/>
              <w:left w:val="single" w:sz="4" w:space="0" w:color="auto"/>
              <w:bottom w:val="single" w:sz="4" w:space="0" w:color="auto"/>
              <w:right w:val="single" w:sz="4" w:space="0" w:color="auto"/>
            </w:tcBorders>
            <w:shd w:val="clear" w:color="auto" w:fill="auto"/>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265 892</w:t>
            </w:r>
          </w:p>
        </w:tc>
        <w:tc>
          <w:tcPr>
            <w:tcW w:w="508" w:type="pct"/>
            <w:tcBorders>
              <w:top w:val="nil"/>
              <w:left w:val="nil"/>
              <w:bottom w:val="single" w:sz="4" w:space="0" w:color="auto"/>
              <w:right w:val="single" w:sz="4" w:space="0" w:color="auto"/>
            </w:tcBorders>
            <w:shd w:val="clear" w:color="auto" w:fill="auto"/>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3 500 000</w:t>
            </w:r>
          </w:p>
        </w:tc>
        <w:tc>
          <w:tcPr>
            <w:tcW w:w="508" w:type="pct"/>
            <w:tcBorders>
              <w:top w:val="nil"/>
              <w:left w:val="nil"/>
              <w:bottom w:val="single" w:sz="4" w:space="0" w:color="auto"/>
              <w:right w:val="single" w:sz="4" w:space="0" w:color="auto"/>
            </w:tcBorders>
            <w:shd w:val="clear" w:color="auto" w:fill="auto"/>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242 827</w:t>
            </w:r>
          </w:p>
        </w:tc>
        <w:tc>
          <w:tcPr>
            <w:tcW w:w="508" w:type="pct"/>
            <w:tcBorders>
              <w:top w:val="nil"/>
              <w:left w:val="nil"/>
              <w:bottom w:val="single" w:sz="4" w:space="0" w:color="auto"/>
              <w:right w:val="single" w:sz="4" w:space="0" w:color="auto"/>
            </w:tcBorders>
            <w:shd w:val="clear" w:color="auto" w:fill="auto"/>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3 500 000</w:t>
            </w:r>
          </w:p>
        </w:tc>
        <w:tc>
          <w:tcPr>
            <w:tcW w:w="508" w:type="pct"/>
            <w:tcBorders>
              <w:top w:val="nil"/>
              <w:left w:val="nil"/>
              <w:bottom w:val="single" w:sz="4" w:space="0" w:color="auto"/>
              <w:right w:val="single" w:sz="4" w:space="0" w:color="auto"/>
            </w:tcBorders>
            <w:shd w:val="clear" w:color="auto" w:fill="auto"/>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3 500 000</w:t>
            </w:r>
          </w:p>
        </w:tc>
        <w:tc>
          <w:tcPr>
            <w:tcW w:w="506" w:type="pct"/>
            <w:tcBorders>
              <w:top w:val="nil"/>
              <w:left w:val="nil"/>
              <w:bottom w:val="single" w:sz="4" w:space="0" w:color="auto"/>
              <w:right w:val="single" w:sz="4" w:space="0" w:color="auto"/>
            </w:tcBorders>
            <w:shd w:val="clear" w:color="auto" w:fill="auto"/>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3 500 000</w:t>
            </w:r>
          </w:p>
        </w:tc>
      </w:tr>
      <w:tr w:rsidR="007D13F3" w:rsidRPr="000B3909" w:rsidTr="00465CAC">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vAlign w:val="center"/>
          </w:tcPr>
          <w:p w:rsidR="007D13F3" w:rsidRPr="000B3909" w:rsidRDefault="007D13F3" w:rsidP="00465CAC">
            <w:pPr>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presun z minulých rokov</w:t>
            </w:r>
          </w:p>
        </w:tc>
        <w:tc>
          <w:tcPr>
            <w:tcW w:w="508" w:type="pct"/>
            <w:tcBorders>
              <w:top w:val="nil"/>
              <w:left w:val="single" w:sz="4" w:space="0" w:color="auto"/>
              <w:bottom w:val="single" w:sz="4" w:space="0" w:color="auto"/>
              <w:right w:val="single" w:sz="4" w:space="0" w:color="auto"/>
            </w:tcBorders>
            <w:shd w:val="clear" w:color="auto" w:fill="auto"/>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14 440 669</w:t>
            </w:r>
          </w:p>
        </w:tc>
        <w:tc>
          <w:tcPr>
            <w:tcW w:w="508" w:type="pct"/>
            <w:tcBorders>
              <w:top w:val="nil"/>
              <w:left w:val="single" w:sz="4" w:space="0" w:color="auto"/>
              <w:bottom w:val="single" w:sz="4" w:space="0" w:color="auto"/>
              <w:right w:val="single" w:sz="4" w:space="0" w:color="auto"/>
            </w:tcBorders>
            <w:shd w:val="clear" w:color="auto" w:fill="auto"/>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5 155 735</w:t>
            </w:r>
          </w:p>
        </w:tc>
        <w:tc>
          <w:tcPr>
            <w:tcW w:w="508" w:type="pct"/>
            <w:tcBorders>
              <w:top w:val="nil"/>
              <w:left w:val="nil"/>
              <w:bottom w:val="single" w:sz="4" w:space="0" w:color="auto"/>
              <w:right w:val="single" w:sz="4" w:space="0" w:color="auto"/>
            </w:tcBorders>
            <w:shd w:val="clear" w:color="auto" w:fill="auto"/>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0</w:t>
            </w:r>
          </w:p>
        </w:tc>
        <w:tc>
          <w:tcPr>
            <w:tcW w:w="508" w:type="pct"/>
            <w:tcBorders>
              <w:top w:val="nil"/>
              <w:left w:val="nil"/>
              <w:bottom w:val="single" w:sz="4" w:space="0" w:color="auto"/>
              <w:right w:val="single" w:sz="4" w:space="0" w:color="auto"/>
            </w:tcBorders>
            <w:shd w:val="clear" w:color="auto" w:fill="auto"/>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642 895</w:t>
            </w:r>
          </w:p>
        </w:tc>
        <w:tc>
          <w:tcPr>
            <w:tcW w:w="508" w:type="pct"/>
            <w:tcBorders>
              <w:top w:val="nil"/>
              <w:left w:val="nil"/>
              <w:bottom w:val="single" w:sz="4" w:space="0" w:color="auto"/>
              <w:right w:val="single" w:sz="4" w:space="0" w:color="auto"/>
            </w:tcBorders>
            <w:shd w:val="clear" w:color="auto" w:fill="auto"/>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0</w:t>
            </w:r>
          </w:p>
        </w:tc>
        <w:tc>
          <w:tcPr>
            <w:tcW w:w="508" w:type="pct"/>
            <w:tcBorders>
              <w:top w:val="nil"/>
              <w:left w:val="nil"/>
              <w:bottom w:val="single" w:sz="4" w:space="0" w:color="auto"/>
              <w:right w:val="single" w:sz="4" w:space="0" w:color="auto"/>
            </w:tcBorders>
            <w:shd w:val="clear" w:color="auto" w:fill="auto"/>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0</w:t>
            </w:r>
          </w:p>
        </w:tc>
        <w:tc>
          <w:tcPr>
            <w:tcW w:w="506" w:type="pct"/>
            <w:tcBorders>
              <w:top w:val="nil"/>
              <w:left w:val="nil"/>
              <w:bottom w:val="single" w:sz="4" w:space="0" w:color="auto"/>
              <w:right w:val="single" w:sz="4" w:space="0" w:color="auto"/>
            </w:tcBorders>
            <w:shd w:val="clear" w:color="auto" w:fill="auto"/>
            <w:vAlign w:val="bottom"/>
          </w:tcPr>
          <w:p w:rsidR="007D13F3" w:rsidRPr="000B3909" w:rsidRDefault="007D13F3" w:rsidP="00465CAC">
            <w:pPr>
              <w:jc w:val="right"/>
              <w:rPr>
                <w:rFonts w:ascii="Times New Roman" w:hAnsi="Times New Roman" w:cs="Times New Roman"/>
                <w:b/>
                <w:color w:val="000000"/>
                <w:sz w:val="14"/>
                <w:szCs w:val="14"/>
              </w:rPr>
            </w:pPr>
            <w:r w:rsidRPr="000B3909">
              <w:rPr>
                <w:rFonts w:ascii="Times New Roman" w:hAnsi="Times New Roman" w:cs="Times New Roman"/>
                <w:b/>
                <w:color w:val="000000"/>
                <w:sz w:val="14"/>
                <w:szCs w:val="14"/>
              </w:rPr>
              <w:t>0</w:t>
            </w:r>
          </w:p>
        </w:tc>
      </w:tr>
    </w:tbl>
    <w:p w:rsidR="007D13F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5F1146">
        <w:rPr>
          <w:rFonts w:ascii="Times New Roman" w:hAnsi="Times New Roman" w:cs="Times New Roman"/>
        </w:rPr>
        <w:t>Na</w:t>
      </w:r>
      <w:r w:rsidRPr="005F1146">
        <w:rPr>
          <w:rFonts w:ascii="Times New Roman" w:hAnsi="Times New Roman" w:cs="Times New Roman"/>
          <w:bCs/>
        </w:rPr>
        <w:t xml:space="preserve"> </w:t>
      </w:r>
      <w:r w:rsidRPr="005F1146">
        <w:rPr>
          <w:rFonts w:ascii="Times New Roman" w:hAnsi="Times New Roman" w:cs="Times New Roman"/>
        </w:rPr>
        <w:t>ochranu prírody a krajiny sa v roku 201</w:t>
      </w:r>
      <w:r>
        <w:rPr>
          <w:rFonts w:ascii="Times New Roman" w:hAnsi="Times New Roman" w:cs="Times New Roman"/>
        </w:rPr>
        <w:t>8 výdavky rozpočtujú o 4,81 % nižšie</w:t>
      </w:r>
      <w:r w:rsidRPr="005F1146">
        <w:rPr>
          <w:rFonts w:ascii="Times New Roman" w:hAnsi="Times New Roman" w:cs="Times New Roman"/>
        </w:rPr>
        <w:t xml:space="preserve"> ako v schválenom rozpočte roku 201</w:t>
      </w:r>
      <w:r>
        <w:rPr>
          <w:rFonts w:ascii="Times New Roman" w:hAnsi="Times New Roman" w:cs="Times New Roman"/>
        </w:rPr>
        <w:t xml:space="preserve">7. Tento vývoj je spôsobený rozpočtovaním prostriedkov na udržateľnosť projektov, realizovaných z prostriedkov EÚ v  oblasti ochrany ovzdušia. </w:t>
      </w:r>
      <w:r w:rsidRPr="005F1146">
        <w:rPr>
          <w:rFonts w:ascii="Times New Roman" w:hAnsi="Times New Roman" w:cs="Times New Roman"/>
        </w:rPr>
        <w:t>Výdavky za túto oblasť sú celkovo určené na</w:t>
      </w:r>
      <w:r>
        <w:rPr>
          <w:rFonts w:ascii="Times New Roman" w:hAnsi="Times New Roman" w:cs="Times New Roman"/>
        </w:rPr>
        <w:t xml:space="preserve"> výskum a tvorbu legislatívy v oblasti geológie a ochrany </w:t>
      </w:r>
      <w:r>
        <w:rPr>
          <w:rFonts w:ascii="Times New Roman" w:hAnsi="Times New Roman" w:cs="Times New Roman"/>
        </w:rPr>
        <w:lastRenderedPageBreak/>
        <w:t xml:space="preserve">prírody, praktickú starostlivosť o chránené územia a živočíchy, ako aj environmentálnu výchovu. </w:t>
      </w:r>
    </w:p>
    <w:p w:rsidR="007D13F3" w:rsidRDefault="007D13F3" w:rsidP="007D13F3">
      <w:pPr>
        <w:ind w:firstLine="708"/>
        <w:jc w:val="both"/>
        <w:rPr>
          <w:rFonts w:ascii="Times New Roman" w:hAnsi="Times New Roman" w:cs="Times New Roman"/>
        </w:rPr>
      </w:pPr>
    </w:p>
    <w:p w:rsidR="007D13F3" w:rsidRDefault="007D13F3" w:rsidP="007D13F3">
      <w:pPr>
        <w:jc w:val="both"/>
        <w:rPr>
          <w:rFonts w:ascii="Times New Roman" w:hAnsi="Times New Roman" w:cs="Times New Roman"/>
          <w:b/>
        </w:rPr>
      </w:pPr>
      <w:r w:rsidRPr="00A5087A">
        <w:rPr>
          <w:rFonts w:ascii="Times New Roman" w:hAnsi="Times New Roman" w:cs="Times New Roman"/>
          <w:b/>
        </w:rPr>
        <w:t>Riadenie rizík a mimoriadnych udalostí v súvislosti so zmenou klímy</w:t>
      </w:r>
    </w:p>
    <w:p w:rsidR="007D13F3" w:rsidRPr="00A5087A" w:rsidRDefault="007D13F3" w:rsidP="007D13F3">
      <w:pPr>
        <w:jc w:val="both"/>
        <w:rPr>
          <w:rFonts w:ascii="Times New Roman" w:hAnsi="Times New Roman" w:cs="Times New Roman"/>
          <w:b/>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7"/>
        <w:gridCol w:w="931"/>
        <w:gridCol w:w="931"/>
        <w:gridCol w:w="932"/>
        <w:gridCol w:w="931"/>
        <w:gridCol w:w="932"/>
        <w:gridCol w:w="931"/>
        <w:gridCol w:w="932"/>
      </w:tblGrid>
      <w:tr w:rsidR="007D13F3" w:rsidRPr="008C1DE5" w:rsidTr="00465CAC">
        <w:trPr>
          <w:trHeight w:val="255"/>
        </w:trPr>
        <w:tc>
          <w:tcPr>
            <w:tcW w:w="2707" w:type="dxa"/>
            <w:shd w:val="clear" w:color="auto" w:fill="A6A6A6"/>
            <w:noWrap/>
            <w:tcMar>
              <w:top w:w="13" w:type="dxa"/>
              <w:left w:w="13" w:type="dxa"/>
              <w:bottom w:w="0" w:type="dxa"/>
              <w:right w:w="13" w:type="dxa"/>
            </w:tcMar>
            <w:vAlign w:val="center"/>
            <w:hideMark/>
          </w:tcPr>
          <w:p w:rsidR="007D13F3" w:rsidRPr="008C1DE5" w:rsidRDefault="007D13F3" w:rsidP="00465CAC">
            <w:pP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v eurách </w:t>
            </w:r>
          </w:p>
        </w:tc>
        <w:tc>
          <w:tcPr>
            <w:tcW w:w="931" w:type="dxa"/>
            <w:shd w:val="clear" w:color="000000" w:fill="A6A6A6"/>
            <w:tcMar>
              <w:top w:w="13" w:type="dxa"/>
              <w:left w:w="13" w:type="dxa"/>
              <w:bottom w:w="0" w:type="dxa"/>
              <w:right w:w="13" w:type="dxa"/>
            </w:tcMar>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2015 S</w:t>
            </w:r>
          </w:p>
        </w:tc>
        <w:tc>
          <w:tcPr>
            <w:tcW w:w="931" w:type="dxa"/>
            <w:shd w:val="clear" w:color="000000" w:fill="A6A6A6"/>
            <w:noWrap/>
            <w:tcMar>
              <w:top w:w="13" w:type="dxa"/>
              <w:left w:w="13" w:type="dxa"/>
              <w:bottom w:w="0" w:type="dxa"/>
              <w:right w:w="13" w:type="dxa"/>
            </w:tcMar>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2016 S</w:t>
            </w:r>
          </w:p>
        </w:tc>
        <w:tc>
          <w:tcPr>
            <w:tcW w:w="932" w:type="dxa"/>
            <w:shd w:val="clear" w:color="000000" w:fill="A6A6A6"/>
            <w:noWrap/>
            <w:tcMar>
              <w:top w:w="13" w:type="dxa"/>
              <w:left w:w="13" w:type="dxa"/>
              <w:bottom w:w="0" w:type="dxa"/>
              <w:right w:w="13" w:type="dxa"/>
            </w:tcMar>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2017 R</w:t>
            </w:r>
          </w:p>
        </w:tc>
        <w:tc>
          <w:tcPr>
            <w:tcW w:w="931" w:type="dxa"/>
            <w:shd w:val="clear" w:color="000000" w:fill="A6A6A6"/>
            <w:tcMar>
              <w:top w:w="13" w:type="dxa"/>
              <w:left w:w="13" w:type="dxa"/>
              <w:bottom w:w="0" w:type="dxa"/>
              <w:right w:w="13" w:type="dxa"/>
            </w:tcMar>
            <w:vAlign w:val="bottom"/>
            <w:hideMark/>
          </w:tcPr>
          <w:p w:rsidR="007D13F3" w:rsidRPr="008C1DE5" w:rsidRDefault="007D13F3" w:rsidP="00465CAC">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2017 OS</w:t>
            </w:r>
          </w:p>
        </w:tc>
        <w:tc>
          <w:tcPr>
            <w:tcW w:w="932" w:type="dxa"/>
            <w:shd w:val="clear" w:color="000000" w:fill="A6A6A6"/>
            <w:noWrap/>
            <w:tcMar>
              <w:top w:w="13" w:type="dxa"/>
              <w:left w:w="13" w:type="dxa"/>
              <w:bottom w:w="0" w:type="dxa"/>
              <w:right w:w="13" w:type="dxa"/>
            </w:tcMar>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2018 N</w:t>
            </w:r>
          </w:p>
        </w:tc>
        <w:tc>
          <w:tcPr>
            <w:tcW w:w="931" w:type="dxa"/>
            <w:shd w:val="clear" w:color="000000" w:fill="A6A6A6"/>
            <w:noWrap/>
            <w:tcMar>
              <w:top w:w="13" w:type="dxa"/>
              <w:left w:w="13" w:type="dxa"/>
              <w:bottom w:w="0" w:type="dxa"/>
              <w:right w:w="13" w:type="dxa"/>
            </w:tcMar>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2019 N</w:t>
            </w:r>
          </w:p>
        </w:tc>
        <w:tc>
          <w:tcPr>
            <w:tcW w:w="932" w:type="dxa"/>
            <w:shd w:val="clear" w:color="000000" w:fill="A6A6A6"/>
            <w:noWrap/>
            <w:tcMar>
              <w:top w:w="13" w:type="dxa"/>
              <w:left w:w="13" w:type="dxa"/>
              <w:bottom w:w="0" w:type="dxa"/>
              <w:right w:w="13" w:type="dxa"/>
            </w:tcMar>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2020 N</w:t>
            </w:r>
          </w:p>
        </w:tc>
      </w:tr>
      <w:tr w:rsidR="007D13F3" w:rsidRPr="008C1DE5" w:rsidTr="00465CAC">
        <w:trPr>
          <w:trHeight w:val="255"/>
        </w:trPr>
        <w:tc>
          <w:tcPr>
            <w:tcW w:w="2707" w:type="dxa"/>
            <w:shd w:val="clear" w:color="000000" w:fill="BFBFBF"/>
            <w:tcMar>
              <w:top w:w="13" w:type="dxa"/>
              <w:left w:w="13" w:type="dxa"/>
              <w:bottom w:w="0" w:type="dxa"/>
              <w:right w:w="13" w:type="dxa"/>
            </w:tcMar>
            <w:vAlign w:val="center"/>
            <w:hideMark/>
          </w:tcPr>
          <w:p w:rsidR="007D13F3" w:rsidRPr="008C1DE5" w:rsidRDefault="007D13F3" w:rsidP="00465CAC">
            <w:pP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Riadenie rizík a mimoriadnych udalostí</w:t>
            </w:r>
          </w:p>
        </w:tc>
        <w:tc>
          <w:tcPr>
            <w:tcW w:w="931" w:type="dxa"/>
            <w:shd w:val="clear" w:color="000000" w:fill="C0C0C0"/>
            <w:noWrap/>
            <w:tcMar>
              <w:top w:w="13" w:type="dxa"/>
              <w:left w:w="68" w:type="dxa"/>
              <w:bottom w:w="0" w:type="dxa"/>
              <w:right w:w="68" w:type="dxa"/>
            </w:tcMar>
            <w:vAlign w:val="bottom"/>
            <w:hideMark/>
          </w:tcPr>
          <w:p w:rsidR="007D13F3" w:rsidRPr="008C1DE5" w:rsidRDefault="007D13F3" w:rsidP="00465CAC">
            <w:pPr>
              <w:jc w:val="right"/>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b/>
                <w:bCs/>
                <w:color w:val="000000"/>
                <w:sz w:val="14"/>
                <w:szCs w:val="14"/>
                <w:lang w:eastAsia="sk-SK"/>
              </w:rPr>
            </w:pPr>
            <w:r w:rsidRPr="008C1DE5">
              <w:rPr>
                <w:rFonts w:ascii="Times New Roman" w:hAnsi="Times New Roman" w:cs="Times New Roman"/>
                <w:b/>
                <w:bCs/>
                <w:color w:val="000000"/>
                <w:sz w:val="14"/>
                <w:szCs w:val="14"/>
              </w:rPr>
              <w:t>0</w:t>
            </w:r>
          </w:p>
        </w:tc>
        <w:tc>
          <w:tcPr>
            <w:tcW w:w="932" w:type="dxa"/>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46 148 819</w:t>
            </w:r>
          </w:p>
        </w:tc>
        <w:tc>
          <w:tcPr>
            <w:tcW w:w="931" w:type="dxa"/>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24 620 084</w:t>
            </w:r>
          </w:p>
        </w:tc>
        <w:tc>
          <w:tcPr>
            <w:tcW w:w="932" w:type="dxa"/>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10 343 975</w:t>
            </w:r>
          </w:p>
        </w:tc>
        <w:tc>
          <w:tcPr>
            <w:tcW w:w="931" w:type="dxa"/>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48 395 146</w:t>
            </w:r>
          </w:p>
        </w:tc>
        <w:tc>
          <w:tcPr>
            <w:tcW w:w="932" w:type="dxa"/>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105 794 552</w:t>
            </w:r>
          </w:p>
        </w:tc>
      </w:tr>
      <w:tr w:rsidR="007D13F3" w:rsidRPr="008C1DE5" w:rsidTr="00465CAC">
        <w:trPr>
          <w:trHeight w:val="255"/>
        </w:trPr>
        <w:tc>
          <w:tcPr>
            <w:tcW w:w="2707" w:type="dxa"/>
            <w:shd w:val="clear" w:color="000000" w:fill="FFFFFF"/>
            <w:tcMar>
              <w:top w:w="13" w:type="dxa"/>
              <w:left w:w="13" w:type="dxa"/>
              <w:bottom w:w="0" w:type="dxa"/>
              <w:right w:w="13" w:type="dxa"/>
            </w:tcMar>
            <w:vAlign w:val="center"/>
            <w:hideMark/>
          </w:tcPr>
          <w:p w:rsidR="007D13F3" w:rsidRPr="008C1DE5" w:rsidRDefault="007D13F3" w:rsidP="00465CAC">
            <w:pPr>
              <w:rPr>
                <w:rFonts w:ascii="Times New Roman" w:hAnsi="Times New Roman" w:cs="Times New Roman"/>
                <w:color w:val="000000"/>
                <w:sz w:val="14"/>
                <w:szCs w:val="14"/>
              </w:rPr>
            </w:pPr>
            <w:r w:rsidRPr="008C1DE5">
              <w:rPr>
                <w:rFonts w:ascii="Times New Roman" w:hAnsi="Times New Roman" w:cs="Times New Roman"/>
                <w:color w:val="000000"/>
                <w:sz w:val="14"/>
                <w:szCs w:val="14"/>
              </w:rPr>
              <w:t xml:space="preserve">zdroje EÚ </w:t>
            </w:r>
          </w:p>
        </w:tc>
        <w:tc>
          <w:tcPr>
            <w:tcW w:w="931" w:type="dxa"/>
            <w:tcMar>
              <w:top w:w="13" w:type="dxa"/>
              <w:left w:w="68" w:type="dxa"/>
              <w:bottom w:w="0" w:type="dxa"/>
              <w:right w:w="68" w:type="dxa"/>
            </w:tcMar>
            <w:vAlign w:val="bottom"/>
            <w:hideMark/>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0</w:t>
            </w:r>
          </w:p>
        </w:tc>
        <w:tc>
          <w:tcPr>
            <w:tcW w:w="931" w:type="dxa"/>
            <w:tcBorders>
              <w:top w:val="nil"/>
              <w:left w:val="single" w:sz="4" w:space="0" w:color="auto"/>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0</w:t>
            </w:r>
          </w:p>
        </w:tc>
        <w:tc>
          <w:tcPr>
            <w:tcW w:w="932"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37 450 957</w:t>
            </w:r>
          </w:p>
        </w:tc>
        <w:tc>
          <w:tcPr>
            <w:tcW w:w="931"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24 063 306</w:t>
            </w:r>
          </w:p>
        </w:tc>
        <w:tc>
          <w:tcPr>
            <w:tcW w:w="932"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3 130 585</w:t>
            </w:r>
          </w:p>
        </w:tc>
        <w:tc>
          <w:tcPr>
            <w:tcW w:w="931"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38 804 784</w:t>
            </w:r>
          </w:p>
        </w:tc>
        <w:tc>
          <w:tcPr>
            <w:tcW w:w="932"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85 550 000</w:t>
            </w:r>
          </w:p>
        </w:tc>
      </w:tr>
      <w:tr w:rsidR="007D13F3" w:rsidRPr="008C1DE5" w:rsidTr="00465CAC">
        <w:trPr>
          <w:trHeight w:val="255"/>
        </w:trPr>
        <w:tc>
          <w:tcPr>
            <w:tcW w:w="2707" w:type="dxa"/>
            <w:shd w:val="clear" w:color="000000" w:fill="FFFFFF"/>
            <w:tcMar>
              <w:top w:w="13" w:type="dxa"/>
              <w:left w:w="13" w:type="dxa"/>
              <w:bottom w:w="0" w:type="dxa"/>
              <w:right w:w="13" w:type="dxa"/>
            </w:tcMar>
            <w:vAlign w:val="center"/>
            <w:hideMark/>
          </w:tcPr>
          <w:p w:rsidR="007D13F3" w:rsidRPr="008C1DE5" w:rsidRDefault="007D13F3" w:rsidP="00465CAC">
            <w:pPr>
              <w:rPr>
                <w:rFonts w:ascii="Times New Roman" w:hAnsi="Times New Roman" w:cs="Times New Roman"/>
                <w:color w:val="000000"/>
                <w:sz w:val="14"/>
                <w:szCs w:val="14"/>
              </w:rPr>
            </w:pPr>
            <w:r w:rsidRPr="008C1DE5">
              <w:rPr>
                <w:rFonts w:ascii="Times New Roman" w:hAnsi="Times New Roman" w:cs="Times New Roman"/>
                <w:color w:val="000000"/>
                <w:sz w:val="14"/>
                <w:szCs w:val="14"/>
              </w:rPr>
              <w:t>spolufinancovanie zo ŠR</w:t>
            </w:r>
          </w:p>
        </w:tc>
        <w:tc>
          <w:tcPr>
            <w:tcW w:w="931" w:type="dxa"/>
            <w:tcMar>
              <w:top w:w="13" w:type="dxa"/>
              <w:left w:w="68" w:type="dxa"/>
              <w:bottom w:w="0" w:type="dxa"/>
              <w:right w:w="68" w:type="dxa"/>
            </w:tcMar>
            <w:vAlign w:val="bottom"/>
            <w:hideMark/>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0</w:t>
            </w:r>
          </w:p>
        </w:tc>
        <w:tc>
          <w:tcPr>
            <w:tcW w:w="931" w:type="dxa"/>
            <w:tcBorders>
              <w:top w:val="nil"/>
              <w:left w:val="single" w:sz="4" w:space="0" w:color="auto"/>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0</w:t>
            </w:r>
          </w:p>
        </w:tc>
        <w:tc>
          <w:tcPr>
            <w:tcW w:w="932"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8 697 862</w:t>
            </w:r>
          </w:p>
        </w:tc>
        <w:tc>
          <w:tcPr>
            <w:tcW w:w="931"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556 778</w:t>
            </w:r>
          </w:p>
        </w:tc>
        <w:tc>
          <w:tcPr>
            <w:tcW w:w="932"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7 213 390</w:t>
            </w:r>
          </w:p>
        </w:tc>
        <w:tc>
          <w:tcPr>
            <w:tcW w:w="931"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9 590 362</w:t>
            </w:r>
          </w:p>
        </w:tc>
        <w:tc>
          <w:tcPr>
            <w:tcW w:w="932" w:type="dxa"/>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20 244 552</w:t>
            </w:r>
          </w:p>
        </w:tc>
      </w:tr>
    </w:tbl>
    <w:p w:rsidR="007D13F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Pr>
          <w:rFonts w:ascii="Times New Roman" w:hAnsi="Times New Roman" w:cs="Times New Roman"/>
        </w:rPr>
        <w:t xml:space="preserve">Uvedená oblasť súvisí s alokáciou prostriedkov EÚ a spolufinancovania </w:t>
      </w:r>
      <w:r w:rsidR="004E497F">
        <w:rPr>
          <w:rFonts w:ascii="Times New Roman" w:hAnsi="Times New Roman" w:cs="Times New Roman"/>
        </w:rPr>
        <w:br/>
      </w:r>
      <w:r>
        <w:rPr>
          <w:rFonts w:ascii="Times New Roman" w:hAnsi="Times New Roman" w:cs="Times New Roman"/>
        </w:rPr>
        <w:t xml:space="preserve">z 3. programového obdobia do kapitoly. </w:t>
      </w:r>
      <w:r w:rsidRPr="005F1146">
        <w:rPr>
          <w:rFonts w:ascii="Times New Roman" w:hAnsi="Times New Roman" w:cs="Times New Roman"/>
        </w:rPr>
        <w:t xml:space="preserve">Na </w:t>
      </w:r>
      <w:r>
        <w:rPr>
          <w:rFonts w:ascii="Times New Roman" w:hAnsi="Times New Roman" w:cs="Times New Roman"/>
        </w:rPr>
        <w:t>riadenie rizík a mimoriadnych udalostí v súvislosti so zmenou klímy</w:t>
      </w:r>
      <w:r w:rsidRPr="005F1146">
        <w:rPr>
          <w:rFonts w:ascii="Times New Roman" w:hAnsi="Times New Roman" w:cs="Times New Roman"/>
        </w:rPr>
        <w:t xml:space="preserve"> sa v roku 201</w:t>
      </w:r>
      <w:r>
        <w:rPr>
          <w:rFonts w:ascii="Times New Roman" w:hAnsi="Times New Roman" w:cs="Times New Roman"/>
        </w:rPr>
        <w:t>8 rozpočtujú prostriedky</w:t>
      </w:r>
      <w:r w:rsidRPr="005F1146">
        <w:rPr>
          <w:rFonts w:ascii="Times New Roman" w:hAnsi="Times New Roman" w:cs="Times New Roman"/>
        </w:rPr>
        <w:t xml:space="preserve"> EÚ a</w:t>
      </w:r>
      <w:r>
        <w:rPr>
          <w:rFonts w:ascii="Times New Roman" w:hAnsi="Times New Roman" w:cs="Times New Roman"/>
        </w:rPr>
        <w:t xml:space="preserve"> spolufinancovania v celkovom objeme 10,3 mil. eur. </w:t>
      </w:r>
      <w:r w:rsidRPr="005F1146">
        <w:rPr>
          <w:rFonts w:ascii="Times New Roman" w:hAnsi="Times New Roman" w:cs="Times New Roman"/>
        </w:rPr>
        <w:t>Tieto prostriedky</w:t>
      </w:r>
      <w:r>
        <w:rPr>
          <w:rFonts w:ascii="Times New Roman" w:hAnsi="Times New Roman" w:cs="Times New Roman"/>
        </w:rPr>
        <w:t xml:space="preserve"> majú slúžiť</w:t>
      </w:r>
      <w:r w:rsidRPr="005F1146">
        <w:rPr>
          <w:rFonts w:ascii="Times New Roman" w:hAnsi="Times New Roman" w:cs="Times New Roman"/>
        </w:rPr>
        <w:t xml:space="preserve"> </w:t>
      </w:r>
      <w:r w:rsidRPr="00F21E56">
        <w:rPr>
          <w:rFonts w:ascii="Times New Roman" w:hAnsi="Times New Roman" w:cs="Times New Roman"/>
        </w:rPr>
        <w:t>na projekty v oblasti riadenia osobitných rizík (okrem povodňových) a posilnenia odolnosti proti mimoriadnym udalostiam ovplyvnených zmenou klímy (vyvíjanie systémov zvládania mimoriadnych udalostí, technická a inštitucionálna podpora špecializovaných záchranných modulov, prevencia a sanácia havarijných zosuvov súvisiacich so zmenou klímy).</w:t>
      </w:r>
    </w:p>
    <w:p w:rsidR="007D13F3" w:rsidRPr="00852F92" w:rsidRDefault="007D13F3" w:rsidP="007D13F3">
      <w:pPr>
        <w:ind w:firstLine="708"/>
        <w:jc w:val="both"/>
        <w:rPr>
          <w:rFonts w:ascii="Times New Roman" w:hAnsi="Times New Roman" w:cs="Times New Roman"/>
        </w:rPr>
      </w:pPr>
    </w:p>
    <w:p w:rsidR="007D13F3" w:rsidRDefault="007D13F3" w:rsidP="007D13F3">
      <w:pPr>
        <w:jc w:val="both"/>
        <w:rPr>
          <w:rFonts w:ascii="Times New Roman" w:hAnsi="Times New Roman" w:cs="Times New Roman"/>
          <w:b/>
        </w:rPr>
      </w:pPr>
      <w:r>
        <w:rPr>
          <w:rFonts w:ascii="Times New Roman" w:hAnsi="Times New Roman" w:cs="Times New Roman"/>
          <w:b/>
        </w:rPr>
        <w:t xml:space="preserve">Energeticky efektívne </w:t>
      </w:r>
      <w:proofErr w:type="spellStart"/>
      <w:r>
        <w:rPr>
          <w:rFonts w:ascii="Times New Roman" w:hAnsi="Times New Roman" w:cs="Times New Roman"/>
          <w:b/>
        </w:rPr>
        <w:t>nízkouhlíkové</w:t>
      </w:r>
      <w:proofErr w:type="spellEnd"/>
      <w:r>
        <w:rPr>
          <w:rFonts w:ascii="Times New Roman" w:hAnsi="Times New Roman" w:cs="Times New Roman"/>
          <w:b/>
        </w:rPr>
        <w:t xml:space="preserve"> hospodárstvo</w:t>
      </w:r>
    </w:p>
    <w:p w:rsidR="007D13F3" w:rsidRDefault="007D13F3" w:rsidP="007D13F3">
      <w:pPr>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2"/>
        <w:gridCol w:w="916"/>
        <w:gridCol w:w="913"/>
        <w:gridCol w:w="915"/>
        <w:gridCol w:w="913"/>
        <w:gridCol w:w="915"/>
        <w:gridCol w:w="913"/>
        <w:gridCol w:w="915"/>
      </w:tblGrid>
      <w:tr w:rsidR="007D13F3" w:rsidRPr="008C1DE5" w:rsidTr="00465CAC">
        <w:trPr>
          <w:trHeight w:val="255"/>
        </w:trPr>
        <w:tc>
          <w:tcPr>
            <w:tcW w:w="1468" w:type="pct"/>
            <w:shd w:val="clear" w:color="auto" w:fill="A6A6A6"/>
            <w:noWrap/>
            <w:tcMar>
              <w:top w:w="13" w:type="dxa"/>
              <w:left w:w="13" w:type="dxa"/>
              <w:bottom w:w="0" w:type="dxa"/>
              <w:right w:w="13" w:type="dxa"/>
            </w:tcMar>
            <w:vAlign w:val="center"/>
            <w:hideMark/>
          </w:tcPr>
          <w:p w:rsidR="007D13F3" w:rsidRPr="008C1DE5" w:rsidRDefault="007D13F3" w:rsidP="00465CAC">
            <w:pP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v eurách </w:t>
            </w:r>
          </w:p>
        </w:tc>
        <w:tc>
          <w:tcPr>
            <w:tcW w:w="505" w:type="pct"/>
            <w:shd w:val="clear" w:color="000000" w:fill="A6A6A6"/>
            <w:tcMar>
              <w:top w:w="13" w:type="dxa"/>
              <w:left w:w="13" w:type="dxa"/>
              <w:bottom w:w="0" w:type="dxa"/>
              <w:right w:w="13" w:type="dxa"/>
            </w:tcMar>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2015 S</w:t>
            </w:r>
          </w:p>
        </w:tc>
        <w:tc>
          <w:tcPr>
            <w:tcW w:w="504" w:type="pct"/>
            <w:shd w:val="clear" w:color="000000" w:fill="A6A6A6"/>
            <w:noWrap/>
            <w:tcMar>
              <w:top w:w="13" w:type="dxa"/>
              <w:left w:w="13" w:type="dxa"/>
              <w:bottom w:w="0" w:type="dxa"/>
              <w:right w:w="13" w:type="dxa"/>
            </w:tcMar>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2016 S</w:t>
            </w:r>
          </w:p>
        </w:tc>
        <w:tc>
          <w:tcPr>
            <w:tcW w:w="505" w:type="pct"/>
            <w:shd w:val="clear" w:color="000000" w:fill="A6A6A6"/>
            <w:noWrap/>
            <w:tcMar>
              <w:top w:w="13" w:type="dxa"/>
              <w:left w:w="13" w:type="dxa"/>
              <w:bottom w:w="0" w:type="dxa"/>
              <w:right w:w="13" w:type="dxa"/>
            </w:tcMar>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2017 R</w:t>
            </w:r>
          </w:p>
        </w:tc>
        <w:tc>
          <w:tcPr>
            <w:tcW w:w="504" w:type="pct"/>
            <w:shd w:val="clear" w:color="000000" w:fill="A6A6A6"/>
            <w:tcMar>
              <w:top w:w="13" w:type="dxa"/>
              <w:left w:w="13" w:type="dxa"/>
              <w:bottom w:w="0" w:type="dxa"/>
              <w:right w:w="13" w:type="dxa"/>
            </w:tcMar>
            <w:vAlign w:val="bottom"/>
            <w:hideMark/>
          </w:tcPr>
          <w:p w:rsidR="007D13F3" w:rsidRPr="008C1DE5" w:rsidRDefault="007D13F3" w:rsidP="00465CAC">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2017 OS</w:t>
            </w:r>
          </w:p>
        </w:tc>
        <w:tc>
          <w:tcPr>
            <w:tcW w:w="505" w:type="pct"/>
            <w:shd w:val="clear" w:color="000000" w:fill="A6A6A6"/>
            <w:noWrap/>
            <w:tcMar>
              <w:top w:w="13" w:type="dxa"/>
              <w:left w:w="13" w:type="dxa"/>
              <w:bottom w:w="0" w:type="dxa"/>
              <w:right w:w="13" w:type="dxa"/>
            </w:tcMar>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2018 N</w:t>
            </w:r>
          </w:p>
        </w:tc>
        <w:tc>
          <w:tcPr>
            <w:tcW w:w="504" w:type="pct"/>
            <w:shd w:val="clear" w:color="000000" w:fill="A6A6A6"/>
            <w:noWrap/>
            <w:tcMar>
              <w:top w:w="13" w:type="dxa"/>
              <w:left w:w="13" w:type="dxa"/>
              <w:bottom w:w="0" w:type="dxa"/>
              <w:right w:w="13" w:type="dxa"/>
            </w:tcMar>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2019 N</w:t>
            </w:r>
          </w:p>
        </w:tc>
        <w:tc>
          <w:tcPr>
            <w:tcW w:w="505" w:type="pct"/>
            <w:shd w:val="clear" w:color="000000" w:fill="A6A6A6"/>
            <w:noWrap/>
            <w:tcMar>
              <w:top w:w="13" w:type="dxa"/>
              <w:left w:w="13" w:type="dxa"/>
              <w:bottom w:w="0" w:type="dxa"/>
              <w:right w:w="13" w:type="dxa"/>
            </w:tcMar>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2020 N</w:t>
            </w:r>
          </w:p>
        </w:tc>
      </w:tr>
      <w:tr w:rsidR="007D13F3" w:rsidRPr="008C1DE5" w:rsidTr="00465CAC">
        <w:trPr>
          <w:trHeight w:val="255"/>
        </w:trPr>
        <w:tc>
          <w:tcPr>
            <w:tcW w:w="1468" w:type="pct"/>
            <w:shd w:val="clear" w:color="000000" w:fill="BFBFBF"/>
            <w:tcMar>
              <w:top w:w="13" w:type="dxa"/>
              <w:left w:w="13" w:type="dxa"/>
              <w:bottom w:w="0" w:type="dxa"/>
              <w:right w:w="13" w:type="dxa"/>
            </w:tcMar>
            <w:vAlign w:val="center"/>
            <w:hideMark/>
          </w:tcPr>
          <w:p w:rsidR="007D13F3" w:rsidRPr="008C1DE5" w:rsidRDefault="007D13F3" w:rsidP="00465CAC">
            <w:pP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 xml:space="preserve">Energeticky efektívne </w:t>
            </w:r>
            <w:proofErr w:type="spellStart"/>
            <w:r w:rsidRPr="008C1DE5">
              <w:rPr>
                <w:rFonts w:ascii="Times New Roman" w:hAnsi="Times New Roman" w:cs="Times New Roman"/>
                <w:b/>
                <w:bCs/>
                <w:color w:val="000000"/>
                <w:sz w:val="14"/>
                <w:szCs w:val="14"/>
              </w:rPr>
              <w:t>nízkouhlíkové</w:t>
            </w:r>
            <w:proofErr w:type="spellEnd"/>
            <w:r w:rsidRPr="008C1DE5">
              <w:rPr>
                <w:rFonts w:ascii="Times New Roman" w:hAnsi="Times New Roman" w:cs="Times New Roman"/>
                <w:b/>
                <w:bCs/>
                <w:color w:val="000000"/>
                <w:sz w:val="14"/>
                <w:szCs w:val="14"/>
              </w:rPr>
              <w:t xml:space="preserve"> hospodárstvo</w:t>
            </w:r>
          </w:p>
        </w:tc>
        <w:tc>
          <w:tcPr>
            <w:tcW w:w="505"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68" w:type="dxa"/>
              <w:bottom w:w="0" w:type="dxa"/>
              <w:right w:w="68" w:type="dxa"/>
            </w:tcMar>
            <w:vAlign w:val="bottom"/>
            <w:hideMark/>
          </w:tcPr>
          <w:p w:rsidR="007D13F3" w:rsidRPr="008C1DE5" w:rsidRDefault="007D13F3" w:rsidP="00465CAC">
            <w:pPr>
              <w:jc w:val="right"/>
              <w:rPr>
                <w:rFonts w:ascii="Times New Roman" w:hAnsi="Times New Roman" w:cs="Times New Roman"/>
                <w:b/>
                <w:bCs/>
                <w:color w:val="000000"/>
                <w:sz w:val="14"/>
                <w:szCs w:val="14"/>
                <w:lang w:eastAsia="sk-SK"/>
              </w:rPr>
            </w:pPr>
            <w:r w:rsidRPr="008C1DE5">
              <w:rPr>
                <w:rFonts w:ascii="Times New Roman" w:hAnsi="Times New Roman" w:cs="Times New Roman"/>
                <w:b/>
                <w:bCs/>
                <w:color w:val="000000"/>
                <w:sz w:val="14"/>
                <w:szCs w:val="14"/>
              </w:rPr>
              <w:t>4 000 000</w:t>
            </w:r>
          </w:p>
        </w:tc>
        <w:tc>
          <w:tcPr>
            <w:tcW w:w="504"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b/>
                <w:bCs/>
                <w:color w:val="000000"/>
                <w:sz w:val="14"/>
                <w:szCs w:val="14"/>
                <w:lang w:eastAsia="sk-SK"/>
              </w:rPr>
            </w:pPr>
            <w:r w:rsidRPr="008C1DE5">
              <w:rPr>
                <w:rFonts w:ascii="Times New Roman" w:hAnsi="Times New Roman" w:cs="Times New Roman"/>
                <w:b/>
                <w:bCs/>
                <w:color w:val="000000"/>
                <w:sz w:val="14"/>
                <w:szCs w:val="14"/>
              </w:rPr>
              <w:t>21 279 007</w:t>
            </w:r>
          </w:p>
        </w:tc>
        <w:tc>
          <w:tcPr>
            <w:tcW w:w="505"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137 566 307</w:t>
            </w:r>
          </w:p>
        </w:tc>
        <w:tc>
          <w:tcPr>
            <w:tcW w:w="504"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22 205 495</w:t>
            </w:r>
          </w:p>
        </w:tc>
        <w:tc>
          <w:tcPr>
            <w:tcW w:w="505"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25 771 774</w:t>
            </w:r>
          </w:p>
        </w:tc>
        <w:tc>
          <w:tcPr>
            <w:tcW w:w="504"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168 344 383</w:t>
            </w:r>
          </w:p>
        </w:tc>
        <w:tc>
          <w:tcPr>
            <w:tcW w:w="505" w:type="pct"/>
            <w:tcBorders>
              <w:top w:val="single" w:sz="4" w:space="0" w:color="auto"/>
              <w:left w:val="nil"/>
              <w:bottom w:val="single" w:sz="4" w:space="0" w:color="auto"/>
              <w:right w:val="single" w:sz="4" w:space="0" w:color="auto"/>
            </w:tcBorders>
            <w:shd w:val="clear" w:color="000000" w:fill="C0C0C0"/>
            <w:noWrap/>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149 532 831</w:t>
            </w:r>
          </w:p>
        </w:tc>
      </w:tr>
      <w:tr w:rsidR="007D13F3" w:rsidRPr="008C1DE5" w:rsidTr="00465CAC">
        <w:trPr>
          <w:trHeight w:val="255"/>
        </w:trPr>
        <w:tc>
          <w:tcPr>
            <w:tcW w:w="1468" w:type="pct"/>
            <w:shd w:val="clear" w:color="000000" w:fill="FFFFFF"/>
            <w:tcMar>
              <w:top w:w="13" w:type="dxa"/>
              <w:left w:w="13" w:type="dxa"/>
              <w:bottom w:w="0" w:type="dxa"/>
              <w:right w:w="13" w:type="dxa"/>
            </w:tcMar>
            <w:vAlign w:val="center"/>
            <w:hideMark/>
          </w:tcPr>
          <w:p w:rsidR="007D13F3" w:rsidRPr="008C1DE5" w:rsidRDefault="007D13F3" w:rsidP="00465CAC">
            <w:pPr>
              <w:rPr>
                <w:rFonts w:ascii="Times New Roman" w:hAnsi="Times New Roman" w:cs="Times New Roman"/>
                <w:color w:val="000000"/>
                <w:sz w:val="14"/>
                <w:szCs w:val="14"/>
              </w:rPr>
            </w:pPr>
            <w:r w:rsidRPr="008C1DE5">
              <w:rPr>
                <w:rFonts w:ascii="Times New Roman" w:hAnsi="Times New Roman" w:cs="Times New Roman"/>
                <w:color w:val="000000"/>
                <w:sz w:val="14"/>
                <w:szCs w:val="14"/>
              </w:rPr>
              <w:t xml:space="preserve">zdroje EÚ </w:t>
            </w:r>
          </w:p>
        </w:tc>
        <w:tc>
          <w:tcPr>
            <w:tcW w:w="505" w:type="pct"/>
            <w:tcBorders>
              <w:top w:val="nil"/>
              <w:left w:val="single" w:sz="4" w:space="0" w:color="auto"/>
              <w:bottom w:val="single" w:sz="4" w:space="0" w:color="auto"/>
              <w:right w:val="single" w:sz="4" w:space="0" w:color="auto"/>
            </w:tcBorders>
            <w:shd w:val="clear" w:color="000000" w:fill="FFFFFF"/>
            <w:tcMar>
              <w:top w:w="13" w:type="dxa"/>
              <w:left w:w="68" w:type="dxa"/>
              <w:bottom w:w="0" w:type="dxa"/>
              <w:right w:w="68" w:type="dxa"/>
            </w:tcMar>
            <w:vAlign w:val="bottom"/>
            <w:hideMark/>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0</w:t>
            </w:r>
          </w:p>
        </w:tc>
        <w:tc>
          <w:tcPr>
            <w:tcW w:w="504" w:type="pct"/>
            <w:tcBorders>
              <w:top w:val="nil"/>
              <w:left w:val="single" w:sz="4" w:space="0" w:color="auto"/>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17 927 980</w:t>
            </w:r>
          </w:p>
        </w:tc>
        <w:tc>
          <w:tcPr>
            <w:tcW w:w="505"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116 389 106</w:t>
            </w:r>
          </w:p>
        </w:tc>
        <w:tc>
          <w:tcPr>
            <w:tcW w:w="504"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20 466 941</w:t>
            </w:r>
          </w:p>
        </w:tc>
        <w:tc>
          <w:tcPr>
            <w:tcW w:w="505"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23 967 069</w:t>
            </w:r>
          </w:p>
        </w:tc>
        <w:tc>
          <w:tcPr>
            <w:tcW w:w="504"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150 348 012</w:t>
            </w:r>
          </w:p>
        </w:tc>
        <w:tc>
          <w:tcPr>
            <w:tcW w:w="505"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132 586 666</w:t>
            </w:r>
          </w:p>
        </w:tc>
      </w:tr>
      <w:tr w:rsidR="007D13F3" w:rsidRPr="008C1DE5" w:rsidTr="00465CAC">
        <w:trPr>
          <w:trHeight w:val="255"/>
        </w:trPr>
        <w:tc>
          <w:tcPr>
            <w:tcW w:w="1468" w:type="pct"/>
            <w:shd w:val="clear" w:color="000000" w:fill="FFFFFF"/>
            <w:tcMar>
              <w:top w:w="13" w:type="dxa"/>
              <w:left w:w="13" w:type="dxa"/>
              <w:bottom w:w="0" w:type="dxa"/>
              <w:right w:w="13" w:type="dxa"/>
            </w:tcMar>
            <w:vAlign w:val="center"/>
            <w:hideMark/>
          </w:tcPr>
          <w:p w:rsidR="007D13F3" w:rsidRPr="008C1DE5" w:rsidRDefault="007D13F3" w:rsidP="00465CAC">
            <w:pPr>
              <w:rPr>
                <w:rFonts w:ascii="Times New Roman" w:hAnsi="Times New Roman" w:cs="Times New Roman"/>
                <w:color w:val="000000"/>
                <w:sz w:val="14"/>
                <w:szCs w:val="14"/>
              </w:rPr>
            </w:pPr>
            <w:r w:rsidRPr="008C1DE5">
              <w:rPr>
                <w:rFonts w:ascii="Times New Roman" w:hAnsi="Times New Roman" w:cs="Times New Roman"/>
                <w:color w:val="000000"/>
                <w:sz w:val="14"/>
                <w:szCs w:val="14"/>
              </w:rPr>
              <w:t>spolufinancovanie zo ŠR</w:t>
            </w:r>
          </w:p>
        </w:tc>
        <w:tc>
          <w:tcPr>
            <w:tcW w:w="505" w:type="pct"/>
            <w:tcBorders>
              <w:top w:val="nil"/>
              <w:left w:val="single" w:sz="4" w:space="0" w:color="auto"/>
              <w:bottom w:val="single" w:sz="4" w:space="0" w:color="auto"/>
              <w:right w:val="single" w:sz="4" w:space="0" w:color="auto"/>
            </w:tcBorders>
            <w:shd w:val="clear" w:color="000000" w:fill="FFFFFF"/>
            <w:tcMar>
              <w:top w:w="13" w:type="dxa"/>
              <w:left w:w="68" w:type="dxa"/>
              <w:bottom w:w="0" w:type="dxa"/>
              <w:right w:w="68" w:type="dxa"/>
            </w:tcMar>
            <w:vAlign w:val="bottom"/>
            <w:hideMark/>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4 000 000</w:t>
            </w:r>
          </w:p>
        </w:tc>
        <w:tc>
          <w:tcPr>
            <w:tcW w:w="504" w:type="pct"/>
            <w:tcBorders>
              <w:top w:val="nil"/>
              <w:left w:val="single" w:sz="4" w:space="0" w:color="auto"/>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3 351 027</w:t>
            </w:r>
          </w:p>
        </w:tc>
        <w:tc>
          <w:tcPr>
            <w:tcW w:w="505"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21 177 201</w:t>
            </w:r>
          </w:p>
        </w:tc>
        <w:tc>
          <w:tcPr>
            <w:tcW w:w="504"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1 738 554</w:t>
            </w:r>
          </w:p>
        </w:tc>
        <w:tc>
          <w:tcPr>
            <w:tcW w:w="505"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1 804 705</w:t>
            </w:r>
          </w:p>
        </w:tc>
        <w:tc>
          <w:tcPr>
            <w:tcW w:w="504"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17 996 371</w:t>
            </w:r>
          </w:p>
        </w:tc>
        <w:tc>
          <w:tcPr>
            <w:tcW w:w="505" w:type="pct"/>
            <w:tcBorders>
              <w:top w:val="nil"/>
              <w:left w:val="nil"/>
              <w:bottom w:val="single" w:sz="4" w:space="0" w:color="auto"/>
              <w:right w:val="single" w:sz="4" w:space="0" w:color="auto"/>
            </w:tcBorders>
            <w:shd w:val="clear" w:color="000000" w:fill="FFFFFF"/>
            <w:tcMar>
              <w:top w:w="13" w:type="dxa"/>
              <w:left w:w="68" w:type="dxa"/>
              <w:bottom w:w="0" w:type="dxa"/>
              <w:right w:w="68" w:type="dxa"/>
            </w:tcMar>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16 946 165</w:t>
            </w:r>
          </w:p>
        </w:tc>
      </w:tr>
    </w:tbl>
    <w:p w:rsidR="007D13F3" w:rsidRDefault="007D13F3" w:rsidP="007D13F3">
      <w:pPr>
        <w:jc w:val="both"/>
        <w:rPr>
          <w:rFonts w:ascii="Times New Roman" w:hAnsi="Times New Roman" w:cs="Times New Roman"/>
          <w:b/>
        </w:rPr>
      </w:pPr>
    </w:p>
    <w:p w:rsidR="007D13F3" w:rsidRPr="00F21E56" w:rsidRDefault="007D13F3" w:rsidP="007D13F3">
      <w:pPr>
        <w:ind w:firstLine="708"/>
        <w:jc w:val="both"/>
        <w:rPr>
          <w:rFonts w:ascii="Times New Roman" w:hAnsi="Times New Roman" w:cs="Times New Roman"/>
        </w:rPr>
      </w:pPr>
      <w:r>
        <w:rPr>
          <w:rFonts w:ascii="Times New Roman" w:hAnsi="Times New Roman" w:cs="Times New Roman"/>
        </w:rPr>
        <w:t xml:space="preserve">Oblasť bola vytvorená v nadväznosti na alokáciu prostriedkov EÚ a spolufinancovania           z 3. programového obdobia do kapitoly. </w:t>
      </w:r>
      <w:r w:rsidRPr="005F1146">
        <w:rPr>
          <w:rFonts w:ascii="Times New Roman" w:hAnsi="Times New Roman" w:cs="Times New Roman"/>
        </w:rPr>
        <w:t xml:space="preserve">Celkové výdavky smerujúce do </w:t>
      </w:r>
      <w:r>
        <w:rPr>
          <w:rFonts w:ascii="Times New Roman" w:hAnsi="Times New Roman" w:cs="Times New Roman"/>
        </w:rPr>
        <w:t xml:space="preserve">energeticky efektívneho </w:t>
      </w:r>
      <w:proofErr w:type="spellStart"/>
      <w:r>
        <w:rPr>
          <w:rFonts w:ascii="Times New Roman" w:hAnsi="Times New Roman" w:cs="Times New Roman"/>
        </w:rPr>
        <w:t>nízkouhlíkového</w:t>
      </w:r>
      <w:proofErr w:type="spellEnd"/>
      <w:r>
        <w:rPr>
          <w:rFonts w:ascii="Times New Roman" w:hAnsi="Times New Roman" w:cs="Times New Roman"/>
        </w:rPr>
        <w:t xml:space="preserve"> hospodárstva sa </w:t>
      </w:r>
      <w:r w:rsidRPr="005F1146">
        <w:rPr>
          <w:rFonts w:ascii="Times New Roman" w:hAnsi="Times New Roman" w:cs="Times New Roman"/>
        </w:rPr>
        <w:t>v roku 201</w:t>
      </w:r>
      <w:r>
        <w:rPr>
          <w:rFonts w:ascii="Times New Roman" w:hAnsi="Times New Roman" w:cs="Times New Roman"/>
        </w:rPr>
        <w:t>8 rozpočtujú vo výške 25,8 mil. eur</w:t>
      </w:r>
      <w:r w:rsidRPr="005F1146">
        <w:rPr>
          <w:rFonts w:ascii="Times New Roman" w:hAnsi="Times New Roman" w:cs="Times New Roman"/>
        </w:rPr>
        <w:t xml:space="preserve"> a tvoria ich iba prostriedky EÚ a spolufinancovani</w:t>
      </w:r>
      <w:r>
        <w:rPr>
          <w:rFonts w:ascii="Times New Roman" w:hAnsi="Times New Roman" w:cs="Times New Roman"/>
        </w:rPr>
        <w:t>a</w:t>
      </w:r>
      <w:r w:rsidRPr="005F1146">
        <w:rPr>
          <w:rFonts w:ascii="Times New Roman" w:hAnsi="Times New Roman" w:cs="Times New Roman"/>
        </w:rPr>
        <w:t>.</w:t>
      </w:r>
      <w:r w:rsidRPr="00E6506C">
        <w:rPr>
          <w:rFonts w:ascii="Times New Roman" w:hAnsi="Times New Roman" w:cs="Times New Roman"/>
        </w:rPr>
        <w:t xml:space="preserve"> </w:t>
      </w:r>
      <w:r w:rsidRPr="005F1146">
        <w:rPr>
          <w:rFonts w:ascii="Times New Roman" w:hAnsi="Times New Roman" w:cs="Times New Roman"/>
        </w:rPr>
        <w:t>Výdavky za oblasť celkovo</w:t>
      </w:r>
      <w:r>
        <w:rPr>
          <w:rFonts w:ascii="Times New Roman" w:hAnsi="Times New Roman" w:cs="Times New Roman"/>
        </w:rPr>
        <w:t xml:space="preserve"> majú smerovať na p</w:t>
      </w:r>
      <w:r w:rsidRPr="00F21E56">
        <w:rPr>
          <w:rFonts w:ascii="Times New Roman" w:hAnsi="Times New Roman" w:cs="Times New Roman"/>
        </w:rPr>
        <w:t>rojekty v oblasti podpory výroby energie z obnoviteľných zdrojov, zvýšenie energetickej efektívnosti v podnikoch ako aj verejných budovách (realizácia opatrení vyplývajúcich z vykonaných energetických auditov).</w:t>
      </w:r>
    </w:p>
    <w:p w:rsidR="007D13F3" w:rsidRPr="005F1146" w:rsidRDefault="007D13F3" w:rsidP="007D13F3">
      <w:pPr>
        <w:jc w:val="both"/>
        <w:rPr>
          <w:rFonts w:ascii="Times New Roman" w:hAnsi="Times New Roman" w:cs="Times New Roman"/>
          <w:b/>
        </w:rPr>
      </w:pPr>
    </w:p>
    <w:p w:rsidR="007D13F3" w:rsidRPr="005F1146" w:rsidRDefault="007D13F3" w:rsidP="007D13F3">
      <w:pPr>
        <w:jc w:val="both"/>
        <w:rPr>
          <w:rFonts w:ascii="Times New Roman" w:hAnsi="Times New Roman" w:cs="Times New Roman"/>
          <w:b/>
        </w:rPr>
      </w:pPr>
      <w:r w:rsidRPr="005F1146">
        <w:rPr>
          <w:rFonts w:ascii="Times New Roman" w:hAnsi="Times New Roman" w:cs="Times New Roman"/>
          <w:b/>
        </w:rPr>
        <w:t>Administratíva</w:t>
      </w:r>
    </w:p>
    <w:p w:rsidR="007D13F3" w:rsidRPr="005F1146" w:rsidRDefault="007D13F3" w:rsidP="007D13F3">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8"/>
        <w:gridCol w:w="1006"/>
        <w:gridCol w:w="1006"/>
        <w:gridCol w:w="1006"/>
        <w:gridCol w:w="1006"/>
        <w:gridCol w:w="1006"/>
        <w:gridCol w:w="1006"/>
        <w:gridCol w:w="1008"/>
      </w:tblGrid>
      <w:tr w:rsidR="007D13F3" w:rsidRPr="00E42EBB" w:rsidTr="00465CAC">
        <w:trPr>
          <w:trHeight w:val="270"/>
        </w:trPr>
        <w:tc>
          <w:tcPr>
            <w:tcW w:w="1113" w:type="pct"/>
            <w:shd w:val="clear" w:color="auto" w:fill="A6A6A6"/>
            <w:noWrap/>
            <w:vAlign w:val="center"/>
            <w:hideMark/>
          </w:tcPr>
          <w:p w:rsidR="007D13F3" w:rsidRPr="00E42EBB" w:rsidRDefault="007D13F3" w:rsidP="00465CAC">
            <w:pPr>
              <w:rPr>
                <w:rFonts w:ascii="Times New Roman" w:hAnsi="Times New Roman" w:cs="Times New Roman"/>
                <w:b/>
                <w:bCs/>
                <w:color w:val="000000"/>
                <w:sz w:val="14"/>
                <w:szCs w:val="14"/>
              </w:rPr>
            </w:pPr>
            <w:r w:rsidRPr="00E42EBB">
              <w:rPr>
                <w:rFonts w:ascii="Times New Roman" w:hAnsi="Times New Roman" w:cs="Times New Roman"/>
                <w:b/>
                <w:bCs/>
                <w:color w:val="000000"/>
                <w:sz w:val="14"/>
                <w:szCs w:val="14"/>
              </w:rPr>
              <w:t>v eurách </w:t>
            </w:r>
          </w:p>
        </w:tc>
        <w:tc>
          <w:tcPr>
            <w:tcW w:w="555" w:type="pct"/>
            <w:shd w:val="clear" w:color="000000" w:fill="A6A6A6"/>
            <w:vAlign w:val="bottom"/>
            <w:hideMark/>
          </w:tcPr>
          <w:p w:rsidR="007D13F3" w:rsidRPr="00E42EBB" w:rsidRDefault="007D13F3" w:rsidP="00465CAC">
            <w:pPr>
              <w:jc w:val="center"/>
              <w:rPr>
                <w:rFonts w:ascii="Times New Roman" w:hAnsi="Times New Roman" w:cs="Times New Roman"/>
                <w:b/>
                <w:bCs/>
                <w:color w:val="000000"/>
                <w:sz w:val="14"/>
                <w:szCs w:val="14"/>
              </w:rPr>
            </w:pPr>
            <w:r w:rsidRPr="00E42EBB">
              <w:rPr>
                <w:rFonts w:ascii="Times New Roman" w:hAnsi="Times New Roman" w:cs="Times New Roman"/>
                <w:b/>
                <w:bCs/>
                <w:color w:val="000000"/>
                <w:sz w:val="14"/>
                <w:szCs w:val="14"/>
              </w:rPr>
              <w:t>2015 S</w:t>
            </w:r>
          </w:p>
        </w:tc>
        <w:tc>
          <w:tcPr>
            <w:tcW w:w="555" w:type="pct"/>
            <w:shd w:val="clear" w:color="000000" w:fill="A6A6A6"/>
            <w:noWrap/>
            <w:vAlign w:val="bottom"/>
            <w:hideMark/>
          </w:tcPr>
          <w:p w:rsidR="007D13F3" w:rsidRPr="00E42EBB" w:rsidRDefault="007D13F3" w:rsidP="00465CAC">
            <w:pPr>
              <w:jc w:val="center"/>
              <w:rPr>
                <w:rFonts w:ascii="Times New Roman" w:hAnsi="Times New Roman" w:cs="Times New Roman"/>
                <w:b/>
                <w:bCs/>
                <w:color w:val="000000"/>
                <w:sz w:val="14"/>
                <w:szCs w:val="14"/>
              </w:rPr>
            </w:pPr>
            <w:r w:rsidRPr="00E42EBB">
              <w:rPr>
                <w:rFonts w:ascii="Times New Roman" w:hAnsi="Times New Roman" w:cs="Times New Roman"/>
                <w:b/>
                <w:bCs/>
                <w:color w:val="000000"/>
                <w:sz w:val="14"/>
                <w:szCs w:val="14"/>
              </w:rPr>
              <w:t>2016 S</w:t>
            </w:r>
          </w:p>
        </w:tc>
        <w:tc>
          <w:tcPr>
            <w:tcW w:w="555" w:type="pct"/>
            <w:shd w:val="clear" w:color="000000" w:fill="A6A6A6"/>
            <w:noWrap/>
            <w:vAlign w:val="bottom"/>
            <w:hideMark/>
          </w:tcPr>
          <w:p w:rsidR="007D13F3" w:rsidRPr="00E42EBB" w:rsidRDefault="007D13F3" w:rsidP="00465CAC">
            <w:pPr>
              <w:jc w:val="center"/>
              <w:rPr>
                <w:rFonts w:ascii="Times New Roman" w:hAnsi="Times New Roman" w:cs="Times New Roman"/>
                <w:b/>
                <w:bCs/>
                <w:color w:val="000000"/>
                <w:sz w:val="14"/>
                <w:szCs w:val="14"/>
              </w:rPr>
            </w:pPr>
            <w:r w:rsidRPr="00E42EBB">
              <w:rPr>
                <w:rFonts w:ascii="Times New Roman" w:hAnsi="Times New Roman" w:cs="Times New Roman"/>
                <w:b/>
                <w:bCs/>
                <w:color w:val="000000"/>
                <w:sz w:val="14"/>
                <w:szCs w:val="14"/>
              </w:rPr>
              <w:t>2017 R</w:t>
            </w:r>
          </w:p>
        </w:tc>
        <w:tc>
          <w:tcPr>
            <w:tcW w:w="555" w:type="pct"/>
            <w:shd w:val="clear" w:color="000000" w:fill="A6A6A6"/>
            <w:vAlign w:val="bottom"/>
            <w:hideMark/>
          </w:tcPr>
          <w:p w:rsidR="007D13F3" w:rsidRPr="00E42EBB" w:rsidRDefault="007D13F3" w:rsidP="00465CAC">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2017 OS</w:t>
            </w:r>
          </w:p>
        </w:tc>
        <w:tc>
          <w:tcPr>
            <w:tcW w:w="555" w:type="pct"/>
            <w:shd w:val="clear" w:color="000000" w:fill="A6A6A6"/>
            <w:noWrap/>
            <w:vAlign w:val="bottom"/>
            <w:hideMark/>
          </w:tcPr>
          <w:p w:rsidR="007D13F3" w:rsidRPr="00E42EBB" w:rsidRDefault="007D13F3" w:rsidP="00465CAC">
            <w:pPr>
              <w:jc w:val="center"/>
              <w:rPr>
                <w:rFonts w:ascii="Times New Roman" w:hAnsi="Times New Roman" w:cs="Times New Roman"/>
                <w:b/>
                <w:bCs/>
                <w:color w:val="000000"/>
                <w:sz w:val="14"/>
                <w:szCs w:val="14"/>
              </w:rPr>
            </w:pPr>
            <w:r w:rsidRPr="00E42EBB">
              <w:rPr>
                <w:rFonts w:ascii="Times New Roman" w:hAnsi="Times New Roman" w:cs="Times New Roman"/>
                <w:b/>
                <w:bCs/>
                <w:color w:val="000000"/>
                <w:sz w:val="14"/>
                <w:szCs w:val="14"/>
              </w:rPr>
              <w:t>2018 N</w:t>
            </w:r>
          </w:p>
        </w:tc>
        <w:tc>
          <w:tcPr>
            <w:tcW w:w="555" w:type="pct"/>
            <w:shd w:val="clear" w:color="000000" w:fill="A6A6A6"/>
            <w:noWrap/>
            <w:vAlign w:val="bottom"/>
            <w:hideMark/>
          </w:tcPr>
          <w:p w:rsidR="007D13F3" w:rsidRPr="00E42EBB" w:rsidRDefault="007D13F3" w:rsidP="00465CAC">
            <w:pPr>
              <w:jc w:val="center"/>
              <w:rPr>
                <w:rFonts w:ascii="Times New Roman" w:hAnsi="Times New Roman" w:cs="Times New Roman"/>
                <w:b/>
                <w:bCs/>
                <w:color w:val="000000"/>
                <w:sz w:val="14"/>
                <w:szCs w:val="14"/>
              </w:rPr>
            </w:pPr>
            <w:r w:rsidRPr="00E42EBB">
              <w:rPr>
                <w:rFonts w:ascii="Times New Roman" w:hAnsi="Times New Roman" w:cs="Times New Roman"/>
                <w:b/>
                <w:bCs/>
                <w:color w:val="000000"/>
                <w:sz w:val="14"/>
                <w:szCs w:val="14"/>
              </w:rPr>
              <w:t>2019 N</w:t>
            </w:r>
          </w:p>
        </w:tc>
        <w:tc>
          <w:tcPr>
            <w:tcW w:w="556" w:type="pct"/>
            <w:shd w:val="clear" w:color="000000" w:fill="A6A6A6"/>
            <w:noWrap/>
            <w:vAlign w:val="bottom"/>
            <w:hideMark/>
          </w:tcPr>
          <w:p w:rsidR="007D13F3" w:rsidRPr="00E42EBB" w:rsidRDefault="007D13F3" w:rsidP="00465CAC">
            <w:pPr>
              <w:jc w:val="center"/>
              <w:rPr>
                <w:rFonts w:ascii="Times New Roman" w:hAnsi="Times New Roman" w:cs="Times New Roman"/>
                <w:b/>
                <w:bCs/>
                <w:color w:val="000000"/>
                <w:sz w:val="14"/>
                <w:szCs w:val="14"/>
              </w:rPr>
            </w:pPr>
            <w:r w:rsidRPr="00E42EBB">
              <w:rPr>
                <w:rFonts w:ascii="Times New Roman" w:hAnsi="Times New Roman" w:cs="Times New Roman"/>
                <w:b/>
                <w:bCs/>
                <w:color w:val="000000"/>
                <w:sz w:val="14"/>
                <w:szCs w:val="14"/>
              </w:rPr>
              <w:t>2020 N</w:t>
            </w:r>
          </w:p>
        </w:tc>
      </w:tr>
      <w:tr w:rsidR="007D13F3" w:rsidRPr="00E42EBB" w:rsidTr="00465CAC">
        <w:trPr>
          <w:trHeight w:val="270"/>
        </w:trPr>
        <w:tc>
          <w:tcPr>
            <w:tcW w:w="1113" w:type="pct"/>
            <w:shd w:val="clear" w:color="000000" w:fill="BFBFBF"/>
            <w:vAlign w:val="center"/>
            <w:hideMark/>
          </w:tcPr>
          <w:p w:rsidR="007D13F3" w:rsidRPr="00E42EBB" w:rsidRDefault="007D13F3" w:rsidP="00465CAC">
            <w:pPr>
              <w:rPr>
                <w:rFonts w:ascii="Times New Roman" w:hAnsi="Times New Roman" w:cs="Times New Roman"/>
                <w:b/>
                <w:bCs/>
                <w:color w:val="000000"/>
                <w:sz w:val="14"/>
                <w:szCs w:val="14"/>
              </w:rPr>
            </w:pPr>
            <w:r w:rsidRPr="00E42EBB">
              <w:rPr>
                <w:rFonts w:ascii="Times New Roman" w:hAnsi="Times New Roman" w:cs="Times New Roman"/>
                <w:b/>
                <w:bCs/>
                <w:color w:val="000000"/>
                <w:sz w:val="14"/>
                <w:szCs w:val="14"/>
              </w:rPr>
              <w:t>Administratíva</w:t>
            </w:r>
          </w:p>
        </w:tc>
        <w:tc>
          <w:tcPr>
            <w:tcW w:w="555" w:type="pct"/>
            <w:shd w:val="clear" w:color="000000" w:fill="C0C0C0"/>
            <w:noWrap/>
            <w:vAlign w:val="bottom"/>
            <w:hideMark/>
          </w:tcPr>
          <w:p w:rsidR="007D13F3" w:rsidRPr="00E42EBB" w:rsidRDefault="007D13F3" w:rsidP="00465CAC">
            <w:pPr>
              <w:jc w:val="right"/>
              <w:rPr>
                <w:rFonts w:ascii="Times New Roman" w:hAnsi="Times New Roman" w:cs="Times New Roman"/>
                <w:b/>
                <w:bCs/>
                <w:color w:val="000000"/>
                <w:sz w:val="14"/>
                <w:szCs w:val="14"/>
                <w:lang w:eastAsia="sk-SK"/>
              </w:rPr>
            </w:pPr>
            <w:r w:rsidRPr="00E42EBB">
              <w:rPr>
                <w:rFonts w:ascii="Times New Roman" w:hAnsi="Times New Roman" w:cs="Times New Roman"/>
                <w:b/>
                <w:bCs/>
                <w:color w:val="000000"/>
                <w:sz w:val="14"/>
                <w:szCs w:val="14"/>
              </w:rPr>
              <w:t>52 214 567</w:t>
            </w:r>
          </w:p>
        </w:tc>
        <w:tc>
          <w:tcPr>
            <w:tcW w:w="555" w:type="pct"/>
            <w:shd w:val="clear" w:color="000000" w:fill="C0C0C0"/>
            <w:noWrap/>
            <w:vAlign w:val="bottom"/>
          </w:tcPr>
          <w:p w:rsidR="007D13F3" w:rsidRPr="00E42EBB" w:rsidRDefault="007D13F3" w:rsidP="00465CAC">
            <w:pPr>
              <w:jc w:val="right"/>
              <w:rPr>
                <w:rFonts w:ascii="Times New Roman" w:hAnsi="Times New Roman" w:cs="Times New Roman"/>
                <w:b/>
                <w:bCs/>
                <w:color w:val="000000"/>
                <w:sz w:val="14"/>
                <w:szCs w:val="14"/>
                <w:lang w:eastAsia="sk-SK"/>
              </w:rPr>
            </w:pPr>
            <w:r w:rsidRPr="00E42EBB">
              <w:rPr>
                <w:rFonts w:ascii="Times New Roman" w:hAnsi="Times New Roman" w:cs="Times New Roman"/>
                <w:b/>
                <w:bCs/>
                <w:color w:val="000000"/>
                <w:sz w:val="14"/>
                <w:szCs w:val="14"/>
              </w:rPr>
              <w:t>45 698 964</w:t>
            </w:r>
          </w:p>
        </w:tc>
        <w:tc>
          <w:tcPr>
            <w:tcW w:w="555" w:type="pct"/>
            <w:shd w:val="clear" w:color="000000" w:fill="C0C0C0"/>
            <w:noWrap/>
            <w:vAlign w:val="bottom"/>
          </w:tcPr>
          <w:p w:rsidR="007D13F3" w:rsidRPr="00E42EBB" w:rsidRDefault="007D13F3" w:rsidP="00465CAC">
            <w:pPr>
              <w:jc w:val="right"/>
              <w:rPr>
                <w:rFonts w:ascii="Times New Roman" w:hAnsi="Times New Roman" w:cs="Times New Roman"/>
                <w:b/>
                <w:bCs/>
                <w:color w:val="000000"/>
                <w:sz w:val="14"/>
                <w:szCs w:val="14"/>
              </w:rPr>
            </w:pPr>
            <w:r w:rsidRPr="00E42EBB">
              <w:rPr>
                <w:rFonts w:ascii="Times New Roman" w:hAnsi="Times New Roman" w:cs="Times New Roman"/>
                <w:b/>
                <w:bCs/>
                <w:color w:val="000000"/>
                <w:sz w:val="14"/>
                <w:szCs w:val="14"/>
              </w:rPr>
              <w:t>79 048 487</w:t>
            </w:r>
          </w:p>
        </w:tc>
        <w:tc>
          <w:tcPr>
            <w:tcW w:w="555" w:type="pct"/>
            <w:shd w:val="clear" w:color="000000" w:fill="C0C0C0"/>
            <w:noWrap/>
            <w:vAlign w:val="bottom"/>
          </w:tcPr>
          <w:p w:rsidR="007D13F3" w:rsidRPr="00E42EBB" w:rsidRDefault="007D13F3" w:rsidP="00465CAC">
            <w:pPr>
              <w:jc w:val="right"/>
              <w:rPr>
                <w:rFonts w:ascii="Times New Roman" w:hAnsi="Times New Roman" w:cs="Times New Roman"/>
                <w:b/>
                <w:bCs/>
                <w:color w:val="000000"/>
                <w:sz w:val="14"/>
                <w:szCs w:val="14"/>
              </w:rPr>
            </w:pPr>
            <w:r w:rsidRPr="00E42EBB">
              <w:rPr>
                <w:rFonts w:ascii="Times New Roman" w:hAnsi="Times New Roman" w:cs="Times New Roman"/>
                <w:b/>
                <w:bCs/>
                <w:color w:val="000000"/>
                <w:sz w:val="14"/>
                <w:szCs w:val="14"/>
              </w:rPr>
              <w:t>35 473 482</w:t>
            </w:r>
          </w:p>
        </w:tc>
        <w:tc>
          <w:tcPr>
            <w:tcW w:w="555" w:type="pct"/>
            <w:shd w:val="clear" w:color="000000" w:fill="C0C0C0"/>
            <w:noWrap/>
            <w:vAlign w:val="bottom"/>
          </w:tcPr>
          <w:p w:rsidR="007D13F3" w:rsidRPr="00E42EBB" w:rsidRDefault="007D13F3" w:rsidP="00465CAC">
            <w:pPr>
              <w:jc w:val="right"/>
              <w:rPr>
                <w:rFonts w:ascii="Times New Roman" w:hAnsi="Times New Roman" w:cs="Times New Roman"/>
                <w:b/>
                <w:bCs/>
                <w:color w:val="000000"/>
                <w:sz w:val="14"/>
                <w:szCs w:val="14"/>
                <w:lang w:eastAsia="sk-SK"/>
              </w:rPr>
            </w:pPr>
            <w:r w:rsidRPr="00E42EBB">
              <w:rPr>
                <w:rFonts w:ascii="Times New Roman" w:hAnsi="Times New Roman" w:cs="Times New Roman"/>
                <w:b/>
                <w:bCs/>
                <w:color w:val="000000"/>
                <w:sz w:val="14"/>
                <w:szCs w:val="14"/>
              </w:rPr>
              <w:t>37 581 101</w:t>
            </w:r>
          </w:p>
        </w:tc>
        <w:tc>
          <w:tcPr>
            <w:tcW w:w="555" w:type="pct"/>
            <w:shd w:val="clear" w:color="000000" w:fill="C0C0C0"/>
            <w:noWrap/>
            <w:vAlign w:val="bottom"/>
          </w:tcPr>
          <w:p w:rsidR="007D13F3" w:rsidRPr="00E42EBB" w:rsidRDefault="007D13F3" w:rsidP="00465CAC">
            <w:pPr>
              <w:jc w:val="right"/>
              <w:rPr>
                <w:rFonts w:ascii="Times New Roman" w:hAnsi="Times New Roman" w:cs="Times New Roman"/>
                <w:b/>
                <w:bCs/>
                <w:color w:val="000000"/>
                <w:sz w:val="14"/>
                <w:szCs w:val="14"/>
              </w:rPr>
            </w:pPr>
            <w:r w:rsidRPr="00E42EBB">
              <w:rPr>
                <w:rFonts w:ascii="Times New Roman" w:hAnsi="Times New Roman" w:cs="Times New Roman"/>
                <w:b/>
                <w:bCs/>
                <w:color w:val="000000"/>
                <w:sz w:val="14"/>
                <w:szCs w:val="14"/>
              </w:rPr>
              <w:t>42 448 495</w:t>
            </w:r>
          </w:p>
        </w:tc>
        <w:tc>
          <w:tcPr>
            <w:tcW w:w="556" w:type="pct"/>
            <w:shd w:val="clear" w:color="000000" w:fill="C0C0C0"/>
            <w:noWrap/>
            <w:vAlign w:val="bottom"/>
          </w:tcPr>
          <w:p w:rsidR="007D13F3" w:rsidRPr="00E42EBB" w:rsidRDefault="007D13F3" w:rsidP="00465CAC">
            <w:pPr>
              <w:jc w:val="right"/>
              <w:rPr>
                <w:rFonts w:ascii="Times New Roman" w:hAnsi="Times New Roman" w:cs="Times New Roman"/>
                <w:b/>
                <w:bCs/>
                <w:color w:val="000000"/>
                <w:sz w:val="14"/>
                <w:szCs w:val="14"/>
              </w:rPr>
            </w:pPr>
            <w:r w:rsidRPr="00E42EBB">
              <w:rPr>
                <w:rFonts w:ascii="Times New Roman" w:hAnsi="Times New Roman" w:cs="Times New Roman"/>
                <w:b/>
                <w:bCs/>
                <w:color w:val="000000"/>
                <w:sz w:val="14"/>
                <w:szCs w:val="14"/>
              </w:rPr>
              <w:t>43 370 136</w:t>
            </w:r>
          </w:p>
        </w:tc>
      </w:tr>
      <w:tr w:rsidR="007D13F3" w:rsidRPr="00E42EBB" w:rsidTr="00465CAC">
        <w:trPr>
          <w:trHeight w:val="270"/>
        </w:trPr>
        <w:tc>
          <w:tcPr>
            <w:tcW w:w="1113" w:type="pct"/>
            <w:shd w:val="clear" w:color="000000" w:fill="FFFFFF"/>
            <w:noWrap/>
            <w:vAlign w:val="center"/>
            <w:hideMark/>
          </w:tcPr>
          <w:p w:rsidR="007D13F3" w:rsidRPr="00E42EBB" w:rsidRDefault="007D13F3" w:rsidP="00465CAC">
            <w:pPr>
              <w:rPr>
                <w:rFonts w:ascii="Times New Roman" w:hAnsi="Times New Roman" w:cs="Times New Roman"/>
                <w:b/>
                <w:color w:val="000000"/>
                <w:sz w:val="14"/>
                <w:szCs w:val="14"/>
              </w:rPr>
            </w:pPr>
            <w:r w:rsidRPr="00E42EBB">
              <w:rPr>
                <w:rFonts w:ascii="Times New Roman" w:hAnsi="Times New Roman" w:cs="Times New Roman"/>
                <w:b/>
                <w:color w:val="000000"/>
                <w:sz w:val="14"/>
                <w:szCs w:val="14"/>
              </w:rPr>
              <w:t>rozpočtové zdroje kapitoly</w:t>
            </w:r>
          </w:p>
        </w:tc>
        <w:tc>
          <w:tcPr>
            <w:tcW w:w="555" w:type="pct"/>
            <w:shd w:val="clear" w:color="000000" w:fill="FFFFFF"/>
            <w:noWrap/>
            <w:vAlign w:val="bottom"/>
            <w:hideMark/>
          </w:tcPr>
          <w:p w:rsidR="007D13F3" w:rsidRPr="00E42EBB" w:rsidRDefault="007D13F3" w:rsidP="00465CAC">
            <w:pPr>
              <w:jc w:val="right"/>
              <w:rPr>
                <w:rFonts w:ascii="Times New Roman" w:hAnsi="Times New Roman" w:cs="Times New Roman"/>
                <w:b/>
                <w:color w:val="000000"/>
                <w:sz w:val="14"/>
                <w:szCs w:val="14"/>
              </w:rPr>
            </w:pPr>
            <w:r w:rsidRPr="00E42EBB">
              <w:rPr>
                <w:rFonts w:ascii="Times New Roman" w:hAnsi="Times New Roman" w:cs="Times New Roman"/>
                <w:b/>
                <w:color w:val="000000"/>
                <w:sz w:val="14"/>
                <w:szCs w:val="14"/>
              </w:rPr>
              <w:t>31 152 716</w:t>
            </w:r>
          </w:p>
        </w:tc>
        <w:tc>
          <w:tcPr>
            <w:tcW w:w="555" w:type="pct"/>
            <w:shd w:val="clear" w:color="000000" w:fill="FFFFFF"/>
            <w:noWrap/>
            <w:vAlign w:val="bottom"/>
          </w:tcPr>
          <w:p w:rsidR="007D13F3" w:rsidRPr="00E42EBB" w:rsidRDefault="007D13F3" w:rsidP="00465CAC">
            <w:pPr>
              <w:jc w:val="right"/>
              <w:rPr>
                <w:rFonts w:ascii="Times New Roman" w:hAnsi="Times New Roman" w:cs="Times New Roman"/>
                <w:b/>
                <w:color w:val="000000"/>
                <w:sz w:val="14"/>
                <w:szCs w:val="14"/>
              </w:rPr>
            </w:pPr>
            <w:r w:rsidRPr="00E42EBB">
              <w:rPr>
                <w:rFonts w:ascii="Times New Roman" w:hAnsi="Times New Roman" w:cs="Times New Roman"/>
                <w:b/>
                <w:color w:val="000000"/>
                <w:sz w:val="14"/>
                <w:szCs w:val="14"/>
              </w:rPr>
              <w:t>17 864 477</w:t>
            </w:r>
          </w:p>
        </w:tc>
        <w:tc>
          <w:tcPr>
            <w:tcW w:w="555" w:type="pct"/>
            <w:shd w:val="clear" w:color="000000" w:fill="FFFFFF"/>
            <w:noWrap/>
            <w:vAlign w:val="bottom"/>
          </w:tcPr>
          <w:p w:rsidR="007D13F3" w:rsidRPr="00E42EBB" w:rsidRDefault="007D13F3" w:rsidP="00465CAC">
            <w:pPr>
              <w:jc w:val="right"/>
              <w:rPr>
                <w:rFonts w:ascii="Times New Roman" w:hAnsi="Times New Roman" w:cs="Times New Roman"/>
                <w:b/>
                <w:color w:val="000000"/>
                <w:sz w:val="14"/>
                <w:szCs w:val="14"/>
              </w:rPr>
            </w:pPr>
            <w:r w:rsidRPr="00E42EBB">
              <w:rPr>
                <w:rFonts w:ascii="Times New Roman" w:hAnsi="Times New Roman" w:cs="Times New Roman"/>
                <w:b/>
                <w:color w:val="000000"/>
                <w:sz w:val="14"/>
                <w:szCs w:val="14"/>
              </w:rPr>
              <w:t>23 967 441</w:t>
            </w:r>
          </w:p>
        </w:tc>
        <w:tc>
          <w:tcPr>
            <w:tcW w:w="555" w:type="pct"/>
            <w:shd w:val="clear" w:color="000000" w:fill="FFFFFF"/>
            <w:noWrap/>
            <w:vAlign w:val="bottom"/>
          </w:tcPr>
          <w:p w:rsidR="007D13F3" w:rsidRPr="00E42EBB" w:rsidRDefault="007D13F3" w:rsidP="00465CAC">
            <w:pPr>
              <w:jc w:val="right"/>
              <w:rPr>
                <w:rFonts w:ascii="Times New Roman" w:hAnsi="Times New Roman" w:cs="Times New Roman"/>
                <w:b/>
                <w:color w:val="000000"/>
                <w:sz w:val="14"/>
                <w:szCs w:val="14"/>
              </w:rPr>
            </w:pPr>
            <w:r w:rsidRPr="00E42EBB">
              <w:rPr>
                <w:rFonts w:ascii="Times New Roman" w:hAnsi="Times New Roman" w:cs="Times New Roman"/>
                <w:b/>
                <w:color w:val="000000"/>
                <w:sz w:val="14"/>
                <w:szCs w:val="14"/>
              </w:rPr>
              <w:t>23 472 625</w:t>
            </w:r>
          </w:p>
        </w:tc>
        <w:tc>
          <w:tcPr>
            <w:tcW w:w="555" w:type="pct"/>
            <w:shd w:val="clear" w:color="000000" w:fill="FFFFFF"/>
            <w:noWrap/>
            <w:vAlign w:val="bottom"/>
          </w:tcPr>
          <w:p w:rsidR="007D13F3" w:rsidRPr="00E42EBB" w:rsidRDefault="007D13F3" w:rsidP="00465CAC">
            <w:pPr>
              <w:jc w:val="right"/>
              <w:rPr>
                <w:rFonts w:ascii="Times New Roman" w:hAnsi="Times New Roman" w:cs="Times New Roman"/>
                <w:b/>
                <w:color w:val="000000"/>
                <w:sz w:val="14"/>
                <w:szCs w:val="14"/>
              </w:rPr>
            </w:pPr>
            <w:r w:rsidRPr="00E42EBB">
              <w:rPr>
                <w:rFonts w:ascii="Times New Roman" w:hAnsi="Times New Roman" w:cs="Times New Roman"/>
                <w:b/>
                <w:color w:val="000000"/>
                <w:sz w:val="14"/>
                <w:szCs w:val="14"/>
              </w:rPr>
              <w:t>28 862 197</w:t>
            </w:r>
          </w:p>
        </w:tc>
        <w:tc>
          <w:tcPr>
            <w:tcW w:w="555" w:type="pct"/>
            <w:shd w:val="clear" w:color="000000" w:fill="FFFFFF"/>
            <w:noWrap/>
            <w:vAlign w:val="bottom"/>
          </w:tcPr>
          <w:p w:rsidR="007D13F3" w:rsidRPr="00E42EBB" w:rsidRDefault="007D13F3" w:rsidP="00465CAC">
            <w:pPr>
              <w:jc w:val="right"/>
              <w:rPr>
                <w:rFonts w:ascii="Times New Roman" w:hAnsi="Times New Roman" w:cs="Times New Roman"/>
                <w:b/>
                <w:color w:val="000000"/>
                <w:sz w:val="14"/>
                <w:szCs w:val="14"/>
              </w:rPr>
            </w:pPr>
            <w:r w:rsidRPr="00E42EBB">
              <w:rPr>
                <w:rFonts w:ascii="Times New Roman" w:hAnsi="Times New Roman" w:cs="Times New Roman"/>
                <w:b/>
                <w:color w:val="000000"/>
                <w:sz w:val="14"/>
                <w:szCs w:val="14"/>
              </w:rPr>
              <w:t>24 588 342</w:t>
            </w:r>
          </w:p>
        </w:tc>
        <w:tc>
          <w:tcPr>
            <w:tcW w:w="556" w:type="pct"/>
            <w:shd w:val="clear" w:color="000000" w:fill="FFFFFF"/>
            <w:noWrap/>
            <w:vAlign w:val="bottom"/>
          </w:tcPr>
          <w:p w:rsidR="007D13F3" w:rsidRPr="00E42EBB" w:rsidRDefault="007D13F3" w:rsidP="00465CAC">
            <w:pPr>
              <w:jc w:val="right"/>
              <w:rPr>
                <w:rFonts w:ascii="Times New Roman" w:hAnsi="Times New Roman" w:cs="Times New Roman"/>
                <w:b/>
                <w:color w:val="000000"/>
                <w:sz w:val="14"/>
                <w:szCs w:val="14"/>
              </w:rPr>
            </w:pPr>
            <w:r w:rsidRPr="00E42EBB">
              <w:rPr>
                <w:rFonts w:ascii="Times New Roman" w:hAnsi="Times New Roman" w:cs="Times New Roman"/>
                <w:b/>
                <w:color w:val="000000"/>
                <w:sz w:val="14"/>
                <w:szCs w:val="14"/>
              </w:rPr>
              <w:t>24 616 975</w:t>
            </w:r>
          </w:p>
        </w:tc>
      </w:tr>
      <w:tr w:rsidR="007D13F3" w:rsidRPr="00E42EBB" w:rsidTr="00465CAC">
        <w:trPr>
          <w:trHeight w:val="270"/>
        </w:trPr>
        <w:tc>
          <w:tcPr>
            <w:tcW w:w="1113" w:type="pct"/>
            <w:shd w:val="clear" w:color="000000" w:fill="FFFFFF"/>
            <w:noWrap/>
            <w:vAlign w:val="center"/>
            <w:hideMark/>
          </w:tcPr>
          <w:p w:rsidR="007D13F3" w:rsidRPr="00E42EBB" w:rsidRDefault="007D13F3" w:rsidP="00465CAC">
            <w:pPr>
              <w:rPr>
                <w:rFonts w:ascii="Times New Roman" w:hAnsi="Times New Roman" w:cs="Times New Roman"/>
                <w:color w:val="000000"/>
                <w:sz w:val="14"/>
                <w:szCs w:val="14"/>
              </w:rPr>
            </w:pPr>
            <w:r w:rsidRPr="00E42EBB">
              <w:rPr>
                <w:rFonts w:ascii="Times New Roman" w:hAnsi="Times New Roman" w:cs="Times New Roman"/>
                <w:color w:val="000000"/>
                <w:sz w:val="14"/>
                <w:szCs w:val="14"/>
              </w:rPr>
              <w:t xml:space="preserve">zdroje EÚ </w:t>
            </w:r>
          </w:p>
        </w:tc>
        <w:tc>
          <w:tcPr>
            <w:tcW w:w="555" w:type="pct"/>
            <w:shd w:val="clear" w:color="000000" w:fill="FFFFFF"/>
            <w:noWrap/>
            <w:vAlign w:val="bottom"/>
            <w:hideMark/>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7 262 491</w:t>
            </w:r>
          </w:p>
        </w:tc>
        <w:tc>
          <w:tcPr>
            <w:tcW w:w="555" w:type="pct"/>
            <w:shd w:val="clear" w:color="000000" w:fill="FFFFFF"/>
            <w:noWrap/>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2 549 585</w:t>
            </w:r>
          </w:p>
        </w:tc>
        <w:tc>
          <w:tcPr>
            <w:tcW w:w="555" w:type="pct"/>
            <w:shd w:val="clear" w:color="000000" w:fill="FFFFFF"/>
            <w:noWrap/>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49 008 547</w:t>
            </w:r>
          </w:p>
        </w:tc>
        <w:tc>
          <w:tcPr>
            <w:tcW w:w="555" w:type="pct"/>
            <w:shd w:val="clear" w:color="000000" w:fill="FFFFFF"/>
            <w:noWrap/>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0</w:t>
            </w:r>
          </w:p>
        </w:tc>
        <w:tc>
          <w:tcPr>
            <w:tcW w:w="555" w:type="pct"/>
            <w:shd w:val="clear" w:color="000000" w:fill="FFFFFF"/>
            <w:noWrap/>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5 929 998</w:t>
            </w:r>
          </w:p>
        </w:tc>
        <w:tc>
          <w:tcPr>
            <w:tcW w:w="555" w:type="pct"/>
            <w:shd w:val="clear" w:color="000000" w:fill="FFFFFF"/>
            <w:noWrap/>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14 823 151</w:t>
            </w:r>
          </w:p>
        </w:tc>
        <w:tc>
          <w:tcPr>
            <w:tcW w:w="556" w:type="pct"/>
            <w:shd w:val="clear" w:color="000000" w:fill="FFFFFF"/>
            <w:noWrap/>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15 564 309</w:t>
            </w:r>
          </w:p>
        </w:tc>
      </w:tr>
      <w:tr w:rsidR="007D13F3" w:rsidRPr="00E42EBB" w:rsidTr="00465CAC">
        <w:trPr>
          <w:trHeight w:val="270"/>
        </w:trPr>
        <w:tc>
          <w:tcPr>
            <w:tcW w:w="1113" w:type="pct"/>
            <w:shd w:val="clear" w:color="000000" w:fill="FFFFFF"/>
            <w:vAlign w:val="center"/>
            <w:hideMark/>
          </w:tcPr>
          <w:p w:rsidR="007D13F3" w:rsidRPr="00E42EBB" w:rsidRDefault="007D13F3" w:rsidP="00465CAC">
            <w:pPr>
              <w:rPr>
                <w:rFonts w:ascii="Times New Roman" w:hAnsi="Times New Roman" w:cs="Times New Roman"/>
                <w:color w:val="000000"/>
                <w:sz w:val="14"/>
                <w:szCs w:val="14"/>
              </w:rPr>
            </w:pPr>
            <w:r w:rsidRPr="00E42EBB">
              <w:rPr>
                <w:rFonts w:ascii="Times New Roman" w:hAnsi="Times New Roman" w:cs="Times New Roman"/>
                <w:color w:val="000000"/>
                <w:sz w:val="14"/>
                <w:szCs w:val="14"/>
              </w:rPr>
              <w:t>spolufinancovanie zo ŠR</w:t>
            </w:r>
          </w:p>
        </w:tc>
        <w:tc>
          <w:tcPr>
            <w:tcW w:w="555" w:type="pct"/>
            <w:shd w:val="clear" w:color="auto" w:fill="auto"/>
            <w:vAlign w:val="bottom"/>
            <w:hideMark/>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36 138</w:t>
            </w:r>
          </w:p>
        </w:tc>
        <w:tc>
          <w:tcPr>
            <w:tcW w:w="555" w:type="pct"/>
            <w:shd w:val="clear" w:color="auto" w:fill="auto"/>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895 008</w:t>
            </w:r>
          </w:p>
        </w:tc>
        <w:tc>
          <w:tcPr>
            <w:tcW w:w="555" w:type="pct"/>
            <w:shd w:val="clear" w:color="auto" w:fill="auto"/>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6 072 499</w:t>
            </w:r>
          </w:p>
        </w:tc>
        <w:tc>
          <w:tcPr>
            <w:tcW w:w="555" w:type="pct"/>
            <w:shd w:val="clear" w:color="auto" w:fill="auto"/>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0</w:t>
            </w:r>
          </w:p>
        </w:tc>
        <w:tc>
          <w:tcPr>
            <w:tcW w:w="555" w:type="pct"/>
            <w:shd w:val="clear" w:color="auto" w:fill="auto"/>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2 788 906</w:t>
            </w:r>
          </w:p>
        </w:tc>
        <w:tc>
          <w:tcPr>
            <w:tcW w:w="555" w:type="pct"/>
            <w:shd w:val="clear" w:color="auto" w:fill="auto"/>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3 037 002</w:t>
            </w:r>
          </w:p>
        </w:tc>
        <w:tc>
          <w:tcPr>
            <w:tcW w:w="556" w:type="pct"/>
            <w:shd w:val="clear" w:color="auto" w:fill="auto"/>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3 188 852</w:t>
            </w:r>
          </w:p>
        </w:tc>
      </w:tr>
      <w:tr w:rsidR="007D13F3" w:rsidRPr="00E42EBB" w:rsidTr="00465CAC">
        <w:trPr>
          <w:trHeight w:val="270"/>
        </w:trPr>
        <w:tc>
          <w:tcPr>
            <w:tcW w:w="1113" w:type="pct"/>
            <w:noWrap/>
            <w:vAlign w:val="center"/>
            <w:hideMark/>
          </w:tcPr>
          <w:p w:rsidR="007D13F3" w:rsidRPr="00E42EBB" w:rsidRDefault="007D13F3" w:rsidP="00465CAC">
            <w:pPr>
              <w:rPr>
                <w:rFonts w:ascii="Times New Roman" w:hAnsi="Times New Roman" w:cs="Times New Roman"/>
                <w:color w:val="000000"/>
                <w:sz w:val="14"/>
                <w:szCs w:val="14"/>
              </w:rPr>
            </w:pPr>
            <w:r w:rsidRPr="00E42EBB">
              <w:rPr>
                <w:rFonts w:ascii="Times New Roman" w:hAnsi="Times New Roman" w:cs="Times New Roman"/>
                <w:color w:val="000000"/>
                <w:sz w:val="14"/>
                <w:szCs w:val="14"/>
              </w:rPr>
              <w:t>presun z minulých rokov</w:t>
            </w:r>
          </w:p>
        </w:tc>
        <w:tc>
          <w:tcPr>
            <w:tcW w:w="555" w:type="pct"/>
            <w:shd w:val="clear" w:color="auto" w:fill="auto"/>
            <w:vAlign w:val="bottom"/>
            <w:hideMark/>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13 763 222</w:t>
            </w:r>
          </w:p>
        </w:tc>
        <w:tc>
          <w:tcPr>
            <w:tcW w:w="555" w:type="pct"/>
            <w:shd w:val="clear" w:color="auto" w:fill="auto"/>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24 389 895</w:t>
            </w:r>
          </w:p>
        </w:tc>
        <w:tc>
          <w:tcPr>
            <w:tcW w:w="555" w:type="pct"/>
            <w:shd w:val="clear" w:color="auto" w:fill="auto"/>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0</w:t>
            </w:r>
          </w:p>
        </w:tc>
        <w:tc>
          <w:tcPr>
            <w:tcW w:w="555" w:type="pct"/>
            <w:shd w:val="clear" w:color="auto" w:fill="auto"/>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12 000 858</w:t>
            </w:r>
          </w:p>
        </w:tc>
        <w:tc>
          <w:tcPr>
            <w:tcW w:w="555" w:type="pct"/>
            <w:shd w:val="clear" w:color="auto" w:fill="auto"/>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0</w:t>
            </w:r>
          </w:p>
        </w:tc>
        <w:tc>
          <w:tcPr>
            <w:tcW w:w="555" w:type="pct"/>
            <w:shd w:val="clear" w:color="auto" w:fill="auto"/>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0</w:t>
            </w:r>
          </w:p>
        </w:tc>
        <w:tc>
          <w:tcPr>
            <w:tcW w:w="556" w:type="pct"/>
            <w:shd w:val="clear" w:color="auto" w:fill="auto"/>
            <w:vAlign w:val="bottom"/>
          </w:tcPr>
          <w:p w:rsidR="007D13F3" w:rsidRPr="00E42EBB" w:rsidRDefault="007D13F3" w:rsidP="00465CAC">
            <w:pPr>
              <w:jc w:val="right"/>
              <w:rPr>
                <w:rFonts w:ascii="Times New Roman" w:hAnsi="Times New Roman" w:cs="Times New Roman"/>
                <w:color w:val="000000"/>
                <w:sz w:val="14"/>
                <w:szCs w:val="14"/>
              </w:rPr>
            </w:pPr>
            <w:r w:rsidRPr="00E42EBB">
              <w:rPr>
                <w:rFonts w:ascii="Times New Roman" w:hAnsi="Times New Roman" w:cs="Times New Roman"/>
                <w:color w:val="000000"/>
                <w:sz w:val="14"/>
                <w:szCs w:val="14"/>
              </w:rPr>
              <w:t>0</w:t>
            </w:r>
          </w:p>
        </w:tc>
      </w:tr>
    </w:tbl>
    <w:p w:rsidR="007D13F3" w:rsidRPr="005F1146" w:rsidRDefault="007D13F3" w:rsidP="007D13F3">
      <w:pPr>
        <w:jc w:val="both"/>
        <w:rPr>
          <w:rFonts w:ascii="Times New Roman" w:hAnsi="Times New Roman" w:cs="Times New Roman"/>
          <w:bCs/>
        </w:rPr>
      </w:pPr>
    </w:p>
    <w:p w:rsidR="007D13F3" w:rsidRPr="00E76489" w:rsidRDefault="007D13F3" w:rsidP="007D13F3">
      <w:pPr>
        <w:ind w:firstLine="708"/>
        <w:jc w:val="both"/>
        <w:rPr>
          <w:rFonts w:ascii="Times New Roman" w:hAnsi="Times New Roman" w:cs="Times New Roman"/>
        </w:rPr>
      </w:pPr>
      <w:r>
        <w:rPr>
          <w:rFonts w:ascii="Times New Roman" w:hAnsi="Times New Roman" w:cs="Times New Roman"/>
          <w:bCs/>
        </w:rPr>
        <w:t>Na administratívu</w:t>
      </w:r>
      <w:r w:rsidRPr="005F1146">
        <w:rPr>
          <w:rFonts w:ascii="Times New Roman" w:hAnsi="Times New Roman" w:cs="Times New Roman"/>
        </w:rPr>
        <w:t xml:space="preserve"> životného prostredia je v roku 20</w:t>
      </w:r>
      <w:r>
        <w:rPr>
          <w:rFonts w:ascii="Times New Roman" w:hAnsi="Times New Roman" w:cs="Times New Roman"/>
        </w:rPr>
        <w:t xml:space="preserve">18 spolu vyčlenených 37,6 </w:t>
      </w:r>
      <w:r w:rsidRPr="005F1146">
        <w:rPr>
          <w:rFonts w:ascii="Times New Roman" w:hAnsi="Times New Roman" w:cs="Times New Roman"/>
        </w:rPr>
        <w:t>mil. eur, čo predstavuje v porovnaní so schváleným rozpočtom roku 201</w:t>
      </w:r>
      <w:r>
        <w:rPr>
          <w:rFonts w:ascii="Times New Roman" w:hAnsi="Times New Roman" w:cs="Times New Roman"/>
        </w:rPr>
        <w:t xml:space="preserve">7 pokles o 52,5 </w:t>
      </w:r>
      <w:r w:rsidRPr="005F1146">
        <w:rPr>
          <w:rFonts w:ascii="Times New Roman" w:hAnsi="Times New Roman" w:cs="Times New Roman"/>
        </w:rPr>
        <w:t xml:space="preserve">%. </w:t>
      </w:r>
      <w:r>
        <w:rPr>
          <w:rFonts w:ascii="Times New Roman" w:hAnsi="Times New Roman" w:cs="Times New Roman"/>
        </w:rPr>
        <w:t>Uvedený pokles spôsobila nižšia</w:t>
      </w:r>
      <w:r w:rsidRPr="00E76489">
        <w:rPr>
          <w:rFonts w:ascii="Times New Roman" w:hAnsi="Times New Roman" w:cs="Times New Roman"/>
        </w:rPr>
        <w:t xml:space="preserve"> alokácia prostriedkov EÚ a prís</w:t>
      </w:r>
      <w:r>
        <w:rPr>
          <w:rFonts w:ascii="Times New Roman" w:hAnsi="Times New Roman" w:cs="Times New Roman"/>
        </w:rPr>
        <w:t>lušného spolufinancovania o 84,2</w:t>
      </w:r>
      <w:r w:rsidRPr="00E76489">
        <w:rPr>
          <w:rFonts w:ascii="Times New Roman" w:hAnsi="Times New Roman" w:cs="Times New Roman"/>
        </w:rPr>
        <w:t xml:space="preserve"> %, pričom v  plnej miere ide o prostriedky určené pre tretie programové obdobie 2014</w:t>
      </w:r>
      <w:r w:rsidR="004E497F">
        <w:rPr>
          <w:rFonts w:ascii="Times New Roman" w:hAnsi="Times New Roman" w:cs="Times New Roman"/>
        </w:rPr>
        <w:t xml:space="preserve"> až </w:t>
      </w:r>
      <w:r w:rsidRPr="00E76489">
        <w:rPr>
          <w:rFonts w:ascii="Times New Roman" w:hAnsi="Times New Roman" w:cs="Times New Roman"/>
        </w:rPr>
        <w:t>2020 na Technickú pomoc pre OP Kvalita životného prostredia.</w:t>
      </w:r>
      <w:r>
        <w:rPr>
          <w:rFonts w:ascii="Times New Roman" w:hAnsi="Times New Roman" w:cs="Times New Roman"/>
        </w:rPr>
        <w:t xml:space="preserve"> </w:t>
      </w:r>
    </w:p>
    <w:p w:rsidR="007D13F3" w:rsidRDefault="007D13F3" w:rsidP="007D13F3">
      <w:pPr>
        <w:jc w:val="both"/>
        <w:rPr>
          <w:rFonts w:ascii="Times New Roman" w:hAnsi="Times New Roman" w:cs="Times New Roman"/>
        </w:rPr>
      </w:pPr>
    </w:p>
    <w:p w:rsidR="000736F2" w:rsidRDefault="000736F2" w:rsidP="007D13F3">
      <w:pPr>
        <w:jc w:val="both"/>
        <w:rPr>
          <w:rFonts w:ascii="Times New Roman" w:hAnsi="Times New Roman" w:cs="Times New Roman"/>
        </w:rPr>
      </w:pPr>
    </w:p>
    <w:p w:rsidR="007D13F3" w:rsidRPr="00FC7B62" w:rsidRDefault="007D13F3" w:rsidP="007D13F3">
      <w:pPr>
        <w:jc w:val="both"/>
        <w:rPr>
          <w:rFonts w:ascii="Times New Roman" w:hAnsi="Times New Roman" w:cs="Times New Roman"/>
          <w:b/>
          <w:noProof/>
          <w:lang w:eastAsia="sk-SK"/>
        </w:rPr>
      </w:pPr>
      <w:r w:rsidRPr="00FC7B62">
        <w:rPr>
          <w:rFonts w:ascii="Times New Roman" w:hAnsi="Times New Roman" w:cs="Times New Roman"/>
          <w:b/>
          <w:noProof/>
          <w:lang w:eastAsia="sk-SK"/>
        </w:rPr>
        <w:lastRenderedPageBreak/>
        <w:t>Podpora IT systémov</w:t>
      </w:r>
    </w:p>
    <w:p w:rsidR="007D13F3" w:rsidRPr="00FC7B62" w:rsidRDefault="007D13F3" w:rsidP="007D13F3">
      <w:pPr>
        <w:jc w:val="both"/>
        <w:rPr>
          <w:rFonts w:ascii="Arial Narrow" w:hAnsi="Arial Narrow" w:cs="Times New Roman"/>
          <w:b/>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8"/>
        <w:gridCol w:w="1006"/>
        <w:gridCol w:w="1006"/>
        <w:gridCol w:w="1006"/>
        <w:gridCol w:w="1006"/>
        <w:gridCol w:w="1006"/>
        <w:gridCol w:w="1006"/>
        <w:gridCol w:w="1008"/>
      </w:tblGrid>
      <w:tr w:rsidR="007D13F3" w:rsidRPr="008C1DE5" w:rsidTr="00465CAC">
        <w:trPr>
          <w:trHeight w:val="270"/>
        </w:trPr>
        <w:tc>
          <w:tcPr>
            <w:tcW w:w="1113" w:type="pct"/>
            <w:shd w:val="clear" w:color="auto" w:fill="A6A6A6" w:themeFill="background1" w:themeFillShade="A6"/>
            <w:noWrap/>
            <w:vAlign w:val="center"/>
            <w:hideMark/>
          </w:tcPr>
          <w:p w:rsidR="007D13F3" w:rsidRPr="008C1DE5" w:rsidRDefault="007D13F3" w:rsidP="00465CAC">
            <w:pPr>
              <w:jc w:val="center"/>
              <w:rPr>
                <w:rFonts w:ascii="Times New Roman" w:hAnsi="Times New Roman" w:cs="Times New Roman"/>
                <w:b/>
                <w:bCs/>
                <w:noProof/>
                <w:color w:val="000000"/>
                <w:sz w:val="14"/>
                <w:szCs w:val="14"/>
                <w:lang w:eastAsia="sk-SK"/>
              </w:rPr>
            </w:pPr>
            <w:r w:rsidRPr="008C1DE5">
              <w:rPr>
                <w:rFonts w:ascii="Times New Roman" w:hAnsi="Times New Roman" w:cs="Times New Roman"/>
                <w:b/>
                <w:bCs/>
                <w:noProof/>
                <w:color w:val="000000"/>
                <w:sz w:val="14"/>
                <w:szCs w:val="14"/>
                <w:lang w:eastAsia="sk-SK"/>
              </w:rPr>
              <w:t>v eurách</w:t>
            </w:r>
          </w:p>
        </w:tc>
        <w:tc>
          <w:tcPr>
            <w:tcW w:w="555" w:type="pct"/>
            <w:shd w:val="clear" w:color="000000" w:fill="A6A6A6"/>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2015 S</w:t>
            </w:r>
          </w:p>
        </w:tc>
        <w:tc>
          <w:tcPr>
            <w:tcW w:w="555" w:type="pct"/>
            <w:shd w:val="clear" w:color="000000" w:fill="A6A6A6"/>
            <w:noWrap/>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2016 S</w:t>
            </w:r>
          </w:p>
        </w:tc>
        <w:tc>
          <w:tcPr>
            <w:tcW w:w="555" w:type="pct"/>
            <w:shd w:val="clear" w:color="000000" w:fill="A6A6A6"/>
            <w:noWrap/>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2017 R</w:t>
            </w:r>
          </w:p>
        </w:tc>
        <w:tc>
          <w:tcPr>
            <w:tcW w:w="555" w:type="pct"/>
            <w:shd w:val="clear" w:color="000000" w:fill="A6A6A6"/>
            <w:vAlign w:val="bottom"/>
            <w:hideMark/>
          </w:tcPr>
          <w:p w:rsidR="007D13F3" w:rsidRPr="008C1DE5" w:rsidRDefault="007D13F3" w:rsidP="00465CAC">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2017 OS</w:t>
            </w:r>
          </w:p>
        </w:tc>
        <w:tc>
          <w:tcPr>
            <w:tcW w:w="555" w:type="pct"/>
            <w:shd w:val="clear" w:color="000000" w:fill="A6A6A6"/>
            <w:noWrap/>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2018 N</w:t>
            </w:r>
          </w:p>
        </w:tc>
        <w:tc>
          <w:tcPr>
            <w:tcW w:w="555" w:type="pct"/>
            <w:shd w:val="clear" w:color="000000" w:fill="A6A6A6"/>
            <w:noWrap/>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2019 N</w:t>
            </w:r>
          </w:p>
        </w:tc>
        <w:tc>
          <w:tcPr>
            <w:tcW w:w="556" w:type="pct"/>
            <w:shd w:val="clear" w:color="000000" w:fill="A6A6A6"/>
            <w:noWrap/>
            <w:vAlign w:val="bottom"/>
            <w:hideMark/>
          </w:tcPr>
          <w:p w:rsidR="007D13F3" w:rsidRPr="008C1DE5" w:rsidRDefault="007D13F3" w:rsidP="00465CAC">
            <w:pPr>
              <w:jc w:val="center"/>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2020 N</w:t>
            </w:r>
          </w:p>
        </w:tc>
      </w:tr>
      <w:tr w:rsidR="007D13F3" w:rsidRPr="008C1DE5" w:rsidTr="00465CAC">
        <w:trPr>
          <w:trHeight w:val="270"/>
        </w:trPr>
        <w:tc>
          <w:tcPr>
            <w:tcW w:w="1113" w:type="pct"/>
            <w:tcBorders>
              <w:bottom w:val="single" w:sz="4" w:space="0" w:color="auto"/>
            </w:tcBorders>
            <w:shd w:val="clear" w:color="auto" w:fill="BFBFBF" w:themeFill="background1" w:themeFillShade="BF"/>
            <w:vAlign w:val="center"/>
            <w:hideMark/>
          </w:tcPr>
          <w:p w:rsidR="007D13F3" w:rsidRPr="008C1DE5" w:rsidRDefault="007D13F3" w:rsidP="00465CAC">
            <w:pPr>
              <w:rPr>
                <w:rFonts w:ascii="Times New Roman" w:hAnsi="Times New Roman" w:cs="Times New Roman"/>
                <w:b/>
                <w:bCs/>
                <w:noProof/>
                <w:color w:val="000000"/>
                <w:sz w:val="14"/>
                <w:szCs w:val="14"/>
                <w:lang w:eastAsia="sk-SK"/>
              </w:rPr>
            </w:pPr>
            <w:r w:rsidRPr="008C1DE5">
              <w:rPr>
                <w:rFonts w:ascii="Times New Roman" w:hAnsi="Times New Roman" w:cs="Times New Roman"/>
                <w:b/>
                <w:bCs/>
                <w:noProof/>
                <w:color w:val="000000"/>
                <w:sz w:val="14"/>
                <w:szCs w:val="14"/>
                <w:lang w:eastAsia="sk-SK"/>
              </w:rPr>
              <w:t>Podpora IT systémov</w:t>
            </w:r>
          </w:p>
        </w:tc>
        <w:tc>
          <w:tcPr>
            <w:tcW w:w="555" w:type="pct"/>
            <w:tcBorders>
              <w:bottom w:val="single" w:sz="4" w:space="0" w:color="auto"/>
            </w:tcBorders>
            <w:shd w:val="clear" w:color="auto" w:fill="BFBFBF" w:themeFill="background1" w:themeFillShade="BF"/>
            <w:noWrap/>
            <w:vAlign w:val="bottom"/>
          </w:tcPr>
          <w:p w:rsidR="007D13F3" w:rsidRPr="008C1DE5" w:rsidRDefault="007D13F3" w:rsidP="00465CAC">
            <w:pPr>
              <w:jc w:val="right"/>
              <w:rPr>
                <w:rFonts w:ascii="Times New Roman" w:hAnsi="Times New Roman" w:cs="Times New Roman"/>
                <w:b/>
                <w:bCs/>
                <w:color w:val="000000"/>
                <w:sz w:val="14"/>
                <w:szCs w:val="14"/>
                <w:lang w:eastAsia="sk-SK"/>
              </w:rPr>
            </w:pPr>
            <w:r w:rsidRPr="008C1DE5">
              <w:rPr>
                <w:rFonts w:ascii="Times New Roman" w:hAnsi="Times New Roman" w:cs="Times New Roman"/>
                <w:b/>
                <w:bCs/>
                <w:noProof/>
                <w:color w:val="000000"/>
                <w:sz w:val="14"/>
                <w:szCs w:val="14"/>
                <w:lang w:eastAsia="sk-SK"/>
              </w:rPr>
              <w:t>0</w:t>
            </w:r>
          </w:p>
        </w:tc>
        <w:tc>
          <w:tcPr>
            <w:tcW w:w="555"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7D13F3" w:rsidRPr="008C1DE5" w:rsidRDefault="007D13F3" w:rsidP="00465CAC">
            <w:pPr>
              <w:jc w:val="right"/>
              <w:rPr>
                <w:rFonts w:ascii="Times New Roman" w:hAnsi="Times New Roman" w:cs="Times New Roman"/>
                <w:b/>
                <w:bCs/>
                <w:color w:val="000000"/>
                <w:sz w:val="14"/>
                <w:szCs w:val="14"/>
                <w:lang w:eastAsia="sk-SK"/>
              </w:rPr>
            </w:pPr>
            <w:r w:rsidRPr="008C1DE5">
              <w:rPr>
                <w:rFonts w:ascii="Times New Roman" w:hAnsi="Times New Roman" w:cs="Times New Roman"/>
                <w:b/>
                <w:bCs/>
                <w:color w:val="000000"/>
                <w:sz w:val="14"/>
                <w:szCs w:val="14"/>
              </w:rPr>
              <w:t>0</w:t>
            </w:r>
          </w:p>
        </w:tc>
        <w:tc>
          <w:tcPr>
            <w:tcW w:w="555" w:type="pct"/>
            <w:tcBorders>
              <w:top w:val="single" w:sz="4" w:space="0" w:color="auto"/>
              <w:left w:val="nil"/>
              <w:bottom w:val="single" w:sz="4" w:space="0" w:color="auto"/>
              <w:right w:val="single" w:sz="4" w:space="0" w:color="auto"/>
            </w:tcBorders>
            <w:shd w:val="clear" w:color="000000" w:fill="C0C0C0"/>
            <w:noWrap/>
            <w:vAlign w:val="bottom"/>
          </w:tcPr>
          <w:p w:rsidR="007D13F3" w:rsidRPr="008C1DE5" w:rsidRDefault="007D13F3" w:rsidP="00465CAC">
            <w:pPr>
              <w:jc w:val="right"/>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2 172 719</w:t>
            </w:r>
          </w:p>
        </w:tc>
        <w:tc>
          <w:tcPr>
            <w:tcW w:w="555" w:type="pct"/>
            <w:tcBorders>
              <w:top w:val="single" w:sz="4" w:space="0" w:color="auto"/>
              <w:left w:val="nil"/>
              <w:bottom w:val="single" w:sz="4" w:space="0" w:color="auto"/>
              <w:right w:val="single" w:sz="4" w:space="0" w:color="auto"/>
            </w:tcBorders>
            <w:shd w:val="clear" w:color="000000" w:fill="C0C0C0"/>
            <w:noWrap/>
            <w:vAlign w:val="bottom"/>
          </w:tcPr>
          <w:p w:rsidR="007D13F3" w:rsidRPr="008C1DE5" w:rsidRDefault="007D13F3" w:rsidP="00465CAC">
            <w:pPr>
              <w:jc w:val="right"/>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2 465 410</w:t>
            </w:r>
          </w:p>
        </w:tc>
        <w:tc>
          <w:tcPr>
            <w:tcW w:w="555" w:type="pct"/>
            <w:tcBorders>
              <w:top w:val="single" w:sz="4" w:space="0" w:color="auto"/>
              <w:left w:val="nil"/>
              <w:bottom w:val="single" w:sz="4" w:space="0" w:color="auto"/>
              <w:right w:val="single" w:sz="4" w:space="0" w:color="auto"/>
            </w:tcBorders>
            <w:shd w:val="clear" w:color="000000" w:fill="C0C0C0"/>
            <w:noWrap/>
            <w:vAlign w:val="bottom"/>
          </w:tcPr>
          <w:p w:rsidR="007D13F3" w:rsidRPr="008C1DE5" w:rsidRDefault="007D13F3" w:rsidP="00465CAC">
            <w:pPr>
              <w:jc w:val="right"/>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2 037 409</w:t>
            </w:r>
          </w:p>
        </w:tc>
        <w:tc>
          <w:tcPr>
            <w:tcW w:w="555" w:type="pct"/>
            <w:tcBorders>
              <w:top w:val="single" w:sz="4" w:space="0" w:color="auto"/>
              <w:left w:val="nil"/>
              <w:bottom w:val="single" w:sz="4" w:space="0" w:color="auto"/>
              <w:right w:val="single" w:sz="4" w:space="0" w:color="auto"/>
            </w:tcBorders>
            <w:shd w:val="clear" w:color="000000" w:fill="C0C0C0"/>
            <w:noWrap/>
            <w:vAlign w:val="bottom"/>
          </w:tcPr>
          <w:p w:rsidR="007D13F3" w:rsidRPr="008C1DE5" w:rsidRDefault="007D13F3" w:rsidP="00465CAC">
            <w:pPr>
              <w:jc w:val="right"/>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2 473 409</w:t>
            </w:r>
          </w:p>
        </w:tc>
        <w:tc>
          <w:tcPr>
            <w:tcW w:w="556" w:type="pct"/>
            <w:tcBorders>
              <w:top w:val="single" w:sz="4" w:space="0" w:color="auto"/>
              <w:left w:val="nil"/>
              <w:bottom w:val="single" w:sz="4" w:space="0" w:color="auto"/>
              <w:right w:val="single" w:sz="4" w:space="0" w:color="auto"/>
            </w:tcBorders>
            <w:shd w:val="clear" w:color="000000" w:fill="C0C0C0"/>
            <w:noWrap/>
            <w:vAlign w:val="bottom"/>
          </w:tcPr>
          <w:p w:rsidR="007D13F3" w:rsidRPr="008C1DE5" w:rsidRDefault="007D13F3" w:rsidP="00465CAC">
            <w:pPr>
              <w:jc w:val="right"/>
              <w:rPr>
                <w:rFonts w:ascii="Times New Roman" w:hAnsi="Times New Roman" w:cs="Times New Roman"/>
                <w:b/>
                <w:bCs/>
                <w:color w:val="000000"/>
                <w:sz w:val="14"/>
                <w:szCs w:val="14"/>
              </w:rPr>
            </w:pPr>
            <w:r w:rsidRPr="008C1DE5">
              <w:rPr>
                <w:rFonts w:ascii="Times New Roman" w:hAnsi="Times New Roman" w:cs="Times New Roman"/>
                <w:b/>
                <w:bCs/>
                <w:color w:val="000000"/>
                <w:sz w:val="14"/>
                <w:szCs w:val="14"/>
              </w:rPr>
              <w:t>2 444 776</w:t>
            </w:r>
          </w:p>
        </w:tc>
      </w:tr>
      <w:tr w:rsidR="007D13F3" w:rsidRPr="008C1DE5" w:rsidTr="00465CAC">
        <w:trPr>
          <w:trHeight w:val="270"/>
        </w:trPr>
        <w:tc>
          <w:tcPr>
            <w:tcW w:w="1113" w:type="pct"/>
            <w:tcBorders>
              <w:top w:val="single" w:sz="4" w:space="0" w:color="auto"/>
              <w:bottom w:val="single" w:sz="4" w:space="0" w:color="auto"/>
            </w:tcBorders>
            <w:shd w:val="clear" w:color="000000" w:fill="FFFFFF"/>
            <w:noWrap/>
            <w:vAlign w:val="center"/>
            <w:hideMark/>
          </w:tcPr>
          <w:p w:rsidR="007D13F3" w:rsidRPr="008C1DE5" w:rsidRDefault="007D13F3" w:rsidP="00465CAC">
            <w:pPr>
              <w:rPr>
                <w:rFonts w:ascii="Times New Roman" w:hAnsi="Times New Roman" w:cs="Times New Roman"/>
                <w:noProof/>
                <w:color w:val="000000"/>
                <w:sz w:val="14"/>
                <w:szCs w:val="14"/>
                <w:lang w:eastAsia="sk-SK"/>
              </w:rPr>
            </w:pPr>
            <w:r w:rsidRPr="008C1DE5">
              <w:rPr>
                <w:rFonts w:ascii="Times New Roman" w:hAnsi="Times New Roman" w:cs="Times New Roman"/>
                <w:noProof/>
                <w:color w:val="000000"/>
                <w:sz w:val="14"/>
                <w:szCs w:val="14"/>
                <w:lang w:eastAsia="sk-SK"/>
              </w:rPr>
              <w:t>rozpočtové zdroje kapitoly</w:t>
            </w:r>
          </w:p>
        </w:tc>
        <w:tc>
          <w:tcPr>
            <w:tcW w:w="555" w:type="pct"/>
            <w:tcBorders>
              <w:top w:val="single" w:sz="4" w:space="0" w:color="auto"/>
              <w:bottom w:val="single" w:sz="4" w:space="0" w:color="auto"/>
            </w:tcBorders>
            <w:shd w:val="clear" w:color="000000" w:fill="FFFFFF"/>
            <w:noWrap/>
            <w:vAlign w:val="bottom"/>
          </w:tcPr>
          <w:p w:rsidR="007D13F3" w:rsidRPr="008C1DE5" w:rsidRDefault="007D13F3" w:rsidP="00465CAC">
            <w:pPr>
              <w:jc w:val="right"/>
              <w:rPr>
                <w:rFonts w:ascii="Times New Roman" w:hAnsi="Times New Roman" w:cs="Times New Roman"/>
                <w:noProof/>
                <w:color w:val="000000"/>
                <w:sz w:val="14"/>
                <w:szCs w:val="14"/>
                <w:lang w:eastAsia="sk-SK"/>
              </w:rPr>
            </w:pPr>
            <w:r w:rsidRPr="008C1DE5">
              <w:rPr>
                <w:rFonts w:ascii="Times New Roman" w:hAnsi="Times New Roman" w:cs="Times New Roman"/>
                <w:noProof/>
                <w:color w:val="000000"/>
                <w:sz w:val="14"/>
                <w:szCs w:val="14"/>
                <w:lang w:eastAsia="sk-SK"/>
              </w:rPr>
              <w:t>0</w:t>
            </w:r>
          </w:p>
        </w:tc>
        <w:tc>
          <w:tcPr>
            <w:tcW w:w="555" w:type="pct"/>
            <w:tcBorders>
              <w:top w:val="nil"/>
              <w:left w:val="single" w:sz="4" w:space="0" w:color="auto"/>
              <w:bottom w:val="single" w:sz="4" w:space="0" w:color="auto"/>
              <w:right w:val="single" w:sz="4" w:space="0" w:color="auto"/>
            </w:tcBorders>
            <w:shd w:val="clear" w:color="000000" w:fill="FFFFFF"/>
            <w:noWrap/>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shd w:val="clear" w:color="000000" w:fill="FFFFFF"/>
            <w:noWrap/>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2 172 719</w:t>
            </w:r>
          </w:p>
        </w:tc>
        <w:tc>
          <w:tcPr>
            <w:tcW w:w="555" w:type="pct"/>
            <w:tcBorders>
              <w:top w:val="nil"/>
              <w:left w:val="nil"/>
              <w:bottom w:val="single" w:sz="4" w:space="0" w:color="auto"/>
              <w:right w:val="single" w:sz="4" w:space="0" w:color="auto"/>
            </w:tcBorders>
            <w:shd w:val="clear" w:color="000000" w:fill="FFFFFF"/>
            <w:noWrap/>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2 465 410</w:t>
            </w:r>
          </w:p>
        </w:tc>
        <w:tc>
          <w:tcPr>
            <w:tcW w:w="555" w:type="pct"/>
            <w:tcBorders>
              <w:top w:val="nil"/>
              <w:left w:val="nil"/>
              <w:bottom w:val="single" w:sz="4" w:space="0" w:color="auto"/>
              <w:right w:val="single" w:sz="4" w:space="0" w:color="auto"/>
            </w:tcBorders>
            <w:shd w:val="clear" w:color="000000" w:fill="FFFFFF"/>
            <w:noWrap/>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2 037 409</w:t>
            </w:r>
          </w:p>
        </w:tc>
        <w:tc>
          <w:tcPr>
            <w:tcW w:w="555" w:type="pct"/>
            <w:tcBorders>
              <w:top w:val="nil"/>
              <w:left w:val="nil"/>
              <w:bottom w:val="single" w:sz="4" w:space="0" w:color="auto"/>
              <w:right w:val="single" w:sz="4" w:space="0" w:color="auto"/>
            </w:tcBorders>
            <w:shd w:val="clear" w:color="000000" w:fill="FFFFFF"/>
            <w:noWrap/>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2 473 409</w:t>
            </w:r>
          </w:p>
        </w:tc>
        <w:tc>
          <w:tcPr>
            <w:tcW w:w="556" w:type="pct"/>
            <w:tcBorders>
              <w:top w:val="nil"/>
              <w:left w:val="nil"/>
              <w:bottom w:val="single" w:sz="4" w:space="0" w:color="auto"/>
              <w:right w:val="single" w:sz="4" w:space="0" w:color="auto"/>
            </w:tcBorders>
            <w:shd w:val="clear" w:color="000000" w:fill="FFFFFF"/>
            <w:noWrap/>
            <w:vAlign w:val="bottom"/>
          </w:tcPr>
          <w:p w:rsidR="007D13F3" w:rsidRPr="008C1DE5" w:rsidRDefault="007D13F3" w:rsidP="00465CAC">
            <w:pPr>
              <w:jc w:val="right"/>
              <w:rPr>
                <w:rFonts w:ascii="Times New Roman" w:hAnsi="Times New Roman" w:cs="Times New Roman"/>
                <w:color w:val="000000"/>
                <w:sz w:val="14"/>
                <w:szCs w:val="14"/>
              </w:rPr>
            </w:pPr>
            <w:r w:rsidRPr="008C1DE5">
              <w:rPr>
                <w:rFonts w:ascii="Times New Roman" w:hAnsi="Times New Roman" w:cs="Times New Roman"/>
                <w:color w:val="000000"/>
                <w:sz w:val="14"/>
                <w:szCs w:val="14"/>
              </w:rPr>
              <w:t>2 444 776</w:t>
            </w:r>
          </w:p>
        </w:tc>
      </w:tr>
    </w:tbl>
    <w:p w:rsidR="007D13F3" w:rsidRPr="00FC7B62" w:rsidRDefault="007D13F3" w:rsidP="007D13F3">
      <w:pPr>
        <w:ind w:firstLine="708"/>
        <w:jc w:val="both"/>
        <w:rPr>
          <w:rFonts w:ascii="Arial Narrow" w:hAnsi="Arial Narrow" w:cs="Times New Roman"/>
          <w:noProof/>
          <w:sz w:val="22"/>
          <w:szCs w:val="22"/>
          <w:lang w:eastAsia="sk-SK"/>
        </w:rPr>
      </w:pPr>
    </w:p>
    <w:p w:rsidR="007D13F3" w:rsidRPr="00FC7B62" w:rsidRDefault="007D13F3" w:rsidP="007D13F3">
      <w:pPr>
        <w:ind w:firstLine="708"/>
        <w:jc w:val="both"/>
        <w:rPr>
          <w:rFonts w:ascii="Times New Roman" w:hAnsi="Times New Roman" w:cs="Times New Roman"/>
          <w:noProof/>
          <w:lang w:eastAsia="sk-SK"/>
        </w:rPr>
      </w:pPr>
      <w:r w:rsidRPr="00FC7B62">
        <w:rPr>
          <w:rFonts w:ascii="Times New Roman" w:hAnsi="Times New Roman" w:cs="Times New Roman"/>
          <w:noProof/>
          <w:lang w:eastAsia="sk-SK"/>
        </w:rPr>
        <w:t>Ide o výdavky rozpočtované v medzirezortnom podprograme, smerujúce k podpore a udržaniu IT systémov v kapitole, pričom kapitoly sú povinné tieto výdavky rozpočtovať od roku 2017. Kapitola MŽP SR na rok 201</w:t>
      </w:r>
      <w:r>
        <w:rPr>
          <w:rFonts w:ascii="Times New Roman" w:hAnsi="Times New Roman" w:cs="Times New Roman"/>
          <w:noProof/>
          <w:lang w:eastAsia="sk-SK"/>
        </w:rPr>
        <w:t xml:space="preserve">8 </w:t>
      </w:r>
      <w:r w:rsidRPr="00FC7B62">
        <w:rPr>
          <w:rFonts w:ascii="Times New Roman" w:hAnsi="Times New Roman" w:cs="Times New Roman"/>
          <w:noProof/>
          <w:lang w:eastAsia="sk-SK"/>
        </w:rPr>
        <w:t>rozpočtuje v uvedenom medz</w:t>
      </w:r>
      <w:r>
        <w:rPr>
          <w:rFonts w:ascii="Times New Roman" w:hAnsi="Times New Roman" w:cs="Times New Roman"/>
          <w:noProof/>
          <w:lang w:eastAsia="sk-SK"/>
        </w:rPr>
        <w:t>irezortnom podporgrame sumu 2,04</w:t>
      </w:r>
      <w:r w:rsidRPr="00FC7B62">
        <w:rPr>
          <w:rFonts w:ascii="Times New Roman" w:hAnsi="Times New Roman" w:cs="Times New Roman"/>
          <w:noProof/>
          <w:lang w:eastAsia="sk-SK"/>
        </w:rPr>
        <w:t xml:space="preserve"> mil. eur.</w:t>
      </w:r>
    </w:p>
    <w:p w:rsidR="007D13F3" w:rsidRPr="00FC7B62" w:rsidRDefault="007D13F3" w:rsidP="007D13F3">
      <w:pPr>
        <w:ind w:firstLine="708"/>
        <w:jc w:val="both"/>
        <w:rPr>
          <w:rFonts w:ascii="Times New Roman" w:hAnsi="Times New Roman" w:cs="Times New Roman"/>
        </w:rPr>
      </w:pPr>
    </w:p>
    <w:p w:rsidR="007D13F3" w:rsidRPr="005F1146" w:rsidRDefault="007D13F3" w:rsidP="007D13F3">
      <w:pPr>
        <w:ind w:firstLine="708"/>
        <w:jc w:val="both"/>
        <w:rPr>
          <w:rFonts w:ascii="Times New Roman" w:hAnsi="Times New Roman" w:cs="Times New Roman"/>
        </w:rPr>
      </w:pPr>
      <w:r w:rsidRPr="005F1146">
        <w:rPr>
          <w:rFonts w:ascii="Times New Roman" w:hAnsi="Times New Roman" w:cs="Times New Roman"/>
        </w:rPr>
        <w:t>Výdavky štátneho r</w:t>
      </w:r>
      <w:r>
        <w:rPr>
          <w:rFonts w:ascii="Times New Roman" w:hAnsi="Times New Roman" w:cs="Times New Roman"/>
        </w:rPr>
        <w:t>ozpočtu určené na inštitucionálnu podporu</w:t>
      </w:r>
      <w:r w:rsidRPr="005F1146">
        <w:rPr>
          <w:rFonts w:ascii="Times New Roman" w:hAnsi="Times New Roman" w:cs="Times New Roman"/>
        </w:rPr>
        <w:t xml:space="preserve"> smerujú do nasledujúcich oblastí.</w:t>
      </w:r>
    </w:p>
    <w:p w:rsidR="007D13F3" w:rsidRPr="005F1146" w:rsidRDefault="007D13F3" w:rsidP="007D13F3">
      <w:pPr>
        <w:jc w:val="both"/>
        <w:rPr>
          <w:rFonts w:ascii="Times New Roman" w:hAnsi="Times New Roman" w:cs="Times New Roman"/>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3"/>
        <w:gridCol w:w="781"/>
        <w:gridCol w:w="960"/>
        <w:gridCol w:w="960"/>
        <w:gridCol w:w="960"/>
        <w:gridCol w:w="960"/>
        <w:gridCol w:w="960"/>
        <w:gridCol w:w="960"/>
      </w:tblGrid>
      <w:tr w:rsidR="007D13F3" w:rsidRPr="00965021" w:rsidTr="00465CAC">
        <w:trPr>
          <w:trHeight w:val="285"/>
        </w:trPr>
        <w:tc>
          <w:tcPr>
            <w:tcW w:w="1375" w:type="pct"/>
            <w:shd w:val="clear" w:color="auto" w:fill="A6A6A6"/>
            <w:noWrap/>
            <w:vAlign w:val="center"/>
            <w:hideMark/>
          </w:tcPr>
          <w:p w:rsidR="007D13F3" w:rsidRPr="00965021" w:rsidRDefault="007D13F3" w:rsidP="00465CAC">
            <w:pPr>
              <w:rPr>
                <w:rFonts w:ascii="Times New Roman" w:hAnsi="Times New Roman" w:cs="Times New Roman"/>
                <w:b/>
                <w:bCs/>
                <w:color w:val="000000"/>
                <w:sz w:val="14"/>
                <w:szCs w:val="14"/>
              </w:rPr>
            </w:pPr>
            <w:r w:rsidRPr="00965021">
              <w:rPr>
                <w:rFonts w:ascii="Times New Roman" w:hAnsi="Times New Roman" w:cs="Times New Roman"/>
                <w:b/>
                <w:bCs/>
                <w:color w:val="000000"/>
                <w:sz w:val="14"/>
                <w:szCs w:val="14"/>
              </w:rPr>
              <w:t>v eurách </w:t>
            </w:r>
          </w:p>
        </w:tc>
        <w:tc>
          <w:tcPr>
            <w:tcW w:w="433" w:type="pct"/>
            <w:shd w:val="clear" w:color="000000" w:fill="A6A6A6"/>
            <w:vAlign w:val="bottom"/>
            <w:hideMark/>
          </w:tcPr>
          <w:p w:rsidR="007D13F3" w:rsidRPr="00965021" w:rsidRDefault="007D13F3" w:rsidP="00465CAC">
            <w:pPr>
              <w:jc w:val="center"/>
              <w:rPr>
                <w:rFonts w:ascii="Times New Roman" w:hAnsi="Times New Roman" w:cs="Times New Roman"/>
                <w:b/>
                <w:bCs/>
                <w:color w:val="000000"/>
                <w:sz w:val="14"/>
                <w:szCs w:val="14"/>
              </w:rPr>
            </w:pPr>
            <w:r w:rsidRPr="00965021">
              <w:rPr>
                <w:rFonts w:ascii="Times New Roman" w:hAnsi="Times New Roman" w:cs="Times New Roman"/>
                <w:b/>
                <w:bCs/>
                <w:color w:val="000000"/>
                <w:sz w:val="14"/>
                <w:szCs w:val="14"/>
              </w:rPr>
              <w:t>2015 S</w:t>
            </w:r>
          </w:p>
        </w:tc>
        <w:tc>
          <w:tcPr>
            <w:tcW w:w="532" w:type="pct"/>
            <w:shd w:val="clear" w:color="000000" w:fill="A6A6A6"/>
            <w:noWrap/>
            <w:vAlign w:val="bottom"/>
            <w:hideMark/>
          </w:tcPr>
          <w:p w:rsidR="007D13F3" w:rsidRPr="00965021" w:rsidRDefault="007D13F3" w:rsidP="00465CAC">
            <w:pPr>
              <w:jc w:val="center"/>
              <w:rPr>
                <w:rFonts w:ascii="Times New Roman" w:hAnsi="Times New Roman" w:cs="Times New Roman"/>
                <w:b/>
                <w:bCs/>
                <w:color w:val="000000"/>
                <w:sz w:val="14"/>
                <w:szCs w:val="14"/>
              </w:rPr>
            </w:pPr>
            <w:r w:rsidRPr="00965021">
              <w:rPr>
                <w:rFonts w:ascii="Times New Roman" w:hAnsi="Times New Roman" w:cs="Times New Roman"/>
                <w:b/>
                <w:bCs/>
                <w:color w:val="000000"/>
                <w:sz w:val="14"/>
                <w:szCs w:val="14"/>
              </w:rPr>
              <w:t>2016 S</w:t>
            </w:r>
          </w:p>
        </w:tc>
        <w:tc>
          <w:tcPr>
            <w:tcW w:w="532" w:type="pct"/>
            <w:shd w:val="clear" w:color="000000" w:fill="A6A6A6"/>
            <w:noWrap/>
            <w:vAlign w:val="bottom"/>
            <w:hideMark/>
          </w:tcPr>
          <w:p w:rsidR="007D13F3" w:rsidRPr="00965021" w:rsidRDefault="007D13F3" w:rsidP="00465CAC">
            <w:pPr>
              <w:jc w:val="center"/>
              <w:rPr>
                <w:rFonts w:ascii="Times New Roman" w:hAnsi="Times New Roman" w:cs="Times New Roman"/>
                <w:b/>
                <w:bCs/>
                <w:color w:val="000000"/>
                <w:sz w:val="14"/>
                <w:szCs w:val="14"/>
              </w:rPr>
            </w:pPr>
            <w:r w:rsidRPr="00965021">
              <w:rPr>
                <w:rFonts w:ascii="Times New Roman" w:hAnsi="Times New Roman" w:cs="Times New Roman"/>
                <w:b/>
                <w:bCs/>
                <w:color w:val="000000"/>
                <w:sz w:val="14"/>
                <w:szCs w:val="14"/>
              </w:rPr>
              <w:t>2017 R</w:t>
            </w:r>
          </w:p>
        </w:tc>
        <w:tc>
          <w:tcPr>
            <w:tcW w:w="532" w:type="pct"/>
            <w:shd w:val="clear" w:color="000000" w:fill="A6A6A6"/>
            <w:vAlign w:val="bottom"/>
            <w:hideMark/>
          </w:tcPr>
          <w:p w:rsidR="007D13F3" w:rsidRPr="00965021" w:rsidRDefault="007D13F3" w:rsidP="00465CAC">
            <w:pPr>
              <w:jc w:val="center"/>
              <w:rPr>
                <w:rFonts w:ascii="Times New Roman" w:hAnsi="Times New Roman" w:cs="Times New Roman"/>
                <w:b/>
                <w:bCs/>
                <w:color w:val="000000"/>
                <w:sz w:val="14"/>
                <w:szCs w:val="14"/>
              </w:rPr>
            </w:pPr>
            <w:r w:rsidRPr="00965021">
              <w:rPr>
                <w:rFonts w:ascii="Times New Roman" w:hAnsi="Times New Roman" w:cs="Times New Roman"/>
                <w:b/>
                <w:bCs/>
                <w:color w:val="000000"/>
                <w:sz w:val="14"/>
                <w:szCs w:val="14"/>
              </w:rPr>
              <w:t>2017 OS</w:t>
            </w:r>
          </w:p>
        </w:tc>
        <w:tc>
          <w:tcPr>
            <w:tcW w:w="532" w:type="pct"/>
            <w:shd w:val="clear" w:color="000000" w:fill="A6A6A6"/>
            <w:noWrap/>
            <w:vAlign w:val="bottom"/>
            <w:hideMark/>
          </w:tcPr>
          <w:p w:rsidR="007D13F3" w:rsidRPr="00965021" w:rsidRDefault="007D13F3" w:rsidP="00465CAC">
            <w:pPr>
              <w:jc w:val="center"/>
              <w:rPr>
                <w:rFonts w:ascii="Times New Roman" w:hAnsi="Times New Roman" w:cs="Times New Roman"/>
                <w:b/>
                <w:bCs/>
                <w:color w:val="000000"/>
                <w:sz w:val="14"/>
                <w:szCs w:val="14"/>
              </w:rPr>
            </w:pPr>
            <w:r w:rsidRPr="00965021">
              <w:rPr>
                <w:rFonts w:ascii="Times New Roman" w:hAnsi="Times New Roman" w:cs="Times New Roman"/>
                <w:b/>
                <w:bCs/>
                <w:color w:val="000000"/>
                <w:sz w:val="14"/>
                <w:szCs w:val="14"/>
              </w:rPr>
              <w:t>2018 N</w:t>
            </w:r>
          </w:p>
        </w:tc>
        <w:tc>
          <w:tcPr>
            <w:tcW w:w="532" w:type="pct"/>
            <w:shd w:val="clear" w:color="000000" w:fill="A6A6A6"/>
            <w:noWrap/>
            <w:vAlign w:val="bottom"/>
            <w:hideMark/>
          </w:tcPr>
          <w:p w:rsidR="007D13F3" w:rsidRPr="00965021" w:rsidRDefault="007D13F3" w:rsidP="00465CAC">
            <w:pPr>
              <w:jc w:val="center"/>
              <w:rPr>
                <w:rFonts w:ascii="Times New Roman" w:hAnsi="Times New Roman" w:cs="Times New Roman"/>
                <w:b/>
                <w:bCs/>
                <w:color w:val="000000"/>
                <w:sz w:val="14"/>
                <w:szCs w:val="14"/>
              </w:rPr>
            </w:pPr>
            <w:r w:rsidRPr="00965021">
              <w:rPr>
                <w:rFonts w:ascii="Times New Roman" w:hAnsi="Times New Roman" w:cs="Times New Roman"/>
                <w:b/>
                <w:bCs/>
                <w:color w:val="000000"/>
                <w:sz w:val="14"/>
                <w:szCs w:val="14"/>
              </w:rPr>
              <w:t>2019 N</w:t>
            </w:r>
          </w:p>
        </w:tc>
        <w:tc>
          <w:tcPr>
            <w:tcW w:w="532" w:type="pct"/>
            <w:shd w:val="clear" w:color="000000" w:fill="A6A6A6"/>
            <w:noWrap/>
            <w:vAlign w:val="bottom"/>
            <w:hideMark/>
          </w:tcPr>
          <w:p w:rsidR="007D13F3" w:rsidRPr="00965021" w:rsidRDefault="007D13F3" w:rsidP="00465CAC">
            <w:pPr>
              <w:jc w:val="center"/>
              <w:rPr>
                <w:rFonts w:ascii="Times New Roman" w:hAnsi="Times New Roman" w:cs="Times New Roman"/>
                <w:b/>
                <w:bCs/>
                <w:color w:val="000000"/>
                <w:sz w:val="14"/>
                <w:szCs w:val="14"/>
              </w:rPr>
            </w:pPr>
            <w:r w:rsidRPr="00965021">
              <w:rPr>
                <w:rFonts w:ascii="Times New Roman" w:hAnsi="Times New Roman" w:cs="Times New Roman"/>
                <w:b/>
                <w:bCs/>
                <w:color w:val="000000"/>
                <w:sz w:val="14"/>
                <w:szCs w:val="14"/>
              </w:rPr>
              <w:t>2020 N</w:t>
            </w:r>
          </w:p>
        </w:tc>
      </w:tr>
      <w:tr w:rsidR="007D13F3" w:rsidRPr="00965021" w:rsidTr="00465CAC">
        <w:trPr>
          <w:trHeight w:val="285"/>
        </w:trPr>
        <w:tc>
          <w:tcPr>
            <w:tcW w:w="1375" w:type="pct"/>
            <w:shd w:val="clear" w:color="000000" w:fill="BFBFBF"/>
            <w:vAlign w:val="center"/>
            <w:hideMark/>
          </w:tcPr>
          <w:p w:rsidR="007D13F3" w:rsidRPr="00965021" w:rsidRDefault="007D13F3" w:rsidP="00465CAC">
            <w:pPr>
              <w:rPr>
                <w:rFonts w:ascii="Times New Roman" w:hAnsi="Times New Roman" w:cs="Times New Roman"/>
                <w:b/>
                <w:bCs/>
                <w:color w:val="000000"/>
                <w:sz w:val="14"/>
                <w:szCs w:val="14"/>
              </w:rPr>
            </w:pPr>
            <w:r w:rsidRPr="00965021">
              <w:rPr>
                <w:rFonts w:ascii="Times New Roman" w:hAnsi="Times New Roman" w:cs="Times New Roman"/>
                <w:b/>
                <w:bCs/>
                <w:color w:val="000000"/>
                <w:sz w:val="14"/>
                <w:szCs w:val="14"/>
              </w:rPr>
              <w:t>Inštitucionálna podpora, v tom:</w:t>
            </w:r>
          </w:p>
        </w:tc>
        <w:tc>
          <w:tcPr>
            <w:tcW w:w="433" w:type="pct"/>
            <w:shd w:val="clear" w:color="000000" w:fill="C0C0C0"/>
            <w:noWrap/>
            <w:vAlign w:val="bottom"/>
            <w:hideMark/>
          </w:tcPr>
          <w:p w:rsidR="007D13F3" w:rsidRPr="00965021" w:rsidRDefault="007D13F3" w:rsidP="00465CAC">
            <w:pPr>
              <w:jc w:val="right"/>
              <w:rPr>
                <w:rFonts w:ascii="Times New Roman" w:hAnsi="Times New Roman" w:cs="Times New Roman"/>
                <w:b/>
                <w:bCs/>
                <w:color w:val="000000"/>
                <w:sz w:val="14"/>
                <w:szCs w:val="14"/>
                <w:lang w:eastAsia="sk-SK"/>
              </w:rPr>
            </w:pPr>
            <w:r w:rsidRPr="00965021">
              <w:rPr>
                <w:rFonts w:ascii="Times New Roman" w:hAnsi="Times New Roman" w:cs="Times New Roman"/>
                <w:b/>
                <w:bCs/>
                <w:color w:val="000000"/>
                <w:sz w:val="14"/>
                <w:szCs w:val="14"/>
              </w:rPr>
              <w:t>31 152 716</w:t>
            </w:r>
          </w:p>
        </w:tc>
        <w:tc>
          <w:tcPr>
            <w:tcW w:w="532" w:type="pct"/>
            <w:shd w:val="clear" w:color="000000" w:fill="C0C0C0"/>
            <w:noWrap/>
            <w:vAlign w:val="bottom"/>
          </w:tcPr>
          <w:p w:rsidR="007D13F3" w:rsidRPr="00965021" w:rsidRDefault="007D13F3" w:rsidP="00465CAC">
            <w:pPr>
              <w:jc w:val="right"/>
              <w:rPr>
                <w:rFonts w:ascii="Times New Roman" w:hAnsi="Times New Roman" w:cs="Times New Roman"/>
                <w:b/>
                <w:bCs/>
                <w:color w:val="000000"/>
                <w:sz w:val="14"/>
                <w:szCs w:val="14"/>
                <w:lang w:eastAsia="sk-SK"/>
              </w:rPr>
            </w:pPr>
            <w:r w:rsidRPr="00965021">
              <w:rPr>
                <w:rFonts w:ascii="Times New Roman" w:hAnsi="Times New Roman" w:cs="Times New Roman"/>
                <w:b/>
                <w:bCs/>
                <w:color w:val="000000"/>
                <w:sz w:val="14"/>
                <w:szCs w:val="14"/>
              </w:rPr>
              <w:t>17 864 477</w:t>
            </w:r>
          </w:p>
        </w:tc>
        <w:tc>
          <w:tcPr>
            <w:tcW w:w="532" w:type="pct"/>
            <w:shd w:val="clear" w:color="000000" w:fill="C0C0C0"/>
            <w:noWrap/>
            <w:vAlign w:val="bottom"/>
          </w:tcPr>
          <w:p w:rsidR="007D13F3" w:rsidRPr="00965021" w:rsidRDefault="007D13F3" w:rsidP="00465CAC">
            <w:pPr>
              <w:jc w:val="right"/>
              <w:rPr>
                <w:rFonts w:ascii="Times New Roman" w:hAnsi="Times New Roman" w:cs="Times New Roman"/>
                <w:b/>
                <w:bCs/>
                <w:color w:val="000000"/>
                <w:sz w:val="14"/>
                <w:szCs w:val="14"/>
              </w:rPr>
            </w:pPr>
            <w:r w:rsidRPr="00965021">
              <w:rPr>
                <w:rFonts w:ascii="Times New Roman" w:hAnsi="Times New Roman" w:cs="Times New Roman"/>
                <w:b/>
                <w:bCs/>
                <w:color w:val="000000"/>
                <w:sz w:val="14"/>
                <w:szCs w:val="14"/>
              </w:rPr>
              <w:t>23 967 441</w:t>
            </w:r>
          </w:p>
        </w:tc>
        <w:tc>
          <w:tcPr>
            <w:tcW w:w="532" w:type="pct"/>
            <w:shd w:val="clear" w:color="000000" w:fill="C0C0C0"/>
            <w:noWrap/>
            <w:vAlign w:val="bottom"/>
          </w:tcPr>
          <w:p w:rsidR="007D13F3" w:rsidRPr="00965021" w:rsidRDefault="007D13F3" w:rsidP="00465CAC">
            <w:pPr>
              <w:jc w:val="right"/>
              <w:rPr>
                <w:rFonts w:ascii="Times New Roman" w:hAnsi="Times New Roman" w:cs="Times New Roman"/>
                <w:b/>
                <w:bCs/>
                <w:color w:val="000000"/>
                <w:sz w:val="14"/>
                <w:szCs w:val="14"/>
              </w:rPr>
            </w:pPr>
            <w:r w:rsidRPr="00965021">
              <w:rPr>
                <w:rFonts w:ascii="Times New Roman" w:hAnsi="Times New Roman" w:cs="Times New Roman"/>
                <w:b/>
                <w:bCs/>
                <w:color w:val="000000"/>
                <w:sz w:val="14"/>
                <w:szCs w:val="14"/>
              </w:rPr>
              <w:t>23 472 625</w:t>
            </w:r>
          </w:p>
        </w:tc>
        <w:tc>
          <w:tcPr>
            <w:tcW w:w="532" w:type="pct"/>
            <w:shd w:val="clear" w:color="000000" w:fill="C0C0C0"/>
            <w:noWrap/>
            <w:vAlign w:val="bottom"/>
          </w:tcPr>
          <w:p w:rsidR="007D13F3" w:rsidRPr="00965021" w:rsidRDefault="007D13F3" w:rsidP="00465CAC">
            <w:pPr>
              <w:jc w:val="right"/>
              <w:rPr>
                <w:rFonts w:ascii="Times New Roman" w:hAnsi="Times New Roman" w:cs="Times New Roman"/>
                <w:b/>
                <w:bCs/>
                <w:color w:val="000000"/>
                <w:sz w:val="14"/>
                <w:szCs w:val="14"/>
                <w:lang w:eastAsia="sk-SK"/>
              </w:rPr>
            </w:pPr>
            <w:r w:rsidRPr="00965021">
              <w:rPr>
                <w:rFonts w:ascii="Times New Roman" w:hAnsi="Times New Roman" w:cs="Times New Roman"/>
                <w:b/>
                <w:bCs/>
                <w:color w:val="000000"/>
                <w:sz w:val="14"/>
                <w:szCs w:val="14"/>
              </w:rPr>
              <w:t>28 862 197</w:t>
            </w:r>
          </w:p>
        </w:tc>
        <w:tc>
          <w:tcPr>
            <w:tcW w:w="532" w:type="pct"/>
            <w:shd w:val="clear" w:color="000000" w:fill="C0C0C0"/>
            <w:noWrap/>
            <w:vAlign w:val="bottom"/>
          </w:tcPr>
          <w:p w:rsidR="007D13F3" w:rsidRPr="00965021" w:rsidRDefault="007D13F3" w:rsidP="00465CAC">
            <w:pPr>
              <w:jc w:val="right"/>
              <w:rPr>
                <w:rFonts w:ascii="Times New Roman" w:hAnsi="Times New Roman" w:cs="Times New Roman"/>
                <w:b/>
                <w:bCs/>
                <w:color w:val="000000"/>
                <w:sz w:val="14"/>
                <w:szCs w:val="14"/>
              </w:rPr>
            </w:pPr>
            <w:r w:rsidRPr="00965021">
              <w:rPr>
                <w:rFonts w:ascii="Times New Roman" w:hAnsi="Times New Roman" w:cs="Times New Roman"/>
                <w:b/>
                <w:bCs/>
                <w:color w:val="000000"/>
                <w:sz w:val="14"/>
                <w:szCs w:val="14"/>
              </w:rPr>
              <w:t>24 588 342</w:t>
            </w:r>
          </w:p>
        </w:tc>
        <w:tc>
          <w:tcPr>
            <w:tcW w:w="532" w:type="pct"/>
            <w:shd w:val="clear" w:color="000000" w:fill="C0C0C0"/>
            <w:noWrap/>
            <w:vAlign w:val="bottom"/>
          </w:tcPr>
          <w:p w:rsidR="007D13F3" w:rsidRPr="00965021" w:rsidRDefault="007D13F3" w:rsidP="00465CAC">
            <w:pPr>
              <w:jc w:val="right"/>
              <w:rPr>
                <w:rFonts w:ascii="Times New Roman" w:hAnsi="Times New Roman" w:cs="Times New Roman"/>
                <w:b/>
                <w:bCs/>
                <w:color w:val="000000"/>
                <w:sz w:val="14"/>
                <w:szCs w:val="14"/>
              </w:rPr>
            </w:pPr>
            <w:r w:rsidRPr="00965021">
              <w:rPr>
                <w:rFonts w:ascii="Times New Roman" w:hAnsi="Times New Roman" w:cs="Times New Roman"/>
                <w:b/>
                <w:bCs/>
                <w:color w:val="000000"/>
                <w:sz w:val="14"/>
                <w:szCs w:val="14"/>
              </w:rPr>
              <w:t>24 616 975</w:t>
            </w:r>
          </w:p>
        </w:tc>
      </w:tr>
      <w:tr w:rsidR="007D13F3" w:rsidRPr="00965021" w:rsidTr="00465CAC">
        <w:trPr>
          <w:trHeight w:val="285"/>
        </w:trPr>
        <w:tc>
          <w:tcPr>
            <w:tcW w:w="1375" w:type="pct"/>
            <w:shd w:val="clear" w:color="000000" w:fill="FFFFFF"/>
            <w:noWrap/>
            <w:vAlign w:val="center"/>
            <w:hideMark/>
          </w:tcPr>
          <w:p w:rsidR="007D13F3" w:rsidRPr="00965021" w:rsidRDefault="007D13F3" w:rsidP="00465CAC">
            <w:pPr>
              <w:rPr>
                <w:rFonts w:ascii="Times New Roman" w:hAnsi="Times New Roman" w:cs="Times New Roman"/>
                <w:color w:val="000000"/>
                <w:sz w:val="14"/>
                <w:szCs w:val="14"/>
              </w:rPr>
            </w:pPr>
            <w:r w:rsidRPr="00965021">
              <w:rPr>
                <w:rFonts w:ascii="Times New Roman" w:hAnsi="Times New Roman" w:cs="Times New Roman"/>
                <w:color w:val="000000"/>
                <w:sz w:val="14"/>
                <w:szCs w:val="14"/>
              </w:rPr>
              <w:t>Ústredný orgán - aparát</w:t>
            </w:r>
          </w:p>
        </w:tc>
        <w:tc>
          <w:tcPr>
            <w:tcW w:w="433" w:type="pct"/>
            <w:shd w:val="clear" w:color="000000" w:fill="FFFFFF"/>
            <w:noWrap/>
            <w:vAlign w:val="bottom"/>
            <w:hideMark/>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17 849 809</w:t>
            </w:r>
          </w:p>
        </w:tc>
        <w:tc>
          <w:tcPr>
            <w:tcW w:w="532" w:type="pct"/>
            <w:shd w:val="clear" w:color="000000" w:fill="FFFFFF"/>
            <w:noWrap/>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6 996 307</w:t>
            </w:r>
          </w:p>
        </w:tc>
        <w:tc>
          <w:tcPr>
            <w:tcW w:w="532" w:type="pct"/>
            <w:shd w:val="clear" w:color="000000" w:fill="FFFFFF"/>
            <w:noWrap/>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12 960 620</w:t>
            </w:r>
          </w:p>
        </w:tc>
        <w:tc>
          <w:tcPr>
            <w:tcW w:w="532" w:type="pct"/>
            <w:shd w:val="clear" w:color="000000" w:fill="FFFFFF"/>
            <w:noWrap/>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12 372 146</w:t>
            </w:r>
          </w:p>
        </w:tc>
        <w:tc>
          <w:tcPr>
            <w:tcW w:w="532" w:type="pct"/>
            <w:shd w:val="clear" w:color="000000" w:fill="FFFFFF"/>
            <w:noWrap/>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17 056 027</w:t>
            </w:r>
          </w:p>
        </w:tc>
        <w:tc>
          <w:tcPr>
            <w:tcW w:w="532" w:type="pct"/>
            <w:shd w:val="clear" w:color="000000" w:fill="FFFFFF"/>
            <w:noWrap/>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13 082 172</w:t>
            </w:r>
          </w:p>
        </w:tc>
        <w:tc>
          <w:tcPr>
            <w:tcW w:w="532" w:type="pct"/>
            <w:shd w:val="clear" w:color="000000" w:fill="FFFFFF"/>
            <w:noWrap/>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13 110 805</w:t>
            </w:r>
          </w:p>
        </w:tc>
      </w:tr>
      <w:tr w:rsidR="007D13F3" w:rsidRPr="00965021" w:rsidTr="00465CAC">
        <w:trPr>
          <w:trHeight w:val="285"/>
        </w:trPr>
        <w:tc>
          <w:tcPr>
            <w:tcW w:w="1375" w:type="pct"/>
            <w:shd w:val="clear" w:color="000000" w:fill="FFFFFF"/>
            <w:noWrap/>
            <w:vAlign w:val="center"/>
            <w:hideMark/>
          </w:tcPr>
          <w:p w:rsidR="007D13F3" w:rsidRPr="00965021" w:rsidRDefault="007D13F3" w:rsidP="00465CAC">
            <w:pPr>
              <w:rPr>
                <w:rFonts w:ascii="Times New Roman" w:hAnsi="Times New Roman" w:cs="Times New Roman"/>
                <w:color w:val="000000"/>
                <w:sz w:val="14"/>
                <w:szCs w:val="14"/>
              </w:rPr>
            </w:pPr>
            <w:r w:rsidRPr="00965021">
              <w:rPr>
                <w:rFonts w:ascii="Times New Roman" w:hAnsi="Times New Roman" w:cs="Times New Roman"/>
                <w:color w:val="000000"/>
                <w:sz w:val="14"/>
                <w:szCs w:val="14"/>
              </w:rPr>
              <w:t>Slovenská inšpekcia životného prostredia</w:t>
            </w:r>
          </w:p>
        </w:tc>
        <w:tc>
          <w:tcPr>
            <w:tcW w:w="433" w:type="pct"/>
            <w:shd w:val="clear" w:color="000000" w:fill="FFFFFF"/>
            <w:noWrap/>
            <w:vAlign w:val="bottom"/>
            <w:hideMark/>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4 661 925</w:t>
            </w:r>
          </w:p>
        </w:tc>
        <w:tc>
          <w:tcPr>
            <w:tcW w:w="532" w:type="pct"/>
            <w:shd w:val="clear" w:color="000000" w:fill="FFFFFF"/>
            <w:noWrap/>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4 829 580</w:t>
            </w:r>
          </w:p>
        </w:tc>
        <w:tc>
          <w:tcPr>
            <w:tcW w:w="532" w:type="pct"/>
            <w:shd w:val="clear" w:color="000000" w:fill="FFFFFF"/>
            <w:noWrap/>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4 768 421</w:t>
            </w:r>
          </w:p>
        </w:tc>
        <w:tc>
          <w:tcPr>
            <w:tcW w:w="532" w:type="pct"/>
            <w:shd w:val="clear" w:color="000000" w:fill="FFFFFF"/>
            <w:noWrap/>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5 109 919</w:t>
            </w:r>
          </w:p>
        </w:tc>
        <w:tc>
          <w:tcPr>
            <w:tcW w:w="532" w:type="pct"/>
            <w:shd w:val="clear" w:color="000000" w:fill="FFFFFF"/>
            <w:noWrap/>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5 530 228</w:t>
            </w:r>
          </w:p>
        </w:tc>
        <w:tc>
          <w:tcPr>
            <w:tcW w:w="532" w:type="pct"/>
            <w:shd w:val="clear" w:color="000000" w:fill="FFFFFF"/>
            <w:noWrap/>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5 530 228</w:t>
            </w:r>
          </w:p>
        </w:tc>
        <w:tc>
          <w:tcPr>
            <w:tcW w:w="532" w:type="pct"/>
            <w:shd w:val="clear" w:color="000000" w:fill="FFFFFF"/>
            <w:noWrap/>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5 530 228</w:t>
            </w:r>
          </w:p>
        </w:tc>
      </w:tr>
      <w:tr w:rsidR="007D13F3" w:rsidRPr="00965021" w:rsidTr="00465CAC">
        <w:trPr>
          <w:trHeight w:val="285"/>
        </w:trPr>
        <w:tc>
          <w:tcPr>
            <w:tcW w:w="1375" w:type="pct"/>
            <w:noWrap/>
            <w:vAlign w:val="center"/>
            <w:hideMark/>
          </w:tcPr>
          <w:p w:rsidR="007D13F3" w:rsidRPr="00965021" w:rsidRDefault="007D13F3" w:rsidP="00465CAC">
            <w:pPr>
              <w:rPr>
                <w:rFonts w:ascii="Times New Roman" w:hAnsi="Times New Roman" w:cs="Times New Roman"/>
                <w:color w:val="000000"/>
                <w:sz w:val="14"/>
                <w:szCs w:val="14"/>
              </w:rPr>
            </w:pPr>
            <w:r w:rsidRPr="00965021">
              <w:rPr>
                <w:rFonts w:ascii="Times New Roman" w:hAnsi="Times New Roman" w:cs="Times New Roman"/>
                <w:color w:val="000000"/>
                <w:sz w:val="14"/>
                <w:szCs w:val="14"/>
              </w:rPr>
              <w:t>Slovenská agentúra životného prostredia</w:t>
            </w:r>
          </w:p>
        </w:tc>
        <w:tc>
          <w:tcPr>
            <w:tcW w:w="433" w:type="pct"/>
            <w:shd w:val="clear" w:color="auto" w:fill="auto"/>
            <w:vAlign w:val="bottom"/>
            <w:hideMark/>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3 356 305</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3 076 178</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3 158 400</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3 214 042</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2 895 942</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2 895 942</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2 895 942</w:t>
            </w:r>
          </w:p>
        </w:tc>
      </w:tr>
      <w:tr w:rsidR="007D13F3" w:rsidRPr="00965021" w:rsidTr="00465CAC">
        <w:trPr>
          <w:trHeight w:val="285"/>
        </w:trPr>
        <w:tc>
          <w:tcPr>
            <w:tcW w:w="1375" w:type="pct"/>
            <w:vAlign w:val="center"/>
            <w:hideMark/>
          </w:tcPr>
          <w:p w:rsidR="007D13F3" w:rsidRPr="00965021" w:rsidRDefault="007D13F3" w:rsidP="00465CAC">
            <w:pPr>
              <w:rPr>
                <w:rFonts w:ascii="Times New Roman" w:hAnsi="Times New Roman" w:cs="Times New Roman"/>
                <w:color w:val="000000"/>
                <w:sz w:val="14"/>
                <w:szCs w:val="14"/>
              </w:rPr>
            </w:pPr>
            <w:r w:rsidRPr="00965021">
              <w:rPr>
                <w:rFonts w:ascii="Times New Roman" w:hAnsi="Times New Roman" w:cs="Times New Roman"/>
                <w:color w:val="000000"/>
                <w:sz w:val="14"/>
                <w:szCs w:val="14"/>
              </w:rPr>
              <w:t>SK PRES</w:t>
            </w:r>
          </w:p>
        </w:tc>
        <w:tc>
          <w:tcPr>
            <w:tcW w:w="433"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457 497</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2 606 098</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0</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16 518</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0</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0</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0</w:t>
            </w:r>
          </w:p>
        </w:tc>
      </w:tr>
      <w:tr w:rsidR="007D13F3" w:rsidRPr="00965021" w:rsidTr="00465CAC">
        <w:trPr>
          <w:trHeight w:val="285"/>
        </w:trPr>
        <w:tc>
          <w:tcPr>
            <w:tcW w:w="1375" w:type="pct"/>
            <w:vAlign w:val="center"/>
            <w:hideMark/>
          </w:tcPr>
          <w:p w:rsidR="007D13F3" w:rsidRPr="00965021" w:rsidRDefault="007D13F3" w:rsidP="00465CAC">
            <w:pPr>
              <w:rPr>
                <w:rFonts w:ascii="Times New Roman" w:hAnsi="Times New Roman" w:cs="Times New Roman"/>
                <w:color w:val="000000"/>
                <w:sz w:val="14"/>
                <w:szCs w:val="14"/>
              </w:rPr>
            </w:pPr>
            <w:r w:rsidRPr="00965021">
              <w:rPr>
                <w:rFonts w:ascii="Times New Roman" w:hAnsi="Times New Roman" w:cs="Times New Roman"/>
                <w:color w:val="000000"/>
                <w:sz w:val="14"/>
                <w:szCs w:val="14"/>
              </w:rPr>
              <w:t>Príspevky SR do MO</w:t>
            </w:r>
          </w:p>
        </w:tc>
        <w:tc>
          <w:tcPr>
            <w:tcW w:w="433"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4 671 837</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210 010</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2 900 000</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2 580 000</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3 200 000</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2 900 000</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2 900 000</w:t>
            </w:r>
          </w:p>
        </w:tc>
      </w:tr>
      <w:tr w:rsidR="007D13F3" w:rsidRPr="00965021" w:rsidTr="00465CAC">
        <w:trPr>
          <w:trHeight w:val="285"/>
        </w:trPr>
        <w:tc>
          <w:tcPr>
            <w:tcW w:w="1375" w:type="pct"/>
            <w:vAlign w:val="center"/>
            <w:hideMark/>
          </w:tcPr>
          <w:p w:rsidR="007D13F3" w:rsidRPr="00965021" w:rsidRDefault="007D13F3" w:rsidP="00465CAC">
            <w:pPr>
              <w:rPr>
                <w:rFonts w:ascii="Times New Roman" w:hAnsi="Times New Roman" w:cs="Times New Roman"/>
                <w:color w:val="000000"/>
                <w:sz w:val="14"/>
                <w:szCs w:val="14"/>
              </w:rPr>
            </w:pPr>
            <w:r w:rsidRPr="00965021">
              <w:rPr>
                <w:rFonts w:ascii="Times New Roman" w:hAnsi="Times New Roman" w:cs="Times New Roman"/>
                <w:color w:val="000000"/>
                <w:sz w:val="14"/>
                <w:szCs w:val="14"/>
              </w:rPr>
              <w:t>Hospodárska mobilizácia</w:t>
            </w:r>
          </w:p>
        </w:tc>
        <w:tc>
          <w:tcPr>
            <w:tcW w:w="433"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155 343</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146 303</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180 000</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180 000</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180 000</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180 000</w:t>
            </w:r>
          </w:p>
        </w:tc>
        <w:tc>
          <w:tcPr>
            <w:tcW w:w="532" w:type="pct"/>
            <w:shd w:val="clear" w:color="auto" w:fill="auto"/>
            <w:vAlign w:val="bottom"/>
          </w:tcPr>
          <w:p w:rsidR="007D13F3" w:rsidRPr="00965021" w:rsidRDefault="007D13F3" w:rsidP="00465CAC">
            <w:pPr>
              <w:jc w:val="right"/>
              <w:rPr>
                <w:rFonts w:ascii="Times New Roman" w:hAnsi="Times New Roman" w:cs="Times New Roman"/>
                <w:color w:val="000000"/>
                <w:sz w:val="14"/>
                <w:szCs w:val="14"/>
              </w:rPr>
            </w:pPr>
            <w:r w:rsidRPr="00965021">
              <w:rPr>
                <w:rFonts w:ascii="Times New Roman" w:hAnsi="Times New Roman" w:cs="Times New Roman"/>
                <w:color w:val="000000"/>
                <w:sz w:val="14"/>
                <w:szCs w:val="14"/>
              </w:rPr>
              <w:t>180 000</w:t>
            </w:r>
          </w:p>
        </w:tc>
      </w:tr>
    </w:tbl>
    <w:p w:rsidR="007D13F3" w:rsidRPr="005F1146"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5F1146">
        <w:rPr>
          <w:rFonts w:ascii="Times New Roman" w:hAnsi="Times New Roman" w:cs="Times New Roman"/>
        </w:rPr>
        <w:t>Prostriedky štátneho r</w:t>
      </w:r>
      <w:r>
        <w:rPr>
          <w:rFonts w:ascii="Times New Roman" w:hAnsi="Times New Roman" w:cs="Times New Roman"/>
        </w:rPr>
        <w:t>ozpočtu rastú oproti schválenému rozpočtu 2017 o 20,4 %, pričom tento vývoj je spôsobený najmä nárastom osobných výdavkov v súvislosti s nárastom</w:t>
      </w:r>
      <w:r w:rsidRPr="00E42EBB">
        <w:rPr>
          <w:rFonts w:ascii="Times New Roman" w:hAnsi="Times New Roman" w:cs="Times New Roman"/>
        </w:rPr>
        <w:t xml:space="preserve"> počtu inšpektorov pre Slovenskú inšpekciu životného prostredia,</w:t>
      </w:r>
      <w:r>
        <w:rPr>
          <w:rFonts w:ascii="Times New Roman" w:hAnsi="Times New Roman" w:cs="Times New Roman"/>
        </w:rPr>
        <w:t xml:space="preserve"> </w:t>
      </w:r>
      <w:r w:rsidRPr="0021605C">
        <w:rPr>
          <w:rFonts w:ascii="Times New Roman" w:hAnsi="Times New Roman" w:cs="Times New Roman"/>
        </w:rPr>
        <w:t>výdavkov potrebných na vypracovanie stratégie na och</w:t>
      </w:r>
      <w:r>
        <w:rPr>
          <w:rFonts w:ascii="Times New Roman" w:hAnsi="Times New Roman" w:cs="Times New Roman"/>
        </w:rPr>
        <w:t>ranu ovzdušia a tiež na nevyhnutné opravy a údržbu majetku v správe kapitoly. V</w:t>
      </w:r>
      <w:r w:rsidRPr="005F1146">
        <w:rPr>
          <w:rFonts w:ascii="Times New Roman" w:hAnsi="Times New Roman" w:cs="Times New Roman"/>
        </w:rPr>
        <w:t>ýdavky</w:t>
      </w:r>
      <w:r>
        <w:rPr>
          <w:rFonts w:ascii="Times New Roman" w:hAnsi="Times New Roman" w:cs="Times New Roman"/>
        </w:rPr>
        <w:t xml:space="preserve"> oblasti s</w:t>
      </w:r>
      <w:r w:rsidRPr="005F1146">
        <w:rPr>
          <w:rFonts w:ascii="Times New Roman" w:hAnsi="Times New Roman" w:cs="Times New Roman"/>
        </w:rPr>
        <w:t>ú určené na inštitucionálnu podporu a činnosti vykonávané ústredným orgánom, Slovenskou i</w:t>
      </w:r>
      <w:r>
        <w:rPr>
          <w:rFonts w:ascii="Times New Roman" w:hAnsi="Times New Roman" w:cs="Times New Roman"/>
        </w:rPr>
        <w:t xml:space="preserve">nšpekciou životného prostredia a </w:t>
      </w:r>
      <w:r w:rsidRPr="005F1146">
        <w:rPr>
          <w:rFonts w:ascii="Times New Roman" w:hAnsi="Times New Roman" w:cs="Times New Roman"/>
        </w:rPr>
        <w:t xml:space="preserve">Slovenskou </w:t>
      </w:r>
      <w:r>
        <w:rPr>
          <w:rFonts w:ascii="Times New Roman" w:hAnsi="Times New Roman" w:cs="Times New Roman"/>
        </w:rPr>
        <w:t xml:space="preserve">agentúrou životného prostredia. </w:t>
      </w:r>
      <w:r w:rsidRPr="005F1146">
        <w:rPr>
          <w:rFonts w:ascii="Times New Roman" w:hAnsi="Times New Roman" w:cs="Times New Roman"/>
        </w:rPr>
        <w:t>Okrem t</w:t>
      </w:r>
      <w:r>
        <w:rPr>
          <w:rFonts w:ascii="Times New Roman" w:hAnsi="Times New Roman" w:cs="Times New Roman"/>
        </w:rPr>
        <w:t xml:space="preserve">ýchto výdavkov </w:t>
      </w:r>
      <w:r w:rsidRPr="005F1146">
        <w:rPr>
          <w:rFonts w:ascii="Times New Roman" w:hAnsi="Times New Roman" w:cs="Times New Roman"/>
        </w:rPr>
        <w:t>sem patria prostriedky určené na výchovu, vzdelávanie, propagáciu, prieskum, výskum, výv</w:t>
      </w:r>
      <w:r>
        <w:rPr>
          <w:rFonts w:ascii="Times New Roman" w:hAnsi="Times New Roman" w:cs="Times New Roman"/>
        </w:rPr>
        <w:t>oj, technickú pomoc, príspevky medzinárodným organizáciám a</w:t>
      </w:r>
      <w:r w:rsidRPr="005F1146">
        <w:rPr>
          <w:rFonts w:ascii="Times New Roman" w:hAnsi="Times New Roman" w:cs="Times New Roman"/>
        </w:rPr>
        <w:t xml:space="preserve"> hospodársku mobilizáciu.</w:t>
      </w:r>
    </w:p>
    <w:p w:rsidR="000736F2" w:rsidRDefault="000736F2" w:rsidP="007D13F3">
      <w:pPr>
        <w:ind w:firstLine="708"/>
        <w:jc w:val="both"/>
        <w:rPr>
          <w:rFonts w:ascii="Times New Roman" w:hAnsi="Times New Roman" w:cs="Times New Roman"/>
        </w:rPr>
      </w:pPr>
    </w:p>
    <w:p w:rsidR="000736F2" w:rsidRDefault="000736F2" w:rsidP="007D13F3">
      <w:pPr>
        <w:ind w:firstLine="708"/>
        <w:jc w:val="both"/>
        <w:rPr>
          <w:rFonts w:ascii="Times New Roman" w:hAnsi="Times New Roman" w:cs="Times New Roman"/>
        </w:rPr>
      </w:pPr>
    </w:p>
    <w:p w:rsidR="000736F2" w:rsidRDefault="000736F2" w:rsidP="007D13F3">
      <w:pPr>
        <w:ind w:firstLine="708"/>
        <w:jc w:val="both"/>
        <w:rPr>
          <w:rFonts w:ascii="Times New Roman" w:hAnsi="Times New Roman" w:cs="Times New Roman"/>
        </w:rPr>
      </w:pPr>
    </w:p>
    <w:p w:rsidR="000736F2" w:rsidRDefault="000736F2" w:rsidP="007D13F3">
      <w:pPr>
        <w:ind w:firstLine="708"/>
        <w:jc w:val="both"/>
        <w:rPr>
          <w:rFonts w:ascii="Times New Roman" w:hAnsi="Times New Roman" w:cs="Times New Roman"/>
        </w:rPr>
      </w:pPr>
    </w:p>
    <w:p w:rsidR="000736F2" w:rsidRDefault="000736F2" w:rsidP="007D13F3">
      <w:pPr>
        <w:ind w:firstLine="708"/>
        <w:jc w:val="both"/>
        <w:rPr>
          <w:rFonts w:ascii="Times New Roman" w:hAnsi="Times New Roman" w:cs="Times New Roman"/>
        </w:rPr>
      </w:pPr>
    </w:p>
    <w:p w:rsidR="000736F2" w:rsidRDefault="000736F2" w:rsidP="007D13F3">
      <w:pPr>
        <w:ind w:firstLine="708"/>
        <w:jc w:val="both"/>
        <w:rPr>
          <w:rFonts w:ascii="Times New Roman" w:hAnsi="Times New Roman" w:cs="Times New Roman"/>
        </w:rPr>
      </w:pPr>
    </w:p>
    <w:p w:rsidR="000736F2" w:rsidRDefault="000736F2" w:rsidP="007D13F3">
      <w:pPr>
        <w:ind w:firstLine="708"/>
        <w:jc w:val="both"/>
        <w:rPr>
          <w:rFonts w:ascii="Times New Roman" w:hAnsi="Times New Roman" w:cs="Times New Roman"/>
        </w:rPr>
      </w:pPr>
    </w:p>
    <w:p w:rsidR="000736F2" w:rsidRDefault="000736F2" w:rsidP="007D13F3">
      <w:pPr>
        <w:ind w:firstLine="708"/>
        <w:jc w:val="both"/>
        <w:rPr>
          <w:rFonts w:ascii="Times New Roman" w:hAnsi="Times New Roman" w:cs="Times New Roman"/>
        </w:rPr>
      </w:pPr>
    </w:p>
    <w:p w:rsidR="000736F2" w:rsidRDefault="000736F2" w:rsidP="007D13F3">
      <w:pPr>
        <w:ind w:firstLine="708"/>
        <w:jc w:val="both"/>
        <w:rPr>
          <w:rFonts w:ascii="Times New Roman" w:hAnsi="Times New Roman" w:cs="Times New Roman"/>
        </w:rPr>
      </w:pPr>
    </w:p>
    <w:p w:rsidR="000736F2" w:rsidRDefault="000736F2" w:rsidP="007D13F3">
      <w:pPr>
        <w:ind w:firstLine="708"/>
        <w:jc w:val="both"/>
        <w:rPr>
          <w:rFonts w:ascii="Times New Roman" w:hAnsi="Times New Roman" w:cs="Times New Roman"/>
        </w:rPr>
      </w:pPr>
    </w:p>
    <w:p w:rsidR="000736F2" w:rsidRDefault="000736F2" w:rsidP="007D13F3">
      <w:pPr>
        <w:ind w:firstLine="708"/>
        <w:jc w:val="both"/>
        <w:rPr>
          <w:rFonts w:ascii="Times New Roman" w:hAnsi="Times New Roman" w:cs="Times New Roman"/>
        </w:rPr>
      </w:pPr>
    </w:p>
    <w:p w:rsidR="000736F2" w:rsidRDefault="000736F2" w:rsidP="007D13F3">
      <w:pPr>
        <w:ind w:firstLine="708"/>
        <w:jc w:val="both"/>
        <w:rPr>
          <w:rFonts w:ascii="Times New Roman" w:hAnsi="Times New Roman" w:cs="Times New Roman"/>
        </w:rPr>
      </w:pPr>
    </w:p>
    <w:p w:rsidR="000736F2" w:rsidRDefault="000736F2" w:rsidP="007D13F3">
      <w:pPr>
        <w:ind w:firstLine="708"/>
        <w:jc w:val="both"/>
        <w:rPr>
          <w:rFonts w:ascii="Times New Roman" w:hAnsi="Times New Roman" w:cs="Times New Roman"/>
        </w:rPr>
      </w:pPr>
    </w:p>
    <w:p w:rsidR="000736F2" w:rsidRDefault="000736F2" w:rsidP="007D13F3">
      <w:pPr>
        <w:ind w:firstLine="708"/>
        <w:jc w:val="both"/>
        <w:rPr>
          <w:rFonts w:ascii="Times New Roman" w:hAnsi="Times New Roman" w:cs="Times New Roman"/>
        </w:rPr>
      </w:pPr>
    </w:p>
    <w:p w:rsidR="000736F2" w:rsidRDefault="000736F2" w:rsidP="007D13F3">
      <w:pPr>
        <w:ind w:firstLine="708"/>
        <w:jc w:val="both"/>
        <w:rPr>
          <w:rFonts w:ascii="Times New Roman" w:hAnsi="Times New Roman" w:cs="Times New Roman"/>
        </w:rPr>
      </w:pPr>
    </w:p>
    <w:p w:rsidR="000736F2" w:rsidRDefault="000736F2" w:rsidP="007D13F3">
      <w:pPr>
        <w:ind w:firstLine="708"/>
        <w:jc w:val="both"/>
        <w:rPr>
          <w:rFonts w:ascii="Times New Roman" w:hAnsi="Times New Roman" w:cs="Times New Roman"/>
        </w:rPr>
      </w:pPr>
    </w:p>
    <w:p w:rsidR="000736F2" w:rsidRPr="005F1146" w:rsidRDefault="000736F2" w:rsidP="007D13F3">
      <w:pPr>
        <w:ind w:firstLine="708"/>
        <w:jc w:val="both"/>
        <w:rPr>
          <w:rFonts w:ascii="Times New Roman" w:hAnsi="Times New Roman" w:cs="Times New Roman"/>
        </w:rPr>
      </w:pPr>
    </w:p>
    <w:p w:rsidR="007D13F3" w:rsidRDefault="007D13F3" w:rsidP="007D13F3"/>
    <w:p w:rsidR="007D13F3" w:rsidRDefault="007D13F3" w:rsidP="007D13F3">
      <w:pPr>
        <w:pStyle w:val="Nadpis5"/>
        <w:pBdr>
          <w:bottom w:val="single" w:sz="4" w:space="1" w:color="auto"/>
        </w:pBdr>
        <w:spacing w:before="0" w:after="0"/>
        <w:ind w:left="0"/>
        <w:rPr>
          <w:i w:val="0"/>
          <w:sz w:val="24"/>
        </w:rPr>
      </w:pPr>
      <w:bookmarkStart w:id="147" w:name="_Toc400551765"/>
      <w:bookmarkStart w:id="148" w:name="_Toc494470102"/>
      <w:bookmarkStart w:id="149" w:name="_Toc494472278"/>
      <w:r w:rsidRPr="004E6000">
        <w:rPr>
          <w:i w:val="0"/>
          <w:sz w:val="24"/>
        </w:rPr>
        <w:lastRenderedPageBreak/>
        <w:t>Ministerstvo zahraničných vecí a európskych záležitostí SR</w:t>
      </w:r>
      <w:bookmarkEnd w:id="147"/>
      <w:bookmarkEnd w:id="148"/>
      <w:bookmarkEnd w:id="149"/>
    </w:p>
    <w:p w:rsidR="007D13F3" w:rsidRDefault="007D13F3" w:rsidP="007D13F3"/>
    <w:tbl>
      <w:tblPr>
        <w:tblW w:w="5000" w:type="pct"/>
        <w:tblCellMar>
          <w:left w:w="70" w:type="dxa"/>
          <w:right w:w="70" w:type="dxa"/>
        </w:tblCellMar>
        <w:tblLook w:val="04A0" w:firstRow="1" w:lastRow="0" w:firstColumn="1" w:lastColumn="0" w:noHBand="0" w:noVBand="1"/>
      </w:tblPr>
      <w:tblGrid>
        <w:gridCol w:w="2442"/>
        <w:gridCol w:w="946"/>
        <w:gridCol w:w="946"/>
        <w:gridCol w:w="946"/>
        <w:gridCol w:w="946"/>
        <w:gridCol w:w="946"/>
        <w:gridCol w:w="946"/>
        <w:gridCol w:w="944"/>
      </w:tblGrid>
      <w:tr w:rsidR="007D13F3" w:rsidRPr="004B7170" w:rsidTr="00465CAC">
        <w:trPr>
          <w:trHeight w:val="255"/>
        </w:trPr>
        <w:tc>
          <w:tcPr>
            <w:tcW w:w="134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4B7170" w:rsidRDefault="007D13F3" w:rsidP="00465CAC">
            <w:pPr>
              <w:rPr>
                <w:rFonts w:ascii="Times New Roman" w:hAnsi="Times New Roman" w:cs="Times New Roman"/>
                <w:b/>
                <w:bCs/>
                <w:color w:val="000000"/>
                <w:sz w:val="14"/>
                <w:szCs w:val="14"/>
                <w:lang w:eastAsia="sk-SK"/>
              </w:rPr>
            </w:pPr>
            <w:r w:rsidRPr="004B7170">
              <w:rPr>
                <w:rFonts w:ascii="Times New Roman" w:hAnsi="Times New Roman" w:cs="Times New Roman"/>
                <w:b/>
                <w:bCs/>
                <w:color w:val="000000"/>
                <w:sz w:val="14"/>
                <w:szCs w:val="14"/>
                <w:lang w:eastAsia="sk-SK"/>
              </w:rPr>
              <w:t>v eurách</w:t>
            </w:r>
          </w:p>
        </w:tc>
        <w:tc>
          <w:tcPr>
            <w:tcW w:w="522"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color w:val="000000"/>
                <w:sz w:val="14"/>
                <w:szCs w:val="14"/>
                <w:lang w:eastAsia="sk-SK"/>
              </w:rPr>
            </w:pPr>
            <w:r w:rsidRPr="00D530ED">
              <w:rPr>
                <w:rFonts w:ascii="Times New Roman" w:hAnsi="Times New Roman" w:cs="Times New Roman"/>
                <w:b/>
                <w:bCs/>
                <w:color w:val="000000"/>
                <w:sz w:val="14"/>
                <w:szCs w:val="14"/>
              </w:rPr>
              <w:t>2015 S</w:t>
            </w:r>
          </w:p>
        </w:tc>
        <w:tc>
          <w:tcPr>
            <w:tcW w:w="522"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sz w:val="14"/>
                <w:szCs w:val="14"/>
              </w:rPr>
            </w:pPr>
            <w:r w:rsidRPr="00D530ED">
              <w:rPr>
                <w:rFonts w:ascii="Times New Roman" w:hAnsi="Times New Roman" w:cs="Times New Roman"/>
                <w:b/>
                <w:bCs/>
                <w:sz w:val="14"/>
                <w:szCs w:val="14"/>
              </w:rPr>
              <w:t>2016 S</w:t>
            </w:r>
          </w:p>
        </w:tc>
        <w:tc>
          <w:tcPr>
            <w:tcW w:w="522"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sz w:val="14"/>
                <w:szCs w:val="14"/>
              </w:rPr>
            </w:pPr>
            <w:r w:rsidRPr="00D530ED">
              <w:rPr>
                <w:rFonts w:ascii="Times New Roman" w:hAnsi="Times New Roman" w:cs="Times New Roman"/>
                <w:b/>
                <w:bCs/>
                <w:sz w:val="14"/>
                <w:szCs w:val="14"/>
              </w:rPr>
              <w:t>2017 R</w:t>
            </w:r>
          </w:p>
        </w:tc>
        <w:tc>
          <w:tcPr>
            <w:tcW w:w="522"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2017 OS</w:t>
            </w:r>
          </w:p>
        </w:tc>
        <w:tc>
          <w:tcPr>
            <w:tcW w:w="522"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 xml:space="preserve">2018 </w:t>
            </w:r>
            <w:r>
              <w:rPr>
                <w:rFonts w:ascii="Times New Roman" w:hAnsi="Times New Roman" w:cs="Times New Roman"/>
                <w:b/>
                <w:bCs/>
                <w:color w:val="000000"/>
                <w:sz w:val="14"/>
                <w:szCs w:val="14"/>
              </w:rPr>
              <w:t>N</w:t>
            </w:r>
          </w:p>
        </w:tc>
        <w:tc>
          <w:tcPr>
            <w:tcW w:w="522"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 xml:space="preserve">2019 </w:t>
            </w:r>
            <w:r>
              <w:rPr>
                <w:rFonts w:ascii="Times New Roman" w:hAnsi="Times New Roman" w:cs="Times New Roman"/>
                <w:b/>
                <w:bCs/>
                <w:color w:val="000000"/>
                <w:sz w:val="14"/>
                <w:szCs w:val="14"/>
              </w:rPr>
              <w:t>N</w:t>
            </w:r>
          </w:p>
        </w:tc>
        <w:tc>
          <w:tcPr>
            <w:tcW w:w="521"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 xml:space="preserve">2020 </w:t>
            </w:r>
            <w:r>
              <w:rPr>
                <w:rFonts w:ascii="Times New Roman" w:hAnsi="Times New Roman" w:cs="Times New Roman"/>
                <w:b/>
                <w:bCs/>
                <w:color w:val="000000"/>
                <w:sz w:val="14"/>
                <w:szCs w:val="14"/>
              </w:rPr>
              <w:t>N</w:t>
            </w:r>
          </w:p>
        </w:tc>
      </w:tr>
      <w:tr w:rsidR="007D13F3" w:rsidRPr="004B7170" w:rsidTr="00465CAC">
        <w:trPr>
          <w:trHeight w:val="255"/>
        </w:trPr>
        <w:tc>
          <w:tcPr>
            <w:tcW w:w="1347" w:type="pct"/>
            <w:tcBorders>
              <w:top w:val="nil"/>
              <w:left w:val="single" w:sz="4" w:space="0" w:color="auto"/>
              <w:bottom w:val="single" w:sz="4" w:space="0" w:color="auto"/>
              <w:right w:val="single" w:sz="4" w:space="0" w:color="auto"/>
            </w:tcBorders>
            <w:shd w:val="clear" w:color="000000" w:fill="C0C0C0"/>
            <w:noWrap/>
            <w:vAlign w:val="center"/>
            <w:hideMark/>
          </w:tcPr>
          <w:p w:rsidR="007D13F3" w:rsidRPr="004B7170" w:rsidRDefault="007D13F3" w:rsidP="00465CAC">
            <w:pPr>
              <w:rPr>
                <w:rFonts w:ascii="Times New Roman" w:hAnsi="Times New Roman" w:cs="Times New Roman"/>
                <w:b/>
                <w:bCs/>
                <w:color w:val="000000"/>
                <w:sz w:val="14"/>
                <w:szCs w:val="14"/>
                <w:lang w:eastAsia="sk-SK"/>
              </w:rPr>
            </w:pPr>
            <w:r w:rsidRPr="004B7170">
              <w:rPr>
                <w:rFonts w:ascii="Times New Roman" w:hAnsi="Times New Roman" w:cs="Times New Roman"/>
                <w:b/>
                <w:bCs/>
                <w:color w:val="000000"/>
                <w:sz w:val="14"/>
                <w:szCs w:val="14"/>
                <w:lang w:eastAsia="sk-SK"/>
              </w:rPr>
              <w:t>Zdroje príslušnej kapitoly</w:t>
            </w:r>
          </w:p>
        </w:tc>
        <w:tc>
          <w:tcPr>
            <w:tcW w:w="522" w:type="pct"/>
            <w:tcBorders>
              <w:top w:val="nil"/>
              <w:left w:val="single" w:sz="4" w:space="0" w:color="auto"/>
              <w:bottom w:val="single" w:sz="4" w:space="0" w:color="auto"/>
              <w:right w:val="single" w:sz="4" w:space="0" w:color="auto"/>
            </w:tcBorders>
            <w:shd w:val="clear" w:color="000000" w:fill="BFBFBF"/>
            <w:noWrap/>
            <w:vAlign w:val="bottom"/>
            <w:hideMark/>
          </w:tcPr>
          <w:p w:rsidR="007D13F3" w:rsidRPr="00D530ED" w:rsidRDefault="007D13F3" w:rsidP="00465CAC">
            <w:pPr>
              <w:jc w:val="right"/>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152 743 713</w:t>
            </w:r>
          </w:p>
        </w:tc>
        <w:tc>
          <w:tcPr>
            <w:tcW w:w="522" w:type="pct"/>
            <w:tcBorders>
              <w:top w:val="nil"/>
              <w:left w:val="nil"/>
              <w:bottom w:val="single" w:sz="4" w:space="0" w:color="auto"/>
              <w:right w:val="single" w:sz="4" w:space="0" w:color="auto"/>
            </w:tcBorders>
            <w:shd w:val="clear" w:color="000000" w:fill="BFBFBF"/>
            <w:noWrap/>
            <w:vAlign w:val="bottom"/>
            <w:hideMark/>
          </w:tcPr>
          <w:p w:rsidR="007D13F3" w:rsidRPr="00D530ED" w:rsidRDefault="007D13F3" w:rsidP="00465CAC">
            <w:pPr>
              <w:jc w:val="right"/>
              <w:rPr>
                <w:rFonts w:ascii="Times New Roman" w:hAnsi="Times New Roman" w:cs="Times New Roman"/>
                <w:b/>
                <w:bCs/>
                <w:sz w:val="14"/>
                <w:szCs w:val="14"/>
              </w:rPr>
            </w:pPr>
            <w:r w:rsidRPr="00D530ED">
              <w:rPr>
                <w:rFonts w:ascii="Times New Roman" w:hAnsi="Times New Roman" w:cs="Times New Roman"/>
                <w:b/>
                <w:bCs/>
                <w:sz w:val="14"/>
                <w:szCs w:val="14"/>
              </w:rPr>
              <w:t>181 324 352</w:t>
            </w:r>
          </w:p>
        </w:tc>
        <w:tc>
          <w:tcPr>
            <w:tcW w:w="522" w:type="pct"/>
            <w:tcBorders>
              <w:top w:val="nil"/>
              <w:left w:val="nil"/>
              <w:bottom w:val="single" w:sz="4" w:space="0" w:color="auto"/>
              <w:right w:val="single" w:sz="4" w:space="0" w:color="auto"/>
            </w:tcBorders>
            <w:shd w:val="clear" w:color="000000" w:fill="BFBFBF"/>
            <w:noWrap/>
            <w:vAlign w:val="bottom"/>
            <w:hideMark/>
          </w:tcPr>
          <w:p w:rsidR="007D13F3" w:rsidRPr="00D530ED" w:rsidRDefault="007D13F3" w:rsidP="00465CAC">
            <w:pPr>
              <w:jc w:val="right"/>
              <w:rPr>
                <w:rFonts w:ascii="Times New Roman" w:hAnsi="Times New Roman" w:cs="Times New Roman"/>
                <w:b/>
                <w:bCs/>
                <w:sz w:val="14"/>
                <w:szCs w:val="14"/>
              </w:rPr>
            </w:pPr>
            <w:r w:rsidRPr="00D530ED">
              <w:rPr>
                <w:rFonts w:ascii="Times New Roman" w:hAnsi="Times New Roman" w:cs="Times New Roman"/>
                <w:b/>
                <w:bCs/>
                <w:sz w:val="14"/>
                <w:szCs w:val="14"/>
              </w:rPr>
              <w:t>112 471 842</w:t>
            </w:r>
          </w:p>
        </w:tc>
        <w:tc>
          <w:tcPr>
            <w:tcW w:w="52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D13F3" w:rsidRPr="00251699" w:rsidRDefault="007D13F3" w:rsidP="00465CAC">
            <w:pPr>
              <w:jc w:val="right"/>
              <w:rPr>
                <w:rFonts w:ascii="Times New Roman" w:hAnsi="Times New Roman" w:cs="Times New Roman"/>
                <w:b/>
                <w:bCs/>
                <w:sz w:val="14"/>
                <w:szCs w:val="14"/>
                <w:lang w:eastAsia="sk-SK"/>
              </w:rPr>
            </w:pPr>
            <w:r w:rsidRPr="00251699">
              <w:rPr>
                <w:rFonts w:ascii="Times New Roman" w:hAnsi="Times New Roman" w:cs="Times New Roman"/>
                <w:b/>
                <w:bCs/>
                <w:sz w:val="14"/>
                <w:szCs w:val="14"/>
              </w:rPr>
              <w:t>140 682 150</w:t>
            </w:r>
          </w:p>
        </w:tc>
        <w:tc>
          <w:tcPr>
            <w:tcW w:w="52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D13F3" w:rsidRPr="00972E17" w:rsidRDefault="007D13F3" w:rsidP="00465CAC">
            <w:pPr>
              <w:jc w:val="right"/>
              <w:rPr>
                <w:rFonts w:ascii="Times New Roman" w:hAnsi="Times New Roman" w:cs="Times New Roman"/>
                <w:b/>
                <w:bCs/>
                <w:sz w:val="14"/>
                <w:szCs w:val="14"/>
                <w:lang w:eastAsia="sk-SK"/>
              </w:rPr>
            </w:pPr>
            <w:r w:rsidRPr="00972E17">
              <w:rPr>
                <w:rFonts w:ascii="Times New Roman" w:hAnsi="Times New Roman" w:cs="Times New Roman"/>
                <w:b/>
                <w:bCs/>
                <w:sz w:val="14"/>
                <w:szCs w:val="14"/>
              </w:rPr>
              <w:t>119 353 879</w:t>
            </w:r>
          </w:p>
        </w:tc>
        <w:tc>
          <w:tcPr>
            <w:tcW w:w="522" w:type="pct"/>
            <w:tcBorders>
              <w:top w:val="single" w:sz="4" w:space="0" w:color="auto"/>
              <w:left w:val="nil"/>
              <w:bottom w:val="single" w:sz="4" w:space="0" w:color="auto"/>
              <w:right w:val="single" w:sz="4" w:space="0" w:color="auto"/>
            </w:tcBorders>
            <w:shd w:val="clear" w:color="000000" w:fill="BFBFBF"/>
            <w:noWrap/>
            <w:vAlign w:val="bottom"/>
            <w:hideMark/>
          </w:tcPr>
          <w:p w:rsidR="007D13F3" w:rsidRPr="00972E17" w:rsidRDefault="007D13F3" w:rsidP="00465CAC">
            <w:pPr>
              <w:jc w:val="right"/>
              <w:rPr>
                <w:rFonts w:ascii="Times New Roman" w:hAnsi="Times New Roman" w:cs="Times New Roman"/>
                <w:b/>
                <w:bCs/>
                <w:sz w:val="14"/>
                <w:szCs w:val="14"/>
              </w:rPr>
            </w:pPr>
            <w:r w:rsidRPr="00972E17">
              <w:rPr>
                <w:rFonts w:ascii="Times New Roman" w:hAnsi="Times New Roman" w:cs="Times New Roman"/>
                <w:b/>
                <w:bCs/>
                <w:sz w:val="14"/>
                <w:szCs w:val="14"/>
              </w:rPr>
              <w:t>118 346 439</w:t>
            </w:r>
          </w:p>
        </w:tc>
        <w:tc>
          <w:tcPr>
            <w:tcW w:w="521" w:type="pct"/>
            <w:tcBorders>
              <w:top w:val="single" w:sz="4" w:space="0" w:color="auto"/>
              <w:left w:val="nil"/>
              <w:bottom w:val="single" w:sz="4" w:space="0" w:color="auto"/>
              <w:right w:val="single" w:sz="4" w:space="0" w:color="auto"/>
            </w:tcBorders>
            <w:shd w:val="clear" w:color="000000" w:fill="BFBFBF"/>
            <w:noWrap/>
            <w:vAlign w:val="bottom"/>
            <w:hideMark/>
          </w:tcPr>
          <w:p w:rsidR="007D13F3" w:rsidRPr="00972E17" w:rsidRDefault="007D13F3" w:rsidP="00465CAC">
            <w:pPr>
              <w:jc w:val="right"/>
              <w:rPr>
                <w:rFonts w:ascii="Times New Roman" w:hAnsi="Times New Roman" w:cs="Times New Roman"/>
                <w:b/>
                <w:bCs/>
                <w:sz w:val="14"/>
                <w:szCs w:val="14"/>
              </w:rPr>
            </w:pPr>
            <w:r w:rsidRPr="00972E17">
              <w:rPr>
                <w:rFonts w:ascii="Times New Roman" w:hAnsi="Times New Roman" w:cs="Times New Roman"/>
                <w:b/>
                <w:bCs/>
                <w:sz w:val="14"/>
                <w:szCs w:val="14"/>
              </w:rPr>
              <w:t>115 896 126</w:t>
            </w:r>
          </w:p>
        </w:tc>
      </w:tr>
      <w:tr w:rsidR="007D13F3" w:rsidRPr="008D5ED4" w:rsidTr="00465CAC">
        <w:trPr>
          <w:trHeight w:val="255"/>
        </w:trPr>
        <w:tc>
          <w:tcPr>
            <w:tcW w:w="1347" w:type="pct"/>
            <w:tcBorders>
              <w:top w:val="nil"/>
              <w:left w:val="single" w:sz="4" w:space="0" w:color="auto"/>
              <w:bottom w:val="single" w:sz="4" w:space="0" w:color="auto"/>
              <w:right w:val="single" w:sz="4" w:space="0" w:color="auto"/>
            </w:tcBorders>
            <w:noWrap/>
            <w:vAlign w:val="center"/>
            <w:hideMark/>
          </w:tcPr>
          <w:p w:rsidR="007D13F3" w:rsidRPr="008D5ED4" w:rsidRDefault="007D13F3" w:rsidP="00465CAC">
            <w:pPr>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rozpočtové zdroje kapitoly</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7D13F3" w:rsidRPr="008D5ED4" w:rsidRDefault="007D13F3" w:rsidP="00465CAC">
            <w:pPr>
              <w:jc w:val="right"/>
              <w:rPr>
                <w:rFonts w:ascii="Times New Roman" w:hAnsi="Times New Roman" w:cs="Times New Roman"/>
                <w:b/>
                <w:bCs/>
                <w:color w:val="000000"/>
                <w:sz w:val="14"/>
                <w:szCs w:val="14"/>
              </w:rPr>
            </w:pPr>
            <w:r w:rsidRPr="008D5ED4">
              <w:rPr>
                <w:rFonts w:ascii="Times New Roman" w:hAnsi="Times New Roman" w:cs="Times New Roman"/>
                <w:b/>
                <w:bCs/>
                <w:color w:val="000000"/>
                <w:sz w:val="14"/>
                <w:szCs w:val="14"/>
              </w:rPr>
              <w:t>135 087 732</w:t>
            </w:r>
          </w:p>
        </w:tc>
        <w:tc>
          <w:tcPr>
            <w:tcW w:w="522" w:type="pct"/>
            <w:tcBorders>
              <w:top w:val="nil"/>
              <w:left w:val="nil"/>
              <w:bottom w:val="single" w:sz="4" w:space="0" w:color="auto"/>
              <w:right w:val="single" w:sz="4" w:space="0" w:color="auto"/>
            </w:tcBorders>
            <w:shd w:val="clear" w:color="000000" w:fill="FFFFFF"/>
            <w:noWrap/>
            <w:vAlign w:val="bottom"/>
            <w:hideMark/>
          </w:tcPr>
          <w:p w:rsidR="007D13F3" w:rsidRPr="008D5ED4" w:rsidRDefault="007D13F3" w:rsidP="00465CAC">
            <w:pPr>
              <w:jc w:val="right"/>
              <w:rPr>
                <w:rFonts w:ascii="Times New Roman" w:hAnsi="Times New Roman" w:cs="Times New Roman"/>
                <w:b/>
                <w:sz w:val="14"/>
                <w:szCs w:val="14"/>
              </w:rPr>
            </w:pPr>
            <w:r w:rsidRPr="008D5ED4">
              <w:rPr>
                <w:rFonts w:ascii="Times New Roman" w:hAnsi="Times New Roman" w:cs="Times New Roman"/>
                <w:b/>
                <w:sz w:val="14"/>
                <w:szCs w:val="14"/>
              </w:rPr>
              <w:t>166 304 964</w:t>
            </w:r>
          </w:p>
        </w:tc>
        <w:tc>
          <w:tcPr>
            <w:tcW w:w="522" w:type="pct"/>
            <w:tcBorders>
              <w:top w:val="nil"/>
              <w:left w:val="nil"/>
              <w:bottom w:val="single" w:sz="4" w:space="0" w:color="auto"/>
              <w:right w:val="single" w:sz="4" w:space="0" w:color="auto"/>
            </w:tcBorders>
            <w:shd w:val="clear" w:color="000000" w:fill="FFFFFF"/>
            <w:noWrap/>
            <w:vAlign w:val="bottom"/>
            <w:hideMark/>
          </w:tcPr>
          <w:p w:rsidR="007D13F3" w:rsidRPr="008D5ED4" w:rsidRDefault="007D13F3" w:rsidP="00465CAC">
            <w:pPr>
              <w:jc w:val="right"/>
              <w:rPr>
                <w:rFonts w:ascii="Times New Roman" w:hAnsi="Times New Roman" w:cs="Times New Roman"/>
                <w:b/>
                <w:sz w:val="14"/>
                <w:szCs w:val="14"/>
              </w:rPr>
            </w:pPr>
            <w:r w:rsidRPr="008D5ED4">
              <w:rPr>
                <w:rFonts w:ascii="Times New Roman" w:hAnsi="Times New Roman" w:cs="Times New Roman"/>
                <w:b/>
                <w:sz w:val="14"/>
                <w:szCs w:val="14"/>
              </w:rPr>
              <w:t>112 471 842</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140 557 260</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119 353 879</w:t>
            </w:r>
          </w:p>
        </w:tc>
        <w:tc>
          <w:tcPr>
            <w:tcW w:w="522" w:type="pct"/>
            <w:tcBorders>
              <w:top w:val="nil"/>
              <w:left w:val="nil"/>
              <w:bottom w:val="single" w:sz="4" w:space="0" w:color="auto"/>
              <w:right w:val="single" w:sz="4" w:space="0" w:color="auto"/>
            </w:tcBorders>
            <w:shd w:val="clear" w:color="auto" w:fill="auto"/>
            <w:noWrap/>
            <w:vAlign w:val="bottom"/>
            <w:hideMark/>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118 346 439</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115 896 126</w:t>
            </w:r>
          </w:p>
        </w:tc>
      </w:tr>
      <w:tr w:rsidR="007D13F3" w:rsidRPr="004B7170" w:rsidTr="00465CAC">
        <w:trPr>
          <w:trHeight w:val="255"/>
        </w:trPr>
        <w:tc>
          <w:tcPr>
            <w:tcW w:w="1347" w:type="pct"/>
            <w:tcBorders>
              <w:top w:val="nil"/>
              <w:left w:val="single" w:sz="4" w:space="0" w:color="auto"/>
              <w:bottom w:val="single" w:sz="4" w:space="0" w:color="auto"/>
              <w:right w:val="single" w:sz="4" w:space="0" w:color="auto"/>
            </w:tcBorders>
            <w:noWrap/>
            <w:vAlign w:val="center"/>
            <w:hideMark/>
          </w:tcPr>
          <w:p w:rsidR="007D13F3" w:rsidRPr="004B7170" w:rsidRDefault="007D13F3" w:rsidP="00465CAC">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v tom: bežné výdavky  600</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129 145 128</w:t>
            </w:r>
          </w:p>
        </w:tc>
        <w:tc>
          <w:tcPr>
            <w:tcW w:w="522" w:type="pct"/>
            <w:tcBorders>
              <w:top w:val="nil"/>
              <w:left w:val="nil"/>
              <w:bottom w:val="single" w:sz="4" w:space="0" w:color="auto"/>
              <w:right w:val="single" w:sz="4" w:space="0" w:color="auto"/>
            </w:tcBorders>
            <w:shd w:val="clear" w:color="000000" w:fill="FFFFFF"/>
            <w:noWrap/>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164 448 790</w:t>
            </w:r>
          </w:p>
        </w:tc>
        <w:tc>
          <w:tcPr>
            <w:tcW w:w="522" w:type="pct"/>
            <w:tcBorders>
              <w:top w:val="nil"/>
              <w:left w:val="nil"/>
              <w:bottom w:val="single" w:sz="4" w:space="0" w:color="auto"/>
              <w:right w:val="single" w:sz="4" w:space="0" w:color="auto"/>
            </w:tcBorders>
            <w:shd w:val="clear" w:color="000000" w:fill="FFFFFF"/>
            <w:noWrap/>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106 641 842</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7D13F3" w:rsidRPr="00251699" w:rsidRDefault="007D13F3" w:rsidP="00465CAC">
            <w:pPr>
              <w:jc w:val="right"/>
              <w:rPr>
                <w:rFonts w:ascii="Times New Roman" w:hAnsi="Times New Roman" w:cs="Times New Roman"/>
                <w:color w:val="000000"/>
                <w:sz w:val="14"/>
                <w:szCs w:val="14"/>
              </w:rPr>
            </w:pPr>
            <w:r w:rsidRPr="00251699">
              <w:rPr>
                <w:rFonts w:ascii="Times New Roman" w:hAnsi="Times New Roman" w:cs="Times New Roman"/>
                <w:color w:val="000000"/>
                <w:sz w:val="14"/>
                <w:szCs w:val="14"/>
              </w:rPr>
              <w:t>134 193 096</w:t>
            </w:r>
          </w:p>
        </w:tc>
        <w:tc>
          <w:tcPr>
            <w:tcW w:w="522" w:type="pct"/>
            <w:tcBorders>
              <w:top w:val="nil"/>
              <w:left w:val="single" w:sz="4" w:space="0" w:color="auto"/>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color w:val="000000"/>
                <w:sz w:val="14"/>
                <w:szCs w:val="14"/>
              </w:rPr>
            </w:pPr>
            <w:r w:rsidRPr="00972E17">
              <w:rPr>
                <w:rFonts w:ascii="Times New Roman" w:hAnsi="Times New Roman" w:cs="Times New Roman"/>
                <w:color w:val="000000"/>
                <w:sz w:val="14"/>
                <w:szCs w:val="14"/>
              </w:rPr>
              <w:t>115 853 879</w:t>
            </w:r>
          </w:p>
        </w:tc>
        <w:tc>
          <w:tcPr>
            <w:tcW w:w="522" w:type="pct"/>
            <w:tcBorders>
              <w:top w:val="nil"/>
              <w:left w:val="nil"/>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color w:val="000000"/>
                <w:sz w:val="14"/>
                <w:szCs w:val="14"/>
              </w:rPr>
            </w:pPr>
            <w:r w:rsidRPr="00972E17">
              <w:rPr>
                <w:rFonts w:ascii="Times New Roman" w:hAnsi="Times New Roman" w:cs="Times New Roman"/>
                <w:color w:val="000000"/>
                <w:sz w:val="14"/>
                <w:szCs w:val="14"/>
              </w:rPr>
              <w:t>114 846 439</w:t>
            </w:r>
          </w:p>
        </w:tc>
        <w:tc>
          <w:tcPr>
            <w:tcW w:w="521" w:type="pct"/>
            <w:tcBorders>
              <w:top w:val="nil"/>
              <w:left w:val="nil"/>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color w:val="000000"/>
                <w:sz w:val="14"/>
                <w:szCs w:val="14"/>
              </w:rPr>
            </w:pPr>
            <w:r w:rsidRPr="00972E17">
              <w:rPr>
                <w:rFonts w:ascii="Times New Roman" w:hAnsi="Times New Roman" w:cs="Times New Roman"/>
                <w:color w:val="000000"/>
                <w:sz w:val="14"/>
                <w:szCs w:val="14"/>
              </w:rPr>
              <w:t>112 396 126</w:t>
            </w:r>
          </w:p>
        </w:tc>
      </w:tr>
      <w:tr w:rsidR="007D13F3" w:rsidRPr="004B7170" w:rsidTr="00465CAC">
        <w:trPr>
          <w:trHeight w:val="255"/>
        </w:trPr>
        <w:tc>
          <w:tcPr>
            <w:tcW w:w="1347" w:type="pct"/>
            <w:tcBorders>
              <w:top w:val="nil"/>
              <w:left w:val="single" w:sz="4" w:space="0" w:color="auto"/>
              <w:bottom w:val="single" w:sz="4" w:space="0" w:color="auto"/>
              <w:right w:val="single" w:sz="4" w:space="0" w:color="auto"/>
            </w:tcBorders>
            <w:noWrap/>
            <w:vAlign w:val="center"/>
            <w:hideMark/>
          </w:tcPr>
          <w:p w:rsidR="007D13F3" w:rsidRPr="004B7170" w:rsidRDefault="007D13F3" w:rsidP="00465CAC">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610 mzdy</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49 363 886</w:t>
            </w:r>
          </w:p>
        </w:tc>
        <w:tc>
          <w:tcPr>
            <w:tcW w:w="522" w:type="pct"/>
            <w:tcBorders>
              <w:top w:val="nil"/>
              <w:left w:val="nil"/>
              <w:bottom w:val="single" w:sz="4" w:space="0" w:color="auto"/>
              <w:right w:val="single" w:sz="4" w:space="0" w:color="auto"/>
            </w:tcBorders>
            <w:shd w:val="clear" w:color="000000" w:fill="FFFFFF"/>
            <w:noWrap/>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54 644 964</w:t>
            </w:r>
          </w:p>
        </w:tc>
        <w:tc>
          <w:tcPr>
            <w:tcW w:w="522" w:type="pct"/>
            <w:tcBorders>
              <w:top w:val="nil"/>
              <w:left w:val="nil"/>
              <w:bottom w:val="single" w:sz="4" w:space="0" w:color="auto"/>
              <w:right w:val="single" w:sz="4" w:space="0" w:color="auto"/>
            </w:tcBorders>
            <w:shd w:val="clear" w:color="000000" w:fill="FFFFFF"/>
            <w:noWrap/>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47 606 548</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7D13F3" w:rsidRPr="00251699" w:rsidRDefault="007D13F3" w:rsidP="00465CAC">
            <w:pPr>
              <w:jc w:val="right"/>
              <w:rPr>
                <w:rFonts w:ascii="Times New Roman" w:hAnsi="Times New Roman" w:cs="Times New Roman"/>
                <w:color w:val="000000"/>
                <w:sz w:val="14"/>
                <w:szCs w:val="14"/>
              </w:rPr>
            </w:pPr>
            <w:r w:rsidRPr="00251699">
              <w:rPr>
                <w:rFonts w:ascii="Times New Roman" w:hAnsi="Times New Roman" w:cs="Times New Roman"/>
                <w:color w:val="000000"/>
                <w:sz w:val="14"/>
                <w:szCs w:val="14"/>
              </w:rPr>
              <w:t>49 643 354</w:t>
            </w:r>
          </w:p>
        </w:tc>
        <w:tc>
          <w:tcPr>
            <w:tcW w:w="522" w:type="pct"/>
            <w:tcBorders>
              <w:top w:val="nil"/>
              <w:left w:val="single" w:sz="4" w:space="0" w:color="auto"/>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sz w:val="14"/>
                <w:szCs w:val="14"/>
              </w:rPr>
            </w:pPr>
            <w:r w:rsidRPr="00972E17">
              <w:rPr>
                <w:rFonts w:ascii="Times New Roman" w:hAnsi="Times New Roman" w:cs="Times New Roman"/>
                <w:sz w:val="14"/>
                <w:szCs w:val="14"/>
              </w:rPr>
              <w:t>50 802 891</w:t>
            </w:r>
          </w:p>
        </w:tc>
        <w:tc>
          <w:tcPr>
            <w:tcW w:w="522" w:type="pct"/>
            <w:tcBorders>
              <w:top w:val="nil"/>
              <w:left w:val="nil"/>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sz w:val="14"/>
                <w:szCs w:val="14"/>
              </w:rPr>
            </w:pPr>
            <w:r w:rsidRPr="00972E17">
              <w:rPr>
                <w:rFonts w:ascii="Times New Roman" w:hAnsi="Times New Roman" w:cs="Times New Roman"/>
                <w:sz w:val="14"/>
                <w:szCs w:val="14"/>
              </w:rPr>
              <w:t>51 053 669</w:t>
            </w:r>
          </w:p>
        </w:tc>
        <w:tc>
          <w:tcPr>
            <w:tcW w:w="521" w:type="pct"/>
            <w:tcBorders>
              <w:top w:val="nil"/>
              <w:left w:val="nil"/>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sz w:val="14"/>
                <w:szCs w:val="14"/>
              </w:rPr>
            </w:pPr>
            <w:r w:rsidRPr="00972E17">
              <w:rPr>
                <w:rFonts w:ascii="Times New Roman" w:hAnsi="Times New Roman" w:cs="Times New Roman"/>
                <w:sz w:val="14"/>
                <w:szCs w:val="14"/>
              </w:rPr>
              <w:t>49 803 376</w:t>
            </w:r>
          </w:p>
        </w:tc>
      </w:tr>
      <w:tr w:rsidR="007D13F3" w:rsidRPr="004B7170" w:rsidTr="00465CAC">
        <w:trPr>
          <w:trHeight w:val="255"/>
        </w:trPr>
        <w:tc>
          <w:tcPr>
            <w:tcW w:w="1347" w:type="pct"/>
            <w:tcBorders>
              <w:top w:val="nil"/>
              <w:left w:val="single" w:sz="4" w:space="0" w:color="auto"/>
              <w:bottom w:val="single" w:sz="4" w:space="0" w:color="auto"/>
              <w:right w:val="single" w:sz="4" w:space="0" w:color="auto"/>
            </w:tcBorders>
            <w:noWrap/>
            <w:vAlign w:val="center"/>
            <w:hideMark/>
          </w:tcPr>
          <w:p w:rsidR="007D13F3" w:rsidRPr="004B7170" w:rsidRDefault="007D13F3" w:rsidP="00465CAC">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620 odvody</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14 688 479</w:t>
            </w:r>
          </w:p>
        </w:tc>
        <w:tc>
          <w:tcPr>
            <w:tcW w:w="522" w:type="pct"/>
            <w:tcBorders>
              <w:top w:val="nil"/>
              <w:left w:val="nil"/>
              <w:bottom w:val="single" w:sz="4" w:space="0" w:color="auto"/>
              <w:right w:val="single" w:sz="4" w:space="0" w:color="auto"/>
            </w:tcBorders>
            <w:shd w:val="clear" w:color="000000" w:fill="FFFFFF"/>
            <w:noWrap/>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16 427 702</w:t>
            </w:r>
          </w:p>
        </w:tc>
        <w:tc>
          <w:tcPr>
            <w:tcW w:w="522" w:type="pct"/>
            <w:tcBorders>
              <w:top w:val="nil"/>
              <w:left w:val="nil"/>
              <w:bottom w:val="single" w:sz="4" w:space="0" w:color="auto"/>
              <w:right w:val="single" w:sz="4" w:space="0" w:color="auto"/>
            </w:tcBorders>
            <w:shd w:val="clear" w:color="000000" w:fill="FFFFFF"/>
            <w:noWrap/>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13 432 504</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7D13F3" w:rsidRPr="00251699" w:rsidRDefault="007D13F3" w:rsidP="00465CAC">
            <w:pPr>
              <w:jc w:val="right"/>
              <w:rPr>
                <w:rFonts w:ascii="Times New Roman" w:hAnsi="Times New Roman" w:cs="Times New Roman"/>
                <w:color w:val="000000"/>
                <w:sz w:val="14"/>
                <w:szCs w:val="14"/>
              </w:rPr>
            </w:pPr>
            <w:r w:rsidRPr="00251699">
              <w:rPr>
                <w:rFonts w:ascii="Times New Roman" w:hAnsi="Times New Roman" w:cs="Times New Roman"/>
                <w:color w:val="000000"/>
                <w:sz w:val="14"/>
                <w:szCs w:val="14"/>
              </w:rPr>
              <w:t>14 101 982</w:t>
            </w:r>
          </w:p>
        </w:tc>
        <w:tc>
          <w:tcPr>
            <w:tcW w:w="522" w:type="pct"/>
            <w:tcBorders>
              <w:top w:val="nil"/>
              <w:left w:val="single" w:sz="4" w:space="0" w:color="auto"/>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sz w:val="14"/>
                <w:szCs w:val="14"/>
              </w:rPr>
            </w:pPr>
            <w:r w:rsidRPr="00972E17">
              <w:rPr>
                <w:rFonts w:ascii="Times New Roman" w:hAnsi="Times New Roman" w:cs="Times New Roman"/>
                <w:sz w:val="14"/>
                <w:szCs w:val="14"/>
              </w:rPr>
              <w:t>16 823 718</w:t>
            </w:r>
          </w:p>
        </w:tc>
        <w:tc>
          <w:tcPr>
            <w:tcW w:w="522" w:type="pct"/>
            <w:tcBorders>
              <w:top w:val="nil"/>
              <w:left w:val="nil"/>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sz w:val="14"/>
                <w:szCs w:val="14"/>
              </w:rPr>
            </w:pPr>
            <w:r w:rsidRPr="00972E17">
              <w:rPr>
                <w:rFonts w:ascii="Times New Roman" w:hAnsi="Times New Roman" w:cs="Times New Roman"/>
                <w:sz w:val="14"/>
                <w:szCs w:val="14"/>
              </w:rPr>
              <w:t>16 979 598</w:t>
            </w:r>
          </w:p>
        </w:tc>
        <w:tc>
          <w:tcPr>
            <w:tcW w:w="521" w:type="pct"/>
            <w:tcBorders>
              <w:top w:val="nil"/>
              <w:left w:val="nil"/>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sz w:val="14"/>
                <w:szCs w:val="14"/>
              </w:rPr>
            </w:pPr>
            <w:r w:rsidRPr="00972E17">
              <w:rPr>
                <w:rFonts w:ascii="Times New Roman" w:hAnsi="Times New Roman" w:cs="Times New Roman"/>
                <w:sz w:val="14"/>
                <w:szCs w:val="14"/>
              </w:rPr>
              <w:t>16 547 913</w:t>
            </w:r>
          </w:p>
        </w:tc>
      </w:tr>
      <w:tr w:rsidR="007D13F3" w:rsidRPr="004B7170" w:rsidTr="00465CAC">
        <w:trPr>
          <w:trHeight w:val="255"/>
        </w:trPr>
        <w:tc>
          <w:tcPr>
            <w:tcW w:w="1347" w:type="pct"/>
            <w:tcBorders>
              <w:top w:val="nil"/>
              <w:left w:val="single" w:sz="4" w:space="0" w:color="auto"/>
              <w:bottom w:val="single" w:sz="4" w:space="0" w:color="auto"/>
              <w:right w:val="single" w:sz="4" w:space="0" w:color="auto"/>
            </w:tcBorders>
            <w:noWrap/>
            <w:vAlign w:val="center"/>
            <w:hideMark/>
          </w:tcPr>
          <w:p w:rsidR="007D13F3" w:rsidRPr="004B7170" w:rsidRDefault="007D13F3" w:rsidP="00465CAC">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630 tovary a služby</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39 278 032</w:t>
            </w:r>
          </w:p>
        </w:tc>
        <w:tc>
          <w:tcPr>
            <w:tcW w:w="522" w:type="pct"/>
            <w:tcBorders>
              <w:top w:val="nil"/>
              <w:left w:val="nil"/>
              <w:bottom w:val="single" w:sz="4" w:space="0" w:color="auto"/>
              <w:right w:val="single" w:sz="4" w:space="0" w:color="auto"/>
            </w:tcBorders>
            <w:shd w:val="clear" w:color="000000" w:fill="FFFFFF"/>
            <w:noWrap/>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52 646 508</w:t>
            </w:r>
          </w:p>
        </w:tc>
        <w:tc>
          <w:tcPr>
            <w:tcW w:w="522" w:type="pct"/>
            <w:tcBorders>
              <w:top w:val="nil"/>
              <w:left w:val="nil"/>
              <w:bottom w:val="single" w:sz="4" w:space="0" w:color="auto"/>
              <w:right w:val="single" w:sz="4" w:space="0" w:color="auto"/>
            </w:tcBorders>
            <w:shd w:val="clear" w:color="000000" w:fill="FFFFFF"/>
            <w:noWrap/>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36 081 901</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7D13F3" w:rsidRPr="00251699" w:rsidRDefault="007D13F3" w:rsidP="00465CAC">
            <w:pPr>
              <w:jc w:val="right"/>
              <w:rPr>
                <w:rFonts w:ascii="Times New Roman" w:hAnsi="Times New Roman" w:cs="Times New Roman"/>
                <w:color w:val="000000"/>
                <w:sz w:val="14"/>
                <w:szCs w:val="14"/>
              </w:rPr>
            </w:pPr>
            <w:r w:rsidRPr="00251699">
              <w:rPr>
                <w:rFonts w:ascii="Times New Roman" w:hAnsi="Times New Roman" w:cs="Times New Roman"/>
                <w:color w:val="000000"/>
                <w:sz w:val="14"/>
                <w:szCs w:val="14"/>
              </w:rPr>
              <w:t>38 153 757</w:t>
            </w:r>
          </w:p>
        </w:tc>
        <w:tc>
          <w:tcPr>
            <w:tcW w:w="522" w:type="pct"/>
            <w:tcBorders>
              <w:top w:val="nil"/>
              <w:left w:val="single" w:sz="4" w:space="0" w:color="auto"/>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sz w:val="14"/>
                <w:szCs w:val="14"/>
              </w:rPr>
            </w:pPr>
            <w:r w:rsidRPr="00972E17">
              <w:rPr>
                <w:rFonts w:ascii="Times New Roman" w:hAnsi="Times New Roman" w:cs="Times New Roman"/>
                <w:sz w:val="14"/>
                <w:szCs w:val="14"/>
              </w:rPr>
              <w:t>38 806 414</w:t>
            </w:r>
          </w:p>
        </w:tc>
        <w:tc>
          <w:tcPr>
            <w:tcW w:w="522" w:type="pct"/>
            <w:tcBorders>
              <w:top w:val="nil"/>
              <w:left w:val="nil"/>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sz w:val="14"/>
                <w:szCs w:val="14"/>
              </w:rPr>
            </w:pPr>
            <w:r w:rsidRPr="00972E17">
              <w:rPr>
                <w:rFonts w:ascii="Times New Roman" w:hAnsi="Times New Roman" w:cs="Times New Roman"/>
                <w:sz w:val="14"/>
                <w:szCs w:val="14"/>
              </w:rPr>
              <w:t>37 468 316</w:t>
            </w:r>
          </w:p>
        </w:tc>
        <w:tc>
          <w:tcPr>
            <w:tcW w:w="521" w:type="pct"/>
            <w:tcBorders>
              <w:top w:val="nil"/>
              <w:left w:val="nil"/>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sz w:val="14"/>
                <w:szCs w:val="14"/>
              </w:rPr>
            </w:pPr>
            <w:r w:rsidRPr="00972E17">
              <w:rPr>
                <w:rFonts w:ascii="Times New Roman" w:hAnsi="Times New Roman" w:cs="Times New Roman"/>
                <w:sz w:val="14"/>
                <w:szCs w:val="14"/>
              </w:rPr>
              <w:t>36 599 981</w:t>
            </w:r>
          </w:p>
        </w:tc>
      </w:tr>
      <w:tr w:rsidR="007D13F3" w:rsidRPr="004B7170" w:rsidTr="00465CAC">
        <w:trPr>
          <w:trHeight w:val="255"/>
        </w:trPr>
        <w:tc>
          <w:tcPr>
            <w:tcW w:w="1347" w:type="pct"/>
            <w:tcBorders>
              <w:top w:val="nil"/>
              <w:left w:val="single" w:sz="4" w:space="0" w:color="auto"/>
              <w:bottom w:val="single" w:sz="4" w:space="0" w:color="auto"/>
              <w:right w:val="single" w:sz="4" w:space="0" w:color="auto"/>
            </w:tcBorders>
            <w:noWrap/>
            <w:vAlign w:val="center"/>
            <w:hideMark/>
          </w:tcPr>
          <w:p w:rsidR="007D13F3" w:rsidRPr="004B7170" w:rsidRDefault="007D13F3" w:rsidP="00465CAC">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640 bežné transfery</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25 814 731</w:t>
            </w:r>
          </w:p>
        </w:tc>
        <w:tc>
          <w:tcPr>
            <w:tcW w:w="522" w:type="pct"/>
            <w:tcBorders>
              <w:top w:val="nil"/>
              <w:left w:val="nil"/>
              <w:bottom w:val="single" w:sz="4" w:space="0" w:color="auto"/>
              <w:right w:val="single" w:sz="4" w:space="0" w:color="auto"/>
            </w:tcBorders>
            <w:shd w:val="clear" w:color="000000" w:fill="FFFFFF"/>
            <w:noWrap/>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40 729 616</w:t>
            </w:r>
          </w:p>
        </w:tc>
        <w:tc>
          <w:tcPr>
            <w:tcW w:w="522" w:type="pct"/>
            <w:tcBorders>
              <w:top w:val="nil"/>
              <w:left w:val="nil"/>
              <w:bottom w:val="single" w:sz="4" w:space="0" w:color="auto"/>
              <w:right w:val="single" w:sz="4" w:space="0" w:color="auto"/>
            </w:tcBorders>
            <w:shd w:val="clear" w:color="000000" w:fill="FFFFFF"/>
            <w:noWrap/>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9 520 889</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7D13F3" w:rsidRPr="00251699" w:rsidRDefault="007D13F3" w:rsidP="00465CAC">
            <w:pPr>
              <w:jc w:val="right"/>
              <w:rPr>
                <w:rFonts w:ascii="Times New Roman" w:hAnsi="Times New Roman" w:cs="Times New Roman"/>
                <w:color w:val="000000"/>
                <w:sz w:val="14"/>
                <w:szCs w:val="14"/>
              </w:rPr>
            </w:pPr>
            <w:r w:rsidRPr="00251699">
              <w:rPr>
                <w:rFonts w:ascii="Times New Roman" w:hAnsi="Times New Roman" w:cs="Times New Roman"/>
                <w:color w:val="000000"/>
                <w:sz w:val="14"/>
                <w:szCs w:val="14"/>
              </w:rPr>
              <w:t>32 294 003</w:t>
            </w:r>
          </w:p>
        </w:tc>
        <w:tc>
          <w:tcPr>
            <w:tcW w:w="522" w:type="pct"/>
            <w:tcBorders>
              <w:top w:val="nil"/>
              <w:left w:val="single" w:sz="4" w:space="0" w:color="auto"/>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sz w:val="14"/>
                <w:szCs w:val="14"/>
              </w:rPr>
            </w:pPr>
            <w:r w:rsidRPr="00972E17">
              <w:rPr>
                <w:rFonts w:ascii="Times New Roman" w:hAnsi="Times New Roman" w:cs="Times New Roman"/>
                <w:sz w:val="14"/>
                <w:szCs w:val="14"/>
              </w:rPr>
              <w:t>9 420 856</w:t>
            </w:r>
          </w:p>
        </w:tc>
        <w:tc>
          <w:tcPr>
            <w:tcW w:w="522" w:type="pct"/>
            <w:tcBorders>
              <w:top w:val="nil"/>
              <w:left w:val="nil"/>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sz w:val="14"/>
                <w:szCs w:val="14"/>
              </w:rPr>
            </w:pPr>
            <w:r w:rsidRPr="00972E17">
              <w:rPr>
                <w:rFonts w:ascii="Times New Roman" w:hAnsi="Times New Roman" w:cs="Times New Roman"/>
                <w:sz w:val="14"/>
                <w:szCs w:val="14"/>
              </w:rPr>
              <w:t>9 344 856</w:t>
            </w:r>
          </w:p>
        </w:tc>
        <w:tc>
          <w:tcPr>
            <w:tcW w:w="521" w:type="pct"/>
            <w:tcBorders>
              <w:top w:val="nil"/>
              <w:left w:val="nil"/>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sz w:val="14"/>
                <w:szCs w:val="14"/>
              </w:rPr>
            </w:pPr>
            <w:r w:rsidRPr="00972E17">
              <w:rPr>
                <w:rFonts w:ascii="Times New Roman" w:hAnsi="Times New Roman" w:cs="Times New Roman"/>
                <w:sz w:val="14"/>
                <w:szCs w:val="14"/>
              </w:rPr>
              <w:t>9 444 856</w:t>
            </w:r>
          </w:p>
        </w:tc>
      </w:tr>
      <w:tr w:rsidR="007D13F3" w:rsidRPr="004B7170" w:rsidTr="00465CAC">
        <w:trPr>
          <w:trHeight w:val="255"/>
        </w:trPr>
        <w:tc>
          <w:tcPr>
            <w:tcW w:w="1347" w:type="pct"/>
            <w:tcBorders>
              <w:top w:val="nil"/>
              <w:left w:val="single" w:sz="4" w:space="0" w:color="auto"/>
              <w:bottom w:val="single" w:sz="4" w:space="0" w:color="auto"/>
              <w:right w:val="single" w:sz="4" w:space="0" w:color="auto"/>
            </w:tcBorders>
            <w:noWrap/>
            <w:vAlign w:val="center"/>
            <w:hideMark/>
          </w:tcPr>
          <w:p w:rsidR="007D13F3" w:rsidRPr="004B7170" w:rsidRDefault="007D13F3" w:rsidP="00465CAC">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kapitálové výdavky 700</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5 942 604</w:t>
            </w:r>
          </w:p>
        </w:tc>
        <w:tc>
          <w:tcPr>
            <w:tcW w:w="522" w:type="pct"/>
            <w:tcBorders>
              <w:top w:val="nil"/>
              <w:left w:val="nil"/>
              <w:bottom w:val="single" w:sz="4" w:space="0" w:color="auto"/>
              <w:right w:val="single" w:sz="4" w:space="0" w:color="auto"/>
            </w:tcBorders>
            <w:shd w:val="clear" w:color="000000" w:fill="FFFFFF"/>
            <w:noWrap/>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1 856 174</w:t>
            </w:r>
          </w:p>
        </w:tc>
        <w:tc>
          <w:tcPr>
            <w:tcW w:w="522" w:type="pct"/>
            <w:tcBorders>
              <w:top w:val="nil"/>
              <w:left w:val="nil"/>
              <w:bottom w:val="single" w:sz="4" w:space="0" w:color="auto"/>
              <w:right w:val="single" w:sz="4" w:space="0" w:color="auto"/>
            </w:tcBorders>
            <w:shd w:val="clear" w:color="000000" w:fill="FFFFFF"/>
            <w:noWrap/>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5 830 000</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7D13F3" w:rsidRPr="00251699" w:rsidRDefault="007D13F3" w:rsidP="00465CAC">
            <w:pPr>
              <w:jc w:val="right"/>
              <w:rPr>
                <w:rFonts w:ascii="Times New Roman" w:hAnsi="Times New Roman" w:cs="Times New Roman"/>
                <w:color w:val="000000"/>
                <w:sz w:val="14"/>
                <w:szCs w:val="14"/>
              </w:rPr>
            </w:pPr>
            <w:r w:rsidRPr="00251699">
              <w:rPr>
                <w:rFonts w:ascii="Times New Roman" w:hAnsi="Times New Roman" w:cs="Times New Roman"/>
                <w:color w:val="000000"/>
                <w:sz w:val="14"/>
                <w:szCs w:val="14"/>
              </w:rPr>
              <w:t>6 364 164</w:t>
            </w:r>
          </w:p>
        </w:tc>
        <w:tc>
          <w:tcPr>
            <w:tcW w:w="522" w:type="pct"/>
            <w:tcBorders>
              <w:top w:val="nil"/>
              <w:left w:val="single" w:sz="4" w:space="0" w:color="auto"/>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sz w:val="14"/>
                <w:szCs w:val="14"/>
              </w:rPr>
            </w:pPr>
            <w:r w:rsidRPr="00972E17">
              <w:rPr>
                <w:rFonts w:ascii="Times New Roman" w:hAnsi="Times New Roman" w:cs="Times New Roman"/>
                <w:sz w:val="14"/>
                <w:szCs w:val="14"/>
              </w:rPr>
              <w:t>3 500 000</w:t>
            </w:r>
          </w:p>
        </w:tc>
        <w:tc>
          <w:tcPr>
            <w:tcW w:w="522" w:type="pct"/>
            <w:tcBorders>
              <w:top w:val="nil"/>
              <w:left w:val="nil"/>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sz w:val="14"/>
                <w:szCs w:val="14"/>
              </w:rPr>
            </w:pPr>
            <w:r w:rsidRPr="00972E17">
              <w:rPr>
                <w:rFonts w:ascii="Times New Roman" w:hAnsi="Times New Roman" w:cs="Times New Roman"/>
                <w:sz w:val="14"/>
                <w:szCs w:val="14"/>
              </w:rPr>
              <w:t>3 500 000</w:t>
            </w:r>
          </w:p>
        </w:tc>
        <w:tc>
          <w:tcPr>
            <w:tcW w:w="521" w:type="pct"/>
            <w:tcBorders>
              <w:top w:val="nil"/>
              <w:left w:val="nil"/>
              <w:bottom w:val="single" w:sz="4" w:space="0" w:color="auto"/>
              <w:right w:val="single" w:sz="4" w:space="0" w:color="auto"/>
            </w:tcBorders>
            <w:shd w:val="clear" w:color="auto" w:fill="auto"/>
            <w:vAlign w:val="bottom"/>
            <w:hideMark/>
          </w:tcPr>
          <w:p w:rsidR="007D13F3" w:rsidRPr="00972E17" w:rsidRDefault="007D13F3" w:rsidP="00465CAC">
            <w:pPr>
              <w:jc w:val="right"/>
              <w:rPr>
                <w:rFonts w:ascii="Times New Roman" w:hAnsi="Times New Roman" w:cs="Times New Roman"/>
                <w:sz w:val="14"/>
                <w:szCs w:val="14"/>
              </w:rPr>
            </w:pPr>
            <w:r w:rsidRPr="00972E17">
              <w:rPr>
                <w:rFonts w:ascii="Times New Roman" w:hAnsi="Times New Roman" w:cs="Times New Roman"/>
                <w:sz w:val="14"/>
                <w:szCs w:val="14"/>
              </w:rPr>
              <w:t>3 500 000</w:t>
            </w:r>
          </w:p>
        </w:tc>
      </w:tr>
      <w:tr w:rsidR="007D13F3" w:rsidRPr="004B7170" w:rsidTr="00465CAC">
        <w:trPr>
          <w:trHeight w:val="255"/>
        </w:trPr>
        <w:tc>
          <w:tcPr>
            <w:tcW w:w="1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3F3" w:rsidRPr="0062539A" w:rsidRDefault="007D13F3" w:rsidP="00465CAC">
            <w:pPr>
              <w:rPr>
                <w:rFonts w:ascii="Times New Roman" w:hAnsi="Times New Roman" w:cs="Times New Roman"/>
                <w:b/>
                <w:bCs/>
                <w:color w:val="000000"/>
                <w:sz w:val="14"/>
                <w:szCs w:val="14"/>
                <w:lang w:eastAsia="sk-SK"/>
              </w:rPr>
            </w:pPr>
            <w:r w:rsidRPr="0062539A">
              <w:rPr>
                <w:rFonts w:ascii="Times New Roman" w:hAnsi="Times New Roman" w:cs="Times New Roman"/>
                <w:b/>
                <w:bCs/>
                <w:color w:val="000000"/>
                <w:sz w:val="14"/>
                <w:szCs w:val="14"/>
              </w:rPr>
              <w:t>zdro</w:t>
            </w:r>
            <w:r>
              <w:rPr>
                <w:rFonts w:ascii="Times New Roman" w:hAnsi="Times New Roman" w:cs="Times New Roman"/>
                <w:b/>
                <w:bCs/>
                <w:color w:val="000000"/>
                <w:sz w:val="14"/>
                <w:szCs w:val="14"/>
              </w:rPr>
              <w:t>je EÚ vrátane spolufinancovania</w:t>
            </w:r>
          </w:p>
        </w:tc>
        <w:tc>
          <w:tcPr>
            <w:tcW w:w="522" w:type="pct"/>
            <w:tcBorders>
              <w:top w:val="nil"/>
              <w:left w:val="single" w:sz="4" w:space="0" w:color="auto"/>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5 373 612</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0</w:t>
            </w:r>
          </w:p>
        </w:tc>
        <w:tc>
          <w:tcPr>
            <w:tcW w:w="522" w:type="pct"/>
            <w:tcBorders>
              <w:top w:val="nil"/>
              <w:left w:val="single" w:sz="4" w:space="0" w:color="auto"/>
              <w:bottom w:val="single" w:sz="4" w:space="0" w:color="auto"/>
              <w:right w:val="single" w:sz="4" w:space="0" w:color="auto"/>
            </w:tcBorders>
            <w:shd w:val="clear" w:color="auto" w:fill="auto"/>
            <w:noWrap/>
            <w:vAlign w:val="bottom"/>
          </w:tcPr>
          <w:p w:rsidR="007D13F3" w:rsidRPr="00251699" w:rsidRDefault="007D13F3" w:rsidP="00465CAC">
            <w:pPr>
              <w:jc w:val="right"/>
              <w:rPr>
                <w:rFonts w:ascii="Times New Roman" w:hAnsi="Times New Roman" w:cs="Times New Roman"/>
                <w:b/>
                <w:bCs/>
                <w:color w:val="000000"/>
                <w:sz w:val="14"/>
                <w:szCs w:val="14"/>
              </w:rPr>
            </w:pPr>
            <w:r w:rsidRPr="00251699">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shd w:val="clear" w:color="auto" w:fill="auto"/>
            <w:vAlign w:val="bottom"/>
          </w:tcPr>
          <w:p w:rsidR="007D13F3" w:rsidRPr="00D530ED" w:rsidRDefault="007D13F3" w:rsidP="00465CAC">
            <w:pPr>
              <w:jc w:val="right"/>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shd w:val="clear" w:color="auto" w:fill="auto"/>
            <w:vAlign w:val="bottom"/>
          </w:tcPr>
          <w:p w:rsidR="007D13F3" w:rsidRPr="00D530ED" w:rsidRDefault="007D13F3" w:rsidP="00465CAC">
            <w:pPr>
              <w:jc w:val="right"/>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tcPr>
          <w:p w:rsidR="007D13F3" w:rsidRPr="00D530ED" w:rsidRDefault="007D13F3" w:rsidP="00465CAC">
            <w:pPr>
              <w:jc w:val="right"/>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0</w:t>
            </w:r>
          </w:p>
        </w:tc>
      </w:tr>
      <w:tr w:rsidR="007D13F3" w:rsidRPr="004B7170" w:rsidTr="00465CAC">
        <w:trPr>
          <w:trHeight w:val="255"/>
        </w:trPr>
        <w:tc>
          <w:tcPr>
            <w:tcW w:w="1347" w:type="pct"/>
            <w:tcBorders>
              <w:top w:val="nil"/>
              <w:left w:val="single" w:sz="4" w:space="0" w:color="auto"/>
              <w:bottom w:val="single" w:sz="4" w:space="0" w:color="auto"/>
              <w:right w:val="single" w:sz="4" w:space="0" w:color="auto"/>
            </w:tcBorders>
            <w:shd w:val="clear" w:color="auto" w:fill="auto"/>
            <w:noWrap/>
            <w:vAlign w:val="center"/>
          </w:tcPr>
          <w:p w:rsidR="007D13F3" w:rsidRPr="0062539A" w:rsidRDefault="007D13F3" w:rsidP="00465CAC">
            <w:pPr>
              <w:rPr>
                <w:rFonts w:ascii="Times New Roman" w:hAnsi="Times New Roman" w:cs="Times New Roman"/>
                <w:color w:val="000000"/>
                <w:sz w:val="14"/>
                <w:szCs w:val="14"/>
              </w:rPr>
            </w:pPr>
            <w:r w:rsidRPr="0062539A">
              <w:rPr>
                <w:rFonts w:ascii="Times New Roman" w:hAnsi="Times New Roman" w:cs="Times New Roman"/>
                <w:color w:val="000000"/>
                <w:sz w:val="14"/>
                <w:szCs w:val="14"/>
              </w:rPr>
              <w:t xml:space="preserve">v tom: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EÚ prostriedky</w:t>
            </w:r>
          </w:p>
        </w:tc>
        <w:tc>
          <w:tcPr>
            <w:tcW w:w="522" w:type="pct"/>
            <w:tcBorders>
              <w:top w:val="nil"/>
              <w:left w:val="single" w:sz="4" w:space="0" w:color="auto"/>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3 585 587</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r>
      <w:tr w:rsidR="007D13F3" w:rsidRPr="004B7170" w:rsidTr="00465CAC">
        <w:trPr>
          <w:trHeight w:val="255"/>
        </w:trPr>
        <w:tc>
          <w:tcPr>
            <w:tcW w:w="1347" w:type="pct"/>
            <w:tcBorders>
              <w:top w:val="nil"/>
              <w:left w:val="single" w:sz="4" w:space="0" w:color="auto"/>
              <w:bottom w:val="single" w:sz="4" w:space="0" w:color="auto"/>
              <w:right w:val="single" w:sz="4" w:space="0" w:color="auto"/>
            </w:tcBorders>
            <w:shd w:val="clear" w:color="auto" w:fill="auto"/>
            <w:noWrap/>
            <w:vAlign w:val="center"/>
          </w:tcPr>
          <w:p w:rsidR="007D13F3" w:rsidRPr="0062539A" w:rsidRDefault="007D13F3" w:rsidP="00465CAC">
            <w:pPr>
              <w:rPr>
                <w:rFonts w:ascii="Times New Roman" w:hAnsi="Times New Roman" w:cs="Times New Roman"/>
                <w:color w:val="000000"/>
                <w:sz w:val="14"/>
                <w:szCs w:val="14"/>
              </w:rPr>
            </w:pP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 xml:space="preserve">  spolufinancovanie zo ŠR</w:t>
            </w:r>
          </w:p>
        </w:tc>
        <w:tc>
          <w:tcPr>
            <w:tcW w:w="522" w:type="pct"/>
            <w:tcBorders>
              <w:top w:val="nil"/>
              <w:left w:val="single" w:sz="4" w:space="0" w:color="auto"/>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1 788 025</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r>
      <w:tr w:rsidR="007D13F3" w:rsidRPr="004B7170" w:rsidTr="00465CAC">
        <w:trPr>
          <w:trHeight w:val="255"/>
        </w:trPr>
        <w:tc>
          <w:tcPr>
            <w:tcW w:w="1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62539A" w:rsidRDefault="007D13F3" w:rsidP="00465CAC">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rPr>
              <w:t>presun z minulých rokov</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12 282 369</w:t>
            </w:r>
          </w:p>
        </w:tc>
        <w:tc>
          <w:tcPr>
            <w:tcW w:w="522" w:type="pct"/>
            <w:tcBorders>
              <w:top w:val="nil"/>
              <w:left w:val="nil"/>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15 019 388</w:t>
            </w:r>
          </w:p>
        </w:tc>
        <w:tc>
          <w:tcPr>
            <w:tcW w:w="522" w:type="pct"/>
            <w:tcBorders>
              <w:top w:val="nil"/>
              <w:left w:val="nil"/>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0</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7D13F3" w:rsidRPr="00251699" w:rsidRDefault="007D13F3" w:rsidP="00465CAC">
            <w:pPr>
              <w:jc w:val="right"/>
              <w:rPr>
                <w:rFonts w:ascii="Times New Roman" w:hAnsi="Times New Roman" w:cs="Times New Roman"/>
                <w:b/>
                <w:bCs/>
                <w:color w:val="000000"/>
                <w:sz w:val="14"/>
                <w:szCs w:val="14"/>
              </w:rPr>
            </w:pPr>
            <w:r w:rsidRPr="00251699">
              <w:rPr>
                <w:rFonts w:ascii="Times New Roman" w:hAnsi="Times New Roman" w:cs="Times New Roman"/>
                <w:b/>
                <w:bCs/>
                <w:color w:val="000000"/>
                <w:sz w:val="14"/>
                <w:szCs w:val="14"/>
              </w:rPr>
              <w:t>124 890</w:t>
            </w:r>
          </w:p>
        </w:tc>
        <w:tc>
          <w:tcPr>
            <w:tcW w:w="522" w:type="pct"/>
            <w:tcBorders>
              <w:top w:val="nil"/>
              <w:left w:val="nil"/>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0</w:t>
            </w:r>
          </w:p>
        </w:tc>
        <w:tc>
          <w:tcPr>
            <w:tcW w:w="521" w:type="pct"/>
            <w:tcBorders>
              <w:top w:val="nil"/>
              <w:left w:val="nil"/>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0</w:t>
            </w:r>
          </w:p>
        </w:tc>
      </w:tr>
      <w:tr w:rsidR="007D13F3" w:rsidRPr="004B7170" w:rsidTr="00465CAC">
        <w:trPr>
          <w:trHeight w:val="255"/>
        </w:trPr>
        <w:tc>
          <w:tcPr>
            <w:tcW w:w="1347" w:type="pct"/>
            <w:tcBorders>
              <w:top w:val="nil"/>
              <w:left w:val="single" w:sz="4" w:space="0" w:color="auto"/>
              <w:bottom w:val="single" w:sz="4" w:space="0" w:color="auto"/>
              <w:right w:val="single" w:sz="4" w:space="0" w:color="auto"/>
            </w:tcBorders>
            <w:shd w:val="clear" w:color="auto" w:fill="auto"/>
            <w:noWrap/>
            <w:vAlign w:val="center"/>
          </w:tcPr>
          <w:p w:rsidR="007D13F3" w:rsidRPr="0062539A" w:rsidRDefault="007D13F3" w:rsidP="00465CAC">
            <w:pPr>
              <w:rPr>
                <w:rFonts w:ascii="Times New Roman" w:hAnsi="Times New Roman" w:cs="Times New Roman"/>
                <w:color w:val="000000"/>
                <w:sz w:val="14"/>
                <w:szCs w:val="14"/>
              </w:rPr>
            </w:pPr>
            <w:r>
              <w:rPr>
                <w:rFonts w:ascii="Times New Roman" w:hAnsi="Times New Roman" w:cs="Times New Roman"/>
                <w:color w:val="000000"/>
                <w:sz w:val="14"/>
                <w:szCs w:val="14"/>
              </w:rPr>
              <w:t>v tom</w:t>
            </w: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štátny rozpočet</w:t>
            </w:r>
          </w:p>
        </w:tc>
        <w:tc>
          <w:tcPr>
            <w:tcW w:w="522" w:type="pct"/>
            <w:tcBorders>
              <w:top w:val="nil"/>
              <w:left w:val="single" w:sz="4" w:space="0" w:color="auto"/>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6 191 881</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14 276 689</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2" w:type="pct"/>
            <w:tcBorders>
              <w:top w:val="nil"/>
              <w:left w:val="single" w:sz="4" w:space="0" w:color="auto"/>
              <w:bottom w:val="single" w:sz="4" w:space="0" w:color="auto"/>
              <w:right w:val="single" w:sz="4" w:space="0" w:color="auto"/>
            </w:tcBorders>
            <w:shd w:val="clear" w:color="auto" w:fill="auto"/>
            <w:noWrap/>
            <w:vAlign w:val="bottom"/>
          </w:tcPr>
          <w:p w:rsidR="007D13F3" w:rsidRPr="00251699" w:rsidRDefault="007D13F3" w:rsidP="00465CAC">
            <w:pPr>
              <w:jc w:val="right"/>
              <w:rPr>
                <w:rFonts w:ascii="Times New Roman" w:hAnsi="Times New Roman" w:cs="Times New Roman"/>
                <w:color w:val="000000"/>
                <w:sz w:val="14"/>
                <w:szCs w:val="14"/>
              </w:rPr>
            </w:pPr>
            <w:r w:rsidRPr="00251699">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r>
      <w:tr w:rsidR="007D13F3" w:rsidRPr="004B7170" w:rsidTr="00465CAC">
        <w:trPr>
          <w:trHeight w:val="255"/>
        </w:trPr>
        <w:tc>
          <w:tcPr>
            <w:tcW w:w="1347" w:type="pct"/>
            <w:tcBorders>
              <w:top w:val="nil"/>
              <w:left w:val="single" w:sz="4" w:space="0" w:color="auto"/>
              <w:bottom w:val="single" w:sz="4" w:space="0" w:color="auto"/>
              <w:right w:val="single" w:sz="4" w:space="0" w:color="auto"/>
            </w:tcBorders>
            <w:shd w:val="clear" w:color="auto" w:fill="auto"/>
            <w:noWrap/>
            <w:vAlign w:val="center"/>
          </w:tcPr>
          <w:p w:rsidR="007D13F3" w:rsidRPr="0062539A" w:rsidRDefault="007D13F3" w:rsidP="00465CAC">
            <w:pPr>
              <w:rPr>
                <w:rFonts w:ascii="Times New Roman" w:hAnsi="Times New Roman" w:cs="Times New Roman"/>
                <w:color w:val="000000"/>
                <w:sz w:val="14"/>
                <w:szCs w:val="14"/>
              </w:rPr>
            </w:pP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EÚ prostriedky</w:t>
            </w:r>
          </w:p>
        </w:tc>
        <w:tc>
          <w:tcPr>
            <w:tcW w:w="522" w:type="pct"/>
            <w:tcBorders>
              <w:top w:val="nil"/>
              <w:left w:val="single" w:sz="4" w:space="0" w:color="auto"/>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4 565 999</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585 777</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2" w:type="pct"/>
            <w:tcBorders>
              <w:top w:val="nil"/>
              <w:left w:val="single" w:sz="4" w:space="0" w:color="auto"/>
              <w:bottom w:val="single" w:sz="4" w:space="0" w:color="auto"/>
              <w:right w:val="single" w:sz="4" w:space="0" w:color="auto"/>
            </w:tcBorders>
            <w:shd w:val="clear" w:color="auto" w:fill="auto"/>
            <w:noWrap/>
            <w:vAlign w:val="bottom"/>
          </w:tcPr>
          <w:p w:rsidR="007D13F3" w:rsidRPr="00251699" w:rsidRDefault="007D13F3" w:rsidP="00465CAC">
            <w:pPr>
              <w:jc w:val="right"/>
              <w:rPr>
                <w:rFonts w:ascii="Times New Roman" w:hAnsi="Times New Roman" w:cs="Times New Roman"/>
                <w:color w:val="000000"/>
                <w:sz w:val="14"/>
                <w:szCs w:val="14"/>
              </w:rPr>
            </w:pPr>
            <w:r w:rsidRPr="00251699">
              <w:rPr>
                <w:rFonts w:ascii="Times New Roman" w:hAnsi="Times New Roman" w:cs="Times New Roman"/>
                <w:color w:val="000000"/>
                <w:sz w:val="14"/>
                <w:szCs w:val="14"/>
              </w:rPr>
              <w:t>102 485</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r>
      <w:tr w:rsidR="007D13F3" w:rsidRPr="004B7170" w:rsidTr="00465CAC">
        <w:trPr>
          <w:trHeight w:val="255"/>
        </w:trPr>
        <w:tc>
          <w:tcPr>
            <w:tcW w:w="1347" w:type="pct"/>
            <w:tcBorders>
              <w:top w:val="nil"/>
              <w:left w:val="single" w:sz="4" w:space="0" w:color="auto"/>
              <w:bottom w:val="single" w:sz="4" w:space="0" w:color="auto"/>
              <w:right w:val="single" w:sz="4" w:space="0" w:color="auto"/>
            </w:tcBorders>
            <w:shd w:val="clear" w:color="auto" w:fill="auto"/>
            <w:noWrap/>
            <w:vAlign w:val="center"/>
          </w:tcPr>
          <w:p w:rsidR="007D13F3" w:rsidRPr="0062539A" w:rsidRDefault="007D13F3" w:rsidP="00465CAC">
            <w:pPr>
              <w:rPr>
                <w:rFonts w:ascii="Times New Roman" w:hAnsi="Times New Roman" w:cs="Times New Roman"/>
                <w:color w:val="000000"/>
                <w:sz w:val="14"/>
                <w:szCs w:val="14"/>
              </w:rPr>
            </w:pP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spolufinancovanie zo ŠR</w:t>
            </w:r>
          </w:p>
        </w:tc>
        <w:tc>
          <w:tcPr>
            <w:tcW w:w="522" w:type="pct"/>
            <w:tcBorders>
              <w:top w:val="nil"/>
              <w:left w:val="single" w:sz="4" w:space="0" w:color="auto"/>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1 524 489</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156 922</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2" w:type="pct"/>
            <w:tcBorders>
              <w:top w:val="nil"/>
              <w:left w:val="single" w:sz="4" w:space="0" w:color="auto"/>
              <w:bottom w:val="single" w:sz="4" w:space="0" w:color="auto"/>
              <w:right w:val="single" w:sz="4" w:space="0" w:color="auto"/>
            </w:tcBorders>
            <w:shd w:val="clear" w:color="auto" w:fill="auto"/>
            <w:noWrap/>
            <w:vAlign w:val="bottom"/>
          </w:tcPr>
          <w:p w:rsidR="007D13F3" w:rsidRPr="00251699" w:rsidRDefault="007D13F3" w:rsidP="00465CAC">
            <w:pPr>
              <w:jc w:val="right"/>
              <w:rPr>
                <w:rFonts w:ascii="Times New Roman" w:hAnsi="Times New Roman" w:cs="Times New Roman"/>
                <w:color w:val="000000"/>
                <w:sz w:val="14"/>
                <w:szCs w:val="14"/>
              </w:rPr>
            </w:pPr>
            <w:r w:rsidRPr="00251699">
              <w:rPr>
                <w:rFonts w:ascii="Times New Roman" w:hAnsi="Times New Roman" w:cs="Times New Roman"/>
                <w:color w:val="000000"/>
                <w:sz w:val="14"/>
                <w:szCs w:val="14"/>
              </w:rPr>
              <w:t>22 405</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r>
    </w:tbl>
    <w:p w:rsidR="007D13F3" w:rsidRPr="004B7170" w:rsidRDefault="007D13F3" w:rsidP="007D13F3">
      <w:pPr>
        <w:jc w:val="both"/>
        <w:rPr>
          <w:rFonts w:ascii="Times New Roman" w:hAnsi="Times New Roman" w:cs="Times New Roman"/>
          <w:b/>
          <w:color w:val="000000"/>
          <w:highlight w:val="yellow"/>
        </w:rPr>
      </w:pPr>
    </w:p>
    <w:tbl>
      <w:tblPr>
        <w:tblW w:w="5000" w:type="pct"/>
        <w:tblCellMar>
          <w:left w:w="70" w:type="dxa"/>
          <w:right w:w="70" w:type="dxa"/>
        </w:tblCellMar>
        <w:tblLook w:val="04A0" w:firstRow="1" w:lastRow="0" w:firstColumn="1" w:lastColumn="0" w:noHBand="0" w:noVBand="1"/>
      </w:tblPr>
      <w:tblGrid>
        <w:gridCol w:w="2404"/>
        <w:gridCol w:w="951"/>
        <w:gridCol w:w="951"/>
        <w:gridCol w:w="952"/>
        <w:gridCol w:w="952"/>
        <w:gridCol w:w="952"/>
        <w:gridCol w:w="952"/>
        <w:gridCol w:w="948"/>
      </w:tblGrid>
      <w:tr w:rsidR="007D13F3" w:rsidRPr="00251699" w:rsidTr="00465CAC">
        <w:trPr>
          <w:trHeight w:val="261"/>
        </w:trPr>
        <w:tc>
          <w:tcPr>
            <w:tcW w:w="1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251699" w:rsidRDefault="007D13F3" w:rsidP="00465CAC">
            <w:pPr>
              <w:rPr>
                <w:rFonts w:ascii="Times New Roman" w:hAnsi="Times New Roman" w:cs="Times New Roman"/>
                <w:b/>
                <w:bCs/>
                <w:color w:val="000000"/>
                <w:sz w:val="14"/>
                <w:szCs w:val="14"/>
                <w:lang w:eastAsia="sk-SK"/>
              </w:rPr>
            </w:pPr>
            <w:r w:rsidRPr="00251699">
              <w:rPr>
                <w:rFonts w:ascii="Times New Roman" w:hAnsi="Times New Roman" w:cs="Times New Roman"/>
                <w:b/>
                <w:bCs/>
                <w:color w:val="000000"/>
                <w:sz w:val="14"/>
                <w:szCs w:val="14"/>
                <w:lang w:eastAsia="sk-SK"/>
              </w:rPr>
              <w:t>Samostatné účty</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251699" w:rsidRDefault="007D13F3" w:rsidP="00465CAC">
            <w:pPr>
              <w:jc w:val="right"/>
              <w:rPr>
                <w:rFonts w:ascii="Times New Roman" w:hAnsi="Times New Roman" w:cs="Times New Roman"/>
                <w:b/>
                <w:bCs/>
                <w:color w:val="000000"/>
                <w:sz w:val="14"/>
                <w:szCs w:val="14"/>
                <w:lang w:eastAsia="sk-SK"/>
              </w:rPr>
            </w:pPr>
            <w:r w:rsidRPr="00251699">
              <w:rPr>
                <w:rFonts w:ascii="Times New Roman" w:hAnsi="Times New Roman" w:cs="Times New Roman"/>
                <w:b/>
                <w:bCs/>
                <w:color w:val="000000"/>
                <w:sz w:val="14"/>
                <w:szCs w:val="14"/>
              </w:rPr>
              <w:t>6 709 564</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D13F3" w:rsidRPr="00251699" w:rsidRDefault="007D13F3" w:rsidP="00465CAC">
            <w:pPr>
              <w:jc w:val="right"/>
              <w:rPr>
                <w:rFonts w:ascii="Times New Roman" w:hAnsi="Times New Roman" w:cs="Times New Roman"/>
                <w:b/>
                <w:bCs/>
                <w:color w:val="000000"/>
                <w:sz w:val="14"/>
                <w:szCs w:val="14"/>
              </w:rPr>
            </w:pPr>
            <w:r w:rsidRPr="00251699">
              <w:rPr>
                <w:rFonts w:ascii="Times New Roman" w:hAnsi="Times New Roman" w:cs="Times New Roman"/>
                <w:b/>
                <w:bCs/>
                <w:color w:val="000000"/>
                <w:sz w:val="14"/>
                <w:szCs w:val="14"/>
              </w:rPr>
              <w:t>5 600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D13F3" w:rsidRPr="00251699" w:rsidRDefault="007D13F3" w:rsidP="00465CAC">
            <w:pPr>
              <w:jc w:val="right"/>
              <w:rPr>
                <w:rFonts w:ascii="Times New Roman" w:hAnsi="Times New Roman" w:cs="Times New Roman"/>
                <w:b/>
                <w:bCs/>
                <w:color w:val="000000"/>
                <w:sz w:val="14"/>
                <w:szCs w:val="14"/>
                <w:lang w:eastAsia="sk-SK"/>
              </w:rPr>
            </w:pPr>
            <w:r w:rsidRPr="00251699">
              <w:rPr>
                <w:rFonts w:ascii="Times New Roman" w:hAnsi="Times New Roman" w:cs="Times New Roman"/>
                <w:b/>
                <w:bCs/>
                <w:color w:val="000000"/>
                <w:sz w:val="14"/>
                <w:szCs w:val="14"/>
                <w:lang w:eastAsia="sk-SK"/>
              </w:rPr>
              <w:t> </w:t>
            </w:r>
            <w:r>
              <w:rPr>
                <w:rFonts w:ascii="Times New Roman" w:hAnsi="Times New Roman" w:cs="Times New Roman"/>
                <w:b/>
                <w:bCs/>
                <w:color w:val="000000"/>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D13F3" w:rsidRPr="00251699"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D13F3" w:rsidRPr="00251699" w:rsidRDefault="007D13F3" w:rsidP="00465CAC">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D13F3" w:rsidRPr="00251699" w:rsidRDefault="007D13F3" w:rsidP="00465CAC">
            <w:pPr>
              <w:jc w:val="right"/>
              <w:rPr>
                <w:rFonts w:ascii="Times New Roman" w:hAnsi="Times New Roman" w:cs="Times New Roman"/>
                <w:b/>
                <w:bCs/>
                <w:color w:val="000000"/>
                <w:sz w:val="14"/>
                <w:szCs w:val="14"/>
                <w:lang w:eastAsia="sk-SK"/>
              </w:rPr>
            </w:pPr>
            <w:r w:rsidRPr="00251699">
              <w:rPr>
                <w:rFonts w:ascii="Times New Roman" w:hAnsi="Times New Roman" w:cs="Times New Roman"/>
                <w:b/>
                <w:bCs/>
                <w:color w:val="000000"/>
                <w:sz w:val="14"/>
                <w:szCs w:val="14"/>
                <w:lang w:eastAsia="sk-SK"/>
              </w:rPr>
              <w:t> </w:t>
            </w:r>
            <w:r>
              <w:rPr>
                <w:rFonts w:ascii="Times New Roman" w:hAnsi="Times New Roman" w:cs="Times New Roman"/>
                <w:b/>
                <w:bCs/>
                <w:color w:val="000000"/>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D13F3" w:rsidRPr="00251699" w:rsidRDefault="007D13F3" w:rsidP="00465CAC">
            <w:pPr>
              <w:jc w:val="right"/>
              <w:rPr>
                <w:rFonts w:ascii="Times New Roman" w:hAnsi="Times New Roman" w:cs="Times New Roman"/>
                <w:b/>
                <w:bCs/>
                <w:color w:val="000000"/>
                <w:sz w:val="14"/>
                <w:szCs w:val="14"/>
                <w:lang w:eastAsia="sk-SK"/>
              </w:rPr>
            </w:pPr>
            <w:r w:rsidRPr="00251699">
              <w:rPr>
                <w:rFonts w:ascii="Times New Roman" w:hAnsi="Times New Roman" w:cs="Times New Roman"/>
                <w:b/>
                <w:bCs/>
                <w:color w:val="000000"/>
                <w:sz w:val="14"/>
                <w:szCs w:val="14"/>
                <w:lang w:eastAsia="sk-SK"/>
              </w:rPr>
              <w:t> </w:t>
            </w:r>
            <w:r>
              <w:rPr>
                <w:rFonts w:ascii="Times New Roman" w:hAnsi="Times New Roman" w:cs="Times New Roman"/>
                <w:b/>
                <w:bCs/>
                <w:color w:val="000000"/>
                <w:sz w:val="14"/>
                <w:szCs w:val="14"/>
                <w:lang w:eastAsia="sk-SK"/>
              </w:rPr>
              <w:t>0</w:t>
            </w:r>
          </w:p>
        </w:tc>
      </w:tr>
    </w:tbl>
    <w:p w:rsidR="007D13F3" w:rsidRDefault="007D13F3" w:rsidP="007D13F3">
      <w:pPr>
        <w:jc w:val="both"/>
        <w:rPr>
          <w:rFonts w:ascii="Times New Roman" w:hAnsi="Times New Roman" w:cs="Times New Roman"/>
        </w:rPr>
      </w:pPr>
    </w:p>
    <w:p w:rsidR="007D13F3" w:rsidRPr="001D56F2" w:rsidRDefault="007D13F3" w:rsidP="007D13F3">
      <w:pPr>
        <w:ind w:firstLine="708"/>
        <w:jc w:val="both"/>
        <w:rPr>
          <w:rFonts w:ascii="Times New Roman" w:hAnsi="Times New Roman" w:cs="Times New Roman"/>
        </w:rPr>
      </w:pPr>
      <w:r w:rsidRPr="001D56F2">
        <w:rPr>
          <w:rFonts w:ascii="Times New Roman" w:hAnsi="Times New Roman" w:cs="Times New Roman"/>
        </w:rPr>
        <w:t>Celkové výdavky kapitoly na rok 2018 sú v porovnaní so schváleným rozpočtom roku 2017 vyššie o</w:t>
      </w:r>
      <w:r>
        <w:rPr>
          <w:rFonts w:ascii="Times New Roman" w:hAnsi="Times New Roman" w:cs="Times New Roman"/>
        </w:rPr>
        <w:t> 6,88</w:t>
      </w:r>
      <w:r w:rsidRPr="001D56F2">
        <w:rPr>
          <w:rFonts w:ascii="Times New Roman" w:hAnsi="Times New Roman" w:cs="Times New Roman"/>
        </w:rPr>
        <w:t xml:space="preserve"> mil. eur, t. j. o</w:t>
      </w:r>
      <w:r>
        <w:rPr>
          <w:rFonts w:ascii="Times New Roman" w:hAnsi="Times New Roman" w:cs="Times New Roman"/>
        </w:rPr>
        <w:t> 6,12</w:t>
      </w:r>
      <w:r w:rsidRPr="001D56F2">
        <w:rPr>
          <w:rFonts w:ascii="Times New Roman" w:hAnsi="Times New Roman" w:cs="Times New Roman"/>
        </w:rPr>
        <w:t xml:space="preserve"> %. Nárast je zaznamenaný najmä v osobných výdavkoch. </w:t>
      </w:r>
    </w:p>
    <w:p w:rsidR="007D13F3" w:rsidRPr="00D530ED" w:rsidRDefault="007D13F3" w:rsidP="007D13F3">
      <w:pPr>
        <w:ind w:firstLine="708"/>
        <w:jc w:val="both"/>
        <w:rPr>
          <w:rFonts w:ascii="Times New Roman" w:hAnsi="Times New Roman" w:cs="Times New Roman"/>
          <w:highlight w:val="yellow"/>
        </w:rPr>
      </w:pPr>
    </w:p>
    <w:p w:rsidR="007D13F3" w:rsidRPr="002D35D6" w:rsidRDefault="007D13F3" w:rsidP="007D13F3">
      <w:pPr>
        <w:ind w:firstLine="708"/>
        <w:jc w:val="both"/>
        <w:rPr>
          <w:rFonts w:ascii="Times New Roman" w:hAnsi="Times New Roman" w:cs="Times New Roman"/>
        </w:rPr>
      </w:pPr>
      <w:r w:rsidRPr="002D35D6">
        <w:rPr>
          <w:rFonts w:ascii="Times New Roman" w:hAnsi="Times New Roman" w:cs="Times New Roman"/>
        </w:rPr>
        <w:t>Na rok 2018 sa navrhujú osobné výdavky v sume 6</w:t>
      </w:r>
      <w:r>
        <w:rPr>
          <w:rFonts w:ascii="Times New Roman" w:hAnsi="Times New Roman" w:cs="Times New Roman"/>
        </w:rPr>
        <w:t>7</w:t>
      </w:r>
      <w:r w:rsidRPr="002D35D6">
        <w:rPr>
          <w:rFonts w:ascii="Times New Roman" w:hAnsi="Times New Roman" w:cs="Times New Roman"/>
        </w:rPr>
        <w:t>,</w:t>
      </w:r>
      <w:r>
        <w:rPr>
          <w:rFonts w:ascii="Times New Roman" w:hAnsi="Times New Roman" w:cs="Times New Roman"/>
        </w:rPr>
        <w:t>6</w:t>
      </w:r>
      <w:r w:rsidRPr="002D35D6">
        <w:rPr>
          <w:rFonts w:ascii="Times New Roman" w:hAnsi="Times New Roman" w:cs="Times New Roman"/>
        </w:rPr>
        <w:t xml:space="preserve"> mil. eur, čo predstavuje nárast oproti schválenému rozpočtu roku 2017 o </w:t>
      </w:r>
      <w:r>
        <w:rPr>
          <w:rFonts w:ascii="Times New Roman" w:hAnsi="Times New Roman" w:cs="Times New Roman"/>
        </w:rPr>
        <w:t>6</w:t>
      </w:r>
      <w:r w:rsidRPr="002D35D6">
        <w:rPr>
          <w:rFonts w:ascii="Times New Roman" w:hAnsi="Times New Roman" w:cs="Times New Roman"/>
        </w:rPr>
        <w:t>,</w:t>
      </w:r>
      <w:r>
        <w:rPr>
          <w:rFonts w:ascii="Times New Roman" w:hAnsi="Times New Roman" w:cs="Times New Roman"/>
        </w:rPr>
        <w:t>59</w:t>
      </w:r>
      <w:r w:rsidRPr="002D35D6">
        <w:rPr>
          <w:rFonts w:ascii="Times New Roman" w:hAnsi="Times New Roman" w:cs="Times New Roman"/>
        </w:rPr>
        <w:t xml:space="preserve"> mil. eur, t. j. o</w:t>
      </w:r>
      <w:r>
        <w:rPr>
          <w:rFonts w:ascii="Times New Roman" w:hAnsi="Times New Roman" w:cs="Times New Roman"/>
        </w:rPr>
        <w:t> 10,8</w:t>
      </w:r>
      <w:r w:rsidRPr="002D35D6">
        <w:rPr>
          <w:rFonts w:ascii="Times New Roman" w:hAnsi="Times New Roman" w:cs="Times New Roman"/>
        </w:rPr>
        <w:t xml:space="preserve"> %.</w:t>
      </w:r>
      <w:r w:rsidRPr="002D35D6">
        <w:t xml:space="preserve"> </w:t>
      </w:r>
      <w:r w:rsidRPr="002D35D6">
        <w:rPr>
          <w:rFonts w:ascii="Times New Roman" w:hAnsi="Times New Roman" w:cs="Times New Roman"/>
        </w:rPr>
        <w:t xml:space="preserve">Dôvodom rastu je premietnutie valorizácie platov </w:t>
      </w:r>
      <w:r>
        <w:rPr>
          <w:rFonts w:ascii="Times New Roman" w:hAnsi="Times New Roman" w:cs="Times New Roman"/>
        </w:rPr>
        <w:t>zamestnancov z</w:t>
      </w:r>
      <w:r w:rsidRPr="002D35D6">
        <w:rPr>
          <w:rFonts w:ascii="Times New Roman" w:hAnsi="Times New Roman" w:cs="Times New Roman"/>
        </w:rPr>
        <w:t> roku 2017</w:t>
      </w:r>
      <w:r>
        <w:rPr>
          <w:rFonts w:ascii="Times New Roman" w:hAnsi="Times New Roman" w:cs="Times New Roman"/>
        </w:rPr>
        <w:t>,</w:t>
      </w:r>
      <w:r w:rsidRPr="002D35D6">
        <w:rPr>
          <w:rFonts w:ascii="Times New Roman" w:hAnsi="Times New Roman" w:cs="Times New Roman"/>
        </w:rPr>
        <w:t> </w:t>
      </w:r>
      <w:r w:rsidRPr="00327BD9">
        <w:rPr>
          <w:rFonts w:ascii="Times New Roman" w:hAnsi="Times New Roman" w:cs="Times New Roman"/>
        </w:rPr>
        <w:t>osobné výdavky pre zamestnancov S</w:t>
      </w:r>
      <w:r>
        <w:rPr>
          <w:rFonts w:ascii="Times New Roman" w:hAnsi="Times New Roman" w:cs="Times New Roman"/>
        </w:rPr>
        <w:t>táleho zastúpenia SR pri EÚ v Bruseli</w:t>
      </w:r>
      <w:r w:rsidRPr="00327BD9">
        <w:rPr>
          <w:rFonts w:ascii="Times New Roman" w:hAnsi="Times New Roman" w:cs="Times New Roman"/>
        </w:rPr>
        <w:t xml:space="preserve"> ako aj plánované</w:t>
      </w:r>
      <w:r>
        <w:rPr>
          <w:rFonts w:ascii="Times New Roman" w:hAnsi="Times New Roman" w:cs="Times New Roman"/>
        </w:rPr>
        <w:t xml:space="preserve"> výdavky súvisiace s predsedníctvom SR v </w:t>
      </w:r>
      <w:r w:rsidRPr="00EF7904">
        <w:rPr>
          <w:rFonts w:ascii="Times New Roman" w:hAnsi="Times New Roman" w:cs="Times New Roman"/>
        </w:rPr>
        <w:t>Organizáci</w:t>
      </w:r>
      <w:r>
        <w:rPr>
          <w:rFonts w:ascii="Times New Roman" w:hAnsi="Times New Roman" w:cs="Times New Roman"/>
        </w:rPr>
        <w:t>i</w:t>
      </w:r>
      <w:r w:rsidRPr="00EF7904">
        <w:rPr>
          <w:rFonts w:ascii="Times New Roman" w:hAnsi="Times New Roman" w:cs="Times New Roman"/>
        </w:rPr>
        <w:t xml:space="preserve"> pre bezpečnosť a spoluprácu v Európe </w:t>
      </w:r>
      <w:r>
        <w:rPr>
          <w:rFonts w:ascii="Times New Roman" w:hAnsi="Times New Roman" w:cs="Times New Roman"/>
        </w:rPr>
        <w:t>v roku 2019</w:t>
      </w:r>
      <w:r w:rsidRPr="002D35D6">
        <w:rPr>
          <w:rFonts w:ascii="Times New Roman" w:hAnsi="Times New Roman" w:cs="Times New Roman"/>
        </w:rPr>
        <w:t>.</w:t>
      </w:r>
    </w:p>
    <w:p w:rsidR="007D13F3" w:rsidRPr="002D35D6"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2D35D6">
        <w:rPr>
          <w:rFonts w:ascii="Times New Roman" w:hAnsi="Times New Roman" w:cs="Times New Roman"/>
        </w:rPr>
        <w:t>Výdavky na tovar</w:t>
      </w:r>
      <w:r>
        <w:rPr>
          <w:rFonts w:ascii="Times New Roman" w:hAnsi="Times New Roman" w:cs="Times New Roman"/>
        </w:rPr>
        <w:t>y a služby sa navrhujú v sume 38</w:t>
      </w:r>
      <w:r w:rsidRPr="002D35D6">
        <w:rPr>
          <w:rFonts w:ascii="Times New Roman" w:hAnsi="Times New Roman" w:cs="Times New Roman"/>
        </w:rPr>
        <w:t>,</w:t>
      </w:r>
      <w:r>
        <w:rPr>
          <w:rFonts w:ascii="Times New Roman" w:hAnsi="Times New Roman" w:cs="Times New Roman"/>
        </w:rPr>
        <w:t>8</w:t>
      </w:r>
      <w:r w:rsidRPr="002D35D6">
        <w:rPr>
          <w:rFonts w:ascii="Times New Roman" w:hAnsi="Times New Roman" w:cs="Times New Roman"/>
        </w:rPr>
        <w:t xml:space="preserve"> mil. eur, čo predstavuje nárast oproti schválenému rozpočtu roku 2017 o</w:t>
      </w:r>
      <w:r>
        <w:rPr>
          <w:rFonts w:ascii="Times New Roman" w:hAnsi="Times New Roman" w:cs="Times New Roman"/>
        </w:rPr>
        <w:t> 2,72</w:t>
      </w:r>
      <w:r w:rsidRPr="002D35D6">
        <w:rPr>
          <w:rFonts w:ascii="Times New Roman" w:hAnsi="Times New Roman" w:cs="Times New Roman"/>
        </w:rPr>
        <w:t xml:space="preserve"> </w:t>
      </w:r>
      <w:r>
        <w:rPr>
          <w:rFonts w:ascii="Times New Roman" w:hAnsi="Times New Roman" w:cs="Times New Roman"/>
        </w:rPr>
        <w:t>mil</w:t>
      </w:r>
      <w:r w:rsidRPr="002D35D6">
        <w:rPr>
          <w:rFonts w:ascii="Times New Roman" w:hAnsi="Times New Roman" w:cs="Times New Roman"/>
        </w:rPr>
        <w:t>. eur, t. j. o</w:t>
      </w:r>
      <w:r>
        <w:rPr>
          <w:rFonts w:ascii="Times New Roman" w:hAnsi="Times New Roman" w:cs="Times New Roman"/>
        </w:rPr>
        <w:t> </w:t>
      </w:r>
      <w:r w:rsidRPr="002D35D6">
        <w:rPr>
          <w:rFonts w:ascii="Times New Roman" w:hAnsi="Times New Roman" w:cs="Times New Roman"/>
        </w:rPr>
        <w:t>7</w:t>
      </w:r>
      <w:r>
        <w:rPr>
          <w:rFonts w:ascii="Times New Roman" w:hAnsi="Times New Roman" w:cs="Times New Roman"/>
        </w:rPr>
        <w:t>,55</w:t>
      </w:r>
      <w:r w:rsidRPr="002D35D6">
        <w:rPr>
          <w:rFonts w:ascii="Times New Roman" w:hAnsi="Times New Roman" w:cs="Times New Roman"/>
        </w:rPr>
        <w:t xml:space="preserve"> %. Nárast </w:t>
      </w:r>
      <w:r>
        <w:rPr>
          <w:rFonts w:ascii="Times New Roman" w:hAnsi="Times New Roman" w:cs="Times New Roman"/>
        </w:rPr>
        <w:t>súvisí najmä  s prípravou na predsedníctvo SR v </w:t>
      </w:r>
      <w:r w:rsidRPr="00AF061C">
        <w:rPr>
          <w:rFonts w:ascii="Times New Roman" w:hAnsi="Times New Roman" w:cs="Times New Roman"/>
        </w:rPr>
        <w:t xml:space="preserve">Organizácii pre bezpečnosť a spoluprácu v Európe </w:t>
      </w:r>
      <w:r>
        <w:rPr>
          <w:rFonts w:ascii="Times New Roman" w:hAnsi="Times New Roman" w:cs="Times New Roman"/>
        </w:rPr>
        <w:t>v roku 2019 a výdavkami pre Stále zastúpenie v Bruseli.</w:t>
      </w:r>
    </w:p>
    <w:p w:rsidR="007D13F3" w:rsidRPr="00D530ED" w:rsidRDefault="007D13F3" w:rsidP="007D13F3">
      <w:pPr>
        <w:ind w:firstLine="708"/>
        <w:jc w:val="both"/>
        <w:rPr>
          <w:rFonts w:ascii="Times New Roman" w:hAnsi="Times New Roman" w:cs="Times New Roman"/>
          <w:highlight w:val="yellow"/>
        </w:rPr>
      </w:pPr>
    </w:p>
    <w:p w:rsidR="007D13F3" w:rsidRPr="002D35D6" w:rsidRDefault="007D13F3" w:rsidP="007D13F3">
      <w:pPr>
        <w:ind w:firstLine="708"/>
        <w:jc w:val="both"/>
        <w:rPr>
          <w:rFonts w:ascii="Times New Roman" w:hAnsi="Times New Roman" w:cs="Times New Roman"/>
        </w:rPr>
      </w:pPr>
      <w:r w:rsidRPr="002D35D6">
        <w:rPr>
          <w:rFonts w:ascii="Times New Roman" w:hAnsi="Times New Roman" w:cs="Times New Roman"/>
        </w:rPr>
        <w:t xml:space="preserve">V oblasti bežných transferov sa navrhuje suma </w:t>
      </w:r>
      <w:r>
        <w:rPr>
          <w:rFonts w:ascii="Times New Roman" w:hAnsi="Times New Roman" w:cs="Times New Roman"/>
        </w:rPr>
        <w:t>9</w:t>
      </w:r>
      <w:r w:rsidRPr="002D35D6">
        <w:rPr>
          <w:rFonts w:ascii="Times New Roman" w:hAnsi="Times New Roman" w:cs="Times New Roman"/>
        </w:rPr>
        <w:t>,</w:t>
      </w:r>
      <w:r>
        <w:rPr>
          <w:rFonts w:ascii="Times New Roman" w:hAnsi="Times New Roman" w:cs="Times New Roman"/>
        </w:rPr>
        <w:t>42</w:t>
      </w:r>
      <w:r w:rsidRPr="002D35D6">
        <w:rPr>
          <w:rFonts w:ascii="Times New Roman" w:hAnsi="Times New Roman" w:cs="Times New Roman"/>
        </w:rPr>
        <w:t xml:space="preserve"> mil. eur, čo predstavuje pokles oproti schválenému rozpočtu roku 2017 o </w:t>
      </w:r>
      <w:r>
        <w:rPr>
          <w:rFonts w:ascii="Times New Roman" w:hAnsi="Times New Roman" w:cs="Times New Roman"/>
        </w:rPr>
        <w:t>100</w:t>
      </w:r>
      <w:r w:rsidRPr="002D35D6">
        <w:rPr>
          <w:rFonts w:ascii="Times New Roman" w:hAnsi="Times New Roman" w:cs="Times New Roman"/>
        </w:rPr>
        <w:t xml:space="preserve"> tis. eur, t. j. o </w:t>
      </w:r>
      <w:r>
        <w:rPr>
          <w:rFonts w:ascii="Times New Roman" w:hAnsi="Times New Roman" w:cs="Times New Roman"/>
        </w:rPr>
        <w:t>1</w:t>
      </w:r>
      <w:r w:rsidRPr="002D35D6">
        <w:rPr>
          <w:rFonts w:ascii="Times New Roman" w:hAnsi="Times New Roman" w:cs="Times New Roman"/>
        </w:rPr>
        <w:t>,</w:t>
      </w:r>
      <w:r>
        <w:rPr>
          <w:rFonts w:ascii="Times New Roman" w:hAnsi="Times New Roman" w:cs="Times New Roman"/>
        </w:rPr>
        <w:t>0</w:t>
      </w:r>
      <w:r w:rsidRPr="002D35D6">
        <w:rPr>
          <w:rFonts w:ascii="Times New Roman" w:hAnsi="Times New Roman" w:cs="Times New Roman"/>
        </w:rPr>
        <w:t xml:space="preserve">5 %. Výdavky klesajú v súvislosti so zmenou agendy v oblasti ľudských práv, ktorá prešla do pôsobnosti Ministerstva spravodlivosti SR.   </w:t>
      </w:r>
    </w:p>
    <w:p w:rsidR="007D13F3" w:rsidRPr="001A288E" w:rsidRDefault="007D13F3" w:rsidP="007D13F3">
      <w:pPr>
        <w:ind w:firstLine="708"/>
        <w:jc w:val="both"/>
        <w:rPr>
          <w:rFonts w:ascii="Times New Roman" w:hAnsi="Times New Roman" w:cs="Times New Roman"/>
        </w:rPr>
      </w:pPr>
    </w:p>
    <w:p w:rsidR="007D13F3" w:rsidRPr="001A288E" w:rsidRDefault="007D13F3" w:rsidP="007D13F3">
      <w:pPr>
        <w:ind w:firstLine="708"/>
        <w:jc w:val="both"/>
        <w:rPr>
          <w:rFonts w:ascii="Times New Roman" w:hAnsi="Times New Roman" w:cs="Times New Roman"/>
        </w:rPr>
      </w:pPr>
      <w:r w:rsidRPr="001A288E">
        <w:rPr>
          <w:rFonts w:ascii="Times New Roman" w:hAnsi="Times New Roman" w:cs="Times New Roman"/>
        </w:rPr>
        <w:t>V rámci kapitálových výdavkov sa rozpisujú výdavky vo výške 3,5 mil. eur, čo predstavuje medziročný pokles o 2,33 mil. eur. Kapitálové výdavky sa v roku 2018 plánujú použiť najmä na rekonštrukciu fasády Stálej misie v Štrasburgu, rekonštrukciu budovy zastupiteľského úradu v Ankare, na nákup dopravných prostriedkov a na nákup kancelárskych strojov.</w:t>
      </w:r>
    </w:p>
    <w:p w:rsidR="007D13F3" w:rsidRDefault="007D13F3" w:rsidP="007D13F3">
      <w:pPr>
        <w:jc w:val="both"/>
        <w:rPr>
          <w:rFonts w:ascii="Times New Roman" w:hAnsi="Times New Roman" w:cs="Times New Roman"/>
          <w:highlight w:val="yellow"/>
        </w:rPr>
      </w:pPr>
    </w:p>
    <w:p w:rsidR="000736F2" w:rsidRDefault="000736F2" w:rsidP="007D13F3">
      <w:pPr>
        <w:jc w:val="both"/>
        <w:rPr>
          <w:rFonts w:ascii="Times New Roman" w:hAnsi="Times New Roman" w:cs="Times New Roman"/>
          <w:highlight w:val="yellow"/>
        </w:rPr>
      </w:pPr>
    </w:p>
    <w:p w:rsidR="000736F2" w:rsidRDefault="000736F2" w:rsidP="007D13F3">
      <w:pPr>
        <w:jc w:val="both"/>
        <w:rPr>
          <w:rFonts w:ascii="Times New Roman" w:hAnsi="Times New Roman" w:cs="Times New Roman"/>
          <w:highlight w:val="yellow"/>
        </w:rPr>
      </w:pPr>
    </w:p>
    <w:p w:rsidR="000736F2" w:rsidRPr="00D530ED" w:rsidRDefault="000736F2" w:rsidP="007D13F3">
      <w:pPr>
        <w:jc w:val="both"/>
        <w:rPr>
          <w:rFonts w:ascii="Times New Roman" w:hAnsi="Times New Roman" w:cs="Times New Roman"/>
          <w:highlight w:val="yellow"/>
        </w:rPr>
      </w:pPr>
    </w:p>
    <w:p w:rsidR="007D13F3" w:rsidRDefault="007D13F3" w:rsidP="007D13F3">
      <w:pPr>
        <w:ind w:firstLine="708"/>
        <w:jc w:val="both"/>
        <w:rPr>
          <w:rFonts w:ascii="Times New Roman" w:hAnsi="Times New Roman" w:cs="Times New Roman"/>
        </w:rPr>
      </w:pPr>
      <w:r w:rsidRPr="003109B1">
        <w:rPr>
          <w:rFonts w:ascii="Times New Roman" w:hAnsi="Times New Roman" w:cs="Times New Roman"/>
        </w:rPr>
        <w:lastRenderedPageBreak/>
        <w:t>Rozpočet Ministerstva zahraničných vecí a európskych záležitostí SR (ďalej len „</w:t>
      </w:r>
      <w:proofErr w:type="spellStart"/>
      <w:r w:rsidRPr="003109B1">
        <w:rPr>
          <w:rFonts w:ascii="Times New Roman" w:hAnsi="Times New Roman" w:cs="Times New Roman"/>
        </w:rPr>
        <w:t>MZVaEZ</w:t>
      </w:r>
      <w:proofErr w:type="spellEnd"/>
      <w:r w:rsidRPr="003109B1">
        <w:rPr>
          <w:rFonts w:ascii="Times New Roman" w:hAnsi="Times New Roman" w:cs="Times New Roman"/>
        </w:rPr>
        <w:t xml:space="preserve"> SR“) je smerovaný do týchto oblastí.</w:t>
      </w:r>
    </w:p>
    <w:p w:rsidR="007D13F3" w:rsidRPr="00F628DB" w:rsidRDefault="007D13F3" w:rsidP="007D13F3">
      <w:pPr>
        <w:jc w:val="both"/>
        <w:rPr>
          <w:rFonts w:ascii="Times New Roman" w:hAnsi="Times New Roman" w:cs="Times New Roman"/>
        </w:rPr>
      </w:pPr>
    </w:p>
    <w:tbl>
      <w:tblPr>
        <w:tblW w:w="5000" w:type="pct"/>
        <w:tblLayout w:type="fixed"/>
        <w:tblCellMar>
          <w:left w:w="70" w:type="dxa"/>
          <w:right w:w="70" w:type="dxa"/>
        </w:tblCellMar>
        <w:tblLook w:val="04A0" w:firstRow="1" w:lastRow="0" w:firstColumn="1" w:lastColumn="0" w:noHBand="0" w:noVBand="1"/>
      </w:tblPr>
      <w:tblGrid>
        <w:gridCol w:w="2858"/>
        <w:gridCol w:w="872"/>
        <w:gridCol w:w="872"/>
        <w:gridCol w:w="872"/>
        <w:gridCol w:w="872"/>
        <w:gridCol w:w="906"/>
        <w:gridCol w:w="906"/>
        <w:gridCol w:w="904"/>
      </w:tblGrid>
      <w:tr w:rsidR="007D13F3" w:rsidRPr="00F628DB" w:rsidTr="00465CAC">
        <w:trPr>
          <w:trHeight w:val="255"/>
        </w:trPr>
        <w:tc>
          <w:tcPr>
            <w:tcW w:w="1577"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7D13F3" w:rsidRPr="00F628DB" w:rsidRDefault="007D13F3" w:rsidP="00465CAC">
            <w:pPr>
              <w:rPr>
                <w:rFonts w:ascii="Times New Roman" w:hAnsi="Times New Roman" w:cs="Times New Roman"/>
                <w:b/>
                <w:bCs/>
                <w:color w:val="000000"/>
                <w:sz w:val="14"/>
                <w:szCs w:val="14"/>
                <w:lang w:eastAsia="sk-SK"/>
              </w:rPr>
            </w:pPr>
            <w:r w:rsidRPr="00F628DB">
              <w:rPr>
                <w:rFonts w:ascii="Times New Roman" w:hAnsi="Times New Roman" w:cs="Times New Roman"/>
                <w:b/>
                <w:bCs/>
                <w:color w:val="000000"/>
                <w:sz w:val="14"/>
                <w:szCs w:val="14"/>
                <w:lang w:eastAsia="sk-SK"/>
              </w:rPr>
              <w:t> v eurách</w:t>
            </w:r>
          </w:p>
        </w:tc>
        <w:tc>
          <w:tcPr>
            <w:tcW w:w="481"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color w:val="000000"/>
                <w:sz w:val="14"/>
                <w:szCs w:val="14"/>
                <w:lang w:eastAsia="sk-SK"/>
              </w:rPr>
            </w:pPr>
            <w:r w:rsidRPr="00D530ED">
              <w:rPr>
                <w:rFonts w:ascii="Times New Roman" w:hAnsi="Times New Roman" w:cs="Times New Roman"/>
                <w:b/>
                <w:bCs/>
                <w:color w:val="000000"/>
                <w:sz w:val="14"/>
                <w:szCs w:val="14"/>
              </w:rPr>
              <w:t>2015 S</w:t>
            </w:r>
          </w:p>
        </w:tc>
        <w:tc>
          <w:tcPr>
            <w:tcW w:w="481"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sz w:val="14"/>
                <w:szCs w:val="14"/>
              </w:rPr>
            </w:pPr>
            <w:r w:rsidRPr="00D530ED">
              <w:rPr>
                <w:rFonts w:ascii="Times New Roman" w:hAnsi="Times New Roman" w:cs="Times New Roman"/>
                <w:b/>
                <w:bCs/>
                <w:sz w:val="14"/>
                <w:szCs w:val="14"/>
              </w:rPr>
              <w:t>2016 S</w:t>
            </w:r>
          </w:p>
        </w:tc>
        <w:tc>
          <w:tcPr>
            <w:tcW w:w="481"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sz w:val="14"/>
                <w:szCs w:val="14"/>
              </w:rPr>
            </w:pPr>
            <w:r w:rsidRPr="00D530ED">
              <w:rPr>
                <w:rFonts w:ascii="Times New Roman" w:hAnsi="Times New Roman" w:cs="Times New Roman"/>
                <w:b/>
                <w:bCs/>
                <w:sz w:val="14"/>
                <w:szCs w:val="14"/>
              </w:rPr>
              <w:t>2017 R</w:t>
            </w:r>
          </w:p>
        </w:tc>
        <w:tc>
          <w:tcPr>
            <w:tcW w:w="481"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2017 OS</w:t>
            </w:r>
          </w:p>
        </w:tc>
        <w:tc>
          <w:tcPr>
            <w:tcW w:w="500"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 xml:space="preserve">2018 </w:t>
            </w:r>
            <w:r>
              <w:rPr>
                <w:rFonts w:ascii="Times New Roman" w:hAnsi="Times New Roman" w:cs="Times New Roman"/>
                <w:b/>
                <w:bCs/>
                <w:color w:val="000000"/>
                <w:sz w:val="14"/>
                <w:szCs w:val="14"/>
              </w:rPr>
              <w:t>N</w:t>
            </w:r>
          </w:p>
        </w:tc>
        <w:tc>
          <w:tcPr>
            <w:tcW w:w="500"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 xml:space="preserve">2019 </w:t>
            </w:r>
            <w:r>
              <w:rPr>
                <w:rFonts w:ascii="Times New Roman" w:hAnsi="Times New Roman" w:cs="Times New Roman"/>
                <w:b/>
                <w:bCs/>
                <w:color w:val="000000"/>
                <w:sz w:val="14"/>
                <w:szCs w:val="14"/>
              </w:rPr>
              <w:t>N</w:t>
            </w:r>
          </w:p>
        </w:tc>
        <w:tc>
          <w:tcPr>
            <w:tcW w:w="499"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 xml:space="preserve">2020 </w:t>
            </w:r>
            <w:r>
              <w:rPr>
                <w:rFonts w:ascii="Times New Roman" w:hAnsi="Times New Roman" w:cs="Times New Roman"/>
                <w:b/>
                <w:bCs/>
                <w:color w:val="000000"/>
                <w:sz w:val="14"/>
                <w:szCs w:val="14"/>
              </w:rPr>
              <w:t>N</w:t>
            </w:r>
          </w:p>
        </w:tc>
      </w:tr>
      <w:tr w:rsidR="007D13F3" w:rsidRPr="00F628DB" w:rsidTr="00465CAC">
        <w:trPr>
          <w:trHeight w:val="255"/>
        </w:trPr>
        <w:tc>
          <w:tcPr>
            <w:tcW w:w="1577" w:type="pct"/>
            <w:tcBorders>
              <w:top w:val="nil"/>
              <w:left w:val="single" w:sz="4" w:space="0" w:color="auto"/>
              <w:bottom w:val="single" w:sz="4" w:space="0" w:color="auto"/>
              <w:right w:val="single" w:sz="4" w:space="0" w:color="auto"/>
            </w:tcBorders>
            <w:shd w:val="clear" w:color="000000" w:fill="C0C0C0"/>
            <w:noWrap/>
            <w:vAlign w:val="center"/>
            <w:hideMark/>
          </w:tcPr>
          <w:p w:rsidR="007D13F3" w:rsidRPr="00F628DB" w:rsidRDefault="007D13F3" w:rsidP="00465CAC">
            <w:pPr>
              <w:rPr>
                <w:rFonts w:ascii="Times New Roman" w:hAnsi="Times New Roman" w:cs="Times New Roman"/>
                <w:b/>
                <w:bCs/>
                <w:color w:val="000000"/>
                <w:sz w:val="14"/>
                <w:szCs w:val="14"/>
                <w:lang w:eastAsia="sk-SK"/>
              </w:rPr>
            </w:pPr>
            <w:r w:rsidRPr="00F628DB">
              <w:rPr>
                <w:rFonts w:ascii="Times New Roman" w:hAnsi="Times New Roman" w:cs="Times New Roman"/>
                <w:b/>
                <w:bCs/>
                <w:color w:val="000000"/>
                <w:sz w:val="14"/>
                <w:szCs w:val="14"/>
                <w:lang w:eastAsia="sk-SK"/>
              </w:rPr>
              <w:t>Zdroje príslušnej kapitoly</w:t>
            </w:r>
          </w:p>
        </w:tc>
        <w:tc>
          <w:tcPr>
            <w:tcW w:w="48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D13F3" w:rsidRPr="00D530ED" w:rsidRDefault="007D13F3" w:rsidP="00465CAC">
            <w:pPr>
              <w:jc w:val="right"/>
              <w:rPr>
                <w:rFonts w:ascii="Times New Roman" w:hAnsi="Times New Roman" w:cs="Times New Roman"/>
                <w:b/>
                <w:bCs/>
                <w:color w:val="000000"/>
                <w:sz w:val="14"/>
                <w:szCs w:val="14"/>
                <w:lang w:eastAsia="sk-SK"/>
              </w:rPr>
            </w:pPr>
            <w:r w:rsidRPr="00D530ED">
              <w:rPr>
                <w:rFonts w:ascii="Times New Roman" w:hAnsi="Times New Roman" w:cs="Times New Roman"/>
                <w:b/>
                <w:bCs/>
                <w:color w:val="000000"/>
                <w:sz w:val="14"/>
                <w:szCs w:val="14"/>
              </w:rPr>
              <w:t>152 743 713</w:t>
            </w:r>
          </w:p>
        </w:tc>
        <w:tc>
          <w:tcPr>
            <w:tcW w:w="481" w:type="pct"/>
            <w:tcBorders>
              <w:top w:val="single" w:sz="4" w:space="0" w:color="auto"/>
              <w:left w:val="nil"/>
              <w:bottom w:val="single" w:sz="4" w:space="0" w:color="auto"/>
              <w:right w:val="single" w:sz="4" w:space="0" w:color="auto"/>
            </w:tcBorders>
            <w:shd w:val="clear" w:color="000000" w:fill="BFBFBF"/>
            <w:noWrap/>
            <w:vAlign w:val="bottom"/>
            <w:hideMark/>
          </w:tcPr>
          <w:p w:rsidR="007D13F3" w:rsidRPr="00D530ED" w:rsidRDefault="007D13F3" w:rsidP="00465CAC">
            <w:pPr>
              <w:jc w:val="right"/>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181 324 352</w:t>
            </w:r>
          </w:p>
        </w:tc>
        <w:tc>
          <w:tcPr>
            <w:tcW w:w="481" w:type="pct"/>
            <w:tcBorders>
              <w:top w:val="single" w:sz="4" w:space="0" w:color="auto"/>
              <w:left w:val="nil"/>
              <w:bottom w:val="single" w:sz="4" w:space="0" w:color="auto"/>
              <w:right w:val="single" w:sz="4" w:space="0" w:color="auto"/>
            </w:tcBorders>
            <w:shd w:val="clear" w:color="000000" w:fill="BFBFBF"/>
            <w:noWrap/>
            <w:vAlign w:val="bottom"/>
            <w:hideMark/>
          </w:tcPr>
          <w:p w:rsidR="007D13F3" w:rsidRPr="00D530ED" w:rsidRDefault="007D13F3" w:rsidP="00465CAC">
            <w:pPr>
              <w:jc w:val="right"/>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112 471 842</w:t>
            </w:r>
          </w:p>
        </w:tc>
        <w:tc>
          <w:tcPr>
            <w:tcW w:w="48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D13F3" w:rsidRPr="00FE0288" w:rsidRDefault="007D13F3" w:rsidP="00465CAC">
            <w:pPr>
              <w:jc w:val="right"/>
              <w:rPr>
                <w:rFonts w:ascii="Times New Roman" w:hAnsi="Times New Roman" w:cs="Times New Roman"/>
                <w:b/>
                <w:bCs/>
                <w:color w:val="000000"/>
                <w:sz w:val="14"/>
                <w:szCs w:val="14"/>
                <w:lang w:eastAsia="sk-SK"/>
              </w:rPr>
            </w:pPr>
            <w:r w:rsidRPr="00FE0288">
              <w:rPr>
                <w:rFonts w:ascii="Times New Roman" w:hAnsi="Times New Roman" w:cs="Times New Roman"/>
                <w:b/>
                <w:bCs/>
                <w:color w:val="000000"/>
                <w:sz w:val="14"/>
                <w:szCs w:val="14"/>
              </w:rPr>
              <w:t>140 682 150</w:t>
            </w:r>
          </w:p>
        </w:tc>
        <w:tc>
          <w:tcPr>
            <w:tcW w:w="500" w:type="pct"/>
            <w:tcBorders>
              <w:top w:val="single" w:sz="4" w:space="0" w:color="auto"/>
              <w:left w:val="nil"/>
              <w:bottom w:val="single" w:sz="4" w:space="0" w:color="auto"/>
              <w:right w:val="single" w:sz="4" w:space="0" w:color="auto"/>
            </w:tcBorders>
            <w:shd w:val="clear" w:color="000000" w:fill="BFBFBF"/>
            <w:noWrap/>
            <w:vAlign w:val="bottom"/>
            <w:hideMark/>
          </w:tcPr>
          <w:p w:rsidR="007D13F3" w:rsidRPr="00FE0288" w:rsidRDefault="007D13F3" w:rsidP="00465CAC">
            <w:pPr>
              <w:jc w:val="right"/>
              <w:rPr>
                <w:rFonts w:ascii="Times New Roman" w:hAnsi="Times New Roman" w:cs="Times New Roman"/>
                <w:b/>
                <w:bCs/>
                <w:color w:val="000000"/>
                <w:sz w:val="14"/>
                <w:szCs w:val="14"/>
              </w:rPr>
            </w:pPr>
            <w:r w:rsidRPr="00FE0288">
              <w:rPr>
                <w:rFonts w:ascii="Times New Roman" w:hAnsi="Times New Roman" w:cs="Times New Roman"/>
                <w:b/>
                <w:bCs/>
                <w:color w:val="000000"/>
                <w:sz w:val="14"/>
                <w:szCs w:val="14"/>
              </w:rPr>
              <w:t>119 353 879</w:t>
            </w:r>
          </w:p>
        </w:tc>
        <w:tc>
          <w:tcPr>
            <w:tcW w:w="500" w:type="pct"/>
            <w:tcBorders>
              <w:top w:val="single" w:sz="4" w:space="0" w:color="auto"/>
              <w:left w:val="nil"/>
              <w:bottom w:val="single" w:sz="4" w:space="0" w:color="auto"/>
              <w:right w:val="single" w:sz="4" w:space="0" w:color="auto"/>
            </w:tcBorders>
            <w:shd w:val="clear" w:color="000000" w:fill="BFBFBF"/>
            <w:noWrap/>
            <w:vAlign w:val="bottom"/>
            <w:hideMark/>
          </w:tcPr>
          <w:p w:rsidR="007D13F3" w:rsidRPr="00FE0288" w:rsidRDefault="007D13F3" w:rsidP="00465CAC">
            <w:pPr>
              <w:jc w:val="right"/>
              <w:rPr>
                <w:rFonts w:ascii="Times New Roman" w:hAnsi="Times New Roman" w:cs="Times New Roman"/>
                <w:b/>
                <w:bCs/>
                <w:color w:val="000000"/>
                <w:sz w:val="14"/>
                <w:szCs w:val="14"/>
              </w:rPr>
            </w:pPr>
            <w:r w:rsidRPr="00FE0288">
              <w:rPr>
                <w:rFonts w:ascii="Times New Roman" w:hAnsi="Times New Roman" w:cs="Times New Roman"/>
                <w:b/>
                <w:bCs/>
                <w:color w:val="000000"/>
                <w:sz w:val="14"/>
                <w:szCs w:val="14"/>
              </w:rPr>
              <w:t>118 346 439</w:t>
            </w:r>
          </w:p>
        </w:tc>
        <w:tc>
          <w:tcPr>
            <w:tcW w:w="499" w:type="pct"/>
            <w:tcBorders>
              <w:top w:val="single" w:sz="4" w:space="0" w:color="auto"/>
              <w:left w:val="nil"/>
              <w:bottom w:val="single" w:sz="4" w:space="0" w:color="auto"/>
              <w:right w:val="single" w:sz="4" w:space="0" w:color="auto"/>
            </w:tcBorders>
            <w:shd w:val="clear" w:color="000000" w:fill="BFBFBF"/>
            <w:noWrap/>
            <w:vAlign w:val="bottom"/>
            <w:hideMark/>
          </w:tcPr>
          <w:p w:rsidR="007D13F3" w:rsidRPr="00FE0288" w:rsidRDefault="007D13F3" w:rsidP="00465CAC">
            <w:pPr>
              <w:jc w:val="right"/>
              <w:rPr>
                <w:rFonts w:ascii="Times New Roman" w:hAnsi="Times New Roman" w:cs="Times New Roman"/>
                <w:b/>
                <w:bCs/>
                <w:color w:val="000000"/>
                <w:sz w:val="14"/>
                <w:szCs w:val="14"/>
              </w:rPr>
            </w:pPr>
            <w:r w:rsidRPr="00FE0288">
              <w:rPr>
                <w:rFonts w:ascii="Times New Roman" w:hAnsi="Times New Roman" w:cs="Times New Roman"/>
                <w:b/>
                <w:bCs/>
                <w:color w:val="000000"/>
                <w:sz w:val="14"/>
                <w:szCs w:val="14"/>
              </w:rPr>
              <w:t>115 896 126</w:t>
            </w:r>
          </w:p>
        </w:tc>
      </w:tr>
      <w:tr w:rsidR="007D13F3" w:rsidRPr="00F628DB" w:rsidTr="00465CAC">
        <w:trPr>
          <w:trHeight w:val="252"/>
        </w:trPr>
        <w:tc>
          <w:tcPr>
            <w:tcW w:w="1577" w:type="pct"/>
            <w:tcBorders>
              <w:top w:val="nil"/>
              <w:left w:val="single" w:sz="4" w:space="0" w:color="auto"/>
              <w:bottom w:val="single" w:sz="4" w:space="0" w:color="auto"/>
              <w:right w:val="single" w:sz="4" w:space="0" w:color="auto"/>
            </w:tcBorders>
            <w:noWrap/>
            <w:vAlign w:val="center"/>
            <w:hideMark/>
          </w:tcPr>
          <w:p w:rsidR="007D13F3" w:rsidRPr="00F628DB" w:rsidRDefault="007D13F3" w:rsidP="00465CAC">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Rozvoj zahraničných vzťahov</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106 450 967</w:t>
            </w:r>
          </w:p>
        </w:tc>
        <w:tc>
          <w:tcPr>
            <w:tcW w:w="481" w:type="pct"/>
            <w:tcBorders>
              <w:top w:val="nil"/>
              <w:left w:val="nil"/>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114 544 321</w:t>
            </w:r>
          </w:p>
        </w:tc>
        <w:tc>
          <w:tcPr>
            <w:tcW w:w="481" w:type="pct"/>
            <w:tcBorders>
              <w:top w:val="nil"/>
              <w:left w:val="nil"/>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104 266 859</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104 443 780</w:t>
            </w:r>
          </w:p>
        </w:tc>
        <w:tc>
          <w:tcPr>
            <w:tcW w:w="500" w:type="pct"/>
            <w:tcBorders>
              <w:top w:val="nil"/>
              <w:left w:val="nil"/>
              <w:bottom w:val="single" w:sz="4" w:space="0" w:color="auto"/>
              <w:right w:val="single" w:sz="4" w:space="0" w:color="auto"/>
            </w:tcBorders>
            <w:shd w:val="clear" w:color="auto" w:fill="auto"/>
            <w:noWrap/>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110 470 449</w:t>
            </w:r>
          </w:p>
        </w:tc>
        <w:tc>
          <w:tcPr>
            <w:tcW w:w="500" w:type="pct"/>
            <w:tcBorders>
              <w:top w:val="nil"/>
              <w:left w:val="nil"/>
              <w:bottom w:val="single" w:sz="4" w:space="0" w:color="auto"/>
              <w:right w:val="single" w:sz="4" w:space="0" w:color="auto"/>
            </w:tcBorders>
            <w:shd w:val="clear" w:color="auto" w:fill="auto"/>
            <w:noWrap/>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109 463 009</w:t>
            </w:r>
          </w:p>
        </w:tc>
        <w:tc>
          <w:tcPr>
            <w:tcW w:w="499" w:type="pct"/>
            <w:tcBorders>
              <w:top w:val="nil"/>
              <w:left w:val="nil"/>
              <w:bottom w:val="single" w:sz="4" w:space="0" w:color="auto"/>
              <w:right w:val="single" w:sz="4" w:space="0" w:color="auto"/>
            </w:tcBorders>
            <w:shd w:val="clear" w:color="auto" w:fill="auto"/>
            <w:noWrap/>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106 912 696</w:t>
            </w:r>
          </w:p>
        </w:tc>
      </w:tr>
      <w:tr w:rsidR="007D13F3" w:rsidRPr="00F628DB" w:rsidTr="00465CAC">
        <w:trPr>
          <w:trHeight w:val="255"/>
        </w:trPr>
        <w:tc>
          <w:tcPr>
            <w:tcW w:w="1577" w:type="pct"/>
            <w:tcBorders>
              <w:top w:val="nil"/>
              <w:left w:val="single" w:sz="4" w:space="0" w:color="auto"/>
              <w:bottom w:val="single" w:sz="4" w:space="0" w:color="auto"/>
              <w:right w:val="single" w:sz="4" w:space="0" w:color="auto"/>
            </w:tcBorders>
            <w:noWrap/>
            <w:vAlign w:val="center"/>
            <w:hideMark/>
          </w:tcPr>
          <w:p w:rsidR="007D13F3" w:rsidRPr="00F628DB" w:rsidRDefault="007D13F3" w:rsidP="00465CAC">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Rozvojová spolupráca</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5 118 143</w:t>
            </w:r>
          </w:p>
        </w:tc>
        <w:tc>
          <w:tcPr>
            <w:tcW w:w="481" w:type="pct"/>
            <w:tcBorders>
              <w:top w:val="nil"/>
              <w:left w:val="nil"/>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6 586 801</w:t>
            </w:r>
          </w:p>
        </w:tc>
        <w:tc>
          <w:tcPr>
            <w:tcW w:w="481" w:type="pct"/>
            <w:tcBorders>
              <w:top w:val="nil"/>
              <w:left w:val="nil"/>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6 549 864</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7D13F3" w:rsidRPr="00FE0288" w:rsidRDefault="007D13F3" w:rsidP="00465CAC">
            <w:pPr>
              <w:jc w:val="right"/>
              <w:rPr>
                <w:rFonts w:ascii="Times New Roman" w:hAnsi="Times New Roman" w:cs="Times New Roman"/>
                <w:color w:val="000000"/>
                <w:sz w:val="14"/>
                <w:szCs w:val="14"/>
              </w:rPr>
            </w:pPr>
            <w:r w:rsidRPr="00FE0288">
              <w:rPr>
                <w:rFonts w:ascii="Times New Roman" w:hAnsi="Times New Roman" w:cs="Times New Roman"/>
                <w:color w:val="000000"/>
                <w:sz w:val="14"/>
                <w:szCs w:val="14"/>
              </w:rPr>
              <w:t>6 415 170</w:t>
            </w:r>
          </w:p>
        </w:tc>
        <w:tc>
          <w:tcPr>
            <w:tcW w:w="500" w:type="pct"/>
            <w:tcBorders>
              <w:top w:val="nil"/>
              <w:left w:val="nil"/>
              <w:bottom w:val="single" w:sz="4" w:space="0" w:color="auto"/>
              <w:right w:val="single" w:sz="4" w:space="0" w:color="auto"/>
            </w:tcBorders>
            <w:shd w:val="clear" w:color="auto" w:fill="auto"/>
            <w:noWrap/>
            <w:vAlign w:val="bottom"/>
            <w:hideMark/>
          </w:tcPr>
          <w:p w:rsidR="007D13F3" w:rsidRPr="00FE0288" w:rsidRDefault="007D13F3" w:rsidP="00465CAC">
            <w:pPr>
              <w:jc w:val="right"/>
              <w:rPr>
                <w:rFonts w:ascii="Times New Roman" w:hAnsi="Times New Roman" w:cs="Times New Roman"/>
                <w:color w:val="000000"/>
                <w:sz w:val="14"/>
                <w:szCs w:val="14"/>
              </w:rPr>
            </w:pPr>
            <w:r w:rsidRPr="00FE0288">
              <w:rPr>
                <w:rFonts w:ascii="Times New Roman" w:hAnsi="Times New Roman" w:cs="Times New Roman"/>
                <w:color w:val="000000"/>
                <w:sz w:val="14"/>
                <w:szCs w:val="14"/>
              </w:rPr>
              <w:t>7 214 843</w:t>
            </w:r>
          </w:p>
        </w:tc>
        <w:tc>
          <w:tcPr>
            <w:tcW w:w="500" w:type="pct"/>
            <w:tcBorders>
              <w:top w:val="nil"/>
              <w:left w:val="nil"/>
              <w:bottom w:val="single" w:sz="4" w:space="0" w:color="auto"/>
              <w:right w:val="single" w:sz="4" w:space="0" w:color="auto"/>
            </w:tcBorders>
            <w:shd w:val="clear" w:color="auto" w:fill="auto"/>
            <w:noWrap/>
            <w:vAlign w:val="bottom"/>
            <w:hideMark/>
          </w:tcPr>
          <w:p w:rsidR="007D13F3" w:rsidRPr="00FE0288" w:rsidRDefault="007D13F3" w:rsidP="00465CAC">
            <w:pPr>
              <w:jc w:val="right"/>
              <w:rPr>
                <w:rFonts w:ascii="Times New Roman" w:hAnsi="Times New Roman" w:cs="Times New Roman"/>
                <w:color w:val="000000"/>
                <w:sz w:val="14"/>
                <w:szCs w:val="14"/>
              </w:rPr>
            </w:pPr>
            <w:r w:rsidRPr="00FE0288">
              <w:rPr>
                <w:rFonts w:ascii="Times New Roman" w:hAnsi="Times New Roman" w:cs="Times New Roman"/>
                <w:color w:val="000000"/>
                <w:sz w:val="14"/>
                <w:szCs w:val="14"/>
              </w:rPr>
              <w:t>7 214 843</w:t>
            </w:r>
          </w:p>
        </w:tc>
        <w:tc>
          <w:tcPr>
            <w:tcW w:w="499" w:type="pct"/>
            <w:tcBorders>
              <w:top w:val="nil"/>
              <w:left w:val="nil"/>
              <w:bottom w:val="single" w:sz="4" w:space="0" w:color="auto"/>
              <w:right w:val="single" w:sz="4" w:space="0" w:color="auto"/>
            </w:tcBorders>
            <w:shd w:val="clear" w:color="auto" w:fill="auto"/>
            <w:noWrap/>
            <w:vAlign w:val="bottom"/>
            <w:hideMark/>
          </w:tcPr>
          <w:p w:rsidR="007D13F3" w:rsidRPr="00FE0288" w:rsidRDefault="007D13F3" w:rsidP="00465CAC">
            <w:pPr>
              <w:jc w:val="right"/>
              <w:rPr>
                <w:rFonts w:ascii="Times New Roman" w:hAnsi="Times New Roman" w:cs="Times New Roman"/>
                <w:color w:val="000000"/>
                <w:sz w:val="14"/>
                <w:szCs w:val="14"/>
              </w:rPr>
            </w:pPr>
            <w:r w:rsidRPr="00FE0288">
              <w:rPr>
                <w:rFonts w:ascii="Times New Roman" w:hAnsi="Times New Roman" w:cs="Times New Roman"/>
                <w:color w:val="000000"/>
                <w:sz w:val="14"/>
                <w:szCs w:val="14"/>
              </w:rPr>
              <w:t>7 314 843</w:t>
            </w:r>
          </w:p>
        </w:tc>
      </w:tr>
      <w:tr w:rsidR="007D13F3" w:rsidRPr="00F628DB" w:rsidTr="00465CAC">
        <w:trPr>
          <w:trHeight w:val="255"/>
        </w:trPr>
        <w:tc>
          <w:tcPr>
            <w:tcW w:w="1577" w:type="pct"/>
            <w:tcBorders>
              <w:top w:val="nil"/>
              <w:left w:val="single" w:sz="4" w:space="0" w:color="auto"/>
              <w:bottom w:val="single" w:sz="4" w:space="0" w:color="auto"/>
              <w:right w:val="single" w:sz="4" w:space="0" w:color="auto"/>
            </w:tcBorders>
            <w:noWrap/>
            <w:vAlign w:val="center"/>
          </w:tcPr>
          <w:p w:rsidR="007D13F3" w:rsidRPr="00F628DB" w:rsidRDefault="007D13F3" w:rsidP="00465CAC">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Pomoc krajanom v zahraničí</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lang w:eastAsia="sk-SK"/>
              </w:rPr>
            </w:pPr>
            <w:r w:rsidRPr="00D530ED">
              <w:rPr>
                <w:rFonts w:ascii="Times New Roman" w:hAnsi="Times New Roman" w:cs="Times New Roman"/>
                <w:color w:val="000000"/>
                <w:sz w:val="14"/>
                <w:szCs w:val="14"/>
              </w:rPr>
              <w:t>1 758 911</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1 700 800</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1 655 119</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FE0288" w:rsidRDefault="007D13F3" w:rsidP="00465CAC">
            <w:pPr>
              <w:jc w:val="right"/>
              <w:rPr>
                <w:rFonts w:ascii="Times New Roman" w:hAnsi="Times New Roman" w:cs="Times New Roman"/>
                <w:color w:val="000000"/>
                <w:sz w:val="14"/>
                <w:szCs w:val="14"/>
                <w:lang w:eastAsia="sk-SK"/>
              </w:rPr>
            </w:pPr>
            <w:r w:rsidRPr="00FE0288">
              <w:rPr>
                <w:rFonts w:ascii="Times New Roman" w:hAnsi="Times New Roman" w:cs="Times New Roman"/>
                <w:color w:val="000000"/>
                <w:sz w:val="14"/>
                <w:szCs w:val="14"/>
              </w:rPr>
              <w:t>1 783 164</w:t>
            </w:r>
          </w:p>
        </w:tc>
        <w:tc>
          <w:tcPr>
            <w:tcW w:w="500" w:type="pct"/>
            <w:tcBorders>
              <w:top w:val="single" w:sz="4" w:space="0" w:color="auto"/>
              <w:left w:val="nil"/>
              <w:bottom w:val="single" w:sz="4" w:space="0" w:color="auto"/>
              <w:right w:val="single" w:sz="4" w:space="0" w:color="auto"/>
            </w:tcBorders>
            <w:shd w:val="clear" w:color="auto" w:fill="auto"/>
            <w:vAlign w:val="bottom"/>
          </w:tcPr>
          <w:p w:rsidR="007D13F3" w:rsidRPr="00FE0288" w:rsidRDefault="007D13F3" w:rsidP="00465CAC">
            <w:pPr>
              <w:jc w:val="right"/>
              <w:rPr>
                <w:rFonts w:ascii="Times New Roman" w:hAnsi="Times New Roman" w:cs="Times New Roman"/>
                <w:color w:val="000000"/>
                <w:sz w:val="14"/>
                <w:szCs w:val="14"/>
              </w:rPr>
            </w:pPr>
            <w:r w:rsidRPr="00FE0288">
              <w:rPr>
                <w:rFonts w:ascii="Times New Roman" w:hAnsi="Times New Roman" w:cs="Times New Roman"/>
                <w:color w:val="000000"/>
                <w:sz w:val="14"/>
                <w:szCs w:val="14"/>
              </w:rPr>
              <w:t>1 668 587</w:t>
            </w:r>
          </w:p>
        </w:tc>
        <w:tc>
          <w:tcPr>
            <w:tcW w:w="500" w:type="pct"/>
            <w:tcBorders>
              <w:top w:val="single" w:sz="4" w:space="0" w:color="auto"/>
              <w:left w:val="nil"/>
              <w:bottom w:val="single" w:sz="4" w:space="0" w:color="auto"/>
              <w:right w:val="single" w:sz="4" w:space="0" w:color="auto"/>
            </w:tcBorders>
            <w:shd w:val="clear" w:color="auto" w:fill="auto"/>
            <w:vAlign w:val="bottom"/>
          </w:tcPr>
          <w:p w:rsidR="007D13F3" w:rsidRPr="00FE0288" w:rsidRDefault="007D13F3" w:rsidP="00465CAC">
            <w:pPr>
              <w:jc w:val="right"/>
              <w:rPr>
                <w:rFonts w:ascii="Times New Roman" w:hAnsi="Times New Roman" w:cs="Times New Roman"/>
                <w:color w:val="000000"/>
                <w:sz w:val="14"/>
                <w:szCs w:val="14"/>
              </w:rPr>
            </w:pPr>
            <w:r w:rsidRPr="00FE0288">
              <w:rPr>
                <w:rFonts w:ascii="Times New Roman" w:hAnsi="Times New Roman" w:cs="Times New Roman"/>
                <w:color w:val="000000"/>
                <w:sz w:val="14"/>
                <w:szCs w:val="14"/>
              </w:rPr>
              <w:t>1 668 587</w:t>
            </w:r>
          </w:p>
        </w:tc>
        <w:tc>
          <w:tcPr>
            <w:tcW w:w="499" w:type="pct"/>
            <w:tcBorders>
              <w:top w:val="single" w:sz="4" w:space="0" w:color="auto"/>
              <w:left w:val="nil"/>
              <w:bottom w:val="single" w:sz="4" w:space="0" w:color="auto"/>
              <w:right w:val="single" w:sz="4" w:space="0" w:color="auto"/>
            </w:tcBorders>
            <w:shd w:val="clear" w:color="auto" w:fill="auto"/>
            <w:vAlign w:val="bottom"/>
          </w:tcPr>
          <w:p w:rsidR="007D13F3" w:rsidRPr="00FE0288" w:rsidRDefault="007D13F3" w:rsidP="00465CAC">
            <w:pPr>
              <w:jc w:val="right"/>
              <w:rPr>
                <w:rFonts w:ascii="Times New Roman" w:hAnsi="Times New Roman" w:cs="Times New Roman"/>
                <w:color w:val="000000"/>
                <w:sz w:val="14"/>
                <w:szCs w:val="14"/>
              </w:rPr>
            </w:pPr>
            <w:r w:rsidRPr="00FE0288">
              <w:rPr>
                <w:rFonts w:ascii="Times New Roman" w:hAnsi="Times New Roman" w:cs="Times New Roman"/>
                <w:color w:val="000000"/>
                <w:sz w:val="14"/>
                <w:szCs w:val="14"/>
              </w:rPr>
              <w:t>1 668 587</w:t>
            </w:r>
          </w:p>
        </w:tc>
      </w:tr>
      <w:tr w:rsidR="007D13F3" w:rsidRPr="00F628DB" w:rsidTr="00465CAC">
        <w:trPr>
          <w:trHeight w:val="255"/>
        </w:trPr>
        <w:tc>
          <w:tcPr>
            <w:tcW w:w="1577" w:type="pct"/>
            <w:tcBorders>
              <w:top w:val="nil"/>
              <w:left w:val="single" w:sz="4" w:space="0" w:color="auto"/>
              <w:bottom w:val="single" w:sz="4" w:space="0" w:color="auto"/>
              <w:right w:val="single" w:sz="4" w:space="0" w:color="auto"/>
            </w:tcBorders>
            <w:noWrap/>
            <w:vAlign w:val="center"/>
          </w:tcPr>
          <w:p w:rsidR="007D13F3" w:rsidRPr="00F628DB" w:rsidRDefault="007D13F3" w:rsidP="00465CAC">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Príspevky SR do medzinárodných organizácií</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lang w:eastAsia="sk-SK"/>
              </w:rPr>
            </w:pPr>
            <w:r w:rsidRPr="00D530ED">
              <w:rPr>
                <w:rFonts w:ascii="Times New Roman" w:hAnsi="Times New Roman" w:cs="Times New Roman"/>
                <w:color w:val="000000"/>
                <w:sz w:val="14"/>
                <w:szCs w:val="14"/>
              </w:rPr>
              <w:t>22 926 842</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33 186 620</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24 339 269</w:t>
            </w:r>
          </w:p>
        </w:tc>
        <w:tc>
          <w:tcPr>
            <w:tcW w:w="500" w:type="pct"/>
            <w:tcBorders>
              <w:top w:val="single" w:sz="4" w:space="0" w:color="auto"/>
              <w:left w:val="nil"/>
              <w:bottom w:val="single" w:sz="4" w:space="0" w:color="auto"/>
              <w:right w:val="single" w:sz="4" w:space="0" w:color="auto"/>
            </w:tcBorders>
            <w:shd w:val="clear" w:color="auto" w:fill="auto"/>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shd w:val="clear" w:color="auto" w:fill="auto"/>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499" w:type="pct"/>
            <w:tcBorders>
              <w:top w:val="single" w:sz="4" w:space="0" w:color="auto"/>
              <w:left w:val="nil"/>
              <w:bottom w:val="single" w:sz="4" w:space="0" w:color="auto"/>
              <w:right w:val="single" w:sz="4" w:space="0" w:color="auto"/>
            </w:tcBorders>
            <w:shd w:val="clear" w:color="auto" w:fill="auto"/>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r>
      <w:tr w:rsidR="007D13F3" w:rsidRPr="00F628DB" w:rsidTr="00465CAC">
        <w:trPr>
          <w:trHeight w:val="255"/>
        </w:trPr>
        <w:tc>
          <w:tcPr>
            <w:tcW w:w="1577" w:type="pct"/>
            <w:tcBorders>
              <w:top w:val="nil"/>
              <w:left w:val="single" w:sz="4" w:space="0" w:color="auto"/>
              <w:bottom w:val="nil"/>
              <w:right w:val="single" w:sz="4" w:space="0" w:color="auto"/>
            </w:tcBorders>
            <w:noWrap/>
            <w:vAlign w:val="center"/>
            <w:hideMark/>
          </w:tcPr>
          <w:p w:rsidR="007D13F3" w:rsidRPr="00F628DB" w:rsidRDefault="007D13F3" w:rsidP="00465CAC">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SK PRES 2016</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color w:val="000000"/>
                <w:sz w:val="14"/>
                <w:szCs w:val="14"/>
                <w:lang w:eastAsia="sk-SK"/>
              </w:rPr>
            </w:pPr>
            <w:r w:rsidRPr="00D530ED">
              <w:rPr>
                <w:rFonts w:ascii="Times New Roman" w:hAnsi="Times New Roman" w:cs="Times New Roman"/>
                <w:color w:val="000000"/>
                <w:sz w:val="14"/>
                <w:szCs w:val="14"/>
              </w:rPr>
              <w:t>5 840 484</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24 920 170</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FE0288" w:rsidRDefault="007D13F3" w:rsidP="00465CAC">
            <w:pPr>
              <w:jc w:val="right"/>
              <w:rPr>
                <w:rFonts w:ascii="Times New Roman" w:hAnsi="Times New Roman" w:cs="Times New Roman"/>
                <w:color w:val="000000"/>
                <w:sz w:val="14"/>
                <w:szCs w:val="14"/>
                <w:lang w:eastAsia="sk-SK"/>
              </w:rPr>
            </w:pPr>
            <w:r w:rsidRPr="00FE0288">
              <w:rPr>
                <w:rFonts w:ascii="Times New Roman" w:hAnsi="Times New Roman" w:cs="Times New Roman"/>
                <w:color w:val="000000"/>
                <w:sz w:val="14"/>
                <w:szCs w:val="14"/>
              </w:rPr>
              <w:t>3 575 877</w:t>
            </w:r>
          </w:p>
        </w:tc>
        <w:tc>
          <w:tcPr>
            <w:tcW w:w="500" w:type="pct"/>
            <w:tcBorders>
              <w:top w:val="single" w:sz="4" w:space="0" w:color="auto"/>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shd w:val="clear" w:color="auto" w:fill="auto"/>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499" w:type="pct"/>
            <w:tcBorders>
              <w:top w:val="single" w:sz="4" w:space="0" w:color="auto"/>
              <w:left w:val="nil"/>
              <w:bottom w:val="single" w:sz="4" w:space="0" w:color="auto"/>
              <w:right w:val="single" w:sz="4" w:space="0" w:color="auto"/>
            </w:tcBorders>
            <w:shd w:val="clear" w:color="auto" w:fill="auto"/>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r>
      <w:tr w:rsidR="007D13F3" w:rsidRPr="00F628DB" w:rsidTr="00465CAC">
        <w:trPr>
          <w:trHeight w:val="255"/>
        </w:trPr>
        <w:tc>
          <w:tcPr>
            <w:tcW w:w="1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3F3" w:rsidRPr="00F628DB" w:rsidRDefault="007D13F3" w:rsidP="00465CAC">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rPr>
              <w:t>Čerpanie prostriedkov EÚ a spolufinancovania z operačných programov</w:t>
            </w:r>
            <w:r>
              <w:rPr>
                <w:rFonts w:ascii="Times New Roman" w:hAnsi="Times New Roman" w:cs="Times New Roman"/>
                <w:color w:val="000000"/>
                <w:sz w:val="14"/>
                <w:szCs w:val="14"/>
              </w:rPr>
              <w:t xml:space="preserve"> Ľudské zdroje a OP IS</w:t>
            </w:r>
          </w:p>
        </w:tc>
        <w:tc>
          <w:tcPr>
            <w:tcW w:w="481" w:type="pct"/>
            <w:tcBorders>
              <w:top w:val="nil"/>
              <w:left w:val="single" w:sz="4" w:space="0" w:color="auto"/>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10 648 366</w:t>
            </w:r>
          </w:p>
        </w:tc>
        <w:tc>
          <w:tcPr>
            <w:tcW w:w="481"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385 640</w:t>
            </w:r>
          </w:p>
        </w:tc>
        <w:tc>
          <w:tcPr>
            <w:tcW w:w="481" w:type="pct"/>
            <w:tcBorders>
              <w:top w:val="nil"/>
              <w:left w:val="nil"/>
              <w:bottom w:val="single" w:sz="4" w:space="0" w:color="auto"/>
              <w:right w:val="single" w:sz="4" w:space="0" w:color="auto"/>
            </w:tcBorders>
            <w:shd w:val="clear" w:color="auto" w:fill="auto"/>
            <w:noWrap/>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481" w:type="pct"/>
            <w:tcBorders>
              <w:top w:val="nil"/>
              <w:left w:val="single" w:sz="4" w:space="0" w:color="auto"/>
              <w:bottom w:val="single" w:sz="4" w:space="0" w:color="auto"/>
              <w:right w:val="single" w:sz="4" w:space="0" w:color="auto"/>
            </w:tcBorders>
            <w:shd w:val="clear" w:color="auto" w:fill="auto"/>
            <w:noWrap/>
            <w:vAlign w:val="bottom"/>
          </w:tcPr>
          <w:p w:rsidR="007D13F3" w:rsidRPr="00FE0288" w:rsidRDefault="007D13F3" w:rsidP="00465CAC">
            <w:pPr>
              <w:jc w:val="right"/>
              <w:rPr>
                <w:rFonts w:ascii="Times New Roman" w:hAnsi="Times New Roman" w:cs="Times New Roman"/>
                <w:color w:val="000000"/>
                <w:sz w:val="14"/>
                <w:szCs w:val="14"/>
              </w:rPr>
            </w:pPr>
            <w:r w:rsidRPr="00FE0288">
              <w:rPr>
                <w:rFonts w:ascii="Times New Roman" w:hAnsi="Times New Roman" w:cs="Times New Roman"/>
                <w:color w:val="000000"/>
                <w:sz w:val="14"/>
                <w:szCs w:val="14"/>
              </w:rPr>
              <w:t>124 890</w:t>
            </w:r>
          </w:p>
        </w:tc>
        <w:tc>
          <w:tcPr>
            <w:tcW w:w="500" w:type="pct"/>
            <w:tcBorders>
              <w:top w:val="single" w:sz="4" w:space="0" w:color="auto"/>
              <w:left w:val="nil"/>
              <w:bottom w:val="single" w:sz="4" w:space="0" w:color="auto"/>
              <w:right w:val="single" w:sz="4" w:space="0" w:color="auto"/>
            </w:tcBorders>
            <w:shd w:val="clear" w:color="auto" w:fill="auto"/>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shd w:val="clear" w:color="auto" w:fill="auto"/>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c>
          <w:tcPr>
            <w:tcW w:w="499" w:type="pct"/>
            <w:tcBorders>
              <w:top w:val="single" w:sz="4" w:space="0" w:color="auto"/>
              <w:left w:val="nil"/>
              <w:bottom w:val="single" w:sz="4" w:space="0" w:color="auto"/>
              <w:right w:val="single" w:sz="4" w:space="0" w:color="auto"/>
            </w:tcBorders>
            <w:shd w:val="clear" w:color="auto" w:fill="auto"/>
            <w:vAlign w:val="bottom"/>
          </w:tcPr>
          <w:p w:rsidR="007D13F3" w:rsidRPr="00D530ED" w:rsidRDefault="007D13F3" w:rsidP="00465CAC">
            <w:pPr>
              <w:jc w:val="right"/>
              <w:rPr>
                <w:rFonts w:ascii="Times New Roman" w:hAnsi="Times New Roman" w:cs="Times New Roman"/>
                <w:color w:val="000000"/>
                <w:sz w:val="14"/>
                <w:szCs w:val="14"/>
              </w:rPr>
            </w:pPr>
            <w:r w:rsidRPr="00D530ED">
              <w:rPr>
                <w:rFonts w:ascii="Times New Roman" w:hAnsi="Times New Roman" w:cs="Times New Roman"/>
                <w:color w:val="000000"/>
                <w:sz w:val="14"/>
                <w:szCs w:val="14"/>
              </w:rPr>
              <w:t>0</w:t>
            </w:r>
          </w:p>
        </w:tc>
      </w:tr>
    </w:tbl>
    <w:p w:rsidR="007D13F3" w:rsidRDefault="007D13F3" w:rsidP="007D13F3">
      <w:pPr>
        <w:jc w:val="both"/>
        <w:rPr>
          <w:rFonts w:ascii="Times New Roman" w:hAnsi="Times New Roman" w:cs="Times New Roman"/>
          <w:b/>
          <w:bCs/>
          <w:lang w:eastAsia="sk-SK"/>
        </w:rPr>
      </w:pPr>
    </w:p>
    <w:p w:rsidR="007D13F3" w:rsidRPr="00F628DB" w:rsidRDefault="007D13F3" w:rsidP="007D13F3">
      <w:pPr>
        <w:jc w:val="both"/>
        <w:rPr>
          <w:rFonts w:ascii="Times New Roman" w:hAnsi="Times New Roman" w:cs="Times New Roman"/>
          <w:b/>
          <w:bCs/>
          <w:lang w:eastAsia="sk-SK"/>
        </w:rPr>
      </w:pPr>
      <w:r w:rsidRPr="00F628DB">
        <w:rPr>
          <w:rFonts w:ascii="Times New Roman" w:hAnsi="Times New Roman" w:cs="Times New Roman"/>
          <w:b/>
          <w:bCs/>
          <w:lang w:eastAsia="sk-SK"/>
        </w:rPr>
        <w:t>Rozvoj zahraničných vzťahov</w:t>
      </w:r>
    </w:p>
    <w:p w:rsidR="007D13F3" w:rsidRPr="00F628DB" w:rsidRDefault="007D13F3" w:rsidP="007D13F3">
      <w:pPr>
        <w:jc w:val="both"/>
        <w:rPr>
          <w:rFonts w:ascii="Times New Roman" w:hAnsi="Times New Roman" w:cs="Times New Roman"/>
        </w:rPr>
      </w:pPr>
    </w:p>
    <w:tbl>
      <w:tblPr>
        <w:tblW w:w="9086" w:type="dxa"/>
        <w:tblInd w:w="56" w:type="dxa"/>
        <w:tblLayout w:type="fixed"/>
        <w:tblCellMar>
          <w:left w:w="70" w:type="dxa"/>
          <w:right w:w="70" w:type="dxa"/>
        </w:tblCellMar>
        <w:tblLook w:val="04A0" w:firstRow="1" w:lastRow="0" w:firstColumn="1" w:lastColumn="0" w:noHBand="0" w:noVBand="1"/>
      </w:tblPr>
      <w:tblGrid>
        <w:gridCol w:w="2241"/>
        <w:gridCol w:w="977"/>
        <w:gridCol w:w="978"/>
        <w:gridCol w:w="978"/>
        <w:gridCol w:w="978"/>
        <w:gridCol w:w="978"/>
        <w:gridCol w:w="978"/>
        <w:gridCol w:w="978"/>
      </w:tblGrid>
      <w:tr w:rsidR="007D13F3" w:rsidRPr="00F628DB" w:rsidTr="00465CAC">
        <w:trPr>
          <w:trHeight w:val="255"/>
        </w:trPr>
        <w:tc>
          <w:tcPr>
            <w:tcW w:w="224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D13F3" w:rsidRPr="00F628DB" w:rsidRDefault="007D13F3" w:rsidP="00465CAC">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v eurách</w:t>
            </w:r>
          </w:p>
        </w:tc>
        <w:tc>
          <w:tcPr>
            <w:tcW w:w="977"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7D13F3" w:rsidRPr="00D530ED" w:rsidRDefault="007D13F3" w:rsidP="00465CAC">
            <w:pPr>
              <w:jc w:val="center"/>
              <w:rPr>
                <w:rFonts w:ascii="Times New Roman" w:hAnsi="Times New Roman" w:cs="Times New Roman"/>
                <w:b/>
                <w:bCs/>
                <w:color w:val="000000"/>
                <w:sz w:val="14"/>
                <w:szCs w:val="14"/>
                <w:lang w:eastAsia="sk-SK"/>
              </w:rPr>
            </w:pPr>
            <w:r w:rsidRPr="00D530ED">
              <w:rPr>
                <w:rFonts w:ascii="Times New Roman" w:hAnsi="Times New Roman" w:cs="Times New Roman"/>
                <w:b/>
                <w:bCs/>
                <w:color w:val="000000"/>
                <w:sz w:val="14"/>
                <w:szCs w:val="14"/>
              </w:rPr>
              <w:t>2015 S</w:t>
            </w:r>
          </w:p>
        </w:tc>
        <w:tc>
          <w:tcPr>
            <w:tcW w:w="978" w:type="dxa"/>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sz w:val="14"/>
                <w:szCs w:val="14"/>
              </w:rPr>
            </w:pPr>
            <w:r w:rsidRPr="00D530ED">
              <w:rPr>
                <w:rFonts w:ascii="Times New Roman" w:hAnsi="Times New Roman" w:cs="Times New Roman"/>
                <w:b/>
                <w:bCs/>
                <w:sz w:val="14"/>
                <w:szCs w:val="14"/>
              </w:rPr>
              <w:t>2016 S</w:t>
            </w:r>
          </w:p>
        </w:tc>
        <w:tc>
          <w:tcPr>
            <w:tcW w:w="978" w:type="dxa"/>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sz w:val="14"/>
                <w:szCs w:val="14"/>
              </w:rPr>
            </w:pPr>
            <w:r w:rsidRPr="00D530ED">
              <w:rPr>
                <w:rFonts w:ascii="Times New Roman" w:hAnsi="Times New Roman" w:cs="Times New Roman"/>
                <w:b/>
                <w:bCs/>
                <w:sz w:val="14"/>
                <w:szCs w:val="14"/>
              </w:rPr>
              <w:t>2017 R</w:t>
            </w:r>
          </w:p>
        </w:tc>
        <w:tc>
          <w:tcPr>
            <w:tcW w:w="978" w:type="dxa"/>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2017 OS</w:t>
            </w:r>
          </w:p>
        </w:tc>
        <w:tc>
          <w:tcPr>
            <w:tcW w:w="978" w:type="dxa"/>
            <w:tcBorders>
              <w:top w:val="single" w:sz="4" w:space="0" w:color="auto"/>
              <w:left w:val="nil"/>
              <w:bottom w:val="single" w:sz="4" w:space="0" w:color="auto"/>
              <w:right w:val="single" w:sz="4" w:space="0" w:color="auto"/>
            </w:tcBorders>
            <w:shd w:val="clear" w:color="000000" w:fill="A6A6A6"/>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 xml:space="preserve">2018 </w:t>
            </w:r>
            <w:r>
              <w:rPr>
                <w:rFonts w:ascii="Times New Roman" w:hAnsi="Times New Roman" w:cs="Times New Roman"/>
                <w:b/>
                <w:bCs/>
                <w:color w:val="000000"/>
                <w:sz w:val="14"/>
                <w:szCs w:val="14"/>
              </w:rPr>
              <w:t>N</w:t>
            </w:r>
          </w:p>
        </w:tc>
        <w:tc>
          <w:tcPr>
            <w:tcW w:w="978" w:type="dxa"/>
            <w:tcBorders>
              <w:top w:val="single" w:sz="4" w:space="0" w:color="auto"/>
              <w:left w:val="nil"/>
              <w:bottom w:val="single" w:sz="4" w:space="0" w:color="auto"/>
              <w:right w:val="single" w:sz="4" w:space="0" w:color="auto"/>
            </w:tcBorders>
            <w:shd w:val="clear" w:color="000000" w:fill="A6A6A6"/>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 xml:space="preserve">2019 </w:t>
            </w:r>
            <w:r>
              <w:rPr>
                <w:rFonts w:ascii="Times New Roman" w:hAnsi="Times New Roman" w:cs="Times New Roman"/>
                <w:b/>
                <w:bCs/>
                <w:color w:val="000000"/>
                <w:sz w:val="14"/>
                <w:szCs w:val="14"/>
              </w:rPr>
              <w:t>N</w:t>
            </w:r>
          </w:p>
        </w:tc>
        <w:tc>
          <w:tcPr>
            <w:tcW w:w="978" w:type="dxa"/>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 xml:space="preserve">2020 </w:t>
            </w:r>
            <w:r>
              <w:rPr>
                <w:rFonts w:ascii="Times New Roman" w:hAnsi="Times New Roman" w:cs="Times New Roman"/>
                <w:b/>
                <w:bCs/>
                <w:color w:val="000000"/>
                <w:sz w:val="14"/>
                <w:szCs w:val="14"/>
              </w:rPr>
              <w:t>N</w:t>
            </w:r>
          </w:p>
        </w:tc>
      </w:tr>
      <w:tr w:rsidR="007D13F3" w:rsidRPr="00F628DB" w:rsidTr="00465CAC">
        <w:trPr>
          <w:trHeight w:val="255"/>
        </w:trPr>
        <w:tc>
          <w:tcPr>
            <w:tcW w:w="2241" w:type="dxa"/>
            <w:tcBorders>
              <w:top w:val="nil"/>
              <w:left w:val="single" w:sz="4" w:space="0" w:color="auto"/>
              <w:bottom w:val="single" w:sz="4" w:space="0" w:color="auto"/>
              <w:right w:val="single" w:sz="4" w:space="0" w:color="auto"/>
            </w:tcBorders>
            <w:shd w:val="clear" w:color="000000" w:fill="C0C0C0"/>
            <w:noWrap/>
            <w:vAlign w:val="center"/>
            <w:hideMark/>
          </w:tcPr>
          <w:p w:rsidR="007D13F3" w:rsidRPr="00F628DB" w:rsidRDefault="007D13F3" w:rsidP="00465CAC">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Rozvoj zahraničných vzťahov</w:t>
            </w:r>
          </w:p>
        </w:tc>
        <w:tc>
          <w:tcPr>
            <w:tcW w:w="977"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7D13F3" w:rsidRPr="00D530ED" w:rsidRDefault="007D13F3" w:rsidP="00465CAC">
            <w:pPr>
              <w:jc w:val="right"/>
              <w:rPr>
                <w:rFonts w:ascii="Times New Roman" w:hAnsi="Times New Roman" w:cs="Times New Roman"/>
                <w:b/>
                <w:bCs/>
                <w:color w:val="000000"/>
                <w:sz w:val="14"/>
                <w:szCs w:val="14"/>
                <w:lang w:eastAsia="sk-SK"/>
              </w:rPr>
            </w:pPr>
            <w:r w:rsidRPr="00D530ED">
              <w:rPr>
                <w:rFonts w:ascii="Times New Roman" w:hAnsi="Times New Roman" w:cs="Times New Roman"/>
                <w:b/>
                <w:bCs/>
                <w:color w:val="000000"/>
                <w:sz w:val="14"/>
                <w:szCs w:val="14"/>
              </w:rPr>
              <w:t>106 450 969</w:t>
            </w:r>
          </w:p>
        </w:tc>
        <w:tc>
          <w:tcPr>
            <w:tcW w:w="978" w:type="dxa"/>
            <w:tcBorders>
              <w:top w:val="single" w:sz="4" w:space="0" w:color="auto"/>
              <w:left w:val="nil"/>
              <w:bottom w:val="single" w:sz="4" w:space="0" w:color="auto"/>
              <w:right w:val="single" w:sz="4" w:space="0" w:color="auto"/>
            </w:tcBorders>
            <w:shd w:val="clear" w:color="000000" w:fill="C0C0C0"/>
            <w:vAlign w:val="bottom"/>
            <w:hideMark/>
          </w:tcPr>
          <w:p w:rsidR="007D13F3" w:rsidRPr="00D530ED" w:rsidRDefault="007D13F3" w:rsidP="00465CAC">
            <w:pPr>
              <w:jc w:val="right"/>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114 544 321</w:t>
            </w:r>
          </w:p>
        </w:tc>
        <w:tc>
          <w:tcPr>
            <w:tcW w:w="978" w:type="dxa"/>
            <w:tcBorders>
              <w:top w:val="single" w:sz="4" w:space="0" w:color="auto"/>
              <w:left w:val="nil"/>
              <w:bottom w:val="single" w:sz="4" w:space="0" w:color="auto"/>
              <w:right w:val="single" w:sz="4" w:space="0" w:color="auto"/>
            </w:tcBorders>
            <w:shd w:val="clear" w:color="000000" w:fill="C0C0C0"/>
            <w:vAlign w:val="bottom"/>
            <w:hideMark/>
          </w:tcPr>
          <w:p w:rsidR="007D13F3" w:rsidRPr="00D530ED" w:rsidRDefault="007D13F3" w:rsidP="00465CAC">
            <w:pPr>
              <w:jc w:val="right"/>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104 266 859</w:t>
            </w:r>
          </w:p>
        </w:tc>
        <w:tc>
          <w:tcPr>
            <w:tcW w:w="978"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7D13F3" w:rsidRPr="00FE0288" w:rsidRDefault="007D13F3" w:rsidP="00465CAC">
            <w:pPr>
              <w:jc w:val="right"/>
              <w:rPr>
                <w:rFonts w:ascii="Times New Roman" w:hAnsi="Times New Roman" w:cs="Times New Roman"/>
                <w:b/>
                <w:bCs/>
                <w:color w:val="000000"/>
                <w:sz w:val="14"/>
                <w:szCs w:val="14"/>
                <w:lang w:eastAsia="sk-SK"/>
              </w:rPr>
            </w:pPr>
            <w:r w:rsidRPr="00FE0288">
              <w:rPr>
                <w:rFonts w:ascii="Times New Roman" w:hAnsi="Times New Roman" w:cs="Times New Roman"/>
                <w:b/>
                <w:bCs/>
                <w:color w:val="000000"/>
                <w:sz w:val="14"/>
                <w:szCs w:val="14"/>
              </w:rPr>
              <w:t>104 443 780</w:t>
            </w:r>
          </w:p>
        </w:tc>
        <w:tc>
          <w:tcPr>
            <w:tcW w:w="978" w:type="dxa"/>
            <w:tcBorders>
              <w:top w:val="single" w:sz="4" w:space="0" w:color="auto"/>
              <w:left w:val="nil"/>
              <w:bottom w:val="single" w:sz="4" w:space="0" w:color="auto"/>
              <w:right w:val="single" w:sz="4" w:space="0" w:color="auto"/>
            </w:tcBorders>
            <w:shd w:val="clear" w:color="000000" w:fill="C0C0C0"/>
            <w:vAlign w:val="bottom"/>
            <w:hideMark/>
          </w:tcPr>
          <w:p w:rsidR="007D13F3" w:rsidRPr="00FE0288" w:rsidRDefault="007D13F3" w:rsidP="00465CAC">
            <w:pPr>
              <w:jc w:val="right"/>
              <w:rPr>
                <w:rFonts w:ascii="Times New Roman" w:hAnsi="Times New Roman" w:cs="Times New Roman"/>
                <w:b/>
                <w:bCs/>
                <w:color w:val="000000"/>
                <w:sz w:val="14"/>
                <w:szCs w:val="14"/>
              </w:rPr>
            </w:pPr>
            <w:r w:rsidRPr="00FE0288">
              <w:rPr>
                <w:rFonts w:ascii="Times New Roman" w:hAnsi="Times New Roman" w:cs="Times New Roman"/>
                <w:b/>
                <w:bCs/>
                <w:color w:val="000000"/>
                <w:sz w:val="14"/>
                <w:szCs w:val="14"/>
              </w:rPr>
              <w:t>110 470 449</w:t>
            </w:r>
          </w:p>
        </w:tc>
        <w:tc>
          <w:tcPr>
            <w:tcW w:w="978" w:type="dxa"/>
            <w:tcBorders>
              <w:top w:val="single" w:sz="4" w:space="0" w:color="auto"/>
              <w:left w:val="nil"/>
              <w:bottom w:val="single" w:sz="4" w:space="0" w:color="auto"/>
              <w:right w:val="single" w:sz="4" w:space="0" w:color="auto"/>
            </w:tcBorders>
            <w:shd w:val="clear" w:color="000000" w:fill="C0C0C0"/>
            <w:vAlign w:val="bottom"/>
            <w:hideMark/>
          </w:tcPr>
          <w:p w:rsidR="007D13F3" w:rsidRPr="00FE0288" w:rsidRDefault="007D13F3" w:rsidP="00465CAC">
            <w:pPr>
              <w:jc w:val="right"/>
              <w:rPr>
                <w:rFonts w:ascii="Times New Roman" w:hAnsi="Times New Roman" w:cs="Times New Roman"/>
                <w:b/>
                <w:bCs/>
                <w:color w:val="000000"/>
                <w:sz w:val="14"/>
                <w:szCs w:val="14"/>
              </w:rPr>
            </w:pPr>
            <w:r w:rsidRPr="00FE0288">
              <w:rPr>
                <w:rFonts w:ascii="Times New Roman" w:hAnsi="Times New Roman" w:cs="Times New Roman"/>
                <w:b/>
                <w:bCs/>
                <w:color w:val="000000"/>
                <w:sz w:val="14"/>
                <w:szCs w:val="14"/>
              </w:rPr>
              <w:t>109 463 009</w:t>
            </w:r>
          </w:p>
        </w:tc>
        <w:tc>
          <w:tcPr>
            <w:tcW w:w="978" w:type="dxa"/>
            <w:tcBorders>
              <w:top w:val="single" w:sz="4" w:space="0" w:color="auto"/>
              <w:left w:val="nil"/>
              <w:bottom w:val="single" w:sz="4" w:space="0" w:color="auto"/>
              <w:right w:val="single" w:sz="4" w:space="0" w:color="auto"/>
            </w:tcBorders>
            <w:shd w:val="clear" w:color="000000" w:fill="C0C0C0"/>
            <w:vAlign w:val="bottom"/>
            <w:hideMark/>
          </w:tcPr>
          <w:p w:rsidR="007D13F3" w:rsidRPr="00FE0288" w:rsidRDefault="007D13F3" w:rsidP="00465CAC">
            <w:pPr>
              <w:jc w:val="right"/>
              <w:rPr>
                <w:rFonts w:ascii="Times New Roman" w:hAnsi="Times New Roman" w:cs="Times New Roman"/>
                <w:b/>
                <w:bCs/>
                <w:color w:val="000000"/>
                <w:sz w:val="14"/>
                <w:szCs w:val="14"/>
              </w:rPr>
            </w:pPr>
            <w:r w:rsidRPr="00FE0288">
              <w:rPr>
                <w:rFonts w:ascii="Times New Roman" w:hAnsi="Times New Roman" w:cs="Times New Roman"/>
                <w:b/>
                <w:bCs/>
                <w:color w:val="000000"/>
                <w:sz w:val="14"/>
                <w:szCs w:val="14"/>
              </w:rPr>
              <w:t>106 912 696</w:t>
            </w:r>
          </w:p>
        </w:tc>
      </w:tr>
      <w:tr w:rsidR="007D13F3" w:rsidRPr="00F628DB" w:rsidTr="00465CAC">
        <w:trPr>
          <w:trHeight w:val="255"/>
        </w:trPr>
        <w:tc>
          <w:tcPr>
            <w:tcW w:w="2241" w:type="dxa"/>
            <w:tcBorders>
              <w:top w:val="nil"/>
              <w:left w:val="single" w:sz="4" w:space="0" w:color="auto"/>
              <w:bottom w:val="single" w:sz="4" w:space="0" w:color="auto"/>
              <w:right w:val="single" w:sz="4" w:space="0" w:color="auto"/>
            </w:tcBorders>
            <w:noWrap/>
            <w:vAlign w:val="center"/>
            <w:hideMark/>
          </w:tcPr>
          <w:p w:rsidR="007D13F3" w:rsidRPr="00F628DB" w:rsidRDefault="007D13F3" w:rsidP="00465CAC">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xml:space="preserve">     Reprezentácia SR v zahraničí</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b/>
                <w:bCs/>
                <w:sz w:val="14"/>
                <w:szCs w:val="14"/>
              </w:rPr>
            </w:pPr>
            <w:r w:rsidRPr="00D530ED">
              <w:rPr>
                <w:rFonts w:ascii="Times New Roman" w:hAnsi="Times New Roman" w:cs="Times New Roman"/>
                <w:b/>
                <w:bCs/>
                <w:sz w:val="14"/>
                <w:szCs w:val="14"/>
              </w:rPr>
              <w:t>67 334 969</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b/>
                <w:bCs/>
                <w:sz w:val="14"/>
                <w:szCs w:val="14"/>
              </w:rPr>
            </w:pPr>
            <w:r w:rsidRPr="00D530ED">
              <w:rPr>
                <w:rFonts w:ascii="Times New Roman" w:hAnsi="Times New Roman" w:cs="Times New Roman"/>
                <w:b/>
                <w:bCs/>
                <w:sz w:val="14"/>
                <w:szCs w:val="14"/>
              </w:rPr>
              <w:t>70 374 321</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b/>
                <w:bCs/>
                <w:sz w:val="14"/>
                <w:szCs w:val="14"/>
              </w:rPr>
            </w:pPr>
            <w:r w:rsidRPr="00D530ED">
              <w:rPr>
                <w:rFonts w:ascii="Times New Roman" w:hAnsi="Times New Roman" w:cs="Times New Roman"/>
                <w:b/>
                <w:bCs/>
                <w:sz w:val="14"/>
                <w:szCs w:val="14"/>
              </w:rPr>
              <w:t>70 038 733</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b/>
                <w:bCs/>
                <w:sz w:val="14"/>
                <w:szCs w:val="14"/>
              </w:rPr>
            </w:pPr>
            <w:r w:rsidRPr="00FE0288">
              <w:rPr>
                <w:rFonts w:ascii="Times New Roman" w:hAnsi="Times New Roman" w:cs="Times New Roman"/>
                <w:b/>
                <w:bCs/>
                <w:sz w:val="14"/>
                <w:szCs w:val="14"/>
              </w:rPr>
              <w:t>72 183 401</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b/>
                <w:bCs/>
                <w:sz w:val="14"/>
                <w:szCs w:val="14"/>
              </w:rPr>
            </w:pPr>
            <w:r w:rsidRPr="00FE0288">
              <w:rPr>
                <w:rFonts w:ascii="Times New Roman" w:hAnsi="Times New Roman" w:cs="Times New Roman"/>
                <w:b/>
                <w:bCs/>
                <w:sz w:val="14"/>
                <w:szCs w:val="14"/>
              </w:rPr>
              <w:t>74 424 138</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b/>
                <w:bCs/>
                <w:sz w:val="14"/>
                <w:szCs w:val="14"/>
              </w:rPr>
            </w:pPr>
            <w:r w:rsidRPr="00FE0288">
              <w:rPr>
                <w:rFonts w:ascii="Times New Roman" w:hAnsi="Times New Roman" w:cs="Times New Roman"/>
                <w:b/>
                <w:bCs/>
                <w:sz w:val="14"/>
                <w:szCs w:val="14"/>
              </w:rPr>
              <w:t>74 624 082</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b/>
                <w:bCs/>
                <w:sz w:val="14"/>
                <w:szCs w:val="14"/>
              </w:rPr>
            </w:pPr>
            <w:r w:rsidRPr="00FE0288">
              <w:rPr>
                <w:rFonts w:ascii="Times New Roman" w:hAnsi="Times New Roman" w:cs="Times New Roman"/>
                <w:b/>
                <w:bCs/>
                <w:sz w:val="14"/>
                <w:szCs w:val="14"/>
              </w:rPr>
              <w:t>73 721 937</w:t>
            </w:r>
          </w:p>
        </w:tc>
      </w:tr>
      <w:tr w:rsidR="007D13F3" w:rsidRPr="00F628DB" w:rsidTr="00465CAC">
        <w:trPr>
          <w:trHeight w:val="255"/>
        </w:trPr>
        <w:tc>
          <w:tcPr>
            <w:tcW w:w="2241" w:type="dxa"/>
            <w:tcBorders>
              <w:top w:val="nil"/>
              <w:left w:val="single" w:sz="4" w:space="0" w:color="auto"/>
              <w:bottom w:val="single" w:sz="4" w:space="0" w:color="auto"/>
              <w:right w:val="single" w:sz="4" w:space="0" w:color="auto"/>
            </w:tcBorders>
            <w:noWrap/>
            <w:vAlign w:val="center"/>
            <w:hideMark/>
          </w:tcPr>
          <w:p w:rsidR="007D13F3" w:rsidRPr="00F628DB" w:rsidRDefault="007D13F3" w:rsidP="00465CAC">
            <w:pPr>
              <w:rPr>
                <w:rFonts w:ascii="Times New Roman" w:hAnsi="Times New Roman" w:cs="Times New Roman"/>
                <w:sz w:val="14"/>
                <w:szCs w:val="14"/>
                <w:lang w:eastAsia="sk-SK"/>
              </w:rPr>
            </w:pPr>
            <w:r w:rsidRPr="00F628DB">
              <w:rPr>
                <w:rFonts w:ascii="Times New Roman" w:hAnsi="Times New Roman" w:cs="Times New Roman"/>
                <w:sz w:val="14"/>
                <w:szCs w:val="14"/>
                <w:lang w:eastAsia="sk-SK"/>
              </w:rPr>
              <w:t xml:space="preserve">         bežné výdavky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67 334 969</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70 374 321</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70 038 733</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72 183 401</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74 424 138</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74 624 082</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73 721 937</w:t>
            </w:r>
          </w:p>
        </w:tc>
      </w:tr>
      <w:tr w:rsidR="007D13F3" w:rsidRPr="00F628DB" w:rsidTr="00465CAC">
        <w:trPr>
          <w:trHeight w:val="255"/>
        </w:trPr>
        <w:tc>
          <w:tcPr>
            <w:tcW w:w="2241" w:type="dxa"/>
            <w:tcBorders>
              <w:top w:val="nil"/>
              <w:left w:val="single" w:sz="4" w:space="0" w:color="auto"/>
              <w:bottom w:val="single" w:sz="4" w:space="0" w:color="auto"/>
              <w:right w:val="single" w:sz="4" w:space="0" w:color="auto"/>
            </w:tcBorders>
            <w:noWrap/>
            <w:vAlign w:val="center"/>
            <w:hideMark/>
          </w:tcPr>
          <w:p w:rsidR="007D13F3" w:rsidRPr="00F628DB" w:rsidRDefault="007D13F3" w:rsidP="00465CAC">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610 mzdy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36 620 343</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37 296 240</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37 706 092</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38 505 993</w:t>
            </w:r>
          </w:p>
        </w:tc>
        <w:tc>
          <w:tcPr>
            <w:tcW w:w="978" w:type="dxa"/>
            <w:tcBorders>
              <w:top w:val="nil"/>
              <w:left w:val="nil"/>
              <w:bottom w:val="single" w:sz="4" w:space="0" w:color="auto"/>
              <w:right w:val="single" w:sz="4" w:space="0" w:color="auto"/>
            </w:tcBorders>
            <w:shd w:val="clear" w:color="auto" w:fill="auto"/>
            <w:noWrap/>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40 413 407</w:t>
            </w:r>
          </w:p>
        </w:tc>
        <w:tc>
          <w:tcPr>
            <w:tcW w:w="978" w:type="dxa"/>
            <w:tcBorders>
              <w:top w:val="nil"/>
              <w:left w:val="nil"/>
              <w:bottom w:val="single" w:sz="4" w:space="0" w:color="auto"/>
              <w:right w:val="single" w:sz="4" w:space="0" w:color="auto"/>
            </w:tcBorders>
            <w:shd w:val="clear" w:color="auto" w:fill="auto"/>
            <w:noWrap/>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40 487 953</w:t>
            </w:r>
          </w:p>
        </w:tc>
        <w:tc>
          <w:tcPr>
            <w:tcW w:w="978" w:type="dxa"/>
            <w:tcBorders>
              <w:top w:val="nil"/>
              <w:left w:val="nil"/>
              <w:bottom w:val="single" w:sz="4" w:space="0" w:color="auto"/>
              <w:right w:val="single" w:sz="4" w:space="0" w:color="auto"/>
            </w:tcBorders>
            <w:shd w:val="clear" w:color="auto" w:fill="auto"/>
            <w:noWrap/>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39 815 656</w:t>
            </w:r>
          </w:p>
        </w:tc>
      </w:tr>
      <w:tr w:rsidR="007D13F3" w:rsidRPr="00F628DB" w:rsidTr="00465CAC">
        <w:trPr>
          <w:trHeight w:val="255"/>
        </w:trPr>
        <w:tc>
          <w:tcPr>
            <w:tcW w:w="2241" w:type="dxa"/>
            <w:tcBorders>
              <w:top w:val="nil"/>
              <w:left w:val="single" w:sz="4" w:space="0" w:color="auto"/>
              <w:bottom w:val="single" w:sz="4" w:space="0" w:color="auto"/>
              <w:right w:val="single" w:sz="4" w:space="0" w:color="auto"/>
            </w:tcBorders>
            <w:noWrap/>
            <w:vAlign w:val="center"/>
            <w:hideMark/>
          </w:tcPr>
          <w:p w:rsidR="007D13F3" w:rsidRPr="00F628DB" w:rsidRDefault="007D13F3" w:rsidP="00465CAC">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620 odvody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10 080 062</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10 419 599</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9 799 325</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9 879 115</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10 840 653</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10 966 051</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10 736 203</w:t>
            </w:r>
          </w:p>
        </w:tc>
      </w:tr>
      <w:tr w:rsidR="007D13F3" w:rsidRPr="00F628DB" w:rsidTr="00465CAC">
        <w:trPr>
          <w:trHeight w:val="255"/>
        </w:trPr>
        <w:tc>
          <w:tcPr>
            <w:tcW w:w="2241" w:type="dxa"/>
            <w:tcBorders>
              <w:top w:val="nil"/>
              <w:left w:val="single" w:sz="4" w:space="0" w:color="auto"/>
              <w:bottom w:val="single" w:sz="4" w:space="0" w:color="auto"/>
              <w:right w:val="single" w:sz="4" w:space="0" w:color="auto"/>
            </w:tcBorders>
            <w:noWrap/>
            <w:vAlign w:val="center"/>
            <w:hideMark/>
          </w:tcPr>
          <w:p w:rsidR="007D13F3" w:rsidRPr="00F628DB" w:rsidRDefault="007D13F3" w:rsidP="00465CAC">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630 tovary a služby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20 621 234</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22 634 312</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22 528 316</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23 793 293</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23 165 078</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23 165 078</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23 165 078</w:t>
            </w:r>
          </w:p>
        </w:tc>
      </w:tr>
      <w:tr w:rsidR="007D13F3" w:rsidRPr="00F628DB" w:rsidTr="00465CAC">
        <w:trPr>
          <w:trHeight w:val="255"/>
        </w:trPr>
        <w:tc>
          <w:tcPr>
            <w:tcW w:w="2241" w:type="dxa"/>
            <w:tcBorders>
              <w:top w:val="nil"/>
              <w:left w:val="single" w:sz="4" w:space="0" w:color="auto"/>
              <w:bottom w:val="single" w:sz="4" w:space="0" w:color="auto"/>
              <w:right w:val="single" w:sz="4" w:space="0" w:color="auto"/>
            </w:tcBorders>
            <w:noWrap/>
            <w:vAlign w:val="center"/>
            <w:hideMark/>
          </w:tcPr>
          <w:p w:rsidR="007D13F3" w:rsidRPr="00F628DB" w:rsidRDefault="007D13F3" w:rsidP="00465CAC">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640 bežné transfery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13 330</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24 170</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5 000</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5 000</w:t>
            </w:r>
          </w:p>
        </w:tc>
      </w:tr>
      <w:tr w:rsidR="007D13F3" w:rsidRPr="00F628DB" w:rsidTr="00465CAC">
        <w:trPr>
          <w:trHeight w:val="255"/>
        </w:trPr>
        <w:tc>
          <w:tcPr>
            <w:tcW w:w="2241" w:type="dxa"/>
            <w:tcBorders>
              <w:top w:val="nil"/>
              <w:left w:val="single" w:sz="4" w:space="0" w:color="auto"/>
              <w:bottom w:val="single" w:sz="4" w:space="0" w:color="auto"/>
              <w:right w:val="single" w:sz="4" w:space="0" w:color="auto"/>
            </w:tcBorders>
            <w:noWrap/>
            <w:vAlign w:val="center"/>
            <w:hideMark/>
          </w:tcPr>
          <w:p w:rsidR="007D13F3" w:rsidRPr="00F628DB" w:rsidRDefault="007D13F3" w:rsidP="00465CAC">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xml:space="preserve">     Tvorba a implementácia politík</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b/>
                <w:bCs/>
                <w:sz w:val="14"/>
                <w:szCs w:val="14"/>
                <w:lang w:eastAsia="sk-SK"/>
              </w:rPr>
            </w:pPr>
            <w:r w:rsidRPr="00D530ED">
              <w:rPr>
                <w:rFonts w:ascii="Times New Roman" w:hAnsi="Times New Roman" w:cs="Times New Roman"/>
                <w:b/>
                <w:bCs/>
                <w:sz w:val="14"/>
                <w:szCs w:val="14"/>
              </w:rPr>
              <w:t>39 116 000</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b/>
                <w:bCs/>
                <w:sz w:val="14"/>
                <w:szCs w:val="14"/>
              </w:rPr>
            </w:pPr>
            <w:r w:rsidRPr="00D530ED">
              <w:rPr>
                <w:rFonts w:ascii="Times New Roman" w:hAnsi="Times New Roman" w:cs="Times New Roman"/>
                <w:b/>
                <w:bCs/>
                <w:sz w:val="14"/>
                <w:szCs w:val="14"/>
              </w:rPr>
              <w:t>44 170 000</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b/>
                <w:bCs/>
                <w:sz w:val="14"/>
                <w:szCs w:val="14"/>
              </w:rPr>
            </w:pPr>
            <w:r w:rsidRPr="00D530ED">
              <w:rPr>
                <w:rFonts w:ascii="Times New Roman" w:hAnsi="Times New Roman" w:cs="Times New Roman"/>
                <w:b/>
                <w:bCs/>
                <w:sz w:val="14"/>
                <w:szCs w:val="14"/>
              </w:rPr>
              <w:t>34 228 126</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b/>
                <w:bCs/>
                <w:sz w:val="14"/>
                <w:szCs w:val="14"/>
                <w:lang w:eastAsia="sk-SK"/>
              </w:rPr>
            </w:pPr>
            <w:r w:rsidRPr="00FE0288">
              <w:rPr>
                <w:rFonts w:ascii="Times New Roman" w:hAnsi="Times New Roman" w:cs="Times New Roman"/>
                <w:b/>
                <w:bCs/>
                <w:sz w:val="14"/>
                <w:szCs w:val="14"/>
              </w:rPr>
              <w:t>32 260 379</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b/>
                <w:bCs/>
                <w:sz w:val="14"/>
                <w:szCs w:val="14"/>
              </w:rPr>
            </w:pPr>
            <w:r w:rsidRPr="00FE0288">
              <w:rPr>
                <w:rFonts w:ascii="Times New Roman" w:hAnsi="Times New Roman" w:cs="Times New Roman"/>
                <w:b/>
                <w:bCs/>
                <w:sz w:val="14"/>
                <w:szCs w:val="14"/>
              </w:rPr>
              <w:t>36 046 311</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b/>
                <w:bCs/>
                <w:sz w:val="14"/>
                <w:szCs w:val="14"/>
              </w:rPr>
            </w:pPr>
            <w:r w:rsidRPr="00FE0288">
              <w:rPr>
                <w:rFonts w:ascii="Times New Roman" w:hAnsi="Times New Roman" w:cs="Times New Roman"/>
                <w:b/>
                <w:bCs/>
                <w:sz w:val="14"/>
                <w:szCs w:val="14"/>
              </w:rPr>
              <w:t>34 838 927</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b/>
                <w:bCs/>
                <w:sz w:val="14"/>
                <w:szCs w:val="14"/>
              </w:rPr>
            </w:pPr>
            <w:r w:rsidRPr="00FE0288">
              <w:rPr>
                <w:rFonts w:ascii="Times New Roman" w:hAnsi="Times New Roman" w:cs="Times New Roman"/>
                <w:b/>
                <w:bCs/>
                <w:sz w:val="14"/>
                <w:szCs w:val="14"/>
              </w:rPr>
              <w:t>33 190 759</w:t>
            </w:r>
          </w:p>
        </w:tc>
      </w:tr>
      <w:tr w:rsidR="007D13F3" w:rsidRPr="00F628DB" w:rsidTr="00465CAC">
        <w:trPr>
          <w:trHeight w:val="255"/>
        </w:trPr>
        <w:tc>
          <w:tcPr>
            <w:tcW w:w="2241" w:type="dxa"/>
            <w:tcBorders>
              <w:top w:val="nil"/>
              <w:left w:val="single" w:sz="4" w:space="0" w:color="auto"/>
              <w:bottom w:val="single" w:sz="4" w:space="0" w:color="auto"/>
              <w:right w:val="single" w:sz="4" w:space="0" w:color="auto"/>
            </w:tcBorders>
            <w:noWrap/>
            <w:vAlign w:val="center"/>
            <w:hideMark/>
          </w:tcPr>
          <w:p w:rsidR="007D13F3" w:rsidRPr="00F628DB" w:rsidRDefault="007D13F3" w:rsidP="00465CAC">
            <w:pPr>
              <w:rPr>
                <w:rFonts w:ascii="Times New Roman" w:hAnsi="Times New Roman" w:cs="Times New Roman"/>
                <w:sz w:val="14"/>
                <w:szCs w:val="14"/>
                <w:lang w:eastAsia="sk-SK"/>
              </w:rPr>
            </w:pPr>
            <w:r w:rsidRPr="00F628DB">
              <w:rPr>
                <w:rFonts w:ascii="Times New Roman" w:hAnsi="Times New Roman" w:cs="Times New Roman"/>
                <w:sz w:val="14"/>
                <w:szCs w:val="14"/>
                <w:lang w:eastAsia="sk-SK"/>
              </w:rPr>
              <w:t xml:space="preserve">         bežné výdavky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32 423 472</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32 707 365</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28 398 126</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26 430 379</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32 546 311</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31 338 927</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29 690 759</w:t>
            </w:r>
          </w:p>
        </w:tc>
      </w:tr>
      <w:tr w:rsidR="007D13F3" w:rsidRPr="00F628DB" w:rsidTr="00465CAC">
        <w:trPr>
          <w:trHeight w:val="255"/>
        </w:trPr>
        <w:tc>
          <w:tcPr>
            <w:tcW w:w="2241" w:type="dxa"/>
            <w:tcBorders>
              <w:top w:val="nil"/>
              <w:left w:val="single" w:sz="4" w:space="0" w:color="auto"/>
              <w:bottom w:val="single" w:sz="4" w:space="0" w:color="auto"/>
              <w:right w:val="single" w:sz="4" w:space="0" w:color="auto"/>
            </w:tcBorders>
            <w:noWrap/>
            <w:vAlign w:val="center"/>
            <w:hideMark/>
          </w:tcPr>
          <w:p w:rsidR="007D13F3" w:rsidRPr="00F628DB" w:rsidRDefault="007D13F3" w:rsidP="00465CAC">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610 mzdy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9 738 770</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9 993 498</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9 480 436</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9 389 795</w:t>
            </w:r>
          </w:p>
        </w:tc>
        <w:tc>
          <w:tcPr>
            <w:tcW w:w="978" w:type="dxa"/>
            <w:tcBorders>
              <w:top w:val="nil"/>
              <w:left w:val="nil"/>
              <w:bottom w:val="single" w:sz="4" w:space="0" w:color="auto"/>
              <w:right w:val="single" w:sz="4" w:space="0" w:color="auto"/>
            </w:tcBorders>
            <w:shd w:val="clear" w:color="auto" w:fill="auto"/>
            <w:noWrap/>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9 952 663</w:t>
            </w:r>
          </w:p>
        </w:tc>
        <w:tc>
          <w:tcPr>
            <w:tcW w:w="978" w:type="dxa"/>
            <w:tcBorders>
              <w:top w:val="nil"/>
              <w:left w:val="nil"/>
              <w:bottom w:val="single" w:sz="4" w:space="0" w:color="auto"/>
              <w:right w:val="single" w:sz="4" w:space="0" w:color="auto"/>
            </w:tcBorders>
            <w:shd w:val="clear" w:color="auto" w:fill="auto"/>
            <w:noWrap/>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10 128 895</w:t>
            </w:r>
          </w:p>
        </w:tc>
        <w:tc>
          <w:tcPr>
            <w:tcW w:w="978" w:type="dxa"/>
            <w:tcBorders>
              <w:top w:val="nil"/>
              <w:left w:val="nil"/>
              <w:bottom w:val="single" w:sz="4" w:space="0" w:color="auto"/>
              <w:right w:val="single" w:sz="4" w:space="0" w:color="auto"/>
            </w:tcBorders>
            <w:shd w:val="clear" w:color="auto" w:fill="auto"/>
            <w:noWrap/>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9 550 899</w:t>
            </w:r>
          </w:p>
        </w:tc>
      </w:tr>
      <w:tr w:rsidR="007D13F3" w:rsidRPr="00F628DB" w:rsidTr="00465CAC">
        <w:trPr>
          <w:trHeight w:val="255"/>
        </w:trPr>
        <w:tc>
          <w:tcPr>
            <w:tcW w:w="2241" w:type="dxa"/>
            <w:tcBorders>
              <w:top w:val="nil"/>
              <w:left w:val="single" w:sz="4" w:space="0" w:color="auto"/>
              <w:bottom w:val="single" w:sz="4" w:space="0" w:color="auto"/>
              <w:right w:val="single" w:sz="4" w:space="0" w:color="auto"/>
            </w:tcBorders>
            <w:noWrap/>
            <w:vAlign w:val="center"/>
            <w:hideMark/>
          </w:tcPr>
          <w:p w:rsidR="007D13F3" w:rsidRPr="00F628DB" w:rsidRDefault="007D13F3" w:rsidP="00465CAC">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620 odvody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3 672 657</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3 764 075</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3 493 163</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3 637 706</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5 837 403</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5 867 885</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5 666 048</w:t>
            </w:r>
          </w:p>
        </w:tc>
      </w:tr>
      <w:tr w:rsidR="007D13F3" w:rsidRPr="00F628DB" w:rsidTr="00465CAC">
        <w:trPr>
          <w:trHeight w:val="255"/>
        </w:trPr>
        <w:tc>
          <w:tcPr>
            <w:tcW w:w="2241" w:type="dxa"/>
            <w:tcBorders>
              <w:top w:val="nil"/>
              <w:left w:val="single" w:sz="4" w:space="0" w:color="auto"/>
              <w:bottom w:val="single" w:sz="4" w:space="0" w:color="auto"/>
              <w:right w:val="single" w:sz="4" w:space="0" w:color="auto"/>
            </w:tcBorders>
            <w:noWrap/>
            <w:vAlign w:val="center"/>
            <w:hideMark/>
          </w:tcPr>
          <w:p w:rsidR="007D13F3" w:rsidRPr="00F628DB" w:rsidRDefault="007D13F3" w:rsidP="00465CAC">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630 tovary a služby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15 871 249</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15 570 835</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13 151 174</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11 899 025</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15 238 925</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13 900 827</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13 032 492</w:t>
            </w:r>
          </w:p>
        </w:tc>
      </w:tr>
      <w:tr w:rsidR="007D13F3" w:rsidRPr="00F628DB" w:rsidTr="00465CAC">
        <w:trPr>
          <w:trHeight w:val="255"/>
        </w:trPr>
        <w:tc>
          <w:tcPr>
            <w:tcW w:w="2241" w:type="dxa"/>
            <w:tcBorders>
              <w:top w:val="nil"/>
              <w:left w:val="single" w:sz="4" w:space="0" w:color="auto"/>
              <w:bottom w:val="single" w:sz="4" w:space="0" w:color="auto"/>
              <w:right w:val="single" w:sz="4" w:space="0" w:color="auto"/>
            </w:tcBorders>
            <w:noWrap/>
            <w:vAlign w:val="center"/>
            <w:hideMark/>
          </w:tcPr>
          <w:p w:rsidR="007D13F3" w:rsidRPr="00F628DB" w:rsidRDefault="007D13F3" w:rsidP="00465CAC">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640 bežné transfery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3 140 796</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3 378 957</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2 273 353</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1 503 853</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1 517 320</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1 441 320</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1 441 320</w:t>
            </w:r>
          </w:p>
        </w:tc>
      </w:tr>
      <w:tr w:rsidR="007D13F3" w:rsidRPr="00F628DB" w:rsidTr="00465CAC">
        <w:trPr>
          <w:trHeight w:val="255"/>
        </w:trPr>
        <w:tc>
          <w:tcPr>
            <w:tcW w:w="2241" w:type="dxa"/>
            <w:tcBorders>
              <w:top w:val="nil"/>
              <w:left w:val="single" w:sz="4" w:space="0" w:color="auto"/>
              <w:bottom w:val="single" w:sz="4" w:space="0" w:color="auto"/>
              <w:right w:val="single" w:sz="4" w:space="0" w:color="auto"/>
            </w:tcBorders>
            <w:noWrap/>
            <w:vAlign w:val="center"/>
            <w:hideMark/>
          </w:tcPr>
          <w:p w:rsidR="007D13F3" w:rsidRPr="00F628DB" w:rsidRDefault="007D13F3" w:rsidP="00465CAC">
            <w:pPr>
              <w:rPr>
                <w:rFonts w:ascii="Times New Roman" w:hAnsi="Times New Roman" w:cs="Times New Roman"/>
                <w:sz w:val="14"/>
                <w:szCs w:val="14"/>
                <w:lang w:eastAsia="sk-SK"/>
              </w:rPr>
            </w:pPr>
            <w:r w:rsidRPr="00F628DB">
              <w:rPr>
                <w:rFonts w:ascii="Times New Roman" w:hAnsi="Times New Roman" w:cs="Times New Roman"/>
                <w:sz w:val="14"/>
                <w:szCs w:val="14"/>
                <w:lang w:eastAsia="sk-SK"/>
              </w:rPr>
              <w:t xml:space="preserve">        kapitálové výdavky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6 692 528</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11 462 635</w:t>
            </w:r>
          </w:p>
        </w:tc>
        <w:tc>
          <w:tcPr>
            <w:tcW w:w="978" w:type="dxa"/>
            <w:tcBorders>
              <w:top w:val="nil"/>
              <w:left w:val="nil"/>
              <w:bottom w:val="single" w:sz="4" w:space="0" w:color="auto"/>
              <w:right w:val="single" w:sz="4" w:space="0" w:color="auto"/>
            </w:tcBorders>
            <w:shd w:val="clear" w:color="auto" w:fill="auto"/>
            <w:vAlign w:val="bottom"/>
            <w:hideMark/>
          </w:tcPr>
          <w:p w:rsidR="007D13F3" w:rsidRPr="00D530ED" w:rsidRDefault="007D13F3" w:rsidP="00465CAC">
            <w:pPr>
              <w:jc w:val="right"/>
              <w:rPr>
                <w:rFonts w:ascii="Times New Roman" w:hAnsi="Times New Roman" w:cs="Times New Roman"/>
                <w:sz w:val="14"/>
                <w:szCs w:val="14"/>
              </w:rPr>
            </w:pPr>
            <w:r w:rsidRPr="00D530ED">
              <w:rPr>
                <w:rFonts w:ascii="Times New Roman" w:hAnsi="Times New Roman" w:cs="Times New Roman"/>
                <w:sz w:val="14"/>
                <w:szCs w:val="14"/>
              </w:rPr>
              <w:t>5 830 000</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5 830 000</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3 500 000</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3 500 000</w:t>
            </w:r>
          </w:p>
        </w:tc>
        <w:tc>
          <w:tcPr>
            <w:tcW w:w="978" w:type="dxa"/>
            <w:tcBorders>
              <w:top w:val="nil"/>
              <w:left w:val="nil"/>
              <w:bottom w:val="single" w:sz="4" w:space="0" w:color="auto"/>
              <w:right w:val="single" w:sz="4" w:space="0" w:color="auto"/>
            </w:tcBorders>
            <w:shd w:val="clear" w:color="auto" w:fill="auto"/>
            <w:vAlign w:val="bottom"/>
            <w:hideMark/>
          </w:tcPr>
          <w:p w:rsidR="007D13F3" w:rsidRPr="00FE0288" w:rsidRDefault="007D13F3" w:rsidP="00465CAC">
            <w:pPr>
              <w:jc w:val="right"/>
              <w:rPr>
                <w:rFonts w:ascii="Times New Roman" w:hAnsi="Times New Roman" w:cs="Times New Roman"/>
                <w:sz w:val="14"/>
                <w:szCs w:val="14"/>
              </w:rPr>
            </w:pPr>
            <w:r w:rsidRPr="00FE0288">
              <w:rPr>
                <w:rFonts w:ascii="Times New Roman" w:hAnsi="Times New Roman" w:cs="Times New Roman"/>
                <w:sz w:val="14"/>
                <w:szCs w:val="14"/>
              </w:rPr>
              <w:t>3 500 000</w:t>
            </w:r>
          </w:p>
        </w:tc>
      </w:tr>
    </w:tbl>
    <w:p w:rsidR="007D13F3" w:rsidRDefault="007D13F3" w:rsidP="007D13F3">
      <w:pPr>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A85E76">
        <w:rPr>
          <w:rFonts w:ascii="Times New Roman" w:hAnsi="Times New Roman" w:cs="Times New Roman"/>
        </w:rPr>
        <w:t xml:space="preserve">V rámci výdavkov na zahraničnú politiku sa rozpočtujú prostriedky predovšetkým na zastupiteľské úrady SR v zahraničí, v rámci ktorých sa okrem osobných výdavkov zahraničnej služby rozpočtuje prenájom bytov, administratívnych budov, rezidencií, lekárske prehliadky počas výkonu zahraničnej služby, školné a zápisné pre deti zamestnancov zahraničnej služby. Ďalšie výdavky na zahraničnú politiku sú rozpísané pre slovenské inštitúty v zahraničí, kde sa okrem osobných výdavkov zabezpečujú najmä výdavky súvisiace s reprezentáciou </w:t>
      </w:r>
      <w:r>
        <w:rPr>
          <w:rFonts w:ascii="Times New Roman" w:hAnsi="Times New Roman" w:cs="Times New Roman"/>
        </w:rPr>
        <w:br/>
      </w:r>
      <w:r w:rsidRPr="00A85E76">
        <w:rPr>
          <w:rFonts w:ascii="Times New Roman" w:hAnsi="Times New Roman" w:cs="Times New Roman"/>
        </w:rPr>
        <w:t>a propagáciou SR v zahraničí pri usporiadaní výstav, k</w:t>
      </w:r>
      <w:r>
        <w:rPr>
          <w:rFonts w:ascii="Times New Roman" w:hAnsi="Times New Roman" w:cs="Times New Roman"/>
        </w:rPr>
        <w:t>ultúrnych podujatí a programov.</w:t>
      </w:r>
    </w:p>
    <w:p w:rsidR="007D13F3" w:rsidRPr="00A47FEB" w:rsidRDefault="007D13F3" w:rsidP="007D13F3">
      <w:pPr>
        <w:ind w:firstLine="708"/>
        <w:jc w:val="both"/>
        <w:rPr>
          <w:rFonts w:ascii="Times New Roman" w:hAnsi="Times New Roman" w:cs="Times New Roman"/>
          <w:sz w:val="16"/>
          <w:szCs w:val="16"/>
        </w:rPr>
      </w:pPr>
    </w:p>
    <w:p w:rsidR="007D13F3" w:rsidRDefault="007D13F3" w:rsidP="007D13F3">
      <w:pPr>
        <w:ind w:firstLine="708"/>
        <w:jc w:val="both"/>
        <w:rPr>
          <w:rFonts w:ascii="Times New Roman" w:hAnsi="Times New Roman" w:cs="Times New Roman"/>
        </w:rPr>
      </w:pPr>
      <w:r w:rsidRPr="0070140D">
        <w:rPr>
          <w:rFonts w:ascii="Times New Roman" w:hAnsi="Times New Roman" w:cs="Times New Roman"/>
        </w:rPr>
        <w:t xml:space="preserve">Pre ústredie </w:t>
      </w:r>
      <w:proofErr w:type="spellStart"/>
      <w:r w:rsidRPr="0070140D">
        <w:rPr>
          <w:rFonts w:ascii="Times New Roman" w:hAnsi="Times New Roman" w:cs="Times New Roman"/>
        </w:rPr>
        <w:t>MZVaEZ</w:t>
      </w:r>
      <w:proofErr w:type="spellEnd"/>
      <w:r w:rsidRPr="0070140D">
        <w:rPr>
          <w:rFonts w:ascii="Times New Roman" w:hAnsi="Times New Roman" w:cs="Times New Roman"/>
        </w:rPr>
        <w:t xml:space="preserve"> SR je okrem osobných výdavkov a prostriedkov na prevádzku rozpočtovaný aj transfer pre príspevkovú organizáciu SÚZA vo výške 1,22 mil. eur. V bežných transferoch sa rozpočtujú aj výdavky na dotácie </w:t>
      </w:r>
      <w:r>
        <w:rPr>
          <w:rFonts w:ascii="Times New Roman" w:hAnsi="Times New Roman" w:cs="Times New Roman"/>
        </w:rPr>
        <w:t xml:space="preserve">v pôsobnosti </w:t>
      </w:r>
      <w:proofErr w:type="spellStart"/>
      <w:r>
        <w:rPr>
          <w:rFonts w:ascii="Times New Roman" w:hAnsi="Times New Roman" w:cs="Times New Roman"/>
        </w:rPr>
        <w:t>MZVaEZ</w:t>
      </w:r>
      <w:proofErr w:type="spellEnd"/>
      <w:r>
        <w:rPr>
          <w:rFonts w:ascii="Times New Roman" w:hAnsi="Times New Roman" w:cs="Times New Roman"/>
        </w:rPr>
        <w:t xml:space="preserve"> SR </w:t>
      </w:r>
      <w:r w:rsidRPr="0070140D">
        <w:rPr>
          <w:rFonts w:ascii="Times New Roman" w:hAnsi="Times New Roman" w:cs="Times New Roman"/>
        </w:rPr>
        <w:t>poskytované tretiemu sektoru v objeme 119 tis. eur</w:t>
      </w:r>
      <w:r>
        <w:rPr>
          <w:rFonts w:ascii="Times New Roman" w:hAnsi="Times New Roman" w:cs="Times New Roman"/>
        </w:rPr>
        <w:t xml:space="preserve"> na výskum, odborno-vzdelávacie podujatia a na vydávanie periodík v oblasti zahraničnej politiky</w:t>
      </w:r>
      <w:r w:rsidRPr="0070140D">
        <w:rPr>
          <w:rFonts w:ascii="Times New Roman" w:hAnsi="Times New Roman" w:cs="Times New Roman"/>
        </w:rPr>
        <w:t>.</w:t>
      </w:r>
    </w:p>
    <w:p w:rsidR="007D13F3" w:rsidRPr="00A47FEB" w:rsidRDefault="007D13F3" w:rsidP="007D13F3">
      <w:pPr>
        <w:jc w:val="both"/>
        <w:rPr>
          <w:rFonts w:ascii="Times New Roman" w:hAnsi="Times New Roman" w:cs="Times New Roman"/>
          <w:sz w:val="16"/>
          <w:szCs w:val="16"/>
        </w:rPr>
      </w:pPr>
    </w:p>
    <w:p w:rsidR="007D13F3" w:rsidRPr="00F628DB" w:rsidRDefault="007D13F3" w:rsidP="007D13F3">
      <w:pPr>
        <w:ind w:left="45"/>
        <w:jc w:val="both"/>
        <w:rPr>
          <w:rFonts w:ascii="Times New Roman" w:hAnsi="Times New Roman" w:cs="Times New Roman"/>
          <w:b/>
        </w:rPr>
      </w:pPr>
      <w:r w:rsidRPr="00F628DB">
        <w:rPr>
          <w:rFonts w:ascii="Times New Roman" w:hAnsi="Times New Roman" w:cs="Times New Roman"/>
          <w:b/>
        </w:rPr>
        <w:t>Rozvojová spolupráca</w:t>
      </w:r>
    </w:p>
    <w:p w:rsidR="007D13F3" w:rsidRPr="00A47FEB" w:rsidRDefault="007D13F3" w:rsidP="007D13F3">
      <w:pPr>
        <w:ind w:left="45"/>
        <w:jc w:val="both"/>
        <w:rPr>
          <w:rFonts w:ascii="Times New Roman" w:hAnsi="Times New Roman" w:cs="Times New Roman"/>
          <w:sz w:val="16"/>
          <w:szCs w:val="16"/>
        </w:rPr>
      </w:pPr>
    </w:p>
    <w:tbl>
      <w:tblPr>
        <w:tblW w:w="9086" w:type="dxa"/>
        <w:tblInd w:w="56" w:type="dxa"/>
        <w:tblLayout w:type="fixed"/>
        <w:tblCellMar>
          <w:left w:w="70" w:type="dxa"/>
          <w:right w:w="70" w:type="dxa"/>
        </w:tblCellMar>
        <w:tblLook w:val="04A0" w:firstRow="1" w:lastRow="0" w:firstColumn="1" w:lastColumn="0" w:noHBand="0" w:noVBand="1"/>
      </w:tblPr>
      <w:tblGrid>
        <w:gridCol w:w="2566"/>
        <w:gridCol w:w="931"/>
        <w:gridCol w:w="931"/>
        <w:gridCol w:w="932"/>
        <w:gridCol w:w="931"/>
        <w:gridCol w:w="932"/>
        <w:gridCol w:w="931"/>
        <w:gridCol w:w="932"/>
      </w:tblGrid>
      <w:tr w:rsidR="007D13F3" w:rsidRPr="00F628DB" w:rsidTr="00465CAC">
        <w:trPr>
          <w:trHeight w:val="255"/>
        </w:trPr>
        <w:tc>
          <w:tcPr>
            <w:tcW w:w="2566"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D13F3" w:rsidRPr="00F628DB" w:rsidRDefault="007D13F3" w:rsidP="00465CAC">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v eurách</w:t>
            </w:r>
          </w:p>
        </w:tc>
        <w:tc>
          <w:tcPr>
            <w:tcW w:w="931"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7D13F3" w:rsidRPr="00D530ED" w:rsidRDefault="007D13F3" w:rsidP="00465CAC">
            <w:pPr>
              <w:jc w:val="center"/>
              <w:rPr>
                <w:rFonts w:ascii="Times New Roman" w:hAnsi="Times New Roman" w:cs="Times New Roman"/>
                <w:b/>
                <w:bCs/>
                <w:color w:val="000000"/>
                <w:sz w:val="14"/>
                <w:szCs w:val="14"/>
                <w:lang w:eastAsia="sk-SK"/>
              </w:rPr>
            </w:pPr>
            <w:r w:rsidRPr="00D530ED">
              <w:rPr>
                <w:rFonts w:ascii="Times New Roman" w:hAnsi="Times New Roman" w:cs="Times New Roman"/>
                <w:b/>
                <w:bCs/>
                <w:color w:val="000000"/>
                <w:sz w:val="14"/>
                <w:szCs w:val="14"/>
              </w:rPr>
              <w:t>2015 S</w:t>
            </w:r>
          </w:p>
        </w:tc>
        <w:tc>
          <w:tcPr>
            <w:tcW w:w="931" w:type="dxa"/>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sz w:val="14"/>
                <w:szCs w:val="14"/>
              </w:rPr>
            </w:pPr>
            <w:r w:rsidRPr="00D530ED">
              <w:rPr>
                <w:rFonts w:ascii="Times New Roman" w:hAnsi="Times New Roman" w:cs="Times New Roman"/>
                <w:b/>
                <w:bCs/>
                <w:sz w:val="14"/>
                <w:szCs w:val="14"/>
              </w:rPr>
              <w:t>2016 S</w:t>
            </w:r>
          </w:p>
        </w:tc>
        <w:tc>
          <w:tcPr>
            <w:tcW w:w="932" w:type="dxa"/>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sz w:val="14"/>
                <w:szCs w:val="14"/>
              </w:rPr>
            </w:pPr>
            <w:r w:rsidRPr="00D530ED">
              <w:rPr>
                <w:rFonts w:ascii="Times New Roman" w:hAnsi="Times New Roman" w:cs="Times New Roman"/>
                <w:b/>
                <w:bCs/>
                <w:sz w:val="14"/>
                <w:szCs w:val="14"/>
              </w:rPr>
              <w:t>2017 R</w:t>
            </w:r>
          </w:p>
        </w:tc>
        <w:tc>
          <w:tcPr>
            <w:tcW w:w="931" w:type="dxa"/>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2017 OS</w:t>
            </w:r>
          </w:p>
        </w:tc>
        <w:tc>
          <w:tcPr>
            <w:tcW w:w="932" w:type="dxa"/>
            <w:tcBorders>
              <w:top w:val="single" w:sz="4" w:space="0" w:color="auto"/>
              <w:left w:val="nil"/>
              <w:bottom w:val="single" w:sz="4" w:space="0" w:color="auto"/>
              <w:right w:val="single" w:sz="4" w:space="0" w:color="auto"/>
            </w:tcBorders>
            <w:shd w:val="clear" w:color="000000" w:fill="A6A6A6"/>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 xml:space="preserve">2018 </w:t>
            </w:r>
            <w:r>
              <w:rPr>
                <w:rFonts w:ascii="Times New Roman" w:hAnsi="Times New Roman" w:cs="Times New Roman"/>
                <w:b/>
                <w:bCs/>
                <w:color w:val="000000"/>
                <w:sz w:val="14"/>
                <w:szCs w:val="14"/>
              </w:rPr>
              <w:t>N</w:t>
            </w:r>
          </w:p>
        </w:tc>
        <w:tc>
          <w:tcPr>
            <w:tcW w:w="931" w:type="dxa"/>
            <w:tcBorders>
              <w:top w:val="single" w:sz="4" w:space="0" w:color="auto"/>
              <w:left w:val="nil"/>
              <w:bottom w:val="single" w:sz="4" w:space="0" w:color="auto"/>
              <w:right w:val="single" w:sz="4" w:space="0" w:color="auto"/>
            </w:tcBorders>
            <w:shd w:val="clear" w:color="000000" w:fill="A6A6A6"/>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 xml:space="preserve">2019 </w:t>
            </w:r>
            <w:r>
              <w:rPr>
                <w:rFonts w:ascii="Times New Roman" w:hAnsi="Times New Roman" w:cs="Times New Roman"/>
                <w:b/>
                <w:bCs/>
                <w:color w:val="000000"/>
                <w:sz w:val="14"/>
                <w:szCs w:val="14"/>
              </w:rPr>
              <w:t>N</w:t>
            </w:r>
          </w:p>
        </w:tc>
        <w:tc>
          <w:tcPr>
            <w:tcW w:w="932" w:type="dxa"/>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 xml:space="preserve">2020 </w:t>
            </w:r>
            <w:r>
              <w:rPr>
                <w:rFonts w:ascii="Times New Roman" w:hAnsi="Times New Roman" w:cs="Times New Roman"/>
                <w:b/>
                <w:bCs/>
                <w:color w:val="000000"/>
                <w:sz w:val="14"/>
                <w:szCs w:val="14"/>
              </w:rPr>
              <w:t>N</w:t>
            </w:r>
          </w:p>
        </w:tc>
      </w:tr>
      <w:tr w:rsidR="007D13F3" w:rsidRPr="00F628DB" w:rsidTr="00465CAC">
        <w:trPr>
          <w:trHeight w:val="255"/>
        </w:trPr>
        <w:tc>
          <w:tcPr>
            <w:tcW w:w="2566" w:type="dxa"/>
            <w:tcBorders>
              <w:top w:val="nil"/>
              <w:left w:val="single" w:sz="4" w:space="0" w:color="auto"/>
              <w:bottom w:val="single" w:sz="4" w:space="0" w:color="auto"/>
              <w:right w:val="single" w:sz="4" w:space="0" w:color="auto"/>
            </w:tcBorders>
            <w:shd w:val="clear" w:color="auto" w:fill="BFBFBF"/>
            <w:noWrap/>
            <w:vAlign w:val="center"/>
            <w:hideMark/>
          </w:tcPr>
          <w:p w:rsidR="007D13F3" w:rsidRPr="00F628DB" w:rsidRDefault="007D13F3" w:rsidP="00465CAC">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Rozvojová spolupráca</w:t>
            </w:r>
          </w:p>
        </w:tc>
        <w:tc>
          <w:tcPr>
            <w:tcW w:w="93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7D13F3" w:rsidRPr="001D7234" w:rsidRDefault="007D13F3" w:rsidP="00465CAC">
            <w:pPr>
              <w:jc w:val="right"/>
              <w:rPr>
                <w:rFonts w:ascii="Times New Roman" w:hAnsi="Times New Roman" w:cs="Times New Roman"/>
                <w:b/>
                <w:bCs/>
                <w:sz w:val="14"/>
                <w:szCs w:val="14"/>
                <w:lang w:eastAsia="sk-SK"/>
              </w:rPr>
            </w:pPr>
            <w:r w:rsidRPr="001D7234">
              <w:rPr>
                <w:rFonts w:ascii="Times New Roman" w:hAnsi="Times New Roman" w:cs="Times New Roman"/>
                <w:b/>
                <w:bCs/>
                <w:sz w:val="14"/>
                <w:szCs w:val="14"/>
              </w:rPr>
              <w:t>5 118 143</w:t>
            </w:r>
          </w:p>
        </w:tc>
        <w:tc>
          <w:tcPr>
            <w:tcW w:w="931" w:type="dxa"/>
            <w:tcBorders>
              <w:top w:val="single" w:sz="4" w:space="0" w:color="auto"/>
              <w:left w:val="nil"/>
              <w:bottom w:val="single" w:sz="4" w:space="0" w:color="auto"/>
              <w:right w:val="single" w:sz="4" w:space="0" w:color="auto"/>
            </w:tcBorders>
            <w:shd w:val="clear" w:color="000000" w:fill="BFBFBF"/>
            <w:vAlign w:val="bottom"/>
            <w:hideMark/>
          </w:tcPr>
          <w:p w:rsidR="007D13F3" w:rsidRPr="001D7234" w:rsidRDefault="007D13F3" w:rsidP="00465CAC">
            <w:pPr>
              <w:jc w:val="right"/>
              <w:rPr>
                <w:rFonts w:ascii="Times New Roman" w:hAnsi="Times New Roman" w:cs="Times New Roman"/>
                <w:b/>
                <w:bCs/>
                <w:sz w:val="14"/>
                <w:szCs w:val="14"/>
              </w:rPr>
            </w:pPr>
            <w:r w:rsidRPr="001D7234">
              <w:rPr>
                <w:rFonts w:ascii="Times New Roman" w:hAnsi="Times New Roman" w:cs="Times New Roman"/>
                <w:b/>
                <w:bCs/>
                <w:sz w:val="14"/>
                <w:szCs w:val="14"/>
              </w:rPr>
              <w:t>6 586 801</w:t>
            </w:r>
          </w:p>
        </w:tc>
        <w:tc>
          <w:tcPr>
            <w:tcW w:w="932" w:type="dxa"/>
            <w:tcBorders>
              <w:top w:val="single" w:sz="4" w:space="0" w:color="auto"/>
              <w:left w:val="nil"/>
              <w:bottom w:val="single" w:sz="4" w:space="0" w:color="auto"/>
              <w:right w:val="single" w:sz="4" w:space="0" w:color="auto"/>
            </w:tcBorders>
            <w:shd w:val="clear" w:color="000000" w:fill="BFBFBF"/>
            <w:vAlign w:val="bottom"/>
            <w:hideMark/>
          </w:tcPr>
          <w:p w:rsidR="007D13F3" w:rsidRPr="001D7234" w:rsidRDefault="007D13F3" w:rsidP="00465CAC">
            <w:pPr>
              <w:jc w:val="right"/>
              <w:rPr>
                <w:rFonts w:ascii="Times New Roman" w:hAnsi="Times New Roman" w:cs="Times New Roman"/>
                <w:b/>
                <w:bCs/>
                <w:sz w:val="14"/>
                <w:szCs w:val="14"/>
              </w:rPr>
            </w:pPr>
            <w:r w:rsidRPr="001D7234">
              <w:rPr>
                <w:rFonts w:ascii="Times New Roman" w:hAnsi="Times New Roman" w:cs="Times New Roman"/>
                <w:b/>
                <w:bCs/>
                <w:sz w:val="14"/>
                <w:szCs w:val="14"/>
              </w:rPr>
              <w:t>6 549 864</w:t>
            </w:r>
          </w:p>
        </w:tc>
        <w:tc>
          <w:tcPr>
            <w:tcW w:w="93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7D13F3" w:rsidRPr="004C5F36" w:rsidRDefault="007D13F3" w:rsidP="00465CAC">
            <w:pPr>
              <w:jc w:val="right"/>
              <w:rPr>
                <w:rFonts w:ascii="Times New Roman" w:hAnsi="Times New Roman" w:cs="Times New Roman"/>
                <w:b/>
                <w:bCs/>
                <w:sz w:val="14"/>
                <w:szCs w:val="14"/>
                <w:lang w:eastAsia="sk-SK"/>
              </w:rPr>
            </w:pPr>
            <w:r w:rsidRPr="004C5F36">
              <w:rPr>
                <w:rFonts w:ascii="Times New Roman" w:hAnsi="Times New Roman" w:cs="Times New Roman"/>
                <w:b/>
                <w:bCs/>
                <w:sz w:val="14"/>
                <w:szCs w:val="14"/>
              </w:rPr>
              <w:t>6 415 170</w:t>
            </w:r>
          </w:p>
        </w:tc>
        <w:tc>
          <w:tcPr>
            <w:tcW w:w="932" w:type="dxa"/>
            <w:tcBorders>
              <w:top w:val="single" w:sz="4" w:space="0" w:color="auto"/>
              <w:left w:val="nil"/>
              <w:bottom w:val="single" w:sz="4" w:space="0" w:color="auto"/>
              <w:right w:val="single" w:sz="4" w:space="0" w:color="auto"/>
            </w:tcBorders>
            <w:shd w:val="clear" w:color="000000" w:fill="BFBFBF"/>
            <w:vAlign w:val="bottom"/>
            <w:hideMark/>
          </w:tcPr>
          <w:p w:rsidR="007D13F3" w:rsidRPr="004C5F36" w:rsidRDefault="007D13F3" w:rsidP="00465CAC">
            <w:pPr>
              <w:jc w:val="right"/>
              <w:rPr>
                <w:rFonts w:ascii="Times New Roman" w:hAnsi="Times New Roman" w:cs="Times New Roman"/>
                <w:b/>
                <w:bCs/>
                <w:sz w:val="14"/>
                <w:szCs w:val="14"/>
              </w:rPr>
            </w:pPr>
            <w:r w:rsidRPr="004C5F36">
              <w:rPr>
                <w:rFonts w:ascii="Times New Roman" w:hAnsi="Times New Roman" w:cs="Times New Roman"/>
                <w:b/>
                <w:bCs/>
                <w:sz w:val="14"/>
                <w:szCs w:val="14"/>
              </w:rPr>
              <w:t>7 214 843</w:t>
            </w:r>
          </w:p>
        </w:tc>
        <w:tc>
          <w:tcPr>
            <w:tcW w:w="931" w:type="dxa"/>
            <w:tcBorders>
              <w:top w:val="single" w:sz="4" w:space="0" w:color="auto"/>
              <w:left w:val="nil"/>
              <w:bottom w:val="single" w:sz="4" w:space="0" w:color="auto"/>
              <w:right w:val="single" w:sz="4" w:space="0" w:color="auto"/>
            </w:tcBorders>
            <w:shd w:val="clear" w:color="000000" w:fill="BFBFBF"/>
            <w:vAlign w:val="bottom"/>
            <w:hideMark/>
          </w:tcPr>
          <w:p w:rsidR="007D13F3" w:rsidRPr="004C5F36" w:rsidRDefault="007D13F3" w:rsidP="00465CAC">
            <w:pPr>
              <w:jc w:val="right"/>
              <w:rPr>
                <w:rFonts w:ascii="Times New Roman" w:hAnsi="Times New Roman" w:cs="Times New Roman"/>
                <w:b/>
                <w:bCs/>
                <w:sz w:val="14"/>
                <w:szCs w:val="14"/>
              </w:rPr>
            </w:pPr>
            <w:r w:rsidRPr="004C5F36">
              <w:rPr>
                <w:rFonts w:ascii="Times New Roman" w:hAnsi="Times New Roman" w:cs="Times New Roman"/>
                <w:b/>
                <w:bCs/>
                <w:sz w:val="14"/>
                <w:szCs w:val="14"/>
              </w:rPr>
              <w:t>6 614 843</w:t>
            </w:r>
          </w:p>
        </w:tc>
        <w:tc>
          <w:tcPr>
            <w:tcW w:w="932" w:type="dxa"/>
            <w:tcBorders>
              <w:top w:val="single" w:sz="4" w:space="0" w:color="auto"/>
              <w:left w:val="nil"/>
              <w:bottom w:val="single" w:sz="4" w:space="0" w:color="auto"/>
              <w:right w:val="single" w:sz="4" w:space="0" w:color="auto"/>
            </w:tcBorders>
            <w:shd w:val="clear" w:color="000000" w:fill="BFBFBF"/>
            <w:vAlign w:val="bottom"/>
            <w:hideMark/>
          </w:tcPr>
          <w:p w:rsidR="007D13F3" w:rsidRPr="004C5F36" w:rsidRDefault="007D13F3" w:rsidP="00465CAC">
            <w:pPr>
              <w:jc w:val="right"/>
              <w:rPr>
                <w:rFonts w:ascii="Times New Roman" w:hAnsi="Times New Roman" w:cs="Times New Roman"/>
                <w:b/>
                <w:bCs/>
                <w:sz w:val="14"/>
                <w:szCs w:val="14"/>
              </w:rPr>
            </w:pPr>
            <w:r w:rsidRPr="004C5F36">
              <w:rPr>
                <w:rFonts w:ascii="Times New Roman" w:hAnsi="Times New Roman" w:cs="Times New Roman"/>
                <w:b/>
                <w:bCs/>
                <w:sz w:val="14"/>
                <w:szCs w:val="14"/>
              </w:rPr>
              <w:t>6 614 843</w:t>
            </w:r>
          </w:p>
        </w:tc>
      </w:tr>
      <w:tr w:rsidR="007D13F3" w:rsidRPr="00F628DB" w:rsidTr="00465CAC">
        <w:trPr>
          <w:trHeight w:val="255"/>
        </w:trPr>
        <w:tc>
          <w:tcPr>
            <w:tcW w:w="2566" w:type="dxa"/>
            <w:tcBorders>
              <w:top w:val="nil"/>
              <w:left w:val="single" w:sz="4" w:space="0" w:color="auto"/>
              <w:bottom w:val="single" w:sz="4" w:space="0" w:color="auto"/>
              <w:right w:val="single" w:sz="4" w:space="0" w:color="auto"/>
            </w:tcBorders>
            <w:noWrap/>
            <w:vAlign w:val="center"/>
            <w:hideMark/>
          </w:tcPr>
          <w:p w:rsidR="007D13F3" w:rsidRPr="00F628DB" w:rsidRDefault="007D13F3" w:rsidP="00465CAC">
            <w:pPr>
              <w:rPr>
                <w:rFonts w:ascii="Times New Roman" w:hAnsi="Times New Roman" w:cs="Times New Roman"/>
                <w:sz w:val="14"/>
                <w:szCs w:val="14"/>
                <w:lang w:eastAsia="sk-SK"/>
              </w:rPr>
            </w:pPr>
            <w:r w:rsidRPr="00F628DB">
              <w:rPr>
                <w:rFonts w:ascii="Times New Roman" w:hAnsi="Times New Roman" w:cs="Times New Roman"/>
                <w:sz w:val="14"/>
                <w:szCs w:val="14"/>
                <w:lang w:eastAsia="sk-SK"/>
              </w:rPr>
              <w:t>rozpočtové zdroje kapitoly</w:t>
            </w:r>
          </w:p>
        </w:tc>
        <w:tc>
          <w:tcPr>
            <w:tcW w:w="931" w:type="dxa"/>
            <w:tcBorders>
              <w:top w:val="nil"/>
              <w:left w:val="single" w:sz="4" w:space="0" w:color="auto"/>
              <w:bottom w:val="single" w:sz="4" w:space="0" w:color="auto"/>
              <w:right w:val="single" w:sz="4" w:space="0" w:color="auto"/>
            </w:tcBorders>
            <w:shd w:val="clear" w:color="auto" w:fill="auto"/>
            <w:vAlign w:val="bottom"/>
            <w:hideMark/>
          </w:tcPr>
          <w:p w:rsidR="007D13F3" w:rsidRPr="001D7234" w:rsidRDefault="007D13F3" w:rsidP="00465CAC">
            <w:pPr>
              <w:jc w:val="right"/>
              <w:rPr>
                <w:rFonts w:ascii="Times New Roman" w:hAnsi="Times New Roman" w:cs="Times New Roman"/>
                <w:sz w:val="14"/>
                <w:szCs w:val="14"/>
              </w:rPr>
            </w:pPr>
            <w:r w:rsidRPr="001D7234">
              <w:rPr>
                <w:rFonts w:ascii="Times New Roman" w:hAnsi="Times New Roman" w:cs="Times New Roman"/>
                <w:sz w:val="14"/>
                <w:szCs w:val="14"/>
              </w:rPr>
              <w:t>1 974 698</w:t>
            </w:r>
          </w:p>
        </w:tc>
        <w:tc>
          <w:tcPr>
            <w:tcW w:w="931" w:type="dxa"/>
            <w:tcBorders>
              <w:top w:val="nil"/>
              <w:left w:val="nil"/>
              <w:bottom w:val="single" w:sz="4" w:space="0" w:color="auto"/>
              <w:right w:val="single" w:sz="4" w:space="0" w:color="auto"/>
            </w:tcBorders>
            <w:shd w:val="clear" w:color="auto" w:fill="auto"/>
            <w:vAlign w:val="bottom"/>
            <w:hideMark/>
          </w:tcPr>
          <w:p w:rsidR="007D13F3" w:rsidRPr="001D7234" w:rsidRDefault="007D13F3" w:rsidP="00465CAC">
            <w:pPr>
              <w:jc w:val="right"/>
              <w:rPr>
                <w:rFonts w:ascii="Times New Roman" w:hAnsi="Times New Roman" w:cs="Times New Roman"/>
                <w:sz w:val="14"/>
                <w:szCs w:val="14"/>
              </w:rPr>
            </w:pPr>
            <w:r w:rsidRPr="001D7234">
              <w:rPr>
                <w:rFonts w:ascii="Times New Roman" w:hAnsi="Times New Roman" w:cs="Times New Roman"/>
                <w:sz w:val="14"/>
                <w:szCs w:val="14"/>
              </w:rPr>
              <w:t>3 213 393</w:t>
            </w:r>
          </w:p>
        </w:tc>
        <w:tc>
          <w:tcPr>
            <w:tcW w:w="932" w:type="dxa"/>
            <w:tcBorders>
              <w:top w:val="nil"/>
              <w:left w:val="nil"/>
              <w:bottom w:val="single" w:sz="4" w:space="0" w:color="auto"/>
              <w:right w:val="single" w:sz="4" w:space="0" w:color="auto"/>
            </w:tcBorders>
            <w:shd w:val="clear" w:color="auto" w:fill="auto"/>
            <w:vAlign w:val="bottom"/>
            <w:hideMark/>
          </w:tcPr>
          <w:p w:rsidR="007D13F3" w:rsidRPr="001D7234" w:rsidRDefault="007D13F3" w:rsidP="00465CAC">
            <w:pPr>
              <w:jc w:val="right"/>
              <w:rPr>
                <w:rFonts w:ascii="Times New Roman" w:hAnsi="Times New Roman" w:cs="Times New Roman"/>
                <w:sz w:val="14"/>
                <w:szCs w:val="14"/>
              </w:rPr>
            </w:pPr>
            <w:r w:rsidRPr="001D7234">
              <w:rPr>
                <w:rFonts w:ascii="Times New Roman" w:hAnsi="Times New Roman" w:cs="Times New Roman"/>
                <w:sz w:val="14"/>
                <w:szCs w:val="14"/>
              </w:rPr>
              <w:t>6 549 864</w:t>
            </w:r>
          </w:p>
        </w:tc>
        <w:tc>
          <w:tcPr>
            <w:tcW w:w="931" w:type="dxa"/>
            <w:tcBorders>
              <w:top w:val="nil"/>
              <w:left w:val="single" w:sz="4" w:space="0" w:color="auto"/>
              <w:bottom w:val="single" w:sz="4" w:space="0" w:color="auto"/>
              <w:right w:val="single" w:sz="4" w:space="0" w:color="auto"/>
            </w:tcBorders>
            <w:shd w:val="clear" w:color="auto" w:fill="auto"/>
            <w:vAlign w:val="bottom"/>
            <w:hideMark/>
          </w:tcPr>
          <w:p w:rsidR="007D13F3" w:rsidRPr="004C5F36" w:rsidRDefault="007D13F3" w:rsidP="00465CAC">
            <w:pPr>
              <w:jc w:val="right"/>
              <w:rPr>
                <w:rFonts w:ascii="Times New Roman" w:hAnsi="Times New Roman" w:cs="Times New Roman"/>
                <w:sz w:val="14"/>
                <w:szCs w:val="14"/>
              </w:rPr>
            </w:pPr>
            <w:r w:rsidRPr="004C5F36">
              <w:rPr>
                <w:rFonts w:ascii="Times New Roman" w:hAnsi="Times New Roman" w:cs="Times New Roman"/>
                <w:sz w:val="14"/>
                <w:szCs w:val="14"/>
              </w:rPr>
              <w:t>3 389 281</w:t>
            </w:r>
          </w:p>
        </w:tc>
        <w:tc>
          <w:tcPr>
            <w:tcW w:w="932" w:type="dxa"/>
            <w:tcBorders>
              <w:top w:val="nil"/>
              <w:left w:val="nil"/>
              <w:bottom w:val="single" w:sz="4" w:space="0" w:color="auto"/>
              <w:right w:val="single" w:sz="4" w:space="0" w:color="auto"/>
            </w:tcBorders>
            <w:shd w:val="clear" w:color="auto" w:fill="auto"/>
            <w:vAlign w:val="bottom"/>
            <w:hideMark/>
          </w:tcPr>
          <w:p w:rsidR="007D13F3" w:rsidRPr="004C5F36" w:rsidRDefault="007D13F3" w:rsidP="00465CAC">
            <w:pPr>
              <w:jc w:val="right"/>
              <w:rPr>
                <w:rFonts w:ascii="Times New Roman" w:hAnsi="Times New Roman" w:cs="Times New Roman"/>
                <w:sz w:val="14"/>
                <w:szCs w:val="14"/>
              </w:rPr>
            </w:pPr>
            <w:r w:rsidRPr="004C5F36">
              <w:rPr>
                <w:rFonts w:ascii="Times New Roman" w:hAnsi="Times New Roman" w:cs="Times New Roman"/>
                <w:sz w:val="14"/>
                <w:szCs w:val="14"/>
              </w:rPr>
              <w:t>7 214 843</w:t>
            </w:r>
          </w:p>
        </w:tc>
        <w:tc>
          <w:tcPr>
            <w:tcW w:w="931" w:type="dxa"/>
            <w:tcBorders>
              <w:top w:val="nil"/>
              <w:left w:val="nil"/>
              <w:bottom w:val="single" w:sz="4" w:space="0" w:color="auto"/>
              <w:right w:val="single" w:sz="4" w:space="0" w:color="auto"/>
            </w:tcBorders>
            <w:shd w:val="clear" w:color="auto" w:fill="auto"/>
            <w:vAlign w:val="bottom"/>
            <w:hideMark/>
          </w:tcPr>
          <w:p w:rsidR="007D13F3" w:rsidRPr="004C5F36" w:rsidRDefault="007D13F3" w:rsidP="00465CAC">
            <w:pPr>
              <w:jc w:val="right"/>
              <w:rPr>
                <w:rFonts w:ascii="Times New Roman" w:hAnsi="Times New Roman" w:cs="Times New Roman"/>
                <w:sz w:val="14"/>
                <w:szCs w:val="14"/>
              </w:rPr>
            </w:pPr>
            <w:r w:rsidRPr="004C5F36">
              <w:rPr>
                <w:rFonts w:ascii="Times New Roman" w:hAnsi="Times New Roman" w:cs="Times New Roman"/>
                <w:sz w:val="14"/>
                <w:szCs w:val="14"/>
              </w:rPr>
              <w:t>6 614 843</w:t>
            </w:r>
          </w:p>
        </w:tc>
        <w:tc>
          <w:tcPr>
            <w:tcW w:w="932" w:type="dxa"/>
            <w:tcBorders>
              <w:top w:val="nil"/>
              <w:left w:val="nil"/>
              <w:bottom w:val="single" w:sz="4" w:space="0" w:color="auto"/>
              <w:right w:val="single" w:sz="4" w:space="0" w:color="auto"/>
            </w:tcBorders>
            <w:shd w:val="clear" w:color="auto" w:fill="auto"/>
            <w:vAlign w:val="bottom"/>
            <w:hideMark/>
          </w:tcPr>
          <w:p w:rsidR="007D13F3" w:rsidRPr="004C5F36" w:rsidRDefault="007D13F3" w:rsidP="00465CAC">
            <w:pPr>
              <w:jc w:val="right"/>
              <w:rPr>
                <w:rFonts w:ascii="Times New Roman" w:hAnsi="Times New Roman" w:cs="Times New Roman"/>
                <w:sz w:val="14"/>
                <w:szCs w:val="14"/>
              </w:rPr>
            </w:pPr>
            <w:r w:rsidRPr="004C5F36">
              <w:rPr>
                <w:rFonts w:ascii="Times New Roman" w:hAnsi="Times New Roman" w:cs="Times New Roman"/>
                <w:sz w:val="14"/>
                <w:szCs w:val="14"/>
              </w:rPr>
              <w:t>6 614 843</w:t>
            </w:r>
          </w:p>
        </w:tc>
      </w:tr>
      <w:tr w:rsidR="007D13F3" w:rsidRPr="00F628DB" w:rsidTr="00465CAC">
        <w:trPr>
          <w:trHeight w:val="255"/>
        </w:trPr>
        <w:tc>
          <w:tcPr>
            <w:tcW w:w="2566" w:type="dxa"/>
            <w:tcBorders>
              <w:top w:val="nil"/>
              <w:left w:val="single" w:sz="4" w:space="0" w:color="auto"/>
              <w:bottom w:val="single" w:sz="4" w:space="0" w:color="auto"/>
              <w:right w:val="single" w:sz="4" w:space="0" w:color="auto"/>
            </w:tcBorders>
            <w:noWrap/>
            <w:vAlign w:val="center"/>
            <w:hideMark/>
          </w:tcPr>
          <w:p w:rsidR="007D13F3" w:rsidRPr="00F628DB" w:rsidRDefault="007D13F3" w:rsidP="00465CAC">
            <w:pPr>
              <w:rPr>
                <w:rFonts w:ascii="Times New Roman" w:hAnsi="Times New Roman" w:cs="Times New Roman"/>
                <w:sz w:val="14"/>
                <w:szCs w:val="14"/>
                <w:lang w:eastAsia="sk-SK"/>
              </w:rPr>
            </w:pPr>
            <w:r w:rsidRPr="00F628DB">
              <w:rPr>
                <w:rFonts w:ascii="Times New Roman" w:hAnsi="Times New Roman" w:cs="Times New Roman"/>
                <w:color w:val="000000"/>
                <w:sz w:val="14"/>
                <w:szCs w:val="14"/>
              </w:rPr>
              <w:t>presun z minulých rokov</w:t>
            </w:r>
          </w:p>
        </w:tc>
        <w:tc>
          <w:tcPr>
            <w:tcW w:w="931" w:type="dxa"/>
            <w:tcBorders>
              <w:top w:val="nil"/>
              <w:left w:val="single" w:sz="4" w:space="0" w:color="auto"/>
              <w:bottom w:val="single" w:sz="4" w:space="0" w:color="auto"/>
              <w:right w:val="single" w:sz="4" w:space="0" w:color="auto"/>
            </w:tcBorders>
            <w:shd w:val="clear" w:color="auto" w:fill="auto"/>
            <w:vAlign w:val="bottom"/>
            <w:hideMark/>
          </w:tcPr>
          <w:p w:rsidR="007D13F3" w:rsidRPr="001D7234" w:rsidRDefault="007D13F3" w:rsidP="00465CAC">
            <w:pPr>
              <w:jc w:val="right"/>
              <w:rPr>
                <w:rFonts w:ascii="Times New Roman" w:hAnsi="Times New Roman" w:cs="Times New Roman"/>
                <w:sz w:val="14"/>
                <w:szCs w:val="14"/>
              </w:rPr>
            </w:pPr>
            <w:r w:rsidRPr="001D7234">
              <w:rPr>
                <w:rFonts w:ascii="Times New Roman" w:hAnsi="Times New Roman" w:cs="Times New Roman"/>
                <w:sz w:val="14"/>
                <w:szCs w:val="14"/>
              </w:rPr>
              <w:t>3 143 445</w:t>
            </w:r>
          </w:p>
        </w:tc>
        <w:tc>
          <w:tcPr>
            <w:tcW w:w="931" w:type="dxa"/>
            <w:tcBorders>
              <w:top w:val="nil"/>
              <w:left w:val="nil"/>
              <w:bottom w:val="single" w:sz="4" w:space="0" w:color="auto"/>
              <w:right w:val="single" w:sz="4" w:space="0" w:color="auto"/>
            </w:tcBorders>
            <w:shd w:val="clear" w:color="auto" w:fill="auto"/>
            <w:vAlign w:val="bottom"/>
            <w:hideMark/>
          </w:tcPr>
          <w:p w:rsidR="007D13F3" w:rsidRPr="001D7234" w:rsidRDefault="007D13F3" w:rsidP="00465CAC">
            <w:pPr>
              <w:jc w:val="right"/>
              <w:rPr>
                <w:rFonts w:ascii="Times New Roman" w:hAnsi="Times New Roman" w:cs="Times New Roman"/>
                <w:sz w:val="14"/>
                <w:szCs w:val="14"/>
              </w:rPr>
            </w:pPr>
            <w:r w:rsidRPr="001D7234">
              <w:rPr>
                <w:rFonts w:ascii="Times New Roman" w:hAnsi="Times New Roman" w:cs="Times New Roman"/>
                <w:sz w:val="14"/>
                <w:szCs w:val="14"/>
              </w:rPr>
              <w:t>3 373 408</w:t>
            </w:r>
          </w:p>
        </w:tc>
        <w:tc>
          <w:tcPr>
            <w:tcW w:w="932" w:type="dxa"/>
            <w:tcBorders>
              <w:top w:val="nil"/>
              <w:left w:val="nil"/>
              <w:bottom w:val="single" w:sz="4" w:space="0" w:color="auto"/>
              <w:right w:val="single" w:sz="4" w:space="0" w:color="auto"/>
            </w:tcBorders>
            <w:shd w:val="clear" w:color="auto" w:fill="auto"/>
            <w:vAlign w:val="bottom"/>
            <w:hideMark/>
          </w:tcPr>
          <w:p w:rsidR="007D13F3" w:rsidRPr="001D7234" w:rsidRDefault="007D13F3" w:rsidP="00465CAC">
            <w:pPr>
              <w:jc w:val="right"/>
              <w:rPr>
                <w:rFonts w:ascii="Times New Roman" w:hAnsi="Times New Roman" w:cs="Times New Roman"/>
                <w:sz w:val="14"/>
                <w:szCs w:val="14"/>
              </w:rPr>
            </w:pPr>
            <w:r w:rsidRPr="001D7234">
              <w:rPr>
                <w:rFonts w:ascii="Times New Roman" w:hAnsi="Times New Roman" w:cs="Times New Roman"/>
                <w:sz w:val="14"/>
                <w:szCs w:val="14"/>
              </w:rPr>
              <w:t>0</w:t>
            </w:r>
          </w:p>
        </w:tc>
        <w:tc>
          <w:tcPr>
            <w:tcW w:w="931" w:type="dxa"/>
            <w:tcBorders>
              <w:top w:val="nil"/>
              <w:left w:val="single" w:sz="4" w:space="0" w:color="auto"/>
              <w:bottom w:val="single" w:sz="4" w:space="0" w:color="auto"/>
              <w:right w:val="single" w:sz="4" w:space="0" w:color="auto"/>
            </w:tcBorders>
            <w:shd w:val="clear" w:color="auto" w:fill="auto"/>
            <w:vAlign w:val="bottom"/>
            <w:hideMark/>
          </w:tcPr>
          <w:p w:rsidR="007D13F3" w:rsidRPr="004C5F36" w:rsidRDefault="007D13F3" w:rsidP="00465CAC">
            <w:pPr>
              <w:jc w:val="right"/>
              <w:rPr>
                <w:rFonts w:ascii="Times New Roman" w:hAnsi="Times New Roman" w:cs="Times New Roman"/>
                <w:sz w:val="14"/>
                <w:szCs w:val="14"/>
              </w:rPr>
            </w:pPr>
            <w:r w:rsidRPr="004C5F36">
              <w:rPr>
                <w:rFonts w:ascii="Times New Roman" w:hAnsi="Times New Roman" w:cs="Times New Roman"/>
                <w:sz w:val="14"/>
                <w:szCs w:val="14"/>
              </w:rPr>
              <w:t>3 025 889</w:t>
            </w:r>
          </w:p>
        </w:tc>
        <w:tc>
          <w:tcPr>
            <w:tcW w:w="932" w:type="dxa"/>
            <w:tcBorders>
              <w:top w:val="nil"/>
              <w:left w:val="nil"/>
              <w:bottom w:val="single" w:sz="4" w:space="0" w:color="auto"/>
              <w:right w:val="single" w:sz="4" w:space="0" w:color="auto"/>
            </w:tcBorders>
            <w:shd w:val="clear" w:color="auto" w:fill="auto"/>
            <w:vAlign w:val="bottom"/>
            <w:hideMark/>
          </w:tcPr>
          <w:p w:rsidR="007D13F3" w:rsidRPr="004C5F36" w:rsidRDefault="007D13F3" w:rsidP="00465CAC">
            <w:pPr>
              <w:jc w:val="right"/>
              <w:rPr>
                <w:rFonts w:ascii="Times New Roman" w:hAnsi="Times New Roman" w:cs="Times New Roman"/>
                <w:sz w:val="14"/>
                <w:szCs w:val="14"/>
              </w:rPr>
            </w:pPr>
            <w:r w:rsidRPr="004C5F36">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vAlign w:val="bottom"/>
            <w:hideMark/>
          </w:tcPr>
          <w:p w:rsidR="007D13F3" w:rsidRPr="004C5F36" w:rsidRDefault="007D13F3" w:rsidP="00465CAC">
            <w:pPr>
              <w:jc w:val="right"/>
              <w:rPr>
                <w:rFonts w:ascii="Times New Roman" w:hAnsi="Times New Roman" w:cs="Times New Roman"/>
                <w:sz w:val="14"/>
                <w:szCs w:val="14"/>
              </w:rPr>
            </w:pPr>
            <w:r w:rsidRPr="004C5F36">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vAlign w:val="bottom"/>
            <w:hideMark/>
          </w:tcPr>
          <w:p w:rsidR="007D13F3" w:rsidRPr="004C5F36" w:rsidRDefault="007D13F3" w:rsidP="00465CAC">
            <w:pPr>
              <w:jc w:val="right"/>
              <w:rPr>
                <w:rFonts w:ascii="Times New Roman" w:hAnsi="Times New Roman" w:cs="Times New Roman"/>
                <w:sz w:val="14"/>
                <w:szCs w:val="14"/>
              </w:rPr>
            </w:pPr>
            <w:r w:rsidRPr="004C5F36">
              <w:rPr>
                <w:rFonts w:ascii="Times New Roman" w:hAnsi="Times New Roman" w:cs="Times New Roman"/>
                <w:sz w:val="14"/>
                <w:szCs w:val="14"/>
              </w:rPr>
              <w:t>0</w:t>
            </w:r>
          </w:p>
        </w:tc>
      </w:tr>
    </w:tbl>
    <w:p w:rsidR="007D13F3" w:rsidRPr="00A47FEB" w:rsidRDefault="007D13F3" w:rsidP="007D13F3">
      <w:pPr>
        <w:ind w:firstLine="708"/>
        <w:jc w:val="both"/>
        <w:rPr>
          <w:rFonts w:ascii="Times New Roman" w:hAnsi="Times New Roman" w:cs="Times New Roman"/>
          <w:sz w:val="16"/>
          <w:szCs w:val="16"/>
        </w:rPr>
      </w:pPr>
    </w:p>
    <w:p w:rsidR="007D13F3" w:rsidRPr="00F628DB" w:rsidRDefault="007D13F3" w:rsidP="007D13F3">
      <w:pPr>
        <w:ind w:firstLine="708"/>
        <w:jc w:val="both"/>
        <w:rPr>
          <w:rFonts w:ascii="Times New Roman" w:hAnsi="Times New Roman" w:cs="Times New Roman"/>
        </w:rPr>
      </w:pPr>
      <w:r w:rsidRPr="00095ED3">
        <w:rPr>
          <w:rFonts w:ascii="Times New Roman" w:hAnsi="Times New Roman" w:cs="Times New Roman"/>
        </w:rPr>
        <w:t xml:space="preserve">Z prostriedkov rozpočtovaných v rámci oblasti rozvojovej spolupráce sa poskytuje pomoc rozvojovým krajinám a krajinám v procese transformácie s tým, že prostriedky sú </w:t>
      </w:r>
      <w:r w:rsidRPr="00095ED3">
        <w:rPr>
          <w:rFonts w:ascii="Times New Roman" w:hAnsi="Times New Roman" w:cs="Times New Roman"/>
        </w:rPr>
        <w:lastRenderedPageBreak/>
        <w:t xml:space="preserve">určené na projekty v prioritných krajinách a na projekty pre programové krajiny. Výdavky </w:t>
      </w:r>
      <w:r w:rsidR="00C3759D">
        <w:rPr>
          <w:rFonts w:ascii="Times New Roman" w:hAnsi="Times New Roman" w:cs="Times New Roman"/>
        </w:rPr>
        <w:t>v tejto oblasti</w:t>
      </w:r>
      <w:r w:rsidRPr="00095ED3">
        <w:rPr>
          <w:rFonts w:ascii="Times New Roman" w:hAnsi="Times New Roman" w:cs="Times New Roman"/>
        </w:rPr>
        <w:t xml:space="preserve"> sa navrhujú v sume </w:t>
      </w:r>
      <w:r>
        <w:rPr>
          <w:rFonts w:ascii="Times New Roman" w:hAnsi="Times New Roman" w:cs="Times New Roman"/>
        </w:rPr>
        <w:t>7,21</w:t>
      </w:r>
      <w:r w:rsidRPr="00095ED3">
        <w:rPr>
          <w:rFonts w:ascii="Times New Roman" w:hAnsi="Times New Roman" w:cs="Times New Roman"/>
        </w:rPr>
        <w:t xml:space="preserve"> mil. eur, čo predstavuje nárast oproti schválenému rozpočtu roku 2017 o 6</w:t>
      </w:r>
      <w:r>
        <w:rPr>
          <w:rFonts w:ascii="Times New Roman" w:hAnsi="Times New Roman" w:cs="Times New Roman"/>
        </w:rPr>
        <w:t>6</w:t>
      </w:r>
      <w:r w:rsidRPr="00095ED3">
        <w:rPr>
          <w:rFonts w:ascii="Times New Roman" w:hAnsi="Times New Roman" w:cs="Times New Roman"/>
        </w:rPr>
        <w:t>5 tis. eur, t. j. o</w:t>
      </w:r>
      <w:r>
        <w:rPr>
          <w:rFonts w:ascii="Times New Roman" w:hAnsi="Times New Roman" w:cs="Times New Roman"/>
        </w:rPr>
        <w:t> 10,2</w:t>
      </w:r>
      <w:r w:rsidRPr="00095ED3">
        <w:rPr>
          <w:rFonts w:ascii="Times New Roman" w:hAnsi="Times New Roman" w:cs="Times New Roman"/>
        </w:rPr>
        <w:t xml:space="preserve"> %. </w:t>
      </w:r>
      <w:r>
        <w:rPr>
          <w:rFonts w:ascii="Times New Roman" w:hAnsi="Times New Roman" w:cs="Times New Roman"/>
        </w:rPr>
        <w:t>V</w:t>
      </w:r>
      <w:r w:rsidRPr="00095ED3">
        <w:rPr>
          <w:rFonts w:ascii="Times New Roman" w:hAnsi="Times New Roman" w:cs="Times New Roman"/>
        </w:rPr>
        <w:t>ýdavky určené na financovanie projektov v rozvojových krajinách, projektov rozvojového vzdelávania, projektov zameraných na budovanie kapa</w:t>
      </w:r>
      <w:r>
        <w:rPr>
          <w:rFonts w:ascii="Times New Roman" w:hAnsi="Times New Roman" w:cs="Times New Roman"/>
        </w:rPr>
        <w:t>cít a na verejnú informovanosť sú plánované v</w:t>
      </w:r>
      <w:r w:rsidRPr="00095ED3">
        <w:rPr>
          <w:rFonts w:ascii="Times New Roman" w:hAnsi="Times New Roman" w:cs="Times New Roman"/>
        </w:rPr>
        <w:t xml:space="preserve"> bežných transferoch na rok 2018 v sume 6,</w:t>
      </w:r>
      <w:r>
        <w:rPr>
          <w:rFonts w:ascii="Times New Roman" w:hAnsi="Times New Roman" w:cs="Times New Roman"/>
        </w:rPr>
        <w:t>8</w:t>
      </w:r>
      <w:r w:rsidRPr="00095ED3">
        <w:rPr>
          <w:rFonts w:ascii="Times New Roman" w:hAnsi="Times New Roman" w:cs="Times New Roman"/>
        </w:rPr>
        <w:t>7 mil. eur.</w:t>
      </w:r>
      <w:r w:rsidRPr="00F628DB">
        <w:rPr>
          <w:rFonts w:ascii="Times New Roman" w:hAnsi="Times New Roman" w:cs="Times New Roman"/>
        </w:rPr>
        <w:t xml:space="preserve"> </w:t>
      </w:r>
    </w:p>
    <w:p w:rsidR="007D13F3" w:rsidRPr="00A47FEB" w:rsidRDefault="007D13F3" w:rsidP="007D13F3">
      <w:pPr>
        <w:jc w:val="both"/>
        <w:rPr>
          <w:rFonts w:ascii="Times New Roman" w:hAnsi="Times New Roman" w:cs="Times New Roman"/>
          <w:sz w:val="16"/>
          <w:szCs w:val="16"/>
        </w:rPr>
      </w:pPr>
    </w:p>
    <w:p w:rsidR="007D13F3" w:rsidRPr="00F628DB" w:rsidRDefault="007D13F3" w:rsidP="007D13F3">
      <w:pPr>
        <w:jc w:val="both"/>
        <w:rPr>
          <w:rFonts w:ascii="Times New Roman" w:hAnsi="Times New Roman" w:cs="Times New Roman"/>
          <w:b/>
        </w:rPr>
      </w:pPr>
      <w:r w:rsidRPr="00F628DB">
        <w:rPr>
          <w:rFonts w:ascii="Times New Roman" w:hAnsi="Times New Roman" w:cs="Times New Roman"/>
          <w:b/>
        </w:rPr>
        <w:t>Pomoc krajanom v zahraničí</w:t>
      </w:r>
    </w:p>
    <w:p w:rsidR="007D13F3" w:rsidRPr="00A47FEB" w:rsidRDefault="007D13F3" w:rsidP="007D13F3">
      <w:pPr>
        <w:ind w:firstLine="708"/>
        <w:jc w:val="both"/>
        <w:rPr>
          <w:rFonts w:ascii="Times New Roman" w:hAnsi="Times New Roman" w:cs="Times New Roman"/>
          <w:sz w:val="16"/>
          <w:szCs w:val="16"/>
        </w:rPr>
      </w:pPr>
    </w:p>
    <w:tbl>
      <w:tblPr>
        <w:tblW w:w="5000" w:type="pct"/>
        <w:tblCellMar>
          <w:left w:w="70" w:type="dxa"/>
          <w:right w:w="70" w:type="dxa"/>
        </w:tblCellMar>
        <w:tblLook w:val="04A0" w:firstRow="1" w:lastRow="0" w:firstColumn="1" w:lastColumn="0" w:noHBand="0" w:noVBand="1"/>
      </w:tblPr>
      <w:tblGrid>
        <w:gridCol w:w="2016"/>
        <w:gridCol w:w="1008"/>
        <w:gridCol w:w="1008"/>
        <w:gridCol w:w="1006"/>
        <w:gridCol w:w="1006"/>
        <w:gridCol w:w="1006"/>
        <w:gridCol w:w="1006"/>
        <w:gridCol w:w="1006"/>
      </w:tblGrid>
      <w:tr w:rsidR="007D13F3" w:rsidRPr="00F628DB" w:rsidTr="00465CAC">
        <w:trPr>
          <w:trHeight w:val="255"/>
        </w:trPr>
        <w:tc>
          <w:tcPr>
            <w:tcW w:w="1112"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F628DB" w:rsidRDefault="007D13F3" w:rsidP="00465CAC">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v eurách</w:t>
            </w:r>
          </w:p>
        </w:tc>
        <w:tc>
          <w:tcPr>
            <w:tcW w:w="556" w:type="pct"/>
            <w:tcBorders>
              <w:top w:val="single" w:sz="4" w:space="0" w:color="auto"/>
              <w:left w:val="single" w:sz="4" w:space="0" w:color="auto"/>
              <w:bottom w:val="single" w:sz="4" w:space="0" w:color="auto"/>
              <w:right w:val="single" w:sz="4" w:space="0" w:color="auto"/>
            </w:tcBorders>
            <w:shd w:val="clear" w:color="000000" w:fill="A6A6A6"/>
            <w:vAlign w:val="bottom"/>
            <w:hideMark/>
          </w:tcPr>
          <w:p w:rsidR="007D13F3" w:rsidRPr="00D530ED" w:rsidRDefault="007D13F3" w:rsidP="00465CAC">
            <w:pPr>
              <w:jc w:val="center"/>
              <w:rPr>
                <w:rFonts w:ascii="Times New Roman" w:hAnsi="Times New Roman" w:cs="Times New Roman"/>
                <w:b/>
                <w:bCs/>
                <w:color w:val="000000"/>
                <w:sz w:val="14"/>
                <w:szCs w:val="14"/>
                <w:lang w:eastAsia="sk-SK"/>
              </w:rPr>
            </w:pPr>
            <w:r w:rsidRPr="00D530ED">
              <w:rPr>
                <w:rFonts w:ascii="Times New Roman" w:hAnsi="Times New Roman" w:cs="Times New Roman"/>
                <w:b/>
                <w:bCs/>
                <w:color w:val="000000"/>
                <w:sz w:val="14"/>
                <w:szCs w:val="14"/>
              </w:rPr>
              <w:t>2015 S</w:t>
            </w:r>
          </w:p>
        </w:tc>
        <w:tc>
          <w:tcPr>
            <w:tcW w:w="556"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sz w:val="14"/>
                <w:szCs w:val="14"/>
              </w:rPr>
            </w:pPr>
            <w:r w:rsidRPr="00D530ED">
              <w:rPr>
                <w:rFonts w:ascii="Times New Roman" w:hAnsi="Times New Roman" w:cs="Times New Roman"/>
                <w:b/>
                <w:bCs/>
                <w:sz w:val="14"/>
                <w:szCs w:val="14"/>
              </w:rPr>
              <w:t>2016 S</w:t>
            </w:r>
          </w:p>
        </w:tc>
        <w:tc>
          <w:tcPr>
            <w:tcW w:w="555"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sz w:val="14"/>
                <w:szCs w:val="14"/>
              </w:rPr>
            </w:pPr>
            <w:r w:rsidRPr="00D530ED">
              <w:rPr>
                <w:rFonts w:ascii="Times New Roman" w:hAnsi="Times New Roman" w:cs="Times New Roman"/>
                <w:b/>
                <w:bCs/>
                <w:sz w:val="14"/>
                <w:szCs w:val="14"/>
              </w:rPr>
              <w:t>2017 R</w:t>
            </w:r>
          </w:p>
        </w:tc>
        <w:tc>
          <w:tcPr>
            <w:tcW w:w="555"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2017 OS</w:t>
            </w:r>
          </w:p>
        </w:tc>
        <w:tc>
          <w:tcPr>
            <w:tcW w:w="555" w:type="pct"/>
            <w:tcBorders>
              <w:top w:val="single" w:sz="4" w:space="0" w:color="auto"/>
              <w:left w:val="nil"/>
              <w:bottom w:val="single" w:sz="4" w:space="0" w:color="auto"/>
              <w:right w:val="single" w:sz="4" w:space="0" w:color="auto"/>
            </w:tcBorders>
            <w:shd w:val="clear" w:color="000000" w:fill="A6A6A6"/>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 xml:space="preserve">2018 </w:t>
            </w:r>
            <w:r>
              <w:rPr>
                <w:rFonts w:ascii="Times New Roman" w:hAnsi="Times New Roman" w:cs="Times New Roman"/>
                <w:b/>
                <w:bCs/>
                <w:color w:val="000000"/>
                <w:sz w:val="14"/>
                <w:szCs w:val="14"/>
              </w:rPr>
              <w:t>N</w:t>
            </w:r>
          </w:p>
        </w:tc>
        <w:tc>
          <w:tcPr>
            <w:tcW w:w="555" w:type="pct"/>
            <w:tcBorders>
              <w:top w:val="single" w:sz="4" w:space="0" w:color="auto"/>
              <w:left w:val="nil"/>
              <w:bottom w:val="single" w:sz="4" w:space="0" w:color="auto"/>
              <w:right w:val="single" w:sz="4" w:space="0" w:color="auto"/>
            </w:tcBorders>
            <w:shd w:val="clear" w:color="000000" w:fill="A6A6A6"/>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 xml:space="preserve">2019 </w:t>
            </w:r>
            <w:r>
              <w:rPr>
                <w:rFonts w:ascii="Times New Roman" w:hAnsi="Times New Roman" w:cs="Times New Roman"/>
                <w:b/>
                <w:bCs/>
                <w:color w:val="000000"/>
                <w:sz w:val="14"/>
                <w:szCs w:val="14"/>
              </w:rPr>
              <w:t>N</w:t>
            </w:r>
          </w:p>
        </w:tc>
        <w:tc>
          <w:tcPr>
            <w:tcW w:w="555" w:type="pct"/>
            <w:tcBorders>
              <w:top w:val="single" w:sz="4" w:space="0" w:color="auto"/>
              <w:left w:val="nil"/>
              <w:bottom w:val="single" w:sz="4" w:space="0" w:color="auto"/>
              <w:right w:val="single" w:sz="4" w:space="0" w:color="auto"/>
            </w:tcBorders>
            <w:shd w:val="clear" w:color="000000" w:fill="A6A6A6"/>
            <w:noWrap/>
            <w:vAlign w:val="bottom"/>
            <w:hideMark/>
          </w:tcPr>
          <w:p w:rsidR="007D13F3" w:rsidRPr="00D530ED" w:rsidRDefault="007D13F3" w:rsidP="00465CAC">
            <w:pPr>
              <w:jc w:val="center"/>
              <w:rPr>
                <w:rFonts w:ascii="Times New Roman" w:hAnsi="Times New Roman" w:cs="Times New Roman"/>
                <w:b/>
                <w:bCs/>
                <w:color w:val="000000"/>
                <w:sz w:val="14"/>
                <w:szCs w:val="14"/>
              </w:rPr>
            </w:pPr>
            <w:r w:rsidRPr="00D530ED">
              <w:rPr>
                <w:rFonts w:ascii="Times New Roman" w:hAnsi="Times New Roman" w:cs="Times New Roman"/>
                <w:b/>
                <w:bCs/>
                <w:color w:val="000000"/>
                <w:sz w:val="14"/>
                <w:szCs w:val="14"/>
              </w:rPr>
              <w:t xml:space="preserve">2020 </w:t>
            </w:r>
            <w:r>
              <w:rPr>
                <w:rFonts w:ascii="Times New Roman" w:hAnsi="Times New Roman" w:cs="Times New Roman"/>
                <w:b/>
                <w:bCs/>
                <w:color w:val="000000"/>
                <w:sz w:val="14"/>
                <w:szCs w:val="14"/>
              </w:rPr>
              <w:t>N</w:t>
            </w:r>
          </w:p>
        </w:tc>
      </w:tr>
      <w:tr w:rsidR="007D13F3" w:rsidRPr="00C3759D" w:rsidTr="00465CAC">
        <w:trPr>
          <w:trHeight w:val="255"/>
        </w:trPr>
        <w:tc>
          <w:tcPr>
            <w:tcW w:w="1112" w:type="pct"/>
            <w:tcBorders>
              <w:top w:val="nil"/>
              <w:left w:val="single" w:sz="4" w:space="0" w:color="auto"/>
              <w:bottom w:val="single" w:sz="4" w:space="0" w:color="auto"/>
              <w:right w:val="single" w:sz="4" w:space="0" w:color="auto"/>
            </w:tcBorders>
            <w:noWrap/>
            <w:vAlign w:val="center"/>
            <w:hideMark/>
          </w:tcPr>
          <w:p w:rsidR="007D13F3" w:rsidRPr="00C3759D" w:rsidRDefault="007D13F3" w:rsidP="00465CAC">
            <w:pPr>
              <w:rPr>
                <w:rFonts w:ascii="Times New Roman" w:hAnsi="Times New Roman" w:cs="Times New Roman"/>
                <w:bCs/>
                <w:sz w:val="14"/>
                <w:szCs w:val="14"/>
                <w:lang w:eastAsia="sk-SK"/>
              </w:rPr>
            </w:pPr>
            <w:r w:rsidRPr="00C3759D">
              <w:rPr>
                <w:rFonts w:ascii="Times New Roman" w:hAnsi="Times New Roman" w:cs="Times New Roman"/>
                <w:bCs/>
                <w:sz w:val="14"/>
                <w:szCs w:val="14"/>
                <w:lang w:eastAsia="sk-SK"/>
              </w:rPr>
              <w:t>Pomoc krajanom v zahraničí</w:t>
            </w:r>
          </w:p>
        </w:tc>
        <w:tc>
          <w:tcPr>
            <w:tcW w:w="5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13F3" w:rsidRPr="00C3759D" w:rsidRDefault="007D13F3" w:rsidP="00465CAC">
            <w:pPr>
              <w:jc w:val="right"/>
              <w:rPr>
                <w:rFonts w:ascii="Times New Roman" w:hAnsi="Times New Roman" w:cs="Times New Roman"/>
                <w:bCs/>
                <w:sz w:val="14"/>
                <w:szCs w:val="14"/>
                <w:lang w:eastAsia="sk-SK"/>
              </w:rPr>
            </w:pPr>
            <w:r w:rsidRPr="00C3759D">
              <w:rPr>
                <w:rFonts w:ascii="Times New Roman" w:hAnsi="Times New Roman" w:cs="Times New Roman"/>
                <w:bCs/>
                <w:sz w:val="14"/>
                <w:szCs w:val="14"/>
              </w:rPr>
              <w:t>1 758 911</w:t>
            </w:r>
          </w:p>
        </w:tc>
        <w:tc>
          <w:tcPr>
            <w:tcW w:w="556" w:type="pct"/>
            <w:tcBorders>
              <w:top w:val="single" w:sz="4" w:space="0" w:color="auto"/>
              <w:left w:val="nil"/>
              <w:bottom w:val="single" w:sz="4" w:space="0" w:color="auto"/>
              <w:right w:val="single" w:sz="4" w:space="0" w:color="auto"/>
            </w:tcBorders>
            <w:shd w:val="clear" w:color="auto" w:fill="auto"/>
            <w:vAlign w:val="bottom"/>
            <w:hideMark/>
          </w:tcPr>
          <w:p w:rsidR="007D13F3" w:rsidRPr="00C3759D" w:rsidRDefault="007D13F3" w:rsidP="00465CAC">
            <w:pPr>
              <w:jc w:val="right"/>
              <w:rPr>
                <w:rFonts w:ascii="Times New Roman" w:hAnsi="Times New Roman" w:cs="Times New Roman"/>
                <w:bCs/>
                <w:sz w:val="14"/>
                <w:szCs w:val="14"/>
              </w:rPr>
            </w:pPr>
            <w:r w:rsidRPr="00C3759D">
              <w:rPr>
                <w:rFonts w:ascii="Times New Roman" w:hAnsi="Times New Roman" w:cs="Times New Roman"/>
                <w:bCs/>
                <w:sz w:val="14"/>
                <w:szCs w:val="14"/>
              </w:rPr>
              <w:t>1 700 800</w:t>
            </w:r>
          </w:p>
        </w:tc>
        <w:tc>
          <w:tcPr>
            <w:tcW w:w="555" w:type="pct"/>
            <w:tcBorders>
              <w:top w:val="single" w:sz="4" w:space="0" w:color="auto"/>
              <w:left w:val="nil"/>
              <w:bottom w:val="single" w:sz="4" w:space="0" w:color="auto"/>
              <w:right w:val="single" w:sz="4" w:space="0" w:color="auto"/>
            </w:tcBorders>
            <w:shd w:val="clear" w:color="auto" w:fill="auto"/>
            <w:vAlign w:val="bottom"/>
            <w:hideMark/>
          </w:tcPr>
          <w:p w:rsidR="007D13F3" w:rsidRPr="00C3759D" w:rsidRDefault="007D13F3" w:rsidP="00465CAC">
            <w:pPr>
              <w:jc w:val="right"/>
              <w:rPr>
                <w:rFonts w:ascii="Times New Roman" w:hAnsi="Times New Roman" w:cs="Times New Roman"/>
                <w:bCs/>
                <w:sz w:val="14"/>
                <w:szCs w:val="14"/>
              </w:rPr>
            </w:pPr>
            <w:r w:rsidRPr="00C3759D">
              <w:rPr>
                <w:rFonts w:ascii="Times New Roman" w:hAnsi="Times New Roman" w:cs="Times New Roman"/>
                <w:bCs/>
                <w:sz w:val="14"/>
                <w:szCs w:val="14"/>
              </w:rPr>
              <w:t>1 655 119</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13F3" w:rsidRPr="00C3759D" w:rsidRDefault="007D13F3" w:rsidP="00465CAC">
            <w:pPr>
              <w:jc w:val="right"/>
              <w:rPr>
                <w:rFonts w:ascii="Times New Roman" w:hAnsi="Times New Roman" w:cs="Times New Roman"/>
                <w:bCs/>
                <w:sz w:val="14"/>
                <w:szCs w:val="14"/>
                <w:lang w:eastAsia="sk-SK"/>
              </w:rPr>
            </w:pPr>
            <w:r w:rsidRPr="00C3759D">
              <w:rPr>
                <w:rFonts w:ascii="Times New Roman" w:hAnsi="Times New Roman" w:cs="Times New Roman"/>
                <w:bCs/>
                <w:sz w:val="14"/>
                <w:szCs w:val="14"/>
              </w:rPr>
              <w:t>1 783 164</w:t>
            </w:r>
          </w:p>
        </w:tc>
        <w:tc>
          <w:tcPr>
            <w:tcW w:w="555" w:type="pct"/>
            <w:tcBorders>
              <w:top w:val="single" w:sz="4" w:space="0" w:color="auto"/>
              <w:left w:val="nil"/>
              <w:bottom w:val="single" w:sz="4" w:space="0" w:color="auto"/>
              <w:right w:val="single" w:sz="4" w:space="0" w:color="auto"/>
            </w:tcBorders>
            <w:shd w:val="clear" w:color="auto" w:fill="auto"/>
            <w:vAlign w:val="bottom"/>
            <w:hideMark/>
          </w:tcPr>
          <w:p w:rsidR="007D13F3" w:rsidRPr="00C3759D" w:rsidRDefault="007D13F3" w:rsidP="00465CAC">
            <w:pPr>
              <w:jc w:val="right"/>
              <w:rPr>
                <w:rFonts w:ascii="Times New Roman" w:hAnsi="Times New Roman" w:cs="Times New Roman"/>
                <w:bCs/>
                <w:sz w:val="14"/>
                <w:szCs w:val="14"/>
              </w:rPr>
            </w:pPr>
            <w:r w:rsidRPr="00C3759D">
              <w:rPr>
                <w:rFonts w:ascii="Times New Roman" w:hAnsi="Times New Roman" w:cs="Times New Roman"/>
                <w:bCs/>
                <w:sz w:val="14"/>
                <w:szCs w:val="14"/>
              </w:rPr>
              <w:t>1 668 587</w:t>
            </w:r>
          </w:p>
        </w:tc>
        <w:tc>
          <w:tcPr>
            <w:tcW w:w="555" w:type="pct"/>
            <w:tcBorders>
              <w:top w:val="single" w:sz="4" w:space="0" w:color="auto"/>
              <w:left w:val="nil"/>
              <w:bottom w:val="single" w:sz="4" w:space="0" w:color="auto"/>
              <w:right w:val="single" w:sz="4" w:space="0" w:color="auto"/>
            </w:tcBorders>
            <w:shd w:val="clear" w:color="auto" w:fill="auto"/>
            <w:vAlign w:val="bottom"/>
            <w:hideMark/>
          </w:tcPr>
          <w:p w:rsidR="007D13F3" w:rsidRPr="00C3759D" w:rsidRDefault="007D13F3" w:rsidP="00465CAC">
            <w:pPr>
              <w:jc w:val="right"/>
              <w:rPr>
                <w:rFonts w:ascii="Times New Roman" w:hAnsi="Times New Roman" w:cs="Times New Roman"/>
                <w:bCs/>
                <w:sz w:val="14"/>
                <w:szCs w:val="14"/>
              </w:rPr>
            </w:pPr>
            <w:r w:rsidRPr="00C3759D">
              <w:rPr>
                <w:rFonts w:ascii="Times New Roman" w:hAnsi="Times New Roman" w:cs="Times New Roman"/>
                <w:bCs/>
                <w:sz w:val="14"/>
                <w:szCs w:val="14"/>
              </w:rPr>
              <w:t>1 668 587</w:t>
            </w:r>
          </w:p>
        </w:tc>
        <w:tc>
          <w:tcPr>
            <w:tcW w:w="555" w:type="pct"/>
            <w:tcBorders>
              <w:top w:val="single" w:sz="4" w:space="0" w:color="auto"/>
              <w:left w:val="nil"/>
              <w:bottom w:val="single" w:sz="4" w:space="0" w:color="auto"/>
              <w:right w:val="single" w:sz="4" w:space="0" w:color="auto"/>
            </w:tcBorders>
            <w:shd w:val="clear" w:color="auto" w:fill="auto"/>
            <w:vAlign w:val="bottom"/>
            <w:hideMark/>
          </w:tcPr>
          <w:p w:rsidR="007D13F3" w:rsidRPr="00C3759D" w:rsidRDefault="007D13F3" w:rsidP="00465CAC">
            <w:pPr>
              <w:jc w:val="right"/>
              <w:rPr>
                <w:rFonts w:ascii="Times New Roman" w:hAnsi="Times New Roman" w:cs="Times New Roman"/>
                <w:bCs/>
                <w:sz w:val="14"/>
                <w:szCs w:val="14"/>
              </w:rPr>
            </w:pPr>
            <w:r w:rsidRPr="00C3759D">
              <w:rPr>
                <w:rFonts w:ascii="Times New Roman" w:hAnsi="Times New Roman" w:cs="Times New Roman"/>
                <w:bCs/>
                <w:sz w:val="14"/>
                <w:szCs w:val="14"/>
              </w:rPr>
              <w:t>1 668 587</w:t>
            </w:r>
          </w:p>
        </w:tc>
      </w:tr>
    </w:tbl>
    <w:p w:rsidR="007D13F3" w:rsidRPr="00A47FEB" w:rsidRDefault="007D13F3" w:rsidP="007D13F3">
      <w:pPr>
        <w:ind w:firstLine="708"/>
        <w:jc w:val="both"/>
        <w:rPr>
          <w:rFonts w:ascii="Times New Roman" w:hAnsi="Times New Roman" w:cs="Times New Roman"/>
          <w:sz w:val="16"/>
          <w:szCs w:val="16"/>
        </w:rPr>
      </w:pPr>
    </w:p>
    <w:p w:rsidR="007D13F3" w:rsidRPr="00F628DB" w:rsidRDefault="007D13F3" w:rsidP="007D13F3">
      <w:pPr>
        <w:ind w:firstLine="708"/>
        <w:jc w:val="both"/>
        <w:rPr>
          <w:rFonts w:ascii="Times New Roman" w:hAnsi="Times New Roman" w:cs="Times New Roman"/>
        </w:rPr>
      </w:pPr>
      <w:r w:rsidRPr="00A807BD">
        <w:rPr>
          <w:rFonts w:ascii="Times New Roman" w:hAnsi="Times New Roman" w:cs="Times New Roman"/>
          <w:bCs/>
        </w:rPr>
        <w:t>Celkové p</w:t>
      </w:r>
      <w:r w:rsidRPr="00A807BD">
        <w:rPr>
          <w:rFonts w:ascii="Times New Roman" w:hAnsi="Times New Roman" w:cs="Times New Roman"/>
        </w:rPr>
        <w:t xml:space="preserve">rostriedky Úradu pre Slovákov žijúcich v zahraničí sa na rok 2018 navrhujú v sume 1,67 mil. eur, čo predstavuje nárast oproti schválenému rozpočtu roku 2017 </w:t>
      </w:r>
      <w:r w:rsidRPr="00A807BD">
        <w:rPr>
          <w:rFonts w:ascii="Times New Roman" w:hAnsi="Times New Roman" w:cs="Times New Roman"/>
        </w:rPr>
        <w:br/>
        <w:t xml:space="preserve">o 13,5 tis. eur, t. j. o 0,81 %. V tejto oblasti sú v rámci výdavkov kapitoly </w:t>
      </w:r>
      <w:proofErr w:type="spellStart"/>
      <w:r>
        <w:rPr>
          <w:rFonts w:ascii="Times New Roman" w:hAnsi="Times New Roman" w:cs="Times New Roman"/>
        </w:rPr>
        <w:t>MZVaEZ</w:t>
      </w:r>
      <w:proofErr w:type="spellEnd"/>
      <w:r>
        <w:rPr>
          <w:rFonts w:ascii="Times New Roman" w:hAnsi="Times New Roman" w:cs="Times New Roman"/>
        </w:rPr>
        <w:t xml:space="preserve"> </w:t>
      </w:r>
      <w:r w:rsidRPr="00A807BD">
        <w:rPr>
          <w:rFonts w:ascii="Times New Roman" w:hAnsi="Times New Roman" w:cs="Times New Roman"/>
        </w:rPr>
        <w:t>SR zabezpečené</w:t>
      </w:r>
      <w:r w:rsidRPr="00A807BD" w:rsidDel="00584E0E">
        <w:rPr>
          <w:rFonts w:ascii="Times New Roman" w:hAnsi="Times New Roman" w:cs="Times New Roman"/>
        </w:rPr>
        <w:t xml:space="preserve"> </w:t>
      </w:r>
      <w:r w:rsidRPr="00A807BD">
        <w:rPr>
          <w:rFonts w:ascii="Times New Roman" w:hAnsi="Times New Roman" w:cs="Times New Roman"/>
        </w:rPr>
        <w:t>finančné prostriedky v zmysle § 6 zákona č. 474/2005 Z. z. o Slovákoch žijúcich v zahraničí a o zmene a doplnení niektorých zákonov na účely financovania aktivít zameraných na podporu Slovákov žijúcich v zahraničí.</w:t>
      </w:r>
      <w:r w:rsidRPr="00F628DB">
        <w:rPr>
          <w:rFonts w:ascii="Times New Roman" w:hAnsi="Times New Roman" w:cs="Times New Roman"/>
        </w:rPr>
        <w:t xml:space="preserve"> </w:t>
      </w:r>
    </w:p>
    <w:p w:rsidR="007D13F3" w:rsidRPr="00A47FEB" w:rsidRDefault="007D13F3" w:rsidP="007D13F3">
      <w:pPr>
        <w:pStyle w:val="Nadpis5"/>
        <w:pBdr>
          <w:bottom w:val="single" w:sz="4" w:space="1" w:color="auto"/>
        </w:pBdr>
        <w:spacing w:before="0" w:after="0"/>
        <w:ind w:left="0"/>
        <w:rPr>
          <w:i w:val="0"/>
          <w:sz w:val="16"/>
          <w:szCs w:val="16"/>
        </w:rPr>
      </w:pPr>
    </w:p>
    <w:p w:rsidR="007D13F3" w:rsidRDefault="007D13F3" w:rsidP="007D13F3">
      <w:pPr>
        <w:pStyle w:val="Nadpis5"/>
        <w:pBdr>
          <w:bottom w:val="single" w:sz="4" w:space="1" w:color="auto"/>
        </w:pBdr>
        <w:spacing w:before="0" w:after="0"/>
        <w:ind w:left="0"/>
        <w:rPr>
          <w:i w:val="0"/>
          <w:sz w:val="24"/>
        </w:rPr>
      </w:pPr>
      <w:bookmarkStart w:id="150" w:name="_Toc494470103"/>
      <w:bookmarkStart w:id="151" w:name="_Toc494472279"/>
      <w:r w:rsidRPr="004E6000">
        <w:rPr>
          <w:i w:val="0"/>
          <w:sz w:val="24"/>
        </w:rPr>
        <w:t>Kancelária Národnej rady SR</w:t>
      </w:r>
      <w:bookmarkEnd w:id="150"/>
      <w:bookmarkEnd w:id="151"/>
      <w:r w:rsidRPr="004E6000">
        <w:rPr>
          <w:i w:val="0"/>
          <w:sz w:val="24"/>
        </w:rPr>
        <w:t xml:space="preserve"> </w:t>
      </w:r>
    </w:p>
    <w:p w:rsidR="007D13F3" w:rsidRDefault="007D13F3" w:rsidP="007D13F3"/>
    <w:tbl>
      <w:tblPr>
        <w:tblW w:w="5000" w:type="pct"/>
        <w:tblCellMar>
          <w:left w:w="70" w:type="dxa"/>
          <w:right w:w="70" w:type="dxa"/>
        </w:tblCellMar>
        <w:tblLook w:val="04A0" w:firstRow="1" w:lastRow="0" w:firstColumn="1" w:lastColumn="0" w:noHBand="0" w:noVBand="1"/>
      </w:tblPr>
      <w:tblGrid>
        <w:gridCol w:w="2730"/>
        <w:gridCol w:w="982"/>
        <w:gridCol w:w="895"/>
        <w:gridCol w:w="857"/>
        <w:gridCol w:w="895"/>
        <w:gridCol w:w="901"/>
        <w:gridCol w:w="901"/>
        <w:gridCol w:w="901"/>
      </w:tblGrid>
      <w:tr w:rsidR="007D13F3" w:rsidRPr="00951C93" w:rsidTr="00465CAC">
        <w:trPr>
          <w:trHeight w:val="255"/>
        </w:trPr>
        <w:tc>
          <w:tcPr>
            <w:tcW w:w="1506"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D13F3" w:rsidRPr="00951C93" w:rsidRDefault="007D13F3" w:rsidP="00465CAC">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 v eurách</w:t>
            </w:r>
          </w:p>
        </w:tc>
        <w:tc>
          <w:tcPr>
            <w:tcW w:w="542"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6936D2" w:rsidRDefault="007D13F3" w:rsidP="00465CAC">
            <w:pPr>
              <w:jc w:val="center"/>
              <w:rPr>
                <w:rFonts w:ascii="Times New Roman" w:hAnsi="Times New Roman" w:cs="Times New Roman"/>
                <w:b/>
                <w:bCs/>
                <w:color w:val="000000"/>
                <w:sz w:val="14"/>
                <w:szCs w:val="14"/>
                <w:lang w:eastAsia="sk-SK"/>
              </w:rPr>
            </w:pPr>
            <w:r w:rsidRPr="006936D2">
              <w:rPr>
                <w:rFonts w:ascii="Times New Roman" w:hAnsi="Times New Roman" w:cs="Times New Roman"/>
                <w:b/>
                <w:bCs/>
                <w:color w:val="000000"/>
                <w:sz w:val="14"/>
                <w:szCs w:val="14"/>
              </w:rPr>
              <w:t>2015 S</w:t>
            </w:r>
          </w:p>
        </w:tc>
        <w:tc>
          <w:tcPr>
            <w:tcW w:w="494"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6936D2" w:rsidRDefault="007D13F3" w:rsidP="00465CAC">
            <w:pPr>
              <w:jc w:val="center"/>
              <w:rPr>
                <w:rFonts w:ascii="Times New Roman" w:hAnsi="Times New Roman" w:cs="Times New Roman"/>
                <w:b/>
                <w:bCs/>
                <w:color w:val="000000"/>
                <w:sz w:val="14"/>
                <w:szCs w:val="14"/>
              </w:rPr>
            </w:pPr>
            <w:r w:rsidRPr="006936D2">
              <w:rPr>
                <w:rFonts w:ascii="Times New Roman" w:hAnsi="Times New Roman" w:cs="Times New Roman"/>
                <w:b/>
                <w:bCs/>
                <w:color w:val="000000"/>
                <w:sz w:val="14"/>
                <w:szCs w:val="14"/>
              </w:rPr>
              <w:t>2016 S</w:t>
            </w:r>
          </w:p>
        </w:tc>
        <w:tc>
          <w:tcPr>
            <w:tcW w:w="473"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6936D2" w:rsidRDefault="007D13F3" w:rsidP="00465CAC">
            <w:pPr>
              <w:jc w:val="center"/>
              <w:rPr>
                <w:rFonts w:ascii="Times New Roman" w:hAnsi="Times New Roman" w:cs="Times New Roman"/>
                <w:b/>
                <w:bCs/>
                <w:color w:val="000000"/>
                <w:sz w:val="14"/>
                <w:szCs w:val="14"/>
              </w:rPr>
            </w:pPr>
            <w:r w:rsidRPr="006936D2">
              <w:rPr>
                <w:rFonts w:ascii="Times New Roman" w:hAnsi="Times New Roman" w:cs="Times New Roman"/>
                <w:b/>
                <w:bCs/>
                <w:color w:val="000000"/>
                <w:sz w:val="14"/>
                <w:szCs w:val="14"/>
              </w:rPr>
              <w:t>2017 R</w:t>
            </w:r>
          </w:p>
        </w:tc>
        <w:tc>
          <w:tcPr>
            <w:tcW w:w="494"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6936D2" w:rsidRDefault="007D13F3" w:rsidP="00465CAC">
            <w:pPr>
              <w:jc w:val="center"/>
              <w:rPr>
                <w:rFonts w:ascii="Times New Roman" w:hAnsi="Times New Roman" w:cs="Times New Roman"/>
                <w:b/>
                <w:bCs/>
                <w:color w:val="000000"/>
                <w:sz w:val="14"/>
                <w:szCs w:val="14"/>
              </w:rPr>
            </w:pPr>
            <w:r w:rsidRPr="006936D2">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497"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6936D2" w:rsidRDefault="007D13F3" w:rsidP="00465CAC">
            <w:pPr>
              <w:jc w:val="center"/>
              <w:rPr>
                <w:rFonts w:ascii="Times New Roman" w:hAnsi="Times New Roman" w:cs="Times New Roman"/>
                <w:b/>
                <w:bCs/>
                <w:color w:val="000000"/>
                <w:sz w:val="14"/>
                <w:szCs w:val="14"/>
              </w:rPr>
            </w:pPr>
            <w:r w:rsidRPr="006936D2">
              <w:rPr>
                <w:rFonts w:ascii="Times New Roman" w:hAnsi="Times New Roman" w:cs="Times New Roman"/>
                <w:b/>
                <w:bCs/>
                <w:color w:val="000000"/>
                <w:sz w:val="14"/>
                <w:szCs w:val="14"/>
              </w:rPr>
              <w:t>2018 N</w:t>
            </w:r>
          </w:p>
        </w:tc>
        <w:tc>
          <w:tcPr>
            <w:tcW w:w="497"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6936D2" w:rsidRDefault="007D13F3" w:rsidP="00465CAC">
            <w:pPr>
              <w:jc w:val="center"/>
              <w:rPr>
                <w:rFonts w:ascii="Times New Roman" w:hAnsi="Times New Roman" w:cs="Times New Roman"/>
                <w:b/>
                <w:bCs/>
                <w:color w:val="000000"/>
                <w:sz w:val="14"/>
                <w:szCs w:val="14"/>
              </w:rPr>
            </w:pPr>
            <w:r w:rsidRPr="006936D2">
              <w:rPr>
                <w:rFonts w:ascii="Times New Roman" w:hAnsi="Times New Roman" w:cs="Times New Roman"/>
                <w:b/>
                <w:bCs/>
                <w:color w:val="000000"/>
                <w:sz w:val="14"/>
                <w:szCs w:val="14"/>
              </w:rPr>
              <w:t>2019 N</w:t>
            </w:r>
          </w:p>
        </w:tc>
        <w:tc>
          <w:tcPr>
            <w:tcW w:w="497"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6936D2" w:rsidRDefault="007D13F3" w:rsidP="00465CAC">
            <w:pPr>
              <w:jc w:val="center"/>
              <w:rPr>
                <w:rFonts w:ascii="Times New Roman" w:hAnsi="Times New Roman" w:cs="Times New Roman"/>
                <w:b/>
                <w:bCs/>
                <w:color w:val="000000"/>
                <w:sz w:val="14"/>
                <w:szCs w:val="14"/>
              </w:rPr>
            </w:pPr>
            <w:r w:rsidRPr="006936D2">
              <w:rPr>
                <w:rFonts w:ascii="Times New Roman" w:hAnsi="Times New Roman" w:cs="Times New Roman"/>
                <w:b/>
                <w:bCs/>
                <w:color w:val="000000"/>
                <w:sz w:val="14"/>
                <w:szCs w:val="14"/>
              </w:rPr>
              <w:t>2020 N</w:t>
            </w:r>
          </w:p>
        </w:tc>
      </w:tr>
      <w:tr w:rsidR="007D13F3" w:rsidRPr="00951C93" w:rsidTr="00465CAC">
        <w:trPr>
          <w:trHeight w:val="255"/>
        </w:trPr>
        <w:tc>
          <w:tcPr>
            <w:tcW w:w="1506"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7D13F3" w:rsidRPr="00467334" w:rsidRDefault="007D13F3" w:rsidP="00465CAC">
            <w:pPr>
              <w:rPr>
                <w:rFonts w:ascii="Times New Roman" w:hAnsi="Times New Roman" w:cs="Times New Roman"/>
                <w:b/>
                <w:bCs/>
                <w:color w:val="000000"/>
                <w:sz w:val="14"/>
                <w:szCs w:val="14"/>
                <w:lang w:eastAsia="sk-SK"/>
              </w:rPr>
            </w:pPr>
            <w:r w:rsidRPr="00467334">
              <w:rPr>
                <w:rFonts w:ascii="Times New Roman" w:hAnsi="Times New Roman" w:cs="Times New Roman"/>
                <w:b/>
                <w:bCs/>
                <w:color w:val="000000"/>
                <w:sz w:val="14"/>
                <w:szCs w:val="14"/>
              </w:rPr>
              <w:t>Zdroje príslušnej kapitoly vrátane 72e</w:t>
            </w:r>
          </w:p>
        </w:tc>
        <w:tc>
          <w:tcPr>
            <w:tcW w:w="542" w:type="pct"/>
            <w:tcBorders>
              <w:top w:val="single" w:sz="4" w:space="0" w:color="auto"/>
              <w:left w:val="nil"/>
              <w:bottom w:val="single" w:sz="4" w:space="0" w:color="auto"/>
              <w:right w:val="single" w:sz="4" w:space="0" w:color="auto"/>
            </w:tcBorders>
            <w:shd w:val="clear" w:color="000000" w:fill="BFBFBF"/>
            <w:noWrap/>
            <w:vAlign w:val="bottom"/>
          </w:tcPr>
          <w:p w:rsidR="007D13F3" w:rsidRPr="00467334" w:rsidRDefault="007D13F3" w:rsidP="00465CAC">
            <w:pPr>
              <w:jc w:val="right"/>
              <w:rPr>
                <w:rFonts w:ascii="Times New Roman" w:hAnsi="Times New Roman" w:cs="Times New Roman"/>
                <w:b/>
                <w:bCs/>
                <w:color w:val="000000"/>
                <w:sz w:val="14"/>
                <w:szCs w:val="14"/>
              </w:rPr>
            </w:pPr>
            <w:r w:rsidRPr="00467334">
              <w:rPr>
                <w:rFonts w:ascii="Times New Roman" w:hAnsi="Times New Roman" w:cs="Times New Roman"/>
                <w:b/>
                <w:bCs/>
                <w:color w:val="000000"/>
                <w:sz w:val="14"/>
                <w:szCs w:val="14"/>
              </w:rPr>
              <w:t>37 986 383</w:t>
            </w:r>
          </w:p>
        </w:tc>
        <w:tc>
          <w:tcPr>
            <w:tcW w:w="494" w:type="pct"/>
            <w:tcBorders>
              <w:top w:val="single" w:sz="4" w:space="0" w:color="auto"/>
              <w:left w:val="nil"/>
              <w:bottom w:val="single" w:sz="4" w:space="0" w:color="auto"/>
              <w:right w:val="single" w:sz="4" w:space="0" w:color="auto"/>
            </w:tcBorders>
            <w:shd w:val="clear" w:color="000000" w:fill="BFBFBF"/>
            <w:noWrap/>
            <w:vAlign w:val="bottom"/>
          </w:tcPr>
          <w:p w:rsidR="007D13F3" w:rsidRPr="00467334" w:rsidRDefault="007D13F3" w:rsidP="00465CAC">
            <w:pPr>
              <w:jc w:val="right"/>
              <w:rPr>
                <w:rFonts w:ascii="Times New Roman" w:hAnsi="Times New Roman" w:cs="Times New Roman"/>
                <w:b/>
                <w:bCs/>
                <w:color w:val="000000"/>
                <w:sz w:val="14"/>
                <w:szCs w:val="14"/>
              </w:rPr>
            </w:pPr>
            <w:r w:rsidRPr="00467334">
              <w:rPr>
                <w:rFonts w:ascii="Times New Roman" w:hAnsi="Times New Roman" w:cs="Times New Roman"/>
                <w:b/>
                <w:bCs/>
                <w:color w:val="000000"/>
                <w:sz w:val="14"/>
                <w:szCs w:val="14"/>
              </w:rPr>
              <w:t>39 666 188</w:t>
            </w:r>
          </w:p>
        </w:tc>
        <w:tc>
          <w:tcPr>
            <w:tcW w:w="473" w:type="pct"/>
            <w:tcBorders>
              <w:top w:val="single" w:sz="4" w:space="0" w:color="auto"/>
              <w:left w:val="nil"/>
              <w:bottom w:val="single" w:sz="4" w:space="0" w:color="auto"/>
              <w:right w:val="single" w:sz="4" w:space="0" w:color="auto"/>
            </w:tcBorders>
            <w:shd w:val="clear" w:color="000000" w:fill="BFBFBF"/>
            <w:noWrap/>
            <w:vAlign w:val="bottom"/>
          </w:tcPr>
          <w:p w:rsidR="007D13F3" w:rsidRPr="00467334" w:rsidRDefault="007D13F3" w:rsidP="00465CAC">
            <w:pPr>
              <w:jc w:val="right"/>
              <w:rPr>
                <w:rFonts w:ascii="Times New Roman" w:hAnsi="Times New Roman" w:cs="Times New Roman"/>
                <w:b/>
                <w:bCs/>
                <w:color w:val="000000"/>
                <w:sz w:val="14"/>
                <w:szCs w:val="14"/>
              </w:rPr>
            </w:pPr>
            <w:r w:rsidRPr="00467334">
              <w:rPr>
                <w:rFonts w:ascii="Times New Roman" w:hAnsi="Times New Roman" w:cs="Times New Roman"/>
                <w:b/>
                <w:bCs/>
                <w:color w:val="000000"/>
                <w:sz w:val="14"/>
                <w:szCs w:val="14"/>
              </w:rPr>
              <w:t>36 505 900</w:t>
            </w:r>
          </w:p>
        </w:tc>
        <w:tc>
          <w:tcPr>
            <w:tcW w:w="494" w:type="pct"/>
            <w:tcBorders>
              <w:top w:val="single" w:sz="4" w:space="0" w:color="auto"/>
              <w:left w:val="nil"/>
              <w:bottom w:val="single" w:sz="4" w:space="0" w:color="auto"/>
              <w:right w:val="single" w:sz="4" w:space="0" w:color="auto"/>
            </w:tcBorders>
            <w:shd w:val="clear" w:color="000000" w:fill="BFBFBF"/>
            <w:noWrap/>
            <w:vAlign w:val="bottom"/>
          </w:tcPr>
          <w:p w:rsidR="007D13F3" w:rsidRPr="00467334" w:rsidRDefault="007D13F3" w:rsidP="00465CAC">
            <w:pPr>
              <w:jc w:val="right"/>
              <w:rPr>
                <w:rFonts w:ascii="Times New Roman" w:hAnsi="Times New Roman" w:cs="Times New Roman"/>
                <w:b/>
                <w:bCs/>
                <w:color w:val="000000"/>
                <w:sz w:val="14"/>
                <w:szCs w:val="14"/>
              </w:rPr>
            </w:pPr>
            <w:r w:rsidRPr="00467334">
              <w:rPr>
                <w:rFonts w:ascii="Times New Roman" w:hAnsi="Times New Roman" w:cs="Times New Roman"/>
                <w:b/>
                <w:bCs/>
                <w:color w:val="000000"/>
                <w:sz w:val="14"/>
                <w:szCs w:val="14"/>
              </w:rPr>
              <w:t>36 844 221</w:t>
            </w:r>
          </w:p>
        </w:tc>
        <w:tc>
          <w:tcPr>
            <w:tcW w:w="497"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7D13F3" w:rsidRPr="00401173" w:rsidRDefault="007D13F3" w:rsidP="00465CAC">
            <w:pPr>
              <w:jc w:val="right"/>
              <w:rPr>
                <w:rFonts w:ascii="Times New Roman" w:hAnsi="Times New Roman" w:cs="Times New Roman"/>
                <w:b/>
                <w:bCs/>
                <w:color w:val="000000"/>
                <w:sz w:val="14"/>
                <w:szCs w:val="14"/>
                <w:lang w:eastAsia="sk-SK"/>
              </w:rPr>
            </w:pPr>
            <w:r w:rsidRPr="00401173">
              <w:rPr>
                <w:rFonts w:ascii="Times New Roman" w:hAnsi="Times New Roman" w:cs="Times New Roman"/>
                <w:b/>
                <w:bCs/>
                <w:color w:val="000000"/>
                <w:sz w:val="14"/>
                <w:szCs w:val="14"/>
              </w:rPr>
              <w:t>39 681 953</w:t>
            </w:r>
          </w:p>
        </w:tc>
        <w:tc>
          <w:tcPr>
            <w:tcW w:w="497" w:type="pct"/>
            <w:tcBorders>
              <w:top w:val="single" w:sz="4" w:space="0" w:color="auto"/>
              <w:left w:val="nil"/>
              <w:bottom w:val="single" w:sz="4" w:space="0" w:color="auto"/>
              <w:right w:val="single" w:sz="4" w:space="0" w:color="auto"/>
            </w:tcBorders>
            <w:shd w:val="clear" w:color="000000" w:fill="BFBFBF"/>
            <w:noWrap/>
            <w:vAlign w:val="bottom"/>
          </w:tcPr>
          <w:p w:rsidR="007D13F3" w:rsidRPr="00401173" w:rsidRDefault="007D13F3" w:rsidP="00465CAC">
            <w:pPr>
              <w:jc w:val="right"/>
              <w:rPr>
                <w:rFonts w:ascii="Times New Roman" w:hAnsi="Times New Roman" w:cs="Times New Roman"/>
                <w:b/>
                <w:bCs/>
                <w:color w:val="000000"/>
                <w:sz w:val="14"/>
                <w:szCs w:val="14"/>
              </w:rPr>
            </w:pPr>
            <w:r w:rsidRPr="00401173">
              <w:rPr>
                <w:rFonts w:ascii="Times New Roman" w:hAnsi="Times New Roman" w:cs="Times New Roman"/>
                <w:b/>
                <w:bCs/>
                <w:color w:val="000000"/>
                <w:sz w:val="14"/>
                <w:szCs w:val="14"/>
              </w:rPr>
              <w:t>29 488 498</w:t>
            </w:r>
          </w:p>
        </w:tc>
        <w:tc>
          <w:tcPr>
            <w:tcW w:w="497" w:type="pct"/>
            <w:tcBorders>
              <w:top w:val="single" w:sz="4" w:space="0" w:color="auto"/>
              <w:left w:val="nil"/>
              <w:bottom w:val="single" w:sz="4" w:space="0" w:color="auto"/>
              <w:right w:val="single" w:sz="4" w:space="0" w:color="auto"/>
            </w:tcBorders>
            <w:shd w:val="clear" w:color="000000" w:fill="BFBFBF"/>
            <w:noWrap/>
            <w:vAlign w:val="bottom"/>
          </w:tcPr>
          <w:p w:rsidR="007D13F3" w:rsidRPr="00401173" w:rsidRDefault="007D13F3" w:rsidP="00465CAC">
            <w:pPr>
              <w:jc w:val="right"/>
              <w:rPr>
                <w:rFonts w:ascii="Times New Roman" w:hAnsi="Times New Roman" w:cs="Times New Roman"/>
                <w:b/>
                <w:bCs/>
                <w:color w:val="000000"/>
                <w:sz w:val="14"/>
                <w:szCs w:val="14"/>
              </w:rPr>
            </w:pPr>
            <w:r w:rsidRPr="00401173">
              <w:rPr>
                <w:rFonts w:ascii="Times New Roman" w:hAnsi="Times New Roman" w:cs="Times New Roman"/>
                <w:b/>
                <w:bCs/>
                <w:color w:val="000000"/>
                <w:sz w:val="14"/>
                <w:szCs w:val="14"/>
              </w:rPr>
              <w:t>31 024 531</w:t>
            </w:r>
          </w:p>
        </w:tc>
      </w:tr>
      <w:tr w:rsidR="007D13F3" w:rsidRPr="00951C93" w:rsidTr="00465CAC">
        <w:trPr>
          <w:trHeight w:val="255"/>
        </w:trPr>
        <w:tc>
          <w:tcPr>
            <w:tcW w:w="1506" w:type="pct"/>
            <w:tcBorders>
              <w:top w:val="nil"/>
              <w:left w:val="single" w:sz="4" w:space="0" w:color="auto"/>
              <w:bottom w:val="single" w:sz="4" w:space="0" w:color="auto"/>
              <w:right w:val="single" w:sz="4" w:space="0" w:color="auto"/>
            </w:tcBorders>
            <w:shd w:val="clear" w:color="000000" w:fill="C0C0C0"/>
            <w:noWrap/>
            <w:vAlign w:val="center"/>
            <w:hideMark/>
          </w:tcPr>
          <w:p w:rsidR="007D13F3" w:rsidRPr="00951C93" w:rsidRDefault="007D13F3" w:rsidP="00465CAC">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Zdroje príslušnej kapitoly</w:t>
            </w:r>
          </w:p>
        </w:tc>
        <w:tc>
          <w:tcPr>
            <w:tcW w:w="54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D13F3" w:rsidRPr="00467334" w:rsidRDefault="007D13F3" w:rsidP="00465CAC">
            <w:pPr>
              <w:jc w:val="right"/>
              <w:rPr>
                <w:rFonts w:ascii="Times New Roman" w:hAnsi="Times New Roman" w:cs="Times New Roman"/>
                <w:b/>
                <w:bCs/>
                <w:color w:val="000000"/>
                <w:sz w:val="14"/>
                <w:szCs w:val="14"/>
                <w:lang w:eastAsia="sk-SK"/>
              </w:rPr>
            </w:pPr>
            <w:r w:rsidRPr="00467334">
              <w:rPr>
                <w:rFonts w:ascii="Times New Roman" w:hAnsi="Times New Roman" w:cs="Times New Roman"/>
                <w:b/>
                <w:bCs/>
                <w:color w:val="000000"/>
                <w:sz w:val="14"/>
                <w:szCs w:val="14"/>
              </w:rPr>
              <w:t>37 978 494</w:t>
            </w:r>
          </w:p>
        </w:tc>
        <w:tc>
          <w:tcPr>
            <w:tcW w:w="494" w:type="pct"/>
            <w:tcBorders>
              <w:top w:val="single" w:sz="4" w:space="0" w:color="auto"/>
              <w:left w:val="nil"/>
              <w:bottom w:val="single" w:sz="4" w:space="0" w:color="auto"/>
              <w:right w:val="single" w:sz="4" w:space="0" w:color="auto"/>
            </w:tcBorders>
            <w:shd w:val="clear" w:color="000000" w:fill="BFBFBF"/>
            <w:noWrap/>
            <w:vAlign w:val="bottom"/>
            <w:hideMark/>
          </w:tcPr>
          <w:p w:rsidR="007D13F3" w:rsidRPr="00467334" w:rsidRDefault="007D13F3" w:rsidP="00465CAC">
            <w:pPr>
              <w:jc w:val="right"/>
              <w:rPr>
                <w:rFonts w:ascii="Times New Roman" w:hAnsi="Times New Roman" w:cs="Times New Roman"/>
                <w:b/>
                <w:bCs/>
                <w:color w:val="000000"/>
                <w:sz w:val="14"/>
                <w:szCs w:val="14"/>
              </w:rPr>
            </w:pPr>
            <w:r w:rsidRPr="00467334">
              <w:rPr>
                <w:rFonts w:ascii="Times New Roman" w:hAnsi="Times New Roman" w:cs="Times New Roman"/>
                <w:b/>
                <w:bCs/>
                <w:color w:val="000000"/>
                <w:sz w:val="14"/>
                <w:szCs w:val="14"/>
              </w:rPr>
              <w:t>39 666 188</w:t>
            </w:r>
          </w:p>
        </w:tc>
        <w:tc>
          <w:tcPr>
            <w:tcW w:w="473" w:type="pct"/>
            <w:tcBorders>
              <w:top w:val="single" w:sz="4" w:space="0" w:color="auto"/>
              <w:left w:val="nil"/>
              <w:bottom w:val="single" w:sz="4" w:space="0" w:color="auto"/>
              <w:right w:val="single" w:sz="4" w:space="0" w:color="auto"/>
            </w:tcBorders>
            <w:shd w:val="clear" w:color="000000" w:fill="BFBFBF"/>
            <w:noWrap/>
            <w:vAlign w:val="bottom"/>
            <w:hideMark/>
          </w:tcPr>
          <w:p w:rsidR="007D13F3" w:rsidRPr="00467334" w:rsidRDefault="007D13F3" w:rsidP="00465CAC">
            <w:pPr>
              <w:jc w:val="right"/>
              <w:rPr>
                <w:rFonts w:ascii="Times New Roman" w:hAnsi="Times New Roman" w:cs="Times New Roman"/>
                <w:b/>
                <w:bCs/>
                <w:color w:val="000000"/>
                <w:sz w:val="14"/>
                <w:szCs w:val="14"/>
              </w:rPr>
            </w:pPr>
            <w:r w:rsidRPr="00467334">
              <w:rPr>
                <w:rFonts w:ascii="Times New Roman" w:hAnsi="Times New Roman" w:cs="Times New Roman"/>
                <w:b/>
                <w:bCs/>
                <w:color w:val="000000"/>
                <w:sz w:val="14"/>
                <w:szCs w:val="14"/>
              </w:rPr>
              <w:t>36 505 900</w:t>
            </w:r>
          </w:p>
        </w:tc>
        <w:tc>
          <w:tcPr>
            <w:tcW w:w="494" w:type="pct"/>
            <w:tcBorders>
              <w:top w:val="single" w:sz="4" w:space="0" w:color="auto"/>
              <w:left w:val="nil"/>
              <w:bottom w:val="single" w:sz="4" w:space="0" w:color="auto"/>
              <w:right w:val="single" w:sz="4" w:space="0" w:color="auto"/>
            </w:tcBorders>
            <w:shd w:val="clear" w:color="000000" w:fill="BFBFBF"/>
            <w:noWrap/>
            <w:vAlign w:val="bottom"/>
            <w:hideMark/>
          </w:tcPr>
          <w:p w:rsidR="007D13F3" w:rsidRPr="00467334" w:rsidRDefault="007D13F3" w:rsidP="00465CAC">
            <w:pPr>
              <w:jc w:val="right"/>
              <w:rPr>
                <w:rFonts w:ascii="Times New Roman" w:hAnsi="Times New Roman" w:cs="Times New Roman"/>
                <w:b/>
                <w:bCs/>
                <w:color w:val="000000"/>
                <w:sz w:val="14"/>
                <w:szCs w:val="14"/>
              </w:rPr>
            </w:pPr>
            <w:r w:rsidRPr="00467334">
              <w:rPr>
                <w:rFonts w:ascii="Times New Roman" w:hAnsi="Times New Roman" w:cs="Times New Roman"/>
                <w:b/>
                <w:bCs/>
                <w:color w:val="000000"/>
                <w:sz w:val="14"/>
                <w:szCs w:val="14"/>
              </w:rPr>
              <w:t>36 844 221</w:t>
            </w:r>
          </w:p>
        </w:tc>
        <w:tc>
          <w:tcPr>
            <w:tcW w:w="497" w:type="pct"/>
            <w:tcBorders>
              <w:top w:val="nil"/>
              <w:left w:val="single" w:sz="4" w:space="0" w:color="auto"/>
              <w:bottom w:val="single" w:sz="4" w:space="0" w:color="auto"/>
              <w:right w:val="single" w:sz="4" w:space="0" w:color="auto"/>
            </w:tcBorders>
            <w:shd w:val="clear" w:color="000000" w:fill="BFBFBF"/>
            <w:noWrap/>
            <w:vAlign w:val="bottom"/>
            <w:hideMark/>
          </w:tcPr>
          <w:p w:rsidR="007D13F3" w:rsidRPr="00401173" w:rsidRDefault="007D13F3" w:rsidP="00465CAC">
            <w:pPr>
              <w:jc w:val="right"/>
              <w:rPr>
                <w:rFonts w:ascii="Times New Roman" w:hAnsi="Times New Roman" w:cs="Times New Roman"/>
                <w:b/>
                <w:bCs/>
                <w:color w:val="000000"/>
                <w:sz w:val="14"/>
                <w:szCs w:val="14"/>
              </w:rPr>
            </w:pPr>
            <w:r w:rsidRPr="00401173">
              <w:rPr>
                <w:rFonts w:ascii="Times New Roman" w:hAnsi="Times New Roman" w:cs="Times New Roman"/>
                <w:b/>
                <w:bCs/>
                <w:color w:val="000000"/>
                <w:sz w:val="14"/>
                <w:szCs w:val="14"/>
              </w:rPr>
              <w:t>39 681 953</w:t>
            </w:r>
          </w:p>
        </w:tc>
        <w:tc>
          <w:tcPr>
            <w:tcW w:w="497" w:type="pct"/>
            <w:tcBorders>
              <w:top w:val="nil"/>
              <w:left w:val="nil"/>
              <w:bottom w:val="single" w:sz="4" w:space="0" w:color="auto"/>
              <w:right w:val="single" w:sz="4" w:space="0" w:color="auto"/>
            </w:tcBorders>
            <w:shd w:val="clear" w:color="000000" w:fill="BFBFBF"/>
            <w:noWrap/>
            <w:vAlign w:val="bottom"/>
            <w:hideMark/>
          </w:tcPr>
          <w:p w:rsidR="007D13F3" w:rsidRPr="00401173" w:rsidRDefault="007D13F3" w:rsidP="00465CAC">
            <w:pPr>
              <w:jc w:val="right"/>
              <w:rPr>
                <w:rFonts w:ascii="Times New Roman" w:hAnsi="Times New Roman" w:cs="Times New Roman"/>
                <w:b/>
                <w:bCs/>
                <w:color w:val="000000"/>
                <w:sz w:val="14"/>
                <w:szCs w:val="14"/>
              </w:rPr>
            </w:pPr>
            <w:r w:rsidRPr="00401173">
              <w:rPr>
                <w:rFonts w:ascii="Times New Roman" w:hAnsi="Times New Roman" w:cs="Times New Roman"/>
                <w:b/>
                <w:bCs/>
                <w:color w:val="000000"/>
                <w:sz w:val="14"/>
                <w:szCs w:val="14"/>
              </w:rPr>
              <w:t>29 488 498</w:t>
            </w:r>
          </w:p>
        </w:tc>
        <w:tc>
          <w:tcPr>
            <w:tcW w:w="497" w:type="pct"/>
            <w:tcBorders>
              <w:top w:val="nil"/>
              <w:left w:val="nil"/>
              <w:bottom w:val="single" w:sz="4" w:space="0" w:color="auto"/>
              <w:right w:val="single" w:sz="4" w:space="0" w:color="auto"/>
            </w:tcBorders>
            <w:shd w:val="clear" w:color="000000" w:fill="BFBFBF"/>
            <w:noWrap/>
            <w:vAlign w:val="bottom"/>
            <w:hideMark/>
          </w:tcPr>
          <w:p w:rsidR="007D13F3" w:rsidRPr="00401173" w:rsidRDefault="007D13F3" w:rsidP="00465CAC">
            <w:pPr>
              <w:jc w:val="right"/>
              <w:rPr>
                <w:rFonts w:ascii="Times New Roman" w:hAnsi="Times New Roman" w:cs="Times New Roman"/>
                <w:b/>
                <w:bCs/>
                <w:color w:val="000000"/>
                <w:sz w:val="14"/>
                <w:szCs w:val="14"/>
              </w:rPr>
            </w:pPr>
            <w:r w:rsidRPr="00401173">
              <w:rPr>
                <w:rFonts w:ascii="Times New Roman" w:hAnsi="Times New Roman" w:cs="Times New Roman"/>
                <w:b/>
                <w:bCs/>
                <w:color w:val="000000"/>
                <w:sz w:val="14"/>
                <w:szCs w:val="14"/>
              </w:rPr>
              <w:t>31 024 531</w:t>
            </w:r>
          </w:p>
        </w:tc>
      </w:tr>
      <w:tr w:rsidR="007D13F3" w:rsidRPr="00951C93" w:rsidTr="00465CAC">
        <w:trPr>
          <w:trHeight w:val="255"/>
        </w:trPr>
        <w:tc>
          <w:tcPr>
            <w:tcW w:w="1506" w:type="pct"/>
            <w:tcBorders>
              <w:top w:val="nil"/>
              <w:left w:val="single" w:sz="4" w:space="0" w:color="auto"/>
              <w:bottom w:val="single" w:sz="4" w:space="0" w:color="auto"/>
              <w:right w:val="single" w:sz="4" w:space="0" w:color="auto"/>
            </w:tcBorders>
            <w:noWrap/>
            <w:vAlign w:val="center"/>
            <w:hideMark/>
          </w:tcPr>
          <w:p w:rsidR="007D13F3" w:rsidRPr="00951C93" w:rsidRDefault="007D13F3" w:rsidP="00465CAC">
            <w:pPr>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 xml:space="preserve">rozpočtové zdroje kapitoly </w:t>
            </w:r>
          </w:p>
        </w:tc>
        <w:tc>
          <w:tcPr>
            <w:tcW w:w="542" w:type="pct"/>
            <w:tcBorders>
              <w:top w:val="nil"/>
              <w:left w:val="single" w:sz="4" w:space="0" w:color="auto"/>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25 066 395</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30 163 210</w:t>
            </w:r>
          </w:p>
        </w:tc>
        <w:tc>
          <w:tcPr>
            <w:tcW w:w="473" w:type="pct"/>
            <w:tcBorders>
              <w:top w:val="nil"/>
              <w:left w:val="nil"/>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36 505 900</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467334" w:rsidRDefault="007D13F3" w:rsidP="00465CAC">
            <w:pPr>
              <w:jc w:val="right"/>
              <w:rPr>
                <w:rFonts w:ascii="Times New Roman" w:hAnsi="Times New Roman" w:cs="Times New Roman"/>
                <w:color w:val="000000"/>
                <w:sz w:val="14"/>
                <w:szCs w:val="14"/>
                <w:lang w:eastAsia="sk-SK"/>
              </w:rPr>
            </w:pPr>
            <w:r w:rsidRPr="00467334">
              <w:rPr>
                <w:rFonts w:ascii="Times New Roman" w:hAnsi="Times New Roman" w:cs="Times New Roman"/>
                <w:color w:val="000000"/>
                <w:sz w:val="14"/>
                <w:szCs w:val="14"/>
              </w:rPr>
              <w:t>36 844 221</w:t>
            </w:r>
          </w:p>
        </w:tc>
        <w:tc>
          <w:tcPr>
            <w:tcW w:w="497" w:type="pct"/>
            <w:tcBorders>
              <w:top w:val="nil"/>
              <w:left w:val="single" w:sz="4" w:space="0" w:color="auto"/>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39 681 953</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29 488 498</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31 024 531</w:t>
            </w:r>
          </w:p>
        </w:tc>
      </w:tr>
      <w:tr w:rsidR="007D13F3" w:rsidRPr="00951C93" w:rsidTr="00465CAC">
        <w:trPr>
          <w:trHeight w:val="255"/>
        </w:trPr>
        <w:tc>
          <w:tcPr>
            <w:tcW w:w="1506" w:type="pct"/>
            <w:tcBorders>
              <w:top w:val="nil"/>
              <w:left w:val="single" w:sz="4" w:space="0" w:color="auto"/>
              <w:bottom w:val="single" w:sz="4" w:space="0" w:color="auto"/>
              <w:right w:val="single" w:sz="4" w:space="0" w:color="auto"/>
            </w:tcBorders>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v tom: bežné výdavky  600</w:t>
            </w:r>
          </w:p>
        </w:tc>
        <w:tc>
          <w:tcPr>
            <w:tcW w:w="542" w:type="pct"/>
            <w:tcBorders>
              <w:top w:val="nil"/>
              <w:left w:val="single" w:sz="4" w:space="0" w:color="auto"/>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23 896 788</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26 233 051</w:t>
            </w:r>
          </w:p>
        </w:tc>
        <w:tc>
          <w:tcPr>
            <w:tcW w:w="473" w:type="pct"/>
            <w:tcBorders>
              <w:top w:val="nil"/>
              <w:left w:val="nil"/>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26 260 286</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7D13F3" w:rsidRPr="00467334" w:rsidRDefault="007D13F3" w:rsidP="00465CAC">
            <w:pPr>
              <w:jc w:val="right"/>
              <w:rPr>
                <w:rFonts w:ascii="Times New Roman" w:hAnsi="Times New Roman" w:cs="Times New Roman"/>
                <w:color w:val="000000"/>
                <w:sz w:val="14"/>
                <w:szCs w:val="14"/>
              </w:rPr>
            </w:pPr>
            <w:r w:rsidRPr="00467334">
              <w:rPr>
                <w:rFonts w:ascii="Times New Roman" w:hAnsi="Times New Roman" w:cs="Times New Roman"/>
                <w:color w:val="000000"/>
                <w:sz w:val="14"/>
                <w:szCs w:val="14"/>
              </w:rPr>
              <w:t>26 598 607</w:t>
            </w:r>
          </w:p>
        </w:tc>
        <w:tc>
          <w:tcPr>
            <w:tcW w:w="497" w:type="pct"/>
            <w:tcBorders>
              <w:top w:val="nil"/>
              <w:left w:val="single" w:sz="4" w:space="0" w:color="auto"/>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26 501 727</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26 424 188</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27 960 221</w:t>
            </w:r>
          </w:p>
        </w:tc>
      </w:tr>
      <w:tr w:rsidR="007D13F3" w:rsidRPr="00951C93" w:rsidTr="00465CAC">
        <w:trPr>
          <w:trHeight w:val="255"/>
        </w:trPr>
        <w:tc>
          <w:tcPr>
            <w:tcW w:w="1506" w:type="pct"/>
            <w:tcBorders>
              <w:top w:val="nil"/>
              <w:left w:val="single" w:sz="4" w:space="0" w:color="auto"/>
              <w:bottom w:val="single" w:sz="4" w:space="0" w:color="auto"/>
              <w:right w:val="single" w:sz="4" w:space="0" w:color="auto"/>
            </w:tcBorders>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610 mzdy</w:t>
            </w:r>
          </w:p>
        </w:tc>
        <w:tc>
          <w:tcPr>
            <w:tcW w:w="542" w:type="pct"/>
            <w:tcBorders>
              <w:top w:val="nil"/>
              <w:left w:val="single" w:sz="4" w:space="0" w:color="auto"/>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12 201 700</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12 625 071</w:t>
            </w:r>
          </w:p>
        </w:tc>
        <w:tc>
          <w:tcPr>
            <w:tcW w:w="473" w:type="pct"/>
            <w:tcBorders>
              <w:top w:val="nil"/>
              <w:left w:val="nil"/>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12 848 795</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7D13F3" w:rsidRPr="00467334" w:rsidRDefault="007D13F3" w:rsidP="00465CAC">
            <w:pPr>
              <w:jc w:val="right"/>
              <w:rPr>
                <w:rFonts w:ascii="Times New Roman" w:hAnsi="Times New Roman" w:cs="Times New Roman"/>
                <w:color w:val="000000"/>
                <w:sz w:val="14"/>
                <w:szCs w:val="14"/>
              </w:rPr>
            </w:pPr>
            <w:r w:rsidRPr="00467334">
              <w:rPr>
                <w:rFonts w:ascii="Times New Roman" w:hAnsi="Times New Roman" w:cs="Times New Roman"/>
                <w:color w:val="000000"/>
                <w:sz w:val="14"/>
                <w:szCs w:val="14"/>
              </w:rPr>
              <w:t>13 109 689</w:t>
            </w:r>
          </w:p>
        </w:tc>
        <w:tc>
          <w:tcPr>
            <w:tcW w:w="497" w:type="pct"/>
            <w:tcBorders>
              <w:top w:val="nil"/>
              <w:left w:val="single" w:sz="4" w:space="0" w:color="auto"/>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13 304 987</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13 304 987</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13 304 987</w:t>
            </w:r>
          </w:p>
        </w:tc>
      </w:tr>
      <w:tr w:rsidR="007D13F3" w:rsidRPr="00951C93" w:rsidTr="00465CAC">
        <w:trPr>
          <w:trHeight w:val="255"/>
        </w:trPr>
        <w:tc>
          <w:tcPr>
            <w:tcW w:w="1506" w:type="pct"/>
            <w:tcBorders>
              <w:top w:val="nil"/>
              <w:left w:val="single" w:sz="4" w:space="0" w:color="auto"/>
              <w:bottom w:val="single" w:sz="4" w:space="0" w:color="auto"/>
              <w:right w:val="single" w:sz="4" w:space="0" w:color="auto"/>
            </w:tcBorders>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620 odvody</w:t>
            </w:r>
          </w:p>
        </w:tc>
        <w:tc>
          <w:tcPr>
            <w:tcW w:w="542" w:type="pct"/>
            <w:tcBorders>
              <w:top w:val="nil"/>
              <w:left w:val="single" w:sz="4" w:space="0" w:color="auto"/>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3 426 119</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3 729 544</w:t>
            </w:r>
          </w:p>
        </w:tc>
        <w:tc>
          <w:tcPr>
            <w:tcW w:w="473" w:type="pct"/>
            <w:tcBorders>
              <w:top w:val="nil"/>
              <w:left w:val="nil"/>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3 636 721</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7D13F3" w:rsidRPr="00467334" w:rsidRDefault="007D13F3" w:rsidP="00465CAC">
            <w:pPr>
              <w:jc w:val="right"/>
              <w:rPr>
                <w:rFonts w:ascii="Times New Roman" w:hAnsi="Times New Roman" w:cs="Times New Roman"/>
                <w:color w:val="000000"/>
                <w:sz w:val="14"/>
                <w:szCs w:val="14"/>
              </w:rPr>
            </w:pPr>
            <w:r w:rsidRPr="00467334">
              <w:rPr>
                <w:rFonts w:ascii="Times New Roman" w:hAnsi="Times New Roman" w:cs="Times New Roman"/>
                <w:color w:val="000000"/>
                <w:sz w:val="14"/>
                <w:szCs w:val="14"/>
              </w:rPr>
              <w:t>3 738 680</w:t>
            </w:r>
          </w:p>
        </w:tc>
        <w:tc>
          <w:tcPr>
            <w:tcW w:w="497" w:type="pct"/>
            <w:tcBorders>
              <w:top w:val="nil"/>
              <w:left w:val="single" w:sz="4" w:space="0" w:color="auto"/>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3 796 160</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3 796 160</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4 083 232</w:t>
            </w:r>
          </w:p>
        </w:tc>
      </w:tr>
      <w:tr w:rsidR="007D13F3" w:rsidRPr="00951C93" w:rsidTr="00465CAC">
        <w:trPr>
          <w:trHeight w:val="255"/>
        </w:trPr>
        <w:tc>
          <w:tcPr>
            <w:tcW w:w="1506" w:type="pct"/>
            <w:tcBorders>
              <w:top w:val="nil"/>
              <w:left w:val="single" w:sz="4" w:space="0" w:color="auto"/>
              <w:bottom w:val="single" w:sz="4" w:space="0" w:color="auto"/>
              <w:right w:val="single" w:sz="4" w:space="0" w:color="auto"/>
            </w:tcBorders>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630 tovary a služby</w:t>
            </w:r>
          </w:p>
        </w:tc>
        <w:tc>
          <w:tcPr>
            <w:tcW w:w="542" w:type="pct"/>
            <w:tcBorders>
              <w:top w:val="nil"/>
              <w:left w:val="single" w:sz="4" w:space="0" w:color="auto"/>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8 107 664</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9 275 982</w:t>
            </w:r>
          </w:p>
        </w:tc>
        <w:tc>
          <w:tcPr>
            <w:tcW w:w="473" w:type="pct"/>
            <w:tcBorders>
              <w:top w:val="nil"/>
              <w:left w:val="nil"/>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9 595 523</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7D13F3" w:rsidRPr="00467334" w:rsidRDefault="007D13F3" w:rsidP="00465CAC">
            <w:pPr>
              <w:jc w:val="right"/>
              <w:rPr>
                <w:rFonts w:ascii="Times New Roman" w:hAnsi="Times New Roman" w:cs="Times New Roman"/>
                <w:color w:val="000000"/>
                <w:sz w:val="14"/>
                <w:szCs w:val="14"/>
              </w:rPr>
            </w:pPr>
            <w:r w:rsidRPr="00467334">
              <w:rPr>
                <w:rFonts w:ascii="Times New Roman" w:hAnsi="Times New Roman" w:cs="Times New Roman"/>
                <w:color w:val="000000"/>
                <w:sz w:val="14"/>
                <w:szCs w:val="14"/>
              </w:rPr>
              <w:t>9 543 591</w:t>
            </w:r>
          </w:p>
        </w:tc>
        <w:tc>
          <w:tcPr>
            <w:tcW w:w="497" w:type="pct"/>
            <w:tcBorders>
              <w:top w:val="nil"/>
              <w:left w:val="single" w:sz="4" w:space="0" w:color="auto"/>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9 221 333</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9 143 794</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9 571 377</w:t>
            </w:r>
          </w:p>
        </w:tc>
      </w:tr>
      <w:tr w:rsidR="007D13F3" w:rsidRPr="00951C93" w:rsidTr="00465CAC">
        <w:trPr>
          <w:trHeight w:val="255"/>
        </w:trPr>
        <w:tc>
          <w:tcPr>
            <w:tcW w:w="1506" w:type="pct"/>
            <w:tcBorders>
              <w:top w:val="nil"/>
              <w:left w:val="single" w:sz="4" w:space="0" w:color="auto"/>
              <w:bottom w:val="single" w:sz="4" w:space="0" w:color="auto"/>
              <w:right w:val="single" w:sz="4" w:space="0" w:color="auto"/>
            </w:tcBorders>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640 bežné transfery</w:t>
            </w:r>
          </w:p>
        </w:tc>
        <w:tc>
          <w:tcPr>
            <w:tcW w:w="542" w:type="pct"/>
            <w:tcBorders>
              <w:top w:val="nil"/>
              <w:left w:val="single" w:sz="4" w:space="0" w:color="auto"/>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161 305</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602 454</w:t>
            </w:r>
          </w:p>
        </w:tc>
        <w:tc>
          <w:tcPr>
            <w:tcW w:w="473" w:type="pct"/>
            <w:tcBorders>
              <w:top w:val="nil"/>
              <w:left w:val="nil"/>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179 247</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7D13F3" w:rsidRPr="00467334" w:rsidRDefault="007D13F3" w:rsidP="00465CAC">
            <w:pPr>
              <w:jc w:val="right"/>
              <w:rPr>
                <w:rFonts w:ascii="Times New Roman" w:hAnsi="Times New Roman" w:cs="Times New Roman"/>
                <w:color w:val="000000"/>
                <w:sz w:val="14"/>
                <w:szCs w:val="14"/>
              </w:rPr>
            </w:pPr>
            <w:r w:rsidRPr="00467334">
              <w:rPr>
                <w:rFonts w:ascii="Times New Roman" w:hAnsi="Times New Roman" w:cs="Times New Roman"/>
                <w:color w:val="000000"/>
                <w:sz w:val="14"/>
                <w:szCs w:val="14"/>
              </w:rPr>
              <w:t>206 647</w:t>
            </w:r>
          </w:p>
        </w:tc>
        <w:tc>
          <w:tcPr>
            <w:tcW w:w="497" w:type="pct"/>
            <w:tcBorders>
              <w:top w:val="nil"/>
              <w:left w:val="single" w:sz="4" w:space="0" w:color="auto"/>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179 247</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179 247</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1 000 625</w:t>
            </w:r>
          </w:p>
        </w:tc>
      </w:tr>
      <w:tr w:rsidR="007D13F3" w:rsidRPr="00951C93" w:rsidTr="00465CAC">
        <w:trPr>
          <w:trHeight w:val="255"/>
        </w:trPr>
        <w:tc>
          <w:tcPr>
            <w:tcW w:w="1506" w:type="pct"/>
            <w:tcBorders>
              <w:top w:val="nil"/>
              <w:left w:val="single" w:sz="4" w:space="0" w:color="auto"/>
              <w:bottom w:val="single" w:sz="4" w:space="0" w:color="auto"/>
              <w:right w:val="single" w:sz="4" w:space="0" w:color="auto"/>
            </w:tcBorders>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kapitálové výdavky 700</w:t>
            </w:r>
          </w:p>
        </w:tc>
        <w:tc>
          <w:tcPr>
            <w:tcW w:w="542" w:type="pct"/>
            <w:tcBorders>
              <w:top w:val="nil"/>
              <w:left w:val="single" w:sz="4" w:space="0" w:color="auto"/>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1 169 607</w:t>
            </w:r>
          </w:p>
        </w:tc>
        <w:tc>
          <w:tcPr>
            <w:tcW w:w="494" w:type="pct"/>
            <w:tcBorders>
              <w:top w:val="nil"/>
              <w:left w:val="nil"/>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3 930 159</w:t>
            </w:r>
          </w:p>
        </w:tc>
        <w:tc>
          <w:tcPr>
            <w:tcW w:w="473" w:type="pct"/>
            <w:tcBorders>
              <w:top w:val="nil"/>
              <w:left w:val="nil"/>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color w:val="000000"/>
                <w:sz w:val="14"/>
                <w:szCs w:val="14"/>
              </w:rPr>
            </w:pPr>
            <w:r w:rsidRPr="006936D2">
              <w:rPr>
                <w:rFonts w:ascii="Times New Roman" w:hAnsi="Times New Roman" w:cs="Times New Roman"/>
                <w:color w:val="000000"/>
                <w:sz w:val="14"/>
                <w:szCs w:val="14"/>
              </w:rPr>
              <w:t>10 245 614</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7D13F3" w:rsidRPr="00467334" w:rsidRDefault="007D13F3" w:rsidP="00465CAC">
            <w:pPr>
              <w:jc w:val="right"/>
              <w:rPr>
                <w:rFonts w:ascii="Times New Roman" w:hAnsi="Times New Roman" w:cs="Times New Roman"/>
                <w:color w:val="000000"/>
                <w:sz w:val="14"/>
                <w:szCs w:val="14"/>
              </w:rPr>
            </w:pPr>
            <w:r w:rsidRPr="00467334">
              <w:rPr>
                <w:rFonts w:ascii="Times New Roman" w:hAnsi="Times New Roman" w:cs="Times New Roman"/>
                <w:color w:val="000000"/>
                <w:sz w:val="14"/>
                <w:szCs w:val="14"/>
              </w:rPr>
              <w:t>10 245 614</w:t>
            </w:r>
          </w:p>
        </w:tc>
        <w:tc>
          <w:tcPr>
            <w:tcW w:w="497" w:type="pct"/>
            <w:tcBorders>
              <w:top w:val="nil"/>
              <w:left w:val="single" w:sz="4" w:space="0" w:color="auto"/>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13 180 226</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3 064 310</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color w:val="000000"/>
                <w:sz w:val="14"/>
                <w:szCs w:val="14"/>
              </w:rPr>
            </w:pPr>
            <w:r w:rsidRPr="00401173">
              <w:rPr>
                <w:rFonts w:ascii="Times New Roman" w:hAnsi="Times New Roman" w:cs="Times New Roman"/>
                <w:color w:val="000000"/>
                <w:sz w:val="14"/>
                <w:szCs w:val="14"/>
              </w:rPr>
              <w:t>3 064 310</w:t>
            </w:r>
          </w:p>
        </w:tc>
      </w:tr>
      <w:tr w:rsidR="007D13F3" w:rsidRPr="00951C93" w:rsidTr="00465CAC">
        <w:trPr>
          <w:trHeight w:val="255"/>
        </w:trPr>
        <w:tc>
          <w:tcPr>
            <w:tcW w:w="1506" w:type="pct"/>
            <w:tcBorders>
              <w:top w:val="nil"/>
              <w:left w:val="single" w:sz="4" w:space="0" w:color="auto"/>
              <w:bottom w:val="nil"/>
              <w:right w:val="single" w:sz="4" w:space="0" w:color="auto"/>
            </w:tcBorders>
            <w:noWrap/>
            <w:vAlign w:val="center"/>
            <w:hideMark/>
          </w:tcPr>
          <w:p w:rsidR="007D13F3" w:rsidRPr="00951C93" w:rsidRDefault="007D13F3" w:rsidP="00465CAC">
            <w:pPr>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presun z minulých rokov</w:t>
            </w:r>
            <w:r>
              <w:rPr>
                <w:rFonts w:ascii="Times New Roman" w:hAnsi="Times New Roman" w:cs="Times New Roman"/>
                <w:b/>
                <w:color w:val="000000"/>
                <w:sz w:val="14"/>
                <w:szCs w:val="14"/>
              </w:rPr>
              <w:t xml:space="preserve"> </w:t>
            </w:r>
            <w:r w:rsidRPr="009C1133">
              <w:rPr>
                <w:rFonts w:ascii="Times New Roman" w:hAnsi="Times New Roman" w:cs="Times New Roman"/>
                <w:b/>
                <w:color w:val="000000"/>
                <w:sz w:val="14"/>
                <w:szCs w:val="14"/>
              </w:rPr>
              <w:t>§</w:t>
            </w:r>
            <w:r>
              <w:rPr>
                <w:rFonts w:ascii="Times New Roman" w:hAnsi="Times New Roman" w:cs="Times New Roman"/>
                <w:b/>
                <w:color w:val="000000"/>
                <w:sz w:val="14"/>
                <w:szCs w:val="14"/>
              </w:rPr>
              <w:t xml:space="preserve"> </w:t>
            </w:r>
            <w:r w:rsidRPr="009C1133">
              <w:rPr>
                <w:rFonts w:ascii="Times New Roman" w:hAnsi="Times New Roman" w:cs="Times New Roman"/>
                <w:b/>
                <w:color w:val="000000"/>
                <w:sz w:val="14"/>
                <w:szCs w:val="14"/>
              </w:rPr>
              <w:t>8 ŠR</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b/>
                <w:bCs/>
                <w:color w:val="000000"/>
                <w:sz w:val="14"/>
                <w:szCs w:val="14"/>
                <w:lang w:eastAsia="sk-SK"/>
              </w:rPr>
            </w:pPr>
            <w:r w:rsidRPr="006936D2">
              <w:rPr>
                <w:rFonts w:ascii="Times New Roman" w:hAnsi="Times New Roman" w:cs="Times New Roman"/>
                <w:b/>
                <w:bCs/>
                <w:color w:val="000000"/>
                <w:sz w:val="14"/>
                <w:szCs w:val="14"/>
              </w:rPr>
              <w:t>12 912 099</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b/>
                <w:bCs/>
                <w:color w:val="000000"/>
                <w:sz w:val="14"/>
                <w:szCs w:val="14"/>
              </w:rPr>
            </w:pPr>
            <w:r w:rsidRPr="006936D2">
              <w:rPr>
                <w:rFonts w:ascii="Times New Roman" w:hAnsi="Times New Roman" w:cs="Times New Roman"/>
                <w:b/>
                <w:bCs/>
                <w:color w:val="000000"/>
                <w:sz w:val="14"/>
                <w:szCs w:val="14"/>
              </w:rPr>
              <w:t>9 502 978</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7D13F3" w:rsidRPr="006936D2" w:rsidRDefault="007D13F3" w:rsidP="00465CAC">
            <w:pPr>
              <w:jc w:val="right"/>
              <w:rPr>
                <w:rFonts w:ascii="Times New Roman" w:hAnsi="Times New Roman" w:cs="Times New Roman"/>
                <w:b/>
                <w:bCs/>
                <w:color w:val="000000"/>
                <w:sz w:val="14"/>
                <w:szCs w:val="14"/>
              </w:rPr>
            </w:pPr>
            <w:r w:rsidRPr="006936D2">
              <w:rPr>
                <w:rFonts w:ascii="Times New Roman" w:hAnsi="Times New Roman" w:cs="Times New Roman"/>
                <w:b/>
                <w:bCs/>
                <w:color w:val="000000"/>
                <w:sz w:val="14"/>
                <w:szCs w:val="14"/>
              </w:rPr>
              <w:t>0</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7D13F3" w:rsidRPr="00467334" w:rsidRDefault="007D13F3" w:rsidP="00465CAC">
            <w:pPr>
              <w:jc w:val="right"/>
              <w:rPr>
                <w:rFonts w:ascii="Times New Roman" w:hAnsi="Times New Roman" w:cs="Times New Roman"/>
                <w:b/>
                <w:bCs/>
                <w:color w:val="000000"/>
                <w:sz w:val="14"/>
                <w:szCs w:val="14"/>
              </w:rPr>
            </w:pPr>
            <w:r w:rsidRPr="00467334">
              <w:rPr>
                <w:rFonts w:ascii="Times New Roman" w:hAnsi="Times New Roman" w:cs="Times New Roman"/>
                <w:b/>
                <w:bCs/>
                <w:color w:val="000000"/>
                <w:sz w:val="14"/>
                <w:szCs w:val="14"/>
              </w:rPr>
              <w:t>0</w:t>
            </w:r>
          </w:p>
        </w:tc>
        <w:tc>
          <w:tcPr>
            <w:tcW w:w="497" w:type="pct"/>
            <w:tcBorders>
              <w:top w:val="nil"/>
              <w:left w:val="single" w:sz="4" w:space="0" w:color="auto"/>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b/>
                <w:bCs/>
                <w:color w:val="000000"/>
                <w:sz w:val="14"/>
                <w:szCs w:val="14"/>
              </w:rPr>
            </w:pPr>
            <w:r w:rsidRPr="00401173">
              <w:rPr>
                <w:rFonts w:ascii="Times New Roman" w:hAnsi="Times New Roman" w:cs="Times New Roman"/>
                <w:b/>
                <w:bCs/>
                <w:color w:val="000000"/>
                <w:sz w:val="14"/>
                <w:szCs w:val="14"/>
              </w:rPr>
              <w:t>0</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b/>
                <w:bCs/>
                <w:color w:val="000000"/>
                <w:sz w:val="14"/>
                <w:szCs w:val="14"/>
              </w:rPr>
            </w:pPr>
            <w:r w:rsidRPr="00401173">
              <w:rPr>
                <w:rFonts w:ascii="Times New Roman" w:hAnsi="Times New Roman" w:cs="Times New Roman"/>
                <w:b/>
                <w:bCs/>
                <w:color w:val="000000"/>
                <w:sz w:val="14"/>
                <w:szCs w:val="14"/>
              </w:rPr>
              <w:t>0</w:t>
            </w:r>
          </w:p>
        </w:tc>
        <w:tc>
          <w:tcPr>
            <w:tcW w:w="497" w:type="pct"/>
            <w:tcBorders>
              <w:top w:val="nil"/>
              <w:left w:val="nil"/>
              <w:bottom w:val="single" w:sz="4" w:space="0" w:color="auto"/>
              <w:right w:val="single" w:sz="4" w:space="0" w:color="auto"/>
            </w:tcBorders>
            <w:shd w:val="clear" w:color="auto" w:fill="auto"/>
            <w:noWrap/>
            <w:vAlign w:val="bottom"/>
            <w:hideMark/>
          </w:tcPr>
          <w:p w:rsidR="007D13F3" w:rsidRPr="00401173" w:rsidRDefault="007D13F3" w:rsidP="00465CAC">
            <w:pPr>
              <w:jc w:val="right"/>
              <w:rPr>
                <w:rFonts w:ascii="Times New Roman" w:hAnsi="Times New Roman" w:cs="Times New Roman"/>
                <w:b/>
                <w:bCs/>
                <w:color w:val="000000"/>
                <w:sz w:val="14"/>
                <w:szCs w:val="14"/>
              </w:rPr>
            </w:pPr>
            <w:r w:rsidRPr="00401173">
              <w:rPr>
                <w:rFonts w:ascii="Times New Roman" w:hAnsi="Times New Roman" w:cs="Times New Roman"/>
                <w:b/>
                <w:bCs/>
                <w:color w:val="000000"/>
                <w:sz w:val="14"/>
                <w:szCs w:val="14"/>
              </w:rPr>
              <w:t>0</w:t>
            </w:r>
          </w:p>
        </w:tc>
      </w:tr>
      <w:tr w:rsidR="007D13F3" w:rsidRPr="00951C93" w:rsidTr="00465CAC">
        <w:trPr>
          <w:trHeight w:val="255"/>
        </w:trPr>
        <w:tc>
          <w:tcPr>
            <w:tcW w:w="1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3F3" w:rsidRPr="006936D2" w:rsidRDefault="007D13F3" w:rsidP="00465CAC">
            <w:pPr>
              <w:rPr>
                <w:rFonts w:ascii="Times New Roman" w:hAnsi="Times New Roman" w:cs="Times New Roman"/>
                <w:b/>
                <w:bCs/>
                <w:color w:val="000000"/>
                <w:sz w:val="14"/>
                <w:szCs w:val="14"/>
                <w:lang w:eastAsia="sk-SK"/>
              </w:rPr>
            </w:pPr>
            <w:r w:rsidRPr="00467334">
              <w:rPr>
                <w:rFonts w:ascii="Times New Roman" w:hAnsi="Times New Roman" w:cs="Times New Roman"/>
                <w:b/>
                <w:bCs/>
                <w:color w:val="000000"/>
                <w:sz w:val="14"/>
                <w:szCs w:val="14"/>
              </w:rPr>
              <w:t>zdroj 72 e*</w:t>
            </w:r>
          </w:p>
        </w:tc>
        <w:tc>
          <w:tcPr>
            <w:tcW w:w="542" w:type="pct"/>
            <w:tcBorders>
              <w:top w:val="single" w:sz="4" w:space="0" w:color="auto"/>
              <w:left w:val="nil"/>
              <w:bottom w:val="single" w:sz="4" w:space="0" w:color="auto"/>
              <w:right w:val="single" w:sz="4" w:space="0" w:color="auto"/>
            </w:tcBorders>
            <w:shd w:val="clear" w:color="auto" w:fill="auto"/>
            <w:noWrap/>
            <w:vAlign w:val="bottom"/>
          </w:tcPr>
          <w:p w:rsidR="007D13F3" w:rsidRPr="006936D2" w:rsidRDefault="007D13F3" w:rsidP="00465CAC">
            <w:pPr>
              <w:jc w:val="right"/>
              <w:rPr>
                <w:rFonts w:ascii="Times New Roman" w:hAnsi="Times New Roman" w:cs="Times New Roman"/>
                <w:b/>
                <w:bCs/>
                <w:color w:val="000000"/>
                <w:sz w:val="14"/>
                <w:szCs w:val="14"/>
              </w:rPr>
            </w:pPr>
            <w:r w:rsidRPr="006936D2">
              <w:rPr>
                <w:rFonts w:ascii="Times New Roman" w:hAnsi="Times New Roman" w:cs="Times New Roman"/>
                <w:b/>
                <w:bCs/>
                <w:color w:val="000000"/>
                <w:sz w:val="14"/>
                <w:szCs w:val="14"/>
              </w:rPr>
              <w:t>7 889</w:t>
            </w:r>
          </w:p>
        </w:tc>
        <w:tc>
          <w:tcPr>
            <w:tcW w:w="494" w:type="pct"/>
            <w:tcBorders>
              <w:top w:val="single" w:sz="4" w:space="0" w:color="auto"/>
              <w:left w:val="nil"/>
              <w:bottom w:val="single" w:sz="4" w:space="0" w:color="auto"/>
              <w:right w:val="single" w:sz="4" w:space="0" w:color="auto"/>
            </w:tcBorders>
            <w:shd w:val="clear" w:color="auto" w:fill="auto"/>
            <w:noWrap/>
            <w:vAlign w:val="bottom"/>
          </w:tcPr>
          <w:p w:rsidR="007D13F3" w:rsidRPr="006936D2" w:rsidRDefault="007D13F3" w:rsidP="00465CAC">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p>
        </w:tc>
        <w:tc>
          <w:tcPr>
            <w:tcW w:w="473" w:type="pct"/>
            <w:tcBorders>
              <w:top w:val="single" w:sz="4" w:space="0" w:color="auto"/>
              <w:left w:val="nil"/>
              <w:bottom w:val="single" w:sz="4" w:space="0" w:color="auto"/>
              <w:right w:val="single" w:sz="4" w:space="0" w:color="auto"/>
            </w:tcBorders>
            <w:shd w:val="clear" w:color="auto" w:fill="auto"/>
            <w:noWrap/>
            <w:vAlign w:val="bottom"/>
          </w:tcPr>
          <w:p w:rsidR="007D13F3" w:rsidRPr="006936D2" w:rsidRDefault="007D13F3" w:rsidP="00465CAC">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p>
        </w:tc>
        <w:tc>
          <w:tcPr>
            <w:tcW w:w="494" w:type="pct"/>
            <w:tcBorders>
              <w:top w:val="nil"/>
              <w:left w:val="single" w:sz="4" w:space="0" w:color="auto"/>
              <w:bottom w:val="single" w:sz="4" w:space="0" w:color="auto"/>
              <w:right w:val="single" w:sz="4" w:space="0" w:color="auto"/>
            </w:tcBorders>
            <w:shd w:val="clear" w:color="auto" w:fill="auto"/>
            <w:noWrap/>
            <w:vAlign w:val="bottom"/>
          </w:tcPr>
          <w:p w:rsidR="007D13F3" w:rsidRPr="00467334" w:rsidRDefault="007D13F3" w:rsidP="00465CAC">
            <w:pPr>
              <w:jc w:val="right"/>
              <w:rPr>
                <w:rFonts w:ascii="Times New Roman" w:hAnsi="Times New Roman" w:cs="Times New Roman"/>
                <w:b/>
                <w:bCs/>
                <w:color w:val="000000"/>
                <w:sz w:val="14"/>
                <w:szCs w:val="14"/>
              </w:rPr>
            </w:pPr>
            <w:r w:rsidRPr="00467334">
              <w:rPr>
                <w:rFonts w:ascii="Times New Roman" w:hAnsi="Times New Roman" w:cs="Times New Roman"/>
                <w:b/>
                <w:bCs/>
                <w:color w:val="000000"/>
                <w:sz w:val="14"/>
                <w:szCs w:val="14"/>
              </w:rPr>
              <w:t>0</w:t>
            </w:r>
          </w:p>
        </w:tc>
        <w:tc>
          <w:tcPr>
            <w:tcW w:w="497" w:type="pct"/>
            <w:tcBorders>
              <w:top w:val="nil"/>
              <w:left w:val="single" w:sz="4" w:space="0" w:color="auto"/>
              <w:bottom w:val="single" w:sz="4" w:space="0" w:color="auto"/>
              <w:right w:val="single" w:sz="4" w:space="0" w:color="auto"/>
            </w:tcBorders>
            <w:shd w:val="clear" w:color="auto" w:fill="auto"/>
            <w:noWrap/>
            <w:vAlign w:val="bottom"/>
          </w:tcPr>
          <w:p w:rsidR="007D13F3" w:rsidRPr="00401173" w:rsidRDefault="007D13F3" w:rsidP="00465CAC">
            <w:pPr>
              <w:jc w:val="right"/>
              <w:rPr>
                <w:rFonts w:ascii="Times New Roman" w:hAnsi="Times New Roman" w:cs="Times New Roman"/>
                <w:b/>
                <w:bCs/>
                <w:color w:val="000000"/>
                <w:sz w:val="14"/>
                <w:szCs w:val="14"/>
              </w:rPr>
            </w:pPr>
            <w:r w:rsidRPr="00401173">
              <w:rPr>
                <w:rFonts w:ascii="Times New Roman" w:hAnsi="Times New Roman" w:cs="Times New Roman"/>
                <w:b/>
                <w:bCs/>
                <w:color w:val="000000"/>
                <w:sz w:val="14"/>
                <w:szCs w:val="14"/>
              </w:rPr>
              <w:t>0</w:t>
            </w:r>
          </w:p>
        </w:tc>
        <w:tc>
          <w:tcPr>
            <w:tcW w:w="497" w:type="pct"/>
            <w:tcBorders>
              <w:top w:val="nil"/>
              <w:left w:val="nil"/>
              <w:bottom w:val="single" w:sz="4" w:space="0" w:color="auto"/>
              <w:right w:val="single" w:sz="4" w:space="0" w:color="auto"/>
            </w:tcBorders>
            <w:shd w:val="clear" w:color="auto" w:fill="auto"/>
            <w:noWrap/>
            <w:vAlign w:val="bottom"/>
          </w:tcPr>
          <w:p w:rsidR="007D13F3" w:rsidRPr="00401173" w:rsidRDefault="007D13F3" w:rsidP="00465CAC">
            <w:pPr>
              <w:jc w:val="right"/>
              <w:rPr>
                <w:rFonts w:ascii="Times New Roman" w:hAnsi="Times New Roman" w:cs="Times New Roman"/>
                <w:b/>
                <w:bCs/>
                <w:color w:val="000000"/>
                <w:sz w:val="14"/>
                <w:szCs w:val="14"/>
              </w:rPr>
            </w:pPr>
            <w:r w:rsidRPr="00401173">
              <w:rPr>
                <w:rFonts w:ascii="Times New Roman" w:hAnsi="Times New Roman" w:cs="Times New Roman"/>
                <w:b/>
                <w:bCs/>
                <w:color w:val="000000"/>
                <w:sz w:val="14"/>
                <w:szCs w:val="14"/>
              </w:rPr>
              <w:t>0</w:t>
            </w:r>
          </w:p>
        </w:tc>
        <w:tc>
          <w:tcPr>
            <w:tcW w:w="497" w:type="pct"/>
            <w:tcBorders>
              <w:top w:val="nil"/>
              <w:left w:val="nil"/>
              <w:bottom w:val="single" w:sz="4" w:space="0" w:color="auto"/>
              <w:right w:val="single" w:sz="4" w:space="0" w:color="auto"/>
            </w:tcBorders>
            <w:shd w:val="clear" w:color="auto" w:fill="auto"/>
            <w:noWrap/>
            <w:vAlign w:val="bottom"/>
          </w:tcPr>
          <w:p w:rsidR="007D13F3" w:rsidRPr="00401173" w:rsidRDefault="007D13F3" w:rsidP="00465CAC">
            <w:pPr>
              <w:jc w:val="right"/>
              <w:rPr>
                <w:rFonts w:ascii="Times New Roman" w:hAnsi="Times New Roman" w:cs="Times New Roman"/>
                <w:b/>
                <w:bCs/>
                <w:color w:val="000000"/>
                <w:sz w:val="14"/>
                <w:szCs w:val="14"/>
              </w:rPr>
            </w:pPr>
            <w:r w:rsidRPr="00401173">
              <w:rPr>
                <w:rFonts w:ascii="Times New Roman" w:hAnsi="Times New Roman" w:cs="Times New Roman"/>
                <w:b/>
                <w:bCs/>
                <w:color w:val="000000"/>
                <w:sz w:val="14"/>
                <w:szCs w:val="14"/>
              </w:rPr>
              <w:t>0</w:t>
            </w:r>
          </w:p>
        </w:tc>
      </w:tr>
    </w:tbl>
    <w:p w:rsidR="007D13F3" w:rsidRPr="00467334" w:rsidRDefault="007D13F3" w:rsidP="007D13F3">
      <w:pPr>
        <w:rPr>
          <w:rFonts w:ascii="Times New Roman" w:hAnsi="Times New Roman" w:cs="Times New Roman"/>
          <w:sz w:val="14"/>
          <w:szCs w:val="14"/>
          <w:highlight w:val="yellow"/>
        </w:rPr>
      </w:pPr>
      <w:r w:rsidRPr="00467334">
        <w:rPr>
          <w:rFonts w:ascii="Times New Roman" w:hAnsi="Times New Roman" w:cs="Times New Roman"/>
          <w:sz w:val="14"/>
          <w:szCs w:val="14"/>
        </w:rPr>
        <w:t>*z poistného plnenia zo zmluvného poistenia alebo zo zákonného poistenia</w:t>
      </w:r>
    </w:p>
    <w:p w:rsidR="007D13F3" w:rsidRDefault="007D13F3" w:rsidP="007D13F3">
      <w:pPr>
        <w:ind w:firstLine="708"/>
        <w:jc w:val="both"/>
        <w:rPr>
          <w:rFonts w:ascii="Times New Roman" w:hAnsi="Times New Roman" w:cs="Times New Roman"/>
          <w:color w:val="000000"/>
        </w:rPr>
      </w:pPr>
    </w:p>
    <w:tbl>
      <w:tblPr>
        <w:tblW w:w="5000" w:type="pct"/>
        <w:tblCellMar>
          <w:left w:w="70" w:type="dxa"/>
          <w:right w:w="70" w:type="dxa"/>
        </w:tblCellMar>
        <w:tblLook w:val="04A0" w:firstRow="1" w:lastRow="0" w:firstColumn="1" w:lastColumn="0" w:noHBand="0" w:noVBand="1"/>
      </w:tblPr>
      <w:tblGrid>
        <w:gridCol w:w="2690"/>
        <w:gridCol w:w="910"/>
        <w:gridCol w:w="910"/>
        <w:gridCol w:w="910"/>
        <w:gridCol w:w="910"/>
        <w:gridCol w:w="910"/>
        <w:gridCol w:w="910"/>
        <w:gridCol w:w="912"/>
      </w:tblGrid>
      <w:tr w:rsidR="007D13F3" w:rsidRPr="00467334" w:rsidTr="00465CAC">
        <w:trPr>
          <w:trHeight w:val="261"/>
        </w:trPr>
        <w:tc>
          <w:tcPr>
            <w:tcW w:w="1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467334" w:rsidRDefault="007D13F3" w:rsidP="00465CAC">
            <w:pPr>
              <w:rPr>
                <w:rFonts w:ascii="Times New Roman" w:hAnsi="Times New Roman" w:cs="Times New Roman"/>
                <w:b/>
                <w:bCs/>
                <w:color w:val="000000"/>
                <w:sz w:val="14"/>
                <w:szCs w:val="14"/>
                <w:lang w:eastAsia="sk-SK"/>
              </w:rPr>
            </w:pPr>
            <w:r w:rsidRPr="00467334">
              <w:rPr>
                <w:rFonts w:ascii="Times New Roman" w:hAnsi="Times New Roman" w:cs="Times New Roman"/>
                <w:b/>
                <w:bCs/>
                <w:color w:val="000000"/>
                <w:sz w:val="14"/>
                <w:szCs w:val="14"/>
                <w:lang w:eastAsia="sk-SK"/>
              </w:rPr>
              <w:t>Samostatné účty</w:t>
            </w:r>
          </w:p>
        </w:tc>
        <w:tc>
          <w:tcPr>
            <w:tcW w:w="502" w:type="pct"/>
            <w:tcBorders>
              <w:top w:val="single" w:sz="4" w:space="0" w:color="auto"/>
              <w:left w:val="nil"/>
              <w:bottom w:val="single" w:sz="4" w:space="0" w:color="auto"/>
              <w:right w:val="single" w:sz="4" w:space="0" w:color="auto"/>
            </w:tcBorders>
            <w:shd w:val="clear" w:color="auto" w:fill="auto"/>
            <w:vAlign w:val="bottom"/>
            <w:hideMark/>
          </w:tcPr>
          <w:p w:rsidR="007D13F3" w:rsidRPr="00467334" w:rsidRDefault="007D13F3" w:rsidP="00465CAC">
            <w:pPr>
              <w:jc w:val="right"/>
              <w:rPr>
                <w:rFonts w:ascii="Times New Roman" w:hAnsi="Times New Roman" w:cs="Times New Roman"/>
                <w:b/>
                <w:bCs/>
                <w:color w:val="000000"/>
                <w:sz w:val="14"/>
                <w:szCs w:val="14"/>
                <w:lang w:eastAsia="sk-SK"/>
              </w:rPr>
            </w:pPr>
            <w:r w:rsidRPr="00467334">
              <w:rPr>
                <w:rFonts w:ascii="Times New Roman" w:hAnsi="Times New Roman" w:cs="Times New Roman"/>
                <w:b/>
                <w:bCs/>
                <w:color w:val="000000"/>
                <w:sz w:val="14"/>
                <w:szCs w:val="14"/>
                <w:lang w:eastAsia="sk-SK"/>
              </w:rPr>
              <w:t>1 454 584</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7D13F3" w:rsidRPr="00467334" w:rsidRDefault="007D13F3" w:rsidP="00465CAC">
            <w:pPr>
              <w:jc w:val="right"/>
              <w:rPr>
                <w:rFonts w:ascii="Times New Roman" w:hAnsi="Times New Roman" w:cs="Times New Roman"/>
                <w:b/>
                <w:bCs/>
                <w:color w:val="000000"/>
                <w:sz w:val="14"/>
                <w:szCs w:val="14"/>
                <w:lang w:eastAsia="sk-SK"/>
              </w:rPr>
            </w:pPr>
            <w:r w:rsidRPr="00467334">
              <w:rPr>
                <w:rFonts w:ascii="Times New Roman" w:hAnsi="Times New Roman" w:cs="Times New Roman"/>
                <w:b/>
                <w:bCs/>
                <w:color w:val="000000"/>
                <w:sz w:val="14"/>
                <w:szCs w:val="14"/>
                <w:lang w:eastAsia="sk-SK"/>
              </w:rPr>
              <w:t>0</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7D13F3" w:rsidRPr="00467334" w:rsidRDefault="007D13F3" w:rsidP="00465CAC">
            <w:pPr>
              <w:jc w:val="right"/>
              <w:rPr>
                <w:rFonts w:ascii="Times New Roman" w:hAnsi="Times New Roman" w:cs="Times New Roman"/>
                <w:b/>
                <w:bCs/>
                <w:color w:val="000000"/>
                <w:sz w:val="14"/>
                <w:szCs w:val="14"/>
                <w:lang w:eastAsia="sk-SK"/>
              </w:rPr>
            </w:pPr>
            <w:r w:rsidRPr="00467334">
              <w:rPr>
                <w:rFonts w:ascii="Times New Roman" w:hAnsi="Times New Roman" w:cs="Times New Roman"/>
                <w:b/>
                <w:bCs/>
                <w:color w:val="000000"/>
                <w:sz w:val="14"/>
                <w:szCs w:val="14"/>
                <w:lang w:eastAsia="sk-SK"/>
              </w:rPr>
              <w:t>0</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7D13F3" w:rsidRPr="00467334" w:rsidRDefault="007D13F3" w:rsidP="00465CAC">
            <w:pPr>
              <w:jc w:val="right"/>
              <w:rPr>
                <w:rFonts w:ascii="Times New Roman" w:hAnsi="Times New Roman" w:cs="Times New Roman"/>
                <w:b/>
                <w:bCs/>
                <w:color w:val="000000"/>
                <w:sz w:val="14"/>
                <w:szCs w:val="14"/>
                <w:lang w:eastAsia="sk-SK"/>
              </w:rPr>
            </w:pPr>
            <w:r w:rsidRPr="00467334">
              <w:rPr>
                <w:rFonts w:ascii="Times New Roman" w:hAnsi="Times New Roman" w:cs="Times New Roman"/>
                <w:b/>
                <w:bCs/>
                <w:color w:val="000000"/>
                <w:sz w:val="14"/>
                <w:szCs w:val="14"/>
                <w:lang w:eastAsia="sk-SK"/>
              </w:rPr>
              <w:t>0</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7D13F3" w:rsidRPr="00467334" w:rsidRDefault="007D13F3" w:rsidP="00465CAC">
            <w:pPr>
              <w:jc w:val="right"/>
              <w:rPr>
                <w:rFonts w:ascii="Times New Roman" w:hAnsi="Times New Roman" w:cs="Times New Roman"/>
                <w:b/>
                <w:bCs/>
                <w:color w:val="000000"/>
                <w:sz w:val="14"/>
                <w:szCs w:val="14"/>
                <w:lang w:eastAsia="sk-SK"/>
              </w:rPr>
            </w:pPr>
            <w:r w:rsidRPr="00467334">
              <w:rPr>
                <w:rFonts w:ascii="Times New Roman" w:hAnsi="Times New Roman" w:cs="Times New Roman"/>
                <w:b/>
                <w:bCs/>
                <w:color w:val="000000"/>
                <w:sz w:val="14"/>
                <w:szCs w:val="14"/>
                <w:lang w:eastAsia="sk-SK"/>
              </w:rPr>
              <w:t>0</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7D13F3" w:rsidRPr="00467334" w:rsidRDefault="007D13F3" w:rsidP="00465CAC">
            <w:pPr>
              <w:jc w:val="right"/>
              <w:rPr>
                <w:rFonts w:ascii="Times New Roman" w:hAnsi="Times New Roman" w:cs="Times New Roman"/>
                <w:b/>
                <w:bCs/>
                <w:color w:val="000000"/>
                <w:sz w:val="14"/>
                <w:szCs w:val="14"/>
                <w:lang w:eastAsia="sk-SK"/>
              </w:rPr>
            </w:pPr>
            <w:r w:rsidRPr="00467334">
              <w:rPr>
                <w:rFonts w:ascii="Times New Roman" w:hAnsi="Times New Roman" w:cs="Times New Roman"/>
                <w:b/>
                <w:bCs/>
                <w:color w:val="000000"/>
                <w:sz w:val="14"/>
                <w:szCs w:val="14"/>
                <w:lang w:eastAsia="sk-SK"/>
              </w:rPr>
              <w:t>0</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rsidR="007D13F3" w:rsidRPr="00467334" w:rsidRDefault="007D13F3" w:rsidP="00465CAC">
            <w:pPr>
              <w:jc w:val="right"/>
              <w:rPr>
                <w:rFonts w:ascii="Times New Roman" w:hAnsi="Times New Roman" w:cs="Times New Roman"/>
                <w:b/>
                <w:bCs/>
                <w:color w:val="000000"/>
                <w:sz w:val="14"/>
                <w:szCs w:val="14"/>
                <w:lang w:eastAsia="sk-SK"/>
              </w:rPr>
            </w:pPr>
            <w:r w:rsidRPr="00467334">
              <w:rPr>
                <w:rFonts w:ascii="Times New Roman" w:hAnsi="Times New Roman" w:cs="Times New Roman"/>
                <w:b/>
                <w:bCs/>
                <w:color w:val="000000"/>
                <w:sz w:val="14"/>
                <w:szCs w:val="14"/>
                <w:lang w:eastAsia="sk-SK"/>
              </w:rPr>
              <w:t>0</w:t>
            </w:r>
          </w:p>
        </w:tc>
      </w:tr>
    </w:tbl>
    <w:p w:rsidR="00C3759D" w:rsidRDefault="007D13F3" w:rsidP="007D13F3">
      <w:pPr>
        <w:jc w:val="both"/>
        <w:rPr>
          <w:rFonts w:ascii="Times New Roman" w:hAnsi="Times New Roman" w:cs="Times New Roman"/>
          <w:color w:val="000000"/>
        </w:rPr>
      </w:pPr>
      <w:r>
        <w:rPr>
          <w:rFonts w:ascii="Times New Roman" w:hAnsi="Times New Roman" w:cs="Times New Roman"/>
          <w:color w:val="000000"/>
        </w:rPr>
        <w:tab/>
      </w:r>
    </w:p>
    <w:p w:rsidR="007D13F3" w:rsidRPr="00F978A1" w:rsidRDefault="007D13F3" w:rsidP="00C3759D">
      <w:pPr>
        <w:ind w:firstLine="708"/>
        <w:jc w:val="both"/>
        <w:rPr>
          <w:rFonts w:ascii="Times New Roman" w:hAnsi="Times New Roman" w:cs="Times New Roman"/>
          <w:color w:val="000000"/>
        </w:rPr>
      </w:pPr>
      <w:r w:rsidRPr="00F978A1">
        <w:rPr>
          <w:rFonts w:ascii="Times New Roman" w:hAnsi="Times New Roman" w:cs="Times New Roman"/>
          <w:color w:val="000000"/>
        </w:rPr>
        <w:t>V roku 2018 dosahujú rozpočtované výdavky kapitoly 39,</w:t>
      </w:r>
      <w:r>
        <w:rPr>
          <w:rFonts w:ascii="Times New Roman" w:hAnsi="Times New Roman" w:cs="Times New Roman"/>
          <w:color w:val="000000"/>
        </w:rPr>
        <w:t>7</w:t>
      </w:r>
      <w:r w:rsidRPr="00F978A1">
        <w:rPr>
          <w:rFonts w:ascii="Times New Roman" w:hAnsi="Times New Roman" w:cs="Times New Roman"/>
          <w:color w:val="000000"/>
        </w:rPr>
        <w:t xml:space="preserve"> mil. eur, čo je v porovnaní so schváleným rozpočtom roku 2017 viac o </w:t>
      </w:r>
      <w:r>
        <w:rPr>
          <w:rFonts w:ascii="Times New Roman" w:hAnsi="Times New Roman" w:cs="Times New Roman"/>
          <w:color w:val="000000"/>
        </w:rPr>
        <w:t>3</w:t>
      </w:r>
      <w:r w:rsidRPr="00F978A1">
        <w:rPr>
          <w:rFonts w:ascii="Times New Roman" w:hAnsi="Times New Roman" w:cs="Times New Roman"/>
          <w:color w:val="000000"/>
        </w:rPr>
        <w:t>,</w:t>
      </w:r>
      <w:r>
        <w:rPr>
          <w:rFonts w:ascii="Times New Roman" w:hAnsi="Times New Roman" w:cs="Times New Roman"/>
          <w:color w:val="000000"/>
        </w:rPr>
        <w:t>1</w:t>
      </w:r>
      <w:r w:rsidRPr="00F978A1">
        <w:rPr>
          <w:rFonts w:ascii="Times New Roman" w:hAnsi="Times New Roman" w:cs="Times New Roman"/>
          <w:color w:val="000000"/>
        </w:rPr>
        <w:t xml:space="preserve">8 mil. eur, t. j. o </w:t>
      </w:r>
      <w:r>
        <w:rPr>
          <w:rFonts w:ascii="Times New Roman" w:hAnsi="Times New Roman" w:cs="Times New Roman"/>
          <w:color w:val="000000"/>
        </w:rPr>
        <w:t>8</w:t>
      </w:r>
      <w:r w:rsidRPr="00F978A1">
        <w:rPr>
          <w:rFonts w:ascii="Times New Roman" w:hAnsi="Times New Roman" w:cs="Times New Roman"/>
          <w:color w:val="000000"/>
        </w:rPr>
        <w:t>,7 %.</w:t>
      </w:r>
    </w:p>
    <w:p w:rsidR="007D13F3" w:rsidRPr="00F978A1" w:rsidRDefault="00C3759D" w:rsidP="007D13F3">
      <w:pPr>
        <w:ind w:firstLine="708"/>
        <w:jc w:val="both"/>
        <w:rPr>
          <w:rFonts w:ascii="Times New Roman" w:hAnsi="Times New Roman" w:cs="Times New Roman"/>
          <w:color w:val="000000"/>
        </w:rPr>
      </w:pPr>
      <w:r>
        <w:rPr>
          <w:rFonts w:ascii="Times New Roman" w:hAnsi="Times New Roman" w:cs="Times New Roman"/>
          <w:color w:val="000000"/>
        </w:rPr>
        <w:t xml:space="preserve"> </w:t>
      </w:r>
    </w:p>
    <w:p w:rsidR="007D13F3" w:rsidRPr="00F978A1" w:rsidRDefault="007D13F3" w:rsidP="007D13F3">
      <w:pPr>
        <w:ind w:firstLine="708"/>
        <w:jc w:val="both"/>
        <w:rPr>
          <w:rFonts w:ascii="Times New Roman" w:hAnsi="Times New Roman" w:cs="Times New Roman"/>
          <w:color w:val="000000"/>
        </w:rPr>
      </w:pPr>
      <w:r w:rsidRPr="00F978A1">
        <w:rPr>
          <w:rFonts w:ascii="Times New Roman" w:hAnsi="Times New Roman" w:cs="Times New Roman"/>
          <w:color w:val="000000"/>
        </w:rPr>
        <w:t xml:space="preserve">Objem osobných výdavkov sa na rok 2018 rozpočtuje na úrovni 17,1 mil. eur, čo v porovnaní so schváleným rozpočtom roku 2017 predstavuje nárast o 616 tis. eur (3,73 %) z dôvodu dopočtu valorizácie platov zamestnancov z roku 2017 a v súvislosti so zákonom č. 55/2017 Z. z. o štátnej službe. </w:t>
      </w:r>
    </w:p>
    <w:p w:rsidR="007D13F3" w:rsidRPr="00F978A1" w:rsidRDefault="007D13F3" w:rsidP="007D13F3">
      <w:pPr>
        <w:ind w:firstLine="708"/>
        <w:jc w:val="both"/>
        <w:rPr>
          <w:rFonts w:ascii="Times New Roman" w:hAnsi="Times New Roman" w:cs="Times New Roman"/>
          <w:color w:val="000000"/>
        </w:rPr>
      </w:pPr>
    </w:p>
    <w:p w:rsidR="007D13F3" w:rsidRPr="00F978A1" w:rsidRDefault="007D13F3" w:rsidP="007D13F3">
      <w:pPr>
        <w:ind w:firstLine="708"/>
        <w:jc w:val="both"/>
        <w:rPr>
          <w:rFonts w:ascii="Times New Roman" w:hAnsi="Times New Roman" w:cs="Times New Roman"/>
          <w:color w:val="000000"/>
        </w:rPr>
      </w:pPr>
      <w:r w:rsidRPr="00F978A1">
        <w:rPr>
          <w:rFonts w:ascii="Times New Roman" w:hAnsi="Times New Roman" w:cs="Times New Roman"/>
          <w:color w:val="000000"/>
        </w:rPr>
        <w:t>Výdavky na tovary a služby sa na rok 2018 rozpočtujú v objeme 9,</w:t>
      </w:r>
      <w:r>
        <w:rPr>
          <w:rFonts w:ascii="Times New Roman" w:hAnsi="Times New Roman" w:cs="Times New Roman"/>
          <w:color w:val="000000"/>
        </w:rPr>
        <w:t>22</w:t>
      </w:r>
      <w:r w:rsidRPr="00F978A1">
        <w:rPr>
          <w:rFonts w:ascii="Times New Roman" w:hAnsi="Times New Roman" w:cs="Times New Roman"/>
          <w:color w:val="000000"/>
        </w:rPr>
        <w:t xml:space="preserve"> mil. eur, čo v porovnaní so schváleným rozpočtom roku 2017 predstavuje pokles o </w:t>
      </w:r>
      <w:r>
        <w:rPr>
          <w:rFonts w:ascii="Times New Roman" w:hAnsi="Times New Roman" w:cs="Times New Roman"/>
          <w:color w:val="000000"/>
        </w:rPr>
        <w:t>374</w:t>
      </w:r>
      <w:r w:rsidRPr="00F978A1">
        <w:rPr>
          <w:rFonts w:ascii="Times New Roman" w:hAnsi="Times New Roman" w:cs="Times New Roman"/>
          <w:color w:val="000000"/>
        </w:rPr>
        <w:t xml:space="preserve"> tis. eur, t. j. </w:t>
      </w:r>
      <w:r w:rsidRPr="00F978A1">
        <w:rPr>
          <w:rFonts w:ascii="Times New Roman" w:hAnsi="Times New Roman" w:cs="Times New Roman"/>
          <w:color w:val="000000"/>
        </w:rPr>
        <w:br/>
        <w:t xml:space="preserve">o </w:t>
      </w:r>
      <w:r>
        <w:rPr>
          <w:rFonts w:ascii="Times New Roman" w:hAnsi="Times New Roman" w:cs="Times New Roman"/>
          <w:color w:val="000000"/>
        </w:rPr>
        <w:t>3,9</w:t>
      </w:r>
      <w:r w:rsidRPr="00F978A1">
        <w:rPr>
          <w:rFonts w:ascii="Times New Roman" w:hAnsi="Times New Roman" w:cs="Times New Roman"/>
          <w:color w:val="000000"/>
        </w:rPr>
        <w:t xml:space="preserve"> %. Zvýšené výdavky v roku 2017 súviseli so zabezpečením parlamentných podujatí na úrovni národných parlamentov členských štátov EÚ a Európskeho parlamentu, ktoré sa konali v tom období. </w:t>
      </w:r>
    </w:p>
    <w:p w:rsidR="007D13F3" w:rsidRPr="00F978A1" w:rsidRDefault="007D13F3" w:rsidP="007D13F3">
      <w:pPr>
        <w:ind w:firstLine="708"/>
        <w:jc w:val="both"/>
        <w:rPr>
          <w:rFonts w:ascii="Times New Roman" w:hAnsi="Times New Roman" w:cs="Times New Roman"/>
          <w:color w:val="000000"/>
        </w:rPr>
      </w:pPr>
    </w:p>
    <w:p w:rsidR="007D13F3" w:rsidRPr="00F978A1" w:rsidRDefault="007D13F3" w:rsidP="007D13F3">
      <w:pPr>
        <w:ind w:firstLine="708"/>
        <w:jc w:val="both"/>
        <w:rPr>
          <w:rFonts w:ascii="Times New Roman" w:hAnsi="Times New Roman" w:cs="Times New Roman"/>
          <w:color w:val="000000"/>
        </w:rPr>
      </w:pPr>
      <w:r w:rsidRPr="00F978A1">
        <w:rPr>
          <w:rFonts w:ascii="Times New Roman" w:hAnsi="Times New Roman" w:cs="Times New Roman"/>
          <w:color w:val="000000"/>
        </w:rPr>
        <w:t xml:space="preserve">V oblasti bežných transferov sa </w:t>
      </w:r>
      <w:r w:rsidR="00C3759D">
        <w:rPr>
          <w:rFonts w:ascii="Times New Roman" w:hAnsi="Times New Roman" w:cs="Times New Roman"/>
          <w:color w:val="000000"/>
        </w:rPr>
        <w:t>na</w:t>
      </w:r>
      <w:r w:rsidRPr="00F978A1">
        <w:rPr>
          <w:rFonts w:ascii="Times New Roman" w:hAnsi="Times New Roman" w:cs="Times New Roman"/>
          <w:color w:val="000000"/>
        </w:rPr>
        <w:t xml:space="preserve"> rok 2018 navrhuje suma 179 tis. eur, čo je na úrovni schváleného rozpočtu roku 2017.  </w:t>
      </w:r>
    </w:p>
    <w:p w:rsidR="007D13F3" w:rsidRPr="00F978A1" w:rsidRDefault="007D13F3" w:rsidP="007D13F3">
      <w:pPr>
        <w:ind w:firstLine="708"/>
        <w:jc w:val="both"/>
        <w:rPr>
          <w:rFonts w:ascii="Times New Roman" w:hAnsi="Times New Roman" w:cs="Times New Roman"/>
          <w:color w:val="000000"/>
        </w:rPr>
      </w:pPr>
    </w:p>
    <w:p w:rsidR="007D13F3" w:rsidRDefault="007D13F3" w:rsidP="007D13F3">
      <w:pPr>
        <w:ind w:firstLine="708"/>
        <w:jc w:val="both"/>
        <w:rPr>
          <w:rFonts w:ascii="Times New Roman" w:hAnsi="Times New Roman" w:cs="Times New Roman"/>
          <w:color w:val="000000"/>
        </w:rPr>
      </w:pPr>
      <w:r w:rsidRPr="00F978A1">
        <w:rPr>
          <w:rFonts w:ascii="Times New Roman" w:hAnsi="Times New Roman" w:cs="Times New Roman"/>
          <w:color w:val="000000"/>
        </w:rPr>
        <w:t>Kapitálové výdavky na rok 2018 vo výške 13</w:t>
      </w:r>
      <w:r>
        <w:rPr>
          <w:rFonts w:ascii="Times New Roman" w:hAnsi="Times New Roman" w:cs="Times New Roman"/>
          <w:color w:val="000000"/>
        </w:rPr>
        <w:t>,2</w:t>
      </w:r>
      <w:r w:rsidRPr="00F978A1">
        <w:rPr>
          <w:rFonts w:ascii="Times New Roman" w:hAnsi="Times New Roman" w:cs="Times New Roman"/>
          <w:color w:val="000000"/>
        </w:rPr>
        <w:t xml:space="preserve"> mil. eur </w:t>
      </w:r>
      <w:r w:rsidR="00C3759D">
        <w:rPr>
          <w:rFonts w:ascii="Times New Roman" w:hAnsi="Times New Roman" w:cs="Times New Roman"/>
          <w:color w:val="000000"/>
        </w:rPr>
        <w:t xml:space="preserve">sa </w:t>
      </w:r>
      <w:r w:rsidRPr="00F978A1">
        <w:rPr>
          <w:rFonts w:ascii="Times New Roman" w:hAnsi="Times New Roman" w:cs="Times New Roman"/>
          <w:color w:val="000000"/>
        </w:rPr>
        <w:t xml:space="preserve">medziročne </w:t>
      </w:r>
      <w:r w:rsidR="00C3759D">
        <w:rPr>
          <w:rFonts w:ascii="Times New Roman" w:hAnsi="Times New Roman" w:cs="Times New Roman"/>
          <w:color w:val="000000"/>
        </w:rPr>
        <w:t>zvyšujú</w:t>
      </w:r>
      <w:r w:rsidRPr="00F978A1">
        <w:rPr>
          <w:rFonts w:ascii="Times New Roman" w:hAnsi="Times New Roman" w:cs="Times New Roman"/>
          <w:color w:val="000000"/>
        </w:rPr>
        <w:t xml:space="preserve"> </w:t>
      </w:r>
      <w:r w:rsidRPr="00F978A1">
        <w:rPr>
          <w:rFonts w:ascii="Times New Roman" w:hAnsi="Times New Roman" w:cs="Times New Roman"/>
          <w:color w:val="000000"/>
        </w:rPr>
        <w:br/>
        <w:t>o 2,</w:t>
      </w:r>
      <w:r>
        <w:rPr>
          <w:rFonts w:ascii="Times New Roman" w:hAnsi="Times New Roman" w:cs="Times New Roman"/>
          <w:color w:val="000000"/>
        </w:rPr>
        <w:t>93</w:t>
      </w:r>
      <w:r w:rsidRPr="00F978A1">
        <w:rPr>
          <w:rFonts w:ascii="Times New Roman" w:hAnsi="Times New Roman" w:cs="Times New Roman"/>
          <w:color w:val="000000"/>
        </w:rPr>
        <w:t xml:space="preserve"> mil. eur, t. j. o 2</w:t>
      </w:r>
      <w:r>
        <w:rPr>
          <w:rFonts w:ascii="Times New Roman" w:hAnsi="Times New Roman" w:cs="Times New Roman"/>
          <w:color w:val="000000"/>
        </w:rPr>
        <w:t>8</w:t>
      </w:r>
      <w:r w:rsidRPr="00F978A1">
        <w:rPr>
          <w:rFonts w:ascii="Times New Roman" w:hAnsi="Times New Roman" w:cs="Times New Roman"/>
          <w:color w:val="000000"/>
        </w:rPr>
        <w:t>,</w:t>
      </w:r>
      <w:r>
        <w:rPr>
          <w:rFonts w:ascii="Times New Roman" w:hAnsi="Times New Roman" w:cs="Times New Roman"/>
          <w:color w:val="000000"/>
        </w:rPr>
        <w:t>6</w:t>
      </w:r>
      <w:r w:rsidRPr="00F978A1">
        <w:rPr>
          <w:rFonts w:ascii="Times New Roman" w:hAnsi="Times New Roman" w:cs="Times New Roman"/>
          <w:color w:val="000000"/>
        </w:rPr>
        <w:t xml:space="preserve"> %. Výdavky </w:t>
      </w:r>
      <w:r w:rsidR="00C3759D">
        <w:rPr>
          <w:rFonts w:ascii="Times New Roman" w:hAnsi="Times New Roman" w:cs="Times New Roman"/>
          <w:color w:val="000000"/>
        </w:rPr>
        <w:t>sa zvyšujú</w:t>
      </w:r>
      <w:r w:rsidRPr="00F978A1">
        <w:rPr>
          <w:rFonts w:ascii="Times New Roman" w:hAnsi="Times New Roman" w:cs="Times New Roman"/>
          <w:color w:val="000000"/>
        </w:rPr>
        <w:t xml:space="preserve"> v dôsledku financovania pokračujúcej rekonštrukcie Bratislavského hradu. Prostriedky budú použité aj na rekonštrukciu vzduchotechniky v hlavnej budove NR SR, nákup výpočtovej techniky, modernizáciu softvéru a rekonštrukciu výťahov a rozvodov vodovodného potrubia.</w:t>
      </w:r>
      <w:r w:rsidRPr="008145C4">
        <w:rPr>
          <w:rFonts w:ascii="Times New Roman" w:hAnsi="Times New Roman" w:cs="Times New Roman"/>
          <w:color w:val="000000"/>
        </w:rPr>
        <w:t xml:space="preserve"> </w:t>
      </w:r>
    </w:p>
    <w:p w:rsidR="007D13F3" w:rsidRDefault="007D13F3" w:rsidP="007D13F3"/>
    <w:p w:rsidR="007D13F3" w:rsidRPr="00EF4E9F" w:rsidRDefault="007D13F3" w:rsidP="007D13F3">
      <w:pPr>
        <w:pStyle w:val="Nadpis5"/>
        <w:pBdr>
          <w:bottom w:val="single" w:sz="4" w:space="1" w:color="auto"/>
        </w:pBdr>
        <w:spacing w:before="0" w:after="0"/>
        <w:ind w:left="0"/>
        <w:rPr>
          <w:i w:val="0"/>
          <w:sz w:val="24"/>
        </w:rPr>
      </w:pPr>
      <w:bookmarkStart w:id="152" w:name="_Toc494470104"/>
      <w:bookmarkStart w:id="153" w:name="_Toc494472280"/>
      <w:r w:rsidRPr="00EF4E9F">
        <w:rPr>
          <w:i w:val="0"/>
          <w:sz w:val="24"/>
        </w:rPr>
        <w:t>Kancelária prezidenta SR</w:t>
      </w:r>
      <w:bookmarkEnd w:id="152"/>
      <w:bookmarkEnd w:id="153"/>
    </w:p>
    <w:p w:rsidR="007D13F3" w:rsidRDefault="007D13F3" w:rsidP="007D13F3">
      <w:pPr>
        <w:autoSpaceDE w:val="0"/>
        <w:autoSpaceDN w:val="0"/>
        <w:jc w:val="both"/>
        <w:rPr>
          <w:rFonts w:ascii="Times New Roman" w:hAnsi="Times New Roman" w:cs="Times New Roman"/>
          <w:color w:val="000000"/>
          <w:sz w:val="14"/>
          <w:szCs w:val="14"/>
          <w:lang w:eastAsia="sk-SK"/>
        </w:rPr>
      </w:pPr>
    </w:p>
    <w:p w:rsidR="007D13F3" w:rsidRDefault="007D13F3" w:rsidP="007D13F3">
      <w:pPr>
        <w:autoSpaceDE w:val="0"/>
        <w:autoSpaceDN w:val="0"/>
        <w:jc w:val="both"/>
        <w:rPr>
          <w:rFonts w:ascii="Times New Roman" w:hAnsi="Times New Roman" w:cs="Times New Roman"/>
          <w:color w:val="000000"/>
          <w:sz w:val="14"/>
          <w:szCs w:val="14"/>
          <w:lang w:eastAsia="sk-SK"/>
        </w:rPr>
      </w:pPr>
    </w:p>
    <w:tbl>
      <w:tblPr>
        <w:tblW w:w="5000" w:type="pct"/>
        <w:tblCellMar>
          <w:left w:w="70" w:type="dxa"/>
          <w:right w:w="70" w:type="dxa"/>
        </w:tblCellMar>
        <w:tblLook w:val="04A0" w:firstRow="1" w:lastRow="0" w:firstColumn="1" w:lastColumn="0" w:noHBand="0" w:noVBand="1"/>
      </w:tblPr>
      <w:tblGrid>
        <w:gridCol w:w="2504"/>
        <w:gridCol w:w="927"/>
        <w:gridCol w:w="927"/>
        <w:gridCol w:w="928"/>
        <w:gridCol w:w="928"/>
        <w:gridCol w:w="928"/>
        <w:gridCol w:w="928"/>
        <w:gridCol w:w="992"/>
      </w:tblGrid>
      <w:tr w:rsidR="007D13F3" w:rsidRPr="001454E9" w:rsidTr="00465CAC">
        <w:trPr>
          <w:trHeight w:val="259"/>
        </w:trPr>
        <w:tc>
          <w:tcPr>
            <w:tcW w:w="136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951C93" w:rsidRDefault="007D13F3" w:rsidP="00465CAC">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 v eurách</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7D13F3" w:rsidRPr="006936D2" w:rsidRDefault="007D13F3" w:rsidP="00465CAC">
            <w:pPr>
              <w:jc w:val="center"/>
              <w:rPr>
                <w:rFonts w:ascii="Times New Roman" w:hAnsi="Times New Roman" w:cs="Times New Roman"/>
                <w:b/>
                <w:bCs/>
                <w:color w:val="000000"/>
                <w:sz w:val="14"/>
                <w:szCs w:val="14"/>
                <w:lang w:eastAsia="sk-SK"/>
              </w:rPr>
            </w:pPr>
            <w:r w:rsidRPr="006936D2">
              <w:rPr>
                <w:rFonts w:ascii="Times New Roman" w:hAnsi="Times New Roman" w:cs="Times New Roman"/>
                <w:b/>
                <w:bCs/>
                <w:color w:val="000000"/>
                <w:sz w:val="14"/>
                <w:szCs w:val="14"/>
              </w:rPr>
              <w:t>2015 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7D13F3" w:rsidRPr="006936D2" w:rsidRDefault="007D13F3" w:rsidP="00465CAC">
            <w:pPr>
              <w:jc w:val="center"/>
              <w:rPr>
                <w:rFonts w:ascii="Times New Roman" w:hAnsi="Times New Roman" w:cs="Times New Roman"/>
                <w:b/>
                <w:bCs/>
                <w:color w:val="000000"/>
                <w:sz w:val="14"/>
                <w:szCs w:val="14"/>
              </w:rPr>
            </w:pPr>
            <w:r w:rsidRPr="006936D2">
              <w:rPr>
                <w:rFonts w:ascii="Times New Roman" w:hAnsi="Times New Roman" w:cs="Times New Roman"/>
                <w:b/>
                <w:bCs/>
                <w:color w:val="000000"/>
                <w:sz w:val="14"/>
                <w:szCs w:val="14"/>
              </w:rPr>
              <w:t>2016 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7D13F3" w:rsidRPr="006936D2" w:rsidRDefault="007D13F3" w:rsidP="00465CAC">
            <w:pPr>
              <w:jc w:val="center"/>
              <w:rPr>
                <w:rFonts w:ascii="Times New Roman" w:hAnsi="Times New Roman" w:cs="Times New Roman"/>
                <w:b/>
                <w:bCs/>
                <w:color w:val="000000"/>
                <w:sz w:val="14"/>
                <w:szCs w:val="14"/>
              </w:rPr>
            </w:pPr>
            <w:r w:rsidRPr="006936D2">
              <w:rPr>
                <w:rFonts w:ascii="Times New Roman" w:hAnsi="Times New Roman" w:cs="Times New Roman"/>
                <w:b/>
                <w:bCs/>
                <w:color w:val="000000"/>
                <w:sz w:val="14"/>
                <w:szCs w:val="14"/>
              </w:rPr>
              <w:t>2017 R</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7D13F3" w:rsidRPr="006936D2" w:rsidRDefault="007D13F3" w:rsidP="00465CAC">
            <w:pPr>
              <w:jc w:val="center"/>
              <w:rPr>
                <w:rFonts w:ascii="Times New Roman" w:hAnsi="Times New Roman" w:cs="Times New Roman"/>
                <w:b/>
                <w:bCs/>
                <w:color w:val="000000"/>
                <w:sz w:val="14"/>
                <w:szCs w:val="14"/>
              </w:rPr>
            </w:pPr>
            <w:r w:rsidRPr="006936D2">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7D13F3" w:rsidRPr="006936D2" w:rsidRDefault="007D13F3" w:rsidP="00465CAC">
            <w:pPr>
              <w:jc w:val="center"/>
              <w:rPr>
                <w:rFonts w:ascii="Times New Roman" w:hAnsi="Times New Roman" w:cs="Times New Roman"/>
                <w:b/>
                <w:bCs/>
                <w:color w:val="000000"/>
                <w:sz w:val="14"/>
                <w:szCs w:val="14"/>
              </w:rPr>
            </w:pPr>
            <w:r w:rsidRPr="006936D2">
              <w:rPr>
                <w:rFonts w:ascii="Times New Roman" w:hAnsi="Times New Roman" w:cs="Times New Roman"/>
                <w:b/>
                <w:bCs/>
                <w:color w:val="000000"/>
                <w:sz w:val="14"/>
                <w:szCs w:val="14"/>
              </w:rPr>
              <w:t>2018 N</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7D13F3" w:rsidRPr="006936D2" w:rsidRDefault="007D13F3" w:rsidP="00465CAC">
            <w:pPr>
              <w:jc w:val="center"/>
              <w:rPr>
                <w:rFonts w:ascii="Times New Roman" w:hAnsi="Times New Roman" w:cs="Times New Roman"/>
                <w:b/>
                <w:bCs/>
                <w:color w:val="000000"/>
                <w:sz w:val="14"/>
                <w:szCs w:val="14"/>
              </w:rPr>
            </w:pPr>
            <w:r w:rsidRPr="006936D2">
              <w:rPr>
                <w:rFonts w:ascii="Times New Roman" w:hAnsi="Times New Roman" w:cs="Times New Roman"/>
                <w:b/>
                <w:bCs/>
                <w:color w:val="000000"/>
                <w:sz w:val="14"/>
                <w:szCs w:val="14"/>
              </w:rPr>
              <w:t>2019 N</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7D13F3" w:rsidRPr="006936D2" w:rsidRDefault="007D13F3" w:rsidP="00465CAC">
            <w:pPr>
              <w:jc w:val="center"/>
              <w:rPr>
                <w:rFonts w:ascii="Times New Roman" w:hAnsi="Times New Roman" w:cs="Times New Roman"/>
                <w:b/>
                <w:bCs/>
                <w:color w:val="000000"/>
                <w:sz w:val="14"/>
                <w:szCs w:val="14"/>
              </w:rPr>
            </w:pPr>
            <w:r w:rsidRPr="006936D2">
              <w:rPr>
                <w:rFonts w:ascii="Times New Roman" w:hAnsi="Times New Roman" w:cs="Times New Roman"/>
                <w:b/>
                <w:bCs/>
                <w:color w:val="000000"/>
                <w:sz w:val="14"/>
                <w:szCs w:val="14"/>
              </w:rPr>
              <w:t>2020 N</w:t>
            </w:r>
          </w:p>
        </w:tc>
      </w:tr>
      <w:tr w:rsidR="007D13F3" w:rsidRPr="001454E9" w:rsidTr="000736F2">
        <w:trPr>
          <w:trHeight w:val="259"/>
        </w:trPr>
        <w:tc>
          <w:tcPr>
            <w:tcW w:w="1360" w:type="pct"/>
            <w:tcBorders>
              <w:top w:val="nil"/>
              <w:left w:val="single" w:sz="4" w:space="0" w:color="auto"/>
              <w:bottom w:val="single" w:sz="4" w:space="0" w:color="auto"/>
              <w:right w:val="single" w:sz="4" w:space="0" w:color="auto"/>
            </w:tcBorders>
            <w:shd w:val="clear" w:color="auto" w:fill="BFBFBF" w:themeFill="background1" w:themeFillShade="BF"/>
            <w:vAlign w:val="center"/>
          </w:tcPr>
          <w:p w:rsidR="007D13F3" w:rsidRPr="00951C93" w:rsidRDefault="007D13F3" w:rsidP="00465CAC">
            <w:pPr>
              <w:rPr>
                <w:rFonts w:ascii="Times New Roman" w:hAnsi="Times New Roman" w:cs="Times New Roman"/>
                <w:b/>
                <w:bCs/>
                <w:color w:val="000000"/>
                <w:sz w:val="14"/>
                <w:szCs w:val="14"/>
              </w:rPr>
            </w:pPr>
            <w:r w:rsidRPr="008C2035">
              <w:rPr>
                <w:rFonts w:ascii="Times New Roman" w:hAnsi="Times New Roman" w:cs="Times New Roman"/>
                <w:b/>
                <w:bCs/>
                <w:color w:val="000000"/>
                <w:sz w:val="14"/>
                <w:szCs w:val="14"/>
              </w:rPr>
              <w:t>Zdroje príslušnej kapitoly vrátane 72e</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3C728F" w:rsidRDefault="007D13F3" w:rsidP="00465CAC">
            <w:pPr>
              <w:jc w:val="right"/>
              <w:rPr>
                <w:rFonts w:ascii="Times New Roman" w:hAnsi="Times New Roman" w:cs="Times New Roman"/>
                <w:b/>
                <w:bCs/>
                <w:sz w:val="14"/>
                <w:szCs w:val="14"/>
              </w:rPr>
            </w:pPr>
            <w:r>
              <w:rPr>
                <w:rFonts w:ascii="Times New Roman" w:hAnsi="Times New Roman" w:cs="Times New Roman"/>
                <w:b/>
                <w:bCs/>
                <w:sz w:val="14"/>
                <w:szCs w:val="14"/>
              </w:rPr>
              <w:t>3 993 861</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3C728F" w:rsidRDefault="007D13F3" w:rsidP="00465CAC">
            <w:pPr>
              <w:jc w:val="right"/>
              <w:rPr>
                <w:rFonts w:ascii="Times New Roman" w:hAnsi="Times New Roman" w:cs="Times New Roman"/>
                <w:b/>
                <w:bCs/>
                <w:sz w:val="14"/>
                <w:szCs w:val="14"/>
              </w:rPr>
            </w:pPr>
            <w:r w:rsidRPr="003C728F">
              <w:rPr>
                <w:rFonts w:ascii="Times New Roman" w:hAnsi="Times New Roman" w:cs="Times New Roman"/>
                <w:b/>
                <w:bCs/>
                <w:sz w:val="14"/>
                <w:szCs w:val="14"/>
              </w:rPr>
              <w:t>4 371 200</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3C728F" w:rsidRDefault="007D13F3" w:rsidP="00465CAC">
            <w:pPr>
              <w:jc w:val="right"/>
              <w:rPr>
                <w:rFonts w:ascii="Times New Roman" w:hAnsi="Times New Roman" w:cs="Times New Roman"/>
                <w:b/>
                <w:bCs/>
                <w:sz w:val="14"/>
                <w:szCs w:val="14"/>
                <w:highlight w:val="yellow"/>
              </w:rPr>
            </w:pPr>
            <w:r w:rsidRPr="003C728F">
              <w:rPr>
                <w:rFonts w:ascii="Times New Roman" w:hAnsi="Times New Roman" w:cs="Times New Roman"/>
                <w:b/>
                <w:bCs/>
                <w:sz w:val="14"/>
                <w:szCs w:val="14"/>
              </w:rPr>
              <w:t>6 190 086</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EF180C" w:rsidRDefault="007D13F3" w:rsidP="00465CAC">
            <w:pPr>
              <w:jc w:val="right"/>
              <w:rPr>
                <w:rFonts w:ascii="Times New Roman" w:hAnsi="Times New Roman" w:cs="Times New Roman"/>
                <w:b/>
                <w:bCs/>
                <w:color w:val="000000"/>
                <w:sz w:val="14"/>
                <w:szCs w:val="14"/>
              </w:rPr>
            </w:pPr>
            <w:r w:rsidRPr="00EF180C">
              <w:rPr>
                <w:rFonts w:ascii="Times New Roman" w:hAnsi="Times New Roman" w:cs="Times New Roman"/>
                <w:b/>
                <w:bCs/>
                <w:color w:val="000000"/>
                <w:sz w:val="14"/>
                <w:szCs w:val="14"/>
              </w:rPr>
              <w:t>6 280 050</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3C728F" w:rsidRDefault="007D13F3" w:rsidP="00465CAC">
            <w:pPr>
              <w:jc w:val="right"/>
              <w:rPr>
                <w:rFonts w:ascii="Times New Roman" w:hAnsi="Times New Roman" w:cs="Times New Roman"/>
                <w:b/>
                <w:bCs/>
                <w:sz w:val="14"/>
                <w:szCs w:val="14"/>
              </w:rPr>
            </w:pPr>
            <w:r>
              <w:rPr>
                <w:rFonts w:ascii="Times New Roman" w:hAnsi="Times New Roman" w:cs="Times New Roman"/>
                <w:b/>
                <w:bCs/>
                <w:sz w:val="14"/>
                <w:szCs w:val="14"/>
              </w:rPr>
              <w:t>4 749 167</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3C728F" w:rsidRDefault="007D13F3" w:rsidP="00465CAC">
            <w:pPr>
              <w:jc w:val="right"/>
              <w:rPr>
                <w:rFonts w:ascii="Times New Roman" w:hAnsi="Times New Roman" w:cs="Times New Roman"/>
                <w:b/>
                <w:bCs/>
                <w:sz w:val="14"/>
                <w:szCs w:val="14"/>
              </w:rPr>
            </w:pPr>
            <w:r w:rsidRPr="003C728F">
              <w:rPr>
                <w:rFonts w:ascii="Times New Roman" w:hAnsi="Times New Roman" w:cs="Times New Roman"/>
                <w:b/>
                <w:bCs/>
                <w:sz w:val="14"/>
                <w:szCs w:val="14"/>
              </w:rPr>
              <w:t>4 744 167</w:t>
            </w:r>
          </w:p>
        </w:tc>
        <w:tc>
          <w:tcPr>
            <w:tcW w:w="550" w:type="pct"/>
            <w:tcBorders>
              <w:top w:val="nil"/>
              <w:left w:val="nil"/>
              <w:bottom w:val="single" w:sz="4" w:space="0" w:color="auto"/>
              <w:right w:val="single" w:sz="4" w:space="0" w:color="auto"/>
            </w:tcBorders>
            <w:shd w:val="clear" w:color="auto" w:fill="BFBFBF" w:themeFill="background1" w:themeFillShade="BF"/>
            <w:vAlign w:val="bottom"/>
          </w:tcPr>
          <w:p w:rsidR="007D13F3" w:rsidRPr="003C728F" w:rsidRDefault="007D13F3" w:rsidP="00465CAC">
            <w:pPr>
              <w:jc w:val="right"/>
              <w:rPr>
                <w:rFonts w:ascii="Times New Roman" w:hAnsi="Times New Roman" w:cs="Times New Roman"/>
                <w:b/>
                <w:bCs/>
                <w:sz w:val="14"/>
                <w:szCs w:val="14"/>
              </w:rPr>
            </w:pPr>
            <w:r w:rsidRPr="003C728F">
              <w:rPr>
                <w:rFonts w:ascii="Times New Roman" w:hAnsi="Times New Roman" w:cs="Times New Roman"/>
                <w:b/>
                <w:bCs/>
                <w:sz w:val="14"/>
                <w:szCs w:val="14"/>
              </w:rPr>
              <w:t>4 744 167</w:t>
            </w:r>
          </w:p>
        </w:tc>
      </w:tr>
      <w:tr w:rsidR="007D13F3" w:rsidRPr="001454E9" w:rsidTr="000736F2">
        <w:trPr>
          <w:trHeight w:val="259"/>
        </w:trPr>
        <w:tc>
          <w:tcPr>
            <w:tcW w:w="136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7D13F3" w:rsidRPr="00951C93" w:rsidRDefault="007D13F3" w:rsidP="00465CAC">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Zdroje príslušnej kapitoly</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3C728F" w:rsidRDefault="007D13F3" w:rsidP="00465CAC">
            <w:pPr>
              <w:jc w:val="right"/>
              <w:rPr>
                <w:rFonts w:ascii="Times New Roman" w:hAnsi="Times New Roman" w:cs="Times New Roman"/>
                <w:b/>
                <w:bCs/>
                <w:sz w:val="14"/>
                <w:szCs w:val="14"/>
              </w:rPr>
            </w:pPr>
            <w:r w:rsidRPr="003C728F">
              <w:rPr>
                <w:rFonts w:ascii="Times New Roman" w:hAnsi="Times New Roman" w:cs="Times New Roman"/>
                <w:b/>
                <w:bCs/>
                <w:sz w:val="14"/>
                <w:szCs w:val="14"/>
              </w:rPr>
              <w:t>3 985 972</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3C728F" w:rsidRDefault="007D13F3" w:rsidP="00465CAC">
            <w:pPr>
              <w:jc w:val="right"/>
              <w:rPr>
                <w:rFonts w:ascii="Times New Roman" w:hAnsi="Times New Roman" w:cs="Times New Roman"/>
                <w:b/>
                <w:bCs/>
                <w:sz w:val="14"/>
                <w:szCs w:val="14"/>
              </w:rPr>
            </w:pPr>
            <w:r w:rsidRPr="003C728F">
              <w:rPr>
                <w:rFonts w:ascii="Times New Roman" w:hAnsi="Times New Roman" w:cs="Times New Roman"/>
                <w:b/>
                <w:bCs/>
                <w:sz w:val="14"/>
                <w:szCs w:val="14"/>
              </w:rPr>
              <w:t>4 371 200</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3C728F" w:rsidRDefault="007D13F3" w:rsidP="00465CAC">
            <w:pPr>
              <w:jc w:val="right"/>
              <w:rPr>
                <w:rFonts w:ascii="Times New Roman" w:hAnsi="Times New Roman" w:cs="Times New Roman"/>
                <w:b/>
                <w:bCs/>
                <w:sz w:val="14"/>
                <w:szCs w:val="14"/>
                <w:highlight w:val="yellow"/>
              </w:rPr>
            </w:pPr>
            <w:r w:rsidRPr="003C728F">
              <w:rPr>
                <w:rFonts w:ascii="Times New Roman" w:hAnsi="Times New Roman" w:cs="Times New Roman"/>
                <w:b/>
                <w:bCs/>
                <w:sz w:val="14"/>
                <w:szCs w:val="14"/>
              </w:rPr>
              <w:t>6 190 086</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EF180C" w:rsidRDefault="007D13F3" w:rsidP="00465CAC">
            <w:pPr>
              <w:jc w:val="right"/>
              <w:rPr>
                <w:rFonts w:ascii="Times New Roman" w:hAnsi="Times New Roman" w:cs="Times New Roman"/>
                <w:b/>
                <w:bCs/>
                <w:color w:val="000000"/>
                <w:sz w:val="14"/>
                <w:szCs w:val="14"/>
              </w:rPr>
            </w:pPr>
            <w:r w:rsidRPr="00EF180C">
              <w:rPr>
                <w:rFonts w:ascii="Times New Roman" w:hAnsi="Times New Roman" w:cs="Times New Roman"/>
                <w:b/>
                <w:bCs/>
                <w:color w:val="000000"/>
                <w:sz w:val="14"/>
                <w:szCs w:val="14"/>
              </w:rPr>
              <w:t>6 280 050</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3C728F" w:rsidRDefault="007D13F3" w:rsidP="00465CAC">
            <w:pPr>
              <w:jc w:val="right"/>
              <w:rPr>
                <w:rFonts w:ascii="Times New Roman" w:hAnsi="Times New Roman" w:cs="Times New Roman"/>
                <w:b/>
                <w:bCs/>
                <w:sz w:val="14"/>
                <w:szCs w:val="14"/>
              </w:rPr>
            </w:pPr>
            <w:r w:rsidRPr="003C728F">
              <w:rPr>
                <w:rFonts w:ascii="Times New Roman" w:hAnsi="Times New Roman" w:cs="Times New Roman"/>
                <w:b/>
                <w:bCs/>
                <w:sz w:val="14"/>
                <w:szCs w:val="14"/>
              </w:rPr>
              <w:t>4 744 167</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3C728F" w:rsidRDefault="007D13F3" w:rsidP="00465CAC">
            <w:pPr>
              <w:jc w:val="right"/>
              <w:rPr>
                <w:rFonts w:ascii="Times New Roman" w:hAnsi="Times New Roman" w:cs="Times New Roman"/>
                <w:b/>
                <w:bCs/>
                <w:sz w:val="14"/>
                <w:szCs w:val="14"/>
              </w:rPr>
            </w:pPr>
            <w:r w:rsidRPr="003C728F">
              <w:rPr>
                <w:rFonts w:ascii="Times New Roman" w:hAnsi="Times New Roman" w:cs="Times New Roman"/>
                <w:b/>
                <w:bCs/>
                <w:sz w:val="14"/>
                <w:szCs w:val="14"/>
              </w:rPr>
              <w:t>4 744 167</w:t>
            </w:r>
          </w:p>
        </w:tc>
        <w:tc>
          <w:tcPr>
            <w:tcW w:w="550" w:type="pct"/>
            <w:tcBorders>
              <w:top w:val="nil"/>
              <w:left w:val="nil"/>
              <w:bottom w:val="single" w:sz="4" w:space="0" w:color="auto"/>
              <w:right w:val="single" w:sz="4" w:space="0" w:color="auto"/>
            </w:tcBorders>
            <w:shd w:val="clear" w:color="auto" w:fill="BFBFBF" w:themeFill="background1" w:themeFillShade="BF"/>
            <w:vAlign w:val="bottom"/>
          </w:tcPr>
          <w:p w:rsidR="007D13F3" w:rsidRPr="003C728F" w:rsidRDefault="007D13F3" w:rsidP="00465CAC">
            <w:pPr>
              <w:jc w:val="right"/>
              <w:rPr>
                <w:rFonts w:ascii="Times New Roman" w:hAnsi="Times New Roman" w:cs="Times New Roman"/>
                <w:b/>
                <w:bCs/>
                <w:sz w:val="14"/>
                <w:szCs w:val="14"/>
              </w:rPr>
            </w:pPr>
            <w:r w:rsidRPr="003C728F">
              <w:rPr>
                <w:rFonts w:ascii="Times New Roman" w:hAnsi="Times New Roman" w:cs="Times New Roman"/>
                <w:b/>
                <w:bCs/>
                <w:sz w:val="14"/>
                <w:szCs w:val="14"/>
              </w:rPr>
              <w:t>4 744 167</w:t>
            </w:r>
          </w:p>
        </w:tc>
      </w:tr>
      <w:tr w:rsidR="007D13F3" w:rsidRPr="008D5ED4" w:rsidTr="00465CAC">
        <w:trPr>
          <w:trHeight w:val="259"/>
        </w:trPr>
        <w:tc>
          <w:tcPr>
            <w:tcW w:w="1360" w:type="pct"/>
            <w:tcBorders>
              <w:top w:val="nil"/>
              <w:left w:val="single" w:sz="4" w:space="0" w:color="auto"/>
              <w:bottom w:val="single" w:sz="4" w:space="0" w:color="auto"/>
              <w:right w:val="single" w:sz="4" w:space="0" w:color="auto"/>
            </w:tcBorders>
            <w:shd w:val="clear" w:color="auto" w:fill="auto"/>
            <w:noWrap/>
            <w:vAlign w:val="center"/>
            <w:hideMark/>
          </w:tcPr>
          <w:p w:rsidR="007D13F3" w:rsidRPr="008D5ED4" w:rsidRDefault="007D13F3" w:rsidP="00465CAC">
            <w:pPr>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 xml:space="preserve">rozpočtové zdroje kapitoly </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sz w:val="14"/>
                <w:szCs w:val="14"/>
              </w:rPr>
            </w:pPr>
            <w:r w:rsidRPr="008D5ED4">
              <w:rPr>
                <w:rFonts w:ascii="Times New Roman" w:hAnsi="Times New Roman" w:cs="Times New Roman"/>
                <w:b/>
                <w:sz w:val="14"/>
                <w:szCs w:val="14"/>
              </w:rPr>
              <w:t>3 850 917</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sz w:val="14"/>
                <w:szCs w:val="14"/>
              </w:rPr>
            </w:pPr>
            <w:r w:rsidRPr="008D5ED4">
              <w:rPr>
                <w:rFonts w:ascii="Times New Roman" w:hAnsi="Times New Roman" w:cs="Times New Roman"/>
                <w:b/>
                <w:sz w:val="14"/>
                <w:szCs w:val="14"/>
              </w:rPr>
              <w:t>4 137 200</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sz w:val="14"/>
                <w:szCs w:val="14"/>
                <w:highlight w:val="yellow"/>
              </w:rPr>
            </w:pPr>
            <w:r w:rsidRPr="008D5ED4">
              <w:rPr>
                <w:rFonts w:ascii="Times New Roman" w:hAnsi="Times New Roman" w:cs="Times New Roman"/>
                <w:b/>
                <w:sz w:val="14"/>
                <w:szCs w:val="14"/>
              </w:rPr>
              <w:t>6 190 086</w:t>
            </w:r>
          </w:p>
        </w:tc>
        <w:tc>
          <w:tcPr>
            <w:tcW w:w="515" w:type="pct"/>
            <w:tcBorders>
              <w:top w:val="nil"/>
              <w:left w:val="nil"/>
              <w:bottom w:val="single" w:sz="4" w:space="0" w:color="auto"/>
              <w:right w:val="single" w:sz="4" w:space="0" w:color="auto"/>
            </w:tcBorders>
            <w:shd w:val="clear" w:color="auto" w:fill="FFFFFF" w:themeFill="background1"/>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6 280 050</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bCs/>
                <w:sz w:val="14"/>
                <w:szCs w:val="14"/>
              </w:rPr>
            </w:pPr>
            <w:r w:rsidRPr="008D5ED4">
              <w:rPr>
                <w:rFonts w:ascii="Times New Roman" w:hAnsi="Times New Roman" w:cs="Times New Roman"/>
                <w:b/>
                <w:bCs/>
                <w:sz w:val="14"/>
                <w:szCs w:val="14"/>
              </w:rPr>
              <w:t>4 744 167</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bCs/>
                <w:sz w:val="14"/>
                <w:szCs w:val="14"/>
              </w:rPr>
            </w:pPr>
            <w:r w:rsidRPr="008D5ED4">
              <w:rPr>
                <w:rFonts w:ascii="Times New Roman" w:hAnsi="Times New Roman" w:cs="Times New Roman"/>
                <w:b/>
                <w:bCs/>
                <w:sz w:val="14"/>
                <w:szCs w:val="14"/>
              </w:rPr>
              <w:t>4 744 167</w:t>
            </w:r>
          </w:p>
        </w:tc>
        <w:tc>
          <w:tcPr>
            <w:tcW w:w="550"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bCs/>
                <w:sz w:val="14"/>
                <w:szCs w:val="14"/>
              </w:rPr>
            </w:pPr>
            <w:r w:rsidRPr="008D5ED4">
              <w:rPr>
                <w:rFonts w:ascii="Times New Roman" w:hAnsi="Times New Roman" w:cs="Times New Roman"/>
                <w:b/>
                <w:bCs/>
                <w:sz w:val="14"/>
                <w:szCs w:val="14"/>
              </w:rPr>
              <w:t>4 744 167</w:t>
            </w:r>
          </w:p>
        </w:tc>
      </w:tr>
      <w:tr w:rsidR="007D13F3" w:rsidRPr="001454E9" w:rsidTr="00465CAC">
        <w:trPr>
          <w:trHeight w:val="259"/>
        </w:trPr>
        <w:tc>
          <w:tcPr>
            <w:tcW w:w="1360" w:type="pct"/>
            <w:tcBorders>
              <w:top w:val="nil"/>
              <w:left w:val="single" w:sz="4" w:space="0" w:color="auto"/>
              <w:bottom w:val="single" w:sz="4" w:space="0" w:color="auto"/>
              <w:right w:val="single" w:sz="4" w:space="0" w:color="auto"/>
            </w:tcBorders>
            <w:shd w:val="clear" w:color="auto" w:fill="auto"/>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v tom: bežné výdavky  600</w:t>
            </w:r>
          </w:p>
        </w:tc>
        <w:tc>
          <w:tcPr>
            <w:tcW w:w="515" w:type="pct"/>
            <w:tcBorders>
              <w:top w:val="nil"/>
              <w:left w:val="nil"/>
              <w:bottom w:val="single" w:sz="4" w:space="0" w:color="auto"/>
              <w:right w:val="single" w:sz="4" w:space="0" w:color="auto"/>
            </w:tcBorders>
            <w:shd w:val="clear" w:color="auto" w:fill="auto"/>
            <w:noWrap/>
            <w:vAlign w:val="bottom"/>
          </w:tcPr>
          <w:p w:rsidR="007D13F3" w:rsidRPr="003C728F" w:rsidRDefault="007D13F3" w:rsidP="00465CAC">
            <w:pPr>
              <w:jc w:val="right"/>
              <w:rPr>
                <w:rFonts w:ascii="Times New Roman" w:hAnsi="Times New Roman" w:cs="Times New Roman"/>
                <w:sz w:val="14"/>
                <w:szCs w:val="14"/>
              </w:rPr>
            </w:pPr>
            <w:r w:rsidRPr="003C728F">
              <w:rPr>
                <w:rFonts w:ascii="Times New Roman" w:hAnsi="Times New Roman" w:cs="Times New Roman"/>
                <w:sz w:val="14"/>
                <w:szCs w:val="14"/>
              </w:rPr>
              <w:t>3 836 917</w:t>
            </w:r>
          </w:p>
        </w:tc>
        <w:tc>
          <w:tcPr>
            <w:tcW w:w="515" w:type="pct"/>
            <w:tcBorders>
              <w:top w:val="nil"/>
              <w:left w:val="nil"/>
              <w:bottom w:val="single" w:sz="4" w:space="0" w:color="auto"/>
              <w:right w:val="single" w:sz="4" w:space="0" w:color="auto"/>
            </w:tcBorders>
            <w:shd w:val="clear" w:color="auto" w:fill="auto"/>
            <w:noWrap/>
            <w:vAlign w:val="bottom"/>
          </w:tcPr>
          <w:p w:rsidR="007D13F3" w:rsidRPr="003C728F" w:rsidRDefault="007D13F3" w:rsidP="00465CAC">
            <w:pPr>
              <w:jc w:val="right"/>
              <w:rPr>
                <w:rFonts w:ascii="Times New Roman" w:hAnsi="Times New Roman" w:cs="Times New Roman"/>
                <w:sz w:val="14"/>
                <w:szCs w:val="14"/>
              </w:rPr>
            </w:pPr>
            <w:r w:rsidRPr="003C728F">
              <w:rPr>
                <w:rFonts w:ascii="Times New Roman" w:hAnsi="Times New Roman" w:cs="Times New Roman"/>
                <w:sz w:val="14"/>
                <w:szCs w:val="14"/>
              </w:rPr>
              <w:t>4 127 990</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sz w:val="14"/>
                <w:szCs w:val="14"/>
                <w:highlight w:val="yellow"/>
              </w:rPr>
            </w:pPr>
            <w:r w:rsidRPr="003C728F">
              <w:rPr>
                <w:rFonts w:ascii="Times New Roman" w:hAnsi="Times New Roman" w:cs="Times New Roman"/>
                <w:sz w:val="14"/>
                <w:szCs w:val="14"/>
              </w:rPr>
              <w:t>4</w:t>
            </w:r>
            <w:r>
              <w:rPr>
                <w:rFonts w:ascii="Times New Roman" w:hAnsi="Times New Roman" w:cs="Times New Roman"/>
                <w:sz w:val="14"/>
                <w:szCs w:val="14"/>
              </w:rPr>
              <w:t> 630 876</w:t>
            </w:r>
          </w:p>
        </w:tc>
        <w:tc>
          <w:tcPr>
            <w:tcW w:w="515" w:type="pct"/>
            <w:tcBorders>
              <w:top w:val="nil"/>
              <w:left w:val="nil"/>
              <w:bottom w:val="single" w:sz="4" w:space="0" w:color="auto"/>
              <w:right w:val="single" w:sz="4" w:space="0" w:color="auto"/>
            </w:tcBorders>
            <w:shd w:val="clear" w:color="auto" w:fill="FFFFFF" w:themeFill="background1"/>
            <w:vAlign w:val="bottom"/>
          </w:tcPr>
          <w:p w:rsidR="007D13F3" w:rsidRPr="00EF180C" w:rsidRDefault="007D13F3" w:rsidP="00465CAC">
            <w:pPr>
              <w:jc w:val="right"/>
              <w:rPr>
                <w:rFonts w:ascii="Times New Roman" w:hAnsi="Times New Roman" w:cs="Times New Roman"/>
                <w:sz w:val="14"/>
                <w:szCs w:val="14"/>
              </w:rPr>
            </w:pPr>
            <w:r>
              <w:rPr>
                <w:rFonts w:ascii="Times New Roman" w:hAnsi="Times New Roman" w:cs="Times New Roman"/>
                <w:sz w:val="14"/>
                <w:szCs w:val="14"/>
              </w:rPr>
              <w:t>4 720 840</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bCs/>
                <w:sz w:val="14"/>
                <w:szCs w:val="14"/>
              </w:rPr>
            </w:pPr>
            <w:r w:rsidRPr="003C728F">
              <w:rPr>
                <w:rFonts w:ascii="Times New Roman" w:hAnsi="Times New Roman" w:cs="Times New Roman"/>
                <w:bCs/>
                <w:sz w:val="14"/>
                <w:szCs w:val="14"/>
              </w:rPr>
              <w:t>4 744 167</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bCs/>
                <w:sz w:val="14"/>
                <w:szCs w:val="14"/>
              </w:rPr>
            </w:pPr>
            <w:r w:rsidRPr="003C728F">
              <w:rPr>
                <w:rFonts w:ascii="Times New Roman" w:hAnsi="Times New Roman" w:cs="Times New Roman"/>
                <w:bCs/>
                <w:sz w:val="14"/>
                <w:szCs w:val="14"/>
              </w:rPr>
              <w:t>4 744 167</w:t>
            </w:r>
          </w:p>
        </w:tc>
        <w:tc>
          <w:tcPr>
            <w:tcW w:w="550"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bCs/>
                <w:sz w:val="14"/>
                <w:szCs w:val="14"/>
              </w:rPr>
            </w:pPr>
            <w:r w:rsidRPr="003C728F">
              <w:rPr>
                <w:rFonts w:ascii="Times New Roman" w:hAnsi="Times New Roman" w:cs="Times New Roman"/>
                <w:bCs/>
                <w:sz w:val="14"/>
                <w:szCs w:val="14"/>
              </w:rPr>
              <w:t>4 744 167</w:t>
            </w:r>
          </w:p>
        </w:tc>
      </w:tr>
      <w:tr w:rsidR="007D13F3" w:rsidRPr="001454E9" w:rsidTr="00465CAC">
        <w:trPr>
          <w:trHeight w:val="259"/>
        </w:trPr>
        <w:tc>
          <w:tcPr>
            <w:tcW w:w="1360" w:type="pct"/>
            <w:tcBorders>
              <w:top w:val="nil"/>
              <w:left w:val="single" w:sz="4" w:space="0" w:color="auto"/>
              <w:bottom w:val="single" w:sz="4" w:space="0" w:color="auto"/>
              <w:right w:val="single" w:sz="4" w:space="0" w:color="auto"/>
            </w:tcBorders>
            <w:shd w:val="clear" w:color="auto" w:fill="auto"/>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610 mzdy</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sz w:val="14"/>
                <w:szCs w:val="14"/>
              </w:rPr>
            </w:pPr>
            <w:r w:rsidRPr="003C728F">
              <w:rPr>
                <w:rFonts w:ascii="Times New Roman" w:hAnsi="Times New Roman" w:cs="Times New Roman"/>
                <w:sz w:val="14"/>
                <w:szCs w:val="14"/>
              </w:rPr>
              <w:t>1 658 498</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sz w:val="14"/>
                <w:szCs w:val="14"/>
              </w:rPr>
            </w:pPr>
            <w:r w:rsidRPr="003C728F">
              <w:rPr>
                <w:rFonts w:ascii="Times New Roman" w:hAnsi="Times New Roman" w:cs="Times New Roman"/>
                <w:sz w:val="14"/>
                <w:szCs w:val="14"/>
              </w:rPr>
              <w:t>1 721 211</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sz w:val="14"/>
                <w:szCs w:val="14"/>
                <w:highlight w:val="yellow"/>
              </w:rPr>
            </w:pPr>
            <w:r w:rsidRPr="003C728F">
              <w:rPr>
                <w:rFonts w:ascii="Times New Roman" w:hAnsi="Times New Roman" w:cs="Times New Roman"/>
                <w:sz w:val="14"/>
                <w:szCs w:val="14"/>
              </w:rPr>
              <w:t>2 038 205</w:t>
            </w:r>
          </w:p>
        </w:tc>
        <w:tc>
          <w:tcPr>
            <w:tcW w:w="515" w:type="pct"/>
            <w:tcBorders>
              <w:top w:val="nil"/>
              <w:left w:val="nil"/>
              <w:bottom w:val="single" w:sz="4" w:space="0" w:color="auto"/>
              <w:right w:val="single" w:sz="4" w:space="0" w:color="auto"/>
            </w:tcBorders>
            <w:shd w:val="clear" w:color="auto" w:fill="FFFFFF" w:themeFill="background1"/>
            <w:vAlign w:val="bottom"/>
          </w:tcPr>
          <w:p w:rsidR="007D13F3" w:rsidRPr="00EF180C" w:rsidRDefault="007D13F3" w:rsidP="00465CAC">
            <w:pPr>
              <w:jc w:val="right"/>
              <w:rPr>
                <w:rFonts w:ascii="Times New Roman" w:hAnsi="Times New Roman" w:cs="Times New Roman"/>
                <w:sz w:val="14"/>
                <w:szCs w:val="14"/>
              </w:rPr>
            </w:pPr>
            <w:r w:rsidRPr="00EF180C">
              <w:rPr>
                <w:rFonts w:ascii="Times New Roman" w:hAnsi="Times New Roman" w:cs="Times New Roman"/>
                <w:sz w:val="14"/>
                <w:szCs w:val="14"/>
              </w:rPr>
              <w:t>2 096 065</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sz w:val="14"/>
                <w:szCs w:val="14"/>
              </w:rPr>
            </w:pPr>
            <w:r w:rsidRPr="003C728F">
              <w:rPr>
                <w:rFonts w:ascii="Times New Roman" w:hAnsi="Times New Roman" w:cs="Times New Roman"/>
                <w:sz w:val="14"/>
                <w:szCs w:val="14"/>
              </w:rPr>
              <w:t>2 115 331</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sz w:val="14"/>
                <w:szCs w:val="14"/>
              </w:rPr>
            </w:pPr>
            <w:r w:rsidRPr="003C728F">
              <w:rPr>
                <w:rFonts w:ascii="Times New Roman" w:hAnsi="Times New Roman" w:cs="Times New Roman"/>
                <w:sz w:val="14"/>
                <w:szCs w:val="14"/>
              </w:rPr>
              <w:t>2 115 331</w:t>
            </w:r>
          </w:p>
        </w:tc>
        <w:tc>
          <w:tcPr>
            <w:tcW w:w="550"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sz w:val="14"/>
                <w:szCs w:val="14"/>
              </w:rPr>
            </w:pPr>
            <w:r w:rsidRPr="003C728F">
              <w:rPr>
                <w:rFonts w:ascii="Times New Roman" w:hAnsi="Times New Roman" w:cs="Times New Roman"/>
                <w:sz w:val="14"/>
                <w:szCs w:val="14"/>
              </w:rPr>
              <w:t>2 115 331</w:t>
            </w:r>
          </w:p>
        </w:tc>
      </w:tr>
      <w:tr w:rsidR="007D13F3" w:rsidRPr="001454E9" w:rsidTr="00465CAC">
        <w:trPr>
          <w:trHeight w:val="259"/>
        </w:trPr>
        <w:tc>
          <w:tcPr>
            <w:tcW w:w="1360" w:type="pct"/>
            <w:tcBorders>
              <w:top w:val="nil"/>
              <w:left w:val="single" w:sz="4" w:space="0" w:color="auto"/>
              <w:bottom w:val="single" w:sz="4" w:space="0" w:color="auto"/>
              <w:right w:val="single" w:sz="4" w:space="0" w:color="auto"/>
            </w:tcBorders>
            <w:shd w:val="clear" w:color="auto" w:fill="auto"/>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620 odvody</w:t>
            </w:r>
          </w:p>
        </w:tc>
        <w:tc>
          <w:tcPr>
            <w:tcW w:w="515" w:type="pct"/>
            <w:tcBorders>
              <w:top w:val="nil"/>
              <w:left w:val="nil"/>
              <w:bottom w:val="single" w:sz="4" w:space="0" w:color="auto"/>
              <w:right w:val="single" w:sz="4" w:space="0" w:color="auto"/>
            </w:tcBorders>
            <w:shd w:val="clear" w:color="auto" w:fill="auto"/>
            <w:noWrap/>
            <w:vAlign w:val="bottom"/>
          </w:tcPr>
          <w:p w:rsidR="007D13F3" w:rsidRPr="003C728F" w:rsidRDefault="007D13F3" w:rsidP="00465CAC">
            <w:pPr>
              <w:jc w:val="right"/>
              <w:rPr>
                <w:rFonts w:ascii="Times New Roman" w:hAnsi="Times New Roman" w:cs="Times New Roman"/>
                <w:sz w:val="14"/>
                <w:szCs w:val="14"/>
              </w:rPr>
            </w:pPr>
            <w:r w:rsidRPr="003C728F">
              <w:rPr>
                <w:rFonts w:ascii="Times New Roman" w:hAnsi="Times New Roman" w:cs="Times New Roman"/>
                <w:sz w:val="14"/>
                <w:szCs w:val="14"/>
              </w:rPr>
              <w:t>586 698</w:t>
            </w:r>
          </w:p>
        </w:tc>
        <w:tc>
          <w:tcPr>
            <w:tcW w:w="515" w:type="pct"/>
            <w:tcBorders>
              <w:top w:val="nil"/>
              <w:left w:val="nil"/>
              <w:bottom w:val="single" w:sz="4" w:space="0" w:color="auto"/>
              <w:right w:val="single" w:sz="4" w:space="0" w:color="auto"/>
            </w:tcBorders>
            <w:shd w:val="clear" w:color="auto" w:fill="auto"/>
            <w:noWrap/>
            <w:vAlign w:val="bottom"/>
          </w:tcPr>
          <w:p w:rsidR="007D13F3" w:rsidRPr="003C728F" w:rsidRDefault="007D13F3" w:rsidP="00465CAC">
            <w:pPr>
              <w:jc w:val="right"/>
              <w:rPr>
                <w:rFonts w:ascii="Times New Roman" w:hAnsi="Times New Roman" w:cs="Times New Roman"/>
                <w:sz w:val="14"/>
                <w:szCs w:val="14"/>
              </w:rPr>
            </w:pPr>
            <w:r w:rsidRPr="003C728F">
              <w:rPr>
                <w:rFonts w:ascii="Times New Roman" w:hAnsi="Times New Roman" w:cs="Times New Roman"/>
                <w:sz w:val="14"/>
                <w:szCs w:val="14"/>
              </w:rPr>
              <w:t>633 007</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sz w:val="14"/>
                <w:szCs w:val="14"/>
                <w:highlight w:val="yellow"/>
              </w:rPr>
            </w:pPr>
            <w:r w:rsidRPr="003C728F">
              <w:rPr>
                <w:rFonts w:ascii="Times New Roman" w:hAnsi="Times New Roman" w:cs="Times New Roman"/>
                <w:sz w:val="14"/>
                <w:szCs w:val="14"/>
              </w:rPr>
              <w:t>713 179</w:t>
            </w:r>
          </w:p>
        </w:tc>
        <w:tc>
          <w:tcPr>
            <w:tcW w:w="515" w:type="pct"/>
            <w:tcBorders>
              <w:top w:val="nil"/>
              <w:left w:val="nil"/>
              <w:bottom w:val="single" w:sz="4" w:space="0" w:color="auto"/>
              <w:right w:val="single" w:sz="4" w:space="0" w:color="auto"/>
            </w:tcBorders>
            <w:shd w:val="clear" w:color="auto" w:fill="FFFFFF" w:themeFill="background1"/>
            <w:vAlign w:val="bottom"/>
          </w:tcPr>
          <w:p w:rsidR="007D13F3" w:rsidRPr="00EF180C" w:rsidRDefault="007D13F3" w:rsidP="00465CAC">
            <w:pPr>
              <w:jc w:val="right"/>
              <w:rPr>
                <w:rFonts w:ascii="Times New Roman" w:hAnsi="Times New Roman" w:cs="Times New Roman"/>
                <w:sz w:val="14"/>
                <w:szCs w:val="14"/>
              </w:rPr>
            </w:pPr>
            <w:r w:rsidRPr="00EF180C">
              <w:rPr>
                <w:rFonts w:ascii="Times New Roman" w:hAnsi="Times New Roman" w:cs="Times New Roman"/>
                <w:sz w:val="14"/>
                <w:szCs w:val="14"/>
              </w:rPr>
              <w:t>733 401</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color w:val="000000"/>
                <w:sz w:val="14"/>
                <w:szCs w:val="14"/>
                <w:highlight w:val="yellow"/>
              </w:rPr>
            </w:pPr>
            <w:r w:rsidRPr="003C728F">
              <w:rPr>
                <w:rFonts w:ascii="Times New Roman" w:hAnsi="Times New Roman" w:cs="Times New Roman"/>
                <w:color w:val="000000"/>
                <w:sz w:val="14"/>
                <w:szCs w:val="14"/>
              </w:rPr>
              <w:t>894 000</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color w:val="000000"/>
                <w:sz w:val="14"/>
                <w:szCs w:val="14"/>
                <w:highlight w:val="yellow"/>
              </w:rPr>
            </w:pPr>
            <w:r w:rsidRPr="003C728F">
              <w:rPr>
                <w:rFonts w:ascii="Times New Roman" w:hAnsi="Times New Roman" w:cs="Times New Roman"/>
                <w:color w:val="000000"/>
                <w:sz w:val="14"/>
                <w:szCs w:val="14"/>
              </w:rPr>
              <w:t>893 000</w:t>
            </w:r>
          </w:p>
        </w:tc>
        <w:tc>
          <w:tcPr>
            <w:tcW w:w="550"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color w:val="000000"/>
                <w:sz w:val="14"/>
                <w:szCs w:val="14"/>
                <w:highlight w:val="yellow"/>
              </w:rPr>
            </w:pPr>
            <w:r w:rsidRPr="003C728F">
              <w:rPr>
                <w:rFonts w:ascii="Times New Roman" w:hAnsi="Times New Roman" w:cs="Times New Roman"/>
                <w:color w:val="000000"/>
                <w:sz w:val="14"/>
                <w:szCs w:val="14"/>
              </w:rPr>
              <w:t>892 000</w:t>
            </w:r>
          </w:p>
        </w:tc>
      </w:tr>
      <w:tr w:rsidR="007D13F3" w:rsidRPr="001454E9" w:rsidTr="00465CAC">
        <w:trPr>
          <w:trHeight w:val="259"/>
        </w:trPr>
        <w:tc>
          <w:tcPr>
            <w:tcW w:w="1360" w:type="pct"/>
            <w:tcBorders>
              <w:top w:val="nil"/>
              <w:left w:val="single" w:sz="4" w:space="0" w:color="auto"/>
              <w:bottom w:val="single" w:sz="4" w:space="0" w:color="auto"/>
              <w:right w:val="single" w:sz="4" w:space="0" w:color="auto"/>
            </w:tcBorders>
            <w:shd w:val="clear" w:color="auto" w:fill="auto"/>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630 tovary a služby</w:t>
            </w:r>
          </w:p>
        </w:tc>
        <w:tc>
          <w:tcPr>
            <w:tcW w:w="515" w:type="pct"/>
            <w:tcBorders>
              <w:top w:val="nil"/>
              <w:left w:val="nil"/>
              <w:bottom w:val="single" w:sz="4" w:space="0" w:color="auto"/>
              <w:right w:val="single" w:sz="4" w:space="0" w:color="auto"/>
            </w:tcBorders>
            <w:shd w:val="clear" w:color="auto" w:fill="auto"/>
            <w:noWrap/>
            <w:vAlign w:val="bottom"/>
          </w:tcPr>
          <w:p w:rsidR="007D13F3" w:rsidRPr="003C728F" w:rsidRDefault="007D13F3" w:rsidP="00465CAC">
            <w:pPr>
              <w:jc w:val="right"/>
              <w:rPr>
                <w:rFonts w:ascii="Times New Roman" w:hAnsi="Times New Roman" w:cs="Times New Roman"/>
                <w:sz w:val="14"/>
                <w:szCs w:val="14"/>
              </w:rPr>
            </w:pPr>
            <w:r w:rsidRPr="003C728F">
              <w:rPr>
                <w:rFonts w:ascii="Times New Roman" w:hAnsi="Times New Roman" w:cs="Times New Roman"/>
                <w:sz w:val="14"/>
                <w:szCs w:val="14"/>
              </w:rPr>
              <w:t>1 423 057</w:t>
            </w:r>
          </w:p>
        </w:tc>
        <w:tc>
          <w:tcPr>
            <w:tcW w:w="515" w:type="pct"/>
            <w:tcBorders>
              <w:top w:val="nil"/>
              <w:left w:val="nil"/>
              <w:bottom w:val="single" w:sz="4" w:space="0" w:color="auto"/>
              <w:right w:val="single" w:sz="4" w:space="0" w:color="auto"/>
            </w:tcBorders>
            <w:shd w:val="clear" w:color="auto" w:fill="auto"/>
            <w:noWrap/>
            <w:vAlign w:val="bottom"/>
          </w:tcPr>
          <w:p w:rsidR="007D13F3" w:rsidRPr="003C728F" w:rsidRDefault="007D13F3" w:rsidP="00465CAC">
            <w:pPr>
              <w:jc w:val="right"/>
              <w:rPr>
                <w:rFonts w:ascii="Times New Roman" w:hAnsi="Times New Roman" w:cs="Times New Roman"/>
                <w:sz w:val="14"/>
                <w:szCs w:val="14"/>
              </w:rPr>
            </w:pPr>
            <w:r w:rsidRPr="003C728F">
              <w:rPr>
                <w:rFonts w:ascii="Times New Roman" w:hAnsi="Times New Roman" w:cs="Times New Roman"/>
                <w:sz w:val="14"/>
                <w:szCs w:val="14"/>
              </w:rPr>
              <w:t>1 607 851</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sz w:val="14"/>
                <w:szCs w:val="14"/>
                <w:highlight w:val="yellow"/>
              </w:rPr>
            </w:pPr>
            <w:r w:rsidRPr="003F1C5A">
              <w:rPr>
                <w:rFonts w:ascii="Times New Roman" w:hAnsi="Times New Roman" w:cs="Times New Roman"/>
                <w:sz w:val="14"/>
                <w:szCs w:val="14"/>
              </w:rPr>
              <w:t>1 696 144</w:t>
            </w:r>
          </w:p>
        </w:tc>
        <w:tc>
          <w:tcPr>
            <w:tcW w:w="515" w:type="pct"/>
            <w:tcBorders>
              <w:top w:val="nil"/>
              <w:left w:val="nil"/>
              <w:bottom w:val="single" w:sz="4" w:space="0" w:color="auto"/>
              <w:right w:val="single" w:sz="4" w:space="0" w:color="auto"/>
            </w:tcBorders>
            <w:shd w:val="clear" w:color="auto" w:fill="FFFFFF" w:themeFill="background1"/>
            <w:vAlign w:val="bottom"/>
          </w:tcPr>
          <w:p w:rsidR="007D13F3" w:rsidRPr="00EF180C" w:rsidRDefault="007D13F3" w:rsidP="00465CAC">
            <w:pPr>
              <w:jc w:val="right"/>
              <w:rPr>
                <w:rFonts w:ascii="Times New Roman" w:hAnsi="Times New Roman" w:cs="Times New Roman"/>
                <w:sz w:val="14"/>
                <w:szCs w:val="14"/>
              </w:rPr>
            </w:pPr>
            <w:r>
              <w:rPr>
                <w:rFonts w:ascii="Times New Roman" w:hAnsi="Times New Roman" w:cs="Times New Roman"/>
                <w:sz w:val="14"/>
                <w:szCs w:val="14"/>
              </w:rPr>
              <w:t>1 708 026</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color w:val="000000"/>
                <w:sz w:val="14"/>
                <w:szCs w:val="14"/>
                <w:highlight w:val="yellow"/>
              </w:rPr>
            </w:pPr>
            <w:r w:rsidRPr="003C728F">
              <w:rPr>
                <w:rFonts w:ascii="Times New Roman" w:hAnsi="Times New Roman" w:cs="Times New Roman"/>
                <w:color w:val="000000"/>
                <w:sz w:val="14"/>
                <w:szCs w:val="14"/>
              </w:rPr>
              <w:t>1 606 831</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color w:val="000000"/>
                <w:sz w:val="14"/>
                <w:szCs w:val="14"/>
                <w:highlight w:val="yellow"/>
              </w:rPr>
            </w:pPr>
            <w:r w:rsidRPr="003C728F">
              <w:rPr>
                <w:rFonts w:ascii="Times New Roman" w:hAnsi="Times New Roman" w:cs="Times New Roman"/>
                <w:color w:val="000000"/>
                <w:sz w:val="14"/>
                <w:szCs w:val="14"/>
              </w:rPr>
              <w:t>1 588 831</w:t>
            </w:r>
          </w:p>
        </w:tc>
        <w:tc>
          <w:tcPr>
            <w:tcW w:w="550"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color w:val="000000"/>
                <w:sz w:val="14"/>
                <w:szCs w:val="14"/>
                <w:highlight w:val="yellow"/>
              </w:rPr>
            </w:pPr>
            <w:r w:rsidRPr="003C728F">
              <w:rPr>
                <w:rFonts w:ascii="Times New Roman" w:hAnsi="Times New Roman" w:cs="Times New Roman"/>
                <w:color w:val="000000"/>
                <w:sz w:val="14"/>
                <w:szCs w:val="14"/>
              </w:rPr>
              <w:t>1 589 831</w:t>
            </w:r>
          </w:p>
        </w:tc>
      </w:tr>
      <w:tr w:rsidR="007D13F3" w:rsidRPr="001454E9" w:rsidTr="00465CAC">
        <w:trPr>
          <w:trHeight w:val="259"/>
        </w:trPr>
        <w:tc>
          <w:tcPr>
            <w:tcW w:w="1360" w:type="pct"/>
            <w:tcBorders>
              <w:top w:val="nil"/>
              <w:left w:val="single" w:sz="4" w:space="0" w:color="auto"/>
              <w:bottom w:val="single" w:sz="4" w:space="0" w:color="auto"/>
              <w:right w:val="single" w:sz="4" w:space="0" w:color="auto"/>
            </w:tcBorders>
            <w:shd w:val="clear" w:color="auto" w:fill="auto"/>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640 bežné transfery</w:t>
            </w:r>
          </w:p>
        </w:tc>
        <w:tc>
          <w:tcPr>
            <w:tcW w:w="515" w:type="pct"/>
            <w:tcBorders>
              <w:top w:val="nil"/>
              <w:left w:val="nil"/>
              <w:bottom w:val="single" w:sz="4" w:space="0" w:color="auto"/>
              <w:right w:val="single" w:sz="4" w:space="0" w:color="auto"/>
            </w:tcBorders>
            <w:shd w:val="clear" w:color="auto" w:fill="auto"/>
            <w:noWrap/>
            <w:vAlign w:val="bottom"/>
          </w:tcPr>
          <w:p w:rsidR="007D13F3" w:rsidRPr="003C728F" w:rsidRDefault="007D13F3" w:rsidP="00465CAC">
            <w:pPr>
              <w:jc w:val="right"/>
              <w:rPr>
                <w:rFonts w:ascii="Times New Roman" w:hAnsi="Times New Roman" w:cs="Times New Roman"/>
                <w:sz w:val="14"/>
                <w:szCs w:val="14"/>
              </w:rPr>
            </w:pPr>
            <w:r w:rsidRPr="003C728F">
              <w:rPr>
                <w:rFonts w:ascii="Times New Roman" w:hAnsi="Times New Roman" w:cs="Times New Roman"/>
                <w:sz w:val="14"/>
                <w:szCs w:val="14"/>
              </w:rPr>
              <w:t>168 664</w:t>
            </w:r>
          </w:p>
        </w:tc>
        <w:tc>
          <w:tcPr>
            <w:tcW w:w="515" w:type="pct"/>
            <w:tcBorders>
              <w:top w:val="nil"/>
              <w:left w:val="nil"/>
              <w:bottom w:val="single" w:sz="4" w:space="0" w:color="auto"/>
              <w:right w:val="single" w:sz="4" w:space="0" w:color="auto"/>
            </w:tcBorders>
            <w:shd w:val="clear" w:color="auto" w:fill="auto"/>
            <w:noWrap/>
            <w:vAlign w:val="bottom"/>
          </w:tcPr>
          <w:p w:rsidR="007D13F3" w:rsidRPr="003C728F" w:rsidRDefault="007D13F3" w:rsidP="00465CAC">
            <w:pPr>
              <w:jc w:val="right"/>
              <w:rPr>
                <w:rFonts w:ascii="Times New Roman" w:hAnsi="Times New Roman" w:cs="Times New Roman"/>
                <w:sz w:val="14"/>
                <w:szCs w:val="14"/>
              </w:rPr>
            </w:pPr>
            <w:r w:rsidRPr="003C728F">
              <w:rPr>
                <w:rFonts w:ascii="Times New Roman" w:hAnsi="Times New Roman" w:cs="Times New Roman"/>
                <w:sz w:val="14"/>
                <w:szCs w:val="14"/>
              </w:rPr>
              <w:t>165 922</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sz w:val="14"/>
                <w:szCs w:val="14"/>
                <w:highlight w:val="yellow"/>
              </w:rPr>
            </w:pPr>
            <w:r w:rsidRPr="003C728F">
              <w:rPr>
                <w:rFonts w:ascii="Times New Roman" w:hAnsi="Times New Roman" w:cs="Times New Roman"/>
                <w:sz w:val="14"/>
                <w:szCs w:val="14"/>
              </w:rPr>
              <w:t>183 348</w:t>
            </w:r>
          </w:p>
        </w:tc>
        <w:tc>
          <w:tcPr>
            <w:tcW w:w="515" w:type="pct"/>
            <w:tcBorders>
              <w:top w:val="nil"/>
              <w:left w:val="nil"/>
              <w:bottom w:val="single" w:sz="4" w:space="0" w:color="auto"/>
              <w:right w:val="single" w:sz="4" w:space="0" w:color="auto"/>
            </w:tcBorders>
            <w:shd w:val="clear" w:color="auto" w:fill="FFFFFF" w:themeFill="background1"/>
            <w:vAlign w:val="bottom"/>
          </w:tcPr>
          <w:p w:rsidR="007D13F3" w:rsidRPr="00EF180C" w:rsidRDefault="007D13F3" w:rsidP="00465CAC">
            <w:pPr>
              <w:jc w:val="right"/>
              <w:rPr>
                <w:rFonts w:ascii="Times New Roman" w:hAnsi="Times New Roman" w:cs="Times New Roman"/>
                <w:sz w:val="14"/>
                <w:szCs w:val="14"/>
              </w:rPr>
            </w:pPr>
            <w:r w:rsidRPr="00EF180C">
              <w:rPr>
                <w:rFonts w:ascii="Times New Roman" w:hAnsi="Times New Roman" w:cs="Times New Roman"/>
                <w:sz w:val="14"/>
                <w:szCs w:val="14"/>
              </w:rPr>
              <w:t>183 348</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color w:val="000000"/>
                <w:sz w:val="14"/>
                <w:szCs w:val="14"/>
                <w:highlight w:val="yellow"/>
              </w:rPr>
            </w:pPr>
            <w:r w:rsidRPr="003C728F">
              <w:rPr>
                <w:rFonts w:ascii="Times New Roman" w:hAnsi="Times New Roman" w:cs="Times New Roman"/>
                <w:color w:val="000000"/>
                <w:sz w:val="14"/>
                <w:szCs w:val="14"/>
              </w:rPr>
              <w:t>128 005</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color w:val="000000"/>
                <w:sz w:val="14"/>
                <w:szCs w:val="14"/>
                <w:highlight w:val="yellow"/>
              </w:rPr>
            </w:pPr>
            <w:r w:rsidRPr="003C728F">
              <w:rPr>
                <w:rFonts w:ascii="Times New Roman" w:hAnsi="Times New Roman" w:cs="Times New Roman"/>
                <w:color w:val="000000"/>
                <w:sz w:val="14"/>
                <w:szCs w:val="14"/>
              </w:rPr>
              <w:t>147 005</w:t>
            </w:r>
          </w:p>
        </w:tc>
        <w:tc>
          <w:tcPr>
            <w:tcW w:w="550"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color w:val="000000"/>
                <w:sz w:val="14"/>
                <w:szCs w:val="14"/>
                <w:highlight w:val="yellow"/>
              </w:rPr>
            </w:pPr>
            <w:r w:rsidRPr="003C728F">
              <w:rPr>
                <w:rFonts w:ascii="Times New Roman" w:hAnsi="Times New Roman" w:cs="Times New Roman"/>
                <w:color w:val="000000"/>
                <w:sz w:val="14"/>
                <w:szCs w:val="14"/>
              </w:rPr>
              <w:t>147 005</w:t>
            </w:r>
          </w:p>
        </w:tc>
      </w:tr>
      <w:tr w:rsidR="007D13F3" w:rsidRPr="001454E9" w:rsidTr="00465CAC">
        <w:trPr>
          <w:trHeight w:val="259"/>
        </w:trPr>
        <w:tc>
          <w:tcPr>
            <w:tcW w:w="1360" w:type="pct"/>
            <w:tcBorders>
              <w:top w:val="nil"/>
              <w:left w:val="single" w:sz="4" w:space="0" w:color="auto"/>
              <w:bottom w:val="single" w:sz="4" w:space="0" w:color="auto"/>
              <w:right w:val="single" w:sz="4" w:space="0" w:color="auto"/>
            </w:tcBorders>
            <w:shd w:val="clear" w:color="auto" w:fill="auto"/>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kapitálové výdavky 700</w:t>
            </w:r>
          </w:p>
        </w:tc>
        <w:tc>
          <w:tcPr>
            <w:tcW w:w="515" w:type="pct"/>
            <w:tcBorders>
              <w:top w:val="nil"/>
              <w:left w:val="nil"/>
              <w:bottom w:val="single" w:sz="4" w:space="0" w:color="auto"/>
              <w:right w:val="single" w:sz="4" w:space="0" w:color="auto"/>
            </w:tcBorders>
            <w:shd w:val="clear" w:color="auto" w:fill="auto"/>
            <w:noWrap/>
            <w:vAlign w:val="bottom"/>
          </w:tcPr>
          <w:p w:rsidR="007D13F3" w:rsidRPr="003C728F" w:rsidRDefault="007D13F3" w:rsidP="00465CAC">
            <w:pPr>
              <w:jc w:val="right"/>
              <w:rPr>
                <w:rFonts w:ascii="Times New Roman" w:hAnsi="Times New Roman" w:cs="Times New Roman"/>
                <w:sz w:val="14"/>
                <w:szCs w:val="14"/>
              </w:rPr>
            </w:pPr>
            <w:r w:rsidRPr="003C728F">
              <w:rPr>
                <w:rFonts w:ascii="Times New Roman" w:hAnsi="Times New Roman" w:cs="Times New Roman"/>
                <w:sz w:val="14"/>
                <w:szCs w:val="14"/>
              </w:rPr>
              <w:t>14 000</w:t>
            </w:r>
          </w:p>
        </w:tc>
        <w:tc>
          <w:tcPr>
            <w:tcW w:w="515" w:type="pct"/>
            <w:tcBorders>
              <w:top w:val="nil"/>
              <w:left w:val="nil"/>
              <w:bottom w:val="single" w:sz="4" w:space="0" w:color="auto"/>
              <w:right w:val="single" w:sz="4" w:space="0" w:color="auto"/>
            </w:tcBorders>
            <w:shd w:val="clear" w:color="auto" w:fill="auto"/>
            <w:noWrap/>
            <w:vAlign w:val="bottom"/>
          </w:tcPr>
          <w:p w:rsidR="007D13F3" w:rsidRPr="003C728F" w:rsidRDefault="007D13F3" w:rsidP="00465CAC">
            <w:pPr>
              <w:jc w:val="right"/>
              <w:rPr>
                <w:rFonts w:ascii="Times New Roman" w:hAnsi="Times New Roman" w:cs="Times New Roman"/>
                <w:sz w:val="14"/>
                <w:szCs w:val="14"/>
              </w:rPr>
            </w:pPr>
            <w:r w:rsidRPr="003C728F">
              <w:rPr>
                <w:rFonts w:ascii="Times New Roman" w:hAnsi="Times New Roman" w:cs="Times New Roman"/>
                <w:sz w:val="14"/>
                <w:szCs w:val="14"/>
              </w:rPr>
              <w:t>9 210</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sz w:val="14"/>
                <w:szCs w:val="14"/>
                <w:highlight w:val="yellow"/>
              </w:rPr>
            </w:pPr>
            <w:r w:rsidRPr="003C728F">
              <w:rPr>
                <w:rFonts w:ascii="Times New Roman" w:hAnsi="Times New Roman" w:cs="Times New Roman"/>
                <w:sz w:val="14"/>
                <w:szCs w:val="14"/>
              </w:rPr>
              <w:t>1 559 210</w:t>
            </w:r>
          </w:p>
        </w:tc>
        <w:tc>
          <w:tcPr>
            <w:tcW w:w="515" w:type="pct"/>
            <w:tcBorders>
              <w:top w:val="nil"/>
              <w:left w:val="nil"/>
              <w:bottom w:val="single" w:sz="4" w:space="0" w:color="auto"/>
              <w:right w:val="single" w:sz="4" w:space="0" w:color="auto"/>
            </w:tcBorders>
            <w:shd w:val="clear" w:color="auto" w:fill="FFFFFF" w:themeFill="background1"/>
            <w:vAlign w:val="bottom"/>
          </w:tcPr>
          <w:p w:rsidR="007D13F3" w:rsidRPr="00EF180C" w:rsidRDefault="007D13F3" w:rsidP="00465CAC">
            <w:pPr>
              <w:jc w:val="right"/>
              <w:rPr>
                <w:rFonts w:ascii="Times New Roman" w:hAnsi="Times New Roman" w:cs="Times New Roman"/>
                <w:sz w:val="14"/>
                <w:szCs w:val="14"/>
              </w:rPr>
            </w:pPr>
            <w:r w:rsidRPr="00EF180C">
              <w:rPr>
                <w:rFonts w:ascii="Times New Roman" w:hAnsi="Times New Roman" w:cs="Times New Roman"/>
                <w:sz w:val="14"/>
                <w:szCs w:val="14"/>
              </w:rPr>
              <w:t>1 559 210</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color w:val="000000"/>
                <w:sz w:val="14"/>
                <w:szCs w:val="14"/>
              </w:rPr>
            </w:pPr>
            <w:r w:rsidRPr="003C728F">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color w:val="000000"/>
                <w:sz w:val="14"/>
                <w:szCs w:val="14"/>
              </w:rPr>
            </w:pPr>
            <w:r w:rsidRPr="003C728F">
              <w:rPr>
                <w:rFonts w:ascii="Times New Roman" w:hAnsi="Times New Roman" w:cs="Times New Roman"/>
                <w:color w:val="000000"/>
                <w:sz w:val="14"/>
                <w:szCs w:val="14"/>
              </w:rPr>
              <w:t>0</w:t>
            </w:r>
          </w:p>
        </w:tc>
        <w:tc>
          <w:tcPr>
            <w:tcW w:w="550" w:type="pct"/>
            <w:tcBorders>
              <w:top w:val="nil"/>
              <w:left w:val="nil"/>
              <w:bottom w:val="single" w:sz="4" w:space="0" w:color="auto"/>
              <w:right w:val="single" w:sz="4" w:space="0" w:color="auto"/>
            </w:tcBorders>
            <w:shd w:val="clear" w:color="auto" w:fill="auto"/>
            <w:vAlign w:val="bottom"/>
          </w:tcPr>
          <w:p w:rsidR="007D13F3" w:rsidRPr="003C728F" w:rsidRDefault="007D13F3" w:rsidP="00465CAC">
            <w:pPr>
              <w:jc w:val="right"/>
              <w:rPr>
                <w:rFonts w:ascii="Times New Roman" w:hAnsi="Times New Roman" w:cs="Times New Roman"/>
                <w:color w:val="000000"/>
                <w:sz w:val="14"/>
                <w:szCs w:val="14"/>
              </w:rPr>
            </w:pPr>
            <w:r w:rsidRPr="003C728F">
              <w:rPr>
                <w:rFonts w:ascii="Times New Roman" w:hAnsi="Times New Roman" w:cs="Times New Roman"/>
                <w:color w:val="000000"/>
                <w:sz w:val="14"/>
                <w:szCs w:val="14"/>
              </w:rPr>
              <w:t>0</w:t>
            </w:r>
          </w:p>
        </w:tc>
      </w:tr>
      <w:tr w:rsidR="007D13F3" w:rsidRPr="001454E9" w:rsidTr="00465CAC">
        <w:trPr>
          <w:trHeight w:val="259"/>
        </w:trPr>
        <w:tc>
          <w:tcPr>
            <w:tcW w:w="1360" w:type="pct"/>
            <w:tcBorders>
              <w:top w:val="nil"/>
              <w:left w:val="single" w:sz="4" w:space="0" w:color="auto"/>
              <w:bottom w:val="single" w:sz="4" w:space="0" w:color="auto"/>
              <w:right w:val="single" w:sz="4" w:space="0" w:color="auto"/>
            </w:tcBorders>
            <w:shd w:val="clear" w:color="auto" w:fill="auto"/>
            <w:noWrap/>
            <w:vAlign w:val="center"/>
            <w:hideMark/>
          </w:tcPr>
          <w:p w:rsidR="007D13F3" w:rsidRPr="00951C93" w:rsidRDefault="007D13F3" w:rsidP="00465CAC">
            <w:pPr>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presun z minulých rokov</w:t>
            </w:r>
            <w:r>
              <w:rPr>
                <w:rFonts w:ascii="Times New Roman" w:hAnsi="Times New Roman" w:cs="Times New Roman"/>
                <w:b/>
                <w:color w:val="000000"/>
                <w:sz w:val="14"/>
                <w:szCs w:val="14"/>
              </w:rPr>
              <w:t xml:space="preserve"> </w:t>
            </w:r>
            <w:r w:rsidRPr="009C1133">
              <w:rPr>
                <w:rFonts w:ascii="Times New Roman" w:hAnsi="Times New Roman" w:cs="Times New Roman"/>
                <w:b/>
                <w:color w:val="000000"/>
                <w:sz w:val="14"/>
                <w:szCs w:val="14"/>
              </w:rPr>
              <w:t>§</w:t>
            </w:r>
            <w:r>
              <w:rPr>
                <w:rFonts w:ascii="Times New Roman" w:hAnsi="Times New Roman" w:cs="Times New Roman"/>
                <w:b/>
                <w:color w:val="000000"/>
                <w:sz w:val="14"/>
                <w:szCs w:val="14"/>
              </w:rPr>
              <w:t xml:space="preserve"> </w:t>
            </w:r>
            <w:r w:rsidRPr="009C1133">
              <w:rPr>
                <w:rFonts w:ascii="Times New Roman" w:hAnsi="Times New Roman" w:cs="Times New Roman"/>
                <w:b/>
                <w:color w:val="000000"/>
                <w:sz w:val="14"/>
                <w:szCs w:val="14"/>
              </w:rPr>
              <w:t>8 ŠR</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7D13F3" w:rsidRPr="00262F02" w:rsidRDefault="007D13F3" w:rsidP="00465CAC">
            <w:pPr>
              <w:jc w:val="right"/>
              <w:rPr>
                <w:rFonts w:ascii="Times New Roman" w:hAnsi="Times New Roman" w:cs="Times New Roman"/>
                <w:b/>
                <w:sz w:val="14"/>
                <w:szCs w:val="14"/>
              </w:rPr>
            </w:pPr>
            <w:r w:rsidRPr="00262F02">
              <w:rPr>
                <w:rFonts w:ascii="Times New Roman" w:hAnsi="Times New Roman" w:cs="Times New Roman"/>
                <w:b/>
                <w:sz w:val="14"/>
                <w:szCs w:val="14"/>
              </w:rPr>
              <w:t>135 054</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7D13F3" w:rsidRPr="00262F02" w:rsidRDefault="007D13F3" w:rsidP="00465CAC">
            <w:pPr>
              <w:jc w:val="right"/>
              <w:rPr>
                <w:rFonts w:ascii="Times New Roman" w:hAnsi="Times New Roman" w:cs="Times New Roman"/>
                <w:b/>
                <w:sz w:val="14"/>
                <w:szCs w:val="14"/>
              </w:rPr>
            </w:pPr>
            <w:r w:rsidRPr="00262F02">
              <w:rPr>
                <w:rFonts w:ascii="Times New Roman" w:hAnsi="Times New Roman" w:cs="Times New Roman"/>
                <w:b/>
                <w:sz w:val="14"/>
                <w:szCs w:val="14"/>
              </w:rPr>
              <w:t>233 999</w:t>
            </w:r>
          </w:p>
        </w:tc>
        <w:tc>
          <w:tcPr>
            <w:tcW w:w="515" w:type="pct"/>
            <w:tcBorders>
              <w:top w:val="single" w:sz="4" w:space="0" w:color="auto"/>
              <w:left w:val="nil"/>
              <w:bottom w:val="single" w:sz="4" w:space="0" w:color="auto"/>
              <w:right w:val="single" w:sz="4" w:space="0" w:color="auto"/>
            </w:tcBorders>
            <w:shd w:val="clear" w:color="auto" w:fill="auto"/>
            <w:vAlign w:val="bottom"/>
          </w:tcPr>
          <w:p w:rsidR="007D13F3" w:rsidRPr="00262F02" w:rsidRDefault="007D13F3" w:rsidP="00465CAC">
            <w:pPr>
              <w:jc w:val="right"/>
              <w:rPr>
                <w:rFonts w:ascii="Times New Roman" w:hAnsi="Times New Roman" w:cs="Times New Roman"/>
                <w:b/>
                <w:sz w:val="14"/>
                <w:szCs w:val="14"/>
              </w:rPr>
            </w:pPr>
            <w:r w:rsidRPr="00262F02">
              <w:rPr>
                <w:rFonts w:ascii="Times New Roman" w:hAnsi="Times New Roman" w:cs="Times New Roman"/>
                <w:b/>
                <w:sz w:val="14"/>
                <w:szCs w:val="14"/>
              </w:rPr>
              <w:t>0</w:t>
            </w:r>
          </w:p>
        </w:tc>
        <w:tc>
          <w:tcPr>
            <w:tcW w:w="515"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EF180C" w:rsidRDefault="007D13F3" w:rsidP="00465CAC">
            <w:pPr>
              <w:jc w:val="right"/>
              <w:rPr>
                <w:rFonts w:ascii="Times New Roman" w:hAnsi="Times New Roman" w:cs="Times New Roman"/>
                <w:b/>
                <w:sz w:val="14"/>
                <w:szCs w:val="14"/>
              </w:rPr>
            </w:pPr>
            <w:r w:rsidRPr="00EF180C">
              <w:rPr>
                <w:rFonts w:ascii="Times New Roman" w:hAnsi="Times New Roman" w:cs="Times New Roman"/>
                <w:b/>
                <w:sz w:val="14"/>
                <w:szCs w:val="14"/>
              </w:rPr>
              <w:t>0</w:t>
            </w:r>
          </w:p>
        </w:tc>
        <w:tc>
          <w:tcPr>
            <w:tcW w:w="515" w:type="pct"/>
            <w:tcBorders>
              <w:top w:val="single" w:sz="4" w:space="0" w:color="auto"/>
              <w:left w:val="nil"/>
              <w:bottom w:val="single" w:sz="4" w:space="0" w:color="auto"/>
              <w:right w:val="single" w:sz="4" w:space="0" w:color="auto"/>
            </w:tcBorders>
            <w:shd w:val="clear" w:color="auto" w:fill="auto"/>
            <w:vAlign w:val="bottom"/>
          </w:tcPr>
          <w:p w:rsidR="007D13F3" w:rsidRPr="00262F02" w:rsidRDefault="007D13F3" w:rsidP="00465CAC">
            <w:pPr>
              <w:jc w:val="right"/>
              <w:rPr>
                <w:rFonts w:ascii="Times New Roman" w:hAnsi="Times New Roman" w:cs="Times New Roman"/>
                <w:b/>
                <w:sz w:val="14"/>
                <w:szCs w:val="14"/>
              </w:rPr>
            </w:pPr>
            <w:r w:rsidRPr="00262F02">
              <w:rPr>
                <w:rFonts w:ascii="Times New Roman" w:hAnsi="Times New Roman" w:cs="Times New Roman"/>
                <w:b/>
                <w:sz w:val="14"/>
                <w:szCs w:val="14"/>
              </w:rPr>
              <w:t>0</w:t>
            </w:r>
          </w:p>
        </w:tc>
        <w:tc>
          <w:tcPr>
            <w:tcW w:w="515" w:type="pct"/>
            <w:tcBorders>
              <w:top w:val="single" w:sz="4" w:space="0" w:color="auto"/>
              <w:left w:val="nil"/>
              <w:bottom w:val="single" w:sz="4" w:space="0" w:color="auto"/>
              <w:right w:val="single" w:sz="4" w:space="0" w:color="auto"/>
            </w:tcBorders>
            <w:shd w:val="clear" w:color="auto" w:fill="auto"/>
            <w:vAlign w:val="bottom"/>
          </w:tcPr>
          <w:p w:rsidR="007D13F3" w:rsidRPr="00262F02" w:rsidRDefault="007D13F3" w:rsidP="00465CAC">
            <w:pPr>
              <w:jc w:val="right"/>
              <w:rPr>
                <w:rFonts w:ascii="Times New Roman" w:hAnsi="Times New Roman" w:cs="Times New Roman"/>
                <w:b/>
                <w:sz w:val="14"/>
                <w:szCs w:val="14"/>
              </w:rPr>
            </w:pPr>
            <w:r w:rsidRPr="00262F02">
              <w:rPr>
                <w:rFonts w:ascii="Times New Roman" w:hAnsi="Times New Roman" w:cs="Times New Roman"/>
                <w:b/>
                <w:sz w:val="14"/>
                <w:szCs w:val="14"/>
              </w:rPr>
              <w:t>0</w:t>
            </w:r>
          </w:p>
        </w:tc>
        <w:tc>
          <w:tcPr>
            <w:tcW w:w="550" w:type="pct"/>
            <w:tcBorders>
              <w:top w:val="single" w:sz="4" w:space="0" w:color="auto"/>
              <w:left w:val="nil"/>
              <w:bottom w:val="single" w:sz="4" w:space="0" w:color="auto"/>
              <w:right w:val="single" w:sz="4" w:space="0" w:color="auto"/>
            </w:tcBorders>
            <w:shd w:val="clear" w:color="auto" w:fill="auto"/>
            <w:vAlign w:val="bottom"/>
          </w:tcPr>
          <w:p w:rsidR="007D13F3" w:rsidRPr="00262F02" w:rsidRDefault="007D13F3" w:rsidP="00465CAC">
            <w:pPr>
              <w:jc w:val="right"/>
              <w:rPr>
                <w:rFonts w:ascii="Times New Roman" w:hAnsi="Times New Roman" w:cs="Times New Roman"/>
                <w:b/>
                <w:color w:val="000000"/>
                <w:sz w:val="14"/>
                <w:szCs w:val="14"/>
              </w:rPr>
            </w:pPr>
            <w:r w:rsidRPr="00262F02">
              <w:rPr>
                <w:rFonts w:ascii="Times New Roman" w:hAnsi="Times New Roman" w:cs="Times New Roman"/>
                <w:b/>
                <w:color w:val="000000"/>
                <w:sz w:val="14"/>
                <w:szCs w:val="14"/>
              </w:rPr>
              <w:t>0</w:t>
            </w:r>
          </w:p>
        </w:tc>
      </w:tr>
      <w:tr w:rsidR="007D13F3" w:rsidRPr="001454E9" w:rsidTr="00465CAC">
        <w:trPr>
          <w:trHeight w:val="259"/>
        </w:trPr>
        <w:tc>
          <w:tcPr>
            <w:tcW w:w="1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3F3" w:rsidRPr="006936D2" w:rsidRDefault="007D13F3" w:rsidP="00465CAC">
            <w:pPr>
              <w:rPr>
                <w:rFonts w:ascii="Times New Roman" w:hAnsi="Times New Roman" w:cs="Times New Roman"/>
                <w:b/>
                <w:bCs/>
                <w:color w:val="000000"/>
                <w:sz w:val="14"/>
                <w:szCs w:val="14"/>
                <w:lang w:eastAsia="sk-SK"/>
              </w:rPr>
            </w:pPr>
            <w:r w:rsidRPr="0042072C">
              <w:rPr>
                <w:rFonts w:ascii="Times New Roman" w:hAnsi="Times New Roman" w:cs="Times New Roman"/>
                <w:b/>
                <w:bCs/>
                <w:color w:val="000000"/>
                <w:sz w:val="14"/>
                <w:szCs w:val="14"/>
              </w:rPr>
              <w:t>zdroj 72e*</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7D13F3" w:rsidRPr="00DE4C8A" w:rsidRDefault="007D13F3" w:rsidP="00465CAC">
            <w:pPr>
              <w:jc w:val="right"/>
              <w:rPr>
                <w:rFonts w:ascii="Times New Roman" w:hAnsi="Times New Roman" w:cs="Times New Roman"/>
                <w:b/>
                <w:sz w:val="14"/>
                <w:szCs w:val="14"/>
              </w:rPr>
            </w:pPr>
            <w:r w:rsidRPr="00DE4C8A">
              <w:rPr>
                <w:rFonts w:ascii="Times New Roman" w:hAnsi="Times New Roman" w:cs="Times New Roman"/>
                <w:b/>
                <w:sz w:val="14"/>
                <w:szCs w:val="14"/>
              </w:rPr>
              <w:t>7 889</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7D13F3" w:rsidRPr="00262F02" w:rsidRDefault="007D13F3" w:rsidP="00465CAC">
            <w:pPr>
              <w:jc w:val="right"/>
              <w:rPr>
                <w:rFonts w:ascii="Times New Roman" w:hAnsi="Times New Roman" w:cs="Times New Roman"/>
                <w:b/>
                <w:bCs/>
                <w:color w:val="000000"/>
                <w:sz w:val="14"/>
                <w:szCs w:val="14"/>
              </w:rPr>
            </w:pPr>
            <w:r w:rsidRPr="00262F02">
              <w:rPr>
                <w:rFonts w:ascii="Times New Roman" w:hAnsi="Times New Roman" w:cs="Times New Roman"/>
                <w:b/>
                <w:bCs/>
                <w:color w:val="000000"/>
                <w:sz w:val="14"/>
                <w:szCs w:val="14"/>
              </w:rPr>
              <w:t>0</w:t>
            </w:r>
          </w:p>
        </w:tc>
        <w:tc>
          <w:tcPr>
            <w:tcW w:w="515" w:type="pct"/>
            <w:tcBorders>
              <w:top w:val="single" w:sz="4" w:space="0" w:color="auto"/>
              <w:left w:val="nil"/>
              <w:bottom w:val="single" w:sz="4" w:space="0" w:color="auto"/>
              <w:right w:val="single" w:sz="4" w:space="0" w:color="auto"/>
            </w:tcBorders>
            <w:shd w:val="clear" w:color="auto" w:fill="auto"/>
            <w:vAlign w:val="bottom"/>
          </w:tcPr>
          <w:p w:rsidR="007D13F3" w:rsidRPr="00262F02" w:rsidRDefault="007D13F3" w:rsidP="00465CAC">
            <w:pPr>
              <w:jc w:val="right"/>
              <w:rPr>
                <w:rFonts w:ascii="Times New Roman" w:hAnsi="Times New Roman" w:cs="Times New Roman"/>
                <w:b/>
                <w:bCs/>
                <w:color w:val="000000"/>
                <w:sz w:val="14"/>
                <w:szCs w:val="14"/>
              </w:rPr>
            </w:pPr>
            <w:r w:rsidRPr="00262F02">
              <w:rPr>
                <w:rFonts w:ascii="Times New Roman" w:hAnsi="Times New Roman" w:cs="Times New Roman"/>
                <w:b/>
                <w:bCs/>
                <w:color w:val="000000"/>
                <w:sz w:val="14"/>
                <w:szCs w:val="14"/>
              </w:rPr>
              <w:t>0</w:t>
            </w:r>
          </w:p>
        </w:tc>
        <w:tc>
          <w:tcPr>
            <w:tcW w:w="515"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EF180C" w:rsidRDefault="007D13F3" w:rsidP="00465CAC">
            <w:pPr>
              <w:jc w:val="right"/>
              <w:rPr>
                <w:rFonts w:ascii="Times New Roman" w:hAnsi="Times New Roman" w:cs="Times New Roman"/>
                <w:b/>
                <w:bCs/>
                <w:color w:val="FFFFFF" w:themeColor="background1"/>
                <w:sz w:val="14"/>
                <w:szCs w:val="14"/>
              </w:rPr>
            </w:pPr>
            <w:r w:rsidRPr="00EF180C">
              <w:rPr>
                <w:rFonts w:ascii="Times New Roman" w:hAnsi="Times New Roman" w:cs="Times New Roman"/>
                <w:b/>
                <w:bCs/>
                <w:color w:val="000000"/>
                <w:sz w:val="14"/>
                <w:szCs w:val="14"/>
              </w:rPr>
              <w:t>0</w:t>
            </w:r>
          </w:p>
        </w:tc>
        <w:tc>
          <w:tcPr>
            <w:tcW w:w="515" w:type="pct"/>
            <w:tcBorders>
              <w:top w:val="single" w:sz="4" w:space="0" w:color="auto"/>
              <w:left w:val="nil"/>
              <w:bottom w:val="single" w:sz="4" w:space="0" w:color="auto"/>
              <w:right w:val="single" w:sz="4" w:space="0" w:color="auto"/>
            </w:tcBorders>
            <w:shd w:val="clear" w:color="auto" w:fill="auto"/>
            <w:vAlign w:val="bottom"/>
          </w:tcPr>
          <w:p w:rsidR="007D13F3" w:rsidRPr="00262F02" w:rsidRDefault="007D13F3" w:rsidP="00465CAC">
            <w:pPr>
              <w:jc w:val="right"/>
              <w:rPr>
                <w:rFonts w:ascii="Times New Roman" w:hAnsi="Times New Roman" w:cs="Times New Roman"/>
                <w:b/>
                <w:bCs/>
                <w:color w:val="000000"/>
                <w:sz w:val="14"/>
                <w:szCs w:val="14"/>
              </w:rPr>
            </w:pPr>
            <w:r w:rsidRPr="00262F02">
              <w:rPr>
                <w:rFonts w:ascii="Times New Roman" w:hAnsi="Times New Roman" w:cs="Times New Roman"/>
                <w:b/>
                <w:bCs/>
                <w:color w:val="000000"/>
                <w:sz w:val="14"/>
                <w:szCs w:val="14"/>
              </w:rPr>
              <w:t>5 000</w:t>
            </w:r>
          </w:p>
        </w:tc>
        <w:tc>
          <w:tcPr>
            <w:tcW w:w="515" w:type="pct"/>
            <w:tcBorders>
              <w:top w:val="single" w:sz="4" w:space="0" w:color="auto"/>
              <w:left w:val="nil"/>
              <w:bottom w:val="single" w:sz="4" w:space="0" w:color="auto"/>
              <w:right w:val="single" w:sz="4" w:space="0" w:color="auto"/>
            </w:tcBorders>
            <w:shd w:val="clear" w:color="auto" w:fill="auto"/>
            <w:vAlign w:val="bottom"/>
          </w:tcPr>
          <w:p w:rsidR="007D13F3" w:rsidRPr="00262F02" w:rsidRDefault="007D13F3" w:rsidP="00465CAC">
            <w:pPr>
              <w:jc w:val="right"/>
              <w:rPr>
                <w:rFonts w:ascii="Times New Roman" w:hAnsi="Times New Roman" w:cs="Times New Roman"/>
                <w:b/>
                <w:bCs/>
                <w:color w:val="000000"/>
                <w:sz w:val="14"/>
                <w:szCs w:val="14"/>
              </w:rPr>
            </w:pPr>
            <w:r w:rsidRPr="00262F02">
              <w:rPr>
                <w:rFonts w:ascii="Times New Roman" w:hAnsi="Times New Roman" w:cs="Times New Roman"/>
                <w:b/>
                <w:bCs/>
                <w:color w:val="000000"/>
                <w:sz w:val="14"/>
                <w:szCs w:val="14"/>
              </w:rPr>
              <w:t>0</w:t>
            </w:r>
          </w:p>
        </w:tc>
        <w:tc>
          <w:tcPr>
            <w:tcW w:w="550" w:type="pct"/>
            <w:tcBorders>
              <w:top w:val="single" w:sz="4" w:space="0" w:color="auto"/>
              <w:left w:val="nil"/>
              <w:bottom w:val="single" w:sz="4" w:space="0" w:color="auto"/>
              <w:right w:val="single" w:sz="4" w:space="0" w:color="auto"/>
            </w:tcBorders>
            <w:shd w:val="clear" w:color="auto" w:fill="auto"/>
            <w:vAlign w:val="bottom"/>
          </w:tcPr>
          <w:p w:rsidR="007D13F3" w:rsidRPr="00262F02" w:rsidRDefault="007D13F3" w:rsidP="00465CAC">
            <w:pPr>
              <w:jc w:val="right"/>
              <w:rPr>
                <w:rFonts w:ascii="Times New Roman" w:hAnsi="Times New Roman" w:cs="Times New Roman"/>
                <w:b/>
                <w:bCs/>
                <w:color w:val="000000"/>
                <w:sz w:val="14"/>
                <w:szCs w:val="14"/>
              </w:rPr>
            </w:pPr>
            <w:r w:rsidRPr="00262F02">
              <w:rPr>
                <w:rFonts w:ascii="Times New Roman" w:hAnsi="Times New Roman" w:cs="Times New Roman"/>
                <w:b/>
                <w:bCs/>
                <w:color w:val="000000"/>
                <w:sz w:val="14"/>
                <w:szCs w:val="14"/>
              </w:rPr>
              <w:t>0</w:t>
            </w:r>
          </w:p>
        </w:tc>
      </w:tr>
    </w:tbl>
    <w:p w:rsidR="007D13F3" w:rsidRDefault="007D13F3" w:rsidP="007D13F3">
      <w:pPr>
        <w:autoSpaceDE w:val="0"/>
        <w:autoSpaceDN w:val="0"/>
        <w:jc w:val="both"/>
        <w:rPr>
          <w:rFonts w:ascii="Times New Roman" w:hAnsi="Times New Roman" w:cs="Times New Roman"/>
          <w:color w:val="000000"/>
          <w:sz w:val="14"/>
          <w:szCs w:val="14"/>
          <w:lang w:eastAsia="sk-SK"/>
        </w:rPr>
      </w:pPr>
      <w:r w:rsidRPr="00522325">
        <w:rPr>
          <w:rFonts w:ascii="Times New Roman" w:hAnsi="Times New Roman" w:cs="Times New Roman"/>
          <w:color w:val="000000"/>
          <w:sz w:val="14"/>
          <w:szCs w:val="14"/>
          <w:lang w:eastAsia="sk-SK"/>
        </w:rPr>
        <w:t>*z poistného plnenia zo zmluvného poistenia alebo zo zákonného poistenia</w:t>
      </w:r>
    </w:p>
    <w:p w:rsidR="007D13F3" w:rsidRDefault="007D13F3" w:rsidP="007D13F3">
      <w:pPr>
        <w:autoSpaceDE w:val="0"/>
        <w:autoSpaceDN w:val="0"/>
        <w:jc w:val="both"/>
        <w:rPr>
          <w:rFonts w:ascii="Times New Roman" w:hAnsi="Times New Roman" w:cs="Times New Roman"/>
          <w:color w:val="000000"/>
          <w:sz w:val="14"/>
          <w:szCs w:val="14"/>
          <w:lang w:eastAsia="sk-SK"/>
        </w:rPr>
      </w:pPr>
    </w:p>
    <w:tbl>
      <w:tblPr>
        <w:tblW w:w="5000" w:type="pct"/>
        <w:tblCellMar>
          <w:left w:w="70" w:type="dxa"/>
          <w:right w:w="70" w:type="dxa"/>
        </w:tblCellMar>
        <w:tblLook w:val="04A0" w:firstRow="1" w:lastRow="0" w:firstColumn="1" w:lastColumn="0" w:noHBand="0" w:noVBand="1"/>
      </w:tblPr>
      <w:tblGrid>
        <w:gridCol w:w="2466"/>
        <w:gridCol w:w="934"/>
        <w:gridCol w:w="933"/>
        <w:gridCol w:w="933"/>
        <w:gridCol w:w="933"/>
        <w:gridCol w:w="933"/>
        <w:gridCol w:w="933"/>
        <w:gridCol w:w="997"/>
      </w:tblGrid>
      <w:tr w:rsidR="007D13F3" w:rsidRPr="008A4622" w:rsidTr="00465CAC">
        <w:trPr>
          <w:trHeight w:val="259"/>
        </w:trPr>
        <w:tc>
          <w:tcPr>
            <w:tcW w:w="1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3F3" w:rsidRPr="008A4622" w:rsidRDefault="007D13F3" w:rsidP="00465CAC">
            <w:pPr>
              <w:autoSpaceDE w:val="0"/>
              <w:autoSpaceDN w:val="0"/>
              <w:jc w:val="both"/>
              <w:rPr>
                <w:rFonts w:ascii="Times New Roman" w:hAnsi="Times New Roman" w:cs="Times New Roman"/>
                <w:b/>
                <w:bCs/>
                <w:color w:val="000000"/>
                <w:sz w:val="14"/>
                <w:szCs w:val="14"/>
                <w:lang w:eastAsia="sk-SK"/>
              </w:rPr>
            </w:pPr>
            <w:r w:rsidRPr="008A4622">
              <w:rPr>
                <w:rFonts w:ascii="Times New Roman" w:hAnsi="Times New Roman" w:cs="Times New Roman"/>
                <w:b/>
                <w:bCs/>
                <w:color w:val="000000"/>
                <w:sz w:val="14"/>
                <w:szCs w:val="14"/>
                <w:lang w:eastAsia="sk-SK"/>
              </w:rPr>
              <w:t>Samostatné účty</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7D13F3" w:rsidRPr="008A4622" w:rsidRDefault="007D13F3" w:rsidP="00465CAC">
            <w:pPr>
              <w:autoSpaceDE w:val="0"/>
              <w:autoSpaceDN w:val="0"/>
              <w:jc w:val="right"/>
              <w:rPr>
                <w:rFonts w:ascii="Times New Roman" w:hAnsi="Times New Roman" w:cs="Times New Roman"/>
                <w:b/>
                <w:color w:val="000000"/>
                <w:sz w:val="14"/>
                <w:szCs w:val="14"/>
                <w:lang w:eastAsia="sk-SK"/>
              </w:rPr>
            </w:pPr>
            <w:r w:rsidRPr="008A4622">
              <w:rPr>
                <w:rFonts w:ascii="Times New Roman" w:hAnsi="Times New Roman" w:cs="Times New Roman"/>
                <w:b/>
                <w:color w:val="000000"/>
                <w:sz w:val="14"/>
                <w:szCs w:val="14"/>
                <w:lang w:eastAsia="sk-SK"/>
              </w:rPr>
              <w:t>270 291</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7D13F3" w:rsidRPr="008A4622" w:rsidRDefault="007D13F3" w:rsidP="00465CAC">
            <w:pPr>
              <w:autoSpaceDE w:val="0"/>
              <w:autoSpaceDN w:val="0"/>
              <w:jc w:val="right"/>
              <w:rPr>
                <w:rFonts w:ascii="Times New Roman" w:hAnsi="Times New Roman" w:cs="Times New Roman"/>
                <w:b/>
                <w:bCs/>
                <w:color w:val="000000"/>
                <w:sz w:val="14"/>
                <w:szCs w:val="14"/>
                <w:lang w:eastAsia="sk-SK"/>
              </w:rPr>
            </w:pPr>
            <w:r w:rsidRPr="008A4622">
              <w:rPr>
                <w:rFonts w:ascii="Times New Roman" w:hAnsi="Times New Roman" w:cs="Times New Roman"/>
                <w:b/>
                <w:bCs/>
                <w:color w:val="000000"/>
                <w:sz w:val="14"/>
                <w:szCs w:val="14"/>
                <w:lang w:eastAsia="sk-SK"/>
              </w:rPr>
              <w:t>253 009</w:t>
            </w:r>
          </w:p>
        </w:tc>
        <w:tc>
          <w:tcPr>
            <w:tcW w:w="515" w:type="pct"/>
            <w:tcBorders>
              <w:top w:val="single" w:sz="4" w:space="0" w:color="auto"/>
              <w:left w:val="nil"/>
              <w:bottom w:val="single" w:sz="4" w:space="0" w:color="auto"/>
              <w:right w:val="single" w:sz="4" w:space="0" w:color="auto"/>
            </w:tcBorders>
            <w:shd w:val="clear" w:color="auto" w:fill="auto"/>
            <w:vAlign w:val="bottom"/>
          </w:tcPr>
          <w:p w:rsidR="007D13F3" w:rsidRPr="008A4622" w:rsidRDefault="007D13F3" w:rsidP="00465CAC">
            <w:pPr>
              <w:autoSpaceDE w:val="0"/>
              <w:autoSpaceDN w:val="0"/>
              <w:jc w:val="right"/>
              <w:rPr>
                <w:rFonts w:ascii="Times New Roman" w:hAnsi="Times New Roman" w:cs="Times New Roman"/>
                <w:b/>
                <w:bCs/>
                <w:color w:val="000000"/>
                <w:sz w:val="14"/>
                <w:szCs w:val="14"/>
                <w:lang w:eastAsia="sk-SK"/>
              </w:rPr>
            </w:pPr>
            <w:r w:rsidRPr="008A4622">
              <w:rPr>
                <w:rFonts w:ascii="Times New Roman" w:hAnsi="Times New Roman" w:cs="Times New Roman"/>
                <w:b/>
                <w:bCs/>
                <w:color w:val="000000"/>
                <w:sz w:val="14"/>
                <w:szCs w:val="14"/>
                <w:lang w:eastAsia="sk-SK"/>
              </w:rPr>
              <w:t>0</w:t>
            </w:r>
          </w:p>
        </w:tc>
        <w:tc>
          <w:tcPr>
            <w:tcW w:w="515" w:type="pct"/>
            <w:tcBorders>
              <w:top w:val="single" w:sz="4" w:space="0" w:color="auto"/>
              <w:left w:val="nil"/>
              <w:bottom w:val="single" w:sz="4" w:space="0" w:color="auto"/>
              <w:right w:val="single" w:sz="4" w:space="0" w:color="auto"/>
            </w:tcBorders>
            <w:shd w:val="clear" w:color="auto" w:fill="FFFFFF" w:themeFill="background1"/>
            <w:vAlign w:val="bottom"/>
          </w:tcPr>
          <w:p w:rsidR="007D13F3" w:rsidRPr="008A4622" w:rsidRDefault="007D13F3" w:rsidP="00465CAC">
            <w:pPr>
              <w:autoSpaceDE w:val="0"/>
              <w:autoSpaceDN w:val="0"/>
              <w:jc w:val="right"/>
              <w:rPr>
                <w:rFonts w:ascii="Times New Roman" w:hAnsi="Times New Roman" w:cs="Times New Roman"/>
                <w:b/>
                <w:bCs/>
                <w:color w:val="000000"/>
                <w:sz w:val="14"/>
                <w:szCs w:val="14"/>
                <w:lang w:eastAsia="sk-SK"/>
              </w:rPr>
            </w:pPr>
            <w:r w:rsidRPr="008A4622">
              <w:rPr>
                <w:rFonts w:ascii="Times New Roman" w:hAnsi="Times New Roman" w:cs="Times New Roman"/>
                <w:b/>
                <w:bCs/>
                <w:color w:val="000000"/>
                <w:sz w:val="14"/>
                <w:szCs w:val="14"/>
                <w:lang w:eastAsia="sk-SK"/>
              </w:rPr>
              <w:t>0</w:t>
            </w:r>
          </w:p>
        </w:tc>
        <w:tc>
          <w:tcPr>
            <w:tcW w:w="515" w:type="pct"/>
            <w:tcBorders>
              <w:top w:val="single" w:sz="4" w:space="0" w:color="auto"/>
              <w:left w:val="nil"/>
              <w:bottom w:val="single" w:sz="4" w:space="0" w:color="auto"/>
              <w:right w:val="single" w:sz="4" w:space="0" w:color="auto"/>
            </w:tcBorders>
            <w:shd w:val="clear" w:color="auto" w:fill="auto"/>
            <w:vAlign w:val="bottom"/>
          </w:tcPr>
          <w:p w:rsidR="007D13F3" w:rsidRPr="008A4622" w:rsidRDefault="007D13F3" w:rsidP="00465CAC">
            <w:pPr>
              <w:autoSpaceDE w:val="0"/>
              <w:autoSpaceDN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0</w:t>
            </w:r>
          </w:p>
        </w:tc>
        <w:tc>
          <w:tcPr>
            <w:tcW w:w="515" w:type="pct"/>
            <w:tcBorders>
              <w:top w:val="single" w:sz="4" w:space="0" w:color="auto"/>
              <w:left w:val="nil"/>
              <w:bottom w:val="single" w:sz="4" w:space="0" w:color="auto"/>
              <w:right w:val="single" w:sz="4" w:space="0" w:color="auto"/>
            </w:tcBorders>
            <w:shd w:val="clear" w:color="auto" w:fill="auto"/>
            <w:vAlign w:val="bottom"/>
          </w:tcPr>
          <w:p w:rsidR="007D13F3" w:rsidRPr="008A4622" w:rsidRDefault="007D13F3" w:rsidP="00465CAC">
            <w:pPr>
              <w:autoSpaceDE w:val="0"/>
              <w:autoSpaceDN w:val="0"/>
              <w:jc w:val="right"/>
              <w:rPr>
                <w:rFonts w:ascii="Times New Roman" w:hAnsi="Times New Roman" w:cs="Times New Roman"/>
                <w:b/>
                <w:bCs/>
                <w:color w:val="000000"/>
                <w:sz w:val="14"/>
                <w:szCs w:val="14"/>
                <w:lang w:eastAsia="sk-SK"/>
              </w:rPr>
            </w:pPr>
            <w:r w:rsidRPr="008A4622">
              <w:rPr>
                <w:rFonts w:ascii="Times New Roman" w:hAnsi="Times New Roman" w:cs="Times New Roman"/>
                <w:b/>
                <w:bCs/>
                <w:color w:val="000000"/>
                <w:sz w:val="14"/>
                <w:szCs w:val="14"/>
                <w:lang w:eastAsia="sk-SK"/>
              </w:rPr>
              <w:t>0</w:t>
            </w:r>
          </w:p>
        </w:tc>
        <w:tc>
          <w:tcPr>
            <w:tcW w:w="550" w:type="pct"/>
            <w:tcBorders>
              <w:top w:val="single" w:sz="4" w:space="0" w:color="auto"/>
              <w:left w:val="nil"/>
              <w:bottom w:val="single" w:sz="4" w:space="0" w:color="auto"/>
              <w:right w:val="single" w:sz="4" w:space="0" w:color="auto"/>
            </w:tcBorders>
            <w:shd w:val="clear" w:color="auto" w:fill="auto"/>
            <w:vAlign w:val="bottom"/>
          </w:tcPr>
          <w:p w:rsidR="007D13F3" w:rsidRPr="008A4622" w:rsidRDefault="007D13F3" w:rsidP="00465CAC">
            <w:pPr>
              <w:autoSpaceDE w:val="0"/>
              <w:autoSpaceDN w:val="0"/>
              <w:jc w:val="right"/>
              <w:rPr>
                <w:rFonts w:ascii="Times New Roman" w:hAnsi="Times New Roman" w:cs="Times New Roman"/>
                <w:b/>
                <w:bCs/>
                <w:color w:val="000000"/>
                <w:sz w:val="14"/>
                <w:szCs w:val="14"/>
                <w:lang w:eastAsia="sk-SK"/>
              </w:rPr>
            </w:pPr>
            <w:r w:rsidRPr="008A4622">
              <w:rPr>
                <w:rFonts w:ascii="Times New Roman" w:hAnsi="Times New Roman" w:cs="Times New Roman"/>
                <w:b/>
                <w:bCs/>
                <w:color w:val="000000"/>
                <w:sz w:val="14"/>
                <w:szCs w:val="14"/>
                <w:lang w:eastAsia="sk-SK"/>
              </w:rPr>
              <w:t>0</w:t>
            </w:r>
          </w:p>
        </w:tc>
      </w:tr>
    </w:tbl>
    <w:p w:rsidR="007D13F3" w:rsidRDefault="007D13F3" w:rsidP="007D13F3">
      <w:pPr>
        <w:autoSpaceDE w:val="0"/>
        <w:autoSpaceDN w:val="0"/>
        <w:jc w:val="both"/>
        <w:rPr>
          <w:rFonts w:ascii="Times New Roman" w:hAnsi="Times New Roman" w:cs="Times New Roman"/>
          <w:color w:val="000000"/>
          <w:sz w:val="14"/>
          <w:szCs w:val="14"/>
          <w:lang w:eastAsia="sk-SK"/>
        </w:rPr>
      </w:pPr>
    </w:p>
    <w:p w:rsidR="007D13F3" w:rsidRPr="009142D5" w:rsidRDefault="007D13F3" w:rsidP="007D13F3">
      <w:pPr>
        <w:autoSpaceDE w:val="0"/>
        <w:autoSpaceDN w:val="0"/>
        <w:jc w:val="both"/>
        <w:rPr>
          <w:rFonts w:ascii="Times New Roman" w:hAnsi="Times New Roman" w:cs="Times New Roman"/>
          <w:color w:val="000000"/>
          <w:lang w:eastAsia="sk-SK"/>
        </w:rPr>
      </w:pPr>
    </w:p>
    <w:p w:rsidR="007D13F3" w:rsidRDefault="007D13F3" w:rsidP="007D13F3">
      <w:pPr>
        <w:autoSpaceDE w:val="0"/>
        <w:autoSpaceDN w:val="0"/>
        <w:ind w:firstLine="708"/>
        <w:jc w:val="both"/>
        <w:rPr>
          <w:rFonts w:ascii="Times New Roman" w:hAnsi="Times New Roman" w:cs="Times New Roman"/>
        </w:rPr>
      </w:pPr>
      <w:r w:rsidRPr="00AE043D">
        <w:rPr>
          <w:rFonts w:ascii="Times New Roman" w:hAnsi="Times New Roman" w:cs="Times New Roman"/>
        </w:rPr>
        <w:t>Na rok 201</w:t>
      </w:r>
      <w:r>
        <w:rPr>
          <w:rFonts w:ascii="Times New Roman" w:hAnsi="Times New Roman" w:cs="Times New Roman"/>
        </w:rPr>
        <w:t>8</w:t>
      </w:r>
      <w:r w:rsidRPr="00AE043D">
        <w:rPr>
          <w:rFonts w:ascii="Times New Roman" w:hAnsi="Times New Roman" w:cs="Times New Roman"/>
        </w:rPr>
        <w:t xml:space="preserve"> sa pre kapitolu navrhuje limit výdavkov v sume </w:t>
      </w:r>
      <w:r>
        <w:rPr>
          <w:rFonts w:ascii="Times New Roman" w:hAnsi="Times New Roman" w:cs="Times New Roman"/>
        </w:rPr>
        <w:t>4</w:t>
      </w:r>
      <w:r w:rsidRPr="00AE043D">
        <w:rPr>
          <w:rFonts w:ascii="Times New Roman" w:hAnsi="Times New Roman" w:cs="Times New Roman"/>
        </w:rPr>
        <w:t>,</w:t>
      </w:r>
      <w:r>
        <w:rPr>
          <w:rFonts w:ascii="Times New Roman" w:hAnsi="Times New Roman" w:cs="Times New Roman"/>
        </w:rPr>
        <w:t>75</w:t>
      </w:r>
      <w:r w:rsidRPr="00AE043D">
        <w:rPr>
          <w:rFonts w:ascii="Times New Roman" w:hAnsi="Times New Roman" w:cs="Times New Roman"/>
        </w:rPr>
        <w:t xml:space="preserve"> mil. eur, čo je </w:t>
      </w:r>
      <w:r>
        <w:rPr>
          <w:rFonts w:ascii="Times New Roman" w:hAnsi="Times New Roman" w:cs="Times New Roman"/>
        </w:rPr>
        <w:t>pokles</w:t>
      </w:r>
      <w:r w:rsidRPr="00AE043D">
        <w:rPr>
          <w:rFonts w:ascii="Times New Roman" w:hAnsi="Times New Roman" w:cs="Times New Roman"/>
        </w:rPr>
        <w:t xml:space="preserve"> o</w:t>
      </w:r>
      <w:r>
        <w:rPr>
          <w:rFonts w:ascii="Times New Roman" w:hAnsi="Times New Roman" w:cs="Times New Roman"/>
        </w:rPr>
        <w:t> 1,44</w:t>
      </w:r>
      <w:r w:rsidRPr="00AE043D">
        <w:rPr>
          <w:rFonts w:ascii="Times New Roman" w:hAnsi="Times New Roman" w:cs="Times New Roman"/>
        </w:rPr>
        <w:t xml:space="preserve"> </w:t>
      </w:r>
      <w:r>
        <w:rPr>
          <w:rFonts w:ascii="Times New Roman" w:hAnsi="Times New Roman" w:cs="Times New Roman"/>
        </w:rPr>
        <w:t>mil</w:t>
      </w:r>
      <w:r w:rsidRPr="00AE043D">
        <w:rPr>
          <w:rFonts w:ascii="Times New Roman" w:hAnsi="Times New Roman" w:cs="Times New Roman"/>
        </w:rPr>
        <w:t xml:space="preserve">. eur, t. j. o </w:t>
      </w:r>
      <w:r>
        <w:rPr>
          <w:rFonts w:ascii="Times New Roman" w:hAnsi="Times New Roman" w:cs="Times New Roman"/>
        </w:rPr>
        <w:t>23</w:t>
      </w:r>
      <w:r w:rsidRPr="00AE043D">
        <w:rPr>
          <w:rFonts w:ascii="Times New Roman" w:hAnsi="Times New Roman" w:cs="Times New Roman"/>
        </w:rPr>
        <w:t>,</w:t>
      </w:r>
      <w:r>
        <w:rPr>
          <w:rFonts w:ascii="Times New Roman" w:hAnsi="Times New Roman" w:cs="Times New Roman"/>
        </w:rPr>
        <w:t>3</w:t>
      </w:r>
      <w:r w:rsidRPr="00AE043D">
        <w:rPr>
          <w:rFonts w:ascii="Times New Roman" w:hAnsi="Times New Roman" w:cs="Times New Roman"/>
        </w:rPr>
        <w:t xml:space="preserve"> % v porovnaní so schváleným rozpočtom roku 201</w:t>
      </w:r>
      <w:r>
        <w:rPr>
          <w:rFonts w:ascii="Times New Roman" w:hAnsi="Times New Roman" w:cs="Times New Roman"/>
        </w:rPr>
        <w:t>7</w:t>
      </w:r>
      <w:r w:rsidRPr="00AE043D">
        <w:rPr>
          <w:rFonts w:ascii="Times New Roman" w:hAnsi="Times New Roman" w:cs="Times New Roman"/>
        </w:rPr>
        <w:t>.</w:t>
      </w:r>
    </w:p>
    <w:p w:rsidR="007D13F3" w:rsidRPr="003D1778" w:rsidRDefault="007D13F3" w:rsidP="007D13F3">
      <w:pPr>
        <w:autoSpaceDE w:val="0"/>
        <w:autoSpaceDN w:val="0"/>
        <w:ind w:firstLine="708"/>
        <w:jc w:val="both"/>
        <w:rPr>
          <w:rFonts w:ascii="Times New Roman" w:hAnsi="Times New Roman" w:cs="Times New Roman"/>
          <w:highlight w:val="yellow"/>
        </w:rPr>
      </w:pPr>
    </w:p>
    <w:p w:rsidR="007D13F3" w:rsidRDefault="007D13F3" w:rsidP="007D13F3">
      <w:pPr>
        <w:ind w:firstLine="708"/>
        <w:jc w:val="both"/>
        <w:rPr>
          <w:rFonts w:ascii="Times New Roman" w:hAnsi="Times New Roman" w:cs="Times New Roman"/>
        </w:rPr>
      </w:pPr>
      <w:r w:rsidRPr="0042530A">
        <w:rPr>
          <w:rFonts w:ascii="Times New Roman" w:hAnsi="Times New Roman" w:cs="Times New Roman"/>
        </w:rPr>
        <w:t>Objem osobných výdavkov sa na rok 201</w:t>
      </w:r>
      <w:r>
        <w:rPr>
          <w:rFonts w:ascii="Times New Roman" w:hAnsi="Times New Roman" w:cs="Times New Roman"/>
        </w:rPr>
        <w:t>8</w:t>
      </w:r>
      <w:r w:rsidRPr="0042530A">
        <w:rPr>
          <w:rFonts w:ascii="Times New Roman" w:hAnsi="Times New Roman" w:cs="Times New Roman"/>
        </w:rPr>
        <w:t xml:space="preserve"> rozpočtuje na úrovni </w:t>
      </w:r>
      <w:r>
        <w:rPr>
          <w:rFonts w:ascii="Times New Roman" w:hAnsi="Times New Roman" w:cs="Times New Roman"/>
        </w:rPr>
        <w:t>3</w:t>
      </w:r>
      <w:r w:rsidRPr="0042530A">
        <w:rPr>
          <w:rFonts w:ascii="Times New Roman" w:hAnsi="Times New Roman" w:cs="Times New Roman"/>
        </w:rPr>
        <w:t>,</w:t>
      </w:r>
      <w:r>
        <w:rPr>
          <w:rFonts w:ascii="Times New Roman" w:hAnsi="Times New Roman" w:cs="Times New Roman"/>
        </w:rPr>
        <w:t>01</w:t>
      </w:r>
      <w:r w:rsidRPr="0042530A">
        <w:rPr>
          <w:rFonts w:ascii="Times New Roman" w:hAnsi="Times New Roman" w:cs="Times New Roman"/>
        </w:rPr>
        <w:t xml:space="preserve"> mil. eur, čo je nárast o </w:t>
      </w:r>
      <w:r>
        <w:rPr>
          <w:rFonts w:ascii="Times New Roman" w:hAnsi="Times New Roman" w:cs="Times New Roman"/>
        </w:rPr>
        <w:t>258</w:t>
      </w:r>
      <w:r w:rsidRPr="0042530A">
        <w:rPr>
          <w:rFonts w:ascii="Times New Roman" w:hAnsi="Times New Roman" w:cs="Times New Roman"/>
        </w:rPr>
        <w:t xml:space="preserve"> tis. eur, t. j. o </w:t>
      </w:r>
      <w:r>
        <w:rPr>
          <w:rFonts w:ascii="Times New Roman" w:hAnsi="Times New Roman" w:cs="Times New Roman"/>
        </w:rPr>
        <w:t>9</w:t>
      </w:r>
      <w:r w:rsidRPr="0042530A">
        <w:rPr>
          <w:rFonts w:ascii="Times New Roman" w:hAnsi="Times New Roman" w:cs="Times New Roman"/>
        </w:rPr>
        <w:t>,</w:t>
      </w:r>
      <w:r>
        <w:rPr>
          <w:rFonts w:ascii="Times New Roman" w:hAnsi="Times New Roman" w:cs="Times New Roman"/>
        </w:rPr>
        <w:t xml:space="preserve">38 </w:t>
      </w:r>
      <w:r w:rsidRPr="0042530A">
        <w:rPr>
          <w:rFonts w:ascii="Times New Roman" w:hAnsi="Times New Roman" w:cs="Times New Roman"/>
        </w:rPr>
        <w:t>% v porovnaní so schváleným rozpočtom roku 201</w:t>
      </w:r>
      <w:r>
        <w:rPr>
          <w:rFonts w:ascii="Times New Roman" w:hAnsi="Times New Roman" w:cs="Times New Roman"/>
        </w:rPr>
        <w:t>7</w:t>
      </w:r>
      <w:r w:rsidRPr="0042530A">
        <w:rPr>
          <w:rFonts w:ascii="Times New Roman" w:hAnsi="Times New Roman" w:cs="Times New Roman"/>
        </w:rPr>
        <w:t xml:space="preserve">. Tento nárast je spôsobený </w:t>
      </w:r>
      <w:r w:rsidRPr="00651432">
        <w:rPr>
          <w:rFonts w:ascii="Times New Roman" w:hAnsi="Times New Roman" w:cs="Times New Roman"/>
        </w:rPr>
        <w:t>z dôvodu valorizácie z roku 2017 (4 % od 1. 1. 2017).</w:t>
      </w:r>
    </w:p>
    <w:p w:rsidR="007D13F3" w:rsidRPr="00B95B30"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3D1778">
        <w:rPr>
          <w:rFonts w:ascii="Times New Roman" w:hAnsi="Times New Roman" w:cs="Times New Roman"/>
        </w:rPr>
        <w:t>Na tovary a služby sa v roku 201</w:t>
      </w:r>
      <w:r>
        <w:rPr>
          <w:rFonts w:ascii="Times New Roman" w:hAnsi="Times New Roman" w:cs="Times New Roman"/>
        </w:rPr>
        <w:t>8</w:t>
      </w:r>
      <w:r w:rsidRPr="003D1778">
        <w:rPr>
          <w:rFonts w:ascii="Times New Roman" w:hAnsi="Times New Roman" w:cs="Times New Roman"/>
        </w:rPr>
        <w:t xml:space="preserve"> rozpisuje suma 1,6</w:t>
      </w:r>
      <w:r>
        <w:rPr>
          <w:rFonts w:ascii="Times New Roman" w:hAnsi="Times New Roman" w:cs="Times New Roman"/>
        </w:rPr>
        <w:t>0</w:t>
      </w:r>
      <w:r w:rsidRPr="003D1778">
        <w:rPr>
          <w:rFonts w:ascii="Times New Roman" w:hAnsi="Times New Roman" w:cs="Times New Roman"/>
        </w:rPr>
        <w:t xml:space="preserve"> mil. eur, čo je v porovnaní so schváleným rozpočtom roku 201</w:t>
      </w:r>
      <w:r>
        <w:rPr>
          <w:rFonts w:ascii="Times New Roman" w:hAnsi="Times New Roman" w:cs="Times New Roman"/>
        </w:rPr>
        <w:t>7</w:t>
      </w:r>
      <w:r w:rsidRPr="003D1778">
        <w:rPr>
          <w:rFonts w:ascii="Times New Roman" w:hAnsi="Times New Roman" w:cs="Times New Roman"/>
        </w:rPr>
        <w:t xml:space="preserve"> pokles o</w:t>
      </w:r>
      <w:r>
        <w:rPr>
          <w:rFonts w:ascii="Times New Roman" w:hAnsi="Times New Roman" w:cs="Times New Roman"/>
        </w:rPr>
        <w:t> 89,3</w:t>
      </w:r>
      <w:r w:rsidRPr="003D1778">
        <w:rPr>
          <w:rFonts w:ascii="Times New Roman" w:hAnsi="Times New Roman" w:cs="Times New Roman"/>
        </w:rPr>
        <w:t xml:space="preserve"> tis. eur, t. j. o </w:t>
      </w:r>
      <w:r>
        <w:rPr>
          <w:rFonts w:ascii="Times New Roman" w:hAnsi="Times New Roman" w:cs="Times New Roman"/>
        </w:rPr>
        <w:t>5</w:t>
      </w:r>
      <w:r w:rsidRPr="003D1778">
        <w:rPr>
          <w:rFonts w:ascii="Times New Roman" w:hAnsi="Times New Roman" w:cs="Times New Roman"/>
        </w:rPr>
        <w:t>,</w:t>
      </w:r>
      <w:r>
        <w:rPr>
          <w:rFonts w:ascii="Times New Roman" w:hAnsi="Times New Roman" w:cs="Times New Roman"/>
        </w:rPr>
        <w:t>27</w:t>
      </w:r>
      <w:r w:rsidRPr="003D1778">
        <w:rPr>
          <w:rFonts w:ascii="Times New Roman" w:hAnsi="Times New Roman" w:cs="Times New Roman"/>
        </w:rPr>
        <w:t xml:space="preserve"> %</w:t>
      </w:r>
      <w:r>
        <w:rPr>
          <w:rFonts w:ascii="Times New Roman" w:hAnsi="Times New Roman" w:cs="Times New Roman"/>
        </w:rPr>
        <w:t>,</w:t>
      </w:r>
      <w:r w:rsidRPr="003D1778">
        <w:rPr>
          <w:rFonts w:ascii="Times New Roman" w:hAnsi="Times New Roman" w:cs="Times New Roman"/>
        </w:rPr>
        <w:t xml:space="preserve"> </w:t>
      </w:r>
      <w:r w:rsidRPr="004F751C">
        <w:rPr>
          <w:rFonts w:ascii="Times New Roman" w:hAnsi="Times New Roman" w:cs="Times New Roman"/>
        </w:rPr>
        <w:t xml:space="preserve">z dôvodu, že Kancelária si presunula časť výdavkov do </w:t>
      </w:r>
      <w:r>
        <w:rPr>
          <w:rFonts w:ascii="Times New Roman" w:hAnsi="Times New Roman" w:cs="Times New Roman"/>
        </w:rPr>
        <w:t>kategórie poistné.</w:t>
      </w:r>
    </w:p>
    <w:p w:rsidR="007D13F3" w:rsidRPr="003D1778" w:rsidRDefault="007D13F3" w:rsidP="007D13F3">
      <w:pPr>
        <w:ind w:firstLine="708"/>
        <w:jc w:val="both"/>
        <w:rPr>
          <w:rFonts w:ascii="Times New Roman" w:hAnsi="Times New Roman" w:cs="Times New Roman"/>
          <w:highlight w:val="yellow"/>
        </w:rPr>
      </w:pPr>
    </w:p>
    <w:p w:rsidR="007D13F3" w:rsidRPr="003D1778" w:rsidRDefault="007D13F3" w:rsidP="007D13F3">
      <w:pPr>
        <w:autoSpaceDE w:val="0"/>
        <w:autoSpaceDN w:val="0"/>
        <w:adjustRightInd w:val="0"/>
        <w:ind w:firstLine="708"/>
        <w:jc w:val="both"/>
        <w:rPr>
          <w:rFonts w:ascii="Times New Roman" w:hAnsi="Times New Roman" w:cs="Times New Roman"/>
          <w:highlight w:val="yellow"/>
        </w:rPr>
      </w:pPr>
      <w:r w:rsidRPr="00942F0C">
        <w:rPr>
          <w:rFonts w:ascii="Times New Roman" w:hAnsi="Times New Roman" w:cs="Times New Roman"/>
        </w:rPr>
        <w:t xml:space="preserve">Výdavky na bežné transfery sa rozpisujú v sume </w:t>
      </w:r>
      <w:r>
        <w:rPr>
          <w:rFonts w:ascii="Times New Roman" w:hAnsi="Times New Roman" w:cs="Times New Roman"/>
        </w:rPr>
        <w:t>128</w:t>
      </w:r>
      <w:r w:rsidRPr="00942F0C">
        <w:rPr>
          <w:rFonts w:ascii="Times New Roman" w:hAnsi="Times New Roman" w:cs="Times New Roman"/>
        </w:rPr>
        <w:t xml:space="preserve"> tis. eur, čo je v porovnaní so schváleným rozpočtom roku 201</w:t>
      </w:r>
      <w:r>
        <w:rPr>
          <w:rFonts w:ascii="Times New Roman" w:hAnsi="Times New Roman" w:cs="Times New Roman"/>
        </w:rPr>
        <w:t>7</w:t>
      </w:r>
      <w:r w:rsidRPr="00942F0C">
        <w:rPr>
          <w:rFonts w:ascii="Times New Roman" w:hAnsi="Times New Roman" w:cs="Times New Roman"/>
        </w:rPr>
        <w:t xml:space="preserve"> </w:t>
      </w:r>
      <w:r>
        <w:rPr>
          <w:rFonts w:ascii="Times New Roman" w:hAnsi="Times New Roman" w:cs="Times New Roman"/>
        </w:rPr>
        <w:t>pokles</w:t>
      </w:r>
      <w:r w:rsidRPr="00942F0C">
        <w:rPr>
          <w:rFonts w:ascii="Times New Roman" w:hAnsi="Times New Roman" w:cs="Times New Roman"/>
        </w:rPr>
        <w:t xml:space="preserve"> o</w:t>
      </w:r>
      <w:r>
        <w:rPr>
          <w:rFonts w:ascii="Times New Roman" w:hAnsi="Times New Roman" w:cs="Times New Roman"/>
        </w:rPr>
        <w:t> 55</w:t>
      </w:r>
      <w:r w:rsidRPr="00942F0C">
        <w:rPr>
          <w:rFonts w:ascii="Times New Roman" w:hAnsi="Times New Roman" w:cs="Times New Roman"/>
        </w:rPr>
        <w:t>,</w:t>
      </w:r>
      <w:r>
        <w:rPr>
          <w:rFonts w:ascii="Times New Roman" w:hAnsi="Times New Roman" w:cs="Times New Roman"/>
        </w:rPr>
        <w:t>3</w:t>
      </w:r>
      <w:r w:rsidRPr="00942F0C">
        <w:rPr>
          <w:rFonts w:ascii="Times New Roman" w:hAnsi="Times New Roman" w:cs="Times New Roman"/>
        </w:rPr>
        <w:t xml:space="preserve"> tis. eur, t. j. o </w:t>
      </w:r>
      <w:r>
        <w:rPr>
          <w:rFonts w:ascii="Times New Roman" w:hAnsi="Times New Roman" w:cs="Times New Roman"/>
        </w:rPr>
        <w:t>30</w:t>
      </w:r>
      <w:r w:rsidRPr="00942F0C">
        <w:rPr>
          <w:rFonts w:ascii="Times New Roman" w:hAnsi="Times New Roman" w:cs="Times New Roman"/>
        </w:rPr>
        <w:t>,</w:t>
      </w:r>
      <w:r>
        <w:rPr>
          <w:rFonts w:ascii="Times New Roman" w:hAnsi="Times New Roman" w:cs="Times New Roman"/>
        </w:rPr>
        <w:t>2 %, z dôvodu,</w:t>
      </w:r>
      <w:r w:rsidRPr="001677C0">
        <w:t xml:space="preserve"> </w:t>
      </w:r>
      <w:r>
        <w:rPr>
          <w:rFonts w:ascii="Times New Roman" w:hAnsi="Times New Roman" w:cs="Times New Roman"/>
        </w:rPr>
        <w:t>že</w:t>
      </w:r>
      <w:r w:rsidRPr="004F751C">
        <w:rPr>
          <w:rFonts w:ascii="Times New Roman" w:hAnsi="Times New Roman" w:cs="Times New Roman"/>
        </w:rPr>
        <w:t xml:space="preserve"> Kancelária si presunula časť výdavkov </w:t>
      </w:r>
      <w:r>
        <w:rPr>
          <w:rFonts w:ascii="Times New Roman" w:hAnsi="Times New Roman" w:cs="Times New Roman"/>
        </w:rPr>
        <w:t>do</w:t>
      </w:r>
      <w:r w:rsidRPr="004F751C">
        <w:rPr>
          <w:rFonts w:ascii="Times New Roman" w:hAnsi="Times New Roman" w:cs="Times New Roman"/>
        </w:rPr>
        <w:t xml:space="preserve"> </w:t>
      </w:r>
      <w:r>
        <w:rPr>
          <w:rFonts w:ascii="Times New Roman" w:hAnsi="Times New Roman" w:cs="Times New Roman"/>
        </w:rPr>
        <w:t>kategórie poistné.</w:t>
      </w:r>
    </w:p>
    <w:p w:rsidR="007D13F3" w:rsidRPr="003D1778" w:rsidRDefault="007D13F3" w:rsidP="007D13F3">
      <w:pPr>
        <w:autoSpaceDE w:val="0"/>
        <w:autoSpaceDN w:val="0"/>
        <w:adjustRightInd w:val="0"/>
        <w:jc w:val="both"/>
        <w:rPr>
          <w:rFonts w:ascii="Times New Roman" w:hAnsi="Times New Roman" w:cs="Times New Roman"/>
          <w:highlight w:val="yellow"/>
        </w:rPr>
      </w:pPr>
    </w:p>
    <w:p w:rsidR="007D13F3" w:rsidRDefault="007D13F3" w:rsidP="007D13F3">
      <w:pPr>
        <w:ind w:firstLine="708"/>
        <w:jc w:val="both"/>
        <w:rPr>
          <w:rFonts w:ascii="Times New Roman" w:hAnsi="Times New Roman" w:cs="Times New Roman"/>
        </w:rPr>
      </w:pPr>
      <w:r w:rsidRPr="00942F0C">
        <w:rPr>
          <w:rFonts w:ascii="Times New Roman" w:hAnsi="Times New Roman" w:cs="Times New Roman"/>
        </w:rPr>
        <w:t>Kapitálové výdavky na rok 201</w:t>
      </w:r>
      <w:r>
        <w:rPr>
          <w:rFonts w:ascii="Times New Roman" w:hAnsi="Times New Roman" w:cs="Times New Roman"/>
        </w:rPr>
        <w:t>8</w:t>
      </w:r>
      <w:r w:rsidRPr="00942F0C">
        <w:rPr>
          <w:rFonts w:ascii="Times New Roman" w:hAnsi="Times New Roman" w:cs="Times New Roman"/>
        </w:rPr>
        <w:t xml:space="preserve"> </w:t>
      </w:r>
      <w:r w:rsidRPr="002F1E63">
        <w:rPr>
          <w:rFonts w:ascii="Times New Roman" w:hAnsi="Times New Roman" w:cs="Times New Roman"/>
        </w:rPr>
        <w:t>Kancelária nerozpočtuje</w:t>
      </w:r>
      <w:r w:rsidRPr="00942F0C">
        <w:rPr>
          <w:rFonts w:ascii="Times New Roman" w:hAnsi="Times New Roman" w:cs="Times New Roman"/>
        </w:rPr>
        <w:t xml:space="preserve">, </w:t>
      </w:r>
      <w:r w:rsidRPr="00FB169A">
        <w:rPr>
          <w:rFonts w:ascii="Times New Roman" w:hAnsi="Times New Roman" w:cs="Times New Roman"/>
        </w:rPr>
        <w:t>čo je v porovnaní so schváleným rozpočtom roku 201</w:t>
      </w:r>
      <w:r>
        <w:rPr>
          <w:rFonts w:ascii="Times New Roman" w:hAnsi="Times New Roman" w:cs="Times New Roman"/>
        </w:rPr>
        <w:t>7</w:t>
      </w:r>
      <w:r w:rsidRPr="00FB169A">
        <w:rPr>
          <w:rFonts w:ascii="Times New Roman" w:hAnsi="Times New Roman" w:cs="Times New Roman"/>
        </w:rPr>
        <w:t xml:space="preserve"> </w:t>
      </w:r>
      <w:r w:rsidRPr="002F1E63">
        <w:rPr>
          <w:rFonts w:ascii="Times New Roman" w:hAnsi="Times New Roman" w:cs="Times New Roman"/>
        </w:rPr>
        <w:t>pokles o 1,56 mil. eur.</w:t>
      </w:r>
      <w:r>
        <w:rPr>
          <w:rFonts w:ascii="Times New Roman" w:hAnsi="Times New Roman" w:cs="Times New Roman"/>
        </w:rPr>
        <w:t xml:space="preserve"> </w:t>
      </w:r>
      <w:r w:rsidRPr="002F1E63">
        <w:rPr>
          <w:rFonts w:ascii="Times New Roman" w:hAnsi="Times New Roman" w:cs="Times New Roman"/>
        </w:rPr>
        <w:t>Dôvodom je jednor</w:t>
      </w:r>
      <w:r>
        <w:rPr>
          <w:rFonts w:ascii="Times New Roman" w:hAnsi="Times New Roman" w:cs="Times New Roman"/>
        </w:rPr>
        <w:t>a</w:t>
      </w:r>
      <w:r w:rsidRPr="002F1E63">
        <w:rPr>
          <w:rFonts w:ascii="Times New Roman" w:hAnsi="Times New Roman" w:cs="Times New Roman"/>
        </w:rPr>
        <w:t xml:space="preserve">zové zvýšenie kapitálových výdavkov v roku 2017 v sume 1,55 mil. eur na opravu </w:t>
      </w:r>
      <w:proofErr w:type="spellStart"/>
      <w:r w:rsidRPr="002F1E63">
        <w:rPr>
          <w:rFonts w:ascii="Times New Roman" w:hAnsi="Times New Roman" w:cs="Times New Roman"/>
        </w:rPr>
        <w:t>Grassalkovichovho</w:t>
      </w:r>
      <w:proofErr w:type="spellEnd"/>
      <w:r w:rsidRPr="002F1E63">
        <w:rPr>
          <w:rFonts w:ascii="Times New Roman" w:hAnsi="Times New Roman" w:cs="Times New Roman"/>
        </w:rPr>
        <w:t xml:space="preserve"> paláca a rekonštrukciu Prezidentskej vily na Slavíne.</w:t>
      </w:r>
    </w:p>
    <w:p w:rsidR="007D13F3" w:rsidRDefault="007D13F3" w:rsidP="007D13F3">
      <w:pPr>
        <w:ind w:firstLine="708"/>
        <w:jc w:val="both"/>
        <w:rPr>
          <w:rFonts w:ascii="Times New Roman" w:hAnsi="Times New Roman" w:cs="Times New Roman"/>
        </w:rPr>
      </w:pPr>
    </w:p>
    <w:p w:rsidR="007D13F3" w:rsidRPr="00E25377" w:rsidRDefault="007D13F3" w:rsidP="007D13F3">
      <w:pPr>
        <w:ind w:firstLine="708"/>
        <w:jc w:val="both"/>
        <w:rPr>
          <w:rFonts w:ascii="Times New Roman" w:hAnsi="Times New Roman" w:cs="Times New Roman"/>
        </w:rPr>
      </w:pPr>
      <w:r w:rsidRPr="00E25377">
        <w:rPr>
          <w:rFonts w:ascii="Times New Roman" w:hAnsi="Times New Roman" w:cs="Times New Roman"/>
        </w:rPr>
        <w:t xml:space="preserve">Kancelária v nadväznosti na § 17 ods. 4 zákona č. 523/2004 Z. z. o rozpočtových pravidlách verejnej správy </w:t>
      </w:r>
      <w:r w:rsidR="00C3759D">
        <w:rPr>
          <w:rFonts w:ascii="Times New Roman" w:hAnsi="Times New Roman" w:cs="Times New Roman"/>
        </w:rPr>
        <w:t xml:space="preserve">a o zmene a doplnení niektorých zákonov </w:t>
      </w:r>
      <w:r w:rsidRPr="00E25377">
        <w:rPr>
          <w:rFonts w:ascii="Times New Roman" w:hAnsi="Times New Roman" w:cs="Times New Roman"/>
        </w:rPr>
        <w:t>v znení neskorších predpisov rozpočtuje tiež výdavky zodpovedajúce príjmom z poistného plnenia zo zmluvného poistenia alebo zo zákonného poistenia v sume 5 tis. eur. Tieto sú určené na financovanie servisu, údržby a opráv motorových vozidiel.</w:t>
      </w:r>
    </w:p>
    <w:p w:rsidR="007D13F3" w:rsidRDefault="007D13F3" w:rsidP="007D13F3">
      <w:pPr>
        <w:ind w:firstLine="708"/>
        <w:jc w:val="both"/>
        <w:rPr>
          <w:rFonts w:ascii="Times New Roman" w:hAnsi="Times New Roman" w:cs="Times New Roman"/>
          <w:highlight w:val="yellow"/>
        </w:rPr>
      </w:pPr>
    </w:p>
    <w:p w:rsidR="000736F2" w:rsidRPr="00BA1DF7" w:rsidRDefault="000736F2" w:rsidP="007D13F3">
      <w:pPr>
        <w:ind w:firstLine="708"/>
        <w:jc w:val="both"/>
        <w:rPr>
          <w:rFonts w:ascii="Times New Roman" w:hAnsi="Times New Roman" w:cs="Times New Roman"/>
          <w:highlight w:val="yellow"/>
        </w:rPr>
      </w:pPr>
    </w:p>
    <w:p w:rsidR="007D13F3" w:rsidRPr="00A96E95" w:rsidRDefault="007D13F3" w:rsidP="007D13F3">
      <w:pPr>
        <w:pStyle w:val="Nadpis5"/>
        <w:pBdr>
          <w:bottom w:val="single" w:sz="4" w:space="1" w:color="auto"/>
        </w:pBdr>
        <w:spacing w:before="0" w:after="0"/>
        <w:ind w:left="0"/>
        <w:rPr>
          <w:i w:val="0"/>
          <w:sz w:val="24"/>
        </w:rPr>
      </w:pPr>
      <w:bookmarkStart w:id="154" w:name="_Toc400551768"/>
      <w:bookmarkStart w:id="155" w:name="_Toc494470105"/>
      <w:bookmarkStart w:id="156" w:name="_Toc494472281"/>
      <w:r w:rsidRPr="004E6000">
        <w:rPr>
          <w:i w:val="0"/>
          <w:sz w:val="24"/>
        </w:rPr>
        <w:t>Úrad vlády SR</w:t>
      </w:r>
      <w:bookmarkEnd w:id="154"/>
      <w:bookmarkEnd w:id="155"/>
      <w:bookmarkEnd w:id="156"/>
      <w:r w:rsidRPr="004E6000">
        <w:rPr>
          <w:i w:val="0"/>
          <w:sz w:val="24"/>
        </w:rPr>
        <w:t xml:space="preserve"> </w:t>
      </w:r>
    </w:p>
    <w:p w:rsidR="007D13F3" w:rsidRDefault="007D13F3" w:rsidP="007D13F3"/>
    <w:tbl>
      <w:tblPr>
        <w:tblW w:w="5000" w:type="pct"/>
        <w:tblCellMar>
          <w:left w:w="70" w:type="dxa"/>
          <w:right w:w="70" w:type="dxa"/>
        </w:tblCellMar>
        <w:tblLook w:val="04A0" w:firstRow="1" w:lastRow="0" w:firstColumn="1" w:lastColumn="0" w:noHBand="0" w:noVBand="1"/>
      </w:tblPr>
      <w:tblGrid>
        <w:gridCol w:w="2382"/>
        <w:gridCol w:w="955"/>
        <w:gridCol w:w="955"/>
        <w:gridCol w:w="955"/>
        <w:gridCol w:w="955"/>
        <w:gridCol w:w="955"/>
        <w:gridCol w:w="955"/>
        <w:gridCol w:w="950"/>
      </w:tblGrid>
      <w:tr w:rsidR="007D13F3" w:rsidRPr="00B7481D" w:rsidTr="00465CAC">
        <w:trPr>
          <w:trHeight w:val="255"/>
        </w:trPr>
        <w:tc>
          <w:tcPr>
            <w:tcW w:w="1314"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D13F3" w:rsidRPr="00B7481D" w:rsidRDefault="007D13F3" w:rsidP="00465CAC">
            <w:pPr>
              <w:rPr>
                <w:rFonts w:ascii="Times New Roman" w:hAnsi="Times New Roman" w:cs="Times New Roman"/>
                <w:b/>
                <w:bCs/>
                <w:color w:val="000000"/>
                <w:sz w:val="14"/>
                <w:szCs w:val="14"/>
              </w:rPr>
            </w:pPr>
            <w:r w:rsidRPr="00B7481D">
              <w:rPr>
                <w:rFonts w:ascii="Times New Roman" w:hAnsi="Times New Roman" w:cs="Times New Roman"/>
                <w:color w:val="000000"/>
                <w:sz w:val="14"/>
                <w:szCs w:val="14"/>
              </w:rPr>
              <w:br w:type="page"/>
            </w:r>
            <w:r w:rsidRPr="00B7481D">
              <w:rPr>
                <w:rFonts w:ascii="Times New Roman" w:hAnsi="Times New Roman" w:cs="Times New Roman"/>
                <w:b/>
                <w:bCs/>
                <w:color w:val="000000"/>
                <w:sz w:val="14"/>
                <w:szCs w:val="14"/>
              </w:rPr>
              <w:t> v eurách</w:t>
            </w:r>
          </w:p>
        </w:tc>
        <w:tc>
          <w:tcPr>
            <w:tcW w:w="52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3959FE" w:rsidRDefault="007D13F3" w:rsidP="00465CAC">
            <w:pPr>
              <w:jc w:val="center"/>
              <w:rPr>
                <w:rFonts w:ascii="Times New Roman" w:hAnsi="Times New Roman" w:cs="Times New Roman"/>
                <w:b/>
                <w:bCs/>
                <w:color w:val="000000"/>
                <w:sz w:val="14"/>
                <w:szCs w:val="14"/>
                <w:lang w:eastAsia="sk-SK"/>
              </w:rPr>
            </w:pPr>
            <w:r w:rsidRPr="003959FE">
              <w:rPr>
                <w:rFonts w:ascii="Times New Roman" w:hAnsi="Times New Roman" w:cs="Times New Roman"/>
                <w:b/>
                <w:bCs/>
                <w:color w:val="000000"/>
                <w:sz w:val="14"/>
                <w:szCs w:val="14"/>
              </w:rPr>
              <w:t>2015 S</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3959FE" w:rsidRDefault="007D13F3" w:rsidP="00465CAC">
            <w:pPr>
              <w:jc w:val="center"/>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2016 S</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3959FE" w:rsidRDefault="007D13F3" w:rsidP="00465CAC">
            <w:pPr>
              <w:jc w:val="center"/>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2017 R</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3959FE" w:rsidRDefault="007D13F3" w:rsidP="00465CAC">
            <w:pPr>
              <w:jc w:val="center"/>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3959FE" w:rsidRDefault="007D13F3" w:rsidP="00465CAC">
            <w:pPr>
              <w:jc w:val="center"/>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2018 N</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3959FE" w:rsidRDefault="007D13F3" w:rsidP="00465CAC">
            <w:pPr>
              <w:jc w:val="center"/>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2019 N</w:t>
            </w:r>
          </w:p>
        </w:tc>
        <w:tc>
          <w:tcPr>
            <w:tcW w:w="524"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3959FE" w:rsidRDefault="007D13F3" w:rsidP="00465CAC">
            <w:pPr>
              <w:jc w:val="center"/>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2020 N</w:t>
            </w:r>
          </w:p>
        </w:tc>
      </w:tr>
      <w:tr w:rsidR="007D13F3" w:rsidRPr="00B7481D" w:rsidTr="00465CAC">
        <w:trPr>
          <w:trHeight w:val="255"/>
        </w:trPr>
        <w:tc>
          <w:tcPr>
            <w:tcW w:w="1314" w:type="pct"/>
            <w:tcBorders>
              <w:top w:val="nil"/>
              <w:left w:val="single" w:sz="4" w:space="0" w:color="auto"/>
              <w:bottom w:val="single" w:sz="4" w:space="0" w:color="auto"/>
              <w:right w:val="single" w:sz="4" w:space="0" w:color="auto"/>
            </w:tcBorders>
            <w:shd w:val="clear" w:color="000000" w:fill="C0C0C0"/>
            <w:noWrap/>
            <w:vAlign w:val="center"/>
            <w:hideMark/>
          </w:tcPr>
          <w:p w:rsidR="007D13F3" w:rsidRPr="00B7481D" w:rsidRDefault="007D13F3" w:rsidP="00465CAC">
            <w:pP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Zdroje príslušnej kapitoly</w:t>
            </w:r>
          </w:p>
        </w:tc>
        <w:tc>
          <w:tcPr>
            <w:tcW w:w="527" w:type="pct"/>
            <w:tcBorders>
              <w:top w:val="nil"/>
              <w:left w:val="single" w:sz="4" w:space="0" w:color="auto"/>
              <w:bottom w:val="single" w:sz="4" w:space="0" w:color="auto"/>
              <w:right w:val="single" w:sz="4" w:space="0" w:color="auto"/>
            </w:tcBorders>
            <w:shd w:val="clear" w:color="000000" w:fill="BFBFBF"/>
            <w:noWrap/>
            <w:vAlign w:val="bottom"/>
            <w:hideMark/>
          </w:tcPr>
          <w:p w:rsidR="007D13F3" w:rsidRPr="003959FE" w:rsidRDefault="007D13F3" w:rsidP="00465CAC">
            <w:pPr>
              <w:jc w:val="right"/>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86 764 614</w:t>
            </w:r>
          </w:p>
        </w:tc>
        <w:tc>
          <w:tcPr>
            <w:tcW w:w="527" w:type="pct"/>
            <w:tcBorders>
              <w:top w:val="nil"/>
              <w:left w:val="nil"/>
              <w:bottom w:val="single" w:sz="4" w:space="0" w:color="auto"/>
              <w:right w:val="single" w:sz="4" w:space="0" w:color="auto"/>
            </w:tcBorders>
            <w:shd w:val="clear" w:color="000000" w:fill="BFBFBF"/>
            <w:noWrap/>
            <w:vAlign w:val="bottom"/>
            <w:hideMark/>
          </w:tcPr>
          <w:p w:rsidR="007D13F3" w:rsidRPr="003959FE" w:rsidRDefault="007D13F3" w:rsidP="00465CAC">
            <w:pPr>
              <w:jc w:val="right"/>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71 405 462</w:t>
            </w:r>
          </w:p>
        </w:tc>
        <w:tc>
          <w:tcPr>
            <w:tcW w:w="527" w:type="pct"/>
            <w:tcBorders>
              <w:top w:val="nil"/>
              <w:left w:val="nil"/>
              <w:bottom w:val="single" w:sz="4" w:space="0" w:color="auto"/>
              <w:right w:val="single" w:sz="4" w:space="0" w:color="auto"/>
            </w:tcBorders>
            <w:shd w:val="clear" w:color="000000" w:fill="BFBFBF"/>
            <w:noWrap/>
            <w:vAlign w:val="bottom"/>
            <w:hideMark/>
          </w:tcPr>
          <w:p w:rsidR="007D13F3" w:rsidRPr="003959FE" w:rsidRDefault="007D13F3" w:rsidP="00465CAC">
            <w:pPr>
              <w:jc w:val="right"/>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40 385 162</w:t>
            </w:r>
          </w:p>
        </w:tc>
        <w:tc>
          <w:tcPr>
            <w:tcW w:w="52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D13F3" w:rsidRPr="008471B9" w:rsidRDefault="007D13F3" w:rsidP="00465CAC">
            <w:pPr>
              <w:jc w:val="right"/>
              <w:rPr>
                <w:rFonts w:ascii="Times New Roman" w:hAnsi="Times New Roman" w:cs="Times New Roman"/>
                <w:b/>
                <w:bCs/>
                <w:color w:val="000000"/>
                <w:sz w:val="14"/>
                <w:szCs w:val="14"/>
                <w:lang w:eastAsia="sk-SK"/>
              </w:rPr>
            </w:pPr>
            <w:r w:rsidRPr="008471B9">
              <w:rPr>
                <w:rFonts w:ascii="Times New Roman" w:hAnsi="Times New Roman" w:cs="Times New Roman"/>
                <w:b/>
                <w:bCs/>
                <w:color w:val="000000"/>
                <w:sz w:val="14"/>
                <w:szCs w:val="14"/>
              </w:rPr>
              <w:t>69 895 493</w:t>
            </w:r>
          </w:p>
        </w:tc>
        <w:tc>
          <w:tcPr>
            <w:tcW w:w="52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D13F3" w:rsidRPr="006031B4" w:rsidRDefault="007D13F3" w:rsidP="00465CAC">
            <w:pPr>
              <w:jc w:val="right"/>
              <w:rPr>
                <w:rFonts w:ascii="Times New Roman" w:hAnsi="Times New Roman" w:cs="Times New Roman"/>
                <w:b/>
                <w:bCs/>
                <w:color w:val="000000"/>
                <w:sz w:val="14"/>
                <w:szCs w:val="14"/>
                <w:lang w:eastAsia="sk-SK"/>
              </w:rPr>
            </w:pPr>
            <w:r w:rsidRPr="006031B4">
              <w:rPr>
                <w:rFonts w:ascii="Times New Roman" w:hAnsi="Times New Roman" w:cs="Times New Roman"/>
                <w:b/>
                <w:bCs/>
                <w:color w:val="000000"/>
                <w:sz w:val="14"/>
                <w:szCs w:val="14"/>
              </w:rPr>
              <w:t>31 244 159</w:t>
            </w:r>
          </w:p>
        </w:tc>
        <w:tc>
          <w:tcPr>
            <w:tcW w:w="527" w:type="pct"/>
            <w:tcBorders>
              <w:top w:val="single" w:sz="4" w:space="0" w:color="auto"/>
              <w:left w:val="nil"/>
              <w:bottom w:val="single" w:sz="4" w:space="0" w:color="auto"/>
              <w:right w:val="single" w:sz="4" w:space="0" w:color="auto"/>
            </w:tcBorders>
            <w:shd w:val="clear" w:color="000000" w:fill="BFBFBF"/>
            <w:noWrap/>
            <w:vAlign w:val="bottom"/>
            <w:hideMark/>
          </w:tcPr>
          <w:p w:rsidR="007D13F3" w:rsidRPr="006031B4" w:rsidRDefault="007D13F3" w:rsidP="00465CAC">
            <w:pPr>
              <w:jc w:val="right"/>
              <w:rPr>
                <w:rFonts w:ascii="Times New Roman" w:hAnsi="Times New Roman" w:cs="Times New Roman"/>
                <w:b/>
                <w:bCs/>
                <w:color w:val="000000"/>
                <w:sz w:val="14"/>
                <w:szCs w:val="14"/>
              </w:rPr>
            </w:pPr>
            <w:r w:rsidRPr="006031B4">
              <w:rPr>
                <w:rFonts w:ascii="Times New Roman" w:hAnsi="Times New Roman" w:cs="Times New Roman"/>
                <w:b/>
                <w:bCs/>
                <w:color w:val="000000"/>
                <w:sz w:val="14"/>
                <w:szCs w:val="14"/>
              </w:rPr>
              <w:t>46 048 608</w:t>
            </w:r>
          </w:p>
        </w:tc>
        <w:tc>
          <w:tcPr>
            <w:tcW w:w="524" w:type="pct"/>
            <w:tcBorders>
              <w:top w:val="single" w:sz="4" w:space="0" w:color="auto"/>
              <w:left w:val="nil"/>
              <w:bottom w:val="single" w:sz="4" w:space="0" w:color="auto"/>
              <w:right w:val="single" w:sz="4" w:space="0" w:color="auto"/>
            </w:tcBorders>
            <w:shd w:val="clear" w:color="000000" w:fill="BFBFBF"/>
            <w:noWrap/>
            <w:vAlign w:val="bottom"/>
            <w:hideMark/>
          </w:tcPr>
          <w:p w:rsidR="007D13F3" w:rsidRPr="006031B4" w:rsidRDefault="007D13F3" w:rsidP="00465CAC">
            <w:pPr>
              <w:jc w:val="right"/>
              <w:rPr>
                <w:rFonts w:ascii="Times New Roman" w:hAnsi="Times New Roman" w:cs="Times New Roman"/>
                <w:b/>
                <w:bCs/>
                <w:color w:val="000000"/>
                <w:sz w:val="14"/>
                <w:szCs w:val="14"/>
              </w:rPr>
            </w:pPr>
            <w:r w:rsidRPr="006031B4">
              <w:rPr>
                <w:rFonts w:ascii="Times New Roman" w:hAnsi="Times New Roman" w:cs="Times New Roman"/>
                <w:b/>
                <w:bCs/>
                <w:color w:val="000000"/>
                <w:sz w:val="14"/>
                <w:szCs w:val="14"/>
              </w:rPr>
              <w:t>47 316 690</w:t>
            </w:r>
          </w:p>
        </w:tc>
      </w:tr>
      <w:tr w:rsidR="007D13F3" w:rsidRPr="00B7481D" w:rsidTr="00465CAC">
        <w:trPr>
          <w:trHeight w:val="255"/>
        </w:trPr>
        <w:tc>
          <w:tcPr>
            <w:tcW w:w="1314" w:type="pct"/>
            <w:tcBorders>
              <w:top w:val="nil"/>
              <w:left w:val="single" w:sz="4" w:space="0" w:color="auto"/>
              <w:bottom w:val="single" w:sz="4" w:space="0" w:color="auto"/>
              <w:right w:val="single" w:sz="4" w:space="0" w:color="auto"/>
            </w:tcBorders>
            <w:noWrap/>
            <w:vAlign w:val="center"/>
            <w:hideMark/>
          </w:tcPr>
          <w:p w:rsidR="007D13F3" w:rsidRPr="00B7481D" w:rsidRDefault="007D13F3" w:rsidP="00465CAC">
            <w:pPr>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rozpočtové zdroje kapitoly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56 600 530</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32 571 527</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26 834 133</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b/>
                <w:bCs/>
                <w:color w:val="000000"/>
                <w:sz w:val="14"/>
                <w:szCs w:val="14"/>
              </w:rPr>
            </w:pPr>
            <w:r w:rsidRPr="008471B9">
              <w:rPr>
                <w:rFonts w:ascii="Times New Roman" w:hAnsi="Times New Roman" w:cs="Times New Roman"/>
                <w:b/>
                <w:bCs/>
                <w:color w:val="000000"/>
                <w:sz w:val="14"/>
                <w:szCs w:val="14"/>
              </w:rPr>
              <w:t>55 091 483</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6031B4" w:rsidRDefault="007D13F3" w:rsidP="00465CAC">
            <w:pPr>
              <w:jc w:val="right"/>
              <w:rPr>
                <w:rFonts w:ascii="Times New Roman" w:hAnsi="Times New Roman" w:cs="Times New Roman"/>
                <w:b/>
                <w:bCs/>
                <w:color w:val="000000"/>
                <w:sz w:val="14"/>
                <w:szCs w:val="14"/>
              </w:rPr>
            </w:pPr>
            <w:r w:rsidRPr="006031B4">
              <w:rPr>
                <w:rFonts w:ascii="Times New Roman" w:hAnsi="Times New Roman" w:cs="Times New Roman"/>
                <w:b/>
                <w:bCs/>
                <w:color w:val="000000"/>
                <w:sz w:val="14"/>
                <w:szCs w:val="14"/>
              </w:rPr>
              <w:t>22 686 335</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6031B4" w:rsidRDefault="007D13F3" w:rsidP="00465CAC">
            <w:pPr>
              <w:jc w:val="right"/>
              <w:rPr>
                <w:rFonts w:ascii="Times New Roman" w:hAnsi="Times New Roman" w:cs="Times New Roman"/>
                <w:b/>
                <w:bCs/>
                <w:color w:val="000000"/>
                <w:sz w:val="14"/>
                <w:szCs w:val="14"/>
              </w:rPr>
            </w:pPr>
            <w:r w:rsidRPr="006031B4">
              <w:rPr>
                <w:rFonts w:ascii="Times New Roman" w:hAnsi="Times New Roman" w:cs="Times New Roman"/>
                <w:b/>
                <w:bCs/>
                <w:color w:val="000000"/>
                <w:sz w:val="14"/>
                <w:szCs w:val="14"/>
              </w:rPr>
              <w:t>22 573 709</w:t>
            </w:r>
          </w:p>
        </w:tc>
        <w:tc>
          <w:tcPr>
            <w:tcW w:w="524" w:type="pct"/>
            <w:tcBorders>
              <w:top w:val="nil"/>
              <w:left w:val="nil"/>
              <w:bottom w:val="single" w:sz="4" w:space="0" w:color="auto"/>
              <w:right w:val="single" w:sz="4" w:space="0" w:color="auto"/>
            </w:tcBorders>
            <w:shd w:val="clear" w:color="auto" w:fill="auto"/>
            <w:noWrap/>
            <w:vAlign w:val="bottom"/>
            <w:hideMark/>
          </w:tcPr>
          <w:p w:rsidR="007D13F3" w:rsidRPr="006031B4" w:rsidRDefault="007D13F3" w:rsidP="00465CAC">
            <w:pPr>
              <w:jc w:val="right"/>
              <w:rPr>
                <w:rFonts w:ascii="Times New Roman" w:hAnsi="Times New Roman" w:cs="Times New Roman"/>
                <w:b/>
                <w:bCs/>
                <w:color w:val="000000"/>
                <w:sz w:val="14"/>
                <w:szCs w:val="14"/>
              </w:rPr>
            </w:pPr>
            <w:r w:rsidRPr="006031B4">
              <w:rPr>
                <w:rFonts w:ascii="Times New Roman" w:hAnsi="Times New Roman" w:cs="Times New Roman"/>
                <w:b/>
                <w:bCs/>
                <w:color w:val="000000"/>
                <w:sz w:val="14"/>
                <w:szCs w:val="14"/>
              </w:rPr>
              <w:t>22 573 709</w:t>
            </w:r>
          </w:p>
        </w:tc>
      </w:tr>
      <w:tr w:rsidR="007D13F3" w:rsidRPr="00B7481D" w:rsidTr="00465CAC">
        <w:trPr>
          <w:trHeight w:val="255"/>
        </w:trPr>
        <w:tc>
          <w:tcPr>
            <w:tcW w:w="1314" w:type="pct"/>
            <w:tcBorders>
              <w:top w:val="nil"/>
              <w:left w:val="single" w:sz="4" w:space="0" w:color="auto"/>
              <w:bottom w:val="single" w:sz="4" w:space="0" w:color="auto"/>
              <w:right w:val="single" w:sz="4" w:space="0" w:color="auto"/>
            </w:tcBorders>
            <w:noWrap/>
            <w:vAlign w:val="center"/>
            <w:hideMark/>
          </w:tcPr>
          <w:p w:rsidR="007D13F3" w:rsidRPr="00B7481D" w:rsidRDefault="007D13F3" w:rsidP="00465CAC">
            <w:pPr>
              <w:rPr>
                <w:rFonts w:ascii="Times New Roman" w:hAnsi="Times New Roman" w:cs="Times New Roman"/>
                <w:color w:val="000000"/>
                <w:sz w:val="14"/>
                <w:szCs w:val="14"/>
              </w:rPr>
            </w:pPr>
            <w:r w:rsidRPr="00B7481D">
              <w:rPr>
                <w:rFonts w:ascii="Times New Roman" w:hAnsi="Times New Roman" w:cs="Times New Roman"/>
                <w:color w:val="000000"/>
                <w:sz w:val="14"/>
                <w:szCs w:val="14"/>
              </w:rPr>
              <w:t>v tom: bežné výdavky  600</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24 998 672</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29 028 495</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23 052 327</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41 000 678</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6031B4" w:rsidRDefault="007D13F3" w:rsidP="00465CAC">
            <w:pPr>
              <w:jc w:val="right"/>
              <w:rPr>
                <w:rFonts w:ascii="Times New Roman" w:hAnsi="Times New Roman" w:cs="Times New Roman"/>
                <w:color w:val="000000"/>
                <w:sz w:val="14"/>
                <w:szCs w:val="14"/>
              </w:rPr>
            </w:pPr>
            <w:r w:rsidRPr="006031B4">
              <w:rPr>
                <w:rFonts w:ascii="Times New Roman" w:hAnsi="Times New Roman" w:cs="Times New Roman"/>
                <w:color w:val="000000"/>
                <w:sz w:val="14"/>
                <w:szCs w:val="14"/>
              </w:rPr>
              <w:t>21 629 229</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6031B4" w:rsidRDefault="007D13F3" w:rsidP="00465CAC">
            <w:pPr>
              <w:jc w:val="right"/>
              <w:rPr>
                <w:rFonts w:ascii="Times New Roman" w:hAnsi="Times New Roman" w:cs="Times New Roman"/>
                <w:color w:val="000000"/>
                <w:sz w:val="14"/>
                <w:szCs w:val="14"/>
              </w:rPr>
            </w:pPr>
            <w:r w:rsidRPr="006031B4">
              <w:rPr>
                <w:rFonts w:ascii="Times New Roman" w:hAnsi="Times New Roman" w:cs="Times New Roman"/>
                <w:color w:val="000000"/>
                <w:sz w:val="14"/>
                <w:szCs w:val="14"/>
              </w:rPr>
              <w:t>21 516 603</w:t>
            </w:r>
          </w:p>
        </w:tc>
        <w:tc>
          <w:tcPr>
            <w:tcW w:w="524" w:type="pct"/>
            <w:tcBorders>
              <w:top w:val="nil"/>
              <w:left w:val="nil"/>
              <w:bottom w:val="single" w:sz="4" w:space="0" w:color="auto"/>
              <w:right w:val="single" w:sz="4" w:space="0" w:color="auto"/>
            </w:tcBorders>
            <w:shd w:val="clear" w:color="auto" w:fill="auto"/>
            <w:noWrap/>
            <w:vAlign w:val="bottom"/>
            <w:hideMark/>
          </w:tcPr>
          <w:p w:rsidR="007D13F3" w:rsidRPr="006031B4" w:rsidRDefault="007D13F3" w:rsidP="00465CAC">
            <w:pPr>
              <w:jc w:val="right"/>
              <w:rPr>
                <w:rFonts w:ascii="Times New Roman" w:hAnsi="Times New Roman" w:cs="Times New Roman"/>
                <w:color w:val="000000"/>
                <w:sz w:val="14"/>
                <w:szCs w:val="14"/>
              </w:rPr>
            </w:pPr>
            <w:r w:rsidRPr="006031B4">
              <w:rPr>
                <w:rFonts w:ascii="Times New Roman" w:hAnsi="Times New Roman" w:cs="Times New Roman"/>
                <w:color w:val="000000"/>
                <w:sz w:val="14"/>
                <w:szCs w:val="14"/>
              </w:rPr>
              <w:t>21 516 603</w:t>
            </w:r>
          </w:p>
        </w:tc>
      </w:tr>
      <w:tr w:rsidR="007D13F3" w:rsidRPr="00B7481D" w:rsidTr="00465CAC">
        <w:trPr>
          <w:trHeight w:val="255"/>
        </w:trPr>
        <w:tc>
          <w:tcPr>
            <w:tcW w:w="1314" w:type="pct"/>
            <w:tcBorders>
              <w:top w:val="nil"/>
              <w:left w:val="single" w:sz="4" w:space="0" w:color="auto"/>
              <w:bottom w:val="single" w:sz="4" w:space="0" w:color="auto"/>
              <w:right w:val="single" w:sz="4" w:space="0" w:color="auto"/>
            </w:tcBorders>
            <w:noWrap/>
            <w:vAlign w:val="center"/>
            <w:hideMark/>
          </w:tcPr>
          <w:p w:rsidR="007D13F3" w:rsidRPr="00B7481D" w:rsidRDefault="007D13F3" w:rsidP="00465CAC">
            <w:pPr>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610 mzdy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5 094 188</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5 443 735</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5 422 194</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6 083 963</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sz w:val="14"/>
                <w:szCs w:val="14"/>
              </w:rPr>
            </w:pPr>
            <w:r w:rsidRPr="008471B9">
              <w:rPr>
                <w:rFonts w:ascii="Times New Roman" w:hAnsi="Times New Roman" w:cs="Times New Roman"/>
                <w:sz w:val="14"/>
                <w:szCs w:val="14"/>
              </w:rPr>
              <w:t>6 592 286</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sz w:val="14"/>
                <w:szCs w:val="14"/>
              </w:rPr>
            </w:pPr>
            <w:r w:rsidRPr="008471B9">
              <w:rPr>
                <w:rFonts w:ascii="Times New Roman" w:hAnsi="Times New Roman" w:cs="Times New Roman"/>
                <w:sz w:val="14"/>
                <w:szCs w:val="14"/>
              </w:rPr>
              <w:t>6 592 286</w:t>
            </w:r>
          </w:p>
        </w:tc>
        <w:tc>
          <w:tcPr>
            <w:tcW w:w="524" w:type="pct"/>
            <w:tcBorders>
              <w:top w:val="nil"/>
              <w:left w:val="nil"/>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sz w:val="14"/>
                <w:szCs w:val="14"/>
              </w:rPr>
            </w:pPr>
            <w:r w:rsidRPr="008471B9">
              <w:rPr>
                <w:rFonts w:ascii="Times New Roman" w:hAnsi="Times New Roman" w:cs="Times New Roman"/>
                <w:sz w:val="14"/>
                <w:szCs w:val="14"/>
              </w:rPr>
              <w:t>6 592 286</w:t>
            </w:r>
          </w:p>
        </w:tc>
      </w:tr>
      <w:tr w:rsidR="007D13F3" w:rsidRPr="00B7481D" w:rsidTr="00465CAC">
        <w:trPr>
          <w:trHeight w:val="255"/>
        </w:trPr>
        <w:tc>
          <w:tcPr>
            <w:tcW w:w="1314" w:type="pct"/>
            <w:tcBorders>
              <w:top w:val="nil"/>
              <w:left w:val="single" w:sz="4" w:space="0" w:color="auto"/>
              <w:bottom w:val="single" w:sz="4" w:space="0" w:color="auto"/>
              <w:right w:val="single" w:sz="4" w:space="0" w:color="auto"/>
            </w:tcBorders>
            <w:noWrap/>
            <w:vAlign w:val="center"/>
            <w:hideMark/>
          </w:tcPr>
          <w:p w:rsidR="007D13F3" w:rsidRPr="00B7481D" w:rsidRDefault="007D13F3" w:rsidP="00465CAC">
            <w:pPr>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620 odvody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2 194 898</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2 243 379</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1 899 142</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2 256 590</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sz w:val="14"/>
                <w:szCs w:val="14"/>
              </w:rPr>
            </w:pPr>
            <w:r w:rsidRPr="008471B9">
              <w:rPr>
                <w:rFonts w:ascii="Times New Roman" w:hAnsi="Times New Roman" w:cs="Times New Roman"/>
                <w:sz w:val="14"/>
                <w:szCs w:val="14"/>
              </w:rPr>
              <w:t>2 325 810</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sz w:val="14"/>
                <w:szCs w:val="14"/>
              </w:rPr>
            </w:pPr>
            <w:r w:rsidRPr="008471B9">
              <w:rPr>
                <w:rFonts w:ascii="Times New Roman" w:hAnsi="Times New Roman" w:cs="Times New Roman"/>
                <w:sz w:val="14"/>
                <w:szCs w:val="14"/>
              </w:rPr>
              <w:t>2 325 810</w:t>
            </w:r>
          </w:p>
        </w:tc>
        <w:tc>
          <w:tcPr>
            <w:tcW w:w="524" w:type="pct"/>
            <w:tcBorders>
              <w:top w:val="nil"/>
              <w:left w:val="nil"/>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sz w:val="14"/>
                <w:szCs w:val="14"/>
              </w:rPr>
            </w:pPr>
            <w:r w:rsidRPr="008471B9">
              <w:rPr>
                <w:rFonts w:ascii="Times New Roman" w:hAnsi="Times New Roman" w:cs="Times New Roman"/>
                <w:sz w:val="14"/>
                <w:szCs w:val="14"/>
              </w:rPr>
              <w:t>2 325 810</w:t>
            </w:r>
          </w:p>
        </w:tc>
      </w:tr>
      <w:tr w:rsidR="007D13F3" w:rsidRPr="00B7481D" w:rsidTr="00465CAC">
        <w:trPr>
          <w:trHeight w:val="255"/>
        </w:trPr>
        <w:tc>
          <w:tcPr>
            <w:tcW w:w="1314" w:type="pct"/>
            <w:tcBorders>
              <w:top w:val="nil"/>
              <w:left w:val="single" w:sz="4" w:space="0" w:color="auto"/>
              <w:bottom w:val="single" w:sz="4" w:space="0" w:color="auto"/>
              <w:right w:val="single" w:sz="4" w:space="0" w:color="auto"/>
            </w:tcBorders>
            <w:noWrap/>
            <w:vAlign w:val="center"/>
            <w:hideMark/>
          </w:tcPr>
          <w:p w:rsidR="007D13F3" w:rsidRPr="00B7481D" w:rsidRDefault="007D13F3" w:rsidP="00465CAC">
            <w:pPr>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630 tovary a služby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5 170 490</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5 133 120</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5 066 164</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5 499 902</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sz w:val="14"/>
                <w:szCs w:val="14"/>
              </w:rPr>
            </w:pPr>
            <w:r w:rsidRPr="008471B9">
              <w:rPr>
                <w:rFonts w:ascii="Times New Roman" w:hAnsi="Times New Roman" w:cs="Times New Roman"/>
                <w:sz w:val="14"/>
                <w:szCs w:val="14"/>
              </w:rPr>
              <w:t>5 575 076</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sz w:val="14"/>
                <w:szCs w:val="14"/>
              </w:rPr>
            </w:pPr>
            <w:r w:rsidRPr="008471B9">
              <w:rPr>
                <w:rFonts w:ascii="Times New Roman" w:hAnsi="Times New Roman" w:cs="Times New Roman"/>
                <w:sz w:val="14"/>
                <w:szCs w:val="14"/>
              </w:rPr>
              <w:t>5 473 246</w:t>
            </w:r>
          </w:p>
        </w:tc>
        <w:tc>
          <w:tcPr>
            <w:tcW w:w="524" w:type="pct"/>
            <w:tcBorders>
              <w:top w:val="nil"/>
              <w:left w:val="nil"/>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sz w:val="14"/>
                <w:szCs w:val="14"/>
              </w:rPr>
            </w:pPr>
            <w:r w:rsidRPr="008471B9">
              <w:rPr>
                <w:rFonts w:ascii="Times New Roman" w:hAnsi="Times New Roman" w:cs="Times New Roman"/>
                <w:sz w:val="14"/>
                <w:szCs w:val="14"/>
              </w:rPr>
              <w:t>5 473 246</w:t>
            </w:r>
          </w:p>
        </w:tc>
      </w:tr>
      <w:tr w:rsidR="007D13F3" w:rsidRPr="00B7481D" w:rsidTr="00465CAC">
        <w:trPr>
          <w:trHeight w:val="255"/>
        </w:trPr>
        <w:tc>
          <w:tcPr>
            <w:tcW w:w="1314" w:type="pct"/>
            <w:tcBorders>
              <w:top w:val="nil"/>
              <w:left w:val="single" w:sz="4" w:space="0" w:color="auto"/>
              <w:bottom w:val="single" w:sz="4" w:space="0" w:color="auto"/>
              <w:right w:val="single" w:sz="4" w:space="0" w:color="auto"/>
            </w:tcBorders>
            <w:noWrap/>
            <w:vAlign w:val="center"/>
            <w:hideMark/>
          </w:tcPr>
          <w:p w:rsidR="007D13F3" w:rsidRPr="00B7481D" w:rsidRDefault="007D13F3" w:rsidP="00465CAC">
            <w:pPr>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640 bežné transfery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12 539 096</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16 208 261</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10 664 827</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27 160 223</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6031B4" w:rsidRDefault="007D13F3" w:rsidP="00465CAC">
            <w:pPr>
              <w:jc w:val="right"/>
              <w:rPr>
                <w:rFonts w:ascii="Times New Roman" w:hAnsi="Times New Roman" w:cs="Times New Roman"/>
                <w:sz w:val="14"/>
                <w:szCs w:val="14"/>
                <w:lang w:eastAsia="sk-SK"/>
              </w:rPr>
            </w:pPr>
            <w:r w:rsidRPr="006031B4">
              <w:rPr>
                <w:rFonts w:ascii="Times New Roman" w:hAnsi="Times New Roman" w:cs="Times New Roman"/>
                <w:sz w:val="14"/>
                <w:szCs w:val="14"/>
              </w:rPr>
              <w:t>7 136 057</w:t>
            </w:r>
          </w:p>
        </w:tc>
        <w:tc>
          <w:tcPr>
            <w:tcW w:w="527" w:type="pct"/>
            <w:tcBorders>
              <w:top w:val="single" w:sz="4" w:space="0" w:color="auto"/>
              <w:left w:val="nil"/>
              <w:bottom w:val="single" w:sz="4" w:space="0" w:color="auto"/>
              <w:right w:val="single" w:sz="4" w:space="0" w:color="auto"/>
            </w:tcBorders>
            <w:shd w:val="clear" w:color="auto" w:fill="auto"/>
            <w:noWrap/>
            <w:vAlign w:val="bottom"/>
            <w:hideMark/>
          </w:tcPr>
          <w:p w:rsidR="007D13F3" w:rsidRPr="006031B4" w:rsidRDefault="007D13F3" w:rsidP="00465CAC">
            <w:pPr>
              <w:jc w:val="right"/>
              <w:rPr>
                <w:rFonts w:ascii="Times New Roman" w:hAnsi="Times New Roman" w:cs="Times New Roman"/>
                <w:sz w:val="14"/>
                <w:szCs w:val="14"/>
              </w:rPr>
            </w:pPr>
            <w:r w:rsidRPr="006031B4">
              <w:rPr>
                <w:rFonts w:ascii="Times New Roman" w:hAnsi="Times New Roman" w:cs="Times New Roman"/>
                <w:sz w:val="14"/>
                <w:szCs w:val="14"/>
              </w:rPr>
              <w:t>7 125 261</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7D13F3" w:rsidRPr="006031B4" w:rsidRDefault="007D13F3" w:rsidP="00465CAC">
            <w:pPr>
              <w:jc w:val="right"/>
              <w:rPr>
                <w:rFonts w:ascii="Times New Roman" w:hAnsi="Times New Roman" w:cs="Times New Roman"/>
                <w:sz w:val="14"/>
                <w:szCs w:val="14"/>
              </w:rPr>
            </w:pPr>
            <w:r w:rsidRPr="006031B4">
              <w:rPr>
                <w:rFonts w:ascii="Times New Roman" w:hAnsi="Times New Roman" w:cs="Times New Roman"/>
                <w:sz w:val="14"/>
                <w:szCs w:val="14"/>
              </w:rPr>
              <w:t>7 125 261</w:t>
            </w:r>
          </w:p>
        </w:tc>
      </w:tr>
      <w:tr w:rsidR="007D13F3" w:rsidRPr="00B7481D" w:rsidTr="00465CAC">
        <w:trPr>
          <w:trHeight w:val="255"/>
        </w:trPr>
        <w:tc>
          <w:tcPr>
            <w:tcW w:w="1314" w:type="pct"/>
            <w:tcBorders>
              <w:top w:val="nil"/>
              <w:left w:val="single" w:sz="4" w:space="0" w:color="auto"/>
              <w:bottom w:val="single" w:sz="4" w:space="0" w:color="auto"/>
              <w:right w:val="single" w:sz="4" w:space="0" w:color="auto"/>
            </w:tcBorders>
            <w:noWrap/>
            <w:vAlign w:val="center"/>
            <w:hideMark/>
          </w:tcPr>
          <w:p w:rsidR="007D13F3" w:rsidRPr="00B7481D" w:rsidRDefault="007D13F3" w:rsidP="00465CAC">
            <w:pPr>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Pr="00B7481D">
              <w:rPr>
                <w:rFonts w:ascii="Times New Roman" w:hAnsi="Times New Roman" w:cs="Times New Roman"/>
                <w:color w:val="000000"/>
                <w:sz w:val="14"/>
                <w:szCs w:val="14"/>
              </w:rPr>
              <w:t>kapitálové výdavky 700</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31 601 858</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3 543 032</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3 781 806</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14 090 805</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sz w:val="14"/>
                <w:szCs w:val="14"/>
              </w:rPr>
            </w:pPr>
            <w:r w:rsidRPr="008471B9">
              <w:rPr>
                <w:rFonts w:ascii="Times New Roman" w:hAnsi="Times New Roman" w:cs="Times New Roman"/>
                <w:sz w:val="14"/>
                <w:szCs w:val="14"/>
              </w:rPr>
              <w:t>1 057 106</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sz w:val="14"/>
                <w:szCs w:val="14"/>
              </w:rPr>
            </w:pPr>
            <w:r w:rsidRPr="008471B9">
              <w:rPr>
                <w:rFonts w:ascii="Times New Roman" w:hAnsi="Times New Roman" w:cs="Times New Roman"/>
                <w:sz w:val="14"/>
                <w:szCs w:val="14"/>
              </w:rPr>
              <w:t>1 057 106</w:t>
            </w:r>
          </w:p>
        </w:tc>
        <w:tc>
          <w:tcPr>
            <w:tcW w:w="524" w:type="pct"/>
            <w:tcBorders>
              <w:top w:val="nil"/>
              <w:left w:val="nil"/>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sz w:val="14"/>
                <w:szCs w:val="14"/>
              </w:rPr>
            </w:pPr>
            <w:r w:rsidRPr="008471B9">
              <w:rPr>
                <w:rFonts w:ascii="Times New Roman" w:hAnsi="Times New Roman" w:cs="Times New Roman"/>
                <w:sz w:val="14"/>
                <w:szCs w:val="14"/>
              </w:rPr>
              <w:t>1 057 106</w:t>
            </w:r>
          </w:p>
        </w:tc>
      </w:tr>
      <w:tr w:rsidR="007D13F3" w:rsidRPr="00B7481D" w:rsidTr="00465CAC">
        <w:trPr>
          <w:trHeight w:val="255"/>
        </w:trPr>
        <w:tc>
          <w:tcPr>
            <w:tcW w:w="1314" w:type="pct"/>
            <w:tcBorders>
              <w:top w:val="nil"/>
              <w:left w:val="single" w:sz="4" w:space="0" w:color="auto"/>
              <w:bottom w:val="single" w:sz="4" w:space="0" w:color="auto"/>
              <w:right w:val="single" w:sz="4" w:space="0" w:color="auto"/>
            </w:tcBorders>
            <w:noWrap/>
            <w:vAlign w:val="center"/>
          </w:tcPr>
          <w:p w:rsidR="007D13F3" w:rsidRPr="001A4D64" w:rsidRDefault="007D13F3" w:rsidP="00465CAC">
            <w:pPr>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zdroje EÚ vrátane spolufinancovania</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22 113 996</w:t>
            </w:r>
          </w:p>
        </w:tc>
        <w:tc>
          <w:tcPr>
            <w:tcW w:w="527" w:type="pct"/>
            <w:tcBorders>
              <w:top w:val="nil"/>
              <w:left w:val="nil"/>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13 551 029</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b/>
                <w:bCs/>
                <w:color w:val="000000"/>
                <w:sz w:val="14"/>
                <w:szCs w:val="14"/>
              </w:rPr>
            </w:pPr>
            <w:r w:rsidRPr="008471B9">
              <w:rPr>
                <w:rFonts w:ascii="Times New Roman" w:hAnsi="Times New Roman" w:cs="Times New Roman"/>
                <w:b/>
                <w:bCs/>
                <w:color w:val="000000"/>
                <w:sz w:val="14"/>
                <w:szCs w:val="14"/>
              </w:rPr>
              <w:t>7 147 718</w:t>
            </w:r>
          </w:p>
        </w:tc>
        <w:tc>
          <w:tcPr>
            <w:tcW w:w="527"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b/>
                <w:bCs/>
                <w:color w:val="000000"/>
                <w:sz w:val="14"/>
                <w:szCs w:val="14"/>
              </w:rPr>
            </w:pPr>
            <w:r w:rsidRPr="008471B9">
              <w:rPr>
                <w:rFonts w:ascii="Times New Roman" w:hAnsi="Times New Roman" w:cs="Times New Roman"/>
                <w:b/>
                <w:bCs/>
                <w:color w:val="000000"/>
                <w:sz w:val="14"/>
                <w:szCs w:val="14"/>
              </w:rPr>
              <w:t>8 557 824</w:t>
            </w:r>
          </w:p>
        </w:tc>
        <w:tc>
          <w:tcPr>
            <w:tcW w:w="527"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b/>
                <w:bCs/>
                <w:color w:val="000000"/>
                <w:sz w:val="14"/>
                <w:szCs w:val="14"/>
              </w:rPr>
            </w:pPr>
            <w:r w:rsidRPr="008471B9">
              <w:rPr>
                <w:rFonts w:ascii="Times New Roman" w:hAnsi="Times New Roman" w:cs="Times New Roman"/>
                <w:b/>
                <w:bCs/>
                <w:color w:val="000000"/>
                <w:sz w:val="14"/>
                <w:szCs w:val="14"/>
              </w:rPr>
              <w:t>23 474 899</w:t>
            </w:r>
          </w:p>
        </w:tc>
        <w:tc>
          <w:tcPr>
            <w:tcW w:w="524"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b/>
                <w:bCs/>
                <w:color w:val="000000"/>
                <w:sz w:val="14"/>
                <w:szCs w:val="14"/>
              </w:rPr>
            </w:pPr>
            <w:r w:rsidRPr="008471B9">
              <w:rPr>
                <w:rFonts w:ascii="Times New Roman" w:hAnsi="Times New Roman" w:cs="Times New Roman"/>
                <w:b/>
                <w:bCs/>
                <w:color w:val="000000"/>
                <w:sz w:val="14"/>
                <w:szCs w:val="14"/>
              </w:rPr>
              <w:t>24 742 981</w:t>
            </w:r>
          </w:p>
        </w:tc>
      </w:tr>
      <w:tr w:rsidR="007D13F3" w:rsidRPr="00B7481D" w:rsidTr="00465CAC">
        <w:trPr>
          <w:trHeight w:val="255"/>
        </w:trPr>
        <w:tc>
          <w:tcPr>
            <w:tcW w:w="1314" w:type="pct"/>
            <w:tcBorders>
              <w:top w:val="nil"/>
              <w:left w:val="single" w:sz="4" w:space="0" w:color="auto"/>
              <w:bottom w:val="single" w:sz="4" w:space="0" w:color="auto"/>
              <w:right w:val="single" w:sz="4" w:space="0" w:color="auto"/>
            </w:tcBorders>
            <w:noWrap/>
            <w:vAlign w:val="center"/>
          </w:tcPr>
          <w:p w:rsidR="007D13F3" w:rsidRPr="001A4D64" w:rsidRDefault="007D13F3" w:rsidP="00465CAC">
            <w:pPr>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v tom: </w:t>
            </w:r>
            <w:r>
              <w:rPr>
                <w:rFonts w:ascii="Times New Roman" w:hAnsi="Times New Roman" w:cs="Times New Roman"/>
                <w:color w:val="000000"/>
                <w:sz w:val="14"/>
                <w:szCs w:val="14"/>
              </w:rPr>
              <w:t xml:space="preserve"> </w:t>
            </w:r>
            <w:r w:rsidRPr="001A4D64">
              <w:rPr>
                <w:rFonts w:ascii="Times New Roman" w:hAnsi="Times New Roman" w:cs="Times New Roman"/>
                <w:color w:val="000000"/>
                <w:sz w:val="14"/>
                <w:szCs w:val="14"/>
              </w:rPr>
              <w:t>EÚ prostriedky</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18 236 678</w:t>
            </w:r>
          </w:p>
        </w:tc>
        <w:tc>
          <w:tcPr>
            <w:tcW w:w="527" w:type="pct"/>
            <w:tcBorders>
              <w:top w:val="nil"/>
              <w:left w:val="nil"/>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11 068 683</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5 808 749</w:t>
            </w:r>
          </w:p>
        </w:tc>
        <w:tc>
          <w:tcPr>
            <w:tcW w:w="527"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6 957 457</w:t>
            </w:r>
          </w:p>
        </w:tc>
        <w:tc>
          <w:tcPr>
            <w:tcW w:w="527"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20 961 192</w:t>
            </w:r>
          </w:p>
        </w:tc>
        <w:tc>
          <w:tcPr>
            <w:tcW w:w="524"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20 138 193</w:t>
            </w:r>
          </w:p>
        </w:tc>
      </w:tr>
      <w:tr w:rsidR="007D13F3" w:rsidRPr="00B7481D" w:rsidTr="00465CAC">
        <w:trPr>
          <w:trHeight w:val="255"/>
        </w:trPr>
        <w:tc>
          <w:tcPr>
            <w:tcW w:w="1314" w:type="pct"/>
            <w:tcBorders>
              <w:top w:val="nil"/>
              <w:left w:val="single" w:sz="4" w:space="0" w:color="auto"/>
              <w:bottom w:val="single" w:sz="4" w:space="0" w:color="auto"/>
              <w:right w:val="single" w:sz="4" w:space="0" w:color="auto"/>
            </w:tcBorders>
            <w:noWrap/>
            <w:vAlign w:val="center"/>
          </w:tcPr>
          <w:p w:rsidR="007D13F3" w:rsidRPr="001A4D64" w:rsidRDefault="007D13F3" w:rsidP="00465CAC">
            <w:pPr>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1A4D64">
              <w:rPr>
                <w:rFonts w:ascii="Times New Roman" w:hAnsi="Times New Roman" w:cs="Times New Roman"/>
                <w:color w:val="000000"/>
                <w:sz w:val="14"/>
                <w:szCs w:val="14"/>
              </w:rPr>
              <w:t>spolufinancovanie zo ŠR</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3 877 318</w:t>
            </w:r>
          </w:p>
        </w:tc>
        <w:tc>
          <w:tcPr>
            <w:tcW w:w="527" w:type="pct"/>
            <w:tcBorders>
              <w:top w:val="nil"/>
              <w:left w:val="nil"/>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2 482 346</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1 338 969</w:t>
            </w:r>
          </w:p>
        </w:tc>
        <w:tc>
          <w:tcPr>
            <w:tcW w:w="527"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1 600 367</w:t>
            </w:r>
          </w:p>
        </w:tc>
        <w:tc>
          <w:tcPr>
            <w:tcW w:w="527"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2 513 707</w:t>
            </w:r>
          </w:p>
        </w:tc>
        <w:tc>
          <w:tcPr>
            <w:tcW w:w="524"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4 604 788</w:t>
            </w:r>
          </w:p>
        </w:tc>
      </w:tr>
      <w:tr w:rsidR="007D13F3" w:rsidRPr="00B7481D" w:rsidTr="00465CAC">
        <w:trPr>
          <w:trHeight w:val="255"/>
        </w:trPr>
        <w:tc>
          <w:tcPr>
            <w:tcW w:w="1314" w:type="pct"/>
            <w:tcBorders>
              <w:top w:val="single" w:sz="4" w:space="0" w:color="auto"/>
              <w:left w:val="single" w:sz="4" w:space="0" w:color="auto"/>
              <w:bottom w:val="single" w:sz="4" w:space="0" w:color="auto"/>
              <w:right w:val="single" w:sz="4" w:space="0" w:color="auto"/>
            </w:tcBorders>
            <w:noWrap/>
            <w:vAlign w:val="center"/>
            <w:hideMark/>
          </w:tcPr>
          <w:p w:rsidR="007D13F3" w:rsidRPr="001A4D64" w:rsidRDefault="007D13F3" w:rsidP="00465CAC">
            <w:pPr>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presun z minulých rokov §</w:t>
            </w:r>
            <w:r>
              <w:rPr>
                <w:rFonts w:ascii="Times New Roman" w:hAnsi="Times New Roman" w:cs="Times New Roman"/>
                <w:b/>
                <w:bCs/>
                <w:color w:val="000000"/>
                <w:sz w:val="14"/>
                <w:szCs w:val="14"/>
              </w:rPr>
              <w:t xml:space="preserve"> </w:t>
            </w:r>
            <w:r w:rsidRPr="001A4D64">
              <w:rPr>
                <w:rFonts w:ascii="Times New Roman" w:hAnsi="Times New Roman" w:cs="Times New Roman"/>
                <w:b/>
                <w:bCs/>
                <w:color w:val="000000"/>
                <w:sz w:val="14"/>
                <w:szCs w:val="14"/>
              </w:rPr>
              <w:t>8</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8 050 088</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38 833 935</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3959FE" w:rsidRDefault="007D13F3" w:rsidP="00465CAC">
            <w:pPr>
              <w:jc w:val="right"/>
              <w:rPr>
                <w:rFonts w:ascii="Times New Roman" w:hAnsi="Times New Roman" w:cs="Times New Roman"/>
                <w:b/>
                <w:bCs/>
                <w:color w:val="000000"/>
                <w:sz w:val="14"/>
                <w:szCs w:val="14"/>
              </w:rPr>
            </w:pPr>
            <w:r w:rsidRPr="003959FE">
              <w:rPr>
                <w:rFonts w:ascii="Times New Roman" w:hAnsi="Times New Roman" w:cs="Times New Roman"/>
                <w:b/>
                <w:bCs/>
                <w:color w:val="000000"/>
                <w:sz w:val="14"/>
                <w:szCs w:val="14"/>
              </w:rPr>
              <w:t>0</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b/>
                <w:bCs/>
                <w:color w:val="000000"/>
                <w:sz w:val="14"/>
                <w:szCs w:val="14"/>
              </w:rPr>
            </w:pPr>
            <w:r w:rsidRPr="008471B9">
              <w:rPr>
                <w:rFonts w:ascii="Times New Roman" w:hAnsi="Times New Roman" w:cs="Times New Roman"/>
                <w:b/>
                <w:bCs/>
                <w:color w:val="000000"/>
                <w:sz w:val="14"/>
                <w:szCs w:val="14"/>
              </w:rPr>
              <w:t>7 656 292</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b/>
                <w:bCs/>
                <w:color w:val="000000"/>
                <w:sz w:val="14"/>
                <w:szCs w:val="14"/>
              </w:rPr>
            </w:pPr>
            <w:r w:rsidRPr="008471B9">
              <w:rPr>
                <w:rFonts w:ascii="Times New Roman" w:hAnsi="Times New Roman" w:cs="Times New Roman"/>
                <w:b/>
                <w:bCs/>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b/>
                <w:bCs/>
                <w:color w:val="000000"/>
                <w:sz w:val="14"/>
                <w:szCs w:val="14"/>
              </w:rPr>
            </w:pPr>
            <w:r w:rsidRPr="008471B9">
              <w:rPr>
                <w:rFonts w:ascii="Times New Roman" w:hAnsi="Times New Roman" w:cs="Times New Roman"/>
                <w:b/>
                <w:bCs/>
                <w:color w:val="000000"/>
                <w:sz w:val="14"/>
                <w:szCs w:val="14"/>
              </w:rPr>
              <w:t>0</w:t>
            </w:r>
          </w:p>
        </w:tc>
        <w:tc>
          <w:tcPr>
            <w:tcW w:w="524" w:type="pct"/>
            <w:tcBorders>
              <w:top w:val="nil"/>
              <w:left w:val="nil"/>
              <w:bottom w:val="single" w:sz="4" w:space="0" w:color="auto"/>
              <w:right w:val="single" w:sz="4" w:space="0" w:color="auto"/>
            </w:tcBorders>
            <w:shd w:val="clear" w:color="auto" w:fill="auto"/>
            <w:noWrap/>
            <w:vAlign w:val="bottom"/>
            <w:hideMark/>
          </w:tcPr>
          <w:p w:rsidR="007D13F3" w:rsidRPr="008471B9" w:rsidRDefault="007D13F3" w:rsidP="00465CAC">
            <w:pPr>
              <w:jc w:val="right"/>
              <w:rPr>
                <w:rFonts w:ascii="Times New Roman" w:hAnsi="Times New Roman" w:cs="Times New Roman"/>
                <w:b/>
                <w:bCs/>
                <w:color w:val="000000"/>
                <w:sz w:val="14"/>
                <w:szCs w:val="14"/>
              </w:rPr>
            </w:pPr>
            <w:r w:rsidRPr="008471B9">
              <w:rPr>
                <w:rFonts w:ascii="Times New Roman" w:hAnsi="Times New Roman" w:cs="Times New Roman"/>
                <w:b/>
                <w:bCs/>
                <w:color w:val="000000"/>
                <w:sz w:val="14"/>
                <w:szCs w:val="14"/>
              </w:rPr>
              <w:t>0</w:t>
            </w:r>
          </w:p>
        </w:tc>
      </w:tr>
      <w:tr w:rsidR="007D13F3" w:rsidRPr="00B7481D" w:rsidTr="00465CAC">
        <w:trPr>
          <w:trHeight w:val="255"/>
        </w:trPr>
        <w:tc>
          <w:tcPr>
            <w:tcW w:w="1314" w:type="pct"/>
            <w:tcBorders>
              <w:top w:val="single" w:sz="4" w:space="0" w:color="auto"/>
              <w:left w:val="single" w:sz="4" w:space="0" w:color="auto"/>
              <w:bottom w:val="single" w:sz="4" w:space="0" w:color="auto"/>
              <w:right w:val="single" w:sz="4" w:space="0" w:color="auto"/>
            </w:tcBorders>
            <w:noWrap/>
            <w:vAlign w:val="center"/>
          </w:tcPr>
          <w:p w:rsidR="007D13F3" w:rsidRPr="001A4D64" w:rsidRDefault="007D13F3" w:rsidP="00465CAC">
            <w:pPr>
              <w:rPr>
                <w:rFonts w:ascii="Times New Roman" w:hAnsi="Times New Roman" w:cs="Times New Roman"/>
                <w:color w:val="000000"/>
                <w:sz w:val="14"/>
                <w:szCs w:val="14"/>
              </w:rPr>
            </w:pPr>
            <w:r>
              <w:rPr>
                <w:rFonts w:ascii="Times New Roman" w:hAnsi="Times New Roman" w:cs="Times New Roman"/>
                <w:color w:val="000000"/>
                <w:sz w:val="14"/>
                <w:szCs w:val="14"/>
              </w:rPr>
              <w:t>v tom</w:t>
            </w:r>
            <w:r w:rsidRPr="001A4D64">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1A4D64">
              <w:rPr>
                <w:rFonts w:ascii="Times New Roman" w:hAnsi="Times New Roman" w:cs="Times New Roman"/>
                <w:color w:val="000000"/>
                <w:sz w:val="14"/>
                <w:szCs w:val="14"/>
              </w:rPr>
              <w:t>štátny rozpočet</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180 825</w:t>
            </w:r>
          </w:p>
        </w:tc>
        <w:tc>
          <w:tcPr>
            <w:tcW w:w="527" w:type="pct"/>
            <w:tcBorders>
              <w:top w:val="nil"/>
              <w:left w:val="nil"/>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11 372 643</w:t>
            </w:r>
          </w:p>
        </w:tc>
        <w:tc>
          <w:tcPr>
            <w:tcW w:w="527" w:type="pct"/>
            <w:tcBorders>
              <w:top w:val="nil"/>
              <w:left w:val="nil"/>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0</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0</w:t>
            </w:r>
          </w:p>
        </w:tc>
        <w:tc>
          <w:tcPr>
            <w:tcW w:w="524"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0</w:t>
            </w:r>
          </w:p>
        </w:tc>
      </w:tr>
      <w:tr w:rsidR="007D13F3" w:rsidRPr="00B7481D" w:rsidTr="00465CAC">
        <w:trPr>
          <w:trHeight w:val="255"/>
        </w:trPr>
        <w:tc>
          <w:tcPr>
            <w:tcW w:w="1314" w:type="pct"/>
            <w:tcBorders>
              <w:top w:val="single" w:sz="4" w:space="0" w:color="auto"/>
              <w:left w:val="single" w:sz="4" w:space="0" w:color="auto"/>
              <w:bottom w:val="single" w:sz="4" w:space="0" w:color="auto"/>
              <w:right w:val="single" w:sz="4" w:space="0" w:color="auto"/>
            </w:tcBorders>
            <w:noWrap/>
            <w:vAlign w:val="center"/>
          </w:tcPr>
          <w:p w:rsidR="007D13F3" w:rsidRPr="001A4D64" w:rsidRDefault="007D13F3" w:rsidP="00465CAC">
            <w:pPr>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             EÚ prostriedky</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6 896 162</w:t>
            </w:r>
          </w:p>
        </w:tc>
        <w:tc>
          <w:tcPr>
            <w:tcW w:w="527" w:type="pct"/>
            <w:tcBorders>
              <w:top w:val="nil"/>
              <w:left w:val="nil"/>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22 953 752</w:t>
            </w:r>
          </w:p>
        </w:tc>
        <w:tc>
          <w:tcPr>
            <w:tcW w:w="527" w:type="pct"/>
            <w:tcBorders>
              <w:top w:val="nil"/>
              <w:left w:val="nil"/>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0</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6 277 218</w:t>
            </w:r>
          </w:p>
        </w:tc>
        <w:tc>
          <w:tcPr>
            <w:tcW w:w="527"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0</w:t>
            </w:r>
          </w:p>
        </w:tc>
        <w:tc>
          <w:tcPr>
            <w:tcW w:w="524"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0</w:t>
            </w:r>
          </w:p>
        </w:tc>
      </w:tr>
      <w:tr w:rsidR="007D13F3" w:rsidRPr="00B7481D" w:rsidTr="00465CAC">
        <w:trPr>
          <w:trHeight w:val="255"/>
        </w:trPr>
        <w:tc>
          <w:tcPr>
            <w:tcW w:w="1314" w:type="pct"/>
            <w:tcBorders>
              <w:top w:val="single" w:sz="4" w:space="0" w:color="auto"/>
              <w:left w:val="single" w:sz="4" w:space="0" w:color="auto"/>
              <w:bottom w:val="single" w:sz="4" w:space="0" w:color="auto"/>
              <w:right w:val="single" w:sz="4" w:space="0" w:color="auto"/>
            </w:tcBorders>
            <w:noWrap/>
            <w:vAlign w:val="center"/>
          </w:tcPr>
          <w:p w:rsidR="007D13F3" w:rsidRPr="001A4D64" w:rsidRDefault="007D13F3" w:rsidP="00465CAC">
            <w:pPr>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             spolufinancovanie zo ŠR</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973 101</w:t>
            </w:r>
          </w:p>
        </w:tc>
        <w:tc>
          <w:tcPr>
            <w:tcW w:w="527" w:type="pct"/>
            <w:tcBorders>
              <w:top w:val="nil"/>
              <w:left w:val="nil"/>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4 507 540</w:t>
            </w:r>
          </w:p>
        </w:tc>
        <w:tc>
          <w:tcPr>
            <w:tcW w:w="527" w:type="pct"/>
            <w:tcBorders>
              <w:top w:val="nil"/>
              <w:left w:val="nil"/>
              <w:bottom w:val="single" w:sz="4" w:space="0" w:color="auto"/>
              <w:right w:val="single" w:sz="4" w:space="0" w:color="auto"/>
            </w:tcBorders>
            <w:shd w:val="clear" w:color="auto" w:fill="auto"/>
            <w:noWrap/>
            <w:vAlign w:val="bottom"/>
          </w:tcPr>
          <w:p w:rsidR="007D13F3" w:rsidRPr="003959FE" w:rsidRDefault="007D13F3" w:rsidP="00465CAC">
            <w:pPr>
              <w:jc w:val="right"/>
              <w:rPr>
                <w:rFonts w:ascii="Times New Roman" w:hAnsi="Times New Roman" w:cs="Times New Roman"/>
                <w:color w:val="000000"/>
                <w:sz w:val="14"/>
                <w:szCs w:val="14"/>
              </w:rPr>
            </w:pPr>
            <w:r w:rsidRPr="003959FE">
              <w:rPr>
                <w:rFonts w:ascii="Times New Roman" w:hAnsi="Times New Roman" w:cs="Times New Roman"/>
                <w:color w:val="000000"/>
                <w:sz w:val="14"/>
                <w:szCs w:val="14"/>
              </w:rPr>
              <w:t>0</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1 379 074</w:t>
            </w:r>
          </w:p>
        </w:tc>
        <w:tc>
          <w:tcPr>
            <w:tcW w:w="527"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0</w:t>
            </w:r>
          </w:p>
        </w:tc>
        <w:tc>
          <w:tcPr>
            <w:tcW w:w="524" w:type="pct"/>
            <w:tcBorders>
              <w:top w:val="nil"/>
              <w:left w:val="nil"/>
              <w:bottom w:val="single" w:sz="4" w:space="0" w:color="auto"/>
              <w:right w:val="single" w:sz="4" w:space="0" w:color="auto"/>
            </w:tcBorders>
            <w:shd w:val="clear" w:color="auto" w:fill="auto"/>
            <w:noWrap/>
            <w:vAlign w:val="bottom"/>
          </w:tcPr>
          <w:p w:rsidR="007D13F3" w:rsidRPr="008471B9" w:rsidRDefault="007D13F3" w:rsidP="00465CAC">
            <w:pPr>
              <w:jc w:val="right"/>
              <w:rPr>
                <w:rFonts w:ascii="Times New Roman" w:hAnsi="Times New Roman" w:cs="Times New Roman"/>
                <w:color w:val="000000"/>
                <w:sz w:val="14"/>
                <w:szCs w:val="14"/>
              </w:rPr>
            </w:pPr>
            <w:r w:rsidRPr="008471B9">
              <w:rPr>
                <w:rFonts w:ascii="Times New Roman" w:hAnsi="Times New Roman" w:cs="Times New Roman"/>
                <w:color w:val="000000"/>
                <w:sz w:val="14"/>
                <w:szCs w:val="14"/>
              </w:rPr>
              <w:t>0</w:t>
            </w:r>
          </w:p>
        </w:tc>
      </w:tr>
    </w:tbl>
    <w:p w:rsidR="007D13F3" w:rsidRPr="00B7481D" w:rsidRDefault="007D13F3" w:rsidP="007D13F3">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400"/>
        <w:gridCol w:w="930"/>
        <w:gridCol w:w="930"/>
        <w:gridCol w:w="930"/>
        <w:gridCol w:w="1008"/>
        <w:gridCol w:w="1008"/>
        <w:gridCol w:w="930"/>
        <w:gridCol w:w="926"/>
      </w:tblGrid>
      <w:tr w:rsidR="007D13F3" w:rsidRPr="00E06E42" w:rsidTr="00465CAC">
        <w:trPr>
          <w:trHeight w:val="261"/>
        </w:trPr>
        <w:tc>
          <w:tcPr>
            <w:tcW w:w="1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E06E42" w:rsidRDefault="007D13F3" w:rsidP="00465CAC">
            <w:pPr>
              <w:rPr>
                <w:rFonts w:ascii="Times New Roman" w:hAnsi="Times New Roman" w:cs="Times New Roman"/>
                <w:b/>
                <w:bCs/>
                <w:color w:val="000000"/>
                <w:sz w:val="14"/>
                <w:szCs w:val="14"/>
                <w:lang w:eastAsia="sk-SK"/>
              </w:rPr>
            </w:pPr>
            <w:r w:rsidRPr="00E06E42">
              <w:rPr>
                <w:rFonts w:ascii="Times New Roman" w:hAnsi="Times New Roman" w:cs="Times New Roman"/>
                <w:b/>
                <w:bCs/>
                <w:color w:val="000000"/>
                <w:sz w:val="14"/>
                <w:szCs w:val="14"/>
                <w:lang w:eastAsia="sk-SK"/>
              </w:rPr>
              <w:t>Samostatné účty</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191EAF" w:rsidRDefault="007D13F3" w:rsidP="00465CAC">
            <w:pPr>
              <w:jc w:val="right"/>
              <w:rPr>
                <w:rFonts w:ascii="Times New Roman" w:hAnsi="Times New Roman" w:cs="Times New Roman"/>
                <w:b/>
                <w:bCs/>
                <w:color w:val="000000"/>
                <w:sz w:val="14"/>
                <w:szCs w:val="14"/>
                <w:lang w:eastAsia="sk-SK"/>
              </w:rPr>
            </w:pPr>
            <w:r w:rsidRPr="00191EAF">
              <w:rPr>
                <w:rFonts w:ascii="Times New Roman" w:hAnsi="Times New Roman" w:cs="Times New Roman"/>
                <w:b/>
                <w:bCs/>
                <w:color w:val="000000"/>
                <w:sz w:val="14"/>
                <w:szCs w:val="14"/>
              </w:rPr>
              <w:t>40 767 850</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rsidR="007D13F3" w:rsidRPr="00191EAF" w:rsidRDefault="007D13F3" w:rsidP="00465CAC">
            <w:pPr>
              <w:jc w:val="right"/>
              <w:rPr>
                <w:rFonts w:ascii="Times New Roman" w:hAnsi="Times New Roman" w:cs="Times New Roman"/>
                <w:b/>
                <w:bCs/>
                <w:color w:val="000000"/>
                <w:sz w:val="14"/>
                <w:szCs w:val="14"/>
              </w:rPr>
            </w:pPr>
            <w:r w:rsidRPr="00191EAF">
              <w:rPr>
                <w:rFonts w:ascii="Times New Roman" w:hAnsi="Times New Roman" w:cs="Times New Roman"/>
                <w:b/>
                <w:bCs/>
                <w:color w:val="000000"/>
                <w:sz w:val="14"/>
                <w:szCs w:val="14"/>
              </w:rPr>
              <w:t>27 386 826</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rsidR="007D13F3" w:rsidRPr="00191EAF" w:rsidRDefault="007D13F3" w:rsidP="00465CAC">
            <w:pPr>
              <w:jc w:val="right"/>
              <w:rPr>
                <w:rFonts w:ascii="Times New Roman" w:hAnsi="Times New Roman" w:cs="Times New Roman"/>
                <w:b/>
                <w:bCs/>
                <w:color w:val="000000"/>
                <w:sz w:val="14"/>
                <w:szCs w:val="14"/>
              </w:rPr>
            </w:pPr>
            <w:r w:rsidRPr="00191EAF">
              <w:rPr>
                <w:rFonts w:ascii="Times New Roman" w:hAnsi="Times New Roman" w:cs="Times New Roman"/>
                <w:b/>
                <w:bCs/>
                <w:color w:val="000000"/>
                <w:sz w:val="14"/>
                <w:szCs w:val="14"/>
              </w:rPr>
              <w:t>1 566 170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7D13F3" w:rsidRPr="00191EAF" w:rsidRDefault="007D13F3" w:rsidP="00465CAC">
            <w:pPr>
              <w:jc w:val="right"/>
              <w:rPr>
                <w:rFonts w:ascii="Times New Roman" w:hAnsi="Times New Roman" w:cs="Times New Roman"/>
                <w:b/>
                <w:bCs/>
                <w:color w:val="000000"/>
                <w:sz w:val="14"/>
                <w:szCs w:val="14"/>
              </w:rPr>
            </w:pPr>
            <w:r w:rsidRPr="00191EAF">
              <w:rPr>
                <w:rFonts w:ascii="Times New Roman" w:hAnsi="Times New Roman" w:cs="Times New Roman"/>
                <w:b/>
                <w:bCs/>
                <w:color w:val="000000"/>
                <w:sz w:val="14"/>
                <w:szCs w:val="14"/>
              </w:rPr>
              <w:t>1 566 170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7D13F3" w:rsidRPr="00191EAF" w:rsidRDefault="007D13F3" w:rsidP="00465CAC">
            <w:pPr>
              <w:jc w:val="right"/>
              <w:rPr>
                <w:rFonts w:ascii="Times New Roman" w:hAnsi="Times New Roman" w:cs="Times New Roman"/>
                <w:b/>
                <w:bCs/>
                <w:color w:val="000000"/>
                <w:sz w:val="14"/>
                <w:szCs w:val="14"/>
              </w:rPr>
            </w:pPr>
            <w:r w:rsidRPr="00191EAF">
              <w:rPr>
                <w:rFonts w:ascii="Times New Roman" w:hAnsi="Times New Roman" w:cs="Times New Roman"/>
                <w:b/>
                <w:bCs/>
                <w:color w:val="000000"/>
                <w:sz w:val="14"/>
                <w:szCs w:val="14"/>
              </w:rPr>
              <w:t>8 393 961</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rsidR="007D13F3" w:rsidRPr="00191EAF" w:rsidRDefault="007D13F3" w:rsidP="00465CAC">
            <w:pPr>
              <w:jc w:val="right"/>
              <w:rPr>
                <w:rFonts w:ascii="Times New Roman" w:hAnsi="Times New Roman" w:cs="Times New Roman"/>
                <w:b/>
                <w:bCs/>
                <w:color w:val="000000"/>
                <w:sz w:val="14"/>
                <w:szCs w:val="14"/>
              </w:rPr>
            </w:pPr>
            <w:r w:rsidRPr="00191EAF">
              <w:rPr>
                <w:rFonts w:ascii="Times New Roman" w:hAnsi="Times New Roman" w:cs="Times New Roman"/>
                <w:b/>
                <w:bCs/>
                <w:color w:val="000000"/>
                <w:sz w:val="14"/>
                <w:szCs w:val="14"/>
              </w:rPr>
              <w:t>10 940 615</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7D13F3" w:rsidRPr="00191EAF" w:rsidRDefault="007D13F3" w:rsidP="00465CAC">
            <w:pPr>
              <w:jc w:val="right"/>
              <w:rPr>
                <w:rFonts w:ascii="Times New Roman" w:hAnsi="Times New Roman" w:cs="Times New Roman"/>
                <w:b/>
                <w:bCs/>
                <w:color w:val="000000"/>
                <w:sz w:val="14"/>
                <w:szCs w:val="14"/>
              </w:rPr>
            </w:pPr>
            <w:r w:rsidRPr="00191EAF">
              <w:rPr>
                <w:rFonts w:ascii="Times New Roman" w:hAnsi="Times New Roman" w:cs="Times New Roman"/>
                <w:b/>
                <w:bCs/>
                <w:color w:val="000000"/>
                <w:sz w:val="14"/>
                <w:szCs w:val="14"/>
              </w:rPr>
              <w:t>13 487 269</w:t>
            </w:r>
          </w:p>
        </w:tc>
      </w:tr>
    </w:tbl>
    <w:p w:rsidR="007D13F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352DA3">
        <w:rPr>
          <w:rFonts w:ascii="Times New Roman" w:hAnsi="Times New Roman" w:cs="Times New Roman"/>
        </w:rPr>
        <w:t>Kapitola Úrad vlády SR bude mať v roku 201</w:t>
      </w:r>
      <w:r>
        <w:rPr>
          <w:rFonts w:ascii="Times New Roman" w:hAnsi="Times New Roman" w:cs="Times New Roman"/>
        </w:rPr>
        <w:t>8</w:t>
      </w:r>
      <w:r w:rsidRPr="00352DA3">
        <w:rPr>
          <w:rFonts w:ascii="Times New Roman" w:hAnsi="Times New Roman" w:cs="Times New Roman"/>
        </w:rPr>
        <w:t xml:space="preserve"> k dispozícii celkové výdavky vo výške </w:t>
      </w:r>
      <w:r>
        <w:rPr>
          <w:rFonts w:ascii="Times New Roman" w:hAnsi="Times New Roman" w:cs="Times New Roman"/>
        </w:rPr>
        <w:t>31,2</w:t>
      </w:r>
      <w:r w:rsidRPr="00352DA3">
        <w:rPr>
          <w:rFonts w:ascii="Times New Roman" w:hAnsi="Times New Roman" w:cs="Times New Roman"/>
        </w:rPr>
        <w:t xml:space="preserve"> mil. eur, v tom rozpočtové prostriedky v sume 2</w:t>
      </w:r>
      <w:r>
        <w:rPr>
          <w:rFonts w:ascii="Times New Roman" w:hAnsi="Times New Roman" w:cs="Times New Roman"/>
        </w:rPr>
        <w:t>2</w:t>
      </w:r>
      <w:r w:rsidRPr="00352DA3">
        <w:rPr>
          <w:rFonts w:ascii="Times New Roman" w:hAnsi="Times New Roman" w:cs="Times New Roman"/>
        </w:rPr>
        <w:t>,</w:t>
      </w:r>
      <w:r>
        <w:rPr>
          <w:rFonts w:ascii="Times New Roman" w:hAnsi="Times New Roman" w:cs="Times New Roman"/>
        </w:rPr>
        <w:t>7</w:t>
      </w:r>
      <w:r w:rsidRPr="00352DA3">
        <w:rPr>
          <w:rFonts w:ascii="Times New Roman" w:hAnsi="Times New Roman" w:cs="Times New Roman"/>
        </w:rPr>
        <w:t xml:space="preserve"> mil. eur a výdavky EÚ a spolufinancovania zo štátneho rozpočtu vo výške </w:t>
      </w:r>
      <w:r>
        <w:rPr>
          <w:rFonts w:ascii="Times New Roman" w:hAnsi="Times New Roman" w:cs="Times New Roman"/>
        </w:rPr>
        <w:t>8,56</w:t>
      </w:r>
      <w:r w:rsidRPr="00352DA3">
        <w:rPr>
          <w:rFonts w:ascii="Times New Roman" w:hAnsi="Times New Roman" w:cs="Times New Roman"/>
        </w:rPr>
        <w:t xml:space="preserve"> mil. eur. </w:t>
      </w:r>
    </w:p>
    <w:p w:rsidR="007D13F3" w:rsidRPr="00352DA3" w:rsidRDefault="007D13F3" w:rsidP="007D13F3">
      <w:pPr>
        <w:ind w:firstLine="708"/>
        <w:jc w:val="both"/>
        <w:rPr>
          <w:rFonts w:ascii="Times New Roman" w:hAnsi="Times New Roman" w:cs="Times New Roman"/>
        </w:rPr>
      </w:pPr>
    </w:p>
    <w:p w:rsidR="007D13F3" w:rsidRPr="00352DA3" w:rsidRDefault="007D13F3" w:rsidP="007D13F3">
      <w:pPr>
        <w:ind w:firstLine="708"/>
        <w:jc w:val="both"/>
        <w:rPr>
          <w:rFonts w:ascii="Times New Roman" w:hAnsi="Times New Roman" w:cs="Times New Roman"/>
        </w:rPr>
      </w:pPr>
      <w:r w:rsidRPr="00352DA3">
        <w:rPr>
          <w:rFonts w:ascii="Times New Roman" w:hAnsi="Times New Roman" w:cs="Times New Roman"/>
        </w:rPr>
        <w:t>Objem osobných výdavkov sa na rok 201</w:t>
      </w:r>
      <w:r>
        <w:rPr>
          <w:rFonts w:ascii="Times New Roman" w:hAnsi="Times New Roman" w:cs="Times New Roman"/>
        </w:rPr>
        <w:t>8</w:t>
      </w:r>
      <w:r w:rsidRPr="00352DA3">
        <w:rPr>
          <w:rFonts w:ascii="Times New Roman" w:hAnsi="Times New Roman" w:cs="Times New Roman"/>
        </w:rPr>
        <w:t xml:space="preserve"> rozpočtuje na úrovni </w:t>
      </w:r>
      <w:r>
        <w:rPr>
          <w:rFonts w:ascii="Times New Roman" w:hAnsi="Times New Roman" w:cs="Times New Roman"/>
        </w:rPr>
        <w:t>8</w:t>
      </w:r>
      <w:r w:rsidRPr="00352DA3">
        <w:rPr>
          <w:rFonts w:ascii="Times New Roman" w:hAnsi="Times New Roman" w:cs="Times New Roman"/>
        </w:rPr>
        <w:t>,</w:t>
      </w:r>
      <w:r>
        <w:rPr>
          <w:rFonts w:ascii="Times New Roman" w:hAnsi="Times New Roman" w:cs="Times New Roman"/>
        </w:rPr>
        <w:t>92</w:t>
      </w:r>
      <w:r w:rsidRPr="00352DA3">
        <w:rPr>
          <w:rFonts w:ascii="Times New Roman" w:hAnsi="Times New Roman" w:cs="Times New Roman"/>
        </w:rPr>
        <w:t xml:space="preserve"> mil. eur, čo v porovnaní so schváleným rozpočtom roku 201</w:t>
      </w:r>
      <w:r>
        <w:rPr>
          <w:rFonts w:ascii="Times New Roman" w:hAnsi="Times New Roman" w:cs="Times New Roman"/>
        </w:rPr>
        <w:t>7</w:t>
      </w:r>
      <w:r w:rsidRPr="00352DA3">
        <w:rPr>
          <w:rFonts w:ascii="Times New Roman" w:hAnsi="Times New Roman" w:cs="Times New Roman"/>
        </w:rPr>
        <w:t xml:space="preserve"> predstavuje zvýšenie o</w:t>
      </w:r>
      <w:r>
        <w:rPr>
          <w:rFonts w:ascii="Times New Roman" w:hAnsi="Times New Roman" w:cs="Times New Roman"/>
        </w:rPr>
        <w:t> 1,60 mil</w:t>
      </w:r>
      <w:r w:rsidRPr="00352DA3">
        <w:rPr>
          <w:rFonts w:ascii="Times New Roman" w:hAnsi="Times New Roman" w:cs="Times New Roman"/>
        </w:rPr>
        <w:t xml:space="preserve">. eur, t. j. </w:t>
      </w:r>
      <w:r>
        <w:rPr>
          <w:rFonts w:ascii="Times New Roman" w:hAnsi="Times New Roman" w:cs="Times New Roman"/>
        </w:rPr>
        <w:br/>
      </w:r>
      <w:r w:rsidRPr="00352DA3">
        <w:rPr>
          <w:rFonts w:ascii="Times New Roman" w:hAnsi="Times New Roman" w:cs="Times New Roman"/>
        </w:rPr>
        <w:t>o </w:t>
      </w:r>
      <w:r>
        <w:rPr>
          <w:rFonts w:ascii="Times New Roman" w:hAnsi="Times New Roman" w:cs="Times New Roman"/>
        </w:rPr>
        <w:t>21</w:t>
      </w:r>
      <w:r w:rsidRPr="00352DA3">
        <w:rPr>
          <w:rFonts w:ascii="Times New Roman" w:hAnsi="Times New Roman" w:cs="Times New Roman"/>
        </w:rPr>
        <w:t>,</w:t>
      </w:r>
      <w:r>
        <w:rPr>
          <w:rFonts w:ascii="Times New Roman" w:hAnsi="Times New Roman" w:cs="Times New Roman"/>
        </w:rPr>
        <w:t>8</w:t>
      </w:r>
      <w:r w:rsidRPr="00352DA3">
        <w:rPr>
          <w:rFonts w:ascii="Times New Roman" w:hAnsi="Times New Roman" w:cs="Times New Roman"/>
        </w:rPr>
        <w:t xml:space="preserve"> %. Nárast je spôsobený premietnutím valorizácie platov z roku 201</w:t>
      </w:r>
      <w:r>
        <w:rPr>
          <w:rFonts w:ascii="Times New Roman" w:hAnsi="Times New Roman" w:cs="Times New Roman"/>
        </w:rPr>
        <w:t>7</w:t>
      </w:r>
      <w:r w:rsidRPr="00352DA3">
        <w:rPr>
          <w:rFonts w:ascii="Times New Roman" w:hAnsi="Times New Roman" w:cs="Times New Roman"/>
        </w:rPr>
        <w:t xml:space="preserve"> do nasledujúcich rokov</w:t>
      </w:r>
      <w:r>
        <w:rPr>
          <w:rFonts w:ascii="Times New Roman" w:hAnsi="Times New Roman" w:cs="Times New Roman"/>
        </w:rPr>
        <w:t xml:space="preserve"> a delimitovaním prostriedkov agendy regionálneho rozvoja z kapitoly Ministerstva dopravy a výstavby SR</w:t>
      </w:r>
      <w:r w:rsidRPr="00352DA3">
        <w:rPr>
          <w:rFonts w:ascii="Times New Roman" w:hAnsi="Times New Roman" w:cs="Times New Roman"/>
        </w:rPr>
        <w:t>.</w:t>
      </w:r>
    </w:p>
    <w:p w:rsidR="007D13F3" w:rsidRPr="00352DA3" w:rsidRDefault="007D13F3" w:rsidP="007D13F3">
      <w:pPr>
        <w:ind w:firstLine="708"/>
        <w:jc w:val="both"/>
        <w:rPr>
          <w:rFonts w:ascii="Times New Roman" w:hAnsi="Times New Roman" w:cs="Times New Roman"/>
        </w:rPr>
      </w:pPr>
    </w:p>
    <w:p w:rsidR="007D13F3" w:rsidRPr="00352DA3" w:rsidRDefault="007D13F3" w:rsidP="007D13F3">
      <w:pPr>
        <w:ind w:firstLine="708"/>
        <w:jc w:val="both"/>
        <w:rPr>
          <w:rFonts w:ascii="Times New Roman" w:hAnsi="Times New Roman" w:cs="Times New Roman"/>
        </w:rPr>
      </w:pPr>
      <w:r w:rsidRPr="00352DA3">
        <w:rPr>
          <w:rFonts w:ascii="Times New Roman" w:hAnsi="Times New Roman" w:cs="Times New Roman"/>
        </w:rPr>
        <w:t>Vo výdavkoch na tovary a služby na rok 201</w:t>
      </w:r>
      <w:r>
        <w:rPr>
          <w:rFonts w:ascii="Times New Roman" w:hAnsi="Times New Roman" w:cs="Times New Roman"/>
        </w:rPr>
        <w:t>8</w:t>
      </w:r>
      <w:r w:rsidRPr="00352DA3">
        <w:rPr>
          <w:rFonts w:ascii="Times New Roman" w:hAnsi="Times New Roman" w:cs="Times New Roman"/>
        </w:rPr>
        <w:t xml:space="preserve"> v sume </w:t>
      </w:r>
      <w:r>
        <w:rPr>
          <w:rFonts w:ascii="Times New Roman" w:hAnsi="Times New Roman" w:cs="Times New Roman"/>
        </w:rPr>
        <w:t>5,58</w:t>
      </w:r>
      <w:r w:rsidRPr="00352DA3">
        <w:rPr>
          <w:rFonts w:ascii="Times New Roman" w:hAnsi="Times New Roman" w:cs="Times New Roman"/>
        </w:rPr>
        <w:t xml:space="preserve"> mil. eur je </w:t>
      </w:r>
      <w:r>
        <w:rPr>
          <w:rFonts w:ascii="Times New Roman" w:hAnsi="Times New Roman" w:cs="Times New Roman"/>
        </w:rPr>
        <w:t xml:space="preserve">nárast </w:t>
      </w:r>
      <w:r w:rsidRPr="00352DA3">
        <w:rPr>
          <w:rFonts w:ascii="Times New Roman" w:hAnsi="Times New Roman" w:cs="Times New Roman"/>
        </w:rPr>
        <w:t>oproti schválenému rozpočtu roku 201</w:t>
      </w:r>
      <w:r>
        <w:rPr>
          <w:rFonts w:ascii="Times New Roman" w:hAnsi="Times New Roman" w:cs="Times New Roman"/>
        </w:rPr>
        <w:t>7</w:t>
      </w:r>
      <w:r w:rsidRPr="00352DA3">
        <w:rPr>
          <w:rFonts w:ascii="Times New Roman" w:hAnsi="Times New Roman" w:cs="Times New Roman"/>
        </w:rPr>
        <w:t xml:space="preserve"> o </w:t>
      </w:r>
      <w:r>
        <w:rPr>
          <w:rFonts w:ascii="Times New Roman" w:hAnsi="Times New Roman" w:cs="Times New Roman"/>
        </w:rPr>
        <w:t>509</w:t>
      </w:r>
      <w:r w:rsidRPr="00352DA3">
        <w:rPr>
          <w:rFonts w:ascii="Times New Roman" w:hAnsi="Times New Roman" w:cs="Times New Roman"/>
        </w:rPr>
        <w:t xml:space="preserve"> tis. eur, t. j. o</w:t>
      </w:r>
      <w:r>
        <w:rPr>
          <w:rFonts w:ascii="Times New Roman" w:hAnsi="Times New Roman" w:cs="Times New Roman"/>
        </w:rPr>
        <w:t> 10,1</w:t>
      </w:r>
      <w:r w:rsidRPr="00352DA3">
        <w:rPr>
          <w:rFonts w:ascii="Times New Roman" w:hAnsi="Times New Roman" w:cs="Times New Roman"/>
        </w:rPr>
        <w:t xml:space="preserve"> %, najmä z dôvodu delimitácie prostriedkov </w:t>
      </w:r>
      <w:r>
        <w:rPr>
          <w:rFonts w:ascii="Times New Roman" w:hAnsi="Times New Roman" w:cs="Times New Roman"/>
        </w:rPr>
        <w:t>regionálneho rozvoja a prijatia novely zákona č. 336/2015 Z. z. o podpore najmenej rozvinutých okresov</w:t>
      </w:r>
      <w:r w:rsidRPr="00352DA3">
        <w:rPr>
          <w:rFonts w:ascii="Times New Roman" w:hAnsi="Times New Roman" w:cs="Times New Roman"/>
        </w:rPr>
        <w:t xml:space="preserve">.  </w:t>
      </w:r>
    </w:p>
    <w:p w:rsidR="007D13F3" w:rsidRPr="00352DA3" w:rsidRDefault="007D13F3" w:rsidP="007D13F3">
      <w:pPr>
        <w:ind w:firstLine="708"/>
        <w:jc w:val="both"/>
        <w:rPr>
          <w:rFonts w:ascii="Times New Roman" w:hAnsi="Times New Roman" w:cs="Times New Roman"/>
        </w:rPr>
      </w:pPr>
    </w:p>
    <w:p w:rsidR="007D13F3" w:rsidRPr="00352DA3" w:rsidRDefault="007D13F3" w:rsidP="007D13F3">
      <w:pPr>
        <w:ind w:firstLine="708"/>
        <w:jc w:val="both"/>
        <w:rPr>
          <w:rFonts w:ascii="Times New Roman" w:hAnsi="Times New Roman" w:cs="Times New Roman"/>
        </w:rPr>
      </w:pPr>
      <w:r w:rsidRPr="00352DA3">
        <w:rPr>
          <w:rFonts w:ascii="Times New Roman" w:hAnsi="Times New Roman" w:cs="Times New Roman"/>
        </w:rPr>
        <w:t>Bežné transfery na rok 201</w:t>
      </w:r>
      <w:r>
        <w:rPr>
          <w:rFonts w:ascii="Times New Roman" w:hAnsi="Times New Roman" w:cs="Times New Roman"/>
        </w:rPr>
        <w:t>8 rozpočtované v sume 7</w:t>
      </w:r>
      <w:r w:rsidRPr="00352DA3">
        <w:rPr>
          <w:rFonts w:ascii="Times New Roman" w:hAnsi="Times New Roman" w:cs="Times New Roman"/>
        </w:rPr>
        <w:t>,</w:t>
      </w:r>
      <w:r>
        <w:rPr>
          <w:rFonts w:ascii="Times New Roman" w:hAnsi="Times New Roman" w:cs="Times New Roman"/>
        </w:rPr>
        <w:t>14</w:t>
      </w:r>
      <w:r w:rsidRPr="00352DA3">
        <w:rPr>
          <w:rFonts w:ascii="Times New Roman" w:hAnsi="Times New Roman" w:cs="Times New Roman"/>
        </w:rPr>
        <w:t xml:space="preserve"> mil. eur </w:t>
      </w:r>
      <w:r>
        <w:rPr>
          <w:rFonts w:ascii="Times New Roman" w:hAnsi="Times New Roman" w:cs="Times New Roman"/>
        </w:rPr>
        <w:t xml:space="preserve">medziročne celkovo klesajú </w:t>
      </w:r>
      <w:r w:rsidRPr="00700A5C">
        <w:rPr>
          <w:rFonts w:ascii="Times New Roman" w:hAnsi="Times New Roman" w:cs="Times New Roman"/>
        </w:rPr>
        <w:t>o</w:t>
      </w:r>
      <w:r>
        <w:rPr>
          <w:rFonts w:ascii="Times New Roman" w:hAnsi="Times New Roman" w:cs="Times New Roman"/>
        </w:rPr>
        <w:t> 3,53 mil. eur</w:t>
      </w:r>
      <w:r w:rsidRPr="00700A5C">
        <w:rPr>
          <w:rFonts w:ascii="Times New Roman" w:hAnsi="Times New Roman" w:cs="Times New Roman"/>
        </w:rPr>
        <w:t xml:space="preserve"> (</w:t>
      </w:r>
      <w:r>
        <w:rPr>
          <w:rFonts w:ascii="Times New Roman" w:hAnsi="Times New Roman" w:cs="Times New Roman"/>
        </w:rPr>
        <w:t>33,1</w:t>
      </w:r>
      <w:r w:rsidRPr="00700A5C">
        <w:rPr>
          <w:rFonts w:ascii="Times New Roman" w:hAnsi="Times New Roman" w:cs="Times New Roman"/>
        </w:rPr>
        <w:t xml:space="preserve"> %)</w:t>
      </w:r>
      <w:r>
        <w:rPr>
          <w:rFonts w:ascii="Times New Roman" w:hAnsi="Times New Roman" w:cs="Times New Roman"/>
        </w:rPr>
        <w:t xml:space="preserve"> v dôsledku</w:t>
      </w:r>
      <w:r w:rsidRPr="00700A5C">
        <w:rPr>
          <w:rFonts w:ascii="Times New Roman" w:hAnsi="Times New Roman" w:cs="Times New Roman"/>
        </w:rPr>
        <w:t xml:space="preserve"> </w:t>
      </w:r>
      <w:r>
        <w:rPr>
          <w:rFonts w:ascii="Times New Roman" w:hAnsi="Times New Roman" w:cs="Times New Roman"/>
        </w:rPr>
        <w:t xml:space="preserve">presunu dotácií na menšinovú kultúru a presunu príspevkovej organizácie </w:t>
      </w:r>
      <w:proofErr w:type="spellStart"/>
      <w:r>
        <w:rPr>
          <w:rFonts w:ascii="Times New Roman" w:hAnsi="Times New Roman" w:cs="Times New Roman"/>
        </w:rPr>
        <w:t>Ifjú</w:t>
      </w:r>
      <w:proofErr w:type="spellEnd"/>
      <w:r>
        <w:rPr>
          <w:rFonts w:ascii="Times New Roman" w:hAnsi="Times New Roman" w:cs="Times New Roman"/>
        </w:rPr>
        <w:t xml:space="preserve"> </w:t>
      </w:r>
      <w:proofErr w:type="spellStart"/>
      <w:r>
        <w:rPr>
          <w:rFonts w:ascii="Times New Roman" w:hAnsi="Times New Roman" w:cs="Times New Roman"/>
        </w:rPr>
        <w:t>Szivek</w:t>
      </w:r>
      <w:proofErr w:type="spellEnd"/>
      <w:r>
        <w:rPr>
          <w:rFonts w:ascii="Times New Roman" w:hAnsi="Times New Roman" w:cs="Times New Roman"/>
        </w:rPr>
        <w:t xml:space="preserve"> do pôsobnosti kapitoly Ministerstva kultúry SR, zároveň boli bežné transfery zvýšené o prostriedky regionálneho rozvoja z Ministerstva dopravy a výstavby SR</w:t>
      </w:r>
      <w:r w:rsidRPr="00352DA3">
        <w:rPr>
          <w:rFonts w:ascii="Times New Roman" w:hAnsi="Times New Roman" w:cs="Times New Roman"/>
        </w:rPr>
        <w:t xml:space="preserve">. </w:t>
      </w:r>
      <w:r w:rsidR="00DC71B7">
        <w:rPr>
          <w:rFonts w:ascii="Times New Roman" w:hAnsi="Times New Roman" w:cs="Times New Roman"/>
        </w:rPr>
        <w:t>V kapitole Všeobecná pokladničná správa v ostatných rezervách sa rozpočtuje 6,1 mil. eur na rok 2018 pre príspevkovú organizáciu NASES.</w:t>
      </w:r>
    </w:p>
    <w:p w:rsidR="007D13F3" w:rsidRPr="00352DA3" w:rsidRDefault="007D13F3" w:rsidP="007D13F3">
      <w:pPr>
        <w:ind w:firstLine="708"/>
        <w:jc w:val="both"/>
        <w:rPr>
          <w:rFonts w:ascii="Times New Roman" w:hAnsi="Times New Roman" w:cs="Times New Roman"/>
        </w:rPr>
      </w:pPr>
    </w:p>
    <w:p w:rsidR="007D13F3" w:rsidRPr="00E06E42" w:rsidRDefault="007D13F3" w:rsidP="007D13F3">
      <w:pPr>
        <w:ind w:firstLine="708"/>
        <w:jc w:val="both"/>
        <w:rPr>
          <w:rFonts w:ascii="Times New Roman" w:hAnsi="Times New Roman" w:cs="Times New Roman"/>
        </w:rPr>
      </w:pPr>
      <w:r w:rsidRPr="00352DA3">
        <w:rPr>
          <w:rFonts w:ascii="Times New Roman" w:hAnsi="Times New Roman" w:cs="Times New Roman"/>
        </w:rPr>
        <w:t>Kapitálové výdavky sú na rok 201</w:t>
      </w:r>
      <w:r>
        <w:rPr>
          <w:rFonts w:ascii="Times New Roman" w:hAnsi="Times New Roman" w:cs="Times New Roman"/>
        </w:rPr>
        <w:t>8</w:t>
      </w:r>
      <w:r w:rsidRPr="00352DA3">
        <w:rPr>
          <w:rFonts w:ascii="Times New Roman" w:hAnsi="Times New Roman" w:cs="Times New Roman"/>
        </w:rPr>
        <w:t xml:space="preserve"> rozpočtované na úrovni </w:t>
      </w:r>
      <w:r>
        <w:rPr>
          <w:rFonts w:ascii="Times New Roman" w:hAnsi="Times New Roman" w:cs="Times New Roman"/>
        </w:rPr>
        <w:t>1,06</w:t>
      </w:r>
      <w:r w:rsidRPr="00352DA3">
        <w:rPr>
          <w:rFonts w:ascii="Times New Roman" w:hAnsi="Times New Roman" w:cs="Times New Roman"/>
        </w:rPr>
        <w:t xml:space="preserve"> mil. eur</w:t>
      </w:r>
      <w:r>
        <w:rPr>
          <w:rFonts w:ascii="Times New Roman" w:hAnsi="Times New Roman" w:cs="Times New Roman"/>
        </w:rPr>
        <w:t xml:space="preserve"> a </w:t>
      </w:r>
      <w:r w:rsidRPr="00352DA3">
        <w:rPr>
          <w:rFonts w:ascii="Times New Roman" w:hAnsi="Times New Roman" w:cs="Times New Roman"/>
        </w:rPr>
        <w:t xml:space="preserve">medziročne </w:t>
      </w:r>
      <w:r>
        <w:rPr>
          <w:rFonts w:ascii="Times New Roman" w:hAnsi="Times New Roman" w:cs="Times New Roman"/>
        </w:rPr>
        <w:t xml:space="preserve">klesajú </w:t>
      </w:r>
      <w:r w:rsidRPr="003377DC">
        <w:rPr>
          <w:rFonts w:ascii="Times New Roman" w:hAnsi="Times New Roman" w:cs="Times New Roman"/>
        </w:rPr>
        <w:t>o 2,72 mil. eur</w:t>
      </w:r>
      <w:r>
        <w:rPr>
          <w:rFonts w:ascii="Times New Roman" w:hAnsi="Times New Roman" w:cs="Times New Roman"/>
        </w:rPr>
        <w:t>.</w:t>
      </w:r>
      <w:r w:rsidRPr="003377DC">
        <w:rPr>
          <w:rFonts w:ascii="Times New Roman" w:hAnsi="Times New Roman" w:cs="Times New Roman"/>
        </w:rPr>
        <w:t xml:space="preserve"> </w:t>
      </w:r>
      <w:r w:rsidRPr="00352DA3">
        <w:rPr>
          <w:rFonts w:ascii="Times New Roman" w:hAnsi="Times New Roman" w:cs="Times New Roman"/>
        </w:rPr>
        <w:t xml:space="preserve">Rozpísané kapitálové výdavky kapitola použije na rekonštrukcie </w:t>
      </w:r>
      <w:r w:rsidRPr="00E06E42">
        <w:rPr>
          <w:rFonts w:ascii="Times New Roman" w:hAnsi="Times New Roman" w:cs="Times New Roman"/>
        </w:rPr>
        <w:t xml:space="preserve">a modernizácie objektov, obstaranie strojov, prístrojov a zariadení a na obstaranie výpočtovej techniky. </w:t>
      </w:r>
    </w:p>
    <w:p w:rsidR="007D13F3" w:rsidRPr="00E06E42" w:rsidRDefault="007D13F3" w:rsidP="007D13F3">
      <w:pPr>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E06E42">
        <w:rPr>
          <w:rFonts w:ascii="Times New Roman" w:hAnsi="Times New Roman" w:cs="Times New Roman"/>
        </w:rPr>
        <w:lastRenderedPageBreak/>
        <w:t xml:space="preserve">Kapitola </w:t>
      </w:r>
      <w:r>
        <w:rPr>
          <w:rFonts w:ascii="Times New Roman" w:hAnsi="Times New Roman" w:cs="Times New Roman"/>
        </w:rPr>
        <w:t>na rok 2018 rozpočtuje výdavky na samostatných účtoch v </w:t>
      </w:r>
      <w:r w:rsidRPr="00191EAF">
        <w:rPr>
          <w:rFonts w:ascii="Times New Roman" w:hAnsi="Times New Roman" w:cs="Times New Roman"/>
        </w:rPr>
        <w:t xml:space="preserve">celkovej sume </w:t>
      </w:r>
      <w:r w:rsidR="000736F2">
        <w:rPr>
          <w:rFonts w:ascii="Times New Roman" w:hAnsi="Times New Roman" w:cs="Times New Roman"/>
        </w:rPr>
        <w:br/>
      </w:r>
      <w:r>
        <w:rPr>
          <w:rFonts w:ascii="Times New Roman" w:hAnsi="Times New Roman" w:cs="Times New Roman"/>
        </w:rPr>
        <w:t>8,39 mil. eur. Uvedené prostriedky sú určené na financovanie grantov Finančného mechanizmu EHP a Nórskeho finančného mechanizmu.</w:t>
      </w:r>
    </w:p>
    <w:p w:rsidR="000E76EC" w:rsidRPr="00E06E42" w:rsidRDefault="000E76EC" w:rsidP="007D13F3">
      <w:pPr>
        <w:ind w:firstLine="708"/>
        <w:jc w:val="both"/>
        <w:rPr>
          <w:rFonts w:ascii="Times New Roman" w:hAnsi="Times New Roman" w:cs="Times New Roman"/>
        </w:rPr>
      </w:pPr>
    </w:p>
    <w:p w:rsidR="007D13F3" w:rsidRDefault="007D13F3" w:rsidP="007D13F3">
      <w:pPr>
        <w:pStyle w:val="Nadpis5"/>
        <w:pBdr>
          <w:bottom w:val="single" w:sz="4" w:space="1" w:color="auto"/>
        </w:pBdr>
        <w:spacing w:before="0" w:after="0"/>
        <w:ind w:left="0"/>
        <w:rPr>
          <w:i w:val="0"/>
          <w:sz w:val="24"/>
        </w:rPr>
      </w:pPr>
      <w:bookmarkStart w:id="157" w:name="_Toc494470106"/>
      <w:bookmarkStart w:id="158" w:name="_Toc494472282"/>
      <w:r>
        <w:rPr>
          <w:i w:val="0"/>
          <w:sz w:val="24"/>
        </w:rPr>
        <w:t>Úrad podpredsedu vlády SR pre investície a informatizáciu</w:t>
      </w:r>
      <w:bookmarkEnd w:id="157"/>
      <w:bookmarkEnd w:id="158"/>
    </w:p>
    <w:p w:rsidR="007D13F3" w:rsidRDefault="007D13F3" w:rsidP="007D13F3"/>
    <w:tbl>
      <w:tblPr>
        <w:tblW w:w="5000" w:type="pct"/>
        <w:tblCellMar>
          <w:left w:w="70" w:type="dxa"/>
          <w:right w:w="70" w:type="dxa"/>
        </w:tblCellMar>
        <w:tblLook w:val="04A0" w:firstRow="1" w:lastRow="0" w:firstColumn="1" w:lastColumn="0" w:noHBand="0" w:noVBand="1"/>
      </w:tblPr>
      <w:tblGrid>
        <w:gridCol w:w="2754"/>
        <w:gridCol w:w="883"/>
        <w:gridCol w:w="883"/>
        <w:gridCol w:w="883"/>
        <w:gridCol w:w="883"/>
        <w:gridCol w:w="926"/>
        <w:gridCol w:w="926"/>
        <w:gridCol w:w="924"/>
      </w:tblGrid>
      <w:tr w:rsidR="007D13F3" w:rsidRPr="00951C93" w:rsidTr="00465CAC">
        <w:trPr>
          <w:trHeight w:val="255"/>
        </w:trPr>
        <w:tc>
          <w:tcPr>
            <w:tcW w:w="1520"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D13F3" w:rsidRPr="00951C93" w:rsidRDefault="007D13F3" w:rsidP="00465CAC">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 v eurách</w:t>
            </w:r>
          </w:p>
        </w:tc>
        <w:tc>
          <w:tcPr>
            <w:tcW w:w="48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2019B6" w:rsidRDefault="007D13F3" w:rsidP="00465CAC">
            <w:pPr>
              <w:jc w:val="center"/>
              <w:rPr>
                <w:rFonts w:ascii="Times New Roman" w:hAnsi="Times New Roman" w:cs="Times New Roman"/>
                <w:b/>
                <w:bCs/>
                <w:color w:val="000000"/>
                <w:sz w:val="14"/>
                <w:szCs w:val="14"/>
                <w:lang w:eastAsia="sk-SK"/>
              </w:rPr>
            </w:pPr>
            <w:r w:rsidRPr="002019B6">
              <w:rPr>
                <w:rFonts w:ascii="Times New Roman" w:hAnsi="Times New Roman" w:cs="Times New Roman"/>
                <w:b/>
                <w:bCs/>
                <w:color w:val="000000"/>
                <w:sz w:val="14"/>
                <w:szCs w:val="14"/>
              </w:rPr>
              <w:t>2015 S</w:t>
            </w:r>
          </w:p>
        </w:tc>
        <w:tc>
          <w:tcPr>
            <w:tcW w:w="487"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2019B6" w:rsidRDefault="007D13F3" w:rsidP="00465CAC">
            <w:pPr>
              <w:jc w:val="center"/>
              <w:rPr>
                <w:rFonts w:ascii="Times New Roman" w:hAnsi="Times New Roman" w:cs="Times New Roman"/>
                <w:b/>
                <w:bCs/>
                <w:color w:val="000000"/>
                <w:sz w:val="14"/>
                <w:szCs w:val="14"/>
              </w:rPr>
            </w:pPr>
            <w:r w:rsidRPr="002019B6">
              <w:rPr>
                <w:rFonts w:ascii="Times New Roman" w:hAnsi="Times New Roman" w:cs="Times New Roman"/>
                <w:b/>
                <w:bCs/>
                <w:color w:val="000000"/>
                <w:sz w:val="14"/>
                <w:szCs w:val="14"/>
              </w:rPr>
              <w:t>2016 S</w:t>
            </w:r>
          </w:p>
        </w:tc>
        <w:tc>
          <w:tcPr>
            <w:tcW w:w="487"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2019B6" w:rsidRDefault="007D13F3" w:rsidP="00465CAC">
            <w:pPr>
              <w:jc w:val="center"/>
              <w:rPr>
                <w:rFonts w:ascii="Times New Roman" w:hAnsi="Times New Roman" w:cs="Times New Roman"/>
                <w:b/>
                <w:bCs/>
                <w:color w:val="000000"/>
                <w:sz w:val="14"/>
                <w:szCs w:val="14"/>
              </w:rPr>
            </w:pPr>
            <w:r w:rsidRPr="002019B6">
              <w:rPr>
                <w:rFonts w:ascii="Times New Roman" w:hAnsi="Times New Roman" w:cs="Times New Roman"/>
                <w:b/>
                <w:bCs/>
                <w:color w:val="000000"/>
                <w:sz w:val="14"/>
                <w:szCs w:val="14"/>
              </w:rPr>
              <w:t>2017 R</w:t>
            </w:r>
          </w:p>
        </w:tc>
        <w:tc>
          <w:tcPr>
            <w:tcW w:w="487"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2019B6" w:rsidRDefault="007D13F3" w:rsidP="00465CAC">
            <w:pPr>
              <w:jc w:val="center"/>
              <w:rPr>
                <w:rFonts w:ascii="Times New Roman" w:hAnsi="Times New Roman" w:cs="Times New Roman"/>
                <w:b/>
                <w:bCs/>
                <w:color w:val="000000"/>
                <w:sz w:val="14"/>
                <w:szCs w:val="14"/>
              </w:rPr>
            </w:pPr>
            <w:r w:rsidRPr="002019B6">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511"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2019B6" w:rsidRDefault="007D13F3" w:rsidP="00465CAC">
            <w:pPr>
              <w:jc w:val="center"/>
              <w:rPr>
                <w:rFonts w:ascii="Times New Roman" w:hAnsi="Times New Roman" w:cs="Times New Roman"/>
                <w:b/>
                <w:bCs/>
                <w:color w:val="000000"/>
                <w:sz w:val="14"/>
                <w:szCs w:val="14"/>
              </w:rPr>
            </w:pPr>
            <w:r w:rsidRPr="002019B6">
              <w:rPr>
                <w:rFonts w:ascii="Times New Roman" w:hAnsi="Times New Roman" w:cs="Times New Roman"/>
                <w:b/>
                <w:bCs/>
                <w:color w:val="000000"/>
                <w:sz w:val="14"/>
                <w:szCs w:val="14"/>
              </w:rPr>
              <w:t>2018 N</w:t>
            </w:r>
          </w:p>
        </w:tc>
        <w:tc>
          <w:tcPr>
            <w:tcW w:w="511"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2019B6" w:rsidRDefault="007D13F3" w:rsidP="00465CAC">
            <w:pPr>
              <w:jc w:val="center"/>
              <w:rPr>
                <w:rFonts w:ascii="Times New Roman" w:hAnsi="Times New Roman" w:cs="Times New Roman"/>
                <w:b/>
                <w:bCs/>
                <w:color w:val="000000"/>
                <w:sz w:val="14"/>
                <w:szCs w:val="14"/>
              </w:rPr>
            </w:pPr>
            <w:r w:rsidRPr="002019B6">
              <w:rPr>
                <w:rFonts w:ascii="Times New Roman" w:hAnsi="Times New Roman" w:cs="Times New Roman"/>
                <w:b/>
                <w:bCs/>
                <w:color w:val="000000"/>
                <w:sz w:val="14"/>
                <w:szCs w:val="14"/>
              </w:rPr>
              <w:t>2019 N</w:t>
            </w:r>
          </w:p>
        </w:tc>
        <w:tc>
          <w:tcPr>
            <w:tcW w:w="510"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2019B6" w:rsidRDefault="007D13F3" w:rsidP="00465CAC">
            <w:pPr>
              <w:jc w:val="center"/>
              <w:rPr>
                <w:rFonts w:ascii="Times New Roman" w:hAnsi="Times New Roman" w:cs="Times New Roman"/>
                <w:b/>
                <w:bCs/>
                <w:color w:val="000000"/>
                <w:sz w:val="14"/>
                <w:szCs w:val="14"/>
              </w:rPr>
            </w:pPr>
            <w:r w:rsidRPr="002019B6">
              <w:rPr>
                <w:rFonts w:ascii="Times New Roman" w:hAnsi="Times New Roman" w:cs="Times New Roman"/>
                <w:b/>
                <w:bCs/>
                <w:color w:val="000000"/>
                <w:sz w:val="14"/>
                <w:szCs w:val="14"/>
              </w:rPr>
              <w:t>2020 N</w:t>
            </w:r>
          </w:p>
        </w:tc>
      </w:tr>
      <w:tr w:rsidR="007D13F3" w:rsidRPr="00951C93" w:rsidTr="00465CAC">
        <w:trPr>
          <w:trHeight w:val="255"/>
        </w:trPr>
        <w:tc>
          <w:tcPr>
            <w:tcW w:w="1520" w:type="pct"/>
            <w:tcBorders>
              <w:top w:val="nil"/>
              <w:left w:val="single" w:sz="4" w:space="0" w:color="auto"/>
              <w:bottom w:val="single" w:sz="4" w:space="0" w:color="auto"/>
              <w:right w:val="single" w:sz="4" w:space="0" w:color="auto"/>
            </w:tcBorders>
            <w:shd w:val="clear" w:color="000000" w:fill="C0C0C0"/>
            <w:noWrap/>
            <w:vAlign w:val="center"/>
            <w:hideMark/>
          </w:tcPr>
          <w:p w:rsidR="007D13F3" w:rsidRPr="00951C93" w:rsidRDefault="007D13F3" w:rsidP="00465CAC">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Zdroje príslušnej kapitoly</w:t>
            </w:r>
          </w:p>
        </w:tc>
        <w:tc>
          <w:tcPr>
            <w:tcW w:w="487" w:type="pct"/>
            <w:tcBorders>
              <w:top w:val="nil"/>
              <w:left w:val="single" w:sz="4" w:space="0" w:color="auto"/>
              <w:bottom w:val="single" w:sz="4" w:space="0" w:color="auto"/>
              <w:right w:val="single" w:sz="4" w:space="0" w:color="auto"/>
            </w:tcBorders>
            <w:shd w:val="clear" w:color="000000" w:fill="BFBFBF"/>
            <w:noWrap/>
            <w:vAlign w:val="center"/>
          </w:tcPr>
          <w:p w:rsidR="007D13F3" w:rsidRPr="002019B6" w:rsidRDefault="004B3B69" w:rsidP="004B3B6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p>
        </w:tc>
        <w:tc>
          <w:tcPr>
            <w:tcW w:w="487" w:type="pct"/>
            <w:tcBorders>
              <w:top w:val="nil"/>
              <w:left w:val="nil"/>
              <w:bottom w:val="single" w:sz="4" w:space="0" w:color="auto"/>
              <w:right w:val="single" w:sz="4" w:space="0" w:color="auto"/>
            </w:tcBorders>
            <w:shd w:val="clear" w:color="000000" w:fill="BFBFBF"/>
            <w:noWrap/>
            <w:vAlign w:val="bottom"/>
          </w:tcPr>
          <w:p w:rsidR="007D13F3" w:rsidRPr="002019B6" w:rsidRDefault="007D13F3" w:rsidP="00465CAC">
            <w:pPr>
              <w:jc w:val="right"/>
              <w:rPr>
                <w:rFonts w:ascii="Times New Roman" w:hAnsi="Times New Roman" w:cs="Times New Roman"/>
                <w:b/>
                <w:bCs/>
                <w:color w:val="000000"/>
                <w:sz w:val="14"/>
                <w:szCs w:val="14"/>
              </w:rPr>
            </w:pPr>
            <w:r w:rsidRPr="002019B6">
              <w:rPr>
                <w:rFonts w:ascii="Times New Roman" w:hAnsi="Times New Roman" w:cs="Times New Roman"/>
                <w:b/>
                <w:bCs/>
                <w:color w:val="000000"/>
                <w:sz w:val="14"/>
                <w:szCs w:val="14"/>
              </w:rPr>
              <w:t>11 119 425</w:t>
            </w:r>
          </w:p>
        </w:tc>
        <w:tc>
          <w:tcPr>
            <w:tcW w:w="487" w:type="pct"/>
            <w:tcBorders>
              <w:top w:val="nil"/>
              <w:left w:val="nil"/>
              <w:bottom w:val="single" w:sz="4" w:space="0" w:color="auto"/>
              <w:right w:val="single" w:sz="4" w:space="0" w:color="auto"/>
            </w:tcBorders>
            <w:shd w:val="clear" w:color="000000" w:fill="BFBFBF"/>
            <w:noWrap/>
            <w:vAlign w:val="bottom"/>
          </w:tcPr>
          <w:p w:rsidR="007D13F3" w:rsidRPr="002019B6" w:rsidRDefault="007D13F3" w:rsidP="00465CAC">
            <w:pPr>
              <w:jc w:val="right"/>
              <w:rPr>
                <w:rFonts w:ascii="Times New Roman" w:hAnsi="Times New Roman" w:cs="Times New Roman"/>
                <w:b/>
                <w:bCs/>
                <w:color w:val="000000"/>
                <w:sz w:val="14"/>
                <w:szCs w:val="14"/>
              </w:rPr>
            </w:pPr>
            <w:r w:rsidRPr="002019B6">
              <w:rPr>
                <w:rFonts w:ascii="Times New Roman" w:hAnsi="Times New Roman" w:cs="Times New Roman"/>
                <w:b/>
                <w:bCs/>
                <w:color w:val="000000"/>
                <w:sz w:val="14"/>
                <w:szCs w:val="14"/>
              </w:rPr>
              <w:t>4 353 888</w:t>
            </w:r>
          </w:p>
        </w:tc>
        <w:tc>
          <w:tcPr>
            <w:tcW w:w="48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D13F3" w:rsidRPr="00EA1A63" w:rsidRDefault="007D13F3" w:rsidP="00465CAC">
            <w:pPr>
              <w:jc w:val="right"/>
              <w:rPr>
                <w:rFonts w:ascii="Times New Roman" w:hAnsi="Times New Roman" w:cs="Times New Roman"/>
                <w:b/>
                <w:bCs/>
                <w:color w:val="000000"/>
                <w:sz w:val="14"/>
                <w:szCs w:val="14"/>
                <w:lang w:eastAsia="sk-SK"/>
              </w:rPr>
            </w:pPr>
            <w:r w:rsidRPr="00EA1A63">
              <w:rPr>
                <w:rFonts w:ascii="Times New Roman" w:hAnsi="Times New Roman" w:cs="Times New Roman"/>
                <w:b/>
                <w:bCs/>
                <w:color w:val="000000"/>
                <w:sz w:val="14"/>
                <w:szCs w:val="14"/>
              </w:rPr>
              <w:t>16 495 432</w:t>
            </w:r>
          </w:p>
        </w:tc>
        <w:tc>
          <w:tcPr>
            <w:tcW w:w="511" w:type="pct"/>
            <w:tcBorders>
              <w:top w:val="single" w:sz="4" w:space="0" w:color="auto"/>
              <w:left w:val="nil"/>
              <w:bottom w:val="single" w:sz="4" w:space="0" w:color="auto"/>
              <w:right w:val="single" w:sz="4" w:space="0" w:color="auto"/>
            </w:tcBorders>
            <w:shd w:val="clear" w:color="000000" w:fill="BFBFBF"/>
            <w:noWrap/>
            <w:vAlign w:val="bottom"/>
            <w:hideMark/>
          </w:tcPr>
          <w:p w:rsidR="007D13F3" w:rsidRPr="00EA1A63" w:rsidRDefault="007D13F3" w:rsidP="00465CAC">
            <w:pPr>
              <w:jc w:val="right"/>
              <w:rPr>
                <w:rFonts w:ascii="Times New Roman" w:hAnsi="Times New Roman" w:cs="Times New Roman"/>
                <w:b/>
                <w:bCs/>
                <w:color w:val="000000"/>
                <w:sz w:val="14"/>
                <w:szCs w:val="14"/>
              </w:rPr>
            </w:pPr>
            <w:r w:rsidRPr="00EA1A63">
              <w:rPr>
                <w:rFonts w:ascii="Times New Roman" w:hAnsi="Times New Roman" w:cs="Times New Roman"/>
                <w:b/>
                <w:bCs/>
                <w:color w:val="000000"/>
                <w:sz w:val="14"/>
                <w:szCs w:val="14"/>
              </w:rPr>
              <w:t>3 096 197</w:t>
            </w:r>
          </w:p>
        </w:tc>
        <w:tc>
          <w:tcPr>
            <w:tcW w:w="511" w:type="pct"/>
            <w:tcBorders>
              <w:top w:val="single" w:sz="4" w:space="0" w:color="auto"/>
              <w:left w:val="nil"/>
              <w:bottom w:val="single" w:sz="4" w:space="0" w:color="auto"/>
              <w:right w:val="single" w:sz="4" w:space="0" w:color="auto"/>
            </w:tcBorders>
            <w:shd w:val="clear" w:color="000000" w:fill="BFBFBF"/>
            <w:noWrap/>
            <w:vAlign w:val="bottom"/>
            <w:hideMark/>
          </w:tcPr>
          <w:p w:rsidR="007D13F3" w:rsidRPr="00EA1A63" w:rsidRDefault="007D13F3" w:rsidP="00465CAC">
            <w:pPr>
              <w:jc w:val="right"/>
              <w:rPr>
                <w:rFonts w:ascii="Times New Roman" w:hAnsi="Times New Roman" w:cs="Times New Roman"/>
                <w:b/>
                <w:bCs/>
                <w:color w:val="000000"/>
                <w:sz w:val="14"/>
                <w:szCs w:val="14"/>
              </w:rPr>
            </w:pPr>
            <w:r w:rsidRPr="00EA1A63">
              <w:rPr>
                <w:rFonts w:ascii="Times New Roman" w:hAnsi="Times New Roman" w:cs="Times New Roman"/>
                <w:b/>
                <w:bCs/>
                <w:color w:val="000000"/>
                <w:sz w:val="14"/>
                <w:szCs w:val="14"/>
              </w:rPr>
              <w:t>2 279 365</w:t>
            </w:r>
          </w:p>
        </w:tc>
        <w:tc>
          <w:tcPr>
            <w:tcW w:w="510" w:type="pct"/>
            <w:tcBorders>
              <w:top w:val="single" w:sz="4" w:space="0" w:color="auto"/>
              <w:left w:val="nil"/>
              <w:bottom w:val="single" w:sz="4" w:space="0" w:color="auto"/>
              <w:right w:val="single" w:sz="4" w:space="0" w:color="auto"/>
            </w:tcBorders>
            <w:shd w:val="clear" w:color="000000" w:fill="BFBFBF"/>
            <w:noWrap/>
            <w:vAlign w:val="bottom"/>
            <w:hideMark/>
          </w:tcPr>
          <w:p w:rsidR="007D13F3" w:rsidRPr="00EA1A63" w:rsidRDefault="007D13F3" w:rsidP="00465CAC">
            <w:pPr>
              <w:jc w:val="right"/>
              <w:rPr>
                <w:rFonts w:ascii="Times New Roman" w:hAnsi="Times New Roman" w:cs="Times New Roman"/>
                <w:b/>
                <w:bCs/>
                <w:color w:val="000000"/>
                <w:sz w:val="14"/>
                <w:szCs w:val="14"/>
              </w:rPr>
            </w:pPr>
            <w:r w:rsidRPr="00EA1A63">
              <w:rPr>
                <w:rFonts w:ascii="Times New Roman" w:hAnsi="Times New Roman" w:cs="Times New Roman"/>
                <w:b/>
                <w:bCs/>
                <w:color w:val="000000"/>
                <w:sz w:val="14"/>
                <w:szCs w:val="14"/>
              </w:rPr>
              <w:t>2 236 337</w:t>
            </w:r>
          </w:p>
        </w:tc>
      </w:tr>
      <w:tr w:rsidR="007D13F3" w:rsidRPr="00951C93" w:rsidTr="00465CAC">
        <w:trPr>
          <w:trHeight w:val="255"/>
        </w:trPr>
        <w:tc>
          <w:tcPr>
            <w:tcW w:w="1520" w:type="pct"/>
            <w:tcBorders>
              <w:top w:val="nil"/>
              <w:left w:val="single" w:sz="4" w:space="0" w:color="auto"/>
              <w:bottom w:val="single" w:sz="4" w:space="0" w:color="auto"/>
              <w:right w:val="single" w:sz="4" w:space="0" w:color="auto"/>
            </w:tcBorders>
            <w:noWrap/>
            <w:vAlign w:val="center"/>
            <w:hideMark/>
          </w:tcPr>
          <w:p w:rsidR="007D13F3" w:rsidRPr="00951C93" w:rsidRDefault="007D13F3" w:rsidP="00465CAC">
            <w:pPr>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 xml:space="preserve">rozpočtové zdroje kapitoly </w:t>
            </w:r>
          </w:p>
        </w:tc>
        <w:tc>
          <w:tcPr>
            <w:tcW w:w="487" w:type="pct"/>
            <w:tcBorders>
              <w:top w:val="nil"/>
              <w:left w:val="single" w:sz="4" w:space="0" w:color="auto"/>
              <w:bottom w:val="single" w:sz="4" w:space="0" w:color="auto"/>
              <w:right w:val="single" w:sz="4" w:space="0" w:color="auto"/>
            </w:tcBorders>
            <w:shd w:val="clear" w:color="auto" w:fill="auto"/>
            <w:noWrap/>
            <w:vAlign w:val="center"/>
          </w:tcPr>
          <w:p w:rsidR="007D13F3" w:rsidRPr="002019B6" w:rsidRDefault="004B3B69" w:rsidP="004B3B6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p>
        </w:tc>
        <w:tc>
          <w:tcPr>
            <w:tcW w:w="487" w:type="pct"/>
            <w:tcBorders>
              <w:top w:val="nil"/>
              <w:left w:val="nil"/>
              <w:bottom w:val="single" w:sz="4" w:space="0" w:color="auto"/>
              <w:right w:val="single" w:sz="4" w:space="0" w:color="auto"/>
            </w:tcBorders>
            <w:shd w:val="clear" w:color="auto" w:fill="auto"/>
            <w:noWrap/>
            <w:vAlign w:val="bottom"/>
          </w:tcPr>
          <w:p w:rsidR="007D13F3" w:rsidRPr="002019B6" w:rsidRDefault="007D13F3" w:rsidP="00465CAC">
            <w:pPr>
              <w:jc w:val="right"/>
              <w:rPr>
                <w:rFonts w:ascii="Times New Roman" w:hAnsi="Times New Roman" w:cs="Times New Roman"/>
                <w:b/>
                <w:bCs/>
                <w:color w:val="000000"/>
                <w:sz w:val="14"/>
                <w:szCs w:val="14"/>
              </w:rPr>
            </w:pPr>
            <w:r w:rsidRPr="002019B6">
              <w:rPr>
                <w:rFonts w:ascii="Times New Roman" w:hAnsi="Times New Roman" w:cs="Times New Roman"/>
                <w:b/>
                <w:bCs/>
                <w:color w:val="000000"/>
                <w:sz w:val="14"/>
                <w:szCs w:val="14"/>
              </w:rPr>
              <w:t>9 596 791</w:t>
            </w:r>
          </w:p>
        </w:tc>
        <w:tc>
          <w:tcPr>
            <w:tcW w:w="487" w:type="pct"/>
            <w:tcBorders>
              <w:top w:val="nil"/>
              <w:left w:val="nil"/>
              <w:bottom w:val="single" w:sz="4" w:space="0" w:color="auto"/>
              <w:right w:val="single" w:sz="4" w:space="0" w:color="auto"/>
            </w:tcBorders>
            <w:shd w:val="clear" w:color="auto" w:fill="auto"/>
            <w:noWrap/>
            <w:vAlign w:val="bottom"/>
          </w:tcPr>
          <w:p w:rsidR="007D13F3" w:rsidRPr="002019B6" w:rsidRDefault="007D13F3" w:rsidP="00465CAC">
            <w:pPr>
              <w:jc w:val="right"/>
              <w:rPr>
                <w:rFonts w:ascii="Times New Roman" w:hAnsi="Times New Roman" w:cs="Times New Roman"/>
                <w:b/>
                <w:bCs/>
                <w:color w:val="000000"/>
                <w:sz w:val="14"/>
                <w:szCs w:val="14"/>
              </w:rPr>
            </w:pPr>
            <w:r w:rsidRPr="002019B6">
              <w:rPr>
                <w:rFonts w:ascii="Times New Roman" w:hAnsi="Times New Roman" w:cs="Times New Roman"/>
                <w:b/>
                <w:bCs/>
                <w:color w:val="000000"/>
                <w:sz w:val="14"/>
                <w:szCs w:val="14"/>
              </w:rPr>
              <w:t>4 353 888</w:t>
            </w: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b/>
                <w:bCs/>
                <w:color w:val="000000"/>
                <w:sz w:val="14"/>
                <w:szCs w:val="14"/>
              </w:rPr>
            </w:pPr>
            <w:r w:rsidRPr="00EA1A63">
              <w:rPr>
                <w:rFonts w:ascii="Times New Roman" w:hAnsi="Times New Roman" w:cs="Times New Roman"/>
                <w:b/>
                <w:bCs/>
                <w:color w:val="000000"/>
                <w:sz w:val="14"/>
                <w:szCs w:val="14"/>
              </w:rPr>
              <w:t>5 294 657</w:t>
            </w:r>
          </w:p>
        </w:tc>
        <w:tc>
          <w:tcPr>
            <w:tcW w:w="511"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b/>
                <w:bCs/>
                <w:color w:val="000000"/>
                <w:sz w:val="14"/>
                <w:szCs w:val="14"/>
              </w:rPr>
            </w:pPr>
            <w:r w:rsidRPr="00EA1A63">
              <w:rPr>
                <w:rFonts w:ascii="Times New Roman" w:hAnsi="Times New Roman" w:cs="Times New Roman"/>
                <w:b/>
                <w:bCs/>
                <w:color w:val="000000"/>
                <w:sz w:val="14"/>
                <w:szCs w:val="14"/>
              </w:rPr>
              <w:t>3 096 197</w:t>
            </w:r>
          </w:p>
        </w:tc>
        <w:tc>
          <w:tcPr>
            <w:tcW w:w="511"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b/>
                <w:bCs/>
                <w:color w:val="000000"/>
                <w:sz w:val="14"/>
                <w:szCs w:val="14"/>
              </w:rPr>
            </w:pPr>
            <w:r w:rsidRPr="00EA1A63">
              <w:rPr>
                <w:rFonts w:ascii="Times New Roman" w:hAnsi="Times New Roman" w:cs="Times New Roman"/>
                <w:b/>
                <w:bCs/>
                <w:color w:val="000000"/>
                <w:sz w:val="14"/>
                <w:szCs w:val="14"/>
              </w:rPr>
              <w:t>2 279 365</w:t>
            </w:r>
          </w:p>
        </w:tc>
        <w:tc>
          <w:tcPr>
            <w:tcW w:w="510"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b/>
                <w:bCs/>
                <w:color w:val="000000"/>
                <w:sz w:val="14"/>
                <w:szCs w:val="14"/>
              </w:rPr>
            </w:pPr>
            <w:r w:rsidRPr="00EA1A63">
              <w:rPr>
                <w:rFonts w:ascii="Times New Roman" w:hAnsi="Times New Roman" w:cs="Times New Roman"/>
                <w:b/>
                <w:bCs/>
                <w:color w:val="000000"/>
                <w:sz w:val="14"/>
                <w:szCs w:val="14"/>
              </w:rPr>
              <w:t>2 236 337</w:t>
            </w:r>
          </w:p>
        </w:tc>
      </w:tr>
      <w:tr w:rsidR="007D13F3" w:rsidRPr="00951C93" w:rsidTr="00465CAC">
        <w:trPr>
          <w:trHeight w:val="255"/>
        </w:trPr>
        <w:tc>
          <w:tcPr>
            <w:tcW w:w="1520" w:type="pct"/>
            <w:tcBorders>
              <w:top w:val="nil"/>
              <w:left w:val="single" w:sz="4" w:space="0" w:color="auto"/>
              <w:bottom w:val="single" w:sz="4" w:space="0" w:color="auto"/>
              <w:right w:val="single" w:sz="4" w:space="0" w:color="auto"/>
            </w:tcBorders>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v tom: bežné výdavky  600</w:t>
            </w:r>
          </w:p>
        </w:tc>
        <w:tc>
          <w:tcPr>
            <w:tcW w:w="487" w:type="pct"/>
            <w:tcBorders>
              <w:top w:val="nil"/>
              <w:left w:val="single" w:sz="4" w:space="0" w:color="auto"/>
              <w:bottom w:val="single" w:sz="4" w:space="0" w:color="auto"/>
              <w:right w:val="single" w:sz="4" w:space="0" w:color="auto"/>
            </w:tcBorders>
            <w:shd w:val="clear" w:color="auto" w:fill="auto"/>
            <w:noWrap/>
            <w:vAlign w:val="center"/>
          </w:tcPr>
          <w:p w:rsidR="007D13F3" w:rsidRPr="002019B6" w:rsidRDefault="004B3B69" w:rsidP="004B3B69">
            <w:pPr>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487" w:type="pct"/>
            <w:tcBorders>
              <w:top w:val="nil"/>
              <w:left w:val="nil"/>
              <w:bottom w:val="single" w:sz="4" w:space="0" w:color="auto"/>
              <w:right w:val="single" w:sz="4" w:space="0" w:color="auto"/>
            </w:tcBorders>
            <w:shd w:val="clear" w:color="auto" w:fill="auto"/>
            <w:noWrap/>
            <w:vAlign w:val="bottom"/>
          </w:tcPr>
          <w:p w:rsidR="007D13F3" w:rsidRPr="002019B6" w:rsidRDefault="007D13F3" w:rsidP="00465CAC">
            <w:pPr>
              <w:jc w:val="right"/>
              <w:rPr>
                <w:rFonts w:ascii="Times New Roman" w:hAnsi="Times New Roman" w:cs="Times New Roman"/>
                <w:color w:val="000000"/>
                <w:sz w:val="14"/>
                <w:szCs w:val="14"/>
              </w:rPr>
            </w:pPr>
            <w:r w:rsidRPr="002019B6">
              <w:rPr>
                <w:rFonts w:ascii="Times New Roman" w:hAnsi="Times New Roman" w:cs="Times New Roman"/>
                <w:color w:val="000000"/>
                <w:sz w:val="14"/>
                <w:szCs w:val="14"/>
              </w:rPr>
              <w:t>6 291 942</w:t>
            </w:r>
          </w:p>
        </w:tc>
        <w:tc>
          <w:tcPr>
            <w:tcW w:w="487" w:type="pct"/>
            <w:tcBorders>
              <w:top w:val="nil"/>
              <w:left w:val="nil"/>
              <w:bottom w:val="single" w:sz="4" w:space="0" w:color="auto"/>
              <w:right w:val="single" w:sz="4" w:space="0" w:color="auto"/>
            </w:tcBorders>
            <w:shd w:val="clear" w:color="auto" w:fill="auto"/>
            <w:noWrap/>
            <w:vAlign w:val="bottom"/>
          </w:tcPr>
          <w:p w:rsidR="007D13F3" w:rsidRPr="002019B6" w:rsidRDefault="007D13F3" w:rsidP="00465CAC">
            <w:pPr>
              <w:jc w:val="right"/>
              <w:rPr>
                <w:rFonts w:ascii="Times New Roman" w:hAnsi="Times New Roman" w:cs="Times New Roman"/>
                <w:color w:val="000000"/>
                <w:sz w:val="14"/>
                <w:szCs w:val="14"/>
              </w:rPr>
            </w:pPr>
            <w:r w:rsidRPr="002019B6">
              <w:rPr>
                <w:rFonts w:ascii="Times New Roman" w:hAnsi="Times New Roman" w:cs="Times New Roman"/>
                <w:color w:val="000000"/>
                <w:sz w:val="14"/>
                <w:szCs w:val="14"/>
              </w:rPr>
              <w:t>4 283 888</w:t>
            </w: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5 160 657</w:t>
            </w:r>
          </w:p>
        </w:tc>
        <w:tc>
          <w:tcPr>
            <w:tcW w:w="511"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3 036 197</w:t>
            </w:r>
          </w:p>
        </w:tc>
        <w:tc>
          <w:tcPr>
            <w:tcW w:w="511"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2 219 365</w:t>
            </w:r>
          </w:p>
        </w:tc>
        <w:tc>
          <w:tcPr>
            <w:tcW w:w="510"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2 176 337</w:t>
            </w:r>
          </w:p>
        </w:tc>
      </w:tr>
      <w:tr w:rsidR="007D13F3" w:rsidRPr="00951C93" w:rsidTr="00465CAC">
        <w:trPr>
          <w:trHeight w:val="255"/>
        </w:trPr>
        <w:tc>
          <w:tcPr>
            <w:tcW w:w="1520" w:type="pct"/>
            <w:tcBorders>
              <w:top w:val="nil"/>
              <w:left w:val="single" w:sz="4" w:space="0" w:color="auto"/>
              <w:bottom w:val="single" w:sz="4" w:space="0" w:color="auto"/>
              <w:right w:val="single" w:sz="4" w:space="0" w:color="auto"/>
            </w:tcBorders>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610 mzdy</w:t>
            </w:r>
          </w:p>
        </w:tc>
        <w:tc>
          <w:tcPr>
            <w:tcW w:w="487" w:type="pct"/>
            <w:tcBorders>
              <w:top w:val="nil"/>
              <w:left w:val="single" w:sz="4" w:space="0" w:color="auto"/>
              <w:bottom w:val="single" w:sz="4" w:space="0" w:color="auto"/>
              <w:right w:val="single" w:sz="4" w:space="0" w:color="auto"/>
            </w:tcBorders>
            <w:shd w:val="clear" w:color="auto" w:fill="auto"/>
            <w:noWrap/>
            <w:vAlign w:val="center"/>
          </w:tcPr>
          <w:p w:rsidR="007D13F3" w:rsidRPr="002019B6" w:rsidRDefault="004B3B69" w:rsidP="004B3B69">
            <w:pPr>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487" w:type="pct"/>
            <w:tcBorders>
              <w:top w:val="nil"/>
              <w:left w:val="nil"/>
              <w:bottom w:val="single" w:sz="4" w:space="0" w:color="auto"/>
              <w:right w:val="single" w:sz="4" w:space="0" w:color="auto"/>
            </w:tcBorders>
            <w:shd w:val="clear" w:color="auto" w:fill="auto"/>
            <w:noWrap/>
            <w:vAlign w:val="bottom"/>
          </w:tcPr>
          <w:p w:rsidR="007D13F3" w:rsidRPr="002019B6" w:rsidRDefault="007D13F3" w:rsidP="00465CAC">
            <w:pPr>
              <w:jc w:val="right"/>
              <w:rPr>
                <w:rFonts w:ascii="Times New Roman" w:hAnsi="Times New Roman" w:cs="Times New Roman"/>
                <w:color w:val="000000"/>
                <w:sz w:val="14"/>
                <w:szCs w:val="14"/>
              </w:rPr>
            </w:pPr>
            <w:r w:rsidRPr="002019B6">
              <w:rPr>
                <w:rFonts w:ascii="Times New Roman" w:hAnsi="Times New Roman" w:cs="Times New Roman"/>
                <w:color w:val="000000"/>
                <w:sz w:val="14"/>
                <w:szCs w:val="14"/>
              </w:rPr>
              <w:t>2 434 322</w:t>
            </w:r>
          </w:p>
        </w:tc>
        <w:tc>
          <w:tcPr>
            <w:tcW w:w="487" w:type="pct"/>
            <w:tcBorders>
              <w:top w:val="nil"/>
              <w:left w:val="nil"/>
              <w:bottom w:val="single" w:sz="4" w:space="0" w:color="auto"/>
              <w:right w:val="single" w:sz="4" w:space="0" w:color="auto"/>
            </w:tcBorders>
            <w:shd w:val="clear" w:color="auto" w:fill="auto"/>
            <w:noWrap/>
            <w:vAlign w:val="bottom"/>
          </w:tcPr>
          <w:p w:rsidR="007D13F3" w:rsidRPr="002019B6" w:rsidRDefault="007D13F3" w:rsidP="00465CAC">
            <w:pPr>
              <w:jc w:val="right"/>
              <w:rPr>
                <w:rFonts w:ascii="Times New Roman" w:hAnsi="Times New Roman" w:cs="Times New Roman"/>
                <w:color w:val="000000"/>
                <w:sz w:val="14"/>
                <w:szCs w:val="14"/>
              </w:rPr>
            </w:pPr>
            <w:r w:rsidRPr="002019B6">
              <w:rPr>
                <w:rFonts w:ascii="Times New Roman" w:hAnsi="Times New Roman" w:cs="Times New Roman"/>
                <w:color w:val="000000"/>
                <w:sz w:val="14"/>
                <w:szCs w:val="14"/>
              </w:rPr>
              <w:t>786 682</w:t>
            </w: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1 188 231</w:t>
            </w:r>
          </w:p>
        </w:tc>
        <w:tc>
          <w:tcPr>
            <w:tcW w:w="511"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751 446</w:t>
            </w:r>
          </w:p>
        </w:tc>
        <w:tc>
          <w:tcPr>
            <w:tcW w:w="511"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751 446</w:t>
            </w:r>
          </w:p>
        </w:tc>
        <w:tc>
          <w:tcPr>
            <w:tcW w:w="510"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751 446</w:t>
            </w:r>
          </w:p>
        </w:tc>
      </w:tr>
      <w:tr w:rsidR="007D13F3" w:rsidRPr="00951C93" w:rsidTr="00465CAC">
        <w:trPr>
          <w:trHeight w:val="255"/>
        </w:trPr>
        <w:tc>
          <w:tcPr>
            <w:tcW w:w="1520" w:type="pct"/>
            <w:tcBorders>
              <w:top w:val="nil"/>
              <w:left w:val="single" w:sz="4" w:space="0" w:color="auto"/>
              <w:bottom w:val="single" w:sz="4" w:space="0" w:color="auto"/>
              <w:right w:val="single" w:sz="4" w:space="0" w:color="auto"/>
            </w:tcBorders>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620 odvody</w:t>
            </w:r>
          </w:p>
        </w:tc>
        <w:tc>
          <w:tcPr>
            <w:tcW w:w="487" w:type="pct"/>
            <w:tcBorders>
              <w:top w:val="nil"/>
              <w:left w:val="single" w:sz="4" w:space="0" w:color="auto"/>
              <w:bottom w:val="single" w:sz="4" w:space="0" w:color="auto"/>
              <w:right w:val="single" w:sz="4" w:space="0" w:color="auto"/>
            </w:tcBorders>
            <w:shd w:val="clear" w:color="auto" w:fill="auto"/>
            <w:noWrap/>
            <w:vAlign w:val="center"/>
          </w:tcPr>
          <w:p w:rsidR="007D13F3" w:rsidRPr="002019B6" w:rsidRDefault="004B3B69" w:rsidP="004B3B69">
            <w:pPr>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487" w:type="pct"/>
            <w:tcBorders>
              <w:top w:val="nil"/>
              <w:left w:val="nil"/>
              <w:bottom w:val="single" w:sz="4" w:space="0" w:color="auto"/>
              <w:right w:val="single" w:sz="4" w:space="0" w:color="auto"/>
            </w:tcBorders>
            <w:shd w:val="clear" w:color="auto" w:fill="auto"/>
            <w:noWrap/>
            <w:vAlign w:val="bottom"/>
          </w:tcPr>
          <w:p w:rsidR="007D13F3" w:rsidRPr="002019B6" w:rsidRDefault="007D13F3" w:rsidP="00465CAC">
            <w:pPr>
              <w:jc w:val="right"/>
              <w:rPr>
                <w:rFonts w:ascii="Times New Roman" w:hAnsi="Times New Roman" w:cs="Times New Roman"/>
                <w:color w:val="000000"/>
                <w:sz w:val="14"/>
                <w:szCs w:val="14"/>
              </w:rPr>
            </w:pPr>
            <w:r w:rsidRPr="002019B6">
              <w:rPr>
                <w:rFonts w:ascii="Times New Roman" w:hAnsi="Times New Roman" w:cs="Times New Roman"/>
                <w:color w:val="000000"/>
                <w:sz w:val="14"/>
                <w:szCs w:val="14"/>
              </w:rPr>
              <w:t>923 064</w:t>
            </w:r>
          </w:p>
        </w:tc>
        <w:tc>
          <w:tcPr>
            <w:tcW w:w="487" w:type="pct"/>
            <w:tcBorders>
              <w:top w:val="nil"/>
              <w:left w:val="nil"/>
              <w:bottom w:val="single" w:sz="4" w:space="0" w:color="auto"/>
              <w:right w:val="single" w:sz="4" w:space="0" w:color="auto"/>
            </w:tcBorders>
            <w:shd w:val="clear" w:color="auto" w:fill="auto"/>
            <w:noWrap/>
            <w:vAlign w:val="bottom"/>
          </w:tcPr>
          <w:p w:rsidR="007D13F3" w:rsidRPr="002019B6" w:rsidRDefault="007D13F3" w:rsidP="00465CAC">
            <w:pPr>
              <w:jc w:val="right"/>
              <w:rPr>
                <w:rFonts w:ascii="Times New Roman" w:hAnsi="Times New Roman" w:cs="Times New Roman"/>
                <w:color w:val="000000"/>
                <w:sz w:val="14"/>
                <w:szCs w:val="14"/>
              </w:rPr>
            </w:pPr>
            <w:r w:rsidRPr="002019B6">
              <w:rPr>
                <w:rFonts w:ascii="Times New Roman" w:hAnsi="Times New Roman" w:cs="Times New Roman"/>
                <w:color w:val="000000"/>
                <w:sz w:val="14"/>
                <w:szCs w:val="14"/>
              </w:rPr>
              <w:t>310 206</w:t>
            </w: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541 765</w:t>
            </w:r>
          </w:p>
        </w:tc>
        <w:tc>
          <w:tcPr>
            <w:tcW w:w="511"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334 631</w:t>
            </w:r>
          </w:p>
        </w:tc>
        <w:tc>
          <w:tcPr>
            <w:tcW w:w="511"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334 631</w:t>
            </w:r>
          </w:p>
        </w:tc>
        <w:tc>
          <w:tcPr>
            <w:tcW w:w="510"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334 631</w:t>
            </w:r>
          </w:p>
        </w:tc>
      </w:tr>
      <w:tr w:rsidR="007D13F3" w:rsidRPr="00951C93" w:rsidTr="00465CAC">
        <w:trPr>
          <w:trHeight w:val="255"/>
        </w:trPr>
        <w:tc>
          <w:tcPr>
            <w:tcW w:w="1520" w:type="pct"/>
            <w:tcBorders>
              <w:top w:val="nil"/>
              <w:left w:val="single" w:sz="4" w:space="0" w:color="auto"/>
              <w:bottom w:val="single" w:sz="4" w:space="0" w:color="auto"/>
              <w:right w:val="single" w:sz="4" w:space="0" w:color="auto"/>
            </w:tcBorders>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630 tovary a služby</w:t>
            </w:r>
          </w:p>
        </w:tc>
        <w:tc>
          <w:tcPr>
            <w:tcW w:w="487" w:type="pct"/>
            <w:tcBorders>
              <w:top w:val="nil"/>
              <w:left w:val="single" w:sz="4" w:space="0" w:color="auto"/>
              <w:bottom w:val="single" w:sz="4" w:space="0" w:color="auto"/>
              <w:right w:val="single" w:sz="4" w:space="0" w:color="auto"/>
            </w:tcBorders>
            <w:shd w:val="clear" w:color="auto" w:fill="auto"/>
            <w:noWrap/>
            <w:vAlign w:val="center"/>
          </w:tcPr>
          <w:p w:rsidR="007D13F3" w:rsidRPr="002019B6" w:rsidRDefault="004B3B69" w:rsidP="004B3B69">
            <w:pPr>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487" w:type="pct"/>
            <w:tcBorders>
              <w:top w:val="nil"/>
              <w:left w:val="nil"/>
              <w:bottom w:val="single" w:sz="4" w:space="0" w:color="auto"/>
              <w:right w:val="single" w:sz="4" w:space="0" w:color="auto"/>
            </w:tcBorders>
            <w:shd w:val="clear" w:color="auto" w:fill="auto"/>
            <w:noWrap/>
            <w:vAlign w:val="bottom"/>
          </w:tcPr>
          <w:p w:rsidR="007D13F3" w:rsidRPr="002019B6" w:rsidRDefault="007D13F3" w:rsidP="00465CAC">
            <w:pPr>
              <w:jc w:val="right"/>
              <w:rPr>
                <w:rFonts w:ascii="Times New Roman" w:hAnsi="Times New Roman" w:cs="Times New Roman"/>
                <w:color w:val="000000"/>
                <w:sz w:val="14"/>
                <w:szCs w:val="14"/>
              </w:rPr>
            </w:pPr>
            <w:r w:rsidRPr="002019B6">
              <w:rPr>
                <w:rFonts w:ascii="Times New Roman" w:hAnsi="Times New Roman" w:cs="Times New Roman"/>
                <w:color w:val="000000"/>
                <w:sz w:val="14"/>
                <w:szCs w:val="14"/>
              </w:rPr>
              <w:t>2 898 052</w:t>
            </w:r>
          </w:p>
        </w:tc>
        <w:tc>
          <w:tcPr>
            <w:tcW w:w="487" w:type="pct"/>
            <w:tcBorders>
              <w:top w:val="nil"/>
              <w:left w:val="nil"/>
              <w:bottom w:val="single" w:sz="4" w:space="0" w:color="auto"/>
              <w:right w:val="single" w:sz="4" w:space="0" w:color="auto"/>
            </w:tcBorders>
            <w:shd w:val="clear" w:color="auto" w:fill="auto"/>
            <w:noWrap/>
            <w:vAlign w:val="bottom"/>
          </w:tcPr>
          <w:p w:rsidR="007D13F3" w:rsidRPr="002019B6" w:rsidRDefault="007D13F3" w:rsidP="00465CAC">
            <w:pPr>
              <w:jc w:val="right"/>
              <w:rPr>
                <w:rFonts w:ascii="Times New Roman" w:hAnsi="Times New Roman" w:cs="Times New Roman"/>
                <w:color w:val="000000"/>
                <w:sz w:val="14"/>
                <w:szCs w:val="14"/>
              </w:rPr>
            </w:pPr>
            <w:r w:rsidRPr="002019B6">
              <w:rPr>
                <w:rFonts w:ascii="Times New Roman" w:hAnsi="Times New Roman" w:cs="Times New Roman"/>
                <w:color w:val="000000"/>
                <w:sz w:val="14"/>
                <w:szCs w:val="14"/>
              </w:rPr>
              <w:t>3 165 000</w:t>
            </w: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3 338 661</w:t>
            </w:r>
          </w:p>
        </w:tc>
        <w:tc>
          <w:tcPr>
            <w:tcW w:w="511"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1 130 120</w:t>
            </w:r>
          </w:p>
        </w:tc>
        <w:tc>
          <w:tcPr>
            <w:tcW w:w="511"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1 053 288</w:t>
            </w:r>
          </w:p>
        </w:tc>
        <w:tc>
          <w:tcPr>
            <w:tcW w:w="510"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1 050 260</w:t>
            </w:r>
          </w:p>
        </w:tc>
      </w:tr>
      <w:tr w:rsidR="007D13F3" w:rsidRPr="00951C93" w:rsidTr="00465CAC">
        <w:trPr>
          <w:trHeight w:val="255"/>
        </w:trPr>
        <w:tc>
          <w:tcPr>
            <w:tcW w:w="1520" w:type="pct"/>
            <w:tcBorders>
              <w:top w:val="nil"/>
              <w:left w:val="single" w:sz="4" w:space="0" w:color="auto"/>
              <w:bottom w:val="single" w:sz="4" w:space="0" w:color="auto"/>
              <w:right w:val="single" w:sz="4" w:space="0" w:color="auto"/>
            </w:tcBorders>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640 bežné transfery</w:t>
            </w:r>
          </w:p>
        </w:tc>
        <w:tc>
          <w:tcPr>
            <w:tcW w:w="487" w:type="pct"/>
            <w:tcBorders>
              <w:top w:val="nil"/>
              <w:left w:val="single" w:sz="4" w:space="0" w:color="auto"/>
              <w:bottom w:val="single" w:sz="4" w:space="0" w:color="auto"/>
              <w:right w:val="single" w:sz="4" w:space="0" w:color="auto"/>
            </w:tcBorders>
            <w:shd w:val="clear" w:color="auto" w:fill="auto"/>
            <w:noWrap/>
            <w:vAlign w:val="center"/>
          </w:tcPr>
          <w:p w:rsidR="007D13F3" w:rsidRPr="002019B6" w:rsidRDefault="004B3B69" w:rsidP="004B3B69">
            <w:pPr>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487" w:type="pct"/>
            <w:tcBorders>
              <w:top w:val="nil"/>
              <w:left w:val="nil"/>
              <w:bottom w:val="single" w:sz="4" w:space="0" w:color="auto"/>
              <w:right w:val="single" w:sz="4" w:space="0" w:color="auto"/>
            </w:tcBorders>
            <w:shd w:val="clear" w:color="auto" w:fill="auto"/>
            <w:noWrap/>
            <w:vAlign w:val="bottom"/>
          </w:tcPr>
          <w:p w:rsidR="007D13F3" w:rsidRPr="002019B6" w:rsidRDefault="007D13F3" w:rsidP="00465CAC">
            <w:pPr>
              <w:jc w:val="right"/>
              <w:rPr>
                <w:rFonts w:ascii="Times New Roman" w:hAnsi="Times New Roman" w:cs="Times New Roman"/>
                <w:color w:val="000000"/>
                <w:sz w:val="14"/>
                <w:szCs w:val="14"/>
              </w:rPr>
            </w:pPr>
            <w:r w:rsidRPr="002019B6">
              <w:rPr>
                <w:rFonts w:ascii="Times New Roman" w:hAnsi="Times New Roman" w:cs="Times New Roman"/>
                <w:color w:val="000000"/>
                <w:sz w:val="14"/>
                <w:szCs w:val="14"/>
              </w:rPr>
              <w:t>36 504</w:t>
            </w:r>
          </w:p>
        </w:tc>
        <w:tc>
          <w:tcPr>
            <w:tcW w:w="487" w:type="pct"/>
            <w:tcBorders>
              <w:top w:val="nil"/>
              <w:left w:val="nil"/>
              <w:bottom w:val="single" w:sz="4" w:space="0" w:color="auto"/>
              <w:right w:val="single" w:sz="4" w:space="0" w:color="auto"/>
            </w:tcBorders>
            <w:shd w:val="clear" w:color="auto" w:fill="auto"/>
            <w:noWrap/>
            <w:vAlign w:val="bottom"/>
          </w:tcPr>
          <w:p w:rsidR="007D13F3" w:rsidRPr="002019B6" w:rsidRDefault="007D13F3" w:rsidP="00465CAC">
            <w:pPr>
              <w:jc w:val="right"/>
              <w:rPr>
                <w:rFonts w:ascii="Times New Roman" w:hAnsi="Times New Roman" w:cs="Times New Roman"/>
                <w:color w:val="000000"/>
                <w:sz w:val="14"/>
                <w:szCs w:val="14"/>
              </w:rPr>
            </w:pPr>
            <w:r w:rsidRPr="002019B6">
              <w:rPr>
                <w:rFonts w:ascii="Times New Roman" w:hAnsi="Times New Roman" w:cs="Times New Roman"/>
                <w:color w:val="000000"/>
                <w:sz w:val="14"/>
                <w:szCs w:val="14"/>
              </w:rPr>
              <w:t>22 000</w:t>
            </w: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92 000</w:t>
            </w:r>
          </w:p>
        </w:tc>
        <w:tc>
          <w:tcPr>
            <w:tcW w:w="511"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820 000</w:t>
            </w:r>
          </w:p>
        </w:tc>
        <w:tc>
          <w:tcPr>
            <w:tcW w:w="511"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80 000</w:t>
            </w:r>
          </w:p>
        </w:tc>
        <w:tc>
          <w:tcPr>
            <w:tcW w:w="510"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40 000</w:t>
            </w:r>
          </w:p>
        </w:tc>
      </w:tr>
      <w:tr w:rsidR="007D13F3" w:rsidRPr="00951C93" w:rsidTr="00465CAC">
        <w:trPr>
          <w:trHeight w:val="255"/>
        </w:trPr>
        <w:tc>
          <w:tcPr>
            <w:tcW w:w="1520" w:type="pct"/>
            <w:tcBorders>
              <w:top w:val="nil"/>
              <w:left w:val="single" w:sz="4" w:space="0" w:color="auto"/>
              <w:bottom w:val="nil"/>
              <w:right w:val="single" w:sz="4" w:space="0" w:color="auto"/>
            </w:tcBorders>
            <w:noWrap/>
            <w:vAlign w:val="center"/>
            <w:hideMark/>
          </w:tcPr>
          <w:p w:rsidR="007D13F3" w:rsidRPr="00951C93" w:rsidRDefault="007D13F3" w:rsidP="00465CAC">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kapitálové výdavky 700</w:t>
            </w:r>
          </w:p>
        </w:tc>
        <w:tc>
          <w:tcPr>
            <w:tcW w:w="487" w:type="pct"/>
            <w:tcBorders>
              <w:top w:val="nil"/>
              <w:left w:val="single" w:sz="4" w:space="0" w:color="auto"/>
              <w:bottom w:val="single" w:sz="4" w:space="0" w:color="auto"/>
              <w:right w:val="single" w:sz="4" w:space="0" w:color="auto"/>
            </w:tcBorders>
            <w:shd w:val="clear" w:color="auto" w:fill="auto"/>
            <w:noWrap/>
            <w:vAlign w:val="center"/>
          </w:tcPr>
          <w:p w:rsidR="007D13F3" w:rsidRPr="002019B6" w:rsidRDefault="004B3B69" w:rsidP="004B3B69">
            <w:pPr>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487" w:type="pct"/>
            <w:tcBorders>
              <w:top w:val="nil"/>
              <w:left w:val="nil"/>
              <w:bottom w:val="single" w:sz="4" w:space="0" w:color="auto"/>
              <w:right w:val="single" w:sz="4" w:space="0" w:color="auto"/>
            </w:tcBorders>
            <w:shd w:val="clear" w:color="auto" w:fill="auto"/>
            <w:noWrap/>
            <w:vAlign w:val="bottom"/>
          </w:tcPr>
          <w:p w:rsidR="007D13F3" w:rsidRPr="002019B6" w:rsidRDefault="007D13F3" w:rsidP="00465CAC">
            <w:pPr>
              <w:jc w:val="right"/>
              <w:rPr>
                <w:rFonts w:ascii="Times New Roman" w:hAnsi="Times New Roman" w:cs="Times New Roman"/>
                <w:color w:val="000000"/>
                <w:sz w:val="14"/>
                <w:szCs w:val="14"/>
              </w:rPr>
            </w:pPr>
            <w:r w:rsidRPr="002019B6">
              <w:rPr>
                <w:rFonts w:ascii="Times New Roman" w:hAnsi="Times New Roman" w:cs="Times New Roman"/>
                <w:color w:val="000000"/>
                <w:sz w:val="14"/>
                <w:szCs w:val="14"/>
              </w:rPr>
              <w:t>3 304 849</w:t>
            </w:r>
          </w:p>
        </w:tc>
        <w:tc>
          <w:tcPr>
            <w:tcW w:w="487" w:type="pct"/>
            <w:tcBorders>
              <w:top w:val="nil"/>
              <w:left w:val="nil"/>
              <w:bottom w:val="single" w:sz="4" w:space="0" w:color="auto"/>
              <w:right w:val="single" w:sz="4" w:space="0" w:color="auto"/>
            </w:tcBorders>
            <w:shd w:val="clear" w:color="auto" w:fill="auto"/>
            <w:noWrap/>
            <w:vAlign w:val="bottom"/>
          </w:tcPr>
          <w:p w:rsidR="007D13F3" w:rsidRPr="002019B6" w:rsidRDefault="007D13F3" w:rsidP="00465CAC">
            <w:pPr>
              <w:jc w:val="right"/>
              <w:rPr>
                <w:rFonts w:ascii="Times New Roman" w:hAnsi="Times New Roman" w:cs="Times New Roman"/>
                <w:color w:val="000000"/>
                <w:sz w:val="14"/>
                <w:szCs w:val="14"/>
              </w:rPr>
            </w:pPr>
            <w:r w:rsidRPr="002019B6">
              <w:rPr>
                <w:rFonts w:ascii="Times New Roman" w:hAnsi="Times New Roman" w:cs="Times New Roman"/>
                <w:color w:val="000000"/>
                <w:sz w:val="14"/>
                <w:szCs w:val="14"/>
              </w:rPr>
              <w:t>70 000</w:t>
            </w: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134 000</w:t>
            </w:r>
          </w:p>
        </w:tc>
        <w:tc>
          <w:tcPr>
            <w:tcW w:w="511"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60 000</w:t>
            </w:r>
          </w:p>
        </w:tc>
        <w:tc>
          <w:tcPr>
            <w:tcW w:w="511"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60 000</w:t>
            </w:r>
          </w:p>
        </w:tc>
        <w:tc>
          <w:tcPr>
            <w:tcW w:w="510" w:type="pct"/>
            <w:tcBorders>
              <w:top w:val="nil"/>
              <w:left w:val="nil"/>
              <w:bottom w:val="single" w:sz="4" w:space="0" w:color="auto"/>
              <w:right w:val="single" w:sz="4" w:space="0" w:color="auto"/>
            </w:tcBorders>
            <w:shd w:val="clear" w:color="auto" w:fill="auto"/>
            <w:noWrap/>
            <w:vAlign w:val="bottom"/>
            <w:hideMark/>
          </w:tcPr>
          <w:p w:rsidR="007D13F3" w:rsidRPr="00EA1A63" w:rsidRDefault="007D13F3" w:rsidP="00465CAC">
            <w:pPr>
              <w:jc w:val="right"/>
              <w:rPr>
                <w:rFonts w:ascii="Times New Roman" w:hAnsi="Times New Roman" w:cs="Times New Roman"/>
                <w:color w:val="000000"/>
                <w:sz w:val="14"/>
                <w:szCs w:val="14"/>
              </w:rPr>
            </w:pPr>
            <w:r w:rsidRPr="00EA1A63">
              <w:rPr>
                <w:rFonts w:ascii="Times New Roman" w:hAnsi="Times New Roman" w:cs="Times New Roman"/>
                <w:color w:val="000000"/>
                <w:sz w:val="14"/>
                <w:szCs w:val="14"/>
              </w:rPr>
              <w:t>60 000</w:t>
            </w:r>
          </w:p>
        </w:tc>
      </w:tr>
      <w:tr w:rsidR="007D13F3" w:rsidRPr="00951C93" w:rsidTr="00465CAC">
        <w:trPr>
          <w:trHeight w:val="255"/>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3F3" w:rsidRPr="002019B6" w:rsidRDefault="007D13F3" w:rsidP="00465CAC">
            <w:pPr>
              <w:rPr>
                <w:rFonts w:ascii="Times New Roman" w:hAnsi="Times New Roman" w:cs="Times New Roman"/>
                <w:b/>
                <w:bCs/>
                <w:color w:val="000000"/>
                <w:sz w:val="14"/>
                <w:szCs w:val="14"/>
                <w:lang w:eastAsia="sk-SK"/>
              </w:rPr>
            </w:pPr>
            <w:r w:rsidRPr="002019B6">
              <w:rPr>
                <w:rFonts w:ascii="Times New Roman" w:hAnsi="Times New Roman" w:cs="Times New Roman"/>
                <w:b/>
                <w:bCs/>
                <w:color w:val="000000"/>
                <w:sz w:val="14"/>
                <w:szCs w:val="14"/>
              </w:rPr>
              <w:t>zdroje EÚ vrátane spolufinancovania</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7D13F3" w:rsidRPr="002019B6" w:rsidRDefault="004B3B69" w:rsidP="004B3B6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p>
        </w:tc>
        <w:tc>
          <w:tcPr>
            <w:tcW w:w="487" w:type="pct"/>
            <w:tcBorders>
              <w:top w:val="single" w:sz="4" w:space="0" w:color="auto"/>
              <w:left w:val="nil"/>
              <w:bottom w:val="single" w:sz="4" w:space="0" w:color="auto"/>
              <w:right w:val="single" w:sz="4" w:space="0" w:color="auto"/>
            </w:tcBorders>
            <w:shd w:val="clear" w:color="auto" w:fill="auto"/>
            <w:noWrap/>
            <w:vAlign w:val="bottom"/>
          </w:tcPr>
          <w:p w:rsidR="007D13F3" w:rsidRPr="002019B6" w:rsidRDefault="007D13F3" w:rsidP="00465CAC">
            <w:pPr>
              <w:jc w:val="right"/>
              <w:rPr>
                <w:rFonts w:ascii="Times New Roman" w:hAnsi="Times New Roman" w:cs="Times New Roman"/>
                <w:b/>
                <w:bCs/>
                <w:color w:val="000000"/>
                <w:sz w:val="14"/>
                <w:szCs w:val="14"/>
              </w:rPr>
            </w:pPr>
            <w:r w:rsidRPr="002019B6">
              <w:rPr>
                <w:rFonts w:ascii="Times New Roman" w:hAnsi="Times New Roman" w:cs="Times New Roman"/>
                <w:b/>
                <w:bCs/>
                <w:color w:val="000000"/>
                <w:sz w:val="14"/>
                <w:szCs w:val="14"/>
              </w:rPr>
              <w:t>1 522 634</w:t>
            </w:r>
          </w:p>
        </w:tc>
        <w:tc>
          <w:tcPr>
            <w:tcW w:w="487" w:type="pct"/>
            <w:tcBorders>
              <w:top w:val="single" w:sz="4" w:space="0" w:color="auto"/>
              <w:left w:val="nil"/>
              <w:bottom w:val="single" w:sz="4" w:space="0" w:color="auto"/>
              <w:right w:val="single" w:sz="4" w:space="0" w:color="auto"/>
            </w:tcBorders>
            <w:shd w:val="clear" w:color="auto" w:fill="auto"/>
            <w:noWrap/>
            <w:vAlign w:val="bottom"/>
          </w:tcPr>
          <w:p w:rsidR="007D13F3" w:rsidRPr="002019B6" w:rsidRDefault="007D13F3" w:rsidP="00465CAC">
            <w:pPr>
              <w:jc w:val="right"/>
              <w:rPr>
                <w:rFonts w:ascii="Times New Roman" w:hAnsi="Times New Roman" w:cs="Times New Roman"/>
                <w:b/>
                <w:bCs/>
                <w:color w:val="000000"/>
                <w:sz w:val="14"/>
                <w:szCs w:val="14"/>
              </w:rPr>
            </w:pPr>
            <w:r w:rsidRPr="002019B6">
              <w:rPr>
                <w:rFonts w:ascii="Times New Roman" w:hAnsi="Times New Roman" w:cs="Times New Roman"/>
                <w:b/>
                <w:bCs/>
                <w:color w:val="000000"/>
                <w:sz w:val="14"/>
                <w:szCs w:val="14"/>
              </w:rPr>
              <w:t>0</w:t>
            </w:r>
          </w:p>
        </w:tc>
        <w:tc>
          <w:tcPr>
            <w:tcW w:w="487" w:type="pct"/>
            <w:tcBorders>
              <w:top w:val="nil"/>
              <w:left w:val="single" w:sz="4" w:space="0" w:color="auto"/>
              <w:bottom w:val="single" w:sz="4" w:space="0" w:color="auto"/>
              <w:right w:val="single" w:sz="4" w:space="0" w:color="auto"/>
            </w:tcBorders>
            <w:shd w:val="clear" w:color="auto" w:fill="auto"/>
            <w:noWrap/>
            <w:vAlign w:val="bottom"/>
          </w:tcPr>
          <w:p w:rsidR="007D13F3" w:rsidRPr="00EA1A63" w:rsidRDefault="007D13F3" w:rsidP="00465CAC">
            <w:pPr>
              <w:jc w:val="right"/>
              <w:rPr>
                <w:rFonts w:ascii="Times New Roman" w:hAnsi="Times New Roman" w:cs="Times New Roman"/>
                <w:b/>
                <w:bCs/>
                <w:color w:val="000000"/>
                <w:sz w:val="14"/>
                <w:szCs w:val="14"/>
              </w:rPr>
            </w:pPr>
            <w:r w:rsidRPr="00EA1A63">
              <w:rPr>
                <w:rFonts w:ascii="Times New Roman" w:hAnsi="Times New Roman" w:cs="Times New Roman"/>
                <w:b/>
                <w:bCs/>
                <w:color w:val="000000"/>
                <w:sz w:val="14"/>
                <w:szCs w:val="14"/>
              </w:rPr>
              <w:t>11 200 775</w:t>
            </w:r>
          </w:p>
        </w:tc>
        <w:tc>
          <w:tcPr>
            <w:tcW w:w="511" w:type="pct"/>
            <w:tcBorders>
              <w:top w:val="nil"/>
              <w:left w:val="nil"/>
              <w:bottom w:val="single" w:sz="4" w:space="0" w:color="auto"/>
              <w:right w:val="single" w:sz="4" w:space="0" w:color="auto"/>
            </w:tcBorders>
            <w:shd w:val="clear" w:color="auto" w:fill="auto"/>
            <w:noWrap/>
            <w:vAlign w:val="bottom"/>
          </w:tcPr>
          <w:p w:rsidR="007D13F3" w:rsidRPr="00EA1A63" w:rsidRDefault="007D13F3" w:rsidP="00465CAC">
            <w:pPr>
              <w:jc w:val="right"/>
              <w:rPr>
                <w:rFonts w:ascii="Times New Roman" w:hAnsi="Times New Roman" w:cs="Times New Roman"/>
                <w:b/>
                <w:bCs/>
                <w:color w:val="000000"/>
                <w:sz w:val="14"/>
                <w:szCs w:val="14"/>
              </w:rPr>
            </w:pPr>
            <w:r w:rsidRPr="00EA1A63">
              <w:rPr>
                <w:rFonts w:ascii="Times New Roman" w:hAnsi="Times New Roman" w:cs="Times New Roman"/>
                <w:b/>
                <w:bCs/>
                <w:color w:val="000000"/>
                <w:sz w:val="14"/>
                <w:szCs w:val="14"/>
              </w:rPr>
              <w:t>0</w:t>
            </w:r>
          </w:p>
        </w:tc>
        <w:tc>
          <w:tcPr>
            <w:tcW w:w="511" w:type="pct"/>
            <w:tcBorders>
              <w:top w:val="nil"/>
              <w:left w:val="nil"/>
              <w:bottom w:val="single" w:sz="4" w:space="0" w:color="auto"/>
              <w:right w:val="single" w:sz="4" w:space="0" w:color="auto"/>
            </w:tcBorders>
            <w:shd w:val="clear" w:color="auto" w:fill="auto"/>
            <w:noWrap/>
            <w:vAlign w:val="bottom"/>
          </w:tcPr>
          <w:p w:rsidR="007D13F3" w:rsidRPr="00EA1A63" w:rsidRDefault="007D13F3" w:rsidP="00465CAC">
            <w:pPr>
              <w:jc w:val="right"/>
              <w:rPr>
                <w:rFonts w:ascii="Times New Roman" w:hAnsi="Times New Roman" w:cs="Times New Roman"/>
                <w:b/>
                <w:bCs/>
                <w:color w:val="000000"/>
                <w:sz w:val="14"/>
                <w:szCs w:val="14"/>
              </w:rPr>
            </w:pPr>
            <w:r w:rsidRPr="00EA1A63">
              <w:rPr>
                <w:rFonts w:ascii="Times New Roman" w:hAnsi="Times New Roman" w:cs="Times New Roman"/>
                <w:b/>
                <w:bCs/>
                <w:color w:val="000000"/>
                <w:sz w:val="14"/>
                <w:szCs w:val="14"/>
              </w:rPr>
              <w:t>0</w:t>
            </w:r>
          </w:p>
        </w:tc>
        <w:tc>
          <w:tcPr>
            <w:tcW w:w="510" w:type="pct"/>
            <w:tcBorders>
              <w:top w:val="nil"/>
              <w:left w:val="nil"/>
              <w:bottom w:val="single" w:sz="4" w:space="0" w:color="auto"/>
              <w:right w:val="single" w:sz="4" w:space="0" w:color="auto"/>
            </w:tcBorders>
            <w:shd w:val="clear" w:color="auto" w:fill="auto"/>
            <w:noWrap/>
            <w:vAlign w:val="bottom"/>
          </w:tcPr>
          <w:p w:rsidR="007D13F3" w:rsidRPr="00EA1A63" w:rsidRDefault="007D13F3" w:rsidP="00465CAC">
            <w:pPr>
              <w:jc w:val="right"/>
              <w:rPr>
                <w:rFonts w:ascii="Times New Roman" w:hAnsi="Times New Roman" w:cs="Times New Roman"/>
                <w:b/>
                <w:bCs/>
                <w:color w:val="000000"/>
                <w:sz w:val="14"/>
                <w:szCs w:val="14"/>
              </w:rPr>
            </w:pPr>
            <w:r w:rsidRPr="00EA1A63">
              <w:rPr>
                <w:rFonts w:ascii="Times New Roman" w:hAnsi="Times New Roman" w:cs="Times New Roman"/>
                <w:b/>
                <w:bCs/>
                <w:color w:val="000000"/>
                <w:sz w:val="14"/>
                <w:szCs w:val="14"/>
              </w:rPr>
              <w:t>0</w:t>
            </w:r>
          </w:p>
        </w:tc>
      </w:tr>
    </w:tbl>
    <w:p w:rsidR="007D13F3" w:rsidRPr="00951C93" w:rsidRDefault="007D13F3" w:rsidP="007D13F3">
      <w:pPr>
        <w:rPr>
          <w:rFonts w:ascii="Times New Roman" w:hAnsi="Times New Roman" w:cs="Times New Roman"/>
          <w:highlight w:val="yellow"/>
        </w:rPr>
      </w:pPr>
    </w:p>
    <w:p w:rsidR="007D13F3" w:rsidRPr="00352DA3" w:rsidRDefault="007D13F3" w:rsidP="007D13F3">
      <w:pPr>
        <w:ind w:firstLine="708"/>
        <w:jc w:val="both"/>
        <w:rPr>
          <w:rFonts w:ascii="Times New Roman" w:hAnsi="Times New Roman" w:cs="Times New Roman"/>
        </w:rPr>
      </w:pPr>
      <w:r w:rsidRPr="00352DA3">
        <w:rPr>
          <w:rFonts w:ascii="Times New Roman" w:hAnsi="Times New Roman" w:cs="Times New Roman"/>
        </w:rPr>
        <w:t xml:space="preserve">Kapitola Úrad </w:t>
      </w:r>
      <w:r>
        <w:rPr>
          <w:rFonts w:ascii="Times New Roman" w:hAnsi="Times New Roman" w:cs="Times New Roman"/>
        </w:rPr>
        <w:t xml:space="preserve">podpredsedu vlády SR pre investície a informatizáciu </w:t>
      </w:r>
      <w:r w:rsidRPr="00352DA3">
        <w:rPr>
          <w:rFonts w:ascii="Times New Roman" w:hAnsi="Times New Roman" w:cs="Times New Roman"/>
        </w:rPr>
        <w:t>bude mať v roku 201</w:t>
      </w:r>
      <w:r>
        <w:rPr>
          <w:rFonts w:ascii="Times New Roman" w:hAnsi="Times New Roman" w:cs="Times New Roman"/>
        </w:rPr>
        <w:t>8</w:t>
      </w:r>
      <w:r w:rsidRPr="00352DA3">
        <w:rPr>
          <w:rFonts w:ascii="Times New Roman" w:hAnsi="Times New Roman" w:cs="Times New Roman"/>
        </w:rPr>
        <w:t xml:space="preserve"> k dispozícii celkové výdavky vo výške </w:t>
      </w:r>
      <w:r>
        <w:rPr>
          <w:rFonts w:ascii="Times New Roman" w:hAnsi="Times New Roman" w:cs="Times New Roman"/>
        </w:rPr>
        <w:t>3,1</w:t>
      </w:r>
      <w:r w:rsidRPr="00352DA3">
        <w:rPr>
          <w:rFonts w:ascii="Times New Roman" w:hAnsi="Times New Roman" w:cs="Times New Roman"/>
        </w:rPr>
        <w:t xml:space="preserve"> mil. eur, čo je v porovnaní so schváleným rozpočtom roku 201</w:t>
      </w:r>
      <w:r>
        <w:rPr>
          <w:rFonts w:ascii="Times New Roman" w:hAnsi="Times New Roman" w:cs="Times New Roman"/>
        </w:rPr>
        <w:t>7</w:t>
      </w:r>
      <w:r w:rsidRPr="00352DA3">
        <w:rPr>
          <w:rFonts w:ascii="Times New Roman" w:hAnsi="Times New Roman" w:cs="Times New Roman"/>
        </w:rPr>
        <w:t xml:space="preserve"> </w:t>
      </w:r>
      <w:r>
        <w:rPr>
          <w:rFonts w:ascii="Times New Roman" w:hAnsi="Times New Roman" w:cs="Times New Roman"/>
        </w:rPr>
        <w:t>menej</w:t>
      </w:r>
      <w:r w:rsidRPr="00352DA3">
        <w:rPr>
          <w:rFonts w:ascii="Times New Roman" w:hAnsi="Times New Roman" w:cs="Times New Roman"/>
        </w:rPr>
        <w:t xml:space="preserve"> o</w:t>
      </w:r>
      <w:r>
        <w:rPr>
          <w:rFonts w:ascii="Times New Roman" w:hAnsi="Times New Roman" w:cs="Times New Roman"/>
        </w:rPr>
        <w:t xml:space="preserve"> 1,26 mil. </w:t>
      </w:r>
      <w:r w:rsidRPr="00352DA3">
        <w:rPr>
          <w:rFonts w:ascii="Times New Roman" w:hAnsi="Times New Roman" w:cs="Times New Roman"/>
        </w:rPr>
        <w:t>eur, t. j. o</w:t>
      </w:r>
      <w:r>
        <w:rPr>
          <w:rFonts w:ascii="Times New Roman" w:hAnsi="Times New Roman" w:cs="Times New Roman"/>
        </w:rPr>
        <w:t> 28,9</w:t>
      </w:r>
      <w:r w:rsidRPr="00352DA3">
        <w:rPr>
          <w:rFonts w:ascii="Times New Roman" w:hAnsi="Times New Roman" w:cs="Times New Roman"/>
        </w:rPr>
        <w:t xml:space="preserve"> %. </w:t>
      </w:r>
    </w:p>
    <w:p w:rsidR="007D13F3" w:rsidRPr="00352DA3" w:rsidRDefault="007D13F3" w:rsidP="007D13F3">
      <w:pPr>
        <w:ind w:firstLine="708"/>
        <w:jc w:val="both"/>
        <w:rPr>
          <w:rFonts w:ascii="Times New Roman" w:hAnsi="Times New Roman" w:cs="Times New Roman"/>
        </w:rPr>
      </w:pPr>
    </w:p>
    <w:p w:rsidR="007D13F3" w:rsidRPr="00352DA3" w:rsidRDefault="007D13F3" w:rsidP="007D13F3">
      <w:pPr>
        <w:ind w:firstLine="708"/>
        <w:jc w:val="both"/>
        <w:rPr>
          <w:rFonts w:ascii="Times New Roman" w:hAnsi="Times New Roman" w:cs="Times New Roman"/>
        </w:rPr>
      </w:pPr>
      <w:r w:rsidRPr="00352DA3">
        <w:rPr>
          <w:rFonts w:ascii="Times New Roman" w:hAnsi="Times New Roman" w:cs="Times New Roman"/>
        </w:rPr>
        <w:t>Objem osobných výdavkov sa na rok 201</w:t>
      </w:r>
      <w:r>
        <w:rPr>
          <w:rFonts w:ascii="Times New Roman" w:hAnsi="Times New Roman" w:cs="Times New Roman"/>
        </w:rPr>
        <w:t>8</w:t>
      </w:r>
      <w:r w:rsidRPr="00352DA3">
        <w:rPr>
          <w:rFonts w:ascii="Times New Roman" w:hAnsi="Times New Roman" w:cs="Times New Roman"/>
        </w:rPr>
        <w:t xml:space="preserve"> rozpočtuje na úrovni </w:t>
      </w:r>
      <w:r>
        <w:rPr>
          <w:rFonts w:ascii="Times New Roman" w:hAnsi="Times New Roman" w:cs="Times New Roman"/>
        </w:rPr>
        <w:t>1</w:t>
      </w:r>
      <w:r w:rsidRPr="00352DA3">
        <w:rPr>
          <w:rFonts w:ascii="Times New Roman" w:hAnsi="Times New Roman" w:cs="Times New Roman"/>
        </w:rPr>
        <w:t>,</w:t>
      </w:r>
      <w:r>
        <w:rPr>
          <w:rFonts w:ascii="Times New Roman" w:hAnsi="Times New Roman" w:cs="Times New Roman"/>
        </w:rPr>
        <w:t>09</w:t>
      </w:r>
      <w:r w:rsidRPr="00352DA3">
        <w:rPr>
          <w:rFonts w:ascii="Times New Roman" w:hAnsi="Times New Roman" w:cs="Times New Roman"/>
        </w:rPr>
        <w:t xml:space="preserve"> mil. eur, čo v porovnaní so schváleným rozpočtom roku 201</w:t>
      </w:r>
      <w:r>
        <w:rPr>
          <w:rFonts w:ascii="Times New Roman" w:hAnsi="Times New Roman" w:cs="Times New Roman"/>
        </w:rPr>
        <w:t>7</w:t>
      </w:r>
      <w:r w:rsidRPr="00352DA3">
        <w:rPr>
          <w:rFonts w:ascii="Times New Roman" w:hAnsi="Times New Roman" w:cs="Times New Roman"/>
        </w:rPr>
        <w:t xml:space="preserve"> predstavuje z</w:t>
      </w:r>
      <w:r>
        <w:rPr>
          <w:rFonts w:ascii="Times New Roman" w:hAnsi="Times New Roman" w:cs="Times New Roman"/>
        </w:rPr>
        <w:t>níženie</w:t>
      </w:r>
      <w:r w:rsidRPr="00352DA3">
        <w:rPr>
          <w:rFonts w:ascii="Times New Roman" w:hAnsi="Times New Roman" w:cs="Times New Roman"/>
        </w:rPr>
        <w:t xml:space="preserve"> o</w:t>
      </w:r>
      <w:r>
        <w:rPr>
          <w:rFonts w:ascii="Times New Roman" w:hAnsi="Times New Roman" w:cs="Times New Roman"/>
        </w:rPr>
        <w:t> 10,8 tis.</w:t>
      </w:r>
      <w:r w:rsidRPr="00352DA3">
        <w:rPr>
          <w:rFonts w:ascii="Times New Roman" w:hAnsi="Times New Roman" w:cs="Times New Roman"/>
        </w:rPr>
        <w:t xml:space="preserve"> eur, t. j.</w:t>
      </w:r>
      <w:r w:rsidR="004B3B69">
        <w:rPr>
          <w:rFonts w:ascii="Times New Roman" w:hAnsi="Times New Roman" w:cs="Times New Roman"/>
        </w:rPr>
        <w:br/>
      </w:r>
      <w:r w:rsidRPr="00352DA3">
        <w:rPr>
          <w:rFonts w:ascii="Times New Roman" w:hAnsi="Times New Roman" w:cs="Times New Roman"/>
        </w:rPr>
        <w:t>o</w:t>
      </w:r>
      <w:r>
        <w:rPr>
          <w:rFonts w:ascii="Times New Roman" w:hAnsi="Times New Roman" w:cs="Times New Roman"/>
        </w:rPr>
        <w:t> 0,99</w:t>
      </w:r>
      <w:r w:rsidRPr="00352DA3">
        <w:rPr>
          <w:rFonts w:ascii="Times New Roman" w:hAnsi="Times New Roman" w:cs="Times New Roman"/>
        </w:rPr>
        <w:t xml:space="preserve"> %. </w:t>
      </w:r>
      <w:r>
        <w:rPr>
          <w:rFonts w:ascii="Times New Roman" w:hAnsi="Times New Roman" w:cs="Times New Roman"/>
        </w:rPr>
        <w:t>Pokles</w:t>
      </w:r>
      <w:r w:rsidRPr="00352DA3">
        <w:rPr>
          <w:rFonts w:ascii="Times New Roman" w:hAnsi="Times New Roman" w:cs="Times New Roman"/>
        </w:rPr>
        <w:t xml:space="preserve"> je spôsobený </w:t>
      </w:r>
      <w:r>
        <w:rPr>
          <w:rFonts w:ascii="Times New Roman" w:hAnsi="Times New Roman" w:cs="Times New Roman"/>
        </w:rPr>
        <w:t xml:space="preserve">presunom troch zamestnaneckých miest do pôsobnosti Ministerstva financií SR. V limite osobných výdavkov je </w:t>
      </w:r>
      <w:r w:rsidRPr="00352DA3">
        <w:rPr>
          <w:rFonts w:ascii="Times New Roman" w:hAnsi="Times New Roman" w:cs="Times New Roman"/>
        </w:rPr>
        <w:t>premietnut</w:t>
      </w:r>
      <w:r>
        <w:rPr>
          <w:rFonts w:ascii="Times New Roman" w:hAnsi="Times New Roman" w:cs="Times New Roman"/>
        </w:rPr>
        <w:t>á valorizácia</w:t>
      </w:r>
      <w:r w:rsidRPr="00352DA3">
        <w:rPr>
          <w:rFonts w:ascii="Times New Roman" w:hAnsi="Times New Roman" w:cs="Times New Roman"/>
        </w:rPr>
        <w:t xml:space="preserve"> </w:t>
      </w:r>
      <w:r>
        <w:rPr>
          <w:rFonts w:ascii="Times New Roman" w:hAnsi="Times New Roman" w:cs="Times New Roman"/>
        </w:rPr>
        <w:t>miezd zamestnancov</w:t>
      </w:r>
      <w:r w:rsidRPr="00352DA3">
        <w:rPr>
          <w:rFonts w:ascii="Times New Roman" w:hAnsi="Times New Roman" w:cs="Times New Roman"/>
        </w:rPr>
        <w:t xml:space="preserve"> z roku 201</w:t>
      </w:r>
      <w:r>
        <w:rPr>
          <w:rFonts w:ascii="Times New Roman" w:hAnsi="Times New Roman" w:cs="Times New Roman"/>
        </w:rPr>
        <w:t>7.</w:t>
      </w:r>
    </w:p>
    <w:p w:rsidR="007D13F3" w:rsidRPr="00352DA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352DA3">
        <w:rPr>
          <w:rFonts w:ascii="Times New Roman" w:hAnsi="Times New Roman" w:cs="Times New Roman"/>
        </w:rPr>
        <w:t>Vo výdavkoch na tovary a služby na rok 201</w:t>
      </w:r>
      <w:r>
        <w:rPr>
          <w:rFonts w:ascii="Times New Roman" w:hAnsi="Times New Roman" w:cs="Times New Roman"/>
        </w:rPr>
        <w:t>8</w:t>
      </w:r>
      <w:r w:rsidRPr="00352DA3">
        <w:rPr>
          <w:rFonts w:ascii="Times New Roman" w:hAnsi="Times New Roman" w:cs="Times New Roman"/>
        </w:rPr>
        <w:t xml:space="preserve"> v sume </w:t>
      </w:r>
      <w:r>
        <w:rPr>
          <w:rFonts w:ascii="Times New Roman" w:hAnsi="Times New Roman" w:cs="Times New Roman"/>
        </w:rPr>
        <w:t>1,13</w:t>
      </w:r>
      <w:r w:rsidRPr="00352DA3">
        <w:rPr>
          <w:rFonts w:ascii="Times New Roman" w:hAnsi="Times New Roman" w:cs="Times New Roman"/>
        </w:rPr>
        <w:t xml:space="preserve"> mil. eur je </w:t>
      </w:r>
      <w:r>
        <w:rPr>
          <w:rFonts w:ascii="Times New Roman" w:hAnsi="Times New Roman" w:cs="Times New Roman"/>
        </w:rPr>
        <w:t xml:space="preserve">pokles </w:t>
      </w:r>
      <w:r w:rsidRPr="00352DA3">
        <w:rPr>
          <w:rFonts w:ascii="Times New Roman" w:hAnsi="Times New Roman" w:cs="Times New Roman"/>
        </w:rPr>
        <w:t>oproti schválenému rozpočtu roku 201</w:t>
      </w:r>
      <w:r>
        <w:rPr>
          <w:rFonts w:ascii="Times New Roman" w:hAnsi="Times New Roman" w:cs="Times New Roman"/>
        </w:rPr>
        <w:t>7</w:t>
      </w:r>
      <w:r w:rsidRPr="00352DA3">
        <w:rPr>
          <w:rFonts w:ascii="Times New Roman" w:hAnsi="Times New Roman" w:cs="Times New Roman"/>
        </w:rPr>
        <w:t xml:space="preserve"> o</w:t>
      </w:r>
      <w:r>
        <w:rPr>
          <w:rFonts w:ascii="Times New Roman" w:hAnsi="Times New Roman" w:cs="Times New Roman"/>
        </w:rPr>
        <w:t> 2,03</w:t>
      </w:r>
      <w:r w:rsidRPr="00352DA3">
        <w:rPr>
          <w:rFonts w:ascii="Times New Roman" w:hAnsi="Times New Roman" w:cs="Times New Roman"/>
        </w:rPr>
        <w:t xml:space="preserve"> </w:t>
      </w:r>
      <w:r>
        <w:rPr>
          <w:rFonts w:ascii="Times New Roman" w:hAnsi="Times New Roman" w:cs="Times New Roman"/>
        </w:rPr>
        <w:t>mil</w:t>
      </w:r>
      <w:r w:rsidRPr="00352DA3">
        <w:rPr>
          <w:rFonts w:ascii="Times New Roman" w:hAnsi="Times New Roman" w:cs="Times New Roman"/>
        </w:rPr>
        <w:t>. eur, t. j. o</w:t>
      </w:r>
      <w:r>
        <w:rPr>
          <w:rFonts w:ascii="Times New Roman" w:hAnsi="Times New Roman" w:cs="Times New Roman"/>
        </w:rPr>
        <w:t> 64,3</w:t>
      </w:r>
      <w:r w:rsidRPr="00352DA3">
        <w:rPr>
          <w:rFonts w:ascii="Times New Roman" w:hAnsi="Times New Roman" w:cs="Times New Roman"/>
        </w:rPr>
        <w:t xml:space="preserve"> %, najmä z dôvodu </w:t>
      </w:r>
      <w:r>
        <w:rPr>
          <w:rFonts w:ascii="Times New Roman" w:hAnsi="Times New Roman" w:cs="Times New Roman"/>
        </w:rPr>
        <w:t xml:space="preserve">jednorazových prostriedkov na špeciálne a všeobecné služby, štúdie, expertízy a posudky v rozpočte kapitoly v roku 2017. </w:t>
      </w:r>
    </w:p>
    <w:p w:rsidR="007D13F3" w:rsidRPr="00352DA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352DA3">
        <w:rPr>
          <w:rFonts w:ascii="Times New Roman" w:hAnsi="Times New Roman" w:cs="Times New Roman"/>
        </w:rPr>
        <w:t>Bežné transfery na rok 201</w:t>
      </w:r>
      <w:r>
        <w:rPr>
          <w:rFonts w:ascii="Times New Roman" w:hAnsi="Times New Roman" w:cs="Times New Roman"/>
        </w:rPr>
        <w:t>8 rozpočtované v sume 820</w:t>
      </w:r>
      <w:r w:rsidRPr="00352DA3">
        <w:rPr>
          <w:rFonts w:ascii="Times New Roman" w:hAnsi="Times New Roman" w:cs="Times New Roman"/>
        </w:rPr>
        <w:t xml:space="preserve"> </w:t>
      </w:r>
      <w:r>
        <w:rPr>
          <w:rFonts w:ascii="Times New Roman" w:hAnsi="Times New Roman" w:cs="Times New Roman"/>
        </w:rPr>
        <w:t>tis</w:t>
      </w:r>
      <w:r w:rsidRPr="00352DA3">
        <w:rPr>
          <w:rFonts w:ascii="Times New Roman" w:hAnsi="Times New Roman" w:cs="Times New Roman"/>
        </w:rPr>
        <w:t xml:space="preserve">. eur </w:t>
      </w:r>
      <w:r>
        <w:rPr>
          <w:rFonts w:ascii="Times New Roman" w:hAnsi="Times New Roman" w:cs="Times New Roman"/>
        </w:rPr>
        <w:t xml:space="preserve">medziročne rastú </w:t>
      </w:r>
      <w:r w:rsidR="004B3B69">
        <w:rPr>
          <w:rFonts w:ascii="Times New Roman" w:hAnsi="Times New Roman" w:cs="Times New Roman"/>
        </w:rPr>
        <w:br/>
      </w:r>
      <w:r w:rsidRPr="00700A5C">
        <w:rPr>
          <w:rFonts w:ascii="Times New Roman" w:hAnsi="Times New Roman" w:cs="Times New Roman"/>
        </w:rPr>
        <w:t>o</w:t>
      </w:r>
      <w:r>
        <w:rPr>
          <w:rFonts w:ascii="Times New Roman" w:hAnsi="Times New Roman" w:cs="Times New Roman"/>
        </w:rPr>
        <w:t> 798 tis. eur</w:t>
      </w:r>
      <w:r w:rsidRPr="00700A5C">
        <w:rPr>
          <w:rFonts w:ascii="Times New Roman" w:hAnsi="Times New Roman" w:cs="Times New Roman"/>
        </w:rPr>
        <w:t xml:space="preserve"> </w:t>
      </w:r>
      <w:r>
        <w:rPr>
          <w:rFonts w:ascii="Times New Roman" w:hAnsi="Times New Roman" w:cs="Times New Roman"/>
        </w:rPr>
        <w:t>najmä v dôsledku</w:t>
      </w:r>
      <w:r w:rsidRPr="00700A5C">
        <w:rPr>
          <w:rFonts w:ascii="Times New Roman" w:hAnsi="Times New Roman" w:cs="Times New Roman"/>
        </w:rPr>
        <w:t xml:space="preserve"> </w:t>
      </w:r>
      <w:r>
        <w:rPr>
          <w:rFonts w:ascii="Times New Roman" w:hAnsi="Times New Roman" w:cs="Times New Roman"/>
        </w:rPr>
        <w:t>pokrytia výdavkov na pilotnú podporu experimentálneho vývoja a inovácií pre budovanie rozumných miest v SR.</w:t>
      </w:r>
      <w:r w:rsidRPr="00352DA3">
        <w:rPr>
          <w:rFonts w:ascii="Times New Roman" w:hAnsi="Times New Roman" w:cs="Times New Roman"/>
        </w:rPr>
        <w:t xml:space="preserve"> </w:t>
      </w:r>
    </w:p>
    <w:p w:rsidR="004B3B69" w:rsidRPr="00352DA3" w:rsidRDefault="004B3B69" w:rsidP="007D13F3">
      <w:pPr>
        <w:ind w:firstLine="708"/>
        <w:jc w:val="both"/>
        <w:rPr>
          <w:rFonts w:ascii="Times New Roman" w:hAnsi="Times New Roman" w:cs="Times New Roman"/>
        </w:rPr>
      </w:pPr>
    </w:p>
    <w:p w:rsidR="007D13F3" w:rsidRDefault="007D13F3" w:rsidP="007D13F3">
      <w:pPr>
        <w:jc w:val="both"/>
        <w:rPr>
          <w:rFonts w:ascii="Times New Roman" w:hAnsi="Times New Roman" w:cs="Times New Roman"/>
        </w:rPr>
      </w:pPr>
      <w:r>
        <w:rPr>
          <w:rFonts w:ascii="Times New Roman" w:hAnsi="Times New Roman" w:cs="Times New Roman"/>
        </w:rPr>
        <w:tab/>
      </w:r>
      <w:r w:rsidRPr="00352DA3">
        <w:rPr>
          <w:rFonts w:ascii="Times New Roman" w:hAnsi="Times New Roman" w:cs="Times New Roman"/>
        </w:rPr>
        <w:t>Kapitálové výdavky sú na rok 201</w:t>
      </w:r>
      <w:r>
        <w:rPr>
          <w:rFonts w:ascii="Times New Roman" w:hAnsi="Times New Roman" w:cs="Times New Roman"/>
        </w:rPr>
        <w:t>8</w:t>
      </w:r>
      <w:r w:rsidRPr="00352DA3">
        <w:rPr>
          <w:rFonts w:ascii="Times New Roman" w:hAnsi="Times New Roman" w:cs="Times New Roman"/>
        </w:rPr>
        <w:t xml:space="preserve"> rozpočtované na úrovni </w:t>
      </w:r>
      <w:r>
        <w:rPr>
          <w:rFonts w:ascii="Times New Roman" w:hAnsi="Times New Roman" w:cs="Times New Roman"/>
        </w:rPr>
        <w:t>60</w:t>
      </w:r>
      <w:r w:rsidRPr="00352DA3">
        <w:rPr>
          <w:rFonts w:ascii="Times New Roman" w:hAnsi="Times New Roman" w:cs="Times New Roman"/>
        </w:rPr>
        <w:t xml:space="preserve"> </w:t>
      </w:r>
      <w:r>
        <w:rPr>
          <w:rFonts w:ascii="Times New Roman" w:hAnsi="Times New Roman" w:cs="Times New Roman"/>
        </w:rPr>
        <w:t>tis</w:t>
      </w:r>
      <w:r w:rsidRPr="00352DA3">
        <w:rPr>
          <w:rFonts w:ascii="Times New Roman" w:hAnsi="Times New Roman" w:cs="Times New Roman"/>
        </w:rPr>
        <w:t>. eur</w:t>
      </w:r>
      <w:r>
        <w:rPr>
          <w:rFonts w:ascii="Times New Roman" w:hAnsi="Times New Roman" w:cs="Times New Roman"/>
        </w:rPr>
        <w:t xml:space="preserve"> a </w:t>
      </w:r>
      <w:r w:rsidRPr="00352DA3">
        <w:rPr>
          <w:rFonts w:ascii="Times New Roman" w:hAnsi="Times New Roman" w:cs="Times New Roman"/>
        </w:rPr>
        <w:t xml:space="preserve">medziročne </w:t>
      </w:r>
      <w:r>
        <w:rPr>
          <w:rFonts w:ascii="Times New Roman" w:hAnsi="Times New Roman" w:cs="Times New Roman"/>
        </w:rPr>
        <w:t>klesajú o 10 tis</w:t>
      </w:r>
      <w:r w:rsidRPr="003377DC">
        <w:rPr>
          <w:rFonts w:ascii="Times New Roman" w:hAnsi="Times New Roman" w:cs="Times New Roman"/>
        </w:rPr>
        <w:t>. eur</w:t>
      </w:r>
      <w:r>
        <w:rPr>
          <w:rFonts w:ascii="Times New Roman" w:hAnsi="Times New Roman" w:cs="Times New Roman"/>
        </w:rPr>
        <w:t>.</w:t>
      </w:r>
      <w:r w:rsidRPr="003377DC">
        <w:rPr>
          <w:rFonts w:ascii="Times New Roman" w:hAnsi="Times New Roman" w:cs="Times New Roman"/>
        </w:rPr>
        <w:t xml:space="preserve"> </w:t>
      </w:r>
      <w:r w:rsidRPr="00352DA3">
        <w:rPr>
          <w:rFonts w:ascii="Times New Roman" w:hAnsi="Times New Roman" w:cs="Times New Roman"/>
        </w:rPr>
        <w:t xml:space="preserve">Rozpísané kapitálové výdavky kapitola použije na </w:t>
      </w:r>
      <w:r>
        <w:rPr>
          <w:rFonts w:ascii="Times New Roman" w:hAnsi="Times New Roman" w:cs="Times New Roman"/>
        </w:rPr>
        <w:t>nákup výpočtovej, telekomunikačnej a kancelárskej techniky</w:t>
      </w:r>
      <w:r w:rsidRPr="00352DA3">
        <w:rPr>
          <w:rFonts w:ascii="Times New Roman" w:hAnsi="Times New Roman" w:cs="Times New Roman"/>
        </w:rPr>
        <w:t xml:space="preserve">. </w:t>
      </w:r>
    </w:p>
    <w:p w:rsidR="007D13F3" w:rsidRDefault="007D13F3" w:rsidP="007D13F3"/>
    <w:p w:rsidR="000736F2" w:rsidRDefault="000736F2" w:rsidP="007D13F3"/>
    <w:p w:rsidR="000736F2" w:rsidRDefault="000736F2" w:rsidP="007D13F3"/>
    <w:p w:rsidR="000736F2" w:rsidRDefault="000736F2" w:rsidP="007D13F3"/>
    <w:p w:rsidR="000736F2" w:rsidRDefault="000736F2" w:rsidP="007D13F3"/>
    <w:p w:rsidR="000736F2" w:rsidRDefault="000736F2" w:rsidP="007D13F3"/>
    <w:p w:rsidR="000736F2" w:rsidRDefault="000736F2" w:rsidP="007D13F3"/>
    <w:p w:rsidR="000736F2" w:rsidRDefault="000736F2" w:rsidP="007D13F3"/>
    <w:p w:rsidR="000736F2" w:rsidRDefault="000736F2" w:rsidP="007D13F3"/>
    <w:p w:rsidR="000736F2" w:rsidRDefault="000736F2" w:rsidP="007D13F3"/>
    <w:p w:rsidR="000736F2" w:rsidRDefault="000736F2" w:rsidP="007D13F3"/>
    <w:p w:rsidR="000736F2" w:rsidRDefault="000736F2" w:rsidP="007D13F3"/>
    <w:p w:rsidR="007D13F3" w:rsidRPr="00EF4E9F" w:rsidRDefault="007D13F3" w:rsidP="007D13F3">
      <w:pPr>
        <w:pStyle w:val="Nadpis5"/>
        <w:pBdr>
          <w:bottom w:val="single" w:sz="4" w:space="1" w:color="auto"/>
        </w:pBdr>
        <w:spacing w:before="0" w:after="0"/>
        <w:ind w:left="0"/>
        <w:rPr>
          <w:i w:val="0"/>
          <w:sz w:val="24"/>
        </w:rPr>
      </w:pPr>
      <w:bookmarkStart w:id="159" w:name="_Toc400551769"/>
      <w:bookmarkStart w:id="160" w:name="_Toc494470107"/>
      <w:bookmarkStart w:id="161" w:name="_Toc494472283"/>
      <w:r w:rsidRPr="00EF4E9F">
        <w:rPr>
          <w:i w:val="0"/>
          <w:sz w:val="24"/>
        </w:rPr>
        <w:lastRenderedPageBreak/>
        <w:t>Kancelária Ústavného súdu SR</w:t>
      </w:r>
      <w:bookmarkEnd w:id="159"/>
      <w:bookmarkEnd w:id="160"/>
      <w:bookmarkEnd w:id="161"/>
    </w:p>
    <w:p w:rsidR="007D13F3" w:rsidRDefault="007D13F3" w:rsidP="007D13F3"/>
    <w:tbl>
      <w:tblPr>
        <w:tblW w:w="5000" w:type="pct"/>
        <w:tblCellMar>
          <w:left w:w="70" w:type="dxa"/>
          <w:right w:w="70" w:type="dxa"/>
        </w:tblCellMar>
        <w:tblLook w:val="04A0" w:firstRow="1" w:lastRow="0" w:firstColumn="1" w:lastColumn="0" w:noHBand="0" w:noVBand="1"/>
      </w:tblPr>
      <w:tblGrid>
        <w:gridCol w:w="2415"/>
        <w:gridCol w:w="949"/>
        <w:gridCol w:w="949"/>
        <w:gridCol w:w="949"/>
        <w:gridCol w:w="950"/>
        <w:gridCol w:w="950"/>
        <w:gridCol w:w="950"/>
        <w:gridCol w:w="950"/>
      </w:tblGrid>
      <w:tr w:rsidR="007D13F3" w:rsidRPr="00E042C2" w:rsidTr="00465CAC">
        <w:trPr>
          <w:trHeight w:hRule="exact" w:val="255"/>
        </w:trPr>
        <w:tc>
          <w:tcPr>
            <w:tcW w:w="133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E042C2" w:rsidRDefault="007D13F3" w:rsidP="00465CAC">
            <w:pPr>
              <w:rPr>
                <w:rFonts w:ascii="Times New Roman" w:hAnsi="Times New Roman" w:cs="Times New Roman"/>
                <w:b/>
                <w:bCs/>
                <w:color w:val="000000"/>
                <w:sz w:val="14"/>
                <w:szCs w:val="14"/>
                <w:lang w:eastAsia="sk-SK"/>
              </w:rPr>
            </w:pPr>
            <w:r w:rsidRPr="00E042C2">
              <w:rPr>
                <w:rFonts w:ascii="Times New Roman" w:hAnsi="Times New Roman" w:cs="Times New Roman"/>
                <w:b/>
                <w:bCs/>
                <w:color w:val="000000"/>
                <w:sz w:val="14"/>
                <w:szCs w:val="14"/>
                <w:lang w:eastAsia="sk-SK"/>
              </w:rPr>
              <w:t>v eurách</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E042C2" w:rsidRDefault="007D13F3" w:rsidP="00465CAC">
            <w:pPr>
              <w:jc w:val="center"/>
              <w:rPr>
                <w:rFonts w:ascii="Times New Roman" w:hAnsi="Times New Roman" w:cs="Times New Roman"/>
                <w:b/>
                <w:bCs/>
                <w:sz w:val="14"/>
                <w:szCs w:val="14"/>
                <w:lang w:eastAsia="sk-SK"/>
              </w:rPr>
            </w:pPr>
            <w:r w:rsidRPr="00E042C2">
              <w:rPr>
                <w:rFonts w:ascii="Times New Roman" w:hAnsi="Times New Roman" w:cs="Times New Roman"/>
                <w:b/>
                <w:bCs/>
                <w:sz w:val="14"/>
                <w:szCs w:val="14"/>
                <w:lang w:eastAsia="sk-SK"/>
              </w:rPr>
              <w:t>2015 S</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E042C2" w:rsidRDefault="007D13F3" w:rsidP="00465CAC">
            <w:pPr>
              <w:jc w:val="center"/>
              <w:rPr>
                <w:rFonts w:ascii="Times New Roman" w:hAnsi="Times New Roman" w:cs="Times New Roman"/>
                <w:b/>
                <w:bCs/>
                <w:sz w:val="14"/>
                <w:szCs w:val="14"/>
                <w:lang w:eastAsia="sk-SK"/>
              </w:rPr>
            </w:pPr>
            <w:r w:rsidRPr="00E042C2">
              <w:rPr>
                <w:rFonts w:ascii="Times New Roman" w:hAnsi="Times New Roman" w:cs="Times New Roman"/>
                <w:b/>
                <w:bCs/>
                <w:sz w:val="14"/>
                <w:szCs w:val="14"/>
                <w:lang w:eastAsia="sk-SK"/>
              </w:rPr>
              <w:t>2016 S</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E042C2" w:rsidRDefault="007D13F3" w:rsidP="00465CAC">
            <w:pPr>
              <w:jc w:val="center"/>
              <w:rPr>
                <w:rFonts w:ascii="Times New Roman" w:hAnsi="Times New Roman" w:cs="Times New Roman"/>
                <w:b/>
                <w:bCs/>
                <w:sz w:val="14"/>
                <w:szCs w:val="14"/>
                <w:lang w:eastAsia="sk-SK"/>
              </w:rPr>
            </w:pPr>
            <w:r w:rsidRPr="00E042C2">
              <w:rPr>
                <w:rFonts w:ascii="Times New Roman" w:hAnsi="Times New Roman" w:cs="Times New Roman"/>
                <w:b/>
                <w:bCs/>
                <w:sz w:val="14"/>
                <w:szCs w:val="14"/>
                <w:lang w:eastAsia="sk-SK"/>
              </w:rPr>
              <w:t>2017 R</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E042C2" w:rsidRDefault="004B3B69"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OS</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E042C2" w:rsidRDefault="007D13F3" w:rsidP="00465CAC">
            <w:pPr>
              <w:jc w:val="center"/>
              <w:rPr>
                <w:rFonts w:ascii="Times New Roman" w:hAnsi="Times New Roman" w:cs="Times New Roman"/>
                <w:b/>
                <w:bCs/>
                <w:color w:val="000000"/>
                <w:sz w:val="14"/>
                <w:szCs w:val="14"/>
                <w:lang w:eastAsia="sk-SK"/>
              </w:rPr>
            </w:pPr>
            <w:r w:rsidRPr="00E042C2">
              <w:rPr>
                <w:rFonts w:ascii="Times New Roman" w:hAnsi="Times New Roman" w:cs="Times New Roman"/>
                <w:b/>
                <w:bCs/>
                <w:color w:val="000000"/>
                <w:sz w:val="14"/>
                <w:szCs w:val="14"/>
                <w:lang w:eastAsia="sk-SK"/>
              </w:rPr>
              <w:t xml:space="preserve">2018 </w:t>
            </w:r>
            <w:r w:rsidR="00FE714B">
              <w:rPr>
                <w:rFonts w:ascii="Times New Roman" w:hAnsi="Times New Roman" w:cs="Times New Roman"/>
                <w:b/>
                <w:bCs/>
                <w:color w:val="000000"/>
                <w:sz w:val="14"/>
                <w:szCs w:val="14"/>
                <w:lang w:eastAsia="sk-SK"/>
              </w:rPr>
              <w:t>N</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E042C2" w:rsidRDefault="007D13F3" w:rsidP="00FE714B">
            <w:pPr>
              <w:jc w:val="center"/>
              <w:rPr>
                <w:rFonts w:ascii="Times New Roman" w:hAnsi="Times New Roman" w:cs="Times New Roman"/>
                <w:b/>
                <w:bCs/>
                <w:color w:val="000000"/>
                <w:sz w:val="14"/>
                <w:szCs w:val="14"/>
                <w:lang w:eastAsia="sk-SK"/>
              </w:rPr>
            </w:pPr>
            <w:r w:rsidRPr="00E042C2">
              <w:rPr>
                <w:rFonts w:ascii="Times New Roman" w:hAnsi="Times New Roman" w:cs="Times New Roman"/>
                <w:b/>
                <w:bCs/>
                <w:color w:val="000000"/>
                <w:sz w:val="14"/>
                <w:szCs w:val="14"/>
                <w:lang w:eastAsia="sk-SK"/>
              </w:rPr>
              <w:t xml:space="preserve">2019 </w:t>
            </w:r>
            <w:r w:rsidR="00FE714B">
              <w:rPr>
                <w:rFonts w:ascii="Times New Roman" w:hAnsi="Times New Roman" w:cs="Times New Roman"/>
                <w:b/>
                <w:bCs/>
                <w:color w:val="000000"/>
                <w:sz w:val="14"/>
                <w:szCs w:val="14"/>
                <w:lang w:eastAsia="sk-SK"/>
              </w:rPr>
              <w:t>N</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E042C2" w:rsidRDefault="007D13F3" w:rsidP="00FE714B">
            <w:pPr>
              <w:jc w:val="center"/>
              <w:rPr>
                <w:rFonts w:ascii="Times New Roman" w:hAnsi="Times New Roman" w:cs="Times New Roman"/>
                <w:b/>
                <w:bCs/>
                <w:color w:val="000000"/>
                <w:sz w:val="14"/>
                <w:szCs w:val="14"/>
                <w:lang w:eastAsia="sk-SK"/>
              </w:rPr>
            </w:pPr>
            <w:r w:rsidRPr="00E042C2">
              <w:rPr>
                <w:rFonts w:ascii="Times New Roman" w:hAnsi="Times New Roman" w:cs="Times New Roman"/>
                <w:b/>
                <w:bCs/>
                <w:color w:val="000000"/>
                <w:sz w:val="14"/>
                <w:szCs w:val="14"/>
                <w:lang w:eastAsia="sk-SK"/>
              </w:rPr>
              <w:t xml:space="preserve">2020 </w:t>
            </w:r>
            <w:r w:rsidR="00FE714B">
              <w:rPr>
                <w:rFonts w:ascii="Times New Roman" w:hAnsi="Times New Roman" w:cs="Times New Roman"/>
                <w:b/>
                <w:bCs/>
                <w:color w:val="000000"/>
                <w:sz w:val="14"/>
                <w:szCs w:val="14"/>
                <w:lang w:eastAsia="sk-SK"/>
              </w:rPr>
              <w:t>N</w:t>
            </w:r>
          </w:p>
        </w:tc>
      </w:tr>
      <w:tr w:rsidR="007D13F3" w:rsidRPr="00E042C2" w:rsidTr="00465CAC">
        <w:trPr>
          <w:trHeight w:hRule="exact" w:val="255"/>
        </w:trPr>
        <w:tc>
          <w:tcPr>
            <w:tcW w:w="1332"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E042C2" w:rsidRDefault="007D13F3" w:rsidP="00465CAC">
            <w:pPr>
              <w:rPr>
                <w:rFonts w:ascii="Times New Roman" w:hAnsi="Times New Roman" w:cs="Times New Roman"/>
                <w:b/>
                <w:bCs/>
                <w:color w:val="000000"/>
                <w:sz w:val="14"/>
                <w:szCs w:val="14"/>
                <w:lang w:eastAsia="sk-SK"/>
              </w:rPr>
            </w:pPr>
            <w:r w:rsidRPr="00E042C2">
              <w:rPr>
                <w:rFonts w:ascii="Times New Roman" w:hAnsi="Times New Roman" w:cs="Times New Roman"/>
                <w:b/>
                <w:bCs/>
                <w:color w:val="000000"/>
                <w:sz w:val="14"/>
                <w:szCs w:val="14"/>
                <w:lang w:eastAsia="sk-SK"/>
              </w:rPr>
              <w:t>zdroje príslušnej kapitoly vrátane 72e</w:t>
            </w:r>
          </w:p>
        </w:tc>
        <w:tc>
          <w:tcPr>
            <w:tcW w:w="524"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E042C2" w:rsidRDefault="007D13F3" w:rsidP="00465CAC">
            <w:pPr>
              <w:jc w:val="right"/>
              <w:rPr>
                <w:rFonts w:ascii="Times New Roman" w:hAnsi="Times New Roman" w:cs="Times New Roman"/>
                <w:b/>
                <w:bCs/>
                <w:sz w:val="14"/>
                <w:szCs w:val="14"/>
                <w:lang w:eastAsia="sk-SK"/>
              </w:rPr>
            </w:pPr>
            <w:r w:rsidRPr="00E042C2">
              <w:rPr>
                <w:rFonts w:ascii="Times New Roman" w:hAnsi="Times New Roman" w:cs="Times New Roman"/>
                <w:b/>
                <w:bCs/>
                <w:sz w:val="14"/>
                <w:szCs w:val="14"/>
                <w:lang w:eastAsia="sk-SK"/>
              </w:rPr>
              <w:t>5 431 894</w:t>
            </w:r>
          </w:p>
        </w:tc>
        <w:tc>
          <w:tcPr>
            <w:tcW w:w="524"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E042C2" w:rsidRDefault="007D13F3" w:rsidP="00465CAC">
            <w:pPr>
              <w:jc w:val="center"/>
              <w:rPr>
                <w:rFonts w:ascii="Times New Roman" w:hAnsi="Times New Roman" w:cs="Times New Roman"/>
                <w:b/>
                <w:bCs/>
                <w:sz w:val="14"/>
                <w:szCs w:val="14"/>
                <w:lang w:eastAsia="sk-SK"/>
              </w:rPr>
            </w:pPr>
            <w:r w:rsidRPr="00E042C2">
              <w:rPr>
                <w:rFonts w:ascii="Times New Roman" w:hAnsi="Times New Roman" w:cs="Times New Roman"/>
                <w:b/>
                <w:bCs/>
                <w:sz w:val="14"/>
                <w:szCs w:val="14"/>
                <w:lang w:eastAsia="sk-SK"/>
              </w:rPr>
              <w:t>4 692 439</w:t>
            </w:r>
          </w:p>
        </w:tc>
        <w:tc>
          <w:tcPr>
            <w:tcW w:w="524"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E042C2" w:rsidRDefault="007D13F3" w:rsidP="00465CAC">
            <w:pPr>
              <w:jc w:val="right"/>
              <w:rPr>
                <w:rFonts w:ascii="Times New Roman" w:hAnsi="Times New Roman" w:cs="Times New Roman"/>
                <w:b/>
                <w:bCs/>
                <w:sz w:val="14"/>
                <w:szCs w:val="14"/>
                <w:lang w:eastAsia="sk-SK"/>
              </w:rPr>
            </w:pPr>
            <w:r w:rsidRPr="00E042C2">
              <w:rPr>
                <w:rFonts w:ascii="Times New Roman" w:hAnsi="Times New Roman" w:cs="Times New Roman"/>
                <w:b/>
                <w:bCs/>
                <w:sz w:val="14"/>
                <w:szCs w:val="14"/>
                <w:lang w:eastAsia="sk-SK"/>
              </w:rPr>
              <w:t>4 730 103</w:t>
            </w:r>
          </w:p>
        </w:tc>
        <w:tc>
          <w:tcPr>
            <w:tcW w:w="524"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E042C2" w:rsidRDefault="007D13F3" w:rsidP="00465CAC">
            <w:pPr>
              <w:jc w:val="right"/>
              <w:rPr>
                <w:rFonts w:ascii="Times New Roman" w:hAnsi="Times New Roman" w:cs="Times New Roman"/>
                <w:b/>
                <w:bCs/>
                <w:color w:val="000000"/>
                <w:sz w:val="14"/>
                <w:szCs w:val="14"/>
                <w:lang w:eastAsia="sk-SK"/>
              </w:rPr>
            </w:pPr>
            <w:r w:rsidRPr="00E042C2">
              <w:rPr>
                <w:rFonts w:ascii="Times New Roman" w:hAnsi="Times New Roman" w:cs="Times New Roman"/>
                <w:b/>
                <w:bCs/>
                <w:color w:val="000000"/>
                <w:sz w:val="14"/>
                <w:szCs w:val="14"/>
                <w:lang w:eastAsia="sk-SK"/>
              </w:rPr>
              <w:t>4</w:t>
            </w:r>
            <w:r>
              <w:rPr>
                <w:rFonts w:ascii="Times New Roman" w:hAnsi="Times New Roman" w:cs="Times New Roman"/>
                <w:b/>
                <w:bCs/>
                <w:color w:val="000000"/>
                <w:sz w:val="14"/>
                <w:szCs w:val="14"/>
                <w:lang w:eastAsia="sk-SK"/>
              </w:rPr>
              <w:t> 972 003</w:t>
            </w:r>
          </w:p>
        </w:tc>
        <w:tc>
          <w:tcPr>
            <w:tcW w:w="524"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E042C2" w:rsidRDefault="007D13F3" w:rsidP="00465CAC">
            <w:pPr>
              <w:jc w:val="right"/>
              <w:rPr>
                <w:rFonts w:ascii="Times New Roman" w:hAnsi="Times New Roman" w:cs="Times New Roman"/>
                <w:b/>
                <w:bCs/>
                <w:color w:val="000000"/>
                <w:sz w:val="14"/>
                <w:szCs w:val="14"/>
                <w:lang w:eastAsia="sk-SK"/>
              </w:rPr>
            </w:pPr>
            <w:r w:rsidRPr="00E042C2">
              <w:rPr>
                <w:rFonts w:ascii="Times New Roman" w:hAnsi="Times New Roman" w:cs="Times New Roman"/>
                <w:b/>
                <w:bCs/>
                <w:color w:val="000000"/>
                <w:sz w:val="14"/>
                <w:szCs w:val="14"/>
                <w:lang w:eastAsia="sk-SK"/>
              </w:rPr>
              <w:t>5 098 246</w:t>
            </w:r>
          </w:p>
        </w:tc>
        <w:tc>
          <w:tcPr>
            <w:tcW w:w="524"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E042C2" w:rsidRDefault="007D13F3" w:rsidP="00465CAC">
            <w:pPr>
              <w:jc w:val="right"/>
              <w:rPr>
                <w:rFonts w:ascii="Times New Roman" w:hAnsi="Times New Roman" w:cs="Times New Roman"/>
                <w:b/>
                <w:bCs/>
                <w:color w:val="000000"/>
                <w:sz w:val="14"/>
                <w:szCs w:val="14"/>
                <w:lang w:eastAsia="sk-SK"/>
              </w:rPr>
            </w:pPr>
            <w:r w:rsidRPr="00E042C2">
              <w:rPr>
                <w:rFonts w:ascii="Times New Roman" w:hAnsi="Times New Roman" w:cs="Times New Roman"/>
                <w:b/>
                <w:bCs/>
                <w:color w:val="000000"/>
                <w:sz w:val="14"/>
                <w:szCs w:val="14"/>
                <w:lang w:eastAsia="sk-SK"/>
              </w:rPr>
              <w:t>5 080 831</w:t>
            </w:r>
          </w:p>
        </w:tc>
        <w:tc>
          <w:tcPr>
            <w:tcW w:w="524" w:type="pct"/>
            <w:tcBorders>
              <w:top w:val="nil"/>
              <w:left w:val="nil"/>
              <w:bottom w:val="single" w:sz="4" w:space="0" w:color="auto"/>
              <w:right w:val="single" w:sz="4" w:space="0" w:color="auto"/>
            </w:tcBorders>
            <w:shd w:val="clear" w:color="auto" w:fill="BFBFBF" w:themeFill="background1" w:themeFillShade="BF"/>
            <w:noWrap/>
            <w:vAlign w:val="center"/>
            <w:hideMark/>
          </w:tcPr>
          <w:p w:rsidR="007D13F3" w:rsidRPr="00E042C2" w:rsidRDefault="007D13F3" w:rsidP="00465CAC">
            <w:pPr>
              <w:jc w:val="right"/>
              <w:rPr>
                <w:rFonts w:ascii="Times New Roman" w:hAnsi="Times New Roman" w:cs="Times New Roman"/>
                <w:b/>
                <w:bCs/>
                <w:color w:val="000000"/>
                <w:sz w:val="14"/>
                <w:szCs w:val="14"/>
                <w:lang w:eastAsia="sk-SK"/>
              </w:rPr>
            </w:pPr>
            <w:r w:rsidRPr="00E042C2">
              <w:rPr>
                <w:rFonts w:ascii="Times New Roman" w:hAnsi="Times New Roman" w:cs="Times New Roman"/>
                <w:b/>
                <w:bCs/>
                <w:color w:val="000000"/>
                <w:sz w:val="14"/>
                <w:szCs w:val="14"/>
                <w:lang w:eastAsia="sk-SK"/>
              </w:rPr>
              <w:t>5 142 834</w:t>
            </w:r>
          </w:p>
        </w:tc>
      </w:tr>
      <w:tr w:rsidR="007D13F3" w:rsidRPr="00E042C2" w:rsidTr="00465CAC">
        <w:trPr>
          <w:trHeight w:hRule="exact" w:val="255"/>
        </w:trPr>
        <w:tc>
          <w:tcPr>
            <w:tcW w:w="1332"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E042C2" w:rsidRDefault="007D13F3" w:rsidP="00465CAC">
            <w:pPr>
              <w:rPr>
                <w:rFonts w:ascii="Times New Roman" w:hAnsi="Times New Roman" w:cs="Times New Roman"/>
                <w:b/>
                <w:bCs/>
                <w:sz w:val="14"/>
                <w:szCs w:val="14"/>
                <w:lang w:eastAsia="sk-SK"/>
              </w:rPr>
            </w:pPr>
            <w:r w:rsidRPr="00E042C2">
              <w:rPr>
                <w:rFonts w:ascii="Times New Roman" w:hAnsi="Times New Roman" w:cs="Times New Roman"/>
                <w:b/>
                <w:bCs/>
                <w:sz w:val="14"/>
                <w:szCs w:val="14"/>
                <w:lang w:eastAsia="sk-SK"/>
              </w:rPr>
              <w:t>zdroje príslušnej kapitoly</w:t>
            </w:r>
          </w:p>
        </w:tc>
        <w:tc>
          <w:tcPr>
            <w:tcW w:w="524"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E042C2" w:rsidRDefault="007D13F3" w:rsidP="00465CAC">
            <w:pPr>
              <w:jc w:val="right"/>
              <w:rPr>
                <w:rFonts w:ascii="Times New Roman" w:hAnsi="Times New Roman" w:cs="Times New Roman"/>
                <w:b/>
                <w:bCs/>
                <w:sz w:val="14"/>
                <w:szCs w:val="14"/>
                <w:lang w:eastAsia="sk-SK"/>
              </w:rPr>
            </w:pPr>
            <w:r w:rsidRPr="00E042C2">
              <w:rPr>
                <w:rFonts w:ascii="Times New Roman" w:hAnsi="Times New Roman" w:cs="Times New Roman"/>
                <w:b/>
                <w:bCs/>
                <w:sz w:val="14"/>
                <w:szCs w:val="14"/>
                <w:lang w:eastAsia="sk-SK"/>
              </w:rPr>
              <w:t>5 431 894</w:t>
            </w:r>
          </w:p>
        </w:tc>
        <w:tc>
          <w:tcPr>
            <w:tcW w:w="524"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E042C2" w:rsidRDefault="007D13F3" w:rsidP="00465CAC">
            <w:pPr>
              <w:jc w:val="right"/>
              <w:rPr>
                <w:rFonts w:ascii="Times New Roman" w:hAnsi="Times New Roman" w:cs="Times New Roman"/>
                <w:b/>
                <w:bCs/>
                <w:sz w:val="14"/>
                <w:szCs w:val="14"/>
                <w:lang w:eastAsia="sk-SK"/>
              </w:rPr>
            </w:pPr>
            <w:r w:rsidRPr="00E042C2">
              <w:rPr>
                <w:rFonts w:ascii="Times New Roman" w:hAnsi="Times New Roman" w:cs="Times New Roman"/>
                <w:b/>
                <w:bCs/>
                <w:sz w:val="14"/>
                <w:szCs w:val="14"/>
                <w:lang w:eastAsia="sk-SK"/>
              </w:rPr>
              <w:t>4 692 439</w:t>
            </w:r>
          </w:p>
        </w:tc>
        <w:tc>
          <w:tcPr>
            <w:tcW w:w="524"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E042C2" w:rsidRDefault="007D13F3" w:rsidP="00465CAC">
            <w:pPr>
              <w:jc w:val="right"/>
              <w:rPr>
                <w:rFonts w:ascii="Times New Roman" w:hAnsi="Times New Roman" w:cs="Times New Roman"/>
                <w:b/>
                <w:bCs/>
                <w:sz w:val="14"/>
                <w:szCs w:val="14"/>
                <w:lang w:eastAsia="sk-SK"/>
              </w:rPr>
            </w:pPr>
            <w:r w:rsidRPr="00E042C2">
              <w:rPr>
                <w:rFonts w:ascii="Times New Roman" w:hAnsi="Times New Roman" w:cs="Times New Roman"/>
                <w:b/>
                <w:bCs/>
                <w:sz w:val="14"/>
                <w:szCs w:val="14"/>
                <w:lang w:eastAsia="sk-SK"/>
              </w:rPr>
              <w:t>4 730 103</w:t>
            </w:r>
          </w:p>
        </w:tc>
        <w:tc>
          <w:tcPr>
            <w:tcW w:w="524"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E042C2" w:rsidRDefault="007D13F3" w:rsidP="00465CAC">
            <w:pPr>
              <w:jc w:val="right"/>
              <w:rPr>
                <w:rFonts w:ascii="Times New Roman" w:hAnsi="Times New Roman" w:cs="Times New Roman"/>
                <w:b/>
                <w:bCs/>
                <w:sz w:val="14"/>
                <w:szCs w:val="14"/>
                <w:lang w:eastAsia="sk-SK"/>
              </w:rPr>
            </w:pPr>
            <w:r w:rsidRPr="00E042C2">
              <w:rPr>
                <w:rFonts w:ascii="Times New Roman" w:hAnsi="Times New Roman" w:cs="Times New Roman"/>
                <w:b/>
                <w:bCs/>
                <w:sz w:val="14"/>
                <w:szCs w:val="14"/>
                <w:lang w:eastAsia="sk-SK"/>
              </w:rPr>
              <w:t>4</w:t>
            </w:r>
            <w:r>
              <w:rPr>
                <w:rFonts w:ascii="Times New Roman" w:hAnsi="Times New Roman" w:cs="Times New Roman"/>
                <w:b/>
                <w:bCs/>
                <w:sz w:val="14"/>
                <w:szCs w:val="14"/>
                <w:lang w:eastAsia="sk-SK"/>
              </w:rPr>
              <w:t> 972 003</w:t>
            </w:r>
          </w:p>
        </w:tc>
        <w:tc>
          <w:tcPr>
            <w:tcW w:w="524"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E042C2" w:rsidRDefault="007D13F3" w:rsidP="00465CAC">
            <w:pPr>
              <w:jc w:val="right"/>
              <w:rPr>
                <w:rFonts w:ascii="Times New Roman" w:hAnsi="Times New Roman" w:cs="Times New Roman"/>
                <w:b/>
                <w:bCs/>
                <w:sz w:val="14"/>
                <w:szCs w:val="14"/>
                <w:lang w:eastAsia="sk-SK"/>
              </w:rPr>
            </w:pPr>
            <w:r w:rsidRPr="00E042C2">
              <w:rPr>
                <w:rFonts w:ascii="Times New Roman" w:hAnsi="Times New Roman" w:cs="Times New Roman"/>
                <w:b/>
                <w:bCs/>
                <w:sz w:val="14"/>
                <w:szCs w:val="14"/>
                <w:lang w:eastAsia="sk-SK"/>
              </w:rPr>
              <w:t>5 098 146</w:t>
            </w:r>
          </w:p>
        </w:tc>
        <w:tc>
          <w:tcPr>
            <w:tcW w:w="524"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E042C2" w:rsidRDefault="007D13F3" w:rsidP="00465CAC">
            <w:pPr>
              <w:jc w:val="right"/>
              <w:rPr>
                <w:rFonts w:ascii="Times New Roman" w:hAnsi="Times New Roman" w:cs="Times New Roman"/>
                <w:b/>
                <w:bCs/>
                <w:sz w:val="14"/>
                <w:szCs w:val="14"/>
                <w:lang w:eastAsia="sk-SK"/>
              </w:rPr>
            </w:pPr>
            <w:r w:rsidRPr="00E042C2">
              <w:rPr>
                <w:rFonts w:ascii="Times New Roman" w:hAnsi="Times New Roman" w:cs="Times New Roman"/>
                <w:b/>
                <w:bCs/>
                <w:sz w:val="14"/>
                <w:szCs w:val="14"/>
                <w:lang w:eastAsia="sk-SK"/>
              </w:rPr>
              <w:t>5 080 731</w:t>
            </w:r>
          </w:p>
        </w:tc>
        <w:tc>
          <w:tcPr>
            <w:tcW w:w="524"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E042C2" w:rsidRDefault="007D13F3" w:rsidP="00465CAC">
            <w:pPr>
              <w:jc w:val="right"/>
              <w:rPr>
                <w:rFonts w:ascii="Times New Roman" w:hAnsi="Times New Roman" w:cs="Times New Roman"/>
                <w:b/>
                <w:bCs/>
                <w:sz w:val="14"/>
                <w:szCs w:val="14"/>
                <w:lang w:eastAsia="sk-SK"/>
              </w:rPr>
            </w:pPr>
            <w:r w:rsidRPr="00E042C2">
              <w:rPr>
                <w:rFonts w:ascii="Times New Roman" w:hAnsi="Times New Roman" w:cs="Times New Roman"/>
                <w:b/>
                <w:bCs/>
                <w:sz w:val="14"/>
                <w:szCs w:val="14"/>
                <w:lang w:eastAsia="sk-SK"/>
              </w:rPr>
              <w:t>5 142 734</w:t>
            </w:r>
          </w:p>
        </w:tc>
      </w:tr>
      <w:tr w:rsidR="007D13F3" w:rsidRPr="00E042C2" w:rsidTr="00465CAC">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7D13F3" w:rsidRPr="00E042C2" w:rsidRDefault="007D13F3" w:rsidP="00465CAC">
            <w:pPr>
              <w:rPr>
                <w:rFonts w:ascii="Times New Roman" w:hAnsi="Times New Roman" w:cs="Times New Roman"/>
                <w:b/>
                <w:bCs/>
                <w:color w:val="000000"/>
                <w:sz w:val="14"/>
                <w:szCs w:val="14"/>
                <w:lang w:eastAsia="sk-SK"/>
              </w:rPr>
            </w:pPr>
            <w:r w:rsidRPr="00E042C2">
              <w:rPr>
                <w:rFonts w:ascii="Times New Roman" w:hAnsi="Times New Roman" w:cs="Times New Roman"/>
                <w:b/>
                <w:bCs/>
                <w:color w:val="000000"/>
                <w:sz w:val="14"/>
                <w:szCs w:val="14"/>
                <w:lang w:eastAsia="sk-SK"/>
              </w:rPr>
              <w:t xml:space="preserve">rozpočtové zdroje kapitoly </w:t>
            </w:r>
          </w:p>
        </w:tc>
        <w:tc>
          <w:tcPr>
            <w:tcW w:w="524" w:type="pct"/>
            <w:tcBorders>
              <w:top w:val="nil"/>
              <w:left w:val="nil"/>
              <w:bottom w:val="single" w:sz="4" w:space="0" w:color="auto"/>
              <w:right w:val="single" w:sz="4" w:space="0" w:color="auto"/>
            </w:tcBorders>
            <w:shd w:val="clear" w:color="000000" w:fill="FFFFFF"/>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3 925 462</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4 490 375</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4 730 103</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4</w:t>
            </w:r>
            <w:r>
              <w:rPr>
                <w:rFonts w:ascii="Times New Roman" w:hAnsi="Times New Roman" w:cs="Times New Roman"/>
                <w:sz w:val="14"/>
                <w:szCs w:val="14"/>
                <w:lang w:eastAsia="sk-SK"/>
              </w:rPr>
              <w:t> 847 943</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5 098 146</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5 080 731</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5 142 734</w:t>
            </w:r>
          </w:p>
        </w:tc>
      </w:tr>
      <w:tr w:rsidR="007D13F3" w:rsidRPr="00E042C2" w:rsidTr="00465CAC">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7D13F3" w:rsidRPr="00E042C2" w:rsidRDefault="007D13F3" w:rsidP="00465CAC">
            <w:pPr>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 xml:space="preserve">    v tom: bežné výdavky  600</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3 886 565</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4 451 118</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4 637 989</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4</w:t>
            </w:r>
            <w:r>
              <w:rPr>
                <w:rFonts w:ascii="Times New Roman" w:hAnsi="Times New Roman" w:cs="Times New Roman"/>
                <w:sz w:val="14"/>
                <w:szCs w:val="14"/>
                <w:lang w:eastAsia="sk-SK"/>
              </w:rPr>
              <w:t> 782 829</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4 955 746</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4 940 731</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5 012 734</w:t>
            </w:r>
          </w:p>
        </w:tc>
      </w:tr>
      <w:tr w:rsidR="007D13F3" w:rsidRPr="00E042C2" w:rsidTr="00465CAC">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7D13F3" w:rsidRPr="00E042C2" w:rsidRDefault="007D13F3" w:rsidP="00465CAC">
            <w:pPr>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 xml:space="preserve">                 610 mzdy</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2 116 920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2 361 867</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2 574 227</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 622 537</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2 726 672</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2 772 969</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2 829 547</w:t>
            </w:r>
          </w:p>
        </w:tc>
      </w:tr>
      <w:tr w:rsidR="007D13F3" w:rsidRPr="00E042C2" w:rsidTr="00465CAC">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7D13F3" w:rsidRPr="00E042C2" w:rsidRDefault="007D13F3" w:rsidP="00465CAC">
            <w:pPr>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 xml:space="preserve">                 620 odvody</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616 780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676 419</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765 195</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791 771</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782 922</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798 268</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818 240</w:t>
            </w:r>
          </w:p>
        </w:tc>
      </w:tr>
      <w:tr w:rsidR="007D13F3" w:rsidRPr="00E042C2" w:rsidTr="00465CAC">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7D13F3" w:rsidRPr="00E042C2" w:rsidRDefault="007D13F3" w:rsidP="00465CAC">
            <w:pPr>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 xml:space="preserve">                 630 tovary a služby</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1 002 187</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1 183 378</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1 112 863</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1 139 863</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1 228 696</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1 147 406</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1 138 071</w:t>
            </w:r>
          </w:p>
        </w:tc>
      </w:tr>
      <w:tr w:rsidR="007D13F3" w:rsidRPr="00E042C2" w:rsidTr="00465CAC">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7D13F3" w:rsidRPr="00E042C2" w:rsidRDefault="007D13F3" w:rsidP="00465CAC">
            <w:pPr>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 xml:space="preserve">                 640 bežné transfery</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150 678</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229 454</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185 704</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228 658</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217 456</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222 088</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226 876</w:t>
            </w:r>
          </w:p>
        </w:tc>
      </w:tr>
      <w:tr w:rsidR="007D13F3" w:rsidRPr="00E042C2" w:rsidTr="00465CAC">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7D13F3" w:rsidRPr="00E042C2" w:rsidRDefault="007D13F3" w:rsidP="00465CAC">
            <w:pPr>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 xml:space="preserve">               kapitálové výdavky 700</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38 897</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39 257</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92 114</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65 114</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142 400</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140 000</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130 000</w:t>
            </w:r>
          </w:p>
        </w:tc>
      </w:tr>
      <w:tr w:rsidR="007D13F3" w:rsidRPr="008D5ED4" w:rsidTr="00465CAC">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7D13F3" w:rsidRPr="008D5ED4" w:rsidRDefault="007D13F3" w:rsidP="00465CAC">
            <w:pPr>
              <w:rPr>
                <w:rFonts w:ascii="Times New Roman" w:hAnsi="Times New Roman" w:cs="Times New Roman"/>
                <w:b/>
                <w:bCs/>
                <w:color w:val="000000"/>
                <w:sz w:val="14"/>
                <w:szCs w:val="14"/>
                <w:lang w:eastAsia="sk-SK"/>
              </w:rPr>
            </w:pPr>
            <w:r w:rsidRPr="008D5ED4">
              <w:rPr>
                <w:rFonts w:ascii="Times New Roman" w:hAnsi="Times New Roman" w:cs="Times New Roman"/>
                <w:b/>
                <w:bCs/>
                <w:color w:val="000000"/>
                <w:sz w:val="14"/>
                <w:szCs w:val="14"/>
                <w:lang w:eastAsia="sk-SK"/>
              </w:rPr>
              <w:t xml:space="preserve">zdroje EÚ vrátane spolufinancovania: </w:t>
            </w:r>
          </w:p>
        </w:tc>
        <w:tc>
          <w:tcPr>
            <w:tcW w:w="524" w:type="pct"/>
            <w:tcBorders>
              <w:top w:val="nil"/>
              <w:left w:val="nil"/>
              <w:bottom w:val="single" w:sz="4" w:space="0" w:color="auto"/>
              <w:right w:val="single" w:sz="4" w:space="0" w:color="auto"/>
            </w:tcBorders>
            <w:shd w:val="clear" w:color="000000" w:fill="FFFFFF"/>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1 506 432</w:t>
            </w:r>
          </w:p>
        </w:tc>
        <w:tc>
          <w:tcPr>
            <w:tcW w:w="524" w:type="pct"/>
            <w:tcBorders>
              <w:top w:val="nil"/>
              <w:left w:val="nil"/>
              <w:bottom w:val="single" w:sz="4" w:space="0" w:color="auto"/>
              <w:right w:val="single" w:sz="4" w:space="0" w:color="auto"/>
            </w:tcBorders>
            <w:shd w:val="clear" w:color="auto" w:fill="auto"/>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130 624</w:t>
            </w:r>
          </w:p>
        </w:tc>
        <w:tc>
          <w:tcPr>
            <w:tcW w:w="524" w:type="pct"/>
            <w:tcBorders>
              <w:top w:val="nil"/>
              <w:left w:val="nil"/>
              <w:bottom w:val="single" w:sz="4" w:space="0" w:color="auto"/>
              <w:right w:val="single" w:sz="4" w:space="0" w:color="auto"/>
            </w:tcBorders>
            <w:shd w:val="clear" w:color="auto" w:fill="auto"/>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0</w:t>
            </w:r>
          </w:p>
        </w:tc>
        <w:tc>
          <w:tcPr>
            <w:tcW w:w="524" w:type="pct"/>
            <w:tcBorders>
              <w:top w:val="nil"/>
              <w:left w:val="nil"/>
              <w:bottom w:val="single" w:sz="4" w:space="0" w:color="auto"/>
              <w:right w:val="single" w:sz="4" w:space="0" w:color="auto"/>
            </w:tcBorders>
            <w:shd w:val="clear" w:color="auto" w:fill="auto"/>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0</w:t>
            </w:r>
          </w:p>
        </w:tc>
        <w:tc>
          <w:tcPr>
            <w:tcW w:w="524" w:type="pct"/>
            <w:tcBorders>
              <w:top w:val="nil"/>
              <w:left w:val="nil"/>
              <w:bottom w:val="single" w:sz="4" w:space="0" w:color="auto"/>
              <w:right w:val="single" w:sz="4" w:space="0" w:color="auto"/>
            </w:tcBorders>
            <w:shd w:val="clear" w:color="auto" w:fill="auto"/>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0</w:t>
            </w:r>
          </w:p>
        </w:tc>
        <w:tc>
          <w:tcPr>
            <w:tcW w:w="524" w:type="pct"/>
            <w:tcBorders>
              <w:top w:val="nil"/>
              <w:left w:val="nil"/>
              <w:bottom w:val="single" w:sz="4" w:space="0" w:color="auto"/>
              <w:right w:val="single" w:sz="4" w:space="0" w:color="auto"/>
            </w:tcBorders>
            <w:shd w:val="clear" w:color="auto" w:fill="auto"/>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0</w:t>
            </w:r>
          </w:p>
        </w:tc>
        <w:tc>
          <w:tcPr>
            <w:tcW w:w="524" w:type="pct"/>
            <w:tcBorders>
              <w:top w:val="nil"/>
              <w:left w:val="nil"/>
              <w:bottom w:val="single" w:sz="4" w:space="0" w:color="auto"/>
              <w:right w:val="single" w:sz="4" w:space="0" w:color="auto"/>
            </w:tcBorders>
            <w:shd w:val="clear" w:color="auto" w:fill="auto"/>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0</w:t>
            </w:r>
          </w:p>
        </w:tc>
      </w:tr>
      <w:tr w:rsidR="007D13F3" w:rsidRPr="00E042C2" w:rsidTr="00465CAC">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7D13F3" w:rsidRPr="00E042C2" w:rsidRDefault="007D13F3" w:rsidP="00465CAC">
            <w:pPr>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 xml:space="preserve">    v tom: 2. program. obdobie  EÚ </w:t>
            </w:r>
          </w:p>
        </w:tc>
        <w:tc>
          <w:tcPr>
            <w:tcW w:w="524" w:type="pct"/>
            <w:tcBorders>
              <w:top w:val="nil"/>
              <w:left w:val="nil"/>
              <w:bottom w:val="single" w:sz="4" w:space="0" w:color="auto"/>
              <w:right w:val="single" w:sz="4" w:space="0" w:color="auto"/>
            </w:tcBorders>
            <w:shd w:val="clear" w:color="000000" w:fill="FFFFFF"/>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1 134 493</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98 373</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0</w:t>
            </w:r>
          </w:p>
        </w:tc>
      </w:tr>
      <w:tr w:rsidR="007D13F3" w:rsidRPr="00E042C2" w:rsidTr="00465CAC">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7D13F3" w:rsidRPr="00E042C2" w:rsidRDefault="007D13F3" w:rsidP="00465CAC">
            <w:pPr>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 xml:space="preserve">             spolufinancovanie zo ŠR</w:t>
            </w:r>
          </w:p>
        </w:tc>
        <w:tc>
          <w:tcPr>
            <w:tcW w:w="524" w:type="pct"/>
            <w:tcBorders>
              <w:top w:val="nil"/>
              <w:left w:val="nil"/>
              <w:bottom w:val="single" w:sz="4" w:space="0" w:color="auto"/>
              <w:right w:val="single" w:sz="4" w:space="0" w:color="auto"/>
            </w:tcBorders>
            <w:shd w:val="clear" w:color="000000" w:fill="FFFFFF"/>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371 939</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32 251</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0</w:t>
            </w:r>
          </w:p>
        </w:tc>
      </w:tr>
      <w:tr w:rsidR="007D13F3" w:rsidRPr="008D5ED4" w:rsidTr="00465CAC">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7D13F3" w:rsidRPr="008D5ED4" w:rsidRDefault="007D13F3" w:rsidP="00465CAC">
            <w:pPr>
              <w:rPr>
                <w:rFonts w:ascii="Times New Roman" w:hAnsi="Times New Roman" w:cs="Times New Roman"/>
                <w:b/>
                <w:bCs/>
                <w:color w:val="000000"/>
                <w:sz w:val="14"/>
                <w:szCs w:val="14"/>
                <w:lang w:eastAsia="sk-SK"/>
              </w:rPr>
            </w:pPr>
            <w:r w:rsidRPr="008D5ED4">
              <w:rPr>
                <w:rFonts w:ascii="Times New Roman" w:hAnsi="Times New Roman" w:cs="Times New Roman"/>
                <w:b/>
                <w:bCs/>
                <w:color w:val="000000"/>
                <w:sz w:val="14"/>
                <w:szCs w:val="14"/>
                <w:lang w:eastAsia="sk-SK"/>
              </w:rPr>
              <w:t>presun z minulých rokov § 8</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71 440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124 060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0</w:t>
            </w:r>
          </w:p>
        </w:tc>
      </w:tr>
      <w:tr w:rsidR="007D13F3" w:rsidRPr="00E042C2" w:rsidTr="00465CAC">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7D13F3" w:rsidRPr="00E042C2" w:rsidRDefault="007D13F3" w:rsidP="00465CAC">
            <w:pPr>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 xml:space="preserve">    v tom: štátny rozpočet</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71 440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color w:val="000000"/>
                <w:sz w:val="14"/>
                <w:szCs w:val="14"/>
                <w:lang w:eastAsia="sk-SK"/>
              </w:rPr>
            </w:pPr>
            <w:r w:rsidRPr="00E042C2">
              <w:rPr>
                <w:rFonts w:ascii="Times New Roman" w:hAnsi="Times New Roman" w:cs="Times New Roman"/>
                <w:color w:val="000000"/>
                <w:sz w:val="14"/>
                <w:szCs w:val="14"/>
                <w:lang w:eastAsia="sk-SK"/>
              </w:rPr>
              <w:t>124 060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E042C2" w:rsidRDefault="007D13F3" w:rsidP="00465CAC">
            <w:pPr>
              <w:jc w:val="right"/>
              <w:rPr>
                <w:rFonts w:ascii="Times New Roman" w:hAnsi="Times New Roman" w:cs="Times New Roman"/>
                <w:sz w:val="14"/>
                <w:szCs w:val="14"/>
                <w:lang w:eastAsia="sk-SK"/>
              </w:rPr>
            </w:pPr>
            <w:r w:rsidRPr="00E042C2">
              <w:rPr>
                <w:rFonts w:ascii="Times New Roman" w:hAnsi="Times New Roman" w:cs="Times New Roman"/>
                <w:sz w:val="14"/>
                <w:szCs w:val="14"/>
                <w:lang w:eastAsia="sk-SK"/>
              </w:rPr>
              <w:t>0</w:t>
            </w:r>
          </w:p>
        </w:tc>
      </w:tr>
      <w:tr w:rsidR="007D13F3" w:rsidRPr="008D5ED4" w:rsidTr="00465CAC">
        <w:trPr>
          <w:trHeight w:hRule="exact" w:val="255"/>
        </w:trPr>
        <w:tc>
          <w:tcPr>
            <w:tcW w:w="1332" w:type="pct"/>
            <w:tcBorders>
              <w:top w:val="nil"/>
              <w:left w:val="single" w:sz="4" w:space="0" w:color="auto"/>
              <w:bottom w:val="single" w:sz="4" w:space="0" w:color="auto"/>
              <w:right w:val="single" w:sz="4" w:space="0" w:color="auto"/>
            </w:tcBorders>
            <w:shd w:val="clear" w:color="000000" w:fill="FFFFFF"/>
            <w:noWrap/>
            <w:vAlign w:val="center"/>
            <w:hideMark/>
          </w:tcPr>
          <w:p w:rsidR="007D13F3" w:rsidRPr="008D5ED4" w:rsidRDefault="007D13F3" w:rsidP="00465CAC">
            <w:pPr>
              <w:rPr>
                <w:rFonts w:ascii="Times New Roman" w:hAnsi="Times New Roman" w:cs="Times New Roman"/>
                <w:b/>
                <w:bCs/>
                <w:color w:val="000000"/>
                <w:sz w:val="14"/>
                <w:szCs w:val="14"/>
                <w:lang w:eastAsia="sk-SK"/>
              </w:rPr>
            </w:pPr>
            <w:r w:rsidRPr="008D5ED4">
              <w:rPr>
                <w:rFonts w:ascii="Times New Roman" w:hAnsi="Times New Roman" w:cs="Times New Roman"/>
                <w:b/>
                <w:bCs/>
                <w:sz w:val="14"/>
                <w:szCs w:val="14"/>
                <w:lang w:eastAsia="sk-SK"/>
              </w:rPr>
              <w:t>zdroj 72e*</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0</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100</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100</w:t>
            </w:r>
          </w:p>
        </w:tc>
        <w:tc>
          <w:tcPr>
            <w:tcW w:w="524" w:type="pct"/>
            <w:tcBorders>
              <w:top w:val="nil"/>
              <w:left w:val="nil"/>
              <w:bottom w:val="single" w:sz="4" w:space="0" w:color="auto"/>
              <w:right w:val="single" w:sz="4" w:space="0" w:color="auto"/>
            </w:tcBorders>
            <w:shd w:val="clear" w:color="000000" w:fill="FFFFFF"/>
            <w:noWrap/>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100</w:t>
            </w:r>
          </w:p>
        </w:tc>
      </w:tr>
    </w:tbl>
    <w:p w:rsidR="007D13F3" w:rsidRDefault="007D13F3" w:rsidP="007D13F3">
      <w:pPr>
        <w:rPr>
          <w:rFonts w:ascii="Times New Roman" w:hAnsi="Times New Roman" w:cs="Times New Roman"/>
          <w:color w:val="000000"/>
          <w:sz w:val="14"/>
          <w:szCs w:val="14"/>
          <w:lang w:eastAsia="sk-SK"/>
        </w:rPr>
      </w:pPr>
      <w:r w:rsidRPr="00A629CF">
        <w:rPr>
          <w:rFonts w:ascii="Times New Roman" w:hAnsi="Times New Roman" w:cs="Times New Roman"/>
          <w:color w:val="000000"/>
          <w:sz w:val="14"/>
          <w:szCs w:val="14"/>
          <w:lang w:eastAsia="sk-SK"/>
        </w:rPr>
        <w:t>*z poistného plnenia zo zmluvného poistenia alebo zo zákonného poistenia</w:t>
      </w:r>
    </w:p>
    <w:p w:rsidR="007D13F3" w:rsidRDefault="007D13F3" w:rsidP="007D13F3">
      <w:pPr>
        <w:rPr>
          <w:rFonts w:ascii="Times New Roman" w:hAnsi="Times New Roman" w:cs="Times New Roman"/>
          <w:color w:val="000000"/>
          <w:sz w:val="14"/>
          <w:szCs w:val="14"/>
          <w:lang w:eastAsia="sk-SK"/>
        </w:rPr>
      </w:pPr>
    </w:p>
    <w:tbl>
      <w:tblPr>
        <w:tblW w:w="5000" w:type="pct"/>
        <w:tblCellMar>
          <w:left w:w="70" w:type="dxa"/>
          <w:right w:w="70" w:type="dxa"/>
        </w:tblCellMar>
        <w:tblLook w:val="04A0" w:firstRow="1" w:lastRow="0" w:firstColumn="1" w:lastColumn="0" w:noHBand="0" w:noVBand="1"/>
      </w:tblPr>
      <w:tblGrid>
        <w:gridCol w:w="2399"/>
        <w:gridCol w:w="951"/>
        <w:gridCol w:w="952"/>
        <w:gridCol w:w="952"/>
        <w:gridCol w:w="952"/>
        <w:gridCol w:w="952"/>
        <w:gridCol w:w="952"/>
        <w:gridCol w:w="952"/>
      </w:tblGrid>
      <w:tr w:rsidR="007D13F3" w:rsidRPr="000E76EC" w:rsidTr="00465CAC">
        <w:trPr>
          <w:trHeight w:hRule="exact" w:val="255"/>
        </w:trPr>
        <w:tc>
          <w:tcPr>
            <w:tcW w:w="13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13F3" w:rsidRPr="000E76EC" w:rsidRDefault="000E76EC" w:rsidP="00465CAC">
            <w:pPr>
              <w:rPr>
                <w:rFonts w:ascii="Times New Roman" w:hAnsi="Times New Roman" w:cs="Times New Roman"/>
                <w:b/>
                <w:bCs/>
                <w:sz w:val="14"/>
                <w:szCs w:val="14"/>
                <w:lang w:eastAsia="sk-SK"/>
              </w:rPr>
            </w:pPr>
            <w:r w:rsidRPr="000E76EC">
              <w:rPr>
                <w:rFonts w:ascii="Times New Roman" w:hAnsi="Times New Roman" w:cs="Times New Roman"/>
                <w:b/>
                <w:bCs/>
                <w:sz w:val="14"/>
                <w:szCs w:val="14"/>
                <w:lang w:eastAsia="sk-SK"/>
              </w:rPr>
              <w:t>S</w:t>
            </w:r>
            <w:r w:rsidR="007D13F3" w:rsidRPr="000E76EC">
              <w:rPr>
                <w:rFonts w:ascii="Times New Roman" w:hAnsi="Times New Roman" w:cs="Times New Roman"/>
                <w:b/>
                <w:bCs/>
                <w:sz w:val="14"/>
                <w:szCs w:val="14"/>
                <w:lang w:eastAsia="sk-SK"/>
              </w:rPr>
              <w:t xml:space="preserve">amostatné účty </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243 606</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260 159</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254 824</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256 629</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0</w:t>
            </w:r>
          </w:p>
        </w:tc>
      </w:tr>
    </w:tbl>
    <w:p w:rsidR="007D13F3" w:rsidRDefault="007D13F3" w:rsidP="007D13F3"/>
    <w:p w:rsidR="007D13F3" w:rsidRPr="0090722B" w:rsidRDefault="007D13F3" w:rsidP="007D13F3">
      <w:pPr>
        <w:ind w:firstLine="708"/>
        <w:jc w:val="both"/>
        <w:rPr>
          <w:rFonts w:ascii="Times New Roman" w:hAnsi="Times New Roman" w:cs="Times New Roman"/>
        </w:rPr>
      </w:pPr>
      <w:r w:rsidRPr="0090722B">
        <w:rPr>
          <w:rFonts w:ascii="Times New Roman" w:hAnsi="Times New Roman" w:cs="Times New Roman"/>
        </w:rPr>
        <w:t xml:space="preserve">Celkové výdavky kapitoly </w:t>
      </w:r>
      <w:r>
        <w:rPr>
          <w:rFonts w:ascii="Times New Roman" w:hAnsi="Times New Roman" w:cs="Times New Roman"/>
        </w:rPr>
        <w:t xml:space="preserve">Kancelária Ústavného súdu SR (ďalej len KÚS SR) sa na rok </w:t>
      </w:r>
      <w:r w:rsidRPr="0090722B">
        <w:rPr>
          <w:rFonts w:ascii="Times New Roman" w:hAnsi="Times New Roman" w:cs="Times New Roman"/>
        </w:rPr>
        <w:t>2018 rozpočtujú v</w:t>
      </w:r>
      <w:r>
        <w:rPr>
          <w:rFonts w:ascii="Times New Roman" w:hAnsi="Times New Roman" w:cs="Times New Roman"/>
        </w:rPr>
        <w:t xml:space="preserve"> sume</w:t>
      </w:r>
      <w:r w:rsidRPr="0090722B">
        <w:rPr>
          <w:rFonts w:ascii="Times New Roman" w:hAnsi="Times New Roman" w:cs="Times New Roman"/>
        </w:rPr>
        <w:t xml:space="preserve"> </w:t>
      </w:r>
      <w:r>
        <w:rPr>
          <w:rFonts w:ascii="Times New Roman" w:hAnsi="Times New Roman" w:cs="Times New Roman"/>
        </w:rPr>
        <w:t>5</w:t>
      </w:r>
      <w:r w:rsidRPr="0090722B">
        <w:rPr>
          <w:rFonts w:ascii="Times New Roman" w:hAnsi="Times New Roman" w:cs="Times New Roman"/>
        </w:rPr>
        <w:t>,</w:t>
      </w:r>
      <w:r>
        <w:rPr>
          <w:rFonts w:ascii="Times New Roman" w:hAnsi="Times New Roman" w:cs="Times New Roman"/>
        </w:rPr>
        <w:t>09</w:t>
      </w:r>
      <w:r w:rsidRPr="0090722B">
        <w:rPr>
          <w:rFonts w:ascii="Times New Roman" w:hAnsi="Times New Roman" w:cs="Times New Roman"/>
        </w:rPr>
        <w:t xml:space="preserve"> mil. eur</w:t>
      </w:r>
      <w:r>
        <w:rPr>
          <w:rFonts w:ascii="Times New Roman" w:hAnsi="Times New Roman" w:cs="Times New Roman"/>
        </w:rPr>
        <w:t xml:space="preserve">, medziročne rastú </w:t>
      </w:r>
      <w:r w:rsidRPr="001666D8">
        <w:rPr>
          <w:rFonts w:ascii="Times New Roman" w:hAnsi="Times New Roman" w:cs="Times New Roman"/>
        </w:rPr>
        <w:t>o</w:t>
      </w:r>
      <w:r w:rsidRPr="0090722B">
        <w:rPr>
          <w:rFonts w:ascii="Times New Roman" w:hAnsi="Times New Roman" w:cs="Times New Roman"/>
        </w:rPr>
        <w:t> </w:t>
      </w:r>
      <w:r>
        <w:rPr>
          <w:rFonts w:ascii="Times New Roman" w:hAnsi="Times New Roman" w:cs="Times New Roman"/>
        </w:rPr>
        <w:t>368</w:t>
      </w:r>
      <w:r w:rsidRPr="0090722B">
        <w:rPr>
          <w:rFonts w:ascii="Times New Roman" w:hAnsi="Times New Roman" w:cs="Times New Roman"/>
        </w:rPr>
        <w:t xml:space="preserve"> tis. eur, </w:t>
      </w:r>
      <w:r>
        <w:rPr>
          <w:rFonts w:ascii="Times New Roman" w:hAnsi="Times New Roman" w:cs="Times New Roman"/>
        </w:rPr>
        <w:t>čo predstavuje</w:t>
      </w:r>
      <w:r w:rsidRPr="0090722B">
        <w:rPr>
          <w:rFonts w:ascii="Times New Roman" w:hAnsi="Times New Roman" w:cs="Times New Roman"/>
        </w:rPr>
        <w:t> </w:t>
      </w:r>
      <w:r>
        <w:rPr>
          <w:rFonts w:ascii="Times New Roman" w:hAnsi="Times New Roman" w:cs="Times New Roman"/>
        </w:rPr>
        <w:t>7</w:t>
      </w:r>
      <w:r w:rsidRPr="0090722B">
        <w:rPr>
          <w:rFonts w:ascii="Times New Roman" w:hAnsi="Times New Roman" w:cs="Times New Roman"/>
        </w:rPr>
        <w:t>,</w:t>
      </w:r>
      <w:r>
        <w:rPr>
          <w:rFonts w:ascii="Times New Roman" w:hAnsi="Times New Roman" w:cs="Times New Roman"/>
        </w:rPr>
        <w:t>78</w:t>
      </w:r>
      <w:r w:rsidRPr="0090722B">
        <w:rPr>
          <w:rFonts w:ascii="Times New Roman" w:hAnsi="Times New Roman" w:cs="Times New Roman"/>
        </w:rPr>
        <w:t xml:space="preserve"> %.</w:t>
      </w:r>
    </w:p>
    <w:p w:rsidR="007D13F3" w:rsidRPr="0090722B" w:rsidRDefault="007D13F3" w:rsidP="007D13F3">
      <w:pPr>
        <w:jc w:val="both"/>
        <w:rPr>
          <w:rFonts w:ascii="Times New Roman" w:hAnsi="Times New Roman" w:cs="Times New Roman"/>
          <w:highlight w:val="yellow"/>
        </w:rPr>
      </w:pPr>
    </w:p>
    <w:p w:rsidR="007D13F3" w:rsidRPr="00365755" w:rsidRDefault="007D13F3" w:rsidP="007D13F3">
      <w:pPr>
        <w:ind w:firstLine="708"/>
        <w:jc w:val="both"/>
        <w:rPr>
          <w:rFonts w:ascii="Times New Roman" w:hAnsi="Times New Roman" w:cs="Times New Roman"/>
          <w:bCs/>
          <w:highlight w:val="yellow"/>
        </w:rPr>
      </w:pPr>
      <w:r w:rsidRPr="00365755">
        <w:rPr>
          <w:rFonts w:ascii="Times New Roman" w:hAnsi="Times New Roman" w:cs="Times New Roman"/>
        </w:rPr>
        <w:t xml:space="preserve">Osobné výdavky </w:t>
      </w:r>
      <w:r>
        <w:rPr>
          <w:rFonts w:ascii="Times New Roman" w:hAnsi="Times New Roman" w:cs="Times New Roman"/>
        </w:rPr>
        <w:t>s</w:t>
      </w:r>
      <w:r w:rsidRPr="00365755">
        <w:rPr>
          <w:rFonts w:ascii="Times New Roman" w:hAnsi="Times New Roman" w:cs="Times New Roman"/>
        </w:rPr>
        <w:t xml:space="preserve">a </w:t>
      </w:r>
      <w:r>
        <w:rPr>
          <w:rFonts w:ascii="Times New Roman" w:hAnsi="Times New Roman" w:cs="Times New Roman"/>
        </w:rPr>
        <w:t xml:space="preserve">rozpočtujú v sume </w:t>
      </w:r>
      <w:r w:rsidRPr="0090722B">
        <w:rPr>
          <w:rFonts w:ascii="Times New Roman" w:hAnsi="Times New Roman" w:cs="Times New Roman"/>
        </w:rPr>
        <w:t>3,</w:t>
      </w:r>
      <w:r>
        <w:rPr>
          <w:rFonts w:ascii="Times New Roman" w:hAnsi="Times New Roman" w:cs="Times New Roman"/>
        </w:rPr>
        <w:t>51</w:t>
      </w:r>
      <w:r w:rsidRPr="0090722B">
        <w:rPr>
          <w:rFonts w:ascii="Times New Roman" w:hAnsi="Times New Roman" w:cs="Times New Roman"/>
        </w:rPr>
        <w:t xml:space="preserve"> mil. eur</w:t>
      </w:r>
      <w:r>
        <w:rPr>
          <w:rFonts w:ascii="Times New Roman" w:hAnsi="Times New Roman" w:cs="Times New Roman"/>
        </w:rPr>
        <w:t xml:space="preserve">, čo predstavuje oproti </w:t>
      </w:r>
      <w:r w:rsidRPr="00365755">
        <w:rPr>
          <w:rFonts w:ascii="Times New Roman" w:hAnsi="Times New Roman" w:cs="Times New Roman"/>
        </w:rPr>
        <w:t>schválen</w:t>
      </w:r>
      <w:r>
        <w:rPr>
          <w:rFonts w:ascii="Times New Roman" w:hAnsi="Times New Roman" w:cs="Times New Roman"/>
        </w:rPr>
        <w:t>ému</w:t>
      </w:r>
      <w:r w:rsidRPr="00365755">
        <w:rPr>
          <w:rFonts w:ascii="Times New Roman" w:hAnsi="Times New Roman" w:cs="Times New Roman"/>
        </w:rPr>
        <w:t xml:space="preserve"> rozpočt</w:t>
      </w:r>
      <w:r>
        <w:rPr>
          <w:rFonts w:ascii="Times New Roman" w:hAnsi="Times New Roman" w:cs="Times New Roman"/>
        </w:rPr>
        <w:t>u</w:t>
      </w:r>
      <w:r w:rsidRPr="00365755">
        <w:rPr>
          <w:rFonts w:ascii="Times New Roman" w:hAnsi="Times New Roman" w:cs="Times New Roman"/>
        </w:rPr>
        <w:t xml:space="preserve"> na rok 2017 </w:t>
      </w:r>
      <w:r>
        <w:rPr>
          <w:rFonts w:ascii="Times New Roman" w:hAnsi="Times New Roman" w:cs="Times New Roman"/>
        </w:rPr>
        <w:t>zvýšenie</w:t>
      </w:r>
      <w:r w:rsidRPr="00365755">
        <w:rPr>
          <w:rFonts w:ascii="Times New Roman" w:hAnsi="Times New Roman" w:cs="Times New Roman"/>
        </w:rPr>
        <w:t xml:space="preserve"> o 170 tis. eur, </w:t>
      </w:r>
      <w:r>
        <w:rPr>
          <w:rFonts w:ascii="Times New Roman" w:hAnsi="Times New Roman" w:cs="Times New Roman"/>
        </w:rPr>
        <w:t xml:space="preserve">t. j. </w:t>
      </w:r>
      <w:r w:rsidRPr="00365755">
        <w:rPr>
          <w:rFonts w:ascii="Times New Roman" w:hAnsi="Times New Roman" w:cs="Times New Roman"/>
        </w:rPr>
        <w:t>o 5,10 %.</w:t>
      </w:r>
      <w:r w:rsidRPr="00365755">
        <w:t xml:space="preserve"> </w:t>
      </w:r>
      <w:r w:rsidRPr="00365755">
        <w:rPr>
          <w:rFonts w:ascii="Times New Roman" w:hAnsi="Times New Roman" w:cs="Times New Roman"/>
        </w:rPr>
        <w:t xml:space="preserve">Uvedený vývoj osobných výdavkov ovplyvnil najmä rast výdavkov z dôvodu valorizácie platov zamestnancov z roku 2017. </w:t>
      </w:r>
      <w:r w:rsidRPr="00365755">
        <w:rPr>
          <w:rFonts w:ascii="Times New Roman" w:hAnsi="Times New Roman" w:cs="Times New Roman"/>
          <w:bCs/>
        </w:rPr>
        <w:t>V osobných výdavkoch kapitoly na rok 2018 sú zabezpečené platy sudcov ústavného súdu a  ich funkčné príplatky</w:t>
      </w:r>
      <w:r>
        <w:rPr>
          <w:rFonts w:ascii="Times New Roman" w:hAnsi="Times New Roman" w:cs="Times New Roman"/>
          <w:bCs/>
        </w:rPr>
        <w:t>.</w:t>
      </w:r>
      <w:r w:rsidRPr="00365755">
        <w:rPr>
          <w:rFonts w:ascii="Times New Roman" w:hAnsi="Times New Roman" w:cs="Times New Roman"/>
          <w:bCs/>
        </w:rPr>
        <w:t xml:space="preserve"> </w:t>
      </w:r>
    </w:p>
    <w:p w:rsidR="007D13F3" w:rsidRPr="00365755" w:rsidRDefault="007D13F3" w:rsidP="007D13F3">
      <w:pPr>
        <w:jc w:val="both"/>
        <w:rPr>
          <w:rFonts w:ascii="Times New Roman" w:hAnsi="Times New Roman" w:cs="Times New Roman"/>
          <w:highlight w:val="yellow"/>
        </w:rPr>
      </w:pPr>
    </w:p>
    <w:p w:rsidR="007D13F3" w:rsidRPr="00CB161B" w:rsidRDefault="007D13F3" w:rsidP="007D13F3">
      <w:pPr>
        <w:ind w:firstLine="708"/>
        <w:jc w:val="both"/>
        <w:rPr>
          <w:rFonts w:ascii="Times New Roman" w:hAnsi="Times New Roman" w:cs="Times New Roman"/>
        </w:rPr>
      </w:pPr>
      <w:r>
        <w:rPr>
          <w:rFonts w:ascii="Times New Roman" w:hAnsi="Times New Roman" w:cs="Times New Roman"/>
        </w:rPr>
        <w:t>T</w:t>
      </w:r>
      <w:r w:rsidRPr="00CB161B">
        <w:rPr>
          <w:rFonts w:ascii="Times New Roman" w:hAnsi="Times New Roman" w:cs="Times New Roman"/>
        </w:rPr>
        <w:t>ovary a služby sa rozpočtujú v sume 1,23 mil. eur</w:t>
      </w:r>
      <w:r>
        <w:rPr>
          <w:rFonts w:ascii="Times New Roman" w:hAnsi="Times New Roman" w:cs="Times New Roman"/>
        </w:rPr>
        <w:t xml:space="preserve">, </w:t>
      </w:r>
      <w:r w:rsidRPr="00A26E2B">
        <w:rPr>
          <w:rFonts w:ascii="Times New Roman" w:hAnsi="Times New Roman" w:cs="Times New Roman"/>
        </w:rPr>
        <w:t xml:space="preserve">čo predstavuje oproti schválenému rozpočtu na rok 2017 zvýšenie o </w:t>
      </w:r>
      <w:r w:rsidRPr="00CB161B">
        <w:rPr>
          <w:rFonts w:ascii="Times New Roman" w:hAnsi="Times New Roman" w:cs="Times New Roman"/>
        </w:rPr>
        <w:t xml:space="preserve">116 tis. eur, </w:t>
      </w:r>
      <w:r>
        <w:rPr>
          <w:rFonts w:ascii="Times New Roman" w:hAnsi="Times New Roman" w:cs="Times New Roman"/>
        </w:rPr>
        <w:t xml:space="preserve">t. j. </w:t>
      </w:r>
      <w:r w:rsidRPr="00CB161B">
        <w:rPr>
          <w:rFonts w:ascii="Times New Roman" w:hAnsi="Times New Roman" w:cs="Times New Roman"/>
        </w:rPr>
        <w:t xml:space="preserve">o 10,4 %. </w:t>
      </w:r>
      <w:r>
        <w:rPr>
          <w:rFonts w:ascii="Times New Roman" w:hAnsi="Times New Roman" w:cs="Times New Roman"/>
        </w:rPr>
        <w:t>Nárast je spôsobený hlavne rozpočtovaním výdavkov na údržbu budov.</w:t>
      </w:r>
      <w:r w:rsidRPr="00CB161B">
        <w:rPr>
          <w:rFonts w:ascii="Times New Roman" w:hAnsi="Times New Roman" w:cs="Times New Roman"/>
        </w:rPr>
        <w:t xml:space="preserve">  </w:t>
      </w:r>
    </w:p>
    <w:p w:rsidR="007D13F3" w:rsidRPr="00CB161B" w:rsidRDefault="007D13F3" w:rsidP="007D13F3">
      <w:pPr>
        <w:jc w:val="both"/>
        <w:rPr>
          <w:rFonts w:ascii="Times New Roman" w:hAnsi="Times New Roman" w:cs="Times New Roman"/>
        </w:rPr>
      </w:pPr>
    </w:p>
    <w:p w:rsidR="007D13F3" w:rsidRPr="00CB161B" w:rsidRDefault="007D13F3" w:rsidP="007D13F3">
      <w:pPr>
        <w:ind w:firstLine="708"/>
        <w:jc w:val="both"/>
        <w:rPr>
          <w:rFonts w:ascii="Times New Roman" w:hAnsi="Times New Roman" w:cs="Times New Roman"/>
          <w:bCs/>
        </w:rPr>
      </w:pPr>
      <w:r>
        <w:rPr>
          <w:rFonts w:ascii="Times New Roman" w:hAnsi="Times New Roman" w:cs="Times New Roman"/>
        </w:rPr>
        <w:t>B</w:t>
      </w:r>
      <w:r w:rsidRPr="00CB161B">
        <w:rPr>
          <w:rFonts w:ascii="Times New Roman" w:hAnsi="Times New Roman" w:cs="Times New Roman"/>
        </w:rPr>
        <w:t xml:space="preserve">ežné transfery sa rozpočtujú v sume 217 tis. eur, čo predstavuje </w:t>
      </w:r>
      <w:r>
        <w:rPr>
          <w:rFonts w:ascii="Times New Roman" w:hAnsi="Times New Roman" w:cs="Times New Roman"/>
        </w:rPr>
        <w:t xml:space="preserve">medziročný nárast </w:t>
      </w:r>
      <w:r w:rsidRPr="00CB161B">
        <w:rPr>
          <w:rFonts w:ascii="Times New Roman" w:hAnsi="Times New Roman" w:cs="Times New Roman"/>
        </w:rPr>
        <w:t xml:space="preserve">o 31,7 tis. eur, t. j. o 17,1 %. </w:t>
      </w:r>
      <w:r>
        <w:rPr>
          <w:rFonts w:ascii="Times New Roman" w:hAnsi="Times New Roman" w:cs="Times New Roman"/>
        </w:rPr>
        <w:t xml:space="preserve">Nárast predstavuje </w:t>
      </w:r>
      <w:r w:rsidRPr="00CB161B">
        <w:rPr>
          <w:rFonts w:ascii="Times New Roman" w:hAnsi="Times New Roman" w:cs="Times New Roman"/>
        </w:rPr>
        <w:t>príplatok k dôchodku za výkon funkcie sudcu</w:t>
      </w:r>
      <w:r>
        <w:rPr>
          <w:rFonts w:ascii="Times New Roman" w:hAnsi="Times New Roman" w:cs="Times New Roman"/>
        </w:rPr>
        <w:t>.</w:t>
      </w:r>
    </w:p>
    <w:p w:rsidR="007D13F3" w:rsidRPr="00365755" w:rsidRDefault="007D13F3" w:rsidP="007D13F3">
      <w:pPr>
        <w:ind w:firstLine="708"/>
        <w:jc w:val="both"/>
        <w:rPr>
          <w:rFonts w:ascii="Times New Roman" w:hAnsi="Times New Roman" w:cs="Times New Roman"/>
          <w:highlight w:val="yellow"/>
        </w:rPr>
      </w:pPr>
      <w:r w:rsidRPr="00365755">
        <w:rPr>
          <w:rFonts w:ascii="Times New Roman" w:hAnsi="Times New Roman" w:cs="Times New Roman"/>
          <w:highlight w:val="yellow"/>
        </w:rPr>
        <w:t xml:space="preserve">  </w:t>
      </w:r>
    </w:p>
    <w:p w:rsidR="007D13F3" w:rsidRDefault="007D13F3" w:rsidP="007D13F3">
      <w:pPr>
        <w:autoSpaceDE w:val="0"/>
        <w:autoSpaceDN w:val="0"/>
        <w:adjustRightInd w:val="0"/>
        <w:ind w:firstLine="708"/>
        <w:jc w:val="both"/>
        <w:rPr>
          <w:rFonts w:ascii="Times New Roman" w:hAnsi="Times New Roman" w:cs="Times New Roman"/>
        </w:rPr>
      </w:pPr>
      <w:r w:rsidRPr="005F266D">
        <w:rPr>
          <w:rFonts w:ascii="Times New Roman" w:hAnsi="Times New Roman" w:cs="Times New Roman"/>
        </w:rPr>
        <w:t>Kapitálové výdavky s</w:t>
      </w:r>
      <w:r>
        <w:rPr>
          <w:rFonts w:ascii="Times New Roman" w:hAnsi="Times New Roman" w:cs="Times New Roman"/>
        </w:rPr>
        <w:t xml:space="preserve">a </w:t>
      </w:r>
      <w:r w:rsidRPr="005F266D">
        <w:rPr>
          <w:rFonts w:ascii="Times New Roman" w:hAnsi="Times New Roman" w:cs="Times New Roman"/>
        </w:rPr>
        <w:t>rozpočt</w:t>
      </w:r>
      <w:r>
        <w:rPr>
          <w:rFonts w:ascii="Times New Roman" w:hAnsi="Times New Roman" w:cs="Times New Roman"/>
        </w:rPr>
        <w:t>ujú</w:t>
      </w:r>
      <w:r w:rsidRPr="005F266D">
        <w:rPr>
          <w:rFonts w:ascii="Times New Roman" w:hAnsi="Times New Roman" w:cs="Times New Roman"/>
        </w:rPr>
        <w:t xml:space="preserve"> v sume 142 tis. eur. V porovnaní so schváleným rozpočtom na rok 2017 ide o nárast o 50,3 tis. eur, </w:t>
      </w:r>
      <w:r>
        <w:rPr>
          <w:rFonts w:ascii="Times New Roman" w:hAnsi="Times New Roman" w:cs="Times New Roman"/>
        </w:rPr>
        <w:t xml:space="preserve">t. j. o </w:t>
      </w:r>
      <w:r w:rsidRPr="005F266D">
        <w:rPr>
          <w:rFonts w:ascii="Times New Roman" w:hAnsi="Times New Roman" w:cs="Times New Roman"/>
        </w:rPr>
        <w:t xml:space="preserve">54,6 %. </w:t>
      </w:r>
      <w:r>
        <w:rPr>
          <w:rFonts w:ascii="Times New Roman" w:hAnsi="Times New Roman" w:cs="Times New Roman"/>
        </w:rPr>
        <w:t>Z</w:t>
      </w:r>
      <w:r w:rsidRPr="005F266D">
        <w:rPr>
          <w:rFonts w:ascii="Times New Roman" w:hAnsi="Times New Roman" w:cs="Times New Roman"/>
        </w:rPr>
        <w:t xml:space="preserve">abezpečuje </w:t>
      </w:r>
      <w:r>
        <w:rPr>
          <w:rFonts w:ascii="Times New Roman" w:hAnsi="Times New Roman" w:cs="Times New Roman"/>
        </w:rPr>
        <w:t xml:space="preserve">sa </w:t>
      </w:r>
      <w:r w:rsidRPr="005F266D">
        <w:rPr>
          <w:rFonts w:ascii="Times New Roman" w:hAnsi="Times New Roman" w:cs="Times New Roman"/>
        </w:rPr>
        <w:t>hlavne rozšírenie a modernizácia informačného systému v sume 100 tis. eur</w:t>
      </w:r>
      <w:r>
        <w:rPr>
          <w:rFonts w:ascii="Times New Roman" w:hAnsi="Times New Roman" w:cs="Times New Roman"/>
        </w:rPr>
        <w:t>, nákup motorového vozidla v sume 30,0 tis. eur, interiérové vybavenie v sume 3,50 tis. eur, softvér v sume 4,50 tis. eur a nákup hardvéru v sume 4,40 tis. eur</w:t>
      </w:r>
      <w:r w:rsidRPr="005F266D">
        <w:rPr>
          <w:rFonts w:ascii="Times New Roman" w:hAnsi="Times New Roman" w:cs="Times New Roman"/>
        </w:rPr>
        <w:t>.</w:t>
      </w:r>
    </w:p>
    <w:p w:rsidR="007D13F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0766D7">
        <w:rPr>
          <w:rFonts w:ascii="Times New Roman" w:hAnsi="Times New Roman" w:cs="Times New Roman"/>
        </w:rPr>
        <w:t xml:space="preserve">Kapitola v nadväznosti na § 17 ods. 4 zákona č. 523/2004 Z. z. o rozpočtových pravidlách verejnej správy </w:t>
      </w:r>
      <w:r w:rsidR="004B3B69">
        <w:rPr>
          <w:rFonts w:ascii="Times New Roman" w:hAnsi="Times New Roman" w:cs="Times New Roman"/>
        </w:rPr>
        <w:t xml:space="preserve">a o zmene a doplnení niektorých zákonov </w:t>
      </w:r>
      <w:r w:rsidRPr="000766D7">
        <w:rPr>
          <w:rFonts w:ascii="Times New Roman" w:hAnsi="Times New Roman" w:cs="Times New Roman"/>
        </w:rPr>
        <w:t xml:space="preserve">v znení neskorších predpisov rozpočtuje tiež výdavky zodpovedajúce príjmom z poistného plnenia zo zmluvného poistenia alebo zo zákonného poistenia v sume </w:t>
      </w:r>
      <w:r>
        <w:rPr>
          <w:rFonts w:ascii="Times New Roman" w:hAnsi="Times New Roman" w:cs="Times New Roman"/>
        </w:rPr>
        <w:t>100</w:t>
      </w:r>
      <w:r w:rsidRPr="000766D7">
        <w:rPr>
          <w:rFonts w:ascii="Times New Roman" w:hAnsi="Times New Roman" w:cs="Times New Roman"/>
        </w:rPr>
        <w:t xml:space="preserve"> eur. Tieto sú určené na financov</w:t>
      </w:r>
      <w:r>
        <w:rPr>
          <w:rFonts w:ascii="Times New Roman" w:hAnsi="Times New Roman" w:cs="Times New Roman"/>
        </w:rPr>
        <w:t>anie opráv motorových vozidiel.</w:t>
      </w:r>
    </w:p>
    <w:p w:rsidR="000736F2" w:rsidRDefault="000736F2" w:rsidP="007D13F3">
      <w:pPr>
        <w:ind w:firstLine="708"/>
        <w:jc w:val="both"/>
        <w:rPr>
          <w:rFonts w:ascii="Times New Roman" w:hAnsi="Times New Roman" w:cs="Times New Roman"/>
        </w:rPr>
      </w:pPr>
    </w:p>
    <w:p w:rsidR="000736F2" w:rsidRDefault="000736F2" w:rsidP="007D13F3">
      <w:pPr>
        <w:ind w:firstLine="708"/>
        <w:jc w:val="both"/>
        <w:rPr>
          <w:rFonts w:ascii="Times New Roman" w:hAnsi="Times New Roman" w:cs="Times New Roman"/>
        </w:rPr>
      </w:pPr>
    </w:p>
    <w:p w:rsidR="000736F2" w:rsidRDefault="000736F2" w:rsidP="007D13F3">
      <w:pPr>
        <w:ind w:firstLine="708"/>
        <w:jc w:val="both"/>
        <w:rPr>
          <w:rFonts w:ascii="Times New Roman" w:hAnsi="Times New Roman" w:cs="Times New Roman"/>
        </w:rPr>
      </w:pPr>
    </w:p>
    <w:p w:rsidR="000E76EC" w:rsidRDefault="000E76EC" w:rsidP="007D13F3">
      <w:pPr>
        <w:ind w:firstLine="708"/>
        <w:jc w:val="both"/>
        <w:rPr>
          <w:rFonts w:ascii="Times New Roman" w:hAnsi="Times New Roman" w:cs="Times New Roman"/>
        </w:rPr>
      </w:pPr>
    </w:p>
    <w:p w:rsidR="007D13F3" w:rsidRPr="00EF4E9F" w:rsidRDefault="007D13F3" w:rsidP="007D13F3">
      <w:pPr>
        <w:pStyle w:val="Nadpis5"/>
        <w:pBdr>
          <w:bottom w:val="single" w:sz="4" w:space="1" w:color="auto"/>
        </w:pBdr>
        <w:spacing w:before="0" w:after="0"/>
        <w:ind w:left="0"/>
        <w:rPr>
          <w:i w:val="0"/>
          <w:sz w:val="24"/>
        </w:rPr>
      </w:pPr>
      <w:bookmarkStart w:id="162" w:name="_Toc494470108"/>
      <w:bookmarkStart w:id="163" w:name="_Toc494472284"/>
      <w:r w:rsidRPr="00EF4E9F">
        <w:rPr>
          <w:i w:val="0"/>
          <w:sz w:val="24"/>
        </w:rPr>
        <w:lastRenderedPageBreak/>
        <w:t>Kancelária Najvyššieho súdu SR</w:t>
      </w:r>
      <w:bookmarkEnd w:id="162"/>
      <w:bookmarkEnd w:id="163"/>
    </w:p>
    <w:p w:rsidR="007D13F3" w:rsidRPr="00E14983" w:rsidRDefault="007D13F3" w:rsidP="007D13F3">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330"/>
        <w:gridCol w:w="963"/>
        <w:gridCol w:w="962"/>
        <w:gridCol w:w="962"/>
        <w:gridCol w:w="962"/>
        <w:gridCol w:w="962"/>
        <w:gridCol w:w="962"/>
        <w:gridCol w:w="959"/>
      </w:tblGrid>
      <w:tr w:rsidR="007D13F3" w:rsidRPr="00C22B35" w:rsidTr="00465CAC">
        <w:trPr>
          <w:trHeight w:val="255"/>
        </w:trPr>
        <w:tc>
          <w:tcPr>
            <w:tcW w:w="128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A01164" w:rsidRDefault="007D13F3" w:rsidP="00465CAC">
            <w:pPr>
              <w:rPr>
                <w:rFonts w:ascii="Times New Roman" w:hAnsi="Times New Roman" w:cs="Times New Roman"/>
                <w:b/>
                <w:bCs/>
                <w:color w:val="000000"/>
                <w:sz w:val="14"/>
                <w:szCs w:val="14"/>
              </w:rPr>
            </w:pPr>
            <w:r w:rsidRPr="00A01164">
              <w:rPr>
                <w:rFonts w:ascii="Times New Roman" w:hAnsi="Times New Roman" w:cs="Times New Roman"/>
                <w:b/>
                <w:bCs/>
                <w:color w:val="000000"/>
                <w:sz w:val="14"/>
                <w:szCs w:val="14"/>
              </w:rPr>
              <w:t> v eurách</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A01164" w:rsidRDefault="007D13F3" w:rsidP="00465CAC">
            <w:pPr>
              <w:jc w:val="center"/>
              <w:rPr>
                <w:rFonts w:ascii="Times New Roman" w:hAnsi="Times New Roman" w:cs="Times New Roman"/>
                <w:b/>
                <w:bCs/>
                <w:color w:val="000000"/>
                <w:sz w:val="14"/>
                <w:szCs w:val="14"/>
                <w:lang w:eastAsia="sk-SK"/>
              </w:rPr>
            </w:pPr>
            <w:r w:rsidRPr="00A01164">
              <w:rPr>
                <w:rFonts w:ascii="Times New Roman" w:hAnsi="Times New Roman" w:cs="Times New Roman"/>
                <w:b/>
                <w:bCs/>
                <w:color w:val="000000"/>
                <w:sz w:val="14"/>
                <w:szCs w:val="14"/>
              </w:rPr>
              <w:t>2015 S</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A01164" w:rsidRDefault="007D13F3" w:rsidP="00465CAC">
            <w:pPr>
              <w:jc w:val="center"/>
              <w:rPr>
                <w:rFonts w:ascii="Times New Roman" w:hAnsi="Times New Roman" w:cs="Times New Roman"/>
                <w:b/>
                <w:bCs/>
                <w:color w:val="000000"/>
                <w:sz w:val="14"/>
                <w:szCs w:val="14"/>
              </w:rPr>
            </w:pPr>
            <w:r w:rsidRPr="00A01164">
              <w:rPr>
                <w:rFonts w:ascii="Times New Roman" w:hAnsi="Times New Roman" w:cs="Times New Roman"/>
                <w:b/>
                <w:bCs/>
                <w:color w:val="000000"/>
                <w:sz w:val="14"/>
                <w:szCs w:val="14"/>
              </w:rPr>
              <w:t>2016 S</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A01164" w:rsidRDefault="007D13F3" w:rsidP="00465CAC">
            <w:pPr>
              <w:jc w:val="center"/>
              <w:rPr>
                <w:rFonts w:ascii="Times New Roman" w:hAnsi="Times New Roman" w:cs="Times New Roman"/>
                <w:b/>
                <w:bCs/>
                <w:color w:val="000000"/>
                <w:sz w:val="14"/>
                <w:szCs w:val="14"/>
              </w:rPr>
            </w:pPr>
            <w:r w:rsidRPr="00A01164">
              <w:rPr>
                <w:rFonts w:ascii="Times New Roman" w:hAnsi="Times New Roman" w:cs="Times New Roman"/>
                <w:b/>
                <w:bCs/>
                <w:color w:val="000000"/>
                <w:sz w:val="14"/>
                <w:szCs w:val="14"/>
              </w:rPr>
              <w:t>2017 R</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A01164" w:rsidRDefault="007D13F3" w:rsidP="00465CAC">
            <w:pPr>
              <w:jc w:val="center"/>
              <w:rPr>
                <w:rFonts w:ascii="Times New Roman" w:hAnsi="Times New Roman" w:cs="Times New Roman"/>
                <w:b/>
                <w:bCs/>
                <w:color w:val="000000"/>
                <w:sz w:val="14"/>
                <w:szCs w:val="14"/>
              </w:rPr>
            </w:pPr>
            <w:r w:rsidRPr="00A01164">
              <w:rPr>
                <w:rFonts w:ascii="Times New Roman" w:hAnsi="Times New Roman" w:cs="Times New Roman"/>
                <w:b/>
                <w:bCs/>
                <w:color w:val="000000"/>
                <w:sz w:val="14"/>
                <w:szCs w:val="14"/>
              </w:rPr>
              <w:t>2017 OS</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A01164" w:rsidRDefault="007D13F3" w:rsidP="00465CAC">
            <w:pPr>
              <w:jc w:val="center"/>
              <w:rPr>
                <w:rFonts w:ascii="Times New Roman" w:hAnsi="Times New Roman" w:cs="Times New Roman"/>
                <w:b/>
                <w:bCs/>
                <w:color w:val="000000"/>
                <w:sz w:val="14"/>
                <w:szCs w:val="14"/>
              </w:rPr>
            </w:pPr>
            <w:r w:rsidRPr="00A01164">
              <w:rPr>
                <w:rFonts w:ascii="Times New Roman" w:hAnsi="Times New Roman" w:cs="Times New Roman"/>
                <w:b/>
                <w:bCs/>
                <w:color w:val="000000"/>
                <w:sz w:val="14"/>
                <w:szCs w:val="14"/>
              </w:rPr>
              <w:t>2018 N</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A01164" w:rsidRDefault="007D13F3" w:rsidP="00465CAC">
            <w:pPr>
              <w:jc w:val="center"/>
              <w:rPr>
                <w:rFonts w:ascii="Times New Roman" w:hAnsi="Times New Roman" w:cs="Times New Roman"/>
                <w:b/>
                <w:bCs/>
                <w:color w:val="000000"/>
                <w:sz w:val="14"/>
                <w:szCs w:val="14"/>
              </w:rPr>
            </w:pPr>
            <w:r w:rsidRPr="00A01164">
              <w:rPr>
                <w:rFonts w:ascii="Times New Roman" w:hAnsi="Times New Roman" w:cs="Times New Roman"/>
                <w:b/>
                <w:bCs/>
                <w:color w:val="000000"/>
                <w:sz w:val="14"/>
                <w:szCs w:val="14"/>
              </w:rPr>
              <w:t>2019 N</w:t>
            </w:r>
          </w:p>
        </w:tc>
        <w:tc>
          <w:tcPr>
            <w:tcW w:w="53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A01164" w:rsidRDefault="007D13F3" w:rsidP="00465CAC">
            <w:pPr>
              <w:jc w:val="center"/>
              <w:rPr>
                <w:rFonts w:ascii="Times New Roman" w:hAnsi="Times New Roman" w:cs="Times New Roman"/>
                <w:b/>
                <w:bCs/>
                <w:color w:val="000000"/>
                <w:sz w:val="14"/>
                <w:szCs w:val="14"/>
              </w:rPr>
            </w:pPr>
            <w:r w:rsidRPr="00A01164">
              <w:rPr>
                <w:rFonts w:ascii="Times New Roman" w:hAnsi="Times New Roman" w:cs="Times New Roman"/>
                <w:b/>
                <w:bCs/>
                <w:color w:val="000000"/>
                <w:sz w:val="14"/>
                <w:szCs w:val="14"/>
              </w:rPr>
              <w:t>2020 N</w:t>
            </w:r>
          </w:p>
        </w:tc>
      </w:tr>
      <w:tr w:rsidR="007D13F3" w:rsidRPr="00C22B35" w:rsidTr="000736F2">
        <w:trPr>
          <w:trHeight w:val="255"/>
        </w:trPr>
        <w:tc>
          <w:tcPr>
            <w:tcW w:w="128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A01164" w:rsidRDefault="007D13F3" w:rsidP="00465CAC">
            <w:pPr>
              <w:rPr>
                <w:rFonts w:ascii="Times New Roman" w:hAnsi="Times New Roman" w:cs="Times New Roman"/>
                <w:b/>
                <w:bCs/>
                <w:color w:val="000000"/>
                <w:sz w:val="14"/>
                <w:szCs w:val="14"/>
              </w:rPr>
            </w:pPr>
            <w:r w:rsidRPr="00A01164">
              <w:rPr>
                <w:rFonts w:ascii="Times New Roman" w:hAnsi="Times New Roman" w:cs="Times New Roman"/>
                <w:b/>
                <w:bCs/>
                <w:color w:val="000000"/>
                <w:sz w:val="14"/>
                <w:szCs w:val="14"/>
              </w:rPr>
              <w:t>Zdroje príslušnej kapitoly</w:t>
            </w:r>
          </w:p>
        </w:tc>
        <w:tc>
          <w:tcPr>
            <w:tcW w:w="531" w:type="pct"/>
            <w:tcBorders>
              <w:top w:val="nil"/>
              <w:left w:val="nil"/>
              <w:bottom w:val="single" w:sz="4" w:space="0" w:color="auto"/>
              <w:right w:val="single" w:sz="4" w:space="0" w:color="auto"/>
            </w:tcBorders>
            <w:shd w:val="clear" w:color="auto" w:fill="BFBFBF" w:themeFill="background1" w:themeFillShade="BF"/>
            <w:vAlign w:val="center"/>
          </w:tcPr>
          <w:p w:rsidR="007D13F3" w:rsidRPr="00A01164" w:rsidRDefault="007D13F3" w:rsidP="00465CAC">
            <w:pPr>
              <w:jc w:val="right"/>
              <w:rPr>
                <w:rFonts w:ascii="Times New Roman" w:hAnsi="Times New Roman" w:cs="Times New Roman"/>
                <w:b/>
                <w:color w:val="000000"/>
                <w:sz w:val="14"/>
                <w:szCs w:val="14"/>
              </w:rPr>
            </w:pPr>
            <w:r w:rsidRPr="00A01164">
              <w:rPr>
                <w:rFonts w:ascii="Times New Roman" w:hAnsi="Times New Roman" w:cs="Times New Roman"/>
                <w:b/>
                <w:color w:val="000000"/>
                <w:sz w:val="14"/>
                <w:szCs w:val="14"/>
              </w:rPr>
              <w:t>8 700 158</w:t>
            </w:r>
          </w:p>
        </w:tc>
        <w:tc>
          <w:tcPr>
            <w:tcW w:w="531" w:type="pct"/>
            <w:tcBorders>
              <w:top w:val="nil"/>
              <w:left w:val="nil"/>
              <w:bottom w:val="single" w:sz="4" w:space="0" w:color="auto"/>
              <w:right w:val="single" w:sz="4" w:space="0" w:color="auto"/>
            </w:tcBorders>
            <w:shd w:val="clear" w:color="auto" w:fill="BFBFBF" w:themeFill="background1" w:themeFillShade="BF"/>
            <w:vAlign w:val="center"/>
          </w:tcPr>
          <w:p w:rsidR="007D13F3" w:rsidRPr="00A01164" w:rsidRDefault="007D13F3" w:rsidP="00465CAC">
            <w:pPr>
              <w:jc w:val="right"/>
              <w:rPr>
                <w:rFonts w:ascii="Times New Roman" w:hAnsi="Times New Roman" w:cs="Times New Roman"/>
                <w:b/>
                <w:color w:val="000000"/>
                <w:sz w:val="14"/>
                <w:szCs w:val="14"/>
              </w:rPr>
            </w:pPr>
            <w:r w:rsidRPr="00A01164">
              <w:rPr>
                <w:rFonts w:ascii="Times New Roman" w:hAnsi="Times New Roman" w:cs="Times New Roman"/>
                <w:b/>
                <w:color w:val="000000"/>
                <w:sz w:val="14"/>
                <w:szCs w:val="14"/>
              </w:rPr>
              <w:t>10 565 862</w:t>
            </w:r>
          </w:p>
        </w:tc>
        <w:tc>
          <w:tcPr>
            <w:tcW w:w="53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A01164" w:rsidRDefault="007D13F3" w:rsidP="00465CAC">
            <w:pPr>
              <w:jc w:val="right"/>
              <w:rPr>
                <w:rFonts w:ascii="Times New Roman" w:hAnsi="Times New Roman" w:cs="Times New Roman"/>
                <w:b/>
                <w:color w:val="000000"/>
                <w:sz w:val="14"/>
                <w:szCs w:val="14"/>
              </w:rPr>
            </w:pPr>
            <w:r w:rsidRPr="00A01164">
              <w:rPr>
                <w:rFonts w:ascii="Times New Roman" w:hAnsi="Times New Roman" w:cs="Times New Roman"/>
                <w:b/>
                <w:color w:val="000000"/>
                <w:sz w:val="14"/>
                <w:szCs w:val="14"/>
              </w:rPr>
              <w:t>11 811 533</w:t>
            </w:r>
          </w:p>
        </w:tc>
        <w:tc>
          <w:tcPr>
            <w:tcW w:w="53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A01164" w:rsidRDefault="007D13F3" w:rsidP="00465CAC">
            <w:pPr>
              <w:jc w:val="right"/>
              <w:rPr>
                <w:rFonts w:ascii="Times New Roman" w:hAnsi="Times New Roman" w:cs="Times New Roman"/>
                <w:b/>
                <w:color w:val="000000"/>
                <w:sz w:val="14"/>
                <w:szCs w:val="14"/>
              </w:rPr>
            </w:pPr>
            <w:r w:rsidRPr="00D37249">
              <w:rPr>
                <w:rFonts w:ascii="Times New Roman" w:hAnsi="Times New Roman" w:cs="Times New Roman"/>
                <w:b/>
                <w:color w:val="000000"/>
                <w:sz w:val="14"/>
                <w:szCs w:val="14"/>
              </w:rPr>
              <w:t>12 301 538</w:t>
            </w:r>
          </w:p>
        </w:tc>
        <w:tc>
          <w:tcPr>
            <w:tcW w:w="53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A01164" w:rsidRDefault="007D13F3" w:rsidP="00465CAC">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15 363 940</w:t>
            </w:r>
          </w:p>
        </w:tc>
        <w:tc>
          <w:tcPr>
            <w:tcW w:w="531"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A01164" w:rsidRDefault="007D13F3" w:rsidP="00465CAC">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15 803 067</w:t>
            </w:r>
          </w:p>
        </w:tc>
        <w:tc>
          <w:tcPr>
            <w:tcW w:w="530" w:type="pct"/>
            <w:tcBorders>
              <w:top w:val="nil"/>
              <w:left w:val="nil"/>
              <w:bottom w:val="single" w:sz="4" w:space="0" w:color="auto"/>
              <w:right w:val="single" w:sz="4" w:space="0" w:color="auto"/>
            </w:tcBorders>
            <w:shd w:val="clear" w:color="auto" w:fill="BFBFBF" w:themeFill="background1" w:themeFillShade="BF"/>
            <w:vAlign w:val="center"/>
            <w:hideMark/>
          </w:tcPr>
          <w:p w:rsidR="007D13F3" w:rsidRPr="00A01164" w:rsidRDefault="007D13F3" w:rsidP="00465CAC">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14 175 457</w:t>
            </w:r>
          </w:p>
        </w:tc>
      </w:tr>
      <w:tr w:rsidR="007D13F3" w:rsidRPr="00C22B35" w:rsidTr="00465CAC">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tcPr>
          <w:p w:rsidR="007D13F3" w:rsidRPr="00A01164" w:rsidRDefault="007D13F3" w:rsidP="00465CAC">
            <w:pPr>
              <w:rPr>
                <w:rFonts w:ascii="Times New Roman" w:hAnsi="Times New Roman" w:cs="Times New Roman"/>
                <w:b/>
                <w:color w:val="000000"/>
                <w:sz w:val="14"/>
                <w:szCs w:val="14"/>
              </w:rPr>
            </w:pPr>
            <w:r w:rsidRPr="00A01164">
              <w:rPr>
                <w:rFonts w:ascii="Times New Roman" w:hAnsi="Times New Roman" w:cs="Times New Roman"/>
                <w:b/>
                <w:color w:val="000000"/>
                <w:sz w:val="14"/>
                <w:szCs w:val="14"/>
              </w:rPr>
              <w:t xml:space="preserve">rozpočtové zdroje kapitoly </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8 700 158</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10 565 862</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11 811 533</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D37249">
              <w:rPr>
                <w:rFonts w:ascii="Times New Roman" w:hAnsi="Times New Roman" w:cs="Times New Roman"/>
                <w:color w:val="000000"/>
                <w:sz w:val="14"/>
                <w:szCs w:val="14"/>
              </w:rPr>
              <w:t>12 301 538</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15 363 940</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15 803 067</w:t>
            </w:r>
          </w:p>
        </w:tc>
        <w:tc>
          <w:tcPr>
            <w:tcW w:w="530"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14 175 457</w:t>
            </w:r>
          </w:p>
        </w:tc>
      </w:tr>
      <w:tr w:rsidR="007D13F3" w:rsidRPr="00C22B35" w:rsidTr="00465CAC">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tcPr>
          <w:p w:rsidR="007D13F3" w:rsidRPr="00A01164" w:rsidRDefault="007D13F3" w:rsidP="00465CAC">
            <w:pPr>
              <w:rPr>
                <w:rFonts w:ascii="Times New Roman" w:hAnsi="Times New Roman" w:cs="Times New Roman"/>
                <w:color w:val="000000"/>
                <w:sz w:val="14"/>
                <w:szCs w:val="14"/>
              </w:rPr>
            </w:pPr>
            <w:r w:rsidRPr="00A01164">
              <w:rPr>
                <w:rFonts w:ascii="Times New Roman" w:hAnsi="Times New Roman" w:cs="Times New Roman"/>
                <w:color w:val="000000"/>
                <w:sz w:val="14"/>
                <w:szCs w:val="14"/>
              </w:rPr>
              <w:t xml:space="preserve">    v tom: bežné výdavky  600</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8 590 912</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10 558 049</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11 761 533</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D37249">
              <w:rPr>
                <w:rFonts w:ascii="Times New Roman" w:hAnsi="Times New Roman" w:cs="Times New Roman"/>
                <w:color w:val="000000"/>
                <w:sz w:val="14"/>
                <w:szCs w:val="14"/>
              </w:rPr>
              <w:t>12 251 538</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12 313 940</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12 753 067</w:t>
            </w:r>
          </w:p>
        </w:tc>
        <w:tc>
          <w:tcPr>
            <w:tcW w:w="530"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13 125 457</w:t>
            </w:r>
          </w:p>
        </w:tc>
      </w:tr>
      <w:tr w:rsidR="007D13F3" w:rsidRPr="00C22B35" w:rsidTr="00465CAC">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7D13F3" w:rsidRPr="00A01164" w:rsidRDefault="007D13F3" w:rsidP="00465CAC">
            <w:pPr>
              <w:rPr>
                <w:rFonts w:ascii="Times New Roman" w:hAnsi="Times New Roman" w:cs="Times New Roman"/>
                <w:color w:val="000000"/>
                <w:sz w:val="14"/>
                <w:szCs w:val="14"/>
              </w:rPr>
            </w:pPr>
            <w:r w:rsidRPr="00A01164">
              <w:rPr>
                <w:rFonts w:ascii="Times New Roman" w:hAnsi="Times New Roman" w:cs="Times New Roman"/>
                <w:color w:val="000000"/>
                <w:sz w:val="14"/>
                <w:szCs w:val="14"/>
              </w:rPr>
              <w:t xml:space="preserve">                              610 mzdy</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5 860 270</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7 191 691</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8 178 198</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sidRPr="00D37249">
              <w:rPr>
                <w:rFonts w:ascii="Times New Roman" w:hAnsi="Times New Roman" w:cs="Times New Roman"/>
                <w:color w:val="000000"/>
                <w:sz w:val="14"/>
                <w:szCs w:val="14"/>
              </w:rPr>
              <w:t>8 436 428</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8 537 550</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8</w:t>
            </w:r>
            <w:r>
              <w:rPr>
                <w:rFonts w:ascii="Times New Roman" w:hAnsi="Times New Roman" w:cs="Times New Roman"/>
                <w:color w:val="000000"/>
                <w:sz w:val="14"/>
                <w:szCs w:val="14"/>
              </w:rPr>
              <w:t> 756 305</w:t>
            </w:r>
          </w:p>
        </w:tc>
        <w:tc>
          <w:tcPr>
            <w:tcW w:w="530"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9 037 952</w:t>
            </w:r>
          </w:p>
        </w:tc>
      </w:tr>
      <w:tr w:rsidR="007D13F3" w:rsidRPr="00C22B35" w:rsidTr="00465CAC">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7D13F3" w:rsidRPr="00A01164" w:rsidRDefault="007D13F3" w:rsidP="00465CAC">
            <w:pPr>
              <w:rPr>
                <w:rFonts w:ascii="Times New Roman" w:hAnsi="Times New Roman" w:cs="Times New Roman"/>
                <w:color w:val="000000"/>
                <w:sz w:val="14"/>
                <w:szCs w:val="14"/>
              </w:rPr>
            </w:pPr>
            <w:r w:rsidRPr="00A01164">
              <w:rPr>
                <w:rFonts w:ascii="Times New Roman" w:hAnsi="Times New Roman" w:cs="Times New Roman"/>
                <w:color w:val="000000"/>
                <w:sz w:val="14"/>
                <w:szCs w:val="14"/>
              </w:rPr>
              <w:t xml:space="preserve">                              620 odvody</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1 718 127</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1 968 523</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2 559 483</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sidRPr="00D37249">
              <w:rPr>
                <w:rFonts w:ascii="Times New Roman" w:hAnsi="Times New Roman" w:cs="Times New Roman"/>
                <w:color w:val="000000"/>
                <w:sz w:val="14"/>
                <w:szCs w:val="14"/>
              </w:rPr>
              <w:t>2 413 058</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2 680 138</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2 750 510</w:t>
            </w:r>
          </w:p>
        </w:tc>
        <w:tc>
          <w:tcPr>
            <w:tcW w:w="530"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2 841 253</w:t>
            </w:r>
          </w:p>
        </w:tc>
      </w:tr>
      <w:tr w:rsidR="007D13F3" w:rsidRPr="00C22B35" w:rsidTr="00465CAC">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7D13F3" w:rsidRPr="00A01164" w:rsidRDefault="007D13F3" w:rsidP="00465CAC">
            <w:pPr>
              <w:rPr>
                <w:rFonts w:ascii="Times New Roman" w:hAnsi="Times New Roman" w:cs="Times New Roman"/>
                <w:color w:val="000000"/>
                <w:sz w:val="14"/>
                <w:szCs w:val="14"/>
              </w:rPr>
            </w:pPr>
            <w:r w:rsidRPr="00A01164">
              <w:rPr>
                <w:rFonts w:ascii="Times New Roman" w:hAnsi="Times New Roman" w:cs="Times New Roman"/>
                <w:color w:val="000000"/>
                <w:sz w:val="14"/>
                <w:szCs w:val="14"/>
              </w:rPr>
              <w:t xml:space="preserve">                              630 tovary a služby</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855 215</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1 124 249</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906 521</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sidRPr="00D37249">
              <w:rPr>
                <w:rFonts w:ascii="Times New Roman" w:hAnsi="Times New Roman" w:cs="Times New Roman"/>
                <w:color w:val="000000"/>
                <w:sz w:val="14"/>
                <w:szCs w:val="14"/>
              </w:rPr>
              <w:t>1 284 721</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1 047 795</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1 197 795</w:t>
            </w:r>
          </w:p>
        </w:tc>
        <w:tc>
          <w:tcPr>
            <w:tcW w:w="530"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1 197 795</w:t>
            </w:r>
          </w:p>
        </w:tc>
      </w:tr>
      <w:tr w:rsidR="007D13F3" w:rsidRPr="00C22B35" w:rsidTr="00465CAC">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7D13F3" w:rsidRPr="00A01164" w:rsidRDefault="007D13F3" w:rsidP="00465CAC">
            <w:pPr>
              <w:rPr>
                <w:rFonts w:ascii="Times New Roman" w:hAnsi="Times New Roman" w:cs="Times New Roman"/>
                <w:color w:val="000000"/>
                <w:sz w:val="14"/>
                <w:szCs w:val="14"/>
              </w:rPr>
            </w:pPr>
            <w:r w:rsidRPr="00A01164">
              <w:rPr>
                <w:rFonts w:ascii="Times New Roman" w:hAnsi="Times New Roman" w:cs="Times New Roman"/>
                <w:color w:val="000000"/>
                <w:sz w:val="14"/>
                <w:szCs w:val="14"/>
              </w:rPr>
              <w:t xml:space="preserve">                              640 bežné transfery</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157 300</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273 587</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117 331</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117 331</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48 457</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48 457</w:t>
            </w:r>
          </w:p>
        </w:tc>
        <w:tc>
          <w:tcPr>
            <w:tcW w:w="530"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48 457</w:t>
            </w:r>
          </w:p>
        </w:tc>
      </w:tr>
      <w:tr w:rsidR="007D13F3" w:rsidRPr="00C22B35" w:rsidTr="00465CAC">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7D13F3" w:rsidRPr="00A01164" w:rsidRDefault="007D13F3" w:rsidP="00465CAC">
            <w:pPr>
              <w:rPr>
                <w:rFonts w:ascii="Times New Roman" w:hAnsi="Times New Roman" w:cs="Times New Roman"/>
                <w:color w:val="000000"/>
                <w:sz w:val="14"/>
                <w:szCs w:val="14"/>
              </w:rPr>
            </w:pPr>
            <w:r w:rsidRPr="00A01164">
              <w:rPr>
                <w:rFonts w:ascii="Times New Roman" w:hAnsi="Times New Roman" w:cs="Times New Roman"/>
                <w:color w:val="000000"/>
                <w:sz w:val="14"/>
                <w:szCs w:val="14"/>
              </w:rPr>
              <w:t xml:space="preserve">               kapitálové výdavky 700</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109 246</w:t>
            </w:r>
          </w:p>
        </w:tc>
        <w:tc>
          <w:tcPr>
            <w:tcW w:w="531" w:type="pct"/>
            <w:tcBorders>
              <w:top w:val="nil"/>
              <w:left w:val="nil"/>
              <w:bottom w:val="single" w:sz="4" w:space="0" w:color="auto"/>
              <w:right w:val="single" w:sz="4" w:space="0" w:color="auto"/>
            </w:tcBorders>
            <w:shd w:val="clear" w:color="auto" w:fill="auto"/>
            <w:noWrap/>
            <w:vAlign w:val="center"/>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7 813</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50 000</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sidRPr="00A01164">
              <w:rPr>
                <w:rFonts w:ascii="Times New Roman" w:hAnsi="Times New Roman" w:cs="Times New Roman"/>
                <w:color w:val="000000"/>
                <w:sz w:val="14"/>
                <w:szCs w:val="14"/>
              </w:rPr>
              <w:t>50 000</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3 0</w:t>
            </w:r>
            <w:r w:rsidRPr="00A01164">
              <w:rPr>
                <w:rFonts w:ascii="Times New Roman" w:hAnsi="Times New Roman" w:cs="Times New Roman"/>
                <w:color w:val="000000"/>
                <w:sz w:val="14"/>
                <w:szCs w:val="14"/>
              </w:rPr>
              <w:t>50 000</w:t>
            </w:r>
          </w:p>
        </w:tc>
        <w:tc>
          <w:tcPr>
            <w:tcW w:w="531"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3 0</w:t>
            </w:r>
            <w:r w:rsidRPr="00A01164">
              <w:rPr>
                <w:rFonts w:ascii="Times New Roman" w:hAnsi="Times New Roman" w:cs="Times New Roman"/>
                <w:color w:val="000000"/>
                <w:sz w:val="14"/>
                <w:szCs w:val="14"/>
              </w:rPr>
              <w:t>50 000</w:t>
            </w:r>
          </w:p>
        </w:tc>
        <w:tc>
          <w:tcPr>
            <w:tcW w:w="530" w:type="pct"/>
            <w:tcBorders>
              <w:top w:val="nil"/>
              <w:left w:val="nil"/>
              <w:bottom w:val="single" w:sz="4" w:space="0" w:color="auto"/>
              <w:right w:val="single" w:sz="4" w:space="0" w:color="auto"/>
            </w:tcBorders>
            <w:shd w:val="clear" w:color="auto" w:fill="auto"/>
            <w:noWrap/>
            <w:vAlign w:val="center"/>
            <w:hideMark/>
          </w:tcPr>
          <w:p w:rsidR="007D13F3" w:rsidRPr="00A01164"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1 0</w:t>
            </w:r>
            <w:r w:rsidRPr="00A01164">
              <w:rPr>
                <w:rFonts w:ascii="Times New Roman" w:hAnsi="Times New Roman" w:cs="Times New Roman"/>
                <w:color w:val="000000"/>
                <w:sz w:val="14"/>
                <w:szCs w:val="14"/>
              </w:rPr>
              <w:t>50 000</w:t>
            </w:r>
          </w:p>
        </w:tc>
      </w:tr>
    </w:tbl>
    <w:p w:rsidR="007D13F3" w:rsidRDefault="007D13F3" w:rsidP="007D13F3">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0"/>
        <w:gridCol w:w="963"/>
        <w:gridCol w:w="962"/>
        <w:gridCol w:w="962"/>
        <w:gridCol w:w="962"/>
        <w:gridCol w:w="962"/>
        <w:gridCol w:w="962"/>
        <w:gridCol w:w="959"/>
      </w:tblGrid>
      <w:tr w:rsidR="007D13F3" w:rsidRPr="004C4D1E" w:rsidTr="00465CAC">
        <w:trPr>
          <w:trHeight w:val="255"/>
        </w:trPr>
        <w:tc>
          <w:tcPr>
            <w:tcW w:w="1285" w:type="pct"/>
            <w:shd w:val="clear" w:color="auto" w:fill="auto"/>
            <w:noWrap/>
            <w:vAlign w:val="center"/>
            <w:hideMark/>
          </w:tcPr>
          <w:p w:rsidR="007D13F3" w:rsidRPr="004C4D1E" w:rsidRDefault="007D13F3" w:rsidP="00465CAC">
            <w:pPr>
              <w:rPr>
                <w:rFonts w:ascii="Times New Roman" w:hAnsi="Times New Roman" w:cs="Times New Roman"/>
                <w:b/>
                <w:color w:val="000000"/>
                <w:sz w:val="14"/>
                <w:szCs w:val="14"/>
              </w:rPr>
            </w:pPr>
            <w:r w:rsidRPr="004C4D1E">
              <w:rPr>
                <w:rFonts w:ascii="Times New Roman" w:hAnsi="Times New Roman" w:cs="Times New Roman"/>
                <w:b/>
                <w:color w:val="000000"/>
                <w:sz w:val="14"/>
                <w:szCs w:val="14"/>
              </w:rPr>
              <w:t>Samostatné účty</w:t>
            </w:r>
          </w:p>
        </w:tc>
        <w:tc>
          <w:tcPr>
            <w:tcW w:w="531" w:type="pct"/>
            <w:shd w:val="clear" w:color="auto" w:fill="auto"/>
            <w:noWrap/>
            <w:vAlign w:val="center"/>
          </w:tcPr>
          <w:p w:rsidR="007D13F3" w:rsidRPr="004C4D1E" w:rsidRDefault="007D13F3" w:rsidP="00465CAC">
            <w:pPr>
              <w:jc w:val="right"/>
              <w:rPr>
                <w:rFonts w:ascii="Times New Roman" w:hAnsi="Times New Roman" w:cs="Times New Roman"/>
                <w:b/>
                <w:color w:val="000000"/>
                <w:sz w:val="14"/>
                <w:szCs w:val="14"/>
              </w:rPr>
            </w:pPr>
            <w:r w:rsidRPr="004C4D1E">
              <w:rPr>
                <w:rFonts w:ascii="Times New Roman" w:hAnsi="Times New Roman" w:cs="Times New Roman"/>
                <w:b/>
                <w:color w:val="000000"/>
                <w:sz w:val="14"/>
                <w:szCs w:val="14"/>
              </w:rPr>
              <w:t>691 315</w:t>
            </w:r>
          </w:p>
        </w:tc>
        <w:tc>
          <w:tcPr>
            <w:tcW w:w="531" w:type="pct"/>
            <w:shd w:val="clear" w:color="auto" w:fill="auto"/>
            <w:noWrap/>
            <w:vAlign w:val="center"/>
          </w:tcPr>
          <w:p w:rsidR="007D13F3" w:rsidRPr="004C4D1E" w:rsidRDefault="007D13F3" w:rsidP="00465CAC">
            <w:pPr>
              <w:jc w:val="right"/>
              <w:rPr>
                <w:rFonts w:ascii="Times New Roman" w:hAnsi="Times New Roman" w:cs="Times New Roman"/>
                <w:b/>
                <w:color w:val="000000"/>
                <w:sz w:val="14"/>
                <w:szCs w:val="14"/>
              </w:rPr>
            </w:pPr>
            <w:r w:rsidRPr="004C4D1E">
              <w:rPr>
                <w:rFonts w:ascii="Times New Roman" w:hAnsi="Times New Roman" w:cs="Times New Roman"/>
                <w:b/>
                <w:color w:val="000000"/>
                <w:sz w:val="14"/>
                <w:szCs w:val="14"/>
              </w:rPr>
              <w:t>110 064</w:t>
            </w:r>
          </w:p>
        </w:tc>
        <w:tc>
          <w:tcPr>
            <w:tcW w:w="531" w:type="pct"/>
            <w:shd w:val="clear" w:color="auto" w:fill="auto"/>
            <w:noWrap/>
            <w:vAlign w:val="center"/>
            <w:hideMark/>
          </w:tcPr>
          <w:p w:rsidR="007D13F3" w:rsidRPr="004C4D1E" w:rsidRDefault="007D13F3" w:rsidP="00465CAC">
            <w:pPr>
              <w:jc w:val="right"/>
              <w:rPr>
                <w:rFonts w:ascii="Times New Roman" w:hAnsi="Times New Roman" w:cs="Times New Roman"/>
                <w:b/>
                <w:color w:val="000000"/>
                <w:sz w:val="14"/>
                <w:szCs w:val="14"/>
              </w:rPr>
            </w:pPr>
            <w:r w:rsidRPr="004C4D1E">
              <w:rPr>
                <w:rFonts w:ascii="Times New Roman" w:hAnsi="Times New Roman" w:cs="Times New Roman"/>
                <w:b/>
                <w:color w:val="000000"/>
                <w:sz w:val="14"/>
                <w:szCs w:val="14"/>
              </w:rPr>
              <w:t>230</w:t>
            </w:r>
          </w:p>
        </w:tc>
        <w:tc>
          <w:tcPr>
            <w:tcW w:w="531" w:type="pct"/>
            <w:shd w:val="clear" w:color="auto" w:fill="auto"/>
            <w:noWrap/>
            <w:vAlign w:val="center"/>
            <w:hideMark/>
          </w:tcPr>
          <w:p w:rsidR="007D13F3" w:rsidRPr="004C4D1E" w:rsidRDefault="007D13F3" w:rsidP="00465CAC">
            <w:pPr>
              <w:jc w:val="right"/>
              <w:rPr>
                <w:rFonts w:ascii="Times New Roman" w:hAnsi="Times New Roman" w:cs="Times New Roman"/>
                <w:b/>
                <w:color w:val="000000"/>
                <w:sz w:val="14"/>
                <w:szCs w:val="14"/>
              </w:rPr>
            </w:pPr>
            <w:r w:rsidRPr="004C4D1E">
              <w:rPr>
                <w:rFonts w:ascii="Times New Roman" w:hAnsi="Times New Roman" w:cs="Times New Roman"/>
                <w:b/>
                <w:color w:val="000000"/>
                <w:sz w:val="14"/>
                <w:szCs w:val="14"/>
              </w:rPr>
              <w:t>230</w:t>
            </w:r>
          </w:p>
        </w:tc>
        <w:tc>
          <w:tcPr>
            <w:tcW w:w="531" w:type="pct"/>
            <w:shd w:val="clear" w:color="auto" w:fill="auto"/>
            <w:noWrap/>
            <w:vAlign w:val="center"/>
            <w:hideMark/>
          </w:tcPr>
          <w:p w:rsidR="007D13F3" w:rsidRPr="004C4D1E" w:rsidRDefault="007D13F3" w:rsidP="00465CAC">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0</w:t>
            </w:r>
          </w:p>
        </w:tc>
        <w:tc>
          <w:tcPr>
            <w:tcW w:w="531" w:type="pct"/>
            <w:shd w:val="clear" w:color="auto" w:fill="auto"/>
            <w:noWrap/>
            <w:vAlign w:val="center"/>
            <w:hideMark/>
          </w:tcPr>
          <w:p w:rsidR="007D13F3" w:rsidRPr="004C4D1E" w:rsidRDefault="007D13F3" w:rsidP="00465CAC">
            <w:pPr>
              <w:jc w:val="right"/>
              <w:rPr>
                <w:rFonts w:ascii="Times New Roman" w:hAnsi="Times New Roman" w:cs="Times New Roman"/>
                <w:b/>
                <w:color w:val="000000"/>
                <w:sz w:val="14"/>
                <w:szCs w:val="14"/>
              </w:rPr>
            </w:pPr>
            <w:r w:rsidRPr="004C4D1E">
              <w:rPr>
                <w:rFonts w:ascii="Times New Roman" w:hAnsi="Times New Roman" w:cs="Times New Roman"/>
                <w:b/>
                <w:color w:val="000000"/>
                <w:sz w:val="14"/>
                <w:szCs w:val="14"/>
              </w:rPr>
              <w:t>0</w:t>
            </w:r>
          </w:p>
        </w:tc>
        <w:tc>
          <w:tcPr>
            <w:tcW w:w="530" w:type="pct"/>
            <w:shd w:val="clear" w:color="auto" w:fill="auto"/>
            <w:noWrap/>
            <w:vAlign w:val="center"/>
            <w:hideMark/>
          </w:tcPr>
          <w:p w:rsidR="007D13F3" w:rsidRPr="004C4D1E" w:rsidRDefault="007D13F3" w:rsidP="00465CAC">
            <w:pPr>
              <w:jc w:val="right"/>
              <w:rPr>
                <w:rFonts w:ascii="Times New Roman" w:hAnsi="Times New Roman" w:cs="Times New Roman"/>
                <w:b/>
                <w:color w:val="000000"/>
                <w:sz w:val="14"/>
                <w:szCs w:val="14"/>
              </w:rPr>
            </w:pPr>
            <w:r w:rsidRPr="004C4D1E">
              <w:rPr>
                <w:rFonts w:ascii="Times New Roman" w:hAnsi="Times New Roman" w:cs="Times New Roman"/>
                <w:b/>
                <w:color w:val="000000"/>
                <w:sz w:val="14"/>
                <w:szCs w:val="14"/>
              </w:rPr>
              <w:t>0</w:t>
            </w:r>
          </w:p>
        </w:tc>
      </w:tr>
    </w:tbl>
    <w:p w:rsidR="007D13F3" w:rsidRPr="00E14983" w:rsidRDefault="007D13F3" w:rsidP="007D13F3">
      <w:pPr>
        <w:rPr>
          <w:rFonts w:ascii="Times New Roman" w:hAnsi="Times New Roman" w:cs="Times New Roman"/>
        </w:rPr>
      </w:pPr>
    </w:p>
    <w:p w:rsidR="007D13F3" w:rsidRPr="00BA342D" w:rsidRDefault="007D13F3" w:rsidP="007D13F3">
      <w:pPr>
        <w:ind w:firstLine="708"/>
        <w:jc w:val="both"/>
        <w:rPr>
          <w:rFonts w:ascii="Times New Roman" w:hAnsi="Times New Roman" w:cs="Times New Roman"/>
        </w:rPr>
      </w:pPr>
      <w:r w:rsidRPr="00BA342D">
        <w:rPr>
          <w:rFonts w:ascii="Times New Roman" w:hAnsi="Times New Roman" w:cs="Times New Roman"/>
        </w:rPr>
        <w:t>Celkové výdavky kapitoly na rok 201</w:t>
      </w:r>
      <w:r>
        <w:rPr>
          <w:rFonts w:ascii="Times New Roman" w:hAnsi="Times New Roman" w:cs="Times New Roman"/>
        </w:rPr>
        <w:t>8</w:t>
      </w:r>
      <w:r w:rsidRPr="00BA342D">
        <w:rPr>
          <w:rFonts w:ascii="Times New Roman" w:hAnsi="Times New Roman" w:cs="Times New Roman"/>
        </w:rPr>
        <w:t xml:space="preserve"> sa rozpočtujú v sume 1</w:t>
      </w:r>
      <w:r>
        <w:rPr>
          <w:rFonts w:ascii="Times New Roman" w:hAnsi="Times New Roman" w:cs="Times New Roman"/>
        </w:rPr>
        <w:t>5</w:t>
      </w:r>
      <w:r w:rsidRPr="00BA342D">
        <w:rPr>
          <w:rFonts w:ascii="Times New Roman" w:hAnsi="Times New Roman" w:cs="Times New Roman"/>
        </w:rPr>
        <w:t>,</w:t>
      </w:r>
      <w:r>
        <w:rPr>
          <w:rFonts w:ascii="Times New Roman" w:hAnsi="Times New Roman" w:cs="Times New Roman"/>
        </w:rPr>
        <w:t>4</w:t>
      </w:r>
      <w:r w:rsidRPr="00BA342D">
        <w:rPr>
          <w:rFonts w:ascii="Times New Roman" w:hAnsi="Times New Roman" w:cs="Times New Roman"/>
        </w:rPr>
        <w:t xml:space="preserve"> mil. eur a oproti schválenému rozpočtu roku 201</w:t>
      </w:r>
      <w:r>
        <w:rPr>
          <w:rFonts w:ascii="Times New Roman" w:hAnsi="Times New Roman" w:cs="Times New Roman"/>
        </w:rPr>
        <w:t>7</w:t>
      </w:r>
      <w:r w:rsidRPr="00BA342D">
        <w:rPr>
          <w:rFonts w:ascii="Times New Roman" w:hAnsi="Times New Roman" w:cs="Times New Roman"/>
        </w:rPr>
        <w:t xml:space="preserve"> medziročne rastú o</w:t>
      </w:r>
      <w:r>
        <w:rPr>
          <w:rFonts w:ascii="Times New Roman" w:hAnsi="Times New Roman" w:cs="Times New Roman"/>
        </w:rPr>
        <w:t> 3,55</w:t>
      </w:r>
      <w:r w:rsidRPr="00BA342D">
        <w:rPr>
          <w:rFonts w:ascii="Times New Roman" w:hAnsi="Times New Roman" w:cs="Times New Roman"/>
        </w:rPr>
        <w:t xml:space="preserve"> </w:t>
      </w:r>
      <w:r>
        <w:rPr>
          <w:rFonts w:ascii="Times New Roman" w:hAnsi="Times New Roman" w:cs="Times New Roman"/>
        </w:rPr>
        <w:t>mil</w:t>
      </w:r>
      <w:r w:rsidRPr="00BA342D">
        <w:rPr>
          <w:rFonts w:ascii="Times New Roman" w:hAnsi="Times New Roman" w:cs="Times New Roman"/>
        </w:rPr>
        <w:t>. eur, t. j. o </w:t>
      </w:r>
      <w:r>
        <w:rPr>
          <w:rFonts w:ascii="Times New Roman" w:hAnsi="Times New Roman" w:cs="Times New Roman"/>
        </w:rPr>
        <w:t>30</w:t>
      </w:r>
      <w:r w:rsidRPr="00BA342D">
        <w:rPr>
          <w:rFonts w:ascii="Times New Roman" w:hAnsi="Times New Roman" w:cs="Times New Roman"/>
        </w:rPr>
        <w:t>,</w:t>
      </w:r>
      <w:r>
        <w:rPr>
          <w:rFonts w:ascii="Times New Roman" w:hAnsi="Times New Roman" w:cs="Times New Roman"/>
        </w:rPr>
        <w:t>1 %.</w:t>
      </w:r>
    </w:p>
    <w:p w:rsidR="007D13F3" w:rsidRPr="00BA342D" w:rsidRDefault="007D13F3" w:rsidP="007D13F3">
      <w:pPr>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C8030C">
        <w:rPr>
          <w:rFonts w:ascii="Times New Roman" w:hAnsi="Times New Roman" w:cs="Times New Roman"/>
        </w:rPr>
        <w:t>Na rok 201</w:t>
      </w:r>
      <w:r>
        <w:rPr>
          <w:rFonts w:ascii="Times New Roman" w:hAnsi="Times New Roman" w:cs="Times New Roman"/>
        </w:rPr>
        <w:t>8</w:t>
      </w:r>
      <w:r w:rsidRPr="00C8030C">
        <w:rPr>
          <w:rFonts w:ascii="Times New Roman" w:hAnsi="Times New Roman" w:cs="Times New Roman"/>
        </w:rPr>
        <w:t xml:space="preserve"> sa rozpočtujú osobné výdavky v sume </w:t>
      </w:r>
      <w:r>
        <w:rPr>
          <w:rFonts w:ascii="Times New Roman" w:hAnsi="Times New Roman" w:cs="Times New Roman"/>
        </w:rPr>
        <w:t>11</w:t>
      </w:r>
      <w:r w:rsidRPr="00C8030C">
        <w:rPr>
          <w:rFonts w:ascii="Times New Roman" w:hAnsi="Times New Roman" w:cs="Times New Roman"/>
        </w:rPr>
        <w:t>,</w:t>
      </w:r>
      <w:r>
        <w:rPr>
          <w:rFonts w:ascii="Times New Roman" w:hAnsi="Times New Roman" w:cs="Times New Roman"/>
        </w:rPr>
        <w:t>2</w:t>
      </w:r>
      <w:r w:rsidRPr="00C8030C">
        <w:rPr>
          <w:rFonts w:ascii="Times New Roman" w:hAnsi="Times New Roman" w:cs="Times New Roman"/>
        </w:rPr>
        <w:t xml:space="preserve"> mil. eur, čo predstavuje medziročný nárast o </w:t>
      </w:r>
      <w:r>
        <w:rPr>
          <w:rFonts w:ascii="Times New Roman" w:hAnsi="Times New Roman" w:cs="Times New Roman"/>
        </w:rPr>
        <w:t>480</w:t>
      </w:r>
      <w:r w:rsidRPr="00C8030C">
        <w:rPr>
          <w:rFonts w:ascii="Times New Roman" w:hAnsi="Times New Roman" w:cs="Times New Roman"/>
        </w:rPr>
        <w:t xml:space="preserve"> </w:t>
      </w:r>
      <w:r>
        <w:rPr>
          <w:rFonts w:ascii="Times New Roman" w:hAnsi="Times New Roman" w:cs="Times New Roman"/>
        </w:rPr>
        <w:t>tis</w:t>
      </w:r>
      <w:r w:rsidRPr="00C8030C">
        <w:rPr>
          <w:rFonts w:ascii="Times New Roman" w:hAnsi="Times New Roman" w:cs="Times New Roman"/>
        </w:rPr>
        <w:t>. eur</w:t>
      </w:r>
      <w:r>
        <w:rPr>
          <w:rFonts w:ascii="Times New Roman" w:hAnsi="Times New Roman" w:cs="Times New Roman"/>
        </w:rPr>
        <w:t xml:space="preserve">, t. j. o 4,47 </w:t>
      </w:r>
      <w:r w:rsidRPr="006733FF">
        <w:rPr>
          <w:rFonts w:ascii="Times New Roman" w:hAnsi="Times New Roman" w:cs="Times New Roman"/>
        </w:rPr>
        <w:t>%. Dôvodom nárastu je valorizáci</w:t>
      </w:r>
      <w:r>
        <w:rPr>
          <w:rFonts w:ascii="Times New Roman" w:hAnsi="Times New Roman" w:cs="Times New Roman"/>
        </w:rPr>
        <w:t>a</w:t>
      </w:r>
      <w:r w:rsidRPr="006733FF">
        <w:rPr>
          <w:rFonts w:ascii="Times New Roman" w:hAnsi="Times New Roman" w:cs="Times New Roman"/>
        </w:rPr>
        <w:t xml:space="preserve"> platov štátnych zamestnancov a zamestnancov pri výkone práce vo verejnom záujme z roku 2017 </w:t>
      </w:r>
      <w:r>
        <w:rPr>
          <w:rFonts w:ascii="Times New Roman" w:hAnsi="Times New Roman" w:cs="Times New Roman"/>
        </w:rPr>
        <w:t>a d</w:t>
      </w:r>
      <w:r w:rsidRPr="006733FF">
        <w:rPr>
          <w:rFonts w:ascii="Times New Roman" w:hAnsi="Times New Roman" w:cs="Times New Roman"/>
        </w:rPr>
        <w:t>opočet zákonných náležitostí sudcov.</w:t>
      </w:r>
    </w:p>
    <w:p w:rsidR="007D13F3"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D003F3">
        <w:rPr>
          <w:rFonts w:ascii="Times New Roman" w:hAnsi="Times New Roman" w:cs="Times New Roman"/>
        </w:rPr>
        <w:t xml:space="preserve">Tovary a služby sa rozpočtujú v sume </w:t>
      </w:r>
      <w:r>
        <w:rPr>
          <w:rFonts w:ascii="Times New Roman" w:hAnsi="Times New Roman" w:cs="Times New Roman"/>
        </w:rPr>
        <w:t>1,05</w:t>
      </w:r>
      <w:r w:rsidRPr="00D003F3">
        <w:rPr>
          <w:rFonts w:ascii="Times New Roman" w:hAnsi="Times New Roman" w:cs="Times New Roman"/>
        </w:rPr>
        <w:t xml:space="preserve"> </w:t>
      </w:r>
      <w:r>
        <w:rPr>
          <w:rFonts w:ascii="Times New Roman" w:hAnsi="Times New Roman" w:cs="Times New Roman"/>
        </w:rPr>
        <w:t>mil</w:t>
      </w:r>
      <w:r w:rsidRPr="00D003F3">
        <w:rPr>
          <w:rFonts w:ascii="Times New Roman" w:hAnsi="Times New Roman" w:cs="Times New Roman"/>
        </w:rPr>
        <w:t>. eur a oproti schválenému rozpočtu roku 201</w:t>
      </w:r>
      <w:r>
        <w:rPr>
          <w:rFonts w:ascii="Times New Roman" w:hAnsi="Times New Roman" w:cs="Times New Roman"/>
        </w:rPr>
        <w:t>7</w:t>
      </w:r>
      <w:r w:rsidRPr="00D003F3">
        <w:rPr>
          <w:rFonts w:ascii="Times New Roman" w:hAnsi="Times New Roman" w:cs="Times New Roman"/>
        </w:rPr>
        <w:t xml:space="preserve"> medziročne </w:t>
      </w:r>
      <w:r>
        <w:rPr>
          <w:rFonts w:ascii="Times New Roman" w:hAnsi="Times New Roman" w:cs="Times New Roman"/>
        </w:rPr>
        <w:t>rast</w:t>
      </w:r>
      <w:r w:rsidRPr="00D003F3">
        <w:rPr>
          <w:rFonts w:ascii="Times New Roman" w:hAnsi="Times New Roman" w:cs="Times New Roman"/>
        </w:rPr>
        <w:t>ú o</w:t>
      </w:r>
      <w:r>
        <w:rPr>
          <w:rFonts w:ascii="Times New Roman" w:hAnsi="Times New Roman" w:cs="Times New Roman"/>
        </w:rPr>
        <w:t xml:space="preserve"> 141 </w:t>
      </w:r>
      <w:r w:rsidRPr="00D003F3">
        <w:rPr>
          <w:rFonts w:ascii="Times New Roman" w:hAnsi="Times New Roman" w:cs="Times New Roman"/>
        </w:rPr>
        <w:t>tis. eur, t. j. o </w:t>
      </w:r>
      <w:r>
        <w:rPr>
          <w:rFonts w:ascii="Times New Roman" w:hAnsi="Times New Roman" w:cs="Times New Roman"/>
        </w:rPr>
        <w:t>15</w:t>
      </w:r>
      <w:r w:rsidRPr="00D003F3">
        <w:rPr>
          <w:rFonts w:ascii="Times New Roman" w:hAnsi="Times New Roman" w:cs="Times New Roman"/>
        </w:rPr>
        <w:t>,</w:t>
      </w:r>
      <w:r>
        <w:rPr>
          <w:rFonts w:ascii="Times New Roman" w:hAnsi="Times New Roman" w:cs="Times New Roman"/>
        </w:rPr>
        <w:t>6</w:t>
      </w:r>
      <w:r w:rsidRPr="00D003F3">
        <w:rPr>
          <w:rFonts w:ascii="Times New Roman" w:hAnsi="Times New Roman" w:cs="Times New Roman"/>
        </w:rPr>
        <w:t xml:space="preserve"> %. </w:t>
      </w:r>
      <w:r>
        <w:rPr>
          <w:rFonts w:ascii="Times New Roman" w:hAnsi="Times New Roman" w:cs="Times New Roman"/>
        </w:rPr>
        <w:t xml:space="preserve">Dôvodom je </w:t>
      </w:r>
      <w:r w:rsidRPr="00E21EAD">
        <w:rPr>
          <w:rFonts w:ascii="Times New Roman" w:hAnsi="Times New Roman" w:cs="Times New Roman"/>
        </w:rPr>
        <w:t xml:space="preserve">presun výdavkov, ktoré kapitola rozpísala pri rozpise </w:t>
      </w:r>
      <w:r>
        <w:rPr>
          <w:rFonts w:ascii="Times New Roman" w:hAnsi="Times New Roman" w:cs="Times New Roman"/>
        </w:rPr>
        <w:t>z</w:t>
      </w:r>
      <w:r w:rsidRPr="00E21EAD">
        <w:rPr>
          <w:rFonts w:ascii="Times New Roman" w:hAnsi="Times New Roman" w:cs="Times New Roman"/>
        </w:rPr>
        <w:t xml:space="preserve"> bežných transferov</w:t>
      </w:r>
      <w:r>
        <w:rPr>
          <w:rFonts w:ascii="Times New Roman" w:hAnsi="Times New Roman" w:cs="Times New Roman"/>
        </w:rPr>
        <w:t>.</w:t>
      </w:r>
    </w:p>
    <w:p w:rsidR="007D13F3" w:rsidRPr="001438B9" w:rsidRDefault="007D13F3" w:rsidP="007D13F3">
      <w:pPr>
        <w:ind w:firstLine="708"/>
        <w:jc w:val="both"/>
        <w:rPr>
          <w:rFonts w:ascii="Times New Roman" w:hAnsi="Times New Roman" w:cs="Times New Roman"/>
          <w:highlight w:val="yellow"/>
        </w:rPr>
      </w:pPr>
    </w:p>
    <w:p w:rsidR="007D13F3" w:rsidRDefault="007D13F3" w:rsidP="007D13F3">
      <w:pPr>
        <w:ind w:firstLine="708"/>
        <w:jc w:val="both"/>
        <w:rPr>
          <w:rFonts w:ascii="Times New Roman" w:hAnsi="Times New Roman" w:cs="Times New Roman"/>
        </w:rPr>
      </w:pPr>
      <w:r w:rsidRPr="006A5932">
        <w:rPr>
          <w:rFonts w:ascii="Times New Roman" w:hAnsi="Times New Roman" w:cs="Times New Roman"/>
        </w:rPr>
        <w:t xml:space="preserve">Bežné transfery sa rozpočtujú v sume </w:t>
      </w:r>
      <w:r>
        <w:rPr>
          <w:rFonts w:ascii="Times New Roman" w:hAnsi="Times New Roman" w:cs="Times New Roman"/>
        </w:rPr>
        <w:t xml:space="preserve">48 tis. eur </w:t>
      </w:r>
      <w:r w:rsidRPr="006A5932">
        <w:rPr>
          <w:rFonts w:ascii="Times New Roman" w:hAnsi="Times New Roman" w:cs="Times New Roman"/>
        </w:rPr>
        <w:t>a oproti schválenému rozpočtu roku 201</w:t>
      </w:r>
      <w:r>
        <w:rPr>
          <w:rFonts w:ascii="Times New Roman" w:hAnsi="Times New Roman" w:cs="Times New Roman"/>
        </w:rPr>
        <w:t>7</w:t>
      </w:r>
      <w:r w:rsidRPr="006A5932">
        <w:rPr>
          <w:rFonts w:ascii="Times New Roman" w:hAnsi="Times New Roman" w:cs="Times New Roman"/>
        </w:rPr>
        <w:t xml:space="preserve"> medziročne </w:t>
      </w:r>
      <w:r>
        <w:rPr>
          <w:rFonts w:ascii="Times New Roman" w:hAnsi="Times New Roman" w:cs="Times New Roman"/>
        </w:rPr>
        <w:t>klesaj</w:t>
      </w:r>
      <w:r w:rsidRPr="006A5932">
        <w:rPr>
          <w:rFonts w:ascii="Times New Roman" w:hAnsi="Times New Roman" w:cs="Times New Roman"/>
        </w:rPr>
        <w:t xml:space="preserve">ú o </w:t>
      </w:r>
      <w:r>
        <w:rPr>
          <w:rFonts w:ascii="Times New Roman" w:hAnsi="Times New Roman" w:cs="Times New Roman"/>
        </w:rPr>
        <w:t xml:space="preserve">69,0 tis. eur. </w:t>
      </w:r>
      <w:r w:rsidRPr="00E80557">
        <w:rPr>
          <w:rFonts w:ascii="Times New Roman" w:hAnsi="Times New Roman" w:cs="Times New Roman"/>
        </w:rPr>
        <w:t xml:space="preserve">Dôvodom je presun výdavkov, ktoré kapitola rozpísala pri rozpise v prospech </w:t>
      </w:r>
      <w:r>
        <w:rPr>
          <w:rFonts w:ascii="Times New Roman" w:hAnsi="Times New Roman" w:cs="Times New Roman"/>
        </w:rPr>
        <w:t>tovarov a služieb</w:t>
      </w:r>
      <w:r w:rsidRPr="00E80557">
        <w:rPr>
          <w:rFonts w:ascii="Times New Roman" w:hAnsi="Times New Roman" w:cs="Times New Roman"/>
        </w:rPr>
        <w:t>.</w:t>
      </w:r>
    </w:p>
    <w:p w:rsidR="007D13F3" w:rsidRPr="001438B9" w:rsidRDefault="007D13F3" w:rsidP="007D13F3">
      <w:pPr>
        <w:ind w:firstLine="708"/>
        <w:jc w:val="both"/>
        <w:rPr>
          <w:rFonts w:ascii="Times New Roman" w:hAnsi="Times New Roman" w:cs="Times New Roman"/>
          <w:highlight w:val="yellow"/>
        </w:rPr>
      </w:pPr>
    </w:p>
    <w:p w:rsidR="007D13F3" w:rsidRDefault="007D13F3" w:rsidP="007D13F3">
      <w:pPr>
        <w:ind w:firstLine="708"/>
        <w:jc w:val="both"/>
      </w:pPr>
      <w:r w:rsidRPr="00162F72">
        <w:rPr>
          <w:rFonts w:ascii="Times New Roman" w:hAnsi="Times New Roman" w:cs="Times New Roman"/>
        </w:rPr>
        <w:t xml:space="preserve">Kapitálové výdavky sa rozpočtujú v sume </w:t>
      </w:r>
      <w:r>
        <w:rPr>
          <w:rFonts w:ascii="Times New Roman" w:hAnsi="Times New Roman" w:cs="Times New Roman"/>
        </w:rPr>
        <w:t>3,05</w:t>
      </w:r>
      <w:r w:rsidRPr="00162F72">
        <w:rPr>
          <w:rFonts w:ascii="Times New Roman" w:hAnsi="Times New Roman" w:cs="Times New Roman"/>
        </w:rPr>
        <w:t xml:space="preserve"> </w:t>
      </w:r>
      <w:r>
        <w:rPr>
          <w:rFonts w:ascii="Times New Roman" w:hAnsi="Times New Roman" w:cs="Times New Roman"/>
        </w:rPr>
        <w:t>mil. eur</w:t>
      </w:r>
      <w:r w:rsidRPr="00162F72">
        <w:rPr>
          <w:rFonts w:ascii="Times New Roman" w:hAnsi="Times New Roman" w:cs="Times New Roman"/>
        </w:rPr>
        <w:t xml:space="preserve"> </w:t>
      </w:r>
      <w:r w:rsidRPr="00847540">
        <w:rPr>
          <w:rFonts w:ascii="Times New Roman" w:hAnsi="Times New Roman" w:cs="Times New Roman"/>
        </w:rPr>
        <w:t xml:space="preserve">a oproti schválenému rozpočtu roku 2017 medziročne rastú o </w:t>
      </w:r>
      <w:r>
        <w:rPr>
          <w:rFonts w:ascii="Times New Roman" w:hAnsi="Times New Roman" w:cs="Times New Roman"/>
        </w:rPr>
        <w:t>3</w:t>
      </w:r>
      <w:r w:rsidRPr="00847540">
        <w:rPr>
          <w:rFonts w:ascii="Times New Roman" w:hAnsi="Times New Roman" w:cs="Times New Roman"/>
        </w:rPr>
        <w:t>,</w:t>
      </w:r>
      <w:r>
        <w:rPr>
          <w:rFonts w:ascii="Times New Roman" w:hAnsi="Times New Roman" w:cs="Times New Roman"/>
        </w:rPr>
        <w:t>0</w:t>
      </w:r>
      <w:r w:rsidRPr="00847540">
        <w:rPr>
          <w:rFonts w:ascii="Times New Roman" w:hAnsi="Times New Roman" w:cs="Times New Roman"/>
        </w:rPr>
        <w:t xml:space="preserve">0 </w:t>
      </w:r>
      <w:r>
        <w:rPr>
          <w:rFonts w:ascii="Times New Roman" w:hAnsi="Times New Roman" w:cs="Times New Roman"/>
        </w:rPr>
        <w:t>mil</w:t>
      </w:r>
      <w:r w:rsidRPr="00847540">
        <w:rPr>
          <w:rFonts w:ascii="Times New Roman" w:hAnsi="Times New Roman" w:cs="Times New Roman"/>
        </w:rPr>
        <w:t xml:space="preserve">. eur. Dôvodom je </w:t>
      </w:r>
      <w:r>
        <w:rPr>
          <w:rFonts w:ascii="Times New Roman" w:hAnsi="Times New Roman" w:cs="Times New Roman"/>
        </w:rPr>
        <w:t>p</w:t>
      </w:r>
      <w:r w:rsidRPr="006D17BD">
        <w:rPr>
          <w:rFonts w:ascii="Times New Roman" w:hAnsi="Times New Roman" w:cs="Times New Roman"/>
        </w:rPr>
        <w:t xml:space="preserve">resun správy budovy na Župnom námestí do správy </w:t>
      </w:r>
      <w:r w:rsidR="00385779">
        <w:rPr>
          <w:rFonts w:ascii="Times New Roman" w:hAnsi="Times New Roman" w:cs="Times New Roman"/>
        </w:rPr>
        <w:t>Kancelárie Najvyššieho súdu</w:t>
      </w:r>
      <w:r>
        <w:rPr>
          <w:rFonts w:ascii="Times New Roman" w:hAnsi="Times New Roman" w:cs="Times New Roman"/>
        </w:rPr>
        <w:t xml:space="preserve"> SR.</w:t>
      </w:r>
    </w:p>
    <w:p w:rsidR="007D13F3" w:rsidRDefault="007D13F3" w:rsidP="007D13F3"/>
    <w:p w:rsidR="007D13F3" w:rsidRDefault="007D13F3" w:rsidP="007D13F3">
      <w:pPr>
        <w:pStyle w:val="Nadpis5"/>
        <w:pBdr>
          <w:bottom w:val="single" w:sz="4" w:space="1" w:color="auto"/>
        </w:pBdr>
        <w:spacing w:before="0" w:after="0"/>
        <w:ind w:left="0"/>
        <w:rPr>
          <w:i w:val="0"/>
          <w:sz w:val="24"/>
        </w:rPr>
      </w:pPr>
      <w:bookmarkStart w:id="164" w:name="_Toc494470109"/>
      <w:bookmarkStart w:id="165" w:name="_Toc494472285"/>
      <w:r>
        <w:rPr>
          <w:i w:val="0"/>
          <w:sz w:val="24"/>
        </w:rPr>
        <w:t xml:space="preserve">Kancelária </w:t>
      </w:r>
      <w:r w:rsidR="00941A11">
        <w:rPr>
          <w:i w:val="0"/>
          <w:sz w:val="24"/>
        </w:rPr>
        <w:t>S</w:t>
      </w:r>
      <w:r>
        <w:rPr>
          <w:i w:val="0"/>
          <w:sz w:val="24"/>
        </w:rPr>
        <w:t>údnej rady</w:t>
      </w:r>
      <w:r w:rsidRPr="0048144B">
        <w:rPr>
          <w:i w:val="0"/>
          <w:sz w:val="24"/>
        </w:rPr>
        <w:t xml:space="preserve"> SR</w:t>
      </w:r>
      <w:bookmarkEnd w:id="164"/>
      <w:bookmarkEnd w:id="165"/>
    </w:p>
    <w:p w:rsidR="007D13F3" w:rsidRDefault="007D13F3" w:rsidP="007D13F3">
      <w:pPr>
        <w:tabs>
          <w:tab w:val="left" w:pos="1275"/>
        </w:tabs>
      </w:pPr>
    </w:p>
    <w:tbl>
      <w:tblPr>
        <w:tblW w:w="9040" w:type="dxa"/>
        <w:tblInd w:w="55" w:type="dxa"/>
        <w:tblCellMar>
          <w:left w:w="70" w:type="dxa"/>
          <w:right w:w="70" w:type="dxa"/>
        </w:tblCellMar>
        <w:tblLook w:val="04A0" w:firstRow="1" w:lastRow="0" w:firstColumn="1" w:lastColumn="0" w:noHBand="0" w:noVBand="1"/>
      </w:tblPr>
      <w:tblGrid>
        <w:gridCol w:w="2320"/>
        <w:gridCol w:w="960"/>
        <w:gridCol w:w="960"/>
        <w:gridCol w:w="960"/>
        <w:gridCol w:w="960"/>
        <w:gridCol w:w="960"/>
        <w:gridCol w:w="960"/>
        <w:gridCol w:w="960"/>
      </w:tblGrid>
      <w:tr w:rsidR="007D13F3" w:rsidRPr="00C22B35" w:rsidTr="00465CAC">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D251FF" w:rsidRDefault="007D13F3" w:rsidP="00465CAC">
            <w:pPr>
              <w:rPr>
                <w:rFonts w:ascii="Times New Roman" w:hAnsi="Times New Roman" w:cs="Times New Roman"/>
                <w:b/>
                <w:bCs/>
                <w:color w:val="000000"/>
                <w:sz w:val="14"/>
                <w:szCs w:val="14"/>
                <w:lang w:eastAsia="sk-SK"/>
              </w:rPr>
            </w:pPr>
            <w:r w:rsidRPr="00D251FF">
              <w:rPr>
                <w:rFonts w:ascii="Times New Roman" w:hAnsi="Times New Roman" w:cs="Times New Roman"/>
                <w:b/>
                <w:bCs/>
                <w:color w:val="000000"/>
                <w:sz w:val="14"/>
                <w:szCs w:val="14"/>
                <w:lang w:eastAsia="sk-SK"/>
              </w:rPr>
              <w:t> v</w:t>
            </w:r>
            <w:r>
              <w:rPr>
                <w:rFonts w:ascii="Times New Roman" w:hAnsi="Times New Roman" w:cs="Times New Roman"/>
                <w:b/>
                <w:bCs/>
                <w:color w:val="000000"/>
                <w:sz w:val="14"/>
                <w:szCs w:val="14"/>
                <w:lang w:eastAsia="sk-SK"/>
              </w:rPr>
              <w:t> </w:t>
            </w:r>
            <w:r w:rsidRPr="00D251FF">
              <w:rPr>
                <w:rFonts w:ascii="Times New Roman" w:hAnsi="Times New Roman" w:cs="Times New Roman"/>
                <w:b/>
                <w:bCs/>
                <w:color w:val="000000"/>
                <w:sz w:val="14"/>
                <w:szCs w:val="14"/>
                <w:lang w:eastAsia="sk-SK"/>
              </w:rPr>
              <w:t>eurách</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AC524F" w:rsidRDefault="007D13F3" w:rsidP="00465CAC">
            <w:pPr>
              <w:jc w:val="center"/>
              <w:rPr>
                <w:rFonts w:ascii="Times New Roman" w:hAnsi="Times New Roman" w:cs="Times New Roman"/>
                <w:b/>
                <w:bCs/>
                <w:color w:val="000000"/>
                <w:sz w:val="14"/>
                <w:szCs w:val="14"/>
                <w:lang w:eastAsia="sk-SK"/>
              </w:rPr>
            </w:pPr>
            <w:r w:rsidRPr="00AC524F">
              <w:rPr>
                <w:rFonts w:ascii="Times New Roman" w:hAnsi="Times New Roman" w:cs="Times New Roman"/>
                <w:b/>
                <w:bCs/>
                <w:color w:val="000000"/>
                <w:sz w:val="14"/>
                <w:szCs w:val="14"/>
              </w:rPr>
              <w:t>2015 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AC524F" w:rsidRDefault="007D13F3" w:rsidP="00465CAC">
            <w:pPr>
              <w:jc w:val="center"/>
              <w:rPr>
                <w:rFonts w:ascii="Times New Roman" w:hAnsi="Times New Roman" w:cs="Times New Roman"/>
                <w:b/>
                <w:bCs/>
                <w:color w:val="000000"/>
                <w:sz w:val="14"/>
                <w:szCs w:val="14"/>
              </w:rPr>
            </w:pPr>
            <w:r w:rsidRPr="00AC524F">
              <w:rPr>
                <w:rFonts w:ascii="Times New Roman" w:hAnsi="Times New Roman" w:cs="Times New Roman"/>
                <w:b/>
                <w:bCs/>
                <w:color w:val="000000"/>
                <w:sz w:val="14"/>
                <w:szCs w:val="14"/>
              </w:rPr>
              <w:t>2016 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AC524F" w:rsidRDefault="007D13F3" w:rsidP="00465CAC">
            <w:pPr>
              <w:jc w:val="center"/>
              <w:rPr>
                <w:rFonts w:ascii="Times New Roman" w:hAnsi="Times New Roman" w:cs="Times New Roman"/>
                <w:b/>
                <w:bCs/>
                <w:color w:val="000000"/>
                <w:sz w:val="14"/>
                <w:szCs w:val="14"/>
              </w:rPr>
            </w:pPr>
            <w:r w:rsidRPr="00AC524F">
              <w:rPr>
                <w:rFonts w:ascii="Times New Roman" w:hAnsi="Times New Roman" w:cs="Times New Roman"/>
                <w:b/>
                <w:bCs/>
                <w:color w:val="000000"/>
                <w:sz w:val="14"/>
                <w:szCs w:val="14"/>
              </w:rPr>
              <w:t>2017 R</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AC524F" w:rsidRDefault="007D13F3" w:rsidP="00465CAC">
            <w:pPr>
              <w:jc w:val="center"/>
              <w:rPr>
                <w:rFonts w:ascii="Times New Roman" w:hAnsi="Times New Roman" w:cs="Times New Roman"/>
                <w:b/>
                <w:bCs/>
                <w:color w:val="000000"/>
                <w:sz w:val="14"/>
                <w:szCs w:val="14"/>
              </w:rPr>
            </w:pPr>
            <w:r w:rsidRPr="00AC524F">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AC524F" w:rsidRDefault="007D13F3" w:rsidP="00465CAC">
            <w:pPr>
              <w:jc w:val="center"/>
              <w:rPr>
                <w:rFonts w:ascii="Times New Roman" w:hAnsi="Times New Roman" w:cs="Times New Roman"/>
                <w:b/>
                <w:bCs/>
                <w:color w:val="000000"/>
                <w:sz w:val="14"/>
                <w:szCs w:val="14"/>
              </w:rPr>
            </w:pPr>
            <w:r w:rsidRPr="00AC524F">
              <w:rPr>
                <w:rFonts w:ascii="Times New Roman" w:hAnsi="Times New Roman" w:cs="Times New Roman"/>
                <w:b/>
                <w:bCs/>
                <w:color w:val="000000"/>
                <w:sz w:val="14"/>
                <w:szCs w:val="14"/>
              </w:rPr>
              <w:t>2018 N</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AC524F" w:rsidRDefault="007D13F3" w:rsidP="00465CAC">
            <w:pPr>
              <w:jc w:val="center"/>
              <w:rPr>
                <w:rFonts w:ascii="Times New Roman" w:hAnsi="Times New Roman" w:cs="Times New Roman"/>
                <w:b/>
                <w:bCs/>
                <w:color w:val="000000"/>
                <w:sz w:val="14"/>
                <w:szCs w:val="14"/>
              </w:rPr>
            </w:pPr>
            <w:r w:rsidRPr="00AC524F">
              <w:rPr>
                <w:rFonts w:ascii="Times New Roman" w:hAnsi="Times New Roman" w:cs="Times New Roman"/>
                <w:b/>
                <w:bCs/>
                <w:color w:val="000000"/>
                <w:sz w:val="14"/>
                <w:szCs w:val="14"/>
              </w:rPr>
              <w:t>2019 N</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AC524F" w:rsidRDefault="007D13F3" w:rsidP="00465CAC">
            <w:pPr>
              <w:jc w:val="center"/>
              <w:rPr>
                <w:rFonts w:ascii="Times New Roman" w:hAnsi="Times New Roman" w:cs="Times New Roman"/>
                <w:b/>
                <w:bCs/>
                <w:color w:val="000000"/>
                <w:sz w:val="14"/>
                <w:szCs w:val="14"/>
              </w:rPr>
            </w:pPr>
            <w:r w:rsidRPr="00AC524F">
              <w:rPr>
                <w:rFonts w:ascii="Times New Roman" w:hAnsi="Times New Roman" w:cs="Times New Roman"/>
                <w:b/>
                <w:bCs/>
                <w:color w:val="000000"/>
                <w:sz w:val="14"/>
                <w:szCs w:val="14"/>
              </w:rPr>
              <w:t>2020 N</w:t>
            </w:r>
          </w:p>
        </w:tc>
      </w:tr>
      <w:tr w:rsidR="007D13F3" w:rsidRPr="00C22B35" w:rsidTr="00465CAC">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2D351E" w:rsidRDefault="007D13F3" w:rsidP="00465CAC">
            <w:pPr>
              <w:rPr>
                <w:rFonts w:ascii="Times New Roman" w:hAnsi="Times New Roman" w:cs="Times New Roman"/>
                <w:b/>
                <w:bCs/>
                <w:color w:val="000000"/>
                <w:sz w:val="14"/>
                <w:szCs w:val="14"/>
              </w:rPr>
            </w:pPr>
            <w:r w:rsidRPr="002D351E">
              <w:rPr>
                <w:rFonts w:ascii="Times New Roman" w:hAnsi="Times New Roman" w:cs="Times New Roman"/>
                <w:b/>
                <w:bCs/>
                <w:color w:val="000000"/>
                <w:sz w:val="14"/>
                <w:szCs w:val="14"/>
              </w:rPr>
              <w:t>Zdroje príslušnej kapitoly</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7D13F3" w:rsidRPr="00AC524F" w:rsidRDefault="007D13F3" w:rsidP="00465CAC">
            <w:pPr>
              <w:jc w:val="right"/>
              <w:rPr>
                <w:rFonts w:ascii="Times New Roman" w:hAnsi="Times New Roman" w:cs="Times New Roman"/>
                <w:b/>
                <w:bCs/>
                <w:color w:val="000000"/>
                <w:sz w:val="14"/>
                <w:szCs w:val="14"/>
              </w:rPr>
            </w:pPr>
            <w:r w:rsidRPr="00AC524F">
              <w:rPr>
                <w:rFonts w:ascii="Times New Roman" w:hAnsi="Times New Roman" w:cs="Times New Roman"/>
                <w:b/>
                <w:bCs/>
                <w:color w:val="000000"/>
                <w:sz w:val="14"/>
                <w:szCs w:val="14"/>
              </w:rPr>
              <w:t>504 074</w:t>
            </w:r>
          </w:p>
        </w:tc>
        <w:tc>
          <w:tcPr>
            <w:tcW w:w="960" w:type="dxa"/>
            <w:tcBorders>
              <w:top w:val="nil"/>
              <w:left w:val="nil"/>
              <w:bottom w:val="single" w:sz="4" w:space="0" w:color="auto"/>
              <w:right w:val="single" w:sz="4" w:space="0" w:color="auto"/>
            </w:tcBorders>
            <w:shd w:val="clear" w:color="000000" w:fill="BFBFBF"/>
            <w:vAlign w:val="bottom"/>
            <w:hideMark/>
          </w:tcPr>
          <w:p w:rsidR="007D13F3" w:rsidRPr="00AC524F" w:rsidRDefault="007D13F3" w:rsidP="00465CAC">
            <w:pPr>
              <w:jc w:val="right"/>
              <w:rPr>
                <w:rFonts w:ascii="Times New Roman" w:hAnsi="Times New Roman" w:cs="Times New Roman"/>
                <w:b/>
                <w:bCs/>
                <w:color w:val="000000"/>
                <w:sz w:val="14"/>
                <w:szCs w:val="14"/>
              </w:rPr>
            </w:pPr>
            <w:r w:rsidRPr="00AC524F">
              <w:rPr>
                <w:rFonts w:ascii="Times New Roman" w:hAnsi="Times New Roman" w:cs="Times New Roman"/>
                <w:b/>
                <w:bCs/>
                <w:color w:val="000000"/>
                <w:sz w:val="14"/>
                <w:szCs w:val="14"/>
              </w:rPr>
              <w:t>717 831</w:t>
            </w:r>
          </w:p>
        </w:tc>
        <w:tc>
          <w:tcPr>
            <w:tcW w:w="960" w:type="dxa"/>
            <w:tcBorders>
              <w:top w:val="nil"/>
              <w:left w:val="nil"/>
              <w:bottom w:val="single" w:sz="4" w:space="0" w:color="auto"/>
              <w:right w:val="single" w:sz="4" w:space="0" w:color="auto"/>
            </w:tcBorders>
            <w:shd w:val="clear" w:color="000000" w:fill="BFBFBF"/>
            <w:vAlign w:val="bottom"/>
            <w:hideMark/>
          </w:tcPr>
          <w:p w:rsidR="007D13F3" w:rsidRPr="00AC524F" w:rsidRDefault="007D13F3" w:rsidP="00465CAC">
            <w:pPr>
              <w:jc w:val="right"/>
              <w:rPr>
                <w:rFonts w:ascii="Times New Roman" w:hAnsi="Times New Roman" w:cs="Times New Roman"/>
                <w:b/>
                <w:bCs/>
                <w:color w:val="000000"/>
                <w:sz w:val="14"/>
                <w:szCs w:val="14"/>
              </w:rPr>
            </w:pPr>
            <w:r w:rsidRPr="00AC524F">
              <w:rPr>
                <w:rFonts w:ascii="Times New Roman" w:hAnsi="Times New Roman" w:cs="Times New Roman"/>
                <w:b/>
                <w:bCs/>
                <w:color w:val="000000"/>
                <w:sz w:val="14"/>
                <w:szCs w:val="14"/>
              </w:rPr>
              <w:t>600 915</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7D13F3" w:rsidRPr="000C02BD" w:rsidRDefault="007D13F3" w:rsidP="00465CAC">
            <w:pPr>
              <w:jc w:val="right"/>
              <w:rPr>
                <w:rFonts w:ascii="Times New Roman" w:hAnsi="Times New Roman" w:cs="Times New Roman"/>
                <w:b/>
                <w:bCs/>
                <w:color w:val="000000"/>
                <w:sz w:val="14"/>
                <w:szCs w:val="14"/>
                <w:lang w:eastAsia="sk-SK"/>
              </w:rPr>
            </w:pPr>
            <w:r w:rsidRPr="000C02BD">
              <w:rPr>
                <w:rFonts w:ascii="Times New Roman" w:hAnsi="Times New Roman" w:cs="Times New Roman"/>
                <w:b/>
                <w:bCs/>
                <w:color w:val="000000"/>
                <w:sz w:val="14"/>
                <w:szCs w:val="14"/>
              </w:rPr>
              <w:t>618 579</w:t>
            </w:r>
          </w:p>
        </w:tc>
        <w:tc>
          <w:tcPr>
            <w:tcW w:w="960" w:type="dxa"/>
            <w:tcBorders>
              <w:top w:val="single" w:sz="4" w:space="0" w:color="auto"/>
              <w:left w:val="nil"/>
              <w:bottom w:val="single" w:sz="4" w:space="0" w:color="auto"/>
              <w:right w:val="single" w:sz="4" w:space="0" w:color="auto"/>
            </w:tcBorders>
            <w:shd w:val="clear" w:color="000000" w:fill="BFBFBF"/>
            <w:vAlign w:val="bottom"/>
            <w:hideMark/>
          </w:tcPr>
          <w:p w:rsidR="007D13F3" w:rsidRPr="000C02BD" w:rsidRDefault="007D13F3" w:rsidP="00465CAC">
            <w:pPr>
              <w:jc w:val="right"/>
              <w:rPr>
                <w:rFonts w:ascii="Times New Roman" w:hAnsi="Times New Roman" w:cs="Times New Roman"/>
                <w:b/>
                <w:bCs/>
                <w:color w:val="000000"/>
                <w:sz w:val="14"/>
                <w:szCs w:val="14"/>
              </w:rPr>
            </w:pPr>
            <w:r w:rsidRPr="000C02BD">
              <w:rPr>
                <w:rFonts w:ascii="Times New Roman" w:hAnsi="Times New Roman" w:cs="Times New Roman"/>
                <w:b/>
                <w:bCs/>
                <w:color w:val="000000"/>
                <w:sz w:val="14"/>
                <w:szCs w:val="14"/>
              </w:rPr>
              <w:t>780 741</w:t>
            </w:r>
          </w:p>
        </w:tc>
        <w:tc>
          <w:tcPr>
            <w:tcW w:w="960" w:type="dxa"/>
            <w:tcBorders>
              <w:top w:val="single" w:sz="4" w:space="0" w:color="auto"/>
              <w:left w:val="nil"/>
              <w:bottom w:val="single" w:sz="4" w:space="0" w:color="auto"/>
              <w:right w:val="single" w:sz="4" w:space="0" w:color="auto"/>
            </w:tcBorders>
            <w:shd w:val="clear" w:color="000000" w:fill="BFBFBF"/>
            <w:vAlign w:val="bottom"/>
            <w:hideMark/>
          </w:tcPr>
          <w:p w:rsidR="007D13F3" w:rsidRPr="000C02BD" w:rsidRDefault="007D13F3" w:rsidP="00465CAC">
            <w:pPr>
              <w:jc w:val="right"/>
              <w:rPr>
                <w:rFonts w:ascii="Times New Roman" w:hAnsi="Times New Roman" w:cs="Times New Roman"/>
                <w:b/>
                <w:bCs/>
                <w:color w:val="000000"/>
                <w:sz w:val="14"/>
                <w:szCs w:val="14"/>
              </w:rPr>
            </w:pPr>
            <w:r w:rsidRPr="000C02BD">
              <w:rPr>
                <w:rFonts w:ascii="Times New Roman" w:hAnsi="Times New Roman" w:cs="Times New Roman"/>
                <w:b/>
                <w:bCs/>
                <w:color w:val="000000"/>
                <w:sz w:val="14"/>
                <w:szCs w:val="14"/>
              </w:rPr>
              <w:t>784 769</w:t>
            </w:r>
          </w:p>
        </w:tc>
        <w:tc>
          <w:tcPr>
            <w:tcW w:w="960" w:type="dxa"/>
            <w:tcBorders>
              <w:top w:val="single" w:sz="4" w:space="0" w:color="auto"/>
              <w:left w:val="nil"/>
              <w:bottom w:val="single" w:sz="4" w:space="0" w:color="auto"/>
              <w:right w:val="single" w:sz="4" w:space="0" w:color="auto"/>
            </w:tcBorders>
            <w:shd w:val="clear" w:color="000000" w:fill="BFBFBF"/>
            <w:vAlign w:val="bottom"/>
            <w:hideMark/>
          </w:tcPr>
          <w:p w:rsidR="007D13F3" w:rsidRPr="000C02BD" w:rsidRDefault="007D13F3" w:rsidP="00465CAC">
            <w:pPr>
              <w:jc w:val="right"/>
              <w:rPr>
                <w:rFonts w:ascii="Times New Roman" w:hAnsi="Times New Roman" w:cs="Times New Roman"/>
                <w:b/>
                <w:bCs/>
                <w:color w:val="000000"/>
                <w:sz w:val="14"/>
                <w:szCs w:val="14"/>
              </w:rPr>
            </w:pPr>
            <w:r w:rsidRPr="000C02BD">
              <w:rPr>
                <w:rFonts w:ascii="Times New Roman" w:hAnsi="Times New Roman" w:cs="Times New Roman"/>
                <w:b/>
                <w:bCs/>
                <w:color w:val="000000"/>
                <w:sz w:val="14"/>
                <w:szCs w:val="14"/>
              </w:rPr>
              <w:t>789 686</w:t>
            </w:r>
          </w:p>
        </w:tc>
      </w:tr>
      <w:tr w:rsidR="007D13F3" w:rsidRPr="00C22B35" w:rsidTr="00465CAC">
        <w:trPr>
          <w:trHeight w:val="255"/>
        </w:trPr>
        <w:tc>
          <w:tcPr>
            <w:tcW w:w="2320" w:type="dxa"/>
            <w:tcBorders>
              <w:top w:val="nil"/>
              <w:left w:val="single" w:sz="4" w:space="0" w:color="auto"/>
              <w:bottom w:val="single" w:sz="4" w:space="0" w:color="auto"/>
              <w:right w:val="single" w:sz="4" w:space="0" w:color="auto"/>
            </w:tcBorders>
            <w:shd w:val="clear" w:color="auto" w:fill="FFFFFF" w:themeFill="background1"/>
            <w:noWrap/>
            <w:vAlign w:val="center"/>
          </w:tcPr>
          <w:p w:rsidR="007D13F3" w:rsidRPr="002D351E" w:rsidRDefault="007D13F3" w:rsidP="00465CAC">
            <w:pPr>
              <w:rPr>
                <w:rFonts w:ascii="Times New Roman" w:hAnsi="Times New Roman" w:cs="Times New Roman"/>
                <w:b/>
                <w:color w:val="000000"/>
                <w:sz w:val="14"/>
                <w:szCs w:val="14"/>
              </w:rPr>
            </w:pPr>
            <w:r w:rsidRPr="002D351E">
              <w:rPr>
                <w:rFonts w:ascii="Times New Roman" w:hAnsi="Times New Roman" w:cs="Times New Roman"/>
                <w:b/>
                <w:color w:val="000000"/>
                <w:sz w:val="14"/>
                <w:szCs w:val="14"/>
              </w:rPr>
              <w:t xml:space="preserve"> rozpočtové zdroje kapitoly </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7D13F3" w:rsidRPr="00AC524F" w:rsidRDefault="007D13F3" w:rsidP="00465CAC">
            <w:pPr>
              <w:jc w:val="right"/>
              <w:rPr>
                <w:rFonts w:ascii="Times New Roman" w:hAnsi="Times New Roman" w:cs="Times New Roman"/>
                <w:b/>
                <w:bCs/>
                <w:color w:val="000000"/>
                <w:sz w:val="14"/>
                <w:szCs w:val="14"/>
              </w:rPr>
            </w:pPr>
            <w:r w:rsidRPr="00AC524F">
              <w:rPr>
                <w:rFonts w:ascii="Times New Roman" w:hAnsi="Times New Roman" w:cs="Times New Roman"/>
                <w:b/>
                <w:bCs/>
                <w:color w:val="000000"/>
                <w:sz w:val="14"/>
                <w:szCs w:val="14"/>
              </w:rPr>
              <w:t>504 074</w:t>
            </w:r>
          </w:p>
        </w:tc>
        <w:tc>
          <w:tcPr>
            <w:tcW w:w="960" w:type="dxa"/>
            <w:tcBorders>
              <w:top w:val="nil"/>
              <w:left w:val="nil"/>
              <w:bottom w:val="single" w:sz="4" w:space="0" w:color="auto"/>
              <w:right w:val="single" w:sz="4" w:space="0" w:color="auto"/>
            </w:tcBorders>
            <w:shd w:val="clear" w:color="auto" w:fill="auto"/>
            <w:noWrap/>
            <w:vAlign w:val="bottom"/>
          </w:tcPr>
          <w:p w:rsidR="007D13F3" w:rsidRPr="00AC524F" w:rsidRDefault="007D13F3" w:rsidP="00465CAC">
            <w:pPr>
              <w:jc w:val="right"/>
              <w:rPr>
                <w:rFonts w:ascii="Times New Roman" w:hAnsi="Times New Roman" w:cs="Times New Roman"/>
                <w:b/>
                <w:bCs/>
                <w:color w:val="000000"/>
                <w:sz w:val="14"/>
                <w:szCs w:val="14"/>
              </w:rPr>
            </w:pPr>
            <w:r w:rsidRPr="00AC524F">
              <w:rPr>
                <w:rFonts w:ascii="Times New Roman" w:hAnsi="Times New Roman" w:cs="Times New Roman"/>
                <w:b/>
                <w:bCs/>
                <w:color w:val="000000"/>
                <w:sz w:val="14"/>
                <w:szCs w:val="14"/>
              </w:rPr>
              <w:t>613 207</w:t>
            </w:r>
          </w:p>
        </w:tc>
        <w:tc>
          <w:tcPr>
            <w:tcW w:w="960" w:type="dxa"/>
            <w:tcBorders>
              <w:top w:val="nil"/>
              <w:left w:val="nil"/>
              <w:bottom w:val="single" w:sz="4" w:space="0" w:color="auto"/>
              <w:right w:val="single" w:sz="4" w:space="0" w:color="auto"/>
            </w:tcBorders>
            <w:shd w:val="clear" w:color="auto" w:fill="auto"/>
            <w:noWrap/>
            <w:vAlign w:val="bottom"/>
          </w:tcPr>
          <w:p w:rsidR="007D13F3" w:rsidRPr="00AC524F" w:rsidRDefault="007D13F3" w:rsidP="00465CAC">
            <w:pPr>
              <w:jc w:val="right"/>
              <w:rPr>
                <w:rFonts w:ascii="Times New Roman" w:hAnsi="Times New Roman" w:cs="Times New Roman"/>
                <w:b/>
                <w:bCs/>
                <w:color w:val="000000"/>
                <w:sz w:val="14"/>
                <w:szCs w:val="14"/>
              </w:rPr>
            </w:pPr>
            <w:r w:rsidRPr="00AC524F">
              <w:rPr>
                <w:rFonts w:ascii="Times New Roman" w:hAnsi="Times New Roman" w:cs="Times New Roman"/>
                <w:b/>
                <w:bCs/>
                <w:color w:val="000000"/>
                <w:sz w:val="14"/>
                <w:szCs w:val="14"/>
              </w:rPr>
              <w:t>600 915</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7D13F3" w:rsidRPr="000C02BD" w:rsidRDefault="007D13F3" w:rsidP="00465CAC">
            <w:pPr>
              <w:jc w:val="right"/>
              <w:rPr>
                <w:rFonts w:ascii="Times New Roman" w:hAnsi="Times New Roman" w:cs="Times New Roman"/>
                <w:b/>
                <w:bCs/>
                <w:color w:val="000000"/>
                <w:sz w:val="14"/>
                <w:szCs w:val="14"/>
              </w:rPr>
            </w:pPr>
            <w:r w:rsidRPr="000C02BD">
              <w:rPr>
                <w:rFonts w:ascii="Times New Roman" w:hAnsi="Times New Roman" w:cs="Times New Roman"/>
                <w:b/>
                <w:bCs/>
                <w:color w:val="000000"/>
                <w:sz w:val="14"/>
                <w:szCs w:val="14"/>
              </w:rPr>
              <w:t>618 579</w:t>
            </w:r>
          </w:p>
        </w:tc>
        <w:tc>
          <w:tcPr>
            <w:tcW w:w="960" w:type="dxa"/>
            <w:tcBorders>
              <w:top w:val="nil"/>
              <w:left w:val="nil"/>
              <w:bottom w:val="single" w:sz="4" w:space="0" w:color="auto"/>
              <w:right w:val="single" w:sz="4" w:space="0" w:color="auto"/>
            </w:tcBorders>
            <w:shd w:val="clear" w:color="auto" w:fill="auto"/>
            <w:noWrap/>
            <w:vAlign w:val="bottom"/>
          </w:tcPr>
          <w:p w:rsidR="007D13F3" w:rsidRPr="000C02BD" w:rsidRDefault="007D13F3" w:rsidP="00465CAC">
            <w:pPr>
              <w:jc w:val="right"/>
              <w:rPr>
                <w:rFonts w:ascii="Times New Roman" w:hAnsi="Times New Roman" w:cs="Times New Roman"/>
                <w:b/>
                <w:bCs/>
                <w:color w:val="000000"/>
                <w:sz w:val="14"/>
                <w:szCs w:val="14"/>
              </w:rPr>
            </w:pPr>
            <w:r w:rsidRPr="000C02BD">
              <w:rPr>
                <w:rFonts w:ascii="Times New Roman" w:hAnsi="Times New Roman" w:cs="Times New Roman"/>
                <w:b/>
                <w:bCs/>
                <w:color w:val="000000"/>
                <w:sz w:val="14"/>
                <w:szCs w:val="14"/>
              </w:rPr>
              <w:t>780 741</w:t>
            </w:r>
          </w:p>
        </w:tc>
        <w:tc>
          <w:tcPr>
            <w:tcW w:w="960" w:type="dxa"/>
            <w:tcBorders>
              <w:top w:val="nil"/>
              <w:left w:val="nil"/>
              <w:bottom w:val="single" w:sz="4" w:space="0" w:color="auto"/>
              <w:right w:val="single" w:sz="4" w:space="0" w:color="auto"/>
            </w:tcBorders>
            <w:shd w:val="clear" w:color="auto" w:fill="auto"/>
            <w:noWrap/>
            <w:vAlign w:val="bottom"/>
          </w:tcPr>
          <w:p w:rsidR="007D13F3" w:rsidRPr="000C02BD" w:rsidRDefault="007D13F3" w:rsidP="00465CAC">
            <w:pPr>
              <w:jc w:val="right"/>
              <w:rPr>
                <w:rFonts w:ascii="Times New Roman" w:hAnsi="Times New Roman" w:cs="Times New Roman"/>
                <w:b/>
                <w:bCs/>
                <w:color w:val="000000"/>
                <w:sz w:val="14"/>
                <w:szCs w:val="14"/>
              </w:rPr>
            </w:pPr>
            <w:r w:rsidRPr="000C02BD">
              <w:rPr>
                <w:rFonts w:ascii="Times New Roman" w:hAnsi="Times New Roman" w:cs="Times New Roman"/>
                <w:b/>
                <w:bCs/>
                <w:color w:val="000000"/>
                <w:sz w:val="14"/>
                <w:szCs w:val="14"/>
              </w:rPr>
              <w:t>784 769</w:t>
            </w:r>
          </w:p>
        </w:tc>
        <w:tc>
          <w:tcPr>
            <w:tcW w:w="960" w:type="dxa"/>
            <w:tcBorders>
              <w:top w:val="nil"/>
              <w:left w:val="nil"/>
              <w:bottom w:val="single" w:sz="4" w:space="0" w:color="auto"/>
              <w:right w:val="single" w:sz="4" w:space="0" w:color="auto"/>
            </w:tcBorders>
            <w:shd w:val="clear" w:color="auto" w:fill="auto"/>
            <w:noWrap/>
            <w:vAlign w:val="bottom"/>
          </w:tcPr>
          <w:p w:rsidR="007D13F3" w:rsidRPr="000C02BD" w:rsidRDefault="007D13F3" w:rsidP="00465CAC">
            <w:pPr>
              <w:jc w:val="right"/>
              <w:rPr>
                <w:rFonts w:ascii="Times New Roman" w:hAnsi="Times New Roman" w:cs="Times New Roman"/>
                <w:b/>
                <w:bCs/>
                <w:color w:val="000000"/>
                <w:sz w:val="14"/>
                <w:szCs w:val="14"/>
              </w:rPr>
            </w:pPr>
            <w:r w:rsidRPr="000C02BD">
              <w:rPr>
                <w:rFonts w:ascii="Times New Roman" w:hAnsi="Times New Roman" w:cs="Times New Roman"/>
                <w:b/>
                <w:bCs/>
                <w:color w:val="000000"/>
                <w:sz w:val="14"/>
                <w:szCs w:val="14"/>
              </w:rPr>
              <w:t>789 686</w:t>
            </w:r>
          </w:p>
        </w:tc>
      </w:tr>
      <w:tr w:rsidR="007D13F3" w:rsidRPr="00C22B35" w:rsidTr="00465CAC">
        <w:trPr>
          <w:trHeight w:val="255"/>
        </w:trPr>
        <w:tc>
          <w:tcPr>
            <w:tcW w:w="2320" w:type="dxa"/>
            <w:tcBorders>
              <w:top w:val="nil"/>
              <w:left w:val="single" w:sz="4" w:space="0" w:color="auto"/>
              <w:bottom w:val="single" w:sz="4" w:space="0" w:color="auto"/>
              <w:right w:val="single" w:sz="4" w:space="0" w:color="auto"/>
            </w:tcBorders>
            <w:noWrap/>
            <w:vAlign w:val="center"/>
            <w:hideMark/>
          </w:tcPr>
          <w:p w:rsidR="007D13F3" w:rsidRPr="002D351E" w:rsidRDefault="007D13F3" w:rsidP="00465CAC">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v tom: bežné výdavky  600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494 882</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613 207</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595 189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612 853</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775 015</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779 043</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783 960</w:t>
            </w:r>
          </w:p>
        </w:tc>
      </w:tr>
      <w:tr w:rsidR="007D13F3" w:rsidRPr="00C22B35" w:rsidTr="00465CAC">
        <w:trPr>
          <w:trHeight w:val="255"/>
        </w:trPr>
        <w:tc>
          <w:tcPr>
            <w:tcW w:w="2320" w:type="dxa"/>
            <w:tcBorders>
              <w:top w:val="nil"/>
              <w:left w:val="single" w:sz="4" w:space="0" w:color="auto"/>
              <w:bottom w:val="single" w:sz="4" w:space="0" w:color="auto"/>
              <w:right w:val="single" w:sz="4" w:space="0" w:color="auto"/>
            </w:tcBorders>
            <w:noWrap/>
            <w:vAlign w:val="center"/>
            <w:hideMark/>
          </w:tcPr>
          <w:p w:rsidR="007D13F3" w:rsidRPr="002D351E" w:rsidRDefault="007D13F3" w:rsidP="00465CAC">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610 mzdy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294 229</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327 114</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346 599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359 850</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480 652</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483 839</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487 728</w:t>
            </w:r>
          </w:p>
        </w:tc>
      </w:tr>
      <w:tr w:rsidR="007D13F3" w:rsidRPr="00C22B35" w:rsidTr="00465CAC">
        <w:trPr>
          <w:trHeight w:val="255"/>
        </w:trPr>
        <w:tc>
          <w:tcPr>
            <w:tcW w:w="2320" w:type="dxa"/>
            <w:tcBorders>
              <w:top w:val="nil"/>
              <w:left w:val="single" w:sz="4" w:space="0" w:color="auto"/>
              <w:bottom w:val="single" w:sz="4" w:space="0" w:color="auto"/>
              <w:right w:val="single" w:sz="4" w:space="0" w:color="auto"/>
            </w:tcBorders>
            <w:noWrap/>
            <w:vAlign w:val="center"/>
            <w:hideMark/>
          </w:tcPr>
          <w:p w:rsidR="007D13F3" w:rsidRPr="002D351E" w:rsidRDefault="007D13F3" w:rsidP="00465CAC">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620 odvody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93 473</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103 435</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109 737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106 255</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155 510</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156 351</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157 379</w:t>
            </w:r>
          </w:p>
        </w:tc>
      </w:tr>
      <w:tr w:rsidR="007D13F3" w:rsidRPr="00C22B35" w:rsidTr="00465CAC">
        <w:trPr>
          <w:trHeight w:val="255"/>
        </w:trPr>
        <w:tc>
          <w:tcPr>
            <w:tcW w:w="2320" w:type="dxa"/>
            <w:tcBorders>
              <w:top w:val="nil"/>
              <w:left w:val="single" w:sz="4" w:space="0" w:color="auto"/>
              <w:bottom w:val="single" w:sz="4" w:space="0" w:color="auto"/>
              <w:right w:val="single" w:sz="4" w:space="0" w:color="auto"/>
            </w:tcBorders>
            <w:noWrap/>
            <w:vAlign w:val="center"/>
            <w:hideMark/>
          </w:tcPr>
          <w:p w:rsidR="007D13F3" w:rsidRPr="002D351E" w:rsidRDefault="007D13F3" w:rsidP="00465CAC">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630 tovary a služby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107 180</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177 999</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131 550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120 853</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131 550</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131 550</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131 550</w:t>
            </w:r>
          </w:p>
        </w:tc>
      </w:tr>
      <w:tr w:rsidR="007D13F3" w:rsidRPr="00C22B35" w:rsidTr="00465CAC">
        <w:trPr>
          <w:trHeight w:val="255"/>
        </w:trPr>
        <w:tc>
          <w:tcPr>
            <w:tcW w:w="2320" w:type="dxa"/>
            <w:tcBorders>
              <w:top w:val="nil"/>
              <w:left w:val="single" w:sz="4" w:space="0" w:color="auto"/>
              <w:bottom w:val="single" w:sz="4" w:space="0" w:color="auto"/>
              <w:right w:val="single" w:sz="4" w:space="0" w:color="auto"/>
            </w:tcBorders>
            <w:noWrap/>
            <w:vAlign w:val="center"/>
            <w:hideMark/>
          </w:tcPr>
          <w:p w:rsidR="007D13F3" w:rsidRPr="002D351E" w:rsidRDefault="007D13F3" w:rsidP="00465CAC">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640 bežné transfery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4 659</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7 303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25 895</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7 303</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7 303</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7 303</w:t>
            </w:r>
          </w:p>
        </w:tc>
      </w:tr>
      <w:tr w:rsidR="007D13F3" w:rsidRPr="00C22B35" w:rsidTr="00465CAC">
        <w:trPr>
          <w:trHeight w:val="255"/>
        </w:trPr>
        <w:tc>
          <w:tcPr>
            <w:tcW w:w="2320" w:type="dxa"/>
            <w:tcBorders>
              <w:top w:val="nil"/>
              <w:left w:val="single" w:sz="4" w:space="0" w:color="auto"/>
              <w:bottom w:val="single" w:sz="4" w:space="0" w:color="auto"/>
              <w:right w:val="single" w:sz="4" w:space="0" w:color="auto"/>
            </w:tcBorders>
            <w:noWrap/>
            <w:vAlign w:val="center"/>
            <w:hideMark/>
          </w:tcPr>
          <w:p w:rsidR="007D13F3" w:rsidRPr="002D351E" w:rsidRDefault="007D13F3" w:rsidP="00465CAC">
            <w:pPr>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kapitálové výdavky 700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9 192</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color w:val="000000"/>
                <w:sz w:val="14"/>
                <w:szCs w:val="14"/>
              </w:rPr>
            </w:pPr>
            <w:r w:rsidRPr="00AC524F">
              <w:rPr>
                <w:rFonts w:ascii="Times New Roman" w:hAnsi="Times New Roman" w:cs="Times New Roman"/>
                <w:color w:val="000000"/>
                <w:sz w:val="14"/>
                <w:szCs w:val="14"/>
              </w:rPr>
              <w:t>5 726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5 726</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5 726</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5 726</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color w:val="000000"/>
                <w:sz w:val="14"/>
                <w:szCs w:val="14"/>
              </w:rPr>
            </w:pPr>
            <w:r w:rsidRPr="000C02BD">
              <w:rPr>
                <w:rFonts w:ascii="Times New Roman" w:hAnsi="Times New Roman" w:cs="Times New Roman"/>
                <w:color w:val="000000"/>
                <w:sz w:val="14"/>
                <w:szCs w:val="14"/>
              </w:rPr>
              <w:t>5 726</w:t>
            </w:r>
          </w:p>
        </w:tc>
      </w:tr>
      <w:tr w:rsidR="007D13F3" w:rsidRPr="00C22B35" w:rsidTr="00465CAC">
        <w:trPr>
          <w:trHeight w:val="255"/>
        </w:trPr>
        <w:tc>
          <w:tcPr>
            <w:tcW w:w="2320" w:type="dxa"/>
            <w:tcBorders>
              <w:top w:val="nil"/>
              <w:left w:val="single" w:sz="4" w:space="0" w:color="auto"/>
              <w:bottom w:val="single" w:sz="4" w:space="0" w:color="auto"/>
              <w:right w:val="single" w:sz="4" w:space="0" w:color="auto"/>
            </w:tcBorders>
            <w:noWrap/>
            <w:vAlign w:val="center"/>
          </w:tcPr>
          <w:p w:rsidR="007D13F3" w:rsidRPr="002751A1" w:rsidRDefault="007D13F3" w:rsidP="00941A11">
            <w:pPr>
              <w:rPr>
                <w:rFonts w:ascii="Times New Roman" w:hAnsi="Times New Roman" w:cs="Times New Roman"/>
                <w:b/>
                <w:color w:val="000000"/>
                <w:sz w:val="14"/>
                <w:szCs w:val="14"/>
              </w:rPr>
            </w:pPr>
            <w:r w:rsidRPr="002751A1">
              <w:rPr>
                <w:rFonts w:ascii="Times New Roman" w:hAnsi="Times New Roman" w:cs="Times New Roman"/>
                <w:color w:val="000000"/>
                <w:sz w:val="14"/>
                <w:szCs w:val="14"/>
              </w:rPr>
              <w:t xml:space="preserve">  </w:t>
            </w:r>
            <w:r w:rsidRPr="002751A1">
              <w:rPr>
                <w:rFonts w:ascii="Times New Roman" w:hAnsi="Times New Roman" w:cs="Times New Roman"/>
                <w:b/>
                <w:color w:val="000000"/>
                <w:sz w:val="14"/>
                <w:szCs w:val="14"/>
              </w:rPr>
              <w:t>presun z minulých rokov §</w:t>
            </w:r>
            <w:r w:rsidR="00941A11">
              <w:rPr>
                <w:rFonts w:ascii="Times New Roman" w:hAnsi="Times New Roman" w:cs="Times New Roman"/>
                <w:b/>
                <w:color w:val="000000"/>
                <w:sz w:val="14"/>
                <w:szCs w:val="14"/>
              </w:rPr>
              <w:t xml:space="preserve"> </w:t>
            </w:r>
            <w:r w:rsidRPr="002751A1">
              <w:rPr>
                <w:rFonts w:ascii="Times New Roman" w:hAnsi="Times New Roman" w:cs="Times New Roman"/>
                <w:b/>
                <w:color w:val="000000"/>
                <w:sz w:val="14"/>
                <w:szCs w:val="14"/>
              </w:rPr>
              <w:t xml:space="preserve">8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b/>
                <w:bCs/>
                <w:color w:val="000000"/>
                <w:sz w:val="14"/>
                <w:szCs w:val="14"/>
              </w:rPr>
            </w:pPr>
            <w:r w:rsidRPr="00AC524F">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b/>
                <w:bCs/>
                <w:color w:val="000000"/>
                <w:sz w:val="14"/>
                <w:szCs w:val="14"/>
              </w:rPr>
            </w:pPr>
            <w:r w:rsidRPr="00AC524F">
              <w:rPr>
                <w:rFonts w:ascii="Times New Roman" w:hAnsi="Times New Roman" w:cs="Times New Roman"/>
                <w:b/>
                <w:bCs/>
                <w:color w:val="000000"/>
                <w:sz w:val="14"/>
                <w:szCs w:val="14"/>
              </w:rPr>
              <w:t>104 624</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AC524F" w:rsidRDefault="007D13F3" w:rsidP="00465CAC">
            <w:pPr>
              <w:jc w:val="right"/>
              <w:rPr>
                <w:rFonts w:ascii="Times New Roman" w:hAnsi="Times New Roman" w:cs="Times New Roman"/>
                <w:b/>
                <w:bCs/>
                <w:color w:val="000000"/>
                <w:sz w:val="14"/>
                <w:szCs w:val="14"/>
              </w:rPr>
            </w:pPr>
            <w:r w:rsidRPr="00AC524F">
              <w:rPr>
                <w:rFonts w:ascii="Times New Roman" w:hAnsi="Times New Roman" w:cs="Times New Roman"/>
                <w:b/>
                <w:bCs/>
                <w:color w:val="000000"/>
                <w:sz w:val="14"/>
                <w:szCs w:val="14"/>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b/>
                <w:bCs/>
                <w:color w:val="000000"/>
                <w:sz w:val="14"/>
                <w:szCs w:val="14"/>
              </w:rPr>
            </w:pPr>
            <w:r w:rsidRPr="000C02BD">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b/>
                <w:bCs/>
                <w:color w:val="000000"/>
                <w:sz w:val="14"/>
                <w:szCs w:val="14"/>
              </w:rPr>
            </w:pPr>
            <w:r w:rsidRPr="000C02BD">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b/>
                <w:bCs/>
                <w:color w:val="000000"/>
                <w:sz w:val="14"/>
                <w:szCs w:val="14"/>
              </w:rPr>
            </w:pPr>
            <w:r w:rsidRPr="000C02BD">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7D13F3" w:rsidRPr="000C02BD" w:rsidRDefault="007D13F3" w:rsidP="00465CAC">
            <w:pPr>
              <w:jc w:val="right"/>
              <w:rPr>
                <w:rFonts w:ascii="Times New Roman" w:hAnsi="Times New Roman" w:cs="Times New Roman"/>
                <w:b/>
                <w:bCs/>
                <w:color w:val="000000"/>
                <w:sz w:val="14"/>
                <w:szCs w:val="14"/>
              </w:rPr>
            </w:pPr>
            <w:r w:rsidRPr="000C02BD">
              <w:rPr>
                <w:rFonts w:ascii="Times New Roman" w:hAnsi="Times New Roman" w:cs="Times New Roman"/>
                <w:b/>
                <w:bCs/>
                <w:color w:val="000000"/>
                <w:sz w:val="14"/>
                <w:szCs w:val="14"/>
              </w:rPr>
              <w:t>0</w:t>
            </w:r>
          </w:p>
        </w:tc>
      </w:tr>
    </w:tbl>
    <w:p w:rsidR="007D13F3" w:rsidRDefault="007D13F3" w:rsidP="007D13F3">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406"/>
        <w:gridCol w:w="949"/>
        <w:gridCol w:w="951"/>
        <w:gridCol w:w="952"/>
        <w:gridCol w:w="952"/>
        <w:gridCol w:w="952"/>
        <w:gridCol w:w="952"/>
        <w:gridCol w:w="948"/>
      </w:tblGrid>
      <w:tr w:rsidR="007D13F3" w:rsidRPr="00AE4C7F" w:rsidTr="00465CAC">
        <w:trPr>
          <w:trHeight w:val="261"/>
        </w:trPr>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AE4C7F" w:rsidRDefault="007D13F3" w:rsidP="00465CAC">
            <w:pPr>
              <w:rPr>
                <w:rFonts w:ascii="Times New Roman" w:hAnsi="Times New Roman" w:cs="Times New Roman"/>
                <w:b/>
                <w:bCs/>
                <w:color w:val="000000"/>
                <w:sz w:val="14"/>
                <w:szCs w:val="14"/>
                <w:lang w:eastAsia="sk-SK"/>
              </w:rPr>
            </w:pPr>
            <w:r w:rsidRPr="00AE4C7F">
              <w:rPr>
                <w:rFonts w:ascii="Times New Roman" w:hAnsi="Times New Roman" w:cs="Times New Roman"/>
                <w:b/>
                <w:bCs/>
                <w:color w:val="000000"/>
                <w:sz w:val="14"/>
                <w:szCs w:val="14"/>
                <w:lang w:eastAsia="sk-SK"/>
              </w:rPr>
              <w:t>Samostatné účty</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47051C" w:rsidRDefault="007D13F3" w:rsidP="00465CAC">
            <w:pPr>
              <w:jc w:val="right"/>
              <w:rPr>
                <w:rFonts w:ascii="Times New Roman" w:hAnsi="Times New Roman" w:cs="Times New Roman"/>
                <w:b/>
                <w:bCs/>
                <w:color w:val="000000"/>
                <w:sz w:val="14"/>
                <w:szCs w:val="14"/>
                <w:lang w:eastAsia="sk-SK"/>
              </w:rPr>
            </w:pPr>
            <w:r w:rsidRPr="0047051C">
              <w:rPr>
                <w:rFonts w:ascii="Times New Roman" w:hAnsi="Times New Roman" w:cs="Times New Roman"/>
                <w:b/>
                <w:bCs/>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D13F3" w:rsidRPr="0047051C" w:rsidRDefault="007D13F3" w:rsidP="00465CAC">
            <w:pPr>
              <w:jc w:val="right"/>
              <w:rPr>
                <w:rFonts w:ascii="Times New Roman" w:hAnsi="Times New Roman" w:cs="Times New Roman"/>
                <w:b/>
                <w:bCs/>
                <w:color w:val="000000"/>
                <w:sz w:val="14"/>
                <w:szCs w:val="14"/>
              </w:rPr>
            </w:pPr>
            <w:r w:rsidRPr="0047051C">
              <w:rPr>
                <w:rFonts w:ascii="Times New Roman" w:hAnsi="Times New Roman" w:cs="Times New Roman"/>
                <w:b/>
                <w:bCs/>
                <w:color w:val="000000"/>
                <w:sz w:val="14"/>
                <w:szCs w:val="14"/>
              </w:rPr>
              <w:t>4 753</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D13F3" w:rsidRPr="0047051C" w:rsidRDefault="007D13F3" w:rsidP="00465CAC">
            <w:pPr>
              <w:jc w:val="right"/>
              <w:rPr>
                <w:rFonts w:ascii="Times New Roman" w:hAnsi="Times New Roman" w:cs="Times New Roman"/>
                <w:b/>
                <w:bCs/>
                <w:color w:val="000000"/>
                <w:sz w:val="14"/>
                <w:szCs w:val="14"/>
              </w:rPr>
            </w:pPr>
            <w:r w:rsidRPr="0047051C">
              <w:rPr>
                <w:rFonts w:ascii="Times New Roman" w:hAnsi="Times New Roman" w:cs="Times New Roman"/>
                <w:b/>
                <w:bCs/>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D13F3" w:rsidRPr="0047051C" w:rsidRDefault="007D13F3" w:rsidP="00465CAC">
            <w:pPr>
              <w:jc w:val="right"/>
              <w:rPr>
                <w:rFonts w:ascii="Times New Roman" w:hAnsi="Times New Roman" w:cs="Times New Roman"/>
                <w:b/>
                <w:bCs/>
                <w:color w:val="000000"/>
                <w:sz w:val="14"/>
                <w:szCs w:val="14"/>
              </w:rPr>
            </w:pPr>
            <w:r w:rsidRPr="0047051C">
              <w:rPr>
                <w:rFonts w:ascii="Times New Roman" w:hAnsi="Times New Roman" w:cs="Times New Roman"/>
                <w:b/>
                <w:bCs/>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D13F3" w:rsidRPr="0047051C" w:rsidRDefault="007D13F3" w:rsidP="00465CAC">
            <w:pPr>
              <w:jc w:val="right"/>
              <w:rPr>
                <w:rFonts w:ascii="Times New Roman" w:hAnsi="Times New Roman" w:cs="Times New Roman"/>
                <w:b/>
                <w:bCs/>
                <w:color w:val="000000"/>
                <w:sz w:val="14"/>
                <w:szCs w:val="14"/>
              </w:rPr>
            </w:pPr>
            <w:r w:rsidRPr="0047051C">
              <w:rPr>
                <w:rFonts w:ascii="Times New Roman" w:hAnsi="Times New Roman" w:cs="Times New Roman"/>
                <w:b/>
                <w:bCs/>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D13F3" w:rsidRPr="0047051C" w:rsidRDefault="007D13F3" w:rsidP="00465CAC">
            <w:pPr>
              <w:jc w:val="right"/>
              <w:rPr>
                <w:rFonts w:ascii="Times New Roman" w:hAnsi="Times New Roman" w:cs="Times New Roman"/>
                <w:b/>
                <w:bCs/>
                <w:color w:val="000000"/>
                <w:sz w:val="14"/>
                <w:szCs w:val="14"/>
              </w:rPr>
            </w:pPr>
            <w:r w:rsidRPr="0047051C">
              <w:rPr>
                <w:rFonts w:ascii="Times New Roman" w:hAnsi="Times New Roman" w:cs="Times New Roman"/>
                <w:b/>
                <w:bCs/>
                <w:color w:val="000000"/>
                <w:sz w:val="14"/>
                <w:szCs w:val="14"/>
              </w:rPr>
              <w:t>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7D13F3" w:rsidRPr="0047051C" w:rsidRDefault="007D13F3" w:rsidP="00465CAC">
            <w:pPr>
              <w:jc w:val="right"/>
              <w:rPr>
                <w:rFonts w:ascii="Times New Roman" w:hAnsi="Times New Roman" w:cs="Times New Roman"/>
                <w:b/>
                <w:bCs/>
                <w:color w:val="000000"/>
                <w:sz w:val="14"/>
                <w:szCs w:val="14"/>
              </w:rPr>
            </w:pPr>
            <w:r w:rsidRPr="0047051C">
              <w:rPr>
                <w:rFonts w:ascii="Times New Roman" w:hAnsi="Times New Roman" w:cs="Times New Roman"/>
                <w:b/>
                <w:bCs/>
                <w:color w:val="000000"/>
                <w:sz w:val="14"/>
                <w:szCs w:val="14"/>
              </w:rPr>
              <w:t>0</w:t>
            </w:r>
          </w:p>
        </w:tc>
      </w:tr>
    </w:tbl>
    <w:p w:rsidR="007D13F3" w:rsidRDefault="007D13F3" w:rsidP="007D13F3">
      <w:pPr>
        <w:ind w:firstLine="708"/>
        <w:jc w:val="both"/>
        <w:rPr>
          <w:rFonts w:ascii="Times New Roman" w:hAnsi="Times New Roman" w:cs="Times New Roman"/>
        </w:rPr>
      </w:pPr>
    </w:p>
    <w:p w:rsidR="007D13F3" w:rsidRPr="00E14983" w:rsidRDefault="007D13F3" w:rsidP="007D13F3">
      <w:pPr>
        <w:ind w:firstLine="708"/>
        <w:jc w:val="both"/>
        <w:rPr>
          <w:rFonts w:ascii="Times New Roman" w:hAnsi="Times New Roman" w:cs="Times New Roman"/>
        </w:rPr>
      </w:pPr>
      <w:r w:rsidRPr="00166841">
        <w:rPr>
          <w:rFonts w:ascii="Times New Roman" w:hAnsi="Times New Roman" w:cs="Times New Roman"/>
        </w:rPr>
        <w:t>Celkové výdavky kapitoly na</w:t>
      </w:r>
      <w:r>
        <w:rPr>
          <w:rFonts w:ascii="Times New Roman" w:hAnsi="Times New Roman" w:cs="Times New Roman"/>
        </w:rPr>
        <w:t xml:space="preserve"> rok 2018</w:t>
      </w:r>
      <w:r w:rsidRPr="00166841">
        <w:rPr>
          <w:rFonts w:ascii="Times New Roman" w:hAnsi="Times New Roman" w:cs="Times New Roman"/>
        </w:rPr>
        <w:t xml:space="preserve"> sa rozpočtujú v sume </w:t>
      </w:r>
      <w:r>
        <w:rPr>
          <w:rFonts w:ascii="Times New Roman" w:hAnsi="Times New Roman" w:cs="Times New Roman"/>
        </w:rPr>
        <w:t>781</w:t>
      </w:r>
      <w:r w:rsidRPr="00166841">
        <w:rPr>
          <w:rFonts w:ascii="Times New Roman" w:hAnsi="Times New Roman" w:cs="Times New Roman"/>
        </w:rPr>
        <w:t xml:space="preserve"> tis. eur a oproti schválenému rozpočtu roku 201</w:t>
      </w:r>
      <w:r>
        <w:rPr>
          <w:rFonts w:ascii="Times New Roman" w:hAnsi="Times New Roman" w:cs="Times New Roman"/>
        </w:rPr>
        <w:t>7</w:t>
      </w:r>
      <w:r w:rsidRPr="00166841">
        <w:rPr>
          <w:rFonts w:ascii="Times New Roman" w:hAnsi="Times New Roman" w:cs="Times New Roman"/>
        </w:rPr>
        <w:t xml:space="preserve"> medziročne rastú o </w:t>
      </w:r>
      <w:r>
        <w:rPr>
          <w:rFonts w:ascii="Times New Roman" w:hAnsi="Times New Roman" w:cs="Times New Roman"/>
        </w:rPr>
        <w:t>180</w:t>
      </w:r>
      <w:r w:rsidRPr="00166841">
        <w:rPr>
          <w:rFonts w:ascii="Times New Roman" w:hAnsi="Times New Roman" w:cs="Times New Roman"/>
        </w:rPr>
        <w:t xml:space="preserve"> tis. eur, t. j. o</w:t>
      </w:r>
      <w:r>
        <w:rPr>
          <w:rFonts w:ascii="Times New Roman" w:hAnsi="Times New Roman" w:cs="Times New Roman"/>
        </w:rPr>
        <w:t> 29,9</w:t>
      </w:r>
      <w:r w:rsidRPr="00166841">
        <w:rPr>
          <w:rFonts w:ascii="Times New Roman" w:hAnsi="Times New Roman" w:cs="Times New Roman"/>
        </w:rPr>
        <w:t xml:space="preserve"> %.</w:t>
      </w:r>
      <w:r w:rsidRPr="00E14983">
        <w:rPr>
          <w:rFonts w:ascii="Times New Roman" w:hAnsi="Times New Roman" w:cs="Times New Roman"/>
        </w:rPr>
        <w:t xml:space="preserve"> </w:t>
      </w:r>
    </w:p>
    <w:p w:rsidR="007D13F3" w:rsidRPr="00E14983" w:rsidRDefault="007D13F3" w:rsidP="007D13F3">
      <w:pPr>
        <w:jc w:val="both"/>
        <w:rPr>
          <w:rFonts w:ascii="Times New Roman" w:hAnsi="Times New Roman" w:cs="Times New Roman"/>
        </w:rPr>
      </w:pPr>
    </w:p>
    <w:p w:rsidR="007D13F3" w:rsidRPr="006810C1" w:rsidRDefault="007D13F3" w:rsidP="007D13F3">
      <w:pPr>
        <w:ind w:firstLine="708"/>
        <w:jc w:val="both"/>
        <w:rPr>
          <w:rFonts w:ascii="Times New Roman" w:hAnsi="Times New Roman" w:cs="Times New Roman"/>
          <w:bCs/>
        </w:rPr>
      </w:pPr>
      <w:r w:rsidRPr="006810C1">
        <w:rPr>
          <w:rFonts w:ascii="Times New Roman" w:hAnsi="Times New Roman" w:cs="Times New Roman"/>
        </w:rPr>
        <w:t>Na rok 201</w:t>
      </w:r>
      <w:r>
        <w:rPr>
          <w:rFonts w:ascii="Times New Roman" w:hAnsi="Times New Roman" w:cs="Times New Roman"/>
        </w:rPr>
        <w:t>8</w:t>
      </w:r>
      <w:r w:rsidRPr="006810C1">
        <w:rPr>
          <w:rFonts w:ascii="Times New Roman" w:hAnsi="Times New Roman" w:cs="Times New Roman"/>
        </w:rPr>
        <w:t xml:space="preserve"> sa rozpočtujú osobné výdavky v sume </w:t>
      </w:r>
      <w:r>
        <w:rPr>
          <w:rFonts w:ascii="Times New Roman" w:hAnsi="Times New Roman" w:cs="Times New Roman"/>
        </w:rPr>
        <w:t>636</w:t>
      </w:r>
      <w:r w:rsidRPr="006810C1">
        <w:rPr>
          <w:rFonts w:ascii="Times New Roman" w:hAnsi="Times New Roman" w:cs="Times New Roman"/>
        </w:rPr>
        <w:t xml:space="preserve"> tis. eur, čo predstavuje medziročný nárast o</w:t>
      </w:r>
      <w:r>
        <w:rPr>
          <w:rFonts w:ascii="Times New Roman" w:hAnsi="Times New Roman" w:cs="Times New Roman"/>
        </w:rPr>
        <w:t> 180</w:t>
      </w:r>
      <w:r w:rsidRPr="006810C1">
        <w:rPr>
          <w:rFonts w:ascii="Times New Roman" w:hAnsi="Times New Roman" w:cs="Times New Roman"/>
        </w:rPr>
        <w:t xml:space="preserve"> tis. eur. Nárast súvisí s premietnutím valorizácie platov z roku 201</w:t>
      </w:r>
      <w:r>
        <w:rPr>
          <w:rFonts w:ascii="Times New Roman" w:hAnsi="Times New Roman" w:cs="Times New Roman"/>
        </w:rPr>
        <w:t>7 do nasledujúcich rokov a s per</w:t>
      </w:r>
      <w:r w:rsidR="00941A11">
        <w:rPr>
          <w:rFonts w:ascii="Times New Roman" w:hAnsi="Times New Roman" w:cs="Times New Roman"/>
        </w:rPr>
        <w:t>sonálnym posilnením Kancelárie S</w:t>
      </w:r>
      <w:r>
        <w:rPr>
          <w:rFonts w:ascii="Times New Roman" w:hAnsi="Times New Roman" w:cs="Times New Roman"/>
        </w:rPr>
        <w:t>údnej rady SR.</w:t>
      </w:r>
    </w:p>
    <w:p w:rsidR="007D13F3" w:rsidRPr="00023709" w:rsidRDefault="007D13F3" w:rsidP="007D13F3">
      <w:pPr>
        <w:jc w:val="both"/>
        <w:rPr>
          <w:rFonts w:ascii="Times New Roman" w:hAnsi="Times New Roman" w:cs="Times New Roman"/>
          <w:highlight w:val="yellow"/>
        </w:rPr>
      </w:pPr>
    </w:p>
    <w:p w:rsidR="007D13F3" w:rsidRPr="0004262E" w:rsidRDefault="007D13F3" w:rsidP="007D13F3">
      <w:pPr>
        <w:ind w:firstLine="708"/>
        <w:jc w:val="both"/>
        <w:rPr>
          <w:rFonts w:ascii="Times New Roman" w:hAnsi="Times New Roman" w:cs="Times New Roman"/>
        </w:rPr>
      </w:pPr>
      <w:r w:rsidRPr="0004262E">
        <w:rPr>
          <w:rFonts w:ascii="Times New Roman" w:hAnsi="Times New Roman" w:cs="Times New Roman"/>
        </w:rPr>
        <w:t>Tovary a služby sa na rok 201</w:t>
      </w:r>
      <w:r>
        <w:rPr>
          <w:rFonts w:ascii="Times New Roman" w:hAnsi="Times New Roman" w:cs="Times New Roman"/>
        </w:rPr>
        <w:t>8</w:t>
      </w:r>
      <w:r w:rsidRPr="0004262E">
        <w:rPr>
          <w:rFonts w:ascii="Times New Roman" w:hAnsi="Times New Roman" w:cs="Times New Roman"/>
        </w:rPr>
        <w:t xml:space="preserve"> rozpočtujú v sume 132 tis. eur, čo predstavuje úroveň schváleného rozpočtu roku 201</w:t>
      </w:r>
      <w:r>
        <w:rPr>
          <w:rFonts w:ascii="Times New Roman" w:hAnsi="Times New Roman" w:cs="Times New Roman"/>
        </w:rPr>
        <w:t>7</w:t>
      </w:r>
      <w:r w:rsidRPr="0004262E">
        <w:rPr>
          <w:rFonts w:ascii="Times New Roman" w:hAnsi="Times New Roman" w:cs="Times New Roman"/>
        </w:rPr>
        <w:t>.</w:t>
      </w:r>
    </w:p>
    <w:p w:rsidR="007D13F3" w:rsidRPr="0004262E" w:rsidRDefault="007D13F3" w:rsidP="007D13F3">
      <w:pPr>
        <w:jc w:val="both"/>
        <w:rPr>
          <w:rFonts w:ascii="Times New Roman" w:hAnsi="Times New Roman" w:cs="Times New Roman"/>
        </w:rPr>
      </w:pPr>
    </w:p>
    <w:p w:rsidR="007D13F3" w:rsidRPr="0004262E" w:rsidRDefault="007D13F3" w:rsidP="007D13F3">
      <w:pPr>
        <w:ind w:firstLine="708"/>
        <w:jc w:val="both"/>
        <w:rPr>
          <w:rFonts w:ascii="Times New Roman" w:hAnsi="Times New Roman" w:cs="Times New Roman"/>
        </w:rPr>
      </w:pPr>
      <w:r w:rsidRPr="0004262E">
        <w:rPr>
          <w:rFonts w:ascii="Times New Roman" w:hAnsi="Times New Roman" w:cs="Times New Roman"/>
        </w:rPr>
        <w:t xml:space="preserve">Bežné transfery sa </w:t>
      </w:r>
      <w:r>
        <w:rPr>
          <w:rFonts w:ascii="Times New Roman" w:hAnsi="Times New Roman" w:cs="Times New Roman"/>
        </w:rPr>
        <w:t xml:space="preserve">na rok 2018 </w:t>
      </w:r>
      <w:r w:rsidRPr="0004262E">
        <w:rPr>
          <w:rFonts w:ascii="Times New Roman" w:hAnsi="Times New Roman" w:cs="Times New Roman"/>
        </w:rPr>
        <w:t>rozpočtujú v sume 7,30 tis. eur, čo predstavuje úroveň schváleného rozpočtu roku 201</w:t>
      </w:r>
      <w:r>
        <w:rPr>
          <w:rFonts w:ascii="Times New Roman" w:hAnsi="Times New Roman" w:cs="Times New Roman"/>
        </w:rPr>
        <w:t>7</w:t>
      </w:r>
      <w:r w:rsidRPr="0004262E">
        <w:rPr>
          <w:rFonts w:ascii="Times New Roman" w:hAnsi="Times New Roman" w:cs="Times New Roman"/>
        </w:rPr>
        <w:t>.</w:t>
      </w:r>
    </w:p>
    <w:p w:rsidR="007D13F3" w:rsidRPr="0004262E" w:rsidRDefault="007D13F3" w:rsidP="007D13F3">
      <w:pPr>
        <w:jc w:val="both"/>
        <w:rPr>
          <w:rFonts w:ascii="Times New Roman" w:hAnsi="Times New Roman" w:cs="Times New Roman"/>
        </w:rPr>
      </w:pPr>
    </w:p>
    <w:p w:rsidR="007D13F3" w:rsidRDefault="007D13F3" w:rsidP="007D13F3">
      <w:pPr>
        <w:ind w:firstLine="708"/>
        <w:jc w:val="both"/>
      </w:pPr>
      <w:r w:rsidRPr="0004262E">
        <w:rPr>
          <w:rFonts w:ascii="Times New Roman" w:hAnsi="Times New Roman" w:cs="Times New Roman"/>
        </w:rPr>
        <w:t xml:space="preserve">Kapitálové výdavky sa rozpočtujú v sume 5,73 tis. eur a medziročne sa nemenia. Kapitálové výdavky sa plánujú použiť na nákup </w:t>
      </w:r>
      <w:r>
        <w:rPr>
          <w:rFonts w:ascii="Times New Roman" w:hAnsi="Times New Roman" w:cs="Times New Roman"/>
        </w:rPr>
        <w:t>kancelárskej techniky</w:t>
      </w:r>
      <w:r w:rsidRPr="0004262E">
        <w:rPr>
          <w:rFonts w:ascii="Times New Roman" w:hAnsi="Times New Roman" w:cs="Times New Roman"/>
        </w:rPr>
        <w:t>.</w:t>
      </w:r>
    </w:p>
    <w:p w:rsidR="007D13F3" w:rsidRPr="009B453F" w:rsidRDefault="007D13F3" w:rsidP="007D13F3"/>
    <w:p w:rsidR="007D13F3" w:rsidRPr="006B0E47" w:rsidRDefault="007D13F3" w:rsidP="007D13F3">
      <w:pPr>
        <w:pStyle w:val="Nadpis5"/>
        <w:pBdr>
          <w:bottom w:val="single" w:sz="4" w:space="1" w:color="auto"/>
        </w:pBdr>
        <w:spacing w:before="0" w:after="0"/>
        <w:ind w:left="0"/>
        <w:rPr>
          <w:i w:val="0"/>
          <w:sz w:val="24"/>
        </w:rPr>
      </w:pPr>
      <w:bookmarkStart w:id="166" w:name="_Toc494470110"/>
      <w:bookmarkStart w:id="167" w:name="_Toc494472286"/>
      <w:r>
        <w:rPr>
          <w:i w:val="0"/>
          <w:sz w:val="24"/>
        </w:rPr>
        <w:t>Generálna prokuratúra SR</w:t>
      </w:r>
      <w:bookmarkEnd w:id="166"/>
      <w:bookmarkEnd w:id="167"/>
    </w:p>
    <w:p w:rsidR="007D13F3" w:rsidRDefault="007D13F3" w:rsidP="007D13F3">
      <w:pPr>
        <w:jc w:val="both"/>
        <w:rPr>
          <w:rFonts w:ascii="Times New Roman" w:hAnsi="Times New Roman" w:cs="Times New Roman"/>
          <w:b/>
          <w:bCs/>
          <w:iCs/>
          <w:szCs w:val="26"/>
        </w:rPr>
      </w:pPr>
    </w:p>
    <w:tbl>
      <w:tblPr>
        <w:tblW w:w="5000" w:type="pct"/>
        <w:tblCellMar>
          <w:left w:w="70" w:type="dxa"/>
          <w:right w:w="70" w:type="dxa"/>
        </w:tblCellMar>
        <w:tblLook w:val="04A0" w:firstRow="1" w:lastRow="0" w:firstColumn="1" w:lastColumn="0" w:noHBand="0" w:noVBand="1"/>
      </w:tblPr>
      <w:tblGrid>
        <w:gridCol w:w="2895"/>
        <w:gridCol w:w="881"/>
        <w:gridCol w:w="881"/>
        <w:gridCol w:w="881"/>
        <w:gridCol w:w="881"/>
        <w:gridCol w:w="881"/>
        <w:gridCol w:w="881"/>
        <w:gridCol w:w="881"/>
      </w:tblGrid>
      <w:tr w:rsidR="007D13F3" w:rsidRPr="001E2E3B" w:rsidTr="00465CAC">
        <w:trPr>
          <w:trHeight w:hRule="exact" w:val="255"/>
        </w:trPr>
        <w:tc>
          <w:tcPr>
            <w:tcW w:w="159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1E2E3B" w:rsidRDefault="007D13F3" w:rsidP="00465CAC">
            <w:pPr>
              <w:rPr>
                <w:rFonts w:ascii="Times New Roman" w:hAnsi="Times New Roman" w:cs="Times New Roman"/>
                <w:b/>
                <w:bCs/>
                <w:color w:val="000000"/>
                <w:sz w:val="14"/>
                <w:szCs w:val="14"/>
                <w:lang w:eastAsia="sk-SK"/>
              </w:rPr>
            </w:pPr>
            <w:r w:rsidRPr="001E2E3B">
              <w:rPr>
                <w:rFonts w:ascii="Times New Roman" w:hAnsi="Times New Roman" w:cs="Times New Roman"/>
                <w:b/>
                <w:bCs/>
                <w:color w:val="000000"/>
                <w:sz w:val="14"/>
                <w:szCs w:val="14"/>
                <w:lang w:eastAsia="sk-SK"/>
              </w:rPr>
              <w:t>v eurách</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1E2E3B" w:rsidRDefault="007D13F3" w:rsidP="00465CAC">
            <w:pPr>
              <w:jc w:val="center"/>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2015 S</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1E2E3B" w:rsidRDefault="007D13F3" w:rsidP="00465CAC">
            <w:pPr>
              <w:jc w:val="center"/>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2016 S</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1E2E3B" w:rsidRDefault="007D13F3" w:rsidP="00465CAC">
            <w:pPr>
              <w:jc w:val="center"/>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2017 R</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1E2E3B" w:rsidRDefault="00941A11"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OS</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1E2E3B" w:rsidRDefault="007D13F3" w:rsidP="00465CAC">
            <w:pPr>
              <w:jc w:val="center"/>
              <w:rPr>
                <w:rFonts w:ascii="Times New Roman" w:hAnsi="Times New Roman" w:cs="Times New Roman"/>
                <w:b/>
                <w:bCs/>
                <w:color w:val="000000"/>
                <w:sz w:val="14"/>
                <w:szCs w:val="14"/>
                <w:lang w:eastAsia="sk-SK"/>
              </w:rPr>
            </w:pPr>
            <w:r w:rsidRPr="001E2E3B">
              <w:rPr>
                <w:rFonts w:ascii="Times New Roman" w:hAnsi="Times New Roman" w:cs="Times New Roman"/>
                <w:b/>
                <w:bCs/>
                <w:color w:val="000000"/>
                <w:sz w:val="14"/>
                <w:szCs w:val="14"/>
                <w:lang w:eastAsia="sk-SK"/>
              </w:rPr>
              <w:t xml:space="preserve">2018 </w:t>
            </w:r>
            <w:r w:rsidR="00FE714B">
              <w:rPr>
                <w:rFonts w:ascii="Times New Roman" w:hAnsi="Times New Roman" w:cs="Times New Roman"/>
                <w:b/>
                <w:bCs/>
                <w:color w:val="000000"/>
                <w:sz w:val="14"/>
                <w:szCs w:val="14"/>
                <w:lang w:eastAsia="sk-SK"/>
              </w:rPr>
              <w:t>N</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1E2E3B" w:rsidRDefault="007D13F3" w:rsidP="00FE714B">
            <w:pPr>
              <w:jc w:val="center"/>
              <w:rPr>
                <w:rFonts w:ascii="Times New Roman" w:hAnsi="Times New Roman" w:cs="Times New Roman"/>
                <w:b/>
                <w:bCs/>
                <w:color w:val="000000"/>
                <w:sz w:val="14"/>
                <w:szCs w:val="14"/>
                <w:lang w:eastAsia="sk-SK"/>
              </w:rPr>
            </w:pPr>
            <w:r w:rsidRPr="001E2E3B">
              <w:rPr>
                <w:rFonts w:ascii="Times New Roman" w:hAnsi="Times New Roman" w:cs="Times New Roman"/>
                <w:b/>
                <w:bCs/>
                <w:color w:val="000000"/>
                <w:sz w:val="14"/>
                <w:szCs w:val="14"/>
                <w:lang w:eastAsia="sk-SK"/>
              </w:rPr>
              <w:t xml:space="preserve">2019 </w:t>
            </w:r>
            <w:r w:rsidR="00FE714B">
              <w:rPr>
                <w:rFonts w:ascii="Times New Roman" w:hAnsi="Times New Roman" w:cs="Times New Roman"/>
                <w:b/>
                <w:bCs/>
                <w:color w:val="000000"/>
                <w:sz w:val="14"/>
                <w:szCs w:val="14"/>
                <w:lang w:eastAsia="sk-SK"/>
              </w:rPr>
              <w:t>N</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1E2E3B" w:rsidRDefault="007D13F3" w:rsidP="00FE714B">
            <w:pPr>
              <w:jc w:val="center"/>
              <w:rPr>
                <w:rFonts w:ascii="Times New Roman" w:hAnsi="Times New Roman" w:cs="Times New Roman"/>
                <w:b/>
                <w:bCs/>
                <w:color w:val="000000"/>
                <w:sz w:val="14"/>
                <w:szCs w:val="14"/>
                <w:lang w:eastAsia="sk-SK"/>
              </w:rPr>
            </w:pPr>
            <w:r w:rsidRPr="001E2E3B">
              <w:rPr>
                <w:rFonts w:ascii="Times New Roman" w:hAnsi="Times New Roman" w:cs="Times New Roman"/>
                <w:b/>
                <w:bCs/>
                <w:color w:val="000000"/>
                <w:sz w:val="14"/>
                <w:szCs w:val="14"/>
                <w:lang w:eastAsia="sk-SK"/>
              </w:rPr>
              <w:t xml:space="preserve">2020 </w:t>
            </w:r>
            <w:r w:rsidR="00FE714B">
              <w:rPr>
                <w:rFonts w:ascii="Times New Roman" w:hAnsi="Times New Roman" w:cs="Times New Roman"/>
                <w:b/>
                <w:bCs/>
                <w:color w:val="000000"/>
                <w:sz w:val="14"/>
                <w:szCs w:val="14"/>
                <w:lang w:eastAsia="sk-SK"/>
              </w:rPr>
              <w:t>N</w:t>
            </w:r>
          </w:p>
        </w:tc>
      </w:tr>
      <w:tr w:rsidR="007D13F3" w:rsidRPr="001E2E3B" w:rsidTr="00465CAC">
        <w:trPr>
          <w:trHeight w:hRule="exact" w:val="255"/>
        </w:trPr>
        <w:tc>
          <w:tcPr>
            <w:tcW w:w="1597" w:type="pct"/>
            <w:tcBorders>
              <w:top w:val="nil"/>
              <w:left w:val="single" w:sz="4" w:space="0" w:color="auto"/>
              <w:bottom w:val="single" w:sz="4" w:space="0" w:color="auto"/>
              <w:right w:val="single" w:sz="4" w:space="0" w:color="auto"/>
            </w:tcBorders>
            <w:shd w:val="clear" w:color="000000" w:fill="BFBFBF"/>
            <w:noWrap/>
            <w:vAlign w:val="center"/>
            <w:hideMark/>
          </w:tcPr>
          <w:p w:rsidR="007D13F3" w:rsidRPr="001E2E3B" w:rsidRDefault="007D13F3" w:rsidP="00465CAC">
            <w:pPr>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zdroje príslušnej kapitoly vrátane 72e</w:t>
            </w:r>
          </w:p>
        </w:tc>
        <w:tc>
          <w:tcPr>
            <w:tcW w:w="486" w:type="pct"/>
            <w:tcBorders>
              <w:top w:val="nil"/>
              <w:left w:val="nil"/>
              <w:bottom w:val="single" w:sz="4" w:space="0" w:color="auto"/>
              <w:right w:val="single" w:sz="4" w:space="0" w:color="auto"/>
            </w:tcBorders>
            <w:shd w:val="clear" w:color="000000" w:fill="BFBFBF"/>
            <w:vAlign w:val="center"/>
            <w:hideMark/>
          </w:tcPr>
          <w:p w:rsidR="007D13F3" w:rsidRPr="001E2E3B" w:rsidRDefault="007D13F3" w:rsidP="00465CAC">
            <w:pPr>
              <w:jc w:val="right"/>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80 880 680</w:t>
            </w:r>
          </w:p>
        </w:tc>
        <w:tc>
          <w:tcPr>
            <w:tcW w:w="486" w:type="pct"/>
            <w:tcBorders>
              <w:top w:val="nil"/>
              <w:left w:val="nil"/>
              <w:bottom w:val="single" w:sz="4" w:space="0" w:color="auto"/>
              <w:right w:val="single" w:sz="4" w:space="0" w:color="auto"/>
            </w:tcBorders>
            <w:shd w:val="clear" w:color="000000" w:fill="BFBFBF"/>
            <w:vAlign w:val="center"/>
            <w:hideMark/>
          </w:tcPr>
          <w:p w:rsidR="007D13F3" w:rsidRPr="001E2E3B" w:rsidRDefault="007D13F3" w:rsidP="00465CAC">
            <w:pPr>
              <w:jc w:val="right"/>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93 392 284</w:t>
            </w:r>
          </w:p>
        </w:tc>
        <w:tc>
          <w:tcPr>
            <w:tcW w:w="486" w:type="pct"/>
            <w:tcBorders>
              <w:top w:val="nil"/>
              <w:left w:val="nil"/>
              <w:bottom w:val="single" w:sz="4" w:space="0" w:color="auto"/>
              <w:right w:val="single" w:sz="4" w:space="0" w:color="auto"/>
            </w:tcBorders>
            <w:shd w:val="clear" w:color="000000" w:fill="BFBFBF"/>
            <w:vAlign w:val="center"/>
            <w:hideMark/>
          </w:tcPr>
          <w:p w:rsidR="007D13F3" w:rsidRPr="001E2E3B" w:rsidRDefault="007D13F3" w:rsidP="00465CAC">
            <w:pPr>
              <w:jc w:val="right"/>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95 273 918</w:t>
            </w:r>
          </w:p>
        </w:tc>
        <w:tc>
          <w:tcPr>
            <w:tcW w:w="486" w:type="pct"/>
            <w:tcBorders>
              <w:top w:val="nil"/>
              <w:left w:val="nil"/>
              <w:bottom w:val="single" w:sz="4" w:space="0" w:color="auto"/>
              <w:right w:val="single" w:sz="4" w:space="0" w:color="auto"/>
            </w:tcBorders>
            <w:shd w:val="clear" w:color="000000" w:fill="BFBFBF"/>
            <w:vAlign w:val="center"/>
            <w:hideMark/>
          </w:tcPr>
          <w:p w:rsidR="007D13F3" w:rsidRPr="001E2E3B" w:rsidRDefault="007D13F3" w:rsidP="00465CAC">
            <w:pPr>
              <w:jc w:val="right"/>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99 939 846</w:t>
            </w:r>
          </w:p>
        </w:tc>
        <w:tc>
          <w:tcPr>
            <w:tcW w:w="486" w:type="pct"/>
            <w:tcBorders>
              <w:top w:val="nil"/>
              <w:left w:val="nil"/>
              <w:bottom w:val="single" w:sz="4" w:space="0" w:color="auto"/>
              <w:right w:val="single" w:sz="4" w:space="0" w:color="auto"/>
            </w:tcBorders>
            <w:shd w:val="clear" w:color="000000" w:fill="BFBFBF"/>
            <w:vAlign w:val="center"/>
            <w:hideMark/>
          </w:tcPr>
          <w:p w:rsidR="007D13F3" w:rsidRPr="001E2E3B" w:rsidRDefault="007D13F3" w:rsidP="00465CAC">
            <w:pPr>
              <w:jc w:val="right"/>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98 894 576</w:t>
            </w:r>
          </w:p>
        </w:tc>
        <w:tc>
          <w:tcPr>
            <w:tcW w:w="486" w:type="pct"/>
            <w:tcBorders>
              <w:top w:val="nil"/>
              <w:left w:val="nil"/>
              <w:bottom w:val="single" w:sz="4" w:space="0" w:color="auto"/>
              <w:right w:val="single" w:sz="4" w:space="0" w:color="auto"/>
            </w:tcBorders>
            <w:shd w:val="clear" w:color="000000" w:fill="BFBFBF"/>
            <w:vAlign w:val="center"/>
            <w:hideMark/>
          </w:tcPr>
          <w:p w:rsidR="007D13F3" w:rsidRPr="001E2E3B" w:rsidRDefault="007D13F3" w:rsidP="00465CAC">
            <w:pPr>
              <w:jc w:val="right"/>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100 014 135</w:t>
            </w:r>
          </w:p>
        </w:tc>
        <w:tc>
          <w:tcPr>
            <w:tcW w:w="486" w:type="pct"/>
            <w:tcBorders>
              <w:top w:val="nil"/>
              <w:left w:val="nil"/>
              <w:bottom w:val="single" w:sz="4" w:space="0" w:color="auto"/>
              <w:right w:val="single" w:sz="4" w:space="0" w:color="auto"/>
            </w:tcBorders>
            <w:shd w:val="clear" w:color="000000" w:fill="BFBFBF"/>
            <w:vAlign w:val="center"/>
            <w:hideMark/>
          </w:tcPr>
          <w:p w:rsidR="007D13F3" w:rsidRPr="001E2E3B" w:rsidRDefault="007D13F3" w:rsidP="00465CAC">
            <w:pPr>
              <w:jc w:val="right"/>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103 103 521</w:t>
            </w:r>
          </w:p>
        </w:tc>
      </w:tr>
      <w:tr w:rsidR="007D13F3" w:rsidRPr="001E2E3B" w:rsidTr="00465CAC">
        <w:trPr>
          <w:trHeight w:hRule="exact" w:val="255"/>
        </w:trPr>
        <w:tc>
          <w:tcPr>
            <w:tcW w:w="1597" w:type="pct"/>
            <w:tcBorders>
              <w:top w:val="nil"/>
              <w:left w:val="single" w:sz="4" w:space="0" w:color="auto"/>
              <w:bottom w:val="single" w:sz="4" w:space="0" w:color="auto"/>
              <w:right w:val="single" w:sz="4" w:space="0" w:color="auto"/>
            </w:tcBorders>
            <w:shd w:val="clear" w:color="000000" w:fill="BFBFBF"/>
            <w:noWrap/>
            <w:vAlign w:val="center"/>
            <w:hideMark/>
          </w:tcPr>
          <w:p w:rsidR="007D13F3" w:rsidRPr="001E2E3B" w:rsidRDefault="007D13F3" w:rsidP="00465CAC">
            <w:pPr>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zdroje príslušnej kapitoly</w:t>
            </w:r>
          </w:p>
        </w:tc>
        <w:tc>
          <w:tcPr>
            <w:tcW w:w="486" w:type="pct"/>
            <w:tcBorders>
              <w:top w:val="nil"/>
              <w:left w:val="nil"/>
              <w:bottom w:val="single" w:sz="4" w:space="0" w:color="auto"/>
              <w:right w:val="single" w:sz="4" w:space="0" w:color="auto"/>
            </w:tcBorders>
            <w:shd w:val="clear" w:color="000000" w:fill="BFBFBF"/>
            <w:vAlign w:val="center"/>
            <w:hideMark/>
          </w:tcPr>
          <w:p w:rsidR="007D13F3" w:rsidRPr="001E2E3B" w:rsidRDefault="007D13F3" w:rsidP="00465CAC">
            <w:pPr>
              <w:jc w:val="right"/>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80 880 680</w:t>
            </w:r>
          </w:p>
        </w:tc>
        <w:tc>
          <w:tcPr>
            <w:tcW w:w="486" w:type="pct"/>
            <w:tcBorders>
              <w:top w:val="nil"/>
              <w:left w:val="nil"/>
              <w:bottom w:val="single" w:sz="4" w:space="0" w:color="auto"/>
              <w:right w:val="single" w:sz="4" w:space="0" w:color="auto"/>
            </w:tcBorders>
            <w:shd w:val="clear" w:color="000000" w:fill="BFBFBF"/>
            <w:vAlign w:val="center"/>
            <w:hideMark/>
          </w:tcPr>
          <w:p w:rsidR="007D13F3" w:rsidRPr="001E2E3B" w:rsidRDefault="007D13F3" w:rsidP="00465CAC">
            <w:pPr>
              <w:jc w:val="right"/>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93 392 284</w:t>
            </w:r>
          </w:p>
        </w:tc>
        <w:tc>
          <w:tcPr>
            <w:tcW w:w="486" w:type="pct"/>
            <w:tcBorders>
              <w:top w:val="nil"/>
              <w:left w:val="nil"/>
              <w:bottom w:val="single" w:sz="4" w:space="0" w:color="auto"/>
              <w:right w:val="single" w:sz="4" w:space="0" w:color="auto"/>
            </w:tcBorders>
            <w:shd w:val="clear" w:color="000000" w:fill="BFBFBF"/>
            <w:vAlign w:val="center"/>
            <w:hideMark/>
          </w:tcPr>
          <w:p w:rsidR="007D13F3" w:rsidRPr="001E2E3B" w:rsidRDefault="007D13F3" w:rsidP="00465CAC">
            <w:pPr>
              <w:jc w:val="right"/>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95 273 918</w:t>
            </w:r>
          </w:p>
        </w:tc>
        <w:tc>
          <w:tcPr>
            <w:tcW w:w="486" w:type="pct"/>
            <w:tcBorders>
              <w:top w:val="nil"/>
              <w:left w:val="nil"/>
              <w:bottom w:val="single" w:sz="4" w:space="0" w:color="auto"/>
              <w:right w:val="single" w:sz="4" w:space="0" w:color="auto"/>
            </w:tcBorders>
            <w:shd w:val="clear" w:color="000000" w:fill="BFBFBF"/>
            <w:vAlign w:val="center"/>
            <w:hideMark/>
          </w:tcPr>
          <w:p w:rsidR="007D13F3" w:rsidRPr="001E2E3B" w:rsidRDefault="007D13F3" w:rsidP="00465CAC">
            <w:pPr>
              <w:jc w:val="right"/>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99 939 846</w:t>
            </w:r>
          </w:p>
        </w:tc>
        <w:tc>
          <w:tcPr>
            <w:tcW w:w="486" w:type="pct"/>
            <w:tcBorders>
              <w:top w:val="nil"/>
              <w:left w:val="nil"/>
              <w:bottom w:val="single" w:sz="4" w:space="0" w:color="auto"/>
              <w:right w:val="single" w:sz="4" w:space="0" w:color="auto"/>
            </w:tcBorders>
            <w:shd w:val="clear" w:color="000000" w:fill="BFBFBF"/>
            <w:vAlign w:val="center"/>
            <w:hideMark/>
          </w:tcPr>
          <w:p w:rsidR="007D13F3" w:rsidRPr="001E2E3B" w:rsidRDefault="007D13F3" w:rsidP="00465CAC">
            <w:pPr>
              <w:jc w:val="right"/>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98 894 576</w:t>
            </w:r>
          </w:p>
        </w:tc>
        <w:tc>
          <w:tcPr>
            <w:tcW w:w="486" w:type="pct"/>
            <w:tcBorders>
              <w:top w:val="nil"/>
              <w:left w:val="nil"/>
              <w:bottom w:val="single" w:sz="4" w:space="0" w:color="auto"/>
              <w:right w:val="single" w:sz="4" w:space="0" w:color="auto"/>
            </w:tcBorders>
            <w:shd w:val="clear" w:color="000000" w:fill="BFBFBF"/>
            <w:vAlign w:val="center"/>
            <w:hideMark/>
          </w:tcPr>
          <w:p w:rsidR="007D13F3" w:rsidRPr="001E2E3B" w:rsidRDefault="007D13F3" w:rsidP="00465CAC">
            <w:pPr>
              <w:jc w:val="right"/>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100 014 135</w:t>
            </w:r>
          </w:p>
        </w:tc>
        <w:tc>
          <w:tcPr>
            <w:tcW w:w="486" w:type="pct"/>
            <w:tcBorders>
              <w:top w:val="nil"/>
              <w:left w:val="nil"/>
              <w:bottom w:val="single" w:sz="4" w:space="0" w:color="auto"/>
              <w:right w:val="single" w:sz="4" w:space="0" w:color="auto"/>
            </w:tcBorders>
            <w:shd w:val="clear" w:color="000000" w:fill="BFBFBF"/>
            <w:vAlign w:val="center"/>
            <w:hideMark/>
          </w:tcPr>
          <w:p w:rsidR="007D13F3" w:rsidRPr="001E2E3B" w:rsidRDefault="007D13F3" w:rsidP="00465CAC">
            <w:pPr>
              <w:jc w:val="right"/>
              <w:rPr>
                <w:rFonts w:ascii="Times New Roman" w:hAnsi="Times New Roman" w:cs="Times New Roman"/>
                <w:b/>
                <w:bCs/>
                <w:sz w:val="14"/>
                <w:szCs w:val="14"/>
                <w:lang w:eastAsia="sk-SK"/>
              </w:rPr>
            </w:pPr>
            <w:r w:rsidRPr="001E2E3B">
              <w:rPr>
                <w:rFonts w:ascii="Times New Roman" w:hAnsi="Times New Roman" w:cs="Times New Roman"/>
                <w:b/>
                <w:bCs/>
                <w:sz w:val="14"/>
                <w:szCs w:val="14"/>
                <w:lang w:eastAsia="sk-SK"/>
              </w:rPr>
              <w:t>103 103 521</w:t>
            </w:r>
          </w:p>
        </w:tc>
      </w:tr>
      <w:tr w:rsidR="007D13F3" w:rsidRPr="008D5ED4" w:rsidTr="00465CAC">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7D13F3" w:rsidRPr="008D5ED4" w:rsidRDefault="007D13F3" w:rsidP="00465CAC">
            <w:pPr>
              <w:rPr>
                <w:rFonts w:ascii="Times New Roman" w:hAnsi="Times New Roman" w:cs="Times New Roman"/>
                <w:b/>
                <w:bCs/>
                <w:color w:val="000000"/>
                <w:sz w:val="14"/>
                <w:szCs w:val="14"/>
                <w:lang w:eastAsia="sk-SK"/>
              </w:rPr>
            </w:pPr>
            <w:r w:rsidRPr="008D5ED4">
              <w:rPr>
                <w:rFonts w:ascii="Times New Roman" w:hAnsi="Times New Roman" w:cs="Times New Roman"/>
                <w:b/>
                <w:bCs/>
                <w:color w:val="000000"/>
                <w:sz w:val="14"/>
                <w:szCs w:val="14"/>
                <w:lang w:eastAsia="sk-SK"/>
              </w:rPr>
              <w:t xml:space="preserve">rozpočtové zdroje kapitoly </w:t>
            </w:r>
          </w:p>
        </w:tc>
        <w:tc>
          <w:tcPr>
            <w:tcW w:w="486" w:type="pct"/>
            <w:tcBorders>
              <w:top w:val="nil"/>
              <w:left w:val="nil"/>
              <w:bottom w:val="single" w:sz="4" w:space="0" w:color="auto"/>
              <w:right w:val="single" w:sz="4" w:space="0" w:color="auto"/>
            </w:tcBorders>
            <w:shd w:val="clear" w:color="000000" w:fill="FFFFFF"/>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75 638 905</w:t>
            </w:r>
          </w:p>
        </w:tc>
        <w:tc>
          <w:tcPr>
            <w:tcW w:w="486" w:type="pct"/>
            <w:tcBorders>
              <w:top w:val="nil"/>
              <w:left w:val="nil"/>
              <w:bottom w:val="single" w:sz="4" w:space="0" w:color="auto"/>
              <w:right w:val="single" w:sz="4" w:space="0" w:color="auto"/>
            </w:tcBorders>
            <w:shd w:val="clear" w:color="000000" w:fill="FFFFFF"/>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92 216 162</w:t>
            </w:r>
          </w:p>
        </w:tc>
        <w:tc>
          <w:tcPr>
            <w:tcW w:w="486" w:type="pct"/>
            <w:tcBorders>
              <w:top w:val="nil"/>
              <w:left w:val="nil"/>
              <w:bottom w:val="single" w:sz="4" w:space="0" w:color="auto"/>
              <w:right w:val="single" w:sz="4" w:space="0" w:color="auto"/>
            </w:tcBorders>
            <w:shd w:val="clear" w:color="000000" w:fill="FFFFFF"/>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95 273 918</w:t>
            </w:r>
          </w:p>
        </w:tc>
        <w:tc>
          <w:tcPr>
            <w:tcW w:w="486" w:type="pct"/>
            <w:tcBorders>
              <w:top w:val="nil"/>
              <w:left w:val="nil"/>
              <w:bottom w:val="single" w:sz="4" w:space="0" w:color="auto"/>
              <w:right w:val="single" w:sz="4" w:space="0" w:color="auto"/>
            </w:tcBorders>
            <w:shd w:val="clear" w:color="000000" w:fill="FFFFFF"/>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97 564 964</w:t>
            </w:r>
          </w:p>
        </w:tc>
        <w:tc>
          <w:tcPr>
            <w:tcW w:w="486" w:type="pct"/>
            <w:tcBorders>
              <w:top w:val="nil"/>
              <w:left w:val="nil"/>
              <w:bottom w:val="single" w:sz="4" w:space="0" w:color="auto"/>
              <w:right w:val="single" w:sz="4" w:space="0" w:color="auto"/>
            </w:tcBorders>
            <w:shd w:val="clear" w:color="000000" w:fill="FFFFFF"/>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98 894 576</w:t>
            </w:r>
          </w:p>
        </w:tc>
        <w:tc>
          <w:tcPr>
            <w:tcW w:w="486" w:type="pct"/>
            <w:tcBorders>
              <w:top w:val="nil"/>
              <w:left w:val="nil"/>
              <w:bottom w:val="single" w:sz="4" w:space="0" w:color="auto"/>
              <w:right w:val="single" w:sz="4" w:space="0" w:color="auto"/>
            </w:tcBorders>
            <w:shd w:val="clear" w:color="000000" w:fill="FFFFFF"/>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100 014 135</w:t>
            </w:r>
          </w:p>
        </w:tc>
        <w:tc>
          <w:tcPr>
            <w:tcW w:w="486" w:type="pct"/>
            <w:tcBorders>
              <w:top w:val="nil"/>
              <w:left w:val="nil"/>
              <w:bottom w:val="single" w:sz="4" w:space="0" w:color="auto"/>
              <w:right w:val="single" w:sz="4" w:space="0" w:color="auto"/>
            </w:tcBorders>
            <w:shd w:val="clear" w:color="000000" w:fill="FFFFFF"/>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103 103 521</w:t>
            </w:r>
          </w:p>
        </w:tc>
      </w:tr>
      <w:tr w:rsidR="007D13F3" w:rsidRPr="001E2E3B" w:rsidTr="00465CAC">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7D13F3" w:rsidRPr="001E2E3B" w:rsidRDefault="007D13F3" w:rsidP="00465CAC">
            <w:pPr>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 xml:space="preserve">    v tom: bežné výdavky  600</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74 781 421</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91 253 783</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90 907 381</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95 147 639</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96 362 898</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98 043 650</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101 133 036</w:t>
            </w:r>
          </w:p>
        </w:tc>
      </w:tr>
      <w:tr w:rsidR="007D13F3" w:rsidRPr="001E2E3B" w:rsidTr="00465CAC">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7D13F3" w:rsidRPr="001E2E3B" w:rsidRDefault="007D13F3" w:rsidP="00465CAC">
            <w:pPr>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 xml:space="preserve">                 610 mzdy</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46 083 760</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55 283 855</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56 871 248</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58 596 445</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59 249 592</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61 164 210</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63 504 254</w:t>
            </w:r>
          </w:p>
        </w:tc>
      </w:tr>
      <w:tr w:rsidR="007D13F3" w:rsidRPr="001E2E3B" w:rsidTr="00465CAC">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7D13F3" w:rsidRPr="001E2E3B" w:rsidRDefault="007D13F3" w:rsidP="00465CAC">
            <w:pPr>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 xml:space="preserve">                 620 odvody</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14 660 381</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17 105 693</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17 722 352</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18 288 201</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18 498 701</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19 111 795</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19 861 137</w:t>
            </w:r>
          </w:p>
        </w:tc>
      </w:tr>
      <w:tr w:rsidR="007D13F3" w:rsidRPr="001E2E3B" w:rsidTr="00465CAC">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7D13F3" w:rsidRPr="001E2E3B" w:rsidRDefault="007D13F3" w:rsidP="00465CAC">
            <w:pPr>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 xml:space="preserve">                 630 tovary a služby</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11 244 592</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15 319 270</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12 105 344</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14 054 556</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14 007 810</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13 187 850</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13 187 850</w:t>
            </w:r>
          </w:p>
        </w:tc>
      </w:tr>
      <w:tr w:rsidR="007D13F3" w:rsidRPr="001E2E3B" w:rsidTr="00465CAC">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7D13F3" w:rsidRPr="001E2E3B" w:rsidRDefault="007D13F3" w:rsidP="00465CAC">
            <w:pPr>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 xml:space="preserve">                 640 bežné transfery</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2 792 688</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3 544 965</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4 208 437</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4 208 437</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4 606 795</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4 579 795</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4 579 795</w:t>
            </w:r>
          </w:p>
        </w:tc>
      </w:tr>
      <w:tr w:rsidR="007D13F3" w:rsidRPr="001E2E3B" w:rsidTr="00465CAC">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7D13F3" w:rsidRPr="001E2E3B" w:rsidRDefault="007D13F3" w:rsidP="00465CAC">
            <w:pPr>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 xml:space="preserve">               kapitálové výdavky 700</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857 484</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962 379</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4 366 537</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2 417 325</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2 531 678</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1 970 485</w:t>
            </w:r>
          </w:p>
        </w:tc>
        <w:tc>
          <w:tcPr>
            <w:tcW w:w="486" w:type="pct"/>
            <w:tcBorders>
              <w:top w:val="nil"/>
              <w:left w:val="nil"/>
              <w:bottom w:val="single" w:sz="4" w:space="0" w:color="auto"/>
              <w:right w:val="single" w:sz="4" w:space="0" w:color="auto"/>
            </w:tcBorders>
            <w:shd w:val="clear" w:color="000000" w:fill="FFFFFF"/>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1 970 485</w:t>
            </w:r>
          </w:p>
        </w:tc>
      </w:tr>
      <w:tr w:rsidR="007D13F3" w:rsidRPr="008D5ED4" w:rsidTr="00465CAC">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7D13F3" w:rsidRPr="008D5ED4" w:rsidRDefault="007D13F3" w:rsidP="00465CAC">
            <w:pPr>
              <w:rPr>
                <w:rFonts w:ascii="Times New Roman" w:hAnsi="Times New Roman" w:cs="Times New Roman"/>
                <w:b/>
                <w:bCs/>
                <w:color w:val="000000"/>
                <w:sz w:val="14"/>
                <w:szCs w:val="14"/>
                <w:lang w:eastAsia="sk-SK"/>
              </w:rPr>
            </w:pPr>
            <w:r w:rsidRPr="008D5ED4">
              <w:rPr>
                <w:rFonts w:ascii="Times New Roman" w:hAnsi="Times New Roman" w:cs="Times New Roman"/>
                <w:b/>
                <w:bCs/>
                <w:color w:val="000000"/>
                <w:sz w:val="14"/>
                <w:szCs w:val="14"/>
                <w:lang w:eastAsia="sk-SK"/>
              </w:rPr>
              <w:t xml:space="preserve">zdroje EÚ vrátane spolufinancovania: </w:t>
            </w:r>
          </w:p>
        </w:tc>
        <w:tc>
          <w:tcPr>
            <w:tcW w:w="486" w:type="pct"/>
            <w:tcBorders>
              <w:top w:val="nil"/>
              <w:left w:val="nil"/>
              <w:bottom w:val="single" w:sz="4" w:space="0" w:color="auto"/>
              <w:right w:val="single" w:sz="4" w:space="0" w:color="auto"/>
            </w:tcBorders>
            <w:shd w:val="clear" w:color="auto" w:fill="auto"/>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4 763 606</w:t>
            </w:r>
          </w:p>
        </w:tc>
        <w:tc>
          <w:tcPr>
            <w:tcW w:w="486" w:type="pct"/>
            <w:tcBorders>
              <w:top w:val="nil"/>
              <w:left w:val="nil"/>
              <w:bottom w:val="single" w:sz="4" w:space="0" w:color="auto"/>
              <w:right w:val="single" w:sz="4" w:space="0" w:color="auto"/>
            </w:tcBorders>
            <w:shd w:val="clear" w:color="auto" w:fill="auto"/>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21 008</w:t>
            </w:r>
          </w:p>
        </w:tc>
        <w:tc>
          <w:tcPr>
            <w:tcW w:w="486" w:type="pct"/>
            <w:tcBorders>
              <w:top w:val="nil"/>
              <w:left w:val="nil"/>
              <w:bottom w:val="single" w:sz="4" w:space="0" w:color="auto"/>
              <w:right w:val="single" w:sz="4" w:space="0" w:color="auto"/>
            </w:tcBorders>
            <w:shd w:val="clear" w:color="auto" w:fill="auto"/>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0</w:t>
            </w:r>
          </w:p>
        </w:tc>
        <w:tc>
          <w:tcPr>
            <w:tcW w:w="486" w:type="pct"/>
            <w:tcBorders>
              <w:top w:val="nil"/>
              <w:left w:val="nil"/>
              <w:bottom w:val="single" w:sz="4" w:space="0" w:color="auto"/>
              <w:right w:val="single" w:sz="4" w:space="0" w:color="auto"/>
            </w:tcBorders>
            <w:shd w:val="clear" w:color="auto" w:fill="auto"/>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0</w:t>
            </w:r>
          </w:p>
        </w:tc>
        <w:tc>
          <w:tcPr>
            <w:tcW w:w="486" w:type="pct"/>
            <w:tcBorders>
              <w:top w:val="nil"/>
              <w:left w:val="nil"/>
              <w:bottom w:val="single" w:sz="4" w:space="0" w:color="auto"/>
              <w:right w:val="single" w:sz="4" w:space="0" w:color="auto"/>
            </w:tcBorders>
            <w:shd w:val="clear" w:color="auto" w:fill="auto"/>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0</w:t>
            </w:r>
          </w:p>
        </w:tc>
        <w:tc>
          <w:tcPr>
            <w:tcW w:w="486" w:type="pct"/>
            <w:tcBorders>
              <w:top w:val="nil"/>
              <w:left w:val="nil"/>
              <w:bottom w:val="single" w:sz="4" w:space="0" w:color="auto"/>
              <w:right w:val="single" w:sz="4" w:space="0" w:color="auto"/>
            </w:tcBorders>
            <w:shd w:val="clear" w:color="auto" w:fill="auto"/>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0</w:t>
            </w:r>
          </w:p>
        </w:tc>
        <w:tc>
          <w:tcPr>
            <w:tcW w:w="486" w:type="pct"/>
            <w:tcBorders>
              <w:top w:val="nil"/>
              <w:left w:val="nil"/>
              <w:bottom w:val="single" w:sz="4" w:space="0" w:color="auto"/>
              <w:right w:val="single" w:sz="4" w:space="0" w:color="auto"/>
            </w:tcBorders>
            <w:shd w:val="clear" w:color="auto" w:fill="auto"/>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0</w:t>
            </w:r>
          </w:p>
        </w:tc>
      </w:tr>
      <w:tr w:rsidR="007D13F3" w:rsidRPr="001E2E3B" w:rsidTr="00465CAC">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7D13F3" w:rsidRPr="001E2E3B" w:rsidRDefault="007D13F3" w:rsidP="00465CAC">
            <w:pPr>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 xml:space="preserve">    v tom: 2. program. obdobie  EÚ </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3 587 472</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15 821</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0</w:t>
            </w:r>
          </w:p>
        </w:tc>
      </w:tr>
      <w:tr w:rsidR="007D13F3" w:rsidRPr="001E2E3B" w:rsidTr="00465CAC">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7D13F3" w:rsidRPr="001E2E3B" w:rsidRDefault="007D13F3" w:rsidP="00465CAC">
            <w:pPr>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 xml:space="preserve">             spolufinancovanie zo ŠR</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1 176 134</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5 187</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0</w:t>
            </w:r>
          </w:p>
        </w:tc>
      </w:tr>
      <w:tr w:rsidR="007D13F3" w:rsidRPr="008D5ED4" w:rsidTr="00465CAC">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7D13F3" w:rsidRPr="008D5ED4" w:rsidRDefault="007D13F3" w:rsidP="00465CAC">
            <w:pPr>
              <w:rPr>
                <w:rFonts w:ascii="Times New Roman" w:hAnsi="Times New Roman" w:cs="Times New Roman"/>
                <w:b/>
                <w:bCs/>
                <w:color w:val="000000"/>
                <w:sz w:val="14"/>
                <w:szCs w:val="14"/>
                <w:lang w:eastAsia="sk-SK"/>
              </w:rPr>
            </w:pPr>
            <w:r w:rsidRPr="008D5ED4">
              <w:rPr>
                <w:rFonts w:ascii="Times New Roman" w:hAnsi="Times New Roman" w:cs="Times New Roman"/>
                <w:b/>
                <w:bCs/>
                <w:color w:val="000000"/>
                <w:sz w:val="14"/>
                <w:szCs w:val="14"/>
                <w:lang w:eastAsia="sk-SK"/>
              </w:rPr>
              <w:t>presun z minulých rokov § 8</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478 169</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1 155 114</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sz w:val="14"/>
                <w:szCs w:val="14"/>
                <w:lang w:eastAsia="sk-SK"/>
              </w:rPr>
            </w:pPr>
            <w:r w:rsidRPr="008D5ED4">
              <w:rPr>
                <w:rFonts w:ascii="Times New Roman" w:hAnsi="Times New Roman" w:cs="Times New Roman"/>
                <w:b/>
                <w:sz w:val="14"/>
                <w:szCs w:val="14"/>
                <w:lang w:eastAsia="sk-SK"/>
              </w:rPr>
              <w:t>2 374 882</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0</w:t>
            </w:r>
          </w:p>
        </w:tc>
      </w:tr>
      <w:tr w:rsidR="007D13F3" w:rsidRPr="001E2E3B" w:rsidTr="00465CAC">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7D13F3" w:rsidRPr="001E2E3B" w:rsidRDefault="007D13F3" w:rsidP="00465CAC">
            <w:pPr>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 xml:space="preserve">    v tom: štátny rozpočet</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1E2E3B" w:rsidRDefault="007D13F3" w:rsidP="00465CAC">
            <w:pPr>
              <w:jc w:val="right"/>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478 169</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1 155 114</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1E2E3B" w:rsidRDefault="007D13F3" w:rsidP="00465CAC">
            <w:pPr>
              <w:jc w:val="right"/>
              <w:rPr>
                <w:rFonts w:ascii="Times New Roman" w:hAnsi="Times New Roman" w:cs="Times New Roman"/>
                <w:color w:val="000000"/>
                <w:sz w:val="14"/>
                <w:szCs w:val="14"/>
                <w:lang w:eastAsia="sk-SK"/>
              </w:rPr>
            </w:pPr>
            <w:r w:rsidRPr="001E2E3B">
              <w:rPr>
                <w:rFonts w:ascii="Times New Roman" w:hAnsi="Times New Roman" w:cs="Times New Roman"/>
                <w:color w:val="000000"/>
                <w:sz w:val="14"/>
                <w:szCs w:val="14"/>
                <w:lang w:eastAsia="sk-SK"/>
              </w:rPr>
              <w:t>2 374 882</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center"/>
            <w:hideMark/>
          </w:tcPr>
          <w:p w:rsidR="007D13F3" w:rsidRPr="001E2E3B" w:rsidRDefault="007D13F3" w:rsidP="00465CAC">
            <w:pPr>
              <w:jc w:val="right"/>
              <w:rPr>
                <w:rFonts w:ascii="Times New Roman" w:hAnsi="Times New Roman" w:cs="Times New Roman"/>
                <w:sz w:val="14"/>
                <w:szCs w:val="14"/>
                <w:lang w:eastAsia="sk-SK"/>
              </w:rPr>
            </w:pPr>
            <w:r w:rsidRPr="001E2E3B">
              <w:rPr>
                <w:rFonts w:ascii="Times New Roman" w:hAnsi="Times New Roman" w:cs="Times New Roman"/>
                <w:sz w:val="14"/>
                <w:szCs w:val="14"/>
                <w:lang w:eastAsia="sk-SK"/>
              </w:rPr>
              <w:t>0</w:t>
            </w:r>
          </w:p>
        </w:tc>
      </w:tr>
    </w:tbl>
    <w:p w:rsidR="007D13F3" w:rsidRDefault="007D13F3" w:rsidP="007D13F3">
      <w:pPr>
        <w:jc w:val="both"/>
        <w:rPr>
          <w:rFonts w:ascii="Times New Roman" w:hAnsi="Times New Roman" w:cs="Times New Roman"/>
          <w:b/>
          <w:bCs/>
          <w:iCs/>
          <w:szCs w:val="26"/>
        </w:rPr>
      </w:pPr>
    </w:p>
    <w:tbl>
      <w:tblPr>
        <w:tblW w:w="5000" w:type="pct"/>
        <w:tblCellMar>
          <w:left w:w="70" w:type="dxa"/>
          <w:right w:w="70" w:type="dxa"/>
        </w:tblCellMar>
        <w:tblLook w:val="04A0" w:firstRow="1" w:lastRow="0" w:firstColumn="1" w:lastColumn="0" w:noHBand="0" w:noVBand="1"/>
      </w:tblPr>
      <w:tblGrid>
        <w:gridCol w:w="2895"/>
        <w:gridCol w:w="881"/>
        <w:gridCol w:w="881"/>
        <w:gridCol w:w="881"/>
        <w:gridCol w:w="881"/>
        <w:gridCol w:w="881"/>
        <w:gridCol w:w="881"/>
        <w:gridCol w:w="881"/>
      </w:tblGrid>
      <w:tr w:rsidR="007D13F3" w:rsidRPr="000E76EC" w:rsidTr="00465CAC">
        <w:trPr>
          <w:trHeight w:hRule="exact" w:val="255"/>
        </w:trPr>
        <w:tc>
          <w:tcPr>
            <w:tcW w:w="1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3F3" w:rsidRPr="000E76EC" w:rsidRDefault="000E76EC" w:rsidP="00465CAC">
            <w:pPr>
              <w:rPr>
                <w:rFonts w:ascii="Times New Roman" w:hAnsi="Times New Roman" w:cs="Times New Roman"/>
                <w:b/>
                <w:bCs/>
                <w:sz w:val="14"/>
                <w:szCs w:val="14"/>
                <w:lang w:eastAsia="sk-SK"/>
              </w:rPr>
            </w:pPr>
            <w:r w:rsidRPr="000E76EC">
              <w:rPr>
                <w:rFonts w:ascii="Times New Roman" w:hAnsi="Times New Roman" w:cs="Times New Roman"/>
                <w:b/>
                <w:bCs/>
                <w:sz w:val="14"/>
                <w:szCs w:val="14"/>
                <w:lang w:eastAsia="sk-SK"/>
              </w:rPr>
              <w:t>S</w:t>
            </w:r>
            <w:r w:rsidR="007D13F3" w:rsidRPr="000E76EC">
              <w:rPr>
                <w:rFonts w:ascii="Times New Roman" w:hAnsi="Times New Roman" w:cs="Times New Roman"/>
                <w:b/>
                <w:bCs/>
                <w:sz w:val="14"/>
                <w:szCs w:val="14"/>
                <w:lang w:eastAsia="sk-SK"/>
              </w:rPr>
              <w:t xml:space="preserve">amostatné účty </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7 575 805</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798 488</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782 223</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782 223</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0</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0</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0</w:t>
            </w:r>
          </w:p>
        </w:tc>
      </w:tr>
    </w:tbl>
    <w:p w:rsidR="007D13F3" w:rsidRDefault="007D13F3" w:rsidP="007D13F3">
      <w:pPr>
        <w:jc w:val="both"/>
        <w:rPr>
          <w:rFonts w:ascii="Times New Roman" w:hAnsi="Times New Roman" w:cs="Times New Roman"/>
          <w:b/>
          <w:bCs/>
          <w:iCs/>
          <w:szCs w:val="26"/>
        </w:rPr>
      </w:pPr>
    </w:p>
    <w:p w:rsidR="007D13F3" w:rsidRPr="002B6F7B" w:rsidRDefault="007D13F3" w:rsidP="007D13F3">
      <w:pPr>
        <w:ind w:firstLine="709"/>
        <w:jc w:val="both"/>
        <w:rPr>
          <w:rFonts w:ascii="Times New Roman" w:hAnsi="Times New Roman" w:cs="Times New Roman"/>
          <w:highlight w:val="yellow"/>
        </w:rPr>
      </w:pPr>
      <w:r w:rsidRPr="002B6F7B">
        <w:rPr>
          <w:rFonts w:ascii="Times New Roman" w:hAnsi="Times New Roman" w:cs="Times New Roman"/>
        </w:rPr>
        <w:t xml:space="preserve">Celkové výdavky kapitoly </w:t>
      </w:r>
      <w:r>
        <w:rPr>
          <w:rFonts w:ascii="Times New Roman" w:hAnsi="Times New Roman" w:cs="Times New Roman"/>
        </w:rPr>
        <w:t xml:space="preserve">Generálna prokuratúra SR (ďalej len „GP SR“) </w:t>
      </w:r>
      <w:r w:rsidRPr="002B6F7B">
        <w:rPr>
          <w:rFonts w:ascii="Times New Roman" w:hAnsi="Times New Roman" w:cs="Times New Roman"/>
        </w:rPr>
        <w:t xml:space="preserve">sa </w:t>
      </w:r>
      <w:r>
        <w:rPr>
          <w:rFonts w:ascii="Times New Roman" w:hAnsi="Times New Roman" w:cs="Times New Roman"/>
        </w:rPr>
        <w:t>na rok</w:t>
      </w:r>
      <w:r w:rsidRPr="002B6F7B">
        <w:rPr>
          <w:rFonts w:ascii="Times New Roman" w:hAnsi="Times New Roman" w:cs="Times New Roman"/>
        </w:rPr>
        <w:t xml:space="preserve"> 2018 rozpočtujú v</w:t>
      </w:r>
      <w:r>
        <w:rPr>
          <w:rFonts w:ascii="Times New Roman" w:hAnsi="Times New Roman" w:cs="Times New Roman"/>
        </w:rPr>
        <w:t xml:space="preserve"> sume</w:t>
      </w:r>
      <w:r w:rsidRPr="002B6F7B">
        <w:rPr>
          <w:rFonts w:ascii="Times New Roman" w:hAnsi="Times New Roman" w:cs="Times New Roman"/>
        </w:rPr>
        <w:t xml:space="preserve"> </w:t>
      </w:r>
      <w:r>
        <w:rPr>
          <w:rFonts w:ascii="Times New Roman" w:hAnsi="Times New Roman" w:cs="Times New Roman"/>
        </w:rPr>
        <w:t>98,9</w:t>
      </w:r>
      <w:r w:rsidRPr="002B6F7B">
        <w:rPr>
          <w:rFonts w:ascii="Times New Roman" w:hAnsi="Times New Roman" w:cs="Times New Roman"/>
        </w:rPr>
        <w:t xml:space="preserve"> mil. eur</w:t>
      </w:r>
      <w:r>
        <w:rPr>
          <w:rFonts w:ascii="Times New Roman" w:hAnsi="Times New Roman" w:cs="Times New Roman"/>
        </w:rPr>
        <w:t xml:space="preserve">, oproti </w:t>
      </w:r>
      <w:r w:rsidRPr="002B6F7B">
        <w:rPr>
          <w:rFonts w:ascii="Times New Roman" w:hAnsi="Times New Roman" w:cs="Times New Roman"/>
        </w:rPr>
        <w:t>schválen</w:t>
      </w:r>
      <w:r>
        <w:rPr>
          <w:rFonts w:ascii="Times New Roman" w:hAnsi="Times New Roman" w:cs="Times New Roman"/>
        </w:rPr>
        <w:t>ému</w:t>
      </w:r>
      <w:r w:rsidRPr="002B6F7B">
        <w:rPr>
          <w:rFonts w:ascii="Times New Roman" w:hAnsi="Times New Roman" w:cs="Times New Roman"/>
        </w:rPr>
        <w:t xml:space="preserve"> rozpočt</w:t>
      </w:r>
      <w:r>
        <w:rPr>
          <w:rFonts w:ascii="Times New Roman" w:hAnsi="Times New Roman" w:cs="Times New Roman"/>
        </w:rPr>
        <w:t>u</w:t>
      </w:r>
      <w:r w:rsidRPr="002B6F7B">
        <w:rPr>
          <w:rFonts w:ascii="Times New Roman" w:hAnsi="Times New Roman" w:cs="Times New Roman"/>
        </w:rPr>
        <w:t xml:space="preserve"> na rok 2017 rastú </w:t>
      </w:r>
      <w:r w:rsidR="00941A11">
        <w:rPr>
          <w:rFonts w:ascii="Times New Roman" w:hAnsi="Times New Roman" w:cs="Times New Roman"/>
        </w:rPr>
        <w:br/>
      </w:r>
      <w:r w:rsidRPr="002B6F7B">
        <w:rPr>
          <w:rFonts w:ascii="Times New Roman" w:hAnsi="Times New Roman" w:cs="Times New Roman"/>
        </w:rPr>
        <w:t>o</w:t>
      </w:r>
      <w:r>
        <w:rPr>
          <w:rFonts w:ascii="Times New Roman" w:hAnsi="Times New Roman" w:cs="Times New Roman"/>
        </w:rPr>
        <w:t> 3,62 mil</w:t>
      </w:r>
      <w:r w:rsidRPr="002B6F7B">
        <w:rPr>
          <w:rFonts w:ascii="Times New Roman" w:hAnsi="Times New Roman" w:cs="Times New Roman"/>
        </w:rPr>
        <w:t xml:space="preserve">. eur, </w:t>
      </w:r>
      <w:r>
        <w:rPr>
          <w:rFonts w:ascii="Times New Roman" w:hAnsi="Times New Roman" w:cs="Times New Roman"/>
        </w:rPr>
        <w:t>t. j. o 3</w:t>
      </w:r>
      <w:r w:rsidRPr="002B6F7B">
        <w:rPr>
          <w:rFonts w:ascii="Times New Roman" w:hAnsi="Times New Roman" w:cs="Times New Roman"/>
        </w:rPr>
        <w:t>,</w:t>
      </w:r>
      <w:r>
        <w:rPr>
          <w:rFonts w:ascii="Times New Roman" w:hAnsi="Times New Roman" w:cs="Times New Roman"/>
        </w:rPr>
        <w:t>80</w:t>
      </w:r>
      <w:r w:rsidRPr="002B6F7B">
        <w:rPr>
          <w:rFonts w:ascii="Times New Roman" w:hAnsi="Times New Roman" w:cs="Times New Roman"/>
        </w:rPr>
        <w:t xml:space="preserve"> %.</w:t>
      </w:r>
    </w:p>
    <w:p w:rsidR="007D13F3" w:rsidRPr="002B6F7B" w:rsidRDefault="007D13F3" w:rsidP="007D13F3">
      <w:pPr>
        <w:ind w:firstLine="709"/>
        <w:jc w:val="both"/>
        <w:rPr>
          <w:rFonts w:ascii="Times New Roman" w:hAnsi="Times New Roman" w:cs="Times New Roman"/>
          <w:highlight w:val="yellow"/>
        </w:rPr>
      </w:pPr>
    </w:p>
    <w:p w:rsidR="007D13F3" w:rsidRPr="00280192" w:rsidRDefault="007D13F3" w:rsidP="007D13F3">
      <w:pPr>
        <w:ind w:firstLine="709"/>
        <w:jc w:val="both"/>
        <w:rPr>
          <w:rFonts w:ascii="Times New Roman" w:hAnsi="Times New Roman" w:cs="Times New Roman"/>
          <w:bCs/>
        </w:rPr>
      </w:pPr>
      <w:r w:rsidRPr="00280192">
        <w:rPr>
          <w:rFonts w:ascii="Times New Roman" w:hAnsi="Times New Roman" w:cs="Times New Roman"/>
        </w:rPr>
        <w:t xml:space="preserve">Osobné výdavky na rok 2018 sa </w:t>
      </w:r>
      <w:r>
        <w:rPr>
          <w:rFonts w:ascii="Times New Roman" w:hAnsi="Times New Roman" w:cs="Times New Roman"/>
        </w:rPr>
        <w:t>rozpočtujú</w:t>
      </w:r>
      <w:r w:rsidRPr="00280192">
        <w:rPr>
          <w:rFonts w:ascii="Times New Roman" w:hAnsi="Times New Roman" w:cs="Times New Roman"/>
        </w:rPr>
        <w:t xml:space="preserve"> </w:t>
      </w:r>
      <w:r>
        <w:rPr>
          <w:rFonts w:ascii="Times New Roman" w:hAnsi="Times New Roman" w:cs="Times New Roman"/>
        </w:rPr>
        <w:t>v sume</w:t>
      </w:r>
      <w:r w:rsidRPr="00280192">
        <w:rPr>
          <w:rFonts w:ascii="Times New Roman" w:hAnsi="Times New Roman" w:cs="Times New Roman"/>
        </w:rPr>
        <w:t xml:space="preserve"> 77,</w:t>
      </w:r>
      <w:r>
        <w:rPr>
          <w:rFonts w:ascii="Times New Roman" w:hAnsi="Times New Roman" w:cs="Times New Roman"/>
        </w:rPr>
        <w:t>7</w:t>
      </w:r>
      <w:r w:rsidRPr="00280192">
        <w:rPr>
          <w:rFonts w:ascii="Times New Roman" w:hAnsi="Times New Roman" w:cs="Times New Roman"/>
        </w:rPr>
        <w:t xml:space="preserve"> mil. eur</w:t>
      </w:r>
      <w:r>
        <w:rPr>
          <w:rFonts w:ascii="Times New Roman" w:hAnsi="Times New Roman" w:cs="Times New Roman"/>
        </w:rPr>
        <w:t xml:space="preserve">, ktoré sú oproti </w:t>
      </w:r>
      <w:r w:rsidRPr="00280192">
        <w:rPr>
          <w:rFonts w:ascii="Times New Roman" w:hAnsi="Times New Roman" w:cs="Times New Roman"/>
        </w:rPr>
        <w:t>schválen</w:t>
      </w:r>
      <w:r>
        <w:rPr>
          <w:rFonts w:ascii="Times New Roman" w:hAnsi="Times New Roman" w:cs="Times New Roman"/>
        </w:rPr>
        <w:t>ému</w:t>
      </w:r>
      <w:r w:rsidRPr="00280192">
        <w:rPr>
          <w:rFonts w:ascii="Times New Roman" w:hAnsi="Times New Roman" w:cs="Times New Roman"/>
        </w:rPr>
        <w:t xml:space="preserve"> rozpočt</w:t>
      </w:r>
      <w:r>
        <w:rPr>
          <w:rFonts w:ascii="Times New Roman" w:hAnsi="Times New Roman" w:cs="Times New Roman"/>
        </w:rPr>
        <w:t>u</w:t>
      </w:r>
      <w:r w:rsidRPr="00280192">
        <w:rPr>
          <w:rFonts w:ascii="Times New Roman" w:hAnsi="Times New Roman" w:cs="Times New Roman"/>
        </w:rPr>
        <w:t xml:space="preserve"> na rok 2017 </w:t>
      </w:r>
      <w:r>
        <w:rPr>
          <w:rFonts w:ascii="Times New Roman" w:hAnsi="Times New Roman" w:cs="Times New Roman"/>
        </w:rPr>
        <w:t xml:space="preserve">vyššie </w:t>
      </w:r>
      <w:r w:rsidRPr="00280192">
        <w:rPr>
          <w:rFonts w:ascii="Times New Roman" w:hAnsi="Times New Roman" w:cs="Times New Roman"/>
        </w:rPr>
        <w:t>o </w:t>
      </w:r>
      <w:r>
        <w:rPr>
          <w:rFonts w:ascii="Times New Roman" w:hAnsi="Times New Roman" w:cs="Times New Roman"/>
        </w:rPr>
        <w:t>3</w:t>
      </w:r>
      <w:r w:rsidRPr="00280192">
        <w:rPr>
          <w:rFonts w:ascii="Times New Roman" w:hAnsi="Times New Roman" w:cs="Times New Roman"/>
        </w:rPr>
        <w:t>,</w:t>
      </w:r>
      <w:r>
        <w:rPr>
          <w:rFonts w:ascii="Times New Roman" w:hAnsi="Times New Roman" w:cs="Times New Roman"/>
        </w:rPr>
        <w:t>15</w:t>
      </w:r>
      <w:r w:rsidRPr="00280192">
        <w:rPr>
          <w:rFonts w:ascii="Times New Roman" w:hAnsi="Times New Roman" w:cs="Times New Roman"/>
        </w:rPr>
        <w:t xml:space="preserve"> mil. eur, </w:t>
      </w:r>
      <w:r>
        <w:rPr>
          <w:rFonts w:ascii="Times New Roman" w:hAnsi="Times New Roman" w:cs="Times New Roman"/>
        </w:rPr>
        <w:t xml:space="preserve">t. j. </w:t>
      </w:r>
      <w:r w:rsidRPr="00280192">
        <w:rPr>
          <w:rFonts w:ascii="Times New Roman" w:hAnsi="Times New Roman" w:cs="Times New Roman"/>
        </w:rPr>
        <w:t>o </w:t>
      </w:r>
      <w:r>
        <w:rPr>
          <w:rFonts w:ascii="Times New Roman" w:hAnsi="Times New Roman" w:cs="Times New Roman"/>
        </w:rPr>
        <w:t>4</w:t>
      </w:r>
      <w:r w:rsidRPr="00280192">
        <w:rPr>
          <w:rFonts w:ascii="Times New Roman" w:hAnsi="Times New Roman" w:cs="Times New Roman"/>
        </w:rPr>
        <w:t>,</w:t>
      </w:r>
      <w:r>
        <w:rPr>
          <w:rFonts w:ascii="Times New Roman" w:hAnsi="Times New Roman" w:cs="Times New Roman"/>
        </w:rPr>
        <w:t>23</w:t>
      </w:r>
      <w:r w:rsidRPr="00280192">
        <w:rPr>
          <w:rFonts w:ascii="Times New Roman" w:hAnsi="Times New Roman" w:cs="Times New Roman"/>
        </w:rPr>
        <w:t xml:space="preserve"> %. </w:t>
      </w:r>
      <w:r>
        <w:rPr>
          <w:rFonts w:ascii="Times New Roman" w:hAnsi="Times New Roman" w:cs="Times New Roman"/>
        </w:rPr>
        <w:t xml:space="preserve">Nárast </w:t>
      </w:r>
      <w:r w:rsidRPr="00280192">
        <w:rPr>
          <w:rFonts w:ascii="Times New Roman" w:hAnsi="Times New Roman" w:cs="Times New Roman"/>
        </w:rPr>
        <w:t xml:space="preserve">osobných výdavkov </w:t>
      </w:r>
      <w:r>
        <w:rPr>
          <w:rFonts w:ascii="Times New Roman" w:hAnsi="Times New Roman" w:cs="Times New Roman"/>
        </w:rPr>
        <w:t>je spôsobený</w:t>
      </w:r>
      <w:r w:rsidRPr="00280192">
        <w:rPr>
          <w:rFonts w:ascii="Times New Roman" w:hAnsi="Times New Roman" w:cs="Times New Roman"/>
        </w:rPr>
        <w:t xml:space="preserve"> rast</w:t>
      </w:r>
      <w:r>
        <w:rPr>
          <w:rFonts w:ascii="Times New Roman" w:hAnsi="Times New Roman" w:cs="Times New Roman"/>
        </w:rPr>
        <w:t>om</w:t>
      </w:r>
      <w:r w:rsidRPr="00280192">
        <w:rPr>
          <w:rFonts w:ascii="Times New Roman" w:hAnsi="Times New Roman" w:cs="Times New Roman"/>
        </w:rPr>
        <w:t xml:space="preserve"> výdavkov z dôvodu valorizácie platov zamestnancov z roku 2017</w:t>
      </w:r>
      <w:r>
        <w:rPr>
          <w:rFonts w:ascii="Times New Roman" w:hAnsi="Times New Roman" w:cs="Times New Roman"/>
        </w:rPr>
        <w:t>,</w:t>
      </w:r>
      <w:r w:rsidRPr="00280192">
        <w:rPr>
          <w:rFonts w:ascii="Times New Roman" w:hAnsi="Times New Roman" w:cs="Times New Roman"/>
        </w:rPr>
        <w:t xml:space="preserve"> </w:t>
      </w:r>
      <w:r>
        <w:rPr>
          <w:rFonts w:ascii="Times New Roman" w:hAnsi="Times New Roman" w:cs="Times New Roman"/>
        </w:rPr>
        <w:t>nárastu počtu prokurátorov a štátnych zamestnancov.</w:t>
      </w:r>
      <w:r w:rsidRPr="00280192">
        <w:rPr>
          <w:rFonts w:ascii="Times New Roman" w:hAnsi="Times New Roman" w:cs="Times New Roman"/>
        </w:rPr>
        <w:t xml:space="preserve"> </w:t>
      </w:r>
    </w:p>
    <w:p w:rsidR="007D13F3" w:rsidRPr="002B6F7B" w:rsidRDefault="007D13F3" w:rsidP="007D13F3">
      <w:pPr>
        <w:ind w:firstLine="709"/>
        <w:jc w:val="both"/>
        <w:rPr>
          <w:rFonts w:ascii="Times New Roman" w:hAnsi="Times New Roman" w:cs="Times New Roman"/>
          <w:bCs/>
          <w:highlight w:val="yellow"/>
        </w:rPr>
      </w:pPr>
    </w:p>
    <w:p w:rsidR="007D13F3" w:rsidRDefault="007D13F3" w:rsidP="007D13F3">
      <w:pPr>
        <w:ind w:firstLine="709"/>
        <w:jc w:val="both"/>
        <w:rPr>
          <w:rFonts w:ascii="Times New Roman" w:hAnsi="Times New Roman" w:cs="Times New Roman"/>
        </w:rPr>
      </w:pPr>
      <w:r>
        <w:rPr>
          <w:rFonts w:ascii="Times New Roman" w:hAnsi="Times New Roman" w:cs="Times New Roman"/>
        </w:rPr>
        <w:t>T</w:t>
      </w:r>
      <w:r w:rsidRPr="00774F97">
        <w:rPr>
          <w:rFonts w:ascii="Times New Roman" w:hAnsi="Times New Roman" w:cs="Times New Roman"/>
        </w:rPr>
        <w:t xml:space="preserve">ovary a služby </w:t>
      </w:r>
      <w:r>
        <w:rPr>
          <w:rFonts w:ascii="Times New Roman" w:hAnsi="Times New Roman" w:cs="Times New Roman"/>
        </w:rPr>
        <w:t xml:space="preserve">sa </w:t>
      </w:r>
      <w:r w:rsidRPr="00774F97">
        <w:rPr>
          <w:rFonts w:ascii="Times New Roman" w:hAnsi="Times New Roman" w:cs="Times New Roman"/>
        </w:rPr>
        <w:t>rozpočtujú v sume 1</w:t>
      </w:r>
      <w:r>
        <w:rPr>
          <w:rFonts w:ascii="Times New Roman" w:hAnsi="Times New Roman" w:cs="Times New Roman"/>
        </w:rPr>
        <w:t>4</w:t>
      </w:r>
      <w:r w:rsidRPr="00774F97">
        <w:rPr>
          <w:rFonts w:ascii="Times New Roman" w:hAnsi="Times New Roman" w:cs="Times New Roman"/>
        </w:rPr>
        <w:t>,</w:t>
      </w:r>
      <w:r>
        <w:rPr>
          <w:rFonts w:ascii="Times New Roman" w:hAnsi="Times New Roman" w:cs="Times New Roman"/>
        </w:rPr>
        <w:t>0</w:t>
      </w:r>
      <w:r w:rsidRPr="00774F97">
        <w:rPr>
          <w:rFonts w:ascii="Times New Roman" w:hAnsi="Times New Roman" w:cs="Times New Roman"/>
        </w:rPr>
        <w:t xml:space="preserve"> mil. eur</w:t>
      </w:r>
      <w:r>
        <w:rPr>
          <w:rFonts w:ascii="Times New Roman" w:hAnsi="Times New Roman" w:cs="Times New Roman"/>
        </w:rPr>
        <w:t xml:space="preserve">, čo predstavuje oproti </w:t>
      </w:r>
      <w:r w:rsidRPr="00774F97">
        <w:rPr>
          <w:rFonts w:ascii="Times New Roman" w:hAnsi="Times New Roman" w:cs="Times New Roman"/>
        </w:rPr>
        <w:t>schválen</w:t>
      </w:r>
      <w:r>
        <w:rPr>
          <w:rFonts w:ascii="Times New Roman" w:hAnsi="Times New Roman" w:cs="Times New Roman"/>
        </w:rPr>
        <w:t>ému</w:t>
      </w:r>
      <w:r w:rsidRPr="00774F97">
        <w:rPr>
          <w:rFonts w:ascii="Times New Roman" w:hAnsi="Times New Roman" w:cs="Times New Roman"/>
        </w:rPr>
        <w:t xml:space="preserve"> rozpočt</w:t>
      </w:r>
      <w:r>
        <w:rPr>
          <w:rFonts w:ascii="Times New Roman" w:hAnsi="Times New Roman" w:cs="Times New Roman"/>
        </w:rPr>
        <w:t>u</w:t>
      </w:r>
      <w:r w:rsidRPr="00774F97">
        <w:rPr>
          <w:rFonts w:ascii="Times New Roman" w:hAnsi="Times New Roman" w:cs="Times New Roman"/>
        </w:rPr>
        <w:t xml:space="preserve"> na rok 2017 </w:t>
      </w:r>
      <w:r>
        <w:rPr>
          <w:rFonts w:ascii="Times New Roman" w:hAnsi="Times New Roman" w:cs="Times New Roman"/>
        </w:rPr>
        <w:t>nárast</w:t>
      </w:r>
      <w:r w:rsidRPr="00774F97">
        <w:rPr>
          <w:rFonts w:ascii="Times New Roman" w:hAnsi="Times New Roman" w:cs="Times New Roman"/>
        </w:rPr>
        <w:t xml:space="preserve"> o 1,</w:t>
      </w:r>
      <w:r>
        <w:rPr>
          <w:rFonts w:ascii="Times New Roman" w:hAnsi="Times New Roman" w:cs="Times New Roman"/>
        </w:rPr>
        <w:t>90</w:t>
      </w:r>
      <w:r w:rsidRPr="00774F97">
        <w:rPr>
          <w:rFonts w:ascii="Times New Roman" w:hAnsi="Times New Roman" w:cs="Times New Roman"/>
        </w:rPr>
        <w:t xml:space="preserve"> mil. eur, </w:t>
      </w:r>
      <w:r>
        <w:rPr>
          <w:rFonts w:ascii="Times New Roman" w:hAnsi="Times New Roman" w:cs="Times New Roman"/>
        </w:rPr>
        <w:t>t. j. o</w:t>
      </w:r>
      <w:r w:rsidRPr="00774F97">
        <w:rPr>
          <w:rFonts w:ascii="Times New Roman" w:hAnsi="Times New Roman" w:cs="Times New Roman"/>
        </w:rPr>
        <w:t> </w:t>
      </w:r>
      <w:r>
        <w:rPr>
          <w:rFonts w:ascii="Times New Roman" w:hAnsi="Times New Roman" w:cs="Times New Roman"/>
        </w:rPr>
        <w:t>15</w:t>
      </w:r>
      <w:r w:rsidRPr="00774F97">
        <w:rPr>
          <w:rFonts w:ascii="Times New Roman" w:hAnsi="Times New Roman" w:cs="Times New Roman"/>
        </w:rPr>
        <w:t>,</w:t>
      </w:r>
      <w:r>
        <w:rPr>
          <w:rFonts w:ascii="Times New Roman" w:hAnsi="Times New Roman" w:cs="Times New Roman"/>
        </w:rPr>
        <w:t>7</w:t>
      </w:r>
      <w:r w:rsidRPr="00774F97">
        <w:rPr>
          <w:rFonts w:ascii="Times New Roman" w:hAnsi="Times New Roman" w:cs="Times New Roman"/>
        </w:rPr>
        <w:t xml:space="preserve"> %. </w:t>
      </w:r>
      <w:r w:rsidRPr="00DC2BA1">
        <w:rPr>
          <w:rFonts w:ascii="Times New Roman" w:hAnsi="Times New Roman" w:cs="Times New Roman"/>
        </w:rPr>
        <w:t>Nárast je spôsobený rozpočtovaním zabezpečeni</w:t>
      </w:r>
      <w:r>
        <w:rPr>
          <w:rFonts w:ascii="Times New Roman" w:hAnsi="Times New Roman" w:cs="Times New Roman"/>
        </w:rPr>
        <w:t>a</w:t>
      </w:r>
      <w:r w:rsidRPr="00DC2BA1">
        <w:rPr>
          <w:rFonts w:ascii="Times New Roman" w:hAnsi="Times New Roman" w:cs="Times New Roman"/>
        </w:rPr>
        <w:t xml:space="preserve"> fungovania vybudovaného informačného systému v rámci projektu Elektronické služby GP SR</w:t>
      </w:r>
      <w:r>
        <w:rPr>
          <w:rFonts w:ascii="Times New Roman" w:hAnsi="Times New Roman" w:cs="Times New Roman"/>
        </w:rPr>
        <w:t xml:space="preserve"> a rozpočtovaním výdavkov na informačný systém Patricia</w:t>
      </w:r>
      <w:r w:rsidRPr="00DC2BA1">
        <w:rPr>
          <w:rFonts w:ascii="Times New Roman" w:hAnsi="Times New Roman" w:cs="Times New Roman"/>
        </w:rPr>
        <w:t xml:space="preserve">. </w:t>
      </w:r>
      <w:r>
        <w:rPr>
          <w:rFonts w:ascii="Times New Roman" w:hAnsi="Times New Roman" w:cs="Times New Roman"/>
        </w:rPr>
        <w:t xml:space="preserve">Na rok </w:t>
      </w:r>
      <w:r w:rsidRPr="00DC2BA1">
        <w:rPr>
          <w:rFonts w:ascii="Times New Roman" w:hAnsi="Times New Roman" w:cs="Times New Roman"/>
        </w:rPr>
        <w:t xml:space="preserve">2018 </w:t>
      </w:r>
      <w:r>
        <w:rPr>
          <w:rFonts w:ascii="Times New Roman" w:hAnsi="Times New Roman" w:cs="Times New Roman"/>
        </w:rPr>
        <w:t>sa rozpočtuje</w:t>
      </w:r>
      <w:r w:rsidRPr="00DC2BA1">
        <w:rPr>
          <w:rFonts w:ascii="Times New Roman" w:hAnsi="Times New Roman" w:cs="Times New Roman"/>
        </w:rPr>
        <w:t xml:space="preserve"> 23</w:t>
      </w:r>
      <w:r>
        <w:rPr>
          <w:rFonts w:ascii="Times New Roman" w:hAnsi="Times New Roman" w:cs="Times New Roman"/>
        </w:rPr>
        <w:t>6 tis. eur</w:t>
      </w:r>
      <w:r w:rsidRPr="00DC2BA1">
        <w:rPr>
          <w:rFonts w:ascii="Times New Roman" w:hAnsi="Times New Roman" w:cs="Times New Roman"/>
        </w:rPr>
        <w:t xml:space="preserve"> na zaistenie informačnej bezpečnosti a udržateľnosti projektu Elektronické služby GP SR a 470 </w:t>
      </w:r>
      <w:r>
        <w:rPr>
          <w:rFonts w:ascii="Times New Roman" w:hAnsi="Times New Roman" w:cs="Times New Roman"/>
        </w:rPr>
        <w:t>tis. eur</w:t>
      </w:r>
      <w:r w:rsidRPr="00DC2BA1">
        <w:rPr>
          <w:rFonts w:ascii="Times New Roman" w:hAnsi="Times New Roman" w:cs="Times New Roman"/>
        </w:rPr>
        <w:t xml:space="preserve"> na zabezpečenie úrovne HIGH na servisnú podporu tohto projektu.</w:t>
      </w:r>
      <w:r>
        <w:rPr>
          <w:rFonts w:ascii="Times New Roman" w:hAnsi="Times New Roman" w:cs="Times New Roman"/>
        </w:rPr>
        <w:t xml:space="preserve"> </w:t>
      </w:r>
      <w:r w:rsidRPr="00DC2BA1">
        <w:rPr>
          <w:rFonts w:ascii="Times New Roman" w:hAnsi="Times New Roman" w:cs="Times New Roman"/>
        </w:rPr>
        <w:t>Na zabezpečenie servisnej podpory informačného systému GP SR</w:t>
      </w:r>
      <w:r>
        <w:rPr>
          <w:rFonts w:ascii="Times New Roman" w:hAnsi="Times New Roman" w:cs="Times New Roman"/>
        </w:rPr>
        <w:t xml:space="preserve"> (</w:t>
      </w:r>
      <w:r w:rsidRPr="00DC2BA1">
        <w:rPr>
          <w:rFonts w:ascii="Times New Roman" w:hAnsi="Times New Roman" w:cs="Times New Roman"/>
        </w:rPr>
        <w:t xml:space="preserve">zákon </w:t>
      </w:r>
      <w:r w:rsidR="00941A11">
        <w:rPr>
          <w:rFonts w:ascii="Times New Roman" w:hAnsi="Times New Roman" w:cs="Times New Roman"/>
        </w:rPr>
        <w:br/>
      </w:r>
      <w:r w:rsidRPr="00DC2BA1">
        <w:rPr>
          <w:rFonts w:ascii="Times New Roman" w:hAnsi="Times New Roman" w:cs="Times New Roman"/>
        </w:rPr>
        <w:t>č. 91/2016 Z.</w:t>
      </w:r>
      <w:r w:rsidR="00941A11">
        <w:rPr>
          <w:rFonts w:ascii="Times New Roman" w:hAnsi="Times New Roman" w:cs="Times New Roman"/>
        </w:rPr>
        <w:t xml:space="preserve"> </w:t>
      </w:r>
      <w:r w:rsidRPr="00DC2BA1">
        <w:rPr>
          <w:rFonts w:ascii="Times New Roman" w:hAnsi="Times New Roman" w:cs="Times New Roman"/>
        </w:rPr>
        <w:t>z. o trestnej zodpovednosti právnických osôb</w:t>
      </w:r>
      <w:r>
        <w:rPr>
          <w:rFonts w:ascii="Times New Roman" w:hAnsi="Times New Roman" w:cs="Times New Roman"/>
        </w:rPr>
        <w:t xml:space="preserve">) sa rozpočtuje </w:t>
      </w:r>
      <w:r w:rsidRPr="00DC2BA1">
        <w:rPr>
          <w:rFonts w:ascii="Times New Roman" w:hAnsi="Times New Roman" w:cs="Times New Roman"/>
        </w:rPr>
        <w:t>219</w:t>
      </w:r>
      <w:r>
        <w:rPr>
          <w:rFonts w:ascii="Times New Roman" w:hAnsi="Times New Roman" w:cs="Times New Roman"/>
        </w:rPr>
        <w:t xml:space="preserve"> tis. eur</w:t>
      </w:r>
      <w:r w:rsidRPr="00DC2BA1">
        <w:rPr>
          <w:rFonts w:ascii="Times New Roman" w:hAnsi="Times New Roman" w:cs="Times New Roman"/>
        </w:rPr>
        <w:t xml:space="preserve">, na zabezpečenie podpory pre informačný systém registra </w:t>
      </w:r>
      <w:r w:rsidRPr="009834CF">
        <w:rPr>
          <w:rFonts w:ascii="Times New Roman" w:hAnsi="Times New Roman" w:cs="Times New Roman"/>
        </w:rPr>
        <w:t xml:space="preserve">trestov ECRIS 62,9 tis. eur a na </w:t>
      </w:r>
      <w:r w:rsidRPr="009834CF">
        <w:rPr>
          <w:rFonts w:ascii="Times New Roman" w:hAnsi="Times New Roman" w:cs="Times New Roman"/>
        </w:rPr>
        <w:lastRenderedPageBreak/>
        <w:t xml:space="preserve">zabezpečenie servisnej podpory </w:t>
      </w:r>
      <w:proofErr w:type="spellStart"/>
      <w:r w:rsidRPr="009834CF">
        <w:rPr>
          <w:rFonts w:ascii="Times New Roman" w:hAnsi="Times New Roman" w:cs="Times New Roman"/>
        </w:rPr>
        <w:t>Lotus</w:t>
      </w:r>
      <w:proofErr w:type="spellEnd"/>
      <w:r w:rsidRPr="009834CF">
        <w:rPr>
          <w:rFonts w:ascii="Times New Roman" w:hAnsi="Times New Roman" w:cs="Times New Roman"/>
        </w:rPr>
        <w:t xml:space="preserve"> Notes 144 tis. eur. Ďalej  sa rozpočtuje 820 tis. eur na </w:t>
      </w:r>
      <w:r>
        <w:rPr>
          <w:rFonts w:ascii="Times New Roman" w:hAnsi="Times New Roman" w:cs="Times New Roman"/>
        </w:rPr>
        <w:t xml:space="preserve">realizáciu zmenových požiadaviek a </w:t>
      </w:r>
      <w:r w:rsidRPr="009834CF">
        <w:rPr>
          <w:rFonts w:ascii="Times New Roman" w:hAnsi="Times New Roman" w:cs="Times New Roman"/>
        </w:rPr>
        <w:t>rozvoj informačného systému Patricia.</w:t>
      </w:r>
      <w:r w:rsidRPr="00DC2BA1">
        <w:rPr>
          <w:rFonts w:ascii="Times New Roman" w:hAnsi="Times New Roman" w:cs="Times New Roman"/>
        </w:rPr>
        <w:t xml:space="preserve"> </w:t>
      </w:r>
    </w:p>
    <w:p w:rsidR="007D13F3" w:rsidRPr="002B6F7B" w:rsidRDefault="007D13F3" w:rsidP="007D13F3">
      <w:pPr>
        <w:ind w:firstLine="709"/>
        <w:jc w:val="both"/>
        <w:rPr>
          <w:rFonts w:ascii="Times New Roman" w:hAnsi="Times New Roman" w:cs="Times New Roman"/>
          <w:highlight w:val="yellow"/>
        </w:rPr>
      </w:pPr>
    </w:p>
    <w:p w:rsidR="007D13F3" w:rsidRDefault="007D13F3" w:rsidP="007D13F3">
      <w:pPr>
        <w:ind w:firstLine="708"/>
        <w:jc w:val="both"/>
        <w:rPr>
          <w:rFonts w:ascii="Times New Roman" w:hAnsi="Times New Roman" w:cs="Times New Roman"/>
          <w:noProof/>
          <w:lang w:eastAsia="sk-SK"/>
        </w:rPr>
      </w:pPr>
      <w:r>
        <w:rPr>
          <w:rFonts w:ascii="Times New Roman" w:hAnsi="Times New Roman" w:cs="Times New Roman"/>
        </w:rPr>
        <w:t>B</w:t>
      </w:r>
      <w:r w:rsidRPr="00774F97">
        <w:rPr>
          <w:rFonts w:ascii="Times New Roman" w:hAnsi="Times New Roman" w:cs="Times New Roman"/>
        </w:rPr>
        <w:t xml:space="preserve">ežné transfery sa </w:t>
      </w:r>
      <w:r>
        <w:rPr>
          <w:rFonts w:ascii="Times New Roman" w:hAnsi="Times New Roman" w:cs="Times New Roman"/>
        </w:rPr>
        <w:t xml:space="preserve">na </w:t>
      </w:r>
      <w:r w:rsidRPr="00774F97">
        <w:rPr>
          <w:rFonts w:ascii="Times New Roman" w:hAnsi="Times New Roman" w:cs="Times New Roman"/>
        </w:rPr>
        <w:t xml:space="preserve">rok 2018 rozpočtujú v sume 4,61 mil. eur, čo predstavuje oproti schválenému rozpočtu roku 2017 zvýšenie o 398 tis. eur, t. j. o 9,47 %. </w:t>
      </w:r>
      <w:r>
        <w:rPr>
          <w:rFonts w:ascii="Times New Roman" w:hAnsi="Times New Roman" w:cs="Times New Roman"/>
        </w:rPr>
        <w:t>Nárast predstavuje hlavne odchodné pre 46 prokurátorov a nemocenské.</w:t>
      </w:r>
      <w:r w:rsidRPr="00774F97">
        <w:rPr>
          <w:rFonts w:ascii="Times New Roman" w:hAnsi="Times New Roman" w:cs="Times New Roman"/>
          <w:noProof/>
          <w:lang w:eastAsia="sk-SK"/>
        </w:rPr>
        <w:t xml:space="preserve"> </w:t>
      </w:r>
      <w:r w:rsidRPr="00E9196D">
        <w:rPr>
          <w:rFonts w:ascii="Times New Roman" w:hAnsi="Times New Roman" w:cs="Times New Roman"/>
          <w:noProof/>
          <w:lang w:eastAsia="sk-SK"/>
        </w:rPr>
        <w:t xml:space="preserve">Ide o finančné prostriedky potrebné na pokrytie zákonných nárokov prokurátorov a ostatných zamestnancov v sociálnej oblasti. </w:t>
      </w:r>
    </w:p>
    <w:p w:rsidR="007D13F3" w:rsidRPr="00E9196D" w:rsidRDefault="007D13F3" w:rsidP="007D13F3">
      <w:pPr>
        <w:ind w:firstLine="708"/>
        <w:jc w:val="both"/>
        <w:rPr>
          <w:rFonts w:ascii="Times New Roman" w:hAnsi="Times New Roman" w:cs="Times New Roman"/>
          <w:noProof/>
          <w:lang w:eastAsia="sk-SK"/>
        </w:rPr>
      </w:pPr>
    </w:p>
    <w:p w:rsidR="007D13F3" w:rsidRDefault="007D13F3" w:rsidP="007D13F3">
      <w:pPr>
        <w:ind w:firstLine="709"/>
        <w:jc w:val="both"/>
        <w:rPr>
          <w:rFonts w:ascii="Times New Roman" w:hAnsi="Times New Roman" w:cs="Times New Roman"/>
          <w:noProof/>
          <w:lang w:eastAsia="sk-SK"/>
        </w:rPr>
      </w:pPr>
      <w:r w:rsidRPr="009860B3">
        <w:rPr>
          <w:rFonts w:ascii="Times New Roman" w:hAnsi="Times New Roman" w:cs="Times New Roman"/>
          <w:noProof/>
          <w:lang w:eastAsia="sk-SK"/>
        </w:rPr>
        <w:t>Kapitálové výdavky s</w:t>
      </w:r>
      <w:r>
        <w:rPr>
          <w:rFonts w:ascii="Times New Roman" w:hAnsi="Times New Roman" w:cs="Times New Roman"/>
          <w:noProof/>
          <w:lang w:eastAsia="sk-SK"/>
        </w:rPr>
        <w:t>a</w:t>
      </w:r>
      <w:r w:rsidRPr="009860B3">
        <w:rPr>
          <w:rFonts w:ascii="Times New Roman" w:hAnsi="Times New Roman" w:cs="Times New Roman"/>
          <w:noProof/>
          <w:lang w:eastAsia="sk-SK"/>
        </w:rPr>
        <w:t xml:space="preserve"> na rok 2018 rozpočt</w:t>
      </w:r>
      <w:r>
        <w:rPr>
          <w:rFonts w:ascii="Times New Roman" w:hAnsi="Times New Roman" w:cs="Times New Roman"/>
          <w:noProof/>
          <w:lang w:eastAsia="sk-SK"/>
        </w:rPr>
        <w:t>ujú</w:t>
      </w:r>
      <w:r w:rsidRPr="009860B3">
        <w:rPr>
          <w:rFonts w:ascii="Times New Roman" w:hAnsi="Times New Roman" w:cs="Times New Roman"/>
          <w:noProof/>
          <w:lang w:eastAsia="sk-SK"/>
        </w:rPr>
        <w:t xml:space="preserve"> v sume </w:t>
      </w:r>
      <w:r>
        <w:rPr>
          <w:rFonts w:ascii="Times New Roman" w:hAnsi="Times New Roman" w:cs="Times New Roman"/>
          <w:noProof/>
          <w:lang w:eastAsia="sk-SK"/>
        </w:rPr>
        <w:t>2</w:t>
      </w:r>
      <w:r w:rsidRPr="009860B3">
        <w:rPr>
          <w:rFonts w:ascii="Times New Roman" w:hAnsi="Times New Roman" w:cs="Times New Roman"/>
          <w:noProof/>
          <w:lang w:eastAsia="sk-SK"/>
        </w:rPr>
        <w:t>,</w:t>
      </w:r>
      <w:r>
        <w:rPr>
          <w:rFonts w:ascii="Times New Roman" w:hAnsi="Times New Roman" w:cs="Times New Roman"/>
          <w:noProof/>
          <w:lang w:eastAsia="sk-SK"/>
        </w:rPr>
        <w:t>53</w:t>
      </w:r>
      <w:r w:rsidRPr="009860B3">
        <w:rPr>
          <w:rFonts w:ascii="Times New Roman" w:hAnsi="Times New Roman" w:cs="Times New Roman"/>
          <w:noProof/>
          <w:lang w:eastAsia="sk-SK"/>
        </w:rPr>
        <w:t xml:space="preserve"> mil. eur. </w:t>
      </w:r>
      <w:r>
        <w:rPr>
          <w:rFonts w:ascii="Times New Roman" w:hAnsi="Times New Roman" w:cs="Times New Roman"/>
          <w:noProof/>
          <w:lang w:eastAsia="sk-SK"/>
        </w:rPr>
        <w:t xml:space="preserve">Ich medziročný pokles je spôsobený jednorazovým rozpočtovaním dobudovania IS GP SR v roku 2017. </w:t>
      </w:r>
      <w:r w:rsidR="00941A11">
        <w:rPr>
          <w:rFonts w:ascii="Times New Roman" w:hAnsi="Times New Roman" w:cs="Times New Roman"/>
          <w:noProof/>
          <w:lang w:eastAsia="sk-SK"/>
        </w:rPr>
        <w:br/>
      </w:r>
      <w:r w:rsidRPr="009860B3">
        <w:rPr>
          <w:rFonts w:ascii="Times New Roman" w:hAnsi="Times New Roman" w:cs="Times New Roman"/>
          <w:noProof/>
          <w:lang w:eastAsia="sk-SK"/>
        </w:rPr>
        <w:t xml:space="preserve">Z kapitálových výdavkov sa zabezpečuje hlavne </w:t>
      </w:r>
      <w:r w:rsidRPr="001D0AF2">
        <w:rPr>
          <w:rFonts w:ascii="Times New Roman" w:hAnsi="Times New Roman" w:cs="Times New Roman"/>
          <w:noProof/>
          <w:lang w:eastAsia="sk-SK"/>
        </w:rPr>
        <w:t>vybudovanie klimatizácie na zadnej strane budovy Krajskej prokuratúry Bratislava, rekonštrukcia budovy Okresnej prokuratúry Levice, nadstavba budovy a zateplenie fasády Okresnej prokuratúry Galanta, stavebné úpravy budovy Krajskej prokuratúry Prešov, nákup výpočtovej techniky, kancelárskych strojov a zariadení.</w:t>
      </w:r>
      <w:r>
        <w:rPr>
          <w:rFonts w:ascii="Times New Roman" w:hAnsi="Times New Roman" w:cs="Times New Roman"/>
          <w:noProof/>
          <w:lang w:eastAsia="sk-SK"/>
        </w:rPr>
        <w:t xml:space="preserve"> </w:t>
      </w:r>
      <w:r w:rsidRPr="009834CF">
        <w:rPr>
          <w:rFonts w:ascii="Times New Roman" w:hAnsi="Times New Roman" w:cs="Times New Roman"/>
          <w:noProof/>
          <w:lang w:eastAsia="sk-SK"/>
        </w:rPr>
        <w:t xml:space="preserve">Výdavky na pripojenie informačného systému Patricia </w:t>
      </w:r>
      <w:r>
        <w:rPr>
          <w:rFonts w:ascii="Times New Roman" w:hAnsi="Times New Roman" w:cs="Times New Roman"/>
          <w:noProof/>
          <w:lang w:eastAsia="sk-SK"/>
        </w:rPr>
        <w:t xml:space="preserve">na informačný systém polície sa </w:t>
      </w:r>
      <w:r w:rsidRPr="009834CF">
        <w:rPr>
          <w:rFonts w:ascii="Times New Roman" w:hAnsi="Times New Roman" w:cs="Times New Roman"/>
          <w:noProof/>
          <w:lang w:eastAsia="sk-SK"/>
        </w:rPr>
        <w:t xml:space="preserve">rozpočtujú v sume 561 tis. eur. </w:t>
      </w:r>
    </w:p>
    <w:p w:rsidR="007D13F3" w:rsidRDefault="007D13F3" w:rsidP="007D13F3"/>
    <w:p w:rsidR="007D13F3" w:rsidRPr="004C4D9A" w:rsidRDefault="007D13F3" w:rsidP="007D13F3">
      <w:pPr>
        <w:pStyle w:val="Nadpis5"/>
        <w:pBdr>
          <w:bottom w:val="single" w:sz="4" w:space="1" w:color="auto"/>
        </w:pBdr>
        <w:spacing w:before="0" w:after="0"/>
        <w:ind w:left="0"/>
        <w:rPr>
          <w:i w:val="0"/>
          <w:sz w:val="24"/>
        </w:rPr>
      </w:pPr>
      <w:bookmarkStart w:id="168" w:name="_Toc400551772"/>
      <w:bookmarkStart w:id="169" w:name="_Toc494470111"/>
      <w:bookmarkStart w:id="170" w:name="_Toc494472287"/>
      <w:r w:rsidRPr="0063505C">
        <w:rPr>
          <w:i w:val="0"/>
          <w:sz w:val="24"/>
        </w:rPr>
        <w:t>Najvyšší kontrolný úrad SR</w:t>
      </w:r>
      <w:bookmarkEnd w:id="168"/>
      <w:bookmarkEnd w:id="169"/>
      <w:bookmarkEnd w:id="170"/>
      <w:r w:rsidRPr="0063505C">
        <w:rPr>
          <w:i w:val="0"/>
          <w:sz w:val="24"/>
        </w:rPr>
        <w:t xml:space="preserve"> </w:t>
      </w:r>
    </w:p>
    <w:p w:rsidR="007D13F3" w:rsidRDefault="007D13F3" w:rsidP="007D13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3"/>
        <w:gridCol w:w="860"/>
        <w:gridCol w:w="860"/>
        <w:gridCol w:w="861"/>
        <w:gridCol w:w="861"/>
        <w:gridCol w:w="861"/>
        <w:gridCol w:w="863"/>
        <w:gridCol w:w="863"/>
      </w:tblGrid>
      <w:tr w:rsidR="007D13F3" w:rsidRPr="00335900" w:rsidTr="00C956E7">
        <w:trPr>
          <w:trHeight w:val="259"/>
        </w:trPr>
        <w:tc>
          <w:tcPr>
            <w:tcW w:w="1673" w:type="pct"/>
            <w:shd w:val="clear" w:color="auto" w:fill="A6A6A6"/>
            <w:noWrap/>
            <w:vAlign w:val="center"/>
            <w:hideMark/>
          </w:tcPr>
          <w:p w:rsidR="007D13F3" w:rsidRPr="00335900" w:rsidRDefault="007D13F3" w:rsidP="00465CAC">
            <w:pPr>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 v eurách</w:t>
            </w:r>
          </w:p>
        </w:tc>
        <w:tc>
          <w:tcPr>
            <w:tcW w:w="475" w:type="pct"/>
            <w:shd w:val="clear" w:color="000000" w:fill="A6A6A6"/>
            <w:noWrap/>
            <w:vAlign w:val="center"/>
            <w:hideMark/>
          </w:tcPr>
          <w:p w:rsidR="007D13F3" w:rsidRPr="00593A55" w:rsidRDefault="007D13F3" w:rsidP="00465CAC">
            <w:pPr>
              <w:jc w:val="center"/>
              <w:rPr>
                <w:rFonts w:ascii="Times New Roman" w:hAnsi="Times New Roman" w:cs="Times New Roman"/>
                <w:b/>
                <w:bCs/>
                <w:color w:val="000000"/>
                <w:sz w:val="14"/>
                <w:szCs w:val="14"/>
                <w:lang w:eastAsia="sk-SK"/>
              </w:rPr>
            </w:pPr>
            <w:r w:rsidRPr="00593A55">
              <w:rPr>
                <w:rFonts w:ascii="Times New Roman" w:hAnsi="Times New Roman" w:cs="Times New Roman"/>
                <w:b/>
                <w:bCs/>
                <w:color w:val="000000"/>
                <w:sz w:val="14"/>
                <w:szCs w:val="14"/>
              </w:rPr>
              <w:t>2015 S</w:t>
            </w:r>
          </w:p>
        </w:tc>
        <w:tc>
          <w:tcPr>
            <w:tcW w:w="475" w:type="pct"/>
            <w:shd w:val="clear" w:color="000000" w:fill="A6A6A6"/>
            <w:noWrap/>
            <w:vAlign w:val="center"/>
            <w:hideMark/>
          </w:tcPr>
          <w:p w:rsidR="007D13F3" w:rsidRPr="00593A55" w:rsidRDefault="007D13F3" w:rsidP="00465CAC">
            <w:pPr>
              <w:jc w:val="center"/>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2016 S</w:t>
            </w:r>
          </w:p>
        </w:tc>
        <w:tc>
          <w:tcPr>
            <w:tcW w:w="475" w:type="pct"/>
            <w:shd w:val="clear" w:color="000000" w:fill="A6A6A6"/>
            <w:noWrap/>
            <w:vAlign w:val="center"/>
            <w:hideMark/>
          </w:tcPr>
          <w:p w:rsidR="007D13F3" w:rsidRPr="00593A55" w:rsidRDefault="007D13F3" w:rsidP="00465CAC">
            <w:pPr>
              <w:jc w:val="center"/>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2017 R</w:t>
            </w:r>
          </w:p>
        </w:tc>
        <w:tc>
          <w:tcPr>
            <w:tcW w:w="475" w:type="pct"/>
            <w:shd w:val="clear" w:color="000000" w:fill="A6A6A6"/>
            <w:noWrap/>
            <w:vAlign w:val="center"/>
            <w:hideMark/>
          </w:tcPr>
          <w:p w:rsidR="007D13F3" w:rsidRPr="00593A55" w:rsidRDefault="007D13F3" w:rsidP="00465CAC">
            <w:pPr>
              <w:jc w:val="center"/>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 xml:space="preserve">2017 </w:t>
            </w:r>
            <w:r>
              <w:rPr>
                <w:rFonts w:ascii="Times New Roman" w:hAnsi="Times New Roman" w:cs="Times New Roman"/>
                <w:b/>
                <w:bCs/>
                <w:color w:val="000000"/>
                <w:sz w:val="14"/>
                <w:szCs w:val="14"/>
              </w:rPr>
              <w:t>OS</w:t>
            </w:r>
          </w:p>
        </w:tc>
        <w:tc>
          <w:tcPr>
            <w:tcW w:w="475" w:type="pct"/>
            <w:shd w:val="clear" w:color="000000" w:fill="A6A6A6"/>
            <w:noWrap/>
            <w:vAlign w:val="center"/>
            <w:hideMark/>
          </w:tcPr>
          <w:p w:rsidR="007D13F3" w:rsidRPr="00593A55" w:rsidRDefault="007D13F3" w:rsidP="00465CAC">
            <w:pPr>
              <w:jc w:val="center"/>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2018 N</w:t>
            </w:r>
          </w:p>
        </w:tc>
        <w:tc>
          <w:tcPr>
            <w:tcW w:w="476" w:type="pct"/>
            <w:shd w:val="clear" w:color="000000" w:fill="A6A6A6"/>
            <w:noWrap/>
            <w:vAlign w:val="center"/>
            <w:hideMark/>
          </w:tcPr>
          <w:p w:rsidR="007D13F3" w:rsidRPr="00593A55" w:rsidRDefault="007D13F3" w:rsidP="00465CAC">
            <w:pPr>
              <w:jc w:val="center"/>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2019 N</w:t>
            </w:r>
          </w:p>
        </w:tc>
        <w:tc>
          <w:tcPr>
            <w:tcW w:w="476" w:type="pct"/>
            <w:shd w:val="clear" w:color="000000" w:fill="A6A6A6"/>
            <w:noWrap/>
            <w:vAlign w:val="center"/>
            <w:hideMark/>
          </w:tcPr>
          <w:p w:rsidR="007D13F3" w:rsidRPr="00593A55" w:rsidRDefault="007D13F3" w:rsidP="00465CAC">
            <w:pPr>
              <w:jc w:val="center"/>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2020 N</w:t>
            </w:r>
          </w:p>
        </w:tc>
      </w:tr>
      <w:tr w:rsidR="007D13F3" w:rsidRPr="00335900" w:rsidTr="00C956E7">
        <w:trPr>
          <w:trHeight w:val="259"/>
        </w:trPr>
        <w:tc>
          <w:tcPr>
            <w:tcW w:w="1673" w:type="pct"/>
            <w:shd w:val="clear" w:color="000000" w:fill="C0C0C0"/>
            <w:noWrap/>
            <w:vAlign w:val="center"/>
            <w:hideMark/>
          </w:tcPr>
          <w:p w:rsidR="007D13F3" w:rsidRPr="00335900" w:rsidRDefault="007D13F3" w:rsidP="00465CAC">
            <w:pPr>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Zdroje príslušnej kapitoly</w:t>
            </w:r>
          </w:p>
        </w:tc>
        <w:tc>
          <w:tcPr>
            <w:tcW w:w="475" w:type="pct"/>
            <w:shd w:val="clear" w:color="000000" w:fill="BFBFBF"/>
            <w:noWrap/>
            <w:vAlign w:val="bottom"/>
            <w:hideMark/>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10 199 581</w:t>
            </w:r>
          </w:p>
        </w:tc>
        <w:tc>
          <w:tcPr>
            <w:tcW w:w="475" w:type="pct"/>
            <w:shd w:val="clear" w:color="000000" w:fill="BFBFBF"/>
            <w:noWrap/>
            <w:vAlign w:val="bottom"/>
            <w:hideMark/>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9 348 829</w:t>
            </w:r>
          </w:p>
        </w:tc>
        <w:tc>
          <w:tcPr>
            <w:tcW w:w="475" w:type="pct"/>
            <w:shd w:val="clear" w:color="000000" w:fill="BFBFBF"/>
            <w:noWrap/>
            <w:vAlign w:val="bottom"/>
            <w:hideMark/>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9 991 133</w:t>
            </w:r>
          </w:p>
        </w:tc>
        <w:tc>
          <w:tcPr>
            <w:tcW w:w="475" w:type="pct"/>
            <w:shd w:val="clear" w:color="000000" w:fill="BFBFBF"/>
            <w:noWrap/>
            <w:vAlign w:val="bottom"/>
          </w:tcPr>
          <w:p w:rsidR="007D13F3" w:rsidRPr="001D5DD8" w:rsidRDefault="007D13F3" w:rsidP="00465CAC">
            <w:pPr>
              <w:jc w:val="right"/>
              <w:rPr>
                <w:rFonts w:ascii="Times New Roman" w:hAnsi="Times New Roman" w:cs="Times New Roman"/>
                <w:b/>
                <w:bCs/>
                <w:color w:val="000000"/>
                <w:sz w:val="14"/>
                <w:szCs w:val="14"/>
                <w:lang w:eastAsia="sk-SK"/>
              </w:rPr>
            </w:pPr>
            <w:r w:rsidRPr="001D5DD8">
              <w:rPr>
                <w:rFonts w:ascii="Times New Roman" w:hAnsi="Times New Roman" w:cs="Times New Roman"/>
                <w:b/>
                <w:bCs/>
                <w:color w:val="000000"/>
                <w:sz w:val="14"/>
                <w:szCs w:val="14"/>
              </w:rPr>
              <w:t>10 120 843</w:t>
            </w:r>
          </w:p>
        </w:tc>
        <w:tc>
          <w:tcPr>
            <w:tcW w:w="475" w:type="pct"/>
            <w:shd w:val="clear" w:color="000000" w:fill="BFBFBF"/>
            <w:noWrap/>
            <w:vAlign w:val="bottom"/>
            <w:hideMark/>
          </w:tcPr>
          <w:p w:rsidR="007D13F3" w:rsidRPr="001D5DD8" w:rsidRDefault="007D13F3" w:rsidP="00465CAC">
            <w:pPr>
              <w:jc w:val="right"/>
              <w:rPr>
                <w:rFonts w:ascii="Times New Roman" w:hAnsi="Times New Roman" w:cs="Times New Roman"/>
                <w:b/>
                <w:bCs/>
                <w:color w:val="000000"/>
                <w:sz w:val="14"/>
                <w:szCs w:val="14"/>
              </w:rPr>
            </w:pPr>
            <w:r w:rsidRPr="001D5DD8">
              <w:rPr>
                <w:rFonts w:ascii="Times New Roman" w:hAnsi="Times New Roman" w:cs="Times New Roman"/>
                <w:b/>
                <w:bCs/>
                <w:color w:val="000000"/>
                <w:sz w:val="14"/>
                <w:szCs w:val="14"/>
              </w:rPr>
              <w:t>10 735 533</w:t>
            </w:r>
          </w:p>
        </w:tc>
        <w:tc>
          <w:tcPr>
            <w:tcW w:w="476" w:type="pct"/>
            <w:shd w:val="clear" w:color="000000" w:fill="BFBFBF"/>
            <w:noWrap/>
            <w:vAlign w:val="bottom"/>
            <w:hideMark/>
          </w:tcPr>
          <w:p w:rsidR="007D13F3" w:rsidRPr="001D5DD8" w:rsidRDefault="007D13F3" w:rsidP="00465CAC">
            <w:pPr>
              <w:jc w:val="right"/>
              <w:rPr>
                <w:rFonts w:ascii="Times New Roman" w:hAnsi="Times New Roman" w:cs="Times New Roman"/>
                <w:b/>
                <w:bCs/>
                <w:color w:val="000000"/>
                <w:sz w:val="14"/>
                <w:szCs w:val="14"/>
              </w:rPr>
            </w:pPr>
            <w:r w:rsidRPr="001D5DD8">
              <w:rPr>
                <w:rFonts w:ascii="Times New Roman" w:hAnsi="Times New Roman" w:cs="Times New Roman"/>
                <w:b/>
                <w:bCs/>
                <w:color w:val="000000"/>
                <w:sz w:val="14"/>
                <w:szCs w:val="14"/>
              </w:rPr>
              <w:t>10 538 933</w:t>
            </w:r>
          </w:p>
        </w:tc>
        <w:tc>
          <w:tcPr>
            <w:tcW w:w="476" w:type="pct"/>
            <w:shd w:val="clear" w:color="000000" w:fill="BFBFBF"/>
            <w:noWrap/>
            <w:vAlign w:val="bottom"/>
            <w:hideMark/>
          </w:tcPr>
          <w:p w:rsidR="007D13F3" w:rsidRPr="001D5DD8" w:rsidRDefault="007D13F3" w:rsidP="00465CAC">
            <w:pPr>
              <w:jc w:val="right"/>
              <w:rPr>
                <w:rFonts w:ascii="Times New Roman" w:hAnsi="Times New Roman" w:cs="Times New Roman"/>
                <w:b/>
                <w:bCs/>
                <w:color w:val="000000"/>
                <w:sz w:val="14"/>
                <w:szCs w:val="14"/>
              </w:rPr>
            </w:pPr>
            <w:r w:rsidRPr="001D5DD8">
              <w:rPr>
                <w:rFonts w:ascii="Times New Roman" w:hAnsi="Times New Roman" w:cs="Times New Roman"/>
                <w:b/>
                <w:bCs/>
                <w:color w:val="000000"/>
                <w:sz w:val="14"/>
                <w:szCs w:val="14"/>
              </w:rPr>
              <w:t>10 538 933</w:t>
            </w:r>
          </w:p>
        </w:tc>
      </w:tr>
      <w:tr w:rsidR="007D13F3" w:rsidRPr="00335900" w:rsidTr="00C956E7">
        <w:trPr>
          <w:trHeight w:val="259"/>
        </w:trPr>
        <w:tc>
          <w:tcPr>
            <w:tcW w:w="1673" w:type="pct"/>
            <w:noWrap/>
            <w:vAlign w:val="center"/>
            <w:hideMark/>
          </w:tcPr>
          <w:p w:rsidR="007D13F3" w:rsidRPr="00335900" w:rsidRDefault="007D13F3" w:rsidP="00465CAC">
            <w:pPr>
              <w:rPr>
                <w:rFonts w:ascii="Times New Roman" w:hAnsi="Times New Roman" w:cs="Times New Roman"/>
                <w:b/>
                <w:color w:val="000000"/>
                <w:sz w:val="14"/>
                <w:szCs w:val="14"/>
              </w:rPr>
            </w:pPr>
            <w:r w:rsidRPr="00335900">
              <w:rPr>
                <w:rFonts w:ascii="Times New Roman" w:hAnsi="Times New Roman" w:cs="Times New Roman"/>
                <w:b/>
                <w:color w:val="000000"/>
                <w:sz w:val="14"/>
                <w:szCs w:val="14"/>
              </w:rPr>
              <w:t xml:space="preserve">rozpočtové zdroje kapitoly </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8 274 522</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9 205 844</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9 991 133</w:t>
            </w:r>
          </w:p>
        </w:tc>
        <w:tc>
          <w:tcPr>
            <w:tcW w:w="475" w:type="pct"/>
            <w:shd w:val="clear" w:color="auto" w:fill="auto"/>
            <w:noWrap/>
            <w:vAlign w:val="bottom"/>
          </w:tcPr>
          <w:p w:rsidR="007D13F3" w:rsidRPr="001D5DD8" w:rsidRDefault="007D13F3" w:rsidP="00465CAC">
            <w:pPr>
              <w:jc w:val="right"/>
              <w:rPr>
                <w:rFonts w:ascii="Times New Roman" w:hAnsi="Times New Roman" w:cs="Times New Roman"/>
                <w:b/>
                <w:bCs/>
                <w:color w:val="000000"/>
                <w:sz w:val="14"/>
                <w:szCs w:val="14"/>
              </w:rPr>
            </w:pPr>
            <w:r w:rsidRPr="001D5DD8">
              <w:rPr>
                <w:rFonts w:ascii="Times New Roman" w:hAnsi="Times New Roman" w:cs="Times New Roman"/>
                <w:b/>
                <w:bCs/>
                <w:color w:val="000000"/>
                <w:sz w:val="14"/>
                <w:szCs w:val="14"/>
              </w:rPr>
              <w:t>10 120 843</w:t>
            </w:r>
          </w:p>
        </w:tc>
        <w:tc>
          <w:tcPr>
            <w:tcW w:w="475" w:type="pct"/>
            <w:shd w:val="clear" w:color="auto" w:fill="auto"/>
            <w:noWrap/>
            <w:vAlign w:val="bottom"/>
            <w:hideMark/>
          </w:tcPr>
          <w:p w:rsidR="007D13F3" w:rsidRPr="001D5DD8" w:rsidRDefault="007D13F3" w:rsidP="00465CAC">
            <w:pPr>
              <w:jc w:val="right"/>
              <w:rPr>
                <w:rFonts w:ascii="Times New Roman" w:hAnsi="Times New Roman" w:cs="Times New Roman"/>
                <w:b/>
                <w:bCs/>
                <w:color w:val="000000"/>
                <w:sz w:val="14"/>
                <w:szCs w:val="14"/>
              </w:rPr>
            </w:pPr>
            <w:r w:rsidRPr="001D5DD8">
              <w:rPr>
                <w:rFonts w:ascii="Times New Roman" w:hAnsi="Times New Roman" w:cs="Times New Roman"/>
                <w:b/>
                <w:bCs/>
                <w:color w:val="000000"/>
                <w:sz w:val="14"/>
                <w:szCs w:val="14"/>
              </w:rPr>
              <w:t>10 735 533</w:t>
            </w:r>
          </w:p>
        </w:tc>
        <w:tc>
          <w:tcPr>
            <w:tcW w:w="476" w:type="pct"/>
            <w:shd w:val="clear" w:color="auto" w:fill="auto"/>
            <w:noWrap/>
            <w:vAlign w:val="bottom"/>
            <w:hideMark/>
          </w:tcPr>
          <w:p w:rsidR="007D13F3" w:rsidRPr="001D5DD8" w:rsidRDefault="007D13F3" w:rsidP="00465CAC">
            <w:pPr>
              <w:jc w:val="right"/>
              <w:rPr>
                <w:rFonts w:ascii="Times New Roman" w:hAnsi="Times New Roman" w:cs="Times New Roman"/>
                <w:b/>
                <w:bCs/>
                <w:color w:val="000000"/>
                <w:sz w:val="14"/>
                <w:szCs w:val="14"/>
              </w:rPr>
            </w:pPr>
            <w:r w:rsidRPr="001D5DD8">
              <w:rPr>
                <w:rFonts w:ascii="Times New Roman" w:hAnsi="Times New Roman" w:cs="Times New Roman"/>
                <w:b/>
                <w:bCs/>
                <w:color w:val="000000"/>
                <w:sz w:val="14"/>
                <w:szCs w:val="14"/>
              </w:rPr>
              <w:t>10 538 933</w:t>
            </w:r>
          </w:p>
        </w:tc>
        <w:tc>
          <w:tcPr>
            <w:tcW w:w="476" w:type="pct"/>
            <w:shd w:val="clear" w:color="auto" w:fill="auto"/>
            <w:noWrap/>
            <w:vAlign w:val="bottom"/>
            <w:hideMark/>
          </w:tcPr>
          <w:p w:rsidR="007D13F3" w:rsidRPr="001D5DD8" w:rsidRDefault="007D13F3" w:rsidP="00465CAC">
            <w:pPr>
              <w:jc w:val="right"/>
              <w:rPr>
                <w:rFonts w:ascii="Times New Roman" w:hAnsi="Times New Roman" w:cs="Times New Roman"/>
                <w:b/>
                <w:bCs/>
                <w:color w:val="000000"/>
                <w:sz w:val="14"/>
                <w:szCs w:val="14"/>
              </w:rPr>
            </w:pPr>
            <w:r w:rsidRPr="001D5DD8">
              <w:rPr>
                <w:rFonts w:ascii="Times New Roman" w:hAnsi="Times New Roman" w:cs="Times New Roman"/>
                <w:b/>
                <w:bCs/>
                <w:color w:val="000000"/>
                <w:sz w:val="14"/>
                <w:szCs w:val="14"/>
              </w:rPr>
              <w:t>10 538 933</w:t>
            </w:r>
          </w:p>
        </w:tc>
      </w:tr>
      <w:tr w:rsidR="007D13F3" w:rsidRPr="00335900" w:rsidTr="00C956E7">
        <w:trPr>
          <w:trHeight w:val="259"/>
        </w:trPr>
        <w:tc>
          <w:tcPr>
            <w:tcW w:w="1673" w:type="pct"/>
            <w:noWrap/>
            <w:vAlign w:val="center"/>
            <w:hideMark/>
          </w:tcPr>
          <w:p w:rsidR="007D13F3" w:rsidRPr="00335900" w:rsidRDefault="007D13F3" w:rsidP="00465CAC">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v tom: bežné výdavky  600</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8 150 474</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9 147 540</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9 429 976</w:t>
            </w:r>
          </w:p>
        </w:tc>
        <w:tc>
          <w:tcPr>
            <w:tcW w:w="475" w:type="pct"/>
            <w:shd w:val="clear" w:color="auto" w:fill="auto"/>
            <w:noWrap/>
            <w:vAlign w:val="bottom"/>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9 836 498</w:t>
            </w:r>
          </w:p>
        </w:tc>
        <w:tc>
          <w:tcPr>
            <w:tcW w:w="475"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10 466 333</w:t>
            </w:r>
          </w:p>
        </w:tc>
        <w:tc>
          <w:tcPr>
            <w:tcW w:w="476"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10 465 233</w:t>
            </w:r>
          </w:p>
        </w:tc>
        <w:tc>
          <w:tcPr>
            <w:tcW w:w="476"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10 465 233</w:t>
            </w:r>
          </w:p>
        </w:tc>
      </w:tr>
      <w:tr w:rsidR="007D13F3" w:rsidRPr="00335900" w:rsidTr="00C956E7">
        <w:trPr>
          <w:trHeight w:val="259"/>
        </w:trPr>
        <w:tc>
          <w:tcPr>
            <w:tcW w:w="1673" w:type="pct"/>
            <w:noWrap/>
            <w:vAlign w:val="center"/>
            <w:hideMark/>
          </w:tcPr>
          <w:p w:rsidR="007D13F3" w:rsidRPr="00335900" w:rsidRDefault="007D13F3" w:rsidP="00465CAC">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610 mzdy</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4 780 630</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5 165 310</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5 352 553</w:t>
            </w:r>
          </w:p>
        </w:tc>
        <w:tc>
          <w:tcPr>
            <w:tcW w:w="475" w:type="pct"/>
            <w:shd w:val="clear" w:color="auto" w:fill="auto"/>
            <w:noWrap/>
            <w:vAlign w:val="bottom"/>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5 577 979</w:t>
            </w:r>
          </w:p>
        </w:tc>
        <w:tc>
          <w:tcPr>
            <w:tcW w:w="475"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5 918 308</w:t>
            </w:r>
          </w:p>
        </w:tc>
        <w:tc>
          <w:tcPr>
            <w:tcW w:w="476"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5 918 308</w:t>
            </w:r>
          </w:p>
        </w:tc>
        <w:tc>
          <w:tcPr>
            <w:tcW w:w="476"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5 918 308</w:t>
            </w:r>
          </w:p>
        </w:tc>
      </w:tr>
      <w:tr w:rsidR="007D13F3" w:rsidRPr="00335900" w:rsidTr="00C956E7">
        <w:trPr>
          <w:trHeight w:val="259"/>
        </w:trPr>
        <w:tc>
          <w:tcPr>
            <w:tcW w:w="1673" w:type="pct"/>
            <w:noWrap/>
            <w:vAlign w:val="center"/>
            <w:hideMark/>
          </w:tcPr>
          <w:p w:rsidR="007D13F3" w:rsidRPr="00335900" w:rsidRDefault="007D13F3" w:rsidP="00465CAC">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620 odvody</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1 693 551</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1 827 427</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1 942 717</w:t>
            </w:r>
          </w:p>
        </w:tc>
        <w:tc>
          <w:tcPr>
            <w:tcW w:w="475" w:type="pct"/>
            <w:shd w:val="clear" w:color="auto" w:fill="auto"/>
            <w:noWrap/>
            <w:vAlign w:val="bottom"/>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1 998 804</w:t>
            </w:r>
          </w:p>
        </w:tc>
        <w:tc>
          <w:tcPr>
            <w:tcW w:w="475"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2 173 449</w:t>
            </w:r>
          </w:p>
        </w:tc>
        <w:tc>
          <w:tcPr>
            <w:tcW w:w="476"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2 173 449</w:t>
            </w:r>
          </w:p>
        </w:tc>
        <w:tc>
          <w:tcPr>
            <w:tcW w:w="476"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2 173 449</w:t>
            </w:r>
          </w:p>
        </w:tc>
      </w:tr>
      <w:tr w:rsidR="007D13F3" w:rsidRPr="00335900" w:rsidTr="00C956E7">
        <w:trPr>
          <w:trHeight w:val="259"/>
        </w:trPr>
        <w:tc>
          <w:tcPr>
            <w:tcW w:w="1673" w:type="pct"/>
            <w:noWrap/>
            <w:vAlign w:val="center"/>
            <w:hideMark/>
          </w:tcPr>
          <w:p w:rsidR="007D13F3" w:rsidRPr="00335900" w:rsidRDefault="007D13F3" w:rsidP="00465CAC">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630 tovary a služby</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1 614 520</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2 088 050</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2 083 106</w:t>
            </w:r>
          </w:p>
        </w:tc>
        <w:tc>
          <w:tcPr>
            <w:tcW w:w="475" w:type="pct"/>
            <w:shd w:val="clear" w:color="auto" w:fill="auto"/>
            <w:noWrap/>
            <w:vAlign w:val="bottom"/>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2 198 115</w:t>
            </w:r>
          </w:p>
        </w:tc>
        <w:tc>
          <w:tcPr>
            <w:tcW w:w="475"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2 288 376</w:t>
            </w:r>
          </w:p>
        </w:tc>
        <w:tc>
          <w:tcPr>
            <w:tcW w:w="476"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2 287 276</w:t>
            </w:r>
          </w:p>
        </w:tc>
        <w:tc>
          <w:tcPr>
            <w:tcW w:w="476"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2 287 276</w:t>
            </w:r>
          </w:p>
        </w:tc>
      </w:tr>
      <w:tr w:rsidR="007D13F3" w:rsidRPr="00335900" w:rsidTr="00C956E7">
        <w:trPr>
          <w:trHeight w:val="259"/>
        </w:trPr>
        <w:tc>
          <w:tcPr>
            <w:tcW w:w="1673" w:type="pct"/>
            <w:noWrap/>
            <w:vAlign w:val="center"/>
            <w:hideMark/>
          </w:tcPr>
          <w:p w:rsidR="007D13F3" w:rsidRPr="00335900" w:rsidRDefault="007D13F3" w:rsidP="00465CAC">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640 bežné transfery</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61 773</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66 753</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51 600</w:t>
            </w:r>
          </w:p>
        </w:tc>
        <w:tc>
          <w:tcPr>
            <w:tcW w:w="475" w:type="pct"/>
            <w:shd w:val="clear" w:color="auto" w:fill="auto"/>
            <w:noWrap/>
            <w:vAlign w:val="bottom"/>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61 600</w:t>
            </w:r>
          </w:p>
        </w:tc>
        <w:tc>
          <w:tcPr>
            <w:tcW w:w="475"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86 200</w:t>
            </w:r>
          </w:p>
        </w:tc>
        <w:tc>
          <w:tcPr>
            <w:tcW w:w="476"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86 200</w:t>
            </w:r>
          </w:p>
        </w:tc>
        <w:tc>
          <w:tcPr>
            <w:tcW w:w="476"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86 200</w:t>
            </w:r>
          </w:p>
        </w:tc>
      </w:tr>
      <w:tr w:rsidR="007D13F3" w:rsidRPr="00335900" w:rsidTr="00C956E7">
        <w:trPr>
          <w:trHeight w:val="259"/>
        </w:trPr>
        <w:tc>
          <w:tcPr>
            <w:tcW w:w="1673" w:type="pct"/>
            <w:noWrap/>
            <w:vAlign w:val="center"/>
            <w:hideMark/>
          </w:tcPr>
          <w:p w:rsidR="007D13F3" w:rsidRPr="00335900" w:rsidRDefault="007D13F3" w:rsidP="00465CAC">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kapitálové výdavky 700</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124 048</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58 304</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561 157</w:t>
            </w:r>
          </w:p>
        </w:tc>
        <w:tc>
          <w:tcPr>
            <w:tcW w:w="475" w:type="pct"/>
            <w:shd w:val="clear" w:color="auto" w:fill="auto"/>
            <w:noWrap/>
            <w:vAlign w:val="bottom"/>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284 345</w:t>
            </w:r>
          </w:p>
        </w:tc>
        <w:tc>
          <w:tcPr>
            <w:tcW w:w="475"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269 200</w:t>
            </w:r>
          </w:p>
        </w:tc>
        <w:tc>
          <w:tcPr>
            <w:tcW w:w="476"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73 700</w:t>
            </w:r>
          </w:p>
        </w:tc>
        <w:tc>
          <w:tcPr>
            <w:tcW w:w="476" w:type="pct"/>
            <w:shd w:val="clear" w:color="auto" w:fill="auto"/>
            <w:noWrap/>
            <w:vAlign w:val="bottom"/>
            <w:hideMark/>
          </w:tcPr>
          <w:p w:rsidR="007D13F3" w:rsidRPr="001D5DD8" w:rsidRDefault="007D13F3" w:rsidP="00465CAC">
            <w:pPr>
              <w:jc w:val="right"/>
              <w:rPr>
                <w:rFonts w:ascii="Times New Roman" w:hAnsi="Times New Roman" w:cs="Times New Roman"/>
                <w:color w:val="000000"/>
                <w:sz w:val="14"/>
                <w:szCs w:val="14"/>
              </w:rPr>
            </w:pPr>
            <w:r w:rsidRPr="001D5DD8">
              <w:rPr>
                <w:rFonts w:ascii="Times New Roman" w:hAnsi="Times New Roman" w:cs="Times New Roman"/>
                <w:color w:val="000000"/>
                <w:sz w:val="14"/>
                <w:szCs w:val="14"/>
              </w:rPr>
              <w:t>73 700</w:t>
            </w:r>
          </w:p>
        </w:tc>
      </w:tr>
      <w:tr w:rsidR="007D13F3" w:rsidRPr="00335900" w:rsidTr="00C956E7">
        <w:trPr>
          <w:trHeight w:val="259"/>
        </w:trPr>
        <w:tc>
          <w:tcPr>
            <w:tcW w:w="1673" w:type="pct"/>
            <w:noWrap/>
            <w:vAlign w:val="center"/>
            <w:hideMark/>
          </w:tcPr>
          <w:p w:rsidR="007D13F3" w:rsidRPr="00335900" w:rsidRDefault="007D13F3" w:rsidP="00465CAC">
            <w:pPr>
              <w:rPr>
                <w:rFonts w:ascii="Times New Roman" w:hAnsi="Times New Roman" w:cs="Times New Roman"/>
                <w:b/>
                <w:color w:val="000000"/>
                <w:sz w:val="14"/>
                <w:szCs w:val="14"/>
              </w:rPr>
            </w:pPr>
            <w:r w:rsidRPr="00335900">
              <w:rPr>
                <w:rFonts w:ascii="Times New Roman" w:hAnsi="Times New Roman" w:cs="Times New Roman"/>
                <w:b/>
                <w:color w:val="000000"/>
                <w:sz w:val="14"/>
                <w:szCs w:val="14"/>
              </w:rPr>
              <w:t>zdroje EÚ vrátane spolufinancovania</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721 106</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0</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0</w:t>
            </w:r>
          </w:p>
        </w:tc>
        <w:tc>
          <w:tcPr>
            <w:tcW w:w="475" w:type="pct"/>
            <w:shd w:val="clear" w:color="auto" w:fill="auto"/>
            <w:noWrap/>
            <w:vAlign w:val="bottom"/>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0</w:t>
            </w:r>
          </w:p>
        </w:tc>
        <w:tc>
          <w:tcPr>
            <w:tcW w:w="475" w:type="pct"/>
            <w:shd w:val="clear" w:color="auto" w:fill="auto"/>
            <w:noWrap/>
            <w:vAlign w:val="bottom"/>
            <w:hideMark/>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0</w:t>
            </w:r>
          </w:p>
        </w:tc>
        <w:tc>
          <w:tcPr>
            <w:tcW w:w="476" w:type="pct"/>
            <w:shd w:val="clear" w:color="auto" w:fill="auto"/>
            <w:noWrap/>
            <w:vAlign w:val="bottom"/>
            <w:hideMark/>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0</w:t>
            </w:r>
          </w:p>
        </w:tc>
        <w:tc>
          <w:tcPr>
            <w:tcW w:w="476" w:type="pct"/>
            <w:shd w:val="clear" w:color="auto" w:fill="auto"/>
            <w:noWrap/>
            <w:vAlign w:val="bottom"/>
            <w:hideMark/>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0</w:t>
            </w:r>
          </w:p>
        </w:tc>
      </w:tr>
      <w:tr w:rsidR="007D13F3" w:rsidRPr="00335900" w:rsidTr="00C956E7">
        <w:trPr>
          <w:trHeight w:val="259"/>
        </w:trPr>
        <w:tc>
          <w:tcPr>
            <w:tcW w:w="1673" w:type="pct"/>
            <w:shd w:val="clear" w:color="auto" w:fill="auto"/>
            <w:noWrap/>
            <w:vAlign w:val="center"/>
          </w:tcPr>
          <w:p w:rsidR="007D13F3" w:rsidRPr="00335900" w:rsidRDefault="007D13F3" w:rsidP="00465CAC">
            <w:pPr>
              <w:rPr>
                <w:rFonts w:ascii="Times New Roman" w:hAnsi="Times New Roman" w:cs="Times New Roman"/>
                <w:b/>
                <w:bCs/>
                <w:color w:val="000000"/>
                <w:sz w:val="14"/>
                <w:szCs w:val="14"/>
                <w:lang w:eastAsia="sk-SK"/>
              </w:rPr>
            </w:pPr>
            <w:r w:rsidRPr="00335900">
              <w:rPr>
                <w:rFonts w:ascii="Times New Roman" w:hAnsi="Times New Roman" w:cs="Times New Roman"/>
                <w:b/>
                <w:bCs/>
                <w:color w:val="000000"/>
                <w:sz w:val="14"/>
                <w:szCs w:val="14"/>
              </w:rPr>
              <w:t>presun z minulých rokov §</w:t>
            </w:r>
            <w:r>
              <w:rPr>
                <w:rFonts w:ascii="Times New Roman" w:hAnsi="Times New Roman" w:cs="Times New Roman"/>
                <w:b/>
                <w:bCs/>
                <w:color w:val="000000"/>
                <w:sz w:val="14"/>
                <w:szCs w:val="14"/>
              </w:rPr>
              <w:t xml:space="preserve"> </w:t>
            </w:r>
            <w:r w:rsidRPr="00335900">
              <w:rPr>
                <w:rFonts w:ascii="Times New Roman" w:hAnsi="Times New Roman" w:cs="Times New Roman"/>
                <w:b/>
                <w:bCs/>
                <w:color w:val="000000"/>
                <w:sz w:val="14"/>
                <w:szCs w:val="14"/>
              </w:rPr>
              <w:t>8</w:t>
            </w:r>
          </w:p>
        </w:tc>
        <w:tc>
          <w:tcPr>
            <w:tcW w:w="475" w:type="pct"/>
            <w:shd w:val="clear" w:color="auto" w:fill="auto"/>
            <w:noWrap/>
            <w:vAlign w:val="bottom"/>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1 203 953</w:t>
            </w:r>
          </w:p>
        </w:tc>
        <w:tc>
          <w:tcPr>
            <w:tcW w:w="475" w:type="pct"/>
            <w:shd w:val="clear" w:color="auto" w:fill="auto"/>
            <w:noWrap/>
            <w:vAlign w:val="bottom"/>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142 985</w:t>
            </w:r>
          </w:p>
        </w:tc>
        <w:tc>
          <w:tcPr>
            <w:tcW w:w="475" w:type="pct"/>
            <w:shd w:val="clear" w:color="auto" w:fill="auto"/>
            <w:noWrap/>
            <w:vAlign w:val="bottom"/>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0</w:t>
            </w:r>
          </w:p>
        </w:tc>
        <w:tc>
          <w:tcPr>
            <w:tcW w:w="475" w:type="pct"/>
            <w:shd w:val="clear" w:color="auto" w:fill="auto"/>
            <w:noWrap/>
            <w:vAlign w:val="bottom"/>
          </w:tcPr>
          <w:p w:rsidR="007D13F3" w:rsidRPr="00593A55" w:rsidRDefault="007D13F3" w:rsidP="00465CAC">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p>
        </w:tc>
        <w:tc>
          <w:tcPr>
            <w:tcW w:w="475" w:type="pct"/>
            <w:shd w:val="clear" w:color="auto" w:fill="auto"/>
            <w:noWrap/>
            <w:vAlign w:val="bottom"/>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0</w:t>
            </w:r>
          </w:p>
        </w:tc>
        <w:tc>
          <w:tcPr>
            <w:tcW w:w="476" w:type="pct"/>
            <w:shd w:val="clear" w:color="auto" w:fill="auto"/>
            <w:noWrap/>
            <w:vAlign w:val="bottom"/>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0</w:t>
            </w:r>
          </w:p>
        </w:tc>
        <w:tc>
          <w:tcPr>
            <w:tcW w:w="476" w:type="pct"/>
            <w:shd w:val="clear" w:color="auto" w:fill="auto"/>
            <w:noWrap/>
            <w:vAlign w:val="bottom"/>
          </w:tcPr>
          <w:p w:rsidR="007D13F3" w:rsidRPr="00593A55" w:rsidRDefault="007D13F3" w:rsidP="00465CAC">
            <w:pPr>
              <w:jc w:val="right"/>
              <w:rPr>
                <w:rFonts w:ascii="Times New Roman" w:hAnsi="Times New Roman" w:cs="Times New Roman"/>
                <w:b/>
                <w:bCs/>
                <w:color w:val="000000"/>
                <w:sz w:val="14"/>
                <w:szCs w:val="14"/>
              </w:rPr>
            </w:pPr>
            <w:r w:rsidRPr="00593A55">
              <w:rPr>
                <w:rFonts w:ascii="Times New Roman" w:hAnsi="Times New Roman" w:cs="Times New Roman"/>
                <w:b/>
                <w:bCs/>
                <w:color w:val="000000"/>
                <w:sz w:val="14"/>
                <w:szCs w:val="14"/>
              </w:rPr>
              <w:t>0</w:t>
            </w:r>
          </w:p>
        </w:tc>
      </w:tr>
      <w:tr w:rsidR="007D13F3" w:rsidRPr="00335900" w:rsidTr="00C956E7">
        <w:trPr>
          <w:trHeight w:val="259"/>
        </w:trPr>
        <w:tc>
          <w:tcPr>
            <w:tcW w:w="1673" w:type="pct"/>
            <w:shd w:val="clear" w:color="auto" w:fill="auto"/>
            <w:noWrap/>
            <w:vAlign w:val="center"/>
          </w:tcPr>
          <w:p w:rsidR="007D13F3" w:rsidRPr="00335900" w:rsidRDefault="007D13F3" w:rsidP="00465CAC">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w:t>
            </w:r>
            <w:r>
              <w:rPr>
                <w:rFonts w:ascii="Times New Roman" w:hAnsi="Times New Roman" w:cs="Times New Roman"/>
                <w:color w:val="000000"/>
                <w:sz w:val="14"/>
                <w:szCs w:val="14"/>
              </w:rPr>
              <w:t>v tom</w:t>
            </w:r>
            <w:r w:rsidRPr="00335900">
              <w:rPr>
                <w:rFonts w:ascii="Times New Roman" w:hAnsi="Times New Roman" w:cs="Times New Roman"/>
                <w:color w:val="000000"/>
                <w:sz w:val="14"/>
                <w:szCs w:val="14"/>
              </w:rPr>
              <w:t>: štátny rozpočet</w:t>
            </w:r>
          </w:p>
        </w:tc>
        <w:tc>
          <w:tcPr>
            <w:tcW w:w="475" w:type="pct"/>
            <w:shd w:val="clear" w:color="auto" w:fill="auto"/>
            <w:noWrap/>
            <w:vAlign w:val="bottom"/>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0</w:t>
            </w:r>
          </w:p>
        </w:tc>
        <w:tc>
          <w:tcPr>
            <w:tcW w:w="475" w:type="pct"/>
            <w:shd w:val="clear" w:color="auto" w:fill="auto"/>
            <w:noWrap/>
            <w:vAlign w:val="bottom"/>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88 952</w:t>
            </w:r>
          </w:p>
        </w:tc>
        <w:tc>
          <w:tcPr>
            <w:tcW w:w="475" w:type="pct"/>
            <w:shd w:val="clear" w:color="auto" w:fill="auto"/>
            <w:noWrap/>
            <w:vAlign w:val="bottom"/>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0</w:t>
            </w:r>
          </w:p>
        </w:tc>
        <w:tc>
          <w:tcPr>
            <w:tcW w:w="475" w:type="pct"/>
            <w:shd w:val="clear" w:color="auto" w:fill="auto"/>
            <w:noWrap/>
            <w:vAlign w:val="bottom"/>
          </w:tcPr>
          <w:p w:rsidR="007D13F3" w:rsidRPr="00593A55"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75" w:type="pct"/>
            <w:shd w:val="clear" w:color="auto" w:fill="auto"/>
            <w:noWrap/>
            <w:vAlign w:val="bottom"/>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0</w:t>
            </w:r>
          </w:p>
        </w:tc>
        <w:tc>
          <w:tcPr>
            <w:tcW w:w="476" w:type="pct"/>
            <w:shd w:val="clear" w:color="auto" w:fill="auto"/>
            <w:noWrap/>
            <w:vAlign w:val="bottom"/>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0</w:t>
            </w:r>
          </w:p>
        </w:tc>
        <w:tc>
          <w:tcPr>
            <w:tcW w:w="476" w:type="pct"/>
            <w:shd w:val="clear" w:color="auto" w:fill="auto"/>
            <w:noWrap/>
            <w:vAlign w:val="bottom"/>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0</w:t>
            </w:r>
          </w:p>
        </w:tc>
      </w:tr>
      <w:tr w:rsidR="007D13F3" w:rsidRPr="00335900" w:rsidTr="00C956E7">
        <w:trPr>
          <w:trHeight w:val="259"/>
        </w:trPr>
        <w:tc>
          <w:tcPr>
            <w:tcW w:w="1673" w:type="pct"/>
            <w:shd w:val="clear" w:color="auto" w:fill="auto"/>
            <w:noWrap/>
            <w:vAlign w:val="center"/>
          </w:tcPr>
          <w:p w:rsidR="007D13F3" w:rsidRPr="00335900" w:rsidRDefault="007D13F3" w:rsidP="00465CAC">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EÚ prostriedky vrátane spolufinancovania</w:t>
            </w:r>
          </w:p>
        </w:tc>
        <w:tc>
          <w:tcPr>
            <w:tcW w:w="475" w:type="pct"/>
            <w:shd w:val="clear" w:color="auto" w:fill="auto"/>
            <w:noWrap/>
            <w:vAlign w:val="bottom"/>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1 203 953</w:t>
            </w:r>
          </w:p>
        </w:tc>
        <w:tc>
          <w:tcPr>
            <w:tcW w:w="475" w:type="pct"/>
            <w:shd w:val="clear" w:color="auto" w:fill="auto"/>
            <w:noWrap/>
            <w:vAlign w:val="bottom"/>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54 033</w:t>
            </w:r>
          </w:p>
        </w:tc>
        <w:tc>
          <w:tcPr>
            <w:tcW w:w="475" w:type="pct"/>
            <w:shd w:val="clear" w:color="auto" w:fill="auto"/>
            <w:noWrap/>
            <w:vAlign w:val="bottom"/>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0</w:t>
            </w:r>
          </w:p>
        </w:tc>
        <w:tc>
          <w:tcPr>
            <w:tcW w:w="475" w:type="pct"/>
            <w:shd w:val="clear" w:color="auto" w:fill="auto"/>
            <w:noWrap/>
            <w:vAlign w:val="bottom"/>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0</w:t>
            </w:r>
          </w:p>
        </w:tc>
        <w:tc>
          <w:tcPr>
            <w:tcW w:w="475" w:type="pct"/>
            <w:shd w:val="clear" w:color="auto" w:fill="auto"/>
            <w:noWrap/>
            <w:vAlign w:val="bottom"/>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0</w:t>
            </w:r>
          </w:p>
        </w:tc>
        <w:tc>
          <w:tcPr>
            <w:tcW w:w="476" w:type="pct"/>
            <w:shd w:val="clear" w:color="auto" w:fill="auto"/>
            <w:noWrap/>
            <w:vAlign w:val="bottom"/>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0</w:t>
            </w:r>
          </w:p>
        </w:tc>
        <w:tc>
          <w:tcPr>
            <w:tcW w:w="476" w:type="pct"/>
            <w:shd w:val="clear" w:color="auto" w:fill="auto"/>
            <w:noWrap/>
            <w:vAlign w:val="bottom"/>
          </w:tcPr>
          <w:p w:rsidR="007D13F3" w:rsidRPr="00593A55" w:rsidRDefault="007D13F3" w:rsidP="00465CAC">
            <w:pPr>
              <w:jc w:val="right"/>
              <w:rPr>
                <w:rFonts w:ascii="Times New Roman" w:hAnsi="Times New Roman" w:cs="Times New Roman"/>
                <w:color w:val="000000"/>
                <w:sz w:val="14"/>
                <w:szCs w:val="14"/>
              </w:rPr>
            </w:pPr>
            <w:r w:rsidRPr="00593A55">
              <w:rPr>
                <w:rFonts w:ascii="Times New Roman" w:hAnsi="Times New Roman" w:cs="Times New Roman"/>
                <w:color w:val="000000"/>
                <w:sz w:val="14"/>
                <w:szCs w:val="14"/>
              </w:rPr>
              <w:t>0</w:t>
            </w:r>
          </w:p>
        </w:tc>
      </w:tr>
    </w:tbl>
    <w:p w:rsidR="007D13F3" w:rsidRPr="00951C93" w:rsidRDefault="007D13F3" w:rsidP="007D13F3">
      <w:pPr>
        <w:jc w:val="both"/>
        <w:rPr>
          <w:rFonts w:ascii="Times New Roman" w:hAnsi="Times New Roman" w:cs="Times New Roman"/>
          <w:b/>
          <w:highlight w:val="yellow"/>
        </w:rPr>
      </w:pPr>
    </w:p>
    <w:tbl>
      <w:tblPr>
        <w:tblW w:w="5000" w:type="pct"/>
        <w:tblCellMar>
          <w:left w:w="70" w:type="dxa"/>
          <w:right w:w="70" w:type="dxa"/>
        </w:tblCellMar>
        <w:tblLook w:val="04A0" w:firstRow="1" w:lastRow="0" w:firstColumn="1" w:lastColumn="0" w:noHBand="0" w:noVBand="1"/>
      </w:tblPr>
      <w:tblGrid>
        <w:gridCol w:w="2972"/>
        <w:gridCol w:w="870"/>
        <w:gridCol w:w="832"/>
        <w:gridCol w:w="910"/>
        <w:gridCol w:w="870"/>
        <w:gridCol w:w="870"/>
        <w:gridCol w:w="870"/>
        <w:gridCol w:w="868"/>
      </w:tblGrid>
      <w:tr w:rsidR="007D13F3" w:rsidRPr="00FC553B" w:rsidTr="00465CAC">
        <w:trPr>
          <w:trHeight w:val="261"/>
        </w:trPr>
        <w:tc>
          <w:tcPr>
            <w:tcW w:w="16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FC553B" w:rsidRDefault="007D13F3" w:rsidP="00465CAC">
            <w:pPr>
              <w:rPr>
                <w:rFonts w:ascii="Times New Roman" w:hAnsi="Times New Roman" w:cs="Times New Roman"/>
                <w:b/>
                <w:bCs/>
                <w:color w:val="000000"/>
                <w:sz w:val="14"/>
                <w:szCs w:val="14"/>
                <w:lang w:eastAsia="sk-SK"/>
              </w:rPr>
            </w:pPr>
            <w:r w:rsidRPr="00FC553B">
              <w:rPr>
                <w:rFonts w:ascii="Times New Roman" w:hAnsi="Times New Roman" w:cs="Times New Roman"/>
                <w:b/>
                <w:bCs/>
                <w:color w:val="000000"/>
                <w:sz w:val="14"/>
                <w:szCs w:val="14"/>
                <w:lang w:eastAsia="sk-SK"/>
              </w:rPr>
              <w:t>Samostatné účty</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320A3C" w:rsidRDefault="007D13F3" w:rsidP="00465CAC">
            <w:pPr>
              <w:jc w:val="right"/>
              <w:rPr>
                <w:rFonts w:ascii="Times New Roman" w:hAnsi="Times New Roman" w:cs="Times New Roman"/>
                <w:b/>
                <w:bCs/>
                <w:color w:val="000000"/>
                <w:sz w:val="14"/>
                <w:szCs w:val="14"/>
                <w:lang w:eastAsia="sk-SK"/>
              </w:rPr>
            </w:pPr>
            <w:r w:rsidRPr="00320A3C">
              <w:rPr>
                <w:rFonts w:ascii="Times New Roman" w:hAnsi="Times New Roman" w:cs="Times New Roman"/>
                <w:b/>
                <w:bCs/>
                <w:color w:val="000000"/>
                <w:sz w:val="14"/>
                <w:szCs w:val="14"/>
              </w:rPr>
              <w:t>45 971</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7D13F3" w:rsidRPr="00320A3C" w:rsidRDefault="007D13F3" w:rsidP="00465CAC">
            <w:pPr>
              <w:jc w:val="right"/>
              <w:rPr>
                <w:rFonts w:ascii="Times New Roman" w:hAnsi="Times New Roman" w:cs="Times New Roman"/>
                <w:b/>
                <w:bCs/>
                <w:color w:val="000000"/>
                <w:sz w:val="14"/>
                <w:szCs w:val="14"/>
              </w:rPr>
            </w:pPr>
            <w:r w:rsidRPr="00320A3C">
              <w:rPr>
                <w:rFonts w:ascii="Times New Roman" w:hAnsi="Times New Roman" w:cs="Times New Roman"/>
                <w:b/>
                <w:bCs/>
                <w:color w:val="000000"/>
                <w:sz w:val="14"/>
                <w:szCs w:val="14"/>
              </w:rPr>
              <w:t>0</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7D13F3" w:rsidRPr="00320A3C" w:rsidRDefault="007D13F3" w:rsidP="00465CAC">
            <w:pPr>
              <w:jc w:val="right"/>
              <w:rPr>
                <w:rFonts w:ascii="Times New Roman" w:hAnsi="Times New Roman" w:cs="Times New Roman"/>
                <w:b/>
                <w:bCs/>
                <w:color w:val="000000"/>
                <w:sz w:val="14"/>
                <w:szCs w:val="14"/>
              </w:rPr>
            </w:pPr>
            <w:r w:rsidRPr="00320A3C">
              <w:rPr>
                <w:rFonts w:ascii="Times New Roman" w:hAnsi="Times New Roman" w:cs="Times New Roman"/>
                <w:b/>
                <w:bCs/>
                <w:color w:val="000000"/>
                <w:sz w:val="14"/>
                <w:szCs w:val="14"/>
              </w:rPr>
              <w:t>0</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7D13F3" w:rsidRPr="00320A3C" w:rsidRDefault="007D13F3" w:rsidP="00465CAC">
            <w:pPr>
              <w:jc w:val="right"/>
              <w:rPr>
                <w:rFonts w:ascii="Times New Roman" w:hAnsi="Times New Roman" w:cs="Times New Roman"/>
                <w:b/>
                <w:bCs/>
                <w:color w:val="000000"/>
                <w:sz w:val="14"/>
                <w:szCs w:val="14"/>
              </w:rPr>
            </w:pPr>
            <w:r w:rsidRPr="00320A3C">
              <w:rPr>
                <w:rFonts w:ascii="Times New Roman" w:hAnsi="Times New Roman" w:cs="Times New Roman"/>
                <w:b/>
                <w:bCs/>
                <w:color w:val="000000"/>
                <w:sz w:val="14"/>
                <w:szCs w:val="14"/>
              </w:rPr>
              <w:t>0</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7D13F3" w:rsidRPr="00320A3C" w:rsidRDefault="007D13F3" w:rsidP="00465CAC">
            <w:pPr>
              <w:jc w:val="right"/>
              <w:rPr>
                <w:rFonts w:ascii="Times New Roman" w:hAnsi="Times New Roman" w:cs="Times New Roman"/>
                <w:b/>
                <w:bCs/>
                <w:color w:val="000000"/>
                <w:sz w:val="14"/>
                <w:szCs w:val="14"/>
              </w:rPr>
            </w:pPr>
            <w:r w:rsidRPr="00320A3C">
              <w:rPr>
                <w:rFonts w:ascii="Times New Roman" w:hAnsi="Times New Roman" w:cs="Times New Roman"/>
                <w:b/>
                <w:bCs/>
                <w:color w:val="000000"/>
                <w:sz w:val="14"/>
                <w:szCs w:val="14"/>
              </w:rPr>
              <w:t>0</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7D13F3" w:rsidRPr="00320A3C" w:rsidRDefault="007D13F3" w:rsidP="00465CAC">
            <w:pPr>
              <w:jc w:val="right"/>
              <w:rPr>
                <w:rFonts w:ascii="Times New Roman" w:hAnsi="Times New Roman" w:cs="Times New Roman"/>
                <w:b/>
                <w:bCs/>
                <w:color w:val="000000"/>
                <w:sz w:val="14"/>
                <w:szCs w:val="14"/>
              </w:rPr>
            </w:pPr>
            <w:r w:rsidRPr="00320A3C">
              <w:rPr>
                <w:rFonts w:ascii="Times New Roman" w:hAnsi="Times New Roman" w:cs="Times New Roman"/>
                <w:b/>
                <w:bCs/>
                <w:color w:val="000000"/>
                <w:sz w:val="14"/>
                <w:szCs w:val="14"/>
              </w:rPr>
              <w:t>0</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7D13F3" w:rsidRPr="00320A3C" w:rsidRDefault="007D13F3" w:rsidP="00465CAC">
            <w:pPr>
              <w:jc w:val="right"/>
              <w:rPr>
                <w:rFonts w:ascii="Times New Roman" w:hAnsi="Times New Roman" w:cs="Times New Roman"/>
                <w:b/>
                <w:bCs/>
                <w:color w:val="000000"/>
                <w:sz w:val="14"/>
                <w:szCs w:val="14"/>
              </w:rPr>
            </w:pPr>
            <w:r w:rsidRPr="00320A3C">
              <w:rPr>
                <w:rFonts w:ascii="Times New Roman" w:hAnsi="Times New Roman" w:cs="Times New Roman"/>
                <w:b/>
                <w:bCs/>
                <w:color w:val="000000"/>
                <w:sz w:val="14"/>
                <w:szCs w:val="14"/>
              </w:rPr>
              <w:t>0</w:t>
            </w:r>
          </w:p>
        </w:tc>
      </w:tr>
    </w:tbl>
    <w:p w:rsidR="007D13F3" w:rsidRDefault="007D13F3" w:rsidP="007D13F3">
      <w:pPr>
        <w:ind w:firstLine="708"/>
        <w:jc w:val="both"/>
        <w:rPr>
          <w:rFonts w:ascii="Times New Roman" w:hAnsi="Times New Roman" w:cs="Times New Roman"/>
          <w:color w:val="000000"/>
        </w:rPr>
      </w:pPr>
    </w:p>
    <w:p w:rsidR="007D13F3" w:rsidRPr="00AF1488" w:rsidRDefault="007D13F3" w:rsidP="007D13F3">
      <w:pPr>
        <w:ind w:firstLine="708"/>
        <w:jc w:val="both"/>
        <w:rPr>
          <w:rFonts w:ascii="Times New Roman" w:hAnsi="Times New Roman" w:cs="Times New Roman"/>
          <w:color w:val="000000"/>
        </w:rPr>
      </w:pPr>
      <w:r w:rsidRPr="00AF1488">
        <w:rPr>
          <w:rFonts w:ascii="Times New Roman" w:hAnsi="Times New Roman" w:cs="Times New Roman"/>
          <w:color w:val="000000"/>
        </w:rPr>
        <w:t>Výdavky kapitoly sa v roku 201</w:t>
      </w:r>
      <w:r>
        <w:rPr>
          <w:rFonts w:ascii="Times New Roman" w:hAnsi="Times New Roman" w:cs="Times New Roman"/>
          <w:color w:val="000000"/>
        </w:rPr>
        <w:t>8</w:t>
      </w:r>
      <w:r w:rsidRPr="00AF1488">
        <w:rPr>
          <w:rFonts w:ascii="Times New Roman" w:hAnsi="Times New Roman" w:cs="Times New Roman"/>
          <w:color w:val="000000"/>
        </w:rPr>
        <w:t xml:space="preserve"> rozpočtujú v sume </w:t>
      </w:r>
      <w:r>
        <w:rPr>
          <w:rFonts w:ascii="Times New Roman" w:hAnsi="Times New Roman" w:cs="Times New Roman"/>
          <w:color w:val="000000"/>
        </w:rPr>
        <w:t>10,7</w:t>
      </w:r>
      <w:r w:rsidRPr="00AF1488">
        <w:rPr>
          <w:rFonts w:ascii="Times New Roman" w:hAnsi="Times New Roman" w:cs="Times New Roman"/>
          <w:color w:val="000000"/>
        </w:rPr>
        <w:t xml:space="preserve"> mil. eur, čo je v porovnaní so schváleným rozpočtom roku 201</w:t>
      </w:r>
      <w:r>
        <w:rPr>
          <w:rFonts w:ascii="Times New Roman" w:hAnsi="Times New Roman" w:cs="Times New Roman"/>
          <w:color w:val="000000"/>
        </w:rPr>
        <w:t>7</w:t>
      </w:r>
      <w:r w:rsidRPr="00AF1488">
        <w:rPr>
          <w:rFonts w:ascii="Times New Roman" w:hAnsi="Times New Roman" w:cs="Times New Roman"/>
          <w:color w:val="000000"/>
        </w:rPr>
        <w:t xml:space="preserve"> </w:t>
      </w:r>
      <w:r>
        <w:rPr>
          <w:rFonts w:ascii="Times New Roman" w:hAnsi="Times New Roman" w:cs="Times New Roman"/>
          <w:color w:val="000000"/>
        </w:rPr>
        <w:t>viac</w:t>
      </w:r>
      <w:r w:rsidRPr="00AF1488">
        <w:rPr>
          <w:rFonts w:ascii="Times New Roman" w:hAnsi="Times New Roman" w:cs="Times New Roman"/>
          <w:color w:val="000000"/>
        </w:rPr>
        <w:t xml:space="preserve"> o</w:t>
      </w:r>
      <w:r>
        <w:rPr>
          <w:rFonts w:ascii="Times New Roman" w:hAnsi="Times New Roman" w:cs="Times New Roman"/>
          <w:color w:val="000000"/>
        </w:rPr>
        <w:t> 744</w:t>
      </w:r>
      <w:r w:rsidRPr="00AF1488">
        <w:rPr>
          <w:rFonts w:ascii="Times New Roman" w:hAnsi="Times New Roman" w:cs="Times New Roman"/>
          <w:color w:val="000000"/>
        </w:rPr>
        <w:t xml:space="preserve"> </w:t>
      </w:r>
      <w:r>
        <w:rPr>
          <w:rFonts w:ascii="Times New Roman" w:hAnsi="Times New Roman" w:cs="Times New Roman"/>
          <w:color w:val="000000"/>
        </w:rPr>
        <w:t>tis</w:t>
      </w:r>
      <w:r w:rsidRPr="00AF1488">
        <w:rPr>
          <w:rFonts w:ascii="Times New Roman" w:hAnsi="Times New Roman" w:cs="Times New Roman"/>
          <w:color w:val="000000"/>
        </w:rPr>
        <w:t>. eur, t. j. o</w:t>
      </w:r>
      <w:r>
        <w:rPr>
          <w:rFonts w:ascii="Times New Roman" w:hAnsi="Times New Roman" w:cs="Times New Roman"/>
          <w:color w:val="000000"/>
        </w:rPr>
        <w:t> 7,45</w:t>
      </w:r>
      <w:r w:rsidRPr="00AF1488">
        <w:rPr>
          <w:rFonts w:ascii="Times New Roman" w:hAnsi="Times New Roman" w:cs="Times New Roman"/>
          <w:color w:val="000000"/>
        </w:rPr>
        <w:t xml:space="preserve"> %. </w:t>
      </w:r>
    </w:p>
    <w:p w:rsidR="007D13F3" w:rsidRPr="00AF1488" w:rsidRDefault="007D13F3" w:rsidP="007D13F3">
      <w:pPr>
        <w:ind w:firstLine="708"/>
        <w:jc w:val="both"/>
        <w:rPr>
          <w:rFonts w:ascii="Times New Roman" w:hAnsi="Times New Roman" w:cs="Times New Roman"/>
          <w:color w:val="000000"/>
        </w:rPr>
      </w:pPr>
    </w:p>
    <w:p w:rsidR="007D13F3" w:rsidRPr="00AF1488" w:rsidRDefault="007D13F3" w:rsidP="007D13F3">
      <w:pPr>
        <w:ind w:firstLine="708"/>
        <w:jc w:val="both"/>
        <w:rPr>
          <w:rFonts w:ascii="Times New Roman" w:hAnsi="Times New Roman" w:cs="Times New Roman"/>
          <w:color w:val="000000"/>
        </w:rPr>
      </w:pPr>
      <w:r w:rsidRPr="00AF1488">
        <w:rPr>
          <w:rFonts w:ascii="Times New Roman" w:hAnsi="Times New Roman" w:cs="Times New Roman"/>
          <w:color w:val="000000"/>
        </w:rPr>
        <w:t>Objem osobných výdavkov sa na rok 201</w:t>
      </w:r>
      <w:r>
        <w:rPr>
          <w:rFonts w:ascii="Times New Roman" w:hAnsi="Times New Roman" w:cs="Times New Roman"/>
          <w:color w:val="000000"/>
        </w:rPr>
        <w:t>8</w:t>
      </w:r>
      <w:r w:rsidRPr="00AF1488">
        <w:rPr>
          <w:rFonts w:ascii="Times New Roman" w:hAnsi="Times New Roman" w:cs="Times New Roman"/>
          <w:color w:val="000000"/>
        </w:rPr>
        <w:t xml:space="preserve"> rozpočtuje na úrovni </w:t>
      </w:r>
      <w:r>
        <w:rPr>
          <w:rFonts w:ascii="Times New Roman" w:hAnsi="Times New Roman" w:cs="Times New Roman"/>
          <w:color w:val="000000"/>
        </w:rPr>
        <w:t>8,09</w:t>
      </w:r>
      <w:r w:rsidRPr="00AF1488">
        <w:rPr>
          <w:rFonts w:ascii="Times New Roman" w:hAnsi="Times New Roman" w:cs="Times New Roman"/>
          <w:color w:val="000000"/>
        </w:rPr>
        <w:t xml:space="preserve"> mil. eur, čo v porovnaní so schváleným rozpočtom na rok 201</w:t>
      </w:r>
      <w:r>
        <w:rPr>
          <w:rFonts w:ascii="Times New Roman" w:hAnsi="Times New Roman" w:cs="Times New Roman"/>
          <w:color w:val="000000"/>
        </w:rPr>
        <w:t>7</w:t>
      </w:r>
      <w:r w:rsidRPr="00AF1488">
        <w:rPr>
          <w:rFonts w:ascii="Times New Roman" w:hAnsi="Times New Roman" w:cs="Times New Roman"/>
          <w:color w:val="000000"/>
        </w:rPr>
        <w:t xml:space="preserve"> predstavuje </w:t>
      </w:r>
      <w:r>
        <w:rPr>
          <w:rFonts w:ascii="Times New Roman" w:hAnsi="Times New Roman" w:cs="Times New Roman"/>
          <w:color w:val="000000"/>
        </w:rPr>
        <w:t>náras</w:t>
      </w:r>
      <w:r w:rsidRPr="00AF1488">
        <w:rPr>
          <w:rFonts w:ascii="Times New Roman" w:hAnsi="Times New Roman" w:cs="Times New Roman"/>
          <w:color w:val="000000"/>
        </w:rPr>
        <w:t>t o </w:t>
      </w:r>
      <w:r>
        <w:rPr>
          <w:rFonts w:ascii="Times New Roman" w:hAnsi="Times New Roman" w:cs="Times New Roman"/>
          <w:color w:val="000000"/>
        </w:rPr>
        <w:t>796</w:t>
      </w:r>
      <w:r w:rsidRPr="00AF1488">
        <w:rPr>
          <w:rFonts w:ascii="Times New Roman" w:hAnsi="Times New Roman" w:cs="Times New Roman"/>
          <w:color w:val="000000"/>
        </w:rPr>
        <w:t xml:space="preserve"> tis. eur, t. j. o</w:t>
      </w:r>
      <w:r>
        <w:rPr>
          <w:rFonts w:ascii="Times New Roman" w:hAnsi="Times New Roman" w:cs="Times New Roman"/>
          <w:color w:val="000000"/>
        </w:rPr>
        <w:t> 10,9</w:t>
      </w:r>
      <w:r w:rsidRPr="00AF1488">
        <w:rPr>
          <w:rFonts w:ascii="Times New Roman" w:hAnsi="Times New Roman" w:cs="Times New Roman"/>
          <w:color w:val="000000"/>
        </w:rPr>
        <w:t xml:space="preserve"> %. Nárast </w:t>
      </w:r>
      <w:r>
        <w:rPr>
          <w:rFonts w:ascii="Times New Roman" w:hAnsi="Times New Roman" w:cs="Times New Roman"/>
          <w:color w:val="000000"/>
        </w:rPr>
        <w:t xml:space="preserve">súvisí s </w:t>
      </w:r>
      <w:r w:rsidRPr="00AF1488">
        <w:rPr>
          <w:rFonts w:ascii="Times New Roman" w:hAnsi="Times New Roman" w:cs="Times New Roman"/>
          <w:color w:val="000000"/>
        </w:rPr>
        <w:t>dopočtom valorizácie platov zamestnancov z roku 201</w:t>
      </w:r>
      <w:r>
        <w:rPr>
          <w:rFonts w:ascii="Times New Roman" w:hAnsi="Times New Roman" w:cs="Times New Roman"/>
          <w:color w:val="000000"/>
        </w:rPr>
        <w:t>7, s potrebou zabezpečenia nárokov zamestnancov v zmysle zákona č. 55/2017 Z. z. o štátnej službe, ako aj so zohľadnením platových náležitostí predsedu a podpredsedov Najvyššieho kontrolného úradu SR vyplývajúcich zo zákona č. 340/2016 Z. z., ktorým sa dopĺňa zákon č. 120/1993 Z. z. o platových pomeroch niektorých ústavných činiteľov SR.</w:t>
      </w:r>
      <w:r w:rsidRPr="00AF1488">
        <w:rPr>
          <w:rFonts w:ascii="Times New Roman" w:hAnsi="Times New Roman" w:cs="Times New Roman"/>
          <w:color w:val="000000"/>
        </w:rPr>
        <w:t xml:space="preserve"> </w:t>
      </w:r>
    </w:p>
    <w:p w:rsidR="007D13F3" w:rsidRPr="00AF1488" w:rsidRDefault="007D13F3" w:rsidP="007D13F3">
      <w:pPr>
        <w:ind w:firstLine="708"/>
        <w:jc w:val="both"/>
        <w:rPr>
          <w:rFonts w:ascii="Times New Roman" w:hAnsi="Times New Roman" w:cs="Times New Roman"/>
          <w:color w:val="000000"/>
        </w:rPr>
      </w:pPr>
    </w:p>
    <w:p w:rsidR="007D13F3" w:rsidRPr="00AF1488" w:rsidRDefault="007D13F3" w:rsidP="007D13F3">
      <w:pPr>
        <w:ind w:firstLine="708"/>
        <w:jc w:val="both"/>
        <w:rPr>
          <w:rFonts w:ascii="Times New Roman" w:hAnsi="Times New Roman" w:cs="Times New Roman"/>
          <w:color w:val="000000"/>
        </w:rPr>
      </w:pPr>
      <w:r w:rsidRPr="00AF1488">
        <w:rPr>
          <w:rFonts w:ascii="Times New Roman" w:hAnsi="Times New Roman" w:cs="Times New Roman"/>
          <w:color w:val="000000"/>
        </w:rPr>
        <w:t>Výdavky na tovary a služby sa v roku 201</w:t>
      </w:r>
      <w:r>
        <w:rPr>
          <w:rFonts w:ascii="Times New Roman" w:hAnsi="Times New Roman" w:cs="Times New Roman"/>
          <w:color w:val="000000"/>
        </w:rPr>
        <w:t>8</w:t>
      </w:r>
      <w:r w:rsidRPr="00AF1488">
        <w:rPr>
          <w:rFonts w:ascii="Times New Roman" w:hAnsi="Times New Roman" w:cs="Times New Roman"/>
          <w:color w:val="000000"/>
        </w:rPr>
        <w:t xml:space="preserve"> rozpočtujú na úrovni </w:t>
      </w:r>
      <w:r>
        <w:rPr>
          <w:rFonts w:ascii="Times New Roman" w:hAnsi="Times New Roman" w:cs="Times New Roman"/>
          <w:color w:val="000000"/>
        </w:rPr>
        <w:t>2,29</w:t>
      </w:r>
      <w:r w:rsidRPr="00AF1488">
        <w:rPr>
          <w:rFonts w:ascii="Times New Roman" w:hAnsi="Times New Roman" w:cs="Times New Roman"/>
          <w:color w:val="000000"/>
        </w:rPr>
        <w:t xml:space="preserve"> mil. eur a oproti schválenému rozpočtu 201</w:t>
      </w:r>
      <w:r>
        <w:rPr>
          <w:rFonts w:ascii="Times New Roman" w:hAnsi="Times New Roman" w:cs="Times New Roman"/>
          <w:color w:val="000000"/>
        </w:rPr>
        <w:t>7</w:t>
      </w:r>
      <w:r w:rsidRPr="00AF1488">
        <w:rPr>
          <w:rFonts w:ascii="Times New Roman" w:hAnsi="Times New Roman" w:cs="Times New Roman"/>
          <w:color w:val="000000"/>
        </w:rPr>
        <w:t xml:space="preserve"> </w:t>
      </w:r>
      <w:r>
        <w:rPr>
          <w:rFonts w:ascii="Times New Roman" w:hAnsi="Times New Roman" w:cs="Times New Roman"/>
          <w:color w:val="000000"/>
        </w:rPr>
        <w:t xml:space="preserve">zaznamenávajú nárast </w:t>
      </w:r>
      <w:r w:rsidRPr="00AF1488">
        <w:rPr>
          <w:rFonts w:ascii="Times New Roman" w:hAnsi="Times New Roman" w:cs="Times New Roman"/>
          <w:color w:val="000000"/>
        </w:rPr>
        <w:t>o</w:t>
      </w:r>
      <w:r>
        <w:rPr>
          <w:rFonts w:ascii="Times New Roman" w:hAnsi="Times New Roman" w:cs="Times New Roman"/>
          <w:color w:val="000000"/>
        </w:rPr>
        <w:t> 205</w:t>
      </w:r>
      <w:r w:rsidRPr="00AF1488">
        <w:rPr>
          <w:rFonts w:ascii="Times New Roman" w:hAnsi="Times New Roman" w:cs="Times New Roman"/>
          <w:color w:val="000000"/>
        </w:rPr>
        <w:t xml:space="preserve"> tis. eur, t. j. o</w:t>
      </w:r>
      <w:r>
        <w:rPr>
          <w:rFonts w:ascii="Times New Roman" w:hAnsi="Times New Roman" w:cs="Times New Roman"/>
          <w:color w:val="000000"/>
        </w:rPr>
        <w:t> 9,85</w:t>
      </w:r>
      <w:r w:rsidRPr="00AF1488">
        <w:rPr>
          <w:rFonts w:ascii="Times New Roman" w:hAnsi="Times New Roman" w:cs="Times New Roman"/>
          <w:color w:val="000000"/>
        </w:rPr>
        <w:t xml:space="preserve"> %. </w:t>
      </w:r>
      <w:r>
        <w:rPr>
          <w:rFonts w:ascii="Times New Roman" w:hAnsi="Times New Roman" w:cs="Times New Roman"/>
          <w:color w:val="000000"/>
        </w:rPr>
        <w:t>Nárast súvisí s výdavkami na správu a údržbu informačných systémov.</w:t>
      </w:r>
    </w:p>
    <w:p w:rsidR="000736F2" w:rsidRDefault="000736F2" w:rsidP="007D13F3">
      <w:pPr>
        <w:ind w:firstLine="708"/>
        <w:jc w:val="both"/>
        <w:rPr>
          <w:rFonts w:ascii="Times New Roman" w:hAnsi="Times New Roman" w:cs="Times New Roman"/>
          <w:color w:val="000000"/>
        </w:rPr>
      </w:pPr>
    </w:p>
    <w:p w:rsidR="007D13F3" w:rsidRPr="00AF1488" w:rsidRDefault="007D13F3" w:rsidP="007D13F3">
      <w:pPr>
        <w:ind w:firstLine="708"/>
        <w:jc w:val="both"/>
        <w:rPr>
          <w:rFonts w:ascii="Times New Roman" w:hAnsi="Times New Roman" w:cs="Times New Roman"/>
          <w:color w:val="000000"/>
        </w:rPr>
      </w:pPr>
      <w:r w:rsidRPr="00AF1488">
        <w:rPr>
          <w:rFonts w:ascii="Times New Roman" w:hAnsi="Times New Roman" w:cs="Times New Roman"/>
          <w:color w:val="000000"/>
        </w:rPr>
        <w:lastRenderedPageBreak/>
        <w:t>Bežné transfery rozpočtované na rok 201</w:t>
      </w:r>
      <w:r>
        <w:rPr>
          <w:rFonts w:ascii="Times New Roman" w:hAnsi="Times New Roman" w:cs="Times New Roman"/>
          <w:color w:val="000000"/>
        </w:rPr>
        <w:t>8</w:t>
      </w:r>
      <w:r w:rsidRPr="00AF1488">
        <w:rPr>
          <w:rFonts w:ascii="Times New Roman" w:hAnsi="Times New Roman" w:cs="Times New Roman"/>
          <w:color w:val="000000"/>
        </w:rPr>
        <w:t xml:space="preserve"> v sume </w:t>
      </w:r>
      <w:r>
        <w:rPr>
          <w:rFonts w:ascii="Times New Roman" w:hAnsi="Times New Roman" w:cs="Times New Roman"/>
          <w:color w:val="000000"/>
        </w:rPr>
        <w:t>86</w:t>
      </w:r>
      <w:r w:rsidRPr="00AF1488">
        <w:rPr>
          <w:rFonts w:ascii="Times New Roman" w:hAnsi="Times New Roman" w:cs="Times New Roman"/>
          <w:color w:val="000000"/>
        </w:rPr>
        <w:t>,</w:t>
      </w:r>
      <w:r>
        <w:rPr>
          <w:rFonts w:ascii="Times New Roman" w:hAnsi="Times New Roman" w:cs="Times New Roman"/>
          <w:color w:val="000000"/>
        </w:rPr>
        <w:t>2</w:t>
      </w:r>
      <w:r w:rsidRPr="00AF1488">
        <w:rPr>
          <w:rFonts w:ascii="Times New Roman" w:hAnsi="Times New Roman" w:cs="Times New Roman"/>
          <w:color w:val="000000"/>
        </w:rPr>
        <w:t xml:space="preserve"> tis. eur sa oproti schválenému rozpočtu na rok 201</w:t>
      </w:r>
      <w:r>
        <w:rPr>
          <w:rFonts w:ascii="Times New Roman" w:hAnsi="Times New Roman" w:cs="Times New Roman"/>
          <w:color w:val="000000"/>
        </w:rPr>
        <w:t>7</w:t>
      </w:r>
      <w:r w:rsidRPr="00AF1488">
        <w:rPr>
          <w:rFonts w:ascii="Times New Roman" w:hAnsi="Times New Roman" w:cs="Times New Roman"/>
          <w:color w:val="000000"/>
        </w:rPr>
        <w:t xml:space="preserve"> zvýšili o</w:t>
      </w:r>
      <w:r>
        <w:rPr>
          <w:rFonts w:ascii="Times New Roman" w:hAnsi="Times New Roman" w:cs="Times New Roman"/>
          <w:color w:val="000000"/>
        </w:rPr>
        <w:t> 34,6</w:t>
      </w:r>
      <w:r w:rsidRPr="00AF1488">
        <w:rPr>
          <w:rFonts w:ascii="Times New Roman" w:hAnsi="Times New Roman" w:cs="Times New Roman"/>
          <w:color w:val="000000"/>
        </w:rPr>
        <w:t xml:space="preserve"> tis. eur, t. j. o</w:t>
      </w:r>
      <w:r>
        <w:rPr>
          <w:rFonts w:ascii="Times New Roman" w:hAnsi="Times New Roman" w:cs="Times New Roman"/>
          <w:color w:val="000000"/>
        </w:rPr>
        <w:t xml:space="preserve"> 67,1 </w:t>
      </w:r>
      <w:r w:rsidRPr="00AF1488">
        <w:rPr>
          <w:rFonts w:ascii="Times New Roman" w:hAnsi="Times New Roman" w:cs="Times New Roman"/>
          <w:color w:val="000000"/>
        </w:rPr>
        <w:t>%. V rámci bežných transferov sú rozpísané príspevky 2 medzinárodným organizáciám, v ktorých má Najvyšší kontrolný úrad SR členstvo.</w:t>
      </w:r>
    </w:p>
    <w:p w:rsidR="007D13F3" w:rsidRPr="00AF1488" w:rsidRDefault="007D13F3" w:rsidP="007D13F3">
      <w:pPr>
        <w:ind w:firstLine="708"/>
        <w:jc w:val="both"/>
        <w:rPr>
          <w:rFonts w:ascii="Times New Roman" w:hAnsi="Times New Roman" w:cs="Times New Roman"/>
          <w:color w:val="000000"/>
        </w:rPr>
      </w:pPr>
    </w:p>
    <w:p w:rsidR="007D13F3" w:rsidRDefault="007D13F3" w:rsidP="007D13F3">
      <w:pPr>
        <w:ind w:firstLine="708"/>
        <w:jc w:val="both"/>
        <w:rPr>
          <w:rFonts w:ascii="Times New Roman" w:hAnsi="Times New Roman" w:cs="Times New Roman"/>
          <w:color w:val="000000"/>
        </w:rPr>
      </w:pPr>
      <w:r w:rsidRPr="00AF1488">
        <w:rPr>
          <w:rFonts w:ascii="Times New Roman" w:hAnsi="Times New Roman" w:cs="Times New Roman"/>
          <w:color w:val="000000"/>
        </w:rPr>
        <w:t xml:space="preserve">Kapitálové výdavky vo výške </w:t>
      </w:r>
      <w:r>
        <w:rPr>
          <w:rFonts w:ascii="Times New Roman" w:hAnsi="Times New Roman" w:cs="Times New Roman"/>
          <w:color w:val="000000"/>
        </w:rPr>
        <w:t xml:space="preserve">269 </w:t>
      </w:r>
      <w:r w:rsidRPr="00AF1488">
        <w:rPr>
          <w:rFonts w:ascii="Times New Roman" w:hAnsi="Times New Roman" w:cs="Times New Roman"/>
          <w:color w:val="000000"/>
        </w:rPr>
        <w:t>tis. eur na rok 201</w:t>
      </w:r>
      <w:r>
        <w:rPr>
          <w:rFonts w:ascii="Times New Roman" w:hAnsi="Times New Roman" w:cs="Times New Roman"/>
          <w:color w:val="000000"/>
        </w:rPr>
        <w:t>8</w:t>
      </w:r>
      <w:r w:rsidRPr="00AF1488">
        <w:rPr>
          <w:rFonts w:ascii="Times New Roman" w:hAnsi="Times New Roman" w:cs="Times New Roman"/>
          <w:color w:val="000000"/>
        </w:rPr>
        <w:t xml:space="preserve"> s</w:t>
      </w:r>
      <w:r>
        <w:rPr>
          <w:rFonts w:ascii="Times New Roman" w:hAnsi="Times New Roman" w:cs="Times New Roman"/>
          <w:color w:val="000000"/>
        </w:rPr>
        <w:t xml:space="preserve">ú </w:t>
      </w:r>
      <w:r w:rsidRPr="00405DCB">
        <w:rPr>
          <w:rFonts w:ascii="Times New Roman" w:hAnsi="Times New Roman" w:cs="Times New Roman"/>
          <w:color w:val="000000"/>
        </w:rPr>
        <w:t>oproti schválenému rozpočtu 201</w:t>
      </w:r>
      <w:r>
        <w:rPr>
          <w:rFonts w:ascii="Times New Roman" w:hAnsi="Times New Roman" w:cs="Times New Roman"/>
          <w:color w:val="000000"/>
        </w:rPr>
        <w:t>7</w:t>
      </w:r>
      <w:r w:rsidRPr="00405DCB">
        <w:rPr>
          <w:rFonts w:ascii="Times New Roman" w:hAnsi="Times New Roman" w:cs="Times New Roman"/>
          <w:color w:val="000000"/>
        </w:rPr>
        <w:t xml:space="preserve"> </w:t>
      </w:r>
      <w:r>
        <w:rPr>
          <w:rFonts w:ascii="Times New Roman" w:hAnsi="Times New Roman" w:cs="Times New Roman"/>
          <w:color w:val="000000"/>
        </w:rPr>
        <w:t>nižšie o 292 tis. eur, t. j. o 52,0 %.</w:t>
      </w:r>
      <w:r w:rsidRPr="00AF1488">
        <w:rPr>
          <w:rFonts w:ascii="Times New Roman" w:hAnsi="Times New Roman" w:cs="Times New Roman"/>
          <w:color w:val="000000"/>
        </w:rPr>
        <w:t xml:space="preserve"> Prostriedky budú použité na</w:t>
      </w:r>
      <w:r>
        <w:rPr>
          <w:rFonts w:ascii="Times New Roman" w:hAnsi="Times New Roman" w:cs="Times New Roman"/>
          <w:color w:val="000000"/>
        </w:rPr>
        <w:t xml:space="preserve"> </w:t>
      </w:r>
      <w:r w:rsidRPr="00920A73">
        <w:rPr>
          <w:rFonts w:ascii="Times New Roman" w:hAnsi="Times New Roman" w:cs="Times New Roman"/>
          <w:color w:val="000000"/>
        </w:rPr>
        <w:t>rekonštrukci</w:t>
      </w:r>
      <w:r>
        <w:rPr>
          <w:rFonts w:ascii="Times New Roman" w:hAnsi="Times New Roman" w:cs="Times New Roman"/>
          <w:color w:val="000000"/>
        </w:rPr>
        <w:t xml:space="preserve">u a modernizáciu </w:t>
      </w:r>
      <w:r w:rsidRPr="00920A73">
        <w:rPr>
          <w:rFonts w:ascii="Times New Roman" w:hAnsi="Times New Roman" w:cs="Times New Roman"/>
          <w:color w:val="000000"/>
        </w:rPr>
        <w:t>školiace</w:t>
      </w:r>
      <w:r>
        <w:rPr>
          <w:rFonts w:ascii="Times New Roman" w:hAnsi="Times New Roman" w:cs="Times New Roman"/>
          <w:color w:val="000000"/>
        </w:rPr>
        <w:t>ho</w:t>
      </w:r>
      <w:r w:rsidRPr="00920A73">
        <w:rPr>
          <w:rFonts w:ascii="Times New Roman" w:hAnsi="Times New Roman" w:cs="Times New Roman"/>
          <w:color w:val="000000"/>
        </w:rPr>
        <w:t xml:space="preserve"> stredisk</w:t>
      </w:r>
      <w:r>
        <w:rPr>
          <w:rFonts w:ascii="Times New Roman" w:hAnsi="Times New Roman" w:cs="Times New Roman"/>
          <w:color w:val="000000"/>
        </w:rPr>
        <w:t>a v </w:t>
      </w:r>
      <w:r w:rsidRPr="00920A73">
        <w:rPr>
          <w:rFonts w:ascii="Times New Roman" w:hAnsi="Times New Roman" w:cs="Times New Roman"/>
          <w:color w:val="000000"/>
        </w:rPr>
        <w:t>Bojnic</w:t>
      </w:r>
      <w:r>
        <w:rPr>
          <w:rFonts w:ascii="Times New Roman" w:hAnsi="Times New Roman" w:cs="Times New Roman"/>
          <w:color w:val="000000"/>
        </w:rPr>
        <w:t xml:space="preserve">iach, na </w:t>
      </w:r>
      <w:r w:rsidRPr="00AF1488">
        <w:rPr>
          <w:rFonts w:ascii="Times New Roman" w:hAnsi="Times New Roman" w:cs="Times New Roman"/>
          <w:color w:val="000000"/>
        </w:rPr>
        <w:t xml:space="preserve">nákup </w:t>
      </w:r>
      <w:r>
        <w:rPr>
          <w:rFonts w:ascii="Times New Roman" w:hAnsi="Times New Roman" w:cs="Times New Roman"/>
          <w:color w:val="000000"/>
        </w:rPr>
        <w:t>osobných automobilov, multifunkčných zariadení a obnovu serverov.</w:t>
      </w:r>
    </w:p>
    <w:p w:rsidR="007D13F3" w:rsidRDefault="007D13F3" w:rsidP="007D13F3"/>
    <w:p w:rsidR="007D13F3" w:rsidRDefault="007D13F3" w:rsidP="007D13F3">
      <w:pPr>
        <w:pStyle w:val="Nadpis5"/>
        <w:pBdr>
          <w:bottom w:val="single" w:sz="4" w:space="1" w:color="auto"/>
        </w:pBdr>
        <w:spacing w:before="0" w:after="0"/>
        <w:ind w:left="0"/>
        <w:rPr>
          <w:i w:val="0"/>
          <w:sz w:val="24"/>
        </w:rPr>
      </w:pPr>
      <w:bookmarkStart w:id="171" w:name="_Toc494470112"/>
      <w:bookmarkStart w:id="172" w:name="_Toc494472288"/>
      <w:r w:rsidRPr="006E341A">
        <w:rPr>
          <w:i w:val="0"/>
          <w:sz w:val="24"/>
        </w:rPr>
        <w:t>Slovenská informačná služba</w:t>
      </w:r>
      <w:bookmarkEnd w:id="171"/>
      <w:bookmarkEnd w:id="172"/>
    </w:p>
    <w:p w:rsidR="007D13F3" w:rsidRDefault="007D13F3" w:rsidP="007D13F3"/>
    <w:tbl>
      <w:tblPr>
        <w:tblW w:w="9067" w:type="dxa"/>
        <w:tblLayout w:type="fixed"/>
        <w:tblCellMar>
          <w:left w:w="70" w:type="dxa"/>
          <w:right w:w="70" w:type="dxa"/>
        </w:tblCellMar>
        <w:tblLook w:val="04A0" w:firstRow="1" w:lastRow="0" w:firstColumn="1" w:lastColumn="0" w:noHBand="0" w:noVBand="1"/>
      </w:tblPr>
      <w:tblGrid>
        <w:gridCol w:w="2405"/>
        <w:gridCol w:w="951"/>
        <w:gridCol w:w="952"/>
        <w:gridCol w:w="952"/>
        <w:gridCol w:w="951"/>
        <w:gridCol w:w="952"/>
        <w:gridCol w:w="952"/>
        <w:gridCol w:w="952"/>
      </w:tblGrid>
      <w:tr w:rsidR="007D13F3" w:rsidRPr="008E07AB" w:rsidTr="00465CAC">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8E07AB" w:rsidRDefault="007D13F3" w:rsidP="00465CAC">
            <w:pP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v eurách</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E07AB"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2015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E07AB"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E07AB"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R</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E07AB"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OS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E07AB"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E07AB"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8E07AB"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 N</w:t>
            </w:r>
          </w:p>
        </w:tc>
      </w:tr>
      <w:tr w:rsidR="007D13F3" w:rsidRPr="008E07AB" w:rsidTr="00465CAC">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8E07AB" w:rsidRDefault="007D13F3" w:rsidP="00465CAC">
            <w:pP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Zdroje príslušnej kapitoly</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3700B2" w:rsidRDefault="007D13F3" w:rsidP="00465CAC">
            <w:pPr>
              <w:jc w:val="right"/>
              <w:rPr>
                <w:rFonts w:ascii="Times New Roman" w:hAnsi="Times New Roman" w:cs="Times New Roman"/>
                <w:b/>
                <w:bCs/>
                <w:color w:val="000000"/>
                <w:sz w:val="14"/>
                <w:szCs w:val="14"/>
                <w:lang w:eastAsia="sk-SK"/>
              </w:rPr>
            </w:pPr>
            <w:r w:rsidRPr="003700B2">
              <w:rPr>
                <w:rFonts w:ascii="Times New Roman" w:hAnsi="Times New Roman" w:cs="Times New Roman"/>
                <w:b/>
                <w:bCs/>
                <w:color w:val="000000"/>
                <w:sz w:val="14"/>
                <w:szCs w:val="14"/>
              </w:rPr>
              <w:t>47 679 624</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3700B2" w:rsidRDefault="007D13F3" w:rsidP="00465CAC">
            <w:pPr>
              <w:jc w:val="right"/>
              <w:rPr>
                <w:rFonts w:ascii="Times New Roman" w:hAnsi="Times New Roman" w:cs="Times New Roman"/>
                <w:b/>
                <w:bCs/>
                <w:color w:val="000000"/>
                <w:sz w:val="14"/>
                <w:szCs w:val="14"/>
              </w:rPr>
            </w:pPr>
            <w:r w:rsidRPr="003700B2">
              <w:rPr>
                <w:rFonts w:ascii="Times New Roman" w:hAnsi="Times New Roman" w:cs="Times New Roman"/>
                <w:b/>
                <w:bCs/>
                <w:color w:val="000000"/>
                <w:sz w:val="14"/>
                <w:szCs w:val="14"/>
              </w:rPr>
              <w:t>47 012 378</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3700B2" w:rsidRDefault="007D13F3" w:rsidP="00465CAC">
            <w:pPr>
              <w:jc w:val="right"/>
              <w:rPr>
                <w:rFonts w:ascii="Times New Roman" w:hAnsi="Times New Roman" w:cs="Times New Roman"/>
                <w:b/>
                <w:bCs/>
                <w:color w:val="000000"/>
                <w:sz w:val="14"/>
                <w:szCs w:val="14"/>
              </w:rPr>
            </w:pPr>
            <w:r w:rsidRPr="003700B2">
              <w:rPr>
                <w:rFonts w:ascii="Times New Roman" w:hAnsi="Times New Roman" w:cs="Times New Roman"/>
                <w:b/>
                <w:bCs/>
                <w:color w:val="000000"/>
                <w:sz w:val="14"/>
                <w:szCs w:val="14"/>
              </w:rPr>
              <w:t>51 510 678</w:t>
            </w:r>
          </w:p>
        </w:tc>
        <w:tc>
          <w:tcPr>
            <w:tcW w:w="95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810570" w:rsidRDefault="007D13F3" w:rsidP="00465CAC">
            <w:pPr>
              <w:jc w:val="right"/>
              <w:rPr>
                <w:rFonts w:ascii="Times New Roman" w:hAnsi="Times New Roman" w:cs="Times New Roman"/>
                <w:b/>
                <w:sz w:val="14"/>
                <w:szCs w:val="14"/>
              </w:rPr>
            </w:pPr>
            <w:r w:rsidRPr="00810570">
              <w:rPr>
                <w:rFonts w:ascii="Times New Roman" w:hAnsi="Times New Roman" w:cs="Times New Roman"/>
                <w:b/>
                <w:sz w:val="14"/>
                <w:szCs w:val="14"/>
              </w:rPr>
              <w:t>52 661 060</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3700B2" w:rsidRDefault="007D13F3" w:rsidP="00465CAC">
            <w:pPr>
              <w:jc w:val="right"/>
              <w:rPr>
                <w:rFonts w:ascii="Times New Roman" w:hAnsi="Times New Roman" w:cs="Times New Roman"/>
                <w:b/>
                <w:bCs/>
                <w:color w:val="000000"/>
                <w:sz w:val="14"/>
                <w:szCs w:val="14"/>
              </w:rPr>
            </w:pPr>
            <w:r w:rsidRPr="003700B2">
              <w:rPr>
                <w:rFonts w:ascii="Times New Roman" w:hAnsi="Times New Roman" w:cs="Times New Roman"/>
                <w:b/>
                <w:bCs/>
                <w:color w:val="000000"/>
                <w:sz w:val="14"/>
                <w:szCs w:val="14"/>
              </w:rPr>
              <w:t>52 997 882</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3700B2" w:rsidRDefault="007D13F3" w:rsidP="00465CAC">
            <w:pPr>
              <w:jc w:val="right"/>
              <w:rPr>
                <w:rFonts w:ascii="Times New Roman" w:hAnsi="Times New Roman" w:cs="Times New Roman"/>
                <w:b/>
                <w:bCs/>
                <w:color w:val="000000"/>
                <w:sz w:val="14"/>
                <w:szCs w:val="14"/>
              </w:rPr>
            </w:pPr>
            <w:r w:rsidRPr="003700B2">
              <w:rPr>
                <w:rFonts w:ascii="Times New Roman" w:hAnsi="Times New Roman" w:cs="Times New Roman"/>
                <w:b/>
                <w:bCs/>
                <w:color w:val="000000"/>
                <w:sz w:val="14"/>
                <w:szCs w:val="14"/>
              </w:rPr>
              <w:t>52 997 882</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D13F3" w:rsidRPr="003700B2" w:rsidRDefault="007D13F3" w:rsidP="00465CAC">
            <w:pPr>
              <w:jc w:val="right"/>
              <w:rPr>
                <w:rFonts w:ascii="Times New Roman" w:hAnsi="Times New Roman" w:cs="Times New Roman"/>
                <w:b/>
                <w:bCs/>
                <w:color w:val="000000"/>
                <w:sz w:val="14"/>
                <w:szCs w:val="14"/>
              </w:rPr>
            </w:pPr>
            <w:r w:rsidRPr="003700B2">
              <w:rPr>
                <w:rFonts w:ascii="Times New Roman" w:hAnsi="Times New Roman" w:cs="Times New Roman"/>
                <w:b/>
                <w:bCs/>
                <w:color w:val="000000"/>
                <w:sz w:val="14"/>
                <w:szCs w:val="14"/>
              </w:rPr>
              <w:t>52 997 882</w:t>
            </w:r>
          </w:p>
        </w:tc>
      </w:tr>
      <w:tr w:rsidR="007D13F3" w:rsidRPr="008E07AB"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8E07AB" w:rsidRDefault="007D13F3" w:rsidP="00465CAC">
            <w:pP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 xml:space="preserve">rozpočtové zdroje kapitoly </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7D13F3" w:rsidRPr="00BF37D0" w:rsidRDefault="007D13F3" w:rsidP="00465CAC">
            <w:pPr>
              <w:jc w:val="right"/>
              <w:rPr>
                <w:rFonts w:ascii="Times New Roman" w:hAnsi="Times New Roman" w:cs="Times New Roman"/>
                <w:b/>
                <w:color w:val="000000"/>
                <w:sz w:val="14"/>
                <w:szCs w:val="14"/>
              </w:rPr>
            </w:pPr>
            <w:r w:rsidRPr="00BF37D0">
              <w:rPr>
                <w:rFonts w:ascii="Times New Roman" w:hAnsi="Times New Roman" w:cs="Times New Roman"/>
                <w:b/>
                <w:color w:val="000000"/>
                <w:sz w:val="14"/>
                <w:szCs w:val="14"/>
              </w:rPr>
              <w:t>47 679 624</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BF37D0" w:rsidRDefault="007D13F3" w:rsidP="00465CAC">
            <w:pPr>
              <w:jc w:val="right"/>
              <w:rPr>
                <w:rFonts w:ascii="Times New Roman" w:hAnsi="Times New Roman" w:cs="Times New Roman"/>
                <w:b/>
                <w:color w:val="000000"/>
                <w:sz w:val="14"/>
                <w:szCs w:val="14"/>
              </w:rPr>
            </w:pPr>
            <w:r w:rsidRPr="00BF37D0">
              <w:rPr>
                <w:rFonts w:ascii="Times New Roman" w:hAnsi="Times New Roman" w:cs="Times New Roman"/>
                <w:b/>
                <w:color w:val="000000"/>
                <w:sz w:val="14"/>
                <w:szCs w:val="14"/>
              </w:rPr>
              <w:t>47 012 378</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BF37D0" w:rsidRDefault="007D13F3" w:rsidP="00465CAC">
            <w:pPr>
              <w:jc w:val="right"/>
              <w:rPr>
                <w:rFonts w:ascii="Times New Roman" w:hAnsi="Times New Roman" w:cs="Times New Roman"/>
                <w:b/>
                <w:color w:val="000000"/>
                <w:sz w:val="14"/>
                <w:szCs w:val="14"/>
              </w:rPr>
            </w:pPr>
            <w:r w:rsidRPr="00BF37D0">
              <w:rPr>
                <w:rFonts w:ascii="Times New Roman" w:hAnsi="Times New Roman" w:cs="Times New Roman"/>
                <w:b/>
                <w:color w:val="000000"/>
                <w:sz w:val="14"/>
                <w:szCs w:val="14"/>
              </w:rPr>
              <w:t>51 510 678</w:t>
            </w:r>
          </w:p>
        </w:tc>
        <w:tc>
          <w:tcPr>
            <w:tcW w:w="951" w:type="dxa"/>
            <w:tcBorders>
              <w:top w:val="nil"/>
              <w:left w:val="nil"/>
              <w:bottom w:val="single" w:sz="4" w:space="0" w:color="auto"/>
              <w:right w:val="single" w:sz="4" w:space="0" w:color="auto"/>
            </w:tcBorders>
            <w:shd w:val="clear" w:color="auto" w:fill="auto"/>
            <w:noWrap/>
            <w:vAlign w:val="bottom"/>
            <w:hideMark/>
          </w:tcPr>
          <w:p w:rsidR="007D13F3" w:rsidRPr="00810570" w:rsidRDefault="007D13F3" w:rsidP="00465CAC">
            <w:pPr>
              <w:jc w:val="right"/>
              <w:rPr>
                <w:rFonts w:ascii="Times New Roman" w:hAnsi="Times New Roman" w:cs="Times New Roman"/>
                <w:b/>
                <w:sz w:val="14"/>
                <w:szCs w:val="14"/>
              </w:rPr>
            </w:pPr>
            <w:r w:rsidRPr="00810570">
              <w:rPr>
                <w:rFonts w:ascii="Times New Roman" w:hAnsi="Times New Roman" w:cs="Times New Roman"/>
                <w:b/>
                <w:sz w:val="14"/>
                <w:szCs w:val="14"/>
              </w:rPr>
              <w:t>52 661 060</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BF37D0" w:rsidRDefault="007D13F3" w:rsidP="00465CAC">
            <w:pPr>
              <w:jc w:val="right"/>
              <w:rPr>
                <w:rFonts w:ascii="Times New Roman" w:hAnsi="Times New Roman" w:cs="Times New Roman"/>
                <w:b/>
                <w:color w:val="000000"/>
                <w:sz w:val="14"/>
                <w:szCs w:val="14"/>
              </w:rPr>
            </w:pPr>
            <w:r w:rsidRPr="00BF37D0">
              <w:rPr>
                <w:rFonts w:ascii="Times New Roman" w:hAnsi="Times New Roman" w:cs="Times New Roman"/>
                <w:b/>
                <w:color w:val="000000"/>
                <w:sz w:val="14"/>
                <w:szCs w:val="14"/>
              </w:rPr>
              <w:t>52 997 882</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BF37D0" w:rsidRDefault="007D13F3" w:rsidP="00465CAC">
            <w:pPr>
              <w:jc w:val="right"/>
              <w:rPr>
                <w:rFonts w:ascii="Times New Roman" w:hAnsi="Times New Roman" w:cs="Times New Roman"/>
                <w:b/>
                <w:color w:val="000000"/>
                <w:sz w:val="14"/>
                <w:szCs w:val="14"/>
              </w:rPr>
            </w:pPr>
            <w:r w:rsidRPr="00BF37D0">
              <w:rPr>
                <w:rFonts w:ascii="Times New Roman" w:hAnsi="Times New Roman" w:cs="Times New Roman"/>
                <w:b/>
                <w:color w:val="000000"/>
                <w:sz w:val="14"/>
                <w:szCs w:val="14"/>
              </w:rPr>
              <w:t>52 997 882</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BF37D0" w:rsidRDefault="007D13F3" w:rsidP="00465CAC">
            <w:pPr>
              <w:jc w:val="right"/>
              <w:rPr>
                <w:rFonts w:ascii="Times New Roman" w:hAnsi="Times New Roman" w:cs="Times New Roman"/>
                <w:b/>
                <w:color w:val="000000"/>
                <w:sz w:val="14"/>
                <w:szCs w:val="14"/>
              </w:rPr>
            </w:pPr>
            <w:r w:rsidRPr="00BF37D0">
              <w:rPr>
                <w:rFonts w:ascii="Times New Roman" w:hAnsi="Times New Roman" w:cs="Times New Roman"/>
                <w:b/>
                <w:color w:val="000000"/>
                <w:sz w:val="14"/>
                <w:szCs w:val="14"/>
              </w:rPr>
              <w:t>52 997 882</w:t>
            </w:r>
          </w:p>
        </w:tc>
      </w:tr>
      <w:tr w:rsidR="007D13F3" w:rsidRPr="008E07AB"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8E07AB" w:rsidRDefault="007D13F3" w:rsidP="00465CAC">
            <w:pPr>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 xml:space="preserve">    v tom: bežné výdavky 600</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44 529 817</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46 012 556</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47 510 678</w:t>
            </w:r>
          </w:p>
        </w:tc>
        <w:tc>
          <w:tcPr>
            <w:tcW w:w="951" w:type="dxa"/>
            <w:tcBorders>
              <w:top w:val="nil"/>
              <w:left w:val="nil"/>
              <w:bottom w:val="single" w:sz="4" w:space="0" w:color="auto"/>
              <w:right w:val="single" w:sz="4" w:space="0" w:color="auto"/>
            </w:tcBorders>
            <w:shd w:val="clear" w:color="auto" w:fill="auto"/>
            <w:noWrap/>
            <w:vAlign w:val="bottom"/>
            <w:hideMark/>
          </w:tcPr>
          <w:p w:rsidR="007D13F3" w:rsidRPr="00810570" w:rsidRDefault="007D13F3" w:rsidP="00465CAC">
            <w:pPr>
              <w:jc w:val="right"/>
              <w:rPr>
                <w:rFonts w:ascii="Times New Roman" w:hAnsi="Times New Roman" w:cs="Times New Roman"/>
                <w:sz w:val="14"/>
                <w:szCs w:val="14"/>
              </w:rPr>
            </w:pPr>
            <w:r w:rsidRPr="00810570">
              <w:rPr>
                <w:rFonts w:ascii="Times New Roman" w:hAnsi="Times New Roman" w:cs="Times New Roman"/>
                <w:sz w:val="14"/>
                <w:szCs w:val="14"/>
              </w:rPr>
              <w:t>48 661 060</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48 997 882</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48 997 882</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48 997 882</w:t>
            </w:r>
          </w:p>
        </w:tc>
      </w:tr>
      <w:tr w:rsidR="007D13F3" w:rsidRPr="008E07AB"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8E07AB" w:rsidRDefault="007D13F3" w:rsidP="00465CAC">
            <w:pPr>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 xml:space="preserve">                           630 tovary a služby</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44 529 817</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46 012 556</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47 510 678</w:t>
            </w:r>
          </w:p>
        </w:tc>
        <w:tc>
          <w:tcPr>
            <w:tcW w:w="951" w:type="dxa"/>
            <w:tcBorders>
              <w:top w:val="nil"/>
              <w:left w:val="nil"/>
              <w:bottom w:val="single" w:sz="4" w:space="0" w:color="auto"/>
              <w:right w:val="single" w:sz="4" w:space="0" w:color="auto"/>
            </w:tcBorders>
            <w:shd w:val="clear" w:color="auto" w:fill="auto"/>
            <w:noWrap/>
            <w:vAlign w:val="bottom"/>
            <w:hideMark/>
          </w:tcPr>
          <w:p w:rsidR="007D13F3" w:rsidRPr="00810570" w:rsidRDefault="007D13F3" w:rsidP="00465CAC">
            <w:pPr>
              <w:jc w:val="right"/>
              <w:rPr>
                <w:rFonts w:ascii="Times New Roman" w:hAnsi="Times New Roman" w:cs="Times New Roman"/>
                <w:sz w:val="14"/>
                <w:szCs w:val="14"/>
              </w:rPr>
            </w:pPr>
            <w:r w:rsidRPr="00810570">
              <w:rPr>
                <w:rFonts w:ascii="Times New Roman" w:hAnsi="Times New Roman" w:cs="Times New Roman"/>
                <w:sz w:val="14"/>
                <w:szCs w:val="14"/>
              </w:rPr>
              <w:t>48 661 060</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48 997 882</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48 997 882</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48 997 882</w:t>
            </w:r>
          </w:p>
        </w:tc>
      </w:tr>
      <w:tr w:rsidR="007D13F3" w:rsidRPr="008E07AB" w:rsidTr="00465CAC">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D13F3" w:rsidRPr="008E07AB" w:rsidRDefault="007D13F3" w:rsidP="00465CAC">
            <w:pPr>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 xml:space="preserve">              kapitálové výdavky 700</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3 149 807</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999 822</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4 000 000</w:t>
            </w:r>
          </w:p>
        </w:tc>
        <w:tc>
          <w:tcPr>
            <w:tcW w:w="951" w:type="dxa"/>
            <w:tcBorders>
              <w:top w:val="nil"/>
              <w:left w:val="nil"/>
              <w:bottom w:val="single" w:sz="4" w:space="0" w:color="auto"/>
              <w:right w:val="single" w:sz="4" w:space="0" w:color="auto"/>
            </w:tcBorders>
            <w:shd w:val="clear" w:color="auto" w:fill="auto"/>
            <w:noWrap/>
            <w:vAlign w:val="bottom"/>
            <w:hideMark/>
          </w:tcPr>
          <w:p w:rsidR="007D13F3" w:rsidRPr="00810570" w:rsidRDefault="007D13F3" w:rsidP="00465CAC">
            <w:pPr>
              <w:jc w:val="right"/>
              <w:rPr>
                <w:rFonts w:ascii="Times New Roman" w:hAnsi="Times New Roman" w:cs="Times New Roman"/>
                <w:sz w:val="14"/>
                <w:szCs w:val="14"/>
              </w:rPr>
            </w:pPr>
            <w:r w:rsidRPr="00810570">
              <w:rPr>
                <w:rFonts w:ascii="Times New Roman" w:hAnsi="Times New Roman" w:cs="Times New Roman"/>
                <w:sz w:val="14"/>
                <w:szCs w:val="14"/>
              </w:rPr>
              <w:t>4 000 000</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4 000 000</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4 000 000</w:t>
            </w:r>
          </w:p>
        </w:tc>
        <w:tc>
          <w:tcPr>
            <w:tcW w:w="952" w:type="dxa"/>
            <w:tcBorders>
              <w:top w:val="nil"/>
              <w:left w:val="nil"/>
              <w:bottom w:val="single" w:sz="4" w:space="0" w:color="auto"/>
              <w:right w:val="single" w:sz="4" w:space="0" w:color="auto"/>
            </w:tcBorders>
            <w:shd w:val="clear" w:color="auto" w:fill="auto"/>
            <w:noWrap/>
            <w:vAlign w:val="bottom"/>
            <w:hideMark/>
          </w:tcPr>
          <w:p w:rsidR="007D13F3" w:rsidRPr="003700B2" w:rsidRDefault="007D13F3" w:rsidP="00465CAC">
            <w:pPr>
              <w:jc w:val="right"/>
              <w:rPr>
                <w:rFonts w:ascii="Times New Roman" w:hAnsi="Times New Roman" w:cs="Times New Roman"/>
                <w:color w:val="000000"/>
                <w:sz w:val="14"/>
                <w:szCs w:val="14"/>
              </w:rPr>
            </w:pPr>
            <w:r w:rsidRPr="003700B2">
              <w:rPr>
                <w:rFonts w:ascii="Times New Roman" w:hAnsi="Times New Roman" w:cs="Times New Roman"/>
                <w:color w:val="000000"/>
                <w:sz w:val="14"/>
                <w:szCs w:val="14"/>
              </w:rPr>
              <w:t>4 000 000</w:t>
            </w:r>
          </w:p>
        </w:tc>
      </w:tr>
    </w:tbl>
    <w:p w:rsidR="007D13F3" w:rsidRPr="008E07AB" w:rsidRDefault="007D13F3" w:rsidP="007D13F3">
      <w:pPr>
        <w:jc w:val="both"/>
        <w:rPr>
          <w:rFonts w:ascii="Times New Roman" w:hAnsi="Times New Roman" w:cs="Times New Roman"/>
          <w:lang w:eastAsia="sk-SK"/>
        </w:rPr>
      </w:pPr>
    </w:p>
    <w:p w:rsidR="007D13F3" w:rsidRPr="008E07AB" w:rsidRDefault="007D13F3" w:rsidP="007D13F3">
      <w:pPr>
        <w:ind w:firstLine="708"/>
        <w:jc w:val="both"/>
        <w:rPr>
          <w:rFonts w:ascii="Times New Roman" w:hAnsi="Times New Roman" w:cs="Times New Roman"/>
        </w:rPr>
      </w:pPr>
      <w:r w:rsidRPr="008E07AB">
        <w:rPr>
          <w:rFonts w:ascii="Times New Roman" w:hAnsi="Times New Roman" w:cs="Times New Roman"/>
        </w:rPr>
        <w:t xml:space="preserve">Celkové výdavky kapitoly v sume </w:t>
      </w:r>
      <w:r>
        <w:rPr>
          <w:rFonts w:ascii="Times New Roman" w:hAnsi="Times New Roman" w:cs="Times New Roman"/>
        </w:rPr>
        <w:t>53,0 mil. eur na rok 2018</w:t>
      </w:r>
      <w:r w:rsidRPr="008E07AB">
        <w:rPr>
          <w:rFonts w:ascii="Times New Roman" w:hAnsi="Times New Roman" w:cs="Times New Roman"/>
        </w:rPr>
        <w:t xml:space="preserve"> sú oprot</w:t>
      </w:r>
      <w:r>
        <w:rPr>
          <w:rFonts w:ascii="Times New Roman" w:hAnsi="Times New Roman" w:cs="Times New Roman"/>
        </w:rPr>
        <w:t>i schválenému rozpočtu roku 2017</w:t>
      </w:r>
      <w:r w:rsidRPr="008E07AB">
        <w:rPr>
          <w:rFonts w:ascii="Times New Roman" w:hAnsi="Times New Roman" w:cs="Times New Roman"/>
        </w:rPr>
        <w:t xml:space="preserve"> </w:t>
      </w:r>
      <w:r>
        <w:rPr>
          <w:rFonts w:ascii="Times New Roman" w:hAnsi="Times New Roman" w:cs="Times New Roman"/>
        </w:rPr>
        <w:t>vyššie</w:t>
      </w:r>
      <w:r w:rsidRPr="008E07AB">
        <w:rPr>
          <w:rFonts w:ascii="Times New Roman" w:hAnsi="Times New Roman" w:cs="Times New Roman"/>
        </w:rPr>
        <w:t xml:space="preserve"> o</w:t>
      </w:r>
      <w:r>
        <w:rPr>
          <w:rFonts w:ascii="Times New Roman" w:hAnsi="Times New Roman" w:cs="Times New Roman"/>
        </w:rPr>
        <w:t> 1,49 mil</w:t>
      </w:r>
      <w:r w:rsidRPr="008E07AB">
        <w:rPr>
          <w:rFonts w:ascii="Times New Roman" w:hAnsi="Times New Roman" w:cs="Times New Roman"/>
        </w:rPr>
        <w:t xml:space="preserve">. eur, čo predstavuje </w:t>
      </w:r>
      <w:r>
        <w:rPr>
          <w:rFonts w:ascii="Times New Roman" w:hAnsi="Times New Roman" w:cs="Times New Roman"/>
        </w:rPr>
        <w:t>nárast</w:t>
      </w:r>
      <w:r w:rsidRPr="008E07AB">
        <w:rPr>
          <w:rFonts w:ascii="Times New Roman" w:hAnsi="Times New Roman" w:cs="Times New Roman"/>
        </w:rPr>
        <w:t xml:space="preserve"> o</w:t>
      </w:r>
      <w:r>
        <w:rPr>
          <w:rFonts w:ascii="Times New Roman" w:hAnsi="Times New Roman" w:cs="Times New Roman"/>
        </w:rPr>
        <w:t> 2,89</w:t>
      </w:r>
      <w:r w:rsidRPr="008E07AB">
        <w:rPr>
          <w:rFonts w:ascii="Times New Roman" w:hAnsi="Times New Roman" w:cs="Times New Roman"/>
        </w:rPr>
        <w:t xml:space="preserve"> %. </w:t>
      </w:r>
    </w:p>
    <w:p w:rsidR="007D13F3" w:rsidRPr="008E07AB" w:rsidRDefault="007D13F3" w:rsidP="007D13F3">
      <w:pPr>
        <w:spacing w:before="100" w:beforeAutospacing="1" w:after="100" w:afterAutospacing="1"/>
        <w:ind w:firstLine="708"/>
        <w:jc w:val="both"/>
        <w:rPr>
          <w:rFonts w:ascii="Times New Roman" w:hAnsi="Times New Roman" w:cs="Times New Roman"/>
        </w:rPr>
      </w:pPr>
      <w:r>
        <w:rPr>
          <w:rFonts w:ascii="Times New Roman" w:hAnsi="Times New Roman" w:cs="Times New Roman"/>
        </w:rPr>
        <w:t>V rámci tovarov a služieb sa rozpočtujú prostriedky na zabezpečenie základnej prevádzkovej činnosti</w:t>
      </w:r>
      <w:r w:rsidRPr="008E07AB">
        <w:rPr>
          <w:rFonts w:ascii="Times New Roman" w:hAnsi="Times New Roman" w:cs="Times New Roman"/>
        </w:rPr>
        <w:t xml:space="preserve"> Slovenskej informačnej služby vrátane osobných výdavkov</w:t>
      </w:r>
      <w:r>
        <w:rPr>
          <w:rFonts w:ascii="Times New Roman" w:hAnsi="Times New Roman" w:cs="Times New Roman"/>
        </w:rPr>
        <w:t xml:space="preserve"> a výdavkov na bežné transfery. </w:t>
      </w:r>
    </w:p>
    <w:p w:rsidR="007D13F3" w:rsidRDefault="007D13F3" w:rsidP="007D13F3">
      <w:pPr>
        <w:ind w:firstLine="709"/>
        <w:jc w:val="both"/>
        <w:rPr>
          <w:rFonts w:ascii="Times New Roman" w:hAnsi="Times New Roman" w:cs="Times New Roman"/>
        </w:rPr>
      </w:pPr>
      <w:r w:rsidRPr="00F02C58">
        <w:rPr>
          <w:rFonts w:ascii="Times New Roman" w:hAnsi="Times New Roman" w:cs="Times New Roman"/>
        </w:rPr>
        <w:t xml:space="preserve">Kapitálové výdavky na rok </w:t>
      </w:r>
      <w:r>
        <w:rPr>
          <w:rFonts w:ascii="Times New Roman" w:hAnsi="Times New Roman" w:cs="Times New Roman"/>
        </w:rPr>
        <w:t>2018</w:t>
      </w:r>
      <w:r w:rsidRPr="00F02C58">
        <w:rPr>
          <w:rFonts w:ascii="Times New Roman" w:hAnsi="Times New Roman" w:cs="Times New Roman"/>
        </w:rPr>
        <w:t xml:space="preserve"> sa rozpočtujú v sume 4,00 mil. eur</w:t>
      </w:r>
      <w:r>
        <w:rPr>
          <w:rFonts w:ascii="Times New Roman" w:hAnsi="Times New Roman" w:cs="Times New Roman"/>
        </w:rPr>
        <w:t>, a to najmä n</w:t>
      </w:r>
      <w:r w:rsidRPr="00F02C58">
        <w:rPr>
          <w:rFonts w:ascii="Times New Roman" w:hAnsi="Times New Roman" w:cs="Times New Roman"/>
        </w:rPr>
        <w:t>a</w:t>
      </w:r>
      <w:r>
        <w:rPr>
          <w:rFonts w:ascii="Times New Roman" w:hAnsi="Times New Roman" w:cs="Times New Roman"/>
        </w:rPr>
        <w:t xml:space="preserve"> zabezpečenie modernizácie </w:t>
      </w:r>
      <w:r w:rsidRPr="00F02C58">
        <w:rPr>
          <w:rFonts w:ascii="Times New Roman" w:hAnsi="Times New Roman" w:cs="Times New Roman"/>
        </w:rPr>
        <w:t>informačných</w:t>
      </w:r>
      <w:r>
        <w:rPr>
          <w:rFonts w:ascii="Times New Roman" w:hAnsi="Times New Roman" w:cs="Times New Roman"/>
        </w:rPr>
        <w:t xml:space="preserve"> a komunikačných technológií</w:t>
      </w:r>
      <w:r w:rsidRPr="00F02C58">
        <w:rPr>
          <w:rFonts w:ascii="Times New Roman" w:hAnsi="Times New Roman" w:cs="Times New Roman"/>
        </w:rPr>
        <w:t xml:space="preserve"> </w:t>
      </w:r>
      <w:r>
        <w:rPr>
          <w:rFonts w:ascii="Times New Roman" w:hAnsi="Times New Roman" w:cs="Times New Roman"/>
        </w:rPr>
        <w:t>Slovenskej informačnej služby</w:t>
      </w:r>
      <w:r w:rsidRPr="00F02C58">
        <w:rPr>
          <w:rFonts w:ascii="Times New Roman" w:hAnsi="Times New Roman" w:cs="Times New Roman"/>
        </w:rPr>
        <w:t>.</w:t>
      </w:r>
      <w:r w:rsidRPr="008E07AB">
        <w:rPr>
          <w:rFonts w:ascii="Times New Roman" w:hAnsi="Times New Roman" w:cs="Times New Roman"/>
        </w:rPr>
        <w:t xml:space="preserve"> </w:t>
      </w:r>
    </w:p>
    <w:p w:rsidR="007D13F3" w:rsidRDefault="007D13F3" w:rsidP="007D13F3"/>
    <w:p w:rsidR="007D13F3" w:rsidRPr="0044568B" w:rsidRDefault="007D13F3" w:rsidP="007D13F3">
      <w:pPr>
        <w:pStyle w:val="Nadpis5"/>
        <w:pBdr>
          <w:bottom w:val="single" w:sz="4" w:space="1" w:color="auto"/>
        </w:pBdr>
        <w:spacing w:before="0" w:after="0"/>
        <w:ind w:left="0"/>
        <w:rPr>
          <w:i w:val="0"/>
          <w:sz w:val="24"/>
        </w:rPr>
      </w:pPr>
      <w:bookmarkStart w:id="173" w:name="_Toc494470113"/>
      <w:bookmarkStart w:id="174" w:name="_Toc494472289"/>
      <w:r w:rsidRPr="0044568B">
        <w:rPr>
          <w:i w:val="0"/>
          <w:sz w:val="24"/>
        </w:rPr>
        <w:t>Úrad geodézie, kartografie a katastra SR</w:t>
      </w:r>
      <w:bookmarkEnd w:id="173"/>
      <w:bookmarkEnd w:id="174"/>
      <w:r w:rsidRPr="0044568B">
        <w:rPr>
          <w:i w:val="0"/>
          <w:sz w:val="24"/>
        </w:rPr>
        <w:t xml:space="preserve"> </w:t>
      </w:r>
    </w:p>
    <w:p w:rsidR="007D13F3" w:rsidRDefault="007D13F3" w:rsidP="007D13F3">
      <w:pPr>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2816"/>
        <w:gridCol w:w="894"/>
        <w:gridCol w:w="892"/>
        <w:gridCol w:w="892"/>
        <w:gridCol w:w="892"/>
        <w:gridCol w:w="892"/>
        <w:gridCol w:w="892"/>
        <w:gridCol w:w="892"/>
      </w:tblGrid>
      <w:tr w:rsidR="007D13F3" w:rsidRPr="009818B9" w:rsidTr="00465CAC">
        <w:trPr>
          <w:trHeight w:val="261"/>
        </w:trPr>
        <w:tc>
          <w:tcPr>
            <w:tcW w:w="155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9818B9" w:rsidRDefault="007D13F3" w:rsidP="00465CAC">
            <w:pPr>
              <w:rPr>
                <w:rFonts w:ascii="Times New Roman" w:hAnsi="Times New Roman" w:cs="Times New Roman"/>
                <w:b/>
                <w:bCs/>
                <w:color w:val="000000"/>
                <w:sz w:val="14"/>
                <w:szCs w:val="14"/>
                <w:lang w:eastAsia="sk-SK"/>
              </w:rPr>
            </w:pPr>
            <w:r w:rsidRPr="009818B9">
              <w:rPr>
                <w:rFonts w:ascii="Times New Roman" w:hAnsi="Times New Roman" w:cs="Times New Roman"/>
                <w:b/>
                <w:bCs/>
                <w:color w:val="000000"/>
                <w:sz w:val="14"/>
                <w:szCs w:val="14"/>
                <w:lang w:eastAsia="sk-SK"/>
              </w:rPr>
              <w:t>v eurách</w:t>
            </w:r>
          </w:p>
        </w:tc>
        <w:tc>
          <w:tcPr>
            <w:tcW w:w="493"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9818B9" w:rsidRDefault="007D13F3" w:rsidP="00465CAC">
            <w:pPr>
              <w:jc w:val="center"/>
              <w:rPr>
                <w:rFonts w:ascii="Times New Roman" w:hAnsi="Times New Roman" w:cs="Times New Roman"/>
                <w:b/>
                <w:bCs/>
                <w:color w:val="000000"/>
                <w:sz w:val="14"/>
                <w:szCs w:val="14"/>
                <w:lang w:eastAsia="sk-SK"/>
              </w:rPr>
            </w:pPr>
            <w:r w:rsidRPr="009818B9">
              <w:rPr>
                <w:rFonts w:ascii="Times New Roman" w:hAnsi="Times New Roman" w:cs="Times New Roman"/>
                <w:b/>
                <w:bCs/>
                <w:color w:val="000000"/>
                <w:sz w:val="14"/>
                <w:szCs w:val="14"/>
                <w:lang w:eastAsia="sk-SK"/>
              </w:rPr>
              <w:t>2015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9818B9" w:rsidRDefault="007D13F3" w:rsidP="00465CAC">
            <w:pPr>
              <w:jc w:val="center"/>
              <w:rPr>
                <w:rFonts w:ascii="Times New Roman" w:hAnsi="Times New Roman" w:cs="Times New Roman"/>
                <w:b/>
                <w:bCs/>
                <w:color w:val="000000"/>
                <w:sz w:val="14"/>
                <w:szCs w:val="14"/>
                <w:lang w:eastAsia="sk-SK"/>
              </w:rPr>
            </w:pPr>
            <w:r w:rsidRPr="009818B9">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9818B9" w:rsidRDefault="007D13F3" w:rsidP="00465CAC">
            <w:pPr>
              <w:jc w:val="center"/>
              <w:rPr>
                <w:rFonts w:ascii="Times New Roman" w:hAnsi="Times New Roman" w:cs="Times New Roman"/>
                <w:b/>
                <w:bCs/>
                <w:color w:val="000000"/>
                <w:sz w:val="14"/>
                <w:szCs w:val="14"/>
                <w:lang w:eastAsia="sk-SK"/>
              </w:rPr>
            </w:pPr>
            <w:r w:rsidRPr="009818B9">
              <w:rPr>
                <w:rFonts w:ascii="Times New Roman" w:hAnsi="Times New Roman" w:cs="Times New Roman"/>
                <w:b/>
                <w:bCs/>
                <w:color w:val="000000"/>
                <w:sz w:val="14"/>
                <w:szCs w:val="14"/>
                <w:lang w:eastAsia="sk-SK"/>
              </w:rPr>
              <w:t>2017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9818B9"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9818B9"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9818B9"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9818B9"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 N</w:t>
            </w:r>
          </w:p>
        </w:tc>
      </w:tr>
      <w:tr w:rsidR="007D13F3" w:rsidRPr="009818B9" w:rsidTr="00465CAC">
        <w:trPr>
          <w:trHeight w:val="261"/>
        </w:trPr>
        <w:tc>
          <w:tcPr>
            <w:tcW w:w="1554" w:type="pct"/>
            <w:tcBorders>
              <w:top w:val="nil"/>
              <w:left w:val="single" w:sz="4" w:space="0" w:color="auto"/>
              <w:bottom w:val="single" w:sz="4" w:space="0" w:color="auto"/>
              <w:right w:val="single" w:sz="4" w:space="0" w:color="auto"/>
            </w:tcBorders>
            <w:shd w:val="clear" w:color="000000" w:fill="BFBFBF"/>
            <w:noWrap/>
            <w:vAlign w:val="center"/>
            <w:hideMark/>
          </w:tcPr>
          <w:p w:rsidR="007D13F3" w:rsidRPr="009818B9" w:rsidRDefault="007D13F3" w:rsidP="00465CAC">
            <w:pPr>
              <w:rPr>
                <w:rFonts w:ascii="Times New Roman" w:hAnsi="Times New Roman" w:cs="Times New Roman"/>
                <w:b/>
                <w:bCs/>
                <w:sz w:val="14"/>
                <w:szCs w:val="14"/>
                <w:lang w:eastAsia="sk-SK"/>
              </w:rPr>
            </w:pPr>
            <w:r w:rsidRPr="009818B9">
              <w:rPr>
                <w:rFonts w:ascii="Times New Roman" w:hAnsi="Times New Roman" w:cs="Times New Roman"/>
                <w:b/>
                <w:bCs/>
                <w:sz w:val="14"/>
                <w:szCs w:val="14"/>
                <w:lang w:eastAsia="sk-SK"/>
              </w:rPr>
              <w:t>zdroje kapitoly spolu (zdroj 11 a 13)</w:t>
            </w:r>
          </w:p>
        </w:tc>
        <w:tc>
          <w:tcPr>
            <w:tcW w:w="493" w:type="pct"/>
            <w:tcBorders>
              <w:top w:val="nil"/>
              <w:left w:val="nil"/>
              <w:bottom w:val="single" w:sz="4" w:space="0" w:color="auto"/>
              <w:right w:val="single" w:sz="4" w:space="0" w:color="auto"/>
            </w:tcBorders>
            <w:shd w:val="clear" w:color="000000" w:fill="BFBFBF"/>
            <w:noWrap/>
            <w:vAlign w:val="center"/>
            <w:hideMark/>
          </w:tcPr>
          <w:p w:rsidR="007D13F3" w:rsidRPr="009818B9" w:rsidRDefault="007D13F3" w:rsidP="00465CAC">
            <w:pPr>
              <w:jc w:val="right"/>
              <w:rPr>
                <w:rFonts w:ascii="Times New Roman" w:hAnsi="Times New Roman" w:cs="Times New Roman"/>
                <w:b/>
                <w:bCs/>
                <w:sz w:val="14"/>
                <w:szCs w:val="14"/>
                <w:lang w:eastAsia="sk-SK"/>
              </w:rPr>
            </w:pPr>
            <w:r w:rsidRPr="009818B9">
              <w:rPr>
                <w:rFonts w:ascii="Times New Roman" w:hAnsi="Times New Roman" w:cs="Times New Roman"/>
                <w:b/>
                <w:bCs/>
                <w:sz w:val="14"/>
                <w:szCs w:val="14"/>
                <w:lang w:eastAsia="sk-SK"/>
              </w:rPr>
              <w:t>15 480 128</w:t>
            </w:r>
          </w:p>
        </w:tc>
        <w:tc>
          <w:tcPr>
            <w:tcW w:w="492" w:type="pct"/>
            <w:tcBorders>
              <w:top w:val="nil"/>
              <w:left w:val="nil"/>
              <w:bottom w:val="single" w:sz="4" w:space="0" w:color="auto"/>
              <w:right w:val="single" w:sz="4" w:space="0" w:color="auto"/>
            </w:tcBorders>
            <w:shd w:val="clear" w:color="000000" w:fill="BFBFBF"/>
            <w:noWrap/>
            <w:vAlign w:val="center"/>
            <w:hideMark/>
          </w:tcPr>
          <w:p w:rsidR="007D13F3" w:rsidRPr="009818B9" w:rsidRDefault="007D13F3" w:rsidP="00465CAC">
            <w:pPr>
              <w:jc w:val="right"/>
              <w:rPr>
                <w:rFonts w:ascii="Times New Roman" w:hAnsi="Times New Roman" w:cs="Times New Roman"/>
                <w:b/>
                <w:bCs/>
                <w:sz w:val="14"/>
                <w:szCs w:val="14"/>
                <w:lang w:eastAsia="sk-SK"/>
              </w:rPr>
            </w:pPr>
            <w:r w:rsidRPr="009818B9">
              <w:rPr>
                <w:rFonts w:ascii="Times New Roman" w:hAnsi="Times New Roman" w:cs="Times New Roman"/>
                <w:b/>
                <w:bCs/>
                <w:sz w:val="14"/>
                <w:szCs w:val="14"/>
                <w:lang w:eastAsia="sk-SK"/>
              </w:rPr>
              <w:t>16 240 974</w:t>
            </w:r>
          </w:p>
        </w:tc>
        <w:tc>
          <w:tcPr>
            <w:tcW w:w="492" w:type="pct"/>
            <w:tcBorders>
              <w:top w:val="nil"/>
              <w:left w:val="nil"/>
              <w:bottom w:val="single" w:sz="4" w:space="0" w:color="auto"/>
              <w:right w:val="single" w:sz="4" w:space="0" w:color="auto"/>
            </w:tcBorders>
            <w:shd w:val="clear" w:color="000000" w:fill="BFBFBF"/>
            <w:noWrap/>
            <w:vAlign w:val="center"/>
            <w:hideMark/>
          </w:tcPr>
          <w:p w:rsidR="007D13F3" w:rsidRPr="009818B9" w:rsidRDefault="007D13F3" w:rsidP="00465CAC">
            <w:pPr>
              <w:jc w:val="right"/>
              <w:rPr>
                <w:rFonts w:ascii="Times New Roman" w:hAnsi="Times New Roman" w:cs="Times New Roman"/>
                <w:b/>
                <w:bCs/>
                <w:sz w:val="14"/>
                <w:szCs w:val="14"/>
                <w:lang w:eastAsia="sk-SK"/>
              </w:rPr>
            </w:pPr>
            <w:r w:rsidRPr="009818B9">
              <w:rPr>
                <w:rFonts w:ascii="Times New Roman" w:hAnsi="Times New Roman" w:cs="Times New Roman"/>
                <w:b/>
                <w:bCs/>
                <w:sz w:val="14"/>
                <w:szCs w:val="14"/>
                <w:lang w:eastAsia="sk-SK"/>
              </w:rPr>
              <w:t>21 853 526</w:t>
            </w:r>
          </w:p>
        </w:tc>
        <w:tc>
          <w:tcPr>
            <w:tcW w:w="492" w:type="pct"/>
            <w:tcBorders>
              <w:top w:val="nil"/>
              <w:left w:val="nil"/>
              <w:bottom w:val="single" w:sz="4" w:space="0" w:color="auto"/>
              <w:right w:val="single" w:sz="4" w:space="0" w:color="auto"/>
            </w:tcBorders>
            <w:shd w:val="clear" w:color="000000" w:fill="BFBFBF"/>
            <w:noWrap/>
            <w:vAlign w:val="center"/>
            <w:hideMark/>
          </w:tcPr>
          <w:p w:rsidR="007D13F3" w:rsidRPr="009818B9" w:rsidRDefault="007D13F3" w:rsidP="00465CAC">
            <w:pPr>
              <w:jc w:val="right"/>
              <w:rPr>
                <w:rFonts w:ascii="Times New Roman" w:hAnsi="Times New Roman" w:cs="Times New Roman"/>
                <w:b/>
                <w:bCs/>
                <w:sz w:val="14"/>
                <w:szCs w:val="14"/>
                <w:lang w:eastAsia="sk-SK"/>
              </w:rPr>
            </w:pPr>
            <w:r w:rsidRPr="009818B9">
              <w:rPr>
                <w:rFonts w:ascii="Times New Roman" w:hAnsi="Times New Roman" w:cs="Times New Roman"/>
                <w:b/>
                <w:bCs/>
                <w:sz w:val="14"/>
                <w:szCs w:val="14"/>
                <w:lang w:eastAsia="sk-SK"/>
              </w:rPr>
              <w:t>22 794 488</w:t>
            </w:r>
          </w:p>
        </w:tc>
        <w:tc>
          <w:tcPr>
            <w:tcW w:w="492" w:type="pct"/>
            <w:tcBorders>
              <w:top w:val="nil"/>
              <w:left w:val="nil"/>
              <w:bottom w:val="single" w:sz="4" w:space="0" w:color="auto"/>
              <w:right w:val="single" w:sz="4" w:space="0" w:color="auto"/>
            </w:tcBorders>
            <w:shd w:val="clear" w:color="000000" w:fill="BFBFBF"/>
            <w:noWrap/>
            <w:vAlign w:val="center"/>
            <w:hideMark/>
          </w:tcPr>
          <w:p w:rsidR="007D13F3" w:rsidRPr="009818B9" w:rsidRDefault="007D13F3" w:rsidP="00465CAC">
            <w:pPr>
              <w:jc w:val="right"/>
              <w:rPr>
                <w:rFonts w:ascii="Times New Roman" w:hAnsi="Times New Roman" w:cs="Times New Roman"/>
                <w:b/>
                <w:bCs/>
                <w:sz w:val="14"/>
                <w:szCs w:val="14"/>
                <w:lang w:eastAsia="sk-SK"/>
              </w:rPr>
            </w:pPr>
            <w:r w:rsidRPr="009818B9">
              <w:rPr>
                <w:rFonts w:ascii="Times New Roman" w:hAnsi="Times New Roman" w:cs="Times New Roman"/>
                <w:b/>
                <w:bCs/>
                <w:sz w:val="14"/>
                <w:szCs w:val="14"/>
                <w:lang w:eastAsia="sk-SK"/>
              </w:rPr>
              <w:t>22 044 125</w:t>
            </w:r>
          </w:p>
        </w:tc>
        <w:tc>
          <w:tcPr>
            <w:tcW w:w="492" w:type="pct"/>
            <w:tcBorders>
              <w:top w:val="nil"/>
              <w:left w:val="nil"/>
              <w:bottom w:val="single" w:sz="4" w:space="0" w:color="auto"/>
              <w:right w:val="single" w:sz="4" w:space="0" w:color="auto"/>
            </w:tcBorders>
            <w:shd w:val="clear" w:color="000000" w:fill="BFBFBF"/>
            <w:noWrap/>
            <w:vAlign w:val="center"/>
            <w:hideMark/>
          </w:tcPr>
          <w:p w:rsidR="007D13F3" w:rsidRPr="009818B9" w:rsidRDefault="007D13F3" w:rsidP="00465CAC">
            <w:pPr>
              <w:jc w:val="right"/>
              <w:rPr>
                <w:rFonts w:ascii="Times New Roman" w:hAnsi="Times New Roman" w:cs="Times New Roman"/>
                <w:b/>
                <w:bCs/>
                <w:sz w:val="14"/>
                <w:szCs w:val="14"/>
                <w:lang w:eastAsia="sk-SK"/>
              </w:rPr>
            </w:pPr>
            <w:r w:rsidRPr="009818B9">
              <w:rPr>
                <w:rFonts w:ascii="Times New Roman" w:hAnsi="Times New Roman" w:cs="Times New Roman"/>
                <w:b/>
                <w:bCs/>
                <w:sz w:val="14"/>
                <w:szCs w:val="14"/>
                <w:lang w:eastAsia="sk-SK"/>
              </w:rPr>
              <w:t>22 044 125</w:t>
            </w:r>
          </w:p>
        </w:tc>
        <w:tc>
          <w:tcPr>
            <w:tcW w:w="492" w:type="pct"/>
            <w:tcBorders>
              <w:top w:val="nil"/>
              <w:left w:val="nil"/>
              <w:bottom w:val="single" w:sz="4" w:space="0" w:color="auto"/>
              <w:right w:val="single" w:sz="4" w:space="0" w:color="auto"/>
            </w:tcBorders>
            <w:shd w:val="clear" w:color="000000" w:fill="BFBFBF"/>
            <w:noWrap/>
            <w:vAlign w:val="center"/>
            <w:hideMark/>
          </w:tcPr>
          <w:p w:rsidR="007D13F3" w:rsidRPr="009818B9" w:rsidRDefault="007D13F3" w:rsidP="00465CAC">
            <w:pPr>
              <w:jc w:val="right"/>
              <w:rPr>
                <w:rFonts w:ascii="Times New Roman" w:hAnsi="Times New Roman" w:cs="Times New Roman"/>
                <w:b/>
                <w:bCs/>
                <w:sz w:val="14"/>
                <w:szCs w:val="14"/>
                <w:lang w:eastAsia="sk-SK"/>
              </w:rPr>
            </w:pPr>
            <w:r w:rsidRPr="009818B9">
              <w:rPr>
                <w:rFonts w:ascii="Times New Roman" w:hAnsi="Times New Roman" w:cs="Times New Roman"/>
                <w:b/>
                <w:bCs/>
                <w:sz w:val="14"/>
                <w:szCs w:val="14"/>
                <w:lang w:eastAsia="sk-SK"/>
              </w:rPr>
              <w:t>22 044 125</w:t>
            </w:r>
          </w:p>
        </w:tc>
      </w:tr>
      <w:tr w:rsidR="007D13F3" w:rsidRPr="008D5ED4" w:rsidTr="00465CAC">
        <w:trPr>
          <w:trHeight w:val="261"/>
        </w:trPr>
        <w:tc>
          <w:tcPr>
            <w:tcW w:w="1554" w:type="pct"/>
            <w:tcBorders>
              <w:top w:val="nil"/>
              <w:left w:val="single" w:sz="4" w:space="0" w:color="auto"/>
              <w:bottom w:val="single" w:sz="4" w:space="0" w:color="auto"/>
              <w:right w:val="single" w:sz="4" w:space="0" w:color="auto"/>
            </w:tcBorders>
            <w:shd w:val="clear" w:color="auto" w:fill="auto"/>
            <w:noWrap/>
            <w:vAlign w:val="center"/>
            <w:hideMark/>
          </w:tcPr>
          <w:p w:rsidR="007D13F3" w:rsidRPr="008D5ED4" w:rsidRDefault="007D13F3" w:rsidP="00465CAC">
            <w:pPr>
              <w:rPr>
                <w:rFonts w:ascii="Times New Roman" w:hAnsi="Times New Roman" w:cs="Times New Roman"/>
                <w:b/>
                <w:bCs/>
                <w:color w:val="000000"/>
                <w:sz w:val="14"/>
                <w:szCs w:val="14"/>
                <w:lang w:eastAsia="sk-SK"/>
              </w:rPr>
            </w:pPr>
            <w:r w:rsidRPr="008D5ED4">
              <w:rPr>
                <w:rFonts w:ascii="Times New Roman" w:hAnsi="Times New Roman" w:cs="Times New Roman"/>
                <w:b/>
                <w:bCs/>
                <w:color w:val="000000"/>
                <w:sz w:val="14"/>
                <w:szCs w:val="14"/>
                <w:lang w:eastAsia="sk-SK"/>
              </w:rPr>
              <w:t>rozpočtové zdroje kapitoly (111, 11H)</w:t>
            </w:r>
          </w:p>
        </w:tc>
        <w:tc>
          <w:tcPr>
            <w:tcW w:w="493" w:type="pct"/>
            <w:tcBorders>
              <w:top w:val="nil"/>
              <w:left w:val="nil"/>
              <w:bottom w:val="single" w:sz="4" w:space="0" w:color="auto"/>
              <w:right w:val="single" w:sz="4" w:space="0" w:color="auto"/>
            </w:tcBorders>
            <w:shd w:val="clear" w:color="000000" w:fill="FFFFFF"/>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15 480 128</w:t>
            </w:r>
          </w:p>
        </w:tc>
        <w:tc>
          <w:tcPr>
            <w:tcW w:w="492" w:type="pct"/>
            <w:tcBorders>
              <w:top w:val="nil"/>
              <w:left w:val="nil"/>
              <w:bottom w:val="single" w:sz="4" w:space="0" w:color="auto"/>
              <w:right w:val="single" w:sz="4" w:space="0" w:color="auto"/>
            </w:tcBorders>
            <w:shd w:val="clear" w:color="000000" w:fill="FFFFFF"/>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15 112 570</w:t>
            </w:r>
          </w:p>
        </w:tc>
        <w:tc>
          <w:tcPr>
            <w:tcW w:w="492" w:type="pct"/>
            <w:tcBorders>
              <w:top w:val="nil"/>
              <w:left w:val="nil"/>
              <w:bottom w:val="single" w:sz="4" w:space="0" w:color="auto"/>
              <w:right w:val="single" w:sz="4" w:space="0" w:color="auto"/>
            </w:tcBorders>
            <w:shd w:val="clear" w:color="000000" w:fill="FFFFFF"/>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21 853 526</w:t>
            </w:r>
          </w:p>
        </w:tc>
        <w:tc>
          <w:tcPr>
            <w:tcW w:w="492" w:type="pct"/>
            <w:tcBorders>
              <w:top w:val="nil"/>
              <w:left w:val="nil"/>
              <w:bottom w:val="single" w:sz="4" w:space="0" w:color="auto"/>
              <w:right w:val="single" w:sz="4" w:space="0" w:color="auto"/>
            </w:tcBorders>
            <w:shd w:val="clear" w:color="000000" w:fill="FFFFFF"/>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22 794 488</w:t>
            </w:r>
          </w:p>
        </w:tc>
        <w:tc>
          <w:tcPr>
            <w:tcW w:w="492" w:type="pct"/>
            <w:tcBorders>
              <w:top w:val="nil"/>
              <w:left w:val="nil"/>
              <w:bottom w:val="single" w:sz="4" w:space="0" w:color="auto"/>
              <w:right w:val="single" w:sz="4" w:space="0" w:color="auto"/>
            </w:tcBorders>
            <w:shd w:val="clear" w:color="000000" w:fill="FFFFFF"/>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22 044 125</w:t>
            </w:r>
          </w:p>
        </w:tc>
        <w:tc>
          <w:tcPr>
            <w:tcW w:w="492" w:type="pct"/>
            <w:tcBorders>
              <w:top w:val="nil"/>
              <w:left w:val="nil"/>
              <w:bottom w:val="single" w:sz="4" w:space="0" w:color="auto"/>
              <w:right w:val="single" w:sz="4" w:space="0" w:color="auto"/>
            </w:tcBorders>
            <w:shd w:val="clear" w:color="000000" w:fill="FFFFFF"/>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22 044 125</w:t>
            </w:r>
          </w:p>
        </w:tc>
        <w:tc>
          <w:tcPr>
            <w:tcW w:w="492" w:type="pct"/>
            <w:tcBorders>
              <w:top w:val="nil"/>
              <w:left w:val="nil"/>
              <w:bottom w:val="single" w:sz="4" w:space="0" w:color="auto"/>
              <w:right w:val="single" w:sz="4" w:space="0" w:color="auto"/>
            </w:tcBorders>
            <w:shd w:val="clear" w:color="000000" w:fill="FFFFFF"/>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22 044 125</w:t>
            </w:r>
          </w:p>
        </w:tc>
      </w:tr>
      <w:tr w:rsidR="007D13F3" w:rsidRPr="009818B9" w:rsidTr="00465CAC">
        <w:trPr>
          <w:trHeight w:val="261"/>
        </w:trPr>
        <w:tc>
          <w:tcPr>
            <w:tcW w:w="155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818B9" w:rsidRDefault="007D13F3" w:rsidP="00465CAC">
            <w:pPr>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 xml:space="preserve">    v tom: bežné výdavky  600</w:t>
            </w:r>
          </w:p>
        </w:tc>
        <w:tc>
          <w:tcPr>
            <w:tcW w:w="493"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14 453 884</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14 426 608</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20 253 526</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20 069 848</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20 144 125</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20 144 125</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20 144 125</w:t>
            </w:r>
          </w:p>
        </w:tc>
      </w:tr>
      <w:tr w:rsidR="007D13F3" w:rsidRPr="009818B9" w:rsidTr="00465CAC">
        <w:trPr>
          <w:trHeight w:val="261"/>
        </w:trPr>
        <w:tc>
          <w:tcPr>
            <w:tcW w:w="155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818B9" w:rsidRDefault="007D13F3" w:rsidP="00465CAC">
            <w:pPr>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 xml:space="preserve">                 610 mzdy</w:t>
            </w:r>
          </w:p>
        </w:tc>
        <w:tc>
          <w:tcPr>
            <w:tcW w:w="493"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2 974 125</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3 302 991</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3 217 135</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3 167 116</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sz w:val="14"/>
                <w:szCs w:val="14"/>
                <w:lang w:eastAsia="sk-SK"/>
              </w:rPr>
            </w:pPr>
            <w:r w:rsidRPr="009818B9">
              <w:rPr>
                <w:rFonts w:ascii="Times New Roman" w:hAnsi="Times New Roman" w:cs="Times New Roman"/>
                <w:sz w:val="14"/>
                <w:szCs w:val="14"/>
                <w:lang w:eastAsia="sk-SK"/>
              </w:rPr>
              <w:t>3 344 926</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sz w:val="14"/>
                <w:szCs w:val="14"/>
                <w:lang w:eastAsia="sk-SK"/>
              </w:rPr>
            </w:pPr>
            <w:r w:rsidRPr="009818B9">
              <w:rPr>
                <w:rFonts w:ascii="Times New Roman" w:hAnsi="Times New Roman" w:cs="Times New Roman"/>
                <w:sz w:val="14"/>
                <w:szCs w:val="14"/>
                <w:lang w:eastAsia="sk-SK"/>
              </w:rPr>
              <w:t>3 344 926</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sz w:val="14"/>
                <w:szCs w:val="14"/>
                <w:lang w:eastAsia="sk-SK"/>
              </w:rPr>
            </w:pPr>
            <w:r w:rsidRPr="009818B9">
              <w:rPr>
                <w:rFonts w:ascii="Times New Roman" w:hAnsi="Times New Roman" w:cs="Times New Roman"/>
                <w:sz w:val="14"/>
                <w:szCs w:val="14"/>
                <w:lang w:eastAsia="sk-SK"/>
              </w:rPr>
              <w:t>3 344 926</w:t>
            </w:r>
          </w:p>
        </w:tc>
      </w:tr>
      <w:tr w:rsidR="007D13F3" w:rsidRPr="009818B9" w:rsidTr="00465CAC">
        <w:trPr>
          <w:trHeight w:val="261"/>
        </w:trPr>
        <w:tc>
          <w:tcPr>
            <w:tcW w:w="155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818B9" w:rsidRDefault="007D13F3" w:rsidP="00465CAC">
            <w:pPr>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 xml:space="preserve">                 620 odvody</w:t>
            </w:r>
          </w:p>
        </w:tc>
        <w:tc>
          <w:tcPr>
            <w:tcW w:w="493"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1 065 730</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1 214 986</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1 135 649</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1 081 130</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sz w:val="14"/>
                <w:szCs w:val="14"/>
                <w:lang w:eastAsia="sk-SK"/>
              </w:rPr>
            </w:pPr>
            <w:r w:rsidRPr="009818B9">
              <w:rPr>
                <w:rFonts w:ascii="Times New Roman" w:hAnsi="Times New Roman" w:cs="Times New Roman"/>
                <w:sz w:val="14"/>
                <w:szCs w:val="14"/>
                <w:lang w:eastAsia="sk-SK"/>
              </w:rPr>
              <w:t>1 186 512</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sz w:val="14"/>
                <w:szCs w:val="14"/>
                <w:lang w:eastAsia="sk-SK"/>
              </w:rPr>
            </w:pPr>
            <w:r w:rsidRPr="009818B9">
              <w:rPr>
                <w:rFonts w:ascii="Times New Roman" w:hAnsi="Times New Roman" w:cs="Times New Roman"/>
                <w:sz w:val="14"/>
                <w:szCs w:val="14"/>
                <w:lang w:eastAsia="sk-SK"/>
              </w:rPr>
              <w:t>1 186 512</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sz w:val="14"/>
                <w:szCs w:val="14"/>
                <w:lang w:eastAsia="sk-SK"/>
              </w:rPr>
            </w:pPr>
            <w:r w:rsidRPr="009818B9">
              <w:rPr>
                <w:rFonts w:ascii="Times New Roman" w:hAnsi="Times New Roman" w:cs="Times New Roman"/>
                <w:sz w:val="14"/>
                <w:szCs w:val="14"/>
                <w:lang w:eastAsia="sk-SK"/>
              </w:rPr>
              <w:t>1 186 512</w:t>
            </w:r>
          </w:p>
        </w:tc>
      </w:tr>
      <w:tr w:rsidR="007D13F3" w:rsidRPr="009818B9" w:rsidTr="00465CAC">
        <w:trPr>
          <w:trHeight w:val="261"/>
        </w:trPr>
        <w:tc>
          <w:tcPr>
            <w:tcW w:w="155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818B9" w:rsidRDefault="007D13F3" w:rsidP="00465CAC">
            <w:pPr>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 xml:space="preserve">                 630 tovary a služby</w:t>
            </w:r>
          </w:p>
        </w:tc>
        <w:tc>
          <w:tcPr>
            <w:tcW w:w="493"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9 936 110</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9 445 581</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15 200 742</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15 121 602</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sz w:val="14"/>
                <w:szCs w:val="14"/>
                <w:lang w:eastAsia="sk-SK"/>
              </w:rPr>
            </w:pPr>
            <w:r w:rsidRPr="009818B9">
              <w:rPr>
                <w:rFonts w:ascii="Times New Roman" w:hAnsi="Times New Roman" w:cs="Times New Roman"/>
                <w:sz w:val="14"/>
                <w:szCs w:val="14"/>
                <w:lang w:eastAsia="sk-SK"/>
              </w:rPr>
              <w:t>14 912 687</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sz w:val="14"/>
                <w:szCs w:val="14"/>
                <w:lang w:eastAsia="sk-SK"/>
              </w:rPr>
            </w:pPr>
            <w:r w:rsidRPr="009818B9">
              <w:rPr>
                <w:rFonts w:ascii="Times New Roman" w:hAnsi="Times New Roman" w:cs="Times New Roman"/>
                <w:sz w:val="14"/>
                <w:szCs w:val="14"/>
                <w:lang w:eastAsia="sk-SK"/>
              </w:rPr>
              <w:t>14 912 687</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sz w:val="14"/>
                <w:szCs w:val="14"/>
                <w:lang w:eastAsia="sk-SK"/>
              </w:rPr>
            </w:pPr>
            <w:r w:rsidRPr="009818B9">
              <w:rPr>
                <w:rFonts w:ascii="Times New Roman" w:hAnsi="Times New Roman" w:cs="Times New Roman"/>
                <w:sz w:val="14"/>
                <w:szCs w:val="14"/>
                <w:lang w:eastAsia="sk-SK"/>
              </w:rPr>
              <w:t>14 912 687</w:t>
            </w:r>
          </w:p>
        </w:tc>
      </w:tr>
      <w:tr w:rsidR="007D13F3" w:rsidRPr="009818B9" w:rsidTr="00465CAC">
        <w:trPr>
          <w:trHeight w:val="261"/>
        </w:trPr>
        <w:tc>
          <w:tcPr>
            <w:tcW w:w="155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818B9" w:rsidRDefault="007D13F3" w:rsidP="00465CAC">
            <w:pPr>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 xml:space="preserve">                 640 bežné transfery</w:t>
            </w:r>
          </w:p>
        </w:tc>
        <w:tc>
          <w:tcPr>
            <w:tcW w:w="493"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477 919</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463 050</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700 000</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700 000</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sz w:val="14"/>
                <w:szCs w:val="14"/>
                <w:lang w:eastAsia="sk-SK"/>
              </w:rPr>
            </w:pPr>
            <w:r w:rsidRPr="009818B9">
              <w:rPr>
                <w:rFonts w:ascii="Times New Roman" w:hAnsi="Times New Roman" w:cs="Times New Roman"/>
                <w:sz w:val="14"/>
                <w:szCs w:val="14"/>
                <w:lang w:eastAsia="sk-SK"/>
              </w:rPr>
              <w:t>700 000</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sz w:val="14"/>
                <w:szCs w:val="14"/>
                <w:lang w:eastAsia="sk-SK"/>
              </w:rPr>
            </w:pPr>
            <w:r w:rsidRPr="009818B9">
              <w:rPr>
                <w:rFonts w:ascii="Times New Roman" w:hAnsi="Times New Roman" w:cs="Times New Roman"/>
                <w:sz w:val="14"/>
                <w:szCs w:val="14"/>
                <w:lang w:eastAsia="sk-SK"/>
              </w:rPr>
              <w:t>700 000</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sz w:val="14"/>
                <w:szCs w:val="14"/>
                <w:lang w:eastAsia="sk-SK"/>
              </w:rPr>
            </w:pPr>
            <w:r w:rsidRPr="009818B9">
              <w:rPr>
                <w:rFonts w:ascii="Times New Roman" w:hAnsi="Times New Roman" w:cs="Times New Roman"/>
                <w:sz w:val="14"/>
                <w:szCs w:val="14"/>
                <w:lang w:eastAsia="sk-SK"/>
              </w:rPr>
              <w:t>700 000</w:t>
            </w:r>
          </w:p>
        </w:tc>
      </w:tr>
      <w:tr w:rsidR="007D13F3" w:rsidRPr="009818B9" w:rsidTr="00465CAC">
        <w:trPr>
          <w:trHeight w:val="261"/>
        </w:trPr>
        <w:tc>
          <w:tcPr>
            <w:tcW w:w="155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818B9" w:rsidRDefault="007D13F3" w:rsidP="00465CAC">
            <w:pPr>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 xml:space="preserve">               kapitálové výdavky 700</w:t>
            </w:r>
          </w:p>
        </w:tc>
        <w:tc>
          <w:tcPr>
            <w:tcW w:w="493"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1 026 244</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685 962</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1 600 000</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color w:val="000000"/>
                <w:sz w:val="14"/>
                <w:szCs w:val="14"/>
                <w:lang w:eastAsia="sk-SK"/>
              </w:rPr>
            </w:pPr>
            <w:r w:rsidRPr="009818B9">
              <w:rPr>
                <w:rFonts w:ascii="Times New Roman" w:hAnsi="Times New Roman" w:cs="Times New Roman"/>
                <w:color w:val="000000"/>
                <w:sz w:val="14"/>
                <w:szCs w:val="14"/>
                <w:lang w:eastAsia="sk-SK"/>
              </w:rPr>
              <w:t>2 724 640</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sz w:val="14"/>
                <w:szCs w:val="14"/>
                <w:lang w:eastAsia="sk-SK"/>
              </w:rPr>
            </w:pPr>
            <w:r w:rsidRPr="009818B9">
              <w:rPr>
                <w:rFonts w:ascii="Times New Roman" w:hAnsi="Times New Roman" w:cs="Times New Roman"/>
                <w:sz w:val="14"/>
                <w:szCs w:val="14"/>
                <w:lang w:eastAsia="sk-SK"/>
              </w:rPr>
              <w:t>1 900 000</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sz w:val="14"/>
                <w:szCs w:val="14"/>
                <w:lang w:eastAsia="sk-SK"/>
              </w:rPr>
            </w:pPr>
            <w:r w:rsidRPr="009818B9">
              <w:rPr>
                <w:rFonts w:ascii="Times New Roman" w:hAnsi="Times New Roman" w:cs="Times New Roman"/>
                <w:sz w:val="14"/>
                <w:szCs w:val="14"/>
                <w:lang w:eastAsia="sk-SK"/>
              </w:rPr>
              <w:t>1 900 000</w:t>
            </w:r>
          </w:p>
        </w:tc>
        <w:tc>
          <w:tcPr>
            <w:tcW w:w="492" w:type="pct"/>
            <w:tcBorders>
              <w:top w:val="nil"/>
              <w:left w:val="nil"/>
              <w:bottom w:val="single" w:sz="4" w:space="0" w:color="auto"/>
              <w:right w:val="single" w:sz="4" w:space="0" w:color="auto"/>
            </w:tcBorders>
            <w:shd w:val="clear" w:color="000000" w:fill="FFFFFF"/>
            <w:noWrap/>
            <w:vAlign w:val="center"/>
            <w:hideMark/>
          </w:tcPr>
          <w:p w:rsidR="007D13F3" w:rsidRPr="009818B9" w:rsidRDefault="007D13F3" w:rsidP="00465CAC">
            <w:pPr>
              <w:jc w:val="right"/>
              <w:rPr>
                <w:rFonts w:ascii="Times New Roman" w:hAnsi="Times New Roman" w:cs="Times New Roman"/>
                <w:sz w:val="14"/>
                <w:szCs w:val="14"/>
                <w:lang w:eastAsia="sk-SK"/>
              </w:rPr>
            </w:pPr>
            <w:r w:rsidRPr="009818B9">
              <w:rPr>
                <w:rFonts w:ascii="Times New Roman" w:hAnsi="Times New Roman" w:cs="Times New Roman"/>
                <w:sz w:val="14"/>
                <w:szCs w:val="14"/>
                <w:lang w:eastAsia="sk-SK"/>
              </w:rPr>
              <w:t>1 900 000</w:t>
            </w:r>
          </w:p>
        </w:tc>
      </w:tr>
      <w:tr w:rsidR="007D13F3" w:rsidRPr="008D5ED4" w:rsidTr="00465CAC">
        <w:trPr>
          <w:trHeight w:val="261"/>
        </w:trPr>
        <w:tc>
          <w:tcPr>
            <w:tcW w:w="1554" w:type="pct"/>
            <w:tcBorders>
              <w:top w:val="nil"/>
              <w:left w:val="single" w:sz="4" w:space="0" w:color="auto"/>
              <w:bottom w:val="single" w:sz="4" w:space="0" w:color="auto"/>
              <w:right w:val="single" w:sz="4" w:space="0" w:color="auto"/>
            </w:tcBorders>
            <w:shd w:val="clear" w:color="auto" w:fill="auto"/>
            <w:noWrap/>
            <w:vAlign w:val="center"/>
            <w:hideMark/>
          </w:tcPr>
          <w:p w:rsidR="007D13F3" w:rsidRPr="008D5ED4" w:rsidRDefault="007D13F3" w:rsidP="00465CAC">
            <w:pPr>
              <w:rPr>
                <w:rFonts w:ascii="Times New Roman" w:hAnsi="Times New Roman" w:cs="Times New Roman"/>
                <w:b/>
                <w:bCs/>
                <w:color w:val="000000"/>
                <w:sz w:val="14"/>
                <w:szCs w:val="14"/>
                <w:lang w:eastAsia="sk-SK"/>
              </w:rPr>
            </w:pPr>
            <w:r w:rsidRPr="008D5ED4">
              <w:rPr>
                <w:rFonts w:ascii="Times New Roman" w:hAnsi="Times New Roman" w:cs="Times New Roman"/>
                <w:b/>
                <w:bCs/>
                <w:color w:val="000000"/>
                <w:sz w:val="14"/>
                <w:szCs w:val="14"/>
                <w:lang w:eastAsia="sk-SK"/>
              </w:rPr>
              <w:t>presun z minulých rokov § 8 (13)</w:t>
            </w:r>
          </w:p>
        </w:tc>
        <w:tc>
          <w:tcPr>
            <w:tcW w:w="493"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1 128 404</w:t>
            </w:r>
          </w:p>
        </w:tc>
        <w:tc>
          <w:tcPr>
            <w:tcW w:w="492"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center"/>
            <w:hideMark/>
          </w:tcPr>
          <w:p w:rsidR="007D13F3" w:rsidRPr="008D5ED4" w:rsidRDefault="007D13F3" w:rsidP="00465CAC">
            <w:pPr>
              <w:jc w:val="right"/>
              <w:rPr>
                <w:rFonts w:ascii="Times New Roman" w:hAnsi="Times New Roman" w:cs="Times New Roman"/>
                <w:b/>
                <w:color w:val="000000"/>
                <w:sz w:val="14"/>
                <w:szCs w:val="14"/>
                <w:lang w:eastAsia="sk-SK"/>
              </w:rPr>
            </w:pPr>
            <w:r w:rsidRPr="008D5ED4">
              <w:rPr>
                <w:rFonts w:ascii="Times New Roman" w:hAnsi="Times New Roman" w:cs="Times New Roman"/>
                <w:b/>
                <w:color w:val="000000"/>
                <w:sz w:val="14"/>
                <w:szCs w:val="14"/>
                <w:lang w:eastAsia="sk-SK"/>
              </w:rPr>
              <w:t>0</w:t>
            </w:r>
          </w:p>
        </w:tc>
      </w:tr>
    </w:tbl>
    <w:p w:rsidR="007D13F3" w:rsidRDefault="007D13F3" w:rsidP="007D13F3">
      <w:pPr>
        <w:jc w:val="both"/>
        <w:rPr>
          <w:rFonts w:ascii="Times New Roman" w:hAnsi="Times New Roman" w:cs="Times New Roman"/>
          <w:sz w:val="14"/>
          <w:szCs w:val="14"/>
        </w:rPr>
      </w:pPr>
    </w:p>
    <w:tbl>
      <w:tblPr>
        <w:tblW w:w="5000" w:type="pct"/>
        <w:tblCellMar>
          <w:left w:w="70" w:type="dxa"/>
          <w:right w:w="70" w:type="dxa"/>
        </w:tblCellMar>
        <w:tblLook w:val="04A0" w:firstRow="1" w:lastRow="0" w:firstColumn="1" w:lastColumn="0" w:noHBand="0" w:noVBand="1"/>
      </w:tblPr>
      <w:tblGrid>
        <w:gridCol w:w="2817"/>
        <w:gridCol w:w="893"/>
        <w:gridCol w:w="892"/>
        <w:gridCol w:w="892"/>
        <w:gridCol w:w="892"/>
        <w:gridCol w:w="892"/>
        <w:gridCol w:w="892"/>
        <w:gridCol w:w="892"/>
      </w:tblGrid>
      <w:tr w:rsidR="007D13F3" w:rsidRPr="000E76EC" w:rsidTr="00465CAC">
        <w:trPr>
          <w:trHeight w:val="261"/>
        </w:trPr>
        <w:tc>
          <w:tcPr>
            <w:tcW w:w="1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3F3" w:rsidRPr="000E76EC" w:rsidRDefault="000E76EC" w:rsidP="00465CAC">
            <w:pPr>
              <w:rPr>
                <w:rFonts w:ascii="Times New Roman" w:hAnsi="Times New Roman" w:cs="Times New Roman"/>
                <w:b/>
                <w:bCs/>
                <w:color w:val="000000"/>
                <w:sz w:val="14"/>
                <w:szCs w:val="14"/>
                <w:lang w:eastAsia="sk-SK"/>
              </w:rPr>
            </w:pPr>
            <w:r w:rsidRPr="000E76EC">
              <w:rPr>
                <w:rFonts w:ascii="Times New Roman" w:hAnsi="Times New Roman" w:cs="Times New Roman"/>
                <w:b/>
                <w:bCs/>
                <w:color w:val="000000"/>
                <w:sz w:val="14"/>
                <w:szCs w:val="14"/>
                <w:lang w:eastAsia="sk-SK"/>
              </w:rPr>
              <w:t>S</w:t>
            </w:r>
            <w:r w:rsidR="007D13F3" w:rsidRPr="000E76EC">
              <w:rPr>
                <w:rFonts w:ascii="Times New Roman" w:hAnsi="Times New Roman" w:cs="Times New Roman"/>
                <w:b/>
                <w:bCs/>
                <w:color w:val="000000"/>
                <w:sz w:val="14"/>
                <w:szCs w:val="14"/>
                <w:lang w:eastAsia="sk-SK"/>
              </w:rPr>
              <w:t xml:space="preserve">amostatné účty </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384 558</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87 000</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0</w:t>
            </w:r>
          </w:p>
        </w:tc>
        <w:tc>
          <w:tcPr>
            <w:tcW w:w="492" w:type="pct"/>
            <w:tcBorders>
              <w:top w:val="single" w:sz="4" w:space="0" w:color="auto"/>
              <w:left w:val="nil"/>
              <w:bottom w:val="single" w:sz="4" w:space="0" w:color="auto"/>
              <w:right w:val="single" w:sz="4" w:space="0" w:color="auto"/>
            </w:tcBorders>
            <w:shd w:val="clear" w:color="000000" w:fill="FFFFFF"/>
            <w:noWrap/>
            <w:vAlign w:val="center"/>
            <w:hideMark/>
          </w:tcPr>
          <w:p w:rsidR="007D13F3" w:rsidRPr="000E76EC" w:rsidRDefault="007D13F3" w:rsidP="00465CAC">
            <w:pPr>
              <w:jc w:val="right"/>
              <w:rPr>
                <w:rFonts w:ascii="Times New Roman" w:hAnsi="Times New Roman" w:cs="Times New Roman"/>
                <w:b/>
                <w:color w:val="000000"/>
                <w:sz w:val="14"/>
                <w:szCs w:val="14"/>
                <w:lang w:eastAsia="sk-SK"/>
              </w:rPr>
            </w:pPr>
            <w:r w:rsidRPr="000E76EC">
              <w:rPr>
                <w:rFonts w:ascii="Times New Roman" w:hAnsi="Times New Roman" w:cs="Times New Roman"/>
                <w:b/>
                <w:color w:val="000000"/>
                <w:sz w:val="14"/>
                <w:szCs w:val="14"/>
                <w:lang w:eastAsia="sk-SK"/>
              </w:rPr>
              <w:t>0</w:t>
            </w:r>
          </w:p>
        </w:tc>
        <w:tc>
          <w:tcPr>
            <w:tcW w:w="492" w:type="pct"/>
            <w:tcBorders>
              <w:top w:val="single" w:sz="4" w:space="0" w:color="auto"/>
              <w:left w:val="nil"/>
              <w:bottom w:val="single" w:sz="4" w:space="0" w:color="auto"/>
              <w:right w:val="single" w:sz="4" w:space="0" w:color="auto"/>
            </w:tcBorders>
            <w:shd w:val="clear" w:color="000000" w:fill="FFFFFF"/>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0</w:t>
            </w:r>
          </w:p>
        </w:tc>
        <w:tc>
          <w:tcPr>
            <w:tcW w:w="492" w:type="pct"/>
            <w:tcBorders>
              <w:top w:val="single" w:sz="4" w:space="0" w:color="auto"/>
              <w:left w:val="nil"/>
              <w:bottom w:val="single" w:sz="4" w:space="0" w:color="auto"/>
              <w:right w:val="single" w:sz="4" w:space="0" w:color="auto"/>
            </w:tcBorders>
            <w:shd w:val="clear" w:color="000000" w:fill="FFFFFF"/>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0</w:t>
            </w:r>
          </w:p>
        </w:tc>
        <w:tc>
          <w:tcPr>
            <w:tcW w:w="492" w:type="pct"/>
            <w:tcBorders>
              <w:top w:val="single" w:sz="4" w:space="0" w:color="auto"/>
              <w:left w:val="nil"/>
              <w:bottom w:val="single" w:sz="4" w:space="0" w:color="auto"/>
              <w:right w:val="single" w:sz="4" w:space="0" w:color="auto"/>
            </w:tcBorders>
            <w:shd w:val="clear" w:color="000000" w:fill="FFFFFF"/>
            <w:noWrap/>
            <w:vAlign w:val="center"/>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0</w:t>
            </w:r>
          </w:p>
        </w:tc>
      </w:tr>
    </w:tbl>
    <w:p w:rsidR="007D13F3" w:rsidRPr="009818B9" w:rsidRDefault="007D13F3" w:rsidP="007D13F3">
      <w:pPr>
        <w:jc w:val="both"/>
        <w:rPr>
          <w:rFonts w:ascii="Times New Roman" w:hAnsi="Times New Roman" w:cs="Times New Roman"/>
          <w:sz w:val="14"/>
          <w:szCs w:val="14"/>
        </w:rPr>
      </w:pPr>
    </w:p>
    <w:p w:rsidR="007D13F3" w:rsidRPr="00D23C98" w:rsidRDefault="007D13F3" w:rsidP="007D13F3">
      <w:pPr>
        <w:jc w:val="both"/>
        <w:rPr>
          <w:rFonts w:ascii="Times New Roman" w:hAnsi="Times New Roman"/>
        </w:rPr>
      </w:pPr>
    </w:p>
    <w:p w:rsidR="007D13F3" w:rsidRDefault="007D13F3" w:rsidP="007D13F3">
      <w:pPr>
        <w:ind w:firstLine="708"/>
        <w:jc w:val="both"/>
        <w:rPr>
          <w:rFonts w:ascii="Times New Roman" w:hAnsi="Times New Roman"/>
        </w:rPr>
      </w:pPr>
      <w:r w:rsidRPr="000138AC">
        <w:rPr>
          <w:rFonts w:ascii="Times New Roman" w:hAnsi="Times New Roman"/>
        </w:rPr>
        <w:t xml:space="preserve">Výdavky kapitoly Úradu geodézie, kartografie a katastra SR sa </w:t>
      </w:r>
      <w:r>
        <w:rPr>
          <w:rFonts w:ascii="Times New Roman" w:hAnsi="Times New Roman"/>
        </w:rPr>
        <w:t xml:space="preserve">na rok 2018 navrhujú vo výške 22,0 mil. eur, čo v porovnaní so schváleným rozpočtom na rok 2017 predstavuje nárast o 191 tis. eur, t. j. o 0,87 %. Uvedený nárast ovplyvnilo zvýšenie osobných výdavkov z dôvodu ich valorizácie v roku 2017 a zvýšenie kapitálových výdavkov. </w:t>
      </w:r>
    </w:p>
    <w:p w:rsidR="007D13F3" w:rsidRPr="000138AC" w:rsidRDefault="007D13F3" w:rsidP="007D13F3">
      <w:pPr>
        <w:jc w:val="both"/>
        <w:rPr>
          <w:rFonts w:ascii="Times New Roman" w:hAnsi="Times New Roman"/>
        </w:rPr>
      </w:pPr>
    </w:p>
    <w:p w:rsidR="007D13F3" w:rsidRPr="00052306" w:rsidRDefault="007D13F3" w:rsidP="007D13F3">
      <w:pPr>
        <w:jc w:val="both"/>
        <w:rPr>
          <w:rFonts w:ascii="Times New Roman" w:hAnsi="Times New Roman"/>
        </w:rPr>
      </w:pPr>
      <w:r>
        <w:rPr>
          <w:rFonts w:ascii="Times New Roman" w:hAnsi="Times New Roman"/>
        </w:rPr>
        <w:lastRenderedPageBreak/>
        <w:tab/>
      </w:r>
      <w:r w:rsidRPr="000138AC">
        <w:rPr>
          <w:rFonts w:ascii="Times New Roman" w:hAnsi="Times New Roman"/>
        </w:rPr>
        <w:t>Osobné výdavky sa na rok 201</w:t>
      </w:r>
      <w:r>
        <w:rPr>
          <w:rFonts w:ascii="Times New Roman" w:hAnsi="Times New Roman"/>
        </w:rPr>
        <w:t>8</w:t>
      </w:r>
      <w:r w:rsidRPr="000138AC">
        <w:rPr>
          <w:rFonts w:ascii="Times New Roman" w:hAnsi="Times New Roman"/>
        </w:rPr>
        <w:t xml:space="preserve"> rozpočtujú v sume </w:t>
      </w:r>
      <w:r>
        <w:rPr>
          <w:rFonts w:ascii="Times New Roman" w:hAnsi="Times New Roman"/>
        </w:rPr>
        <w:t xml:space="preserve">4,53 </w:t>
      </w:r>
      <w:r w:rsidRPr="000138AC">
        <w:rPr>
          <w:rFonts w:ascii="Times New Roman" w:hAnsi="Times New Roman"/>
        </w:rPr>
        <w:t xml:space="preserve">mil. eur, čo v porovnaní </w:t>
      </w:r>
      <w:r w:rsidRPr="000138AC">
        <w:rPr>
          <w:rFonts w:ascii="Times New Roman" w:hAnsi="Times New Roman"/>
        </w:rPr>
        <w:br/>
        <w:t>so schváleným rozpočtom roku 201</w:t>
      </w:r>
      <w:r>
        <w:rPr>
          <w:rFonts w:ascii="Times New Roman" w:hAnsi="Times New Roman"/>
        </w:rPr>
        <w:t>7</w:t>
      </w:r>
      <w:r w:rsidRPr="000138AC">
        <w:rPr>
          <w:rFonts w:ascii="Times New Roman" w:hAnsi="Times New Roman"/>
        </w:rPr>
        <w:t xml:space="preserve"> predstavuje </w:t>
      </w:r>
      <w:r>
        <w:rPr>
          <w:rFonts w:ascii="Times New Roman" w:hAnsi="Times New Roman"/>
        </w:rPr>
        <w:t>nárast</w:t>
      </w:r>
      <w:r w:rsidRPr="000138AC">
        <w:rPr>
          <w:rFonts w:ascii="Times New Roman" w:hAnsi="Times New Roman"/>
        </w:rPr>
        <w:t xml:space="preserve"> o</w:t>
      </w:r>
      <w:r>
        <w:rPr>
          <w:rFonts w:ascii="Times New Roman" w:hAnsi="Times New Roman"/>
        </w:rPr>
        <w:t> 179</w:t>
      </w:r>
      <w:r w:rsidRPr="001B5907">
        <w:rPr>
          <w:rFonts w:ascii="Times New Roman" w:hAnsi="Times New Roman"/>
        </w:rPr>
        <w:t xml:space="preserve"> </w:t>
      </w:r>
      <w:r>
        <w:rPr>
          <w:rFonts w:ascii="Times New Roman" w:hAnsi="Times New Roman"/>
        </w:rPr>
        <w:t>tis</w:t>
      </w:r>
      <w:r w:rsidRPr="000138AC">
        <w:rPr>
          <w:rFonts w:ascii="Times New Roman" w:hAnsi="Times New Roman"/>
        </w:rPr>
        <w:t>. eur, t. j. o</w:t>
      </w:r>
      <w:r>
        <w:rPr>
          <w:rFonts w:ascii="Times New Roman" w:hAnsi="Times New Roman"/>
        </w:rPr>
        <w:t xml:space="preserve"> 4,10 %. </w:t>
      </w:r>
      <w:r>
        <w:rPr>
          <w:rFonts w:ascii="Times New Roman" w:hAnsi="Times New Roman"/>
        </w:rPr>
        <w:br/>
        <w:t>Uvedenú zmenu ovplyvnila valorizácia platov zamestnancov z roku 2017.</w:t>
      </w:r>
    </w:p>
    <w:p w:rsidR="007D13F3" w:rsidRPr="00EF0807" w:rsidRDefault="007D13F3" w:rsidP="007D13F3">
      <w:pPr>
        <w:shd w:val="clear" w:color="auto" w:fill="FFFFFF"/>
        <w:ind w:firstLine="708"/>
        <w:jc w:val="both"/>
        <w:rPr>
          <w:rFonts w:ascii="Times New Roman" w:hAnsi="Times New Roman" w:cs="Times New Roman"/>
        </w:rPr>
      </w:pPr>
    </w:p>
    <w:p w:rsidR="007D13F3" w:rsidRDefault="007D13F3" w:rsidP="007D13F3">
      <w:pPr>
        <w:jc w:val="both"/>
        <w:rPr>
          <w:rFonts w:ascii="Times New Roman" w:hAnsi="Times New Roman"/>
        </w:rPr>
      </w:pPr>
      <w:r>
        <w:rPr>
          <w:rFonts w:ascii="Times New Roman" w:hAnsi="Times New Roman"/>
        </w:rPr>
        <w:tab/>
      </w:r>
      <w:r w:rsidRPr="000138AC">
        <w:rPr>
          <w:rFonts w:ascii="Times New Roman" w:hAnsi="Times New Roman"/>
        </w:rPr>
        <w:t xml:space="preserve">Výdavky na tovary a služby sú rozpočtované v sume </w:t>
      </w:r>
      <w:r>
        <w:rPr>
          <w:rFonts w:ascii="Times New Roman" w:hAnsi="Times New Roman"/>
        </w:rPr>
        <w:t>14,9 mil. eur,</w:t>
      </w:r>
      <w:r w:rsidRPr="00810F3C">
        <w:rPr>
          <w:rFonts w:ascii="Times New Roman" w:hAnsi="Times New Roman"/>
        </w:rPr>
        <w:t xml:space="preserve"> </w:t>
      </w:r>
      <w:r w:rsidRPr="000138AC">
        <w:rPr>
          <w:rFonts w:ascii="Times New Roman" w:hAnsi="Times New Roman"/>
        </w:rPr>
        <w:t xml:space="preserve">čo v porovnaní </w:t>
      </w:r>
      <w:r w:rsidRPr="000138AC">
        <w:rPr>
          <w:rFonts w:ascii="Times New Roman" w:hAnsi="Times New Roman"/>
        </w:rPr>
        <w:br/>
        <w:t>so schváleným rozpočtom roku 201</w:t>
      </w:r>
      <w:r>
        <w:rPr>
          <w:rFonts w:ascii="Times New Roman" w:hAnsi="Times New Roman"/>
        </w:rPr>
        <w:t>7</w:t>
      </w:r>
      <w:r w:rsidRPr="000138AC">
        <w:rPr>
          <w:rFonts w:ascii="Times New Roman" w:hAnsi="Times New Roman"/>
        </w:rPr>
        <w:t xml:space="preserve"> predstavuje </w:t>
      </w:r>
      <w:r>
        <w:rPr>
          <w:rFonts w:ascii="Times New Roman" w:hAnsi="Times New Roman"/>
        </w:rPr>
        <w:t>zníženie</w:t>
      </w:r>
      <w:r w:rsidRPr="000138AC">
        <w:rPr>
          <w:rFonts w:ascii="Times New Roman" w:hAnsi="Times New Roman"/>
        </w:rPr>
        <w:t xml:space="preserve"> o</w:t>
      </w:r>
      <w:r>
        <w:rPr>
          <w:rFonts w:ascii="Times New Roman" w:hAnsi="Times New Roman"/>
        </w:rPr>
        <w:t> 288 tis.</w:t>
      </w:r>
      <w:r w:rsidRPr="000138AC">
        <w:rPr>
          <w:rFonts w:ascii="Times New Roman" w:hAnsi="Times New Roman"/>
        </w:rPr>
        <w:t xml:space="preserve"> eur, t. j. o</w:t>
      </w:r>
      <w:r>
        <w:rPr>
          <w:rFonts w:ascii="Times New Roman" w:hAnsi="Times New Roman"/>
        </w:rPr>
        <w:t> 1,90 %  pri súčasnom zvýšení kapitálových výdavkov.</w:t>
      </w:r>
    </w:p>
    <w:p w:rsidR="007D13F3" w:rsidRDefault="007D13F3" w:rsidP="007D13F3">
      <w:pPr>
        <w:jc w:val="both"/>
        <w:rPr>
          <w:rFonts w:ascii="Times New Roman" w:hAnsi="Times New Roman"/>
        </w:rPr>
      </w:pPr>
    </w:p>
    <w:p w:rsidR="007D13F3" w:rsidRPr="00CE6D2F" w:rsidRDefault="007D13F3" w:rsidP="007D13F3">
      <w:pPr>
        <w:jc w:val="both"/>
        <w:rPr>
          <w:rFonts w:ascii="Times New Roman" w:hAnsi="Times New Roman"/>
        </w:rPr>
      </w:pPr>
      <w:r>
        <w:rPr>
          <w:rFonts w:ascii="Times New Roman" w:hAnsi="Times New Roman"/>
        </w:rPr>
        <w:tab/>
        <w:t>Výdavky na b</w:t>
      </w:r>
      <w:r w:rsidRPr="00CE6D2F">
        <w:rPr>
          <w:rFonts w:ascii="Times New Roman" w:hAnsi="Times New Roman"/>
        </w:rPr>
        <w:t xml:space="preserve">ežné transfery </w:t>
      </w:r>
      <w:r>
        <w:rPr>
          <w:rFonts w:ascii="Times New Roman" w:hAnsi="Times New Roman"/>
        </w:rPr>
        <w:t>v roku 2018 v sume 700 tis. eur zostávajú na úrovni schváleného rozpočtu roku 2017.</w:t>
      </w:r>
    </w:p>
    <w:p w:rsidR="007D13F3" w:rsidRPr="0015412D" w:rsidRDefault="007D13F3" w:rsidP="007D13F3">
      <w:pPr>
        <w:jc w:val="both"/>
        <w:rPr>
          <w:rFonts w:ascii="Times New Roman" w:hAnsi="Times New Roman"/>
        </w:rPr>
      </w:pPr>
    </w:p>
    <w:p w:rsidR="007D13F3" w:rsidRPr="0015412D" w:rsidRDefault="007D13F3" w:rsidP="007D13F3">
      <w:pPr>
        <w:ind w:firstLine="708"/>
        <w:jc w:val="both"/>
        <w:rPr>
          <w:rFonts w:ascii="Times New Roman" w:hAnsi="Times New Roman"/>
        </w:rPr>
      </w:pPr>
      <w:r w:rsidRPr="0015412D">
        <w:rPr>
          <w:rFonts w:ascii="Times New Roman" w:hAnsi="Times New Roman"/>
        </w:rPr>
        <w:t xml:space="preserve">Kapitálové výdavky </w:t>
      </w:r>
      <w:r>
        <w:rPr>
          <w:rFonts w:ascii="Times New Roman" w:hAnsi="Times New Roman"/>
        </w:rPr>
        <w:t xml:space="preserve">vo výške 1,90 mil. eur na rok 2018 medziročne rastú o 300 tis. eur, t. j. o 18,8 % pri súčasnom znížení bežných výdavkov. Dôvodom  zvýšenia výdavkov </w:t>
      </w:r>
      <w:r>
        <w:rPr>
          <w:rFonts w:ascii="Times New Roman" w:hAnsi="Times New Roman"/>
        </w:rPr>
        <w:br/>
        <w:t>je modernizácia a stavebné úpravy budov v správe kapitoly, obstaranie prevádzkových strojov a zariadení, hardvéru, softvéru, ich nevyhnutná obnova a riešenie havarijných stavov na zariadeniach.</w:t>
      </w:r>
    </w:p>
    <w:p w:rsidR="007D13F3" w:rsidRPr="00FE671F" w:rsidRDefault="007D13F3" w:rsidP="007D13F3">
      <w:pPr>
        <w:rPr>
          <w:highlight w:val="yellow"/>
        </w:rPr>
      </w:pPr>
    </w:p>
    <w:p w:rsidR="007D13F3" w:rsidRPr="0044568B" w:rsidRDefault="007D13F3" w:rsidP="007D13F3">
      <w:pPr>
        <w:pStyle w:val="Nadpis5"/>
        <w:pBdr>
          <w:bottom w:val="single" w:sz="4" w:space="1" w:color="auto"/>
        </w:pBdr>
        <w:spacing w:before="0" w:after="0"/>
        <w:ind w:left="0"/>
        <w:rPr>
          <w:i w:val="0"/>
          <w:sz w:val="24"/>
        </w:rPr>
      </w:pPr>
      <w:bookmarkStart w:id="175" w:name="_Toc494470114"/>
      <w:bookmarkStart w:id="176" w:name="_Toc494472290"/>
      <w:r w:rsidRPr="0044568B">
        <w:rPr>
          <w:i w:val="0"/>
          <w:sz w:val="24"/>
        </w:rPr>
        <w:t>Štatistický úrad SR</w:t>
      </w:r>
      <w:bookmarkEnd w:id="175"/>
      <w:bookmarkEnd w:id="176"/>
    </w:p>
    <w:p w:rsidR="007D13F3" w:rsidRDefault="007D13F3" w:rsidP="007D13F3">
      <w:pPr>
        <w:autoSpaceDE w:val="0"/>
        <w:autoSpaceDN w:val="0"/>
        <w:jc w:val="both"/>
        <w:rPr>
          <w:rFonts w:ascii="Times New Roman" w:hAnsi="Times New Roman" w:cs="Times New Roman"/>
          <w:color w:val="000000"/>
          <w:sz w:val="14"/>
          <w:szCs w:val="14"/>
          <w:lang w:eastAsia="sk-SK"/>
        </w:rPr>
      </w:pPr>
    </w:p>
    <w:p w:rsidR="007D13F3" w:rsidRDefault="007D13F3" w:rsidP="007D13F3">
      <w:pPr>
        <w:autoSpaceDE w:val="0"/>
        <w:autoSpaceDN w:val="0"/>
        <w:jc w:val="both"/>
        <w:rPr>
          <w:rFonts w:ascii="Times New Roman" w:hAnsi="Times New Roman" w:cs="Times New Roman"/>
          <w:color w:val="000000"/>
          <w:sz w:val="14"/>
          <w:szCs w:val="14"/>
          <w:lang w:eastAsia="sk-SK"/>
        </w:rPr>
      </w:pPr>
    </w:p>
    <w:tbl>
      <w:tblPr>
        <w:tblW w:w="5000" w:type="pct"/>
        <w:tblCellMar>
          <w:left w:w="70" w:type="dxa"/>
          <w:right w:w="70" w:type="dxa"/>
        </w:tblCellMar>
        <w:tblLook w:val="04A0" w:firstRow="1" w:lastRow="0" w:firstColumn="1" w:lastColumn="0" w:noHBand="0" w:noVBand="1"/>
      </w:tblPr>
      <w:tblGrid>
        <w:gridCol w:w="2598"/>
        <w:gridCol w:w="934"/>
        <w:gridCol w:w="934"/>
        <w:gridCol w:w="934"/>
        <w:gridCol w:w="933"/>
        <w:gridCol w:w="933"/>
        <w:gridCol w:w="933"/>
        <w:gridCol w:w="863"/>
      </w:tblGrid>
      <w:tr w:rsidR="007D13F3" w:rsidRPr="007F3CB9" w:rsidTr="00465CAC">
        <w:trPr>
          <w:trHeight w:val="259"/>
        </w:trPr>
        <w:tc>
          <w:tcPr>
            <w:tcW w:w="1433"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D13F3" w:rsidRPr="00054D00" w:rsidRDefault="007D13F3" w:rsidP="00465CAC">
            <w:pPr>
              <w:rPr>
                <w:rFonts w:ascii="Times New Roman" w:hAnsi="Times New Roman" w:cs="Times New Roman"/>
                <w:b/>
                <w:bCs/>
                <w:color w:val="000000"/>
                <w:sz w:val="14"/>
                <w:szCs w:val="14"/>
              </w:rPr>
            </w:pPr>
            <w:r w:rsidRPr="00054D00">
              <w:rPr>
                <w:rFonts w:ascii="Times New Roman" w:hAnsi="Times New Roman" w:cs="Times New Roman"/>
                <w:color w:val="000000"/>
                <w:sz w:val="14"/>
                <w:szCs w:val="14"/>
              </w:rPr>
              <w:br w:type="page"/>
            </w:r>
            <w:r w:rsidRPr="00054D00">
              <w:rPr>
                <w:rFonts w:ascii="Times New Roman" w:hAnsi="Times New Roman" w:cs="Times New Roman"/>
                <w:b/>
                <w:bCs/>
                <w:color w:val="000000"/>
                <w:sz w:val="14"/>
                <w:szCs w:val="14"/>
              </w:rPr>
              <w:t> v eurách</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vAlign w:val="center"/>
          </w:tcPr>
          <w:p w:rsidR="007D13F3" w:rsidRPr="00054D00" w:rsidRDefault="007D13F3" w:rsidP="00465CAC">
            <w:pPr>
              <w:jc w:val="center"/>
              <w:rPr>
                <w:rFonts w:ascii="Times New Roman" w:hAnsi="Times New Roman" w:cs="Times New Roman"/>
                <w:b/>
                <w:bCs/>
                <w:color w:val="000000"/>
                <w:sz w:val="14"/>
                <w:szCs w:val="14"/>
                <w:lang w:eastAsia="sk-SK"/>
              </w:rPr>
            </w:pPr>
            <w:r w:rsidRPr="00054D00">
              <w:rPr>
                <w:rFonts w:ascii="Times New Roman" w:hAnsi="Times New Roman" w:cs="Times New Roman"/>
                <w:b/>
                <w:bCs/>
                <w:color w:val="000000"/>
                <w:sz w:val="14"/>
                <w:szCs w:val="14"/>
              </w:rPr>
              <w:t>2015 S</w:t>
            </w:r>
          </w:p>
        </w:tc>
        <w:tc>
          <w:tcPr>
            <w:tcW w:w="515" w:type="pct"/>
            <w:tcBorders>
              <w:top w:val="single" w:sz="4" w:space="0" w:color="auto"/>
              <w:left w:val="nil"/>
              <w:bottom w:val="single" w:sz="4" w:space="0" w:color="auto"/>
              <w:right w:val="single" w:sz="4" w:space="0" w:color="auto"/>
            </w:tcBorders>
            <w:shd w:val="clear" w:color="000000" w:fill="A6A6A6"/>
            <w:noWrap/>
            <w:vAlign w:val="center"/>
          </w:tcPr>
          <w:p w:rsidR="007D13F3" w:rsidRPr="00054D00" w:rsidRDefault="007D13F3" w:rsidP="00465CAC">
            <w:pPr>
              <w:jc w:val="center"/>
              <w:rPr>
                <w:rFonts w:ascii="Times New Roman" w:hAnsi="Times New Roman" w:cs="Times New Roman"/>
                <w:b/>
                <w:bCs/>
                <w:color w:val="000000"/>
                <w:sz w:val="14"/>
                <w:szCs w:val="14"/>
              </w:rPr>
            </w:pPr>
            <w:r w:rsidRPr="00054D00">
              <w:rPr>
                <w:rFonts w:ascii="Times New Roman" w:hAnsi="Times New Roman" w:cs="Times New Roman"/>
                <w:b/>
                <w:bCs/>
                <w:color w:val="000000"/>
                <w:sz w:val="14"/>
                <w:szCs w:val="14"/>
              </w:rPr>
              <w:t>2016 S</w:t>
            </w:r>
          </w:p>
        </w:tc>
        <w:tc>
          <w:tcPr>
            <w:tcW w:w="515" w:type="pct"/>
            <w:tcBorders>
              <w:top w:val="single" w:sz="4" w:space="0" w:color="auto"/>
              <w:left w:val="nil"/>
              <w:bottom w:val="single" w:sz="4" w:space="0" w:color="auto"/>
              <w:right w:val="single" w:sz="4" w:space="0" w:color="auto"/>
            </w:tcBorders>
            <w:shd w:val="clear" w:color="000000" w:fill="A6A6A6"/>
            <w:noWrap/>
            <w:vAlign w:val="center"/>
          </w:tcPr>
          <w:p w:rsidR="007D13F3" w:rsidRPr="00054D00" w:rsidRDefault="007D13F3" w:rsidP="00465CAC">
            <w:pPr>
              <w:jc w:val="center"/>
              <w:rPr>
                <w:rFonts w:ascii="Times New Roman" w:hAnsi="Times New Roman" w:cs="Times New Roman"/>
                <w:b/>
                <w:bCs/>
                <w:color w:val="000000"/>
                <w:sz w:val="14"/>
                <w:szCs w:val="14"/>
              </w:rPr>
            </w:pPr>
            <w:r w:rsidRPr="00054D00">
              <w:rPr>
                <w:rFonts w:ascii="Times New Roman" w:hAnsi="Times New Roman" w:cs="Times New Roman"/>
                <w:b/>
                <w:bCs/>
                <w:color w:val="000000"/>
                <w:sz w:val="14"/>
                <w:szCs w:val="14"/>
              </w:rPr>
              <w:t>2017 R</w:t>
            </w:r>
          </w:p>
        </w:tc>
        <w:tc>
          <w:tcPr>
            <w:tcW w:w="515" w:type="pct"/>
            <w:tcBorders>
              <w:top w:val="single" w:sz="4" w:space="0" w:color="auto"/>
              <w:left w:val="nil"/>
              <w:bottom w:val="single" w:sz="4" w:space="0" w:color="auto"/>
              <w:right w:val="single" w:sz="4" w:space="0" w:color="auto"/>
            </w:tcBorders>
            <w:shd w:val="clear" w:color="000000" w:fill="A6A6A6"/>
            <w:noWrap/>
            <w:vAlign w:val="center"/>
          </w:tcPr>
          <w:p w:rsidR="007D13F3" w:rsidRPr="00054D00" w:rsidRDefault="007D13F3" w:rsidP="00465CAC">
            <w:pPr>
              <w:jc w:val="center"/>
              <w:rPr>
                <w:rFonts w:ascii="Times New Roman" w:hAnsi="Times New Roman" w:cs="Times New Roman"/>
                <w:b/>
                <w:bCs/>
                <w:color w:val="000000"/>
                <w:sz w:val="14"/>
                <w:szCs w:val="14"/>
              </w:rPr>
            </w:pPr>
            <w:r w:rsidRPr="00054D00">
              <w:rPr>
                <w:rFonts w:ascii="Times New Roman" w:hAnsi="Times New Roman" w:cs="Times New Roman"/>
                <w:b/>
                <w:bCs/>
                <w:color w:val="000000"/>
                <w:sz w:val="14"/>
                <w:szCs w:val="14"/>
              </w:rPr>
              <w:t>2017 OS</w:t>
            </w:r>
          </w:p>
        </w:tc>
        <w:tc>
          <w:tcPr>
            <w:tcW w:w="515" w:type="pct"/>
            <w:tcBorders>
              <w:top w:val="single" w:sz="4" w:space="0" w:color="auto"/>
              <w:left w:val="nil"/>
              <w:bottom w:val="single" w:sz="4" w:space="0" w:color="auto"/>
              <w:right w:val="single" w:sz="4" w:space="0" w:color="auto"/>
            </w:tcBorders>
            <w:shd w:val="clear" w:color="000000" w:fill="A6A6A6"/>
            <w:noWrap/>
            <w:vAlign w:val="center"/>
          </w:tcPr>
          <w:p w:rsidR="007D13F3" w:rsidRPr="00054D00" w:rsidRDefault="007D13F3" w:rsidP="00465CAC">
            <w:pPr>
              <w:jc w:val="center"/>
              <w:rPr>
                <w:rFonts w:ascii="Times New Roman" w:hAnsi="Times New Roman" w:cs="Times New Roman"/>
                <w:b/>
                <w:bCs/>
                <w:color w:val="000000"/>
                <w:sz w:val="14"/>
                <w:szCs w:val="14"/>
              </w:rPr>
            </w:pPr>
            <w:r w:rsidRPr="00054D00">
              <w:rPr>
                <w:rFonts w:ascii="Times New Roman" w:hAnsi="Times New Roman" w:cs="Times New Roman"/>
                <w:b/>
                <w:bCs/>
                <w:color w:val="000000"/>
                <w:sz w:val="14"/>
                <w:szCs w:val="14"/>
              </w:rPr>
              <w:t>2018 N</w:t>
            </w:r>
          </w:p>
        </w:tc>
        <w:tc>
          <w:tcPr>
            <w:tcW w:w="515" w:type="pct"/>
            <w:tcBorders>
              <w:top w:val="single" w:sz="4" w:space="0" w:color="auto"/>
              <w:left w:val="nil"/>
              <w:bottom w:val="single" w:sz="4" w:space="0" w:color="auto"/>
              <w:right w:val="single" w:sz="4" w:space="0" w:color="auto"/>
            </w:tcBorders>
            <w:shd w:val="clear" w:color="000000" w:fill="A6A6A6"/>
            <w:noWrap/>
            <w:vAlign w:val="center"/>
          </w:tcPr>
          <w:p w:rsidR="007D13F3" w:rsidRPr="00054D00" w:rsidRDefault="007D13F3" w:rsidP="00465CAC">
            <w:pPr>
              <w:jc w:val="center"/>
              <w:rPr>
                <w:rFonts w:ascii="Times New Roman" w:hAnsi="Times New Roman" w:cs="Times New Roman"/>
                <w:b/>
                <w:bCs/>
                <w:color w:val="000000"/>
                <w:sz w:val="14"/>
                <w:szCs w:val="14"/>
              </w:rPr>
            </w:pPr>
            <w:r w:rsidRPr="00054D00">
              <w:rPr>
                <w:rFonts w:ascii="Times New Roman" w:hAnsi="Times New Roman" w:cs="Times New Roman"/>
                <w:b/>
                <w:bCs/>
                <w:color w:val="000000"/>
                <w:sz w:val="14"/>
                <w:szCs w:val="14"/>
              </w:rPr>
              <w:t>2019 N</w:t>
            </w:r>
          </w:p>
        </w:tc>
        <w:tc>
          <w:tcPr>
            <w:tcW w:w="476" w:type="pct"/>
            <w:tcBorders>
              <w:top w:val="single" w:sz="4" w:space="0" w:color="auto"/>
              <w:left w:val="nil"/>
              <w:bottom w:val="single" w:sz="4" w:space="0" w:color="auto"/>
              <w:right w:val="single" w:sz="4" w:space="0" w:color="auto"/>
            </w:tcBorders>
            <w:shd w:val="clear" w:color="000000" w:fill="A6A6A6"/>
            <w:noWrap/>
            <w:vAlign w:val="center"/>
          </w:tcPr>
          <w:p w:rsidR="007D13F3" w:rsidRPr="00054D00" w:rsidRDefault="007D13F3" w:rsidP="00465CAC">
            <w:pPr>
              <w:jc w:val="center"/>
              <w:rPr>
                <w:rFonts w:ascii="Times New Roman" w:hAnsi="Times New Roman" w:cs="Times New Roman"/>
                <w:b/>
                <w:bCs/>
                <w:color w:val="000000"/>
                <w:sz w:val="14"/>
                <w:szCs w:val="14"/>
              </w:rPr>
            </w:pPr>
            <w:r w:rsidRPr="00054D00">
              <w:rPr>
                <w:rFonts w:ascii="Times New Roman" w:hAnsi="Times New Roman" w:cs="Times New Roman"/>
                <w:b/>
                <w:bCs/>
                <w:color w:val="000000"/>
                <w:sz w:val="14"/>
                <w:szCs w:val="14"/>
              </w:rPr>
              <w:t>2020 N</w:t>
            </w:r>
          </w:p>
        </w:tc>
      </w:tr>
      <w:tr w:rsidR="007D13F3" w:rsidRPr="007F3CB9" w:rsidTr="00941A11">
        <w:trPr>
          <w:trHeight w:val="259"/>
        </w:trPr>
        <w:tc>
          <w:tcPr>
            <w:tcW w:w="1433" w:type="pct"/>
            <w:tcBorders>
              <w:top w:val="nil"/>
              <w:left w:val="single" w:sz="4" w:space="0" w:color="auto"/>
              <w:bottom w:val="single" w:sz="4" w:space="0" w:color="auto"/>
              <w:right w:val="single" w:sz="4" w:space="0" w:color="auto"/>
            </w:tcBorders>
            <w:shd w:val="clear" w:color="auto" w:fill="BFBFBF" w:themeFill="background1" w:themeFillShade="BF"/>
            <w:vAlign w:val="center"/>
          </w:tcPr>
          <w:p w:rsidR="007D13F3" w:rsidRPr="00054D00" w:rsidRDefault="007D13F3" w:rsidP="00465CAC">
            <w:pPr>
              <w:rPr>
                <w:rFonts w:ascii="Times New Roman" w:hAnsi="Times New Roman" w:cs="Times New Roman"/>
                <w:b/>
                <w:bCs/>
                <w:color w:val="000000"/>
                <w:sz w:val="14"/>
                <w:szCs w:val="14"/>
              </w:rPr>
            </w:pPr>
            <w:r w:rsidRPr="00D60899">
              <w:rPr>
                <w:rFonts w:ascii="Times New Roman" w:hAnsi="Times New Roman" w:cs="Times New Roman"/>
                <w:b/>
                <w:bCs/>
                <w:color w:val="000000"/>
                <w:sz w:val="14"/>
                <w:szCs w:val="14"/>
              </w:rPr>
              <w:t>Zdroje príslušnej kapitoly vrátane 72e</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DF4795" w:rsidRDefault="007D13F3" w:rsidP="00465CAC">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24 820 439</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DF4795" w:rsidRDefault="007D13F3" w:rsidP="00465CAC">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21 731 653</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DF4795" w:rsidRDefault="007D13F3" w:rsidP="00465CAC">
            <w:pPr>
              <w:jc w:val="right"/>
              <w:rPr>
                <w:rFonts w:ascii="Times New Roman" w:hAnsi="Times New Roman" w:cs="Times New Roman"/>
                <w:b/>
                <w:bCs/>
                <w:color w:val="000000"/>
                <w:sz w:val="14"/>
                <w:szCs w:val="14"/>
                <w:highlight w:val="yellow"/>
              </w:rPr>
            </w:pPr>
            <w:r w:rsidRPr="00DF4795">
              <w:rPr>
                <w:rFonts w:ascii="Times New Roman" w:hAnsi="Times New Roman" w:cs="Times New Roman"/>
                <w:b/>
                <w:bCs/>
                <w:color w:val="000000"/>
                <w:sz w:val="14"/>
                <w:szCs w:val="14"/>
              </w:rPr>
              <w:t>20 885 261</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DF4795" w:rsidRDefault="007D13F3" w:rsidP="00465CAC">
            <w:pPr>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23 291 935</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DF4795" w:rsidRDefault="007D13F3" w:rsidP="00465CAC">
            <w:pPr>
              <w:jc w:val="right"/>
              <w:rPr>
                <w:rFonts w:ascii="Times New Roman" w:hAnsi="Times New Roman" w:cs="Times New Roman"/>
                <w:b/>
                <w:bCs/>
                <w:color w:val="000000"/>
                <w:sz w:val="14"/>
                <w:szCs w:val="14"/>
              </w:rPr>
            </w:pPr>
            <w:r w:rsidRPr="00DF4795">
              <w:rPr>
                <w:rFonts w:ascii="Times New Roman" w:hAnsi="Times New Roman" w:cs="Times New Roman"/>
                <w:b/>
                <w:bCs/>
                <w:color w:val="000000"/>
                <w:sz w:val="14"/>
                <w:szCs w:val="14"/>
              </w:rPr>
              <w:t>22 055 568</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DF4795" w:rsidRDefault="007D13F3" w:rsidP="00465CAC">
            <w:pPr>
              <w:jc w:val="right"/>
              <w:rPr>
                <w:rFonts w:ascii="Times New Roman" w:hAnsi="Times New Roman" w:cs="Times New Roman"/>
                <w:b/>
                <w:bCs/>
                <w:color w:val="000000"/>
                <w:sz w:val="14"/>
                <w:szCs w:val="14"/>
              </w:rPr>
            </w:pPr>
            <w:r w:rsidRPr="00DF4795">
              <w:rPr>
                <w:rFonts w:ascii="Times New Roman" w:hAnsi="Times New Roman" w:cs="Times New Roman"/>
                <w:b/>
                <w:bCs/>
                <w:color w:val="000000"/>
                <w:sz w:val="14"/>
                <w:szCs w:val="14"/>
              </w:rPr>
              <w:t>27 120 740</w:t>
            </w:r>
          </w:p>
        </w:tc>
        <w:tc>
          <w:tcPr>
            <w:tcW w:w="476" w:type="pct"/>
            <w:tcBorders>
              <w:top w:val="nil"/>
              <w:left w:val="nil"/>
              <w:bottom w:val="single" w:sz="4" w:space="0" w:color="auto"/>
              <w:right w:val="single" w:sz="4" w:space="0" w:color="auto"/>
            </w:tcBorders>
            <w:shd w:val="clear" w:color="auto" w:fill="BFBFBF" w:themeFill="background1" w:themeFillShade="BF"/>
            <w:vAlign w:val="bottom"/>
          </w:tcPr>
          <w:p w:rsidR="007D13F3" w:rsidRPr="00DF4795" w:rsidRDefault="007D13F3" w:rsidP="00465CAC">
            <w:pPr>
              <w:jc w:val="right"/>
              <w:rPr>
                <w:rFonts w:ascii="Times New Roman" w:hAnsi="Times New Roman" w:cs="Times New Roman"/>
                <w:b/>
                <w:bCs/>
                <w:color w:val="000000"/>
                <w:sz w:val="14"/>
                <w:szCs w:val="14"/>
              </w:rPr>
            </w:pPr>
            <w:r w:rsidRPr="00DF4795">
              <w:rPr>
                <w:rFonts w:ascii="Times New Roman" w:hAnsi="Times New Roman" w:cs="Times New Roman"/>
                <w:b/>
                <w:bCs/>
                <w:color w:val="000000"/>
                <w:sz w:val="14"/>
                <w:szCs w:val="14"/>
              </w:rPr>
              <w:t>26 230 940</w:t>
            </w:r>
          </w:p>
        </w:tc>
      </w:tr>
      <w:tr w:rsidR="007D13F3" w:rsidRPr="007F3CB9" w:rsidTr="00941A11">
        <w:trPr>
          <w:trHeight w:val="259"/>
        </w:trPr>
        <w:tc>
          <w:tcPr>
            <w:tcW w:w="143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7D13F3" w:rsidRPr="00054D00" w:rsidRDefault="007D13F3" w:rsidP="00465CAC">
            <w:pPr>
              <w:rPr>
                <w:rFonts w:ascii="Times New Roman" w:hAnsi="Times New Roman" w:cs="Times New Roman"/>
                <w:b/>
                <w:bCs/>
                <w:color w:val="000000"/>
                <w:sz w:val="14"/>
                <w:szCs w:val="14"/>
              </w:rPr>
            </w:pPr>
            <w:r w:rsidRPr="00054D00">
              <w:rPr>
                <w:rFonts w:ascii="Times New Roman" w:hAnsi="Times New Roman" w:cs="Times New Roman"/>
                <w:b/>
                <w:bCs/>
                <w:color w:val="000000"/>
                <w:sz w:val="14"/>
                <w:szCs w:val="14"/>
              </w:rPr>
              <w:t>Zdroje príslušnej kapitoly</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DF4795" w:rsidRDefault="007D13F3" w:rsidP="00465CAC">
            <w:pPr>
              <w:jc w:val="right"/>
              <w:rPr>
                <w:rFonts w:ascii="Times New Roman" w:hAnsi="Times New Roman" w:cs="Times New Roman"/>
                <w:b/>
                <w:bCs/>
                <w:color w:val="000000"/>
                <w:sz w:val="14"/>
                <w:szCs w:val="14"/>
              </w:rPr>
            </w:pPr>
            <w:r w:rsidRPr="00DF4795">
              <w:rPr>
                <w:rFonts w:ascii="Times New Roman" w:hAnsi="Times New Roman" w:cs="Times New Roman"/>
                <w:b/>
                <w:bCs/>
                <w:color w:val="000000"/>
                <w:sz w:val="14"/>
                <w:szCs w:val="14"/>
              </w:rPr>
              <w:t>24 812 351</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DF4795" w:rsidRDefault="007D13F3" w:rsidP="00465CAC">
            <w:pPr>
              <w:jc w:val="right"/>
              <w:rPr>
                <w:rFonts w:ascii="Times New Roman" w:hAnsi="Times New Roman" w:cs="Times New Roman"/>
                <w:b/>
                <w:bCs/>
                <w:color w:val="000000"/>
                <w:sz w:val="14"/>
                <w:szCs w:val="14"/>
              </w:rPr>
            </w:pPr>
            <w:r w:rsidRPr="00DF4795">
              <w:rPr>
                <w:rFonts w:ascii="Times New Roman" w:hAnsi="Times New Roman" w:cs="Times New Roman"/>
                <w:b/>
                <w:bCs/>
                <w:color w:val="000000"/>
                <w:sz w:val="14"/>
                <w:szCs w:val="14"/>
              </w:rPr>
              <w:t>21 720 636</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DF4795" w:rsidRDefault="007D13F3" w:rsidP="00465CAC">
            <w:pPr>
              <w:jc w:val="right"/>
              <w:rPr>
                <w:rFonts w:ascii="Times New Roman" w:hAnsi="Times New Roman" w:cs="Times New Roman"/>
                <w:b/>
                <w:bCs/>
                <w:color w:val="000000"/>
                <w:sz w:val="14"/>
                <w:szCs w:val="14"/>
                <w:highlight w:val="yellow"/>
              </w:rPr>
            </w:pPr>
            <w:r w:rsidRPr="00DF4795">
              <w:rPr>
                <w:rFonts w:ascii="Times New Roman" w:hAnsi="Times New Roman" w:cs="Times New Roman"/>
                <w:b/>
                <w:bCs/>
                <w:color w:val="000000"/>
                <w:sz w:val="14"/>
                <w:szCs w:val="14"/>
              </w:rPr>
              <w:t>20 885 261</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DF4795" w:rsidRDefault="007D13F3" w:rsidP="00465CAC">
            <w:pPr>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23 291 935</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DF4795" w:rsidRDefault="007D13F3" w:rsidP="00465CAC">
            <w:pPr>
              <w:jc w:val="right"/>
              <w:rPr>
                <w:rFonts w:ascii="Times New Roman" w:hAnsi="Times New Roman" w:cs="Times New Roman"/>
                <w:b/>
                <w:bCs/>
                <w:color w:val="000000"/>
                <w:sz w:val="14"/>
                <w:szCs w:val="14"/>
              </w:rPr>
            </w:pPr>
            <w:r w:rsidRPr="00DF4795">
              <w:rPr>
                <w:rFonts w:ascii="Times New Roman" w:hAnsi="Times New Roman" w:cs="Times New Roman"/>
                <w:b/>
                <w:bCs/>
                <w:color w:val="000000"/>
                <w:sz w:val="14"/>
                <w:szCs w:val="14"/>
              </w:rPr>
              <w:t>22 055 568</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7D13F3" w:rsidRPr="00DF4795" w:rsidRDefault="007D13F3" w:rsidP="00465CAC">
            <w:pPr>
              <w:jc w:val="right"/>
              <w:rPr>
                <w:rFonts w:ascii="Times New Roman" w:hAnsi="Times New Roman" w:cs="Times New Roman"/>
                <w:b/>
                <w:bCs/>
                <w:color w:val="000000"/>
                <w:sz w:val="14"/>
                <w:szCs w:val="14"/>
              </w:rPr>
            </w:pPr>
            <w:r w:rsidRPr="00DF4795">
              <w:rPr>
                <w:rFonts w:ascii="Times New Roman" w:hAnsi="Times New Roman" w:cs="Times New Roman"/>
                <w:b/>
                <w:bCs/>
                <w:color w:val="000000"/>
                <w:sz w:val="14"/>
                <w:szCs w:val="14"/>
              </w:rPr>
              <w:t>27 120 740</w:t>
            </w:r>
          </w:p>
        </w:tc>
        <w:tc>
          <w:tcPr>
            <w:tcW w:w="476" w:type="pct"/>
            <w:tcBorders>
              <w:top w:val="nil"/>
              <w:left w:val="nil"/>
              <w:bottom w:val="single" w:sz="4" w:space="0" w:color="auto"/>
              <w:right w:val="single" w:sz="4" w:space="0" w:color="auto"/>
            </w:tcBorders>
            <w:shd w:val="clear" w:color="auto" w:fill="BFBFBF" w:themeFill="background1" w:themeFillShade="BF"/>
            <w:vAlign w:val="bottom"/>
          </w:tcPr>
          <w:p w:rsidR="007D13F3" w:rsidRPr="00DF4795" w:rsidRDefault="007D13F3" w:rsidP="00465CAC">
            <w:pPr>
              <w:jc w:val="right"/>
              <w:rPr>
                <w:rFonts w:ascii="Times New Roman" w:hAnsi="Times New Roman" w:cs="Times New Roman"/>
                <w:b/>
                <w:bCs/>
                <w:color w:val="000000"/>
                <w:sz w:val="14"/>
                <w:szCs w:val="14"/>
              </w:rPr>
            </w:pPr>
            <w:r w:rsidRPr="00DF4795">
              <w:rPr>
                <w:rFonts w:ascii="Times New Roman" w:hAnsi="Times New Roman" w:cs="Times New Roman"/>
                <w:b/>
                <w:bCs/>
                <w:color w:val="000000"/>
                <w:sz w:val="14"/>
                <w:szCs w:val="14"/>
              </w:rPr>
              <w:t>26 230 940</w:t>
            </w:r>
          </w:p>
        </w:tc>
      </w:tr>
      <w:tr w:rsidR="007D13F3" w:rsidRPr="008D5ED4" w:rsidTr="00465CAC">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7D13F3" w:rsidRPr="008D5ED4" w:rsidRDefault="007D13F3" w:rsidP="00465CAC">
            <w:pPr>
              <w:rPr>
                <w:rFonts w:ascii="Times New Roman" w:hAnsi="Times New Roman" w:cs="Times New Roman"/>
                <w:b/>
                <w:sz w:val="14"/>
                <w:szCs w:val="14"/>
              </w:rPr>
            </w:pPr>
            <w:r w:rsidRPr="008D5ED4">
              <w:rPr>
                <w:rFonts w:ascii="Times New Roman" w:hAnsi="Times New Roman" w:cs="Times New Roman"/>
                <w:b/>
                <w:sz w:val="14"/>
                <w:szCs w:val="14"/>
              </w:rPr>
              <w:t xml:space="preserve">rozpočtové zdroje kapitoly (111 +11H) </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19 678 738</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21 113 015</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highlight w:val="yellow"/>
              </w:rPr>
            </w:pPr>
            <w:r w:rsidRPr="008D5ED4">
              <w:rPr>
                <w:rFonts w:ascii="Times New Roman" w:hAnsi="Times New Roman" w:cs="Times New Roman"/>
                <w:b/>
                <w:color w:val="000000"/>
                <w:sz w:val="14"/>
                <w:szCs w:val="14"/>
              </w:rPr>
              <w:t>20 885 261</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highlight w:val="yellow"/>
              </w:rPr>
            </w:pPr>
            <w:r w:rsidRPr="008D5ED4">
              <w:rPr>
                <w:rFonts w:ascii="Times New Roman" w:hAnsi="Times New Roman" w:cs="Times New Roman"/>
                <w:b/>
                <w:color w:val="000000"/>
                <w:sz w:val="14"/>
                <w:szCs w:val="14"/>
              </w:rPr>
              <w:t>22 089 858</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bCs/>
                <w:color w:val="000000"/>
                <w:sz w:val="14"/>
                <w:szCs w:val="14"/>
              </w:rPr>
            </w:pPr>
            <w:r w:rsidRPr="008D5ED4">
              <w:rPr>
                <w:rFonts w:ascii="Times New Roman" w:hAnsi="Times New Roman" w:cs="Times New Roman"/>
                <w:b/>
                <w:bCs/>
                <w:color w:val="000000"/>
                <w:sz w:val="14"/>
                <w:szCs w:val="14"/>
              </w:rPr>
              <w:t>22 055 568</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bCs/>
                <w:color w:val="000000"/>
                <w:sz w:val="14"/>
                <w:szCs w:val="14"/>
              </w:rPr>
            </w:pPr>
            <w:r w:rsidRPr="008D5ED4">
              <w:rPr>
                <w:rFonts w:ascii="Times New Roman" w:hAnsi="Times New Roman" w:cs="Times New Roman"/>
                <w:b/>
                <w:bCs/>
                <w:color w:val="000000"/>
                <w:sz w:val="14"/>
                <w:szCs w:val="14"/>
              </w:rPr>
              <w:t>27 120 740</w:t>
            </w:r>
          </w:p>
        </w:tc>
        <w:tc>
          <w:tcPr>
            <w:tcW w:w="476"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bCs/>
                <w:color w:val="000000"/>
                <w:sz w:val="14"/>
                <w:szCs w:val="14"/>
              </w:rPr>
            </w:pPr>
            <w:r w:rsidRPr="008D5ED4">
              <w:rPr>
                <w:rFonts w:ascii="Times New Roman" w:hAnsi="Times New Roman" w:cs="Times New Roman"/>
                <w:b/>
                <w:bCs/>
                <w:color w:val="000000"/>
                <w:sz w:val="14"/>
                <w:szCs w:val="14"/>
              </w:rPr>
              <w:t>26 230 940</w:t>
            </w:r>
          </w:p>
        </w:tc>
      </w:tr>
      <w:tr w:rsidR="007D13F3" w:rsidRPr="007F3CB9" w:rsidTr="00465CAC">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7D13F3" w:rsidRPr="00054D00" w:rsidRDefault="007D13F3" w:rsidP="00465CAC">
            <w:pPr>
              <w:rPr>
                <w:rFonts w:ascii="Times New Roman" w:hAnsi="Times New Roman" w:cs="Times New Roman"/>
                <w:sz w:val="14"/>
                <w:szCs w:val="14"/>
              </w:rPr>
            </w:pPr>
            <w:r w:rsidRPr="00054D00">
              <w:rPr>
                <w:rFonts w:ascii="Times New Roman" w:hAnsi="Times New Roman" w:cs="Times New Roman"/>
                <w:sz w:val="14"/>
                <w:szCs w:val="14"/>
              </w:rPr>
              <w:t xml:space="preserve">  v tom: bežné výdavky 600</w:t>
            </w:r>
          </w:p>
        </w:tc>
        <w:tc>
          <w:tcPr>
            <w:tcW w:w="515" w:type="pct"/>
            <w:tcBorders>
              <w:top w:val="nil"/>
              <w:left w:val="nil"/>
              <w:bottom w:val="single" w:sz="4" w:space="0" w:color="auto"/>
              <w:right w:val="single" w:sz="4" w:space="0" w:color="auto"/>
            </w:tcBorders>
            <w:shd w:val="clear" w:color="auto" w:fill="auto"/>
            <w:noWrap/>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19 354 668</w:t>
            </w:r>
          </w:p>
        </w:tc>
        <w:tc>
          <w:tcPr>
            <w:tcW w:w="515" w:type="pct"/>
            <w:tcBorders>
              <w:top w:val="nil"/>
              <w:left w:val="nil"/>
              <w:bottom w:val="single" w:sz="4" w:space="0" w:color="auto"/>
              <w:right w:val="single" w:sz="4" w:space="0" w:color="auto"/>
            </w:tcBorders>
            <w:shd w:val="clear" w:color="auto" w:fill="auto"/>
            <w:noWrap/>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20 969 778</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20 625 261</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534B56">
              <w:rPr>
                <w:rFonts w:ascii="Times New Roman" w:hAnsi="Times New Roman" w:cs="Times New Roman"/>
                <w:color w:val="000000"/>
                <w:sz w:val="14"/>
                <w:szCs w:val="14"/>
              </w:rPr>
              <w:t>21 829 858</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21 615 568</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22 530 740</w:t>
            </w:r>
          </w:p>
        </w:tc>
        <w:tc>
          <w:tcPr>
            <w:tcW w:w="476"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21 690 940</w:t>
            </w:r>
          </w:p>
        </w:tc>
      </w:tr>
      <w:tr w:rsidR="007D13F3" w:rsidRPr="007F3CB9" w:rsidTr="00465CAC">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7D13F3" w:rsidRPr="00054D00" w:rsidRDefault="007D13F3" w:rsidP="00465CAC">
            <w:pPr>
              <w:rPr>
                <w:rFonts w:ascii="Times New Roman" w:hAnsi="Times New Roman" w:cs="Times New Roman"/>
                <w:color w:val="000000"/>
                <w:sz w:val="14"/>
                <w:szCs w:val="14"/>
              </w:rPr>
            </w:pPr>
            <w:r w:rsidRPr="00054D00">
              <w:rPr>
                <w:rFonts w:ascii="Times New Roman" w:hAnsi="Times New Roman" w:cs="Times New Roman"/>
                <w:color w:val="000000"/>
                <w:sz w:val="14"/>
                <w:szCs w:val="14"/>
              </w:rPr>
              <w:t xml:space="preserve">                                 610 mzdy</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9 341 122</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9 395 481</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9 514 221</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534B56">
              <w:rPr>
                <w:rFonts w:ascii="Times New Roman" w:hAnsi="Times New Roman" w:cs="Times New Roman"/>
                <w:color w:val="000000"/>
                <w:sz w:val="14"/>
                <w:szCs w:val="14"/>
              </w:rPr>
              <w:t>9 925 238</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10 041 575</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10 578 215</w:t>
            </w:r>
          </w:p>
        </w:tc>
        <w:tc>
          <w:tcPr>
            <w:tcW w:w="476"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10 178 215</w:t>
            </w:r>
          </w:p>
        </w:tc>
      </w:tr>
      <w:tr w:rsidR="007D13F3" w:rsidRPr="007F3CB9" w:rsidTr="00465CAC">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7D13F3" w:rsidRPr="00054D00" w:rsidRDefault="007D13F3" w:rsidP="00465CAC">
            <w:pPr>
              <w:rPr>
                <w:rFonts w:ascii="Times New Roman" w:hAnsi="Times New Roman" w:cs="Times New Roman"/>
                <w:color w:val="000000"/>
                <w:sz w:val="14"/>
                <w:szCs w:val="14"/>
              </w:rPr>
            </w:pPr>
            <w:r w:rsidRPr="00054D00">
              <w:rPr>
                <w:rFonts w:ascii="Times New Roman" w:hAnsi="Times New Roman" w:cs="Times New Roman"/>
                <w:color w:val="000000"/>
                <w:sz w:val="14"/>
                <w:szCs w:val="14"/>
              </w:rPr>
              <w:t xml:space="preserve">                                 620 odvody</w:t>
            </w:r>
          </w:p>
        </w:tc>
        <w:tc>
          <w:tcPr>
            <w:tcW w:w="515" w:type="pct"/>
            <w:tcBorders>
              <w:top w:val="nil"/>
              <w:left w:val="nil"/>
              <w:bottom w:val="single" w:sz="4" w:space="0" w:color="auto"/>
              <w:right w:val="single" w:sz="4" w:space="0" w:color="auto"/>
            </w:tcBorders>
            <w:shd w:val="clear" w:color="auto" w:fill="auto"/>
            <w:noWrap/>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3 435 947</w:t>
            </w:r>
          </w:p>
        </w:tc>
        <w:tc>
          <w:tcPr>
            <w:tcW w:w="515" w:type="pct"/>
            <w:tcBorders>
              <w:top w:val="nil"/>
              <w:left w:val="nil"/>
              <w:bottom w:val="single" w:sz="4" w:space="0" w:color="auto"/>
              <w:right w:val="single" w:sz="4" w:space="0" w:color="auto"/>
            </w:tcBorders>
            <w:shd w:val="clear" w:color="auto" w:fill="auto"/>
            <w:noWrap/>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3 682 922</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3 465 775</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534B56">
              <w:rPr>
                <w:rFonts w:ascii="Times New Roman" w:hAnsi="Times New Roman" w:cs="Times New Roman"/>
                <w:color w:val="000000"/>
                <w:sz w:val="14"/>
                <w:szCs w:val="14"/>
              </w:rPr>
              <w:t>3 609 215</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3 678 728</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3 866 692</w:t>
            </w:r>
          </w:p>
        </w:tc>
        <w:tc>
          <w:tcPr>
            <w:tcW w:w="476"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3 717 286</w:t>
            </w:r>
          </w:p>
        </w:tc>
      </w:tr>
      <w:tr w:rsidR="007D13F3" w:rsidRPr="007F3CB9" w:rsidTr="00465CAC">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7D13F3" w:rsidRPr="00054D00" w:rsidRDefault="007D13F3" w:rsidP="00465CAC">
            <w:pPr>
              <w:rPr>
                <w:rFonts w:ascii="Times New Roman" w:hAnsi="Times New Roman" w:cs="Times New Roman"/>
                <w:color w:val="000000"/>
                <w:sz w:val="14"/>
                <w:szCs w:val="14"/>
              </w:rPr>
            </w:pPr>
            <w:r w:rsidRPr="00054D00">
              <w:rPr>
                <w:rFonts w:ascii="Times New Roman" w:hAnsi="Times New Roman" w:cs="Times New Roman"/>
                <w:color w:val="000000"/>
                <w:sz w:val="14"/>
                <w:szCs w:val="14"/>
              </w:rPr>
              <w:t xml:space="preserve">                                 630 tovary a služby</w:t>
            </w:r>
          </w:p>
        </w:tc>
        <w:tc>
          <w:tcPr>
            <w:tcW w:w="515" w:type="pct"/>
            <w:tcBorders>
              <w:top w:val="nil"/>
              <w:left w:val="nil"/>
              <w:bottom w:val="single" w:sz="4" w:space="0" w:color="auto"/>
              <w:right w:val="single" w:sz="4" w:space="0" w:color="auto"/>
            </w:tcBorders>
            <w:shd w:val="clear" w:color="auto" w:fill="auto"/>
            <w:noWrap/>
            <w:vAlign w:val="bottom"/>
          </w:tcPr>
          <w:p w:rsidR="007D13F3" w:rsidRPr="00DF4795" w:rsidRDefault="007D13F3" w:rsidP="00465CAC">
            <w:pPr>
              <w:jc w:val="right"/>
              <w:rPr>
                <w:rFonts w:ascii="Times New Roman" w:hAnsi="Times New Roman" w:cs="Times New Roman"/>
                <w:sz w:val="14"/>
                <w:szCs w:val="14"/>
              </w:rPr>
            </w:pPr>
            <w:r w:rsidRPr="00DF4795">
              <w:rPr>
                <w:rFonts w:ascii="Times New Roman" w:hAnsi="Times New Roman" w:cs="Times New Roman"/>
                <w:sz w:val="14"/>
                <w:szCs w:val="14"/>
              </w:rPr>
              <w:t>5 519 586</w:t>
            </w:r>
          </w:p>
        </w:tc>
        <w:tc>
          <w:tcPr>
            <w:tcW w:w="515" w:type="pct"/>
            <w:tcBorders>
              <w:top w:val="nil"/>
              <w:left w:val="nil"/>
              <w:bottom w:val="single" w:sz="4" w:space="0" w:color="auto"/>
              <w:right w:val="single" w:sz="4" w:space="0" w:color="auto"/>
            </w:tcBorders>
            <w:shd w:val="clear" w:color="auto" w:fill="auto"/>
            <w:noWrap/>
            <w:vAlign w:val="bottom"/>
          </w:tcPr>
          <w:p w:rsidR="007D13F3" w:rsidRPr="00DF4795" w:rsidRDefault="007D13F3" w:rsidP="00465CAC">
            <w:pPr>
              <w:jc w:val="right"/>
              <w:rPr>
                <w:rFonts w:ascii="Times New Roman" w:hAnsi="Times New Roman" w:cs="Times New Roman"/>
                <w:sz w:val="14"/>
                <w:szCs w:val="14"/>
              </w:rPr>
            </w:pPr>
            <w:r w:rsidRPr="00DF4795">
              <w:rPr>
                <w:rFonts w:ascii="Times New Roman" w:hAnsi="Times New Roman" w:cs="Times New Roman"/>
                <w:sz w:val="14"/>
                <w:szCs w:val="14"/>
              </w:rPr>
              <w:t>6 839 020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6 972 029</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534B56">
              <w:rPr>
                <w:rFonts w:ascii="Times New Roman" w:hAnsi="Times New Roman" w:cs="Times New Roman"/>
                <w:color w:val="000000"/>
                <w:sz w:val="14"/>
                <w:szCs w:val="14"/>
              </w:rPr>
              <w:t>7 292 985</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7 222 029</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7 412 597</w:t>
            </w:r>
          </w:p>
        </w:tc>
        <w:tc>
          <w:tcPr>
            <w:tcW w:w="476"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7 122 203</w:t>
            </w:r>
          </w:p>
        </w:tc>
      </w:tr>
      <w:tr w:rsidR="007D13F3" w:rsidRPr="007F3CB9" w:rsidTr="00465CAC">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7D13F3" w:rsidRPr="00054D00" w:rsidRDefault="007D13F3" w:rsidP="00465CAC">
            <w:pPr>
              <w:rPr>
                <w:rFonts w:ascii="Times New Roman" w:hAnsi="Times New Roman" w:cs="Times New Roman"/>
                <w:color w:val="000000"/>
                <w:sz w:val="14"/>
                <w:szCs w:val="14"/>
              </w:rPr>
            </w:pPr>
            <w:r w:rsidRPr="00054D00">
              <w:rPr>
                <w:rFonts w:ascii="Times New Roman" w:hAnsi="Times New Roman" w:cs="Times New Roman"/>
                <w:color w:val="000000"/>
                <w:sz w:val="14"/>
                <w:szCs w:val="14"/>
              </w:rPr>
              <w:t xml:space="preserve">                                 640 bežné transfery</w:t>
            </w:r>
          </w:p>
        </w:tc>
        <w:tc>
          <w:tcPr>
            <w:tcW w:w="515" w:type="pct"/>
            <w:tcBorders>
              <w:top w:val="nil"/>
              <w:left w:val="nil"/>
              <w:bottom w:val="single" w:sz="4" w:space="0" w:color="auto"/>
              <w:right w:val="single" w:sz="4" w:space="0" w:color="auto"/>
            </w:tcBorders>
            <w:shd w:val="clear" w:color="auto" w:fill="auto"/>
            <w:noWrap/>
            <w:vAlign w:val="bottom"/>
          </w:tcPr>
          <w:p w:rsidR="007D13F3" w:rsidRPr="00DF4795" w:rsidRDefault="007D13F3" w:rsidP="00465CAC">
            <w:pPr>
              <w:jc w:val="right"/>
              <w:rPr>
                <w:rFonts w:ascii="Times New Roman" w:hAnsi="Times New Roman" w:cs="Times New Roman"/>
                <w:sz w:val="14"/>
                <w:szCs w:val="14"/>
              </w:rPr>
            </w:pPr>
            <w:r w:rsidRPr="00DF4795">
              <w:rPr>
                <w:rFonts w:ascii="Times New Roman" w:hAnsi="Times New Roman" w:cs="Times New Roman"/>
                <w:sz w:val="14"/>
                <w:szCs w:val="14"/>
              </w:rPr>
              <w:t>1 058 013</w:t>
            </w:r>
          </w:p>
        </w:tc>
        <w:tc>
          <w:tcPr>
            <w:tcW w:w="515" w:type="pct"/>
            <w:tcBorders>
              <w:top w:val="nil"/>
              <w:left w:val="nil"/>
              <w:bottom w:val="single" w:sz="4" w:space="0" w:color="auto"/>
              <w:right w:val="single" w:sz="4" w:space="0" w:color="auto"/>
            </w:tcBorders>
            <w:shd w:val="clear" w:color="auto" w:fill="auto"/>
            <w:noWrap/>
            <w:vAlign w:val="bottom"/>
          </w:tcPr>
          <w:p w:rsidR="007D13F3" w:rsidRPr="00DF4795" w:rsidRDefault="007D13F3" w:rsidP="00465CAC">
            <w:pPr>
              <w:jc w:val="right"/>
              <w:rPr>
                <w:rFonts w:ascii="Times New Roman" w:hAnsi="Times New Roman" w:cs="Times New Roman"/>
                <w:sz w:val="14"/>
                <w:szCs w:val="14"/>
              </w:rPr>
            </w:pPr>
            <w:r w:rsidRPr="00DF4795">
              <w:rPr>
                <w:rFonts w:ascii="Times New Roman" w:hAnsi="Times New Roman" w:cs="Times New Roman"/>
                <w:sz w:val="14"/>
                <w:szCs w:val="14"/>
              </w:rPr>
              <w:t>1 052 355</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673 236</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534B56">
              <w:rPr>
                <w:rFonts w:ascii="Times New Roman" w:hAnsi="Times New Roman" w:cs="Times New Roman"/>
                <w:color w:val="000000"/>
                <w:sz w:val="14"/>
                <w:szCs w:val="14"/>
              </w:rPr>
              <w:t>1 002 420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673 236</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673 236</w:t>
            </w:r>
          </w:p>
        </w:tc>
        <w:tc>
          <w:tcPr>
            <w:tcW w:w="476"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673 236</w:t>
            </w:r>
          </w:p>
        </w:tc>
      </w:tr>
      <w:tr w:rsidR="007D13F3" w:rsidRPr="007F3CB9" w:rsidTr="00465CAC">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7D13F3" w:rsidRPr="00054D00" w:rsidRDefault="007D13F3" w:rsidP="00465CAC">
            <w:pPr>
              <w:rPr>
                <w:rFonts w:ascii="Times New Roman" w:hAnsi="Times New Roman" w:cs="Times New Roman"/>
                <w:sz w:val="14"/>
                <w:szCs w:val="14"/>
              </w:rPr>
            </w:pPr>
            <w:r w:rsidRPr="00054D00">
              <w:rPr>
                <w:rFonts w:ascii="Times New Roman" w:hAnsi="Times New Roman" w:cs="Times New Roman"/>
                <w:sz w:val="14"/>
                <w:szCs w:val="14"/>
              </w:rPr>
              <w:t xml:space="preserve">                   kapitálové výdavky 700</w:t>
            </w:r>
          </w:p>
        </w:tc>
        <w:tc>
          <w:tcPr>
            <w:tcW w:w="515" w:type="pct"/>
            <w:tcBorders>
              <w:top w:val="nil"/>
              <w:left w:val="nil"/>
              <w:bottom w:val="single" w:sz="4" w:space="0" w:color="auto"/>
              <w:right w:val="single" w:sz="4" w:space="0" w:color="auto"/>
            </w:tcBorders>
            <w:shd w:val="clear" w:color="auto" w:fill="auto"/>
            <w:noWrap/>
            <w:vAlign w:val="bottom"/>
          </w:tcPr>
          <w:p w:rsidR="007D13F3" w:rsidRPr="00DF4795" w:rsidRDefault="007D13F3" w:rsidP="00465CAC">
            <w:pPr>
              <w:jc w:val="right"/>
              <w:rPr>
                <w:rFonts w:ascii="Times New Roman" w:hAnsi="Times New Roman" w:cs="Times New Roman"/>
                <w:sz w:val="14"/>
                <w:szCs w:val="14"/>
              </w:rPr>
            </w:pPr>
            <w:r w:rsidRPr="00DF4795">
              <w:rPr>
                <w:rFonts w:ascii="Times New Roman" w:hAnsi="Times New Roman" w:cs="Times New Roman"/>
                <w:sz w:val="14"/>
                <w:szCs w:val="14"/>
              </w:rPr>
              <w:t>324 069</w:t>
            </w:r>
          </w:p>
        </w:tc>
        <w:tc>
          <w:tcPr>
            <w:tcW w:w="515" w:type="pct"/>
            <w:tcBorders>
              <w:top w:val="nil"/>
              <w:left w:val="nil"/>
              <w:bottom w:val="single" w:sz="4" w:space="0" w:color="auto"/>
              <w:right w:val="single" w:sz="4" w:space="0" w:color="auto"/>
            </w:tcBorders>
            <w:shd w:val="clear" w:color="auto" w:fill="auto"/>
            <w:noWrap/>
            <w:vAlign w:val="bottom"/>
          </w:tcPr>
          <w:p w:rsidR="007D13F3" w:rsidRPr="00DF4795" w:rsidRDefault="007D13F3" w:rsidP="00465CAC">
            <w:pPr>
              <w:jc w:val="right"/>
              <w:rPr>
                <w:rFonts w:ascii="Times New Roman" w:hAnsi="Times New Roman" w:cs="Times New Roman"/>
                <w:sz w:val="14"/>
                <w:szCs w:val="14"/>
              </w:rPr>
            </w:pPr>
            <w:r w:rsidRPr="00DF4795">
              <w:rPr>
                <w:rFonts w:ascii="Times New Roman" w:hAnsi="Times New Roman" w:cs="Times New Roman"/>
                <w:sz w:val="14"/>
                <w:szCs w:val="14"/>
              </w:rPr>
              <w:t>143 238</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260 000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260 000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440 000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4 590 000</w:t>
            </w:r>
          </w:p>
        </w:tc>
        <w:tc>
          <w:tcPr>
            <w:tcW w:w="476"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sidRPr="00DF4795">
              <w:rPr>
                <w:rFonts w:ascii="Times New Roman" w:hAnsi="Times New Roman" w:cs="Times New Roman"/>
                <w:color w:val="000000"/>
                <w:sz w:val="14"/>
                <w:szCs w:val="14"/>
              </w:rPr>
              <w:t>4 540 000</w:t>
            </w:r>
          </w:p>
        </w:tc>
      </w:tr>
      <w:tr w:rsidR="007D13F3" w:rsidRPr="008D5ED4" w:rsidTr="00465CAC">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7D13F3" w:rsidRPr="008D5ED4" w:rsidRDefault="007D13F3" w:rsidP="00465CAC">
            <w:pPr>
              <w:rPr>
                <w:rFonts w:ascii="Times New Roman" w:hAnsi="Times New Roman" w:cs="Times New Roman"/>
                <w:b/>
                <w:sz w:val="14"/>
                <w:szCs w:val="14"/>
              </w:rPr>
            </w:pPr>
            <w:r w:rsidRPr="008D5ED4">
              <w:rPr>
                <w:rFonts w:ascii="Times New Roman" w:hAnsi="Times New Roman" w:cs="Times New Roman"/>
                <w:b/>
                <w:sz w:val="14"/>
                <w:szCs w:val="14"/>
              </w:rPr>
              <w:t>zdroje EÚ vrátane spolufinancovania</w:t>
            </w:r>
          </w:p>
        </w:tc>
        <w:tc>
          <w:tcPr>
            <w:tcW w:w="515" w:type="pct"/>
            <w:tcBorders>
              <w:top w:val="nil"/>
              <w:left w:val="nil"/>
              <w:bottom w:val="single" w:sz="4" w:space="0" w:color="auto"/>
              <w:right w:val="single" w:sz="4" w:space="0" w:color="auto"/>
            </w:tcBorders>
            <w:shd w:val="clear" w:color="auto" w:fill="auto"/>
            <w:noWrap/>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5 060 211</w:t>
            </w:r>
          </w:p>
        </w:tc>
        <w:tc>
          <w:tcPr>
            <w:tcW w:w="515" w:type="pct"/>
            <w:tcBorders>
              <w:top w:val="nil"/>
              <w:left w:val="nil"/>
              <w:bottom w:val="single" w:sz="4" w:space="0" w:color="auto"/>
              <w:right w:val="single" w:sz="4" w:space="0" w:color="auto"/>
            </w:tcBorders>
            <w:shd w:val="clear" w:color="auto" w:fill="auto"/>
            <w:noWrap/>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476"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r>
      <w:tr w:rsidR="007D13F3" w:rsidRPr="007F3CB9" w:rsidTr="00465CAC">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7D13F3" w:rsidRPr="00054D00" w:rsidRDefault="007D13F3" w:rsidP="00465CAC">
            <w:pPr>
              <w:rPr>
                <w:rFonts w:ascii="Times New Roman" w:hAnsi="Times New Roman" w:cs="Times New Roman"/>
                <w:sz w:val="14"/>
                <w:szCs w:val="14"/>
              </w:rPr>
            </w:pPr>
            <w:r w:rsidRPr="00054D00">
              <w:rPr>
                <w:rFonts w:ascii="Times New Roman" w:hAnsi="Times New Roman" w:cs="Times New Roman"/>
                <w:sz w:val="14"/>
                <w:szCs w:val="14"/>
              </w:rPr>
              <w:t>v tom: EU prostriedky</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3 810 845</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r>
      <w:tr w:rsidR="007D13F3" w:rsidRPr="007F3CB9" w:rsidTr="00465CAC">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7D13F3" w:rsidRPr="00054D00" w:rsidRDefault="007D13F3" w:rsidP="00465CAC">
            <w:pPr>
              <w:rPr>
                <w:rFonts w:ascii="Times New Roman" w:hAnsi="Times New Roman" w:cs="Times New Roman"/>
                <w:sz w:val="14"/>
                <w:szCs w:val="14"/>
              </w:rPr>
            </w:pPr>
            <w:r w:rsidRPr="00054D00">
              <w:rPr>
                <w:rFonts w:ascii="Times New Roman" w:hAnsi="Times New Roman" w:cs="Times New Roman"/>
                <w:sz w:val="14"/>
                <w:szCs w:val="14"/>
              </w:rPr>
              <w:t xml:space="preserve">           spolufinancovanie zo ŠR</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1 249 365</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r>
      <w:tr w:rsidR="007D13F3" w:rsidRPr="008D5ED4" w:rsidTr="00465CAC">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7D13F3" w:rsidRPr="008D5ED4" w:rsidRDefault="007D13F3" w:rsidP="00465CAC">
            <w:pPr>
              <w:rPr>
                <w:rFonts w:ascii="Times New Roman" w:hAnsi="Times New Roman" w:cs="Times New Roman"/>
                <w:b/>
                <w:sz w:val="14"/>
                <w:szCs w:val="14"/>
              </w:rPr>
            </w:pPr>
            <w:r w:rsidRPr="008D5ED4">
              <w:rPr>
                <w:rFonts w:ascii="Times New Roman" w:hAnsi="Times New Roman" w:cs="Times New Roman"/>
                <w:b/>
                <w:sz w:val="14"/>
                <w:szCs w:val="14"/>
              </w:rPr>
              <w:t>presun z minulých rokov §</w:t>
            </w:r>
            <w:r w:rsidR="00941A11" w:rsidRPr="008D5ED4">
              <w:rPr>
                <w:rFonts w:ascii="Times New Roman" w:hAnsi="Times New Roman" w:cs="Times New Roman"/>
                <w:b/>
                <w:sz w:val="14"/>
                <w:szCs w:val="14"/>
              </w:rPr>
              <w:t xml:space="preserve"> </w:t>
            </w:r>
            <w:r w:rsidRPr="008D5ED4">
              <w:rPr>
                <w:rFonts w:ascii="Times New Roman" w:hAnsi="Times New Roman" w:cs="Times New Roman"/>
                <w:b/>
                <w:sz w:val="14"/>
                <w:szCs w:val="14"/>
              </w:rPr>
              <w:t>8</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73 402</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607 621</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highlight w:val="yellow"/>
              </w:rPr>
            </w:pPr>
            <w:r w:rsidRPr="008D5ED4">
              <w:rPr>
                <w:rFonts w:ascii="Times New Roman" w:hAnsi="Times New Roman" w:cs="Times New Roman"/>
                <w:b/>
                <w:color w:val="000000"/>
                <w:sz w:val="14"/>
                <w:szCs w:val="14"/>
              </w:rPr>
              <w:t>1 202 077</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476"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r>
      <w:tr w:rsidR="007D13F3" w:rsidRPr="007F3CB9" w:rsidTr="00465CAC">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7D13F3" w:rsidRPr="00054D00" w:rsidRDefault="007D13F3" w:rsidP="00465CAC">
            <w:pPr>
              <w:rPr>
                <w:rFonts w:ascii="Times New Roman" w:hAnsi="Times New Roman" w:cs="Times New Roman"/>
                <w:sz w:val="14"/>
                <w:szCs w:val="14"/>
              </w:rPr>
            </w:pPr>
            <w:r w:rsidRPr="00054D00">
              <w:rPr>
                <w:rFonts w:ascii="Times New Roman" w:hAnsi="Times New Roman" w:cs="Times New Roman"/>
                <w:sz w:val="14"/>
                <w:szCs w:val="14"/>
              </w:rPr>
              <w:t xml:space="preserve">    v tom: štátny rozpočet</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37 360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178 121</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1 202 077</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r>
      <w:tr w:rsidR="007D13F3" w:rsidRPr="007F3CB9" w:rsidTr="00465CAC">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7D13F3" w:rsidRPr="00054D00" w:rsidRDefault="007D13F3" w:rsidP="00465CAC">
            <w:pPr>
              <w:rPr>
                <w:rFonts w:ascii="Times New Roman" w:hAnsi="Times New Roman" w:cs="Times New Roman"/>
                <w:sz w:val="14"/>
                <w:szCs w:val="14"/>
              </w:rPr>
            </w:pPr>
            <w:r w:rsidRPr="00054D00">
              <w:rPr>
                <w:rFonts w:ascii="Times New Roman" w:hAnsi="Times New Roman" w:cs="Times New Roman"/>
                <w:sz w:val="14"/>
                <w:szCs w:val="14"/>
              </w:rPr>
              <w:t xml:space="preserve">                EU prostriedky</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27 143</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323 456</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r>
      <w:tr w:rsidR="007D13F3" w:rsidRPr="007F3CB9" w:rsidTr="00465CAC">
        <w:trPr>
          <w:trHeight w:val="259"/>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7D13F3" w:rsidRPr="00054D00" w:rsidRDefault="007D13F3" w:rsidP="00465CAC">
            <w:pPr>
              <w:rPr>
                <w:rFonts w:ascii="Times New Roman" w:hAnsi="Times New Roman" w:cs="Times New Roman"/>
                <w:sz w:val="14"/>
                <w:szCs w:val="14"/>
              </w:rPr>
            </w:pPr>
            <w:r w:rsidRPr="00054D00">
              <w:rPr>
                <w:rFonts w:ascii="Times New Roman" w:hAnsi="Times New Roman" w:cs="Times New Roman"/>
                <w:sz w:val="14"/>
                <w:szCs w:val="14"/>
              </w:rPr>
              <w:t xml:space="preserve">                spolufinancovanie zo ŠR</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8 899</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106 043</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shd w:val="clear" w:color="auto" w:fill="auto"/>
            <w:vAlign w:val="bottom"/>
          </w:tcPr>
          <w:p w:rsidR="007D13F3" w:rsidRPr="00DF4795" w:rsidRDefault="007D13F3" w:rsidP="00465CAC">
            <w:pPr>
              <w:jc w:val="right"/>
              <w:rPr>
                <w:rFonts w:ascii="Times New Roman" w:hAnsi="Times New Roman" w:cs="Times New Roman"/>
                <w:color w:val="000000"/>
                <w:sz w:val="14"/>
                <w:szCs w:val="14"/>
              </w:rPr>
            </w:pPr>
            <w:r w:rsidRPr="00DF4795">
              <w:rPr>
                <w:rFonts w:ascii="Times New Roman" w:hAnsi="Times New Roman" w:cs="Times New Roman"/>
                <w:color w:val="000000"/>
                <w:sz w:val="14"/>
                <w:szCs w:val="14"/>
              </w:rPr>
              <w:t>0</w:t>
            </w:r>
          </w:p>
        </w:tc>
      </w:tr>
      <w:tr w:rsidR="007D13F3" w:rsidRPr="008D5ED4" w:rsidTr="00465CAC">
        <w:trPr>
          <w:trHeight w:val="259"/>
        </w:trPr>
        <w:tc>
          <w:tcPr>
            <w:tcW w:w="1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8D5ED4" w:rsidRDefault="007D13F3" w:rsidP="00465CAC">
            <w:pPr>
              <w:rPr>
                <w:rFonts w:ascii="Times New Roman" w:hAnsi="Times New Roman" w:cs="Times New Roman"/>
                <w:b/>
                <w:sz w:val="14"/>
                <w:szCs w:val="14"/>
              </w:rPr>
            </w:pPr>
            <w:r w:rsidRPr="008D5ED4">
              <w:rPr>
                <w:rFonts w:ascii="Times New Roman" w:hAnsi="Times New Roman" w:cs="Times New Roman"/>
                <w:b/>
                <w:bCs/>
                <w:sz w:val="14"/>
                <w:szCs w:val="14"/>
              </w:rPr>
              <w:t>zdroj 72e*</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8 088</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11 017</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15"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476"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r>
    </w:tbl>
    <w:p w:rsidR="007D13F3" w:rsidRDefault="007D13F3" w:rsidP="007D13F3">
      <w:pPr>
        <w:autoSpaceDE w:val="0"/>
        <w:autoSpaceDN w:val="0"/>
        <w:jc w:val="both"/>
        <w:rPr>
          <w:rFonts w:ascii="Times New Roman" w:hAnsi="Times New Roman" w:cs="Times New Roman"/>
          <w:color w:val="000000"/>
          <w:sz w:val="14"/>
          <w:szCs w:val="14"/>
          <w:lang w:eastAsia="sk-SK"/>
        </w:rPr>
      </w:pPr>
      <w:r w:rsidRPr="00522325">
        <w:rPr>
          <w:rFonts w:ascii="Times New Roman" w:hAnsi="Times New Roman" w:cs="Times New Roman"/>
          <w:color w:val="000000"/>
          <w:sz w:val="14"/>
          <w:szCs w:val="14"/>
          <w:lang w:eastAsia="sk-SK"/>
        </w:rPr>
        <w:t>*z poistného plnenia zo zmluvného poistenia alebo zo zákonného poistenia</w:t>
      </w:r>
    </w:p>
    <w:p w:rsidR="007D13F3" w:rsidRDefault="007D13F3" w:rsidP="007D13F3">
      <w:pPr>
        <w:autoSpaceDE w:val="0"/>
        <w:autoSpaceDN w:val="0"/>
        <w:jc w:val="both"/>
        <w:rPr>
          <w:rFonts w:ascii="Times New Roman" w:hAnsi="Times New Roman" w:cs="Times New Roman"/>
          <w:color w:val="000000"/>
          <w:sz w:val="14"/>
          <w:szCs w:val="14"/>
          <w:lang w:eastAsia="sk-SK"/>
        </w:rPr>
      </w:pPr>
    </w:p>
    <w:tbl>
      <w:tblPr>
        <w:tblW w:w="5000" w:type="pct"/>
        <w:tblCellMar>
          <w:left w:w="70" w:type="dxa"/>
          <w:right w:w="70" w:type="dxa"/>
        </w:tblCellMar>
        <w:tblLook w:val="04A0" w:firstRow="1" w:lastRow="0" w:firstColumn="1" w:lastColumn="0" w:noHBand="0" w:noVBand="1"/>
      </w:tblPr>
      <w:tblGrid>
        <w:gridCol w:w="2598"/>
        <w:gridCol w:w="934"/>
        <w:gridCol w:w="934"/>
        <w:gridCol w:w="934"/>
        <w:gridCol w:w="933"/>
        <w:gridCol w:w="933"/>
        <w:gridCol w:w="933"/>
        <w:gridCol w:w="863"/>
      </w:tblGrid>
      <w:tr w:rsidR="007D13F3" w:rsidRPr="00054D00" w:rsidTr="00465CAC">
        <w:trPr>
          <w:trHeight w:val="259"/>
        </w:trPr>
        <w:tc>
          <w:tcPr>
            <w:tcW w:w="1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13F3" w:rsidRPr="00054D00" w:rsidRDefault="007D13F3" w:rsidP="00465CAC">
            <w:pPr>
              <w:rPr>
                <w:rFonts w:ascii="Times New Roman" w:hAnsi="Times New Roman" w:cs="Times New Roman"/>
                <w:sz w:val="14"/>
                <w:szCs w:val="14"/>
              </w:rPr>
            </w:pPr>
            <w:r w:rsidRPr="009C6AFB">
              <w:rPr>
                <w:rFonts w:ascii="Times New Roman" w:hAnsi="Times New Roman" w:cs="Times New Roman"/>
                <w:b/>
                <w:bCs/>
                <w:sz w:val="14"/>
                <w:szCs w:val="14"/>
              </w:rPr>
              <w:t>Samostatné účty</w:t>
            </w:r>
          </w:p>
        </w:tc>
        <w:tc>
          <w:tcPr>
            <w:tcW w:w="515" w:type="pct"/>
            <w:tcBorders>
              <w:top w:val="single" w:sz="4" w:space="0" w:color="auto"/>
              <w:left w:val="nil"/>
              <w:bottom w:val="single" w:sz="4" w:space="0" w:color="auto"/>
              <w:right w:val="single" w:sz="4" w:space="0" w:color="auto"/>
            </w:tcBorders>
            <w:shd w:val="clear" w:color="auto" w:fill="auto"/>
            <w:vAlign w:val="bottom"/>
          </w:tcPr>
          <w:p w:rsidR="007D13F3" w:rsidRPr="009C6AFB" w:rsidRDefault="007D13F3" w:rsidP="00465CAC">
            <w:pPr>
              <w:jc w:val="right"/>
              <w:rPr>
                <w:rFonts w:ascii="Times New Roman" w:hAnsi="Times New Roman" w:cs="Times New Roman"/>
                <w:b/>
                <w:color w:val="000000"/>
                <w:sz w:val="14"/>
                <w:szCs w:val="14"/>
              </w:rPr>
            </w:pPr>
            <w:r w:rsidRPr="009C6AFB">
              <w:rPr>
                <w:rFonts w:ascii="Times New Roman" w:hAnsi="Times New Roman" w:cs="Times New Roman"/>
                <w:b/>
                <w:color w:val="000000"/>
                <w:sz w:val="14"/>
                <w:szCs w:val="14"/>
              </w:rPr>
              <w:t>764 938</w:t>
            </w:r>
          </w:p>
        </w:tc>
        <w:tc>
          <w:tcPr>
            <w:tcW w:w="515" w:type="pct"/>
            <w:tcBorders>
              <w:top w:val="single" w:sz="4" w:space="0" w:color="auto"/>
              <w:left w:val="nil"/>
              <w:bottom w:val="single" w:sz="4" w:space="0" w:color="auto"/>
              <w:right w:val="single" w:sz="4" w:space="0" w:color="auto"/>
            </w:tcBorders>
            <w:shd w:val="clear" w:color="auto" w:fill="auto"/>
            <w:vAlign w:val="bottom"/>
          </w:tcPr>
          <w:p w:rsidR="007D13F3" w:rsidRPr="009C6AFB" w:rsidRDefault="007D13F3" w:rsidP="00465CAC">
            <w:pPr>
              <w:jc w:val="right"/>
              <w:rPr>
                <w:rFonts w:ascii="Times New Roman" w:hAnsi="Times New Roman" w:cs="Times New Roman"/>
                <w:b/>
                <w:color w:val="000000"/>
                <w:sz w:val="14"/>
                <w:szCs w:val="14"/>
              </w:rPr>
            </w:pPr>
            <w:r w:rsidRPr="009C6AFB">
              <w:rPr>
                <w:rFonts w:ascii="Times New Roman" w:hAnsi="Times New Roman" w:cs="Times New Roman"/>
                <w:b/>
                <w:color w:val="000000"/>
                <w:sz w:val="14"/>
                <w:szCs w:val="14"/>
              </w:rPr>
              <w:t>1 247 845</w:t>
            </w:r>
          </w:p>
        </w:tc>
        <w:tc>
          <w:tcPr>
            <w:tcW w:w="515" w:type="pct"/>
            <w:tcBorders>
              <w:top w:val="single" w:sz="4" w:space="0" w:color="auto"/>
              <w:left w:val="nil"/>
              <w:bottom w:val="single" w:sz="4" w:space="0" w:color="auto"/>
              <w:right w:val="single" w:sz="4" w:space="0" w:color="auto"/>
            </w:tcBorders>
            <w:shd w:val="clear" w:color="auto" w:fill="auto"/>
            <w:vAlign w:val="bottom"/>
          </w:tcPr>
          <w:p w:rsidR="007D13F3" w:rsidRPr="009C6AFB" w:rsidRDefault="007D13F3" w:rsidP="00465CAC">
            <w:pPr>
              <w:jc w:val="right"/>
              <w:rPr>
                <w:rFonts w:ascii="Times New Roman" w:hAnsi="Times New Roman" w:cs="Times New Roman"/>
                <w:b/>
                <w:color w:val="000000"/>
                <w:sz w:val="14"/>
                <w:szCs w:val="14"/>
              </w:rPr>
            </w:pPr>
            <w:r w:rsidRPr="009C6AFB">
              <w:rPr>
                <w:rFonts w:ascii="Times New Roman" w:hAnsi="Times New Roman" w:cs="Times New Roman"/>
                <w:b/>
                <w:color w:val="000000"/>
                <w:sz w:val="14"/>
                <w:szCs w:val="14"/>
              </w:rPr>
              <w:t>650 000</w:t>
            </w:r>
          </w:p>
        </w:tc>
        <w:tc>
          <w:tcPr>
            <w:tcW w:w="515" w:type="pct"/>
            <w:tcBorders>
              <w:top w:val="single" w:sz="4" w:space="0" w:color="auto"/>
              <w:left w:val="nil"/>
              <w:bottom w:val="single" w:sz="4" w:space="0" w:color="auto"/>
              <w:right w:val="single" w:sz="4" w:space="0" w:color="auto"/>
            </w:tcBorders>
            <w:shd w:val="clear" w:color="auto" w:fill="auto"/>
            <w:vAlign w:val="bottom"/>
          </w:tcPr>
          <w:p w:rsidR="007D13F3" w:rsidRPr="009C6AFB" w:rsidRDefault="007D13F3" w:rsidP="00465CAC">
            <w:pPr>
              <w:jc w:val="right"/>
              <w:rPr>
                <w:rFonts w:ascii="Times New Roman" w:hAnsi="Times New Roman" w:cs="Times New Roman"/>
                <w:b/>
                <w:color w:val="000000"/>
                <w:sz w:val="14"/>
                <w:szCs w:val="14"/>
              </w:rPr>
            </w:pPr>
            <w:r w:rsidRPr="009C6AFB">
              <w:rPr>
                <w:rFonts w:ascii="Times New Roman" w:hAnsi="Times New Roman" w:cs="Times New Roman"/>
                <w:b/>
                <w:color w:val="000000"/>
                <w:sz w:val="14"/>
                <w:szCs w:val="14"/>
              </w:rPr>
              <w:t>650 000</w:t>
            </w:r>
          </w:p>
        </w:tc>
        <w:tc>
          <w:tcPr>
            <w:tcW w:w="515" w:type="pct"/>
            <w:tcBorders>
              <w:top w:val="single" w:sz="4" w:space="0" w:color="auto"/>
              <w:left w:val="nil"/>
              <w:bottom w:val="single" w:sz="4" w:space="0" w:color="auto"/>
              <w:right w:val="single" w:sz="4" w:space="0" w:color="auto"/>
            </w:tcBorders>
            <w:shd w:val="clear" w:color="auto" w:fill="auto"/>
            <w:vAlign w:val="bottom"/>
          </w:tcPr>
          <w:p w:rsidR="007D13F3" w:rsidRPr="009C6AFB" w:rsidRDefault="007D13F3" w:rsidP="00465CAC">
            <w:pPr>
              <w:jc w:val="right"/>
              <w:rPr>
                <w:rFonts w:ascii="Times New Roman" w:hAnsi="Times New Roman" w:cs="Times New Roman"/>
                <w:b/>
                <w:color w:val="000000"/>
                <w:sz w:val="14"/>
                <w:szCs w:val="14"/>
              </w:rPr>
            </w:pPr>
            <w:r w:rsidRPr="009C6AFB">
              <w:rPr>
                <w:rFonts w:ascii="Times New Roman" w:hAnsi="Times New Roman" w:cs="Times New Roman"/>
                <w:b/>
                <w:color w:val="000000"/>
                <w:sz w:val="14"/>
                <w:szCs w:val="14"/>
              </w:rPr>
              <w:t>1 287 000</w:t>
            </w:r>
          </w:p>
        </w:tc>
        <w:tc>
          <w:tcPr>
            <w:tcW w:w="515" w:type="pct"/>
            <w:tcBorders>
              <w:top w:val="single" w:sz="4" w:space="0" w:color="auto"/>
              <w:left w:val="nil"/>
              <w:bottom w:val="single" w:sz="4" w:space="0" w:color="auto"/>
              <w:right w:val="single" w:sz="4" w:space="0" w:color="auto"/>
            </w:tcBorders>
            <w:shd w:val="clear" w:color="auto" w:fill="auto"/>
            <w:vAlign w:val="bottom"/>
          </w:tcPr>
          <w:p w:rsidR="007D13F3" w:rsidRPr="009C6AFB" w:rsidRDefault="007D13F3" w:rsidP="00465CAC">
            <w:pPr>
              <w:jc w:val="right"/>
              <w:rPr>
                <w:rFonts w:ascii="Times New Roman" w:hAnsi="Times New Roman" w:cs="Times New Roman"/>
                <w:b/>
                <w:color w:val="000000"/>
                <w:sz w:val="14"/>
                <w:szCs w:val="14"/>
              </w:rPr>
            </w:pPr>
            <w:r w:rsidRPr="009C6AFB">
              <w:rPr>
                <w:rFonts w:ascii="Times New Roman" w:hAnsi="Times New Roman" w:cs="Times New Roman"/>
                <w:b/>
                <w:color w:val="000000"/>
                <w:sz w:val="14"/>
                <w:szCs w:val="14"/>
              </w:rPr>
              <w:t>500 000</w:t>
            </w:r>
          </w:p>
        </w:tc>
        <w:tc>
          <w:tcPr>
            <w:tcW w:w="476" w:type="pct"/>
            <w:tcBorders>
              <w:top w:val="single" w:sz="4" w:space="0" w:color="auto"/>
              <w:left w:val="nil"/>
              <w:bottom w:val="single" w:sz="4" w:space="0" w:color="auto"/>
              <w:right w:val="single" w:sz="4" w:space="0" w:color="auto"/>
            </w:tcBorders>
            <w:shd w:val="clear" w:color="auto" w:fill="auto"/>
            <w:vAlign w:val="bottom"/>
          </w:tcPr>
          <w:p w:rsidR="007D13F3" w:rsidRPr="009C6AFB" w:rsidRDefault="007D13F3" w:rsidP="00465CAC">
            <w:pPr>
              <w:jc w:val="right"/>
              <w:rPr>
                <w:rFonts w:ascii="Times New Roman" w:hAnsi="Times New Roman" w:cs="Times New Roman"/>
                <w:b/>
                <w:color w:val="000000"/>
                <w:sz w:val="14"/>
                <w:szCs w:val="14"/>
              </w:rPr>
            </w:pPr>
            <w:r w:rsidRPr="009C6AFB">
              <w:rPr>
                <w:rFonts w:ascii="Times New Roman" w:hAnsi="Times New Roman" w:cs="Times New Roman"/>
                <w:b/>
                <w:color w:val="000000"/>
                <w:sz w:val="14"/>
                <w:szCs w:val="14"/>
              </w:rPr>
              <w:t>500 000</w:t>
            </w:r>
          </w:p>
        </w:tc>
      </w:tr>
    </w:tbl>
    <w:p w:rsidR="007D13F3" w:rsidRPr="00D163E3" w:rsidRDefault="007D13F3" w:rsidP="007D13F3">
      <w:pPr>
        <w:autoSpaceDE w:val="0"/>
        <w:autoSpaceDN w:val="0"/>
        <w:jc w:val="both"/>
        <w:rPr>
          <w:rFonts w:ascii="Times New Roman" w:hAnsi="Times New Roman" w:cs="Times New Roman"/>
          <w:color w:val="000000"/>
          <w:lang w:eastAsia="sk-SK"/>
        </w:rPr>
      </w:pPr>
    </w:p>
    <w:p w:rsidR="007D13F3" w:rsidRPr="004B6200" w:rsidRDefault="007D13F3" w:rsidP="007D13F3">
      <w:pPr>
        <w:ind w:firstLine="709"/>
        <w:jc w:val="both"/>
        <w:rPr>
          <w:rFonts w:ascii="Times New Roman" w:hAnsi="Times New Roman" w:cs="Times New Roman"/>
          <w:highlight w:val="yellow"/>
        </w:rPr>
      </w:pPr>
      <w:r w:rsidRPr="001B14EA">
        <w:rPr>
          <w:rFonts w:ascii="Times New Roman" w:hAnsi="Times New Roman" w:cs="Times New Roman"/>
        </w:rPr>
        <w:t>Na rok 201</w:t>
      </w:r>
      <w:r>
        <w:rPr>
          <w:rFonts w:ascii="Times New Roman" w:hAnsi="Times New Roman" w:cs="Times New Roman"/>
        </w:rPr>
        <w:t>8</w:t>
      </w:r>
      <w:r w:rsidRPr="001B14EA">
        <w:rPr>
          <w:rFonts w:ascii="Times New Roman" w:hAnsi="Times New Roman" w:cs="Times New Roman"/>
        </w:rPr>
        <w:t xml:space="preserve"> sa pre kapitolu navrhuje limit výdavkov v sume </w:t>
      </w:r>
      <w:r>
        <w:rPr>
          <w:rFonts w:ascii="Times New Roman" w:hAnsi="Times New Roman" w:cs="Times New Roman"/>
        </w:rPr>
        <w:t>22</w:t>
      </w:r>
      <w:r w:rsidRPr="001B14EA">
        <w:rPr>
          <w:rFonts w:ascii="Times New Roman" w:hAnsi="Times New Roman" w:cs="Times New Roman"/>
        </w:rPr>
        <w:t>,</w:t>
      </w:r>
      <w:r>
        <w:rPr>
          <w:rFonts w:ascii="Times New Roman" w:hAnsi="Times New Roman" w:cs="Times New Roman"/>
        </w:rPr>
        <w:t>1</w:t>
      </w:r>
      <w:r w:rsidRPr="001B14EA">
        <w:rPr>
          <w:rFonts w:ascii="Times New Roman" w:hAnsi="Times New Roman" w:cs="Times New Roman"/>
        </w:rPr>
        <w:t xml:space="preserve"> mil. eur, čo predstavuje </w:t>
      </w:r>
      <w:r>
        <w:rPr>
          <w:rFonts w:ascii="Times New Roman" w:hAnsi="Times New Roman" w:cs="Times New Roman"/>
        </w:rPr>
        <w:t>nárast</w:t>
      </w:r>
      <w:r w:rsidRPr="001B14EA">
        <w:rPr>
          <w:rFonts w:ascii="Times New Roman" w:hAnsi="Times New Roman" w:cs="Times New Roman"/>
        </w:rPr>
        <w:t xml:space="preserve"> o</w:t>
      </w:r>
      <w:r>
        <w:rPr>
          <w:rFonts w:ascii="Times New Roman" w:hAnsi="Times New Roman" w:cs="Times New Roman"/>
        </w:rPr>
        <w:t> 1,17</w:t>
      </w:r>
      <w:r w:rsidRPr="001B14EA">
        <w:rPr>
          <w:rFonts w:ascii="Times New Roman" w:hAnsi="Times New Roman" w:cs="Times New Roman"/>
        </w:rPr>
        <w:t xml:space="preserve"> </w:t>
      </w:r>
      <w:r>
        <w:rPr>
          <w:rFonts w:ascii="Times New Roman" w:hAnsi="Times New Roman" w:cs="Times New Roman"/>
        </w:rPr>
        <w:t>mil</w:t>
      </w:r>
      <w:r w:rsidRPr="001B14EA">
        <w:rPr>
          <w:rFonts w:ascii="Times New Roman" w:hAnsi="Times New Roman" w:cs="Times New Roman"/>
        </w:rPr>
        <w:t xml:space="preserve">. eur, t. j. o </w:t>
      </w:r>
      <w:r>
        <w:rPr>
          <w:rFonts w:ascii="Times New Roman" w:hAnsi="Times New Roman" w:cs="Times New Roman"/>
        </w:rPr>
        <w:t>5</w:t>
      </w:r>
      <w:r w:rsidRPr="001B14EA">
        <w:rPr>
          <w:rFonts w:ascii="Times New Roman" w:hAnsi="Times New Roman" w:cs="Times New Roman"/>
        </w:rPr>
        <w:t>,</w:t>
      </w:r>
      <w:r>
        <w:rPr>
          <w:rFonts w:ascii="Times New Roman" w:hAnsi="Times New Roman" w:cs="Times New Roman"/>
        </w:rPr>
        <w:t>60</w:t>
      </w:r>
      <w:r w:rsidRPr="001B14EA">
        <w:rPr>
          <w:rFonts w:ascii="Times New Roman" w:hAnsi="Times New Roman" w:cs="Times New Roman"/>
        </w:rPr>
        <w:t xml:space="preserve"> % v porovnaní so schváleným rozpočtom roku 201</w:t>
      </w:r>
      <w:r>
        <w:rPr>
          <w:rFonts w:ascii="Times New Roman" w:hAnsi="Times New Roman" w:cs="Times New Roman"/>
        </w:rPr>
        <w:t>7</w:t>
      </w:r>
      <w:r w:rsidRPr="001B14EA">
        <w:rPr>
          <w:rFonts w:ascii="Times New Roman" w:hAnsi="Times New Roman" w:cs="Times New Roman"/>
        </w:rPr>
        <w:t xml:space="preserve">. </w:t>
      </w:r>
      <w:r w:rsidRPr="009E674B">
        <w:rPr>
          <w:rFonts w:ascii="Times New Roman" w:hAnsi="Times New Roman" w:cs="Times New Roman"/>
        </w:rPr>
        <w:t xml:space="preserve">Po </w:t>
      </w:r>
      <w:r w:rsidR="00941A11">
        <w:rPr>
          <w:rFonts w:ascii="Times New Roman" w:hAnsi="Times New Roman" w:cs="Times New Roman"/>
        </w:rPr>
        <w:t>odpočítaní</w:t>
      </w:r>
      <w:r w:rsidRPr="009E674B">
        <w:rPr>
          <w:rFonts w:ascii="Times New Roman" w:hAnsi="Times New Roman" w:cs="Times New Roman"/>
        </w:rPr>
        <w:t xml:space="preserve"> výdavk</w:t>
      </w:r>
      <w:r w:rsidR="00941A11">
        <w:rPr>
          <w:rFonts w:ascii="Times New Roman" w:hAnsi="Times New Roman" w:cs="Times New Roman"/>
        </w:rPr>
        <w:t>ov</w:t>
      </w:r>
      <w:r w:rsidRPr="009E674B">
        <w:rPr>
          <w:rFonts w:ascii="Times New Roman" w:hAnsi="Times New Roman" w:cs="Times New Roman"/>
        </w:rPr>
        <w:t xml:space="preserve"> na voľby a</w:t>
      </w:r>
      <w:r w:rsidR="00941A11">
        <w:rPr>
          <w:rFonts w:ascii="Times New Roman" w:hAnsi="Times New Roman" w:cs="Times New Roman"/>
        </w:rPr>
        <w:t> sčítanie obyvateľov, domov a bytov (ďalej len „</w:t>
      </w:r>
      <w:r w:rsidRPr="009E674B">
        <w:rPr>
          <w:rFonts w:ascii="Times New Roman" w:hAnsi="Times New Roman" w:cs="Times New Roman"/>
        </w:rPr>
        <w:t>SODB</w:t>
      </w:r>
      <w:r w:rsidR="00941A11">
        <w:rPr>
          <w:rFonts w:ascii="Times New Roman" w:hAnsi="Times New Roman" w:cs="Times New Roman"/>
        </w:rPr>
        <w:t>“)</w:t>
      </w:r>
      <w:r w:rsidRPr="009E674B">
        <w:rPr>
          <w:rFonts w:ascii="Times New Roman" w:hAnsi="Times New Roman" w:cs="Times New Roman"/>
        </w:rPr>
        <w:t xml:space="preserve"> sa jedná o nárast v sume 549 tis. eur (</w:t>
      </w:r>
      <w:r>
        <w:rPr>
          <w:rFonts w:ascii="Times New Roman" w:hAnsi="Times New Roman" w:cs="Times New Roman"/>
        </w:rPr>
        <w:t>4</w:t>
      </w:r>
      <w:r w:rsidRPr="009E674B">
        <w:rPr>
          <w:rFonts w:ascii="Times New Roman" w:hAnsi="Times New Roman" w:cs="Times New Roman"/>
        </w:rPr>
        <w:t>,</w:t>
      </w:r>
      <w:r>
        <w:rPr>
          <w:rFonts w:ascii="Times New Roman" w:hAnsi="Times New Roman" w:cs="Times New Roman"/>
        </w:rPr>
        <w:t>51</w:t>
      </w:r>
      <w:r w:rsidRPr="009E674B">
        <w:rPr>
          <w:rFonts w:ascii="Times New Roman" w:hAnsi="Times New Roman" w:cs="Times New Roman"/>
        </w:rPr>
        <w:t>%).</w:t>
      </w:r>
    </w:p>
    <w:p w:rsidR="007D13F3" w:rsidRPr="004B6200" w:rsidRDefault="007D13F3" w:rsidP="007D13F3">
      <w:pPr>
        <w:autoSpaceDE w:val="0"/>
        <w:autoSpaceDN w:val="0"/>
        <w:adjustRightInd w:val="0"/>
        <w:jc w:val="both"/>
        <w:rPr>
          <w:rFonts w:ascii="Times New Roman" w:hAnsi="Times New Roman" w:cs="Times New Roman"/>
          <w:highlight w:val="yellow"/>
        </w:rPr>
      </w:pPr>
    </w:p>
    <w:p w:rsidR="007D13F3" w:rsidRPr="00143084" w:rsidRDefault="007D13F3" w:rsidP="007D13F3">
      <w:pPr>
        <w:ind w:firstLine="708"/>
        <w:jc w:val="both"/>
        <w:rPr>
          <w:rFonts w:ascii="Times New Roman" w:hAnsi="Times New Roman" w:cs="Times New Roman"/>
        </w:rPr>
      </w:pPr>
      <w:r w:rsidRPr="00143084">
        <w:rPr>
          <w:rFonts w:ascii="Times New Roman" w:hAnsi="Times New Roman" w:cs="Times New Roman"/>
        </w:rPr>
        <w:t>Objem osobných výdavkov sa na rok 201</w:t>
      </w:r>
      <w:r>
        <w:rPr>
          <w:rFonts w:ascii="Times New Roman" w:hAnsi="Times New Roman" w:cs="Times New Roman"/>
        </w:rPr>
        <w:t>8</w:t>
      </w:r>
      <w:r w:rsidRPr="00143084">
        <w:rPr>
          <w:rFonts w:ascii="Times New Roman" w:hAnsi="Times New Roman" w:cs="Times New Roman"/>
        </w:rPr>
        <w:t xml:space="preserve"> rozpočtuje na úrovni 1</w:t>
      </w:r>
      <w:r>
        <w:rPr>
          <w:rFonts w:ascii="Times New Roman" w:hAnsi="Times New Roman" w:cs="Times New Roman"/>
        </w:rPr>
        <w:t>3</w:t>
      </w:r>
      <w:r w:rsidRPr="00143084">
        <w:rPr>
          <w:rFonts w:ascii="Times New Roman" w:hAnsi="Times New Roman" w:cs="Times New Roman"/>
        </w:rPr>
        <w:t>,</w:t>
      </w:r>
      <w:r>
        <w:rPr>
          <w:rFonts w:ascii="Times New Roman" w:hAnsi="Times New Roman" w:cs="Times New Roman"/>
        </w:rPr>
        <w:t>7</w:t>
      </w:r>
      <w:r w:rsidRPr="00143084">
        <w:rPr>
          <w:rFonts w:ascii="Times New Roman" w:hAnsi="Times New Roman" w:cs="Times New Roman"/>
        </w:rPr>
        <w:t xml:space="preserve"> mil. eur, čo predstavuje oproti schválenému rozpočtu roku 201</w:t>
      </w:r>
      <w:r>
        <w:rPr>
          <w:rFonts w:ascii="Times New Roman" w:hAnsi="Times New Roman" w:cs="Times New Roman"/>
        </w:rPr>
        <w:t>7</w:t>
      </w:r>
      <w:r w:rsidRPr="00143084">
        <w:rPr>
          <w:rFonts w:ascii="Times New Roman" w:hAnsi="Times New Roman" w:cs="Times New Roman"/>
        </w:rPr>
        <w:t xml:space="preserve"> nárast o </w:t>
      </w:r>
      <w:r>
        <w:rPr>
          <w:rFonts w:ascii="Times New Roman" w:hAnsi="Times New Roman" w:cs="Times New Roman"/>
        </w:rPr>
        <w:t>740</w:t>
      </w:r>
      <w:r w:rsidRPr="00143084">
        <w:rPr>
          <w:rFonts w:ascii="Times New Roman" w:hAnsi="Times New Roman" w:cs="Times New Roman"/>
        </w:rPr>
        <w:t xml:space="preserve"> tis. eur, t. j. o </w:t>
      </w:r>
      <w:r>
        <w:rPr>
          <w:rFonts w:ascii="Times New Roman" w:hAnsi="Times New Roman" w:cs="Times New Roman"/>
        </w:rPr>
        <w:t>5</w:t>
      </w:r>
      <w:r w:rsidRPr="00143084">
        <w:rPr>
          <w:rFonts w:ascii="Times New Roman" w:hAnsi="Times New Roman" w:cs="Times New Roman"/>
        </w:rPr>
        <w:t>,</w:t>
      </w:r>
      <w:r>
        <w:rPr>
          <w:rFonts w:ascii="Times New Roman" w:hAnsi="Times New Roman" w:cs="Times New Roman"/>
        </w:rPr>
        <w:t>70</w:t>
      </w:r>
      <w:r w:rsidRPr="00143084">
        <w:rPr>
          <w:rFonts w:ascii="Times New Roman" w:hAnsi="Times New Roman" w:cs="Times New Roman"/>
        </w:rPr>
        <w:t xml:space="preserve"> %.</w:t>
      </w:r>
      <w:r w:rsidRPr="00143084">
        <w:t xml:space="preserve"> </w:t>
      </w:r>
      <w:r w:rsidRPr="009E674B">
        <w:rPr>
          <w:rFonts w:ascii="Times New Roman" w:hAnsi="Times New Roman" w:cs="Times New Roman"/>
        </w:rPr>
        <w:t xml:space="preserve">Dôvodom je premietnutie valorizácie platov z roku 2017 </w:t>
      </w:r>
      <w:r>
        <w:rPr>
          <w:rFonts w:ascii="Times New Roman" w:hAnsi="Times New Roman" w:cs="Times New Roman"/>
        </w:rPr>
        <w:t>a</w:t>
      </w:r>
      <w:r w:rsidRPr="009E674B">
        <w:rPr>
          <w:rFonts w:ascii="Times New Roman" w:hAnsi="Times New Roman" w:cs="Times New Roman"/>
        </w:rPr>
        <w:t xml:space="preserve"> navýšenie výdavkov v súvislosti s SODB v roku 2021.</w:t>
      </w:r>
    </w:p>
    <w:p w:rsidR="007D13F3" w:rsidRPr="004B6200" w:rsidRDefault="007D13F3" w:rsidP="007D13F3">
      <w:pPr>
        <w:ind w:firstLine="708"/>
        <w:jc w:val="both"/>
        <w:rPr>
          <w:rFonts w:ascii="Times New Roman" w:hAnsi="Times New Roman" w:cs="Times New Roman"/>
          <w:highlight w:val="yellow"/>
        </w:rPr>
      </w:pPr>
    </w:p>
    <w:p w:rsidR="007D13F3" w:rsidRPr="004B6200" w:rsidRDefault="007D13F3" w:rsidP="007D13F3">
      <w:pPr>
        <w:autoSpaceDE w:val="0"/>
        <w:autoSpaceDN w:val="0"/>
        <w:adjustRightInd w:val="0"/>
        <w:ind w:firstLine="708"/>
        <w:jc w:val="both"/>
        <w:rPr>
          <w:rFonts w:ascii="Times New Roman" w:hAnsi="Times New Roman" w:cs="Times New Roman"/>
          <w:highlight w:val="yellow"/>
        </w:rPr>
      </w:pPr>
      <w:r w:rsidRPr="009B3FE0">
        <w:rPr>
          <w:rFonts w:ascii="Times New Roman" w:hAnsi="Times New Roman" w:cs="Times New Roman"/>
        </w:rPr>
        <w:lastRenderedPageBreak/>
        <w:t xml:space="preserve">Kapitola na tovary a služby </w:t>
      </w:r>
      <w:r w:rsidR="00941A11">
        <w:rPr>
          <w:rFonts w:ascii="Times New Roman" w:hAnsi="Times New Roman" w:cs="Times New Roman"/>
        </w:rPr>
        <w:t>rozpočtuje</w:t>
      </w:r>
      <w:r w:rsidRPr="009B3FE0">
        <w:rPr>
          <w:rFonts w:ascii="Times New Roman" w:hAnsi="Times New Roman" w:cs="Times New Roman"/>
        </w:rPr>
        <w:t xml:space="preserve"> sumu </w:t>
      </w:r>
      <w:r>
        <w:rPr>
          <w:rFonts w:ascii="Times New Roman" w:hAnsi="Times New Roman" w:cs="Times New Roman"/>
        </w:rPr>
        <w:t>7</w:t>
      </w:r>
      <w:r w:rsidRPr="009B3FE0">
        <w:rPr>
          <w:rFonts w:ascii="Times New Roman" w:hAnsi="Times New Roman" w:cs="Times New Roman"/>
        </w:rPr>
        <w:t>,</w:t>
      </w:r>
      <w:r>
        <w:rPr>
          <w:rFonts w:ascii="Times New Roman" w:hAnsi="Times New Roman" w:cs="Times New Roman"/>
        </w:rPr>
        <w:t>22</w:t>
      </w:r>
      <w:r w:rsidRPr="009B3FE0">
        <w:rPr>
          <w:rFonts w:ascii="Times New Roman" w:hAnsi="Times New Roman" w:cs="Times New Roman"/>
        </w:rPr>
        <w:t xml:space="preserve"> mil. eur, čo je </w:t>
      </w:r>
      <w:r>
        <w:rPr>
          <w:rFonts w:ascii="Times New Roman" w:hAnsi="Times New Roman" w:cs="Times New Roman"/>
        </w:rPr>
        <w:t>viac</w:t>
      </w:r>
      <w:r w:rsidRPr="009B3FE0">
        <w:rPr>
          <w:rFonts w:ascii="Times New Roman" w:hAnsi="Times New Roman" w:cs="Times New Roman"/>
        </w:rPr>
        <w:t xml:space="preserve"> o</w:t>
      </w:r>
      <w:r>
        <w:rPr>
          <w:rFonts w:ascii="Times New Roman" w:hAnsi="Times New Roman" w:cs="Times New Roman"/>
        </w:rPr>
        <w:t> 250</w:t>
      </w:r>
      <w:r w:rsidRPr="009B3FE0">
        <w:rPr>
          <w:rFonts w:ascii="Times New Roman" w:hAnsi="Times New Roman" w:cs="Times New Roman"/>
        </w:rPr>
        <w:t xml:space="preserve"> tis. eur, t. j. o </w:t>
      </w:r>
      <w:r>
        <w:rPr>
          <w:rFonts w:ascii="Times New Roman" w:hAnsi="Times New Roman" w:cs="Times New Roman"/>
        </w:rPr>
        <w:t>3</w:t>
      </w:r>
      <w:r w:rsidRPr="009B3FE0">
        <w:rPr>
          <w:rFonts w:ascii="Times New Roman" w:hAnsi="Times New Roman" w:cs="Times New Roman"/>
        </w:rPr>
        <w:t>,</w:t>
      </w:r>
      <w:r>
        <w:rPr>
          <w:rFonts w:ascii="Times New Roman" w:hAnsi="Times New Roman" w:cs="Times New Roman"/>
        </w:rPr>
        <w:t>59</w:t>
      </w:r>
      <w:r w:rsidRPr="009B3FE0">
        <w:rPr>
          <w:rFonts w:ascii="Times New Roman" w:hAnsi="Times New Roman" w:cs="Times New Roman"/>
        </w:rPr>
        <w:t xml:space="preserve"> % oproti schválenému rozpočtu roku 201</w:t>
      </w:r>
      <w:r>
        <w:rPr>
          <w:rFonts w:ascii="Times New Roman" w:hAnsi="Times New Roman" w:cs="Times New Roman"/>
        </w:rPr>
        <w:t>7</w:t>
      </w:r>
      <w:r w:rsidRPr="009B3FE0">
        <w:rPr>
          <w:rFonts w:ascii="Times New Roman" w:hAnsi="Times New Roman" w:cs="Times New Roman"/>
        </w:rPr>
        <w:t xml:space="preserve">. Dôvodom je </w:t>
      </w:r>
      <w:r>
        <w:rPr>
          <w:rFonts w:ascii="Times New Roman" w:hAnsi="Times New Roman" w:cs="Times New Roman"/>
        </w:rPr>
        <w:t>nárast</w:t>
      </w:r>
      <w:r w:rsidRPr="009B3FE0">
        <w:rPr>
          <w:rFonts w:ascii="Times New Roman" w:hAnsi="Times New Roman" w:cs="Times New Roman"/>
        </w:rPr>
        <w:t xml:space="preserve"> výdavkov na </w:t>
      </w:r>
      <w:r>
        <w:rPr>
          <w:rFonts w:ascii="Times New Roman" w:hAnsi="Times New Roman" w:cs="Times New Roman"/>
        </w:rPr>
        <w:t>SODB</w:t>
      </w:r>
      <w:r w:rsidRPr="009B3FE0">
        <w:rPr>
          <w:rFonts w:ascii="Times New Roman" w:hAnsi="Times New Roman" w:cs="Times New Roman"/>
        </w:rPr>
        <w:t>.</w:t>
      </w:r>
    </w:p>
    <w:p w:rsidR="007D13F3" w:rsidRPr="004B6200" w:rsidRDefault="007D13F3" w:rsidP="007D13F3">
      <w:pPr>
        <w:jc w:val="both"/>
        <w:rPr>
          <w:rFonts w:ascii="Times New Roman" w:hAnsi="Times New Roman" w:cs="Times New Roman"/>
          <w:highlight w:val="yellow"/>
        </w:rPr>
      </w:pPr>
    </w:p>
    <w:p w:rsidR="007D13F3" w:rsidRPr="00637B2A" w:rsidRDefault="007D13F3" w:rsidP="007D13F3">
      <w:pPr>
        <w:ind w:firstLine="708"/>
        <w:jc w:val="both"/>
        <w:rPr>
          <w:rFonts w:ascii="Times New Roman" w:hAnsi="Times New Roman" w:cs="Times New Roman"/>
        </w:rPr>
      </w:pPr>
      <w:r w:rsidRPr="00637B2A">
        <w:rPr>
          <w:rFonts w:ascii="Times New Roman" w:hAnsi="Times New Roman" w:cs="Times New Roman"/>
        </w:rPr>
        <w:t xml:space="preserve">Výdavky na bežné transfery sa </w:t>
      </w:r>
      <w:r w:rsidR="00941A11">
        <w:rPr>
          <w:rFonts w:ascii="Times New Roman" w:hAnsi="Times New Roman" w:cs="Times New Roman"/>
        </w:rPr>
        <w:t>rozpočtujú</w:t>
      </w:r>
      <w:r w:rsidRPr="00637B2A">
        <w:rPr>
          <w:rFonts w:ascii="Times New Roman" w:hAnsi="Times New Roman" w:cs="Times New Roman"/>
        </w:rPr>
        <w:t xml:space="preserve"> v sume 673 tis. eur, čo je na úrovni schváleného rozpočtu na rok 201</w:t>
      </w:r>
      <w:r>
        <w:rPr>
          <w:rFonts w:ascii="Times New Roman" w:hAnsi="Times New Roman" w:cs="Times New Roman"/>
        </w:rPr>
        <w:t>7</w:t>
      </w:r>
      <w:r w:rsidRPr="00637B2A">
        <w:rPr>
          <w:rFonts w:ascii="Times New Roman" w:hAnsi="Times New Roman" w:cs="Times New Roman"/>
        </w:rPr>
        <w:t>.</w:t>
      </w:r>
    </w:p>
    <w:p w:rsidR="007D13F3" w:rsidRPr="004B6200" w:rsidRDefault="007D13F3" w:rsidP="007D13F3">
      <w:pPr>
        <w:jc w:val="both"/>
        <w:rPr>
          <w:rFonts w:ascii="Times New Roman" w:hAnsi="Times New Roman" w:cs="Times New Roman"/>
          <w:highlight w:val="yellow"/>
        </w:rPr>
      </w:pPr>
    </w:p>
    <w:p w:rsidR="007D13F3" w:rsidRPr="00637B2A" w:rsidRDefault="007D13F3" w:rsidP="007D13F3">
      <w:pPr>
        <w:autoSpaceDE w:val="0"/>
        <w:autoSpaceDN w:val="0"/>
        <w:adjustRightInd w:val="0"/>
        <w:ind w:firstLine="708"/>
        <w:jc w:val="both"/>
        <w:rPr>
          <w:rFonts w:ascii="Times New Roman" w:hAnsi="Times New Roman" w:cs="Times New Roman"/>
        </w:rPr>
      </w:pPr>
      <w:r w:rsidRPr="00637B2A">
        <w:rPr>
          <w:rFonts w:ascii="Times New Roman" w:hAnsi="Times New Roman" w:cs="Times New Roman"/>
        </w:rPr>
        <w:t>Kapitálové výdavky s</w:t>
      </w:r>
      <w:r>
        <w:rPr>
          <w:rFonts w:ascii="Times New Roman" w:hAnsi="Times New Roman" w:cs="Times New Roman"/>
        </w:rPr>
        <w:t xml:space="preserve">a </w:t>
      </w:r>
      <w:r w:rsidR="00941A11">
        <w:rPr>
          <w:rFonts w:ascii="Times New Roman" w:hAnsi="Times New Roman" w:cs="Times New Roman"/>
        </w:rPr>
        <w:t>rozpočtujú</w:t>
      </w:r>
      <w:r w:rsidRPr="00637B2A">
        <w:rPr>
          <w:rFonts w:ascii="Times New Roman" w:hAnsi="Times New Roman" w:cs="Times New Roman"/>
        </w:rPr>
        <w:t xml:space="preserve"> vo výške </w:t>
      </w:r>
      <w:r>
        <w:rPr>
          <w:rFonts w:ascii="Times New Roman" w:hAnsi="Times New Roman" w:cs="Times New Roman"/>
        </w:rPr>
        <w:t>44</w:t>
      </w:r>
      <w:r w:rsidRPr="00637B2A">
        <w:rPr>
          <w:rFonts w:ascii="Times New Roman" w:hAnsi="Times New Roman" w:cs="Times New Roman"/>
        </w:rPr>
        <w:t>0 tis. eur, čo je v porovnaní s rozpočtom na rok 201</w:t>
      </w:r>
      <w:r>
        <w:rPr>
          <w:rFonts w:ascii="Times New Roman" w:hAnsi="Times New Roman" w:cs="Times New Roman"/>
        </w:rPr>
        <w:t>7</w:t>
      </w:r>
      <w:r w:rsidRPr="00637B2A">
        <w:rPr>
          <w:rFonts w:ascii="Times New Roman" w:hAnsi="Times New Roman" w:cs="Times New Roman"/>
        </w:rPr>
        <w:t xml:space="preserve"> nárast o </w:t>
      </w:r>
      <w:r>
        <w:rPr>
          <w:rFonts w:ascii="Times New Roman" w:hAnsi="Times New Roman" w:cs="Times New Roman"/>
        </w:rPr>
        <w:t>18</w:t>
      </w:r>
      <w:r w:rsidRPr="00637B2A">
        <w:rPr>
          <w:rFonts w:ascii="Times New Roman" w:hAnsi="Times New Roman" w:cs="Times New Roman"/>
        </w:rPr>
        <w:t>0 tis. eur, t. j. o </w:t>
      </w:r>
      <w:r>
        <w:rPr>
          <w:rFonts w:ascii="Times New Roman" w:hAnsi="Times New Roman" w:cs="Times New Roman"/>
        </w:rPr>
        <w:t>69</w:t>
      </w:r>
      <w:r w:rsidRPr="00637B2A">
        <w:rPr>
          <w:rFonts w:ascii="Times New Roman" w:hAnsi="Times New Roman" w:cs="Times New Roman"/>
        </w:rPr>
        <w:t>,</w:t>
      </w:r>
      <w:r>
        <w:rPr>
          <w:rFonts w:ascii="Times New Roman" w:hAnsi="Times New Roman" w:cs="Times New Roman"/>
        </w:rPr>
        <w:t>2</w:t>
      </w:r>
      <w:r w:rsidRPr="00637B2A">
        <w:rPr>
          <w:rFonts w:ascii="Times New Roman" w:hAnsi="Times New Roman" w:cs="Times New Roman"/>
        </w:rPr>
        <w:t xml:space="preserve"> %. Dôvodom je nárast výdavkov na</w:t>
      </w:r>
      <w:r>
        <w:rPr>
          <w:rFonts w:ascii="Times New Roman" w:hAnsi="Times New Roman" w:cs="Times New Roman"/>
        </w:rPr>
        <w:t xml:space="preserve"> SODB</w:t>
      </w:r>
      <w:r w:rsidRPr="00637B2A">
        <w:rPr>
          <w:rFonts w:ascii="Times New Roman" w:hAnsi="Times New Roman" w:cs="Times New Roman"/>
        </w:rPr>
        <w:t>.</w:t>
      </w:r>
    </w:p>
    <w:p w:rsidR="007D13F3" w:rsidRDefault="007D13F3" w:rsidP="007D13F3">
      <w:pPr>
        <w:autoSpaceDE w:val="0"/>
        <w:autoSpaceDN w:val="0"/>
        <w:adjustRightInd w:val="0"/>
        <w:ind w:firstLine="708"/>
        <w:jc w:val="both"/>
        <w:rPr>
          <w:rFonts w:ascii="Times New Roman" w:hAnsi="Times New Roman" w:cs="Times New Roman"/>
          <w:highlight w:val="yellow"/>
        </w:rPr>
      </w:pPr>
    </w:p>
    <w:p w:rsidR="007D13F3" w:rsidRDefault="007D13F3" w:rsidP="007D13F3">
      <w:pPr>
        <w:ind w:firstLine="708"/>
        <w:jc w:val="both"/>
        <w:rPr>
          <w:rFonts w:ascii="Times New Roman" w:hAnsi="Times New Roman" w:cs="Times New Roman"/>
          <w:highlight w:val="yellow"/>
        </w:rPr>
      </w:pPr>
      <w:r>
        <w:rPr>
          <w:rFonts w:ascii="Times New Roman" w:hAnsi="Times New Roman" w:cs="Times New Roman"/>
        </w:rPr>
        <w:t>ŠÚ</w:t>
      </w:r>
      <w:r w:rsidRPr="00D017B0">
        <w:rPr>
          <w:rFonts w:ascii="Times New Roman" w:hAnsi="Times New Roman" w:cs="Times New Roman"/>
        </w:rPr>
        <w:t xml:space="preserve"> SR na rok 2018 rozpočtuje výdavky na samosta</w:t>
      </w:r>
      <w:r>
        <w:rPr>
          <w:rFonts w:ascii="Times New Roman" w:hAnsi="Times New Roman" w:cs="Times New Roman"/>
        </w:rPr>
        <w:t>t</w:t>
      </w:r>
      <w:r w:rsidRPr="00D017B0">
        <w:rPr>
          <w:rFonts w:ascii="Times New Roman" w:hAnsi="Times New Roman" w:cs="Times New Roman"/>
        </w:rPr>
        <w:t>ných účtoch v celkovej sume</w:t>
      </w:r>
      <w:r>
        <w:rPr>
          <w:rFonts w:ascii="Times New Roman" w:hAnsi="Times New Roman" w:cs="Times New Roman"/>
        </w:rPr>
        <w:t xml:space="preserve"> </w:t>
      </w:r>
      <w:r w:rsidR="000736F2">
        <w:rPr>
          <w:rFonts w:ascii="Times New Roman" w:hAnsi="Times New Roman" w:cs="Times New Roman"/>
        </w:rPr>
        <w:br/>
      </w:r>
      <w:r w:rsidRPr="00D017B0">
        <w:rPr>
          <w:rFonts w:ascii="Times New Roman" w:hAnsi="Times New Roman" w:cs="Times New Roman"/>
        </w:rPr>
        <w:t xml:space="preserve">1,29 mil. eur. </w:t>
      </w:r>
      <w:r>
        <w:rPr>
          <w:rFonts w:ascii="Times New Roman" w:hAnsi="Times New Roman" w:cs="Times New Roman"/>
        </w:rPr>
        <w:t>Prostriedky</w:t>
      </w:r>
      <w:r w:rsidRPr="00B443F7">
        <w:rPr>
          <w:rFonts w:ascii="Times New Roman" w:hAnsi="Times New Roman" w:cs="Times New Roman"/>
        </w:rPr>
        <w:t xml:space="preserve"> zo samostatných účtov sú určené na mzdové náklady zamestnancov podieľajúcich sa na EÚ projekto</w:t>
      </w:r>
      <w:r w:rsidR="00941A11">
        <w:rPr>
          <w:rFonts w:ascii="Times New Roman" w:hAnsi="Times New Roman" w:cs="Times New Roman"/>
        </w:rPr>
        <w:t>ch</w:t>
      </w:r>
      <w:r w:rsidRPr="00B443F7">
        <w:rPr>
          <w:rFonts w:ascii="Times New Roman" w:hAnsi="Times New Roman" w:cs="Times New Roman"/>
        </w:rPr>
        <w:t>, ich materiálne zabezpečenie, úhradu doh</w:t>
      </w:r>
      <w:r>
        <w:rPr>
          <w:rFonts w:ascii="Times New Roman" w:hAnsi="Times New Roman" w:cs="Times New Roman"/>
        </w:rPr>
        <w:t>ôd a zahraničné pracovné cesty.</w:t>
      </w:r>
    </w:p>
    <w:p w:rsidR="007D13F3" w:rsidRDefault="007D13F3" w:rsidP="007D13F3">
      <w:pPr>
        <w:autoSpaceDE w:val="0"/>
        <w:autoSpaceDN w:val="0"/>
        <w:adjustRightInd w:val="0"/>
        <w:ind w:firstLine="708"/>
        <w:jc w:val="both"/>
        <w:rPr>
          <w:rFonts w:ascii="Times New Roman" w:hAnsi="Times New Roman" w:cs="Times New Roman"/>
          <w:highlight w:val="yellow"/>
        </w:rPr>
      </w:pPr>
    </w:p>
    <w:p w:rsidR="007D13F3" w:rsidRDefault="007D13F3" w:rsidP="007D13F3">
      <w:pPr>
        <w:autoSpaceDE w:val="0"/>
        <w:autoSpaceDN w:val="0"/>
        <w:adjustRightInd w:val="0"/>
        <w:ind w:firstLine="708"/>
        <w:jc w:val="both"/>
        <w:rPr>
          <w:rFonts w:ascii="Times New Roman" w:hAnsi="Times New Roman" w:cs="Times New Roman"/>
        </w:rPr>
      </w:pPr>
      <w:r w:rsidRPr="006D1260">
        <w:rPr>
          <w:rFonts w:ascii="Times New Roman" w:hAnsi="Times New Roman" w:cs="Times New Roman"/>
        </w:rPr>
        <w:t>Kapitola formou transferu zabezpečuje financovanie príspevkovej organizácie INFOSTAT, na rok 201</w:t>
      </w:r>
      <w:r>
        <w:rPr>
          <w:rFonts w:ascii="Times New Roman" w:hAnsi="Times New Roman" w:cs="Times New Roman"/>
        </w:rPr>
        <w:t>8</w:t>
      </w:r>
      <w:r w:rsidRPr="006D1260">
        <w:rPr>
          <w:rFonts w:ascii="Times New Roman" w:hAnsi="Times New Roman" w:cs="Times New Roman"/>
        </w:rPr>
        <w:t xml:space="preserve"> v sume 630 tis. eur.</w:t>
      </w:r>
    </w:p>
    <w:p w:rsidR="007D13F3" w:rsidRPr="00D84BC9" w:rsidRDefault="007D13F3" w:rsidP="007D13F3">
      <w:pPr>
        <w:autoSpaceDE w:val="0"/>
        <w:autoSpaceDN w:val="0"/>
        <w:adjustRightInd w:val="0"/>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478"/>
        <w:gridCol w:w="939"/>
        <w:gridCol w:w="939"/>
        <w:gridCol w:w="941"/>
        <w:gridCol w:w="939"/>
        <w:gridCol w:w="941"/>
        <w:gridCol w:w="939"/>
        <w:gridCol w:w="946"/>
      </w:tblGrid>
      <w:tr w:rsidR="007D13F3" w:rsidRPr="00D84BC9" w:rsidTr="00465CAC">
        <w:trPr>
          <w:trHeight w:val="259"/>
        </w:trPr>
        <w:tc>
          <w:tcPr>
            <w:tcW w:w="136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D13F3" w:rsidRPr="00D84BC9" w:rsidRDefault="007D13F3" w:rsidP="00465CAC">
            <w:pPr>
              <w:rPr>
                <w:rFonts w:ascii="Times New Roman" w:hAnsi="Times New Roman" w:cs="Times New Roman"/>
                <w:b/>
                <w:color w:val="000000"/>
                <w:sz w:val="14"/>
                <w:szCs w:val="14"/>
              </w:rPr>
            </w:pPr>
            <w:r w:rsidRPr="00D84BC9">
              <w:rPr>
                <w:rFonts w:ascii="Times New Roman" w:hAnsi="Times New Roman" w:cs="Times New Roman"/>
                <w:b/>
                <w:color w:val="000000"/>
                <w:sz w:val="14"/>
                <w:szCs w:val="14"/>
              </w:rPr>
              <w:t>v eurách</w:t>
            </w:r>
          </w:p>
        </w:tc>
        <w:tc>
          <w:tcPr>
            <w:tcW w:w="51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054D00" w:rsidRDefault="007D13F3" w:rsidP="00465CAC">
            <w:pPr>
              <w:jc w:val="center"/>
              <w:rPr>
                <w:rFonts w:ascii="Times New Roman" w:hAnsi="Times New Roman" w:cs="Times New Roman"/>
                <w:b/>
                <w:bCs/>
                <w:color w:val="000000"/>
                <w:sz w:val="14"/>
                <w:szCs w:val="14"/>
                <w:lang w:eastAsia="sk-SK"/>
              </w:rPr>
            </w:pPr>
            <w:r w:rsidRPr="00054D00">
              <w:rPr>
                <w:rFonts w:ascii="Times New Roman" w:hAnsi="Times New Roman" w:cs="Times New Roman"/>
                <w:b/>
                <w:bCs/>
                <w:color w:val="000000"/>
                <w:sz w:val="14"/>
                <w:szCs w:val="14"/>
              </w:rPr>
              <w:t>2015 S</w:t>
            </w:r>
          </w:p>
        </w:tc>
        <w:tc>
          <w:tcPr>
            <w:tcW w:w="518"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054D00" w:rsidRDefault="007D13F3" w:rsidP="00465CAC">
            <w:pPr>
              <w:jc w:val="center"/>
              <w:rPr>
                <w:rFonts w:ascii="Times New Roman" w:hAnsi="Times New Roman" w:cs="Times New Roman"/>
                <w:b/>
                <w:bCs/>
                <w:color w:val="000000"/>
                <w:sz w:val="14"/>
                <w:szCs w:val="14"/>
              </w:rPr>
            </w:pPr>
            <w:r w:rsidRPr="00054D00">
              <w:rPr>
                <w:rFonts w:ascii="Times New Roman" w:hAnsi="Times New Roman" w:cs="Times New Roman"/>
                <w:b/>
                <w:bCs/>
                <w:color w:val="000000"/>
                <w:sz w:val="14"/>
                <w:szCs w:val="14"/>
              </w:rPr>
              <w:t>2016 S</w:t>
            </w:r>
          </w:p>
        </w:tc>
        <w:tc>
          <w:tcPr>
            <w:tcW w:w="519"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054D00" w:rsidRDefault="007D13F3" w:rsidP="00465CAC">
            <w:pPr>
              <w:jc w:val="center"/>
              <w:rPr>
                <w:rFonts w:ascii="Times New Roman" w:hAnsi="Times New Roman" w:cs="Times New Roman"/>
                <w:b/>
                <w:bCs/>
                <w:color w:val="000000"/>
                <w:sz w:val="14"/>
                <w:szCs w:val="14"/>
              </w:rPr>
            </w:pPr>
            <w:r w:rsidRPr="00054D00">
              <w:rPr>
                <w:rFonts w:ascii="Times New Roman" w:hAnsi="Times New Roman" w:cs="Times New Roman"/>
                <w:b/>
                <w:bCs/>
                <w:color w:val="000000"/>
                <w:sz w:val="14"/>
                <w:szCs w:val="14"/>
              </w:rPr>
              <w:t>2017 R</w:t>
            </w:r>
          </w:p>
        </w:tc>
        <w:tc>
          <w:tcPr>
            <w:tcW w:w="518"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054D00" w:rsidRDefault="007D13F3" w:rsidP="00465CAC">
            <w:pPr>
              <w:jc w:val="center"/>
              <w:rPr>
                <w:rFonts w:ascii="Times New Roman" w:hAnsi="Times New Roman" w:cs="Times New Roman"/>
                <w:b/>
                <w:bCs/>
                <w:color w:val="000000"/>
                <w:sz w:val="14"/>
                <w:szCs w:val="14"/>
              </w:rPr>
            </w:pPr>
            <w:r w:rsidRPr="00054D00">
              <w:rPr>
                <w:rFonts w:ascii="Times New Roman" w:hAnsi="Times New Roman" w:cs="Times New Roman"/>
                <w:b/>
                <w:bCs/>
                <w:color w:val="000000"/>
                <w:sz w:val="14"/>
                <w:szCs w:val="14"/>
              </w:rPr>
              <w:t>2017 OS</w:t>
            </w:r>
          </w:p>
        </w:tc>
        <w:tc>
          <w:tcPr>
            <w:tcW w:w="519"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054D00" w:rsidRDefault="007D13F3" w:rsidP="00465CAC">
            <w:pPr>
              <w:jc w:val="center"/>
              <w:rPr>
                <w:rFonts w:ascii="Times New Roman" w:hAnsi="Times New Roman" w:cs="Times New Roman"/>
                <w:b/>
                <w:bCs/>
                <w:color w:val="000000"/>
                <w:sz w:val="14"/>
                <w:szCs w:val="14"/>
              </w:rPr>
            </w:pPr>
            <w:r w:rsidRPr="00054D00">
              <w:rPr>
                <w:rFonts w:ascii="Times New Roman" w:hAnsi="Times New Roman" w:cs="Times New Roman"/>
                <w:b/>
                <w:bCs/>
                <w:color w:val="000000"/>
                <w:sz w:val="14"/>
                <w:szCs w:val="14"/>
              </w:rPr>
              <w:t>2018 N</w:t>
            </w:r>
          </w:p>
        </w:tc>
        <w:tc>
          <w:tcPr>
            <w:tcW w:w="518"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054D00" w:rsidRDefault="007D13F3" w:rsidP="00465CAC">
            <w:pPr>
              <w:jc w:val="center"/>
              <w:rPr>
                <w:rFonts w:ascii="Times New Roman" w:hAnsi="Times New Roman" w:cs="Times New Roman"/>
                <w:b/>
                <w:bCs/>
                <w:color w:val="000000"/>
                <w:sz w:val="14"/>
                <w:szCs w:val="14"/>
              </w:rPr>
            </w:pPr>
            <w:r w:rsidRPr="00054D00">
              <w:rPr>
                <w:rFonts w:ascii="Times New Roman" w:hAnsi="Times New Roman" w:cs="Times New Roman"/>
                <w:b/>
                <w:bCs/>
                <w:color w:val="000000"/>
                <w:sz w:val="14"/>
                <w:szCs w:val="14"/>
              </w:rPr>
              <w:t>2019 N</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7D13F3" w:rsidRPr="00054D00" w:rsidRDefault="007D13F3" w:rsidP="00465CAC">
            <w:pPr>
              <w:jc w:val="center"/>
              <w:rPr>
                <w:rFonts w:ascii="Times New Roman" w:hAnsi="Times New Roman" w:cs="Times New Roman"/>
                <w:b/>
                <w:bCs/>
                <w:color w:val="000000"/>
                <w:sz w:val="14"/>
                <w:szCs w:val="14"/>
              </w:rPr>
            </w:pPr>
            <w:r w:rsidRPr="00054D00">
              <w:rPr>
                <w:rFonts w:ascii="Times New Roman" w:hAnsi="Times New Roman" w:cs="Times New Roman"/>
                <w:b/>
                <w:bCs/>
                <w:color w:val="000000"/>
                <w:sz w:val="14"/>
                <w:szCs w:val="14"/>
              </w:rPr>
              <w:t>2020 N</w:t>
            </w:r>
          </w:p>
        </w:tc>
      </w:tr>
      <w:tr w:rsidR="007D13F3" w:rsidRPr="00D84BC9" w:rsidTr="00465CAC">
        <w:trPr>
          <w:trHeight w:val="259"/>
        </w:trPr>
        <w:tc>
          <w:tcPr>
            <w:tcW w:w="1368"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D13F3" w:rsidRPr="00D84BC9" w:rsidRDefault="007D13F3" w:rsidP="00465CAC">
            <w:pPr>
              <w:rPr>
                <w:rFonts w:ascii="Times New Roman" w:hAnsi="Times New Roman" w:cs="Times New Roman"/>
                <w:bCs/>
                <w:sz w:val="14"/>
                <w:szCs w:val="14"/>
              </w:rPr>
            </w:pPr>
            <w:r w:rsidRPr="00D84BC9">
              <w:rPr>
                <w:rFonts w:ascii="Times New Roman" w:hAnsi="Times New Roman" w:cs="Times New Roman"/>
                <w:bCs/>
                <w:sz w:val="14"/>
                <w:szCs w:val="14"/>
              </w:rPr>
              <w:t>INFOSTAT</w:t>
            </w:r>
          </w:p>
        </w:tc>
        <w:tc>
          <w:tcPr>
            <w:tcW w:w="518" w:type="pct"/>
            <w:tcBorders>
              <w:top w:val="single" w:sz="4" w:space="0" w:color="auto"/>
              <w:left w:val="nil"/>
              <w:bottom w:val="single" w:sz="4" w:space="0" w:color="auto"/>
              <w:right w:val="single" w:sz="4" w:space="0" w:color="auto"/>
            </w:tcBorders>
            <w:shd w:val="clear" w:color="000000" w:fill="auto"/>
            <w:vAlign w:val="center"/>
            <w:hideMark/>
          </w:tcPr>
          <w:p w:rsidR="007D13F3" w:rsidRPr="00D84BC9" w:rsidRDefault="007D13F3" w:rsidP="00465CAC">
            <w:pPr>
              <w:jc w:val="right"/>
              <w:rPr>
                <w:rFonts w:ascii="Times New Roman" w:hAnsi="Times New Roman" w:cs="Times New Roman"/>
                <w:bCs/>
                <w:sz w:val="14"/>
                <w:szCs w:val="14"/>
              </w:rPr>
            </w:pPr>
            <w:r w:rsidRPr="00DD49BB">
              <w:rPr>
                <w:rFonts w:ascii="Times New Roman" w:hAnsi="Times New Roman" w:cs="Times New Roman"/>
                <w:bCs/>
                <w:sz w:val="14"/>
                <w:szCs w:val="14"/>
              </w:rPr>
              <w:t>954 703</w:t>
            </w:r>
          </w:p>
        </w:tc>
        <w:tc>
          <w:tcPr>
            <w:tcW w:w="518" w:type="pct"/>
            <w:tcBorders>
              <w:top w:val="single" w:sz="4" w:space="0" w:color="auto"/>
              <w:left w:val="nil"/>
              <w:bottom w:val="single" w:sz="4" w:space="0" w:color="auto"/>
              <w:right w:val="single" w:sz="4" w:space="0" w:color="auto"/>
            </w:tcBorders>
            <w:shd w:val="clear" w:color="000000" w:fill="auto"/>
            <w:vAlign w:val="center"/>
            <w:hideMark/>
          </w:tcPr>
          <w:p w:rsidR="007D13F3" w:rsidRPr="00D84BC9" w:rsidRDefault="007D13F3" w:rsidP="00465CAC">
            <w:pPr>
              <w:jc w:val="right"/>
              <w:rPr>
                <w:rFonts w:ascii="Times New Roman" w:hAnsi="Times New Roman" w:cs="Times New Roman"/>
                <w:bCs/>
                <w:sz w:val="14"/>
                <w:szCs w:val="14"/>
              </w:rPr>
            </w:pPr>
            <w:r w:rsidRPr="00205D54">
              <w:rPr>
                <w:rFonts w:ascii="Times New Roman" w:hAnsi="Times New Roman" w:cs="Times New Roman"/>
                <w:bCs/>
                <w:sz w:val="14"/>
                <w:szCs w:val="14"/>
              </w:rPr>
              <w:t>963 477</w:t>
            </w:r>
          </w:p>
        </w:tc>
        <w:tc>
          <w:tcPr>
            <w:tcW w:w="519" w:type="pct"/>
            <w:tcBorders>
              <w:top w:val="single" w:sz="4" w:space="0" w:color="auto"/>
              <w:left w:val="nil"/>
              <w:bottom w:val="single" w:sz="4" w:space="0" w:color="auto"/>
              <w:right w:val="single" w:sz="4" w:space="0" w:color="auto"/>
            </w:tcBorders>
            <w:shd w:val="clear" w:color="000000" w:fill="auto"/>
            <w:vAlign w:val="center"/>
          </w:tcPr>
          <w:p w:rsidR="007D13F3" w:rsidRPr="004B6200" w:rsidRDefault="007D13F3" w:rsidP="00465CAC">
            <w:pPr>
              <w:jc w:val="right"/>
              <w:rPr>
                <w:rFonts w:ascii="Times New Roman" w:hAnsi="Times New Roman" w:cs="Times New Roman"/>
                <w:bCs/>
                <w:sz w:val="14"/>
                <w:szCs w:val="14"/>
                <w:highlight w:val="yellow"/>
              </w:rPr>
            </w:pPr>
            <w:r w:rsidRPr="00205D54">
              <w:rPr>
                <w:rFonts w:ascii="Times New Roman" w:hAnsi="Times New Roman" w:cs="Times New Roman"/>
                <w:bCs/>
                <w:sz w:val="14"/>
                <w:szCs w:val="14"/>
              </w:rPr>
              <w:t>630 000</w:t>
            </w:r>
          </w:p>
        </w:tc>
        <w:tc>
          <w:tcPr>
            <w:tcW w:w="518" w:type="pct"/>
            <w:tcBorders>
              <w:top w:val="single" w:sz="4" w:space="0" w:color="auto"/>
              <w:left w:val="nil"/>
              <w:bottom w:val="single" w:sz="4" w:space="0" w:color="auto"/>
              <w:right w:val="single" w:sz="4" w:space="0" w:color="auto"/>
            </w:tcBorders>
            <w:shd w:val="clear" w:color="000000" w:fill="auto"/>
            <w:vAlign w:val="center"/>
          </w:tcPr>
          <w:p w:rsidR="007D13F3" w:rsidRPr="004B6200" w:rsidRDefault="007D13F3" w:rsidP="00465CAC">
            <w:pPr>
              <w:jc w:val="right"/>
              <w:rPr>
                <w:rFonts w:ascii="Times New Roman" w:hAnsi="Times New Roman" w:cs="Times New Roman"/>
                <w:bCs/>
                <w:sz w:val="14"/>
                <w:szCs w:val="14"/>
                <w:highlight w:val="yellow"/>
              </w:rPr>
            </w:pPr>
            <w:r w:rsidRPr="00630DB1">
              <w:rPr>
                <w:rFonts w:ascii="Times New Roman" w:hAnsi="Times New Roman" w:cs="Times New Roman"/>
                <w:bCs/>
                <w:sz w:val="14"/>
                <w:szCs w:val="14"/>
              </w:rPr>
              <w:t>657 107</w:t>
            </w:r>
          </w:p>
        </w:tc>
        <w:tc>
          <w:tcPr>
            <w:tcW w:w="519" w:type="pct"/>
            <w:tcBorders>
              <w:top w:val="single" w:sz="4" w:space="0" w:color="auto"/>
              <w:left w:val="nil"/>
              <w:bottom w:val="single" w:sz="4" w:space="0" w:color="auto"/>
              <w:right w:val="single" w:sz="4" w:space="0" w:color="auto"/>
            </w:tcBorders>
            <w:shd w:val="clear" w:color="000000" w:fill="auto"/>
            <w:vAlign w:val="center"/>
          </w:tcPr>
          <w:p w:rsidR="007D13F3" w:rsidRPr="006D1260" w:rsidRDefault="007D13F3" w:rsidP="00465CAC">
            <w:pPr>
              <w:jc w:val="right"/>
              <w:rPr>
                <w:rFonts w:ascii="Times New Roman" w:hAnsi="Times New Roman" w:cs="Times New Roman"/>
                <w:bCs/>
                <w:sz w:val="14"/>
                <w:szCs w:val="14"/>
              </w:rPr>
            </w:pPr>
            <w:r w:rsidRPr="00205D54">
              <w:rPr>
                <w:rFonts w:ascii="Times New Roman" w:hAnsi="Times New Roman" w:cs="Times New Roman"/>
                <w:bCs/>
                <w:sz w:val="14"/>
                <w:szCs w:val="14"/>
              </w:rPr>
              <w:t>630 000</w:t>
            </w:r>
          </w:p>
        </w:tc>
        <w:tc>
          <w:tcPr>
            <w:tcW w:w="518" w:type="pct"/>
            <w:tcBorders>
              <w:top w:val="single" w:sz="4" w:space="0" w:color="auto"/>
              <w:left w:val="nil"/>
              <w:bottom w:val="single" w:sz="4" w:space="0" w:color="auto"/>
              <w:right w:val="single" w:sz="4" w:space="0" w:color="auto"/>
            </w:tcBorders>
            <w:shd w:val="clear" w:color="000000" w:fill="auto"/>
            <w:vAlign w:val="center"/>
          </w:tcPr>
          <w:p w:rsidR="007D13F3" w:rsidRPr="006D1260" w:rsidRDefault="007D13F3" w:rsidP="00465CAC">
            <w:pPr>
              <w:jc w:val="right"/>
              <w:rPr>
                <w:rFonts w:ascii="Times New Roman" w:hAnsi="Times New Roman" w:cs="Times New Roman"/>
                <w:bCs/>
                <w:sz w:val="14"/>
                <w:szCs w:val="14"/>
              </w:rPr>
            </w:pPr>
            <w:r w:rsidRPr="00205D54">
              <w:rPr>
                <w:rFonts w:ascii="Times New Roman" w:hAnsi="Times New Roman" w:cs="Times New Roman"/>
                <w:bCs/>
                <w:sz w:val="14"/>
                <w:szCs w:val="14"/>
              </w:rPr>
              <w:t>630 000</w:t>
            </w:r>
          </w:p>
        </w:tc>
        <w:tc>
          <w:tcPr>
            <w:tcW w:w="522" w:type="pct"/>
            <w:tcBorders>
              <w:top w:val="single" w:sz="4" w:space="0" w:color="auto"/>
              <w:left w:val="nil"/>
              <w:bottom w:val="single" w:sz="4" w:space="0" w:color="auto"/>
              <w:right w:val="single" w:sz="4" w:space="0" w:color="auto"/>
            </w:tcBorders>
            <w:shd w:val="clear" w:color="000000" w:fill="auto"/>
            <w:vAlign w:val="center"/>
          </w:tcPr>
          <w:p w:rsidR="007D13F3" w:rsidRPr="006D1260" w:rsidRDefault="007D13F3" w:rsidP="00465CAC">
            <w:pPr>
              <w:jc w:val="right"/>
              <w:rPr>
                <w:rFonts w:ascii="Times New Roman" w:hAnsi="Times New Roman" w:cs="Times New Roman"/>
                <w:bCs/>
                <w:sz w:val="14"/>
                <w:szCs w:val="14"/>
              </w:rPr>
            </w:pPr>
            <w:r w:rsidRPr="00205D54">
              <w:rPr>
                <w:rFonts w:ascii="Times New Roman" w:hAnsi="Times New Roman" w:cs="Times New Roman"/>
                <w:bCs/>
                <w:sz w:val="14"/>
                <w:szCs w:val="14"/>
              </w:rPr>
              <w:t>630 000</w:t>
            </w:r>
          </w:p>
        </w:tc>
      </w:tr>
    </w:tbl>
    <w:p w:rsidR="007D13F3" w:rsidRDefault="007D13F3" w:rsidP="007D13F3"/>
    <w:p w:rsidR="007D13F3" w:rsidRPr="0044568B" w:rsidRDefault="007D13F3" w:rsidP="007D13F3">
      <w:pPr>
        <w:pStyle w:val="Nadpis5"/>
        <w:pBdr>
          <w:bottom w:val="single" w:sz="4" w:space="1" w:color="auto"/>
        </w:pBdr>
        <w:spacing w:before="0" w:after="0"/>
        <w:ind w:left="0"/>
        <w:rPr>
          <w:i w:val="0"/>
          <w:sz w:val="24"/>
        </w:rPr>
      </w:pPr>
      <w:bookmarkStart w:id="177" w:name="_Toc494470115"/>
      <w:bookmarkStart w:id="178" w:name="_Toc494472291"/>
      <w:r w:rsidRPr="0044568B">
        <w:rPr>
          <w:i w:val="0"/>
          <w:sz w:val="24"/>
        </w:rPr>
        <w:t>Úrad pre verejné obstarávanie</w:t>
      </w:r>
      <w:bookmarkEnd w:id="177"/>
      <w:bookmarkEnd w:id="178"/>
    </w:p>
    <w:p w:rsidR="007D13F3" w:rsidRPr="00E14983" w:rsidRDefault="007D13F3" w:rsidP="007D13F3">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529"/>
        <w:gridCol w:w="965"/>
        <w:gridCol w:w="965"/>
        <w:gridCol w:w="963"/>
        <w:gridCol w:w="962"/>
        <w:gridCol w:w="964"/>
        <w:gridCol w:w="913"/>
        <w:gridCol w:w="801"/>
      </w:tblGrid>
      <w:tr w:rsidR="007D13F3" w:rsidRPr="00081506" w:rsidTr="00465CAC">
        <w:trPr>
          <w:trHeight w:val="259"/>
        </w:trPr>
        <w:tc>
          <w:tcPr>
            <w:tcW w:w="1395"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D13F3" w:rsidRPr="00081506" w:rsidRDefault="007D13F3" w:rsidP="00465CAC">
            <w:pPr>
              <w:rPr>
                <w:rFonts w:ascii="Times New Roman" w:hAnsi="Times New Roman" w:cs="Times New Roman"/>
                <w:b/>
                <w:bCs/>
                <w:color w:val="000000"/>
                <w:sz w:val="14"/>
                <w:szCs w:val="14"/>
              </w:rPr>
            </w:pPr>
            <w:r w:rsidRPr="00081506">
              <w:rPr>
                <w:rFonts w:ascii="Times New Roman" w:hAnsi="Times New Roman" w:cs="Times New Roman"/>
                <w:color w:val="000000"/>
                <w:sz w:val="14"/>
                <w:szCs w:val="14"/>
              </w:rPr>
              <w:br w:type="page"/>
            </w:r>
            <w:r w:rsidRPr="00081506">
              <w:rPr>
                <w:rFonts w:ascii="Times New Roman" w:hAnsi="Times New Roman" w:cs="Times New Roman"/>
                <w:b/>
                <w:bCs/>
                <w:color w:val="000000"/>
                <w:sz w:val="14"/>
                <w:szCs w:val="14"/>
              </w:rPr>
              <w:t> v eurách</w:t>
            </w:r>
          </w:p>
        </w:tc>
        <w:tc>
          <w:tcPr>
            <w:tcW w:w="532" w:type="pct"/>
            <w:tcBorders>
              <w:top w:val="single" w:sz="4" w:space="0" w:color="auto"/>
              <w:left w:val="single" w:sz="4" w:space="0" w:color="auto"/>
              <w:bottom w:val="single" w:sz="4" w:space="0" w:color="auto"/>
              <w:right w:val="single" w:sz="4" w:space="0" w:color="auto"/>
            </w:tcBorders>
            <w:shd w:val="clear" w:color="000000" w:fill="A6A6A6"/>
            <w:noWrap/>
            <w:vAlign w:val="center"/>
          </w:tcPr>
          <w:p w:rsidR="007D13F3" w:rsidRPr="00081506" w:rsidRDefault="007D13F3" w:rsidP="00465CAC">
            <w:pPr>
              <w:jc w:val="center"/>
              <w:rPr>
                <w:rFonts w:ascii="Times New Roman" w:hAnsi="Times New Roman" w:cs="Times New Roman"/>
                <w:b/>
                <w:bCs/>
                <w:color w:val="000000"/>
                <w:sz w:val="14"/>
                <w:szCs w:val="14"/>
                <w:lang w:eastAsia="sk-SK"/>
              </w:rPr>
            </w:pPr>
            <w:r w:rsidRPr="00081506">
              <w:rPr>
                <w:rFonts w:ascii="Times New Roman" w:hAnsi="Times New Roman" w:cs="Times New Roman"/>
                <w:b/>
                <w:bCs/>
                <w:color w:val="000000"/>
                <w:sz w:val="14"/>
                <w:szCs w:val="14"/>
              </w:rPr>
              <w:t>2015 S</w:t>
            </w:r>
          </w:p>
        </w:tc>
        <w:tc>
          <w:tcPr>
            <w:tcW w:w="532" w:type="pct"/>
            <w:tcBorders>
              <w:top w:val="single" w:sz="4" w:space="0" w:color="auto"/>
              <w:left w:val="nil"/>
              <w:bottom w:val="single" w:sz="4" w:space="0" w:color="auto"/>
              <w:right w:val="single" w:sz="4" w:space="0" w:color="auto"/>
            </w:tcBorders>
            <w:shd w:val="clear" w:color="000000" w:fill="A6A6A6"/>
            <w:noWrap/>
            <w:vAlign w:val="center"/>
          </w:tcPr>
          <w:p w:rsidR="007D13F3" w:rsidRPr="00081506" w:rsidRDefault="007D13F3" w:rsidP="00465CAC">
            <w:pPr>
              <w:jc w:val="center"/>
              <w:rPr>
                <w:rFonts w:ascii="Times New Roman" w:hAnsi="Times New Roman" w:cs="Times New Roman"/>
                <w:b/>
                <w:bCs/>
                <w:color w:val="000000"/>
                <w:sz w:val="14"/>
                <w:szCs w:val="14"/>
              </w:rPr>
            </w:pPr>
            <w:r w:rsidRPr="00081506">
              <w:rPr>
                <w:rFonts w:ascii="Times New Roman" w:hAnsi="Times New Roman" w:cs="Times New Roman"/>
                <w:b/>
                <w:bCs/>
                <w:color w:val="000000"/>
                <w:sz w:val="14"/>
                <w:szCs w:val="14"/>
              </w:rPr>
              <w:t>2016 S</w:t>
            </w:r>
          </w:p>
        </w:tc>
        <w:tc>
          <w:tcPr>
            <w:tcW w:w="531" w:type="pct"/>
            <w:tcBorders>
              <w:top w:val="single" w:sz="4" w:space="0" w:color="auto"/>
              <w:left w:val="nil"/>
              <w:bottom w:val="single" w:sz="4" w:space="0" w:color="auto"/>
              <w:right w:val="single" w:sz="4" w:space="0" w:color="auto"/>
            </w:tcBorders>
            <w:shd w:val="clear" w:color="000000" w:fill="A6A6A6"/>
            <w:noWrap/>
            <w:vAlign w:val="center"/>
          </w:tcPr>
          <w:p w:rsidR="007D13F3" w:rsidRPr="00081506" w:rsidRDefault="007D13F3" w:rsidP="00465CAC">
            <w:pPr>
              <w:jc w:val="center"/>
              <w:rPr>
                <w:rFonts w:ascii="Times New Roman" w:hAnsi="Times New Roman" w:cs="Times New Roman"/>
                <w:b/>
                <w:bCs/>
                <w:color w:val="000000"/>
                <w:sz w:val="14"/>
                <w:szCs w:val="14"/>
              </w:rPr>
            </w:pPr>
            <w:r w:rsidRPr="00081506">
              <w:rPr>
                <w:rFonts w:ascii="Times New Roman" w:hAnsi="Times New Roman" w:cs="Times New Roman"/>
                <w:b/>
                <w:bCs/>
                <w:color w:val="000000"/>
                <w:sz w:val="14"/>
                <w:szCs w:val="14"/>
              </w:rPr>
              <w:t>2017 R</w:t>
            </w:r>
          </w:p>
        </w:tc>
        <w:tc>
          <w:tcPr>
            <w:tcW w:w="531" w:type="pct"/>
            <w:tcBorders>
              <w:top w:val="single" w:sz="4" w:space="0" w:color="auto"/>
              <w:left w:val="nil"/>
              <w:bottom w:val="single" w:sz="4" w:space="0" w:color="auto"/>
              <w:right w:val="single" w:sz="4" w:space="0" w:color="auto"/>
            </w:tcBorders>
            <w:shd w:val="clear" w:color="000000" w:fill="A6A6A6"/>
            <w:noWrap/>
            <w:vAlign w:val="center"/>
          </w:tcPr>
          <w:p w:rsidR="007D13F3" w:rsidRPr="00081506" w:rsidRDefault="007D13F3" w:rsidP="00465CAC">
            <w:pPr>
              <w:jc w:val="center"/>
              <w:rPr>
                <w:rFonts w:ascii="Times New Roman" w:hAnsi="Times New Roman" w:cs="Times New Roman"/>
                <w:b/>
                <w:bCs/>
                <w:color w:val="000000"/>
                <w:sz w:val="14"/>
                <w:szCs w:val="14"/>
              </w:rPr>
            </w:pPr>
            <w:r w:rsidRPr="00081506">
              <w:rPr>
                <w:rFonts w:ascii="Times New Roman" w:hAnsi="Times New Roman" w:cs="Times New Roman"/>
                <w:b/>
                <w:bCs/>
                <w:color w:val="000000"/>
                <w:sz w:val="14"/>
                <w:szCs w:val="14"/>
              </w:rPr>
              <w:t>2017 OS</w:t>
            </w:r>
          </w:p>
        </w:tc>
        <w:tc>
          <w:tcPr>
            <w:tcW w:w="532" w:type="pct"/>
            <w:tcBorders>
              <w:top w:val="single" w:sz="4" w:space="0" w:color="auto"/>
              <w:left w:val="nil"/>
              <w:bottom w:val="single" w:sz="4" w:space="0" w:color="auto"/>
              <w:right w:val="single" w:sz="4" w:space="0" w:color="auto"/>
            </w:tcBorders>
            <w:shd w:val="clear" w:color="000000" w:fill="A6A6A6"/>
            <w:noWrap/>
            <w:vAlign w:val="center"/>
          </w:tcPr>
          <w:p w:rsidR="007D13F3" w:rsidRPr="00081506" w:rsidRDefault="007D13F3" w:rsidP="00465CAC">
            <w:pPr>
              <w:jc w:val="center"/>
              <w:rPr>
                <w:rFonts w:ascii="Times New Roman" w:hAnsi="Times New Roman" w:cs="Times New Roman"/>
                <w:b/>
                <w:bCs/>
                <w:color w:val="000000"/>
                <w:sz w:val="14"/>
                <w:szCs w:val="14"/>
              </w:rPr>
            </w:pPr>
            <w:r w:rsidRPr="00081506">
              <w:rPr>
                <w:rFonts w:ascii="Times New Roman" w:hAnsi="Times New Roman" w:cs="Times New Roman"/>
                <w:b/>
                <w:bCs/>
                <w:color w:val="000000"/>
                <w:sz w:val="14"/>
                <w:szCs w:val="14"/>
              </w:rPr>
              <w:t>2018 N</w:t>
            </w:r>
          </w:p>
        </w:tc>
        <w:tc>
          <w:tcPr>
            <w:tcW w:w="504" w:type="pct"/>
            <w:tcBorders>
              <w:top w:val="single" w:sz="4" w:space="0" w:color="auto"/>
              <w:left w:val="nil"/>
              <w:bottom w:val="single" w:sz="4" w:space="0" w:color="auto"/>
              <w:right w:val="single" w:sz="4" w:space="0" w:color="auto"/>
            </w:tcBorders>
            <w:shd w:val="clear" w:color="000000" w:fill="A6A6A6"/>
            <w:noWrap/>
            <w:vAlign w:val="center"/>
          </w:tcPr>
          <w:p w:rsidR="007D13F3" w:rsidRPr="00081506" w:rsidRDefault="007D13F3" w:rsidP="00465CAC">
            <w:pPr>
              <w:jc w:val="center"/>
              <w:rPr>
                <w:rFonts w:ascii="Times New Roman" w:hAnsi="Times New Roman" w:cs="Times New Roman"/>
                <w:b/>
                <w:bCs/>
                <w:color w:val="000000"/>
                <w:sz w:val="14"/>
                <w:szCs w:val="14"/>
              </w:rPr>
            </w:pPr>
            <w:r w:rsidRPr="00081506">
              <w:rPr>
                <w:rFonts w:ascii="Times New Roman" w:hAnsi="Times New Roman" w:cs="Times New Roman"/>
                <w:b/>
                <w:bCs/>
                <w:color w:val="000000"/>
                <w:sz w:val="14"/>
                <w:szCs w:val="14"/>
              </w:rPr>
              <w:t>2019 N</w:t>
            </w:r>
          </w:p>
        </w:tc>
        <w:tc>
          <w:tcPr>
            <w:tcW w:w="442" w:type="pct"/>
            <w:tcBorders>
              <w:top w:val="single" w:sz="4" w:space="0" w:color="auto"/>
              <w:left w:val="nil"/>
              <w:bottom w:val="single" w:sz="4" w:space="0" w:color="auto"/>
              <w:right w:val="single" w:sz="4" w:space="0" w:color="auto"/>
            </w:tcBorders>
            <w:shd w:val="clear" w:color="000000" w:fill="A6A6A6"/>
            <w:noWrap/>
            <w:vAlign w:val="center"/>
          </w:tcPr>
          <w:p w:rsidR="007D13F3" w:rsidRPr="00081506" w:rsidRDefault="007D13F3" w:rsidP="00465CAC">
            <w:pPr>
              <w:jc w:val="center"/>
              <w:rPr>
                <w:rFonts w:ascii="Times New Roman" w:hAnsi="Times New Roman" w:cs="Times New Roman"/>
                <w:b/>
                <w:bCs/>
                <w:color w:val="000000"/>
                <w:sz w:val="14"/>
                <w:szCs w:val="14"/>
              </w:rPr>
            </w:pPr>
            <w:r w:rsidRPr="00081506">
              <w:rPr>
                <w:rFonts w:ascii="Times New Roman" w:hAnsi="Times New Roman" w:cs="Times New Roman"/>
                <w:b/>
                <w:bCs/>
                <w:color w:val="000000"/>
                <w:sz w:val="14"/>
                <w:szCs w:val="14"/>
              </w:rPr>
              <w:t>2020 N</w:t>
            </w:r>
          </w:p>
        </w:tc>
      </w:tr>
      <w:tr w:rsidR="007D13F3" w:rsidRPr="00081506" w:rsidTr="00941A11">
        <w:trPr>
          <w:trHeight w:val="259"/>
        </w:trPr>
        <w:tc>
          <w:tcPr>
            <w:tcW w:w="1395"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7D13F3" w:rsidRPr="00081506" w:rsidRDefault="007D13F3" w:rsidP="00465CAC">
            <w:pPr>
              <w:rPr>
                <w:rFonts w:ascii="Times New Roman" w:hAnsi="Times New Roman" w:cs="Times New Roman"/>
                <w:b/>
                <w:bCs/>
                <w:color w:val="000000"/>
                <w:sz w:val="14"/>
                <w:szCs w:val="14"/>
              </w:rPr>
            </w:pPr>
            <w:r w:rsidRPr="00081506">
              <w:rPr>
                <w:rFonts w:ascii="Times New Roman" w:hAnsi="Times New Roman" w:cs="Times New Roman"/>
                <w:b/>
                <w:bCs/>
                <w:color w:val="000000"/>
                <w:sz w:val="14"/>
                <w:szCs w:val="14"/>
              </w:rPr>
              <w:t>Zdroje príslušnej kapitoly</w:t>
            </w:r>
          </w:p>
        </w:tc>
        <w:tc>
          <w:tcPr>
            <w:tcW w:w="532" w:type="pct"/>
            <w:tcBorders>
              <w:top w:val="nil"/>
              <w:left w:val="nil"/>
              <w:bottom w:val="single" w:sz="4" w:space="0" w:color="auto"/>
              <w:right w:val="single" w:sz="4" w:space="0" w:color="auto"/>
            </w:tcBorders>
            <w:shd w:val="clear" w:color="auto" w:fill="BFBFBF" w:themeFill="background1" w:themeFillShade="BF"/>
            <w:vAlign w:val="bottom"/>
          </w:tcPr>
          <w:p w:rsidR="007D13F3" w:rsidRPr="00081506" w:rsidRDefault="007D13F3" w:rsidP="00465CAC">
            <w:pPr>
              <w:jc w:val="right"/>
              <w:rPr>
                <w:rFonts w:ascii="Times New Roman" w:hAnsi="Times New Roman" w:cs="Times New Roman"/>
                <w:b/>
                <w:bCs/>
                <w:color w:val="000000"/>
                <w:sz w:val="14"/>
                <w:szCs w:val="14"/>
                <w:highlight w:val="yellow"/>
              </w:rPr>
            </w:pPr>
            <w:r w:rsidRPr="00081506">
              <w:rPr>
                <w:rFonts w:ascii="Times New Roman" w:hAnsi="Times New Roman" w:cs="Times New Roman"/>
                <w:b/>
                <w:bCs/>
                <w:color w:val="000000"/>
                <w:sz w:val="14"/>
                <w:szCs w:val="14"/>
              </w:rPr>
              <w:t>7 338 430</w:t>
            </w:r>
          </w:p>
        </w:tc>
        <w:tc>
          <w:tcPr>
            <w:tcW w:w="532" w:type="pct"/>
            <w:tcBorders>
              <w:top w:val="nil"/>
              <w:left w:val="nil"/>
              <w:bottom w:val="single" w:sz="4" w:space="0" w:color="auto"/>
              <w:right w:val="single" w:sz="4" w:space="0" w:color="auto"/>
            </w:tcBorders>
            <w:shd w:val="clear" w:color="auto" w:fill="BFBFBF" w:themeFill="background1" w:themeFillShade="BF"/>
            <w:vAlign w:val="bottom"/>
          </w:tcPr>
          <w:p w:rsidR="007D13F3" w:rsidRPr="00081506" w:rsidRDefault="007D13F3" w:rsidP="00465CAC">
            <w:pPr>
              <w:jc w:val="right"/>
              <w:rPr>
                <w:rFonts w:ascii="Times New Roman" w:hAnsi="Times New Roman" w:cs="Times New Roman"/>
                <w:b/>
                <w:bCs/>
                <w:color w:val="000000"/>
                <w:sz w:val="14"/>
                <w:szCs w:val="14"/>
                <w:highlight w:val="yellow"/>
              </w:rPr>
            </w:pPr>
            <w:r w:rsidRPr="00081506">
              <w:rPr>
                <w:rFonts w:ascii="Times New Roman" w:hAnsi="Times New Roman" w:cs="Times New Roman"/>
                <w:b/>
                <w:bCs/>
                <w:color w:val="000000"/>
                <w:sz w:val="14"/>
                <w:szCs w:val="14"/>
              </w:rPr>
              <w:t>8 625 748</w:t>
            </w:r>
          </w:p>
        </w:tc>
        <w:tc>
          <w:tcPr>
            <w:tcW w:w="531" w:type="pct"/>
            <w:tcBorders>
              <w:top w:val="nil"/>
              <w:left w:val="nil"/>
              <w:bottom w:val="single" w:sz="4" w:space="0" w:color="auto"/>
              <w:right w:val="single" w:sz="4" w:space="0" w:color="auto"/>
            </w:tcBorders>
            <w:shd w:val="clear" w:color="auto" w:fill="BFBFBF" w:themeFill="background1" w:themeFillShade="BF"/>
            <w:vAlign w:val="bottom"/>
          </w:tcPr>
          <w:p w:rsidR="007D13F3" w:rsidRPr="00081506" w:rsidRDefault="007D13F3" w:rsidP="00465CAC">
            <w:pPr>
              <w:jc w:val="right"/>
              <w:rPr>
                <w:rFonts w:ascii="Times New Roman" w:hAnsi="Times New Roman" w:cs="Times New Roman"/>
                <w:b/>
                <w:bCs/>
                <w:color w:val="000000"/>
                <w:sz w:val="14"/>
                <w:szCs w:val="14"/>
                <w:highlight w:val="yellow"/>
              </w:rPr>
            </w:pPr>
            <w:r w:rsidRPr="00081506">
              <w:rPr>
                <w:rFonts w:ascii="Times New Roman" w:hAnsi="Times New Roman" w:cs="Times New Roman"/>
                <w:b/>
                <w:bCs/>
                <w:color w:val="000000"/>
                <w:sz w:val="14"/>
                <w:szCs w:val="14"/>
              </w:rPr>
              <w:t>7 340 193</w:t>
            </w:r>
          </w:p>
        </w:tc>
        <w:tc>
          <w:tcPr>
            <w:tcW w:w="531" w:type="pct"/>
            <w:tcBorders>
              <w:top w:val="nil"/>
              <w:left w:val="nil"/>
              <w:bottom w:val="single" w:sz="4" w:space="0" w:color="auto"/>
              <w:right w:val="single" w:sz="4" w:space="0" w:color="auto"/>
            </w:tcBorders>
            <w:shd w:val="clear" w:color="auto" w:fill="BFBFBF" w:themeFill="background1" w:themeFillShade="BF"/>
            <w:vAlign w:val="bottom"/>
          </w:tcPr>
          <w:p w:rsidR="007D13F3" w:rsidRPr="00081506" w:rsidRDefault="007D13F3" w:rsidP="00465CAC">
            <w:pPr>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8 641 062</w:t>
            </w:r>
          </w:p>
        </w:tc>
        <w:tc>
          <w:tcPr>
            <w:tcW w:w="532" w:type="pct"/>
            <w:tcBorders>
              <w:top w:val="nil"/>
              <w:left w:val="nil"/>
              <w:bottom w:val="single" w:sz="4" w:space="0" w:color="auto"/>
              <w:right w:val="single" w:sz="4" w:space="0" w:color="auto"/>
            </w:tcBorders>
            <w:shd w:val="clear" w:color="auto" w:fill="BFBFBF" w:themeFill="background1" w:themeFillShade="BF"/>
            <w:vAlign w:val="bottom"/>
          </w:tcPr>
          <w:p w:rsidR="007D13F3" w:rsidRPr="00081506" w:rsidRDefault="007D13F3" w:rsidP="00465CAC">
            <w:pPr>
              <w:jc w:val="right"/>
              <w:rPr>
                <w:rFonts w:ascii="Times New Roman" w:hAnsi="Times New Roman" w:cs="Times New Roman"/>
                <w:b/>
                <w:bCs/>
                <w:color w:val="000000"/>
                <w:sz w:val="14"/>
                <w:szCs w:val="14"/>
                <w:highlight w:val="yellow"/>
              </w:rPr>
            </w:pPr>
            <w:r w:rsidRPr="00081506">
              <w:rPr>
                <w:rFonts w:ascii="Times New Roman" w:hAnsi="Times New Roman" w:cs="Times New Roman"/>
                <w:b/>
                <w:bCs/>
                <w:color w:val="000000"/>
                <w:sz w:val="14"/>
                <w:szCs w:val="14"/>
              </w:rPr>
              <w:t>7 547 667</w:t>
            </w:r>
          </w:p>
        </w:tc>
        <w:tc>
          <w:tcPr>
            <w:tcW w:w="504" w:type="pct"/>
            <w:tcBorders>
              <w:top w:val="nil"/>
              <w:left w:val="nil"/>
              <w:bottom w:val="single" w:sz="4" w:space="0" w:color="auto"/>
              <w:right w:val="single" w:sz="4" w:space="0" w:color="auto"/>
            </w:tcBorders>
            <w:shd w:val="clear" w:color="auto" w:fill="BFBFBF" w:themeFill="background1" w:themeFillShade="BF"/>
            <w:vAlign w:val="bottom"/>
          </w:tcPr>
          <w:p w:rsidR="007D13F3" w:rsidRPr="00081506" w:rsidRDefault="007D13F3" w:rsidP="00465CAC">
            <w:pPr>
              <w:jc w:val="right"/>
              <w:rPr>
                <w:rFonts w:ascii="Times New Roman" w:hAnsi="Times New Roman" w:cs="Times New Roman"/>
                <w:b/>
                <w:bCs/>
                <w:color w:val="000000"/>
                <w:sz w:val="14"/>
                <w:szCs w:val="14"/>
                <w:highlight w:val="yellow"/>
              </w:rPr>
            </w:pPr>
            <w:r w:rsidRPr="00081506">
              <w:rPr>
                <w:rFonts w:ascii="Times New Roman" w:hAnsi="Times New Roman" w:cs="Times New Roman"/>
                <w:b/>
                <w:bCs/>
                <w:color w:val="000000"/>
                <w:sz w:val="14"/>
                <w:szCs w:val="14"/>
              </w:rPr>
              <w:t>7 547 667</w:t>
            </w:r>
          </w:p>
        </w:tc>
        <w:tc>
          <w:tcPr>
            <w:tcW w:w="442" w:type="pct"/>
            <w:tcBorders>
              <w:top w:val="nil"/>
              <w:left w:val="nil"/>
              <w:bottom w:val="single" w:sz="4" w:space="0" w:color="auto"/>
              <w:right w:val="single" w:sz="4" w:space="0" w:color="auto"/>
            </w:tcBorders>
            <w:shd w:val="clear" w:color="auto" w:fill="BFBFBF" w:themeFill="background1" w:themeFillShade="BF"/>
            <w:vAlign w:val="bottom"/>
          </w:tcPr>
          <w:p w:rsidR="007D13F3" w:rsidRPr="00081506" w:rsidRDefault="007D13F3" w:rsidP="00465CAC">
            <w:pPr>
              <w:jc w:val="right"/>
              <w:rPr>
                <w:rFonts w:ascii="Times New Roman" w:hAnsi="Times New Roman" w:cs="Times New Roman"/>
                <w:b/>
                <w:bCs/>
                <w:color w:val="000000"/>
                <w:sz w:val="14"/>
                <w:szCs w:val="14"/>
                <w:highlight w:val="yellow"/>
              </w:rPr>
            </w:pPr>
            <w:r w:rsidRPr="00081506">
              <w:rPr>
                <w:rFonts w:ascii="Times New Roman" w:hAnsi="Times New Roman" w:cs="Times New Roman"/>
                <w:b/>
                <w:bCs/>
                <w:color w:val="000000"/>
                <w:sz w:val="14"/>
                <w:szCs w:val="14"/>
              </w:rPr>
              <w:t>7 547 667</w:t>
            </w:r>
          </w:p>
        </w:tc>
      </w:tr>
      <w:tr w:rsidR="007D13F3" w:rsidRPr="008D5ED4" w:rsidTr="00465CAC">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7D13F3" w:rsidRPr="008D5ED4" w:rsidRDefault="007D13F3" w:rsidP="00465CAC">
            <w:pPr>
              <w:rPr>
                <w:rFonts w:ascii="Times New Roman" w:hAnsi="Times New Roman" w:cs="Times New Roman"/>
                <w:b/>
                <w:sz w:val="14"/>
                <w:szCs w:val="14"/>
              </w:rPr>
            </w:pPr>
            <w:r w:rsidRPr="008D5ED4">
              <w:rPr>
                <w:rFonts w:ascii="Times New Roman" w:hAnsi="Times New Roman" w:cs="Times New Roman"/>
                <w:b/>
                <w:sz w:val="14"/>
                <w:szCs w:val="14"/>
              </w:rPr>
              <w:t xml:space="preserve">rozpočtové zdroje kapitoly (111 +11H) </w:t>
            </w:r>
          </w:p>
        </w:tc>
        <w:tc>
          <w:tcPr>
            <w:tcW w:w="532" w:type="pct"/>
            <w:tcBorders>
              <w:top w:val="nil"/>
              <w:left w:val="nil"/>
              <w:bottom w:val="single" w:sz="4" w:space="0" w:color="auto"/>
              <w:right w:val="single" w:sz="4" w:space="0" w:color="auto"/>
            </w:tcBorders>
            <w:shd w:val="clear" w:color="auto" w:fill="auto"/>
            <w:noWrap/>
            <w:vAlign w:val="bottom"/>
          </w:tcPr>
          <w:p w:rsidR="007D13F3" w:rsidRPr="008D5ED4" w:rsidRDefault="007D13F3" w:rsidP="00465CAC">
            <w:pPr>
              <w:jc w:val="right"/>
              <w:rPr>
                <w:rFonts w:ascii="Times New Roman" w:hAnsi="Times New Roman" w:cs="Times New Roman"/>
                <w:b/>
                <w:color w:val="000000"/>
                <w:sz w:val="14"/>
                <w:szCs w:val="14"/>
                <w:highlight w:val="yellow"/>
              </w:rPr>
            </w:pPr>
            <w:r w:rsidRPr="008D5ED4">
              <w:rPr>
                <w:rFonts w:ascii="Times New Roman" w:hAnsi="Times New Roman" w:cs="Times New Roman"/>
                <w:b/>
                <w:color w:val="000000"/>
                <w:sz w:val="14"/>
                <w:szCs w:val="14"/>
              </w:rPr>
              <w:t>7 203 539</w:t>
            </w:r>
          </w:p>
        </w:tc>
        <w:tc>
          <w:tcPr>
            <w:tcW w:w="532" w:type="pct"/>
            <w:tcBorders>
              <w:top w:val="nil"/>
              <w:left w:val="nil"/>
              <w:bottom w:val="single" w:sz="4" w:space="0" w:color="auto"/>
              <w:right w:val="single" w:sz="4" w:space="0" w:color="auto"/>
            </w:tcBorders>
            <w:shd w:val="clear" w:color="auto" w:fill="auto"/>
            <w:noWrap/>
            <w:vAlign w:val="bottom"/>
          </w:tcPr>
          <w:p w:rsidR="007D13F3" w:rsidRPr="008D5ED4" w:rsidRDefault="007D13F3" w:rsidP="00465CAC">
            <w:pPr>
              <w:jc w:val="right"/>
              <w:rPr>
                <w:rFonts w:ascii="Times New Roman" w:hAnsi="Times New Roman" w:cs="Times New Roman"/>
                <w:b/>
                <w:color w:val="000000"/>
                <w:sz w:val="14"/>
                <w:szCs w:val="14"/>
                <w:highlight w:val="yellow"/>
              </w:rPr>
            </w:pPr>
            <w:r w:rsidRPr="008D5ED4">
              <w:rPr>
                <w:rFonts w:ascii="Times New Roman" w:hAnsi="Times New Roman" w:cs="Times New Roman"/>
                <w:b/>
                <w:color w:val="000000"/>
                <w:sz w:val="14"/>
                <w:szCs w:val="14"/>
              </w:rPr>
              <w:t>7 050 838</w:t>
            </w:r>
          </w:p>
        </w:tc>
        <w:tc>
          <w:tcPr>
            <w:tcW w:w="531"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highlight w:val="yellow"/>
              </w:rPr>
            </w:pPr>
            <w:r w:rsidRPr="008D5ED4">
              <w:rPr>
                <w:rFonts w:ascii="Times New Roman" w:hAnsi="Times New Roman" w:cs="Times New Roman"/>
                <w:b/>
                <w:color w:val="000000"/>
                <w:sz w:val="14"/>
                <w:szCs w:val="14"/>
              </w:rPr>
              <w:t>7 340 193</w:t>
            </w:r>
          </w:p>
        </w:tc>
        <w:tc>
          <w:tcPr>
            <w:tcW w:w="531" w:type="pct"/>
            <w:tcBorders>
              <w:top w:val="nil"/>
              <w:left w:val="nil"/>
              <w:bottom w:val="single" w:sz="4" w:space="0" w:color="auto"/>
              <w:right w:val="single" w:sz="4" w:space="0" w:color="auto"/>
            </w:tcBorders>
            <w:shd w:val="clear" w:color="auto" w:fill="FFFFFF" w:themeFill="background1"/>
            <w:vAlign w:val="bottom"/>
          </w:tcPr>
          <w:p w:rsidR="007D13F3" w:rsidRPr="008D5ED4" w:rsidRDefault="007D13F3" w:rsidP="00465CAC">
            <w:pPr>
              <w:jc w:val="right"/>
              <w:rPr>
                <w:rFonts w:ascii="Times New Roman" w:hAnsi="Times New Roman" w:cs="Times New Roman"/>
                <w:b/>
                <w:color w:val="000000"/>
                <w:sz w:val="14"/>
                <w:szCs w:val="14"/>
                <w:highlight w:val="yellow"/>
              </w:rPr>
            </w:pPr>
            <w:r w:rsidRPr="008D5ED4">
              <w:rPr>
                <w:rFonts w:ascii="Times New Roman" w:hAnsi="Times New Roman" w:cs="Times New Roman"/>
                <w:b/>
                <w:color w:val="000000"/>
                <w:sz w:val="14"/>
                <w:szCs w:val="14"/>
              </w:rPr>
              <w:t>7 440 402</w:t>
            </w:r>
          </w:p>
        </w:tc>
        <w:tc>
          <w:tcPr>
            <w:tcW w:w="532"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bCs/>
                <w:color w:val="000000"/>
                <w:sz w:val="14"/>
                <w:szCs w:val="14"/>
              </w:rPr>
            </w:pPr>
            <w:r w:rsidRPr="008D5ED4">
              <w:rPr>
                <w:rFonts w:ascii="Times New Roman" w:hAnsi="Times New Roman" w:cs="Times New Roman"/>
                <w:b/>
                <w:bCs/>
                <w:color w:val="000000"/>
                <w:sz w:val="14"/>
                <w:szCs w:val="14"/>
              </w:rPr>
              <w:t>7 547 667</w:t>
            </w:r>
          </w:p>
        </w:tc>
        <w:tc>
          <w:tcPr>
            <w:tcW w:w="504"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bCs/>
                <w:color w:val="000000"/>
                <w:sz w:val="14"/>
                <w:szCs w:val="14"/>
              </w:rPr>
            </w:pPr>
            <w:r w:rsidRPr="008D5ED4">
              <w:rPr>
                <w:rFonts w:ascii="Times New Roman" w:hAnsi="Times New Roman" w:cs="Times New Roman"/>
                <w:b/>
                <w:bCs/>
                <w:color w:val="000000"/>
                <w:sz w:val="14"/>
                <w:szCs w:val="14"/>
              </w:rPr>
              <w:t>7 547 667</w:t>
            </w:r>
          </w:p>
        </w:tc>
        <w:tc>
          <w:tcPr>
            <w:tcW w:w="442"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bCs/>
                <w:color w:val="000000"/>
                <w:sz w:val="14"/>
                <w:szCs w:val="14"/>
              </w:rPr>
            </w:pPr>
            <w:r w:rsidRPr="008D5ED4">
              <w:rPr>
                <w:rFonts w:ascii="Times New Roman" w:hAnsi="Times New Roman" w:cs="Times New Roman"/>
                <w:b/>
                <w:bCs/>
                <w:color w:val="000000"/>
                <w:sz w:val="14"/>
                <w:szCs w:val="14"/>
              </w:rPr>
              <w:t>7 547 667</w:t>
            </w:r>
          </w:p>
        </w:tc>
      </w:tr>
      <w:tr w:rsidR="007D13F3" w:rsidRPr="00081506" w:rsidTr="00465CAC">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1506" w:rsidRDefault="007D13F3" w:rsidP="00465CAC">
            <w:pPr>
              <w:rPr>
                <w:rFonts w:ascii="Times New Roman" w:hAnsi="Times New Roman" w:cs="Times New Roman"/>
                <w:sz w:val="14"/>
                <w:szCs w:val="14"/>
              </w:rPr>
            </w:pPr>
            <w:r w:rsidRPr="00081506">
              <w:rPr>
                <w:rFonts w:ascii="Times New Roman" w:hAnsi="Times New Roman" w:cs="Times New Roman"/>
                <w:sz w:val="14"/>
                <w:szCs w:val="14"/>
              </w:rPr>
              <w:t xml:space="preserve">  v tom: bežné výdavky 600</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6 560 247</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6 841 721</w:t>
            </w:r>
          </w:p>
        </w:tc>
        <w:tc>
          <w:tcPr>
            <w:tcW w:w="531"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7 316 193</w:t>
            </w:r>
          </w:p>
        </w:tc>
        <w:tc>
          <w:tcPr>
            <w:tcW w:w="531" w:type="pct"/>
            <w:tcBorders>
              <w:top w:val="nil"/>
              <w:left w:val="nil"/>
              <w:bottom w:val="single" w:sz="4" w:space="0" w:color="auto"/>
              <w:right w:val="single" w:sz="4" w:space="0" w:color="auto"/>
            </w:tcBorders>
            <w:shd w:val="clear" w:color="auto" w:fill="FFFFFF" w:themeFill="background1"/>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A72117">
              <w:rPr>
                <w:rFonts w:ascii="Times New Roman" w:hAnsi="Times New Roman" w:cs="Times New Roman"/>
                <w:color w:val="000000"/>
                <w:sz w:val="14"/>
                <w:szCs w:val="14"/>
              </w:rPr>
              <w:t>7 416 402</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7 517 667</w:t>
            </w:r>
          </w:p>
        </w:tc>
        <w:tc>
          <w:tcPr>
            <w:tcW w:w="504"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7 517 667</w:t>
            </w:r>
          </w:p>
        </w:tc>
        <w:tc>
          <w:tcPr>
            <w:tcW w:w="44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7 517 667</w:t>
            </w:r>
          </w:p>
        </w:tc>
      </w:tr>
      <w:tr w:rsidR="007D13F3" w:rsidRPr="00081506" w:rsidTr="00465CAC">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1506" w:rsidRDefault="007D13F3" w:rsidP="00465CAC">
            <w:pPr>
              <w:rPr>
                <w:rFonts w:ascii="Times New Roman" w:hAnsi="Times New Roman" w:cs="Times New Roman"/>
                <w:color w:val="000000"/>
                <w:sz w:val="14"/>
                <w:szCs w:val="14"/>
              </w:rPr>
            </w:pPr>
            <w:r w:rsidRPr="00081506">
              <w:rPr>
                <w:rFonts w:ascii="Times New Roman" w:hAnsi="Times New Roman" w:cs="Times New Roman"/>
                <w:color w:val="000000"/>
                <w:sz w:val="14"/>
                <w:szCs w:val="14"/>
              </w:rPr>
              <w:t xml:space="preserve">                                 610 mzdy</w:t>
            </w:r>
          </w:p>
        </w:tc>
        <w:tc>
          <w:tcPr>
            <w:tcW w:w="532" w:type="pct"/>
            <w:tcBorders>
              <w:top w:val="nil"/>
              <w:left w:val="nil"/>
              <w:bottom w:val="single" w:sz="4" w:space="0" w:color="auto"/>
              <w:right w:val="single" w:sz="4" w:space="0" w:color="auto"/>
            </w:tcBorders>
            <w:shd w:val="clear" w:color="auto" w:fill="auto"/>
            <w:noWrap/>
            <w:vAlign w:val="bottom"/>
          </w:tcPr>
          <w:p w:rsidR="007D13F3" w:rsidRPr="00081506" w:rsidRDefault="007D13F3" w:rsidP="00465CAC">
            <w:pPr>
              <w:jc w:val="right"/>
              <w:rPr>
                <w:rFonts w:ascii="Times New Roman" w:hAnsi="Times New Roman" w:cs="Times New Roman"/>
                <w:sz w:val="14"/>
                <w:szCs w:val="14"/>
                <w:highlight w:val="yellow"/>
              </w:rPr>
            </w:pPr>
            <w:r w:rsidRPr="00081506">
              <w:rPr>
                <w:rFonts w:ascii="Times New Roman" w:hAnsi="Times New Roman" w:cs="Times New Roman"/>
                <w:sz w:val="14"/>
                <w:szCs w:val="14"/>
              </w:rPr>
              <w:t>3 329 114</w:t>
            </w:r>
          </w:p>
        </w:tc>
        <w:tc>
          <w:tcPr>
            <w:tcW w:w="532" w:type="pct"/>
            <w:tcBorders>
              <w:top w:val="nil"/>
              <w:left w:val="nil"/>
              <w:bottom w:val="single" w:sz="4" w:space="0" w:color="auto"/>
              <w:right w:val="single" w:sz="4" w:space="0" w:color="auto"/>
            </w:tcBorders>
            <w:shd w:val="clear" w:color="auto" w:fill="auto"/>
            <w:noWrap/>
            <w:vAlign w:val="bottom"/>
          </w:tcPr>
          <w:p w:rsidR="007D13F3" w:rsidRPr="00081506" w:rsidRDefault="007D13F3" w:rsidP="00465CAC">
            <w:pPr>
              <w:jc w:val="right"/>
              <w:rPr>
                <w:rFonts w:ascii="Times New Roman" w:hAnsi="Times New Roman" w:cs="Times New Roman"/>
                <w:sz w:val="14"/>
                <w:szCs w:val="14"/>
                <w:highlight w:val="yellow"/>
              </w:rPr>
            </w:pPr>
            <w:r w:rsidRPr="00081506">
              <w:rPr>
                <w:rFonts w:ascii="Times New Roman" w:hAnsi="Times New Roman" w:cs="Times New Roman"/>
                <w:sz w:val="14"/>
                <w:szCs w:val="14"/>
              </w:rPr>
              <w:t>3 376 226</w:t>
            </w:r>
          </w:p>
        </w:tc>
        <w:tc>
          <w:tcPr>
            <w:tcW w:w="531"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3 869 719</w:t>
            </w:r>
          </w:p>
        </w:tc>
        <w:tc>
          <w:tcPr>
            <w:tcW w:w="531" w:type="pct"/>
            <w:tcBorders>
              <w:top w:val="nil"/>
              <w:left w:val="nil"/>
              <w:bottom w:val="single" w:sz="4" w:space="0" w:color="auto"/>
              <w:right w:val="single" w:sz="4" w:space="0" w:color="auto"/>
            </w:tcBorders>
            <w:shd w:val="clear" w:color="auto" w:fill="FFFFFF" w:themeFill="background1"/>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A72117">
              <w:rPr>
                <w:rFonts w:ascii="Times New Roman" w:hAnsi="Times New Roman" w:cs="Times New Roman"/>
                <w:color w:val="000000"/>
                <w:sz w:val="14"/>
                <w:szCs w:val="14"/>
              </w:rPr>
              <w:t>3 964 236</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4 023 613</w:t>
            </w:r>
          </w:p>
        </w:tc>
        <w:tc>
          <w:tcPr>
            <w:tcW w:w="504"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4 023 613</w:t>
            </w:r>
          </w:p>
        </w:tc>
        <w:tc>
          <w:tcPr>
            <w:tcW w:w="44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4 023 613</w:t>
            </w:r>
          </w:p>
        </w:tc>
      </w:tr>
      <w:tr w:rsidR="007D13F3" w:rsidRPr="00081506" w:rsidTr="00465CAC">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1506" w:rsidRDefault="007D13F3" w:rsidP="00465CAC">
            <w:pPr>
              <w:rPr>
                <w:rFonts w:ascii="Times New Roman" w:hAnsi="Times New Roman" w:cs="Times New Roman"/>
                <w:color w:val="000000"/>
                <w:sz w:val="14"/>
                <w:szCs w:val="14"/>
              </w:rPr>
            </w:pPr>
            <w:r w:rsidRPr="00081506">
              <w:rPr>
                <w:rFonts w:ascii="Times New Roman" w:hAnsi="Times New Roman" w:cs="Times New Roman"/>
                <w:color w:val="000000"/>
                <w:sz w:val="14"/>
                <w:szCs w:val="14"/>
              </w:rPr>
              <w:t xml:space="preserve">                                 620 odvody</w:t>
            </w:r>
          </w:p>
        </w:tc>
        <w:tc>
          <w:tcPr>
            <w:tcW w:w="532" w:type="pct"/>
            <w:tcBorders>
              <w:top w:val="nil"/>
              <w:left w:val="nil"/>
              <w:bottom w:val="single" w:sz="4" w:space="0" w:color="auto"/>
              <w:right w:val="single" w:sz="4" w:space="0" w:color="auto"/>
            </w:tcBorders>
            <w:shd w:val="clear" w:color="auto" w:fill="auto"/>
            <w:noWrap/>
            <w:vAlign w:val="bottom"/>
          </w:tcPr>
          <w:p w:rsidR="007D13F3" w:rsidRPr="00081506" w:rsidRDefault="007D13F3" w:rsidP="00465CAC">
            <w:pPr>
              <w:jc w:val="right"/>
              <w:rPr>
                <w:rFonts w:ascii="Times New Roman" w:hAnsi="Times New Roman" w:cs="Times New Roman"/>
                <w:sz w:val="14"/>
                <w:szCs w:val="14"/>
                <w:highlight w:val="yellow"/>
              </w:rPr>
            </w:pPr>
            <w:r w:rsidRPr="00081506">
              <w:rPr>
                <w:rFonts w:ascii="Times New Roman" w:hAnsi="Times New Roman" w:cs="Times New Roman"/>
                <w:sz w:val="14"/>
                <w:szCs w:val="14"/>
              </w:rPr>
              <w:t>1 175 413</w:t>
            </w:r>
          </w:p>
        </w:tc>
        <w:tc>
          <w:tcPr>
            <w:tcW w:w="532" w:type="pct"/>
            <w:tcBorders>
              <w:top w:val="nil"/>
              <w:left w:val="nil"/>
              <w:bottom w:val="single" w:sz="4" w:space="0" w:color="auto"/>
              <w:right w:val="single" w:sz="4" w:space="0" w:color="auto"/>
            </w:tcBorders>
            <w:shd w:val="clear" w:color="auto" w:fill="auto"/>
            <w:noWrap/>
            <w:vAlign w:val="bottom"/>
          </w:tcPr>
          <w:p w:rsidR="007D13F3" w:rsidRPr="00081506" w:rsidRDefault="007D13F3" w:rsidP="00465CAC">
            <w:pPr>
              <w:jc w:val="right"/>
              <w:rPr>
                <w:rFonts w:ascii="Times New Roman" w:hAnsi="Times New Roman" w:cs="Times New Roman"/>
                <w:sz w:val="14"/>
                <w:szCs w:val="14"/>
                <w:highlight w:val="yellow"/>
              </w:rPr>
            </w:pPr>
            <w:r w:rsidRPr="00081506">
              <w:rPr>
                <w:rFonts w:ascii="Times New Roman" w:hAnsi="Times New Roman" w:cs="Times New Roman"/>
                <w:sz w:val="14"/>
                <w:szCs w:val="14"/>
              </w:rPr>
              <w:t>1 202 309</w:t>
            </w:r>
          </w:p>
        </w:tc>
        <w:tc>
          <w:tcPr>
            <w:tcW w:w="531"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1 402 467</w:t>
            </w:r>
          </w:p>
        </w:tc>
        <w:tc>
          <w:tcPr>
            <w:tcW w:w="531" w:type="pct"/>
            <w:tcBorders>
              <w:top w:val="nil"/>
              <w:left w:val="nil"/>
              <w:bottom w:val="single" w:sz="4" w:space="0" w:color="auto"/>
              <w:right w:val="single" w:sz="4" w:space="0" w:color="auto"/>
            </w:tcBorders>
            <w:shd w:val="clear" w:color="auto" w:fill="FFFFFF" w:themeFill="background1"/>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A72117">
              <w:rPr>
                <w:rFonts w:ascii="Times New Roman" w:hAnsi="Times New Roman" w:cs="Times New Roman"/>
                <w:color w:val="000000"/>
                <w:sz w:val="14"/>
                <w:szCs w:val="14"/>
              </w:rPr>
              <w:t>1 422 292</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1 455 452</w:t>
            </w:r>
          </w:p>
        </w:tc>
        <w:tc>
          <w:tcPr>
            <w:tcW w:w="504"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1 455 452</w:t>
            </w:r>
          </w:p>
        </w:tc>
        <w:tc>
          <w:tcPr>
            <w:tcW w:w="44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1 455 452</w:t>
            </w:r>
          </w:p>
        </w:tc>
      </w:tr>
      <w:tr w:rsidR="007D13F3" w:rsidRPr="00081506" w:rsidTr="00465CAC">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1506" w:rsidRDefault="007D13F3" w:rsidP="00465CAC">
            <w:pPr>
              <w:rPr>
                <w:rFonts w:ascii="Times New Roman" w:hAnsi="Times New Roman" w:cs="Times New Roman"/>
                <w:color w:val="000000"/>
                <w:sz w:val="14"/>
                <w:szCs w:val="14"/>
              </w:rPr>
            </w:pPr>
            <w:r w:rsidRPr="00081506">
              <w:rPr>
                <w:rFonts w:ascii="Times New Roman" w:hAnsi="Times New Roman" w:cs="Times New Roman"/>
                <w:color w:val="000000"/>
                <w:sz w:val="14"/>
                <w:szCs w:val="14"/>
              </w:rPr>
              <w:t xml:space="preserve">                                 630 tovary a služby</w:t>
            </w:r>
          </w:p>
        </w:tc>
        <w:tc>
          <w:tcPr>
            <w:tcW w:w="532" w:type="pct"/>
            <w:tcBorders>
              <w:top w:val="nil"/>
              <w:left w:val="nil"/>
              <w:bottom w:val="single" w:sz="4" w:space="0" w:color="auto"/>
              <w:right w:val="single" w:sz="4" w:space="0" w:color="auto"/>
            </w:tcBorders>
            <w:shd w:val="clear" w:color="auto" w:fill="auto"/>
            <w:noWrap/>
            <w:vAlign w:val="bottom"/>
          </w:tcPr>
          <w:p w:rsidR="007D13F3" w:rsidRPr="00081506" w:rsidRDefault="007D13F3" w:rsidP="00465CAC">
            <w:pPr>
              <w:jc w:val="right"/>
              <w:rPr>
                <w:rFonts w:ascii="Times New Roman" w:hAnsi="Times New Roman" w:cs="Times New Roman"/>
                <w:sz w:val="14"/>
                <w:szCs w:val="14"/>
                <w:highlight w:val="yellow"/>
              </w:rPr>
            </w:pPr>
            <w:r w:rsidRPr="00081506">
              <w:rPr>
                <w:rFonts w:ascii="Times New Roman" w:hAnsi="Times New Roman" w:cs="Times New Roman"/>
                <w:sz w:val="14"/>
                <w:szCs w:val="14"/>
              </w:rPr>
              <w:t>2 049 361</w:t>
            </w:r>
          </w:p>
        </w:tc>
        <w:tc>
          <w:tcPr>
            <w:tcW w:w="532" w:type="pct"/>
            <w:tcBorders>
              <w:top w:val="nil"/>
              <w:left w:val="nil"/>
              <w:bottom w:val="single" w:sz="4" w:space="0" w:color="auto"/>
              <w:right w:val="single" w:sz="4" w:space="0" w:color="auto"/>
            </w:tcBorders>
            <w:shd w:val="clear" w:color="auto" w:fill="auto"/>
            <w:noWrap/>
            <w:vAlign w:val="bottom"/>
          </w:tcPr>
          <w:p w:rsidR="007D13F3" w:rsidRPr="00081506" w:rsidRDefault="007D13F3" w:rsidP="00465CAC">
            <w:pPr>
              <w:jc w:val="right"/>
              <w:rPr>
                <w:rFonts w:ascii="Times New Roman" w:hAnsi="Times New Roman" w:cs="Times New Roman"/>
                <w:sz w:val="14"/>
                <w:szCs w:val="14"/>
                <w:highlight w:val="yellow"/>
              </w:rPr>
            </w:pPr>
            <w:r w:rsidRPr="00081506">
              <w:rPr>
                <w:rFonts w:ascii="Times New Roman" w:hAnsi="Times New Roman" w:cs="Times New Roman"/>
                <w:sz w:val="14"/>
                <w:szCs w:val="14"/>
              </w:rPr>
              <w:t>2 250 615</w:t>
            </w:r>
          </w:p>
        </w:tc>
        <w:tc>
          <w:tcPr>
            <w:tcW w:w="531"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2 029 007</w:t>
            </w:r>
          </w:p>
        </w:tc>
        <w:tc>
          <w:tcPr>
            <w:tcW w:w="531" w:type="pct"/>
            <w:tcBorders>
              <w:top w:val="nil"/>
              <w:left w:val="nil"/>
              <w:bottom w:val="single" w:sz="4" w:space="0" w:color="auto"/>
              <w:right w:val="single" w:sz="4" w:space="0" w:color="auto"/>
            </w:tcBorders>
            <w:shd w:val="clear" w:color="auto" w:fill="FFFFFF" w:themeFill="background1"/>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1 996 874</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2 023 602</w:t>
            </w:r>
          </w:p>
        </w:tc>
        <w:tc>
          <w:tcPr>
            <w:tcW w:w="504"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2 023 602</w:t>
            </w:r>
          </w:p>
        </w:tc>
        <w:tc>
          <w:tcPr>
            <w:tcW w:w="44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2 023 602</w:t>
            </w:r>
          </w:p>
        </w:tc>
      </w:tr>
      <w:tr w:rsidR="007D13F3" w:rsidRPr="00081506" w:rsidTr="00465CAC">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1506" w:rsidRDefault="007D13F3" w:rsidP="00465CAC">
            <w:pPr>
              <w:rPr>
                <w:rFonts w:ascii="Times New Roman" w:hAnsi="Times New Roman" w:cs="Times New Roman"/>
                <w:color w:val="000000"/>
                <w:sz w:val="14"/>
                <w:szCs w:val="14"/>
              </w:rPr>
            </w:pPr>
            <w:r w:rsidRPr="00081506">
              <w:rPr>
                <w:rFonts w:ascii="Times New Roman" w:hAnsi="Times New Roman" w:cs="Times New Roman"/>
                <w:color w:val="000000"/>
                <w:sz w:val="14"/>
                <w:szCs w:val="14"/>
              </w:rPr>
              <w:t xml:space="preserve">                                 640 bežné transfery</w:t>
            </w:r>
          </w:p>
        </w:tc>
        <w:tc>
          <w:tcPr>
            <w:tcW w:w="532" w:type="pct"/>
            <w:tcBorders>
              <w:top w:val="nil"/>
              <w:left w:val="nil"/>
              <w:bottom w:val="single" w:sz="4" w:space="0" w:color="auto"/>
              <w:right w:val="single" w:sz="4" w:space="0" w:color="auto"/>
            </w:tcBorders>
            <w:shd w:val="clear" w:color="auto" w:fill="auto"/>
            <w:noWrap/>
            <w:vAlign w:val="bottom"/>
          </w:tcPr>
          <w:p w:rsidR="007D13F3" w:rsidRPr="00081506" w:rsidRDefault="007D13F3" w:rsidP="00465CAC">
            <w:pPr>
              <w:jc w:val="right"/>
              <w:rPr>
                <w:rFonts w:ascii="Times New Roman" w:hAnsi="Times New Roman" w:cs="Times New Roman"/>
                <w:sz w:val="14"/>
                <w:szCs w:val="14"/>
                <w:highlight w:val="yellow"/>
              </w:rPr>
            </w:pPr>
            <w:r w:rsidRPr="00081506">
              <w:rPr>
                <w:rFonts w:ascii="Times New Roman" w:hAnsi="Times New Roman" w:cs="Times New Roman"/>
                <w:sz w:val="14"/>
                <w:szCs w:val="14"/>
              </w:rPr>
              <w:t>6 359</w:t>
            </w:r>
          </w:p>
        </w:tc>
        <w:tc>
          <w:tcPr>
            <w:tcW w:w="532" w:type="pct"/>
            <w:tcBorders>
              <w:top w:val="nil"/>
              <w:left w:val="nil"/>
              <w:bottom w:val="single" w:sz="4" w:space="0" w:color="auto"/>
              <w:right w:val="single" w:sz="4" w:space="0" w:color="auto"/>
            </w:tcBorders>
            <w:shd w:val="clear" w:color="auto" w:fill="auto"/>
            <w:noWrap/>
            <w:vAlign w:val="bottom"/>
          </w:tcPr>
          <w:p w:rsidR="007D13F3" w:rsidRPr="00081506" w:rsidRDefault="007D13F3" w:rsidP="00465CAC">
            <w:pPr>
              <w:jc w:val="right"/>
              <w:rPr>
                <w:rFonts w:ascii="Times New Roman" w:hAnsi="Times New Roman" w:cs="Times New Roman"/>
                <w:sz w:val="14"/>
                <w:szCs w:val="14"/>
                <w:highlight w:val="yellow"/>
              </w:rPr>
            </w:pPr>
            <w:r w:rsidRPr="00081506">
              <w:rPr>
                <w:rFonts w:ascii="Times New Roman" w:hAnsi="Times New Roman" w:cs="Times New Roman"/>
                <w:sz w:val="14"/>
                <w:szCs w:val="14"/>
              </w:rPr>
              <w:t>12 571</w:t>
            </w:r>
          </w:p>
        </w:tc>
        <w:tc>
          <w:tcPr>
            <w:tcW w:w="531"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15 000</w:t>
            </w:r>
          </w:p>
        </w:tc>
        <w:tc>
          <w:tcPr>
            <w:tcW w:w="531" w:type="pct"/>
            <w:tcBorders>
              <w:top w:val="nil"/>
              <w:left w:val="nil"/>
              <w:bottom w:val="single" w:sz="4" w:space="0" w:color="auto"/>
              <w:right w:val="single" w:sz="4" w:space="0" w:color="auto"/>
            </w:tcBorders>
            <w:shd w:val="clear" w:color="auto" w:fill="FFFFFF" w:themeFill="background1"/>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A72117">
              <w:rPr>
                <w:rFonts w:ascii="Times New Roman" w:hAnsi="Times New Roman" w:cs="Times New Roman"/>
                <w:color w:val="000000"/>
                <w:sz w:val="14"/>
                <w:szCs w:val="14"/>
              </w:rPr>
              <w:t>33 000</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15 000</w:t>
            </w:r>
          </w:p>
        </w:tc>
        <w:tc>
          <w:tcPr>
            <w:tcW w:w="504"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15 000</w:t>
            </w:r>
          </w:p>
        </w:tc>
        <w:tc>
          <w:tcPr>
            <w:tcW w:w="44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15 000</w:t>
            </w:r>
          </w:p>
        </w:tc>
      </w:tr>
      <w:tr w:rsidR="007D13F3" w:rsidRPr="00081506" w:rsidTr="00465CAC">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1506" w:rsidRDefault="007D13F3" w:rsidP="00465CAC">
            <w:pPr>
              <w:rPr>
                <w:rFonts w:ascii="Times New Roman" w:hAnsi="Times New Roman" w:cs="Times New Roman"/>
                <w:sz w:val="14"/>
                <w:szCs w:val="14"/>
              </w:rPr>
            </w:pPr>
            <w:r w:rsidRPr="00081506">
              <w:rPr>
                <w:rFonts w:ascii="Times New Roman" w:hAnsi="Times New Roman" w:cs="Times New Roman"/>
                <w:sz w:val="14"/>
                <w:szCs w:val="14"/>
              </w:rPr>
              <w:t xml:space="preserve">                   kapitálové výdavky 700</w:t>
            </w:r>
          </w:p>
        </w:tc>
        <w:tc>
          <w:tcPr>
            <w:tcW w:w="532" w:type="pct"/>
            <w:tcBorders>
              <w:top w:val="nil"/>
              <w:left w:val="nil"/>
              <w:bottom w:val="single" w:sz="4" w:space="0" w:color="auto"/>
              <w:right w:val="single" w:sz="4" w:space="0" w:color="auto"/>
            </w:tcBorders>
            <w:shd w:val="clear" w:color="auto" w:fill="auto"/>
            <w:noWrap/>
            <w:vAlign w:val="bottom"/>
          </w:tcPr>
          <w:p w:rsidR="007D13F3" w:rsidRPr="00081506" w:rsidRDefault="007D13F3" w:rsidP="00465CAC">
            <w:pPr>
              <w:jc w:val="right"/>
              <w:rPr>
                <w:rFonts w:ascii="Times New Roman" w:hAnsi="Times New Roman" w:cs="Times New Roman"/>
                <w:sz w:val="14"/>
                <w:szCs w:val="14"/>
                <w:highlight w:val="yellow"/>
              </w:rPr>
            </w:pPr>
            <w:r w:rsidRPr="00081506">
              <w:rPr>
                <w:rFonts w:ascii="Times New Roman" w:hAnsi="Times New Roman" w:cs="Times New Roman"/>
                <w:sz w:val="14"/>
                <w:szCs w:val="14"/>
              </w:rPr>
              <w:t>643 292</w:t>
            </w:r>
          </w:p>
        </w:tc>
        <w:tc>
          <w:tcPr>
            <w:tcW w:w="532" w:type="pct"/>
            <w:tcBorders>
              <w:top w:val="nil"/>
              <w:left w:val="nil"/>
              <w:bottom w:val="single" w:sz="4" w:space="0" w:color="auto"/>
              <w:right w:val="single" w:sz="4" w:space="0" w:color="auto"/>
            </w:tcBorders>
            <w:shd w:val="clear" w:color="auto" w:fill="auto"/>
            <w:noWrap/>
            <w:vAlign w:val="bottom"/>
          </w:tcPr>
          <w:p w:rsidR="007D13F3" w:rsidRPr="00081506" w:rsidRDefault="007D13F3" w:rsidP="00465CAC">
            <w:pPr>
              <w:jc w:val="right"/>
              <w:rPr>
                <w:rFonts w:ascii="Times New Roman" w:hAnsi="Times New Roman" w:cs="Times New Roman"/>
                <w:sz w:val="14"/>
                <w:szCs w:val="14"/>
                <w:highlight w:val="yellow"/>
              </w:rPr>
            </w:pPr>
            <w:r w:rsidRPr="00081506">
              <w:rPr>
                <w:rFonts w:ascii="Times New Roman" w:hAnsi="Times New Roman" w:cs="Times New Roman"/>
                <w:sz w:val="14"/>
                <w:szCs w:val="14"/>
              </w:rPr>
              <w:t>209 117</w:t>
            </w:r>
          </w:p>
        </w:tc>
        <w:tc>
          <w:tcPr>
            <w:tcW w:w="531"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24 000</w:t>
            </w:r>
          </w:p>
        </w:tc>
        <w:tc>
          <w:tcPr>
            <w:tcW w:w="531" w:type="pct"/>
            <w:tcBorders>
              <w:top w:val="nil"/>
              <w:left w:val="nil"/>
              <w:bottom w:val="single" w:sz="4" w:space="0" w:color="auto"/>
              <w:right w:val="single" w:sz="4" w:space="0" w:color="auto"/>
            </w:tcBorders>
            <w:shd w:val="clear" w:color="auto" w:fill="FFFFFF" w:themeFill="background1"/>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24 000</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30 000</w:t>
            </w:r>
          </w:p>
        </w:tc>
        <w:tc>
          <w:tcPr>
            <w:tcW w:w="504"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30 000</w:t>
            </w:r>
          </w:p>
        </w:tc>
        <w:tc>
          <w:tcPr>
            <w:tcW w:w="44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30 000</w:t>
            </w:r>
          </w:p>
        </w:tc>
      </w:tr>
      <w:tr w:rsidR="007D13F3" w:rsidRPr="008D5ED4" w:rsidTr="00465CAC">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7D13F3" w:rsidRPr="008D5ED4" w:rsidRDefault="007D13F3" w:rsidP="00465CAC">
            <w:pPr>
              <w:rPr>
                <w:rFonts w:ascii="Times New Roman" w:hAnsi="Times New Roman" w:cs="Times New Roman"/>
                <w:b/>
                <w:sz w:val="14"/>
                <w:szCs w:val="14"/>
              </w:rPr>
            </w:pPr>
            <w:r w:rsidRPr="008D5ED4">
              <w:rPr>
                <w:rFonts w:ascii="Times New Roman" w:hAnsi="Times New Roman" w:cs="Times New Roman"/>
                <w:b/>
                <w:sz w:val="14"/>
                <w:szCs w:val="14"/>
              </w:rPr>
              <w:t>zdroje EÚ vrátane spolufinancovania</w:t>
            </w:r>
          </w:p>
        </w:tc>
        <w:tc>
          <w:tcPr>
            <w:tcW w:w="532" w:type="pct"/>
            <w:tcBorders>
              <w:top w:val="nil"/>
              <w:left w:val="nil"/>
              <w:bottom w:val="single" w:sz="4" w:space="0" w:color="auto"/>
              <w:right w:val="single" w:sz="4" w:space="0" w:color="auto"/>
            </w:tcBorders>
            <w:shd w:val="clear" w:color="auto" w:fill="auto"/>
            <w:noWrap/>
            <w:vAlign w:val="bottom"/>
          </w:tcPr>
          <w:p w:rsidR="007D13F3" w:rsidRPr="008D5ED4" w:rsidRDefault="007D13F3" w:rsidP="00465CAC">
            <w:pPr>
              <w:jc w:val="right"/>
              <w:rPr>
                <w:rFonts w:ascii="Times New Roman" w:hAnsi="Times New Roman" w:cs="Times New Roman"/>
                <w:b/>
                <w:color w:val="000000"/>
                <w:sz w:val="14"/>
                <w:szCs w:val="14"/>
                <w:highlight w:val="yellow"/>
              </w:rPr>
            </w:pPr>
            <w:r w:rsidRPr="008D5ED4">
              <w:rPr>
                <w:rFonts w:ascii="Times New Roman" w:hAnsi="Times New Roman" w:cs="Times New Roman"/>
                <w:b/>
                <w:color w:val="000000"/>
                <w:sz w:val="14"/>
                <w:szCs w:val="14"/>
              </w:rPr>
              <w:t>134 891</w:t>
            </w:r>
          </w:p>
        </w:tc>
        <w:tc>
          <w:tcPr>
            <w:tcW w:w="532" w:type="pct"/>
            <w:tcBorders>
              <w:top w:val="nil"/>
              <w:left w:val="nil"/>
              <w:bottom w:val="single" w:sz="4" w:space="0" w:color="auto"/>
              <w:right w:val="single" w:sz="4" w:space="0" w:color="auto"/>
            </w:tcBorders>
            <w:shd w:val="clear" w:color="auto" w:fill="auto"/>
            <w:noWrap/>
            <w:vAlign w:val="bottom"/>
          </w:tcPr>
          <w:p w:rsidR="007D13F3" w:rsidRPr="008D5ED4" w:rsidRDefault="007D13F3" w:rsidP="00465CAC">
            <w:pPr>
              <w:jc w:val="right"/>
              <w:rPr>
                <w:rFonts w:ascii="Times New Roman" w:hAnsi="Times New Roman" w:cs="Times New Roman"/>
                <w:b/>
                <w:color w:val="000000"/>
                <w:sz w:val="14"/>
                <w:szCs w:val="14"/>
                <w:highlight w:val="yellow"/>
              </w:rPr>
            </w:pPr>
            <w:r w:rsidRPr="008D5ED4">
              <w:rPr>
                <w:rFonts w:ascii="Times New Roman" w:hAnsi="Times New Roman" w:cs="Times New Roman"/>
                <w:b/>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31" w:type="pct"/>
            <w:tcBorders>
              <w:top w:val="nil"/>
              <w:left w:val="nil"/>
              <w:bottom w:val="single" w:sz="4" w:space="0" w:color="auto"/>
              <w:right w:val="single" w:sz="4" w:space="0" w:color="auto"/>
            </w:tcBorders>
            <w:shd w:val="clear" w:color="auto" w:fill="FFFFFF" w:themeFill="background1"/>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r>
      <w:tr w:rsidR="007D13F3" w:rsidRPr="00081506" w:rsidTr="00465CAC">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1506" w:rsidRDefault="007D13F3" w:rsidP="00941A11">
            <w:pPr>
              <w:rPr>
                <w:rFonts w:ascii="Times New Roman" w:hAnsi="Times New Roman" w:cs="Times New Roman"/>
                <w:sz w:val="14"/>
                <w:szCs w:val="14"/>
              </w:rPr>
            </w:pPr>
            <w:r w:rsidRPr="00081506">
              <w:rPr>
                <w:rFonts w:ascii="Times New Roman" w:hAnsi="Times New Roman" w:cs="Times New Roman"/>
                <w:sz w:val="14"/>
                <w:szCs w:val="14"/>
              </w:rPr>
              <w:t xml:space="preserve">                   </w:t>
            </w:r>
            <w:r>
              <w:rPr>
                <w:rFonts w:ascii="Times New Roman" w:hAnsi="Times New Roman" w:cs="Times New Roman"/>
                <w:sz w:val="14"/>
                <w:szCs w:val="14"/>
              </w:rPr>
              <w:t>2</w:t>
            </w:r>
            <w:r w:rsidR="00941A11">
              <w:rPr>
                <w:rFonts w:ascii="Times New Roman" w:hAnsi="Times New Roman" w:cs="Times New Roman"/>
                <w:sz w:val="14"/>
                <w:szCs w:val="14"/>
              </w:rPr>
              <w:t>. programové</w:t>
            </w:r>
            <w:r w:rsidRPr="00081506">
              <w:rPr>
                <w:rFonts w:ascii="Times New Roman" w:hAnsi="Times New Roman" w:cs="Times New Roman"/>
                <w:sz w:val="14"/>
                <w:szCs w:val="14"/>
              </w:rPr>
              <w:t xml:space="preserve"> obdobie E</w:t>
            </w:r>
            <w:r w:rsidR="00941A11">
              <w:rPr>
                <w:rFonts w:ascii="Times New Roman" w:hAnsi="Times New Roman" w:cs="Times New Roman"/>
                <w:sz w:val="14"/>
                <w:szCs w:val="14"/>
              </w:rPr>
              <w:t>Ú</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110 125</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FFFFFF" w:themeFill="background1"/>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r>
      <w:tr w:rsidR="007D13F3" w:rsidRPr="00081506" w:rsidTr="00465CAC">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1506" w:rsidRDefault="007D13F3" w:rsidP="00465CAC">
            <w:pPr>
              <w:rPr>
                <w:rFonts w:ascii="Times New Roman" w:hAnsi="Times New Roman" w:cs="Times New Roman"/>
                <w:sz w:val="14"/>
                <w:szCs w:val="14"/>
              </w:rPr>
            </w:pPr>
            <w:r w:rsidRPr="00081506">
              <w:rPr>
                <w:rFonts w:ascii="Times New Roman" w:hAnsi="Times New Roman" w:cs="Times New Roman"/>
                <w:sz w:val="14"/>
                <w:szCs w:val="14"/>
              </w:rPr>
              <w:t xml:space="preserve">                   spolufinancovanie zo ŠR</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081506">
              <w:rPr>
                <w:rFonts w:ascii="Times New Roman" w:hAnsi="Times New Roman" w:cs="Times New Roman"/>
                <w:color w:val="000000"/>
                <w:sz w:val="14"/>
                <w:szCs w:val="14"/>
              </w:rPr>
              <w:t>24 766</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FFFFFF" w:themeFill="background1"/>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r>
      <w:tr w:rsidR="007D13F3" w:rsidRPr="008D5ED4" w:rsidTr="00465CAC">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tcPr>
          <w:p w:rsidR="007D13F3" w:rsidRPr="008D5ED4" w:rsidRDefault="007D13F3" w:rsidP="00465CAC">
            <w:pPr>
              <w:rPr>
                <w:rFonts w:ascii="Times New Roman" w:hAnsi="Times New Roman" w:cs="Times New Roman"/>
                <w:b/>
                <w:sz w:val="14"/>
                <w:szCs w:val="14"/>
              </w:rPr>
            </w:pPr>
            <w:r w:rsidRPr="008D5ED4">
              <w:rPr>
                <w:rFonts w:ascii="Times New Roman" w:hAnsi="Times New Roman" w:cs="Times New Roman"/>
                <w:b/>
                <w:sz w:val="14"/>
                <w:szCs w:val="14"/>
              </w:rPr>
              <w:t>zdroje EÚ vrátane spolufinancovania:</w:t>
            </w:r>
          </w:p>
        </w:tc>
        <w:tc>
          <w:tcPr>
            <w:tcW w:w="532"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31" w:type="pct"/>
            <w:tcBorders>
              <w:top w:val="nil"/>
              <w:left w:val="nil"/>
              <w:bottom w:val="single" w:sz="4" w:space="0" w:color="auto"/>
              <w:right w:val="single" w:sz="4" w:space="0" w:color="auto"/>
            </w:tcBorders>
            <w:shd w:val="clear" w:color="auto" w:fill="FFFFFF" w:themeFill="background1"/>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279 172</w:t>
            </w:r>
          </w:p>
        </w:tc>
        <w:tc>
          <w:tcPr>
            <w:tcW w:w="532"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r>
      <w:tr w:rsidR="007D13F3" w:rsidRPr="00081506" w:rsidTr="00465CAC">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tcPr>
          <w:p w:rsidR="007D13F3" w:rsidRPr="00081506" w:rsidRDefault="007D13F3" w:rsidP="00941A11">
            <w:pPr>
              <w:rPr>
                <w:rFonts w:ascii="Times New Roman" w:hAnsi="Times New Roman" w:cs="Times New Roman"/>
                <w:sz w:val="14"/>
                <w:szCs w:val="14"/>
              </w:rPr>
            </w:pPr>
            <w:r w:rsidRPr="00081506">
              <w:rPr>
                <w:rFonts w:ascii="Times New Roman" w:hAnsi="Times New Roman" w:cs="Times New Roman"/>
                <w:sz w:val="14"/>
                <w:szCs w:val="14"/>
              </w:rPr>
              <w:t xml:space="preserve">                   3. programov</w:t>
            </w:r>
            <w:r w:rsidR="00941A11">
              <w:rPr>
                <w:rFonts w:ascii="Times New Roman" w:hAnsi="Times New Roman" w:cs="Times New Roman"/>
                <w:sz w:val="14"/>
                <w:szCs w:val="14"/>
              </w:rPr>
              <w:t>é</w:t>
            </w:r>
            <w:r w:rsidRPr="00081506">
              <w:rPr>
                <w:rFonts w:ascii="Times New Roman" w:hAnsi="Times New Roman" w:cs="Times New Roman"/>
                <w:sz w:val="14"/>
                <w:szCs w:val="14"/>
              </w:rPr>
              <w:t xml:space="preserve"> obdobie E</w:t>
            </w:r>
            <w:r w:rsidR="00941A11">
              <w:rPr>
                <w:rFonts w:ascii="Times New Roman" w:hAnsi="Times New Roman" w:cs="Times New Roman"/>
                <w:sz w:val="14"/>
                <w:szCs w:val="14"/>
              </w:rPr>
              <w:t>Ú</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FFFFFF" w:themeFill="background1"/>
            <w:vAlign w:val="bottom"/>
          </w:tcPr>
          <w:p w:rsidR="007D13F3" w:rsidRPr="00081506" w:rsidRDefault="007D13F3" w:rsidP="00465CAC">
            <w:pPr>
              <w:jc w:val="right"/>
              <w:rPr>
                <w:rFonts w:ascii="Times New Roman" w:hAnsi="Times New Roman" w:cs="Times New Roman"/>
                <w:color w:val="000000"/>
                <w:sz w:val="14"/>
                <w:szCs w:val="14"/>
              </w:rPr>
            </w:pPr>
            <w:r w:rsidRPr="00A72117">
              <w:rPr>
                <w:rFonts w:ascii="Times New Roman" w:hAnsi="Times New Roman" w:cs="Times New Roman"/>
                <w:color w:val="000000"/>
                <w:sz w:val="14"/>
                <w:szCs w:val="14"/>
              </w:rPr>
              <w:t>229 088</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r>
      <w:tr w:rsidR="007D13F3" w:rsidRPr="00081506" w:rsidTr="00465CAC">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tcPr>
          <w:p w:rsidR="007D13F3" w:rsidRPr="00081506" w:rsidRDefault="007D13F3" w:rsidP="00465CAC">
            <w:pPr>
              <w:rPr>
                <w:rFonts w:ascii="Times New Roman" w:hAnsi="Times New Roman" w:cs="Times New Roman"/>
                <w:sz w:val="14"/>
                <w:szCs w:val="14"/>
              </w:rPr>
            </w:pPr>
            <w:r w:rsidRPr="00081506">
              <w:rPr>
                <w:rFonts w:ascii="Times New Roman" w:hAnsi="Times New Roman" w:cs="Times New Roman"/>
                <w:sz w:val="14"/>
                <w:szCs w:val="14"/>
              </w:rPr>
              <w:t xml:space="preserve">                   spolufinancovanie zo ŠR</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FFFFFF" w:themeFill="background1"/>
            <w:vAlign w:val="bottom"/>
          </w:tcPr>
          <w:p w:rsidR="007D13F3" w:rsidRPr="00081506" w:rsidRDefault="007D13F3" w:rsidP="00465CAC">
            <w:pPr>
              <w:jc w:val="right"/>
              <w:rPr>
                <w:rFonts w:ascii="Times New Roman" w:hAnsi="Times New Roman" w:cs="Times New Roman"/>
                <w:color w:val="000000"/>
                <w:sz w:val="14"/>
                <w:szCs w:val="14"/>
              </w:rPr>
            </w:pPr>
            <w:r w:rsidRPr="00A72117">
              <w:rPr>
                <w:rFonts w:ascii="Times New Roman" w:hAnsi="Times New Roman" w:cs="Times New Roman"/>
                <w:color w:val="000000"/>
                <w:sz w:val="14"/>
                <w:szCs w:val="14"/>
              </w:rPr>
              <w:t>50 083</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r>
      <w:tr w:rsidR="007D13F3" w:rsidRPr="008D5ED4" w:rsidTr="00465CAC">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7D13F3" w:rsidRPr="008D5ED4" w:rsidRDefault="007D13F3" w:rsidP="00465CAC">
            <w:pPr>
              <w:rPr>
                <w:rFonts w:ascii="Times New Roman" w:hAnsi="Times New Roman" w:cs="Times New Roman"/>
                <w:b/>
                <w:sz w:val="14"/>
                <w:szCs w:val="14"/>
              </w:rPr>
            </w:pPr>
            <w:r w:rsidRPr="008D5ED4">
              <w:rPr>
                <w:rFonts w:ascii="Times New Roman" w:hAnsi="Times New Roman" w:cs="Times New Roman"/>
                <w:b/>
                <w:sz w:val="14"/>
                <w:szCs w:val="14"/>
              </w:rPr>
              <w:t>presun z minulých rokov §</w:t>
            </w:r>
            <w:r w:rsidR="00941A11" w:rsidRPr="008D5ED4">
              <w:rPr>
                <w:rFonts w:ascii="Times New Roman" w:hAnsi="Times New Roman" w:cs="Times New Roman"/>
                <w:b/>
                <w:sz w:val="14"/>
                <w:szCs w:val="14"/>
              </w:rPr>
              <w:t xml:space="preserve"> </w:t>
            </w:r>
            <w:r w:rsidRPr="008D5ED4">
              <w:rPr>
                <w:rFonts w:ascii="Times New Roman" w:hAnsi="Times New Roman" w:cs="Times New Roman"/>
                <w:b/>
                <w:sz w:val="14"/>
                <w:szCs w:val="14"/>
              </w:rPr>
              <w:t>8</w:t>
            </w:r>
          </w:p>
        </w:tc>
        <w:tc>
          <w:tcPr>
            <w:tcW w:w="532"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1 574 909</w:t>
            </w:r>
          </w:p>
        </w:tc>
        <w:tc>
          <w:tcPr>
            <w:tcW w:w="531"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31" w:type="pct"/>
            <w:tcBorders>
              <w:top w:val="nil"/>
              <w:left w:val="nil"/>
              <w:bottom w:val="single" w:sz="4" w:space="0" w:color="auto"/>
              <w:right w:val="single" w:sz="4" w:space="0" w:color="auto"/>
            </w:tcBorders>
            <w:shd w:val="clear" w:color="auto" w:fill="FFFFFF" w:themeFill="background1"/>
            <w:vAlign w:val="bottom"/>
          </w:tcPr>
          <w:p w:rsidR="007D13F3" w:rsidRPr="008D5ED4" w:rsidRDefault="007D13F3" w:rsidP="00465CAC">
            <w:pPr>
              <w:jc w:val="right"/>
              <w:rPr>
                <w:rFonts w:ascii="Times New Roman" w:hAnsi="Times New Roman" w:cs="Times New Roman"/>
                <w:b/>
                <w:color w:val="000000"/>
                <w:sz w:val="14"/>
                <w:szCs w:val="14"/>
                <w:highlight w:val="yellow"/>
              </w:rPr>
            </w:pPr>
            <w:r w:rsidRPr="008D5ED4">
              <w:rPr>
                <w:rFonts w:ascii="Times New Roman" w:hAnsi="Times New Roman" w:cs="Times New Roman"/>
                <w:b/>
                <w:color w:val="000000"/>
                <w:sz w:val="14"/>
                <w:szCs w:val="14"/>
              </w:rPr>
              <w:t>921 488</w:t>
            </w:r>
          </w:p>
        </w:tc>
        <w:tc>
          <w:tcPr>
            <w:tcW w:w="532"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7D13F3" w:rsidRPr="008D5ED4" w:rsidRDefault="007D13F3" w:rsidP="00465CAC">
            <w:pPr>
              <w:jc w:val="right"/>
              <w:rPr>
                <w:rFonts w:ascii="Times New Roman" w:hAnsi="Times New Roman" w:cs="Times New Roman"/>
                <w:b/>
                <w:color w:val="000000"/>
                <w:sz w:val="14"/>
                <w:szCs w:val="14"/>
              </w:rPr>
            </w:pPr>
            <w:r w:rsidRPr="008D5ED4">
              <w:rPr>
                <w:rFonts w:ascii="Times New Roman" w:hAnsi="Times New Roman" w:cs="Times New Roman"/>
                <w:b/>
                <w:color w:val="000000"/>
                <w:sz w:val="14"/>
                <w:szCs w:val="14"/>
              </w:rPr>
              <w:t>0</w:t>
            </w:r>
          </w:p>
        </w:tc>
      </w:tr>
      <w:tr w:rsidR="007D13F3" w:rsidRPr="00081506" w:rsidTr="00465CAC">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tcPr>
          <w:p w:rsidR="007D13F3" w:rsidRPr="00081506" w:rsidRDefault="007D13F3" w:rsidP="00465CAC">
            <w:pPr>
              <w:rPr>
                <w:rFonts w:ascii="Times New Roman" w:hAnsi="Times New Roman" w:cs="Times New Roman"/>
                <w:sz w:val="14"/>
                <w:szCs w:val="14"/>
              </w:rPr>
            </w:pPr>
            <w:r w:rsidRPr="00081506">
              <w:rPr>
                <w:rFonts w:ascii="Times New Roman" w:hAnsi="Times New Roman" w:cs="Times New Roman"/>
                <w:sz w:val="14"/>
                <w:szCs w:val="14"/>
              </w:rPr>
              <w:t xml:space="preserve">    v tom: štátny rozpočet</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1 076 393</w:t>
            </w:r>
          </w:p>
        </w:tc>
        <w:tc>
          <w:tcPr>
            <w:tcW w:w="531"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FFFFFF" w:themeFill="background1"/>
            <w:vAlign w:val="bottom"/>
          </w:tcPr>
          <w:p w:rsidR="007D13F3" w:rsidRPr="00081506" w:rsidRDefault="007D13F3" w:rsidP="00465CAC">
            <w:pPr>
              <w:jc w:val="right"/>
              <w:rPr>
                <w:rFonts w:ascii="Times New Roman" w:hAnsi="Times New Roman" w:cs="Times New Roman"/>
                <w:color w:val="000000"/>
                <w:sz w:val="14"/>
                <w:szCs w:val="14"/>
                <w:highlight w:val="yellow"/>
              </w:rPr>
            </w:pPr>
            <w:r w:rsidRPr="00A72117">
              <w:rPr>
                <w:rFonts w:ascii="Times New Roman" w:hAnsi="Times New Roman" w:cs="Times New Roman"/>
                <w:color w:val="000000"/>
                <w:sz w:val="14"/>
                <w:szCs w:val="14"/>
              </w:rPr>
              <w:t>921 488</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r>
      <w:tr w:rsidR="007D13F3" w:rsidRPr="00081506" w:rsidTr="00465CAC">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1506" w:rsidRDefault="007D13F3" w:rsidP="00465CAC">
            <w:pPr>
              <w:rPr>
                <w:rFonts w:ascii="Times New Roman" w:hAnsi="Times New Roman" w:cs="Times New Roman"/>
                <w:sz w:val="14"/>
                <w:szCs w:val="14"/>
              </w:rPr>
            </w:pPr>
            <w:r w:rsidRPr="00081506">
              <w:rPr>
                <w:rFonts w:ascii="Times New Roman" w:hAnsi="Times New Roman" w:cs="Times New Roman"/>
                <w:sz w:val="14"/>
                <w:szCs w:val="14"/>
              </w:rPr>
              <w:t xml:space="preserve">                EU prostriedky</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406 863</w:t>
            </w:r>
          </w:p>
        </w:tc>
        <w:tc>
          <w:tcPr>
            <w:tcW w:w="531"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FFFFFF" w:themeFill="background1"/>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r>
      <w:tr w:rsidR="007D13F3" w:rsidRPr="00081506" w:rsidTr="00465CAC">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7D13F3" w:rsidRPr="00081506" w:rsidRDefault="007D13F3" w:rsidP="00465CAC">
            <w:pPr>
              <w:rPr>
                <w:rFonts w:ascii="Times New Roman" w:hAnsi="Times New Roman" w:cs="Times New Roman"/>
                <w:sz w:val="14"/>
                <w:szCs w:val="14"/>
              </w:rPr>
            </w:pPr>
            <w:r w:rsidRPr="00081506">
              <w:rPr>
                <w:rFonts w:ascii="Times New Roman" w:hAnsi="Times New Roman" w:cs="Times New Roman"/>
                <w:sz w:val="14"/>
                <w:szCs w:val="14"/>
              </w:rPr>
              <w:t xml:space="preserve">                spolufinancovanie zo ŠR</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91 653</w:t>
            </w:r>
          </w:p>
        </w:tc>
        <w:tc>
          <w:tcPr>
            <w:tcW w:w="531"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FFFFFF" w:themeFill="background1"/>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7D13F3" w:rsidRPr="00081506" w:rsidRDefault="007D13F3" w:rsidP="00465CAC">
            <w:pPr>
              <w:jc w:val="right"/>
              <w:rPr>
                <w:rFonts w:ascii="Times New Roman" w:hAnsi="Times New Roman" w:cs="Times New Roman"/>
                <w:color w:val="000000"/>
                <w:sz w:val="14"/>
                <w:szCs w:val="14"/>
              </w:rPr>
            </w:pPr>
            <w:r w:rsidRPr="00081506">
              <w:rPr>
                <w:rFonts w:ascii="Times New Roman" w:hAnsi="Times New Roman" w:cs="Times New Roman"/>
                <w:color w:val="000000"/>
                <w:sz w:val="14"/>
                <w:szCs w:val="14"/>
              </w:rPr>
              <w:t>0</w:t>
            </w:r>
          </w:p>
        </w:tc>
      </w:tr>
    </w:tbl>
    <w:p w:rsidR="007D13F3" w:rsidRDefault="007D13F3" w:rsidP="007D13F3">
      <w:pPr>
        <w:jc w:val="both"/>
        <w:rPr>
          <w:rFonts w:ascii="Times New Roman" w:hAnsi="Times New Roman" w:cs="Times New Roman"/>
          <w:b/>
          <w:bCs/>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9"/>
        <w:gridCol w:w="965"/>
        <w:gridCol w:w="965"/>
        <w:gridCol w:w="963"/>
        <w:gridCol w:w="962"/>
        <w:gridCol w:w="964"/>
        <w:gridCol w:w="913"/>
        <w:gridCol w:w="801"/>
      </w:tblGrid>
      <w:tr w:rsidR="007D13F3" w:rsidRPr="00081506" w:rsidTr="00465CAC">
        <w:trPr>
          <w:trHeight w:val="259"/>
        </w:trPr>
        <w:tc>
          <w:tcPr>
            <w:tcW w:w="1395" w:type="pct"/>
            <w:shd w:val="clear" w:color="auto" w:fill="auto"/>
            <w:noWrap/>
            <w:vAlign w:val="bottom"/>
            <w:hideMark/>
          </w:tcPr>
          <w:p w:rsidR="007D13F3" w:rsidRPr="00274FB4" w:rsidRDefault="007D13F3" w:rsidP="00465CAC">
            <w:pPr>
              <w:rPr>
                <w:rFonts w:ascii="Times New Roman" w:hAnsi="Times New Roman" w:cs="Times New Roman"/>
                <w:b/>
                <w:sz w:val="14"/>
                <w:szCs w:val="14"/>
              </w:rPr>
            </w:pPr>
            <w:r w:rsidRPr="00274FB4">
              <w:rPr>
                <w:rFonts w:ascii="Times New Roman" w:hAnsi="Times New Roman" w:cs="Times New Roman"/>
                <w:b/>
                <w:sz w:val="14"/>
                <w:szCs w:val="14"/>
              </w:rPr>
              <w:t>Samostatné účty</w:t>
            </w:r>
          </w:p>
        </w:tc>
        <w:tc>
          <w:tcPr>
            <w:tcW w:w="532" w:type="pct"/>
            <w:shd w:val="clear" w:color="auto" w:fill="auto"/>
            <w:vAlign w:val="bottom"/>
          </w:tcPr>
          <w:p w:rsidR="007D13F3" w:rsidRPr="00274FB4" w:rsidRDefault="007D13F3" w:rsidP="00465CAC">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36 124</w:t>
            </w:r>
          </w:p>
        </w:tc>
        <w:tc>
          <w:tcPr>
            <w:tcW w:w="532" w:type="pct"/>
            <w:shd w:val="clear" w:color="auto" w:fill="auto"/>
            <w:vAlign w:val="bottom"/>
          </w:tcPr>
          <w:p w:rsidR="007D13F3" w:rsidRPr="00274FB4" w:rsidRDefault="007D13F3" w:rsidP="00465CAC">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44 000</w:t>
            </w:r>
          </w:p>
        </w:tc>
        <w:tc>
          <w:tcPr>
            <w:tcW w:w="531" w:type="pct"/>
            <w:shd w:val="clear" w:color="auto" w:fill="auto"/>
            <w:vAlign w:val="bottom"/>
          </w:tcPr>
          <w:p w:rsidR="007D13F3" w:rsidRPr="00274FB4" w:rsidRDefault="007D13F3" w:rsidP="00465CAC">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0</w:t>
            </w:r>
          </w:p>
        </w:tc>
        <w:tc>
          <w:tcPr>
            <w:tcW w:w="531" w:type="pct"/>
            <w:shd w:val="clear" w:color="auto" w:fill="FFFFFF" w:themeFill="background1"/>
            <w:vAlign w:val="bottom"/>
          </w:tcPr>
          <w:p w:rsidR="007D13F3" w:rsidRPr="00274FB4" w:rsidRDefault="007D13F3" w:rsidP="00465CAC">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0</w:t>
            </w:r>
          </w:p>
        </w:tc>
        <w:tc>
          <w:tcPr>
            <w:tcW w:w="532" w:type="pct"/>
            <w:shd w:val="clear" w:color="auto" w:fill="auto"/>
            <w:vAlign w:val="bottom"/>
          </w:tcPr>
          <w:p w:rsidR="007D13F3" w:rsidRPr="00274FB4" w:rsidRDefault="007D13F3" w:rsidP="00465CAC">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0</w:t>
            </w:r>
          </w:p>
        </w:tc>
        <w:tc>
          <w:tcPr>
            <w:tcW w:w="504" w:type="pct"/>
            <w:shd w:val="clear" w:color="auto" w:fill="auto"/>
            <w:vAlign w:val="bottom"/>
          </w:tcPr>
          <w:p w:rsidR="007D13F3" w:rsidRPr="00274FB4" w:rsidRDefault="007D13F3" w:rsidP="00465CAC">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0</w:t>
            </w:r>
          </w:p>
        </w:tc>
        <w:tc>
          <w:tcPr>
            <w:tcW w:w="442" w:type="pct"/>
            <w:shd w:val="clear" w:color="auto" w:fill="auto"/>
            <w:vAlign w:val="bottom"/>
          </w:tcPr>
          <w:p w:rsidR="007D13F3" w:rsidRPr="00274FB4" w:rsidRDefault="007D13F3" w:rsidP="00465CAC">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0</w:t>
            </w:r>
          </w:p>
        </w:tc>
      </w:tr>
    </w:tbl>
    <w:p w:rsidR="007D13F3" w:rsidRDefault="007D13F3" w:rsidP="007D13F3">
      <w:pPr>
        <w:jc w:val="both"/>
        <w:rPr>
          <w:rFonts w:ascii="Times New Roman" w:hAnsi="Times New Roman" w:cs="Times New Roman"/>
          <w:b/>
          <w:bCs/>
          <w:color w:val="000000"/>
          <w:highlight w:val="yellow"/>
        </w:rPr>
      </w:pPr>
    </w:p>
    <w:p w:rsidR="007D13F3" w:rsidRPr="00C768DA" w:rsidRDefault="007D13F3" w:rsidP="007D13F3">
      <w:pPr>
        <w:ind w:firstLine="708"/>
        <w:jc w:val="both"/>
        <w:rPr>
          <w:rFonts w:ascii="Times New Roman" w:hAnsi="Times New Roman" w:cs="Times New Roman"/>
          <w:highlight w:val="yellow"/>
        </w:rPr>
      </w:pPr>
      <w:r w:rsidRPr="00A27852">
        <w:rPr>
          <w:rFonts w:ascii="Times New Roman" w:hAnsi="Times New Roman" w:cs="Times New Roman"/>
        </w:rPr>
        <w:t>Na rok 201</w:t>
      </w:r>
      <w:r>
        <w:rPr>
          <w:rFonts w:ascii="Times New Roman" w:hAnsi="Times New Roman" w:cs="Times New Roman"/>
        </w:rPr>
        <w:t>8</w:t>
      </w:r>
      <w:r w:rsidRPr="00A27852">
        <w:rPr>
          <w:rFonts w:ascii="Times New Roman" w:hAnsi="Times New Roman" w:cs="Times New Roman"/>
        </w:rPr>
        <w:t xml:space="preserve"> sa pre kapitolu navrhujú výdavky v sume </w:t>
      </w:r>
      <w:r>
        <w:rPr>
          <w:rFonts w:ascii="Times New Roman" w:hAnsi="Times New Roman" w:cs="Times New Roman"/>
        </w:rPr>
        <w:t>7</w:t>
      </w:r>
      <w:r w:rsidRPr="00A27852">
        <w:rPr>
          <w:rFonts w:ascii="Times New Roman" w:hAnsi="Times New Roman" w:cs="Times New Roman"/>
        </w:rPr>
        <w:t>,</w:t>
      </w:r>
      <w:r>
        <w:rPr>
          <w:rFonts w:ascii="Times New Roman" w:hAnsi="Times New Roman" w:cs="Times New Roman"/>
        </w:rPr>
        <w:t>55</w:t>
      </w:r>
      <w:r w:rsidRPr="00A27852">
        <w:rPr>
          <w:rFonts w:ascii="Times New Roman" w:hAnsi="Times New Roman" w:cs="Times New Roman"/>
        </w:rPr>
        <w:t xml:space="preserve"> mil. eur, čo predstavuje v porovnaní so schváleným rozpočtom roku 201</w:t>
      </w:r>
      <w:r>
        <w:rPr>
          <w:rFonts w:ascii="Times New Roman" w:hAnsi="Times New Roman" w:cs="Times New Roman"/>
        </w:rPr>
        <w:t>7</w:t>
      </w:r>
      <w:r w:rsidRPr="00A27852">
        <w:rPr>
          <w:rFonts w:ascii="Times New Roman" w:hAnsi="Times New Roman" w:cs="Times New Roman"/>
        </w:rPr>
        <w:t xml:space="preserve"> nárast o 20</w:t>
      </w:r>
      <w:r>
        <w:rPr>
          <w:rFonts w:ascii="Times New Roman" w:hAnsi="Times New Roman" w:cs="Times New Roman"/>
        </w:rPr>
        <w:t>7</w:t>
      </w:r>
      <w:r w:rsidRPr="00A27852">
        <w:rPr>
          <w:rFonts w:ascii="Times New Roman" w:hAnsi="Times New Roman" w:cs="Times New Roman"/>
        </w:rPr>
        <w:t xml:space="preserve"> tis. eur, t. j. o 2,</w:t>
      </w:r>
      <w:r>
        <w:rPr>
          <w:rFonts w:ascii="Times New Roman" w:hAnsi="Times New Roman" w:cs="Times New Roman"/>
        </w:rPr>
        <w:t>83</w:t>
      </w:r>
      <w:r w:rsidRPr="00A27852">
        <w:rPr>
          <w:rFonts w:ascii="Times New Roman" w:hAnsi="Times New Roman" w:cs="Times New Roman"/>
        </w:rPr>
        <w:t xml:space="preserve"> %</w:t>
      </w:r>
      <w:r>
        <w:rPr>
          <w:rFonts w:ascii="Times New Roman" w:hAnsi="Times New Roman" w:cs="Times New Roman"/>
        </w:rPr>
        <w:t>, z dôvodu valorizácie platov z roku 2017.</w:t>
      </w:r>
    </w:p>
    <w:p w:rsidR="007D13F3" w:rsidRPr="00C768DA" w:rsidRDefault="007D13F3" w:rsidP="007D13F3">
      <w:pPr>
        <w:ind w:firstLine="708"/>
        <w:jc w:val="both"/>
        <w:rPr>
          <w:rFonts w:ascii="Times New Roman" w:hAnsi="Times New Roman" w:cs="Times New Roman"/>
          <w:highlight w:val="yellow"/>
        </w:rPr>
      </w:pPr>
    </w:p>
    <w:p w:rsidR="007D13F3" w:rsidRPr="00A27852" w:rsidRDefault="007D13F3" w:rsidP="007D13F3">
      <w:pPr>
        <w:ind w:firstLine="708"/>
        <w:jc w:val="both"/>
        <w:rPr>
          <w:rFonts w:ascii="Times New Roman" w:hAnsi="Times New Roman" w:cs="Times New Roman"/>
        </w:rPr>
      </w:pPr>
      <w:r w:rsidRPr="00A27852">
        <w:rPr>
          <w:rFonts w:ascii="Times New Roman" w:hAnsi="Times New Roman" w:cs="Times New Roman"/>
        </w:rPr>
        <w:t>Objem osobných výdavkov sa na rok 201</w:t>
      </w:r>
      <w:r>
        <w:rPr>
          <w:rFonts w:ascii="Times New Roman" w:hAnsi="Times New Roman" w:cs="Times New Roman"/>
        </w:rPr>
        <w:t>8</w:t>
      </w:r>
      <w:r w:rsidRPr="00A27852">
        <w:rPr>
          <w:rFonts w:ascii="Times New Roman" w:hAnsi="Times New Roman" w:cs="Times New Roman"/>
        </w:rPr>
        <w:t xml:space="preserve"> rozpočtuje na úrovni 5,</w:t>
      </w:r>
      <w:r>
        <w:rPr>
          <w:rFonts w:ascii="Times New Roman" w:hAnsi="Times New Roman" w:cs="Times New Roman"/>
        </w:rPr>
        <w:t>47</w:t>
      </w:r>
      <w:r w:rsidRPr="00A27852">
        <w:rPr>
          <w:rFonts w:ascii="Times New Roman" w:hAnsi="Times New Roman" w:cs="Times New Roman"/>
        </w:rPr>
        <w:t xml:space="preserve"> mil. eur, čo oproti schválenému rozpočtu na rok 201</w:t>
      </w:r>
      <w:r>
        <w:rPr>
          <w:rFonts w:ascii="Times New Roman" w:hAnsi="Times New Roman" w:cs="Times New Roman"/>
        </w:rPr>
        <w:t>7</w:t>
      </w:r>
      <w:r w:rsidRPr="00A27852">
        <w:rPr>
          <w:rFonts w:ascii="Times New Roman" w:hAnsi="Times New Roman" w:cs="Times New Roman"/>
        </w:rPr>
        <w:t xml:space="preserve"> predstavuje nárast o 2</w:t>
      </w:r>
      <w:r>
        <w:rPr>
          <w:rFonts w:ascii="Times New Roman" w:hAnsi="Times New Roman" w:cs="Times New Roman"/>
        </w:rPr>
        <w:t>07</w:t>
      </w:r>
      <w:r w:rsidRPr="00A27852">
        <w:rPr>
          <w:rFonts w:ascii="Times New Roman" w:hAnsi="Times New Roman" w:cs="Times New Roman"/>
        </w:rPr>
        <w:t xml:space="preserve"> tis. eur, t. j. o </w:t>
      </w:r>
      <w:r>
        <w:rPr>
          <w:rFonts w:ascii="Times New Roman" w:hAnsi="Times New Roman" w:cs="Times New Roman"/>
        </w:rPr>
        <w:t>3</w:t>
      </w:r>
      <w:r w:rsidRPr="00A27852">
        <w:rPr>
          <w:rFonts w:ascii="Times New Roman" w:hAnsi="Times New Roman" w:cs="Times New Roman"/>
        </w:rPr>
        <w:t>,</w:t>
      </w:r>
      <w:r>
        <w:rPr>
          <w:rFonts w:ascii="Times New Roman" w:hAnsi="Times New Roman" w:cs="Times New Roman"/>
        </w:rPr>
        <w:t>92</w:t>
      </w:r>
      <w:r w:rsidRPr="00A27852">
        <w:rPr>
          <w:rFonts w:ascii="Times New Roman" w:hAnsi="Times New Roman" w:cs="Times New Roman"/>
        </w:rPr>
        <w:t xml:space="preserve"> %. Dôvodom nárastu je premietnuti</w:t>
      </w:r>
      <w:r>
        <w:rPr>
          <w:rFonts w:ascii="Times New Roman" w:hAnsi="Times New Roman" w:cs="Times New Roman"/>
        </w:rPr>
        <w:t>e</w:t>
      </w:r>
      <w:r w:rsidRPr="00A27852">
        <w:rPr>
          <w:rFonts w:ascii="Times New Roman" w:hAnsi="Times New Roman" w:cs="Times New Roman"/>
        </w:rPr>
        <w:t xml:space="preserve"> valorizácie platov z roku 201</w:t>
      </w:r>
      <w:r>
        <w:rPr>
          <w:rFonts w:ascii="Times New Roman" w:hAnsi="Times New Roman" w:cs="Times New Roman"/>
        </w:rPr>
        <w:t>7.</w:t>
      </w:r>
    </w:p>
    <w:p w:rsidR="007D13F3" w:rsidRPr="00A47FEB" w:rsidRDefault="007D13F3" w:rsidP="007D13F3">
      <w:pPr>
        <w:jc w:val="both"/>
        <w:rPr>
          <w:rFonts w:ascii="Times New Roman" w:hAnsi="Times New Roman" w:cs="Times New Roman"/>
          <w:highlight w:val="yellow"/>
        </w:rPr>
      </w:pPr>
      <w:r>
        <w:rPr>
          <w:rFonts w:ascii="Times New Roman" w:hAnsi="Times New Roman" w:cs="Times New Roman"/>
        </w:rPr>
        <w:lastRenderedPageBreak/>
        <w:tab/>
      </w:r>
      <w:r w:rsidRPr="00A331E6">
        <w:rPr>
          <w:rFonts w:ascii="Times New Roman" w:hAnsi="Times New Roman" w:cs="Times New Roman"/>
        </w:rPr>
        <w:t>Na tovary a služby sa v roku 201</w:t>
      </w:r>
      <w:r>
        <w:rPr>
          <w:rFonts w:ascii="Times New Roman" w:hAnsi="Times New Roman" w:cs="Times New Roman"/>
        </w:rPr>
        <w:t>8</w:t>
      </w:r>
      <w:r w:rsidRPr="00A331E6">
        <w:rPr>
          <w:rFonts w:ascii="Times New Roman" w:hAnsi="Times New Roman" w:cs="Times New Roman"/>
        </w:rPr>
        <w:t xml:space="preserve"> </w:t>
      </w:r>
      <w:r w:rsidR="00941A11">
        <w:rPr>
          <w:rFonts w:ascii="Times New Roman" w:hAnsi="Times New Roman" w:cs="Times New Roman"/>
        </w:rPr>
        <w:t>rozpočtuje</w:t>
      </w:r>
      <w:r w:rsidRPr="00A331E6">
        <w:rPr>
          <w:rFonts w:ascii="Times New Roman" w:hAnsi="Times New Roman" w:cs="Times New Roman"/>
        </w:rPr>
        <w:t xml:space="preserve"> suma 2,0</w:t>
      </w:r>
      <w:r>
        <w:rPr>
          <w:rFonts w:ascii="Times New Roman" w:hAnsi="Times New Roman" w:cs="Times New Roman"/>
        </w:rPr>
        <w:t>2</w:t>
      </w:r>
      <w:r w:rsidRPr="00A331E6">
        <w:rPr>
          <w:rFonts w:ascii="Times New Roman" w:hAnsi="Times New Roman" w:cs="Times New Roman"/>
        </w:rPr>
        <w:t xml:space="preserve"> mil. eur, čo je v porovnaní so schváleným rozpočtom roku 201</w:t>
      </w:r>
      <w:r>
        <w:rPr>
          <w:rFonts w:ascii="Times New Roman" w:hAnsi="Times New Roman" w:cs="Times New Roman"/>
        </w:rPr>
        <w:t>7</w:t>
      </w:r>
      <w:r w:rsidRPr="00A331E6">
        <w:rPr>
          <w:rFonts w:ascii="Times New Roman" w:hAnsi="Times New Roman" w:cs="Times New Roman"/>
        </w:rPr>
        <w:t xml:space="preserve"> pokles o </w:t>
      </w:r>
      <w:r>
        <w:rPr>
          <w:rFonts w:ascii="Times New Roman" w:hAnsi="Times New Roman" w:cs="Times New Roman"/>
        </w:rPr>
        <w:t>6</w:t>
      </w:r>
      <w:r w:rsidRPr="00A331E6">
        <w:rPr>
          <w:rFonts w:ascii="Times New Roman" w:hAnsi="Times New Roman" w:cs="Times New Roman"/>
        </w:rPr>
        <w:t>,</w:t>
      </w:r>
      <w:r>
        <w:rPr>
          <w:rFonts w:ascii="Times New Roman" w:hAnsi="Times New Roman" w:cs="Times New Roman"/>
        </w:rPr>
        <w:t>0</w:t>
      </w:r>
      <w:r w:rsidRPr="00A331E6">
        <w:rPr>
          <w:rFonts w:ascii="Times New Roman" w:hAnsi="Times New Roman" w:cs="Times New Roman"/>
        </w:rPr>
        <w:t xml:space="preserve"> tis. eur, t. j. o</w:t>
      </w:r>
      <w:r>
        <w:rPr>
          <w:rFonts w:ascii="Times New Roman" w:hAnsi="Times New Roman" w:cs="Times New Roman"/>
        </w:rPr>
        <w:t> 0,</w:t>
      </w:r>
      <w:r w:rsidRPr="00A331E6">
        <w:rPr>
          <w:rFonts w:ascii="Times New Roman" w:hAnsi="Times New Roman" w:cs="Times New Roman"/>
        </w:rPr>
        <w:t>26 %.</w:t>
      </w:r>
    </w:p>
    <w:p w:rsidR="007D13F3" w:rsidRPr="00C768DA" w:rsidRDefault="007D13F3" w:rsidP="007D13F3">
      <w:pPr>
        <w:ind w:firstLine="708"/>
        <w:jc w:val="both"/>
        <w:rPr>
          <w:rFonts w:ascii="Times New Roman" w:hAnsi="Times New Roman" w:cs="Times New Roman"/>
          <w:highlight w:val="yellow"/>
        </w:rPr>
      </w:pPr>
      <w:r w:rsidRPr="00A331E6">
        <w:rPr>
          <w:rFonts w:ascii="Times New Roman" w:hAnsi="Times New Roman" w:cs="Times New Roman"/>
        </w:rPr>
        <w:t xml:space="preserve"> </w:t>
      </w:r>
    </w:p>
    <w:p w:rsidR="007D13F3" w:rsidRPr="00A331E6" w:rsidRDefault="007D13F3" w:rsidP="007D13F3">
      <w:pPr>
        <w:ind w:firstLine="708"/>
        <w:jc w:val="both"/>
        <w:rPr>
          <w:rFonts w:ascii="Times New Roman" w:hAnsi="Times New Roman"/>
        </w:rPr>
      </w:pPr>
      <w:r w:rsidRPr="00A331E6">
        <w:rPr>
          <w:rFonts w:ascii="Times New Roman" w:hAnsi="Times New Roman"/>
        </w:rPr>
        <w:t xml:space="preserve">Výdavky na bežné transfery sa </w:t>
      </w:r>
      <w:r w:rsidR="00941A11">
        <w:rPr>
          <w:rFonts w:ascii="Times New Roman" w:hAnsi="Times New Roman"/>
        </w:rPr>
        <w:t>rozpočtujú</w:t>
      </w:r>
      <w:r w:rsidRPr="00A331E6">
        <w:rPr>
          <w:rFonts w:ascii="Times New Roman" w:hAnsi="Times New Roman"/>
        </w:rPr>
        <w:t xml:space="preserve"> v sume 15 tis. eur, čo je na úrovni roka 201</w:t>
      </w:r>
      <w:r>
        <w:rPr>
          <w:rFonts w:ascii="Times New Roman" w:hAnsi="Times New Roman"/>
        </w:rPr>
        <w:t>7</w:t>
      </w:r>
      <w:r w:rsidRPr="00A331E6">
        <w:rPr>
          <w:rFonts w:ascii="Times New Roman" w:hAnsi="Times New Roman"/>
        </w:rPr>
        <w:t>.</w:t>
      </w:r>
    </w:p>
    <w:p w:rsidR="007D13F3" w:rsidRPr="00A331E6"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A331E6">
        <w:rPr>
          <w:rFonts w:ascii="Times New Roman" w:hAnsi="Times New Roman" w:cs="Times New Roman"/>
        </w:rPr>
        <w:t>Kapitálové výdavky sú na rok 201</w:t>
      </w:r>
      <w:r>
        <w:rPr>
          <w:rFonts w:ascii="Times New Roman" w:hAnsi="Times New Roman" w:cs="Times New Roman"/>
        </w:rPr>
        <w:t>8</w:t>
      </w:r>
      <w:r w:rsidRPr="00A331E6">
        <w:rPr>
          <w:rFonts w:ascii="Times New Roman" w:hAnsi="Times New Roman" w:cs="Times New Roman"/>
        </w:rPr>
        <w:t xml:space="preserve"> rozpočtované v sume </w:t>
      </w:r>
      <w:r>
        <w:rPr>
          <w:rFonts w:ascii="Times New Roman" w:hAnsi="Times New Roman" w:cs="Times New Roman"/>
        </w:rPr>
        <w:t>30</w:t>
      </w:r>
      <w:r w:rsidRPr="00A331E6">
        <w:rPr>
          <w:rFonts w:ascii="Times New Roman" w:hAnsi="Times New Roman" w:cs="Times New Roman"/>
        </w:rPr>
        <w:t xml:space="preserve"> tis. eur, čo je v porovnaní so schváleným rozpočtom roku 201</w:t>
      </w:r>
      <w:r>
        <w:rPr>
          <w:rFonts w:ascii="Times New Roman" w:hAnsi="Times New Roman" w:cs="Times New Roman"/>
        </w:rPr>
        <w:t>7</w:t>
      </w:r>
      <w:r w:rsidRPr="00A331E6">
        <w:rPr>
          <w:rFonts w:ascii="Times New Roman" w:hAnsi="Times New Roman" w:cs="Times New Roman"/>
        </w:rPr>
        <w:t xml:space="preserve"> </w:t>
      </w:r>
      <w:r>
        <w:rPr>
          <w:rFonts w:ascii="Times New Roman" w:hAnsi="Times New Roman" w:cs="Times New Roman"/>
        </w:rPr>
        <w:t>nárast</w:t>
      </w:r>
      <w:r w:rsidRPr="00A331E6">
        <w:rPr>
          <w:rFonts w:ascii="Times New Roman" w:hAnsi="Times New Roman" w:cs="Times New Roman"/>
        </w:rPr>
        <w:t xml:space="preserve"> o </w:t>
      </w:r>
      <w:r>
        <w:rPr>
          <w:rFonts w:ascii="Times New Roman" w:hAnsi="Times New Roman" w:cs="Times New Roman"/>
        </w:rPr>
        <w:t>6</w:t>
      </w:r>
      <w:r w:rsidRPr="00A331E6">
        <w:rPr>
          <w:rFonts w:ascii="Times New Roman" w:hAnsi="Times New Roman" w:cs="Times New Roman"/>
        </w:rPr>
        <w:t xml:space="preserve"> tis. eur, t. j. o</w:t>
      </w:r>
      <w:r>
        <w:rPr>
          <w:rFonts w:ascii="Times New Roman" w:hAnsi="Times New Roman" w:cs="Times New Roman"/>
        </w:rPr>
        <w:t> </w:t>
      </w:r>
      <w:r w:rsidRPr="00A331E6">
        <w:rPr>
          <w:rFonts w:ascii="Times New Roman" w:hAnsi="Times New Roman" w:cs="Times New Roman"/>
        </w:rPr>
        <w:t>2</w:t>
      </w:r>
      <w:r>
        <w:rPr>
          <w:rFonts w:ascii="Times New Roman" w:hAnsi="Times New Roman" w:cs="Times New Roman"/>
        </w:rPr>
        <w:t>5,0 %, ktoré si úrad</w:t>
      </w:r>
      <w:r w:rsidRPr="009B6CB9">
        <w:rPr>
          <w:rFonts w:ascii="Times New Roman" w:hAnsi="Times New Roman" w:cs="Times New Roman"/>
        </w:rPr>
        <w:t xml:space="preserve"> presunu</w:t>
      </w:r>
      <w:r>
        <w:rPr>
          <w:rFonts w:ascii="Times New Roman" w:hAnsi="Times New Roman" w:cs="Times New Roman"/>
        </w:rPr>
        <w:t>l</w:t>
      </w:r>
      <w:r w:rsidRPr="009B6CB9">
        <w:rPr>
          <w:rFonts w:ascii="Times New Roman" w:hAnsi="Times New Roman" w:cs="Times New Roman"/>
        </w:rPr>
        <w:t xml:space="preserve"> </w:t>
      </w:r>
      <w:r w:rsidR="00941A11">
        <w:rPr>
          <w:rFonts w:ascii="Times New Roman" w:hAnsi="Times New Roman" w:cs="Times New Roman"/>
        </w:rPr>
        <w:br/>
      </w:r>
      <w:r>
        <w:rPr>
          <w:rFonts w:ascii="Times New Roman" w:hAnsi="Times New Roman" w:cs="Times New Roman"/>
        </w:rPr>
        <w:t xml:space="preserve">z </w:t>
      </w:r>
      <w:r w:rsidRPr="009B6CB9">
        <w:rPr>
          <w:rFonts w:ascii="Times New Roman" w:hAnsi="Times New Roman" w:cs="Times New Roman"/>
        </w:rPr>
        <w:t>kategórie tovary a</w:t>
      </w:r>
      <w:r>
        <w:rPr>
          <w:rFonts w:ascii="Times New Roman" w:hAnsi="Times New Roman" w:cs="Times New Roman"/>
        </w:rPr>
        <w:t> </w:t>
      </w:r>
      <w:r w:rsidRPr="009B6CB9">
        <w:rPr>
          <w:rFonts w:ascii="Times New Roman" w:hAnsi="Times New Roman" w:cs="Times New Roman"/>
        </w:rPr>
        <w:t>služby</w:t>
      </w:r>
      <w:r>
        <w:rPr>
          <w:rFonts w:ascii="Times New Roman" w:hAnsi="Times New Roman" w:cs="Times New Roman"/>
        </w:rPr>
        <w:t>, na nákup softvéru.</w:t>
      </w:r>
    </w:p>
    <w:p w:rsidR="007D13F3" w:rsidRDefault="007D13F3" w:rsidP="007D13F3">
      <w:pPr>
        <w:ind w:firstLine="708"/>
        <w:jc w:val="both"/>
        <w:rPr>
          <w:rFonts w:ascii="Times New Roman" w:hAnsi="Times New Roman" w:cs="Times New Roman"/>
          <w:highlight w:val="yellow"/>
        </w:rPr>
      </w:pPr>
    </w:p>
    <w:p w:rsidR="007D13F3" w:rsidRPr="0044568B" w:rsidRDefault="007D13F3" w:rsidP="007D13F3">
      <w:pPr>
        <w:pStyle w:val="Nadpis5"/>
        <w:pBdr>
          <w:bottom w:val="single" w:sz="4" w:space="1" w:color="auto"/>
        </w:pBdr>
        <w:spacing w:before="0" w:after="0"/>
        <w:ind w:left="0"/>
        <w:rPr>
          <w:i w:val="0"/>
          <w:sz w:val="24"/>
        </w:rPr>
      </w:pPr>
      <w:bookmarkStart w:id="179" w:name="_Toc494470116"/>
      <w:bookmarkStart w:id="180" w:name="_Toc494472292"/>
      <w:r w:rsidRPr="0044568B">
        <w:rPr>
          <w:i w:val="0"/>
          <w:sz w:val="24"/>
        </w:rPr>
        <w:t>Úrad pre reguláciu sieťových odvetví</w:t>
      </w:r>
      <w:bookmarkEnd w:id="179"/>
      <w:bookmarkEnd w:id="180"/>
    </w:p>
    <w:p w:rsidR="007D13F3" w:rsidRPr="005F1146" w:rsidRDefault="007D13F3" w:rsidP="007D13F3">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3"/>
        <w:gridCol w:w="939"/>
        <w:gridCol w:w="939"/>
        <w:gridCol w:w="939"/>
        <w:gridCol w:w="941"/>
        <w:gridCol w:w="941"/>
        <w:gridCol w:w="941"/>
        <w:gridCol w:w="939"/>
      </w:tblGrid>
      <w:tr w:rsidR="007D13F3" w:rsidRPr="00B34405" w:rsidTr="00465CAC">
        <w:trPr>
          <w:trHeight w:hRule="exact" w:val="255"/>
        </w:trPr>
        <w:tc>
          <w:tcPr>
            <w:tcW w:w="1370" w:type="pct"/>
            <w:shd w:val="clear" w:color="000000" w:fill="A6A6A6"/>
            <w:noWrap/>
            <w:vAlign w:val="bottom"/>
            <w:hideMark/>
          </w:tcPr>
          <w:p w:rsidR="007D13F3" w:rsidRPr="00B34405" w:rsidRDefault="007D13F3" w:rsidP="00465CAC">
            <w:pPr>
              <w:rPr>
                <w:rFonts w:ascii="Times New Roman" w:hAnsi="Times New Roman" w:cs="Times New Roman"/>
                <w:b/>
                <w:bCs/>
                <w:color w:val="000000"/>
                <w:sz w:val="14"/>
                <w:szCs w:val="14"/>
                <w:lang w:eastAsia="sk-SK"/>
              </w:rPr>
            </w:pPr>
            <w:r w:rsidRPr="00B34405">
              <w:rPr>
                <w:rFonts w:ascii="Times New Roman" w:hAnsi="Times New Roman" w:cs="Times New Roman"/>
                <w:b/>
                <w:bCs/>
                <w:color w:val="000000"/>
                <w:sz w:val="14"/>
                <w:szCs w:val="14"/>
                <w:lang w:eastAsia="sk-SK"/>
              </w:rPr>
              <w:t> v eurách</w:t>
            </w:r>
          </w:p>
        </w:tc>
        <w:tc>
          <w:tcPr>
            <w:tcW w:w="518" w:type="pct"/>
            <w:shd w:val="clear" w:color="000000" w:fill="A6A6A6"/>
            <w:noWrap/>
            <w:vAlign w:val="bottom"/>
            <w:hideMark/>
          </w:tcPr>
          <w:p w:rsidR="007D13F3" w:rsidRPr="00B34405" w:rsidRDefault="007D13F3" w:rsidP="00465CAC">
            <w:pPr>
              <w:jc w:val="center"/>
              <w:rPr>
                <w:rFonts w:ascii="Times New Roman" w:hAnsi="Times New Roman" w:cs="Times New Roman"/>
                <w:b/>
                <w:bCs/>
                <w:color w:val="000000"/>
                <w:sz w:val="14"/>
                <w:szCs w:val="14"/>
              </w:rPr>
            </w:pPr>
            <w:r w:rsidRPr="00B34405">
              <w:rPr>
                <w:rFonts w:ascii="Times New Roman" w:hAnsi="Times New Roman" w:cs="Times New Roman"/>
                <w:b/>
                <w:bCs/>
                <w:color w:val="000000"/>
                <w:sz w:val="14"/>
                <w:szCs w:val="14"/>
              </w:rPr>
              <w:t>2015 S</w:t>
            </w:r>
          </w:p>
        </w:tc>
        <w:tc>
          <w:tcPr>
            <w:tcW w:w="518" w:type="pct"/>
            <w:shd w:val="clear" w:color="000000" w:fill="A6A6A6"/>
            <w:noWrap/>
            <w:vAlign w:val="bottom"/>
            <w:hideMark/>
          </w:tcPr>
          <w:p w:rsidR="007D13F3" w:rsidRPr="00B34405" w:rsidRDefault="007D13F3" w:rsidP="00465CAC">
            <w:pPr>
              <w:jc w:val="center"/>
              <w:rPr>
                <w:rFonts w:ascii="Times New Roman" w:hAnsi="Times New Roman" w:cs="Times New Roman"/>
                <w:b/>
                <w:bCs/>
                <w:color w:val="000000"/>
                <w:sz w:val="14"/>
                <w:szCs w:val="14"/>
              </w:rPr>
            </w:pPr>
            <w:r w:rsidRPr="00B34405">
              <w:rPr>
                <w:rFonts w:ascii="Times New Roman" w:hAnsi="Times New Roman" w:cs="Times New Roman"/>
                <w:b/>
                <w:bCs/>
                <w:color w:val="000000"/>
                <w:sz w:val="14"/>
                <w:szCs w:val="14"/>
              </w:rPr>
              <w:t>2016 S</w:t>
            </w:r>
          </w:p>
        </w:tc>
        <w:tc>
          <w:tcPr>
            <w:tcW w:w="518" w:type="pct"/>
            <w:shd w:val="clear" w:color="000000" w:fill="A6A6A6"/>
            <w:noWrap/>
            <w:vAlign w:val="bottom"/>
            <w:hideMark/>
          </w:tcPr>
          <w:p w:rsidR="007D13F3" w:rsidRPr="00B34405" w:rsidRDefault="007D13F3" w:rsidP="00465CAC">
            <w:pPr>
              <w:jc w:val="center"/>
              <w:rPr>
                <w:rFonts w:ascii="Times New Roman" w:hAnsi="Times New Roman" w:cs="Times New Roman"/>
                <w:b/>
                <w:bCs/>
                <w:color w:val="000000"/>
                <w:sz w:val="14"/>
                <w:szCs w:val="14"/>
              </w:rPr>
            </w:pPr>
            <w:r w:rsidRPr="00B34405">
              <w:rPr>
                <w:rFonts w:ascii="Times New Roman" w:hAnsi="Times New Roman" w:cs="Times New Roman"/>
                <w:b/>
                <w:bCs/>
                <w:color w:val="000000"/>
                <w:sz w:val="14"/>
                <w:szCs w:val="14"/>
              </w:rPr>
              <w:t>2017 R</w:t>
            </w:r>
          </w:p>
        </w:tc>
        <w:tc>
          <w:tcPr>
            <w:tcW w:w="519" w:type="pct"/>
            <w:shd w:val="clear" w:color="000000" w:fill="A6A6A6"/>
            <w:noWrap/>
            <w:vAlign w:val="bottom"/>
            <w:hideMark/>
          </w:tcPr>
          <w:p w:rsidR="007D13F3" w:rsidRPr="00B34405" w:rsidRDefault="007D13F3" w:rsidP="00465CAC">
            <w:pPr>
              <w:jc w:val="center"/>
              <w:rPr>
                <w:rFonts w:ascii="Times New Roman" w:hAnsi="Times New Roman" w:cs="Times New Roman"/>
                <w:b/>
                <w:bCs/>
                <w:color w:val="000000"/>
                <w:sz w:val="14"/>
                <w:szCs w:val="14"/>
              </w:rPr>
            </w:pPr>
            <w:r w:rsidRPr="00B34405">
              <w:rPr>
                <w:rFonts w:ascii="Times New Roman" w:hAnsi="Times New Roman" w:cs="Times New Roman"/>
                <w:b/>
                <w:bCs/>
                <w:color w:val="000000"/>
                <w:sz w:val="14"/>
                <w:szCs w:val="14"/>
              </w:rPr>
              <w:t>2017</w:t>
            </w:r>
            <w:r>
              <w:rPr>
                <w:rFonts w:ascii="Times New Roman" w:hAnsi="Times New Roman" w:cs="Times New Roman"/>
                <w:b/>
                <w:bCs/>
                <w:color w:val="000000"/>
                <w:sz w:val="14"/>
                <w:szCs w:val="14"/>
              </w:rPr>
              <w:t xml:space="preserve"> OS</w:t>
            </w:r>
          </w:p>
        </w:tc>
        <w:tc>
          <w:tcPr>
            <w:tcW w:w="519" w:type="pct"/>
            <w:shd w:val="clear" w:color="000000" w:fill="A6A6A6"/>
            <w:noWrap/>
            <w:vAlign w:val="bottom"/>
            <w:hideMark/>
          </w:tcPr>
          <w:p w:rsidR="007D13F3" w:rsidRPr="00B34405" w:rsidRDefault="007D13F3" w:rsidP="00465CAC">
            <w:pPr>
              <w:jc w:val="center"/>
              <w:rPr>
                <w:rFonts w:ascii="Times New Roman" w:hAnsi="Times New Roman" w:cs="Times New Roman"/>
                <w:b/>
                <w:bCs/>
                <w:color w:val="000000"/>
                <w:sz w:val="14"/>
                <w:szCs w:val="14"/>
              </w:rPr>
            </w:pPr>
            <w:r w:rsidRPr="00B34405">
              <w:rPr>
                <w:rFonts w:ascii="Times New Roman" w:hAnsi="Times New Roman" w:cs="Times New Roman"/>
                <w:b/>
                <w:bCs/>
                <w:color w:val="000000"/>
                <w:sz w:val="14"/>
                <w:szCs w:val="14"/>
              </w:rPr>
              <w:t>2018 N</w:t>
            </w:r>
          </w:p>
        </w:tc>
        <w:tc>
          <w:tcPr>
            <w:tcW w:w="519" w:type="pct"/>
            <w:shd w:val="clear" w:color="000000" w:fill="A6A6A6"/>
            <w:noWrap/>
            <w:vAlign w:val="bottom"/>
            <w:hideMark/>
          </w:tcPr>
          <w:p w:rsidR="007D13F3" w:rsidRPr="00B34405" w:rsidRDefault="007D13F3" w:rsidP="00465CAC">
            <w:pPr>
              <w:jc w:val="center"/>
              <w:rPr>
                <w:rFonts w:ascii="Times New Roman" w:hAnsi="Times New Roman" w:cs="Times New Roman"/>
                <w:b/>
                <w:bCs/>
                <w:color w:val="000000"/>
                <w:sz w:val="14"/>
                <w:szCs w:val="14"/>
              </w:rPr>
            </w:pPr>
            <w:r w:rsidRPr="00B34405">
              <w:rPr>
                <w:rFonts w:ascii="Times New Roman" w:hAnsi="Times New Roman" w:cs="Times New Roman"/>
                <w:b/>
                <w:bCs/>
                <w:color w:val="000000"/>
                <w:sz w:val="14"/>
                <w:szCs w:val="14"/>
              </w:rPr>
              <w:t>2019 N</w:t>
            </w:r>
          </w:p>
        </w:tc>
        <w:tc>
          <w:tcPr>
            <w:tcW w:w="518" w:type="pct"/>
            <w:shd w:val="clear" w:color="000000" w:fill="A6A6A6"/>
            <w:noWrap/>
            <w:vAlign w:val="bottom"/>
            <w:hideMark/>
          </w:tcPr>
          <w:p w:rsidR="007D13F3" w:rsidRPr="00B34405" w:rsidRDefault="007D13F3" w:rsidP="00465CAC">
            <w:pPr>
              <w:jc w:val="center"/>
              <w:rPr>
                <w:rFonts w:ascii="Times New Roman" w:hAnsi="Times New Roman" w:cs="Times New Roman"/>
                <w:b/>
                <w:bCs/>
                <w:color w:val="000000"/>
                <w:sz w:val="14"/>
                <w:szCs w:val="14"/>
              </w:rPr>
            </w:pPr>
            <w:r w:rsidRPr="00B34405">
              <w:rPr>
                <w:rFonts w:ascii="Times New Roman" w:hAnsi="Times New Roman" w:cs="Times New Roman"/>
                <w:b/>
                <w:bCs/>
                <w:color w:val="000000"/>
                <w:sz w:val="14"/>
                <w:szCs w:val="14"/>
              </w:rPr>
              <w:t>2020 N</w:t>
            </w:r>
          </w:p>
        </w:tc>
      </w:tr>
      <w:tr w:rsidR="007D13F3" w:rsidRPr="00B34405" w:rsidTr="00465CAC">
        <w:trPr>
          <w:trHeight w:hRule="exact" w:val="255"/>
        </w:trPr>
        <w:tc>
          <w:tcPr>
            <w:tcW w:w="1370" w:type="pct"/>
            <w:shd w:val="clear" w:color="000000" w:fill="BFBFBF"/>
            <w:noWrap/>
            <w:vAlign w:val="bottom"/>
            <w:hideMark/>
          </w:tcPr>
          <w:p w:rsidR="007D13F3" w:rsidRPr="00B34405" w:rsidRDefault="007D13F3" w:rsidP="00465CAC">
            <w:pPr>
              <w:rPr>
                <w:rFonts w:ascii="Times New Roman" w:hAnsi="Times New Roman" w:cs="Times New Roman"/>
                <w:b/>
                <w:bCs/>
                <w:color w:val="000000"/>
                <w:sz w:val="14"/>
                <w:szCs w:val="14"/>
                <w:lang w:eastAsia="sk-SK"/>
              </w:rPr>
            </w:pPr>
            <w:r w:rsidRPr="00B34405">
              <w:rPr>
                <w:rFonts w:ascii="Times New Roman" w:hAnsi="Times New Roman" w:cs="Times New Roman"/>
                <w:b/>
                <w:bCs/>
                <w:color w:val="000000"/>
                <w:sz w:val="14"/>
                <w:szCs w:val="14"/>
                <w:lang w:eastAsia="sk-SK"/>
              </w:rPr>
              <w:t>Zdroje príslušnej kapitoly</w:t>
            </w:r>
          </w:p>
        </w:tc>
        <w:tc>
          <w:tcPr>
            <w:tcW w:w="518" w:type="pct"/>
            <w:shd w:val="clear" w:color="000000" w:fill="BFBFBF"/>
            <w:vAlign w:val="bottom"/>
            <w:hideMark/>
          </w:tcPr>
          <w:p w:rsidR="007D13F3" w:rsidRPr="00B34405" w:rsidRDefault="007D13F3" w:rsidP="00465CAC">
            <w:pPr>
              <w:jc w:val="right"/>
              <w:rPr>
                <w:rFonts w:ascii="Times New Roman" w:hAnsi="Times New Roman" w:cs="Times New Roman"/>
                <w:b/>
                <w:bCs/>
                <w:color w:val="000000"/>
                <w:sz w:val="14"/>
                <w:szCs w:val="14"/>
                <w:lang w:eastAsia="sk-SK"/>
              </w:rPr>
            </w:pPr>
            <w:r w:rsidRPr="00B34405">
              <w:rPr>
                <w:rFonts w:ascii="Times New Roman" w:hAnsi="Times New Roman" w:cs="Times New Roman"/>
                <w:b/>
                <w:bCs/>
                <w:color w:val="000000"/>
                <w:sz w:val="14"/>
                <w:szCs w:val="14"/>
              </w:rPr>
              <w:t>3 418 215</w:t>
            </w:r>
          </w:p>
        </w:tc>
        <w:tc>
          <w:tcPr>
            <w:tcW w:w="518" w:type="pct"/>
            <w:shd w:val="clear" w:color="000000" w:fill="BFBFBF"/>
            <w:vAlign w:val="bottom"/>
          </w:tcPr>
          <w:p w:rsidR="007D13F3" w:rsidRPr="00B34405" w:rsidRDefault="007D13F3" w:rsidP="00465CAC">
            <w:pPr>
              <w:jc w:val="right"/>
              <w:rPr>
                <w:rFonts w:ascii="Times New Roman" w:hAnsi="Times New Roman" w:cs="Times New Roman"/>
                <w:b/>
                <w:bCs/>
                <w:color w:val="000000"/>
                <w:sz w:val="14"/>
                <w:szCs w:val="14"/>
                <w:lang w:eastAsia="sk-SK"/>
              </w:rPr>
            </w:pPr>
            <w:r w:rsidRPr="00B34405">
              <w:rPr>
                <w:rFonts w:ascii="Times New Roman" w:hAnsi="Times New Roman" w:cs="Times New Roman"/>
                <w:b/>
                <w:bCs/>
                <w:color w:val="000000"/>
                <w:sz w:val="14"/>
                <w:szCs w:val="14"/>
              </w:rPr>
              <w:t>5 092 591</w:t>
            </w:r>
          </w:p>
        </w:tc>
        <w:tc>
          <w:tcPr>
            <w:tcW w:w="518" w:type="pct"/>
            <w:shd w:val="clear" w:color="000000" w:fill="BFBFBF"/>
            <w:vAlign w:val="bottom"/>
          </w:tcPr>
          <w:p w:rsidR="007D13F3" w:rsidRPr="00B34405" w:rsidRDefault="007D13F3" w:rsidP="00465CAC">
            <w:pPr>
              <w:jc w:val="right"/>
              <w:rPr>
                <w:rFonts w:ascii="Times New Roman" w:hAnsi="Times New Roman" w:cs="Times New Roman"/>
                <w:b/>
                <w:bCs/>
                <w:color w:val="000000"/>
                <w:sz w:val="14"/>
                <w:szCs w:val="14"/>
              </w:rPr>
            </w:pPr>
            <w:r w:rsidRPr="00B34405">
              <w:rPr>
                <w:rFonts w:ascii="Times New Roman" w:hAnsi="Times New Roman" w:cs="Times New Roman"/>
                <w:b/>
                <w:bCs/>
                <w:color w:val="000000"/>
                <w:sz w:val="14"/>
                <w:szCs w:val="14"/>
              </w:rPr>
              <w:t>3 462 976</w:t>
            </w:r>
          </w:p>
        </w:tc>
        <w:tc>
          <w:tcPr>
            <w:tcW w:w="519" w:type="pct"/>
            <w:shd w:val="clear" w:color="000000" w:fill="BFBFBF"/>
            <w:vAlign w:val="bottom"/>
          </w:tcPr>
          <w:p w:rsidR="007D13F3" w:rsidRPr="00B34405" w:rsidRDefault="007D13F3" w:rsidP="00465CAC">
            <w:pPr>
              <w:jc w:val="right"/>
              <w:rPr>
                <w:rFonts w:ascii="Times New Roman" w:hAnsi="Times New Roman" w:cs="Times New Roman"/>
                <w:b/>
                <w:bCs/>
                <w:color w:val="000000"/>
                <w:sz w:val="14"/>
                <w:szCs w:val="14"/>
              </w:rPr>
            </w:pPr>
            <w:r w:rsidRPr="00B34405">
              <w:rPr>
                <w:rFonts w:ascii="Times New Roman" w:hAnsi="Times New Roman" w:cs="Times New Roman"/>
                <w:b/>
                <w:bCs/>
                <w:color w:val="000000"/>
                <w:sz w:val="14"/>
                <w:szCs w:val="14"/>
              </w:rPr>
              <w:t>3 462 976</w:t>
            </w:r>
          </w:p>
        </w:tc>
        <w:tc>
          <w:tcPr>
            <w:tcW w:w="519" w:type="pct"/>
            <w:shd w:val="clear" w:color="000000" w:fill="BFBFBF"/>
            <w:vAlign w:val="bottom"/>
          </w:tcPr>
          <w:p w:rsidR="007D13F3" w:rsidRPr="00B34405" w:rsidRDefault="007D13F3" w:rsidP="00465CAC">
            <w:pPr>
              <w:jc w:val="right"/>
              <w:rPr>
                <w:rFonts w:ascii="Times New Roman" w:hAnsi="Times New Roman" w:cs="Times New Roman"/>
                <w:b/>
                <w:bCs/>
                <w:color w:val="000000"/>
                <w:sz w:val="14"/>
                <w:szCs w:val="14"/>
                <w:lang w:eastAsia="sk-SK"/>
              </w:rPr>
            </w:pPr>
            <w:r w:rsidRPr="00B34405">
              <w:rPr>
                <w:rFonts w:ascii="Times New Roman" w:hAnsi="Times New Roman" w:cs="Times New Roman"/>
                <w:b/>
                <w:bCs/>
                <w:color w:val="000000"/>
                <w:sz w:val="14"/>
                <w:szCs w:val="14"/>
              </w:rPr>
              <w:t>4 567 166</w:t>
            </w:r>
          </w:p>
        </w:tc>
        <w:tc>
          <w:tcPr>
            <w:tcW w:w="519" w:type="pct"/>
            <w:shd w:val="clear" w:color="000000" w:fill="BFBFBF"/>
            <w:vAlign w:val="bottom"/>
          </w:tcPr>
          <w:p w:rsidR="007D13F3" w:rsidRPr="00B34405" w:rsidRDefault="007D13F3" w:rsidP="00465CAC">
            <w:pPr>
              <w:jc w:val="right"/>
              <w:rPr>
                <w:rFonts w:ascii="Times New Roman" w:hAnsi="Times New Roman" w:cs="Times New Roman"/>
                <w:b/>
                <w:bCs/>
                <w:color w:val="000000"/>
                <w:sz w:val="14"/>
                <w:szCs w:val="14"/>
              </w:rPr>
            </w:pPr>
            <w:r w:rsidRPr="00B34405">
              <w:rPr>
                <w:rFonts w:ascii="Times New Roman" w:hAnsi="Times New Roman" w:cs="Times New Roman"/>
                <w:b/>
                <w:bCs/>
                <w:color w:val="000000"/>
                <w:sz w:val="14"/>
                <w:szCs w:val="14"/>
              </w:rPr>
              <w:t>4 266 866</w:t>
            </w:r>
          </w:p>
        </w:tc>
        <w:tc>
          <w:tcPr>
            <w:tcW w:w="518" w:type="pct"/>
            <w:shd w:val="clear" w:color="000000" w:fill="BFBFBF"/>
            <w:vAlign w:val="bottom"/>
          </w:tcPr>
          <w:p w:rsidR="007D13F3" w:rsidRPr="00B34405" w:rsidRDefault="007D13F3" w:rsidP="00465CAC">
            <w:pPr>
              <w:jc w:val="right"/>
              <w:rPr>
                <w:rFonts w:ascii="Times New Roman" w:hAnsi="Times New Roman" w:cs="Times New Roman"/>
                <w:b/>
                <w:bCs/>
                <w:color w:val="000000"/>
                <w:sz w:val="14"/>
                <w:szCs w:val="14"/>
              </w:rPr>
            </w:pPr>
            <w:r w:rsidRPr="00B34405">
              <w:rPr>
                <w:rFonts w:ascii="Times New Roman" w:hAnsi="Times New Roman" w:cs="Times New Roman"/>
                <w:b/>
                <w:bCs/>
                <w:color w:val="000000"/>
                <w:sz w:val="14"/>
                <w:szCs w:val="14"/>
              </w:rPr>
              <w:t>4 266 866</w:t>
            </w:r>
          </w:p>
        </w:tc>
      </w:tr>
      <w:tr w:rsidR="007D13F3" w:rsidRPr="00B34405" w:rsidTr="00465CAC">
        <w:trPr>
          <w:trHeight w:hRule="exact" w:val="255"/>
        </w:trPr>
        <w:tc>
          <w:tcPr>
            <w:tcW w:w="1370" w:type="pct"/>
            <w:noWrap/>
            <w:vAlign w:val="bottom"/>
            <w:hideMark/>
          </w:tcPr>
          <w:p w:rsidR="007D13F3" w:rsidRPr="00B34405" w:rsidRDefault="007D13F3" w:rsidP="00465CAC">
            <w:pPr>
              <w:rPr>
                <w:rFonts w:ascii="Times New Roman" w:hAnsi="Times New Roman" w:cs="Times New Roman"/>
                <w:color w:val="000000"/>
                <w:sz w:val="14"/>
                <w:szCs w:val="14"/>
                <w:lang w:eastAsia="sk-SK"/>
              </w:rPr>
            </w:pPr>
            <w:r w:rsidRPr="00B34405">
              <w:rPr>
                <w:rFonts w:ascii="Times New Roman" w:hAnsi="Times New Roman" w:cs="Times New Roman"/>
                <w:color w:val="000000"/>
                <w:sz w:val="14"/>
                <w:szCs w:val="14"/>
                <w:lang w:eastAsia="sk-SK"/>
              </w:rPr>
              <w:t xml:space="preserve">rozpočtové zdroje kapitoly  </w:t>
            </w:r>
          </w:p>
        </w:tc>
        <w:tc>
          <w:tcPr>
            <w:tcW w:w="518" w:type="pct"/>
            <w:shd w:val="clear" w:color="auto" w:fill="auto"/>
            <w:noWrap/>
            <w:vAlign w:val="bottom"/>
            <w:hideMark/>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3 418 215</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5 044 386</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3 462 976</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3 462 976</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4 567 166</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4 266 866</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4 266 866</w:t>
            </w:r>
          </w:p>
        </w:tc>
      </w:tr>
      <w:tr w:rsidR="007D13F3" w:rsidRPr="00B34405" w:rsidTr="00465CAC">
        <w:trPr>
          <w:trHeight w:hRule="exact" w:val="255"/>
        </w:trPr>
        <w:tc>
          <w:tcPr>
            <w:tcW w:w="1370" w:type="pct"/>
            <w:noWrap/>
            <w:vAlign w:val="bottom"/>
            <w:hideMark/>
          </w:tcPr>
          <w:p w:rsidR="007D13F3" w:rsidRPr="00B34405" w:rsidRDefault="007D13F3" w:rsidP="00465CAC">
            <w:pPr>
              <w:rPr>
                <w:rFonts w:ascii="Times New Roman" w:hAnsi="Times New Roman" w:cs="Times New Roman"/>
                <w:color w:val="000000"/>
                <w:sz w:val="14"/>
                <w:szCs w:val="14"/>
                <w:lang w:eastAsia="sk-SK"/>
              </w:rPr>
            </w:pPr>
            <w:r w:rsidRPr="00B34405">
              <w:rPr>
                <w:rFonts w:ascii="Times New Roman" w:hAnsi="Times New Roman" w:cs="Times New Roman"/>
                <w:color w:val="000000"/>
                <w:sz w:val="14"/>
                <w:szCs w:val="14"/>
                <w:lang w:eastAsia="sk-SK"/>
              </w:rPr>
              <w:t xml:space="preserve">    v tom: bežné výdavky  600</w:t>
            </w:r>
          </w:p>
        </w:tc>
        <w:tc>
          <w:tcPr>
            <w:tcW w:w="518" w:type="pct"/>
            <w:shd w:val="clear" w:color="auto" w:fill="auto"/>
            <w:noWrap/>
            <w:vAlign w:val="bottom"/>
            <w:hideMark/>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3 343 000</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5 020 387</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3 430 976</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3 430 976</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4 397 966</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4 238 366</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4 202 866</w:t>
            </w:r>
          </w:p>
        </w:tc>
      </w:tr>
      <w:tr w:rsidR="007D13F3" w:rsidRPr="00B34405" w:rsidTr="00465CAC">
        <w:trPr>
          <w:trHeight w:hRule="exact" w:val="255"/>
        </w:trPr>
        <w:tc>
          <w:tcPr>
            <w:tcW w:w="1370" w:type="pct"/>
            <w:noWrap/>
            <w:vAlign w:val="bottom"/>
            <w:hideMark/>
          </w:tcPr>
          <w:p w:rsidR="007D13F3" w:rsidRPr="00B34405" w:rsidRDefault="007D13F3" w:rsidP="00465CAC">
            <w:pPr>
              <w:rPr>
                <w:rFonts w:ascii="Times New Roman" w:hAnsi="Times New Roman" w:cs="Times New Roman"/>
                <w:color w:val="000000"/>
                <w:sz w:val="14"/>
                <w:szCs w:val="14"/>
                <w:lang w:eastAsia="sk-SK"/>
              </w:rPr>
            </w:pPr>
            <w:r w:rsidRPr="00B34405">
              <w:rPr>
                <w:rFonts w:ascii="Times New Roman" w:hAnsi="Times New Roman" w:cs="Times New Roman"/>
                <w:color w:val="000000"/>
                <w:sz w:val="14"/>
                <w:szCs w:val="14"/>
                <w:lang w:eastAsia="sk-SK"/>
              </w:rPr>
              <w:t xml:space="preserve">                            610 mzdy</w:t>
            </w:r>
          </w:p>
        </w:tc>
        <w:tc>
          <w:tcPr>
            <w:tcW w:w="518" w:type="pct"/>
            <w:shd w:val="clear" w:color="auto" w:fill="auto"/>
            <w:noWrap/>
            <w:vAlign w:val="bottom"/>
            <w:hideMark/>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1 813 885</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1 905 164</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1 930 139</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1 930 139</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2 442 345</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2 442 345</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2 442 345</w:t>
            </w:r>
          </w:p>
        </w:tc>
      </w:tr>
      <w:tr w:rsidR="007D13F3" w:rsidRPr="00B34405" w:rsidTr="00465CAC">
        <w:trPr>
          <w:trHeight w:hRule="exact" w:val="255"/>
        </w:trPr>
        <w:tc>
          <w:tcPr>
            <w:tcW w:w="1370" w:type="pct"/>
            <w:noWrap/>
            <w:vAlign w:val="bottom"/>
            <w:hideMark/>
          </w:tcPr>
          <w:p w:rsidR="007D13F3" w:rsidRPr="00B34405" w:rsidRDefault="007D13F3" w:rsidP="00465CAC">
            <w:pPr>
              <w:rPr>
                <w:rFonts w:ascii="Times New Roman" w:hAnsi="Times New Roman" w:cs="Times New Roman"/>
                <w:color w:val="000000"/>
                <w:sz w:val="14"/>
                <w:szCs w:val="14"/>
                <w:lang w:eastAsia="sk-SK"/>
              </w:rPr>
            </w:pPr>
            <w:r w:rsidRPr="00B34405">
              <w:rPr>
                <w:rFonts w:ascii="Times New Roman" w:hAnsi="Times New Roman" w:cs="Times New Roman"/>
                <w:color w:val="000000"/>
                <w:sz w:val="14"/>
                <w:szCs w:val="14"/>
                <w:lang w:eastAsia="sk-SK"/>
              </w:rPr>
              <w:t xml:space="preserve">                            620 odvody</w:t>
            </w:r>
          </w:p>
        </w:tc>
        <w:tc>
          <w:tcPr>
            <w:tcW w:w="518" w:type="pct"/>
            <w:shd w:val="clear" w:color="auto" w:fill="auto"/>
            <w:noWrap/>
            <w:vAlign w:val="bottom"/>
            <w:hideMark/>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749 861</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860 114</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739 526</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739 526</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1 036 182</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1 036 182</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1 006 414</w:t>
            </w:r>
          </w:p>
        </w:tc>
      </w:tr>
      <w:tr w:rsidR="007D13F3" w:rsidRPr="00B34405" w:rsidTr="00465CAC">
        <w:trPr>
          <w:trHeight w:hRule="exact" w:val="255"/>
        </w:trPr>
        <w:tc>
          <w:tcPr>
            <w:tcW w:w="1370" w:type="pct"/>
            <w:noWrap/>
            <w:vAlign w:val="bottom"/>
            <w:hideMark/>
          </w:tcPr>
          <w:p w:rsidR="007D13F3" w:rsidRPr="00B34405" w:rsidRDefault="007D13F3" w:rsidP="00465CAC">
            <w:pPr>
              <w:rPr>
                <w:rFonts w:ascii="Times New Roman" w:hAnsi="Times New Roman" w:cs="Times New Roman"/>
                <w:color w:val="000000"/>
                <w:sz w:val="14"/>
                <w:szCs w:val="14"/>
                <w:lang w:eastAsia="sk-SK"/>
              </w:rPr>
            </w:pPr>
            <w:r w:rsidRPr="00B34405">
              <w:rPr>
                <w:rFonts w:ascii="Times New Roman" w:hAnsi="Times New Roman" w:cs="Times New Roman"/>
                <w:color w:val="000000"/>
                <w:sz w:val="14"/>
                <w:szCs w:val="14"/>
                <w:lang w:eastAsia="sk-SK"/>
              </w:rPr>
              <w:t xml:space="preserve">                            630 tovary a služby</w:t>
            </w:r>
          </w:p>
        </w:tc>
        <w:tc>
          <w:tcPr>
            <w:tcW w:w="518" w:type="pct"/>
            <w:shd w:val="clear" w:color="auto" w:fill="auto"/>
            <w:noWrap/>
            <w:vAlign w:val="bottom"/>
            <w:hideMark/>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763 993</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2 229 700</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744 811</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744 811</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881 939</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736 339</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736 607</w:t>
            </w:r>
          </w:p>
        </w:tc>
      </w:tr>
      <w:tr w:rsidR="007D13F3" w:rsidRPr="00B34405" w:rsidTr="00465CAC">
        <w:trPr>
          <w:trHeight w:hRule="exact" w:val="255"/>
        </w:trPr>
        <w:tc>
          <w:tcPr>
            <w:tcW w:w="1370" w:type="pct"/>
            <w:noWrap/>
            <w:vAlign w:val="bottom"/>
            <w:hideMark/>
          </w:tcPr>
          <w:p w:rsidR="007D13F3" w:rsidRPr="00B34405" w:rsidRDefault="007D13F3" w:rsidP="00465CAC">
            <w:pPr>
              <w:rPr>
                <w:rFonts w:ascii="Times New Roman" w:hAnsi="Times New Roman" w:cs="Times New Roman"/>
                <w:color w:val="000000"/>
                <w:sz w:val="14"/>
                <w:szCs w:val="14"/>
                <w:lang w:eastAsia="sk-SK"/>
              </w:rPr>
            </w:pPr>
            <w:r w:rsidRPr="00B34405">
              <w:rPr>
                <w:rFonts w:ascii="Times New Roman" w:hAnsi="Times New Roman" w:cs="Times New Roman"/>
                <w:color w:val="000000"/>
                <w:sz w:val="14"/>
                <w:szCs w:val="14"/>
                <w:lang w:eastAsia="sk-SK"/>
              </w:rPr>
              <w:t xml:space="preserve">                            640 bežné transfery</w:t>
            </w:r>
          </w:p>
        </w:tc>
        <w:tc>
          <w:tcPr>
            <w:tcW w:w="518" w:type="pct"/>
            <w:shd w:val="clear" w:color="auto" w:fill="auto"/>
            <w:noWrap/>
            <w:vAlign w:val="bottom"/>
            <w:hideMark/>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15 261</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25 409</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16 500</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16 500</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37 500</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23 500</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17 500</w:t>
            </w:r>
          </w:p>
        </w:tc>
      </w:tr>
      <w:tr w:rsidR="007D13F3" w:rsidRPr="00B34405" w:rsidTr="00465CAC">
        <w:trPr>
          <w:trHeight w:hRule="exact" w:val="255"/>
        </w:trPr>
        <w:tc>
          <w:tcPr>
            <w:tcW w:w="1370" w:type="pct"/>
            <w:noWrap/>
            <w:vAlign w:val="bottom"/>
            <w:hideMark/>
          </w:tcPr>
          <w:p w:rsidR="007D13F3" w:rsidRPr="00B34405" w:rsidRDefault="007D13F3" w:rsidP="00465CAC">
            <w:pPr>
              <w:rPr>
                <w:rFonts w:ascii="Times New Roman" w:hAnsi="Times New Roman" w:cs="Times New Roman"/>
                <w:color w:val="000000"/>
                <w:sz w:val="14"/>
                <w:szCs w:val="14"/>
                <w:lang w:eastAsia="sk-SK"/>
              </w:rPr>
            </w:pPr>
            <w:r w:rsidRPr="00B34405">
              <w:rPr>
                <w:rFonts w:ascii="Times New Roman" w:hAnsi="Times New Roman" w:cs="Times New Roman"/>
                <w:color w:val="000000"/>
                <w:sz w:val="14"/>
                <w:szCs w:val="14"/>
                <w:lang w:eastAsia="sk-SK"/>
              </w:rPr>
              <w:t xml:space="preserve">               kapitálové výdavky 700</w:t>
            </w:r>
          </w:p>
        </w:tc>
        <w:tc>
          <w:tcPr>
            <w:tcW w:w="518" w:type="pct"/>
            <w:shd w:val="clear" w:color="auto" w:fill="auto"/>
            <w:noWrap/>
            <w:vAlign w:val="bottom"/>
            <w:hideMark/>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75 215</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23 999</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32 000</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32 000</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169 200</w:t>
            </w:r>
          </w:p>
        </w:tc>
        <w:tc>
          <w:tcPr>
            <w:tcW w:w="519"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28 500</w:t>
            </w:r>
          </w:p>
        </w:tc>
        <w:tc>
          <w:tcPr>
            <w:tcW w:w="518" w:type="pct"/>
            <w:shd w:val="clear" w:color="auto" w:fill="auto"/>
            <w:noWrap/>
            <w:vAlign w:val="bottom"/>
          </w:tcPr>
          <w:p w:rsidR="007D13F3" w:rsidRPr="00B34405" w:rsidRDefault="007D13F3" w:rsidP="00465CAC">
            <w:pPr>
              <w:jc w:val="right"/>
              <w:rPr>
                <w:rFonts w:ascii="Times New Roman" w:hAnsi="Times New Roman" w:cs="Times New Roman"/>
                <w:color w:val="000000"/>
                <w:sz w:val="14"/>
                <w:szCs w:val="14"/>
              </w:rPr>
            </w:pPr>
            <w:r w:rsidRPr="00B34405">
              <w:rPr>
                <w:rFonts w:ascii="Times New Roman" w:hAnsi="Times New Roman" w:cs="Times New Roman"/>
                <w:color w:val="000000"/>
                <w:sz w:val="14"/>
                <w:szCs w:val="14"/>
              </w:rPr>
              <w:t>64 000</w:t>
            </w:r>
          </w:p>
        </w:tc>
      </w:tr>
    </w:tbl>
    <w:p w:rsidR="007D13F3" w:rsidRDefault="007D13F3" w:rsidP="007D13F3">
      <w:pPr>
        <w:ind w:firstLine="708"/>
        <w:jc w:val="both"/>
        <w:rPr>
          <w:rFonts w:ascii="Times New Roman" w:hAnsi="Times New Roman"/>
        </w:rPr>
      </w:pPr>
    </w:p>
    <w:p w:rsidR="007D13F3" w:rsidRDefault="007D13F3" w:rsidP="007D13F3">
      <w:pPr>
        <w:ind w:firstLine="708"/>
        <w:jc w:val="both"/>
        <w:rPr>
          <w:rFonts w:ascii="Times New Roman" w:hAnsi="Times New Roman"/>
        </w:rPr>
      </w:pPr>
      <w:r w:rsidRPr="008E1349">
        <w:rPr>
          <w:rFonts w:ascii="Times New Roman" w:hAnsi="Times New Roman"/>
        </w:rPr>
        <w:t xml:space="preserve">Výdavky </w:t>
      </w:r>
      <w:r>
        <w:rPr>
          <w:rFonts w:ascii="Times New Roman" w:hAnsi="Times New Roman"/>
        </w:rPr>
        <w:t xml:space="preserve">Úradu pre reguláciu sieťových odvetví </w:t>
      </w:r>
      <w:r w:rsidRPr="008E1349">
        <w:rPr>
          <w:rFonts w:ascii="Times New Roman" w:hAnsi="Times New Roman"/>
        </w:rPr>
        <w:t>sa v návrhu rozpočtu na rok 201</w:t>
      </w:r>
      <w:r>
        <w:rPr>
          <w:rFonts w:ascii="Times New Roman" w:hAnsi="Times New Roman"/>
        </w:rPr>
        <w:t>8 navrhujú vo výške 4,57 mil. eur, čo predstavuje nárast</w:t>
      </w:r>
      <w:r w:rsidRPr="008E1349">
        <w:rPr>
          <w:rFonts w:ascii="Times New Roman" w:hAnsi="Times New Roman"/>
        </w:rPr>
        <w:t xml:space="preserve"> oproti roku 201</w:t>
      </w:r>
      <w:r>
        <w:rPr>
          <w:rFonts w:ascii="Times New Roman" w:hAnsi="Times New Roman"/>
        </w:rPr>
        <w:t>7</w:t>
      </w:r>
      <w:r w:rsidRPr="008E1349">
        <w:rPr>
          <w:rFonts w:ascii="Times New Roman" w:hAnsi="Times New Roman"/>
        </w:rPr>
        <w:t xml:space="preserve"> o</w:t>
      </w:r>
      <w:r>
        <w:rPr>
          <w:rFonts w:ascii="Times New Roman" w:hAnsi="Times New Roman"/>
        </w:rPr>
        <w:t> 1,1 mil. eur</w:t>
      </w:r>
      <w:r w:rsidRPr="008E1349">
        <w:rPr>
          <w:rFonts w:ascii="Times New Roman" w:hAnsi="Times New Roman"/>
        </w:rPr>
        <w:t xml:space="preserve">, </w:t>
      </w:r>
      <w:r>
        <w:rPr>
          <w:rFonts w:ascii="Times New Roman" w:hAnsi="Times New Roman"/>
        </w:rPr>
        <w:br/>
      </w:r>
      <w:r w:rsidRPr="008E1349">
        <w:rPr>
          <w:rFonts w:ascii="Times New Roman" w:hAnsi="Times New Roman"/>
        </w:rPr>
        <w:t>t. j. o</w:t>
      </w:r>
      <w:r>
        <w:rPr>
          <w:rFonts w:ascii="Times New Roman" w:hAnsi="Times New Roman"/>
        </w:rPr>
        <w:t xml:space="preserve"> 31,9 </w:t>
      </w:r>
      <w:r w:rsidRPr="008E1349">
        <w:rPr>
          <w:rFonts w:ascii="Times New Roman" w:hAnsi="Times New Roman"/>
        </w:rPr>
        <w:t xml:space="preserve">%. </w:t>
      </w:r>
      <w:r>
        <w:rPr>
          <w:rFonts w:ascii="Times New Roman" w:hAnsi="Times New Roman"/>
        </w:rPr>
        <w:t>Tento nárast</w:t>
      </w:r>
      <w:r w:rsidRPr="008E1349">
        <w:rPr>
          <w:rFonts w:ascii="Times New Roman" w:hAnsi="Times New Roman"/>
        </w:rPr>
        <w:t xml:space="preserve"> </w:t>
      </w:r>
      <w:r>
        <w:rPr>
          <w:rFonts w:ascii="Times New Roman" w:hAnsi="Times New Roman"/>
        </w:rPr>
        <w:t>je v spôsobený najmä zohľadnením</w:t>
      </w:r>
      <w:r w:rsidRPr="00294EB3">
        <w:rPr>
          <w:rFonts w:ascii="Times New Roman" w:hAnsi="Times New Roman"/>
        </w:rPr>
        <w:t xml:space="preserve"> </w:t>
      </w:r>
      <w:r>
        <w:rPr>
          <w:rFonts w:ascii="Times New Roman" w:hAnsi="Times New Roman"/>
        </w:rPr>
        <w:t xml:space="preserve">potrieb kapitoly v súvislosti s novelou zákona č. 250/2012 Z. z. o regulácii v sieťových odvetviach (ďalej iba „zákon o regulácii“). </w:t>
      </w:r>
    </w:p>
    <w:p w:rsidR="007D13F3" w:rsidRDefault="007D13F3" w:rsidP="007D13F3">
      <w:pPr>
        <w:ind w:firstLine="708"/>
        <w:jc w:val="both"/>
        <w:rPr>
          <w:rFonts w:ascii="Times New Roman" w:hAnsi="Times New Roman"/>
        </w:rPr>
      </w:pPr>
    </w:p>
    <w:p w:rsidR="007D13F3" w:rsidRDefault="007D13F3" w:rsidP="007D13F3">
      <w:pPr>
        <w:ind w:firstLine="708"/>
        <w:jc w:val="both"/>
        <w:rPr>
          <w:rFonts w:ascii="Times New Roman" w:hAnsi="Times New Roman"/>
        </w:rPr>
      </w:pPr>
      <w:r w:rsidRPr="005F1146">
        <w:rPr>
          <w:rFonts w:ascii="Times New Roman" w:hAnsi="Times New Roman"/>
        </w:rPr>
        <w:t>Osobné výdavky sa na rok 201</w:t>
      </w:r>
      <w:r>
        <w:rPr>
          <w:rFonts w:ascii="Times New Roman" w:hAnsi="Times New Roman"/>
        </w:rPr>
        <w:t>8</w:t>
      </w:r>
      <w:r w:rsidRPr="005F1146">
        <w:rPr>
          <w:rFonts w:ascii="Times New Roman" w:hAnsi="Times New Roman"/>
        </w:rPr>
        <w:t xml:space="preserve"> navrhujú vo výške </w:t>
      </w:r>
      <w:r>
        <w:rPr>
          <w:rFonts w:ascii="Times New Roman" w:hAnsi="Times New Roman"/>
        </w:rPr>
        <w:t>3,48</w:t>
      </w:r>
      <w:r w:rsidRPr="005F1146">
        <w:rPr>
          <w:rFonts w:ascii="Times New Roman" w:hAnsi="Times New Roman"/>
        </w:rPr>
        <w:t xml:space="preserve"> mil. eur a v porovnaní so schváleným rozpočtom na rok 201</w:t>
      </w:r>
      <w:r>
        <w:rPr>
          <w:rFonts w:ascii="Times New Roman" w:hAnsi="Times New Roman"/>
        </w:rPr>
        <w:t xml:space="preserve">7 rastú o 809 </w:t>
      </w:r>
      <w:r w:rsidRPr="005F1146">
        <w:rPr>
          <w:rFonts w:ascii="Times New Roman" w:hAnsi="Times New Roman"/>
        </w:rPr>
        <w:t>tis. eur, t. j. o</w:t>
      </w:r>
      <w:r>
        <w:rPr>
          <w:rFonts w:ascii="Times New Roman" w:hAnsi="Times New Roman"/>
        </w:rPr>
        <w:t xml:space="preserve"> 30,3 </w:t>
      </w:r>
      <w:r w:rsidRPr="005F1146">
        <w:rPr>
          <w:rFonts w:ascii="Times New Roman" w:hAnsi="Times New Roman"/>
        </w:rPr>
        <w:t xml:space="preserve">%. </w:t>
      </w:r>
      <w:r>
        <w:rPr>
          <w:rFonts w:ascii="Times New Roman" w:hAnsi="Times New Roman"/>
        </w:rPr>
        <w:t>N</w:t>
      </w:r>
      <w:r w:rsidRPr="00792143">
        <w:rPr>
          <w:rFonts w:ascii="Times New Roman" w:hAnsi="Times New Roman"/>
        </w:rPr>
        <w:t>árast</w:t>
      </w:r>
      <w:r>
        <w:rPr>
          <w:rFonts w:ascii="Times New Roman" w:hAnsi="Times New Roman"/>
        </w:rPr>
        <w:t xml:space="preserve"> v oblasti osobných výdavkov </w:t>
      </w:r>
      <w:r w:rsidRPr="00792143">
        <w:rPr>
          <w:rFonts w:ascii="Times New Roman" w:hAnsi="Times New Roman"/>
        </w:rPr>
        <w:t xml:space="preserve">je spôsobený </w:t>
      </w:r>
      <w:r>
        <w:rPr>
          <w:rFonts w:ascii="Times New Roman" w:hAnsi="Times New Roman"/>
        </w:rPr>
        <w:t xml:space="preserve">najmä novelou </w:t>
      </w:r>
      <w:r w:rsidRPr="00622A9A">
        <w:rPr>
          <w:rFonts w:ascii="Times New Roman" w:hAnsi="Times New Roman"/>
        </w:rPr>
        <w:t xml:space="preserve">zákona o regulácii a z nej vyplývajúcej </w:t>
      </w:r>
      <w:r>
        <w:rPr>
          <w:rFonts w:ascii="Times New Roman" w:hAnsi="Times New Roman"/>
        </w:rPr>
        <w:t>zmeny organizačnej štruktúry úradu.</w:t>
      </w:r>
    </w:p>
    <w:p w:rsidR="007D13F3" w:rsidRPr="005F1146" w:rsidRDefault="007D13F3" w:rsidP="007D13F3">
      <w:pPr>
        <w:ind w:firstLine="708"/>
        <w:jc w:val="both"/>
        <w:rPr>
          <w:rFonts w:ascii="Times New Roman" w:hAnsi="Times New Roman"/>
        </w:rPr>
      </w:pPr>
    </w:p>
    <w:p w:rsidR="007D13F3" w:rsidRDefault="007D13F3" w:rsidP="007D13F3">
      <w:pPr>
        <w:ind w:firstLine="708"/>
        <w:jc w:val="both"/>
        <w:rPr>
          <w:rFonts w:ascii="Times New Roman" w:hAnsi="Times New Roman"/>
        </w:rPr>
      </w:pPr>
      <w:r w:rsidRPr="005F1146">
        <w:rPr>
          <w:rFonts w:ascii="Times New Roman" w:hAnsi="Times New Roman"/>
        </w:rPr>
        <w:t xml:space="preserve">Výdavky v oblasti tovarov a služieb </w:t>
      </w:r>
      <w:r>
        <w:rPr>
          <w:rFonts w:ascii="Times New Roman" w:hAnsi="Times New Roman"/>
        </w:rPr>
        <w:t xml:space="preserve">sú </w:t>
      </w:r>
      <w:r w:rsidRPr="005F1146">
        <w:rPr>
          <w:rFonts w:ascii="Times New Roman" w:hAnsi="Times New Roman"/>
        </w:rPr>
        <w:t>na rok 201</w:t>
      </w:r>
      <w:r>
        <w:rPr>
          <w:rFonts w:ascii="Times New Roman" w:hAnsi="Times New Roman"/>
        </w:rPr>
        <w:t>8</w:t>
      </w:r>
      <w:r w:rsidRPr="005F1146">
        <w:rPr>
          <w:rFonts w:ascii="Times New Roman" w:hAnsi="Times New Roman"/>
        </w:rPr>
        <w:t xml:space="preserve"> navrhnuté v sume </w:t>
      </w:r>
      <w:r>
        <w:rPr>
          <w:rFonts w:ascii="Times New Roman" w:hAnsi="Times New Roman"/>
        </w:rPr>
        <w:t xml:space="preserve">882 tis. </w:t>
      </w:r>
      <w:r w:rsidRPr="005F1146">
        <w:rPr>
          <w:rFonts w:ascii="Times New Roman" w:hAnsi="Times New Roman"/>
        </w:rPr>
        <w:t xml:space="preserve">eur </w:t>
      </w:r>
      <w:r>
        <w:rPr>
          <w:rFonts w:ascii="Times New Roman" w:hAnsi="Times New Roman"/>
        </w:rPr>
        <w:t xml:space="preserve">       a v porovnaní s úrovňou schváleného rozpočtu 2017 rastú o 137 tis. eur, t. j. 18,4 % v súvislosti so zabezpečením</w:t>
      </w:r>
      <w:r w:rsidRPr="00622A9A">
        <w:rPr>
          <w:rFonts w:ascii="Times New Roman" w:hAnsi="Times New Roman"/>
        </w:rPr>
        <w:t xml:space="preserve"> odmien členov Regulačnej rady</w:t>
      </w:r>
      <w:r>
        <w:rPr>
          <w:rFonts w:ascii="Times New Roman" w:hAnsi="Times New Roman"/>
        </w:rPr>
        <w:t>.</w:t>
      </w:r>
    </w:p>
    <w:p w:rsidR="007D13F3" w:rsidRPr="005F1146" w:rsidRDefault="007D13F3" w:rsidP="007D13F3">
      <w:pPr>
        <w:ind w:firstLine="708"/>
        <w:jc w:val="both"/>
        <w:rPr>
          <w:rFonts w:ascii="Times New Roman" w:hAnsi="Times New Roman"/>
        </w:rPr>
      </w:pPr>
    </w:p>
    <w:p w:rsidR="007D13F3" w:rsidRPr="00290407" w:rsidRDefault="007D13F3" w:rsidP="007D13F3">
      <w:pPr>
        <w:tabs>
          <w:tab w:val="left" w:pos="709"/>
        </w:tabs>
        <w:jc w:val="both"/>
        <w:rPr>
          <w:rFonts w:ascii="Times New Roman" w:hAnsi="Times New Roman"/>
          <w:b/>
        </w:rPr>
      </w:pPr>
      <w:r>
        <w:rPr>
          <w:rFonts w:ascii="Times New Roman" w:hAnsi="Times New Roman"/>
        </w:rPr>
        <w:tab/>
      </w:r>
      <w:r w:rsidRPr="00C63240">
        <w:rPr>
          <w:rFonts w:ascii="Times New Roman" w:hAnsi="Times New Roman"/>
        </w:rPr>
        <w:t>Výška bežných transferov</w:t>
      </w:r>
      <w:r>
        <w:rPr>
          <w:rFonts w:ascii="Times New Roman" w:hAnsi="Times New Roman"/>
        </w:rPr>
        <w:t xml:space="preserve"> v objeme 37,5 tis. eur</w:t>
      </w:r>
      <w:r w:rsidRPr="00C63240">
        <w:rPr>
          <w:rFonts w:ascii="Times New Roman" w:hAnsi="Times New Roman"/>
        </w:rPr>
        <w:t xml:space="preserve"> v limitoch kapitoly </w:t>
      </w:r>
      <w:r>
        <w:rPr>
          <w:rFonts w:ascii="Times New Roman" w:hAnsi="Times New Roman"/>
        </w:rPr>
        <w:t>na</w:t>
      </w:r>
      <w:r w:rsidRPr="00C63240">
        <w:rPr>
          <w:rFonts w:ascii="Times New Roman" w:hAnsi="Times New Roman"/>
        </w:rPr>
        <w:t xml:space="preserve"> rok 201</w:t>
      </w:r>
      <w:r>
        <w:rPr>
          <w:rFonts w:ascii="Times New Roman" w:hAnsi="Times New Roman"/>
        </w:rPr>
        <w:t>8</w:t>
      </w:r>
      <w:r w:rsidRPr="00C63240">
        <w:rPr>
          <w:rFonts w:ascii="Times New Roman" w:hAnsi="Times New Roman"/>
        </w:rPr>
        <w:t xml:space="preserve"> v porovnaní so schváleným rozpočtom roku 201</w:t>
      </w:r>
      <w:r>
        <w:rPr>
          <w:rFonts w:ascii="Times New Roman" w:hAnsi="Times New Roman"/>
        </w:rPr>
        <w:t>7</w:t>
      </w:r>
      <w:r w:rsidRPr="00C63240">
        <w:rPr>
          <w:rFonts w:ascii="Times New Roman" w:hAnsi="Times New Roman"/>
        </w:rPr>
        <w:t xml:space="preserve"> </w:t>
      </w:r>
      <w:r>
        <w:rPr>
          <w:rFonts w:ascii="Times New Roman" w:hAnsi="Times New Roman"/>
        </w:rPr>
        <w:t>rastie o 127</w:t>
      </w:r>
      <w:r w:rsidRPr="00290407">
        <w:rPr>
          <w:rFonts w:ascii="Times New Roman" w:hAnsi="Times New Roman"/>
        </w:rPr>
        <w:t xml:space="preserve"> % , t.</w:t>
      </w:r>
      <w:r>
        <w:rPr>
          <w:rFonts w:ascii="Times New Roman" w:hAnsi="Times New Roman"/>
        </w:rPr>
        <w:t xml:space="preserve"> </w:t>
      </w:r>
      <w:r w:rsidRPr="00290407">
        <w:rPr>
          <w:rFonts w:ascii="Times New Roman" w:hAnsi="Times New Roman"/>
        </w:rPr>
        <w:t xml:space="preserve">j. </w:t>
      </w:r>
      <w:r>
        <w:rPr>
          <w:rFonts w:ascii="Times New Roman" w:hAnsi="Times New Roman"/>
        </w:rPr>
        <w:t xml:space="preserve">o 21 tis. eur, </w:t>
      </w:r>
      <w:r w:rsidRPr="00657BA6">
        <w:rPr>
          <w:rFonts w:ascii="Times New Roman" w:hAnsi="Times New Roman" w:cs="Times New Roman"/>
        </w:rPr>
        <w:t>z  dôvodu zabezpečenia dostatočných finančných prostriedkov na odchodné zamestnancov pri prvom odchode do starobného dôchodku.</w:t>
      </w:r>
    </w:p>
    <w:p w:rsidR="007D13F3" w:rsidRPr="005F1146" w:rsidRDefault="007D13F3" w:rsidP="007D13F3">
      <w:pPr>
        <w:tabs>
          <w:tab w:val="left" w:pos="709"/>
        </w:tabs>
        <w:jc w:val="both"/>
        <w:rPr>
          <w:rFonts w:ascii="Times New Roman" w:hAnsi="Times New Roman"/>
        </w:rPr>
      </w:pPr>
      <w:r w:rsidRPr="005F1146">
        <w:rPr>
          <w:rFonts w:ascii="Times New Roman" w:hAnsi="Times New Roman"/>
        </w:rPr>
        <w:t xml:space="preserve"> </w:t>
      </w:r>
    </w:p>
    <w:p w:rsidR="007D13F3" w:rsidRPr="00C91DB7" w:rsidRDefault="007D13F3" w:rsidP="007D13F3">
      <w:pPr>
        <w:tabs>
          <w:tab w:val="left" w:pos="709"/>
        </w:tabs>
        <w:jc w:val="both"/>
        <w:rPr>
          <w:rFonts w:ascii="Times New Roman" w:hAnsi="Times New Roman"/>
        </w:rPr>
      </w:pPr>
      <w:r>
        <w:rPr>
          <w:rFonts w:ascii="Times New Roman" w:hAnsi="Times New Roman"/>
        </w:rPr>
        <w:tab/>
      </w:r>
      <w:r w:rsidRPr="00290407">
        <w:rPr>
          <w:rFonts w:ascii="Times New Roman" w:hAnsi="Times New Roman"/>
        </w:rPr>
        <w:t>Rozpočet kapitálových výdavkov na rok 201</w:t>
      </w:r>
      <w:r>
        <w:rPr>
          <w:rFonts w:ascii="Times New Roman" w:hAnsi="Times New Roman"/>
        </w:rPr>
        <w:t>8 vo výške 169</w:t>
      </w:r>
      <w:r w:rsidRPr="00290407">
        <w:rPr>
          <w:rFonts w:ascii="Times New Roman" w:hAnsi="Times New Roman"/>
        </w:rPr>
        <w:t xml:space="preserve"> tis. eur </w:t>
      </w:r>
      <w:r>
        <w:rPr>
          <w:rFonts w:ascii="Times New Roman" w:hAnsi="Times New Roman"/>
        </w:rPr>
        <w:t>rastie o 429 %, teda o 137</w:t>
      </w:r>
      <w:r w:rsidRPr="00290407">
        <w:rPr>
          <w:rFonts w:ascii="Times New Roman" w:hAnsi="Times New Roman"/>
        </w:rPr>
        <w:t xml:space="preserve"> tis. eur</w:t>
      </w:r>
      <w:r>
        <w:rPr>
          <w:rFonts w:ascii="Times New Roman" w:hAnsi="Times New Roman"/>
        </w:rPr>
        <w:t>,</w:t>
      </w:r>
      <w:r w:rsidRPr="00290407">
        <w:rPr>
          <w:rFonts w:ascii="Times New Roman" w:hAnsi="Times New Roman"/>
        </w:rPr>
        <w:t xml:space="preserve"> čo</w:t>
      </w:r>
      <w:r>
        <w:rPr>
          <w:rFonts w:ascii="Times New Roman" w:hAnsi="Times New Roman"/>
        </w:rPr>
        <w:t xml:space="preserve"> je spôsobené zohľadnením výdavkov potrebných na obnovu zastaraného vozového parku</w:t>
      </w:r>
      <w:r w:rsidRPr="00290407">
        <w:rPr>
          <w:rFonts w:ascii="Times New Roman" w:hAnsi="Times New Roman"/>
        </w:rPr>
        <w:t xml:space="preserve"> </w:t>
      </w:r>
      <w:r w:rsidRPr="00C91DB7">
        <w:rPr>
          <w:rFonts w:ascii="Times New Roman" w:hAnsi="Times New Roman"/>
        </w:rPr>
        <w:t>a na čiastočnú výmenu nefunkčnej výpočtovej techniky.</w:t>
      </w:r>
    </w:p>
    <w:p w:rsidR="007D13F3" w:rsidRDefault="007D13F3" w:rsidP="007D13F3">
      <w:pPr>
        <w:spacing w:after="160" w:line="259" w:lineRule="auto"/>
        <w:rPr>
          <w:rFonts w:ascii="Times New Roman" w:hAnsi="Times New Roman"/>
        </w:rPr>
      </w:pPr>
      <w:r>
        <w:rPr>
          <w:rFonts w:ascii="Times New Roman" w:hAnsi="Times New Roman"/>
        </w:rPr>
        <w:br w:type="page"/>
      </w:r>
    </w:p>
    <w:p w:rsidR="007D13F3" w:rsidRPr="00845193" w:rsidRDefault="007D13F3" w:rsidP="007D13F3">
      <w:pPr>
        <w:pStyle w:val="Nadpis5"/>
        <w:pBdr>
          <w:bottom w:val="single" w:sz="4" w:space="1" w:color="auto"/>
        </w:pBdr>
        <w:spacing w:before="0" w:after="0"/>
        <w:ind w:left="0"/>
        <w:rPr>
          <w:i w:val="0"/>
          <w:noProof/>
          <w:sz w:val="24"/>
          <w:lang w:eastAsia="sk-SK"/>
        </w:rPr>
      </w:pPr>
      <w:bookmarkStart w:id="181" w:name="_Toc400551778"/>
      <w:bookmarkStart w:id="182" w:name="_Toc494470117"/>
      <w:bookmarkStart w:id="183" w:name="_Toc494472293"/>
      <w:r w:rsidRPr="002A7C8F">
        <w:rPr>
          <w:i w:val="0"/>
          <w:noProof/>
          <w:sz w:val="24"/>
          <w:lang w:eastAsia="sk-SK"/>
        </w:rPr>
        <w:lastRenderedPageBreak/>
        <w:t>Úrad jadrového dozoru SR</w:t>
      </w:r>
      <w:bookmarkEnd w:id="181"/>
      <w:bookmarkEnd w:id="182"/>
      <w:bookmarkEnd w:id="183"/>
      <w:r w:rsidRPr="003A0D58">
        <w:rPr>
          <w:i w:val="0"/>
          <w:noProof/>
          <w:sz w:val="24"/>
          <w:lang w:eastAsia="sk-SK"/>
        </w:rPr>
        <w:t xml:space="preserve"> </w:t>
      </w:r>
    </w:p>
    <w:p w:rsidR="007D13F3" w:rsidRDefault="007D13F3" w:rsidP="007D13F3">
      <w:pPr>
        <w:jc w:val="both"/>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3116"/>
        <w:gridCol w:w="850"/>
        <w:gridCol w:w="850"/>
        <w:gridCol w:w="850"/>
        <w:gridCol w:w="850"/>
        <w:gridCol w:w="850"/>
        <w:gridCol w:w="850"/>
        <w:gridCol w:w="846"/>
      </w:tblGrid>
      <w:tr w:rsidR="007D13F3" w:rsidRPr="009D0919" w:rsidTr="00465CAC">
        <w:trPr>
          <w:trHeight w:hRule="exact" w:val="255"/>
        </w:trPr>
        <w:tc>
          <w:tcPr>
            <w:tcW w:w="171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D13F3" w:rsidRPr="001A357D" w:rsidRDefault="007D13F3" w:rsidP="00465CAC">
            <w:pPr>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v eurách</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A357D" w:rsidRDefault="007D13F3" w:rsidP="00465CAC">
            <w:pPr>
              <w:jc w:val="center"/>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2015 S</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A357D" w:rsidRDefault="007D13F3" w:rsidP="00465CAC">
            <w:pPr>
              <w:jc w:val="center"/>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2016 S</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A357D" w:rsidRDefault="007D13F3" w:rsidP="00465CAC">
            <w:pPr>
              <w:jc w:val="center"/>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2017 R</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A357D" w:rsidRDefault="007D13F3" w:rsidP="00465CAC">
            <w:pPr>
              <w:jc w:val="center"/>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2017 OS</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A357D" w:rsidRDefault="007D13F3" w:rsidP="00465CAC">
            <w:pPr>
              <w:jc w:val="center"/>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2018 N</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A357D" w:rsidRDefault="007D13F3" w:rsidP="00465CAC">
            <w:pPr>
              <w:jc w:val="center"/>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2019 N</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1A357D" w:rsidRDefault="007D13F3" w:rsidP="00465CAC">
            <w:pPr>
              <w:jc w:val="center"/>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2020 N</w:t>
            </w:r>
          </w:p>
        </w:tc>
      </w:tr>
      <w:tr w:rsidR="007D13F3" w:rsidRPr="009D0919" w:rsidTr="00465CAC">
        <w:trPr>
          <w:trHeight w:hRule="exact" w:val="255"/>
        </w:trPr>
        <w:tc>
          <w:tcPr>
            <w:tcW w:w="1719"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1A357D" w:rsidRDefault="007D13F3" w:rsidP="00465CAC">
            <w:pPr>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Zdroje príslušnej kapitoly</w:t>
            </w:r>
          </w:p>
        </w:tc>
        <w:tc>
          <w:tcPr>
            <w:tcW w:w="469"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7 616 792</w:t>
            </w:r>
          </w:p>
        </w:tc>
        <w:tc>
          <w:tcPr>
            <w:tcW w:w="469"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7 895 742</w:t>
            </w:r>
          </w:p>
        </w:tc>
        <w:tc>
          <w:tcPr>
            <w:tcW w:w="469"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9 122 604</w:t>
            </w:r>
          </w:p>
        </w:tc>
        <w:tc>
          <w:tcPr>
            <w:tcW w:w="469"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9 123 291</w:t>
            </w:r>
          </w:p>
        </w:tc>
        <w:tc>
          <w:tcPr>
            <w:tcW w:w="469"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8 869 259</w:t>
            </w:r>
          </w:p>
        </w:tc>
        <w:tc>
          <w:tcPr>
            <w:tcW w:w="469"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8 397 251</w:t>
            </w:r>
          </w:p>
        </w:tc>
        <w:tc>
          <w:tcPr>
            <w:tcW w:w="469" w:type="pct"/>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8 397 251</w:t>
            </w:r>
          </w:p>
        </w:tc>
      </w:tr>
      <w:tr w:rsidR="007D13F3" w:rsidRPr="009D0919" w:rsidTr="00465CAC">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bottom"/>
            <w:hideMark/>
          </w:tcPr>
          <w:p w:rsidR="007D13F3" w:rsidRPr="001A357D" w:rsidRDefault="007D13F3" w:rsidP="00465CAC">
            <w:pPr>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 xml:space="preserve">rozpočtové zdroje kapitoly </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7 567 676</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7 628 777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9 122 604</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9 123 291</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8 869 259</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8 397 251</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8 397 251</w:t>
            </w:r>
          </w:p>
        </w:tc>
      </w:tr>
      <w:tr w:rsidR="007D13F3" w:rsidRPr="009D0919" w:rsidTr="00465CAC">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bottom"/>
            <w:hideMark/>
          </w:tcPr>
          <w:p w:rsidR="007D13F3" w:rsidRPr="001A357D" w:rsidRDefault="007D13F3" w:rsidP="00465CAC">
            <w:pPr>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 xml:space="preserve">    v tom: bežné výdavky  600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7 188 924</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7 418 137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8 998 404</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8 875 371</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8 721 259</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8 244 251</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8 247 251</w:t>
            </w:r>
          </w:p>
        </w:tc>
      </w:tr>
      <w:tr w:rsidR="007D13F3" w:rsidRPr="009D0919" w:rsidTr="00465CAC">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bottom"/>
            <w:hideMark/>
          </w:tcPr>
          <w:p w:rsidR="007D13F3" w:rsidRPr="001A357D" w:rsidRDefault="007D13F3" w:rsidP="00465CAC">
            <w:pPr>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 xml:space="preserve">                                       610 mzdy</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2 825 756</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3 164 928</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3 235 776</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3 381 217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3 406 313</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3 406 313</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3 406 313</w:t>
            </w:r>
          </w:p>
        </w:tc>
      </w:tr>
      <w:tr w:rsidR="007D13F3" w:rsidRPr="009D0919" w:rsidTr="00465CAC">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bottom"/>
            <w:hideMark/>
          </w:tcPr>
          <w:p w:rsidR="007D13F3" w:rsidRPr="001A357D" w:rsidRDefault="007D13F3" w:rsidP="00465CAC">
            <w:pPr>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 xml:space="preserve">                                       620 odvody</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1 081 116</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1 191 487</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1 252 543</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1 303 375</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1 353 830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1 353 830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1 353 830</w:t>
            </w:r>
          </w:p>
        </w:tc>
      </w:tr>
      <w:tr w:rsidR="007D13F3" w:rsidRPr="009D0919" w:rsidTr="00465CAC">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bottom"/>
            <w:hideMark/>
          </w:tcPr>
          <w:p w:rsidR="007D13F3" w:rsidRPr="001A357D" w:rsidRDefault="007D13F3" w:rsidP="00465CAC">
            <w:pPr>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 xml:space="preserve">                                       630 tovary a služby</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2 211 099</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2 222 350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3 506 425</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3 187 119</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3 072 456</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2 503 448</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2 508 448</w:t>
            </w:r>
          </w:p>
        </w:tc>
      </w:tr>
      <w:tr w:rsidR="007D13F3" w:rsidRPr="009D0919" w:rsidTr="00465CAC">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bottom"/>
            <w:hideMark/>
          </w:tcPr>
          <w:p w:rsidR="007D13F3" w:rsidRPr="001A357D" w:rsidRDefault="007D13F3" w:rsidP="00465CAC">
            <w:pPr>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 xml:space="preserve">                                       640 bežné transfery</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1 070 953</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839 372</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1 003 660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1 003 660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888 660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980 660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978 660</w:t>
            </w:r>
          </w:p>
        </w:tc>
      </w:tr>
      <w:tr w:rsidR="007D13F3" w:rsidRPr="009D0919" w:rsidTr="00465CAC">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bottom"/>
            <w:hideMark/>
          </w:tcPr>
          <w:p w:rsidR="007D13F3" w:rsidRPr="001A357D" w:rsidRDefault="007D13F3" w:rsidP="00465CAC">
            <w:pPr>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 xml:space="preserve">               kapitálové výdavky 700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378 752</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210 640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124 200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247 920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148 000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153 000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color w:val="000000"/>
                <w:sz w:val="14"/>
                <w:szCs w:val="14"/>
                <w:lang w:eastAsia="sk-SK"/>
              </w:rPr>
            </w:pPr>
            <w:r w:rsidRPr="001A357D">
              <w:rPr>
                <w:rFonts w:ascii="Times New Roman" w:hAnsi="Times New Roman" w:cs="Times New Roman"/>
                <w:color w:val="000000"/>
                <w:sz w:val="14"/>
                <w:szCs w:val="14"/>
                <w:lang w:eastAsia="sk-SK"/>
              </w:rPr>
              <w:t>150 000</w:t>
            </w:r>
          </w:p>
        </w:tc>
      </w:tr>
      <w:tr w:rsidR="007D13F3" w:rsidRPr="009D0919" w:rsidTr="00465CAC">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bottom"/>
            <w:hideMark/>
          </w:tcPr>
          <w:p w:rsidR="007D13F3" w:rsidRPr="001A357D" w:rsidRDefault="007D13F3" w:rsidP="00465CAC">
            <w:pPr>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presun z minulých rokov</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49 116</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266 965</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0</w:t>
            </w:r>
          </w:p>
        </w:tc>
        <w:tc>
          <w:tcPr>
            <w:tcW w:w="469" w:type="pct"/>
            <w:tcBorders>
              <w:top w:val="nil"/>
              <w:left w:val="nil"/>
              <w:bottom w:val="single" w:sz="4" w:space="0" w:color="auto"/>
              <w:right w:val="single" w:sz="4" w:space="0" w:color="auto"/>
            </w:tcBorders>
            <w:shd w:val="clear" w:color="auto" w:fill="auto"/>
            <w:noWrap/>
            <w:vAlign w:val="bottom"/>
            <w:hideMark/>
          </w:tcPr>
          <w:p w:rsidR="007D13F3" w:rsidRPr="001A357D" w:rsidRDefault="007D13F3" w:rsidP="00465CAC">
            <w:pPr>
              <w:jc w:val="right"/>
              <w:rPr>
                <w:rFonts w:ascii="Times New Roman" w:hAnsi="Times New Roman" w:cs="Times New Roman"/>
                <w:b/>
                <w:bCs/>
                <w:color w:val="000000"/>
                <w:sz w:val="14"/>
                <w:szCs w:val="14"/>
                <w:lang w:eastAsia="sk-SK"/>
              </w:rPr>
            </w:pPr>
            <w:r w:rsidRPr="001A357D">
              <w:rPr>
                <w:rFonts w:ascii="Times New Roman" w:hAnsi="Times New Roman" w:cs="Times New Roman"/>
                <w:b/>
                <w:bCs/>
                <w:color w:val="000000"/>
                <w:sz w:val="14"/>
                <w:szCs w:val="14"/>
                <w:lang w:eastAsia="sk-SK"/>
              </w:rPr>
              <w:t>0</w:t>
            </w:r>
          </w:p>
        </w:tc>
      </w:tr>
    </w:tbl>
    <w:p w:rsidR="007D13F3" w:rsidRPr="0041039B" w:rsidRDefault="007D13F3" w:rsidP="007D13F3">
      <w:pPr>
        <w:jc w:val="both"/>
        <w:rPr>
          <w:rFonts w:ascii="Times New Roman" w:hAnsi="Times New Roman" w:cs="Times New Roman"/>
          <w:lang w:eastAsia="sk-SK"/>
        </w:rPr>
      </w:pPr>
    </w:p>
    <w:p w:rsidR="007D13F3" w:rsidRDefault="007D13F3" w:rsidP="007D13F3">
      <w:pPr>
        <w:ind w:firstLine="708"/>
        <w:jc w:val="both"/>
        <w:rPr>
          <w:rFonts w:ascii="Times New Roman" w:hAnsi="Times New Roman" w:cs="Times New Roman"/>
        </w:rPr>
      </w:pPr>
      <w:r w:rsidRPr="0041039B">
        <w:rPr>
          <w:rFonts w:ascii="Times New Roman" w:hAnsi="Times New Roman" w:cs="Times New Roman"/>
        </w:rPr>
        <w:t xml:space="preserve">Výdavky kapitoly </w:t>
      </w:r>
      <w:r w:rsidRPr="0041039B">
        <w:rPr>
          <w:rFonts w:ascii="Times New Roman" w:hAnsi="Times New Roman" w:cs="Times New Roman"/>
          <w:lang w:eastAsia="sk-SK"/>
        </w:rPr>
        <w:t xml:space="preserve">Úradu jadrového dozoru </w:t>
      </w:r>
      <w:r>
        <w:rPr>
          <w:rFonts w:ascii="Times New Roman" w:hAnsi="Times New Roman" w:cs="Times New Roman"/>
          <w:lang w:eastAsia="sk-SK"/>
        </w:rPr>
        <w:t>SR</w:t>
      </w:r>
      <w:r w:rsidRPr="003F1E27">
        <w:rPr>
          <w:rFonts w:ascii="Times New Roman" w:hAnsi="Times New Roman" w:cs="Times New Roman"/>
          <w:lang w:eastAsia="sk-SK"/>
        </w:rPr>
        <w:t xml:space="preserve"> </w:t>
      </w:r>
      <w:r w:rsidRPr="003F1E27">
        <w:rPr>
          <w:rFonts w:ascii="Times New Roman" w:hAnsi="Times New Roman" w:cs="Times New Roman"/>
        </w:rPr>
        <w:t>na rok</w:t>
      </w:r>
      <w:r w:rsidRPr="0041039B">
        <w:rPr>
          <w:rFonts w:ascii="Times New Roman" w:hAnsi="Times New Roman" w:cs="Times New Roman"/>
        </w:rPr>
        <w:t xml:space="preserve"> 201</w:t>
      </w:r>
      <w:r>
        <w:rPr>
          <w:rFonts w:ascii="Times New Roman" w:hAnsi="Times New Roman" w:cs="Times New Roman"/>
        </w:rPr>
        <w:t xml:space="preserve">8 sa rozpočtujú v sume </w:t>
      </w:r>
      <w:r>
        <w:rPr>
          <w:rFonts w:ascii="Times New Roman" w:hAnsi="Times New Roman" w:cs="Times New Roman"/>
        </w:rPr>
        <w:br/>
        <w:t>8,87</w:t>
      </w:r>
      <w:r w:rsidRPr="0041039B">
        <w:rPr>
          <w:rFonts w:ascii="Times New Roman" w:hAnsi="Times New Roman" w:cs="Times New Roman"/>
        </w:rPr>
        <w:t xml:space="preserve"> mil. eur, čo je </w:t>
      </w:r>
      <w:r>
        <w:rPr>
          <w:rFonts w:ascii="Times New Roman" w:hAnsi="Times New Roman" w:cs="Times New Roman"/>
        </w:rPr>
        <w:t>oproti schválenému rozpočtu na rok 2017 menej o 253 tis. eur</w:t>
      </w:r>
      <w:r w:rsidRPr="0041039B">
        <w:rPr>
          <w:rFonts w:ascii="Times New Roman" w:hAnsi="Times New Roman" w:cs="Times New Roman"/>
        </w:rPr>
        <w:t>,</w:t>
      </w:r>
      <w:r>
        <w:rPr>
          <w:rFonts w:ascii="Times New Roman" w:hAnsi="Times New Roman" w:cs="Times New Roman"/>
        </w:rPr>
        <w:t xml:space="preserve"> t. j. </w:t>
      </w:r>
      <w:r>
        <w:rPr>
          <w:rFonts w:ascii="Times New Roman" w:hAnsi="Times New Roman" w:cs="Times New Roman"/>
        </w:rPr>
        <w:br/>
        <w:t xml:space="preserve">o 2,78 %. Sú určené na financovanie </w:t>
      </w:r>
      <w:r w:rsidRPr="005E42EA">
        <w:rPr>
          <w:rFonts w:ascii="Times New Roman" w:hAnsi="Times New Roman" w:cs="Times New Roman"/>
        </w:rPr>
        <w:t>výkonu štátneho dozoru nad jadrovou bezpe</w:t>
      </w:r>
      <w:r>
        <w:rPr>
          <w:rFonts w:ascii="Times New Roman" w:hAnsi="Times New Roman" w:cs="Times New Roman"/>
        </w:rPr>
        <w:t>čnosťou jadrových zariadení,</w:t>
      </w:r>
      <w:r w:rsidRPr="005E42EA">
        <w:rPr>
          <w:rFonts w:ascii="Times New Roman" w:hAnsi="Times New Roman" w:cs="Times New Roman"/>
        </w:rPr>
        <w:t xml:space="preserve"> nakladaním s rádioaktívnymi odpadmi, vyhoretým jadrovým palivom a ďalšími fázami palivového cyklu, nad jadrovými materiálmi, vrátane ich kontroly a evidencie, ako aj nad fyzickou ochranou jadrových zariadení a jadrových materiálov.</w:t>
      </w:r>
    </w:p>
    <w:p w:rsidR="007D13F3" w:rsidRPr="0041039B" w:rsidRDefault="007D13F3" w:rsidP="007D13F3">
      <w:pPr>
        <w:jc w:val="both"/>
        <w:rPr>
          <w:rFonts w:ascii="Times New Roman" w:hAnsi="Times New Roman" w:cs="Times New Roman"/>
        </w:rPr>
      </w:pPr>
    </w:p>
    <w:p w:rsidR="007D13F3" w:rsidRPr="00DA7877" w:rsidRDefault="007D13F3" w:rsidP="007D13F3">
      <w:pPr>
        <w:ind w:firstLine="708"/>
        <w:jc w:val="both"/>
        <w:rPr>
          <w:rFonts w:ascii="Times New Roman" w:hAnsi="Times New Roman" w:cs="Times New Roman"/>
        </w:rPr>
      </w:pPr>
      <w:r>
        <w:rPr>
          <w:rFonts w:ascii="Times New Roman" w:hAnsi="Times New Roman" w:cs="Times New Roman"/>
        </w:rPr>
        <w:t>Osobné výdavky sa na rok 2018 rozpočtujú v sume 4,76</w:t>
      </w:r>
      <w:r w:rsidRPr="0041039B">
        <w:rPr>
          <w:rFonts w:ascii="Times New Roman" w:hAnsi="Times New Roman" w:cs="Times New Roman"/>
        </w:rPr>
        <w:t xml:space="preserve"> mil. eur a oproti </w:t>
      </w:r>
      <w:r>
        <w:rPr>
          <w:rFonts w:ascii="Times New Roman" w:hAnsi="Times New Roman" w:cs="Times New Roman"/>
        </w:rPr>
        <w:t>schválenému rozpočtu na rok 2017 rastú o 272 tis. eur, t. j. o 6,06</w:t>
      </w:r>
      <w:r w:rsidRPr="0041039B">
        <w:rPr>
          <w:rFonts w:ascii="Times New Roman" w:hAnsi="Times New Roman" w:cs="Times New Roman"/>
        </w:rPr>
        <w:t xml:space="preserve"> % </w:t>
      </w:r>
      <w:r w:rsidRPr="00DA7877">
        <w:rPr>
          <w:rFonts w:ascii="Times New Roman" w:hAnsi="Times New Roman" w:cs="Times New Roman"/>
        </w:rPr>
        <w:t>z dôvodu valorizácie plato</w:t>
      </w:r>
      <w:r>
        <w:rPr>
          <w:rFonts w:ascii="Times New Roman" w:hAnsi="Times New Roman" w:cs="Times New Roman"/>
        </w:rPr>
        <w:t>v zamestnancov z roku 2017,</w:t>
      </w:r>
      <w:r w:rsidRPr="00DA7877">
        <w:rPr>
          <w:rFonts w:ascii="Times New Roman" w:hAnsi="Times New Roman" w:cs="Times New Roman"/>
        </w:rPr>
        <w:t> vyššie</w:t>
      </w:r>
      <w:r>
        <w:rPr>
          <w:rFonts w:ascii="Times New Roman" w:hAnsi="Times New Roman" w:cs="Times New Roman"/>
        </w:rPr>
        <w:t>ho</w:t>
      </w:r>
      <w:r w:rsidRPr="00DA7877">
        <w:rPr>
          <w:rFonts w:ascii="Times New Roman" w:hAnsi="Times New Roman" w:cs="Times New Roman"/>
        </w:rPr>
        <w:t xml:space="preserve"> rozpisu poistného kapitolou</w:t>
      </w:r>
      <w:r>
        <w:rPr>
          <w:rFonts w:ascii="Times New Roman" w:hAnsi="Times New Roman" w:cs="Times New Roman"/>
        </w:rPr>
        <w:t xml:space="preserve"> na úkor bežných transferov</w:t>
      </w:r>
      <w:r w:rsidRPr="00DA7877">
        <w:rPr>
          <w:rFonts w:ascii="Times New Roman" w:hAnsi="Times New Roman" w:cs="Times New Roman"/>
        </w:rPr>
        <w:t xml:space="preserve"> </w:t>
      </w:r>
      <w:r>
        <w:rPr>
          <w:rFonts w:ascii="Times New Roman" w:hAnsi="Times New Roman" w:cs="Times New Roman"/>
        </w:rPr>
        <w:t xml:space="preserve">a vnútorného presunu z tovarov a služieb pre zamestnancov zabezpečujúcich oblasť kybernetickej bezpečnosti. </w:t>
      </w:r>
    </w:p>
    <w:p w:rsidR="007D13F3" w:rsidRPr="0041039B" w:rsidRDefault="007D13F3" w:rsidP="007D13F3">
      <w:pPr>
        <w:ind w:firstLine="708"/>
        <w:jc w:val="both"/>
        <w:rPr>
          <w:rFonts w:ascii="Times New Roman" w:hAnsi="Times New Roman" w:cs="Times New Roman"/>
          <w:lang w:eastAsia="sk-SK"/>
        </w:rPr>
      </w:pPr>
    </w:p>
    <w:p w:rsidR="007D13F3" w:rsidRPr="00DA7877" w:rsidRDefault="007D13F3" w:rsidP="007D13F3">
      <w:pPr>
        <w:ind w:firstLine="708"/>
        <w:jc w:val="both"/>
        <w:rPr>
          <w:rFonts w:ascii="Times New Roman" w:hAnsi="Times New Roman" w:cs="Times New Roman"/>
        </w:rPr>
      </w:pPr>
      <w:r w:rsidRPr="0041039B">
        <w:rPr>
          <w:rFonts w:ascii="Times New Roman" w:hAnsi="Times New Roman" w:cs="Times New Roman"/>
        </w:rPr>
        <w:t>Výdavky na tovary a služby sú v návr</w:t>
      </w:r>
      <w:r>
        <w:rPr>
          <w:rFonts w:ascii="Times New Roman" w:hAnsi="Times New Roman" w:cs="Times New Roman"/>
        </w:rPr>
        <w:t xml:space="preserve">hu rozpočtu na rok 2018 stanovené v sume </w:t>
      </w:r>
      <w:r>
        <w:rPr>
          <w:rFonts w:ascii="Times New Roman" w:hAnsi="Times New Roman" w:cs="Times New Roman"/>
        </w:rPr>
        <w:br/>
        <w:t>3,07</w:t>
      </w:r>
      <w:r w:rsidRPr="0041039B">
        <w:rPr>
          <w:rFonts w:ascii="Times New Roman" w:hAnsi="Times New Roman" w:cs="Times New Roman"/>
        </w:rPr>
        <w:t xml:space="preserve"> mil. eur, čo je oproti </w:t>
      </w:r>
      <w:r>
        <w:rPr>
          <w:rFonts w:ascii="Times New Roman" w:hAnsi="Times New Roman" w:cs="Times New Roman"/>
        </w:rPr>
        <w:t xml:space="preserve">schválenému rozpočtu na rok 2017 menej o 434 tis. eur, </w:t>
      </w:r>
      <w:r>
        <w:rPr>
          <w:rFonts w:ascii="Times New Roman" w:hAnsi="Times New Roman" w:cs="Times New Roman"/>
        </w:rPr>
        <w:br/>
        <w:t>t. j. o 12,4</w:t>
      </w:r>
      <w:r w:rsidRPr="0041039B">
        <w:rPr>
          <w:rFonts w:ascii="Times New Roman" w:hAnsi="Times New Roman" w:cs="Times New Roman"/>
        </w:rPr>
        <w:t xml:space="preserve"> </w:t>
      </w:r>
      <w:r>
        <w:rPr>
          <w:rFonts w:ascii="Times New Roman" w:hAnsi="Times New Roman" w:cs="Times New Roman"/>
        </w:rPr>
        <w:t>%, pričom klesajú najmä výdavky na riešenie úloh v oblasti jadrovej bezpečnosti, expertízy, analýzy a</w:t>
      </w:r>
      <w:r w:rsidR="00941A11">
        <w:rPr>
          <w:rFonts w:ascii="Times New Roman" w:hAnsi="Times New Roman" w:cs="Times New Roman"/>
        </w:rPr>
        <w:t> </w:t>
      </w:r>
      <w:r>
        <w:rPr>
          <w:rFonts w:ascii="Times New Roman" w:hAnsi="Times New Roman" w:cs="Times New Roman"/>
        </w:rPr>
        <w:t>posudky</w:t>
      </w:r>
      <w:r w:rsidR="00941A11">
        <w:rPr>
          <w:rFonts w:ascii="Times New Roman" w:hAnsi="Times New Roman" w:cs="Times New Roman"/>
        </w:rPr>
        <w:t xml:space="preserve"> a</w:t>
      </w:r>
      <w:r>
        <w:rPr>
          <w:rFonts w:ascii="Times New Roman" w:hAnsi="Times New Roman" w:cs="Times New Roman"/>
        </w:rPr>
        <w:t xml:space="preserve"> cestovné náhrady.</w:t>
      </w:r>
    </w:p>
    <w:p w:rsidR="007D13F3" w:rsidRPr="0041039B" w:rsidRDefault="007D13F3" w:rsidP="007D13F3">
      <w:pPr>
        <w:ind w:firstLine="708"/>
        <w:jc w:val="both"/>
        <w:rPr>
          <w:rFonts w:ascii="Times New Roman" w:hAnsi="Times New Roman" w:cs="Times New Roman"/>
        </w:rPr>
      </w:pPr>
    </w:p>
    <w:p w:rsidR="007D13F3" w:rsidRPr="00FD444A" w:rsidRDefault="007D13F3" w:rsidP="007D13F3">
      <w:pPr>
        <w:ind w:firstLine="708"/>
        <w:jc w:val="both"/>
        <w:rPr>
          <w:rFonts w:ascii="Times New Roman" w:hAnsi="Times New Roman" w:cs="Times New Roman"/>
        </w:rPr>
      </w:pPr>
      <w:r w:rsidRPr="0041039B">
        <w:rPr>
          <w:rFonts w:ascii="Times New Roman" w:hAnsi="Times New Roman" w:cs="Times New Roman"/>
        </w:rPr>
        <w:t xml:space="preserve">Bežné transfery </w:t>
      </w:r>
      <w:r>
        <w:rPr>
          <w:rFonts w:ascii="Times New Roman" w:hAnsi="Times New Roman" w:cs="Times New Roman"/>
        </w:rPr>
        <w:t>sa v návrhu rozpočtu na rok 2018 navrhujú v sume 889 tis</w:t>
      </w:r>
      <w:r w:rsidRPr="0041039B">
        <w:rPr>
          <w:rFonts w:ascii="Times New Roman" w:hAnsi="Times New Roman" w:cs="Times New Roman"/>
        </w:rPr>
        <w:t>. eur</w:t>
      </w:r>
      <w:r>
        <w:rPr>
          <w:rFonts w:ascii="Times New Roman" w:hAnsi="Times New Roman" w:cs="Times New Roman"/>
        </w:rPr>
        <w:t>,</w:t>
      </w:r>
      <w:r w:rsidRPr="0041039B">
        <w:rPr>
          <w:rFonts w:ascii="Times New Roman" w:hAnsi="Times New Roman" w:cs="Times New Roman"/>
        </w:rPr>
        <w:t xml:space="preserve"> </w:t>
      </w:r>
      <w:r>
        <w:rPr>
          <w:rFonts w:ascii="Times New Roman" w:hAnsi="Times New Roman" w:cs="Times New Roman"/>
        </w:rPr>
        <w:t>čo je oproti schválenému rozpočtu na rok 2017 menej o 115 tis. eur, t. j. o 11,5 % z dôvodu medziročného poklesu príspevkov do medzinárodných organizácií a výdavkov na odstupné</w:t>
      </w:r>
      <w:r w:rsidRPr="00FD444A">
        <w:rPr>
          <w:rFonts w:ascii="Times New Roman" w:hAnsi="Times New Roman" w:cs="Times New Roman"/>
        </w:rPr>
        <w:t>.</w:t>
      </w:r>
    </w:p>
    <w:p w:rsidR="007D13F3" w:rsidRPr="0041039B"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41039B">
        <w:rPr>
          <w:rFonts w:ascii="Times New Roman" w:hAnsi="Times New Roman" w:cs="Times New Roman"/>
        </w:rPr>
        <w:t>Kapitálové výdavky sú v návrhu rozpočtu na rok 201</w:t>
      </w:r>
      <w:r>
        <w:rPr>
          <w:rFonts w:ascii="Times New Roman" w:hAnsi="Times New Roman" w:cs="Times New Roman"/>
        </w:rPr>
        <w:t xml:space="preserve">8 rozpočtované v sume </w:t>
      </w:r>
      <w:r>
        <w:rPr>
          <w:rFonts w:ascii="Times New Roman" w:hAnsi="Times New Roman" w:cs="Times New Roman"/>
        </w:rPr>
        <w:br/>
        <w:t>148</w:t>
      </w:r>
      <w:r w:rsidRPr="0041039B">
        <w:rPr>
          <w:rFonts w:ascii="Times New Roman" w:hAnsi="Times New Roman" w:cs="Times New Roman"/>
        </w:rPr>
        <w:t xml:space="preserve"> tis. eur</w:t>
      </w:r>
      <w:r>
        <w:rPr>
          <w:rFonts w:ascii="Times New Roman" w:hAnsi="Times New Roman" w:cs="Times New Roman"/>
        </w:rPr>
        <w:t xml:space="preserve"> a </w:t>
      </w:r>
      <w:r w:rsidRPr="0041039B">
        <w:rPr>
          <w:rFonts w:ascii="Times New Roman" w:hAnsi="Times New Roman" w:cs="Times New Roman"/>
        </w:rPr>
        <w:t xml:space="preserve">oproti </w:t>
      </w:r>
      <w:r>
        <w:rPr>
          <w:rFonts w:ascii="Times New Roman" w:hAnsi="Times New Roman" w:cs="Times New Roman"/>
        </w:rPr>
        <w:t xml:space="preserve">schválenému rozpočtu na rok 2017 rastú o 23,8 tis. eur, t. j. o 19,2 %. </w:t>
      </w:r>
      <w:r w:rsidRPr="002E1E8E">
        <w:rPr>
          <w:rFonts w:ascii="Times New Roman" w:hAnsi="Times New Roman" w:cs="Times New Roman"/>
        </w:rPr>
        <w:t>Sú určené na zabezpečenie technického vybavenia v Centre havarijnej odozvy, obstaranie hardvéru, softvéru, komunikačnej infraštr</w:t>
      </w:r>
      <w:r>
        <w:rPr>
          <w:rFonts w:ascii="Times New Roman" w:hAnsi="Times New Roman" w:cs="Times New Roman"/>
        </w:rPr>
        <w:t xml:space="preserve">uktúry, </w:t>
      </w:r>
      <w:r w:rsidRPr="002E1E8E">
        <w:rPr>
          <w:rFonts w:ascii="Times New Roman" w:hAnsi="Times New Roman" w:cs="Times New Roman"/>
        </w:rPr>
        <w:t>kopírovacích zariadení</w:t>
      </w:r>
      <w:r>
        <w:rPr>
          <w:rFonts w:ascii="Times New Roman" w:hAnsi="Times New Roman" w:cs="Times New Roman"/>
        </w:rPr>
        <w:t xml:space="preserve"> a rekonštrukciu softvéru.</w:t>
      </w:r>
    </w:p>
    <w:p w:rsidR="007D13F3" w:rsidRDefault="007D13F3" w:rsidP="007D13F3">
      <w:pPr>
        <w:spacing w:after="160" w:line="259" w:lineRule="auto"/>
        <w:rPr>
          <w:rFonts w:ascii="Times New Roman" w:hAnsi="Times New Roman" w:cs="Times New Roman"/>
          <w:b/>
          <w:bCs/>
          <w:iCs/>
          <w:szCs w:val="26"/>
        </w:rPr>
      </w:pPr>
      <w:bookmarkStart w:id="184" w:name="_Toc400551779"/>
      <w:bookmarkStart w:id="185" w:name="_Toc463048276"/>
      <w:r>
        <w:rPr>
          <w:i/>
        </w:rPr>
        <w:br w:type="page"/>
      </w:r>
    </w:p>
    <w:p w:rsidR="007D13F3" w:rsidRPr="0015253F" w:rsidRDefault="007D13F3" w:rsidP="007D13F3">
      <w:pPr>
        <w:pStyle w:val="Nadpis5"/>
        <w:pBdr>
          <w:bottom w:val="single" w:sz="4" w:space="1" w:color="auto"/>
        </w:pBdr>
        <w:spacing w:before="0" w:after="0"/>
        <w:ind w:left="0"/>
        <w:rPr>
          <w:i w:val="0"/>
          <w:sz w:val="24"/>
        </w:rPr>
      </w:pPr>
      <w:bookmarkStart w:id="186" w:name="_Toc494470118"/>
      <w:bookmarkStart w:id="187" w:name="_Toc494472294"/>
      <w:r w:rsidRPr="0015253F">
        <w:rPr>
          <w:i w:val="0"/>
          <w:sz w:val="24"/>
        </w:rPr>
        <w:lastRenderedPageBreak/>
        <w:t>Úrad priemyselného vlastníctva SR</w:t>
      </w:r>
      <w:bookmarkEnd w:id="184"/>
      <w:bookmarkEnd w:id="185"/>
      <w:bookmarkEnd w:id="186"/>
      <w:bookmarkEnd w:id="187"/>
    </w:p>
    <w:p w:rsidR="007D13F3" w:rsidRPr="0015253F" w:rsidRDefault="007D13F3" w:rsidP="007D13F3">
      <w:pPr>
        <w:spacing w:line="360" w:lineRule="auto"/>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3470"/>
        <w:gridCol w:w="800"/>
        <w:gridCol w:w="799"/>
        <w:gridCol w:w="799"/>
        <w:gridCol w:w="799"/>
        <w:gridCol w:w="799"/>
        <w:gridCol w:w="799"/>
        <w:gridCol w:w="797"/>
      </w:tblGrid>
      <w:tr w:rsidR="007D13F3" w:rsidRPr="00941A11" w:rsidTr="00465CAC">
        <w:trPr>
          <w:trHeight w:hRule="exact" w:val="255"/>
        </w:trPr>
        <w:tc>
          <w:tcPr>
            <w:tcW w:w="1914"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7D13F3" w:rsidRPr="00941A11" w:rsidRDefault="007D13F3" w:rsidP="00465CAC">
            <w:pP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v eurách</w:t>
            </w:r>
          </w:p>
        </w:tc>
        <w:tc>
          <w:tcPr>
            <w:tcW w:w="441" w:type="pct"/>
            <w:tcBorders>
              <w:top w:val="single" w:sz="4" w:space="0" w:color="auto"/>
              <w:left w:val="nil"/>
              <w:bottom w:val="single" w:sz="4" w:space="0" w:color="auto"/>
              <w:right w:val="single" w:sz="4" w:space="0" w:color="auto"/>
            </w:tcBorders>
            <w:shd w:val="pct35" w:color="000000" w:fill="FFFFFF" w:themeFill="background1"/>
            <w:vAlign w:val="center"/>
            <w:hideMark/>
          </w:tcPr>
          <w:p w:rsidR="007D13F3" w:rsidRPr="00941A11" w:rsidRDefault="007D13F3" w:rsidP="00465CAC">
            <w:pPr>
              <w:jc w:val="cente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2015 S</w:t>
            </w:r>
          </w:p>
        </w:tc>
        <w:tc>
          <w:tcPr>
            <w:tcW w:w="44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941A11" w:rsidRDefault="007D13F3" w:rsidP="00465CAC">
            <w:pPr>
              <w:jc w:val="cente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 xml:space="preserve">2016 S </w:t>
            </w:r>
          </w:p>
        </w:tc>
        <w:tc>
          <w:tcPr>
            <w:tcW w:w="44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941A11" w:rsidRDefault="007D13F3" w:rsidP="00465CAC">
            <w:pPr>
              <w:jc w:val="cente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2017 R</w:t>
            </w:r>
          </w:p>
        </w:tc>
        <w:tc>
          <w:tcPr>
            <w:tcW w:w="44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7D13F3" w:rsidRPr="00941A11" w:rsidRDefault="007D13F3" w:rsidP="00465CAC">
            <w:pPr>
              <w:jc w:val="cente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2017 OS</w:t>
            </w:r>
          </w:p>
        </w:tc>
        <w:tc>
          <w:tcPr>
            <w:tcW w:w="441" w:type="pct"/>
            <w:tcBorders>
              <w:top w:val="single" w:sz="4" w:space="0" w:color="auto"/>
              <w:left w:val="nil"/>
              <w:bottom w:val="single" w:sz="4" w:space="0" w:color="auto"/>
              <w:right w:val="single" w:sz="4" w:space="0" w:color="auto"/>
            </w:tcBorders>
            <w:shd w:val="pct35" w:color="000000" w:fill="FFFFFF" w:themeFill="background1"/>
            <w:vAlign w:val="center"/>
            <w:hideMark/>
          </w:tcPr>
          <w:p w:rsidR="007D13F3" w:rsidRPr="00941A11" w:rsidRDefault="007D13F3" w:rsidP="00465CAC">
            <w:pPr>
              <w:jc w:val="center"/>
              <w:rPr>
                <w:rFonts w:ascii="Times New Roman" w:hAnsi="Times New Roman" w:cs="Times New Roman"/>
                <w:b/>
                <w:bCs/>
                <w:sz w:val="14"/>
                <w:szCs w:val="14"/>
                <w:lang w:eastAsia="sk-SK"/>
              </w:rPr>
            </w:pPr>
            <w:r w:rsidRPr="00941A11">
              <w:rPr>
                <w:rFonts w:ascii="Times New Roman" w:hAnsi="Times New Roman" w:cs="Times New Roman"/>
                <w:b/>
                <w:bCs/>
                <w:sz w:val="14"/>
                <w:szCs w:val="14"/>
                <w:lang w:eastAsia="sk-SK"/>
              </w:rPr>
              <w:t>2018 N</w:t>
            </w:r>
          </w:p>
        </w:tc>
        <w:tc>
          <w:tcPr>
            <w:tcW w:w="441" w:type="pct"/>
            <w:tcBorders>
              <w:top w:val="single" w:sz="4" w:space="0" w:color="auto"/>
              <w:left w:val="nil"/>
              <w:bottom w:val="single" w:sz="4" w:space="0" w:color="auto"/>
              <w:right w:val="single" w:sz="4" w:space="0" w:color="auto"/>
            </w:tcBorders>
            <w:shd w:val="pct35" w:color="000000" w:fill="FFFFFF" w:themeFill="background1"/>
            <w:vAlign w:val="center"/>
            <w:hideMark/>
          </w:tcPr>
          <w:p w:rsidR="007D13F3" w:rsidRPr="00941A11" w:rsidRDefault="007D13F3" w:rsidP="00465CAC">
            <w:pPr>
              <w:jc w:val="center"/>
              <w:rPr>
                <w:rFonts w:ascii="Times New Roman" w:hAnsi="Times New Roman" w:cs="Times New Roman"/>
                <w:b/>
                <w:bCs/>
                <w:sz w:val="14"/>
                <w:szCs w:val="14"/>
                <w:lang w:eastAsia="sk-SK"/>
              </w:rPr>
            </w:pPr>
            <w:r w:rsidRPr="00941A11">
              <w:rPr>
                <w:rFonts w:ascii="Times New Roman" w:hAnsi="Times New Roman" w:cs="Times New Roman"/>
                <w:b/>
                <w:bCs/>
                <w:sz w:val="14"/>
                <w:szCs w:val="14"/>
                <w:lang w:eastAsia="sk-SK"/>
              </w:rPr>
              <w:t>2019 N</w:t>
            </w:r>
          </w:p>
        </w:tc>
        <w:tc>
          <w:tcPr>
            <w:tcW w:w="441" w:type="pct"/>
            <w:tcBorders>
              <w:top w:val="single" w:sz="4" w:space="0" w:color="auto"/>
              <w:left w:val="nil"/>
              <w:bottom w:val="single" w:sz="4" w:space="0" w:color="auto"/>
              <w:right w:val="single" w:sz="4" w:space="0" w:color="auto"/>
            </w:tcBorders>
            <w:shd w:val="pct35" w:color="000000" w:fill="FFFFFF" w:themeFill="background1"/>
            <w:vAlign w:val="center"/>
            <w:hideMark/>
          </w:tcPr>
          <w:p w:rsidR="007D13F3" w:rsidRPr="00941A11" w:rsidRDefault="007D13F3" w:rsidP="00465CAC">
            <w:pPr>
              <w:jc w:val="center"/>
              <w:rPr>
                <w:rFonts w:ascii="Times New Roman" w:hAnsi="Times New Roman" w:cs="Times New Roman"/>
                <w:b/>
                <w:bCs/>
                <w:sz w:val="14"/>
                <w:szCs w:val="14"/>
                <w:lang w:eastAsia="sk-SK"/>
              </w:rPr>
            </w:pPr>
            <w:r w:rsidRPr="00941A11">
              <w:rPr>
                <w:rFonts w:ascii="Times New Roman" w:hAnsi="Times New Roman" w:cs="Times New Roman"/>
                <w:b/>
                <w:bCs/>
                <w:sz w:val="14"/>
                <w:szCs w:val="14"/>
                <w:lang w:eastAsia="sk-SK"/>
              </w:rPr>
              <w:t>2020 N</w:t>
            </w:r>
          </w:p>
        </w:tc>
      </w:tr>
      <w:tr w:rsidR="007D13F3" w:rsidRPr="00941A11" w:rsidTr="00465CAC">
        <w:trPr>
          <w:trHeight w:hRule="exact" w:val="255"/>
        </w:trPr>
        <w:tc>
          <w:tcPr>
            <w:tcW w:w="1914" w:type="pct"/>
            <w:tcBorders>
              <w:top w:val="single" w:sz="4" w:space="0" w:color="auto"/>
              <w:left w:val="single" w:sz="4" w:space="0" w:color="auto"/>
              <w:bottom w:val="single" w:sz="4" w:space="0" w:color="auto"/>
              <w:right w:val="single" w:sz="4" w:space="0" w:color="auto"/>
            </w:tcBorders>
            <w:shd w:val="pct25" w:color="000000" w:fill="FFFFFF" w:themeFill="background1"/>
            <w:noWrap/>
            <w:vAlign w:val="center"/>
            <w:hideMark/>
          </w:tcPr>
          <w:p w:rsidR="007D13F3" w:rsidRPr="00941A11" w:rsidRDefault="007D13F3" w:rsidP="00465CAC">
            <w:pP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Zdroje príslušnej kapitoly</w:t>
            </w:r>
          </w:p>
        </w:tc>
        <w:tc>
          <w:tcPr>
            <w:tcW w:w="441" w:type="pct"/>
            <w:tcBorders>
              <w:top w:val="single" w:sz="4" w:space="0" w:color="auto"/>
              <w:left w:val="nil"/>
              <w:bottom w:val="single" w:sz="4" w:space="0" w:color="auto"/>
              <w:right w:val="single" w:sz="4" w:space="0" w:color="auto"/>
            </w:tcBorders>
            <w:shd w:val="pct25" w:color="000000" w:fill="FFFFFF" w:themeFill="background1"/>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3 858 452</w:t>
            </w:r>
          </w:p>
        </w:tc>
        <w:tc>
          <w:tcPr>
            <w:tcW w:w="441" w:type="pct"/>
            <w:tcBorders>
              <w:top w:val="single" w:sz="4" w:space="0" w:color="auto"/>
              <w:left w:val="nil"/>
              <w:bottom w:val="single" w:sz="4" w:space="0" w:color="auto"/>
              <w:right w:val="single" w:sz="4" w:space="0" w:color="auto"/>
            </w:tcBorders>
            <w:shd w:val="pct25" w:color="000000" w:fill="FFFFFF" w:themeFill="background1"/>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3 029 039</w:t>
            </w:r>
          </w:p>
        </w:tc>
        <w:tc>
          <w:tcPr>
            <w:tcW w:w="441" w:type="pct"/>
            <w:tcBorders>
              <w:top w:val="single" w:sz="4" w:space="0" w:color="auto"/>
              <w:left w:val="nil"/>
              <w:bottom w:val="single" w:sz="4" w:space="0" w:color="auto"/>
              <w:right w:val="single" w:sz="4" w:space="0" w:color="auto"/>
            </w:tcBorders>
            <w:shd w:val="pct25" w:color="000000" w:fill="FFFFFF" w:themeFill="background1"/>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3 178 066</w:t>
            </w:r>
          </w:p>
        </w:tc>
        <w:tc>
          <w:tcPr>
            <w:tcW w:w="441" w:type="pct"/>
            <w:tcBorders>
              <w:top w:val="single" w:sz="4" w:space="0" w:color="auto"/>
              <w:left w:val="nil"/>
              <w:bottom w:val="single" w:sz="4" w:space="0" w:color="auto"/>
              <w:right w:val="single" w:sz="4" w:space="0" w:color="auto"/>
            </w:tcBorders>
            <w:shd w:val="pct25" w:color="000000" w:fill="FFFFFF" w:themeFill="background1"/>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3 278 061</w:t>
            </w:r>
          </w:p>
        </w:tc>
        <w:tc>
          <w:tcPr>
            <w:tcW w:w="441" w:type="pct"/>
            <w:tcBorders>
              <w:top w:val="single" w:sz="4" w:space="0" w:color="auto"/>
              <w:left w:val="nil"/>
              <w:bottom w:val="single" w:sz="4" w:space="0" w:color="auto"/>
              <w:right w:val="single" w:sz="4" w:space="0" w:color="auto"/>
            </w:tcBorders>
            <w:shd w:val="pct25" w:color="000000" w:fill="FFFFFF" w:themeFill="background1"/>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3 444 174</w:t>
            </w:r>
          </w:p>
        </w:tc>
        <w:tc>
          <w:tcPr>
            <w:tcW w:w="441" w:type="pct"/>
            <w:tcBorders>
              <w:top w:val="single" w:sz="4" w:space="0" w:color="auto"/>
              <w:left w:val="nil"/>
              <w:bottom w:val="single" w:sz="4" w:space="0" w:color="auto"/>
              <w:right w:val="single" w:sz="4" w:space="0" w:color="auto"/>
            </w:tcBorders>
            <w:shd w:val="pct25" w:color="000000" w:fill="FFFFFF" w:themeFill="background1"/>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3 416 257</w:t>
            </w:r>
          </w:p>
        </w:tc>
        <w:tc>
          <w:tcPr>
            <w:tcW w:w="441" w:type="pct"/>
            <w:tcBorders>
              <w:top w:val="single" w:sz="4" w:space="0" w:color="auto"/>
              <w:left w:val="nil"/>
              <w:bottom w:val="single" w:sz="4" w:space="0" w:color="auto"/>
              <w:right w:val="single" w:sz="4" w:space="0" w:color="auto"/>
            </w:tcBorders>
            <w:shd w:val="pct25" w:color="000000" w:fill="FFFFFF" w:themeFill="background1"/>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3 416 257</w:t>
            </w:r>
          </w:p>
        </w:tc>
      </w:tr>
      <w:tr w:rsidR="007D13F3" w:rsidRPr="00941A11" w:rsidTr="00465CAC">
        <w:trPr>
          <w:trHeight w:hRule="exact" w:val="255"/>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41A11" w:rsidRDefault="007D13F3" w:rsidP="00465CAC">
            <w:pP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rozpočtové zdroje kapitoly</w:t>
            </w:r>
          </w:p>
        </w:tc>
        <w:tc>
          <w:tcPr>
            <w:tcW w:w="441" w:type="pct"/>
            <w:tcBorders>
              <w:top w:val="nil"/>
              <w:left w:val="nil"/>
              <w:bottom w:val="single" w:sz="4" w:space="0" w:color="auto"/>
              <w:right w:val="single" w:sz="4" w:space="0" w:color="auto"/>
            </w:tcBorders>
            <w:shd w:val="clear" w:color="auto" w:fill="auto"/>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3 058 457</w:t>
            </w:r>
          </w:p>
        </w:tc>
        <w:tc>
          <w:tcPr>
            <w:tcW w:w="441" w:type="pct"/>
            <w:tcBorders>
              <w:top w:val="nil"/>
              <w:left w:val="nil"/>
              <w:bottom w:val="single" w:sz="4" w:space="0" w:color="auto"/>
              <w:right w:val="single" w:sz="4" w:space="0" w:color="auto"/>
            </w:tcBorders>
            <w:shd w:val="clear" w:color="auto" w:fill="auto"/>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3 029 039</w:t>
            </w:r>
          </w:p>
        </w:tc>
        <w:tc>
          <w:tcPr>
            <w:tcW w:w="441" w:type="pct"/>
            <w:tcBorders>
              <w:top w:val="nil"/>
              <w:left w:val="nil"/>
              <w:bottom w:val="single" w:sz="4" w:space="0" w:color="auto"/>
              <w:right w:val="single" w:sz="4" w:space="0" w:color="auto"/>
            </w:tcBorders>
            <w:shd w:val="clear" w:color="auto" w:fill="auto"/>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3 178 066</w:t>
            </w:r>
          </w:p>
        </w:tc>
        <w:tc>
          <w:tcPr>
            <w:tcW w:w="441" w:type="pct"/>
            <w:tcBorders>
              <w:top w:val="nil"/>
              <w:left w:val="nil"/>
              <w:bottom w:val="single" w:sz="4" w:space="0" w:color="auto"/>
              <w:right w:val="single" w:sz="4" w:space="0" w:color="auto"/>
            </w:tcBorders>
            <w:shd w:val="clear" w:color="auto" w:fill="auto"/>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3 156 095</w:t>
            </w:r>
          </w:p>
        </w:tc>
        <w:tc>
          <w:tcPr>
            <w:tcW w:w="441" w:type="pct"/>
            <w:tcBorders>
              <w:top w:val="nil"/>
              <w:left w:val="nil"/>
              <w:bottom w:val="single" w:sz="4" w:space="0" w:color="auto"/>
              <w:right w:val="single" w:sz="4" w:space="0" w:color="auto"/>
            </w:tcBorders>
            <w:shd w:val="clear" w:color="auto" w:fill="auto"/>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3 444 174</w:t>
            </w:r>
          </w:p>
        </w:tc>
        <w:tc>
          <w:tcPr>
            <w:tcW w:w="441" w:type="pct"/>
            <w:tcBorders>
              <w:top w:val="nil"/>
              <w:left w:val="nil"/>
              <w:bottom w:val="single" w:sz="4" w:space="0" w:color="auto"/>
              <w:right w:val="single" w:sz="4" w:space="0" w:color="auto"/>
            </w:tcBorders>
            <w:shd w:val="clear" w:color="auto" w:fill="auto"/>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3 416 257</w:t>
            </w:r>
          </w:p>
        </w:tc>
        <w:tc>
          <w:tcPr>
            <w:tcW w:w="441" w:type="pct"/>
            <w:tcBorders>
              <w:top w:val="nil"/>
              <w:left w:val="nil"/>
              <w:bottom w:val="single" w:sz="4" w:space="0" w:color="auto"/>
              <w:right w:val="single" w:sz="4" w:space="0" w:color="auto"/>
            </w:tcBorders>
            <w:shd w:val="clear" w:color="auto" w:fill="auto"/>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3 416 257</w:t>
            </w:r>
          </w:p>
        </w:tc>
      </w:tr>
      <w:tr w:rsidR="007D13F3" w:rsidRPr="00941A11" w:rsidTr="00465CAC">
        <w:trPr>
          <w:trHeight w:hRule="exact" w:val="255"/>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v tom: bežné výdavky  600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2 887 260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2 999 039</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3 148 066</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3 128 733</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3 386 257</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3 386 257</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3 386 257</w:t>
            </w:r>
          </w:p>
        </w:tc>
      </w:tr>
      <w:tr w:rsidR="007D13F3" w:rsidRPr="00941A11" w:rsidTr="00465CAC">
        <w:trPr>
          <w:trHeight w:hRule="exact" w:val="255"/>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610 mzdy</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1 535 230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1 601 002</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1 659 955</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1 734 208</w:t>
            </w:r>
          </w:p>
        </w:tc>
        <w:tc>
          <w:tcPr>
            <w:tcW w:w="441" w:type="pct"/>
            <w:tcBorders>
              <w:top w:val="nil"/>
              <w:left w:val="nil"/>
              <w:bottom w:val="single" w:sz="4" w:space="0" w:color="auto"/>
              <w:right w:val="single" w:sz="4" w:space="0" w:color="auto"/>
            </w:tcBorders>
            <w:shd w:val="clear" w:color="auto" w:fill="auto"/>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1 805 300</w:t>
            </w:r>
          </w:p>
        </w:tc>
        <w:tc>
          <w:tcPr>
            <w:tcW w:w="441" w:type="pct"/>
            <w:tcBorders>
              <w:top w:val="nil"/>
              <w:left w:val="nil"/>
              <w:bottom w:val="single" w:sz="4" w:space="0" w:color="auto"/>
              <w:right w:val="single" w:sz="4" w:space="0" w:color="auto"/>
            </w:tcBorders>
            <w:shd w:val="clear" w:color="auto" w:fill="auto"/>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1 805 300</w:t>
            </w:r>
          </w:p>
        </w:tc>
        <w:tc>
          <w:tcPr>
            <w:tcW w:w="441" w:type="pct"/>
            <w:tcBorders>
              <w:top w:val="nil"/>
              <w:left w:val="nil"/>
              <w:bottom w:val="single" w:sz="4" w:space="0" w:color="auto"/>
              <w:right w:val="single" w:sz="4" w:space="0" w:color="auto"/>
            </w:tcBorders>
            <w:shd w:val="clear" w:color="auto" w:fill="auto"/>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1 805 300</w:t>
            </w:r>
          </w:p>
        </w:tc>
      </w:tr>
      <w:tr w:rsidR="007D13F3" w:rsidRPr="00941A11" w:rsidTr="00465CAC">
        <w:trPr>
          <w:trHeight w:hRule="exact" w:val="255"/>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620 odvody</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621 040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563 662</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611 354</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612 096</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682 781</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682 781</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682 781</w:t>
            </w:r>
          </w:p>
        </w:tc>
      </w:tr>
      <w:tr w:rsidR="007D13F3" w:rsidRPr="00941A11" w:rsidTr="00465CAC">
        <w:trPr>
          <w:trHeight w:hRule="exact" w:val="255"/>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630 tovary a služby</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587 899</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675 141</w:t>
            </w:r>
          </w:p>
        </w:tc>
        <w:tc>
          <w:tcPr>
            <w:tcW w:w="441" w:type="pct"/>
            <w:tcBorders>
              <w:top w:val="nil"/>
              <w:left w:val="nil"/>
              <w:bottom w:val="single" w:sz="4" w:space="0" w:color="auto"/>
              <w:right w:val="single" w:sz="4" w:space="0" w:color="auto"/>
            </w:tcBorders>
            <w:shd w:val="clear" w:color="000000" w:fill="FFFFFF"/>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734 257</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622 448</w:t>
            </w:r>
          </w:p>
        </w:tc>
        <w:tc>
          <w:tcPr>
            <w:tcW w:w="441" w:type="pct"/>
            <w:tcBorders>
              <w:top w:val="nil"/>
              <w:left w:val="nil"/>
              <w:bottom w:val="single" w:sz="4" w:space="0" w:color="auto"/>
              <w:right w:val="single" w:sz="4" w:space="0" w:color="auto"/>
            </w:tcBorders>
            <w:shd w:val="clear" w:color="000000" w:fill="FFFFFF"/>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755 676</w:t>
            </w:r>
          </w:p>
        </w:tc>
        <w:tc>
          <w:tcPr>
            <w:tcW w:w="441" w:type="pct"/>
            <w:tcBorders>
              <w:top w:val="nil"/>
              <w:left w:val="nil"/>
              <w:bottom w:val="single" w:sz="4" w:space="0" w:color="auto"/>
              <w:right w:val="single" w:sz="4" w:space="0" w:color="auto"/>
            </w:tcBorders>
            <w:shd w:val="clear" w:color="000000" w:fill="FFFFFF"/>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755 676</w:t>
            </w:r>
          </w:p>
        </w:tc>
        <w:tc>
          <w:tcPr>
            <w:tcW w:w="441" w:type="pct"/>
            <w:tcBorders>
              <w:top w:val="nil"/>
              <w:left w:val="nil"/>
              <w:bottom w:val="single" w:sz="4" w:space="0" w:color="auto"/>
              <w:right w:val="single" w:sz="4" w:space="0" w:color="auto"/>
            </w:tcBorders>
            <w:shd w:val="clear" w:color="000000" w:fill="FFFFFF"/>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755 676</w:t>
            </w:r>
          </w:p>
        </w:tc>
      </w:tr>
      <w:tr w:rsidR="007D13F3" w:rsidRPr="00941A11" w:rsidTr="00465CAC">
        <w:trPr>
          <w:trHeight w:hRule="exact" w:val="255"/>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640 bežné transfery</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143 091</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159 234</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142 500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159 981</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142 500</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142 500</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142 500</w:t>
            </w:r>
          </w:p>
        </w:tc>
      </w:tr>
      <w:tr w:rsidR="007D13F3" w:rsidRPr="00941A11" w:rsidTr="00465CAC">
        <w:trPr>
          <w:trHeight w:hRule="exact" w:val="255"/>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kapitálové výdavky 700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171 197</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30 000</w:t>
            </w:r>
          </w:p>
        </w:tc>
        <w:tc>
          <w:tcPr>
            <w:tcW w:w="441" w:type="pct"/>
            <w:tcBorders>
              <w:top w:val="nil"/>
              <w:left w:val="nil"/>
              <w:bottom w:val="single" w:sz="4" w:space="0" w:color="auto"/>
              <w:right w:val="single" w:sz="4" w:space="0" w:color="auto"/>
            </w:tcBorders>
            <w:shd w:val="clear" w:color="000000" w:fill="FFFFFF"/>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30 000</w:t>
            </w:r>
          </w:p>
        </w:tc>
        <w:tc>
          <w:tcPr>
            <w:tcW w:w="441" w:type="pct"/>
            <w:tcBorders>
              <w:top w:val="nil"/>
              <w:left w:val="nil"/>
              <w:bottom w:val="single" w:sz="4" w:space="0" w:color="auto"/>
              <w:right w:val="single" w:sz="4" w:space="0" w:color="auto"/>
            </w:tcBorders>
            <w:shd w:val="clear" w:color="000000" w:fill="FFFFFF"/>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27 362</w:t>
            </w:r>
          </w:p>
        </w:tc>
        <w:tc>
          <w:tcPr>
            <w:tcW w:w="441" w:type="pct"/>
            <w:tcBorders>
              <w:top w:val="nil"/>
              <w:left w:val="nil"/>
              <w:bottom w:val="single" w:sz="4" w:space="0" w:color="auto"/>
              <w:right w:val="single" w:sz="4" w:space="0" w:color="auto"/>
            </w:tcBorders>
            <w:shd w:val="clear" w:color="000000" w:fill="FFFFFF"/>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57 917</w:t>
            </w:r>
          </w:p>
        </w:tc>
        <w:tc>
          <w:tcPr>
            <w:tcW w:w="441" w:type="pct"/>
            <w:tcBorders>
              <w:top w:val="nil"/>
              <w:left w:val="nil"/>
              <w:bottom w:val="single" w:sz="4" w:space="0" w:color="auto"/>
              <w:right w:val="single" w:sz="4" w:space="0" w:color="auto"/>
            </w:tcBorders>
            <w:shd w:val="clear" w:color="000000" w:fill="FFFFFF"/>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30 000</w:t>
            </w:r>
          </w:p>
        </w:tc>
        <w:tc>
          <w:tcPr>
            <w:tcW w:w="441" w:type="pct"/>
            <w:tcBorders>
              <w:top w:val="nil"/>
              <w:left w:val="nil"/>
              <w:bottom w:val="single" w:sz="4" w:space="0" w:color="auto"/>
              <w:right w:val="single" w:sz="4" w:space="0" w:color="auto"/>
            </w:tcBorders>
            <w:shd w:val="clear" w:color="000000" w:fill="FFFFFF"/>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30 000</w:t>
            </w:r>
          </w:p>
        </w:tc>
      </w:tr>
      <w:tr w:rsidR="007D13F3" w:rsidRPr="00941A11" w:rsidTr="00465CAC">
        <w:trPr>
          <w:trHeight w:hRule="exact" w:val="255"/>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41A11" w:rsidRDefault="007D13F3" w:rsidP="00465CAC">
            <w:pP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zdroje EÚ vrátane spolufinancovania:</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4 243</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r>
      <w:tr w:rsidR="007D13F3" w:rsidRPr="00941A11" w:rsidTr="00465CAC">
        <w:trPr>
          <w:trHeight w:hRule="exact" w:val="255"/>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v tom: 2. program. obdobie EU</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3 195</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r>
      <w:tr w:rsidR="007D13F3" w:rsidRPr="00941A11" w:rsidTr="00465CAC">
        <w:trPr>
          <w:trHeight w:hRule="exact" w:val="255"/>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spolufinancovanie zo ŠR</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1 048</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r>
      <w:tr w:rsidR="007D13F3" w:rsidRPr="00941A11" w:rsidTr="00465CAC">
        <w:trPr>
          <w:trHeight w:hRule="exact" w:val="255"/>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41A11" w:rsidRDefault="007D13F3" w:rsidP="00465CAC">
            <w:pP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 xml:space="preserve">presun z minulých rokov </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795 752</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121 966</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r>
      <w:tr w:rsidR="007D13F3" w:rsidRPr="00941A11" w:rsidTr="00465CAC">
        <w:trPr>
          <w:trHeight w:hRule="exact" w:val="255"/>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v tom: štátny rozpočet</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121 966</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r>
      <w:tr w:rsidR="007D13F3" w:rsidRPr="00941A11" w:rsidTr="00465CAC">
        <w:trPr>
          <w:trHeight w:hRule="exact" w:val="255"/>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EÚ prostriedky</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599 281</w:t>
            </w:r>
          </w:p>
        </w:tc>
        <w:tc>
          <w:tcPr>
            <w:tcW w:w="441" w:type="pct"/>
            <w:tcBorders>
              <w:top w:val="nil"/>
              <w:left w:val="nil"/>
              <w:bottom w:val="single" w:sz="4" w:space="0" w:color="auto"/>
              <w:right w:val="single" w:sz="4" w:space="0" w:color="auto"/>
            </w:tcBorders>
            <w:shd w:val="clear" w:color="000000" w:fill="FFFFFF"/>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000000" w:fill="FFFFFF"/>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000000" w:fill="FFFFFF"/>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000000" w:fill="FFFFFF"/>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000000" w:fill="FFFFFF"/>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000000" w:fill="FFFFFF"/>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r>
      <w:tr w:rsidR="007D13F3" w:rsidRPr="00941A11" w:rsidTr="00465CAC">
        <w:trPr>
          <w:trHeight w:hRule="exact" w:val="255"/>
        </w:trPr>
        <w:tc>
          <w:tcPr>
            <w:tcW w:w="1914" w:type="pct"/>
            <w:tcBorders>
              <w:top w:val="nil"/>
              <w:left w:val="single" w:sz="4" w:space="0" w:color="auto"/>
              <w:bottom w:val="single" w:sz="4" w:space="0" w:color="auto"/>
              <w:right w:val="single" w:sz="4" w:space="0" w:color="auto"/>
            </w:tcBorders>
            <w:shd w:val="clear" w:color="auto" w:fill="auto"/>
            <w:noWrap/>
            <w:vAlign w:val="center"/>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spolufinancovanie zo ŠR</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196 471</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center"/>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r>
      <w:tr w:rsidR="007D13F3" w:rsidRPr="00941A11" w:rsidTr="00465CAC">
        <w:trPr>
          <w:trHeight w:hRule="exact" w:val="255"/>
        </w:trPr>
        <w:tc>
          <w:tcPr>
            <w:tcW w:w="1914" w:type="pct"/>
            <w:tcBorders>
              <w:top w:val="nil"/>
              <w:left w:val="nil"/>
              <w:bottom w:val="single" w:sz="4" w:space="0" w:color="auto"/>
              <w:right w:val="nil"/>
            </w:tcBorders>
            <w:shd w:val="clear" w:color="auto" w:fill="auto"/>
            <w:noWrap/>
            <w:vAlign w:val="center"/>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w:t>
            </w:r>
          </w:p>
        </w:tc>
        <w:tc>
          <w:tcPr>
            <w:tcW w:w="441" w:type="pct"/>
            <w:tcBorders>
              <w:top w:val="nil"/>
              <w:left w:val="nil"/>
              <w:bottom w:val="single" w:sz="4" w:space="0" w:color="auto"/>
              <w:right w:val="nil"/>
            </w:tcBorders>
            <w:shd w:val="clear" w:color="auto" w:fill="auto"/>
            <w:vAlign w:val="center"/>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w:t>
            </w:r>
          </w:p>
        </w:tc>
        <w:tc>
          <w:tcPr>
            <w:tcW w:w="441" w:type="pct"/>
            <w:tcBorders>
              <w:top w:val="nil"/>
              <w:left w:val="nil"/>
              <w:bottom w:val="single" w:sz="4" w:space="0" w:color="auto"/>
              <w:right w:val="nil"/>
            </w:tcBorders>
            <w:shd w:val="clear" w:color="auto" w:fill="auto"/>
            <w:noWrap/>
            <w:vAlign w:val="center"/>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w:t>
            </w:r>
          </w:p>
        </w:tc>
        <w:tc>
          <w:tcPr>
            <w:tcW w:w="441" w:type="pct"/>
            <w:tcBorders>
              <w:top w:val="nil"/>
              <w:left w:val="nil"/>
              <w:bottom w:val="single" w:sz="4" w:space="0" w:color="auto"/>
              <w:right w:val="nil"/>
            </w:tcBorders>
            <w:shd w:val="clear" w:color="auto" w:fill="auto"/>
            <w:noWrap/>
            <w:vAlign w:val="center"/>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w:t>
            </w:r>
          </w:p>
        </w:tc>
        <w:tc>
          <w:tcPr>
            <w:tcW w:w="441" w:type="pct"/>
            <w:tcBorders>
              <w:top w:val="nil"/>
              <w:left w:val="nil"/>
              <w:bottom w:val="single" w:sz="4" w:space="0" w:color="auto"/>
              <w:right w:val="nil"/>
            </w:tcBorders>
            <w:shd w:val="clear" w:color="auto" w:fill="auto"/>
            <w:noWrap/>
            <w:vAlign w:val="center"/>
            <w:hideMark/>
          </w:tcPr>
          <w:p w:rsidR="007D13F3" w:rsidRPr="00941A11" w:rsidRDefault="007D13F3" w:rsidP="00465CAC">
            <w:pPr>
              <w:jc w:val="right"/>
              <w:rPr>
                <w:rFonts w:ascii="Times New Roman" w:hAnsi="Times New Roman" w:cs="Times New Roman"/>
                <w:color w:val="FF0000"/>
                <w:sz w:val="14"/>
                <w:szCs w:val="14"/>
                <w:lang w:eastAsia="sk-SK"/>
              </w:rPr>
            </w:pPr>
            <w:r w:rsidRPr="00941A11">
              <w:rPr>
                <w:rFonts w:ascii="Times New Roman" w:hAnsi="Times New Roman" w:cs="Times New Roman"/>
                <w:color w:val="FF0000"/>
                <w:sz w:val="14"/>
                <w:szCs w:val="14"/>
                <w:lang w:eastAsia="sk-SK"/>
              </w:rPr>
              <w:t> </w:t>
            </w:r>
          </w:p>
        </w:tc>
        <w:tc>
          <w:tcPr>
            <w:tcW w:w="441" w:type="pct"/>
            <w:tcBorders>
              <w:top w:val="nil"/>
              <w:left w:val="nil"/>
              <w:bottom w:val="single" w:sz="4" w:space="0" w:color="auto"/>
              <w:right w:val="nil"/>
            </w:tcBorders>
            <w:shd w:val="clear" w:color="auto" w:fill="auto"/>
            <w:vAlign w:val="center"/>
            <w:hideMark/>
          </w:tcPr>
          <w:p w:rsidR="007D13F3" w:rsidRPr="00941A11" w:rsidRDefault="007D13F3" w:rsidP="00465CAC">
            <w:pPr>
              <w:rPr>
                <w:rFonts w:ascii="Times New Roman" w:hAnsi="Times New Roman" w:cs="Times New Roman"/>
                <w:sz w:val="14"/>
                <w:szCs w:val="14"/>
                <w:lang w:eastAsia="sk-SK"/>
              </w:rPr>
            </w:pPr>
            <w:r w:rsidRPr="00941A11">
              <w:rPr>
                <w:rFonts w:ascii="Times New Roman" w:hAnsi="Times New Roman" w:cs="Times New Roman"/>
                <w:sz w:val="14"/>
                <w:szCs w:val="14"/>
                <w:lang w:eastAsia="sk-SK"/>
              </w:rPr>
              <w:t> </w:t>
            </w:r>
          </w:p>
        </w:tc>
        <w:tc>
          <w:tcPr>
            <w:tcW w:w="441" w:type="pct"/>
            <w:tcBorders>
              <w:top w:val="nil"/>
              <w:left w:val="nil"/>
              <w:bottom w:val="single" w:sz="4" w:space="0" w:color="auto"/>
              <w:right w:val="nil"/>
            </w:tcBorders>
            <w:shd w:val="clear" w:color="auto" w:fill="auto"/>
            <w:vAlign w:val="center"/>
            <w:hideMark/>
          </w:tcPr>
          <w:p w:rsidR="007D13F3" w:rsidRPr="00941A11" w:rsidRDefault="007D13F3" w:rsidP="00465CAC">
            <w:pPr>
              <w:rPr>
                <w:rFonts w:ascii="Times New Roman" w:hAnsi="Times New Roman" w:cs="Times New Roman"/>
                <w:sz w:val="14"/>
                <w:szCs w:val="14"/>
                <w:lang w:eastAsia="sk-SK"/>
              </w:rPr>
            </w:pPr>
            <w:r w:rsidRPr="00941A11">
              <w:rPr>
                <w:rFonts w:ascii="Times New Roman" w:hAnsi="Times New Roman" w:cs="Times New Roman"/>
                <w:sz w:val="14"/>
                <w:szCs w:val="14"/>
                <w:lang w:eastAsia="sk-SK"/>
              </w:rPr>
              <w:t> </w:t>
            </w:r>
          </w:p>
        </w:tc>
        <w:tc>
          <w:tcPr>
            <w:tcW w:w="441" w:type="pct"/>
            <w:tcBorders>
              <w:top w:val="nil"/>
              <w:left w:val="nil"/>
              <w:bottom w:val="single" w:sz="4" w:space="0" w:color="auto"/>
              <w:right w:val="nil"/>
            </w:tcBorders>
            <w:shd w:val="clear" w:color="auto" w:fill="auto"/>
            <w:vAlign w:val="center"/>
            <w:hideMark/>
          </w:tcPr>
          <w:p w:rsidR="007D13F3" w:rsidRPr="00941A11" w:rsidRDefault="007D13F3" w:rsidP="00465CAC">
            <w:pPr>
              <w:rPr>
                <w:rFonts w:ascii="Times New Roman" w:hAnsi="Times New Roman" w:cs="Times New Roman"/>
                <w:sz w:val="14"/>
                <w:szCs w:val="14"/>
                <w:lang w:eastAsia="sk-SK"/>
              </w:rPr>
            </w:pPr>
            <w:r w:rsidRPr="00941A11">
              <w:rPr>
                <w:rFonts w:ascii="Times New Roman" w:hAnsi="Times New Roman" w:cs="Times New Roman"/>
                <w:sz w:val="14"/>
                <w:szCs w:val="14"/>
                <w:lang w:eastAsia="sk-SK"/>
              </w:rPr>
              <w:t> </w:t>
            </w:r>
          </w:p>
        </w:tc>
      </w:tr>
      <w:tr w:rsidR="007D13F3" w:rsidRPr="00941A11" w:rsidTr="00465CAC">
        <w:trPr>
          <w:trHeight w:hRule="exact" w:val="255"/>
        </w:trPr>
        <w:tc>
          <w:tcPr>
            <w:tcW w:w="1914" w:type="pct"/>
            <w:tcBorders>
              <w:top w:val="nil"/>
              <w:left w:val="single" w:sz="4" w:space="0" w:color="auto"/>
              <w:bottom w:val="single" w:sz="4" w:space="0" w:color="auto"/>
              <w:right w:val="single" w:sz="4" w:space="0" w:color="auto"/>
            </w:tcBorders>
            <w:shd w:val="clear" w:color="000000" w:fill="FFFFFF"/>
            <w:noWrap/>
            <w:vAlign w:val="center"/>
            <w:hideMark/>
          </w:tcPr>
          <w:p w:rsidR="007D13F3" w:rsidRPr="00941A11" w:rsidRDefault="007D13F3" w:rsidP="00465CAC">
            <w:pPr>
              <w:rPr>
                <w:rFonts w:ascii="Times New Roman" w:hAnsi="Times New Roman" w:cs="Times New Roman"/>
                <w:b/>
                <w:bCs/>
                <w:sz w:val="14"/>
                <w:szCs w:val="14"/>
                <w:lang w:eastAsia="sk-SK"/>
              </w:rPr>
            </w:pPr>
            <w:r w:rsidRPr="00941A11">
              <w:rPr>
                <w:rFonts w:ascii="Times New Roman" w:hAnsi="Times New Roman" w:cs="Times New Roman"/>
                <w:b/>
                <w:bCs/>
                <w:sz w:val="14"/>
                <w:szCs w:val="14"/>
                <w:lang w:eastAsia="sk-SK"/>
              </w:rPr>
              <w:t>Samostatné účty</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b/>
                <w:bCs/>
                <w:sz w:val="14"/>
                <w:szCs w:val="14"/>
                <w:lang w:eastAsia="sk-SK"/>
              </w:rPr>
            </w:pPr>
            <w:r w:rsidRPr="00941A11">
              <w:rPr>
                <w:rFonts w:ascii="Times New Roman" w:hAnsi="Times New Roman" w:cs="Times New Roman"/>
                <w:b/>
                <w:bCs/>
                <w:sz w:val="14"/>
                <w:szCs w:val="14"/>
                <w:lang w:eastAsia="sk-SK"/>
              </w:rPr>
              <w:t>4 682 769</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b/>
                <w:bCs/>
                <w:sz w:val="14"/>
                <w:szCs w:val="14"/>
                <w:lang w:eastAsia="sk-SK"/>
              </w:rPr>
            </w:pPr>
            <w:r w:rsidRPr="00941A11">
              <w:rPr>
                <w:rFonts w:ascii="Times New Roman" w:hAnsi="Times New Roman" w:cs="Times New Roman"/>
                <w:b/>
                <w:bCs/>
                <w:sz w:val="14"/>
                <w:szCs w:val="14"/>
                <w:lang w:eastAsia="sk-SK"/>
              </w:rPr>
              <w:t>5 104 607</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b/>
                <w:bCs/>
                <w:sz w:val="14"/>
                <w:szCs w:val="14"/>
                <w:lang w:eastAsia="sk-SK"/>
              </w:rPr>
            </w:pPr>
            <w:r w:rsidRPr="00941A11">
              <w:rPr>
                <w:rFonts w:ascii="Times New Roman" w:hAnsi="Times New Roman" w:cs="Times New Roman"/>
                <w:b/>
                <w:bCs/>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b/>
                <w:bCs/>
                <w:sz w:val="14"/>
                <w:szCs w:val="14"/>
                <w:lang w:eastAsia="sk-SK"/>
              </w:rPr>
            </w:pPr>
            <w:r w:rsidRPr="00941A11">
              <w:rPr>
                <w:rFonts w:ascii="Times New Roman" w:hAnsi="Times New Roman" w:cs="Times New Roman"/>
                <w:b/>
                <w:bCs/>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b/>
                <w:bCs/>
                <w:sz w:val="14"/>
                <w:szCs w:val="14"/>
                <w:lang w:eastAsia="sk-SK"/>
              </w:rPr>
            </w:pPr>
            <w:r w:rsidRPr="00941A11">
              <w:rPr>
                <w:rFonts w:ascii="Times New Roman" w:hAnsi="Times New Roman" w:cs="Times New Roman"/>
                <w:b/>
                <w:bCs/>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b/>
                <w:bCs/>
                <w:sz w:val="14"/>
                <w:szCs w:val="14"/>
                <w:lang w:eastAsia="sk-SK"/>
              </w:rPr>
            </w:pPr>
            <w:r w:rsidRPr="00941A11">
              <w:rPr>
                <w:rFonts w:ascii="Times New Roman" w:hAnsi="Times New Roman" w:cs="Times New Roman"/>
                <w:b/>
                <w:bCs/>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b/>
                <w:bCs/>
                <w:sz w:val="14"/>
                <w:szCs w:val="14"/>
                <w:lang w:eastAsia="sk-SK"/>
              </w:rPr>
            </w:pPr>
            <w:r w:rsidRPr="00941A11">
              <w:rPr>
                <w:rFonts w:ascii="Times New Roman" w:hAnsi="Times New Roman" w:cs="Times New Roman"/>
                <w:b/>
                <w:bCs/>
                <w:sz w:val="14"/>
                <w:szCs w:val="14"/>
                <w:lang w:eastAsia="sk-SK"/>
              </w:rPr>
              <w:t>0</w:t>
            </w:r>
          </w:p>
        </w:tc>
      </w:tr>
    </w:tbl>
    <w:p w:rsidR="007D13F3" w:rsidRPr="0015253F" w:rsidRDefault="007D13F3" w:rsidP="007D13F3">
      <w:pPr>
        <w:jc w:val="both"/>
        <w:rPr>
          <w:rFonts w:ascii="Times New Roman" w:hAnsi="Times New Roman" w:cs="Times New Roman"/>
          <w:bCs/>
          <w:noProof/>
          <w:lang w:eastAsia="sk-SK"/>
        </w:rPr>
      </w:pPr>
    </w:p>
    <w:p w:rsidR="007D13F3" w:rsidRPr="0015253F" w:rsidRDefault="007D13F3" w:rsidP="007D13F3">
      <w:pPr>
        <w:ind w:firstLine="708"/>
        <w:jc w:val="both"/>
        <w:rPr>
          <w:rFonts w:ascii="Times New Roman" w:hAnsi="Times New Roman" w:cs="Times New Roman"/>
          <w:bCs/>
          <w:noProof/>
          <w:lang w:eastAsia="sk-SK"/>
        </w:rPr>
      </w:pPr>
      <w:r w:rsidRPr="0015253F">
        <w:rPr>
          <w:rFonts w:ascii="Times New Roman" w:hAnsi="Times New Roman" w:cs="Times New Roman"/>
          <w:bCs/>
          <w:noProof/>
          <w:lang w:eastAsia="sk-SK"/>
        </w:rPr>
        <w:t xml:space="preserve">Výdavky kapitoly Úradu priemyselného vlastníctva SR (dalej len „ÚPV SR“) sú na rok 2018 rozpočtované v celkovej sume 3,44 mil. eur. V porovnaní so schváleným rozpočtom na rok 2017 rastú o 266 tis. eur, t. j. o 8,37 %, z dôvodu rastu bežných a kapitálových výdavkov. </w:t>
      </w:r>
    </w:p>
    <w:p w:rsidR="007D13F3" w:rsidRPr="0015253F" w:rsidRDefault="007D13F3" w:rsidP="007D13F3">
      <w:pPr>
        <w:jc w:val="both"/>
        <w:rPr>
          <w:rFonts w:ascii="Times New Roman" w:hAnsi="Times New Roman" w:cs="Times New Roman"/>
          <w:lang w:eastAsia="sk-SK"/>
        </w:rPr>
      </w:pPr>
    </w:p>
    <w:p w:rsidR="007D13F3" w:rsidRPr="0015253F" w:rsidRDefault="007D13F3" w:rsidP="007D13F3">
      <w:pPr>
        <w:jc w:val="both"/>
        <w:rPr>
          <w:rFonts w:ascii="Times New Roman" w:hAnsi="Times New Roman" w:cs="Times New Roman"/>
          <w:lang w:eastAsia="sk-SK"/>
        </w:rPr>
      </w:pPr>
      <w:r w:rsidRPr="0015253F">
        <w:rPr>
          <w:rFonts w:ascii="Times New Roman" w:hAnsi="Times New Roman" w:cs="Times New Roman"/>
          <w:lang w:eastAsia="sk-SK"/>
        </w:rPr>
        <w:tab/>
        <w:t>Osobné výdavky v sume 2,49 mil. eur medziročne rastú o 217 tis. eur, t. j. o 9,54 %, z dôvodu valorizácie platov zamestnancov z roku 2017 a podpory stabilizácie odborných zamestnancov úradu.</w:t>
      </w:r>
    </w:p>
    <w:p w:rsidR="007D13F3" w:rsidRPr="0015253F" w:rsidRDefault="007D13F3" w:rsidP="007D13F3">
      <w:pPr>
        <w:jc w:val="both"/>
        <w:rPr>
          <w:rFonts w:ascii="Times New Roman" w:hAnsi="Times New Roman" w:cs="Times New Roman"/>
          <w:lang w:eastAsia="sk-SK"/>
        </w:rPr>
      </w:pPr>
    </w:p>
    <w:p w:rsidR="007D13F3" w:rsidRPr="0015253F" w:rsidRDefault="007D13F3" w:rsidP="007D13F3">
      <w:pPr>
        <w:jc w:val="both"/>
        <w:rPr>
          <w:rFonts w:ascii="Times New Roman" w:hAnsi="Times New Roman" w:cs="Times New Roman"/>
          <w:lang w:eastAsia="sk-SK"/>
        </w:rPr>
      </w:pPr>
      <w:r w:rsidRPr="0015253F">
        <w:rPr>
          <w:rFonts w:ascii="Times New Roman" w:hAnsi="Times New Roman" w:cs="Times New Roman"/>
          <w:lang w:eastAsia="sk-SK"/>
        </w:rPr>
        <w:tab/>
        <w:t>Výdavky na tovary a služby v sume 756 tis. eur medziročne rastú o 21,4 tis. eur, čo predstavuje 2,92 %. Uvedený vývoj ovplyvnilo najmä zvýšenie výdavkov na služby spojené s projektom Elektronické služby ÚPV SR</w:t>
      </w:r>
      <w:r>
        <w:rPr>
          <w:rFonts w:ascii="Times New Roman" w:hAnsi="Times New Roman" w:cs="Times New Roman"/>
          <w:lang w:eastAsia="sk-SK"/>
        </w:rPr>
        <w:t>.</w:t>
      </w:r>
      <w:r w:rsidRPr="0015253F">
        <w:rPr>
          <w:rFonts w:ascii="Times New Roman" w:hAnsi="Times New Roman" w:cs="Times New Roman"/>
          <w:lang w:eastAsia="sk-SK"/>
        </w:rPr>
        <w:t xml:space="preserve">  </w:t>
      </w:r>
    </w:p>
    <w:p w:rsidR="007D13F3" w:rsidRPr="0015253F" w:rsidRDefault="007D13F3" w:rsidP="007D13F3">
      <w:pPr>
        <w:jc w:val="both"/>
        <w:rPr>
          <w:rFonts w:ascii="Times New Roman" w:hAnsi="Times New Roman" w:cs="Times New Roman"/>
          <w:lang w:eastAsia="sk-SK"/>
        </w:rPr>
      </w:pPr>
    </w:p>
    <w:p w:rsidR="007D13F3" w:rsidRPr="0015253F" w:rsidRDefault="007D13F3" w:rsidP="007D13F3">
      <w:pPr>
        <w:jc w:val="both"/>
        <w:rPr>
          <w:rFonts w:ascii="Times New Roman" w:hAnsi="Times New Roman" w:cs="Times New Roman"/>
          <w:noProof/>
          <w:color w:val="000000"/>
          <w:lang w:eastAsia="sk-SK"/>
        </w:rPr>
      </w:pPr>
      <w:r w:rsidRPr="0015253F">
        <w:rPr>
          <w:rFonts w:ascii="Times New Roman" w:hAnsi="Times New Roman" w:cs="Times New Roman"/>
          <w:lang w:eastAsia="sk-SK"/>
        </w:rPr>
        <w:tab/>
        <w:t xml:space="preserve">Bežné transfery </w:t>
      </w:r>
      <w:r>
        <w:rPr>
          <w:rFonts w:ascii="Times New Roman" w:hAnsi="Times New Roman" w:cs="Times New Roman"/>
          <w:lang w:eastAsia="sk-SK"/>
        </w:rPr>
        <w:t xml:space="preserve">rozpočtované na rok 2018 </w:t>
      </w:r>
      <w:r w:rsidRPr="0015253F">
        <w:rPr>
          <w:rFonts w:ascii="Times New Roman" w:hAnsi="Times New Roman" w:cs="Times New Roman"/>
          <w:lang w:eastAsia="sk-SK"/>
        </w:rPr>
        <w:t>v sume 143 tis. eur predstavujú úroveň schváleného rozpočtu na rok 2017.</w:t>
      </w:r>
      <w:r w:rsidRPr="0015253F">
        <w:rPr>
          <w:rFonts w:ascii="Times New Roman" w:hAnsi="Times New Roman" w:cs="Times New Roman"/>
          <w:noProof/>
          <w:color w:val="000000"/>
          <w:lang w:eastAsia="sk-SK"/>
        </w:rPr>
        <w:t xml:space="preserve"> </w:t>
      </w:r>
    </w:p>
    <w:p w:rsidR="007D13F3" w:rsidRPr="0015253F" w:rsidRDefault="007D13F3" w:rsidP="007D13F3">
      <w:pPr>
        <w:jc w:val="both"/>
        <w:rPr>
          <w:rFonts w:ascii="Times New Roman" w:hAnsi="Times New Roman" w:cs="Times New Roman"/>
          <w:noProof/>
          <w:color w:val="000000"/>
          <w:lang w:eastAsia="sk-SK"/>
        </w:rPr>
      </w:pPr>
    </w:p>
    <w:p w:rsidR="007D13F3" w:rsidRPr="0015253F" w:rsidRDefault="007D13F3" w:rsidP="007D13F3">
      <w:pPr>
        <w:ind w:firstLine="708"/>
        <w:jc w:val="both"/>
        <w:rPr>
          <w:rFonts w:ascii="Times New Roman" w:hAnsi="Times New Roman" w:cs="Times New Roman"/>
          <w:lang w:eastAsia="sk-SK"/>
        </w:rPr>
      </w:pPr>
      <w:r w:rsidRPr="0015253F">
        <w:rPr>
          <w:rFonts w:ascii="Times New Roman" w:hAnsi="Times New Roman" w:cs="Times New Roman"/>
          <w:lang w:eastAsia="sk-SK"/>
        </w:rPr>
        <w:t xml:space="preserve">Kapitálové výdavky na rok 2018 v sume 57,9 tis. eur v porovnaní so </w:t>
      </w:r>
      <w:r>
        <w:rPr>
          <w:rFonts w:ascii="Times New Roman" w:hAnsi="Times New Roman" w:cs="Times New Roman"/>
          <w:lang w:eastAsia="sk-SK"/>
        </w:rPr>
        <w:t>s</w:t>
      </w:r>
      <w:r w:rsidRPr="0015253F">
        <w:rPr>
          <w:rFonts w:ascii="Times New Roman" w:hAnsi="Times New Roman" w:cs="Times New Roman"/>
          <w:lang w:eastAsia="sk-SK"/>
        </w:rPr>
        <w:t xml:space="preserve">chváleným rozpočtom na rok 2017 rastú o 27,9 tis. eur, čo </w:t>
      </w:r>
      <w:r>
        <w:rPr>
          <w:rFonts w:ascii="Times New Roman" w:hAnsi="Times New Roman" w:cs="Times New Roman"/>
          <w:lang w:eastAsia="sk-SK"/>
        </w:rPr>
        <w:t>predstavuje</w:t>
      </w:r>
      <w:r w:rsidRPr="0015253F">
        <w:rPr>
          <w:rFonts w:ascii="Times New Roman" w:hAnsi="Times New Roman" w:cs="Times New Roman"/>
          <w:lang w:eastAsia="sk-SK"/>
        </w:rPr>
        <w:t xml:space="preserve"> 93,1 %, z dôvodu potreby aktualizácie informačného systému úradu v nadväznosti na </w:t>
      </w:r>
      <w:r>
        <w:rPr>
          <w:rFonts w:ascii="Times New Roman" w:hAnsi="Times New Roman" w:cs="Times New Roman"/>
          <w:lang w:eastAsia="sk-SK"/>
        </w:rPr>
        <w:t>novelu</w:t>
      </w:r>
      <w:r w:rsidRPr="0015253F">
        <w:rPr>
          <w:rFonts w:ascii="Times New Roman" w:hAnsi="Times New Roman" w:cs="Times New Roman"/>
          <w:lang w:eastAsia="sk-SK"/>
        </w:rPr>
        <w:t xml:space="preserve"> zákona, ktor</w:t>
      </w:r>
      <w:r>
        <w:rPr>
          <w:rFonts w:ascii="Times New Roman" w:hAnsi="Times New Roman" w:cs="Times New Roman"/>
          <w:lang w:eastAsia="sk-SK"/>
        </w:rPr>
        <w:t>ou</w:t>
      </w:r>
      <w:r w:rsidRPr="0015253F">
        <w:rPr>
          <w:rFonts w:ascii="Times New Roman" w:hAnsi="Times New Roman" w:cs="Times New Roman"/>
          <w:lang w:eastAsia="sk-SK"/>
        </w:rPr>
        <w:t xml:space="preserve"> sa mení a dopĺňa zákon č. 435/2001 Z. z. o patentoch, dodatkových ochranných osvedčeniach a o zmene a doplnení niektorých zákonov (patentový zákon) v znení neskorších predpisov a ktorým sa menia a dopĺňajú niektoré zákony.</w:t>
      </w:r>
    </w:p>
    <w:p w:rsidR="007D13F3" w:rsidRDefault="007D13F3" w:rsidP="007D13F3">
      <w:pPr>
        <w:spacing w:after="160" w:line="259" w:lineRule="auto"/>
        <w:rPr>
          <w:rFonts w:ascii="Times New Roman" w:hAnsi="Times New Roman" w:cs="Times New Roman"/>
          <w:lang w:eastAsia="sk-SK"/>
        </w:rPr>
      </w:pPr>
      <w:r>
        <w:rPr>
          <w:rFonts w:ascii="Times New Roman" w:hAnsi="Times New Roman" w:cs="Times New Roman"/>
          <w:lang w:eastAsia="sk-SK"/>
        </w:rPr>
        <w:br w:type="page"/>
      </w:r>
    </w:p>
    <w:p w:rsidR="007D13F3" w:rsidRDefault="007D13F3" w:rsidP="007D13F3">
      <w:pPr>
        <w:pStyle w:val="Nadpis5"/>
        <w:pBdr>
          <w:bottom w:val="single" w:sz="4" w:space="1" w:color="auto"/>
        </w:pBdr>
        <w:spacing w:before="0" w:after="0"/>
        <w:ind w:left="0"/>
        <w:rPr>
          <w:i w:val="0"/>
          <w:noProof/>
          <w:sz w:val="24"/>
          <w:lang w:eastAsia="sk-SK"/>
        </w:rPr>
      </w:pPr>
      <w:bookmarkStart w:id="188" w:name="_Toc400551780"/>
      <w:bookmarkStart w:id="189" w:name="_Toc494470119"/>
      <w:bookmarkStart w:id="190" w:name="_Toc494472295"/>
      <w:r w:rsidRPr="003A0D58">
        <w:rPr>
          <w:i w:val="0"/>
          <w:noProof/>
          <w:sz w:val="24"/>
          <w:lang w:eastAsia="sk-SK"/>
        </w:rPr>
        <w:lastRenderedPageBreak/>
        <w:t>Úrad pre normalizáciu, metrológiu a skúšobníctvo SR</w:t>
      </w:r>
      <w:bookmarkEnd w:id="188"/>
      <w:bookmarkEnd w:id="189"/>
      <w:bookmarkEnd w:id="190"/>
      <w:r w:rsidRPr="003A0D58">
        <w:rPr>
          <w:i w:val="0"/>
          <w:noProof/>
          <w:sz w:val="24"/>
          <w:lang w:eastAsia="sk-SK"/>
        </w:rPr>
        <w:t xml:space="preserve"> </w:t>
      </w:r>
      <w:bookmarkStart w:id="191" w:name="_Toc108849140"/>
      <w:bookmarkEnd w:id="191"/>
    </w:p>
    <w:p w:rsidR="007D13F3" w:rsidRDefault="007D13F3" w:rsidP="007D13F3">
      <w:pPr>
        <w:rPr>
          <w:lang w:eastAsia="sk-SK"/>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6"/>
        <w:gridCol w:w="850"/>
        <w:gridCol w:w="850"/>
        <w:gridCol w:w="850"/>
        <w:gridCol w:w="850"/>
        <w:gridCol w:w="850"/>
        <w:gridCol w:w="850"/>
        <w:gridCol w:w="846"/>
      </w:tblGrid>
      <w:tr w:rsidR="007D13F3" w:rsidRPr="00FC1D21" w:rsidTr="00465CAC">
        <w:trPr>
          <w:trHeight w:hRule="exact" w:val="255"/>
          <w:jc w:val="right"/>
        </w:trPr>
        <w:tc>
          <w:tcPr>
            <w:tcW w:w="1719" w:type="pct"/>
            <w:shd w:val="clear" w:color="auto" w:fill="A6A6A6" w:themeFill="background1" w:themeFillShade="A6"/>
            <w:noWrap/>
            <w:vAlign w:val="bottom"/>
            <w:hideMark/>
          </w:tcPr>
          <w:p w:rsidR="007D13F3" w:rsidRPr="008B6F13" w:rsidRDefault="007D13F3" w:rsidP="00465CAC">
            <w:pPr>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v eurách</w:t>
            </w:r>
          </w:p>
        </w:tc>
        <w:tc>
          <w:tcPr>
            <w:tcW w:w="469" w:type="pct"/>
            <w:shd w:val="clear" w:color="auto" w:fill="A6A6A6" w:themeFill="background1" w:themeFillShade="A6"/>
            <w:noWrap/>
            <w:vAlign w:val="center"/>
            <w:hideMark/>
          </w:tcPr>
          <w:p w:rsidR="007D13F3" w:rsidRPr="008B6F13" w:rsidRDefault="007D13F3" w:rsidP="00465CAC">
            <w:pPr>
              <w:jc w:val="center"/>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2015 S</w:t>
            </w:r>
          </w:p>
        </w:tc>
        <w:tc>
          <w:tcPr>
            <w:tcW w:w="469" w:type="pct"/>
            <w:shd w:val="clear" w:color="auto" w:fill="A6A6A6" w:themeFill="background1" w:themeFillShade="A6"/>
            <w:noWrap/>
            <w:vAlign w:val="center"/>
            <w:hideMark/>
          </w:tcPr>
          <w:p w:rsidR="007D13F3" w:rsidRPr="008B6F13" w:rsidRDefault="007D13F3" w:rsidP="00465CAC">
            <w:pPr>
              <w:jc w:val="center"/>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2016 S</w:t>
            </w:r>
          </w:p>
        </w:tc>
        <w:tc>
          <w:tcPr>
            <w:tcW w:w="469" w:type="pct"/>
            <w:shd w:val="clear" w:color="auto" w:fill="A6A6A6" w:themeFill="background1" w:themeFillShade="A6"/>
            <w:noWrap/>
            <w:vAlign w:val="center"/>
            <w:hideMark/>
          </w:tcPr>
          <w:p w:rsidR="007D13F3" w:rsidRPr="008B6F13" w:rsidRDefault="007D13F3" w:rsidP="00465CAC">
            <w:pPr>
              <w:jc w:val="center"/>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2017 R</w:t>
            </w:r>
          </w:p>
        </w:tc>
        <w:tc>
          <w:tcPr>
            <w:tcW w:w="469" w:type="pct"/>
            <w:shd w:val="clear" w:color="auto" w:fill="A6A6A6" w:themeFill="background1" w:themeFillShade="A6"/>
            <w:noWrap/>
            <w:vAlign w:val="center"/>
            <w:hideMark/>
          </w:tcPr>
          <w:p w:rsidR="007D13F3" w:rsidRPr="008B6F13" w:rsidRDefault="007D13F3" w:rsidP="00465CAC">
            <w:pPr>
              <w:jc w:val="center"/>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2017 OS</w:t>
            </w:r>
          </w:p>
        </w:tc>
        <w:tc>
          <w:tcPr>
            <w:tcW w:w="469" w:type="pct"/>
            <w:shd w:val="clear" w:color="auto" w:fill="A6A6A6" w:themeFill="background1" w:themeFillShade="A6"/>
            <w:noWrap/>
            <w:vAlign w:val="center"/>
            <w:hideMark/>
          </w:tcPr>
          <w:p w:rsidR="007D13F3" w:rsidRPr="008B6F13" w:rsidRDefault="007D13F3" w:rsidP="00465CAC">
            <w:pPr>
              <w:jc w:val="center"/>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2018 N</w:t>
            </w:r>
          </w:p>
        </w:tc>
        <w:tc>
          <w:tcPr>
            <w:tcW w:w="469" w:type="pct"/>
            <w:shd w:val="clear" w:color="auto" w:fill="A6A6A6" w:themeFill="background1" w:themeFillShade="A6"/>
            <w:noWrap/>
            <w:vAlign w:val="center"/>
            <w:hideMark/>
          </w:tcPr>
          <w:p w:rsidR="007D13F3" w:rsidRPr="008B6F13" w:rsidRDefault="007D13F3" w:rsidP="00465CAC">
            <w:pPr>
              <w:jc w:val="center"/>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2019 N</w:t>
            </w:r>
          </w:p>
        </w:tc>
        <w:tc>
          <w:tcPr>
            <w:tcW w:w="469" w:type="pct"/>
            <w:shd w:val="clear" w:color="auto" w:fill="A6A6A6" w:themeFill="background1" w:themeFillShade="A6"/>
            <w:noWrap/>
            <w:vAlign w:val="center"/>
            <w:hideMark/>
          </w:tcPr>
          <w:p w:rsidR="007D13F3" w:rsidRPr="008B6F13" w:rsidRDefault="007D13F3" w:rsidP="00465CAC">
            <w:pPr>
              <w:jc w:val="center"/>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2020 N</w:t>
            </w:r>
          </w:p>
        </w:tc>
      </w:tr>
      <w:tr w:rsidR="007D13F3" w:rsidRPr="00FC1D21" w:rsidTr="00465CAC">
        <w:trPr>
          <w:trHeight w:hRule="exact" w:val="255"/>
          <w:jc w:val="right"/>
        </w:trPr>
        <w:tc>
          <w:tcPr>
            <w:tcW w:w="1719" w:type="pct"/>
            <w:shd w:val="clear" w:color="auto" w:fill="BFBFBF" w:themeFill="background1" w:themeFillShade="BF"/>
            <w:noWrap/>
            <w:vAlign w:val="bottom"/>
            <w:hideMark/>
          </w:tcPr>
          <w:p w:rsidR="007D13F3" w:rsidRPr="008B6F13" w:rsidRDefault="007D13F3" w:rsidP="00465CAC">
            <w:pPr>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Zdroje príslušnej kapitoly</w:t>
            </w:r>
          </w:p>
        </w:tc>
        <w:tc>
          <w:tcPr>
            <w:tcW w:w="469" w:type="pct"/>
            <w:shd w:val="clear" w:color="auto" w:fill="BFBFBF" w:themeFill="background1" w:themeFillShade="BF"/>
            <w:noWrap/>
            <w:vAlign w:val="bottom"/>
            <w:hideMark/>
          </w:tcPr>
          <w:p w:rsidR="007D13F3" w:rsidRPr="008B6F13" w:rsidRDefault="007D13F3" w:rsidP="00465CAC">
            <w:pPr>
              <w:jc w:val="right"/>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4 541 857</w:t>
            </w:r>
          </w:p>
        </w:tc>
        <w:tc>
          <w:tcPr>
            <w:tcW w:w="469" w:type="pct"/>
            <w:shd w:val="clear" w:color="auto" w:fill="BFBFBF" w:themeFill="background1" w:themeFillShade="BF"/>
            <w:noWrap/>
            <w:vAlign w:val="bottom"/>
            <w:hideMark/>
          </w:tcPr>
          <w:p w:rsidR="007D13F3" w:rsidRPr="008B6F13" w:rsidRDefault="007D13F3" w:rsidP="00465CAC">
            <w:pPr>
              <w:jc w:val="right"/>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4 404 450</w:t>
            </w:r>
          </w:p>
        </w:tc>
        <w:tc>
          <w:tcPr>
            <w:tcW w:w="469" w:type="pct"/>
            <w:shd w:val="clear" w:color="auto" w:fill="BFBFBF" w:themeFill="background1" w:themeFillShade="BF"/>
            <w:noWrap/>
            <w:vAlign w:val="bottom"/>
            <w:hideMark/>
          </w:tcPr>
          <w:p w:rsidR="007D13F3" w:rsidRPr="008B6F13" w:rsidRDefault="007D13F3" w:rsidP="00465CAC">
            <w:pPr>
              <w:jc w:val="right"/>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4 224 720</w:t>
            </w:r>
          </w:p>
        </w:tc>
        <w:tc>
          <w:tcPr>
            <w:tcW w:w="469" w:type="pct"/>
            <w:shd w:val="clear" w:color="auto" w:fill="BFBFBF" w:themeFill="background1" w:themeFillShade="BF"/>
            <w:noWrap/>
            <w:vAlign w:val="bottom"/>
            <w:hideMark/>
          </w:tcPr>
          <w:p w:rsidR="007D13F3" w:rsidRPr="008B6F13" w:rsidRDefault="007D13F3" w:rsidP="00465CAC">
            <w:pPr>
              <w:jc w:val="right"/>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4 328 684</w:t>
            </w:r>
          </w:p>
        </w:tc>
        <w:tc>
          <w:tcPr>
            <w:tcW w:w="469" w:type="pct"/>
            <w:shd w:val="clear" w:color="auto" w:fill="BFBFBF" w:themeFill="background1" w:themeFillShade="BF"/>
            <w:noWrap/>
            <w:vAlign w:val="bottom"/>
            <w:hideMark/>
          </w:tcPr>
          <w:p w:rsidR="007D13F3" w:rsidRPr="008B6F13" w:rsidRDefault="007D13F3" w:rsidP="00465CAC">
            <w:pPr>
              <w:jc w:val="right"/>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5 117 534</w:t>
            </w:r>
          </w:p>
        </w:tc>
        <w:tc>
          <w:tcPr>
            <w:tcW w:w="469" w:type="pct"/>
            <w:shd w:val="clear" w:color="auto" w:fill="BFBFBF" w:themeFill="background1" w:themeFillShade="BF"/>
            <w:noWrap/>
            <w:vAlign w:val="bottom"/>
            <w:hideMark/>
          </w:tcPr>
          <w:p w:rsidR="007D13F3" w:rsidRPr="008B6F13" w:rsidRDefault="007D13F3" w:rsidP="00465CAC">
            <w:pPr>
              <w:jc w:val="right"/>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5 117 534</w:t>
            </w:r>
          </w:p>
        </w:tc>
        <w:tc>
          <w:tcPr>
            <w:tcW w:w="469" w:type="pct"/>
            <w:shd w:val="clear" w:color="auto" w:fill="BFBFBF" w:themeFill="background1" w:themeFillShade="BF"/>
            <w:noWrap/>
            <w:vAlign w:val="bottom"/>
            <w:hideMark/>
          </w:tcPr>
          <w:p w:rsidR="007D13F3" w:rsidRPr="008B6F13" w:rsidRDefault="007D13F3" w:rsidP="00465CAC">
            <w:pPr>
              <w:jc w:val="right"/>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5 117 534</w:t>
            </w:r>
          </w:p>
        </w:tc>
      </w:tr>
      <w:tr w:rsidR="007D13F3" w:rsidRPr="00FC1D21" w:rsidTr="00465CAC">
        <w:trPr>
          <w:trHeight w:hRule="exact" w:val="255"/>
          <w:jc w:val="right"/>
        </w:trPr>
        <w:tc>
          <w:tcPr>
            <w:tcW w:w="1719" w:type="pct"/>
            <w:shd w:val="clear" w:color="auto" w:fill="auto"/>
            <w:noWrap/>
            <w:vAlign w:val="bottom"/>
            <w:hideMark/>
          </w:tcPr>
          <w:p w:rsidR="007D13F3" w:rsidRPr="008B6F13" w:rsidRDefault="007D13F3" w:rsidP="00465CAC">
            <w:pPr>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 xml:space="preserve">rozpočtové zdroje kapitoly </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4 541 857</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4 404 450</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4 224 720</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4 328 684</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5 117 534</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5 117 534</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b/>
                <w:bCs/>
                <w:color w:val="000000"/>
                <w:sz w:val="14"/>
                <w:szCs w:val="14"/>
                <w:lang w:eastAsia="sk-SK"/>
              </w:rPr>
            </w:pPr>
            <w:r w:rsidRPr="008B6F13">
              <w:rPr>
                <w:rFonts w:ascii="Times New Roman" w:hAnsi="Times New Roman" w:cs="Times New Roman"/>
                <w:b/>
                <w:bCs/>
                <w:color w:val="000000"/>
                <w:sz w:val="14"/>
                <w:szCs w:val="14"/>
                <w:lang w:eastAsia="sk-SK"/>
              </w:rPr>
              <w:t>5 117 534</w:t>
            </w:r>
          </w:p>
        </w:tc>
      </w:tr>
      <w:tr w:rsidR="007D13F3" w:rsidRPr="00FC1D21" w:rsidTr="00465CAC">
        <w:trPr>
          <w:trHeight w:hRule="exact" w:val="255"/>
          <w:jc w:val="right"/>
        </w:trPr>
        <w:tc>
          <w:tcPr>
            <w:tcW w:w="1719" w:type="pct"/>
            <w:shd w:val="clear" w:color="auto" w:fill="auto"/>
            <w:noWrap/>
            <w:vAlign w:val="bottom"/>
            <w:hideMark/>
          </w:tcPr>
          <w:p w:rsidR="007D13F3" w:rsidRPr="008B6F13" w:rsidRDefault="007D13F3" w:rsidP="00465CAC">
            <w:pPr>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 xml:space="preserve">    v tom: bežné výdavky  600</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4 541 857</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4 404 450</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4 194 720</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4 199 308</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5 087 534</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5 087 534</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5 087 534</w:t>
            </w:r>
          </w:p>
        </w:tc>
      </w:tr>
      <w:tr w:rsidR="007D13F3" w:rsidRPr="00FC1D21" w:rsidTr="00465CAC">
        <w:trPr>
          <w:trHeight w:hRule="exact" w:val="255"/>
          <w:jc w:val="right"/>
        </w:trPr>
        <w:tc>
          <w:tcPr>
            <w:tcW w:w="1719" w:type="pct"/>
            <w:shd w:val="clear" w:color="auto" w:fill="auto"/>
            <w:noWrap/>
            <w:vAlign w:val="bottom"/>
            <w:hideMark/>
          </w:tcPr>
          <w:p w:rsidR="007D13F3" w:rsidRPr="008B6F13" w:rsidRDefault="007D13F3" w:rsidP="00465CAC">
            <w:pPr>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 xml:space="preserve">                                       610 mzdy</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1 667 759</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1 740 318</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1 745 600</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1 822 638</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1 814 530</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1 814 530</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1 814 530</w:t>
            </w:r>
          </w:p>
        </w:tc>
      </w:tr>
      <w:tr w:rsidR="007D13F3" w:rsidRPr="00FC1D21" w:rsidTr="00465CAC">
        <w:trPr>
          <w:trHeight w:hRule="exact" w:val="255"/>
          <w:jc w:val="right"/>
        </w:trPr>
        <w:tc>
          <w:tcPr>
            <w:tcW w:w="1719" w:type="pct"/>
            <w:shd w:val="clear" w:color="auto" w:fill="auto"/>
            <w:noWrap/>
            <w:vAlign w:val="bottom"/>
            <w:hideMark/>
          </w:tcPr>
          <w:p w:rsidR="007D13F3" w:rsidRPr="008B6F13" w:rsidRDefault="007D13F3" w:rsidP="00465CAC">
            <w:pPr>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 xml:space="preserve">                                       620 odvody</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629 201</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648 952</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662 010</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697 736</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710 579</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710 579</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710 579</w:t>
            </w:r>
          </w:p>
        </w:tc>
      </w:tr>
      <w:tr w:rsidR="007D13F3" w:rsidRPr="00FC1D21" w:rsidTr="00465CAC">
        <w:trPr>
          <w:trHeight w:hRule="exact" w:val="255"/>
          <w:jc w:val="right"/>
        </w:trPr>
        <w:tc>
          <w:tcPr>
            <w:tcW w:w="1719" w:type="pct"/>
            <w:shd w:val="clear" w:color="auto" w:fill="auto"/>
            <w:noWrap/>
            <w:vAlign w:val="bottom"/>
            <w:hideMark/>
          </w:tcPr>
          <w:p w:rsidR="007D13F3" w:rsidRPr="008B6F13" w:rsidRDefault="007D13F3" w:rsidP="00465CAC">
            <w:pPr>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 xml:space="preserve">                                       630 tovary a služby</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1 189 407</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1 035 948</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1 199 419</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1 354 861</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1 446 438</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1 446 438</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1 446 438</w:t>
            </w:r>
          </w:p>
        </w:tc>
      </w:tr>
      <w:tr w:rsidR="007D13F3" w:rsidRPr="00FC1D21" w:rsidTr="00465CAC">
        <w:trPr>
          <w:trHeight w:hRule="exact" w:val="255"/>
          <w:jc w:val="right"/>
        </w:trPr>
        <w:tc>
          <w:tcPr>
            <w:tcW w:w="1719" w:type="pct"/>
            <w:shd w:val="clear" w:color="auto" w:fill="auto"/>
            <w:noWrap/>
            <w:vAlign w:val="bottom"/>
            <w:hideMark/>
          </w:tcPr>
          <w:p w:rsidR="007D13F3" w:rsidRPr="008B6F13" w:rsidRDefault="007D13F3" w:rsidP="00465CAC">
            <w:pPr>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 xml:space="preserve">                                       640 bežné transfery</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1 055 490</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979 232</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587 691</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324 073</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1 115 987</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1 115 987</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1 115 987</w:t>
            </w:r>
          </w:p>
        </w:tc>
      </w:tr>
      <w:tr w:rsidR="007D13F3" w:rsidRPr="00FC1D21" w:rsidTr="00465CAC">
        <w:trPr>
          <w:trHeight w:hRule="exact" w:val="255"/>
          <w:jc w:val="right"/>
        </w:trPr>
        <w:tc>
          <w:tcPr>
            <w:tcW w:w="1719" w:type="pct"/>
            <w:shd w:val="clear" w:color="auto" w:fill="auto"/>
            <w:noWrap/>
            <w:vAlign w:val="bottom"/>
            <w:hideMark/>
          </w:tcPr>
          <w:p w:rsidR="007D13F3" w:rsidRPr="008B6F13" w:rsidRDefault="007D13F3" w:rsidP="00465CAC">
            <w:pPr>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 xml:space="preserve">               kapitálové výdavky 700</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0</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0</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30 000</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129 376</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30 000</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30 000</w:t>
            </w:r>
          </w:p>
        </w:tc>
        <w:tc>
          <w:tcPr>
            <w:tcW w:w="469" w:type="pct"/>
            <w:shd w:val="clear" w:color="auto" w:fill="auto"/>
            <w:noWrap/>
            <w:vAlign w:val="bottom"/>
            <w:hideMark/>
          </w:tcPr>
          <w:p w:rsidR="007D13F3" w:rsidRPr="008B6F13" w:rsidRDefault="007D13F3" w:rsidP="00465CAC">
            <w:pPr>
              <w:jc w:val="right"/>
              <w:rPr>
                <w:rFonts w:ascii="Times New Roman" w:hAnsi="Times New Roman" w:cs="Times New Roman"/>
                <w:color w:val="000000"/>
                <w:sz w:val="14"/>
                <w:szCs w:val="14"/>
                <w:lang w:eastAsia="sk-SK"/>
              </w:rPr>
            </w:pPr>
            <w:r w:rsidRPr="008B6F13">
              <w:rPr>
                <w:rFonts w:ascii="Times New Roman" w:hAnsi="Times New Roman" w:cs="Times New Roman"/>
                <w:color w:val="000000"/>
                <w:sz w:val="14"/>
                <w:szCs w:val="14"/>
                <w:lang w:eastAsia="sk-SK"/>
              </w:rPr>
              <w:t>30 000</w:t>
            </w:r>
          </w:p>
        </w:tc>
      </w:tr>
    </w:tbl>
    <w:p w:rsidR="007D13F3" w:rsidRDefault="007D13F3" w:rsidP="007D13F3">
      <w:pPr>
        <w:jc w:val="both"/>
        <w:rPr>
          <w:rFonts w:ascii="Times New Roman" w:hAnsi="Times New Roman" w:cs="Times New Roman"/>
        </w:rPr>
      </w:pPr>
    </w:p>
    <w:p w:rsidR="007D13F3" w:rsidRDefault="007D13F3" w:rsidP="007D13F3">
      <w:pPr>
        <w:jc w:val="both"/>
        <w:rPr>
          <w:rFonts w:ascii="Times New Roman" w:hAnsi="Times New Roman" w:cs="Times New Roman"/>
        </w:rPr>
      </w:pPr>
      <w:r>
        <w:rPr>
          <w:rFonts w:ascii="Times New Roman" w:hAnsi="Times New Roman" w:cs="Times New Roman"/>
        </w:rPr>
        <w:tab/>
      </w:r>
      <w:r w:rsidRPr="00486D32">
        <w:rPr>
          <w:rFonts w:ascii="Times New Roman" w:hAnsi="Times New Roman" w:cs="Times New Roman"/>
        </w:rPr>
        <w:t xml:space="preserve">Výdavky kapitoly Úradu pre normalizáciu, metrológiu a skúšobníctvo SR rozpočtované  na rok </w:t>
      </w:r>
      <w:r>
        <w:rPr>
          <w:rFonts w:ascii="Times New Roman" w:hAnsi="Times New Roman" w:cs="Times New Roman"/>
        </w:rPr>
        <w:t xml:space="preserve">2018 v sume 5,12 mil. eur </w:t>
      </w:r>
      <w:r w:rsidRPr="00486D32">
        <w:rPr>
          <w:rFonts w:ascii="Times New Roman" w:hAnsi="Times New Roman" w:cs="Times New Roman"/>
        </w:rPr>
        <w:t xml:space="preserve">sú oproti </w:t>
      </w:r>
      <w:r>
        <w:rPr>
          <w:rFonts w:ascii="Times New Roman" w:hAnsi="Times New Roman" w:cs="Times New Roman"/>
        </w:rPr>
        <w:t>schválenému rozpočtu na rok 2017</w:t>
      </w:r>
      <w:r w:rsidRPr="00486D32">
        <w:rPr>
          <w:rFonts w:ascii="Times New Roman" w:hAnsi="Times New Roman" w:cs="Times New Roman"/>
        </w:rPr>
        <w:t xml:space="preserve"> </w:t>
      </w:r>
      <w:r>
        <w:rPr>
          <w:rFonts w:ascii="Times New Roman" w:hAnsi="Times New Roman" w:cs="Times New Roman"/>
        </w:rPr>
        <w:t>vyššie</w:t>
      </w:r>
      <w:r w:rsidRPr="00486D32">
        <w:rPr>
          <w:rFonts w:ascii="Times New Roman" w:hAnsi="Times New Roman" w:cs="Times New Roman"/>
        </w:rPr>
        <w:t xml:space="preserve"> </w:t>
      </w:r>
      <w:r>
        <w:rPr>
          <w:rFonts w:ascii="Times New Roman" w:hAnsi="Times New Roman" w:cs="Times New Roman"/>
        </w:rPr>
        <w:br/>
      </w:r>
      <w:r w:rsidRPr="00486D32">
        <w:rPr>
          <w:rFonts w:ascii="Times New Roman" w:hAnsi="Times New Roman" w:cs="Times New Roman"/>
        </w:rPr>
        <w:t>o</w:t>
      </w:r>
      <w:r>
        <w:rPr>
          <w:rFonts w:ascii="Times New Roman" w:hAnsi="Times New Roman" w:cs="Times New Roman"/>
        </w:rPr>
        <w:t>  893 tis. eur, t. j. o 21,1 %, pričom rastú všetky kategórie výdavkov.</w:t>
      </w:r>
    </w:p>
    <w:p w:rsidR="007D13F3" w:rsidRPr="004547C1" w:rsidRDefault="007D13F3" w:rsidP="007D13F3">
      <w:pPr>
        <w:jc w:val="both"/>
        <w:rPr>
          <w:rFonts w:ascii="Times New Roman" w:hAnsi="Times New Roman" w:cs="Times New Roman"/>
        </w:rPr>
      </w:pPr>
    </w:p>
    <w:p w:rsidR="007D13F3" w:rsidRDefault="007D13F3" w:rsidP="007D13F3">
      <w:pPr>
        <w:jc w:val="both"/>
        <w:rPr>
          <w:rFonts w:ascii="Times New Roman" w:hAnsi="Times New Roman" w:cs="Times New Roman"/>
        </w:rPr>
      </w:pPr>
      <w:r>
        <w:rPr>
          <w:rFonts w:ascii="Times New Roman" w:hAnsi="Times New Roman" w:cs="Times New Roman"/>
        </w:rPr>
        <w:tab/>
      </w:r>
      <w:r w:rsidRPr="004547C1">
        <w:rPr>
          <w:rFonts w:ascii="Times New Roman" w:hAnsi="Times New Roman" w:cs="Times New Roman"/>
        </w:rPr>
        <w:t xml:space="preserve">Osobné </w:t>
      </w:r>
      <w:r>
        <w:rPr>
          <w:rFonts w:ascii="Times New Roman" w:hAnsi="Times New Roman" w:cs="Times New Roman"/>
        </w:rPr>
        <w:t>výdavky rozpočtované na rok 2018 v sume 2,53</w:t>
      </w:r>
      <w:r w:rsidRPr="004547C1">
        <w:rPr>
          <w:rFonts w:ascii="Times New Roman" w:hAnsi="Times New Roman" w:cs="Times New Roman"/>
        </w:rPr>
        <w:t xml:space="preserve"> mil. eur oproti </w:t>
      </w:r>
      <w:r>
        <w:rPr>
          <w:rFonts w:ascii="Times New Roman" w:hAnsi="Times New Roman" w:cs="Times New Roman"/>
        </w:rPr>
        <w:t>schválenému rozpočtu na rok 2017 rastú o 117</w:t>
      </w:r>
      <w:r w:rsidRPr="004547C1">
        <w:rPr>
          <w:rFonts w:ascii="Times New Roman" w:hAnsi="Times New Roman" w:cs="Times New Roman"/>
        </w:rPr>
        <w:t xml:space="preserve"> tis. eur</w:t>
      </w:r>
      <w:r>
        <w:rPr>
          <w:rFonts w:ascii="Times New Roman" w:hAnsi="Times New Roman" w:cs="Times New Roman"/>
        </w:rPr>
        <w:t>, t. j. o 4,88</w:t>
      </w:r>
      <w:r w:rsidRPr="004547C1">
        <w:rPr>
          <w:rFonts w:ascii="Times New Roman" w:hAnsi="Times New Roman" w:cs="Times New Roman"/>
        </w:rPr>
        <w:t xml:space="preserve"> % z dôvodu valorizácie miezd</w:t>
      </w:r>
      <w:r>
        <w:rPr>
          <w:rFonts w:ascii="Times New Roman" w:hAnsi="Times New Roman" w:cs="Times New Roman"/>
        </w:rPr>
        <w:t xml:space="preserve"> z roku 2017</w:t>
      </w:r>
      <w:r w:rsidRPr="004547C1">
        <w:rPr>
          <w:rFonts w:ascii="Times New Roman" w:hAnsi="Times New Roman" w:cs="Times New Roman"/>
        </w:rPr>
        <w:t>.</w:t>
      </w:r>
    </w:p>
    <w:p w:rsidR="007D13F3" w:rsidRPr="004547C1" w:rsidRDefault="007D13F3" w:rsidP="007D13F3">
      <w:pPr>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4547C1">
        <w:rPr>
          <w:rFonts w:ascii="Times New Roman" w:hAnsi="Times New Roman" w:cs="Times New Roman"/>
        </w:rPr>
        <w:t>Výdavky na tovar</w:t>
      </w:r>
      <w:r>
        <w:rPr>
          <w:rFonts w:ascii="Times New Roman" w:hAnsi="Times New Roman" w:cs="Times New Roman"/>
        </w:rPr>
        <w:t>y a služby stanovené na rok 2018 v sume 1,45</w:t>
      </w:r>
      <w:r w:rsidRPr="004547C1">
        <w:rPr>
          <w:rFonts w:ascii="Times New Roman" w:hAnsi="Times New Roman" w:cs="Times New Roman"/>
        </w:rPr>
        <w:t xml:space="preserve"> mil. eur </w:t>
      </w:r>
      <w:r>
        <w:rPr>
          <w:rFonts w:ascii="Times New Roman" w:hAnsi="Times New Roman" w:cs="Times New Roman"/>
        </w:rPr>
        <w:t>rastú</w:t>
      </w:r>
      <w:r w:rsidRPr="004547C1">
        <w:rPr>
          <w:rFonts w:ascii="Times New Roman" w:hAnsi="Times New Roman" w:cs="Times New Roman"/>
        </w:rPr>
        <w:t xml:space="preserve"> oproti </w:t>
      </w:r>
      <w:r>
        <w:rPr>
          <w:rFonts w:ascii="Times New Roman" w:hAnsi="Times New Roman" w:cs="Times New Roman"/>
        </w:rPr>
        <w:t>schválenému rozpočtu na rok 2017 o 247</w:t>
      </w:r>
      <w:r w:rsidRPr="004547C1">
        <w:rPr>
          <w:rFonts w:ascii="Times New Roman" w:hAnsi="Times New Roman" w:cs="Times New Roman"/>
        </w:rPr>
        <w:t xml:space="preserve"> tis. eur</w:t>
      </w:r>
      <w:r>
        <w:rPr>
          <w:rFonts w:ascii="Times New Roman" w:hAnsi="Times New Roman" w:cs="Times New Roman"/>
        </w:rPr>
        <w:t>, t. j. o 20,6</w:t>
      </w:r>
      <w:r w:rsidRPr="004547C1">
        <w:rPr>
          <w:rFonts w:ascii="Times New Roman" w:hAnsi="Times New Roman" w:cs="Times New Roman"/>
        </w:rPr>
        <w:t xml:space="preserve"> %</w:t>
      </w:r>
      <w:r>
        <w:rPr>
          <w:rFonts w:ascii="Times New Roman" w:hAnsi="Times New Roman" w:cs="Times New Roman"/>
        </w:rPr>
        <w:t xml:space="preserve"> </w:t>
      </w:r>
      <w:r w:rsidRPr="006508EE">
        <w:rPr>
          <w:rFonts w:ascii="Times New Roman" w:hAnsi="Times New Roman" w:cs="Times New Roman"/>
        </w:rPr>
        <w:t>v nadväznosti na vnútorný presun z bežných transferov.</w:t>
      </w:r>
    </w:p>
    <w:p w:rsidR="007D13F3" w:rsidRPr="004547C1" w:rsidRDefault="007D13F3" w:rsidP="007D13F3">
      <w:pPr>
        <w:jc w:val="both"/>
        <w:rPr>
          <w:rFonts w:ascii="Times New Roman" w:hAnsi="Times New Roman" w:cs="Times New Roman"/>
        </w:rPr>
      </w:pPr>
    </w:p>
    <w:p w:rsidR="007D13F3" w:rsidRDefault="007D13F3" w:rsidP="007D13F3">
      <w:pPr>
        <w:jc w:val="both"/>
        <w:rPr>
          <w:rFonts w:ascii="Times New Roman" w:hAnsi="Times New Roman" w:cs="Times New Roman"/>
        </w:rPr>
      </w:pPr>
      <w:r>
        <w:rPr>
          <w:rFonts w:ascii="Times New Roman" w:hAnsi="Times New Roman" w:cs="Times New Roman"/>
        </w:rPr>
        <w:tab/>
      </w:r>
      <w:r w:rsidRPr="004547C1">
        <w:rPr>
          <w:rFonts w:ascii="Times New Roman" w:hAnsi="Times New Roman" w:cs="Times New Roman"/>
        </w:rPr>
        <w:t>Výdavky na bežné transfe</w:t>
      </w:r>
      <w:r>
        <w:rPr>
          <w:rFonts w:ascii="Times New Roman" w:hAnsi="Times New Roman" w:cs="Times New Roman"/>
        </w:rPr>
        <w:t xml:space="preserve">ry v návrhu rozpočtu na rok 2018 určené v sume 1,12 mil. eur rastú </w:t>
      </w:r>
      <w:r w:rsidRPr="004547C1">
        <w:rPr>
          <w:rFonts w:ascii="Times New Roman" w:hAnsi="Times New Roman" w:cs="Times New Roman"/>
        </w:rPr>
        <w:t xml:space="preserve">oproti </w:t>
      </w:r>
      <w:r>
        <w:rPr>
          <w:rFonts w:ascii="Times New Roman" w:hAnsi="Times New Roman" w:cs="Times New Roman"/>
        </w:rPr>
        <w:t>schválenému rozpočtu na rok 2017 o 528 tis. eur, t. j. o 89,9 %</w:t>
      </w:r>
      <w:r w:rsidRPr="006776E8">
        <w:rPr>
          <w:rFonts w:ascii="Times New Roman" w:hAnsi="Times New Roman" w:cs="Times New Roman"/>
        </w:rPr>
        <w:t xml:space="preserve"> z</w:t>
      </w:r>
      <w:r>
        <w:rPr>
          <w:rFonts w:ascii="Times New Roman" w:hAnsi="Times New Roman" w:cs="Times New Roman"/>
        </w:rPr>
        <w:t> </w:t>
      </w:r>
      <w:r w:rsidRPr="006776E8">
        <w:rPr>
          <w:rFonts w:ascii="Times New Roman" w:hAnsi="Times New Roman" w:cs="Times New Roman"/>
        </w:rPr>
        <w:t>dôvodu</w:t>
      </w:r>
      <w:r>
        <w:rPr>
          <w:rFonts w:ascii="Times New Roman" w:hAnsi="Times New Roman" w:cs="Times New Roman"/>
        </w:rPr>
        <w:t xml:space="preserve"> dofinancovania príspevkovej organizácie Slovenský metrologický ústav.</w:t>
      </w:r>
    </w:p>
    <w:p w:rsidR="007D13F3" w:rsidRPr="004547C1" w:rsidRDefault="007D13F3" w:rsidP="007D13F3">
      <w:pPr>
        <w:jc w:val="both"/>
        <w:rPr>
          <w:rFonts w:ascii="Times New Roman" w:hAnsi="Times New Roman" w:cs="Times New Roman"/>
        </w:rPr>
      </w:pPr>
    </w:p>
    <w:p w:rsidR="007D13F3" w:rsidRPr="006776E8" w:rsidRDefault="007D13F3" w:rsidP="007D13F3">
      <w:pPr>
        <w:jc w:val="both"/>
        <w:rPr>
          <w:rFonts w:ascii="Times New Roman" w:hAnsi="Times New Roman" w:cs="Times New Roman"/>
        </w:rPr>
      </w:pPr>
      <w:r>
        <w:rPr>
          <w:rFonts w:ascii="Times New Roman" w:hAnsi="Times New Roman" w:cs="Times New Roman"/>
        </w:rPr>
        <w:tab/>
        <w:t xml:space="preserve">Kapitálové výdavky </w:t>
      </w:r>
      <w:r w:rsidRPr="006776E8">
        <w:rPr>
          <w:rFonts w:ascii="Times New Roman" w:hAnsi="Times New Roman" w:cs="Times New Roman"/>
        </w:rPr>
        <w:t>na rok 2018 vo výške 30,0 tis. eur sú na úrovni schváleného rozpočtu na rok 2017.</w:t>
      </w:r>
      <w:r>
        <w:rPr>
          <w:rFonts w:ascii="Times New Roman" w:hAnsi="Times New Roman" w:cs="Times New Roman"/>
        </w:rPr>
        <w:t xml:space="preserve"> </w:t>
      </w:r>
      <w:r w:rsidRPr="006776E8">
        <w:rPr>
          <w:rFonts w:ascii="Times New Roman" w:hAnsi="Times New Roman" w:cs="Times New Roman"/>
        </w:rPr>
        <w:t xml:space="preserve">Sú určené na technické zhodnotenie komunikačnej infraštruktúry v rámci programu Informačné technológie financované zo štátneho rozpočtu na prvku Systémy vnútornej správy. </w:t>
      </w:r>
    </w:p>
    <w:p w:rsidR="007D13F3" w:rsidRDefault="007D13F3" w:rsidP="007D13F3">
      <w:pPr>
        <w:jc w:val="both"/>
        <w:rPr>
          <w:rFonts w:ascii="Times New Roman" w:hAnsi="Times New Roman" w:cs="Times New Roman"/>
        </w:rPr>
      </w:pPr>
    </w:p>
    <w:p w:rsidR="007D13F3" w:rsidRDefault="007D13F3" w:rsidP="007D13F3">
      <w:pPr>
        <w:pStyle w:val="Nadpis5"/>
        <w:pBdr>
          <w:bottom w:val="single" w:sz="4" w:space="1" w:color="auto"/>
        </w:pBdr>
        <w:spacing w:before="0" w:after="0"/>
        <w:ind w:left="0"/>
        <w:rPr>
          <w:i w:val="0"/>
          <w:sz w:val="24"/>
        </w:rPr>
      </w:pPr>
      <w:bookmarkStart w:id="192" w:name="_Toc400551781"/>
      <w:bookmarkStart w:id="193" w:name="_Toc463048277"/>
      <w:bookmarkStart w:id="194" w:name="_Toc494470120"/>
      <w:bookmarkStart w:id="195" w:name="_Toc494472296"/>
      <w:r w:rsidRPr="00654395">
        <w:rPr>
          <w:i w:val="0"/>
          <w:sz w:val="24"/>
        </w:rPr>
        <w:t>Protimonopolný úrad SR</w:t>
      </w:r>
      <w:bookmarkEnd w:id="192"/>
      <w:bookmarkEnd w:id="193"/>
      <w:bookmarkEnd w:id="194"/>
      <w:bookmarkEnd w:id="195"/>
    </w:p>
    <w:p w:rsidR="007D13F3" w:rsidRDefault="007D13F3" w:rsidP="007D13F3">
      <w:pPr>
        <w:spacing w:line="360" w:lineRule="auto"/>
      </w:pPr>
    </w:p>
    <w:tbl>
      <w:tblPr>
        <w:tblW w:w="5000" w:type="pct"/>
        <w:tblCellMar>
          <w:left w:w="70" w:type="dxa"/>
          <w:right w:w="70" w:type="dxa"/>
        </w:tblCellMar>
        <w:tblLook w:val="04A0" w:firstRow="1" w:lastRow="0" w:firstColumn="1" w:lastColumn="0" w:noHBand="0" w:noVBand="1"/>
      </w:tblPr>
      <w:tblGrid>
        <w:gridCol w:w="3364"/>
        <w:gridCol w:w="814"/>
        <w:gridCol w:w="814"/>
        <w:gridCol w:w="814"/>
        <w:gridCol w:w="814"/>
        <w:gridCol w:w="814"/>
        <w:gridCol w:w="814"/>
        <w:gridCol w:w="814"/>
      </w:tblGrid>
      <w:tr w:rsidR="007D13F3" w:rsidRPr="00941A11" w:rsidTr="00465CAC">
        <w:trPr>
          <w:trHeight w:hRule="exact" w:val="255"/>
        </w:trPr>
        <w:tc>
          <w:tcPr>
            <w:tcW w:w="1855"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7D13F3" w:rsidRPr="00941A11" w:rsidRDefault="007D13F3" w:rsidP="00465CAC">
            <w:pP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v eurách</w:t>
            </w:r>
          </w:p>
        </w:tc>
        <w:tc>
          <w:tcPr>
            <w:tcW w:w="449" w:type="pct"/>
            <w:tcBorders>
              <w:top w:val="single" w:sz="4" w:space="0" w:color="auto"/>
              <w:left w:val="nil"/>
              <w:bottom w:val="single" w:sz="4" w:space="0" w:color="auto"/>
              <w:right w:val="single" w:sz="4" w:space="0" w:color="auto"/>
            </w:tcBorders>
            <w:shd w:val="pct35" w:color="000000" w:fill="FFFFFF" w:themeFill="background1"/>
            <w:vAlign w:val="center"/>
            <w:hideMark/>
          </w:tcPr>
          <w:p w:rsidR="007D13F3" w:rsidRPr="00941A11" w:rsidRDefault="007D13F3" w:rsidP="00465CAC">
            <w:pPr>
              <w:jc w:val="cente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2015 S</w:t>
            </w:r>
          </w:p>
        </w:tc>
        <w:tc>
          <w:tcPr>
            <w:tcW w:w="449" w:type="pct"/>
            <w:tcBorders>
              <w:top w:val="single" w:sz="4" w:space="0" w:color="auto"/>
              <w:left w:val="nil"/>
              <w:bottom w:val="single" w:sz="4" w:space="0" w:color="auto"/>
              <w:right w:val="single" w:sz="4" w:space="0" w:color="auto"/>
            </w:tcBorders>
            <w:shd w:val="pct35" w:color="000000" w:fill="FFFFFF" w:themeFill="background1"/>
            <w:vAlign w:val="center"/>
            <w:hideMark/>
          </w:tcPr>
          <w:p w:rsidR="007D13F3" w:rsidRPr="00941A11" w:rsidRDefault="007D13F3" w:rsidP="00465CAC">
            <w:pPr>
              <w:jc w:val="cente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2016 S</w:t>
            </w:r>
          </w:p>
        </w:tc>
        <w:tc>
          <w:tcPr>
            <w:tcW w:w="449" w:type="pct"/>
            <w:tcBorders>
              <w:top w:val="single" w:sz="4" w:space="0" w:color="auto"/>
              <w:left w:val="nil"/>
              <w:bottom w:val="single" w:sz="4" w:space="0" w:color="auto"/>
              <w:right w:val="single" w:sz="4" w:space="0" w:color="auto"/>
            </w:tcBorders>
            <w:shd w:val="pct35" w:color="000000" w:fill="FFFFFF" w:themeFill="background1"/>
            <w:vAlign w:val="center"/>
            <w:hideMark/>
          </w:tcPr>
          <w:p w:rsidR="007D13F3" w:rsidRPr="00941A11" w:rsidRDefault="007D13F3" w:rsidP="00465CAC">
            <w:pPr>
              <w:jc w:val="cente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2017 R</w:t>
            </w:r>
          </w:p>
        </w:tc>
        <w:tc>
          <w:tcPr>
            <w:tcW w:w="449" w:type="pct"/>
            <w:tcBorders>
              <w:top w:val="single" w:sz="4" w:space="0" w:color="auto"/>
              <w:left w:val="nil"/>
              <w:bottom w:val="single" w:sz="4" w:space="0" w:color="auto"/>
              <w:right w:val="single" w:sz="4" w:space="0" w:color="auto"/>
            </w:tcBorders>
            <w:shd w:val="pct35" w:color="000000" w:fill="FFFFFF" w:themeFill="background1"/>
            <w:vAlign w:val="center"/>
            <w:hideMark/>
          </w:tcPr>
          <w:p w:rsidR="007D13F3" w:rsidRPr="00941A11" w:rsidRDefault="007D13F3" w:rsidP="00465CAC">
            <w:pPr>
              <w:jc w:val="cente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2017 OS</w:t>
            </w:r>
          </w:p>
        </w:tc>
        <w:tc>
          <w:tcPr>
            <w:tcW w:w="449" w:type="pct"/>
            <w:tcBorders>
              <w:top w:val="single" w:sz="4" w:space="0" w:color="auto"/>
              <w:left w:val="nil"/>
              <w:bottom w:val="single" w:sz="4" w:space="0" w:color="auto"/>
              <w:right w:val="single" w:sz="4" w:space="0" w:color="auto"/>
            </w:tcBorders>
            <w:shd w:val="pct35" w:color="000000" w:fill="FFFFFF" w:themeFill="background1"/>
            <w:vAlign w:val="center"/>
            <w:hideMark/>
          </w:tcPr>
          <w:p w:rsidR="007D13F3" w:rsidRPr="00941A11" w:rsidRDefault="007D13F3" w:rsidP="00465CAC">
            <w:pPr>
              <w:jc w:val="cente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2018 N</w:t>
            </w:r>
          </w:p>
        </w:tc>
        <w:tc>
          <w:tcPr>
            <w:tcW w:w="449" w:type="pct"/>
            <w:tcBorders>
              <w:top w:val="single" w:sz="4" w:space="0" w:color="auto"/>
              <w:left w:val="nil"/>
              <w:bottom w:val="single" w:sz="4" w:space="0" w:color="auto"/>
              <w:right w:val="single" w:sz="4" w:space="0" w:color="auto"/>
            </w:tcBorders>
            <w:shd w:val="pct35" w:color="000000" w:fill="FFFFFF" w:themeFill="background1"/>
            <w:vAlign w:val="center"/>
            <w:hideMark/>
          </w:tcPr>
          <w:p w:rsidR="007D13F3" w:rsidRPr="00941A11" w:rsidRDefault="007D13F3" w:rsidP="00465CAC">
            <w:pPr>
              <w:jc w:val="cente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2019 N</w:t>
            </w:r>
          </w:p>
        </w:tc>
        <w:tc>
          <w:tcPr>
            <w:tcW w:w="449" w:type="pct"/>
            <w:tcBorders>
              <w:top w:val="single" w:sz="4" w:space="0" w:color="auto"/>
              <w:left w:val="nil"/>
              <w:bottom w:val="single" w:sz="4" w:space="0" w:color="auto"/>
              <w:right w:val="single" w:sz="4" w:space="0" w:color="auto"/>
            </w:tcBorders>
            <w:shd w:val="pct35" w:color="000000" w:fill="FFFFFF" w:themeFill="background1"/>
            <w:vAlign w:val="center"/>
            <w:hideMark/>
          </w:tcPr>
          <w:p w:rsidR="007D13F3" w:rsidRPr="00941A11" w:rsidRDefault="007D13F3" w:rsidP="00465CAC">
            <w:pPr>
              <w:jc w:val="cente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2020 N</w:t>
            </w:r>
          </w:p>
        </w:tc>
      </w:tr>
      <w:tr w:rsidR="007D13F3" w:rsidRPr="00941A11" w:rsidTr="00465CAC">
        <w:trPr>
          <w:trHeight w:hRule="exact" w:val="255"/>
        </w:trPr>
        <w:tc>
          <w:tcPr>
            <w:tcW w:w="1855" w:type="pct"/>
            <w:tcBorders>
              <w:top w:val="single" w:sz="4" w:space="0" w:color="auto"/>
              <w:left w:val="single" w:sz="4" w:space="0" w:color="auto"/>
              <w:bottom w:val="single" w:sz="4" w:space="0" w:color="auto"/>
              <w:right w:val="single" w:sz="4" w:space="0" w:color="auto"/>
            </w:tcBorders>
            <w:shd w:val="pct25" w:color="000000" w:fill="FFFFFF" w:themeFill="background1"/>
            <w:noWrap/>
            <w:vAlign w:val="center"/>
            <w:hideMark/>
          </w:tcPr>
          <w:p w:rsidR="007D13F3" w:rsidRPr="00941A11" w:rsidRDefault="007D13F3" w:rsidP="00465CAC">
            <w:pPr>
              <w:rPr>
                <w:rFonts w:ascii="Times New Roman" w:hAnsi="Times New Roman" w:cs="Times New Roman"/>
                <w:b/>
                <w:bCs/>
                <w:sz w:val="14"/>
                <w:szCs w:val="14"/>
                <w:lang w:eastAsia="sk-SK"/>
              </w:rPr>
            </w:pPr>
            <w:r w:rsidRPr="00941A11">
              <w:rPr>
                <w:rFonts w:ascii="Times New Roman" w:hAnsi="Times New Roman" w:cs="Times New Roman"/>
                <w:b/>
                <w:bCs/>
                <w:sz w:val="14"/>
                <w:szCs w:val="14"/>
                <w:lang w:eastAsia="sk-SK"/>
              </w:rPr>
              <w:t>Zdroje príslušnej kapitoly</w:t>
            </w:r>
          </w:p>
        </w:tc>
        <w:tc>
          <w:tcPr>
            <w:tcW w:w="449"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4 315 666</w:t>
            </w:r>
          </w:p>
        </w:tc>
        <w:tc>
          <w:tcPr>
            <w:tcW w:w="449"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2 716 195</w:t>
            </w:r>
          </w:p>
        </w:tc>
        <w:tc>
          <w:tcPr>
            <w:tcW w:w="449"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2 634 479</w:t>
            </w:r>
          </w:p>
        </w:tc>
        <w:tc>
          <w:tcPr>
            <w:tcW w:w="449"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2 763 769</w:t>
            </w:r>
          </w:p>
        </w:tc>
        <w:tc>
          <w:tcPr>
            <w:tcW w:w="449"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2 788 247</w:t>
            </w:r>
          </w:p>
        </w:tc>
        <w:tc>
          <w:tcPr>
            <w:tcW w:w="449"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2 748 247</w:t>
            </w:r>
          </w:p>
        </w:tc>
        <w:tc>
          <w:tcPr>
            <w:tcW w:w="449" w:type="pct"/>
            <w:tcBorders>
              <w:top w:val="single" w:sz="4" w:space="0" w:color="auto"/>
              <w:left w:val="nil"/>
              <w:bottom w:val="single" w:sz="4" w:space="0" w:color="auto"/>
              <w:right w:val="single" w:sz="4" w:space="0" w:color="auto"/>
            </w:tcBorders>
            <w:shd w:val="pct25" w:color="000000" w:fill="FFFFFF" w:themeFill="background1"/>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2 748 247</w:t>
            </w:r>
          </w:p>
        </w:tc>
      </w:tr>
      <w:tr w:rsidR="007D13F3" w:rsidRPr="00941A11" w:rsidTr="00465CAC">
        <w:trPr>
          <w:trHeight w:hRule="exact" w:val="25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7D13F3" w:rsidRPr="00941A11" w:rsidRDefault="007D13F3" w:rsidP="00465CAC">
            <w:pP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rozpočtové zdroje kapitoly</w:t>
            </w:r>
          </w:p>
        </w:tc>
        <w:tc>
          <w:tcPr>
            <w:tcW w:w="449" w:type="pct"/>
            <w:tcBorders>
              <w:top w:val="nil"/>
              <w:left w:val="nil"/>
              <w:bottom w:val="single" w:sz="4" w:space="0" w:color="auto"/>
              <w:right w:val="single" w:sz="4" w:space="0" w:color="auto"/>
            </w:tcBorders>
            <w:shd w:val="clear" w:color="auto" w:fill="auto"/>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4 310 702</w:t>
            </w:r>
          </w:p>
        </w:tc>
        <w:tc>
          <w:tcPr>
            <w:tcW w:w="449" w:type="pct"/>
            <w:tcBorders>
              <w:top w:val="nil"/>
              <w:left w:val="nil"/>
              <w:bottom w:val="single" w:sz="4" w:space="0" w:color="auto"/>
              <w:right w:val="single" w:sz="4" w:space="0" w:color="auto"/>
            </w:tcBorders>
            <w:shd w:val="clear" w:color="auto" w:fill="auto"/>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2 693 888</w:t>
            </w:r>
          </w:p>
        </w:tc>
        <w:tc>
          <w:tcPr>
            <w:tcW w:w="449" w:type="pct"/>
            <w:tcBorders>
              <w:top w:val="nil"/>
              <w:left w:val="nil"/>
              <w:bottom w:val="single" w:sz="4" w:space="0" w:color="auto"/>
              <w:right w:val="single" w:sz="4" w:space="0" w:color="auto"/>
            </w:tcBorders>
            <w:shd w:val="clear" w:color="auto" w:fill="auto"/>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2 634 479</w:t>
            </w:r>
          </w:p>
        </w:tc>
        <w:tc>
          <w:tcPr>
            <w:tcW w:w="449" w:type="pct"/>
            <w:tcBorders>
              <w:top w:val="nil"/>
              <w:left w:val="nil"/>
              <w:bottom w:val="single" w:sz="4" w:space="0" w:color="auto"/>
              <w:right w:val="single" w:sz="4" w:space="0" w:color="auto"/>
            </w:tcBorders>
            <w:shd w:val="clear" w:color="auto" w:fill="auto"/>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2 684 986</w:t>
            </w:r>
          </w:p>
        </w:tc>
        <w:tc>
          <w:tcPr>
            <w:tcW w:w="449" w:type="pct"/>
            <w:tcBorders>
              <w:top w:val="nil"/>
              <w:left w:val="nil"/>
              <w:bottom w:val="single" w:sz="4" w:space="0" w:color="auto"/>
              <w:right w:val="single" w:sz="4" w:space="0" w:color="auto"/>
            </w:tcBorders>
            <w:shd w:val="clear" w:color="auto" w:fill="auto"/>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2 788 247</w:t>
            </w:r>
          </w:p>
        </w:tc>
        <w:tc>
          <w:tcPr>
            <w:tcW w:w="449" w:type="pct"/>
            <w:tcBorders>
              <w:top w:val="nil"/>
              <w:left w:val="nil"/>
              <w:bottom w:val="single" w:sz="4" w:space="0" w:color="auto"/>
              <w:right w:val="single" w:sz="4" w:space="0" w:color="auto"/>
            </w:tcBorders>
            <w:shd w:val="clear" w:color="auto" w:fill="auto"/>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2 748 247</w:t>
            </w:r>
          </w:p>
        </w:tc>
        <w:tc>
          <w:tcPr>
            <w:tcW w:w="449" w:type="pct"/>
            <w:tcBorders>
              <w:top w:val="nil"/>
              <w:left w:val="nil"/>
              <w:bottom w:val="single" w:sz="4" w:space="0" w:color="auto"/>
              <w:right w:val="single" w:sz="4" w:space="0" w:color="auto"/>
            </w:tcBorders>
            <w:shd w:val="clear" w:color="auto" w:fill="auto"/>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2 748 247</w:t>
            </w:r>
          </w:p>
        </w:tc>
      </w:tr>
      <w:tr w:rsidR="007D13F3" w:rsidRPr="00941A11" w:rsidTr="00465CAC">
        <w:trPr>
          <w:trHeight w:hRule="exact" w:val="25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v tom: bežné výdavky  600</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4 285 722</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2 688 312</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2 599 479</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2 678 986</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2 673 247</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2 673 247</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2 673 247</w:t>
            </w:r>
          </w:p>
        </w:tc>
      </w:tr>
      <w:tr w:rsidR="007D13F3" w:rsidRPr="00941A11" w:rsidTr="00465CAC">
        <w:trPr>
          <w:trHeight w:hRule="exact" w:val="25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610 mzdy</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1 123 228</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1 414 638</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1 392 756</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1 451 827</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1 447 572</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1 447 572</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1 447 572</w:t>
            </w:r>
          </w:p>
        </w:tc>
      </w:tr>
      <w:tr w:rsidR="007D13F3" w:rsidRPr="00941A11" w:rsidTr="00465CAC">
        <w:trPr>
          <w:trHeight w:hRule="exact" w:val="25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620 odvody</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404 467</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507 213</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503 374</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523 810</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523 153</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523 153</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523 153</w:t>
            </w:r>
          </w:p>
        </w:tc>
      </w:tr>
      <w:tr w:rsidR="007D13F3" w:rsidRPr="00941A11" w:rsidTr="00465CAC">
        <w:trPr>
          <w:trHeight w:hRule="exact" w:val="25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630 tovary a služby</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2 755 649</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729 810</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678 873</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678 873</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690 522</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690 522</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690 522</w:t>
            </w:r>
          </w:p>
        </w:tc>
      </w:tr>
      <w:tr w:rsidR="007D13F3" w:rsidRPr="00941A11" w:rsidTr="00465CAC">
        <w:trPr>
          <w:trHeight w:hRule="exact" w:val="25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640 bežné transfery</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2 378</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36 651</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24 476</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24 476</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12 000</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12 000</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12 000</w:t>
            </w:r>
          </w:p>
        </w:tc>
      </w:tr>
      <w:tr w:rsidR="007D13F3" w:rsidRPr="00941A11" w:rsidTr="00465CAC">
        <w:trPr>
          <w:trHeight w:hRule="exact" w:val="25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kapitálové výdavky 700</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24 980</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5 576</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35 000</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6 000</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115 000</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75 000</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75 000</w:t>
            </w:r>
          </w:p>
        </w:tc>
      </w:tr>
      <w:tr w:rsidR="007D13F3" w:rsidRPr="00941A11" w:rsidTr="00465CAC">
        <w:trPr>
          <w:trHeight w:hRule="exact" w:val="25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7D13F3" w:rsidRPr="00941A11" w:rsidRDefault="007D13F3" w:rsidP="00465CAC">
            <w:pP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 xml:space="preserve">presun z minulých rokov </w:t>
            </w:r>
          </w:p>
        </w:tc>
        <w:tc>
          <w:tcPr>
            <w:tcW w:w="449" w:type="pct"/>
            <w:tcBorders>
              <w:top w:val="nil"/>
              <w:left w:val="nil"/>
              <w:bottom w:val="single" w:sz="4" w:space="0" w:color="auto"/>
              <w:right w:val="single" w:sz="4" w:space="0" w:color="auto"/>
            </w:tcBorders>
            <w:shd w:val="clear" w:color="auto" w:fill="auto"/>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4 964</w:t>
            </w:r>
          </w:p>
        </w:tc>
        <w:tc>
          <w:tcPr>
            <w:tcW w:w="449" w:type="pct"/>
            <w:tcBorders>
              <w:top w:val="nil"/>
              <w:left w:val="nil"/>
              <w:bottom w:val="single" w:sz="4" w:space="0" w:color="auto"/>
              <w:right w:val="single" w:sz="4" w:space="0" w:color="auto"/>
            </w:tcBorders>
            <w:shd w:val="clear" w:color="auto" w:fill="auto"/>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22 307</w:t>
            </w:r>
          </w:p>
        </w:tc>
        <w:tc>
          <w:tcPr>
            <w:tcW w:w="449" w:type="pct"/>
            <w:tcBorders>
              <w:top w:val="nil"/>
              <w:left w:val="nil"/>
              <w:bottom w:val="single" w:sz="4" w:space="0" w:color="auto"/>
              <w:right w:val="single" w:sz="4" w:space="0" w:color="auto"/>
            </w:tcBorders>
            <w:shd w:val="clear" w:color="auto" w:fill="auto"/>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c>
          <w:tcPr>
            <w:tcW w:w="449" w:type="pct"/>
            <w:tcBorders>
              <w:top w:val="nil"/>
              <w:left w:val="nil"/>
              <w:bottom w:val="single" w:sz="4" w:space="0" w:color="auto"/>
              <w:right w:val="single" w:sz="4" w:space="0" w:color="auto"/>
            </w:tcBorders>
            <w:shd w:val="clear" w:color="auto" w:fill="auto"/>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78 783</w:t>
            </w:r>
          </w:p>
        </w:tc>
        <w:tc>
          <w:tcPr>
            <w:tcW w:w="449" w:type="pct"/>
            <w:tcBorders>
              <w:top w:val="nil"/>
              <w:left w:val="nil"/>
              <w:bottom w:val="single" w:sz="4" w:space="0" w:color="auto"/>
              <w:right w:val="single" w:sz="4" w:space="0" w:color="auto"/>
            </w:tcBorders>
            <w:shd w:val="clear" w:color="auto" w:fill="auto"/>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c>
          <w:tcPr>
            <w:tcW w:w="449" w:type="pct"/>
            <w:tcBorders>
              <w:top w:val="nil"/>
              <w:left w:val="nil"/>
              <w:bottom w:val="single" w:sz="4" w:space="0" w:color="auto"/>
              <w:right w:val="single" w:sz="4" w:space="0" w:color="auto"/>
            </w:tcBorders>
            <w:shd w:val="clear" w:color="auto" w:fill="auto"/>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c>
          <w:tcPr>
            <w:tcW w:w="449" w:type="pct"/>
            <w:tcBorders>
              <w:top w:val="nil"/>
              <w:left w:val="nil"/>
              <w:bottom w:val="single" w:sz="4" w:space="0" w:color="auto"/>
              <w:right w:val="single" w:sz="4" w:space="0" w:color="auto"/>
            </w:tcBorders>
            <w:shd w:val="clear" w:color="auto" w:fill="auto"/>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r>
      <w:tr w:rsidR="007D13F3" w:rsidRPr="00941A11" w:rsidTr="00465CAC">
        <w:trPr>
          <w:trHeight w:hRule="exact" w:val="25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v tom: štátny rozpočet</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4 964</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29 000</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r>
      <w:tr w:rsidR="007D13F3" w:rsidRPr="00941A11" w:rsidTr="00465CAC">
        <w:trPr>
          <w:trHeight w:hRule="exact" w:val="25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7D13F3" w:rsidRPr="00941A11" w:rsidRDefault="00941A11" w:rsidP="00465CAC">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EÚ</w:t>
            </w:r>
            <w:r w:rsidR="007D13F3" w:rsidRPr="00941A11">
              <w:rPr>
                <w:rFonts w:ascii="Times New Roman" w:hAnsi="Times New Roman" w:cs="Times New Roman"/>
                <w:color w:val="000000"/>
                <w:sz w:val="14"/>
                <w:szCs w:val="14"/>
                <w:lang w:eastAsia="sk-SK"/>
              </w:rPr>
              <w:t xml:space="preserve"> prostriedky</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18 305</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40 852</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c>
          <w:tcPr>
            <w:tcW w:w="449" w:type="pct"/>
            <w:tcBorders>
              <w:top w:val="nil"/>
              <w:left w:val="nil"/>
              <w:bottom w:val="single" w:sz="4" w:space="0" w:color="auto"/>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r>
      <w:tr w:rsidR="007D13F3" w:rsidRPr="00941A11" w:rsidTr="00465CAC">
        <w:trPr>
          <w:trHeight w:hRule="exact" w:val="255"/>
        </w:trPr>
        <w:tc>
          <w:tcPr>
            <w:tcW w:w="1855" w:type="pct"/>
            <w:tcBorders>
              <w:top w:val="nil"/>
              <w:left w:val="single" w:sz="4" w:space="0" w:color="auto"/>
              <w:bottom w:val="nil"/>
              <w:right w:val="single" w:sz="4" w:space="0" w:color="auto"/>
            </w:tcBorders>
            <w:shd w:val="clear" w:color="auto" w:fill="auto"/>
            <w:noWrap/>
            <w:vAlign w:val="bottom"/>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xml:space="preserve">               spolufinancovanie zo ŠR</w:t>
            </w:r>
          </w:p>
        </w:tc>
        <w:tc>
          <w:tcPr>
            <w:tcW w:w="449" w:type="pct"/>
            <w:tcBorders>
              <w:top w:val="nil"/>
              <w:left w:val="nil"/>
              <w:bottom w:val="nil"/>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9" w:type="pct"/>
            <w:tcBorders>
              <w:top w:val="nil"/>
              <w:left w:val="nil"/>
              <w:bottom w:val="nil"/>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4 002</w:t>
            </w:r>
          </w:p>
        </w:tc>
        <w:tc>
          <w:tcPr>
            <w:tcW w:w="449" w:type="pct"/>
            <w:tcBorders>
              <w:top w:val="nil"/>
              <w:left w:val="nil"/>
              <w:bottom w:val="nil"/>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0</w:t>
            </w:r>
          </w:p>
        </w:tc>
        <w:tc>
          <w:tcPr>
            <w:tcW w:w="449" w:type="pct"/>
            <w:tcBorders>
              <w:top w:val="nil"/>
              <w:left w:val="nil"/>
              <w:bottom w:val="nil"/>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8 931</w:t>
            </w:r>
          </w:p>
        </w:tc>
        <w:tc>
          <w:tcPr>
            <w:tcW w:w="449" w:type="pct"/>
            <w:tcBorders>
              <w:top w:val="nil"/>
              <w:left w:val="nil"/>
              <w:bottom w:val="nil"/>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c>
          <w:tcPr>
            <w:tcW w:w="449" w:type="pct"/>
            <w:tcBorders>
              <w:top w:val="nil"/>
              <w:left w:val="nil"/>
              <w:bottom w:val="nil"/>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c>
          <w:tcPr>
            <w:tcW w:w="449" w:type="pct"/>
            <w:tcBorders>
              <w:top w:val="nil"/>
              <w:left w:val="nil"/>
              <w:bottom w:val="nil"/>
              <w:right w:val="single" w:sz="4" w:space="0" w:color="auto"/>
            </w:tcBorders>
            <w:shd w:val="clear" w:color="auto" w:fill="auto"/>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0</w:t>
            </w:r>
          </w:p>
        </w:tc>
      </w:tr>
      <w:tr w:rsidR="007D13F3" w:rsidRPr="00941A11" w:rsidTr="00465CAC">
        <w:trPr>
          <w:trHeight w:hRule="exact" w:val="255"/>
        </w:trPr>
        <w:tc>
          <w:tcPr>
            <w:tcW w:w="1855" w:type="pct"/>
            <w:tcBorders>
              <w:top w:val="single" w:sz="4" w:space="0" w:color="auto"/>
              <w:left w:val="nil"/>
              <w:bottom w:val="single" w:sz="4" w:space="0" w:color="auto"/>
              <w:right w:val="nil"/>
            </w:tcBorders>
            <w:shd w:val="clear" w:color="auto" w:fill="auto"/>
            <w:noWrap/>
            <w:vAlign w:val="bottom"/>
            <w:hideMark/>
          </w:tcPr>
          <w:p w:rsidR="007D13F3" w:rsidRPr="00941A11" w:rsidRDefault="007D13F3" w:rsidP="00465CAC">
            <w:pPr>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w:t>
            </w:r>
          </w:p>
        </w:tc>
        <w:tc>
          <w:tcPr>
            <w:tcW w:w="449" w:type="pct"/>
            <w:tcBorders>
              <w:top w:val="single" w:sz="4" w:space="0" w:color="auto"/>
              <w:left w:val="nil"/>
              <w:bottom w:val="single" w:sz="4" w:space="0" w:color="auto"/>
              <w:right w:val="nil"/>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w:t>
            </w:r>
          </w:p>
        </w:tc>
        <w:tc>
          <w:tcPr>
            <w:tcW w:w="449" w:type="pct"/>
            <w:tcBorders>
              <w:top w:val="single" w:sz="4" w:space="0" w:color="auto"/>
              <w:left w:val="nil"/>
              <w:bottom w:val="single" w:sz="4" w:space="0" w:color="auto"/>
              <w:right w:val="nil"/>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w:t>
            </w:r>
          </w:p>
        </w:tc>
        <w:tc>
          <w:tcPr>
            <w:tcW w:w="449" w:type="pct"/>
            <w:tcBorders>
              <w:top w:val="single" w:sz="4" w:space="0" w:color="auto"/>
              <w:left w:val="nil"/>
              <w:bottom w:val="single" w:sz="4" w:space="0" w:color="auto"/>
              <w:right w:val="nil"/>
            </w:tcBorders>
            <w:shd w:val="clear" w:color="auto" w:fill="auto"/>
            <w:noWrap/>
            <w:vAlign w:val="bottom"/>
            <w:hideMark/>
          </w:tcPr>
          <w:p w:rsidR="007D13F3" w:rsidRPr="00941A11" w:rsidRDefault="007D13F3" w:rsidP="00465CAC">
            <w:pPr>
              <w:jc w:val="right"/>
              <w:rPr>
                <w:rFonts w:ascii="Times New Roman" w:hAnsi="Times New Roman" w:cs="Times New Roman"/>
                <w:color w:val="000000"/>
                <w:sz w:val="14"/>
                <w:szCs w:val="14"/>
                <w:lang w:eastAsia="sk-SK"/>
              </w:rPr>
            </w:pPr>
            <w:r w:rsidRPr="00941A11">
              <w:rPr>
                <w:rFonts w:ascii="Times New Roman" w:hAnsi="Times New Roman" w:cs="Times New Roman"/>
                <w:color w:val="000000"/>
                <w:sz w:val="14"/>
                <w:szCs w:val="14"/>
                <w:lang w:eastAsia="sk-SK"/>
              </w:rPr>
              <w:t> </w:t>
            </w:r>
          </w:p>
        </w:tc>
        <w:tc>
          <w:tcPr>
            <w:tcW w:w="449" w:type="pct"/>
            <w:tcBorders>
              <w:top w:val="single" w:sz="4" w:space="0" w:color="auto"/>
              <w:left w:val="nil"/>
              <w:bottom w:val="single" w:sz="4" w:space="0" w:color="auto"/>
              <w:right w:val="nil"/>
            </w:tcBorders>
            <w:shd w:val="clear" w:color="auto" w:fill="auto"/>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 </w:t>
            </w:r>
          </w:p>
        </w:tc>
        <w:tc>
          <w:tcPr>
            <w:tcW w:w="449" w:type="pct"/>
            <w:tcBorders>
              <w:top w:val="single" w:sz="4" w:space="0" w:color="auto"/>
              <w:left w:val="nil"/>
              <w:bottom w:val="single" w:sz="4" w:space="0" w:color="auto"/>
              <w:right w:val="nil"/>
            </w:tcBorders>
            <w:shd w:val="clear" w:color="auto" w:fill="auto"/>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 </w:t>
            </w:r>
          </w:p>
        </w:tc>
        <w:tc>
          <w:tcPr>
            <w:tcW w:w="449" w:type="pct"/>
            <w:tcBorders>
              <w:top w:val="single" w:sz="4" w:space="0" w:color="auto"/>
              <w:left w:val="nil"/>
              <w:bottom w:val="single" w:sz="4" w:space="0" w:color="auto"/>
              <w:right w:val="nil"/>
            </w:tcBorders>
            <w:shd w:val="clear" w:color="auto" w:fill="auto"/>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 </w:t>
            </w:r>
          </w:p>
        </w:tc>
        <w:tc>
          <w:tcPr>
            <w:tcW w:w="449" w:type="pct"/>
            <w:tcBorders>
              <w:top w:val="single" w:sz="4" w:space="0" w:color="auto"/>
              <w:left w:val="nil"/>
              <w:bottom w:val="single" w:sz="4" w:space="0" w:color="auto"/>
              <w:right w:val="nil"/>
            </w:tcBorders>
            <w:shd w:val="clear" w:color="auto" w:fill="auto"/>
            <w:noWrap/>
            <w:vAlign w:val="bottom"/>
            <w:hideMark/>
          </w:tcPr>
          <w:p w:rsidR="007D13F3" w:rsidRPr="00941A11" w:rsidRDefault="007D13F3" w:rsidP="00465CAC">
            <w:pPr>
              <w:jc w:val="right"/>
              <w:rPr>
                <w:rFonts w:ascii="Times New Roman" w:hAnsi="Times New Roman" w:cs="Times New Roman"/>
                <w:sz w:val="14"/>
                <w:szCs w:val="14"/>
                <w:lang w:eastAsia="sk-SK"/>
              </w:rPr>
            </w:pPr>
            <w:r w:rsidRPr="00941A11">
              <w:rPr>
                <w:rFonts w:ascii="Times New Roman" w:hAnsi="Times New Roman" w:cs="Times New Roman"/>
                <w:sz w:val="14"/>
                <w:szCs w:val="14"/>
                <w:lang w:eastAsia="sk-SK"/>
              </w:rPr>
              <w:t> </w:t>
            </w:r>
          </w:p>
        </w:tc>
      </w:tr>
      <w:tr w:rsidR="007D13F3" w:rsidRPr="00941A11" w:rsidTr="00465CAC">
        <w:trPr>
          <w:trHeight w:hRule="exact" w:val="255"/>
        </w:trPr>
        <w:tc>
          <w:tcPr>
            <w:tcW w:w="1855" w:type="pct"/>
            <w:tcBorders>
              <w:top w:val="nil"/>
              <w:left w:val="single" w:sz="4" w:space="0" w:color="auto"/>
              <w:bottom w:val="single" w:sz="4" w:space="0" w:color="auto"/>
              <w:right w:val="single" w:sz="4" w:space="0" w:color="auto"/>
            </w:tcBorders>
            <w:shd w:val="clear" w:color="000000" w:fill="FFFFFF"/>
            <w:noWrap/>
            <w:vAlign w:val="center"/>
            <w:hideMark/>
          </w:tcPr>
          <w:p w:rsidR="007D13F3" w:rsidRPr="00941A11" w:rsidRDefault="007D13F3" w:rsidP="00465CAC">
            <w:pPr>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Samostatné účty</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259 977</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31 557</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b/>
                <w:bCs/>
                <w:color w:val="000000"/>
                <w:sz w:val="14"/>
                <w:szCs w:val="14"/>
                <w:lang w:eastAsia="sk-SK"/>
              </w:rPr>
            </w:pPr>
            <w:r w:rsidRPr="00941A11">
              <w:rPr>
                <w:rFonts w:ascii="Times New Roman" w:hAnsi="Times New Roman" w:cs="Times New Roman"/>
                <w:b/>
                <w:bCs/>
                <w:color w:val="000000"/>
                <w:sz w:val="14"/>
                <w:szCs w:val="14"/>
                <w:lang w:eastAsia="sk-SK"/>
              </w:rPr>
              <w:t>0</w:t>
            </w:r>
          </w:p>
        </w:tc>
        <w:tc>
          <w:tcPr>
            <w:tcW w:w="449" w:type="pct"/>
            <w:tcBorders>
              <w:top w:val="nil"/>
              <w:left w:val="nil"/>
              <w:bottom w:val="single" w:sz="4" w:space="0" w:color="auto"/>
              <w:right w:val="single" w:sz="4" w:space="0" w:color="auto"/>
            </w:tcBorders>
            <w:shd w:val="clear" w:color="000000" w:fill="FFFFFF"/>
            <w:noWrap/>
            <w:vAlign w:val="bottom"/>
            <w:hideMark/>
          </w:tcPr>
          <w:p w:rsidR="007D13F3" w:rsidRPr="00941A11" w:rsidRDefault="007D13F3" w:rsidP="00465CAC">
            <w:pPr>
              <w:jc w:val="right"/>
              <w:rPr>
                <w:rFonts w:ascii="Times New Roman" w:hAnsi="Times New Roman" w:cs="Times New Roman"/>
                <w:b/>
                <w:bCs/>
                <w:sz w:val="14"/>
                <w:szCs w:val="14"/>
                <w:lang w:eastAsia="sk-SK"/>
              </w:rPr>
            </w:pPr>
            <w:r w:rsidRPr="00941A11">
              <w:rPr>
                <w:rFonts w:ascii="Times New Roman" w:hAnsi="Times New Roman" w:cs="Times New Roman"/>
                <w:b/>
                <w:bCs/>
                <w:sz w:val="14"/>
                <w:szCs w:val="14"/>
                <w:lang w:eastAsia="sk-SK"/>
              </w:rPr>
              <w:t>0</w:t>
            </w:r>
          </w:p>
        </w:tc>
      </w:tr>
    </w:tbl>
    <w:p w:rsidR="007D13F3" w:rsidRPr="001042F1" w:rsidRDefault="007D13F3" w:rsidP="007D13F3">
      <w:pPr>
        <w:spacing w:line="360" w:lineRule="auto"/>
        <w:jc w:val="both"/>
        <w:rPr>
          <w:rFonts w:ascii="Times New Roman" w:hAnsi="Times New Roman" w:cs="Times New Roman"/>
          <w:sz w:val="22"/>
          <w:szCs w:val="22"/>
          <w:lang w:eastAsia="sk-SK"/>
        </w:rPr>
      </w:pPr>
    </w:p>
    <w:p w:rsidR="007D13F3" w:rsidRPr="001042F1" w:rsidRDefault="007D13F3" w:rsidP="007D13F3">
      <w:pPr>
        <w:jc w:val="both"/>
        <w:rPr>
          <w:rFonts w:ascii="Times New Roman" w:hAnsi="Times New Roman" w:cs="Times New Roman"/>
          <w:lang w:eastAsia="sk-SK"/>
        </w:rPr>
      </w:pPr>
      <w:r>
        <w:rPr>
          <w:rFonts w:ascii="Times New Roman" w:hAnsi="Times New Roman" w:cs="Times New Roman"/>
          <w:lang w:eastAsia="sk-SK"/>
        </w:rPr>
        <w:lastRenderedPageBreak/>
        <w:tab/>
      </w:r>
      <w:r w:rsidRPr="001042F1">
        <w:rPr>
          <w:rFonts w:ascii="Times New Roman" w:hAnsi="Times New Roman" w:cs="Times New Roman"/>
          <w:lang w:eastAsia="sk-SK"/>
        </w:rPr>
        <w:t>Výdavky kapitoly Protimonopolný úrad SR (ďalej len „PMÚ SR“) na rok 201</w:t>
      </w:r>
      <w:r>
        <w:rPr>
          <w:rFonts w:ascii="Times New Roman" w:hAnsi="Times New Roman" w:cs="Times New Roman"/>
          <w:lang w:eastAsia="sk-SK"/>
        </w:rPr>
        <w:t>8</w:t>
      </w:r>
      <w:r w:rsidRPr="001042F1">
        <w:rPr>
          <w:rFonts w:ascii="Times New Roman" w:hAnsi="Times New Roman" w:cs="Times New Roman"/>
          <w:lang w:eastAsia="sk-SK"/>
        </w:rPr>
        <w:t xml:space="preserve"> sú rozpočtované v sume 2,</w:t>
      </w:r>
      <w:r>
        <w:rPr>
          <w:rFonts w:ascii="Times New Roman" w:hAnsi="Times New Roman" w:cs="Times New Roman"/>
          <w:lang w:eastAsia="sk-SK"/>
        </w:rPr>
        <w:t>79</w:t>
      </w:r>
      <w:r w:rsidRPr="001042F1">
        <w:rPr>
          <w:rFonts w:ascii="Times New Roman" w:hAnsi="Times New Roman" w:cs="Times New Roman"/>
          <w:lang w:eastAsia="sk-SK"/>
        </w:rPr>
        <w:t xml:space="preserve"> mil. eur, čo v porovnaní so schváleným rozpočtom na rok 201</w:t>
      </w:r>
      <w:r>
        <w:rPr>
          <w:rFonts w:ascii="Times New Roman" w:hAnsi="Times New Roman" w:cs="Times New Roman"/>
          <w:lang w:eastAsia="sk-SK"/>
        </w:rPr>
        <w:t>7</w:t>
      </w:r>
      <w:r w:rsidRPr="001042F1">
        <w:rPr>
          <w:rFonts w:ascii="Times New Roman" w:hAnsi="Times New Roman" w:cs="Times New Roman"/>
          <w:lang w:eastAsia="sk-SK"/>
        </w:rPr>
        <w:t xml:space="preserve"> predstavuje nárast o</w:t>
      </w:r>
      <w:r>
        <w:rPr>
          <w:rFonts w:ascii="Times New Roman" w:hAnsi="Times New Roman" w:cs="Times New Roman"/>
          <w:lang w:eastAsia="sk-SK"/>
        </w:rPr>
        <w:t> 154</w:t>
      </w:r>
      <w:r w:rsidRPr="001042F1">
        <w:rPr>
          <w:rFonts w:ascii="Times New Roman" w:hAnsi="Times New Roman" w:cs="Times New Roman"/>
          <w:lang w:eastAsia="sk-SK"/>
        </w:rPr>
        <w:t xml:space="preserve"> tis. eur, t. j. o</w:t>
      </w:r>
      <w:r>
        <w:rPr>
          <w:rFonts w:ascii="Times New Roman" w:hAnsi="Times New Roman" w:cs="Times New Roman"/>
          <w:lang w:eastAsia="sk-SK"/>
        </w:rPr>
        <w:t> 5,84</w:t>
      </w:r>
      <w:r w:rsidRPr="001042F1">
        <w:rPr>
          <w:rFonts w:ascii="Times New Roman" w:hAnsi="Times New Roman" w:cs="Times New Roman"/>
          <w:lang w:eastAsia="sk-SK"/>
        </w:rPr>
        <w:t xml:space="preserve"> %. Výdavky rastú </w:t>
      </w:r>
      <w:r>
        <w:rPr>
          <w:rFonts w:ascii="Times New Roman" w:hAnsi="Times New Roman" w:cs="Times New Roman"/>
          <w:lang w:eastAsia="sk-SK"/>
        </w:rPr>
        <w:t>z dôvodu nárastu osobných a kapitálových výdavkov.</w:t>
      </w:r>
    </w:p>
    <w:p w:rsidR="007D13F3" w:rsidRPr="001042F1" w:rsidRDefault="007D13F3" w:rsidP="007D13F3">
      <w:pPr>
        <w:jc w:val="both"/>
        <w:rPr>
          <w:rFonts w:ascii="Times New Roman" w:hAnsi="Times New Roman" w:cs="Times New Roman"/>
          <w:lang w:eastAsia="sk-SK"/>
        </w:rPr>
      </w:pPr>
    </w:p>
    <w:p w:rsidR="007D13F3" w:rsidRDefault="007D13F3" w:rsidP="007D13F3">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Osobné výdavky sa na rok 201</w:t>
      </w:r>
      <w:r>
        <w:rPr>
          <w:rFonts w:ascii="Times New Roman" w:hAnsi="Times New Roman" w:cs="Times New Roman"/>
          <w:lang w:eastAsia="sk-SK"/>
        </w:rPr>
        <w:t>8 rozpočtujú vo výške 1,97</w:t>
      </w:r>
      <w:r w:rsidRPr="001042F1">
        <w:rPr>
          <w:rFonts w:ascii="Times New Roman" w:hAnsi="Times New Roman" w:cs="Times New Roman"/>
          <w:lang w:eastAsia="sk-SK"/>
        </w:rPr>
        <w:t xml:space="preserve"> mil. eur, čo predstavuje medziročný nárast o</w:t>
      </w:r>
      <w:r>
        <w:rPr>
          <w:rFonts w:ascii="Times New Roman" w:hAnsi="Times New Roman" w:cs="Times New Roman"/>
          <w:lang w:eastAsia="sk-SK"/>
        </w:rPr>
        <w:t> 74,6</w:t>
      </w:r>
      <w:r w:rsidRPr="001042F1">
        <w:rPr>
          <w:rFonts w:ascii="Times New Roman" w:hAnsi="Times New Roman" w:cs="Times New Roman"/>
          <w:lang w:eastAsia="sk-SK"/>
        </w:rPr>
        <w:t xml:space="preserve"> tis. eur, t. j. o</w:t>
      </w:r>
      <w:r>
        <w:rPr>
          <w:rFonts w:ascii="Times New Roman" w:hAnsi="Times New Roman" w:cs="Times New Roman"/>
          <w:lang w:eastAsia="sk-SK"/>
        </w:rPr>
        <w:t> 3,93</w:t>
      </w:r>
      <w:r w:rsidRPr="001042F1">
        <w:rPr>
          <w:rFonts w:ascii="Times New Roman" w:hAnsi="Times New Roman" w:cs="Times New Roman"/>
          <w:lang w:eastAsia="sk-SK"/>
        </w:rPr>
        <w:t xml:space="preserve"> %. Výdavky rastú z dôvodu valorizácie platov</w:t>
      </w:r>
      <w:r>
        <w:rPr>
          <w:rFonts w:ascii="Times New Roman" w:hAnsi="Times New Roman" w:cs="Times New Roman"/>
          <w:lang w:eastAsia="sk-SK"/>
        </w:rPr>
        <w:t xml:space="preserve"> zamestnancov </w:t>
      </w:r>
      <w:r w:rsidRPr="001042F1">
        <w:rPr>
          <w:rFonts w:ascii="Times New Roman" w:hAnsi="Times New Roman" w:cs="Times New Roman"/>
          <w:lang w:eastAsia="sk-SK"/>
        </w:rPr>
        <w:t>z roku 201</w:t>
      </w:r>
      <w:r>
        <w:rPr>
          <w:rFonts w:ascii="Times New Roman" w:hAnsi="Times New Roman" w:cs="Times New Roman"/>
          <w:lang w:eastAsia="sk-SK"/>
        </w:rPr>
        <w:t>7.</w:t>
      </w:r>
    </w:p>
    <w:p w:rsidR="007D13F3" w:rsidRPr="001F23B2" w:rsidRDefault="007D13F3" w:rsidP="007D13F3">
      <w:pPr>
        <w:jc w:val="both"/>
        <w:rPr>
          <w:rFonts w:ascii="Times New Roman" w:hAnsi="Times New Roman" w:cs="Times New Roman"/>
          <w:lang w:eastAsia="sk-SK"/>
        </w:rPr>
      </w:pPr>
    </w:p>
    <w:p w:rsidR="007D13F3" w:rsidRDefault="007D13F3" w:rsidP="007D13F3">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Výdavky na tovary a služby sú v roku 201</w:t>
      </w:r>
      <w:r>
        <w:rPr>
          <w:rFonts w:ascii="Times New Roman" w:hAnsi="Times New Roman" w:cs="Times New Roman"/>
          <w:lang w:eastAsia="sk-SK"/>
        </w:rPr>
        <w:t>8</w:t>
      </w:r>
      <w:r w:rsidRPr="001042F1">
        <w:rPr>
          <w:rFonts w:ascii="Times New Roman" w:hAnsi="Times New Roman" w:cs="Times New Roman"/>
          <w:lang w:eastAsia="sk-SK"/>
        </w:rPr>
        <w:t xml:space="preserve"> rozpočtované v sume </w:t>
      </w:r>
      <w:r>
        <w:rPr>
          <w:rFonts w:ascii="Times New Roman" w:hAnsi="Times New Roman" w:cs="Times New Roman"/>
          <w:lang w:eastAsia="sk-SK"/>
        </w:rPr>
        <w:t>691</w:t>
      </w:r>
      <w:r w:rsidRPr="001042F1">
        <w:rPr>
          <w:rFonts w:ascii="Times New Roman" w:hAnsi="Times New Roman" w:cs="Times New Roman"/>
          <w:lang w:eastAsia="sk-SK"/>
        </w:rPr>
        <w:t xml:space="preserve"> tis. eur.</w:t>
      </w:r>
      <w:r>
        <w:rPr>
          <w:rFonts w:ascii="Times New Roman" w:hAnsi="Times New Roman" w:cs="Times New Roman"/>
          <w:lang w:eastAsia="sk-SK"/>
        </w:rPr>
        <w:br/>
      </w:r>
      <w:r w:rsidRPr="001042F1">
        <w:rPr>
          <w:rFonts w:ascii="Times New Roman" w:hAnsi="Times New Roman" w:cs="Times New Roman"/>
          <w:lang w:eastAsia="sk-SK"/>
        </w:rPr>
        <w:t>V porovnaní so schváleným rozpočtom na rok 201</w:t>
      </w:r>
      <w:r>
        <w:rPr>
          <w:rFonts w:ascii="Times New Roman" w:hAnsi="Times New Roman" w:cs="Times New Roman"/>
          <w:lang w:eastAsia="sk-SK"/>
        </w:rPr>
        <w:t>7</w:t>
      </w:r>
      <w:r w:rsidRPr="001042F1">
        <w:rPr>
          <w:rFonts w:ascii="Times New Roman" w:hAnsi="Times New Roman" w:cs="Times New Roman"/>
          <w:lang w:eastAsia="sk-SK"/>
        </w:rPr>
        <w:t xml:space="preserve"> rastú o</w:t>
      </w:r>
      <w:r>
        <w:rPr>
          <w:rFonts w:ascii="Times New Roman" w:hAnsi="Times New Roman" w:cs="Times New Roman"/>
          <w:lang w:eastAsia="sk-SK"/>
        </w:rPr>
        <w:t> 11,7</w:t>
      </w:r>
      <w:r w:rsidRPr="001042F1">
        <w:rPr>
          <w:rFonts w:ascii="Times New Roman" w:hAnsi="Times New Roman" w:cs="Times New Roman"/>
          <w:lang w:eastAsia="sk-SK"/>
        </w:rPr>
        <w:t xml:space="preserve"> tis. eur, čo predstavuje</w:t>
      </w:r>
      <w:r>
        <w:rPr>
          <w:rFonts w:ascii="Times New Roman" w:hAnsi="Times New Roman" w:cs="Times New Roman"/>
          <w:lang w:eastAsia="sk-SK"/>
        </w:rPr>
        <w:br/>
        <w:t>1,72</w:t>
      </w:r>
      <w:r w:rsidRPr="001042F1">
        <w:rPr>
          <w:rFonts w:ascii="Times New Roman" w:hAnsi="Times New Roman" w:cs="Times New Roman"/>
          <w:lang w:eastAsia="sk-SK"/>
        </w:rPr>
        <w:t xml:space="preserve"> %. </w:t>
      </w:r>
      <w:r>
        <w:rPr>
          <w:rFonts w:ascii="Times New Roman" w:hAnsi="Times New Roman" w:cs="Times New Roman"/>
          <w:lang w:eastAsia="sk-SK"/>
        </w:rPr>
        <w:t>Zvýšenie výdavkov kapitola realizovala na ťarchu bežných transferov.</w:t>
      </w:r>
    </w:p>
    <w:p w:rsidR="007D13F3" w:rsidRPr="001042F1" w:rsidRDefault="007D13F3" w:rsidP="007D13F3">
      <w:pPr>
        <w:jc w:val="both"/>
        <w:rPr>
          <w:rFonts w:ascii="Times New Roman" w:hAnsi="Times New Roman" w:cs="Times New Roman"/>
          <w:lang w:eastAsia="sk-SK"/>
        </w:rPr>
      </w:pPr>
    </w:p>
    <w:p w:rsidR="007D13F3" w:rsidRPr="001042F1" w:rsidRDefault="007D13F3" w:rsidP="007D13F3">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Výdavky na bežné transfery na rok 201</w:t>
      </w:r>
      <w:r>
        <w:rPr>
          <w:rFonts w:ascii="Times New Roman" w:hAnsi="Times New Roman" w:cs="Times New Roman"/>
          <w:lang w:eastAsia="sk-SK"/>
        </w:rPr>
        <w:t>8</w:t>
      </w:r>
      <w:r w:rsidRPr="001042F1">
        <w:rPr>
          <w:rFonts w:ascii="Times New Roman" w:hAnsi="Times New Roman" w:cs="Times New Roman"/>
          <w:lang w:eastAsia="sk-SK"/>
        </w:rPr>
        <w:t xml:space="preserve"> predstavujú </w:t>
      </w:r>
      <w:r>
        <w:rPr>
          <w:rFonts w:ascii="Times New Roman" w:hAnsi="Times New Roman" w:cs="Times New Roman"/>
          <w:lang w:eastAsia="sk-SK"/>
        </w:rPr>
        <w:t>12,0</w:t>
      </w:r>
      <w:r w:rsidRPr="001042F1">
        <w:rPr>
          <w:rFonts w:ascii="Times New Roman" w:hAnsi="Times New Roman" w:cs="Times New Roman"/>
          <w:lang w:eastAsia="sk-SK"/>
        </w:rPr>
        <w:t xml:space="preserve"> tis. eur a medziročne </w:t>
      </w:r>
      <w:r>
        <w:rPr>
          <w:rFonts w:ascii="Times New Roman" w:hAnsi="Times New Roman" w:cs="Times New Roman"/>
          <w:lang w:eastAsia="sk-SK"/>
        </w:rPr>
        <w:t>klesajú o 12,5</w:t>
      </w:r>
      <w:r w:rsidRPr="001042F1">
        <w:rPr>
          <w:rFonts w:ascii="Times New Roman" w:hAnsi="Times New Roman" w:cs="Times New Roman"/>
          <w:lang w:eastAsia="sk-SK"/>
        </w:rPr>
        <w:t xml:space="preserve"> tis. eur, čo je</w:t>
      </w:r>
      <w:r>
        <w:rPr>
          <w:rFonts w:ascii="Times New Roman" w:hAnsi="Times New Roman" w:cs="Times New Roman"/>
          <w:lang w:eastAsia="sk-SK"/>
        </w:rPr>
        <w:t xml:space="preserve"> 51,0 %. Na ťarchu bežných transferov kapitola posilnila výdavky na tovary a služby a poistné.</w:t>
      </w:r>
    </w:p>
    <w:p w:rsidR="007D13F3" w:rsidRPr="001042F1" w:rsidRDefault="007D13F3" w:rsidP="007D13F3">
      <w:pPr>
        <w:jc w:val="both"/>
        <w:rPr>
          <w:rFonts w:ascii="Times New Roman" w:hAnsi="Times New Roman" w:cs="Times New Roman"/>
          <w:lang w:eastAsia="sk-SK"/>
        </w:rPr>
      </w:pPr>
    </w:p>
    <w:p w:rsidR="007D13F3" w:rsidRDefault="007D13F3" w:rsidP="007D13F3">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 xml:space="preserve">Kapitálové výdavky </w:t>
      </w:r>
      <w:r>
        <w:rPr>
          <w:rFonts w:ascii="Times New Roman" w:hAnsi="Times New Roman" w:cs="Times New Roman"/>
          <w:lang w:eastAsia="sk-SK"/>
        </w:rPr>
        <w:t xml:space="preserve">na rok 2018 rastú v porovnaní so schváleným rozpočtom na rok 2017 o 80,0 tis. eur, t. j. o 229 %. Zvýšené výdavky sú určené najmä na zriadenie registratúry zodpovedajúcej požiadavkám zákona o </w:t>
      </w:r>
      <w:r w:rsidRPr="001826A8">
        <w:rPr>
          <w:rFonts w:ascii="Times New Roman" w:hAnsi="Times New Roman" w:cs="Times New Roman"/>
          <w:lang w:eastAsia="sk-SK"/>
        </w:rPr>
        <w:t>e-</w:t>
      </w:r>
      <w:proofErr w:type="spellStart"/>
      <w:r w:rsidRPr="001826A8">
        <w:rPr>
          <w:rFonts w:ascii="Times New Roman" w:hAnsi="Times New Roman" w:cs="Times New Roman"/>
          <w:lang w:eastAsia="sk-SK"/>
        </w:rPr>
        <w:t>Governmente</w:t>
      </w:r>
      <w:proofErr w:type="spellEnd"/>
      <w:r>
        <w:rPr>
          <w:rFonts w:ascii="Times New Roman" w:hAnsi="Times New Roman" w:cs="Times New Roman"/>
          <w:lang w:eastAsia="sk-SK"/>
        </w:rPr>
        <w:t xml:space="preserve"> </w:t>
      </w:r>
      <w:r w:rsidRPr="00721446">
        <w:rPr>
          <w:rFonts w:ascii="Times New Roman" w:hAnsi="Times New Roman" w:cs="Times New Roman"/>
          <w:lang w:eastAsia="sk-SK"/>
        </w:rPr>
        <w:t>a koncepcie informatizácie verejnej správy</w:t>
      </w:r>
      <w:r>
        <w:rPr>
          <w:rFonts w:ascii="Times New Roman" w:hAnsi="Times New Roman" w:cs="Times New Roman"/>
          <w:lang w:eastAsia="sk-SK"/>
        </w:rPr>
        <w:t xml:space="preserve">. </w:t>
      </w:r>
    </w:p>
    <w:p w:rsidR="007D13F3" w:rsidRDefault="007D13F3" w:rsidP="007D13F3"/>
    <w:p w:rsidR="007D13F3" w:rsidRPr="00F1249E" w:rsidRDefault="007D13F3" w:rsidP="007D13F3">
      <w:pPr>
        <w:pStyle w:val="Nadpis5"/>
        <w:pBdr>
          <w:bottom w:val="single" w:sz="4" w:space="1" w:color="auto"/>
        </w:pBdr>
        <w:spacing w:before="0" w:after="0"/>
        <w:ind w:left="0"/>
        <w:rPr>
          <w:i w:val="0"/>
          <w:sz w:val="24"/>
          <w:lang w:eastAsia="sk-SK"/>
        </w:rPr>
      </w:pPr>
      <w:bookmarkStart w:id="196" w:name="_Toc400551782"/>
      <w:bookmarkStart w:id="197" w:name="_Toc494470121"/>
      <w:bookmarkStart w:id="198" w:name="_Toc494472297"/>
      <w:r w:rsidRPr="00634D1A">
        <w:rPr>
          <w:i w:val="0"/>
          <w:sz w:val="24"/>
          <w:lang w:eastAsia="sk-SK"/>
        </w:rPr>
        <w:t>Národný bezpečnostný úrad</w:t>
      </w:r>
      <w:bookmarkEnd w:id="196"/>
      <w:bookmarkEnd w:id="197"/>
      <w:bookmarkEnd w:id="198"/>
    </w:p>
    <w:p w:rsidR="007D13F3" w:rsidRPr="009B4AE5" w:rsidRDefault="007D13F3" w:rsidP="007D13F3">
      <w:pPr>
        <w:jc w:val="both"/>
        <w:rPr>
          <w:rFonts w:ascii="Times New Roman" w:hAnsi="Times New Roman" w:cs="Times New Roman"/>
          <w:lang w:eastAsia="sk-SK"/>
        </w:rPr>
      </w:pPr>
    </w:p>
    <w:tbl>
      <w:tblPr>
        <w:tblW w:w="9067" w:type="dxa"/>
        <w:tblLayout w:type="fixed"/>
        <w:tblCellMar>
          <w:left w:w="70" w:type="dxa"/>
          <w:right w:w="70" w:type="dxa"/>
        </w:tblCellMar>
        <w:tblLook w:val="04A0" w:firstRow="1" w:lastRow="0" w:firstColumn="1" w:lastColumn="0" w:noHBand="0" w:noVBand="1"/>
      </w:tblPr>
      <w:tblGrid>
        <w:gridCol w:w="2830"/>
        <w:gridCol w:w="891"/>
        <w:gridCol w:w="891"/>
        <w:gridCol w:w="891"/>
        <w:gridCol w:w="891"/>
        <w:gridCol w:w="891"/>
        <w:gridCol w:w="891"/>
        <w:gridCol w:w="891"/>
      </w:tblGrid>
      <w:tr w:rsidR="007D13F3" w:rsidRPr="00195119" w:rsidTr="00465CAC">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195119" w:rsidRDefault="007D13F3" w:rsidP="00465CAC">
            <w:pPr>
              <w:rPr>
                <w:rFonts w:ascii="Times New Roman" w:hAnsi="Times New Roman" w:cs="Times New Roman"/>
                <w:b/>
                <w:bCs/>
                <w:color w:val="000000"/>
                <w:sz w:val="14"/>
                <w:szCs w:val="14"/>
                <w:lang w:eastAsia="sk-SK"/>
              </w:rPr>
            </w:pPr>
            <w:bookmarkStart w:id="199" w:name="RANGE!B2"/>
            <w:bookmarkEnd w:id="199"/>
            <w:r w:rsidRPr="00195119">
              <w:rPr>
                <w:rFonts w:ascii="Times New Roman" w:hAnsi="Times New Roman" w:cs="Times New Roman"/>
                <w:b/>
                <w:bCs/>
                <w:color w:val="000000"/>
                <w:sz w:val="14"/>
                <w:szCs w:val="14"/>
                <w:lang w:eastAsia="sk-SK"/>
              </w:rPr>
              <w:t>v eurách</w:t>
            </w:r>
          </w:p>
        </w:tc>
        <w:tc>
          <w:tcPr>
            <w:tcW w:w="89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D13F3" w:rsidRPr="00C57101" w:rsidRDefault="007D13F3" w:rsidP="00465CAC">
            <w:pPr>
              <w:jc w:val="center"/>
              <w:rPr>
                <w:rFonts w:ascii="Times New Roman" w:hAnsi="Times New Roman" w:cs="Times New Roman"/>
                <w:b/>
                <w:bCs/>
                <w:color w:val="000000"/>
                <w:sz w:val="14"/>
                <w:szCs w:val="14"/>
                <w:lang w:eastAsia="sk-SK"/>
              </w:rPr>
            </w:pPr>
            <w:r w:rsidRPr="00C57101">
              <w:rPr>
                <w:rFonts w:ascii="Times New Roman" w:hAnsi="Times New Roman" w:cs="Times New Roman"/>
                <w:b/>
                <w:bCs/>
                <w:color w:val="000000"/>
                <w:sz w:val="14"/>
                <w:szCs w:val="14"/>
              </w:rPr>
              <w:t>2015 S</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C57101" w:rsidRDefault="007D13F3" w:rsidP="00465CAC">
            <w:pPr>
              <w:jc w:val="center"/>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2016 S</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C57101" w:rsidRDefault="007D13F3" w:rsidP="00465CAC">
            <w:pPr>
              <w:jc w:val="center"/>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2017 R</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C57101" w:rsidRDefault="007D13F3" w:rsidP="00465CAC">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2017 OS</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C57101" w:rsidRDefault="007D13F3" w:rsidP="00465CAC">
            <w:pPr>
              <w:jc w:val="center"/>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2018 N</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C57101" w:rsidRDefault="007D13F3" w:rsidP="00465CAC">
            <w:pPr>
              <w:jc w:val="center"/>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2019 N</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7D13F3" w:rsidRPr="00C57101" w:rsidRDefault="007D13F3" w:rsidP="00465CAC">
            <w:pPr>
              <w:jc w:val="center"/>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2020 N</w:t>
            </w:r>
          </w:p>
        </w:tc>
      </w:tr>
      <w:tr w:rsidR="007D13F3" w:rsidRPr="00195119" w:rsidTr="00465CAC">
        <w:trPr>
          <w:trHeight w:val="255"/>
        </w:trPr>
        <w:tc>
          <w:tcPr>
            <w:tcW w:w="283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195119" w:rsidRDefault="007D13F3" w:rsidP="00465CAC">
            <w:pPr>
              <w:rPr>
                <w:rFonts w:ascii="Times New Roman" w:hAnsi="Times New Roman" w:cs="Times New Roman"/>
                <w:b/>
                <w:bCs/>
                <w:color w:val="000000"/>
                <w:sz w:val="14"/>
                <w:szCs w:val="14"/>
                <w:lang w:eastAsia="sk-SK"/>
              </w:rPr>
            </w:pPr>
            <w:r w:rsidRPr="00960686">
              <w:rPr>
                <w:rFonts w:ascii="Times New Roman" w:hAnsi="Times New Roman" w:cs="Times New Roman"/>
                <w:b/>
                <w:bCs/>
                <w:color w:val="000000"/>
                <w:sz w:val="14"/>
                <w:szCs w:val="14"/>
                <w:lang w:eastAsia="sk-SK"/>
              </w:rPr>
              <w:t>Zdroje príslušnej kapitoly vrátane 72e</w:t>
            </w:r>
          </w:p>
        </w:tc>
        <w:tc>
          <w:tcPr>
            <w:tcW w:w="89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8 220 527</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12 034 564</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8 793 684</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E67ECF" w:rsidRDefault="007D13F3" w:rsidP="00465CAC">
            <w:pPr>
              <w:jc w:val="right"/>
              <w:rPr>
                <w:rFonts w:ascii="Times New Roman" w:hAnsi="Times New Roman" w:cs="Times New Roman"/>
                <w:b/>
                <w:sz w:val="14"/>
                <w:szCs w:val="14"/>
              </w:rPr>
            </w:pPr>
            <w:r w:rsidRPr="00E67ECF">
              <w:rPr>
                <w:rFonts w:ascii="Times New Roman" w:hAnsi="Times New Roman" w:cs="Times New Roman"/>
                <w:b/>
                <w:sz w:val="14"/>
                <w:szCs w:val="14"/>
              </w:rPr>
              <w:t>8 987 505</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9 051 351</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9 051 351</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9 051 351</w:t>
            </w:r>
          </w:p>
        </w:tc>
      </w:tr>
      <w:tr w:rsidR="007D13F3" w:rsidRPr="00195119" w:rsidTr="00465CAC">
        <w:trPr>
          <w:trHeight w:val="255"/>
        </w:trPr>
        <w:tc>
          <w:tcPr>
            <w:tcW w:w="283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D13F3" w:rsidRPr="00960686" w:rsidRDefault="007D13F3" w:rsidP="00465CAC">
            <w:pPr>
              <w:rPr>
                <w:rFonts w:ascii="Times New Roman" w:hAnsi="Times New Roman" w:cs="Times New Roman"/>
                <w:b/>
                <w:sz w:val="14"/>
                <w:szCs w:val="14"/>
              </w:rPr>
            </w:pPr>
            <w:r w:rsidRPr="00960686">
              <w:rPr>
                <w:rFonts w:ascii="Times New Roman" w:hAnsi="Times New Roman" w:cs="Times New Roman"/>
                <w:b/>
                <w:sz w:val="14"/>
                <w:szCs w:val="14"/>
              </w:rPr>
              <w:t>zdroje príslušnej kapitoly</w:t>
            </w:r>
          </w:p>
        </w:tc>
        <w:tc>
          <w:tcPr>
            <w:tcW w:w="891"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7D13F3" w:rsidRPr="00960686" w:rsidRDefault="007D13F3" w:rsidP="00465CAC">
            <w:pPr>
              <w:jc w:val="right"/>
              <w:rPr>
                <w:rFonts w:ascii="Times New Roman" w:hAnsi="Times New Roman" w:cs="Times New Roman"/>
                <w:b/>
                <w:sz w:val="14"/>
                <w:szCs w:val="14"/>
              </w:rPr>
            </w:pPr>
            <w:r w:rsidRPr="00960686">
              <w:rPr>
                <w:rFonts w:ascii="Times New Roman" w:hAnsi="Times New Roman" w:cs="Times New Roman"/>
                <w:b/>
                <w:sz w:val="14"/>
                <w:szCs w:val="14"/>
              </w:rPr>
              <w:t>8 220 527</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tcPr>
          <w:p w:rsidR="007D13F3" w:rsidRPr="00960686" w:rsidRDefault="007D13F3" w:rsidP="00465CAC">
            <w:pPr>
              <w:jc w:val="right"/>
              <w:rPr>
                <w:rFonts w:ascii="Times New Roman" w:hAnsi="Times New Roman" w:cs="Times New Roman"/>
                <w:b/>
                <w:sz w:val="14"/>
                <w:szCs w:val="14"/>
              </w:rPr>
            </w:pPr>
            <w:r w:rsidRPr="00960686">
              <w:rPr>
                <w:rFonts w:ascii="Times New Roman" w:hAnsi="Times New Roman" w:cs="Times New Roman"/>
                <w:b/>
                <w:sz w:val="14"/>
                <w:szCs w:val="14"/>
              </w:rPr>
              <w:t>12 034 564</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tcPr>
          <w:p w:rsidR="007D13F3" w:rsidRPr="00960686" w:rsidRDefault="007D13F3" w:rsidP="00465CAC">
            <w:pPr>
              <w:jc w:val="right"/>
              <w:rPr>
                <w:rFonts w:ascii="Times New Roman" w:hAnsi="Times New Roman" w:cs="Times New Roman"/>
                <w:b/>
                <w:sz w:val="14"/>
                <w:szCs w:val="14"/>
              </w:rPr>
            </w:pPr>
            <w:r w:rsidRPr="00960686">
              <w:rPr>
                <w:rFonts w:ascii="Times New Roman" w:hAnsi="Times New Roman" w:cs="Times New Roman"/>
                <w:b/>
                <w:sz w:val="14"/>
                <w:szCs w:val="14"/>
              </w:rPr>
              <w:t>8 793 684</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tcPr>
          <w:p w:rsidR="007D13F3" w:rsidRPr="00E67ECF" w:rsidRDefault="007D13F3" w:rsidP="00465CAC">
            <w:pPr>
              <w:jc w:val="right"/>
              <w:rPr>
                <w:rFonts w:ascii="Times New Roman" w:hAnsi="Times New Roman" w:cs="Times New Roman"/>
                <w:b/>
                <w:sz w:val="14"/>
                <w:szCs w:val="14"/>
              </w:rPr>
            </w:pPr>
            <w:r w:rsidRPr="00E67ECF">
              <w:rPr>
                <w:rFonts w:ascii="Times New Roman" w:hAnsi="Times New Roman" w:cs="Times New Roman"/>
                <w:b/>
                <w:sz w:val="14"/>
                <w:szCs w:val="14"/>
              </w:rPr>
              <w:t>8 987 505</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tcPr>
          <w:p w:rsidR="007D13F3" w:rsidRPr="00960686" w:rsidRDefault="007D13F3" w:rsidP="00465CAC">
            <w:pPr>
              <w:jc w:val="right"/>
              <w:rPr>
                <w:rFonts w:ascii="Times New Roman" w:hAnsi="Times New Roman" w:cs="Times New Roman"/>
                <w:b/>
                <w:sz w:val="14"/>
                <w:szCs w:val="14"/>
              </w:rPr>
            </w:pPr>
            <w:r w:rsidRPr="00960686">
              <w:rPr>
                <w:rFonts w:ascii="Times New Roman" w:hAnsi="Times New Roman" w:cs="Times New Roman"/>
                <w:b/>
                <w:sz w:val="14"/>
                <w:szCs w:val="14"/>
              </w:rPr>
              <w:t>9 049 351</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tcPr>
          <w:p w:rsidR="007D13F3" w:rsidRPr="00960686" w:rsidRDefault="007D13F3" w:rsidP="00465CAC">
            <w:pPr>
              <w:jc w:val="right"/>
              <w:rPr>
                <w:rFonts w:ascii="Times New Roman" w:hAnsi="Times New Roman" w:cs="Times New Roman"/>
                <w:b/>
                <w:sz w:val="14"/>
                <w:szCs w:val="14"/>
              </w:rPr>
            </w:pPr>
            <w:r w:rsidRPr="00960686">
              <w:rPr>
                <w:rFonts w:ascii="Times New Roman" w:hAnsi="Times New Roman" w:cs="Times New Roman"/>
                <w:b/>
                <w:sz w:val="14"/>
                <w:szCs w:val="14"/>
              </w:rPr>
              <w:t>9 049 351</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tcPr>
          <w:p w:rsidR="007D13F3" w:rsidRPr="00960686" w:rsidRDefault="007D13F3" w:rsidP="00465CAC">
            <w:pPr>
              <w:jc w:val="right"/>
              <w:rPr>
                <w:rFonts w:ascii="Times New Roman" w:hAnsi="Times New Roman" w:cs="Times New Roman"/>
                <w:b/>
                <w:sz w:val="14"/>
                <w:szCs w:val="14"/>
              </w:rPr>
            </w:pPr>
            <w:r w:rsidRPr="00960686">
              <w:rPr>
                <w:rFonts w:ascii="Times New Roman" w:hAnsi="Times New Roman" w:cs="Times New Roman"/>
                <w:b/>
                <w:sz w:val="14"/>
                <w:szCs w:val="14"/>
              </w:rPr>
              <w:t>9 049 351</w:t>
            </w:r>
          </w:p>
        </w:tc>
      </w:tr>
      <w:tr w:rsidR="007D13F3" w:rsidRPr="00195119" w:rsidTr="00465CAC">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D13F3" w:rsidRPr="00195119" w:rsidRDefault="007D13F3" w:rsidP="00465CAC">
            <w:pP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 xml:space="preserve">rozpočtové zdroje kapitoly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7 920 527</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8 237 713</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8 793 684</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E67ECF" w:rsidRDefault="007D13F3" w:rsidP="00465CAC">
            <w:pPr>
              <w:jc w:val="right"/>
              <w:rPr>
                <w:rFonts w:ascii="Times New Roman" w:hAnsi="Times New Roman" w:cs="Times New Roman"/>
                <w:sz w:val="14"/>
                <w:szCs w:val="14"/>
              </w:rPr>
            </w:pPr>
            <w:r w:rsidRPr="00E67ECF">
              <w:rPr>
                <w:rFonts w:ascii="Times New Roman" w:hAnsi="Times New Roman" w:cs="Times New Roman"/>
                <w:sz w:val="14"/>
                <w:szCs w:val="14"/>
              </w:rPr>
              <w:t>8 987 505</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9 049 351</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9 049 351</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9 049 351</w:t>
            </w:r>
          </w:p>
        </w:tc>
      </w:tr>
      <w:tr w:rsidR="007D13F3" w:rsidRPr="00195119" w:rsidTr="00465CAC">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D13F3" w:rsidRPr="00195119" w:rsidRDefault="007D13F3" w:rsidP="00465CAC">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v tom: bežné výdavky  600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7 827 474</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8 072 282</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8 793 684</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E67ECF" w:rsidRDefault="007D13F3" w:rsidP="00465CAC">
            <w:pPr>
              <w:jc w:val="right"/>
              <w:rPr>
                <w:rFonts w:ascii="Times New Roman" w:hAnsi="Times New Roman" w:cs="Times New Roman"/>
                <w:sz w:val="14"/>
                <w:szCs w:val="14"/>
              </w:rPr>
            </w:pPr>
            <w:r w:rsidRPr="00E67ECF">
              <w:rPr>
                <w:rFonts w:ascii="Times New Roman" w:hAnsi="Times New Roman" w:cs="Times New Roman"/>
                <w:sz w:val="14"/>
                <w:szCs w:val="14"/>
              </w:rPr>
              <w:t>8 840 014</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9 049 351</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9 049 351</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9 049 351</w:t>
            </w:r>
          </w:p>
        </w:tc>
      </w:tr>
      <w:tr w:rsidR="007D13F3" w:rsidRPr="00195119" w:rsidTr="00465CAC">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D13F3" w:rsidRPr="00195119" w:rsidRDefault="007D13F3" w:rsidP="00465CAC">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 xml:space="preserve"> 610 mzdy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4 328 033</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4 573 693</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4 731 085</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E67ECF" w:rsidRDefault="007D13F3" w:rsidP="00465CAC">
            <w:pPr>
              <w:jc w:val="right"/>
              <w:rPr>
                <w:rFonts w:ascii="Times New Roman" w:hAnsi="Times New Roman" w:cs="Times New Roman"/>
                <w:sz w:val="14"/>
                <w:szCs w:val="14"/>
              </w:rPr>
            </w:pPr>
            <w:r w:rsidRPr="00E67ECF">
              <w:rPr>
                <w:rFonts w:ascii="Times New Roman" w:hAnsi="Times New Roman" w:cs="Times New Roman"/>
                <w:sz w:val="14"/>
                <w:szCs w:val="14"/>
              </w:rPr>
              <w:t>4 892 206</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4 918 879</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4 918 879</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4 918 879</w:t>
            </w:r>
          </w:p>
        </w:tc>
      </w:tr>
      <w:tr w:rsidR="007D13F3" w:rsidRPr="00195119" w:rsidTr="00465CAC">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D13F3" w:rsidRPr="00195119" w:rsidRDefault="007D13F3" w:rsidP="00465CAC">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 xml:space="preserve"> 620 odvody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1 523 840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1 600 231</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1 694 263</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E67ECF" w:rsidRDefault="007D13F3" w:rsidP="00465CAC">
            <w:pPr>
              <w:jc w:val="right"/>
              <w:rPr>
                <w:rFonts w:ascii="Times New Roman" w:hAnsi="Times New Roman" w:cs="Times New Roman"/>
                <w:sz w:val="14"/>
                <w:szCs w:val="14"/>
              </w:rPr>
            </w:pPr>
            <w:r w:rsidRPr="00E67ECF">
              <w:rPr>
                <w:rFonts w:ascii="Times New Roman" w:hAnsi="Times New Roman" w:cs="Times New Roman"/>
                <w:sz w:val="14"/>
                <w:szCs w:val="14"/>
              </w:rPr>
              <w:t>1 752 499</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1 762 136</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1 762 136</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1 762 136</w:t>
            </w:r>
          </w:p>
        </w:tc>
      </w:tr>
      <w:tr w:rsidR="007D13F3" w:rsidRPr="00195119" w:rsidTr="00465CAC">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D13F3" w:rsidRPr="00195119" w:rsidRDefault="007D13F3" w:rsidP="00465CAC">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630 tovary a služby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1 620 989</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1 512 040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2 012 236</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E67ECF" w:rsidRDefault="007D13F3" w:rsidP="00465CAC">
            <w:pPr>
              <w:jc w:val="right"/>
              <w:rPr>
                <w:rFonts w:ascii="Times New Roman" w:hAnsi="Times New Roman" w:cs="Times New Roman"/>
                <w:sz w:val="14"/>
                <w:szCs w:val="14"/>
              </w:rPr>
            </w:pPr>
            <w:r w:rsidRPr="00E67ECF">
              <w:rPr>
                <w:rFonts w:ascii="Times New Roman" w:hAnsi="Times New Roman" w:cs="Times New Roman"/>
                <w:sz w:val="14"/>
                <w:szCs w:val="14"/>
              </w:rPr>
              <w:t>1 711 941</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1 994 968</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1 994 968</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1 994 968</w:t>
            </w:r>
          </w:p>
        </w:tc>
      </w:tr>
      <w:tr w:rsidR="007D13F3" w:rsidRPr="00195119" w:rsidTr="00465CAC">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D13F3" w:rsidRPr="00195119" w:rsidRDefault="007D13F3" w:rsidP="00465CAC">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640 bežné transfery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354 612</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386 319</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356 100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E67ECF" w:rsidRDefault="007D13F3" w:rsidP="00465CAC">
            <w:pPr>
              <w:jc w:val="right"/>
              <w:rPr>
                <w:rFonts w:ascii="Times New Roman" w:hAnsi="Times New Roman" w:cs="Times New Roman"/>
                <w:sz w:val="14"/>
                <w:szCs w:val="14"/>
              </w:rPr>
            </w:pPr>
            <w:r w:rsidRPr="00E67ECF">
              <w:rPr>
                <w:rFonts w:ascii="Times New Roman" w:hAnsi="Times New Roman" w:cs="Times New Roman"/>
                <w:sz w:val="14"/>
                <w:szCs w:val="14"/>
              </w:rPr>
              <w:t>483 368</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373 368</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373 368</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373 368</w:t>
            </w:r>
          </w:p>
        </w:tc>
      </w:tr>
      <w:tr w:rsidR="007D13F3" w:rsidRPr="00195119" w:rsidTr="00465CAC">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D13F3" w:rsidRPr="00195119" w:rsidRDefault="007D13F3" w:rsidP="00465CAC">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kapitálové výdavky 700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93 053</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165 431</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E67ECF" w:rsidRDefault="007D13F3" w:rsidP="00465CAC">
            <w:pPr>
              <w:jc w:val="right"/>
              <w:rPr>
                <w:rFonts w:ascii="Times New Roman" w:hAnsi="Times New Roman" w:cs="Times New Roman"/>
                <w:sz w:val="14"/>
                <w:szCs w:val="14"/>
              </w:rPr>
            </w:pPr>
            <w:r w:rsidRPr="00E67ECF">
              <w:rPr>
                <w:rFonts w:ascii="Times New Roman" w:hAnsi="Times New Roman" w:cs="Times New Roman"/>
                <w:sz w:val="14"/>
                <w:szCs w:val="14"/>
              </w:rPr>
              <w:t>147 491</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color w:val="000000"/>
                <w:sz w:val="14"/>
                <w:szCs w:val="14"/>
              </w:rPr>
            </w:pPr>
            <w:r w:rsidRPr="00C57101">
              <w:rPr>
                <w:rFonts w:ascii="Times New Roman" w:hAnsi="Times New Roman" w:cs="Times New Roman"/>
                <w:color w:val="000000"/>
                <w:sz w:val="14"/>
                <w:szCs w:val="14"/>
              </w:rPr>
              <w:t>0</w:t>
            </w:r>
          </w:p>
        </w:tc>
      </w:tr>
      <w:tr w:rsidR="007D13F3" w:rsidRPr="00195119" w:rsidTr="00465CAC">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F3" w:rsidRPr="00563C4E" w:rsidRDefault="007D13F3" w:rsidP="00465CAC">
            <w:pPr>
              <w:rPr>
                <w:rFonts w:ascii="Times New Roman" w:hAnsi="Times New Roman" w:cs="Times New Roman"/>
                <w:b/>
                <w:sz w:val="14"/>
                <w:szCs w:val="14"/>
              </w:rPr>
            </w:pPr>
            <w:r w:rsidRPr="00563C4E">
              <w:rPr>
                <w:rFonts w:ascii="Times New Roman" w:hAnsi="Times New Roman" w:cs="Times New Roman"/>
                <w:b/>
                <w:sz w:val="14"/>
                <w:szCs w:val="14"/>
              </w:rPr>
              <w:t>presun z minulých rokov § 8</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300 000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3 796 850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E67ECF" w:rsidRDefault="007D13F3" w:rsidP="00465CAC">
            <w:pPr>
              <w:jc w:val="right"/>
              <w:rPr>
                <w:rFonts w:ascii="Times New Roman" w:hAnsi="Times New Roman" w:cs="Times New Roman"/>
                <w:b/>
                <w:sz w:val="14"/>
                <w:szCs w:val="14"/>
              </w:rPr>
            </w:pPr>
            <w:r w:rsidRPr="00E67ECF">
              <w:rPr>
                <w:rFonts w:ascii="Times New Roman" w:hAnsi="Times New Roman" w:cs="Times New Roman"/>
                <w:b/>
                <w:sz w:val="14"/>
                <w:szCs w:val="14"/>
              </w:rPr>
              <w:t>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hideMark/>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0</w:t>
            </w:r>
          </w:p>
        </w:tc>
      </w:tr>
      <w:tr w:rsidR="007D13F3" w:rsidRPr="00195119" w:rsidTr="00465CAC">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3F3" w:rsidRPr="00563C4E" w:rsidRDefault="007D13F3" w:rsidP="00465CAC">
            <w:pPr>
              <w:rPr>
                <w:rFonts w:ascii="Times New Roman" w:hAnsi="Times New Roman" w:cs="Times New Roman"/>
                <w:b/>
                <w:sz w:val="14"/>
                <w:szCs w:val="14"/>
              </w:rPr>
            </w:pPr>
            <w:r w:rsidRPr="00563C4E">
              <w:rPr>
                <w:rFonts w:ascii="Times New Roman" w:hAnsi="Times New Roman" w:cs="Times New Roman"/>
                <w:b/>
                <w:sz w:val="14"/>
                <w:szCs w:val="14"/>
              </w:rPr>
              <w:t>zdroj 72e*</w:t>
            </w:r>
          </w:p>
        </w:tc>
        <w:tc>
          <w:tcPr>
            <w:tcW w:w="891" w:type="dxa"/>
            <w:tcBorders>
              <w:top w:val="nil"/>
              <w:left w:val="single" w:sz="4" w:space="0" w:color="auto"/>
              <w:bottom w:val="single" w:sz="4" w:space="0" w:color="auto"/>
              <w:right w:val="single" w:sz="4" w:space="0" w:color="auto"/>
            </w:tcBorders>
            <w:shd w:val="clear" w:color="auto" w:fill="auto"/>
            <w:noWrap/>
            <w:vAlign w:val="bottom"/>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tcPr>
          <w:p w:rsidR="007D13F3" w:rsidRPr="00E67ECF" w:rsidRDefault="007D13F3" w:rsidP="00465CAC">
            <w:pPr>
              <w:jc w:val="right"/>
              <w:rPr>
                <w:rFonts w:ascii="Times New Roman" w:hAnsi="Times New Roman" w:cs="Times New Roman"/>
                <w:b/>
                <w:sz w:val="14"/>
                <w:szCs w:val="14"/>
              </w:rPr>
            </w:pPr>
            <w:r w:rsidRPr="00E67ECF">
              <w:rPr>
                <w:rFonts w:ascii="Times New Roman" w:hAnsi="Times New Roman" w:cs="Times New Roman"/>
                <w:b/>
                <w:sz w:val="14"/>
                <w:szCs w:val="14"/>
              </w:rPr>
              <w:t>0</w:t>
            </w:r>
          </w:p>
        </w:tc>
        <w:tc>
          <w:tcPr>
            <w:tcW w:w="891" w:type="dxa"/>
            <w:tcBorders>
              <w:top w:val="nil"/>
              <w:left w:val="nil"/>
              <w:bottom w:val="single" w:sz="4" w:space="0" w:color="auto"/>
              <w:right w:val="single" w:sz="4" w:space="0" w:color="auto"/>
            </w:tcBorders>
            <w:shd w:val="clear" w:color="auto" w:fill="auto"/>
            <w:noWrap/>
            <w:vAlign w:val="bottom"/>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2 000</w:t>
            </w:r>
          </w:p>
        </w:tc>
        <w:tc>
          <w:tcPr>
            <w:tcW w:w="891" w:type="dxa"/>
            <w:tcBorders>
              <w:top w:val="nil"/>
              <w:left w:val="nil"/>
              <w:bottom w:val="single" w:sz="4" w:space="0" w:color="auto"/>
              <w:right w:val="single" w:sz="4" w:space="0" w:color="auto"/>
            </w:tcBorders>
            <w:shd w:val="clear" w:color="auto" w:fill="auto"/>
            <w:noWrap/>
            <w:vAlign w:val="bottom"/>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2 000</w:t>
            </w:r>
          </w:p>
        </w:tc>
        <w:tc>
          <w:tcPr>
            <w:tcW w:w="891" w:type="dxa"/>
            <w:tcBorders>
              <w:top w:val="nil"/>
              <w:left w:val="nil"/>
              <w:bottom w:val="single" w:sz="4" w:space="0" w:color="auto"/>
              <w:right w:val="single" w:sz="4" w:space="0" w:color="auto"/>
            </w:tcBorders>
            <w:shd w:val="clear" w:color="auto" w:fill="auto"/>
            <w:noWrap/>
            <w:vAlign w:val="bottom"/>
          </w:tcPr>
          <w:p w:rsidR="007D13F3" w:rsidRPr="00C57101" w:rsidRDefault="007D13F3" w:rsidP="00465CAC">
            <w:pPr>
              <w:jc w:val="right"/>
              <w:rPr>
                <w:rFonts w:ascii="Times New Roman" w:hAnsi="Times New Roman" w:cs="Times New Roman"/>
                <w:b/>
                <w:bCs/>
                <w:color w:val="000000"/>
                <w:sz w:val="14"/>
                <w:szCs w:val="14"/>
              </w:rPr>
            </w:pPr>
            <w:r w:rsidRPr="00C57101">
              <w:rPr>
                <w:rFonts w:ascii="Times New Roman" w:hAnsi="Times New Roman" w:cs="Times New Roman"/>
                <w:b/>
                <w:bCs/>
                <w:color w:val="000000"/>
                <w:sz w:val="14"/>
                <w:szCs w:val="14"/>
              </w:rPr>
              <w:t>2 000</w:t>
            </w:r>
          </w:p>
        </w:tc>
      </w:tr>
    </w:tbl>
    <w:p w:rsidR="007D13F3" w:rsidRDefault="007D13F3" w:rsidP="007D13F3">
      <w:pPr>
        <w:jc w:val="both"/>
        <w:rPr>
          <w:rFonts w:ascii="Times New Roman" w:hAnsi="Times New Roman" w:cs="Times New Roman"/>
          <w:color w:val="000000"/>
          <w:sz w:val="12"/>
          <w:szCs w:val="12"/>
          <w:lang w:eastAsia="sk-SK"/>
        </w:rPr>
      </w:pPr>
      <w:r w:rsidRPr="006303A4">
        <w:rPr>
          <w:rFonts w:ascii="Times New Roman" w:hAnsi="Times New Roman" w:cs="Times New Roman"/>
          <w:color w:val="000000"/>
          <w:sz w:val="12"/>
          <w:szCs w:val="12"/>
          <w:lang w:eastAsia="sk-SK"/>
        </w:rPr>
        <w:t>*z poistného plnenia zo zmluvného poistenia alebo zo zákonného poistenia</w:t>
      </w:r>
    </w:p>
    <w:p w:rsidR="007D13F3" w:rsidRPr="006303A4" w:rsidRDefault="007D13F3" w:rsidP="007D13F3">
      <w:pPr>
        <w:jc w:val="both"/>
        <w:rPr>
          <w:rFonts w:ascii="Times New Roman" w:hAnsi="Times New Roman" w:cs="Times New Roman"/>
          <w:color w:val="000000"/>
          <w:sz w:val="12"/>
          <w:szCs w:val="12"/>
          <w:lang w:eastAsia="sk-SK"/>
        </w:rPr>
      </w:pPr>
    </w:p>
    <w:tbl>
      <w:tblPr>
        <w:tblW w:w="9067" w:type="dxa"/>
        <w:tblLayout w:type="fixed"/>
        <w:tblCellMar>
          <w:left w:w="70" w:type="dxa"/>
          <w:right w:w="70" w:type="dxa"/>
        </w:tblCellMar>
        <w:tblLook w:val="04A0" w:firstRow="1" w:lastRow="0" w:firstColumn="1" w:lastColumn="0" w:noHBand="0" w:noVBand="1"/>
      </w:tblPr>
      <w:tblGrid>
        <w:gridCol w:w="2830"/>
        <w:gridCol w:w="891"/>
        <w:gridCol w:w="891"/>
        <w:gridCol w:w="891"/>
        <w:gridCol w:w="891"/>
        <w:gridCol w:w="891"/>
        <w:gridCol w:w="891"/>
        <w:gridCol w:w="891"/>
      </w:tblGrid>
      <w:tr w:rsidR="007D13F3" w:rsidRPr="006E02A4" w:rsidTr="00465CAC">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6E02A4" w:rsidRDefault="007D13F3" w:rsidP="00465CAC">
            <w:pPr>
              <w:rPr>
                <w:rFonts w:ascii="Times New Roman" w:hAnsi="Times New Roman" w:cs="Times New Roman"/>
                <w:b/>
                <w:bCs/>
                <w:color w:val="000000"/>
                <w:sz w:val="14"/>
                <w:szCs w:val="14"/>
                <w:lang w:eastAsia="sk-SK"/>
              </w:rPr>
            </w:pPr>
            <w:r w:rsidRPr="006E02A4">
              <w:rPr>
                <w:rFonts w:ascii="Times New Roman" w:hAnsi="Times New Roman" w:cs="Times New Roman"/>
                <w:b/>
                <w:bCs/>
                <w:color w:val="000000"/>
                <w:sz w:val="14"/>
                <w:szCs w:val="14"/>
                <w:lang w:eastAsia="sk-SK"/>
              </w:rPr>
              <w:t>Samostatné účty</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7D13F3" w:rsidRPr="006E02A4" w:rsidRDefault="007D13F3" w:rsidP="00465CAC">
            <w:pPr>
              <w:jc w:val="right"/>
              <w:rPr>
                <w:rFonts w:ascii="Times New Roman" w:hAnsi="Times New Roman" w:cs="Times New Roman"/>
                <w:b/>
                <w:bCs/>
                <w:color w:val="000000"/>
                <w:sz w:val="14"/>
                <w:szCs w:val="14"/>
                <w:lang w:eastAsia="sk-SK"/>
              </w:rPr>
            </w:pPr>
            <w:r w:rsidRPr="006E02A4">
              <w:rPr>
                <w:rFonts w:ascii="Times New Roman" w:hAnsi="Times New Roman" w:cs="Times New Roman"/>
                <w:b/>
                <w:bCs/>
                <w:color w:val="000000"/>
                <w:sz w:val="14"/>
                <w:szCs w:val="14"/>
                <w:lang w:eastAsia="sk-SK"/>
              </w:rPr>
              <w:t>1 587 138</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7D13F3" w:rsidRPr="006E02A4" w:rsidRDefault="007D13F3" w:rsidP="00465CAC">
            <w:pPr>
              <w:jc w:val="right"/>
              <w:rPr>
                <w:rFonts w:ascii="Times New Roman" w:hAnsi="Times New Roman" w:cs="Times New Roman"/>
                <w:b/>
                <w:bCs/>
                <w:color w:val="000000"/>
                <w:sz w:val="14"/>
                <w:szCs w:val="14"/>
                <w:lang w:eastAsia="sk-SK"/>
              </w:rPr>
            </w:pPr>
            <w:r w:rsidRPr="006E02A4">
              <w:rPr>
                <w:rFonts w:ascii="Times New Roman" w:hAnsi="Times New Roman" w:cs="Times New Roman"/>
                <w:b/>
                <w:bCs/>
                <w:color w:val="000000"/>
                <w:sz w:val="14"/>
                <w:szCs w:val="14"/>
                <w:lang w:eastAsia="sk-SK"/>
              </w:rPr>
              <w:t>1 713 662</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7D13F3" w:rsidRPr="006E02A4" w:rsidRDefault="007D13F3" w:rsidP="00465CAC">
            <w:pPr>
              <w:jc w:val="right"/>
              <w:rPr>
                <w:rFonts w:ascii="Times New Roman" w:hAnsi="Times New Roman" w:cs="Times New Roman"/>
                <w:b/>
                <w:bCs/>
                <w:color w:val="000000"/>
                <w:sz w:val="14"/>
                <w:szCs w:val="14"/>
                <w:lang w:eastAsia="sk-SK"/>
              </w:rPr>
            </w:pPr>
            <w:r w:rsidRPr="006E02A4">
              <w:rPr>
                <w:rFonts w:ascii="Times New Roman" w:hAnsi="Times New Roman" w:cs="Times New Roman"/>
                <w:b/>
                <w:bCs/>
                <w:color w:val="000000"/>
                <w:sz w:val="14"/>
                <w:szCs w:val="14"/>
                <w:lang w:eastAsia="sk-SK"/>
              </w:rPr>
              <w:t>712 800</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7D13F3" w:rsidRPr="006E02A4" w:rsidRDefault="007D13F3" w:rsidP="00465CAC">
            <w:pPr>
              <w:jc w:val="right"/>
              <w:rPr>
                <w:rFonts w:ascii="Times New Roman" w:hAnsi="Times New Roman" w:cs="Times New Roman"/>
                <w:b/>
                <w:bCs/>
                <w:color w:val="000000"/>
                <w:sz w:val="14"/>
                <w:szCs w:val="14"/>
                <w:lang w:eastAsia="sk-SK"/>
              </w:rPr>
            </w:pPr>
            <w:r w:rsidRPr="006E02A4">
              <w:rPr>
                <w:rFonts w:ascii="Times New Roman" w:hAnsi="Times New Roman" w:cs="Times New Roman"/>
                <w:b/>
                <w:bCs/>
                <w:color w:val="000000"/>
                <w:sz w:val="14"/>
                <w:szCs w:val="14"/>
                <w:lang w:eastAsia="sk-SK"/>
              </w:rPr>
              <w:t>903 756</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7D13F3" w:rsidRPr="006E02A4" w:rsidRDefault="007D13F3" w:rsidP="00465CAC">
            <w:pPr>
              <w:jc w:val="right"/>
              <w:rPr>
                <w:rFonts w:ascii="Times New Roman" w:hAnsi="Times New Roman" w:cs="Times New Roman"/>
                <w:b/>
                <w:bCs/>
                <w:color w:val="000000"/>
                <w:sz w:val="14"/>
                <w:szCs w:val="14"/>
                <w:lang w:eastAsia="sk-SK"/>
              </w:rPr>
            </w:pPr>
            <w:r w:rsidRPr="006E02A4">
              <w:rPr>
                <w:rFonts w:ascii="Times New Roman" w:hAnsi="Times New Roman" w:cs="Times New Roman"/>
                <w:b/>
                <w:bCs/>
                <w:color w:val="000000"/>
                <w:sz w:val="14"/>
                <w:szCs w:val="14"/>
                <w:lang w:eastAsia="sk-SK"/>
              </w:rPr>
              <w:t>918 100</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7D13F3" w:rsidRPr="006E02A4" w:rsidRDefault="007D13F3" w:rsidP="00465CAC">
            <w:pPr>
              <w:jc w:val="right"/>
              <w:rPr>
                <w:rFonts w:ascii="Times New Roman" w:hAnsi="Times New Roman" w:cs="Times New Roman"/>
                <w:b/>
                <w:bCs/>
                <w:color w:val="000000"/>
                <w:sz w:val="14"/>
                <w:szCs w:val="14"/>
                <w:lang w:eastAsia="sk-SK"/>
              </w:rPr>
            </w:pPr>
            <w:r w:rsidRPr="006E02A4">
              <w:rPr>
                <w:rFonts w:ascii="Times New Roman" w:hAnsi="Times New Roman" w:cs="Times New Roman"/>
                <w:b/>
                <w:bCs/>
                <w:color w:val="000000"/>
                <w:sz w:val="14"/>
                <w:szCs w:val="14"/>
                <w:lang w:eastAsia="sk-SK"/>
              </w:rPr>
              <w:t>918 100</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7D13F3" w:rsidRPr="006E02A4" w:rsidRDefault="007D13F3" w:rsidP="00465CAC">
            <w:pPr>
              <w:jc w:val="right"/>
              <w:rPr>
                <w:rFonts w:ascii="Times New Roman" w:hAnsi="Times New Roman" w:cs="Times New Roman"/>
                <w:b/>
                <w:bCs/>
                <w:color w:val="000000"/>
                <w:sz w:val="14"/>
                <w:szCs w:val="14"/>
                <w:lang w:eastAsia="sk-SK"/>
              </w:rPr>
            </w:pPr>
            <w:r w:rsidRPr="006E02A4">
              <w:rPr>
                <w:rFonts w:ascii="Times New Roman" w:hAnsi="Times New Roman" w:cs="Times New Roman"/>
                <w:b/>
                <w:bCs/>
                <w:color w:val="000000"/>
                <w:sz w:val="14"/>
                <w:szCs w:val="14"/>
                <w:lang w:eastAsia="sk-SK"/>
              </w:rPr>
              <w:t>918 100</w:t>
            </w:r>
          </w:p>
        </w:tc>
      </w:tr>
    </w:tbl>
    <w:p w:rsidR="007D13F3" w:rsidRPr="009B4AE5" w:rsidRDefault="007D13F3" w:rsidP="007D13F3">
      <w:pPr>
        <w:jc w:val="both"/>
        <w:rPr>
          <w:rFonts w:ascii="Times New Roman" w:hAnsi="Times New Roman" w:cs="Times New Roman"/>
          <w:lang w:eastAsia="sk-SK"/>
        </w:rPr>
      </w:pPr>
    </w:p>
    <w:p w:rsidR="007D13F3" w:rsidRPr="00E01E6C" w:rsidRDefault="007D13F3" w:rsidP="007D13F3">
      <w:pPr>
        <w:ind w:firstLine="708"/>
        <w:jc w:val="both"/>
        <w:rPr>
          <w:rFonts w:ascii="Times New Roman" w:hAnsi="Times New Roman" w:cs="Times New Roman"/>
        </w:rPr>
      </w:pPr>
      <w:r w:rsidRPr="00E01E6C">
        <w:rPr>
          <w:rFonts w:ascii="Times New Roman" w:hAnsi="Times New Roman" w:cs="Times New Roman"/>
        </w:rPr>
        <w:t xml:space="preserve">Celkové výdavky kapitoly na rok 2018 sa rozpočtujú v sume 9,05 mil. eur. Rozpočtové výdavky kapitoly na rok 2018 v porovnaní so schváleným rozpočtom na rok 2017 rastú </w:t>
      </w:r>
      <w:r w:rsidR="00941A11">
        <w:rPr>
          <w:rFonts w:ascii="Times New Roman" w:hAnsi="Times New Roman" w:cs="Times New Roman"/>
        </w:rPr>
        <w:br/>
      </w:r>
      <w:r w:rsidRPr="00E01E6C">
        <w:rPr>
          <w:rFonts w:ascii="Times New Roman" w:hAnsi="Times New Roman" w:cs="Times New Roman"/>
        </w:rPr>
        <w:t xml:space="preserve">o 256 tis. eur, t. j. o 2,91 %.   </w:t>
      </w:r>
    </w:p>
    <w:p w:rsidR="007D13F3" w:rsidRPr="009B4AE5" w:rsidRDefault="007D13F3" w:rsidP="007D13F3">
      <w:pPr>
        <w:ind w:firstLine="708"/>
        <w:jc w:val="both"/>
        <w:rPr>
          <w:rFonts w:ascii="Times New Roman" w:hAnsi="Times New Roman" w:cs="Times New Roman"/>
        </w:rPr>
      </w:pPr>
    </w:p>
    <w:p w:rsidR="007D13F3" w:rsidRPr="009B4AE5" w:rsidRDefault="007D13F3" w:rsidP="007D13F3">
      <w:pPr>
        <w:ind w:firstLine="708"/>
        <w:jc w:val="both"/>
        <w:rPr>
          <w:rFonts w:ascii="Times New Roman" w:hAnsi="Times New Roman" w:cs="Times New Roman"/>
        </w:rPr>
      </w:pPr>
      <w:r>
        <w:rPr>
          <w:rFonts w:ascii="Times New Roman" w:hAnsi="Times New Roman" w:cs="Times New Roman"/>
        </w:rPr>
        <w:t>Osobné výdavky na rok 2018 sa rozpočtujú v sume 6,68</w:t>
      </w:r>
      <w:r w:rsidRPr="009B4AE5">
        <w:rPr>
          <w:rFonts w:ascii="Times New Roman" w:hAnsi="Times New Roman" w:cs="Times New Roman"/>
        </w:rPr>
        <w:t xml:space="preserve"> mil. eur, čo predstavuje oproti schv</w:t>
      </w:r>
      <w:r>
        <w:rPr>
          <w:rFonts w:ascii="Times New Roman" w:hAnsi="Times New Roman" w:cs="Times New Roman"/>
        </w:rPr>
        <w:t>álenému rozpočtu roku 2017</w:t>
      </w:r>
      <w:r w:rsidRPr="009B4AE5">
        <w:rPr>
          <w:rFonts w:ascii="Times New Roman" w:hAnsi="Times New Roman" w:cs="Times New Roman"/>
        </w:rPr>
        <w:t xml:space="preserve"> nárast o </w:t>
      </w:r>
      <w:r>
        <w:rPr>
          <w:rFonts w:ascii="Times New Roman" w:hAnsi="Times New Roman" w:cs="Times New Roman"/>
        </w:rPr>
        <w:t>256</w:t>
      </w:r>
      <w:r w:rsidRPr="009B4AE5">
        <w:rPr>
          <w:rFonts w:ascii="Times New Roman" w:hAnsi="Times New Roman" w:cs="Times New Roman"/>
        </w:rPr>
        <w:t xml:space="preserve"> tis. eur, t. j. o</w:t>
      </w:r>
      <w:r>
        <w:rPr>
          <w:rFonts w:ascii="Times New Roman" w:hAnsi="Times New Roman" w:cs="Times New Roman"/>
        </w:rPr>
        <w:t> 3,98</w:t>
      </w:r>
      <w:r w:rsidRPr="009B4AE5">
        <w:rPr>
          <w:rFonts w:ascii="Times New Roman" w:hAnsi="Times New Roman" w:cs="Times New Roman"/>
        </w:rPr>
        <w:t xml:space="preserve"> %. Tento nárast je spôsobený premietnutí</w:t>
      </w:r>
      <w:r>
        <w:rPr>
          <w:rFonts w:ascii="Times New Roman" w:hAnsi="Times New Roman" w:cs="Times New Roman"/>
        </w:rPr>
        <w:t>m valorizácie platov z roku 2017</w:t>
      </w:r>
      <w:r w:rsidRPr="009B4AE5">
        <w:rPr>
          <w:rFonts w:ascii="Times New Roman" w:hAnsi="Times New Roman" w:cs="Times New Roman"/>
        </w:rPr>
        <w:t xml:space="preserve"> do nasledujúcich rokov. </w:t>
      </w:r>
    </w:p>
    <w:p w:rsidR="007D13F3" w:rsidRPr="009B4AE5" w:rsidRDefault="007D13F3" w:rsidP="007D13F3">
      <w:pPr>
        <w:ind w:firstLine="708"/>
        <w:jc w:val="both"/>
        <w:rPr>
          <w:rFonts w:ascii="Times New Roman" w:hAnsi="Times New Roman" w:cs="Times New Roman"/>
        </w:rPr>
      </w:pPr>
    </w:p>
    <w:p w:rsidR="007D13F3" w:rsidRPr="009B4AE5" w:rsidRDefault="007D13F3" w:rsidP="007D13F3">
      <w:pPr>
        <w:ind w:firstLine="708"/>
        <w:jc w:val="both"/>
        <w:rPr>
          <w:rFonts w:ascii="Times New Roman" w:hAnsi="Times New Roman" w:cs="Times New Roman"/>
        </w:rPr>
      </w:pPr>
      <w:r>
        <w:rPr>
          <w:rFonts w:ascii="Times New Roman" w:hAnsi="Times New Roman" w:cs="Times New Roman"/>
        </w:rPr>
        <w:t>Tovary a služby na rok 2018</w:t>
      </w:r>
      <w:r w:rsidRPr="009B4AE5">
        <w:rPr>
          <w:rFonts w:ascii="Times New Roman" w:hAnsi="Times New Roman" w:cs="Times New Roman"/>
        </w:rPr>
        <w:t xml:space="preserve"> sa rozpočtujú v sume </w:t>
      </w:r>
      <w:r>
        <w:rPr>
          <w:rFonts w:ascii="Times New Roman" w:hAnsi="Times New Roman" w:cs="Times New Roman"/>
        </w:rPr>
        <w:t>1,99</w:t>
      </w:r>
      <w:r w:rsidRPr="009B4AE5">
        <w:rPr>
          <w:rFonts w:ascii="Times New Roman" w:hAnsi="Times New Roman" w:cs="Times New Roman"/>
        </w:rPr>
        <w:t xml:space="preserve"> mil. eur, </w:t>
      </w:r>
      <w:r>
        <w:rPr>
          <w:rFonts w:ascii="Times New Roman" w:hAnsi="Times New Roman" w:cs="Times New Roman"/>
        </w:rPr>
        <w:t xml:space="preserve">čo predstavuje oproti schválenému rozpočtu roku 2017 pokles o 17,3 tis. eur, t. j. o 0,86 %. Tieto výdavky kapitola presunula do bežných transferov.  </w:t>
      </w:r>
    </w:p>
    <w:p w:rsidR="007D13F3" w:rsidRPr="009B4AE5"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Pr>
          <w:rFonts w:ascii="Times New Roman" w:hAnsi="Times New Roman" w:cs="Times New Roman"/>
        </w:rPr>
        <w:lastRenderedPageBreak/>
        <w:t>Bežné transfery na rok 2018</w:t>
      </w:r>
      <w:r w:rsidRPr="009B4AE5">
        <w:rPr>
          <w:rFonts w:ascii="Times New Roman" w:hAnsi="Times New Roman" w:cs="Times New Roman"/>
        </w:rPr>
        <w:t xml:space="preserve"> sa rozpočtujú v sume </w:t>
      </w:r>
      <w:r>
        <w:rPr>
          <w:rFonts w:ascii="Times New Roman" w:hAnsi="Times New Roman" w:cs="Times New Roman"/>
        </w:rPr>
        <w:t>373</w:t>
      </w:r>
      <w:r w:rsidRPr="009B4AE5">
        <w:rPr>
          <w:rFonts w:ascii="Times New Roman" w:hAnsi="Times New Roman" w:cs="Times New Roman"/>
        </w:rPr>
        <w:t xml:space="preserve"> tis. eur, </w:t>
      </w:r>
      <w:r w:rsidRPr="005D7E9D">
        <w:rPr>
          <w:rFonts w:ascii="Times New Roman" w:hAnsi="Times New Roman" w:cs="Times New Roman"/>
        </w:rPr>
        <w:t>čo predstavuje oproti schválenému rozpočtu roku</w:t>
      </w:r>
      <w:r>
        <w:rPr>
          <w:rFonts w:ascii="Times New Roman" w:hAnsi="Times New Roman" w:cs="Times New Roman"/>
        </w:rPr>
        <w:t xml:space="preserve"> 2017 nárast o 17,3 tis. eur, t. j. o 4,85 % z dôvodu zabezpečenia disciplinárnych odmien. </w:t>
      </w:r>
    </w:p>
    <w:p w:rsidR="007D13F3" w:rsidRPr="009B4AE5"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9B4AE5">
        <w:rPr>
          <w:rFonts w:ascii="Times New Roman" w:hAnsi="Times New Roman" w:cs="Times New Roman"/>
        </w:rPr>
        <w:t xml:space="preserve">Kapitola nerozpočtuje kapitálové výdavky. </w:t>
      </w:r>
    </w:p>
    <w:p w:rsidR="00941A11" w:rsidRDefault="00941A11" w:rsidP="007D13F3">
      <w:pPr>
        <w:ind w:firstLine="708"/>
        <w:jc w:val="both"/>
        <w:rPr>
          <w:rFonts w:ascii="Times New Roman" w:hAnsi="Times New Roman" w:cs="Times New Roman"/>
        </w:rPr>
      </w:pPr>
    </w:p>
    <w:p w:rsidR="007D13F3" w:rsidRPr="00F60E32" w:rsidRDefault="007D13F3" w:rsidP="007D13F3">
      <w:pPr>
        <w:jc w:val="both"/>
        <w:rPr>
          <w:rFonts w:ascii="Times New Roman" w:eastAsiaTheme="minorHAnsi" w:hAnsi="Times New Roman" w:cs="Times New Roman"/>
          <w:lang w:eastAsia="en-US"/>
        </w:rPr>
      </w:pPr>
      <w:r>
        <w:rPr>
          <w:rFonts w:ascii="Times New Roman" w:hAnsi="Times New Roman" w:cs="Times New Roman"/>
        </w:rPr>
        <w:tab/>
      </w:r>
      <w:r w:rsidRPr="00F60E32">
        <w:rPr>
          <w:rFonts w:ascii="Times New Roman" w:eastAsiaTheme="minorHAnsi" w:hAnsi="Times New Roman" w:cs="Times New Roman"/>
          <w:lang w:eastAsia="en-US"/>
        </w:rPr>
        <w:t xml:space="preserve">Kapitola v nadväznosti na § 17 ods. 4 zákona č. 523/2004 Z. z. o rozpočtových pravidlách verejnej správy </w:t>
      </w:r>
      <w:r w:rsidR="00941A11">
        <w:rPr>
          <w:rFonts w:ascii="Times New Roman" w:eastAsiaTheme="minorHAnsi" w:hAnsi="Times New Roman" w:cs="Times New Roman"/>
          <w:lang w:eastAsia="en-US"/>
        </w:rPr>
        <w:t xml:space="preserve">a o zmene a doplnení niektorých zákonov </w:t>
      </w:r>
      <w:r w:rsidRPr="00F60E32">
        <w:rPr>
          <w:rFonts w:ascii="Times New Roman" w:eastAsiaTheme="minorHAnsi" w:hAnsi="Times New Roman" w:cs="Times New Roman"/>
          <w:lang w:eastAsia="en-US"/>
        </w:rPr>
        <w:t xml:space="preserve">v znení neskorších predpisov rozpočtuje tiež výdavky zodpovedajúce príjmom z poistného plnenia zo zmluvného poistenia alebo zo zákonného poistenia v sume </w:t>
      </w:r>
      <w:r>
        <w:rPr>
          <w:rFonts w:ascii="Times New Roman" w:eastAsiaTheme="minorHAnsi" w:hAnsi="Times New Roman" w:cs="Times New Roman"/>
          <w:lang w:eastAsia="en-US"/>
        </w:rPr>
        <w:t>2,00</w:t>
      </w:r>
      <w:r w:rsidRPr="00F60E32">
        <w:rPr>
          <w:rFonts w:ascii="Times New Roman" w:eastAsiaTheme="minorHAnsi" w:hAnsi="Times New Roman" w:cs="Times New Roman"/>
          <w:lang w:eastAsia="en-US"/>
        </w:rPr>
        <w:t xml:space="preserve"> tis. eur</w:t>
      </w:r>
      <w:r w:rsidRPr="00B7502E">
        <w:rPr>
          <w:rFonts w:ascii="Times New Roman" w:eastAsiaTheme="minorHAnsi" w:hAnsi="Times New Roman" w:cs="Times New Roman"/>
          <w:lang w:eastAsia="en-US"/>
        </w:rPr>
        <w:t xml:space="preserve">. Tieto sú určené na financovanie opráv motorových vozidiel. </w:t>
      </w:r>
    </w:p>
    <w:p w:rsidR="007D13F3" w:rsidRPr="00F60E32" w:rsidRDefault="007D13F3" w:rsidP="007D13F3">
      <w:pPr>
        <w:jc w:val="both"/>
        <w:rPr>
          <w:rFonts w:ascii="Times New Roman" w:hAnsi="Times New Roman" w:cs="Times New Roman"/>
          <w:noProof/>
          <w:lang w:eastAsia="sk-SK"/>
        </w:rPr>
      </w:pPr>
    </w:p>
    <w:p w:rsidR="007D13F3" w:rsidRPr="00F60E32" w:rsidRDefault="007D13F3" w:rsidP="007D13F3">
      <w:pPr>
        <w:ind w:firstLine="708"/>
        <w:jc w:val="both"/>
        <w:rPr>
          <w:rFonts w:ascii="Times New Roman" w:hAnsi="Times New Roman" w:cs="Times New Roman"/>
          <w:bCs/>
        </w:rPr>
      </w:pPr>
      <w:r>
        <w:rPr>
          <w:rFonts w:ascii="Times New Roman" w:hAnsi="Times New Roman" w:cs="Times New Roman"/>
          <w:noProof/>
          <w:lang w:eastAsia="sk-SK"/>
        </w:rPr>
        <w:t>Kapitola</w:t>
      </w:r>
      <w:r w:rsidRPr="0075575B">
        <w:rPr>
          <w:rFonts w:ascii="Times New Roman" w:hAnsi="Times New Roman" w:cs="Times New Roman"/>
          <w:noProof/>
          <w:lang w:eastAsia="sk-SK"/>
        </w:rPr>
        <w:t xml:space="preserve"> na rok 2018 rozpočtuje výdavky na samostatnom účte v sume</w:t>
      </w:r>
      <w:r w:rsidRPr="0075575B">
        <w:rPr>
          <w:rFonts w:ascii="Times New Roman" w:hAnsi="Times New Roman" w:cs="Times New Roman"/>
          <w:noProof/>
          <w:lang w:eastAsia="sk-SK"/>
        </w:rPr>
        <w:br/>
      </w:r>
      <w:r w:rsidRPr="0075575B">
        <w:rPr>
          <w:rFonts w:ascii="Times New Roman" w:hAnsi="Times New Roman" w:cs="Times New Roman"/>
          <w:bCs/>
        </w:rPr>
        <w:t xml:space="preserve">918 tis. eur. Uvedené prostriedky sú určené na financovanie sociálneho zabezpečenia </w:t>
      </w:r>
      <w:r w:rsidRPr="00B7502E">
        <w:rPr>
          <w:rFonts w:ascii="Times New Roman" w:hAnsi="Times New Roman" w:cs="Times New Roman"/>
          <w:bCs/>
        </w:rPr>
        <w:t xml:space="preserve">príslušníkov.                   </w:t>
      </w:r>
    </w:p>
    <w:p w:rsidR="007D13F3" w:rsidRPr="009B4AE5" w:rsidRDefault="007D13F3" w:rsidP="007D13F3">
      <w:pPr>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sidRPr="009B4AE5">
        <w:rPr>
          <w:rFonts w:ascii="Times New Roman" w:hAnsi="Times New Roman" w:cs="Times New Roman"/>
        </w:rPr>
        <w:t>Výdavky kapitoly sa rozpočtujú na plnenie úloh na úseku ochrany utajovaných infor</w:t>
      </w:r>
      <w:r>
        <w:rPr>
          <w:rFonts w:ascii="Times New Roman" w:hAnsi="Times New Roman" w:cs="Times New Roman"/>
        </w:rPr>
        <w:t xml:space="preserve">mácií, </w:t>
      </w:r>
      <w:r w:rsidRPr="009B4AE5">
        <w:rPr>
          <w:rFonts w:ascii="Times New Roman" w:hAnsi="Times New Roman" w:cs="Times New Roman"/>
        </w:rPr>
        <w:t>riadenia a podpory programov</w:t>
      </w:r>
      <w:r>
        <w:rPr>
          <w:rFonts w:ascii="Times New Roman" w:hAnsi="Times New Roman" w:cs="Times New Roman"/>
        </w:rPr>
        <w:t xml:space="preserve">, dôveryhodných služieb, kybernetickej bezpečnosti a na medzirezortnom programe Informačné technológie financované zo štátneho rozpočtu. </w:t>
      </w:r>
      <w:r w:rsidRPr="009B4AE5">
        <w:rPr>
          <w:rFonts w:ascii="Times New Roman" w:hAnsi="Times New Roman" w:cs="Times New Roman"/>
        </w:rPr>
        <w:t xml:space="preserve"> </w:t>
      </w:r>
    </w:p>
    <w:p w:rsidR="007D13F3" w:rsidRPr="009B4AE5" w:rsidRDefault="007D13F3" w:rsidP="007D13F3">
      <w:pPr>
        <w:jc w:val="both"/>
        <w:rPr>
          <w:rFonts w:ascii="Times New Roman" w:hAnsi="Times New Roman" w:cs="Times New Roman"/>
        </w:rPr>
      </w:pPr>
    </w:p>
    <w:tbl>
      <w:tblPr>
        <w:tblW w:w="9067" w:type="dxa"/>
        <w:tblLayout w:type="fixed"/>
        <w:tblCellMar>
          <w:left w:w="70" w:type="dxa"/>
          <w:right w:w="70" w:type="dxa"/>
        </w:tblCellMar>
        <w:tblLook w:val="04A0" w:firstRow="1" w:lastRow="0" w:firstColumn="1" w:lastColumn="0" w:noHBand="0" w:noVBand="1"/>
      </w:tblPr>
      <w:tblGrid>
        <w:gridCol w:w="3080"/>
        <w:gridCol w:w="855"/>
        <w:gridCol w:w="855"/>
        <w:gridCol w:w="855"/>
        <w:gridCol w:w="856"/>
        <w:gridCol w:w="855"/>
        <w:gridCol w:w="855"/>
        <w:gridCol w:w="856"/>
      </w:tblGrid>
      <w:tr w:rsidR="007D13F3" w:rsidRPr="00195119" w:rsidTr="00465CAC">
        <w:trPr>
          <w:trHeight w:val="255"/>
        </w:trPr>
        <w:tc>
          <w:tcPr>
            <w:tcW w:w="3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195119" w:rsidRDefault="007D13F3" w:rsidP="00465CAC">
            <w:pP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v eurách</w:t>
            </w:r>
          </w:p>
        </w:tc>
        <w:tc>
          <w:tcPr>
            <w:tcW w:w="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0D3E7E" w:rsidRDefault="007D13F3" w:rsidP="00465CAC">
            <w:pPr>
              <w:jc w:val="center"/>
              <w:rPr>
                <w:rFonts w:ascii="Times New Roman" w:hAnsi="Times New Roman" w:cs="Times New Roman"/>
                <w:b/>
                <w:bCs/>
                <w:color w:val="000000"/>
                <w:sz w:val="14"/>
                <w:szCs w:val="14"/>
                <w:lang w:eastAsia="sk-SK"/>
              </w:rPr>
            </w:pPr>
            <w:r w:rsidRPr="000D3E7E">
              <w:rPr>
                <w:rFonts w:ascii="Times New Roman" w:hAnsi="Times New Roman" w:cs="Times New Roman"/>
                <w:b/>
                <w:bCs/>
                <w:color w:val="000000"/>
                <w:sz w:val="14"/>
                <w:szCs w:val="14"/>
              </w:rPr>
              <w:t>2015 S</w:t>
            </w:r>
          </w:p>
        </w:tc>
        <w:tc>
          <w:tcPr>
            <w:tcW w:w="855"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0D3E7E" w:rsidRDefault="007D13F3" w:rsidP="00465CAC">
            <w:pPr>
              <w:jc w:val="center"/>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2016 S</w:t>
            </w:r>
          </w:p>
        </w:tc>
        <w:tc>
          <w:tcPr>
            <w:tcW w:w="855"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0D3E7E" w:rsidRDefault="007D13F3" w:rsidP="00465CAC">
            <w:pPr>
              <w:jc w:val="center"/>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2017 R</w:t>
            </w:r>
          </w:p>
        </w:tc>
        <w:tc>
          <w:tcPr>
            <w:tcW w:w="85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F729D2" w:rsidRDefault="007D13F3" w:rsidP="00465CAC">
            <w:pPr>
              <w:jc w:val="center"/>
              <w:rPr>
                <w:rFonts w:ascii="Times New Roman" w:hAnsi="Times New Roman" w:cs="Times New Roman"/>
                <w:b/>
                <w:bCs/>
                <w:color w:val="000000"/>
                <w:sz w:val="14"/>
                <w:szCs w:val="14"/>
                <w:highlight w:val="yellow"/>
              </w:rPr>
            </w:pPr>
            <w:r w:rsidRPr="00C81A62">
              <w:rPr>
                <w:rFonts w:ascii="Times New Roman" w:hAnsi="Times New Roman" w:cs="Times New Roman"/>
                <w:b/>
                <w:bCs/>
                <w:color w:val="000000"/>
                <w:sz w:val="14"/>
                <w:szCs w:val="14"/>
              </w:rPr>
              <w:t>2017 OS</w:t>
            </w:r>
          </w:p>
        </w:tc>
        <w:tc>
          <w:tcPr>
            <w:tcW w:w="855"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0D3E7E" w:rsidRDefault="007D13F3" w:rsidP="00465CAC">
            <w:pPr>
              <w:jc w:val="center"/>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2018 N</w:t>
            </w:r>
          </w:p>
        </w:tc>
        <w:tc>
          <w:tcPr>
            <w:tcW w:w="855"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0D3E7E" w:rsidRDefault="007D13F3" w:rsidP="00465CAC">
            <w:pPr>
              <w:jc w:val="center"/>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2019 N</w:t>
            </w:r>
          </w:p>
        </w:tc>
        <w:tc>
          <w:tcPr>
            <w:tcW w:w="85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0D3E7E" w:rsidRDefault="007D13F3" w:rsidP="00465CAC">
            <w:pPr>
              <w:jc w:val="center"/>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2020 N</w:t>
            </w:r>
          </w:p>
        </w:tc>
      </w:tr>
      <w:tr w:rsidR="007D13F3" w:rsidRPr="00195119" w:rsidTr="00465CAC">
        <w:trPr>
          <w:trHeight w:val="255"/>
        </w:trPr>
        <w:tc>
          <w:tcPr>
            <w:tcW w:w="308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D13F3" w:rsidRPr="00195119" w:rsidRDefault="007D13F3" w:rsidP="00465CAC">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Zdroje prís</w:t>
            </w:r>
            <w:r w:rsidRPr="00195119">
              <w:rPr>
                <w:rFonts w:ascii="Times New Roman" w:hAnsi="Times New Roman" w:cs="Times New Roman"/>
                <w:b/>
                <w:bCs/>
                <w:color w:val="000000"/>
                <w:sz w:val="14"/>
                <w:szCs w:val="14"/>
                <w:lang w:eastAsia="sk-SK"/>
              </w:rPr>
              <w:t>lušnej kapitoly</w:t>
            </w:r>
          </w:p>
        </w:tc>
        <w:tc>
          <w:tcPr>
            <w:tcW w:w="855"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8 220 527</w:t>
            </w:r>
          </w:p>
        </w:tc>
        <w:tc>
          <w:tcPr>
            <w:tcW w:w="855"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12 034 564</w:t>
            </w:r>
          </w:p>
        </w:tc>
        <w:tc>
          <w:tcPr>
            <w:tcW w:w="855"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8 793 684</w:t>
            </w:r>
          </w:p>
        </w:tc>
        <w:tc>
          <w:tcPr>
            <w:tcW w:w="856"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633F4B" w:rsidRDefault="007D13F3" w:rsidP="00465CAC">
            <w:pPr>
              <w:jc w:val="right"/>
              <w:rPr>
                <w:rFonts w:ascii="Times New Roman" w:hAnsi="Times New Roman" w:cs="Times New Roman"/>
                <w:b/>
                <w:sz w:val="14"/>
                <w:szCs w:val="14"/>
              </w:rPr>
            </w:pPr>
            <w:r w:rsidRPr="00633F4B">
              <w:rPr>
                <w:rFonts w:ascii="Times New Roman" w:hAnsi="Times New Roman" w:cs="Times New Roman"/>
                <w:b/>
                <w:sz w:val="14"/>
                <w:szCs w:val="14"/>
              </w:rPr>
              <w:t>8 987 505</w:t>
            </w:r>
          </w:p>
        </w:tc>
        <w:tc>
          <w:tcPr>
            <w:tcW w:w="855"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9 051 351</w:t>
            </w:r>
          </w:p>
        </w:tc>
        <w:tc>
          <w:tcPr>
            <w:tcW w:w="855"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9 051 351</w:t>
            </w:r>
          </w:p>
        </w:tc>
        <w:tc>
          <w:tcPr>
            <w:tcW w:w="856" w:type="dxa"/>
            <w:tcBorders>
              <w:top w:val="nil"/>
              <w:left w:val="nil"/>
              <w:bottom w:val="single" w:sz="4" w:space="0" w:color="auto"/>
              <w:right w:val="single" w:sz="4" w:space="0" w:color="auto"/>
            </w:tcBorders>
            <w:shd w:val="clear" w:color="auto" w:fill="BFBFBF" w:themeFill="background1" w:themeFillShade="BF"/>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9 051 351</w:t>
            </w:r>
          </w:p>
        </w:tc>
      </w:tr>
      <w:tr w:rsidR="007D13F3" w:rsidRPr="00195119" w:rsidTr="00465CAC">
        <w:trPr>
          <w:trHeight w:val="25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7D13F3" w:rsidRPr="00195119" w:rsidRDefault="007D13F3" w:rsidP="00465CAC">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Bezpečnosť informácií</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8 220 527</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12 034 564</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8 198 023</w:t>
            </w:r>
          </w:p>
        </w:tc>
        <w:tc>
          <w:tcPr>
            <w:tcW w:w="856" w:type="dxa"/>
            <w:tcBorders>
              <w:top w:val="nil"/>
              <w:left w:val="nil"/>
              <w:bottom w:val="single" w:sz="4" w:space="0" w:color="auto"/>
              <w:right w:val="single" w:sz="4" w:space="0" w:color="auto"/>
            </w:tcBorders>
            <w:shd w:val="clear" w:color="auto" w:fill="auto"/>
            <w:noWrap/>
            <w:vAlign w:val="bottom"/>
            <w:hideMark/>
          </w:tcPr>
          <w:p w:rsidR="007D13F3" w:rsidRPr="00633F4B" w:rsidRDefault="007D13F3" w:rsidP="00465CAC">
            <w:pPr>
              <w:jc w:val="right"/>
              <w:rPr>
                <w:rFonts w:ascii="Times New Roman" w:hAnsi="Times New Roman" w:cs="Times New Roman"/>
                <w:b/>
                <w:sz w:val="14"/>
                <w:szCs w:val="14"/>
              </w:rPr>
            </w:pPr>
            <w:r w:rsidRPr="00633F4B">
              <w:rPr>
                <w:rFonts w:ascii="Times New Roman" w:hAnsi="Times New Roman" w:cs="Times New Roman"/>
                <w:b/>
                <w:sz w:val="14"/>
                <w:szCs w:val="14"/>
              </w:rPr>
              <w:t>8 251 844</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8 466 513</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8 466 513</w:t>
            </w:r>
          </w:p>
        </w:tc>
        <w:tc>
          <w:tcPr>
            <w:tcW w:w="856"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8 466 513</w:t>
            </w:r>
          </w:p>
        </w:tc>
      </w:tr>
      <w:tr w:rsidR="007D13F3" w:rsidRPr="00195119" w:rsidTr="00465CAC">
        <w:trPr>
          <w:trHeight w:val="25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7D13F3" w:rsidRPr="00195119" w:rsidRDefault="007D13F3" w:rsidP="00465CAC">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v tom: </w:t>
            </w:r>
            <w:r w:rsidRPr="00195119">
              <w:rPr>
                <w:rFonts w:ascii="Times New Roman" w:hAnsi="Times New Roman" w:cs="Times New Roman"/>
                <w:color w:val="000000"/>
                <w:sz w:val="14"/>
                <w:szCs w:val="14"/>
                <w:lang w:eastAsia="sk-SK"/>
              </w:rPr>
              <w:t xml:space="preserve">Ochrana utajovaných informácií </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3 776 957</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7 542 841</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3 327 384</w:t>
            </w:r>
          </w:p>
        </w:tc>
        <w:tc>
          <w:tcPr>
            <w:tcW w:w="856" w:type="dxa"/>
            <w:tcBorders>
              <w:top w:val="nil"/>
              <w:left w:val="nil"/>
              <w:bottom w:val="single" w:sz="4" w:space="0" w:color="auto"/>
              <w:right w:val="single" w:sz="4" w:space="0" w:color="auto"/>
            </w:tcBorders>
            <w:shd w:val="clear" w:color="auto" w:fill="auto"/>
            <w:noWrap/>
            <w:vAlign w:val="bottom"/>
            <w:hideMark/>
          </w:tcPr>
          <w:p w:rsidR="007D13F3" w:rsidRPr="00633F4B" w:rsidRDefault="007D13F3" w:rsidP="00465CAC">
            <w:pPr>
              <w:jc w:val="right"/>
              <w:rPr>
                <w:rFonts w:ascii="Times New Roman" w:hAnsi="Times New Roman" w:cs="Times New Roman"/>
                <w:sz w:val="14"/>
                <w:szCs w:val="14"/>
              </w:rPr>
            </w:pPr>
            <w:r w:rsidRPr="00633F4B">
              <w:rPr>
                <w:rFonts w:ascii="Times New Roman" w:hAnsi="Times New Roman" w:cs="Times New Roman"/>
                <w:sz w:val="14"/>
                <w:szCs w:val="14"/>
              </w:rPr>
              <w:t>3 466 054</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3 064 238</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3 064 238</w:t>
            </w:r>
          </w:p>
        </w:tc>
        <w:tc>
          <w:tcPr>
            <w:tcW w:w="856"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3 064 238</w:t>
            </w:r>
          </w:p>
        </w:tc>
      </w:tr>
      <w:tr w:rsidR="007D13F3" w:rsidRPr="00195119" w:rsidTr="00465CAC">
        <w:trPr>
          <w:trHeight w:val="25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7D13F3" w:rsidRPr="00195119" w:rsidRDefault="007D13F3" w:rsidP="00465CAC">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 xml:space="preserve">  Riadenie a podpora programov</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4 152 449</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4 241 926</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3 935 749</w:t>
            </w:r>
          </w:p>
        </w:tc>
        <w:tc>
          <w:tcPr>
            <w:tcW w:w="856" w:type="dxa"/>
            <w:tcBorders>
              <w:top w:val="nil"/>
              <w:left w:val="nil"/>
              <w:bottom w:val="single" w:sz="4" w:space="0" w:color="auto"/>
              <w:right w:val="single" w:sz="4" w:space="0" w:color="auto"/>
            </w:tcBorders>
            <w:shd w:val="clear" w:color="auto" w:fill="auto"/>
            <w:noWrap/>
            <w:vAlign w:val="bottom"/>
            <w:hideMark/>
          </w:tcPr>
          <w:p w:rsidR="007D13F3" w:rsidRPr="00633F4B" w:rsidRDefault="007D13F3" w:rsidP="00465CAC">
            <w:pPr>
              <w:jc w:val="right"/>
              <w:rPr>
                <w:rFonts w:ascii="Times New Roman" w:hAnsi="Times New Roman" w:cs="Times New Roman"/>
                <w:sz w:val="14"/>
                <w:szCs w:val="14"/>
              </w:rPr>
            </w:pPr>
            <w:r w:rsidRPr="00633F4B">
              <w:rPr>
                <w:rFonts w:ascii="Times New Roman" w:hAnsi="Times New Roman" w:cs="Times New Roman"/>
                <w:sz w:val="14"/>
                <w:szCs w:val="14"/>
              </w:rPr>
              <w:t>3 935 749</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4 412 063</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4 412 063</w:t>
            </w:r>
          </w:p>
        </w:tc>
        <w:tc>
          <w:tcPr>
            <w:tcW w:w="856"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4 412 063</w:t>
            </w:r>
          </w:p>
        </w:tc>
      </w:tr>
      <w:tr w:rsidR="007D13F3" w:rsidRPr="00195119" w:rsidTr="00465CAC">
        <w:trPr>
          <w:trHeight w:val="25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7D13F3" w:rsidRPr="00195119" w:rsidRDefault="007D13F3" w:rsidP="00465CAC">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 xml:space="preserve">   Elektronický podpis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291 121</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249 797</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0</w:t>
            </w:r>
          </w:p>
        </w:tc>
        <w:tc>
          <w:tcPr>
            <w:tcW w:w="856" w:type="dxa"/>
            <w:tcBorders>
              <w:top w:val="nil"/>
              <w:left w:val="nil"/>
              <w:bottom w:val="single" w:sz="4" w:space="0" w:color="auto"/>
              <w:right w:val="single" w:sz="4" w:space="0" w:color="auto"/>
            </w:tcBorders>
            <w:shd w:val="clear" w:color="auto" w:fill="auto"/>
            <w:noWrap/>
            <w:vAlign w:val="bottom"/>
            <w:hideMark/>
          </w:tcPr>
          <w:p w:rsidR="007D13F3" w:rsidRPr="00633F4B" w:rsidRDefault="007D13F3" w:rsidP="00465CAC">
            <w:pPr>
              <w:jc w:val="right"/>
              <w:rPr>
                <w:rFonts w:ascii="Times New Roman" w:hAnsi="Times New Roman" w:cs="Times New Roman"/>
                <w:sz w:val="14"/>
                <w:szCs w:val="14"/>
              </w:rPr>
            </w:pPr>
            <w:r w:rsidRPr="00633F4B">
              <w:rPr>
                <w:rFonts w:ascii="Times New Roman" w:hAnsi="Times New Roman" w:cs="Times New Roman"/>
                <w:sz w:val="14"/>
                <w:szCs w:val="14"/>
              </w:rPr>
              <w:t>0</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0</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0</w:t>
            </w:r>
          </w:p>
        </w:tc>
        <w:tc>
          <w:tcPr>
            <w:tcW w:w="856"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0</w:t>
            </w:r>
          </w:p>
        </w:tc>
      </w:tr>
      <w:tr w:rsidR="007D13F3" w:rsidRPr="00195119" w:rsidTr="00465CAC">
        <w:trPr>
          <w:trHeight w:val="25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7D13F3" w:rsidRPr="00195119" w:rsidRDefault="007D13F3" w:rsidP="00465CAC">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 xml:space="preserve"> Dôveryhodné služby</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0</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0</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476 958</w:t>
            </w:r>
          </w:p>
        </w:tc>
        <w:tc>
          <w:tcPr>
            <w:tcW w:w="856" w:type="dxa"/>
            <w:tcBorders>
              <w:top w:val="nil"/>
              <w:left w:val="nil"/>
              <w:bottom w:val="single" w:sz="4" w:space="0" w:color="auto"/>
              <w:right w:val="single" w:sz="4" w:space="0" w:color="auto"/>
            </w:tcBorders>
            <w:shd w:val="clear" w:color="auto" w:fill="auto"/>
            <w:noWrap/>
            <w:vAlign w:val="bottom"/>
            <w:hideMark/>
          </w:tcPr>
          <w:p w:rsidR="007D13F3" w:rsidRPr="00633F4B" w:rsidRDefault="007D13F3" w:rsidP="00465CAC">
            <w:pPr>
              <w:jc w:val="right"/>
              <w:rPr>
                <w:rFonts w:ascii="Times New Roman" w:hAnsi="Times New Roman" w:cs="Times New Roman"/>
                <w:sz w:val="14"/>
                <w:szCs w:val="14"/>
              </w:rPr>
            </w:pPr>
            <w:r w:rsidRPr="00633F4B">
              <w:rPr>
                <w:rFonts w:ascii="Times New Roman" w:hAnsi="Times New Roman" w:cs="Times New Roman"/>
                <w:sz w:val="14"/>
                <w:szCs w:val="14"/>
              </w:rPr>
              <w:t>320 859</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453 180</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453 180</w:t>
            </w:r>
          </w:p>
        </w:tc>
        <w:tc>
          <w:tcPr>
            <w:tcW w:w="856"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453 180</w:t>
            </w:r>
          </w:p>
        </w:tc>
      </w:tr>
      <w:tr w:rsidR="007D13F3" w:rsidRPr="00195119" w:rsidTr="00465CAC">
        <w:trPr>
          <w:trHeight w:val="25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7D13F3" w:rsidRPr="00195119" w:rsidRDefault="007D13F3" w:rsidP="00465CAC">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Kybernetická bezpečnosť</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0</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0</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457 932</w:t>
            </w:r>
          </w:p>
        </w:tc>
        <w:tc>
          <w:tcPr>
            <w:tcW w:w="856" w:type="dxa"/>
            <w:tcBorders>
              <w:top w:val="nil"/>
              <w:left w:val="nil"/>
              <w:bottom w:val="single" w:sz="4" w:space="0" w:color="auto"/>
              <w:right w:val="single" w:sz="4" w:space="0" w:color="auto"/>
            </w:tcBorders>
            <w:shd w:val="clear" w:color="auto" w:fill="auto"/>
            <w:noWrap/>
            <w:vAlign w:val="bottom"/>
            <w:hideMark/>
          </w:tcPr>
          <w:p w:rsidR="007D13F3" w:rsidRPr="00633F4B" w:rsidRDefault="007D13F3" w:rsidP="00465CAC">
            <w:pPr>
              <w:jc w:val="right"/>
              <w:rPr>
                <w:rFonts w:ascii="Times New Roman" w:hAnsi="Times New Roman" w:cs="Times New Roman"/>
                <w:sz w:val="14"/>
                <w:szCs w:val="14"/>
              </w:rPr>
            </w:pPr>
            <w:r w:rsidRPr="00633F4B">
              <w:rPr>
                <w:rFonts w:ascii="Times New Roman" w:hAnsi="Times New Roman" w:cs="Times New Roman"/>
                <w:sz w:val="14"/>
                <w:szCs w:val="14"/>
              </w:rPr>
              <w:t>529 182</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537 032</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537 032</w:t>
            </w:r>
          </w:p>
        </w:tc>
        <w:tc>
          <w:tcPr>
            <w:tcW w:w="856"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537 032</w:t>
            </w:r>
          </w:p>
        </w:tc>
      </w:tr>
      <w:tr w:rsidR="007D13F3" w:rsidRPr="00195119" w:rsidTr="00465CAC">
        <w:trPr>
          <w:trHeight w:val="25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7D13F3" w:rsidRPr="00195119" w:rsidRDefault="007D13F3" w:rsidP="00465CAC">
            <w:pP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Medzirezortné programy</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0</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0</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595 661</w:t>
            </w:r>
          </w:p>
        </w:tc>
        <w:tc>
          <w:tcPr>
            <w:tcW w:w="856" w:type="dxa"/>
            <w:tcBorders>
              <w:top w:val="nil"/>
              <w:left w:val="nil"/>
              <w:bottom w:val="single" w:sz="4" w:space="0" w:color="auto"/>
              <w:right w:val="single" w:sz="4" w:space="0" w:color="auto"/>
            </w:tcBorders>
            <w:shd w:val="clear" w:color="auto" w:fill="auto"/>
            <w:noWrap/>
            <w:vAlign w:val="bottom"/>
            <w:hideMark/>
          </w:tcPr>
          <w:p w:rsidR="007D13F3" w:rsidRPr="00633F4B" w:rsidRDefault="007D13F3" w:rsidP="00465CAC">
            <w:pPr>
              <w:jc w:val="right"/>
              <w:rPr>
                <w:rFonts w:ascii="Times New Roman" w:hAnsi="Times New Roman" w:cs="Times New Roman"/>
                <w:b/>
                <w:sz w:val="14"/>
                <w:szCs w:val="14"/>
              </w:rPr>
            </w:pPr>
            <w:r w:rsidRPr="00633F4B">
              <w:rPr>
                <w:rFonts w:ascii="Times New Roman" w:hAnsi="Times New Roman" w:cs="Times New Roman"/>
                <w:b/>
                <w:sz w:val="14"/>
                <w:szCs w:val="14"/>
              </w:rPr>
              <w:t>735 661</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584 838</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584 838</w:t>
            </w:r>
          </w:p>
        </w:tc>
        <w:tc>
          <w:tcPr>
            <w:tcW w:w="856"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b/>
                <w:bCs/>
                <w:color w:val="000000"/>
                <w:sz w:val="14"/>
                <w:szCs w:val="14"/>
              </w:rPr>
            </w:pPr>
            <w:r w:rsidRPr="000D3E7E">
              <w:rPr>
                <w:rFonts w:ascii="Times New Roman" w:hAnsi="Times New Roman" w:cs="Times New Roman"/>
                <w:b/>
                <w:bCs/>
                <w:color w:val="000000"/>
                <w:sz w:val="14"/>
                <w:szCs w:val="14"/>
              </w:rPr>
              <w:t>584 838</w:t>
            </w:r>
          </w:p>
        </w:tc>
      </w:tr>
      <w:tr w:rsidR="007D13F3" w:rsidRPr="00195119" w:rsidTr="00465CAC">
        <w:trPr>
          <w:trHeight w:val="25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7D13F3" w:rsidRPr="00195119" w:rsidRDefault="007D13F3" w:rsidP="00465CAC">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v tom: </w:t>
            </w:r>
            <w:r w:rsidRPr="00195119">
              <w:rPr>
                <w:rFonts w:ascii="Times New Roman" w:hAnsi="Times New Roman" w:cs="Times New Roman"/>
                <w:color w:val="000000"/>
                <w:sz w:val="14"/>
                <w:szCs w:val="14"/>
                <w:lang w:eastAsia="sk-SK"/>
              </w:rPr>
              <w:t>In</w:t>
            </w:r>
            <w:r>
              <w:rPr>
                <w:rFonts w:ascii="Times New Roman" w:hAnsi="Times New Roman" w:cs="Times New Roman"/>
                <w:color w:val="000000"/>
                <w:sz w:val="14"/>
                <w:szCs w:val="14"/>
                <w:lang w:eastAsia="sk-SK"/>
              </w:rPr>
              <w:t>formačné technológie financ. zo ŠR</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0</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0</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595 661</w:t>
            </w:r>
          </w:p>
        </w:tc>
        <w:tc>
          <w:tcPr>
            <w:tcW w:w="856" w:type="dxa"/>
            <w:tcBorders>
              <w:top w:val="nil"/>
              <w:left w:val="nil"/>
              <w:bottom w:val="single" w:sz="4" w:space="0" w:color="auto"/>
              <w:right w:val="single" w:sz="4" w:space="0" w:color="auto"/>
            </w:tcBorders>
            <w:shd w:val="clear" w:color="auto" w:fill="auto"/>
            <w:noWrap/>
            <w:vAlign w:val="bottom"/>
            <w:hideMark/>
          </w:tcPr>
          <w:p w:rsidR="007D13F3" w:rsidRPr="00633F4B" w:rsidRDefault="007D13F3" w:rsidP="00465CAC">
            <w:pPr>
              <w:jc w:val="right"/>
              <w:rPr>
                <w:rFonts w:ascii="Times New Roman" w:hAnsi="Times New Roman" w:cs="Times New Roman"/>
                <w:sz w:val="14"/>
                <w:szCs w:val="14"/>
              </w:rPr>
            </w:pPr>
            <w:r w:rsidRPr="00633F4B">
              <w:rPr>
                <w:rFonts w:ascii="Times New Roman" w:hAnsi="Times New Roman" w:cs="Times New Roman"/>
                <w:sz w:val="14"/>
                <w:szCs w:val="14"/>
              </w:rPr>
              <w:t>735 661</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584 838</w:t>
            </w:r>
          </w:p>
        </w:tc>
        <w:tc>
          <w:tcPr>
            <w:tcW w:w="855"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584 838</w:t>
            </w:r>
          </w:p>
        </w:tc>
        <w:tc>
          <w:tcPr>
            <w:tcW w:w="856" w:type="dxa"/>
            <w:tcBorders>
              <w:top w:val="nil"/>
              <w:left w:val="nil"/>
              <w:bottom w:val="single" w:sz="4" w:space="0" w:color="auto"/>
              <w:right w:val="single" w:sz="4" w:space="0" w:color="auto"/>
            </w:tcBorders>
            <w:shd w:val="clear" w:color="auto" w:fill="auto"/>
            <w:noWrap/>
            <w:vAlign w:val="bottom"/>
            <w:hideMark/>
          </w:tcPr>
          <w:p w:rsidR="007D13F3" w:rsidRPr="000D3E7E" w:rsidRDefault="007D13F3" w:rsidP="00465CAC">
            <w:pPr>
              <w:jc w:val="right"/>
              <w:rPr>
                <w:rFonts w:ascii="Times New Roman" w:hAnsi="Times New Roman" w:cs="Times New Roman"/>
                <w:color w:val="000000"/>
                <w:sz w:val="14"/>
                <w:szCs w:val="14"/>
              </w:rPr>
            </w:pPr>
            <w:r w:rsidRPr="000D3E7E">
              <w:rPr>
                <w:rFonts w:ascii="Times New Roman" w:hAnsi="Times New Roman" w:cs="Times New Roman"/>
                <w:color w:val="000000"/>
                <w:sz w:val="14"/>
                <w:szCs w:val="14"/>
              </w:rPr>
              <w:t>584 838</w:t>
            </w:r>
          </w:p>
        </w:tc>
      </w:tr>
    </w:tbl>
    <w:p w:rsidR="007D13F3" w:rsidRDefault="007D13F3" w:rsidP="007D13F3"/>
    <w:p w:rsidR="007D13F3" w:rsidRDefault="007D13F3" w:rsidP="007D13F3">
      <w:pPr>
        <w:pStyle w:val="Nadpis5"/>
        <w:pBdr>
          <w:bottom w:val="single" w:sz="4" w:space="1" w:color="auto"/>
        </w:pBdr>
        <w:spacing w:before="0"/>
        <w:ind w:left="0"/>
        <w:rPr>
          <w:i w:val="0"/>
          <w:sz w:val="24"/>
          <w:lang w:eastAsia="sk-SK"/>
        </w:rPr>
      </w:pPr>
      <w:bookmarkStart w:id="200" w:name="_Toc400551783"/>
      <w:bookmarkStart w:id="201" w:name="_Toc494470122"/>
      <w:bookmarkStart w:id="202" w:name="_Toc494472298"/>
      <w:r w:rsidRPr="00634D1A">
        <w:rPr>
          <w:i w:val="0"/>
          <w:sz w:val="24"/>
          <w:lang w:eastAsia="sk-SK"/>
        </w:rPr>
        <w:t>Správa štátnych hmotných rezerv SR</w:t>
      </w:r>
      <w:bookmarkEnd w:id="200"/>
      <w:bookmarkEnd w:id="201"/>
      <w:bookmarkEnd w:id="202"/>
    </w:p>
    <w:p w:rsidR="007D13F3" w:rsidRDefault="007D13F3" w:rsidP="007D13F3">
      <w:pPr>
        <w:rPr>
          <w:lang w:eastAsia="sk-SK"/>
        </w:rPr>
      </w:pPr>
    </w:p>
    <w:tbl>
      <w:tblPr>
        <w:tblW w:w="9067" w:type="dxa"/>
        <w:tblLayout w:type="fixed"/>
        <w:tblCellMar>
          <w:left w:w="70" w:type="dxa"/>
          <w:right w:w="70" w:type="dxa"/>
        </w:tblCellMar>
        <w:tblLook w:val="04A0" w:firstRow="1" w:lastRow="0" w:firstColumn="1" w:lastColumn="0" w:noHBand="0" w:noVBand="1"/>
      </w:tblPr>
      <w:tblGrid>
        <w:gridCol w:w="2263"/>
        <w:gridCol w:w="972"/>
        <w:gridCol w:w="972"/>
        <w:gridCol w:w="972"/>
        <w:gridCol w:w="972"/>
        <w:gridCol w:w="972"/>
        <w:gridCol w:w="972"/>
        <w:gridCol w:w="972"/>
      </w:tblGrid>
      <w:tr w:rsidR="007D13F3" w:rsidRPr="00BB5E1C" w:rsidTr="00465CAC">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D13F3" w:rsidRPr="00BB5E1C" w:rsidRDefault="007D13F3" w:rsidP="00465CAC">
            <w:pP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v eurách</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B5E1C"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2015</w:t>
            </w:r>
            <w:r w:rsidRPr="00BB5E1C">
              <w:rPr>
                <w:rFonts w:ascii="Times New Roman" w:hAnsi="Times New Roman" w:cs="Times New Roman"/>
                <w:b/>
                <w:bCs/>
                <w:color w:val="000000"/>
                <w:sz w:val="14"/>
                <w:szCs w:val="14"/>
                <w:lang w:eastAsia="sk-SK"/>
              </w:rPr>
              <w:t xml:space="preserve"> S</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B5E1C"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w:t>
            </w:r>
            <w:r w:rsidRPr="00BB5E1C">
              <w:rPr>
                <w:rFonts w:ascii="Times New Roman" w:hAnsi="Times New Roman" w:cs="Times New Roman"/>
                <w:b/>
                <w:bCs/>
                <w:color w:val="000000"/>
                <w:sz w:val="14"/>
                <w:szCs w:val="14"/>
                <w:lang w:eastAsia="sk-SK"/>
              </w:rPr>
              <w:t xml:space="preserve"> S</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B5E1C"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w:t>
            </w:r>
            <w:r w:rsidRPr="00BB5E1C">
              <w:rPr>
                <w:rFonts w:ascii="Times New Roman" w:hAnsi="Times New Roman" w:cs="Times New Roman"/>
                <w:b/>
                <w:bCs/>
                <w:color w:val="000000"/>
                <w:sz w:val="14"/>
                <w:szCs w:val="14"/>
                <w:lang w:eastAsia="sk-SK"/>
              </w:rPr>
              <w:t xml:space="preserve"> R</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B5E1C"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OS</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B5E1C"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w:t>
            </w:r>
            <w:r w:rsidRPr="00BB5E1C">
              <w:rPr>
                <w:rFonts w:ascii="Times New Roman" w:hAnsi="Times New Roman" w:cs="Times New Roman"/>
                <w:b/>
                <w:bCs/>
                <w:color w:val="000000"/>
                <w:sz w:val="14"/>
                <w:szCs w:val="14"/>
                <w:lang w:eastAsia="sk-SK"/>
              </w:rPr>
              <w:t xml:space="preserve"> N</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B5E1C"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w:t>
            </w:r>
            <w:r w:rsidRPr="00BB5E1C">
              <w:rPr>
                <w:rFonts w:ascii="Times New Roman" w:hAnsi="Times New Roman" w:cs="Times New Roman"/>
                <w:b/>
                <w:bCs/>
                <w:color w:val="000000"/>
                <w:sz w:val="14"/>
                <w:szCs w:val="14"/>
                <w:lang w:eastAsia="sk-SK"/>
              </w:rPr>
              <w:t xml:space="preserve"> N</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D13F3" w:rsidRPr="00BB5E1C" w:rsidRDefault="007D13F3" w:rsidP="00465CAC">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BB5E1C">
              <w:rPr>
                <w:rFonts w:ascii="Times New Roman" w:hAnsi="Times New Roman" w:cs="Times New Roman"/>
                <w:b/>
                <w:bCs/>
                <w:color w:val="000000"/>
                <w:sz w:val="14"/>
                <w:szCs w:val="14"/>
                <w:lang w:eastAsia="sk-SK"/>
              </w:rPr>
              <w:t xml:space="preserve"> N</w:t>
            </w:r>
          </w:p>
        </w:tc>
      </w:tr>
      <w:tr w:rsidR="007D13F3" w:rsidRPr="00BB5E1C" w:rsidTr="00465CAC">
        <w:trPr>
          <w:trHeight w:val="255"/>
        </w:trPr>
        <w:tc>
          <w:tcPr>
            <w:tcW w:w="226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7D13F3" w:rsidRPr="00BB5E1C" w:rsidRDefault="007D13F3" w:rsidP="00465CAC">
            <w:pP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Zdroje príslušnej kapitoly</w:t>
            </w:r>
          </w:p>
        </w:tc>
        <w:tc>
          <w:tcPr>
            <w:tcW w:w="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D13F3" w:rsidRPr="00C4796D" w:rsidRDefault="007D13F3" w:rsidP="00465CAC">
            <w:pPr>
              <w:jc w:val="right"/>
              <w:rPr>
                <w:rFonts w:ascii="Times New Roman" w:hAnsi="Times New Roman" w:cs="Times New Roman"/>
                <w:b/>
                <w:bCs/>
                <w:color w:val="000000"/>
                <w:sz w:val="14"/>
                <w:szCs w:val="14"/>
                <w:lang w:eastAsia="sk-SK"/>
              </w:rPr>
            </w:pPr>
            <w:r w:rsidRPr="00C4796D">
              <w:rPr>
                <w:rFonts w:ascii="Times New Roman" w:hAnsi="Times New Roman" w:cs="Times New Roman"/>
                <w:b/>
                <w:bCs/>
                <w:color w:val="000000"/>
                <w:sz w:val="14"/>
                <w:szCs w:val="14"/>
              </w:rPr>
              <w:t>13 159 745</w:t>
            </w:r>
          </w:p>
        </w:tc>
        <w:tc>
          <w:tcPr>
            <w:tcW w:w="97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7D13F3" w:rsidRPr="00C4796D" w:rsidRDefault="007D13F3" w:rsidP="00465CAC">
            <w:pPr>
              <w:jc w:val="right"/>
              <w:rPr>
                <w:rFonts w:ascii="Times New Roman" w:hAnsi="Times New Roman" w:cs="Times New Roman"/>
                <w:b/>
                <w:bCs/>
                <w:color w:val="000000"/>
                <w:sz w:val="14"/>
                <w:szCs w:val="14"/>
              </w:rPr>
            </w:pPr>
            <w:r w:rsidRPr="00C4796D">
              <w:rPr>
                <w:rFonts w:ascii="Times New Roman" w:hAnsi="Times New Roman" w:cs="Times New Roman"/>
                <w:b/>
                <w:bCs/>
                <w:color w:val="000000"/>
                <w:sz w:val="14"/>
                <w:szCs w:val="14"/>
              </w:rPr>
              <w:t>10 678 649</w:t>
            </w:r>
          </w:p>
        </w:tc>
        <w:tc>
          <w:tcPr>
            <w:tcW w:w="97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7D13F3" w:rsidRPr="00C4796D" w:rsidRDefault="007D13F3" w:rsidP="00465CAC">
            <w:pPr>
              <w:jc w:val="right"/>
              <w:rPr>
                <w:rFonts w:ascii="Times New Roman" w:hAnsi="Times New Roman" w:cs="Times New Roman"/>
                <w:b/>
                <w:bCs/>
                <w:color w:val="000000"/>
                <w:sz w:val="14"/>
                <w:szCs w:val="14"/>
              </w:rPr>
            </w:pPr>
            <w:r w:rsidRPr="00C4796D">
              <w:rPr>
                <w:rFonts w:ascii="Times New Roman" w:hAnsi="Times New Roman" w:cs="Times New Roman"/>
                <w:b/>
                <w:bCs/>
                <w:color w:val="000000"/>
                <w:sz w:val="14"/>
                <w:szCs w:val="14"/>
              </w:rPr>
              <w:t>18 371 224</w:t>
            </w:r>
          </w:p>
        </w:tc>
        <w:tc>
          <w:tcPr>
            <w:tcW w:w="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D13F3" w:rsidRPr="00BC5592" w:rsidRDefault="007D13F3" w:rsidP="00465CAC">
            <w:pPr>
              <w:jc w:val="right"/>
              <w:rPr>
                <w:rFonts w:ascii="Times New Roman" w:hAnsi="Times New Roman" w:cs="Times New Roman"/>
                <w:b/>
                <w:bCs/>
                <w:color w:val="000000"/>
                <w:sz w:val="14"/>
                <w:szCs w:val="14"/>
                <w:lang w:eastAsia="sk-SK"/>
              </w:rPr>
            </w:pPr>
            <w:r w:rsidRPr="00BC5592">
              <w:rPr>
                <w:rFonts w:ascii="Times New Roman" w:hAnsi="Times New Roman" w:cs="Times New Roman"/>
                <w:b/>
                <w:bCs/>
                <w:color w:val="000000"/>
                <w:sz w:val="14"/>
                <w:szCs w:val="14"/>
              </w:rPr>
              <w:t>18 461 884</w:t>
            </w:r>
          </w:p>
        </w:tc>
        <w:tc>
          <w:tcPr>
            <w:tcW w:w="97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7D13F3" w:rsidRPr="00C4796D" w:rsidRDefault="007D13F3" w:rsidP="00465CAC">
            <w:pPr>
              <w:jc w:val="right"/>
              <w:rPr>
                <w:rFonts w:ascii="Times New Roman" w:hAnsi="Times New Roman" w:cs="Times New Roman"/>
                <w:b/>
                <w:bCs/>
                <w:color w:val="000000"/>
                <w:sz w:val="14"/>
                <w:szCs w:val="14"/>
              </w:rPr>
            </w:pPr>
            <w:r w:rsidRPr="00C4796D">
              <w:rPr>
                <w:rFonts w:ascii="Times New Roman" w:hAnsi="Times New Roman" w:cs="Times New Roman"/>
                <w:b/>
                <w:bCs/>
                <w:color w:val="000000"/>
                <w:sz w:val="14"/>
                <w:szCs w:val="14"/>
              </w:rPr>
              <w:t>9 853 805</w:t>
            </w:r>
          </w:p>
        </w:tc>
        <w:tc>
          <w:tcPr>
            <w:tcW w:w="97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7D13F3" w:rsidRPr="00C4796D" w:rsidRDefault="007D13F3" w:rsidP="00465CAC">
            <w:pPr>
              <w:jc w:val="right"/>
              <w:rPr>
                <w:rFonts w:ascii="Times New Roman" w:hAnsi="Times New Roman" w:cs="Times New Roman"/>
                <w:b/>
                <w:bCs/>
                <w:color w:val="000000"/>
                <w:sz w:val="14"/>
                <w:szCs w:val="14"/>
              </w:rPr>
            </w:pPr>
            <w:r w:rsidRPr="00C4796D">
              <w:rPr>
                <w:rFonts w:ascii="Times New Roman" w:hAnsi="Times New Roman" w:cs="Times New Roman"/>
                <w:b/>
                <w:bCs/>
                <w:color w:val="000000"/>
                <w:sz w:val="14"/>
                <w:szCs w:val="14"/>
              </w:rPr>
              <w:t>9 853 805</w:t>
            </w:r>
          </w:p>
        </w:tc>
        <w:tc>
          <w:tcPr>
            <w:tcW w:w="97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7D13F3" w:rsidRPr="00C4796D" w:rsidRDefault="007D13F3" w:rsidP="00465CAC">
            <w:pPr>
              <w:jc w:val="right"/>
              <w:rPr>
                <w:rFonts w:ascii="Times New Roman" w:hAnsi="Times New Roman" w:cs="Times New Roman"/>
                <w:b/>
                <w:bCs/>
                <w:color w:val="000000"/>
                <w:sz w:val="14"/>
                <w:szCs w:val="14"/>
              </w:rPr>
            </w:pPr>
            <w:r w:rsidRPr="00C4796D">
              <w:rPr>
                <w:rFonts w:ascii="Times New Roman" w:hAnsi="Times New Roman" w:cs="Times New Roman"/>
                <w:b/>
                <w:bCs/>
                <w:color w:val="000000"/>
                <w:sz w:val="14"/>
                <w:szCs w:val="14"/>
              </w:rPr>
              <w:t>9 853 805</w:t>
            </w:r>
          </w:p>
        </w:tc>
      </w:tr>
      <w:tr w:rsidR="007D13F3" w:rsidRPr="00BB5E1C" w:rsidTr="00465CAC">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7D13F3" w:rsidRPr="00BB5E1C" w:rsidRDefault="007D13F3" w:rsidP="00465CAC">
            <w:pP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 xml:space="preserve">rozpočtové zdroje kapitoly </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b/>
                <w:bCs/>
                <w:color w:val="000000"/>
                <w:sz w:val="14"/>
                <w:szCs w:val="14"/>
              </w:rPr>
            </w:pPr>
            <w:r w:rsidRPr="00C4796D">
              <w:rPr>
                <w:rFonts w:ascii="Times New Roman" w:hAnsi="Times New Roman" w:cs="Times New Roman"/>
                <w:b/>
                <w:bCs/>
                <w:color w:val="000000"/>
                <w:sz w:val="14"/>
                <w:szCs w:val="14"/>
              </w:rPr>
              <w:t>9 668 974</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b/>
                <w:bCs/>
                <w:color w:val="000000"/>
                <w:sz w:val="14"/>
                <w:szCs w:val="14"/>
              </w:rPr>
            </w:pPr>
            <w:r w:rsidRPr="00C4796D">
              <w:rPr>
                <w:rFonts w:ascii="Times New Roman" w:hAnsi="Times New Roman" w:cs="Times New Roman"/>
                <w:b/>
                <w:bCs/>
                <w:color w:val="000000"/>
                <w:sz w:val="14"/>
                <w:szCs w:val="14"/>
              </w:rPr>
              <w:t>9 389 254</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b/>
                <w:bCs/>
                <w:color w:val="000000"/>
                <w:sz w:val="14"/>
                <w:szCs w:val="14"/>
              </w:rPr>
            </w:pPr>
            <w:r w:rsidRPr="00C4796D">
              <w:rPr>
                <w:rFonts w:ascii="Times New Roman" w:hAnsi="Times New Roman" w:cs="Times New Roman"/>
                <w:b/>
                <w:bCs/>
                <w:color w:val="000000"/>
                <w:sz w:val="14"/>
                <w:szCs w:val="14"/>
              </w:rPr>
              <w:t>18 371 224</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13F3" w:rsidRPr="00BC5592" w:rsidRDefault="007D13F3" w:rsidP="00465CAC">
            <w:pPr>
              <w:jc w:val="right"/>
              <w:rPr>
                <w:rFonts w:ascii="Times New Roman" w:hAnsi="Times New Roman" w:cs="Times New Roman"/>
                <w:b/>
                <w:bCs/>
                <w:color w:val="000000"/>
                <w:sz w:val="14"/>
                <w:szCs w:val="14"/>
              </w:rPr>
            </w:pPr>
            <w:r w:rsidRPr="00BC5592">
              <w:rPr>
                <w:rFonts w:ascii="Times New Roman" w:hAnsi="Times New Roman" w:cs="Times New Roman"/>
                <w:b/>
                <w:bCs/>
                <w:color w:val="000000"/>
                <w:sz w:val="14"/>
                <w:szCs w:val="14"/>
              </w:rPr>
              <w:t>18 461 884</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b/>
                <w:bCs/>
                <w:color w:val="000000"/>
                <w:sz w:val="14"/>
                <w:szCs w:val="14"/>
              </w:rPr>
            </w:pPr>
            <w:r w:rsidRPr="00C4796D">
              <w:rPr>
                <w:rFonts w:ascii="Times New Roman" w:hAnsi="Times New Roman" w:cs="Times New Roman"/>
                <w:b/>
                <w:bCs/>
                <w:color w:val="000000"/>
                <w:sz w:val="14"/>
                <w:szCs w:val="14"/>
              </w:rPr>
              <w:t>9 853 805</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b/>
                <w:bCs/>
                <w:color w:val="000000"/>
                <w:sz w:val="14"/>
                <w:szCs w:val="14"/>
              </w:rPr>
            </w:pPr>
            <w:r w:rsidRPr="00C4796D">
              <w:rPr>
                <w:rFonts w:ascii="Times New Roman" w:hAnsi="Times New Roman" w:cs="Times New Roman"/>
                <w:b/>
                <w:bCs/>
                <w:color w:val="000000"/>
                <w:sz w:val="14"/>
                <w:szCs w:val="14"/>
              </w:rPr>
              <w:t>9 853 805</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b/>
                <w:bCs/>
                <w:color w:val="000000"/>
                <w:sz w:val="14"/>
                <w:szCs w:val="14"/>
              </w:rPr>
            </w:pPr>
            <w:r w:rsidRPr="00C4796D">
              <w:rPr>
                <w:rFonts w:ascii="Times New Roman" w:hAnsi="Times New Roman" w:cs="Times New Roman"/>
                <w:b/>
                <w:bCs/>
                <w:color w:val="000000"/>
                <w:sz w:val="14"/>
                <w:szCs w:val="14"/>
              </w:rPr>
              <w:t>9 853 805</w:t>
            </w:r>
          </w:p>
        </w:tc>
      </w:tr>
      <w:tr w:rsidR="007D13F3" w:rsidRPr="00BB5E1C" w:rsidTr="00465CAC">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7D13F3" w:rsidRPr="00BB5E1C" w:rsidRDefault="007D13F3" w:rsidP="00465CAC">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v tom: bežné výdavky  600</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8 888 101</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8 441 901</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9 633 224</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13F3" w:rsidRPr="00BC5592" w:rsidRDefault="007D13F3" w:rsidP="00465CAC">
            <w:pPr>
              <w:jc w:val="right"/>
              <w:rPr>
                <w:rFonts w:ascii="Times New Roman" w:hAnsi="Times New Roman" w:cs="Times New Roman"/>
                <w:color w:val="000000"/>
                <w:sz w:val="14"/>
                <w:szCs w:val="14"/>
              </w:rPr>
            </w:pPr>
            <w:r w:rsidRPr="00BC5592">
              <w:rPr>
                <w:rFonts w:ascii="Times New Roman" w:hAnsi="Times New Roman" w:cs="Times New Roman"/>
                <w:color w:val="000000"/>
                <w:sz w:val="14"/>
                <w:szCs w:val="14"/>
              </w:rPr>
              <w:t>9 723 884</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9 605 549</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9 853 805</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9 853 805</w:t>
            </w:r>
          </w:p>
        </w:tc>
      </w:tr>
      <w:tr w:rsidR="007D13F3" w:rsidRPr="00BB5E1C" w:rsidTr="00465CAC">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7D13F3" w:rsidRPr="00BB5E1C" w:rsidRDefault="007D13F3" w:rsidP="00465CAC">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610 mzdy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1 486 768</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1 546 301</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1 556 000</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13F3" w:rsidRPr="00BC5592" w:rsidRDefault="007D13F3" w:rsidP="00465CAC">
            <w:pPr>
              <w:jc w:val="right"/>
              <w:rPr>
                <w:rFonts w:ascii="Times New Roman" w:hAnsi="Times New Roman" w:cs="Times New Roman"/>
                <w:color w:val="000000"/>
                <w:sz w:val="14"/>
                <w:szCs w:val="14"/>
              </w:rPr>
            </w:pPr>
            <w:r w:rsidRPr="00BC5592">
              <w:rPr>
                <w:rFonts w:ascii="Times New Roman" w:hAnsi="Times New Roman" w:cs="Times New Roman"/>
                <w:color w:val="000000"/>
                <w:sz w:val="14"/>
                <w:szCs w:val="14"/>
              </w:rPr>
              <w:t>1 623 335</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1 617 346</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1 617 346</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1 617 346</w:t>
            </w:r>
          </w:p>
        </w:tc>
      </w:tr>
      <w:tr w:rsidR="007D13F3" w:rsidRPr="00BB5E1C" w:rsidTr="00465CAC">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7D13F3" w:rsidRPr="00BB5E1C" w:rsidRDefault="007D13F3" w:rsidP="00465CAC">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620 odvody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593 221</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603 899</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579 622</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13F3" w:rsidRPr="00BC5592" w:rsidRDefault="007D13F3" w:rsidP="00465CAC">
            <w:pPr>
              <w:jc w:val="right"/>
              <w:rPr>
                <w:rFonts w:ascii="Times New Roman" w:hAnsi="Times New Roman" w:cs="Times New Roman"/>
                <w:color w:val="000000"/>
                <w:sz w:val="14"/>
                <w:szCs w:val="14"/>
              </w:rPr>
            </w:pPr>
            <w:r w:rsidRPr="00BC5592">
              <w:rPr>
                <w:rFonts w:ascii="Times New Roman" w:hAnsi="Times New Roman" w:cs="Times New Roman"/>
                <w:color w:val="000000"/>
                <w:sz w:val="14"/>
                <w:szCs w:val="14"/>
              </w:rPr>
              <w:t>602 147</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598 418</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598 418</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598 418</w:t>
            </w:r>
          </w:p>
        </w:tc>
      </w:tr>
      <w:tr w:rsidR="007D13F3" w:rsidRPr="00BB5E1C" w:rsidTr="00465CAC">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7D13F3" w:rsidRPr="00BB5E1C" w:rsidRDefault="007D13F3" w:rsidP="00465CAC">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630 tovary a služby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6 788 244</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6 248 700</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7 467 883</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13F3" w:rsidRPr="00BC5592" w:rsidRDefault="007D13F3" w:rsidP="00465CAC">
            <w:pPr>
              <w:jc w:val="right"/>
              <w:rPr>
                <w:rFonts w:ascii="Times New Roman" w:hAnsi="Times New Roman" w:cs="Times New Roman"/>
                <w:color w:val="000000"/>
                <w:sz w:val="14"/>
                <w:szCs w:val="14"/>
              </w:rPr>
            </w:pPr>
            <w:r w:rsidRPr="00BC5592">
              <w:rPr>
                <w:rFonts w:ascii="Times New Roman" w:hAnsi="Times New Roman" w:cs="Times New Roman"/>
                <w:color w:val="000000"/>
                <w:sz w:val="14"/>
                <w:szCs w:val="14"/>
              </w:rPr>
              <w:t>7 456 003</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7 370 735</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7 618 991</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7 618 991</w:t>
            </w:r>
          </w:p>
        </w:tc>
      </w:tr>
      <w:tr w:rsidR="007D13F3" w:rsidRPr="00BB5E1C" w:rsidTr="00465CAC">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7D13F3" w:rsidRPr="00BB5E1C" w:rsidRDefault="007D13F3" w:rsidP="00465CAC">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640 bežné transfery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19 869</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43 001</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29 719</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13F3" w:rsidRPr="00BC5592" w:rsidRDefault="007D13F3" w:rsidP="00465CAC">
            <w:pPr>
              <w:jc w:val="right"/>
              <w:rPr>
                <w:rFonts w:ascii="Times New Roman" w:hAnsi="Times New Roman" w:cs="Times New Roman"/>
                <w:color w:val="000000"/>
                <w:sz w:val="14"/>
                <w:szCs w:val="14"/>
              </w:rPr>
            </w:pPr>
            <w:r w:rsidRPr="00BC5592">
              <w:rPr>
                <w:rFonts w:ascii="Times New Roman" w:hAnsi="Times New Roman" w:cs="Times New Roman"/>
                <w:color w:val="000000"/>
                <w:sz w:val="14"/>
                <w:szCs w:val="14"/>
              </w:rPr>
              <w:t>42 399</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19 050</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19 050</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19 050</w:t>
            </w:r>
          </w:p>
        </w:tc>
      </w:tr>
      <w:tr w:rsidR="007D13F3" w:rsidRPr="00BB5E1C" w:rsidTr="00465CAC">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7D13F3" w:rsidRPr="00BB5E1C" w:rsidRDefault="007D13F3" w:rsidP="00465CAC">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kapitálové výdavky 700</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780 873</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947 353</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8 738 000</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13F3" w:rsidRPr="00BC5592" w:rsidRDefault="007D13F3" w:rsidP="00465CAC">
            <w:pPr>
              <w:jc w:val="right"/>
              <w:rPr>
                <w:rFonts w:ascii="Times New Roman" w:hAnsi="Times New Roman" w:cs="Times New Roman"/>
                <w:color w:val="000000"/>
                <w:sz w:val="14"/>
                <w:szCs w:val="14"/>
              </w:rPr>
            </w:pPr>
            <w:r w:rsidRPr="00BC5592">
              <w:rPr>
                <w:rFonts w:ascii="Times New Roman" w:hAnsi="Times New Roman" w:cs="Times New Roman"/>
                <w:color w:val="000000"/>
                <w:sz w:val="14"/>
                <w:szCs w:val="14"/>
              </w:rPr>
              <w:t>8 738 000</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248 256</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0</w:t>
            </w:r>
          </w:p>
        </w:tc>
        <w:tc>
          <w:tcPr>
            <w:tcW w:w="972" w:type="dxa"/>
            <w:tcBorders>
              <w:top w:val="nil"/>
              <w:left w:val="nil"/>
              <w:bottom w:val="single" w:sz="4" w:space="0" w:color="auto"/>
              <w:right w:val="single" w:sz="4" w:space="0" w:color="auto"/>
            </w:tcBorders>
            <w:shd w:val="clear" w:color="auto" w:fill="auto"/>
            <w:noWrap/>
            <w:vAlign w:val="bottom"/>
            <w:hideMark/>
          </w:tcPr>
          <w:p w:rsidR="007D13F3" w:rsidRPr="00C4796D" w:rsidRDefault="007D13F3" w:rsidP="00465CAC">
            <w:pPr>
              <w:jc w:val="right"/>
              <w:rPr>
                <w:rFonts w:ascii="Times New Roman" w:hAnsi="Times New Roman" w:cs="Times New Roman"/>
                <w:color w:val="000000"/>
                <w:sz w:val="14"/>
                <w:szCs w:val="14"/>
              </w:rPr>
            </w:pPr>
            <w:r w:rsidRPr="00C4796D">
              <w:rPr>
                <w:rFonts w:ascii="Times New Roman" w:hAnsi="Times New Roman" w:cs="Times New Roman"/>
                <w:color w:val="000000"/>
                <w:sz w:val="14"/>
                <w:szCs w:val="14"/>
              </w:rPr>
              <w:t>0</w:t>
            </w:r>
          </w:p>
        </w:tc>
      </w:tr>
      <w:tr w:rsidR="007D13F3" w:rsidRPr="00BB5E1C" w:rsidTr="00465CAC">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7D13F3" w:rsidRPr="00BB5E1C" w:rsidRDefault="007D13F3" w:rsidP="00465CAC">
            <w:pP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presun z minulých rokov</w:t>
            </w:r>
            <w:r>
              <w:rPr>
                <w:rFonts w:ascii="Times New Roman" w:hAnsi="Times New Roman" w:cs="Times New Roman"/>
                <w:b/>
                <w:bCs/>
                <w:color w:val="000000"/>
                <w:sz w:val="14"/>
                <w:szCs w:val="14"/>
                <w:lang w:eastAsia="sk-SK"/>
              </w:rPr>
              <w:t xml:space="preserve"> § 8</w:t>
            </w:r>
          </w:p>
        </w:tc>
        <w:tc>
          <w:tcPr>
            <w:tcW w:w="972" w:type="dxa"/>
            <w:tcBorders>
              <w:top w:val="nil"/>
              <w:left w:val="single" w:sz="4" w:space="0" w:color="auto"/>
              <w:bottom w:val="single" w:sz="4" w:space="0" w:color="auto"/>
              <w:right w:val="single" w:sz="4" w:space="0" w:color="auto"/>
            </w:tcBorders>
            <w:shd w:val="clear" w:color="auto" w:fill="auto"/>
            <w:vAlign w:val="bottom"/>
            <w:hideMark/>
          </w:tcPr>
          <w:p w:rsidR="007D13F3" w:rsidRPr="00C4796D" w:rsidRDefault="007D13F3" w:rsidP="00465CAC">
            <w:pPr>
              <w:jc w:val="right"/>
              <w:rPr>
                <w:rFonts w:ascii="Times New Roman" w:hAnsi="Times New Roman" w:cs="Times New Roman"/>
                <w:b/>
                <w:bCs/>
                <w:color w:val="000000"/>
                <w:sz w:val="14"/>
                <w:szCs w:val="14"/>
              </w:rPr>
            </w:pPr>
            <w:r w:rsidRPr="00C4796D">
              <w:rPr>
                <w:rFonts w:ascii="Times New Roman" w:hAnsi="Times New Roman" w:cs="Times New Roman"/>
                <w:b/>
                <w:bCs/>
                <w:color w:val="000000"/>
                <w:sz w:val="14"/>
                <w:szCs w:val="14"/>
              </w:rPr>
              <w:t>3 490 771</w:t>
            </w:r>
          </w:p>
        </w:tc>
        <w:tc>
          <w:tcPr>
            <w:tcW w:w="972" w:type="dxa"/>
            <w:tcBorders>
              <w:top w:val="nil"/>
              <w:left w:val="nil"/>
              <w:bottom w:val="single" w:sz="4" w:space="0" w:color="auto"/>
              <w:right w:val="single" w:sz="4" w:space="0" w:color="auto"/>
            </w:tcBorders>
            <w:shd w:val="clear" w:color="auto" w:fill="auto"/>
            <w:vAlign w:val="bottom"/>
            <w:hideMark/>
          </w:tcPr>
          <w:p w:rsidR="007D13F3" w:rsidRPr="00C4796D" w:rsidRDefault="007D13F3" w:rsidP="00465CAC">
            <w:pPr>
              <w:jc w:val="right"/>
              <w:rPr>
                <w:rFonts w:ascii="Times New Roman" w:hAnsi="Times New Roman" w:cs="Times New Roman"/>
                <w:b/>
                <w:bCs/>
                <w:color w:val="000000"/>
                <w:sz w:val="14"/>
                <w:szCs w:val="14"/>
              </w:rPr>
            </w:pPr>
            <w:r w:rsidRPr="00C4796D">
              <w:rPr>
                <w:rFonts w:ascii="Times New Roman" w:hAnsi="Times New Roman" w:cs="Times New Roman"/>
                <w:b/>
                <w:bCs/>
                <w:color w:val="000000"/>
                <w:sz w:val="14"/>
                <w:szCs w:val="14"/>
              </w:rPr>
              <w:t>1 289 395</w:t>
            </w:r>
          </w:p>
        </w:tc>
        <w:tc>
          <w:tcPr>
            <w:tcW w:w="972" w:type="dxa"/>
            <w:tcBorders>
              <w:top w:val="nil"/>
              <w:left w:val="nil"/>
              <w:bottom w:val="single" w:sz="4" w:space="0" w:color="auto"/>
              <w:right w:val="single" w:sz="4" w:space="0" w:color="auto"/>
            </w:tcBorders>
            <w:shd w:val="clear" w:color="auto" w:fill="auto"/>
            <w:vAlign w:val="bottom"/>
            <w:hideMark/>
          </w:tcPr>
          <w:p w:rsidR="007D13F3" w:rsidRPr="00C4796D" w:rsidRDefault="007D13F3" w:rsidP="00465CAC">
            <w:pPr>
              <w:jc w:val="right"/>
              <w:rPr>
                <w:rFonts w:ascii="Times New Roman" w:hAnsi="Times New Roman" w:cs="Times New Roman"/>
                <w:b/>
                <w:bCs/>
                <w:color w:val="000000"/>
                <w:sz w:val="14"/>
                <w:szCs w:val="14"/>
              </w:rPr>
            </w:pPr>
            <w:r w:rsidRPr="00C4796D">
              <w:rPr>
                <w:rFonts w:ascii="Times New Roman" w:hAnsi="Times New Roman" w:cs="Times New Roman"/>
                <w:b/>
                <w:bCs/>
                <w:color w:val="000000"/>
                <w:sz w:val="14"/>
                <w:szCs w:val="14"/>
              </w:rPr>
              <w:t>0</w:t>
            </w:r>
          </w:p>
        </w:tc>
        <w:tc>
          <w:tcPr>
            <w:tcW w:w="972" w:type="dxa"/>
            <w:tcBorders>
              <w:top w:val="nil"/>
              <w:left w:val="single" w:sz="4" w:space="0" w:color="auto"/>
              <w:bottom w:val="single" w:sz="4" w:space="0" w:color="auto"/>
              <w:right w:val="single" w:sz="4" w:space="0" w:color="auto"/>
            </w:tcBorders>
            <w:shd w:val="clear" w:color="auto" w:fill="auto"/>
            <w:vAlign w:val="bottom"/>
            <w:hideMark/>
          </w:tcPr>
          <w:p w:rsidR="007D13F3" w:rsidRPr="00BC5592" w:rsidRDefault="007D13F3" w:rsidP="00465CAC">
            <w:pPr>
              <w:jc w:val="right"/>
              <w:rPr>
                <w:rFonts w:ascii="Times New Roman" w:hAnsi="Times New Roman" w:cs="Times New Roman"/>
                <w:b/>
                <w:bCs/>
                <w:color w:val="000000"/>
                <w:sz w:val="14"/>
                <w:szCs w:val="14"/>
              </w:rPr>
            </w:pPr>
            <w:r w:rsidRPr="00BC5592">
              <w:rPr>
                <w:rFonts w:ascii="Times New Roman" w:hAnsi="Times New Roman" w:cs="Times New Roman"/>
                <w:b/>
                <w:bCs/>
                <w:color w:val="000000"/>
                <w:sz w:val="14"/>
                <w:szCs w:val="14"/>
              </w:rPr>
              <w:t>0</w:t>
            </w:r>
          </w:p>
        </w:tc>
        <w:tc>
          <w:tcPr>
            <w:tcW w:w="972" w:type="dxa"/>
            <w:tcBorders>
              <w:top w:val="nil"/>
              <w:left w:val="nil"/>
              <w:bottom w:val="single" w:sz="4" w:space="0" w:color="auto"/>
              <w:right w:val="single" w:sz="4" w:space="0" w:color="auto"/>
            </w:tcBorders>
            <w:shd w:val="clear" w:color="auto" w:fill="auto"/>
            <w:vAlign w:val="bottom"/>
            <w:hideMark/>
          </w:tcPr>
          <w:p w:rsidR="007D13F3" w:rsidRPr="00C4796D" w:rsidRDefault="007D13F3" w:rsidP="00465CAC">
            <w:pPr>
              <w:jc w:val="right"/>
              <w:rPr>
                <w:rFonts w:ascii="Times New Roman" w:hAnsi="Times New Roman" w:cs="Times New Roman"/>
                <w:b/>
                <w:bCs/>
                <w:color w:val="000000"/>
                <w:sz w:val="14"/>
                <w:szCs w:val="14"/>
              </w:rPr>
            </w:pPr>
            <w:r w:rsidRPr="00C4796D">
              <w:rPr>
                <w:rFonts w:ascii="Times New Roman" w:hAnsi="Times New Roman" w:cs="Times New Roman"/>
                <w:b/>
                <w:bCs/>
                <w:color w:val="000000"/>
                <w:sz w:val="14"/>
                <w:szCs w:val="14"/>
              </w:rPr>
              <w:t>0</w:t>
            </w:r>
          </w:p>
        </w:tc>
        <w:tc>
          <w:tcPr>
            <w:tcW w:w="972" w:type="dxa"/>
            <w:tcBorders>
              <w:top w:val="nil"/>
              <w:left w:val="nil"/>
              <w:bottom w:val="single" w:sz="4" w:space="0" w:color="auto"/>
              <w:right w:val="single" w:sz="4" w:space="0" w:color="auto"/>
            </w:tcBorders>
            <w:shd w:val="clear" w:color="auto" w:fill="auto"/>
            <w:vAlign w:val="bottom"/>
            <w:hideMark/>
          </w:tcPr>
          <w:p w:rsidR="007D13F3" w:rsidRPr="00C4796D" w:rsidRDefault="007D13F3" w:rsidP="00465CAC">
            <w:pPr>
              <w:jc w:val="right"/>
              <w:rPr>
                <w:rFonts w:ascii="Times New Roman" w:hAnsi="Times New Roman" w:cs="Times New Roman"/>
                <w:b/>
                <w:bCs/>
                <w:color w:val="000000"/>
                <w:sz w:val="14"/>
                <w:szCs w:val="14"/>
              </w:rPr>
            </w:pPr>
            <w:r w:rsidRPr="00C4796D">
              <w:rPr>
                <w:rFonts w:ascii="Times New Roman" w:hAnsi="Times New Roman" w:cs="Times New Roman"/>
                <w:b/>
                <w:bCs/>
                <w:color w:val="000000"/>
                <w:sz w:val="14"/>
                <w:szCs w:val="14"/>
              </w:rPr>
              <w:t>0</w:t>
            </w:r>
          </w:p>
        </w:tc>
        <w:tc>
          <w:tcPr>
            <w:tcW w:w="972" w:type="dxa"/>
            <w:tcBorders>
              <w:top w:val="nil"/>
              <w:left w:val="nil"/>
              <w:bottom w:val="single" w:sz="4" w:space="0" w:color="auto"/>
              <w:right w:val="single" w:sz="4" w:space="0" w:color="auto"/>
            </w:tcBorders>
            <w:shd w:val="clear" w:color="auto" w:fill="auto"/>
            <w:vAlign w:val="bottom"/>
            <w:hideMark/>
          </w:tcPr>
          <w:p w:rsidR="007D13F3" w:rsidRPr="00C4796D" w:rsidRDefault="007D13F3" w:rsidP="00465CAC">
            <w:pPr>
              <w:jc w:val="right"/>
              <w:rPr>
                <w:rFonts w:ascii="Times New Roman" w:hAnsi="Times New Roman" w:cs="Times New Roman"/>
                <w:b/>
                <w:bCs/>
                <w:color w:val="000000"/>
                <w:sz w:val="14"/>
                <w:szCs w:val="14"/>
              </w:rPr>
            </w:pPr>
            <w:r w:rsidRPr="00C4796D">
              <w:rPr>
                <w:rFonts w:ascii="Times New Roman" w:hAnsi="Times New Roman" w:cs="Times New Roman"/>
                <w:b/>
                <w:bCs/>
                <w:color w:val="000000"/>
                <w:sz w:val="14"/>
                <w:szCs w:val="14"/>
              </w:rPr>
              <w:t>0</w:t>
            </w:r>
          </w:p>
        </w:tc>
      </w:tr>
    </w:tbl>
    <w:p w:rsidR="007D13F3" w:rsidRDefault="007D13F3" w:rsidP="007D13F3">
      <w:pPr>
        <w:jc w:val="both"/>
        <w:rPr>
          <w:rFonts w:ascii="Times New Roman" w:hAnsi="Times New Roman" w:cs="Times New Roman"/>
          <w:highlight w:val="yellow"/>
          <w:lang w:eastAsia="sk-SK"/>
        </w:rPr>
      </w:pPr>
    </w:p>
    <w:tbl>
      <w:tblPr>
        <w:tblW w:w="9067" w:type="dxa"/>
        <w:tblCellMar>
          <w:left w:w="70" w:type="dxa"/>
          <w:right w:w="70" w:type="dxa"/>
        </w:tblCellMar>
        <w:tblLook w:val="04A0" w:firstRow="1" w:lastRow="0" w:firstColumn="1" w:lastColumn="0" w:noHBand="0" w:noVBand="1"/>
      </w:tblPr>
      <w:tblGrid>
        <w:gridCol w:w="2263"/>
        <w:gridCol w:w="972"/>
        <w:gridCol w:w="972"/>
        <w:gridCol w:w="972"/>
        <w:gridCol w:w="972"/>
        <w:gridCol w:w="972"/>
        <w:gridCol w:w="972"/>
        <w:gridCol w:w="972"/>
      </w:tblGrid>
      <w:tr w:rsidR="007D13F3" w:rsidRPr="000F5CC7" w:rsidTr="00465CAC">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3F3" w:rsidRPr="000F5CC7" w:rsidRDefault="007D13F3" w:rsidP="00465CAC">
            <w:pPr>
              <w:rPr>
                <w:rFonts w:ascii="Times New Roman" w:hAnsi="Times New Roman" w:cs="Times New Roman"/>
                <w:b/>
                <w:bCs/>
                <w:color w:val="000000"/>
                <w:sz w:val="14"/>
                <w:szCs w:val="14"/>
                <w:lang w:eastAsia="sk-SK"/>
              </w:rPr>
            </w:pPr>
            <w:r w:rsidRPr="000F5CC7">
              <w:rPr>
                <w:rFonts w:ascii="Times New Roman" w:hAnsi="Times New Roman" w:cs="Times New Roman"/>
                <w:b/>
                <w:bCs/>
                <w:color w:val="000000"/>
                <w:sz w:val="14"/>
                <w:szCs w:val="14"/>
                <w:lang w:eastAsia="sk-SK"/>
              </w:rPr>
              <w:t>Samostatné účty</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7D13F3" w:rsidRPr="000F5CC7" w:rsidRDefault="007D13F3" w:rsidP="00465CAC">
            <w:pPr>
              <w:jc w:val="right"/>
              <w:rPr>
                <w:rFonts w:ascii="Times New Roman" w:hAnsi="Times New Roman" w:cs="Times New Roman"/>
                <w:b/>
                <w:bCs/>
                <w:color w:val="000000"/>
                <w:sz w:val="14"/>
                <w:szCs w:val="14"/>
                <w:lang w:eastAsia="sk-SK"/>
              </w:rPr>
            </w:pPr>
            <w:r w:rsidRPr="000F5CC7">
              <w:rPr>
                <w:rFonts w:ascii="Times New Roman" w:hAnsi="Times New Roman" w:cs="Times New Roman"/>
                <w:b/>
                <w:bCs/>
                <w:color w:val="000000"/>
                <w:sz w:val="14"/>
                <w:szCs w:val="14"/>
                <w:lang w:eastAsia="sk-SK"/>
              </w:rPr>
              <w:t>17 058 981</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7D13F3" w:rsidRPr="000F5CC7" w:rsidRDefault="007D13F3" w:rsidP="00465CAC">
            <w:pPr>
              <w:jc w:val="right"/>
              <w:rPr>
                <w:rFonts w:ascii="Times New Roman" w:hAnsi="Times New Roman" w:cs="Times New Roman"/>
                <w:b/>
                <w:bCs/>
                <w:color w:val="000000"/>
                <w:sz w:val="14"/>
                <w:szCs w:val="14"/>
                <w:lang w:eastAsia="sk-SK"/>
              </w:rPr>
            </w:pPr>
            <w:r w:rsidRPr="000F5CC7">
              <w:rPr>
                <w:rFonts w:ascii="Times New Roman" w:hAnsi="Times New Roman" w:cs="Times New Roman"/>
                <w:b/>
                <w:bCs/>
                <w:color w:val="000000"/>
                <w:sz w:val="14"/>
                <w:szCs w:val="14"/>
                <w:lang w:eastAsia="sk-SK"/>
              </w:rPr>
              <w:t>3 712 129</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7D13F3" w:rsidRPr="000F5CC7" w:rsidRDefault="007D13F3" w:rsidP="00465CAC">
            <w:pPr>
              <w:jc w:val="right"/>
              <w:rPr>
                <w:rFonts w:ascii="Times New Roman" w:hAnsi="Times New Roman" w:cs="Times New Roman"/>
                <w:b/>
                <w:bCs/>
                <w:color w:val="000000"/>
                <w:sz w:val="14"/>
                <w:szCs w:val="14"/>
                <w:lang w:eastAsia="sk-SK"/>
              </w:rPr>
            </w:pPr>
            <w:r w:rsidRPr="000F5CC7">
              <w:rPr>
                <w:rFonts w:ascii="Times New Roman" w:hAnsi="Times New Roman" w:cs="Times New Roman"/>
                <w:b/>
                <w:bCs/>
                <w:color w:val="000000"/>
                <w:sz w:val="14"/>
                <w:szCs w:val="14"/>
                <w:lang w:eastAsia="sk-SK"/>
              </w:rPr>
              <w:t>10 523 736</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7D13F3" w:rsidRPr="000F5CC7" w:rsidRDefault="007D13F3" w:rsidP="00465CAC">
            <w:pPr>
              <w:jc w:val="right"/>
              <w:rPr>
                <w:rFonts w:ascii="Times New Roman" w:hAnsi="Times New Roman" w:cs="Times New Roman"/>
                <w:b/>
                <w:bCs/>
                <w:color w:val="000000"/>
                <w:sz w:val="14"/>
                <w:szCs w:val="14"/>
                <w:lang w:eastAsia="sk-SK"/>
              </w:rPr>
            </w:pPr>
            <w:r w:rsidRPr="000F5CC7">
              <w:rPr>
                <w:rFonts w:ascii="Times New Roman" w:hAnsi="Times New Roman" w:cs="Times New Roman"/>
                <w:b/>
                <w:bCs/>
                <w:color w:val="000000"/>
                <w:sz w:val="14"/>
                <w:szCs w:val="14"/>
                <w:lang w:eastAsia="sk-SK"/>
              </w:rPr>
              <w:t>9 774 297</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7D13F3" w:rsidRPr="000F5CC7" w:rsidRDefault="007D13F3" w:rsidP="00465CAC">
            <w:pPr>
              <w:jc w:val="right"/>
              <w:rPr>
                <w:rFonts w:ascii="Times New Roman" w:hAnsi="Times New Roman" w:cs="Times New Roman"/>
                <w:b/>
                <w:bCs/>
                <w:color w:val="000000"/>
                <w:sz w:val="14"/>
                <w:szCs w:val="14"/>
                <w:lang w:eastAsia="sk-SK"/>
              </w:rPr>
            </w:pPr>
            <w:r w:rsidRPr="000F5CC7">
              <w:rPr>
                <w:rFonts w:ascii="Times New Roman" w:hAnsi="Times New Roman" w:cs="Times New Roman"/>
                <w:b/>
                <w:bCs/>
                <w:color w:val="000000"/>
                <w:sz w:val="14"/>
                <w:szCs w:val="14"/>
                <w:lang w:eastAsia="sk-SK"/>
              </w:rPr>
              <w:t>12 263 000</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7D13F3" w:rsidRPr="000F5CC7" w:rsidRDefault="007D13F3" w:rsidP="00465CAC">
            <w:pPr>
              <w:jc w:val="right"/>
              <w:rPr>
                <w:rFonts w:ascii="Times New Roman" w:hAnsi="Times New Roman" w:cs="Times New Roman"/>
                <w:b/>
                <w:bCs/>
                <w:color w:val="000000"/>
                <w:sz w:val="14"/>
                <w:szCs w:val="14"/>
                <w:lang w:eastAsia="sk-SK"/>
              </w:rPr>
            </w:pPr>
            <w:r w:rsidRPr="000F5CC7">
              <w:rPr>
                <w:rFonts w:ascii="Times New Roman" w:hAnsi="Times New Roman" w:cs="Times New Roman"/>
                <w:b/>
                <w:bCs/>
                <w:color w:val="000000"/>
                <w:sz w:val="14"/>
                <w:szCs w:val="14"/>
                <w:lang w:eastAsia="sk-SK"/>
              </w:rPr>
              <w:t>11 906 282</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7D13F3" w:rsidRPr="000F5CC7" w:rsidRDefault="007D13F3" w:rsidP="00465CAC">
            <w:pPr>
              <w:jc w:val="right"/>
              <w:rPr>
                <w:rFonts w:ascii="Times New Roman" w:hAnsi="Times New Roman" w:cs="Times New Roman"/>
                <w:b/>
                <w:bCs/>
                <w:color w:val="000000"/>
                <w:sz w:val="14"/>
                <w:szCs w:val="14"/>
                <w:lang w:eastAsia="sk-SK"/>
              </w:rPr>
            </w:pPr>
            <w:r w:rsidRPr="000F5CC7">
              <w:rPr>
                <w:rFonts w:ascii="Times New Roman" w:hAnsi="Times New Roman" w:cs="Times New Roman"/>
                <w:b/>
                <w:bCs/>
                <w:color w:val="000000"/>
                <w:sz w:val="14"/>
                <w:szCs w:val="14"/>
                <w:lang w:eastAsia="sk-SK"/>
              </w:rPr>
              <w:t>13 036 200</w:t>
            </w:r>
          </w:p>
        </w:tc>
      </w:tr>
    </w:tbl>
    <w:p w:rsidR="007D13F3" w:rsidRPr="008B2ACC" w:rsidRDefault="007D13F3" w:rsidP="007D13F3">
      <w:pPr>
        <w:jc w:val="both"/>
        <w:rPr>
          <w:rFonts w:ascii="Times New Roman" w:hAnsi="Times New Roman" w:cs="Times New Roman"/>
          <w:highlight w:val="yellow"/>
          <w:lang w:eastAsia="sk-SK"/>
        </w:rPr>
      </w:pPr>
    </w:p>
    <w:p w:rsidR="007D13F3" w:rsidRPr="008B2ACC" w:rsidRDefault="007D13F3" w:rsidP="007D13F3">
      <w:pPr>
        <w:ind w:firstLine="708"/>
        <w:jc w:val="both"/>
        <w:rPr>
          <w:rFonts w:ascii="Times New Roman" w:hAnsi="Times New Roman" w:cs="Times New Roman"/>
        </w:rPr>
      </w:pPr>
      <w:r>
        <w:rPr>
          <w:rFonts w:ascii="Times New Roman" w:hAnsi="Times New Roman" w:cs="Times New Roman"/>
        </w:rPr>
        <w:t>Celkové výdavky na rok 2018</w:t>
      </w:r>
      <w:r w:rsidRPr="008B2ACC">
        <w:rPr>
          <w:rFonts w:ascii="Times New Roman" w:hAnsi="Times New Roman" w:cs="Times New Roman"/>
        </w:rPr>
        <w:t xml:space="preserve"> sa rozpočtujú v sume </w:t>
      </w:r>
      <w:r>
        <w:rPr>
          <w:rFonts w:ascii="Times New Roman" w:hAnsi="Times New Roman" w:cs="Times New Roman"/>
        </w:rPr>
        <w:t>9,85</w:t>
      </w:r>
      <w:r w:rsidRPr="008B2ACC">
        <w:rPr>
          <w:rFonts w:ascii="Times New Roman" w:hAnsi="Times New Roman" w:cs="Times New Roman"/>
        </w:rPr>
        <w:t xml:space="preserve"> mil. eur, čo predstavuje oproti </w:t>
      </w:r>
      <w:r>
        <w:rPr>
          <w:rFonts w:ascii="Times New Roman" w:hAnsi="Times New Roman" w:cs="Times New Roman"/>
        </w:rPr>
        <w:t>schválenému rozpočtu na rok 2017</w:t>
      </w:r>
      <w:r w:rsidRPr="008B2ACC">
        <w:rPr>
          <w:rFonts w:ascii="Times New Roman" w:hAnsi="Times New Roman" w:cs="Times New Roman"/>
        </w:rPr>
        <w:t xml:space="preserve"> </w:t>
      </w:r>
      <w:r>
        <w:rPr>
          <w:rFonts w:ascii="Times New Roman" w:hAnsi="Times New Roman" w:cs="Times New Roman"/>
        </w:rPr>
        <w:t>pokles</w:t>
      </w:r>
      <w:r w:rsidRPr="008B2ACC">
        <w:rPr>
          <w:rFonts w:ascii="Times New Roman" w:hAnsi="Times New Roman" w:cs="Times New Roman"/>
        </w:rPr>
        <w:t xml:space="preserve"> o</w:t>
      </w:r>
      <w:r>
        <w:rPr>
          <w:rFonts w:ascii="Times New Roman" w:hAnsi="Times New Roman" w:cs="Times New Roman"/>
        </w:rPr>
        <w:t> 8,52 mil. eur, t. j. o 46,4</w:t>
      </w:r>
      <w:r w:rsidRPr="008B2ACC">
        <w:rPr>
          <w:rFonts w:ascii="Times New Roman" w:hAnsi="Times New Roman" w:cs="Times New Roman"/>
        </w:rPr>
        <w:t xml:space="preserve"> %. </w:t>
      </w:r>
    </w:p>
    <w:p w:rsidR="007D13F3" w:rsidRPr="008B2ACC" w:rsidRDefault="007D13F3" w:rsidP="007D13F3">
      <w:pPr>
        <w:jc w:val="both"/>
        <w:rPr>
          <w:rFonts w:ascii="Times New Roman" w:hAnsi="Times New Roman" w:cs="Times New Roman"/>
          <w:highlight w:val="yellow"/>
        </w:rPr>
      </w:pPr>
    </w:p>
    <w:p w:rsidR="007D13F3" w:rsidRDefault="007D13F3" w:rsidP="007D13F3">
      <w:pPr>
        <w:ind w:firstLine="708"/>
        <w:jc w:val="both"/>
        <w:rPr>
          <w:rFonts w:ascii="Times New Roman" w:hAnsi="Times New Roman" w:cs="Times New Roman"/>
        </w:rPr>
      </w:pPr>
      <w:r>
        <w:rPr>
          <w:rFonts w:ascii="Times New Roman" w:hAnsi="Times New Roman" w:cs="Times New Roman"/>
        </w:rPr>
        <w:lastRenderedPageBreak/>
        <w:t>Osobné výdavky na rok 2018 sa rozpočtujú v sume 2,22</w:t>
      </w:r>
      <w:r w:rsidRPr="008B2ACC">
        <w:rPr>
          <w:rFonts w:ascii="Times New Roman" w:hAnsi="Times New Roman" w:cs="Times New Roman"/>
        </w:rPr>
        <w:t xml:space="preserve"> mil. eur, čo predstavuje oproti schváleném</w:t>
      </w:r>
      <w:r>
        <w:rPr>
          <w:rFonts w:ascii="Times New Roman" w:hAnsi="Times New Roman" w:cs="Times New Roman"/>
        </w:rPr>
        <w:t>u rozpočtu roku 2017</w:t>
      </w:r>
      <w:r w:rsidRPr="008B2ACC">
        <w:rPr>
          <w:rFonts w:ascii="Times New Roman" w:hAnsi="Times New Roman" w:cs="Times New Roman"/>
        </w:rPr>
        <w:t xml:space="preserve"> nárast o</w:t>
      </w:r>
      <w:r>
        <w:rPr>
          <w:rFonts w:ascii="Times New Roman" w:hAnsi="Times New Roman" w:cs="Times New Roman"/>
        </w:rPr>
        <w:t> 80,1</w:t>
      </w:r>
      <w:r w:rsidRPr="008B2ACC">
        <w:rPr>
          <w:rFonts w:ascii="Times New Roman" w:hAnsi="Times New Roman" w:cs="Times New Roman"/>
        </w:rPr>
        <w:t xml:space="preserve"> tis. eur, t. j. o</w:t>
      </w:r>
      <w:r>
        <w:rPr>
          <w:rFonts w:ascii="Times New Roman" w:hAnsi="Times New Roman" w:cs="Times New Roman"/>
        </w:rPr>
        <w:t> 3,75</w:t>
      </w:r>
      <w:r w:rsidRPr="008B2ACC">
        <w:rPr>
          <w:rFonts w:ascii="Times New Roman" w:hAnsi="Times New Roman" w:cs="Times New Roman"/>
        </w:rPr>
        <w:t xml:space="preserve"> %. Tento nárast je spôsobený</w:t>
      </w:r>
      <w:r>
        <w:rPr>
          <w:rFonts w:ascii="Times New Roman" w:hAnsi="Times New Roman" w:cs="Times New Roman"/>
        </w:rPr>
        <w:t xml:space="preserve"> </w:t>
      </w:r>
      <w:r w:rsidRPr="008B2ACC">
        <w:rPr>
          <w:rFonts w:ascii="Times New Roman" w:hAnsi="Times New Roman" w:cs="Times New Roman"/>
        </w:rPr>
        <w:t>premietnutí</w:t>
      </w:r>
      <w:r>
        <w:rPr>
          <w:rFonts w:ascii="Times New Roman" w:hAnsi="Times New Roman" w:cs="Times New Roman"/>
        </w:rPr>
        <w:t>m valorizácie platov z roku 2017</w:t>
      </w:r>
      <w:r w:rsidRPr="008B2ACC">
        <w:rPr>
          <w:rFonts w:ascii="Times New Roman" w:hAnsi="Times New Roman" w:cs="Times New Roman"/>
        </w:rPr>
        <w:t xml:space="preserve"> do nasledujúcich rokov</w:t>
      </w:r>
      <w:r>
        <w:rPr>
          <w:rFonts w:ascii="Times New Roman" w:hAnsi="Times New Roman" w:cs="Times New Roman"/>
        </w:rPr>
        <w:t>.</w:t>
      </w:r>
    </w:p>
    <w:p w:rsidR="007D13F3" w:rsidRPr="008B2ACC" w:rsidRDefault="007D13F3" w:rsidP="007D13F3">
      <w:pPr>
        <w:ind w:firstLine="708"/>
        <w:jc w:val="both"/>
        <w:rPr>
          <w:rFonts w:ascii="Times New Roman" w:hAnsi="Times New Roman" w:cs="Times New Roman"/>
        </w:rPr>
      </w:pPr>
      <w:r w:rsidRPr="008B2ACC">
        <w:rPr>
          <w:rFonts w:ascii="Times New Roman" w:hAnsi="Times New Roman" w:cs="Times New Roman"/>
        </w:rPr>
        <w:t xml:space="preserve">  </w:t>
      </w:r>
    </w:p>
    <w:p w:rsidR="007D13F3" w:rsidRDefault="007D13F3" w:rsidP="007D13F3">
      <w:pPr>
        <w:jc w:val="both"/>
        <w:rPr>
          <w:rFonts w:ascii="Times New Roman" w:hAnsi="Times New Roman" w:cs="Times New Roman"/>
        </w:rPr>
      </w:pPr>
      <w:r>
        <w:rPr>
          <w:rFonts w:ascii="Times New Roman" w:hAnsi="Times New Roman" w:cs="Times New Roman"/>
        </w:rPr>
        <w:tab/>
      </w:r>
      <w:r w:rsidRPr="008B2ACC">
        <w:rPr>
          <w:rFonts w:ascii="Times New Roman" w:hAnsi="Times New Roman" w:cs="Times New Roman"/>
        </w:rPr>
        <w:t xml:space="preserve">Tovary a služby </w:t>
      </w:r>
      <w:r>
        <w:rPr>
          <w:rFonts w:ascii="Times New Roman" w:hAnsi="Times New Roman" w:cs="Times New Roman"/>
        </w:rPr>
        <w:t>na rok 2018</w:t>
      </w:r>
      <w:r w:rsidRPr="008B2ACC">
        <w:rPr>
          <w:rFonts w:ascii="Times New Roman" w:hAnsi="Times New Roman" w:cs="Times New Roman"/>
        </w:rPr>
        <w:t xml:space="preserve"> sa rozpočtujú v sume </w:t>
      </w:r>
      <w:r>
        <w:rPr>
          <w:rFonts w:ascii="Times New Roman" w:hAnsi="Times New Roman" w:cs="Times New Roman"/>
        </w:rPr>
        <w:t>7,37</w:t>
      </w:r>
      <w:r w:rsidRPr="008B2ACC">
        <w:rPr>
          <w:rFonts w:ascii="Times New Roman" w:hAnsi="Times New Roman" w:cs="Times New Roman"/>
        </w:rPr>
        <w:t xml:space="preserve"> mil. eur, čo predstavuje oprot</w:t>
      </w:r>
      <w:r>
        <w:rPr>
          <w:rFonts w:ascii="Times New Roman" w:hAnsi="Times New Roman" w:cs="Times New Roman"/>
        </w:rPr>
        <w:t>i schválenému rozpočtu roku 2017</w:t>
      </w:r>
      <w:r w:rsidRPr="008B2ACC">
        <w:rPr>
          <w:rFonts w:ascii="Times New Roman" w:hAnsi="Times New Roman" w:cs="Times New Roman"/>
        </w:rPr>
        <w:t xml:space="preserve"> </w:t>
      </w:r>
      <w:r>
        <w:rPr>
          <w:rFonts w:ascii="Times New Roman" w:hAnsi="Times New Roman" w:cs="Times New Roman"/>
        </w:rPr>
        <w:t>pokles</w:t>
      </w:r>
      <w:r w:rsidRPr="008B2ACC">
        <w:rPr>
          <w:rFonts w:ascii="Times New Roman" w:hAnsi="Times New Roman" w:cs="Times New Roman"/>
        </w:rPr>
        <w:t xml:space="preserve"> o</w:t>
      </w:r>
      <w:r>
        <w:rPr>
          <w:rFonts w:ascii="Times New Roman" w:hAnsi="Times New Roman" w:cs="Times New Roman"/>
        </w:rPr>
        <w:t> 97,1 tis.</w:t>
      </w:r>
      <w:r w:rsidRPr="008B2ACC">
        <w:rPr>
          <w:rFonts w:ascii="Times New Roman" w:hAnsi="Times New Roman" w:cs="Times New Roman"/>
        </w:rPr>
        <w:t xml:space="preserve"> eur, t. j. o</w:t>
      </w:r>
      <w:r>
        <w:rPr>
          <w:rFonts w:ascii="Times New Roman" w:hAnsi="Times New Roman" w:cs="Times New Roman"/>
        </w:rPr>
        <w:t> 1,30 %. Tieto výdavky kapitola presunula do kapitálových výdavkov.</w:t>
      </w:r>
    </w:p>
    <w:p w:rsidR="007D13F3" w:rsidRPr="008B2ACC" w:rsidRDefault="007D13F3" w:rsidP="007D13F3">
      <w:pPr>
        <w:ind w:firstLine="708"/>
        <w:jc w:val="both"/>
        <w:rPr>
          <w:rFonts w:ascii="Times New Roman" w:hAnsi="Times New Roman" w:cs="Times New Roman"/>
        </w:rPr>
      </w:pPr>
    </w:p>
    <w:p w:rsidR="007D13F3" w:rsidRDefault="007D13F3" w:rsidP="007D13F3">
      <w:pPr>
        <w:ind w:firstLine="708"/>
        <w:jc w:val="both"/>
        <w:rPr>
          <w:rFonts w:ascii="Times New Roman" w:hAnsi="Times New Roman" w:cs="Times New Roman"/>
        </w:rPr>
      </w:pPr>
      <w:r>
        <w:rPr>
          <w:rFonts w:ascii="Times New Roman" w:hAnsi="Times New Roman" w:cs="Times New Roman"/>
        </w:rPr>
        <w:t>Bežné transfery na rok 2018</w:t>
      </w:r>
      <w:r w:rsidRPr="008B2ACC">
        <w:rPr>
          <w:rFonts w:ascii="Times New Roman" w:hAnsi="Times New Roman" w:cs="Times New Roman"/>
        </w:rPr>
        <w:t xml:space="preserve"> sa rozpočtujú v sume </w:t>
      </w:r>
      <w:r>
        <w:rPr>
          <w:rFonts w:ascii="Times New Roman" w:hAnsi="Times New Roman" w:cs="Times New Roman"/>
        </w:rPr>
        <w:t>19,1</w:t>
      </w:r>
      <w:r w:rsidRPr="008B2ACC">
        <w:rPr>
          <w:rFonts w:ascii="Times New Roman" w:hAnsi="Times New Roman" w:cs="Times New Roman"/>
        </w:rPr>
        <w:t xml:space="preserve"> tis. eur, čo predstavuje medziročný </w:t>
      </w:r>
      <w:r>
        <w:rPr>
          <w:rFonts w:ascii="Times New Roman" w:hAnsi="Times New Roman" w:cs="Times New Roman"/>
        </w:rPr>
        <w:t>pokles</w:t>
      </w:r>
      <w:r w:rsidRPr="008B2ACC">
        <w:rPr>
          <w:rFonts w:ascii="Times New Roman" w:hAnsi="Times New Roman" w:cs="Times New Roman"/>
        </w:rPr>
        <w:t xml:space="preserve"> o</w:t>
      </w:r>
      <w:r>
        <w:rPr>
          <w:rFonts w:ascii="Times New Roman" w:hAnsi="Times New Roman" w:cs="Times New Roman"/>
        </w:rPr>
        <w:t> 10,7</w:t>
      </w:r>
      <w:r w:rsidRPr="008B2ACC">
        <w:rPr>
          <w:rFonts w:ascii="Times New Roman" w:hAnsi="Times New Roman" w:cs="Times New Roman"/>
        </w:rPr>
        <w:t xml:space="preserve"> tis. eur, t. j. o</w:t>
      </w:r>
      <w:r>
        <w:rPr>
          <w:rFonts w:ascii="Times New Roman" w:hAnsi="Times New Roman" w:cs="Times New Roman"/>
        </w:rPr>
        <w:t> 35,9</w:t>
      </w:r>
      <w:r w:rsidRPr="008B2ACC">
        <w:rPr>
          <w:rFonts w:ascii="Times New Roman" w:hAnsi="Times New Roman" w:cs="Times New Roman"/>
        </w:rPr>
        <w:t xml:space="preserve"> %.</w:t>
      </w:r>
      <w:r>
        <w:rPr>
          <w:rFonts w:ascii="Times New Roman" w:hAnsi="Times New Roman" w:cs="Times New Roman"/>
        </w:rPr>
        <w:t xml:space="preserve"> Tieto výdavky kapitola presunula do kapitálových výdavkov.</w:t>
      </w:r>
    </w:p>
    <w:p w:rsidR="007D13F3" w:rsidRPr="008B2ACC" w:rsidRDefault="007D13F3" w:rsidP="007D13F3">
      <w:pPr>
        <w:ind w:firstLine="708"/>
        <w:jc w:val="both"/>
        <w:rPr>
          <w:rFonts w:ascii="Times New Roman" w:hAnsi="Times New Roman" w:cs="Times New Roman"/>
        </w:rPr>
      </w:pPr>
      <w:r>
        <w:rPr>
          <w:rFonts w:ascii="Times New Roman" w:hAnsi="Times New Roman" w:cs="Times New Roman"/>
        </w:rPr>
        <w:t xml:space="preserve"> </w:t>
      </w:r>
    </w:p>
    <w:p w:rsidR="007D13F3" w:rsidRDefault="007D13F3" w:rsidP="007D13F3">
      <w:pPr>
        <w:ind w:firstLine="708"/>
        <w:jc w:val="both"/>
        <w:rPr>
          <w:rFonts w:ascii="Times New Roman" w:hAnsi="Times New Roman" w:cs="Times New Roman"/>
        </w:rPr>
      </w:pPr>
      <w:r>
        <w:rPr>
          <w:rFonts w:ascii="Times New Roman" w:hAnsi="Times New Roman" w:cs="Times New Roman"/>
        </w:rPr>
        <w:t>Kapitálové výdavky na rok 2018</w:t>
      </w:r>
      <w:r w:rsidRPr="008B2ACC">
        <w:rPr>
          <w:rFonts w:ascii="Times New Roman" w:hAnsi="Times New Roman" w:cs="Times New Roman"/>
        </w:rPr>
        <w:t xml:space="preserve"> sa rozpočtujú v sume </w:t>
      </w:r>
      <w:r>
        <w:rPr>
          <w:rFonts w:ascii="Times New Roman" w:hAnsi="Times New Roman" w:cs="Times New Roman"/>
        </w:rPr>
        <w:t xml:space="preserve">248 tis. eur, </w:t>
      </w:r>
      <w:r w:rsidRPr="00DE3001">
        <w:rPr>
          <w:rFonts w:ascii="Times New Roman" w:hAnsi="Times New Roman" w:cs="Times New Roman"/>
        </w:rPr>
        <w:t>čo predstavuje oproti schválenému rozpočtu roku 2017 pokles o 8,49 mil. eur, t. j. o 97,2 %</w:t>
      </w:r>
      <w:r>
        <w:rPr>
          <w:rFonts w:ascii="Times New Roman" w:hAnsi="Times New Roman" w:cs="Times New Roman"/>
        </w:rPr>
        <w:t xml:space="preserve">. </w:t>
      </w:r>
    </w:p>
    <w:p w:rsidR="007D13F3" w:rsidRDefault="007D13F3" w:rsidP="007D13F3">
      <w:pPr>
        <w:ind w:firstLine="708"/>
        <w:jc w:val="both"/>
        <w:rPr>
          <w:rFonts w:ascii="Times New Roman" w:hAnsi="Times New Roman" w:cs="Times New Roman"/>
        </w:rPr>
      </w:pPr>
    </w:p>
    <w:p w:rsidR="007D13F3" w:rsidRPr="008B2ACC" w:rsidRDefault="007D13F3" w:rsidP="007D13F3">
      <w:pPr>
        <w:ind w:firstLine="708"/>
        <w:jc w:val="both"/>
        <w:rPr>
          <w:rFonts w:ascii="Times New Roman" w:hAnsi="Times New Roman" w:cs="Times New Roman"/>
        </w:rPr>
      </w:pPr>
      <w:r>
        <w:rPr>
          <w:rFonts w:ascii="Times New Roman" w:hAnsi="Times New Roman" w:cs="Times New Roman"/>
        </w:rPr>
        <w:t>Kapitola na rok 2018 rozpočtuje výdavky na samostatnom účte obmien a </w:t>
      </w:r>
      <w:proofErr w:type="spellStart"/>
      <w:r>
        <w:rPr>
          <w:rFonts w:ascii="Times New Roman" w:hAnsi="Times New Roman" w:cs="Times New Roman"/>
        </w:rPr>
        <w:t>zám</w:t>
      </w:r>
      <w:r w:rsidR="00941A11">
        <w:rPr>
          <w:rFonts w:ascii="Times New Roman" w:hAnsi="Times New Roman" w:cs="Times New Roman"/>
        </w:rPr>
        <w:t>i</w:t>
      </w:r>
      <w:r>
        <w:rPr>
          <w:rFonts w:ascii="Times New Roman" w:hAnsi="Times New Roman" w:cs="Times New Roman"/>
        </w:rPr>
        <w:t>en</w:t>
      </w:r>
      <w:proofErr w:type="spellEnd"/>
      <w:r>
        <w:rPr>
          <w:rFonts w:ascii="Times New Roman" w:hAnsi="Times New Roman" w:cs="Times New Roman"/>
        </w:rPr>
        <w:t xml:space="preserve"> v sume 12,3 mil. eur. </w:t>
      </w:r>
      <w:r w:rsidRPr="008B2ACC">
        <w:rPr>
          <w:rFonts w:ascii="Times New Roman" w:hAnsi="Times New Roman" w:cs="Times New Roman"/>
          <w:lang w:eastAsia="sk-SK"/>
        </w:rPr>
        <w:t xml:space="preserve">Prostredníctvom daného účtu sa zabezpečuje hospodárenie, t. j. obchodná činnosť pri nákupe a predaji štátnych hmotných rezerv v rámci obmien, </w:t>
      </w:r>
      <w:proofErr w:type="spellStart"/>
      <w:r w:rsidRPr="008B2ACC">
        <w:rPr>
          <w:rFonts w:ascii="Times New Roman" w:hAnsi="Times New Roman" w:cs="Times New Roman"/>
          <w:lang w:eastAsia="sk-SK"/>
        </w:rPr>
        <w:t>zámien</w:t>
      </w:r>
      <w:proofErr w:type="spellEnd"/>
      <w:r w:rsidRPr="008B2ACC">
        <w:rPr>
          <w:rFonts w:ascii="Times New Roman" w:hAnsi="Times New Roman" w:cs="Times New Roman"/>
          <w:lang w:eastAsia="sk-SK"/>
        </w:rPr>
        <w:t xml:space="preserve"> a pôžičiek. Uvedený účet sa používa tiež na pravidelné mesačné uhrádzanie dane z pridanej hodnoty. </w:t>
      </w:r>
    </w:p>
    <w:p w:rsidR="007D13F3" w:rsidRPr="008B2ACC" w:rsidRDefault="007D13F3" w:rsidP="007D13F3">
      <w:pPr>
        <w:ind w:firstLine="708"/>
        <w:jc w:val="both"/>
        <w:rPr>
          <w:rFonts w:ascii="Times New Roman" w:hAnsi="Times New Roman" w:cs="Times New Roman"/>
          <w:lang w:eastAsia="sk-SK"/>
        </w:rPr>
      </w:pPr>
    </w:p>
    <w:p w:rsidR="007D13F3" w:rsidRPr="00D17462" w:rsidRDefault="007D13F3" w:rsidP="007D13F3">
      <w:pPr>
        <w:ind w:firstLine="708"/>
        <w:jc w:val="both"/>
        <w:rPr>
          <w:rFonts w:ascii="Times New Roman" w:hAnsi="Times New Roman" w:cs="Times New Roman"/>
          <w:lang w:eastAsia="sk-SK"/>
        </w:rPr>
      </w:pPr>
      <w:r w:rsidRPr="00D17462">
        <w:rPr>
          <w:rFonts w:ascii="Times New Roman" w:hAnsi="Times New Roman" w:cs="Times New Roman"/>
          <w:lang w:eastAsia="sk-SK"/>
        </w:rPr>
        <w:t>Skutočný a očakávaný stav prostriedkov</w:t>
      </w:r>
      <w:r>
        <w:rPr>
          <w:rFonts w:ascii="Times New Roman" w:hAnsi="Times New Roman" w:cs="Times New Roman"/>
          <w:lang w:eastAsia="sk-SK"/>
        </w:rPr>
        <w:t xml:space="preserve"> na samostatnom účte</w:t>
      </w:r>
      <w:r w:rsidRPr="00D17462">
        <w:rPr>
          <w:rFonts w:ascii="Times New Roman" w:hAnsi="Times New Roman" w:cs="Times New Roman"/>
          <w:lang w:eastAsia="sk-SK"/>
        </w:rPr>
        <w:t xml:space="preserve"> kapitoly.</w:t>
      </w:r>
    </w:p>
    <w:p w:rsidR="007D13F3" w:rsidRPr="00470C3B" w:rsidRDefault="007D13F3" w:rsidP="007D13F3">
      <w:pPr>
        <w:jc w:val="both"/>
        <w:rPr>
          <w:rFonts w:ascii="Times New Roman" w:hAnsi="Times New Roman" w:cs="Times New Roman"/>
          <w:lang w:eastAsia="sk-SK"/>
        </w:rPr>
      </w:pPr>
      <w:r w:rsidRPr="00470C3B">
        <w:rPr>
          <w:rFonts w:ascii="Times New Roman" w:hAnsi="Times New Roman" w:cs="Times New Roman"/>
          <w:lang w:eastAsia="sk-SK"/>
        </w:rPr>
        <w:t> </w:t>
      </w:r>
    </w:p>
    <w:tbl>
      <w:tblPr>
        <w:tblW w:w="5000" w:type="pct"/>
        <w:tblCellMar>
          <w:left w:w="0" w:type="dxa"/>
          <w:right w:w="0" w:type="dxa"/>
        </w:tblCellMar>
        <w:tblLook w:val="04A0" w:firstRow="1" w:lastRow="0" w:firstColumn="1" w:lastColumn="0" w:noHBand="0" w:noVBand="1"/>
      </w:tblPr>
      <w:tblGrid>
        <w:gridCol w:w="2458"/>
        <w:gridCol w:w="1100"/>
        <w:gridCol w:w="1100"/>
        <w:gridCol w:w="1102"/>
        <w:gridCol w:w="1100"/>
        <w:gridCol w:w="1100"/>
        <w:gridCol w:w="1102"/>
      </w:tblGrid>
      <w:tr w:rsidR="007D13F3" w:rsidRPr="00470C3B" w:rsidTr="00465CAC">
        <w:trPr>
          <w:trHeight w:val="217"/>
        </w:trPr>
        <w:tc>
          <w:tcPr>
            <w:tcW w:w="1356"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rPr>
                <w:rFonts w:ascii="Times New Roman" w:hAnsi="Times New Roman" w:cs="Times New Roman"/>
                <w:b/>
                <w:bCs/>
                <w:color w:val="000000"/>
                <w:sz w:val="14"/>
                <w:szCs w:val="14"/>
              </w:rPr>
            </w:pPr>
          </w:p>
        </w:tc>
        <w:tc>
          <w:tcPr>
            <w:tcW w:w="607"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7"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8"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očakávaná</w:t>
            </w:r>
          </w:p>
        </w:tc>
        <w:tc>
          <w:tcPr>
            <w:tcW w:w="607"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očakávaná</w:t>
            </w:r>
          </w:p>
        </w:tc>
        <w:tc>
          <w:tcPr>
            <w:tcW w:w="607"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očakávaná</w:t>
            </w:r>
          </w:p>
        </w:tc>
        <w:tc>
          <w:tcPr>
            <w:tcW w:w="608" w:type="pct"/>
            <w:tcBorders>
              <w:top w:val="single" w:sz="4" w:space="0" w:color="000000"/>
              <w:left w:val="single" w:sz="4" w:space="0" w:color="000000"/>
              <w:right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očakávaná</w:t>
            </w:r>
          </w:p>
        </w:tc>
      </w:tr>
      <w:tr w:rsidR="007D13F3" w:rsidRPr="00470C3B" w:rsidTr="00465CAC">
        <w:trPr>
          <w:trHeight w:val="217"/>
        </w:trPr>
        <w:tc>
          <w:tcPr>
            <w:tcW w:w="1356" w:type="pct"/>
            <w:tcBorders>
              <w:left w:val="single" w:sz="4" w:space="0" w:color="000000"/>
            </w:tcBorders>
            <w:shd w:val="clear" w:color="auto" w:fill="A6A6A6" w:themeFill="background1" w:themeFillShade="A6"/>
            <w:tcMar>
              <w:top w:w="0" w:type="dxa"/>
              <w:left w:w="70" w:type="dxa"/>
              <w:bottom w:w="0" w:type="dxa"/>
              <w:right w:w="70" w:type="dxa"/>
            </w:tcMar>
            <w:vAlign w:val="bottom"/>
            <w:hideMark/>
          </w:tcPr>
          <w:p w:rsidR="007D13F3" w:rsidRPr="00470C3B" w:rsidRDefault="007D13F3" w:rsidP="00465CAC">
            <w:pP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 </w:t>
            </w:r>
          </w:p>
        </w:tc>
        <w:tc>
          <w:tcPr>
            <w:tcW w:w="607" w:type="pct"/>
            <w:tcBorders>
              <w:left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 </w:t>
            </w:r>
          </w:p>
        </w:tc>
        <w:tc>
          <w:tcPr>
            <w:tcW w:w="607" w:type="pct"/>
            <w:tcBorders>
              <w:left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 </w:t>
            </w:r>
          </w:p>
        </w:tc>
        <w:tc>
          <w:tcPr>
            <w:tcW w:w="608" w:type="pct"/>
            <w:tcBorders>
              <w:left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7" w:type="pct"/>
            <w:tcBorders>
              <w:left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7" w:type="pct"/>
            <w:tcBorders>
              <w:left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8" w:type="pct"/>
            <w:tcBorders>
              <w:left w:val="single" w:sz="4" w:space="0" w:color="000000"/>
              <w:right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r>
      <w:tr w:rsidR="007D13F3" w:rsidRPr="00470C3B" w:rsidTr="00465CAC">
        <w:trPr>
          <w:trHeight w:val="217"/>
        </w:trPr>
        <w:tc>
          <w:tcPr>
            <w:tcW w:w="1356"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 v eurách</w:t>
            </w:r>
          </w:p>
        </w:tc>
        <w:tc>
          <w:tcPr>
            <w:tcW w:w="607"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31.12.2015</w:t>
            </w:r>
          </w:p>
        </w:tc>
        <w:tc>
          <w:tcPr>
            <w:tcW w:w="607"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31.12.2016</w:t>
            </w:r>
          </w:p>
        </w:tc>
        <w:tc>
          <w:tcPr>
            <w:tcW w:w="608"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31.12.2017</w:t>
            </w:r>
          </w:p>
        </w:tc>
        <w:tc>
          <w:tcPr>
            <w:tcW w:w="607"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31.12.2018</w:t>
            </w:r>
          </w:p>
        </w:tc>
        <w:tc>
          <w:tcPr>
            <w:tcW w:w="607"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31.12.2019</w:t>
            </w:r>
          </w:p>
        </w:tc>
        <w:tc>
          <w:tcPr>
            <w:tcW w:w="608" w:type="pct"/>
            <w:tcBorders>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bottom"/>
            <w:hideMark/>
          </w:tcPr>
          <w:p w:rsidR="007D13F3" w:rsidRPr="00470C3B" w:rsidRDefault="007D13F3" w:rsidP="00465CAC">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31.12.2020</w:t>
            </w:r>
          </w:p>
        </w:tc>
      </w:tr>
      <w:tr w:rsidR="007D13F3" w:rsidRPr="008B2ACC" w:rsidTr="00465CAC">
        <w:trPr>
          <w:trHeight w:val="255"/>
        </w:trPr>
        <w:tc>
          <w:tcPr>
            <w:tcW w:w="135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D13F3" w:rsidRPr="00470C3B" w:rsidRDefault="007D13F3" w:rsidP="00465CAC">
            <w:pPr>
              <w:rPr>
                <w:rFonts w:ascii="Times New Roman" w:hAnsi="Times New Roman" w:cs="Times New Roman"/>
                <w:color w:val="000000"/>
                <w:sz w:val="14"/>
                <w:szCs w:val="14"/>
              </w:rPr>
            </w:pPr>
            <w:r>
              <w:rPr>
                <w:rFonts w:ascii="Times New Roman" w:hAnsi="Times New Roman" w:cs="Times New Roman"/>
                <w:color w:val="000000"/>
                <w:sz w:val="14"/>
                <w:szCs w:val="14"/>
              </w:rPr>
              <w:t xml:space="preserve">Prostriedky na samostatnom účte </w:t>
            </w:r>
          </w:p>
        </w:tc>
        <w:tc>
          <w:tcPr>
            <w:tcW w:w="607"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7D13F3" w:rsidRPr="00470C3B"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12 394 123</w:t>
            </w:r>
          </w:p>
        </w:tc>
        <w:tc>
          <w:tcPr>
            <w:tcW w:w="607"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7D13F3" w:rsidRPr="00470C3B"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11 268 339</w:t>
            </w:r>
          </w:p>
        </w:tc>
        <w:tc>
          <w:tcPr>
            <w:tcW w:w="608"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7D13F3" w:rsidRPr="00470C3B"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12 450 623</w:t>
            </w:r>
          </w:p>
        </w:tc>
        <w:tc>
          <w:tcPr>
            <w:tcW w:w="607"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7D13F3" w:rsidRPr="00470C3B"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11 462 224</w:t>
            </w:r>
          </w:p>
        </w:tc>
        <w:tc>
          <w:tcPr>
            <w:tcW w:w="607"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7D13F3" w:rsidRPr="00470C3B"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10 189 942</w:t>
            </w:r>
          </w:p>
        </w:tc>
        <w:tc>
          <w:tcPr>
            <w:tcW w:w="608"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7D13F3" w:rsidRPr="008B2ACC" w:rsidRDefault="007D13F3" w:rsidP="00465CAC">
            <w:pPr>
              <w:jc w:val="right"/>
              <w:rPr>
                <w:rFonts w:ascii="Times New Roman" w:hAnsi="Times New Roman" w:cs="Times New Roman"/>
                <w:color w:val="000000"/>
                <w:sz w:val="14"/>
                <w:szCs w:val="14"/>
              </w:rPr>
            </w:pPr>
            <w:r>
              <w:rPr>
                <w:rFonts w:ascii="Times New Roman" w:hAnsi="Times New Roman" w:cs="Times New Roman"/>
                <w:color w:val="000000"/>
                <w:sz w:val="14"/>
                <w:szCs w:val="14"/>
              </w:rPr>
              <w:t>9 068 392</w:t>
            </w:r>
          </w:p>
        </w:tc>
      </w:tr>
    </w:tbl>
    <w:p w:rsidR="007D13F3" w:rsidRDefault="007D13F3" w:rsidP="007D13F3"/>
    <w:p w:rsidR="007D13F3" w:rsidRPr="00B427B4" w:rsidRDefault="007D13F3" w:rsidP="007D13F3">
      <w:pPr>
        <w:pStyle w:val="Nadpis5"/>
        <w:pBdr>
          <w:bottom w:val="single" w:sz="4" w:space="1" w:color="auto"/>
        </w:pBdr>
        <w:spacing w:before="0" w:after="0"/>
        <w:ind w:left="0"/>
        <w:rPr>
          <w:i w:val="0"/>
          <w:sz w:val="24"/>
          <w:lang w:eastAsia="sk-SK"/>
        </w:rPr>
      </w:pPr>
      <w:bookmarkStart w:id="203" w:name="_Toc494470123"/>
      <w:bookmarkStart w:id="204" w:name="_Toc494472299"/>
      <w:r w:rsidRPr="00E7157E">
        <w:rPr>
          <w:i w:val="0"/>
          <w:sz w:val="24"/>
          <w:lang w:eastAsia="sk-SK"/>
        </w:rPr>
        <w:t>Slovenská akadémia vied</w:t>
      </w:r>
      <w:bookmarkEnd w:id="203"/>
      <w:bookmarkEnd w:id="204"/>
    </w:p>
    <w:p w:rsidR="007D13F3" w:rsidRDefault="007D13F3" w:rsidP="007D13F3"/>
    <w:tbl>
      <w:tblPr>
        <w:tblW w:w="5000" w:type="pct"/>
        <w:tblCellMar>
          <w:left w:w="70" w:type="dxa"/>
          <w:right w:w="70" w:type="dxa"/>
        </w:tblCellMar>
        <w:tblLook w:val="04A0" w:firstRow="1" w:lastRow="0" w:firstColumn="1" w:lastColumn="0" w:noHBand="0" w:noVBand="1"/>
      </w:tblPr>
      <w:tblGrid>
        <w:gridCol w:w="3444"/>
        <w:gridCol w:w="962"/>
        <w:gridCol w:w="776"/>
        <w:gridCol w:w="776"/>
        <w:gridCol w:w="776"/>
        <w:gridCol w:w="776"/>
        <w:gridCol w:w="776"/>
        <w:gridCol w:w="776"/>
      </w:tblGrid>
      <w:tr w:rsidR="007D13F3" w:rsidRPr="00555580" w:rsidTr="00465CAC">
        <w:trPr>
          <w:trHeight w:val="259"/>
        </w:trPr>
        <w:tc>
          <w:tcPr>
            <w:tcW w:w="1899"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555580" w:rsidRDefault="007D13F3" w:rsidP="00465CAC">
            <w:pPr>
              <w:rPr>
                <w:rFonts w:ascii="Times New Roman" w:hAnsi="Times New Roman" w:cs="Times New Roman"/>
                <w:b/>
                <w:bCs/>
                <w:sz w:val="14"/>
                <w:szCs w:val="14"/>
                <w:lang w:eastAsia="sk-SK"/>
              </w:rPr>
            </w:pPr>
            <w:r w:rsidRPr="00555580">
              <w:rPr>
                <w:rFonts w:ascii="Times New Roman" w:hAnsi="Times New Roman" w:cs="Times New Roman"/>
                <w:b/>
                <w:bCs/>
                <w:sz w:val="14"/>
                <w:szCs w:val="14"/>
                <w:lang w:eastAsia="sk-SK"/>
              </w:rPr>
              <w:t>v eurách</w:t>
            </w:r>
          </w:p>
        </w:tc>
        <w:tc>
          <w:tcPr>
            <w:tcW w:w="531"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sz w:val="14"/>
                <w:szCs w:val="14"/>
                <w:lang w:eastAsia="sk-SK"/>
              </w:rPr>
            </w:pPr>
            <w:r w:rsidRPr="00555580">
              <w:rPr>
                <w:rFonts w:ascii="Times New Roman" w:hAnsi="Times New Roman" w:cs="Times New Roman"/>
                <w:b/>
                <w:bCs/>
                <w:sz w:val="14"/>
                <w:szCs w:val="14"/>
                <w:lang w:eastAsia="sk-SK"/>
              </w:rPr>
              <w:t>2015 S</w:t>
            </w:r>
          </w:p>
        </w:tc>
        <w:tc>
          <w:tcPr>
            <w:tcW w:w="428"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sz w:val="14"/>
                <w:szCs w:val="14"/>
                <w:lang w:eastAsia="sk-SK"/>
              </w:rPr>
            </w:pPr>
            <w:r w:rsidRPr="00555580">
              <w:rPr>
                <w:rFonts w:ascii="Times New Roman" w:hAnsi="Times New Roman" w:cs="Times New Roman"/>
                <w:b/>
                <w:bCs/>
                <w:sz w:val="14"/>
                <w:szCs w:val="14"/>
                <w:lang w:eastAsia="sk-SK"/>
              </w:rPr>
              <w:t>2016 S</w:t>
            </w:r>
          </w:p>
        </w:tc>
        <w:tc>
          <w:tcPr>
            <w:tcW w:w="428"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sz w:val="14"/>
                <w:szCs w:val="14"/>
                <w:lang w:eastAsia="sk-SK"/>
              </w:rPr>
            </w:pPr>
            <w:r w:rsidRPr="00555580">
              <w:rPr>
                <w:rFonts w:ascii="Times New Roman" w:hAnsi="Times New Roman" w:cs="Times New Roman"/>
                <w:b/>
                <w:bCs/>
                <w:sz w:val="14"/>
                <w:szCs w:val="14"/>
                <w:lang w:eastAsia="sk-SK"/>
              </w:rPr>
              <w:t>2017 R</w:t>
            </w:r>
          </w:p>
        </w:tc>
        <w:tc>
          <w:tcPr>
            <w:tcW w:w="428"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sz w:val="14"/>
                <w:szCs w:val="14"/>
                <w:lang w:eastAsia="sk-SK"/>
              </w:rPr>
            </w:pPr>
            <w:r w:rsidRPr="00555580">
              <w:rPr>
                <w:rFonts w:ascii="Times New Roman" w:hAnsi="Times New Roman" w:cs="Times New Roman"/>
                <w:b/>
                <w:bCs/>
                <w:sz w:val="14"/>
                <w:szCs w:val="14"/>
                <w:lang w:eastAsia="sk-SK"/>
              </w:rPr>
              <w:t>2017 OS</w:t>
            </w:r>
          </w:p>
        </w:tc>
        <w:tc>
          <w:tcPr>
            <w:tcW w:w="428"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sz w:val="14"/>
                <w:szCs w:val="14"/>
                <w:lang w:eastAsia="sk-SK"/>
              </w:rPr>
            </w:pPr>
            <w:r w:rsidRPr="00555580">
              <w:rPr>
                <w:rFonts w:ascii="Times New Roman" w:hAnsi="Times New Roman" w:cs="Times New Roman"/>
                <w:b/>
                <w:bCs/>
                <w:sz w:val="14"/>
                <w:szCs w:val="14"/>
                <w:lang w:eastAsia="sk-SK"/>
              </w:rPr>
              <w:t>2018 N</w:t>
            </w:r>
          </w:p>
        </w:tc>
        <w:tc>
          <w:tcPr>
            <w:tcW w:w="428"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sz w:val="14"/>
                <w:szCs w:val="14"/>
                <w:lang w:eastAsia="sk-SK"/>
              </w:rPr>
            </w:pPr>
            <w:r w:rsidRPr="00555580">
              <w:rPr>
                <w:rFonts w:ascii="Times New Roman" w:hAnsi="Times New Roman" w:cs="Times New Roman"/>
                <w:b/>
                <w:bCs/>
                <w:sz w:val="14"/>
                <w:szCs w:val="14"/>
                <w:lang w:eastAsia="sk-SK"/>
              </w:rPr>
              <w:t>2019 N</w:t>
            </w:r>
          </w:p>
        </w:tc>
        <w:tc>
          <w:tcPr>
            <w:tcW w:w="428"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sz w:val="14"/>
                <w:szCs w:val="14"/>
                <w:lang w:eastAsia="sk-SK"/>
              </w:rPr>
            </w:pPr>
            <w:r w:rsidRPr="00555580">
              <w:rPr>
                <w:rFonts w:ascii="Times New Roman" w:hAnsi="Times New Roman" w:cs="Times New Roman"/>
                <w:b/>
                <w:bCs/>
                <w:sz w:val="14"/>
                <w:szCs w:val="14"/>
                <w:lang w:eastAsia="sk-SK"/>
              </w:rPr>
              <w:t>2020 N</w:t>
            </w:r>
          </w:p>
        </w:tc>
      </w:tr>
      <w:tr w:rsidR="007D13F3" w:rsidRPr="00555580" w:rsidTr="00465CAC">
        <w:trPr>
          <w:trHeight w:val="259"/>
        </w:trPr>
        <w:tc>
          <w:tcPr>
            <w:tcW w:w="1899"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7D13F3" w:rsidRPr="00555580" w:rsidRDefault="007D13F3" w:rsidP="00465CAC">
            <w:pPr>
              <w:rPr>
                <w:rFonts w:ascii="Times New Roman" w:hAnsi="Times New Roman" w:cs="Times New Roman"/>
                <w:b/>
                <w:bCs/>
                <w:sz w:val="14"/>
                <w:szCs w:val="14"/>
                <w:lang w:eastAsia="sk-SK"/>
              </w:rPr>
            </w:pPr>
            <w:r w:rsidRPr="00555580">
              <w:rPr>
                <w:rFonts w:ascii="Times New Roman" w:hAnsi="Times New Roman" w:cs="Times New Roman"/>
                <w:b/>
                <w:bCs/>
                <w:sz w:val="14"/>
                <w:szCs w:val="14"/>
                <w:lang w:eastAsia="sk-SK"/>
              </w:rPr>
              <w:t>Zdroje príslušnej kapitoly vrátane 72e</w:t>
            </w:r>
          </w:p>
        </w:tc>
        <w:tc>
          <w:tcPr>
            <w:tcW w:w="531" w:type="pct"/>
            <w:tcBorders>
              <w:top w:val="single" w:sz="4" w:space="0" w:color="auto"/>
              <w:left w:val="nil"/>
              <w:bottom w:val="single" w:sz="4" w:space="0" w:color="auto"/>
              <w:right w:val="single" w:sz="4" w:space="0" w:color="auto"/>
            </w:tcBorders>
            <w:shd w:val="pct25" w:color="auto" w:fill="auto"/>
            <w:noWrap/>
            <w:vAlign w:val="bottom"/>
            <w:hideMark/>
          </w:tcPr>
          <w:p w:rsidR="007D13F3" w:rsidRPr="00555580" w:rsidRDefault="007D13F3" w:rsidP="00465CAC">
            <w:pPr>
              <w:jc w:val="right"/>
              <w:rPr>
                <w:rFonts w:ascii="Times New Roman" w:hAnsi="Times New Roman" w:cs="Times New Roman"/>
                <w:b/>
                <w:bCs/>
                <w:sz w:val="14"/>
                <w:szCs w:val="14"/>
                <w:lang w:eastAsia="sk-SK"/>
              </w:rPr>
            </w:pPr>
            <w:r w:rsidRPr="00555580">
              <w:rPr>
                <w:rFonts w:ascii="Times New Roman" w:hAnsi="Times New Roman" w:cs="Times New Roman"/>
                <w:b/>
                <w:bCs/>
                <w:sz w:val="14"/>
                <w:szCs w:val="14"/>
                <w:lang w:eastAsia="sk-SK"/>
              </w:rPr>
              <w:t>127 011 363</w:t>
            </w:r>
          </w:p>
        </w:tc>
        <w:tc>
          <w:tcPr>
            <w:tcW w:w="428" w:type="pct"/>
            <w:tcBorders>
              <w:top w:val="single" w:sz="4" w:space="0" w:color="auto"/>
              <w:left w:val="nil"/>
              <w:bottom w:val="single" w:sz="4" w:space="0" w:color="auto"/>
              <w:right w:val="single" w:sz="4" w:space="0" w:color="auto"/>
            </w:tcBorders>
            <w:shd w:val="pct25" w:color="auto" w:fill="auto"/>
            <w:noWrap/>
            <w:vAlign w:val="bottom"/>
            <w:hideMark/>
          </w:tcPr>
          <w:p w:rsidR="007D13F3" w:rsidRPr="00555580" w:rsidRDefault="007D13F3" w:rsidP="00465CAC">
            <w:pPr>
              <w:jc w:val="right"/>
              <w:rPr>
                <w:rFonts w:ascii="Times New Roman" w:hAnsi="Times New Roman" w:cs="Times New Roman"/>
                <w:b/>
                <w:bCs/>
                <w:sz w:val="14"/>
                <w:szCs w:val="14"/>
                <w:lang w:eastAsia="sk-SK"/>
              </w:rPr>
            </w:pPr>
            <w:r w:rsidRPr="00555580">
              <w:rPr>
                <w:rFonts w:ascii="Times New Roman" w:hAnsi="Times New Roman" w:cs="Times New Roman"/>
                <w:b/>
                <w:bCs/>
                <w:sz w:val="14"/>
                <w:szCs w:val="14"/>
                <w:lang w:eastAsia="sk-SK"/>
              </w:rPr>
              <w:t>65 384 371</w:t>
            </w:r>
          </w:p>
        </w:tc>
        <w:tc>
          <w:tcPr>
            <w:tcW w:w="428" w:type="pct"/>
            <w:tcBorders>
              <w:top w:val="single" w:sz="4" w:space="0" w:color="auto"/>
              <w:left w:val="nil"/>
              <w:bottom w:val="single" w:sz="4" w:space="0" w:color="auto"/>
              <w:right w:val="single" w:sz="4" w:space="0" w:color="auto"/>
            </w:tcBorders>
            <w:shd w:val="pct25" w:color="auto" w:fill="auto"/>
            <w:noWrap/>
            <w:vAlign w:val="bottom"/>
            <w:hideMark/>
          </w:tcPr>
          <w:p w:rsidR="007D13F3" w:rsidRPr="00555580" w:rsidRDefault="007D13F3" w:rsidP="00465CAC">
            <w:pPr>
              <w:jc w:val="right"/>
              <w:rPr>
                <w:rFonts w:ascii="Times New Roman" w:hAnsi="Times New Roman" w:cs="Times New Roman"/>
                <w:b/>
                <w:bCs/>
                <w:sz w:val="14"/>
                <w:szCs w:val="14"/>
                <w:lang w:eastAsia="sk-SK"/>
              </w:rPr>
            </w:pPr>
            <w:r w:rsidRPr="00555580">
              <w:rPr>
                <w:rFonts w:ascii="Times New Roman" w:hAnsi="Times New Roman" w:cs="Times New Roman"/>
                <w:b/>
                <w:bCs/>
                <w:sz w:val="14"/>
                <w:szCs w:val="14"/>
                <w:lang w:eastAsia="sk-SK"/>
              </w:rPr>
              <w:t>62 666 620</w:t>
            </w:r>
          </w:p>
        </w:tc>
        <w:tc>
          <w:tcPr>
            <w:tcW w:w="428" w:type="pct"/>
            <w:tcBorders>
              <w:top w:val="single" w:sz="4" w:space="0" w:color="auto"/>
              <w:left w:val="nil"/>
              <w:bottom w:val="single" w:sz="4" w:space="0" w:color="auto"/>
              <w:right w:val="single" w:sz="4" w:space="0" w:color="auto"/>
            </w:tcBorders>
            <w:shd w:val="pct25" w:color="auto" w:fill="auto"/>
            <w:noWrap/>
            <w:vAlign w:val="bottom"/>
            <w:hideMark/>
          </w:tcPr>
          <w:p w:rsidR="007D13F3" w:rsidRPr="00555580" w:rsidRDefault="007D13F3" w:rsidP="00465CAC">
            <w:pPr>
              <w:jc w:val="right"/>
              <w:rPr>
                <w:rFonts w:ascii="Times New Roman" w:hAnsi="Times New Roman" w:cs="Times New Roman"/>
                <w:b/>
                <w:bCs/>
                <w:sz w:val="14"/>
                <w:szCs w:val="14"/>
                <w:lang w:eastAsia="sk-SK"/>
              </w:rPr>
            </w:pPr>
            <w:r w:rsidRPr="00555580">
              <w:rPr>
                <w:rFonts w:ascii="Times New Roman" w:hAnsi="Times New Roman" w:cs="Times New Roman"/>
                <w:b/>
                <w:bCs/>
                <w:sz w:val="14"/>
                <w:szCs w:val="14"/>
                <w:lang w:eastAsia="sk-SK"/>
              </w:rPr>
              <w:t>67 022 795</w:t>
            </w:r>
          </w:p>
        </w:tc>
        <w:tc>
          <w:tcPr>
            <w:tcW w:w="428" w:type="pct"/>
            <w:tcBorders>
              <w:top w:val="single" w:sz="4" w:space="0" w:color="auto"/>
              <w:left w:val="nil"/>
              <w:bottom w:val="single" w:sz="4" w:space="0" w:color="auto"/>
              <w:right w:val="single" w:sz="4" w:space="0" w:color="auto"/>
            </w:tcBorders>
            <w:shd w:val="pct25" w:color="auto" w:fill="auto"/>
            <w:noWrap/>
            <w:vAlign w:val="bottom"/>
            <w:hideMark/>
          </w:tcPr>
          <w:p w:rsidR="007D13F3" w:rsidRPr="00555580" w:rsidRDefault="007D13F3" w:rsidP="00465CAC">
            <w:pPr>
              <w:jc w:val="right"/>
              <w:rPr>
                <w:rFonts w:ascii="Times New Roman" w:hAnsi="Times New Roman" w:cs="Times New Roman"/>
                <w:b/>
                <w:bCs/>
                <w:sz w:val="14"/>
                <w:szCs w:val="14"/>
                <w:lang w:eastAsia="sk-SK"/>
              </w:rPr>
            </w:pPr>
            <w:r w:rsidRPr="00555580">
              <w:rPr>
                <w:rFonts w:ascii="Times New Roman" w:hAnsi="Times New Roman" w:cs="Times New Roman"/>
                <w:b/>
                <w:bCs/>
                <w:sz w:val="14"/>
                <w:szCs w:val="14"/>
                <w:lang w:eastAsia="sk-SK"/>
              </w:rPr>
              <w:t>67 102 604</w:t>
            </w:r>
          </w:p>
        </w:tc>
        <w:tc>
          <w:tcPr>
            <w:tcW w:w="428" w:type="pct"/>
            <w:tcBorders>
              <w:top w:val="single" w:sz="4" w:space="0" w:color="auto"/>
              <w:left w:val="nil"/>
              <w:bottom w:val="single" w:sz="4" w:space="0" w:color="auto"/>
              <w:right w:val="single" w:sz="4" w:space="0" w:color="auto"/>
            </w:tcBorders>
            <w:shd w:val="pct25" w:color="auto" w:fill="auto"/>
            <w:noWrap/>
            <w:vAlign w:val="bottom"/>
            <w:hideMark/>
          </w:tcPr>
          <w:p w:rsidR="007D13F3" w:rsidRPr="00555580" w:rsidRDefault="007D13F3" w:rsidP="00465CAC">
            <w:pPr>
              <w:jc w:val="right"/>
              <w:rPr>
                <w:rFonts w:ascii="Times New Roman" w:hAnsi="Times New Roman" w:cs="Times New Roman"/>
                <w:b/>
                <w:bCs/>
                <w:sz w:val="14"/>
                <w:szCs w:val="14"/>
                <w:lang w:eastAsia="sk-SK"/>
              </w:rPr>
            </w:pPr>
            <w:r w:rsidRPr="00555580">
              <w:rPr>
                <w:rFonts w:ascii="Times New Roman" w:hAnsi="Times New Roman" w:cs="Times New Roman"/>
                <w:b/>
                <w:bCs/>
                <w:sz w:val="14"/>
                <w:szCs w:val="14"/>
                <w:lang w:eastAsia="sk-SK"/>
              </w:rPr>
              <w:t>67 101 012</w:t>
            </w:r>
          </w:p>
        </w:tc>
        <w:tc>
          <w:tcPr>
            <w:tcW w:w="428" w:type="pct"/>
            <w:tcBorders>
              <w:top w:val="single" w:sz="4" w:space="0" w:color="auto"/>
              <w:left w:val="nil"/>
              <w:bottom w:val="single" w:sz="4" w:space="0" w:color="auto"/>
              <w:right w:val="single" w:sz="4" w:space="0" w:color="auto"/>
            </w:tcBorders>
            <w:shd w:val="pct25" w:color="auto" w:fill="auto"/>
            <w:noWrap/>
            <w:vAlign w:val="bottom"/>
            <w:hideMark/>
          </w:tcPr>
          <w:p w:rsidR="007D13F3" w:rsidRPr="00555580" w:rsidRDefault="007D13F3" w:rsidP="00465CAC">
            <w:pPr>
              <w:jc w:val="right"/>
              <w:rPr>
                <w:rFonts w:ascii="Times New Roman" w:hAnsi="Times New Roman" w:cs="Times New Roman"/>
                <w:b/>
                <w:bCs/>
                <w:sz w:val="14"/>
                <w:szCs w:val="14"/>
                <w:lang w:eastAsia="sk-SK"/>
              </w:rPr>
            </w:pPr>
            <w:r w:rsidRPr="00555580">
              <w:rPr>
                <w:rFonts w:ascii="Times New Roman" w:hAnsi="Times New Roman" w:cs="Times New Roman"/>
                <w:b/>
                <w:bCs/>
                <w:sz w:val="14"/>
                <w:szCs w:val="14"/>
                <w:lang w:eastAsia="sk-SK"/>
              </w:rPr>
              <w:t>67 101 012</w:t>
            </w:r>
          </w:p>
        </w:tc>
      </w:tr>
      <w:tr w:rsidR="007D13F3" w:rsidRPr="00555580" w:rsidTr="00465CAC">
        <w:trPr>
          <w:trHeight w:val="259"/>
        </w:trPr>
        <w:tc>
          <w:tcPr>
            <w:tcW w:w="1899"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7D13F3" w:rsidRPr="00555580" w:rsidRDefault="007D13F3" w:rsidP="00465CAC">
            <w:pPr>
              <w:rPr>
                <w:rFonts w:ascii="Times New Roman" w:hAnsi="Times New Roman" w:cs="Times New Roman"/>
                <w:b/>
                <w:bCs/>
                <w:sz w:val="14"/>
                <w:szCs w:val="14"/>
                <w:lang w:eastAsia="sk-SK"/>
              </w:rPr>
            </w:pPr>
            <w:r w:rsidRPr="00555580">
              <w:rPr>
                <w:rFonts w:ascii="Times New Roman" w:hAnsi="Times New Roman" w:cs="Times New Roman"/>
                <w:b/>
                <w:bCs/>
                <w:sz w:val="14"/>
                <w:szCs w:val="14"/>
                <w:lang w:eastAsia="sk-SK"/>
              </w:rPr>
              <w:t xml:space="preserve">zdroje príslušnej kapitoly </w:t>
            </w:r>
          </w:p>
        </w:tc>
        <w:tc>
          <w:tcPr>
            <w:tcW w:w="531" w:type="pct"/>
            <w:tcBorders>
              <w:top w:val="single" w:sz="4" w:space="0" w:color="auto"/>
              <w:left w:val="nil"/>
              <w:bottom w:val="single" w:sz="4" w:space="0" w:color="auto"/>
              <w:right w:val="single" w:sz="4" w:space="0" w:color="auto"/>
            </w:tcBorders>
            <w:shd w:val="pct25" w:color="auto" w:fill="auto"/>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127 001 592</w:t>
            </w:r>
          </w:p>
        </w:tc>
        <w:tc>
          <w:tcPr>
            <w:tcW w:w="428" w:type="pct"/>
            <w:tcBorders>
              <w:top w:val="single" w:sz="4" w:space="0" w:color="auto"/>
              <w:left w:val="nil"/>
              <w:bottom w:val="single" w:sz="4" w:space="0" w:color="auto"/>
              <w:right w:val="single" w:sz="4" w:space="0" w:color="auto"/>
            </w:tcBorders>
            <w:shd w:val="pct25" w:color="auto" w:fill="auto"/>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65 304 762</w:t>
            </w:r>
          </w:p>
        </w:tc>
        <w:tc>
          <w:tcPr>
            <w:tcW w:w="428" w:type="pct"/>
            <w:tcBorders>
              <w:top w:val="single" w:sz="4" w:space="0" w:color="auto"/>
              <w:left w:val="nil"/>
              <w:bottom w:val="single" w:sz="4" w:space="0" w:color="auto"/>
              <w:right w:val="single" w:sz="4" w:space="0" w:color="auto"/>
            </w:tcBorders>
            <w:shd w:val="pct25" w:color="auto" w:fill="auto"/>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62 666 620</w:t>
            </w:r>
          </w:p>
        </w:tc>
        <w:tc>
          <w:tcPr>
            <w:tcW w:w="428" w:type="pct"/>
            <w:tcBorders>
              <w:top w:val="single" w:sz="4" w:space="0" w:color="auto"/>
              <w:left w:val="nil"/>
              <w:bottom w:val="single" w:sz="4" w:space="0" w:color="auto"/>
              <w:right w:val="single" w:sz="4" w:space="0" w:color="auto"/>
            </w:tcBorders>
            <w:shd w:val="pct25" w:color="auto" w:fill="auto"/>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67 022 795</w:t>
            </w:r>
          </w:p>
        </w:tc>
        <w:tc>
          <w:tcPr>
            <w:tcW w:w="428" w:type="pct"/>
            <w:tcBorders>
              <w:top w:val="single" w:sz="4" w:space="0" w:color="auto"/>
              <w:left w:val="nil"/>
              <w:bottom w:val="single" w:sz="4" w:space="0" w:color="auto"/>
              <w:right w:val="single" w:sz="4" w:space="0" w:color="auto"/>
            </w:tcBorders>
            <w:shd w:val="pct25" w:color="auto" w:fill="auto"/>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67 102 604</w:t>
            </w:r>
          </w:p>
        </w:tc>
        <w:tc>
          <w:tcPr>
            <w:tcW w:w="428" w:type="pct"/>
            <w:tcBorders>
              <w:top w:val="single" w:sz="4" w:space="0" w:color="auto"/>
              <w:left w:val="nil"/>
              <w:bottom w:val="single" w:sz="4" w:space="0" w:color="auto"/>
              <w:right w:val="single" w:sz="4" w:space="0" w:color="auto"/>
            </w:tcBorders>
            <w:shd w:val="pct25" w:color="auto" w:fill="auto"/>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67 101 012</w:t>
            </w:r>
          </w:p>
        </w:tc>
        <w:tc>
          <w:tcPr>
            <w:tcW w:w="428" w:type="pct"/>
            <w:tcBorders>
              <w:top w:val="single" w:sz="4" w:space="0" w:color="auto"/>
              <w:left w:val="nil"/>
              <w:bottom w:val="single" w:sz="4" w:space="0" w:color="auto"/>
              <w:right w:val="single" w:sz="4" w:space="0" w:color="auto"/>
            </w:tcBorders>
            <w:shd w:val="pct25" w:color="auto" w:fill="auto"/>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67 101 012</w:t>
            </w:r>
          </w:p>
        </w:tc>
      </w:tr>
      <w:tr w:rsidR="007D13F3" w:rsidRPr="00555580" w:rsidTr="00465CAC">
        <w:trPr>
          <w:trHeight w:val="259"/>
        </w:trPr>
        <w:tc>
          <w:tcPr>
            <w:tcW w:w="1899"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sz w:val="14"/>
                <w:szCs w:val="14"/>
                <w:lang w:eastAsia="sk-SK"/>
              </w:rPr>
            </w:pPr>
            <w:r w:rsidRPr="00555580">
              <w:rPr>
                <w:rFonts w:ascii="Times New Roman" w:hAnsi="Times New Roman" w:cs="Times New Roman"/>
                <w:sz w:val="14"/>
                <w:szCs w:val="14"/>
                <w:lang w:eastAsia="sk-SK"/>
              </w:rPr>
              <w:t>rozpočtové zdroje kapitoly</w:t>
            </w:r>
          </w:p>
        </w:tc>
        <w:tc>
          <w:tcPr>
            <w:tcW w:w="531"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59 883 124</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61 766 124</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62 666 620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67 022 795</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67 102 604</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67 101 012</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67 101 012</w:t>
            </w:r>
          </w:p>
        </w:tc>
      </w:tr>
      <w:tr w:rsidR="007D13F3" w:rsidRPr="00555580" w:rsidTr="00465CAC">
        <w:trPr>
          <w:trHeight w:val="259"/>
        </w:trPr>
        <w:tc>
          <w:tcPr>
            <w:tcW w:w="1899"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sz w:val="14"/>
                <w:szCs w:val="14"/>
                <w:lang w:eastAsia="sk-SK"/>
              </w:rPr>
            </w:pPr>
            <w:r w:rsidRPr="00555580">
              <w:rPr>
                <w:rFonts w:ascii="Times New Roman" w:hAnsi="Times New Roman" w:cs="Times New Roman"/>
                <w:sz w:val="14"/>
                <w:szCs w:val="14"/>
                <w:lang w:eastAsia="sk-SK"/>
              </w:rPr>
              <w:t xml:space="preserve">     tom: bežné výdavky 600</w:t>
            </w:r>
          </w:p>
        </w:tc>
        <w:tc>
          <w:tcPr>
            <w:tcW w:w="531"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59 343 745</w:t>
            </w:r>
          </w:p>
        </w:tc>
        <w:tc>
          <w:tcPr>
            <w:tcW w:w="428"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61 551 775</w:t>
            </w:r>
          </w:p>
        </w:tc>
        <w:tc>
          <w:tcPr>
            <w:tcW w:w="428"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62 126 987</w:t>
            </w:r>
          </w:p>
        </w:tc>
        <w:tc>
          <w:tcPr>
            <w:tcW w:w="428"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66 183 162</w:t>
            </w:r>
          </w:p>
        </w:tc>
        <w:tc>
          <w:tcPr>
            <w:tcW w:w="428"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66 462 971</w:t>
            </w:r>
          </w:p>
        </w:tc>
        <w:tc>
          <w:tcPr>
            <w:tcW w:w="428"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66 461 379</w:t>
            </w:r>
          </w:p>
        </w:tc>
        <w:tc>
          <w:tcPr>
            <w:tcW w:w="428"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66 461 379</w:t>
            </w:r>
          </w:p>
        </w:tc>
      </w:tr>
      <w:tr w:rsidR="007D13F3" w:rsidRPr="00555580" w:rsidTr="00465CAC">
        <w:trPr>
          <w:trHeight w:val="259"/>
        </w:trPr>
        <w:tc>
          <w:tcPr>
            <w:tcW w:w="1899"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                                    610 mzdy</w:t>
            </w:r>
          </w:p>
        </w:tc>
        <w:tc>
          <w:tcPr>
            <w:tcW w:w="531"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20 083 459</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14 339 235</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14 390 382</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13 835 028</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13 517 434</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13 517 434</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13 517 434</w:t>
            </w:r>
          </w:p>
        </w:tc>
      </w:tr>
      <w:tr w:rsidR="007D13F3" w:rsidRPr="00555580" w:rsidTr="00465CAC">
        <w:trPr>
          <w:trHeight w:val="259"/>
        </w:trPr>
        <w:tc>
          <w:tcPr>
            <w:tcW w:w="1899"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                                    620 odvody</w:t>
            </w:r>
          </w:p>
        </w:tc>
        <w:tc>
          <w:tcPr>
            <w:tcW w:w="531"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6 927 783</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4 951 286</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5 370 177</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4 376 143</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4 692 197</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4 692 197</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4 692 197</w:t>
            </w:r>
          </w:p>
        </w:tc>
      </w:tr>
      <w:tr w:rsidR="007D13F3" w:rsidRPr="00555580" w:rsidTr="00465CAC">
        <w:trPr>
          <w:trHeight w:val="259"/>
        </w:trPr>
        <w:tc>
          <w:tcPr>
            <w:tcW w:w="1899"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                                    630 tovary a služby</w:t>
            </w:r>
          </w:p>
        </w:tc>
        <w:tc>
          <w:tcPr>
            <w:tcW w:w="531"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9 187 627</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6 305 165</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6 065 341</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6 889 468</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6 923 668</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6 920 716</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6 920 176</w:t>
            </w:r>
          </w:p>
        </w:tc>
      </w:tr>
      <w:tr w:rsidR="007D13F3" w:rsidRPr="00555580" w:rsidTr="00465CAC">
        <w:trPr>
          <w:trHeight w:val="259"/>
        </w:trPr>
        <w:tc>
          <w:tcPr>
            <w:tcW w:w="1899"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                                    640 bežné transfery</w:t>
            </w:r>
          </w:p>
        </w:tc>
        <w:tc>
          <w:tcPr>
            <w:tcW w:w="531"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23 144 876</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35 956 089</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36 301 087</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41 082 523</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41 329 672</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41 331 032</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41 331 572</w:t>
            </w:r>
          </w:p>
        </w:tc>
      </w:tr>
      <w:tr w:rsidR="007D13F3" w:rsidRPr="00555580" w:rsidTr="00465CAC">
        <w:trPr>
          <w:trHeight w:val="259"/>
        </w:trPr>
        <w:tc>
          <w:tcPr>
            <w:tcW w:w="1899"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sz w:val="14"/>
                <w:szCs w:val="14"/>
                <w:lang w:eastAsia="sk-SK"/>
              </w:rPr>
            </w:pPr>
            <w:r w:rsidRPr="00555580">
              <w:rPr>
                <w:rFonts w:ascii="Times New Roman" w:hAnsi="Times New Roman" w:cs="Times New Roman"/>
                <w:sz w:val="14"/>
                <w:szCs w:val="14"/>
                <w:lang w:eastAsia="sk-SK"/>
              </w:rPr>
              <w:t xml:space="preserve">             kapitálové výdavky 700</w:t>
            </w:r>
          </w:p>
        </w:tc>
        <w:tc>
          <w:tcPr>
            <w:tcW w:w="531"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539 379</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214 348</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539 633</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839 633</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639 633</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639 633</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639 633</w:t>
            </w:r>
          </w:p>
        </w:tc>
      </w:tr>
      <w:tr w:rsidR="007D13F3" w:rsidRPr="00555580" w:rsidTr="00465CAC">
        <w:trPr>
          <w:trHeight w:val="259"/>
        </w:trPr>
        <w:tc>
          <w:tcPr>
            <w:tcW w:w="1899"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sz w:val="14"/>
                <w:szCs w:val="14"/>
                <w:lang w:eastAsia="sk-SK"/>
              </w:rPr>
            </w:pPr>
            <w:r w:rsidRPr="00555580">
              <w:rPr>
                <w:rFonts w:ascii="Times New Roman" w:hAnsi="Times New Roman" w:cs="Times New Roman"/>
                <w:sz w:val="14"/>
                <w:szCs w:val="14"/>
                <w:lang w:eastAsia="sk-SK"/>
              </w:rPr>
              <w:t xml:space="preserve">zdroje EÚ vrátane spolufinancovania: </w:t>
            </w:r>
          </w:p>
        </w:tc>
        <w:tc>
          <w:tcPr>
            <w:tcW w:w="531"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19 176 824</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163 553</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r>
      <w:tr w:rsidR="007D13F3" w:rsidRPr="00555580" w:rsidTr="00465CAC">
        <w:trPr>
          <w:trHeight w:val="259"/>
        </w:trPr>
        <w:tc>
          <w:tcPr>
            <w:tcW w:w="1899"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sz w:val="14"/>
                <w:szCs w:val="14"/>
                <w:lang w:eastAsia="sk-SK"/>
              </w:rPr>
            </w:pPr>
            <w:r w:rsidRPr="00555580">
              <w:rPr>
                <w:rFonts w:ascii="Times New Roman" w:hAnsi="Times New Roman" w:cs="Times New Roman"/>
                <w:sz w:val="14"/>
                <w:szCs w:val="14"/>
                <w:lang w:eastAsia="sk-SK"/>
              </w:rPr>
              <w:t xml:space="preserve">                2. programové obdobie E</w:t>
            </w:r>
            <w:r w:rsidR="00941A11">
              <w:rPr>
                <w:rFonts w:ascii="Times New Roman" w:hAnsi="Times New Roman" w:cs="Times New Roman"/>
                <w:sz w:val="14"/>
                <w:szCs w:val="14"/>
                <w:lang w:eastAsia="sk-SK"/>
              </w:rPr>
              <w:t>Ú</w:t>
            </w:r>
          </w:p>
        </w:tc>
        <w:tc>
          <w:tcPr>
            <w:tcW w:w="531"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17 415 018</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139 015</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r>
      <w:tr w:rsidR="007D13F3" w:rsidRPr="00555580" w:rsidTr="00465CAC">
        <w:trPr>
          <w:trHeight w:val="259"/>
        </w:trPr>
        <w:tc>
          <w:tcPr>
            <w:tcW w:w="1899"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sz w:val="14"/>
                <w:szCs w:val="14"/>
                <w:lang w:eastAsia="sk-SK"/>
              </w:rPr>
            </w:pPr>
            <w:r w:rsidRPr="00555580">
              <w:rPr>
                <w:rFonts w:ascii="Times New Roman" w:hAnsi="Times New Roman" w:cs="Times New Roman"/>
                <w:sz w:val="14"/>
                <w:szCs w:val="14"/>
                <w:lang w:eastAsia="sk-SK"/>
              </w:rPr>
              <w:t xml:space="preserve">                    spolufinancovanie zo ŠR</w:t>
            </w:r>
          </w:p>
        </w:tc>
        <w:tc>
          <w:tcPr>
            <w:tcW w:w="531"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1 761 806</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24 538</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r>
      <w:tr w:rsidR="007D13F3" w:rsidRPr="00555580" w:rsidTr="00465CAC">
        <w:trPr>
          <w:trHeight w:val="259"/>
        </w:trPr>
        <w:tc>
          <w:tcPr>
            <w:tcW w:w="1899"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sz w:val="14"/>
                <w:szCs w:val="14"/>
                <w:lang w:eastAsia="sk-SK"/>
              </w:rPr>
            </w:pPr>
            <w:r w:rsidRPr="00555580">
              <w:rPr>
                <w:rFonts w:ascii="Times New Roman" w:hAnsi="Times New Roman" w:cs="Times New Roman"/>
                <w:sz w:val="14"/>
                <w:szCs w:val="14"/>
                <w:lang w:eastAsia="sk-SK"/>
              </w:rPr>
              <w:t xml:space="preserve">                3. programové obdobie  EÚ </w:t>
            </w:r>
          </w:p>
        </w:tc>
        <w:tc>
          <w:tcPr>
            <w:tcW w:w="531"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r>
      <w:tr w:rsidR="007D13F3" w:rsidRPr="00555580" w:rsidTr="00465CAC">
        <w:trPr>
          <w:trHeight w:val="259"/>
        </w:trPr>
        <w:tc>
          <w:tcPr>
            <w:tcW w:w="1899"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sz w:val="14"/>
                <w:szCs w:val="14"/>
                <w:lang w:eastAsia="sk-SK"/>
              </w:rPr>
            </w:pPr>
            <w:r w:rsidRPr="00555580">
              <w:rPr>
                <w:rFonts w:ascii="Times New Roman" w:hAnsi="Times New Roman" w:cs="Times New Roman"/>
                <w:sz w:val="14"/>
                <w:szCs w:val="14"/>
                <w:lang w:eastAsia="sk-SK"/>
              </w:rPr>
              <w:t xml:space="preserve">                   spolufinancovanie zo ŠR</w:t>
            </w:r>
          </w:p>
        </w:tc>
        <w:tc>
          <w:tcPr>
            <w:tcW w:w="531"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r>
      <w:tr w:rsidR="007D13F3" w:rsidRPr="00555580" w:rsidTr="00465CAC">
        <w:trPr>
          <w:trHeight w:val="259"/>
        </w:trPr>
        <w:tc>
          <w:tcPr>
            <w:tcW w:w="1899"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sz w:val="14"/>
                <w:szCs w:val="14"/>
                <w:lang w:eastAsia="sk-SK"/>
              </w:rPr>
            </w:pPr>
            <w:r w:rsidRPr="00555580">
              <w:rPr>
                <w:rFonts w:ascii="Times New Roman" w:hAnsi="Times New Roman" w:cs="Times New Roman"/>
                <w:sz w:val="14"/>
                <w:szCs w:val="14"/>
                <w:lang w:eastAsia="sk-SK"/>
              </w:rPr>
              <w:t>presun z minulých rokov § 8</w:t>
            </w:r>
          </w:p>
        </w:tc>
        <w:tc>
          <w:tcPr>
            <w:tcW w:w="531"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47 941 644</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3 375 085</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r>
      <w:tr w:rsidR="007D13F3" w:rsidRPr="00555580" w:rsidTr="00465CAC">
        <w:trPr>
          <w:trHeight w:val="259"/>
        </w:trPr>
        <w:tc>
          <w:tcPr>
            <w:tcW w:w="1899"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C73ECC" w:rsidP="00C73ECC">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007D13F3" w:rsidRPr="00555580">
              <w:rPr>
                <w:rFonts w:ascii="Times New Roman" w:hAnsi="Times New Roman" w:cs="Times New Roman"/>
                <w:color w:val="000000"/>
                <w:sz w:val="14"/>
                <w:szCs w:val="14"/>
                <w:lang w:eastAsia="sk-SK"/>
              </w:rPr>
              <w:t xml:space="preserve">z toho: </w:t>
            </w:r>
            <w:r>
              <w:rPr>
                <w:rFonts w:ascii="Times New Roman" w:hAnsi="Times New Roman" w:cs="Times New Roman"/>
                <w:color w:val="000000"/>
                <w:sz w:val="14"/>
                <w:szCs w:val="14"/>
                <w:lang w:eastAsia="sk-SK"/>
              </w:rPr>
              <w:t>štátny rozpočet</w:t>
            </w:r>
          </w:p>
        </w:tc>
        <w:tc>
          <w:tcPr>
            <w:tcW w:w="531"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2 246 906</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1 207 401</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r>
      <w:tr w:rsidR="007D13F3" w:rsidRPr="00555580" w:rsidTr="00465CAC">
        <w:trPr>
          <w:trHeight w:val="259"/>
        </w:trPr>
        <w:tc>
          <w:tcPr>
            <w:tcW w:w="1899"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C73EC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         </w:t>
            </w:r>
            <w:r w:rsidR="00941A11">
              <w:rPr>
                <w:rFonts w:ascii="Times New Roman" w:hAnsi="Times New Roman" w:cs="Times New Roman"/>
                <w:color w:val="000000"/>
                <w:sz w:val="14"/>
                <w:szCs w:val="14"/>
                <w:lang w:eastAsia="sk-SK"/>
              </w:rPr>
              <w:t xml:space="preserve">  </w:t>
            </w:r>
            <w:r w:rsidR="00C73ECC">
              <w:rPr>
                <w:rFonts w:ascii="Times New Roman" w:hAnsi="Times New Roman" w:cs="Times New Roman"/>
                <w:color w:val="000000"/>
                <w:sz w:val="14"/>
                <w:szCs w:val="14"/>
                <w:lang w:eastAsia="sk-SK"/>
              </w:rPr>
              <w:t xml:space="preserve">     </w:t>
            </w:r>
            <w:r w:rsidRPr="00555580">
              <w:rPr>
                <w:rFonts w:ascii="Times New Roman" w:hAnsi="Times New Roman" w:cs="Times New Roman"/>
                <w:color w:val="000000"/>
                <w:sz w:val="14"/>
                <w:szCs w:val="14"/>
                <w:lang w:eastAsia="sk-SK"/>
              </w:rPr>
              <w:t xml:space="preserve"> </w:t>
            </w:r>
            <w:r w:rsidR="00C73ECC">
              <w:rPr>
                <w:rFonts w:ascii="Times New Roman" w:hAnsi="Times New Roman" w:cs="Times New Roman"/>
                <w:color w:val="000000"/>
                <w:sz w:val="14"/>
                <w:szCs w:val="14"/>
                <w:lang w:eastAsia="sk-SK"/>
              </w:rPr>
              <w:t>EÚ prostriedky</w:t>
            </w:r>
            <w:r w:rsidRPr="00555580">
              <w:rPr>
                <w:rFonts w:ascii="Times New Roman" w:hAnsi="Times New Roman" w:cs="Times New Roman"/>
                <w:color w:val="000000"/>
                <w:sz w:val="14"/>
                <w:szCs w:val="14"/>
                <w:lang w:eastAsia="sk-SK"/>
              </w:rPr>
              <w:t xml:space="preserve"> </w:t>
            </w:r>
          </w:p>
        </w:tc>
        <w:tc>
          <w:tcPr>
            <w:tcW w:w="531"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37 643 988</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1 870 146</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r>
      <w:tr w:rsidR="007D13F3" w:rsidRPr="00555580" w:rsidTr="00465CAC">
        <w:trPr>
          <w:trHeight w:val="259"/>
        </w:trPr>
        <w:tc>
          <w:tcPr>
            <w:tcW w:w="1899"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          </w:t>
            </w:r>
            <w:r w:rsidR="00C73ECC">
              <w:rPr>
                <w:rFonts w:ascii="Times New Roman" w:hAnsi="Times New Roman" w:cs="Times New Roman"/>
                <w:color w:val="000000"/>
                <w:sz w:val="14"/>
                <w:szCs w:val="14"/>
                <w:lang w:eastAsia="sk-SK"/>
              </w:rPr>
              <w:t xml:space="preserve">       </w:t>
            </w:r>
            <w:r w:rsidRPr="00555580">
              <w:rPr>
                <w:rFonts w:ascii="Times New Roman" w:hAnsi="Times New Roman" w:cs="Times New Roman"/>
                <w:color w:val="000000"/>
                <w:sz w:val="14"/>
                <w:szCs w:val="14"/>
                <w:lang w:eastAsia="sk-SK"/>
              </w:rPr>
              <w:t>spolufinancovanie zo ŠR</w:t>
            </w:r>
          </w:p>
        </w:tc>
        <w:tc>
          <w:tcPr>
            <w:tcW w:w="531"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8 050 750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297 538</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r>
      <w:tr w:rsidR="007D13F3" w:rsidRPr="00555580" w:rsidTr="00465CAC">
        <w:trPr>
          <w:trHeight w:val="259"/>
        </w:trPr>
        <w:tc>
          <w:tcPr>
            <w:tcW w:w="1899"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zdroj 72e*</w:t>
            </w:r>
          </w:p>
        </w:tc>
        <w:tc>
          <w:tcPr>
            <w:tcW w:w="531"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9 771</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79 609</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0</w:t>
            </w:r>
          </w:p>
        </w:tc>
        <w:tc>
          <w:tcPr>
            <w:tcW w:w="428" w:type="pct"/>
            <w:tcBorders>
              <w:top w:val="nil"/>
              <w:left w:val="nil"/>
              <w:bottom w:val="single" w:sz="4" w:space="0" w:color="auto"/>
              <w:right w:val="single" w:sz="4" w:space="0" w:color="auto"/>
            </w:tcBorders>
            <w:shd w:val="clear" w:color="auto" w:fill="auto"/>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0</w:t>
            </w:r>
          </w:p>
        </w:tc>
      </w:tr>
    </w:tbl>
    <w:p w:rsidR="007D13F3" w:rsidRDefault="007D13F3" w:rsidP="007D13F3">
      <w:pPr>
        <w:jc w:val="both"/>
        <w:rPr>
          <w:rFonts w:ascii="Times New Roman" w:hAnsi="Times New Roman" w:cs="Times New Roman"/>
          <w:color w:val="000000"/>
          <w:sz w:val="14"/>
          <w:szCs w:val="14"/>
          <w:lang w:eastAsia="sk-SK"/>
        </w:rPr>
      </w:pPr>
      <w:r>
        <w:rPr>
          <w:rFonts w:ascii="Times New Roman" w:hAnsi="Times New Roman" w:cs="Times New Roman"/>
          <w:sz w:val="14"/>
          <w:szCs w:val="14"/>
        </w:rPr>
        <w:t>*</w:t>
      </w:r>
      <w:r w:rsidRPr="00EC45AB">
        <w:rPr>
          <w:rFonts w:ascii="Times New Roman" w:hAnsi="Times New Roman" w:cs="Times New Roman"/>
          <w:sz w:val="14"/>
          <w:szCs w:val="14"/>
        </w:rPr>
        <w:t xml:space="preserve">z poistného plnenia </w:t>
      </w:r>
      <w:r w:rsidRPr="00A629CF">
        <w:rPr>
          <w:rFonts w:ascii="Times New Roman" w:hAnsi="Times New Roman" w:cs="Times New Roman"/>
          <w:color w:val="000000"/>
          <w:sz w:val="14"/>
          <w:szCs w:val="14"/>
          <w:lang w:eastAsia="sk-SK"/>
        </w:rPr>
        <w:t>zo zmluvného poistenia alebo zo zákonného poistenia</w:t>
      </w:r>
    </w:p>
    <w:p w:rsidR="007D13F3" w:rsidRPr="00F65DD8" w:rsidRDefault="007D13F3" w:rsidP="007D13F3">
      <w:pPr>
        <w:jc w:val="both"/>
        <w:rPr>
          <w:rFonts w:ascii="Times New Roman" w:hAnsi="Times New Roman" w:cs="Times New Roman"/>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1"/>
        <w:gridCol w:w="901"/>
        <w:gridCol w:w="825"/>
        <w:gridCol w:w="823"/>
        <w:gridCol w:w="823"/>
        <w:gridCol w:w="823"/>
        <w:gridCol w:w="823"/>
        <w:gridCol w:w="823"/>
      </w:tblGrid>
      <w:tr w:rsidR="007D13F3" w:rsidRPr="000E76EC" w:rsidTr="00465CAC">
        <w:trPr>
          <w:trHeight w:hRule="exact" w:val="255"/>
        </w:trPr>
        <w:tc>
          <w:tcPr>
            <w:tcW w:w="1778" w:type="pct"/>
            <w:shd w:val="clear" w:color="auto" w:fill="auto"/>
            <w:noWrap/>
            <w:vAlign w:val="bottom"/>
            <w:hideMark/>
          </w:tcPr>
          <w:p w:rsidR="007D13F3" w:rsidRPr="000E76EC" w:rsidRDefault="000E76EC" w:rsidP="00465CAC">
            <w:pPr>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S</w:t>
            </w:r>
            <w:r w:rsidR="007D13F3" w:rsidRPr="000E76EC">
              <w:rPr>
                <w:rFonts w:ascii="Times New Roman" w:hAnsi="Times New Roman" w:cs="Times New Roman"/>
                <w:b/>
                <w:sz w:val="14"/>
                <w:szCs w:val="14"/>
                <w:lang w:eastAsia="sk-SK"/>
              </w:rPr>
              <w:t xml:space="preserve">amostatné účty </w:t>
            </w:r>
          </w:p>
        </w:tc>
        <w:tc>
          <w:tcPr>
            <w:tcW w:w="497" w:type="pct"/>
            <w:shd w:val="clear" w:color="auto" w:fill="auto"/>
            <w:noWrap/>
            <w:vAlign w:val="bottom"/>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743 998</w:t>
            </w:r>
          </w:p>
        </w:tc>
        <w:tc>
          <w:tcPr>
            <w:tcW w:w="455" w:type="pct"/>
            <w:shd w:val="clear" w:color="auto" w:fill="auto"/>
            <w:vAlign w:val="bottom"/>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421 885</w:t>
            </w:r>
          </w:p>
        </w:tc>
        <w:tc>
          <w:tcPr>
            <w:tcW w:w="454" w:type="pct"/>
            <w:shd w:val="clear" w:color="auto" w:fill="auto"/>
            <w:noWrap/>
            <w:vAlign w:val="bottom"/>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57 000</w:t>
            </w:r>
          </w:p>
        </w:tc>
        <w:tc>
          <w:tcPr>
            <w:tcW w:w="454" w:type="pct"/>
            <w:shd w:val="clear" w:color="auto" w:fill="auto"/>
            <w:noWrap/>
            <w:vAlign w:val="bottom"/>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57 000</w:t>
            </w:r>
          </w:p>
        </w:tc>
        <w:tc>
          <w:tcPr>
            <w:tcW w:w="454" w:type="pct"/>
            <w:shd w:val="clear" w:color="auto" w:fill="auto"/>
            <w:noWrap/>
            <w:vAlign w:val="bottom"/>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717 594</w:t>
            </w:r>
          </w:p>
        </w:tc>
        <w:tc>
          <w:tcPr>
            <w:tcW w:w="454" w:type="pct"/>
            <w:shd w:val="clear" w:color="auto" w:fill="auto"/>
            <w:noWrap/>
            <w:vAlign w:val="bottom"/>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616 099</w:t>
            </w:r>
          </w:p>
        </w:tc>
        <w:tc>
          <w:tcPr>
            <w:tcW w:w="454" w:type="pct"/>
            <w:shd w:val="clear" w:color="auto" w:fill="auto"/>
            <w:noWrap/>
            <w:vAlign w:val="bottom"/>
            <w:hideMark/>
          </w:tcPr>
          <w:p w:rsidR="007D13F3" w:rsidRPr="000E76EC" w:rsidRDefault="007D13F3" w:rsidP="00465CAC">
            <w:pPr>
              <w:jc w:val="right"/>
              <w:rPr>
                <w:rFonts w:ascii="Times New Roman" w:hAnsi="Times New Roman" w:cs="Times New Roman"/>
                <w:b/>
                <w:sz w:val="14"/>
                <w:szCs w:val="14"/>
                <w:lang w:eastAsia="sk-SK"/>
              </w:rPr>
            </w:pPr>
            <w:r w:rsidRPr="000E76EC">
              <w:rPr>
                <w:rFonts w:ascii="Times New Roman" w:hAnsi="Times New Roman" w:cs="Times New Roman"/>
                <w:b/>
                <w:sz w:val="14"/>
                <w:szCs w:val="14"/>
                <w:lang w:eastAsia="sk-SK"/>
              </w:rPr>
              <w:t>589 884</w:t>
            </w:r>
          </w:p>
        </w:tc>
      </w:tr>
    </w:tbl>
    <w:p w:rsidR="007D13F3" w:rsidRDefault="007D13F3" w:rsidP="007D13F3">
      <w:pPr>
        <w:ind w:firstLine="708"/>
        <w:jc w:val="both"/>
        <w:rPr>
          <w:rFonts w:ascii="Times New Roman" w:hAnsi="Times New Roman" w:cs="Times New Roman"/>
        </w:rPr>
      </w:pPr>
    </w:p>
    <w:p w:rsidR="007D13F3" w:rsidRPr="008B2ACC" w:rsidRDefault="007D13F3" w:rsidP="007D13F3">
      <w:pPr>
        <w:ind w:firstLine="708"/>
        <w:jc w:val="both"/>
        <w:rPr>
          <w:rFonts w:ascii="Times New Roman" w:hAnsi="Times New Roman" w:cs="Times New Roman"/>
        </w:rPr>
      </w:pPr>
      <w:r w:rsidRPr="008B2ACC">
        <w:rPr>
          <w:rFonts w:ascii="Times New Roman" w:hAnsi="Times New Roman" w:cs="Times New Roman"/>
        </w:rPr>
        <w:lastRenderedPageBreak/>
        <w:t>Celkové zdroje Slovenskej akadémie vied (ďalej len „SAV“) na rok 201</w:t>
      </w:r>
      <w:r>
        <w:rPr>
          <w:rFonts w:ascii="Times New Roman" w:hAnsi="Times New Roman" w:cs="Times New Roman"/>
        </w:rPr>
        <w:t>8</w:t>
      </w:r>
      <w:r w:rsidRPr="008B2ACC">
        <w:rPr>
          <w:rFonts w:ascii="Times New Roman" w:hAnsi="Times New Roman" w:cs="Times New Roman"/>
        </w:rPr>
        <w:t xml:space="preserve"> sa rozpočtujú  v sume 6</w:t>
      </w:r>
      <w:r>
        <w:rPr>
          <w:rFonts w:ascii="Times New Roman" w:hAnsi="Times New Roman" w:cs="Times New Roman"/>
        </w:rPr>
        <w:t>7,1</w:t>
      </w:r>
      <w:r w:rsidRPr="008B2ACC">
        <w:rPr>
          <w:rFonts w:ascii="Times New Roman" w:hAnsi="Times New Roman" w:cs="Times New Roman"/>
        </w:rPr>
        <w:t xml:space="preserve"> mil. eur, čo predstavuje nárast oproti schválenému rozpočtu na rok 201</w:t>
      </w:r>
      <w:r>
        <w:rPr>
          <w:rFonts w:ascii="Times New Roman" w:hAnsi="Times New Roman" w:cs="Times New Roman"/>
        </w:rPr>
        <w:t>7</w:t>
      </w:r>
      <w:r w:rsidRPr="008B2ACC">
        <w:rPr>
          <w:rFonts w:ascii="Times New Roman" w:hAnsi="Times New Roman" w:cs="Times New Roman"/>
        </w:rPr>
        <w:t xml:space="preserve"> o</w:t>
      </w:r>
      <w:r>
        <w:rPr>
          <w:rFonts w:ascii="Times New Roman" w:hAnsi="Times New Roman" w:cs="Times New Roman"/>
        </w:rPr>
        <w:t> 4,43</w:t>
      </w:r>
      <w:r w:rsidRPr="008B2ACC">
        <w:rPr>
          <w:rFonts w:ascii="Times New Roman" w:hAnsi="Times New Roman" w:cs="Times New Roman"/>
        </w:rPr>
        <w:t xml:space="preserve"> mil. eur, t. j. o</w:t>
      </w:r>
      <w:r>
        <w:rPr>
          <w:rFonts w:ascii="Times New Roman" w:hAnsi="Times New Roman" w:cs="Times New Roman"/>
        </w:rPr>
        <w:t> 7,08</w:t>
      </w:r>
      <w:r w:rsidRPr="008B2ACC">
        <w:rPr>
          <w:rFonts w:ascii="Times New Roman" w:hAnsi="Times New Roman" w:cs="Times New Roman"/>
        </w:rPr>
        <w:t xml:space="preserve"> %. Navrhované výdavky vyplývajú zo Stabilizačnej dohody uzatvorenej medzi Ministerstvom financií SR, Ministerstvom školstva, vedy, výskumu a športu SR a Slovenskou akadémiou vied.</w:t>
      </w:r>
    </w:p>
    <w:p w:rsidR="007D13F3" w:rsidRDefault="007D13F3" w:rsidP="007D13F3">
      <w:pPr>
        <w:jc w:val="both"/>
        <w:rPr>
          <w:rFonts w:ascii="Times New Roman" w:hAnsi="Times New Roman" w:cs="Times New Roman"/>
        </w:rPr>
      </w:pPr>
    </w:p>
    <w:p w:rsidR="007D13F3" w:rsidRPr="008B2ACC" w:rsidRDefault="007D13F3" w:rsidP="007D13F3">
      <w:pPr>
        <w:jc w:val="both"/>
        <w:rPr>
          <w:rFonts w:ascii="Times New Roman" w:hAnsi="Times New Roman" w:cs="Times New Roman"/>
        </w:rPr>
      </w:pPr>
      <w:r>
        <w:rPr>
          <w:rFonts w:ascii="Times New Roman" w:hAnsi="Times New Roman" w:cs="Times New Roman"/>
        </w:rPr>
        <w:tab/>
      </w:r>
      <w:r w:rsidRPr="008B2ACC">
        <w:rPr>
          <w:rFonts w:ascii="Times New Roman" w:hAnsi="Times New Roman" w:cs="Times New Roman"/>
        </w:rPr>
        <w:t>Osobné výdavky rozpočtových organizácií na rok 201</w:t>
      </w:r>
      <w:r>
        <w:rPr>
          <w:rFonts w:ascii="Times New Roman" w:hAnsi="Times New Roman" w:cs="Times New Roman"/>
        </w:rPr>
        <w:t>8</w:t>
      </w:r>
      <w:r w:rsidRPr="008B2ACC">
        <w:rPr>
          <w:rFonts w:ascii="Times New Roman" w:hAnsi="Times New Roman" w:cs="Times New Roman"/>
        </w:rPr>
        <w:t xml:space="preserve"> oproti schválenému rozpočtu na rok 201</w:t>
      </w:r>
      <w:r>
        <w:rPr>
          <w:rFonts w:ascii="Times New Roman" w:hAnsi="Times New Roman" w:cs="Times New Roman"/>
        </w:rPr>
        <w:t>7</w:t>
      </w:r>
      <w:r w:rsidRPr="008B2ACC">
        <w:rPr>
          <w:rFonts w:ascii="Times New Roman" w:hAnsi="Times New Roman" w:cs="Times New Roman"/>
        </w:rPr>
        <w:t xml:space="preserve"> </w:t>
      </w:r>
      <w:r>
        <w:rPr>
          <w:rFonts w:ascii="Times New Roman" w:hAnsi="Times New Roman" w:cs="Times New Roman"/>
        </w:rPr>
        <w:t xml:space="preserve">klesajú </w:t>
      </w:r>
      <w:r w:rsidRPr="008B2ACC">
        <w:rPr>
          <w:rFonts w:ascii="Times New Roman" w:hAnsi="Times New Roman" w:cs="Times New Roman"/>
        </w:rPr>
        <w:t>o</w:t>
      </w:r>
      <w:r>
        <w:rPr>
          <w:rFonts w:ascii="Times New Roman" w:hAnsi="Times New Roman" w:cs="Times New Roman"/>
        </w:rPr>
        <w:t> 1,55</w:t>
      </w:r>
      <w:r w:rsidRPr="008B2ACC">
        <w:rPr>
          <w:rFonts w:ascii="Times New Roman" w:hAnsi="Times New Roman" w:cs="Times New Roman"/>
        </w:rPr>
        <w:t xml:space="preserve"> mil. eur, t. j. o</w:t>
      </w:r>
      <w:r>
        <w:rPr>
          <w:rFonts w:ascii="Times New Roman" w:hAnsi="Times New Roman" w:cs="Times New Roman"/>
        </w:rPr>
        <w:t> 7,85</w:t>
      </w:r>
      <w:r w:rsidRPr="008B2ACC">
        <w:rPr>
          <w:rFonts w:ascii="Times New Roman" w:hAnsi="Times New Roman" w:cs="Times New Roman"/>
        </w:rPr>
        <w:t xml:space="preserve"> %. Návrh rozpočtu osobných výdavkov na roky 201</w:t>
      </w:r>
      <w:r>
        <w:rPr>
          <w:rFonts w:ascii="Times New Roman" w:hAnsi="Times New Roman" w:cs="Times New Roman"/>
        </w:rPr>
        <w:t>8</w:t>
      </w:r>
      <w:r w:rsidRPr="008B2ACC">
        <w:rPr>
          <w:rFonts w:ascii="Times New Roman" w:hAnsi="Times New Roman" w:cs="Times New Roman"/>
        </w:rPr>
        <w:t xml:space="preserve"> až 20</w:t>
      </w:r>
      <w:r>
        <w:rPr>
          <w:rFonts w:ascii="Times New Roman" w:hAnsi="Times New Roman" w:cs="Times New Roman"/>
        </w:rPr>
        <w:t>20</w:t>
      </w:r>
      <w:r w:rsidRPr="008B2ACC">
        <w:rPr>
          <w:rFonts w:ascii="Times New Roman" w:hAnsi="Times New Roman" w:cs="Times New Roman"/>
        </w:rPr>
        <w:t xml:space="preserve"> zohľadňuje </w:t>
      </w:r>
      <w:r>
        <w:rPr>
          <w:rFonts w:ascii="Times New Roman" w:hAnsi="Times New Roman" w:cs="Times New Roman"/>
        </w:rPr>
        <w:t>podporu pre odmeňovanie zamestnancov excelentných pracovísk</w:t>
      </w:r>
      <w:r w:rsidRPr="00AC0639">
        <w:rPr>
          <w:rFonts w:ascii="Times New Roman" w:hAnsi="Times New Roman" w:cs="Times New Roman"/>
        </w:rPr>
        <w:t xml:space="preserve"> </w:t>
      </w:r>
      <w:r>
        <w:rPr>
          <w:rFonts w:ascii="Times New Roman" w:hAnsi="Times New Roman" w:cs="Times New Roman"/>
        </w:rPr>
        <w:t xml:space="preserve">a </w:t>
      </w:r>
      <w:r w:rsidRPr="008B2ACC">
        <w:rPr>
          <w:rFonts w:ascii="Times New Roman" w:hAnsi="Times New Roman" w:cs="Times New Roman"/>
        </w:rPr>
        <w:t>valorizáciu miezd pre zamestnancov v štátnej a verejnej službe, ktorá je premietnutá z roku 201</w:t>
      </w:r>
      <w:r>
        <w:rPr>
          <w:rFonts w:ascii="Times New Roman" w:hAnsi="Times New Roman" w:cs="Times New Roman"/>
        </w:rPr>
        <w:t>7</w:t>
      </w:r>
      <w:r w:rsidRPr="008B2ACC">
        <w:rPr>
          <w:rFonts w:ascii="Times New Roman" w:hAnsi="Times New Roman" w:cs="Times New Roman"/>
        </w:rPr>
        <w:t xml:space="preserve"> do nasledujúcich rokov.</w:t>
      </w:r>
      <w:r>
        <w:rPr>
          <w:rFonts w:ascii="Times New Roman" w:hAnsi="Times New Roman" w:cs="Times New Roman"/>
        </w:rPr>
        <w:t xml:space="preserve"> Zároveň </w:t>
      </w:r>
      <w:r w:rsidR="00431F54">
        <w:rPr>
          <w:rFonts w:ascii="Times New Roman" w:hAnsi="Times New Roman" w:cs="Times New Roman"/>
        </w:rPr>
        <w:t xml:space="preserve">je </w:t>
      </w:r>
      <w:r>
        <w:rPr>
          <w:rFonts w:ascii="Times New Roman" w:hAnsi="Times New Roman" w:cs="Times New Roman"/>
        </w:rPr>
        <w:t>v objeme osobných výdavkov premietnutý vplyv organizačnej zmeny hospodárenia z rozpočtovej na príspevkovú formu hospodárenia organizácií.</w:t>
      </w:r>
    </w:p>
    <w:p w:rsidR="007D13F3" w:rsidRPr="008B2ACC" w:rsidRDefault="007D13F3" w:rsidP="007D13F3">
      <w:pPr>
        <w:jc w:val="both"/>
        <w:rPr>
          <w:rFonts w:ascii="Times New Roman" w:hAnsi="Times New Roman" w:cs="Times New Roman"/>
        </w:rPr>
      </w:pPr>
      <w:r w:rsidRPr="008B2ACC">
        <w:rPr>
          <w:rFonts w:ascii="Times New Roman" w:hAnsi="Times New Roman"/>
          <w:lang w:eastAsia="sk-SK"/>
        </w:rPr>
        <w:t> </w:t>
      </w:r>
      <w:r w:rsidRPr="008B2ACC">
        <w:rPr>
          <w:rFonts w:ascii="Times New Roman" w:hAnsi="Times New Roman"/>
          <w:lang w:eastAsia="sk-SK"/>
        </w:rPr>
        <w:tab/>
      </w:r>
    </w:p>
    <w:p w:rsidR="007D13F3" w:rsidRPr="008B2ACC" w:rsidRDefault="007D13F3" w:rsidP="007D13F3">
      <w:pPr>
        <w:ind w:firstLine="708"/>
        <w:jc w:val="both"/>
        <w:rPr>
          <w:rFonts w:ascii="Times New Roman" w:hAnsi="Times New Roman"/>
          <w:lang w:eastAsia="sk-SK"/>
        </w:rPr>
      </w:pPr>
      <w:r w:rsidRPr="008B2ACC">
        <w:rPr>
          <w:rFonts w:ascii="Times New Roman" w:hAnsi="Times New Roman"/>
          <w:lang w:eastAsia="sk-SK"/>
        </w:rPr>
        <w:t>Výdavky na tovary a služby na rok 201</w:t>
      </w:r>
      <w:r>
        <w:rPr>
          <w:rFonts w:ascii="Times New Roman" w:hAnsi="Times New Roman"/>
          <w:lang w:eastAsia="sk-SK"/>
        </w:rPr>
        <w:t>8</w:t>
      </w:r>
      <w:r w:rsidRPr="008B2ACC">
        <w:rPr>
          <w:rFonts w:ascii="Times New Roman" w:hAnsi="Times New Roman"/>
          <w:lang w:eastAsia="sk-SK"/>
        </w:rPr>
        <w:t xml:space="preserve"> sa navrhujú v sume </w:t>
      </w:r>
      <w:r>
        <w:rPr>
          <w:rFonts w:ascii="Times New Roman" w:hAnsi="Times New Roman"/>
          <w:lang w:eastAsia="sk-SK"/>
        </w:rPr>
        <w:t xml:space="preserve">6,92 </w:t>
      </w:r>
      <w:r w:rsidRPr="008B2ACC">
        <w:rPr>
          <w:rFonts w:ascii="Times New Roman" w:hAnsi="Times New Roman"/>
          <w:lang w:eastAsia="sk-SK"/>
        </w:rPr>
        <w:t xml:space="preserve">mil. eur, čo predstavuje </w:t>
      </w:r>
      <w:r>
        <w:rPr>
          <w:rFonts w:ascii="Times New Roman" w:hAnsi="Times New Roman"/>
          <w:lang w:eastAsia="sk-SK"/>
        </w:rPr>
        <w:t>nárast</w:t>
      </w:r>
      <w:r w:rsidRPr="008B2ACC">
        <w:rPr>
          <w:rFonts w:ascii="Times New Roman" w:hAnsi="Times New Roman"/>
          <w:lang w:eastAsia="sk-SK"/>
        </w:rPr>
        <w:t xml:space="preserve"> o</w:t>
      </w:r>
      <w:r>
        <w:rPr>
          <w:rFonts w:ascii="Times New Roman" w:hAnsi="Times New Roman"/>
          <w:lang w:eastAsia="sk-SK"/>
        </w:rPr>
        <w:t> 0,86</w:t>
      </w:r>
      <w:r w:rsidRPr="008B2ACC">
        <w:rPr>
          <w:rFonts w:ascii="Times New Roman" w:hAnsi="Times New Roman"/>
          <w:lang w:eastAsia="sk-SK"/>
        </w:rPr>
        <w:t xml:space="preserve"> mil. eur, t. j. o</w:t>
      </w:r>
      <w:r>
        <w:rPr>
          <w:rFonts w:ascii="Times New Roman" w:hAnsi="Times New Roman"/>
          <w:lang w:eastAsia="sk-SK"/>
        </w:rPr>
        <w:t> 14,2</w:t>
      </w:r>
      <w:r w:rsidRPr="008B2ACC">
        <w:rPr>
          <w:rFonts w:ascii="Times New Roman" w:hAnsi="Times New Roman"/>
          <w:lang w:eastAsia="sk-SK"/>
        </w:rPr>
        <w:t xml:space="preserve"> % oproti schválenému rozpočtu na rok 201</w:t>
      </w:r>
      <w:r>
        <w:rPr>
          <w:rFonts w:ascii="Times New Roman" w:hAnsi="Times New Roman"/>
          <w:lang w:eastAsia="sk-SK"/>
        </w:rPr>
        <w:t>7</w:t>
      </w:r>
      <w:r w:rsidRPr="008B2ACC">
        <w:rPr>
          <w:rFonts w:ascii="Times New Roman" w:hAnsi="Times New Roman"/>
          <w:lang w:eastAsia="sk-SK"/>
        </w:rPr>
        <w:t xml:space="preserve">. Dôvodom </w:t>
      </w:r>
      <w:r>
        <w:rPr>
          <w:rFonts w:ascii="Times New Roman" w:hAnsi="Times New Roman"/>
          <w:lang w:eastAsia="sk-SK"/>
        </w:rPr>
        <w:t>nárastu</w:t>
      </w:r>
      <w:r w:rsidRPr="008B2ACC">
        <w:rPr>
          <w:rFonts w:ascii="Times New Roman" w:hAnsi="Times New Roman"/>
          <w:lang w:eastAsia="sk-SK"/>
        </w:rPr>
        <w:t xml:space="preserve"> výdavkov </w:t>
      </w:r>
      <w:r>
        <w:rPr>
          <w:rFonts w:ascii="Times New Roman" w:hAnsi="Times New Roman"/>
          <w:lang w:eastAsia="sk-SK"/>
        </w:rPr>
        <w:t>je podpora excelentných pracovísk a zapracovanie zmluvy o združovaní finančných prostriedkov na tvorbu a rozvoj Slovenského národného korpusu</w:t>
      </w:r>
      <w:r w:rsidRPr="008B2ACC">
        <w:rPr>
          <w:rFonts w:ascii="Times New Roman" w:hAnsi="Times New Roman"/>
          <w:lang w:eastAsia="sk-SK"/>
        </w:rPr>
        <w:t>.</w:t>
      </w:r>
    </w:p>
    <w:p w:rsidR="007D13F3" w:rsidRPr="008B2ACC" w:rsidRDefault="007D13F3" w:rsidP="007D13F3">
      <w:pPr>
        <w:jc w:val="both"/>
        <w:rPr>
          <w:rFonts w:ascii="Times New Roman" w:hAnsi="Times New Roman"/>
          <w:lang w:eastAsia="sk-SK"/>
        </w:rPr>
      </w:pPr>
    </w:p>
    <w:p w:rsidR="007D13F3" w:rsidRPr="008B2ACC" w:rsidRDefault="007D13F3" w:rsidP="007D13F3">
      <w:pPr>
        <w:ind w:firstLine="708"/>
        <w:jc w:val="both"/>
        <w:rPr>
          <w:rFonts w:ascii="Times New Roman" w:hAnsi="Times New Roman"/>
          <w:lang w:eastAsia="sk-SK"/>
        </w:rPr>
      </w:pPr>
      <w:r w:rsidRPr="008B2ACC">
        <w:rPr>
          <w:rFonts w:ascii="Times New Roman" w:hAnsi="Times New Roman"/>
          <w:lang w:eastAsia="sk-SK"/>
        </w:rPr>
        <w:t>Rozpočtovaná úroveň bežných transferov na rok 201</w:t>
      </w:r>
      <w:r>
        <w:rPr>
          <w:rFonts w:ascii="Times New Roman" w:hAnsi="Times New Roman"/>
          <w:lang w:eastAsia="sk-SK"/>
        </w:rPr>
        <w:t>8</w:t>
      </w:r>
      <w:r w:rsidRPr="008B2ACC">
        <w:rPr>
          <w:rFonts w:ascii="Times New Roman" w:hAnsi="Times New Roman"/>
          <w:lang w:eastAsia="sk-SK"/>
        </w:rPr>
        <w:t xml:space="preserve"> v sume </w:t>
      </w:r>
      <w:r>
        <w:rPr>
          <w:rFonts w:ascii="Times New Roman" w:hAnsi="Times New Roman"/>
          <w:lang w:eastAsia="sk-SK"/>
        </w:rPr>
        <w:t>41,3</w:t>
      </w:r>
      <w:r w:rsidRPr="008B2ACC">
        <w:rPr>
          <w:rFonts w:ascii="Times New Roman" w:hAnsi="Times New Roman"/>
          <w:lang w:eastAsia="sk-SK"/>
        </w:rPr>
        <w:t xml:space="preserve"> mil. eur je oproti schválenému rozpočtu na rok 201</w:t>
      </w:r>
      <w:r>
        <w:rPr>
          <w:rFonts w:ascii="Times New Roman" w:hAnsi="Times New Roman"/>
          <w:lang w:eastAsia="sk-SK"/>
        </w:rPr>
        <w:t>7</w:t>
      </w:r>
      <w:r w:rsidRPr="008B2ACC">
        <w:rPr>
          <w:rFonts w:ascii="Times New Roman" w:hAnsi="Times New Roman"/>
          <w:lang w:eastAsia="sk-SK"/>
        </w:rPr>
        <w:t xml:space="preserve"> vyššia o</w:t>
      </w:r>
      <w:r>
        <w:rPr>
          <w:rFonts w:ascii="Times New Roman" w:hAnsi="Times New Roman"/>
          <w:lang w:eastAsia="sk-SK"/>
        </w:rPr>
        <w:t> 5,03</w:t>
      </w:r>
      <w:r w:rsidRPr="008B2ACC">
        <w:rPr>
          <w:rFonts w:ascii="Times New Roman" w:hAnsi="Times New Roman"/>
          <w:lang w:eastAsia="sk-SK"/>
        </w:rPr>
        <w:t xml:space="preserve"> mil. eur, t. j. o</w:t>
      </w:r>
      <w:r>
        <w:rPr>
          <w:rFonts w:ascii="Times New Roman" w:hAnsi="Times New Roman"/>
          <w:lang w:eastAsia="sk-SK"/>
        </w:rPr>
        <w:t> 13,8</w:t>
      </w:r>
      <w:r w:rsidRPr="008B2ACC">
        <w:rPr>
          <w:rFonts w:ascii="Times New Roman" w:hAnsi="Times New Roman"/>
          <w:lang w:eastAsia="sk-SK"/>
        </w:rPr>
        <w:t xml:space="preserve"> %. V náraste je premietnuté zvýšenie výdavkov z titulu zapracovania organizačných zmien</w:t>
      </w:r>
      <w:r>
        <w:rPr>
          <w:rFonts w:ascii="Times New Roman" w:hAnsi="Times New Roman"/>
          <w:lang w:eastAsia="sk-SK"/>
        </w:rPr>
        <w:t xml:space="preserve"> a ocenenia excelentných pracovísk. </w:t>
      </w:r>
    </w:p>
    <w:p w:rsidR="007D13F3" w:rsidRPr="008B2ACC" w:rsidRDefault="007D13F3" w:rsidP="007D13F3">
      <w:pPr>
        <w:jc w:val="both"/>
        <w:rPr>
          <w:rFonts w:ascii="Times New Roman" w:hAnsi="Times New Roman"/>
          <w:lang w:eastAsia="sk-SK"/>
        </w:rPr>
      </w:pPr>
    </w:p>
    <w:p w:rsidR="007D13F3" w:rsidRDefault="007D13F3" w:rsidP="007D13F3">
      <w:pPr>
        <w:ind w:firstLine="708"/>
        <w:jc w:val="both"/>
        <w:rPr>
          <w:rFonts w:ascii="Times New Roman" w:hAnsi="Times New Roman"/>
          <w:lang w:eastAsia="sk-SK"/>
        </w:rPr>
      </w:pPr>
      <w:r w:rsidRPr="008B2ACC">
        <w:rPr>
          <w:rFonts w:ascii="Times New Roman" w:hAnsi="Times New Roman"/>
          <w:lang w:eastAsia="sk-SK"/>
        </w:rPr>
        <w:t xml:space="preserve">Kapitálové výdavky </w:t>
      </w:r>
      <w:r w:rsidR="00C73ECC">
        <w:rPr>
          <w:rFonts w:ascii="Times New Roman" w:hAnsi="Times New Roman"/>
          <w:lang w:eastAsia="sk-SK"/>
        </w:rPr>
        <w:t xml:space="preserve">sa rozpočtujú </w:t>
      </w:r>
      <w:r>
        <w:rPr>
          <w:rFonts w:ascii="Times New Roman" w:hAnsi="Times New Roman"/>
          <w:lang w:eastAsia="sk-SK"/>
        </w:rPr>
        <w:t>v sume 0,64 mil. eur, čo je nárast oproti</w:t>
      </w:r>
      <w:r w:rsidRPr="008B2ACC">
        <w:rPr>
          <w:rFonts w:ascii="Times New Roman" w:hAnsi="Times New Roman"/>
          <w:lang w:eastAsia="sk-SK"/>
        </w:rPr>
        <w:t xml:space="preserve"> schválené</w:t>
      </w:r>
      <w:r>
        <w:rPr>
          <w:rFonts w:ascii="Times New Roman" w:hAnsi="Times New Roman"/>
          <w:lang w:eastAsia="sk-SK"/>
        </w:rPr>
        <w:t>mu</w:t>
      </w:r>
      <w:r w:rsidRPr="008B2ACC">
        <w:rPr>
          <w:rFonts w:ascii="Times New Roman" w:hAnsi="Times New Roman"/>
          <w:lang w:eastAsia="sk-SK"/>
        </w:rPr>
        <w:t xml:space="preserve"> rozpočtu na rok 201</w:t>
      </w:r>
      <w:r>
        <w:rPr>
          <w:rFonts w:ascii="Times New Roman" w:hAnsi="Times New Roman"/>
          <w:lang w:eastAsia="sk-SK"/>
        </w:rPr>
        <w:t>7 o 0,10 mil. eur, t. j. o 18,5 %</w:t>
      </w:r>
      <w:r w:rsidRPr="008B2ACC">
        <w:rPr>
          <w:rFonts w:ascii="Times New Roman" w:hAnsi="Times New Roman"/>
          <w:lang w:eastAsia="sk-SK"/>
        </w:rPr>
        <w:t xml:space="preserve">. </w:t>
      </w:r>
    </w:p>
    <w:p w:rsidR="007D13F3" w:rsidRPr="00F60E32" w:rsidRDefault="007D13F3" w:rsidP="007D13F3">
      <w:pPr>
        <w:jc w:val="both"/>
        <w:rPr>
          <w:rFonts w:ascii="Times New Roman" w:hAnsi="Times New Roman" w:cs="Times New Roman"/>
          <w:noProof/>
          <w:lang w:eastAsia="sk-SK"/>
        </w:rPr>
      </w:pPr>
    </w:p>
    <w:p w:rsidR="007D13F3" w:rsidRPr="00F60E32" w:rsidRDefault="007D13F3" w:rsidP="007D13F3">
      <w:pPr>
        <w:ind w:firstLine="708"/>
        <w:jc w:val="both"/>
        <w:rPr>
          <w:rFonts w:ascii="Times New Roman" w:hAnsi="Times New Roman" w:cs="Times New Roman"/>
          <w:bCs/>
        </w:rPr>
      </w:pPr>
      <w:r>
        <w:rPr>
          <w:rFonts w:ascii="Times New Roman" w:hAnsi="Times New Roman" w:cs="Times New Roman"/>
          <w:noProof/>
          <w:lang w:eastAsia="sk-SK"/>
        </w:rPr>
        <w:t>SAV</w:t>
      </w:r>
      <w:r w:rsidRPr="00F60E32">
        <w:rPr>
          <w:rFonts w:ascii="Times New Roman" w:hAnsi="Times New Roman" w:cs="Times New Roman"/>
          <w:noProof/>
          <w:lang w:eastAsia="sk-SK"/>
        </w:rPr>
        <w:t xml:space="preserve"> na rok 2018 rozpočtuje výdavky na samostaných účtoch v celkovej sume</w:t>
      </w:r>
      <w:r w:rsidRPr="00F60E32">
        <w:rPr>
          <w:rFonts w:ascii="Times New Roman" w:hAnsi="Times New Roman" w:cs="Times New Roman"/>
          <w:noProof/>
          <w:lang w:eastAsia="sk-SK"/>
        </w:rPr>
        <w:br/>
      </w:r>
      <w:r>
        <w:rPr>
          <w:rFonts w:ascii="Times New Roman" w:hAnsi="Times New Roman" w:cs="Times New Roman"/>
          <w:bCs/>
        </w:rPr>
        <w:t>0,72</w:t>
      </w:r>
      <w:r w:rsidRPr="00F60E32">
        <w:rPr>
          <w:rFonts w:ascii="Times New Roman" w:hAnsi="Times New Roman" w:cs="Times New Roman"/>
          <w:bCs/>
        </w:rPr>
        <w:t xml:space="preserve"> mil. eur. Uvedené prostriedky sú určené na financovanie </w:t>
      </w:r>
      <w:r>
        <w:rPr>
          <w:rFonts w:ascii="Times New Roman" w:hAnsi="Times New Roman" w:cs="Times New Roman"/>
          <w:bCs/>
        </w:rPr>
        <w:t>programov SASPRO, Horizont 2020, Dunajský nadnárodný program, podnikateľskú činnosť rozpočtových a príspevkových organizácií, ako aj programov v rámci medzinárodnej spolupráce medzi jednotlivými ústavmi SAV a nákladov súvisiacich so stravovaním vrátane úhrad stravy.</w:t>
      </w:r>
    </w:p>
    <w:p w:rsidR="007D13F3" w:rsidRPr="008B2ACC" w:rsidRDefault="007D13F3" w:rsidP="007D13F3">
      <w:pPr>
        <w:jc w:val="both"/>
        <w:rPr>
          <w:rFonts w:ascii="Times New Roman" w:hAnsi="Times New Roman"/>
          <w:lang w:eastAsia="sk-SK"/>
        </w:rPr>
      </w:pPr>
    </w:p>
    <w:p w:rsidR="007D13F3" w:rsidRPr="008B2ACC" w:rsidRDefault="007D13F3" w:rsidP="007D13F3">
      <w:pPr>
        <w:ind w:firstLine="708"/>
        <w:jc w:val="both"/>
        <w:rPr>
          <w:rFonts w:ascii="Times New Roman" w:hAnsi="Times New Roman"/>
          <w:lang w:eastAsia="sk-SK"/>
        </w:rPr>
      </w:pPr>
      <w:r w:rsidRPr="008B2ACC">
        <w:rPr>
          <w:rFonts w:ascii="Times New Roman" w:hAnsi="Times New Roman"/>
          <w:lang w:eastAsia="sk-SK"/>
        </w:rPr>
        <w:t>Činnosť akadémie je zameraná na základný výskum, zúčastňuje sa aj na aplikovanom výskume a zabezpečuje tretí stupeň vysokoškolského vzdelávania.</w:t>
      </w:r>
    </w:p>
    <w:p w:rsidR="007D13F3" w:rsidRDefault="007D13F3" w:rsidP="007D13F3">
      <w:pPr>
        <w:jc w:val="both"/>
        <w:rPr>
          <w:rFonts w:ascii="Times New Roman" w:hAnsi="Times New Roman"/>
          <w:b/>
          <w:bCs/>
          <w:lang w:eastAsia="sk-SK"/>
        </w:rPr>
      </w:pPr>
    </w:p>
    <w:p w:rsidR="007D13F3" w:rsidRPr="008B2ACC" w:rsidRDefault="007D13F3" w:rsidP="007D13F3">
      <w:pPr>
        <w:jc w:val="both"/>
        <w:rPr>
          <w:rFonts w:ascii="Times New Roman" w:hAnsi="Times New Roman"/>
          <w:b/>
          <w:bCs/>
          <w:lang w:eastAsia="sk-SK"/>
        </w:rPr>
      </w:pPr>
      <w:r w:rsidRPr="008B2ACC">
        <w:rPr>
          <w:rFonts w:ascii="Times New Roman" w:hAnsi="Times New Roman"/>
          <w:b/>
          <w:bCs/>
          <w:lang w:eastAsia="sk-SK"/>
        </w:rPr>
        <w:t>Financovanie základného a aplikovaného výskumu </w:t>
      </w:r>
    </w:p>
    <w:p w:rsidR="007D13F3" w:rsidRPr="008B2ACC" w:rsidRDefault="007D13F3" w:rsidP="007D13F3">
      <w:pPr>
        <w:jc w:val="both"/>
        <w:rPr>
          <w:rFonts w:ascii="Times New Roman" w:hAnsi="Times New Roman"/>
          <w:lang w:eastAsia="sk-SK"/>
        </w:rPr>
      </w:pPr>
    </w:p>
    <w:p w:rsidR="007D13F3" w:rsidRDefault="007D13F3" w:rsidP="007D13F3">
      <w:pPr>
        <w:ind w:firstLine="708"/>
        <w:jc w:val="both"/>
        <w:rPr>
          <w:rFonts w:ascii="Times New Roman" w:hAnsi="Times New Roman"/>
          <w:lang w:eastAsia="sk-SK"/>
        </w:rPr>
      </w:pPr>
      <w:r w:rsidRPr="008B2ACC">
        <w:rPr>
          <w:rFonts w:ascii="Times New Roman" w:hAnsi="Times New Roman"/>
          <w:lang w:eastAsia="sk-SK"/>
        </w:rPr>
        <w:t xml:space="preserve">SAV prostredníctvom svojich </w:t>
      </w:r>
      <w:r>
        <w:rPr>
          <w:rFonts w:ascii="Times New Roman" w:hAnsi="Times New Roman"/>
          <w:lang w:eastAsia="sk-SK"/>
        </w:rPr>
        <w:t>29</w:t>
      </w:r>
      <w:r w:rsidRPr="008B2ACC">
        <w:rPr>
          <w:rFonts w:ascii="Times New Roman" w:hAnsi="Times New Roman"/>
          <w:lang w:eastAsia="sk-SK"/>
        </w:rPr>
        <w:t xml:space="preserve"> rozpočtových organizácií (vrátane </w:t>
      </w:r>
      <w:r>
        <w:rPr>
          <w:rFonts w:ascii="Times New Roman" w:hAnsi="Times New Roman"/>
          <w:lang w:eastAsia="sk-SK"/>
        </w:rPr>
        <w:t>ú</w:t>
      </w:r>
      <w:r w:rsidRPr="008B2ACC">
        <w:rPr>
          <w:rFonts w:ascii="Times New Roman" w:hAnsi="Times New Roman"/>
          <w:lang w:eastAsia="sk-SK"/>
        </w:rPr>
        <w:t>radu SAV) a </w:t>
      </w:r>
      <w:r>
        <w:rPr>
          <w:rFonts w:ascii="Times New Roman" w:hAnsi="Times New Roman"/>
          <w:lang w:eastAsia="sk-SK"/>
        </w:rPr>
        <w:t>29</w:t>
      </w:r>
      <w:r w:rsidRPr="008B2ACC">
        <w:rPr>
          <w:rFonts w:ascii="Times New Roman" w:hAnsi="Times New Roman"/>
          <w:lang w:eastAsia="sk-SK"/>
        </w:rPr>
        <w:t xml:space="preserve"> príspevkových organizácií zabezpečuje riešenie úloh základného výskumu a aplikovaného výskumu. Na činnosť organizácií v roku 201</w:t>
      </w:r>
      <w:r>
        <w:rPr>
          <w:rFonts w:ascii="Times New Roman" w:hAnsi="Times New Roman"/>
          <w:lang w:eastAsia="sk-SK"/>
        </w:rPr>
        <w:t>8</w:t>
      </w:r>
      <w:r w:rsidRPr="008B2ACC">
        <w:rPr>
          <w:rFonts w:ascii="Times New Roman" w:hAnsi="Times New Roman"/>
          <w:lang w:eastAsia="sk-SK"/>
        </w:rPr>
        <w:t xml:space="preserve"> kapitola rozpísala celkové výdavky v sume </w:t>
      </w:r>
      <w:r>
        <w:rPr>
          <w:rFonts w:ascii="Times New Roman" w:hAnsi="Times New Roman"/>
          <w:lang w:eastAsia="sk-SK"/>
        </w:rPr>
        <w:t>63,8</w:t>
      </w:r>
      <w:r w:rsidRPr="008B2ACC">
        <w:rPr>
          <w:rFonts w:ascii="Times New Roman" w:hAnsi="Times New Roman"/>
          <w:lang w:eastAsia="sk-SK"/>
        </w:rPr>
        <w:t xml:space="preserve"> mil. eur</w:t>
      </w:r>
      <w:r>
        <w:rPr>
          <w:rFonts w:ascii="Times New Roman" w:hAnsi="Times New Roman"/>
          <w:lang w:eastAsia="sk-SK"/>
        </w:rPr>
        <w:t xml:space="preserve"> vrátane výdavkov určených na IT financovaných zo štátneho rozpočtu</w:t>
      </w:r>
      <w:r w:rsidRPr="008B2ACC">
        <w:rPr>
          <w:rFonts w:ascii="Times New Roman" w:hAnsi="Times New Roman"/>
          <w:lang w:eastAsia="sk-SK"/>
        </w:rPr>
        <w:t>, čo je oproti schválenému rozpočtu na rok 201</w:t>
      </w:r>
      <w:r>
        <w:rPr>
          <w:rFonts w:ascii="Times New Roman" w:hAnsi="Times New Roman"/>
          <w:lang w:eastAsia="sk-SK"/>
        </w:rPr>
        <w:t>7</w:t>
      </w:r>
      <w:r w:rsidRPr="008B2ACC">
        <w:rPr>
          <w:rFonts w:ascii="Times New Roman" w:hAnsi="Times New Roman"/>
          <w:lang w:eastAsia="sk-SK"/>
        </w:rPr>
        <w:t xml:space="preserve"> viac o</w:t>
      </w:r>
      <w:r>
        <w:rPr>
          <w:rFonts w:ascii="Times New Roman" w:hAnsi="Times New Roman"/>
          <w:lang w:eastAsia="sk-SK"/>
        </w:rPr>
        <w:t> 4,68</w:t>
      </w:r>
      <w:r w:rsidRPr="008B2ACC">
        <w:rPr>
          <w:rFonts w:ascii="Times New Roman" w:hAnsi="Times New Roman"/>
          <w:lang w:eastAsia="sk-SK"/>
        </w:rPr>
        <w:t xml:space="preserve"> mil. eur, t. j. o</w:t>
      </w:r>
      <w:r>
        <w:rPr>
          <w:rFonts w:ascii="Times New Roman" w:hAnsi="Times New Roman"/>
          <w:lang w:eastAsia="sk-SK"/>
        </w:rPr>
        <w:t xml:space="preserve"> 7,91 </w:t>
      </w:r>
      <w:r w:rsidRPr="008B2ACC">
        <w:rPr>
          <w:rFonts w:ascii="Times New Roman" w:hAnsi="Times New Roman"/>
          <w:lang w:eastAsia="sk-SK"/>
        </w:rPr>
        <w:t xml:space="preserve">%. </w:t>
      </w:r>
      <w:r>
        <w:rPr>
          <w:rFonts w:ascii="Times New Roman" w:hAnsi="Times New Roman"/>
          <w:lang w:eastAsia="sk-SK"/>
        </w:rPr>
        <w:t xml:space="preserve"> </w:t>
      </w:r>
    </w:p>
    <w:p w:rsidR="007D13F3" w:rsidRDefault="007D13F3" w:rsidP="007D13F3">
      <w:pPr>
        <w:jc w:val="both"/>
        <w:rPr>
          <w:rFonts w:ascii="Times New Roman" w:hAnsi="Times New Roman"/>
          <w:lang w:eastAsia="sk-SK"/>
        </w:rPr>
      </w:pPr>
    </w:p>
    <w:tbl>
      <w:tblPr>
        <w:tblW w:w="5000" w:type="pct"/>
        <w:tblCellMar>
          <w:left w:w="70" w:type="dxa"/>
          <w:right w:w="70" w:type="dxa"/>
        </w:tblCellMar>
        <w:tblLook w:val="04A0" w:firstRow="1" w:lastRow="0" w:firstColumn="1" w:lastColumn="0" w:noHBand="0" w:noVBand="1"/>
      </w:tblPr>
      <w:tblGrid>
        <w:gridCol w:w="3602"/>
        <w:gridCol w:w="840"/>
        <w:gridCol w:w="770"/>
        <w:gridCol w:w="770"/>
        <w:gridCol w:w="770"/>
        <w:gridCol w:w="770"/>
        <w:gridCol w:w="770"/>
        <w:gridCol w:w="770"/>
      </w:tblGrid>
      <w:tr w:rsidR="007D13F3" w:rsidRPr="00555580" w:rsidTr="00465CAC">
        <w:trPr>
          <w:trHeight w:hRule="exact" w:val="255"/>
        </w:trPr>
        <w:tc>
          <w:tcPr>
            <w:tcW w:w="2004"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555580" w:rsidRDefault="007D13F3" w:rsidP="00465CAC">
            <w:pP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v eurách</w:t>
            </w:r>
          </w:p>
        </w:tc>
        <w:tc>
          <w:tcPr>
            <w:tcW w:w="460"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2015 S</w:t>
            </w:r>
          </w:p>
        </w:tc>
        <w:tc>
          <w:tcPr>
            <w:tcW w:w="423"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2016 S</w:t>
            </w:r>
          </w:p>
        </w:tc>
        <w:tc>
          <w:tcPr>
            <w:tcW w:w="423"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2017 R</w:t>
            </w:r>
          </w:p>
        </w:tc>
        <w:tc>
          <w:tcPr>
            <w:tcW w:w="423"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2017 OS</w:t>
            </w:r>
          </w:p>
        </w:tc>
        <w:tc>
          <w:tcPr>
            <w:tcW w:w="423"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2018 N</w:t>
            </w:r>
          </w:p>
        </w:tc>
        <w:tc>
          <w:tcPr>
            <w:tcW w:w="423"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2019 N</w:t>
            </w:r>
          </w:p>
        </w:tc>
        <w:tc>
          <w:tcPr>
            <w:tcW w:w="423"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2020 N</w:t>
            </w:r>
          </w:p>
        </w:tc>
      </w:tr>
      <w:tr w:rsidR="007D13F3" w:rsidRPr="00555580" w:rsidTr="00465CAC">
        <w:trPr>
          <w:trHeight w:hRule="exact" w:val="255"/>
        </w:trPr>
        <w:tc>
          <w:tcPr>
            <w:tcW w:w="2004"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555580" w:rsidRDefault="007D13F3" w:rsidP="00465CAC">
            <w:pP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Spolu výdavky</w:t>
            </w:r>
          </w:p>
        </w:tc>
        <w:tc>
          <w:tcPr>
            <w:tcW w:w="460"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122 968 032</w:t>
            </w:r>
          </w:p>
        </w:tc>
        <w:tc>
          <w:tcPr>
            <w:tcW w:w="423"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62 031 199</w:t>
            </w:r>
          </w:p>
        </w:tc>
        <w:tc>
          <w:tcPr>
            <w:tcW w:w="423"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59 161 023</w:t>
            </w:r>
          </w:p>
        </w:tc>
        <w:tc>
          <w:tcPr>
            <w:tcW w:w="423"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63 762 589</w:t>
            </w:r>
          </w:p>
        </w:tc>
        <w:tc>
          <w:tcPr>
            <w:tcW w:w="423"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63 842 398</w:t>
            </w:r>
          </w:p>
        </w:tc>
        <w:tc>
          <w:tcPr>
            <w:tcW w:w="423"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63 840 806</w:t>
            </w:r>
          </w:p>
        </w:tc>
        <w:tc>
          <w:tcPr>
            <w:tcW w:w="423"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63 840 806</w:t>
            </w:r>
          </w:p>
        </w:tc>
      </w:tr>
      <w:tr w:rsidR="007D13F3" w:rsidRPr="00555580" w:rsidTr="00465CAC">
        <w:trPr>
          <w:trHeight w:hRule="exact" w:val="255"/>
        </w:trPr>
        <w:tc>
          <w:tcPr>
            <w:tcW w:w="2004"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Úrad SAV</w:t>
            </w:r>
          </w:p>
        </w:tc>
        <w:tc>
          <w:tcPr>
            <w:tcW w:w="460"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26 478 398</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7 762 902</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7 179 493</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7 398 535</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8 669 222</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8 656 230</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8 645 730</w:t>
            </w:r>
          </w:p>
        </w:tc>
      </w:tr>
      <w:tr w:rsidR="007D13F3" w:rsidRPr="00555580" w:rsidTr="00465CAC">
        <w:trPr>
          <w:trHeight w:hRule="exact" w:val="255"/>
        </w:trPr>
        <w:tc>
          <w:tcPr>
            <w:tcW w:w="2004"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rozpočtové organizácie </w:t>
            </w:r>
          </w:p>
        </w:tc>
        <w:tc>
          <w:tcPr>
            <w:tcW w:w="460"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46 732 443</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20 972 426</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19 016 805</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17 928 891</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16 728 533</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16 735 160</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16 752 613</w:t>
            </w:r>
          </w:p>
        </w:tc>
      </w:tr>
      <w:tr w:rsidR="007D13F3" w:rsidRPr="00555580" w:rsidTr="00465CAC">
        <w:trPr>
          <w:trHeight w:hRule="exact" w:val="255"/>
        </w:trPr>
        <w:tc>
          <w:tcPr>
            <w:tcW w:w="2004"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príspevkové organizácie</w:t>
            </w:r>
          </w:p>
        </w:tc>
        <w:tc>
          <w:tcPr>
            <w:tcW w:w="460"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49 757 191</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33 295 871</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32 767 482</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37 683 878</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37 720 792</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37 724 622</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37 724 432</w:t>
            </w:r>
          </w:p>
        </w:tc>
      </w:tr>
      <w:tr w:rsidR="007D13F3" w:rsidRPr="00555580" w:rsidTr="00465CAC">
        <w:trPr>
          <w:trHeight w:hRule="exact" w:val="255"/>
        </w:trPr>
        <w:tc>
          <w:tcPr>
            <w:tcW w:w="2004" w:type="pct"/>
            <w:tcBorders>
              <w:top w:val="nil"/>
              <w:left w:val="single" w:sz="4" w:space="0" w:color="auto"/>
              <w:bottom w:val="single" w:sz="4" w:space="0" w:color="auto"/>
              <w:right w:val="single" w:sz="4" w:space="0" w:color="auto"/>
            </w:tcBorders>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IT financované zo štátneho rozpočtu</w:t>
            </w:r>
          </w:p>
        </w:tc>
        <w:tc>
          <w:tcPr>
            <w:tcW w:w="460"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197 243</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751 285</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723 851</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724 794</w:t>
            </w:r>
          </w:p>
        </w:tc>
        <w:tc>
          <w:tcPr>
            <w:tcW w:w="423" w:type="pct"/>
            <w:tcBorders>
              <w:top w:val="nil"/>
              <w:left w:val="nil"/>
              <w:bottom w:val="single" w:sz="4" w:space="0" w:color="auto"/>
              <w:right w:val="single" w:sz="4" w:space="0" w:color="auto"/>
            </w:tcBorders>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718 031</w:t>
            </w:r>
          </w:p>
        </w:tc>
      </w:tr>
    </w:tbl>
    <w:p w:rsidR="007D13F3" w:rsidRDefault="007D13F3" w:rsidP="007D13F3">
      <w:pPr>
        <w:jc w:val="both"/>
        <w:rPr>
          <w:rFonts w:ascii="Times New Roman" w:hAnsi="Times New Roman"/>
          <w:lang w:eastAsia="sk-SK"/>
        </w:rPr>
      </w:pPr>
    </w:p>
    <w:p w:rsidR="007D13F3" w:rsidRDefault="007D13F3" w:rsidP="007D13F3">
      <w:pPr>
        <w:jc w:val="both"/>
        <w:rPr>
          <w:rFonts w:ascii="Times New Roman" w:hAnsi="Times New Roman"/>
          <w:lang w:eastAsia="sk-SK"/>
        </w:rPr>
      </w:pPr>
      <w:r>
        <w:rPr>
          <w:rFonts w:ascii="Times New Roman" w:hAnsi="Times New Roman"/>
          <w:lang w:eastAsia="sk-SK"/>
        </w:rPr>
        <w:lastRenderedPageBreak/>
        <w:tab/>
      </w:r>
      <w:r w:rsidRPr="008B2ACC">
        <w:rPr>
          <w:rFonts w:ascii="Times New Roman" w:hAnsi="Times New Roman"/>
          <w:lang w:eastAsia="sk-SK"/>
        </w:rPr>
        <w:t xml:space="preserve">Prehľad rozpočtových a príspevkových organizácií SAV </w:t>
      </w:r>
      <w:r>
        <w:rPr>
          <w:rFonts w:ascii="Times New Roman" w:hAnsi="Times New Roman"/>
          <w:lang w:eastAsia="sk-SK"/>
        </w:rPr>
        <w:t xml:space="preserve">bez IT financovaných zo ŠR </w:t>
      </w:r>
      <w:r w:rsidRPr="008B2ACC">
        <w:rPr>
          <w:rFonts w:ascii="Times New Roman" w:hAnsi="Times New Roman"/>
          <w:lang w:eastAsia="sk-SK"/>
        </w:rPr>
        <w:t>je uvedený nižšie.</w:t>
      </w:r>
      <w:r>
        <w:rPr>
          <w:rFonts w:ascii="Times New Roman" w:hAnsi="Times New Roman"/>
          <w:lang w:eastAsia="sk-SK"/>
        </w:rPr>
        <w:t xml:space="preserve"> </w:t>
      </w:r>
    </w:p>
    <w:p w:rsidR="007D13F3" w:rsidRDefault="007D13F3" w:rsidP="007D13F3">
      <w:pPr>
        <w:jc w:val="both"/>
        <w:rPr>
          <w:rFonts w:ascii="Times New Roman" w:hAnsi="Times New Roman"/>
          <w:lang w:eastAsia="sk-SK"/>
        </w:rPr>
      </w:pPr>
    </w:p>
    <w:tbl>
      <w:tblPr>
        <w:tblW w:w="9061" w:type="dxa"/>
        <w:tblCellMar>
          <w:left w:w="70" w:type="dxa"/>
          <w:right w:w="70" w:type="dxa"/>
        </w:tblCellMar>
        <w:tblLook w:val="04A0" w:firstRow="1" w:lastRow="0" w:firstColumn="1" w:lastColumn="0" w:noHBand="0" w:noVBand="1"/>
      </w:tblPr>
      <w:tblGrid>
        <w:gridCol w:w="317"/>
        <w:gridCol w:w="3319"/>
        <w:gridCol w:w="775"/>
        <w:gridCol w:w="775"/>
        <w:gridCol w:w="775"/>
        <w:gridCol w:w="775"/>
        <w:gridCol w:w="775"/>
        <w:gridCol w:w="775"/>
        <w:gridCol w:w="775"/>
      </w:tblGrid>
      <w:tr w:rsidR="007D13F3" w:rsidRPr="00A04DE0" w:rsidTr="00465CAC">
        <w:trPr>
          <w:trHeight w:val="255"/>
        </w:trPr>
        <w:tc>
          <w:tcPr>
            <w:tcW w:w="0" w:type="auto"/>
            <w:gridSpan w:val="2"/>
            <w:tcBorders>
              <w:top w:val="single" w:sz="4" w:space="0" w:color="auto"/>
              <w:left w:val="single" w:sz="4" w:space="0" w:color="auto"/>
              <w:bottom w:val="single" w:sz="4" w:space="0" w:color="auto"/>
              <w:right w:val="single" w:sz="4" w:space="0" w:color="000000"/>
            </w:tcBorders>
            <w:shd w:val="pct35" w:color="000000" w:fill="auto"/>
            <w:noWrap/>
            <w:vAlign w:val="center"/>
            <w:hideMark/>
          </w:tcPr>
          <w:p w:rsidR="007D13F3" w:rsidRPr="00A04DE0" w:rsidRDefault="007D13F3" w:rsidP="00465CAC">
            <w:pPr>
              <w:rPr>
                <w:rFonts w:ascii="Times New Roman" w:hAnsi="Times New Roman" w:cs="Times New Roman"/>
                <w:b/>
                <w:bCs/>
                <w:color w:val="000000"/>
                <w:sz w:val="14"/>
                <w:szCs w:val="14"/>
                <w:lang w:eastAsia="sk-SK"/>
              </w:rPr>
            </w:pPr>
            <w:r w:rsidRPr="00A04DE0">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000000" w:fill="auto"/>
            <w:noWrap/>
            <w:vAlign w:val="center"/>
            <w:hideMark/>
          </w:tcPr>
          <w:p w:rsidR="007D13F3" w:rsidRPr="00A04DE0" w:rsidRDefault="007D13F3" w:rsidP="00465CAC">
            <w:pPr>
              <w:jc w:val="center"/>
              <w:rPr>
                <w:rFonts w:ascii="Times New Roman" w:hAnsi="Times New Roman" w:cs="Times New Roman"/>
                <w:b/>
                <w:bCs/>
                <w:color w:val="000000"/>
                <w:sz w:val="14"/>
                <w:szCs w:val="14"/>
                <w:lang w:eastAsia="sk-SK"/>
              </w:rPr>
            </w:pPr>
            <w:r w:rsidRPr="00A04DE0">
              <w:rPr>
                <w:rFonts w:ascii="Times New Roman" w:hAnsi="Times New Roman" w:cs="Times New Roman"/>
                <w:b/>
                <w:bCs/>
                <w:color w:val="000000"/>
                <w:sz w:val="14"/>
                <w:szCs w:val="14"/>
                <w:lang w:eastAsia="sk-SK"/>
              </w:rPr>
              <w:t>2015 S</w:t>
            </w:r>
          </w:p>
        </w:tc>
        <w:tc>
          <w:tcPr>
            <w:tcW w:w="0" w:type="auto"/>
            <w:tcBorders>
              <w:top w:val="single" w:sz="4" w:space="0" w:color="auto"/>
              <w:left w:val="nil"/>
              <w:bottom w:val="single" w:sz="4" w:space="0" w:color="auto"/>
              <w:right w:val="single" w:sz="4" w:space="0" w:color="auto"/>
            </w:tcBorders>
            <w:shd w:val="pct35" w:color="000000" w:fill="auto"/>
            <w:noWrap/>
            <w:vAlign w:val="center"/>
            <w:hideMark/>
          </w:tcPr>
          <w:p w:rsidR="007D13F3" w:rsidRPr="00A04DE0" w:rsidRDefault="007D13F3" w:rsidP="00465CAC">
            <w:pPr>
              <w:jc w:val="center"/>
              <w:rPr>
                <w:rFonts w:ascii="Times New Roman" w:hAnsi="Times New Roman" w:cs="Times New Roman"/>
                <w:b/>
                <w:bCs/>
                <w:color w:val="000000"/>
                <w:sz w:val="14"/>
                <w:szCs w:val="14"/>
                <w:lang w:eastAsia="sk-SK"/>
              </w:rPr>
            </w:pPr>
            <w:r w:rsidRPr="00A04DE0">
              <w:rPr>
                <w:rFonts w:ascii="Times New Roman" w:hAnsi="Times New Roman" w:cs="Times New Roman"/>
                <w:b/>
                <w:bCs/>
                <w:color w:val="000000"/>
                <w:sz w:val="14"/>
                <w:szCs w:val="14"/>
                <w:lang w:eastAsia="sk-SK"/>
              </w:rPr>
              <w:t>2016 S</w:t>
            </w:r>
          </w:p>
        </w:tc>
        <w:tc>
          <w:tcPr>
            <w:tcW w:w="0" w:type="auto"/>
            <w:tcBorders>
              <w:top w:val="single" w:sz="4" w:space="0" w:color="auto"/>
              <w:left w:val="nil"/>
              <w:bottom w:val="single" w:sz="4" w:space="0" w:color="auto"/>
              <w:right w:val="single" w:sz="4" w:space="0" w:color="auto"/>
            </w:tcBorders>
            <w:shd w:val="pct35" w:color="000000" w:fill="auto"/>
            <w:noWrap/>
            <w:vAlign w:val="center"/>
            <w:hideMark/>
          </w:tcPr>
          <w:p w:rsidR="007D13F3" w:rsidRPr="00A04DE0" w:rsidRDefault="007D13F3" w:rsidP="00465CAC">
            <w:pPr>
              <w:jc w:val="center"/>
              <w:rPr>
                <w:rFonts w:ascii="Times New Roman" w:hAnsi="Times New Roman" w:cs="Times New Roman"/>
                <w:b/>
                <w:bCs/>
                <w:color w:val="000000"/>
                <w:sz w:val="14"/>
                <w:szCs w:val="14"/>
                <w:lang w:eastAsia="sk-SK"/>
              </w:rPr>
            </w:pPr>
            <w:r w:rsidRPr="00A04DE0">
              <w:rPr>
                <w:rFonts w:ascii="Times New Roman" w:hAnsi="Times New Roman" w:cs="Times New Roman"/>
                <w:b/>
                <w:bCs/>
                <w:color w:val="000000"/>
                <w:sz w:val="14"/>
                <w:szCs w:val="14"/>
                <w:lang w:eastAsia="sk-SK"/>
              </w:rPr>
              <w:t>2017 R</w:t>
            </w:r>
          </w:p>
        </w:tc>
        <w:tc>
          <w:tcPr>
            <w:tcW w:w="0" w:type="auto"/>
            <w:tcBorders>
              <w:top w:val="single" w:sz="4" w:space="0" w:color="auto"/>
              <w:left w:val="nil"/>
              <w:bottom w:val="single" w:sz="4" w:space="0" w:color="auto"/>
              <w:right w:val="single" w:sz="4" w:space="0" w:color="auto"/>
            </w:tcBorders>
            <w:shd w:val="pct35" w:color="000000" w:fill="auto"/>
            <w:noWrap/>
            <w:vAlign w:val="center"/>
            <w:hideMark/>
          </w:tcPr>
          <w:p w:rsidR="007D13F3" w:rsidRPr="00A04DE0" w:rsidRDefault="007D13F3" w:rsidP="00465CAC">
            <w:pPr>
              <w:jc w:val="center"/>
              <w:rPr>
                <w:rFonts w:ascii="Times New Roman" w:hAnsi="Times New Roman" w:cs="Times New Roman"/>
                <w:b/>
                <w:bCs/>
                <w:color w:val="000000"/>
                <w:sz w:val="14"/>
                <w:szCs w:val="14"/>
                <w:lang w:eastAsia="sk-SK"/>
              </w:rPr>
            </w:pPr>
            <w:r w:rsidRPr="00A04DE0">
              <w:rPr>
                <w:rFonts w:ascii="Times New Roman" w:hAnsi="Times New Roman" w:cs="Times New Roman"/>
                <w:b/>
                <w:bCs/>
                <w:color w:val="000000"/>
                <w:sz w:val="14"/>
                <w:szCs w:val="14"/>
                <w:lang w:eastAsia="sk-SK"/>
              </w:rPr>
              <w:t>2017 OS</w:t>
            </w:r>
          </w:p>
        </w:tc>
        <w:tc>
          <w:tcPr>
            <w:tcW w:w="0" w:type="auto"/>
            <w:tcBorders>
              <w:top w:val="single" w:sz="4" w:space="0" w:color="auto"/>
              <w:left w:val="nil"/>
              <w:bottom w:val="single" w:sz="4" w:space="0" w:color="auto"/>
              <w:right w:val="single" w:sz="4" w:space="0" w:color="auto"/>
            </w:tcBorders>
            <w:shd w:val="pct35" w:color="000000" w:fill="auto"/>
            <w:noWrap/>
            <w:vAlign w:val="center"/>
            <w:hideMark/>
          </w:tcPr>
          <w:p w:rsidR="007D13F3" w:rsidRPr="00A04DE0" w:rsidRDefault="007D13F3" w:rsidP="00465CAC">
            <w:pPr>
              <w:jc w:val="center"/>
              <w:rPr>
                <w:rFonts w:ascii="Times New Roman" w:hAnsi="Times New Roman" w:cs="Times New Roman"/>
                <w:b/>
                <w:bCs/>
                <w:color w:val="000000"/>
                <w:sz w:val="14"/>
                <w:szCs w:val="14"/>
                <w:lang w:eastAsia="sk-SK"/>
              </w:rPr>
            </w:pPr>
            <w:r w:rsidRPr="00A04DE0">
              <w:rPr>
                <w:rFonts w:ascii="Times New Roman" w:hAnsi="Times New Roman" w:cs="Times New Roman"/>
                <w:b/>
                <w:bCs/>
                <w:color w:val="000000"/>
                <w:sz w:val="14"/>
                <w:szCs w:val="14"/>
                <w:lang w:eastAsia="sk-SK"/>
              </w:rPr>
              <w:t>2018 N</w:t>
            </w:r>
          </w:p>
        </w:tc>
        <w:tc>
          <w:tcPr>
            <w:tcW w:w="0" w:type="auto"/>
            <w:tcBorders>
              <w:top w:val="single" w:sz="4" w:space="0" w:color="auto"/>
              <w:left w:val="nil"/>
              <w:bottom w:val="single" w:sz="4" w:space="0" w:color="auto"/>
              <w:right w:val="single" w:sz="4" w:space="0" w:color="auto"/>
            </w:tcBorders>
            <w:shd w:val="pct35" w:color="000000" w:fill="auto"/>
            <w:noWrap/>
            <w:vAlign w:val="center"/>
            <w:hideMark/>
          </w:tcPr>
          <w:p w:rsidR="007D13F3" w:rsidRPr="00A04DE0" w:rsidRDefault="007D13F3" w:rsidP="00465CAC">
            <w:pPr>
              <w:jc w:val="center"/>
              <w:rPr>
                <w:rFonts w:ascii="Times New Roman" w:hAnsi="Times New Roman" w:cs="Times New Roman"/>
                <w:b/>
                <w:bCs/>
                <w:color w:val="000000"/>
                <w:sz w:val="14"/>
                <w:szCs w:val="14"/>
                <w:lang w:eastAsia="sk-SK"/>
              </w:rPr>
            </w:pPr>
            <w:r w:rsidRPr="00A04DE0">
              <w:rPr>
                <w:rFonts w:ascii="Times New Roman" w:hAnsi="Times New Roman" w:cs="Times New Roman"/>
                <w:b/>
                <w:bCs/>
                <w:color w:val="000000"/>
                <w:sz w:val="14"/>
                <w:szCs w:val="14"/>
                <w:lang w:eastAsia="sk-SK"/>
              </w:rPr>
              <w:t>2019 N</w:t>
            </w:r>
          </w:p>
        </w:tc>
        <w:tc>
          <w:tcPr>
            <w:tcW w:w="0" w:type="auto"/>
            <w:tcBorders>
              <w:top w:val="single" w:sz="4" w:space="0" w:color="auto"/>
              <w:left w:val="nil"/>
              <w:bottom w:val="single" w:sz="4" w:space="0" w:color="auto"/>
              <w:right w:val="single" w:sz="4" w:space="0" w:color="auto"/>
            </w:tcBorders>
            <w:shd w:val="pct35" w:color="000000" w:fill="auto"/>
            <w:noWrap/>
            <w:vAlign w:val="center"/>
            <w:hideMark/>
          </w:tcPr>
          <w:p w:rsidR="007D13F3" w:rsidRPr="00A04DE0" w:rsidRDefault="007D13F3" w:rsidP="00465CAC">
            <w:pPr>
              <w:jc w:val="center"/>
              <w:rPr>
                <w:rFonts w:ascii="Times New Roman" w:hAnsi="Times New Roman" w:cs="Times New Roman"/>
                <w:b/>
                <w:bCs/>
                <w:color w:val="000000"/>
                <w:sz w:val="14"/>
                <w:szCs w:val="14"/>
                <w:lang w:eastAsia="sk-SK"/>
              </w:rPr>
            </w:pPr>
            <w:r w:rsidRPr="00A04DE0">
              <w:rPr>
                <w:rFonts w:ascii="Times New Roman" w:hAnsi="Times New Roman" w:cs="Times New Roman"/>
                <w:b/>
                <w:bCs/>
                <w:color w:val="000000"/>
                <w:sz w:val="14"/>
                <w:szCs w:val="14"/>
                <w:lang w:eastAsia="sk-SK"/>
              </w:rPr>
              <w:t>2020 N</w:t>
            </w:r>
          </w:p>
        </w:tc>
      </w:tr>
      <w:tr w:rsidR="007D13F3" w:rsidRPr="00A04DE0" w:rsidTr="00465CAC">
        <w:trPr>
          <w:trHeight w:val="255"/>
        </w:trPr>
        <w:tc>
          <w:tcPr>
            <w:tcW w:w="0" w:type="auto"/>
            <w:gridSpan w:val="2"/>
            <w:tcBorders>
              <w:top w:val="single" w:sz="4" w:space="0" w:color="auto"/>
              <w:left w:val="single" w:sz="4" w:space="0" w:color="auto"/>
              <w:bottom w:val="single" w:sz="4" w:space="0" w:color="auto"/>
              <w:right w:val="single" w:sz="4" w:space="0" w:color="000000"/>
            </w:tcBorders>
            <w:shd w:val="pct25" w:color="000000" w:fill="auto"/>
            <w:noWrap/>
            <w:vAlign w:val="bottom"/>
            <w:hideMark/>
          </w:tcPr>
          <w:p w:rsidR="007D13F3" w:rsidRPr="00A04DE0" w:rsidRDefault="007D13F3" w:rsidP="00465CAC">
            <w:pPr>
              <w:rPr>
                <w:rFonts w:ascii="Times New Roman" w:hAnsi="Times New Roman" w:cs="Times New Roman"/>
                <w:b/>
                <w:bCs/>
                <w:color w:val="000000"/>
                <w:sz w:val="14"/>
                <w:szCs w:val="14"/>
                <w:lang w:eastAsia="sk-SK"/>
              </w:rPr>
            </w:pPr>
            <w:r w:rsidRPr="00A04DE0">
              <w:rPr>
                <w:rFonts w:ascii="Times New Roman" w:hAnsi="Times New Roman" w:cs="Times New Roman"/>
                <w:b/>
                <w:bCs/>
                <w:color w:val="000000"/>
                <w:sz w:val="14"/>
                <w:szCs w:val="14"/>
                <w:lang w:eastAsia="sk-SK"/>
              </w:rPr>
              <w:t>Spolu rozpočtové organizácie SAV</w:t>
            </w:r>
          </w:p>
        </w:tc>
        <w:tc>
          <w:tcPr>
            <w:tcW w:w="0" w:type="auto"/>
            <w:tcBorders>
              <w:top w:val="single" w:sz="4" w:space="0" w:color="auto"/>
              <w:left w:val="nil"/>
              <w:bottom w:val="single" w:sz="4" w:space="0" w:color="auto"/>
              <w:right w:val="single" w:sz="4" w:space="0" w:color="auto"/>
            </w:tcBorders>
            <w:shd w:val="pct25" w:color="000000" w:fill="auto"/>
            <w:noWrap/>
            <w:vAlign w:val="bottom"/>
            <w:hideMark/>
          </w:tcPr>
          <w:p w:rsidR="007D13F3" w:rsidRPr="00A04DE0" w:rsidRDefault="007D13F3" w:rsidP="00465CAC">
            <w:pPr>
              <w:jc w:val="right"/>
              <w:rPr>
                <w:rFonts w:ascii="Times New Roman" w:hAnsi="Times New Roman" w:cs="Times New Roman"/>
                <w:b/>
                <w:bCs/>
                <w:color w:val="000000"/>
                <w:sz w:val="14"/>
                <w:szCs w:val="14"/>
                <w:lang w:eastAsia="sk-SK"/>
              </w:rPr>
            </w:pPr>
            <w:r w:rsidRPr="00A04DE0">
              <w:rPr>
                <w:rFonts w:ascii="Times New Roman" w:hAnsi="Times New Roman" w:cs="Times New Roman"/>
                <w:b/>
                <w:bCs/>
                <w:color w:val="000000"/>
                <w:sz w:val="14"/>
                <w:szCs w:val="14"/>
                <w:lang w:eastAsia="sk-SK"/>
              </w:rPr>
              <w:t>46 732 443</w:t>
            </w:r>
          </w:p>
        </w:tc>
        <w:tc>
          <w:tcPr>
            <w:tcW w:w="0" w:type="auto"/>
            <w:tcBorders>
              <w:top w:val="single" w:sz="4" w:space="0" w:color="auto"/>
              <w:left w:val="nil"/>
              <w:bottom w:val="single" w:sz="4" w:space="0" w:color="auto"/>
              <w:right w:val="single" w:sz="4" w:space="0" w:color="auto"/>
            </w:tcBorders>
            <w:shd w:val="pct25" w:color="000000" w:fill="auto"/>
            <w:noWrap/>
            <w:vAlign w:val="bottom"/>
            <w:hideMark/>
          </w:tcPr>
          <w:p w:rsidR="007D13F3" w:rsidRPr="00A04DE0" w:rsidRDefault="007D13F3" w:rsidP="00465CAC">
            <w:pPr>
              <w:jc w:val="right"/>
              <w:rPr>
                <w:rFonts w:ascii="Times New Roman" w:hAnsi="Times New Roman" w:cs="Times New Roman"/>
                <w:b/>
                <w:bCs/>
                <w:color w:val="000000"/>
                <w:sz w:val="14"/>
                <w:szCs w:val="14"/>
                <w:lang w:eastAsia="sk-SK"/>
              </w:rPr>
            </w:pPr>
            <w:r w:rsidRPr="00A04DE0">
              <w:rPr>
                <w:rFonts w:ascii="Times New Roman" w:hAnsi="Times New Roman" w:cs="Times New Roman"/>
                <w:b/>
                <w:bCs/>
                <w:color w:val="000000"/>
                <w:sz w:val="14"/>
                <w:szCs w:val="14"/>
                <w:lang w:eastAsia="sk-SK"/>
              </w:rPr>
              <w:t>20 972 426</w:t>
            </w:r>
          </w:p>
        </w:tc>
        <w:tc>
          <w:tcPr>
            <w:tcW w:w="0" w:type="auto"/>
            <w:tcBorders>
              <w:top w:val="single" w:sz="4" w:space="0" w:color="auto"/>
              <w:left w:val="nil"/>
              <w:bottom w:val="single" w:sz="4" w:space="0" w:color="auto"/>
              <w:right w:val="single" w:sz="4" w:space="0" w:color="auto"/>
            </w:tcBorders>
            <w:shd w:val="pct25" w:color="000000" w:fill="auto"/>
            <w:noWrap/>
            <w:vAlign w:val="bottom"/>
            <w:hideMark/>
          </w:tcPr>
          <w:p w:rsidR="007D13F3" w:rsidRPr="00A04DE0" w:rsidRDefault="007D13F3" w:rsidP="00465CAC">
            <w:pPr>
              <w:jc w:val="right"/>
              <w:rPr>
                <w:rFonts w:ascii="Times New Roman" w:hAnsi="Times New Roman" w:cs="Times New Roman"/>
                <w:b/>
                <w:bCs/>
                <w:color w:val="000000"/>
                <w:sz w:val="14"/>
                <w:szCs w:val="14"/>
                <w:lang w:eastAsia="sk-SK"/>
              </w:rPr>
            </w:pPr>
            <w:r w:rsidRPr="00A04DE0">
              <w:rPr>
                <w:rFonts w:ascii="Times New Roman" w:hAnsi="Times New Roman" w:cs="Times New Roman"/>
                <w:b/>
                <w:bCs/>
                <w:color w:val="000000"/>
                <w:sz w:val="14"/>
                <w:szCs w:val="14"/>
                <w:lang w:eastAsia="sk-SK"/>
              </w:rPr>
              <w:t>19 016 805</w:t>
            </w:r>
          </w:p>
        </w:tc>
        <w:tc>
          <w:tcPr>
            <w:tcW w:w="0" w:type="auto"/>
            <w:tcBorders>
              <w:top w:val="single" w:sz="4" w:space="0" w:color="auto"/>
              <w:left w:val="nil"/>
              <w:bottom w:val="single" w:sz="4" w:space="0" w:color="auto"/>
              <w:right w:val="single" w:sz="4" w:space="0" w:color="auto"/>
            </w:tcBorders>
            <w:shd w:val="pct25" w:color="000000" w:fill="auto"/>
            <w:noWrap/>
            <w:vAlign w:val="bottom"/>
            <w:hideMark/>
          </w:tcPr>
          <w:p w:rsidR="007D13F3" w:rsidRPr="00A04DE0" w:rsidRDefault="007D13F3" w:rsidP="00465CAC">
            <w:pPr>
              <w:jc w:val="right"/>
              <w:rPr>
                <w:rFonts w:ascii="Times New Roman" w:hAnsi="Times New Roman" w:cs="Times New Roman"/>
                <w:b/>
                <w:bCs/>
                <w:color w:val="000000"/>
                <w:sz w:val="14"/>
                <w:szCs w:val="14"/>
                <w:lang w:eastAsia="sk-SK"/>
              </w:rPr>
            </w:pPr>
            <w:r w:rsidRPr="00A04DE0">
              <w:rPr>
                <w:rFonts w:ascii="Times New Roman" w:hAnsi="Times New Roman" w:cs="Times New Roman"/>
                <w:b/>
                <w:bCs/>
                <w:color w:val="000000"/>
                <w:sz w:val="14"/>
                <w:szCs w:val="14"/>
                <w:lang w:eastAsia="sk-SK"/>
              </w:rPr>
              <w:t>18 059 417</w:t>
            </w:r>
          </w:p>
        </w:tc>
        <w:tc>
          <w:tcPr>
            <w:tcW w:w="0" w:type="auto"/>
            <w:tcBorders>
              <w:top w:val="single" w:sz="4" w:space="0" w:color="auto"/>
              <w:left w:val="nil"/>
              <w:bottom w:val="single" w:sz="4" w:space="0" w:color="auto"/>
              <w:right w:val="single" w:sz="4" w:space="0" w:color="auto"/>
            </w:tcBorders>
            <w:shd w:val="pct25" w:color="000000" w:fill="auto"/>
            <w:noWrap/>
            <w:vAlign w:val="bottom"/>
            <w:hideMark/>
          </w:tcPr>
          <w:p w:rsidR="007D13F3" w:rsidRPr="00A04DE0" w:rsidRDefault="007D13F3" w:rsidP="00465CAC">
            <w:pPr>
              <w:jc w:val="right"/>
              <w:rPr>
                <w:rFonts w:ascii="Times New Roman" w:hAnsi="Times New Roman" w:cs="Times New Roman"/>
                <w:b/>
                <w:bCs/>
                <w:color w:val="000000"/>
                <w:sz w:val="14"/>
                <w:szCs w:val="14"/>
                <w:lang w:eastAsia="sk-SK"/>
              </w:rPr>
            </w:pPr>
            <w:r w:rsidRPr="00A04DE0">
              <w:rPr>
                <w:rFonts w:ascii="Times New Roman" w:hAnsi="Times New Roman" w:cs="Times New Roman"/>
                <w:b/>
                <w:bCs/>
                <w:color w:val="000000"/>
                <w:sz w:val="14"/>
                <w:szCs w:val="14"/>
                <w:lang w:eastAsia="sk-SK"/>
              </w:rPr>
              <w:t>16 728 533</w:t>
            </w:r>
          </w:p>
        </w:tc>
        <w:tc>
          <w:tcPr>
            <w:tcW w:w="0" w:type="auto"/>
            <w:tcBorders>
              <w:top w:val="single" w:sz="4" w:space="0" w:color="auto"/>
              <w:left w:val="nil"/>
              <w:bottom w:val="single" w:sz="4" w:space="0" w:color="auto"/>
              <w:right w:val="single" w:sz="4" w:space="0" w:color="auto"/>
            </w:tcBorders>
            <w:shd w:val="pct25" w:color="000000" w:fill="auto"/>
            <w:noWrap/>
            <w:vAlign w:val="bottom"/>
            <w:hideMark/>
          </w:tcPr>
          <w:p w:rsidR="007D13F3" w:rsidRPr="00A04DE0" w:rsidRDefault="007D13F3" w:rsidP="00465CAC">
            <w:pPr>
              <w:jc w:val="right"/>
              <w:rPr>
                <w:rFonts w:ascii="Times New Roman" w:hAnsi="Times New Roman" w:cs="Times New Roman"/>
                <w:b/>
                <w:bCs/>
                <w:color w:val="000000"/>
                <w:sz w:val="14"/>
                <w:szCs w:val="14"/>
                <w:lang w:eastAsia="sk-SK"/>
              </w:rPr>
            </w:pPr>
            <w:r w:rsidRPr="00A04DE0">
              <w:rPr>
                <w:rFonts w:ascii="Times New Roman" w:hAnsi="Times New Roman" w:cs="Times New Roman"/>
                <w:b/>
                <w:bCs/>
                <w:color w:val="000000"/>
                <w:sz w:val="14"/>
                <w:szCs w:val="14"/>
                <w:lang w:eastAsia="sk-SK"/>
              </w:rPr>
              <w:t>16 735 160</w:t>
            </w:r>
          </w:p>
        </w:tc>
        <w:tc>
          <w:tcPr>
            <w:tcW w:w="0" w:type="auto"/>
            <w:tcBorders>
              <w:top w:val="single" w:sz="4" w:space="0" w:color="auto"/>
              <w:left w:val="nil"/>
              <w:bottom w:val="single" w:sz="4" w:space="0" w:color="auto"/>
              <w:right w:val="single" w:sz="4" w:space="0" w:color="auto"/>
            </w:tcBorders>
            <w:shd w:val="pct25" w:color="000000" w:fill="auto"/>
            <w:noWrap/>
            <w:vAlign w:val="bottom"/>
            <w:hideMark/>
          </w:tcPr>
          <w:p w:rsidR="007D13F3" w:rsidRPr="00A04DE0" w:rsidRDefault="007D13F3" w:rsidP="00465CAC">
            <w:pPr>
              <w:jc w:val="right"/>
              <w:rPr>
                <w:rFonts w:ascii="Times New Roman" w:hAnsi="Times New Roman" w:cs="Times New Roman"/>
                <w:b/>
                <w:bCs/>
                <w:color w:val="000000"/>
                <w:sz w:val="14"/>
                <w:szCs w:val="14"/>
                <w:lang w:eastAsia="sk-SK"/>
              </w:rPr>
            </w:pPr>
            <w:r w:rsidRPr="00A04DE0">
              <w:rPr>
                <w:rFonts w:ascii="Times New Roman" w:hAnsi="Times New Roman" w:cs="Times New Roman"/>
                <w:b/>
                <w:bCs/>
                <w:color w:val="000000"/>
                <w:sz w:val="14"/>
                <w:szCs w:val="14"/>
                <w:lang w:eastAsia="sk-SK"/>
              </w:rPr>
              <w:t>16 752 613</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Technicko-hospodárska správa ústavov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1 073 039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1 188 507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812 128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1 144 448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1 108 261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1 119 511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1 128 991</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Astronomický ústav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2 105 969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961 473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893 322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1 019 064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909 411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909 411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909 411</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Geografický ústav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585 826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553 179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548 304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562 611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560 546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560 546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560 546</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Archeologický ústav</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3 164 128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1 803 738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1 592 443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1 716 208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1 651 641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1 651 641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1 651 641</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Matematický ústav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858 786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898 326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855 997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900 612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897 765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897 765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897 765</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proofErr w:type="spellStart"/>
            <w:r w:rsidRPr="00A04DE0">
              <w:rPr>
                <w:rFonts w:ascii="Times New Roman" w:hAnsi="Times New Roman" w:cs="Times New Roman"/>
                <w:color w:val="000000"/>
                <w:sz w:val="14"/>
                <w:szCs w:val="14"/>
                <w:lang w:eastAsia="sk-SK"/>
              </w:rPr>
              <w:t>Neurobiologický</w:t>
            </w:r>
            <w:proofErr w:type="spellEnd"/>
            <w:r w:rsidRPr="00A04DE0">
              <w:rPr>
                <w:rFonts w:ascii="Times New Roman" w:hAnsi="Times New Roman" w:cs="Times New Roman"/>
                <w:color w:val="000000"/>
                <w:sz w:val="14"/>
                <w:szCs w:val="14"/>
                <w:lang w:eastAsia="sk-SK"/>
              </w:rPr>
              <w:t xml:space="preserve"> ústav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534 535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482 441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486 894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512 474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495 648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495 648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495 648</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Historický ústav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1 328 558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1 361 234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1 271 774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1 385 947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1 332 954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1 332 954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1 332 954</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etnológie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405 000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458 284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445 178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527 676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448 609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450 009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450 509</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Filozofický ústav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501 425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546 690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467 387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630 403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497 246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497 246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497 246</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10.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štátu a práva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328 765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336 894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326 826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332 049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327 377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327 377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327 377</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11.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Jazykovedný ústav Ľudovíta Štúra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1 060 822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1 122 028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1 059 906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1 136 305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1 014 832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1 014 832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1 015 332</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12.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Technicko-</w:t>
            </w:r>
            <w:proofErr w:type="spellStart"/>
            <w:r w:rsidRPr="00A04DE0">
              <w:rPr>
                <w:rFonts w:ascii="Times New Roman" w:hAnsi="Times New Roman" w:cs="Times New Roman"/>
                <w:color w:val="000000"/>
                <w:sz w:val="14"/>
                <w:szCs w:val="14"/>
                <w:lang w:eastAsia="sk-SK"/>
              </w:rPr>
              <w:t>hospodár</w:t>
            </w:r>
            <w:r>
              <w:rPr>
                <w:rFonts w:ascii="Times New Roman" w:hAnsi="Times New Roman" w:cs="Times New Roman"/>
                <w:color w:val="000000"/>
                <w:sz w:val="14"/>
                <w:szCs w:val="14"/>
                <w:lang w:eastAsia="sk-SK"/>
              </w:rPr>
              <w:t>.</w:t>
            </w:r>
            <w:r w:rsidRPr="00A04DE0">
              <w:rPr>
                <w:rFonts w:ascii="Times New Roman" w:hAnsi="Times New Roman" w:cs="Times New Roman"/>
                <w:color w:val="000000"/>
                <w:sz w:val="14"/>
                <w:szCs w:val="14"/>
                <w:lang w:eastAsia="sk-SK"/>
              </w:rPr>
              <w:t>správa</w:t>
            </w:r>
            <w:proofErr w:type="spellEnd"/>
            <w:r w:rsidRPr="00A04DE0">
              <w:rPr>
                <w:rFonts w:ascii="Times New Roman" w:hAnsi="Times New Roman" w:cs="Times New Roman"/>
                <w:color w:val="000000"/>
                <w:sz w:val="14"/>
                <w:szCs w:val="14"/>
                <w:lang w:eastAsia="sk-SK"/>
              </w:rPr>
              <w:t xml:space="preserve"> ústavov spoločenských vied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381 683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423 577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373 354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407 985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410 465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410 465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410 465</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13.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dejín umenia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303 005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233 513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225 829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231 114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231 090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230 790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230 790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14.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Ústredný archív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113 294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111 828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113 577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115 866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116 379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116 739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116 379</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15.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politických vied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232 061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261 761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225 299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297 491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235 769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230 069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235 069</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16.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anorganickej chémie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1 449 627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1 197 677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1 076 858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1 330 484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1 074 758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1 074 758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1 074 758</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17.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hudobnej vedy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261 538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258 268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251 468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268 698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268 705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269 205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269 205</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18.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divadelnej a filmovej vedy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176 231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176 447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176 953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176 851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178 124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178 174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178 074</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19.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Ústredná knižnica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660 873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683 759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623 397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643 427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647 849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646 449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645 849</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20.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sz w:val="14"/>
                <w:szCs w:val="14"/>
                <w:lang w:eastAsia="sk-SK"/>
              </w:rPr>
            </w:pPr>
            <w:r w:rsidRPr="00A04DE0">
              <w:rPr>
                <w:rFonts w:ascii="Times New Roman" w:hAnsi="Times New Roman" w:cs="Times New Roman"/>
                <w:sz w:val="14"/>
                <w:szCs w:val="14"/>
                <w:lang w:eastAsia="sk-SK"/>
              </w:rPr>
              <w:t xml:space="preserve">Centrum spoločenských a psychologických vied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1 187 964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1 047 740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1 005 631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1 060 138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1 061 562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1 063 562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1 065 562</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21.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pre výskum srdca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6 930 794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461 089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455 371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467 025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467 435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467 435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467 435</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22.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Sociologický ústav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404 294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447 559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369 176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506 445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369 934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369 334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369 434</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23.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výskumu sociálnej komunikácie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260 199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259 513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250 536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301 437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279 262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279 262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279 262</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24.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orientalistiky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241 146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253 191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241 734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267 193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247 290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247 290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247 290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25.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svetovej literatúry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376 652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387 143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377 397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383 580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382 693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382 693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382 693</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26.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slovenskej literatúry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459 286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486 200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471 127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545 941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483 595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483 595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483 595</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27.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Slavistický ústav Jána Stanislava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214 972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208 797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205 997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191 089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197 736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196 803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197 736</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28.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Kongresové centrum Smolenice</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887 448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983 112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1 072 692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996 856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831 597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831 597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831 597</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29.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experimentálnej farmakológie a </w:t>
            </w:r>
            <w:proofErr w:type="spellStart"/>
            <w:r w:rsidRPr="00A04DE0">
              <w:rPr>
                <w:rFonts w:ascii="Times New Roman" w:hAnsi="Times New Roman" w:cs="Times New Roman"/>
                <w:color w:val="000000"/>
                <w:sz w:val="14"/>
                <w:szCs w:val="14"/>
                <w:lang w:eastAsia="sk-SK"/>
              </w:rPr>
              <w:t>toxikológie</w:t>
            </w:r>
            <w:proofErr w:type="spellEnd"/>
            <w:r w:rsidRPr="00A04DE0">
              <w:rPr>
                <w:rFonts w:ascii="Times New Roman" w:hAnsi="Times New Roman" w:cs="Times New Roman"/>
                <w:color w:val="000000"/>
                <w:sz w:val="14"/>
                <w:szCs w:val="14"/>
                <w:lang w:eastAsia="sk-SK"/>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997 813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1 039 572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980 908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30.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molekulárnej biológie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1 086 158</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1 134 183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1 096 496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31.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biochémie a genetiky živočíchov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683 979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743 126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662 846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32.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experimentálnej fyziky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2 120 475</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461 577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33.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normálnej a patologickej fyziológie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650 136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34.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Botanický ústav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1 216 491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35.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genetiky a biotechnológie rastlín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803 804</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36.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proofErr w:type="spellStart"/>
            <w:r w:rsidRPr="00A04DE0">
              <w:rPr>
                <w:rFonts w:ascii="Times New Roman" w:hAnsi="Times New Roman" w:cs="Times New Roman"/>
                <w:color w:val="000000"/>
                <w:sz w:val="14"/>
                <w:szCs w:val="14"/>
                <w:lang w:eastAsia="sk-SK"/>
              </w:rPr>
              <w:t>Neuroimunologický</w:t>
            </w:r>
            <w:proofErr w:type="spellEnd"/>
            <w:r w:rsidRPr="00A04DE0">
              <w:rPr>
                <w:rFonts w:ascii="Times New Roman" w:hAnsi="Times New Roman" w:cs="Times New Roman"/>
                <w:color w:val="000000"/>
                <w:sz w:val="14"/>
                <w:szCs w:val="14"/>
                <w:lang w:eastAsia="sk-SK"/>
              </w:rPr>
              <w:t xml:space="preserve"> ústav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511 871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37.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Molekulárno-medicínske centrum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313 733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38.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Technologický inštitút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32 047</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39.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experimentálnej endokrinológie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1 115 532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Spoločenskovedný ústav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1 561 322</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41.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Ústav experimentálnej onkológie</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1 562 590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42.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Virologický ústav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1 690 213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43.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Ústav fyziológie hospodárskych zvierat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1 363 926</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Ústav molekulárnej fyziológie a genetiky</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2 905 951</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45.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Geofyzikálny ústav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442 219</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46.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 xml:space="preserve">Parazitologický ústav </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929 453</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r w:rsidR="007D13F3" w:rsidRPr="00A04DE0" w:rsidTr="00465C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47.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3F3" w:rsidRPr="00A04DE0" w:rsidRDefault="007D13F3" w:rsidP="00465CAC">
            <w:pPr>
              <w:rPr>
                <w:rFonts w:ascii="Times New Roman" w:hAnsi="Times New Roman" w:cs="Times New Roman"/>
                <w:color w:val="000000"/>
                <w:sz w:val="14"/>
                <w:szCs w:val="14"/>
                <w:lang w:eastAsia="sk-SK"/>
              </w:rPr>
            </w:pPr>
            <w:r w:rsidRPr="00A04DE0">
              <w:rPr>
                <w:rFonts w:ascii="Times New Roman" w:hAnsi="Times New Roman" w:cs="Times New Roman"/>
                <w:color w:val="000000"/>
                <w:sz w:val="14"/>
                <w:szCs w:val="14"/>
                <w:lang w:eastAsia="sk-SK"/>
              </w:rPr>
              <w:t>Ústav experimentálnej psychológie</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256 810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auto" w:fill="auto"/>
            <w:noWrap/>
            <w:vAlign w:val="bottom"/>
            <w:hideMark/>
          </w:tcPr>
          <w:p w:rsidR="007D13F3" w:rsidRPr="00A04DE0" w:rsidRDefault="007D13F3" w:rsidP="00465CAC">
            <w:pPr>
              <w:jc w:val="right"/>
              <w:rPr>
                <w:rFonts w:ascii="Times New Roman" w:hAnsi="Times New Roman" w:cs="Times New Roman"/>
                <w:sz w:val="14"/>
                <w:szCs w:val="14"/>
                <w:lang w:eastAsia="sk-SK"/>
              </w:rPr>
            </w:pPr>
            <w:r w:rsidRPr="00A04DE0">
              <w:rPr>
                <w:rFonts w:ascii="Times New Roman" w:hAnsi="Times New Roman" w:cs="Times New Roman"/>
                <w:sz w:val="14"/>
                <w:szCs w:val="14"/>
                <w:lang w:eastAsia="sk-SK"/>
              </w:rPr>
              <w:t>0</w:t>
            </w:r>
          </w:p>
        </w:tc>
      </w:tr>
    </w:tbl>
    <w:p w:rsidR="007D13F3" w:rsidRPr="00B725A1" w:rsidRDefault="007D13F3" w:rsidP="007D13F3">
      <w:pPr>
        <w:jc w:val="both"/>
        <w:rPr>
          <w:rFonts w:ascii="Times New Roman" w:hAnsi="Times New Roman"/>
          <w:sz w:val="14"/>
          <w:szCs w:val="14"/>
          <w:lang w:eastAsia="sk-SK"/>
        </w:rPr>
      </w:pPr>
      <w:r w:rsidRPr="008B2ACC">
        <w:rPr>
          <w:rFonts w:ascii="Times New Roman" w:hAnsi="Times New Roman"/>
          <w:sz w:val="14"/>
          <w:szCs w:val="14"/>
          <w:lang w:eastAsia="sk-SK"/>
        </w:rPr>
        <w:t>*v skutočnosti za roky 201</w:t>
      </w:r>
      <w:r>
        <w:rPr>
          <w:rFonts w:ascii="Times New Roman" w:hAnsi="Times New Roman"/>
          <w:sz w:val="14"/>
          <w:szCs w:val="14"/>
          <w:lang w:eastAsia="sk-SK"/>
        </w:rPr>
        <w:t>5</w:t>
      </w:r>
      <w:r w:rsidRPr="008B2ACC">
        <w:rPr>
          <w:rFonts w:ascii="Times New Roman" w:hAnsi="Times New Roman"/>
          <w:sz w:val="14"/>
          <w:szCs w:val="14"/>
          <w:lang w:eastAsia="sk-SK"/>
        </w:rPr>
        <w:t xml:space="preserve"> a</w:t>
      </w:r>
      <w:r>
        <w:rPr>
          <w:rFonts w:ascii="Times New Roman" w:hAnsi="Times New Roman"/>
          <w:sz w:val="14"/>
          <w:szCs w:val="14"/>
          <w:lang w:eastAsia="sk-SK"/>
        </w:rPr>
        <w:t xml:space="preserve"> </w:t>
      </w:r>
      <w:r w:rsidRPr="008B2ACC">
        <w:rPr>
          <w:rFonts w:ascii="Times New Roman" w:hAnsi="Times New Roman"/>
          <w:sz w:val="14"/>
          <w:szCs w:val="14"/>
          <w:lang w:eastAsia="sk-SK"/>
        </w:rPr>
        <w:t>201</w:t>
      </w:r>
      <w:r>
        <w:rPr>
          <w:rFonts w:ascii="Times New Roman" w:hAnsi="Times New Roman"/>
          <w:sz w:val="14"/>
          <w:szCs w:val="14"/>
          <w:lang w:eastAsia="sk-SK"/>
        </w:rPr>
        <w:t>6</w:t>
      </w:r>
      <w:r w:rsidRPr="008B2ACC">
        <w:rPr>
          <w:rFonts w:ascii="Times New Roman" w:hAnsi="Times New Roman"/>
          <w:sz w:val="14"/>
          <w:szCs w:val="14"/>
          <w:lang w:eastAsia="sk-SK"/>
        </w:rPr>
        <w:t xml:space="preserve"> a očakávanej skutočnosti 201</w:t>
      </w:r>
      <w:r>
        <w:rPr>
          <w:rFonts w:ascii="Times New Roman" w:hAnsi="Times New Roman"/>
          <w:sz w:val="14"/>
          <w:szCs w:val="14"/>
          <w:lang w:eastAsia="sk-SK"/>
        </w:rPr>
        <w:t>7</w:t>
      </w:r>
      <w:r w:rsidRPr="008B2ACC">
        <w:rPr>
          <w:rFonts w:ascii="Times New Roman" w:hAnsi="Times New Roman"/>
          <w:sz w:val="14"/>
          <w:szCs w:val="14"/>
          <w:lang w:eastAsia="sk-SK"/>
        </w:rPr>
        <w:t xml:space="preserve"> sú zahrnuté aj prostriedky EÚ a spolufinancovanie zo ŠR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5"/>
        <w:gridCol w:w="3357"/>
        <w:gridCol w:w="770"/>
        <w:gridCol w:w="770"/>
        <w:gridCol w:w="770"/>
        <w:gridCol w:w="770"/>
        <w:gridCol w:w="770"/>
        <w:gridCol w:w="770"/>
        <w:gridCol w:w="770"/>
      </w:tblGrid>
      <w:tr w:rsidR="007D13F3" w:rsidRPr="00555580" w:rsidTr="00465CAC">
        <w:trPr>
          <w:trHeight w:hRule="exact" w:val="255"/>
        </w:trPr>
        <w:tc>
          <w:tcPr>
            <w:tcW w:w="2026" w:type="pct"/>
            <w:gridSpan w:val="2"/>
            <w:tcBorders>
              <w:bottom w:val="single" w:sz="4" w:space="0" w:color="auto"/>
            </w:tcBorders>
            <w:shd w:val="pct35" w:color="000000" w:fill="auto"/>
            <w:noWrap/>
            <w:vAlign w:val="center"/>
            <w:hideMark/>
          </w:tcPr>
          <w:p w:rsidR="007D13F3" w:rsidRPr="00555580" w:rsidRDefault="007D13F3" w:rsidP="00465CAC">
            <w:pP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lastRenderedPageBreak/>
              <w:t>v eurách</w:t>
            </w:r>
          </w:p>
        </w:tc>
        <w:tc>
          <w:tcPr>
            <w:tcW w:w="425" w:type="pct"/>
            <w:tcBorders>
              <w:bottom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2015 S</w:t>
            </w:r>
          </w:p>
        </w:tc>
        <w:tc>
          <w:tcPr>
            <w:tcW w:w="425" w:type="pct"/>
            <w:tcBorders>
              <w:bottom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2016 S</w:t>
            </w:r>
          </w:p>
        </w:tc>
        <w:tc>
          <w:tcPr>
            <w:tcW w:w="425" w:type="pct"/>
            <w:tcBorders>
              <w:bottom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2017 R</w:t>
            </w:r>
          </w:p>
        </w:tc>
        <w:tc>
          <w:tcPr>
            <w:tcW w:w="425" w:type="pct"/>
            <w:tcBorders>
              <w:bottom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2017 OS</w:t>
            </w:r>
          </w:p>
        </w:tc>
        <w:tc>
          <w:tcPr>
            <w:tcW w:w="425" w:type="pct"/>
            <w:tcBorders>
              <w:bottom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2018 N</w:t>
            </w:r>
          </w:p>
        </w:tc>
        <w:tc>
          <w:tcPr>
            <w:tcW w:w="425" w:type="pct"/>
            <w:tcBorders>
              <w:bottom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2019 N</w:t>
            </w:r>
          </w:p>
        </w:tc>
        <w:tc>
          <w:tcPr>
            <w:tcW w:w="425" w:type="pct"/>
            <w:tcBorders>
              <w:bottom w:val="single" w:sz="4" w:space="0" w:color="auto"/>
            </w:tcBorders>
            <w:shd w:val="pct35" w:color="000000" w:fill="auto"/>
            <w:noWrap/>
            <w:vAlign w:val="center"/>
            <w:hideMark/>
          </w:tcPr>
          <w:p w:rsidR="007D13F3" w:rsidRPr="00555580" w:rsidRDefault="007D13F3" w:rsidP="00465CAC">
            <w:pPr>
              <w:jc w:val="cente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2020 N</w:t>
            </w:r>
          </w:p>
        </w:tc>
      </w:tr>
      <w:tr w:rsidR="007D13F3" w:rsidRPr="00555580" w:rsidTr="00465CAC">
        <w:trPr>
          <w:trHeight w:hRule="exact" w:val="255"/>
        </w:trPr>
        <w:tc>
          <w:tcPr>
            <w:tcW w:w="2026" w:type="pct"/>
            <w:gridSpan w:val="2"/>
            <w:shd w:val="pct25" w:color="000000" w:fill="auto"/>
            <w:noWrap/>
            <w:vAlign w:val="bottom"/>
            <w:hideMark/>
          </w:tcPr>
          <w:p w:rsidR="007D13F3" w:rsidRPr="00555580" w:rsidRDefault="007D13F3" w:rsidP="00465CAC">
            <w:pPr>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Spolu príspevkové organizácie SAV</w:t>
            </w:r>
          </w:p>
        </w:tc>
        <w:tc>
          <w:tcPr>
            <w:tcW w:w="425" w:type="pct"/>
            <w:shd w:val="pct25" w:color="000000" w:fill="auto"/>
            <w:noWrap/>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49 757 191</w:t>
            </w:r>
          </w:p>
        </w:tc>
        <w:tc>
          <w:tcPr>
            <w:tcW w:w="425" w:type="pct"/>
            <w:shd w:val="pct25" w:color="000000" w:fill="auto"/>
            <w:noWrap/>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33 295 871</w:t>
            </w:r>
          </w:p>
        </w:tc>
        <w:tc>
          <w:tcPr>
            <w:tcW w:w="425" w:type="pct"/>
            <w:shd w:val="pct25" w:color="000000" w:fill="auto"/>
            <w:noWrap/>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32 767 482</w:t>
            </w:r>
          </w:p>
        </w:tc>
        <w:tc>
          <w:tcPr>
            <w:tcW w:w="425" w:type="pct"/>
            <w:shd w:val="pct25" w:color="000000" w:fill="auto"/>
            <w:noWrap/>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37 821 925</w:t>
            </w:r>
          </w:p>
        </w:tc>
        <w:tc>
          <w:tcPr>
            <w:tcW w:w="425" w:type="pct"/>
            <w:shd w:val="pct25" w:color="000000" w:fill="auto"/>
            <w:noWrap/>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37 720 792</w:t>
            </w:r>
          </w:p>
        </w:tc>
        <w:tc>
          <w:tcPr>
            <w:tcW w:w="425" w:type="pct"/>
            <w:shd w:val="pct25" w:color="000000" w:fill="auto"/>
            <w:noWrap/>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37 724 622</w:t>
            </w:r>
          </w:p>
        </w:tc>
        <w:tc>
          <w:tcPr>
            <w:tcW w:w="425" w:type="pct"/>
            <w:shd w:val="pct25" w:color="000000" w:fill="auto"/>
            <w:noWrap/>
            <w:vAlign w:val="bottom"/>
            <w:hideMark/>
          </w:tcPr>
          <w:p w:rsidR="007D13F3" w:rsidRPr="00555580" w:rsidRDefault="007D13F3" w:rsidP="00465CAC">
            <w:pPr>
              <w:jc w:val="right"/>
              <w:rPr>
                <w:rFonts w:ascii="Times New Roman" w:hAnsi="Times New Roman" w:cs="Times New Roman"/>
                <w:b/>
                <w:bCs/>
                <w:color w:val="000000"/>
                <w:sz w:val="14"/>
                <w:szCs w:val="14"/>
                <w:lang w:eastAsia="sk-SK"/>
              </w:rPr>
            </w:pPr>
            <w:r w:rsidRPr="00555580">
              <w:rPr>
                <w:rFonts w:ascii="Times New Roman" w:hAnsi="Times New Roman" w:cs="Times New Roman"/>
                <w:b/>
                <w:bCs/>
                <w:color w:val="000000"/>
                <w:sz w:val="14"/>
                <w:szCs w:val="14"/>
                <w:lang w:eastAsia="sk-SK"/>
              </w:rPr>
              <w:t>37 724 432</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Fyzikálny ústav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1 901 670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1 725 670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1 613 428</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1 831 371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1 591 931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1 594 641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1 594 641</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Ústav </w:t>
            </w:r>
            <w:proofErr w:type="spellStart"/>
            <w:r w:rsidRPr="00555580">
              <w:rPr>
                <w:rFonts w:ascii="Times New Roman" w:hAnsi="Times New Roman" w:cs="Times New Roman"/>
                <w:color w:val="000000"/>
                <w:sz w:val="14"/>
                <w:szCs w:val="14"/>
                <w:lang w:eastAsia="sk-SK"/>
              </w:rPr>
              <w:t>geotechniky</w:t>
            </w:r>
            <w:proofErr w:type="spellEnd"/>
            <w:r w:rsidRPr="00555580">
              <w:rPr>
                <w:rFonts w:ascii="Times New Roman" w:hAnsi="Times New Roman" w:cs="Times New Roman"/>
                <w:color w:val="000000"/>
                <w:sz w:val="14"/>
                <w:szCs w:val="14"/>
                <w:lang w:eastAsia="sk-SK"/>
              </w:rPr>
              <w:t xml:space="preserve">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787 785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905 048</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824 711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896 819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859 676</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859 676</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859 676</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3.</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Ústav stavebníctva a architektúry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970 666</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978 338</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886 667</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917 440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893 273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893 273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893 273</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Ústav hydrológie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707 613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682 787</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680 534</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661 742</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668 074</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668 074</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668 074</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5.</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Chemický ústav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23 375 341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1 596 677</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1 836 375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1 783 064</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1 865 449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1 865 449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1 865 449</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Ústav molekulárnej biológie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1 117 879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1 103 009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1 103 009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1 103 009</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Veda, vydavateľstvo SAV</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957 656</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261 428</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192 955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222 706</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205 936</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205 936</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205 936</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Ústav materiálového výskumu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1 105 048</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1 140 732</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1 114 043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1 130 279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1 130 605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1 131 105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1 129 605</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9.</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Ústav experimentálnej fyziky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1 581 291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1 919 600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1 951 879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1 949 017</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1 949 017</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1 949 017</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10.</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Ústav fyziológie hospodárskych zvierat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683 637</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672 325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668 987</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669 550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669 550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669 550</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11.</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Encyklopedický ústav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715 947</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758 680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745 055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757 343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764 920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764 920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764 920</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12.</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Výpočtové stredisko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3 108 846</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931 011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976 586</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979 878</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962 455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962 455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962 455</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13.</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Ústav materiálov a mechaniky strojov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1 376 800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1 102 888</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2 419 891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2 506 254</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3 862 090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3 861 240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3 861 240</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14.</w:t>
            </w:r>
          </w:p>
        </w:tc>
        <w:tc>
          <w:tcPr>
            <w:tcW w:w="1852" w:type="pct"/>
            <w:shd w:val="clear" w:color="auto" w:fill="auto"/>
            <w:noWrap/>
            <w:vAlign w:val="bottom"/>
            <w:hideMark/>
          </w:tcPr>
          <w:p w:rsidR="007D13F3" w:rsidRPr="00555580" w:rsidRDefault="007D13F3" w:rsidP="00465CAC">
            <w:pPr>
              <w:rPr>
                <w:rFonts w:ascii="Times New Roman" w:hAnsi="Times New Roman" w:cs="Times New Roman"/>
                <w:sz w:val="14"/>
                <w:szCs w:val="14"/>
                <w:lang w:eastAsia="sk-SK"/>
              </w:rPr>
            </w:pPr>
            <w:r w:rsidRPr="00555580">
              <w:rPr>
                <w:rFonts w:ascii="Times New Roman" w:hAnsi="Times New Roman" w:cs="Times New Roman"/>
                <w:sz w:val="14"/>
                <w:szCs w:val="14"/>
                <w:lang w:eastAsia="sk-SK"/>
              </w:rPr>
              <w:t xml:space="preserve">Centrum </w:t>
            </w:r>
            <w:proofErr w:type="spellStart"/>
            <w:r w:rsidRPr="00555580">
              <w:rPr>
                <w:rFonts w:ascii="Times New Roman" w:hAnsi="Times New Roman" w:cs="Times New Roman"/>
                <w:sz w:val="14"/>
                <w:szCs w:val="14"/>
                <w:lang w:eastAsia="sk-SK"/>
              </w:rPr>
              <w:t>biovied</w:t>
            </w:r>
            <w:proofErr w:type="spellEnd"/>
            <w:r w:rsidRPr="00555580">
              <w:rPr>
                <w:rFonts w:ascii="Times New Roman" w:hAnsi="Times New Roman" w:cs="Times New Roman"/>
                <w:sz w:val="14"/>
                <w:szCs w:val="14"/>
                <w:lang w:eastAsia="sk-SK"/>
              </w:rPr>
              <w:t xml:space="preserve"> SAV</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711 841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650 543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1 499 575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1 419 514</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1 419 514</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1 419 514</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15.</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Ústav polymérov</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1 515 581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1 371 877</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1 109 443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1 432 839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1 139 535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1 139 035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1 139 035</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16.</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Ústav vied o Zemi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sz w:val="14"/>
                <w:szCs w:val="14"/>
                <w:lang w:eastAsia="sk-SK"/>
              </w:rPr>
              <w:t>1 592 133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1 643 343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1 471 871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1 600 976</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1 577 819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1 577 819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1 577 819</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17.</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Parazitologický ústav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826 585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831 678</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853 942</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859 841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859 841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859 841</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18.</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Ústav merania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1 110 808</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919 311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909 494</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909 006</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906 036</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906 036</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906 036</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19.</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Elektrotechnický ústav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4 373 862</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2 154 085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1 517 364</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1 871 511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1 587 189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1 587 189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1 587 189</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20.</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Ústav experimentálnej farmakológie a </w:t>
            </w:r>
            <w:proofErr w:type="spellStart"/>
            <w:r w:rsidRPr="00555580">
              <w:rPr>
                <w:rFonts w:ascii="Times New Roman" w:hAnsi="Times New Roman" w:cs="Times New Roman"/>
                <w:color w:val="000000"/>
                <w:sz w:val="14"/>
                <w:szCs w:val="14"/>
                <w:lang w:eastAsia="sk-SK"/>
              </w:rPr>
              <w:t>toxikológie</w:t>
            </w:r>
            <w:proofErr w:type="spellEnd"/>
            <w:r w:rsidRPr="00555580">
              <w:rPr>
                <w:rFonts w:ascii="Times New Roman" w:hAnsi="Times New Roman" w:cs="Times New Roman"/>
                <w:color w:val="000000"/>
                <w:sz w:val="14"/>
                <w:szCs w:val="14"/>
                <w:lang w:eastAsia="sk-SK"/>
              </w:rPr>
              <w:t xml:space="preserve">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912 207</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934 038</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sz w:val="14"/>
                <w:szCs w:val="14"/>
                <w:lang w:eastAsia="sk-SK"/>
              </w:rPr>
            </w:pPr>
            <w:r w:rsidRPr="00555580">
              <w:rPr>
                <w:rFonts w:ascii="Times New Roman" w:hAnsi="Times New Roman" w:cs="Times New Roman"/>
                <w:sz w:val="14"/>
                <w:szCs w:val="14"/>
                <w:lang w:eastAsia="sk-SK"/>
              </w:rPr>
              <w:t>932 338</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934 038</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21.</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Ústav normálnej a patologickej fyziológie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622 054</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627 518</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726 651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683 379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683 379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683 379</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22.</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Ústav ekológie lesa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1 616 451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1 479 919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1 382 688</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1 440 831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1 419 134</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1 419 134</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1 419 134</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23.</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Centrum biológie rastlín a biodiverzity</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1 336 863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1 309 948</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2 012 000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1 918 495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1 918 845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1 919 225</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24.</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Ústav zoológie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928 941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720 408</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689 731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695 713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756 951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756 951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756 951</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25.</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Ústav krajinnej ekológie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699 819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700 683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684 163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701 557</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702 510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703 030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703 690</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26.</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Ekonomický ústav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788 074</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772 519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751 354</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766 725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764 063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766 863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765 433</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27.</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Ústav informatiky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2 124 150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1 367 383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1 356 353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1 402 833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1 390 904</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1 390 904</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1 390 904</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28.</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proofErr w:type="spellStart"/>
            <w:r w:rsidRPr="00555580">
              <w:rPr>
                <w:rFonts w:ascii="Times New Roman" w:hAnsi="Times New Roman" w:cs="Times New Roman"/>
                <w:color w:val="000000"/>
                <w:sz w:val="14"/>
                <w:szCs w:val="14"/>
                <w:lang w:eastAsia="sk-SK"/>
              </w:rPr>
              <w:t>Neuroimunologický</w:t>
            </w:r>
            <w:proofErr w:type="spellEnd"/>
            <w:r w:rsidRPr="00555580">
              <w:rPr>
                <w:rFonts w:ascii="Times New Roman" w:hAnsi="Times New Roman" w:cs="Times New Roman"/>
                <w:color w:val="000000"/>
                <w:sz w:val="14"/>
                <w:szCs w:val="14"/>
                <w:lang w:eastAsia="sk-SK"/>
              </w:rPr>
              <w:t xml:space="preserve"> ústav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577 139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559 635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653 581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575 808</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575 808</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575 808</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29.</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Biomedicínske centrum</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5 343 129</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4 476 493</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4 916 337</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4 559 591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4 559 591</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4 559 591</w:t>
            </w:r>
          </w:p>
        </w:tc>
      </w:tr>
      <w:tr w:rsidR="007D13F3" w:rsidRPr="00555580" w:rsidTr="00465CAC">
        <w:trPr>
          <w:trHeight w:hRule="exact" w:val="255"/>
        </w:trPr>
        <w:tc>
          <w:tcPr>
            <w:tcW w:w="174"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30.</w:t>
            </w:r>
          </w:p>
        </w:tc>
        <w:tc>
          <w:tcPr>
            <w:tcW w:w="1852"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xml:space="preserve">Ústav genetiky a biotechnológie rastlín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400 545</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557 036</w:t>
            </w:r>
          </w:p>
        </w:tc>
        <w:tc>
          <w:tcPr>
            <w:tcW w:w="425" w:type="pct"/>
            <w:shd w:val="clear" w:color="auto" w:fill="auto"/>
            <w:noWrap/>
            <w:vAlign w:val="bottom"/>
            <w:hideMark/>
          </w:tcPr>
          <w:p w:rsidR="007D13F3" w:rsidRPr="00555580" w:rsidRDefault="007D13F3" w:rsidP="00465CAC">
            <w:pPr>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 </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c>
          <w:tcPr>
            <w:tcW w:w="425" w:type="pct"/>
            <w:shd w:val="clear" w:color="auto" w:fill="auto"/>
            <w:noWrap/>
            <w:vAlign w:val="bottom"/>
            <w:hideMark/>
          </w:tcPr>
          <w:p w:rsidR="007D13F3" w:rsidRPr="00555580" w:rsidRDefault="007D13F3" w:rsidP="00465CAC">
            <w:pPr>
              <w:jc w:val="right"/>
              <w:rPr>
                <w:rFonts w:ascii="Times New Roman" w:hAnsi="Times New Roman" w:cs="Times New Roman"/>
                <w:color w:val="000000"/>
                <w:sz w:val="14"/>
                <w:szCs w:val="14"/>
                <w:lang w:eastAsia="sk-SK"/>
              </w:rPr>
            </w:pPr>
            <w:r w:rsidRPr="00555580">
              <w:rPr>
                <w:rFonts w:ascii="Times New Roman" w:hAnsi="Times New Roman" w:cs="Times New Roman"/>
                <w:color w:val="000000"/>
                <w:sz w:val="14"/>
                <w:szCs w:val="14"/>
                <w:lang w:eastAsia="sk-SK"/>
              </w:rPr>
              <w:t>0</w:t>
            </w:r>
          </w:p>
        </w:tc>
      </w:tr>
    </w:tbl>
    <w:p w:rsidR="007D13F3" w:rsidRDefault="007D13F3" w:rsidP="007D13F3">
      <w:pPr>
        <w:jc w:val="both"/>
        <w:rPr>
          <w:rFonts w:ascii="Times New Roman" w:hAnsi="Times New Roman"/>
          <w:lang w:eastAsia="sk-SK"/>
        </w:rPr>
      </w:pPr>
      <w:r w:rsidRPr="00246363">
        <w:rPr>
          <w:rFonts w:ascii="Times New Roman" w:hAnsi="Times New Roman"/>
          <w:sz w:val="14"/>
          <w:szCs w:val="14"/>
          <w:lang w:eastAsia="sk-SK"/>
        </w:rPr>
        <w:t>*v skutočnosti za roky 2015 a 2016 a očakávanej skutočnosti 2017 sú zahrnuté aj prostriedky EÚ a spolufinancovanie zo ŠR</w:t>
      </w:r>
    </w:p>
    <w:p w:rsidR="007D13F3" w:rsidRPr="008B2ACC" w:rsidRDefault="007D13F3" w:rsidP="007D13F3">
      <w:pPr>
        <w:jc w:val="both"/>
        <w:rPr>
          <w:rFonts w:ascii="Times New Roman" w:hAnsi="Times New Roman"/>
          <w:lang w:eastAsia="sk-SK"/>
        </w:rPr>
      </w:pPr>
    </w:p>
    <w:p w:rsidR="007D13F3" w:rsidRPr="008B2ACC" w:rsidRDefault="007D13F3" w:rsidP="007D13F3">
      <w:pPr>
        <w:jc w:val="both"/>
        <w:rPr>
          <w:rFonts w:ascii="Times New Roman" w:hAnsi="Times New Roman"/>
          <w:lang w:eastAsia="sk-SK"/>
        </w:rPr>
      </w:pPr>
      <w:r w:rsidRPr="008B2ACC">
        <w:rPr>
          <w:rFonts w:ascii="Times New Roman" w:hAnsi="Times New Roman"/>
          <w:b/>
          <w:bCs/>
          <w:lang w:eastAsia="sk-SK"/>
        </w:rPr>
        <w:t>Financovanie tretieho stupňa vysokoškolského vzdelávania</w:t>
      </w:r>
      <w:r w:rsidRPr="008B2ACC">
        <w:rPr>
          <w:rFonts w:ascii="Times New Roman" w:hAnsi="Times New Roman"/>
          <w:lang w:eastAsia="sk-SK"/>
        </w:rPr>
        <w:t> </w:t>
      </w:r>
    </w:p>
    <w:p w:rsidR="007D13F3" w:rsidRPr="008B2ACC" w:rsidRDefault="007D13F3" w:rsidP="007D13F3">
      <w:pPr>
        <w:jc w:val="both"/>
        <w:rPr>
          <w:rFonts w:ascii="Times New Roman" w:hAnsi="Times New Roman"/>
          <w:lang w:eastAsia="sk-SK"/>
        </w:rPr>
      </w:pPr>
    </w:p>
    <w:p w:rsidR="007D13F3" w:rsidRDefault="007D13F3" w:rsidP="007D13F3">
      <w:pPr>
        <w:ind w:firstLine="708"/>
        <w:jc w:val="both"/>
        <w:rPr>
          <w:rFonts w:ascii="Times New Roman" w:hAnsi="Times New Roman"/>
          <w:lang w:eastAsia="sk-SK"/>
        </w:rPr>
      </w:pPr>
      <w:r w:rsidRPr="008B2ACC">
        <w:rPr>
          <w:rFonts w:ascii="Times New Roman" w:hAnsi="Times New Roman"/>
          <w:lang w:eastAsia="sk-SK"/>
        </w:rPr>
        <w:t>SAV ako externá vzdelávacia inštitúcia sa podieľa na výchove nových generácií vedeckých pracovníkov v širokej palete vedných odborov. Zo svojho rozpočtu hradí nielen prostriedky na štipendiá, ale aj náklady spojené s vedeckou činnosťou doktorandov. Na rok 201</w:t>
      </w:r>
      <w:r>
        <w:rPr>
          <w:rFonts w:ascii="Times New Roman" w:hAnsi="Times New Roman"/>
          <w:lang w:eastAsia="sk-SK"/>
        </w:rPr>
        <w:t>8</w:t>
      </w:r>
      <w:r w:rsidRPr="008B2ACC">
        <w:rPr>
          <w:rFonts w:ascii="Times New Roman" w:hAnsi="Times New Roman"/>
          <w:lang w:eastAsia="sk-SK"/>
        </w:rPr>
        <w:t xml:space="preserve"> SAV rozpísala výdavky na tretí stupeň vysokoškolského vzdelávania </w:t>
      </w:r>
      <w:r>
        <w:rPr>
          <w:rFonts w:ascii="Times New Roman" w:hAnsi="Times New Roman"/>
          <w:lang w:eastAsia="sk-SK"/>
        </w:rPr>
        <w:t>oproti schválenému rozpočtu roku 2017</w:t>
      </w:r>
      <w:r w:rsidRPr="008B2ACC">
        <w:rPr>
          <w:rFonts w:ascii="Times New Roman" w:hAnsi="Times New Roman"/>
          <w:lang w:eastAsia="sk-SK"/>
        </w:rPr>
        <w:t xml:space="preserve"> </w:t>
      </w:r>
      <w:r>
        <w:rPr>
          <w:rFonts w:ascii="Times New Roman" w:hAnsi="Times New Roman"/>
          <w:lang w:eastAsia="sk-SK"/>
        </w:rPr>
        <w:t>menej o 0,24</w:t>
      </w:r>
      <w:r w:rsidRPr="008B2ACC">
        <w:rPr>
          <w:rFonts w:ascii="Times New Roman" w:hAnsi="Times New Roman"/>
          <w:lang w:eastAsia="sk-SK"/>
        </w:rPr>
        <w:t xml:space="preserve"> mil. eur</w:t>
      </w:r>
      <w:r>
        <w:rPr>
          <w:rFonts w:ascii="Times New Roman" w:hAnsi="Times New Roman"/>
          <w:lang w:eastAsia="sk-SK"/>
        </w:rPr>
        <w:t>, t. j. 7,00 % z dôvodu nižšieho počtu doktorandov</w:t>
      </w:r>
      <w:r w:rsidRPr="008B2ACC">
        <w:rPr>
          <w:rFonts w:ascii="Times New Roman" w:hAnsi="Times New Roman"/>
          <w:lang w:eastAsia="sk-SK"/>
        </w:rPr>
        <w:t>. Zo sumy 3,</w:t>
      </w:r>
      <w:r>
        <w:rPr>
          <w:rFonts w:ascii="Times New Roman" w:hAnsi="Times New Roman"/>
          <w:lang w:eastAsia="sk-SK"/>
        </w:rPr>
        <w:t>26</w:t>
      </w:r>
      <w:r w:rsidRPr="008B2ACC">
        <w:rPr>
          <w:rFonts w:ascii="Times New Roman" w:hAnsi="Times New Roman"/>
          <w:lang w:eastAsia="sk-SK"/>
        </w:rPr>
        <w:t xml:space="preserve"> mil. eur sú rozpočtované výdavky na štipendiá vrátane ostatného príspevku v sume 3,</w:t>
      </w:r>
      <w:r>
        <w:rPr>
          <w:rFonts w:ascii="Times New Roman" w:hAnsi="Times New Roman"/>
          <w:lang w:eastAsia="sk-SK"/>
        </w:rPr>
        <w:t>17</w:t>
      </w:r>
      <w:r w:rsidRPr="008B2ACC">
        <w:rPr>
          <w:rFonts w:ascii="Times New Roman" w:hAnsi="Times New Roman"/>
          <w:lang w:eastAsia="sk-SK"/>
        </w:rPr>
        <w:t xml:space="preserve"> mil. eur</w:t>
      </w:r>
      <w:r>
        <w:rPr>
          <w:rFonts w:ascii="Times New Roman" w:hAnsi="Times New Roman"/>
          <w:lang w:eastAsia="sk-SK"/>
        </w:rPr>
        <w:t>,</w:t>
      </w:r>
      <w:r w:rsidRPr="008B2ACC">
        <w:rPr>
          <w:rFonts w:ascii="Times New Roman" w:hAnsi="Times New Roman"/>
          <w:lang w:eastAsia="sk-SK"/>
        </w:rPr>
        <w:t xml:space="preserve"> </w:t>
      </w:r>
      <w:r>
        <w:rPr>
          <w:rFonts w:ascii="Times New Roman" w:hAnsi="Times New Roman"/>
          <w:lang w:eastAsia="sk-SK"/>
        </w:rPr>
        <w:t xml:space="preserve">v sume </w:t>
      </w:r>
      <w:r w:rsidR="00431F54">
        <w:rPr>
          <w:rFonts w:ascii="Times New Roman" w:hAnsi="Times New Roman"/>
          <w:lang w:eastAsia="sk-SK"/>
        </w:rPr>
        <w:t>80 tis.</w:t>
      </w:r>
      <w:r>
        <w:rPr>
          <w:rFonts w:ascii="Times New Roman" w:hAnsi="Times New Roman"/>
          <w:lang w:eastAsia="sk-SK"/>
        </w:rPr>
        <w:t xml:space="preserve"> eur na </w:t>
      </w:r>
      <w:r w:rsidRPr="008B2ACC">
        <w:rPr>
          <w:rFonts w:ascii="Times New Roman" w:hAnsi="Times New Roman"/>
          <w:lang w:eastAsia="sk-SK"/>
        </w:rPr>
        <w:t>bežné výdavky na tovary a služby spojené s vedeckou činnosťou doktorandov</w:t>
      </w:r>
      <w:r>
        <w:rPr>
          <w:rFonts w:ascii="Times New Roman" w:hAnsi="Times New Roman"/>
          <w:lang w:eastAsia="sk-SK"/>
        </w:rPr>
        <w:t xml:space="preserve"> a 7,4 tis. eur na IT financované zo ŠR na podporu infraštruktúry pre tretí stupeň vysokoškolského vzdelávania</w:t>
      </w:r>
      <w:r w:rsidRPr="008B2ACC">
        <w:rPr>
          <w:rFonts w:ascii="Times New Roman" w:hAnsi="Times New Roman"/>
          <w:lang w:eastAsia="sk-SK"/>
        </w:rPr>
        <w:t xml:space="preserve">. </w:t>
      </w:r>
    </w:p>
    <w:p w:rsidR="007D13F3" w:rsidRDefault="007D13F3" w:rsidP="007D13F3">
      <w:pPr>
        <w:ind w:firstLine="708"/>
        <w:jc w:val="both"/>
        <w:rPr>
          <w:rFonts w:ascii="Times New Roman" w:hAnsi="Times New Roman"/>
          <w:lang w:eastAsia="sk-SK"/>
        </w:rPr>
      </w:pPr>
    </w:p>
    <w:tbl>
      <w:tblPr>
        <w:tblW w:w="5000" w:type="pct"/>
        <w:tblCellMar>
          <w:left w:w="70" w:type="dxa"/>
          <w:right w:w="70" w:type="dxa"/>
        </w:tblCellMar>
        <w:tblLook w:val="04A0" w:firstRow="1" w:lastRow="0" w:firstColumn="1" w:lastColumn="0" w:noHBand="0" w:noVBand="1"/>
      </w:tblPr>
      <w:tblGrid>
        <w:gridCol w:w="3961"/>
        <w:gridCol w:w="728"/>
        <w:gridCol w:w="728"/>
        <w:gridCol w:w="729"/>
        <w:gridCol w:w="729"/>
        <w:gridCol w:w="729"/>
        <w:gridCol w:w="729"/>
        <w:gridCol w:w="729"/>
      </w:tblGrid>
      <w:tr w:rsidR="007D13F3" w:rsidRPr="00955C3D" w:rsidTr="00465CAC">
        <w:trPr>
          <w:trHeight w:hRule="exact" w:val="255"/>
        </w:trPr>
        <w:tc>
          <w:tcPr>
            <w:tcW w:w="2186"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246363" w:rsidRDefault="007D13F3" w:rsidP="00465CAC">
            <w:pPr>
              <w:rPr>
                <w:rFonts w:ascii="Times New Roman" w:hAnsi="Times New Roman" w:cs="Times New Roman"/>
                <w:b/>
                <w:bCs/>
                <w:color w:val="000000"/>
                <w:sz w:val="14"/>
                <w:szCs w:val="14"/>
                <w:lang w:eastAsia="sk-SK"/>
              </w:rPr>
            </w:pPr>
            <w:r w:rsidRPr="00246363">
              <w:rPr>
                <w:rFonts w:ascii="Times New Roman" w:hAnsi="Times New Roman" w:cs="Times New Roman"/>
                <w:b/>
                <w:bCs/>
                <w:color w:val="000000"/>
                <w:sz w:val="14"/>
                <w:szCs w:val="14"/>
                <w:lang w:eastAsia="sk-SK"/>
              </w:rPr>
              <w:t>v eurách</w:t>
            </w:r>
          </w:p>
        </w:tc>
        <w:tc>
          <w:tcPr>
            <w:tcW w:w="402"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246363" w:rsidRDefault="007D13F3" w:rsidP="00465CAC">
            <w:pPr>
              <w:jc w:val="center"/>
              <w:rPr>
                <w:rFonts w:ascii="Times New Roman" w:hAnsi="Times New Roman" w:cs="Times New Roman"/>
                <w:b/>
                <w:bCs/>
                <w:color w:val="000000"/>
                <w:sz w:val="14"/>
                <w:szCs w:val="14"/>
                <w:lang w:eastAsia="sk-SK"/>
              </w:rPr>
            </w:pPr>
            <w:r w:rsidRPr="00246363">
              <w:rPr>
                <w:rFonts w:ascii="Times New Roman" w:hAnsi="Times New Roman" w:cs="Times New Roman"/>
                <w:b/>
                <w:bCs/>
                <w:color w:val="000000"/>
                <w:sz w:val="14"/>
                <w:szCs w:val="14"/>
                <w:lang w:eastAsia="sk-SK"/>
              </w:rPr>
              <w:t>2015 S</w:t>
            </w:r>
          </w:p>
        </w:tc>
        <w:tc>
          <w:tcPr>
            <w:tcW w:w="402"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246363" w:rsidRDefault="007D13F3" w:rsidP="00465CAC">
            <w:pPr>
              <w:jc w:val="center"/>
              <w:rPr>
                <w:rFonts w:ascii="Times New Roman" w:hAnsi="Times New Roman" w:cs="Times New Roman"/>
                <w:b/>
                <w:bCs/>
                <w:color w:val="000000"/>
                <w:sz w:val="14"/>
                <w:szCs w:val="14"/>
                <w:lang w:eastAsia="sk-SK"/>
              </w:rPr>
            </w:pPr>
            <w:r w:rsidRPr="00246363">
              <w:rPr>
                <w:rFonts w:ascii="Times New Roman" w:hAnsi="Times New Roman" w:cs="Times New Roman"/>
                <w:b/>
                <w:bCs/>
                <w:color w:val="000000"/>
                <w:sz w:val="14"/>
                <w:szCs w:val="14"/>
                <w:lang w:eastAsia="sk-SK"/>
              </w:rPr>
              <w:t>2016 S</w:t>
            </w:r>
          </w:p>
        </w:tc>
        <w:tc>
          <w:tcPr>
            <w:tcW w:w="402"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246363" w:rsidRDefault="007D13F3" w:rsidP="00465CAC">
            <w:pPr>
              <w:jc w:val="center"/>
              <w:rPr>
                <w:rFonts w:ascii="Times New Roman" w:hAnsi="Times New Roman" w:cs="Times New Roman"/>
                <w:b/>
                <w:bCs/>
                <w:color w:val="000000"/>
                <w:sz w:val="14"/>
                <w:szCs w:val="14"/>
                <w:lang w:eastAsia="sk-SK"/>
              </w:rPr>
            </w:pPr>
            <w:r w:rsidRPr="00246363">
              <w:rPr>
                <w:rFonts w:ascii="Times New Roman" w:hAnsi="Times New Roman" w:cs="Times New Roman"/>
                <w:b/>
                <w:bCs/>
                <w:color w:val="000000"/>
                <w:sz w:val="14"/>
                <w:szCs w:val="14"/>
                <w:lang w:eastAsia="sk-SK"/>
              </w:rPr>
              <w:t>2017 R</w:t>
            </w:r>
          </w:p>
        </w:tc>
        <w:tc>
          <w:tcPr>
            <w:tcW w:w="402"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246363" w:rsidRDefault="007D13F3" w:rsidP="00465CAC">
            <w:pPr>
              <w:jc w:val="center"/>
              <w:rPr>
                <w:rFonts w:ascii="Times New Roman" w:hAnsi="Times New Roman" w:cs="Times New Roman"/>
                <w:b/>
                <w:bCs/>
                <w:color w:val="000000"/>
                <w:sz w:val="14"/>
                <w:szCs w:val="14"/>
                <w:lang w:eastAsia="sk-SK"/>
              </w:rPr>
            </w:pPr>
            <w:r w:rsidRPr="00246363">
              <w:rPr>
                <w:rFonts w:ascii="Times New Roman" w:hAnsi="Times New Roman" w:cs="Times New Roman"/>
                <w:b/>
                <w:bCs/>
                <w:color w:val="000000"/>
                <w:sz w:val="14"/>
                <w:szCs w:val="14"/>
                <w:lang w:eastAsia="sk-SK"/>
              </w:rPr>
              <w:t>2017 OS</w:t>
            </w:r>
          </w:p>
        </w:tc>
        <w:tc>
          <w:tcPr>
            <w:tcW w:w="402"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246363" w:rsidRDefault="007D13F3" w:rsidP="00465CAC">
            <w:pPr>
              <w:jc w:val="center"/>
              <w:rPr>
                <w:rFonts w:ascii="Times New Roman" w:hAnsi="Times New Roman" w:cs="Times New Roman"/>
                <w:b/>
                <w:bCs/>
                <w:color w:val="000000"/>
                <w:sz w:val="14"/>
                <w:szCs w:val="14"/>
                <w:lang w:eastAsia="sk-SK"/>
              </w:rPr>
            </w:pPr>
            <w:r w:rsidRPr="00246363">
              <w:rPr>
                <w:rFonts w:ascii="Times New Roman" w:hAnsi="Times New Roman" w:cs="Times New Roman"/>
                <w:b/>
                <w:bCs/>
                <w:color w:val="000000"/>
                <w:sz w:val="14"/>
                <w:szCs w:val="14"/>
                <w:lang w:eastAsia="sk-SK"/>
              </w:rPr>
              <w:t>2018 N</w:t>
            </w:r>
          </w:p>
        </w:tc>
        <w:tc>
          <w:tcPr>
            <w:tcW w:w="402"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246363" w:rsidRDefault="007D13F3" w:rsidP="00465CAC">
            <w:pPr>
              <w:jc w:val="center"/>
              <w:rPr>
                <w:rFonts w:ascii="Times New Roman" w:hAnsi="Times New Roman" w:cs="Times New Roman"/>
                <w:b/>
                <w:bCs/>
                <w:color w:val="000000"/>
                <w:sz w:val="14"/>
                <w:szCs w:val="14"/>
                <w:lang w:eastAsia="sk-SK"/>
              </w:rPr>
            </w:pPr>
            <w:r w:rsidRPr="00246363">
              <w:rPr>
                <w:rFonts w:ascii="Times New Roman" w:hAnsi="Times New Roman" w:cs="Times New Roman"/>
                <w:b/>
                <w:bCs/>
                <w:color w:val="000000"/>
                <w:sz w:val="14"/>
                <w:szCs w:val="14"/>
                <w:lang w:eastAsia="sk-SK"/>
              </w:rPr>
              <w:t>2019 N</w:t>
            </w:r>
          </w:p>
        </w:tc>
        <w:tc>
          <w:tcPr>
            <w:tcW w:w="402"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246363" w:rsidRDefault="007D13F3" w:rsidP="00465CAC">
            <w:pPr>
              <w:jc w:val="center"/>
              <w:rPr>
                <w:rFonts w:ascii="Times New Roman" w:hAnsi="Times New Roman" w:cs="Times New Roman"/>
                <w:b/>
                <w:bCs/>
                <w:color w:val="000000"/>
                <w:sz w:val="14"/>
                <w:szCs w:val="14"/>
                <w:lang w:eastAsia="sk-SK"/>
              </w:rPr>
            </w:pPr>
            <w:r w:rsidRPr="00246363">
              <w:rPr>
                <w:rFonts w:ascii="Times New Roman" w:hAnsi="Times New Roman" w:cs="Times New Roman"/>
                <w:b/>
                <w:bCs/>
                <w:color w:val="000000"/>
                <w:sz w:val="14"/>
                <w:szCs w:val="14"/>
                <w:lang w:eastAsia="sk-SK"/>
              </w:rPr>
              <w:t>2020 N</w:t>
            </w:r>
          </w:p>
        </w:tc>
      </w:tr>
      <w:tr w:rsidR="007D13F3" w:rsidRPr="00955C3D" w:rsidTr="00465CAC">
        <w:trPr>
          <w:trHeight w:hRule="exact" w:val="255"/>
        </w:trPr>
        <w:tc>
          <w:tcPr>
            <w:tcW w:w="2186"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246363" w:rsidRDefault="007D13F3" w:rsidP="00465CAC">
            <w:pPr>
              <w:rPr>
                <w:rFonts w:ascii="Times New Roman" w:hAnsi="Times New Roman" w:cs="Times New Roman"/>
                <w:b/>
                <w:bCs/>
                <w:color w:val="000000"/>
                <w:sz w:val="14"/>
                <w:szCs w:val="14"/>
                <w:lang w:eastAsia="sk-SK"/>
              </w:rPr>
            </w:pPr>
            <w:r w:rsidRPr="00246363">
              <w:rPr>
                <w:rFonts w:ascii="Times New Roman" w:hAnsi="Times New Roman" w:cs="Times New Roman"/>
                <w:b/>
                <w:bCs/>
                <w:color w:val="000000"/>
                <w:sz w:val="14"/>
                <w:szCs w:val="14"/>
                <w:lang w:eastAsia="sk-SK"/>
              </w:rPr>
              <w:t>Výdavky na doktorandov vrátane ďalšieho vzdelávania spolu</w:t>
            </w:r>
          </w:p>
        </w:tc>
        <w:tc>
          <w:tcPr>
            <w:tcW w:w="402"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246363" w:rsidRDefault="007D13F3" w:rsidP="00465CAC">
            <w:pPr>
              <w:jc w:val="right"/>
              <w:rPr>
                <w:rFonts w:ascii="Times New Roman" w:hAnsi="Times New Roman" w:cs="Times New Roman"/>
                <w:b/>
                <w:bCs/>
                <w:color w:val="000000"/>
                <w:sz w:val="14"/>
                <w:szCs w:val="14"/>
                <w:lang w:eastAsia="sk-SK"/>
              </w:rPr>
            </w:pPr>
            <w:r w:rsidRPr="00246363">
              <w:rPr>
                <w:rFonts w:ascii="Times New Roman" w:hAnsi="Times New Roman" w:cs="Times New Roman"/>
                <w:b/>
                <w:bCs/>
                <w:color w:val="000000"/>
                <w:sz w:val="14"/>
                <w:szCs w:val="14"/>
                <w:lang w:eastAsia="sk-SK"/>
              </w:rPr>
              <w:t>4 033 560</w:t>
            </w:r>
          </w:p>
        </w:tc>
        <w:tc>
          <w:tcPr>
            <w:tcW w:w="402"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246363" w:rsidRDefault="007D13F3" w:rsidP="00465CAC">
            <w:pPr>
              <w:jc w:val="right"/>
              <w:rPr>
                <w:rFonts w:ascii="Times New Roman" w:hAnsi="Times New Roman" w:cs="Times New Roman"/>
                <w:b/>
                <w:bCs/>
                <w:color w:val="000000"/>
                <w:sz w:val="14"/>
                <w:szCs w:val="14"/>
                <w:lang w:eastAsia="sk-SK"/>
              </w:rPr>
            </w:pPr>
            <w:r w:rsidRPr="00246363">
              <w:rPr>
                <w:rFonts w:ascii="Times New Roman" w:hAnsi="Times New Roman" w:cs="Times New Roman"/>
                <w:b/>
                <w:bCs/>
                <w:color w:val="000000"/>
                <w:sz w:val="14"/>
                <w:szCs w:val="14"/>
                <w:lang w:eastAsia="sk-SK"/>
              </w:rPr>
              <w:t>3 273 563</w:t>
            </w:r>
          </w:p>
        </w:tc>
        <w:tc>
          <w:tcPr>
            <w:tcW w:w="402"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246363" w:rsidRDefault="007D13F3" w:rsidP="00465CAC">
            <w:pPr>
              <w:jc w:val="right"/>
              <w:rPr>
                <w:rFonts w:ascii="Times New Roman" w:hAnsi="Times New Roman" w:cs="Times New Roman"/>
                <w:b/>
                <w:bCs/>
                <w:color w:val="000000"/>
                <w:sz w:val="14"/>
                <w:szCs w:val="14"/>
                <w:lang w:eastAsia="sk-SK"/>
              </w:rPr>
            </w:pPr>
            <w:r w:rsidRPr="00246363">
              <w:rPr>
                <w:rFonts w:ascii="Times New Roman" w:hAnsi="Times New Roman" w:cs="Times New Roman"/>
                <w:b/>
                <w:bCs/>
                <w:color w:val="000000"/>
                <w:sz w:val="14"/>
                <w:szCs w:val="14"/>
                <w:lang w:eastAsia="sk-SK"/>
              </w:rPr>
              <w:t>3 505 597</w:t>
            </w:r>
          </w:p>
        </w:tc>
        <w:tc>
          <w:tcPr>
            <w:tcW w:w="402"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246363" w:rsidRDefault="007D13F3" w:rsidP="00465CAC">
            <w:pPr>
              <w:jc w:val="right"/>
              <w:rPr>
                <w:rFonts w:ascii="Times New Roman" w:hAnsi="Times New Roman" w:cs="Times New Roman"/>
                <w:b/>
                <w:bCs/>
                <w:color w:val="000000"/>
                <w:sz w:val="14"/>
                <w:szCs w:val="14"/>
                <w:lang w:eastAsia="sk-SK"/>
              </w:rPr>
            </w:pPr>
            <w:r w:rsidRPr="00246363">
              <w:rPr>
                <w:rFonts w:ascii="Times New Roman" w:hAnsi="Times New Roman" w:cs="Times New Roman"/>
                <w:b/>
                <w:bCs/>
                <w:color w:val="000000"/>
                <w:sz w:val="14"/>
                <w:szCs w:val="14"/>
                <w:lang w:eastAsia="sk-SK"/>
              </w:rPr>
              <w:t>3 260 206</w:t>
            </w:r>
          </w:p>
        </w:tc>
        <w:tc>
          <w:tcPr>
            <w:tcW w:w="402"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246363" w:rsidRDefault="007D13F3" w:rsidP="00465CAC">
            <w:pPr>
              <w:jc w:val="right"/>
              <w:rPr>
                <w:rFonts w:ascii="Times New Roman" w:hAnsi="Times New Roman" w:cs="Times New Roman"/>
                <w:b/>
                <w:bCs/>
                <w:color w:val="000000"/>
                <w:sz w:val="14"/>
                <w:szCs w:val="14"/>
                <w:lang w:eastAsia="sk-SK"/>
              </w:rPr>
            </w:pPr>
            <w:r w:rsidRPr="00246363">
              <w:rPr>
                <w:rFonts w:ascii="Times New Roman" w:hAnsi="Times New Roman" w:cs="Times New Roman"/>
                <w:b/>
                <w:bCs/>
                <w:color w:val="000000"/>
                <w:sz w:val="14"/>
                <w:szCs w:val="14"/>
                <w:lang w:eastAsia="sk-SK"/>
              </w:rPr>
              <w:t>3 260 206</w:t>
            </w:r>
          </w:p>
        </w:tc>
        <w:tc>
          <w:tcPr>
            <w:tcW w:w="402"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246363" w:rsidRDefault="007D13F3" w:rsidP="00465CAC">
            <w:pPr>
              <w:jc w:val="right"/>
              <w:rPr>
                <w:rFonts w:ascii="Times New Roman" w:hAnsi="Times New Roman" w:cs="Times New Roman"/>
                <w:b/>
                <w:bCs/>
                <w:color w:val="000000"/>
                <w:sz w:val="14"/>
                <w:szCs w:val="14"/>
                <w:lang w:eastAsia="sk-SK"/>
              </w:rPr>
            </w:pPr>
            <w:r w:rsidRPr="00246363">
              <w:rPr>
                <w:rFonts w:ascii="Times New Roman" w:hAnsi="Times New Roman" w:cs="Times New Roman"/>
                <w:b/>
                <w:bCs/>
                <w:color w:val="000000"/>
                <w:sz w:val="14"/>
                <w:szCs w:val="14"/>
                <w:lang w:eastAsia="sk-SK"/>
              </w:rPr>
              <w:t>3 260 206</w:t>
            </w:r>
          </w:p>
        </w:tc>
        <w:tc>
          <w:tcPr>
            <w:tcW w:w="402" w:type="pct"/>
            <w:tcBorders>
              <w:top w:val="single" w:sz="4" w:space="0" w:color="auto"/>
              <w:left w:val="nil"/>
              <w:bottom w:val="single" w:sz="4" w:space="0" w:color="auto"/>
              <w:right w:val="single" w:sz="4" w:space="0" w:color="auto"/>
            </w:tcBorders>
            <w:shd w:val="pct25" w:color="000000" w:fill="auto"/>
            <w:noWrap/>
            <w:vAlign w:val="bottom"/>
            <w:hideMark/>
          </w:tcPr>
          <w:p w:rsidR="007D13F3" w:rsidRPr="00246363" w:rsidRDefault="007D13F3" w:rsidP="00465CAC">
            <w:pPr>
              <w:jc w:val="right"/>
              <w:rPr>
                <w:rFonts w:ascii="Times New Roman" w:hAnsi="Times New Roman" w:cs="Times New Roman"/>
                <w:b/>
                <w:bCs/>
                <w:color w:val="000000"/>
                <w:sz w:val="14"/>
                <w:szCs w:val="14"/>
                <w:lang w:eastAsia="sk-SK"/>
              </w:rPr>
            </w:pPr>
            <w:r w:rsidRPr="00246363">
              <w:rPr>
                <w:rFonts w:ascii="Times New Roman" w:hAnsi="Times New Roman" w:cs="Times New Roman"/>
                <w:b/>
                <w:bCs/>
                <w:color w:val="000000"/>
                <w:sz w:val="14"/>
                <w:szCs w:val="14"/>
                <w:lang w:eastAsia="sk-SK"/>
              </w:rPr>
              <w:t>3 260 206</w:t>
            </w:r>
          </w:p>
        </w:tc>
      </w:tr>
      <w:tr w:rsidR="007D13F3" w:rsidRPr="00246363" w:rsidTr="00465CAC">
        <w:trPr>
          <w:trHeight w:hRule="exact" w:val="255"/>
        </w:trPr>
        <w:tc>
          <w:tcPr>
            <w:tcW w:w="2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246363" w:rsidRDefault="007D13F3" w:rsidP="00465CAC">
            <w:pPr>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 xml:space="preserve">z toho: tovary a služby na doktorandov </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138 410</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77 822</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88 660</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67 454</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79 854</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79 804</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79 854</w:t>
            </w:r>
          </w:p>
        </w:tc>
      </w:tr>
      <w:tr w:rsidR="007D13F3" w:rsidRPr="00246363" w:rsidTr="00465CAC">
        <w:trPr>
          <w:trHeight w:hRule="exact" w:val="255"/>
        </w:trPr>
        <w:tc>
          <w:tcPr>
            <w:tcW w:w="2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246363" w:rsidRDefault="007D13F3" w:rsidP="00465CAC">
            <w:pPr>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 xml:space="preserve">           štipendiá doktorandov vrátane ostat</w:t>
            </w:r>
            <w:r>
              <w:rPr>
                <w:rFonts w:ascii="Times New Roman" w:hAnsi="Times New Roman" w:cs="Times New Roman"/>
                <w:color w:val="000000"/>
                <w:sz w:val="14"/>
                <w:szCs w:val="14"/>
                <w:lang w:eastAsia="sk-SK"/>
              </w:rPr>
              <w:t>ného</w:t>
            </w:r>
            <w:r w:rsidRPr="00246363">
              <w:rPr>
                <w:rFonts w:ascii="Times New Roman" w:hAnsi="Times New Roman" w:cs="Times New Roman"/>
                <w:color w:val="000000"/>
                <w:sz w:val="14"/>
                <w:szCs w:val="14"/>
                <w:lang w:eastAsia="sk-SK"/>
              </w:rPr>
              <w:t xml:space="preserve"> príspevku</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3 260 342</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3 168 579</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3 416 937</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3 190 752</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3 172 952</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3 173 152</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3 173 202</w:t>
            </w:r>
          </w:p>
        </w:tc>
      </w:tr>
      <w:tr w:rsidR="007D13F3" w:rsidRPr="00246363" w:rsidTr="00465CAC">
        <w:trPr>
          <w:trHeight w:hRule="exact" w:val="255"/>
        </w:trPr>
        <w:tc>
          <w:tcPr>
            <w:tcW w:w="2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246363" w:rsidRDefault="007D13F3" w:rsidP="00465CAC">
            <w:pPr>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 xml:space="preserve">           IT financované zo štátneho rozpočtu</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0</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0</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0</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2 000</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7 400</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7 250</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7 150</w:t>
            </w:r>
          </w:p>
        </w:tc>
      </w:tr>
      <w:tr w:rsidR="007D13F3" w:rsidRPr="00246363" w:rsidTr="00465CAC">
        <w:trPr>
          <w:trHeight w:hRule="exact" w:val="255"/>
        </w:trPr>
        <w:tc>
          <w:tcPr>
            <w:tcW w:w="2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246363" w:rsidRDefault="007D13F3" w:rsidP="00465CAC">
            <w:pPr>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počet doktorandov (osôb)</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446</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411</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460</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411</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411</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411</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411</w:t>
            </w:r>
          </w:p>
        </w:tc>
      </w:tr>
      <w:tr w:rsidR="007D13F3" w:rsidRPr="00246363" w:rsidTr="00465CAC">
        <w:trPr>
          <w:trHeight w:hRule="exact" w:val="255"/>
        </w:trPr>
        <w:tc>
          <w:tcPr>
            <w:tcW w:w="2186" w:type="pct"/>
            <w:tcBorders>
              <w:top w:val="nil"/>
              <w:left w:val="single" w:sz="4" w:space="0" w:color="auto"/>
              <w:bottom w:val="single" w:sz="4" w:space="0" w:color="auto"/>
              <w:right w:val="single" w:sz="4" w:space="0" w:color="auto"/>
            </w:tcBorders>
            <w:shd w:val="clear" w:color="auto" w:fill="auto"/>
            <w:noWrap/>
            <w:vAlign w:val="bottom"/>
            <w:hideMark/>
          </w:tcPr>
          <w:p w:rsidR="007D13F3" w:rsidRPr="00246363" w:rsidRDefault="007D13F3" w:rsidP="00465CAC">
            <w:pPr>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výdavky na ďalšie vzdelávanie</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634 808</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27 162</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0</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0</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0</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0</w:t>
            </w:r>
          </w:p>
        </w:tc>
        <w:tc>
          <w:tcPr>
            <w:tcW w:w="402" w:type="pct"/>
            <w:tcBorders>
              <w:top w:val="nil"/>
              <w:left w:val="nil"/>
              <w:bottom w:val="single" w:sz="4" w:space="0" w:color="auto"/>
              <w:right w:val="single" w:sz="4" w:space="0" w:color="auto"/>
            </w:tcBorders>
            <w:shd w:val="clear" w:color="auto" w:fill="auto"/>
            <w:noWrap/>
            <w:vAlign w:val="bottom"/>
            <w:hideMark/>
          </w:tcPr>
          <w:p w:rsidR="007D13F3" w:rsidRPr="00246363" w:rsidRDefault="007D13F3" w:rsidP="00465CAC">
            <w:pPr>
              <w:jc w:val="right"/>
              <w:rPr>
                <w:rFonts w:ascii="Times New Roman" w:hAnsi="Times New Roman" w:cs="Times New Roman"/>
                <w:color w:val="000000"/>
                <w:sz w:val="14"/>
                <w:szCs w:val="14"/>
                <w:lang w:eastAsia="sk-SK"/>
              </w:rPr>
            </w:pPr>
            <w:r w:rsidRPr="00246363">
              <w:rPr>
                <w:rFonts w:ascii="Times New Roman" w:hAnsi="Times New Roman" w:cs="Times New Roman"/>
                <w:color w:val="000000"/>
                <w:sz w:val="14"/>
                <w:szCs w:val="14"/>
                <w:lang w:eastAsia="sk-SK"/>
              </w:rPr>
              <w:t>0</w:t>
            </w:r>
          </w:p>
        </w:tc>
      </w:tr>
    </w:tbl>
    <w:p w:rsidR="007D13F3" w:rsidRDefault="007D13F3" w:rsidP="007D13F3">
      <w:pPr>
        <w:ind w:firstLine="708"/>
        <w:jc w:val="both"/>
        <w:rPr>
          <w:rFonts w:ascii="Times New Roman" w:hAnsi="Times New Roman"/>
          <w:lang w:eastAsia="sk-SK"/>
        </w:rPr>
      </w:pPr>
    </w:p>
    <w:p w:rsidR="007D13F3" w:rsidRDefault="007D13F3" w:rsidP="007D13F3">
      <w:pPr>
        <w:spacing w:line="276" w:lineRule="auto"/>
        <w:jc w:val="both"/>
        <w:rPr>
          <w:rFonts w:ascii="Times New Roman" w:hAnsi="Times New Roman" w:cs="Times New Roman"/>
          <w:b/>
        </w:rPr>
      </w:pPr>
      <w:r w:rsidRPr="006D465C">
        <w:rPr>
          <w:rFonts w:ascii="Times New Roman" w:hAnsi="Times New Roman" w:cs="Times New Roman"/>
          <w:b/>
        </w:rPr>
        <w:lastRenderedPageBreak/>
        <w:t>Informačné technológie financované zo štátneho rozpočtu</w:t>
      </w:r>
    </w:p>
    <w:p w:rsidR="007D13F3" w:rsidRDefault="007D13F3" w:rsidP="007D13F3">
      <w:pPr>
        <w:spacing w:line="276" w:lineRule="auto"/>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2771"/>
        <w:gridCol w:w="899"/>
        <w:gridCol w:w="899"/>
        <w:gridCol w:w="899"/>
        <w:gridCol w:w="899"/>
        <w:gridCol w:w="899"/>
        <w:gridCol w:w="899"/>
        <w:gridCol w:w="897"/>
      </w:tblGrid>
      <w:tr w:rsidR="007D13F3" w:rsidRPr="00DE0A40" w:rsidTr="00465CAC">
        <w:trPr>
          <w:trHeight w:hRule="exact" w:val="255"/>
        </w:trPr>
        <w:tc>
          <w:tcPr>
            <w:tcW w:w="1529"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7D13F3" w:rsidRPr="00DE0A40" w:rsidRDefault="007D13F3" w:rsidP="00465CAC">
            <w:pPr>
              <w:rPr>
                <w:rFonts w:ascii="Times New Roman" w:hAnsi="Times New Roman" w:cs="Times New Roman"/>
                <w:b/>
                <w:bCs/>
                <w:color w:val="000000"/>
                <w:sz w:val="14"/>
                <w:szCs w:val="14"/>
                <w:lang w:eastAsia="sk-SK"/>
              </w:rPr>
            </w:pPr>
            <w:r w:rsidRPr="00DE0A40">
              <w:rPr>
                <w:rFonts w:ascii="Times New Roman" w:hAnsi="Times New Roman" w:cs="Times New Roman"/>
                <w:b/>
                <w:bCs/>
                <w:color w:val="000000"/>
                <w:sz w:val="14"/>
                <w:szCs w:val="14"/>
                <w:lang w:eastAsia="sk-SK"/>
              </w:rPr>
              <w:t>v eurách</w:t>
            </w:r>
          </w:p>
        </w:tc>
        <w:tc>
          <w:tcPr>
            <w:tcW w:w="496"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DE0A40" w:rsidRDefault="007D13F3" w:rsidP="00465CAC">
            <w:pPr>
              <w:jc w:val="center"/>
              <w:rPr>
                <w:rFonts w:ascii="Times New Roman" w:hAnsi="Times New Roman" w:cs="Times New Roman"/>
                <w:b/>
                <w:bCs/>
                <w:color w:val="000000"/>
                <w:sz w:val="14"/>
                <w:szCs w:val="14"/>
                <w:lang w:eastAsia="sk-SK"/>
              </w:rPr>
            </w:pPr>
            <w:r w:rsidRPr="00DE0A40">
              <w:rPr>
                <w:rFonts w:ascii="Times New Roman" w:hAnsi="Times New Roman" w:cs="Times New Roman"/>
                <w:b/>
                <w:bCs/>
                <w:color w:val="000000"/>
                <w:sz w:val="14"/>
                <w:szCs w:val="14"/>
                <w:lang w:eastAsia="sk-SK"/>
              </w:rPr>
              <w:t>2015 S</w:t>
            </w:r>
          </w:p>
        </w:tc>
        <w:tc>
          <w:tcPr>
            <w:tcW w:w="496"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DE0A40" w:rsidRDefault="007D13F3" w:rsidP="00465CAC">
            <w:pPr>
              <w:jc w:val="center"/>
              <w:rPr>
                <w:rFonts w:ascii="Times New Roman" w:hAnsi="Times New Roman" w:cs="Times New Roman"/>
                <w:b/>
                <w:bCs/>
                <w:color w:val="000000"/>
                <w:sz w:val="14"/>
                <w:szCs w:val="14"/>
                <w:lang w:eastAsia="sk-SK"/>
              </w:rPr>
            </w:pPr>
            <w:r w:rsidRPr="00DE0A40">
              <w:rPr>
                <w:rFonts w:ascii="Times New Roman" w:hAnsi="Times New Roman" w:cs="Times New Roman"/>
                <w:b/>
                <w:bCs/>
                <w:color w:val="000000"/>
                <w:sz w:val="14"/>
                <w:szCs w:val="14"/>
                <w:lang w:eastAsia="sk-SK"/>
              </w:rPr>
              <w:t>2016 S</w:t>
            </w:r>
          </w:p>
        </w:tc>
        <w:tc>
          <w:tcPr>
            <w:tcW w:w="496"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DE0A40" w:rsidRDefault="007D13F3" w:rsidP="00465CAC">
            <w:pPr>
              <w:jc w:val="center"/>
              <w:rPr>
                <w:rFonts w:ascii="Times New Roman" w:hAnsi="Times New Roman" w:cs="Times New Roman"/>
                <w:b/>
                <w:bCs/>
                <w:color w:val="000000"/>
                <w:sz w:val="14"/>
                <w:szCs w:val="14"/>
                <w:lang w:eastAsia="sk-SK"/>
              </w:rPr>
            </w:pPr>
            <w:r w:rsidRPr="00DE0A40">
              <w:rPr>
                <w:rFonts w:ascii="Times New Roman" w:hAnsi="Times New Roman" w:cs="Times New Roman"/>
                <w:b/>
                <w:bCs/>
                <w:color w:val="000000"/>
                <w:sz w:val="14"/>
                <w:szCs w:val="14"/>
                <w:lang w:eastAsia="sk-SK"/>
              </w:rPr>
              <w:t>2017 R</w:t>
            </w:r>
          </w:p>
        </w:tc>
        <w:tc>
          <w:tcPr>
            <w:tcW w:w="496"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DE0A40" w:rsidRDefault="007D13F3" w:rsidP="00465CAC">
            <w:pPr>
              <w:jc w:val="center"/>
              <w:rPr>
                <w:rFonts w:ascii="Times New Roman" w:hAnsi="Times New Roman" w:cs="Times New Roman"/>
                <w:b/>
                <w:bCs/>
                <w:color w:val="000000"/>
                <w:sz w:val="14"/>
                <w:szCs w:val="14"/>
                <w:lang w:eastAsia="sk-SK"/>
              </w:rPr>
            </w:pPr>
            <w:r w:rsidRPr="00DE0A40">
              <w:rPr>
                <w:rFonts w:ascii="Times New Roman" w:hAnsi="Times New Roman" w:cs="Times New Roman"/>
                <w:b/>
                <w:bCs/>
                <w:color w:val="000000"/>
                <w:sz w:val="14"/>
                <w:szCs w:val="14"/>
                <w:lang w:eastAsia="sk-SK"/>
              </w:rPr>
              <w:t>2017 OS</w:t>
            </w:r>
          </w:p>
        </w:tc>
        <w:tc>
          <w:tcPr>
            <w:tcW w:w="496"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DE0A40" w:rsidRDefault="007D13F3" w:rsidP="00465CAC">
            <w:pPr>
              <w:jc w:val="center"/>
              <w:rPr>
                <w:rFonts w:ascii="Times New Roman" w:hAnsi="Times New Roman" w:cs="Times New Roman"/>
                <w:b/>
                <w:bCs/>
                <w:color w:val="000000"/>
                <w:sz w:val="14"/>
                <w:szCs w:val="14"/>
                <w:lang w:eastAsia="sk-SK"/>
              </w:rPr>
            </w:pPr>
            <w:r w:rsidRPr="00DE0A40">
              <w:rPr>
                <w:rFonts w:ascii="Times New Roman" w:hAnsi="Times New Roman" w:cs="Times New Roman"/>
                <w:b/>
                <w:bCs/>
                <w:color w:val="000000"/>
                <w:sz w:val="14"/>
                <w:szCs w:val="14"/>
                <w:lang w:eastAsia="sk-SK"/>
              </w:rPr>
              <w:t>2018 N</w:t>
            </w:r>
          </w:p>
        </w:tc>
        <w:tc>
          <w:tcPr>
            <w:tcW w:w="496"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DE0A40" w:rsidRDefault="007D13F3" w:rsidP="00465CAC">
            <w:pPr>
              <w:jc w:val="center"/>
              <w:rPr>
                <w:rFonts w:ascii="Times New Roman" w:hAnsi="Times New Roman" w:cs="Times New Roman"/>
                <w:b/>
                <w:bCs/>
                <w:color w:val="000000"/>
                <w:sz w:val="14"/>
                <w:szCs w:val="14"/>
                <w:lang w:eastAsia="sk-SK"/>
              </w:rPr>
            </w:pPr>
            <w:r w:rsidRPr="00DE0A40">
              <w:rPr>
                <w:rFonts w:ascii="Times New Roman" w:hAnsi="Times New Roman" w:cs="Times New Roman"/>
                <w:b/>
                <w:bCs/>
                <w:color w:val="000000"/>
                <w:sz w:val="14"/>
                <w:szCs w:val="14"/>
                <w:lang w:eastAsia="sk-SK"/>
              </w:rPr>
              <w:t>2019 N</w:t>
            </w:r>
          </w:p>
        </w:tc>
        <w:tc>
          <w:tcPr>
            <w:tcW w:w="496" w:type="pct"/>
            <w:tcBorders>
              <w:top w:val="single" w:sz="4" w:space="0" w:color="auto"/>
              <w:left w:val="nil"/>
              <w:bottom w:val="single" w:sz="4" w:space="0" w:color="auto"/>
              <w:right w:val="single" w:sz="4" w:space="0" w:color="auto"/>
            </w:tcBorders>
            <w:shd w:val="pct35" w:color="000000" w:fill="auto"/>
            <w:noWrap/>
            <w:vAlign w:val="center"/>
            <w:hideMark/>
          </w:tcPr>
          <w:p w:rsidR="007D13F3" w:rsidRPr="00DE0A40" w:rsidRDefault="007D13F3" w:rsidP="00465CAC">
            <w:pPr>
              <w:jc w:val="center"/>
              <w:rPr>
                <w:rFonts w:ascii="Times New Roman" w:hAnsi="Times New Roman" w:cs="Times New Roman"/>
                <w:b/>
                <w:bCs/>
                <w:color w:val="000000"/>
                <w:sz w:val="14"/>
                <w:szCs w:val="14"/>
                <w:lang w:eastAsia="sk-SK"/>
              </w:rPr>
            </w:pPr>
            <w:r w:rsidRPr="00DE0A40">
              <w:rPr>
                <w:rFonts w:ascii="Times New Roman" w:hAnsi="Times New Roman" w:cs="Times New Roman"/>
                <w:b/>
                <w:bCs/>
                <w:color w:val="000000"/>
                <w:sz w:val="14"/>
                <w:szCs w:val="14"/>
                <w:lang w:eastAsia="sk-SK"/>
              </w:rPr>
              <w:t>2020 N</w:t>
            </w:r>
          </w:p>
        </w:tc>
      </w:tr>
      <w:tr w:rsidR="007D13F3" w:rsidRPr="00DE0A40" w:rsidTr="00465CAC">
        <w:trPr>
          <w:trHeight w:hRule="exact" w:val="255"/>
        </w:trPr>
        <w:tc>
          <w:tcPr>
            <w:tcW w:w="1529"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7D13F3" w:rsidRPr="00DE0A40" w:rsidRDefault="007D13F3" w:rsidP="00465CAC">
            <w:pPr>
              <w:rPr>
                <w:rFonts w:ascii="Times New Roman" w:hAnsi="Times New Roman" w:cs="Times New Roman"/>
                <w:b/>
                <w:bCs/>
                <w:color w:val="000000"/>
                <w:sz w:val="14"/>
                <w:szCs w:val="14"/>
                <w:lang w:eastAsia="sk-SK"/>
              </w:rPr>
            </w:pPr>
            <w:r w:rsidRPr="00DE0A40">
              <w:rPr>
                <w:rFonts w:ascii="Times New Roman" w:hAnsi="Times New Roman" w:cs="Times New Roman"/>
                <w:b/>
                <w:bCs/>
                <w:color w:val="000000"/>
                <w:sz w:val="14"/>
                <w:szCs w:val="14"/>
                <w:lang w:eastAsia="sk-SK"/>
              </w:rPr>
              <w:t>IT financované zo ŠR spolu</w:t>
            </w:r>
          </w:p>
        </w:tc>
        <w:tc>
          <w:tcPr>
            <w:tcW w:w="496" w:type="pct"/>
            <w:tcBorders>
              <w:top w:val="single" w:sz="4" w:space="0" w:color="auto"/>
              <w:left w:val="nil"/>
              <w:bottom w:val="single" w:sz="4" w:space="0" w:color="auto"/>
              <w:right w:val="single" w:sz="4" w:space="0" w:color="auto"/>
            </w:tcBorders>
            <w:shd w:val="pct25" w:color="000000" w:fill="auto"/>
            <w:noWrap/>
            <w:vAlign w:val="center"/>
            <w:hideMark/>
          </w:tcPr>
          <w:p w:rsidR="007D13F3" w:rsidRPr="00DE0A40" w:rsidRDefault="007D13F3" w:rsidP="00465CAC">
            <w:pPr>
              <w:jc w:val="right"/>
              <w:rPr>
                <w:rFonts w:ascii="Times New Roman" w:hAnsi="Times New Roman" w:cs="Times New Roman"/>
                <w:b/>
                <w:bCs/>
                <w:color w:val="000000"/>
                <w:sz w:val="14"/>
                <w:szCs w:val="14"/>
                <w:lang w:eastAsia="sk-SK"/>
              </w:rPr>
            </w:pPr>
            <w:r w:rsidRPr="00DE0A40">
              <w:rPr>
                <w:rFonts w:ascii="Times New Roman" w:hAnsi="Times New Roman" w:cs="Times New Roman"/>
                <w:b/>
                <w:bCs/>
                <w:color w:val="000000"/>
                <w:sz w:val="14"/>
                <w:szCs w:val="14"/>
                <w:lang w:eastAsia="sk-SK"/>
              </w:rPr>
              <w:t>0</w:t>
            </w:r>
          </w:p>
        </w:tc>
        <w:tc>
          <w:tcPr>
            <w:tcW w:w="496" w:type="pct"/>
            <w:tcBorders>
              <w:top w:val="single" w:sz="4" w:space="0" w:color="auto"/>
              <w:left w:val="nil"/>
              <w:bottom w:val="single" w:sz="4" w:space="0" w:color="auto"/>
              <w:right w:val="single" w:sz="4" w:space="0" w:color="auto"/>
            </w:tcBorders>
            <w:shd w:val="pct25" w:color="000000" w:fill="auto"/>
            <w:noWrap/>
            <w:vAlign w:val="center"/>
            <w:hideMark/>
          </w:tcPr>
          <w:p w:rsidR="007D13F3" w:rsidRPr="00DE0A40" w:rsidRDefault="007D13F3" w:rsidP="00465CAC">
            <w:pPr>
              <w:jc w:val="right"/>
              <w:rPr>
                <w:rFonts w:ascii="Times New Roman" w:hAnsi="Times New Roman" w:cs="Times New Roman"/>
                <w:b/>
                <w:bCs/>
                <w:color w:val="000000"/>
                <w:sz w:val="14"/>
                <w:szCs w:val="14"/>
                <w:lang w:eastAsia="sk-SK"/>
              </w:rPr>
            </w:pPr>
            <w:r w:rsidRPr="00DE0A40">
              <w:rPr>
                <w:rFonts w:ascii="Times New Roman" w:hAnsi="Times New Roman" w:cs="Times New Roman"/>
                <w:b/>
                <w:bCs/>
                <w:color w:val="000000"/>
                <w:sz w:val="14"/>
                <w:szCs w:val="14"/>
                <w:lang w:eastAsia="sk-SK"/>
              </w:rPr>
              <w:t>0</w:t>
            </w:r>
          </w:p>
        </w:tc>
        <w:tc>
          <w:tcPr>
            <w:tcW w:w="496" w:type="pct"/>
            <w:tcBorders>
              <w:top w:val="single" w:sz="4" w:space="0" w:color="auto"/>
              <w:left w:val="nil"/>
              <w:bottom w:val="single" w:sz="4" w:space="0" w:color="auto"/>
              <w:right w:val="single" w:sz="4" w:space="0" w:color="auto"/>
            </w:tcBorders>
            <w:shd w:val="pct25" w:color="000000" w:fill="auto"/>
            <w:noWrap/>
            <w:vAlign w:val="center"/>
            <w:hideMark/>
          </w:tcPr>
          <w:p w:rsidR="007D13F3" w:rsidRPr="00DE0A40" w:rsidRDefault="007D13F3" w:rsidP="00465CAC">
            <w:pPr>
              <w:jc w:val="right"/>
              <w:rPr>
                <w:rFonts w:ascii="Times New Roman" w:hAnsi="Times New Roman" w:cs="Times New Roman"/>
                <w:b/>
                <w:bCs/>
                <w:color w:val="000000"/>
                <w:sz w:val="14"/>
                <w:szCs w:val="14"/>
                <w:lang w:eastAsia="sk-SK"/>
              </w:rPr>
            </w:pPr>
            <w:r w:rsidRPr="00DE0A40">
              <w:rPr>
                <w:rFonts w:ascii="Times New Roman" w:hAnsi="Times New Roman" w:cs="Times New Roman"/>
                <w:b/>
                <w:bCs/>
                <w:color w:val="000000"/>
                <w:sz w:val="14"/>
                <w:szCs w:val="14"/>
                <w:lang w:eastAsia="sk-SK"/>
              </w:rPr>
              <w:t>197 243</w:t>
            </w:r>
          </w:p>
        </w:tc>
        <w:tc>
          <w:tcPr>
            <w:tcW w:w="496" w:type="pct"/>
            <w:tcBorders>
              <w:top w:val="single" w:sz="4" w:space="0" w:color="auto"/>
              <w:left w:val="nil"/>
              <w:bottom w:val="single" w:sz="4" w:space="0" w:color="auto"/>
              <w:right w:val="single" w:sz="4" w:space="0" w:color="auto"/>
            </w:tcBorders>
            <w:shd w:val="pct25" w:color="000000" w:fill="auto"/>
            <w:noWrap/>
            <w:vAlign w:val="center"/>
            <w:hideMark/>
          </w:tcPr>
          <w:p w:rsidR="007D13F3" w:rsidRPr="00DE0A40" w:rsidRDefault="007D13F3" w:rsidP="00465CAC">
            <w:pPr>
              <w:jc w:val="right"/>
              <w:rPr>
                <w:rFonts w:ascii="Times New Roman" w:hAnsi="Times New Roman" w:cs="Times New Roman"/>
                <w:b/>
                <w:bCs/>
                <w:color w:val="000000"/>
                <w:sz w:val="14"/>
                <w:szCs w:val="14"/>
                <w:lang w:eastAsia="sk-SK"/>
              </w:rPr>
            </w:pPr>
            <w:r w:rsidRPr="00DE0A40">
              <w:rPr>
                <w:rFonts w:ascii="Times New Roman" w:hAnsi="Times New Roman" w:cs="Times New Roman"/>
                <w:b/>
                <w:bCs/>
                <w:color w:val="000000"/>
                <w:sz w:val="14"/>
                <w:szCs w:val="14"/>
                <w:lang w:eastAsia="sk-SK"/>
              </w:rPr>
              <w:t>753 285</w:t>
            </w:r>
          </w:p>
        </w:tc>
        <w:tc>
          <w:tcPr>
            <w:tcW w:w="496" w:type="pct"/>
            <w:tcBorders>
              <w:top w:val="single" w:sz="4" w:space="0" w:color="auto"/>
              <w:left w:val="nil"/>
              <w:bottom w:val="single" w:sz="4" w:space="0" w:color="auto"/>
              <w:right w:val="single" w:sz="4" w:space="0" w:color="auto"/>
            </w:tcBorders>
            <w:shd w:val="pct25" w:color="000000" w:fill="auto"/>
            <w:noWrap/>
            <w:vAlign w:val="center"/>
            <w:hideMark/>
          </w:tcPr>
          <w:p w:rsidR="007D13F3" w:rsidRPr="00DE0A40" w:rsidRDefault="007D13F3" w:rsidP="00465CAC">
            <w:pPr>
              <w:jc w:val="right"/>
              <w:rPr>
                <w:rFonts w:ascii="Times New Roman" w:hAnsi="Times New Roman" w:cs="Times New Roman"/>
                <w:b/>
                <w:bCs/>
                <w:color w:val="000000"/>
                <w:sz w:val="14"/>
                <w:szCs w:val="14"/>
                <w:lang w:eastAsia="sk-SK"/>
              </w:rPr>
            </w:pPr>
            <w:r w:rsidRPr="00DE0A40">
              <w:rPr>
                <w:rFonts w:ascii="Times New Roman" w:hAnsi="Times New Roman" w:cs="Times New Roman"/>
                <w:b/>
                <w:bCs/>
                <w:color w:val="000000"/>
                <w:sz w:val="14"/>
                <w:szCs w:val="14"/>
                <w:lang w:eastAsia="sk-SK"/>
              </w:rPr>
              <w:t>731 251</w:t>
            </w:r>
          </w:p>
        </w:tc>
        <w:tc>
          <w:tcPr>
            <w:tcW w:w="496" w:type="pct"/>
            <w:tcBorders>
              <w:top w:val="single" w:sz="4" w:space="0" w:color="auto"/>
              <w:left w:val="nil"/>
              <w:bottom w:val="single" w:sz="4" w:space="0" w:color="auto"/>
              <w:right w:val="single" w:sz="4" w:space="0" w:color="auto"/>
            </w:tcBorders>
            <w:shd w:val="pct25" w:color="000000" w:fill="auto"/>
            <w:noWrap/>
            <w:vAlign w:val="center"/>
            <w:hideMark/>
          </w:tcPr>
          <w:p w:rsidR="007D13F3" w:rsidRPr="00DE0A40" w:rsidRDefault="007D13F3" w:rsidP="00465CAC">
            <w:pPr>
              <w:jc w:val="right"/>
              <w:rPr>
                <w:rFonts w:ascii="Times New Roman" w:hAnsi="Times New Roman" w:cs="Times New Roman"/>
                <w:b/>
                <w:bCs/>
                <w:color w:val="000000"/>
                <w:sz w:val="14"/>
                <w:szCs w:val="14"/>
                <w:lang w:eastAsia="sk-SK"/>
              </w:rPr>
            </w:pPr>
            <w:r w:rsidRPr="00DE0A40">
              <w:rPr>
                <w:rFonts w:ascii="Times New Roman" w:hAnsi="Times New Roman" w:cs="Times New Roman"/>
                <w:b/>
                <w:bCs/>
                <w:color w:val="000000"/>
                <w:sz w:val="14"/>
                <w:szCs w:val="14"/>
                <w:lang w:eastAsia="sk-SK"/>
              </w:rPr>
              <w:t>732 044</w:t>
            </w:r>
          </w:p>
        </w:tc>
        <w:tc>
          <w:tcPr>
            <w:tcW w:w="496" w:type="pct"/>
            <w:tcBorders>
              <w:top w:val="single" w:sz="4" w:space="0" w:color="auto"/>
              <w:left w:val="nil"/>
              <w:bottom w:val="single" w:sz="4" w:space="0" w:color="auto"/>
              <w:right w:val="single" w:sz="4" w:space="0" w:color="auto"/>
            </w:tcBorders>
            <w:shd w:val="pct25" w:color="000000" w:fill="auto"/>
            <w:noWrap/>
            <w:vAlign w:val="center"/>
            <w:hideMark/>
          </w:tcPr>
          <w:p w:rsidR="007D13F3" w:rsidRPr="00DE0A40" w:rsidRDefault="007D13F3" w:rsidP="00465CAC">
            <w:pPr>
              <w:jc w:val="right"/>
              <w:rPr>
                <w:rFonts w:ascii="Times New Roman" w:hAnsi="Times New Roman" w:cs="Times New Roman"/>
                <w:b/>
                <w:bCs/>
                <w:color w:val="000000"/>
                <w:sz w:val="14"/>
                <w:szCs w:val="14"/>
                <w:lang w:eastAsia="sk-SK"/>
              </w:rPr>
            </w:pPr>
            <w:r w:rsidRPr="00DE0A40">
              <w:rPr>
                <w:rFonts w:ascii="Times New Roman" w:hAnsi="Times New Roman" w:cs="Times New Roman"/>
                <w:b/>
                <w:bCs/>
                <w:color w:val="000000"/>
                <w:sz w:val="14"/>
                <w:szCs w:val="14"/>
                <w:lang w:eastAsia="sk-SK"/>
              </w:rPr>
              <w:t>725 181</w:t>
            </w:r>
          </w:p>
        </w:tc>
      </w:tr>
      <w:tr w:rsidR="007D13F3" w:rsidRPr="00DE0A40" w:rsidTr="00465CAC">
        <w:trPr>
          <w:trHeight w:hRule="exact" w:val="255"/>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7D13F3" w:rsidRPr="00DE0A40" w:rsidRDefault="007D13F3" w:rsidP="00465CAC">
            <w:pPr>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Systémy vnútornej správy</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34 000</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102 512</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36 600</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36 600</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36 600</w:t>
            </w:r>
          </w:p>
        </w:tc>
      </w:tr>
      <w:tr w:rsidR="007D13F3" w:rsidRPr="00DE0A40" w:rsidTr="00465CAC">
        <w:trPr>
          <w:trHeight w:hRule="exact" w:val="255"/>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7D13F3" w:rsidRPr="00DE0A40" w:rsidRDefault="007D13F3" w:rsidP="00465CAC">
            <w:pPr>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Špecializované systémy</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31 500</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72 150</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45 395</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45 395</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45 395</w:t>
            </w:r>
          </w:p>
        </w:tc>
      </w:tr>
      <w:tr w:rsidR="007D13F3" w:rsidRPr="00DE0A40" w:rsidTr="00465CAC">
        <w:trPr>
          <w:trHeight w:hRule="exact" w:val="255"/>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7D13F3" w:rsidRPr="00DE0A40" w:rsidRDefault="007D13F3" w:rsidP="00465CAC">
            <w:pPr>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Podpora infraštruktúry</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131 743</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578 623</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649 256</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650 049</w:t>
            </w:r>
          </w:p>
        </w:tc>
        <w:tc>
          <w:tcPr>
            <w:tcW w:w="496" w:type="pct"/>
            <w:tcBorders>
              <w:top w:val="nil"/>
              <w:left w:val="nil"/>
              <w:bottom w:val="single" w:sz="4" w:space="0" w:color="auto"/>
              <w:right w:val="single" w:sz="4" w:space="0" w:color="auto"/>
            </w:tcBorders>
            <w:shd w:val="clear" w:color="auto" w:fill="auto"/>
            <w:noWrap/>
            <w:vAlign w:val="center"/>
            <w:hideMark/>
          </w:tcPr>
          <w:p w:rsidR="007D13F3" w:rsidRPr="00DE0A40" w:rsidRDefault="007D13F3" w:rsidP="00465CAC">
            <w:pPr>
              <w:jc w:val="right"/>
              <w:rPr>
                <w:rFonts w:ascii="Times New Roman" w:hAnsi="Times New Roman" w:cs="Times New Roman"/>
                <w:color w:val="000000"/>
                <w:sz w:val="14"/>
                <w:szCs w:val="14"/>
                <w:lang w:eastAsia="sk-SK"/>
              </w:rPr>
            </w:pPr>
            <w:r w:rsidRPr="00DE0A40">
              <w:rPr>
                <w:rFonts w:ascii="Times New Roman" w:hAnsi="Times New Roman" w:cs="Times New Roman"/>
                <w:color w:val="000000"/>
                <w:sz w:val="14"/>
                <w:szCs w:val="14"/>
                <w:lang w:eastAsia="sk-SK"/>
              </w:rPr>
              <w:t>643 186</w:t>
            </w:r>
          </w:p>
        </w:tc>
      </w:tr>
    </w:tbl>
    <w:p w:rsidR="007D13F3" w:rsidRDefault="007D13F3" w:rsidP="007D13F3"/>
    <w:p w:rsidR="007D13F3" w:rsidRDefault="007D13F3" w:rsidP="007D13F3">
      <w:pPr>
        <w:spacing w:after="200"/>
        <w:ind w:firstLine="709"/>
        <w:contextualSpacing/>
        <w:jc w:val="both"/>
        <w:rPr>
          <w:rFonts w:ascii="Times New Roman" w:hAnsi="Times New Roman" w:cs="Times New Roman"/>
        </w:rPr>
      </w:pPr>
      <w:r>
        <w:rPr>
          <w:rFonts w:ascii="Times New Roman" w:hAnsi="Times New Roman" w:cs="Times New Roman"/>
        </w:rPr>
        <w:t xml:space="preserve">Pre potreby centrálneho rozpočtovania a sledovania výdavkov na informačné technológie bol vytvorený medzirezortný podprogram - </w:t>
      </w:r>
      <w:r w:rsidRPr="00E54FD7">
        <w:rPr>
          <w:rFonts w:ascii="Times New Roman" w:hAnsi="Times New Roman" w:cs="Times New Roman"/>
        </w:rPr>
        <w:t>0EK1</w:t>
      </w:r>
      <w:r>
        <w:rPr>
          <w:rFonts w:ascii="Times New Roman" w:hAnsi="Times New Roman" w:cs="Times New Roman"/>
        </w:rPr>
        <w:t xml:space="preserve">1 Informačné technológie financované zo štátneho rozpočtu. SAV ako účastník medzirezortného podprogramu vykonala presuny výdavkov rozpočtovaných na programe 087 Výskum a vývoj v prírodných, technických, lekárskych a spoločenských vedách a ich zabezpečenie do nového medzirezortného podprogramu. </w:t>
      </w:r>
    </w:p>
    <w:p w:rsidR="00A5272D" w:rsidRPr="00487B72" w:rsidRDefault="005D2BC3" w:rsidP="005D2BC3">
      <w:pPr>
        <w:pStyle w:val="Nadpis5"/>
        <w:pBdr>
          <w:bottom w:val="single" w:sz="4" w:space="1" w:color="auto"/>
        </w:pBdr>
        <w:ind w:left="0"/>
        <w:rPr>
          <w:i w:val="0"/>
          <w:sz w:val="24"/>
          <w:lang w:eastAsia="sk-SK"/>
        </w:rPr>
      </w:pPr>
      <w:bookmarkStart w:id="205" w:name="_Toc494472300"/>
      <w:r w:rsidRPr="00C14758">
        <w:rPr>
          <w:i w:val="0"/>
          <w:sz w:val="24"/>
          <w:lang w:eastAsia="sk-SK"/>
        </w:rPr>
        <w:t>Všeobecná pokladničná správa</w:t>
      </w:r>
      <w:bookmarkEnd w:id="205"/>
    </w:p>
    <w:p w:rsidR="009172F5" w:rsidRDefault="009172F5" w:rsidP="009172F5">
      <w:pPr>
        <w:ind w:firstLine="709"/>
        <w:jc w:val="both"/>
      </w:pPr>
    </w:p>
    <w:p w:rsidR="00640C5E" w:rsidRDefault="00640C5E" w:rsidP="00640C5E">
      <w:pPr>
        <w:ind w:firstLine="709"/>
        <w:jc w:val="both"/>
        <w:rPr>
          <w:rFonts w:ascii="Times New Roman" w:hAnsi="Times New Roman"/>
        </w:rPr>
      </w:pPr>
      <w:r w:rsidRPr="0006072B">
        <w:rPr>
          <w:rFonts w:ascii="Times New Roman" w:hAnsi="Times New Roman"/>
        </w:rPr>
        <w:t xml:space="preserve">V kapitole Všeobecná pokladničná správa (ďalej len „VPS“) sú obsiahnuté výdavky štátneho rozpočtu, ktoré nesúvisia s výdavkami ostatných kapitol, vrátane výdavkov spojených so správou </w:t>
      </w:r>
      <w:r w:rsidR="00901C6C">
        <w:rPr>
          <w:rFonts w:ascii="Times New Roman" w:hAnsi="Times New Roman"/>
        </w:rPr>
        <w:t>š</w:t>
      </w:r>
      <w:r w:rsidRPr="0006072B">
        <w:rPr>
          <w:rFonts w:ascii="Times New Roman" w:hAnsi="Times New Roman"/>
        </w:rPr>
        <w:t>tátneho dlhu. V rámci kapitoly sú rozpočtované aj prostriedky súvisiace s činnosťou Kancelárie verejného ochrancu práv, Rady pre vysielanie a retransmisiu a Úradu na ochranu osobných údajov</w:t>
      </w:r>
      <w:r>
        <w:rPr>
          <w:rFonts w:ascii="Times New Roman" w:hAnsi="Times New Roman"/>
        </w:rPr>
        <w:t xml:space="preserve"> SR</w:t>
      </w:r>
      <w:r w:rsidRPr="0006072B">
        <w:rPr>
          <w:rFonts w:ascii="Times New Roman" w:hAnsi="Times New Roman"/>
        </w:rPr>
        <w:t>. Zároveň sa rozpočtujú aj transfery na činnosť Ústavu pamäti národa, Slovenského národného strediska pre ľudské práva, transfer Sociálnej poisťovni, Úradu komisára pre deti a Úradu komisára pre osoby so zdravotným postihnutím.</w:t>
      </w:r>
    </w:p>
    <w:p w:rsidR="00640C5E" w:rsidRDefault="00640C5E" w:rsidP="00640C5E">
      <w:pPr>
        <w:ind w:firstLine="709"/>
        <w:jc w:val="both"/>
        <w:rPr>
          <w:rFonts w:ascii="Times New Roman" w:hAnsi="Times New Roman"/>
        </w:rPr>
      </w:pPr>
    </w:p>
    <w:p w:rsidR="00640C5E" w:rsidRPr="0006072B" w:rsidRDefault="00640C5E" w:rsidP="00640C5E">
      <w:pPr>
        <w:ind w:firstLine="709"/>
        <w:jc w:val="both"/>
        <w:rPr>
          <w:rFonts w:ascii="Times New Roman" w:hAnsi="Times New Roman"/>
        </w:rPr>
      </w:pPr>
      <w:r>
        <w:rPr>
          <w:rFonts w:ascii="Times New Roman" w:hAnsi="Times New Roman"/>
        </w:rPr>
        <w:t>Medzi programovo alokované výdavky patria výdavky spojené</w:t>
      </w:r>
      <w:r w:rsidRPr="00D217CE">
        <w:rPr>
          <w:rFonts w:ascii="Times New Roman" w:hAnsi="Times New Roman"/>
        </w:rPr>
        <w:t xml:space="preserve"> so správou </w:t>
      </w:r>
      <w:r w:rsidR="00901C6C">
        <w:rPr>
          <w:rFonts w:ascii="Times New Roman" w:hAnsi="Times New Roman"/>
        </w:rPr>
        <w:t>š</w:t>
      </w:r>
      <w:r w:rsidRPr="00D217CE">
        <w:rPr>
          <w:rFonts w:ascii="Times New Roman" w:hAnsi="Times New Roman"/>
        </w:rPr>
        <w:t>tátneho dlhu</w:t>
      </w:r>
      <w:r>
        <w:rPr>
          <w:rFonts w:ascii="Times New Roman" w:hAnsi="Times New Roman"/>
        </w:rPr>
        <w:t xml:space="preserve">, </w:t>
      </w:r>
      <w:r w:rsidRPr="00D217CE">
        <w:rPr>
          <w:rFonts w:ascii="Times New Roman" w:hAnsi="Times New Roman"/>
        </w:rPr>
        <w:t>Kanc</w:t>
      </w:r>
      <w:r>
        <w:rPr>
          <w:rFonts w:ascii="Times New Roman" w:hAnsi="Times New Roman"/>
        </w:rPr>
        <w:t xml:space="preserve">elárie verejného ochrancu práv </w:t>
      </w:r>
      <w:r w:rsidRPr="00D217CE">
        <w:rPr>
          <w:rFonts w:ascii="Times New Roman" w:hAnsi="Times New Roman"/>
        </w:rPr>
        <w:t>a Úradu na ochranu osobných údajov</w:t>
      </w:r>
      <w:r>
        <w:rPr>
          <w:rFonts w:ascii="Times New Roman" w:hAnsi="Times New Roman"/>
        </w:rPr>
        <w:t xml:space="preserve"> SR. Aj keď nie sú ostatné výdavky kapitoly programovo alokované, sú rozpočtované na konkrétne účely.</w:t>
      </w:r>
    </w:p>
    <w:p w:rsidR="00640C5E" w:rsidRPr="0006072B" w:rsidRDefault="00640C5E" w:rsidP="00640C5E">
      <w:pPr>
        <w:ind w:firstLine="709"/>
        <w:jc w:val="both"/>
        <w:rPr>
          <w:rFonts w:ascii="Times New Roman" w:hAnsi="Times New Roman"/>
        </w:rPr>
      </w:pPr>
    </w:p>
    <w:p w:rsidR="00640C5E" w:rsidRPr="0006072B" w:rsidRDefault="00640C5E" w:rsidP="00640C5E">
      <w:pPr>
        <w:ind w:firstLine="709"/>
        <w:jc w:val="both"/>
        <w:rPr>
          <w:rFonts w:ascii="Times New Roman" w:hAnsi="Times New Roman"/>
        </w:rPr>
      </w:pPr>
      <w:r w:rsidRPr="0006072B">
        <w:rPr>
          <w:rFonts w:ascii="Times New Roman" w:hAnsi="Times New Roman"/>
        </w:rPr>
        <w:t>Výdavky kapito</w:t>
      </w:r>
      <w:r>
        <w:rPr>
          <w:rFonts w:ascii="Times New Roman" w:hAnsi="Times New Roman"/>
        </w:rPr>
        <w:t>ly na rok 2018 predstavujú 3 056,0</w:t>
      </w:r>
      <w:r w:rsidRPr="009672FB">
        <w:rPr>
          <w:rFonts w:ascii="Times New Roman" w:hAnsi="Times New Roman"/>
        </w:rPr>
        <w:t xml:space="preserve"> </w:t>
      </w:r>
      <w:r>
        <w:rPr>
          <w:rFonts w:ascii="Times New Roman" w:hAnsi="Times New Roman"/>
        </w:rPr>
        <w:t xml:space="preserve">mil. eur, čo je v porovnaní </w:t>
      </w:r>
      <w:r>
        <w:rPr>
          <w:rFonts w:ascii="Times New Roman" w:hAnsi="Times New Roman"/>
        </w:rPr>
        <w:br/>
        <w:t xml:space="preserve">s  </w:t>
      </w:r>
      <w:r w:rsidRPr="009672FB">
        <w:rPr>
          <w:rFonts w:ascii="Times New Roman" w:hAnsi="Times New Roman"/>
        </w:rPr>
        <w:t>rozpočtom na rok 201</w:t>
      </w:r>
      <w:r>
        <w:rPr>
          <w:rFonts w:ascii="Times New Roman" w:hAnsi="Times New Roman"/>
        </w:rPr>
        <w:t>7</w:t>
      </w:r>
      <w:r w:rsidRPr="009672FB">
        <w:rPr>
          <w:rFonts w:ascii="Times New Roman" w:hAnsi="Times New Roman"/>
        </w:rPr>
        <w:t xml:space="preserve"> </w:t>
      </w:r>
      <w:r>
        <w:rPr>
          <w:rFonts w:ascii="Times New Roman" w:hAnsi="Times New Roman"/>
        </w:rPr>
        <w:t xml:space="preserve">menej </w:t>
      </w:r>
      <w:r w:rsidRPr="0001605F">
        <w:rPr>
          <w:rFonts w:ascii="Times New Roman" w:hAnsi="Times New Roman"/>
        </w:rPr>
        <w:t>o 9,</w:t>
      </w:r>
      <w:r>
        <w:rPr>
          <w:rFonts w:ascii="Times New Roman" w:hAnsi="Times New Roman"/>
        </w:rPr>
        <w:t>13</w:t>
      </w:r>
      <w:r w:rsidRPr="0001605F">
        <w:rPr>
          <w:rFonts w:ascii="Times New Roman" w:hAnsi="Times New Roman"/>
        </w:rPr>
        <w:t xml:space="preserve"> %, t. j. o 307,1 mil. eur.</w:t>
      </w:r>
    </w:p>
    <w:p w:rsidR="00640C5E" w:rsidRPr="0006072B" w:rsidRDefault="00640C5E" w:rsidP="00640C5E">
      <w:pPr>
        <w:ind w:firstLine="709"/>
        <w:jc w:val="both"/>
        <w:rPr>
          <w:rFonts w:ascii="Times New Roman" w:hAnsi="Times New Roman"/>
        </w:rPr>
      </w:pPr>
    </w:p>
    <w:p w:rsidR="00640C5E" w:rsidRPr="0006072B" w:rsidRDefault="00640C5E" w:rsidP="00640C5E">
      <w:pPr>
        <w:ind w:firstLine="709"/>
        <w:jc w:val="both"/>
        <w:rPr>
          <w:rFonts w:ascii="Times New Roman" w:hAnsi="Times New Roman"/>
        </w:rPr>
      </w:pPr>
      <w:r w:rsidRPr="0006072B">
        <w:rPr>
          <w:rFonts w:ascii="Times New Roman" w:hAnsi="Times New Roman"/>
        </w:rPr>
        <w:t xml:space="preserve">Výdavky kapitoly možno rozčleniť do piatich základných skupín. </w:t>
      </w:r>
    </w:p>
    <w:p w:rsidR="00465CAC" w:rsidRPr="0006072B" w:rsidRDefault="00465CAC" w:rsidP="00465CAC">
      <w:pPr>
        <w:ind w:firstLine="709"/>
        <w:jc w:val="both"/>
        <w:rPr>
          <w:rFonts w:ascii="Times New Roman" w:hAnsi="Times New Roman"/>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2"/>
        <w:gridCol w:w="992"/>
        <w:gridCol w:w="992"/>
        <w:gridCol w:w="992"/>
        <w:gridCol w:w="992"/>
        <w:gridCol w:w="992"/>
        <w:gridCol w:w="992"/>
        <w:gridCol w:w="992"/>
      </w:tblGrid>
      <w:tr w:rsidR="00465CAC" w:rsidRPr="00F534F3" w:rsidTr="00465CAC">
        <w:trPr>
          <w:trHeight w:val="283"/>
        </w:trPr>
        <w:tc>
          <w:tcPr>
            <w:tcW w:w="2132" w:type="dxa"/>
            <w:tcBorders>
              <w:bottom w:val="single" w:sz="4" w:space="0" w:color="auto"/>
            </w:tcBorders>
            <w:shd w:val="clear" w:color="auto" w:fill="A6A6A6"/>
            <w:noWrap/>
            <w:vAlign w:val="center"/>
          </w:tcPr>
          <w:p w:rsidR="00465CAC" w:rsidRPr="00F534F3" w:rsidRDefault="00465CAC" w:rsidP="00465CAC">
            <w:pPr>
              <w:rPr>
                <w:rFonts w:ascii="Times New Roman" w:hAnsi="Times New Roman"/>
                <w:b/>
                <w:bCs/>
                <w:sz w:val="14"/>
                <w:szCs w:val="14"/>
                <w:lang w:eastAsia="sk-SK"/>
              </w:rPr>
            </w:pPr>
            <w:bookmarkStart w:id="206" w:name="OLE_LINK1"/>
            <w:r w:rsidRPr="00F534F3">
              <w:rPr>
                <w:rFonts w:ascii="Times New Roman" w:hAnsi="Times New Roman"/>
                <w:b/>
                <w:bCs/>
                <w:sz w:val="14"/>
                <w:szCs w:val="14"/>
                <w:lang w:eastAsia="sk-SK"/>
              </w:rPr>
              <w:t>v eurách</w:t>
            </w:r>
          </w:p>
        </w:tc>
        <w:tc>
          <w:tcPr>
            <w:tcW w:w="992" w:type="dxa"/>
            <w:tcBorders>
              <w:bottom w:val="single" w:sz="4" w:space="0" w:color="auto"/>
            </w:tcBorders>
            <w:shd w:val="clear" w:color="auto" w:fill="A6A6A6"/>
            <w:vAlign w:val="bottom"/>
          </w:tcPr>
          <w:p w:rsidR="00465CAC" w:rsidRPr="00F534F3" w:rsidRDefault="00465CAC" w:rsidP="00465CAC">
            <w:pPr>
              <w:jc w:val="center"/>
              <w:rPr>
                <w:rFonts w:ascii="Times New Roman" w:hAnsi="Times New Roman"/>
                <w:b/>
                <w:sz w:val="14"/>
                <w:szCs w:val="14"/>
                <w:lang w:eastAsia="sk-SK"/>
              </w:rPr>
            </w:pPr>
            <w:r w:rsidRPr="00F534F3">
              <w:rPr>
                <w:rFonts w:ascii="Times New Roman" w:hAnsi="Times New Roman"/>
                <w:b/>
                <w:sz w:val="14"/>
                <w:szCs w:val="14"/>
                <w:lang w:eastAsia="sk-SK"/>
              </w:rPr>
              <w:t>2015 S</w:t>
            </w:r>
          </w:p>
        </w:tc>
        <w:tc>
          <w:tcPr>
            <w:tcW w:w="992" w:type="dxa"/>
            <w:tcBorders>
              <w:bottom w:val="single" w:sz="4" w:space="0" w:color="auto"/>
            </w:tcBorders>
            <w:shd w:val="clear" w:color="auto" w:fill="A6A6A6"/>
            <w:vAlign w:val="bottom"/>
          </w:tcPr>
          <w:p w:rsidR="00465CAC" w:rsidRPr="00F534F3" w:rsidRDefault="00465CAC" w:rsidP="00465CAC">
            <w:pPr>
              <w:jc w:val="center"/>
              <w:rPr>
                <w:rFonts w:ascii="Times New Roman" w:hAnsi="Times New Roman"/>
                <w:b/>
                <w:sz w:val="14"/>
                <w:szCs w:val="14"/>
                <w:lang w:eastAsia="sk-SK"/>
              </w:rPr>
            </w:pPr>
            <w:r w:rsidRPr="00F534F3">
              <w:rPr>
                <w:rFonts w:ascii="Times New Roman" w:hAnsi="Times New Roman"/>
                <w:b/>
                <w:sz w:val="14"/>
                <w:szCs w:val="14"/>
                <w:lang w:eastAsia="sk-SK"/>
              </w:rPr>
              <w:t>2016 S</w:t>
            </w:r>
          </w:p>
        </w:tc>
        <w:tc>
          <w:tcPr>
            <w:tcW w:w="992" w:type="dxa"/>
            <w:tcBorders>
              <w:bottom w:val="single" w:sz="4" w:space="0" w:color="auto"/>
            </w:tcBorders>
            <w:shd w:val="clear" w:color="auto" w:fill="A6A6A6"/>
            <w:vAlign w:val="bottom"/>
          </w:tcPr>
          <w:p w:rsidR="00465CAC" w:rsidRPr="00F534F3" w:rsidRDefault="00465CAC" w:rsidP="00465CAC">
            <w:pPr>
              <w:jc w:val="center"/>
              <w:rPr>
                <w:rFonts w:ascii="Times New Roman" w:hAnsi="Times New Roman"/>
                <w:b/>
                <w:sz w:val="14"/>
                <w:szCs w:val="14"/>
                <w:lang w:eastAsia="sk-SK"/>
              </w:rPr>
            </w:pPr>
            <w:r w:rsidRPr="00F534F3">
              <w:rPr>
                <w:rFonts w:ascii="Times New Roman" w:hAnsi="Times New Roman"/>
                <w:b/>
                <w:sz w:val="14"/>
                <w:szCs w:val="14"/>
                <w:lang w:eastAsia="sk-SK"/>
              </w:rPr>
              <w:t>2017 R</w:t>
            </w:r>
          </w:p>
        </w:tc>
        <w:tc>
          <w:tcPr>
            <w:tcW w:w="992" w:type="dxa"/>
            <w:tcBorders>
              <w:bottom w:val="single" w:sz="4" w:space="0" w:color="auto"/>
            </w:tcBorders>
            <w:shd w:val="clear" w:color="auto" w:fill="A6A6A6"/>
            <w:vAlign w:val="bottom"/>
          </w:tcPr>
          <w:p w:rsidR="00465CAC" w:rsidRPr="00F534F3" w:rsidRDefault="00465CAC" w:rsidP="00465CAC">
            <w:pPr>
              <w:jc w:val="center"/>
              <w:rPr>
                <w:rFonts w:ascii="Times New Roman" w:hAnsi="Times New Roman"/>
                <w:b/>
                <w:sz w:val="14"/>
                <w:szCs w:val="14"/>
                <w:lang w:eastAsia="sk-SK"/>
              </w:rPr>
            </w:pPr>
            <w:r w:rsidRPr="00F534F3">
              <w:rPr>
                <w:rFonts w:ascii="Times New Roman" w:hAnsi="Times New Roman"/>
                <w:b/>
                <w:sz w:val="14"/>
                <w:szCs w:val="14"/>
                <w:lang w:eastAsia="sk-SK"/>
              </w:rPr>
              <w:t>2017 OS</w:t>
            </w:r>
          </w:p>
        </w:tc>
        <w:tc>
          <w:tcPr>
            <w:tcW w:w="992" w:type="dxa"/>
            <w:tcBorders>
              <w:bottom w:val="single" w:sz="4" w:space="0" w:color="auto"/>
            </w:tcBorders>
            <w:shd w:val="clear" w:color="auto" w:fill="A6A6A6"/>
            <w:vAlign w:val="bottom"/>
          </w:tcPr>
          <w:p w:rsidR="00465CAC" w:rsidRPr="00F534F3" w:rsidRDefault="00465CAC" w:rsidP="00465CAC">
            <w:pPr>
              <w:jc w:val="center"/>
              <w:rPr>
                <w:rFonts w:ascii="Times New Roman" w:hAnsi="Times New Roman"/>
                <w:b/>
                <w:sz w:val="14"/>
                <w:szCs w:val="14"/>
                <w:lang w:eastAsia="sk-SK"/>
              </w:rPr>
            </w:pPr>
            <w:r>
              <w:rPr>
                <w:rFonts w:ascii="Times New Roman" w:hAnsi="Times New Roman"/>
                <w:b/>
                <w:sz w:val="14"/>
                <w:szCs w:val="14"/>
                <w:lang w:eastAsia="sk-SK"/>
              </w:rPr>
              <w:t>2018 N</w:t>
            </w:r>
          </w:p>
        </w:tc>
        <w:tc>
          <w:tcPr>
            <w:tcW w:w="992" w:type="dxa"/>
            <w:tcBorders>
              <w:bottom w:val="single" w:sz="4" w:space="0" w:color="auto"/>
            </w:tcBorders>
            <w:shd w:val="clear" w:color="auto" w:fill="A6A6A6"/>
            <w:noWrap/>
            <w:vAlign w:val="bottom"/>
          </w:tcPr>
          <w:p w:rsidR="00465CAC" w:rsidRPr="00F534F3" w:rsidRDefault="00465CAC" w:rsidP="00465CAC">
            <w:pPr>
              <w:jc w:val="center"/>
              <w:rPr>
                <w:rFonts w:ascii="Times New Roman" w:hAnsi="Times New Roman"/>
                <w:b/>
                <w:sz w:val="14"/>
                <w:szCs w:val="14"/>
                <w:lang w:eastAsia="sk-SK"/>
              </w:rPr>
            </w:pPr>
            <w:r w:rsidRPr="00F534F3">
              <w:rPr>
                <w:rFonts w:ascii="Times New Roman" w:hAnsi="Times New Roman"/>
                <w:b/>
                <w:sz w:val="14"/>
                <w:szCs w:val="14"/>
                <w:lang w:eastAsia="sk-SK"/>
              </w:rPr>
              <w:t>2019 N</w:t>
            </w:r>
          </w:p>
        </w:tc>
        <w:tc>
          <w:tcPr>
            <w:tcW w:w="992" w:type="dxa"/>
            <w:tcBorders>
              <w:bottom w:val="single" w:sz="4" w:space="0" w:color="auto"/>
            </w:tcBorders>
            <w:shd w:val="clear" w:color="auto" w:fill="A6A6A6"/>
            <w:vAlign w:val="bottom"/>
          </w:tcPr>
          <w:p w:rsidR="00465CAC" w:rsidRPr="00F534F3" w:rsidRDefault="00465CAC" w:rsidP="00465CAC">
            <w:pPr>
              <w:jc w:val="center"/>
              <w:rPr>
                <w:rFonts w:ascii="Times New Roman" w:hAnsi="Times New Roman"/>
                <w:b/>
                <w:sz w:val="14"/>
                <w:szCs w:val="14"/>
                <w:lang w:eastAsia="sk-SK"/>
              </w:rPr>
            </w:pPr>
            <w:r w:rsidRPr="00F534F3">
              <w:rPr>
                <w:rFonts w:ascii="Times New Roman" w:hAnsi="Times New Roman"/>
                <w:b/>
                <w:sz w:val="14"/>
                <w:szCs w:val="14"/>
                <w:lang w:eastAsia="sk-SK"/>
              </w:rPr>
              <w:t>2020 N</w:t>
            </w:r>
          </w:p>
        </w:tc>
      </w:tr>
      <w:tr w:rsidR="00465CAC" w:rsidRPr="00F534F3" w:rsidTr="00465CAC">
        <w:trPr>
          <w:trHeight w:val="283"/>
        </w:trPr>
        <w:tc>
          <w:tcPr>
            <w:tcW w:w="2132" w:type="dxa"/>
            <w:shd w:val="clear" w:color="auto" w:fill="BFBFBF"/>
            <w:noWrap/>
            <w:vAlign w:val="bottom"/>
          </w:tcPr>
          <w:p w:rsidR="00465CAC" w:rsidRPr="00F534F3" w:rsidRDefault="00465CAC" w:rsidP="00465CAC">
            <w:pPr>
              <w:rPr>
                <w:rFonts w:ascii="Times New Roman" w:hAnsi="Times New Roman"/>
                <w:b/>
                <w:bCs/>
                <w:sz w:val="14"/>
                <w:szCs w:val="14"/>
                <w:lang w:eastAsia="sk-SK"/>
              </w:rPr>
            </w:pPr>
            <w:r w:rsidRPr="00F534F3">
              <w:rPr>
                <w:rFonts w:ascii="Times New Roman" w:hAnsi="Times New Roman"/>
                <w:b/>
                <w:bCs/>
                <w:sz w:val="14"/>
                <w:szCs w:val="14"/>
                <w:lang w:eastAsia="sk-SK"/>
              </w:rPr>
              <w:t>Výdavky spolu</w:t>
            </w:r>
          </w:p>
        </w:tc>
        <w:tc>
          <w:tcPr>
            <w:tcW w:w="992" w:type="dxa"/>
            <w:shd w:val="clear" w:color="auto" w:fill="BFBFBF"/>
            <w:vAlign w:val="bottom"/>
          </w:tcPr>
          <w:p w:rsidR="00465CAC" w:rsidRPr="00F534F3" w:rsidRDefault="00465CAC" w:rsidP="00465CAC">
            <w:pPr>
              <w:jc w:val="right"/>
              <w:rPr>
                <w:rFonts w:ascii="Times New Roman" w:hAnsi="Times New Roman"/>
                <w:b/>
                <w:sz w:val="14"/>
                <w:szCs w:val="14"/>
                <w:lang w:eastAsia="sk-SK"/>
              </w:rPr>
            </w:pPr>
            <w:r w:rsidRPr="00F534F3">
              <w:rPr>
                <w:rFonts w:ascii="Times New Roman" w:hAnsi="Times New Roman"/>
                <w:b/>
                <w:sz w:val="14"/>
                <w:szCs w:val="14"/>
                <w:lang w:eastAsia="sk-SK"/>
              </w:rPr>
              <w:t>2 316 560 631</w:t>
            </w:r>
          </w:p>
        </w:tc>
        <w:tc>
          <w:tcPr>
            <w:tcW w:w="992" w:type="dxa"/>
            <w:shd w:val="clear" w:color="auto" w:fill="BFBFBF"/>
            <w:vAlign w:val="bottom"/>
          </w:tcPr>
          <w:p w:rsidR="00465CAC" w:rsidRPr="00F534F3" w:rsidRDefault="00465CAC" w:rsidP="00465CAC">
            <w:pPr>
              <w:jc w:val="right"/>
              <w:rPr>
                <w:rFonts w:ascii="Times New Roman" w:hAnsi="Times New Roman"/>
                <w:b/>
                <w:sz w:val="14"/>
                <w:szCs w:val="14"/>
                <w:lang w:eastAsia="sk-SK"/>
              </w:rPr>
            </w:pPr>
            <w:r w:rsidRPr="00F534F3">
              <w:rPr>
                <w:rFonts w:ascii="Times New Roman" w:hAnsi="Times New Roman"/>
                <w:b/>
                <w:sz w:val="14"/>
                <w:szCs w:val="14"/>
                <w:lang w:eastAsia="sk-SK"/>
              </w:rPr>
              <w:t xml:space="preserve">2 252 154 467 </w:t>
            </w:r>
          </w:p>
        </w:tc>
        <w:tc>
          <w:tcPr>
            <w:tcW w:w="992" w:type="dxa"/>
            <w:shd w:val="clear" w:color="auto" w:fill="BFBFBF"/>
            <w:vAlign w:val="bottom"/>
          </w:tcPr>
          <w:p w:rsidR="00465CAC" w:rsidRPr="00F534F3" w:rsidRDefault="00465CAC" w:rsidP="00465CAC">
            <w:pPr>
              <w:jc w:val="right"/>
              <w:rPr>
                <w:rFonts w:ascii="Times New Roman" w:hAnsi="Times New Roman"/>
                <w:b/>
                <w:sz w:val="14"/>
                <w:szCs w:val="14"/>
                <w:lang w:eastAsia="sk-SK"/>
              </w:rPr>
            </w:pPr>
            <w:r w:rsidRPr="00F534F3">
              <w:rPr>
                <w:rFonts w:ascii="Times New Roman" w:hAnsi="Times New Roman"/>
                <w:b/>
                <w:sz w:val="14"/>
                <w:szCs w:val="14"/>
                <w:lang w:eastAsia="sk-SK"/>
              </w:rPr>
              <w:t>3 363 115 773</w:t>
            </w:r>
          </w:p>
        </w:tc>
        <w:tc>
          <w:tcPr>
            <w:tcW w:w="992" w:type="dxa"/>
            <w:shd w:val="clear" w:color="auto" w:fill="BFBFBF"/>
            <w:vAlign w:val="bottom"/>
          </w:tcPr>
          <w:p w:rsidR="00465CAC" w:rsidRPr="00F534F3" w:rsidRDefault="00465CAC" w:rsidP="00465CAC">
            <w:pPr>
              <w:jc w:val="right"/>
              <w:rPr>
                <w:rFonts w:ascii="Times New Roman" w:hAnsi="Times New Roman"/>
                <w:b/>
                <w:sz w:val="14"/>
                <w:szCs w:val="14"/>
                <w:lang w:eastAsia="sk-SK"/>
              </w:rPr>
            </w:pPr>
            <w:r>
              <w:rPr>
                <w:rFonts w:ascii="Times New Roman" w:hAnsi="Times New Roman"/>
                <w:b/>
                <w:sz w:val="14"/>
                <w:szCs w:val="14"/>
                <w:lang w:eastAsia="sk-SK"/>
              </w:rPr>
              <w:t>2 731 783 971</w:t>
            </w:r>
          </w:p>
        </w:tc>
        <w:tc>
          <w:tcPr>
            <w:tcW w:w="992" w:type="dxa"/>
            <w:shd w:val="clear" w:color="auto" w:fill="BFBFBF"/>
            <w:vAlign w:val="bottom"/>
          </w:tcPr>
          <w:p w:rsidR="00465CAC" w:rsidRPr="00F534F3" w:rsidRDefault="00465CAC" w:rsidP="00465CAC">
            <w:pPr>
              <w:jc w:val="right"/>
              <w:rPr>
                <w:rFonts w:ascii="Times New Roman" w:hAnsi="Times New Roman"/>
                <w:b/>
                <w:sz w:val="14"/>
                <w:szCs w:val="14"/>
                <w:lang w:eastAsia="sk-SK"/>
              </w:rPr>
            </w:pPr>
            <w:r>
              <w:rPr>
                <w:rFonts w:ascii="Times New Roman" w:hAnsi="Times New Roman"/>
                <w:b/>
                <w:sz w:val="14"/>
                <w:szCs w:val="14"/>
                <w:lang w:eastAsia="sk-SK"/>
              </w:rPr>
              <w:t>3 056 033 817</w:t>
            </w:r>
          </w:p>
        </w:tc>
        <w:tc>
          <w:tcPr>
            <w:tcW w:w="992" w:type="dxa"/>
            <w:shd w:val="clear" w:color="auto" w:fill="BFBFBF"/>
            <w:noWrap/>
            <w:vAlign w:val="bottom"/>
          </w:tcPr>
          <w:p w:rsidR="00465CAC" w:rsidRPr="00F534F3" w:rsidRDefault="00465CAC" w:rsidP="00465CAC">
            <w:pPr>
              <w:jc w:val="right"/>
              <w:rPr>
                <w:rFonts w:ascii="Times New Roman" w:hAnsi="Times New Roman"/>
                <w:b/>
                <w:sz w:val="14"/>
                <w:szCs w:val="14"/>
                <w:lang w:eastAsia="sk-SK"/>
              </w:rPr>
            </w:pPr>
            <w:r>
              <w:rPr>
                <w:rFonts w:ascii="Times New Roman" w:hAnsi="Times New Roman"/>
                <w:b/>
                <w:sz w:val="14"/>
                <w:szCs w:val="14"/>
                <w:lang w:eastAsia="sk-SK"/>
              </w:rPr>
              <w:t>3 031 077 700</w:t>
            </w:r>
          </w:p>
        </w:tc>
        <w:tc>
          <w:tcPr>
            <w:tcW w:w="992" w:type="dxa"/>
            <w:shd w:val="clear" w:color="auto" w:fill="BFBFBF"/>
            <w:vAlign w:val="bottom"/>
          </w:tcPr>
          <w:p w:rsidR="00465CAC" w:rsidRPr="00F534F3" w:rsidRDefault="00465CAC" w:rsidP="00465CAC">
            <w:pPr>
              <w:jc w:val="right"/>
              <w:rPr>
                <w:rFonts w:ascii="Times New Roman" w:hAnsi="Times New Roman"/>
                <w:b/>
                <w:sz w:val="14"/>
                <w:szCs w:val="14"/>
                <w:lang w:eastAsia="sk-SK"/>
              </w:rPr>
            </w:pPr>
            <w:r w:rsidRPr="00F534F3">
              <w:rPr>
                <w:rFonts w:ascii="Times New Roman" w:hAnsi="Times New Roman"/>
                <w:b/>
                <w:sz w:val="14"/>
                <w:szCs w:val="14"/>
                <w:lang w:eastAsia="sk-SK"/>
              </w:rPr>
              <w:t>3</w:t>
            </w:r>
            <w:r>
              <w:rPr>
                <w:rFonts w:ascii="Times New Roman" w:hAnsi="Times New Roman"/>
                <w:b/>
                <w:sz w:val="14"/>
                <w:szCs w:val="14"/>
                <w:lang w:eastAsia="sk-SK"/>
              </w:rPr>
              <w:t> 181 879 410</w:t>
            </w:r>
          </w:p>
        </w:tc>
      </w:tr>
      <w:tr w:rsidR="00465CAC" w:rsidRPr="00F534F3" w:rsidTr="00465CAC">
        <w:trPr>
          <w:trHeight w:val="283"/>
        </w:trPr>
        <w:tc>
          <w:tcPr>
            <w:tcW w:w="2132" w:type="dxa"/>
            <w:shd w:val="clear" w:color="000000" w:fill="FFFFFF"/>
            <w:noWrap/>
            <w:vAlign w:val="bottom"/>
          </w:tcPr>
          <w:p w:rsidR="00465CAC" w:rsidRPr="00F534F3" w:rsidRDefault="00465CAC" w:rsidP="00465CAC">
            <w:pPr>
              <w:rPr>
                <w:rFonts w:ascii="Times New Roman" w:hAnsi="Times New Roman"/>
                <w:bCs/>
                <w:sz w:val="14"/>
                <w:szCs w:val="14"/>
                <w:lang w:eastAsia="sk-SK"/>
              </w:rPr>
            </w:pPr>
            <w:r w:rsidRPr="00F534F3">
              <w:rPr>
                <w:rFonts w:ascii="Times New Roman" w:hAnsi="Times New Roman"/>
                <w:bCs/>
                <w:sz w:val="14"/>
                <w:szCs w:val="14"/>
                <w:lang w:eastAsia="sk-SK"/>
              </w:rPr>
              <w:t>Rezervy</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sidRPr="00F534F3">
              <w:rPr>
                <w:rFonts w:ascii="Times New Roman" w:hAnsi="Times New Roman"/>
                <w:bCs/>
                <w:sz w:val="14"/>
                <w:szCs w:val="14"/>
                <w:lang w:eastAsia="sk-SK"/>
              </w:rPr>
              <w:t>2 258 445</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sidRPr="00F534F3">
              <w:rPr>
                <w:rFonts w:ascii="Times New Roman" w:hAnsi="Times New Roman"/>
                <w:bCs/>
                <w:sz w:val="14"/>
                <w:szCs w:val="14"/>
                <w:lang w:eastAsia="sk-SK"/>
              </w:rPr>
              <w:t>432 624</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sidRPr="00F534F3">
              <w:rPr>
                <w:rFonts w:ascii="Times New Roman" w:hAnsi="Times New Roman"/>
                <w:bCs/>
                <w:sz w:val="14"/>
                <w:szCs w:val="14"/>
                <w:lang w:eastAsia="sk-SK"/>
              </w:rPr>
              <w:t>510 313 812</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Pr>
                <w:rFonts w:ascii="Times New Roman" w:hAnsi="Times New Roman"/>
                <w:bCs/>
                <w:sz w:val="14"/>
                <w:szCs w:val="14"/>
                <w:lang w:eastAsia="sk-SK"/>
              </w:rPr>
              <w:t>166 393 318</w:t>
            </w:r>
          </w:p>
        </w:tc>
        <w:tc>
          <w:tcPr>
            <w:tcW w:w="992" w:type="dxa"/>
            <w:shd w:val="clear" w:color="000000" w:fill="FFFFFF"/>
            <w:vAlign w:val="bottom"/>
          </w:tcPr>
          <w:p w:rsidR="00465CAC" w:rsidRPr="00EF6E46" w:rsidRDefault="00465CAC" w:rsidP="00465CAC">
            <w:pPr>
              <w:jc w:val="right"/>
              <w:rPr>
                <w:rFonts w:ascii="Times New Roman" w:hAnsi="Times New Roman"/>
                <w:bCs/>
                <w:sz w:val="14"/>
                <w:szCs w:val="14"/>
                <w:lang w:eastAsia="sk-SK"/>
              </w:rPr>
            </w:pPr>
            <w:r w:rsidRPr="00EF6E46">
              <w:rPr>
                <w:rFonts w:ascii="Times New Roman" w:hAnsi="Times New Roman"/>
                <w:bCs/>
                <w:sz w:val="14"/>
                <w:szCs w:val="14"/>
                <w:lang w:eastAsia="sk-SK"/>
              </w:rPr>
              <w:t>598 866 754</w:t>
            </w:r>
          </w:p>
        </w:tc>
        <w:tc>
          <w:tcPr>
            <w:tcW w:w="992" w:type="dxa"/>
            <w:shd w:val="clear" w:color="000000" w:fill="FFFFFF"/>
            <w:noWrap/>
            <w:vAlign w:val="bottom"/>
          </w:tcPr>
          <w:p w:rsidR="00465CAC" w:rsidRPr="00EF6E46" w:rsidRDefault="00465CAC" w:rsidP="00465CAC">
            <w:pPr>
              <w:jc w:val="right"/>
              <w:rPr>
                <w:rFonts w:ascii="Times New Roman" w:hAnsi="Times New Roman"/>
                <w:bCs/>
                <w:sz w:val="14"/>
                <w:szCs w:val="14"/>
                <w:lang w:eastAsia="sk-SK"/>
              </w:rPr>
            </w:pPr>
            <w:r w:rsidRPr="00EF6E46">
              <w:rPr>
                <w:rFonts w:ascii="Times New Roman" w:hAnsi="Times New Roman"/>
                <w:bCs/>
                <w:sz w:val="14"/>
                <w:szCs w:val="14"/>
                <w:lang w:eastAsia="sk-SK"/>
              </w:rPr>
              <w:t xml:space="preserve">569 410 439 </w:t>
            </w:r>
          </w:p>
        </w:tc>
        <w:tc>
          <w:tcPr>
            <w:tcW w:w="992" w:type="dxa"/>
            <w:shd w:val="clear" w:color="000000" w:fill="FFFFFF"/>
            <w:vAlign w:val="bottom"/>
          </w:tcPr>
          <w:p w:rsidR="00465CAC" w:rsidRPr="00EF6E46" w:rsidRDefault="00465CAC" w:rsidP="00465CAC">
            <w:pPr>
              <w:jc w:val="right"/>
              <w:rPr>
                <w:rFonts w:ascii="Times New Roman" w:hAnsi="Times New Roman"/>
                <w:sz w:val="14"/>
                <w:szCs w:val="14"/>
                <w:lang w:eastAsia="sk-SK"/>
              </w:rPr>
            </w:pPr>
            <w:r w:rsidRPr="00EF6E46">
              <w:rPr>
                <w:rFonts w:ascii="Times New Roman" w:hAnsi="Times New Roman"/>
                <w:sz w:val="14"/>
                <w:szCs w:val="14"/>
                <w:lang w:eastAsia="sk-SK"/>
              </w:rPr>
              <w:t>726 112 221</w:t>
            </w:r>
          </w:p>
        </w:tc>
      </w:tr>
      <w:tr w:rsidR="00465CAC" w:rsidRPr="00F534F3" w:rsidTr="00465CAC">
        <w:trPr>
          <w:trHeight w:val="283"/>
        </w:trPr>
        <w:tc>
          <w:tcPr>
            <w:tcW w:w="2132" w:type="dxa"/>
            <w:shd w:val="clear" w:color="000000" w:fill="FFFFFF"/>
            <w:noWrap/>
            <w:vAlign w:val="bottom"/>
          </w:tcPr>
          <w:p w:rsidR="00465CAC" w:rsidRPr="00F534F3" w:rsidRDefault="00465CAC" w:rsidP="00465CAC">
            <w:pPr>
              <w:rPr>
                <w:rFonts w:ascii="Times New Roman" w:hAnsi="Times New Roman"/>
                <w:bCs/>
                <w:sz w:val="14"/>
                <w:szCs w:val="14"/>
                <w:lang w:eastAsia="sk-SK"/>
              </w:rPr>
            </w:pPr>
            <w:r w:rsidRPr="00F534F3">
              <w:rPr>
                <w:rFonts w:ascii="Times New Roman" w:hAnsi="Times New Roman"/>
                <w:bCs/>
                <w:sz w:val="14"/>
                <w:szCs w:val="14"/>
                <w:lang w:eastAsia="sk-SK"/>
              </w:rPr>
              <w:t>Fin</w:t>
            </w:r>
            <w:r>
              <w:rPr>
                <w:rFonts w:ascii="Times New Roman" w:hAnsi="Times New Roman"/>
                <w:bCs/>
                <w:sz w:val="14"/>
                <w:szCs w:val="14"/>
                <w:lang w:eastAsia="sk-SK"/>
              </w:rPr>
              <w:t>ančné</w:t>
            </w:r>
            <w:r w:rsidRPr="00F534F3">
              <w:rPr>
                <w:rFonts w:ascii="Times New Roman" w:hAnsi="Times New Roman"/>
                <w:bCs/>
                <w:sz w:val="14"/>
                <w:szCs w:val="14"/>
                <w:lang w:eastAsia="sk-SK"/>
              </w:rPr>
              <w:t xml:space="preserve"> vzťahy súvisiace s rozpočtom EÚ</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sidRPr="00F534F3">
              <w:rPr>
                <w:rFonts w:ascii="Times New Roman" w:hAnsi="Times New Roman"/>
                <w:bCs/>
                <w:sz w:val="14"/>
                <w:szCs w:val="14"/>
                <w:lang w:eastAsia="sk-SK"/>
              </w:rPr>
              <w:t>656 845 096</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sidRPr="00F534F3">
              <w:rPr>
                <w:rFonts w:ascii="Times New Roman" w:hAnsi="Times New Roman"/>
                <w:bCs/>
                <w:sz w:val="14"/>
                <w:szCs w:val="14"/>
                <w:lang w:eastAsia="sk-SK"/>
              </w:rPr>
              <w:t>658 521 541</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sidRPr="00F534F3">
              <w:rPr>
                <w:rFonts w:ascii="Times New Roman" w:hAnsi="Times New Roman"/>
                <w:bCs/>
                <w:sz w:val="14"/>
                <w:szCs w:val="14"/>
                <w:lang w:eastAsia="sk-SK"/>
              </w:rPr>
              <w:t>876 776 824</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Pr>
                <w:rFonts w:ascii="Times New Roman" w:hAnsi="Times New Roman"/>
                <w:bCs/>
                <w:sz w:val="14"/>
                <w:szCs w:val="14"/>
                <w:lang w:eastAsia="sk-SK"/>
              </w:rPr>
              <w:t>780 644 798</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Pr>
                <w:rFonts w:ascii="Times New Roman" w:hAnsi="Times New Roman"/>
                <w:bCs/>
                <w:sz w:val="14"/>
                <w:szCs w:val="14"/>
                <w:lang w:eastAsia="sk-SK"/>
              </w:rPr>
              <w:t>918 286 386</w:t>
            </w:r>
          </w:p>
        </w:tc>
        <w:tc>
          <w:tcPr>
            <w:tcW w:w="992" w:type="dxa"/>
            <w:shd w:val="clear" w:color="000000" w:fill="FFFFFF"/>
            <w:noWrap/>
            <w:vAlign w:val="bottom"/>
          </w:tcPr>
          <w:p w:rsidR="00465CAC" w:rsidRPr="00F534F3" w:rsidRDefault="00465CAC" w:rsidP="00465CAC">
            <w:pPr>
              <w:jc w:val="right"/>
              <w:rPr>
                <w:rFonts w:ascii="Times New Roman" w:hAnsi="Times New Roman"/>
                <w:bCs/>
                <w:sz w:val="14"/>
                <w:szCs w:val="14"/>
                <w:lang w:eastAsia="sk-SK"/>
              </w:rPr>
            </w:pPr>
            <w:r>
              <w:rPr>
                <w:rFonts w:ascii="Times New Roman" w:hAnsi="Times New Roman"/>
                <w:bCs/>
                <w:sz w:val="14"/>
                <w:szCs w:val="14"/>
                <w:lang w:eastAsia="sk-SK"/>
              </w:rPr>
              <w:t>1 041 780 026</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Pr>
                <w:rFonts w:ascii="Times New Roman" w:hAnsi="Times New Roman"/>
                <w:bCs/>
                <w:sz w:val="14"/>
                <w:szCs w:val="14"/>
                <w:lang w:eastAsia="sk-SK"/>
              </w:rPr>
              <w:t>1 072 471 182</w:t>
            </w:r>
          </w:p>
        </w:tc>
      </w:tr>
      <w:tr w:rsidR="00465CAC" w:rsidRPr="00F534F3" w:rsidTr="00465CAC">
        <w:trPr>
          <w:trHeight w:val="283"/>
        </w:trPr>
        <w:tc>
          <w:tcPr>
            <w:tcW w:w="2132" w:type="dxa"/>
            <w:shd w:val="clear" w:color="000000" w:fill="FFFFFF"/>
            <w:noWrap/>
            <w:vAlign w:val="bottom"/>
          </w:tcPr>
          <w:p w:rsidR="00465CAC" w:rsidRPr="00CF764C" w:rsidRDefault="00465CAC" w:rsidP="00465CAC">
            <w:pPr>
              <w:rPr>
                <w:rFonts w:ascii="Times New Roman" w:hAnsi="Times New Roman"/>
                <w:bCs/>
                <w:sz w:val="14"/>
                <w:szCs w:val="14"/>
                <w:lang w:eastAsia="sk-SK"/>
              </w:rPr>
            </w:pPr>
            <w:r w:rsidRPr="00CF764C">
              <w:rPr>
                <w:rFonts w:ascii="Times New Roman" w:hAnsi="Times New Roman"/>
                <w:bCs/>
                <w:sz w:val="14"/>
                <w:szCs w:val="14"/>
                <w:lang w:eastAsia="sk-SK"/>
              </w:rPr>
              <w:t>Výdavky spojené so správou štátneho dlhu</w:t>
            </w:r>
          </w:p>
        </w:tc>
        <w:tc>
          <w:tcPr>
            <w:tcW w:w="992" w:type="dxa"/>
            <w:shd w:val="clear" w:color="000000" w:fill="FFFFFF"/>
            <w:vAlign w:val="bottom"/>
          </w:tcPr>
          <w:p w:rsidR="00465CAC" w:rsidRPr="00CF764C" w:rsidRDefault="00465CAC" w:rsidP="00465CAC">
            <w:pPr>
              <w:jc w:val="right"/>
              <w:rPr>
                <w:rFonts w:ascii="Times New Roman" w:hAnsi="Times New Roman"/>
                <w:bCs/>
                <w:sz w:val="14"/>
                <w:szCs w:val="14"/>
                <w:lang w:eastAsia="sk-SK"/>
              </w:rPr>
            </w:pPr>
            <w:r w:rsidRPr="00CF764C">
              <w:rPr>
                <w:rFonts w:ascii="Times New Roman" w:hAnsi="Times New Roman"/>
                <w:color w:val="000000"/>
                <w:sz w:val="14"/>
                <w:szCs w:val="14"/>
                <w:lang w:eastAsia="sk-SK"/>
              </w:rPr>
              <w:t>1 159 933 991</w:t>
            </w:r>
          </w:p>
        </w:tc>
        <w:tc>
          <w:tcPr>
            <w:tcW w:w="992" w:type="dxa"/>
            <w:shd w:val="clear" w:color="000000" w:fill="FFFFFF"/>
            <w:vAlign w:val="bottom"/>
          </w:tcPr>
          <w:p w:rsidR="00465CAC" w:rsidRPr="00CF764C" w:rsidRDefault="00465CAC" w:rsidP="00465CAC">
            <w:pPr>
              <w:jc w:val="right"/>
              <w:rPr>
                <w:rFonts w:ascii="Times New Roman" w:hAnsi="Times New Roman"/>
                <w:bCs/>
                <w:sz w:val="14"/>
                <w:szCs w:val="14"/>
                <w:lang w:eastAsia="sk-SK"/>
              </w:rPr>
            </w:pPr>
            <w:r w:rsidRPr="00CF764C">
              <w:rPr>
                <w:rFonts w:ascii="Times New Roman" w:hAnsi="Times New Roman"/>
                <w:bCs/>
                <w:sz w:val="14"/>
                <w:szCs w:val="14"/>
                <w:lang w:eastAsia="sk-SK"/>
              </w:rPr>
              <w:t>1 174 997 075</w:t>
            </w:r>
          </w:p>
        </w:tc>
        <w:tc>
          <w:tcPr>
            <w:tcW w:w="992" w:type="dxa"/>
            <w:shd w:val="clear" w:color="000000" w:fill="FFFFFF"/>
            <w:vAlign w:val="bottom"/>
          </w:tcPr>
          <w:p w:rsidR="00465CAC" w:rsidRPr="00CF764C" w:rsidRDefault="00465CAC" w:rsidP="00465CAC">
            <w:pPr>
              <w:jc w:val="right"/>
              <w:rPr>
                <w:rFonts w:ascii="Times New Roman" w:hAnsi="Times New Roman"/>
                <w:bCs/>
                <w:sz w:val="14"/>
                <w:szCs w:val="14"/>
                <w:lang w:eastAsia="sk-SK"/>
              </w:rPr>
            </w:pPr>
            <w:r w:rsidRPr="00CF764C">
              <w:rPr>
                <w:rFonts w:ascii="Times New Roman" w:hAnsi="Times New Roman"/>
                <w:bCs/>
                <w:sz w:val="14"/>
                <w:szCs w:val="14"/>
                <w:lang w:eastAsia="sk-SK"/>
              </w:rPr>
              <w:t>1 310 049 421</w:t>
            </w:r>
          </w:p>
        </w:tc>
        <w:tc>
          <w:tcPr>
            <w:tcW w:w="992" w:type="dxa"/>
            <w:shd w:val="clear" w:color="000000" w:fill="FFFFFF"/>
            <w:vAlign w:val="bottom"/>
          </w:tcPr>
          <w:p w:rsidR="00465CAC" w:rsidRPr="00CF764C" w:rsidRDefault="00465CAC" w:rsidP="00465CAC">
            <w:pPr>
              <w:jc w:val="right"/>
              <w:rPr>
                <w:rFonts w:ascii="Times New Roman" w:hAnsi="Times New Roman"/>
                <w:bCs/>
                <w:sz w:val="14"/>
                <w:szCs w:val="14"/>
                <w:lang w:eastAsia="sk-SK"/>
              </w:rPr>
            </w:pPr>
            <w:r w:rsidRPr="00CF764C">
              <w:rPr>
                <w:rFonts w:ascii="Times New Roman" w:hAnsi="Times New Roman"/>
                <w:bCs/>
                <w:sz w:val="14"/>
                <w:szCs w:val="14"/>
                <w:lang w:eastAsia="sk-SK"/>
              </w:rPr>
              <w:t>1 200 433 812</w:t>
            </w:r>
          </w:p>
        </w:tc>
        <w:tc>
          <w:tcPr>
            <w:tcW w:w="992" w:type="dxa"/>
            <w:shd w:val="clear" w:color="000000" w:fill="FFFFFF"/>
            <w:vAlign w:val="bottom"/>
          </w:tcPr>
          <w:p w:rsidR="00465CAC" w:rsidRPr="00CF764C" w:rsidRDefault="00465CAC" w:rsidP="00465CAC">
            <w:pPr>
              <w:jc w:val="right"/>
              <w:rPr>
                <w:rFonts w:ascii="Times New Roman" w:hAnsi="Times New Roman"/>
                <w:bCs/>
                <w:sz w:val="14"/>
                <w:szCs w:val="14"/>
                <w:lang w:eastAsia="sk-SK"/>
              </w:rPr>
            </w:pPr>
            <w:r w:rsidRPr="00CF764C">
              <w:rPr>
                <w:rFonts w:ascii="Times New Roman" w:hAnsi="Times New Roman"/>
                <w:bCs/>
                <w:sz w:val="14"/>
                <w:szCs w:val="14"/>
                <w:lang w:eastAsia="sk-SK"/>
              </w:rPr>
              <w:t>1 151 189 376</w:t>
            </w:r>
          </w:p>
        </w:tc>
        <w:tc>
          <w:tcPr>
            <w:tcW w:w="992" w:type="dxa"/>
            <w:shd w:val="clear" w:color="000000" w:fill="FFFFFF"/>
            <w:noWrap/>
            <w:vAlign w:val="bottom"/>
          </w:tcPr>
          <w:p w:rsidR="00465CAC" w:rsidRPr="00CF764C" w:rsidRDefault="00465CAC" w:rsidP="00465CAC">
            <w:pPr>
              <w:jc w:val="right"/>
              <w:rPr>
                <w:rFonts w:ascii="Times New Roman" w:hAnsi="Times New Roman"/>
                <w:bCs/>
                <w:sz w:val="14"/>
                <w:szCs w:val="14"/>
                <w:lang w:eastAsia="sk-SK"/>
              </w:rPr>
            </w:pPr>
            <w:r w:rsidRPr="00CF764C">
              <w:rPr>
                <w:rFonts w:ascii="Times New Roman" w:hAnsi="Times New Roman"/>
                <w:bCs/>
                <w:sz w:val="14"/>
                <w:szCs w:val="14"/>
                <w:lang w:eastAsia="sk-SK"/>
              </w:rPr>
              <w:t>1 177 714 549</w:t>
            </w:r>
          </w:p>
        </w:tc>
        <w:tc>
          <w:tcPr>
            <w:tcW w:w="992" w:type="dxa"/>
            <w:shd w:val="clear" w:color="000000" w:fill="FFFFFF"/>
            <w:vAlign w:val="bottom"/>
          </w:tcPr>
          <w:p w:rsidR="00465CAC" w:rsidRPr="00CF764C" w:rsidRDefault="00465CAC" w:rsidP="00465CAC">
            <w:pPr>
              <w:jc w:val="right"/>
              <w:rPr>
                <w:rFonts w:ascii="Times New Roman" w:hAnsi="Times New Roman"/>
                <w:bCs/>
                <w:sz w:val="14"/>
                <w:szCs w:val="14"/>
                <w:lang w:eastAsia="sk-SK"/>
              </w:rPr>
            </w:pPr>
            <w:r w:rsidRPr="00CF764C">
              <w:rPr>
                <w:rFonts w:ascii="Times New Roman" w:hAnsi="Times New Roman"/>
                <w:bCs/>
                <w:sz w:val="14"/>
                <w:szCs w:val="14"/>
                <w:lang w:eastAsia="sk-SK"/>
              </w:rPr>
              <w:t>1 232 923 393</w:t>
            </w:r>
          </w:p>
        </w:tc>
      </w:tr>
      <w:tr w:rsidR="00465CAC" w:rsidRPr="00F534F3" w:rsidTr="00465CAC">
        <w:trPr>
          <w:trHeight w:val="283"/>
        </w:trPr>
        <w:tc>
          <w:tcPr>
            <w:tcW w:w="2132" w:type="dxa"/>
            <w:shd w:val="clear" w:color="000000" w:fill="FFFFFF"/>
            <w:noWrap/>
            <w:vAlign w:val="bottom"/>
          </w:tcPr>
          <w:p w:rsidR="00465CAC" w:rsidRPr="00F534F3" w:rsidRDefault="00465CAC" w:rsidP="00465CAC">
            <w:pPr>
              <w:rPr>
                <w:rFonts w:ascii="Times New Roman" w:hAnsi="Times New Roman"/>
                <w:bCs/>
                <w:sz w:val="14"/>
                <w:szCs w:val="14"/>
                <w:lang w:eastAsia="sk-SK"/>
              </w:rPr>
            </w:pPr>
            <w:r w:rsidRPr="00F534F3">
              <w:rPr>
                <w:rFonts w:ascii="Times New Roman" w:hAnsi="Times New Roman"/>
                <w:bCs/>
                <w:sz w:val="14"/>
                <w:szCs w:val="14"/>
                <w:lang w:eastAsia="sk-SK"/>
              </w:rPr>
              <w:t>Finančné vzťahy k Sociálnej poisťovni</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sidRPr="00F534F3">
              <w:rPr>
                <w:rFonts w:ascii="Times New Roman" w:hAnsi="Times New Roman"/>
                <w:bCs/>
                <w:sz w:val="14"/>
                <w:szCs w:val="14"/>
                <w:lang w:eastAsia="sk-SK"/>
              </w:rPr>
              <w:t>452 982 834</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sidRPr="00F534F3">
              <w:rPr>
                <w:rFonts w:ascii="Times New Roman" w:hAnsi="Times New Roman"/>
                <w:bCs/>
                <w:sz w:val="14"/>
                <w:szCs w:val="14"/>
                <w:lang w:eastAsia="sk-SK"/>
              </w:rPr>
              <w:t>365 323 874</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sidRPr="00F534F3">
              <w:rPr>
                <w:rFonts w:ascii="Times New Roman" w:hAnsi="Times New Roman"/>
                <w:bCs/>
                <w:sz w:val="14"/>
                <w:szCs w:val="14"/>
                <w:lang w:eastAsia="sk-SK"/>
              </w:rPr>
              <w:t>544 060 309</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Pr>
                <w:rFonts w:ascii="Times New Roman" w:hAnsi="Times New Roman"/>
                <w:bCs/>
                <w:sz w:val="14"/>
                <w:szCs w:val="14"/>
                <w:lang w:eastAsia="sk-SK"/>
              </w:rPr>
              <w:t>442 161 162</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Pr>
                <w:rFonts w:ascii="Times New Roman" w:hAnsi="Times New Roman"/>
                <w:bCs/>
                <w:sz w:val="14"/>
                <w:szCs w:val="14"/>
                <w:lang w:eastAsia="sk-SK"/>
              </w:rPr>
              <w:t>255 391 612</w:t>
            </w:r>
          </w:p>
        </w:tc>
        <w:tc>
          <w:tcPr>
            <w:tcW w:w="992" w:type="dxa"/>
            <w:shd w:val="clear" w:color="000000" w:fill="FFFFFF"/>
            <w:noWrap/>
            <w:vAlign w:val="bottom"/>
          </w:tcPr>
          <w:p w:rsidR="00465CAC" w:rsidRPr="00F534F3" w:rsidRDefault="00465CAC" w:rsidP="00465CAC">
            <w:pPr>
              <w:jc w:val="right"/>
              <w:rPr>
                <w:rFonts w:ascii="Times New Roman" w:hAnsi="Times New Roman"/>
                <w:bCs/>
                <w:sz w:val="14"/>
                <w:szCs w:val="14"/>
                <w:lang w:eastAsia="sk-SK"/>
              </w:rPr>
            </w:pPr>
            <w:r>
              <w:rPr>
                <w:rFonts w:ascii="Times New Roman" w:hAnsi="Times New Roman"/>
                <w:bCs/>
                <w:sz w:val="14"/>
                <w:szCs w:val="14"/>
                <w:lang w:eastAsia="sk-SK"/>
              </w:rPr>
              <w:t>117 658 418</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Pr>
                <w:rFonts w:ascii="Times New Roman" w:hAnsi="Times New Roman"/>
                <w:bCs/>
                <w:sz w:val="14"/>
                <w:szCs w:val="14"/>
                <w:lang w:eastAsia="sk-SK"/>
              </w:rPr>
              <w:t>0</w:t>
            </w:r>
          </w:p>
        </w:tc>
      </w:tr>
      <w:tr w:rsidR="00465CAC" w:rsidRPr="00F534F3" w:rsidTr="00465CAC">
        <w:trPr>
          <w:trHeight w:val="283"/>
        </w:trPr>
        <w:tc>
          <w:tcPr>
            <w:tcW w:w="2132" w:type="dxa"/>
            <w:shd w:val="clear" w:color="000000" w:fill="FFFFFF"/>
            <w:noWrap/>
            <w:vAlign w:val="bottom"/>
          </w:tcPr>
          <w:p w:rsidR="00465CAC" w:rsidRPr="00F534F3" w:rsidRDefault="00465CAC" w:rsidP="00465CAC">
            <w:pPr>
              <w:rPr>
                <w:rFonts w:ascii="Times New Roman" w:hAnsi="Times New Roman"/>
                <w:bCs/>
                <w:sz w:val="14"/>
                <w:szCs w:val="14"/>
                <w:lang w:eastAsia="sk-SK"/>
              </w:rPr>
            </w:pPr>
            <w:r w:rsidRPr="00F534F3">
              <w:rPr>
                <w:rFonts w:ascii="Times New Roman" w:hAnsi="Times New Roman"/>
                <w:bCs/>
                <w:sz w:val="14"/>
                <w:szCs w:val="14"/>
                <w:lang w:eastAsia="sk-SK"/>
              </w:rPr>
              <w:t>Ostatné</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sidRPr="00F534F3">
              <w:rPr>
                <w:rFonts w:ascii="Times New Roman" w:hAnsi="Times New Roman"/>
                <w:bCs/>
                <w:sz w:val="14"/>
                <w:szCs w:val="14"/>
                <w:lang w:eastAsia="sk-SK"/>
              </w:rPr>
              <w:t>44 540 265</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sidRPr="00F534F3">
              <w:rPr>
                <w:rFonts w:ascii="Times New Roman" w:hAnsi="Times New Roman"/>
                <w:bCs/>
                <w:sz w:val="14"/>
                <w:szCs w:val="14"/>
                <w:lang w:eastAsia="sk-SK"/>
              </w:rPr>
              <w:t>52 879 353</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sidRPr="00F534F3">
              <w:rPr>
                <w:rFonts w:ascii="Times New Roman" w:hAnsi="Times New Roman"/>
                <w:bCs/>
                <w:sz w:val="14"/>
                <w:szCs w:val="14"/>
                <w:lang w:eastAsia="sk-SK"/>
              </w:rPr>
              <w:t>121 915 407</w:t>
            </w:r>
          </w:p>
        </w:tc>
        <w:tc>
          <w:tcPr>
            <w:tcW w:w="992" w:type="dxa"/>
            <w:shd w:val="clear" w:color="000000" w:fill="FFFFFF"/>
            <w:vAlign w:val="bottom"/>
          </w:tcPr>
          <w:p w:rsidR="00465CAC" w:rsidRPr="00F534F3" w:rsidRDefault="00465CAC" w:rsidP="00465CAC">
            <w:pPr>
              <w:jc w:val="right"/>
              <w:rPr>
                <w:rFonts w:ascii="Times New Roman" w:hAnsi="Times New Roman"/>
                <w:bCs/>
                <w:sz w:val="14"/>
                <w:szCs w:val="14"/>
                <w:lang w:eastAsia="sk-SK"/>
              </w:rPr>
            </w:pPr>
            <w:r>
              <w:rPr>
                <w:rFonts w:ascii="Times New Roman" w:hAnsi="Times New Roman"/>
                <w:bCs/>
                <w:sz w:val="14"/>
                <w:szCs w:val="14"/>
                <w:lang w:eastAsia="sk-SK"/>
              </w:rPr>
              <w:t>142 150 881</w:t>
            </w:r>
          </w:p>
        </w:tc>
        <w:tc>
          <w:tcPr>
            <w:tcW w:w="992" w:type="dxa"/>
            <w:shd w:val="clear" w:color="000000" w:fill="FFFFFF"/>
            <w:vAlign w:val="bottom"/>
          </w:tcPr>
          <w:p w:rsidR="00465CAC" w:rsidRPr="00EF6E46" w:rsidRDefault="00465CAC" w:rsidP="00465CAC">
            <w:pPr>
              <w:jc w:val="right"/>
              <w:rPr>
                <w:rFonts w:ascii="Times New Roman" w:hAnsi="Times New Roman"/>
                <w:bCs/>
                <w:sz w:val="14"/>
                <w:szCs w:val="14"/>
                <w:lang w:eastAsia="sk-SK"/>
              </w:rPr>
            </w:pPr>
            <w:r w:rsidRPr="00EF6E46">
              <w:rPr>
                <w:rFonts w:ascii="Times New Roman" w:hAnsi="Times New Roman"/>
                <w:bCs/>
                <w:sz w:val="14"/>
                <w:szCs w:val="14"/>
                <w:lang w:eastAsia="sk-SK"/>
              </w:rPr>
              <w:t>132 299 689</w:t>
            </w:r>
          </w:p>
        </w:tc>
        <w:tc>
          <w:tcPr>
            <w:tcW w:w="992" w:type="dxa"/>
            <w:shd w:val="clear" w:color="000000" w:fill="FFFFFF"/>
            <w:noWrap/>
            <w:vAlign w:val="bottom"/>
          </w:tcPr>
          <w:p w:rsidR="00465CAC" w:rsidRPr="00EF6E46" w:rsidRDefault="00465CAC" w:rsidP="00465CAC">
            <w:pPr>
              <w:jc w:val="right"/>
              <w:rPr>
                <w:rFonts w:ascii="Times New Roman" w:hAnsi="Times New Roman"/>
                <w:bCs/>
                <w:sz w:val="14"/>
                <w:szCs w:val="14"/>
                <w:lang w:eastAsia="sk-SK"/>
              </w:rPr>
            </w:pPr>
            <w:r w:rsidRPr="00EF6E46">
              <w:rPr>
                <w:rFonts w:ascii="Times New Roman" w:hAnsi="Times New Roman"/>
                <w:bCs/>
                <w:sz w:val="14"/>
                <w:szCs w:val="14"/>
                <w:lang w:eastAsia="sk-SK"/>
              </w:rPr>
              <w:t>124 514 268</w:t>
            </w:r>
          </w:p>
        </w:tc>
        <w:tc>
          <w:tcPr>
            <w:tcW w:w="992" w:type="dxa"/>
            <w:shd w:val="clear" w:color="000000" w:fill="FFFFFF"/>
            <w:vAlign w:val="bottom"/>
          </w:tcPr>
          <w:p w:rsidR="00465CAC" w:rsidRPr="00EF6E46" w:rsidRDefault="00465CAC" w:rsidP="00465CAC">
            <w:pPr>
              <w:jc w:val="right"/>
              <w:rPr>
                <w:rFonts w:ascii="Times New Roman" w:hAnsi="Times New Roman"/>
                <w:sz w:val="14"/>
                <w:szCs w:val="14"/>
                <w:lang w:eastAsia="sk-SK"/>
              </w:rPr>
            </w:pPr>
            <w:r w:rsidRPr="00EF6E46">
              <w:rPr>
                <w:rFonts w:ascii="Times New Roman" w:hAnsi="Times New Roman"/>
                <w:sz w:val="14"/>
                <w:szCs w:val="14"/>
                <w:lang w:eastAsia="sk-SK"/>
              </w:rPr>
              <w:t>150 372 614</w:t>
            </w:r>
          </w:p>
        </w:tc>
      </w:tr>
      <w:bookmarkEnd w:id="206"/>
    </w:tbl>
    <w:p w:rsidR="00465CAC" w:rsidRDefault="00465CAC"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640C5E" w:rsidRPr="00F534F3" w:rsidRDefault="00640C5E" w:rsidP="00640C5E">
      <w:pPr>
        <w:jc w:val="both"/>
        <w:rPr>
          <w:rFonts w:ascii="Times New Roman" w:hAnsi="Times New Roman"/>
          <w:iCs/>
        </w:rPr>
      </w:pPr>
      <w:r w:rsidRPr="00F534F3">
        <w:rPr>
          <w:rFonts w:ascii="Times New Roman" w:hAnsi="Times New Roman"/>
          <w:b/>
          <w:iCs/>
        </w:rPr>
        <w:lastRenderedPageBreak/>
        <w:t>Rezervy</w:t>
      </w:r>
    </w:p>
    <w:p w:rsidR="00465CAC" w:rsidRPr="00F534F3" w:rsidRDefault="00465CAC" w:rsidP="00465CAC">
      <w:pPr>
        <w:ind w:firstLine="709"/>
        <w:jc w:val="both"/>
        <w:rPr>
          <w:rFonts w:ascii="Times New Roman" w:hAnsi="Times New Roman"/>
        </w:rPr>
      </w:pPr>
    </w:p>
    <w:tbl>
      <w:tblPr>
        <w:tblW w:w="5006" w:type="pct"/>
        <w:tblCellMar>
          <w:left w:w="70" w:type="dxa"/>
          <w:right w:w="70" w:type="dxa"/>
        </w:tblCellMar>
        <w:tblLook w:val="04A0" w:firstRow="1" w:lastRow="0" w:firstColumn="1" w:lastColumn="0" w:noHBand="0" w:noVBand="1"/>
      </w:tblPr>
      <w:tblGrid>
        <w:gridCol w:w="2130"/>
        <w:gridCol w:w="993"/>
        <w:gridCol w:w="993"/>
        <w:gridCol w:w="993"/>
        <w:gridCol w:w="991"/>
        <w:gridCol w:w="991"/>
        <w:gridCol w:w="991"/>
        <w:gridCol w:w="991"/>
      </w:tblGrid>
      <w:tr w:rsidR="00465CAC" w:rsidRPr="00F534F3" w:rsidTr="00465CAC">
        <w:trPr>
          <w:trHeight w:val="283"/>
        </w:trPr>
        <w:tc>
          <w:tcPr>
            <w:tcW w:w="1174" w:type="pct"/>
            <w:tcBorders>
              <w:top w:val="single" w:sz="4" w:space="0" w:color="auto"/>
              <w:left w:val="single" w:sz="4" w:space="0" w:color="auto"/>
              <w:bottom w:val="single" w:sz="4" w:space="0" w:color="auto"/>
              <w:right w:val="single" w:sz="4" w:space="0" w:color="auto"/>
            </w:tcBorders>
            <w:shd w:val="clear" w:color="auto" w:fill="A6A6A6"/>
            <w:noWrap/>
            <w:vAlign w:val="center"/>
          </w:tcPr>
          <w:p w:rsidR="00465CAC" w:rsidRPr="00F534F3" w:rsidRDefault="00465CAC" w:rsidP="00465CAC">
            <w:pPr>
              <w:rPr>
                <w:rFonts w:ascii="Times New Roman" w:hAnsi="Times New Roman"/>
                <w:b/>
                <w:bCs/>
                <w:sz w:val="14"/>
                <w:szCs w:val="14"/>
                <w:lang w:eastAsia="sk-SK"/>
              </w:rPr>
            </w:pPr>
            <w:bookmarkStart w:id="207" w:name="OLE_LINK4"/>
            <w:bookmarkStart w:id="208" w:name="OLE_LINK5"/>
            <w:r w:rsidRPr="00F534F3">
              <w:rPr>
                <w:rFonts w:ascii="Times New Roman" w:hAnsi="Times New Roman"/>
                <w:b/>
                <w:bCs/>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auto" w:fill="A6A6A6"/>
            <w:noWrap/>
            <w:vAlign w:val="bottom"/>
          </w:tcPr>
          <w:p w:rsidR="00465CAC" w:rsidRPr="00F534F3" w:rsidRDefault="00465CAC" w:rsidP="00465CAC">
            <w:pPr>
              <w:jc w:val="center"/>
              <w:rPr>
                <w:rFonts w:ascii="Times New Roman" w:hAnsi="Times New Roman"/>
                <w:b/>
                <w:sz w:val="14"/>
                <w:szCs w:val="14"/>
                <w:lang w:eastAsia="sk-SK"/>
              </w:rPr>
            </w:pPr>
            <w:r w:rsidRPr="00F534F3">
              <w:rPr>
                <w:rFonts w:ascii="Times New Roman" w:hAnsi="Times New Roman"/>
                <w:b/>
                <w:sz w:val="14"/>
                <w:szCs w:val="14"/>
                <w:lang w:eastAsia="sk-SK"/>
              </w:rPr>
              <w:t>2015 S</w:t>
            </w:r>
          </w:p>
        </w:tc>
        <w:tc>
          <w:tcPr>
            <w:tcW w:w="547" w:type="pct"/>
            <w:tcBorders>
              <w:top w:val="single" w:sz="4" w:space="0" w:color="auto"/>
              <w:left w:val="nil"/>
              <w:bottom w:val="single" w:sz="4" w:space="0" w:color="auto"/>
              <w:right w:val="single" w:sz="4" w:space="0" w:color="auto"/>
            </w:tcBorders>
            <w:shd w:val="clear" w:color="auto" w:fill="A6A6A6"/>
            <w:vAlign w:val="bottom"/>
          </w:tcPr>
          <w:p w:rsidR="00465CAC" w:rsidRPr="00F534F3" w:rsidRDefault="00465CAC" w:rsidP="00465CAC">
            <w:pPr>
              <w:jc w:val="center"/>
              <w:rPr>
                <w:rFonts w:ascii="Times New Roman" w:hAnsi="Times New Roman"/>
                <w:b/>
                <w:sz w:val="14"/>
                <w:szCs w:val="14"/>
                <w:lang w:eastAsia="sk-SK"/>
              </w:rPr>
            </w:pPr>
            <w:r w:rsidRPr="00F534F3">
              <w:rPr>
                <w:rFonts w:ascii="Times New Roman" w:hAnsi="Times New Roman"/>
                <w:b/>
                <w:sz w:val="14"/>
                <w:szCs w:val="14"/>
                <w:lang w:eastAsia="sk-SK"/>
              </w:rPr>
              <w:t>2016 S</w:t>
            </w:r>
          </w:p>
        </w:tc>
        <w:tc>
          <w:tcPr>
            <w:tcW w:w="547" w:type="pct"/>
            <w:tcBorders>
              <w:top w:val="single" w:sz="4" w:space="0" w:color="auto"/>
              <w:left w:val="single" w:sz="4" w:space="0" w:color="auto"/>
              <w:bottom w:val="single" w:sz="4" w:space="0" w:color="auto"/>
              <w:right w:val="single" w:sz="4" w:space="0" w:color="auto"/>
            </w:tcBorders>
            <w:shd w:val="clear" w:color="auto" w:fill="A6A6A6"/>
            <w:vAlign w:val="bottom"/>
          </w:tcPr>
          <w:p w:rsidR="00465CAC" w:rsidRPr="00F534F3" w:rsidRDefault="00465CAC" w:rsidP="00465CAC">
            <w:pPr>
              <w:jc w:val="center"/>
              <w:rPr>
                <w:rFonts w:ascii="Times New Roman" w:hAnsi="Times New Roman"/>
                <w:b/>
                <w:sz w:val="14"/>
                <w:szCs w:val="14"/>
                <w:lang w:eastAsia="sk-SK"/>
              </w:rPr>
            </w:pPr>
            <w:r w:rsidRPr="00F534F3">
              <w:rPr>
                <w:rFonts w:ascii="Times New Roman" w:hAnsi="Times New Roman"/>
                <w:b/>
                <w:sz w:val="14"/>
                <w:szCs w:val="14"/>
                <w:lang w:eastAsia="sk-SK"/>
              </w:rPr>
              <w:t>2017 R</w:t>
            </w:r>
          </w:p>
        </w:tc>
        <w:tc>
          <w:tcPr>
            <w:tcW w:w="546" w:type="pct"/>
            <w:tcBorders>
              <w:top w:val="single" w:sz="4" w:space="0" w:color="auto"/>
              <w:left w:val="single" w:sz="4" w:space="0" w:color="auto"/>
              <w:bottom w:val="single" w:sz="4" w:space="0" w:color="auto"/>
              <w:right w:val="single" w:sz="4" w:space="0" w:color="auto"/>
            </w:tcBorders>
            <w:shd w:val="clear" w:color="auto" w:fill="A6A6A6"/>
            <w:vAlign w:val="bottom"/>
          </w:tcPr>
          <w:p w:rsidR="00465CAC" w:rsidRPr="00F534F3" w:rsidRDefault="00465CAC" w:rsidP="00465CAC">
            <w:pPr>
              <w:jc w:val="center"/>
              <w:rPr>
                <w:rFonts w:ascii="Times New Roman" w:hAnsi="Times New Roman"/>
                <w:b/>
                <w:sz w:val="14"/>
                <w:szCs w:val="14"/>
                <w:lang w:eastAsia="sk-SK"/>
              </w:rPr>
            </w:pPr>
            <w:r w:rsidRPr="00F534F3">
              <w:rPr>
                <w:rFonts w:ascii="Times New Roman" w:hAnsi="Times New Roman"/>
                <w:b/>
                <w:sz w:val="14"/>
                <w:szCs w:val="14"/>
                <w:lang w:eastAsia="sk-SK"/>
              </w:rPr>
              <w:t>2017 OS</w:t>
            </w:r>
          </w:p>
        </w:tc>
        <w:tc>
          <w:tcPr>
            <w:tcW w:w="546" w:type="pct"/>
            <w:tcBorders>
              <w:top w:val="single" w:sz="4" w:space="0" w:color="auto"/>
              <w:left w:val="single" w:sz="4" w:space="0" w:color="auto"/>
              <w:bottom w:val="single" w:sz="4" w:space="0" w:color="auto"/>
              <w:right w:val="single" w:sz="4" w:space="0" w:color="auto"/>
            </w:tcBorders>
            <w:shd w:val="clear" w:color="auto" w:fill="A6A6A6"/>
            <w:vAlign w:val="bottom"/>
          </w:tcPr>
          <w:p w:rsidR="00465CAC" w:rsidRPr="00F534F3" w:rsidRDefault="00465CAC" w:rsidP="00465CAC">
            <w:pPr>
              <w:jc w:val="center"/>
              <w:rPr>
                <w:rFonts w:ascii="Times New Roman" w:hAnsi="Times New Roman"/>
                <w:b/>
                <w:sz w:val="14"/>
                <w:szCs w:val="14"/>
                <w:lang w:eastAsia="sk-SK"/>
              </w:rPr>
            </w:pPr>
            <w:r w:rsidRPr="00F534F3">
              <w:rPr>
                <w:rFonts w:ascii="Times New Roman" w:hAnsi="Times New Roman"/>
                <w:b/>
                <w:sz w:val="14"/>
                <w:szCs w:val="14"/>
                <w:lang w:eastAsia="sk-SK"/>
              </w:rPr>
              <w:t>2018 N</w:t>
            </w:r>
          </w:p>
        </w:tc>
        <w:tc>
          <w:tcPr>
            <w:tcW w:w="546" w:type="pct"/>
            <w:tcBorders>
              <w:top w:val="single" w:sz="4" w:space="0" w:color="auto"/>
              <w:left w:val="nil"/>
              <w:bottom w:val="single" w:sz="4" w:space="0" w:color="auto"/>
              <w:right w:val="single" w:sz="4" w:space="0" w:color="auto"/>
            </w:tcBorders>
            <w:shd w:val="clear" w:color="auto" w:fill="A6A6A6"/>
            <w:noWrap/>
            <w:vAlign w:val="bottom"/>
          </w:tcPr>
          <w:p w:rsidR="00465CAC" w:rsidRPr="00F534F3" w:rsidRDefault="00465CAC" w:rsidP="00465CAC">
            <w:pPr>
              <w:jc w:val="center"/>
              <w:rPr>
                <w:rFonts w:ascii="Times New Roman" w:hAnsi="Times New Roman"/>
                <w:b/>
                <w:sz w:val="14"/>
                <w:szCs w:val="14"/>
                <w:lang w:eastAsia="sk-SK"/>
              </w:rPr>
            </w:pPr>
            <w:r w:rsidRPr="00F534F3">
              <w:rPr>
                <w:rFonts w:ascii="Times New Roman" w:hAnsi="Times New Roman"/>
                <w:b/>
                <w:sz w:val="14"/>
                <w:szCs w:val="14"/>
                <w:lang w:eastAsia="sk-SK"/>
              </w:rPr>
              <w:t>2019 N</w:t>
            </w:r>
          </w:p>
        </w:tc>
        <w:tc>
          <w:tcPr>
            <w:tcW w:w="546" w:type="pct"/>
            <w:tcBorders>
              <w:top w:val="single" w:sz="4" w:space="0" w:color="auto"/>
              <w:left w:val="nil"/>
              <w:bottom w:val="single" w:sz="4" w:space="0" w:color="auto"/>
              <w:right w:val="single" w:sz="4" w:space="0" w:color="auto"/>
            </w:tcBorders>
            <w:shd w:val="clear" w:color="auto" w:fill="A6A6A6"/>
            <w:vAlign w:val="bottom"/>
          </w:tcPr>
          <w:p w:rsidR="00465CAC" w:rsidRPr="00F534F3" w:rsidRDefault="00465CAC" w:rsidP="00465CAC">
            <w:pPr>
              <w:jc w:val="center"/>
              <w:rPr>
                <w:rFonts w:ascii="Times New Roman" w:hAnsi="Times New Roman"/>
                <w:b/>
                <w:sz w:val="14"/>
                <w:szCs w:val="14"/>
                <w:lang w:eastAsia="sk-SK"/>
              </w:rPr>
            </w:pPr>
            <w:r w:rsidRPr="00F534F3">
              <w:rPr>
                <w:rFonts w:ascii="Times New Roman" w:hAnsi="Times New Roman"/>
                <w:b/>
                <w:sz w:val="14"/>
                <w:szCs w:val="14"/>
                <w:lang w:eastAsia="sk-SK"/>
              </w:rPr>
              <w:t>2020 N</w:t>
            </w:r>
          </w:p>
        </w:tc>
      </w:tr>
      <w:tr w:rsidR="00465CAC" w:rsidRPr="00F534F3" w:rsidTr="00465CAC">
        <w:trPr>
          <w:trHeight w:val="283"/>
        </w:trPr>
        <w:tc>
          <w:tcPr>
            <w:tcW w:w="1174"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465CAC" w:rsidRPr="00F534F3" w:rsidRDefault="00465CAC" w:rsidP="00465CAC">
            <w:pPr>
              <w:rPr>
                <w:rFonts w:ascii="Times New Roman" w:hAnsi="Times New Roman"/>
                <w:b/>
                <w:bCs/>
                <w:sz w:val="14"/>
                <w:szCs w:val="14"/>
                <w:lang w:eastAsia="sk-SK"/>
              </w:rPr>
            </w:pPr>
            <w:r>
              <w:rPr>
                <w:rFonts w:ascii="Times New Roman" w:hAnsi="Times New Roman"/>
                <w:b/>
                <w:bCs/>
                <w:sz w:val="14"/>
                <w:szCs w:val="14"/>
                <w:lang w:eastAsia="sk-SK"/>
              </w:rPr>
              <w:t>Rezervy</w:t>
            </w:r>
          </w:p>
        </w:tc>
        <w:tc>
          <w:tcPr>
            <w:tcW w:w="547" w:type="pct"/>
            <w:tcBorders>
              <w:top w:val="single" w:sz="4" w:space="0" w:color="auto"/>
              <w:left w:val="nil"/>
              <w:bottom w:val="single" w:sz="4" w:space="0" w:color="auto"/>
              <w:right w:val="single" w:sz="4" w:space="0" w:color="auto"/>
            </w:tcBorders>
            <w:shd w:val="clear" w:color="auto" w:fill="BFBFBF"/>
            <w:noWrap/>
            <w:vAlign w:val="bottom"/>
          </w:tcPr>
          <w:p w:rsidR="00465CAC" w:rsidRPr="00F534F3" w:rsidRDefault="00465CAC" w:rsidP="00465CAC">
            <w:pPr>
              <w:jc w:val="right"/>
              <w:rPr>
                <w:rFonts w:ascii="Times New Roman" w:hAnsi="Times New Roman"/>
                <w:b/>
                <w:bCs/>
                <w:sz w:val="14"/>
                <w:szCs w:val="14"/>
                <w:lang w:eastAsia="sk-SK"/>
              </w:rPr>
            </w:pPr>
            <w:r w:rsidRPr="00F534F3">
              <w:rPr>
                <w:rFonts w:ascii="Times New Roman" w:hAnsi="Times New Roman"/>
                <w:b/>
                <w:bCs/>
                <w:sz w:val="14"/>
                <w:szCs w:val="14"/>
                <w:lang w:eastAsia="sk-SK"/>
              </w:rPr>
              <w:t>2 258 445</w:t>
            </w:r>
          </w:p>
        </w:tc>
        <w:tc>
          <w:tcPr>
            <w:tcW w:w="547" w:type="pct"/>
            <w:tcBorders>
              <w:top w:val="single" w:sz="4" w:space="0" w:color="auto"/>
              <w:left w:val="nil"/>
              <w:bottom w:val="single" w:sz="4" w:space="0" w:color="auto"/>
              <w:right w:val="single" w:sz="4" w:space="0" w:color="auto"/>
            </w:tcBorders>
            <w:shd w:val="clear" w:color="auto" w:fill="BFBFBF"/>
            <w:vAlign w:val="bottom"/>
          </w:tcPr>
          <w:p w:rsidR="00465CAC" w:rsidRPr="00F534F3" w:rsidRDefault="00465CAC" w:rsidP="00465CAC">
            <w:pPr>
              <w:jc w:val="right"/>
              <w:rPr>
                <w:rFonts w:ascii="Times New Roman" w:hAnsi="Times New Roman"/>
                <w:b/>
                <w:bCs/>
                <w:sz w:val="14"/>
                <w:szCs w:val="14"/>
                <w:lang w:eastAsia="sk-SK"/>
              </w:rPr>
            </w:pPr>
            <w:r w:rsidRPr="00F534F3">
              <w:rPr>
                <w:rFonts w:ascii="Times New Roman" w:hAnsi="Times New Roman"/>
                <w:b/>
                <w:bCs/>
                <w:sz w:val="14"/>
                <w:szCs w:val="14"/>
                <w:lang w:eastAsia="sk-SK"/>
              </w:rPr>
              <w:t>432 624</w:t>
            </w:r>
          </w:p>
        </w:tc>
        <w:tc>
          <w:tcPr>
            <w:tcW w:w="547" w:type="pct"/>
            <w:tcBorders>
              <w:top w:val="single" w:sz="4" w:space="0" w:color="auto"/>
              <w:left w:val="single" w:sz="4" w:space="0" w:color="auto"/>
              <w:bottom w:val="single" w:sz="4" w:space="0" w:color="auto"/>
              <w:right w:val="single" w:sz="4" w:space="0" w:color="auto"/>
            </w:tcBorders>
            <w:shd w:val="clear" w:color="auto" w:fill="BFBFBF"/>
            <w:vAlign w:val="bottom"/>
          </w:tcPr>
          <w:p w:rsidR="00465CAC" w:rsidRPr="00F534F3" w:rsidRDefault="00465CAC" w:rsidP="00465CAC">
            <w:pPr>
              <w:jc w:val="right"/>
              <w:rPr>
                <w:rFonts w:ascii="Times New Roman" w:hAnsi="Times New Roman"/>
                <w:b/>
                <w:bCs/>
                <w:sz w:val="14"/>
                <w:szCs w:val="14"/>
                <w:lang w:eastAsia="sk-SK"/>
              </w:rPr>
            </w:pPr>
            <w:r w:rsidRPr="00F534F3">
              <w:rPr>
                <w:rFonts w:ascii="Times New Roman" w:hAnsi="Times New Roman"/>
                <w:b/>
                <w:bCs/>
                <w:sz w:val="14"/>
                <w:szCs w:val="14"/>
                <w:lang w:eastAsia="sk-SK"/>
              </w:rPr>
              <w:t>510 313 812</w:t>
            </w:r>
          </w:p>
        </w:tc>
        <w:tc>
          <w:tcPr>
            <w:tcW w:w="546" w:type="pct"/>
            <w:tcBorders>
              <w:top w:val="single" w:sz="4" w:space="0" w:color="auto"/>
              <w:left w:val="single" w:sz="4" w:space="0" w:color="auto"/>
              <w:bottom w:val="single" w:sz="4" w:space="0" w:color="auto"/>
              <w:right w:val="single" w:sz="4" w:space="0" w:color="auto"/>
            </w:tcBorders>
            <w:shd w:val="clear" w:color="auto" w:fill="BFBFBF"/>
            <w:vAlign w:val="bottom"/>
          </w:tcPr>
          <w:p w:rsidR="00465CAC" w:rsidRPr="00F534F3" w:rsidRDefault="00465CAC" w:rsidP="00465CAC">
            <w:pPr>
              <w:jc w:val="right"/>
              <w:rPr>
                <w:rFonts w:ascii="Times New Roman" w:hAnsi="Times New Roman"/>
                <w:b/>
                <w:bCs/>
                <w:sz w:val="14"/>
                <w:szCs w:val="14"/>
                <w:lang w:eastAsia="sk-SK"/>
              </w:rPr>
            </w:pPr>
            <w:r w:rsidRPr="006A7FE0">
              <w:rPr>
                <w:rFonts w:ascii="Times New Roman" w:hAnsi="Times New Roman"/>
                <w:b/>
                <w:bCs/>
                <w:sz w:val="14"/>
                <w:szCs w:val="14"/>
                <w:lang w:eastAsia="sk-SK"/>
              </w:rPr>
              <w:t xml:space="preserve">166 393 </w:t>
            </w:r>
            <w:r>
              <w:rPr>
                <w:rFonts w:ascii="Times New Roman" w:hAnsi="Times New Roman"/>
                <w:b/>
                <w:bCs/>
                <w:sz w:val="14"/>
                <w:szCs w:val="14"/>
                <w:lang w:eastAsia="sk-SK"/>
              </w:rPr>
              <w:t>31</w:t>
            </w:r>
            <w:r w:rsidRPr="006A7FE0">
              <w:rPr>
                <w:rFonts w:ascii="Times New Roman" w:hAnsi="Times New Roman"/>
                <w:b/>
                <w:bCs/>
                <w:sz w:val="14"/>
                <w:szCs w:val="14"/>
                <w:lang w:eastAsia="sk-SK"/>
              </w:rPr>
              <w:t>8</w:t>
            </w:r>
          </w:p>
        </w:tc>
        <w:tc>
          <w:tcPr>
            <w:tcW w:w="546" w:type="pct"/>
            <w:tcBorders>
              <w:top w:val="single" w:sz="4" w:space="0" w:color="auto"/>
              <w:left w:val="single" w:sz="4" w:space="0" w:color="auto"/>
              <w:bottom w:val="single" w:sz="4" w:space="0" w:color="auto"/>
              <w:right w:val="single" w:sz="4" w:space="0" w:color="auto"/>
            </w:tcBorders>
            <w:shd w:val="clear" w:color="auto" w:fill="BFBFBF"/>
            <w:vAlign w:val="bottom"/>
          </w:tcPr>
          <w:p w:rsidR="00465CAC" w:rsidRPr="00F534F3" w:rsidRDefault="00465CAC" w:rsidP="00465CAC">
            <w:pPr>
              <w:jc w:val="right"/>
              <w:rPr>
                <w:rFonts w:ascii="Times New Roman" w:hAnsi="Times New Roman"/>
                <w:b/>
                <w:bCs/>
                <w:sz w:val="14"/>
                <w:szCs w:val="14"/>
                <w:lang w:eastAsia="sk-SK"/>
              </w:rPr>
            </w:pPr>
            <w:r>
              <w:rPr>
                <w:rFonts w:ascii="Times New Roman" w:hAnsi="Times New Roman"/>
                <w:b/>
                <w:bCs/>
                <w:sz w:val="14"/>
                <w:szCs w:val="14"/>
                <w:lang w:eastAsia="sk-SK"/>
              </w:rPr>
              <w:t>598 866 754</w:t>
            </w:r>
          </w:p>
        </w:tc>
        <w:tc>
          <w:tcPr>
            <w:tcW w:w="546" w:type="pct"/>
            <w:tcBorders>
              <w:top w:val="single" w:sz="4" w:space="0" w:color="auto"/>
              <w:left w:val="nil"/>
              <w:bottom w:val="single" w:sz="4" w:space="0" w:color="auto"/>
              <w:right w:val="single" w:sz="4" w:space="0" w:color="auto"/>
            </w:tcBorders>
            <w:shd w:val="clear" w:color="auto" w:fill="BFBFBF"/>
            <w:noWrap/>
            <w:vAlign w:val="bottom"/>
          </w:tcPr>
          <w:p w:rsidR="00465CAC" w:rsidRPr="00F534F3" w:rsidRDefault="00465CAC" w:rsidP="00465CAC">
            <w:pPr>
              <w:jc w:val="right"/>
              <w:rPr>
                <w:rFonts w:ascii="Times New Roman" w:hAnsi="Times New Roman"/>
                <w:b/>
                <w:bCs/>
                <w:sz w:val="14"/>
                <w:szCs w:val="14"/>
                <w:lang w:eastAsia="sk-SK"/>
              </w:rPr>
            </w:pPr>
            <w:r>
              <w:rPr>
                <w:rFonts w:ascii="Times New Roman" w:hAnsi="Times New Roman"/>
                <w:b/>
                <w:bCs/>
                <w:sz w:val="14"/>
                <w:szCs w:val="14"/>
                <w:lang w:eastAsia="sk-SK"/>
              </w:rPr>
              <w:t xml:space="preserve">569 410 439 </w:t>
            </w:r>
          </w:p>
        </w:tc>
        <w:tc>
          <w:tcPr>
            <w:tcW w:w="546" w:type="pct"/>
            <w:tcBorders>
              <w:top w:val="single" w:sz="4" w:space="0" w:color="auto"/>
              <w:left w:val="nil"/>
              <w:bottom w:val="single" w:sz="4" w:space="0" w:color="auto"/>
              <w:right w:val="single" w:sz="4" w:space="0" w:color="auto"/>
            </w:tcBorders>
            <w:shd w:val="clear" w:color="auto" w:fill="BFBFBF"/>
            <w:vAlign w:val="bottom"/>
          </w:tcPr>
          <w:p w:rsidR="00465CAC" w:rsidRPr="00F534F3" w:rsidRDefault="00465CAC" w:rsidP="00465CAC">
            <w:pPr>
              <w:jc w:val="right"/>
              <w:rPr>
                <w:rFonts w:ascii="Times New Roman" w:hAnsi="Times New Roman"/>
                <w:b/>
                <w:sz w:val="14"/>
                <w:szCs w:val="14"/>
                <w:lang w:eastAsia="sk-SK"/>
              </w:rPr>
            </w:pPr>
            <w:r>
              <w:rPr>
                <w:rFonts w:ascii="Times New Roman" w:hAnsi="Times New Roman"/>
                <w:b/>
                <w:sz w:val="14"/>
                <w:szCs w:val="14"/>
                <w:lang w:eastAsia="sk-SK"/>
              </w:rPr>
              <w:t>726 112 221</w:t>
            </w:r>
          </w:p>
        </w:tc>
      </w:tr>
      <w:tr w:rsidR="00465CAC" w:rsidRPr="00F534F3" w:rsidTr="00465CAC">
        <w:trPr>
          <w:trHeight w:val="283"/>
        </w:trPr>
        <w:tc>
          <w:tcPr>
            <w:tcW w:w="1174" w:type="pct"/>
            <w:tcBorders>
              <w:top w:val="nil"/>
              <w:left w:val="single" w:sz="4" w:space="0" w:color="auto"/>
              <w:bottom w:val="single" w:sz="4" w:space="0" w:color="auto"/>
              <w:right w:val="single" w:sz="4" w:space="0" w:color="auto"/>
            </w:tcBorders>
            <w:vAlign w:val="bottom"/>
          </w:tcPr>
          <w:p w:rsidR="00465CAC" w:rsidRPr="00F534F3" w:rsidRDefault="00465CAC" w:rsidP="00465CAC">
            <w:pPr>
              <w:rPr>
                <w:rFonts w:ascii="Times New Roman" w:hAnsi="Times New Roman"/>
                <w:sz w:val="14"/>
                <w:szCs w:val="14"/>
                <w:lang w:eastAsia="sk-SK"/>
              </w:rPr>
            </w:pPr>
            <w:r w:rsidRPr="00F534F3">
              <w:rPr>
                <w:rFonts w:ascii="Times New Roman" w:hAnsi="Times New Roman"/>
                <w:sz w:val="14"/>
                <w:szCs w:val="14"/>
                <w:lang w:eastAsia="sk-SK"/>
              </w:rPr>
              <w:t>Rezerva vlády</w:t>
            </w:r>
          </w:p>
        </w:tc>
        <w:tc>
          <w:tcPr>
            <w:tcW w:w="547" w:type="pct"/>
            <w:tcBorders>
              <w:top w:val="nil"/>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547" w:type="pct"/>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18 424</w:t>
            </w:r>
          </w:p>
        </w:tc>
        <w:tc>
          <w:tcPr>
            <w:tcW w:w="547" w:type="pct"/>
            <w:tcBorders>
              <w:top w:val="nil"/>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5 000 000</w:t>
            </w:r>
          </w:p>
        </w:tc>
        <w:tc>
          <w:tcPr>
            <w:tcW w:w="546" w:type="pct"/>
            <w:tcBorders>
              <w:top w:val="nil"/>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3 578 708</w:t>
            </w:r>
          </w:p>
        </w:tc>
        <w:tc>
          <w:tcPr>
            <w:tcW w:w="546" w:type="pct"/>
            <w:tcBorders>
              <w:top w:val="nil"/>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5 000 000</w:t>
            </w:r>
          </w:p>
        </w:tc>
        <w:tc>
          <w:tcPr>
            <w:tcW w:w="546" w:type="pct"/>
            <w:tcBorders>
              <w:top w:val="nil"/>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5 000 000</w:t>
            </w:r>
          </w:p>
        </w:tc>
        <w:tc>
          <w:tcPr>
            <w:tcW w:w="546" w:type="pct"/>
            <w:tcBorders>
              <w:top w:val="nil"/>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5 000 000</w:t>
            </w:r>
          </w:p>
        </w:tc>
      </w:tr>
      <w:tr w:rsidR="00465CAC" w:rsidRPr="00F534F3" w:rsidTr="00465CAC">
        <w:trPr>
          <w:trHeight w:val="283"/>
        </w:trPr>
        <w:tc>
          <w:tcPr>
            <w:tcW w:w="1174" w:type="pct"/>
            <w:tcBorders>
              <w:top w:val="nil"/>
              <w:left w:val="single" w:sz="4" w:space="0" w:color="auto"/>
              <w:bottom w:val="single" w:sz="4" w:space="0" w:color="auto"/>
              <w:right w:val="single" w:sz="4" w:space="0" w:color="auto"/>
            </w:tcBorders>
            <w:vAlign w:val="bottom"/>
          </w:tcPr>
          <w:p w:rsidR="00465CAC" w:rsidRPr="00F534F3" w:rsidRDefault="00465CAC" w:rsidP="00465CAC">
            <w:pPr>
              <w:rPr>
                <w:rFonts w:ascii="Times New Roman" w:hAnsi="Times New Roman"/>
                <w:sz w:val="14"/>
                <w:szCs w:val="14"/>
                <w:lang w:eastAsia="sk-SK"/>
              </w:rPr>
            </w:pPr>
            <w:r w:rsidRPr="00F534F3">
              <w:rPr>
                <w:rFonts w:ascii="Times New Roman" w:hAnsi="Times New Roman"/>
                <w:sz w:val="14"/>
                <w:szCs w:val="14"/>
                <w:lang w:eastAsia="sk-SK"/>
              </w:rPr>
              <w:t>Rezerva na realizáciu súdnych a exekučných rozhodnutí  a na výdavky  súvisiace s vrátenými príjmami z minulých rokov</w:t>
            </w:r>
          </w:p>
        </w:tc>
        <w:tc>
          <w:tcPr>
            <w:tcW w:w="547" w:type="pct"/>
            <w:tcBorders>
              <w:top w:val="nil"/>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2 258 445</w:t>
            </w:r>
          </w:p>
        </w:tc>
        <w:tc>
          <w:tcPr>
            <w:tcW w:w="547" w:type="pct"/>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414 200</w:t>
            </w:r>
          </w:p>
        </w:tc>
        <w:tc>
          <w:tcPr>
            <w:tcW w:w="547" w:type="pct"/>
            <w:tcBorders>
              <w:top w:val="nil"/>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10 000 000</w:t>
            </w:r>
          </w:p>
        </w:tc>
        <w:tc>
          <w:tcPr>
            <w:tcW w:w="546" w:type="pct"/>
            <w:tcBorders>
              <w:top w:val="nil"/>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8 972 870</w:t>
            </w:r>
          </w:p>
        </w:tc>
        <w:tc>
          <w:tcPr>
            <w:tcW w:w="546" w:type="pct"/>
            <w:tcBorders>
              <w:top w:val="nil"/>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10 000 000</w:t>
            </w:r>
          </w:p>
        </w:tc>
        <w:tc>
          <w:tcPr>
            <w:tcW w:w="546" w:type="pct"/>
            <w:tcBorders>
              <w:top w:val="nil"/>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10 000 000</w:t>
            </w:r>
          </w:p>
        </w:tc>
        <w:tc>
          <w:tcPr>
            <w:tcW w:w="546" w:type="pct"/>
            <w:tcBorders>
              <w:top w:val="nil"/>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10 000 000</w:t>
            </w:r>
          </w:p>
        </w:tc>
      </w:tr>
      <w:tr w:rsidR="00465CAC" w:rsidRPr="00F534F3" w:rsidTr="00465CAC">
        <w:trPr>
          <w:trHeight w:val="283"/>
        </w:trPr>
        <w:tc>
          <w:tcPr>
            <w:tcW w:w="1174" w:type="pct"/>
            <w:tcBorders>
              <w:top w:val="nil"/>
              <w:left w:val="single" w:sz="4" w:space="0" w:color="auto"/>
              <w:bottom w:val="single" w:sz="4" w:space="0" w:color="auto"/>
              <w:right w:val="single" w:sz="4" w:space="0" w:color="auto"/>
            </w:tcBorders>
            <w:vAlign w:val="bottom"/>
          </w:tcPr>
          <w:p w:rsidR="00465CAC" w:rsidRPr="00717858" w:rsidRDefault="00465CAC" w:rsidP="00465CAC">
            <w:pPr>
              <w:rPr>
                <w:rFonts w:ascii="Times New Roman" w:hAnsi="Times New Roman"/>
                <w:sz w:val="14"/>
                <w:szCs w:val="14"/>
                <w:lang w:eastAsia="sk-SK"/>
              </w:rPr>
            </w:pPr>
            <w:r w:rsidRPr="00717858">
              <w:rPr>
                <w:rFonts w:ascii="Times New Roman" w:hAnsi="Times New Roman"/>
                <w:sz w:val="14"/>
                <w:szCs w:val="14"/>
                <w:lang w:eastAsia="sk-SK"/>
              </w:rPr>
              <w:t>Rezerva na riešenie vplyvov nových zákonných úprav a iných vplyvov</w:t>
            </w:r>
          </w:p>
        </w:tc>
        <w:tc>
          <w:tcPr>
            <w:tcW w:w="547" w:type="pct"/>
            <w:tcBorders>
              <w:top w:val="nil"/>
              <w:left w:val="nil"/>
              <w:bottom w:val="single" w:sz="4" w:space="0" w:color="auto"/>
              <w:right w:val="single" w:sz="4" w:space="0" w:color="auto"/>
            </w:tcBorders>
            <w:vAlign w:val="bottom"/>
          </w:tcPr>
          <w:p w:rsidR="00465CAC" w:rsidRPr="00717858" w:rsidRDefault="00465CAC" w:rsidP="00465CAC">
            <w:pPr>
              <w:jc w:val="right"/>
              <w:rPr>
                <w:rFonts w:ascii="Times New Roman" w:hAnsi="Times New Roman"/>
                <w:sz w:val="14"/>
                <w:szCs w:val="14"/>
                <w:lang w:eastAsia="sk-SK"/>
              </w:rPr>
            </w:pPr>
            <w:r w:rsidRPr="00717858">
              <w:rPr>
                <w:rFonts w:ascii="Times New Roman" w:hAnsi="Times New Roman"/>
                <w:sz w:val="14"/>
                <w:szCs w:val="14"/>
                <w:lang w:eastAsia="sk-SK"/>
              </w:rPr>
              <w:t>0</w:t>
            </w:r>
          </w:p>
        </w:tc>
        <w:tc>
          <w:tcPr>
            <w:tcW w:w="547" w:type="pct"/>
            <w:tcBorders>
              <w:top w:val="single" w:sz="4" w:space="0" w:color="auto"/>
              <w:left w:val="nil"/>
              <w:bottom w:val="single" w:sz="4" w:space="0" w:color="auto"/>
              <w:right w:val="single" w:sz="4" w:space="0" w:color="auto"/>
            </w:tcBorders>
            <w:vAlign w:val="bottom"/>
          </w:tcPr>
          <w:p w:rsidR="00465CAC" w:rsidRPr="00717858" w:rsidRDefault="00465CAC" w:rsidP="00465CAC">
            <w:pPr>
              <w:jc w:val="right"/>
              <w:rPr>
                <w:rFonts w:ascii="Times New Roman" w:hAnsi="Times New Roman"/>
                <w:sz w:val="14"/>
                <w:szCs w:val="14"/>
                <w:lang w:eastAsia="sk-SK"/>
              </w:rPr>
            </w:pPr>
            <w:r w:rsidRPr="00717858">
              <w:rPr>
                <w:rFonts w:ascii="Times New Roman" w:hAnsi="Times New Roman"/>
                <w:sz w:val="14"/>
                <w:szCs w:val="14"/>
                <w:lang w:eastAsia="sk-SK"/>
              </w:rPr>
              <w:t>0</w:t>
            </w:r>
          </w:p>
        </w:tc>
        <w:tc>
          <w:tcPr>
            <w:tcW w:w="547" w:type="pct"/>
            <w:tcBorders>
              <w:top w:val="nil"/>
              <w:left w:val="single" w:sz="4" w:space="0" w:color="auto"/>
              <w:bottom w:val="single" w:sz="4" w:space="0" w:color="auto"/>
              <w:right w:val="single" w:sz="4" w:space="0" w:color="auto"/>
            </w:tcBorders>
            <w:vAlign w:val="bottom"/>
          </w:tcPr>
          <w:p w:rsidR="00465CAC" w:rsidRPr="00717858" w:rsidRDefault="00465CAC" w:rsidP="00465CAC">
            <w:pPr>
              <w:jc w:val="right"/>
              <w:rPr>
                <w:rFonts w:ascii="Times New Roman" w:hAnsi="Times New Roman"/>
                <w:sz w:val="14"/>
                <w:szCs w:val="14"/>
                <w:lang w:eastAsia="sk-SK"/>
              </w:rPr>
            </w:pPr>
            <w:r w:rsidRPr="00717858">
              <w:rPr>
                <w:rFonts w:ascii="Times New Roman" w:hAnsi="Times New Roman"/>
                <w:sz w:val="14"/>
                <w:szCs w:val="14"/>
                <w:lang w:eastAsia="sk-SK"/>
              </w:rPr>
              <w:t>22 351 000</w:t>
            </w:r>
          </w:p>
        </w:tc>
        <w:tc>
          <w:tcPr>
            <w:tcW w:w="546" w:type="pct"/>
            <w:tcBorders>
              <w:top w:val="nil"/>
              <w:left w:val="single" w:sz="4" w:space="0" w:color="auto"/>
              <w:bottom w:val="single" w:sz="4" w:space="0" w:color="auto"/>
              <w:right w:val="single" w:sz="4" w:space="0" w:color="auto"/>
            </w:tcBorders>
            <w:vAlign w:val="bottom"/>
          </w:tcPr>
          <w:p w:rsidR="00465CAC" w:rsidRPr="00717858" w:rsidRDefault="00465CAC" w:rsidP="00465CAC">
            <w:pPr>
              <w:jc w:val="right"/>
              <w:rPr>
                <w:rFonts w:ascii="Times New Roman" w:hAnsi="Times New Roman"/>
                <w:sz w:val="14"/>
                <w:szCs w:val="14"/>
                <w:lang w:eastAsia="sk-SK"/>
              </w:rPr>
            </w:pPr>
            <w:r w:rsidRPr="00717858">
              <w:rPr>
                <w:rFonts w:ascii="Times New Roman" w:hAnsi="Times New Roman"/>
                <w:sz w:val="14"/>
                <w:szCs w:val="14"/>
                <w:lang w:eastAsia="sk-SK"/>
              </w:rPr>
              <w:t>14 201 000</w:t>
            </w:r>
          </w:p>
        </w:tc>
        <w:tc>
          <w:tcPr>
            <w:tcW w:w="546" w:type="pct"/>
            <w:tcBorders>
              <w:top w:val="nil"/>
              <w:left w:val="single" w:sz="4" w:space="0" w:color="auto"/>
              <w:bottom w:val="single" w:sz="4" w:space="0" w:color="auto"/>
              <w:right w:val="single" w:sz="4" w:space="0" w:color="auto"/>
            </w:tcBorders>
            <w:vAlign w:val="bottom"/>
          </w:tcPr>
          <w:p w:rsidR="00465CAC" w:rsidRPr="00717858" w:rsidRDefault="00465CAC" w:rsidP="00465CAC">
            <w:pPr>
              <w:jc w:val="right"/>
              <w:rPr>
                <w:rFonts w:ascii="Times New Roman" w:hAnsi="Times New Roman"/>
                <w:sz w:val="14"/>
                <w:szCs w:val="14"/>
                <w:lang w:eastAsia="sk-SK"/>
              </w:rPr>
            </w:pPr>
            <w:r w:rsidRPr="00717858">
              <w:rPr>
                <w:rFonts w:ascii="Times New Roman" w:hAnsi="Times New Roman"/>
                <w:sz w:val="14"/>
                <w:szCs w:val="14"/>
                <w:lang w:eastAsia="sk-SK"/>
              </w:rPr>
              <w:t>106 653 330</w:t>
            </w:r>
          </w:p>
        </w:tc>
        <w:tc>
          <w:tcPr>
            <w:tcW w:w="546" w:type="pct"/>
            <w:tcBorders>
              <w:top w:val="nil"/>
              <w:left w:val="nil"/>
              <w:bottom w:val="single" w:sz="4" w:space="0" w:color="auto"/>
              <w:right w:val="single" w:sz="4" w:space="0" w:color="auto"/>
            </w:tcBorders>
            <w:noWrap/>
            <w:vAlign w:val="bottom"/>
          </w:tcPr>
          <w:p w:rsidR="00465CAC" w:rsidRPr="00717858" w:rsidRDefault="00465CAC" w:rsidP="00465CAC">
            <w:pPr>
              <w:jc w:val="right"/>
              <w:rPr>
                <w:rFonts w:ascii="Times New Roman" w:hAnsi="Times New Roman"/>
                <w:sz w:val="14"/>
                <w:szCs w:val="14"/>
                <w:lang w:eastAsia="sk-SK"/>
              </w:rPr>
            </w:pPr>
            <w:r w:rsidRPr="00717858">
              <w:rPr>
                <w:rFonts w:ascii="Times New Roman" w:hAnsi="Times New Roman"/>
                <w:sz w:val="14"/>
                <w:szCs w:val="14"/>
                <w:lang w:eastAsia="sk-SK"/>
              </w:rPr>
              <w:t>195 356 509</w:t>
            </w:r>
          </w:p>
        </w:tc>
        <w:tc>
          <w:tcPr>
            <w:tcW w:w="546" w:type="pct"/>
            <w:tcBorders>
              <w:top w:val="nil"/>
              <w:left w:val="nil"/>
              <w:bottom w:val="single" w:sz="4" w:space="0" w:color="auto"/>
              <w:right w:val="single" w:sz="4" w:space="0" w:color="auto"/>
            </w:tcBorders>
            <w:vAlign w:val="bottom"/>
          </w:tcPr>
          <w:p w:rsidR="00465CAC" w:rsidRPr="00717858" w:rsidRDefault="00465CAC" w:rsidP="00465CAC">
            <w:pPr>
              <w:jc w:val="right"/>
              <w:rPr>
                <w:rFonts w:ascii="Times New Roman" w:hAnsi="Times New Roman"/>
                <w:sz w:val="14"/>
                <w:szCs w:val="14"/>
                <w:lang w:eastAsia="sk-SK"/>
              </w:rPr>
            </w:pPr>
            <w:r w:rsidRPr="00717858">
              <w:rPr>
                <w:rFonts w:ascii="Times New Roman" w:hAnsi="Times New Roman"/>
                <w:sz w:val="14"/>
                <w:szCs w:val="14"/>
                <w:lang w:eastAsia="sk-SK"/>
              </w:rPr>
              <w:t>196 356 509</w:t>
            </w:r>
          </w:p>
        </w:tc>
      </w:tr>
      <w:tr w:rsidR="00465CAC" w:rsidRPr="00F534F3" w:rsidTr="00465CAC">
        <w:trPr>
          <w:trHeight w:val="283"/>
        </w:trPr>
        <w:tc>
          <w:tcPr>
            <w:tcW w:w="1174" w:type="pct"/>
            <w:tcBorders>
              <w:top w:val="nil"/>
              <w:left w:val="single" w:sz="4" w:space="0" w:color="auto"/>
              <w:bottom w:val="single" w:sz="4" w:space="0" w:color="auto"/>
              <w:right w:val="single" w:sz="4" w:space="0" w:color="auto"/>
            </w:tcBorders>
            <w:vAlign w:val="bottom"/>
          </w:tcPr>
          <w:p w:rsidR="00465CAC" w:rsidRPr="00F534F3" w:rsidRDefault="00465CAC" w:rsidP="00465CAC">
            <w:pPr>
              <w:rPr>
                <w:rFonts w:ascii="Times New Roman" w:hAnsi="Times New Roman"/>
                <w:sz w:val="14"/>
                <w:szCs w:val="14"/>
                <w:lang w:eastAsia="sk-SK"/>
              </w:rPr>
            </w:pPr>
            <w:r w:rsidRPr="00F534F3">
              <w:rPr>
                <w:rFonts w:ascii="Times New Roman" w:hAnsi="Times New Roman"/>
                <w:sz w:val="14"/>
                <w:szCs w:val="14"/>
                <w:lang w:eastAsia="sk-SK"/>
              </w:rPr>
              <w:t xml:space="preserve">Rezerva na riešenie krízových situácií </w:t>
            </w:r>
          </w:p>
        </w:tc>
        <w:tc>
          <w:tcPr>
            <w:tcW w:w="547" w:type="pct"/>
            <w:tcBorders>
              <w:top w:val="nil"/>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547" w:type="pct"/>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547" w:type="pct"/>
            <w:tcBorders>
              <w:top w:val="nil"/>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11 000 000</w:t>
            </w:r>
          </w:p>
        </w:tc>
        <w:tc>
          <w:tcPr>
            <w:tcW w:w="546" w:type="pct"/>
            <w:tcBorders>
              <w:top w:val="nil"/>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6 674 108</w:t>
            </w:r>
          </w:p>
        </w:tc>
        <w:tc>
          <w:tcPr>
            <w:tcW w:w="546" w:type="pct"/>
            <w:tcBorders>
              <w:top w:val="nil"/>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11 000 000</w:t>
            </w:r>
          </w:p>
        </w:tc>
        <w:tc>
          <w:tcPr>
            <w:tcW w:w="546" w:type="pct"/>
            <w:tcBorders>
              <w:top w:val="nil"/>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11 000 000</w:t>
            </w:r>
          </w:p>
        </w:tc>
        <w:tc>
          <w:tcPr>
            <w:tcW w:w="546" w:type="pct"/>
            <w:tcBorders>
              <w:top w:val="nil"/>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11 000 000</w:t>
            </w:r>
          </w:p>
        </w:tc>
      </w:tr>
      <w:tr w:rsidR="00465CAC" w:rsidRPr="00F534F3" w:rsidTr="00465CAC">
        <w:trPr>
          <w:trHeight w:val="283"/>
        </w:trPr>
        <w:tc>
          <w:tcPr>
            <w:tcW w:w="1174" w:type="pct"/>
            <w:tcBorders>
              <w:top w:val="nil"/>
              <w:left w:val="single" w:sz="4" w:space="0" w:color="auto"/>
              <w:bottom w:val="single" w:sz="4" w:space="0" w:color="auto"/>
              <w:right w:val="single" w:sz="4" w:space="0" w:color="auto"/>
            </w:tcBorders>
            <w:vAlign w:val="bottom"/>
          </w:tcPr>
          <w:p w:rsidR="00465CAC" w:rsidRPr="00F534F3" w:rsidRDefault="00465CAC" w:rsidP="00465CAC">
            <w:pPr>
              <w:rPr>
                <w:rFonts w:ascii="Times New Roman" w:hAnsi="Times New Roman"/>
                <w:sz w:val="14"/>
                <w:szCs w:val="14"/>
                <w:lang w:eastAsia="sk-SK"/>
              </w:rPr>
            </w:pPr>
            <w:r>
              <w:rPr>
                <w:rFonts w:ascii="Times New Roman" w:hAnsi="Times New Roman"/>
                <w:sz w:val="14"/>
                <w:szCs w:val="14"/>
                <w:lang w:eastAsia="sk-SK"/>
              </w:rPr>
              <w:t>Rezerva na mzdy a poistné</w:t>
            </w:r>
          </w:p>
        </w:tc>
        <w:tc>
          <w:tcPr>
            <w:tcW w:w="547" w:type="pct"/>
            <w:tcBorders>
              <w:top w:val="nil"/>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547" w:type="pct"/>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547" w:type="pct"/>
            <w:tcBorders>
              <w:top w:val="nil"/>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110 645 562</w:t>
            </w:r>
          </w:p>
        </w:tc>
        <w:tc>
          <w:tcPr>
            <w:tcW w:w="546" w:type="pct"/>
            <w:tcBorders>
              <w:top w:val="nil"/>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4 757 414</w:t>
            </w:r>
          </w:p>
        </w:tc>
        <w:tc>
          <w:tcPr>
            <w:tcW w:w="546" w:type="pct"/>
            <w:tcBorders>
              <w:top w:val="nil"/>
              <w:left w:val="single" w:sz="4" w:space="0" w:color="auto"/>
              <w:bottom w:val="single" w:sz="4" w:space="0" w:color="auto"/>
              <w:right w:val="single" w:sz="4" w:space="0" w:color="auto"/>
            </w:tcBorders>
            <w:vAlign w:val="bottom"/>
          </w:tcPr>
          <w:p w:rsidR="00465CAC" w:rsidRPr="00E62784" w:rsidRDefault="00465CAC" w:rsidP="00465CAC">
            <w:pPr>
              <w:jc w:val="right"/>
              <w:rPr>
                <w:rFonts w:ascii="Times New Roman" w:hAnsi="Times New Roman"/>
                <w:sz w:val="14"/>
                <w:szCs w:val="14"/>
                <w:lang w:eastAsia="sk-SK"/>
              </w:rPr>
            </w:pPr>
            <w:r w:rsidRPr="00E62784">
              <w:rPr>
                <w:rFonts w:ascii="Times New Roman" w:hAnsi="Times New Roman"/>
                <w:sz w:val="14"/>
                <w:szCs w:val="14"/>
                <w:lang w:eastAsia="sk-SK"/>
              </w:rPr>
              <w:t>167 770 747</w:t>
            </w:r>
          </w:p>
        </w:tc>
        <w:tc>
          <w:tcPr>
            <w:tcW w:w="546" w:type="pct"/>
            <w:tcBorders>
              <w:top w:val="nil"/>
              <w:left w:val="nil"/>
              <w:bottom w:val="single" w:sz="4" w:space="0" w:color="auto"/>
              <w:right w:val="single" w:sz="4" w:space="0" w:color="auto"/>
            </w:tcBorders>
            <w:noWrap/>
            <w:vAlign w:val="bottom"/>
          </w:tcPr>
          <w:p w:rsidR="00465CAC" w:rsidRPr="00E62784" w:rsidRDefault="00465CAC" w:rsidP="00465CAC">
            <w:pPr>
              <w:jc w:val="right"/>
              <w:rPr>
                <w:rFonts w:ascii="Times New Roman" w:hAnsi="Times New Roman"/>
                <w:sz w:val="14"/>
                <w:szCs w:val="14"/>
                <w:lang w:eastAsia="sk-SK"/>
              </w:rPr>
            </w:pPr>
            <w:r w:rsidRPr="00E62784">
              <w:rPr>
                <w:rFonts w:ascii="Times New Roman" w:hAnsi="Times New Roman"/>
                <w:sz w:val="14"/>
                <w:szCs w:val="14"/>
                <w:lang w:eastAsia="sk-SK"/>
              </w:rPr>
              <w:t>303 272 622</w:t>
            </w:r>
          </w:p>
        </w:tc>
        <w:tc>
          <w:tcPr>
            <w:tcW w:w="546" w:type="pct"/>
            <w:tcBorders>
              <w:top w:val="nil"/>
              <w:left w:val="nil"/>
              <w:bottom w:val="single" w:sz="4" w:space="0" w:color="auto"/>
              <w:right w:val="single" w:sz="4" w:space="0" w:color="auto"/>
            </w:tcBorders>
            <w:vAlign w:val="bottom"/>
          </w:tcPr>
          <w:p w:rsidR="00465CAC" w:rsidRPr="00E62784" w:rsidRDefault="00465CAC" w:rsidP="00465CAC">
            <w:pPr>
              <w:jc w:val="right"/>
              <w:rPr>
                <w:rFonts w:ascii="Times New Roman" w:hAnsi="Times New Roman"/>
                <w:sz w:val="14"/>
                <w:szCs w:val="14"/>
                <w:lang w:eastAsia="sk-SK"/>
              </w:rPr>
            </w:pPr>
            <w:r w:rsidRPr="00E62784">
              <w:rPr>
                <w:rFonts w:ascii="Times New Roman" w:hAnsi="Times New Roman"/>
                <w:sz w:val="14"/>
                <w:szCs w:val="14"/>
                <w:lang w:eastAsia="sk-SK"/>
              </w:rPr>
              <w:t>458 722 285</w:t>
            </w:r>
          </w:p>
        </w:tc>
      </w:tr>
      <w:tr w:rsidR="00465CAC" w:rsidRPr="00F534F3" w:rsidTr="00465CAC">
        <w:trPr>
          <w:trHeight w:val="283"/>
        </w:trPr>
        <w:tc>
          <w:tcPr>
            <w:tcW w:w="1174" w:type="pct"/>
            <w:tcBorders>
              <w:top w:val="nil"/>
              <w:left w:val="single" w:sz="4" w:space="0" w:color="auto"/>
              <w:bottom w:val="single" w:sz="4" w:space="0" w:color="auto"/>
              <w:right w:val="single" w:sz="4" w:space="0" w:color="auto"/>
            </w:tcBorders>
            <w:vAlign w:val="bottom"/>
          </w:tcPr>
          <w:p w:rsidR="00465CAC" w:rsidRDefault="00465CAC" w:rsidP="00465CAC">
            <w:pPr>
              <w:rPr>
                <w:rFonts w:ascii="Times New Roman" w:hAnsi="Times New Roman"/>
                <w:sz w:val="14"/>
                <w:szCs w:val="14"/>
                <w:lang w:eastAsia="sk-SK"/>
              </w:rPr>
            </w:pPr>
            <w:r>
              <w:rPr>
                <w:rFonts w:ascii="Times New Roman" w:hAnsi="Times New Roman"/>
                <w:sz w:val="14"/>
                <w:szCs w:val="14"/>
                <w:lang w:eastAsia="sk-SK"/>
              </w:rPr>
              <w:t>Rezerva na prípravu predsedníctva SR v Rade EÚ</w:t>
            </w:r>
          </w:p>
        </w:tc>
        <w:tc>
          <w:tcPr>
            <w:tcW w:w="547" w:type="pct"/>
            <w:tcBorders>
              <w:top w:val="nil"/>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547" w:type="pct"/>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547" w:type="pct"/>
            <w:tcBorders>
              <w:top w:val="nil"/>
              <w:left w:val="single" w:sz="4" w:space="0" w:color="auto"/>
              <w:bottom w:val="single" w:sz="4" w:space="0" w:color="auto"/>
              <w:right w:val="single" w:sz="4" w:space="0" w:color="auto"/>
            </w:tcBorders>
            <w:vAlign w:val="bottom"/>
          </w:tcPr>
          <w:p w:rsidR="00465CAC"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11 907 000</w:t>
            </w:r>
          </w:p>
        </w:tc>
        <w:tc>
          <w:tcPr>
            <w:tcW w:w="546" w:type="pct"/>
            <w:tcBorders>
              <w:top w:val="nil"/>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7 700 219</w:t>
            </w:r>
          </w:p>
        </w:tc>
        <w:tc>
          <w:tcPr>
            <w:tcW w:w="546" w:type="pct"/>
            <w:tcBorders>
              <w:top w:val="nil"/>
              <w:left w:val="single" w:sz="4" w:space="0" w:color="auto"/>
              <w:bottom w:val="single" w:sz="4" w:space="0" w:color="auto"/>
              <w:right w:val="single" w:sz="4" w:space="0" w:color="auto"/>
            </w:tcBorders>
            <w:vAlign w:val="bottom"/>
          </w:tcPr>
          <w:p w:rsidR="00465CAC"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546" w:type="pct"/>
            <w:tcBorders>
              <w:top w:val="nil"/>
              <w:left w:val="nil"/>
              <w:bottom w:val="single" w:sz="4" w:space="0" w:color="auto"/>
              <w:right w:val="single" w:sz="4" w:space="0" w:color="auto"/>
            </w:tcBorders>
            <w:noWrap/>
            <w:vAlign w:val="bottom"/>
          </w:tcPr>
          <w:p w:rsidR="00465CAC"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546" w:type="pct"/>
            <w:tcBorders>
              <w:top w:val="nil"/>
              <w:left w:val="nil"/>
              <w:bottom w:val="single" w:sz="4" w:space="0" w:color="auto"/>
              <w:right w:val="single" w:sz="4" w:space="0" w:color="auto"/>
            </w:tcBorders>
            <w:vAlign w:val="bottom"/>
          </w:tcPr>
          <w:p w:rsidR="00465CAC"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r>
      <w:tr w:rsidR="00465CAC" w:rsidRPr="00F534F3" w:rsidTr="00465CAC">
        <w:trPr>
          <w:trHeight w:val="283"/>
        </w:trPr>
        <w:tc>
          <w:tcPr>
            <w:tcW w:w="1174" w:type="pct"/>
            <w:tcBorders>
              <w:top w:val="single" w:sz="4" w:space="0" w:color="auto"/>
              <w:left w:val="single" w:sz="4" w:space="0" w:color="auto"/>
              <w:bottom w:val="single" w:sz="4" w:space="0" w:color="auto"/>
              <w:right w:val="single" w:sz="4" w:space="0" w:color="auto"/>
            </w:tcBorders>
            <w:vAlign w:val="bottom"/>
          </w:tcPr>
          <w:p w:rsidR="00465CAC" w:rsidRPr="007E52CF" w:rsidRDefault="00465CAC" w:rsidP="00465CAC">
            <w:pPr>
              <w:rPr>
                <w:rFonts w:ascii="Times New Roman" w:hAnsi="Times New Roman"/>
                <w:sz w:val="14"/>
                <w:szCs w:val="14"/>
                <w:lang w:eastAsia="sk-SK"/>
              </w:rPr>
            </w:pPr>
            <w:r w:rsidRPr="007E52CF">
              <w:rPr>
                <w:rFonts w:ascii="Times New Roman" w:hAnsi="Times New Roman"/>
                <w:sz w:val="14"/>
                <w:szCs w:val="14"/>
                <w:lang w:eastAsia="sk-SK"/>
              </w:rPr>
              <w:t>Rezerva na zhoršený vývoj v zdravotníckych zariadeniach</w:t>
            </w:r>
          </w:p>
        </w:tc>
        <w:tc>
          <w:tcPr>
            <w:tcW w:w="547" w:type="pct"/>
            <w:tcBorders>
              <w:top w:val="single" w:sz="4" w:space="0" w:color="auto"/>
              <w:left w:val="nil"/>
              <w:bottom w:val="single" w:sz="4" w:space="0" w:color="auto"/>
              <w:right w:val="single" w:sz="4" w:space="0" w:color="auto"/>
            </w:tcBorders>
            <w:vAlign w:val="bottom"/>
          </w:tcPr>
          <w:p w:rsidR="00465CAC" w:rsidRPr="007E52CF" w:rsidRDefault="00465CAC" w:rsidP="00465CAC">
            <w:pPr>
              <w:jc w:val="right"/>
              <w:rPr>
                <w:rFonts w:ascii="Times New Roman" w:hAnsi="Times New Roman"/>
                <w:sz w:val="14"/>
                <w:szCs w:val="14"/>
                <w:lang w:eastAsia="sk-SK"/>
              </w:rPr>
            </w:pPr>
            <w:r w:rsidRPr="007E52CF">
              <w:rPr>
                <w:rFonts w:ascii="Times New Roman" w:hAnsi="Times New Roman"/>
                <w:sz w:val="14"/>
                <w:szCs w:val="14"/>
                <w:lang w:eastAsia="sk-SK"/>
              </w:rPr>
              <w:t>0</w:t>
            </w:r>
          </w:p>
        </w:tc>
        <w:tc>
          <w:tcPr>
            <w:tcW w:w="547" w:type="pct"/>
            <w:tcBorders>
              <w:top w:val="single" w:sz="4" w:space="0" w:color="auto"/>
              <w:left w:val="nil"/>
              <w:bottom w:val="single" w:sz="4" w:space="0" w:color="auto"/>
              <w:right w:val="single" w:sz="4" w:space="0" w:color="auto"/>
            </w:tcBorders>
            <w:vAlign w:val="bottom"/>
          </w:tcPr>
          <w:p w:rsidR="00465CAC" w:rsidRPr="007E52CF" w:rsidRDefault="00465CAC" w:rsidP="00465CAC">
            <w:pPr>
              <w:jc w:val="right"/>
              <w:rPr>
                <w:rFonts w:ascii="Times New Roman" w:hAnsi="Times New Roman"/>
                <w:sz w:val="14"/>
                <w:szCs w:val="14"/>
                <w:lang w:eastAsia="sk-SK"/>
              </w:rPr>
            </w:pPr>
            <w:r w:rsidRPr="007E52CF">
              <w:rPr>
                <w:rFonts w:ascii="Times New Roman" w:hAnsi="Times New Roman"/>
                <w:sz w:val="14"/>
                <w:szCs w:val="14"/>
                <w:lang w:eastAsia="sk-SK"/>
              </w:rPr>
              <w:t>0</w:t>
            </w:r>
          </w:p>
        </w:tc>
        <w:tc>
          <w:tcPr>
            <w:tcW w:w="547" w:type="pct"/>
            <w:tcBorders>
              <w:top w:val="single" w:sz="4" w:space="0" w:color="auto"/>
              <w:left w:val="single" w:sz="4" w:space="0" w:color="auto"/>
              <w:bottom w:val="single" w:sz="4" w:space="0" w:color="auto"/>
              <w:right w:val="single" w:sz="4" w:space="0" w:color="auto"/>
            </w:tcBorders>
            <w:vAlign w:val="bottom"/>
          </w:tcPr>
          <w:p w:rsidR="00465CAC" w:rsidRPr="007E52CF" w:rsidRDefault="00465CAC" w:rsidP="00465CAC">
            <w:pPr>
              <w:jc w:val="right"/>
              <w:rPr>
                <w:rFonts w:ascii="Times New Roman" w:hAnsi="Times New Roman"/>
                <w:sz w:val="14"/>
                <w:szCs w:val="14"/>
                <w:lang w:eastAsia="sk-SK"/>
              </w:rPr>
            </w:pPr>
            <w:r w:rsidRPr="007E52CF">
              <w:rPr>
                <w:rFonts w:ascii="Times New Roman" w:hAnsi="Times New Roman"/>
                <w:sz w:val="14"/>
                <w:szCs w:val="14"/>
                <w:lang w:eastAsia="sk-SK"/>
              </w:rPr>
              <w:t>24 257 780</w:t>
            </w:r>
          </w:p>
        </w:tc>
        <w:tc>
          <w:tcPr>
            <w:tcW w:w="546" w:type="pct"/>
            <w:tcBorders>
              <w:top w:val="single" w:sz="4" w:space="0" w:color="auto"/>
              <w:left w:val="single" w:sz="4" w:space="0" w:color="auto"/>
              <w:bottom w:val="single" w:sz="4" w:space="0" w:color="auto"/>
              <w:right w:val="single" w:sz="4" w:space="0" w:color="auto"/>
            </w:tcBorders>
            <w:vAlign w:val="bottom"/>
          </w:tcPr>
          <w:p w:rsidR="00465CAC" w:rsidRPr="007E52CF" w:rsidRDefault="00465CAC" w:rsidP="00465CAC">
            <w:pPr>
              <w:jc w:val="right"/>
              <w:rPr>
                <w:rFonts w:ascii="Times New Roman" w:hAnsi="Times New Roman"/>
                <w:sz w:val="14"/>
                <w:szCs w:val="14"/>
                <w:lang w:eastAsia="sk-SK"/>
              </w:rPr>
            </w:pPr>
            <w:r w:rsidRPr="007E52CF">
              <w:rPr>
                <w:rFonts w:ascii="Times New Roman" w:hAnsi="Times New Roman"/>
                <w:sz w:val="14"/>
                <w:szCs w:val="14"/>
                <w:lang w:eastAsia="sk-SK"/>
              </w:rPr>
              <w:t>0</w:t>
            </w:r>
          </w:p>
        </w:tc>
        <w:tc>
          <w:tcPr>
            <w:tcW w:w="546" w:type="pct"/>
            <w:tcBorders>
              <w:top w:val="single" w:sz="4" w:space="0" w:color="auto"/>
              <w:left w:val="single" w:sz="4" w:space="0" w:color="auto"/>
              <w:bottom w:val="single" w:sz="4" w:space="0" w:color="auto"/>
              <w:right w:val="single" w:sz="4" w:space="0" w:color="auto"/>
            </w:tcBorders>
            <w:vAlign w:val="bottom"/>
          </w:tcPr>
          <w:p w:rsidR="00465CAC" w:rsidRPr="007E52CF"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546" w:type="pct"/>
            <w:tcBorders>
              <w:top w:val="single" w:sz="4" w:space="0" w:color="auto"/>
              <w:left w:val="nil"/>
              <w:bottom w:val="single" w:sz="4" w:space="0" w:color="auto"/>
              <w:right w:val="single" w:sz="4" w:space="0" w:color="auto"/>
            </w:tcBorders>
            <w:noWrap/>
            <w:vAlign w:val="bottom"/>
          </w:tcPr>
          <w:p w:rsidR="00465CAC" w:rsidRPr="007E52CF"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546" w:type="pct"/>
            <w:tcBorders>
              <w:top w:val="single" w:sz="4" w:space="0" w:color="auto"/>
              <w:left w:val="nil"/>
              <w:bottom w:val="single" w:sz="4" w:space="0" w:color="auto"/>
              <w:right w:val="single" w:sz="4" w:space="0" w:color="auto"/>
            </w:tcBorders>
            <w:vAlign w:val="bottom"/>
          </w:tcPr>
          <w:p w:rsidR="00465CAC" w:rsidRPr="007E52CF"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r>
      <w:tr w:rsidR="00465CAC" w:rsidRPr="00F534F3" w:rsidTr="00465CAC">
        <w:trPr>
          <w:trHeight w:val="283"/>
        </w:trPr>
        <w:tc>
          <w:tcPr>
            <w:tcW w:w="1174" w:type="pct"/>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rPr>
                <w:rFonts w:ascii="Times New Roman" w:hAnsi="Times New Roman"/>
                <w:sz w:val="14"/>
                <w:szCs w:val="14"/>
                <w:lang w:eastAsia="sk-SK"/>
              </w:rPr>
            </w:pPr>
            <w:r w:rsidRPr="00F534F3">
              <w:rPr>
                <w:rFonts w:ascii="Times New Roman" w:hAnsi="Times New Roman"/>
                <w:sz w:val="14"/>
                <w:szCs w:val="14"/>
                <w:lang w:eastAsia="sk-SK"/>
              </w:rPr>
              <w:t>Rezerva na významné investície</w:t>
            </w:r>
          </w:p>
        </w:tc>
        <w:tc>
          <w:tcPr>
            <w:tcW w:w="547" w:type="pct"/>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547" w:type="pct"/>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547" w:type="pct"/>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215 152 470</w:t>
            </w:r>
          </w:p>
        </w:tc>
        <w:tc>
          <w:tcPr>
            <w:tcW w:w="546" w:type="pct"/>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88 741 311</w:t>
            </w:r>
          </w:p>
        </w:tc>
        <w:tc>
          <w:tcPr>
            <w:tcW w:w="546" w:type="pct"/>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158 442 677</w:t>
            </w:r>
          </w:p>
        </w:tc>
        <w:tc>
          <w:tcPr>
            <w:tcW w:w="546" w:type="pct"/>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44 781 308</w:t>
            </w:r>
          </w:p>
        </w:tc>
        <w:tc>
          <w:tcPr>
            <w:tcW w:w="546" w:type="pct"/>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45 033 427</w:t>
            </w:r>
          </w:p>
        </w:tc>
      </w:tr>
      <w:tr w:rsidR="00465CAC" w:rsidRPr="00F534F3" w:rsidTr="00465CAC">
        <w:trPr>
          <w:trHeight w:val="283"/>
        </w:trPr>
        <w:tc>
          <w:tcPr>
            <w:tcW w:w="1174" w:type="pct"/>
            <w:tcBorders>
              <w:top w:val="single" w:sz="4" w:space="0" w:color="auto"/>
              <w:left w:val="single" w:sz="4" w:space="0" w:color="auto"/>
              <w:bottom w:val="single" w:sz="4" w:space="0" w:color="auto"/>
              <w:right w:val="single" w:sz="4" w:space="0" w:color="auto"/>
            </w:tcBorders>
            <w:vAlign w:val="bottom"/>
          </w:tcPr>
          <w:p w:rsidR="00465CAC" w:rsidRPr="005027D9" w:rsidRDefault="00465CAC" w:rsidP="00465CAC">
            <w:pPr>
              <w:rPr>
                <w:rFonts w:ascii="Times New Roman" w:hAnsi="Times New Roman"/>
                <w:sz w:val="14"/>
                <w:szCs w:val="14"/>
                <w:lang w:eastAsia="sk-SK"/>
              </w:rPr>
            </w:pPr>
            <w:r w:rsidRPr="005027D9">
              <w:rPr>
                <w:rFonts w:ascii="Times New Roman" w:hAnsi="Times New Roman"/>
                <w:sz w:val="14"/>
                <w:szCs w:val="14"/>
                <w:lang w:eastAsia="sk-SK"/>
              </w:rPr>
              <w:t>Rezerva na rok 2017</w:t>
            </w:r>
          </w:p>
        </w:tc>
        <w:tc>
          <w:tcPr>
            <w:tcW w:w="547" w:type="pct"/>
            <w:tcBorders>
              <w:top w:val="single" w:sz="4" w:space="0" w:color="auto"/>
              <w:left w:val="nil"/>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0</w:t>
            </w:r>
          </w:p>
        </w:tc>
        <w:tc>
          <w:tcPr>
            <w:tcW w:w="547" w:type="pct"/>
            <w:tcBorders>
              <w:top w:val="single" w:sz="4" w:space="0" w:color="auto"/>
              <w:left w:val="nil"/>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0</w:t>
            </w:r>
          </w:p>
        </w:tc>
        <w:tc>
          <w:tcPr>
            <w:tcW w:w="547" w:type="pct"/>
            <w:tcBorders>
              <w:top w:val="single" w:sz="4" w:space="0" w:color="auto"/>
              <w:left w:val="single" w:sz="4" w:space="0" w:color="auto"/>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50 000 000</w:t>
            </w:r>
          </w:p>
        </w:tc>
        <w:tc>
          <w:tcPr>
            <w:tcW w:w="546" w:type="pct"/>
            <w:tcBorders>
              <w:top w:val="single" w:sz="4" w:space="0" w:color="auto"/>
              <w:left w:val="single" w:sz="4" w:space="0" w:color="auto"/>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31 767 688</w:t>
            </w:r>
          </w:p>
        </w:tc>
        <w:tc>
          <w:tcPr>
            <w:tcW w:w="546" w:type="pct"/>
            <w:tcBorders>
              <w:top w:val="single" w:sz="4" w:space="0" w:color="auto"/>
              <w:left w:val="single" w:sz="4" w:space="0" w:color="auto"/>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0</w:t>
            </w:r>
          </w:p>
        </w:tc>
        <w:tc>
          <w:tcPr>
            <w:tcW w:w="546" w:type="pct"/>
            <w:tcBorders>
              <w:top w:val="single" w:sz="4" w:space="0" w:color="auto"/>
              <w:left w:val="nil"/>
              <w:bottom w:val="single" w:sz="4" w:space="0" w:color="auto"/>
              <w:right w:val="single" w:sz="4" w:space="0" w:color="auto"/>
            </w:tcBorders>
            <w:noWrap/>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0</w:t>
            </w:r>
          </w:p>
        </w:tc>
        <w:tc>
          <w:tcPr>
            <w:tcW w:w="546" w:type="pct"/>
            <w:tcBorders>
              <w:top w:val="single" w:sz="4" w:space="0" w:color="auto"/>
              <w:left w:val="nil"/>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0</w:t>
            </w:r>
          </w:p>
        </w:tc>
      </w:tr>
      <w:tr w:rsidR="00465CAC" w:rsidRPr="0006072B" w:rsidTr="00465CAC">
        <w:trPr>
          <w:trHeight w:val="283"/>
        </w:trPr>
        <w:tc>
          <w:tcPr>
            <w:tcW w:w="1174" w:type="pct"/>
            <w:tcBorders>
              <w:top w:val="single" w:sz="4" w:space="0" w:color="auto"/>
              <w:left w:val="single" w:sz="4" w:space="0" w:color="auto"/>
              <w:bottom w:val="single" w:sz="4" w:space="0" w:color="auto"/>
              <w:right w:val="single" w:sz="4" w:space="0" w:color="auto"/>
            </w:tcBorders>
            <w:vAlign w:val="bottom"/>
          </w:tcPr>
          <w:p w:rsidR="00465CAC" w:rsidRPr="005027D9" w:rsidRDefault="00465CAC" w:rsidP="00465CAC">
            <w:pPr>
              <w:rPr>
                <w:rFonts w:ascii="Times New Roman" w:hAnsi="Times New Roman"/>
                <w:sz w:val="14"/>
                <w:szCs w:val="14"/>
                <w:lang w:eastAsia="sk-SK"/>
              </w:rPr>
            </w:pPr>
            <w:r w:rsidRPr="005027D9">
              <w:rPr>
                <w:rFonts w:ascii="Times New Roman" w:hAnsi="Times New Roman"/>
                <w:sz w:val="14"/>
                <w:szCs w:val="14"/>
                <w:lang w:eastAsia="sk-SK"/>
              </w:rPr>
              <w:t>Rezerva na krytie negatívnych vplyvov v sektore zdravotníctva</w:t>
            </w:r>
          </w:p>
        </w:tc>
        <w:tc>
          <w:tcPr>
            <w:tcW w:w="547" w:type="pct"/>
            <w:tcBorders>
              <w:top w:val="single" w:sz="4" w:space="0" w:color="auto"/>
              <w:left w:val="nil"/>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0</w:t>
            </w:r>
          </w:p>
        </w:tc>
        <w:tc>
          <w:tcPr>
            <w:tcW w:w="547" w:type="pct"/>
            <w:tcBorders>
              <w:top w:val="single" w:sz="4" w:space="0" w:color="auto"/>
              <w:left w:val="nil"/>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0</w:t>
            </w:r>
          </w:p>
        </w:tc>
        <w:tc>
          <w:tcPr>
            <w:tcW w:w="547" w:type="pct"/>
            <w:tcBorders>
              <w:top w:val="single" w:sz="4" w:space="0" w:color="auto"/>
              <w:left w:val="single" w:sz="4" w:space="0" w:color="auto"/>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50 000 000</w:t>
            </w:r>
          </w:p>
        </w:tc>
        <w:tc>
          <w:tcPr>
            <w:tcW w:w="546" w:type="pct"/>
            <w:tcBorders>
              <w:top w:val="single" w:sz="4" w:space="0" w:color="auto"/>
              <w:left w:val="single" w:sz="4" w:space="0" w:color="auto"/>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0</w:t>
            </w:r>
          </w:p>
        </w:tc>
        <w:tc>
          <w:tcPr>
            <w:tcW w:w="546" w:type="pct"/>
            <w:tcBorders>
              <w:top w:val="single" w:sz="4" w:space="0" w:color="auto"/>
              <w:left w:val="single" w:sz="4" w:space="0" w:color="auto"/>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0</w:t>
            </w:r>
          </w:p>
        </w:tc>
        <w:tc>
          <w:tcPr>
            <w:tcW w:w="546" w:type="pct"/>
            <w:tcBorders>
              <w:top w:val="single" w:sz="4" w:space="0" w:color="auto"/>
              <w:left w:val="nil"/>
              <w:bottom w:val="single" w:sz="4" w:space="0" w:color="auto"/>
              <w:right w:val="single" w:sz="4" w:space="0" w:color="auto"/>
            </w:tcBorders>
            <w:noWrap/>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0</w:t>
            </w:r>
          </w:p>
        </w:tc>
        <w:tc>
          <w:tcPr>
            <w:tcW w:w="546" w:type="pct"/>
            <w:tcBorders>
              <w:top w:val="single" w:sz="4" w:space="0" w:color="auto"/>
              <w:left w:val="nil"/>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0</w:t>
            </w:r>
          </w:p>
        </w:tc>
      </w:tr>
      <w:tr w:rsidR="00465CAC" w:rsidRPr="005027D9" w:rsidTr="00465CAC">
        <w:trPr>
          <w:trHeight w:val="283"/>
        </w:trPr>
        <w:tc>
          <w:tcPr>
            <w:tcW w:w="1174" w:type="pct"/>
            <w:tcBorders>
              <w:top w:val="single" w:sz="4" w:space="0" w:color="auto"/>
              <w:left w:val="single" w:sz="4" w:space="0" w:color="auto"/>
              <w:bottom w:val="single" w:sz="4" w:space="0" w:color="auto"/>
              <w:right w:val="single" w:sz="4" w:space="0" w:color="auto"/>
            </w:tcBorders>
            <w:vAlign w:val="bottom"/>
          </w:tcPr>
          <w:p w:rsidR="00465CAC" w:rsidRPr="005027D9" w:rsidRDefault="00465CAC" w:rsidP="00465CAC">
            <w:pPr>
              <w:rPr>
                <w:rFonts w:ascii="Times New Roman" w:hAnsi="Times New Roman"/>
                <w:sz w:val="14"/>
                <w:szCs w:val="14"/>
                <w:lang w:eastAsia="sk-SK"/>
              </w:rPr>
            </w:pPr>
            <w:r w:rsidRPr="005027D9">
              <w:rPr>
                <w:rFonts w:ascii="Times New Roman" w:hAnsi="Times New Roman"/>
                <w:sz w:val="14"/>
                <w:szCs w:val="14"/>
                <w:lang w:eastAsia="sk-SK"/>
              </w:rPr>
              <w:t>Rezerva na zhoršenie daňových a nedaňových príjmov</w:t>
            </w:r>
          </w:p>
        </w:tc>
        <w:tc>
          <w:tcPr>
            <w:tcW w:w="547" w:type="pct"/>
            <w:tcBorders>
              <w:top w:val="single" w:sz="4" w:space="0" w:color="auto"/>
              <w:left w:val="nil"/>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0</w:t>
            </w:r>
          </w:p>
        </w:tc>
        <w:tc>
          <w:tcPr>
            <w:tcW w:w="547" w:type="pct"/>
            <w:tcBorders>
              <w:top w:val="single" w:sz="4" w:space="0" w:color="auto"/>
              <w:left w:val="nil"/>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0</w:t>
            </w:r>
          </w:p>
        </w:tc>
        <w:tc>
          <w:tcPr>
            <w:tcW w:w="547" w:type="pct"/>
            <w:tcBorders>
              <w:top w:val="single" w:sz="4" w:space="0" w:color="auto"/>
              <w:left w:val="single" w:sz="4" w:space="0" w:color="auto"/>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0</w:t>
            </w:r>
          </w:p>
        </w:tc>
        <w:tc>
          <w:tcPr>
            <w:tcW w:w="546" w:type="pct"/>
            <w:tcBorders>
              <w:top w:val="single" w:sz="4" w:space="0" w:color="auto"/>
              <w:left w:val="single" w:sz="4" w:space="0" w:color="auto"/>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sidRPr="005027D9">
              <w:rPr>
                <w:rFonts w:ascii="Times New Roman" w:hAnsi="Times New Roman"/>
                <w:sz w:val="14"/>
                <w:szCs w:val="14"/>
                <w:lang w:eastAsia="sk-SK"/>
              </w:rPr>
              <w:t>0</w:t>
            </w:r>
          </w:p>
        </w:tc>
        <w:tc>
          <w:tcPr>
            <w:tcW w:w="546" w:type="pct"/>
            <w:tcBorders>
              <w:top w:val="single" w:sz="4" w:space="0" w:color="auto"/>
              <w:left w:val="single" w:sz="4" w:space="0" w:color="auto"/>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140 000 000</w:t>
            </w:r>
          </w:p>
        </w:tc>
        <w:tc>
          <w:tcPr>
            <w:tcW w:w="546" w:type="pct"/>
            <w:tcBorders>
              <w:top w:val="single" w:sz="4" w:space="0" w:color="auto"/>
              <w:left w:val="nil"/>
              <w:bottom w:val="single" w:sz="4" w:space="0" w:color="auto"/>
              <w:right w:val="single" w:sz="4" w:space="0" w:color="auto"/>
            </w:tcBorders>
            <w:noWrap/>
            <w:vAlign w:val="bottom"/>
          </w:tcPr>
          <w:p w:rsidR="00465CAC" w:rsidRPr="005027D9"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546" w:type="pct"/>
            <w:tcBorders>
              <w:top w:val="single" w:sz="4" w:space="0" w:color="auto"/>
              <w:left w:val="nil"/>
              <w:bottom w:val="single" w:sz="4" w:space="0" w:color="auto"/>
              <w:right w:val="single" w:sz="4" w:space="0" w:color="auto"/>
            </w:tcBorders>
            <w:vAlign w:val="bottom"/>
          </w:tcPr>
          <w:p w:rsidR="00465CAC" w:rsidRPr="005027D9"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r>
      <w:bookmarkEnd w:id="207"/>
      <w:bookmarkEnd w:id="208"/>
    </w:tbl>
    <w:p w:rsidR="00465CAC" w:rsidRDefault="00465CAC" w:rsidP="00465CAC">
      <w:pPr>
        <w:ind w:firstLine="708"/>
        <w:jc w:val="both"/>
        <w:rPr>
          <w:rFonts w:ascii="Times New Roman" w:hAnsi="Times New Roman"/>
        </w:rPr>
      </w:pPr>
    </w:p>
    <w:p w:rsidR="00640C5E" w:rsidRPr="0006072B" w:rsidRDefault="00640C5E" w:rsidP="00640C5E">
      <w:pPr>
        <w:ind w:firstLine="708"/>
        <w:jc w:val="both"/>
        <w:rPr>
          <w:rFonts w:ascii="Times New Roman" w:hAnsi="Times New Roman"/>
        </w:rPr>
      </w:pPr>
      <w:r>
        <w:rPr>
          <w:rFonts w:ascii="Times New Roman" w:hAnsi="Times New Roman"/>
        </w:rPr>
        <w:t xml:space="preserve">Na krytie nepredvídaných a mimoriadnych potrieb súvisiacich </w:t>
      </w:r>
      <w:r w:rsidRPr="0006072B">
        <w:rPr>
          <w:rFonts w:ascii="Times New Roman" w:hAnsi="Times New Roman"/>
        </w:rPr>
        <w:t>so zabezpečením plnenia vnútorných a zahraničných úloh Slovenskej republiky</w:t>
      </w:r>
      <w:r>
        <w:rPr>
          <w:rFonts w:ascii="Times New Roman" w:hAnsi="Times New Roman"/>
        </w:rPr>
        <w:t xml:space="preserve"> je rozpočtovaná</w:t>
      </w:r>
      <w:r w:rsidRPr="00016A33">
        <w:rPr>
          <w:rFonts w:ascii="Times New Roman" w:hAnsi="Times New Roman"/>
        </w:rPr>
        <w:t xml:space="preserve"> </w:t>
      </w:r>
      <w:r w:rsidRPr="0006072B">
        <w:rPr>
          <w:rFonts w:ascii="Times New Roman" w:hAnsi="Times New Roman"/>
        </w:rPr>
        <w:t>rezerva vlády</w:t>
      </w:r>
      <w:r>
        <w:rPr>
          <w:rFonts w:ascii="Times New Roman" w:hAnsi="Times New Roman"/>
        </w:rPr>
        <w:t>. Rezerva vlády sa rozpočtuje v sume 5,0 mil. eur, čo je rovnaká úroveň ako v rokoch 2016 a 2017.</w:t>
      </w:r>
      <w:r w:rsidRPr="0006072B">
        <w:rPr>
          <w:rFonts w:ascii="Times New Roman" w:hAnsi="Times New Roman"/>
        </w:rPr>
        <w:t xml:space="preserve"> O použití prostriedkov rezervy rozhoduje vláda na návrh ministra financií.</w:t>
      </w:r>
    </w:p>
    <w:p w:rsidR="00640C5E" w:rsidRPr="0006072B" w:rsidRDefault="00640C5E" w:rsidP="00640C5E">
      <w:pPr>
        <w:ind w:firstLine="709"/>
        <w:jc w:val="both"/>
        <w:rPr>
          <w:rFonts w:ascii="Times New Roman" w:hAnsi="Times New Roman"/>
        </w:rPr>
      </w:pPr>
    </w:p>
    <w:p w:rsidR="00640C5E" w:rsidRPr="0006072B" w:rsidRDefault="00640C5E" w:rsidP="00640C5E">
      <w:pPr>
        <w:ind w:firstLine="709"/>
        <w:jc w:val="both"/>
        <w:rPr>
          <w:rFonts w:ascii="Times New Roman" w:hAnsi="Times New Roman"/>
        </w:rPr>
      </w:pPr>
      <w:r w:rsidRPr="0006072B">
        <w:rPr>
          <w:rFonts w:ascii="Times New Roman" w:hAnsi="Times New Roman"/>
        </w:rPr>
        <w:t xml:space="preserve">Rozhodujúcu časť rezervy na riešenie krízových situácií tvoria výdavky, ktoré </w:t>
      </w:r>
      <w:r>
        <w:rPr>
          <w:rFonts w:ascii="Times New Roman" w:hAnsi="Times New Roman"/>
        </w:rPr>
        <w:t xml:space="preserve">sa použijú </w:t>
      </w:r>
      <w:r w:rsidRPr="0006072B">
        <w:rPr>
          <w:rFonts w:ascii="Times New Roman" w:hAnsi="Times New Roman"/>
        </w:rPr>
        <w:t xml:space="preserve">v prípade povodní, živelných pohrôm, resp. </w:t>
      </w:r>
      <w:r>
        <w:rPr>
          <w:rFonts w:ascii="Times New Roman" w:hAnsi="Times New Roman"/>
        </w:rPr>
        <w:t>na odškodnenie</w:t>
      </w:r>
      <w:r w:rsidRPr="0006072B">
        <w:rPr>
          <w:rFonts w:ascii="Times New Roman" w:hAnsi="Times New Roman"/>
        </w:rPr>
        <w:t xml:space="preserve"> pri mimoriadnych udalostiach a krízových situáciách. Časť prostriedkov sa vyčleňuje ako rezerva, ktorej tvorba vyplýva zo zákona č. 387/2002 Z. z. o riadení štátu v krízových situáciách mimo času vojny a vojnového stavu.</w:t>
      </w:r>
    </w:p>
    <w:p w:rsidR="00640C5E" w:rsidRPr="0006072B" w:rsidRDefault="00640C5E" w:rsidP="00640C5E">
      <w:pPr>
        <w:ind w:firstLine="709"/>
        <w:jc w:val="both"/>
        <w:rPr>
          <w:rFonts w:ascii="Times New Roman" w:hAnsi="Times New Roman"/>
        </w:rPr>
      </w:pPr>
    </w:p>
    <w:p w:rsidR="00640C5E" w:rsidRPr="0006072B" w:rsidRDefault="00640C5E" w:rsidP="00640C5E">
      <w:pPr>
        <w:jc w:val="both"/>
        <w:rPr>
          <w:rFonts w:ascii="Times New Roman" w:hAnsi="Times New Roman"/>
          <w:iCs/>
        </w:rPr>
      </w:pPr>
      <w:r w:rsidRPr="0006072B">
        <w:rPr>
          <w:rFonts w:ascii="Times New Roman" w:hAnsi="Times New Roman"/>
          <w:b/>
          <w:bCs/>
          <w:iCs/>
        </w:rPr>
        <w:t>Finančné vzťahy súvisiace s rozpočtom EÚ</w:t>
      </w:r>
    </w:p>
    <w:p w:rsidR="00640C5E" w:rsidRPr="0006072B" w:rsidRDefault="00640C5E" w:rsidP="00640C5E">
      <w:pPr>
        <w:jc w:val="both"/>
        <w:rPr>
          <w:rFonts w:ascii="Times New Roman" w:hAnsi="Times New Roman"/>
          <w:sz w:val="16"/>
        </w:rPr>
      </w:pPr>
    </w:p>
    <w:tbl>
      <w:tblPr>
        <w:tblW w:w="5000" w:type="pct"/>
        <w:tblCellMar>
          <w:left w:w="70" w:type="dxa"/>
          <w:right w:w="70" w:type="dxa"/>
        </w:tblCellMar>
        <w:tblLook w:val="04A0" w:firstRow="1" w:lastRow="0" w:firstColumn="1" w:lastColumn="0" w:noHBand="0" w:noVBand="1"/>
      </w:tblPr>
      <w:tblGrid>
        <w:gridCol w:w="2134"/>
        <w:gridCol w:w="989"/>
        <w:gridCol w:w="989"/>
        <w:gridCol w:w="990"/>
        <w:gridCol w:w="990"/>
        <w:gridCol w:w="990"/>
        <w:gridCol w:w="990"/>
        <w:gridCol w:w="990"/>
      </w:tblGrid>
      <w:tr w:rsidR="00640C5E" w:rsidRPr="00F534F3" w:rsidTr="005C0638">
        <w:trPr>
          <w:trHeight w:val="270"/>
        </w:trPr>
        <w:tc>
          <w:tcPr>
            <w:tcW w:w="1178" w:type="pct"/>
            <w:tcBorders>
              <w:top w:val="single" w:sz="4" w:space="0" w:color="auto"/>
              <w:left w:val="single" w:sz="4" w:space="0" w:color="auto"/>
              <w:bottom w:val="single" w:sz="4" w:space="0" w:color="auto"/>
              <w:right w:val="single" w:sz="4" w:space="0" w:color="auto"/>
            </w:tcBorders>
            <w:shd w:val="clear" w:color="auto" w:fill="A6A6A6"/>
            <w:noWrap/>
            <w:vAlign w:val="bottom"/>
          </w:tcPr>
          <w:p w:rsidR="00640C5E" w:rsidRPr="00F534F3" w:rsidRDefault="00640C5E" w:rsidP="005C0638">
            <w:pPr>
              <w:rPr>
                <w:rFonts w:ascii="Times New Roman" w:hAnsi="Times New Roman"/>
                <w:b/>
                <w:bCs/>
                <w:sz w:val="14"/>
                <w:szCs w:val="14"/>
                <w:lang w:eastAsia="sk-SK"/>
              </w:rPr>
            </w:pPr>
            <w:bookmarkStart w:id="209" w:name="OLE_LINK7"/>
            <w:bookmarkStart w:id="210" w:name="OLE_LINK8"/>
            <w:bookmarkStart w:id="211" w:name="OLE_LINK9"/>
            <w:r w:rsidRPr="00F534F3">
              <w:rPr>
                <w:rFonts w:ascii="Times New Roman" w:hAnsi="Times New Roman"/>
                <w:b/>
                <w:bCs/>
                <w:sz w:val="14"/>
                <w:szCs w:val="14"/>
                <w:lang w:eastAsia="sk-SK"/>
              </w:rPr>
              <w:t>v eurách</w:t>
            </w:r>
          </w:p>
        </w:tc>
        <w:tc>
          <w:tcPr>
            <w:tcW w:w="546" w:type="pct"/>
            <w:tcBorders>
              <w:top w:val="single" w:sz="4" w:space="0" w:color="auto"/>
              <w:left w:val="nil"/>
              <w:bottom w:val="single" w:sz="4" w:space="0" w:color="auto"/>
              <w:right w:val="single" w:sz="4" w:space="0" w:color="auto"/>
            </w:tcBorders>
            <w:shd w:val="clear" w:color="auto" w:fill="A6A6A6"/>
            <w:noWrap/>
            <w:vAlign w:val="bottom"/>
          </w:tcPr>
          <w:p w:rsidR="00640C5E" w:rsidRPr="00F534F3" w:rsidRDefault="00640C5E" w:rsidP="005C0638">
            <w:pPr>
              <w:jc w:val="center"/>
              <w:rPr>
                <w:rFonts w:ascii="Times New Roman" w:hAnsi="Times New Roman"/>
                <w:b/>
                <w:sz w:val="14"/>
                <w:szCs w:val="14"/>
                <w:lang w:eastAsia="sk-SK"/>
              </w:rPr>
            </w:pPr>
            <w:r w:rsidRPr="00F534F3">
              <w:rPr>
                <w:rFonts w:ascii="Times New Roman" w:hAnsi="Times New Roman"/>
                <w:b/>
                <w:sz w:val="14"/>
                <w:szCs w:val="14"/>
                <w:lang w:eastAsia="sk-SK"/>
              </w:rPr>
              <w:t>2015 S</w:t>
            </w:r>
          </w:p>
        </w:tc>
        <w:tc>
          <w:tcPr>
            <w:tcW w:w="546" w:type="pct"/>
            <w:tcBorders>
              <w:top w:val="single" w:sz="4" w:space="0" w:color="auto"/>
              <w:left w:val="nil"/>
              <w:bottom w:val="single" w:sz="4" w:space="0" w:color="auto"/>
              <w:right w:val="single" w:sz="4" w:space="0" w:color="auto"/>
            </w:tcBorders>
            <w:shd w:val="clear" w:color="auto" w:fill="A6A6A6"/>
            <w:vAlign w:val="bottom"/>
          </w:tcPr>
          <w:p w:rsidR="00640C5E" w:rsidRPr="00F534F3" w:rsidRDefault="00640C5E" w:rsidP="005C0638">
            <w:pPr>
              <w:jc w:val="center"/>
              <w:rPr>
                <w:rFonts w:ascii="Times New Roman" w:hAnsi="Times New Roman"/>
                <w:b/>
                <w:bCs/>
                <w:sz w:val="14"/>
                <w:szCs w:val="14"/>
                <w:lang w:eastAsia="sk-SK"/>
              </w:rPr>
            </w:pPr>
            <w:r w:rsidRPr="00F534F3">
              <w:rPr>
                <w:rFonts w:ascii="Times New Roman" w:hAnsi="Times New Roman"/>
                <w:b/>
                <w:bCs/>
                <w:sz w:val="14"/>
                <w:szCs w:val="14"/>
                <w:lang w:eastAsia="sk-SK"/>
              </w:rPr>
              <w:t>2016 S</w:t>
            </w:r>
          </w:p>
        </w:tc>
        <w:tc>
          <w:tcPr>
            <w:tcW w:w="546" w:type="pct"/>
            <w:tcBorders>
              <w:top w:val="single" w:sz="4" w:space="0" w:color="auto"/>
              <w:left w:val="single" w:sz="4" w:space="0" w:color="auto"/>
              <w:bottom w:val="single" w:sz="4" w:space="0" w:color="auto"/>
              <w:right w:val="single" w:sz="4" w:space="0" w:color="auto"/>
            </w:tcBorders>
            <w:shd w:val="clear" w:color="auto" w:fill="A6A6A6"/>
            <w:vAlign w:val="bottom"/>
          </w:tcPr>
          <w:p w:rsidR="00640C5E" w:rsidRPr="00F534F3" w:rsidRDefault="00640C5E" w:rsidP="005C0638">
            <w:pPr>
              <w:jc w:val="center"/>
              <w:rPr>
                <w:rFonts w:ascii="Times New Roman" w:hAnsi="Times New Roman"/>
                <w:b/>
                <w:sz w:val="14"/>
                <w:szCs w:val="14"/>
                <w:lang w:eastAsia="sk-SK"/>
              </w:rPr>
            </w:pPr>
            <w:r w:rsidRPr="00F534F3">
              <w:rPr>
                <w:rFonts w:ascii="Times New Roman" w:hAnsi="Times New Roman"/>
                <w:b/>
                <w:sz w:val="14"/>
                <w:szCs w:val="14"/>
                <w:lang w:eastAsia="sk-SK"/>
              </w:rPr>
              <w:t>2017 R</w:t>
            </w:r>
          </w:p>
        </w:tc>
        <w:tc>
          <w:tcPr>
            <w:tcW w:w="546" w:type="pct"/>
            <w:tcBorders>
              <w:top w:val="single" w:sz="4" w:space="0" w:color="auto"/>
              <w:left w:val="single" w:sz="4" w:space="0" w:color="auto"/>
              <w:bottom w:val="single" w:sz="4" w:space="0" w:color="auto"/>
              <w:right w:val="single" w:sz="4" w:space="0" w:color="auto"/>
            </w:tcBorders>
            <w:shd w:val="clear" w:color="auto" w:fill="A6A6A6"/>
            <w:vAlign w:val="bottom"/>
          </w:tcPr>
          <w:p w:rsidR="00640C5E" w:rsidRPr="00F534F3" w:rsidRDefault="00640C5E" w:rsidP="005C0638">
            <w:pPr>
              <w:jc w:val="center"/>
              <w:rPr>
                <w:rFonts w:ascii="Times New Roman" w:hAnsi="Times New Roman"/>
                <w:b/>
                <w:sz w:val="14"/>
                <w:szCs w:val="14"/>
                <w:lang w:eastAsia="sk-SK"/>
              </w:rPr>
            </w:pPr>
            <w:r w:rsidRPr="00F534F3">
              <w:rPr>
                <w:rFonts w:ascii="Times New Roman" w:hAnsi="Times New Roman"/>
                <w:b/>
                <w:sz w:val="14"/>
                <w:szCs w:val="14"/>
                <w:lang w:eastAsia="sk-SK"/>
              </w:rPr>
              <w:t>2017 OS</w:t>
            </w:r>
          </w:p>
        </w:tc>
        <w:tc>
          <w:tcPr>
            <w:tcW w:w="546" w:type="pct"/>
            <w:tcBorders>
              <w:top w:val="single" w:sz="4" w:space="0" w:color="auto"/>
              <w:left w:val="single" w:sz="4" w:space="0" w:color="auto"/>
              <w:bottom w:val="single" w:sz="4" w:space="0" w:color="auto"/>
              <w:right w:val="single" w:sz="4" w:space="0" w:color="auto"/>
            </w:tcBorders>
            <w:shd w:val="clear" w:color="auto" w:fill="A6A6A6"/>
            <w:vAlign w:val="bottom"/>
          </w:tcPr>
          <w:p w:rsidR="00640C5E" w:rsidRPr="00F534F3" w:rsidRDefault="00640C5E" w:rsidP="005C0638">
            <w:pPr>
              <w:jc w:val="center"/>
              <w:rPr>
                <w:rFonts w:ascii="Times New Roman" w:hAnsi="Times New Roman"/>
                <w:b/>
                <w:sz w:val="14"/>
                <w:szCs w:val="14"/>
                <w:lang w:eastAsia="sk-SK"/>
              </w:rPr>
            </w:pPr>
            <w:r>
              <w:rPr>
                <w:rFonts w:ascii="Times New Roman" w:hAnsi="Times New Roman"/>
                <w:b/>
                <w:sz w:val="14"/>
                <w:szCs w:val="14"/>
                <w:lang w:eastAsia="sk-SK"/>
              </w:rPr>
              <w:t>2018 N</w:t>
            </w:r>
          </w:p>
        </w:tc>
        <w:tc>
          <w:tcPr>
            <w:tcW w:w="546" w:type="pct"/>
            <w:tcBorders>
              <w:top w:val="single" w:sz="4" w:space="0" w:color="auto"/>
              <w:left w:val="nil"/>
              <w:bottom w:val="single" w:sz="4" w:space="0" w:color="auto"/>
              <w:right w:val="single" w:sz="4" w:space="0" w:color="auto"/>
            </w:tcBorders>
            <w:shd w:val="clear" w:color="auto" w:fill="A6A6A6"/>
            <w:noWrap/>
            <w:vAlign w:val="bottom"/>
          </w:tcPr>
          <w:p w:rsidR="00640C5E" w:rsidRPr="00F534F3" w:rsidRDefault="00640C5E" w:rsidP="005C0638">
            <w:pPr>
              <w:jc w:val="center"/>
              <w:rPr>
                <w:rFonts w:ascii="Times New Roman" w:hAnsi="Times New Roman"/>
                <w:b/>
                <w:sz w:val="14"/>
                <w:szCs w:val="14"/>
                <w:lang w:eastAsia="sk-SK"/>
              </w:rPr>
            </w:pPr>
            <w:r w:rsidRPr="00F534F3">
              <w:rPr>
                <w:rFonts w:ascii="Times New Roman" w:hAnsi="Times New Roman"/>
                <w:b/>
                <w:sz w:val="14"/>
                <w:szCs w:val="14"/>
                <w:lang w:eastAsia="sk-SK"/>
              </w:rPr>
              <w:t>2019 N</w:t>
            </w:r>
          </w:p>
        </w:tc>
        <w:tc>
          <w:tcPr>
            <w:tcW w:w="546" w:type="pct"/>
            <w:tcBorders>
              <w:top w:val="single" w:sz="4" w:space="0" w:color="auto"/>
              <w:left w:val="nil"/>
              <w:bottom w:val="single" w:sz="4" w:space="0" w:color="auto"/>
              <w:right w:val="single" w:sz="4" w:space="0" w:color="auto"/>
            </w:tcBorders>
            <w:shd w:val="clear" w:color="auto" w:fill="A6A6A6"/>
            <w:vAlign w:val="bottom"/>
          </w:tcPr>
          <w:p w:rsidR="00640C5E" w:rsidRPr="00F534F3" w:rsidRDefault="00640C5E" w:rsidP="005C0638">
            <w:pPr>
              <w:jc w:val="center"/>
              <w:rPr>
                <w:rFonts w:ascii="Times New Roman" w:hAnsi="Times New Roman"/>
                <w:b/>
                <w:sz w:val="14"/>
                <w:szCs w:val="14"/>
                <w:lang w:eastAsia="sk-SK"/>
              </w:rPr>
            </w:pPr>
            <w:r w:rsidRPr="00F534F3">
              <w:rPr>
                <w:rFonts w:ascii="Times New Roman" w:hAnsi="Times New Roman"/>
                <w:b/>
                <w:sz w:val="14"/>
                <w:szCs w:val="14"/>
                <w:lang w:eastAsia="sk-SK"/>
              </w:rPr>
              <w:t>2020 N</w:t>
            </w:r>
          </w:p>
        </w:tc>
      </w:tr>
      <w:tr w:rsidR="00640C5E" w:rsidRPr="00F534F3" w:rsidTr="005C0638">
        <w:trPr>
          <w:trHeight w:val="422"/>
        </w:trPr>
        <w:tc>
          <w:tcPr>
            <w:tcW w:w="1178" w:type="pct"/>
            <w:tcBorders>
              <w:top w:val="single" w:sz="4" w:space="0" w:color="auto"/>
              <w:left w:val="single" w:sz="4" w:space="0" w:color="auto"/>
              <w:bottom w:val="single" w:sz="4" w:space="0" w:color="auto"/>
              <w:right w:val="single" w:sz="4" w:space="0" w:color="auto"/>
            </w:tcBorders>
            <w:shd w:val="clear" w:color="auto" w:fill="BFBFBF"/>
            <w:vAlign w:val="bottom"/>
          </w:tcPr>
          <w:p w:rsidR="00640C5E" w:rsidRPr="00F534F3" w:rsidRDefault="00640C5E" w:rsidP="005C0638">
            <w:pPr>
              <w:rPr>
                <w:rFonts w:ascii="Times New Roman" w:hAnsi="Times New Roman"/>
                <w:b/>
                <w:bCs/>
                <w:sz w:val="14"/>
                <w:szCs w:val="14"/>
                <w:lang w:eastAsia="sk-SK"/>
              </w:rPr>
            </w:pPr>
            <w:r w:rsidRPr="00F534F3">
              <w:rPr>
                <w:rFonts w:ascii="Times New Roman" w:hAnsi="Times New Roman"/>
                <w:b/>
                <w:bCs/>
                <w:sz w:val="14"/>
                <w:szCs w:val="14"/>
                <w:lang w:eastAsia="sk-SK"/>
              </w:rPr>
              <w:t>Finančné vzťahy súvisiace s rozpočtom EÚ</w:t>
            </w:r>
          </w:p>
        </w:tc>
        <w:tc>
          <w:tcPr>
            <w:tcW w:w="546" w:type="pct"/>
            <w:tcBorders>
              <w:top w:val="single" w:sz="4" w:space="0" w:color="auto"/>
              <w:left w:val="nil"/>
              <w:bottom w:val="single" w:sz="4" w:space="0" w:color="auto"/>
              <w:right w:val="single" w:sz="4" w:space="0" w:color="auto"/>
            </w:tcBorders>
            <w:shd w:val="clear" w:color="auto" w:fill="BFBFBF"/>
            <w:vAlign w:val="bottom"/>
          </w:tcPr>
          <w:p w:rsidR="00640C5E" w:rsidRPr="00F534F3" w:rsidRDefault="00640C5E" w:rsidP="005C0638">
            <w:pPr>
              <w:jc w:val="right"/>
              <w:rPr>
                <w:rFonts w:ascii="Times New Roman" w:hAnsi="Times New Roman"/>
                <w:b/>
                <w:bCs/>
                <w:sz w:val="14"/>
                <w:szCs w:val="14"/>
                <w:lang w:eastAsia="sk-SK"/>
              </w:rPr>
            </w:pPr>
            <w:r w:rsidRPr="00F534F3">
              <w:rPr>
                <w:rFonts w:ascii="Times New Roman" w:hAnsi="Times New Roman"/>
                <w:b/>
                <w:bCs/>
                <w:sz w:val="14"/>
                <w:szCs w:val="14"/>
                <w:lang w:eastAsia="sk-SK"/>
              </w:rPr>
              <w:t>656 845 096</w:t>
            </w:r>
          </w:p>
        </w:tc>
        <w:tc>
          <w:tcPr>
            <w:tcW w:w="546" w:type="pct"/>
            <w:tcBorders>
              <w:top w:val="single" w:sz="4" w:space="0" w:color="auto"/>
              <w:left w:val="nil"/>
              <w:bottom w:val="single" w:sz="4" w:space="0" w:color="auto"/>
              <w:right w:val="single" w:sz="4" w:space="0" w:color="auto"/>
            </w:tcBorders>
            <w:shd w:val="clear" w:color="auto" w:fill="BFBFBF"/>
            <w:vAlign w:val="bottom"/>
          </w:tcPr>
          <w:p w:rsidR="00640C5E" w:rsidRPr="00F534F3" w:rsidRDefault="00640C5E" w:rsidP="005C0638">
            <w:pPr>
              <w:jc w:val="right"/>
              <w:rPr>
                <w:rFonts w:ascii="Times New Roman" w:hAnsi="Times New Roman"/>
                <w:b/>
                <w:bCs/>
                <w:sz w:val="14"/>
                <w:szCs w:val="14"/>
                <w:lang w:eastAsia="sk-SK"/>
              </w:rPr>
            </w:pPr>
            <w:r w:rsidRPr="00F534F3">
              <w:rPr>
                <w:rFonts w:ascii="Times New Roman" w:hAnsi="Times New Roman"/>
                <w:b/>
                <w:bCs/>
                <w:sz w:val="14"/>
                <w:szCs w:val="14"/>
                <w:lang w:eastAsia="sk-SK"/>
              </w:rPr>
              <w:t>658 521 541</w:t>
            </w:r>
          </w:p>
        </w:tc>
        <w:tc>
          <w:tcPr>
            <w:tcW w:w="546" w:type="pct"/>
            <w:tcBorders>
              <w:top w:val="single" w:sz="4" w:space="0" w:color="auto"/>
              <w:left w:val="single" w:sz="4" w:space="0" w:color="auto"/>
              <w:bottom w:val="single" w:sz="4" w:space="0" w:color="auto"/>
              <w:right w:val="single" w:sz="4" w:space="0" w:color="auto"/>
            </w:tcBorders>
            <w:shd w:val="clear" w:color="auto" w:fill="BFBFBF"/>
            <w:vAlign w:val="bottom"/>
          </w:tcPr>
          <w:p w:rsidR="00640C5E" w:rsidRPr="00F534F3" w:rsidRDefault="00640C5E" w:rsidP="005C0638">
            <w:pPr>
              <w:jc w:val="right"/>
              <w:rPr>
                <w:rFonts w:ascii="Times New Roman" w:hAnsi="Times New Roman"/>
                <w:b/>
                <w:bCs/>
                <w:sz w:val="14"/>
                <w:szCs w:val="14"/>
                <w:lang w:eastAsia="sk-SK"/>
              </w:rPr>
            </w:pPr>
            <w:r w:rsidRPr="00F534F3">
              <w:rPr>
                <w:rFonts w:ascii="Times New Roman" w:hAnsi="Times New Roman"/>
                <w:b/>
                <w:bCs/>
                <w:sz w:val="14"/>
                <w:szCs w:val="14"/>
                <w:lang w:eastAsia="sk-SK"/>
              </w:rPr>
              <w:t>876 776 824</w:t>
            </w:r>
          </w:p>
        </w:tc>
        <w:tc>
          <w:tcPr>
            <w:tcW w:w="546" w:type="pct"/>
            <w:tcBorders>
              <w:top w:val="single" w:sz="4" w:space="0" w:color="auto"/>
              <w:left w:val="single" w:sz="4" w:space="0" w:color="auto"/>
              <w:bottom w:val="single" w:sz="4" w:space="0" w:color="auto"/>
              <w:right w:val="single" w:sz="4" w:space="0" w:color="auto"/>
            </w:tcBorders>
            <w:shd w:val="clear" w:color="auto" w:fill="BFBFBF"/>
            <w:vAlign w:val="bottom"/>
          </w:tcPr>
          <w:p w:rsidR="00640C5E" w:rsidRPr="00F534F3" w:rsidRDefault="00640C5E" w:rsidP="005C0638">
            <w:pPr>
              <w:jc w:val="right"/>
              <w:rPr>
                <w:rFonts w:ascii="Times New Roman" w:hAnsi="Times New Roman"/>
                <w:b/>
                <w:sz w:val="14"/>
                <w:szCs w:val="14"/>
                <w:lang w:eastAsia="sk-SK"/>
              </w:rPr>
            </w:pPr>
            <w:r>
              <w:rPr>
                <w:rFonts w:ascii="Times New Roman" w:hAnsi="Times New Roman"/>
                <w:b/>
                <w:sz w:val="14"/>
                <w:szCs w:val="14"/>
                <w:lang w:eastAsia="sk-SK"/>
              </w:rPr>
              <w:t>780 644 798</w:t>
            </w:r>
          </w:p>
        </w:tc>
        <w:tc>
          <w:tcPr>
            <w:tcW w:w="546" w:type="pct"/>
            <w:tcBorders>
              <w:top w:val="single" w:sz="4" w:space="0" w:color="auto"/>
              <w:left w:val="single" w:sz="4" w:space="0" w:color="auto"/>
              <w:bottom w:val="single" w:sz="4" w:space="0" w:color="auto"/>
              <w:right w:val="single" w:sz="4" w:space="0" w:color="auto"/>
            </w:tcBorders>
            <w:shd w:val="clear" w:color="auto" w:fill="BFBFBF"/>
            <w:vAlign w:val="bottom"/>
          </w:tcPr>
          <w:p w:rsidR="00640C5E" w:rsidRPr="00F534F3" w:rsidRDefault="00640C5E" w:rsidP="005C0638">
            <w:pPr>
              <w:jc w:val="right"/>
              <w:rPr>
                <w:rFonts w:ascii="Times New Roman" w:hAnsi="Times New Roman"/>
                <w:b/>
                <w:bCs/>
                <w:sz w:val="14"/>
                <w:szCs w:val="14"/>
                <w:lang w:eastAsia="sk-SK"/>
              </w:rPr>
            </w:pPr>
            <w:r>
              <w:rPr>
                <w:rFonts w:ascii="Times New Roman" w:hAnsi="Times New Roman"/>
                <w:b/>
                <w:bCs/>
                <w:sz w:val="14"/>
                <w:szCs w:val="14"/>
                <w:lang w:eastAsia="sk-SK"/>
              </w:rPr>
              <w:t>918 286 386</w:t>
            </w:r>
          </w:p>
        </w:tc>
        <w:tc>
          <w:tcPr>
            <w:tcW w:w="546" w:type="pct"/>
            <w:tcBorders>
              <w:top w:val="single" w:sz="4" w:space="0" w:color="auto"/>
              <w:left w:val="nil"/>
              <w:bottom w:val="single" w:sz="4" w:space="0" w:color="auto"/>
              <w:right w:val="single" w:sz="4" w:space="0" w:color="auto"/>
            </w:tcBorders>
            <w:shd w:val="clear" w:color="auto" w:fill="BFBFBF"/>
            <w:noWrap/>
            <w:vAlign w:val="bottom"/>
          </w:tcPr>
          <w:p w:rsidR="00640C5E" w:rsidRPr="00F534F3" w:rsidRDefault="00640C5E" w:rsidP="005C0638">
            <w:pPr>
              <w:jc w:val="right"/>
              <w:rPr>
                <w:rFonts w:ascii="Times New Roman" w:hAnsi="Times New Roman"/>
                <w:b/>
                <w:bCs/>
                <w:sz w:val="14"/>
                <w:szCs w:val="14"/>
                <w:lang w:eastAsia="sk-SK"/>
              </w:rPr>
            </w:pPr>
            <w:r>
              <w:rPr>
                <w:rFonts w:ascii="Times New Roman" w:hAnsi="Times New Roman"/>
                <w:b/>
                <w:bCs/>
                <w:sz w:val="14"/>
                <w:szCs w:val="14"/>
                <w:lang w:eastAsia="sk-SK"/>
              </w:rPr>
              <w:t>1 041 780 026</w:t>
            </w:r>
          </w:p>
        </w:tc>
        <w:tc>
          <w:tcPr>
            <w:tcW w:w="546" w:type="pct"/>
            <w:tcBorders>
              <w:top w:val="single" w:sz="4" w:space="0" w:color="auto"/>
              <w:left w:val="nil"/>
              <w:bottom w:val="single" w:sz="4" w:space="0" w:color="auto"/>
              <w:right w:val="single" w:sz="4" w:space="0" w:color="auto"/>
            </w:tcBorders>
            <w:shd w:val="clear" w:color="auto" w:fill="BFBFBF"/>
            <w:vAlign w:val="bottom"/>
          </w:tcPr>
          <w:p w:rsidR="00640C5E" w:rsidRPr="00F534F3" w:rsidRDefault="00640C5E" w:rsidP="005C0638">
            <w:pPr>
              <w:jc w:val="right"/>
              <w:rPr>
                <w:rFonts w:ascii="Times New Roman" w:hAnsi="Times New Roman"/>
                <w:b/>
                <w:bCs/>
                <w:sz w:val="14"/>
                <w:szCs w:val="14"/>
                <w:lang w:eastAsia="sk-SK"/>
              </w:rPr>
            </w:pPr>
            <w:r>
              <w:rPr>
                <w:rFonts w:ascii="Times New Roman" w:hAnsi="Times New Roman"/>
                <w:b/>
                <w:bCs/>
                <w:sz w:val="14"/>
                <w:szCs w:val="14"/>
                <w:lang w:eastAsia="sk-SK"/>
              </w:rPr>
              <w:t>1 072 471 182</w:t>
            </w:r>
          </w:p>
        </w:tc>
      </w:tr>
      <w:tr w:rsidR="00640C5E" w:rsidRPr="00F534F3" w:rsidTr="005C0638">
        <w:trPr>
          <w:trHeight w:val="370"/>
        </w:trP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197971" w:rsidRDefault="00640C5E" w:rsidP="005C0638">
            <w:pPr>
              <w:rPr>
                <w:rFonts w:ascii="Times New Roman" w:hAnsi="Times New Roman"/>
                <w:sz w:val="14"/>
                <w:szCs w:val="14"/>
                <w:lang w:eastAsia="sk-SK"/>
              </w:rPr>
            </w:pPr>
            <w:r>
              <w:rPr>
                <w:rFonts w:ascii="Times New Roman" w:hAnsi="Times New Roman"/>
                <w:sz w:val="14"/>
                <w:szCs w:val="14"/>
                <w:lang w:eastAsia="sk-SK"/>
              </w:rPr>
              <w:t>Výdavky na financovanie f</w:t>
            </w:r>
            <w:r w:rsidRPr="00197971">
              <w:rPr>
                <w:rFonts w:ascii="Times New Roman" w:hAnsi="Times New Roman"/>
                <w:sz w:val="14"/>
                <w:szCs w:val="14"/>
                <w:lang w:eastAsia="sk-SK"/>
              </w:rPr>
              <w:t>inančný</w:t>
            </w:r>
            <w:r>
              <w:rPr>
                <w:rFonts w:ascii="Times New Roman" w:hAnsi="Times New Roman"/>
                <w:sz w:val="14"/>
                <w:szCs w:val="14"/>
                <w:lang w:eastAsia="sk-SK"/>
              </w:rPr>
              <w:t>ch</w:t>
            </w:r>
            <w:r w:rsidRPr="00197971">
              <w:rPr>
                <w:rFonts w:ascii="Times New Roman" w:hAnsi="Times New Roman"/>
                <w:sz w:val="14"/>
                <w:szCs w:val="14"/>
                <w:lang w:eastAsia="sk-SK"/>
              </w:rPr>
              <w:t xml:space="preserve"> mechanizm</w:t>
            </w:r>
            <w:r>
              <w:rPr>
                <w:rFonts w:ascii="Times New Roman" w:hAnsi="Times New Roman"/>
                <w:sz w:val="14"/>
                <w:szCs w:val="14"/>
                <w:lang w:eastAsia="sk-SK"/>
              </w:rPr>
              <w:t>ov</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40C5E" w:rsidRPr="00197971" w:rsidRDefault="00640C5E" w:rsidP="005C0638">
            <w:pPr>
              <w:jc w:val="right"/>
              <w:rPr>
                <w:rFonts w:ascii="Times New Roman" w:hAnsi="Times New Roman"/>
                <w:sz w:val="14"/>
                <w:szCs w:val="14"/>
                <w:lang w:eastAsia="sk-SK"/>
              </w:rPr>
            </w:pPr>
            <w:r w:rsidRPr="00197971">
              <w:rPr>
                <w:rFonts w:ascii="Times New Roman" w:hAnsi="Times New Roman"/>
                <w:sz w:val="14"/>
                <w:szCs w:val="14"/>
                <w:lang w:eastAsia="sk-SK"/>
              </w:rPr>
              <w:t>3 765 308</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40C5E" w:rsidRPr="00197971" w:rsidRDefault="00640C5E" w:rsidP="005C0638">
            <w:pPr>
              <w:jc w:val="right"/>
              <w:rPr>
                <w:rFonts w:ascii="Times New Roman" w:hAnsi="Times New Roman"/>
                <w:sz w:val="14"/>
                <w:szCs w:val="14"/>
                <w:lang w:eastAsia="sk-SK"/>
              </w:rPr>
            </w:pPr>
            <w:r>
              <w:rPr>
                <w:rFonts w:ascii="Times New Roman" w:hAnsi="Times New Roman"/>
                <w:sz w:val="14"/>
                <w:szCs w:val="14"/>
                <w:lang w:eastAsia="sk-SK"/>
              </w:rPr>
              <w:t>2</w:t>
            </w:r>
            <w:r w:rsidRPr="00197971">
              <w:rPr>
                <w:rFonts w:ascii="Times New Roman" w:hAnsi="Times New Roman"/>
                <w:sz w:val="14"/>
                <w:szCs w:val="14"/>
                <w:lang w:eastAsia="sk-SK"/>
              </w:rPr>
              <w:t xml:space="preserve"> </w:t>
            </w:r>
            <w:r>
              <w:rPr>
                <w:rFonts w:ascii="Times New Roman" w:hAnsi="Times New Roman"/>
                <w:sz w:val="14"/>
                <w:szCs w:val="14"/>
                <w:lang w:eastAsia="sk-SK"/>
              </w:rPr>
              <w:t>0</w:t>
            </w:r>
            <w:r w:rsidRPr="00197971">
              <w:rPr>
                <w:rFonts w:ascii="Times New Roman" w:hAnsi="Times New Roman"/>
                <w:sz w:val="14"/>
                <w:szCs w:val="14"/>
                <w:lang w:eastAsia="sk-SK"/>
              </w:rPr>
              <w:t>51 601</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197971" w:rsidRDefault="00640C5E" w:rsidP="005C0638">
            <w:pPr>
              <w:jc w:val="right"/>
              <w:rPr>
                <w:rFonts w:ascii="Times New Roman" w:hAnsi="Times New Roman"/>
                <w:sz w:val="14"/>
                <w:szCs w:val="14"/>
                <w:lang w:eastAsia="sk-SK"/>
              </w:rPr>
            </w:pPr>
            <w:r w:rsidRPr="00197971">
              <w:rPr>
                <w:rFonts w:ascii="Times New Roman" w:hAnsi="Times New Roman"/>
                <w:sz w:val="14"/>
                <w:szCs w:val="14"/>
                <w:lang w:eastAsia="sk-SK"/>
              </w:rPr>
              <w:t>1</w:t>
            </w:r>
            <w:r>
              <w:rPr>
                <w:rFonts w:ascii="Times New Roman" w:hAnsi="Times New Roman"/>
                <w:sz w:val="14"/>
                <w:szCs w:val="14"/>
                <w:lang w:eastAsia="sk-SK"/>
              </w:rPr>
              <w:t> 5</w:t>
            </w:r>
            <w:r w:rsidRPr="00197971">
              <w:rPr>
                <w:rFonts w:ascii="Times New Roman" w:hAnsi="Times New Roman"/>
                <w:sz w:val="14"/>
                <w:szCs w:val="14"/>
                <w:lang w:eastAsia="sk-SK"/>
              </w:rPr>
              <w:t>58 824</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197971" w:rsidRDefault="00640C5E" w:rsidP="005C0638">
            <w:pPr>
              <w:jc w:val="right"/>
              <w:rPr>
                <w:rFonts w:ascii="Times New Roman" w:hAnsi="Times New Roman"/>
                <w:sz w:val="14"/>
                <w:szCs w:val="14"/>
                <w:lang w:eastAsia="sk-SK"/>
              </w:rPr>
            </w:pPr>
            <w:r>
              <w:rPr>
                <w:rFonts w:ascii="Times New Roman" w:hAnsi="Times New Roman"/>
                <w:sz w:val="14"/>
                <w:szCs w:val="14"/>
                <w:lang w:eastAsia="sk-SK"/>
              </w:rPr>
              <w:t>1 558 824</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197971" w:rsidRDefault="00640C5E" w:rsidP="005C0638">
            <w:pPr>
              <w:jc w:val="right"/>
              <w:rPr>
                <w:rFonts w:ascii="Times New Roman" w:hAnsi="Times New Roman"/>
                <w:sz w:val="14"/>
                <w:szCs w:val="14"/>
                <w:lang w:eastAsia="sk-SK"/>
              </w:rPr>
            </w:pPr>
            <w:r w:rsidRPr="00197971">
              <w:rPr>
                <w:rFonts w:ascii="Times New Roman" w:hAnsi="Times New Roman"/>
                <w:sz w:val="14"/>
                <w:szCs w:val="14"/>
                <w:lang w:eastAsia="sk-SK"/>
              </w:rPr>
              <w:t>2 317 369</w:t>
            </w:r>
          </w:p>
        </w:tc>
        <w:tc>
          <w:tcPr>
            <w:tcW w:w="546" w:type="pct"/>
            <w:tcBorders>
              <w:top w:val="single" w:sz="4" w:space="0" w:color="auto"/>
              <w:left w:val="nil"/>
              <w:bottom w:val="single" w:sz="4" w:space="0" w:color="auto"/>
              <w:right w:val="single" w:sz="4" w:space="0" w:color="auto"/>
            </w:tcBorders>
            <w:shd w:val="clear" w:color="auto" w:fill="FFFFFF" w:themeFill="background1"/>
            <w:noWrap/>
            <w:vAlign w:val="bottom"/>
          </w:tcPr>
          <w:p w:rsidR="00640C5E" w:rsidRPr="00197971" w:rsidRDefault="00640C5E" w:rsidP="005C0638">
            <w:pPr>
              <w:jc w:val="right"/>
              <w:rPr>
                <w:rFonts w:ascii="Times New Roman" w:hAnsi="Times New Roman"/>
                <w:sz w:val="14"/>
                <w:szCs w:val="14"/>
                <w:lang w:eastAsia="sk-SK"/>
              </w:rPr>
            </w:pPr>
            <w:r w:rsidRPr="00197971">
              <w:rPr>
                <w:rFonts w:ascii="Times New Roman" w:hAnsi="Times New Roman"/>
                <w:sz w:val="14"/>
                <w:szCs w:val="14"/>
                <w:lang w:eastAsia="sk-SK"/>
              </w:rPr>
              <w:t>3 082 026</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40C5E" w:rsidRPr="00197971" w:rsidRDefault="00640C5E" w:rsidP="005C0638">
            <w:pPr>
              <w:jc w:val="right"/>
              <w:rPr>
                <w:rFonts w:ascii="Times New Roman" w:hAnsi="Times New Roman"/>
                <w:sz w:val="14"/>
                <w:szCs w:val="14"/>
                <w:lang w:eastAsia="sk-SK"/>
              </w:rPr>
            </w:pPr>
            <w:r w:rsidRPr="00197971">
              <w:rPr>
                <w:rFonts w:ascii="Times New Roman" w:hAnsi="Times New Roman"/>
                <w:sz w:val="14"/>
                <w:szCs w:val="14"/>
                <w:lang w:eastAsia="sk-SK"/>
              </w:rPr>
              <w:t>3 851 182</w:t>
            </w:r>
          </w:p>
        </w:tc>
      </w:tr>
      <w:tr w:rsidR="00640C5E" w:rsidRPr="00F534F3" w:rsidTr="005C0638">
        <w:trPr>
          <w:trHeight w:val="340"/>
        </w:trP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F534F3" w:rsidRDefault="00640C5E" w:rsidP="005C0638">
            <w:pPr>
              <w:rPr>
                <w:rFonts w:ascii="Times New Roman" w:hAnsi="Times New Roman"/>
                <w:sz w:val="14"/>
                <w:szCs w:val="14"/>
                <w:lang w:eastAsia="sk-SK"/>
              </w:rPr>
            </w:pPr>
            <w:r w:rsidRPr="00F534F3">
              <w:rPr>
                <w:rFonts w:ascii="Times New Roman" w:hAnsi="Times New Roman"/>
                <w:sz w:val="14"/>
                <w:szCs w:val="14"/>
                <w:lang w:eastAsia="sk-SK"/>
              </w:rPr>
              <w:t>Odvody do všeobecného rozpočtu EÚ</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599 457 838</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634 795 000</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673 044 000</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661 147 000</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768 122 000</w:t>
            </w:r>
          </w:p>
        </w:tc>
        <w:tc>
          <w:tcPr>
            <w:tcW w:w="546" w:type="pct"/>
            <w:tcBorders>
              <w:top w:val="single" w:sz="4" w:space="0" w:color="auto"/>
              <w:left w:val="nil"/>
              <w:bottom w:val="single" w:sz="4" w:space="0" w:color="auto"/>
              <w:right w:val="single" w:sz="4" w:space="0" w:color="auto"/>
            </w:tcBorders>
            <w:shd w:val="clear" w:color="auto" w:fill="FFFFFF" w:themeFill="background1"/>
            <w:noWrap/>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845 140 000</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875 062 000</w:t>
            </w:r>
          </w:p>
        </w:tc>
      </w:tr>
      <w:tr w:rsidR="00640C5E" w:rsidRPr="00F534F3" w:rsidTr="005C0638">
        <w:trPr>
          <w:trHeight w:val="340"/>
        </w:trP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F534F3" w:rsidRDefault="00640C5E" w:rsidP="005C0638">
            <w:pPr>
              <w:rPr>
                <w:rFonts w:ascii="Times New Roman" w:hAnsi="Times New Roman"/>
                <w:sz w:val="14"/>
                <w:szCs w:val="14"/>
                <w:lang w:eastAsia="sk-SK"/>
              </w:rPr>
            </w:pPr>
            <w:r w:rsidRPr="00F534F3">
              <w:rPr>
                <w:rFonts w:ascii="Times New Roman" w:hAnsi="Times New Roman"/>
                <w:sz w:val="14"/>
                <w:szCs w:val="14"/>
                <w:lang w:eastAsia="sk-SK"/>
              </w:rPr>
              <w:t>Príspevky SR do  Európskeho rozvojového fondu</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7 140 000</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10 505 456</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12 604 000</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12 604 000</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17 641 000</w:t>
            </w:r>
          </w:p>
        </w:tc>
        <w:tc>
          <w:tcPr>
            <w:tcW w:w="546" w:type="pct"/>
            <w:tcBorders>
              <w:top w:val="single" w:sz="4" w:space="0" w:color="auto"/>
              <w:left w:val="nil"/>
              <w:bottom w:val="single" w:sz="4" w:space="0" w:color="auto"/>
              <w:right w:val="single" w:sz="4" w:space="0" w:color="auto"/>
            </w:tcBorders>
            <w:shd w:val="clear" w:color="auto" w:fill="FFFFFF" w:themeFill="background1"/>
            <w:noWrap/>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17 558 000</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17 558 000</w:t>
            </w:r>
          </w:p>
        </w:tc>
      </w:tr>
      <w:tr w:rsidR="00640C5E" w:rsidRPr="00F534F3" w:rsidTr="005C0638">
        <w:trPr>
          <w:trHeight w:val="340"/>
        </w:trP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F534F3" w:rsidRDefault="00640C5E" w:rsidP="000F14D0">
            <w:pPr>
              <w:rPr>
                <w:rFonts w:ascii="Times New Roman" w:hAnsi="Times New Roman"/>
                <w:sz w:val="14"/>
                <w:szCs w:val="14"/>
                <w:lang w:eastAsia="sk-SK"/>
              </w:rPr>
            </w:pPr>
            <w:r w:rsidRPr="00F534F3">
              <w:rPr>
                <w:rFonts w:ascii="Times New Roman" w:hAnsi="Times New Roman"/>
                <w:sz w:val="14"/>
                <w:szCs w:val="14"/>
                <w:lang w:eastAsia="sk-SK"/>
              </w:rPr>
              <w:t>Rezerva na prostriedky Európskej únie a odvody Európskej únii</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1 809 460</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11 109 500</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189 570 000</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105 334 974</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130 206 017</w:t>
            </w:r>
          </w:p>
        </w:tc>
        <w:tc>
          <w:tcPr>
            <w:tcW w:w="546" w:type="pct"/>
            <w:tcBorders>
              <w:top w:val="single" w:sz="4" w:space="0" w:color="auto"/>
              <w:left w:val="nil"/>
              <w:bottom w:val="single" w:sz="4" w:space="0" w:color="auto"/>
              <w:right w:val="single" w:sz="4" w:space="0" w:color="auto"/>
            </w:tcBorders>
            <w:shd w:val="clear" w:color="auto" w:fill="FFFFFF" w:themeFill="background1"/>
            <w:noWrap/>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176 000 000</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176 000 000</w:t>
            </w:r>
          </w:p>
        </w:tc>
      </w:tr>
      <w:tr w:rsidR="00640C5E" w:rsidRPr="00F534F3" w:rsidTr="005C0638">
        <w:trPr>
          <w:trHeight w:val="340"/>
        </w:trPr>
        <w:tc>
          <w:tcPr>
            <w:tcW w:w="1178" w:type="pct"/>
            <w:tcBorders>
              <w:top w:val="single" w:sz="4" w:space="0" w:color="auto"/>
              <w:left w:val="single" w:sz="4" w:space="0" w:color="auto"/>
              <w:bottom w:val="single" w:sz="4" w:space="0" w:color="auto"/>
              <w:right w:val="single" w:sz="4" w:space="0" w:color="auto"/>
            </w:tcBorders>
            <w:vAlign w:val="bottom"/>
          </w:tcPr>
          <w:p w:rsidR="00640C5E" w:rsidRPr="00F534F3" w:rsidRDefault="00640C5E" w:rsidP="005C0638">
            <w:pPr>
              <w:rPr>
                <w:rFonts w:ascii="Times New Roman" w:hAnsi="Times New Roman"/>
                <w:sz w:val="14"/>
                <w:szCs w:val="14"/>
                <w:lang w:eastAsia="sk-SK"/>
              </w:rPr>
            </w:pPr>
            <w:r w:rsidRPr="00F534F3">
              <w:rPr>
                <w:rFonts w:ascii="Times New Roman" w:hAnsi="Times New Roman"/>
                <w:sz w:val="14"/>
                <w:szCs w:val="14"/>
                <w:lang w:eastAsia="sk-SK"/>
              </w:rPr>
              <w:t xml:space="preserve">Výdavky na finančné opravy a zrušenia záväzkov EK </w:t>
            </w:r>
          </w:p>
        </w:tc>
        <w:tc>
          <w:tcPr>
            <w:tcW w:w="546" w:type="pct"/>
            <w:tcBorders>
              <w:top w:val="single" w:sz="4" w:space="0" w:color="auto"/>
              <w:left w:val="nil"/>
              <w:bottom w:val="single" w:sz="4" w:space="0" w:color="auto"/>
              <w:right w:val="single" w:sz="4" w:space="0" w:color="auto"/>
            </w:tcBorders>
            <w:shd w:val="clear" w:color="auto" w:fill="auto"/>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44 672 490</w:t>
            </w:r>
          </w:p>
        </w:tc>
        <w:tc>
          <w:tcPr>
            <w:tcW w:w="546" w:type="pct"/>
            <w:tcBorders>
              <w:top w:val="single" w:sz="4" w:space="0" w:color="auto"/>
              <w:left w:val="nil"/>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59 433</w:t>
            </w:r>
          </w:p>
        </w:tc>
        <w:tc>
          <w:tcPr>
            <w:tcW w:w="546" w:type="pct"/>
            <w:tcBorders>
              <w:top w:val="single" w:sz="4" w:space="0" w:color="auto"/>
              <w:left w:val="single" w:sz="4" w:space="0" w:color="auto"/>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546" w:type="pct"/>
            <w:tcBorders>
              <w:top w:val="single" w:sz="4" w:space="0" w:color="auto"/>
              <w:left w:val="single" w:sz="4" w:space="0" w:color="auto"/>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0</w:t>
            </w:r>
          </w:p>
        </w:tc>
        <w:tc>
          <w:tcPr>
            <w:tcW w:w="546" w:type="pct"/>
            <w:tcBorders>
              <w:top w:val="single" w:sz="4" w:space="0" w:color="auto"/>
              <w:left w:val="single" w:sz="4" w:space="0" w:color="auto"/>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546" w:type="pct"/>
            <w:tcBorders>
              <w:top w:val="single" w:sz="4" w:space="0" w:color="auto"/>
              <w:left w:val="nil"/>
              <w:bottom w:val="single" w:sz="4" w:space="0" w:color="auto"/>
              <w:right w:val="single" w:sz="4" w:space="0" w:color="auto"/>
            </w:tcBorders>
            <w:noWrap/>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546" w:type="pct"/>
            <w:tcBorders>
              <w:top w:val="single" w:sz="4" w:space="0" w:color="auto"/>
              <w:left w:val="nil"/>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0</w:t>
            </w:r>
          </w:p>
        </w:tc>
      </w:tr>
      <w:bookmarkEnd w:id="209"/>
      <w:bookmarkEnd w:id="210"/>
      <w:bookmarkEnd w:id="211"/>
    </w:tbl>
    <w:p w:rsidR="00640C5E" w:rsidRPr="0006072B" w:rsidRDefault="00640C5E" w:rsidP="00640C5E">
      <w:pPr>
        <w:jc w:val="both"/>
        <w:rPr>
          <w:rFonts w:ascii="Times New Roman" w:hAnsi="Times New Roman"/>
          <w:sz w:val="18"/>
          <w:szCs w:val="18"/>
        </w:rPr>
      </w:pPr>
    </w:p>
    <w:p w:rsidR="00640C5E" w:rsidRDefault="00640C5E" w:rsidP="00640C5E">
      <w:pPr>
        <w:ind w:firstLine="709"/>
        <w:jc w:val="both"/>
        <w:rPr>
          <w:rFonts w:ascii="Times New Roman" w:hAnsi="Times New Roman"/>
          <w:bCs/>
        </w:rPr>
      </w:pPr>
      <w:r>
        <w:rPr>
          <w:rFonts w:ascii="Times New Roman" w:hAnsi="Times New Roman"/>
          <w:bCs/>
        </w:rPr>
        <w:t>Výdavky na financovanie finančných mechanizmov na roky 2018 až 2020 zaradené v tejto skupine predstavujú zdroje určené na financovanie finančného mechanizmu EHP a Nórskeho finančného mechanizmu. Výdavky na spolufinancovanie týchto nástrojov sa rozpočtujú na rok 2018 v sume 2,3 mil. eur.</w:t>
      </w:r>
    </w:p>
    <w:p w:rsidR="00640C5E" w:rsidRDefault="00640C5E" w:rsidP="00640C5E">
      <w:pPr>
        <w:jc w:val="both"/>
        <w:rPr>
          <w:rFonts w:ascii="Times New Roman" w:hAnsi="Times New Roman"/>
          <w:bCs/>
        </w:rPr>
      </w:pPr>
    </w:p>
    <w:p w:rsidR="00640C5E" w:rsidRDefault="00640C5E" w:rsidP="00640C5E">
      <w:pPr>
        <w:ind w:firstLine="709"/>
        <w:jc w:val="both"/>
        <w:rPr>
          <w:rFonts w:ascii="Times New Roman" w:hAnsi="Times New Roman"/>
          <w:bCs/>
        </w:rPr>
      </w:pPr>
      <w:r>
        <w:rPr>
          <w:rFonts w:ascii="Times New Roman" w:hAnsi="Times New Roman"/>
          <w:bCs/>
        </w:rPr>
        <w:t xml:space="preserve">Pri výpočte predpokladanej výšky odvodov SR do všeobecného rozpočtu EÚ na roky 2018 až 2020 zohľadnilo Ministerstvo financií SR najmä závery zasadnutia Poradného výboru pre vlastné zdroje z mája 2017, viacročný finančný rámec EÚ na roky 2014 až 2020, ako aj strednodobú prognózu Európskej komisie pre vývoj platieb rozpočtu EÚ na obdobie </w:t>
      </w:r>
      <w:r>
        <w:rPr>
          <w:rFonts w:ascii="Times New Roman" w:hAnsi="Times New Roman"/>
          <w:bCs/>
        </w:rPr>
        <w:lastRenderedPageBreak/>
        <w:t xml:space="preserve">do roku 2020. Odhad odvodov SR do všeobecného rozpočtu EÚ je vypracovaný podľa platnej legislatívy pre vlastné zdroje EÚ. </w:t>
      </w:r>
    </w:p>
    <w:p w:rsidR="00640C5E" w:rsidRDefault="00640C5E" w:rsidP="00640C5E">
      <w:pPr>
        <w:ind w:firstLine="709"/>
        <w:jc w:val="both"/>
        <w:rPr>
          <w:rFonts w:ascii="Times New Roman" w:hAnsi="Times New Roman"/>
          <w:bCs/>
        </w:rPr>
      </w:pPr>
    </w:p>
    <w:p w:rsidR="00640C5E" w:rsidRDefault="00640C5E" w:rsidP="00640C5E">
      <w:pPr>
        <w:ind w:firstLine="709"/>
        <w:jc w:val="both"/>
        <w:rPr>
          <w:rFonts w:ascii="Times New Roman" w:hAnsi="Times New Roman"/>
          <w:bCs/>
        </w:rPr>
      </w:pPr>
      <w:r w:rsidRPr="00975100">
        <w:rPr>
          <w:rFonts w:ascii="Times New Roman" w:hAnsi="Times New Roman"/>
          <w:bCs/>
        </w:rPr>
        <w:t xml:space="preserve">Odhad príspevkov SR do Európskeho rozvojového fondu </w:t>
      </w:r>
      <w:r>
        <w:rPr>
          <w:rFonts w:ascii="Times New Roman" w:hAnsi="Times New Roman"/>
          <w:bCs/>
        </w:rPr>
        <w:t>na rok 2018</w:t>
      </w:r>
      <w:r w:rsidRPr="00975100">
        <w:rPr>
          <w:rFonts w:ascii="Times New Roman" w:hAnsi="Times New Roman"/>
          <w:bCs/>
        </w:rPr>
        <w:t xml:space="preserve"> je vypracovaný na základe aktuálnej legislatívy a informácie Európskej komisie o budúcich príspevkoch</w:t>
      </w:r>
      <w:r>
        <w:rPr>
          <w:rFonts w:ascii="Times New Roman" w:hAnsi="Times New Roman"/>
          <w:bCs/>
        </w:rPr>
        <w:t xml:space="preserve"> do fondu</w:t>
      </w:r>
      <w:r w:rsidRPr="00975100">
        <w:rPr>
          <w:rFonts w:ascii="Times New Roman" w:hAnsi="Times New Roman"/>
          <w:bCs/>
        </w:rPr>
        <w:t>.</w:t>
      </w:r>
    </w:p>
    <w:p w:rsidR="00640C5E" w:rsidRDefault="00640C5E" w:rsidP="00640C5E">
      <w:pPr>
        <w:ind w:firstLine="709"/>
        <w:jc w:val="both"/>
        <w:rPr>
          <w:rFonts w:ascii="Times New Roman" w:hAnsi="Times New Roman"/>
          <w:bCs/>
        </w:rPr>
      </w:pPr>
    </w:p>
    <w:p w:rsidR="00640C5E" w:rsidRPr="00E34DF0" w:rsidRDefault="00640C5E" w:rsidP="00640C5E">
      <w:pPr>
        <w:ind w:firstLine="709"/>
        <w:jc w:val="both"/>
        <w:rPr>
          <w:rFonts w:ascii="Times New Roman" w:hAnsi="Times New Roman"/>
          <w:bCs/>
        </w:rPr>
      </w:pPr>
      <w:r>
        <w:rPr>
          <w:rFonts w:ascii="Times New Roman" w:hAnsi="Times New Roman"/>
          <w:bCs/>
        </w:rPr>
        <w:t>Štruktúra rezervy na prostriedky EÚ a odvody EÚ je nasledovná</w:t>
      </w:r>
      <w:r w:rsidR="00901C6C">
        <w:rPr>
          <w:rFonts w:ascii="Times New Roman" w:hAnsi="Times New Roman"/>
          <w:bCs/>
        </w:rPr>
        <w:t>.</w:t>
      </w:r>
      <w:r>
        <w:rPr>
          <w:rFonts w:ascii="Times New Roman" w:hAnsi="Times New Roman"/>
          <w:bCs/>
        </w:rPr>
        <w:t xml:space="preserve"> </w:t>
      </w:r>
    </w:p>
    <w:p w:rsidR="00640C5E" w:rsidRPr="00E34DF0" w:rsidRDefault="00640C5E" w:rsidP="00640C5E">
      <w:pPr>
        <w:ind w:firstLine="709"/>
        <w:jc w:val="both"/>
        <w:rPr>
          <w:rFonts w:ascii="Times New Roman" w:hAnsi="Times New Roman"/>
          <w:bCs/>
        </w:rPr>
      </w:pPr>
    </w:p>
    <w:tbl>
      <w:tblPr>
        <w:tblW w:w="9076" w:type="dxa"/>
        <w:tblInd w:w="-5" w:type="dxa"/>
        <w:tblLayout w:type="fixed"/>
        <w:tblCellMar>
          <w:left w:w="70" w:type="dxa"/>
          <w:right w:w="70" w:type="dxa"/>
        </w:tblCellMar>
        <w:tblLook w:val="04A0" w:firstRow="1" w:lastRow="0" w:firstColumn="1" w:lastColumn="0" w:noHBand="0" w:noVBand="1"/>
      </w:tblPr>
      <w:tblGrid>
        <w:gridCol w:w="2132"/>
        <w:gridCol w:w="992"/>
        <w:gridCol w:w="992"/>
        <w:gridCol w:w="992"/>
        <w:gridCol w:w="992"/>
        <w:gridCol w:w="992"/>
        <w:gridCol w:w="992"/>
        <w:gridCol w:w="992"/>
      </w:tblGrid>
      <w:tr w:rsidR="00640C5E" w:rsidRPr="00F534F3" w:rsidTr="005C0638">
        <w:trPr>
          <w:trHeight w:val="279"/>
        </w:trPr>
        <w:tc>
          <w:tcPr>
            <w:tcW w:w="2132"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640C5E" w:rsidRPr="00F534F3" w:rsidRDefault="00640C5E" w:rsidP="005C0638">
            <w:pPr>
              <w:rPr>
                <w:rFonts w:ascii="Times New Roman" w:hAnsi="Times New Roman"/>
                <w:b/>
                <w:bCs/>
                <w:sz w:val="14"/>
                <w:szCs w:val="14"/>
                <w:lang w:eastAsia="sk-SK"/>
              </w:rPr>
            </w:pPr>
            <w:bookmarkStart w:id="212" w:name="OLE_LINK10"/>
            <w:r w:rsidRPr="00F534F3">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noWrap/>
            <w:vAlign w:val="bottom"/>
          </w:tcPr>
          <w:p w:rsidR="00640C5E" w:rsidRPr="00F534F3" w:rsidRDefault="00640C5E" w:rsidP="005C0638">
            <w:pPr>
              <w:jc w:val="center"/>
              <w:rPr>
                <w:rFonts w:ascii="Times New Roman" w:hAnsi="Times New Roman"/>
                <w:b/>
                <w:sz w:val="14"/>
                <w:szCs w:val="14"/>
                <w:lang w:eastAsia="sk-SK"/>
              </w:rPr>
            </w:pPr>
            <w:r w:rsidRPr="00F534F3">
              <w:rPr>
                <w:rFonts w:ascii="Times New Roman" w:hAnsi="Times New Roman"/>
                <w:b/>
                <w:sz w:val="14"/>
                <w:szCs w:val="14"/>
                <w:lang w:eastAsia="sk-SK"/>
              </w:rPr>
              <w:t>2015 S</w:t>
            </w:r>
          </w:p>
        </w:tc>
        <w:tc>
          <w:tcPr>
            <w:tcW w:w="992" w:type="dxa"/>
            <w:tcBorders>
              <w:top w:val="single" w:sz="4" w:space="0" w:color="auto"/>
              <w:left w:val="nil"/>
              <w:bottom w:val="single" w:sz="4" w:space="0" w:color="auto"/>
              <w:right w:val="single" w:sz="4" w:space="0" w:color="auto"/>
            </w:tcBorders>
            <w:shd w:val="clear" w:color="auto" w:fill="A6A6A6"/>
            <w:vAlign w:val="bottom"/>
          </w:tcPr>
          <w:p w:rsidR="00640C5E" w:rsidRPr="00F534F3" w:rsidRDefault="00640C5E" w:rsidP="005C0638">
            <w:pPr>
              <w:jc w:val="center"/>
              <w:rPr>
                <w:rFonts w:ascii="Times New Roman" w:hAnsi="Times New Roman"/>
                <w:b/>
                <w:sz w:val="14"/>
                <w:szCs w:val="14"/>
                <w:lang w:eastAsia="sk-SK"/>
              </w:rPr>
            </w:pPr>
            <w:r w:rsidRPr="00F534F3">
              <w:rPr>
                <w:rFonts w:ascii="Times New Roman" w:hAnsi="Times New Roman"/>
                <w:b/>
                <w:sz w:val="14"/>
                <w:szCs w:val="14"/>
                <w:lang w:eastAsia="sk-SK"/>
              </w:rPr>
              <w:t>2016 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640C5E" w:rsidRPr="00F534F3" w:rsidRDefault="00640C5E" w:rsidP="005C0638">
            <w:pPr>
              <w:jc w:val="center"/>
              <w:rPr>
                <w:rFonts w:ascii="Times New Roman" w:hAnsi="Times New Roman"/>
                <w:b/>
                <w:sz w:val="14"/>
                <w:szCs w:val="14"/>
                <w:lang w:eastAsia="sk-SK"/>
              </w:rPr>
            </w:pPr>
            <w:r w:rsidRPr="00F534F3">
              <w:rPr>
                <w:rFonts w:ascii="Times New Roman" w:hAnsi="Times New Roman"/>
                <w:b/>
                <w:sz w:val="14"/>
                <w:szCs w:val="14"/>
                <w:lang w:eastAsia="sk-SK"/>
              </w:rPr>
              <w:t>2017 R</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640C5E" w:rsidRPr="00F534F3" w:rsidRDefault="00640C5E" w:rsidP="005C0638">
            <w:pPr>
              <w:jc w:val="center"/>
              <w:rPr>
                <w:rFonts w:ascii="Times New Roman" w:hAnsi="Times New Roman"/>
                <w:b/>
                <w:sz w:val="14"/>
                <w:szCs w:val="14"/>
                <w:lang w:eastAsia="sk-SK"/>
              </w:rPr>
            </w:pPr>
            <w:r w:rsidRPr="00F534F3">
              <w:rPr>
                <w:rFonts w:ascii="Times New Roman" w:hAnsi="Times New Roman"/>
                <w:b/>
                <w:sz w:val="14"/>
                <w:szCs w:val="14"/>
                <w:lang w:eastAsia="sk-SK"/>
              </w:rPr>
              <w:t>2017 OS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640C5E" w:rsidRPr="00F534F3" w:rsidRDefault="00640C5E" w:rsidP="005C0638">
            <w:pPr>
              <w:jc w:val="center"/>
              <w:rPr>
                <w:rFonts w:ascii="Times New Roman" w:hAnsi="Times New Roman"/>
                <w:b/>
                <w:sz w:val="14"/>
                <w:szCs w:val="14"/>
                <w:lang w:eastAsia="sk-SK"/>
              </w:rPr>
            </w:pPr>
            <w:r>
              <w:rPr>
                <w:rFonts w:ascii="Times New Roman" w:hAnsi="Times New Roman"/>
                <w:b/>
                <w:sz w:val="14"/>
                <w:szCs w:val="14"/>
                <w:lang w:eastAsia="sk-SK"/>
              </w:rPr>
              <w:t>2018 N</w:t>
            </w:r>
          </w:p>
        </w:tc>
        <w:tc>
          <w:tcPr>
            <w:tcW w:w="992" w:type="dxa"/>
            <w:tcBorders>
              <w:top w:val="single" w:sz="4" w:space="0" w:color="auto"/>
              <w:left w:val="nil"/>
              <w:bottom w:val="single" w:sz="4" w:space="0" w:color="auto"/>
              <w:right w:val="single" w:sz="4" w:space="0" w:color="auto"/>
            </w:tcBorders>
            <w:shd w:val="clear" w:color="auto" w:fill="A6A6A6"/>
            <w:noWrap/>
            <w:vAlign w:val="bottom"/>
          </w:tcPr>
          <w:p w:rsidR="00640C5E" w:rsidRPr="00F534F3" w:rsidRDefault="00640C5E" w:rsidP="005C0638">
            <w:pPr>
              <w:jc w:val="center"/>
              <w:rPr>
                <w:rFonts w:ascii="Times New Roman" w:hAnsi="Times New Roman"/>
                <w:b/>
                <w:sz w:val="14"/>
                <w:szCs w:val="14"/>
                <w:lang w:eastAsia="sk-SK"/>
              </w:rPr>
            </w:pPr>
            <w:r w:rsidRPr="00F534F3">
              <w:rPr>
                <w:rFonts w:ascii="Times New Roman" w:hAnsi="Times New Roman"/>
                <w:b/>
                <w:sz w:val="14"/>
                <w:szCs w:val="14"/>
                <w:lang w:eastAsia="sk-SK"/>
              </w:rPr>
              <w:t>2019 N</w:t>
            </w:r>
          </w:p>
        </w:tc>
        <w:tc>
          <w:tcPr>
            <w:tcW w:w="992" w:type="dxa"/>
            <w:tcBorders>
              <w:top w:val="single" w:sz="4" w:space="0" w:color="auto"/>
              <w:left w:val="nil"/>
              <w:bottom w:val="single" w:sz="4" w:space="0" w:color="auto"/>
              <w:right w:val="single" w:sz="4" w:space="0" w:color="auto"/>
            </w:tcBorders>
            <w:shd w:val="clear" w:color="auto" w:fill="A6A6A6"/>
            <w:vAlign w:val="bottom"/>
          </w:tcPr>
          <w:p w:rsidR="00640C5E" w:rsidRPr="00F534F3" w:rsidRDefault="00640C5E" w:rsidP="005C0638">
            <w:pPr>
              <w:jc w:val="center"/>
              <w:rPr>
                <w:rFonts w:ascii="Times New Roman" w:hAnsi="Times New Roman"/>
                <w:b/>
                <w:sz w:val="14"/>
                <w:szCs w:val="14"/>
                <w:lang w:eastAsia="sk-SK"/>
              </w:rPr>
            </w:pPr>
            <w:r w:rsidRPr="00F534F3">
              <w:rPr>
                <w:rFonts w:ascii="Times New Roman" w:hAnsi="Times New Roman"/>
                <w:b/>
                <w:sz w:val="14"/>
                <w:szCs w:val="14"/>
                <w:lang w:eastAsia="sk-SK"/>
              </w:rPr>
              <w:t>2020 N</w:t>
            </w:r>
          </w:p>
        </w:tc>
      </w:tr>
      <w:tr w:rsidR="00640C5E" w:rsidRPr="00F534F3" w:rsidTr="005C0638">
        <w:trPr>
          <w:trHeight w:val="592"/>
        </w:trPr>
        <w:tc>
          <w:tcPr>
            <w:tcW w:w="213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40C5E" w:rsidRPr="00F534F3" w:rsidRDefault="00640C5E" w:rsidP="005C0638">
            <w:pPr>
              <w:rPr>
                <w:rFonts w:ascii="Times New Roman" w:hAnsi="Times New Roman"/>
                <w:b/>
                <w:sz w:val="14"/>
                <w:szCs w:val="14"/>
                <w:lang w:eastAsia="sk-SK"/>
              </w:rPr>
            </w:pPr>
            <w:r w:rsidRPr="00F534F3">
              <w:rPr>
                <w:rFonts w:ascii="Times New Roman" w:hAnsi="Times New Roman"/>
                <w:b/>
                <w:sz w:val="14"/>
                <w:szCs w:val="14"/>
                <w:lang w:eastAsia="sk-SK"/>
              </w:rPr>
              <w:t>Rezerva na  prostriedky Európskej únie a odvody Európskej únii,  v tom:</w:t>
            </w:r>
          </w:p>
        </w:tc>
        <w:tc>
          <w:tcPr>
            <w:tcW w:w="992" w:type="dxa"/>
            <w:tcBorders>
              <w:top w:val="single" w:sz="4" w:space="0" w:color="auto"/>
              <w:left w:val="nil"/>
              <w:bottom w:val="single" w:sz="4" w:space="0" w:color="auto"/>
              <w:right w:val="single" w:sz="4" w:space="0" w:color="auto"/>
            </w:tcBorders>
            <w:shd w:val="clear" w:color="auto" w:fill="BFBFBF"/>
            <w:noWrap/>
            <w:vAlign w:val="bottom"/>
          </w:tcPr>
          <w:p w:rsidR="00640C5E" w:rsidRPr="00F534F3" w:rsidRDefault="00640C5E" w:rsidP="005C0638">
            <w:pPr>
              <w:jc w:val="right"/>
              <w:rPr>
                <w:rFonts w:ascii="Times New Roman" w:hAnsi="Times New Roman"/>
                <w:b/>
                <w:sz w:val="14"/>
                <w:szCs w:val="14"/>
                <w:lang w:eastAsia="sk-SK"/>
              </w:rPr>
            </w:pPr>
            <w:r w:rsidRPr="00F534F3">
              <w:rPr>
                <w:rFonts w:ascii="Times New Roman" w:hAnsi="Times New Roman"/>
                <w:b/>
                <w:sz w:val="14"/>
                <w:szCs w:val="14"/>
                <w:lang w:eastAsia="sk-SK"/>
              </w:rPr>
              <w:t>1 809 460</w:t>
            </w:r>
          </w:p>
        </w:tc>
        <w:tc>
          <w:tcPr>
            <w:tcW w:w="992" w:type="dxa"/>
            <w:tcBorders>
              <w:top w:val="single" w:sz="4" w:space="0" w:color="auto"/>
              <w:left w:val="nil"/>
              <w:bottom w:val="single" w:sz="4" w:space="0" w:color="auto"/>
              <w:right w:val="single" w:sz="4" w:space="0" w:color="auto"/>
            </w:tcBorders>
            <w:shd w:val="clear" w:color="auto" w:fill="BFBFBF"/>
            <w:vAlign w:val="bottom"/>
          </w:tcPr>
          <w:p w:rsidR="00640C5E" w:rsidRPr="00F534F3" w:rsidRDefault="00640C5E" w:rsidP="005C0638">
            <w:pPr>
              <w:jc w:val="right"/>
              <w:rPr>
                <w:rFonts w:ascii="Times New Roman" w:hAnsi="Times New Roman"/>
                <w:b/>
                <w:sz w:val="14"/>
                <w:szCs w:val="14"/>
                <w:lang w:eastAsia="sk-SK"/>
              </w:rPr>
            </w:pPr>
            <w:r w:rsidRPr="00F534F3">
              <w:rPr>
                <w:rFonts w:ascii="Times New Roman" w:hAnsi="Times New Roman"/>
                <w:b/>
                <w:sz w:val="14"/>
                <w:szCs w:val="14"/>
                <w:lang w:eastAsia="sk-SK"/>
              </w:rPr>
              <w:t>11 109 500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640C5E" w:rsidRPr="00F534F3" w:rsidRDefault="00640C5E" w:rsidP="005C0638">
            <w:pPr>
              <w:jc w:val="right"/>
              <w:rPr>
                <w:rFonts w:ascii="Times New Roman" w:hAnsi="Times New Roman"/>
                <w:b/>
                <w:sz w:val="14"/>
                <w:szCs w:val="14"/>
                <w:lang w:eastAsia="sk-SK"/>
              </w:rPr>
            </w:pPr>
            <w:r w:rsidRPr="00F534F3">
              <w:rPr>
                <w:rFonts w:ascii="Times New Roman" w:hAnsi="Times New Roman"/>
                <w:b/>
                <w:sz w:val="14"/>
                <w:szCs w:val="14"/>
                <w:lang w:eastAsia="sk-SK"/>
              </w:rPr>
              <w:t>189 570 000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640C5E" w:rsidRPr="00F534F3" w:rsidRDefault="00640C5E" w:rsidP="005C0638">
            <w:pPr>
              <w:jc w:val="right"/>
              <w:rPr>
                <w:rFonts w:ascii="Times New Roman" w:hAnsi="Times New Roman"/>
                <w:b/>
                <w:sz w:val="14"/>
                <w:szCs w:val="14"/>
                <w:lang w:eastAsia="sk-SK"/>
              </w:rPr>
            </w:pPr>
            <w:r>
              <w:rPr>
                <w:rFonts w:ascii="Times New Roman" w:hAnsi="Times New Roman"/>
                <w:b/>
                <w:sz w:val="14"/>
                <w:szCs w:val="14"/>
                <w:lang w:eastAsia="sk-SK"/>
              </w:rPr>
              <w:t>105 334 892</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640C5E" w:rsidRPr="00F534F3" w:rsidRDefault="00640C5E" w:rsidP="005C0638">
            <w:pPr>
              <w:jc w:val="right"/>
              <w:rPr>
                <w:rFonts w:ascii="Times New Roman" w:hAnsi="Times New Roman"/>
                <w:b/>
                <w:sz w:val="14"/>
                <w:szCs w:val="14"/>
                <w:lang w:eastAsia="sk-SK"/>
              </w:rPr>
            </w:pPr>
            <w:r>
              <w:rPr>
                <w:rFonts w:ascii="Times New Roman" w:hAnsi="Times New Roman"/>
                <w:b/>
                <w:sz w:val="14"/>
                <w:szCs w:val="14"/>
                <w:lang w:eastAsia="sk-SK"/>
              </w:rPr>
              <w:t>130 206 017</w:t>
            </w:r>
          </w:p>
        </w:tc>
        <w:tc>
          <w:tcPr>
            <w:tcW w:w="992" w:type="dxa"/>
            <w:tcBorders>
              <w:top w:val="single" w:sz="4" w:space="0" w:color="auto"/>
              <w:left w:val="nil"/>
              <w:bottom w:val="single" w:sz="4" w:space="0" w:color="auto"/>
              <w:right w:val="single" w:sz="4" w:space="0" w:color="auto"/>
            </w:tcBorders>
            <w:shd w:val="clear" w:color="auto" w:fill="BFBFBF"/>
            <w:noWrap/>
            <w:vAlign w:val="bottom"/>
          </w:tcPr>
          <w:p w:rsidR="00640C5E" w:rsidRPr="00F534F3" w:rsidRDefault="00640C5E" w:rsidP="005C0638">
            <w:pPr>
              <w:jc w:val="right"/>
              <w:rPr>
                <w:rFonts w:ascii="Times New Roman" w:hAnsi="Times New Roman"/>
                <w:b/>
                <w:sz w:val="14"/>
                <w:szCs w:val="14"/>
                <w:lang w:eastAsia="sk-SK"/>
              </w:rPr>
            </w:pPr>
            <w:r>
              <w:rPr>
                <w:rFonts w:ascii="Times New Roman" w:hAnsi="Times New Roman"/>
                <w:b/>
                <w:sz w:val="14"/>
                <w:szCs w:val="14"/>
                <w:lang w:eastAsia="sk-SK"/>
              </w:rPr>
              <w:t>176 000 000</w:t>
            </w:r>
          </w:p>
        </w:tc>
        <w:tc>
          <w:tcPr>
            <w:tcW w:w="992" w:type="dxa"/>
            <w:tcBorders>
              <w:top w:val="single" w:sz="4" w:space="0" w:color="auto"/>
              <w:left w:val="nil"/>
              <w:bottom w:val="single" w:sz="4" w:space="0" w:color="auto"/>
              <w:right w:val="single" w:sz="4" w:space="0" w:color="auto"/>
            </w:tcBorders>
            <w:shd w:val="clear" w:color="auto" w:fill="BFBFBF"/>
            <w:vAlign w:val="bottom"/>
          </w:tcPr>
          <w:p w:rsidR="00640C5E" w:rsidRPr="00F534F3" w:rsidRDefault="00640C5E" w:rsidP="005C0638">
            <w:pPr>
              <w:jc w:val="right"/>
              <w:rPr>
                <w:rFonts w:ascii="Times New Roman" w:hAnsi="Times New Roman"/>
                <w:b/>
                <w:sz w:val="14"/>
                <w:szCs w:val="14"/>
                <w:lang w:eastAsia="sk-SK"/>
              </w:rPr>
            </w:pPr>
            <w:r>
              <w:rPr>
                <w:rFonts w:ascii="Times New Roman" w:hAnsi="Times New Roman"/>
                <w:b/>
                <w:sz w:val="14"/>
                <w:szCs w:val="14"/>
                <w:lang w:eastAsia="sk-SK"/>
              </w:rPr>
              <w:t>176 000 000</w:t>
            </w:r>
          </w:p>
        </w:tc>
      </w:tr>
      <w:tr w:rsidR="00640C5E" w:rsidRPr="00F534F3" w:rsidTr="005C0638">
        <w:trPr>
          <w:trHeight w:val="281"/>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C5E" w:rsidRPr="00F534F3" w:rsidRDefault="00640C5E" w:rsidP="005C0638">
            <w:pPr>
              <w:rPr>
                <w:rFonts w:ascii="Times New Roman" w:hAnsi="Times New Roman"/>
                <w:sz w:val="14"/>
                <w:szCs w:val="14"/>
                <w:lang w:eastAsia="sk-SK"/>
              </w:rPr>
            </w:pPr>
            <w:r w:rsidRPr="00F534F3">
              <w:rPr>
                <w:rFonts w:ascii="Times New Roman" w:hAnsi="Times New Roman"/>
                <w:sz w:val="14"/>
                <w:szCs w:val="14"/>
                <w:lang w:eastAsia="sk-SK"/>
              </w:rPr>
              <w:t xml:space="preserve">rýchlejšia realizácia a väčší počet projektov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shd w:val="clear" w:color="auto" w:fill="auto"/>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185 570 000</w:t>
            </w:r>
          </w:p>
        </w:tc>
        <w:tc>
          <w:tcPr>
            <w:tcW w:w="992" w:type="dxa"/>
            <w:tcBorders>
              <w:top w:val="single" w:sz="4" w:space="0" w:color="auto"/>
              <w:left w:val="single" w:sz="4" w:space="0" w:color="auto"/>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103 334 892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124 206 017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170 000 000</w:t>
            </w:r>
          </w:p>
        </w:tc>
        <w:tc>
          <w:tcPr>
            <w:tcW w:w="992" w:type="dxa"/>
            <w:tcBorders>
              <w:top w:val="single" w:sz="4" w:space="0" w:color="auto"/>
              <w:left w:val="nil"/>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170 000 000</w:t>
            </w:r>
          </w:p>
        </w:tc>
      </w:tr>
      <w:tr w:rsidR="00640C5E" w:rsidRPr="00F534F3" w:rsidTr="005C0638">
        <w:trPr>
          <w:trHeight w:val="352"/>
        </w:trPr>
        <w:tc>
          <w:tcPr>
            <w:tcW w:w="2132" w:type="dxa"/>
            <w:tcBorders>
              <w:top w:val="nil"/>
              <w:left w:val="single" w:sz="4" w:space="0" w:color="auto"/>
              <w:bottom w:val="single" w:sz="4" w:space="0" w:color="auto"/>
              <w:right w:val="single" w:sz="4" w:space="0" w:color="auto"/>
            </w:tcBorders>
            <w:vAlign w:val="bottom"/>
          </w:tcPr>
          <w:p w:rsidR="00640C5E" w:rsidRPr="00F534F3" w:rsidRDefault="00640C5E" w:rsidP="005C0638">
            <w:pPr>
              <w:rPr>
                <w:rFonts w:ascii="Times New Roman" w:hAnsi="Times New Roman"/>
                <w:sz w:val="14"/>
                <w:szCs w:val="14"/>
                <w:lang w:eastAsia="sk-SK"/>
              </w:rPr>
            </w:pPr>
            <w:r w:rsidRPr="00F534F3">
              <w:rPr>
                <w:rFonts w:ascii="Times New Roman" w:hAnsi="Times New Roman"/>
                <w:sz w:val="14"/>
                <w:szCs w:val="14"/>
                <w:lang w:eastAsia="sk-SK"/>
              </w:rPr>
              <w:t xml:space="preserve">ďalšie výdavky súvisiace                        s financovaním spoločných programov </w:t>
            </w:r>
          </w:p>
        </w:tc>
        <w:tc>
          <w:tcPr>
            <w:tcW w:w="992" w:type="dxa"/>
            <w:tcBorders>
              <w:top w:val="nil"/>
              <w:left w:val="nil"/>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1 809 360</w:t>
            </w:r>
          </w:p>
        </w:tc>
        <w:tc>
          <w:tcPr>
            <w:tcW w:w="992" w:type="dxa"/>
            <w:tcBorders>
              <w:top w:val="single" w:sz="4" w:space="0" w:color="auto"/>
              <w:left w:val="nil"/>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11 109 400</w:t>
            </w:r>
          </w:p>
        </w:tc>
        <w:tc>
          <w:tcPr>
            <w:tcW w:w="992" w:type="dxa"/>
            <w:tcBorders>
              <w:top w:val="nil"/>
              <w:left w:val="single" w:sz="4" w:space="0" w:color="auto"/>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1 000 000</w:t>
            </w:r>
          </w:p>
        </w:tc>
        <w:tc>
          <w:tcPr>
            <w:tcW w:w="992" w:type="dxa"/>
            <w:tcBorders>
              <w:top w:val="nil"/>
              <w:left w:val="single" w:sz="4" w:space="0" w:color="auto"/>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1 000 000</w:t>
            </w:r>
          </w:p>
        </w:tc>
        <w:tc>
          <w:tcPr>
            <w:tcW w:w="992" w:type="dxa"/>
            <w:tcBorders>
              <w:top w:val="nil"/>
              <w:left w:val="single" w:sz="4" w:space="0" w:color="auto"/>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1 000 000</w:t>
            </w:r>
          </w:p>
        </w:tc>
        <w:tc>
          <w:tcPr>
            <w:tcW w:w="992" w:type="dxa"/>
            <w:tcBorders>
              <w:top w:val="nil"/>
              <w:left w:val="nil"/>
              <w:bottom w:val="single" w:sz="4" w:space="0" w:color="auto"/>
              <w:right w:val="single" w:sz="4" w:space="0" w:color="auto"/>
            </w:tcBorders>
            <w:noWrap/>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1 000 000</w:t>
            </w:r>
          </w:p>
        </w:tc>
        <w:tc>
          <w:tcPr>
            <w:tcW w:w="992" w:type="dxa"/>
            <w:tcBorders>
              <w:top w:val="nil"/>
              <w:left w:val="nil"/>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1 000 000</w:t>
            </w:r>
          </w:p>
        </w:tc>
      </w:tr>
      <w:tr w:rsidR="00640C5E" w:rsidRPr="00F534F3" w:rsidTr="005C0638">
        <w:trPr>
          <w:trHeight w:val="352"/>
        </w:trPr>
        <w:tc>
          <w:tcPr>
            <w:tcW w:w="2132" w:type="dxa"/>
            <w:tcBorders>
              <w:top w:val="nil"/>
              <w:left w:val="single" w:sz="4" w:space="0" w:color="auto"/>
              <w:bottom w:val="single" w:sz="4" w:space="0" w:color="auto"/>
              <w:right w:val="single" w:sz="4" w:space="0" w:color="auto"/>
            </w:tcBorders>
            <w:vAlign w:val="bottom"/>
          </w:tcPr>
          <w:p w:rsidR="00640C5E" w:rsidRPr="00F534F3" w:rsidRDefault="00640C5E" w:rsidP="005C0638">
            <w:pPr>
              <w:rPr>
                <w:rFonts w:ascii="Times New Roman" w:hAnsi="Times New Roman"/>
                <w:sz w:val="14"/>
                <w:szCs w:val="14"/>
              </w:rPr>
            </w:pPr>
            <w:r w:rsidRPr="00F534F3">
              <w:rPr>
                <w:rFonts w:ascii="Times New Roman" w:hAnsi="Times New Roman"/>
                <w:sz w:val="14"/>
                <w:szCs w:val="14"/>
              </w:rPr>
              <w:t>zefektívnenie systému finančného riadenia EÚ fondov a iných finančných nástrojov</w:t>
            </w:r>
          </w:p>
        </w:tc>
        <w:tc>
          <w:tcPr>
            <w:tcW w:w="992" w:type="dxa"/>
            <w:tcBorders>
              <w:top w:val="nil"/>
              <w:left w:val="nil"/>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3 000 000</w:t>
            </w:r>
          </w:p>
        </w:tc>
        <w:tc>
          <w:tcPr>
            <w:tcW w:w="992" w:type="dxa"/>
            <w:tcBorders>
              <w:top w:val="nil"/>
              <w:left w:val="single" w:sz="4" w:space="0" w:color="auto"/>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1 000 000</w:t>
            </w:r>
          </w:p>
        </w:tc>
        <w:tc>
          <w:tcPr>
            <w:tcW w:w="992" w:type="dxa"/>
            <w:tcBorders>
              <w:top w:val="nil"/>
              <w:left w:val="single" w:sz="4" w:space="0" w:color="auto"/>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5</w:t>
            </w:r>
            <w:r w:rsidRPr="00F534F3">
              <w:rPr>
                <w:rFonts w:ascii="Times New Roman" w:hAnsi="Times New Roman"/>
                <w:sz w:val="14"/>
                <w:szCs w:val="14"/>
                <w:lang w:eastAsia="sk-SK"/>
              </w:rPr>
              <w:t> 000 000</w:t>
            </w:r>
          </w:p>
        </w:tc>
        <w:tc>
          <w:tcPr>
            <w:tcW w:w="992" w:type="dxa"/>
            <w:tcBorders>
              <w:top w:val="nil"/>
              <w:left w:val="nil"/>
              <w:bottom w:val="single" w:sz="4" w:space="0" w:color="auto"/>
              <w:right w:val="single" w:sz="4" w:space="0" w:color="auto"/>
            </w:tcBorders>
            <w:noWrap/>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5</w:t>
            </w:r>
            <w:r w:rsidRPr="00F534F3">
              <w:rPr>
                <w:rFonts w:ascii="Times New Roman" w:hAnsi="Times New Roman"/>
                <w:sz w:val="14"/>
                <w:szCs w:val="14"/>
                <w:lang w:eastAsia="sk-SK"/>
              </w:rPr>
              <w:t> 000 000</w:t>
            </w:r>
          </w:p>
        </w:tc>
        <w:tc>
          <w:tcPr>
            <w:tcW w:w="992" w:type="dxa"/>
            <w:tcBorders>
              <w:top w:val="nil"/>
              <w:left w:val="nil"/>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5</w:t>
            </w:r>
            <w:r w:rsidRPr="00F534F3">
              <w:rPr>
                <w:rFonts w:ascii="Times New Roman" w:hAnsi="Times New Roman"/>
                <w:sz w:val="14"/>
                <w:szCs w:val="14"/>
                <w:lang w:eastAsia="sk-SK"/>
              </w:rPr>
              <w:t> 000 000</w:t>
            </w:r>
          </w:p>
        </w:tc>
      </w:tr>
      <w:tr w:rsidR="00640C5E" w:rsidRPr="0006072B" w:rsidTr="005C0638">
        <w:trPr>
          <w:trHeight w:val="352"/>
        </w:trPr>
        <w:tc>
          <w:tcPr>
            <w:tcW w:w="2132" w:type="dxa"/>
            <w:tcBorders>
              <w:top w:val="single" w:sz="4" w:space="0" w:color="auto"/>
              <w:left w:val="single" w:sz="4" w:space="0" w:color="auto"/>
              <w:bottom w:val="single" w:sz="4" w:space="0" w:color="auto"/>
              <w:right w:val="single" w:sz="4" w:space="0" w:color="auto"/>
            </w:tcBorders>
            <w:vAlign w:val="bottom"/>
          </w:tcPr>
          <w:p w:rsidR="00640C5E" w:rsidRPr="00F534F3" w:rsidRDefault="00640C5E" w:rsidP="005C0638">
            <w:pPr>
              <w:rPr>
                <w:rFonts w:ascii="Times New Roman" w:hAnsi="Times New Roman"/>
                <w:sz w:val="14"/>
                <w:szCs w:val="14"/>
                <w:lang w:eastAsia="sk-SK"/>
              </w:rPr>
            </w:pPr>
            <w:r w:rsidRPr="00F534F3">
              <w:rPr>
                <w:rFonts w:ascii="Times New Roman" w:hAnsi="Times New Roman"/>
                <w:sz w:val="14"/>
                <w:szCs w:val="14"/>
                <w:lang w:eastAsia="sk-SK"/>
              </w:rPr>
              <w:t xml:space="preserve">bankové poplatky súvisiace s odvodmi do všeobecného rozpočtu EÚ </w:t>
            </w:r>
          </w:p>
        </w:tc>
        <w:tc>
          <w:tcPr>
            <w:tcW w:w="992" w:type="dxa"/>
            <w:tcBorders>
              <w:top w:val="single" w:sz="4" w:space="0" w:color="auto"/>
              <w:left w:val="nil"/>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100</w:t>
            </w:r>
          </w:p>
        </w:tc>
        <w:tc>
          <w:tcPr>
            <w:tcW w:w="992" w:type="dxa"/>
            <w:tcBorders>
              <w:top w:val="single" w:sz="4" w:space="0" w:color="auto"/>
              <w:left w:val="nil"/>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 xml:space="preserve">100 </w:t>
            </w:r>
          </w:p>
        </w:tc>
        <w:tc>
          <w:tcPr>
            <w:tcW w:w="992" w:type="dxa"/>
            <w:tcBorders>
              <w:top w:val="single" w:sz="4" w:space="0" w:color="auto"/>
              <w:left w:val="single" w:sz="4" w:space="0" w:color="auto"/>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640C5E" w:rsidRPr="00F534F3" w:rsidRDefault="00640C5E" w:rsidP="005C0638">
            <w:pPr>
              <w:jc w:val="right"/>
              <w:rPr>
                <w:rFonts w:ascii="Times New Roman" w:hAnsi="Times New Roman"/>
                <w:sz w:val="14"/>
                <w:szCs w:val="14"/>
                <w:lang w:eastAsia="sk-SK"/>
              </w:rPr>
            </w:pPr>
            <w:r w:rsidRPr="00F534F3">
              <w:rPr>
                <w:rFonts w:ascii="Times New Roman" w:hAnsi="Times New Roman"/>
                <w:sz w:val="14"/>
                <w:szCs w:val="14"/>
                <w:lang w:eastAsia="sk-SK"/>
              </w:rPr>
              <w:t>0</w:t>
            </w:r>
          </w:p>
        </w:tc>
      </w:tr>
      <w:bookmarkEnd w:id="212"/>
    </w:tbl>
    <w:p w:rsidR="00640C5E" w:rsidRPr="0006072B" w:rsidRDefault="00640C5E" w:rsidP="00640C5E">
      <w:pPr>
        <w:ind w:firstLine="709"/>
        <w:jc w:val="both"/>
        <w:rPr>
          <w:rFonts w:ascii="Times New Roman" w:hAnsi="Times New Roman"/>
          <w:bCs/>
        </w:rPr>
      </w:pPr>
    </w:p>
    <w:p w:rsidR="00640C5E" w:rsidRDefault="00640C5E" w:rsidP="00640C5E">
      <w:pPr>
        <w:ind w:firstLine="709"/>
        <w:jc w:val="both"/>
        <w:rPr>
          <w:rFonts w:ascii="Times New Roman" w:hAnsi="Times New Roman"/>
        </w:rPr>
      </w:pPr>
      <w:r w:rsidRPr="0006072B">
        <w:rPr>
          <w:rFonts w:ascii="Times New Roman" w:hAnsi="Times New Roman"/>
        </w:rPr>
        <w:t xml:space="preserve">Rezerva na prostriedky Európskej únie a odvody Európskej únii sa rozpočtuje </w:t>
      </w:r>
      <w:r w:rsidRPr="0006072B">
        <w:rPr>
          <w:rFonts w:ascii="Times New Roman" w:hAnsi="Times New Roman"/>
        </w:rPr>
        <w:br/>
        <w:t xml:space="preserve">na administrovanie štrukturálnych fondov, Kohézneho fondu, príjmov z poľnohospodárskych fondov, na prípadné korekcie za poskytnuté prostriedky EÚ, na rýchlejšiu realizáciu a väčší počet projektov,  na výdavky na zefektívnenie systému finančného riadenia EÚ fondov a iných finančných nástrojov. Slúži na krytie nevyhnutých a nepredvídaných výdavkov, ktoré vzniknú v tejto oblasti v priebehu roka. </w:t>
      </w:r>
    </w:p>
    <w:p w:rsidR="00640C5E" w:rsidRDefault="00640C5E" w:rsidP="00640C5E">
      <w:pPr>
        <w:ind w:firstLine="709"/>
        <w:jc w:val="both"/>
        <w:rPr>
          <w:rFonts w:ascii="Times New Roman" w:hAnsi="Times New Roman"/>
        </w:rPr>
      </w:pPr>
    </w:p>
    <w:p w:rsidR="00640C5E" w:rsidRDefault="00640C5E" w:rsidP="00640C5E">
      <w:pPr>
        <w:spacing w:after="240"/>
        <w:jc w:val="both"/>
        <w:rPr>
          <w:rFonts w:ascii="Times New Roman" w:hAnsi="Times New Roman"/>
          <w:b/>
          <w:bCs/>
          <w:iCs/>
        </w:rPr>
      </w:pPr>
      <w:r>
        <w:rPr>
          <w:rFonts w:ascii="Times New Roman" w:hAnsi="Times New Roman"/>
          <w:b/>
          <w:bCs/>
          <w:iCs/>
        </w:rPr>
        <w:t>Výdavky spojené so správou štátneho dlhu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2"/>
        <w:gridCol w:w="990"/>
        <w:gridCol w:w="990"/>
        <w:gridCol w:w="990"/>
        <w:gridCol w:w="990"/>
        <w:gridCol w:w="990"/>
        <w:gridCol w:w="990"/>
        <w:gridCol w:w="990"/>
      </w:tblGrid>
      <w:tr w:rsidR="00640C5E" w:rsidTr="000736F2">
        <w:trPr>
          <w:trHeight w:val="283"/>
          <w:jc w:val="center"/>
        </w:trPr>
        <w:tc>
          <w:tcPr>
            <w:tcW w:w="117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eurách</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2015 S</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 S</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R</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OS</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 N</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 N</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 N</w:t>
            </w:r>
          </w:p>
        </w:tc>
      </w:tr>
      <w:tr w:rsidR="00640C5E" w:rsidTr="005C0638">
        <w:trPr>
          <w:trHeight w:val="283"/>
          <w:jc w:val="center"/>
        </w:trPr>
        <w:tc>
          <w:tcPr>
            <w:tcW w:w="117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CF764C" w:rsidRDefault="00640C5E" w:rsidP="005C0638">
            <w:pPr>
              <w:rPr>
                <w:rFonts w:ascii="Times New Roman" w:hAnsi="Times New Roman"/>
                <w:sz w:val="14"/>
                <w:szCs w:val="14"/>
              </w:rPr>
            </w:pPr>
            <w:r w:rsidRPr="00CF764C">
              <w:rPr>
                <w:rFonts w:ascii="Times New Roman" w:hAnsi="Times New Roman"/>
                <w:sz w:val="14"/>
                <w:szCs w:val="14"/>
              </w:rPr>
              <w:t>Dlhová služba (transfer zo štátneho rozpočtu na saldo účet)</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CF764C" w:rsidRDefault="00640C5E" w:rsidP="005C0638">
            <w:pPr>
              <w:jc w:val="right"/>
              <w:rPr>
                <w:rFonts w:ascii="Times New Roman" w:hAnsi="Times New Roman"/>
                <w:sz w:val="14"/>
                <w:szCs w:val="14"/>
              </w:rPr>
            </w:pPr>
            <w:r w:rsidRPr="00CF764C">
              <w:rPr>
                <w:rFonts w:ascii="Times New Roman" w:hAnsi="Times New Roman"/>
                <w:sz w:val="14"/>
                <w:szCs w:val="14"/>
              </w:rPr>
              <w:t>1 159 663 991</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CF764C" w:rsidRDefault="00640C5E" w:rsidP="005C0638">
            <w:pPr>
              <w:jc w:val="right"/>
              <w:rPr>
                <w:rFonts w:ascii="Times New Roman" w:hAnsi="Times New Roman"/>
                <w:sz w:val="14"/>
                <w:szCs w:val="14"/>
              </w:rPr>
            </w:pPr>
            <w:r w:rsidRPr="00CF764C">
              <w:rPr>
                <w:rFonts w:ascii="Times New Roman" w:hAnsi="Times New Roman"/>
                <w:sz w:val="14"/>
                <w:szCs w:val="14"/>
              </w:rPr>
              <w:t>1 174 727 075</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CF764C" w:rsidRDefault="00640C5E" w:rsidP="005C0638">
            <w:pPr>
              <w:jc w:val="right"/>
              <w:rPr>
                <w:rFonts w:ascii="Times New Roman" w:hAnsi="Times New Roman"/>
                <w:sz w:val="14"/>
                <w:szCs w:val="14"/>
              </w:rPr>
            </w:pPr>
            <w:r w:rsidRPr="00CF764C">
              <w:rPr>
                <w:rFonts w:ascii="Times New Roman" w:hAnsi="Times New Roman"/>
                <w:sz w:val="14"/>
                <w:szCs w:val="14"/>
              </w:rPr>
              <w:t>1 309 779 420</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CF764C" w:rsidRDefault="00640C5E" w:rsidP="005C0638">
            <w:pPr>
              <w:jc w:val="right"/>
              <w:rPr>
                <w:rFonts w:ascii="Times New Roman" w:hAnsi="Times New Roman"/>
                <w:sz w:val="14"/>
                <w:szCs w:val="14"/>
              </w:rPr>
            </w:pPr>
            <w:r w:rsidRPr="00CF764C">
              <w:rPr>
                <w:rFonts w:ascii="Times New Roman" w:hAnsi="Times New Roman"/>
                <w:sz w:val="14"/>
                <w:szCs w:val="14"/>
              </w:rPr>
              <w:t>1 200 163 811</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CF764C" w:rsidRDefault="00640C5E" w:rsidP="005C0638">
            <w:pPr>
              <w:jc w:val="right"/>
              <w:rPr>
                <w:rFonts w:ascii="Times New Roman" w:hAnsi="Times New Roman"/>
                <w:sz w:val="14"/>
                <w:szCs w:val="14"/>
              </w:rPr>
            </w:pPr>
            <w:r w:rsidRPr="00CF764C">
              <w:rPr>
                <w:rFonts w:ascii="Times New Roman" w:hAnsi="Times New Roman"/>
                <w:sz w:val="14"/>
                <w:szCs w:val="14"/>
              </w:rPr>
              <w:t>1 150 919 375</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CF764C" w:rsidRDefault="00640C5E" w:rsidP="005C0638">
            <w:pPr>
              <w:jc w:val="right"/>
              <w:rPr>
                <w:rFonts w:ascii="Times New Roman" w:hAnsi="Times New Roman"/>
                <w:sz w:val="14"/>
                <w:szCs w:val="14"/>
              </w:rPr>
            </w:pPr>
            <w:r w:rsidRPr="00CF764C">
              <w:rPr>
                <w:rFonts w:ascii="Times New Roman" w:hAnsi="Times New Roman"/>
                <w:sz w:val="14"/>
                <w:szCs w:val="14"/>
              </w:rPr>
              <w:t>1 177 444 548</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CF764C" w:rsidRDefault="00640C5E" w:rsidP="005C0638">
            <w:pPr>
              <w:jc w:val="right"/>
              <w:rPr>
                <w:rFonts w:ascii="Times New Roman" w:hAnsi="Times New Roman"/>
                <w:sz w:val="14"/>
                <w:szCs w:val="14"/>
              </w:rPr>
            </w:pPr>
            <w:r w:rsidRPr="00CF764C">
              <w:rPr>
                <w:rFonts w:ascii="Times New Roman" w:hAnsi="Times New Roman"/>
                <w:sz w:val="14"/>
                <w:szCs w:val="14"/>
              </w:rPr>
              <w:t>1 232 653 392</w:t>
            </w:r>
          </w:p>
        </w:tc>
      </w:tr>
      <w:tr w:rsidR="00640C5E" w:rsidTr="005C0638">
        <w:trPr>
          <w:trHeight w:val="283"/>
          <w:jc w:val="center"/>
        </w:trPr>
        <w:tc>
          <w:tcPr>
            <w:tcW w:w="117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Default="00640C5E" w:rsidP="005C0638">
            <w:pPr>
              <w:rPr>
                <w:rFonts w:ascii="Times New Roman" w:hAnsi="Times New Roman"/>
                <w:sz w:val="14"/>
                <w:szCs w:val="14"/>
              </w:rPr>
            </w:pPr>
            <w:r>
              <w:rPr>
                <w:rFonts w:ascii="Times New Roman" w:hAnsi="Times New Roman"/>
                <w:sz w:val="14"/>
                <w:szCs w:val="14"/>
              </w:rPr>
              <w:t>Manipulačné poplatky</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Default="00640C5E" w:rsidP="005C0638">
            <w:pPr>
              <w:jc w:val="right"/>
              <w:rPr>
                <w:rFonts w:ascii="Times New Roman" w:hAnsi="Times New Roman"/>
                <w:sz w:val="14"/>
                <w:szCs w:val="14"/>
              </w:rPr>
            </w:pPr>
            <w:r>
              <w:rPr>
                <w:rFonts w:ascii="Times New Roman" w:hAnsi="Times New Roman"/>
                <w:sz w:val="14"/>
                <w:szCs w:val="14"/>
              </w:rPr>
              <w:t>270 000</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Default="00640C5E" w:rsidP="005C0638">
            <w:pPr>
              <w:jc w:val="right"/>
              <w:rPr>
                <w:rFonts w:ascii="Times New Roman" w:hAnsi="Times New Roman"/>
                <w:sz w:val="14"/>
                <w:szCs w:val="14"/>
              </w:rPr>
            </w:pPr>
            <w:r>
              <w:rPr>
                <w:rFonts w:ascii="Times New Roman" w:hAnsi="Times New Roman"/>
                <w:sz w:val="14"/>
                <w:szCs w:val="14"/>
              </w:rPr>
              <w:t>270 000</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Default="00640C5E" w:rsidP="005C0638">
            <w:pPr>
              <w:jc w:val="right"/>
              <w:rPr>
                <w:rFonts w:ascii="Times New Roman" w:hAnsi="Times New Roman"/>
                <w:sz w:val="14"/>
                <w:szCs w:val="14"/>
              </w:rPr>
            </w:pPr>
            <w:r>
              <w:rPr>
                <w:rFonts w:ascii="Times New Roman" w:hAnsi="Times New Roman"/>
                <w:sz w:val="14"/>
                <w:szCs w:val="14"/>
              </w:rPr>
              <w:t>270 001</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Default="00640C5E" w:rsidP="005C0638">
            <w:pPr>
              <w:jc w:val="right"/>
              <w:rPr>
                <w:rFonts w:ascii="Times New Roman" w:hAnsi="Times New Roman"/>
                <w:sz w:val="14"/>
                <w:szCs w:val="14"/>
              </w:rPr>
            </w:pPr>
            <w:r>
              <w:rPr>
                <w:rFonts w:ascii="Times New Roman" w:hAnsi="Times New Roman"/>
                <w:sz w:val="14"/>
                <w:szCs w:val="14"/>
              </w:rPr>
              <w:t>270 001</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Default="00640C5E" w:rsidP="005C0638">
            <w:pPr>
              <w:jc w:val="right"/>
              <w:rPr>
                <w:rFonts w:ascii="Times New Roman" w:hAnsi="Times New Roman"/>
                <w:sz w:val="14"/>
                <w:szCs w:val="14"/>
              </w:rPr>
            </w:pPr>
            <w:r>
              <w:rPr>
                <w:rFonts w:ascii="Times New Roman" w:hAnsi="Times New Roman"/>
                <w:sz w:val="14"/>
                <w:szCs w:val="14"/>
              </w:rPr>
              <w:t>270 001</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Default="00640C5E" w:rsidP="005C0638">
            <w:pPr>
              <w:jc w:val="right"/>
              <w:rPr>
                <w:rFonts w:ascii="Times New Roman" w:hAnsi="Times New Roman"/>
                <w:sz w:val="14"/>
                <w:szCs w:val="14"/>
              </w:rPr>
            </w:pPr>
            <w:r>
              <w:rPr>
                <w:rFonts w:ascii="Times New Roman" w:hAnsi="Times New Roman"/>
                <w:sz w:val="14"/>
                <w:szCs w:val="14"/>
              </w:rPr>
              <w:t>270 001</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Default="00640C5E" w:rsidP="005C0638">
            <w:pPr>
              <w:jc w:val="right"/>
              <w:rPr>
                <w:rFonts w:ascii="Times New Roman" w:hAnsi="Times New Roman"/>
                <w:sz w:val="14"/>
                <w:szCs w:val="14"/>
              </w:rPr>
            </w:pPr>
            <w:r>
              <w:rPr>
                <w:rFonts w:ascii="Times New Roman" w:hAnsi="Times New Roman"/>
                <w:sz w:val="14"/>
                <w:szCs w:val="14"/>
              </w:rPr>
              <w:t>270 001</w:t>
            </w:r>
          </w:p>
        </w:tc>
      </w:tr>
      <w:tr w:rsidR="00640C5E" w:rsidTr="005C0638">
        <w:trPr>
          <w:trHeight w:val="283"/>
          <w:jc w:val="center"/>
        </w:trPr>
        <w:tc>
          <w:tcPr>
            <w:tcW w:w="1176" w:type="pct"/>
            <w:tcBorders>
              <w:top w:val="single" w:sz="4" w:space="0" w:color="auto"/>
              <w:left w:val="single" w:sz="4" w:space="0" w:color="auto"/>
              <w:bottom w:val="single" w:sz="4" w:space="0" w:color="auto"/>
              <w:right w:val="single" w:sz="4" w:space="0" w:color="auto"/>
            </w:tcBorders>
            <w:vAlign w:val="bottom"/>
            <w:hideMark/>
          </w:tcPr>
          <w:p w:rsidR="00640C5E" w:rsidRPr="00CF764C" w:rsidRDefault="00640C5E" w:rsidP="005C0638">
            <w:pPr>
              <w:rPr>
                <w:rFonts w:ascii="Times New Roman" w:hAnsi="Times New Roman"/>
                <w:sz w:val="14"/>
                <w:szCs w:val="14"/>
              </w:rPr>
            </w:pPr>
            <w:r w:rsidRPr="00CF764C">
              <w:rPr>
                <w:rFonts w:ascii="Times New Roman" w:hAnsi="Times New Roman"/>
                <w:sz w:val="14"/>
                <w:szCs w:val="14"/>
              </w:rPr>
              <w:t>Výdavky spojené so správou štátneho dlhu</w:t>
            </w:r>
          </w:p>
        </w:tc>
        <w:tc>
          <w:tcPr>
            <w:tcW w:w="546" w:type="pct"/>
            <w:tcBorders>
              <w:top w:val="single" w:sz="4" w:space="0" w:color="auto"/>
              <w:left w:val="single" w:sz="4" w:space="0" w:color="auto"/>
              <w:bottom w:val="single" w:sz="4" w:space="0" w:color="auto"/>
              <w:right w:val="single" w:sz="4" w:space="0" w:color="auto"/>
            </w:tcBorders>
            <w:vAlign w:val="bottom"/>
            <w:hideMark/>
          </w:tcPr>
          <w:p w:rsidR="00640C5E" w:rsidRPr="00CF764C" w:rsidRDefault="00640C5E" w:rsidP="005C0638">
            <w:pPr>
              <w:jc w:val="right"/>
              <w:rPr>
                <w:rFonts w:ascii="Times New Roman" w:hAnsi="Times New Roman"/>
                <w:sz w:val="14"/>
                <w:szCs w:val="14"/>
              </w:rPr>
            </w:pPr>
            <w:r w:rsidRPr="00CF764C">
              <w:rPr>
                <w:rFonts w:ascii="Times New Roman" w:hAnsi="Times New Roman"/>
                <w:sz w:val="14"/>
                <w:szCs w:val="14"/>
              </w:rPr>
              <w:t>1 159 933 991</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CF764C" w:rsidRDefault="00640C5E" w:rsidP="005C0638">
            <w:pPr>
              <w:jc w:val="right"/>
              <w:rPr>
                <w:rFonts w:ascii="Times New Roman" w:hAnsi="Times New Roman"/>
                <w:sz w:val="14"/>
                <w:szCs w:val="14"/>
              </w:rPr>
            </w:pPr>
            <w:r w:rsidRPr="00CF764C">
              <w:rPr>
                <w:rFonts w:ascii="Times New Roman" w:hAnsi="Times New Roman"/>
                <w:sz w:val="14"/>
                <w:szCs w:val="14"/>
              </w:rPr>
              <w:t>1 174 997 075</w:t>
            </w:r>
          </w:p>
        </w:tc>
        <w:tc>
          <w:tcPr>
            <w:tcW w:w="546" w:type="pct"/>
            <w:tcBorders>
              <w:top w:val="single" w:sz="4" w:space="0" w:color="auto"/>
              <w:left w:val="single" w:sz="4" w:space="0" w:color="auto"/>
              <w:bottom w:val="single" w:sz="4" w:space="0" w:color="auto"/>
              <w:right w:val="single" w:sz="4" w:space="0" w:color="auto"/>
            </w:tcBorders>
            <w:vAlign w:val="bottom"/>
            <w:hideMark/>
          </w:tcPr>
          <w:p w:rsidR="00640C5E" w:rsidRPr="00CF764C" w:rsidRDefault="00640C5E" w:rsidP="005C0638">
            <w:pPr>
              <w:jc w:val="right"/>
              <w:rPr>
                <w:rFonts w:ascii="Times New Roman" w:hAnsi="Times New Roman"/>
                <w:sz w:val="14"/>
                <w:szCs w:val="14"/>
              </w:rPr>
            </w:pPr>
            <w:r w:rsidRPr="00CF764C">
              <w:rPr>
                <w:rFonts w:ascii="Times New Roman" w:hAnsi="Times New Roman"/>
                <w:sz w:val="14"/>
                <w:szCs w:val="14"/>
              </w:rPr>
              <w:t>1 310 049 421</w:t>
            </w:r>
          </w:p>
        </w:tc>
        <w:tc>
          <w:tcPr>
            <w:tcW w:w="546" w:type="pct"/>
            <w:tcBorders>
              <w:top w:val="single" w:sz="4" w:space="0" w:color="auto"/>
              <w:left w:val="single" w:sz="4" w:space="0" w:color="auto"/>
              <w:bottom w:val="single" w:sz="4" w:space="0" w:color="auto"/>
              <w:right w:val="single" w:sz="4" w:space="0" w:color="auto"/>
            </w:tcBorders>
            <w:vAlign w:val="bottom"/>
            <w:hideMark/>
          </w:tcPr>
          <w:p w:rsidR="00640C5E" w:rsidRPr="00CF764C" w:rsidRDefault="00640C5E" w:rsidP="005C0638">
            <w:pPr>
              <w:jc w:val="right"/>
              <w:rPr>
                <w:rFonts w:ascii="Times New Roman" w:hAnsi="Times New Roman"/>
                <w:sz w:val="14"/>
                <w:szCs w:val="14"/>
              </w:rPr>
            </w:pPr>
            <w:r w:rsidRPr="00CF764C">
              <w:rPr>
                <w:rFonts w:ascii="Times New Roman" w:hAnsi="Times New Roman"/>
                <w:sz w:val="14"/>
                <w:szCs w:val="14"/>
              </w:rPr>
              <w:t>1 200 433 812</w:t>
            </w:r>
          </w:p>
        </w:tc>
        <w:tc>
          <w:tcPr>
            <w:tcW w:w="546" w:type="pct"/>
            <w:tcBorders>
              <w:top w:val="single" w:sz="4" w:space="0" w:color="auto"/>
              <w:left w:val="single" w:sz="4" w:space="0" w:color="auto"/>
              <w:bottom w:val="single" w:sz="4" w:space="0" w:color="auto"/>
              <w:right w:val="single" w:sz="4" w:space="0" w:color="auto"/>
            </w:tcBorders>
            <w:vAlign w:val="bottom"/>
            <w:hideMark/>
          </w:tcPr>
          <w:p w:rsidR="00640C5E" w:rsidRPr="00CF764C" w:rsidRDefault="00640C5E" w:rsidP="005C0638">
            <w:pPr>
              <w:jc w:val="right"/>
              <w:rPr>
                <w:rFonts w:ascii="Times New Roman" w:hAnsi="Times New Roman"/>
                <w:sz w:val="14"/>
                <w:szCs w:val="14"/>
              </w:rPr>
            </w:pPr>
            <w:r w:rsidRPr="00CF764C">
              <w:rPr>
                <w:rFonts w:ascii="Times New Roman" w:hAnsi="Times New Roman"/>
                <w:sz w:val="14"/>
                <w:szCs w:val="14"/>
              </w:rPr>
              <w:t>1 151 189 376</w:t>
            </w:r>
          </w:p>
        </w:tc>
        <w:tc>
          <w:tcPr>
            <w:tcW w:w="546" w:type="pct"/>
            <w:tcBorders>
              <w:top w:val="single" w:sz="4" w:space="0" w:color="auto"/>
              <w:left w:val="single" w:sz="4" w:space="0" w:color="auto"/>
              <w:bottom w:val="single" w:sz="4" w:space="0" w:color="auto"/>
              <w:right w:val="single" w:sz="4" w:space="0" w:color="auto"/>
            </w:tcBorders>
            <w:vAlign w:val="bottom"/>
            <w:hideMark/>
          </w:tcPr>
          <w:p w:rsidR="00640C5E" w:rsidRPr="00CF764C" w:rsidRDefault="00640C5E" w:rsidP="005C0638">
            <w:pPr>
              <w:jc w:val="right"/>
              <w:rPr>
                <w:rFonts w:ascii="Times New Roman" w:hAnsi="Times New Roman"/>
                <w:sz w:val="14"/>
                <w:szCs w:val="14"/>
              </w:rPr>
            </w:pPr>
            <w:r w:rsidRPr="00CF764C">
              <w:rPr>
                <w:rFonts w:ascii="Times New Roman" w:hAnsi="Times New Roman"/>
                <w:sz w:val="14"/>
                <w:szCs w:val="14"/>
              </w:rPr>
              <w:t>1 177 714 549</w:t>
            </w:r>
          </w:p>
        </w:tc>
        <w:tc>
          <w:tcPr>
            <w:tcW w:w="546" w:type="pct"/>
            <w:tcBorders>
              <w:top w:val="single" w:sz="4" w:space="0" w:color="auto"/>
              <w:left w:val="single" w:sz="4" w:space="0" w:color="auto"/>
              <w:bottom w:val="single" w:sz="4" w:space="0" w:color="auto"/>
              <w:right w:val="single" w:sz="4" w:space="0" w:color="auto"/>
            </w:tcBorders>
            <w:vAlign w:val="bottom"/>
            <w:hideMark/>
          </w:tcPr>
          <w:p w:rsidR="00640C5E" w:rsidRPr="00CF764C" w:rsidRDefault="00640C5E" w:rsidP="005C0638">
            <w:pPr>
              <w:jc w:val="right"/>
              <w:rPr>
                <w:rFonts w:ascii="Times New Roman" w:hAnsi="Times New Roman"/>
                <w:sz w:val="14"/>
                <w:szCs w:val="14"/>
              </w:rPr>
            </w:pPr>
            <w:r w:rsidRPr="00CF764C">
              <w:rPr>
                <w:rFonts w:ascii="Times New Roman" w:hAnsi="Times New Roman"/>
                <w:sz w:val="14"/>
                <w:szCs w:val="14"/>
              </w:rPr>
              <w:t>1 232 923 393</w:t>
            </w:r>
          </w:p>
        </w:tc>
      </w:tr>
    </w:tbl>
    <w:p w:rsidR="00640C5E" w:rsidRDefault="00640C5E" w:rsidP="00640C5E">
      <w:pPr>
        <w:jc w:val="both"/>
        <w:rPr>
          <w:rFonts w:ascii="Times New Roman" w:hAnsi="Times New Roman"/>
          <w:b/>
          <w:bCs/>
          <w:iCs/>
        </w:rPr>
      </w:pPr>
    </w:p>
    <w:p w:rsidR="00640C5E" w:rsidRDefault="00640C5E" w:rsidP="00640C5E">
      <w:pPr>
        <w:ind w:firstLine="708"/>
        <w:jc w:val="both"/>
        <w:rPr>
          <w:rFonts w:ascii="Times New Roman" w:hAnsi="Times New Roman" w:cs="Times New Roman"/>
          <w:iCs/>
        </w:rPr>
      </w:pPr>
      <w:r>
        <w:rPr>
          <w:rFonts w:ascii="Times New Roman" w:hAnsi="Times New Roman" w:cs="Times New Roman"/>
          <w:iCs/>
        </w:rPr>
        <w:t>Mierny pokles výdavkov spojených so správou  štátneho dlhu v roku 2018 je spôsobený nahrádzaním splatných dlhopisov s väčšími kupónmi novo-emitovanými dlhopismi s nižšími výnosmi, a to aj pri zlepšovaní parametrov portfólia štátneho dlhu (zväčšovanie priemernej splatnosti a </w:t>
      </w:r>
      <w:proofErr w:type="spellStart"/>
      <w:r>
        <w:rPr>
          <w:rFonts w:ascii="Times New Roman" w:hAnsi="Times New Roman" w:cs="Times New Roman"/>
          <w:iCs/>
        </w:rPr>
        <w:t>durácie</w:t>
      </w:r>
      <w:proofErr w:type="spellEnd"/>
      <w:r>
        <w:rPr>
          <w:rFonts w:ascii="Times New Roman" w:hAnsi="Times New Roman" w:cs="Times New Roman"/>
          <w:iCs/>
        </w:rPr>
        <w:t>).</w:t>
      </w:r>
    </w:p>
    <w:p w:rsidR="00640C5E" w:rsidRDefault="00640C5E" w:rsidP="00640C5E">
      <w:pPr>
        <w:ind w:firstLine="709"/>
        <w:jc w:val="both"/>
        <w:rPr>
          <w:rFonts w:ascii="Times New Roman" w:hAnsi="Times New Roman" w:cs="Times New Roman"/>
          <w:iCs/>
        </w:rPr>
      </w:pPr>
    </w:p>
    <w:p w:rsidR="00640C5E" w:rsidRDefault="00640C5E" w:rsidP="00640C5E">
      <w:pPr>
        <w:ind w:firstLine="709"/>
        <w:jc w:val="both"/>
        <w:rPr>
          <w:rFonts w:ascii="Times New Roman" w:hAnsi="Times New Roman" w:cs="Times New Roman"/>
          <w:iCs/>
        </w:rPr>
      </w:pPr>
      <w:r>
        <w:rPr>
          <w:rFonts w:ascii="Times New Roman" w:hAnsi="Times New Roman" w:cs="Times New Roman"/>
          <w:iCs/>
        </w:rPr>
        <w:t>Vo výdavkoch spojených so správou štátneho dlhu sú zahrnuté aj náklady na úhradu úrokového diferenciálu pre Národnú banku Slovenska v súvislosti s operáciami s Medzinárodným menovým fondom. Sú tu zahrnuté aj manipulačné poplatky platené bankám v súvislosti so správou a vedením účtov vzťahujúcich sa k pohľadávkam Slovenskej republiky v zahraničí.</w:t>
      </w:r>
    </w:p>
    <w:p w:rsidR="00640C5E" w:rsidRDefault="00640C5E" w:rsidP="00640C5E">
      <w:pPr>
        <w:ind w:firstLine="709"/>
        <w:jc w:val="both"/>
        <w:rPr>
          <w:rFonts w:ascii="Times New Roman" w:hAnsi="Times New Roman" w:cs="Times New Roman"/>
          <w:iCs/>
        </w:rPr>
      </w:pPr>
    </w:p>
    <w:p w:rsidR="000736F2" w:rsidRDefault="000736F2" w:rsidP="00640C5E">
      <w:pPr>
        <w:ind w:firstLine="709"/>
        <w:jc w:val="both"/>
        <w:rPr>
          <w:rFonts w:ascii="Times New Roman" w:hAnsi="Times New Roman" w:cs="Times New Roman"/>
          <w:iCs/>
        </w:rPr>
      </w:pPr>
    </w:p>
    <w:p w:rsidR="000736F2" w:rsidRDefault="000736F2" w:rsidP="00640C5E">
      <w:pPr>
        <w:ind w:firstLine="709"/>
        <w:jc w:val="both"/>
        <w:rPr>
          <w:rFonts w:ascii="Times New Roman" w:hAnsi="Times New Roman" w:cs="Times New Roman"/>
          <w:iCs/>
        </w:rPr>
      </w:pPr>
    </w:p>
    <w:p w:rsidR="000736F2" w:rsidRDefault="000736F2" w:rsidP="00640C5E">
      <w:pPr>
        <w:ind w:firstLine="709"/>
        <w:jc w:val="both"/>
        <w:rPr>
          <w:rFonts w:ascii="Times New Roman" w:hAnsi="Times New Roman" w:cs="Times New Roman"/>
          <w:iCs/>
        </w:rPr>
      </w:pPr>
    </w:p>
    <w:p w:rsidR="000736F2" w:rsidRDefault="000736F2" w:rsidP="00640C5E">
      <w:pPr>
        <w:ind w:firstLine="709"/>
        <w:jc w:val="both"/>
        <w:rPr>
          <w:rFonts w:ascii="Times New Roman" w:hAnsi="Times New Roman" w:cs="Times New Roman"/>
          <w:iCs/>
        </w:rPr>
      </w:pPr>
    </w:p>
    <w:p w:rsidR="000736F2" w:rsidRDefault="000736F2" w:rsidP="00640C5E">
      <w:pPr>
        <w:ind w:firstLine="709"/>
        <w:jc w:val="both"/>
        <w:rPr>
          <w:rFonts w:ascii="Times New Roman" w:hAnsi="Times New Roman" w:cs="Times New Roman"/>
          <w:iCs/>
        </w:rPr>
      </w:pPr>
    </w:p>
    <w:p w:rsidR="00640C5E" w:rsidRDefault="00640C5E" w:rsidP="00640C5E">
      <w:pPr>
        <w:rPr>
          <w:rFonts w:ascii="Times New Roman" w:hAnsi="Times New Roman" w:cs="Times New Roman"/>
          <w:i/>
          <w:iCs/>
          <w:u w:val="single"/>
        </w:rPr>
      </w:pPr>
      <w:r>
        <w:rPr>
          <w:rFonts w:ascii="Times New Roman" w:hAnsi="Times New Roman" w:cs="Times New Roman"/>
          <w:i/>
          <w:iCs/>
          <w:u w:val="single"/>
        </w:rPr>
        <w:lastRenderedPageBreak/>
        <w:t>Základné predpoklady pri rozpočtovaní nákladov na financovanie štátneho dlhu</w:t>
      </w:r>
    </w:p>
    <w:p w:rsidR="00640C5E" w:rsidRDefault="00640C5E" w:rsidP="00640C5E">
      <w:pPr>
        <w:rPr>
          <w:rFonts w:ascii="Times New Roman" w:hAnsi="Times New Roman" w:cs="Times New Roman"/>
          <w:b/>
          <w:i/>
          <w:iCs/>
          <w:u w:val="single"/>
        </w:rPr>
      </w:pPr>
    </w:p>
    <w:p w:rsidR="00640C5E" w:rsidRDefault="00640C5E" w:rsidP="00640C5E">
      <w:pPr>
        <w:contextualSpacing/>
        <w:rPr>
          <w:rFonts w:ascii="Times New Roman" w:hAnsi="Times New Roman" w:cs="Times New Roman"/>
          <w:i/>
        </w:rPr>
      </w:pPr>
      <w:r>
        <w:rPr>
          <w:rFonts w:ascii="Times New Roman" w:hAnsi="Times New Roman" w:cs="Times New Roman"/>
          <w:i/>
        </w:rPr>
        <w:t>A. Celková hodnota štátneho dlhu</w:t>
      </w:r>
    </w:p>
    <w:p w:rsidR="00640C5E" w:rsidRDefault="00640C5E" w:rsidP="00640C5E">
      <w:pPr>
        <w:jc w:val="both"/>
        <w:rPr>
          <w:rFonts w:ascii="Times New Roman" w:hAnsi="Times New Roman" w:cs="Times New Roman"/>
          <w:highlight w:val="yellow"/>
        </w:rPr>
      </w:pPr>
    </w:p>
    <w:p w:rsidR="00640C5E" w:rsidRPr="002F31E5" w:rsidRDefault="00640C5E" w:rsidP="00640C5E">
      <w:pPr>
        <w:ind w:firstLine="708"/>
        <w:jc w:val="both"/>
        <w:rPr>
          <w:rFonts w:ascii="Times New Roman" w:hAnsi="Times New Roman"/>
        </w:rPr>
      </w:pPr>
      <w:r w:rsidRPr="002F31E5">
        <w:rPr>
          <w:rFonts w:ascii="Times New Roman" w:hAnsi="Times New Roman"/>
        </w:rPr>
        <w:t>Štátny dlh je v zmysle zákona o </w:t>
      </w:r>
      <w:r w:rsidR="00901C6C">
        <w:rPr>
          <w:rFonts w:ascii="Times New Roman" w:hAnsi="Times New Roman"/>
        </w:rPr>
        <w:t>š</w:t>
      </w:r>
      <w:r w:rsidRPr="002F31E5">
        <w:rPr>
          <w:rFonts w:ascii="Times New Roman" w:hAnsi="Times New Roman"/>
        </w:rPr>
        <w:t xml:space="preserve">tátnom dlhu a štátnych zárukách hodnota záväzkov z minulých rokov (najmä emitované štátne dlhopisy, štátne pokladničné poukážky, vládne úvery, medzinárodné záväzky, prijaté </w:t>
      </w:r>
      <w:proofErr w:type="spellStart"/>
      <w:r w:rsidRPr="002F31E5">
        <w:rPr>
          <w:rFonts w:ascii="Times New Roman" w:hAnsi="Times New Roman"/>
        </w:rPr>
        <w:t>kolaterály</w:t>
      </w:r>
      <w:proofErr w:type="spellEnd"/>
      <w:r w:rsidRPr="002F31E5">
        <w:rPr>
          <w:rFonts w:ascii="Times New Roman" w:hAnsi="Times New Roman"/>
        </w:rPr>
        <w:t xml:space="preserve"> a krátkodobé pôžičky na peňažnom trhu). Štátny dlh sa bude pravdepodobne v nasledujúcich rokoch k 31.12. vyvíjať nasledovne:</w:t>
      </w:r>
    </w:p>
    <w:p w:rsidR="00640C5E" w:rsidRPr="002F31E5" w:rsidRDefault="00640C5E" w:rsidP="00640C5E">
      <w:pPr>
        <w:ind w:left="7080" w:firstLine="708"/>
        <w:jc w:val="both"/>
        <w:rPr>
          <w:rFonts w:ascii="Times New Roman" w:hAnsi="Times New Roman"/>
          <w:sz w:val="16"/>
          <w:szCs w:val="16"/>
        </w:rPr>
      </w:pPr>
      <w:r w:rsidRPr="002F31E5">
        <w:rPr>
          <w:rFonts w:ascii="Times New Roman" w:hAnsi="Times New Roman"/>
          <w:sz w:val="16"/>
          <w:szCs w:val="1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2"/>
        <w:gridCol w:w="991"/>
        <w:gridCol w:w="991"/>
        <w:gridCol w:w="990"/>
        <w:gridCol w:w="990"/>
        <w:gridCol w:w="990"/>
        <w:gridCol w:w="990"/>
        <w:gridCol w:w="988"/>
      </w:tblGrid>
      <w:tr w:rsidR="00640C5E" w:rsidRPr="002F31E5" w:rsidTr="000736F2">
        <w:trPr>
          <w:trHeight w:val="283"/>
          <w:jc w:val="center"/>
        </w:trPr>
        <w:tc>
          <w:tcPr>
            <w:tcW w:w="117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Pr="002F31E5" w:rsidRDefault="00640C5E" w:rsidP="005C0638">
            <w:pPr>
              <w:rPr>
                <w:rFonts w:ascii="Times New Roman" w:hAnsi="Times New Roman" w:cs="Times New Roman"/>
                <w:b/>
                <w:bCs/>
                <w:color w:val="000000"/>
                <w:sz w:val="14"/>
                <w:szCs w:val="14"/>
                <w:lang w:eastAsia="sk-SK"/>
              </w:rPr>
            </w:pPr>
            <w:r w:rsidRPr="002F31E5">
              <w:rPr>
                <w:rFonts w:ascii="Times New Roman" w:hAnsi="Times New Roman" w:cs="Times New Roman"/>
                <w:b/>
                <w:bCs/>
                <w:color w:val="000000"/>
                <w:sz w:val="14"/>
                <w:szCs w:val="14"/>
                <w:lang w:eastAsia="sk-SK"/>
              </w:rPr>
              <w:t>v mld. eur</w:t>
            </w:r>
          </w:p>
        </w:tc>
        <w:tc>
          <w:tcPr>
            <w:tcW w:w="54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Pr="002F31E5" w:rsidRDefault="00640C5E" w:rsidP="005C0638">
            <w:pPr>
              <w:jc w:val="center"/>
              <w:rPr>
                <w:rFonts w:ascii="Times New Roman" w:hAnsi="Times New Roman" w:cs="Times New Roman"/>
                <w:b/>
                <w:bCs/>
                <w:color w:val="000000"/>
                <w:sz w:val="14"/>
                <w:szCs w:val="14"/>
                <w:lang w:eastAsia="sk-SK"/>
              </w:rPr>
            </w:pPr>
            <w:r w:rsidRPr="002F31E5">
              <w:rPr>
                <w:rFonts w:ascii="Times New Roman" w:hAnsi="Times New Roman" w:cs="Times New Roman"/>
                <w:b/>
                <w:bCs/>
                <w:color w:val="000000"/>
                <w:sz w:val="14"/>
                <w:szCs w:val="14"/>
                <w:lang w:eastAsia="sk-SK"/>
              </w:rPr>
              <w:t>2015 S</w:t>
            </w:r>
          </w:p>
        </w:tc>
        <w:tc>
          <w:tcPr>
            <w:tcW w:w="54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Pr="002F31E5" w:rsidRDefault="00640C5E" w:rsidP="005C0638">
            <w:pPr>
              <w:jc w:val="center"/>
              <w:rPr>
                <w:rFonts w:ascii="Times New Roman" w:hAnsi="Times New Roman" w:cs="Times New Roman"/>
                <w:b/>
                <w:bCs/>
                <w:color w:val="000000"/>
                <w:sz w:val="14"/>
                <w:szCs w:val="14"/>
                <w:lang w:eastAsia="sk-SK"/>
              </w:rPr>
            </w:pPr>
            <w:r w:rsidRPr="002F31E5">
              <w:rPr>
                <w:rFonts w:ascii="Times New Roman" w:hAnsi="Times New Roman" w:cs="Times New Roman"/>
                <w:b/>
                <w:bCs/>
                <w:color w:val="000000"/>
                <w:sz w:val="14"/>
                <w:szCs w:val="14"/>
                <w:lang w:eastAsia="sk-SK"/>
              </w:rPr>
              <w:t>2016 S</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Pr="002F31E5" w:rsidRDefault="00640C5E" w:rsidP="005C0638">
            <w:pPr>
              <w:jc w:val="center"/>
              <w:rPr>
                <w:rFonts w:ascii="Times New Roman" w:hAnsi="Times New Roman" w:cs="Times New Roman"/>
                <w:b/>
                <w:bCs/>
                <w:sz w:val="14"/>
                <w:szCs w:val="14"/>
                <w:lang w:eastAsia="sk-SK"/>
              </w:rPr>
            </w:pPr>
            <w:r w:rsidRPr="002F31E5">
              <w:rPr>
                <w:rFonts w:ascii="Times New Roman" w:hAnsi="Times New Roman" w:cs="Times New Roman"/>
                <w:b/>
                <w:bCs/>
                <w:sz w:val="14"/>
                <w:szCs w:val="14"/>
                <w:lang w:eastAsia="sk-SK"/>
              </w:rPr>
              <w:t>2017 R</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Pr="002F31E5" w:rsidRDefault="00640C5E" w:rsidP="005C0638">
            <w:pPr>
              <w:jc w:val="center"/>
              <w:rPr>
                <w:rFonts w:ascii="Times New Roman" w:hAnsi="Times New Roman" w:cs="Times New Roman"/>
                <w:b/>
                <w:bCs/>
                <w:sz w:val="14"/>
                <w:szCs w:val="14"/>
                <w:lang w:eastAsia="sk-SK"/>
              </w:rPr>
            </w:pPr>
            <w:r w:rsidRPr="002F31E5">
              <w:rPr>
                <w:rFonts w:ascii="Times New Roman" w:hAnsi="Times New Roman" w:cs="Times New Roman"/>
                <w:b/>
                <w:bCs/>
                <w:sz w:val="14"/>
                <w:szCs w:val="14"/>
                <w:lang w:eastAsia="sk-SK"/>
              </w:rPr>
              <w:t>2017 OS</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Pr="002F31E5" w:rsidRDefault="00640C5E" w:rsidP="005C0638">
            <w:pPr>
              <w:jc w:val="center"/>
              <w:rPr>
                <w:rFonts w:ascii="Times New Roman" w:hAnsi="Times New Roman" w:cs="Times New Roman"/>
                <w:b/>
                <w:bCs/>
                <w:sz w:val="14"/>
                <w:szCs w:val="14"/>
                <w:lang w:eastAsia="sk-SK"/>
              </w:rPr>
            </w:pPr>
            <w:r w:rsidRPr="002F31E5">
              <w:rPr>
                <w:rFonts w:ascii="Times New Roman" w:hAnsi="Times New Roman" w:cs="Times New Roman"/>
                <w:b/>
                <w:bCs/>
                <w:sz w:val="14"/>
                <w:szCs w:val="14"/>
                <w:lang w:eastAsia="sk-SK"/>
              </w:rPr>
              <w:t>2018 N</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Pr="002F31E5" w:rsidRDefault="00640C5E" w:rsidP="005C0638">
            <w:pPr>
              <w:jc w:val="center"/>
              <w:rPr>
                <w:rFonts w:ascii="Times New Roman" w:hAnsi="Times New Roman" w:cs="Times New Roman"/>
                <w:b/>
                <w:bCs/>
                <w:sz w:val="14"/>
                <w:szCs w:val="14"/>
                <w:lang w:eastAsia="sk-SK"/>
              </w:rPr>
            </w:pPr>
            <w:r w:rsidRPr="002F31E5">
              <w:rPr>
                <w:rFonts w:ascii="Times New Roman" w:hAnsi="Times New Roman" w:cs="Times New Roman"/>
                <w:b/>
                <w:bCs/>
                <w:sz w:val="14"/>
                <w:szCs w:val="14"/>
                <w:lang w:eastAsia="sk-SK"/>
              </w:rPr>
              <w:t>2019 N</w:t>
            </w:r>
          </w:p>
        </w:tc>
        <w:tc>
          <w:tcPr>
            <w:tcW w:w="54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Pr="002F31E5" w:rsidRDefault="00640C5E" w:rsidP="005C0638">
            <w:pPr>
              <w:jc w:val="center"/>
              <w:rPr>
                <w:rFonts w:ascii="Times New Roman" w:hAnsi="Times New Roman" w:cs="Times New Roman"/>
                <w:b/>
                <w:bCs/>
                <w:sz w:val="14"/>
                <w:szCs w:val="14"/>
                <w:lang w:eastAsia="sk-SK"/>
              </w:rPr>
            </w:pPr>
            <w:r w:rsidRPr="002F31E5">
              <w:rPr>
                <w:rFonts w:ascii="Times New Roman" w:hAnsi="Times New Roman" w:cs="Times New Roman"/>
                <w:b/>
                <w:bCs/>
                <w:sz w:val="14"/>
                <w:szCs w:val="14"/>
                <w:lang w:eastAsia="sk-SK"/>
              </w:rPr>
              <w:t>2020 N</w:t>
            </w:r>
          </w:p>
        </w:tc>
      </w:tr>
      <w:tr w:rsidR="00640C5E" w:rsidRPr="002F31E5" w:rsidTr="005C0638">
        <w:trPr>
          <w:trHeight w:val="283"/>
          <w:jc w:val="center"/>
        </w:trPr>
        <w:tc>
          <w:tcPr>
            <w:tcW w:w="1177" w:type="pct"/>
            <w:tcBorders>
              <w:top w:val="single" w:sz="4" w:space="0" w:color="auto"/>
              <w:left w:val="single" w:sz="4" w:space="0" w:color="auto"/>
              <w:bottom w:val="single" w:sz="4" w:space="0" w:color="auto"/>
              <w:right w:val="single" w:sz="4" w:space="0" w:color="auto"/>
            </w:tcBorders>
            <w:noWrap/>
            <w:vAlign w:val="bottom"/>
            <w:hideMark/>
          </w:tcPr>
          <w:p w:rsidR="00640C5E" w:rsidRPr="002F31E5" w:rsidRDefault="00640C5E" w:rsidP="005C0638">
            <w:pPr>
              <w:rPr>
                <w:rFonts w:ascii="Times New Roman" w:hAnsi="Times New Roman" w:cs="Times New Roman"/>
                <w:color w:val="000000"/>
                <w:sz w:val="14"/>
                <w:szCs w:val="14"/>
                <w:lang w:eastAsia="sk-SK"/>
              </w:rPr>
            </w:pPr>
            <w:r w:rsidRPr="002F31E5">
              <w:rPr>
                <w:rFonts w:ascii="Times New Roman" w:hAnsi="Times New Roman" w:cs="Times New Roman"/>
                <w:color w:val="000000"/>
                <w:sz w:val="14"/>
                <w:szCs w:val="14"/>
                <w:lang w:eastAsia="sk-SK"/>
              </w:rPr>
              <w:t xml:space="preserve">Štátny dlh </w:t>
            </w:r>
          </w:p>
        </w:tc>
        <w:tc>
          <w:tcPr>
            <w:tcW w:w="547" w:type="pct"/>
            <w:tcBorders>
              <w:top w:val="single" w:sz="4" w:space="0" w:color="auto"/>
              <w:left w:val="single" w:sz="4" w:space="0" w:color="auto"/>
              <w:bottom w:val="single" w:sz="4" w:space="0" w:color="auto"/>
              <w:right w:val="single" w:sz="4" w:space="0" w:color="auto"/>
            </w:tcBorders>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sidRPr="002F31E5">
              <w:rPr>
                <w:rFonts w:ascii="Times New Roman" w:hAnsi="Times New Roman" w:cs="Times New Roman"/>
                <w:color w:val="000000"/>
                <w:sz w:val="14"/>
                <w:szCs w:val="14"/>
                <w:lang w:eastAsia="sk-SK"/>
              </w:rPr>
              <w:t>39,286</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sidRPr="002F31E5">
              <w:rPr>
                <w:rFonts w:ascii="Times New Roman" w:hAnsi="Times New Roman" w:cs="Times New Roman"/>
                <w:color w:val="000000"/>
                <w:sz w:val="14"/>
                <w:szCs w:val="14"/>
                <w:lang w:eastAsia="sk-SK"/>
              </w:rPr>
              <w:t>40,289</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sidRPr="002F31E5">
              <w:rPr>
                <w:rFonts w:ascii="Times New Roman" w:hAnsi="Times New Roman" w:cs="Times New Roman"/>
                <w:color w:val="000000"/>
                <w:sz w:val="14"/>
                <w:szCs w:val="14"/>
                <w:lang w:eastAsia="sk-SK"/>
              </w:rPr>
              <w:t>42,668</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41,519</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A210B7">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w:t>
            </w:r>
            <w:r w:rsidR="00A210B7">
              <w:rPr>
                <w:rFonts w:ascii="Times New Roman" w:hAnsi="Times New Roman" w:cs="Times New Roman"/>
                <w:color w:val="000000"/>
                <w:sz w:val="14"/>
                <w:szCs w:val="14"/>
                <w:lang w:eastAsia="sk-SK"/>
              </w:rPr>
              <w:t>3</w:t>
            </w:r>
            <w:r>
              <w:rPr>
                <w:rFonts w:ascii="Times New Roman" w:hAnsi="Times New Roman" w:cs="Times New Roman"/>
                <w:color w:val="000000"/>
                <w:sz w:val="14"/>
                <w:szCs w:val="14"/>
                <w:lang w:eastAsia="sk-SK"/>
              </w:rPr>
              <w:t>,093</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43,941</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44,398</w:t>
            </w:r>
          </w:p>
        </w:tc>
      </w:tr>
      <w:tr w:rsidR="00640C5E" w:rsidRPr="002F31E5" w:rsidTr="005C0638">
        <w:trPr>
          <w:trHeight w:val="283"/>
          <w:jc w:val="center"/>
        </w:trPr>
        <w:tc>
          <w:tcPr>
            <w:tcW w:w="1177" w:type="pct"/>
            <w:tcBorders>
              <w:top w:val="single" w:sz="4" w:space="0" w:color="auto"/>
              <w:left w:val="single" w:sz="4" w:space="0" w:color="auto"/>
              <w:bottom w:val="single" w:sz="4" w:space="0" w:color="auto"/>
              <w:right w:val="single" w:sz="4" w:space="0" w:color="auto"/>
            </w:tcBorders>
            <w:noWrap/>
            <w:vAlign w:val="bottom"/>
            <w:hideMark/>
          </w:tcPr>
          <w:p w:rsidR="00640C5E" w:rsidRPr="002F31E5" w:rsidRDefault="00640C5E" w:rsidP="005C0638">
            <w:pPr>
              <w:rPr>
                <w:rFonts w:ascii="Times New Roman" w:hAnsi="Times New Roman" w:cs="Times New Roman"/>
                <w:color w:val="000000"/>
                <w:sz w:val="14"/>
                <w:szCs w:val="14"/>
                <w:lang w:eastAsia="sk-SK"/>
              </w:rPr>
            </w:pPr>
            <w:r w:rsidRPr="002F31E5">
              <w:rPr>
                <w:rFonts w:ascii="Times New Roman" w:hAnsi="Times New Roman" w:cs="Times New Roman"/>
                <w:color w:val="000000"/>
                <w:sz w:val="14"/>
                <w:szCs w:val="14"/>
                <w:lang w:eastAsia="sk-SK"/>
              </w:rPr>
              <w:t>Štátna pokladnica</w:t>
            </w:r>
          </w:p>
        </w:tc>
        <w:tc>
          <w:tcPr>
            <w:tcW w:w="547" w:type="pct"/>
            <w:tcBorders>
              <w:top w:val="single" w:sz="4" w:space="0" w:color="auto"/>
              <w:left w:val="single" w:sz="4" w:space="0" w:color="auto"/>
              <w:bottom w:val="single" w:sz="4" w:space="0" w:color="auto"/>
              <w:right w:val="single" w:sz="4" w:space="0" w:color="auto"/>
            </w:tcBorders>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sidRPr="002F31E5">
              <w:rPr>
                <w:rFonts w:ascii="Times New Roman" w:hAnsi="Times New Roman" w:cs="Times New Roman"/>
                <w:color w:val="000000"/>
                <w:sz w:val="14"/>
                <w:szCs w:val="14"/>
                <w:lang w:eastAsia="sk-SK"/>
              </w:rPr>
              <w:t>6,898</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sidRPr="002F31E5">
              <w:rPr>
                <w:rFonts w:ascii="Times New Roman" w:hAnsi="Times New Roman" w:cs="Times New Roman"/>
                <w:color w:val="000000"/>
                <w:sz w:val="14"/>
                <w:szCs w:val="14"/>
                <w:lang w:eastAsia="sk-SK"/>
              </w:rPr>
              <w:t>7,356</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sidRPr="002F31E5">
              <w:rPr>
                <w:rFonts w:ascii="Times New Roman" w:hAnsi="Times New Roman" w:cs="Times New Roman"/>
                <w:color w:val="000000"/>
                <w:sz w:val="14"/>
                <w:szCs w:val="14"/>
                <w:lang w:eastAsia="sk-SK"/>
              </w:rPr>
              <w:t>7,296</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sidRPr="002F31E5">
              <w:rPr>
                <w:rFonts w:ascii="Times New Roman" w:hAnsi="Times New Roman" w:cs="Times New Roman"/>
                <w:color w:val="000000"/>
                <w:sz w:val="14"/>
                <w:szCs w:val="14"/>
                <w:lang w:eastAsia="sk-SK"/>
              </w:rPr>
              <w:t>7,806</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sidRPr="002F31E5">
              <w:rPr>
                <w:rFonts w:ascii="Times New Roman" w:hAnsi="Times New Roman" w:cs="Times New Roman"/>
                <w:color w:val="000000"/>
                <w:sz w:val="14"/>
                <w:szCs w:val="14"/>
                <w:lang w:eastAsia="sk-SK"/>
              </w:rPr>
              <w:t>8,344</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sidRPr="002F31E5">
              <w:rPr>
                <w:rFonts w:ascii="Times New Roman" w:hAnsi="Times New Roman" w:cs="Times New Roman"/>
                <w:color w:val="000000"/>
                <w:sz w:val="14"/>
                <w:szCs w:val="14"/>
                <w:lang w:eastAsia="sk-SK"/>
              </w:rPr>
              <w:t>8,862</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sidRPr="002F31E5">
              <w:rPr>
                <w:rFonts w:ascii="Times New Roman" w:hAnsi="Times New Roman" w:cs="Times New Roman"/>
                <w:color w:val="000000"/>
                <w:sz w:val="14"/>
                <w:szCs w:val="14"/>
                <w:lang w:eastAsia="sk-SK"/>
              </w:rPr>
              <w:t>9,408</w:t>
            </w:r>
          </w:p>
        </w:tc>
      </w:tr>
      <w:tr w:rsidR="00640C5E" w:rsidRPr="002F31E5" w:rsidTr="005C0638">
        <w:trPr>
          <w:trHeight w:val="283"/>
          <w:jc w:val="center"/>
        </w:trPr>
        <w:tc>
          <w:tcPr>
            <w:tcW w:w="1177" w:type="pct"/>
            <w:tcBorders>
              <w:top w:val="single" w:sz="4" w:space="0" w:color="auto"/>
              <w:left w:val="single" w:sz="4" w:space="0" w:color="auto"/>
              <w:bottom w:val="single" w:sz="4" w:space="0" w:color="auto"/>
              <w:right w:val="single" w:sz="4" w:space="0" w:color="auto"/>
            </w:tcBorders>
            <w:noWrap/>
            <w:vAlign w:val="bottom"/>
            <w:hideMark/>
          </w:tcPr>
          <w:p w:rsidR="00640C5E" w:rsidRPr="002F31E5" w:rsidRDefault="00640C5E" w:rsidP="005C0638">
            <w:pPr>
              <w:rPr>
                <w:rFonts w:ascii="Times New Roman" w:hAnsi="Times New Roman" w:cs="Times New Roman"/>
                <w:color w:val="000000"/>
                <w:sz w:val="14"/>
                <w:szCs w:val="14"/>
                <w:lang w:eastAsia="sk-SK"/>
              </w:rPr>
            </w:pPr>
            <w:r w:rsidRPr="002F31E5">
              <w:rPr>
                <w:rFonts w:ascii="Times New Roman" w:hAnsi="Times New Roman" w:cs="Times New Roman"/>
                <w:color w:val="000000"/>
                <w:sz w:val="14"/>
                <w:szCs w:val="14"/>
                <w:lang w:eastAsia="sk-SK"/>
              </w:rPr>
              <w:t>Spolu</w:t>
            </w:r>
          </w:p>
        </w:tc>
        <w:tc>
          <w:tcPr>
            <w:tcW w:w="547" w:type="pct"/>
            <w:tcBorders>
              <w:top w:val="single" w:sz="4" w:space="0" w:color="auto"/>
              <w:left w:val="single" w:sz="4" w:space="0" w:color="auto"/>
              <w:bottom w:val="single" w:sz="4" w:space="0" w:color="auto"/>
              <w:right w:val="single" w:sz="4" w:space="0" w:color="auto"/>
            </w:tcBorders>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sidRPr="002F31E5">
              <w:rPr>
                <w:rFonts w:ascii="Times New Roman" w:hAnsi="Times New Roman" w:cs="Times New Roman"/>
                <w:color w:val="000000"/>
                <w:sz w:val="14"/>
                <w:szCs w:val="14"/>
                <w:lang w:eastAsia="sk-SK"/>
              </w:rPr>
              <w:t>46,184</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sidRPr="002F31E5">
              <w:rPr>
                <w:rFonts w:ascii="Times New Roman" w:hAnsi="Times New Roman" w:cs="Times New Roman"/>
                <w:color w:val="000000"/>
                <w:sz w:val="14"/>
                <w:szCs w:val="14"/>
                <w:lang w:eastAsia="sk-SK"/>
              </w:rPr>
              <w:t>47,645</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sidRPr="002F31E5">
              <w:rPr>
                <w:rFonts w:ascii="Times New Roman" w:hAnsi="Times New Roman" w:cs="Times New Roman"/>
                <w:color w:val="000000"/>
                <w:sz w:val="14"/>
                <w:szCs w:val="14"/>
                <w:lang w:eastAsia="sk-SK"/>
              </w:rPr>
              <w:t>49,964</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49,325</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51,437</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52,8</w:t>
            </w:r>
            <w:r w:rsidRPr="002F31E5">
              <w:rPr>
                <w:rFonts w:ascii="Times New Roman" w:hAnsi="Times New Roman" w:cs="Times New Roman"/>
                <w:color w:val="000000"/>
                <w:sz w:val="14"/>
                <w:szCs w:val="14"/>
                <w:lang w:eastAsia="sk-SK"/>
              </w:rPr>
              <w:t>03</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2F31E5"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53,8</w:t>
            </w:r>
            <w:r w:rsidRPr="002F31E5">
              <w:rPr>
                <w:rFonts w:ascii="Times New Roman" w:hAnsi="Times New Roman" w:cs="Times New Roman"/>
                <w:color w:val="000000"/>
                <w:sz w:val="14"/>
                <w:szCs w:val="14"/>
                <w:lang w:eastAsia="sk-SK"/>
              </w:rPr>
              <w:t>06</w:t>
            </w:r>
          </w:p>
        </w:tc>
      </w:tr>
    </w:tbl>
    <w:p w:rsidR="00640C5E" w:rsidRDefault="00640C5E" w:rsidP="00640C5E">
      <w:pPr>
        <w:jc w:val="both"/>
        <w:rPr>
          <w:rFonts w:ascii="Times New Roman" w:hAnsi="Times New Roman" w:cs="Times New Roman"/>
          <w:highlight w:val="yellow"/>
        </w:rPr>
      </w:pPr>
    </w:p>
    <w:p w:rsidR="00640C5E" w:rsidRDefault="00640C5E" w:rsidP="00640C5E">
      <w:pPr>
        <w:spacing w:after="120"/>
        <w:ind w:firstLine="709"/>
        <w:jc w:val="both"/>
        <w:rPr>
          <w:rFonts w:ascii="Times New Roman" w:hAnsi="Times New Roman" w:cs="Times New Roman"/>
        </w:rPr>
      </w:pPr>
      <w:r>
        <w:rPr>
          <w:rFonts w:ascii="Times New Roman" w:hAnsi="Times New Roman" w:cs="Times New Roman"/>
        </w:rPr>
        <w:t>Štátny dlh sa bude postupne zväčšovať predovšetkým z dôvodu deficitov štátneho rozpočtu</w:t>
      </w:r>
      <w:r>
        <w:rPr>
          <w:rFonts w:ascii="Times New Roman" w:hAnsi="Times New Roman" w:cs="Times New Roman"/>
          <w:color w:val="000000"/>
        </w:rPr>
        <w:t xml:space="preserve">. Veľkosť štátneho dlhu bude ovplyvňovať aj hodnota pôžičiek zo </w:t>
      </w:r>
      <w:r w:rsidR="00901C6C">
        <w:rPr>
          <w:rFonts w:ascii="Times New Roman" w:hAnsi="Times New Roman" w:cs="Times New Roman"/>
          <w:color w:val="000000"/>
        </w:rPr>
        <w:t>s</w:t>
      </w:r>
      <w:r>
        <w:rPr>
          <w:rFonts w:ascii="Times New Roman" w:hAnsi="Times New Roman" w:cs="Times New Roman"/>
          <w:color w:val="000000"/>
        </w:rPr>
        <w:t xml:space="preserve">ystému štátnej pokladnice, pretože časť zdrojov, potrebných na krytie finančných potrieb štátu, získava Ministerstvo financií SR z tohto zdroja. Vplyv na veľkosť štátneho dlhu bude mať aj hodnota finančných zdrojov, ktoré bude Ministerstvo financií SR ukladať krátkodobo </w:t>
      </w:r>
      <w:r>
        <w:rPr>
          <w:rFonts w:ascii="Times New Roman" w:hAnsi="Times New Roman" w:cs="Times New Roman"/>
        </w:rPr>
        <w:t xml:space="preserve">na finančnom trhu s cieľom mať k dispozícii okamžitú rezervu na krytie neočakávaných výkyvov cash </w:t>
      </w:r>
      <w:proofErr w:type="spellStart"/>
      <w:r>
        <w:rPr>
          <w:rFonts w:ascii="Times New Roman" w:hAnsi="Times New Roman" w:cs="Times New Roman"/>
        </w:rPr>
        <w:t>flow</w:t>
      </w:r>
      <w:proofErr w:type="spellEnd"/>
      <w:r>
        <w:rPr>
          <w:rFonts w:ascii="Times New Roman" w:hAnsi="Times New Roman" w:cs="Times New Roman"/>
        </w:rPr>
        <w:t xml:space="preserve"> štátu.</w:t>
      </w:r>
    </w:p>
    <w:p w:rsidR="00640C5E" w:rsidRDefault="00640C5E" w:rsidP="00640C5E">
      <w:pPr>
        <w:ind w:firstLine="708"/>
        <w:jc w:val="both"/>
        <w:rPr>
          <w:rFonts w:ascii="Times New Roman" w:hAnsi="Times New Roman" w:cs="Times New Roman"/>
        </w:rPr>
      </w:pPr>
      <w:r>
        <w:rPr>
          <w:rFonts w:ascii="Times New Roman" w:hAnsi="Times New Roman" w:cs="Times New Roman"/>
        </w:rPr>
        <w:t>Predpokladaný vývoj deficitu štátneho rozpočtu bude nasledovný</w:t>
      </w:r>
      <w:r w:rsidR="00901C6C">
        <w:rPr>
          <w:rFonts w:ascii="Times New Roman" w:hAnsi="Times New Roman" w:cs="Times New Roman"/>
        </w:rPr>
        <w:t>.</w:t>
      </w:r>
    </w:p>
    <w:p w:rsidR="00640C5E" w:rsidRDefault="00640C5E" w:rsidP="00640C5E">
      <w:pPr>
        <w:tabs>
          <w:tab w:val="right" w:pos="9072"/>
        </w:tabs>
        <w:ind w:firstLine="708"/>
        <w:jc w:val="both"/>
        <w:rPr>
          <w:rFonts w:ascii="Times New Roman" w:hAnsi="Times New Roman" w:cs="Times New Roman"/>
          <w:sz w:val="16"/>
          <w:szCs w:val="16"/>
        </w:rPr>
      </w:pPr>
      <w:r>
        <w:rPr>
          <w:rFonts w:ascii="Times New Roman" w:hAnsi="Times New Roman" w:cs="Times New Roman"/>
          <w:sz w:val="16"/>
          <w:szCs w:val="16"/>
        </w:rPr>
        <w:t xml:space="preserve">                                                                                                                                                                   </w:t>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0"/>
        <w:gridCol w:w="993"/>
        <w:gridCol w:w="993"/>
        <w:gridCol w:w="993"/>
        <w:gridCol w:w="993"/>
        <w:gridCol w:w="993"/>
        <w:gridCol w:w="993"/>
        <w:gridCol w:w="987"/>
      </w:tblGrid>
      <w:tr w:rsidR="00640C5E" w:rsidTr="000736F2">
        <w:trPr>
          <w:trHeight w:val="283"/>
          <w:jc w:val="center"/>
        </w:trPr>
        <w:tc>
          <w:tcPr>
            <w:tcW w:w="117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mld. eur</w:t>
            </w:r>
          </w:p>
        </w:tc>
        <w:tc>
          <w:tcPr>
            <w:tcW w:w="54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2015 S</w:t>
            </w:r>
          </w:p>
        </w:tc>
        <w:tc>
          <w:tcPr>
            <w:tcW w:w="54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 S</w:t>
            </w:r>
          </w:p>
        </w:tc>
        <w:tc>
          <w:tcPr>
            <w:tcW w:w="54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R</w:t>
            </w:r>
          </w:p>
        </w:tc>
        <w:tc>
          <w:tcPr>
            <w:tcW w:w="54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OS</w:t>
            </w:r>
          </w:p>
        </w:tc>
        <w:tc>
          <w:tcPr>
            <w:tcW w:w="54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 N</w:t>
            </w:r>
          </w:p>
        </w:tc>
        <w:tc>
          <w:tcPr>
            <w:tcW w:w="54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 N</w:t>
            </w:r>
          </w:p>
        </w:tc>
        <w:tc>
          <w:tcPr>
            <w:tcW w:w="54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 N</w:t>
            </w:r>
          </w:p>
        </w:tc>
      </w:tr>
      <w:tr w:rsidR="00640C5E" w:rsidTr="005C0638">
        <w:trPr>
          <w:trHeight w:val="283"/>
          <w:jc w:val="center"/>
        </w:trPr>
        <w:tc>
          <w:tcPr>
            <w:tcW w:w="1174" w:type="pct"/>
            <w:tcBorders>
              <w:top w:val="single" w:sz="4" w:space="0" w:color="auto"/>
              <w:left w:val="single" w:sz="4" w:space="0" w:color="auto"/>
              <w:bottom w:val="single" w:sz="4" w:space="0" w:color="auto"/>
              <w:right w:val="single" w:sz="4" w:space="0" w:color="auto"/>
            </w:tcBorders>
            <w:noWrap/>
            <w:vAlign w:val="bottom"/>
            <w:hideMark/>
          </w:tcPr>
          <w:p w:rsidR="00640C5E" w:rsidRPr="009F24F7" w:rsidRDefault="00640C5E" w:rsidP="005C0638">
            <w:pPr>
              <w:rPr>
                <w:rFonts w:ascii="Times New Roman" w:hAnsi="Times New Roman" w:cs="Times New Roman"/>
                <w:color w:val="000000"/>
                <w:sz w:val="14"/>
                <w:szCs w:val="14"/>
                <w:lang w:eastAsia="sk-SK"/>
              </w:rPr>
            </w:pPr>
            <w:r w:rsidRPr="009F24F7">
              <w:rPr>
                <w:rFonts w:ascii="Times New Roman" w:hAnsi="Times New Roman" w:cs="Times New Roman"/>
                <w:color w:val="000000"/>
                <w:sz w:val="14"/>
                <w:szCs w:val="14"/>
                <w:lang w:eastAsia="sk-SK"/>
              </w:rPr>
              <w:t xml:space="preserve">Deficit štátneho rozpočtu </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640C5E" w:rsidRPr="009F24F7" w:rsidRDefault="00640C5E" w:rsidP="005C0638">
            <w:pPr>
              <w:jc w:val="right"/>
              <w:rPr>
                <w:rFonts w:ascii="Times New Roman" w:hAnsi="Times New Roman" w:cs="Times New Roman"/>
                <w:color w:val="000000"/>
                <w:sz w:val="14"/>
                <w:szCs w:val="14"/>
                <w:lang w:eastAsia="sk-SK"/>
              </w:rPr>
            </w:pPr>
            <w:r w:rsidRPr="009F24F7">
              <w:rPr>
                <w:rFonts w:ascii="Times New Roman" w:hAnsi="Times New Roman" w:cs="Times New Roman"/>
                <w:color w:val="000000"/>
                <w:sz w:val="14"/>
                <w:szCs w:val="14"/>
                <w:lang w:eastAsia="sk-SK"/>
              </w:rPr>
              <w:t>1,933</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640C5E" w:rsidRPr="009F24F7" w:rsidRDefault="00640C5E" w:rsidP="005C0638">
            <w:pPr>
              <w:jc w:val="right"/>
              <w:rPr>
                <w:rFonts w:ascii="Times New Roman" w:hAnsi="Times New Roman" w:cs="Times New Roman"/>
                <w:color w:val="000000"/>
                <w:sz w:val="14"/>
                <w:szCs w:val="14"/>
                <w:lang w:eastAsia="sk-SK"/>
              </w:rPr>
            </w:pPr>
            <w:r w:rsidRPr="009F24F7">
              <w:rPr>
                <w:rFonts w:ascii="Times New Roman" w:hAnsi="Times New Roman" w:cs="Times New Roman"/>
                <w:color w:val="000000"/>
                <w:sz w:val="14"/>
                <w:szCs w:val="14"/>
                <w:lang w:eastAsia="sk-SK"/>
              </w:rPr>
              <w:t>0,980</w:t>
            </w:r>
          </w:p>
        </w:tc>
        <w:tc>
          <w:tcPr>
            <w:tcW w:w="547" w:type="pct"/>
            <w:tcBorders>
              <w:top w:val="single" w:sz="4" w:space="0" w:color="auto"/>
              <w:left w:val="single" w:sz="4" w:space="0" w:color="auto"/>
              <w:bottom w:val="single" w:sz="4" w:space="0" w:color="auto"/>
              <w:right w:val="single" w:sz="4" w:space="0" w:color="auto"/>
            </w:tcBorders>
            <w:vAlign w:val="bottom"/>
            <w:hideMark/>
          </w:tcPr>
          <w:p w:rsidR="00640C5E" w:rsidRPr="009F24F7" w:rsidRDefault="00640C5E" w:rsidP="005C0638">
            <w:pPr>
              <w:jc w:val="right"/>
              <w:rPr>
                <w:rFonts w:ascii="Times New Roman" w:hAnsi="Times New Roman" w:cs="Times New Roman"/>
                <w:color w:val="000000"/>
                <w:sz w:val="14"/>
                <w:szCs w:val="14"/>
                <w:lang w:eastAsia="sk-SK"/>
              </w:rPr>
            </w:pPr>
            <w:r w:rsidRPr="009F24F7">
              <w:rPr>
                <w:rFonts w:ascii="Times New Roman" w:hAnsi="Times New Roman" w:cs="Times New Roman"/>
                <w:color w:val="000000"/>
                <w:sz w:val="14"/>
                <w:szCs w:val="14"/>
                <w:lang w:eastAsia="sk-SK"/>
              </w:rPr>
              <w:t>1,993</w:t>
            </w:r>
          </w:p>
        </w:tc>
        <w:tc>
          <w:tcPr>
            <w:tcW w:w="547" w:type="pct"/>
            <w:tcBorders>
              <w:top w:val="single" w:sz="4" w:space="0" w:color="auto"/>
              <w:left w:val="single" w:sz="4" w:space="0" w:color="auto"/>
              <w:bottom w:val="single" w:sz="4" w:space="0" w:color="auto"/>
              <w:right w:val="single" w:sz="4" w:space="0" w:color="auto"/>
            </w:tcBorders>
            <w:vAlign w:val="bottom"/>
            <w:hideMark/>
          </w:tcPr>
          <w:p w:rsidR="00640C5E" w:rsidRPr="009F24F7" w:rsidRDefault="00640C5E" w:rsidP="00790350">
            <w:pPr>
              <w:jc w:val="right"/>
              <w:rPr>
                <w:rFonts w:ascii="Times New Roman" w:hAnsi="Times New Roman" w:cs="Times New Roman"/>
                <w:sz w:val="14"/>
                <w:szCs w:val="14"/>
                <w:lang w:eastAsia="sk-SK"/>
              </w:rPr>
            </w:pPr>
            <w:r w:rsidRPr="009F24F7">
              <w:rPr>
                <w:rFonts w:ascii="Times New Roman" w:hAnsi="Times New Roman" w:cs="Times New Roman"/>
                <w:sz w:val="14"/>
                <w:szCs w:val="14"/>
                <w:lang w:eastAsia="sk-SK"/>
              </w:rPr>
              <w:t>1,9</w:t>
            </w:r>
            <w:r w:rsidR="00790350">
              <w:rPr>
                <w:rFonts w:ascii="Times New Roman" w:hAnsi="Times New Roman" w:cs="Times New Roman"/>
                <w:sz w:val="14"/>
                <w:szCs w:val="14"/>
                <w:lang w:eastAsia="sk-SK"/>
              </w:rPr>
              <w:t>8</w:t>
            </w:r>
            <w:r w:rsidRPr="009F24F7">
              <w:rPr>
                <w:rFonts w:ascii="Times New Roman" w:hAnsi="Times New Roman" w:cs="Times New Roman"/>
                <w:sz w:val="14"/>
                <w:szCs w:val="14"/>
                <w:lang w:eastAsia="sk-SK"/>
              </w:rPr>
              <w:t>4</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9F24F7" w:rsidRDefault="00640C5E" w:rsidP="009F24F7">
            <w:pPr>
              <w:jc w:val="right"/>
              <w:rPr>
                <w:rFonts w:ascii="Times New Roman" w:hAnsi="Times New Roman" w:cs="Times New Roman"/>
                <w:sz w:val="14"/>
                <w:szCs w:val="14"/>
                <w:lang w:eastAsia="sk-SK"/>
              </w:rPr>
            </w:pPr>
            <w:r w:rsidRPr="009F24F7">
              <w:rPr>
                <w:rFonts w:ascii="Times New Roman" w:hAnsi="Times New Roman" w:cs="Times New Roman"/>
                <w:sz w:val="14"/>
                <w:szCs w:val="14"/>
                <w:lang w:eastAsia="sk-SK"/>
              </w:rPr>
              <w:t>1,9</w:t>
            </w:r>
            <w:r w:rsidR="009F24F7" w:rsidRPr="009F24F7">
              <w:rPr>
                <w:rFonts w:ascii="Times New Roman" w:hAnsi="Times New Roman" w:cs="Times New Roman"/>
                <w:sz w:val="14"/>
                <w:szCs w:val="14"/>
                <w:lang w:eastAsia="sk-SK"/>
              </w:rPr>
              <w:t>73</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9F24F7" w:rsidRDefault="00640C5E" w:rsidP="009F24F7">
            <w:pPr>
              <w:jc w:val="right"/>
              <w:rPr>
                <w:rFonts w:ascii="Times New Roman" w:hAnsi="Times New Roman" w:cs="Times New Roman"/>
                <w:sz w:val="14"/>
                <w:szCs w:val="14"/>
                <w:lang w:eastAsia="sk-SK"/>
              </w:rPr>
            </w:pPr>
            <w:r w:rsidRPr="009F24F7">
              <w:rPr>
                <w:rFonts w:ascii="Times New Roman" w:hAnsi="Times New Roman" w:cs="Times New Roman"/>
                <w:sz w:val="14"/>
                <w:szCs w:val="14"/>
                <w:lang w:eastAsia="sk-SK"/>
              </w:rPr>
              <w:t>1,</w:t>
            </w:r>
            <w:r w:rsidR="009F24F7" w:rsidRPr="009F24F7">
              <w:rPr>
                <w:rFonts w:ascii="Times New Roman" w:hAnsi="Times New Roman" w:cs="Times New Roman"/>
                <w:sz w:val="14"/>
                <w:szCs w:val="14"/>
                <w:lang w:eastAsia="sk-SK"/>
              </w:rPr>
              <w:t>528</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9F24F7" w:rsidRDefault="00640C5E" w:rsidP="009F24F7">
            <w:pPr>
              <w:jc w:val="right"/>
              <w:rPr>
                <w:rFonts w:ascii="Times New Roman" w:hAnsi="Times New Roman" w:cs="Times New Roman"/>
                <w:sz w:val="14"/>
                <w:szCs w:val="14"/>
                <w:lang w:eastAsia="sk-SK"/>
              </w:rPr>
            </w:pPr>
            <w:r w:rsidRPr="009F24F7">
              <w:rPr>
                <w:rFonts w:ascii="Times New Roman" w:hAnsi="Times New Roman" w:cs="Times New Roman"/>
                <w:sz w:val="14"/>
                <w:szCs w:val="14"/>
                <w:lang w:eastAsia="sk-SK"/>
              </w:rPr>
              <w:t>1,</w:t>
            </w:r>
            <w:r w:rsidR="009F24F7" w:rsidRPr="009F24F7">
              <w:rPr>
                <w:rFonts w:ascii="Times New Roman" w:hAnsi="Times New Roman" w:cs="Times New Roman"/>
                <w:sz w:val="14"/>
                <w:szCs w:val="14"/>
                <w:lang w:eastAsia="sk-SK"/>
              </w:rPr>
              <w:t>585</w:t>
            </w:r>
          </w:p>
        </w:tc>
      </w:tr>
    </w:tbl>
    <w:p w:rsidR="00640C5E" w:rsidRDefault="00640C5E" w:rsidP="00640C5E">
      <w:pPr>
        <w:tabs>
          <w:tab w:val="right" w:pos="9072"/>
        </w:tabs>
        <w:contextualSpacing/>
        <w:rPr>
          <w:rFonts w:ascii="Times New Roman" w:hAnsi="Times New Roman" w:cs="Times New Roman"/>
          <w:i/>
        </w:rPr>
      </w:pPr>
    </w:p>
    <w:p w:rsidR="00640C5E" w:rsidRDefault="00640C5E" w:rsidP="00640C5E">
      <w:pPr>
        <w:tabs>
          <w:tab w:val="right" w:pos="9072"/>
        </w:tabs>
        <w:contextualSpacing/>
        <w:rPr>
          <w:rFonts w:ascii="Times New Roman" w:hAnsi="Times New Roman" w:cs="Times New Roman"/>
          <w:i/>
        </w:rPr>
      </w:pPr>
      <w:r>
        <w:rPr>
          <w:rFonts w:ascii="Times New Roman" w:hAnsi="Times New Roman" w:cs="Times New Roman"/>
          <w:i/>
        </w:rPr>
        <w:t>B. Úročenie štátneho dlhu</w:t>
      </w:r>
      <w:r>
        <w:rPr>
          <w:rFonts w:ascii="Times New Roman" w:hAnsi="Times New Roman" w:cs="Times New Roman"/>
          <w:i/>
        </w:rPr>
        <w:tab/>
      </w:r>
    </w:p>
    <w:p w:rsidR="00640C5E" w:rsidRDefault="00640C5E" w:rsidP="00640C5E">
      <w:pPr>
        <w:contextualSpacing/>
        <w:jc w:val="both"/>
        <w:rPr>
          <w:rFonts w:ascii="Times New Roman" w:hAnsi="Times New Roman" w:cs="Times New Roman"/>
        </w:rPr>
      </w:pPr>
    </w:p>
    <w:p w:rsidR="00640C5E" w:rsidRDefault="00640C5E" w:rsidP="00640C5E">
      <w:pPr>
        <w:ind w:firstLine="708"/>
        <w:contextualSpacing/>
        <w:jc w:val="both"/>
        <w:rPr>
          <w:rFonts w:ascii="Times New Roman" w:hAnsi="Times New Roman" w:cs="Times New Roman"/>
        </w:rPr>
      </w:pPr>
      <w:r>
        <w:rPr>
          <w:rFonts w:ascii="Times New Roman" w:hAnsi="Times New Roman" w:cs="Times New Roman"/>
        </w:rPr>
        <w:t>Rozhodujúca časť štátneho dlhu, viac ako 99,98 % (k 31.</w:t>
      </w:r>
      <w:r w:rsidR="00901C6C">
        <w:rPr>
          <w:rFonts w:ascii="Times New Roman" w:hAnsi="Times New Roman" w:cs="Times New Roman"/>
        </w:rPr>
        <w:t xml:space="preserve"> </w:t>
      </w:r>
      <w:r>
        <w:rPr>
          <w:rFonts w:ascii="Times New Roman" w:hAnsi="Times New Roman" w:cs="Times New Roman"/>
        </w:rPr>
        <w:t>8.</w:t>
      </w:r>
      <w:r w:rsidR="00901C6C">
        <w:rPr>
          <w:rFonts w:ascii="Times New Roman" w:hAnsi="Times New Roman" w:cs="Times New Roman"/>
        </w:rPr>
        <w:t xml:space="preserve"> </w:t>
      </w:r>
      <w:r>
        <w:rPr>
          <w:rFonts w:ascii="Times New Roman" w:hAnsi="Times New Roman" w:cs="Times New Roman"/>
        </w:rPr>
        <w:t xml:space="preserve">2017), má zafixované úročenie na niekoľko rokov vopred. Zmena úrokových sadzieb na finančnom trhu sa v úrokových nákladoch na štátny dlh preto prejaví len postupne. Nové dlhopisy, ktoré sú vydávané na krytie </w:t>
      </w:r>
      <w:r>
        <w:rPr>
          <w:rFonts w:ascii="Times New Roman" w:hAnsi="Times New Roman" w:cs="Times New Roman"/>
          <w:color w:val="000000"/>
        </w:rPr>
        <w:t xml:space="preserve">nových deficitov štátneho rozpočtu a ako náhrada splatných štátnych dlhopisov, budú vydávané </w:t>
      </w:r>
      <w:r>
        <w:rPr>
          <w:rFonts w:ascii="Times New Roman" w:hAnsi="Times New Roman" w:cs="Times New Roman"/>
        </w:rPr>
        <w:t>v danom roku s aktuálnymi trhovými úrokovými sadzbami. Okrem toho sa v každom roku precení časť portfólia, ktorá je úročená pohyblivou úrokovou sadzbou. Aktuálne táto časť dosahuje približne 0,02 %</w:t>
      </w:r>
      <w:r>
        <w:rPr>
          <w:rFonts w:ascii="Times New Roman" w:hAnsi="Times New Roman" w:cs="Times New Roman"/>
          <w:color w:val="FF0000"/>
        </w:rPr>
        <w:t xml:space="preserve"> </w:t>
      </w:r>
      <w:r>
        <w:rPr>
          <w:rFonts w:ascii="Times New Roman" w:hAnsi="Times New Roman" w:cs="Times New Roman"/>
        </w:rPr>
        <w:t>celého portfólia (okrem zdrojov Štátnej pokladnice). Dlhopisy s pohyblivou úrokovou sadzbou sa vydávajú na základe Stratégie riadenia štátneho dlhu s cieľom pokrytia investorského dopytu, ktorý je zameraný prevažne na aktíva s pohyblivou úrokovou sadzbou.</w:t>
      </w:r>
    </w:p>
    <w:p w:rsidR="00640C5E" w:rsidRDefault="00640C5E" w:rsidP="00640C5E">
      <w:pPr>
        <w:spacing w:after="200" w:line="276" w:lineRule="auto"/>
        <w:contextualSpacing/>
        <w:jc w:val="both"/>
        <w:rPr>
          <w:rFonts w:ascii="Times New Roman" w:eastAsia="Calibri" w:hAnsi="Times New Roman" w:cs="Times New Roman"/>
          <w:i/>
          <w:szCs w:val="36"/>
        </w:rPr>
      </w:pPr>
    </w:p>
    <w:p w:rsidR="00640C5E" w:rsidRDefault="00640C5E" w:rsidP="00640C5E">
      <w:pPr>
        <w:ind w:firstLine="708"/>
        <w:contextualSpacing/>
        <w:jc w:val="both"/>
        <w:rPr>
          <w:rFonts w:ascii="Times New Roman" w:hAnsi="Times New Roman" w:cs="Times New Roman"/>
        </w:rPr>
      </w:pPr>
      <w:r>
        <w:rPr>
          <w:rFonts w:ascii="Times New Roman" w:hAnsi="Times New Roman" w:cs="Times New Roman"/>
        </w:rPr>
        <w:t>V nasledujúcich rokoch si bude Ministerstvo financií SR musieť na finančných trhoch požičať nasledovné sumy</w:t>
      </w:r>
      <w:r w:rsidR="00901C6C">
        <w:rPr>
          <w:rFonts w:ascii="Times New Roman" w:hAnsi="Times New Roman" w:cs="Times New Roman"/>
        </w:rPr>
        <w:t>.</w:t>
      </w:r>
    </w:p>
    <w:p w:rsidR="00640C5E" w:rsidRDefault="00640C5E" w:rsidP="00640C5E">
      <w:pPr>
        <w:ind w:firstLine="708"/>
        <w:contextualSpacing/>
        <w:jc w:val="both"/>
        <w:rPr>
          <w:rFonts w:ascii="Times New Roman" w:hAnsi="Times New Roman" w:cs="Times New Roman"/>
          <w:sz w:val="16"/>
          <w:szCs w:val="16"/>
        </w:rPr>
      </w:pPr>
      <w:r>
        <w:rPr>
          <w:rFonts w:ascii="Times New Roman" w:hAnsi="Times New Roman" w:cs="Times New Roman"/>
          <w:sz w:val="16"/>
          <w:szCs w:val="16"/>
        </w:rPr>
        <w:t xml:space="preserve">                                                                                                                                                                                            </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4"/>
        <w:gridCol w:w="992"/>
        <w:gridCol w:w="992"/>
        <w:gridCol w:w="991"/>
        <w:gridCol w:w="991"/>
        <w:gridCol w:w="991"/>
        <w:gridCol w:w="991"/>
        <w:gridCol w:w="991"/>
      </w:tblGrid>
      <w:tr w:rsidR="00640C5E" w:rsidTr="000736F2">
        <w:trPr>
          <w:trHeight w:val="283"/>
          <w:jc w:val="center"/>
        </w:trPr>
        <w:tc>
          <w:tcPr>
            <w:tcW w:w="1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mld. eur</w:t>
            </w:r>
          </w:p>
        </w:tc>
        <w:tc>
          <w:tcPr>
            <w:tcW w:w="54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2015 S</w:t>
            </w:r>
          </w:p>
        </w:tc>
        <w:tc>
          <w:tcPr>
            <w:tcW w:w="54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 S</w:t>
            </w:r>
          </w:p>
        </w:tc>
        <w:tc>
          <w:tcPr>
            <w:tcW w:w="54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R</w:t>
            </w:r>
          </w:p>
        </w:tc>
        <w:tc>
          <w:tcPr>
            <w:tcW w:w="54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OS</w:t>
            </w:r>
          </w:p>
        </w:tc>
        <w:tc>
          <w:tcPr>
            <w:tcW w:w="54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 N</w:t>
            </w:r>
          </w:p>
        </w:tc>
        <w:tc>
          <w:tcPr>
            <w:tcW w:w="54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 N</w:t>
            </w:r>
          </w:p>
        </w:tc>
        <w:tc>
          <w:tcPr>
            <w:tcW w:w="54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 N</w:t>
            </w:r>
          </w:p>
        </w:tc>
      </w:tr>
      <w:tr w:rsidR="009F24F7" w:rsidTr="005C0638">
        <w:trPr>
          <w:trHeight w:val="283"/>
          <w:jc w:val="center"/>
        </w:trPr>
        <w:tc>
          <w:tcPr>
            <w:tcW w:w="1184" w:type="pct"/>
            <w:tcBorders>
              <w:top w:val="single" w:sz="4" w:space="0" w:color="auto"/>
              <w:left w:val="single" w:sz="4" w:space="0" w:color="auto"/>
              <w:bottom w:val="single" w:sz="4" w:space="0" w:color="auto"/>
              <w:right w:val="single" w:sz="4" w:space="0" w:color="auto"/>
            </w:tcBorders>
            <w:noWrap/>
            <w:vAlign w:val="bottom"/>
            <w:hideMark/>
          </w:tcPr>
          <w:p w:rsidR="009F24F7" w:rsidRPr="009F24F7" w:rsidRDefault="009F24F7" w:rsidP="009F24F7">
            <w:pPr>
              <w:rPr>
                <w:rFonts w:ascii="Times New Roman" w:hAnsi="Times New Roman" w:cs="Times New Roman"/>
                <w:color w:val="000000"/>
                <w:sz w:val="14"/>
                <w:szCs w:val="14"/>
                <w:lang w:eastAsia="sk-SK"/>
              </w:rPr>
            </w:pPr>
            <w:r w:rsidRPr="009F24F7">
              <w:rPr>
                <w:rFonts w:ascii="Times New Roman" w:hAnsi="Times New Roman" w:cs="Times New Roman"/>
                <w:color w:val="000000"/>
                <w:sz w:val="14"/>
                <w:szCs w:val="14"/>
                <w:lang w:eastAsia="sk-SK"/>
              </w:rPr>
              <w:t xml:space="preserve">Deficit štátneho rozpočtu </w:t>
            </w:r>
          </w:p>
        </w:tc>
        <w:tc>
          <w:tcPr>
            <w:tcW w:w="545" w:type="pct"/>
            <w:tcBorders>
              <w:top w:val="single" w:sz="4" w:space="0" w:color="auto"/>
              <w:left w:val="single" w:sz="4" w:space="0" w:color="auto"/>
              <w:bottom w:val="single" w:sz="4" w:space="0" w:color="auto"/>
              <w:right w:val="single" w:sz="4" w:space="0" w:color="auto"/>
            </w:tcBorders>
            <w:vAlign w:val="bottom"/>
            <w:hideMark/>
          </w:tcPr>
          <w:p w:rsidR="009F24F7" w:rsidRPr="009F24F7" w:rsidRDefault="009F24F7" w:rsidP="009F24F7">
            <w:pPr>
              <w:jc w:val="right"/>
              <w:rPr>
                <w:rFonts w:ascii="Times New Roman" w:hAnsi="Times New Roman" w:cs="Times New Roman"/>
                <w:color w:val="000000"/>
                <w:sz w:val="14"/>
                <w:szCs w:val="14"/>
                <w:lang w:eastAsia="sk-SK"/>
              </w:rPr>
            </w:pPr>
            <w:r w:rsidRPr="009F24F7">
              <w:rPr>
                <w:rFonts w:ascii="Times New Roman" w:hAnsi="Times New Roman" w:cs="Times New Roman"/>
                <w:color w:val="000000"/>
                <w:sz w:val="14"/>
                <w:szCs w:val="14"/>
                <w:lang w:eastAsia="sk-SK"/>
              </w:rPr>
              <w:t>1,933</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9F24F7" w:rsidRPr="009F24F7" w:rsidRDefault="009F24F7" w:rsidP="009F24F7">
            <w:pPr>
              <w:jc w:val="right"/>
              <w:rPr>
                <w:rFonts w:ascii="Times New Roman" w:hAnsi="Times New Roman" w:cs="Times New Roman"/>
                <w:color w:val="000000"/>
                <w:sz w:val="14"/>
                <w:szCs w:val="14"/>
                <w:lang w:eastAsia="sk-SK"/>
              </w:rPr>
            </w:pPr>
            <w:r w:rsidRPr="009F24F7">
              <w:rPr>
                <w:rFonts w:ascii="Times New Roman" w:hAnsi="Times New Roman" w:cs="Times New Roman"/>
                <w:color w:val="000000"/>
                <w:sz w:val="14"/>
                <w:szCs w:val="14"/>
                <w:lang w:eastAsia="sk-SK"/>
              </w:rPr>
              <w:t>0,980</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9F24F7" w:rsidRPr="009F24F7" w:rsidRDefault="009F24F7" w:rsidP="009F24F7">
            <w:pPr>
              <w:jc w:val="right"/>
              <w:rPr>
                <w:rFonts w:ascii="Times New Roman" w:hAnsi="Times New Roman" w:cs="Times New Roman"/>
                <w:color w:val="000000"/>
                <w:sz w:val="14"/>
                <w:szCs w:val="14"/>
                <w:lang w:eastAsia="sk-SK"/>
              </w:rPr>
            </w:pPr>
            <w:r w:rsidRPr="009F24F7">
              <w:rPr>
                <w:rFonts w:ascii="Times New Roman" w:hAnsi="Times New Roman" w:cs="Times New Roman"/>
                <w:color w:val="000000"/>
                <w:sz w:val="14"/>
                <w:szCs w:val="14"/>
                <w:lang w:eastAsia="sk-SK"/>
              </w:rPr>
              <w:t>1,993</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9F24F7" w:rsidRPr="009F24F7" w:rsidRDefault="009F24F7" w:rsidP="00790350">
            <w:pPr>
              <w:jc w:val="right"/>
              <w:rPr>
                <w:rFonts w:ascii="Times New Roman" w:hAnsi="Times New Roman" w:cs="Times New Roman"/>
                <w:sz w:val="14"/>
                <w:szCs w:val="14"/>
                <w:lang w:eastAsia="sk-SK"/>
              </w:rPr>
            </w:pPr>
            <w:r w:rsidRPr="009F24F7">
              <w:rPr>
                <w:rFonts w:ascii="Times New Roman" w:hAnsi="Times New Roman" w:cs="Times New Roman"/>
                <w:sz w:val="14"/>
                <w:szCs w:val="14"/>
                <w:lang w:eastAsia="sk-SK"/>
              </w:rPr>
              <w:t>1,9</w:t>
            </w:r>
            <w:r w:rsidR="00790350">
              <w:rPr>
                <w:rFonts w:ascii="Times New Roman" w:hAnsi="Times New Roman" w:cs="Times New Roman"/>
                <w:sz w:val="14"/>
                <w:szCs w:val="14"/>
                <w:lang w:eastAsia="sk-SK"/>
              </w:rPr>
              <w:t>8</w:t>
            </w:r>
            <w:r w:rsidRPr="009F24F7">
              <w:rPr>
                <w:rFonts w:ascii="Times New Roman" w:hAnsi="Times New Roman" w:cs="Times New Roman"/>
                <w:sz w:val="14"/>
                <w:szCs w:val="14"/>
                <w:lang w:eastAsia="sk-SK"/>
              </w:rPr>
              <w:t>4</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9F24F7" w:rsidRPr="009F24F7" w:rsidRDefault="009F24F7" w:rsidP="009F24F7">
            <w:pPr>
              <w:jc w:val="right"/>
              <w:rPr>
                <w:rFonts w:ascii="Times New Roman" w:hAnsi="Times New Roman" w:cs="Times New Roman"/>
                <w:sz w:val="14"/>
                <w:szCs w:val="14"/>
                <w:lang w:eastAsia="sk-SK"/>
              </w:rPr>
            </w:pPr>
            <w:r w:rsidRPr="009F24F7">
              <w:rPr>
                <w:rFonts w:ascii="Times New Roman" w:hAnsi="Times New Roman" w:cs="Times New Roman"/>
                <w:sz w:val="14"/>
                <w:szCs w:val="14"/>
                <w:lang w:eastAsia="sk-SK"/>
              </w:rPr>
              <w:t>1,973</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9F24F7" w:rsidRPr="009F24F7" w:rsidRDefault="009F24F7" w:rsidP="009F24F7">
            <w:pPr>
              <w:jc w:val="right"/>
              <w:rPr>
                <w:rFonts w:ascii="Times New Roman" w:hAnsi="Times New Roman" w:cs="Times New Roman"/>
                <w:sz w:val="14"/>
                <w:szCs w:val="14"/>
                <w:lang w:eastAsia="sk-SK"/>
              </w:rPr>
            </w:pPr>
            <w:r w:rsidRPr="009F24F7">
              <w:rPr>
                <w:rFonts w:ascii="Times New Roman" w:hAnsi="Times New Roman" w:cs="Times New Roman"/>
                <w:sz w:val="14"/>
                <w:szCs w:val="14"/>
                <w:lang w:eastAsia="sk-SK"/>
              </w:rPr>
              <w:t>1,528</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9F24F7" w:rsidRPr="009F24F7" w:rsidRDefault="009F24F7" w:rsidP="009F24F7">
            <w:pPr>
              <w:jc w:val="right"/>
              <w:rPr>
                <w:rFonts w:ascii="Times New Roman" w:hAnsi="Times New Roman" w:cs="Times New Roman"/>
                <w:sz w:val="14"/>
                <w:szCs w:val="14"/>
                <w:lang w:eastAsia="sk-SK"/>
              </w:rPr>
            </w:pPr>
            <w:r w:rsidRPr="009F24F7">
              <w:rPr>
                <w:rFonts w:ascii="Times New Roman" w:hAnsi="Times New Roman" w:cs="Times New Roman"/>
                <w:sz w:val="14"/>
                <w:szCs w:val="14"/>
                <w:lang w:eastAsia="sk-SK"/>
              </w:rPr>
              <w:t>1,585</w:t>
            </w:r>
          </w:p>
        </w:tc>
      </w:tr>
      <w:tr w:rsidR="00640C5E" w:rsidTr="005C0638">
        <w:trPr>
          <w:trHeight w:val="283"/>
          <w:jc w:val="center"/>
        </w:trPr>
        <w:tc>
          <w:tcPr>
            <w:tcW w:w="1184" w:type="pct"/>
            <w:tcBorders>
              <w:top w:val="single" w:sz="4" w:space="0" w:color="auto"/>
              <w:left w:val="single" w:sz="4" w:space="0" w:color="auto"/>
              <w:bottom w:val="single" w:sz="4" w:space="0" w:color="auto"/>
              <w:right w:val="single" w:sz="4" w:space="0" w:color="auto"/>
            </w:tcBorders>
            <w:noWrap/>
            <w:vAlign w:val="bottom"/>
            <w:hideMark/>
          </w:tcPr>
          <w:p w:rsidR="00640C5E" w:rsidRDefault="00640C5E" w:rsidP="005C0638">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Splatný štátny dlh </w:t>
            </w:r>
          </w:p>
        </w:tc>
        <w:tc>
          <w:tcPr>
            <w:tcW w:w="545" w:type="pct"/>
            <w:tcBorders>
              <w:top w:val="single" w:sz="4" w:space="0" w:color="auto"/>
              <w:left w:val="single" w:sz="4" w:space="0" w:color="auto"/>
              <w:bottom w:val="single" w:sz="4" w:space="0" w:color="auto"/>
              <w:right w:val="single" w:sz="4" w:space="0" w:color="auto"/>
            </w:tcBorders>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3,200</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4,789</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4,743</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5,061</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3,066</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2,217</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3,315</w:t>
            </w:r>
          </w:p>
        </w:tc>
      </w:tr>
      <w:tr w:rsidR="00640C5E" w:rsidTr="009F24F7">
        <w:trPr>
          <w:trHeight w:val="283"/>
          <w:jc w:val="center"/>
        </w:trPr>
        <w:tc>
          <w:tcPr>
            <w:tcW w:w="1184" w:type="pct"/>
            <w:tcBorders>
              <w:top w:val="single" w:sz="4" w:space="0" w:color="auto"/>
              <w:left w:val="single" w:sz="4" w:space="0" w:color="auto"/>
              <w:bottom w:val="single" w:sz="4" w:space="0" w:color="auto"/>
              <w:right w:val="single" w:sz="4" w:space="0" w:color="auto"/>
            </w:tcBorders>
            <w:noWrap/>
            <w:vAlign w:val="bottom"/>
            <w:hideMark/>
          </w:tcPr>
          <w:p w:rsidR="00640C5E" w:rsidRPr="009F24F7" w:rsidRDefault="00640C5E" w:rsidP="005C0638">
            <w:pPr>
              <w:rPr>
                <w:rFonts w:ascii="Times New Roman" w:hAnsi="Times New Roman" w:cs="Times New Roman"/>
                <w:color w:val="000000"/>
                <w:sz w:val="14"/>
                <w:szCs w:val="14"/>
                <w:lang w:eastAsia="sk-SK"/>
              </w:rPr>
            </w:pPr>
            <w:r w:rsidRPr="009F24F7">
              <w:rPr>
                <w:rFonts w:ascii="Times New Roman" w:hAnsi="Times New Roman" w:cs="Times New Roman"/>
                <w:color w:val="000000"/>
                <w:sz w:val="14"/>
                <w:szCs w:val="14"/>
                <w:lang w:eastAsia="sk-SK"/>
              </w:rPr>
              <w:t xml:space="preserve">Celková finančná potreba </w:t>
            </w:r>
          </w:p>
        </w:tc>
        <w:tc>
          <w:tcPr>
            <w:tcW w:w="545" w:type="pct"/>
            <w:tcBorders>
              <w:top w:val="single" w:sz="4" w:space="0" w:color="auto"/>
              <w:left w:val="single" w:sz="4" w:space="0" w:color="auto"/>
              <w:bottom w:val="single" w:sz="4" w:space="0" w:color="auto"/>
              <w:right w:val="single" w:sz="4" w:space="0" w:color="auto"/>
            </w:tcBorders>
            <w:vAlign w:val="bottom"/>
            <w:hideMark/>
          </w:tcPr>
          <w:p w:rsidR="00640C5E" w:rsidRPr="009F24F7" w:rsidRDefault="00640C5E" w:rsidP="005C0638">
            <w:pPr>
              <w:jc w:val="right"/>
              <w:rPr>
                <w:rFonts w:ascii="Times New Roman" w:hAnsi="Times New Roman" w:cs="Times New Roman"/>
                <w:color w:val="000000"/>
                <w:sz w:val="14"/>
                <w:szCs w:val="14"/>
                <w:lang w:eastAsia="sk-SK"/>
              </w:rPr>
            </w:pPr>
            <w:r w:rsidRPr="009F24F7">
              <w:rPr>
                <w:rFonts w:ascii="Times New Roman" w:hAnsi="Times New Roman" w:cs="Times New Roman"/>
                <w:color w:val="000000"/>
                <w:sz w:val="14"/>
                <w:szCs w:val="14"/>
                <w:lang w:eastAsia="sk-SK"/>
              </w:rPr>
              <w:t>5,133</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9F24F7" w:rsidRDefault="00640C5E" w:rsidP="005C0638">
            <w:pPr>
              <w:jc w:val="right"/>
              <w:rPr>
                <w:rFonts w:ascii="Times New Roman" w:hAnsi="Times New Roman" w:cs="Times New Roman"/>
                <w:color w:val="000000"/>
                <w:sz w:val="14"/>
                <w:szCs w:val="14"/>
                <w:lang w:eastAsia="sk-SK"/>
              </w:rPr>
            </w:pPr>
            <w:r w:rsidRPr="009F24F7">
              <w:rPr>
                <w:rFonts w:ascii="Times New Roman" w:hAnsi="Times New Roman" w:cs="Times New Roman"/>
                <w:color w:val="000000"/>
                <w:sz w:val="14"/>
                <w:szCs w:val="14"/>
                <w:lang w:eastAsia="sk-SK"/>
              </w:rPr>
              <w:t>5,769</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9F24F7" w:rsidRDefault="00640C5E" w:rsidP="005C0638">
            <w:pPr>
              <w:jc w:val="right"/>
              <w:rPr>
                <w:rFonts w:ascii="Times New Roman" w:hAnsi="Times New Roman" w:cs="Times New Roman"/>
                <w:color w:val="000000"/>
                <w:sz w:val="14"/>
                <w:szCs w:val="14"/>
                <w:lang w:eastAsia="sk-SK"/>
              </w:rPr>
            </w:pPr>
            <w:r w:rsidRPr="009F24F7">
              <w:rPr>
                <w:rFonts w:ascii="Times New Roman" w:hAnsi="Times New Roman" w:cs="Times New Roman"/>
                <w:color w:val="000000"/>
                <w:sz w:val="14"/>
                <w:szCs w:val="14"/>
                <w:lang w:eastAsia="sk-SK"/>
              </w:rPr>
              <w:t>6,736</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40C5E" w:rsidRPr="009F24F7" w:rsidRDefault="00790350" w:rsidP="00790350">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7</w:t>
            </w:r>
            <w:r w:rsidR="00640C5E" w:rsidRPr="009F24F7">
              <w:rPr>
                <w:rFonts w:ascii="Times New Roman" w:hAnsi="Times New Roman" w:cs="Times New Roman"/>
                <w:sz w:val="14"/>
                <w:szCs w:val="14"/>
                <w:lang w:eastAsia="sk-SK"/>
              </w:rPr>
              <w:t>,</w:t>
            </w:r>
            <w:r>
              <w:rPr>
                <w:rFonts w:ascii="Times New Roman" w:hAnsi="Times New Roman" w:cs="Times New Roman"/>
                <w:sz w:val="14"/>
                <w:szCs w:val="14"/>
                <w:lang w:eastAsia="sk-SK"/>
              </w:rPr>
              <w:t>04</w:t>
            </w:r>
            <w:r w:rsidR="00640C5E" w:rsidRPr="009F24F7">
              <w:rPr>
                <w:rFonts w:ascii="Times New Roman" w:hAnsi="Times New Roman" w:cs="Times New Roman"/>
                <w:sz w:val="14"/>
                <w:szCs w:val="14"/>
                <w:lang w:eastAsia="sk-SK"/>
              </w:rPr>
              <w:t>5</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tcPr>
          <w:p w:rsidR="00640C5E" w:rsidRPr="009F24F7" w:rsidRDefault="009F24F7" w:rsidP="005C0638">
            <w:pPr>
              <w:jc w:val="right"/>
              <w:rPr>
                <w:rFonts w:ascii="Times New Roman" w:hAnsi="Times New Roman" w:cs="Times New Roman"/>
                <w:sz w:val="14"/>
                <w:szCs w:val="14"/>
                <w:lang w:eastAsia="sk-SK"/>
              </w:rPr>
            </w:pPr>
            <w:r w:rsidRPr="009F24F7">
              <w:rPr>
                <w:rFonts w:ascii="Times New Roman" w:hAnsi="Times New Roman" w:cs="Times New Roman"/>
                <w:sz w:val="14"/>
                <w:szCs w:val="14"/>
                <w:lang w:eastAsia="sk-SK"/>
              </w:rPr>
              <w:t>5,039</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tcPr>
          <w:p w:rsidR="00640C5E" w:rsidRPr="009F24F7" w:rsidRDefault="009F24F7" w:rsidP="005C0638">
            <w:pPr>
              <w:jc w:val="right"/>
              <w:rPr>
                <w:rFonts w:ascii="Times New Roman" w:hAnsi="Times New Roman" w:cs="Times New Roman"/>
                <w:sz w:val="14"/>
                <w:szCs w:val="14"/>
                <w:lang w:eastAsia="sk-SK"/>
              </w:rPr>
            </w:pPr>
            <w:r w:rsidRPr="009F24F7">
              <w:rPr>
                <w:rFonts w:ascii="Times New Roman" w:hAnsi="Times New Roman" w:cs="Times New Roman"/>
                <w:sz w:val="14"/>
                <w:szCs w:val="14"/>
                <w:lang w:eastAsia="sk-SK"/>
              </w:rPr>
              <w:t>3,745</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tcPr>
          <w:p w:rsidR="00640C5E" w:rsidRDefault="009F24F7" w:rsidP="005C0638">
            <w:pPr>
              <w:jc w:val="right"/>
              <w:rPr>
                <w:rFonts w:ascii="Times New Roman" w:hAnsi="Times New Roman" w:cs="Times New Roman"/>
                <w:sz w:val="14"/>
                <w:szCs w:val="14"/>
                <w:lang w:eastAsia="sk-SK"/>
              </w:rPr>
            </w:pPr>
            <w:r w:rsidRPr="009F24F7">
              <w:rPr>
                <w:rFonts w:ascii="Times New Roman" w:hAnsi="Times New Roman" w:cs="Times New Roman"/>
                <w:sz w:val="14"/>
                <w:szCs w:val="14"/>
                <w:lang w:eastAsia="sk-SK"/>
              </w:rPr>
              <w:t>4,900</w:t>
            </w:r>
          </w:p>
        </w:tc>
      </w:tr>
    </w:tbl>
    <w:p w:rsidR="00640C5E" w:rsidRDefault="00640C5E" w:rsidP="00640C5E">
      <w:pPr>
        <w:jc w:val="both"/>
        <w:rPr>
          <w:rFonts w:ascii="Times New Roman" w:hAnsi="Times New Roman"/>
          <w:highlight w:val="yellow"/>
        </w:rPr>
      </w:pPr>
    </w:p>
    <w:p w:rsidR="00640C5E" w:rsidRDefault="00640C5E" w:rsidP="00640C5E">
      <w:pPr>
        <w:ind w:firstLine="708"/>
        <w:jc w:val="both"/>
        <w:rPr>
          <w:rFonts w:ascii="Times New Roman" w:hAnsi="Times New Roman"/>
        </w:rPr>
      </w:pPr>
      <w:r>
        <w:rPr>
          <w:rFonts w:ascii="Times New Roman" w:hAnsi="Times New Roman"/>
        </w:rPr>
        <w:t xml:space="preserve">Kľúčovým predpokladom pri tvorbe rozpočtu nákladov štátneho dlhu sú očakávané úrokové sadzby na finančnom trhu. Tie sú jedným z parametrov makroekonomického vývoja, o ktorých diskutuje Výbor pre makroekonomické prognózy v gescii Ministerstva financií SR. </w:t>
      </w:r>
    </w:p>
    <w:p w:rsidR="00640C5E" w:rsidRDefault="00640C5E" w:rsidP="00640C5E">
      <w:pPr>
        <w:spacing w:after="200" w:line="276" w:lineRule="auto"/>
        <w:contextualSpacing/>
        <w:jc w:val="center"/>
        <w:rPr>
          <w:rFonts w:ascii="Times New Roman" w:eastAsia="Calibri" w:hAnsi="Times New Roman" w:cs="Times New Roman"/>
          <w:i/>
          <w:szCs w:val="36"/>
        </w:rPr>
      </w:pPr>
    </w:p>
    <w:p w:rsidR="00640C5E" w:rsidRDefault="00640C5E" w:rsidP="00640C5E">
      <w:pPr>
        <w:contextualSpacing/>
        <w:rPr>
          <w:rFonts w:ascii="Times New Roman" w:hAnsi="Times New Roman" w:cs="Times New Roman"/>
          <w:i/>
        </w:rPr>
      </w:pPr>
      <w:r>
        <w:rPr>
          <w:rFonts w:ascii="Times New Roman" w:hAnsi="Times New Roman" w:cs="Times New Roman"/>
          <w:i/>
        </w:rPr>
        <w:lastRenderedPageBreak/>
        <w:t>C. Iné predpoklady</w:t>
      </w:r>
    </w:p>
    <w:p w:rsidR="00640C5E" w:rsidRDefault="00640C5E" w:rsidP="00640C5E">
      <w:pPr>
        <w:jc w:val="both"/>
        <w:rPr>
          <w:rFonts w:ascii="Times New Roman" w:hAnsi="Times New Roman" w:cs="Times New Roman"/>
        </w:rPr>
      </w:pPr>
    </w:p>
    <w:p w:rsidR="00640C5E" w:rsidRDefault="00640C5E" w:rsidP="00640C5E">
      <w:pPr>
        <w:ind w:firstLine="360"/>
        <w:jc w:val="both"/>
        <w:rPr>
          <w:rFonts w:ascii="Times New Roman" w:hAnsi="Times New Roman" w:cs="Times New Roman"/>
        </w:rPr>
      </w:pPr>
      <w:r>
        <w:rPr>
          <w:rFonts w:ascii="Times New Roman" w:hAnsi="Times New Roman" w:cs="Times New Roman"/>
        </w:rPr>
        <w:t>Celkové náklady na štátny dlh môžu v menšej miere ovplyvniť aj niektoré iné vplyvy, medzi ktoré napríklad patria:</w:t>
      </w:r>
    </w:p>
    <w:p w:rsidR="00640C5E" w:rsidRDefault="00640C5E" w:rsidP="00640C5E">
      <w:pPr>
        <w:ind w:left="720"/>
        <w:contextualSpacing/>
        <w:jc w:val="both"/>
        <w:rPr>
          <w:rFonts w:ascii="Times New Roman" w:hAnsi="Times New Roman" w:cs="Times New Roman"/>
        </w:rPr>
      </w:pPr>
    </w:p>
    <w:p w:rsidR="00640C5E" w:rsidRDefault="00640C5E" w:rsidP="00640C5E">
      <w:pPr>
        <w:numPr>
          <w:ilvl w:val="0"/>
          <w:numId w:val="12"/>
        </w:numPr>
        <w:contextualSpacing/>
        <w:jc w:val="both"/>
        <w:rPr>
          <w:rFonts w:ascii="Times New Roman" w:hAnsi="Times New Roman" w:cs="Times New Roman"/>
        </w:rPr>
      </w:pPr>
      <w:r>
        <w:rPr>
          <w:rFonts w:ascii="Times New Roman" w:hAnsi="Times New Roman" w:cs="Times New Roman"/>
        </w:rPr>
        <w:t xml:space="preserve">Rýchlosť – dynamika rastu deficitu štátneho rozpočtu v priebehu roka. Ak deficit rastie rýchlejšie už v prvom polroku, výsledkom sú väčšie úrokové náklady v porovnaní so situáciou, keď deficit významne rastie až v závere roka, pokiaľ sú kryté novými emisiami štátnych dlhopisov. </w:t>
      </w:r>
    </w:p>
    <w:p w:rsidR="00640C5E" w:rsidRDefault="00640C5E" w:rsidP="00640C5E">
      <w:pPr>
        <w:ind w:left="720"/>
        <w:contextualSpacing/>
        <w:jc w:val="both"/>
        <w:rPr>
          <w:rFonts w:ascii="Times New Roman" w:hAnsi="Times New Roman" w:cs="Times New Roman"/>
        </w:rPr>
      </w:pPr>
    </w:p>
    <w:p w:rsidR="00640C5E" w:rsidRDefault="00640C5E" w:rsidP="00640C5E">
      <w:pPr>
        <w:numPr>
          <w:ilvl w:val="0"/>
          <w:numId w:val="12"/>
        </w:numPr>
        <w:contextualSpacing/>
        <w:jc w:val="both"/>
        <w:rPr>
          <w:rFonts w:ascii="Times New Roman" w:hAnsi="Times New Roman" w:cs="Times New Roman"/>
        </w:rPr>
      </w:pPr>
      <w:r>
        <w:rPr>
          <w:rFonts w:ascii="Times New Roman" w:hAnsi="Times New Roman" w:cs="Times New Roman"/>
        </w:rPr>
        <w:t>Štruktúra emitovaných štátnych dlhopisov a emisná politika v priebehu bežného roka. Ak Ministerstvo financií SR emituje dlhopisy s kratšou dobou splatnosti, úrokové sadzby sú zvyčajne menšie. Nevýhodou je však väčšie refinančné riziko a úrokové riziko. A naopak, pri dlhších splatnostiach sú síce úroky väčšie, ale štát má väčšiu istotu stability pri financovaní štátneho dlhu.</w:t>
      </w:r>
    </w:p>
    <w:p w:rsidR="00901C6C" w:rsidRDefault="00901C6C" w:rsidP="00901C6C">
      <w:pPr>
        <w:pStyle w:val="Odsekzoznamu"/>
        <w:rPr>
          <w:rFonts w:ascii="Times New Roman" w:hAnsi="Times New Roman" w:cs="Times New Roman"/>
        </w:rPr>
      </w:pPr>
    </w:p>
    <w:p w:rsidR="00640C5E" w:rsidRDefault="00640C5E" w:rsidP="00640C5E">
      <w:pPr>
        <w:rPr>
          <w:rFonts w:ascii="Times New Roman" w:hAnsi="Times New Roman" w:cs="Times New Roman"/>
          <w:i/>
          <w:iCs/>
          <w:u w:val="single"/>
        </w:rPr>
      </w:pPr>
      <w:r>
        <w:rPr>
          <w:rFonts w:ascii="Times New Roman" w:hAnsi="Times New Roman" w:cs="Times New Roman"/>
          <w:i/>
          <w:u w:val="single"/>
        </w:rPr>
        <w:t xml:space="preserve">Náklady </w:t>
      </w:r>
      <w:r>
        <w:rPr>
          <w:rFonts w:ascii="Times New Roman" w:hAnsi="Times New Roman" w:cs="Times New Roman"/>
          <w:i/>
          <w:iCs/>
          <w:u w:val="single"/>
        </w:rPr>
        <w:t>na financovanie štátneho dlhu (transfer zo štátneho rozpočtu na saldo účet)</w:t>
      </w:r>
    </w:p>
    <w:p w:rsidR="00640C5E" w:rsidRDefault="00640C5E" w:rsidP="00640C5E">
      <w:pPr>
        <w:jc w:val="both"/>
        <w:rPr>
          <w:rFonts w:ascii="Times New Roman" w:hAnsi="Times New Roman"/>
        </w:rPr>
      </w:pPr>
    </w:p>
    <w:p w:rsidR="00640C5E" w:rsidRDefault="00640C5E" w:rsidP="00640C5E">
      <w:pPr>
        <w:spacing w:after="120"/>
        <w:ind w:firstLine="709"/>
        <w:jc w:val="both"/>
        <w:rPr>
          <w:rFonts w:ascii="Times New Roman" w:hAnsi="Times New Roman"/>
        </w:rPr>
      </w:pPr>
      <w:r>
        <w:rPr>
          <w:rFonts w:ascii="Times New Roman" w:hAnsi="Times New Roman"/>
        </w:rPr>
        <w:t>Zmeny úrokových sadzieb a zmeny deficitov štátneho rozpočtu sa prejavujú v zmene nákladov na štátny dlh. Celkové zaťaženie verejných financií úrokovými nákladmi sa sleduje dvoma spôsobmi:</w:t>
      </w:r>
    </w:p>
    <w:p w:rsidR="00640C5E" w:rsidRDefault="00640C5E" w:rsidP="00640C5E">
      <w:pPr>
        <w:spacing w:after="120"/>
        <w:ind w:firstLine="709"/>
        <w:jc w:val="both"/>
        <w:rPr>
          <w:rFonts w:ascii="Times New Roman" w:hAnsi="Times New Roman"/>
        </w:rPr>
      </w:pPr>
    </w:p>
    <w:p w:rsidR="00640C5E" w:rsidRDefault="00640C5E" w:rsidP="00640C5E">
      <w:pPr>
        <w:numPr>
          <w:ilvl w:val="0"/>
          <w:numId w:val="42"/>
        </w:numPr>
        <w:spacing w:after="120"/>
        <w:ind w:left="425" w:hanging="425"/>
        <w:contextualSpacing/>
        <w:jc w:val="both"/>
        <w:rPr>
          <w:rFonts w:ascii="Times New Roman" w:hAnsi="Times New Roman"/>
        </w:rPr>
      </w:pPr>
      <w:r>
        <w:rPr>
          <w:rFonts w:ascii="Times New Roman" w:hAnsi="Times New Roman"/>
        </w:rPr>
        <w:t>Akruálne náklady (časovo rozlíšené) zodpovedajú nákladom na daný kalendárny rok, a to bez ohľadu na to, či sa úroky vyplatia v danom roku alebo až v ďalších rokoch. Akruálne sledovanie a vykazovanie nákladov presnejšie odzrkadľuje reálne náklady štátu na dlhovú službu v jednotlivých rokoch.</w:t>
      </w:r>
    </w:p>
    <w:p w:rsidR="00640C5E" w:rsidRDefault="00640C5E" w:rsidP="00640C5E">
      <w:pPr>
        <w:jc w:val="right"/>
        <w:rPr>
          <w:rFonts w:ascii="Times New Roman" w:hAnsi="Times New Roman"/>
        </w:rPr>
      </w:pPr>
    </w:p>
    <w:tbl>
      <w:tblPr>
        <w:tblW w:w="9049" w:type="dxa"/>
        <w:jc w:val="center"/>
        <w:tblCellMar>
          <w:left w:w="70" w:type="dxa"/>
          <w:right w:w="70" w:type="dxa"/>
        </w:tblCellMar>
        <w:tblLook w:val="04A0" w:firstRow="1" w:lastRow="0" w:firstColumn="1" w:lastColumn="0" w:noHBand="0" w:noVBand="1"/>
      </w:tblPr>
      <w:tblGrid>
        <w:gridCol w:w="3090"/>
        <w:gridCol w:w="852"/>
        <w:gridCol w:w="852"/>
        <w:gridCol w:w="851"/>
        <w:gridCol w:w="851"/>
        <w:gridCol w:w="851"/>
        <w:gridCol w:w="851"/>
        <w:gridCol w:w="851"/>
      </w:tblGrid>
      <w:tr w:rsidR="00640C5E" w:rsidTr="00901C6C">
        <w:trPr>
          <w:trHeight w:hRule="exact" w:val="283"/>
          <w:jc w:val="center"/>
        </w:trPr>
        <w:tc>
          <w:tcPr>
            <w:tcW w:w="309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mil. eur</w:t>
            </w:r>
          </w:p>
        </w:tc>
        <w:tc>
          <w:tcPr>
            <w:tcW w:w="85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2015 S</w:t>
            </w:r>
          </w:p>
        </w:tc>
        <w:tc>
          <w:tcPr>
            <w:tcW w:w="85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 S</w:t>
            </w:r>
          </w:p>
        </w:tc>
        <w:tc>
          <w:tcPr>
            <w:tcW w:w="851"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R</w:t>
            </w:r>
          </w:p>
        </w:tc>
        <w:tc>
          <w:tcPr>
            <w:tcW w:w="851"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OS</w:t>
            </w:r>
          </w:p>
        </w:tc>
        <w:tc>
          <w:tcPr>
            <w:tcW w:w="851"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 N</w:t>
            </w:r>
          </w:p>
        </w:tc>
        <w:tc>
          <w:tcPr>
            <w:tcW w:w="851"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 N</w:t>
            </w:r>
          </w:p>
        </w:tc>
        <w:tc>
          <w:tcPr>
            <w:tcW w:w="851"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 N</w:t>
            </w:r>
          </w:p>
        </w:tc>
      </w:tr>
      <w:tr w:rsidR="00640C5E" w:rsidTr="005C0638">
        <w:trPr>
          <w:trHeight w:val="283"/>
          <w:jc w:val="center"/>
        </w:trPr>
        <w:tc>
          <w:tcPr>
            <w:tcW w:w="3090" w:type="dxa"/>
            <w:tcBorders>
              <w:top w:val="nil"/>
              <w:left w:val="single" w:sz="4" w:space="0" w:color="auto"/>
              <w:bottom w:val="single" w:sz="4" w:space="0" w:color="auto"/>
              <w:right w:val="single" w:sz="4" w:space="0" w:color="auto"/>
            </w:tcBorders>
            <w:noWrap/>
            <w:vAlign w:val="bottom"/>
            <w:hideMark/>
          </w:tcPr>
          <w:p w:rsidR="00640C5E" w:rsidRDefault="00640C5E" w:rsidP="005C0638">
            <w:pPr>
              <w:ind w:left="201" w:hanging="201"/>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1.Úroky a diskont štátnych cenných papierov</w:t>
            </w:r>
          </w:p>
        </w:tc>
        <w:tc>
          <w:tcPr>
            <w:tcW w:w="852" w:type="dxa"/>
            <w:tcBorders>
              <w:top w:val="nil"/>
              <w:left w:val="nil"/>
              <w:bottom w:val="single" w:sz="4" w:space="0" w:color="auto"/>
              <w:right w:val="single" w:sz="4" w:space="0" w:color="auto"/>
            </w:tcBorders>
            <w:noWrap/>
            <w:vAlign w:val="bottom"/>
          </w:tcPr>
          <w:p w:rsidR="00640C5E" w:rsidRDefault="00640C5E" w:rsidP="005C0638">
            <w:pPr>
              <w:jc w:val="right"/>
              <w:rPr>
                <w:rFonts w:ascii="Times New Roman" w:hAnsi="Times New Roman" w:cs="Times New Roman"/>
                <w:color w:val="000000"/>
                <w:sz w:val="14"/>
                <w:szCs w:val="14"/>
                <w:lang w:eastAsia="sk-SK"/>
              </w:rPr>
            </w:pPr>
          </w:p>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1 159,41</w:t>
            </w: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1 090,39</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1 001,00</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988,42</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1 013,88</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1 009,57</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960,53</w:t>
            </w:r>
          </w:p>
        </w:tc>
      </w:tr>
      <w:tr w:rsidR="00640C5E" w:rsidTr="005C0638">
        <w:trPr>
          <w:trHeight w:val="283"/>
          <w:jc w:val="center"/>
        </w:trPr>
        <w:tc>
          <w:tcPr>
            <w:tcW w:w="3090" w:type="dxa"/>
            <w:tcBorders>
              <w:top w:val="nil"/>
              <w:left w:val="single" w:sz="4" w:space="0" w:color="auto"/>
              <w:bottom w:val="single" w:sz="4" w:space="0" w:color="auto"/>
              <w:right w:val="single" w:sz="4" w:space="0" w:color="auto"/>
            </w:tcBorders>
            <w:noWrap/>
            <w:vAlign w:val="bottom"/>
            <w:hideMark/>
          </w:tcPr>
          <w:p w:rsidR="00640C5E" w:rsidRDefault="00640C5E" w:rsidP="005C0638">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 Úroky z prijatých vládnych úverov</w:t>
            </w:r>
          </w:p>
        </w:tc>
        <w:tc>
          <w:tcPr>
            <w:tcW w:w="852" w:type="dxa"/>
            <w:tcBorders>
              <w:top w:val="nil"/>
              <w:left w:val="nil"/>
              <w:bottom w:val="single" w:sz="4" w:space="0" w:color="auto"/>
              <w:right w:val="single" w:sz="4" w:space="0" w:color="auto"/>
            </w:tcBorders>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58,83</w:t>
            </w: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62,65</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62,07</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63,55</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63,10</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59,01</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57,53</w:t>
            </w:r>
          </w:p>
        </w:tc>
      </w:tr>
      <w:tr w:rsidR="00640C5E" w:rsidTr="005C0638">
        <w:trPr>
          <w:trHeight w:val="283"/>
          <w:jc w:val="center"/>
        </w:trPr>
        <w:tc>
          <w:tcPr>
            <w:tcW w:w="3090" w:type="dxa"/>
            <w:tcBorders>
              <w:top w:val="nil"/>
              <w:left w:val="single" w:sz="4" w:space="0" w:color="auto"/>
              <w:bottom w:val="single" w:sz="4" w:space="0" w:color="auto"/>
              <w:right w:val="single" w:sz="4" w:space="0" w:color="auto"/>
            </w:tcBorders>
            <w:noWrap/>
            <w:vAlign w:val="bottom"/>
            <w:hideMark/>
          </w:tcPr>
          <w:p w:rsidR="00640C5E" w:rsidRDefault="00640C5E" w:rsidP="005C0638">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 Poplatky</w:t>
            </w:r>
          </w:p>
        </w:tc>
        <w:tc>
          <w:tcPr>
            <w:tcW w:w="852" w:type="dxa"/>
            <w:tcBorders>
              <w:top w:val="nil"/>
              <w:left w:val="nil"/>
              <w:bottom w:val="single" w:sz="4" w:space="0" w:color="auto"/>
              <w:right w:val="single" w:sz="4" w:space="0" w:color="auto"/>
            </w:tcBorders>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4,43</w:t>
            </w: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5,42</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16,90</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16,90</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12,33</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13,10</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13,10</w:t>
            </w:r>
          </w:p>
        </w:tc>
      </w:tr>
      <w:tr w:rsidR="00640C5E" w:rsidTr="005C0638">
        <w:trPr>
          <w:trHeight w:val="283"/>
          <w:jc w:val="center"/>
        </w:trPr>
        <w:tc>
          <w:tcPr>
            <w:tcW w:w="3090" w:type="dxa"/>
            <w:tcBorders>
              <w:top w:val="nil"/>
              <w:left w:val="single" w:sz="4" w:space="0" w:color="auto"/>
              <w:bottom w:val="single" w:sz="4" w:space="0" w:color="auto"/>
              <w:right w:val="single" w:sz="4" w:space="0" w:color="auto"/>
            </w:tcBorders>
            <w:noWrap/>
            <w:vAlign w:val="bottom"/>
            <w:hideMark/>
          </w:tcPr>
          <w:p w:rsidR="00640C5E" w:rsidRDefault="00640C5E" w:rsidP="005C0638">
            <w:pPr>
              <w:ind w:left="201" w:hanging="201"/>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 Úroky platené ŠP (refinančný systém) + obchody</w:t>
            </w:r>
          </w:p>
        </w:tc>
        <w:tc>
          <w:tcPr>
            <w:tcW w:w="852" w:type="dxa"/>
            <w:tcBorders>
              <w:top w:val="nil"/>
              <w:left w:val="nil"/>
              <w:bottom w:val="single" w:sz="4" w:space="0" w:color="auto"/>
              <w:right w:val="single" w:sz="4" w:space="0" w:color="auto"/>
            </w:tcBorders>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46,48</w:t>
            </w: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51,53</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54,38</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55,35</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58,06</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56,06</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57,35</w:t>
            </w:r>
          </w:p>
        </w:tc>
      </w:tr>
      <w:tr w:rsidR="00640C5E" w:rsidTr="005C0638">
        <w:trPr>
          <w:trHeight w:val="283"/>
          <w:jc w:val="center"/>
        </w:trPr>
        <w:tc>
          <w:tcPr>
            <w:tcW w:w="30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0C5E" w:rsidRDefault="00640C5E" w:rsidP="005C0638">
            <w:pPr>
              <w:rPr>
                <w:rFonts w:ascii="Times New Roman" w:hAnsi="Times New Roman" w:cs="Times New Roman"/>
                <w:bCs/>
                <w:color w:val="000000"/>
                <w:sz w:val="14"/>
                <w:szCs w:val="14"/>
                <w:lang w:eastAsia="sk-SK"/>
              </w:rPr>
            </w:pPr>
            <w:r>
              <w:rPr>
                <w:rFonts w:ascii="Times New Roman" w:hAnsi="Times New Roman" w:cs="Times New Roman"/>
                <w:bCs/>
                <w:color w:val="000000"/>
                <w:sz w:val="14"/>
                <w:szCs w:val="14"/>
                <w:lang w:eastAsia="sk-SK"/>
              </w:rPr>
              <w:t>Spolu</w:t>
            </w: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1 269,15</w:t>
            </w: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1 209,99</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1 134,35</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1 124,22</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1 147,37</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1 137,74</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1 088,51</w:t>
            </w:r>
          </w:p>
        </w:tc>
      </w:tr>
    </w:tbl>
    <w:p w:rsidR="00640C5E" w:rsidRDefault="00640C5E" w:rsidP="00640C5E">
      <w:pPr>
        <w:spacing w:after="200" w:line="276" w:lineRule="auto"/>
        <w:jc w:val="both"/>
        <w:rPr>
          <w:rFonts w:ascii="Times New Roman" w:eastAsia="Calibri" w:hAnsi="Times New Roman" w:cs="Times New Roman"/>
          <w:szCs w:val="36"/>
        </w:rPr>
      </w:pPr>
    </w:p>
    <w:p w:rsidR="00640C5E" w:rsidRDefault="00640C5E" w:rsidP="00640C5E">
      <w:pPr>
        <w:ind w:left="426" w:hanging="426"/>
        <w:contextualSpacing/>
        <w:jc w:val="both"/>
        <w:rPr>
          <w:rFonts w:ascii="Times New Roman" w:hAnsi="Times New Roman"/>
          <w:highlight w:val="yellow"/>
        </w:rPr>
      </w:pPr>
      <w:r>
        <w:rPr>
          <w:rFonts w:ascii="Times New Roman" w:hAnsi="Times New Roman"/>
        </w:rPr>
        <w:t>2.  Hotovostné náklady na štátny dlh sú dané hodnotou výdavkov, ktoré sa v danom roku vyplatia zo štátneho rozpočtu.</w:t>
      </w:r>
      <w:r>
        <w:rPr>
          <w:rFonts w:ascii="Times New Roman" w:hAnsi="Times New Roman"/>
          <w:color w:val="FF0000"/>
        </w:rPr>
        <w:t xml:space="preserve"> </w:t>
      </w:r>
    </w:p>
    <w:p w:rsidR="00640C5E" w:rsidRDefault="00640C5E" w:rsidP="00640C5E">
      <w:pPr>
        <w:jc w:val="center"/>
        <w:rPr>
          <w:rFonts w:ascii="Times New Roman" w:hAnsi="Times New Roman"/>
        </w:rPr>
      </w:pPr>
    </w:p>
    <w:tbl>
      <w:tblPr>
        <w:tblW w:w="4987" w:type="pct"/>
        <w:tblCellMar>
          <w:left w:w="70" w:type="dxa"/>
          <w:right w:w="70" w:type="dxa"/>
        </w:tblCellMar>
        <w:tblLook w:val="04A0" w:firstRow="1" w:lastRow="0" w:firstColumn="1" w:lastColumn="0" w:noHBand="0" w:noVBand="1"/>
      </w:tblPr>
      <w:tblGrid>
        <w:gridCol w:w="3088"/>
        <w:gridCol w:w="850"/>
        <w:gridCol w:w="850"/>
        <w:gridCol w:w="850"/>
        <w:gridCol w:w="850"/>
        <w:gridCol w:w="850"/>
        <w:gridCol w:w="850"/>
        <w:gridCol w:w="850"/>
      </w:tblGrid>
      <w:tr w:rsidR="00640C5E" w:rsidTr="00901C6C">
        <w:trPr>
          <w:trHeight w:val="283"/>
        </w:trPr>
        <w:tc>
          <w:tcPr>
            <w:tcW w:w="170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40C5E" w:rsidRDefault="00640C5E" w:rsidP="005C0638">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mil. eur</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2015 S</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 S</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R</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OS</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 N</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 N</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640C5E" w:rsidRDefault="00640C5E" w:rsidP="005C0638">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 N</w:t>
            </w:r>
          </w:p>
        </w:tc>
      </w:tr>
      <w:tr w:rsidR="00640C5E" w:rsidTr="005C0638">
        <w:trPr>
          <w:trHeight w:val="283"/>
        </w:trPr>
        <w:tc>
          <w:tcPr>
            <w:tcW w:w="1709" w:type="pct"/>
            <w:tcBorders>
              <w:top w:val="nil"/>
              <w:left w:val="single" w:sz="4" w:space="0" w:color="auto"/>
              <w:bottom w:val="single" w:sz="4" w:space="0" w:color="auto"/>
              <w:right w:val="single" w:sz="4" w:space="0" w:color="auto"/>
            </w:tcBorders>
            <w:noWrap/>
            <w:vAlign w:val="bottom"/>
            <w:hideMark/>
          </w:tcPr>
          <w:p w:rsidR="00640C5E" w:rsidRDefault="00640C5E" w:rsidP="005C0638">
            <w:pPr>
              <w:ind w:left="214" w:hanging="214"/>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Úroky a diskont štátnych cenných papierov</w:t>
            </w:r>
          </w:p>
        </w:tc>
        <w:tc>
          <w:tcPr>
            <w:tcW w:w="470" w:type="pct"/>
            <w:tcBorders>
              <w:top w:val="nil"/>
              <w:left w:val="nil"/>
              <w:bottom w:val="single" w:sz="4" w:space="0" w:color="auto"/>
              <w:right w:val="single" w:sz="4" w:space="0" w:color="auto"/>
            </w:tcBorders>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1 052,41</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1 066,86</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1 176,20</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1 072,69</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1 017,52</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1 047,73</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1 104,44</w:t>
            </w:r>
          </w:p>
        </w:tc>
      </w:tr>
      <w:tr w:rsidR="00640C5E" w:rsidTr="005C0638">
        <w:trPr>
          <w:trHeight w:val="283"/>
        </w:trPr>
        <w:tc>
          <w:tcPr>
            <w:tcW w:w="1709" w:type="pct"/>
            <w:tcBorders>
              <w:top w:val="nil"/>
              <w:left w:val="single" w:sz="4" w:space="0" w:color="auto"/>
              <w:bottom w:val="single" w:sz="4" w:space="0" w:color="auto"/>
              <w:right w:val="single" w:sz="4" w:space="0" w:color="auto"/>
            </w:tcBorders>
            <w:noWrap/>
            <w:vAlign w:val="bottom"/>
            <w:hideMark/>
          </w:tcPr>
          <w:p w:rsidR="00640C5E" w:rsidRDefault="00640C5E" w:rsidP="005C0638">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 Úroky z prijatých vládnych úverov</w:t>
            </w:r>
          </w:p>
        </w:tc>
        <w:tc>
          <w:tcPr>
            <w:tcW w:w="470" w:type="pct"/>
            <w:tcBorders>
              <w:top w:val="nil"/>
              <w:left w:val="nil"/>
              <w:bottom w:val="single" w:sz="4" w:space="0" w:color="auto"/>
              <w:right w:val="single" w:sz="4" w:space="0" w:color="auto"/>
            </w:tcBorders>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55,90</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60,64</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62,30</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63,19</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63,32</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60,55</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57,76</w:t>
            </w:r>
          </w:p>
        </w:tc>
      </w:tr>
      <w:tr w:rsidR="00640C5E" w:rsidTr="005C0638">
        <w:trPr>
          <w:trHeight w:val="283"/>
        </w:trPr>
        <w:tc>
          <w:tcPr>
            <w:tcW w:w="1709" w:type="pct"/>
            <w:tcBorders>
              <w:top w:val="nil"/>
              <w:left w:val="single" w:sz="4" w:space="0" w:color="auto"/>
              <w:bottom w:val="single" w:sz="4" w:space="0" w:color="auto"/>
              <w:right w:val="single" w:sz="4" w:space="0" w:color="auto"/>
            </w:tcBorders>
            <w:noWrap/>
            <w:vAlign w:val="bottom"/>
            <w:hideMark/>
          </w:tcPr>
          <w:p w:rsidR="00640C5E" w:rsidRDefault="00640C5E" w:rsidP="005C0638">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 Poplatky</w:t>
            </w:r>
          </w:p>
        </w:tc>
        <w:tc>
          <w:tcPr>
            <w:tcW w:w="470" w:type="pct"/>
            <w:tcBorders>
              <w:top w:val="nil"/>
              <w:left w:val="nil"/>
              <w:bottom w:val="single" w:sz="4" w:space="0" w:color="auto"/>
              <w:right w:val="single" w:sz="4" w:space="0" w:color="auto"/>
            </w:tcBorders>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4,43</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5,42</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16,90</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15,90</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12,33</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13,10</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13,10</w:t>
            </w:r>
          </w:p>
        </w:tc>
      </w:tr>
      <w:tr w:rsidR="00640C5E" w:rsidTr="005C0638">
        <w:trPr>
          <w:trHeight w:val="283"/>
        </w:trPr>
        <w:tc>
          <w:tcPr>
            <w:tcW w:w="1709" w:type="pct"/>
            <w:tcBorders>
              <w:top w:val="nil"/>
              <w:left w:val="single" w:sz="4" w:space="0" w:color="auto"/>
              <w:bottom w:val="single" w:sz="4" w:space="0" w:color="auto"/>
              <w:right w:val="single" w:sz="4" w:space="0" w:color="auto"/>
            </w:tcBorders>
            <w:noWrap/>
            <w:vAlign w:val="bottom"/>
            <w:hideMark/>
          </w:tcPr>
          <w:p w:rsidR="00640C5E" w:rsidRDefault="00640C5E" w:rsidP="005C0638">
            <w:pPr>
              <w:ind w:left="214" w:hanging="214"/>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 Úroky platené ŠP (refinančný systém) + obchody</w:t>
            </w:r>
          </w:p>
        </w:tc>
        <w:tc>
          <w:tcPr>
            <w:tcW w:w="470" w:type="pct"/>
            <w:tcBorders>
              <w:top w:val="nil"/>
              <w:left w:val="nil"/>
              <w:bottom w:val="single" w:sz="4" w:space="0" w:color="auto"/>
              <w:right w:val="single" w:sz="4" w:space="0" w:color="auto"/>
            </w:tcBorders>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46,92</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41,81</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54,38</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48,38</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57,75</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56,06</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Default="00640C5E" w:rsidP="005C0638">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57,35</w:t>
            </w:r>
          </w:p>
        </w:tc>
      </w:tr>
      <w:tr w:rsidR="00640C5E" w:rsidTr="005C0638">
        <w:trPr>
          <w:trHeight w:val="283"/>
        </w:trPr>
        <w:tc>
          <w:tcPr>
            <w:tcW w:w="170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0C5E" w:rsidRPr="00CF764C" w:rsidRDefault="00640C5E" w:rsidP="005C0638">
            <w:pPr>
              <w:rPr>
                <w:rFonts w:ascii="Times New Roman" w:hAnsi="Times New Roman" w:cs="Times New Roman"/>
                <w:color w:val="000000"/>
                <w:sz w:val="14"/>
                <w:szCs w:val="14"/>
                <w:lang w:eastAsia="sk-SK"/>
              </w:rPr>
            </w:pPr>
            <w:r w:rsidRPr="00CF764C">
              <w:rPr>
                <w:rFonts w:ascii="Times New Roman" w:hAnsi="Times New Roman" w:cs="Times New Roman"/>
                <w:color w:val="000000"/>
                <w:sz w:val="14"/>
                <w:szCs w:val="14"/>
                <w:lang w:eastAsia="sk-SK"/>
              </w:rPr>
              <w:t>Spolu (transfer zo štátneho rozpočtu na saldo účet)</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Pr="00CF764C" w:rsidRDefault="00640C5E" w:rsidP="005C0638">
            <w:pPr>
              <w:jc w:val="right"/>
              <w:rPr>
                <w:rFonts w:ascii="Times New Roman" w:hAnsi="Times New Roman" w:cs="Times New Roman"/>
                <w:color w:val="000000"/>
                <w:sz w:val="14"/>
                <w:szCs w:val="14"/>
                <w:lang w:eastAsia="sk-SK"/>
              </w:rPr>
            </w:pPr>
            <w:r w:rsidRPr="00CF764C">
              <w:rPr>
                <w:rFonts w:ascii="Times New Roman" w:hAnsi="Times New Roman" w:cs="Times New Roman"/>
                <w:color w:val="000000"/>
                <w:sz w:val="14"/>
                <w:szCs w:val="14"/>
                <w:lang w:eastAsia="sk-SK"/>
              </w:rPr>
              <w:t>1 159,66</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Pr="00CF764C" w:rsidRDefault="00640C5E" w:rsidP="005C0638">
            <w:pPr>
              <w:jc w:val="right"/>
              <w:rPr>
                <w:rFonts w:ascii="Times New Roman" w:hAnsi="Times New Roman" w:cs="Times New Roman"/>
                <w:color w:val="000000"/>
                <w:sz w:val="14"/>
                <w:szCs w:val="14"/>
                <w:lang w:eastAsia="sk-SK"/>
              </w:rPr>
            </w:pPr>
            <w:r w:rsidRPr="00CF764C">
              <w:rPr>
                <w:rFonts w:ascii="Times New Roman" w:hAnsi="Times New Roman" w:cs="Times New Roman"/>
                <w:color w:val="000000"/>
                <w:sz w:val="14"/>
                <w:szCs w:val="14"/>
                <w:lang w:eastAsia="sk-SK"/>
              </w:rPr>
              <w:t>1 174,73</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Pr="00CF764C" w:rsidRDefault="00640C5E" w:rsidP="005C0638">
            <w:pPr>
              <w:jc w:val="right"/>
              <w:rPr>
                <w:rFonts w:ascii="Times New Roman" w:hAnsi="Times New Roman" w:cs="Times New Roman"/>
                <w:sz w:val="14"/>
                <w:szCs w:val="14"/>
                <w:lang w:eastAsia="sk-SK"/>
              </w:rPr>
            </w:pPr>
            <w:r w:rsidRPr="00CF764C">
              <w:rPr>
                <w:rFonts w:ascii="Times New Roman" w:hAnsi="Times New Roman" w:cs="Times New Roman"/>
                <w:sz w:val="14"/>
                <w:szCs w:val="14"/>
                <w:lang w:eastAsia="sk-SK"/>
              </w:rPr>
              <w:t>1 309,78</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Pr="00CF764C" w:rsidRDefault="00640C5E" w:rsidP="005C0638">
            <w:pPr>
              <w:jc w:val="right"/>
              <w:rPr>
                <w:rFonts w:ascii="Times New Roman" w:hAnsi="Times New Roman" w:cs="Times New Roman"/>
                <w:sz w:val="14"/>
                <w:szCs w:val="14"/>
                <w:lang w:eastAsia="sk-SK"/>
              </w:rPr>
            </w:pPr>
            <w:r w:rsidRPr="00CF764C">
              <w:rPr>
                <w:rFonts w:ascii="Times New Roman" w:hAnsi="Times New Roman" w:cs="Times New Roman"/>
                <w:sz w:val="14"/>
                <w:szCs w:val="14"/>
                <w:lang w:eastAsia="sk-SK"/>
              </w:rPr>
              <w:t>1 200,16</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Pr="00CF764C" w:rsidRDefault="00640C5E" w:rsidP="005C0638">
            <w:pPr>
              <w:jc w:val="right"/>
              <w:rPr>
                <w:rFonts w:ascii="Times New Roman" w:hAnsi="Times New Roman" w:cs="Times New Roman"/>
                <w:sz w:val="14"/>
                <w:szCs w:val="14"/>
                <w:lang w:eastAsia="sk-SK"/>
              </w:rPr>
            </w:pPr>
            <w:r w:rsidRPr="00CF764C">
              <w:rPr>
                <w:rFonts w:ascii="Times New Roman" w:hAnsi="Times New Roman" w:cs="Times New Roman"/>
                <w:sz w:val="14"/>
                <w:szCs w:val="14"/>
                <w:lang w:eastAsia="sk-SK"/>
              </w:rPr>
              <w:t>1 150,92</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Pr="00CF764C" w:rsidRDefault="00640C5E" w:rsidP="005C0638">
            <w:pPr>
              <w:jc w:val="right"/>
              <w:rPr>
                <w:rFonts w:ascii="Times New Roman" w:hAnsi="Times New Roman" w:cs="Times New Roman"/>
                <w:sz w:val="14"/>
                <w:szCs w:val="14"/>
                <w:lang w:eastAsia="sk-SK"/>
              </w:rPr>
            </w:pPr>
            <w:r w:rsidRPr="00CF764C">
              <w:rPr>
                <w:rFonts w:ascii="Times New Roman" w:hAnsi="Times New Roman" w:cs="Times New Roman"/>
                <w:sz w:val="14"/>
                <w:szCs w:val="14"/>
                <w:lang w:eastAsia="sk-SK"/>
              </w:rPr>
              <w:t>1 177,44</w:t>
            </w:r>
          </w:p>
        </w:tc>
        <w:tc>
          <w:tcPr>
            <w:tcW w:w="470" w:type="pct"/>
            <w:tcBorders>
              <w:top w:val="single" w:sz="4" w:space="0" w:color="auto"/>
              <w:left w:val="nil"/>
              <w:bottom w:val="single" w:sz="4" w:space="0" w:color="auto"/>
              <w:right w:val="single" w:sz="4" w:space="0" w:color="auto"/>
            </w:tcBorders>
            <w:shd w:val="clear" w:color="auto" w:fill="FFFFFF"/>
            <w:noWrap/>
            <w:vAlign w:val="bottom"/>
            <w:hideMark/>
          </w:tcPr>
          <w:p w:rsidR="00640C5E" w:rsidRPr="00CF764C" w:rsidRDefault="00640C5E" w:rsidP="005C0638">
            <w:pPr>
              <w:jc w:val="right"/>
              <w:rPr>
                <w:rFonts w:ascii="Times New Roman" w:hAnsi="Times New Roman" w:cs="Times New Roman"/>
                <w:sz w:val="14"/>
                <w:szCs w:val="14"/>
                <w:lang w:eastAsia="sk-SK"/>
              </w:rPr>
            </w:pPr>
            <w:r w:rsidRPr="00CF764C">
              <w:rPr>
                <w:rFonts w:ascii="Times New Roman" w:hAnsi="Times New Roman" w:cs="Times New Roman"/>
                <w:sz w:val="14"/>
                <w:szCs w:val="14"/>
                <w:lang w:eastAsia="sk-SK"/>
              </w:rPr>
              <w:t>1 232,65</w:t>
            </w:r>
          </w:p>
        </w:tc>
      </w:tr>
    </w:tbl>
    <w:p w:rsidR="00640C5E" w:rsidRPr="00901C6C" w:rsidRDefault="00640C5E" w:rsidP="00640C5E">
      <w:pPr>
        <w:jc w:val="both"/>
        <w:rPr>
          <w:rFonts w:ascii="Times New Roman" w:eastAsia="Calibri" w:hAnsi="Times New Roman" w:cs="Times New Roman"/>
          <w:sz w:val="14"/>
          <w:szCs w:val="18"/>
        </w:rPr>
      </w:pPr>
      <w:r w:rsidRPr="00901C6C">
        <w:rPr>
          <w:rFonts w:ascii="Times New Roman" w:eastAsia="Calibri" w:hAnsi="Times New Roman" w:cs="Times New Roman"/>
          <w:sz w:val="14"/>
          <w:szCs w:val="18"/>
        </w:rPr>
        <w:t>Pozn.: V roku 2012 sa v zmysle zákona č. 291/2002 Z.</w:t>
      </w:r>
      <w:r w:rsidR="00901C6C" w:rsidRPr="00901C6C">
        <w:rPr>
          <w:rFonts w:ascii="Times New Roman" w:eastAsia="Calibri" w:hAnsi="Times New Roman" w:cs="Times New Roman"/>
          <w:sz w:val="14"/>
          <w:szCs w:val="18"/>
        </w:rPr>
        <w:t xml:space="preserve"> </w:t>
      </w:r>
      <w:r w:rsidRPr="00901C6C">
        <w:rPr>
          <w:rFonts w:ascii="Times New Roman" w:eastAsia="Calibri" w:hAnsi="Times New Roman" w:cs="Times New Roman"/>
          <w:sz w:val="14"/>
          <w:szCs w:val="18"/>
        </w:rPr>
        <w:t xml:space="preserve">z. o Štátnej pokladnici a o zmene a doplnení niektorých zákonov v znení neskorších predpisov pre efektívne fungovanie obsluhy štátneho dlhu zriadil samostatný účet (tzv. Saldo účet štátneho dlhu). Uvedený účet slúži </w:t>
      </w:r>
      <w:r w:rsidR="00901C6C">
        <w:rPr>
          <w:rFonts w:ascii="Times New Roman" w:eastAsia="Calibri" w:hAnsi="Times New Roman" w:cs="Times New Roman"/>
          <w:sz w:val="14"/>
          <w:szCs w:val="18"/>
        </w:rPr>
        <w:t>na</w:t>
      </w:r>
      <w:r w:rsidRPr="00901C6C">
        <w:rPr>
          <w:rFonts w:ascii="Times New Roman" w:eastAsia="Calibri" w:hAnsi="Times New Roman" w:cs="Times New Roman"/>
          <w:sz w:val="14"/>
          <w:szCs w:val="18"/>
        </w:rPr>
        <w:t xml:space="preserve"> výdavkové a príjmové transakcie vykonávané Agentúrou pre riadenie dlhu a likvidity v mene Ministerstva financií SR. Stav na tomto účte sa pravidelne mesačne a ku koncu roka vyrovnáva transferom z výdavkového účtu štátneho rozpočtu na nulový zostatok. Tieto transfery predstavujú čisté výdavky štátneho rozpočtu na obsluhu štátneho dlhu.</w:t>
      </w:r>
    </w:p>
    <w:p w:rsidR="00640C5E" w:rsidRDefault="00640C5E" w:rsidP="00640C5E"/>
    <w:p w:rsidR="000736F2" w:rsidRDefault="000736F2" w:rsidP="00640C5E">
      <w:pPr>
        <w:jc w:val="both"/>
        <w:rPr>
          <w:rFonts w:ascii="Times New Roman" w:hAnsi="Times New Roman"/>
          <w:b/>
          <w:bCs/>
          <w:iCs/>
        </w:rPr>
      </w:pPr>
    </w:p>
    <w:p w:rsidR="000736F2" w:rsidRDefault="000736F2" w:rsidP="00640C5E">
      <w:pPr>
        <w:jc w:val="both"/>
        <w:rPr>
          <w:rFonts w:ascii="Times New Roman" w:hAnsi="Times New Roman"/>
          <w:b/>
          <w:bCs/>
          <w:iCs/>
        </w:rPr>
      </w:pPr>
    </w:p>
    <w:p w:rsidR="00640C5E" w:rsidRPr="0006072B" w:rsidRDefault="00640C5E" w:rsidP="00640C5E">
      <w:pPr>
        <w:jc w:val="both"/>
        <w:rPr>
          <w:rFonts w:ascii="Times New Roman" w:hAnsi="Times New Roman"/>
          <w:b/>
          <w:bCs/>
          <w:iCs/>
        </w:rPr>
      </w:pPr>
      <w:r w:rsidRPr="0006072B">
        <w:rPr>
          <w:rFonts w:ascii="Times New Roman" w:hAnsi="Times New Roman"/>
          <w:b/>
          <w:bCs/>
          <w:iCs/>
        </w:rPr>
        <w:lastRenderedPageBreak/>
        <w:t>Finančné vzťahy k Sociálnej poisťovni</w:t>
      </w:r>
    </w:p>
    <w:p w:rsidR="00640C5E" w:rsidRPr="0006072B" w:rsidRDefault="00640C5E" w:rsidP="00640C5E">
      <w:pPr>
        <w:jc w:val="both"/>
        <w:rPr>
          <w:rFonts w:ascii="Times New Roman" w:hAnsi="Times New Roman"/>
          <w:b/>
          <w:bCs/>
          <w:iCs/>
        </w:rPr>
      </w:pPr>
    </w:p>
    <w:tbl>
      <w:tblPr>
        <w:tblW w:w="9076" w:type="dxa"/>
        <w:tblInd w:w="55" w:type="dxa"/>
        <w:tblLayout w:type="fixed"/>
        <w:tblCellMar>
          <w:left w:w="70" w:type="dxa"/>
          <w:right w:w="70" w:type="dxa"/>
        </w:tblCellMar>
        <w:tblLook w:val="04A0" w:firstRow="1" w:lastRow="0" w:firstColumn="1" w:lastColumn="0" w:noHBand="0" w:noVBand="1"/>
      </w:tblPr>
      <w:tblGrid>
        <w:gridCol w:w="2132"/>
        <w:gridCol w:w="992"/>
        <w:gridCol w:w="992"/>
        <w:gridCol w:w="992"/>
        <w:gridCol w:w="992"/>
        <w:gridCol w:w="992"/>
        <w:gridCol w:w="992"/>
        <w:gridCol w:w="992"/>
      </w:tblGrid>
      <w:tr w:rsidR="00640C5E" w:rsidRPr="0006072B" w:rsidTr="005C0638">
        <w:trPr>
          <w:trHeight w:val="283"/>
        </w:trPr>
        <w:tc>
          <w:tcPr>
            <w:tcW w:w="2132"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640C5E" w:rsidRPr="00F534F3" w:rsidRDefault="00640C5E" w:rsidP="005C0638">
            <w:pPr>
              <w:rPr>
                <w:rFonts w:ascii="Times New Roman" w:hAnsi="Times New Roman"/>
                <w:b/>
                <w:bCs/>
                <w:sz w:val="14"/>
                <w:szCs w:val="14"/>
                <w:lang w:eastAsia="sk-SK"/>
              </w:rPr>
            </w:pPr>
            <w:r w:rsidRPr="00F534F3">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noWrap/>
            <w:vAlign w:val="bottom"/>
          </w:tcPr>
          <w:p w:rsidR="00640C5E" w:rsidRPr="00F534F3" w:rsidRDefault="00640C5E" w:rsidP="005C0638">
            <w:pPr>
              <w:jc w:val="center"/>
              <w:rPr>
                <w:rFonts w:ascii="Times New Roman" w:hAnsi="Times New Roman"/>
                <w:b/>
                <w:sz w:val="14"/>
                <w:szCs w:val="14"/>
                <w:lang w:eastAsia="sk-SK"/>
              </w:rPr>
            </w:pPr>
            <w:r w:rsidRPr="00F534F3">
              <w:rPr>
                <w:rFonts w:ascii="Times New Roman" w:hAnsi="Times New Roman"/>
                <w:b/>
                <w:sz w:val="14"/>
                <w:szCs w:val="14"/>
                <w:lang w:eastAsia="sk-SK"/>
              </w:rPr>
              <w:t>2015 S</w:t>
            </w:r>
          </w:p>
        </w:tc>
        <w:tc>
          <w:tcPr>
            <w:tcW w:w="992" w:type="dxa"/>
            <w:tcBorders>
              <w:top w:val="single" w:sz="4" w:space="0" w:color="auto"/>
              <w:left w:val="nil"/>
              <w:bottom w:val="single" w:sz="4" w:space="0" w:color="auto"/>
              <w:right w:val="single" w:sz="4" w:space="0" w:color="auto"/>
            </w:tcBorders>
            <w:shd w:val="clear" w:color="auto" w:fill="A6A6A6"/>
            <w:vAlign w:val="bottom"/>
          </w:tcPr>
          <w:p w:rsidR="00640C5E" w:rsidRPr="00F534F3" w:rsidRDefault="00640C5E" w:rsidP="005C0638">
            <w:pPr>
              <w:jc w:val="center"/>
              <w:rPr>
                <w:rFonts w:ascii="Times New Roman" w:hAnsi="Times New Roman"/>
                <w:b/>
                <w:sz w:val="14"/>
                <w:szCs w:val="14"/>
                <w:lang w:eastAsia="sk-SK"/>
              </w:rPr>
            </w:pPr>
            <w:r w:rsidRPr="00F534F3">
              <w:rPr>
                <w:rFonts w:ascii="Times New Roman" w:hAnsi="Times New Roman"/>
                <w:b/>
                <w:sz w:val="14"/>
                <w:szCs w:val="14"/>
                <w:lang w:eastAsia="sk-SK"/>
              </w:rPr>
              <w:t>2016 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640C5E" w:rsidRPr="00F534F3" w:rsidRDefault="00640C5E" w:rsidP="005C0638">
            <w:pPr>
              <w:jc w:val="center"/>
              <w:rPr>
                <w:rFonts w:ascii="Times New Roman" w:hAnsi="Times New Roman"/>
                <w:b/>
                <w:sz w:val="14"/>
                <w:szCs w:val="14"/>
                <w:lang w:eastAsia="sk-SK"/>
              </w:rPr>
            </w:pPr>
            <w:r w:rsidRPr="00F534F3">
              <w:rPr>
                <w:rFonts w:ascii="Times New Roman" w:hAnsi="Times New Roman"/>
                <w:b/>
                <w:sz w:val="14"/>
                <w:szCs w:val="14"/>
                <w:lang w:eastAsia="sk-SK"/>
              </w:rPr>
              <w:t>2017 R</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640C5E" w:rsidRPr="00F534F3" w:rsidRDefault="00640C5E" w:rsidP="005C0638">
            <w:pPr>
              <w:jc w:val="center"/>
              <w:rPr>
                <w:rFonts w:ascii="Times New Roman" w:hAnsi="Times New Roman"/>
                <w:b/>
                <w:sz w:val="14"/>
                <w:szCs w:val="14"/>
                <w:lang w:eastAsia="sk-SK"/>
              </w:rPr>
            </w:pPr>
            <w:r w:rsidRPr="00F534F3">
              <w:rPr>
                <w:rFonts w:ascii="Times New Roman" w:hAnsi="Times New Roman"/>
                <w:b/>
                <w:sz w:val="14"/>
                <w:szCs w:val="14"/>
                <w:lang w:eastAsia="sk-SK"/>
              </w:rPr>
              <w:t>2017 OS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640C5E" w:rsidRPr="00F534F3" w:rsidRDefault="00640C5E" w:rsidP="005C0638">
            <w:pPr>
              <w:jc w:val="center"/>
              <w:rPr>
                <w:rFonts w:ascii="Times New Roman" w:hAnsi="Times New Roman"/>
                <w:b/>
                <w:sz w:val="14"/>
                <w:szCs w:val="14"/>
                <w:lang w:eastAsia="sk-SK"/>
              </w:rPr>
            </w:pPr>
            <w:r>
              <w:rPr>
                <w:rFonts w:ascii="Times New Roman" w:hAnsi="Times New Roman"/>
                <w:b/>
                <w:sz w:val="14"/>
                <w:szCs w:val="14"/>
                <w:lang w:eastAsia="sk-SK"/>
              </w:rPr>
              <w:t>2018 N</w:t>
            </w:r>
          </w:p>
        </w:tc>
        <w:tc>
          <w:tcPr>
            <w:tcW w:w="992" w:type="dxa"/>
            <w:tcBorders>
              <w:top w:val="single" w:sz="4" w:space="0" w:color="auto"/>
              <w:left w:val="nil"/>
              <w:bottom w:val="single" w:sz="4" w:space="0" w:color="auto"/>
              <w:right w:val="single" w:sz="4" w:space="0" w:color="auto"/>
            </w:tcBorders>
            <w:shd w:val="clear" w:color="auto" w:fill="A6A6A6"/>
            <w:noWrap/>
            <w:vAlign w:val="bottom"/>
          </w:tcPr>
          <w:p w:rsidR="00640C5E" w:rsidRPr="00F534F3" w:rsidRDefault="00640C5E" w:rsidP="005C0638">
            <w:pPr>
              <w:jc w:val="center"/>
              <w:rPr>
                <w:rFonts w:ascii="Times New Roman" w:hAnsi="Times New Roman"/>
                <w:b/>
                <w:sz w:val="14"/>
                <w:szCs w:val="14"/>
                <w:lang w:eastAsia="sk-SK"/>
              </w:rPr>
            </w:pPr>
            <w:r w:rsidRPr="00F534F3">
              <w:rPr>
                <w:rFonts w:ascii="Times New Roman" w:hAnsi="Times New Roman"/>
                <w:b/>
                <w:sz w:val="14"/>
                <w:szCs w:val="14"/>
                <w:lang w:eastAsia="sk-SK"/>
              </w:rPr>
              <w:t>2019 N</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640C5E" w:rsidRPr="00F534F3" w:rsidRDefault="00640C5E" w:rsidP="005C0638">
            <w:pPr>
              <w:jc w:val="center"/>
              <w:rPr>
                <w:rFonts w:ascii="Times New Roman" w:hAnsi="Times New Roman"/>
                <w:b/>
                <w:sz w:val="14"/>
                <w:szCs w:val="14"/>
                <w:lang w:eastAsia="sk-SK"/>
              </w:rPr>
            </w:pPr>
            <w:r w:rsidRPr="00F534F3">
              <w:rPr>
                <w:rFonts w:ascii="Times New Roman" w:hAnsi="Times New Roman"/>
                <w:b/>
                <w:sz w:val="14"/>
                <w:szCs w:val="14"/>
                <w:lang w:eastAsia="sk-SK"/>
              </w:rPr>
              <w:t>2020 N</w:t>
            </w:r>
          </w:p>
        </w:tc>
      </w:tr>
      <w:tr w:rsidR="00640C5E" w:rsidRPr="00C81B35" w:rsidTr="005C0638">
        <w:trPr>
          <w:trHeight w:val="283"/>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F81075" w:rsidRDefault="00640C5E" w:rsidP="005C0638">
            <w:pPr>
              <w:rPr>
                <w:rFonts w:ascii="Times New Roman" w:hAnsi="Times New Roman"/>
                <w:bCs/>
                <w:sz w:val="14"/>
                <w:szCs w:val="14"/>
                <w:lang w:eastAsia="sk-SK"/>
              </w:rPr>
            </w:pPr>
            <w:r>
              <w:rPr>
                <w:rFonts w:ascii="Times New Roman" w:hAnsi="Times New Roman"/>
                <w:bCs/>
                <w:sz w:val="14"/>
                <w:szCs w:val="14"/>
                <w:lang w:eastAsia="sk-SK"/>
              </w:rPr>
              <w:t>Finančné vzťahy k</w:t>
            </w:r>
            <w:r w:rsidRPr="00F81075">
              <w:rPr>
                <w:rFonts w:ascii="Times New Roman" w:hAnsi="Times New Roman"/>
                <w:bCs/>
                <w:sz w:val="14"/>
                <w:szCs w:val="14"/>
                <w:lang w:eastAsia="sk-SK"/>
              </w:rPr>
              <w:t xml:space="preserve">  Sociálnej poisťovni</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640C5E" w:rsidRPr="00F81075" w:rsidRDefault="00640C5E" w:rsidP="005C0638">
            <w:pPr>
              <w:jc w:val="right"/>
              <w:rPr>
                <w:rFonts w:ascii="Times New Roman" w:hAnsi="Times New Roman"/>
                <w:bCs/>
                <w:sz w:val="14"/>
                <w:szCs w:val="14"/>
                <w:lang w:eastAsia="sk-SK"/>
              </w:rPr>
            </w:pPr>
            <w:r w:rsidRPr="00F81075">
              <w:rPr>
                <w:rFonts w:ascii="Times New Roman" w:hAnsi="Times New Roman"/>
                <w:bCs/>
                <w:sz w:val="14"/>
                <w:szCs w:val="14"/>
                <w:lang w:eastAsia="sk-SK"/>
              </w:rPr>
              <w:t>452 982 834</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640C5E" w:rsidRPr="00F81075" w:rsidRDefault="00640C5E" w:rsidP="005C0638">
            <w:pPr>
              <w:jc w:val="right"/>
              <w:rPr>
                <w:rFonts w:ascii="Times New Roman" w:hAnsi="Times New Roman"/>
                <w:bCs/>
                <w:sz w:val="14"/>
                <w:szCs w:val="14"/>
                <w:lang w:eastAsia="sk-SK"/>
              </w:rPr>
            </w:pPr>
            <w:r w:rsidRPr="00F81075">
              <w:rPr>
                <w:rFonts w:ascii="Times New Roman" w:hAnsi="Times New Roman"/>
                <w:bCs/>
                <w:sz w:val="14"/>
                <w:szCs w:val="14"/>
                <w:lang w:eastAsia="sk-SK"/>
              </w:rPr>
              <w:t>365 323 874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F81075" w:rsidRDefault="00640C5E" w:rsidP="005C0638">
            <w:pPr>
              <w:jc w:val="right"/>
              <w:rPr>
                <w:rFonts w:ascii="Times New Roman" w:hAnsi="Times New Roman"/>
                <w:bCs/>
                <w:sz w:val="14"/>
                <w:szCs w:val="14"/>
                <w:lang w:eastAsia="sk-SK"/>
              </w:rPr>
            </w:pPr>
            <w:r w:rsidRPr="00F81075">
              <w:rPr>
                <w:rFonts w:ascii="Times New Roman" w:hAnsi="Times New Roman"/>
                <w:bCs/>
                <w:sz w:val="14"/>
                <w:szCs w:val="14"/>
                <w:lang w:eastAsia="sk-SK"/>
              </w:rPr>
              <w:t>544 060 309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F81075" w:rsidRDefault="00640C5E" w:rsidP="005C0638">
            <w:pPr>
              <w:jc w:val="right"/>
              <w:rPr>
                <w:rFonts w:ascii="Times New Roman" w:hAnsi="Times New Roman"/>
                <w:bCs/>
                <w:sz w:val="14"/>
                <w:szCs w:val="14"/>
                <w:lang w:eastAsia="sk-SK"/>
              </w:rPr>
            </w:pPr>
            <w:r>
              <w:rPr>
                <w:rFonts w:ascii="Times New Roman" w:hAnsi="Times New Roman"/>
                <w:bCs/>
                <w:sz w:val="14"/>
                <w:szCs w:val="14"/>
                <w:lang w:eastAsia="sk-SK"/>
              </w:rPr>
              <w:t>442 161 162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0C5E" w:rsidRPr="00F81075" w:rsidRDefault="00640C5E" w:rsidP="005C0638">
            <w:pPr>
              <w:jc w:val="right"/>
              <w:rPr>
                <w:rFonts w:ascii="Times New Roman" w:hAnsi="Times New Roman"/>
                <w:bCs/>
                <w:sz w:val="14"/>
                <w:szCs w:val="14"/>
                <w:lang w:eastAsia="sk-SK"/>
              </w:rPr>
            </w:pPr>
            <w:r w:rsidRPr="00F81075">
              <w:rPr>
                <w:rFonts w:ascii="Times New Roman" w:hAnsi="Times New Roman"/>
                <w:bCs/>
                <w:sz w:val="14"/>
                <w:szCs w:val="14"/>
                <w:lang w:eastAsia="sk-SK"/>
              </w:rPr>
              <w:t>255 391 612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40C5E" w:rsidRPr="00F81075" w:rsidRDefault="00640C5E" w:rsidP="005C0638">
            <w:pPr>
              <w:jc w:val="right"/>
              <w:rPr>
                <w:rFonts w:ascii="Times New Roman" w:hAnsi="Times New Roman"/>
                <w:bCs/>
                <w:sz w:val="14"/>
                <w:szCs w:val="14"/>
                <w:lang w:eastAsia="sk-SK"/>
              </w:rPr>
            </w:pPr>
            <w:r w:rsidRPr="00F81075">
              <w:rPr>
                <w:rFonts w:ascii="Times New Roman" w:hAnsi="Times New Roman"/>
                <w:bCs/>
                <w:sz w:val="14"/>
                <w:szCs w:val="14"/>
                <w:lang w:eastAsia="sk-SK"/>
              </w:rPr>
              <w:t>117 658 418</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640C5E" w:rsidRPr="00F81075" w:rsidRDefault="00640C5E" w:rsidP="005C0638">
            <w:pPr>
              <w:jc w:val="right"/>
              <w:rPr>
                <w:rFonts w:ascii="Times New Roman" w:hAnsi="Times New Roman"/>
                <w:bCs/>
                <w:sz w:val="14"/>
                <w:szCs w:val="14"/>
                <w:lang w:eastAsia="sk-SK"/>
              </w:rPr>
            </w:pPr>
            <w:r w:rsidRPr="00F81075">
              <w:rPr>
                <w:rFonts w:ascii="Times New Roman" w:hAnsi="Times New Roman"/>
                <w:bCs/>
                <w:sz w:val="14"/>
                <w:szCs w:val="14"/>
                <w:lang w:eastAsia="sk-SK"/>
              </w:rPr>
              <w:t>0</w:t>
            </w:r>
          </w:p>
        </w:tc>
      </w:tr>
    </w:tbl>
    <w:p w:rsidR="00640C5E" w:rsidRPr="00C81B35" w:rsidRDefault="00640C5E" w:rsidP="00640C5E">
      <w:pPr>
        <w:jc w:val="both"/>
        <w:rPr>
          <w:rFonts w:ascii="Times New Roman" w:hAnsi="Times New Roman"/>
          <w:sz w:val="28"/>
          <w:lang w:eastAsia="sk-SK"/>
        </w:rPr>
      </w:pPr>
    </w:p>
    <w:p w:rsidR="00640C5E" w:rsidRPr="00E61350" w:rsidRDefault="00640C5E" w:rsidP="00640C5E">
      <w:pPr>
        <w:ind w:firstLine="708"/>
        <w:jc w:val="both"/>
        <w:rPr>
          <w:rFonts w:ascii="Times New Roman" w:hAnsi="Times New Roman"/>
        </w:rPr>
      </w:pPr>
      <w:r>
        <w:rPr>
          <w:rFonts w:ascii="Times New Roman" w:hAnsi="Times New Roman"/>
        </w:rPr>
        <w:t>T</w:t>
      </w:r>
      <w:r w:rsidRPr="00C81B35">
        <w:rPr>
          <w:rFonts w:ascii="Times New Roman" w:hAnsi="Times New Roman"/>
        </w:rPr>
        <w:t>ransfer Sociáln</w:t>
      </w:r>
      <w:r>
        <w:rPr>
          <w:rFonts w:ascii="Times New Roman" w:hAnsi="Times New Roman"/>
        </w:rPr>
        <w:t>ej poisťovni na krytie deficitov</w:t>
      </w:r>
      <w:r w:rsidRPr="00C81B35">
        <w:rPr>
          <w:rFonts w:ascii="Times New Roman" w:hAnsi="Times New Roman"/>
        </w:rPr>
        <w:t xml:space="preserve"> základného fondu s</w:t>
      </w:r>
      <w:r>
        <w:rPr>
          <w:rFonts w:ascii="Times New Roman" w:hAnsi="Times New Roman"/>
        </w:rPr>
        <w:t>tarobného poistenia je na rok 2018 rozpočtovaný v sume 255</w:t>
      </w:r>
      <w:r w:rsidRPr="00C81B35">
        <w:rPr>
          <w:rFonts w:ascii="Times New Roman" w:hAnsi="Times New Roman"/>
        </w:rPr>
        <w:t>,</w:t>
      </w:r>
      <w:r>
        <w:rPr>
          <w:rFonts w:ascii="Times New Roman" w:hAnsi="Times New Roman"/>
        </w:rPr>
        <w:t>4</w:t>
      </w:r>
      <w:r w:rsidRPr="00C81B35">
        <w:rPr>
          <w:rFonts w:ascii="Times New Roman" w:hAnsi="Times New Roman"/>
        </w:rPr>
        <w:t xml:space="preserve"> mil. eur.</w:t>
      </w:r>
    </w:p>
    <w:p w:rsidR="00901C6C" w:rsidRDefault="00901C6C"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0736F2" w:rsidRDefault="000736F2" w:rsidP="00640C5E">
      <w:pPr>
        <w:jc w:val="both"/>
        <w:rPr>
          <w:rFonts w:ascii="Times New Roman" w:hAnsi="Times New Roman"/>
          <w:b/>
          <w:iCs/>
        </w:rPr>
      </w:pPr>
    </w:p>
    <w:p w:rsidR="00640C5E" w:rsidRPr="0006072B" w:rsidRDefault="00640C5E" w:rsidP="00640C5E">
      <w:pPr>
        <w:jc w:val="both"/>
        <w:rPr>
          <w:rFonts w:ascii="Times New Roman" w:hAnsi="Times New Roman"/>
          <w:b/>
          <w:iCs/>
        </w:rPr>
      </w:pPr>
      <w:r w:rsidRPr="0006072B">
        <w:rPr>
          <w:rFonts w:ascii="Times New Roman" w:hAnsi="Times New Roman"/>
          <w:b/>
          <w:iCs/>
        </w:rPr>
        <w:lastRenderedPageBreak/>
        <w:t>Ostatné výdavky</w:t>
      </w:r>
    </w:p>
    <w:p w:rsidR="00465CAC" w:rsidRPr="0006072B" w:rsidRDefault="00465CAC" w:rsidP="00465CAC">
      <w:pPr>
        <w:jc w:val="both"/>
        <w:rPr>
          <w:rFonts w:ascii="Times New Roman" w:hAnsi="Times New Roman"/>
          <w:b/>
          <w:iCs/>
        </w:rPr>
      </w:pPr>
    </w:p>
    <w:tbl>
      <w:tblPr>
        <w:tblW w:w="9078" w:type="dxa"/>
        <w:tblInd w:w="55" w:type="dxa"/>
        <w:tblLayout w:type="fixed"/>
        <w:tblCellMar>
          <w:left w:w="70" w:type="dxa"/>
          <w:right w:w="70" w:type="dxa"/>
        </w:tblCellMar>
        <w:tblLook w:val="04A0" w:firstRow="1" w:lastRow="0" w:firstColumn="1" w:lastColumn="0" w:noHBand="0" w:noVBand="1"/>
      </w:tblPr>
      <w:tblGrid>
        <w:gridCol w:w="2132"/>
        <w:gridCol w:w="992"/>
        <w:gridCol w:w="992"/>
        <w:gridCol w:w="992"/>
        <w:gridCol w:w="992"/>
        <w:gridCol w:w="992"/>
        <w:gridCol w:w="993"/>
        <w:gridCol w:w="993"/>
      </w:tblGrid>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465CAC" w:rsidRPr="0006072B" w:rsidRDefault="00465CAC" w:rsidP="00465CAC">
            <w:pPr>
              <w:rPr>
                <w:rFonts w:ascii="Times New Roman" w:hAnsi="Times New Roman"/>
                <w:b/>
                <w:bCs/>
                <w:sz w:val="14"/>
                <w:szCs w:val="14"/>
                <w:lang w:eastAsia="sk-SK"/>
              </w:rPr>
            </w:pPr>
            <w:bookmarkStart w:id="213" w:name="OLE_LINK11"/>
            <w:r w:rsidRPr="0006072B">
              <w:rPr>
                <w:rFonts w:ascii="Times New Roman" w:hAnsi="Times New Roman"/>
                <w:b/>
                <w:bCs/>
                <w:sz w:val="14"/>
                <w:szCs w:val="14"/>
                <w:lang w:eastAsia="sk-SK"/>
              </w:rPr>
              <w:t>v eurách</w:t>
            </w:r>
          </w:p>
        </w:tc>
        <w:tc>
          <w:tcPr>
            <w:tcW w:w="992"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465CAC" w:rsidRPr="0006072B" w:rsidRDefault="00465CAC" w:rsidP="00465CAC">
            <w:pPr>
              <w:jc w:val="center"/>
              <w:rPr>
                <w:rFonts w:ascii="Times New Roman" w:hAnsi="Times New Roman"/>
                <w:b/>
                <w:sz w:val="14"/>
                <w:szCs w:val="14"/>
                <w:lang w:eastAsia="sk-SK"/>
              </w:rPr>
            </w:pPr>
            <w:r>
              <w:rPr>
                <w:rFonts w:ascii="Times New Roman" w:hAnsi="Times New Roman"/>
                <w:b/>
                <w:sz w:val="14"/>
                <w:szCs w:val="14"/>
                <w:lang w:eastAsia="sk-SK"/>
              </w:rPr>
              <w:t>2015 S</w:t>
            </w:r>
          </w:p>
        </w:tc>
        <w:tc>
          <w:tcPr>
            <w:tcW w:w="992" w:type="dxa"/>
            <w:tcBorders>
              <w:top w:val="single" w:sz="4" w:space="0" w:color="auto"/>
              <w:left w:val="nil"/>
              <w:bottom w:val="single" w:sz="4" w:space="0" w:color="auto"/>
              <w:right w:val="single" w:sz="4" w:space="0" w:color="auto"/>
            </w:tcBorders>
            <w:shd w:val="clear" w:color="auto" w:fill="A6A6A6"/>
            <w:vAlign w:val="bottom"/>
          </w:tcPr>
          <w:p w:rsidR="00465CAC" w:rsidRPr="00F534F3" w:rsidRDefault="00465CAC" w:rsidP="00465CAC">
            <w:pPr>
              <w:jc w:val="center"/>
              <w:rPr>
                <w:rFonts w:ascii="Times New Roman" w:hAnsi="Times New Roman"/>
                <w:b/>
                <w:sz w:val="14"/>
                <w:szCs w:val="14"/>
                <w:lang w:eastAsia="sk-SK"/>
              </w:rPr>
            </w:pPr>
            <w:r>
              <w:rPr>
                <w:rFonts w:ascii="Times New Roman" w:hAnsi="Times New Roman"/>
                <w:b/>
                <w:sz w:val="14"/>
                <w:szCs w:val="14"/>
                <w:lang w:eastAsia="sk-SK"/>
              </w:rPr>
              <w:t>2016 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465CAC" w:rsidRPr="00F534F3" w:rsidRDefault="00465CAC" w:rsidP="00465CAC">
            <w:pPr>
              <w:jc w:val="center"/>
              <w:rPr>
                <w:rFonts w:ascii="Times New Roman" w:hAnsi="Times New Roman"/>
                <w:b/>
                <w:sz w:val="14"/>
                <w:szCs w:val="14"/>
                <w:lang w:eastAsia="sk-SK"/>
              </w:rPr>
            </w:pPr>
            <w:r w:rsidRPr="00F534F3">
              <w:rPr>
                <w:rFonts w:ascii="Times New Roman" w:hAnsi="Times New Roman"/>
                <w:b/>
                <w:sz w:val="14"/>
                <w:szCs w:val="14"/>
                <w:lang w:eastAsia="sk-SK"/>
              </w:rPr>
              <w:t>2017 R</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465CAC" w:rsidRPr="00F534F3" w:rsidRDefault="00465CAC" w:rsidP="00465CAC">
            <w:pPr>
              <w:jc w:val="center"/>
              <w:rPr>
                <w:rFonts w:ascii="Times New Roman" w:hAnsi="Times New Roman"/>
                <w:b/>
                <w:sz w:val="14"/>
                <w:szCs w:val="14"/>
                <w:lang w:eastAsia="sk-SK"/>
              </w:rPr>
            </w:pPr>
            <w:r>
              <w:rPr>
                <w:rFonts w:ascii="Times New Roman" w:hAnsi="Times New Roman"/>
                <w:b/>
                <w:sz w:val="14"/>
                <w:szCs w:val="14"/>
                <w:lang w:eastAsia="sk-SK"/>
              </w:rPr>
              <w:t>2017 OS*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465CAC" w:rsidRPr="00F534F3" w:rsidRDefault="00465CAC" w:rsidP="00465CAC">
            <w:pPr>
              <w:jc w:val="center"/>
              <w:rPr>
                <w:rFonts w:ascii="Times New Roman" w:hAnsi="Times New Roman"/>
                <w:b/>
                <w:sz w:val="14"/>
                <w:szCs w:val="14"/>
                <w:lang w:eastAsia="sk-SK"/>
              </w:rPr>
            </w:pPr>
            <w:r>
              <w:rPr>
                <w:rFonts w:ascii="Times New Roman" w:hAnsi="Times New Roman"/>
                <w:b/>
                <w:sz w:val="14"/>
                <w:szCs w:val="14"/>
                <w:lang w:eastAsia="sk-SK"/>
              </w:rPr>
              <w:t>2018 N</w:t>
            </w:r>
          </w:p>
        </w:tc>
        <w:tc>
          <w:tcPr>
            <w:tcW w:w="993" w:type="dxa"/>
            <w:tcBorders>
              <w:top w:val="single" w:sz="4" w:space="0" w:color="auto"/>
              <w:left w:val="nil"/>
              <w:bottom w:val="single" w:sz="4" w:space="0" w:color="auto"/>
              <w:right w:val="single" w:sz="4" w:space="0" w:color="auto"/>
            </w:tcBorders>
            <w:shd w:val="clear" w:color="auto" w:fill="A6A6A6"/>
            <w:noWrap/>
            <w:vAlign w:val="bottom"/>
          </w:tcPr>
          <w:p w:rsidR="00465CAC" w:rsidRPr="00F534F3" w:rsidRDefault="00465CAC" w:rsidP="00465CAC">
            <w:pPr>
              <w:jc w:val="center"/>
              <w:rPr>
                <w:rFonts w:ascii="Times New Roman" w:hAnsi="Times New Roman"/>
                <w:b/>
                <w:sz w:val="14"/>
                <w:szCs w:val="14"/>
                <w:lang w:eastAsia="sk-SK"/>
              </w:rPr>
            </w:pPr>
            <w:r w:rsidRPr="00F534F3">
              <w:rPr>
                <w:rFonts w:ascii="Times New Roman" w:hAnsi="Times New Roman"/>
                <w:b/>
                <w:sz w:val="14"/>
                <w:szCs w:val="14"/>
                <w:lang w:eastAsia="sk-SK"/>
              </w:rPr>
              <w:t>2019 N</w:t>
            </w:r>
          </w:p>
        </w:tc>
        <w:tc>
          <w:tcPr>
            <w:tcW w:w="993" w:type="dxa"/>
            <w:tcBorders>
              <w:top w:val="single" w:sz="4" w:space="0" w:color="auto"/>
              <w:left w:val="nil"/>
              <w:bottom w:val="single" w:sz="4" w:space="0" w:color="auto"/>
              <w:right w:val="single" w:sz="4" w:space="0" w:color="auto"/>
            </w:tcBorders>
            <w:shd w:val="clear" w:color="auto" w:fill="A6A6A6"/>
            <w:vAlign w:val="bottom"/>
          </w:tcPr>
          <w:p w:rsidR="00465CAC" w:rsidRPr="00F534F3" w:rsidRDefault="00465CAC" w:rsidP="00465CAC">
            <w:pPr>
              <w:jc w:val="center"/>
              <w:rPr>
                <w:rFonts w:ascii="Times New Roman" w:hAnsi="Times New Roman"/>
                <w:b/>
                <w:sz w:val="14"/>
                <w:szCs w:val="14"/>
                <w:lang w:eastAsia="sk-SK"/>
              </w:rPr>
            </w:pPr>
            <w:r w:rsidRPr="00F534F3">
              <w:rPr>
                <w:rFonts w:ascii="Times New Roman" w:hAnsi="Times New Roman"/>
                <w:b/>
                <w:sz w:val="14"/>
                <w:szCs w:val="14"/>
                <w:lang w:eastAsia="sk-SK"/>
              </w:rPr>
              <w:t>2020 N</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65CAC" w:rsidRPr="0006072B" w:rsidRDefault="00465CAC" w:rsidP="00465CAC">
            <w:pPr>
              <w:rPr>
                <w:rFonts w:ascii="Times New Roman" w:hAnsi="Times New Roman"/>
                <w:b/>
                <w:bCs/>
                <w:sz w:val="14"/>
                <w:szCs w:val="14"/>
                <w:lang w:eastAsia="sk-SK"/>
              </w:rPr>
            </w:pPr>
            <w:r w:rsidRPr="0006072B">
              <w:rPr>
                <w:rFonts w:ascii="Times New Roman" w:hAnsi="Times New Roman"/>
                <w:b/>
                <w:bCs/>
                <w:sz w:val="14"/>
                <w:szCs w:val="14"/>
                <w:lang w:eastAsia="sk-SK"/>
              </w:rPr>
              <w:t>Ostatné</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465CAC" w:rsidRPr="0006072B" w:rsidRDefault="00465CAC" w:rsidP="00465CAC">
            <w:pPr>
              <w:jc w:val="right"/>
              <w:rPr>
                <w:rFonts w:ascii="Times New Roman" w:hAnsi="Times New Roman"/>
                <w:b/>
                <w:bCs/>
                <w:sz w:val="14"/>
                <w:szCs w:val="14"/>
                <w:highlight w:val="yellow"/>
                <w:lang w:eastAsia="sk-SK"/>
              </w:rPr>
            </w:pPr>
            <w:r w:rsidRPr="0006072B">
              <w:rPr>
                <w:rFonts w:ascii="Times New Roman" w:hAnsi="Times New Roman"/>
                <w:b/>
                <w:bCs/>
                <w:sz w:val="14"/>
                <w:szCs w:val="14"/>
                <w:lang w:eastAsia="sk-SK"/>
              </w:rPr>
              <w:t>44 540 265</w:t>
            </w:r>
            <w:r w:rsidRPr="0006072B">
              <w:rPr>
                <w:rFonts w:ascii="Times New Roman" w:hAnsi="Times New Roman"/>
                <w:b/>
                <w:sz w:val="14"/>
                <w:szCs w:val="14"/>
                <w:lang w:eastAsia="sk-SK"/>
              </w:rPr>
              <w:t>*</w:t>
            </w:r>
          </w:p>
        </w:tc>
        <w:tc>
          <w:tcPr>
            <w:tcW w:w="992" w:type="dxa"/>
            <w:tcBorders>
              <w:top w:val="single" w:sz="4" w:space="0" w:color="auto"/>
              <w:left w:val="nil"/>
              <w:bottom w:val="single" w:sz="4" w:space="0" w:color="auto"/>
              <w:right w:val="single" w:sz="4" w:space="0" w:color="auto"/>
            </w:tcBorders>
            <w:shd w:val="clear" w:color="auto" w:fill="BFBFBF"/>
            <w:vAlign w:val="bottom"/>
          </w:tcPr>
          <w:p w:rsidR="00465CAC" w:rsidRPr="00F534F3" w:rsidRDefault="00465CAC" w:rsidP="00465CAC">
            <w:pPr>
              <w:jc w:val="right"/>
              <w:rPr>
                <w:rFonts w:ascii="Times New Roman" w:hAnsi="Times New Roman"/>
                <w:b/>
                <w:bCs/>
                <w:sz w:val="14"/>
                <w:szCs w:val="14"/>
                <w:lang w:eastAsia="sk-SK"/>
              </w:rPr>
            </w:pPr>
            <w:r w:rsidRPr="00F534F3">
              <w:rPr>
                <w:rFonts w:ascii="Times New Roman" w:hAnsi="Times New Roman"/>
                <w:b/>
                <w:bCs/>
                <w:sz w:val="14"/>
                <w:szCs w:val="14"/>
                <w:lang w:eastAsia="sk-SK"/>
              </w:rPr>
              <w:t>52 879 353</w:t>
            </w:r>
            <w:r w:rsidRPr="0057742F">
              <w:rPr>
                <w:rFonts w:ascii="Times New Roman" w:hAnsi="Times New Roman"/>
                <w:b/>
                <w:bCs/>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465CAC" w:rsidRPr="00F534F3" w:rsidRDefault="00465CAC" w:rsidP="00465CAC">
            <w:pPr>
              <w:jc w:val="right"/>
              <w:rPr>
                <w:rFonts w:ascii="Times New Roman" w:hAnsi="Times New Roman"/>
                <w:b/>
                <w:bCs/>
                <w:sz w:val="14"/>
                <w:szCs w:val="14"/>
                <w:lang w:eastAsia="sk-SK"/>
              </w:rPr>
            </w:pPr>
            <w:r w:rsidRPr="00F534F3">
              <w:rPr>
                <w:rFonts w:ascii="Times New Roman" w:hAnsi="Times New Roman"/>
                <w:b/>
                <w:bCs/>
                <w:sz w:val="14"/>
                <w:szCs w:val="14"/>
                <w:lang w:eastAsia="sk-SK"/>
              </w:rPr>
              <w:t>121 915 407</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465CAC" w:rsidRPr="00F534F3" w:rsidRDefault="00465CAC" w:rsidP="00465CAC">
            <w:pPr>
              <w:jc w:val="right"/>
              <w:rPr>
                <w:rFonts w:ascii="Times New Roman" w:hAnsi="Times New Roman"/>
                <w:b/>
                <w:bCs/>
                <w:sz w:val="14"/>
                <w:szCs w:val="14"/>
                <w:lang w:eastAsia="sk-SK"/>
              </w:rPr>
            </w:pPr>
            <w:r>
              <w:rPr>
                <w:rFonts w:ascii="Times New Roman" w:hAnsi="Times New Roman"/>
                <w:b/>
                <w:bCs/>
                <w:sz w:val="14"/>
                <w:szCs w:val="14"/>
                <w:lang w:eastAsia="sk-SK"/>
              </w:rPr>
              <w:t>142 150 881</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465CAC" w:rsidRPr="00F534F3" w:rsidRDefault="00465CAC" w:rsidP="00465CAC">
            <w:pPr>
              <w:jc w:val="right"/>
              <w:rPr>
                <w:rFonts w:ascii="Times New Roman" w:hAnsi="Times New Roman"/>
                <w:b/>
                <w:bCs/>
                <w:sz w:val="14"/>
                <w:szCs w:val="14"/>
                <w:lang w:eastAsia="sk-SK"/>
              </w:rPr>
            </w:pPr>
            <w:r>
              <w:rPr>
                <w:rFonts w:ascii="Times New Roman" w:hAnsi="Times New Roman"/>
                <w:b/>
                <w:bCs/>
                <w:sz w:val="14"/>
                <w:szCs w:val="14"/>
                <w:lang w:eastAsia="sk-SK"/>
              </w:rPr>
              <w:t>132 299 689</w:t>
            </w:r>
          </w:p>
        </w:tc>
        <w:tc>
          <w:tcPr>
            <w:tcW w:w="993" w:type="dxa"/>
            <w:tcBorders>
              <w:top w:val="single" w:sz="4" w:space="0" w:color="auto"/>
              <w:left w:val="nil"/>
              <w:bottom w:val="single" w:sz="4" w:space="0" w:color="auto"/>
              <w:right w:val="single" w:sz="4" w:space="0" w:color="auto"/>
            </w:tcBorders>
            <w:shd w:val="clear" w:color="auto" w:fill="BFBFBF"/>
            <w:vAlign w:val="bottom"/>
          </w:tcPr>
          <w:p w:rsidR="00465CAC" w:rsidRPr="00F534F3" w:rsidRDefault="00465CAC" w:rsidP="00465CAC">
            <w:pPr>
              <w:jc w:val="right"/>
              <w:rPr>
                <w:rFonts w:ascii="Times New Roman" w:hAnsi="Times New Roman"/>
                <w:b/>
                <w:bCs/>
                <w:sz w:val="14"/>
                <w:szCs w:val="14"/>
                <w:lang w:eastAsia="sk-SK"/>
              </w:rPr>
            </w:pPr>
            <w:r>
              <w:rPr>
                <w:rFonts w:ascii="Times New Roman" w:hAnsi="Times New Roman"/>
                <w:b/>
                <w:bCs/>
                <w:sz w:val="14"/>
                <w:szCs w:val="14"/>
                <w:lang w:eastAsia="sk-SK"/>
              </w:rPr>
              <w:t>124 514 268</w:t>
            </w:r>
          </w:p>
        </w:tc>
        <w:tc>
          <w:tcPr>
            <w:tcW w:w="993" w:type="dxa"/>
            <w:tcBorders>
              <w:top w:val="single" w:sz="4" w:space="0" w:color="auto"/>
              <w:left w:val="nil"/>
              <w:bottom w:val="single" w:sz="4" w:space="0" w:color="auto"/>
              <w:right w:val="single" w:sz="4" w:space="0" w:color="auto"/>
            </w:tcBorders>
            <w:shd w:val="clear" w:color="auto" w:fill="BFBFBF"/>
            <w:vAlign w:val="bottom"/>
          </w:tcPr>
          <w:p w:rsidR="00465CAC" w:rsidRPr="00F534F3" w:rsidRDefault="00465CAC" w:rsidP="00465CAC">
            <w:pPr>
              <w:jc w:val="right"/>
              <w:rPr>
                <w:rFonts w:ascii="Times New Roman" w:hAnsi="Times New Roman"/>
                <w:b/>
                <w:sz w:val="14"/>
                <w:szCs w:val="14"/>
                <w:lang w:eastAsia="sk-SK"/>
              </w:rPr>
            </w:pPr>
            <w:r>
              <w:rPr>
                <w:rFonts w:ascii="Times New Roman" w:hAnsi="Times New Roman"/>
                <w:b/>
                <w:sz w:val="14"/>
                <w:szCs w:val="14"/>
                <w:lang w:eastAsia="sk-SK"/>
              </w:rPr>
              <w:t>150 372 614</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 xml:space="preserve">Úhrada majetkovej ujmy </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highlight w:val="yellow"/>
                <w:lang w:eastAsia="sk-SK"/>
              </w:rPr>
            </w:pPr>
            <w:r w:rsidRPr="0006072B">
              <w:rPr>
                <w:rFonts w:ascii="Times New Roman" w:hAnsi="Times New Roman"/>
                <w:sz w:val="14"/>
                <w:szCs w:val="14"/>
                <w:lang w:eastAsia="sk-SK"/>
              </w:rPr>
              <w:t>1 106 628</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1 060 383</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1 510 000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1 510 000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w:t>
            </w:r>
            <w:r>
              <w:rPr>
                <w:rFonts w:ascii="Times New Roman" w:hAnsi="Times New Roman"/>
                <w:sz w:val="14"/>
                <w:szCs w:val="14"/>
                <w:lang w:eastAsia="sk-SK"/>
              </w:rPr>
              <w:t> 195 000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1 0</w:t>
            </w:r>
            <w:r>
              <w:rPr>
                <w:rFonts w:ascii="Times New Roman" w:hAnsi="Times New Roman"/>
                <w:sz w:val="14"/>
                <w:szCs w:val="14"/>
                <w:lang w:eastAsia="sk-SK"/>
              </w:rPr>
              <w:t>3</w:t>
            </w:r>
            <w:r w:rsidRPr="00F534F3">
              <w:rPr>
                <w:rFonts w:ascii="Times New Roman" w:hAnsi="Times New Roman"/>
                <w:sz w:val="14"/>
                <w:szCs w:val="14"/>
                <w:lang w:eastAsia="sk-SK"/>
              </w:rPr>
              <w:t>0 000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950 000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 xml:space="preserve">Príspevky politickým stranám a politickým hnutiam </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highlight w:val="yellow"/>
                <w:lang w:eastAsia="sk-SK"/>
              </w:rPr>
            </w:pPr>
            <w:r w:rsidRPr="0006072B">
              <w:rPr>
                <w:rFonts w:ascii="Times New Roman" w:hAnsi="Times New Roman"/>
                <w:sz w:val="14"/>
                <w:szCs w:val="14"/>
                <w:lang w:eastAsia="sk-SK"/>
              </w:rPr>
              <w:t>7 534 162</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30 410 869</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9 300 000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9 300 000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9 300 000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9 300 000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38 2</w:t>
            </w:r>
            <w:r w:rsidRPr="00F534F3">
              <w:rPr>
                <w:rFonts w:ascii="Times New Roman" w:hAnsi="Times New Roman"/>
                <w:sz w:val="14"/>
                <w:szCs w:val="14"/>
                <w:lang w:eastAsia="sk-SK"/>
              </w:rPr>
              <w:t>00 000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 xml:space="preserve">Výdavky na všeobecne prospešné služby podľa zákona č. 171/2005 Z. z. o hazardných hrách a dotácie na individuálne potreby obcí </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highlight w:val="yellow"/>
                <w:lang w:eastAsia="sk-SK"/>
              </w:rPr>
            </w:pPr>
            <w:r w:rsidRPr="0006072B">
              <w:rPr>
                <w:rFonts w:ascii="Times New Roman" w:hAnsi="Times New Roman"/>
                <w:sz w:val="14"/>
                <w:szCs w:val="14"/>
                <w:lang w:eastAsia="sk-SK"/>
              </w:rPr>
              <w:t>6 248 717</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4 561 896</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3 300 000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5 373 680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3 300 000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3 300 000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3 300 000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 xml:space="preserve">Štátny príspevok pre mladomanželov na mladomanželské úvery a na pôžičky mladým manželom </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highlight w:val="yellow"/>
                <w:lang w:eastAsia="sk-SK"/>
              </w:rPr>
            </w:pPr>
            <w:r w:rsidRPr="0006072B">
              <w:rPr>
                <w:rFonts w:ascii="Times New Roman" w:hAnsi="Times New Roman"/>
                <w:sz w:val="14"/>
                <w:szCs w:val="14"/>
                <w:lang w:eastAsia="sk-SK"/>
              </w:rPr>
              <w:t>20 585</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12 394</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20 200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20 200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7 0</w:t>
            </w:r>
            <w:r w:rsidRPr="00F534F3">
              <w:rPr>
                <w:rFonts w:ascii="Times New Roman" w:hAnsi="Times New Roman"/>
                <w:sz w:val="14"/>
                <w:szCs w:val="14"/>
                <w:lang w:eastAsia="sk-SK"/>
              </w:rPr>
              <w:t>00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4</w:t>
            </w:r>
            <w:r w:rsidRPr="00F534F3">
              <w:rPr>
                <w:rFonts w:ascii="Times New Roman" w:hAnsi="Times New Roman"/>
                <w:sz w:val="14"/>
                <w:szCs w:val="14"/>
                <w:lang w:eastAsia="sk-SK"/>
              </w:rPr>
              <w:t xml:space="preserve"> 000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3</w:t>
            </w:r>
            <w:r w:rsidRPr="00F534F3">
              <w:rPr>
                <w:rFonts w:ascii="Times New Roman" w:hAnsi="Times New Roman"/>
                <w:sz w:val="14"/>
                <w:szCs w:val="14"/>
                <w:lang w:eastAsia="sk-SK"/>
              </w:rPr>
              <w:t xml:space="preserve"> 000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Úhrada poplatkov Štátnej pokladnici</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highlight w:val="yellow"/>
                <w:lang w:eastAsia="sk-SK"/>
              </w:rPr>
            </w:pPr>
            <w:r w:rsidRPr="0006072B">
              <w:rPr>
                <w:rFonts w:ascii="Times New Roman" w:hAnsi="Times New Roman"/>
                <w:sz w:val="14"/>
                <w:szCs w:val="14"/>
                <w:lang w:eastAsia="sk-SK"/>
              </w:rPr>
              <w:t>290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260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2 800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2 540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2 800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2 800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2 800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 xml:space="preserve">Výdavky na administratívny poplatok EIB </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highlight w:val="yellow"/>
                <w:lang w:eastAsia="sk-SK"/>
              </w:rPr>
            </w:pPr>
            <w:r w:rsidRPr="0006072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5 000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5 000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5 000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5 000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5 000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Dotácie na záchranu a obnovu kultúrnych pamiatok pre obce</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highlight w:val="yellow"/>
                <w:lang w:eastAsia="sk-SK"/>
              </w:rPr>
            </w:pPr>
            <w:r w:rsidRPr="0006072B">
              <w:rPr>
                <w:rFonts w:ascii="Times New Roman" w:hAnsi="Times New Roman"/>
                <w:sz w:val="14"/>
                <w:szCs w:val="14"/>
                <w:lang w:eastAsia="sk-SK"/>
              </w:rPr>
              <w:t>2 000 000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2 000 000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2 400 000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2 400 000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2 400 000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2 400 000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2 400 000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Zahraničná ekonomická pomoc</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highlight w:val="yellow"/>
                <w:lang w:eastAsia="sk-SK"/>
              </w:rPr>
            </w:pPr>
            <w:r w:rsidRPr="0006072B">
              <w:rPr>
                <w:rFonts w:ascii="Times New Roman" w:hAnsi="Times New Roman"/>
                <w:sz w:val="14"/>
                <w:szCs w:val="14"/>
                <w:lang w:eastAsia="sk-SK"/>
              </w:rPr>
              <w:t>3 032 290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3 164 736</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3 800 000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5 594 473</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3 500 000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3 800 000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3 800 000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Výdavky na audit verejnej správy</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highlight w:val="yellow"/>
                <w:lang w:eastAsia="sk-SK"/>
              </w:rPr>
            </w:pPr>
            <w:r w:rsidRPr="0006072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1 600 000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40 000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w:t>
            </w:r>
            <w:r>
              <w:rPr>
                <w:rFonts w:ascii="Times New Roman" w:hAnsi="Times New Roman"/>
                <w:sz w:val="14"/>
                <w:szCs w:val="14"/>
                <w:lang w:eastAsia="sk-SK"/>
              </w:rPr>
              <w:t>438 2</w:t>
            </w:r>
            <w:r w:rsidRPr="00F534F3">
              <w:rPr>
                <w:rFonts w:ascii="Times New Roman" w:hAnsi="Times New Roman"/>
                <w:sz w:val="14"/>
                <w:szCs w:val="14"/>
                <w:lang w:eastAsia="sk-SK"/>
              </w:rPr>
              <w:t xml:space="preserve">00 </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w:t>
            </w:r>
            <w:r>
              <w:rPr>
                <w:rFonts w:ascii="Times New Roman" w:hAnsi="Times New Roman"/>
                <w:sz w:val="14"/>
                <w:szCs w:val="14"/>
                <w:lang w:eastAsia="sk-SK"/>
              </w:rPr>
              <w:t> 680 0</w:t>
            </w:r>
            <w:r w:rsidRPr="00F534F3">
              <w:rPr>
                <w:rFonts w:ascii="Times New Roman" w:hAnsi="Times New Roman"/>
                <w:sz w:val="14"/>
                <w:szCs w:val="14"/>
                <w:lang w:eastAsia="sk-SK"/>
              </w:rPr>
              <w:t xml:space="preserve">00 </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w:t>
            </w:r>
            <w:r>
              <w:rPr>
                <w:rFonts w:ascii="Times New Roman" w:hAnsi="Times New Roman"/>
                <w:sz w:val="14"/>
                <w:szCs w:val="14"/>
                <w:lang w:eastAsia="sk-SK"/>
              </w:rPr>
              <w:t> 68</w:t>
            </w:r>
            <w:r w:rsidRPr="00F534F3">
              <w:rPr>
                <w:rFonts w:ascii="Times New Roman" w:hAnsi="Times New Roman"/>
                <w:sz w:val="14"/>
                <w:szCs w:val="14"/>
                <w:lang w:eastAsia="sk-SK"/>
              </w:rPr>
              <w:t>0 000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Výdavky na zastupovanie pri medzinárodných arbitrážach</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highlight w:val="yellow"/>
                <w:lang w:eastAsia="sk-SK"/>
              </w:rPr>
            </w:pPr>
            <w:r w:rsidRPr="0006072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7 630 000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6 180 000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4 994 000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 xml:space="preserve">4 994 </w:t>
            </w:r>
            <w:r w:rsidRPr="00F534F3">
              <w:rPr>
                <w:rFonts w:ascii="Times New Roman" w:hAnsi="Times New Roman"/>
                <w:sz w:val="14"/>
                <w:szCs w:val="14"/>
                <w:lang w:eastAsia="sk-SK"/>
              </w:rPr>
              <w:t>000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4 994</w:t>
            </w:r>
            <w:r w:rsidRPr="00F534F3">
              <w:rPr>
                <w:rFonts w:ascii="Times New Roman" w:hAnsi="Times New Roman"/>
                <w:sz w:val="14"/>
                <w:szCs w:val="14"/>
                <w:lang w:eastAsia="sk-SK"/>
              </w:rPr>
              <w:t xml:space="preserve"> 000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 xml:space="preserve">Výdavky na plnenie </w:t>
            </w:r>
            <w:proofErr w:type="spellStart"/>
            <w:r w:rsidRPr="0006072B">
              <w:rPr>
                <w:rFonts w:ascii="Times New Roman" w:hAnsi="Times New Roman"/>
                <w:sz w:val="14"/>
                <w:szCs w:val="14"/>
                <w:lang w:eastAsia="sk-SK"/>
              </w:rPr>
              <w:t>multilicenčnej</w:t>
            </w:r>
            <w:proofErr w:type="spellEnd"/>
            <w:r w:rsidRPr="0006072B">
              <w:rPr>
                <w:rFonts w:ascii="Times New Roman" w:hAnsi="Times New Roman"/>
                <w:sz w:val="14"/>
                <w:szCs w:val="14"/>
                <w:lang w:eastAsia="sk-SK"/>
              </w:rPr>
              <w:t xml:space="preserve"> zmluvy s Microsoft</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highlight w:val="yellow"/>
                <w:lang w:eastAsia="sk-SK"/>
              </w:rPr>
            </w:pPr>
            <w:r w:rsidRPr="0006072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17 150 000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18 609 754</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18 609 754</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18 609 754</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Pr>
                <w:rFonts w:ascii="Times New Roman" w:hAnsi="Times New Roman"/>
                <w:sz w:val="14"/>
                <w:szCs w:val="14"/>
                <w:lang w:eastAsia="sk-SK"/>
              </w:rPr>
              <w:t>Výdavky pre NASES</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6 093 503</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6 104 299</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 xml:space="preserve"> 6 104 299</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Výdavky na sanačné a základné rekonštrukčné práce – Rusovce</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highlight w:val="yellow"/>
                <w:lang w:eastAsia="sk-SK"/>
              </w:rPr>
            </w:pPr>
            <w:r w:rsidRPr="0006072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1 000 000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1 000 000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1 000 000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1 000 000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1 000 000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Výdavky na Register účtovných závierok</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lang w:eastAsia="sk-SK"/>
              </w:rPr>
            </w:pPr>
            <w:r w:rsidRPr="0006072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300 000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300 000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Pr>
                <w:rFonts w:ascii="Times New Roman" w:hAnsi="Times New Roman"/>
                <w:sz w:val="14"/>
                <w:szCs w:val="14"/>
                <w:lang w:eastAsia="sk-SK"/>
              </w:rPr>
              <w:t>Výdavky na Štipendium M. Filka (</w:t>
            </w:r>
            <w:proofErr w:type="spellStart"/>
            <w:r>
              <w:rPr>
                <w:rFonts w:ascii="Times New Roman" w:hAnsi="Times New Roman"/>
                <w:sz w:val="14"/>
                <w:szCs w:val="14"/>
                <w:lang w:eastAsia="sk-SK"/>
              </w:rPr>
              <w:t>uzn</w:t>
            </w:r>
            <w:proofErr w:type="spellEnd"/>
            <w:r>
              <w:rPr>
                <w:rFonts w:ascii="Times New Roman" w:hAnsi="Times New Roman"/>
                <w:sz w:val="14"/>
                <w:szCs w:val="14"/>
                <w:lang w:eastAsia="sk-SK"/>
              </w:rPr>
              <w:t xml:space="preserve">. </w:t>
            </w:r>
            <w:proofErr w:type="spellStart"/>
            <w:r>
              <w:rPr>
                <w:rFonts w:ascii="Times New Roman" w:hAnsi="Times New Roman"/>
                <w:sz w:val="14"/>
                <w:szCs w:val="14"/>
                <w:lang w:eastAsia="sk-SK"/>
              </w:rPr>
              <w:t>vl</w:t>
            </w:r>
            <w:proofErr w:type="spellEnd"/>
            <w:r>
              <w:rPr>
                <w:rFonts w:ascii="Times New Roman" w:hAnsi="Times New Roman"/>
                <w:sz w:val="14"/>
                <w:szCs w:val="14"/>
                <w:lang w:eastAsia="sk-SK"/>
              </w:rPr>
              <w:t>. 99/2017)</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lang w:eastAsia="sk-SK"/>
              </w:rPr>
            </w:pPr>
            <w:r w:rsidRPr="0006072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200 000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200 000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200 000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Výdavky na kontrolné známky</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lang w:eastAsia="sk-SK"/>
              </w:rPr>
            </w:pPr>
            <w:r w:rsidRPr="0006072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1 885 000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305 000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 xml:space="preserve">1 </w:t>
            </w:r>
            <w:r>
              <w:rPr>
                <w:rFonts w:ascii="Times New Roman" w:hAnsi="Times New Roman"/>
                <w:sz w:val="14"/>
                <w:szCs w:val="14"/>
                <w:lang w:eastAsia="sk-SK"/>
              </w:rPr>
              <w:t>700</w:t>
            </w:r>
            <w:r w:rsidRPr="00F534F3">
              <w:rPr>
                <w:rFonts w:ascii="Times New Roman" w:hAnsi="Times New Roman"/>
                <w:sz w:val="14"/>
                <w:szCs w:val="14"/>
                <w:lang w:eastAsia="sk-SK"/>
              </w:rPr>
              <w:t xml:space="preserve"> 000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w:t>
            </w:r>
            <w:r>
              <w:rPr>
                <w:rFonts w:ascii="Times New Roman" w:hAnsi="Times New Roman"/>
                <w:sz w:val="14"/>
                <w:szCs w:val="14"/>
                <w:lang w:eastAsia="sk-SK"/>
              </w:rPr>
              <w:t>700</w:t>
            </w:r>
            <w:r w:rsidRPr="00F534F3">
              <w:rPr>
                <w:rFonts w:ascii="Times New Roman" w:hAnsi="Times New Roman"/>
                <w:sz w:val="14"/>
                <w:szCs w:val="14"/>
                <w:lang w:eastAsia="sk-SK"/>
              </w:rPr>
              <w:t xml:space="preserve"> 000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w:t>
            </w:r>
            <w:r>
              <w:rPr>
                <w:rFonts w:ascii="Times New Roman" w:hAnsi="Times New Roman"/>
                <w:sz w:val="14"/>
                <w:szCs w:val="14"/>
                <w:lang w:eastAsia="sk-SK"/>
              </w:rPr>
              <w:t>700</w:t>
            </w:r>
            <w:r w:rsidRPr="00F534F3">
              <w:rPr>
                <w:rFonts w:ascii="Times New Roman" w:hAnsi="Times New Roman"/>
                <w:sz w:val="14"/>
                <w:szCs w:val="14"/>
                <w:lang w:eastAsia="sk-SK"/>
              </w:rPr>
              <w:t xml:space="preserve"> 000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Pr>
                <w:rFonts w:ascii="Times New Roman" w:hAnsi="Times New Roman"/>
                <w:sz w:val="14"/>
                <w:szCs w:val="14"/>
                <w:lang w:eastAsia="sk-SK"/>
              </w:rPr>
              <w:t>Výdavky na p</w:t>
            </w:r>
            <w:r w:rsidRPr="0006072B">
              <w:rPr>
                <w:rFonts w:ascii="Times New Roman" w:hAnsi="Times New Roman"/>
                <w:sz w:val="14"/>
                <w:szCs w:val="14"/>
                <w:lang w:eastAsia="sk-SK"/>
              </w:rPr>
              <w:t>ríspevky do medzinárodných organizácií</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lang w:eastAsia="sk-SK"/>
              </w:rPr>
            </w:pPr>
            <w:r w:rsidRPr="0006072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24 339 269</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22 135 060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20 063 577</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20 063 577</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Výdavky na podporu najmenej rozvinutých okresov</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lang w:eastAsia="sk-SK"/>
              </w:rPr>
            </w:pPr>
            <w:r w:rsidRPr="0006072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10 300 000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12 902 000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12 902</w:t>
            </w:r>
            <w:r w:rsidRPr="00F534F3">
              <w:rPr>
                <w:rFonts w:ascii="Times New Roman" w:hAnsi="Times New Roman"/>
                <w:sz w:val="14"/>
                <w:szCs w:val="14"/>
                <w:lang w:eastAsia="sk-SK"/>
              </w:rPr>
              <w:t xml:space="preserve"> 000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12 887</w:t>
            </w:r>
            <w:r w:rsidRPr="00F534F3">
              <w:rPr>
                <w:rFonts w:ascii="Times New Roman" w:hAnsi="Times New Roman"/>
                <w:sz w:val="14"/>
                <w:szCs w:val="14"/>
                <w:lang w:eastAsia="sk-SK"/>
              </w:rPr>
              <w:t xml:space="preserve"> 000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Ročné zúčtovanie poistného plateného štátom</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lang w:eastAsia="sk-SK"/>
              </w:rPr>
            </w:pPr>
            <w:r w:rsidRPr="0006072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20 705 786</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325153" w:rsidP="00465CAC">
            <w:pPr>
              <w:jc w:val="right"/>
              <w:rPr>
                <w:rFonts w:ascii="Times New Roman" w:hAnsi="Times New Roman"/>
                <w:sz w:val="14"/>
                <w:szCs w:val="14"/>
                <w:lang w:eastAsia="sk-SK"/>
              </w:rPr>
            </w:pPr>
            <w:r>
              <w:rPr>
                <w:rFonts w:ascii="Times New Roman" w:hAnsi="Times New Roman"/>
                <w:sz w:val="14"/>
                <w:szCs w:val="14"/>
                <w:lang w:eastAsia="sk-SK"/>
              </w:rPr>
              <w:t>28 714 397</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22 422 699</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22 843 702</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22 843 702</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Výdavky na riešenie skalného brala v obci Strečno</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lang w:eastAsia="sk-SK"/>
              </w:rPr>
            </w:pPr>
            <w:r w:rsidRPr="0006072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Výdavky na rekonštrukciu divadla Aréna</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lang w:eastAsia="sk-SK"/>
              </w:rPr>
            </w:pPr>
            <w:r w:rsidRPr="0006072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2 500 000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2 000 000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2 000 000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Pr>
                <w:rFonts w:ascii="Times New Roman" w:hAnsi="Times New Roman"/>
                <w:sz w:val="14"/>
                <w:szCs w:val="14"/>
                <w:lang w:eastAsia="sk-SK"/>
              </w:rPr>
              <w:t>Výdavky súvisiace s riešením migračnej krízy</w:t>
            </w:r>
          </w:p>
        </w:tc>
        <w:tc>
          <w:tcPr>
            <w:tcW w:w="992" w:type="dxa"/>
            <w:tcBorders>
              <w:top w:val="single" w:sz="4" w:space="0" w:color="auto"/>
              <w:left w:val="nil"/>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lang w:eastAsia="sk-SK"/>
              </w:rPr>
            </w:pPr>
            <w:r w:rsidRPr="0006072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4 620 424</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4 624 424</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Výdavky súvisiace s </w:t>
            </w:r>
            <w:r>
              <w:rPr>
                <w:rFonts w:ascii="Times New Roman" w:hAnsi="Times New Roman"/>
                <w:sz w:val="14"/>
                <w:szCs w:val="14"/>
                <w:lang w:eastAsia="sk-SK"/>
              </w:rPr>
              <w:t>nájmom budovy SZ v Bruseli</w:t>
            </w:r>
          </w:p>
        </w:tc>
        <w:tc>
          <w:tcPr>
            <w:tcW w:w="992" w:type="dxa"/>
            <w:tcBorders>
              <w:top w:val="single" w:sz="4" w:space="0" w:color="auto"/>
              <w:left w:val="nil"/>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Default="00465CAC" w:rsidP="00465CAC">
            <w:pPr>
              <w:jc w:val="right"/>
              <w:rPr>
                <w:rFonts w:ascii="Times New Roman" w:hAnsi="Times New Roman"/>
                <w:sz w:val="14"/>
                <w:szCs w:val="14"/>
                <w:lang w:eastAsia="sk-SK"/>
              </w:rPr>
            </w:pPr>
            <w:r>
              <w:rPr>
                <w:rFonts w:ascii="Times New Roman" w:hAnsi="Times New Roman"/>
                <w:sz w:val="14"/>
                <w:szCs w:val="14"/>
                <w:lang w:eastAsia="sk-SK"/>
              </w:rPr>
              <w:t>969 583</w:t>
            </w:r>
          </w:p>
        </w:tc>
        <w:tc>
          <w:tcPr>
            <w:tcW w:w="993" w:type="dxa"/>
            <w:tcBorders>
              <w:top w:val="single" w:sz="4" w:space="0" w:color="auto"/>
              <w:left w:val="nil"/>
              <w:bottom w:val="single" w:sz="4" w:space="0" w:color="auto"/>
              <w:right w:val="single" w:sz="4" w:space="0" w:color="auto"/>
            </w:tcBorders>
            <w:noWrap/>
            <w:vAlign w:val="bottom"/>
          </w:tcPr>
          <w:p w:rsidR="00465CAC"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Výdavky na DEUS a DCOM</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lang w:eastAsia="sk-SK"/>
              </w:rPr>
            </w:pPr>
            <w:r w:rsidRPr="0006072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3 500 000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3</w:t>
            </w:r>
            <w:r>
              <w:rPr>
                <w:rFonts w:ascii="Times New Roman" w:hAnsi="Times New Roman"/>
                <w:sz w:val="14"/>
                <w:szCs w:val="14"/>
                <w:lang w:eastAsia="sk-SK"/>
              </w:rPr>
              <w:t> </w:t>
            </w:r>
            <w:r w:rsidRPr="00F534F3">
              <w:rPr>
                <w:rFonts w:ascii="Times New Roman" w:hAnsi="Times New Roman"/>
                <w:sz w:val="14"/>
                <w:szCs w:val="14"/>
                <w:lang w:eastAsia="sk-SK"/>
              </w:rPr>
              <w:t>5</w:t>
            </w:r>
            <w:r>
              <w:rPr>
                <w:rFonts w:ascii="Times New Roman" w:hAnsi="Times New Roman"/>
                <w:sz w:val="14"/>
                <w:szCs w:val="14"/>
                <w:lang w:eastAsia="sk-SK"/>
              </w:rPr>
              <w:t>99 285</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3</w:t>
            </w:r>
            <w:r>
              <w:rPr>
                <w:rFonts w:ascii="Times New Roman" w:hAnsi="Times New Roman"/>
                <w:sz w:val="14"/>
                <w:szCs w:val="14"/>
                <w:lang w:eastAsia="sk-SK"/>
              </w:rPr>
              <w:t> 624 849</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3 682 873</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proofErr w:type="spellStart"/>
            <w:r>
              <w:rPr>
                <w:rFonts w:ascii="Times New Roman" w:hAnsi="Times New Roman"/>
                <w:sz w:val="14"/>
                <w:szCs w:val="14"/>
                <w:lang w:eastAsia="sk-SK"/>
              </w:rPr>
              <w:t>Vratky</w:t>
            </w:r>
            <w:proofErr w:type="spellEnd"/>
            <w:r>
              <w:rPr>
                <w:rFonts w:ascii="Times New Roman" w:hAnsi="Times New Roman"/>
                <w:sz w:val="14"/>
                <w:szCs w:val="14"/>
                <w:lang w:eastAsia="sk-SK"/>
              </w:rPr>
              <w:t xml:space="preserve"> z licencií</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325</w:t>
            </w:r>
          </w:p>
        </w:tc>
        <w:tc>
          <w:tcPr>
            <w:tcW w:w="992" w:type="dxa"/>
            <w:tcBorders>
              <w:top w:val="single" w:sz="4" w:space="0" w:color="auto"/>
              <w:left w:val="nil"/>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2 294</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Pr>
                <w:rFonts w:ascii="Times New Roman" w:hAnsi="Times New Roman"/>
                <w:sz w:val="14"/>
                <w:szCs w:val="14"/>
                <w:lang w:eastAsia="sk-SK"/>
              </w:rPr>
              <w:t>Realizácia úloh vyplývajúcich z uznesení vlády</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19 179 869</w:t>
            </w:r>
          </w:p>
        </w:tc>
        <w:tc>
          <w:tcPr>
            <w:tcW w:w="992" w:type="dxa"/>
            <w:tcBorders>
              <w:top w:val="single" w:sz="4" w:space="0" w:color="auto"/>
              <w:left w:val="nil"/>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2 008 706</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Pr>
                <w:rFonts w:ascii="Times New Roman" w:hAnsi="Times New Roman"/>
                <w:sz w:val="14"/>
                <w:szCs w:val="14"/>
                <w:lang w:eastAsia="sk-SK"/>
              </w:rPr>
              <w:t> 198 078</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Pr>
                <w:rFonts w:ascii="Times New Roman" w:hAnsi="Times New Roman"/>
                <w:sz w:val="14"/>
                <w:szCs w:val="14"/>
                <w:lang w:eastAsia="sk-SK"/>
              </w:rPr>
              <w:t>Výdavky na vybrané investície</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1 000 000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Default="00465CAC" w:rsidP="00465CAC">
            <w:pPr>
              <w:rPr>
                <w:rFonts w:ascii="Times New Roman" w:hAnsi="Times New Roman"/>
                <w:sz w:val="14"/>
                <w:szCs w:val="14"/>
                <w:lang w:eastAsia="sk-SK"/>
              </w:rPr>
            </w:pPr>
            <w:r>
              <w:rPr>
                <w:rFonts w:ascii="Times New Roman" w:hAnsi="Times New Roman"/>
                <w:sz w:val="14"/>
                <w:szCs w:val="14"/>
                <w:lang w:eastAsia="sk-SK"/>
              </w:rPr>
              <w:t>Výdavky na výplatu úrokov z nadmerných odpočtov</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1 527 420</w:t>
            </w:r>
          </w:p>
        </w:tc>
        <w:tc>
          <w:tcPr>
            <w:tcW w:w="993" w:type="dxa"/>
            <w:tcBorders>
              <w:top w:val="single" w:sz="4" w:space="0" w:color="auto"/>
              <w:left w:val="nil"/>
              <w:bottom w:val="single" w:sz="4" w:space="0" w:color="auto"/>
              <w:right w:val="single" w:sz="4" w:space="0" w:color="auto"/>
            </w:tcBorders>
            <w:noWrap/>
            <w:vAlign w:val="bottom"/>
          </w:tcPr>
          <w:p w:rsidR="00465CAC" w:rsidRPr="007C6F05" w:rsidRDefault="00465CAC" w:rsidP="00465CAC">
            <w:pPr>
              <w:jc w:val="right"/>
              <w:rPr>
                <w:rFonts w:ascii="Times New Roman" w:hAnsi="Times New Roman"/>
                <w:sz w:val="14"/>
                <w:szCs w:val="14"/>
                <w:lang w:eastAsia="sk-SK"/>
              </w:rPr>
            </w:pPr>
            <w:r>
              <w:rPr>
                <w:rFonts w:ascii="Times New Roman" w:hAnsi="Times New Roman"/>
                <w:sz w:val="14"/>
                <w:szCs w:val="14"/>
                <w:lang w:eastAsia="sk-SK"/>
              </w:rPr>
              <w:t>781 650</w:t>
            </w:r>
          </w:p>
        </w:tc>
        <w:tc>
          <w:tcPr>
            <w:tcW w:w="993" w:type="dxa"/>
            <w:tcBorders>
              <w:top w:val="single" w:sz="4" w:space="0" w:color="auto"/>
              <w:left w:val="nil"/>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Pr>
                <w:rFonts w:ascii="Times New Roman" w:hAnsi="Times New Roman"/>
                <w:sz w:val="14"/>
                <w:szCs w:val="14"/>
                <w:lang w:eastAsia="sk-SK"/>
              </w:rPr>
              <w:t>763 300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Default="00465CAC" w:rsidP="00465CAC">
            <w:pPr>
              <w:rPr>
                <w:rFonts w:ascii="Times New Roman" w:hAnsi="Times New Roman"/>
                <w:sz w:val="14"/>
                <w:szCs w:val="14"/>
                <w:lang w:eastAsia="sk-SK"/>
              </w:rPr>
            </w:pPr>
            <w:r>
              <w:rPr>
                <w:rFonts w:ascii="Times New Roman" w:hAnsi="Times New Roman"/>
                <w:sz w:val="14"/>
                <w:szCs w:val="14"/>
                <w:lang w:eastAsia="sk-SK"/>
              </w:rPr>
              <w:t>Výdavky na športovú infraštruktúru -NTC Košice, a. s., (</w:t>
            </w:r>
            <w:proofErr w:type="spellStart"/>
            <w:r>
              <w:rPr>
                <w:rFonts w:ascii="Times New Roman" w:hAnsi="Times New Roman"/>
                <w:sz w:val="14"/>
                <w:szCs w:val="14"/>
                <w:lang w:eastAsia="sk-SK"/>
              </w:rPr>
              <w:t>uzn</w:t>
            </w:r>
            <w:proofErr w:type="spellEnd"/>
            <w:r>
              <w:rPr>
                <w:rFonts w:ascii="Times New Roman" w:hAnsi="Times New Roman"/>
                <w:sz w:val="14"/>
                <w:szCs w:val="14"/>
                <w:lang w:eastAsia="sk-SK"/>
              </w:rPr>
              <w:t xml:space="preserve">. </w:t>
            </w:r>
            <w:proofErr w:type="spellStart"/>
            <w:r>
              <w:rPr>
                <w:rFonts w:ascii="Times New Roman" w:hAnsi="Times New Roman"/>
                <w:sz w:val="14"/>
                <w:szCs w:val="14"/>
                <w:lang w:eastAsia="sk-SK"/>
              </w:rPr>
              <w:t>vl</w:t>
            </w:r>
            <w:proofErr w:type="spellEnd"/>
            <w:r>
              <w:rPr>
                <w:rFonts w:ascii="Times New Roman" w:hAnsi="Times New Roman"/>
                <w:sz w:val="14"/>
                <w:szCs w:val="14"/>
                <w:lang w:eastAsia="sk-SK"/>
              </w:rPr>
              <w:t>. 183/2017)</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Pr>
                <w:rFonts w:ascii="Times New Roman" w:hAnsi="Times New Roman"/>
                <w:sz w:val="14"/>
                <w:szCs w:val="14"/>
                <w:lang w:eastAsia="sk-SK"/>
              </w:rPr>
              <w:t>3 000 000</w:t>
            </w:r>
          </w:p>
        </w:tc>
        <w:tc>
          <w:tcPr>
            <w:tcW w:w="993" w:type="dxa"/>
            <w:tcBorders>
              <w:top w:val="single" w:sz="4" w:space="0" w:color="auto"/>
              <w:left w:val="nil"/>
              <w:bottom w:val="single" w:sz="4" w:space="0" w:color="auto"/>
              <w:right w:val="single" w:sz="4" w:space="0" w:color="auto"/>
            </w:tcBorders>
            <w:noWrap/>
            <w:vAlign w:val="bottom"/>
          </w:tcPr>
          <w:p w:rsidR="00465CAC" w:rsidRPr="007C6F05" w:rsidRDefault="00465CAC" w:rsidP="00465CAC">
            <w:pPr>
              <w:jc w:val="right"/>
              <w:rPr>
                <w:rFonts w:ascii="Times New Roman" w:hAnsi="Times New Roman"/>
                <w:sz w:val="14"/>
                <w:szCs w:val="14"/>
                <w:lang w:eastAsia="sk-SK"/>
              </w:rPr>
            </w:pPr>
            <w:r>
              <w:rPr>
                <w:rFonts w:ascii="Times New Roman" w:hAnsi="Times New Roman"/>
                <w:sz w:val="14"/>
                <w:szCs w:val="14"/>
                <w:lang w:eastAsia="sk-SK"/>
              </w:rPr>
              <w:t>3 000 000</w:t>
            </w:r>
          </w:p>
        </w:tc>
        <w:tc>
          <w:tcPr>
            <w:tcW w:w="993" w:type="dxa"/>
            <w:tcBorders>
              <w:top w:val="single" w:sz="4" w:space="0" w:color="auto"/>
              <w:left w:val="nil"/>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Pr>
                <w:rFonts w:ascii="Times New Roman" w:hAnsi="Times New Roman"/>
                <w:sz w:val="14"/>
                <w:szCs w:val="14"/>
                <w:lang w:eastAsia="sk-SK"/>
              </w:rPr>
              <w:t>Výdavky na 100. výročie osláv vzniku ČSR (</w:t>
            </w:r>
            <w:proofErr w:type="spellStart"/>
            <w:r>
              <w:rPr>
                <w:rFonts w:ascii="Times New Roman" w:hAnsi="Times New Roman"/>
                <w:sz w:val="14"/>
                <w:szCs w:val="14"/>
                <w:lang w:eastAsia="sk-SK"/>
              </w:rPr>
              <w:t>uzn</w:t>
            </w:r>
            <w:proofErr w:type="spellEnd"/>
            <w:r>
              <w:rPr>
                <w:rFonts w:ascii="Times New Roman" w:hAnsi="Times New Roman"/>
                <w:sz w:val="14"/>
                <w:szCs w:val="14"/>
                <w:lang w:eastAsia="sk-SK"/>
              </w:rPr>
              <w:t xml:space="preserve">. </w:t>
            </w:r>
            <w:proofErr w:type="spellStart"/>
            <w:r>
              <w:rPr>
                <w:rFonts w:ascii="Times New Roman" w:hAnsi="Times New Roman"/>
                <w:sz w:val="14"/>
                <w:szCs w:val="14"/>
                <w:lang w:eastAsia="sk-SK"/>
              </w:rPr>
              <w:t>vl</w:t>
            </w:r>
            <w:proofErr w:type="spellEnd"/>
            <w:r>
              <w:rPr>
                <w:rFonts w:ascii="Times New Roman" w:hAnsi="Times New Roman"/>
                <w:sz w:val="14"/>
                <w:szCs w:val="14"/>
                <w:lang w:eastAsia="sk-SK"/>
              </w:rPr>
              <w:t>. 282/2017)</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Pr>
                <w:rFonts w:ascii="Times New Roman" w:hAnsi="Times New Roman"/>
                <w:sz w:val="14"/>
                <w:szCs w:val="14"/>
                <w:lang w:eastAsia="sk-SK"/>
              </w:rPr>
              <w:t>4 853 810</w:t>
            </w:r>
          </w:p>
        </w:tc>
        <w:tc>
          <w:tcPr>
            <w:tcW w:w="993" w:type="dxa"/>
            <w:tcBorders>
              <w:top w:val="single" w:sz="4" w:space="0" w:color="auto"/>
              <w:left w:val="nil"/>
              <w:bottom w:val="single" w:sz="4" w:space="0" w:color="auto"/>
              <w:right w:val="single" w:sz="4" w:space="0" w:color="auto"/>
            </w:tcBorders>
            <w:noWrap/>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465CAC" w:rsidRPr="007C6F05" w:rsidRDefault="00465CAC" w:rsidP="00465CAC">
            <w:pPr>
              <w:jc w:val="right"/>
              <w:rPr>
                <w:rFonts w:ascii="Times New Roman" w:hAnsi="Times New Roman"/>
                <w:sz w:val="14"/>
                <w:szCs w:val="14"/>
                <w:lang w:eastAsia="sk-SK"/>
              </w:rPr>
            </w:pPr>
            <w:r w:rsidRPr="007C6F05">
              <w:rPr>
                <w:rFonts w:ascii="Times New Roman" w:hAnsi="Times New Roman"/>
                <w:sz w:val="14"/>
                <w:szCs w:val="14"/>
                <w:lang w:eastAsia="sk-SK"/>
              </w:rPr>
              <w:t>0</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Rada pre vysielanie a retransmisiu</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highlight w:val="yellow"/>
                <w:lang w:eastAsia="sk-SK"/>
              </w:rPr>
            </w:pPr>
            <w:r w:rsidRPr="0006072B">
              <w:rPr>
                <w:rFonts w:ascii="Times New Roman" w:hAnsi="Times New Roman"/>
                <w:sz w:val="14"/>
                <w:szCs w:val="14"/>
                <w:lang w:eastAsia="sk-SK"/>
              </w:rPr>
              <w:t>1 090 852</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1 119 599</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1 290 985</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1 337 057</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1 382 957</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1 396 339</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1 410 941</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Kancelária verejného ochrancu práv</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highlight w:val="yellow"/>
                <w:lang w:eastAsia="sk-SK"/>
              </w:rPr>
            </w:pPr>
            <w:r w:rsidRPr="0006072B">
              <w:rPr>
                <w:rFonts w:ascii="Times New Roman" w:hAnsi="Times New Roman"/>
                <w:sz w:val="14"/>
                <w:szCs w:val="14"/>
                <w:lang w:eastAsia="sk-SK"/>
              </w:rPr>
              <w:t>1 153 421</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1 180 637</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1 239 871</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1 319 447</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1 535 649</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1 524 729</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1 524 799</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Úrad na ochranu osobných údajov</w:t>
            </w:r>
            <w:r>
              <w:rPr>
                <w:rFonts w:ascii="Times New Roman" w:hAnsi="Times New Roman"/>
                <w:sz w:val="14"/>
                <w:szCs w:val="14"/>
                <w:lang w:eastAsia="sk-SK"/>
              </w:rPr>
              <w:t xml:space="preserve"> SR</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highlight w:val="yellow"/>
                <w:lang w:eastAsia="sk-SK"/>
              </w:rPr>
            </w:pPr>
            <w:r w:rsidRPr="0006072B">
              <w:rPr>
                <w:rFonts w:ascii="Times New Roman" w:hAnsi="Times New Roman"/>
                <w:sz w:val="14"/>
                <w:szCs w:val="14"/>
                <w:lang w:eastAsia="sk-SK"/>
              </w:rPr>
              <w:t>994 322</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1 103 814</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1 018 835</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1 166 279</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1 163 853</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1 163 853</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1 163 853</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 xml:space="preserve">Transfer Ústavu pamäti národa </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highlight w:val="yellow"/>
                <w:lang w:eastAsia="sk-SK"/>
              </w:rPr>
            </w:pPr>
            <w:r w:rsidRPr="0006072B">
              <w:rPr>
                <w:rFonts w:ascii="Times New Roman" w:hAnsi="Times New Roman"/>
                <w:sz w:val="14"/>
                <w:szCs w:val="14"/>
                <w:lang w:eastAsia="sk-SK"/>
              </w:rPr>
              <w:t>1 660 562</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1 546 930</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1 597 903</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1 597 903</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1 671 391</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1 692 991</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1 692 991</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Transfer Slovenskému národnému stredisku pre ľudské práva</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highlight w:val="yellow"/>
                <w:lang w:eastAsia="sk-SK"/>
              </w:rPr>
            </w:pPr>
            <w:r w:rsidRPr="0006072B">
              <w:rPr>
                <w:rFonts w:ascii="Times New Roman" w:hAnsi="Times New Roman"/>
                <w:sz w:val="14"/>
                <w:szCs w:val="14"/>
                <w:lang w:eastAsia="sk-SK"/>
              </w:rPr>
              <w:t>518 242</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548 242</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553 242</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553 242</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565 356</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565 356</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565 356</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Transfer Úradu komisára pre deti</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lang w:eastAsia="sk-SK"/>
              </w:rPr>
            </w:pPr>
            <w:r w:rsidRPr="0006072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324 546</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273 046</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328 489</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387 905</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387 905</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29088B">
            <w:pPr>
              <w:jc w:val="right"/>
              <w:rPr>
                <w:rFonts w:ascii="Times New Roman" w:hAnsi="Times New Roman"/>
                <w:sz w:val="14"/>
                <w:szCs w:val="14"/>
                <w:lang w:eastAsia="sk-SK"/>
              </w:rPr>
            </w:pPr>
            <w:r>
              <w:rPr>
                <w:rFonts w:ascii="Times New Roman" w:hAnsi="Times New Roman"/>
                <w:sz w:val="14"/>
                <w:szCs w:val="14"/>
                <w:lang w:eastAsia="sk-SK"/>
              </w:rPr>
              <w:t>38</w:t>
            </w:r>
            <w:r w:rsidR="0029088B">
              <w:rPr>
                <w:rFonts w:ascii="Times New Roman" w:hAnsi="Times New Roman"/>
                <w:sz w:val="14"/>
                <w:szCs w:val="14"/>
                <w:lang w:eastAsia="sk-SK"/>
              </w:rPr>
              <w:t>7</w:t>
            </w:r>
            <w:r>
              <w:rPr>
                <w:rFonts w:ascii="Times New Roman" w:hAnsi="Times New Roman"/>
                <w:sz w:val="14"/>
                <w:szCs w:val="14"/>
                <w:lang w:eastAsia="sk-SK"/>
              </w:rPr>
              <w:t xml:space="preserve"> 905</w:t>
            </w:r>
          </w:p>
        </w:tc>
      </w:tr>
      <w:tr w:rsidR="00465CAC" w:rsidRPr="0006072B" w:rsidTr="000736F2">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rPr>
                <w:rFonts w:ascii="Times New Roman" w:hAnsi="Times New Roman"/>
                <w:sz w:val="14"/>
                <w:szCs w:val="14"/>
                <w:lang w:eastAsia="sk-SK"/>
              </w:rPr>
            </w:pPr>
            <w:r w:rsidRPr="0006072B">
              <w:rPr>
                <w:rFonts w:ascii="Times New Roman" w:hAnsi="Times New Roman"/>
                <w:sz w:val="14"/>
                <w:szCs w:val="14"/>
                <w:lang w:eastAsia="sk-SK"/>
              </w:rPr>
              <w:t>Transfer Úradu komisára pre osoby so zdravotným postihnutím</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06072B" w:rsidRDefault="00465CAC" w:rsidP="00465CAC">
            <w:pPr>
              <w:jc w:val="right"/>
              <w:rPr>
                <w:rFonts w:ascii="Times New Roman" w:hAnsi="Times New Roman"/>
                <w:sz w:val="14"/>
                <w:szCs w:val="14"/>
                <w:lang w:eastAsia="sk-SK"/>
              </w:rPr>
            </w:pPr>
            <w:r w:rsidRPr="0006072B">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333 046</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sidRPr="00F534F3">
              <w:rPr>
                <w:rFonts w:ascii="Times New Roman" w:hAnsi="Times New Roman"/>
                <w:sz w:val="14"/>
                <w:szCs w:val="14"/>
                <w:lang w:eastAsia="sk-SK"/>
              </w:rPr>
              <w:t>273 046</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328 489</w:t>
            </w:r>
          </w:p>
        </w:tc>
        <w:tc>
          <w:tcPr>
            <w:tcW w:w="992" w:type="dxa"/>
            <w:tcBorders>
              <w:top w:val="single" w:sz="4" w:space="0" w:color="auto"/>
              <w:left w:val="single" w:sz="4" w:space="0" w:color="auto"/>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437 464</w:t>
            </w:r>
          </w:p>
        </w:tc>
        <w:tc>
          <w:tcPr>
            <w:tcW w:w="993" w:type="dxa"/>
            <w:tcBorders>
              <w:top w:val="single" w:sz="4" w:space="0" w:color="auto"/>
              <w:left w:val="nil"/>
              <w:bottom w:val="single" w:sz="4" w:space="0" w:color="auto"/>
              <w:right w:val="single" w:sz="4" w:space="0" w:color="auto"/>
            </w:tcBorders>
            <w:noWrap/>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437 464</w:t>
            </w:r>
          </w:p>
        </w:tc>
        <w:tc>
          <w:tcPr>
            <w:tcW w:w="993" w:type="dxa"/>
            <w:tcBorders>
              <w:top w:val="single" w:sz="4" w:space="0" w:color="auto"/>
              <w:left w:val="nil"/>
              <w:bottom w:val="single" w:sz="4" w:space="0" w:color="auto"/>
              <w:right w:val="single" w:sz="4" w:space="0" w:color="auto"/>
            </w:tcBorders>
            <w:vAlign w:val="bottom"/>
          </w:tcPr>
          <w:p w:rsidR="00465CAC" w:rsidRPr="00F534F3" w:rsidRDefault="00465CAC" w:rsidP="00465CAC">
            <w:pPr>
              <w:jc w:val="right"/>
              <w:rPr>
                <w:rFonts w:ascii="Times New Roman" w:hAnsi="Times New Roman"/>
                <w:sz w:val="14"/>
                <w:szCs w:val="14"/>
                <w:lang w:eastAsia="sk-SK"/>
              </w:rPr>
            </w:pPr>
            <w:r>
              <w:rPr>
                <w:rFonts w:ascii="Times New Roman" w:hAnsi="Times New Roman"/>
                <w:sz w:val="14"/>
                <w:szCs w:val="14"/>
                <w:lang w:eastAsia="sk-SK"/>
              </w:rPr>
              <w:t>437 464</w:t>
            </w:r>
          </w:p>
        </w:tc>
      </w:tr>
    </w:tbl>
    <w:bookmarkEnd w:id="213"/>
    <w:p w:rsidR="00465CAC" w:rsidRPr="00045231" w:rsidRDefault="00465CAC" w:rsidP="00465CAC">
      <w:pPr>
        <w:ind w:left="142" w:hanging="142"/>
        <w:jc w:val="both"/>
        <w:rPr>
          <w:rFonts w:ascii="Times New Roman" w:hAnsi="Times New Roman"/>
          <w:sz w:val="14"/>
          <w:szCs w:val="14"/>
        </w:rPr>
      </w:pPr>
      <w:r w:rsidRPr="0006072B">
        <w:rPr>
          <w:rFonts w:ascii="Times New Roman" w:hAnsi="Times New Roman"/>
          <w:sz w:val="14"/>
          <w:szCs w:val="14"/>
        </w:rPr>
        <w:t>*</w:t>
      </w:r>
      <w:r>
        <w:rPr>
          <w:rFonts w:ascii="Times New Roman" w:hAnsi="Times New Roman"/>
          <w:sz w:val="14"/>
          <w:szCs w:val="14"/>
        </w:rPr>
        <w:t xml:space="preserve"> </w:t>
      </w:r>
      <w:r w:rsidRPr="0006072B">
        <w:rPr>
          <w:rFonts w:ascii="Times New Roman" w:hAnsi="Times New Roman"/>
          <w:sz w:val="14"/>
          <w:szCs w:val="14"/>
        </w:rPr>
        <w:t>Do skutočnos</w:t>
      </w:r>
      <w:r>
        <w:rPr>
          <w:rFonts w:ascii="Times New Roman" w:hAnsi="Times New Roman"/>
          <w:sz w:val="14"/>
          <w:szCs w:val="14"/>
        </w:rPr>
        <w:t>ti za roky 2015 a 2016</w:t>
      </w:r>
      <w:r w:rsidRPr="0006072B">
        <w:rPr>
          <w:rFonts w:ascii="Times New Roman" w:hAnsi="Times New Roman"/>
          <w:sz w:val="14"/>
          <w:szCs w:val="14"/>
        </w:rPr>
        <w:t xml:space="preserve"> a oč</w:t>
      </w:r>
      <w:r>
        <w:rPr>
          <w:rFonts w:ascii="Times New Roman" w:hAnsi="Times New Roman"/>
          <w:sz w:val="14"/>
          <w:szCs w:val="14"/>
        </w:rPr>
        <w:t>akávanej skutočnosti na rok 2017</w:t>
      </w:r>
      <w:r w:rsidRPr="0006072B">
        <w:rPr>
          <w:rFonts w:ascii="Times New Roman" w:hAnsi="Times New Roman"/>
          <w:sz w:val="14"/>
          <w:szCs w:val="14"/>
        </w:rPr>
        <w:t xml:space="preserve"> sú dopočítané výdavky, ktoré</w:t>
      </w:r>
      <w:r>
        <w:rPr>
          <w:rFonts w:ascii="Times New Roman" w:hAnsi="Times New Roman"/>
          <w:sz w:val="14"/>
          <w:szCs w:val="14"/>
        </w:rPr>
        <w:t xml:space="preserve"> nie sú rozpočtované v roku 2017</w:t>
      </w:r>
      <w:r w:rsidRPr="0006072B">
        <w:rPr>
          <w:rFonts w:ascii="Times New Roman" w:hAnsi="Times New Roman"/>
          <w:sz w:val="14"/>
          <w:szCs w:val="14"/>
        </w:rPr>
        <w:t xml:space="preserve"> a v návrh</w:t>
      </w:r>
      <w:r>
        <w:rPr>
          <w:rFonts w:ascii="Times New Roman" w:hAnsi="Times New Roman"/>
          <w:sz w:val="14"/>
          <w:szCs w:val="14"/>
        </w:rPr>
        <w:t>u rozpočtu kapitoly na roky 2018 až 2020</w:t>
      </w:r>
      <w:r w:rsidRPr="0006072B">
        <w:rPr>
          <w:rFonts w:ascii="Times New Roman" w:hAnsi="Times New Roman"/>
          <w:sz w:val="14"/>
          <w:szCs w:val="14"/>
        </w:rPr>
        <w:t xml:space="preserve">. </w:t>
      </w:r>
    </w:p>
    <w:p w:rsidR="00F0693C" w:rsidRDefault="00F0693C" w:rsidP="00F0693C">
      <w:pPr>
        <w:ind w:firstLine="709"/>
        <w:jc w:val="both"/>
        <w:rPr>
          <w:rFonts w:ascii="Times New Roman" w:hAnsi="Times New Roman"/>
        </w:rPr>
      </w:pPr>
    </w:p>
    <w:p w:rsidR="00640C5E" w:rsidRPr="0006072B" w:rsidRDefault="00640C5E" w:rsidP="00640C5E">
      <w:pPr>
        <w:ind w:firstLine="709"/>
        <w:jc w:val="both"/>
        <w:rPr>
          <w:rFonts w:ascii="Times New Roman" w:hAnsi="Times New Roman"/>
        </w:rPr>
      </w:pPr>
      <w:r>
        <w:rPr>
          <w:rFonts w:ascii="Times New Roman" w:hAnsi="Times New Roman"/>
        </w:rPr>
        <w:lastRenderedPageBreak/>
        <w:t>Z výdavkového</w:t>
      </w:r>
      <w:r w:rsidRPr="0006072B">
        <w:rPr>
          <w:rFonts w:ascii="Times New Roman" w:hAnsi="Times New Roman"/>
        </w:rPr>
        <w:t xml:space="preserve"> titul</w:t>
      </w:r>
      <w:r>
        <w:rPr>
          <w:rFonts w:ascii="Times New Roman" w:hAnsi="Times New Roman"/>
        </w:rPr>
        <w:t>u</w:t>
      </w:r>
      <w:r w:rsidRPr="0006072B">
        <w:rPr>
          <w:rFonts w:ascii="Times New Roman" w:hAnsi="Times New Roman"/>
        </w:rPr>
        <w:t xml:space="preserve"> Zahraničná ekonomická pomoc má</w:t>
      </w:r>
      <w:r>
        <w:rPr>
          <w:rFonts w:ascii="Times New Roman" w:hAnsi="Times New Roman"/>
        </w:rPr>
        <w:t xml:space="preserve"> suma 3,4 mil. eur</w:t>
      </w:r>
      <w:r w:rsidRPr="0006072B">
        <w:rPr>
          <w:rFonts w:ascii="Times New Roman" w:hAnsi="Times New Roman"/>
        </w:rPr>
        <w:t xml:space="preserve"> charakter rozvojovej spolupráce. </w:t>
      </w:r>
    </w:p>
    <w:p w:rsidR="00640C5E" w:rsidRPr="0006072B" w:rsidRDefault="00640C5E" w:rsidP="00640C5E">
      <w:pPr>
        <w:ind w:firstLine="709"/>
        <w:jc w:val="both"/>
        <w:rPr>
          <w:rFonts w:ascii="Times New Roman" w:hAnsi="Times New Roman"/>
        </w:rPr>
      </w:pPr>
    </w:p>
    <w:p w:rsidR="00640C5E" w:rsidRDefault="00640C5E" w:rsidP="00640C5E">
      <w:pPr>
        <w:ind w:firstLine="709"/>
        <w:jc w:val="both"/>
        <w:rPr>
          <w:rFonts w:ascii="Times New Roman" w:hAnsi="Times New Roman"/>
        </w:rPr>
      </w:pPr>
      <w:r>
        <w:rPr>
          <w:rFonts w:ascii="Times New Roman" w:hAnsi="Times New Roman"/>
        </w:rPr>
        <w:t>V</w:t>
      </w:r>
      <w:r w:rsidRPr="0006072B">
        <w:rPr>
          <w:rFonts w:ascii="Times New Roman" w:hAnsi="Times New Roman"/>
        </w:rPr>
        <w:t xml:space="preserve"> rok</w:t>
      </w:r>
      <w:r>
        <w:rPr>
          <w:rFonts w:ascii="Times New Roman" w:hAnsi="Times New Roman"/>
        </w:rPr>
        <w:t>u 2018</w:t>
      </w:r>
      <w:r w:rsidRPr="0006072B">
        <w:rPr>
          <w:rFonts w:ascii="Times New Roman" w:hAnsi="Times New Roman"/>
        </w:rPr>
        <w:t xml:space="preserve"> sú v kapitole VPS zaradené</w:t>
      </w:r>
      <w:r>
        <w:rPr>
          <w:rFonts w:ascii="Times New Roman" w:hAnsi="Times New Roman"/>
        </w:rPr>
        <w:t xml:space="preserve"> </w:t>
      </w:r>
      <w:r w:rsidRPr="00F01C15">
        <w:rPr>
          <w:rFonts w:ascii="Times New Roman" w:hAnsi="Times New Roman"/>
        </w:rPr>
        <w:t>nové výdavkové tituly</w:t>
      </w:r>
      <w:r>
        <w:rPr>
          <w:rFonts w:ascii="Times New Roman" w:hAnsi="Times New Roman"/>
        </w:rPr>
        <w:t xml:space="preserve"> na realizáciu úloh vyplývajúcich z uznesení vlády. Ide o výdavky na Štipendium M. Fil</w:t>
      </w:r>
      <w:r w:rsidRPr="00F01C15">
        <w:rPr>
          <w:rFonts w:ascii="Times New Roman" w:hAnsi="Times New Roman"/>
        </w:rPr>
        <w:t>ka</w:t>
      </w:r>
      <w:r>
        <w:rPr>
          <w:rFonts w:ascii="Times New Roman" w:hAnsi="Times New Roman"/>
        </w:rPr>
        <w:t xml:space="preserve"> v zmysle uznesenia vlády č. 99 z 1. marca 2017 a</w:t>
      </w:r>
      <w:r w:rsidRPr="00F01C15">
        <w:rPr>
          <w:rFonts w:ascii="Times New Roman" w:hAnsi="Times New Roman"/>
        </w:rPr>
        <w:t xml:space="preserve"> výdavky na 100. výročie osláv Československej republiky</w:t>
      </w:r>
      <w:r>
        <w:rPr>
          <w:rFonts w:ascii="Times New Roman" w:hAnsi="Times New Roman"/>
        </w:rPr>
        <w:t xml:space="preserve"> v zmysle uznesenia vlády č. 282 zo 7. júna 2017. </w:t>
      </w:r>
      <w:proofErr w:type="spellStart"/>
      <w:r>
        <w:rPr>
          <w:rFonts w:ascii="Times New Roman" w:hAnsi="Times New Roman"/>
        </w:rPr>
        <w:t>Novozaradené</w:t>
      </w:r>
      <w:proofErr w:type="spellEnd"/>
      <w:r>
        <w:rPr>
          <w:rFonts w:ascii="Times New Roman" w:hAnsi="Times New Roman"/>
        </w:rPr>
        <w:t xml:space="preserve"> sú aj výdavky na športovú infraštruktúru podľa uznesenia vlády</w:t>
      </w:r>
      <w:r w:rsidRPr="00F01C15">
        <w:rPr>
          <w:rFonts w:ascii="Times New Roman" w:hAnsi="Times New Roman"/>
        </w:rPr>
        <w:t xml:space="preserve"> </w:t>
      </w:r>
      <w:r>
        <w:rPr>
          <w:rFonts w:ascii="Times New Roman" w:hAnsi="Times New Roman"/>
        </w:rPr>
        <w:t xml:space="preserve">č. 183 </w:t>
      </w:r>
      <w:r w:rsidR="00901C6C">
        <w:rPr>
          <w:rFonts w:ascii="Times New Roman" w:hAnsi="Times New Roman"/>
        </w:rPr>
        <w:t>z</w:t>
      </w:r>
      <w:r>
        <w:rPr>
          <w:rFonts w:ascii="Times New Roman" w:hAnsi="Times New Roman"/>
        </w:rPr>
        <w:t xml:space="preserve"> 11. apríla 2017.</w:t>
      </w:r>
    </w:p>
    <w:p w:rsidR="000736F2" w:rsidRPr="0006072B" w:rsidRDefault="000736F2" w:rsidP="00640C5E">
      <w:pPr>
        <w:ind w:firstLine="709"/>
        <w:jc w:val="both"/>
        <w:rPr>
          <w:rFonts w:ascii="Times New Roman" w:hAnsi="Times New Roman"/>
        </w:rPr>
      </w:pPr>
    </w:p>
    <w:p w:rsidR="00640C5E" w:rsidRDefault="00640C5E" w:rsidP="00640C5E">
      <w:pPr>
        <w:ind w:firstLine="709"/>
        <w:jc w:val="both"/>
        <w:rPr>
          <w:rFonts w:ascii="Times New Roman" w:hAnsi="Times New Roman"/>
          <w:bCs/>
          <w:szCs w:val="18"/>
        </w:rPr>
      </w:pPr>
      <w:r w:rsidRPr="0006072B">
        <w:rPr>
          <w:rFonts w:ascii="Times New Roman" w:hAnsi="Times New Roman"/>
        </w:rPr>
        <w:t xml:space="preserve">Od roku 2016 sa v zmysle zákona č. 336/2015 Z. z. o podpore najmenej rozvinutých okresov a o zmene a doplnení niektorých zákonov rozpočtujú </w:t>
      </w:r>
      <w:r w:rsidRPr="0006072B">
        <w:rPr>
          <w:rFonts w:ascii="Times New Roman" w:hAnsi="Times New Roman"/>
          <w:bCs/>
          <w:szCs w:val="18"/>
        </w:rPr>
        <w:t>v rozpočte</w:t>
      </w:r>
      <w:r w:rsidRPr="0006072B">
        <w:rPr>
          <w:rFonts w:ascii="Times New Roman" w:hAnsi="Times New Roman"/>
        </w:rPr>
        <w:t xml:space="preserve"> kapitoly VPS výdavky na podporu najmenej rozvin</w:t>
      </w:r>
      <w:r>
        <w:rPr>
          <w:rFonts w:ascii="Times New Roman" w:hAnsi="Times New Roman"/>
        </w:rPr>
        <w:t>utých okresov, ktoré na rok 2018</w:t>
      </w:r>
      <w:r w:rsidRPr="0006072B">
        <w:rPr>
          <w:rFonts w:ascii="Times New Roman" w:hAnsi="Times New Roman"/>
        </w:rPr>
        <w:t xml:space="preserve"> predstavujú</w:t>
      </w:r>
      <w:r>
        <w:rPr>
          <w:rFonts w:ascii="Times New Roman" w:hAnsi="Times New Roman"/>
          <w:bCs/>
          <w:szCs w:val="18"/>
        </w:rPr>
        <w:t> sumu 12,9</w:t>
      </w:r>
      <w:r w:rsidRPr="0006072B">
        <w:rPr>
          <w:rFonts w:ascii="Times New Roman" w:hAnsi="Times New Roman"/>
          <w:bCs/>
          <w:szCs w:val="18"/>
        </w:rPr>
        <w:t xml:space="preserve"> mil. eur.</w:t>
      </w:r>
    </w:p>
    <w:p w:rsidR="00640C5E" w:rsidRDefault="00640C5E" w:rsidP="00640C5E">
      <w:pPr>
        <w:ind w:firstLine="709"/>
        <w:jc w:val="both"/>
        <w:rPr>
          <w:rFonts w:ascii="Times New Roman" w:hAnsi="Times New Roman"/>
          <w:bCs/>
          <w:szCs w:val="18"/>
        </w:rPr>
      </w:pPr>
    </w:p>
    <w:p w:rsidR="00640C5E" w:rsidRPr="006E3096" w:rsidRDefault="00640C5E" w:rsidP="00640C5E">
      <w:pPr>
        <w:jc w:val="both"/>
        <w:rPr>
          <w:rFonts w:ascii="Times New Roman" w:hAnsi="Times New Roman"/>
          <w:b/>
          <w:bCs/>
          <w:szCs w:val="18"/>
        </w:rPr>
      </w:pPr>
      <w:r w:rsidRPr="006E3096">
        <w:rPr>
          <w:rFonts w:ascii="Times New Roman" w:hAnsi="Times New Roman"/>
          <w:b/>
          <w:bCs/>
          <w:szCs w:val="18"/>
        </w:rPr>
        <w:t>Hospodárenie s rozpočtovými rezervami</w:t>
      </w:r>
    </w:p>
    <w:p w:rsidR="00640C5E" w:rsidRDefault="00640C5E" w:rsidP="00640C5E">
      <w:pPr>
        <w:ind w:firstLine="720"/>
        <w:jc w:val="both"/>
        <w:rPr>
          <w:rFonts w:ascii="Times New Roman" w:eastAsia="Calibri" w:hAnsi="Times New Roman" w:cs="Times New Roman"/>
        </w:rPr>
      </w:pPr>
    </w:p>
    <w:p w:rsidR="00640C5E" w:rsidRPr="006E3096" w:rsidRDefault="00640C5E" w:rsidP="00640C5E">
      <w:pPr>
        <w:ind w:firstLine="720"/>
        <w:jc w:val="both"/>
        <w:rPr>
          <w:rFonts w:ascii="Times New Roman" w:eastAsia="Calibri" w:hAnsi="Times New Roman" w:cs="Times New Roman"/>
        </w:rPr>
      </w:pPr>
      <w:r w:rsidRPr="000F25A9">
        <w:rPr>
          <w:rFonts w:ascii="Times New Roman" w:eastAsia="Calibri" w:hAnsi="Times New Roman" w:cs="Times New Roman"/>
        </w:rPr>
        <w:t>Na krytie nepredvídaných výdavkov nevyhnutných na zabezpečenie rozpočtového hospodárenia alebo na krytie zníženia rozpočtovaných príjmov sa v zmysle § 10 ods. 4  zákona č.  523/2004 Z. z. o rozpočtových pravidlách verejnej správy a o zmene a doplnení niektorých zákonov v znení neskorších predpisov vytvárajú v štátnom rozpočte rozpočtové rezervy. Štruktúra vybraných rozpočtových rezerv, objem schválený zákonom č. 357/2016 o štátnom rozpočte na rok 2017, použitie a zostatok rezerv sú ob</w:t>
      </w:r>
      <w:r>
        <w:rPr>
          <w:rFonts w:ascii="Times New Roman" w:eastAsia="Calibri" w:hAnsi="Times New Roman" w:cs="Times New Roman"/>
        </w:rPr>
        <w:t>siahnuté v nasledovnej tabuľke:</w:t>
      </w:r>
    </w:p>
    <w:p w:rsidR="00640C5E" w:rsidRPr="000F25A9" w:rsidRDefault="00640C5E" w:rsidP="00640C5E">
      <w:pPr>
        <w:jc w:val="both"/>
        <w:rPr>
          <w:rFonts w:ascii="Arial Narrow" w:eastAsia="Calibri" w:hAnsi="Arial Narrow"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2265"/>
        <w:gridCol w:w="2266"/>
        <w:gridCol w:w="2266"/>
      </w:tblGrid>
      <w:tr w:rsidR="00640C5E" w:rsidRPr="000F25A9" w:rsidTr="005C0638">
        <w:trPr>
          <w:trHeight w:val="283"/>
        </w:trPr>
        <w:tc>
          <w:tcPr>
            <w:tcW w:w="1250" w:type="pct"/>
            <w:shd w:val="clear" w:color="auto" w:fill="A6A6A6" w:themeFill="background1" w:themeFillShade="A6"/>
            <w:tcMar>
              <w:top w:w="0" w:type="dxa"/>
              <w:left w:w="70" w:type="dxa"/>
              <w:bottom w:w="0" w:type="dxa"/>
              <w:right w:w="70" w:type="dxa"/>
            </w:tcMar>
            <w:vAlign w:val="center"/>
            <w:hideMark/>
          </w:tcPr>
          <w:p w:rsidR="00640C5E" w:rsidRPr="000F25A9" w:rsidRDefault="00640C5E" w:rsidP="005C0638">
            <w:pPr>
              <w:rPr>
                <w:rFonts w:ascii="Times New Roman" w:eastAsia="Calibri" w:hAnsi="Times New Roman" w:cs="Times New Roman"/>
                <w:b/>
                <w:bCs/>
                <w:sz w:val="14"/>
                <w:szCs w:val="14"/>
              </w:rPr>
            </w:pPr>
            <w:r>
              <w:rPr>
                <w:rFonts w:ascii="Times New Roman" w:eastAsia="Calibri" w:hAnsi="Times New Roman" w:cs="Times New Roman"/>
                <w:b/>
                <w:bCs/>
                <w:sz w:val="14"/>
                <w:szCs w:val="14"/>
              </w:rPr>
              <w:t>v eurách</w:t>
            </w:r>
          </w:p>
        </w:tc>
        <w:tc>
          <w:tcPr>
            <w:tcW w:w="1250" w:type="pct"/>
            <w:shd w:val="clear" w:color="auto" w:fill="A6A6A6" w:themeFill="background1" w:themeFillShade="A6"/>
            <w:tcMar>
              <w:top w:w="0" w:type="dxa"/>
              <w:left w:w="70" w:type="dxa"/>
              <w:bottom w:w="0" w:type="dxa"/>
              <w:right w:w="70" w:type="dxa"/>
            </w:tcMar>
            <w:vAlign w:val="center"/>
            <w:hideMark/>
          </w:tcPr>
          <w:p w:rsidR="00640C5E" w:rsidRPr="000F25A9" w:rsidRDefault="00640C5E" w:rsidP="005C0638">
            <w:pPr>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 xml:space="preserve">Schválený rozpočet </w:t>
            </w:r>
            <w:r w:rsidRPr="000F25A9">
              <w:rPr>
                <w:rFonts w:ascii="Times New Roman" w:eastAsia="Calibri" w:hAnsi="Times New Roman" w:cs="Times New Roman"/>
                <w:b/>
                <w:bCs/>
                <w:sz w:val="14"/>
                <w:szCs w:val="14"/>
              </w:rPr>
              <w:t>2017</w:t>
            </w:r>
          </w:p>
        </w:tc>
        <w:tc>
          <w:tcPr>
            <w:tcW w:w="1250" w:type="pct"/>
            <w:shd w:val="clear" w:color="auto" w:fill="A6A6A6" w:themeFill="background1" w:themeFillShade="A6"/>
            <w:tcMar>
              <w:top w:w="0" w:type="dxa"/>
              <w:left w:w="70" w:type="dxa"/>
              <w:bottom w:w="0" w:type="dxa"/>
              <w:right w:w="70" w:type="dxa"/>
            </w:tcMar>
            <w:vAlign w:val="center"/>
            <w:hideMark/>
          </w:tcPr>
          <w:p w:rsidR="00640C5E" w:rsidRPr="000F25A9" w:rsidRDefault="00640C5E" w:rsidP="00901C6C">
            <w:pPr>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 xml:space="preserve">Použitie rezerv </w:t>
            </w:r>
            <w:r w:rsidRPr="000F25A9">
              <w:rPr>
                <w:rFonts w:ascii="Times New Roman" w:eastAsia="Calibri" w:hAnsi="Times New Roman" w:cs="Times New Roman"/>
                <w:b/>
                <w:bCs/>
                <w:sz w:val="14"/>
                <w:szCs w:val="14"/>
              </w:rPr>
              <w:t>k 31.</w:t>
            </w:r>
            <w:r w:rsidR="00901C6C">
              <w:rPr>
                <w:rFonts w:ascii="Times New Roman" w:eastAsia="Calibri" w:hAnsi="Times New Roman" w:cs="Times New Roman"/>
                <w:b/>
                <w:bCs/>
                <w:sz w:val="14"/>
                <w:szCs w:val="14"/>
              </w:rPr>
              <w:t xml:space="preserve"> </w:t>
            </w:r>
            <w:r w:rsidRPr="000F25A9">
              <w:rPr>
                <w:rFonts w:ascii="Times New Roman" w:eastAsia="Calibri" w:hAnsi="Times New Roman" w:cs="Times New Roman"/>
                <w:b/>
                <w:bCs/>
                <w:sz w:val="14"/>
                <w:szCs w:val="14"/>
              </w:rPr>
              <w:t>8.</w:t>
            </w:r>
            <w:r w:rsidR="00901C6C">
              <w:rPr>
                <w:rFonts w:ascii="Times New Roman" w:eastAsia="Calibri" w:hAnsi="Times New Roman" w:cs="Times New Roman"/>
                <w:b/>
                <w:bCs/>
                <w:sz w:val="14"/>
                <w:szCs w:val="14"/>
              </w:rPr>
              <w:t xml:space="preserve"> </w:t>
            </w:r>
            <w:r w:rsidRPr="000F25A9">
              <w:rPr>
                <w:rFonts w:ascii="Times New Roman" w:eastAsia="Calibri" w:hAnsi="Times New Roman" w:cs="Times New Roman"/>
                <w:b/>
                <w:bCs/>
                <w:sz w:val="14"/>
                <w:szCs w:val="14"/>
              </w:rPr>
              <w:t>2017</w:t>
            </w:r>
          </w:p>
        </w:tc>
        <w:tc>
          <w:tcPr>
            <w:tcW w:w="1250" w:type="pct"/>
            <w:shd w:val="clear" w:color="auto" w:fill="A6A6A6" w:themeFill="background1" w:themeFillShade="A6"/>
            <w:tcMar>
              <w:top w:w="0" w:type="dxa"/>
              <w:left w:w="70" w:type="dxa"/>
              <w:bottom w:w="0" w:type="dxa"/>
              <w:right w:w="70" w:type="dxa"/>
            </w:tcMar>
            <w:vAlign w:val="center"/>
            <w:hideMark/>
          </w:tcPr>
          <w:p w:rsidR="00640C5E" w:rsidRPr="000F25A9" w:rsidRDefault="00640C5E" w:rsidP="00901C6C">
            <w:pPr>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 xml:space="preserve">Nevyčerpaný zostatok </w:t>
            </w:r>
            <w:r w:rsidRPr="000F25A9">
              <w:rPr>
                <w:rFonts w:ascii="Times New Roman" w:eastAsia="Calibri" w:hAnsi="Times New Roman" w:cs="Times New Roman"/>
                <w:b/>
                <w:bCs/>
                <w:sz w:val="14"/>
                <w:szCs w:val="14"/>
              </w:rPr>
              <w:t>k</w:t>
            </w:r>
            <w:r w:rsidRPr="000F25A9">
              <w:rPr>
                <w:rFonts w:ascii="Times New Roman" w:eastAsia="Calibri" w:hAnsi="Times New Roman" w:cs="Times New Roman"/>
                <w:b/>
                <w:bCs/>
                <w:color w:val="1F497D"/>
                <w:sz w:val="14"/>
                <w:szCs w:val="14"/>
              </w:rPr>
              <w:t xml:space="preserve"> </w:t>
            </w:r>
            <w:r w:rsidRPr="000F25A9">
              <w:rPr>
                <w:rFonts w:ascii="Times New Roman" w:eastAsia="Calibri" w:hAnsi="Times New Roman" w:cs="Times New Roman"/>
                <w:b/>
                <w:bCs/>
                <w:sz w:val="14"/>
                <w:szCs w:val="14"/>
              </w:rPr>
              <w:t>31.</w:t>
            </w:r>
            <w:r w:rsidR="00901C6C">
              <w:rPr>
                <w:rFonts w:ascii="Times New Roman" w:eastAsia="Calibri" w:hAnsi="Times New Roman" w:cs="Times New Roman"/>
                <w:b/>
                <w:bCs/>
                <w:sz w:val="14"/>
                <w:szCs w:val="14"/>
              </w:rPr>
              <w:t xml:space="preserve"> </w:t>
            </w:r>
            <w:r w:rsidRPr="000F25A9">
              <w:rPr>
                <w:rFonts w:ascii="Times New Roman" w:eastAsia="Calibri" w:hAnsi="Times New Roman" w:cs="Times New Roman"/>
                <w:b/>
                <w:bCs/>
                <w:sz w:val="14"/>
                <w:szCs w:val="14"/>
              </w:rPr>
              <w:t>8.</w:t>
            </w:r>
            <w:r w:rsidR="00901C6C">
              <w:rPr>
                <w:rFonts w:ascii="Times New Roman" w:eastAsia="Calibri" w:hAnsi="Times New Roman" w:cs="Times New Roman"/>
                <w:b/>
                <w:bCs/>
                <w:sz w:val="14"/>
                <w:szCs w:val="14"/>
              </w:rPr>
              <w:t xml:space="preserve"> </w:t>
            </w:r>
            <w:r w:rsidRPr="000F25A9">
              <w:rPr>
                <w:rFonts w:ascii="Times New Roman" w:eastAsia="Calibri" w:hAnsi="Times New Roman" w:cs="Times New Roman"/>
                <w:b/>
                <w:bCs/>
                <w:sz w:val="14"/>
                <w:szCs w:val="14"/>
              </w:rPr>
              <w:t>2017</w:t>
            </w:r>
          </w:p>
        </w:tc>
      </w:tr>
      <w:tr w:rsidR="00640C5E" w:rsidRPr="000F25A9" w:rsidTr="005C0638">
        <w:trPr>
          <w:trHeight w:val="283"/>
        </w:trPr>
        <w:tc>
          <w:tcPr>
            <w:tcW w:w="1250" w:type="pct"/>
            <w:shd w:val="clear" w:color="auto" w:fill="BFBFBF" w:themeFill="background1" w:themeFillShade="BF"/>
            <w:tcMar>
              <w:top w:w="0" w:type="dxa"/>
              <w:left w:w="70" w:type="dxa"/>
              <w:bottom w:w="0" w:type="dxa"/>
              <w:right w:w="70" w:type="dxa"/>
            </w:tcMar>
            <w:vAlign w:val="center"/>
          </w:tcPr>
          <w:p w:rsidR="00640C5E" w:rsidRDefault="00640C5E" w:rsidP="005C0638">
            <w:pPr>
              <w:rPr>
                <w:rFonts w:ascii="Times New Roman" w:eastAsia="Calibri" w:hAnsi="Times New Roman" w:cs="Times New Roman"/>
                <w:b/>
                <w:bCs/>
                <w:sz w:val="14"/>
                <w:szCs w:val="14"/>
              </w:rPr>
            </w:pPr>
            <w:r>
              <w:rPr>
                <w:rFonts w:ascii="Times New Roman" w:eastAsia="Calibri" w:hAnsi="Times New Roman" w:cs="Times New Roman"/>
                <w:b/>
                <w:bCs/>
                <w:sz w:val="14"/>
                <w:szCs w:val="14"/>
              </w:rPr>
              <w:t>Rozpočtové rezervy</w:t>
            </w:r>
          </w:p>
        </w:tc>
        <w:tc>
          <w:tcPr>
            <w:tcW w:w="1250" w:type="pct"/>
            <w:shd w:val="clear" w:color="auto" w:fill="BFBFBF" w:themeFill="background1" w:themeFillShade="BF"/>
            <w:tcMar>
              <w:top w:w="0" w:type="dxa"/>
              <w:left w:w="70" w:type="dxa"/>
              <w:bottom w:w="0" w:type="dxa"/>
              <w:right w:w="70" w:type="dxa"/>
            </w:tcMar>
            <w:vAlign w:val="center"/>
          </w:tcPr>
          <w:p w:rsidR="00640C5E" w:rsidRPr="000F25A9" w:rsidRDefault="00640C5E" w:rsidP="005C0638">
            <w:pPr>
              <w:jc w:val="right"/>
              <w:rPr>
                <w:rFonts w:ascii="Times New Roman" w:eastAsia="Calibri" w:hAnsi="Times New Roman" w:cs="Times New Roman"/>
                <w:b/>
                <w:bCs/>
                <w:sz w:val="14"/>
                <w:szCs w:val="14"/>
              </w:rPr>
            </w:pPr>
            <w:r w:rsidRPr="000F25A9">
              <w:rPr>
                <w:rFonts w:ascii="Times New Roman" w:eastAsia="Calibri" w:hAnsi="Times New Roman" w:cs="Times New Roman"/>
                <w:b/>
                <w:bCs/>
                <w:sz w:val="14"/>
                <w:szCs w:val="14"/>
              </w:rPr>
              <w:t>196 070 000,00</w:t>
            </w:r>
          </w:p>
        </w:tc>
        <w:tc>
          <w:tcPr>
            <w:tcW w:w="1250" w:type="pct"/>
            <w:shd w:val="clear" w:color="auto" w:fill="BFBFBF" w:themeFill="background1" w:themeFillShade="BF"/>
            <w:tcMar>
              <w:top w:w="0" w:type="dxa"/>
              <w:left w:w="70" w:type="dxa"/>
              <w:bottom w:w="0" w:type="dxa"/>
              <w:right w:w="70" w:type="dxa"/>
            </w:tcMar>
            <w:vAlign w:val="center"/>
          </w:tcPr>
          <w:p w:rsidR="00640C5E" w:rsidRPr="000F25A9" w:rsidRDefault="00640C5E" w:rsidP="005C0638">
            <w:pPr>
              <w:jc w:val="right"/>
              <w:rPr>
                <w:rFonts w:ascii="Times New Roman" w:eastAsia="Calibri" w:hAnsi="Times New Roman" w:cs="Times New Roman"/>
                <w:b/>
                <w:bCs/>
                <w:sz w:val="14"/>
                <w:szCs w:val="14"/>
              </w:rPr>
            </w:pPr>
            <w:r w:rsidRPr="000F25A9">
              <w:rPr>
                <w:rFonts w:ascii="Times New Roman" w:eastAsia="Calibri" w:hAnsi="Times New Roman" w:cs="Times New Roman"/>
                <w:b/>
                <w:bCs/>
                <w:sz w:val="14"/>
                <w:szCs w:val="14"/>
              </w:rPr>
              <w:t xml:space="preserve">86 167 475,73 </w:t>
            </w:r>
          </w:p>
        </w:tc>
        <w:tc>
          <w:tcPr>
            <w:tcW w:w="1250" w:type="pct"/>
            <w:shd w:val="clear" w:color="auto" w:fill="BFBFBF" w:themeFill="background1" w:themeFillShade="BF"/>
            <w:tcMar>
              <w:top w:w="0" w:type="dxa"/>
              <w:left w:w="70" w:type="dxa"/>
              <w:bottom w:w="0" w:type="dxa"/>
              <w:right w:w="70" w:type="dxa"/>
            </w:tcMar>
            <w:vAlign w:val="center"/>
          </w:tcPr>
          <w:p w:rsidR="00640C5E" w:rsidRPr="000F25A9" w:rsidRDefault="00640C5E" w:rsidP="005C0638">
            <w:pPr>
              <w:ind w:left="720"/>
              <w:contextualSpacing/>
              <w:jc w:val="right"/>
              <w:rPr>
                <w:rFonts w:ascii="Times New Roman" w:eastAsia="Calibri" w:hAnsi="Times New Roman" w:cs="Times New Roman"/>
                <w:b/>
                <w:bCs/>
                <w:sz w:val="14"/>
                <w:szCs w:val="14"/>
                <w:lang w:eastAsia="sk-SK"/>
              </w:rPr>
            </w:pPr>
            <w:r w:rsidRPr="000F25A9">
              <w:rPr>
                <w:rFonts w:ascii="Times New Roman" w:eastAsia="Calibri" w:hAnsi="Times New Roman" w:cs="Times New Roman"/>
                <w:b/>
                <w:bCs/>
                <w:sz w:val="14"/>
                <w:szCs w:val="14"/>
                <w:lang w:eastAsia="sk-SK"/>
              </w:rPr>
              <w:t>112 956 287,67</w:t>
            </w:r>
          </w:p>
        </w:tc>
      </w:tr>
      <w:tr w:rsidR="00640C5E" w:rsidRPr="000F25A9" w:rsidTr="005C0638">
        <w:trPr>
          <w:trHeight w:val="283"/>
        </w:trPr>
        <w:tc>
          <w:tcPr>
            <w:tcW w:w="1250" w:type="pct"/>
            <w:tcMar>
              <w:top w:w="0" w:type="dxa"/>
              <w:left w:w="70" w:type="dxa"/>
              <w:bottom w:w="0" w:type="dxa"/>
              <w:right w:w="70" w:type="dxa"/>
            </w:tcMar>
            <w:vAlign w:val="center"/>
            <w:hideMark/>
          </w:tcPr>
          <w:p w:rsidR="00640C5E" w:rsidRPr="000F25A9" w:rsidRDefault="00640C5E" w:rsidP="005C0638">
            <w:pPr>
              <w:rPr>
                <w:rFonts w:ascii="Times New Roman" w:eastAsia="Calibri" w:hAnsi="Times New Roman" w:cs="Times New Roman"/>
                <w:sz w:val="14"/>
                <w:szCs w:val="14"/>
              </w:rPr>
            </w:pPr>
            <w:r w:rsidRPr="000F25A9">
              <w:rPr>
                <w:rFonts w:ascii="Times New Roman" w:eastAsia="Calibri" w:hAnsi="Times New Roman" w:cs="Times New Roman"/>
                <w:sz w:val="14"/>
                <w:szCs w:val="14"/>
              </w:rPr>
              <w:t>Rezerva vlády SR</w:t>
            </w:r>
          </w:p>
        </w:tc>
        <w:tc>
          <w:tcPr>
            <w:tcW w:w="1250" w:type="pct"/>
            <w:tcMar>
              <w:top w:w="0" w:type="dxa"/>
              <w:left w:w="70" w:type="dxa"/>
              <w:bottom w:w="0" w:type="dxa"/>
              <w:right w:w="70" w:type="dxa"/>
            </w:tcMar>
            <w:vAlign w:val="center"/>
            <w:hideMark/>
          </w:tcPr>
          <w:p w:rsidR="00640C5E" w:rsidRPr="000F25A9" w:rsidRDefault="00640C5E" w:rsidP="005C0638">
            <w:pPr>
              <w:jc w:val="right"/>
              <w:rPr>
                <w:rFonts w:ascii="Times New Roman" w:eastAsia="Calibri" w:hAnsi="Times New Roman" w:cs="Times New Roman"/>
                <w:sz w:val="14"/>
                <w:szCs w:val="14"/>
              </w:rPr>
            </w:pPr>
            <w:r w:rsidRPr="000F25A9">
              <w:rPr>
                <w:rFonts w:ascii="Times New Roman" w:eastAsia="Calibri" w:hAnsi="Times New Roman" w:cs="Times New Roman"/>
                <w:sz w:val="14"/>
                <w:szCs w:val="14"/>
              </w:rPr>
              <w:t>5 000 000,00</w:t>
            </w:r>
          </w:p>
        </w:tc>
        <w:tc>
          <w:tcPr>
            <w:tcW w:w="1250" w:type="pct"/>
            <w:tcMar>
              <w:top w:w="0" w:type="dxa"/>
              <w:left w:w="70" w:type="dxa"/>
              <w:bottom w:w="0" w:type="dxa"/>
              <w:right w:w="70" w:type="dxa"/>
            </w:tcMar>
            <w:vAlign w:val="center"/>
            <w:hideMark/>
          </w:tcPr>
          <w:p w:rsidR="00640C5E" w:rsidRPr="000F25A9" w:rsidRDefault="00640C5E" w:rsidP="005C0638">
            <w:pPr>
              <w:jc w:val="right"/>
              <w:rPr>
                <w:rFonts w:ascii="Times New Roman" w:eastAsia="Calibri" w:hAnsi="Times New Roman" w:cs="Times New Roman"/>
                <w:sz w:val="14"/>
                <w:szCs w:val="14"/>
              </w:rPr>
            </w:pPr>
            <w:r w:rsidRPr="000F25A9">
              <w:rPr>
                <w:rFonts w:ascii="Times New Roman" w:eastAsia="Calibri" w:hAnsi="Times New Roman" w:cs="Times New Roman"/>
                <w:sz w:val="14"/>
                <w:szCs w:val="14"/>
              </w:rPr>
              <w:t>1 421 292,00</w:t>
            </w:r>
          </w:p>
        </w:tc>
        <w:tc>
          <w:tcPr>
            <w:tcW w:w="1250" w:type="pct"/>
            <w:tcMar>
              <w:top w:w="0" w:type="dxa"/>
              <w:left w:w="70" w:type="dxa"/>
              <w:bottom w:w="0" w:type="dxa"/>
              <w:right w:w="70" w:type="dxa"/>
            </w:tcMar>
            <w:vAlign w:val="bottom"/>
            <w:hideMark/>
          </w:tcPr>
          <w:p w:rsidR="00640C5E" w:rsidRPr="000F25A9" w:rsidRDefault="00640C5E" w:rsidP="005C0638">
            <w:pPr>
              <w:jc w:val="right"/>
              <w:rPr>
                <w:rFonts w:ascii="Times New Roman" w:eastAsia="Calibri" w:hAnsi="Times New Roman" w:cs="Times New Roman"/>
                <w:sz w:val="14"/>
                <w:szCs w:val="14"/>
              </w:rPr>
            </w:pPr>
            <w:r w:rsidRPr="000F25A9">
              <w:rPr>
                <w:rFonts w:ascii="Times New Roman" w:eastAsia="Calibri" w:hAnsi="Times New Roman" w:cs="Times New Roman"/>
                <w:sz w:val="14"/>
                <w:szCs w:val="14"/>
              </w:rPr>
              <w:t>             3 578 708,00</w:t>
            </w:r>
          </w:p>
        </w:tc>
      </w:tr>
      <w:tr w:rsidR="00640C5E" w:rsidRPr="000F25A9" w:rsidTr="005C0638">
        <w:trPr>
          <w:trHeight w:val="283"/>
        </w:trPr>
        <w:tc>
          <w:tcPr>
            <w:tcW w:w="1250" w:type="pct"/>
            <w:tcMar>
              <w:top w:w="0" w:type="dxa"/>
              <w:left w:w="70" w:type="dxa"/>
              <w:bottom w:w="0" w:type="dxa"/>
              <w:right w:w="70" w:type="dxa"/>
            </w:tcMar>
            <w:vAlign w:val="center"/>
            <w:hideMark/>
          </w:tcPr>
          <w:p w:rsidR="00640C5E" w:rsidRPr="000F25A9" w:rsidRDefault="00640C5E" w:rsidP="005C0638">
            <w:pPr>
              <w:rPr>
                <w:rFonts w:ascii="Times New Roman" w:eastAsia="Calibri" w:hAnsi="Times New Roman" w:cs="Times New Roman"/>
                <w:sz w:val="14"/>
                <w:szCs w:val="14"/>
              </w:rPr>
            </w:pPr>
            <w:r w:rsidRPr="000F25A9">
              <w:rPr>
                <w:rFonts w:ascii="Times New Roman" w:eastAsia="Calibri" w:hAnsi="Times New Roman" w:cs="Times New Roman"/>
                <w:sz w:val="14"/>
                <w:szCs w:val="14"/>
              </w:rPr>
              <w:t>Rezerva predsedu vlády SR</w:t>
            </w:r>
          </w:p>
        </w:tc>
        <w:tc>
          <w:tcPr>
            <w:tcW w:w="1250" w:type="pct"/>
            <w:tcMar>
              <w:top w:w="0" w:type="dxa"/>
              <w:left w:w="70" w:type="dxa"/>
              <w:bottom w:w="0" w:type="dxa"/>
              <w:right w:w="70" w:type="dxa"/>
            </w:tcMar>
            <w:vAlign w:val="center"/>
            <w:hideMark/>
          </w:tcPr>
          <w:p w:rsidR="00640C5E" w:rsidRPr="000F25A9" w:rsidRDefault="00640C5E" w:rsidP="00901C6C">
            <w:pPr>
              <w:jc w:val="right"/>
              <w:rPr>
                <w:rFonts w:ascii="Times New Roman" w:eastAsia="Calibri" w:hAnsi="Times New Roman" w:cs="Times New Roman"/>
                <w:sz w:val="14"/>
                <w:szCs w:val="14"/>
              </w:rPr>
            </w:pPr>
            <w:r w:rsidRPr="000F25A9">
              <w:rPr>
                <w:rFonts w:ascii="Times New Roman" w:eastAsia="Calibri" w:hAnsi="Times New Roman" w:cs="Times New Roman"/>
                <w:sz w:val="14"/>
                <w:szCs w:val="14"/>
              </w:rPr>
              <w:t>1 500 000,00</w:t>
            </w:r>
          </w:p>
        </w:tc>
        <w:tc>
          <w:tcPr>
            <w:tcW w:w="1250" w:type="pct"/>
            <w:tcMar>
              <w:top w:w="0" w:type="dxa"/>
              <w:left w:w="70" w:type="dxa"/>
              <w:bottom w:w="0" w:type="dxa"/>
              <w:right w:w="70" w:type="dxa"/>
            </w:tcMar>
            <w:vAlign w:val="center"/>
            <w:hideMark/>
          </w:tcPr>
          <w:p w:rsidR="00640C5E" w:rsidRPr="000F25A9" w:rsidRDefault="00640C5E" w:rsidP="005C0638">
            <w:pPr>
              <w:jc w:val="right"/>
              <w:rPr>
                <w:rFonts w:ascii="Times New Roman" w:eastAsia="Calibri" w:hAnsi="Times New Roman" w:cs="Times New Roman"/>
                <w:sz w:val="14"/>
                <w:szCs w:val="14"/>
              </w:rPr>
            </w:pPr>
            <w:r w:rsidRPr="000F25A9">
              <w:rPr>
                <w:rFonts w:ascii="Times New Roman" w:eastAsia="Calibri" w:hAnsi="Times New Roman" w:cs="Times New Roman"/>
                <w:sz w:val="14"/>
                <w:szCs w:val="14"/>
              </w:rPr>
              <w:t>1 177 859,96</w:t>
            </w:r>
          </w:p>
        </w:tc>
        <w:tc>
          <w:tcPr>
            <w:tcW w:w="1250" w:type="pct"/>
            <w:tcMar>
              <w:top w:w="0" w:type="dxa"/>
              <w:left w:w="70" w:type="dxa"/>
              <w:bottom w:w="0" w:type="dxa"/>
              <w:right w:w="70" w:type="dxa"/>
            </w:tcMar>
            <w:vAlign w:val="bottom"/>
            <w:hideMark/>
          </w:tcPr>
          <w:p w:rsidR="00640C5E" w:rsidRPr="000F25A9" w:rsidRDefault="00640C5E" w:rsidP="005C0638">
            <w:pPr>
              <w:jc w:val="right"/>
              <w:rPr>
                <w:rFonts w:ascii="Times New Roman" w:eastAsia="Calibri" w:hAnsi="Times New Roman" w:cs="Times New Roman"/>
                <w:sz w:val="14"/>
                <w:szCs w:val="14"/>
              </w:rPr>
            </w:pPr>
            <w:r w:rsidRPr="000F25A9">
              <w:rPr>
                <w:rFonts w:ascii="Times New Roman" w:eastAsia="Calibri" w:hAnsi="Times New Roman" w:cs="Times New Roman"/>
                <w:sz w:val="14"/>
                <w:szCs w:val="14"/>
              </w:rPr>
              <w:t>3 375 903,44</w:t>
            </w:r>
            <w:r w:rsidRPr="00901C6C">
              <w:rPr>
                <w:rFonts w:ascii="Times New Roman" w:eastAsia="Calibri" w:hAnsi="Times New Roman" w:cs="Times New Roman"/>
                <w:sz w:val="14"/>
                <w:szCs w:val="14"/>
              </w:rPr>
              <w:t>*</w:t>
            </w:r>
          </w:p>
        </w:tc>
      </w:tr>
      <w:tr w:rsidR="00640C5E" w:rsidRPr="000F25A9" w:rsidTr="005C0638">
        <w:trPr>
          <w:trHeight w:val="283"/>
        </w:trPr>
        <w:tc>
          <w:tcPr>
            <w:tcW w:w="1250" w:type="pct"/>
            <w:tcMar>
              <w:top w:w="0" w:type="dxa"/>
              <w:left w:w="70" w:type="dxa"/>
              <w:bottom w:w="0" w:type="dxa"/>
              <w:right w:w="70" w:type="dxa"/>
            </w:tcMar>
            <w:vAlign w:val="center"/>
            <w:hideMark/>
          </w:tcPr>
          <w:p w:rsidR="00640C5E" w:rsidRPr="000F25A9" w:rsidRDefault="00640C5E" w:rsidP="005C0638">
            <w:pPr>
              <w:rPr>
                <w:rFonts w:ascii="Times New Roman" w:eastAsia="Calibri" w:hAnsi="Times New Roman" w:cs="Times New Roman"/>
                <w:sz w:val="14"/>
                <w:szCs w:val="14"/>
              </w:rPr>
            </w:pPr>
            <w:r w:rsidRPr="000F25A9">
              <w:rPr>
                <w:rFonts w:ascii="Times New Roman" w:eastAsia="Calibri" w:hAnsi="Times New Roman" w:cs="Times New Roman"/>
                <w:sz w:val="14"/>
                <w:szCs w:val="14"/>
              </w:rPr>
              <w:t>Rezerva na prostriedky EÚ a odvody do EÚ</w:t>
            </w:r>
          </w:p>
        </w:tc>
        <w:tc>
          <w:tcPr>
            <w:tcW w:w="1250" w:type="pct"/>
            <w:tcMar>
              <w:top w:w="0" w:type="dxa"/>
              <w:left w:w="70" w:type="dxa"/>
              <w:bottom w:w="0" w:type="dxa"/>
              <w:right w:w="70" w:type="dxa"/>
            </w:tcMar>
            <w:vAlign w:val="center"/>
            <w:hideMark/>
          </w:tcPr>
          <w:p w:rsidR="00640C5E" w:rsidRPr="000F25A9" w:rsidRDefault="00640C5E" w:rsidP="005C0638">
            <w:pPr>
              <w:jc w:val="right"/>
              <w:rPr>
                <w:rFonts w:ascii="Times New Roman" w:eastAsia="Calibri" w:hAnsi="Times New Roman" w:cs="Times New Roman"/>
                <w:sz w:val="14"/>
                <w:szCs w:val="14"/>
              </w:rPr>
            </w:pPr>
            <w:r w:rsidRPr="000F25A9">
              <w:rPr>
                <w:rFonts w:ascii="Times New Roman" w:eastAsia="Calibri" w:hAnsi="Times New Roman" w:cs="Times New Roman"/>
                <w:sz w:val="14"/>
                <w:szCs w:val="14"/>
              </w:rPr>
              <w:t>189 570 000,00</w:t>
            </w:r>
          </w:p>
        </w:tc>
        <w:tc>
          <w:tcPr>
            <w:tcW w:w="1250" w:type="pct"/>
            <w:tcMar>
              <w:top w:w="0" w:type="dxa"/>
              <w:left w:w="70" w:type="dxa"/>
              <w:bottom w:w="0" w:type="dxa"/>
              <w:right w:w="70" w:type="dxa"/>
            </w:tcMar>
            <w:vAlign w:val="center"/>
            <w:hideMark/>
          </w:tcPr>
          <w:p w:rsidR="00640C5E" w:rsidRPr="000F25A9" w:rsidRDefault="00640C5E" w:rsidP="005C0638">
            <w:pPr>
              <w:jc w:val="right"/>
              <w:rPr>
                <w:rFonts w:ascii="Times New Roman" w:eastAsia="Calibri" w:hAnsi="Times New Roman" w:cs="Times New Roman"/>
                <w:sz w:val="14"/>
                <w:szCs w:val="14"/>
              </w:rPr>
            </w:pPr>
            <w:r w:rsidRPr="000F25A9">
              <w:rPr>
                <w:rFonts w:ascii="Times New Roman" w:eastAsia="Calibri" w:hAnsi="Times New Roman" w:cs="Times New Roman"/>
                <w:sz w:val="14"/>
                <w:szCs w:val="14"/>
              </w:rPr>
              <w:t>83 568 323,77</w:t>
            </w:r>
          </w:p>
        </w:tc>
        <w:tc>
          <w:tcPr>
            <w:tcW w:w="1250" w:type="pct"/>
            <w:tcMar>
              <w:top w:w="0" w:type="dxa"/>
              <w:left w:w="70" w:type="dxa"/>
              <w:bottom w:w="0" w:type="dxa"/>
              <w:right w:w="70" w:type="dxa"/>
            </w:tcMar>
            <w:vAlign w:val="bottom"/>
            <w:hideMark/>
          </w:tcPr>
          <w:p w:rsidR="00640C5E" w:rsidRPr="000F25A9" w:rsidRDefault="00640C5E" w:rsidP="005C0638">
            <w:pPr>
              <w:jc w:val="right"/>
              <w:rPr>
                <w:rFonts w:ascii="Times New Roman" w:eastAsia="Calibri" w:hAnsi="Times New Roman" w:cs="Times New Roman"/>
                <w:sz w:val="14"/>
                <w:szCs w:val="14"/>
              </w:rPr>
            </w:pPr>
            <w:r w:rsidRPr="000F25A9">
              <w:rPr>
                <w:rFonts w:ascii="Times New Roman" w:eastAsia="Calibri" w:hAnsi="Times New Roman" w:cs="Times New Roman"/>
                <w:sz w:val="14"/>
                <w:szCs w:val="14"/>
              </w:rPr>
              <w:t>         106 001 676,23</w:t>
            </w:r>
          </w:p>
        </w:tc>
      </w:tr>
    </w:tbl>
    <w:p w:rsidR="00640C5E" w:rsidRPr="000F25A9" w:rsidRDefault="00640C5E" w:rsidP="00640C5E">
      <w:pPr>
        <w:rPr>
          <w:rFonts w:ascii="Times New Roman" w:hAnsi="Times New Roman"/>
          <w:sz w:val="14"/>
          <w:szCs w:val="14"/>
        </w:rPr>
      </w:pPr>
      <w:r w:rsidRPr="000F25A9">
        <w:rPr>
          <w:rFonts w:ascii="Times New Roman" w:hAnsi="Times New Roman"/>
          <w:sz w:val="14"/>
          <w:szCs w:val="14"/>
        </w:rPr>
        <w:t>* vrátane nevyčerpaného zostatku z roku 2015 a 2016</w:t>
      </w:r>
    </w:p>
    <w:p w:rsidR="00640C5E" w:rsidRDefault="00640C5E" w:rsidP="00640C5E">
      <w:pPr>
        <w:jc w:val="both"/>
        <w:rPr>
          <w:rFonts w:ascii="Times New Roman" w:hAnsi="Times New Roman"/>
          <w:bCs/>
          <w:szCs w:val="18"/>
        </w:rPr>
      </w:pPr>
    </w:p>
    <w:p w:rsidR="00640C5E" w:rsidRPr="00C475F4" w:rsidRDefault="00640C5E" w:rsidP="00640C5E">
      <w:pPr>
        <w:jc w:val="both"/>
        <w:rPr>
          <w:rFonts w:ascii="Times New Roman" w:hAnsi="Times New Roman" w:cs="Times New Roman"/>
          <w:i/>
          <w:u w:val="single"/>
        </w:rPr>
      </w:pPr>
      <w:r w:rsidRPr="00C475F4">
        <w:rPr>
          <w:rFonts w:ascii="Times New Roman" w:hAnsi="Times New Roman" w:cs="Times New Roman"/>
          <w:i/>
          <w:u w:val="single"/>
        </w:rPr>
        <w:t>Rada pre vysielanie a retransmisiu (RVR)</w:t>
      </w:r>
    </w:p>
    <w:p w:rsidR="000736F2" w:rsidRDefault="000736F2" w:rsidP="00640C5E">
      <w:pPr>
        <w:ind w:firstLine="709"/>
        <w:jc w:val="both"/>
        <w:rPr>
          <w:rFonts w:ascii="Times New Roman" w:hAnsi="Times New Roman" w:cs="Times New Roman"/>
        </w:rPr>
      </w:pPr>
    </w:p>
    <w:p w:rsidR="00640C5E" w:rsidRPr="00C475F4" w:rsidRDefault="00640C5E" w:rsidP="00640C5E">
      <w:pPr>
        <w:ind w:firstLine="709"/>
        <w:jc w:val="both"/>
        <w:rPr>
          <w:rFonts w:ascii="Times New Roman" w:hAnsi="Times New Roman" w:cs="Times New Roman"/>
        </w:rPr>
      </w:pPr>
      <w:r w:rsidRPr="00C475F4">
        <w:rPr>
          <w:rFonts w:ascii="Times New Roman" w:hAnsi="Times New Roman" w:cs="Times New Roman"/>
        </w:rPr>
        <w:t xml:space="preserve">Celkové výdavky RVR sú rozpočtované vo výške 1,38 mil. eur. V porovnaní </w:t>
      </w:r>
      <w:r w:rsidRPr="00C475F4">
        <w:rPr>
          <w:rFonts w:ascii="Times New Roman" w:hAnsi="Times New Roman" w:cs="Times New Roman"/>
        </w:rPr>
        <w:br/>
        <w:t xml:space="preserve">so schváleným rozpočtom na rok 2017 dochádza v roku 2018 k nárastu výdavkov </w:t>
      </w:r>
      <w:r w:rsidRPr="00C475F4">
        <w:rPr>
          <w:rFonts w:ascii="Times New Roman" w:hAnsi="Times New Roman" w:cs="Times New Roman"/>
        </w:rPr>
        <w:br/>
        <w:t>o 92,0 tis. eur, t. j. 7,12 %.</w:t>
      </w:r>
    </w:p>
    <w:p w:rsidR="00640C5E" w:rsidRDefault="00640C5E" w:rsidP="00640C5E">
      <w:pPr>
        <w:ind w:firstLine="709"/>
        <w:jc w:val="both"/>
        <w:rPr>
          <w:rFonts w:ascii="Times New Roman" w:hAnsi="Times New Roman" w:cs="Times New Roman"/>
        </w:rPr>
      </w:pPr>
    </w:p>
    <w:p w:rsidR="00640C5E" w:rsidRPr="00C475F4" w:rsidRDefault="00640C5E" w:rsidP="00640C5E">
      <w:pPr>
        <w:ind w:firstLine="709"/>
        <w:jc w:val="both"/>
        <w:rPr>
          <w:rFonts w:ascii="Times New Roman" w:hAnsi="Times New Roman" w:cs="Times New Roman"/>
        </w:rPr>
      </w:pPr>
      <w:r w:rsidRPr="00C475F4">
        <w:rPr>
          <w:rFonts w:ascii="Times New Roman" w:hAnsi="Times New Roman" w:cs="Times New Roman"/>
        </w:rPr>
        <w:t xml:space="preserve">Osobné výdavky sa navrhujú vo výške 836 tis. eur. </w:t>
      </w:r>
      <w:r>
        <w:rPr>
          <w:rFonts w:ascii="Times New Roman" w:hAnsi="Times New Roman" w:cs="Times New Roman"/>
        </w:rPr>
        <w:t>Nárast osobných výdavkov o 83,3 </w:t>
      </w:r>
      <w:r w:rsidRPr="00C475F4">
        <w:rPr>
          <w:rFonts w:ascii="Times New Roman" w:hAnsi="Times New Roman" w:cs="Times New Roman"/>
        </w:rPr>
        <w:t>tis. eur, t. j. 11,1 % je spôsobený zohľadnením valorizácie platov z roku 2017 v sume 27,6 tis. eur a výdavkov na zriadenie medzinárodného sekretariátu pre účely zahraničnej agendy v sume 55,9 tis. eur.</w:t>
      </w:r>
    </w:p>
    <w:p w:rsidR="00640C5E" w:rsidRDefault="00640C5E" w:rsidP="00640C5E">
      <w:pPr>
        <w:ind w:firstLine="709"/>
        <w:jc w:val="both"/>
        <w:rPr>
          <w:rFonts w:ascii="Times New Roman" w:hAnsi="Times New Roman" w:cs="Times New Roman"/>
        </w:rPr>
      </w:pPr>
    </w:p>
    <w:p w:rsidR="00640C5E" w:rsidRPr="00C475F4" w:rsidRDefault="00640C5E" w:rsidP="00640C5E">
      <w:pPr>
        <w:ind w:firstLine="709"/>
        <w:jc w:val="both"/>
        <w:rPr>
          <w:rFonts w:ascii="Times New Roman" w:hAnsi="Times New Roman" w:cs="Times New Roman"/>
        </w:rPr>
      </w:pPr>
      <w:r w:rsidRPr="00C475F4">
        <w:rPr>
          <w:rFonts w:ascii="Times New Roman" w:hAnsi="Times New Roman" w:cs="Times New Roman"/>
        </w:rPr>
        <w:t xml:space="preserve">Výdavky na tovary a služby sa rozpočtujú v sume 537 tis. eur, čo je oproti schválenému rozpočtu na rok 2017 viac o 8,41 tis. eur, t. j. 1,59 %. Medziročnú zmenu ovplyvnilo rozpočtovanie výdavkov na zriadenie medzinárodného sekretariátu </w:t>
      </w:r>
      <w:r w:rsidR="00901C6C">
        <w:rPr>
          <w:rFonts w:ascii="Times New Roman" w:hAnsi="Times New Roman" w:cs="Times New Roman"/>
        </w:rPr>
        <w:t>na</w:t>
      </w:r>
      <w:r w:rsidRPr="00C475F4">
        <w:rPr>
          <w:rFonts w:ascii="Times New Roman" w:hAnsi="Times New Roman" w:cs="Times New Roman"/>
        </w:rPr>
        <w:t xml:space="preserve"> účely zahraničnej agendy. V rámci tovarov a služieb sa rozpočtujú aj odmeny členov RVR, ktoré sa medziročne takmer nemenia. </w:t>
      </w:r>
    </w:p>
    <w:p w:rsidR="00640C5E" w:rsidRDefault="00640C5E" w:rsidP="00640C5E">
      <w:pPr>
        <w:ind w:firstLine="709"/>
        <w:jc w:val="both"/>
        <w:rPr>
          <w:rFonts w:ascii="Times New Roman" w:hAnsi="Times New Roman" w:cs="Times New Roman"/>
        </w:rPr>
      </w:pPr>
    </w:p>
    <w:p w:rsidR="00640C5E" w:rsidRDefault="00640C5E" w:rsidP="00640C5E">
      <w:pPr>
        <w:ind w:firstLine="709"/>
        <w:jc w:val="both"/>
        <w:rPr>
          <w:rFonts w:ascii="Times New Roman" w:hAnsi="Times New Roman" w:cs="Times New Roman"/>
        </w:rPr>
      </w:pPr>
      <w:r w:rsidRPr="00C475F4">
        <w:rPr>
          <w:rFonts w:ascii="Times New Roman" w:hAnsi="Times New Roman" w:cs="Times New Roman"/>
        </w:rPr>
        <w:t xml:space="preserve">Bežné transfery sú rozpočtované v sume 9,22 tis. eur a medziročne sa takmer nemenia.  </w:t>
      </w:r>
    </w:p>
    <w:p w:rsidR="00640C5E" w:rsidRDefault="00640C5E" w:rsidP="00640C5E">
      <w:pPr>
        <w:ind w:firstLine="709"/>
        <w:jc w:val="both"/>
        <w:rPr>
          <w:rFonts w:ascii="Times New Roman" w:hAnsi="Times New Roman" w:cs="Times New Roman"/>
        </w:rPr>
      </w:pPr>
    </w:p>
    <w:p w:rsidR="000736F2" w:rsidRDefault="000736F2" w:rsidP="00640C5E">
      <w:pPr>
        <w:ind w:firstLine="709"/>
        <w:jc w:val="both"/>
        <w:rPr>
          <w:rFonts w:ascii="Times New Roman" w:hAnsi="Times New Roman" w:cs="Times New Roman"/>
        </w:rPr>
      </w:pPr>
    </w:p>
    <w:p w:rsidR="000736F2" w:rsidRDefault="000736F2" w:rsidP="00640C5E">
      <w:pPr>
        <w:ind w:firstLine="709"/>
        <w:jc w:val="both"/>
        <w:rPr>
          <w:rFonts w:ascii="Times New Roman" w:hAnsi="Times New Roman" w:cs="Times New Roman"/>
        </w:rPr>
      </w:pPr>
    </w:p>
    <w:p w:rsidR="000736F2" w:rsidRPr="00C475F4" w:rsidRDefault="000736F2" w:rsidP="00640C5E">
      <w:pPr>
        <w:ind w:firstLine="709"/>
        <w:jc w:val="both"/>
        <w:rPr>
          <w:rFonts w:ascii="Times New Roman" w:hAnsi="Times New Roman" w:cs="Times New Roman"/>
        </w:rPr>
      </w:pPr>
    </w:p>
    <w:p w:rsidR="00640C5E" w:rsidRPr="00C475F4" w:rsidRDefault="00640C5E" w:rsidP="00640C5E">
      <w:pPr>
        <w:jc w:val="both"/>
        <w:rPr>
          <w:rFonts w:ascii="Times New Roman" w:hAnsi="Times New Roman" w:cs="Times New Roman"/>
          <w:i/>
          <w:u w:val="single"/>
        </w:rPr>
      </w:pPr>
      <w:r w:rsidRPr="00C475F4">
        <w:rPr>
          <w:rFonts w:ascii="Times New Roman" w:hAnsi="Times New Roman" w:cs="Times New Roman"/>
          <w:i/>
          <w:u w:val="single"/>
        </w:rPr>
        <w:lastRenderedPageBreak/>
        <w:t>Kancelária verejného ochrancu práv (KVOP)</w:t>
      </w:r>
    </w:p>
    <w:p w:rsidR="00640C5E" w:rsidRDefault="00640C5E" w:rsidP="00640C5E">
      <w:pPr>
        <w:ind w:firstLine="708"/>
        <w:jc w:val="both"/>
        <w:rPr>
          <w:rFonts w:ascii="Times New Roman" w:hAnsi="Times New Roman" w:cs="Times New Roman"/>
        </w:rPr>
      </w:pPr>
    </w:p>
    <w:p w:rsidR="00EB205C" w:rsidRPr="003A4B38" w:rsidRDefault="00EB205C" w:rsidP="00EB205C">
      <w:pPr>
        <w:ind w:firstLine="708"/>
        <w:jc w:val="both"/>
        <w:rPr>
          <w:rFonts w:ascii="Times New Roman" w:hAnsi="Times New Roman" w:cs="Times New Roman"/>
        </w:rPr>
      </w:pPr>
      <w:r w:rsidRPr="003A4B38">
        <w:rPr>
          <w:rFonts w:ascii="Times New Roman" w:hAnsi="Times New Roman" w:cs="Times New Roman"/>
        </w:rPr>
        <w:t xml:space="preserve">Na rok 2018 sa pre organizáciu navrhuje limit výdavkov vo výške 1,54 mil. eur, čo je v porovnaní so schváleným rozpočtom na rok 2017 viac o 296 tis. eur, t. j.  23,9 %. </w:t>
      </w:r>
    </w:p>
    <w:p w:rsidR="00EB205C" w:rsidRPr="003A4B38" w:rsidRDefault="00EB205C" w:rsidP="00EB205C">
      <w:pPr>
        <w:ind w:firstLine="708"/>
        <w:jc w:val="both"/>
        <w:rPr>
          <w:rFonts w:ascii="Times New Roman" w:hAnsi="Times New Roman" w:cs="Times New Roman"/>
        </w:rPr>
      </w:pPr>
    </w:p>
    <w:p w:rsidR="00EB205C" w:rsidRPr="003A4B38" w:rsidRDefault="00EB205C" w:rsidP="00EB205C">
      <w:pPr>
        <w:ind w:firstLine="708"/>
        <w:jc w:val="both"/>
        <w:rPr>
          <w:rFonts w:ascii="Times New Roman" w:hAnsi="Times New Roman" w:cs="Times New Roman"/>
        </w:rPr>
      </w:pPr>
      <w:r w:rsidRPr="003A4B38">
        <w:rPr>
          <w:rFonts w:ascii="Times New Roman" w:hAnsi="Times New Roman" w:cs="Times New Roman"/>
        </w:rPr>
        <w:t xml:space="preserve">Objem osobných výdavkov sa na rok 2018 rozpočtuje v sume 1,11 mil. eur, čo </w:t>
      </w:r>
      <w:r w:rsidRPr="003A4B38">
        <w:rPr>
          <w:rFonts w:ascii="Times New Roman" w:hAnsi="Times New Roman" w:cs="Times New Roman"/>
        </w:rPr>
        <w:br/>
        <w:t xml:space="preserve">v porovnaní so schváleným rozpočtom na rok 2017 predstavuje nárast o 259 tis. eur, t. j. </w:t>
      </w:r>
      <w:r w:rsidRPr="003A4B38">
        <w:rPr>
          <w:rFonts w:ascii="Times New Roman" w:hAnsi="Times New Roman" w:cs="Times New Roman"/>
        </w:rPr>
        <w:br/>
        <w:t xml:space="preserve">30,4 %. Tento nárast je spôsobený premietnutím valorizácie platov z roku 2017 v sume </w:t>
      </w:r>
      <w:r w:rsidR="000736F2">
        <w:rPr>
          <w:rFonts w:ascii="Times New Roman" w:hAnsi="Times New Roman" w:cs="Times New Roman"/>
        </w:rPr>
        <w:br/>
      </w:r>
      <w:r w:rsidRPr="003A4B38">
        <w:rPr>
          <w:rFonts w:ascii="Times New Roman" w:hAnsi="Times New Roman" w:cs="Times New Roman"/>
        </w:rPr>
        <w:t xml:space="preserve">31,3 tis. eur a rozpočtovaním výdavkov na posilnenie efektívnosti ochrany základných práv a slobôd v sume 227 tis. eur. </w:t>
      </w:r>
    </w:p>
    <w:p w:rsidR="00EB205C" w:rsidRPr="003A4B38" w:rsidRDefault="00EB205C" w:rsidP="00EB205C">
      <w:pPr>
        <w:ind w:firstLine="708"/>
        <w:jc w:val="both"/>
        <w:rPr>
          <w:rFonts w:ascii="Times New Roman" w:hAnsi="Times New Roman" w:cs="Times New Roman"/>
        </w:rPr>
      </w:pPr>
    </w:p>
    <w:p w:rsidR="00EB205C" w:rsidRPr="003A4B38" w:rsidRDefault="00EB205C" w:rsidP="00EB205C">
      <w:pPr>
        <w:ind w:firstLine="708"/>
        <w:jc w:val="both"/>
        <w:rPr>
          <w:rFonts w:ascii="Times New Roman" w:hAnsi="Times New Roman" w:cs="Times New Roman"/>
        </w:rPr>
      </w:pPr>
      <w:r w:rsidRPr="003A4B38">
        <w:rPr>
          <w:rFonts w:ascii="Times New Roman" w:hAnsi="Times New Roman" w:cs="Times New Roman"/>
        </w:rPr>
        <w:t>Výdavky na tovary a služby sú na rok 2018 rozpočtované na úrovni 390 tis. eur,</w:t>
      </w:r>
      <w:r w:rsidRPr="003A4B38">
        <w:rPr>
          <w:rFonts w:ascii="Times New Roman" w:hAnsi="Times New Roman" w:cs="Times New Roman"/>
        </w:rPr>
        <w:br/>
        <w:t xml:space="preserve">čo je oproti schválenému rozpočtu na rok 2017 viac o 27,1 tis. eur, t. j. 7,46 %. Medziročnú zmenu ovplyvnilo rozpočtovanie výdavkov v sume 34,2 tis. eur na posilnenie efektívnosti ochrany základných práv a slobôd a rozhodnutie organizácie znížiť výdavky v sume </w:t>
      </w:r>
      <w:r w:rsidR="00A84C7B">
        <w:rPr>
          <w:rFonts w:ascii="Times New Roman" w:hAnsi="Times New Roman" w:cs="Times New Roman"/>
        </w:rPr>
        <w:br/>
      </w:r>
      <w:r w:rsidRPr="003A4B38">
        <w:rPr>
          <w:rFonts w:ascii="Times New Roman" w:hAnsi="Times New Roman" w:cs="Times New Roman"/>
        </w:rPr>
        <w:t xml:space="preserve">7,07 tis. eur v tejto kategórii v prospech kapitálových výdavkov. </w:t>
      </w:r>
    </w:p>
    <w:p w:rsidR="00EB205C" w:rsidRPr="003A4B38" w:rsidRDefault="00EB205C" w:rsidP="00EB205C">
      <w:pPr>
        <w:ind w:firstLine="708"/>
        <w:jc w:val="both"/>
        <w:rPr>
          <w:rFonts w:ascii="Times New Roman" w:hAnsi="Times New Roman" w:cs="Times New Roman"/>
        </w:rPr>
      </w:pPr>
    </w:p>
    <w:p w:rsidR="00EB205C" w:rsidRPr="003A4B38" w:rsidRDefault="00EB205C" w:rsidP="00EB205C">
      <w:pPr>
        <w:ind w:firstLine="708"/>
        <w:jc w:val="both"/>
        <w:rPr>
          <w:rFonts w:ascii="Times New Roman" w:hAnsi="Times New Roman" w:cs="Times New Roman"/>
        </w:rPr>
      </w:pPr>
      <w:r w:rsidRPr="003A4B38">
        <w:rPr>
          <w:rFonts w:ascii="Times New Roman" w:hAnsi="Times New Roman" w:cs="Times New Roman"/>
        </w:rPr>
        <w:t xml:space="preserve">Bežné transfery sa rozpočtujú v sume 17,3 tis. eur, čo je v porovnaní so schváleným rozpočtom na rok 2017 pokles o 2,13 tis. eur, t. j. 11,0 %. Medziročnú zmenu ovplyvnilo rozpočtovanie výdavkov v sume 800 eur na posilnenie efektívnosti ochrany základných práv a slobôd a rozhodnutie organizácie znížiť výdavky v sume 2,93 tis. eur v tejto kategórii v prospech kapitálových výdavkov. </w:t>
      </w:r>
    </w:p>
    <w:p w:rsidR="00EB205C" w:rsidRPr="003A4B38" w:rsidRDefault="00EB205C" w:rsidP="00EB205C">
      <w:pPr>
        <w:jc w:val="both"/>
        <w:rPr>
          <w:rFonts w:ascii="Times New Roman" w:hAnsi="Times New Roman" w:cs="Times New Roman"/>
        </w:rPr>
      </w:pPr>
    </w:p>
    <w:p w:rsidR="00EB205C" w:rsidRPr="003A4B38" w:rsidRDefault="00EB205C" w:rsidP="00EB205C">
      <w:pPr>
        <w:ind w:firstLine="708"/>
        <w:jc w:val="both"/>
        <w:rPr>
          <w:rFonts w:ascii="Times New Roman" w:hAnsi="Times New Roman" w:cs="Times New Roman"/>
        </w:rPr>
      </w:pPr>
      <w:r w:rsidRPr="003A4B38">
        <w:rPr>
          <w:rFonts w:ascii="Times New Roman" w:hAnsi="Times New Roman" w:cs="Times New Roman"/>
        </w:rPr>
        <w:t>Na kapitálové výdavky sa rozpočtuje suma 17</w:t>
      </w:r>
      <w:r>
        <w:rPr>
          <w:rFonts w:ascii="Times New Roman" w:hAnsi="Times New Roman" w:cs="Times New Roman"/>
        </w:rPr>
        <w:t>,0</w:t>
      </w:r>
      <w:r w:rsidRPr="003A4B38">
        <w:rPr>
          <w:rFonts w:ascii="Times New Roman" w:hAnsi="Times New Roman" w:cs="Times New Roman"/>
        </w:rPr>
        <w:t xml:space="preserve"> tis. eur, čo je v porovnaní so schváleným rozpočtom na rok 2017 nárast o 12,0 tis. eur, t. j. 240 %. Medziročnú zmenu ovplyvnilo rozpočtovanie výdavkov v sume 2,00 tis. eur na posilnenie efektívnosti ochrany základných práv a slobôd a rozpočtovanie výdavkov na bezpečnostný projekt a nové webové sídlo. </w:t>
      </w:r>
    </w:p>
    <w:p w:rsidR="00640C5E" w:rsidRPr="000B3C10" w:rsidRDefault="00640C5E" w:rsidP="00640C5E">
      <w:pPr>
        <w:jc w:val="both"/>
        <w:rPr>
          <w:rFonts w:ascii="Times New Roman" w:hAnsi="Times New Roman" w:cs="Times New Roman"/>
        </w:rPr>
      </w:pPr>
    </w:p>
    <w:p w:rsidR="00640C5E" w:rsidRPr="00C475F4" w:rsidRDefault="00640C5E" w:rsidP="00640C5E">
      <w:pPr>
        <w:rPr>
          <w:rFonts w:ascii="Times New Roman" w:hAnsi="Times New Roman" w:cs="Times New Roman"/>
          <w:i/>
          <w:u w:val="single"/>
        </w:rPr>
      </w:pPr>
      <w:r w:rsidRPr="00C475F4">
        <w:rPr>
          <w:rFonts w:ascii="Times New Roman" w:hAnsi="Times New Roman" w:cs="Times New Roman"/>
          <w:i/>
          <w:u w:val="single"/>
        </w:rPr>
        <w:t>Úrad na ochranu osobných údajov SR (ÚOOÚ SR)</w:t>
      </w:r>
    </w:p>
    <w:p w:rsidR="00640C5E" w:rsidRDefault="00640C5E" w:rsidP="00640C5E">
      <w:pPr>
        <w:ind w:firstLine="709"/>
        <w:jc w:val="both"/>
        <w:rPr>
          <w:rFonts w:ascii="Times New Roman" w:hAnsi="Times New Roman" w:cs="Times New Roman"/>
        </w:rPr>
      </w:pPr>
    </w:p>
    <w:p w:rsidR="00640C5E" w:rsidRPr="00C475F4" w:rsidRDefault="00640C5E" w:rsidP="00640C5E">
      <w:pPr>
        <w:ind w:firstLine="709"/>
        <w:jc w:val="both"/>
        <w:rPr>
          <w:rFonts w:ascii="Times New Roman" w:hAnsi="Times New Roman" w:cs="Times New Roman"/>
        </w:rPr>
      </w:pPr>
      <w:r w:rsidRPr="00C475F4">
        <w:rPr>
          <w:rFonts w:ascii="Times New Roman" w:hAnsi="Times New Roman" w:cs="Times New Roman"/>
        </w:rPr>
        <w:t>Na rok 2018 sa pre organizáciu navrhuje limit výdavkov vo výške 1,16 mil. eur, čo je v porovnaní so schváleným rozpočtom na rok 2017 viac o 145 tis. eur, t. j. 14,2 %.</w:t>
      </w:r>
    </w:p>
    <w:p w:rsidR="00640C5E" w:rsidRDefault="00640C5E" w:rsidP="00640C5E">
      <w:pPr>
        <w:ind w:firstLine="709"/>
        <w:jc w:val="both"/>
        <w:rPr>
          <w:rFonts w:ascii="Times New Roman" w:hAnsi="Times New Roman" w:cs="Times New Roman"/>
        </w:rPr>
      </w:pPr>
    </w:p>
    <w:p w:rsidR="00640C5E" w:rsidRPr="00C475F4" w:rsidRDefault="00640C5E" w:rsidP="00640C5E">
      <w:pPr>
        <w:ind w:firstLine="709"/>
        <w:jc w:val="both"/>
        <w:rPr>
          <w:rFonts w:ascii="Times New Roman" w:hAnsi="Times New Roman" w:cs="Times New Roman"/>
        </w:rPr>
      </w:pPr>
      <w:r w:rsidRPr="00C475F4">
        <w:rPr>
          <w:rFonts w:ascii="Times New Roman" w:hAnsi="Times New Roman" w:cs="Times New Roman"/>
        </w:rPr>
        <w:t xml:space="preserve">Objem osobných výdavkov sa na rok 2018 rozpočtuje v sume 911 tis. eur, </w:t>
      </w:r>
      <w:r w:rsidRPr="00C475F4">
        <w:rPr>
          <w:rFonts w:ascii="Times New Roman" w:hAnsi="Times New Roman" w:cs="Times New Roman"/>
        </w:rPr>
        <w:br/>
        <w:t>čo v porovnaní so schváleným rozpočtom na rok 2017 predstavuj</w:t>
      </w:r>
      <w:r>
        <w:rPr>
          <w:rFonts w:ascii="Times New Roman" w:hAnsi="Times New Roman" w:cs="Times New Roman"/>
        </w:rPr>
        <w:t>e nárast o 130 tis. eur, t. j.  16,6 </w:t>
      </w:r>
      <w:r w:rsidRPr="00C475F4">
        <w:rPr>
          <w:rFonts w:ascii="Times New Roman" w:hAnsi="Times New Roman" w:cs="Times New Roman"/>
        </w:rPr>
        <w:t>%. Tento nárast je spôsobený premietnutím valorizácie platov z roku 2017 v sume 32,4 tis. eur, zohľadnením osobných výdavkov pre 15 právnikov v sume 32,0 tis. eur, premietnutím zvýšených výdavkov na stabilizáciu kvalifiko</w:t>
      </w:r>
      <w:r>
        <w:rPr>
          <w:rFonts w:ascii="Times New Roman" w:hAnsi="Times New Roman" w:cs="Times New Roman"/>
        </w:rPr>
        <w:t>vaných zamestnancov v sume 44,5 </w:t>
      </w:r>
      <w:r w:rsidRPr="00C475F4">
        <w:rPr>
          <w:rFonts w:ascii="Times New Roman" w:hAnsi="Times New Roman" w:cs="Times New Roman"/>
        </w:rPr>
        <w:t>tis. eur a zohľadnením osobných výdavkov na nový odbor akreditácie v sume 21,8 tis. eur.</w:t>
      </w:r>
    </w:p>
    <w:p w:rsidR="00640C5E" w:rsidRDefault="00640C5E" w:rsidP="00640C5E">
      <w:pPr>
        <w:ind w:firstLine="709"/>
        <w:jc w:val="both"/>
        <w:rPr>
          <w:rFonts w:ascii="Times New Roman" w:hAnsi="Times New Roman" w:cs="Times New Roman"/>
        </w:rPr>
      </w:pPr>
    </w:p>
    <w:p w:rsidR="00640C5E" w:rsidRPr="00C475F4" w:rsidRDefault="00640C5E" w:rsidP="00640C5E">
      <w:pPr>
        <w:ind w:firstLine="709"/>
        <w:jc w:val="both"/>
        <w:rPr>
          <w:rFonts w:ascii="Times New Roman" w:hAnsi="Times New Roman" w:cs="Times New Roman"/>
        </w:rPr>
      </w:pPr>
      <w:r w:rsidRPr="00C475F4">
        <w:rPr>
          <w:rFonts w:ascii="Times New Roman" w:hAnsi="Times New Roman" w:cs="Times New Roman"/>
        </w:rPr>
        <w:t>Výdavky na tovary a služby sú na rok 2018 rozpočtované na úrovni 248 tis. eur,</w:t>
      </w:r>
      <w:r w:rsidRPr="00C475F4">
        <w:rPr>
          <w:rFonts w:ascii="Times New Roman" w:hAnsi="Times New Roman" w:cs="Times New Roman"/>
        </w:rPr>
        <w:br/>
        <w:t xml:space="preserve">čo je oproti schválenému rozpočtu na rok 2017 viac o 11,2 tis. eur, t. j. 4,72 %. Medziročnú zmenu ovplyvnilo premietnutie zvýšených výdavkov na nájomné a cestovné náhrady.  </w:t>
      </w:r>
    </w:p>
    <w:p w:rsidR="00640C5E" w:rsidRDefault="00640C5E" w:rsidP="00640C5E">
      <w:pPr>
        <w:ind w:firstLine="709"/>
        <w:jc w:val="both"/>
        <w:rPr>
          <w:rFonts w:ascii="Times New Roman" w:hAnsi="Times New Roman" w:cs="Times New Roman"/>
        </w:rPr>
      </w:pPr>
    </w:p>
    <w:p w:rsidR="00640C5E" w:rsidRPr="00C475F4" w:rsidRDefault="00640C5E" w:rsidP="00640C5E">
      <w:pPr>
        <w:ind w:firstLine="709"/>
        <w:jc w:val="both"/>
        <w:rPr>
          <w:rFonts w:ascii="Times New Roman" w:hAnsi="Times New Roman" w:cs="Times New Roman"/>
        </w:rPr>
      </w:pPr>
      <w:r w:rsidRPr="00C475F4">
        <w:rPr>
          <w:rFonts w:ascii="Times New Roman" w:hAnsi="Times New Roman" w:cs="Times New Roman"/>
        </w:rPr>
        <w:t>Výdavky na bežné transfery sú na rok 2018 rozpočtované v sume 5,00 tis. eur,</w:t>
      </w:r>
      <w:r w:rsidRPr="00C475F4">
        <w:rPr>
          <w:rFonts w:ascii="Times New Roman" w:hAnsi="Times New Roman" w:cs="Times New Roman"/>
        </w:rPr>
        <w:br/>
        <w:t>čo je oproti schválenému rozpočtu na rok 2017 viac o 4,00 tis. eur, t. j. 400 %. Medziročnú zmenu ovplyvnilo premietnutie zvýšených výdavkov na nemocenské dávky.</w:t>
      </w:r>
    </w:p>
    <w:p w:rsidR="00640C5E" w:rsidRDefault="00640C5E" w:rsidP="00640C5E">
      <w:pPr>
        <w:ind w:firstLine="709"/>
        <w:jc w:val="both"/>
        <w:rPr>
          <w:rFonts w:ascii="Times New Roman" w:hAnsi="Times New Roman" w:cs="Times New Roman"/>
        </w:rPr>
      </w:pPr>
    </w:p>
    <w:p w:rsidR="00640C5E" w:rsidRDefault="00640C5E" w:rsidP="00640C5E">
      <w:pPr>
        <w:ind w:firstLine="709"/>
        <w:jc w:val="both"/>
        <w:rPr>
          <w:rFonts w:ascii="Times New Roman" w:hAnsi="Times New Roman" w:cs="Times New Roman"/>
        </w:rPr>
      </w:pPr>
      <w:r w:rsidRPr="00C475F4">
        <w:rPr>
          <w:rFonts w:ascii="Times New Roman" w:hAnsi="Times New Roman" w:cs="Times New Roman"/>
        </w:rPr>
        <w:t>Kapitálové výdavky</w:t>
      </w:r>
      <w:r w:rsidRPr="00C475F4">
        <w:rPr>
          <w:rFonts w:ascii="Times New Roman" w:hAnsi="Times New Roman" w:cs="Times New Roman"/>
          <w:b/>
        </w:rPr>
        <w:t xml:space="preserve"> </w:t>
      </w:r>
      <w:r w:rsidRPr="00C475F4">
        <w:rPr>
          <w:rFonts w:ascii="Times New Roman" w:hAnsi="Times New Roman" w:cs="Times New Roman"/>
        </w:rPr>
        <w:t>sa</w:t>
      </w:r>
      <w:r w:rsidRPr="00C475F4">
        <w:rPr>
          <w:rFonts w:ascii="Times New Roman" w:hAnsi="Times New Roman" w:cs="Times New Roman"/>
          <w:b/>
        </w:rPr>
        <w:t xml:space="preserve"> </w:t>
      </w:r>
      <w:r w:rsidRPr="00C475F4">
        <w:rPr>
          <w:rFonts w:ascii="Times New Roman" w:hAnsi="Times New Roman" w:cs="Times New Roman"/>
        </w:rPr>
        <w:t>na rok 2018 nerozpočtujú.</w:t>
      </w:r>
    </w:p>
    <w:p w:rsidR="00640C5E" w:rsidRPr="00C475F4" w:rsidRDefault="00640C5E" w:rsidP="00640C5E">
      <w:pPr>
        <w:ind w:firstLine="709"/>
        <w:jc w:val="both"/>
        <w:rPr>
          <w:rFonts w:ascii="Times New Roman" w:hAnsi="Times New Roman" w:cs="Times New Roman"/>
        </w:rPr>
      </w:pPr>
    </w:p>
    <w:p w:rsidR="00640C5E" w:rsidRPr="00C475F4" w:rsidRDefault="00640C5E" w:rsidP="00640C5E">
      <w:pPr>
        <w:jc w:val="both"/>
        <w:rPr>
          <w:rFonts w:ascii="Times New Roman" w:hAnsi="Times New Roman" w:cs="Times New Roman"/>
          <w:i/>
          <w:u w:val="single"/>
        </w:rPr>
      </w:pPr>
      <w:r w:rsidRPr="00C475F4">
        <w:rPr>
          <w:rFonts w:ascii="Times New Roman" w:hAnsi="Times New Roman" w:cs="Times New Roman"/>
          <w:i/>
          <w:u w:val="single"/>
        </w:rPr>
        <w:lastRenderedPageBreak/>
        <w:t xml:space="preserve">Ústav pamäti národa (ÚPN) </w:t>
      </w:r>
    </w:p>
    <w:p w:rsidR="00640C5E" w:rsidRDefault="00640C5E" w:rsidP="00640C5E">
      <w:pPr>
        <w:ind w:firstLine="708"/>
        <w:jc w:val="both"/>
        <w:rPr>
          <w:rFonts w:ascii="Times New Roman" w:hAnsi="Times New Roman" w:cs="Times New Roman"/>
        </w:rPr>
      </w:pPr>
    </w:p>
    <w:p w:rsidR="00640C5E" w:rsidRDefault="00640C5E" w:rsidP="00640C5E">
      <w:pPr>
        <w:ind w:firstLine="708"/>
        <w:jc w:val="both"/>
        <w:rPr>
          <w:rFonts w:ascii="Times New Roman" w:hAnsi="Times New Roman" w:cs="Times New Roman"/>
        </w:rPr>
      </w:pPr>
      <w:r w:rsidRPr="00C475F4">
        <w:rPr>
          <w:rFonts w:ascii="Times New Roman" w:hAnsi="Times New Roman" w:cs="Times New Roman"/>
        </w:rPr>
        <w:t>Transfer na činnosť verejnoprávnej ustanovizne ÚPN na rok 2018 je rozpočtovaný v sume 1,67 mil. eur,</w:t>
      </w:r>
      <w:r w:rsidRPr="00C475F4">
        <w:rPr>
          <w:rFonts w:ascii="Times New Roman" w:hAnsi="Times New Roman" w:cs="Times New Roman"/>
          <w:b/>
        </w:rPr>
        <w:t xml:space="preserve"> </w:t>
      </w:r>
      <w:r w:rsidRPr="00C475F4">
        <w:rPr>
          <w:rFonts w:ascii="Times New Roman" w:hAnsi="Times New Roman" w:cs="Times New Roman"/>
        </w:rPr>
        <w:t>čo je oproti schválenému rozpočtu na rok 2017 viac o 73,5 tis. eur, t. j. o 4,60 %. Medziročnú zmenu ovplyvnila va</w:t>
      </w:r>
      <w:r>
        <w:rPr>
          <w:rFonts w:ascii="Times New Roman" w:hAnsi="Times New Roman" w:cs="Times New Roman"/>
        </w:rPr>
        <w:t xml:space="preserve">lorizácia platov z roku 2017. </w:t>
      </w:r>
    </w:p>
    <w:p w:rsidR="00640C5E" w:rsidRPr="006E3096" w:rsidRDefault="00640C5E" w:rsidP="00640C5E">
      <w:pPr>
        <w:ind w:firstLine="708"/>
        <w:jc w:val="both"/>
        <w:rPr>
          <w:rFonts w:ascii="Times New Roman" w:hAnsi="Times New Roman" w:cs="Times New Roman"/>
        </w:rPr>
      </w:pPr>
      <w:r>
        <w:rPr>
          <w:rFonts w:ascii="Times New Roman" w:hAnsi="Times New Roman" w:cs="Times New Roman"/>
        </w:rPr>
        <w:t xml:space="preserve"> </w:t>
      </w:r>
    </w:p>
    <w:p w:rsidR="00640C5E" w:rsidRPr="00C475F4" w:rsidRDefault="00640C5E" w:rsidP="00640C5E">
      <w:pPr>
        <w:jc w:val="both"/>
        <w:rPr>
          <w:rFonts w:ascii="Times New Roman" w:hAnsi="Times New Roman" w:cs="Times New Roman"/>
          <w:i/>
          <w:iCs/>
          <w:u w:val="single"/>
        </w:rPr>
      </w:pPr>
      <w:r w:rsidRPr="00C475F4">
        <w:rPr>
          <w:rFonts w:ascii="Times New Roman" w:hAnsi="Times New Roman" w:cs="Times New Roman"/>
          <w:i/>
          <w:iCs/>
          <w:u w:val="single"/>
        </w:rPr>
        <w:t>Slovenské národné stredisko pre ľudské práva (SNSĽP)</w:t>
      </w:r>
    </w:p>
    <w:p w:rsidR="00640C5E" w:rsidRDefault="00640C5E" w:rsidP="00640C5E">
      <w:pPr>
        <w:ind w:firstLine="709"/>
        <w:jc w:val="both"/>
        <w:rPr>
          <w:rFonts w:ascii="Times New Roman" w:hAnsi="Times New Roman" w:cs="Times New Roman"/>
        </w:rPr>
      </w:pPr>
    </w:p>
    <w:p w:rsidR="00640C5E" w:rsidRPr="00C475F4" w:rsidRDefault="00640C5E" w:rsidP="00640C5E">
      <w:pPr>
        <w:ind w:firstLine="709"/>
        <w:jc w:val="both"/>
        <w:rPr>
          <w:rFonts w:ascii="Times New Roman" w:hAnsi="Times New Roman" w:cs="Times New Roman"/>
        </w:rPr>
      </w:pPr>
      <w:r w:rsidRPr="00C475F4">
        <w:rPr>
          <w:rFonts w:ascii="Times New Roman" w:hAnsi="Times New Roman" w:cs="Times New Roman"/>
        </w:rPr>
        <w:t xml:space="preserve">Transfer na činnosť pre nezávislú právnickú osobu </w:t>
      </w:r>
      <w:r>
        <w:rPr>
          <w:rFonts w:ascii="Times New Roman" w:hAnsi="Times New Roman" w:cs="Times New Roman"/>
        </w:rPr>
        <w:t>Slovenské národné stredisko pre </w:t>
      </w:r>
      <w:r w:rsidRPr="00C475F4">
        <w:rPr>
          <w:rFonts w:ascii="Times New Roman" w:hAnsi="Times New Roman" w:cs="Times New Roman"/>
        </w:rPr>
        <w:t>ľudské práva na rok 2018 je vo výške 565 tis. eur, čo je oproti schválenému rozpočtu na rok 2017 viac o 12,1 tis. eur, t. j. o 2,19 %. Medziročnú zmenu ovplyvnila valorizácia platov z roku 2017.</w:t>
      </w:r>
    </w:p>
    <w:p w:rsidR="00640C5E" w:rsidRPr="00C475F4" w:rsidRDefault="00640C5E" w:rsidP="00640C5E">
      <w:pPr>
        <w:ind w:firstLine="708"/>
        <w:jc w:val="both"/>
        <w:rPr>
          <w:rFonts w:ascii="Times New Roman" w:hAnsi="Times New Roman" w:cs="Times New Roman"/>
        </w:rPr>
      </w:pPr>
    </w:p>
    <w:p w:rsidR="00640C5E" w:rsidRPr="00C475F4" w:rsidRDefault="00640C5E" w:rsidP="00640C5E">
      <w:pPr>
        <w:snapToGrid w:val="0"/>
        <w:jc w:val="both"/>
        <w:rPr>
          <w:rFonts w:ascii="Times New Roman" w:hAnsi="Times New Roman" w:cs="Times New Roman"/>
          <w:i/>
          <w:color w:val="000000"/>
          <w:u w:val="single"/>
          <w:lang w:eastAsia="sk-SK"/>
        </w:rPr>
      </w:pPr>
      <w:r w:rsidRPr="00C475F4">
        <w:rPr>
          <w:rFonts w:ascii="Times New Roman" w:hAnsi="Times New Roman" w:cs="Times New Roman"/>
          <w:i/>
          <w:color w:val="000000"/>
          <w:u w:val="single"/>
          <w:lang w:eastAsia="sk-SK"/>
        </w:rPr>
        <w:t xml:space="preserve">Úrad komisára pre deti (ÚKD) </w:t>
      </w:r>
    </w:p>
    <w:p w:rsidR="00640C5E" w:rsidRDefault="00640C5E" w:rsidP="00640C5E">
      <w:pPr>
        <w:ind w:firstLine="709"/>
        <w:jc w:val="both"/>
        <w:rPr>
          <w:rFonts w:ascii="Times New Roman" w:hAnsi="Times New Roman" w:cs="Times New Roman"/>
          <w:color w:val="000000"/>
          <w:lang w:eastAsia="sk-SK"/>
        </w:rPr>
      </w:pPr>
    </w:p>
    <w:p w:rsidR="00640C5E" w:rsidRDefault="00640C5E" w:rsidP="00640C5E">
      <w:pPr>
        <w:ind w:firstLine="709"/>
        <w:jc w:val="both"/>
        <w:rPr>
          <w:rFonts w:ascii="Times New Roman" w:hAnsi="Times New Roman" w:cs="Times New Roman"/>
        </w:rPr>
      </w:pPr>
      <w:r w:rsidRPr="00C475F4">
        <w:rPr>
          <w:rFonts w:ascii="Times New Roman" w:hAnsi="Times New Roman" w:cs="Times New Roman"/>
          <w:color w:val="000000"/>
          <w:lang w:eastAsia="sk-SK"/>
        </w:rPr>
        <w:t>Transfer na činnosť komisára pre deti je na rok 2018</w:t>
      </w:r>
      <w:r>
        <w:rPr>
          <w:rFonts w:ascii="Times New Roman" w:hAnsi="Times New Roman" w:cs="Times New Roman"/>
          <w:color w:val="000000"/>
          <w:lang w:eastAsia="sk-SK"/>
        </w:rPr>
        <w:t xml:space="preserve"> rozpočtovaný vo výške 388 tis. </w:t>
      </w:r>
      <w:r w:rsidRPr="00C475F4">
        <w:rPr>
          <w:rFonts w:ascii="Times New Roman" w:hAnsi="Times New Roman" w:cs="Times New Roman"/>
          <w:color w:val="000000"/>
          <w:lang w:eastAsia="sk-SK"/>
        </w:rPr>
        <w:t xml:space="preserve">eur, </w:t>
      </w:r>
      <w:r w:rsidRPr="00C475F4">
        <w:rPr>
          <w:rFonts w:ascii="Times New Roman" w:hAnsi="Times New Roman" w:cs="Times New Roman"/>
        </w:rPr>
        <w:t xml:space="preserve">čo je v porovnaní so schváleným rozpočtom na rok 2017 viac o 115 tis. eur, t. j.  42,1 %. Medziročnú zmenu ovplyvnila valorizácia platov z roku 2017 v sume 9,42 tis. eur, zvýšenie osobných výdavkov v sume 60,0 tis. eur a výdavkov na činnosť úradu v sume 45,4 tis. eur. </w:t>
      </w:r>
    </w:p>
    <w:p w:rsidR="00640C5E" w:rsidRPr="00C475F4" w:rsidRDefault="00640C5E" w:rsidP="00640C5E">
      <w:pPr>
        <w:ind w:firstLine="709"/>
        <w:jc w:val="both"/>
        <w:rPr>
          <w:rFonts w:ascii="Times New Roman" w:hAnsi="Times New Roman" w:cs="Times New Roman"/>
        </w:rPr>
      </w:pPr>
    </w:p>
    <w:p w:rsidR="00640C5E" w:rsidRPr="00C475F4" w:rsidRDefault="00640C5E" w:rsidP="00640C5E">
      <w:pPr>
        <w:snapToGrid w:val="0"/>
        <w:jc w:val="both"/>
        <w:rPr>
          <w:rFonts w:ascii="Times New Roman" w:hAnsi="Times New Roman" w:cs="Times New Roman"/>
          <w:i/>
          <w:color w:val="000000"/>
          <w:u w:val="single"/>
          <w:lang w:eastAsia="sk-SK"/>
        </w:rPr>
      </w:pPr>
      <w:r w:rsidRPr="00C475F4">
        <w:rPr>
          <w:rFonts w:ascii="Times New Roman" w:hAnsi="Times New Roman" w:cs="Times New Roman"/>
          <w:i/>
          <w:color w:val="000000"/>
          <w:u w:val="single"/>
          <w:lang w:eastAsia="sk-SK"/>
        </w:rPr>
        <w:t>Úrad komisára pre osoby so zdravotným postihnutím (ÚKOZP)</w:t>
      </w:r>
    </w:p>
    <w:p w:rsidR="00640C5E" w:rsidRDefault="00640C5E" w:rsidP="00640C5E">
      <w:pPr>
        <w:ind w:firstLine="709"/>
        <w:jc w:val="both"/>
        <w:rPr>
          <w:rFonts w:ascii="Times New Roman" w:hAnsi="Times New Roman" w:cs="Times New Roman"/>
          <w:color w:val="000000"/>
          <w:lang w:eastAsia="sk-SK"/>
        </w:rPr>
      </w:pPr>
    </w:p>
    <w:p w:rsidR="00640C5E" w:rsidRPr="00C475F4" w:rsidRDefault="00640C5E" w:rsidP="00640C5E">
      <w:pPr>
        <w:ind w:firstLine="709"/>
        <w:jc w:val="both"/>
        <w:rPr>
          <w:rFonts w:ascii="Times New Roman" w:hAnsi="Times New Roman" w:cs="Times New Roman"/>
        </w:rPr>
      </w:pPr>
      <w:r w:rsidRPr="00C475F4">
        <w:rPr>
          <w:rFonts w:ascii="Times New Roman" w:hAnsi="Times New Roman" w:cs="Times New Roman"/>
          <w:color w:val="000000"/>
          <w:lang w:eastAsia="sk-SK"/>
        </w:rPr>
        <w:t xml:space="preserve">Transfer na činnosť komisára pre osoby so zdravotným postihnutím je na rok 2018 rozpočtovaný vo výške 437 tis. eur, </w:t>
      </w:r>
      <w:r w:rsidRPr="00C475F4">
        <w:rPr>
          <w:rFonts w:ascii="Times New Roman" w:hAnsi="Times New Roman" w:cs="Times New Roman"/>
        </w:rPr>
        <w:t xml:space="preserve">čo je v porovnaní so schváleným rozpočtom na rok 2017 viac o 164 tis. eur, t. j.  60,2 %. Medziročnú zmenu ovplyvnila valorizácia platov z roku 2017 v sume 8,98 tis. eur, zvýšenie osobných výdavkov v sume 60,0 tis. eur a výdavkov na činnosť úradu v sume 45,4 tis. eur a rozpočtovanie výdavkov na zriadenie portálu v sume 50,0 tis. eur. </w:t>
      </w:r>
    </w:p>
    <w:p w:rsidR="00640C5E" w:rsidRPr="00C475F4" w:rsidRDefault="00640C5E" w:rsidP="00640C5E">
      <w:pPr>
        <w:ind w:firstLine="709"/>
        <w:jc w:val="both"/>
        <w:rPr>
          <w:rFonts w:ascii="Times New Roman" w:hAnsi="Times New Roman" w:cs="Times New Roman"/>
          <w:bCs/>
        </w:rPr>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A5E8A" w:rsidRDefault="009A5E8A" w:rsidP="009172F5">
      <w:pPr>
        <w:ind w:firstLine="709"/>
        <w:jc w:val="both"/>
      </w:pPr>
    </w:p>
    <w:p w:rsidR="009C536E" w:rsidRPr="001B3C8A" w:rsidRDefault="00672D9A" w:rsidP="00672D9A">
      <w:pPr>
        <w:pStyle w:val="Nadpis1"/>
        <w:spacing w:before="0" w:after="0"/>
        <w:rPr>
          <w:rFonts w:ascii="Times New Roman" w:hAnsi="Times New Roman" w:cs="Times New Roman"/>
          <w:sz w:val="28"/>
          <w:szCs w:val="28"/>
        </w:rPr>
      </w:pPr>
      <w:bookmarkStart w:id="214" w:name="_Toc494463974"/>
      <w:r w:rsidRPr="00DC4235">
        <w:rPr>
          <w:rFonts w:ascii="Times New Roman" w:hAnsi="Times New Roman" w:cs="Times New Roman"/>
          <w:sz w:val="28"/>
          <w:szCs w:val="28"/>
        </w:rPr>
        <w:lastRenderedPageBreak/>
        <w:t xml:space="preserve">5. </w:t>
      </w:r>
      <w:r w:rsidR="009C536E" w:rsidRPr="00DC4235">
        <w:rPr>
          <w:rFonts w:ascii="Times New Roman" w:hAnsi="Times New Roman" w:cs="Times New Roman"/>
          <w:sz w:val="28"/>
          <w:szCs w:val="28"/>
        </w:rPr>
        <w:t>Štátne finančné aktíva</w:t>
      </w:r>
      <w:bookmarkEnd w:id="214"/>
    </w:p>
    <w:p w:rsidR="009A5E8A" w:rsidRDefault="009A5E8A" w:rsidP="009A5E8A">
      <w:pPr>
        <w:ind w:firstLine="708"/>
        <w:jc w:val="both"/>
        <w:rPr>
          <w:rFonts w:ascii="Times New Roman" w:hAnsi="Times New Roman" w:cs="Times New Roman"/>
        </w:rPr>
      </w:pPr>
    </w:p>
    <w:p w:rsidR="009A5E8A" w:rsidRDefault="009A5E8A" w:rsidP="009A5E8A">
      <w:pPr>
        <w:ind w:firstLine="708"/>
        <w:jc w:val="both"/>
        <w:rPr>
          <w:rFonts w:ascii="Times New Roman" w:hAnsi="Times New Roman" w:cs="Times New Roman"/>
        </w:rPr>
      </w:pPr>
      <w:r>
        <w:rPr>
          <w:rFonts w:ascii="Times New Roman" w:hAnsi="Times New Roman" w:cs="Times New Roman"/>
        </w:rPr>
        <w:t xml:space="preserve">Štátne finančné aktíva sú definované zákonom č. 523/2004 Z. z. o rozpočtových pravidlách verejnej správy a o zmene a doplnení niektorých zákonov v znení neskorších predpisov. </w:t>
      </w:r>
    </w:p>
    <w:p w:rsidR="009A5E8A" w:rsidRPr="00BC0BC1" w:rsidRDefault="009A5E8A" w:rsidP="009A5E8A">
      <w:pPr>
        <w:ind w:firstLine="708"/>
        <w:jc w:val="both"/>
        <w:rPr>
          <w:rFonts w:ascii="Times New Roman" w:hAnsi="Times New Roman" w:cs="Times New Roman"/>
          <w:sz w:val="12"/>
          <w:szCs w:val="12"/>
        </w:rPr>
      </w:pPr>
    </w:p>
    <w:tbl>
      <w:tblPr>
        <w:tblW w:w="9161" w:type="dxa"/>
        <w:jc w:val="center"/>
        <w:tblCellMar>
          <w:left w:w="70" w:type="dxa"/>
          <w:right w:w="70" w:type="dxa"/>
        </w:tblCellMar>
        <w:tblLook w:val="04A0" w:firstRow="1" w:lastRow="0" w:firstColumn="1" w:lastColumn="0" w:noHBand="0" w:noVBand="1"/>
      </w:tblPr>
      <w:tblGrid>
        <w:gridCol w:w="3421"/>
        <w:gridCol w:w="820"/>
        <w:gridCol w:w="820"/>
        <w:gridCol w:w="820"/>
        <w:gridCol w:w="820"/>
        <w:gridCol w:w="820"/>
        <w:gridCol w:w="820"/>
        <w:gridCol w:w="820"/>
      </w:tblGrid>
      <w:tr w:rsidR="009A5E8A" w:rsidRPr="00BC2074" w:rsidTr="00BF752B">
        <w:trPr>
          <w:trHeight w:val="409"/>
          <w:jc w:val="center"/>
        </w:trPr>
        <w:tc>
          <w:tcPr>
            <w:tcW w:w="342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A5E8A" w:rsidRPr="00BC2074" w:rsidRDefault="009A5E8A" w:rsidP="00BF752B">
            <w:pPr>
              <w:rPr>
                <w:rFonts w:ascii="Times New Roman" w:hAnsi="Times New Roman" w:cs="Times New Roman"/>
                <w:b/>
                <w:bCs/>
                <w:sz w:val="14"/>
                <w:szCs w:val="14"/>
                <w:lang w:eastAsia="sk-SK"/>
              </w:rPr>
            </w:pPr>
            <w:bookmarkStart w:id="215" w:name="_Toc457904310"/>
            <w:bookmarkStart w:id="216" w:name="_Toc463049707"/>
            <w:r w:rsidRPr="00BC2074">
              <w:rPr>
                <w:rFonts w:ascii="Times New Roman" w:hAnsi="Times New Roman" w:cs="Times New Roman"/>
                <w:b/>
                <w:bCs/>
                <w:sz w:val="14"/>
                <w:szCs w:val="14"/>
                <w:lang w:eastAsia="sk-SK"/>
              </w:rPr>
              <w:t>Rozpočtové operácie ŠFA</w:t>
            </w:r>
            <w:r w:rsidRPr="00BC2074">
              <w:rPr>
                <w:rFonts w:ascii="Times New Roman" w:hAnsi="Times New Roman" w:cs="Times New Roman"/>
                <w:b/>
                <w:bCs/>
                <w:sz w:val="14"/>
                <w:szCs w:val="14"/>
                <w:lang w:eastAsia="sk-SK"/>
              </w:rPr>
              <w:br/>
            </w:r>
            <w:r w:rsidRPr="00BC2074">
              <w:rPr>
                <w:rFonts w:ascii="Times New Roman" w:hAnsi="Times New Roman" w:cs="Times New Roman"/>
                <w:sz w:val="14"/>
                <w:szCs w:val="14"/>
                <w:lang w:eastAsia="sk-SK"/>
              </w:rPr>
              <w:t>(v tis. eur; ESA 2010)</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BC2074" w:rsidRDefault="009A5E8A" w:rsidP="00BF752B">
            <w:pPr>
              <w:jc w:val="center"/>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BC2074" w:rsidRDefault="009A5E8A" w:rsidP="00BF752B">
            <w:pPr>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 xml:space="preserve">2016 </w:t>
            </w:r>
            <w:r w:rsidRPr="00BC2074">
              <w:rPr>
                <w:rFonts w:ascii="Times New Roman" w:hAnsi="Times New Roman" w:cs="Times New Roman"/>
                <w:b/>
                <w:bCs/>
                <w:sz w:val="14"/>
                <w:szCs w:val="14"/>
                <w:lang w:eastAsia="sk-SK"/>
              </w:rPr>
              <w:t>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BC2074" w:rsidRDefault="009A5E8A" w:rsidP="00BF752B">
            <w:pPr>
              <w:jc w:val="center"/>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2017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BC2074" w:rsidRDefault="009A5E8A" w:rsidP="00BF752B">
            <w:pPr>
              <w:jc w:val="center"/>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2017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BC2074" w:rsidRDefault="009A5E8A" w:rsidP="00BF752B">
            <w:pPr>
              <w:jc w:val="center"/>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BC2074" w:rsidRDefault="009A5E8A" w:rsidP="00BF752B">
            <w:pPr>
              <w:jc w:val="center"/>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BC2074" w:rsidRDefault="009A5E8A" w:rsidP="00BF752B">
            <w:pPr>
              <w:jc w:val="center"/>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2020 N</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000000" w:fill="BFBFBF"/>
            <w:noWrap/>
            <w:vAlign w:val="center"/>
            <w:hideMark/>
          </w:tcPr>
          <w:p w:rsidR="009A5E8A" w:rsidRPr="00BC2074" w:rsidRDefault="009A5E8A" w:rsidP="00BF752B">
            <w:pPr>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 xml:space="preserve">1. Príjmy </w:t>
            </w:r>
            <w:r w:rsidRPr="00BC2074">
              <w:rPr>
                <w:rFonts w:ascii="Times New Roman" w:hAnsi="Times New Roman" w:cs="Times New Roman"/>
                <w:sz w:val="14"/>
                <w:szCs w:val="14"/>
                <w:lang w:eastAsia="sk-SK"/>
              </w:rPr>
              <w:t xml:space="preserve">- zvýšenie ŠFA </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1 129 940,6</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283 223,7</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339 604,3</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6960D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36</w:t>
            </w:r>
            <w:r w:rsidR="006960DB">
              <w:rPr>
                <w:rFonts w:ascii="Times New Roman" w:hAnsi="Times New Roman" w:cs="Times New Roman"/>
                <w:b/>
                <w:bCs/>
                <w:sz w:val="14"/>
                <w:szCs w:val="14"/>
                <w:lang w:eastAsia="sk-SK"/>
              </w:rPr>
              <w:t>0</w:t>
            </w:r>
            <w:r w:rsidRPr="00BC2074">
              <w:rPr>
                <w:rFonts w:ascii="Times New Roman" w:hAnsi="Times New Roman" w:cs="Times New Roman"/>
                <w:b/>
                <w:bCs/>
                <w:sz w:val="14"/>
                <w:szCs w:val="14"/>
                <w:lang w:eastAsia="sk-SK"/>
              </w:rPr>
              <w:t xml:space="preserve"> 840,3</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419 994,2</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345 973,8</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6960D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35</w:t>
            </w:r>
            <w:r w:rsidR="006960DB">
              <w:rPr>
                <w:rFonts w:ascii="Times New Roman" w:hAnsi="Times New Roman" w:cs="Times New Roman"/>
                <w:b/>
                <w:bCs/>
                <w:sz w:val="14"/>
                <w:szCs w:val="14"/>
                <w:lang w:eastAsia="sk-SK"/>
              </w:rPr>
              <w:t>9</w:t>
            </w:r>
            <w:r w:rsidRPr="00BC2074">
              <w:rPr>
                <w:rFonts w:ascii="Times New Roman" w:hAnsi="Times New Roman" w:cs="Times New Roman"/>
                <w:b/>
                <w:bCs/>
                <w:sz w:val="14"/>
                <w:szCs w:val="14"/>
                <w:lang w:eastAsia="sk-SK"/>
              </w:rPr>
              <w:t xml:space="preserve"> 299,8</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1.1. dividendy z FNM SR / MH Manažment, a. s.</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8 871,9</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47,3</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17,3</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17,3</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9,8</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9,8</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9,8</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1.2. osobitný odvod vybraných finančných inštitúcií </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110 289,3</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119 772,0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126 692,0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126 022,0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133 646,0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141 552,0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150 663,0</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1.3. osobitný odvod z podnikania v </w:t>
            </w:r>
            <w:proofErr w:type="spellStart"/>
            <w:r w:rsidRPr="00BC2074">
              <w:rPr>
                <w:rFonts w:ascii="Times New Roman" w:hAnsi="Times New Roman" w:cs="Times New Roman"/>
                <w:sz w:val="14"/>
                <w:szCs w:val="14"/>
                <w:lang w:eastAsia="sk-SK"/>
              </w:rPr>
              <w:t>regulov</w:t>
            </w:r>
            <w:proofErr w:type="spellEnd"/>
            <w:r w:rsidRPr="00BC2074">
              <w:rPr>
                <w:rFonts w:ascii="Times New Roman" w:hAnsi="Times New Roman" w:cs="Times New Roman"/>
                <w:sz w:val="14"/>
                <w:szCs w:val="14"/>
                <w:lang w:eastAsia="sk-SK"/>
              </w:rPr>
              <w:t>. odvetviach</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93 392,6</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123 242,0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211 600,0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170 786,0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175 653,0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136 245,0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140 275,0</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1.4. príjmy zo splátok úver. a </w:t>
            </w:r>
            <w:proofErr w:type="spellStart"/>
            <w:r w:rsidRPr="00BC2074">
              <w:rPr>
                <w:rFonts w:ascii="Times New Roman" w:hAnsi="Times New Roman" w:cs="Times New Roman"/>
                <w:sz w:val="14"/>
                <w:szCs w:val="14"/>
                <w:lang w:eastAsia="sk-SK"/>
              </w:rPr>
              <w:t>pôžič</w:t>
            </w:r>
            <w:proofErr w:type="spellEnd"/>
            <w:r w:rsidRPr="00BC2074">
              <w:rPr>
                <w:rFonts w:ascii="Times New Roman" w:hAnsi="Times New Roman" w:cs="Times New Roman"/>
                <w:sz w:val="14"/>
                <w:szCs w:val="14"/>
                <w:lang w:eastAsia="sk-SK"/>
              </w:rPr>
              <w:t>. - NFV (FO)</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167,2</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9 160,8</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1 295,0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6960D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6</w:t>
            </w:r>
            <w:r w:rsidR="006960DB">
              <w:rPr>
                <w:rFonts w:ascii="Times New Roman" w:hAnsi="Times New Roman" w:cs="Times New Roman"/>
                <w:sz w:val="14"/>
                <w:szCs w:val="14"/>
                <w:lang w:eastAsia="sk-SK"/>
              </w:rPr>
              <w:t>4</w:t>
            </w:r>
            <w:r w:rsidRPr="00BC2074">
              <w:rPr>
                <w:rFonts w:ascii="Times New Roman" w:hAnsi="Times New Roman" w:cs="Times New Roman"/>
                <w:sz w:val="14"/>
                <w:szCs w:val="14"/>
                <w:lang w:eastAsia="sk-SK"/>
              </w:rPr>
              <w:t xml:space="preserve"> 015,0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79 653,0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68 167,0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6960D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6</w:t>
            </w:r>
            <w:r w:rsidR="006960DB">
              <w:rPr>
                <w:rFonts w:ascii="Times New Roman" w:hAnsi="Times New Roman" w:cs="Times New Roman"/>
                <w:sz w:val="14"/>
                <w:szCs w:val="14"/>
                <w:lang w:eastAsia="sk-SK"/>
              </w:rPr>
              <w:t>8</w:t>
            </w:r>
            <w:r w:rsidRPr="00BC2074">
              <w:rPr>
                <w:rFonts w:ascii="Times New Roman" w:hAnsi="Times New Roman" w:cs="Times New Roman"/>
                <w:sz w:val="14"/>
                <w:szCs w:val="14"/>
                <w:lang w:eastAsia="sk-SK"/>
              </w:rPr>
              <w:t xml:space="preserve"> 352,0</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1.5.  príjem z predaja </w:t>
            </w:r>
            <w:proofErr w:type="spellStart"/>
            <w:r w:rsidRPr="00BC2074">
              <w:rPr>
                <w:rFonts w:ascii="Times New Roman" w:hAnsi="Times New Roman" w:cs="Times New Roman"/>
                <w:sz w:val="14"/>
                <w:szCs w:val="14"/>
                <w:lang w:eastAsia="sk-SK"/>
              </w:rPr>
              <w:t>ubyt</w:t>
            </w:r>
            <w:proofErr w:type="spellEnd"/>
            <w:r w:rsidRPr="00BC2074">
              <w:rPr>
                <w:rFonts w:ascii="Times New Roman" w:hAnsi="Times New Roman" w:cs="Times New Roman"/>
                <w:sz w:val="14"/>
                <w:szCs w:val="14"/>
                <w:lang w:eastAsia="sk-SK"/>
              </w:rPr>
              <w:t xml:space="preserve">. kapacít </w:t>
            </w:r>
            <w:proofErr w:type="spellStart"/>
            <w:r w:rsidRPr="00BC2074">
              <w:rPr>
                <w:rFonts w:ascii="Times New Roman" w:hAnsi="Times New Roman" w:cs="Times New Roman"/>
                <w:sz w:val="14"/>
                <w:szCs w:val="14"/>
                <w:lang w:eastAsia="sk-SK"/>
              </w:rPr>
              <w:t>zahr</w:t>
            </w:r>
            <w:proofErr w:type="spellEnd"/>
            <w:r w:rsidRPr="00BC2074">
              <w:rPr>
                <w:rFonts w:ascii="Times New Roman" w:hAnsi="Times New Roman" w:cs="Times New Roman"/>
                <w:sz w:val="14"/>
                <w:szCs w:val="14"/>
                <w:lang w:eastAsia="sk-SK"/>
              </w:rPr>
              <w:t>. investorov</w:t>
            </w:r>
            <w:r w:rsidRPr="00BC2074">
              <w:rPr>
                <w:rFonts w:ascii="Times New Roman" w:hAnsi="Times New Roman" w:cs="Times New Roman"/>
                <w:sz w:val="14"/>
                <w:szCs w:val="14"/>
                <w:lang w:eastAsia="sk-SK"/>
              </w:rPr>
              <w:br/>
              <w:t xml:space="preserve">        Čierna voda - Kia/Hyundai - MH SR (FO)</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31 032,4</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1.6. NFV ŽS Cargo Slovakia, a. s. (FO)</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117 219,6</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1.7. predaj aktív štátu (KT)</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800 000,0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1.8. splátka NFV MH </w:t>
            </w:r>
            <w:proofErr w:type="spellStart"/>
            <w:r w:rsidRPr="00BC2074">
              <w:rPr>
                <w:rFonts w:ascii="Times New Roman" w:hAnsi="Times New Roman" w:cs="Times New Roman"/>
                <w:sz w:val="14"/>
                <w:szCs w:val="14"/>
                <w:lang w:eastAsia="sk-SK"/>
              </w:rPr>
              <w:t>Invest</w:t>
            </w:r>
            <w:proofErr w:type="spellEnd"/>
            <w:r w:rsidRPr="00BC2074">
              <w:rPr>
                <w:rFonts w:ascii="Times New Roman" w:hAnsi="Times New Roman" w:cs="Times New Roman"/>
                <w:sz w:val="14"/>
                <w:szCs w:val="14"/>
                <w:lang w:eastAsia="sk-SK"/>
              </w:rPr>
              <w:t xml:space="preserve"> II. - Veľká Ida (KT)</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2 454,3</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1.9. vklad do ZI MH </w:t>
            </w:r>
            <w:proofErr w:type="spellStart"/>
            <w:r w:rsidRPr="00BC2074">
              <w:rPr>
                <w:rFonts w:ascii="Times New Roman" w:hAnsi="Times New Roman" w:cs="Times New Roman"/>
                <w:sz w:val="14"/>
                <w:szCs w:val="14"/>
                <w:lang w:eastAsia="sk-SK"/>
              </w:rPr>
              <w:t>Invest</w:t>
            </w:r>
            <w:proofErr w:type="spellEnd"/>
            <w:r w:rsidRPr="00BC2074">
              <w:rPr>
                <w:rFonts w:ascii="Times New Roman" w:hAnsi="Times New Roman" w:cs="Times New Roman"/>
                <w:sz w:val="14"/>
                <w:szCs w:val="14"/>
                <w:lang w:eastAsia="sk-SK"/>
              </w:rPr>
              <w:t xml:space="preserve"> II. - priemyselný park Nitra -</w:t>
            </w:r>
            <w:r w:rsidRPr="00BC2074">
              <w:rPr>
                <w:rFonts w:ascii="Times New Roman" w:hAnsi="Times New Roman" w:cs="Times New Roman"/>
                <w:sz w:val="14"/>
                <w:szCs w:val="14"/>
                <w:lang w:eastAsia="sk-SK"/>
              </w:rPr>
              <w:br/>
              <w:t xml:space="preserve">       vrátenie (KT)</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2 602,3</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1.10. prevod peň. </w:t>
            </w:r>
            <w:proofErr w:type="spellStart"/>
            <w:r w:rsidRPr="00BC2074">
              <w:rPr>
                <w:rFonts w:ascii="Times New Roman" w:hAnsi="Times New Roman" w:cs="Times New Roman"/>
                <w:sz w:val="14"/>
                <w:szCs w:val="14"/>
                <w:lang w:eastAsia="sk-SK"/>
              </w:rPr>
              <w:t>prostr</w:t>
            </w:r>
            <w:proofErr w:type="spellEnd"/>
            <w:r w:rsidRPr="00BC2074">
              <w:rPr>
                <w:rFonts w:ascii="Times New Roman" w:hAnsi="Times New Roman" w:cs="Times New Roman"/>
                <w:sz w:val="14"/>
                <w:szCs w:val="14"/>
                <w:lang w:eastAsia="sk-SK"/>
              </w:rPr>
              <w:t xml:space="preserve">. zo </w:t>
            </w:r>
            <w:proofErr w:type="spellStart"/>
            <w:r w:rsidRPr="00BC2074">
              <w:rPr>
                <w:rFonts w:ascii="Times New Roman" w:hAnsi="Times New Roman" w:cs="Times New Roman"/>
                <w:sz w:val="14"/>
                <w:szCs w:val="14"/>
                <w:lang w:eastAsia="sk-SK"/>
              </w:rPr>
              <w:t>zost</w:t>
            </w:r>
            <w:proofErr w:type="spellEnd"/>
            <w:r w:rsidRPr="00BC2074">
              <w:rPr>
                <w:rFonts w:ascii="Times New Roman" w:hAnsi="Times New Roman" w:cs="Times New Roman"/>
                <w:sz w:val="14"/>
                <w:szCs w:val="14"/>
                <w:lang w:eastAsia="sk-SK"/>
              </w:rPr>
              <w:t xml:space="preserve">. zruš. </w:t>
            </w:r>
            <w:proofErr w:type="spellStart"/>
            <w:r w:rsidRPr="00BC2074">
              <w:rPr>
                <w:rFonts w:ascii="Times New Roman" w:hAnsi="Times New Roman" w:cs="Times New Roman"/>
                <w:sz w:val="14"/>
                <w:szCs w:val="14"/>
                <w:lang w:eastAsia="sk-SK"/>
              </w:rPr>
              <w:t>vkl</w:t>
            </w:r>
            <w:proofErr w:type="spellEnd"/>
            <w:r w:rsidRPr="00BC2074">
              <w:rPr>
                <w:rFonts w:ascii="Times New Roman" w:hAnsi="Times New Roman" w:cs="Times New Roman"/>
                <w:sz w:val="14"/>
                <w:szCs w:val="14"/>
                <w:lang w:eastAsia="sk-SK"/>
              </w:rPr>
              <w:t xml:space="preserve">. na doruč. </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25 945,0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000000" w:fill="BFBFBF"/>
            <w:noWrap/>
            <w:vAlign w:val="center"/>
            <w:hideMark/>
          </w:tcPr>
          <w:p w:rsidR="009A5E8A" w:rsidRPr="00BC2074" w:rsidRDefault="009A5E8A" w:rsidP="00BF752B">
            <w:pPr>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 Výdavky</w:t>
            </w:r>
            <w:r w:rsidRPr="00BC2074">
              <w:rPr>
                <w:rFonts w:ascii="Times New Roman" w:hAnsi="Times New Roman" w:cs="Times New Roman"/>
                <w:sz w:val="14"/>
                <w:szCs w:val="14"/>
                <w:lang w:eastAsia="sk-SK"/>
              </w:rPr>
              <w:t xml:space="preserve"> - zníženie ŠFA </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204 190,1</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384 868,8</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137 133,2</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143 620,7</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87 082,8</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46 880,8</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11 599,8</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2.1. prevod </w:t>
            </w:r>
            <w:proofErr w:type="spellStart"/>
            <w:r w:rsidRPr="00BC2074">
              <w:rPr>
                <w:rFonts w:ascii="Times New Roman" w:hAnsi="Times New Roman" w:cs="Times New Roman"/>
                <w:sz w:val="14"/>
                <w:szCs w:val="14"/>
                <w:lang w:eastAsia="sk-SK"/>
              </w:rPr>
              <w:t>prostr</w:t>
            </w:r>
            <w:proofErr w:type="spellEnd"/>
            <w:r w:rsidRPr="00BC2074">
              <w:rPr>
                <w:rFonts w:ascii="Times New Roman" w:hAnsi="Times New Roman" w:cs="Times New Roman"/>
                <w:sz w:val="14"/>
                <w:szCs w:val="14"/>
                <w:lang w:eastAsia="sk-SK"/>
              </w:rPr>
              <w:t>. z dividend v zmysle bodu 1.1. do ŠR</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8 871,9</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47,3</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17,3</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17,3</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9,8</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9,8</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9,8</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2.2. </w:t>
            </w:r>
            <w:proofErr w:type="spellStart"/>
            <w:r w:rsidRPr="00BC2074">
              <w:rPr>
                <w:rFonts w:ascii="Times New Roman" w:hAnsi="Times New Roman" w:cs="Times New Roman"/>
                <w:sz w:val="14"/>
                <w:szCs w:val="14"/>
                <w:lang w:eastAsia="sk-SK"/>
              </w:rPr>
              <w:t>poskyt</w:t>
            </w:r>
            <w:proofErr w:type="spellEnd"/>
            <w:r w:rsidRPr="00BC2074">
              <w:rPr>
                <w:rFonts w:ascii="Times New Roman" w:hAnsi="Times New Roman" w:cs="Times New Roman"/>
                <w:sz w:val="14"/>
                <w:szCs w:val="14"/>
                <w:lang w:eastAsia="sk-SK"/>
              </w:rPr>
              <w:t xml:space="preserve">. úver. a </w:t>
            </w:r>
            <w:proofErr w:type="spellStart"/>
            <w:r w:rsidRPr="00BC2074">
              <w:rPr>
                <w:rFonts w:ascii="Times New Roman" w:hAnsi="Times New Roman" w:cs="Times New Roman"/>
                <w:sz w:val="14"/>
                <w:szCs w:val="14"/>
                <w:lang w:eastAsia="sk-SK"/>
              </w:rPr>
              <w:t>pôž</w:t>
            </w:r>
            <w:proofErr w:type="spellEnd"/>
            <w:r w:rsidRPr="00BC2074">
              <w:rPr>
                <w:rFonts w:ascii="Times New Roman" w:hAnsi="Times New Roman" w:cs="Times New Roman"/>
                <w:sz w:val="14"/>
                <w:szCs w:val="14"/>
                <w:lang w:eastAsia="sk-SK"/>
              </w:rPr>
              <w:t xml:space="preserve">., účasť v </w:t>
            </w:r>
            <w:proofErr w:type="spellStart"/>
            <w:r w:rsidRPr="00BC2074">
              <w:rPr>
                <w:rFonts w:ascii="Times New Roman" w:hAnsi="Times New Roman" w:cs="Times New Roman"/>
                <w:sz w:val="14"/>
                <w:szCs w:val="14"/>
                <w:lang w:eastAsia="sk-SK"/>
              </w:rPr>
              <w:t>medzin</w:t>
            </w:r>
            <w:proofErr w:type="spellEnd"/>
            <w:r w:rsidRPr="00BC2074">
              <w:rPr>
                <w:rFonts w:ascii="Times New Roman" w:hAnsi="Times New Roman" w:cs="Times New Roman"/>
                <w:sz w:val="14"/>
                <w:szCs w:val="14"/>
                <w:lang w:eastAsia="sk-SK"/>
              </w:rPr>
              <w:t>. organizáciách</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14 648,8</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1 080,0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1 080,0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24 080,0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31 090,0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7 600,0</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i/>
                <w:iCs/>
                <w:color w:val="000000"/>
                <w:sz w:val="14"/>
                <w:szCs w:val="14"/>
                <w:lang w:eastAsia="sk-SK"/>
              </w:rPr>
            </w:pPr>
            <w:r w:rsidRPr="00BC2074">
              <w:rPr>
                <w:rFonts w:ascii="Times New Roman" w:hAnsi="Times New Roman" w:cs="Times New Roman"/>
                <w:i/>
                <w:iCs/>
                <w:color w:val="000000"/>
                <w:sz w:val="14"/>
                <w:szCs w:val="14"/>
                <w:lang w:eastAsia="sk-SK"/>
              </w:rPr>
              <w:t>2.2.1. doplnenie zdrojov IDA a príspevok k financovaniu</w:t>
            </w:r>
            <w:r w:rsidRPr="00BC2074">
              <w:rPr>
                <w:rFonts w:ascii="Times New Roman" w:hAnsi="Times New Roman" w:cs="Times New Roman"/>
                <w:i/>
                <w:iCs/>
                <w:color w:val="000000"/>
                <w:sz w:val="14"/>
                <w:szCs w:val="14"/>
                <w:lang w:eastAsia="sk-SK"/>
              </w:rPr>
              <w:br/>
              <w:t xml:space="preserve">          MDRI (KT)</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i/>
                <w:iCs/>
                <w:sz w:val="14"/>
                <w:szCs w:val="14"/>
                <w:lang w:eastAsia="sk-SK"/>
              </w:rPr>
            </w:pPr>
            <w:r w:rsidRPr="00BC2074">
              <w:rPr>
                <w:rFonts w:ascii="Times New Roman" w:hAnsi="Times New Roman" w:cs="Times New Roman"/>
                <w:i/>
                <w:iCs/>
                <w:sz w:val="14"/>
                <w:szCs w:val="14"/>
                <w:lang w:eastAsia="sk-SK"/>
              </w:rPr>
              <w:t>2 540,0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i/>
                <w:iCs/>
                <w:sz w:val="14"/>
                <w:szCs w:val="14"/>
                <w:lang w:eastAsia="sk-SK"/>
              </w:rPr>
            </w:pPr>
            <w:r w:rsidRPr="00BC2074">
              <w:rPr>
                <w:rFonts w:ascii="Times New Roman" w:hAnsi="Times New Roman" w:cs="Times New Roman"/>
                <w:i/>
                <w:iCs/>
                <w:sz w:val="14"/>
                <w:szCs w:val="14"/>
                <w:lang w:eastAsia="sk-SK"/>
              </w:rPr>
              <w:t>80,0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i/>
                <w:iCs/>
                <w:sz w:val="14"/>
                <w:szCs w:val="14"/>
                <w:lang w:eastAsia="sk-SK"/>
              </w:rPr>
            </w:pPr>
            <w:r w:rsidRPr="00BC2074">
              <w:rPr>
                <w:rFonts w:ascii="Times New Roman" w:hAnsi="Times New Roman" w:cs="Times New Roman"/>
                <w:i/>
                <w:iCs/>
                <w:sz w:val="14"/>
                <w:szCs w:val="14"/>
                <w:lang w:eastAsia="sk-SK"/>
              </w:rPr>
              <w:t>80,0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i/>
                <w:iCs/>
                <w:sz w:val="14"/>
                <w:szCs w:val="14"/>
                <w:lang w:eastAsia="sk-SK"/>
              </w:rPr>
            </w:pPr>
            <w:r w:rsidRPr="00BC2074">
              <w:rPr>
                <w:rFonts w:ascii="Times New Roman" w:hAnsi="Times New Roman" w:cs="Times New Roman"/>
                <w:i/>
                <w:iCs/>
                <w:sz w:val="14"/>
                <w:szCs w:val="14"/>
                <w:lang w:eastAsia="sk-SK"/>
              </w:rPr>
              <w:t>80,0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i/>
                <w:iCs/>
                <w:sz w:val="14"/>
                <w:szCs w:val="14"/>
                <w:lang w:eastAsia="sk-SK"/>
              </w:rPr>
            </w:pPr>
            <w:r w:rsidRPr="00BC2074">
              <w:rPr>
                <w:rFonts w:ascii="Times New Roman" w:hAnsi="Times New Roman" w:cs="Times New Roman"/>
                <w:i/>
                <w:iCs/>
                <w:sz w:val="14"/>
                <w:szCs w:val="14"/>
                <w:lang w:eastAsia="sk-SK"/>
              </w:rPr>
              <w:t>3 080,0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i/>
                <w:iCs/>
                <w:sz w:val="14"/>
                <w:szCs w:val="14"/>
                <w:lang w:eastAsia="sk-SK"/>
              </w:rPr>
            </w:pPr>
            <w:r w:rsidRPr="00BC2074">
              <w:rPr>
                <w:rFonts w:ascii="Times New Roman" w:hAnsi="Times New Roman" w:cs="Times New Roman"/>
                <w:i/>
                <w:iCs/>
                <w:sz w:val="14"/>
                <w:szCs w:val="14"/>
                <w:lang w:eastAsia="sk-SK"/>
              </w:rPr>
              <w:t>90,0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i/>
                <w:iCs/>
                <w:sz w:val="14"/>
                <w:szCs w:val="14"/>
                <w:lang w:eastAsia="sk-SK"/>
              </w:rPr>
            </w:pPr>
            <w:r w:rsidRPr="00BC2074">
              <w:rPr>
                <w:rFonts w:ascii="Times New Roman" w:hAnsi="Times New Roman" w:cs="Times New Roman"/>
                <w:i/>
                <w:iCs/>
                <w:sz w:val="14"/>
                <w:szCs w:val="14"/>
                <w:lang w:eastAsia="sk-SK"/>
              </w:rPr>
              <w:t>100,0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i/>
                <w:iCs/>
                <w:color w:val="000000"/>
                <w:sz w:val="14"/>
                <w:szCs w:val="14"/>
                <w:lang w:eastAsia="sk-SK"/>
              </w:rPr>
            </w:pPr>
            <w:r w:rsidRPr="00BC2074">
              <w:rPr>
                <w:rFonts w:ascii="Times New Roman" w:hAnsi="Times New Roman" w:cs="Times New Roman"/>
                <w:i/>
                <w:iCs/>
                <w:color w:val="000000"/>
                <w:sz w:val="14"/>
                <w:szCs w:val="14"/>
                <w:lang w:eastAsia="sk-SK"/>
              </w:rPr>
              <w:t>2.2.2. ostatné (FO)</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i/>
                <w:iCs/>
                <w:sz w:val="14"/>
                <w:szCs w:val="14"/>
                <w:lang w:eastAsia="sk-SK"/>
              </w:rPr>
            </w:pPr>
            <w:r w:rsidRPr="00BC2074">
              <w:rPr>
                <w:rFonts w:ascii="Times New Roman" w:hAnsi="Times New Roman" w:cs="Times New Roman"/>
                <w:i/>
                <w:iCs/>
                <w:sz w:val="14"/>
                <w:szCs w:val="14"/>
                <w:lang w:eastAsia="sk-SK"/>
              </w:rPr>
              <w:t>12 108,8</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i/>
                <w:iCs/>
                <w:sz w:val="14"/>
                <w:szCs w:val="14"/>
                <w:lang w:eastAsia="sk-SK"/>
              </w:rPr>
            </w:pPr>
            <w:r w:rsidRPr="00BC2074">
              <w:rPr>
                <w:rFonts w:ascii="Times New Roman" w:hAnsi="Times New Roman" w:cs="Times New Roman"/>
                <w:i/>
                <w:iCs/>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i/>
                <w:iCs/>
                <w:sz w:val="14"/>
                <w:szCs w:val="14"/>
                <w:lang w:eastAsia="sk-SK"/>
              </w:rPr>
            </w:pPr>
            <w:r w:rsidRPr="00BC2074">
              <w:rPr>
                <w:rFonts w:ascii="Times New Roman" w:hAnsi="Times New Roman" w:cs="Times New Roman"/>
                <w:i/>
                <w:iCs/>
                <w:sz w:val="14"/>
                <w:szCs w:val="14"/>
                <w:lang w:eastAsia="sk-SK"/>
              </w:rPr>
              <w:t>1 000,0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i/>
                <w:iCs/>
                <w:sz w:val="14"/>
                <w:szCs w:val="14"/>
                <w:lang w:eastAsia="sk-SK"/>
              </w:rPr>
            </w:pPr>
            <w:r w:rsidRPr="00BC2074">
              <w:rPr>
                <w:rFonts w:ascii="Times New Roman" w:hAnsi="Times New Roman" w:cs="Times New Roman"/>
                <w:i/>
                <w:iCs/>
                <w:sz w:val="14"/>
                <w:szCs w:val="14"/>
                <w:lang w:eastAsia="sk-SK"/>
              </w:rPr>
              <w:t>1 000,0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i/>
                <w:iCs/>
                <w:sz w:val="14"/>
                <w:szCs w:val="14"/>
                <w:lang w:eastAsia="sk-SK"/>
              </w:rPr>
            </w:pPr>
            <w:r w:rsidRPr="00BC2074">
              <w:rPr>
                <w:rFonts w:ascii="Times New Roman" w:hAnsi="Times New Roman" w:cs="Times New Roman"/>
                <w:i/>
                <w:iCs/>
                <w:sz w:val="14"/>
                <w:szCs w:val="14"/>
                <w:lang w:eastAsia="sk-SK"/>
              </w:rPr>
              <w:t>21 000,0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i/>
                <w:iCs/>
                <w:sz w:val="14"/>
                <w:szCs w:val="14"/>
                <w:lang w:eastAsia="sk-SK"/>
              </w:rPr>
            </w:pPr>
            <w:r w:rsidRPr="00BC2074">
              <w:rPr>
                <w:rFonts w:ascii="Times New Roman" w:hAnsi="Times New Roman" w:cs="Times New Roman"/>
                <w:i/>
                <w:iCs/>
                <w:sz w:val="14"/>
                <w:szCs w:val="14"/>
                <w:lang w:eastAsia="sk-SK"/>
              </w:rPr>
              <w:t>31 000,0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i/>
                <w:iCs/>
                <w:sz w:val="14"/>
                <w:szCs w:val="14"/>
                <w:lang w:eastAsia="sk-SK"/>
              </w:rPr>
            </w:pPr>
            <w:r w:rsidRPr="00BC2074">
              <w:rPr>
                <w:rFonts w:ascii="Times New Roman" w:hAnsi="Times New Roman" w:cs="Times New Roman"/>
                <w:i/>
                <w:iCs/>
                <w:sz w:val="14"/>
                <w:szCs w:val="14"/>
                <w:lang w:eastAsia="sk-SK"/>
              </w:rPr>
              <w:t>7 500,0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2.3. vklad do ZI MH </w:t>
            </w:r>
            <w:proofErr w:type="spellStart"/>
            <w:r w:rsidRPr="00BC2074">
              <w:rPr>
                <w:rFonts w:ascii="Times New Roman" w:hAnsi="Times New Roman" w:cs="Times New Roman"/>
                <w:sz w:val="14"/>
                <w:szCs w:val="14"/>
                <w:lang w:eastAsia="sk-SK"/>
              </w:rPr>
              <w:t>Invest</w:t>
            </w:r>
            <w:proofErr w:type="spellEnd"/>
            <w:r w:rsidRPr="00BC2074">
              <w:rPr>
                <w:rFonts w:ascii="Times New Roman" w:hAnsi="Times New Roman" w:cs="Times New Roman"/>
                <w:sz w:val="14"/>
                <w:szCs w:val="14"/>
                <w:lang w:eastAsia="sk-SK"/>
              </w:rPr>
              <w:t xml:space="preserve"> (KT)</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99 788,1</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130 000,0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136 035,9</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118 935,9</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62 993,0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15 781,0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3 990,0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2.5. vklad do ZI MH </w:t>
            </w:r>
            <w:proofErr w:type="spellStart"/>
            <w:r w:rsidRPr="00BC2074">
              <w:rPr>
                <w:rFonts w:ascii="Times New Roman" w:hAnsi="Times New Roman" w:cs="Times New Roman"/>
                <w:sz w:val="14"/>
                <w:szCs w:val="14"/>
                <w:lang w:eastAsia="sk-SK"/>
              </w:rPr>
              <w:t>Invest</w:t>
            </w:r>
            <w:proofErr w:type="spellEnd"/>
            <w:r w:rsidRPr="00BC2074">
              <w:rPr>
                <w:rFonts w:ascii="Times New Roman" w:hAnsi="Times New Roman" w:cs="Times New Roman"/>
                <w:sz w:val="14"/>
                <w:szCs w:val="14"/>
                <w:lang w:eastAsia="sk-SK"/>
              </w:rPr>
              <w:t xml:space="preserve"> II (KT)</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6 395,0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12 854,6</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2 920,2</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2.6. vklad do ZI NDS, a. s. - projekt D4 / R7 (KT)</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220 000,0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2.7. realizácia záruky MF SR voči SZRB, </w:t>
            </w:r>
            <w:proofErr w:type="spellStart"/>
            <w:r w:rsidRPr="00BC2074">
              <w:rPr>
                <w:rFonts w:ascii="Times New Roman" w:hAnsi="Times New Roman" w:cs="Times New Roman"/>
                <w:sz w:val="14"/>
                <w:szCs w:val="14"/>
                <w:lang w:eastAsia="sk-SK"/>
              </w:rPr>
              <w:t>a.s</w:t>
            </w:r>
            <w:proofErr w:type="spellEnd"/>
            <w:r w:rsidRPr="00BC2074">
              <w:rPr>
                <w:rFonts w:ascii="Times New Roman" w:hAnsi="Times New Roman" w:cs="Times New Roman"/>
                <w:sz w:val="14"/>
                <w:szCs w:val="14"/>
                <w:lang w:eastAsia="sk-SK"/>
              </w:rPr>
              <w:t xml:space="preserve">. </w:t>
            </w:r>
            <w:r w:rsidRPr="00BC2074">
              <w:rPr>
                <w:rFonts w:ascii="Times New Roman" w:hAnsi="Times New Roman" w:cs="Times New Roman"/>
                <w:i/>
                <w:iCs/>
                <w:sz w:val="14"/>
                <w:szCs w:val="14"/>
                <w:lang w:eastAsia="sk-SK"/>
              </w:rPr>
              <w:t>(</w:t>
            </w:r>
            <w:proofErr w:type="spellStart"/>
            <w:r w:rsidRPr="00BC2074">
              <w:rPr>
                <w:rFonts w:ascii="Times New Roman" w:hAnsi="Times New Roman" w:cs="Times New Roman"/>
                <w:i/>
                <w:iCs/>
                <w:sz w:val="14"/>
                <w:szCs w:val="14"/>
                <w:lang w:eastAsia="sk-SK"/>
              </w:rPr>
              <w:t>odv</w:t>
            </w:r>
            <w:proofErr w:type="spellEnd"/>
            <w:r w:rsidRPr="00BC2074">
              <w:rPr>
                <w:rFonts w:ascii="Times New Roman" w:hAnsi="Times New Roman" w:cs="Times New Roman"/>
                <w:i/>
                <w:iCs/>
                <w:sz w:val="14"/>
                <w:szCs w:val="14"/>
                <w:lang w:eastAsia="sk-SK"/>
              </w:rPr>
              <w:t>. úver)</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252,8</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227,2</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53,2</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2.8. vklad do ZI - SEPS, a. s. (FO)</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23 167,4</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2.9. vklad do ZI - Slovenská reštrukturalizačná, </w:t>
            </w:r>
            <w:proofErr w:type="spellStart"/>
            <w:r w:rsidRPr="00BC2074">
              <w:rPr>
                <w:rFonts w:ascii="Times New Roman" w:hAnsi="Times New Roman" w:cs="Times New Roman"/>
                <w:sz w:val="14"/>
                <w:szCs w:val="14"/>
                <w:lang w:eastAsia="sk-SK"/>
              </w:rPr>
              <w:t>s.r.o</w:t>
            </w:r>
            <w:proofErr w:type="spellEnd"/>
            <w:r w:rsidRPr="00BC2074">
              <w:rPr>
                <w:rFonts w:ascii="Times New Roman" w:hAnsi="Times New Roman" w:cs="Times New Roman"/>
                <w:sz w:val="14"/>
                <w:szCs w:val="14"/>
                <w:lang w:eastAsia="sk-SK"/>
              </w:rPr>
              <w:t>.(KT)</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20 900,0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2.10. vklad do ZI MH Manažment (KT)</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27,5</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2.11. vklad do ZI Nemocnice Sv. Michala, a. s. (KT)</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4 500,0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2.12. vklad do ZI Letisko Bratislava (KT)</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38,6</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2.13. NFV pre mesto Bratislava (FO)</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7 500,0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2.14. NFV pre mesto Košice (FO)</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14 300,0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2.15. NFV pre mesto Martin (FO)</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2 500,0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2.16. NFV pre mesto Prievidza (FO)</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3 800,0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2.17. Odpustenie časti NFV pre obec Ľubotice (KT)</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2.18. Odpustenie časti NFV pre mesto Žilina (KT)</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3 111,9</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2.19. vklad do ZI MH </w:t>
            </w:r>
            <w:proofErr w:type="spellStart"/>
            <w:r w:rsidRPr="00BC2074">
              <w:rPr>
                <w:rFonts w:ascii="Times New Roman" w:hAnsi="Times New Roman" w:cs="Times New Roman"/>
                <w:sz w:val="14"/>
                <w:szCs w:val="14"/>
                <w:lang w:eastAsia="sk-SK"/>
              </w:rPr>
              <w:t>Invest</w:t>
            </w:r>
            <w:proofErr w:type="spellEnd"/>
            <w:r w:rsidRPr="00BC2074">
              <w:rPr>
                <w:rFonts w:ascii="Times New Roman" w:hAnsi="Times New Roman" w:cs="Times New Roman"/>
                <w:sz w:val="14"/>
                <w:szCs w:val="14"/>
                <w:lang w:eastAsia="sk-SK"/>
              </w:rPr>
              <w:t xml:space="preserve"> II. - odkúpenie OSK</w:t>
            </w:r>
            <w:r w:rsidRPr="00BC2074">
              <w:rPr>
                <w:rFonts w:ascii="Times New Roman" w:hAnsi="Times New Roman" w:cs="Times New Roman"/>
                <w:sz w:val="14"/>
                <w:szCs w:val="14"/>
                <w:lang w:eastAsia="sk-SK"/>
              </w:rPr>
              <w:br/>
              <w:t xml:space="preserve">         od mesta Žiliny (KT)</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10 345,5</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2.20. NFV pre Univerzitu Pavla Jozefa Šafárika</w:t>
            </w:r>
            <w:r w:rsidRPr="00BC2074">
              <w:rPr>
                <w:rFonts w:ascii="Times New Roman" w:hAnsi="Times New Roman" w:cs="Times New Roman"/>
                <w:sz w:val="14"/>
                <w:szCs w:val="14"/>
                <w:lang w:eastAsia="sk-SK"/>
              </w:rPr>
              <w:br/>
              <w:t xml:space="preserve">         v Košiciach (FO)</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3 000,0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2.21. vklad do ZI MH </w:t>
            </w:r>
            <w:proofErr w:type="spellStart"/>
            <w:r w:rsidRPr="00BC2074">
              <w:rPr>
                <w:rFonts w:ascii="Times New Roman" w:hAnsi="Times New Roman" w:cs="Times New Roman"/>
                <w:sz w:val="14"/>
                <w:szCs w:val="14"/>
                <w:lang w:eastAsia="sk-SK"/>
              </w:rPr>
              <w:t>Invest</w:t>
            </w:r>
            <w:proofErr w:type="spellEnd"/>
            <w:r w:rsidRPr="00BC2074">
              <w:rPr>
                <w:rFonts w:ascii="Times New Roman" w:hAnsi="Times New Roman" w:cs="Times New Roman"/>
                <w:sz w:val="14"/>
                <w:szCs w:val="14"/>
                <w:lang w:eastAsia="sk-SK"/>
              </w:rPr>
              <w:t xml:space="preserve"> II. - priem. park Nitra (KT)</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2 602,3</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2.22. BNP </w:t>
            </w:r>
            <w:proofErr w:type="spellStart"/>
            <w:r w:rsidRPr="00BC2074">
              <w:rPr>
                <w:rFonts w:ascii="Times New Roman" w:hAnsi="Times New Roman" w:cs="Times New Roman"/>
                <w:sz w:val="14"/>
                <w:szCs w:val="14"/>
                <w:lang w:eastAsia="sk-SK"/>
              </w:rPr>
              <w:t>Paribas</w:t>
            </w:r>
            <w:proofErr w:type="spellEnd"/>
            <w:r w:rsidRPr="00BC2074">
              <w:rPr>
                <w:rFonts w:ascii="Times New Roman" w:hAnsi="Times New Roman" w:cs="Times New Roman"/>
                <w:sz w:val="14"/>
                <w:szCs w:val="14"/>
                <w:lang w:eastAsia="sk-SK"/>
              </w:rPr>
              <w:t xml:space="preserve"> - VYHRADENÉ (</w:t>
            </w:r>
            <w:proofErr w:type="spellStart"/>
            <w:r w:rsidRPr="00BC2074">
              <w:rPr>
                <w:rFonts w:ascii="Times New Roman" w:hAnsi="Times New Roman" w:cs="Times New Roman"/>
                <w:sz w:val="14"/>
                <w:szCs w:val="14"/>
                <w:lang w:eastAsia="sk-SK"/>
              </w:rPr>
              <w:t>uzn.vl</w:t>
            </w:r>
            <w:proofErr w:type="spellEnd"/>
            <w:r w:rsidRPr="00BC2074">
              <w:rPr>
                <w:rFonts w:ascii="Times New Roman" w:hAnsi="Times New Roman" w:cs="Times New Roman"/>
                <w:sz w:val="14"/>
                <w:szCs w:val="14"/>
                <w:lang w:eastAsia="sk-SK"/>
              </w:rPr>
              <w:t>. 162/2016)</w:t>
            </w:r>
            <w:r w:rsidRPr="00BC2074">
              <w:rPr>
                <w:rFonts w:ascii="Times New Roman" w:hAnsi="Times New Roman" w:cs="Times New Roman"/>
                <w:sz w:val="14"/>
                <w:szCs w:val="14"/>
                <w:lang w:eastAsia="sk-SK"/>
              </w:rPr>
              <w:br/>
              <w:t xml:space="preserve">         - náklady spojené so správou účtu</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415,0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2.23. vklad do ZI Letisková spoločnosť Žilina, a. s. (KT)</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199,1</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2.24. vklad do ZI Letecké opravovne Trenčín, </w:t>
            </w:r>
            <w:proofErr w:type="spellStart"/>
            <w:r w:rsidRPr="00BC2074">
              <w:rPr>
                <w:rFonts w:ascii="Times New Roman" w:hAnsi="Times New Roman" w:cs="Times New Roman"/>
                <w:sz w:val="14"/>
                <w:szCs w:val="14"/>
                <w:lang w:eastAsia="sk-SK"/>
              </w:rPr>
              <w:t>a.s</w:t>
            </w:r>
            <w:proofErr w:type="spellEnd"/>
            <w:r w:rsidRPr="00BC2074">
              <w:rPr>
                <w:rFonts w:ascii="Times New Roman" w:hAnsi="Times New Roman" w:cs="Times New Roman"/>
                <w:sz w:val="14"/>
                <w:szCs w:val="14"/>
                <w:lang w:eastAsia="sk-SK"/>
              </w:rPr>
              <w:t>. (FO)</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20 000,0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000000" w:fill="BFBFBF"/>
            <w:vAlign w:val="center"/>
            <w:hideMark/>
          </w:tcPr>
          <w:p w:rsidR="009A5E8A" w:rsidRPr="00BC2074" w:rsidRDefault="009A5E8A" w:rsidP="00BF752B">
            <w:pPr>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 xml:space="preserve">Saldo rozpočtových operácií </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925 750,5</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-101 645,1</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202 471,1</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6960D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21</w:t>
            </w:r>
            <w:r w:rsidR="006960DB">
              <w:rPr>
                <w:rFonts w:ascii="Times New Roman" w:hAnsi="Times New Roman" w:cs="Times New Roman"/>
                <w:b/>
                <w:bCs/>
                <w:sz w:val="14"/>
                <w:szCs w:val="14"/>
                <w:lang w:eastAsia="sk-SK"/>
              </w:rPr>
              <w:t>7</w:t>
            </w:r>
            <w:r w:rsidRPr="00BC2074">
              <w:rPr>
                <w:rFonts w:ascii="Times New Roman" w:hAnsi="Times New Roman" w:cs="Times New Roman"/>
                <w:b/>
                <w:bCs/>
                <w:sz w:val="14"/>
                <w:szCs w:val="14"/>
                <w:lang w:eastAsia="sk-SK"/>
              </w:rPr>
              <w:t xml:space="preserve"> 219,6</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332 911,4</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299 093,0</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6960D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34</w:t>
            </w:r>
            <w:r w:rsidR="006960DB">
              <w:rPr>
                <w:rFonts w:ascii="Times New Roman" w:hAnsi="Times New Roman" w:cs="Times New Roman"/>
                <w:b/>
                <w:bCs/>
                <w:sz w:val="14"/>
                <w:szCs w:val="14"/>
                <w:lang w:eastAsia="sk-SK"/>
              </w:rPr>
              <w:t>7</w:t>
            </w:r>
            <w:r w:rsidRPr="00BC2074">
              <w:rPr>
                <w:rFonts w:ascii="Times New Roman" w:hAnsi="Times New Roman" w:cs="Times New Roman"/>
                <w:b/>
                <w:bCs/>
                <w:sz w:val="14"/>
                <w:szCs w:val="14"/>
                <w:lang w:eastAsia="sk-SK"/>
              </w:rPr>
              <w:t xml:space="preserve"> 700,0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9A5E8A" w:rsidRPr="00BC2074" w:rsidRDefault="009A5E8A" w:rsidP="00BF752B">
            <w:pPr>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Vylúčenie finančných operácií</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-56 510,6</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-3 660,8</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-295,0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0D72BA" w:rsidP="00BF752B">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-43</w:t>
            </w:r>
            <w:r w:rsidR="009A5E8A" w:rsidRPr="00BC2074">
              <w:rPr>
                <w:rFonts w:ascii="Times New Roman" w:hAnsi="Times New Roman" w:cs="Times New Roman"/>
                <w:b/>
                <w:bCs/>
                <w:sz w:val="14"/>
                <w:szCs w:val="14"/>
                <w:lang w:eastAsia="sk-SK"/>
              </w:rPr>
              <w:t xml:space="preserve"> 015,0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-89 685,4</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-37 167,0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0D72BA">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w:t>
            </w:r>
            <w:r w:rsidR="000D72BA">
              <w:rPr>
                <w:rFonts w:ascii="Times New Roman" w:hAnsi="Times New Roman" w:cs="Times New Roman"/>
                <w:b/>
                <w:bCs/>
                <w:sz w:val="14"/>
                <w:szCs w:val="14"/>
                <w:lang w:eastAsia="sk-SK"/>
              </w:rPr>
              <w:t>60</w:t>
            </w:r>
            <w:r w:rsidRPr="00BC2074">
              <w:rPr>
                <w:rFonts w:ascii="Times New Roman" w:hAnsi="Times New Roman" w:cs="Times New Roman"/>
                <w:b/>
                <w:bCs/>
                <w:sz w:val="14"/>
                <w:szCs w:val="14"/>
                <w:lang w:eastAsia="sk-SK"/>
              </w:rPr>
              <w:t xml:space="preserve"> 852,0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      vylúčenie príjmových FO</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-117 386,8</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-9 160,8</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-1 295,0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6960D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-6</w:t>
            </w:r>
            <w:r w:rsidR="006960DB">
              <w:rPr>
                <w:rFonts w:ascii="Times New Roman" w:hAnsi="Times New Roman" w:cs="Times New Roman"/>
                <w:sz w:val="14"/>
                <w:szCs w:val="14"/>
                <w:lang w:eastAsia="sk-SK"/>
              </w:rPr>
              <w:t>4</w:t>
            </w:r>
            <w:r w:rsidRPr="00BC2074">
              <w:rPr>
                <w:rFonts w:ascii="Times New Roman" w:hAnsi="Times New Roman" w:cs="Times New Roman"/>
                <w:sz w:val="14"/>
                <w:szCs w:val="14"/>
                <w:lang w:eastAsia="sk-SK"/>
              </w:rPr>
              <w:t xml:space="preserve"> 015,0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-110 685,4</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-68 167,0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6960D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-6</w:t>
            </w:r>
            <w:r w:rsidR="006960DB">
              <w:rPr>
                <w:rFonts w:ascii="Times New Roman" w:hAnsi="Times New Roman" w:cs="Times New Roman"/>
                <w:sz w:val="14"/>
                <w:szCs w:val="14"/>
                <w:lang w:eastAsia="sk-SK"/>
              </w:rPr>
              <w:t>8</w:t>
            </w:r>
            <w:r w:rsidRPr="00BC2074">
              <w:rPr>
                <w:rFonts w:ascii="Times New Roman" w:hAnsi="Times New Roman" w:cs="Times New Roman"/>
                <w:sz w:val="14"/>
                <w:szCs w:val="14"/>
                <w:lang w:eastAsia="sk-SK"/>
              </w:rPr>
              <w:t xml:space="preserve"> 352,0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9A5E8A" w:rsidRPr="00BC2074" w:rsidRDefault="009A5E8A" w:rsidP="00BF752B">
            <w:pPr>
              <w:rPr>
                <w:rFonts w:ascii="Times New Roman" w:hAnsi="Times New Roman" w:cs="Times New Roman"/>
                <w:sz w:val="14"/>
                <w:szCs w:val="14"/>
                <w:lang w:eastAsia="sk-SK"/>
              </w:rPr>
            </w:pPr>
            <w:r w:rsidRPr="00BC2074">
              <w:rPr>
                <w:rFonts w:ascii="Times New Roman" w:hAnsi="Times New Roman" w:cs="Times New Roman"/>
                <w:sz w:val="14"/>
                <w:szCs w:val="14"/>
                <w:lang w:eastAsia="sk-SK"/>
              </w:rPr>
              <w:t xml:space="preserve">      vylúčenie výdavkových FO</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60 876,2</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5 500,0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21 000,0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21 000,0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31 000,0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sz w:val="14"/>
                <w:szCs w:val="14"/>
                <w:lang w:eastAsia="sk-SK"/>
              </w:rPr>
            </w:pPr>
            <w:r w:rsidRPr="00BC2074">
              <w:rPr>
                <w:rFonts w:ascii="Times New Roman" w:hAnsi="Times New Roman" w:cs="Times New Roman"/>
                <w:sz w:val="14"/>
                <w:szCs w:val="14"/>
                <w:lang w:eastAsia="sk-SK"/>
              </w:rPr>
              <w:t>7 500,0</w:t>
            </w:r>
          </w:p>
        </w:tc>
      </w:tr>
      <w:tr w:rsidR="009A5E8A" w:rsidRPr="00BC2074" w:rsidTr="00BF752B">
        <w:trPr>
          <w:trHeight w:val="255"/>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9A5E8A" w:rsidRPr="00BC2074" w:rsidRDefault="009A5E8A" w:rsidP="00BF752B">
            <w:pPr>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Ostatné úpravy</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21,0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21,0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0,0</w:t>
            </w:r>
          </w:p>
        </w:tc>
      </w:tr>
      <w:tr w:rsidR="009A5E8A" w:rsidRPr="00BC2074" w:rsidTr="00BF752B">
        <w:trPr>
          <w:trHeight w:val="349"/>
          <w:jc w:val="center"/>
        </w:trPr>
        <w:tc>
          <w:tcPr>
            <w:tcW w:w="3421" w:type="dxa"/>
            <w:tcBorders>
              <w:top w:val="nil"/>
              <w:left w:val="single" w:sz="4" w:space="0" w:color="auto"/>
              <w:bottom w:val="single" w:sz="4" w:space="0" w:color="auto"/>
              <w:right w:val="single" w:sz="4" w:space="0" w:color="auto"/>
            </w:tcBorders>
            <w:shd w:val="clear" w:color="000000" w:fill="BFBFBF"/>
            <w:vAlign w:val="center"/>
            <w:hideMark/>
          </w:tcPr>
          <w:p w:rsidR="009A5E8A" w:rsidRPr="00BC2074" w:rsidRDefault="009A5E8A" w:rsidP="00BF752B">
            <w:pPr>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Saldo rozpočtových operácií bez FO</w:t>
            </w:r>
            <w:r w:rsidRPr="00BC2074">
              <w:rPr>
                <w:rFonts w:ascii="Times New Roman" w:hAnsi="Times New Roman" w:cs="Times New Roman"/>
                <w:b/>
                <w:bCs/>
                <w:sz w:val="14"/>
                <w:szCs w:val="14"/>
                <w:lang w:eastAsia="sk-SK"/>
              </w:rPr>
              <w:br/>
            </w:r>
            <w:r w:rsidRPr="00BC2074">
              <w:rPr>
                <w:rFonts w:ascii="Times New Roman" w:hAnsi="Times New Roman" w:cs="Times New Roman"/>
                <w:sz w:val="14"/>
                <w:szCs w:val="14"/>
                <w:lang w:eastAsia="sk-SK"/>
              </w:rPr>
              <w:t>(vplyv na RVS v metodike ESA 2010)</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869 260,9</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-105 284,9</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202 176,1</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174 204,6</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243 226,0</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261 926,0</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BC2074" w:rsidRDefault="009A5E8A" w:rsidP="00BF752B">
            <w:pPr>
              <w:jc w:val="right"/>
              <w:rPr>
                <w:rFonts w:ascii="Times New Roman" w:hAnsi="Times New Roman" w:cs="Times New Roman"/>
                <w:b/>
                <w:bCs/>
                <w:sz w:val="14"/>
                <w:szCs w:val="14"/>
                <w:lang w:eastAsia="sk-SK"/>
              </w:rPr>
            </w:pPr>
            <w:r w:rsidRPr="00BC2074">
              <w:rPr>
                <w:rFonts w:ascii="Times New Roman" w:hAnsi="Times New Roman" w:cs="Times New Roman"/>
                <w:b/>
                <w:bCs/>
                <w:sz w:val="14"/>
                <w:szCs w:val="14"/>
                <w:lang w:eastAsia="sk-SK"/>
              </w:rPr>
              <w:t>286 848,0</w:t>
            </w:r>
          </w:p>
        </w:tc>
      </w:tr>
    </w:tbl>
    <w:p w:rsidR="009A5E8A" w:rsidRDefault="009A5E8A" w:rsidP="009A5E8A">
      <w:pPr>
        <w:ind w:firstLine="708"/>
        <w:jc w:val="both"/>
        <w:rPr>
          <w:rFonts w:ascii="Times New Roman" w:hAnsi="Times New Roman" w:cs="Times New Roman"/>
        </w:rPr>
      </w:pPr>
      <w:r>
        <w:rPr>
          <w:rFonts w:ascii="Times New Roman" w:hAnsi="Times New Roman" w:cs="Times New Roman"/>
        </w:rPr>
        <w:lastRenderedPageBreak/>
        <w:t>Finančné operácie so štátnymi finančnými aktívami a iné operácie, ktoré ovplyvňujú stav štátnych finančných aktív, nie sú súčasťou príjmov a výdavkov štátneho rozpočtu.</w:t>
      </w:r>
    </w:p>
    <w:p w:rsidR="009A5E8A" w:rsidRPr="00783C34" w:rsidRDefault="009A5E8A" w:rsidP="009A5E8A"/>
    <w:p w:rsidR="009A5E8A" w:rsidRDefault="009A5E8A" w:rsidP="009A5E8A">
      <w:pPr>
        <w:pStyle w:val="Nadpis2"/>
        <w:spacing w:before="0" w:after="0"/>
        <w:rPr>
          <w:rFonts w:ascii="Times New Roman" w:hAnsi="Times New Roman"/>
          <w:b w:val="0"/>
          <w:bCs w:val="0"/>
          <w:i w:val="0"/>
          <w:iCs w:val="0"/>
          <w:sz w:val="24"/>
          <w:szCs w:val="24"/>
        </w:rPr>
      </w:pPr>
      <w:bookmarkStart w:id="217" w:name="_Toc494463975"/>
      <w:r>
        <w:rPr>
          <w:rFonts w:ascii="Times New Roman" w:hAnsi="Times New Roman"/>
          <w:i w:val="0"/>
          <w:iCs w:val="0"/>
          <w:sz w:val="24"/>
          <w:szCs w:val="24"/>
        </w:rPr>
        <w:t>5.1. Príjmové operácie</w:t>
      </w:r>
      <w:bookmarkEnd w:id="215"/>
      <w:bookmarkEnd w:id="216"/>
      <w:bookmarkEnd w:id="217"/>
    </w:p>
    <w:p w:rsidR="009A5E8A" w:rsidRDefault="009A5E8A" w:rsidP="009A5E8A">
      <w:pPr>
        <w:ind w:firstLine="708"/>
        <w:jc w:val="both"/>
        <w:rPr>
          <w:rFonts w:ascii="Times New Roman" w:hAnsi="Times New Roman" w:cs="Times New Roman"/>
          <w:highlight w:val="yellow"/>
          <w:u w:val="single"/>
        </w:rPr>
      </w:pPr>
    </w:p>
    <w:p w:rsidR="009A5E8A" w:rsidRDefault="009A5E8A" w:rsidP="009A5E8A">
      <w:pPr>
        <w:adjustRightInd w:val="0"/>
        <w:jc w:val="both"/>
        <w:rPr>
          <w:rFonts w:ascii="Times New Roman" w:hAnsi="Times New Roman" w:cs="Times New Roman"/>
        </w:rPr>
      </w:pPr>
      <w:r>
        <w:rPr>
          <w:rFonts w:ascii="Times New Roman" w:hAnsi="Times New Roman" w:cs="Times New Roman"/>
        </w:rPr>
        <w:t>5.1.1.</w:t>
      </w:r>
      <w:r>
        <w:rPr>
          <w:rFonts w:ascii="Times New Roman" w:hAnsi="Times New Roman" w:cs="Times New Roman"/>
        </w:rPr>
        <w:tab/>
        <w:t>Príjmy z dividend od spoločností s majetkovou účasťou MH Manažment, a. s. sa rozpočtujú v rozpočtovom rámci 2018 až 2020 na úrovni 9,8 tis. eur ročne a predstavujú príjem dividend od spoločnosti Trnavská teplárenská, a. s.</w:t>
      </w:r>
    </w:p>
    <w:p w:rsidR="009A5E8A" w:rsidRPr="00A64624" w:rsidRDefault="009A5E8A" w:rsidP="009A5E8A">
      <w:pPr>
        <w:jc w:val="both"/>
        <w:rPr>
          <w:rFonts w:ascii="Times New Roman" w:hAnsi="Times New Roman" w:cs="Times New Roman"/>
        </w:rPr>
      </w:pPr>
    </w:p>
    <w:p w:rsidR="009A5E8A" w:rsidRDefault="009A5E8A" w:rsidP="009A5E8A">
      <w:pPr>
        <w:jc w:val="both"/>
        <w:rPr>
          <w:rFonts w:ascii="Times New Roman" w:hAnsi="Times New Roman" w:cs="Times New Roman"/>
        </w:rPr>
      </w:pPr>
      <w:r>
        <w:rPr>
          <w:rFonts w:ascii="Times New Roman" w:hAnsi="Times New Roman" w:cs="Times New Roman"/>
        </w:rPr>
        <w:t>5.1.2.</w:t>
      </w:r>
      <w:r>
        <w:rPr>
          <w:rFonts w:ascii="Times New Roman" w:hAnsi="Times New Roman" w:cs="Times New Roman"/>
        </w:rPr>
        <w:tab/>
        <w:t xml:space="preserve">Odvod pre vybrané finančné inštitúcie prispieva k vytvoreniu mechanizmov podieľania sa týchto finančných inštitúcií na nákladoch budúcich finančných kríz v bankovom sektore, k zabezpečeniu spravodlivého rozdelenia záťaže a k predchádzaniu vzniku rozsiahlych výdavkov pre daňových poplatníkov, vládu a hospodárstvo v prípade riešenia finančných kríz. </w:t>
      </w:r>
      <w:r>
        <w:rPr>
          <w:rStyle w:val="Zstupntext"/>
          <w:color w:val="000000"/>
        </w:rPr>
        <w:t xml:space="preserve">V období rokov 2017 až 2020 bude sadzba osobitného odvodu bánk na úrovni </w:t>
      </w:r>
      <w:r>
        <w:rPr>
          <w:rFonts w:ascii="Times New Roman" w:hAnsi="Times New Roman"/>
        </w:rPr>
        <w:t xml:space="preserve">0,2 % ročne a zároveň sa zruší tzv. </w:t>
      </w:r>
      <w:proofErr w:type="spellStart"/>
      <w:r>
        <w:rPr>
          <w:rFonts w:ascii="Times New Roman" w:hAnsi="Times New Roman"/>
        </w:rPr>
        <w:t>degresia</w:t>
      </w:r>
      <w:proofErr w:type="spellEnd"/>
      <w:r>
        <w:rPr>
          <w:rFonts w:ascii="Times New Roman" w:hAnsi="Times New Roman"/>
        </w:rPr>
        <w:t xml:space="preserve"> sadzby bankového odvodu v závislosti od dosiahnutia sumy uhradeného odvodu a úrovne definovaného ukazovateľa, ktorým je podiel uhradených odvodov na celkových aktívach bankového sektora SR.</w:t>
      </w:r>
    </w:p>
    <w:p w:rsidR="009A5E8A" w:rsidRPr="00A64624" w:rsidRDefault="009A5E8A" w:rsidP="009A5E8A">
      <w:pPr>
        <w:jc w:val="both"/>
        <w:rPr>
          <w:rFonts w:ascii="Times New Roman" w:hAnsi="Times New Roman" w:cs="Times New Roman"/>
        </w:rPr>
      </w:pPr>
    </w:p>
    <w:p w:rsidR="009A5E8A" w:rsidRDefault="009A5E8A" w:rsidP="009A5E8A">
      <w:pPr>
        <w:jc w:val="both"/>
        <w:rPr>
          <w:rFonts w:ascii="Times New Roman" w:hAnsi="Times New Roman" w:cs="Times New Roman"/>
        </w:rPr>
      </w:pPr>
      <w:r>
        <w:rPr>
          <w:rFonts w:ascii="Times New Roman" w:hAnsi="Times New Roman" w:cs="Times New Roman"/>
        </w:rPr>
        <w:t>5.1.3.</w:t>
      </w:r>
      <w:r>
        <w:rPr>
          <w:rFonts w:ascii="Times New Roman" w:hAnsi="Times New Roman" w:cs="Times New Roman"/>
        </w:rPr>
        <w:tab/>
        <w:t>Príjmy z osobitného odvodu z podnikania v regulovaných odvetviach, v zmysle zákona č. 235/2012 Z. z.</w:t>
      </w:r>
      <w:r w:rsidR="00BF752B" w:rsidRPr="00BF752B">
        <w:t xml:space="preserve"> </w:t>
      </w:r>
      <w:r w:rsidR="00BF752B" w:rsidRPr="00BF752B">
        <w:rPr>
          <w:rFonts w:ascii="Times New Roman" w:hAnsi="Times New Roman" w:cs="Times New Roman"/>
        </w:rPr>
        <w:t>o osobitnom odvode z podnikania v regulovaných odvetviach a o zmene a doplnení niektorých zákonov</w:t>
      </w:r>
      <w:r>
        <w:rPr>
          <w:rFonts w:ascii="Times New Roman" w:hAnsi="Times New Roman" w:cs="Times New Roman"/>
        </w:rPr>
        <w:t>, slúžia na perspektívne vytvorenie účelovo určenej osobitnej časti štátnych finančných aktív, z ktorých sa budú financovať prioritné projekty vlády. V roku 2017 je s</w:t>
      </w:r>
      <w:r w:rsidRPr="0027384F">
        <w:rPr>
          <w:rFonts w:ascii="Times New Roman" w:hAnsi="Times New Roman" w:cs="Times New Roman"/>
        </w:rPr>
        <w:t xml:space="preserve">adzba odvodu vo výške 0,00726, ktorá </w:t>
      </w:r>
      <w:r>
        <w:rPr>
          <w:rFonts w:ascii="Times New Roman" w:hAnsi="Times New Roman" w:cs="Times New Roman"/>
        </w:rPr>
        <w:t xml:space="preserve">sa bude v nasledujúcich rokoch </w:t>
      </w:r>
      <w:r w:rsidRPr="0027384F">
        <w:rPr>
          <w:rFonts w:ascii="Times New Roman" w:hAnsi="Times New Roman" w:cs="Times New Roman"/>
        </w:rPr>
        <w:t>dvakrát znižovať, a to</w:t>
      </w:r>
      <w:r w:rsidR="00BF752B">
        <w:rPr>
          <w:rFonts w:ascii="Times New Roman" w:hAnsi="Times New Roman" w:cs="Times New Roman"/>
        </w:rPr>
        <w:t xml:space="preserve"> </w:t>
      </w:r>
      <w:r>
        <w:rPr>
          <w:rFonts w:ascii="Times New Roman" w:hAnsi="Times New Roman" w:cs="Times New Roman"/>
        </w:rPr>
        <w:t xml:space="preserve">od 1. januára 2019 na 0,00545 </w:t>
      </w:r>
      <w:r w:rsidRPr="0027384F">
        <w:rPr>
          <w:rFonts w:ascii="Times New Roman" w:hAnsi="Times New Roman" w:cs="Times New Roman"/>
        </w:rPr>
        <w:t>a od 1. januára</w:t>
      </w:r>
      <w:r>
        <w:rPr>
          <w:rFonts w:ascii="Times New Roman" w:hAnsi="Times New Roman" w:cs="Times New Roman"/>
        </w:rPr>
        <w:t xml:space="preserve"> 2021 sa ďalej zníži na 0,00363</w:t>
      </w:r>
      <w:r w:rsidRPr="0027384F">
        <w:rPr>
          <w:rFonts w:ascii="Times New Roman" w:hAnsi="Times New Roman" w:cs="Times New Roman"/>
        </w:rPr>
        <w:t>.</w:t>
      </w:r>
    </w:p>
    <w:p w:rsidR="009A5E8A" w:rsidRPr="00A64624" w:rsidRDefault="009A5E8A" w:rsidP="009A5E8A">
      <w:pPr>
        <w:jc w:val="both"/>
        <w:rPr>
          <w:rFonts w:ascii="Times New Roman" w:hAnsi="Times New Roman" w:cs="Times New Roman"/>
        </w:rPr>
      </w:pPr>
    </w:p>
    <w:p w:rsidR="009A5E8A" w:rsidRDefault="009A5E8A" w:rsidP="009A5E8A">
      <w:pPr>
        <w:tabs>
          <w:tab w:val="left" w:pos="0"/>
        </w:tabs>
        <w:jc w:val="both"/>
        <w:rPr>
          <w:rFonts w:ascii="Times New Roman" w:hAnsi="Times New Roman" w:cs="Times New Roman"/>
        </w:rPr>
      </w:pPr>
      <w:r>
        <w:rPr>
          <w:rFonts w:ascii="Times New Roman" w:hAnsi="Times New Roman" w:cs="Times New Roman"/>
        </w:rPr>
        <w:t>5.1.4.</w:t>
      </w:r>
      <w:r>
        <w:rPr>
          <w:rFonts w:ascii="Times New Roman" w:hAnsi="Times New Roman" w:cs="Times New Roman"/>
        </w:rPr>
        <w:tab/>
        <w:t xml:space="preserve">Medzi finančné operácie štátnych finančných aktív na strane príjmov zaraďujeme aj príjmy zo splácania poskytnutých návratných finančných výpomocí. Nasledovná tabuľka uvádza príjmové finančné operácie podľa pôsobnosti a zodpovednosti príslušných kapitol štátneho rozpočtu. </w:t>
      </w:r>
    </w:p>
    <w:p w:rsidR="009A5E8A" w:rsidRPr="00694C2C" w:rsidRDefault="009A5E8A" w:rsidP="009A5E8A">
      <w:pPr>
        <w:jc w:val="both"/>
        <w:rPr>
          <w:rFonts w:ascii="Times New Roman" w:hAnsi="Times New Roman" w:cs="Times New Roman"/>
          <w:sz w:val="16"/>
          <w:szCs w:val="16"/>
        </w:rPr>
      </w:pPr>
    </w:p>
    <w:tbl>
      <w:tblPr>
        <w:tblW w:w="9161" w:type="dxa"/>
        <w:jc w:val="center"/>
        <w:tblCellMar>
          <w:left w:w="70" w:type="dxa"/>
          <w:right w:w="70" w:type="dxa"/>
        </w:tblCellMar>
        <w:tblLook w:val="04A0" w:firstRow="1" w:lastRow="0" w:firstColumn="1" w:lastColumn="0" w:noHBand="0" w:noVBand="1"/>
      </w:tblPr>
      <w:tblGrid>
        <w:gridCol w:w="3421"/>
        <w:gridCol w:w="820"/>
        <w:gridCol w:w="820"/>
        <w:gridCol w:w="820"/>
        <w:gridCol w:w="820"/>
        <w:gridCol w:w="820"/>
        <w:gridCol w:w="820"/>
        <w:gridCol w:w="820"/>
      </w:tblGrid>
      <w:tr w:rsidR="009A5E8A" w:rsidRPr="00694C2C" w:rsidTr="00BF752B">
        <w:trPr>
          <w:trHeight w:val="240"/>
          <w:jc w:val="center"/>
        </w:trPr>
        <w:tc>
          <w:tcPr>
            <w:tcW w:w="342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9A5E8A" w:rsidRPr="00694C2C" w:rsidRDefault="009A5E8A" w:rsidP="00BF752B">
            <w:pPr>
              <w:rPr>
                <w:rFonts w:ascii="Times New Roman" w:hAnsi="Times New Roman" w:cs="Times New Roman"/>
                <w:sz w:val="14"/>
                <w:szCs w:val="14"/>
                <w:lang w:eastAsia="sk-SK"/>
              </w:rPr>
            </w:pPr>
            <w:r w:rsidRPr="00694C2C">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694C2C" w:rsidRDefault="009A5E8A" w:rsidP="00BF752B">
            <w:pPr>
              <w:jc w:val="center"/>
              <w:rPr>
                <w:rFonts w:ascii="Times New Roman" w:hAnsi="Times New Roman" w:cs="Times New Roman"/>
                <w:b/>
                <w:bCs/>
                <w:sz w:val="14"/>
                <w:szCs w:val="14"/>
                <w:lang w:eastAsia="sk-SK"/>
              </w:rPr>
            </w:pPr>
            <w:r w:rsidRPr="00694C2C">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694C2C" w:rsidRDefault="009A5E8A" w:rsidP="00BF752B">
            <w:pPr>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 xml:space="preserve">2016 </w:t>
            </w:r>
            <w:r w:rsidRPr="00694C2C">
              <w:rPr>
                <w:rFonts w:ascii="Times New Roman" w:hAnsi="Times New Roman" w:cs="Times New Roman"/>
                <w:b/>
                <w:bCs/>
                <w:sz w:val="14"/>
                <w:szCs w:val="14"/>
                <w:lang w:eastAsia="sk-SK"/>
              </w:rPr>
              <w:t>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694C2C" w:rsidRDefault="009A5E8A" w:rsidP="00BF752B">
            <w:pPr>
              <w:jc w:val="center"/>
              <w:rPr>
                <w:rFonts w:ascii="Times New Roman" w:hAnsi="Times New Roman" w:cs="Times New Roman"/>
                <w:b/>
                <w:bCs/>
                <w:sz w:val="14"/>
                <w:szCs w:val="14"/>
                <w:lang w:eastAsia="sk-SK"/>
              </w:rPr>
            </w:pPr>
            <w:r w:rsidRPr="00694C2C">
              <w:rPr>
                <w:rFonts w:ascii="Times New Roman" w:hAnsi="Times New Roman" w:cs="Times New Roman"/>
                <w:b/>
                <w:bCs/>
                <w:sz w:val="14"/>
                <w:szCs w:val="14"/>
                <w:lang w:eastAsia="sk-SK"/>
              </w:rPr>
              <w:t>2017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694C2C" w:rsidRDefault="009A5E8A" w:rsidP="00BF752B">
            <w:pPr>
              <w:jc w:val="center"/>
              <w:rPr>
                <w:rFonts w:ascii="Times New Roman" w:hAnsi="Times New Roman" w:cs="Times New Roman"/>
                <w:b/>
                <w:bCs/>
                <w:sz w:val="14"/>
                <w:szCs w:val="14"/>
                <w:lang w:eastAsia="sk-SK"/>
              </w:rPr>
            </w:pPr>
            <w:r w:rsidRPr="00694C2C">
              <w:rPr>
                <w:rFonts w:ascii="Times New Roman" w:hAnsi="Times New Roman" w:cs="Times New Roman"/>
                <w:b/>
                <w:bCs/>
                <w:sz w:val="14"/>
                <w:szCs w:val="14"/>
                <w:lang w:eastAsia="sk-SK"/>
              </w:rPr>
              <w:t>2017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694C2C" w:rsidRDefault="009A5E8A" w:rsidP="00BF752B">
            <w:pPr>
              <w:jc w:val="center"/>
              <w:rPr>
                <w:rFonts w:ascii="Times New Roman" w:hAnsi="Times New Roman" w:cs="Times New Roman"/>
                <w:b/>
                <w:bCs/>
                <w:sz w:val="14"/>
                <w:szCs w:val="14"/>
                <w:lang w:eastAsia="sk-SK"/>
              </w:rPr>
            </w:pPr>
            <w:r w:rsidRPr="00694C2C">
              <w:rPr>
                <w:rFonts w:ascii="Times New Roman" w:hAnsi="Times New Roman" w:cs="Times New Roman"/>
                <w:b/>
                <w:bCs/>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694C2C" w:rsidRDefault="009A5E8A" w:rsidP="00BF752B">
            <w:pPr>
              <w:jc w:val="center"/>
              <w:rPr>
                <w:rFonts w:ascii="Times New Roman" w:hAnsi="Times New Roman" w:cs="Times New Roman"/>
                <w:b/>
                <w:bCs/>
                <w:sz w:val="14"/>
                <w:szCs w:val="14"/>
                <w:lang w:eastAsia="sk-SK"/>
              </w:rPr>
            </w:pPr>
            <w:r w:rsidRPr="00694C2C">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694C2C" w:rsidRDefault="009A5E8A" w:rsidP="00BF752B">
            <w:pPr>
              <w:jc w:val="center"/>
              <w:rPr>
                <w:rFonts w:ascii="Times New Roman" w:hAnsi="Times New Roman" w:cs="Times New Roman"/>
                <w:b/>
                <w:bCs/>
                <w:sz w:val="14"/>
                <w:szCs w:val="14"/>
                <w:lang w:eastAsia="sk-SK"/>
              </w:rPr>
            </w:pPr>
            <w:r w:rsidRPr="00694C2C">
              <w:rPr>
                <w:rFonts w:ascii="Times New Roman" w:hAnsi="Times New Roman" w:cs="Times New Roman"/>
                <w:b/>
                <w:bCs/>
                <w:sz w:val="14"/>
                <w:szCs w:val="14"/>
                <w:lang w:eastAsia="sk-SK"/>
              </w:rPr>
              <w:t>2020 N</w:t>
            </w:r>
          </w:p>
        </w:tc>
      </w:tr>
      <w:tr w:rsidR="009A5E8A" w:rsidRPr="00694C2C"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9A5E8A" w:rsidRPr="00694C2C" w:rsidRDefault="009A5E8A" w:rsidP="00BF752B">
            <w:pPr>
              <w:rPr>
                <w:rFonts w:ascii="Times New Roman" w:hAnsi="Times New Roman" w:cs="Times New Roman"/>
                <w:b/>
                <w:bCs/>
                <w:sz w:val="14"/>
                <w:szCs w:val="14"/>
                <w:lang w:eastAsia="sk-SK"/>
              </w:rPr>
            </w:pPr>
            <w:r w:rsidRPr="00694C2C">
              <w:rPr>
                <w:rFonts w:ascii="Times New Roman" w:hAnsi="Times New Roman" w:cs="Times New Roman"/>
                <w:b/>
                <w:bCs/>
                <w:sz w:val="14"/>
                <w:szCs w:val="14"/>
                <w:lang w:eastAsia="sk-SK"/>
              </w:rPr>
              <w:t>Ministerstvo financií SR</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14,4</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19,6</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15,0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15,0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15,0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15,0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15,0</w:t>
            </w:r>
          </w:p>
        </w:tc>
      </w:tr>
      <w:tr w:rsidR="009A5E8A" w:rsidRPr="00694C2C"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9A5E8A" w:rsidRPr="00694C2C" w:rsidRDefault="009A5E8A" w:rsidP="00BF752B">
            <w:pPr>
              <w:rPr>
                <w:rFonts w:ascii="Times New Roman" w:hAnsi="Times New Roman" w:cs="Times New Roman"/>
                <w:b/>
                <w:bCs/>
                <w:sz w:val="14"/>
                <w:szCs w:val="14"/>
                <w:lang w:eastAsia="sk-SK"/>
              </w:rPr>
            </w:pPr>
            <w:r w:rsidRPr="00694C2C">
              <w:rPr>
                <w:rFonts w:ascii="Times New Roman" w:hAnsi="Times New Roman" w:cs="Times New Roman"/>
                <w:b/>
                <w:bCs/>
                <w:sz w:val="14"/>
                <w:szCs w:val="14"/>
                <w:lang w:eastAsia="sk-SK"/>
              </w:rPr>
              <w:t>Všeobecná pokladničná správa</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152,8</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9 141,2</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1 280,0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AC501F">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6</w:t>
            </w:r>
            <w:r w:rsidR="00AC501F">
              <w:rPr>
                <w:rFonts w:ascii="Times New Roman" w:hAnsi="Times New Roman" w:cs="Times New Roman"/>
                <w:sz w:val="14"/>
                <w:szCs w:val="14"/>
                <w:lang w:eastAsia="sk-SK"/>
              </w:rPr>
              <w:t>4</w:t>
            </w:r>
            <w:r w:rsidRPr="00694C2C">
              <w:rPr>
                <w:rFonts w:ascii="Times New Roman" w:hAnsi="Times New Roman" w:cs="Times New Roman"/>
                <w:sz w:val="14"/>
                <w:szCs w:val="14"/>
                <w:lang w:eastAsia="sk-SK"/>
              </w:rPr>
              <w:t xml:space="preserve">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79 638,0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68 152,0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AC501F">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6</w:t>
            </w:r>
            <w:r w:rsidR="00AC501F">
              <w:rPr>
                <w:rFonts w:ascii="Times New Roman" w:hAnsi="Times New Roman" w:cs="Times New Roman"/>
                <w:sz w:val="14"/>
                <w:szCs w:val="14"/>
                <w:lang w:eastAsia="sk-SK"/>
              </w:rPr>
              <w:t>8</w:t>
            </w:r>
            <w:r w:rsidRPr="00694C2C">
              <w:rPr>
                <w:rFonts w:ascii="Times New Roman" w:hAnsi="Times New Roman" w:cs="Times New Roman"/>
                <w:sz w:val="14"/>
                <w:szCs w:val="14"/>
                <w:lang w:eastAsia="sk-SK"/>
              </w:rPr>
              <w:t xml:space="preserve"> 337,0</w:t>
            </w:r>
          </w:p>
        </w:tc>
      </w:tr>
      <w:tr w:rsidR="009A5E8A" w:rsidRPr="00694C2C" w:rsidTr="00BF752B">
        <w:trPr>
          <w:trHeight w:val="240"/>
          <w:jc w:val="center"/>
        </w:trPr>
        <w:tc>
          <w:tcPr>
            <w:tcW w:w="3421" w:type="dxa"/>
            <w:tcBorders>
              <w:top w:val="nil"/>
              <w:left w:val="single" w:sz="4" w:space="0" w:color="auto"/>
              <w:bottom w:val="single" w:sz="4" w:space="0" w:color="auto"/>
              <w:right w:val="nil"/>
            </w:tcBorders>
            <w:shd w:val="clear" w:color="auto" w:fill="auto"/>
            <w:noWrap/>
            <w:vAlign w:val="center"/>
            <w:hideMark/>
          </w:tcPr>
          <w:p w:rsidR="009A5E8A" w:rsidRPr="00694C2C" w:rsidRDefault="009A5E8A" w:rsidP="00BF752B">
            <w:pPr>
              <w:rPr>
                <w:rFonts w:ascii="Times New Roman" w:hAnsi="Times New Roman" w:cs="Times New Roman"/>
                <w:i/>
                <w:iCs/>
                <w:sz w:val="14"/>
                <w:szCs w:val="14"/>
                <w:lang w:eastAsia="sk-SK"/>
              </w:rPr>
            </w:pPr>
            <w:r w:rsidRPr="00694C2C">
              <w:rPr>
                <w:rFonts w:ascii="Times New Roman" w:hAnsi="Times New Roman" w:cs="Times New Roman"/>
                <w:i/>
                <w:iCs/>
                <w:sz w:val="14"/>
                <w:szCs w:val="14"/>
                <w:lang w:eastAsia="sk-SK"/>
              </w:rPr>
              <w:t>z toho:</w:t>
            </w:r>
          </w:p>
        </w:tc>
        <w:tc>
          <w:tcPr>
            <w:tcW w:w="820" w:type="dxa"/>
            <w:tcBorders>
              <w:top w:val="nil"/>
              <w:left w:val="nil"/>
              <w:bottom w:val="single" w:sz="4" w:space="0" w:color="auto"/>
              <w:right w:val="nil"/>
            </w:tcBorders>
            <w:shd w:val="clear" w:color="auto" w:fill="auto"/>
            <w:noWrap/>
            <w:vAlign w:val="center"/>
            <w:hideMark/>
          </w:tcPr>
          <w:p w:rsidR="009A5E8A" w:rsidRPr="00694C2C" w:rsidRDefault="009A5E8A" w:rsidP="00BF752B">
            <w:pPr>
              <w:rPr>
                <w:rFonts w:ascii="Times New Roman" w:hAnsi="Times New Roman" w:cs="Times New Roman"/>
                <w:sz w:val="14"/>
                <w:szCs w:val="14"/>
                <w:lang w:eastAsia="sk-SK"/>
              </w:rPr>
            </w:pPr>
            <w:r w:rsidRPr="00694C2C">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shd w:val="clear" w:color="auto" w:fill="auto"/>
            <w:noWrap/>
            <w:vAlign w:val="center"/>
            <w:hideMark/>
          </w:tcPr>
          <w:p w:rsidR="009A5E8A" w:rsidRPr="00694C2C" w:rsidRDefault="009A5E8A" w:rsidP="00BF752B">
            <w:pPr>
              <w:rPr>
                <w:rFonts w:ascii="Times New Roman" w:hAnsi="Times New Roman" w:cs="Times New Roman"/>
                <w:sz w:val="14"/>
                <w:szCs w:val="14"/>
                <w:lang w:eastAsia="sk-SK"/>
              </w:rPr>
            </w:pPr>
            <w:r w:rsidRPr="00694C2C">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shd w:val="clear" w:color="auto" w:fill="auto"/>
            <w:noWrap/>
            <w:vAlign w:val="center"/>
            <w:hideMark/>
          </w:tcPr>
          <w:p w:rsidR="009A5E8A" w:rsidRPr="00694C2C" w:rsidRDefault="009A5E8A" w:rsidP="00BF752B">
            <w:pPr>
              <w:rPr>
                <w:rFonts w:ascii="Times New Roman" w:hAnsi="Times New Roman" w:cs="Times New Roman"/>
                <w:sz w:val="14"/>
                <w:szCs w:val="14"/>
                <w:lang w:eastAsia="sk-SK"/>
              </w:rPr>
            </w:pPr>
            <w:r w:rsidRPr="00694C2C">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shd w:val="clear" w:color="auto" w:fill="auto"/>
            <w:noWrap/>
            <w:vAlign w:val="center"/>
            <w:hideMark/>
          </w:tcPr>
          <w:p w:rsidR="009A5E8A" w:rsidRPr="00694C2C" w:rsidRDefault="009A5E8A" w:rsidP="00BF752B">
            <w:pPr>
              <w:rPr>
                <w:rFonts w:ascii="Times New Roman" w:hAnsi="Times New Roman" w:cs="Times New Roman"/>
                <w:sz w:val="14"/>
                <w:szCs w:val="14"/>
                <w:lang w:eastAsia="sk-SK"/>
              </w:rPr>
            </w:pPr>
            <w:r w:rsidRPr="00694C2C">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shd w:val="clear" w:color="auto" w:fill="auto"/>
            <w:noWrap/>
            <w:vAlign w:val="center"/>
            <w:hideMark/>
          </w:tcPr>
          <w:p w:rsidR="009A5E8A" w:rsidRPr="00694C2C" w:rsidRDefault="009A5E8A" w:rsidP="00BF752B">
            <w:pPr>
              <w:rPr>
                <w:rFonts w:ascii="Times New Roman" w:hAnsi="Times New Roman" w:cs="Times New Roman"/>
                <w:sz w:val="14"/>
                <w:szCs w:val="14"/>
                <w:lang w:eastAsia="sk-SK"/>
              </w:rPr>
            </w:pPr>
            <w:r w:rsidRPr="00694C2C">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shd w:val="clear" w:color="auto" w:fill="auto"/>
            <w:noWrap/>
            <w:vAlign w:val="center"/>
            <w:hideMark/>
          </w:tcPr>
          <w:p w:rsidR="009A5E8A" w:rsidRPr="00694C2C" w:rsidRDefault="009A5E8A" w:rsidP="00BF752B">
            <w:pPr>
              <w:rPr>
                <w:rFonts w:ascii="Times New Roman" w:hAnsi="Times New Roman" w:cs="Times New Roman"/>
                <w:sz w:val="14"/>
                <w:szCs w:val="14"/>
                <w:lang w:eastAsia="sk-SK"/>
              </w:rPr>
            </w:pPr>
            <w:r w:rsidRPr="00694C2C">
              <w:rPr>
                <w:rFonts w:ascii="Times New Roman" w:hAnsi="Times New Roman" w:cs="Times New Roman"/>
                <w:sz w:val="14"/>
                <w:szCs w:val="14"/>
                <w:lang w:eastAsia="sk-SK"/>
              </w:rPr>
              <w:t> </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rPr>
                <w:rFonts w:ascii="Times New Roman" w:hAnsi="Times New Roman" w:cs="Times New Roman"/>
                <w:sz w:val="14"/>
                <w:szCs w:val="14"/>
                <w:lang w:eastAsia="sk-SK"/>
              </w:rPr>
            </w:pPr>
            <w:r w:rsidRPr="00694C2C">
              <w:rPr>
                <w:rFonts w:ascii="Times New Roman" w:hAnsi="Times New Roman" w:cs="Times New Roman"/>
                <w:sz w:val="14"/>
                <w:szCs w:val="14"/>
                <w:lang w:eastAsia="sk-SK"/>
              </w:rPr>
              <w:t> </w:t>
            </w:r>
          </w:p>
        </w:tc>
      </w:tr>
      <w:tr w:rsidR="009A5E8A" w:rsidRPr="00694C2C"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9A5E8A" w:rsidRPr="00694C2C" w:rsidRDefault="009A5E8A" w:rsidP="00BF752B">
            <w:pPr>
              <w:rPr>
                <w:rFonts w:ascii="Times New Roman" w:hAnsi="Times New Roman" w:cs="Times New Roman"/>
                <w:sz w:val="14"/>
                <w:szCs w:val="14"/>
                <w:lang w:eastAsia="sk-SK"/>
              </w:rPr>
            </w:pPr>
            <w:r w:rsidRPr="00694C2C">
              <w:rPr>
                <w:rFonts w:ascii="Times New Roman" w:hAnsi="Times New Roman" w:cs="Times New Roman"/>
                <w:sz w:val="14"/>
                <w:szCs w:val="14"/>
                <w:lang w:eastAsia="sk-SK"/>
              </w:rPr>
              <w:t xml:space="preserve">  - z konkurzov a ostatných príjmov</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21,8</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r>
      <w:tr w:rsidR="009A5E8A" w:rsidRPr="00694C2C"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9A5E8A" w:rsidRPr="00694C2C" w:rsidRDefault="009A5E8A" w:rsidP="00BF752B">
            <w:pPr>
              <w:rPr>
                <w:rFonts w:ascii="Times New Roman" w:hAnsi="Times New Roman" w:cs="Times New Roman"/>
                <w:sz w:val="14"/>
                <w:szCs w:val="14"/>
                <w:lang w:eastAsia="sk-SK"/>
              </w:rPr>
            </w:pPr>
            <w:r w:rsidRPr="00694C2C">
              <w:rPr>
                <w:rFonts w:ascii="Times New Roman" w:hAnsi="Times New Roman" w:cs="Times New Roman"/>
                <w:sz w:val="14"/>
                <w:szCs w:val="14"/>
                <w:lang w:eastAsia="sk-SK"/>
              </w:rPr>
              <w:t xml:space="preserve">  - splátka NFV mesto Košice</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500,0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1 500,0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1 800,0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2 000,0</w:t>
            </w:r>
          </w:p>
        </w:tc>
      </w:tr>
      <w:tr w:rsidR="009A5E8A" w:rsidRPr="00694C2C"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9A5E8A" w:rsidRPr="00694C2C" w:rsidRDefault="009A5E8A" w:rsidP="00BF752B">
            <w:pPr>
              <w:rPr>
                <w:rFonts w:ascii="Times New Roman" w:hAnsi="Times New Roman" w:cs="Times New Roman"/>
                <w:sz w:val="14"/>
                <w:szCs w:val="14"/>
                <w:lang w:eastAsia="sk-SK"/>
              </w:rPr>
            </w:pPr>
            <w:r w:rsidRPr="00694C2C">
              <w:rPr>
                <w:rFonts w:ascii="Times New Roman" w:hAnsi="Times New Roman" w:cs="Times New Roman"/>
                <w:sz w:val="14"/>
                <w:szCs w:val="14"/>
                <w:lang w:eastAsia="sk-SK"/>
              </w:rPr>
              <w:t xml:space="preserve">  - splátka NFV mesto Martin</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250,0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250,0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250,0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250,0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250,0</w:t>
            </w:r>
          </w:p>
        </w:tc>
      </w:tr>
      <w:tr w:rsidR="009A5E8A" w:rsidRPr="00694C2C"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694C2C" w:rsidRDefault="009A5E8A" w:rsidP="00BF752B">
            <w:pPr>
              <w:rPr>
                <w:rFonts w:ascii="Times New Roman" w:hAnsi="Times New Roman" w:cs="Times New Roman"/>
                <w:sz w:val="14"/>
                <w:szCs w:val="14"/>
                <w:lang w:eastAsia="sk-SK"/>
              </w:rPr>
            </w:pPr>
            <w:r w:rsidRPr="00694C2C">
              <w:rPr>
                <w:rFonts w:ascii="Times New Roman" w:hAnsi="Times New Roman" w:cs="Times New Roman"/>
                <w:sz w:val="14"/>
                <w:szCs w:val="14"/>
                <w:lang w:eastAsia="sk-SK"/>
              </w:rPr>
              <w:t xml:space="preserve">  -  splátka NFV obec Ľubotice </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20,0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20,0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20,0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20,0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20,0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15,0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r>
      <w:tr w:rsidR="009A5E8A" w:rsidRPr="00694C2C"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9A5E8A" w:rsidRPr="00694C2C" w:rsidRDefault="009A5E8A" w:rsidP="00BF752B">
            <w:pPr>
              <w:rPr>
                <w:rFonts w:ascii="Times New Roman" w:hAnsi="Times New Roman" w:cs="Times New Roman"/>
                <w:sz w:val="14"/>
                <w:szCs w:val="14"/>
                <w:lang w:eastAsia="sk-SK"/>
              </w:rPr>
            </w:pPr>
            <w:r w:rsidRPr="00694C2C">
              <w:rPr>
                <w:rFonts w:ascii="Times New Roman" w:hAnsi="Times New Roman" w:cs="Times New Roman"/>
                <w:sz w:val="14"/>
                <w:szCs w:val="14"/>
                <w:lang w:eastAsia="sk-SK"/>
              </w:rPr>
              <w:t xml:space="preserve">  - splátka NFV mesto Bratislava</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10 000,0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r>
      <w:tr w:rsidR="009A5E8A" w:rsidRPr="00694C2C"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6960DB" w:rsidRDefault="009A5E8A" w:rsidP="00BF752B">
            <w:pPr>
              <w:rPr>
                <w:rFonts w:ascii="Times New Roman" w:hAnsi="Times New Roman" w:cs="Times New Roman"/>
                <w:sz w:val="14"/>
                <w:szCs w:val="14"/>
                <w:lang w:eastAsia="sk-SK"/>
              </w:rPr>
            </w:pPr>
            <w:r w:rsidRPr="006960DB">
              <w:rPr>
                <w:rFonts w:ascii="Times New Roman" w:hAnsi="Times New Roman" w:cs="Times New Roman"/>
                <w:sz w:val="14"/>
                <w:szCs w:val="14"/>
                <w:lang w:eastAsia="sk-SK"/>
              </w:rPr>
              <w:t xml:space="preserve">  -  splátka NFV Univerzita Pavla Jozefa Šafárika Košice</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60DB" w:rsidRDefault="009A5E8A" w:rsidP="00BF752B">
            <w:pPr>
              <w:jc w:val="right"/>
              <w:rPr>
                <w:rFonts w:ascii="Times New Roman" w:hAnsi="Times New Roman" w:cs="Times New Roman"/>
                <w:sz w:val="14"/>
                <w:szCs w:val="14"/>
                <w:lang w:eastAsia="sk-SK"/>
              </w:rPr>
            </w:pPr>
            <w:r w:rsidRPr="006960DB">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60DB" w:rsidRDefault="009A5E8A" w:rsidP="00BF752B">
            <w:pPr>
              <w:jc w:val="right"/>
              <w:rPr>
                <w:rFonts w:ascii="Times New Roman" w:hAnsi="Times New Roman" w:cs="Times New Roman"/>
                <w:sz w:val="14"/>
                <w:szCs w:val="14"/>
                <w:lang w:eastAsia="sk-SK"/>
              </w:rPr>
            </w:pPr>
            <w:r w:rsidRPr="006960DB">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60DB" w:rsidRDefault="009A5E8A" w:rsidP="00BF752B">
            <w:pPr>
              <w:jc w:val="right"/>
              <w:rPr>
                <w:rFonts w:ascii="Times New Roman" w:hAnsi="Times New Roman" w:cs="Times New Roman"/>
                <w:sz w:val="14"/>
                <w:szCs w:val="14"/>
                <w:lang w:eastAsia="sk-SK"/>
              </w:rPr>
            </w:pPr>
            <w:r w:rsidRPr="006960DB">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60DB" w:rsidRDefault="009A5E8A" w:rsidP="00BF752B">
            <w:pPr>
              <w:jc w:val="right"/>
              <w:rPr>
                <w:rFonts w:ascii="Times New Roman" w:hAnsi="Times New Roman" w:cs="Times New Roman"/>
                <w:sz w:val="14"/>
                <w:szCs w:val="14"/>
                <w:lang w:eastAsia="sk-SK"/>
              </w:rPr>
            </w:pPr>
            <w:r w:rsidRPr="006960DB">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60DB" w:rsidRDefault="009A5E8A" w:rsidP="00BF752B">
            <w:pPr>
              <w:jc w:val="right"/>
              <w:rPr>
                <w:rFonts w:ascii="Times New Roman" w:hAnsi="Times New Roman" w:cs="Times New Roman"/>
                <w:sz w:val="14"/>
                <w:szCs w:val="14"/>
                <w:lang w:eastAsia="sk-SK"/>
              </w:rPr>
            </w:pPr>
            <w:r w:rsidRPr="006960DB">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60DB" w:rsidRDefault="009A5E8A" w:rsidP="00BF752B">
            <w:pPr>
              <w:jc w:val="right"/>
              <w:rPr>
                <w:rFonts w:ascii="Times New Roman" w:hAnsi="Times New Roman" w:cs="Times New Roman"/>
                <w:sz w:val="14"/>
                <w:szCs w:val="14"/>
                <w:lang w:eastAsia="sk-SK"/>
              </w:rPr>
            </w:pPr>
            <w:r w:rsidRPr="006960DB">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60DB" w:rsidRDefault="006960DB" w:rsidP="00BF752B">
            <w:pPr>
              <w:jc w:val="right"/>
              <w:rPr>
                <w:rFonts w:ascii="Times New Roman" w:hAnsi="Times New Roman" w:cs="Times New Roman"/>
                <w:sz w:val="14"/>
                <w:szCs w:val="14"/>
                <w:lang w:eastAsia="sk-SK"/>
              </w:rPr>
            </w:pPr>
            <w:r w:rsidRPr="006960DB">
              <w:rPr>
                <w:rFonts w:ascii="Times New Roman" w:hAnsi="Times New Roman" w:cs="Times New Roman"/>
                <w:sz w:val="14"/>
                <w:szCs w:val="14"/>
                <w:lang w:eastAsia="sk-SK"/>
              </w:rPr>
              <w:t>1 00</w:t>
            </w:r>
            <w:r w:rsidR="009A5E8A" w:rsidRPr="006960DB">
              <w:rPr>
                <w:rFonts w:ascii="Times New Roman" w:hAnsi="Times New Roman" w:cs="Times New Roman"/>
                <w:sz w:val="14"/>
                <w:szCs w:val="14"/>
                <w:lang w:eastAsia="sk-SK"/>
              </w:rPr>
              <w:t>0,0</w:t>
            </w:r>
          </w:p>
        </w:tc>
      </w:tr>
      <w:tr w:rsidR="009A5E8A" w:rsidRPr="00694C2C"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Default="009A5E8A" w:rsidP="00BF752B">
            <w:pPr>
              <w:rPr>
                <w:rFonts w:ascii="Times New Roman" w:hAnsi="Times New Roman" w:cs="Times New Roman"/>
                <w:sz w:val="14"/>
                <w:szCs w:val="14"/>
                <w:lang w:eastAsia="sk-SK"/>
              </w:rPr>
            </w:pPr>
            <w:r w:rsidRPr="00694C2C">
              <w:rPr>
                <w:rFonts w:ascii="Times New Roman" w:hAnsi="Times New Roman" w:cs="Times New Roman"/>
                <w:sz w:val="14"/>
                <w:szCs w:val="14"/>
                <w:lang w:eastAsia="sk-SK"/>
              </w:rPr>
              <w:t xml:space="preserve">  -  splátka NFV Agentúr</w:t>
            </w:r>
            <w:r>
              <w:rPr>
                <w:rFonts w:ascii="Times New Roman" w:hAnsi="Times New Roman" w:cs="Times New Roman"/>
                <w:sz w:val="14"/>
                <w:szCs w:val="14"/>
                <w:lang w:eastAsia="sk-SK"/>
              </w:rPr>
              <w:t>y</w:t>
            </w:r>
            <w:r w:rsidRPr="00694C2C">
              <w:rPr>
                <w:rFonts w:ascii="Times New Roman" w:hAnsi="Times New Roman" w:cs="Times New Roman"/>
                <w:sz w:val="14"/>
                <w:szCs w:val="14"/>
                <w:lang w:eastAsia="sk-SK"/>
              </w:rPr>
              <w:t xml:space="preserve"> pre núdz</w:t>
            </w:r>
            <w:r>
              <w:rPr>
                <w:rFonts w:ascii="Times New Roman" w:hAnsi="Times New Roman" w:cs="Times New Roman"/>
                <w:sz w:val="14"/>
                <w:szCs w:val="14"/>
                <w:lang w:eastAsia="sk-SK"/>
              </w:rPr>
              <w:t>ové</w:t>
            </w:r>
            <w:r w:rsidRPr="00694C2C">
              <w:rPr>
                <w:rFonts w:ascii="Times New Roman" w:hAnsi="Times New Roman" w:cs="Times New Roman"/>
                <w:sz w:val="14"/>
                <w:szCs w:val="14"/>
                <w:lang w:eastAsia="sk-SK"/>
              </w:rPr>
              <w:t xml:space="preserve"> zás</w:t>
            </w:r>
            <w:r>
              <w:rPr>
                <w:rFonts w:ascii="Times New Roman" w:hAnsi="Times New Roman" w:cs="Times New Roman"/>
                <w:sz w:val="14"/>
                <w:szCs w:val="14"/>
                <w:lang w:eastAsia="sk-SK"/>
              </w:rPr>
              <w:t>oby ropy</w:t>
            </w:r>
          </w:p>
          <w:p w:rsidR="009A5E8A" w:rsidRPr="00694C2C" w:rsidRDefault="009A5E8A" w:rsidP="00BF752B">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694C2C">
              <w:rPr>
                <w:rFonts w:ascii="Times New Roman" w:hAnsi="Times New Roman" w:cs="Times New Roman"/>
                <w:sz w:val="14"/>
                <w:szCs w:val="14"/>
                <w:lang w:eastAsia="sk-SK"/>
              </w:rPr>
              <w:t>a rop</w:t>
            </w:r>
            <w:r>
              <w:rPr>
                <w:rFonts w:ascii="Times New Roman" w:hAnsi="Times New Roman" w:cs="Times New Roman"/>
                <w:sz w:val="14"/>
                <w:szCs w:val="14"/>
                <w:lang w:eastAsia="sk-SK"/>
              </w:rPr>
              <w:t>ných</w:t>
            </w:r>
            <w:r w:rsidRPr="00694C2C">
              <w:rPr>
                <w:rFonts w:ascii="Times New Roman" w:hAnsi="Times New Roman" w:cs="Times New Roman"/>
                <w:sz w:val="14"/>
                <w:szCs w:val="14"/>
                <w:lang w:eastAsia="sk-SK"/>
              </w:rPr>
              <w:t xml:space="preserve"> výrob</w:t>
            </w:r>
            <w:r>
              <w:rPr>
                <w:rFonts w:ascii="Times New Roman" w:hAnsi="Times New Roman" w:cs="Times New Roman"/>
                <w:sz w:val="14"/>
                <w:szCs w:val="14"/>
                <w:lang w:eastAsia="sk-SK"/>
              </w:rPr>
              <w:t>kov</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60 000,0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66 868,0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65 087,0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65 087,0</w:t>
            </w:r>
          </w:p>
        </w:tc>
      </w:tr>
      <w:tr w:rsidR="009A5E8A" w:rsidRPr="00694C2C"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9A5E8A" w:rsidRPr="00694C2C" w:rsidRDefault="009A5E8A" w:rsidP="00BF752B">
            <w:pPr>
              <w:rPr>
                <w:rFonts w:ascii="Times New Roman" w:hAnsi="Times New Roman" w:cs="Times New Roman"/>
                <w:sz w:val="14"/>
                <w:szCs w:val="14"/>
                <w:lang w:eastAsia="sk-SK"/>
              </w:rPr>
            </w:pPr>
            <w:r w:rsidRPr="00694C2C">
              <w:rPr>
                <w:rFonts w:ascii="Times New Roman" w:hAnsi="Times New Roman" w:cs="Times New Roman"/>
                <w:sz w:val="14"/>
                <w:szCs w:val="14"/>
                <w:lang w:eastAsia="sk-SK"/>
              </w:rPr>
              <w:t xml:space="preserve">  - splátka NFV mesto Prievidza</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111,0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r>
      <w:tr w:rsidR="009A5E8A" w:rsidRPr="00694C2C" w:rsidTr="00BF752B">
        <w:trPr>
          <w:trHeight w:val="24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694C2C" w:rsidRDefault="009A5E8A" w:rsidP="00BF752B">
            <w:pPr>
              <w:rPr>
                <w:rFonts w:ascii="Times New Roman" w:hAnsi="Times New Roman" w:cs="Times New Roman"/>
                <w:sz w:val="14"/>
                <w:szCs w:val="14"/>
                <w:lang w:eastAsia="sk-SK"/>
              </w:rPr>
            </w:pPr>
            <w:r w:rsidRPr="00694C2C">
              <w:rPr>
                <w:rFonts w:ascii="Times New Roman" w:hAnsi="Times New Roman" w:cs="Times New Roman"/>
                <w:sz w:val="14"/>
                <w:szCs w:val="14"/>
                <w:lang w:eastAsia="sk-SK"/>
              </w:rPr>
              <w:t xml:space="preserve">  -  splátka NFV mesto Žilina (obytný súbor Krasňany)</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8 621,2</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r>
      <w:tr w:rsidR="009A5E8A" w:rsidRPr="00694C2C" w:rsidTr="00BF752B">
        <w:trPr>
          <w:trHeight w:val="409"/>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9A5E8A" w:rsidRPr="00694C2C" w:rsidRDefault="009A5E8A" w:rsidP="00BF752B">
            <w:pPr>
              <w:rPr>
                <w:rFonts w:ascii="Times New Roman" w:hAnsi="Times New Roman" w:cs="Times New Roman"/>
                <w:sz w:val="14"/>
                <w:szCs w:val="14"/>
                <w:lang w:eastAsia="sk-SK"/>
              </w:rPr>
            </w:pPr>
            <w:r w:rsidRPr="00694C2C">
              <w:rPr>
                <w:rFonts w:ascii="Times New Roman" w:hAnsi="Times New Roman" w:cs="Times New Roman"/>
                <w:sz w:val="14"/>
                <w:szCs w:val="14"/>
                <w:lang w:eastAsia="sk-SK"/>
              </w:rPr>
              <w:t xml:space="preserve">  -  splátka NFV MH </w:t>
            </w:r>
            <w:proofErr w:type="spellStart"/>
            <w:r w:rsidRPr="00694C2C">
              <w:rPr>
                <w:rFonts w:ascii="Times New Roman" w:hAnsi="Times New Roman" w:cs="Times New Roman"/>
                <w:sz w:val="14"/>
                <w:szCs w:val="14"/>
                <w:lang w:eastAsia="sk-SK"/>
              </w:rPr>
              <w:t>Invest</w:t>
            </w:r>
            <w:proofErr w:type="spellEnd"/>
            <w:r w:rsidRPr="00694C2C">
              <w:rPr>
                <w:rFonts w:ascii="Times New Roman" w:hAnsi="Times New Roman" w:cs="Times New Roman"/>
                <w:sz w:val="14"/>
                <w:szCs w:val="14"/>
                <w:lang w:eastAsia="sk-SK"/>
              </w:rPr>
              <w:t xml:space="preserve"> - Samsung</w:t>
            </w:r>
            <w:r w:rsidRPr="00694C2C">
              <w:rPr>
                <w:rFonts w:ascii="Times New Roman" w:hAnsi="Times New Roman" w:cs="Times New Roman"/>
                <w:sz w:val="14"/>
                <w:szCs w:val="14"/>
                <w:lang w:eastAsia="sk-SK"/>
              </w:rPr>
              <w:br/>
              <w:t xml:space="preserve">     </w:t>
            </w:r>
            <w:r w:rsidRPr="00694C2C">
              <w:rPr>
                <w:rFonts w:ascii="Times New Roman" w:hAnsi="Times New Roman" w:cs="Times New Roman"/>
                <w:i/>
                <w:iCs/>
                <w:sz w:val="14"/>
                <w:szCs w:val="14"/>
                <w:lang w:eastAsia="sk-SK"/>
              </w:rPr>
              <w:t xml:space="preserve"> (</w:t>
            </w:r>
            <w:proofErr w:type="spellStart"/>
            <w:r w:rsidRPr="00694C2C">
              <w:rPr>
                <w:rFonts w:ascii="Times New Roman" w:hAnsi="Times New Roman" w:cs="Times New Roman"/>
                <w:i/>
                <w:iCs/>
                <w:sz w:val="14"/>
                <w:szCs w:val="14"/>
                <w:lang w:eastAsia="sk-SK"/>
              </w:rPr>
              <w:t>uzn.vl</w:t>
            </w:r>
            <w:proofErr w:type="spellEnd"/>
            <w:r w:rsidRPr="00694C2C">
              <w:rPr>
                <w:rFonts w:ascii="Times New Roman" w:hAnsi="Times New Roman" w:cs="Times New Roman"/>
                <w:i/>
                <w:iCs/>
                <w:sz w:val="14"/>
                <w:szCs w:val="14"/>
                <w:lang w:eastAsia="sk-SK"/>
              </w:rPr>
              <w:t xml:space="preserve">. č.1070/2006; </w:t>
            </w:r>
            <w:proofErr w:type="spellStart"/>
            <w:r w:rsidRPr="00694C2C">
              <w:rPr>
                <w:rFonts w:ascii="Times New Roman" w:hAnsi="Times New Roman" w:cs="Times New Roman"/>
                <w:i/>
                <w:iCs/>
                <w:sz w:val="14"/>
                <w:szCs w:val="14"/>
                <w:lang w:eastAsia="sk-SK"/>
              </w:rPr>
              <w:t>uzn.vl</w:t>
            </w:r>
            <w:proofErr w:type="spellEnd"/>
            <w:r w:rsidRPr="00694C2C">
              <w:rPr>
                <w:rFonts w:ascii="Times New Roman" w:hAnsi="Times New Roman" w:cs="Times New Roman"/>
                <w:i/>
                <w:iCs/>
                <w:sz w:val="14"/>
                <w:szCs w:val="14"/>
                <w:lang w:eastAsia="sk-SK"/>
              </w:rPr>
              <w:t xml:space="preserve">. č.229/2007; </w:t>
            </w:r>
            <w:proofErr w:type="spellStart"/>
            <w:r w:rsidRPr="00694C2C">
              <w:rPr>
                <w:rFonts w:ascii="Times New Roman" w:hAnsi="Times New Roman" w:cs="Times New Roman"/>
                <w:i/>
                <w:iCs/>
                <w:sz w:val="14"/>
                <w:szCs w:val="14"/>
                <w:lang w:eastAsia="sk-SK"/>
              </w:rPr>
              <w:t>uzn.vl</w:t>
            </w:r>
            <w:proofErr w:type="spellEnd"/>
            <w:r w:rsidRPr="00694C2C">
              <w:rPr>
                <w:rFonts w:ascii="Times New Roman" w:hAnsi="Times New Roman" w:cs="Times New Roman"/>
                <w:i/>
                <w:iCs/>
                <w:sz w:val="14"/>
                <w:szCs w:val="14"/>
                <w:lang w:eastAsia="sk-SK"/>
              </w:rPr>
              <w:t>.</w:t>
            </w:r>
            <w:r w:rsidRPr="00694C2C">
              <w:rPr>
                <w:rFonts w:ascii="Times New Roman" w:hAnsi="Times New Roman" w:cs="Times New Roman"/>
                <w:i/>
                <w:iCs/>
                <w:sz w:val="14"/>
                <w:szCs w:val="14"/>
                <w:lang w:eastAsia="sk-SK"/>
              </w:rPr>
              <w:br/>
              <w:t xml:space="preserve">       č.802/2011; </w:t>
            </w:r>
            <w:proofErr w:type="spellStart"/>
            <w:r w:rsidRPr="00694C2C">
              <w:rPr>
                <w:rFonts w:ascii="Times New Roman" w:hAnsi="Times New Roman" w:cs="Times New Roman"/>
                <w:i/>
                <w:iCs/>
                <w:sz w:val="14"/>
                <w:szCs w:val="14"/>
                <w:lang w:eastAsia="sk-SK"/>
              </w:rPr>
              <w:t>uzn</w:t>
            </w:r>
            <w:proofErr w:type="spellEnd"/>
            <w:r w:rsidRPr="00694C2C">
              <w:rPr>
                <w:rFonts w:ascii="Times New Roman" w:hAnsi="Times New Roman" w:cs="Times New Roman"/>
                <w:i/>
                <w:iCs/>
                <w:sz w:val="14"/>
                <w:szCs w:val="14"/>
                <w:lang w:eastAsia="sk-SK"/>
              </w:rPr>
              <w:t xml:space="preserve">. </w:t>
            </w:r>
            <w:proofErr w:type="spellStart"/>
            <w:r w:rsidRPr="00694C2C">
              <w:rPr>
                <w:rFonts w:ascii="Times New Roman" w:hAnsi="Times New Roman" w:cs="Times New Roman"/>
                <w:i/>
                <w:iCs/>
                <w:sz w:val="14"/>
                <w:szCs w:val="14"/>
                <w:lang w:eastAsia="sk-SK"/>
              </w:rPr>
              <w:t>vl</w:t>
            </w:r>
            <w:proofErr w:type="spellEnd"/>
            <w:r w:rsidRPr="00694C2C">
              <w:rPr>
                <w:rFonts w:ascii="Times New Roman" w:hAnsi="Times New Roman" w:cs="Times New Roman"/>
                <w:i/>
                <w:iCs/>
                <w:sz w:val="14"/>
                <w:szCs w:val="14"/>
                <w:lang w:eastAsia="sk-SK"/>
              </w:rPr>
              <w:t xml:space="preserve">. č.741/2013; </w:t>
            </w:r>
            <w:proofErr w:type="spellStart"/>
            <w:r w:rsidRPr="00694C2C">
              <w:rPr>
                <w:rFonts w:ascii="Times New Roman" w:hAnsi="Times New Roman" w:cs="Times New Roman"/>
                <w:i/>
                <w:iCs/>
                <w:sz w:val="14"/>
                <w:szCs w:val="14"/>
                <w:lang w:eastAsia="sk-SK"/>
              </w:rPr>
              <w:t>uzn.vl</w:t>
            </w:r>
            <w:proofErr w:type="spellEnd"/>
            <w:r w:rsidRPr="00694C2C">
              <w:rPr>
                <w:rFonts w:ascii="Times New Roman" w:hAnsi="Times New Roman" w:cs="Times New Roman"/>
                <w:i/>
                <w:iCs/>
                <w:sz w:val="14"/>
                <w:szCs w:val="14"/>
                <w:lang w:eastAsia="sk-SK"/>
              </w:rPr>
              <w:t>. č.562/2014)</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2 720,0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9A5E8A" w:rsidRPr="00694C2C" w:rsidRDefault="009A5E8A" w:rsidP="00BF752B">
            <w:pPr>
              <w:jc w:val="right"/>
              <w:rPr>
                <w:rFonts w:ascii="Times New Roman" w:hAnsi="Times New Roman" w:cs="Times New Roman"/>
                <w:sz w:val="14"/>
                <w:szCs w:val="14"/>
                <w:lang w:eastAsia="sk-SK"/>
              </w:rPr>
            </w:pPr>
            <w:r w:rsidRPr="00694C2C">
              <w:rPr>
                <w:rFonts w:ascii="Times New Roman" w:hAnsi="Times New Roman" w:cs="Times New Roman"/>
                <w:sz w:val="14"/>
                <w:szCs w:val="14"/>
                <w:lang w:eastAsia="sk-SK"/>
              </w:rPr>
              <w:t>0,0</w:t>
            </w:r>
          </w:p>
        </w:tc>
      </w:tr>
      <w:tr w:rsidR="009A5E8A" w:rsidRPr="00694C2C" w:rsidTr="00BF752B">
        <w:trPr>
          <w:trHeight w:val="255"/>
          <w:jc w:val="center"/>
        </w:trPr>
        <w:tc>
          <w:tcPr>
            <w:tcW w:w="3421" w:type="dxa"/>
            <w:tcBorders>
              <w:top w:val="nil"/>
              <w:left w:val="single" w:sz="4" w:space="0" w:color="auto"/>
              <w:bottom w:val="single" w:sz="4" w:space="0" w:color="auto"/>
              <w:right w:val="single" w:sz="4" w:space="0" w:color="auto"/>
            </w:tcBorders>
            <w:shd w:val="clear" w:color="000000" w:fill="BFBFBF"/>
            <w:noWrap/>
            <w:vAlign w:val="center"/>
            <w:hideMark/>
          </w:tcPr>
          <w:p w:rsidR="009A5E8A" w:rsidRPr="00694C2C" w:rsidRDefault="009A5E8A" w:rsidP="00BF752B">
            <w:pPr>
              <w:rPr>
                <w:rFonts w:ascii="Times New Roman" w:hAnsi="Times New Roman" w:cs="Times New Roman"/>
                <w:b/>
                <w:bCs/>
                <w:sz w:val="14"/>
                <w:szCs w:val="14"/>
                <w:lang w:eastAsia="sk-SK"/>
              </w:rPr>
            </w:pPr>
            <w:r w:rsidRPr="00694C2C">
              <w:rPr>
                <w:rFonts w:ascii="Times New Roman" w:hAnsi="Times New Roman" w:cs="Times New Roman"/>
                <w:b/>
                <w:bCs/>
                <w:sz w:val="14"/>
                <w:szCs w:val="14"/>
                <w:lang w:eastAsia="sk-SK"/>
              </w:rPr>
              <w:t>Celkom</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694C2C" w:rsidRDefault="009A5E8A" w:rsidP="00BF752B">
            <w:pPr>
              <w:jc w:val="right"/>
              <w:rPr>
                <w:rFonts w:ascii="Times New Roman" w:hAnsi="Times New Roman" w:cs="Times New Roman"/>
                <w:b/>
                <w:bCs/>
                <w:sz w:val="14"/>
                <w:szCs w:val="14"/>
                <w:lang w:eastAsia="sk-SK"/>
              </w:rPr>
            </w:pPr>
            <w:r w:rsidRPr="00694C2C">
              <w:rPr>
                <w:rFonts w:ascii="Times New Roman" w:hAnsi="Times New Roman" w:cs="Times New Roman"/>
                <w:b/>
                <w:bCs/>
                <w:sz w:val="14"/>
                <w:szCs w:val="14"/>
                <w:lang w:eastAsia="sk-SK"/>
              </w:rPr>
              <w:t>167,2</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694C2C" w:rsidRDefault="009A5E8A" w:rsidP="00BF752B">
            <w:pPr>
              <w:jc w:val="right"/>
              <w:rPr>
                <w:rFonts w:ascii="Times New Roman" w:hAnsi="Times New Roman" w:cs="Times New Roman"/>
                <w:b/>
                <w:bCs/>
                <w:sz w:val="14"/>
                <w:szCs w:val="14"/>
                <w:lang w:eastAsia="sk-SK"/>
              </w:rPr>
            </w:pPr>
            <w:r w:rsidRPr="00694C2C">
              <w:rPr>
                <w:rFonts w:ascii="Times New Roman" w:hAnsi="Times New Roman" w:cs="Times New Roman"/>
                <w:b/>
                <w:bCs/>
                <w:sz w:val="14"/>
                <w:szCs w:val="14"/>
                <w:lang w:eastAsia="sk-SK"/>
              </w:rPr>
              <w:t>9 160,8</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694C2C" w:rsidRDefault="009A5E8A" w:rsidP="00BF752B">
            <w:pPr>
              <w:jc w:val="right"/>
              <w:rPr>
                <w:rFonts w:ascii="Times New Roman" w:hAnsi="Times New Roman" w:cs="Times New Roman"/>
                <w:b/>
                <w:bCs/>
                <w:sz w:val="14"/>
                <w:szCs w:val="14"/>
                <w:lang w:eastAsia="sk-SK"/>
              </w:rPr>
            </w:pPr>
            <w:r w:rsidRPr="00694C2C">
              <w:rPr>
                <w:rFonts w:ascii="Times New Roman" w:hAnsi="Times New Roman" w:cs="Times New Roman"/>
                <w:b/>
                <w:bCs/>
                <w:sz w:val="14"/>
                <w:szCs w:val="14"/>
                <w:lang w:eastAsia="sk-SK"/>
              </w:rPr>
              <w:t>1 295,0</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694C2C" w:rsidRDefault="009A5E8A" w:rsidP="006960DB">
            <w:pPr>
              <w:jc w:val="right"/>
              <w:rPr>
                <w:rFonts w:ascii="Times New Roman" w:hAnsi="Times New Roman" w:cs="Times New Roman"/>
                <w:b/>
                <w:bCs/>
                <w:sz w:val="14"/>
                <w:szCs w:val="14"/>
                <w:lang w:eastAsia="sk-SK"/>
              </w:rPr>
            </w:pPr>
            <w:r w:rsidRPr="00694C2C">
              <w:rPr>
                <w:rFonts w:ascii="Times New Roman" w:hAnsi="Times New Roman" w:cs="Times New Roman"/>
                <w:b/>
                <w:bCs/>
                <w:sz w:val="14"/>
                <w:szCs w:val="14"/>
                <w:lang w:eastAsia="sk-SK"/>
              </w:rPr>
              <w:t>6</w:t>
            </w:r>
            <w:r w:rsidR="006960DB">
              <w:rPr>
                <w:rFonts w:ascii="Times New Roman" w:hAnsi="Times New Roman" w:cs="Times New Roman"/>
                <w:b/>
                <w:bCs/>
                <w:sz w:val="14"/>
                <w:szCs w:val="14"/>
                <w:lang w:eastAsia="sk-SK"/>
              </w:rPr>
              <w:t>4</w:t>
            </w:r>
            <w:r w:rsidRPr="00694C2C">
              <w:rPr>
                <w:rFonts w:ascii="Times New Roman" w:hAnsi="Times New Roman" w:cs="Times New Roman"/>
                <w:b/>
                <w:bCs/>
                <w:sz w:val="14"/>
                <w:szCs w:val="14"/>
                <w:lang w:eastAsia="sk-SK"/>
              </w:rPr>
              <w:t xml:space="preserve"> 015,0</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694C2C" w:rsidRDefault="009A5E8A" w:rsidP="00BF752B">
            <w:pPr>
              <w:jc w:val="right"/>
              <w:rPr>
                <w:rFonts w:ascii="Times New Roman" w:hAnsi="Times New Roman" w:cs="Times New Roman"/>
                <w:b/>
                <w:bCs/>
                <w:sz w:val="14"/>
                <w:szCs w:val="14"/>
                <w:lang w:eastAsia="sk-SK"/>
              </w:rPr>
            </w:pPr>
            <w:r w:rsidRPr="00694C2C">
              <w:rPr>
                <w:rFonts w:ascii="Times New Roman" w:hAnsi="Times New Roman" w:cs="Times New Roman"/>
                <w:b/>
                <w:bCs/>
                <w:sz w:val="14"/>
                <w:szCs w:val="14"/>
                <w:lang w:eastAsia="sk-SK"/>
              </w:rPr>
              <w:t>79 653,0</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694C2C" w:rsidRDefault="009A5E8A" w:rsidP="00BF752B">
            <w:pPr>
              <w:jc w:val="right"/>
              <w:rPr>
                <w:rFonts w:ascii="Times New Roman" w:hAnsi="Times New Roman" w:cs="Times New Roman"/>
                <w:b/>
                <w:bCs/>
                <w:sz w:val="14"/>
                <w:szCs w:val="14"/>
                <w:lang w:eastAsia="sk-SK"/>
              </w:rPr>
            </w:pPr>
            <w:r w:rsidRPr="00694C2C">
              <w:rPr>
                <w:rFonts w:ascii="Times New Roman" w:hAnsi="Times New Roman" w:cs="Times New Roman"/>
                <w:b/>
                <w:bCs/>
                <w:sz w:val="14"/>
                <w:szCs w:val="14"/>
                <w:lang w:eastAsia="sk-SK"/>
              </w:rPr>
              <w:t>68 167,0</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694C2C" w:rsidRDefault="009A5E8A" w:rsidP="006960DB">
            <w:pPr>
              <w:jc w:val="right"/>
              <w:rPr>
                <w:rFonts w:ascii="Times New Roman" w:hAnsi="Times New Roman" w:cs="Times New Roman"/>
                <w:b/>
                <w:bCs/>
                <w:sz w:val="14"/>
                <w:szCs w:val="14"/>
                <w:lang w:eastAsia="sk-SK"/>
              </w:rPr>
            </w:pPr>
            <w:r w:rsidRPr="00694C2C">
              <w:rPr>
                <w:rFonts w:ascii="Times New Roman" w:hAnsi="Times New Roman" w:cs="Times New Roman"/>
                <w:b/>
                <w:bCs/>
                <w:sz w:val="14"/>
                <w:szCs w:val="14"/>
                <w:lang w:eastAsia="sk-SK"/>
              </w:rPr>
              <w:t>6</w:t>
            </w:r>
            <w:r w:rsidR="006960DB">
              <w:rPr>
                <w:rFonts w:ascii="Times New Roman" w:hAnsi="Times New Roman" w:cs="Times New Roman"/>
                <w:b/>
                <w:bCs/>
                <w:sz w:val="14"/>
                <w:szCs w:val="14"/>
                <w:lang w:eastAsia="sk-SK"/>
              </w:rPr>
              <w:t>8</w:t>
            </w:r>
            <w:r w:rsidRPr="00694C2C">
              <w:rPr>
                <w:rFonts w:ascii="Times New Roman" w:hAnsi="Times New Roman" w:cs="Times New Roman"/>
                <w:b/>
                <w:bCs/>
                <w:sz w:val="14"/>
                <w:szCs w:val="14"/>
                <w:lang w:eastAsia="sk-SK"/>
              </w:rPr>
              <w:t xml:space="preserve"> 352,0</w:t>
            </w:r>
          </w:p>
        </w:tc>
      </w:tr>
    </w:tbl>
    <w:p w:rsidR="009A5E8A" w:rsidRPr="00A64624" w:rsidRDefault="009A5E8A" w:rsidP="009A5E8A">
      <w:pPr>
        <w:ind w:right="72"/>
        <w:jc w:val="both"/>
        <w:rPr>
          <w:rFonts w:ascii="Times New Roman" w:hAnsi="Times New Roman" w:cs="Times New Roman"/>
          <w:highlight w:val="yellow"/>
        </w:rPr>
      </w:pPr>
    </w:p>
    <w:p w:rsidR="009A5E8A" w:rsidRDefault="009A5E8A" w:rsidP="009A5E8A">
      <w:pPr>
        <w:ind w:firstLine="703"/>
        <w:jc w:val="both"/>
        <w:rPr>
          <w:rFonts w:ascii="Times New Roman" w:hAnsi="Times New Roman" w:cs="Times New Roman"/>
        </w:rPr>
      </w:pPr>
      <w:r>
        <w:rPr>
          <w:rFonts w:ascii="Times New Roman" w:hAnsi="Times New Roman" w:cs="Times New Roman"/>
        </w:rPr>
        <w:t>Do pôsobnosti Ministerstva financií SR patrí správa a vymáhanie pohľadávok štátu z titulu prídelu doplnkového pozemkového majetku presídlencom z Maďarska na základe Dohody medzi Československom a Maďarskom o výmene obyvateľstva publikovanej pod</w:t>
      </w:r>
      <w:r>
        <w:rPr>
          <w:rFonts w:ascii="Times New Roman" w:hAnsi="Times New Roman" w:cs="Times New Roman"/>
        </w:rPr>
        <w:br/>
        <w:t xml:space="preserve">č. 145/1946 Zb. Celková pohľadávka štátu voči týmto fyzickým osobám bola </w:t>
      </w:r>
      <w:r w:rsidRPr="003E4F10">
        <w:rPr>
          <w:rFonts w:ascii="Times New Roman" w:hAnsi="Times New Roman" w:cs="Times New Roman"/>
        </w:rPr>
        <w:t>k </w:t>
      </w:r>
      <w:r>
        <w:rPr>
          <w:rFonts w:ascii="Times New Roman" w:hAnsi="Times New Roman" w:cs="Times New Roman"/>
        </w:rPr>
        <w:t>31</w:t>
      </w:r>
      <w:r w:rsidRPr="003E4F10">
        <w:rPr>
          <w:rFonts w:ascii="Times New Roman" w:hAnsi="Times New Roman" w:cs="Times New Roman"/>
        </w:rPr>
        <w:t xml:space="preserve">. </w:t>
      </w:r>
      <w:r>
        <w:rPr>
          <w:rFonts w:ascii="Times New Roman" w:hAnsi="Times New Roman" w:cs="Times New Roman"/>
        </w:rPr>
        <w:t>máju</w:t>
      </w:r>
      <w:r w:rsidRPr="003E4F10">
        <w:rPr>
          <w:rFonts w:ascii="Times New Roman" w:hAnsi="Times New Roman" w:cs="Times New Roman"/>
        </w:rPr>
        <w:t xml:space="preserve"> 201</w:t>
      </w:r>
      <w:r>
        <w:rPr>
          <w:rFonts w:ascii="Times New Roman" w:hAnsi="Times New Roman" w:cs="Times New Roman"/>
        </w:rPr>
        <w:t>7</w:t>
      </w:r>
      <w:r w:rsidRPr="003E4F10">
        <w:rPr>
          <w:rFonts w:ascii="Times New Roman" w:hAnsi="Times New Roman" w:cs="Times New Roman"/>
        </w:rPr>
        <w:t xml:space="preserve"> </w:t>
      </w:r>
      <w:r w:rsidRPr="003E4F10">
        <w:rPr>
          <w:rFonts w:ascii="Times New Roman" w:hAnsi="Times New Roman" w:cs="Times New Roman"/>
        </w:rPr>
        <w:lastRenderedPageBreak/>
        <w:t xml:space="preserve">v sume </w:t>
      </w:r>
      <w:r>
        <w:rPr>
          <w:rFonts w:ascii="Times New Roman" w:hAnsi="Times New Roman" w:cs="Times New Roman"/>
        </w:rPr>
        <w:t>257,6</w:t>
      </w:r>
      <w:r w:rsidRPr="003E4F10">
        <w:rPr>
          <w:rFonts w:ascii="Times New Roman" w:hAnsi="Times New Roman" w:cs="Times New Roman"/>
        </w:rPr>
        <w:t xml:space="preserve"> tis. eur. Príjmy z tohto titulu sa v jednotlivých rokoch</w:t>
      </w:r>
      <w:r>
        <w:rPr>
          <w:rFonts w:ascii="Times New Roman" w:hAnsi="Times New Roman" w:cs="Times New Roman"/>
        </w:rPr>
        <w:t xml:space="preserve"> predpokladajú konštantne na úrovni 15 tis. eur.                                                                                                                                                                                                                                                                                                                                                                                                                               </w:t>
      </w:r>
    </w:p>
    <w:p w:rsidR="009A5E8A" w:rsidRDefault="009A5E8A" w:rsidP="009A5E8A">
      <w:pPr>
        <w:ind w:firstLine="705"/>
        <w:jc w:val="both"/>
        <w:rPr>
          <w:rFonts w:ascii="Times New Roman" w:hAnsi="Times New Roman" w:cs="Times New Roman"/>
        </w:rPr>
      </w:pPr>
    </w:p>
    <w:p w:rsidR="009A5E8A" w:rsidRDefault="009A5E8A" w:rsidP="009A5E8A">
      <w:pPr>
        <w:ind w:firstLine="705"/>
        <w:jc w:val="both"/>
        <w:rPr>
          <w:rFonts w:ascii="Times New Roman" w:hAnsi="Times New Roman" w:cs="Times New Roman"/>
        </w:rPr>
      </w:pPr>
      <w:r>
        <w:rPr>
          <w:rFonts w:ascii="Times New Roman" w:hAnsi="Times New Roman" w:cs="Times New Roman"/>
        </w:rPr>
        <w:t>Príjmy splátok návratných finančných výpomocí sú v pôsobnosti kapitoly Všeobecná pokladničná správa a v zmysle splátkových kalendárov sa v jednotlivých rokoch rozpočtového rámca 2018 až 2020 očakávajú v objemoch ako je uvedené vo vyššie uvedenej tabuľke a v nasledovnom texte:</w:t>
      </w:r>
    </w:p>
    <w:p w:rsidR="009A5E8A" w:rsidRPr="00A64624" w:rsidRDefault="009A5E8A" w:rsidP="009A5E8A">
      <w:pPr>
        <w:ind w:firstLine="705"/>
        <w:jc w:val="both"/>
        <w:rPr>
          <w:rFonts w:ascii="Times New Roman" w:hAnsi="Times New Roman" w:cs="Times New Roman"/>
        </w:rPr>
      </w:pPr>
    </w:p>
    <w:p w:rsidR="009A5E8A" w:rsidRPr="00603DA4" w:rsidRDefault="009A5E8A" w:rsidP="005D1541">
      <w:pPr>
        <w:numPr>
          <w:ilvl w:val="0"/>
          <w:numId w:val="8"/>
        </w:numPr>
        <w:jc w:val="both"/>
        <w:rPr>
          <w:rFonts w:ascii="Times New Roman" w:hAnsi="Times New Roman" w:cs="Times New Roman"/>
        </w:rPr>
      </w:pPr>
      <w:r w:rsidRPr="00603DA4">
        <w:rPr>
          <w:rFonts w:ascii="Times New Roman" w:hAnsi="Times New Roman" w:cs="Times New Roman"/>
        </w:rPr>
        <w:t>mestu Košice bola v rokoch 2014 a 2015 poskytnutá návratná finančná výpomoc v celkovej výške 20 000 tis. eur so splatnosťou na 10 rokov, s odkladom splátok na 1 rok, na financovanie projektov realizovaných na území mesta Košice s účelovým použitím na prípravu projektovej dokumentácie a súvislé opravy a rekonštrukcie komunikácií, modernizáciu električkových tratí a stratégiu rozvoja dopravy a dopravných stavieb realizovaných v rámci Operačného programu doprava, prioritná os č. 4 a na výstavbu futbalového štadióna</w:t>
      </w:r>
      <w:r>
        <w:rPr>
          <w:rFonts w:ascii="Times New Roman" w:hAnsi="Times New Roman" w:cs="Times New Roman"/>
        </w:rPr>
        <w:t>;</w:t>
      </w:r>
    </w:p>
    <w:p w:rsidR="009A5E8A" w:rsidRDefault="009A5E8A" w:rsidP="009A5E8A">
      <w:pPr>
        <w:jc w:val="both"/>
        <w:rPr>
          <w:rFonts w:ascii="Times New Roman" w:hAnsi="Times New Roman" w:cs="Times New Roman"/>
          <w:bCs/>
        </w:rPr>
      </w:pPr>
    </w:p>
    <w:p w:rsidR="009A5E8A" w:rsidRDefault="009A5E8A" w:rsidP="005D1541">
      <w:pPr>
        <w:numPr>
          <w:ilvl w:val="0"/>
          <w:numId w:val="8"/>
        </w:numPr>
        <w:jc w:val="both"/>
        <w:rPr>
          <w:rFonts w:ascii="Times New Roman" w:hAnsi="Times New Roman" w:cs="Times New Roman"/>
        </w:rPr>
      </w:pPr>
      <w:r w:rsidRPr="007554E7">
        <w:rPr>
          <w:rFonts w:ascii="Times New Roman" w:hAnsi="Times New Roman" w:cs="Times New Roman"/>
        </w:rPr>
        <w:t>v roku 201</w:t>
      </w:r>
      <w:r>
        <w:rPr>
          <w:rFonts w:ascii="Times New Roman" w:hAnsi="Times New Roman" w:cs="Times New Roman"/>
        </w:rPr>
        <w:t>6</w:t>
      </w:r>
      <w:r w:rsidRPr="007554E7">
        <w:rPr>
          <w:rFonts w:ascii="Times New Roman" w:hAnsi="Times New Roman" w:cs="Times New Roman"/>
        </w:rPr>
        <w:t xml:space="preserve"> bola mestu </w:t>
      </w:r>
      <w:r>
        <w:rPr>
          <w:rFonts w:ascii="Times New Roman" w:hAnsi="Times New Roman" w:cs="Times New Roman"/>
        </w:rPr>
        <w:t>Martin, v zmysle uznesenia</w:t>
      </w:r>
      <w:r w:rsidRPr="007554E7">
        <w:rPr>
          <w:rFonts w:ascii="Times New Roman" w:hAnsi="Times New Roman" w:cs="Times New Roman"/>
        </w:rPr>
        <w:t xml:space="preserve"> vlády SR č.</w:t>
      </w:r>
      <w:r>
        <w:rPr>
          <w:rFonts w:ascii="Times New Roman" w:hAnsi="Times New Roman" w:cs="Times New Roman"/>
        </w:rPr>
        <w:t xml:space="preserve"> </w:t>
      </w:r>
      <w:r w:rsidRPr="007554E7">
        <w:rPr>
          <w:rFonts w:ascii="Times New Roman" w:hAnsi="Times New Roman" w:cs="Times New Roman"/>
        </w:rPr>
        <w:t>11</w:t>
      </w:r>
      <w:r>
        <w:rPr>
          <w:rFonts w:ascii="Times New Roman" w:hAnsi="Times New Roman" w:cs="Times New Roman"/>
        </w:rPr>
        <w:t>8</w:t>
      </w:r>
      <w:r w:rsidRPr="007554E7">
        <w:rPr>
          <w:rFonts w:ascii="Times New Roman" w:hAnsi="Times New Roman" w:cs="Times New Roman"/>
        </w:rPr>
        <w:t xml:space="preserve"> z </w:t>
      </w:r>
      <w:r>
        <w:rPr>
          <w:rFonts w:ascii="Times New Roman" w:hAnsi="Times New Roman" w:cs="Times New Roman"/>
        </w:rPr>
        <w:t>30. marca 2016</w:t>
      </w:r>
      <w:r w:rsidRPr="007554E7">
        <w:rPr>
          <w:rFonts w:ascii="Times New Roman" w:hAnsi="Times New Roman" w:cs="Times New Roman"/>
        </w:rPr>
        <w:t xml:space="preserve">, poskytnutá návratná finančná výpomoc zo štátnych finančných aktív vo výške </w:t>
      </w:r>
      <w:r w:rsidR="00BF752B">
        <w:rPr>
          <w:rFonts w:ascii="Times New Roman" w:hAnsi="Times New Roman" w:cs="Times New Roman"/>
        </w:rPr>
        <w:br/>
      </w:r>
      <w:r w:rsidRPr="007554E7">
        <w:rPr>
          <w:rFonts w:ascii="Times New Roman" w:hAnsi="Times New Roman" w:cs="Times New Roman"/>
        </w:rPr>
        <w:t xml:space="preserve">2 500 tis. eur </w:t>
      </w:r>
      <w:r w:rsidRPr="00603DA4">
        <w:rPr>
          <w:rFonts w:ascii="Times New Roman" w:hAnsi="Times New Roman" w:cs="Times New Roman"/>
        </w:rPr>
        <w:t>so splatnosťou na 10 rokov</w:t>
      </w:r>
      <w:r>
        <w:rPr>
          <w:rFonts w:ascii="Times New Roman" w:hAnsi="Times New Roman" w:cs="Times New Roman"/>
        </w:rPr>
        <w:t xml:space="preserve"> </w:t>
      </w:r>
      <w:r w:rsidRPr="007554E7">
        <w:rPr>
          <w:rFonts w:ascii="Times New Roman" w:hAnsi="Times New Roman" w:cs="Times New Roman"/>
        </w:rPr>
        <w:t xml:space="preserve">na </w:t>
      </w:r>
      <w:r>
        <w:rPr>
          <w:rFonts w:ascii="Times New Roman" w:hAnsi="Times New Roman" w:cs="Times New Roman"/>
        </w:rPr>
        <w:t xml:space="preserve">zabezpečenie samosprávnych funkcií mesta. Splácanie bude prebiehať v pravidelných ročných splátkach vo výške </w:t>
      </w:r>
      <w:r>
        <w:rPr>
          <w:rFonts w:ascii="Times New Roman" w:hAnsi="Times New Roman" w:cs="Times New Roman"/>
        </w:rPr>
        <w:br/>
        <w:t>250 tis. eur;</w:t>
      </w:r>
    </w:p>
    <w:p w:rsidR="009A5E8A" w:rsidRDefault="009A5E8A" w:rsidP="009A5E8A">
      <w:pPr>
        <w:ind w:left="720"/>
        <w:jc w:val="both"/>
        <w:rPr>
          <w:rFonts w:ascii="Times New Roman" w:hAnsi="Times New Roman" w:cs="Times New Roman"/>
        </w:rPr>
      </w:pPr>
    </w:p>
    <w:p w:rsidR="009A5E8A" w:rsidRDefault="009A5E8A" w:rsidP="005D1541">
      <w:pPr>
        <w:numPr>
          <w:ilvl w:val="0"/>
          <w:numId w:val="8"/>
        </w:numPr>
        <w:jc w:val="both"/>
        <w:rPr>
          <w:rFonts w:ascii="Times New Roman" w:hAnsi="Times New Roman" w:cs="Times New Roman"/>
        </w:rPr>
      </w:pPr>
      <w:r w:rsidRPr="00AB0693">
        <w:rPr>
          <w:rFonts w:ascii="Times New Roman" w:hAnsi="Times New Roman" w:cs="Times New Roman"/>
        </w:rPr>
        <w:t>obci Ľubotice bola poskytnutá v roku 2014, v zmysle uznesenia vlády SR č. 537</w:t>
      </w:r>
      <w:r w:rsidR="00BF752B">
        <w:rPr>
          <w:rFonts w:ascii="Times New Roman" w:hAnsi="Times New Roman" w:cs="Times New Roman"/>
        </w:rPr>
        <w:t xml:space="preserve"> </w:t>
      </w:r>
      <w:r w:rsidR="00BF752B">
        <w:rPr>
          <w:rFonts w:ascii="Times New Roman" w:hAnsi="Times New Roman" w:cs="Times New Roman"/>
        </w:rPr>
        <w:br/>
        <w:t xml:space="preserve">z 29. októbra </w:t>
      </w:r>
      <w:r w:rsidRPr="00AB0693">
        <w:rPr>
          <w:rFonts w:ascii="Times New Roman" w:hAnsi="Times New Roman" w:cs="Times New Roman"/>
        </w:rPr>
        <w:t>2014, návratná finančná výpomoc vo výške 200 tis. eur na preklenutie dočasného nedostatku finančných prostriedkov, ktoré sú výlučne určené na úhradu definitívneho urovnania vzájomných vzťahov a odstránenia sporov medzi spoločnosťou MIJOSTA, jej spoločníkmi a </w:t>
      </w:r>
      <w:r>
        <w:rPr>
          <w:rFonts w:ascii="Times New Roman" w:hAnsi="Times New Roman" w:cs="Times New Roman"/>
        </w:rPr>
        <w:t>obcou Ľubotice. Vláda SR svojim uznesením č. 361</w:t>
      </w:r>
      <w:r w:rsidR="00BF752B">
        <w:rPr>
          <w:rFonts w:ascii="Times New Roman" w:hAnsi="Times New Roman" w:cs="Times New Roman"/>
        </w:rPr>
        <w:t xml:space="preserve"> </w:t>
      </w:r>
      <w:r w:rsidR="00BF752B">
        <w:rPr>
          <w:rFonts w:ascii="Times New Roman" w:hAnsi="Times New Roman" w:cs="Times New Roman"/>
        </w:rPr>
        <w:br/>
        <w:t xml:space="preserve">z 30. augusta </w:t>
      </w:r>
      <w:r>
        <w:rPr>
          <w:rFonts w:ascii="Times New Roman" w:hAnsi="Times New Roman" w:cs="Times New Roman"/>
        </w:rPr>
        <w:t xml:space="preserve">2016 schválila </w:t>
      </w:r>
      <w:r w:rsidRPr="0027384F">
        <w:rPr>
          <w:rFonts w:ascii="Times New Roman" w:hAnsi="Times New Roman" w:cs="Times New Roman"/>
        </w:rPr>
        <w:t>odpustenie časti návratnej finančnej výpomoci poskytnutej obci Ľubotice v sume 100 tis. eur</w:t>
      </w:r>
      <w:r>
        <w:rPr>
          <w:rFonts w:ascii="Times New Roman" w:hAnsi="Times New Roman" w:cs="Times New Roman"/>
        </w:rPr>
        <w:t>;</w:t>
      </w:r>
    </w:p>
    <w:p w:rsidR="009A5E8A" w:rsidRDefault="009A5E8A" w:rsidP="009A5E8A">
      <w:pPr>
        <w:ind w:left="720"/>
        <w:jc w:val="both"/>
        <w:rPr>
          <w:rFonts w:ascii="Times New Roman" w:hAnsi="Times New Roman" w:cs="Times New Roman"/>
        </w:rPr>
      </w:pPr>
    </w:p>
    <w:p w:rsidR="009A5E8A" w:rsidRDefault="009A5E8A" w:rsidP="005D1541">
      <w:pPr>
        <w:numPr>
          <w:ilvl w:val="0"/>
          <w:numId w:val="8"/>
        </w:numPr>
        <w:jc w:val="both"/>
        <w:rPr>
          <w:rFonts w:ascii="Times New Roman" w:hAnsi="Times New Roman" w:cs="Times New Roman"/>
        </w:rPr>
      </w:pPr>
      <w:r w:rsidRPr="007554E7">
        <w:rPr>
          <w:rFonts w:ascii="Times New Roman" w:hAnsi="Times New Roman" w:cs="Times New Roman"/>
        </w:rPr>
        <w:t>v roku 2014 bola mestu Bratislava, v zmysle uzneseni</w:t>
      </w:r>
      <w:r>
        <w:rPr>
          <w:rFonts w:ascii="Times New Roman" w:hAnsi="Times New Roman" w:cs="Times New Roman"/>
        </w:rPr>
        <w:t>a</w:t>
      </w:r>
      <w:r w:rsidRPr="007554E7">
        <w:rPr>
          <w:rFonts w:ascii="Times New Roman" w:hAnsi="Times New Roman" w:cs="Times New Roman"/>
        </w:rPr>
        <w:t xml:space="preserve"> vlády SR č.</w:t>
      </w:r>
      <w:r>
        <w:rPr>
          <w:rFonts w:ascii="Times New Roman" w:hAnsi="Times New Roman" w:cs="Times New Roman"/>
        </w:rPr>
        <w:t xml:space="preserve"> </w:t>
      </w:r>
      <w:r w:rsidRPr="007554E7">
        <w:rPr>
          <w:rFonts w:ascii="Times New Roman" w:hAnsi="Times New Roman" w:cs="Times New Roman"/>
        </w:rPr>
        <w:t>111 z</w:t>
      </w:r>
      <w:r w:rsidR="00BF752B">
        <w:rPr>
          <w:rFonts w:ascii="Times New Roman" w:hAnsi="Times New Roman" w:cs="Times New Roman"/>
        </w:rPr>
        <w:t xml:space="preserve"> </w:t>
      </w:r>
      <w:r w:rsidRPr="007554E7">
        <w:rPr>
          <w:rFonts w:ascii="Times New Roman" w:hAnsi="Times New Roman" w:cs="Times New Roman"/>
        </w:rPr>
        <w:t xml:space="preserve">12. marca 2014, poskytnutá návratná finančná výpomoc zo štátnych finančných aktív vo výške </w:t>
      </w:r>
      <w:r w:rsidR="00BF752B">
        <w:rPr>
          <w:rFonts w:ascii="Times New Roman" w:hAnsi="Times New Roman" w:cs="Times New Roman"/>
        </w:rPr>
        <w:br/>
      </w:r>
      <w:r w:rsidRPr="007554E7">
        <w:rPr>
          <w:rFonts w:ascii="Times New Roman" w:hAnsi="Times New Roman" w:cs="Times New Roman"/>
        </w:rPr>
        <w:t xml:space="preserve">2 500 tis. eur na rozvoj a podporu plnenia funkcií Bratislavy ako hlavného mesta Slovenskej republiky. Uznesením vlády SR </w:t>
      </w:r>
      <w:r w:rsidRPr="00FD714F">
        <w:rPr>
          <w:rFonts w:ascii="Times New Roman" w:hAnsi="Times New Roman" w:cs="Times New Roman"/>
        </w:rPr>
        <w:t>č.</w:t>
      </w:r>
      <w:r>
        <w:rPr>
          <w:rFonts w:ascii="Times New Roman" w:hAnsi="Times New Roman" w:cs="Times New Roman"/>
        </w:rPr>
        <w:t xml:space="preserve"> </w:t>
      </w:r>
      <w:r w:rsidRPr="00FD714F">
        <w:rPr>
          <w:rFonts w:ascii="Times New Roman" w:hAnsi="Times New Roman" w:cs="Times New Roman"/>
        </w:rPr>
        <w:t>399</w:t>
      </w:r>
      <w:r>
        <w:rPr>
          <w:rFonts w:ascii="Times New Roman" w:hAnsi="Times New Roman" w:cs="Times New Roman"/>
        </w:rPr>
        <w:t xml:space="preserve"> </w:t>
      </w:r>
      <w:r w:rsidRPr="007554E7">
        <w:rPr>
          <w:rFonts w:ascii="Times New Roman" w:hAnsi="Times New Roman" w:cs="Times New Roman"/>
        </w:rPr>
        <w:t>z</w:t>
      </w:r>
      <w:r w:rsidR="00BF752B">
        <w:rPr>
          <w:rFonts w:ascii="Times New Roman" w:hAnsi="Times New Roman" w:cs="Times New Roman"/>
        </w:rPr>
        <w:t xml:space="preserve"> </w:t>
      </w:r>
      <w:r w:rsidRPr="007554E7">
        <w:rPr>
          <w:rFonts w:ascii="Times New Roman" w:hAnsi="Times New Roman" w:cs="Times New Roman"/>
        </w:rPr>
        <w:t>8.</w:t>
      </w:r>
      <w:r>
        <w:rPr>
          <w:rFonts w:ascii="Times New Roman" w:hAnsi="Times New Roman" w:cs="Times New Roman"/>
        </w:rPr>
        <w:t xml:space="preserve"> júla </w:t>
      </w:r>
      <w:r w:rsidRPr="007554E7">
        <w:rPr>
          <w:rFonts w:ascii="Times New Roman" w:hAnsi="Times New Roman" w:cs="Times New Roman"/>
        </w:rPr>
        <w:t xml:space="preserve">2015 bola táto navýšená na celkovú čiastku vo výške 10 000 tis. eur so splatnosťou </w:t>
      </w:r>
      <w:r>
        <w:rPr>
          <w:rFonts w:ascii="Times New Roman" w:hAnsi="Times New Roman" w:cs="Times New Roman"/>
        </w:rPr>
        <w:t>najneskôr</w:t>
      </w:r>
      <w:r w:rsidR="00BF752B">
        <w:rPr>
          <w:rFonts w:ascii="Times New Roman" w:hAnsi="Times New Roman" w:cs="Times New Roman"/>
        </w:rPr>
        <w:t xml:space="preserve"> </w:t>
      </w:r>
      <w:r w:rsidRPr="007554E7">
        <w:rPr>
          <w:rFonts w:ascii="Times New Roman" w:hAnsi="Times New Roman" w:cs="Times New Roman"/>
        </w:rPr>
        <w:t>do 31. decembra 2018</w:t>
      </w:r>
      <w:r>
        <w:rPr>
          <w:rFonts w:ascii="Times New Roman" w:hAnsi="Times New Roman" w:cs="Times New Roman"/>
        </w:rPr>
        <w:t>;</w:t>
      </w:r>
    </w:p>
    <w:p w:rsidR="009A5E8A" w:rsidRDefault="009A5E8A" w:rsidP="009A5E8A">
      <w:pPr>
        <w:ind w:left="720"/>
        <w:jc w:val="both"/>
        <w:rPr>
          <w:rFonts w:ascii="Times New Roman" w:hAnsi="Times New Roman" w:cs="Times New Roman"/>
        </w:rPr>
      </w:pPr>
    </w:p>
    <w:p w:rsidR="009A5E8A" w:rsidRDefault="009A5E8A" w:rsidP="005D1541">
      <w:pPr>
        <w:numPr>
          <w:ilvl w:val="0"/>
          <w:numId w:val="8"/>
        </w:numPr>
        <w:jc w:val="both"/>
        <w:rPr>
          <w:rFonts w:ascii="Times New Roman" w:hAnsi="Times New Roman" w:cs="Times New Roman"/>
        </w:rPr>
      </w:pPr>
      <w:r w:rsidRPr="002E59BD">
        <w:rPr>
          <w:rFonts w:ascii="Times New Roman" w:hAnsi="Times New Roman" w:cs="Times New Roman"/>
        </w:rPr>
        <w:t xml:space="preserve">v roku 2016 bola Univerzite Pavla Jozefa Šafárika v Košiciach, v zmysle uznesenia vlády č. 597 z 14. decembra 2016, poskytnutá návratná finančná výpomoc zo štátnych finančných aktív vo výške 3 000 tis. eur na elimináciu následkov požiaru budovy Prírodovedeckej fakulty UPJŠ. Lehota splatnosti </w:t>
      </w:r>
      <w:r>
        <w:rPr>
          <w:rFonts w:ascii="Times New Roman" w:hAnsi="Times New Roman" w:cs="Times New Roman"/>
        </w:rPr>
        <w:t>je</w:t>
      </w:r>
      <w:r w:rsidRPr="002E59BD">
        <w:rPr>
          <w:rFonts w:ascii="Times New Roman" w:hAnsi="Times New Roman" w:cs="Times New Roman"/>
        </w:rPr>
        <w:t xml:space="preserve"> 3 roky, pričom  splátky sa budú realizovať v rovnakom objeme v rokoch 201</w:t>
      </w:r>
      <w:r w:rsidR="006960DB">
        <w:rPr>
          <w:rFonts w:ascii="Times New Roman" w:hAnsi="Times New Roman" w:cs="Times New Roman"/>
        </w:rPr>
        <w:t>8</w:t>
      </w:r>
      <w:r w:rsidRPr="002E59BD">
        <w:rPr>
          <w:rFonts w:ascii="Times New Roman" w:hAnsi="Times New Roman" w:cs="Times New Roman"/>
        </w:rPr>
        <w:t xml:space="preserve"> </w:t>
      </w:r>
      <w:r>
        <w:rPr>
          <w:rFonts w:ascii="Times New Roman" w:hAnsi="Times New Roman" w:cs="Times New Roman"/>
        </w:rPr>
        <w:t>až 20</w:t>
      </w:r>
      <w:r w:rsidR="006960DB">
        <w:rPr>
          <w:rFonts w:ascii="Times New Roman" w:hAnsi="Times New Roman" w:cs="Times New Roman"/>
        </w:rPr>
        <w:t>20</w:t>
      </w:r>
      <w:r>
        <w:rPr>
          <w:rFonts w:ascii="Times New Roman" w:hAnsi="Times New Roman" w:cs="Times New Roman"/>
        </w:rPr>
        <w:t>;</w:t>
      </w:r>
    </w:p>
    <w:p w:rsidR="009A5E8A" w:rsidRDefault="009A5E8A" w:rsidP="009A5E8A">
      <w:pPr>
        <w:jc w:val="both"/>
        <w:rPr>
          <w:rFonts w:ascii="Times New Roman" w:hAnsi="Times New Roman" w:cs="Times New Roman"/>
        </w:rPr>
      </w:pPr>
    </w:p>
    <w:p w:rsidR="009A5E8A" w:rsidRDefault="009A5E8A" w:rsidP="005D1541">
      <w:pPr>
        <w:numPr>
          <w:ilvl w:val="0"/>
          <w:numId w:val="8"/>
        </w:numPr>
        <w:jc w:val="both"/>
        <w:rPr>
          <w:rFonts w:ascii="Times New Roman" w:hAnsi="Times New Roman" w:cs="Times New Roman"/>
        </w:rPr>
      </w:pPr>
      <w:r>
        <w:rPr>
          <w:rFonts w:ascii="Times New Roman" w:hAnsi="Times New Roman" w:cs="Times New Roman"/>
        </w:rPr>
        <w:t>v roku 2014 bola Agentúre pre núdzové zásoby ropy a ropných výrobkov (ďalej „Agentúra“), v zmy</w:t>
      </w:r>
      <w:r w:rsidR="00BF752B">
        <w:rPr>
          <w:rFonts w:ascii="Times New Roman" w:hAnsi="Times New Roman" w:cs="Times New Roman"/>
        </w:rPr>
        <w:t>sle uznesenia vlády SR č. 581 z</w:t>
      </w:r>
      <w:r>
        <w:rPr>
          <w:rFonts w:ascii="Times New Roman" w:hAnsi="Times New Roman" w:cs="Times New Roman"/>
        </w:rPr>
        <w:t xml:space="preserve"> 20. novembra 2014, poskytnutá návratná finančná výpomoc zo štátnych finančných aktív vo výške 520 000 tis. eur. Pôvodne sa Agentúra zaviazala splatiť návratnú finančnú výpomoc jednorazovo v termíne do 16. decembra 2024. Zároveň však zmluva o návratnej finančnej výpomoci umožňuje predčasné splatenie celkovej sumy alebo jej častí, k čomu v súčasnosti Agentúra pristupuje.</w:t>
      </w:r>
    </w:p>
    <w:p w:rsidR="009A5E8A" w:rsidRPr="002E59BD" w:rsidRDefault="009A5E8A" w:rsidP="009A5E8A">
      <w:pPr>
        <w:ind w:left="720"/>
        <w:jc w:val="both"/>
        <w:rPr>
          <w:rFonts w:ascii="Times New Roman" w:hAnsi="Times New Roman" w:cs="Times New Roman"/>
        </w:rPr>
      </w:pPr>
    </w:p>
    <w:p w:rsidR="009A5E8A" w:rsidRPr="003A0F85" w:rsidRDefault="009A5E8A" w:rsidP="005D1541">
      <w:pPr>
        <w:pStyle w:val="Odsekzoznamu"/>
        <w:numPr>
          <w:ilvl w:val="2"/>
          <w:numId w:val="9"/>
        </w:numPr>
        <w:tabs>
          <w:tab w:val="left" w:pos="993"/>
        </w:tabs>
        <w:ind w:left="0" w:firstLine="0"/>
        <w:jc w:val="both"/>
        <w:rPr>
          <w:rFonts w:ascii="Times New Roman" w:hAnsi="Times New Roman" w:cs="Times New Roman"/>
        </w:rPr>
      </w:pPr>
      <w:r>
        <w:rPr>
          <w:rFonts w:ascii="Times New Roman" w:hAnsi="Times New Roman" w:cs="Times New Roman"/>
        </w:rPr>
        <w:lastRenderedPageBreak/>
        <w:t>V</w:t>
      </w:r>
      <w:r w:rsidRPr="003A0F85">
        <w:rPr>
          <w:rFonts w:ascii="Times New Roman" w:hAnsi="Times New Roman" w:cs="Times New Roman"/>
        </w:rPr>
        <w:t>láda SR uznesením č. 94 z 1. februára 2006 schválila návrh na výstavbu ubytovacích kapacít pre zahraničných investorov – Kia/Hyundai (Čierna Voda), v ktorom súhlasila s poskytnutím štátnych finančných aktív v sume 38 704,1 tis. eur. V zmysle investičnej zmluvy prejavili zahraniční investori (Kia/Hyundai) záujem o odkúpenie obytného komplexu po uplynutí piatich rokov od nasťahovania (v r. 2008) ich zamestnancov do vybudovaných kapacít za podmienky, že kúpna cena obytných častí bude znížená o 20 % obstarávacích nákladov. V zmysle uznesenia vlády SR č. 710</w:t>
      </w:r>
      <w:r w:rsidR="00BF752B">
        <w:rPr>
          <w:rFonts w:ascii="Times New Roman" w:hAnsi="Times New Roman" w:cs="Times New Roman"/>
        </w:rPr>
        <w:t xml:space="preserve"> z 11. decembra </w:t>
      </w:r>
      <w:r w:rsidRPr="003A0F85">
        <w:rPr>
          <w:rFonts w:ascii="Times New Roman" w:hAnsi="Times New Roman" w:cs="Times New Roman"/>
        </w:rPr>
        <w:t xml:space="preserve">2013 </w:t>
      </w:r>
      <w:r>
        <w:rPr>
          <w:rFonts w:ascii="Times New Roman" w:hAnsi="Times New Roman" w:cs="Times New Roman"/>
        </w:rPr>
        <w:t xml:space="preserve">bol </w:t>
      </w:r>
      <w:r w:rsidRPr="003A0F85">
        <w:rPr>
          <w:rFonts w:ascii="Times New Roman" w:hAnsi="Times New Roman" w:cs="Times New Roman"/>
        </w:rPr>
        <w:t>presunutý termín v</w:t>
      </w:r>
      <w:r>
        <w:rPr>
          <w:rFonts w:ascii="Times New Roman" w:hAnsi="Times New Roman" w:cs="Times New Roman"/>
        </w:rPr>
        <w:t xml:space="preserve">ysporiadania uvedených vzťahov </w:t>
      </w:r>
      <w:r w:rsidRPr="003A0F85">
        <w:rPr>
          <w:rFonts w:ascii="Times New Roman" w:hAnsi="Times New Roman" w:cs="Times New Roman"/>
        </w:rPr>
        <w:t>do 31. decembra 2018.</w:t>
      </w:r>
    </w:p>
    <w:p w:rsidR="009A5E8A" w:rsidRDefault="009A5E8A" w:rsidP="009A5E8A">
      <w:pPr>
        <w:pStyle w:val="Nadpis2"/>
        <w:rPr>
          <w:rFonts w:ascii="Times New Roman" w:hAnsi="Times New Roman"/>
          <w:b w:val="0"/>
          <w:bCs w:val="0"/>
          <w:i w:val="0"/>
          <w:iCs w:val="0"/>
          <w:sz w:val="24"/>
          <w:szCs w:val="24"/>
        </w:rPr>
      </w:pPr>
      <w:bookmarkStart w:id="218" w:name="_Toc457904311"/>
      <w:bookmarkStart w:id="219" w:name="_Toc463049708"/>
      <w:bookmarkStart w:id="220" w:name="_Toc494463976"/>
      <w:r>
        <w:rPr>
          <w:rFonts w:ascii="Times New Roman" w:hAnsi="Times New Roman"/>
          <w:i w:val="0"/>
          <w:iCs w:val="0"/>
          <w:sz w:val="24"/>
          <w:szCs w:val="24"/>
        </w:rPr>
        <w:t>5.2. Výdavkové operácie</w:t>
      </w:r>
      <w:bookmarkEnd w:id="218"/>
      <w:bookmarkEnd w:id="219"/>
      <w:bookmarkEnd w:id="220"/>
    </w:p>
    <w:p w:rsidR="009A5E8A" w:rsidRDefault="009A5E8A" w:rsidP="009A5E8A">
      <w:pPr>
        <w:rPr>
          <w:rFonts w:ascii="Times New Roman" w:hAnsi="Times New Roman" w:cs="Times New Roman"/>
        </w:rPr>
      </w:pPr>
    </w:p>
    <w:p w:rsidR="009A5E8A" w:rsidRDefault="009A5E8A" w:rsidP="009A5E8A">
      <w:pPr>
        <w:jc w:val="both"/>
        <w:rPr>
          <w:rFonts w:ascii="Times New Roman" w:hAnsi="Times New Roman" w:cs="Times New Roman"/>
        </w:rPr>
      </w:pPr>
      <w:bookmarkStart w:id="221" w:name="_Toc116476500"/>
      <w:r>
        <w:rPr>
          <w:rFonts w:ascii="Times New Roman" w:hAnsi="Times New Roman" w:cs="Times New Roman"/>
        </w:rPr>
        <w:t xml:space="preserve">5.2.1. </w:t>
      </w:r>
      <w:r>
        <w:rPr>
          <w:rFonts w:ascii="Times New Roman" w:hAnsi="Times New Roman" w:cs="Times New Roman"/>
        </w:rPr>
        <w:tab/>
        <w:t>Príjmy v zmysle bodu 5.1.1. sa v jednotlivých rokoch rozpočtového rámca 2018 až 2020 v rovnakej výške ako vstúpia do príjmov štátnych finančných aktív prevedú do príjmov štátneho rozpočtu. To znamená, že z pohľadu bilancie štátnych finančných aktív je táto operácia rozpočtovo neutrálna.</w:t>
      </w:r>
    </w:p>
    <w:p w:rsidR="009A5E8A" w:rsidRDefault="009A5E8A" w:rsidP="009A5E8A">
      <w:pPr>
        <w:jc w:val="both"/>
        <w:rPr>
          <w:rFonts w:ascii="Times New Roman" w:hAnsi="Times New Roman" w:cs="Times New Roman"/>
        </w:rPr>
      </w:pPr>
    </w:p>
    <w:p w:rsidR="009A5E8A" w:rsidRDefault="009A5E8A" w:rsidP="009A5E8A">
      <w:pPr>
        <w:jc w:val="both"/>
        <w:rPr>
          <w:rFonts w:ascii="Times New Roman" w:hAnsi="Times New Roman" w:cs="Times New Roman"/>
        </w:rPr>
      </w:pPr>
      <w:r>
        <w:rPr>
          <w:rFonts w:ascii="Times New Roman" w:hAnsi="Times New Roman" w:cs="Times New Roman"/>
        </w:rPr>
        <w:t>5.2.2.</w:t>
      </w:r>
      <w:r>
        <w:rPr>
          <w:rFonts w:ascii="Times New Roman" w:hAnsi="Times New Roman" w:cs="Times New Roman"/>
        </w:rPr>
        <w:tab/>
        <w:t>Medzi finančné operácie na strane výdavkov štátnych finančných aktív sa zaraďuje aj poskytovanie úverov a pôžičiek, účasť na majetku a splácanie istiny. V jednotlivých rokoch rozpočtového rámca 2018 až 2020 sa rozpočtujú v nižšie uvedených čiastkach.</w:t>
      </w:r>
    </w:p>
    <w:p w:rsidR="009A5E8A" w:rsidRPr="00A64624" w:rsidRDefault="009A5E8A" w:rsidP="009A5E8A">
      <w:pPr>
        <w:jc w:val="both"/>
        <w:rPr>
          <w:rFonts w:ascii="Times New Roman" w:hAnsi="Times New Roman" w:cs="Times New Roman"/>
        </w:rPr>
      </w:pPr>
    </w:p>
    <w:tbl>
      <w:tblPr>
        <w:tblW w:w="9019" w:type="dxa"/>
        <w:jc w:val="center"/>
        <w:tblCellMar>
          <w:left w:w="70" w:type="dxa"/>
          <w:right w:w="70" w:type="dxa"/>
        </w:tblCellMar>
        <w:tblLook w:val="04A0" w:firstRow="1" w:lastRow="0" w:firstColumn="1" w:lastColumn="0" w:noHBand="0" w:noVBand="1"/>
      </w:tblPr>
      <w:tblGrid>
        <w:gridCol w:w="3279"/>
        <w:gridCol w:w="820"/>
        <w:gridCol w:w="820"/>
        <w:gridCol w:w="820"/>
        <w:gridCol w:w="820"/>
        <w:gridCol w:w="820"/>
        <w:gridCol w:w="820"/>
        <w:gridCol w:w="820"/>
      </w:tblGrid>
      <w:tr w:rsidR="009A5E8A" w:rsidRPr="00A06D0C" w:rsidTr="00BF752B">
        <w:trPr>
          <w:trHeight w:val="255"/>
          <w:jc w:val="center"/>
        </w:trPr>
        <w:tc>
          <w:tcPr>
            <w:tcW w:w="3279"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9A5E8A" w:rsidRPr="00A06D0C" w:rsidRDefault="009A5E8A" w:rsidP="00BF752B">
            <w:pPr>
              <w:rPr>
                <w:rFonts w:ascii="Times New Roman" w:hAnsi="Times New Roman" w:cs="Times New Roman"/>
                <w:sz w:val="14"/>
                <w:szCs w:val="14"/>
                <w:lang w:eastAsia="sk-SK"/>
              </w:rPr>
            </w:pPr>
            <w:r w:rsidRPr="00A06D0C">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A06D0C" w:rsidRDefault="009A5E8A" w:rsidP="00BF752B">
            <w:pPr>
              <w:jc w:val="center"/>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2015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A06D0C" w:rsidRDefault="009A5E8A" w:rsidP="00BF752B">
            <w:pPr>
              <w:jc w:val="center"/>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A06D0C" w:rsidRDefault="009A5E8A" w:rsidP="00BF752B">
            <w:pPr>
              <w:jc w:val="center"/>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2017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A06D0C" w:rsidRDefault="009A5E8A" w:rsidP="00BF752B">
            <w:pPr>
              <w:jc w:val="center"/>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2017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A06D0C" w:rsidRDefault="009A5E8A" w:rsidP="00BF752B">
            <w:pPr>
              <w:jc w:val="center"/>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2018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A06D0C" w:rsidRDefault="009A5E8A" w:rsidP="00BF752B">
            <w:pPr>
              <w:jc w:val="center"/>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9A5E8A" w:rsidRPr="00A06D0C" w:rsidRDefault="009A5E8A" w:rsidP="00BF752B">
            <w:pPr>
              <w:jc w:val="center"/>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2020 N</w:t>
            </w:r>
          </w:p>
        </w:tc>
      </w:tr>
      <w:tr w:rsidR="009A5E8A" w:rsidRPr="00A06D0C" w:rsidTr="00BF752B">
        <w:trPr>
          <w:trHeight w:val="465"/>
          <w:jc w:val="center"/>
        </w:trPr>
        <w:tc>
          <w:tcPr>
            <w:tcW w:w="3279" w:type="dxa"/>
            <w:tcBorders>
              <w:top w:val="nil"/>
              <w:left w:val="single" w:sz="4" w:space="0" w:color="auto"/>
              <w:bottom w:val="single" w:sz="4" w:space="0" w:color="auto"/>
              <w:right w:val="single" w:sz="4" w:space="0" w:color="auto"/>
            </w:tcBorders>
            <w:shd w:val="clear" w:color="auto" w:fill="auto"/>
            <w:vAlign w:val="center"/>
            <w:hideMark/>
          </w:tcPr>
          <w:p w:rsidR="009A5E8A" w:rsidRPr="00A06D0C" w:rsidRDefault="009A5E8A" w:rsidP="00BF752B">
            <w:pPr>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 xml:space="preserve">IDA* </w:t>
            </w:r>
            <w:r w:rsidRPr="00A06D0C">
              <w:rPr>
                <w:rFonts w:ascii="Times New Roman" w:hAnsi="Times New Roman" w:cs="Times New Roman"/>
                <w:sz w:val="14"/>
                <w:szCs w:val="14"/>
                <w:lang w:eastAsia="sk-SK"/>
              </w:rPr>
              <w:t>- Medzinárodné združenie pre rozvoj</w:t>
            </w:r>
            <w:r w:rsidRPr="00A06D0C">
              <w:rPr>
                <w:rFonts w:ascii="Times New Roman" w:hAnsi="Times New Roman" w:cs="Times New Roman"/>
                <w:sz w:val="14"/>
                <w:szCs w:val="14"/>
                <w:lang w:eastAsia="sk-SK"/>
              </w:rPr>
              <w:br/>
              <w:t xml:space="preserve">             </w:t>
            </w:r>
            <w:r w:rsidRPr="00A06D0C">
              <w:rPr>
                <w:rFonts w:ascii="Times New Roman" w:hAnsi="Times New Roman" w:cs="Times New Roman"/>
                <w:i/>
                <w:iCs/>
                <w:sz w:val="14"/>
                <w:szCs w:val="14"/>
                <w:lang w:eastAsia="sk-SK"/>
              </w:rPr>
              <w:t>Príspevok  k financovaniu Iniciatívy</w:t>
            </w:r>
            <w:r w:rsidRPr="00A06D0C">
              <w:rPr>
                <w:rFonts w:ascii="Times New Roman" w:hAnsi="Times New Roman" w:cs="Times New Roman"/>
                <w:i/>
                <w:iCs/>
                <w:sz w:val="14"/>
                <w:szCs w:val="14"/>
                <w:lang w:eastAsia="sk-SK"/>
              </w:rPr>
              <w:br/>
              <w:t xml:space="preserve">             na multilaterálne odpustenie dlhov (MDRI) </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90,0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100,0</w:t>
            </w:r>
          </w:p>
        </w:tc>
      </w:tr>
      <w:tr w:rsidR="009A5E8A" w:rsidRPr="00A06D0C" w:rsidTr="00BF752B">
        <w:trPr>
          <w:trHeight w:val="401"/>
          <w:jc w:val="center"/>
        </w:trPr>
        <w:tc>
          <w:tcPr>
            <w:tcW w:w="3279" w:type="dxa"/>
            <w:tcBorders>
              <w:top w:val="nil"/>
              <w:left w:val="single" w:sz="4" w:space="0" w:color="auto"/>
              <w:bottom w:val="single" w:sz="4" w:space="0" w:color="auto"/>
              <w:right w:val="single" w:sz="4" w:space="0" w:color="auto"/>
            </w:tcBorders>
            <w:shd w:val="clear" w:color="auto" w:fill="auto"/>
            <w:vAlign w:val="center"/>
            <w:hideMark/>
          </w:tcPr>
          <w:p w:rsidR="009A5E8A" w:rsidRPr="00A06D0C" w:rsidRDefault="009A5E8A" w:rsidP="00BF752B">
            <w:pPr>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 xml:space="preserve">IDA* </w:t>
            </w:r>
            <w:r w:rsidRPr="00A06D0C">
              <w:rPr>
                <w:rFonts w:ascii="Times New Roman" w:hAnsi="Times New Roman" w:cs="Times New Roman"/>
                <w:sz w:val="14"/>
                <w:szCs w:val="14"/>
                <w:lang w:eastAsia="sk-SK"/>
              </w:rPr>
              <w:t>- Medzinárodné združenie pre rozvoj</w:t>
            </w:r>
            <w:r w:rsidRPr="00A06D0C">
              <w:rPr>
                <w:rFonts w:ascii="Times New Roman" w:hAnsi="Times New Roman" w:cs="Times New Roman"/>
                <w:sz w:val="14"/>
                <w:szCs w:val="14"/>
                <w:lang w:eastAsia="sk-SK"/>
              </w:rPr>
              <w:br/>
              <w:t xml:space="preserve">          </w:t>
            </w:r>
            <w:r w:rsidRPr="00A06D0C">
              <w:rPr>
                <w:rFonts w:ascii="Times New Roman" w:hAnsi="Times New Roman" w:cs="Times New Roman"/>
                <w:i/>
                <w:iCs/>
                <w:sz w:val="14"/>
                <w:szCs w:val="14"/>
                <w:lang w:eastAsia="sk-SK"/>
              </w:rPr>
              <w:t xml:space="preserve">   Príspevok na doplnenie zdrojov IDA</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2 460,0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3 000,0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r>
      <w:tr w:rsidR="009A5E8A" w:rsidRPr="00A06D0C" w:rsidTr="00BF752B">
        <w:trPr>
          <w:trHeight w:val="420"/>
          <w:jc w:val="center"/>
        </w:trPr>
        <w:tc>
          <w:tcPr>
            <w:tcW w:w="3279" w:type="dxa"/>
            <w:tcBorders>
              <w:top w:val="nil"/>
              <w:left w:val="single" w:sz="4" w:space="0" w:color="auto"/>
              <w:bottom w:val="single" w:sz="4" w:space="0" w:color="auto"/>
              <w:right w:val="single" w:sz="4" w:space="0" w:color="auto"/>
            </w:tcBorders>
            <w:shd w:val="clear" w:color="auto" w:fill="auto"/>
            <w:vAlign w:val="center"/>
            <w:hideMark/>
          </w:tcPr>
          <w:p w:rsidR="009A5E8A" w:rsidRPr="00A06D0C" w:rsidRDefault="009A5E8A" w:rsidP="00BF752B">
            <w:pPr>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 xml:space="preserve">IBRD </w:t>
            </w:r>
            <w:r w:rsidRPr="00A06D0C">
              <w:rPr>
                <w:rFonts w:ascii="Times New Roman" w:hAnsi="Times New Roman" w:cs="Times New Roman"/>
                <w:sz w:val="14"/>
                <w:szCs w:val="14"/>
                <w:lang w:eastAsia="sk-SK"/>
              </w:rPr>
              <w:t>- Medzinárodná banka pre obnovu a rozvoj</w:t>
            </w:r>
            <w:r w:rsidRPr="00A06D0C">
              <w:rPr>
                <w:rFonts w:ascii="Times New Roman" w:hAnsi="Times New Roman" w:cs="Times New Roman"/>
                <w:sz w:val="14"/>
                <w:szCs w:val="14"/>
                <w:lang w:eastAsia="sk-SK"/>
              </w:rPr>
              <w:br/>
              <w:t xml:space="preserve">             </w:t>
            </w:r>
            <w:r w:rsidRPr="00A06D0C">
              <w:rPr>
                <w:rFonts w:ascii="Times New Roman" w:hAnsi="Times New Roman" w:cs="Times New Roman"/>
                <w:i/>
                <w:iCs/>
                <w:sz w:val="14"/>
                <w:szCs w:val="14"/>
                <w:lang w:eastAsia="sk-SK"/>
              </w:rPr>
              <w:t>Rezerva na valorizáciu akcii SR</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1 000,0</w:t>
            </w:r>
          </w:p>
        </w:tc>
      </w:tr>
      <w:tr w:rsidR="009A5E8A" w:rsidRPr="00A06D0C" w:rsidTr="00BF752B">
        <w:trPr>
          <w:trHeight w:val="420"/>
          <w:jc w:val="center"/>
        </w:trPr>
        <w:tc>
          <w:tcPr>
            <w:tcW w:w="3279" w:type="dxa"/>
            <w:tcBorders>
              <w:top w:val="nil"/>
              <w:left w:val="single" w:sz="4" w:space="0" w:color="auto"/>
              <w:bottom w:val="single" w:sz="4" w:space="0" w:color="auto"/>
              <w:right w:val="single" w:sz="4" w:space="0" w:color="auto"/>
            </w:tcBorders>
            <w:shd w:val="clear" w:color="auto" w:fill="auto"/>
            <w:vAlign w:val="center"/>
            <w:hideMark/>
          </w:tcPr>
          <w:p w:rsidR="009A5E8A" w:rsidRPr="00A06D0C" w:rsidRDefault="009A5E8A" w:rsidP="00BF752B">
            <w:pPr>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EIB</w:t>
            </w:r>
            <w:r w:rsidRPr="00A06D0C">
              <w:rPr>
                <w:rFonts w:ascii="Times New Roman" w:hAnsi="Times New Roman" w:cs="Times New Roman"/>
                <w:sz w:val="14"/>
                <w:szCs w:val="14"/>
                <w:lang w:eastAsia="sk-SK"/>
              </w:rPr>
              <w:t xml:space="preserve"> - Európska investičná banka</w:t>
            </w:r>
            <w:r w:rsidRPr="00A06D0C">
              <w:rPr>
                <w:rFonts w:ascii="Times New Roman" w:hAnsi="Times New Roman" w:cs="Times New Roman"/>
                <w:sz w:val="14"/>
                <w:szCs w:val="14"/>
                <w:lang w:eastAsia="sk-SK"/>
              </w:rPr>
              <w:br/>
              <w:t xml:space="preserve">          </w:t>
            </w:r>
            <w:r w:rsidRPr="00A06D0C">
              <w:rPr>
                <w:rFonts w:ascii="Times New Roman" w:hAnsi="Times New Roman" w:cs="Times New Roman"/>
                <w:i/>
                <w:iCs/>
                <w:sz w:val="14"/>
                <w:szCs w:val="14"/>
                <w:lang w:eastAsia="sk-SK"/>
              </w:rPr>
              <w:t>Zvýšenie základného imania</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6 499,9</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10 000,0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30 000,0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r>
      <w:tr w:rsidR="009A5E8A" w:rsidRPr="00A06D0C" w:rsidTr="00BF752B">
        <w:trPr>
          <w:trHeight w:val="420"/>
          <w:jc w:val="center"/>
        </w:trPr>
        <w:tc>
          <w:tcPr>
            <w:tcW w:w="3279" w:type="dxa"/>
            <w:tcBorders>
              <w:top w:val="nil"/>
              <w:left w:val="single" w:sz="4" w:space="0" w:color="auto"/>
              <w:bottom w:val="single" w:sz="4" w:space="0" w:color="auto"/>
              <w:right w:val="single" w:sz="4" w:space="0" w:color="auto"/>
            </w:tcBorders>
            <w:shd w:val="clear" w:color="auto" w:fill="auto"/>
            <w:vAlign w:val="center"/>
            <w:hideMark/>
          </w:tcPr>
          <w:p w:rsidR="009A5E8A" w:rsidRPr="00A06D0C" w:rsidRDefault="009A5E8A" w:rsidP="00BF752B">
            <w:pPr>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 xml:space="preserve">IBRD* </w:t>
            </w:r>
            <w:r w:rsidRPr="00A06D0C">
              <w:rPr>
                <w:rFonts w:ascii="Times New Roman" w:hAnsi="Times New Roman" w:cs="Times New Roman"/>
                <w:sz w:val="14"/>
                <w:szCs w:val="14"/>
                <w:lang w:eastAsia="sk-SK"/>
              </w:rPr>
              <w:t>- Medzinárodná banka pre obnovu a rozvoj</w:t>
            </w:r>
            <w:r w:rsidRPr="00A06D0C">
              <w:rPr>
                <w:rFonts w:ascii="Times New Roman" w:hAnsi="Times New Roman" w:cs="Times New Roman"/>
                <w:sz w:val="14"/>
                <w:szCs w:val="14"/>
                <w:lang w:eastAsia="sk-SK"/>
              </w:rPr>
              <w:br/>
              <w:t xml:space="preserve">               </w:t>
            </w:r>
            <w:r w:rsidRPr="00A06D0C">
              <w:rPr>
                <w:rFonts w:ascii="Times New Roman" w:hAnsi="Times New Roman" w:cs="Times New Roman"/>
                <w:i/>
                <w:iCs/>
                <w:sz w:val="14"/>
                <w:szCs w:val="14"/>
                <w:lang w:eastAsia="sk-SK"/>
              </w:rPr>
              <w:t>Zvýšenie kapitálu</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5 608,9</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6 000,0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r>
      <w:tr w:rsidR="009A5E8A" w:rsidRPr="00A06D0C" w:rsidTr="00BF752B">
        <w:trPr>
          <w:trHeight w:val="420"/>
          <w:jc w:val="center"/>
        </w:trPr>
        <w:tc>
          <w:tcPr>
            <w:tcW w:w="3279" w:type="dxa"/>
            <w:tcBorders>
              <w:top w:val="nil"/>
              <w:left w:val="single" w:sz="4" w:space="0" w:color="auto"/>
              <w:bottom w:val="single" w:sz="4" w:space="0" w:color="auto"/>
              <w:right w:val="single" w:sz="4" w:space="0" w:color="auto"/>
            </w:tcBorders>
            <w:shd w:val="clear" w:color="auto" w:fill="auto"/>
            <w:vAlign w:val="center"/>
            <w:hideMark/>
          </w:tcPr>
          <w:p w:rsidR="009A5E8A" w:rsidRPr="00A06D0C" w:rsidRDefault="009A5E8A" w:rsidP="00BF752B">
            <w:pPr>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 xml:space="preserve">IFC* </w:t>
            </w:r>
            <w:r w:rsidRPr="00A06D0C">
              <w:rPr>
                <w:rFonts w:ascii="Times New Roman" w:hAnsi="Times New Roman" w:cs="Times New Roman"/>
                <w:sz w:val="14"/>
                <w:szCs w:val="14"/>
                <w:lang w:eastAsia="sk-SK"/>
              </w:rPr>
              <w:t>- Medzinárodná finančná korporácia</w:t>
            </w:r>
            <w:r w:rsidRPr="00A06D0C">
              <w:rPr>
                <w:rFonts w:ascii="Times New Roman" w:hAnsi="Times New Roman" w:cs="Times New Roman"/>
                <w:sz w:val="14"/>
                <w:szCs w:val="14"/>
                <w:lang w:eastAsia="sk-SK"/>
              </w:rPr>
              <w:br/>
              <w:t xml:space="preserve">            </w:t>
            </w:r>
            <w:r w:rsidRPr="00A06D0C">
              <w:rPr>
                <w:rFonts w:ascii="Times New Roman" w:hAnsi="Times New Roman" w:cs="Times New Roman"/>
                <w:i/>
                <w:iCs/>
                <w:sz w:val="14"/>
                <w:szCs w:val="14"/>
                <w:lang w:eastAsia="sk-SK"/>
              </w:rPr>
              <w:t>Zvýšenie základného imania (FO)</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4 000,0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r>
      <w:tr w:rsidR="009A5E8A" w:rsidRPr="00A06D0C" w:rsidTr="00BF752B">
        <w:trPr>
          <w:trHeight w:val="420"/>
          <w:jc w:val="center"/>
        </w:trPr>
        <w:tc>
          <w:tcPr>
            <w:tcW w:w="3279" w:type="dxa"/>
            <w:tcBorders>
              <w:top w:val="nil"/>
              <w:left w:val="single" w:sz="4" w:space="0" w:color="auto"/>
              <w:bottom w:val="single" w:sz="4" w:space="0" w:color="auto"/>
              <w:right w:val="single" w:sz="4" w:space="0" w:color="auto"/>
            </w:tcBorders>
            <w:shd w:val="clear" w:color="auto" w:fill="auto"/>
            <w:vAlign w:val="center"/>
            <w:hideMark/>
          </w:tcPr>
          <w:p w:rsidR="009A5E8A" w:rsidRPr="00A06D0C" w:rsidRDefault="009A5E8A" w:rsidP="00BF752B">
            <w:pPr>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 xml:space="preserve">MIB </w:t>
            </w:r>
            <w:r w:rsidRPr="00A06D0C">
              <w:rPr>
                <w:rFonts w:ascii="Times New Roman" w:hAnsi="Times New Roman" w:cs="Times New Roman"/>
                <w:sz w:val="14"/>
                <w:szCs w:val="14"/>
                <w:lang w:eastAsia="sk-SK"/>
              </w:rPr>
              <w:t xml:space="preserve">- Medzinárodná </w:t>
            </w:r>
            <w:proofErr w:type="spellStart"/>
            <w:r w:rsidRPr="00A06D0C">
              <w:rPr>
                <w:rFonts w:ascii="Times New Roman" w:hAnsi="Times New Roman" w:cs="Times New Roman"/>
                <w:sz w:val="14"/>
                <w:szCs w:val="14"/>
                <w:lang w:eastAsia="sk-SK"/>
              </w:rPr>
              <w:t>invetičná</w:t>
            </w:r>
            <w:proofErr w:type="spellEnd"/>
            <w:r w:rsidRPr="00A06D0C">
              <w:rPr>
                <w:rFonts w:ascii="Times New Roman" w:hAnsi="Times New Roman" w:cs="Times New Roman"/>
                <w:sz w:val="14"/>
                <w:szCs w:val="14"/>
                <w:lang w:eastAsia="sk-SK"/>
              </w:rPr>
              <w:t xml:space="preserve"> banka</w:t>
            </w:r>
            <w:r w:rsidRPr="00A06D0C">
              <w:rPr>
                <w:rFonts w:ascii="Times New Roman" w:hAnsi="Times New Roman" w:cs="Times New Roman"/>
                <w:sz w:val="14"/>
                <w:szCs w:val="14"/>
                <w:lang w:eastAsia="sk-SK"/>
              </w:rPr>
              <w:br/>
              <w:t xml:space="preserve">        </w:t>
            </w:r>
            <w:r w:rsidRPr="00A06D0C">
              <w:rPr>
                <w:rFonts w:ascii="Times New Roman" w:hAnsi="Times New Roman" w:cs="Times New Roman"/>
                <w:i/>
                <w:iCs/>
                <w:sz w:val="14"/>
                <w:szCs w:val="14"/>
                <w:lang w:eastAsia="sk-SK"/>
              </w:rPr>
              <w:t xml:space="preserve">   Vklad do základného imania (FO)</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9A5E8A" w:rsidRPr="00A06D0C" w:rsidRDefault="009A5E8A" w:rsidP="00BF752B">
            <w:pPr>
              <w:jc w:val="right"/>
              <w:rPr>
                <w:rFonts w:ascii="Times New Roman" w:hAnsi="Times New Roman" w:cs="Times New Roman"/>
                <w:sz w:val="14"/>
                <w:szCs w:val="14"/>
                <w:lang w:eastAsia="sk-SK"/>
              </w:rPr>
            </w:pPr>
            <w:r w:rsidRPr="00A06D0C">
              <w:rPr>
                <w:rFonts w:ascii="Times New Roman" w:hAnsi="Times New Roman" w:cs="Times New Roman"/>
                <w:sz w:val="14"/>
                <w:szCs w:val="14"/>
                <w:lang w:eastAsia="sk-SK"/>
              </w:rPr>
              <w:t>6 500,0</w:t>
            </w:r>
          </w:p>
        </w:tc>
      </w:tr>
      <w:tr w:rsidR="009A5E8A" w:rsidRPr="00A06D0C" w:rsidTr="00BF752B">
        <w:trPr>
          <w:trHeight w:val="255"/>
          <w:jc w:val="center"/>
        </w:trPr>
        <w:tc>
          <w:tcPr>
            <w:tcW w:w="3279" w:type="dxa"/>
            <w:tcBorders>
              <w:top w:val="nil"/>
              <w:left w:val="single" w:sz="4" w:space="0" w:color="auto"/>
              <w:bottom w:val="single" w:sz="4" w:space="0" w:color="auto"/>
              <w:right w:val="single" w:sz="4" w:space="0" w:color="auto"/>
            </w:tcBorders>
            <w:shd w:val="clear" w:color="000000" w:fill="BFBFBF"/>
            <w:vAlign w:val="center"/>
            <w:hideMark/>
          </w:tcPr>
          <w:p w:rsidR="009A5E8A" w:rsidRPr="00A06D0C" w:rsidRDefault="009A5E8A" w:rsidP="00BF752B">
            <w:pPr>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SPOLU</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A06D0C" w:rsidRDefault="009A5E8A" w:rsidP="00BF752B">
            <w:pPr>
              <w:jc w:val="right"/>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14 648,8</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A06D0C" w:rsidRDefault="009A5E8A" w:rsidP="00BF752B">
            <w:pPr>
              <w:jc w:val="right"/>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80,0</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A06D0C" w:rsidRDefault="009A5E8A" w:rsidP="00BF752B">
            <w:pPr>
              <w:jc w:val="right"/>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1 080,0</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A06D0C" w:rsidRDefault="009A5E8A" w:rsidP="00BF752B">
            <w:pPr>
              <w:jc w:val="right"/>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1 080,0</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A06D0C" w:rsidRDefault="009A5E8A" w:rsidP="00BF752B">
            <w:pPr>
              <w:jc w:val="right"/>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24 080,0</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A06D0C" w:rsidRDefault="009A5E8A" w:rsidP="00BF752B">
            <w:pPr>
              <w:jc w:val="right"/>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31 090,0</w:t>
            </w:r>
          </w:p>
        </w:tc>
        <w:tc>
          <w:tcPr>
            <w:tcW w:w="820" w:type="dxa"/>
            <w:tcBorders>
              <w:top w:val="nil"/>
              <w:left w:val="nil"/>
              <w:bottom w:val="single" w:sz="4" w:space="0" w:color="auto"/>
              <w:right w:val="single" w:sz="4" w:space="0" w:color="auto"/>
            </w:tcBorders>
            <w:shd w:val="clear" w:color="000000" w:fill="BFBFBF"/>
            <w:noWrap/>
            <w:vAlign w:val="center"/>
            <w:hideMark/>
          </w:tcPr>
          <w:p w:rsidR="009A5E8A" w:rsidRPr="00A06D0C" w:rsidRDefault="009A5E8A" w:rsidP="00BF752B">
            <w:pPr>
              <w:jc w:val="right"/>
              <w:rPr>
                <w:rFonts w:ascii="Times New Roman" w:hAnsi="Times New Roman" w:cs="Times New Roman"/>
                <w:b/>
                <w:bCs/>
                <w:sz w:val="14"/>
                <w:szCs w:val="14"/>
                <w:lang w:eastAsia="sk-SK"/>
              </w:rPr>
            </w:pPr>
            <w:r w:rsidRPr="00A06D0C">
              <w:rPr>
                <w:rFonts w:ascii="Times New Roman" w:hAnsi="Times New Roman" w:cs="Times New Roman"/>
                <w:b/>
                <w:bCs/>
                <w:sz w:val="14"/>
                <w:szCs w:val="14"/>
                <w:lang w:eastAsia="sk-SK"/>
              </w:rPr>
              <w:t>7 600,0</w:t>
            </w:r>
          </w:p>
        </w:tc>
      </w:tr>
      <w:tr w:rsidR="009A5E8A" w:rsidRPr="00A06D0C" w:rsidTr="00BF752B">
        <w:trPr>
          <w:trHeight w:val="255"/>
          <w:jc w:val="center"/>
        </w:trPr>
        <w:tc>
          <w:tcPr>
            <w:tcW w:w="9019" w:type="dxa"/>
            <w:gridSpan w:val="8"/>
            <w:tcBorders>
              <w:top w:val="single" w:sz="4" w:space="0" w:color="auto"/>
              <w:left w:val="nil"/>
              <w:bottom w:val="nil"/>
              <w:right w:val="nil"/>
            </w:tcBorders>
            <w:shd w:val="clear" w:color="auto" w:fill="auto"/>
            <w:hideMark/>
          </w:tcPr>
          <w:p w:rsidR="009A5E8A" w:rsidRPr="00A06D0C" w:rsidRDefault="009A5E8A" w:rsidP="00BF752B">
            <w:pPr>
              <w:rPr>
                <w:rFonts w:ascii="Times New Roman" w:hAnsi="Times New Roman" w:cs="Times New Roman"/>
                <w:sz w:val="14"/>
                <w:szCs w:val="14"/>
                <w:lang w:eastAsia="sk-SK"/>
              </w:rPr>
            </w:pPr>
            <w:r w:rsidRPr="00A06D0C">
              <w:rPr>
                <w:rFonts w:ascii="Times New Roman" w:hAnsi="Times New Roman" w:cs="Times New Roman"/>
                <w:sz w:val="14"/>
                <w:szCs w:val="14"/>
                <w:lang w:eastAsia="sk-SK"/>
              </w:rPr>
              <w:t>* - oficiálna rozvojová pomoc (ODA)</w:t>
            </w:r>
          </w:p>
        </w:tc>
      </w:tr>
    </w:tbl>
    <w:p w:rsidR="009A5E8A" w:rsidRPr="00A64624" w:rsidRDefault="009A5E8A" w:rsidP="009A5E8A">
      <w:pPr>
        <w:autoSpaceDE w:val="0"/>
        <w:autoSpaceDN w:val="0"/>
        <w:adjustRightInd w:val="0"/>
        <w:jc w:val="both"/>
        <w:rPr>
          <w:rFonts w:ascii="Times New Roman" w:hAnsi="Times New Roman" w:cs="Times New Roman"/>
        </w:rPr>
      </w:pPr>
    </w:p>
    <w:p w:rsidR="009A5E8A" w:rsidRDefault="009A5E8A" w:rsidP="009A5E8A">
      <w:pPr>
        <w:jc w:val="both"/>
        <w:rPr>
          <w:rFonts w:ascii="Times New Roman" w:hAnsi="Times New Roman" w:cs="Times New Roman"/>
        </w:rPr>
      </w:pPr>
      <w:r>
        <w:rPr>
          <w:rFonts w:ascii="Times New Roman" w:hAnsi="Times New Roman" w:cs="Times New Roman"/>
          <w:i/>
        </w:rPr>
        <w:t>IDA - Medzinárodné združenie pre rozvoj – príspevok k financovaniu Iniciatívy na multilaterálne odpustenie dlhov</w:t>
      </w:r>
    </w:p>
    <w:p w:rsidR="009A5E8A" w:rsidRDefault="009A5E8A" w:rsidP="009A5E8A">
      <w:pPr>
        <w:jc w:val="both"/>
        <w:rPr>
          <w:rFonts w:ascii="Times New Roman" w:hAnsi="Times New Roman" w:cs="Times New Roman"/>
        </w:rPr>
      </w:pPr>
      <w:r w:rsidRPr="00913410">
        <w:rPr>
          <w:rFonts w:ascii="Times New Roman" w:hAnsi="Times New Roman" w:cs="Times New Roman"/>
        </w:rPr>
        <w:t xml:space="preserve">Pristúpením SR k financovaniu Iniciatívy pre multilaterálne odpustenie dlhov (MDRI) v rámci Medzinárodného združenia pre rozvoj (IDA), ktorá bola schválená uznesením vlády SR č. 479 z 9. júla 2008, sa očakávajú výdavky v celkovej výške 630 </w:t>
      </w:r>
      <w:r>
        <w:rPr>
          <w:rFonts w:ascii="Times New Roman" w:hAnsi="Times New Roman" w:cs="Times New Roman"/>
        </w:rPr>
        <w:t>tis.</w:t>
      </w:r>
      <w:r w:rsidRPr="00913410">
        <w:rPr>
          <w:rFonts w:ascii="Times New Roman" w:hAnsi="Times New Roman" w:cs="Times New Roman"/>
        </w:rPr>
        <w:t xml:space="preserve"> eur až do roku 2017. Od roku 2018 </w:t>
      </w:r>
      <w:r>
        <w:rPr>
          <w:rFonts w:ascii="Times New Roman" w:hAnsi="Times New Roman" w:cs="Times New Roman"/>
        </w:rPr>
        <w:t>do roku</w:t>
      </w:r>
      <w:r w:rsidRPr="00913410">
        <w:rPr>
          <w:rFonts w:ascii="Times New Roman" w:hAnsi="Times New Roman" w:cs="Times New Roman"/>
        </w:rPr>
        <w:t xml:space="preserve"> 2028 sa očakávajú nové výdavky vo výške 1 310 </w:t>
      </w:r>
      <w:r>
        <w:rPr>
          <w:rFonts w:ascii="Times New Roman" w:hAnsi="Times New Roman" w:cs="Times New Roman"/>
        </w:rPr>
        <w:t>tis.</w:t>
      </w:r>
      <w:r w:rsidRPr="00913410">
        <w:rPr>
          <w:rFonts w:ascii="Times New Roman" w:hAnsi="Times New Roman" w:cs="Times New Roman"/>
        </w:rPr>
        <w:t xml:space="preserve"> eur. V tejto súvislosti je potrebné zabezpečiť financovanie príspevkov vo  výške 80 </w:t>
      </w:r>
      <w:r>
        <w:rPr>
          <w:rFonts w:ascii="Times New Roman" w:hAnsi="Times New Roman" w:cs="Times New Roman"/>
        </w:rPr>
        <w:t>tis.</w:t>
      </w:r>
      <w:r w:rsidRPr="00913410">
        <w:rPr>
          <w:rFonts w:ascii="Times New Roman" w:hAnsi="Times New Roman" w:cs="Times New Roman"/>
        </w:rPr>
        <w:t xml:space="preserve"> eur v roku 2018, 90 </w:t>
      </w:r>
      <w:r>
        <w:rPr>
          <w:rFonts w:ascii="Times New Roman" w:hAnsi="Times New Roman" w:cs="Times New Roman"/>
        </w:rPr>
        <w:t>tis.</w:t>
      </w:r>
      <w:r w:rsidRPr="00913410">
        <w:rPr>
          <w:rFonts w:ascii="Times New Roman" w:hAnsi="Times New Roman" w:cs="Times New Roman"/>
        </w:rPr>
        <w:t xml:space="preserve"> eur v roku 2019 a 100 </w:t>
      </w:r>
      <w:r>
        <w:rPr>
          <w:rFonts w:ascii="Times New Roman" w:hAnsi="Times New Roman" w:cs="Times New Roman"/>
        </w:rPr>
        <w:t>tis.</w:t>
      </w:r>
      <w:r w:rsidRPr="00913410">
        <w:rPr>
          <w:rFonts w:ascii="Times New Roman" w:hAnsi="Times New Roman" w:cs="Times New Roman"/>
        </w:rPr>
        <w:t xml:space="preserve"> eur v roku 2020. Príspevky sú vykazované ako oficiálna rozvojová spolupráca SR.</w:t>
      </w:r>
    </w:p>
    <w:p w:rsidR="000736F2" w:rsidRDefault="000736F2" w:rsidP="009A5E8A">
      <w:pPr>
        <w:jc w:val="both"/>
        <w:rPr>
          <w:rFonts w:ascii="Times New Roman" w:hAnsi="Times New Roman" w:cs="Times New Roman"/>
        </w:rPr>
      </w:pPr>
    </w:p>
    <w:p w:rsidR="009A5E8A" w:rsidRDefault="009A5E8A" w:rsidP="009A5E8A">
      <w:pPr>
        <w:jc w:val="both"/>
        <w:rPr>
          <w:rFonts w:ascii="Times New Roman" w:hAnsi="Times New Roman" w:cs="Times New Roman"/>
          <w:i/>
          <w:iCs/>
        </w:rPr>
      </w:pPr>
      <w:r>
        <w:rPr>
          <w:rFonts w:ascii="Times New Roman" w:hAnsi="Times New Roman" w:cs="Times New Roman"/>
          <w:i/>
          <w:iCs/>
        </w:rPr>
        <w:t>IDA - Medzinárodné združenie pre rozvoj – príspevok na doplnenie zdrojov</w:t>
      </w:r>
    </w:p>
    <w:p w:rsidR="009A5E8A" w:rsidRDefault="009A5E8A" w:rsidP="009A5E8A">
      <w:pPr>
        <w:autoSpaceDE w:val="0"/>
        <w:autoSpaceDN w:val="0"/>
        <w:adjustRightInd w:val="0"/>
        <w:jc w:val="both"/>
        <w:rPr>
          <w:rFonts w:ascii="Times New Roman" w:hAnsi="Times New Roman" w:cs="Times New Roman"/>
        </w:rPr>
      </w:pPr>
      <w:r w:rsidRPr="00913410">
        <w:rPr>
          <w:rFonts w:ascii="Times New Roman" w:hAnsi="Times New Roman" w:cs="Times New Roman"/>
        </w:rPr>
        <w:t xml:space="preserve">V roku 2017 prebehli rokovania členských štátov IDA týkajúce sa 18. doplnenia zdrojov IDA, ktoré sú účinné v rokoch 2018 </w:t>
      </w:r>
      <w:r w:rsidR="00BF752B">
        <w:rPr>
          <w:rFonts w:ascii="Times New Roman" w:hAnsi="Times New Roman" w:cs="Times New Roman"/>
        </w:rPr>
        <w:t>až</w:t>
      </w:r>
      <w:r w:rsidRPr="00913410">
        <w:rPr>
          <w:rFonts w:ascii="Times New Roman" w:hAnsi="Times New Roman" w:cs="Times New Roman"/>
        </w:rPr>
        <w:t xml:space="preserve"> 2020. SR sa zúčastnila týchto rokovaní a taktiež poskytne príspevok v rámci 18. doplnenia zdrojov IDA po internom schvaľovacom procese v rámci </w:t>
      </w:r>
      <w:r w:rsidR="00BF752B">
        <w:rPr>
          <w:rFonts w:ascii="Times New Roman" w:hAnsi="Times New Roman" w:cs="Times New Roman"/>
        </w:rPr>
        <w:br/>
      </w:r>
      <w:r w:rsidRPr="00913410">
        <w:rPr>
          <w:rFonts w:ascii="Times New Roman" w:hAnsi="Times New Roman" w:cs="Times New Roman"/>
        </w:rPr>
        <w:t>MF SR v súlade so zákonom č. 392/2015 Z.</w:t>
      </w:r>
      <w:r>
        <w:rPr>
          <w:rFonts w:ascii="Times New Roman" w:hAnsi="Times New Roman" w:cs="Times New Roman"/>
        </w:rPr>
        <w:t xml:space="preserve"> </w:t>
      </w:r>
      <w:r w:rsidRPr="00913410">
        <w:rPr>
          <w:rFonts w:ascii="Times New Roman" w:hAnsi="Times New Roman" w:cs="Times New Roman"/>
        </w:rPr>
        <w:t xml:space="preserve">z. o rozvojovej spolupráci a o zmene a doplnení </w:t>
      </w:r>
      <w:r w:rsidRPr="00913410">
        <w:rPr>
          <w:rFonts w:ascii="Times New Roman" w:hAnsi="Times New Roman" w:cs="Times New Roman"/>
        </w:rPr>
        <w:lastRenderedPageBreak/>
        <w:t xml:space="preserve">niektorých zákonov. V tejto súvislosti je potrebné zabezpečiť financovanie vo výške </w:t>
      </w:r>
      <w:r w:rsidR="00BF752B">
        <w:rPr>
          <w:rFonts w:ascii="Times New Roman" w:hAnsi="Times New Roman" w:cs="Times New Roman"/>
        </w:rPr>
        <w:br/>
      </w:r>
      <w:r w:rsidRPr="00913410">
        <w:rPr>
          <w:rFonts w:ascii="Times New Roman" w:hAnsi="Times New Roman" w:cs="Times New Roman"/>
        </w:rPr>
        <w:t>3</w:t>
      </w:r>
      <w:r w:rsidR="00BF752B">
        <w:rPr>
          <w:rFonts w:ascii="Times New Roman" w:hAnsi="Times New Roman" w:cs="Times New Roman"/>
        </w:rPr>
        <w:t>,0</w:t>
      </w:r>
      <w:r w:rsidRPr="00913410">
        <w:rPr>
          <w:rFonts w:ascii="Times New Roman" w:hAnsi="Times New Roman" w:cs="Times New Roman"/>
        </w:rPr>
        <w:t xml:space="preserve"> mil. eur v roku 2018. Príspevok bude vykázaný ako oficiálna rozvojová spolupráca SR.</w:t>
      </w:r>
    </w:p>
    <w:p w:rsidR="000736F2" w:rsidRDefault="000736F2" w:rsidP="009A5E8A">
      <w:pPr>
        <w:autoSpaceDE w:val="0"/>
        <w:autoSpaceDN w:val="0"/>
        <w:adjustRightInd w:val="0"/>
        <w:jc w:val="both"/>
        <w:rPr>
          <w:rFonts w:ascii="Times New Roman" w:hAnsi="Times New Roman" w:cs="Times New Roman"/>
        </w:rPr>
      </w:pPr>
    </w:p>
    <w:p w:rsidR="009A5E8A" w:rsidRDefault="009A5E8A" w:rsidP="009A5E8A">
      <w:pPr>
        <w:jc w:val="both"/>
        <w:rPr>
          <w:rFonts w:ascii="Times New Roman" w:hAnsi="Times New Roman" w:cs="Times New Roman"/>
          <w:i/>
          <w:iCs/>
        </w:rPr>
      </w:pPr>
      <w:r>
        <w:rPr>
          <w:rFonts w:ascii="Times New Roman" w:hAnsi="Times New Roman" w:cs="Times New Roman"/>
          <w:i/>
          <w:iCs/>
        </w:rPr>
        <w:t>IBRD - Medzinárodná banka pre obnovu a rozvoj – rezerva na valorizáciu akcií SR</w:t>
      </w:r>
    </w:p>
    <w:p w:rsidR="009A5E8A" w:rsidRDefault="009A5E8A" w:rsidP="009A5E8A">
      <w:pPr>
        <w:jc w:val="both"/>
        <w:rPr>
          <w:rFonts w:ascii="Times New Roman" w:hAnsi="Times New Roman" w:cs="Times New Roman"/>
          <w:u w:val="single"/>
        </w:rPr>
      </w:pPr>
      <w:r w:rsidRPr="00153976">
        <w:rPr>
          <w:rFonts w:ascii="Times New Roman" w:hAnsi="Times New Roman" w:cs="Times New Roman"/>
        </w:rPr>
        <w:t>V rámci rozpočtového rámca na roky 201</w:t>
      </w:r>
      <w:r>
        <w:rPr>
          <w:rFonts w:ascii="Times New Roman" w:hAnsi="Times New Roman" w:cs="Times New Roman"/>
        </w:rPr>
        <w:t>8</w:t>
      </w:r>
      <w:r w:rsidRPr="00153976">
        <w:rPr>
          <w:rFonts w:ascii="Times New Roman" w:hAnsi="Times New Roman" w:cs="Times New Roman"/>
        </w:rPr>
        <w:t xml:space="preserve"> až 20</w:t>
      </w:r>
      <w:r>
        <w:rPr>
          <w:rFonts w:ascii="Times New Roman" w:hAnsi="Times New Roman" w:cs="Times New Roman"/>
        </w:rPr>
        <w:t>20</w:t>
      </w:r>
      <w:r w:rsidRPr="00153976">
        <w:rPr>
          <w:rFonts w:ascii="Times New Roman" w:hAnsi="Times New Roman" w:cs="Times New Roman"/>
        </w:rPr>
        <w:t xml:space="preserve"> je potrebné vyčleniť 3,0 mil. eur </w:t>
      </w:r>
      <w:r w:rsidRPr="00153976">
        <w:rPr>
          <w:rFonts w:ascii="Times New Roman" w:hAnsi="Times New Roman" w:cs="Times New Roman"/>
        </w:rPr>
        <w:br/>
        <w:t xml:space="preserve">(1,0 mil. eur ročne) ako rezervu na valorizáciu akcií </w:t>
      </w:r>
      <w:r>
        <w:rPr>
          <w:rFonts w:ascii="Times New Roman" w:hAnsi="Times New Roman" w:cs="Times New Roman"/>
        </w:rPr>
        <w:t xml:space="preserve">SR </w:t>
      </w:r>
      <w:r w:rsidRPr="00153976">
        <w:rPr>
          <w:rFonts w:ascii="Times New Roman" w:hAnsi="Times New Roman" w:cs="Times New Roman"/>
        </w:rPr>
        <w:t>v IBRD, a to v súvislosti s tým, že hodnota akcií, nakoľko je evidovaná v USD, sa mení v závislosti od zmeny kurzu EUR voči USD. K úhrade predmetnej rezervy dôjde v prípade, že pohyb kurzu USD/EUR za fiškálny rok Svetovej banky presiahne úroveň 5 % zo splateného základného imania SR v IBRD – podiel v národnej mene euro.</w:t>
      </w:r>
    </w:p>
    <w:bookmarkEnd w:id="221"/>
    <w:p w:rsidR="009A5E8A" w:rsidRDefault="009A5E8A" w:rsidP="009A5E8A">
      <w:pPr>
        <w:jc w:val="both"/>
        <w:rPr>
          <w:rFonts w:ascii="Times New Roman" w:hAnsi="Times New Roman" w:cs="Times New Roman"/>
          <w:i/>
          <w:iCs/>
        </w:rPr>
      </w:pPr>
    </w:p>
    <w:p w:rsidR="009A5E8A" w:rsidRPr="00C36D9C" w:rsidRDefault="009A5E8A" w:rsidP="009A5E8A">
      <w:pPr>
        <w:jc w:val="both"/>
        <w:rPr>
          <w:rFonts w:ascii="Times New Roman" w:hAnsi="Times New Roman" w:cs="Times New Roman"/>
          <w:i/>
          <w:iCs/>
        </w:rPr>
      </w:pPr>
      <w:r w:rsidRPr="00C36D9C">
        <w:rPr>
          <w:rFonts w:ascii="Times New Roman" w:hAnsi="Times New Roman" w:cs="Times New Roman"/>
          <w:i/>
          <w:iCs/>
        </w:rPr>
        <w:t>EIB - Európska investičná ban</w:t>
      </w:r>
      <w:r>
        <w:rPr>
          <w:rFonts w:ascii="Times New Roman" w:hAnsi="Times New Roman" w:cs="Times New Roman"/>
          <w:i/>
          <w:iCs/>
        </w:rPr>
        <w:t>ka - zvýšenie základného imania</w:t>
      </w:r>
    </w:p>
    <w:p w:rsidR="009A5E8A" w:rsidRDefault="009A5E8A" w:rsidP="009A5E8A">
      <w:pPr>
        <w:jc w:val="both"/>
        <w:rPr>
          <w:rFonts w:ascii="Times New Roman" w:hAnsi="Times New Roman" w:cs="Times New Roman"/>
        </w:rPr>
      </w:pPr>
      <w:r w:rsidRPr="00913410">
        <w:rPr>
          <w:rFonts w:ascii="Times New Roman" w:hAnsi="Times New Roman" w:cs="Times New Roman"/>
        </w:rPr>
        <w:t xml:space="preserve">Na rokovaní Európskej rady, ktoré sa uskutočnilo 28. a 29. júna 2012 v Bruseli a následne rozhodnutím Rady riaditeľov EIB z 3. septembra 2012 bolo schválené zvýšenie základného imania EIB o 10 mld. eur na obdobie do roku 2015. V roku 2017 sa očakávajú ďalšie diskusie k otázke finančného zabezpečenia, likvidity EIB, dopadov </w:t>
      </w:r>
      <w:proofErr w:type="spellStart"/>
      <w:r w:rsidRPr="00913410">
        <w:rPr>
          <w:rFonts w:ascii="Times New Roman" w:hAnsi="Times New Roman" w:cs="Times New Roman"/>
        </w:rPr>
        <w:t>Brexitu</w:t>
      </w:r>
      <w:proofErr w:type="spellEnd"/>
      <w:r w:rsidRPr="00913410">
        <w:rPr>
          <w:rFonts w:ascii="Times New Roman" w:hAnsi="Times New Roman" w:cs="Times New Roman"/>
        </w:rPr>
        <w:t xml:space="preserve"> na EIB a tým aj možné diskusie k navýšeniu základného imania EIB. V tejto súvislosti  </w:t>
      </w:r>
      <w:r>
        <w:rPr>
          <w:rFonts w:ascii="Times New Roman" w:hAnsi="Times New Roman" w:cs="Times New Roman"/>
        </w:rPr>
        <w:t xml:space="preserve">sa </w:t>
      </w:r>
      <w:r w:rsidRPr="00913410">
        <w:rPr>
          <w:rFonts w:ascii="Times New Roman" w:hAnsi="Times New Roman" w:cs="Times New Roman"/>
        </w:rPr>
        <w:t>navrhuje predbežne zabezpečiť financovanie účasti SR na splatenom základnom imaní EIB v roku 2018 vo výške 10 mil. eur a v roku 2019 vo výške 30 mil. eur.</w:t>
      </w:r>
    </w:p>
    <w:p w:rsidR="009A5E8A" w:rsidRDefault="009A5E8A" w:rsidP="009A5E8A">
      <w:pPr>
        <w:jc w:val="both"/>
        <w:rPr>
          <w:rFonts w:ascii="Times New Roman" w:hAnsi="Times New Roman" w:cs="Times New Roman"/>
        </w:rPr>
      </w:pPr>
    </w:p>
    <w:p w:rsidR="009A5E8A" w:rsidRPr="00913410" w:rsidRDefault="009A5E8A" w:rsidP="009A5E8A">
      <w:pPr>
        <w:jc w:val="both"/>
        <w:rPr>
          <w:rFonts w:ascii="Times New Roman" w:hAnsi="Times New Roman" w:cs="Times New Roman"/>
          <w:i/>
          <w:iCs/>
        </w:rPr>
      </w:pPr>
      <w:r w:rsidRPr="00913410">
        <w:rPr>
          <w:rFonts w:ascii="Times New Roman" w:hAnsi="Times New Roman" w:cs="Times New Roman"/>
          <w:i/>
          <w:iCs/>
        </w:rPr>
        <w:t xml:space="preserve">IBRD - Medzinárodná banka pre obnovu a rozvoj - zvýšenie základného </w:t>
      </w:r>
      <w:r>
        <w:rPr>
          <w:rFonts w:ascii="Times New Roman" w:hAnsi="Times New Roman" w:cs="Times New Roman"/>
          <w:i/>
          <w:iCs/>
        </w:rPr>
        <w:t>imania</w:t>
      </w:r>
    </w:p>
    <w:p w:rsidR="009A5E8A" w:rsidRDefault="009A5E8A" w:rsidP="009A5E8A">
      <w:pPr>
        <w:jc w:val="both"/>
        <w:rPr>
          <w:rFonts w:ascii="Times New Roman" w:hAnsi="Times New Roman" w:cs="Times New Roman"/>
        </w:rPr>
      </w:pPr>
      <w:r w:rsidRPr="00913410">
        <w:rPr>
          <w:rFonts w:ascii="Times New Roman" w:hAnsi="Times New Roman" w:cs="Times New Roman"/>
        </w:rPr>
        <w:t>Od roku 2015 prebieha revízia kapitálu v rámci IBRD a IFC. Dohoda guvernérov IBRD o potenciálnom všeobecnom navyšovaní kapitálu IBRD sa očakáva počas Výročných zasadnutí MMF a skupiny Svetovej banky v októbri 2017 s realizáciou v roku 2018. Z toho dôvodu je potrebné zabezpečiť financovanie splatenej časti základného imania vo výške 6 mil. eur v roku 2018. Príspevok bude vykázaný ako oficiálna rozvojová spolupráca SR.</w:t>
      </w:r>
    </w:p>
    <w:p w:rsidR="009A5E8A" w:rsidRDefault="009A5E8A" w:rsidP="009A5E8A">
      <w:pPr>
        <w:jc w:val="both"/>
        <w:rPr>
          <w:rFonts w:ascii="Times New Roman" w:hAnsi="Times New Roman" w:cs="Times New Roman"/>
        </w:rPr>
      </w:pPr>
    </w:p>
    <w:p w:rsidR="009A5E8A" w:rsidRPr="00913410" w:rsidRDefault="009A5E8A" w:rsidP="009A5E8A">
      <w:pPr>
        <w:jc w:val="both"/>
        <w:rPr>
          <w:rFonts w:ascii="Times New Roman" w:hAnsi="Times New Roman" w:cs="Times New Roman"/>
          <w:i/>
          <w:iCs/>
        </w:rPr>
      </w:pPr>
      <w:r w:rsidRPr="00913410">
        <w:rPr>
          <w:rFonts w:ascii="Times New Roman" w:hAnsi="Times New Roman" w:cs="Times New Roman"/>
          <w:i/>
          <w:iCs/>
        </w:rPr>
        <w:t>IFC - Medzinárodná finančná korporác</w:t>
      </w:r>
      <w:r>
        <w:rPr>
          <w:rFonts w:ascii="Times New Roman" w:hAnsi="Times New Roman" w:cs="Times New Roman"/>
          <w:i/>
          <w:iCs/>
        </w:rPr>
        <w:t>ia - zvýšenie základného imania</w:t>
      </w:r>
    </w:p>
    <w:p w:rsidR="009A5E8A" w:rsidRDefault="009A5E8A" w:rsidP="009A5E8A">
      <w:pPr>
        <w:jc w:val="both"/>
        <w:rPr>
          <w:rFonts w:ascii="Times New Roman" w:hAnsi="Times New Roman" w:cs="Times New Roman"/>
        </w:rPr>
      </w:pPr>
      <w:r w:rsidRPr="00913410">
        <w:rPr>
          <w:rFonts w:ascii="Times New Roman" w:hAnsi="Times New Roman" w:cs="Times New Roman"/>
        </w:rPr>
        <w:t>Od roku 2015 prebieha revízia kapitálu v rámci IBRD a IFC. Dohoda guvernérov IBRD o potenciálnom všeobecnom navyšovaní kapitálu IFC sa očakáva počas Výročných zasadnutí MMF a skupiny Svetovej banky v októbri 2017 s realizáciou v roku 2018. Z toho dôvodu je potrebné zabezpečiť financovanie splatenej časti základného imania vo výške 4 mil. eur v roku 2018. Príspevok bude vykázaný ako oficiálna rozvojová spolupráca SR.</w:t>
      </w:r>
    </w:p>
    <w:p w:rsidR="009A5E8A" w:rsidRDefault="009A5E8A" w:rsidP="009A5E8A">
      <w:pPr>
        <w:jc w:val="both"/>
        <w:rPr>
          <w:rFonts w:ascii="Times New Roman" w:hAnsi="Times New Roman" w:cs="Times New Roman"/>
        </w:rPr>
      </w:pPr>
    </w:p>
    <w:p w:rsidR="009A5E8A" w:rsidRPr="00913410" w:rsidRDefault="009A5E8A" w:rsidP="009A5E8A">
      <w:pPr>
        <w:jc w:val="both"/>
        <w:rPr>
          <w:rFonts w:ascii="Times New Roman" w:hAnsi="Times New Roman" w:cs="Times New Roman"/>
          <w:i/>
          <w:iCs/>
        </w:rPr>
      </w:pPr>
      <w:r w:rsidRPr="00913410">
        <w:rPr>
          <w:rFonts w:ascii="Times New Roman" w:hAnsi="Times New Roman" w:cs="Times New Roman"/>
          <w:i/>
          <w:iCs/>
        </w:rPr>
        <w:t>MIB - Medzinárodná investičná ban</w:t>
      </w:r>
      <w:r>
        <w:rPr>
          <w:rFonts w:ascii="Times New Roman" w:hAnsi="Times New Roman" w:cs="Times New Roman"/>
          <w:i/>
          <w:iCs/>
        </w:rPr>
        <w:t>ka - zvýšenie základného imania</w:t>
      </w:r>
    </w:p>
    <w:p w:rsidR="009A5E8A" w:rsidRDefault="009A5E8A" w:rsidP="009A5E8A">
      <w:pPr>
        <w:jc w:val="both"/>
        <w:rPr>
          <w:rFonts w:ascii="Times New Roman" w:hAnsi="Times New Roman" w:cs="Times New Roman"/>
        </w:rPr>
      </w:pPr>
      <w:r w:rsidRPr="00913410">
        <w:rPr>
          <w:rFonts w:ascii="Times New Roman" w:hAnsi="Times New Roman" w:cs="Times New Roman"/>
        </w:rPr>
        <w:t>MIB pripravuje novú stratégiu rozvoja na roky 2018</w:t>
      </w:r>
      <w:r w:rsidR="00BF752B">
        <w:rPr>
          <w:rFonts w:ascii="Times New Roman" w:hAnsi="Times New Roman" w:cs="Times New Roman"/>
        </w:rPr>
        <w:t xml:space="preserve"> až </w:t>
      </w:r>
      <w:r w:rsidRPr="00913410">
        <w:rPr>
          <w:rFonts w:ascii="Times New Roman" w:hAnsi="Times New Roman" w:cs="Times New Roman"/>
        </w:rPr>
        <w:t>2022, v rámci ktorej sa predpokladá diskusia o zvyšova</w:t>
      </w:r>
      <w:r>
        <w:rPr>
          <w:rFonts w:ascii="Times New Roman" w:hAnsi="Times New Roman" w:cs="Times New Roman"/>
        </w:rPr>
        <w:t>n</w:t>
      </w:r>
      <w:r w:rsidRPr="00913410">
        <w:rPr>
          <w:rFonts w:ascii="Times New Roman" w:hAnsi="Times New Roman" w:cs="Times New Roman"/>
        </w:rPr>
        <w:t xml:space="preserve">í základného imania v roku 2019 s realizáciou v roku 2020. Z toho dôvodu </w:t>
      </w:r>
      <w:r>
        <w:rPr>
          <w:rFonts w:ascii="Times New Roman" w:hAnsi="Times New Roman" w:cs="Times New Roman"/>
        </w:rPr>
        <w:t xml:space="preserve">navrhujeme predbežne zabezpečiť financovanie účasti SR na splatenom základom imaní MIB </w:t>
      </w:r>
      <w:r w:rsidRPr="00913410">
        <w:rPr>
          <w:rFonts w:ascii="Times New Roman" w:hAnsi="Times New Roman" w:cs="Times New Roman"/>
        </w:rPr>
        <w:t>vo výške 6,5 mil. eur v roku 2020.</w:t>
      </w:r>
    </w:p>
    <w:p w:rsidR="009A5E8A" w:rsidRDefault="009A5E8A" w:rsidP="009A5E8A">
      <w:pPr>
        <w:jc w:val="both"/>
        <w:rPr>
          <w:rFonts w:ascii="Times New Roman" w:hAnsi="Times New Roman" w:cs="Times New Roman"/>
        </w:rPr>
      </w:pPr>
    </w:p>
    <w:p w:rsidR="009A5E8A" w:rsidRPr="00361AE0" w:rsidRDefault="009A5E8A" w:rsidP="009A5E8A">
      <w:pPr>
        <w:jc w:val="both"/>
        <w:rPr>
          <w:rFonts w:ascii="Times New Roman" w:hAnsi="Times New Roman" w:cs="Times New Roman"/>
        </w:rPr>
      </w:pPr>
      <w:r>
        <w:rPr>
          <w:rFonts w:ascii="Times New Roman" w:hAnsi="Times New Roman" w:cs="Times New Roman"/>
        </w:rPr>
        <w:t>5.2.3.</w:t>
      </w:r>
      <w:r>
        <w:rPr>
          <w:rFonts w:ascii="Times New Roman" w:hAnsi="Times New Roman" w:cs="Times New Roman"/>
        </w:rPr>
        <w:tab/>
        <w:t xml:space="preserve">V súvislosti s dobudovaním priemyselnej zóny Nitra – Mlynárce sa predpokladá uskutočniť zdrojové posilnenie spoločnosti MH </w:t>
      </w:r>
      <w:proofErr w:type="spellStart"/>
      <w:r>
        <w:rPr>
          <w:rFonts w:ascii="Times New Roman" w:hAnsi="Times New Roman" w:cs="Times New Roman"/>
        </w:rPr>
        <w:t>Invest</w:t>
      </w:r>
      <w:proofErr w:type="spellEnd"/>
      <w:r>
        <w:rPr>
          <w:rFonts w:ascii="Times New Roman" w:hAnsi="Times New Roman" w:cs="Times New Roman"/>
        </w:rPr>
        <w:t>, s. r. o.</w:t>
      </w:r>
    </w:p>
    <w:p w:rsidR="009A5E8A" w:rsidRDefault="009A5E8A" w:rsidP="009A5E8A">
      <w:pPr>
        <w:ind w:firstLine="708"/>
        <w:jc w:val="both"/>
        <w:rPr>
          <w:rFonts w:ascii="Times New Roman" w:hAnsi="Times New Roman" w:cs="Times New Roman"/>
        </w:rPr>
      </w:pPr>
    </w:p>
    <w:p w:rsidR="009A5E8A" w:rsidRDefault="009A5E8A" w:rsidP="009A5E8A">
      <w:pPr>
        <w:ind w:firstLine="708"/>
        <w:jc w:val="both"/>
        <w:rPr>
          <w:rFonts w:ascii="Times New Roman" w:hAnsi="Times New Roman" w:cs="Times New Roman"/>
        </w:rPr>
      </w:pPr>
      <w:r>
        <w:rPr>
          <w:rFonts w:ascii="Times New Roman" w:hAnsi="Times New Roman" w:cs="Times New Roman"/>
        </w:rPr>
        <w:t>Disponibilné zdroje štátnych finančných aktív vytvárajú predpoklad na realizáciu koncepcie oddlženia zdravotníckych zariadení, ktorá bola schválená uznesením vlády SR            č. 425</w:t>
      </w:r>
      <w:r w:rsidR="00BF752B">
        <w:rPr>
          <w:rFonts w:ascii="Times New Roman" w:hAnsi="Times New Roman" w:cs="Times New Roman"/>
        </w:rPr>
        <w:t xml:space="preserve"> z 13. septembra </w:t>
      </w:r>
      <w:r>
        <w:rPr>
          <w:rFonts w:ascii="Times New Roman" w:hAnsi="Times New Roman" w:cs="Times New Roman"/>
        </w:rPr>
        <w:t>2017. Čerpanie finančných prostriedkov v jednotlivých rokoch je závislé od realizácie jednotlivých etáp v zmysle schválenej koncepcie.</w:t>
      </w:r>
    </w:p>
    <w:p w:rsidR="00642E98" w:rsidRDefault="00642E98" w:rsidP="00642E98">
      <w:pPr>
        <w:ind w:firstLine="708"/>
        <w:jc w:val="both"/>
        <w:rPr>
          <w:rFonts w:ascii="Times New Roman" w:hAnsi="Times New Roman" w:cs="Times New Roman"/>
        </w:rPr>
      </w:pPr>
    </w:p>
    <w:sectPr w:rsidR="00642E98" w:rsidSect="00207C6D">
      <w:footerReference w:type="default" r:id="rId37"/>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3C8" w:rsidRDefault="000913C8" w:rsidP="00686060">
      <w:r>
        <w:separator/>
      </w:r>
    </w:p>
  </w:endnote>
  <w:endnote w:type="continuationSeparator" w:id="0">
    <w:p w:rsidR="000913C8" w:rsidRDefault="000913C8" w:rsidP="0068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39" w:rsidRPr="000A4CD0" w:rsidRDefault="003C2539">
    <w:pPr>
      <w:pStyle w:val="Pta"/>
      <w:jc w:val="center"/>
      <w:rPr>
        <w:rFonts w:ascii="Times New Roman" w:hAnsi="Times New Roman"/>
      </w:rPr>
    </w:pPr>
    <w:r w:rsidRPr="000A4CD0">
      <w:rPr>
        <w:rFonts w:ascii="Times New Roman" w:hAnsi="Times New Roman"/>
      </w:rPr>
      <w:fldChar w:fldCharType="begin"/>
    </w:r>
    <w:r w:rsidRPr="000A4CD0">
      <w:rPr>
        <w:rFonts w:ascii="Times New Roman" w:hAnsi="Times New Roman"/>
      </w:rPr>
      <w:instrText>PAGE   \* MERGEFORMAT</w:instrText>
    </w:r>
    <w:r w:rsidRPr="000A4CD0">
      <w:rPr>
        <w:rFonts w:ascii="Times New Roman" w:hAnsi="Times New Roman"/>
      </w:rPr>
      <w:fldChar w:fldCharType="separate"/>
    </w:r>
    <w:r w:rsidR="00776843">
      <w:rPr>
        <w:rFonts w:ascii="Times New Roman" w:hAnsi="Times New Roman"/>
        <w:noProof/>
      </w:rPr>
      <w:t>47</w:t>
    </w:r>
    <w:r w:rsidRPr="000A4CD0">
      <w:rPr>
        <w:rFonts w:ascii="Times New Roman" w:hAnsi="Times New Roman"/>
      </w:rPr>
      <w:fldChar w:fldCharType="end"/>
    </w:r>
  </w:p>
  <w:p w:rsidR="003C2539" w:rsidRDefault="003C253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3C8" w:rsidRDefault="000913C8" w:rsidP="00686060">
      <w:r>
        <w:separator/>
      </w:r>
    </w:p>
  </w:footnote>
  <w:footnote w:type="continuationSeparator" w:id="0">
    <w:p w:rsidR="000913C8" w:rsidRDefault="000913C8" w:rsidP="00686060">
      <w:r>
        <w:continuationSeparator/>
      </w:r>
    </w:p>
  </w:footnote>
  <w:footnote w:id="1">
    <w:p w:rsidR="003C2539" w:rsidRPr="001F2623" w:rsidRDefault="003C2539" w:rsidP="00D96DF0">
      <w:pPr>
        <w:ind w:left="142" w:hanging="142"/>
        <w:jc w:val="both"/>
        <w:rPr>
          <w:rStyle w:val="Odkaznapoznmkupodiarou"/>
          <w:rFonts w:ascii="Times New Roman" w:hAnsi="Times New Roman"/>
          <w:sz w:val="16"/>
          <w:szCs w:val="16"/>
          <w:vertAlign w:val="baseline"/>
          <w:lang w:eastAsia="sk-SK"/>
        </w:rPr>
      </w:pPr>
      <w:r w:rsidRPr="001F2623">
        <w:rPr>
          <w:rStyle w:val="Odkaznapoznmkupodiarou"/>
          <w:rFonts w:ascii="Times New Roman" w:hAnsi="Times New Roman"/>
          <w:sz w:val="16"/>
          <w:szCs w:val="16"/>
          <w:lang w:eastAsia="sk-SK"/>
        </w:rPr>
        <w:footnoteRef/>
      </w:r>
      <w:r w:rsidRPr="001F2623">
        <w:rPr>
          <w:rStyle w:val="Odkaznapoznmkupodiarou"/>
          <w:rFonts w:ascii="Times New Roman" w:hAnsi="Times New Roman"/>
          <w:sz w:val="16"/>
          <w:szCs w:val="16"/>
          <w:lang w:eastAsia="sk-SK"/>
        </w:rPr>
        <w:t xml:space="preserve"> </w:t>
      </w:r>
      <w:r w:rsidRPr="001F2623">
        <w:rPr>
          <w:rFonts w:ascii="Times New Roman" w:hAnsi="Times New Roman" w:cs="Times New Roman"/>
          <w:sz w:val="16"/>
          <w:szCs w:val="16"/>
          <w:lang w:eastAsia="sk-SK"/>
        </w:rPr>
        <w:t xml:space="preserve">V schválenom rozpočte bol uvedený príspevok konsolidovaný, nakoľko bol na osobitnom účte prijatý ako transfer. Metodickou zmenou </w:t>
      </w:r>
      <w:r>
        <w:rPr>
          <w:rFonts w:ascii="Times New Roman" w:hAnsi="Times New Roman" w:cs="Times New Roman"/>
          <w:sz w:val="16"/>
          <w:szCs w:val="16"/>
          <w:lang w:eastAsia="sk-SK"/>
        </w:rPr>
        <w:t xml:space="preserve">ŠÚ SR </w:t>
      </w:r>
      <w:r w:rsidRPr="001F2623">
        <w:rPr>
          <w:rFonts w:ascii="Times New Roman" w:hAnsi="Times New Roman" w:cs="Times New Roman"/>
          <w:sz w:val="16"/>
          <w:szCs w:val="16"/>
          <w:lang w:eastAsia="sk-SK"/>
        </w:rPr>
        <w:t>došlo k tomu, že uvedený príjem na osobitnom účte nie je už zaznamenaný ako transfer, ale ako príjem z poistného. Uvedené nemá vplyv na výšku schodku rozpočtu verejnej správy, má však vplyv na nominálnu výšku príjmov a výdavkov rozpočtu verejnej správy.</w:t>
      </w:r>
    </w:p>
  </w:footnote>
  <w:footnote w:id="2">
    <w:p w:rsidR="003C2539" w:rsidRPr="00645AA8" w:rsidRDefault="003C2539" w:rsidP="00D96DF0">
      <w:pPr>
        <w:pStyle w:val="Textpoznmkypodiarou"/>
        <w:ind w:left="142" w:hanging="142"/>
        <w:jc w:val="both"/>
        <w:rPr>
          <w:sz w:val="16"/>
          <w:szCs w:val="16"/>
        </w:rPr>
      </w:pPr>
      <w:r w:rsidRPr="00645AA8">
        <w:rPr>
          <w:rStyle w:val="Odkaznapoznmkupodiarou"/>
          <w:sz w:val="16"/>
          <w:szCs w:val="16"/>
        </w:rPr>
        <w:footnoteRef/>
      </w:r>
      <w:r w:rsidRPr="00645AA8">
        <w:rPr>
          <w:sz w:val="16"/>
          <w:szCs w:val="16"/>
        </w:rPr>
        <w:t xml:space="preserve"> Hospodárenie </w:t>
      </w:r>
      <w:proofErr w:type="spellStart"/>
      <w:r w:rsidRPr="00645AA8">
        <w:rPr>
          <w:sz w:val="16"/>
          <w:szCs w:val="16"/>
        </w:rPr>
        <w:t>Javys</w:t>
      </w:r>
      <w:proofErr w:type="spellEnd"/>
      <w:r w:rsidRPr="00645AA8">
        <w:rPr>
          <w:sz w:val="16"/>
          <w:szCs w:val="16"/>
        </w:rPr>
        <w:t>, a. s. nebolo súčasťou schváleného rozpočtu na rok 2017. Keďže sa stal subjektom verejnej správy až po schválení rozpočtu na rok 2017 v súčasnosti má jeho celé hospodárenie vplyv pri porovnávaní očakávanej skutočnosti a schváleného rozpočtu.</w:t>
      </w:r>
    </w:p>
  </w:footnote>
  <w:footnote w:id="3">
    <w:p w:rsidR="003C2539" w:rsidRPr="00645AA8" w:rsidRDefault="003C2539" w:rsidP="00D96DF0">
      <w:pPr>
        <w:pStyle w:val="Textpoznmkypodiarou"/>
        <w:ind w:left="142" w:hanging="142"/>
        <w:jc w:val="both"/>
        <w:rPr>
          <w:sz w:val="16"/>
          <w:szCs w:val="16"/>
        </w:rPr>
      </w:pPr>
      <w:r w:rsidRPr="00645AA8">
        <w:rPr>
          <w:rStyle w:val="Odkaznapoznmkupodiarou"/>
          <w:sz w:val="16"/>
          <w:szCs w:val="16"/>
        </w:rPr>
        <w:footnoteRef/>
      </w:r>
      <w:r w:rsidRPr="00645AA8">
        <w:rPr>
          <w:sz w:val="16"/>
          <w:szCs w:val="16"/>
        </w:rPr>
        <w:t xml:space="preserve"> Hospodárenie </w:t>
      </w:r>
      <w:r>
        <w:rPr>
          <w:sz w:val="16"/>
          <w:szCs w:val="16"/>
        </w:rPr>
        <w:t xml:space="preserve">MH </w:t>
      </w:r>
      <w:proofErr w:type="spellStart"/>
      <w:r>
        <w:rPr>
          <w:sz w:val="16"/>
          <w:szCs w:val="16"/>
        </w:rPr>
        <w:t>Invest</w:t>
      </w:r>
      <w:proofErr w:type="spellEnd"/>
      <w:r>
        <w:rPr>
          <w:sz w:val="16"/>
          <w:szCs w:val="16"/>
        </w:rPr>
        <w:t xml:space="preserve"> II, s. r. o.</w:t>
      </w:r>
      <w:r w:rsidRPr="00645AA8">
        <w:rPr>
          <w:sz w:val="16"/>
          <w:szCs w:val="16"/>
        </w:rPr>
        <w:t xml:space="preserve"> nebolo súčasťou schváleného rozpočtu na rok 2017. Keďže sa stal subjektom verejnej správy až po schválení rozpočtu na rok 2017 v súčasnosti má jeho celé hospodárenie vplyv pri porovnávaní očakávanej skutočnosti a schváleného rozpočtu.</w:t>
      </w:r>
    </w:p>
    <w:p w:rsidR="003C2539" w:rsidRPr="00645AA8" w:rsidRDefault="003C2539" w:rsidP="002E52A8">
      <w:pPr>
        <w:pStyle w:val="Textpoznmkypodiarou"/>
        <w:rPr>
          <w:sz w:val="16"/>
          <w:szCs w:val="16"/>
        </w:rPr>
      </w:pPr>
    </w:p>
  </w:footnote>
  <w:footnote w:id="4">
    <w:p w:rsidR="003C2539" w:rsidRPr="004B0A56" w:rsidRDefault="003C2539" w:rsidP="00357D21">
      <w:pPr>
        <w:pStyle w:val="Textpoznmkypodiarou"/>
        <w:ind w:left="113" w:hanging="113"/>
        <w:jc w:val="both"/>
        <w:rPr>
          <w:sz w:val="16"/>
          <w:szCs w:val="16"/>
        </w:rPr>
      </w:pPr>
      <w:r w:rsidRPr="004B0A56">
        <w:rPr>
          <w:rStyle w:val="Odkaznapoznmkupodiarou"/>
          <w:sz w:val="16"/>
          <w:szCs w:val="16"/>
        </w:rPr>
        <w:footnoteRef/>
      </w:r>
      <w:r w:rsidRPr="004B0A56">
        <w:rPr>
          <w:rFonts w:cs="Arial Narrow"/>
          <w:sz w:val="16"/>
          <w:szCs w:val="16"/>
        </w:rPr>
        <w:t xml:space="preserve"> Všetky uvádzané hodnoty sú počítané v metodike, ktorá sa používa pri posudzovaní plnenia maastrichtského kritéria pre výšku hrubého dlhu verejnej správy – tzv. maastrichtský hrubý dlh verejnej správy. Dlh verejnej správy je vyjadrený ako podiel na HDP.</w:t>
      </w:r>
    </w:p>
  </w:footnote>
  <w:footnote w:id="5">
    <w:p w:rsidR="003C2539" w:rsidRPr="004B0A56" w:rsidRDefault="003C2539" w:rsidP="00357D21">
      <w:pPr>
        <w:pStyle w:val="Textpoznmkypodiarou"/>
        <w:ind w:left="113" w:hanging="113"/>
        <w:jc w:val="both"/>
        <w:rPr>
          <w:sz w:val="16"/>
          <w:szCs w:val="16"/>
        </w:rPr>
      </w:pPr>
      <w:r w:rsidRPr="004B0A56">
        <w:rPr>
          <w:rStyle w:val="Odkaznapoznmkupodiarou"/>
          <w:sz w:val="16"/>
          <w:szCs w:val="16"/>
        </w:rPr>
        <w:footnoteRef/>
      </w:r>
      <w:r w:rsidRPr="004B0A56">
        <w:rPr>
          <w:sz w:val="16"/>
          <w:szCs w:val="16"/>
        </w:rPr>
        <w:t xml:space="preserve"> Podľa ústavného zákona č. 493/2011 </w:t>
      </w:r>
      <w:r>
        <w:rPr>
          <w:sz w:val="16"/>
          <w:szCs w:val="16"/>
        </w:rPr>
        <w:t xml:space="preserve">Z. z. </w:t>
      </w:r>
      <w:r w:rsidRPr="004B0A56">
        <w:rPr>
          <w:sz w:val="16"/>
          <w:szCs w:val="16"/>
        </w:rPr>
        <w:t xml:space="preserve">o rozpočtovej zodpovednosti bude v roku 2019 dolná hranica sankčných pásiem na úrovni </w:t>
      </w:r>
      <w:r>
        <w:rPr>
          <w:sz w:val="16"/>
          <w:szCs w:val="16"/>
        </w:rPr>
        <w:br/>
      </w:r>
      <w:r w:rsidRPr="004B0A56">
        <w:rPr>
          <w:sz w:val="16"/>
          <w:szCs w:val="16"/>
        </w:rPr>
        <w:t xml:space="preserve">48 </w:t>
      </w:r>
      <w:r w:rsidRPr="004B0A56">
        <w:rPr>
          <w:sz w:val="16"/>
          <w:szCs w:val="16"/>
          <w:lang w:val="en-US"/>
        </w:rPr>
        <w:t>% HDP</w:t>
      </w:r>
      <w:r w:rsidRPr="004B0A56">
        <w:rPr>
          <w:sz w:val="16"/>
          <w:szCs w:val="16"/>
        </w:rPr>
        <w:t>.</w:t>
      </w:r>
    </w:p>
  </w:footnote>
  <w:footnote w:id="6">
    <w:p w:rsidR="003C2539" w:rsidRDefault="003C2539" w:rsidP="00357D21">
      <w:pPr>
        <w:pStyle w:val="Textpoznmkypodiarou"/>
        <w:jc w:val="both"/>
      </w:pPr>
      <w:r w:rsidRPr="004B0A56">
        <w:rPr>
          <w:rStyle w:val="Odkaznapoznmkupodiarou"/>
          <w:sz w:val="16"/>
          <w:szCs w:val="16"/>
        </w:rPr>
        <w:footnoteRef/>
      </w:r>
      <w:r w:rsidRPr="004B0A56">
        <w:rPr>
          <w:sz w:val="16"/>
          <w:szCs w:val="16"/>
        </w:rPr>
        <w:t xml:space="preserve"> Primárne saldo predstavuje saldo verejnej správy očistené o úrokové náklady.</w:t>
      </w:r>
    </w:p>
  </w:footnote>
  <w:footnote w:id="7">
    <w:p w:rsidR="003C2539" w:rsidRPr="004B0A56" w:rsidRDefault="003C2539" w:rsidP="00357D21">
      <w:pPr>
        <w:pStyle w:val="Textpoznmkypodiarou"/>
        <w:ind w:left="113" w:hanging="113"/>
        <w:jc w:val="both"/>
        <w:rPr>
          <w:sz w:val="16"/>
          <w:szCs w:val="16"/>
        </w:rPr>
      </w:pPr>
      <w:r w:rsidRPr="004B0A56">
        <w:rPr>
          <w:rStyle w:val="Odkaznapoznmkupodiarou"/>
          <w:sz w:val="16"/>
          <w:szCs w:val="16"/>
        </w:rPr>
        <w:footnoteRef/>
      </w:r>
      <w:r w:rsidRPr="004B0A56">
        <w:rPr>
          <w:sz w:val="16"/>
          <w:szCs w:val="16"/>
        </w:rPr>
        <w:t xml:space="preserve"> Diskont pri emisii štátnych dlhopisov a štátnych pokladničných poukážok zvyšuje dlh, keďže v okamihu emisie dlhopisov narastú záväzky štátu o menovitú hodnotu dlhopisov. Štát však získava v hotovosti nižšiu sumu (zníženú o diskont). Naopak, diskont pri splatení štátnych dlhopisov znižuje dlh. Dôvodom je skutočnosť, že k nárastu dlhu dochádza už pri emisii dlhopisov, a to v nominálnej hodnote dlhopisu a nie pri ich splatení.</w:t>
      </w:r>
    </w:p>
  </w:footnote>
  <w:footnote w:id="8">
    <w:p w:rsidR="003C2539" w:rsidRPr="00300E07" w:rsidRDefault="003C2539" w:rsidP="00300E07">
      <w:pPr>
        <w:pStyle w:val="Textpoznmkypodiarou"/>
        <w:ind w:left="142" w:hanging="142"/>
        <w:jc w:val="both"/>
        <w:rPr>
          <w:sz w:val="18"/>
        </w:rPr>
      </w:pPr>
      <w:r w:rsidRPr="00300E07">
        <w:rPr>
          <w:rStyle w:val="Odkaznapoznmkupodiarou"/>
          <w:sz w:val="16"/>
          <w:szCs w:val="18"/>
        </w:rPr>
        <w:footnoteRef/>
      </w:r>
      <w:r w:rsidRPr="00300E07">
        <w:rPr>
          <w:sz w:val="18"/>
        </w:rPr>
        <w:t xml:space="preserve"> </w:t>
      </w:r>
      <w:r w:rsidRPr="00300E07">
        <w:rPr>
          <w:sz w:val="16"/>
          <w:szCs w:val="18"/>
        </w:rPr>
        <w:t>Ak je priemerná odchýlka prognózy člena (vyjadrená v %) od prognózy MF SR v intervale &lt;-1; 1&gt;, prognóza MF SR je realistická, ak je väčšia ako 1, tak prognóza MF SR je podhodnotená a ak je menšia ako -1, vtedy je nadhodnotená. Jednotlivé odchýlky v rokoch majú rozdielne váhy pri výpočte celkovej odchýlky od prognózy MF</w:t>
      </w:r>
      <w:r>
        <w:rPr>
          <w:sz w:val="16"/>
          <w:szCs w:val="18"/>
        </w:rPr>
        <w:t xml:space="preserve"> </w:t>
      </w:r>
      <w:r w:rsidRPr="00300E07">
        <w:rPr>
          <w:sz w:val="16"/>
          <w:szCs w:val="18"/>
        </w:rPr>
        <w:t>SR v závislosti od dôležitosti pre najbližší rozpočtový rok.</w:t>
      </w:r>
    </w:p>
  </w:footnote>
  <w:footnote w:id="9">
    <w:p w:rsidR="003C2539" w:rsidRPr="00207B1D" w:rsidRDefault="003C2539" w:rsidP="00300E07">
      <w:pPr>
        <w:pStyle w:val="Textpoznmkypodiarou"/>
        <w:ind w:left="142" w:hanging="142"/>
        <w:jc w:val="both"/>
        <w:rPr>
          <w:sz w:val="16"/>
        </w:rPr>
      </w:pPr>
      <w:r w:rsidRPr="00207B1D">
        <w:rPr>
          <w:rStyle w:val="Odkaznapoznmkupodiarou"/>
          <w:sz w:val="16"/>
        </w:rPr>
        <w:footnoteRef/>
      </w:r>
      <w:r w:rsidRPr="00207B1D">
        <w:rPr>
          <w:sz w:val="16"/>
        </w:rPr>
        <w:t xml:space="preserve"> Nezdaniteľná časť základu dane na daňovníka (NČZD) je definovaná ako 19,2-násobok životného minima platného k 1. januáru príslušného roka.</w:t>
      </w:r>
    </w:p>
  </w:footnote>
  <w:footnote w:id="10">
    <w:p w:rsidR="003C2539" w:rsidRPr="004B7D85" w:rsidRDefault="003C2539" w:rsidP="004B7D85">
      <w:pPr>
        <w:pStyle w:val="Textpoznmkypodiarou"/>
        <w:ind w:left="113" w:hanging="113"/>
        <w:jc w:val="both"/>
        <w:rPr>
          <w:sz w:val="16"/>
          <w:szCs w:val="16"/>
        </w:rPr>
      </w:pPr>
      <w:r w:rsidRPr="004B7D85">
        <w:rPr>
          <w:rStyle w:val="Odkaznapoznmkupodiarou"/>
          <w:sz w:val="16"/>
          <w:szCs w:val="16"/>
        </w:rPr>
        <w:footnoteRef/>
      </w:r>
      <w:r w:rsidRPr="004B7D85">
        <w:rPr>
          <w:sz w:val="16"/>
          <w:szCs w:val="16"/>
        </w:rPr>
        <w:t xml:space="preserve"> Manuál zverejňovania daňových výdavkov </w:t>
      </w:r>
      <w:hyperlink r:id="rId1" w:history="1">
        <w:r w:rsidRPr="004B7D85">
          <w:rPr>
            <w:rStyle w:val="Hypertextovprepojenie"/>
            <w:sz w:val="16"/>
            <w:szCs w:val="16"/>
          </w:rPr>
          <w:t>http://www.finance.gov.sk/Default.aspx?CatID=9761</w:t>
        </w:r>
      </w:hyperlink>
      <w:r w:rsidRPr="004B7D85">
        <w:rPr>
          <w:sz w:val="16"/>
          <w:szCs w:val="16"/>
        </w:rPr>
        <w:t>. Spôsob zverejňovania údajov o daňových výdavkov reflektuje aj odporúčania EK (viac v manuáli).</w:t>
      </w:r>
    </w:p>
  </w:footnote>
  <w:footnote w:id="11">
    <w:p w:rsidR="003C2539" w:rsidRPr="004B7D85" w:rsidRDefault="003C2539" w:rsidP="004B7D85">
      <w:pPr>
        <w:pStyle w:val="Textpoznmkypodiarou"/>
        <w:ind w:left="113" w:hanging="113"/>
        <w:jc w:val="both"/>
        <w:rPr>
          <w:sz w:val="16"/>
          <w:szCs w:val="16"/>
        </w:rPr>
      </w:pPr>
      <w:r w:rsidRPr="004B7D85">
        <w:rPr>
          <w:rStyle w:val="Odkaznapoznmkupodiarou"/>
          <w:sz w:val="16"/>
          <w:szCs w:val="16"/>
        </w:rPr>
        <w:footnoteRef/>
      </w:r>
      <w:r w:rsidRPr="004B7D85">
        <w:rPr>
          <w:sz w:val="16"/>
          <w:szCs w:val="16"/>
        </w:rPr>
        <w:t xml:space="preserve"> Príkladom daňového </w:t>
      </w:r>
      <w:proofErr w:type="spellStart"/>
      <w:r w:rsidRPr="004B7D85">
        <w:rPr>
          <w:sz w:val="16"/>
          <w:szCs w:val="16"/>
        </w:rPr>
        <w:t>benchmarku</w:t>
      </w:r>
      <w:proofErr w:type="spellEnd"/>
      <w:r w:rsidRPr="004B7D85">
        <w:rPr>
          <w:sz w:val="16"/>
          <w:szCs w:val="16"/>
        </w:rPr>
        <w:t xml:space="preserve"> v podobe štrukturálneho daňového výdavku je napríklad plnenie medzinárodných zmlúv v oblasti daní (zmluvy o zamedzení dvojitého zdanenia) alebo povinné oslobodenia od dane vyplývajúce z legislatívy v EÚ (najmä v nepriamych daniach).</w:t>
      </w:r>
    </w:p>
  </w:footnote>
  <w:footnote w:id="12">
    <w:p w:rsidR="003C2539" w:rsidRPr="004B7D85" w:rsidRDefault="003C2539" w:rsidP="004B7D85">
      <w:pPr>
        <w:pStyle w:val="Textpoznmkypodiarou"/>
        <w:ind w:left="113" w:hanging="113"/>
        <w:jc w:val="both"/>
        <w:rPr>
          <w:sz w:val="16"/>
          <w:szCs w:val="16"/>
        </w:rPr>
      </w:pPr>
      <w:r w:rsidRPr="004B7D85">
        <w:rPr>
          <w:rStyle w:val="Odkaznapoznmkupodiarou"/>
          <w:sz w:val="16"/>
          <w:szCs w:val="16"/>
        </w:rPr>
        <w:footnoteRef/>
      </w:r>
      <w:r w:rsidRPr="004B7D85">
        <w:rPr>
          <w:sz w:val="16"/>
          <w:szCs w:val="16"/>
        </w:rPr>
        <w:t xml:space="preserve"> Nevyhnutnou podmienkou na identifikovanie daňového výdavku je splnenie prvých troch kritérií. Pre ilustráciu uvádzame príklad daňového výdavku, u ktorého nedochádza k selektívnosti. Ide o aplikáciu daňových odpisov. Rozdielna doba/sadzba daňových odpisov oproti účtovným odpisom sa považuje za štrukturálny daňový výdavok, je súčasťou </w:t>
      </w:r>
      <w:proofErr w:type="spellStart"/>
      <w:r w:rsidRPr="004B7D85">
        <w:rPr>
          <w:sz w:val="16"/>
          <w:szCs w:val="16"/>
        </w:rPr>
        <w:t>benchmarku</w:t>
      </w:r>
      <w:proofErr w:type="spellEnd"/>
      <w:r w:rsidRPr="004B7D85">
        <w:rPr>
          <w:sz w:val="16"/>
          <w:szCs w:val="16"/>
        </w:rPr>
        <w:t xml:space="preserve">. Umožnenie zrýchleného odpisovania ešte nad rámec daňových odpisov v daňovom zákone sa však už považuje za daňový výdavok. Ide však o neselektívne zvýhodnenie odpisovania pre všetkých nad rámec základnej línie odpisovania majetku v zákone, za účelom podpory investícií do hmotného majetku.   </w:t>
      </w:r>
    </w:p>
  </w:footnote>
  <w:footnote w:id="13">
    <w:p w:rsidR="003C2539" w:rsidRPr="004B7D85" w:rsidRDefault="003C2539" w:rsidP="004B7D85">
      <w:pPr>
        <w:pStyle w:val="Textpoznmkypodiarou"/>
        <w:ind w:left="113" w:hanging="113"/>
        <w:jc w:val="both"/>
        <w:rPr>
          <w:sz w:val="16"/>
          <w:szCs w:val="16"/>
        </w:rPr>
      </w:pPr>
      <w:r w:rsidRPr="004B7D85">
        <w:rPr>
          <w:rStyle w:val="Odkaznapoznmkupodiarou"/>
          <w:sz w:val="16"/>
          <w:szCs w:val="16"/>
        </w:rPr>
        <w:footnoteRef/>
      </w:r>
      <w:r w:rsidRPr="004B7D85">
        <w:rPr>
          <w:sz w:val="16"/>
          <w:szCs w:val="16"/>
        </w:rPr>
        <w:t xml:space="preserve"> </w:t>
      </w:r>
      <w:r w:rsidRPr="004B7D85">
        <w:rPr>
          <w:color w:val="000000"/>
          <w:sz w:val="16"/>
          <w:szCs w:val="16"/>
        </w:rPr>
        <w:t>Subjekty verejnej správy sú povinné zostavovať svoj rozpočet najmenej na tri rozpočtové roky. Súčasťou návrhu rozpočtu je aj schválený rozpočet na bežný rozpočtový rok, údaje o očakávanej skutočnosti bežného rozpočtového roka a údaje o skutočnom plnení rozpočtu za predchádzajúce dva rozpočtové roky.</w:t>
      </w:r>
    </w:p>
  </w:footnote>
  <w:footnote w:id="14">
    <w:p w:rsidR="003C2539" w:rsidRPr="008D5ED4" w:rsidRDefault="003C2539" w:rsidP="009769EF">
      <w:pPr>
        <w:pStyle w:val="Textpoznmkypodiarou"/>
        <w:rPr>
          <w:sz w:val="16"/>
          <w:szCs w:val="16"/>
        </w:rPr>
      </w:pPr>
      <w:r w:rsidRPr="008D5ED4">
        <w:rPr>
          <w:rStyle w:val="Odkaznapoznmkupodiarou"/>
          <w:sz w:val="16"/>
          <w:szCs w:val="16"/>
        </w:rPr>
        <w:footnoteRef/>
      </w:r>
      <w:r w:rsidRPr="008D5ED4">
        <w:rPr>
          <w:sz w:val="16"/>
          <w:szCs w:val="16"/>
        </w:rPr>
        <w:t xml:space="preserve"> </w:t>
      </w:r>
      <w:hyperlink r:id="rId2" w:history="1">
        <w:r w:rsidRPr="008D5ED4">
          <w:rPr>
            <w:rStyle w:val="Hypertextovprepojenie"/>
            <w:sz w:val="16"/>
            <w:szCs w:val="16"/>
          </w:rPr>
          <w:t>https://www.finance.gov.sk/Default.aspx?CatID=9595</w:t>
        </w:r>
      </w:hyperlink>
    </w:p>
  </w:footnote>
  <w:footnote w:id="15">
    <w:p w:rsidR="003C2539" w:rsidRPr="00663243" w:rsidRDefault="003C2539" w:rsidP="004B3B69">
      <w:pPr>
        <w:pStyle w:val="Textpoznmkypodiarou"/>
        <w:ind w:left="142" w:hanging="142"/>
        <w:jc w:val="both"/>
        <w:rPr>
          <w:sz w:val="14"/>
          <w:szCs w:val="14"/>
        </w:rPr>
      </w:pPr>
      <w:r w:rsidRPr="00663243">
        <w:rPr>
          <w:rStyle w:val="Odkaznapoznmkupodiarou"/>
          <w:sz w:val="14"/>
          <w:szCs w:val="14"/>
        </w:rPr>
        <w:footnoteRef/>
      </w:r>
      <w:r w:rsidRPr="00663243">
        <w:rPr>
          <w:sz w:val="14"/>
          <w:szCs w:val="14"/>
        </w:rPr>
        <w:t xml:space="preserve"> V medzinárodných porovnania</w:t>
      </w:r>
      <w:r>
        <w:rPr>
          <w:sz w:val="14"/>
          <w:szCs w:val="14"/>
        </w:rPr>
        <w:t>ch</w:t>
      </w:r>
      <w:r w:rsidRPr="00663243">
        <w:rPr>
          <w:sz w:val="14"/>
          <w:szCs w:val="14"/>
        </w:rPr>
        <w:t xml:space="preserve"> sa uprednostňuje použitie očakávanej dĺžky života žien, pretože menej podlieha negatívnym vplyvom životného štýlu (fajčenie, vysoká spotreba alkoholu, a</w:t>
      </w:r>
      <w:r>
        <w:rPr>
          <w:sz w:val="14"/>
          <w:szCs w:val="14"/>
        </w:rPr>
        <w:t> </w:t>
      </w:r>
      <w:r w:rsidRPr="00663243">
        <w:rPr>
          <w:sz w:val="14"/>
          <w:szCs w:val="14"/>
        </w:rPr>
        <w:t>pod</w:t>
      </w:r>
      <w:r>
        <w:rPr>
          <w:sz w:val="14"/>
          <w:szCs w:val="14"/>
        </w:rPr>
        <w:t>.</w:t>
      </w:r>
      <w:r w:rsidRPr="00663243">
        <w:rPr>
          <w:sz w:val="14"/>
          <w:szCs w:val="14"/>
        </w:rPr>
        <w:t>) a zároveň majú ženy menej rizikové správanie.</w:t>
      </w:r>
    </w:p>
  </w:footnote>
  <w:footnote w:id="16">
    <w:p w:rsidR="003C2539" w:rsidRPr="00D909EE" w:rsidRDefault="003C2539" w:rsidP="007D13F3">
      <w:pPr>
        <w:pStyle w:val="Textpoznmkypodiarou"/>
        <w:rPr>
          <w:sz w:val="14"/>
          <w:szCs w:val="14"/>
        </w:rPr>
      </w:pPr>
      <w:r w:rsidRPr="00D909EE">
        <w:rPr>
          <w:rStyle w:val="Odkaznapoznmkupodiarou"/>
          <w:sz w:val="14"/>
          <w:szCs w:val="14"/>
        </w:rPr>
        <w:footnoteRef/>
      </w:r>
      <w:r w:rsidRPr="00D909EE">
        <w:rPr>
          <w:sz w:val="14"/>
          <w:szCs w:val="14"/>
        </w:rPr>
        <w:t xml:space="preserve"> Klinické vyšetrenie je súhrn úkonov lekára s účelom zistenia ochorenia. Zahŕňa napríklad anamnézu a fyzikálne vyšetrenie (vyšetrenie zmyslami lekára)</w:t>
      </w:r>
      <w:r>
        <w:rPr>
          <w:sz w:val="14"/>
          <w:szCs w:val="14"/>
        </w:rPr>
        <w:t>.</w:t>
      </w:r>
    </w:p>
  </w:footnote>
  <w:footnote w:id="17">
    <w:p w:rsidR="003C2539" w:rsidRPr="00D909EE" w:rsidRDefault="003C2539" w:rsidP="007D13F3">
      <w:pPr>
        <w:pStyle w:val="Textpoznmkypodiarou"/>
        <w:jc w:val="both"/>
        <w:rPr>
          <w:sz w:val="14"/>
          <w:szCs w:val="14"/>
        </w:rPr>
      </w:pPr>
      <w:r w:rsidRPr="00D909EE">
        <w:rPr>
          <w:rStyle w:val="Odkaznapoznmkupodiarou"/>
          <w:sz w:val="14"/>
          <w:szCs w:val="14"/>
        </w:rPr>
        <w:footnoteRef/>
      </w:r>
      <w:r w:rsidRPr="009A087A">
        <w:t xml:space="preserve"> </w:t>
      </w:r>
      <w:proofErr w:type="spellStart"/>
      <w:r w:rsidRPr="00D909EE">
        <w:rPr>
          <w:sz w:val="14"/>
          <w:szCs w:val="14"/>
        </w:rPr>
        <w:t>Diagnosis-Related</w:t>
      </w:r>
      <w:proofErr w:type="spellEnd"/>
      <w:r w:rsidRPr="00D909EE">
        <w:rPr>
          <w:sz w:val="14"/>
          <w:szCs w:val="14"/>
        </w:rPr>
        <w:t xml:space="preserve"> </w:t>
      </w:r>
      <w:proofErr w:type="spellStart"/>
      <w:r w:rsidRPr="00D909EE">
        <w:rPr>
          <w:sz w:val="14"/>
          <w:szCs w:val="14"/>
        </w:rPr>
        <w:t>Groups</w:t>
      </w:r>
      <w:proofErr w:type="spellEnd"/>
      <w:r w:rsidRPr="00D909EE">
        <w:rPr>
          <w:sz w:val="14"/>
          <w:szCs w:val="14"/>
        </w:rPr>
        <w:t>, platobný mechanizmus založený na platbách za diagnózu</w:t>
      </w:r>
      <w:r>
        <w:rPr>
          <w:sz w:val="14"/>
          <w:szCs w:val="14"/>
        </w:rPr>
        <w:t>.</w:t>
      </w:r>
    </w:p>
  </w:footnote>
  <w:footnote w:id="18">
    <w:p w:rsidR="003C2539" w:rsidRPr="00D909EE" w:rsidRDefault="003C2539" w:rsidP="0029088B">
      <w:pPr>
        <w:pStyle w:val="Textpoznmkypodiarou"/>
        <w:ind w:left="142" w:hanging="142"/>
        <w:jc w:val="both"/>
        <w:rPr>
          <w:sz w:val="14"/>
          <w:szCs w:val="14"/>
        </w:rPr>
      </w:pPr>
      <w:r w:rsidRPr="00D909EE">
        <w:rPr>
          <w:rStyle w:val="Odkaznapoznmkupodiarou"/>
          <w:sz w:val="14"/>
          <w:szCs w:val="14"/>
        </w:rPr>
        <w:footnoteRef/>
      </w:r>
      <w:r w:rsidRPr="00D909EE">
        <w:rPr>
          <w:sz w:val="14"/>
          <w:szCs w:val="14"/>
        </w:rPr>
        <w:t xml:space="preserve"> V roku 2014 však výrazne vzrástla na 7 dní, čo je nad úrovňou V3, EÚ aj OECD. K tejto zmene mohla výrazne prispieť zmena metodiky (od roku 2014 sa uvádzajú aj psychiatrickí pacienti), ktorá spôsobila zlom v časovom rade.</w:t>
      </w:r>
    </w:p>
  </w:footnote>
  <w:footnote w:id="19">
    <w:p w:rsidR="003C2539" w:rsidRPr="00D909EE" w:rsidRDefault="003C2539" w:rsidP="007D13F3">
      <w:pPr>
        <w:pStyle w:val="Textpoznmkypodiarou"/>
        <w:jc w:val="both"/>
        <w:rPr>
          <w:sz w:val="14"/>
          <w:szCs w:val="14"/>
        </w:rPr>
      </w:pPr>
      <w:r w:rsidRPr="00D909EE">
        <w:rPr>
          <w:rStyle w:val="Odkaznapoznmkupodiarou"/>
          <w:sz w:val="14"/>
          <w:szCs w:val="14"/>
        </w:rPr>
        <w:footnoteRef/>
      </w:r>
      <w:r w:rsidRPr="00D909EE">
        <w:rPr>
          <w:sz w:val="14"/>
          <w:szCs w:val="14"/>
        </w:rPr>
        <w:t xml:space="preserve"> Vychádzame z predpokladu, že práve tieto nemocnice sú najviac zadlžené.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6B8D"/>
    <w:multiLevelType w:val="hybridMultilevel"/>
    <w:tmpl w:val="B882F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587A2F"/>
    <w:multiLevelType w:val="hybridMultilevel"/>
    <w:tmpl w:val="6E16E37E"/>
    <w:lvl w:ilvl="0" w:tplc="C8E23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D5C55"/>
    <w:multiLevelType w:val="hybridMultilevel"/>
    <w:tmpl w:val="EDDC992E"/>
    <w:lvl w:ilvl="0" w:tplc="D600541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A37215E"/>
    <w:multiLevelType w:val="multilevel"/>
    <w:tmpl w:val="76646F2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7A39E3"/>
    <w:multiLevelType w:val="hybridMultilevel"/>
    <w:tmpl w:val="CBFC34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ED5D05"/>
    <w:multiLevelType w:val="multilevel"/>
    <w:tmpl w:val="99B42C70"/>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34730EF"/>
    <w:multiLevelType w:val="hybridMultilevel"/>
    <w:tmpl w:val="A064AAF6"/>
    <w:lvl w:ilvl="0" w:tplc="132CD81E">
      <w:start w:val="20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BE2DB5"/>
    <w:multiLevelType w:val="hybridMultilevel"/>
    <w:tmpl w:val="5B8C6040"/>
    <w:lvl w:ilvl="0" w:tplc="7F0C848C">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B76182"/>
    <w:multiLevelType w:val="hybridMultilevel"/>
    <w:tmpl w:val="1206C4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DB5FD4"/>
    <w:multiLevelType w:val="multilevel"/>
    <w:tmpl w:val="DFCEA784"/>
    <w:lvl w:ilvl="0">
      <w:start w:val="1"/>
      <w:numFmt w:val="decimal"/>
      <w:lvlText w:val="%1."/>
      <w:lvlJc w:val="left"/>
      <w:pPr>
        <w:ind w:left="360" w:hanging="360"/>
      </w:p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E3C2C08"/>
    <w:multiLevelType w:val="hybridMultilevel"/>
    <w:tmpl w:val="35B25614"/>
    <w:lvl w:ilvl="0" w:tplc="5D7237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EEE4E17"/>
    <w:multiLevelType w:val="hybridMultilevel"/>
    <w:tmpl w:val="58B80CD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F5662EF"/>
    <w:multiLevelType w:val="hybridMultilevel"/>
    <w:tmpl w:val="38A68FC6"/>
    <w:lvl w:ilvl="0" w:tplc="D8B05F94">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51D73D4"/>
    <w:multiLevelType w:val="hybridMultilevel"/>
    <w:tmpl w:val="EC6A29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2A1C9E"/>
    <w:multiLevelType w:val="hybridMultilevel"/>
    <w:tmpl w:val="187822B6"/>
    <w:lvl w:ilvl="0" w:tplc="13F4FC14">
      <w:start w:val="108"/>
      <w:numFmt w:val="bullet"/>
      <w:lvlText w:val="-"/>
      <w:lvlJc w:val="left"/>
      <w:pPr>
        <w:tabs>
          <w:tab w:val="num" w:pos="720"/>
        </w:tabs>
        <w:ind w:left="720" w:hanging="360"/>
      </w:pPr>
      <w:rPr>
        <w:rFonts w:ascii="Arial Narrow" w:eastAsia="Times New Roman" w:hAnsi="Arial Narrow" w:hint="default"/>
      </w:rPr>
    </w:lvl>
    <w:lvl w:ilvl="1" w:tplc="36B8B6F2">
      <w:start w:val="1"/>
      <w:numFmt w:val="bullet"/>
      <w:lvlText w:val="o"/>
      <w:lvlJc w:val="left"/>
      <w:pPr>
        <w:tabs>
          <w:tab w:val="num" w:pos="1440"/>
        </w:tabs>
        <w:ind w:left="1440" w:hanging="360"/>
      </w:pPr>
      <w:rPr>
        <w:rFonts w:ascii="Courier New" w:hAnsi="Courier New" w:hint="default"/>
      </w:rPr>
    </w:lvl>
    <w:lvl w:ilvl="2" w:tplc="027C9A4C">
      <w:start w:val="1"/>
      <w:numFmt w:val="bullet"/>
      <w:lvlText w:val=""/>
      <w:lvlJc w:val="left"/>
      <w:pPr>
        <w:tabs>
          <w:tab w:val="num" w:pos="2160"/>
        </w:tabs>
        <w:ind w:left="2160" w:hanging="360"/>
      </w:pPr>
      <w:rPr>
        <w:rFonts w:ascii="Wingdings" w:hAnsi="Wingdings" w:hint="default"/>
      </w:rPr>
    </w:lvl>
    <w:lvl w:ilvl="3" w:tplc="E3C474D6">
      <w:start w:val="1"/>
      <w:numFmt w:val="bullet"/>
      <w:lvlText w:val=""/>
      <w:lvlJc w:val="left"/>
      <w:pPr>
        <w:tabs>
          <w:tab w:val="num" w:pos="2880"/>
        </w:tabs>
        <w:ind w:left="2880" w:hanging="360"/>
      </w:pPr>
      <w:rPr>
        <w:rFonts w:ascii="Symbol" w:hAnsi="Symbol" w:hint="default"/>
      </w:rPr>
    </w:lvl>
    <w:lvl w:ilvl="4" w:tplc="CACED980">
      <w:start w:val="1"/>
      <w:numFmt w:val="bullet"/>
      <w:lvlText w:val="o"/>
      <w:lvlJc w:val="left"/>
      <w:pPr>
        <w:tabs>
          <w:tab w:val="num" w:pos="3600"/>
        </w:tabs>
        <w:ind w:left="3600" w:hanging="360"/>
      </w:pPr>
      <w:rPr>
        <w:rFonts w:ascii="Courier New" w:hAnsi="Courier New" w:hint="default"/>
      </w:rPr>
    </w:lvl>
    <w:lvl w:ilvl="5" w:tplc="A6BABA0E">
      <w:start w:val="1"/>
      <w:numFmt w:val="bullet"/>
      <w:lvlText w:val=""/>
      <w:lvlJc w:val="left"/>
      <w:pPr>
        <w:tabs>
          <w:tab w:val="num" w:pos="4320"/>
        </w:tabs>
        <w:ind w:left="4320" w:hanging="360"/>
      </w:pPr>
      <w:rPr>
        <w:rFonts w:ascii="Wingdings" w:hAnsi="Wingdings" w:hint="default"/>
      </w:rPr>
    </w:lvl>
    <w:lvl w:ilvl="6" w:tplc="3E92E4A0">
      <w:start w:val="1"/>
      <w:numFmt w:val="bullet"/>
      <w:lvlText w:val=""/>
      <w:lvlJc w:val="left"/>
      <w:pPr>
        <w:tabs>
          <w:tab w:val="num" w:pos="5040"/>
        </w:tabs>
        <w:ind w:left="5040" w:hanging="360"/>
      </w:pPr>
      <w:rPr>
        <w:rFonts w:ascii="Symbol" w:hAnsi="Symbol" w:hint="default"/>
      </w:rPr>
    </w:lvl>
    <w:lvl w:ilvl="7" w:tplc="7BBAF032">
      <w:start w:val="1"/>
      <w:numFmt w:val="bullet"/>
      <w:lvlText w:val="o"/>
      <w:lvlJc w:val="left"/>
      <w:pPr>
        <w:tabs>
          <w:tab w:val="num" w:pos="5760"/>
        </w:tabs>
        <w:ind w:left="5760" w:hanging="360"/>
      </w:pPr>
      <w:rPr>
        <w:rFonts w:ascii="Courier New" w:hAnsi="Courier New" w:hint="default"/>
      </w:rPr>
    </w:lvl>
    <w:lvl w:ilvl="8" w:tplc="78B4015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E5D3B"/>
    <w:multiLevelType w:val="hybridMultilevel"/>
    <w:tmpl w:val="C8BEC9A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9CB06A8"/>
    <w:multiLevelType w:val="hybridMultilevel"/>
    <w:tmpl w:val="122C8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A413A55"/>
    <w:multiLevelType w:val="hybridMultilevel"/>
    <w:tmpl w:val="A69AE3DA"/>
    <w:lvl w:ilvl="0" w:tplc="D1B46364">
      <w:start w:val="1"/>
      <w:numFmt w:val="decimal"/>
      <w:lvlText w:val="%1."/>
      <w:lvlJc w:val="left"/>
      <w:pPr>
        <w:ind w:left="502" w:hanging="360"/>
      </w:pPr>
      <w:rPr>
        <w:rFonts w:hint="default"/>
        <w:b/>
      </w:rPr>
    </w:lvl>
    <w:lvl w:ilvl="1" w:tplc="041B0019" w:tentative="1">
      <w:start w:val="1"/>
      <w:numFmt w:val="lowerLetter"/>
      <w:lvlText w:val="%2."/>
      <w:lvlJc w:val="left"/>
      <w:pPr>
        <w:ind w:left="1299" w:hanging="360"/>
      </w:pPr>
    </w:lvl>
    <w:lvl w:ilvl="2" w:tplc="041B001B" w:tentative="1">
      <w:start w:val="1"/>
      <w:numFmt w:val="lowerRoman"/>
      <w:lvlText w:val="%3."/>
      <w:lvlJc w:val="right"/>
      <w:pPr>
        <w:ind w:left="2019" w:hanging="180"/>
      </w:pPr>
    </w:lvl>
    <w:lvl w:ilvl="3" w:tplc="041B000F" w:tentative="1">
      <w:start w:val="1"/>
      <w:numFmt w:val="decimal"/>
      <w:lvlText w:val="%4."/>
      <w:lvlJc w:val="left"/>
      <w:pPr>
        <w:ind w:left="2739" w:hanging="360"/>
      </w:pPr>
    </w:lvl>
    <w:lvl w:ilvl="4" w:tplc="041B0019" w:tentative="1">
      <w:start w:val="1"/>
      <w:numFmt w:val="lowerLetter"/>
      <w:lvlText w:val="%5."/>
      <w:lvlJc w:val="left"/>
      <w:pPr>
        <w:ind w:left="3459" w:hanging="360"/>
      </w:pPr>
    </w:lvl>
    <w:lvl w:ilvl="5" w:tplc="041B001B" w:tentative="1">
      <w:start w:val="1"/>
      <w:numFmt w:val="lowerRoman"/>
      <w:lvlText w:val="%6."/>
      <w:lvlJc w:val="right"/>
      <w:pPr>
        <w:ind w:left="4179" w:hanging="180"/>
      </w:pPr>
    </w:lvl>
    <w:lvl w:ilvl="6" w:tplc="041B000F" w:tentative="1">
      <w:start w:val="1"/>
      <w:numFmt w:val="decimal"/>
      <w:lvlText w:val="%7."/>
      <w:lvlJc w:val="left"/>
      <w:pPr>
        <w:ind w:left="4899" w:hanging="360"/>
      </w:pPr>
    </w:lvl>
    <w:lvl w:ilvl="7" w:tplc="041B0019" w:tentative="1">
      <w:start w:val="1"/>
      <w:numFmt w:val="lowerLetter"/>
      <w:lvlText w:val="%8."/>
      <w:lvlJc w:val="left"/>
      <w:pPr>
        <w:ind w:left="5619" w:hanging="360"/>
      </w:pPr>
    </w:lvl>
    <w:lvl w:ilvl="8" w:tplc="041B001B" w:tentative="1">
      <w:start w:val="1"/>
      <w:numFmt w:val="lowerRoman"/>
      <w:lvlText w:val="%9."/>
      <w:lvlJc w:val="right"/>
      <w:pPr>
        <w:ind w:left="6339" w:hanging="180"/>
      </w:pPr>
    </w:lvl>
  </w:abstractNum>
  <w:abstractNum w:abstractNumId="18" w15:restartNumberingAfterBreak="0">
    <w:nsid w:val="2C9E70C9"/>
    <w:multiLevelType w:val="hybridMultilevel"/>
    <w:tmpl w:val="983EF234"/>
    <w:lvl w:ilvl="0" w:tplc="381AC794">
      <w:start w:val="1"/>
      <w:numFmt w:val="bullet"/>
      <w:lvlText w:val=""/>
      <w:lvlJc w:val="left"/>
      <w:pPr>
        <w:ind w:left="720" w:hanging="360"/>
      </w:pPr>
      <w:rPr>
        <w:rFonts w:ascii="Wingdings" w:hAnsi="Wingdings" w:hint="default"/>
        <w:color w:val="2C9ADC"/>
      </w:rPr>
    </w:lvl>
    <w:lvl w:ilvl="1" w:tplc="041B0003">
      <w:start w:val="1"/>
      <w:numFmt w:val="bullet"/>
      <w:lvlText w:val="o"/>
      <w:lvlJc w:val="left"/>
      <w:pPr>
        <w:ind w:left="1440" w:hanging="360"/>
      </w:pPr>
      <w:rPr>
        <w:rFonts w:ascii="Courier New" w:hAnsi="Courier New" w:cs="Courier New" w:hint="default"/>
      </w:rPr>
    </w:lvl>
    <w:lvl w:ilvl="2" w:tplc="381AC794">
      <w:start w:val="1"/>
      <w:numFmt w:val="bullet"/>
      <w:lvlText w:val=""/>
      <w:lvlJc w:val="left"/>
      <w:pPr>
        <w:ind w:left="1210" w:hanging="360"/>
      </w:pPr>
      <w:rPr>
        <w:rFonts w:ascii="Wingdings" w:hAnsi="Wingdings" w:hint="default"/>
        <w:color w:val="2C9ADC"/>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2D892859"/>
    <w:multiLevelType w:val="hybridMultilevel"/>
    <w:tmpl w:val="EE8C28F8"/>
    <w:lvl w:ilvl="0" w:tplc="F88CD438">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15:restartNumberingAfterBreak="0">
    <w:nsid w:val="31683235"/>
    <w:multiLevelType w:val="hybridMultilevel"/>
    <w:tmpl w:val="C1C8C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415208"/>
    <w:multiLevelType w:val="hybridMultilevel"/>
    <w:tmpl w:val="A0241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C749B4"/>
    <w:multiLevelType w:val="hybridMultilevel"/>
    <w:tmpl w:val="18CCA968"/>
    <w:lvl w:ilvl="0" w:tplc="483CB6BE">
      <w:start w:val="2019"/>
      <w:numFmt w:val="bullet"/>
      <w:lvlText w:val="-"/>
      <w:lvlJc w:val="left"/>
      <w:pPr>
        <w:ind w:left="1065" w:hanging="360"/>
      </w:pPr>
      <w:rPr>
        <w:rFonts w:ascii="Arial Narrow" w:eastAsiaTheme="minorHAnsi" w:hAnsi="Arial Narrow" w:cstheme="minorBid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3" w15:restartNumberingAfterBreak="0">
    <w:nsid w:val="3B5F731D"/>
    <w:multiLevelType w:val="hybridMultilevel"/>
    <w:tmpl w:val="D99AA5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52F71CB"/>
    <w:multiLevelType w:val="hybridMultilevel"/>
    <w:tmpl w:val="46083334"/>
    <w:lvl w:ilvl="0" w:tplc="0C0A5DF8">
      <w:start w:val="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4AC81F15"/>
    <w:multiLevelType w:val="hybridMultilevel"/>
    <w:tmpl w:val="5B24EA68"/>
    <w:lvl w:ilvl="0" w:tplc="5D86405C">
      <w:start w:val="2019"/>
      <w:numFmt w:val="bullet"/>
      <w:lvlText w:val="-"/>
      <w:lvlJc w:val="left"/>
      <w:pPr>
        <w:ind w:left="1065" w:hanging="360"/>
      </w:pPr>
      <w:rPr>
        <w:rFonts w:ascii="Arial Narrow" w:eastAsiaTheme="minorHAnsi" w:hAnsi="Arial Narrow" w:cs="Aria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6" w15:restartNumberingAfterBreak="0">
    <w:nsid w:val="524904AE"/>
    <w:multiLevelType w:val="hybridMultilevel"/>
    <w:tmpl w:val="2FA65E52"/>
    <w:lvl w:ilvl="0" w:tplc="813E9368">
      <w:start w:val="1"/>
      <w:numFmt w:val="decimal"/>
      <w:pStyle w:val="List0"/>
      <w:lvlText w:val="%1."/>
      <w:lvlJc w:val="left"/>
      <w:pPr>
        <w:ind w:left="720" w:hanging="360"/>
      </w:pPr>
      <w:rPr>
        <w:rFonts w:cs="Times New Roman" w:hint="default"/>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27" w15:restartNumberingAfterBreak="0">
    <w:nsid w:val="565E2E4E"/>
    <w:multiLevelType w:val="hybridMultilevel"/>
    <w:tmpl w:val="3394239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BD6EC1D6">
      <w:start w:val="1"/>
      <w:numFmt w:val="bullet"/>
      <w:lvlText w:val="-"/>
      <w:lvlJc w:val="left"/>
      <w:pPr>
        <w:ind w:left="2340" w:hanging="360"/>
      </w:pPr>
      <w:rPr>
        <w:rFonts w:ascii="Calibri" w:eastAsiaTheme="minorHAnsi" w:hAnsi="Calibri" w:cstheme="minorBid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2D5095"/>
    <w:multiLevelType w:val="hybridMultilevel"/>
    <w:tmpl w:val="CBAE494A"/>
    <w:lvl w:ilvl="0" w:tplc="6542FB9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D4B53D3"/>
    <w:multiLevelType w:val="hybridMultilevel"/>
    <w:tmpl w:val="1D1E8F66"/>
    <w:lvl w:ilvl="0" w:tplc="A9D006B2">
      <w:start w:val="1"/>
      <w:numFmt w:val="decimal"/>
      <w:lvlText w:val="%1)"/>
      <w:lvlJc w:val="left"/>
      <w:pPr>
        <w:ind w:left="720" w:hanging="360"/>
      </w:pPr>
      <w:rPr>
        <w:rFonts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FA507E9"/>
    <w:multiLevelType w:val="hybridMultilevel"/>
    <w:tmpl w:val="230627B2"/>
    <w:lvl w:ilvl="0" w:tplc="6950897E">
      <w:start w:val="1"/>
      <w:numFmt w:val="bullet"/>
      <w:lvlText w:val="-"/>
      <w:lvlJc w:val="left"/>
      <w:pPr>
        <w:ind w:left="360" w:hanging="360"/>
      </w:pPr>
      <w:rPr>
        <w:rFonts w:ascii="Calibri" w:eastAsiaTheme="minorHAnsi" w:hAnsi="Calibri" w:cstheme="minorBid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604F0EBC"/>
    <w:multiLevelType w:val="hybridMultilevel"/>
    <w:tmpl w:val="53042C60"/>
    <w:lvl w:ilvl="0" w:tplc="E6F83922">
      <w:start w:val="2017"/>
      <w:numFmt w:val="bullet"/>
      <w:lvlText w:val="-"/>
      <w:lvlJc w:val="left"/>
      <w:pPr>
        <w:ind w:left="394" w:hanging="360"/>
      </w:pPr>
      <w:rPr>
        <w:rFonts w:ascii="Times New Roman" w:eastAsia="Times New Roman" w:hAnsi="Times New Roman" w:cs="Times New Roman" w:hint="default"/>
      </w:rPr>
    </w:lvl>
    <w:lvl w:ilvl="1" w:tplc="041B0003" w:tentative="1">
      <w:start w:val="1"/>
      <w:numFmt w:val="bullet"/>
      <w:lvlText w:val="o"/>
      <w:lvlJc w:val="left"/>
      <w:pPr>
        <w:ind w:left="1114" w:hanging="360"/>
      </w:pPr>
      <w:rPr>
        <w:rFonts w:ascii="Courier New" w:hAnsi="Courier New" w:cs="Courier New" w:hint="default"/>
      </w:rPr>
    </w:lvl>
    <w:lvl w:ilvl="2" w:tplc="041B0005" w:tentative="1">
      <w:start w:val="1"/>
      <w:numFmt w:val="bullet"/>
      <w:lvlText w:val=""/>
      <w:lvlJc w:val="left"/>
      <w:pPr>
        <w:ind w:left="1834" w:hanging="360"/>
      </w:pPr>
      <w:rPr>
        <w:rFonts w:ascii="Wingdings" w:hAnsi="Wingdings" w:hint="default"/>
      </w:rPr>
    </w:lvl>
    <w:lvl w:ilvl="3" w:tplc="041B0001" w:tentative="1">
      <w:start w:val="1"/>
      <w:numFmt w:val="bullet"/>
      <w:lvlText w:val=""/>
      <w:lvlJc w:val="left"/>
      <w:pPr>
        <w:ind w:left="2554" w:hanging="360"/>
      </w:pPr>
      <w:rPr>
        <w:rFonts w:ascii="Symbol" w:hAnsi="Symbol" w:hint="default"/>
      </w:rPr>
    </w:lvl>
    <w:lvl w:ilvl="4" w:tplc="041B0003" w:tentative="1">
      <w:start w:val="1"/>
      <w:numFmt w:val="bullet"/>
      <w:lvlText w:val="o"/>
      <w:lvlJc w:val="left"/>
      <w:pPr>
        <w:ind w:left="3274" w:hanging="360"/>
      </w:pPr>
      <w:rPr>
        <w:rFonts w:ascii="Courier New" w:hAnsi="Courier New" w:cs="Courier New" w:hint="default"/>
      </w:rPr>
    </w:lvl>
    <w:lvl w:ilvl="5" w:tplc="041B0005" w:tentative="1">
      <w:start w:val="1"/>
      <w:numFmt w:val="bullet"/>
      <w:lvlText w:val=""/>
      <w:lvlJc w:val="left"/>
      <w:pPr>
        <w:ind w:left="3994" w:hanging="360"/>
      </w:pPr>
      <w:rPr>
        <w:rFonts w:ascii="Wingdings" w:hAnsi="Wingdings" w:hint="default"/>
      </w:rPr>
    </w:lvl>
    <w:lvl w:ilvl="6" w:tplc="041B0001" w:tentative="1">
      <w:start w:val="1"/>
      <w:numFmt w:val="bullet"/>
      <w:lvlText w:val=""/>
      <w:lvlJc w:val="left"/>
      <w:pPr>
        <w:ind w:left="4714" w:hanging="360"/>
      </w:pPr>
      <w:rPr>
        <w:rFonts w:ascii="Symbol" w:hAnsi="Symbol" w:hint="default"/>
      </w:rPr>
    </w:lvl>
    <w:lvl w:ilvl="7" w:tplc="041B0003" w:tentative="1">
      <w:start w:val="1"/>
      <w:numFmt w:val="bullet"/>
      <w:lvlText w:val="o"/>
      <w:lvlJc w:val="left"/>
      <w:pPr>
        <w:ind w:left="5434" w:hanging="360"/>
      </w:pPr>
      <w:rPr>
        <w:rFonts w:ascii="Courier New" w:hAnsi="Courier New" w:cs="Courier New" w:hint="default"/>
      </w:rPr>
    </w:lvl>
    <w:lvl w:ilvl="8" w:tplc="041B0005" w:tentative="1">
      <w:start w:val="1"/>
      <w:numFmt w:val="bullet"/>
      <w:lvlText w:val=""/>
      <w:lvlJc w:val="left"/>
      <w:pPr>
        <w:ind w:left="6154" w:hanging="360"/>
      </w:pPr>
      <w:rPr>
        <w:rFonts w:ascii="Wingdings" w:hAnsi="Wingdings" w:hint="default"/>
      </w:rPr>
    </w:lvl>
  </w:abstractNum>
  <w:abstractNum w:abstractNumId="32" w15:restartNumberingAfterBreak="0">
    <w:nsid w:val="60DE6DDD"/>
    <w:multiLevelType w:val="hybridMultilevel"/>
    <w:tmpl w:val="DB5041C4"/>
    <w:lvl w:ilvl="0" w:tplc="C7E88C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0484B"/>
    <w:multiLevelType w:val="hybridMultilevel"/>
    <w:tmpl w:val="815C1D24"/>
    <w:lvl w:ilvl="0" w:tplc="797868D2">
      <w:start w:val="1"/>
      <w:numFmt w:val="bullet"/>
      <w:lvlText w:val=""/>
      <w:lvlJc w:val="left"/>
      <w:pPr>
        <w:ind w:left="720" w:hanging="360"/>
      </w:pPr>
      <w:rPr>
        <w:rFonts w:ascii="Symbol" w:hAnsi="Symbo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BE33ADA"/>
    <w:multiLevelType w:val="hybridMultilevel"/>
    <w:tmpl w:val="032CE75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15:restartNumberingAfterBreak="0">
    <w:nsid w:val="6CA54621"/>
    <w:multiLevelType w:val="hybridMultilevel"/>
    <w:tmpl w:val="3FBC59AE"/>
    <w:lvl w:ilvl="0" w:tplc="AB5EAA7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CD27369"/>
    <w:multiLevelType w:val="multilevel"/>
    <w:tmpl w:val="3F52B3E6"/>
    <w:lvl w:ilvl="0">
      <w:start w:val="4"/>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6E422CBE"/>
    <w:multiLevelType w:val="hybridMultilevel"/>
    <w:tmpl w:val="951A8A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4B75EA"/>
    <w:multiLevelType w:val="hybridMultilevel"/>
    <w:tmpl w:val="8DC2C21C"/>
    <w:lvl w:ilvl="0" w:tplc="0409000F">
      <w:start w:val="1"/>
      <w:numFmt w:val="decimal"/>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E32E8A"/>
    <w:multiLevelType w:val="hybridMultilevel"/>
    <w:tmpl w:val="3D9E4004"/>
    <w:lvl w:ilvl="0" w:tplc="041B0001">
      <w:start w:val="1"/>
      <w:numFmt w:val="bullet"/>
      <w:lvlText w:val=""/>
      <w:lvlJc w:val="left"/>
      <w:pPr>
        <w:ind w:left="1065" w:hanging="360"/>
      </w:pPr>
      <w:rPr>
        <w:rFonts w:ascii="Symbol" w:hAnsi="Symbo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41" w15:restartNumberingAfterBreak="0">
    <w:nsid w:val="70A0766A"/>
    <w:multiLevelType w:val="hybridMultilevel"/>
    <w:tmpl w:val="2A2E8BE2"/>
    <w:lvl w:ilvl="0" w:tplc="4AA05144">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1F51BCE"/>
    <w:multiLevelType w:val="hybridMultilevel"/>
    <w:tmpl w:val="28A0CB18"/>
    <w:lvl w:ilvl="0" w:tplc="DD9EB228">
      <w:start w:val="1"/>
      <w:numFmt w:val="bullet"/>
      <w:lvlText w:val="-"/>
      <w:lvlJc w:val="left"/>
      <w:pPr>
        <w:ind w:left="1065" w:hanging="360"/>
      </w:pPr>
      <w:rPr>
        <w:rFonts w:ascii="Arial Narrow" w:eastAsiaTheme="minorHAnsi" w:hAnsi="Arial Narrow" w:cstheme="minorBid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43" w15:restartNumberingAfterBreak="0">
    <w:nsid w:val="71FC317B"/>
    <w:multiLevelType w:val="hybridMultilevel"/>
    <w:tmpl w:val="E8FA78BC"/>
    <w:lvl w:ilvl="0" w:tplc="041B0001">
      <w:start w:val="1"/>
      <w:numFmt w:val="bullet"/>
      <w:lvlText w:val=""/>
      <w:lvlJc w:val="left"/>
      <w:pPr>
        <w:ind w:left="918" w:hanging="360"/>
      </w:pPr>
      <w:rPr>
        <w:rFonts w:ascii="Symbol" w:hAnsi="Symbol" w:hint="default"/>
      </w:rPr>
    </w:lvl>
    <w:lvl w:ilvl="1" w:tplc="041B0003" w:tentative="1">
      <w:start w:val="1"/>
      <w:numFmt w:val="bullet"/>
      <w:lvlText w:val="o"/>
      <w:lvlJc w:val="left"/>
      <w:pPr>
        <w:ind w:left="1293" w:hanging="360"/>
      </w:pPr>
      <w:rPr>
        <w:rFonts w:ascii="Courier New" w:hAnsi="Courier New" w:cs="Courier New" w:hint="default"/>
      </w:rPr>
    </w:lvl>
    <w:lvl w:ilvl="2" w:tplc="041B0005" w:tentative="1">
      <w:start w:val="1"/>
      <w:numFmt w:val="bullet"/>
      <w:lvlText w:val=""/>
      <w:lvlJc w:val="left"/>
      <w:pPr>
        <w:ind w:left="2013" w:hanging="360"/>
      </w:pPr>
      <w:rPr>
        <w:rFonts w:ascii="Wingdings" w:hAnsi="Wingdings" w:hint="default"/>
      </w:rPr>
    </w:lvl>
    <w:lvl w:ilvl="3" w:tplc="041B0001" w:tentative="1">
      <w:start w:val="1"/>
      <w:numFmt w:val="bullet"/>
      <w:lvlText w:val=""/>
      <w:lvlJc w:val="left"/>
      <w:pPr>
        <w:ind w:left="2733" w:hanging="360"/>
      </w:pPr>
      <w:rPr>
        <w:rFonts w:ascii="Symbol" w:hAnsi="Symbol" w:hint="default"/>
      </w:rPr>
    </w:lvl>
    <w:lvl w:ilvl="4" w:tplc="041B0003" w:tentative="1">
      <w:start w:val="1"/>
      <w:numFmt w:val="bullet"/>
      <w:lvlText w:val="o"/>
      <w:lvlJc w:val="left"/>
      <w:pPr>
        <w:ind w:left="3453" w:hanging="360"/>
      </w:pPr>
      <w:rPr>
        <w:rFonts w:ascii="Courier New" w:hAnsi="Courier New" w:cs="Courier New" w:hint="default"/>
      </w:rPr>
    </w:lvl>
    <w:lvl w:ilvl="5" w:tplc="041B0005" w:tentative="1">
      <w:start w:val="1"/>
      <w:numFmt w:val="bullet"/>
      <w:lvlText w:val=""/>
      <w:lvlJc w:val="left"/>
      <w:pPr>
        <w:ind w:left="4173" w:hanging="360"/>
      </w:pPr>
      <w:rPr>
        <w:rFonts w:ascii="Wingdings" w:hAnsi="Wingdings" w:hint="default"/>
      </w:rPr>
    </w:lvl>
    <w:lvl w:ilvl="6" w:tplc="041B0001" w:tentative="1">
      <w:start w:val="1"/>
      <w:numFmt w:val="bullet"/>
      <w:lvlText w:val=""/>
      <w:lvlJc w:val="left"/>
      <w:pPr>
        <w:ind w:left="4893" w:hanging="360"/>
      </w:pPr>
      <w:rPr>
        <w:rFonts w:ascii="Symbol" w:hAnsi="Symbol" w:hint="default"/>
      </w:rPr>
    </w:lvl>
    <w:lvl w:ilvl="7" w:tplc="041B0003" w:tentative="1">
      <w:start w:val="1"/>
      <w:numFmt w:val="bullet"/>
      <w:lvlText w:val="o"/>
      <w:lvlJc w:val="left"/>
      <w:pPr>
        <w:ind w:left="5613" w:hanging="360"/>
      </w:pPr>
      <w:rPr>
        <w:rFonts w:ascii="Courier New" w:hAnsi="Courier New" w:cs="Courier New" w:hint="default"/>
      </w:rPr>
    </w:lvl>
    <w:lvl w:ilvl="8" w:tplc="041B0005" w:tentative="1">
      <w:start w:val="1"/>
      <w:numFmt w:val="bullet"/>
      <w:lvlText w:val=""/>
      <w:lvlJc w:val="left"/>
      <w:pPr>
        <w:ind w:left="6333" w:hanging="360"/>
      </w:pPr>
      <w:rPr>
        <w:rFonts w:ascii="Wingdings" w:hAnsi="Wingdings" w:hint="default"/>
      </w:rPr>
    </w:lvl>
  </w:abstractNum>
  <w:abstractNum w:abstractNumId="44" w15:restartNumberingAfterBreak="0">
    <w:nsid w:val="793818DA"/>
    <w:multiLevelType w:val="hybridMultilevel"/>
    <w:tmpl w:val="2B14F8E4"/>
    <w:lvl w:ilvl="0" w:tplc="5D86405C">
      <w:start w:val="2019"/>
      <w:numFmt w:val="bullet"/>
      <w:lvlText w:val="-"/>
      <w:lvlJc w:val="left"/>
      <w:pPr>
        <w:ind w:left="1770" w:hanging="360"/>
      </w:pPr>
      <w:rPr>
        <w:rFonts w:ascii="Arial Narrow" w:eastAsiaTheme="minorHAnsi" w:hAnsi="Arial Narrow" w:cs="Aria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5" w15:restartNumberingAfterBreak="0">
    <w:nsid w:val="7DF31E5A"/>
    <w:multiLevelType w:val="hybridMultilevel"/>
    <w:tmpl w:val="84DC6B90"/>
    <w:lvl w:ilvl="0" w:tplc="041B0001">
      <w:start w:val="1"/>
      <w:numFmt w:val="bullet"/>
      <w:lvlText w:val=""/>
      <w:lvlJc w:val="left"/>
      <w:pPr>
        <w:ind w:left="720" w:hanging="360"/>
      </w:pPr>
      <w:rPr>
        <w:rFonts w:ascii="Symbol" w:hAnsi="Symbol" w:hint="default"/>
      </w:rPr>
    </w:lvl>
    <w:lvl w:ilvl="1" w:tplc="0812DFDE">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DF570CE"/>
    <w:multiLevelType w:val="hybridMultilevel"/>
    <w:tmpl w:val="BC5230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2A74D1"/>
    <w:multiLevelType w:val="hybridMultilevel"/>
    <w:tmpl w:val="51C692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5"/>
  </w:num>
  <w:num w:numId="3">
    <w:abstractNumId w:val="37"/>
  </w:num>
  <w:num w:numId="4">
    <w:abstractNumId w:val="33"/>
  </w:num>
  <w:num w:numId="5">
    <w:abstractNumId w:val="39"/>
  </w:num>
  <w:num w:numId="6">
    <w:abstractNumId w:val="29"/>
  </w:num>
  <w:num w:numId="7">
    <w:abstractNumId w:val="10"/>
  </w:num>
  <w:num w:numId="8">
    <w:abstractNumId w:val="14"/>
  </w:num>
  <w:num w:numId="9">
    <w:abstractNumId w:val="3"/>
  </w:num>
  <w:num w:numId="10">
    <w:abstractNumId w:val="36"/>
  </w:num>
  <w:num w:numId="11">
    <w:abstractNumId w:val="47"/>
  </w:num>
  <w:num w:numId="12">
    <w:abstractNumId w:val="16"/>
  </w:num>
  <w:num w:numId="13">
    <w:abstractNumId w:val="2"/>
  </w:num>
  <w:num w:numId="14">
    <w:abstractNumId w:val="15"/>
  </w:num>
  <w:num w:numId="15">
    <w:abstractNumId w:val="23"/>
  </w:num>
  <w:num w:numId="16">
    <w:abstractNumId w:val="27"/>
  </w:num>
  <w:num w:numId="17">
    <w:abstractNumId w:val="24"/>
  </w:num>
  <w:num w:numId="18">
    <w:abstractNumId w:val="13"/>
  </w:num>
  <w:num w:numId="19">
    <w:abstractNumId w:val="41"/>
  </w:num>
  <w:num w:numId="20">
    <w:abstractNumId w:val="30"/>
  </w:num>
  <w:num w:numId="21">
    <w:abstractNumId w:val="11"/>
  </w:num>
  <w:num w:numId="22">
    <w:abstractNumId w:val="12"/>
  </w:num>
  <w:num w:numId="23">
    <w:abstractNumId w:val="28"/>
  </w:num>
  <w:num w:numId="24">
    <w:abstractNumId w:val="7"/>
  </w:num>
  <w:num w:numId="25">
    <w:abstractNumId w:val="1"/>
  </w:num>
  <w:num w:numId="26">
    <w:abstractNumId w:val="19"/>
  </w:num>
  <w:num w:numId="27">
    <w:abstractNumId w:val="17"/>
  </w:num>
  <w:num w:numId="28">
    <w:abstractNumId w:val="38"/>
  </w:num>
  <w:num w:numId="29">
    <w:abstractNumId w:val="9"/>
  </w:num>
  <w:num w:numId="30">
    <w:abstractNumId w:val="42"/>
  </w:num>
  <w:num w:numId="31">
    <w:abstractNumId w:val="20"/>
  </w:num>
  <w:num w:numId="32">
    <w:abstractNumId w:val="21"/>
  </w:num>
  <w:num w:numId="33">
    <w:abstractNumId w:val="8"/>
  </w:num>
  <w:num w:numId="34">
    <w:abstractNumId w:val="32"/>
  </w:num>
  <w:num w:numId="35">
    <w:abstractNumId w:val="22"/>
  </w:num>
  <w:num w:numId="36">
    <w:abstractNumId w:val="40"/>
  </w:num>
  <w:num w:numId="37">
    <w:abstractNumId w:val="25"/>
  </w:num>
  <w:num w:numId="38">
    <w:abstractNumId w:val="44"/>
  </w:num>
  <w:num w:numId="39">
    <w:abstractNumId w:val="43"/>
  </w:num>
  <w:num w:numId="40">
    <w:abstractNumId w:val="35"/>
  </w:num>
  <w:num w:numId="41">
    <w:abstractNumId w:val="0"/>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
  </w:num>
  <w:num w:numId="45">
    <w:abstractNumId w:val="46"/>
  </w:num>
  <w:num w:numId="46">
    <w:abstractNumId w:val="45"/>
  </w:num>
  <w:num w:numId="47">
    <w:abstractNumId w:val="18"/>
  </w:num>
  <w:num w:numId="48">
    <w:abstractNumId w:val="6"/>
  </w:num>
  <w:num w:numId="49">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B8"/>
    <w:rsid w:val="000007D6"/>
    <w:rsid w:val="00000BA3"/>
    <w:rsid w:val="00000DBC"/>
    <w:rsid w:val="00000E4E"/>
    <w:rsid w:val="0000120A"/>
    <w:rsid w:val="000013DE"/>
    <w:rsid w:val="000019F9"/>
    <w:rsid w:val="00001C03"/>
    <w:rsid w:val="000020C8"/>
    <w:rsid w:val="00002298"/>
    <w:rsid w:val="00002CC6"/>
    <w:rsid w:val="0000326B"/>
    <w:rsid w:val="0000340F"/>
    <w:rsid w:val="00003767"/>
    <w:rsid w:val="00003D9C"/>
    <w:rsid w:val="00003FE6"/>
    <w:rsid w:val="00004034"/>
    <w:rsid w:val="00004326"/>
    <w:rsid w:val="000045F3"/>
    <w:rsid w:val="000046F7"/>
    <w:rsid w:val="00004837"/>
    <w:rsid w:val="0000535F"/>
    <w:rsid w:val="00005E14"/>
    <w:rsid w:val="0000616E"/>
    <w:rsid w:val="00006769"/>
    <w:rsid w:val="00006900"/>
    <w:rsid w:val="00006CB2"/>
    <w:rsid w:val="0000703F"/>
    <w:rsid w:val="0000714F"/>
    <w:rsid w:val="00007918"/>
    <w:rsid w:val="00007C8A"/>
    <w:rsid w:val="00007CF6"/>
    <w:rsid w:val="0001001B"/>
    <w:rsid w:val="00010059"/>
    <w:rsid w:val="0001021E"/>
    <w:rsid w:val="00010ACD"/>
    <w:rsid w:val="000117C8"/>
    <w:rsid w:val="00011EC5"/>
    <w:rsid w:val="00012093"/>
    <w:rsid w:val="0001234F"/>
    <w:rsid w:val="000127F2"/>
    <w:rsid w:val="000129DE"/>
    <w:rsid w:val="00012A45"/>
    <w:rsid w:val="00012A88"/>
    <w:rsid w:val="00012FA2"/>
    <w:rsid w:val="00013328"/>
    <w:rsid w:val="0001366B"/>
    <w:rsid w:val="00013832"/>
    <w:rsid w:val="000138AC"/>
    <w:rsid w:val="00013C75"/>
    <w:rsid w:val="0001400A"/>
    <w:rsid w:val="00014A97"/>
    <w:rsid w:val="000151A0"/>
    <w:rsid w:val="000156E3"/>
    <w:rsid w:val="00016183"/>
    <w:rsid w:val="000163AB"/>
    <w:rsid w:val="000163CE"/>
    <w:rsid w:val="00016969"/>
    <w:rsid w:val="000173BC"/>
    <w:rsid w:val="0001745C"/>
    <w:rsid w:val="00017B5E"/>
    <w:rsid w:val="000201A1"/>
    <w:rsid w:val="00020782"/>
    <w:rsid w:val="00020AEF"/>
    <w:rsid w:val="00020DA1"/>
    <w:rsid w:val="000213CF"/>
    <w:rsid w:val="00021923"/>
    <w:rsid w:val="0002195D"/>
    <w:rsid w:val="0002282E"/>
    <w:rsid w:val="00022B7C"/>
    <w:rsid w:val="00022F49"/>
    <w:rsid w:val="00023611"/>
    <w:rsid w:val="000237E9"/>
    <w:rsid w:val="00023EBD"/>
    <w:rsid w:val="000240F3"/>
    <w:rsid w:val="000248F0"/>
    <w:rsid w:val="00024F04"/>
    <w:rsid w:val="000256F2"/>
    <w:rsid w:val="00025785"/>
    <w:rsid w:val="00025BC8"/>
    <w:rsid w:val="00025F5A"/>
    <w:rsid w:val="0002614B"/>
    <w:rsid w:val="00026761"/>
    <w:rsid w:val="00027001"/>
    <w:rsid w:val="00027130"/>
    <w:rsid w:val="0002716C"/>
    <w:rsid w:val="00027197"/>
    <w:rsid w:val="000271A7"/>
    <w:rsid w:val="00027543"/>
    <w:rsid w:val="00027851"/>
    <w:rsid w:val="00027E9F"/>
    <w:rsid w:val="00030427"/>
    <w:rsid w:val="00030E47"/>
    <w:rsid w:val="0003107C"/>
    <w:rsid w:val="0003125D"/>
    <w:rsid w:val="00031A3C"/>
    <w:rsid w:val="0003200F"/>
    <w:rsid w:val="00032113"/>
    <w:rsid w:val="0003234B"/>
    <w:rsid w:val="00032910"/>
    <w:rsid w:val="0003293F"/>
    <w:rsid w:val="00032B88"/>
    <w:rsid w:val="00032FC0"/>
    <w:rsid w:val="00033093"/>
    <w:rsid w:val="0003340C"/>
    <w:rsid w:val="0003397F"/>
    <w:rsid w:val="00033CA5"/>
    <w:rsid w:val="000340CE"/>
    <w:rsid w:val="000341BC"/>
    <w:rsid w:val="000346E5"/>
    <w:rsid w:val="00034732"/>
    <w:rsid w:val="000347B4"/>
    <w:rsid w:val="000349B0"/>
    <w:rsid w:val="00034D83"/>
    <w:rsid w:val="00035016"/>
    <w:rsid w:val="00035322"/>
    <w:rsid w:val="00035A41"/>
    <w:rsid w:val="00035C5E"/>
    <w:rsid w:val="000360E8"/>
    <w:rsid w:val="0003653E"/>
    <w:rsid w:val="00036600"/>
    <w:rsid w:val="00036B1A"/>
    <w:rsid w:val="00036C63"/>
    <w:rsid w:val="000373BC"/>
    <w:rsid w:val="00037E80"/>
    <w:rsid w:val="000406BC"/>
    <w:rsid w:val="000407B0"/>
    <w:rsid w:val="00040923"/>
    <w:rsid w:val="00040AB6"/>
    <w:rsid w:val="00040ADE"/>
    <w:rsid w:val="00040D12"/>
    <w:rsid w:val="00040F8D"/>
    <w:rsid w:val="00041007"/>
    <w:rsid w:val="00041084"/>
    <w:rsid w:val="000412F7"/>
    <w:rsid w:val="00041894"/>
    <w:rsid w:val="00041BA5"/>
    <w:rsid w:val="00041DE5"/>
    <w:rsid w:val="00042765"/>
    <w:rsid w:val="00042774"/>
    <w:rsid w:val="00043A07"/>
    <w:rsid w:val="00043A6C"/>
    <w:rsid w:val="00043DCE"/>
    <w:rsid w:val="00043E44"/>
    <w:rsid w:val="000449C5"/>
    <w:rsid w:val="00044D70"/>
    <w:rsid w:val="00044DA5"/>
    <w:rsid w:val="00044E51"/>
    <w:rsid w:val="000451F2"/>
    <w:rsid w:val="00045695"/>
    <w:rsid w:val="000456FC"/>
    <w:rsid w:val="0004608D"/>
    <w:rsid w:val="0004676D"/>
    <w:rsid w:val="000467A5"/>
    <w:rsid w:val="000467C0"/>
    <w:rsid w:val="0004684B"/>
    <w:rsid w:val="00046983"/>
    <w:rsid w:val="00046A09"/>
    <w:rsid w:val="00047174"/>
    <w:rsid w:val="0004733F"/>
    <w:rsid w:val="00047481"/>
    <w:rsid w:val="000477E0"/>
    <w:rsid w:val="00047A93"/>
    <w:rsid w:val="00047D8F"/>
    <w:rsid w:val="00047F7E"/>
    <w:rsid w:val="0005007F"/>
    <w:rsid w:val="00051040"/>
    <w:rsid w:val="000510B5"/>
    <w:rsid w:val="0005143E"/>
    <w:rsid w:val="00051449"/>
    <w:rsid w:val="000516F8"/>
    <w:rsid w:val="00051821"/>
    <w:rsid w:val="00051996"/>
    <w:rsid w:val="00052266"/>
    <w:rsid w:val="00052306"/>
    <w:rsid w:val="000524CC"/>
    <w:rsid w:val="0005284A"/>
    <w:rsid w:val="0005313A"/>
    <w:rsid w:val="0005342F"/>
    <w:rsid w:val="0005360A"/>
    <w:rsid w:val="00053DE4"/>
    <w:rsid w:val="00054455"/>
    <w:rsid w:val="000544D9"/>
    <w:rsid w:val="0005468B"/>
    <w:rsid w:val="00055CD2"/>
    <w:rsid w:val="000560A3"/>
    <w:rsid w:val="000561B5"/>
    <w:rsid w:val="000562A6"/>
    <w:rsid w:val="0005640E"/>
    <w:rsid w:val="0005646D"/>
    <w:rsid w:val="00056633"/>
    <w:rsid w:val="0005716C"/>
    <w:rsid w:val="000578FA"/>
    <w:rsid w:val="000603B2"/>
    <w:rsid w:val="000607EB"/>
    <w:rsid w:val="0006094E"/>
    <w:rsid w:val="000610D4"/>
    <w:rsid w:val="000613F5"/>
    <w:rsid w:val="00061416"/>
    <w:rsid w:val="000614D5"/>
    <w:rsid w:val="00061895"/>
    <w:rsid w:val="00061A75"/>
    <w:rsid w:val="000623A8"/>
    <w:rsid w:val="00062677"/>
    <w:rsid w:val="0006294F"/>
    <w:rsid w:val="00062E19"/>
    <w:rsid w:val="000630EC"/>
    <w:rsid w:val="00063169"/>
    <w:rsid w:val="00063BD7"/>
    <w:rsid w:val="00063C24"/>
    <w:rsid w:val="00064099"/>
    <w:rsid w:val="00064239"/>
    <w:rsid w:val="00064746"/>
    <w:rsid w:val="00064935"/>
    <w:rsid w:val="00064B3F"/>
    <w:rsid w:val="000652F2"/>
    <w:rsid w:val="00065555"/>
    <w:rsid w:val="00065F93"/>
    <w:rsid w:val="0006601E"/>
    <w:rsid w:val="000667A1"/>
    <w:rsid w:val="00066C85"/>
    <w:rsid w:val="00067030"/>
    <w:rsid w:val="00067143"/>
    <w:rsid w:val="000702A2"/>
    <w:rsid w:val="00070535"/>
    <w:rsid w:val="00070643"/>
    <w:rsid w:val="00070AEC"/>
    <w:rsid w:val="00071059"/>
    <w:rsid w:val="0007141F"/>
    <w:rsid w:val="0007190C"/>
    <w:rsid w:val="00071F8B"/>
    <w:rsid w:val="000720DC"/>
    <w:rsid w:val="000721CE"/>
    <w:rsid w:val="0007256B"/>
    <w:rsid w:val="00072650"/>
    <w:rsid w:val="000728E3"/>
    <w:rsid w:val="000729C7"/>
    <w:rsid w:val="00072B94"/>
    <w:rsid w:val="0007357D"/>
    <w:rsid w:val="000736F2"/>
    <w:rsid w:val="00073916"/>
    <w:rsid w:val="00073E08"/>
    <w:rsid w:val="0007437D"/>
    <w:rsid w:val="000746AC"/>
    <w:rsid w:val="00074972"/>
    <w:rsid w:val="00074F0B"/>
    <w:rsid w:val="00075062"/>
    <w:rsid w:val="0007535E"/>
    <w:rsid w:val="00075388"/>
    <w:rsid w:val="00075AD6"/>
    <w:rsid w:val="00075B17"/>
    <w:rsid w:val="00075F58"/>
    <w:rsid w:val="00075FC4"/>
    <w:rsid w:val="000763FF"/>
    <w:rsid w:val="00076CF6"/>
    <w:rsid w:val="00076E1E"/>
    <w:rsid w:val="000772DE"/>
    <w:rsid w:val="000776C4"/>
    <w:rsid w:val="00077921"/>
    <w:rsid w:val="00077E62"/>
    <w:rsid w:val="00077F89"/>
    <w:rsid w:val="0008002F"/>
    <w:rsid w:val="000802D3"/>
    <w:rsid w:val="0008033F"/>
    <w:rsid w:val="000805C3"/>
    <w:rsid w:val="00080787"/>
    <w:rsid w:val="000807C4"/>
    <w:rsid w:val="000807F7"/>
    <w:rsid w:val="0008104C"/>
    <w:rsid w:val="00081478"/>
    <w:rsid w:val="00081750"/>
    <w:rsid w:val="0008177F"/>
    <w:rsid w:val="00081A79"/>
    <w:rsid w:val="00082657"/>
    <w:rsid w:val="00083024"/>
    <w:rsid w:val="00083074"/>
    <w:rsid w:val="000838A4"/>
    <w:rsid w:val="00083C0F"/>
    <w:rsid w:val="00083CF3"/>
    <w:rsid w:val="00083FA8"/>
    <w:rsid w:val="00083FB3"/>
    <w:rsid w:val="00084A84"/>
    <w:rsid w:val="00084B4A"/>
    <w:rsid w:val="00084D81"/>
    <w:rsid w:val="00085543"/>
    <w:rsid w:val="00085B5D"/>
    <w:rsid w:val="00085CFF"/>
    <w:rsid w:val="00085D05"/>
    <w:rsid w:val="000867D0"/>
    <w:rsid w:val="00086816"/>
    <w:rsid w:val="0008689E"/>
    <w:rsid w:val="00086FAC"/>
    <w:rsid w:val="000870B6"/>
    <w:rsid w:val="00087412"/>
    <w:rsid w:val="00087745"/>
    <w:rsid w:val="000877B0"/>
    <w:rsid w:val="00087D73"/>
    <w:rsid w:val="000906B5"/>
    <w:rsid w:val="000913C8"/>
    <w:rsid w:val="000916A9"/>
    <w:rsid w:val="00091707"/>
    <w:rsid w:val="00091FBB"/>
    <w:rsid w:val="00092179"/>
    <w:rsid w:val="000922F4"/>
    <w:rsid w:val="000926BC"/>
    <w:rsid w:val="00092779"/>
    <w:rsid w:val="000927E5"/>
    <w:rsid w:val="00092AC7"/>
    <w:rsid w:val="00092BB8"/>
    <w:rsid w:val="00092D90"/>
    <w:rsid w:val="00092E50"/>
    <w:rsid w:val="00093106"/>
    <w:rsid w:val="000931B8"/>
    <w:rsid w:val="0009327D"/>
    <w:rsid w:val="00093D92"/>
    <w:rsid w:val="000941EE"/>
    <w:rsid w:val="00094345"/>
    <w:rsid w:val="0009442E"/>
    <w:rsid w:val="00094A33"/>
    <w:rsid w:val="00094A97"/>
    <w:rsid w:val="00094EA7"/>
    <w:rsid w:val="000953B8"/>
    <w:rsid w:val="00095744"/>
    <w:rsid w:val="0009590F"/>
    <w:rsid w:val="000959A5"/>
    <w:rsid w:val="00095A03"/>
    <w:rsid w:val="0009688A"/>
    <w:rsid w:val="00096C2D"/>
    <w:rsid w:val="00096DEF"/>
    <w:rsid w:val="0009701F"/>
    <w:rsid w:val="00097A35"/>
    <w:rsid w:val="000A011A"/>
    <w:rsid w:val="000A0313"/>
    <w:rsid w:val="000A045E"/>
    <w:rsid w:val="000A0550"/>
    <w:rsid w:val="000A07DB"/>
    <w:rsid w:val="000A08CB"/>
    <w:rsid w:val="000A14EE"/>
    <w:rsid w:val="000A1A8C"/>
    <w:rsid w:val="000A21A8"/>
    <w:rsid w:val="000A2488"/>
    <w:rsid w:val="000A2C95"/>
    <w:rsid w:val="000A34A9"/>
    <w:rsid w:val="000A3871"/>
    <w:rsid w:val="000A393F"/>
    <w:rsid w:val="000A3AA2"/>
    <w:rsid w:val="000A42E3"/>
    <w:rsid w:val="000A466A"/>
    <w:rsid w:val="000A4CD0"/>
    <w:rsid w:val="000A52B3"/>
    <w:rsid w:val="000A550B"/>
    <w:rsid w:val="000A56F9"/>
    <w:rsid w:val="000A58E4"/>
    <w:rsid w:val="000A5ADA"/>
    <w:rsid w:val="000A6090"/>
    <w:rsid w:val="000A6169"/>
    <w:rsid w:val="000A6170"/>
    <w:rsid w:val="000A6F15"/>
    <w:rsid w:val="000A756A"/>
    <w:rsid w:val="000A770F"/>
    <w:rsid w:val="000A79C9"/>
    <w:rsid w:val="000A7BDB"/>
    <w:rsid w:val="000A7D26"/>
    <w:rsid w:val="000B01BC"/>
    <w:rsid w:val="000B0A11"/>
    <w:rsid w:val="000B14CE"/>
    <w:rsid w:val="000B1C47"/>
    <w:rsid w:val="000B1E5C"/>
    <w:rsid w:val="000B2087"/>
    <w:rsid w:val="000B20AF"/>
    <w:rsid w:val="000B20EF"/>
    <w:rsid w:val="000B249B"/>
    <w:rsid w:val="000B2985"/>
    <w:rsid w:val="000B2B8C"/>
    <w:rsid w:val="000B2F5D"/>
    <w:rsid w:val="000B2FEF"/>
    <w:rsid w:val="000B3047"/>
    <w:rsid w:val="000B3405"/>
    <w:rsid w:val="000B34FC"/>
    <w:rsid w:val="000B3AF8"/>
    <w:rsid w:val="000B3C7C"/>
    <w:rsid w:val="000B41E8"/>
    <w:rsid w:val="000B4441"/>
    <w:rsid w:val="000B4758"/>
    <w:rsid w:val="000B47C2"/>
    <w:rsid w:val="000B5448"/>
    <w:rsid w:val="000B580D"/>
    <w:rsid w:val="000B58B7"/>
    <w:rsid w:val="000B5B6C"/>
    <w:rsid w:val="000B5C64"/>
    <w:rsid w:val="000B5F64"/>
    <w:rsid w:val="000B6060"/>
    <w:rsid w:val="000B6C7B"/>
    <w:rsid w:val="000B71D8"/>
    <w:rsid w:val="000B7241"/>
    <w:rsid w:val="000B75A9"/>
    <w:rsid w:val="000B79A0"/>
    <w:rsid w:val="000C05A6"/>
    <w:rsid w:val="000C0ABF"/>
    <w:rsid w:val="000C0E95"/>
    <w:rsid w:val="000C1023"/>
    <w:rsid w:val="000C11C9"/>
    <w:rsid w:val="000C22CA"/>
    <w:rsid w:val="000C2DA1"/>
    <w:rsid w:val="000C342B"/>
    <w:rsid w:val="000C34B1"/>
    <w:rsid w:val="000C355B"/>
    <w:rsid w:val="000C387B"/>
    <w:rsid w:val="000C39D5"/>
    <w:rsid w:val="000C3E1F"/>
    <w:rsid w:val="000C4D20"/>
    <w:rsid w:val="000C4E5B"/>
    <w:rsid w:val="000C558A"/>
    <w:rsid w:val="000C570A"/>
    <w:rsid w:val="000C5CC2"/>
    <w:rsid w:val="000C5E66"/>
    <w:rsid w:val="000C60F9"/>
    <w:rsid w:val="000C617C"/>
    <w:rsid w:val="000C66C2"/>
    <w:rsid w:val="000C6A96"/>
    <w:rsid w:val="000C6BEF"/>
    <w:rsid w:val="000C6F14"/>
    <w:rsid w:val="000C6F6C"/>
    <w:rsid w:val="000C71BA"/>
    <w:rsid w:val="000C71BD"/>
    <w:rsid w:val="000C77FE"/>
    <w:rsid w:val="000C79D7"/>
    <w:rsid w:val="000D016B"/>
    <w:rsid w:val="000D0417"/>
    <w:rsid w:val="000D1123"/>
    <w:rsid w:val="000D11A1"/>
    <w:rsid w:val="000D1217"/>
    <w:rsid w:val="000D163D"/>
    <w:rsid w:val="000D1CF9"/>
    <w:rsid w:val="000D23B5"/>
    <w:rsid w:val="000D260E"/>
    <w:rsid w:val="000D26DC"/>
    <w:rsid w:val="000D3301"/>
    <w:rsid w:val="000D398E"/>
    <w:rsid w:val="000D40B7"/>
    <w:rsid w:val="000D424F"/>
    <w:rsid w:val="000D4291"/>
    <w:rsid w:val="000D4638"/>
    <w:rsid w:val="000D4769"/>
    <w:rsid w:val="000D4781"/>
    <w:rsid w:val="000D4CFA"/>
    <w:rsid w:val="000D4E06"/>
    <w:rsid w:val="000D4F3B"/>
    <w:rsid w:val="000D5151"/>
    <w:rsid w:val="000D58E4"/>
    <w:rsid w:val="000D5A0D"/>
    <w:rsid w:val="000D5AE8"/>
    <w:rsid w:val="000D5B8A"/>
    <w:rsid w:val="000D60CC"/>
    <w:rsid w:val="000D64F6"/>
    <w:rsid w:val="000D6674"/>
    <w:rsid w:val="000D6902"/>
    <w:rsid w:val="000D6AD2"/>
    <w:rsid w:val="000D6CAD"/>
    <w:rsid w:val="000D72BA"/>
    <w:rsid w:val="000D77F2"/>
    <w:rsid w:val="000D7C9E"/>
    <w:rsid w:val="000D7CCD"/>
    <w:rsid w:val="000E0425"/>
    <w:rsid w:val="000E053D"/>
    <w:rsid w:val="000E0E13"/>
    <w:rsid w:val="000E13AA"/>
    <w:rsid w:val="000E1664"/>
    <w:rsid w:val="000E1675"/>
    <w:rsid w:val="000E21AA"/>
    <w:rsid w:val="000E2B09"/>
    <w:rsid w:val="000E2D81"/>
    <w:rsid w:val="000E3547"/>
    <w:rsid w:val="000E36B6"/>
    <w:rsid w:val="000E39BD"/>
    <w:rsid w:val="000E41A9"/>
    <w:rsid w:val="000E4C03"/>
    <w:rsid w:val="000E4C75"/>
    <w:rsid w:val="000E4CA5"/>
    <w:rsid w:val="000E5772"/>
    <w:rsid w:val="000E6159"/>
    <w:rsid w:val="000E63FA"/>
    <w:rsid w:val="000E69CB"/>
    <w:rsid w:val="000E715E"/>
    <w:rsid w:val="000E76EC"/>
    <w:rsid w:val="000E7827"/>
    <w:rsid w:val="000F00DA"/>
    <w:rsid w:val="000F01DC"/>
    <w:rsid w:val="000F03AF"/>
    <w:rsid w:val="000F0531"/>
    <w:rsid w:val="000F0533"/>
    <w:rsid w:val="000F0B1D"/>
    <w:rsid w:val="000F14D0"/>
    <w:rsid w:val="000F167B"/>
    <w:rsid w:val="000F17A1"/>
    <w:rsid w:val="000F1B8F"/>
    <w:rsid w:val="000F237A"/>
    <w:rsid w:val="000F2651"/>
    <w:rsid w:val="000F2A0A"/>
    <w:rsid w:val="000F2B3D"/>
    <w:rsid w:val="000F35AE"/>
    <w:rsid w:val="000F35D3"/>
    <w:rsid w:val="000F35DF"/>
    <w:rsid w:val="000F36A1"/>
    <w:rsid w:val="000F3DA7"/>
    <w:rsid w:val="000F3DD4"/>
    <w:rsid w:val="000F442A"/>
    <w:rsid w:val="000F4575"/>
    <w:rsid w:val="000F461A"/>
    <w:rsid w:val="000F5058"/>
    <w:rsid w:val="000F5082"/>
    <w:rsid w:val="000F51F2"/>
    <w:rsid w:val="000F5214"/>
    <w:rsid w:val="000F56EE"/>
    <w:rsid w:val="000F58AB"/>
    <w:rsid w:val="000F5FD3"/>
    <w:rsid w:val="000F6D17"/>
    <w:rsid w:val="000F7251"/>
    <w:rsid w:val="000F7AF3"/>
    <w:rsid w:val="000F7C5F"/>
    <w:rsid w:val="000F7D73"/>
    <w:rsid w:val="000F7FC4"/>
    <w:rsid w:val="00100B6C"/>
    <w:rsid w:val="00101951"/>
    <w:rsid w:val="00101B11"/>
    <w:rsid w:val="00101DE6"/>
    <w:rsid w:val="00102677"/>
    <w:rsid w:val="001028B6"/>
    <w:rsid w:val="00102980"/>
    <w:rsid w:val="001036A9"/>
    <w:rsid w:val="001037D9"/>
    <w:rsid w:val="001038AA"/>
    <w:rsid w:val="00103DE7"/>
    <w:rsid w:val="001041F5"/>
    <w:rsid w:val="0010422C"/>
    <w:rsid w:val="001045C4"/>
    <w:rsid w:val="0010481B"/>
    <w:rsid w:val="001051E3"/>
    <w:rsid w:val="00105665"/>
    <w:rsid w:val="00105A80"/>
    <w:rsid w:val="00105EF1"/>
    <w:rsid w:val="00106253"/>
    <w:rsid w:val="00106AB8"/>
    <w:rsid w:val="00106B4B"/>
    <w:rsid w:val="00106F36"/>
    <w:rsid w:val="00106F85"/>
    <w:rsid w:val="00107484"/>
    <w:rsid w:val="00107966"/>
    <w:rsid w:val="00107B9E"/>
    <w:rsid w:val="00107F63"/>
    <w:rsid w:val="001101FC"/>
    <w:rsid w:val="001102BA"/>
    <w:rsid w:val="00111261"/>
    <w:rsid w:val="0011143F"/>
    <w:rsid w:val="001118C1"/>
    <w:rsid w:val="00111C32"/>
    <w:rsid w:val="0011204D"/>
    <w:rsid w:val="00112053"/>
    <w:rsid w:val="00112328"/>
    <w:rsid w:val="001123BD"/>
    <w:rsid w:val="00112425"/>
    <w:rsid w:val="001126CD"/>
    <w:rsid w:val="00112AE8"/>
    <w:rsid w:val="00113480"/>
    <w:rsid w:val="001134B0"/>
    <w:rsid w:val="00113563"/>
    <w:rsid w:val="001136C3"/>
    <w:rsid w:val="0011479B"/>
    <w:rsid w:val="00115151"/>
    <w:rsid w:val="00115341"/>
    <w:rsid w:val="00115B0F"/>
    <w:rsid w:val="00115D51"/>
    <w:rsid w:val="001162A8"/>
    <w:rsid w:val="001163EF"/>
    <w:rsid w:val="00117510"/>
    <w:rsid w:val="0011755B"/>
    <w:rsid w:val="001175C2"/>
    <w:rsid w:val="0011763A"/>
    <w:rsid w:val="001178ED"/>
    <w:rsid w:val="00117C63"/>
    <w:rsid w:val="00120052"/>
    <w:rsid w:val="001206B1"/>
    <w:rsid w:val="00120AC9"/>
    <w:rsid w:val="00120FB8"/>
    <w:rsid w:val="001212E7"/>
    <w:rsid w:val="00121452"/>
    <w:rsid w:val="00121C91"/>
    <w:rsid w:val="00121DA6"/>
    <w:rsid w:val="00121F8D"/>
    <w:rsid w:val="001221DB"/>
    <w:rsid w:val="00122559"/>
    <w:rsid w:val="001226AD"/>
    <w:rsid w:val="001229E0"/>
    <w:rsid w:val="00122A7D"/>
    <w:rsid w:val="00122E60"/>
    <w:rsid w:val="00123F9C"/>
    <w:rsid w:val="00124505"/>
    <w:rsid w:val="00124EEE"/>
    <w:rsid w:val="00124FFC"/>
    <w:rsid w:val="00125285"/>
    <w:rsid w:val="001257EE"/>
    <w:rsid w:val="00125A48"/>
    <w:rsid w:val="00125D2F"/>
    <w:rsid w:val="001265CC"/>
    <w:rsid w:val="00126B79"/>
    <w:rsid w:val="00126BE2"/>
    <w:rsid w:val="00126BF5"/>
    <w:rsid w:val="001271A5"/>
    <w:rsid w:val="00127C02"/>
    <w:rsid w:val="001302F7"/>
    <w:rsid w:val="00130E97"/>
    <w:rsid w:val="001310EC"/>
    <w:rsid w:val="0013116B"/>
    <w:rsid w:val="001312A3"/>
    <w:rsid w:val="00131494"/>
    <w:rsid w:val="00131CC0"/>
    <w:rsid w:val="00131CC8"/>
    <w:rsid w:val="0013265E"/>
    <w:rsid w:val="0013332D"/>
    <w:rsid w:val="0013343C"/>
    <w:rsid w:val="001337C0"/>
    <w:rsid w:val="00133BD0"/>
    <w:rsid w:val="00133FF5"/>
    <w:rsid w:val="0013403D"/>
    <w:rsid w:val="00134764"/>
    <w:rsid w:val="0013526D"/>
    <w:rsid w:val="00135968"/>
    <w:rsid w:val="00135C01"/>
    <w:rsid w:val="0013608B"/>
    <w:rsid w:val="00136532"/>
    <w:rsid w:val="001365FE"/>
    <w:rsid w:val="001366CA"/>
    <w:rsid w:val="00136A22"/>
    <w:rsid w:val="00136DB3"/>
    <w:rsid w:val="00136FEE"/>
    <w:rsid w:val="00137527"/>
    <w:rsid w:val="00137ACE"/>
    <w:rsid w:val="00137D29"/>
    <w:rsid w:val="00137EC6"/>
    <w:rsid w:val="00137FD4"/>
    <w:rsid w:val="0014023D"/>
    <w:rsid w:val="0014089C"/>
    <w:rsid w:val="001409C2"/>
    <w:rsid w:val="001409E6"/>
    <w:rsid w:val="00140B42"/>
    <w:rsid w:val="00140C47"/>
    <w:rsid w:val="00141057"/>
    <w:rsid w:val="00141460"/>
    <w:rsid w:val="00141719"/>
    <w:rsid w:val="00141AD1"/>
    <w:rsid w:val="00142093"/>
    <w:rsid w:val="001424B1"/>
    <w:rsid w:val="001424B2"/>
    <w:rsid w:val="00142710"/>
    <w:rsid w:val="00142793"/>
    <w:rsid w:val="001432C6"/>
    <w:rsid w:val="001434F9"/>
    <w:rsid w:val="00143865"/>
    <w:rsid w:val="00143E43"/>
    <w:rsid w:val="001440CC"/>
    <w:rsid w:val="001443CB"/>
    <w:rsid w:val="00144825"/>
    <w:rsid w:val="001454E9"/>
    <w:rsid w:val="001457D7"/>
    <w:rsid w:val="001469B0"/>
    <w:rsid w:val="00146A56"/>
    <w:rsid w:val="00146B2B"/>
    <w:rsid w:val="00146C61"/>
    <w:rsid w:val="00146DEC"/>
    <w:rsid w:val="00146EFE"/>
    <w:rsid w:val="00146F35"/>
    <w:rsid w:val="00147008"/>
    <w:rsid w:val="00147167"/>
    <w:rsid w:val="00147C45"/>
    <w:rsid w:val="00150B40"/>
    <w:rsid w:val="001510E9"/>
    <w:rsid w:val="00151329"/>
    <w:rsid w:val="00151398"/>
    <w:rsid w:val="001515D7"/>
    <w:rsid w:val="0015184B"/>
    <w:rsid w:val="001519BC"/>
    <w:rsid w:val="00151A43"/>
    <w:rsid w:val="00151CA4"/>
    <w:rsid w:val="0015239B"/>
    <w:rsid w:val="0015265F"/>
    <w:rsid w:val="001527C0"/>
    <w:rsid w:val="0015322E"/>
    <w:rsid w:val="001537FC"/>
    <w:rsid w:val="001539C1"/>
    <w:rsid w:val="00153F1C"/>
    <w:rsid w:val="00154A86"/>
    <w:rsid w:val="00154C3C"/>
    <w:rsid w:val="00154CF4"/>
    <w:rsid w:val="001552DC"/>
    <w:rsid w:val="00155753"/>
    <w:rsid w:val="0015598A"/>
    <w:rsid w:val="00155DAE"/>
    <w:rsid w:val="001560E7"/>
    <w:rsid w:val="00156650"/>
    <w:rsid w:val="001568F0"/>
    <w:rsid w:val="001569FD"/>
    <w:rsid w:val="00156E68"/>
    <w:rsid w:val="001573B4"/>
    <w:rsid w:val="00157493"/>
    <w:rsid w:val="00157C53"/>
    <w:rsid w:val="00157DC4"/>
    <w:rsid w:val="00157DF9"/>
    <w:rsid w:val="00160534"/>
    <w:rsid w:val="0016113A"/>
    <w:rsid w:val="0016150C"/>
    <w:rsid w:val="00161570"/>
    <w:rsid w:val="0016176C"/>
    <w:rsid w:val="001619DE"/>
    <w:rsid w:val="00161EFC"/>
    <w:rsid w:val="0016231F"/>
    <w:rsid w:val="001628FE"/>
    <w:rsid w:val="00162AC2"/>
    <w:rsid w:val="00162D53"/>
    <w:rsid w:val="00163380"/>
    <w:rsid w:val="001637AD"/>
    <w:rsid w:val="00163FC2"/>
    <w:rsid w:val="00164137"/>
    <w:rsid w:val="001643EF"/>
    <w:rsid w:val="00164406"/>
    <w:rsid w:val="001645CC"/>
    <w:rsid w:val="001649F3"/>
    <w:rsid w:val="00164A59"/>
    <w:rsid w:val="00164AFA"/>
    <w:rsid w:val="00164CAF"/>
    <w:rsid w:val="001655FD"/>
    <w:rsid w:val="00165CC8"/>
    <w:rsid w:val="00165ECE"/>
    <w:rsid w:val="00166052"/>
    <w:rsid w:val="00166A45"/>
    <w:rsid w:val="0016717B"/>
    <w:rsid w:val="0016727A"/>
    <w:rsid w:val="00167BE3"/>
    <w:rsid w:val="00167F38"/>
    <w:rsid w:val="001701B9"/>
    <w:rsid w:val="0017041B"/>
    <w:rsid w:val="0017084C"/>
    <w:rsid w:val="00170932"/>
    <w:rsid w:val="001710AA"/>
    <w:rsid w:val="001712E5"/>
    <w:rsid w:val="0017147E"/>
    <w:rsid w:val="00171550"/>
    <w:rsid w:val="00171A06"/>
    <w:rsid w:val="00171DB2"/>
    <w:rsid w:val="00171E96"/>
    <w:rsid w:val="00172579"/>
    <w:rsid w:val="001731D0"/>
    <w:rsid w:val="00173266"/>
    <w:rsid w:val="001732A5"/>
    <w:rsid w:val="0017357D"/>
    <w:rsid w:val="00173DBD"/>
    <w:rsid w:val="00173E5B"/>
    <w:rsid w:val="00173EFE"/>
    <w:rsid w:val="00173F90"/>
    <w:rsid w:val="00173FA0"/>
    <w:rsid w:val="00174074"/>
    <w:rsid w:val="0017439D"/>
    <w:rsid w:val="00175052"/>
    <w:rsid w:val="00175AD5"/>
    <w:rsid w:val="0017626B"/>
    <w:rsid w:val="001768B3"/>
    <w:rsid w:val="001770E0"/>
    <w:rsid w:val="0017733B"/>
    <w:rsid w:val="00177394"/>
    <w:rsid w:val="0017765A"/>
    <w:rsid w:val="00177D78"/>
    <w:rsid w:val="001801B7"/>
    <w:rsid w:val="00180A47"/>
    <w:rsid w:val="00180AEE"/>
    <w:rsid w:val="0018187F"/>
    <w:rsid w:val="00181CEF"/>
    <w:rsid w:val="00181E9F"/>
    <w:rsid w:val="001821A0"/>
    <w:rsid w:val="00182205"/>
    <w:rsid w:val="001827EA"/>
    <w:rsid w:val="00182806"/>
    <w:rsid w:val="00182C75"/>
    <w:rsid w:val="00182EDB"/>
    <w:rsid w:val="0018340B"/>
    <w:rsid w:val="001834D5"/>
    <w:rsid w:val="00183CB2"/>
    <w:rsid w:val="00183D41"/>
    <w:rsid w:val="00183EB3"/>
    <w:rsid w:val="001843AF"/>
    <w:rsid w:val="001859CE"/>
    <w:rsid w:val="00186162"/>
    <w:rsid w:val="001862DE"/>
    <w:rsid w:val="00186401"/>
    <w:rsid w:val="00186523"/>
    <w:rsid w:val="001868A9"/>
    <w:rsid w:val="001869DA"/>
    <w:rsid w:val="00186DE6"/>
    <w:rsid w:val="00187341"/>
    <w:rsid w:val="0018736B"/>
    <w:rsid w:val="00187CB9"/>
    <w:rsid w:val="001901C7"/>
    <w:rsid w:val="00190737"/>
    <w:rsid w:val="001909FF"/>
    <w:rsid w:val="00190CBD"/>
    <w:rsid w:val="00190D45"/>
    <w:rsid w:val="00190F3C"/>
    <w:rsid w:val="00191B5E"/>
    <w:rsid w:val="00191D5C"/>
    <w:rsid w:val="00191D9B"/>
    <w:rsid w:val="0019227C"/>
    <w:rsid w:val="001924A6"/>
    <w:rsid w:val="001924EA"/>
    <w:rsid w:val="00192C14"/>
    <w:rsid w:val="00193066"/>
    <w:rsid w:val="00193117"/>
    <w:rsid w:val="001933F9"/>
    <w:rsid w:val="00193426"/>
    <w:rsid w:val="00193466"/>
    <w:rsid w:val="00194FA8"/>
    <w:rsid w:val="001954B7"/>
    <w:rsid w:val="00195F2E"/>
    <w:rsid w:val="001962E7"/>
    <w:rsid w:val="0019661F"/>
    <w:rsid w:val="00196969"/>
    <w:rsid w:val="00196B8B"/>
    <w:rsid w:val="001972C6"/>
    <w:rsid w:val="001975E3"/>
    <w:rsid w:val="001976B1"/>
    <w:rsid w:val="00197BE4"/>
    <w:rsid w:val="00197DF7"/>
    <w:rsid w:val="00197E29"/>
    <w:rsid w:val="001A03CF"/>
    <w:rsid w:val="001A057E"/>
    <w:rsid w:val="001A09E3"/>
    <w:rsid w:val="001A0ACA"/>
    <w:rsid w:val="001A0D10"/>
    <w:rsid w:val="001A1333"/>
    <w:rsid w:val="001A286F"/>
    <w:rsid w:val="001A2946"/>
    <w:rsid w:val="001A2964"/>
    <w:rsid w:val="001A2AD4"/>
    <w:rsid w:val="001A2CEA"/>
    <w:rsid w:val="001A312B"/>
    <w:rsid w:val="001A360A"/>
    <w:rsid w:val="001A431C"/>
    <w:rsid w:val="001A4398"/>
    <w:rsid w:val="001A460B"/>
    <w:rsid w:val="001A47F1"/>
    <w:rsid w:val="001A4AE9"/>
    <w:rsid w:val="001A4CB9"/>
    <w:rsid w:val="001A4D64"/>
    <w:rsid w:val="001A4E18"/>
    <w:rsid w:val="001A4EB8"/>
    <w:rsid w:val="001A56E7"/>
    <w:rsid w:val="001A5795"/>
    <w:rsid w:val="001A58A3"/>
    <w:rsid w:val="001A5B34"/>
    <w:rsid w:val="001A5E78"/>
    <w:rsid w:val="001A61E6"/>
    <w:rsid w:val="001A6810"/>
    <w:rsid w:val="001A6C07"/>
    <w:rsid w:val="001A7409"/>
    <w:rsid w:val="001A7F27"/>
    <w:rsid w:val="001B02A2"/>
    <w:rsid w:val="001B0A38"/>
    <w:rsid w:val="001B0DD5"/>
    <w:rsid w:val="001B10C6"/>
    <w:rsid w:val="001B1312"/>
    <w:rsid w:val="001B13BB"/>
    <w:rsid w:val="001B16F2"/>
    <w:rsid w:val="001B2117"/>
    <w:rsid w:val="001B234E"/>
    <w:rsid w:val="001B2421"/>
    <w:rsid w:val="001B299A"/>
    <w:rsid w:val="001B2B64"/>
    <w:rsid w:val="001B320A"/>
    <w:rsid w:val="001B32CE"/>
    <w:rsid w:val="001B3331"/>
    <w:rsid w:val="001B3733"/>
    <w:rsid w:val="001B3C8A"/>
    <w:rsid w:val="001B4131"/>
    <w:rsid w:val="001B4244"/>
    <w:rsid w:val="001B437F"/>
    <w:rsid w:val="001B4427"/>
    <w:rsid w:val="001B46B9"/>
    <w:rsid w:val="001B4E62"/>
    <w:rsid w:val="001B53BB"/>
    <w:rsid w:val="001B5513"/>
    <w:rsid w:val="001B585C"/>
    <w:rsid w:val="001B5907"/>
    <w:rsid w:val="001B5B49"/>
    <w:rsid w:val="001B5D35"/>
    <w:rsid w:val="001B5F85"/>
    <w:rsid w:val="001B603E"/>
    <w:rsid w:val="001B6355"/>
    <w:rsid w:val="001B6582"/>
    <w:rsid w:val="001B6C6B"/>
    <w:rsid w:val="001B7005"/>
    <w:rsid w:val="001B756C"/>
    <w:rsid w:val="001B7762"/>
    <w:rsid w:val="001B77C9"/>
    <w:rsid w:val="001C0215"/>
    <w:rsid w:val="001C02F1"/>
    <w:rsid w:val="001C03AA"/>
    <w:rsid w:val="001C04EF"/>
    <w:rsid w:val="001C0597"/>
    <w:rsid w:val="001C0654"/>
    <w:rsid w:val="001C0920"/>
    <w:rsid w:val="001C0A60"/>
    <w:rsid w:val="001C15BC"/>
    <w:rsid w:val="001C15C4"/>
    <w:rsid w:val="001C1625"/>
    <w:rsid w:val="001C19B9"/>
    <w:rsid w:val="001C1A42"/>
    <w:rsid w:val="001C1AC2"/>
    <w:rsid w:val="001C1B7F"/>
    <w:rsid w:val="001C242B"/>
    <w:rsid w:val="001C244C"/>
    <w:rsid w:val="001C2554"/>
    <w:rsid w:val="001C26BA"/>
    <w:rsid w:val="001C2D88"/>
    <w:rsid w:val="001C2EAA"/>
    <w:rsid w:val="001C30CE"/>
    <w:rsid w:val="001C3441"/>
    <w:rsid w:val="001C35F1"/>
    <w:rsid w:val="001C3C5E"/>
    <w:rsid w:val="001C3D01"/>
    <w:rsid w:val="001C4495"/>
    <w:rsid w:val="001C450A"/>
    <w:rsid w:val="001C4580"/>
    <w:rsid w:val="001C4B30"/>
    <w:rsid w:val="001C53DC"/>
    <w:rsid w:val="001C57F4"/>
    <w:rsid w:val="001C5832"/>
    <w:rsid w:val="001C5A4C"/>
    <w:rsid w:val="001C5A5F"/>
    <w:rsid w:val="001C5D43"/>
    <w:rsid w:val="001C631E"/>
    <w:rsid w:val="001C6D8E"/>
    <w:rsid w:val="001C6DEB"/>
    <w:rsid w:val="001C6F00"/>
    <w:rsid w:val="001C7C12"/>
    <w:rsid w:val="001C7CC8"/>
    <w:rsid w:val="001C7F48"/>
    <w:rsid w:val="001C7F69"/>
    <w:rsid w:val="001D0242"/>
    <w:rsid w:val="001D0855"/>
    <w:rsid w:val="001D0DAA"/>
    <w:rsid w:val="001D186A"/>
    <w:rsid w:val="001D2EA8"/>
    <w:rsid w:val="001D2F6B"/>
    <w:rsid w:val="001D30BB"/>
    <w:rsid w:val="001D3284"/>
    <w:rsid w:val="001D3822"/>
    <w:rsid w:val="001D3D52"/>
    <w:rsid w:val="001D3E7C"/>
    <w:rsid w:val="001D4128"/>
    <w:rsid w:val="001D4318"/>
    <w:rsid w:val="001D4D8A"/>
    <w:rsid w:val="001D5490"/>
    <w:rsid w:val="001D558F"/>
    <w:rsid w:val="001D5649"/>
    <w:rsid w:val="001D5825"/>
    <w:rsid w:val="001D5843"/>
    <w:rsid w:val="001D60A6"/>
    <w:rsid w:val="001D61C7"/>
    <w:rsid w:val="001D66F7"/>
    <w:rsid w:val="001D676F"/>
    <w:rsid w:val="001D6DDF"/>
    <w:rsid w:val="001D701C"/>
    <w:rsid w:val="001D7187"/>
    <w:rsid w:val="001D7224"/>
    <w:rsid w:val="001D7457"/>
    <w:rsid w:val="001D74E6"/>
    <w:rsid w:val="001D756F"/>
    <w:rsid w:val="001D77CA"/>
    <w:rsid w:val="001E0695"/>
    <w:rsid w:val="001E0AA8"/>
    <w:rsid w:val="001E0BB4"/>
    <w:rsid w:val="001E0D65"/>
    <w:rsid w:val="001E0D9F"/>
    <w:rsid w:val="001E0E89"/>
    <w:rsid w:val="001E0FBE"/>
    <w:rsid w:val="001E1928"/>
    <w:rsid w:val="001E1EBB"/>
    <w:rsid w:val="001E2241"/>
    <w:rsid w:val="001E2D09"/>
    <w:rsid w:val="001E2D19"/>
    <w:rsid w:val="001E2DAC"/>
    <w:rsid w:val="001E2EB9"/>
    <w:rsid w:val="001E2EF6"/>
    <w:rsid w:val="001E339C"/>
    <w:rsid w:val="001E376B"/>
    <w:rsid w:val="001E3A02"/>
    <w:rsid w:val="001E3AAC"/>
    <w:rsid w:val="001E3BD4"/>
    <w:rsid w:val="001E3DEB"/>
    <w:rsid w:val="001E42D4"/>
    <w:rsid w:val="001E4985"/>
    <w:rsid w:val="001E50A6"/>
    <w:rsid w:val="001E5F29"/>
    <w:rsid w:val="001E645A"/>
    <w:rsid w:val="001E668F"/>
    <w:rsid w:val="001E6CC2"/>
    <w:rsid w:val="001E763B"/>
    <w:rsid w:val="001E7725"/>
    <w:rsid w:val="001E7C9A"/>
    <w:rsid w:val="001E7DAE"/>
    <w:rsid w:val="001E7E42"/>
    <w:rsid w:val="001F0505"/>
    <w:rsid w:val="001F0B68"/>
    <w:rsid w:val="001F102C"/>
    <w:rsid w:val="001F12AB"/>
    <w:rsid w:val="001F1306"/>
    <w:rsid w:val="001F1DD1"/>
    <w:rsid w:val="001F1FF9"/>
    <w:rsid w:val="001F20CD"/>
    <w:rsid w:val="001F2A86"/>
    <w:rsid w:val="001F2AFE"/>
    <w:rsid w:val="001F2B07"/>
    <w:rsid w:val="001F2C76"/>
    <w:rsid w:val="001F2F77"/>
    <w:rsid w:val="001F3191"/>
    <w:rsid w:val="001F3259"/>
    <w:rsid w:val="001F386B"/>
    <w:rsid w:val="001F4338"/>
    <w:rsid w:val="001F437C"/>
    <w:rsid w:val="001F458B"/>
    <w:rsid w:val="001F46B9"/>
    <w:rsid w:val="001F4A90"/>
    <w:rsid w:val="001F4CBB"/>
    <w:rsid w:val="001F4D65"/>
    <w:rsid w:val="001F4E83"/>
    <w:rsid w:val="001F5089"/>
    <w:rsid w:val="001F52C6"/>
    <w:rsid w:val="001F553A"/>
    <w:rsid w:val="001F5A47"/>
    <w:rsid w:val="001F6144"/>
    <w:rsid w:val="001F6429"/>
    <w:rsid w:val="001F6AA1"/>
    <w:rsid w:val="001F7020"/>
    <w:rsid w:val="001F725C"/>
    <w:rsid w:val="001F77AD"/>
    <w:rsid w:val="001F7815"/>
    <w:rsid w:val="002003E2"/>
    <w:rsid w:val="002008A9"/>
    <w:rsid w:val="00200A01"/>
    <w:rsid w:val="00200A54"/>
    <w:rsid w:val="00200B5A"/>
    <w:rsid w:val="00200CDE"/>
    <w:rsid w:val="00200DED"/>
    <w:rsid w:val="002013B6"/>
    <w:rsid w:val="00201513"/>
    <w:rsid w:val="00201774"/>
    <w:rsid w:val="00201992"/>
    <w:rsid w:val="00201BAE"/>
    <w:rsid w:val="00201E2F"/>
    <w:rsid w:val="00201F3A"/>
    <w:rsid w:val="002026C0"/>
    <w:rsid w:val="00202892"/>
    <w:rsid w:val="002033E3"/>
    <w:rsid w:val="002037B5"/>
    <w:rsid w:val="002048C0"/>
    <w:rsid w:val="00204BAC"/>
    <w:rsid w:val="00204CE4"/>
    <w:rsid w:val="00204DC9"/>
    <w:rsid w:val="0020517F"/>
    <w:rsid w:val="002051E6"/>
    <w:rsid w:val="002052F8"/>
    <w:rsid w:val="00205509"/>
    <w:rsid w:val="00205559"/>
    <w:rsid w:val="00205DAF"/>
    <w:rsid w:val="00205DEF"/>
    <w:rsid w:val="00205EBF"/>
    <w:rsid w:val="002063D8"/>
    <w:rsid w:val="00206D4E"/>
    <w:rsid w:val="00207669"/>
    <w:rsid w:val="00207B1D"/>
    <w:rsid w:val="00207C6D"/>
    <w:rsid w:val="00207E18"/>
    <w:rsid w:val="002101B8"/>
    <w:rsid w:val="002106DF"/>
    <w:rsid w:val="0021091E"/>
    <w:rsid w:val="00210B79"/>
    <w:rsid w:val="00210DEF"/>
    <w:rsid w:val="00211071"/>
    <w:rsid w:val="00211270"/>
    <w:rsid w:val="00211690"/>
    <w:rsid w:val="00211D95"/>
    <w:rsid w:val="00211DD6"/>
    <w:rsid w:val="00212460"/>
    <w:rsid w:val="00212649"/>
    <w:rsid w:val="00213100"/>
    <w:rsid w:val="002132FD"/>
    <w:rsid w:val="00213989"/>
    <w:rsid w:val="00213D24"/>
    <w:rsid w:val="00214775"/>
    <w:rsid w:val="00214D60"/>
    <w:rsid w:val="0021545C"/>
    <w:rsid w:val="00215CED"/>
    <w:rsid w:val="00216ADA"/>
    <w:rsid w:val="00216C48"/>
    <w:rsid w:val="002177E7"/>
    <w:rsid w:val="00217EB5"/>
    <w:rsid w:val="0022040F"/>
    <w:rsid w:val="002208B3"/>
    <w:rsid w:val="00220BA4"/>
    <w:rsid w:val="00221107"/>
    <w:rsid w:val="002211A9"/>
    <w:rsid w:val="0022158B"/>
    <w:rsid w:val="00221D64"/>
    <w:rsid w:val="00222214"/>
    <w:rsid w:val="002229FF"/>
    <w:rsid w:val="00222BA3"/>
    <w:rsid w:val="00222F10"/>
    <w:rsid w:val="002233EC"/>
    <w:rsid w:val="002236B1"/>
    <w:rsid w:val="00223D04"/>
    <w:rsid w:val="00224047"/>
    <w:rsid w:val="00224607"/>
    <w:rsid w:val="00224820"/>
    <w:rsid w:val="002249E5"/>
    <w:rsid w:val="002256FB"/>
    <w:rsid w:val="00225C03"/>
    <w:rsid w:val="00225FC0"/>
    <w:rsid w:val="0022623B"/>
    <w:rsid w:val="002262D2"/>
    <w:rsid w:val="002262D8"/>
    <w:rsid w:val="002268D3"/>
    <w:rsid w:val="00226A54"/>
    <w:rsid w:val="00226C64"/>
    <w:rsid w:val="00226DE7"/>
    <w:rsid w:val="0022701F"/>
    <w:rsid w:val="00227BC3"/>
    <w:rsid w:val="00227E98"/>
    <w:rsid w:val="00230511"/>
    <w:rsid w:val="002305BC"/>
    <w:rsid w:val="002308AD"/>
    <w:rsid w:val="00230C08"/>
    <w:rsid w:val="00230C2E"/>
    <w:rsid w:val="00230D3C"/>
    <w:rsid w:val="00231897"/>
    <w:rsid w:val="0023195B"/>
    <w:rsid w:val="00231A46"/>
    <w:rsid w:val="00231C6A"/>
    <w:rsid w:val="00231CFD"/>
    <w:rsid w:val="002321D0"/>
    <w:rsid w:val="00232645"/>
    <w:rsid w:val="002326F2"/>
    <w:rsid w:val="00232A8A"/>
    <w:rsid w:val="00232B4E"/>
    <w:rsid w:val="00232B7E"/>
    <w:rsid w:val="002331AA"/>
    <w:rsid w:val="0023345B"/>
    <w:rsid w:val="002335CF"/>
    <w:rsid w:val="002338D7"/>
    <w:rsid w:val="0023473A"/>
    <w:rsid w:val="0023498D"/>
    <w:rsid w:val="00234A49"/>
    <w:rsid w:val="00235344"/>
    <w:rsid w:val="002354F2"/>
    <w:rsid w:val="00235B6E"/>
    <w:rsid w:val="00235C83"/>
    <w:rsid w:val="00235DC7"/>
    <w:rsid w:val="00235F16"/>
    <w:rsid w:val="00236EF5"/>
    <w:rsid w:val="002376A3"/>
    <w:rsid w:val="00237789"/>
    <w:rsid w:val="00237C98"/>
    <w:rsid w:val="00240156"/>
    <w:rsid w:val="00240196"/>
    <w:rsid w:val="00240691"/>
    <w:rsid w:val="0024089C"/>
    <w:rsid w:val="00240FD1"/>
    <w:rsid w:val="002411A6"/>
    <w:rsid w:val="002411BE"/>
    <w:rsid w:val="002414C0"/>
    <w:rsid w:val="00241504"/>
    <w:rsid w:val="0024163A"/>
    <w:rsid w:val="00241795"/>
    <w:rsid w:val="00241C88"/>
    <w:rsid w:val="0024255E"/>
    <w:rsid w:val="002426CD"/>
    <w:rsid w:val="00242772"/>
    <w:rsid w:val="00242C82"/>
    <w:rsid w:val="00242CC9"/>
    <w:rsid w:val="002434E4"/>
    <w:rsid w:val="00243657"/>
    <w:rsid w:val="0024372A"/>
    <w:rsid w:val="0024372D"/>
    <w:rsid w:val="00243A7F"/>
    <w:rsid w:val="00243F79"/>
    <w:rsid w:val="002440B9"/>
    <w:rsid w:val="00244818"/>
    <w:rsid w:val="00244DA4"/>
    <w:rsid w:val="002454C2"/>
    <w:rsid w:val="002454E3"/>
    <w:rsid w:val="002457AA"/>
    <w:rsid w:val="00245A07"/>
    <w:rsid w:val="00245BC8"/>
    <w:rsid w:val="002469F4"/>
    <w:rsid w:val="00246AFA"/>
    <w:rsid w:val="00247464"/>
    <w:rsid w:val="002479C5"/>
    <w:rsid w:val="00247A84"/>
    <w:rsid w:val="00247BAB"/>
    <w:rsid w:val="00247C6E"/>
    <w:rsid w:val="00251061"/>
    <w:rsid w:val="00251105"/>
    <w:rsid w:val="0025119B"/>
    <w:rsid w:val="00251313"/>
    <w:rsid w:val="00251502"/>
    <w:rsid w:val="0025157F"/>
    <w:rsid w:val="0025161A"/>
    <w:rsid w:val="00251703"/>
    <w:rsid w:val="00252451"/>
    <w:rsid w:val="00252A0B"/>
    <w:rsid w:val="00252AFD"/>
    <w:rsid w:val="002530BD"/>
    <w:rsid w:val="00253371"/>
    <w:rsid w:val="00253A6D"/>
    <w:rsid w:val="00253B3A"/>
    <w:rsid w:val="002544D4"/>
    <w:rsid w:val="002546ED"/>
    <w:rsid w:val="002547B7"/>
    <w:rsid w:val="00254B90"/>
    <w:rsid w:val="00254C4D"/>
    <w:rsid w:val="00254DEF"/>
    <w:rsid w:val="002554F7"/>
    <w:rsid w:val="0025572C"/>
    <w:rsid w:val="00255A9E"/>
    <w:rsid w:val="00255F9B"/>
    <w:rsid w:val="00256171"/>
    <w:rsid w:val="00256907"/>
    <w:rsid w:val="00256955"/>
    <w:rsid w:val="00256D60"/>
    <w:rsid w:val="00257903"/>
    <w:rsid w:val="002579B2"/>
    <w:rsid w:val="00257E12"/>
    <w:rsid w:val="00260649"/>
    <w:rsid w:val="00260A8E"/>
    <w:rsid w:val="00260C60"/>
    <w:rsid w:val="002614F9"/>
    <w:rsid w:val="00261764"/>
    <w:rsid w:val="00261E5F"/>
    <w:rsid w:val="00262233"/>
    <w:rsid w:val="00262A6F"/>
    <w:rsid w:val="00262F5D"/>
    <w:rsid w:val="00263474"/>
    <w:rsid w:val="00263A95"/>
    <w:rsid w:val="00263B07"/>
    <w:rsid w:val="00263C1A"/>
    <w:rsid w:val="00263C6C"/>
    <w:rsid w:val="00263DAF"/>
    <w:rsid w:val="00263DD1"/>
    <w:rsid w:val="00263E69"/>
    <w:rsid w:val="00263FE6"/>
    <w:rsid w:val="002640B6"/>
    <w:rsid w:val="00264DB9"/>
    <w:rsid w:val="0026527B"/>
    <w:rsid w:val="0026536C"/>
    <w:rsid w:val="002655D7"/>
    <w:rsid w:val="00265B36"/>
    <w:rsid w:val="00265C01"/>
    <w:rsid w:val="00265CF5"/>
    <w:rsid w:val="00265F60"/>
    <w:rsid w:val="00265FBE"/>
    <w:rsid w:val="002662E0"/>
    <w:rsid w:val="0026634B"/>
    <w:rsid w:val="0026655B"/>
    <w:rsid w:val="00266885"/>
    <w:rsid w:val="002668A0"/>
    <w:rsid w:val="00266A4B"/>
    <w:rsid w:val="00266C65"/>
    <w:rsid w:val="002670ED"/>
    <w:rsid w:val="002673EC"/>
    <w:rsid w:val="00267711"/>
    <w:rsid w:val="00270124"/>
    <w:rsid w:val="002701C0"/>
    <w:rsid w:val="002709DA"/>
    <w:rsid w:val="00270A09"/>
    <w:rsid w:val="00270AB1"/>
    <w:rsid w:val="0027133F"/>
    <w:rsid w:val="00271B73"/>
    <w:rsid w:val="002720A1"/>
    <w:rsid w:val="0027239A"/>
    <w:rsid w:val="00272613"/>
    <w:rsid w:val="00272B32"/>
    <w:rsid w:val="00272EFA"/>
    <w:rsid w:val="00272FDB"/>
    <w:rsid w:val="00273061"/>
    <w:rsid w:val="00273138"/>
    <w:rsid w:val="00273576"/>
    <w:rsid w:val="0027388E"/>
    <w:rsid w:val="00273EF3"/>
    <w:rsid w:val="00273EF8"/>
    <w:rsid w:val="002746B7"/>
    <w:rsid w:val="002746CF"/>
    <w:rsid w:val="00274DA0"/>
    <w:rsid w:val="00274DC2"/>
    <w:rsid w:val="00275188"/>
    <w:rsid w:val="0027545A"/>
    <w:rsid w:val="002754E5"/>
    <w:rsid w:val="002759CD"/>
    <w:rsid w:val="00275EC2"/>
    <w:rsid w:val="00275F42"/>
    <w:rsid w:val="00276982"/>
    <w:rsid w:val="00276FAD"/>
    <w:rsid w:val="002777ED"/>
    <w:rsid w:val="00277F6E"/>
    <w:rsid w:val="002800D4"/>
    <w:rsid w:val="0028044F"/>
    <w:rsid w:val="00280657"/>
    <w:rsid w:val="002806D1"/>
    <w:rsid w:val="00280EF2"/>
    <w:rsid w:val="00280FF4"/>
    <w:rsid w:val="00281A3A"/>
    <w:rsid w:val="00281AFF"/>
    <w:rsid w:val="00281C58"/>
    <w:rsid w:val="00281CBF"/>
    <w:rsid w:val="00282379"/>
    <w:rsid w:val="002823E2"/>
    <w:rsid w:val="00282472"/>
    <w:rsid w:val="0028287A"/>
    <w:rsid w:val="00282AC0"/>
    <w:rsid w:val="00282BC4"/>
    <w:rsid w:val="00283191"/>
    <w:rsid w:val="00283394"/>
    <w:rsid w:val="002835EE"/>
    <w:rsid w:val="00283F45"/>
    <w:rsid w:val="00283FEE"/>
    <w:rsid w:val="0028421B"/>
    <w:rsid w:val="00284267"/>
    <w:rsid w:val="002849E2"/>
    <w:rsid w:val="002853B7"/>
    <w:rsid w:val="0028541E"/>
    <w:rsid w:val="00285784"/>
    <w:rsid w:val="00285CDE"/>
    <w:rsid w:val="00285D45"/>
    <w:rsid w:val="00286242"/>
    <w:rsid w:val="0028637A"/>
    <w:rsid w:val="002867A0"/>
    <w:rsid w:val="00286DB5"/>
    <w:rsid w:val="00287289"/>
    <w:rsid w:val="00287802"/>
    <w:rsid w:val="0029006A"/>
    <w:rsid w:val="002900AD"/>
    <w:rsid w:val="00290564"/>
    <w:rsid w:val="0029088B"/>
    <w:rsid w:val="00290902"/>
    <w:rsid w:val="00291734"/>
    <w:rsid w:val="002917DE"/>
    <w:rsid w:val="002917EE"/>
    <w:rsid w:val="00291C28"/>
    <w:rsid w:val="00292326"/>
    <w:rsid w:val="0029258B"/>
    <w:rsid w:val="002926E8"/>
    <w:rsid w:val="00292727"/>
    <w:rsid w:val="00292F86"/>
    <w:rsid w:val="00293D5F"/>
    <w:rsid w:val="002943F8"/>
    <w:rsid w:val="0029475A"/>
    <w:rsid w:val="00294806"/>
    <w:rsid w:val="00294D18"/>
    <w:rsid w:val="00295040"/>
    <w:rsid w:val="002953BE"/>
    <w:rsid w:val="002959E6"/>
    <w:rsid w:val="00295BC8"/>
    <w:rsid w:val="00295E14"/>
    <w:rsid w:val="002964B5"/>
    <w:rsid w:val="00296745"/>
    <w:rsid w:val="00296A24"/>
    <w:rsid w:val="00296EC4"/>
    <w:rsid w:val="00296F87"/>
    <w:rsid w:val="0029704C"/>
    <w:rsid w:val="0029733F"/>
    <w:rsid w:val="00297575"/>
    <w:rsid w:val="00297589"/>
    <w:rsid w:val="00297723"/>
    <w:rsid w:val="002A0245"/>
    <w:rsid w:val="002A02E6"/>
    <w:rsid w:val="002A02F2"/>
    <w:rsid w:val="002A0355"/>
    <w:rsid w:val="002A0B1B"/>
    <w:rsid w:val="002A0E43"/>
    <w:rsid w:val="002A140B"/>
    <w:rsid w:val="002A17D1"/>
    <w:rsid w:val="002A209B"/>
    <w:rsid w:val="002A20BB"/>
    <w:rsid w:val="002A256B"/>
    <w:rsid w:val="002A2581"/>
    <w:rsid w:val="002A2B34"/>
    <w:rsid w:val="002A2BB3"/>
    <w:rsid w:val="002A37B0"/>
    <w:rsid w:val="002A39D2"/>
    <w:rsid w:val="002A3BD5"/>
    <w:rsid w:val="002A3E5B"/>
    <w:rsid w:val="002A43D6"/>
    <w:rsid w:val="002A4497"/>
    <w:rsid w:val="002A4872"/>
    <w:rsid w:val="002A4FCD"/>
    <w:rsid w:val="002A5253"/>
    <w:rsid w:val="002A6A01"/>
    <w:rsid w:val="002A6C2C"/>
    <w:rsid w:val="002A7320"/>
    <w:rsid w:val="002A76EF"/>
    <w:rsid w:val="002A7A31"/>
    <w:rsid w:val="002A7AD7"/>
    <w:rsid w:val="002A7B1C"/>
    <w:rsid w:val="002A7C8F"/>
    <w:rsid w:val="002B0047"/>
    <w:rsid w:val="002B012F"/>
    <w:rsid w:val="002B09EF"/>
    <w:rsid w:val="002B107F"/>
    <w:rsid w:val="002B116D"/>
    <w:rsid w:val="002B129E"/>
    <w:rsid w:val="002B13E1"/>
    <w:rsid w:val="002B1683"/>
    <w:rsid w:val="002B17C5"/>
    <w:rsid w:val="002B2027"/>
    <w:rsid w:val="002B2604"/>
    <w:rsid w:val="002B28D9"/>
    <w:rsid w:val="002B2CA8"/>
    <w:rsid w:val="002B317E"/>
    <w:rsid w:val="002B361D"/>
    <w:rsid w:val="002B3D4F"/>
    <w:rsid w:val="002B4784"/>
    <w:rsid w:val="002B4961"/>
    <w:rsid w:val="002B4AFF"/>
    <w:rsid w:val="002B51BA"/>
    <w:rsid w:val="002B53F5"/>
    <w:rsid w:val="002B55A8"/>
    <w:rsid w:val="002B566C"/>
    <w:rsid w:val="002B6944"/>
    <w:rsid w:val="002B6A04"/>
    <w:rsid w:val="002B6FD7"/>
    <w:rsid w:val="002B714C"/>
    <w:rsid w:val="002B7A16"/>
    <w:rsid w:val="002B7C20"/>
    <w:rsid w:val="002B7C8E"/>
    <w:rsid w:val="002B7D0D"/>
    <w:rsid w:val="002B7D79"/>
    <w:rsid w:val="002B7FD7"/>
    <w:rsid w:val="002C00CB"/>
    <w:rsid w:val="002C082B"/>
    <w:rsid w:val="002C08CE"/>
    <w:rsid w:val="002C0D88"/>
    <w:rsid w:val="002C10E6"/>
    <w:rsid w:val="002C1EB1"/>
    <w:rsid w:val="002C21DD"/>
    <w:rsid w:val="002C24CF"/>
    <w:rsid w:val="002C254E"/>
    <w:rsid w:val="002C2CE9"/>
    <w:rsid w:val="002C36F7"/>
    <w:rsid w:val="002C4488"/>
    <w:rsid w:val="002C44D0"/>
    <w:rsid w:val="002C452F"/>
    <w:rsid w:val="002C47C4"/>
    <w:rsid w:val="002C4AED"/>
    <w:rsid w:val="002C4DCA"/>
    <w:rsid w:val="002C5401"/>
    <w:rsid w:val="002C5701"/>
    <w:rsid w:val="002C580D"/>
    <w:rsid w:val="002C6235"/>
    <w:rsid w:val="002C63B6"/>
    <w:rsid w:val="002C68CE"/>
    <w:rsid w:val="002C6D2F"/>
    <w:rsid w:val="002C6FBF"/>
    <w:rsid w:val="002C7959"/>
    <w:rsid w:val="002C7E38"/>
    <w:rsid w:val="002D039C"/>
    <w:rsid w:val="002D06F5"/>
    <w:rsid w:val="002D07B9"/>
    <w:rsid w:val="002D08D9"/>
    <w:rsid w:val="002D164A"/>
    <w:rsid w:val="002D1952"/>
    <w:rsid w:val="002D230D"/>
    <w:rsid w:val="002D24E6"/>
    <w:rsid w:val="002D25F3"/>
    <w:rsid w:val="002D2901"/>
    <w:rsid w:val="002D2CE1"/>
    <w:rsid w:val="002D3196"/>
    <w:rsid w:val="002D333F"/>
    <w:rsid w:val="002D341C"/>
    <w:rsid w:val="002D351E"/>
    <w:rsid w:val="002D3B90"/>
    <w:rsid w:val="002D3C7F"/>
    <w:rsid w:val="002D43CE"/>
    <w:rsid w:val="002D45B0"/>
    <w:rsid w:val="002D460D"/>
    <w:rsid w:val="002D4690"/>
    <w:rsid w:val="002D46B4"/>
    <w:rsid w:val="002D54B6"/>
    <w:rsid w:val="002D54D6"/>
    <w:rsid w:val="002D5957"/>
    <w:rsid w:val="002D5A54"/>
    <w:rsid w:val="002D5B22"/>
    <w:rsid w:val="002D5F0E"/>
    <w:rsid w:val="002D6156"/>
    <w:rsid w:val="002D64F2"/>
    <w:rsid w:val="002D6BF7"/>
    <w:rsid w:val="002D6C0D"/>
    <w:rsid w:val="002D79F8"/>
    <w:rsid w:val="002D7BA8"/>
    <w:rsid w:val="002D7E6B"/>
    <w:rsid w:val="002E007F"/>
    <w:rsid w:val="002E0178"/>
    <w:rsid w:val="002E02BE"/>
    <w:rsid w:val="002E03BE"/>
    <w:rsid w:val="002E052C"/>
    <w:rsid w:val="002E0BD7"/>
    <w:rsid w:val="002E1C8C"/>
    <w:rsid w:val="002E21EB"/>
    <w:rsid w:val="002E240D"/>
    <w:rsid w:val="002E2679"/>
    <w:rsid w:val="002E2D02"/>
    <w:rsid w:val="002E38F5"/>
    <w:rsid w:val="002E393B"/>
    <w:rsid w:val="002E413F"/>
    <w:rsid w:val="002E41C3"/>
    <w:rsid w:val="002E4347"/>
    <w:rsid w:val="002E4499"/>
    <w:rsid w:val="002E45BF"/>
    <w:rsid w:val="002E52A8"/>
    <w:rsid w:val="002E5306"/>
    <w:rsid w:val="002E6296"/>
    <w:rsid w:val="002E66B7"/>
    <w:rsid w:val="002E67C3"/>
    <w:rsid w:val="002E67D1"/>
    <w:rsid w:val="002E6B98"/>
    <w:rsid w:val="002E6C5A"/>
    <w:rsid w:val="002E702B"/>
    <w:rsid w:val="002E7335"/>
    <w:rsid w:val="002E7339"/>
    <w:rsid w:val="002E740A"/>
    <w:rsid w:val="002E7DE9"/>
    <w:rsid w:val="002E7F1C"/>
    <w:rsid w:val="002F0580"/>
    <w:rsid w:val="002F0882"/>
    <w:rsid w:val="002F09C1"/>
    <w:rsid w:val="002F0A0B"/>
    <w:rsid w:val="002F0BE9"/>
    <w:rsid w:val="002F0C91"/>
    <w:rsid w:val="002F1AF0"/>
    <w:rsid w:val="002F2214"/>
    <w:rsid w:val="002F2506"/>
    <w:rsid w:val="002F2FC7"/>
    <w:rsid w:val="002F3520"/>
    <w:rsid w:val="002F3616"/>
    <w:rsid w:val="002F3656"/>
    <w:rsid w:val="002F3F61"/>
    <w:rsid w:val="002F4292"/>
    <w:rsid w:val="002F453C"/>
    <w:rsid w:val="002F463D"/>
    <w:rsid w:val="002F48C9"/>
    <w:rsid w:val="002F497B"/>
    <w:rsid w:val="002F49BA"/>
    <w:rsid w:val="002F4DD7"/>
    <w:rsid w:val="002F4F0E"/>
    <w:rsid w:val="002F5492"/>
    <w:rsid w:val="002F5561"/>
    <w:rsid w:val="002F5817"/>
    <w:rsid w:val="002F5D74"/>
    <w:rsid w:val="002F6623"/>
    <w:rsid w:val="002F6797"/>
    <w:rsid w:val="002F698A"/>
    <w:rsid w:val="002F69C2"/>
    <w:rsid w:val="002F6CBF"/>
    <w:rsid w:val="002F7008"/>
    <w:rsid w:val="002F71B9"/>
    <w:rsid w:val="002F7BB0"/>
    <w:rsid w:val="002F7FF0"/>
    <w:rsid w:val="003002DB"/>
    <w:rsid w:val="00300604"/>
    <w:rsid w:val="0030060E"/>
    <w:rsid w:val="003007D7"/>
    <w:rsid w:val="00300857"/>
    <w:rsid w:val="00300E07"/>
    <w:rsid w:val="00301270"/>
    <w:rsid w:val="00301289"/>
    <w:rsid w:val="003013B9"/>
    <w:rsid w:val="00301632"/>
    <w:rsid w:val="00301967"/>
    <w:rsid w:val="00301E29"/>
    <w:rsid w:val="003020EE"/>
    <w:rsid w:val="0030374F"/>
    <w:rsid w:val="003041AC"/>
    <w:rsid w:val="003046E7"/>
    <w:rsid w:val="00304BCB"/>
    <w:rsid w:val="00304D03"/>
    <w:rsid w:val="00305559"/>
    <w:rsid w:val="003057D7"/>
    <w:rsid w:val="00306102"/>
    <w:rsid w:val="00306DBF"/>
    <w:rsid w:val="00307016"/>
    <w:rsid w:val="003073FD"/>
    <w:rsid w:val="00307449"/>
    <w:rsid w:val="003074FA"/>
    <w:rsid w:val="003076AD"/>
    <w:rsid w:val="003104DF"/>
    <w:rsid w:val="003107E9"/>
    <w:rsid w:val="003114A5"/>
    <w:rsid w:val="003114D3"/>
    <w:rsid w:val="003115F8"/>
    <w:rsid w:val="00311684"/>
    <w:rsid w:val="00311A4C"/>
    <w:rsid w:val="00311A75"/>
    <w:rsid w:val="00311D8D"/>
    <w:rsid w:val="003128C3"/>
    <w:rsid w:val="00312C85"/>
    <w:rsid w:val="00312D35"/>
    <w:rsid w:val="003135E0"/>
    <w:rsid w:val="003139A6"/>
    <w:rsid w:val="00313D66"/>
    <w:rsid w:val="00313E01"/>
    <w:rsid w:val="0031421A"/>
    <w:rsid w:val="0031462E"/>
    <w:rsid w:val="00315413"/>
    <w:rsid w:val="003155E8"/>
    <w:rsid w:val="00315924"/>
    <w:rsid w:val="003160E7"/>
    <w:rsid w:val="00316611"/>
    <w:rsid w:val="0031798E"/>
    <w:rsid w:val="00317D30"/>
    <w:rsid w:val="00317FC6"/>
    <w:rsid w:val="00320572"/>
    <w:rsid w:val="00320AC7"/>
    <w:rsid w:val="00320E06"/>
    <w:rsid w:val="00320EC8"/>
    <w:rsid w:val="00321188"/>
    <w:rsid w:val="00321752"/>
    <w:rsid w:val="00321A00"/>
    <w:rsid w:val="00321B93"/>
    <w:rsid w:val="00321EB2"/>
    <w:rsid w:val="00321F96"/>
    <w:rsid w:val="0032210A"/>
    <w:rsid w:val="00322424"/>
    <w:rsid w:val="00322C89"/>
    <w:rsid w:val="00324024"/>
    <w:rsid w:val="0032432F"/>
    <w:rsid w:val="00324519"/>
    <w:rsid w:val="00324535"/>
    <w:rsid w:val="003249B3"/>
    <w:rsid w:val="00324C8D"/>
    <w:rsid w:val="00324D0E"/>
    <w:rsid w:val="00325153"/>
    <w:rsid w:val="00325186"/>
    <w:rsid w:val="00325218"/>
    <w:rsid w:val="003252ED"/>
    <w:rsid w:val="0032572E"/>
    <w:rsid w:val="0032583A"/>
    <w:rsid w:val="00325DD2"/>
    <w:rsid w:val="00327102"/>
    <w:rsid w:val="003271AD"/>
    <w:rsid w:val="00327211"/>
    <w:rsid w:val="003274D5"/>
    <w:rsid w:val="00327C10"/>
    <w:rsid w:val="00327CB6"/>
    <w:rsid w:val="0033037E"/>
    <w:rsid w:val="0033078B"/>
    <w:rsid w:val="00330D13"/>
    <w:rsid w:val="00331035"/>
    <w:rsid w:val="00331330"/>
    <w:rsid w:val="00331355"/>
    <w:rsid w:val="003316AF"/>
    <w:rsid w:val="003316FE"/>
    <w:rsid w:val="00331D56"/>
    <w:rsid w:val="003324C2"/>
    <w:rsid w:val="00332AD6"/>
    <w:rsid w:val="00332EF0"/>
    <w:rsid w:val="0033339F"/>
    <w:rsid w:val="00333416"/>
    <w:rsid w:val="003336BC"/>
    <w:rsid w:val="003336E4"/>
    <w:rsid w:val="00333EBA"/>
    <w:rsid w:val="00333F2D"/>
    <w:rsid w:val="00334039"/>
    <w:rsid w:val="0033436D"/>
    <w:rsid w:val="003357C8"/>
    <w:rsid w:val="00335DF5"/>
    <w:rsid w:val="0033666F"/>
    <w:rsid w:val="00336B7B"/>
    <w:rsid w:val="0033714F"/>
    <w:rsid w:val="00337811"/>
    <w:rsid w:val="0033785B"/>
    <w:rsid w:val="003379AD"/>
    <w:rsid w:val="003402B8"/>
    <w:rsid w:val="003402BB"/>
    <w:rsid w:val="00340737"/>
    <w:rsid w:val="0034078C"/>
    <w:rsid w:val="00340AB7"/>
    <w:rsid w:val="00340D3B"/>
    <w:rsid w:val="00340D7E"/>
    <w:rsid w:val="00341058"/>
    <w:rsid w:val="00341607"/>
    <w:rsid w:val="003419C1"/>
    <w:rsid w:val="00341AF7"/>
    <w:rsid w:val="00341BE0"/>
    <w:rsid w:val="0034297C"/>
    <w:rsid w:val="00342B39"/>
    <w:rsid w:val="00343FB2"/>
    <w:rsid w:val="003440B0"/>
    <w:rsid w:val="003443E0"/>
    <w:rsid w:val="003445E5"/>
    <w:rsid w:val="00344B7B"/>
    <w:rsid w:val="0034564B"/>
    <w:rsid w:val="00345706"/>
    <w:rsid w:val="003457EA"/>
    <w:rsid w:val="00345906"/>
    <w:rsid w:val="00346449"/>
    <w:rsid w:val="003465A5"/>
    <w:rsid w:val="00346795"/>
    <w:rsid w:val="00346ECE"/>
    <w:rsid w:val="00347180"/>
    <w:rsid w:val="003475FE"/>
    <w:rsid w:val="0034788B"/>
    <w:rsid w:val="00347B77"/>
    <w:rsid w:val="003503AA"/>
    <w:rsid w:val="00350745"/>
    <w:rsid w:val="003507FC"/>
    <w:rsid w:val="00350BF7"/>
    <w:rsid w:val="00350C9C"/>
    <w:rsid w:val="00350E4F"/>
    <w:rsid w:val="00350E51"/>
    <w:rsid w:val="00350F56"/>
    <w:rsid w:val="003516A8"/>
    <w:rsid w:val="00351859"/>
    <w:rsid w:val="003519DD"/>
    <w:rsid w:val="003520E8"/>
    <w:rsid w:val="00352B1F"/>
    <w:rsid w:val="00352FC6"/>
    <w:rsid w:val="0035366F"/>
    <w:rsid w:val="00353BCD"/>
    <w:rsid w:val="0035400D"/>
    <w:rsid w:val="003542F2"/>
    <w:rsid w:val="00354BF0"/>
    <w:rsid w:val="00354C79"/>
    <w:rsid w:val="0035552A"/>
    <w:rsid w:val="00355B6A"/>
    <w:rsid w:val="00356532"/>
    <w:rsid w:val="003565E5"/>
    <w:rsid w:val="00356F66"/>
    <w:rsid w:val="0035713D"/>
    <w:rsid w:val="00357218"/>
    <w:rsid w:val="00357480"/>
    <w:rsid w:val="003576E1"/>
    <w:rsid w:val="00357D21"/>
    <w:rsid w:val="00357D52"/>
    <w:rsid w:val="003605EE"/>
    <w:rsid w:val="00360930"/>
    <w:rsid w:val="00360AC4"/>
    <w:rsid w:val="00360B43"/>
    <w:rsid w:val="00360C53"/>
    <w:rsid w:val="00360C97"/>
    <w:rsid w:val="00361D57"/>
    <w:rsid w:val="003628A9"/>
    <w:rsid w:val="003632B6"/>
    <w:rsid w:val="00363639"/>
    <w:rsid w:val="00363797"/>
    <w:rsid w:val="00363F41"/>
    <w:rsid w:val="0036418B"/>
    <w:rsid w:val="0036440F"/>
    <w:rsid w:val="00364555"/>
    <w:rsid w:val="003645E7"/>
    <w:rsid w:val="0036467C"/>
    <w:rsid w:val="00364E09"/>
    <w:rsid w:val="0036580A"/>
    <w:rsid w:val="00365F22"/>
    <w:rsid w:val="003666B5"/>
    <w:rsid w:val="00367004"/>
    <w:rsid w:val="003670AD"/>
    <w:rsid w:val="0036724E"/>
    <w:rsid w:val="003674E2"/>
    <w:rsid w:val="0036751C"/>
    <w:rsid w:val="003677E6"/>
    <w:rsid w:val="00367D1E"/>
    <w:rsid w:val="00370245"/>
    <w:rsid w:val="00370674"/>
    <w:rsid w:val="00370A77"/>
    <w:rsid w:val="00370E22"/>
    <w:rsid w:val="00371968"/>
    <w:rsid w:val="003719B0"/>
    <w:rsid w:val="00371F50"/>
    <w:rsid w:val="00371FED"/>
    <w:rsid w:val="00372332"/>
    <w:rsid w:val="003723C8"/>
    <w:rsid w:val="0037285C"/>
    <w:rsid w:val="0037360E"/>
    <w:rsid w:val="00373785"/>
    <w:rsid w:val="003737FA"/>
    <w:rsid w:val="00373EA4"/>
    <w:rsid w:val="003743FB"/>
    <w:rsid w:val="00374D69"/>
    <w:rsid w:val="003754D7"/>
    <w:rsid w:val="00375642"/>
    <w:rsid w:val="00375C06"/>
    <w:rsid w:val="00376431"/>
    <w:rsid w:val="003767E1"/>
    <w:rsid w:val="00376B46"/>
    <w:rsid w:val="00377079"/>
    <w:rsid w:val="00377508"/>
    <w:rsid w:val="0037769E"/>
    <w:rsid w:val="00380249"/>
    <w:rsid w:val="0038065F"/>
    <w:rsid w:val="00380A73"/>
    <w:rsid w:val="00380C4B"/>
    <w:rsid w:val="00380C76"/>
    <w:rsid w:val="00380FB6"/>
    <w:rsid w:val="0038140E"/>
    <w:rsid w:val="003818EE"/>
    <w:rsid w:val="003819C2"/>
    <w:rsid w:val="00381BCA"/>
    <w:rsid w:val="0038217A"/>
    <w:rsid w:val="003829A5"/>
    <w:rsid w:val="00382C01"/>
    <w:rsid w:val="00382C0B"/>
    <w:rsid w:val="00382F0B"/>
    <w:rsid w:val="00382FB6"/>
    <w:rsid w:val="00383159"/>
    <w:rsid w:val="003839C7"/>
    <w:rsid w:val="00383A1E"/>
    <w:rsid w:val="003842BC"/>
    <w:rsid w:val="00384499"/>
    <w:rsid w:val="00384DE2"/>
    <w:rsid w:val="00384E73"/>
    <w:rsid w:val="00385532"/>
    <w:rsid w:val="00385779"/>
    <w:rsid w:val="00385DB5"/>
    <w:rsid w:val="00386959"/>
    <w:rsid w:val="00386B06"/>
    <w:rsid w:val="0038711F"/>
    <w:rsid w:val="003879A2"/>
    <w:rsid w:val="003879FB"/>
    <w:rsid w:val="00387FD4"/>
    <w:rsid w:val="0039023D"/>
    <w:rsid w:val="0039074D"/>
    <w:rsid w:val="00390B69"/>
    <w:rsid w:val="00390E3D"/>
    <w:rsid w:val="0039129E"/>
    <w:rsid w:val="00391753"/>
    <w:rsid w:val="00391CBF"/>
    <w:rsid w:val="00391D0F"/>
    <w:rsid w:val="00391DEC"/>
    <w:rsid w:val="003923C1"/>
    <w:rsid w:val="00392517"/>
    <w:rsid w:val="003925D9"/>
    <w:rsid w:val="00392640"/>
    <w:rsid w:val="0039294D"/>
    <w:rsid w:val="003929C0"/>
    <w:rsid w:val="003929D6"/>
    <w:rsid w:val="00392A10"/>
    <w:rsid w:val="00392DA7"/>
    <w:rsid w:val="00392EE9"/>
    <w:rsid w:val="00392F4F"/>
    <w:rsid w:val="00393257"/>
    <w:rsid w:val="003939BD"/>
    <w:rsid w:val="00393C2F"/>
    <w:rsid w:val="00393E2E"/>
    <w:rsid w:val="00394400"/>
    <w:rsid w:val="00394687"/>
    <w:rsid w:val="003949BF"/>
    <w:rsid w:val="00394E30"/>
    <w:rsid w:val="0039538B"/>
    <w:rsid w:val="003953D9"/>
    <w:rsid w:val="00395535"/>
    <w:rsid w:val="00395553"/>
    <w:rsid w:val="0039556C"/>
    <w:rsid w:val="0039572F"/>
    <w:rsid w:val="00395B17"/>
    <w:rsid w:val="00395B1A"/>
    <w:rsid w:val="00395C65"/>
    <w:rsid w:val="0039637B"/>
    <w:rsid w:val="00396593"/>
    <w:rsid w:val="00396613"/>
    <w:rsid w:val="00396745"/>
    <w:rsid w:val="00396934"/>
    <w:rsid w:val="003969E3"/>
    <w:rsid w:val="00397067"/>
    <w:rsid w:val="00397A74"/>
    <w:rsid w:val="003A003E"/>
    <w:rsid w:val="003A0075"/>
    <w:rsid w:val="003A0459"/>
    <w:rsid w:val="003A04E1"/>
    <w:rsid w:val="003A07C3"/>
    <w:rsid w:val="003A0801"/>
    <w:rsid w:val="003A0B5C"/>
    <w:rsid w:val="003A0C01"/>
    <w:rsid w:val="003A0D58"/>
    <w:rsid w:val="003A0F77"/>
    <w:rsid w:val="003A14E1"/>
    <w:rsid w:val="003A2496"/>
    <w:rsid w:val="003A260B"/>
    <w:rsid w:val="003A2C8F"/>
    <w:rsid w:val="003A2DBD"/>
    <w:rsid w:val="003A3306"/>
    <w:rsid w:val="003A389A"/>
    <w:rsid w:val="003A44E4"/>
    <w:rsid w:val="003A4848"/>
    <w:rsid w:val="003A4A1E"/>
    <w:rsid w:val="003A4BA4"/>
    <w:rsid w:val="003A5088"/>
    <w:rsid w:val="003A518E"/>
    <w:rsid w:val="003A5849"/>
    <w:rsid w:val="003A58BB"/>
    <w:rsid w:val="003A5BCB"/>
    <w:rsid w:val="003A649A"/>
    <w:rsid w:val="003A6857"/>
    <w:rsid w:val="003A696A"/>
    <w:rsid w:val="003A6EE2"/>
    <w:rsid w:val="003A7177"/>
    <w:rsid w:val="003A771E"/>
    <w:rsid w:val="003A79D7"/>
    <w:rsid w:val="003A7CD9"/>
    <w:rsid w:val="003A7CEA"/>
    <w:rsid w:val="003B01F0"/>
    <w:rsid w:val="003B0455"/>
    <w:rsid w:val="003B067F"/>
    <w:rsid w:val="003B0930"/>
    <w:rsid w:val="003B0AC7"/>
    <w:rsid w:val="003B0D4C"/>
    <w:rsid w:val="003B128B"/>
    <w:rsid w:val="003B1296"/>
    <w:rsid w:val="003B12DE"/>
    <w:rsid w:val="003B1590"/>
    <w:rsid w:val="003B1833"/>
    <w:rsid w:val="003B1959"/>
    <w:rsid w:val="003B1BED"/>
    <w:rsid w:val="003B2277"/>
    <w:rsid w:val="003B25B9"/>
    <w:rsid w:val="003B27ED"/>
    <w:rsid w:val="003B2C4B"/>
    <w:rsid w:val="003B2E7F"/>
    <w:rsid w:val="003B2F4C"/>
    <w:rsid w:val="003B30ED"/>
    <w:rsid w:val="003B34D0"/>
    <w:rsid w:val="003B35BF"/>
    <w:rsid w:val="003B3DB0"/>
    <w:rsid w:val="003B3DF7"/>
    <w:rsid w:val="003B4482"/>
    <w:rsid w:val="003B45E3"/>
    <w:rsid w:val="003B4769"/>
    <w:rsid w:val="003B4813"/>
    <w:rsid w:val="003B4D2F"/>
    <w:rsid w:val="003B4E24"/>
    <w:rsid w:val="003B4E45"/>
    <w:rsid w:val="003B5553"/>
    <w:rsid w:val="003B5A7E"/>
    <w:rsid w:val="003B60B5"/>
    <w:rsid w:val="003B61F7"/>
    <w:rsid w:val="003B67DE"/>
    <w:rsid w:val="003B6A36"/>
    <w:rsid w:val="003B708D"/>
    <w:rsid w:val="003B7926"/>
    <w:rsid w:val="003C0081"/>
    <w:rsid w:val="003C06BD"/>
    <w:rsid w:val="003C096F"/>
    <w:rsid w:val="003C0EC2"/>
    <w:rsid w:val="003C15ED"/>
    <w:rsid w:val="003C16FC"/>
    <w:rsid w:val="003C22A9"/>
    <w:rsid w:val="003C2539"/>
    <w:rsid w:val="003C25DE"/>
    <w:rsid w:val="003C25F7"/>
    <w:rsid w:val="003C2903"/>
    <w:rsid w:val="003C2D5D"/>
    <w:rsid w:val="003C31FF"/>
    <w:rsid w:val="003C32D2"/>
    <w:rsid w:val="003C3448"/>
    <w:rsid w:val="003C3EF3"/>
    <w:rsid w:val="003C49F5"/>
    <w:rsid w:val="003C4B42"/>
    <w:rsid w:val="003C5444"/>
    <w:rsid w:val="003C5ACA"/>
    <w:rsid w:val="003C6579"/>
    <w:rsid w:val="003C6607"/>
    <w:rsid w:val="003C6E5E"/>
    <w:rsid w:val="003C7423"/>
    <w:rsid w:val="003C764C"/>
    <w:rsid w:val="003C7C9D"/>
    <w:rsid w:val="003C7DA1"/>
    <w:rsid w:val="003D08AF"/>
    <w:rsid w:val="003D0DC9"/>
    <w:rsid w:val="003D1016"/>
    <w:rsid w:val="003D15ED"/>
    <w:rsid w:val="003D1D20"/>
    <w:rsid w:val="003D2655"/>
    <w:rsid w:val="003D2C43"/>
    <w:rsid w:val="003D3090"/>
    <w:rsid w:val="003D3732"/>
    <w:rsid w:val="003D3AFD"/>
    <w:rsid w:val="003D410A"/>
    <w:rsid w:val="003D49BA"/>
    <w:rsid w:val="003D4EEF"/>
    <w:rsid w:val="003D51EA"/>
    <w:rsid w:val="003D52DF"/>
    <w:rsid w:val="003D5AD1"/>
    <w:rsid w:val="003D62B1"/>
    <w:rsid w:val="003D6351"/>
    <w:rsid w:val="003D6543"/>
    <w:rsid w:val="003D6978"/>
    <w:rsid w:val="003D6A2D"/>
    <w:rsid w:val="003D6B23"/>
    <w:rsid w:val="003D6BC2"/>
    <w:rsid w:val="003D6D46"/>
    <w:rsid w:val="003D7066"/>
    <w:rsid w:val="003E005E"/>
    <w:rsid w:val="003E0A78"/>
    <w:rsid w:val="003E0CB3"/>
    <w:rsid w:val="003E0F90"/>
    <w:rsid w:val="003E14DC"/>
    <w:rsid w:val="003E1656"/>
    <w:rsid w:val="003E2635"/>
    <w:rsid w:val="003E2A82"/>
    <w:rsid w:val="003E2CF3"/>
    <w:rsid w:val="003E3740"/>
    <w:rsid w:val="003E3962"/>
    <w:rsid w:val="003E3B97"/>
    <w:rsid w:val="003E3CE2"/>
    <w:rsid w:val="003E4F10"/>
    <w:rsid w:val="003E50C7"/>
    <w:rsid w:val="003E527F"/>
    <w:rsid w:val="003E5345"/>
    <w:rsid w:val="003E53A0"/>
    <w:rsid w:val="003E5495"/>
    <w:rsid w:val="003E5733"/>
    <w:rsid w:val="003E57A7"/>
    <w:rsid w:val="003E5977"/>
    <w:rsid w:val="003E59D7"/>
    <w:rsid w:val="003E605B"/>
    <w:rsid w:val="003E6466"/>
    <w:rsid w:val="003E6572"/>
    <w:rsid w:val="003E662E"/>
    <w:rsid w:val="003E6895"/>
    <w:rsid w:val="003E6E37"/>
    <w:rsid w:val="003E6F39"/>
    <w:rsid w:val="003E6F40"/>
    <w:rsid w:val="003E70FB"/>
    <w:rsid w:val="003E7596"/>
    <w:rsid w:val="003E7A34"/>
    <w:rsid w:val="003E7CD4"/>
    <w:rsid w:val="003E7E51"/>
    <w:rsid w:val="003F0114"/>
    <w:rsid w:val="003F05CF"/>
    <w:rsid w:val="003F0849"/>
    <w:rsid w:val="003F084E"/>
    <w:rsid w:val="003F1DCB"/>
    <w:rsid w:val="003F1F54"/>
    <w:rsid w:val="003F204A"/>
    <w:rsid w:val="003F217A"/>
    <w:rsid w:val="003F2567"/>
    <w:rsid w:val="003F2ED6"/>
    <w:rsid w:val="003F31E1"/>
    <w:rsid w:val="003F335A"/>
    <w:rsid w:val="003F3487"/>
    <w:rsid w:val="003F3500"/>
    <w:rsid w:val="003F3978"/>
    <w:rsid w:val="003F3C90"/>
    <w:rsid w:val="003F3F4E"/>
    <w:rsid w:val="003F3FE8"/>
    <w:rsid w:val="003F42E5"/>
    <w:rsid w:val="003F48F1"/>
    <w:rsid w:val="003F49DB"/>
    <w:rsid w:val="003F5180"/>
    <w:rsid w:val="003F5A9E"/>
    <w:rsid w:val="003F5CDE"/>
    <w:rsid w:val="003F5EF0"/>
    <w:rsid w:val="003F6475"/>
    <w:rsid w:val="003F65F4"/>
    <w:rsid w:val="003F66B4"/>
    <w:rsid w:val="003F66CF"/>
    <w:rsid w:val="003F696D"/>
    <w:rsid w:val="003F6B2F"/>
    <w:rsid w:val="003F72CC"/>
    <w:rsid w:val="003F7AA6"/>
    <w:rsid w:val="003F7B06"/>
    <w:rsid w:val="003F7B80"/>
    <w:rsid w:val="004003CE"/>
    <w:rsid w:val="0040084D"/>
    <w:rsid w:val="00400AA7"/>
    <w:rsid w:val="00400D91"/>
    <w:rsid w:val="00401282"/>
    <w:rsid w:val="00401628"/>
    <w:rsid w:val="00401B7D"/>
    <w:rsid w:val="00401E63"/>
    <w:rsid w:val="0040236C"/>
    <w:rsid w:val="004025CC"/>
    <w:rsid w:val="0040276D"/>
    <w:rsid w:val="00403092"/>
    <w:rsid w:val="0040391A"/>
    <w:rsid w:val="004047FD"/>
    <w:rsid w:val="00404BCC"/>
    <w:rsid w:val="00404DFF"/>
    <w:rsid w:val="00405842"/>
    <w:rsid w:val="00405DBB"/>
    <w:rsid w:val="00406E9E"/>
    <w:rsid w:val="0040747F"/>
    <w:rsid w:val="00407CD1"/>
    <w:rsid w:val="00410195"/>
    <w:rsid w:val="00410A87"/>
    <w:rsid w:val="00410D65"/>
    <w:rsid w:val="00411126"/>
    <w:rsid w:val="0041130A"/>
    <w:rsid w:val="00411AB8"/>
    <w:rsid w:val="00411F57"/>
    <w:rsid w:val="00411FCC"/>
    <w:rsid w:val="0041266E"/>
    <w:rsid w:val="0041285E"/>
    <w:rsid w:val="004131AD"/>
    <w:rsid w:val="004140BC"/>
    <w:rsid w:val="004153CE"/>
    <w:rsid w:val="0041546B"/>
    <w:rsid w:val="0041584E"/>
    <w:rsid w:val="00415B99"/>
    <w:rsid w:val="00415F06"/>
    <w:rsid w:val="00416291"/>
    <w:rsid w:val="004162E7"/>
    <w:rsid w:val="004162EA"/>
    <w:rsid w:val="0041637D"/>
    <w:rsid w:val="00416448"/>
    <w:rsid w:val="004166D9"/>
    <w:rsid w:val="004169ED"/>
    <w:rsid w:val="00416A3E"/>
    <w:rsid w:val="00416B8A"/>
    <w:rsid w:val="00416CDB"/>
    <w:rsid w:val="00417484"/>
    <w:rsid w:val="00417892"/>
    <w:rsid w:val="00417982"/>
    <w:rsid w:val="00417B5C"/>
    <w:rsid w:val="00420011"/>
    <w:rsid w:val="004205AF"/>
    <w:rsid w:val="00420A8A"/>
    <w:rsid w:val="00420AF8"/>
    <w:rsid w:val="0042109F"/>
    <w:rsid w:val="004214E2"/>
    <w:rsid w:val="00421529"/>
    <w:rsid w:val="004215AB"/>
    <w:rsid w:val="00421712"/>
    <w:rsid w:val="00421A9A"/>
    <w:rsid w:val="00421D16"/>
    <w:rsid w:val="00422229"/>
    <w:rsid w:val="00422242"/>
    <w:rsid w:val="0042232C"/>
    <w:rsid w:val="00422EBF"/>
    <w:rsid w:val="004233E3"/>
    <w:rsid w:val="00423564"/>
    <w:rsid w:val="00423832"/>
    <w:rsid w:val="00423872"/>
    <w:rsid w:val="00423CBA"/>
    <w:rsid w:val="00423F1A"/>
    <w:rsid w:val="00423F34"/>
    <w:rsid w:val="004240CC"/>
    <w:rsid w:val="004241E8"/>
    <w:rsid w:val="0042442D"/>
    <w:rsid w:val="004244E1"/>
    <w:rsid w:val="00425BB8"/>
    <w:rsid w:val="00425D90"/>
    <w:rsid w:val="00426116"/>
    <w:rsid w:val="00426134"/>
    <w:rsid w:val="004261B0"/>
    <w:rsid w:val="00427504"/>
    <w:rsid w:val="004275C7"/>
    <w:rsid w:val="004276F5"/>
    <w:rsid w:val="00427A27"/>
    <w:rsid w:val="00427CA4"/>
    <w:rsid w:val="00430430"/>
    <w:rsid w:val="00430827"/>
    <w:rsid w:val="00430F57"/>
    <w:rsid w:val="004310AF"/>
    <w:rsid w:val="004313AE"/>
    <w:rsid w:val="0043160E"/>
    <w:rsid w:val="00431B75"/>
    <w:rsid w:val="00431F54"/>
    <w:rsid w:val="00432138"/>
    <w:rsid w:val="00432211"/>
    <w:rsid w:val="004325A6"/>
    <w:rsid w:val="004325D6"/>
    <w:rsid w:val="0043265F"/>
    <w:rsid w:val="00432AC8"/>
    <w:rsid w:val="00432E4D"/>
    <w:rsid w:val="00433146"/>
    <w:rsid w:val="0043367D"/>
    <w:rsid w:val="00434198"/>
    <w:rsid w:val="00434645"/>
    <w:rsid w:val="0043464A"/>
    <w:rsid w:val="004347E8"/>
    <w:rsid w:val="00434822"/>
    <w:rsid w:val="00435576"/>
    <w:rsid w:val="004356C0"/>
    <w:rsid w:val="004357B5"/>
    <w:rsid w:val="0043666E"/>
    <w:rsid w:val="00437DE1"/>
    <w:rsid w:val="00437F62"/>
    <w:rsid w:val="00440892"/>
    <w:rsid w:val="00440D34"/>
    <w:rsid w:val="0044132A"/>
    <w:rsid w:val="004413CF"/>
    <w:rsid w:val="004419A8"/>
    <w:rsid w:val="00441DB5"/>
    <w:rsid w:val="0044289B"/>
    <w:rsid w:val="004430C1"/>
    <w:rsid w:val="00443292"/>
    <w:rsid w:val="004438DF"/>
    <w:rsid w:val="004440E8"/>
    <w:rsid w:val="00444144"/>
    <w:rsid w:val="0044437C"/>
    <w:rsid w:val="00444578"/>
    <w:rsid w:val="00444A2C"/>
    <w:rsid w:val="0044568B"/>
    <w:rsid w:val="00447045"/>
    <w:rsid w:val="0044713D"/>
    <w:rsid w:val="0044729B"/>
    <w:rsid w:val="00447458"/>
    <w:rsid w:val="00447A03"/>
    <w:rsid w:val="00447B92"/>
    <w:rsid w:val="004502DC"/>
    <w:rsid w:val="00450531"/>
    <w:rsid w:val="0045055B"/>
    <w:rsid w:val="00450760"/>
    <w:rsid w:val="004508BD"/>
    <w:rsid w:val="00450B27"/>
    <w:rsid w:val="00450B4B"/>
    <w:rsid w:val="0045165D"/>
    <w:rsid w:val="00451CE3"/>
    <w:rsid w:val="004520F2"/>
    <w:rsid w:val="00452139"/>
    <w:rsid w:val="0045231E"/>
    <w:rsid w:val="00452AF3"/>
    <w:rsid w:val="00452E1F"/>
    <w:rsid w:val="0045355E"/>
    <w:rsid w:val="004545B4"/>
    <w:rsid w:val="00454685"/>
    <w:rsid w:val="00454853"/>
    <w:rsid w:val="00454F3B"/>
    <w:rsid w:val="00455101"/>
    <w:rsid w:val="0045542E"/>
    <w:rsid w:val="00455865"/>
    <w:rsid w:val="004558C0"/>
    <w:rsid w:val="00455AD7"/>
    <w:rsid w:val="0045657D"/>
    <w:rsid w:val="0045682D"/>
    <w:rsid w:val="00456AAB"/>
    <w:rsid w:val="00456F79"/>
    <w:rsid w:val="00457027"/>
    <w:rsid w:val="0045774A"/>
    <w:rsid w:val="004577D4"/>
    <w:rsid w:val="0045790E"/>
    <w:rsid w:val="00457B78"/>
    <w:rsid w:val="00457CC0"/>
    <w:rsid w:val="00457F59"/>
    <w:rsid w:val="00460303"/>
    <w:rsid w:val="004604B9"/>
    <w:rsid w:val="004605D1"/>
    <w:rsid w:val="004609C2"/>
    <w:rsid w:val="004609E2"/>
    <w:rsid w:val="00460D4C"/>
    <w:rsid w:val="00460FC8"/>
    <w:rsid w:val="004611C7"/>
    <w:rsid w:val="00461390"/>
    <w:rsid w:val="004616D9"/>
    <w:rsid w:val="00461900"/>
    <w:rsid w:val="004619B0"/>
    <w:rsid w:val="00461E16"/>
    <w:rsid w:val="00461F88"/>
    <w:rsid w:val="004620A7"/>
    <w:rsid w:val="00462551"/>
    <w:rsid w:val="004626C7"/>
    <w:rsid w:val="00462802"/>
    <w:rsid w:val="00462B1A"/>
    <w:rsid w:val="00462B6C"/>
    <w:rsid w:val="00462C0D"/>
    <w:rsid w:val="00463318"/>
    <w:rsid w:val="004634B0"/>
    <w:rsid w:val="00463B8C"/>
    <w:rsid w:val="00463FC3"/>
    <w:rsid w:val="004642BA"/>
    <w:rsid w:val="004642C9"/>
    <w:rsid w:val="00464919"/>
    <w:rsid w:val="00464A3F"/>
    <w:rsid w:val="00464CC4"/>
    <w:rsid w:val="004654B3"/>
    <w:rsid w:val="004658BF"/>
    <w:rsid w:val="00465C55"/>
    <w:rsid w:val="00465CAC"/>
    <w:rsid w:val="004662B6"/>
    <w:rsid w:val="00466672"/>
    <w:rsid w:val="00466DF0"/>
    <w:rsid w:val="00466E09"/>
    <w:rsid w:val="004670AE"/>
    <w:rsid w:val="00467BC9"/>
    <w:rsid w:val="00467C79"/>
    <w:rsid w:val="00467CBE"/>
    <w:rsid w:val="00470364"/>
    <w:rsid w:val="00470D37"/>
    <w:rsid w:val="00471079"/>
    <w:rsid w:val="004711C0"/>
    <w:rsid w:val="00471211"/>
    <w:rsid w:val="004712DF"/>
    <w:rsid w:val="004713F8"/>
    <w:rsid w:val="0047160B"/>
    <w:rsid w:val="00471B83"/>
    <w:rsid w:val="00471C54"/>
    <w:rsid w:val="00471D68"/>
    <w:rsid w:val="004725C1"/>
    <w:rsid w:val="00472828"/>
    <w:rsid w:val="0047283E"/>
    <w:rsid w:val="0047339D"/>
    <w:rsid w:val="00473832"/>
    <w:rsid w:val="00473EEF"/>
    <w:rsid w:val="00473F3D"/>
    <w:rsid w:val="004740E3"/>
    <w:rsid w:val="004744AE"/>
    <w:rsid w:val="0047499C"/>
    <w:rsid w:val="00475106"/>
    <w:rsid w:val="00475510"/>
    <w:rsid w:val="0047566D"/>
    <w:rsid w:val="00475681"/>
    <w:rsid w:val="004758CF"/>
    <w:rsid w:val="00475AE8"/>
    <w:rsid w:val="00475D48"/>
    <w:rsid w:val="00475DA4"/>
    <w:rsid w:val="004766C3"/>
    <w:rsid w:val="00476911"/>
    <w:rsid w:val="00476D4B"/>
    <w:rsid w:val="00476D75"/>
    <w:rsid w:val="00476FD0"/>
    <w:rsid w:val="00477474"/>
    <w:rsid w:val="004776F5"/>
    <w:rsid w:val="004778D1"/>
    <w:rsid w:val="00477ED3"/>
    <w:rsid w:val="00477F81"/>
    <w:rsid w:val="0048020E"/>
    <w:rsid w:val="00480330"/>
    <w:rsid w:val="00480C3B"/>
    <w:rsid w:val="00480FB6"/>
    <w:rsid w:val="004810D9"/>
    <w:rsid w:val="0048144B"/>
    <w:rsid w:val="0048180B"/>
    <w:rsid w:val="00481975"/>
    <w:rsid w:val="00481D7F"/>
    <w:rsid w:val="00482077"/>
    <w:rsid w:val="004824A8"/>
    <w:rsid w:val="0048264B"/>
    <w:rsid w:val="00482BBD"/>
    <w:rsid w:val="00482F9E"/>
    <w:rsid w:val="00482FCD"/>
    <w:rsid w:val="00483058"/>
    <w:rsid w:val="0048350A"/>
    <w:rsid w:val="00483B1E"/>
    <w:rsid w:val="00483B2D"/>
    <w:rsid w:val="00483BAC"/>
    <w:rsid w:val="0048415A"/>
    <w:rsid w:val="004845B1"/>
    <w:rsid w:val="00484634"/>
    <w:rsid w:val="004848B1"/>
    <w:rsid w:val="00484980"/>
    <w:rsid w:val="00484E08"/>
    <w:rsid w:val="004852BC"/>
    <w:rsid w:val="00485628"/>
    <w:rsid w:val="00485AC0"/>
    <w:rsid w:val="00485E2E"/>
    <w:rsid w:val="004861AC"/>
    <w:rsid w:val="00486438"/>
    <w:rsid w:val="004866FE"/>
    <w:rsid w:val="004869CE"/>
    <w:rsid w:val="00487081"/>
    <w:rsid w:val="004870BF"/>
    <w:rsid w:val="004871E1"/>
    <w:rsid w:val="00487695"/>
    <w:rsid w:val="004876EF"/>
    <w:rsid w:val="0048785C"/>
    <w:rsid w:val="00487B72"/>
    <w:rsid w:val="00490465"/>
    <w:rsid w:val="004909F7"/>
    <w:rsid w:val="00490F46"/>
    <w:rsid w:val="00491805"/>
    <w:rsid w:val="0049193C"/>
    <w:rsid w:val="00491A3A"/>
    <w:rsid w:val="00491E11"/>
    <w:rsid w:val="004925BA"/>
    <w:rsid w:val="00492863"/>
    <w:rsid w:val="004928C5"/>
    <w:rsid w:val="004929FA"/>
    <w:rsid w:val="00492A42"/>
    <w:rsid w:val="00492ADE"/>
    <w:rsid w:val="00492BF5"/>
    <w:rsid w:val="004933E6"/>
    <w:rsid w:val="00493557"/>
    <w:rsid w:val="00493838"/>
    <w:rsid w:val="00493B8D"/>
    <w:rsid w:val="0049420A"/>
    <w:rsid w:val="0049495B"/>
    <w:rsid w:val="00494F92"/>
    <w:rsid w:val="00495725"/>
    <w:rsid w:val="0049585B"/>
    <w:rsid w:val="004959CE"/>
    <w:rsid w:val="0049634D"/>
    <w:rsid w:val="004965B1"/>
    <w:rsid w:val="004968DB"/>
    <w:rsid w:val="00497129"/>
    <w:rsid w:val="00497648"/>
    <w:rsid w:val="00497990"/>
    <w:rsid w:val="004A01B6"/>
    <w:rsid w:val="004A098B"/>
    <w:rsid w:val="004A09CD"/>
    <w:rsid w:val="004A0AAC"/>
    <w:rsid w:val="004A0D32"/>
    <w:rsid w:val="004A0FE5"/>
    <w:rsid w:val="004A1110"/>
    <w:rsid w:val="004A1157"/>
    <w:rsid w:val="004A1A75"/>
    <w:rsid w:val="004A1A79"/>
    <w:rsid w:val="004A1E6D"/>
    <w:rsid w:val="004A2124"/>
    <w:rsid w:val="004A219E"/>
    <w:rsid w:val="004A2A64"/>
    <w:rsid w:val="004A3657"/>
    <w:rsid w:val="004A4238"/>
    <w:rsid w:val="004A442B"/>
    <w:rsid w:val="004A4868"/>
    <w:rsid w:val="004A4B66"/>
    <w:rsid w:val="004A4F2C"/>
    <w:rsid w:val="004A4FEB"/>
    <w:rsid w:val="004A5382"/>
    <w:rsid w:val="004A548A"/>
    <w:rsid w:val="004A5FED"/>
    <w:rsid w:val="004A6055"/>
    <w:rsid w:val="004A6155"/>
    <w:rsid w:val="004A6164"/>
    <w:rsid w:val="004A67A9"/>
    <w:rsid w:val="004A692C"/>
    <w:rsid w:val="004A6CCA"/>
    <w:rsid w:val="004A6DC4"/>
    <w:rsid w:val="004A7215"/>
    <w:rsid w:val="004B0094"/>
    <w:rsid w:val="004B034E"/>
    <w:rsid w:val="004B1015"/>
    <w:rsid w:val="004B11A9"/>
    <w:rsid w:val="004B1221"/>
    <w:rsid w:val="004B1237"/>
    <w:rsid w:val="004B17E7"/>
    <w:rsid w:val="004B18FB"/>
    <w:rsid w:val="004B225A"/>
    <w:rsid w:val="004B23AE"/>
    <w:rsid w:val="004B25D0"/>
    <w:rsid w:val="004B2C80"/>
    <w:rsid w:val="004B2CEC"/>
    <w:rsid w:val="004B33C0"/>
    <w:rsid w:val="004B3662"/>
    <w:rsid w:val="004B3A46"/>
    <w:rsid w:val="004B3B69"/>
    <w:rsid w:val="004B3B79"/>
    <w:rsid w:val="004B3E41"/>
    <w:rsid w:val="004B45DB"/>
    <w:rsid w:val="004B488F"/>
    <w:rsid w:val="004B4F15"/>
    <w:rsid w:val="004B4F6F"/>
    <w:rsid w:val="004B5356"/>
    <w:rsid w:val="004B5E26"/>
    <w:rsid w:val="004B6109"/>
    <w:rsid w:val="004B663A"/>
    <w:rsid w:val="004B68CD"/>
    <w:rsid w:val="004B6B4A"/>
    <w:rsid w:val="004B6B64"/>
    <w:rsid w:val="004B6BB0"/>
    <w:rsid w:val="004B6E57"/>
    <w:rsid w:val="004B70A2"/>
    <w:rsid w:val="004B71CC"/>
    <w:rsid w:val="004B7D85"/>
    <w:rsid w:val="004C0F44"/>
    <w:rsid w:val="004C172E"/>
    <w:rsid w:val="004C1908"/>
    <w:rsid w:val="004C1C86"/>
    <w:rsid w:val="004C22BF"/>
    <w:rsid w:val="004C24E6"/>
    <w:rsid w:val="004C26D8"/>
    <w:rsid w:val="004C29A4"/>
    <w:rsid w:val="004C2C1A"/>
    <w:rsid w:val="004C2C9F"/>
    <w:rsid w:val="004C2CE3"/>
    <w:rsid w:val="004C34C1"/>
    <w:rsid w:val="004C3B89"/>
    <w:rsid w:val="004C3C23"/>
    <w:rsid w:val="004C4928"/>
    <w:rsid w:val="004C4CFB"/>
    <w:rsid w:val="004C54A8"/>
    <w:rsid w:val="004C564F"/>
    <w:rsid w:val="004C57AE"/>
    <w:rsid w:val="004C58DD"/>
    <w:rsid w:val="004C59B0"/>
    <w:rsid w:val="004C5E2C"/>
    <w:rsid w:val="004C630B"/>
    <w:rsid w:val="004C6B3D"/>
    <w:rsid w:val="004C6EF8"/>
    <w:rsid w:val="004C6FD5"/>
    <w:rsid w:val="004C7075"/>
    <w:rsid w:val="004C74D6"/>
    <w:rsid w:val="004C7E2B"/>
    <w:rsid w:val="004D0047"/>
    <w:rsid w:val="004D049A"/>
    <w:rsid w:val="004D061E"/>
    <w:rsid w:val="004D0750"/>
    <w:rsid w:val="004D0ED3"/>
    <w:rsid w:val="004D0FC4"/>
    <w:rsid w:val="004D15E1"/>
    <w:rsid w:val="004D19B7"/>
    <w:rsid w:val="004D19FC"/>
    <w:rsid w:val="004D1A03"/>
    <w:rsid w:val="004D1CF5"/>
    <w:rsid w:val="004D1F14"/>
    <w:rsid w:val="004D2018"/>
    <w:rsid w:val="004D2AD0"/>
    <w:rsid w:val="004D2ECE"/>
    <w:rsid w:val="004D349F"/>
    <w:rsid w:val="004D380E"/>
    <w:rsid w:val="004D3EBF"/>
    <w:rsid w:val="004D41BE"/>
    <w:rsid w:val="004D424B"/>
    <w:rsid w:val="004D43E0"/>
    <w:rsid w:val="004D449D"/>
    <w:rsid w:val="004D4907"/>
    <w:rsid w:val="004D4BF6"/>
    <w:rsid w:val="004D4C69"/>
    <w:rsid w:val="004D4E31"/>
    <w:rsid w:val="004D5110"/>
    <w:rsid w:val="004D562D"/>
    <w:rsid w:val="004D57AF"/>
    <w:rsid w:val="004D691F"/>
    <w:rsid w:val="004D69D3"/>
    <w:rsid w:val="004D6D69"/>
    <w:rsid w:val="004D6E37"/>
    <w:rsid w:val="004D773C"/>
    <w:rsid w:val="004D7BA4"/>
    <w:rsid w:val="004E06C8"/>
    <w:rsid w:val="004E0B0C"/>
    <w:rsid w:val="004E0C20"/>
    <w:rsid w:val="004E0E43"/>
    <w:rsid w:val="004E0E4C"/>
    <w:rsid w:val="004E19EB"/>
    <w:rsid w:val="004E1ACF"/>
    <w:rsid w:val="004E1E70"/>
    <w:rsid w:val="004E1E92"/>
    <w:rsid w:val="004E2068"/>
    <w:rsid w:val="004E2E08"/>
    <w:rsid w:val="004E30EE"/>
    <w:rsid w:val="004E3B8E"/>
    <w:rsid w:val="004E3D40"/>
    <w:rsid w:val="004E44EF"/>
    <w:rsid w:val="004E497F"/>
    <w:rsid w:val="004E4A7C"/>
    <w:rsid w:val="004E4BED"/>
    <w:rsid w:val="004E4C19"/>
    <w:rsid w:val="004E5097"/>
    <w:rsid w:val="004E50F2"/>
    <w:rsid w:val="004E51DA"/>
    <w:rsid w:val="004E54AB"/>
    <w:rsid w:val="004E59C7"/>
    <w:rsid w:val="004E5C8E"/>
    <w:rsid w:val="004E5CA8"/>
    <w:rsid w:val="004E6000"/>
    <w:rsid w:val="004E601E"/>
    <w:rsid w:val="004E657E"/>
    <w:rsid w:val="004E669E"/>
    <w:rsid w:val="004E6709"/>
    <w:rsid w:val="004E6862"/>
    <w:rsid w:val="004E6A98"/>
    <w:rsid w:val="004E6CB7"/>
    <w:rsid w:val="004E734F"/>
    <w:rsid w:val="004E7403"/>
    <w:rsid w:val="004E744B"/>
    <w:rsid w:val="004E7501"/>
    <w:rsid w:val="004E7628"/>
    <w:rsid w:val="004E7B57"/>
    <w:rsid w:val="004F01E4"/>
    <w:rsid w:val="004F0692"/>
    <w:rsid w:val="004F06B6"/>
    <w:rsid w:val="004F06C8"/>
    <w:rsid w:val="004F0925"/>
    <w:rsid w:val="004F0A62"/>
    <w:rsid w:val="004F1396"/>
    <w:rsid w:val="004F17B7"/>
    <w:rsid w:val="004F17C2"/>
    <w:rsid w:val="004F18D7"/>
    <w:rsid w:val="004F2133"/>
    <w:rsid w:val="004F2788"/>
    <w:rsid w:val="004F3BCB"/>
    <w:rsid w:val="004F3FE4"/>
    <w:rsid w:val="004F4072"/>
    <w:rsid w:val="004F412D"/>
    <w:rsid w:val="004F42DD"/>
    <w:rsid w:val="004F445A"/>
    <w:rsid w:val="004F471F"/>
    <w:rsid w:val="004F4D40"/>
    <w:rsid w:val="004F53EA"/>
    <w:rsid w:val="004F56AE"/>
    <w:rsid w:val="004F5C89"/>
    <w:rsid w:val="004F5EB6"/>
    <w:rsid w:val="004F615D"/>
    <w:rsid w:val="004F615E"/>
    <w:rsid w:val="004F6709"/>
    <w:rsid w:val="004F70D7"/>
    <w:rsid w:val="004F7183"/>
    <w:rsid w:val="004F725D"/>
    <w:rsid w:val="004F7473"/>
    <w:rsid w:val="004F7528"/>
    <w:rsid w:val="004F7821"/>
    <w:rsid w:val="004F7F40"/>
    <w:rsid w:val="005000F8"/>
    <w:rsid w:val="00500127"/>
    <w:rsid w:val="005003AF"/>
    <w:rsid w:val="005005E8"/>
    <w:rsid w:val="005007AB"/>
    <w:rsid w:val="00500849"/>
    <w:rsid w:val="00500CDA"/>
    <w:rsid w:val="005010DF"/>
    <w:rsid w:val="00501274"/>
    <w:rsid w:val="00501428"/>
    <w:rsid w:val="00501AC0"/>
    <w:rsid w:val="00501F0B"/>
    <w:rsid w:val="00501F66"/>
    <w:rsid w:val="00502053"/>
    <w:rsid w:val="00502073"/>
    <w:rsid w:val="00502318"/>
    <w:rsid w:val="0050234E"/>
    <w:rsid w:val="005023B5"/>
    <w:rsid w:val="005024CB"/>
    <w:rsid w:val="005025F4"/>
    <w:rsid w:val="005027D4"/>
    <w:rsid w:val="00502944"/>
    <w:rsid w:val="00502D49"/>
    <w:rsid w:val="0050308C"/>
    <w:rsid w:val="0050346F"/>
    <w:rsid w:val="005052B4"/>
    <w:rsid w:val="00505B70"/>
    <w:rsid w:val="00505E2B"/>
    <w:rsid w:val="00505EA9"/>
    <w:rsid w:val="00506168"/>
    <w:rsid w:val="00506918"/>
    <w:rsid w:val="00506B3F"/>
    <w:rsid w:val="00506CEA"/>
    <w:rsid w:val="005100E0"/>
    <w:rsid w:val="005100FB"/>
    <w:rsid w:val="00510868"/>
    <w:rsid w:val="00510CC6"/>
    <w:rsid w:val="0051115E"/>
    <w:rsid w:val="005117B9"/>
    <w:rsid w:val="00511EC4"/>
    <w:rsid w:val="00512239"/>
    <w:rsid w:val="0051264D"/>
    <w:rsid w:val="00512B3E"/>
    <w:rsid w:val="00512DEA"/>
    <w:rsid w:val="00512E75"/>
    <w:rsid w:val="0051330F"/>
    <w:rsid w:val="0051338F"/>
    <w:rsid w:val="00513413"/>
    <w:rsid w:val="005138EB"/>
    <w:rsid w:val="00513D63"/>
    <w:rsid w:val="00514253"/>
    <w:rsid w:val="00514358"/>
    <w:rsid w:val="0051477E"/>
    <w:rsid w:val="0051520B"/>
    <w:rsid w:val="00515262"/>
    <w:rsid w:val="00515349"/>
    <w:rsid w:val="0051599F"/>
    <w:rsid w:val="00515CF9"/>
    <w:rsid w:val="00515D6A"/>
    <w:rsid w:val="005166DD"/>
    <w:rsid w:val="005169EC"/>
    <w:rsid w:val="00516D55"/>
    <w:rsid w:val="0051766A"/>
    <w:rsid w:val="005177A8"/>
    <w:rsid w:val="00517887"/>
    <w:rsid w:val="0051793E"/>
    <w:rsid w:val="00517B45"/>
    <w:rsid w:val="005201CD"/>
    <w:rsid w:val="005202DC"/>
    <w:rsid w:val="005208D3"/>
    <w:rsid w:val="00520CD8"/>
    <w:rsid w:val="005211FC"/>
    <w:rsid w:val="005217B1"/>
    <w:rsid w:val="00521ED7"/>
    <w:rsid w:val="00521F86"/>
    <w:rsid w:val="0052258E"/>
    <w:rsid w:val="005225C9"/>
    <w:rsid w:val="00522E39"/>
    <w:rsid w:val="00522E7E"/>
    <w:rsid w:val="0052320B"/>
    <w:rsid w:val="005232BF"/>
    <w:rsid w:val="00523301"/>
    <w:rsid w:val="00523A44"/>
    <w:rsid w:val="00523C3C"/>
    <w:rsid w:val="00523E30"/>
    <w:rsid w:val="005245D0"/>
    <w:rsid w:val="00524964"/>
    <w:rsid w:val="00524B22"/>
    <w:rsid w:val="00524BBF"/>
    <w:rsid w:val="00524C3A"/>
    <w:rsid w:val="00524CF6"/>
    <w:rsid w:val="00524E20"/>
    <w:rsid w:val="0052521F"/>
    <w:rsid w:val="005255DA"/>
    <w:rsid w:val="00525741"/>
    <w:rsid w:val="0052584C"/>
    <w:rsid w:val="00525C8D"/>
    <w:rsid w:val="00525EA0"/>
    <w:rsid w:val="00525F1C"/>
    <w:rsid w:val="00525F44"/>
    <w:rsid w:val="00526154"/>
    <w:rsid w:val="0052690A"/>
    <w:rsid w:val="00526C77"/>
    <w:rsid w:val="00527068"/>
    <w:rsid w:val="00527397"/>
    <w:rsid w:val="005277AD"/>
    <w:rsid w:val="00530175"/>
    <w:rsid w:val="00530344"/>
    <w:rsid w:val="005304E7"/>
    <w:rsid w:val="00530A28"/>
    <w:rsid w:val="00530F74"/>
    <w:rsid w:val="00531098"/>
    <w:rsid w:val="00531118"/>
    <w:rsid w:val="0053115B"/>
    <w:rsid w:val="005313F8"/>
    <w:rsid w:val="005315EA"/>
    <w:rsid w:val="005318FA"/>
    <w:rsid w:val="005319BB"/>
    <w:rsid w:val="00531EA6"/>
    <w:rsid w:val="0053246F"/>
    <w:rsid w:val="00532AD2"/>
    <w:rsid w:val="00532B7E"/>
    <w:rsid w:val="00532BCE"/>
    <w:rsid w:val="00532C5B"/>
    <w:rsid w:val="00532E17"/>
    <w:rsid w:val="00533544"/>
    <w:rsid w:val="00533780"/>
    <w:rsid w:val="005339F6"/>
    <w:rsid w:val="00534590"/>
    <w:rsid w:val="00534A62"/>
    <w:rsid w:val="00534AC6"/>
    <w:rsid w:val="005352AF"/>
    <w:rsid w:val="005353CB"/>
    <w:rsid w:val="005358BD"/>
    <w:rsid w:val="00535FA0"/>
    <w:rsid w:val="005360D8"/>
    <w:rsid w:val="00536407"/>
    <w:rsid w:val="005368F2"/>
    <w:rsid w:val="00536BCF"/>
    <w:rsid w:val="00536D5A"/>
    <w:rsid w:val="00536E71"/>
    <w:rsid w:val="00536FE2"/>
    <w:rsid w:val="005372BE"/>
    <w:rsid w:val="0053771D"/>
    <w:rsid w:val="00537AD1"/>
    <w:rsid w:val="0054013E"/>
    <w:rsid w:val="0054020A"/>
    <w:rsid w:val="00540F1A"/>
    <w:rsid w:val="00541526"/>
    <w:rsid w:val="005415D5"/>
    <w:rsid w:val="005418DE"/>
    <w:rsid w:val="005422E4"/>
    <w:rsid w:val="0054270A"/>
    <w:rsid w:val="0054285B"/>
    <w:rsid w:val="00542B41"/>
    <w:rsid w:val="00542F23"/>
    <w:rsid w:val="005435DB"/>
    <w:rsid w:val="00543D6C"/>
    <w:rsid w:val="0054556C"/>
    <w:rsid w:val="00545768"/>
    <w:rsid w:val="00545AA2"/>
    <w:rsid w:val="00546499"/>
    <w:rsid w:val="00546681"/>
    <w:rsid w:val="0054702A"/>
    <w:rsid w:val="00551182"/>
    <w:rsid w:val="005511BE"/>
    <w:rsid w:val="005512E7"/>
    <w:rsid w:val="00551739"/>
    <w:rsid w:val="00551C05"/>
    <w:rsid w:val="00551FF8"/>
    <w:rsid w:val="00552165"/>
    <w:rsid w:val="0055231C"/>
    <w:rsid w:val="00552D0B"/>
    <w:rsid w:val="005533A0"/>
    <w:rsid w:val="005537F0"/>
    <w:rsid w:val="00554634"/>
    <w:rsid w:val="00554CA0"/>
    <w:rsid w:val="00554F22"/>
    <w:rsid w:val="00554FED"/>
    <w:rsid w:val="00555B39"/>
    <w:rsid w:val="00555F06"/>
    <w:rsid w:val="00556D3C"/>
    <w:rsid w:val="00556E15"/>
    <w:rsid w:val="005573C4"/>
    <w:rsid w:val="00557708"/>
    <w:rsid w:val="00557ABE"/>
    <w:rsid w:val="00557BA3"/>
    <w:rsid w:val="00557DCD"/>
    <w:rsid w:val="005604B9"/>
    <w:rsid w:val="005607CF"/>
    <w:rsid w:val="00560E6F"/>
    <w:rsid w:val="005615B9"/>
    <w:rsid w:val="0056185E"/>
    <w:rsid w:val="00561A93"/>
    <w:rsid w:val="0056276E"/>
    <w:rsid w:val="0056353F"/>
    <w:rsid w:val="00563C2F"/>
    <w:rsid w:val="00563D5C"/>
    <w:rsid w:val="00563D8D"/>
    <w:rsid w:val="005643DB"/>
    <w:rsid w:val="00564D8C"/>
    <w:rsid w:val="00565016"/>
    <w:rsid w:val="005652D8"/>
    <w:rsid w:val="005657A8"/>
    <w:rsid w:val="00565A8E"/>
    <w:rsid w:val="00565E78"/>
    <w:rsid w:val="00566BA4"/>
    <w:rsid w:val="00566BF7"/>
    <w:rsid w:val="00566C7D"/>
    <w:rsid w:val="005676B6"/>
    <w:rsid w:val="00567BB2"/>
    <w:rsid w:val="00567F08"/>
    <w:rsid w:val="00567FDB"/>
    <w:rsid w:val="0057011B"/>
    <w:rsid w:val="00570285"/>
    <w:rsid w:val="00570303"/>
    <w:rsid w:val="00570C49"/>
    <w:rsid w:val="00570C5C"/>
    <w:rsid w:val="0057111E"/>
    <w:rsid w:val="00571E92"/>
    <w:rsid w:val="00571F9C"/>
    <w:rsid w:val="005721B2"/>
    <w:rsid w:val="0057261A"/>
    <w:rsid w:val="0057285A"/>
    <w:rsid w:val="00572B9B"/>
    <w:rsid w:val="00572F2E"/>
    <w:rsid w:val="0057324E"/>
    <w:rsid w:val="00574614"/>
    <w:rsid w:val="005749F9"/>
    <w:rsid w:val="00574B9A"/>
    <w:rsid w:val="00574C7A"/>
    <w:rsid w:val="00574E23"/>
    <w:rsid w:val="00575908"/>
    <w:rsid w:val="00575B05"/>
    <w:rsid w:val="00575F10"/>
    <w:rsid w:val="00576014"/>
    <w:rsid w:val="0057617F"/>
    <w:rsid w:val="0057660B"/>
    <w:rsid w:val="00576710"/>
    <w:rsid w:val="0057672A"/>
    <w:rsid w:val="00576B94"/>
    <w:rsid w:val="00576E43"/>
    <w:rsid w:val="00576F14"/>
    <w:rsid w:val="00576FDD"/>
    <w:rsid w:val="005774ED"/>
    <w:rsid w:val="00577501"/>
    <w:rsid w:val="005775AB"/>
    <w:rsid w:val="00577641"/>
    <w:rsid w:val="005779EA"/>
    <w:rsid w:val="00577ADD"/>
    <w:rsid w:val="005804A4"/>
    <w:rsid w:val="00580782"/>
    <w:rsid w:val="00580E85"/>
    <w:rsid w:val="00580F88"/>
    <w:rsid w:val="00581598"/>
    <w:rsid w:val="00581A5F"/>
    <w:rsid w:val="00581BFB"/>
    <w:rsid w:val="00581DFC"/>
    <w:rsid w:val="00582341"/>
    <w:rsid w:val="005823CB"/>
    <w:rsid w:val="005825F4"/>
    <w:rsid w:val="00583648"/>
    <w:rsid w:val="00584249"/>
    <w:rsid w:val="005842E2"/>
    <w:rsid w:val="0058478C"/>
    <w:rsid w:val="00584CC9"/>
    <w:rsid w:val="00584E0E"/>
    <w:rsid w:val="00584E3C"/>
    <w:rsid w:val="00585AC7"/>
    <w:rsid w:val="00585BB9"/>
    <w:rsid w:val="005868E9"/>
    <w:rsid w:val="005870CF"/>
    <w:rsid w:val="00587214"/>
    <w:rsid w:val="00587783"/>
    <w:rsid w:val="00587D87"/>
    <w:rsid w:val="00587DBC"/>
    <w:rsid w:val="00590023"/>
    <w:rsid w:val="0059018F"/>
    <w:rsid w:val="0059020F"/>
    <w:rsid w:val="00590489"/>
    <w:rsid w:val="0059099E"/>
    <w:rsid w:val="00590CFC"/>
    <w:rsid w:val="00591088"/>
    <w:rsid w:val="00591536"/>
    <w:rsid w:val="0059162E"/>
    <w:rsid w:val="00592762"/>
    <w:rsid w:val="00592C80"/>
    <w:rsid w:val="00592E8B"/>
    <w:rsid w:val="00593266"/>
    <w:rsid w:val="00593AEE"/>
    <w:rsid w:val="00593C8E"/>
    <w:rsid w:val="005940BE"/>
    <w:rsid w:val="0059415D"/>
    <w:rsid w:val="00594443"/>
    <w:rsid w:val="00594E69"/>
    <w:rsid w:val="00594F5C"/>
    <w:rsid w:val="005953FE"/>
    <w:rsid w:val="00595620"/>
    <w:rsid w:val="0059629B"/>
    <w:rsid w:val="00596FBE"/>
    <w:rsid w:val="0059702E"/>
    <w:rsid w:val="00597514"/>
    <w:rsid w:val="00597E7D"/>
    <w:rsid w:val="005A061A"/>
    <w:rsid w:val="005A09B0"/>
    <w:rsid w:val="005A0B92"/>
    <w:rsid w:val="005A120A"/>
    <w:rsid w:val="005A15E9"/>
    <w:rsid w:val="005A1C04"/>
    <w:rsid w:val="005A1DD5"/>
    <w:rsid w:val="005A2029"/>
    <w:rsid w:val="005A28F5"/>
    <w:rsid w:val="005A2D76"/>
    <w:rsid w:val="005A2FA0"/>
    <w:rsid w:val="005A34FA"/>
    <w:rsid w:val="005A3C9C"/>
    <w:rsid w:val="005A452F"/>
    <w:rsid w:val="005A46B2"/>
    <w:rsid w:val="005A4C51"/>
    <w:rsid w:val="005A4D3F"/>
    <w:rsid w:val="005A5113"/>
    <w:rsid w:val="005A56BA"/>
    <w:rsid w:val="005A578D"/>
    <w:rsid w:val="005A5802"/>
    <w:rsid w:val="005A6090"/>
    <w:rsid w:val="005A775C"/>
    <w:rsid w:val="005A7E49"/>
    <w:rsid w:val="005B00B3"/>
    <w:rsid w:val="005B0391"/>
    <w:rsid w:val="005B0593"/>
    <w:rsid w:val="005B0B9B"/>
    <w:rsid w:val="005B130C"/>
    <w:rsid w:val="005B20A5"/>
    <w:rsid w:val="005B20F1"/>
    <w:rsid w:val="005B2551"/>
    <w:rsid w:val="005B29E5"/>
    <w:rsid w:val="005B2B13"/>
    <w:rsid w:val="005B320F"/>
    <w:rsid w:val="005B334D"/>
    <w:rsid w:val="005B3CD8"/>
    <w:rsid w:val="005B44C1"/>
    <w:rsid w:val="005B4FBB"/>
    <w:rsid w:val="005B502B"/>
    <w:rsid w:val="005B51C6"/>
    <w:rsid w:val="005B541D"/>
    <w:rsid w:val="005B5696"/>
    <w:rsid w:val="005B5AEC"/>
    <w:rsid w:val="005B5C27"/>
    <w:rsid w:val="005B5DA4"/>
    <w:rsid w:val="005B5ED6"/>
    <w:rsid w:val="005B6343"/>
    <w:rsid w:val="005B6FE2"/>
    <w:rsid w:val="005C0133"/>
    <w:rsid w:val="005C01D7"/>
    <w:rsid w:val="005C02AF"/>
    <w:rsid w:val="005C039E"/>
    <w:rsid w:val="005C050A"/>
    <w:rsid w:val="005C05B7"/>
    <w:rsid w:val="005C0638"/>
    <w:rsid w:val="005C07F3"/>
    <w:rsid w:val="005C09BE"/>
    <w:rsid w:val="005C0A78"/>
    <w:rsid w:val="005C153D"/>
    <w:rsid w:val="005C1751"/>
    <w:rsid w:val="005C2C4F"/>
    <w:rsid w:val="005C2D93"/>
    <w:rsid w:val="005C39E3"/>
    <w:rsid w:val="005C3D60"/>
    <w:rsid w:val="005C4097"/>
    <w:rsid w:val="005C428A"/>
    <w:rsid w:val="005C44AB"/>
    <w:rsid w:val="005C463E"/>
    <w:rsid w:val="005C4794"/>
    <w:rsid w:val="005C485D"/>
    <w:rsid w:val="005C4BBE"/>
    <w:rsid w:val="005C50CC"/>
    <w:rsid w:val="005C522A"/>
    <w:rsid w:val="005C5A59"/>
    <w:rsid w:val="005C61B6"/>
    <w:rsid w:val="005C639F"/>
    <w:rsid w:val="005C66DA"/>
    <w:rsid w:val="005C6D8D"/>
    <w:rsid w:val="005C6DB2"/>
    <w:rsid w:val="005C6DD3"/>
    <w:rsid w:val="005C71EA"/>
    <w:rsid w:val="005C72B3"/>
    <w:rsid w:val="005C76BA"/>
    <w:rsid w:val="005C78FA"/>
    <w:rsid w:val="005C7C35"/>
    <w:rsid w:val="005C7CE5"/>
    <w:rsid w:val="005C7DF1"/>
    <w:rsid w:val="005D038A"/>
    <w:rsid w:val="005D0B07"/>
    <w:rsid w:val="005D0BC1"/>
    <w:rsid w:val="005D111E"/>
    <w:rsid w:val="005D1280"/>
    <w:rsid w:val="005D14DD"/>
    <w:rsid w:val="005D1541"/>
    <w:rsid w:val="005D1631"/>
    <w:rsid w:val="005D1928"/>
    <w:rsid w:val="005D1A7E"/>
    <w:rsid w:val="005D1D9B"/>
    <w:rsid w:val="005D21B1"/>
    <w:rsid w:val="005D24B8"/>
    <w:rsid w:val="005D2795"/>
    <w:rsid w:val="005D2BC3"/>
    <w:rsid w:val="005D2C6C"/>
    <w:rsid w:val="005D2E3A"/>
    <w:rsid w:val="005D2FCD"/>
    <w:rsid w:val="005D3045"/>
    <w:rsid w:val="005D32BC"/>
    <w:rsid w:val="005D33D8"/>
    <w:rsid w:val="005D382E"/>
    <w:rsid w:val="005D3AA8"/>
    <w:rsid w:val="005D3EA9"/>
    <w:rsid w:val="005D4055"/>
    <w:rsid w:val="005D4576"/>
    <w:rsid w:val="005D4590"/>
    <w:rsid w:val="005D4C01"/>
    <w:rsid w:val="005D4EB5"/>
    <w:rsid w:val="005D50DE"/>
    <w:rsid w:val="005D52F2"/>
    <w:rsid w:val="005D53E3"/>
    <w:rsid w:val="005D57C9"/>
    <w:rsid w:val="005D58DC"/>
    <w:rsid w:val="005D5CA3"/>
    <w:rsid w:val="005D5D19"/>
    <w:rsid w:val="005D65C3"/>
    <w:rsid w:val="005D6A8D"/>
    <w:rsid w:val="005D6C7C"/>
    <w:rsid w:val="005D6C7F"/>
    <w:rsid w:val="005D6CB8"/>
    <w:rsid w:val="005D6D7C"/>
    <w:rsid w:val="005D6D9E"/>
    <w:rsid w:val="005D75C0"/>
    <w:rsid w:val="005D7829"/>
    <w:rsid w:val="005D7C6E"/>
    <w:rsid w:val="005D7F2F"/>
    <w:rsid w:val="005E016A"/>
    <w:rsid w:val="005E045F"/>
    <w:rsid w:val="005E074B"/>
    <w:rsid w:val="005E0A1D"/>
    <w:rsid w:val="005E0C2F"/>
    <w:rsid w:val="005E0D8E"/>
    <w:rsid w:val="005E11DA"/>
    <w:rsid w:val="005E1608"/>
    <w:rsid w:val="005E1AA7"/>
    <w:rsid w:val="005E1E15"/>
    <w:rsid w:val="005E2996"/>
    <w:rsid w:val="005E31B0"/>
    <w:rsid w:val="005E3471"/>
    <w:rsid w:val="005E3A08"/>
    <w:rsid w:val="005E41D5"/>
    <w:rsid w:val="005E4B6C"/>
    <w:rsid w:val="005E4C09"/>
    <w:rsid w:val="005E4C8E"/>
    <w:rsid w:val="005E4E1C"/>
    <w:rsid w:val="005E5420"/>
    <w:rsid w:val="005E5793"/>
    <w:rsid w:val="005E5D6E"/>
    <w:rsid w:val="005E5FE5"/>
    <w:rsid w:val="005E642B"/>
    <w:rsid w:val="005E6729"/>
    <w:rsid w:val="005E69D3"/>
    <w:rsid w:val="005E6A8B"/>
    <w:rsid w:val="005E6B4C"/>
    <w:rsid w:val="005E6C1C"/>
    <w:rsid w:val="005E6E03"/>
    <w:rsid w:val="005E6EB8"/>
    <w:rsid w:val="005E6EE7"/>
    <w:rsid w:val="005E6F95"/>
    <w:rsid w:val="005E74DB"/>
    <w:rsid w:val="005E7C75"/>
    <w:rsid w:val="005E7CA1"/>
    <w:rsid w:val="005E7FF4"/>
    <w:rsid w:val="005F029D"/>
    <w:rsid w:val="005F0923"/>
    <w:rsid w:val="005F0C30"/>
    <w:rsid w:val="005F0D50"/>
    <w:rsid w:val="005F0D8E"/>
    <w:rsid w:val="005F1146"/>
    <w:rsid w:val="005F24B6"/>
    <w:rsid w:val="005F26C6"/>
    <w:rsid w:val="005F26DD"/>
    <w:rsid w:val="005F3204"/>
    <w:rsid w:val="005F38B5"/>
    <w:rsid w:val="005F3C7B"/>
    <w:rsid w:val="005F3EC3"/>
    <w:rsid w:val="005F4319"/>
    <w:rsid w:val="005F44C6"/>
    <w:rsid w:val="005F453C"/>
    <w:rsid w:val="005F548B"/>
    <w:rsid w:val="005F5504"/>
    <w:rsid w:val="005F5940"/>
    <w:rsid w:val="005F5D42"/>
    <w:rsid w:val="005F6146"/>
    <w:rsid w:val="005F61A8"/>
    <w:rsid w:val="005F6B0A"/>
    <w:rsid w:val="005F6BCE"/>
    <w:rsid w:val="005F6D12"/>
    <w:rsid w:val="005F7280"/>
    <w:rsid w:val="005F72D9"/>
    <w:rsid w:val="005F7B7A"/>
    <w:rsid w:val="005F7C24"/>
    <w:rsid w:val="00600139"/>
    <w:rsid w:val="00600229"/>
    <w:rsid w:val="0060024D"/>
    <w:rsid w:val="00600387"/>
    <w:rsid w:val="00600668"/>
    <w:rsid w:val="00600713"/>
    <w:rsid w:val="00600F09"/>
    <w:rsid w:val="0060134B"/>
    <w:rsid w:val="00601359"/>
    <w:rsid w:val="00601435"/>
    <w:rsid w:val="0060209C"/>
    <w:rsid w:val="006027A6"/>
    <w:rsid w:val="0060281F"/>
    <w:rsid w:val="00602C76"/>
    <w:rsid w:val="006032D2"/>
    <w:rsid w:val="00603536"/>
    <w:rsid w:val="00603AA7"/>
    <w:rsid w:val="00604130"/>
    <w:rsid w:val="00604281"/>
    <w:rsid w:val="006043CC"/>
    <w:rsid w:val="0060511B"/>
    <w:rsid w:val="0060523B"/>
    <w:rsid w:val="0060545C"/>
    <w:rsid w:val="006054A1"/>
    <w:rsid w:val="00605890"/>
    <w:rsid w:val="00605A3B"/>
    <w:rsid w:val="00605D80"/>
    <w:rsid w:val="00605F02"/>
    <w:rsid w:val="00606167"/>
    <w:rsid w:val="0060685C"/>
    <w:rsid w:val="00606AC6"/>
    <w:rsid w:val="00607526"/>
    <w:rsid w:val="00607C68"/>
    <w:rsid w:val="00607E67"/>
    <w:rsid w:val="00610015"/>
    <w:rsid w:val="0061026C"/>
    <w:rsid w:val="00610457"/>
    <w:rsid w:val="006107CF"/>
    <w:rsid w:val="0061119C"/>
    <w:rsid w:val="0061184E"/>
    <w:rsid w:val="00611D99"/>
    <w:rsid w:val="00612065"/>
    <w:rsid w:val="006124C1"/>
    <w:rsid w:val="00612D47"/>
    <w:rsid w:val="00612F33"/>
    <w:rsid w:val="0061312C"/>
    <w:rsid w:val="006132BD"/>
    <w:rsid w:val="006133E6"/>
    <w:rsid w:val="0061359F"/>
    <w:rsid w:val="00613E9A"/>
    <w:rsid w:val="00614645"/>
    <w:rsid w:val="00614A7A"/>
    <w:rsid w:val="00614C9D"/>
    <w:rsid w:val="00614D8C"/>
    <w:rsid w:val="00614F0C"/>
    <w:rsid w:val="00614F80"/>
    <w:rsid w:val="00615A5D"/>
    <w:rsid w:val="00615FAD"/>
    <w:rsid w:val="006162CD"/>
    <w:rsid w:val="00616D42"/>
    <w:rsid w:val="00616E80"/>
    <w:rsid w:val="00617261"/>
    <w:rsid w:val="006173A7"/>
    <w:rsid w:val="006175B8"/>
    <w:rsid w:val="0061764A"/>
    <w:rsid w:val="006177DD"/>
    <w:rsid w:val="00617A29"/>
    <w:rsid w:val="00617CAB"/>
    <w:rsid w:val="0062017D"/>
    <w:rsid w:val="006202CF"/>
    <w:rsid w:val="00620B6C"/>
    <w:rsid w:val="00620C31"/>
    <w:rsid w:val="006218DB"/>
    <w:rsid w:val="0062192F"/>
    <w:rsid w:val="00621ECE"/>
    <w:rsid w:val="00622952"/>
    <w:rsid w:val="00622A79"/>
    <w:rsid w:val="00622BCB"/>
    <w:rsid w:val="00623064"/>
    <w:rsid w:val="00623D30"/>
    <w:rsid w:val="00623F61"/>
    <w:rsid w:val="006240BA"/>
    <w:rsid w:val="00624107"/>
    <w:rsid w:val="00624260"/>
    <w:rsid w:val="00624531"/>
    <w:rsid w:val="006256D8"/>
    <w:rsid w:val="00625712"/>
    <w:rsid w:val="0062575E"/>
    <w:rsid w:val="00625D7E"/>
    <w:rsid w:val="0062691D"/>
    <w:rsid w:val="00626AE9"/>
    <w:rsid w:val="0062712C"/>
    <w:rsid w:val="00627855"/>
    <w:rsid w:val="00627C59"/>
    <w:rsid w:val="00630433"/>
    <w:rsid w:val="00630928"/>
    <w:rsid w:val="00630D75"/>
    <w:rsid w:val="006314F0"/>
    <w:rsid w:val="006317EE"/>
    <w:rsid w:val="0063183F"/>
    <w:rsid w:val="00631CA6"/>
    <w:rsid w:val="00632133"/>
    <w:rsid w:val="00632267"/>
    <w:rsid w:val="0063248B"/>
    <w:rsid w:val="00633018"/>
    <w:rsid w:val="0063370D"/>
    <w:rsid w:val="006337AE"/>
    <w:rsid w:val="006338E5"/>
    <w:rsid w:val="00633C95"/>
    <w:rsid w:val="00633DA9"/>
    <w:rsid w:val="00633EE2"/>
    <w:rsid w:val="00634126"/>
    <w:rsid w:val="006346A6"/>
    <w:rsid w:val="00634D1A"/>
    <w:rsid w:val="00635039"/>
    <w:rsid w:val="0063505C"/>
    <w:rsid w:val="006353C5"/>
    <w:rsid w:val="006354B1"/>
    <w:rsid w:val="006356BD"/>
    <w:rsid w:val="006356DC"/>
    <w:rsid w:val="00635B97"/>
    <w:rsid w:val="00636A8B"/>
    <w:rsid w:val="00637537"/>
    <w:rsid w:val="00640596"/>
    <w:rsid w:val="006405CB"/>
    <w:rsid w:val="00640C5E"/>
    <w:rsid w:val="00641916"/>
    <w:rsid w:val="00641A7D"/>
    <w:rsid w:val="00641FB4"/>
    <w:rsid w:val="006420AE"/>
    <w:rsid w:val="006422CA"/>
    <w:rsid w:val="00642309"/>
    <w:rsid w:val="0064230D"/>
    <w:rsid w:val="006429AA"/>
    <w:rsid w:val="00642E86"/>
    <w:rsid w:val="00642E98"/>
    <w:rsid w:val="00643ABA"/>
    <w:rsid w:val="00643E32"/>
    <w:rsid w:val="006440D9"/>
    <w:rsid w:val="00644A49"/>
    <w:rsid w:val="00644D55"/>
    <w:rsid w:val="00644E48"/>
    <w:rsid w:val="0064518F"/>
    <w:rsid w:val="006454D5"/>
    <w:rsid w:val="00645E41"/>
    <w:rsid w:val="00646CB7"/>
    <w:rsid w:val="006471C9"/>
    <w:rsid w:val="006472E1"/>
    <w:rsid w:val="00647AC8"/>
    <w:rsid w:val="00647B49"/>
    <w:rsid w:val="00647EA5"/>
    <w:rsid w:val="0065058B"/>
    <w:rsid w:val="0065068D"/>
    <w:rsid w:val="00651600"/>
    <w:rsid w:val="00651E5D"/>
    <w:rsid w:val="00651F8D"/>
    <w:rsid w:val="006520D8"/>
    <w:rsid w:val="0065226D"/>
    <w:rsid w:val="006527C0"/>
    <w:rsid w:val="0065296E"/>
    <w:rsid w:val="00652C88"/>
    <w:rsid w:val="00652D1D"/>
    <w:rsid w:val="00653524"/>
    <w:rsid w:val="0065356C"/>
    <w:rsid w:val="00653A8A"/>
    <w:rsid w:val="00653A95"/>
    <w:rsid w:val="00653A96"/>
    <w:rsid w:val="00653E1D"/>
    <w:rsid w:val="0065405D"/>
    <w:rsid w:val="0065425E"/>
    <w:rsid w:val="00654395"/>
    <w:rsid w:val="0065444B"/>
    <w:rsid w:val="00654D67"/>
    <w:rsid w:val="00655206"/>
    <w:rsid w:val="0065566D"/>
    <w:rsid w:val="00655688"/>
    <w:rsid w:val="006560EB"/>
    <w:rsid w:val="006561B2"/>
    <w:rsid w:val="006566E5"/>
    <w:rsid w:val="006567C7"/>
    <w:rsid w:val="00656A53"/>
    <w:rsid w:val="00656AA6"/>
    <w:rsid w:val="00656D4E"/>
    <w:rsid w:val="006572A9"/>
    <w:rsid w:val="00657C64"/>
    <w:rsid w:val="00660038"/>
    <w:rsid w:val="00660114"/>
    <w:rsid w:val="00660244"/>
    <w:rsid w:val="006608C3"/>
    <w:rsid w:val="00660B72"/>
    <w:rsid w:val="00660C99"/>
    <w:rsid w:val="00660E0F"/>
    <w:rsid w:val="00660EF7"/>
    <w:rsid w:val="0066143D"/>
    <w:rsid w:val="006618BE"/>
    <w:rsid w:val="00661BE8"/>
    <w:rsid w:val="00661C5E"/>
    <w:rsid w:val="00661C64"/>
    <w:rsid w:val="00661F24"/>
    <w:rsid w:val="006620EA"/>
    <w:rsid w:val="006621A1"/>
    <w:rsid w:val="0066243B"/>
    <w:rsid w:val="0066250E"/>
    <w:rsid w:val="006628A8"/>
    <w:rsid w:val="00662B8F"/>
    <w:rsid w:val="00662CE5"/>
    <w:rsid w:val="00662E21"/>
    <w:rsid w:val="006633B9"/>
    <w:rsid w:val="0066357D"/>
    <w:rsid w:val="00664339"/>
    <w:rsid w:val="00664ACC"/>
    <w:rsid w:val="0066516E"/>
    <w:rsid w:val="00665229"/>
    <w:rsid w:val="00665A8F"/>
    <w:rsid w:val="00665D1C"/>
    <w:rsid w:val="0066603A"/>
    <w:rsid w:val="0066640C"/>
    <w:rsid w:val="00666BEC"/>
    <w:rsid w:val="00666E15"/>
    <w:rsid w:val="006670F0"/>
    <w:rsid w:val="0066746C"/>
    <w:rsid w:val="00667AA5"/>
    <w:rsid w:val="00667C60"/>
    <w:rsid w:val="00667F88"/>
    <w:rsid w:val="0067016F"/>
    <w:rsid w:val="006702B2"/>
    <w:rsid w:val="00670346"/>
    <w:rsid w:val="00670F51"/>
    <w:rsid w:val="0067118D"/>
    <w:rsid w:val="0067157E"/>
    <w:rsid w:val="00671582"/>
    <w:rsid w:val="00671604"/>
    <w:rsid w:val="006716F0"/>
    <w:rsid w:val="00671751"/>
    <w:rsid w:val="0067187C"/>
    <w:rsid w:val="006719D1"/>
    <w:rsid w:val="00671A32"/>
    <w:rsid w:val="006723BB"/>
    <w:rsid w:val="00672CDB"/>
    <w:rsid w:val="00672D9A"/>
    <w:rsid w:val="00672E0B"/>
    <w:rsid w:val="006731D1"/>
    <w:rsid w:val="00673AE0"/>
    <w:rsid w:val="00673DA2"/>
    <w:rsid w:val="00673DE4"/>
    <w:rsid w:val="00673E39"/>
    <w:rsid w:val="00673F07"/>
    <w:rsid w:val="006740BA"/>
    <w:rsid w:val="00674160"/>
    <w:rsid w:val="006744A0"/>
    <w:rsid w:val="00674F95"/>
    <w:rsid w:val="006759EA"/>
    <w:rsid w:val="00675ECB"/>
    <w:rsid w:val="00676397"/>
    <w:rsid w:val="0067657D"/>
    <w:rsid w:val="00676B87"/>
    <w:rsid w:val="00676D1D"/>
    <w:rsid w:val="00677820"/>
    <w:rsid w:val="006778F0"/>
    <w:rsid w:val="00677C83"/>
    <w:rsid w:val="00677E58"/>
    <w:rsid w:val="00680316"/>
    <w:rsid w:val="00680649"/>
    <w:rsid w:val="00680C3C"/>
    <w:rsid w:val="00680C5D"/>
    <w:rsid w:val="0068100C"/>
    <w:rsid w:val="00681090"/>
    <w:rsid w:val="00681681"/>
    <w:rsid w:val="00681973"/>
    <w:rsid w:val="00681C1D"/>
    <w:rsid w:val="00682898"/>
    <w:rsid w:val="006829B5"/>
    <w:rsid w:val="00682CA4"/>
    <w:rsid w:val="006830D1"/>
    <w:rsid w:val="006833E5"/>
    <w:rsid w:val="00683FC4"/>
    <w:rsid w:val="0068435A"/>
    <w:rsid w:val="006843B1"/>
    <w:rsid w:val="00684662"/>
    <w:rsid w:val="00684B88"/>
    <w:rsid w:val="00684C1F"/>
    <w:rsid w:val="00684DDE"/>
    <w:rsid w:val="006850B2"/>
    <w:rsid w:val="0068515F"/>
    <w:rsid w:val="006851F2"/>
    <w:rsid w:val="00685417"/>
    <w:rsid w:val="0068563A"/>
    <w:rsid w:val="0068587B"/>
    <w:rsid w:val="00685913"/>
    <w:rsid w:val="00685BA2"/>
    <w:rsid w:val="00686060"/>
    <w:rsid w:val="00686581"/>
    <w:rsid w:val="006865D8"/>
    <w:rsid w:val="00686D3B"/>
    <w:rsid w:val="00686E28"/>
    <w:rsid w:val="006871EE"/>
    <w:rsid w:val="006874C4"/>
    <w:rsid w:val="00687845"/>
    <w:rsid w:val="00687D01"/>
    <w:rsid w:val="006901F2"/>
    <w:rsid w:val="00690268"/>
    <w:rsid w:val="006903F5"/>
    <w:rsid w:val="006907D7"/>
    <w:rsid w:val="00690E76"/>
    <w:rsid w:val="00691059"/>
    <w:rsid w:val="00691416"/>
    <w:rsid w:val="0069143D"/>
    <w:rsid w:val="0069189F"/>
    <w:rsid w:val="00691A8A"/>
    <w:rsid w:val="00691C69"/>
    <w:rsid w:val="006934AE"/>
    <w:rsid w:val="006935B8"/>
    <w:rsid w:val="006935F5"/>
    <w:rsid w:val="00693779"/>
    <w:rsid w:val="00693A5D"/>
    <w:rsid w:val="00693D82"/>
    <w:rsid w:val="00693FCE"/>
    <w:rsid w:val="006940CF"/>
    <w:rsid w:val="006941F4"/>
    <w:rsid w:val="00694668"/>
    <w:rsid w:val="00694B2D"/>
    <w:rsid w:val="00694F52"/>
    <w:rsid w:val="006959C6"/>
    <w:rsid w:val="006960DB"/>
    <w:rsid w:val="00696361"/>
    <w:rsid w:val="006963C6"/>
    <w:rsid w:val="0069683D"/>
    <w:rsid w:val="00696B83"/>
    <w:rsid w:val="00696BFB"/>
    <w:rsid w:val="006970C6"/>
    <w:rsid w:val="00697129"/>
    <w:rsid w:val="006972D9"/>
    <w:rsid w:val="00697747"/>
    <w:rsid w:val="00697A72"/>
    <w:rsid w:val="00697FDF"/>
    <w:rsid w:val="006A0468"/>
    <w:rsid w:val="006A0C75"/>
    <w:rsid w:val="006A0D05"/>
    <w:rsid w:val="006A0D8F"/>
    <w:rsid w:val="006A0EAA"/>
    <w:rsid w:val="006A10DA"/>
    <w:rsid w:val="006A1250"/>
    <w:rsid w:val="006A1BF3"/>
    <w:rsid w:val="006A24CF"/>
    <w:rsid w:val="006A25A4"/>
    <w:rsid w:val="006A25E3"/>
    <w:rsid w:val="006A26B6"/>
    <w:rsid w:val="006A29E5"/>
    <w:rsid w:val="006A2BBE"/>
    <w:rsid w:val="006A2FDB"/>
    <w:rsid w:val="006A37FC"/>
    <w:rsid w:val="006A3A55"/>
    <w:rsid w:val="006A4DEA"/>
    <w:rsid w:val="006A5230"/>
    <w:rsid w:val="006A54E4"/>
    <w:rsid w:val="006A565D"/>
    <w:rsid w:val="006A5B2A"/>
    <w:rsid w:val="006A63CB"/>
    <w:rsid w:val="006A6565"/>
    <w:rsid w:val="006A65EE"/>
    <w:rsid w:val="006A6643"/>
    <w:rsid w:val="006A6688"/>
    <w:rsid w:val="006A6AA1"/>
    <w:rsid w:val="006A6B85"/>
    <w:rsid w:val="006A77BF"/>
    <w:rsid w:val="006A78EF"/>
    <w:rsid w:val="006A7CDD"/>
    <w:rsid w:val="006A7E09"/>
    <w:rsid w:val="006B0347"/>
    <w:rsid w:val="006B04AF"/>
    <w:rsid w:val="006B05ED"/>
    <w:rsid w:val="006B09CD"/>
    <w:rsid w:val="006B09EE"/>
    <w:rsid w:val="006B0B01"/>
    <w:rsid w:val="006B0C7A"/>
    <w:rsid w:val="006B1B96"/>
    <w:rsid w:val="006B1E2B"/>
    <w:rsid w:val="006B21C5"/>
    <w:rsid w:val="006B24FD"/>
    <w:rsid w:val="006B2664"/>
    <w:rsid w:val="006B2873"/>
    <w:rsid w:val="006B3918"/>
    <w:rsid w:val="006B3F58"/>
    <w:rsid w:val="006B4065"/>
    <w:rsid w:val="006B4539"/>
    <w:rsid w:val="006B4678"/>
    <w:rsid w:val="006B4F54"/>
    <w:rsid w:val="006B5136"/>
    <w:rsid w:val="006B5E4F"/>
    <w:rsid w:val="006B5FDC"/>
    <w:rsid w:val="006B6D67"/>
    <w:rsid w:val="006B7281"/>
    <w:rsid w:val="006B7FB3"/>
    <w:rsid w:val="006C007D"/>
    <w:rsid w:val="006C0482"/>
    <w:rsid w:val="006C1133"/>
    <w:rsid w:val="006C184E"/>
    <w:rsid w:val="006C1A0D"/>
    <w:rsid w:val="006C239D"/>
    <w:rsid w:val="006C2485"/>
    <w:rsid w:val="006C28C9"/>
    <w:rsid w:val="006C33A5"/>
    <w:rsid w:val="006C3654"/>
    <w:rsid w:val="006C415B"/>
    <w:rsid w:val="006C425E"/>
    <w:rsid w:val="006C43AD"/>
    <w:rsid w:val="006C4890"/>
    <w:rsid w:val="006C49B0"/>
    <w:rsid w:val="006C4D46"/>
    <w:rsid w:val="006C50B9"/>
    <w:rsid w:val="006C52EB"/>
    <w:rsid w:val="006C5932"/>
    <w:rsid w:val="006C5B94"/>
    <w:rsid w:val="006C618F"/>
    <w:rsid w:val="006C6894"/>
    <w:rsid w:val="006C6985"/>
    <w:rsid w:val="006C698B"/>
    <w:rsid w:val="006C6ACC"/>
    <w:rsid w:val="006C6B44"/>
    <w:rsid w:val="006C6BDE"/>
    <w:rsid w:val="006C7558"/>
    <w:rsid w:val="006C767B"/>
    <w:rsid w:val="006C7DC4"/>
    <w:rsid w:val="006D0057"/>
    <w:rsid w:val="006D00BC"/>
    <w:rsid w:val="006D03DE"/>
    <w:rsid w:val="006D0428"/>
    <w:rsid w:val="006D05AC"/>
    <w:rsid w:val="006D079A"/>
    <w:rsid w:val="006D0844"/>
    <w:rsid w:val="006D09F3"/>
    <w:rsid w:val="006D0FE6"/>
    <w:rsid w:val="006D136B"/>
    <w:rsid w:val="006D14FF"/>
    <w:rsid w:val="006D1C9A"/>
    <w:rsid w:val="006D22FB"/>
    <w:rsid w:val="006D2968"/>
    <w:rsid w:val="006D2B2F"/>
    <w:rsid w:val="006D395F"/>
    <w:rsid w:val="006D3AF9"/>
    <w:rsid w:val="006D3B62"/>
    <w:rsid w:val="006D3C67"/>
    <w:rsid w:val="006D3D92"/>
    <w:rsid w:val="006D41B4"/>
    <w:rsid w:val="006D45E1"/>
    <w:rsid w:val="006D4698"/>
    <w:rsid w:val="006D4ABC"/>
    <w:rsid w:val="006D568E"/>
    <w:rsid w:val="006D5834"/>
    <w:rsid w:val="006D5AA2"/>
    <w:rsid w:val="006D5B64"/>
    <w:rsid w:val="006D5DA2"/>
    <w:rsid w:val="006D5F31"/>
    <w:rsid w:val="006D6005"/>
    <w:rsid w:val="006D6260"/>
    <w:rsid w:val="006D6D1E"/>
    <w:rsid w:val="006D6D4E"/>
    <w:rsid w:val="006D6E0F"/>
    <w:rsid w:val="006D713F"/>
    <w:rsid w:val="006D7323"/>
    <w:rsid w:val="006D73F2"/>
    <w:rsid w:val="006D76DA"/>
    <w:rsid w:val="006D7D37"/>
    <w:rsid w:val="006E009A"/>
    <w:rsid w:val="006E01F2"/>
    <w:rsid w:val="006E05D6"/>
    <w:rsid w:val="006E0A1A"/>
    <w:rsid w:val="006E0C6A"/>
    <w:rsid w:val="006E0EAE"/>
    <w:rsid w:val="006E0EE0"/>
    <w:rsid w:val="006E1061"/>
    <w:rsid w:val="006E12D7"/>
    <w:rsid w:val="006E19CD"/>
    <w:rsid w:val="006E1F2B"/>
    <w:rsid w:val="006E23F7"/>
    <w:rsid w:val="006E24F1"/>
    <w:rsid w:val="006E26E4"/>
    <w:rsid w:val="006E341A"/>
    <w:rsid w:val="006E36A8"/>
    <w:rsid w:val="006E3764"/>
    <w:rsid w:val="006E3F30"/>
    <w:rsid w:val="006E41EA"/>
    <w:rsid w:val="006E4935"/>
    <w:rsid w:val="006E4DAD"/>
    <w:rsid w:val="006E534A"/>
    <w:rsid w:val="006E59B3"/>
    <w:rsid w:val="006E5D0C"/>
    <w:rsid w:val="006E5F03"/>
    <w:rsid w:val="006E601E"/>
    <w:rsid w:val="006E662D"/>
    <w:rsid w:val="006E672A"/>
    <w:rsid w:val="006E691D"/>
    <w:rsid w:val="006E6C15"/>
    <w:rsid w:val="006E7492"/>
    <w:rsid w:val="006E79D9"/>
    <w:rsid w:val="006E7B75"/>
    <w:rsid w:val="006E7BEA"/>
    <w:rsid w:val="006F03A2"/>
    <w:rsid w:val="006F0860"/>
    <w:rsid w:val="006F0BC8"/>
    <w:rsid w:val="006F0EBF"/>
    <w:rsid w:val="006F15F0"/>
    <w:rsid w:val="006F1740"/>
    <w:rsid w:val="006F1846"/>
    <w:rsid w:val="006F1B46"/>
    <w:rsid w:val="006F1FA3"/>
    <w:rsid w:val="006F218F"/>
    <w:rsid w:val="006F2221"/>
    <w:rsid w:val="006F2569"/>
    <w:rsid w:val="006F2613"/>
    <w:rsid w:val="006F278A"/>
    <w:rsid w:val="006F2A61"/>
    <w:rsid w:val="006F3703"/>
    <w:rsid w:val="006F412C"/>
    <w:rsid w:val="006F43FE"/>
    <w:rsid w:val="006F4AF8"/>
    <w:rsid w:val="006F4CA6"/>
    <w:rsid w:val="006F4DC5"/>
    <w:rsid w:val="006F5048"/>
    <w:rsid w:val="006F5750"/>
    <w:rsid w:val="006F5EB1"/>
    <w:rsid w:val="006F5F9E"/>
    <w:rsid w:val="006F6444"/>
    <w:rsid w:val="006F6B97"/>
    <w:rsid w:val="006F6FE3"/>
    <w:rsid w:val="006F7005"/>
    <w:rsid w:val="006F7083"/>
    <w:rsid w:val="006F7444"/>
    <w:rsid w:val="006F757F"/>
    <w:rsid w:val="006F779A"/>
    <w:rsid w:val="006F77C1"/>
    <w:rsid w:val="007006BF"/>
    <w:rsid w:val="007007E9"/>
    <w:rsid w:val="007009D1"/>
    <w:rsid w:val="00700E91"/>
    <w:rsid w:val="00701644"/>
    <w:rsid w:val="00701A39"/>
    <w:rsid w:val="0070234F"/>
    <w:rsid w:val="0070256B"/>
    <w:rsid w:val="00702592"/>
    <w:rsid w:val="00702D6A"/>
    <w:rsid w:val="007033BB"/>
    <w:rsid w:val="00703577"/>
    <w:rsid w:val="00703C25"/>
    <w:rsid w:val="00703D12"/>
    <w:rsid w:val="00703ED7"/>
    <w:rsid w:val="007040AB"/>
    <w:rsid w:val="007040AD"/>
    <w:rsid w:val="007044C8"/>
    <w:rsid w:val="00704CE0"/>
    <w:rsid w:val="00704E71"/>
    <w:rsid w:val="0070510D"/>
    <w:rsid w:val="007057BB"/>
    <w:rsid w:val="007058AA"/>
    <w:rsid w:val="00706091"/>
    <w:rsid w:val="007061F1"/>
    <w:rsid w:val="007070C3"/>
    <w:rsid w:val="007073CF"/>
    <w:rsid w:val="00707465"/>
    <w:rsid w:val="0070746D"/>
    <w:rsid w:val="00707E80"/>
    <w:rsid w:val="0071031E"/>
    <w:rsid w:val="0071044D"/>
    <w:rsid w:val="00710777"/>
    <w:rsid w:val="0071094E"/>
    <w:rsid w:val="00710982"/>
    <w:rsid w:val="0071098E"/>
    <w:rsid w:val="00710FA0"/>
    <w:rsid w:val="00711C5D"/>
    <w:rsid w:val="00712142"/>
    <w:rsid w:val="007122D9"/>
    <w:rsid w:val="007123D9"/>
    <w:rsid w:val="0071240F"/>
    <w:rsid w:val="007125CB"/>
    <w:rsid w:val="00712784"/>
    <w:rsid w:val="00712828"/>
    <w:rsid w:val="00712B74"/>
    <w:rsid w:val="00712C1A"/>
    <w:rsid w:val="00712CCA"/>
    <w:rsid w:val="00712DA5"/>
    <w:rsid w:val="0071413F"/>
    <w:rsid w:val="0071432C"/>
    <w:rsid w:val="0071494A"/>
    <w:rsid w:val="00714B71"/>
    <w:rsid w:val="00714D57"/>
    <w:rsid w:val="00714E2E"/>
    <w:rsid w:val="00714FB7"/>
    <w:rsid w:val="00715304"/>
    <w:rsid w:val="00715720"/>
    <w:rsid w:val="00715FB0"/>
    <w:rsid w:val="007162B5"/>
    <w:rsid w:val="0071665D"/>
    <w:rsid w:val="00716B9E"/>
    <w:rsid w:val="00716EA6"/>
    <w:rsid w:val="0071729F"/>
    <w:rsid w:val="007172E7"/>
    <w:rsid w:val="007173F0"/>
    <w:rsid w:val="007173F3"/>
    <w:rsid w:val="00717858"/>
    <w:rsid w:val="00717DA1"/>
    <w:rsid w:val="00720034"/>
    <w:rsid w:val="00720470"/>
    <w:rsid w:val="0072064F"/>
    <w:rsid w:val="00720836"/>
    <w:rsid w:val="00720B92"/>
    <w:rsid w:val="00720D26"/>
    <w:rsid w:val="0072154C"/>
    <w:rsid w:val="0072194A"/>
    <w:rsid w:val="00721C15"/>
    <w:rsid w:val="00721D18"/>
    <w:rsid w:val="00721DCD"/>
    <w:rsid w:val="00722711"/>
    <w:rsid w:val="0072280A"/>
    <w:rsid w:val="00722B20"/>
    <w:rsid w:val="0072301E"/>
    <w:rsid w:val="007231F3"/>
    <w:rsid w:val="0072394F"/>
    <w:rsid w:val="00723E97"/>
    <w:rsid w:val="00723F83"/>
    <w:rsid w:val="0072539E"/>
    <w:rsid w:val="00725505"/>
    <w:rsid w:val="00725A45"/>
    <w:rsid w:val="00725EC9"/>
    <w:rsid w:val="007260BA"/>
    <w:rsid w:val="007260E9"/>
    <w:rsid w:val="00726A9E"/>
    <w:rsid w:val="00726B87"/>
    <w:rsid w:val="00726DC9"/>
    <w:rsid w:val="00726E45"/>
    <w:rsid w:val="0072767C"/>
    <w:rsid w:val="0072768E"/>
    <w:rsid w:val="0072777E"/>
    <w:rsid w:val="00730295"/>
    <w:rsid w:val="0073071C"/>
    <w:rsid w:val="0073082A"/>
    <w:rsid w:val="00730CC8"/>
    <w:rsid w:val="00731520"/>
    <w:rsid w:val="0073161B"/>
    <w:rsid w:val="00731629"/>
    <w:rsid w:val="007317FE"/>
    <w:rsid w:val="007319E3"/>
    <w:rsid w:val="0073229E"/>
    <w:rsid w:val="007329BB"/>
    <w:rsid w:val="007329FB"/>
    <w:rsid w:val="00732AC4"/>
    <w:rsid w:val="00732E0B"/>
    <w:rsid w:val="00732EDA"/>
    <w:rsid w:val="007338A9"/>
    <w:rsid w:val="00733BD3"/>
    <w:rsid w:val="0073461E"/>
    <w:rsid w:val="0073471B"/>
    <w:rsid w:val="007347A0"/>
    <w:rsid w:val="00734AA8"/>
    <w:rsid w:val="007358E9"/>
    <w:rsid w:val="00735BD6"/>
    <w:rsid w:val="00735E67"/>
    <w:rsid w:val="00736155"/>
    <w:rsid w:val="00736729"/>
    <w:rsid w:val="00736824"/>
    <w:rsid w:val="00736F26"/>
    <w:rsid w:val="007372F9"/>
    <w:rsid w:val="007375DF"/>
    <w:rsid w:val="00737923"/>
    <w:rsid w:val="00737B8B"/>
    <w:rsid w:val="00737F59"/>
    <w:rsid w:val="0074083F"/>
    <w:rsid w:val="007408FE"/>
    <w:rsid w:val="00740CCE"/>
    <w:rsid w:val="00740D44"/>
    <w:rsid w:val="00740E09"/>
    <w:rsid w:val="007411F7"/>
    <w:rsid w:val="007413F0"/>
    <w:rsid w:val="00741F7F"/>
    <w:rsid w:val="007426EF"/>
    <w:rsid w:val="00742C04"/>
    <w:rsid w:val="00742E49"/>
    <w:rsid w:val="0074313E"/>
    <w:rsid w:val="00743450"/>
    <w:rsid w:val="0074389A"/>
    <w:rsid w:val="007442F9"/>
    <w:rsid w:val="00744397"/>
    <w:rsid w:val="007448A9"/>
    <w:rsid w:val="007448ED"/>
    <w:rsid w:val="00744A1C"/>
    <w:rsid w:val="0074556E"/>
    <w:rsid w:val="00745916"/>
    <w:rsid w:val="00745978"/>
    <w:rsid w:val="00746979"/>
    <w:rsid w:val="00747094"/>
    <w:rsid w:val="0074791D"/>
    <w:rsid w:val="00747A7F"/>
    <w:rsid w:val="00747ED1"/>
    <w:rsid w:val="00750418"/>
    <w:rsid w:val="007505D0"/>
    <w:rsid w:val="00750D4D"/>
    <w:rsid w:val="00750DE0"/>
    <w:rsid w:val="00750FC2"/>
    <w:rsid w:val="00750FCE"/>
    <w:rsid w:val="0075151B"/>
    <w:rsid w:val="00751684"/>
    <w:rsid w:val="00751906"/>
    <w:rsid w:val="00751D31"/>
    <w:rsid w:val="007520A4"/>
    <w:rsid w:val="00752974"/>
    <w:rsid w:val="00752C44"/>
    <w:rsid w:val="00752ED5"/>
    <w:rsid w:val="00753089"/>
    <w:rsid w:val="0075311A"/>
    <w:rsid w:val="00753489"/>
    <w:rsid w:val="00753747"/>
    <w:rsid w:val="00753764"/>
    <w:rsid w:val="007539D0"/>
    <w:rsid w:val="00753C95"/>
    <w:rsid w:val="007542C3"/>
    <w:rsid w:val="007547DC"/>
    <w:rsid w:val="00754CD0"/>
    <w:rsid w:val="007551D0"/>
    <w:rsid w:val="00755E6A"/>
    <w:rsid w:val="0075629E"/>
    <w:rsid w:val="007563F5"/>
    <w:rsid w:val="007566FE"/>
    <w:rsid w:val="007570D8"/>
    <w:rsid w:val="0075731D"/>
    <w:rsid w:val="00757366"/>
    <w:rsid w:val="007574E8"/>
    <w:rsid w:val="007577FB"/>
    <w:rsid w:val="00757C29"/>
    <w:rsid w:val="00757DCD"/>
    <w:rsid w:val="00760373"/>
    <w:rsid w:val="007603A1"/>
    <w:rsid w:val="007604F8"/>
    <w:rsid w:val="007609EF"/>
    <w:rsid w:val="00760E0A"/>
    <w:rsid w:val="00761505"/>
    <w:rsid w:val="007615DD"/>
    <w:rsid w:val="00761786"/>
    <w:rsid w:val="00761FE1"/>
    <w:rsid w:val="007621B3"/>
    <w:rsid w:val="00762280"/>
    <w:rsid w:val="00762449"/>
    <w:rsid w:val="00762828"/>
    <w:rsid w:val="00762B94"/>
    <w:rsid w:val="00762E6F"/>
    <w:rsid w:val="007632BF"/>
    <w:rsid w:val="00763375"/>
    <w:rsid w:val="00763BB6"/>
    <w:rsid w:val="00763ED7"/>
    <w:rsid w:val="0076515C"/>
    <w:rsid w:val="00765839"/>
    <w:rsid w:val="0076587C"/>
    <w:rsid w:val="00765942"/>
    <w:rsid w:val="00765B45"/>
    <w:rsid w:val="00765CD6"/>
    <w:rsid w:val="007660E8"/>
    <w:rsid w:val="00766374"/>
    <w:rsid w:val="007667E8"/>
    <w:rsid w:val="00766A26"/>
    <w:rsid w:val="00766C1E"/>
    <w:rsid w:val="00766C81"/>
    <w:rsid w:val="00766CD3"/>
    <w:rsid w:val="007675F6"/>
    <w:rsid w:val="0076782F"/>
    <w:rsid w:val="00767B04"/>
    <w:rsid w:val="00767C2F"/>
    <w:rsid w:val="00770432"/>
    <w:rsid w:val="00770F17"/>
    <w:rsid w:val="00770FEF"/>
    <w:rsid w:val="0077111F"/>
    <w:rsid w:val="00771224"/>
    <w:rsid w:val="00771A4F"/>
    <w:rsid w:val="00771BB9"/>
    <w:rsid w:val="007722B1"/>
    <w:rsid w:val="0077319B"/>
    <w:rsid w:val="00774579"/>
    <w:rsid w:val="00774E6E"/>
    <w:rsid w:val="007753C2"/>
    <w:rsid w:val="0077553B"/>
    <w:rsid w:val="007755D7"/>
    <w:rsid w:val="0077575F"/>
    <w:rsid w:val="007757CF"/>
    <w:rsid w:val="00775AA4"/>
    <w:rsid w:val="00775B92"/>
    <w:rsid w:val="00776843"/>
    <w:rsid w:val="0077691F"/>
    <w:rsid w:val="00776B85"/>
    <w:rsid w:val="00777520"/>
    <w:rsid w:val="0077762A"/>
    <w:rsid w:val="007779E3"/>
    <w:rsid w:val="00777B7A"/>
    <w:rsid w:val="00777DAB"/>
    <w:rsid w:val="007803FC"/>
    <w:rsid w:val="00780DAF"/>
    <w:rsid w:val="00780EEA"/>
    <w:rsid w:val="007813AB"/>
    <w:rsid w:val="00782B39"/>
    <w:rsid w:val="00782D6A"/>
    <w:rsid w:val="0078341A"/>
    <w:rsid w:val="00783571"/>
    <w:rsid w:val="00783649"/>
    <w:rsid w:val="00783715"/>
    <w:rsid w:val="00783807"/>
    <w:rsid w:val="00783AB2"/>
    <w:rsid w:val="00783B5C"/>
    <w:rsid w:val="00783C3F"/>
    <w:rsid w:val="00783C95"/>
    <w:rsid w:val="00783F44"/>
    <w:rsid w:val="007842EC"/>
    <w:rsid w:val="00784584"/>
    <w:rsid w:val="007845EB"/>
    <w:rsid w:val="007849F7"/>
    <w:rsid w:val="00784AAF"/>
    <w:rsid w:val="00785542"/>
    <w:rsid w:val="007857D8"/>
    <w:rsid w:val="00786076"/>
    <w:rsid w:val="007860D9"/>
    <w:rsid w:val="0078655C"/>
    <w:rsid w:val="00786613"/>
    <w:rsid w:val="00786766"/>
    <w:rsid w:val="007869E2"/>
    <w:rsid w:val="00786E51"/>
    <w:rsid w:val="00787240"/>
    <w:rsid w:val="007874D0"/>
    <w:rsid w:val="007877AE"/>
    <w:rsid w:val="00787F32"/>
    <w:rsid w:val="00790020"/>
    <w:rsid w:val="00790350"/>
    <w:rsid w:val="0079038E"/>
    <w:rsid w:val="00790413"/>
    <w:rsid w:val="007905B1"/>
    <w:rsid w:val="007905FE"/>
    <w:rsid w:val="00790C6B"/>
    <w:rsid w:val="007911EF"/>
    <w:rsid w:val="0079140B"/>
    <w:rsid w:val="0079143E"/>
    <w:rsid w:val="00791719"/>
    <w:rsid w:val="00791875"/>
    <w:rsid w:val="00791D01"/>
    <w:rsid w:val="00792143"/>
    <w:rsid w:val="00792A33"/>
    <w:rsid w:val="00792E32"/>
    <w:rsid w:val="007932E3"/>
    <w:rsid w:val="00793499"/>
    <w:rsid w:val="007935DA"/>
    <w:rsid w:val="0079392E"/>
    <w:rsid w:val="00793BC8"/>
    <w:rsid w:val="00793C11"/>
    <w:rsid w:val="00793C5A"/>
    <w:rsid w:val="00794A7D"/>
    <w:rsid w:val="00794C75"/>
    <w:rsid w:val="00794F81"/>
    <w:rsid w:val="007951EB"/>
    <w:rsid w:val="007956F4"/>
    <w:rsid w:val="00795743"/>
    <w:rsid w:val="0079576C"/>
    <w:rsid w:val="00795E73"/>
    <w:rsid w:val="0079629C"/>
    <w:rsid w:val="00796925"/>
    <w:rsid w:val="007975A6"/>
    <w:rsid w:val="00797776"/>
    <w:rsid w:val="00797954"/>
    <w:rsid w:val="00797C89"/>
    <w:rsid w:val="007A01E1"/>
    <w:rsid w:val="007A04EE"/>
    <w:rsid w:val="007A059F"/>
    <w:rsid w:val="007A07F6"/>
    <w:rsid w:val="007A0E10"/>
    <w:rsid w:val="007A0F75"/>
    <w:rsid w:val="007A10FD"/>
    <w:rsid w:val="007A185E"/>
    <w:rsid w:val="007A2513"/>
    <w:rsid w:val="007A27F9"/>
    <w:rsid w:val="007A2981"/>
    <w:rsid w:val="007A29BE"/>
    <w:rsid w:val="007A2B28"/>
    <w:rsid w:val="007A31E2"/>
    <w:rsid w:val="007A3549"/>
    <w:rsid w:val="007A3867"/>
    <w:rsid w:val="007A3B68"/>
    <w:rsid w:val="007A3D9E"/>
    <w:rsid w:val="007A3F16"/>
    <w:rsid w:val="007A431C"/>
    <w:rsid w:val="007A4355"/>
    <w:rsid w:val="007A4B3D"/>
    <w:rsid w:val="007A4F35"/>
    <w:rsid w:val="007A4FD0"/>
    <w:rsid w:val="007A5003"/>
    <w:rsid w:val="007A503A"/>
    <w:rsid w:val="007A5090"/>
    <w:rsid w:val="007A5A20"/>
    <w:rsid w:val="007A5A7D"/>
    <w:rsid w:val="007A65FC"/>
    <w:rsid w:val="007A68FB"/>
    <w:rsid w:val="007A6D89"/>
    <w:rsid w:val="007A7225"/>
    <w:rsid w:val="007A7299"/>
    <w:rsid w:val="007A73FE"/>
    <w:rsid w:val="007A79C6"/>
    <w:rsid w:val="007A7C87"/>
    <w:rsid w:val="007A7F51"/>
    <w:rsid w:val="007B04D3"/>
    <w:rsid w:val="007B05C1"/>
    <w:rsid w:val="007B0843"/>
    <w:rsid w:val="007B0A8E"/>
    <w:rsid w:val="007B0D93"/>
    <w:rsid w:val="007B0F84"/>
    <w:rsid w:val="007B10AC"/>
    <w:rsid w:val="007B159B"/>
    <w:rsid w:val="007B253F"/>
    <w:rsid w:val="007B2690"/>
    <w:rsid w:val="007B26AA"/>
    <w:rsid w:val="007B2954"/>
    <w:rsid w:val="007B2E7E"/>
    <w:rsid w:val="007B30DA"/>
    <w:rsid w:val="007B3437"/>
    <w:rsid w:val="007B35DF"/>
    <w:rsid w:val="007B3DF3"/>
    <w:rsid w:val="007B3ECE"/>
    <w:rsid w:val="007B3F00"/>
    <w:rsid w:val="007B426A"/>
    <w:rsid w:val="007B476D"/>
    <w:rsid w:val="007B497D"/>
    <w:rsid w:val="007B528F"/>
    <w:rsid w:val="007B5A3E"/>
    <w:rsid w:val="007B6029"/>
    <w:rsid w:val="007B6421"/>
    <w:rsid w:val="007B663F"/>
    <w:rsid w:val="007B6774"/>
    <w:rsid w:val="007B67C0"/>
    <w:rsid w:val="007B6AD7"/>
    <w:rsid w:val="007B6CB1"/>
    <w:rsid w:val="007B7746"/>
    <w:rsid w:val="007B78CC"/>
    <w:rsid w:val="007B78D9"/>
    <w:rsid w:val="007C009F"/>
    <w:rsid w:val="007C0391"/>
    <w:rsid w:val="007C096B"/>
    <w:rsid w:val="007C09CF"/>
    <w:rsid w:val="007C12DD"/>
    <w:rsid w:val="007C1525"/>
    <w:rsid w:val="007C16DA"/>
    <w:rsid w:val="007C1D8F"/>
    <w:rsid w:val="007C24D9"/>
    <w:rsid w:val="007C2622"/>
    <w:rsid w:val="007C2BD0"/>
    <w:rsid w:val="007C2CDB"/>
    <w:rsid w:val="007C2CEA"/>
    <w:rsid w:val="007C2D24"/>
    <w:rsid w:val="007C39BB"/>
    <w:rsid w:val="007C4066"/>
    <w:rsid w:val="007C4153"/>
    <w:rsid w:val="007C4585"/>
    <w:rsid w:val="007C48D3"/>
    <w:rsid w:val="007C4973"/>
    <w:rsid w:val="007C4AF2"/>
    <w:rsid w:val="007C579C"/>
    <w:rsid w:val="007C600D"/>
    <w:rsid w:val="007C69CB"/>
    <w:rsid w:val="007C6C80"/>
    <w:rsid w:val="007C6F2B"/>
    <w:rsid w:val="007C70BD"/>
    <w:rsid w:val="007C726F"/>
    <w:rsid w:val="007C789C"/>
    <w:rsid w:val="007C7F92"/>
    <w:rsid w:val="007D0094"/>
    <w:rsid w:val="007D0A92"/>
    <w:rsid w:val="007D0B84"/>
    <w:rsid w:val="007D0FF5"/>
    <w:rsid w:val="007D102C"/>
    <w:rsid w:val="007D13F3"/>
    <w:rsid w:val="007D142F"/>
    <w:rsid w:val="007D1B4E"/>
    <w:rsid w:val="007D1FDF"/>
    <w:rsid w:val="007D28CC"/>
    <w:rsid w:val="007D344A"/>
    <w:rsid w:val="007D38D0"/>
    <w:rsid w:val="007D39F4"/>
    <w:rsid w:val="007D3CE5"/>
    <w:rsid w:val="007D3CE7"/>
    <w:rsid w:val="007D3D52"/>
    <w:rsid w:val="007D4218"/>
    <w:rsid w:val="007D439B"/>
    <w:rsid w:val="007D44F1"/>
    <w:rsid w:val="007D4A1F"/>
    <w:rsid w:val="007D4F68"/>
    <w:rsid w:val="007D5399"/>
    <w:rsid w:val="007D551D"/>
    <w:rsid w:val="007D5602"/>
    <w:rsid w:val="007D5614"/>
    <w:rsid w:val="007D5C52"/>
    <w:rsid w:val="007D5E1D"/>
    <w:rsid w:val="007D5F10"/>
    <w:rsid w:val="007D607E"/>
    <w:rsid w:val="007D61D3"/>
    <w:rsid w:val="007D652D"/>
    <w:rsid w:val="007D6A3C"/>
    <w:rsid w:val="007D72E7"/>
    <w:rsid w:val="007D73DB"/>
    <w:rsid w:val="007D7622"/>
    <w:rsid w:val="007E0884"/>
    <w:rsid w:val="007E0A23"/>
    <w:rsid w:val="007E0D1B"/>
    <w:rsid w:val="007E0D85"/>
    <w:rsid w:val="007E0E26"/>
    <w:rsid w:val="007E0F3C"/>
    <w:rsid w:val="007E10E9"/>
    <w:rsid w:val="007E1AD5"/>
    <w:rsid w:val="007E1DE6"/>
    <w:rsid w:val="007E213C"/>
    <w:rsid w:val="007E2528"/>
    <w:rsid w:val="007E2B26"/>
    <w:rsid w:val="007E2BBF"/>
    <w:rsid w:val="007E3490"/>
    <w:rsid w:val="007E349F"/>
    <w:rsid w:val="007E3874"/>
    <w:rsid w:val="007E3B62"/>
    <w:rsid w:val="007E4B5C"/>
    <w:rsid w:val="007E4DC2"/>
    <w:rsid w:val="007E51A8"/>
    <w:rsid w:val="007E52B4"/>
    <w:rsid w:val="007E57E7"/>
    <w:rsid w:val="007E621F"/>
    <w:rsid w:val="007E62D1"/>
    <w:rsid w:val="007E6305"/>
    <w:rsid w:val="007E648E"/>
    <w:rsid w:val="007E6614"/>
    <w:rsid w:val="007E79BD"/>
    <w:rsid w:val="007E7B97"/>
    <w:rsid w:val="007E7B9D"/>
    <w:rsid w:val="007E7C8D"/>
    <w:rsid w:val="007F06FB"/>
    <w:rsid w:val="007F0E6E"/>
    <w:rsid w:val="007F1433"/>
    <w:rsid w:val="007F159F"/>
    <w:rsid w:val="007F16C4"/>
    <w:rsid w:val="007F1FA1"/>
    <w:rsid w:val="007F257E"/>
    <w:rsid w:val="007F25A4"/>
    <w:rsid w:val="007F27A0"/>
    <w:rsid w:val="007F27FF"/>
    <w:rsid w:val="007F2C8A"/>
    <w:rsid w:val="007F32A7"/>
    <w:rsid w:val="007F3446"/>
    <w:rsid w:val="007F382C"/>
    <w:rsid w:val="007F3CB9"/>
    <w:rsid w:val="007F448D"/>
    <w:rsid w:val="007F45AD"/>
    <w:rsid w:val="007F5370"/>
    <w:rsid w:val="007F5C52"/>
    <w:rsid w:val="007F5E42"/>
    <w:rsid w:val="007F5F9F"/>
    <w:rsid w:val="007F5FA2"/>
    <w:rsid w:val="007F61D6"/>
    <w:rsid w:val="007F6432"/>
    <w:rsid w:val="007F66EE"/>
    <w:rsid w:val="007F6707"/>
    <w:rsid w:val="007F6953"/>
    <w:rsid w:val="007F6A67"/>
    <w:rsid w:val="007F6C61"/>
    <w:rsid w:val="007F72D0"/>
    <w:rsid w:val="007F7628"/>
    <w:rsid w:val="007F7EB6"/>
    <w:rsid w:val="007F7F20"/>
    <w:rsid w:val="008000CA"/>
    <w:rsid w:val="00800244"/>
    <w:rsid w:val="00800588"/>
    <w:rsid w:val="008008BC"/>
    <w:rsid w:val="00800B7C"/>
    <w:rsid w:val="00800F3D"/>
    <w:rsid w:val="008011B0"/>
    <w:rsid w:val="0080176A"/>
    <w:rsid w:val="00801843"/>
    <w:rsid w:val="00801C8C"/>
    <w:rsid w:val="00801DC3"/>
    <w:rsid w:val="00802138"/>
    <w:rsid w:val="0080262F"/>
    <w:rsid w:val="008029A4"/>
    <w:rsid w:val="00802BB3"/>
    <w:rsid w:val="00802C42"/>
    <w:rsid w:val="008032B6"/>
    <w:rsid w:val="008036B4"/>
    <w:rsid w:val="00803BF6"/>
    <w:rsid w:val="00803E31"/>
    <w:rsid w:val="00804294"/>
    <w:rsid w:val="00804989"/>
    <w:rsid w:val="0080542E"/>
    <w:rsid w:val="0080549C"/>
    <w:rsid w:val="008061F5"/>
    <w:rsid w:val="0080663D"/>
    <w:rsid w:val="00806CB6"/>
    <w:rsid w:val="0080716D"/>
    <w:rsid w:val="00807DD4"/>
    <w:rsid w:val="00807F1B"/>
    <w:rsid w:val="00807FE2"/>
    <w:rsid w:val="00810A90"/>
    <w:rsid w:val="00810B1B"/>
    <w:rsid w:val="008111E8"/>
    <w:rsid w:val="00811A0B"/>
    <w:rsid w:val="00811C80"/>
    <w:rsid w:val="00813390"/>
    <w:rsid w:val="0081387C"/>
    <w:rsid w:val="00814B4E"/>
    <w:rsid w:val="00814DE3"/>
    <w:rsid w:val="008150E2"/>
    <w:rsid w:val="00815441"/>
    <w:rsid w:val="008155D2"/>
    <w:rsid w:val="008155E2"/>
    <w:rsid w:val="008156C0"/>
    <w:rsid w:val="00816072"/>
    <w:rsid w:val="0081630F"/>
    <w:rsid w:val="00816401"/>
    <w:rsid w:val="008164FE"/>
    <w:rsid w:val="00816691"/>
    <w:rsid w:val="008166E3"/>
    <w:rsid w:val="00816DA4"/>
    <w:rsid w:val="00817762"/>
    <w:rsid w:val="00820547"/>
    <w:rsid w:val="00820722"/>
    <w:rsid w:val="00820742"/>
    <w:rsid w:val="00820ADC"/>
    <w:rsid w:val="00820B25"/>
    <w:rsid w:val="00820BA8"/>
    <w:rsid w:val="00820E8E"/>
    <w:rsid w:val="00821969"/>
    <w:rsid w:val="008219AB"/>
    <w:rsid w:val="00821CE1"/>
    <w:rsid w:val="00821FAF"/>
    <w:rsid w:val="00822A20"/>
    <w:rsid w:val="00822D60"/>
    <w:rsid w:val="00823168"/>
    <w:rsid w:val="008233A2"/>
    <w:rsid w:val="00823453"/>
    <w:rsid w:val="00823615"/>
    <w:rsid w:val="00823806"/>
    <w:rsid w:val="00823847"/>
    <w:rsid w:val="0082390A"/>
    <w:rsid w:val="00823A46"/>
    <w:rsid w:val="00823F4F"/>
    <w:rsid w:val="00824237"/>
    <w:rsid w:val="008246DE"/>
    <w:rsid w:val="00824A50"/>
    <w:rsid w:val="00825348"/>
    <w:rsid w:val="00825403"/>
    <w:rsid w:val="00825462"/>
    <w:rsid w:val="0082560C"/>
    <w:rsid w:val="00825BDD"/>
    <w:rsid w:val="00825E18"/>
    <w:rsid w:val="008266DE"/>
    <w:rsid w:val="00826852"/>
    <w:rsid w:val="00826B34"/>
    <w:rsid w:val="00826E16"/>
    <w:rsid w:val="00826F68"/>
    <w:rsid w:val="00827AEE"/>
    <w:rsid w:val="00827B9D"/>
    <w:rsid w:val="00827F2E"/>
    <w:rsid w:val="00827F5D"/>
    <w:rsid w:val="00827FCA"/>
    <w:rsid w:val="0083016C"/>
    <w:rsid w:val="008302C8"/>
    <w:rsid w:val="00830BC0"/>
    <w:rsid w:val="00830F87"/>
    <w:rsid w:val="00831204"/>
    <w:rsid w:val="008316DE"/>
    <w:rsid w:val="00831829"/>
    <w:rsid w:val="00831C87"/>
    <w:rsid w:val="008327A0"/>
    <w:rsid w:val="00832A7E"/>
    <w:rsid w:val="00832AC4"/>
    <w:rsid w:val="00832BDA"/>
    <w:rsid w:val="00832DAC"/>
    <w:rsid w:val="00832EED"/>
    <w:rsid w:val="008333C8"/>
    <w:rsid w:val="00833627"/>
    <w:rsid w:val="00833B62"/>
    <w:rsid w:val="00833BAB"/>
    <w:rsid w:val="00833E53"/>
    <w:rsid w:val="008340D5"/>
    <w:rsid w:val="0083460F"/>
    <w:rsid w:val="008348E6"/>
    <w:rsid w:val="00834B08"/>
    <w:rsid w:val="00835573"/>
    <w:rsid w:val="0083598D"/>
    <w:rsid w:val="008359A8"/>
    <w:rsid w:val="00835B57"/>
    <w:rsid w:val="00835BB7"/>
    <w:rsid w:val="00835CCD"/>
    <w:rsid w:val="00835E62"/>
    <w:rsid w:val="00835FD0"/>
    <w:rsid w:val="00836258"/>
    <w:rsid w:val="008363A9"/>
    <w:rsid w:val="008365B4"/>
    <w:rsid w:val="008369CA"/>
    <w:rsid w:val="00837C4E"/>
    <w:rsid w:val="00837FCB"/>
    <w:rsid w:val="00840339"/>
    <w:rsid w:val="00840378"/>
    <w:rsid w:val="00840B08"/>
    <w:rsid w:val="0084107B"/>
    <w:rsid w:val="00841427"/>
    <w:rsid w:val="008414C0"/>
    <w:rsid w:val="008419E2"/>
    <w:rsid w:val="00841B92"/>
    <w:rsid w:val="0084243D"/>
    <w:rsid w:val="0084255D"/>
    <w:rsid w:val="008426F9"/>
    <w:rsid w:val="00842799"/>
    <w:rsid w:val="00842BC0"/>
    <w:rsid w:val="00842F1C"/>
    <w:rsid w:val="0084317A"/>
    <w:rsid w:val="008437D7"/>
    <w:rsid w:val="00843CE4"/>
    <w:rsid w:val="00844A09"/>
    <w:rsid w:val="00844BE1"/>
    <w:rsid w:val="00844C9A"/>
    <w:rsid w:val="00845455"/>
    <w:rsid w:val="00845E3B"/>
    <w:rsid w:val="00846228"/>
    <w:rsid w:val="00846A97"/>
    <w:rsid w:val="00846B14"/>
    <w:rsid w:val="00846E64"/>
    <w:rsid w:val="00846E87"/>
    <w:rsid w:val="00846FCD"/>
    <w:rsid w:val="00850813"/>
    <w:rsid w:val="008509BA"/>
    <w:rsid w:val="00850B46"/>
    <w:rsid w:val="00850E64"/>
    <w:rsid w:val="0085110B"/>
    <w:rsid w:val="008518C6"/>
    <w:rsid w:val="00851E58"/>
    <w:rsid w:val="008520B3"/>
    <w:rsid w:val="00852104"/>
    <w:rsid w:val="008522E6"/>
    <w:rsid w:val="0085267E"/>
    <w:rsid w:val="00853736"/>
    <w:rsid w:val="008540B6"/>
    <w:rsid w:val="0085417B"/>
    <w:rsid w:val="008543B7"/>
    <w:rsid w:val="008544F1"/>
    <w:rsid w:val="0085471D"/>
    <w:rsid w:val="00854A81"/>
    <w:rsid w:val="00854F99"/>
    <w:rsid w:val="00854FB1"/>
    <w:rsid w:val="008553FF"/>
    <w:rsid w:val="00855401"/>
    <w:rsid w:val="00855928"/>
    <w:rsid w:val="00855F30"/>
    <w:rsid w:val="0085607B"/>
    <w:rsid w:val="008568B5"/>
    <w:rsid w:val="00856BA5"/>
    <w:rsid w:val="00856CE2"/>
    <w:rsid w:val="00856F0F"/>
    <w:rsid w:val="0085737C"/>
    <w:rsid w:val="00857418"/>
    <w:rsid w:val="00857993"/>
    <w:rsid w:val="00857A15"/>
    <w:rsid w:val="00857CBA"/>
    <w:rsid w:val="00857D57"/>
    <w:rsid w:val="00857FC7"/>
    <w:rsid w:val="008600BC"/>
    <w:rsid w:val="00860484"/>
    <w:rsid w:val="00860556"/>
    <w:rsid w:val="008606BA"/>
    <w:rsid w:val="0086077D"/>
    <w:rsid w:val="008614BC"/>
    <w:rsid w:val="008614C7"/>
    <w:rsid w:val="008617E3"/>
    <w:rsid w:val="008621C0"/>
    <w:rsid w:val="008629FB"/>
    <w:rsid w:val="00862C92"/>
    <w:rsid w:val="00862EE3"/>
    <w:rsid w:val="00863295"/>
    <w:rsid w:val="00863536"/>
    <w:rsid w:val="008646BF"/>
    <w:rsid w:val="0086479C"/>
    <w:rsid w:val="00864A5E"/>
    <w:rsid w:val="008665C1"/>
    <w:rsid w:val="0086678A"/>
    <w:rsid w:val="0086689B"/>
    <w:rsid w:val="0086723E"/>
    <w:rsid w:val="008673D3"/>
    <w:rsid w:val="00867414"/>
    <w:rsid w:val="008674EE"/>
    <w:rsid w:val="008675D6"/>
    <w:rsid w:val="00867637"/>
    <w:rsid w:val="0086775F"/>
    <w:rsid w:val="00867C2E"/>
    <w:rsid w:val="008700B4"/>
    <w:rsid w:val="0087041F"/>
    <w:rsid w:val="00870F4D"/>
    <w:rsid w:val="00871364"/>
    <w:rsid w:val="0087173A"/>
    <w:rsid w:val="00871881"/>
    <w:rsid w:val="008726B8"/>
    <w:rsid w:val="00872969"/>
    <w:rsid w:val="00872D73"/>
    <w:rsid w:val="00872EF7"/>
    <w:rsid w:val="00873368"/>
    <w:rsid w:val="00873670"/>
    <w:rsid w:val="0087388E"/>
    <w:rsid w:val="00873BAE"/>
    <w:rsid w:val="00873F0A"/>
    <w:rsid w:val="0087411C"/>
    <w:rsid w:val="0087443D"/>
    <w:rsid w:val="0087457F"/>
    <w:rsid w:val="00874C9B"/>
    <w:rsid w:val="00875321"/>
    <w:rsid w:val="00875552"/>
    <w:rsid w:val="00875A60"/>
    <w:rsid w:val="00875B3D"/>
    <w:rsid w:val="00875D50"/>
    <w:rsid w:val="008763D1"/>
    <w:rsid w:val="00876711"/>
    <w:rsid w:val="0087683B"/>
    <w:rsid w:val="00876BAA"/>
    <w:rsid w:val="00877728"/>
    <w:rsid w:val="0087792B"/>
    <w:rsid w:val="00877F43"/>
    <w:rsid w:val="00880831"/>
    <w:rsid w:val="00880A0D"/>
    <w:rsid w:val="00880EF8"/>
    <w:rsid w:val="00880EFF"/>
    <w:rsid w:val="0088104F"/>
    <w:rsid w:val="0088105A"/>
    <w:rsid w:val="008817E2"/>
    <w:rsid w:val="00882213"/>
    <w:rsid w:val="008827AD"/>
    <w:rsid w:val="00882F7E"/>
    <w:rsid w:val="0088402A"/>
    <w:rsid w:val="008848F0"/>
    <w:rsid w:val="00884CA8"/>
    <w:rsid w:val="00884E9A"/>
    <w:rsid w:val="00884EC2"/>
    <w:rsid w:val="00885581"/>
    <w:rsid w:val="00885FC1"/>
    <w:rsid w:val="008864E6"/>
    <w:rsid w:val="008869FB"/>
    <w:rsid w:val="00886B8A"/>
    <w:rsid w:val="00886C08"/>
    <w:rsid w:val="00886F00"/>
    <w:rsid w:val="008870C2"/>
    <w:rsid w:val="008879D0"/>
    <w:rsid w:val="00890308"/>
    <w:rsid w:val="0089083C"/>
    <w:rsid w:val="00891150"/>
    <w:rsid w:val="00891249"/>
    <w:rsid w:val="008914BF"/>
    <w:rsid w:val="008916E1"/>
    <w:rsid w:val="0089184B"/>
    <w:rsid w:val="0089195A"/>
    <w:rsid w:val="00891A04"/>
    <w:rsid w:val="00891B8B"/>
    <w:rsid w:val="0089212F"/>
    <w:rsid w:val="008926DA"/>
    <w:rsid w:val="0089281E"/>
    <w:rsid w:val="00892829"/>
    <w:rsid w:val="008929C5"/>
    <w:rsid w:val="00892BD5"/>
    <w:rsid w:val="00892F28"/>
    <w:rsid w:val="00892F76"/>
    <w:rsid w:val="00893601"/>
    <w:rsid w:val="00893727"/>
    <w:rsid w:val="00894022"/>
    <w:rsid w:val="008943B5"/>
    <w:rsid w:val="00895076"/>
    <w:rsid w:val="00895128"/>
    <w:rsid w:val="0089527D"/>
    <w:rsid w:val="008952A7"/>
    <w:rsid w:val="008953E7"/>
    <w:rsid w:val="00895B22"/>
    <w:rsid w:val="00895C2D"/>
    <w:rsid w:val="00895C3F"/>
    <w:rsid w:val="00895CD2"/>
    <w:rsid w:val="00895CFD"/>
    <w:rsid w:val="008962FC"/>
    <w:rsid w:val="00896684"/>
    <w:rsid w:val="0089689E"/>
    <w:rsid w:val="0089694E"/>
    <w:rsid w:val="00896984"/>
    <w:rsid w:val="008970E2"/>
    <w:rsid w:val="00897216"/>
    <w:rsid w:val="008979AD"/>
    <w:rsid w:val="00897DEB"/>
    <w:rsid w:val="008A0083"/>
    <w:rsid w:val="008A035B"/>
    <w:rsid w:val="008A064C"/>
    <w:rsid w:val="008A0B8F"/>
    <w:rsid w:val="008A1661"/>
    <w:rsid w:val="008A1816"/>
    <w:rsid w:val="008A1B65"/>
    <w:rsid w:val="008A1B75"/>
    <w:rsid w:val="008A28A2"/>
    <w:rsid w:val="008A3D4B"/>
    <w:rsid w:val="008A3F1F"/>
    <w:rsid w:val="008A4290"/>
    <w:rsid w:val="008A4812"/>
    <w:rsid w:val="008A4A2F"/>
    <w:rsid w:val="008A4E72"/>
    <w:rsid w:val="008A4F9D"/>
    <w:rsid w:val="008A51BA"/>
    <w:rsid w:val="008A554F"/>
    <w:rsid w:val="008A59D7"/>
    <w:rsid w:val="008A5FDF"/>
    <w:rsid w:val="008A63F4"/>
    <w:rsid w:val="008A665C"/>
    <w:rsid w:val="008A71FA"/>
    <w:rsid w:val="008A7501"/>
    <w:rsid w:val="008A7717"/>
    <w:rsid w:val="008A7A12"/>
    <w:rsid w:val="008A7D40"/>
    <w:rsid w:val="008B019C"/>
    <w:rsid w:val="008B0417"/>
    <w:rsid w:val="008B0582"/>
    <w:rsid w:val="008B0663"/>
    <w:rsid w:val="008B0718"/>
    <w:rsid w:val="008B0E6F"/>
    <w:rsid w:val="008B0EC2"/>
    <w:rsid w:val="008B1B74"/>
    <w:rsid w:val="008B21B9"/>
    <w:rsid w:val="008B2403"/>
    <w:rsid w:val="008B244B"/>
    <w:rsid w:val="008B274D"/>
    <w:rsid w:val="008B2CB1"/>
    <w:rsid w:val="008B374A"/>
    <w:rsid w:val="008B38EB"/>
    <w:rsid w:val="008B3A98"/>
    <w:rsid w:val="008B3B75"/>
    <w:rsid w:val="008B3B7B"/>
    <w:rsid w:val="008B3D61"/>
    <w:rsid w:val="008B3F5D"/>
    <w:rsid w:val="008B400B"/>
    <w:rsid w:val="008B41E9"/>
    <w:rsid w:val="008B4A07"/>
    <w:rsid w:val="008B4B63"/>
    <w:rsid w:val="008B4E04"/>
    <w:rsid w:val="008B55A3"/>
    <w:rsid w:val="008B55AA"/>
    <w:rsid w:val="008B58C0"/>
    <w:rsid w:val="008B5976"/>
    <w:rsid w:val="008B5A39"/>
    <w:rsid w:val="008B608C"/>
    <w:rsid w:val="008B61E0"/>
    <w:rsid w:val="008B680F"/>
    <w:rsid w:val="008B6B73"/>
    <w:rsid w:val="008B6BDD"/>
    <w:rsid w:val="008B6C9B"/>
    <w:rsid w:val="008B74A2"/>
    <w:rsid w:val="008B798A"/>
    <w:rsid w:val="008B7BA3"/>
    <w:rsid w:val="008B7CED"/>
    <w:rsid w:val="008C06C6"/>
    <w:rsid w:val="008C0A2A"/>
    <w:rsid w:val="008C0B9B"/>
    <w:rsid w:val="008C0D1D"/>
    <w:rsid w:val="008C1199"/>
    <w:rsid w:val="008C12B6"/>
    <w:rsid w:val="008C1913"/>
    <w:rsid w:val="008C21E8"/>
    <w:rsid w:val="008C233C"/>
    <w:rsid w:val="008C26C9"/>
    <w:rsid w:val="008C27EE"/>
    <w:rsid w:val="008C2C18"/>
    <w:rsid w:val="008C31D3"/>
    <w:rsid w:val="008C350A"/>
    <w:rsid w:val="008C3A44"/>
    <w:rsid w:val="008C3CB9"/>
    <w:rsid w:val="008C3CE1"/>
    <w:rsid w:val="008C3E7F"/>
    <w:rsid w:val="008C3F43"/>
    <w:rsid w:val="008C3F49"/>
    <w:rsid w:val="008C424E"/>
    <w:rsid w:val="008C4E29"/>
    <w:rsid w:val="008C4F76"/>
    <w:rsid w:val="008C5180"/>
    <w:rsid w:val="008C51E8"/>
    <w:rsid w:val="008C52CB"/>
    <w:rsid w:val="008C58CF"/>
    <w:rsid w:val="008C5913"/>
    <w:rsid w:val="008C5CD7"/>
    <w:rsid w:val="008C5E2D"/>
    <w:rsid w:val="008C6061"/>
    <w:rsid w:val="008C6810"/>
    <w:rsid w:val="008C689E"/>
    <w:rsid w:val="008C6C63"/>
    <w:rsid w:val="008C6DDD"/>
    <w:rsid w:val="008C71C2"/>
    <w:rsid w:val="008C73E2"/>
    <w:rsid w:val="008C7439"/>
    <w:rsid w:val="008C7505"/>
    <w:rsid w:val="008C75F3"/>
    <w:rsid w:val="008C7890"/>
    <w:rsid w:val="008C790A"/>
    <w:rsid w:val="008C7978"/>
    <w:rsid w:val="008C79E5"/>
    <w:rsid w:val="008C7A18"/>
    <w:rsid w:val="008C7CBD"/>
    <w:rsid w:val="008C7EDE"/>
    <w:rsid w:val="008D1015"/>
    <w:rsid w:val="008D12A5"/>
    <w:rsid w:val="008D141E"/>
    <w:rsid w:val="008D277C"/>
    <w:rsid w:val="008D2A63"/>
    <w:rsid w:val="008D35F9"/>
    <w:rsid w:val="008D378B"/>
    <w:rsid w:val="008D4054"/>
    <w:rsid w:val="008D40BA"/>
    <w:rsid w:val="008D4A74"/>
    <w:rsid w:val="008D4AEC"/>
    <w:rsid w:val="008D4C53"/>
    <w:rsid w:val="008D54F5"/>
    <w:rsid w:val="008D55FF"/>
    <w:rsid w:val="008D5941"/>
    <w:rsid w:val="008D59C6"/>
    <w:rsid w:val="008D5DC6"/>
    <w:rsid w:val="008D5ED4"/>
    <w:rsid w:val="008D61D0"/>
    <w:rsid w:val="008D673C"/>
    <w:rsid w:val="008D6782"/>
    <w:rsid w:val="008D6C90"/>
    <w:rsid w:val="008D6FC0"/>
    <w:rsid w:val="008D72CD"/>
    <w:rsid w:val="008D73EA"/>
    <w:rsid w:val="008D77FB"/>
    <w:rsid w:val="008D7B17"/>
    <w:rsid w:val="008D7B3C"/>
    <w:rsid w:val="008D7E2E"/>
    <w:rsid w:val="008E002C"/>
    <w:rsid w:val="008E02F4"/>
    <w:rsid w:val="008E064A"/>
    <w:rsid w:val="008E1349"/>
    <w:rsid w:val="008E17C6"/>
    <w:rsid w:val="008E17E7"/>
    <w:rsid w:val="008E1D60"/>
    <w:rsid w:val="008E260C"/>
    <w:rsid w:val="008E2B9D"/>
    <w:rsid w:val="008E2C1A"/>
    <w:rsid w:val="008E2E7B"/>
    <w:rsid w:val="008E2E85"/>
    <w:rsid w:val="008E30EC"/>
    <w:rsid w:val="008E326F"/>
    <w:rsid w:val="008E347A"/>
    <w:rsid w:val="008E39D2"/>
    <w:rsid w:val="008E39DD"/>
    <w:rsid w:val="008E3AF8"/>
    <w:rsid w:val="008E3F74"/>
    <w:rsid w:val="008E40E9"/>
    <w:rsid w:val="008E49DE"/>
    <w:rsid w:val="008E49E7"/>
    <w:rsid w:val="008E4C5C"/>
    <w:rsid w:val="008E4F7B"/>
    <w:rsid w:val="008E5195"/>
    <w:rsid w:val="008E5403"/>
    <w:rsid w:val="008E5961"/>
    <w:rsid w:val="008E59CA"/>
    <w:rsid w:val="008E5C09"/>
    <w:rsid w:val="008E6381"/>
    <w:rsid w:val="008E65D2"/>
    <w:rsid w:val="008E680A"/>
    <w:rsid w:val="008E68C6"/>
    <w:rsid w:val="008E7042"/>
    <w:rsid w:val="008E71BA"/>
    <w:rsid w:val="008E7242"/>
    <w:rsid w:val="008E79D8"/>
    <w:rsid w:val="008E7C18"/>
    <w:rsid w:val="008E7DDA"/>
    <w:rsid w:val="008E7F17"/>
    <w:rsid w:val="008F00DF"/>
    <w:rsid w:val="008F0114"/>
    <w:rsid w:val="008F0392"/>
    <w:rsid w:val="008F066B"/>
    <w:rsid w:val="008F06E6"/>
    <w:rsid w:val="008F0891"/>
    <w:rsid w:val="008F08CA"/>
    <w:rsid w:val="008F1A44"/>
    <w:rsid w:val="008F20C4"/>
    <w:rsid w:val="008F22E4"/>
    <w:rsid w:val="008F31B2"/>
    <w:rsid w:val="008F31DB"/>
    <w:rsid w:val="008F337A"/>
    <w:rsid w:val="008F3684"/>
    <w:rsid w:val="008F3D10"/>
    <w:rsid w:val="008F4314"/>
    <w:rsid w:val="008F4B35"/>
    <w:rsid w:val="008F5181"/>
    <w:rsid w:val="008F52DF"/>
    <w:rsid w:val="008F5308"/>
    <w:rsid w:val="008F58EF"/>
    <w:rsid w:val="008F598F"/>
    <w:rsid w:val="008F6430"/>
    <w:rsid w:val="008F652A"/>
    <w:rsid w:val="008F68A3"/>
    <w:rsid w:val="008F69F9"/>
    <w:rsid w:val="008F6D51"/>
    <w:rsid w:val="008F71C3"/>
    <w:rsid w:val="008F7611"/>
    <w:rsid w:val="008F76D0"/>
    <w:rsid w:val="008F78C7"/>
    <w:rsid w:val="008F7BC1"/>
    <w:rsid w:val="00900AD7"/>
    <w:rsid w:val="00900EC4"/>
    <w:rsid w:val="00901566"/>
    <w:rsid w:val="00901762"/>
    <w:rsid w:val="00901C6C"/>
    <w:rsid w:val="009023BD"/>
    <w:rsid w:val="0090261E"/>
    <w:rsid w:val="009028D0"/>
    <w:rsid w:val="00902D9E"/>
    <w:rsid w:val="00902EDB"/>
    <w:rsid w:val="00902F05"/>
    <w:rsid w:val="009031D7"/>
    <w:rsid w:val="0090336A"/>
    <w:rsid w:val="009035E9"/>
    <w:rsid w:val="00903622"/>
    <w:rsid w:val="00903984"/>
    <w:rsid w:val="00905345"/>
    <w:rsid w:val="00905448"/>
    <w:rsid w:val="0090553C"/>
    <w:rsid w:val="00905ECA"/>
    <w:rsid w:val="00906237"/>
    <w:rsid w:val="009066C3"/>
    <w:rsid w:val="00906B02"/>
    <w:rsid w:val="00906D10"/>
    <w:rsid w:val="009070F1"/>
    <w:rsid w:val="0090736E"/>
    <w:rsid w:val="00907896"/>
    <w:rsid w:val="00910047"/>
    <w:rsid w:val="00910244"/>
    <w:rsid w:val="009104E3"/>
    <w:rsid w:val="00910710"/>
    <w:rsid w:val="00910914"/>
    <w:rsid w:val="009109D3"/>
    <w:rsid w:val="00910E31"/>
    <w:rsid w:val="009112FB"/>
    <w:rsid w:val="009114C0"/>
    <w:rsid w:val="00912055"/>
    <w:rsid w:val="009122F8"/>
    <w:rsid w:val="009123BF"/>
    <w:rsid w:val="0091288A"/>
    <w:rsid w:val="00912BC5"/>
    <w:rsid w:val="00912EBC"/>
    <w:rsid w:val="009130D2"/>
    <w:rsid w:val="00913156"/>
    <w:rsid w:val="009131C0"/>
    <w:rsid w:val="009132D2"/>
    <w:rsid w:val="00913400"/>
    <w:rsid w:val="009134F4"/>
    <w:rsid w:val="009136E2"/>
    <w:rsid w:val="00913714"/>
    <w:rsid w:val="00913DDC"/>
    <w:rsid w:val="00913DFC"/>
    <w:rsid w:val="00913F6B"/>
    <w:rsid w:val="00915AB6"/>
    <w:rsid w:val="00915F1A"/>
    <w:rsid w:val="00916148"/>
    <w:rsid w:val="009166EF"/>
    <w:rsid w:val="00916C8D"/>
    <w:rsid w:val="009172F5"/>
    <w:rsid w:val="009173A3"/>
    <w:rsid w:val="0091758C"/>
    <w:rsid w:val="009176AD"/>
    <w:rsid w:val="00917B9B"/>
    <w:rsid w:val="00917D95"/>
    <w:rsid w:val="00917E7F"/>
    <w:rsid w:val="00917F7D"/>
    <w:rsid w:val="009202A0"/>
    <w:rsid w:val="00920493"/>
    <w:rsid w:val="009205A5"/>
    <w:rsid w:val="00920606"/>
    <w:rsid w:val="00920B9B"/>
    <w:rsid w:val="00920D94"/>
    <w:rsid w:val="00920D9E"/>
    <w:rsid w:val="00920F81"/>
    <w:rsid w:val="00921303"/>
    <w:rsid w:val="009223EB"/>
    <w:rsid w:val="00922407"/>
    <w:rsid w:val="0092294A"/>
    <w:rsid w:val="00922BF8"/>
    <w:rsid w:val="00923520"/>
    <w:rsid w:val="009239B6"/>
    <w:rsid w:val="00923CBB"/>
    <w:rsid w:val="0092401E"/>
    <w:rsid w:val="00924468"/>
    <w:rsid w:val="009245C1"/>
    <w:rsid w:val="00924CC2"/>
    <w:rsid w:val="00925E68"/>
    <w:rsid w:val="00925F5D"/>
    <w:rsid w:val="0092601D"/>
    <w:rsid w:val="009262C1"/>
    <w:rsid w:val="0092668D"/>
    <w:rsid w:val="009266D0"/>
    <w:rsid w:val="00926B71"/>
    <w:rsid w:val="00926CC4"/>
    <w:rsid w:val="00926D4D"/>
    <w:rsid w:val="00927C8D"/>
    <w:rsid w:val="00927D37"/>
    <w:rsid w:val="0093060B"/>
    <w:rsid w:val="00930696"/>
    <w:rsid w:val="0093078E"/>
    <w:rsid w:val="00930B49"/>
    <w:rsid w:val="00930CCE"/>
    <w:rsid w:val="009310B3"/>
    <w:rsid w:val="0093138E"/>
    <w:rsid w:val="009317BE"/>
    <w:rsid w:val="009318B3"/>
    <w:rsid w:val="00931F3B"/>
    <w:rsid w:val="00931FB9"/>
    <w:rsid w:val="00932624"/>
    <w:rsid w:val="00932B61"/>
    <w:rsid w:val="00932BC4"/>
    <w:rsid w:val="00932FCC"/>
    <w:rsid w:val="0093377A"/>
    <w:rsid w:val="00933ACA"/>
    <w:rsid w:val="00933D32"/>
    <w:rsid w:val="00933D3B"/>
    <w:rsid w:val="0093447C"/>
    <w:rsid w:val="009347D0"/>
    <w:rsid w:val="00934AFD"/>
    <w:rsid w:val="00934C7E"/>
    <w:rsid w:val="00934E15"/>
    <w:rsid w:val="009356A1"/>
    <w:rsid w:val="00935824"/>
    <w:rsid w:val="00935C8E"/>
    <w:rsid w:val="00935D5B"/>
    <w:rsid w:val="00935F32"/>
    <w:rsid w:val="0093602E"/>
    <w:rsid w:val="009361CE"/>
    <w:rsid w:val="00936336"/>
    <w:rsid w:val="0093643A"/>
    <w:rsid w:val="00936FDC"/>
    <w:rsid w:val="00937188"/>
    <w:rsid w:val="009376E2"/>
    <w:rsid w:val="009377C5"/>
    <w:rsid w:val="00937D95"/>
    <w:rsid w:val="00937F50"/>
    <w:rsid w:val="00940019"/>
    <w:rsid w:val="00940567"/>
    <w:rsid w:val="00940845"/>
    <w:rsid w:val="00940B62"/>
    <w:rsid w:val="009413F5"/>
    <w:rsid w:val="00941656"/>
    <w:rsid w:val="009419F3"/>
    <w:rsid w:val="00941A11"/>
    <w:rsid w:val="00941C5D"/>
    <w:rsid w:val="00941DB9"/>
    <w:rsid w:val="00942623"/>
    <w:rsid w:val="00942A4F"/>
    <w:rsid w:val="00942D9C"/>
    <w:rsid w:val="00942EF3"/>
    <w:rsid w:val="00942F6F"/>
    <w:rsid w:val="009436A7"/>
    <w:rsid w:val="00943F5B"/>
    <w:rsid w:val="00944125"/>
    <w:rsid w:val="0094414C"/>
    <w:rsid w:val="009448D0"/>
    <w:rsid w:val="00944A7C"/>
    <w:rsid w:val="0094508A"/>
    <w:rsid w:val="009454C3"/>
    <w:rsid w:val="00945D86"/>
    <w:rsid w:val="00945DC2"/>
    <w:rsid w:val="009461F8"/>
    <w:rsid w:val="00946292"/>
    <w:rsid w:val="00947379"/>
    <w:rsid w:val="00947811"/>
    <w:rsid w:val="00947A3E"/>
    <w:rsid w:val="00947DF6"/>
    <w:rsid w:val="00947F33"/>
    <w:rsid w:val="009504E8"/>
    <w:rsid w:val="009509E8"/>
    <w:rsid w:val="00950B5F"/>
    <w:rsid w:val="009512B0"/>
    <w:rsid w:val="00951C93"/>
    <w:rsid w:val="00951D54"/>
    <w:rsid w:val="00952082"/>
    <w:rsid w:val="009523DA"/>
    <w:rsid w:val="0095287F"/>
    <w:rsid w:val="00952E2C"/>
    <w:rsid w:val="00953258"/>
    <w:rsid w:val="00953961"/>
    <w:rsid w:val="00953C3F"/>
    <w:rsid w:val="00953EAF"/>
    <w:rsid w:val="009540CE"/>
    <w:rsid w:val="00954415"/>
    <w:rsid w:val="00954453"/>
    <w:rsid w:val="0095470C"/>
    <w:rsid w:val="00954985"/>
    <w:rsid w:val="0095504E"/>
    <w:rsid w:val="00955A58"/>
    <w:rsid w:val="00955E4D"/>
    <w:rsid w:val="0095615C"/>
    <w:rsid w:val="009561D8"/>
    <w:rsid w:val="0095675C"/>
    <w:rsid w:val="00956955"/>
    <w:rsid w:val="00956BDE"/>
    <w:rsid w:val="00956DC5"/>
    <w:rsid w:val="00956E7A"/>
    <w:rsid w:val="009575B0"/>
    <w:rsid w:val="009575FF"/>
    <w:rsid w:val="00957D65"/>
    <w:rsid w:val="00957F25"/>
    <w:rsid w:val="00960596"/>
    <w:rsid w:val="009605A4"/>
    <w:rsid w:val="00960639"/>
    <w:rsid w:val="00960856"/>
    <w:rsid w:val="00961935"/>
    <w:rsid w:val="00961A79"/>
    <w:rsid w:val="00961BD1"/>
    <w:rsid w:val="0096202A"/>
    <w:rsid w:val="009627BF"/>
    <w:rsid w:val="009628F3"/>
    <w:rsid w:val="009629CF"/>
    <w:rsid w:val="00962BD8"/>
    <w:rsid w:val="009633E7"/>
    <w:rsid w:val="00963DA3"/>
    <w:rsid w:val="00963DFF"/>
    <w:rsid w:val="00963E7C"/>
    <w:rsid w:val="00964032"/>
    <w:rsid w:val="00964B0F"/>
    <w:rsid w:val="00964B1E"/>
    <w:rsid w:val="00964C25"/>
    <w:rsid w:val="00964C46"/>
    <w:rsid w:val="00965010"/>
    <w:rsid w:val="00965200"/>
    <w:rsid w:val="0096535B"/>
    <w:rsid w:val="0096644D"/>
    <w:rsid w:val="00966483"/>
    <w:rsid w:val="009664E8"/>
    <w:rsid w:val="00966645"/>
    <w:rsid w:val="00967C44"/>
    <w:rsid w:val="00970531"/>
    <w:rsid w:val="009705D3"/>
    <w:rsid w:val="0097075E"/>
    <w:rsid w:val="00970780"/>
    <w:rsid w:val="00970939"/>
    <w:rsid w:val="009718A6"/>
    <w:rsid w:val="00971FD3"/>
    <w:rsid w:val="00972075"/>
    <w:rsid w:val="00972166"/>
    <w:rsid w:val="0097240A"/>
    <w:rsid w:val="009724AE"/>
    <w:rsid w:val="00974AAC"/>
    <w:rsid w:val="00974AD2"/>
    <w:rsid w:val="0097530D"/>
    <w:rsid w:val="00975477"/>
    <w:rsid w:val="00975F77"/>
    <w:rsid w:val="00975FD8"/>
    <w:rsid w:val="00976089"/>
    <w:rsid w:val="009765BE"/>
    <w:rsid w:val="009769EF"/>
    <w:rsid w:val="00977054"/>
    <w:rsid w:val="0097716C"/>
    <w:rsid w:val="009771C4"/>
    <w:rsid w:val="0097747C"/>
    <w:rsid w:val="009776EA"/>
    <w:rsid w:val="009778F8"/>
    <w:rsid w:val="00977D13"/>
    <w:rsid w:val="00977D6D"/>
    <w:rsid w:val="00977E7F"/>
    <w:rsid w:val="00980179"/>
    <w:rsid w:val="00980302"/>
    <w:rsid w:val="00980888"/>
    <w:rsid w:val="00980B37"/>
    <w:rsid w:val="00980C31"/>
    <w:rsid w:val="00980EB0"/>
    <w:rsid w:val="00981114"/>
    <w:rsid w:val="009815AF"/>
    <w:rsid w:val="00981FFD"/>
    <w:rsid w:val="00982225"/>
    <w:rsid w:val="009823B1"/>
    <w:rsid w:val="00982559"/>
    <w:rsid w:val="009839FC"/>
    <w:rsid w:val="00983F29"/>
    <w:rsid w:val="00984116"/>
    <w:rsid w:val="0098411F"/>
    <w:rsid w:val="0098428A"/>
    <w:rsid w:val="009842FA"/>
    <w:rsid w:val="0098447B"/>
    <w:rsid w:val="0098453E"/>
    <w:rsid w:val="00984A2C"/>
    <w:rsid w:val="0098514F"/>
    <w:rsid w:val="0098537D"/>
    <w:rsid w:val="00985745"/>
    <w:rsid w:val="009858CD"/>
    <w:rsid w:val="00985A21"/>
    <w:rsid w:val="00986326"/>
    <w:rsid w:val="00986368"/>
    <w:rsid w:val="009864ED"/>
    <w:rsid w:val="00986FCC"/>
    <w:rsid w:val="00987180"/>
    <w:rsid w:val="00987464"/>
    <w:rsid w:val="00987479"/>
    <w:rsid w:val="00987618"/>
    <w:rsid w:val="00987D49"/>
    <w:rsid w:val="0099007C"/>
    <w:rsid w:val="009906A2"/>
    <w:rsid w:val="009909A2"/>
    <w:rsid w:val="0099106C"/>
    <w:rsid w:val="00991420"/>
    <w:rsid w:val="009916E6"/>
    <w:rsid w:val="009917BF"/>
    <w:rsid w:val="009917F3"/>
    <w:rsid w:val="00991962"/>
    <w:rsid w:val="00991A83"/>
    <w:rsid w:val="00991CB4"/>
    <w:rsid w:val="00991D3E"/>
    <w:rsid w:val="0099217D"/>
    <w:rsid w:val="00992A8C"/>
    <w:rsid w:val="00992BC9"/>
    <w:rsid w:val="00992CC5"/>
    <w:rsid w:val="00993297"/>
    <w:rsid w:val="009935CE"/>
    <w:rsid w:val="00993659"/>
    <w:rsid w:val="00993938"/>
    <w:rsid w:val="00993AAA"/>
    <w:rsid w:val="009942BF"/>
    <w:rsid w:val="009946F1"/>
    <w:rsid w:val="00994D8D"/>
    <w:rsid w:val="00994DDD"/>
    <w:rsid w:val="00994FDF"/>
    <w:rsid w:val="009950C9"/>
    <w:rsid w:val="00995309"/>
    <w:rsid w:val="00995ABA"/>
    <w:rsid w:val="00996137"/>
    <w:rsid w:val="00996660"/>
    <w:rsid w:val="00996E37"/>
    <w:rsid w:val="00997252"/>
    <w:rsid w:val="00997D6C"/>
    <w:rsid w:val="00997F98"/>
    <w:rsid w:val="009A052F"/>
    <w:rsid w:val="009A0547"/>
    <w:rsid w:val="009A0920"/>
    <w:rsid w:val="009A0DDC"/>
    <w:rsid w:val="009A0DF3"/>
    <w:rsid w:val="009A1030"/>
    <w:rsid w:val="009A1664"/>
    <w:rsid w:val="009A166A"/>
    <w:rsid w:val="009A1A4B"/>
    <w:rsid w:val="009A1F87"/>
    <w:rsid w:val="009A219D"/>
    <w:rsid w:val="009A27BE"/>
    <w:rsid w:val="009A27F8"/>
    <w:rsid w:val="009A2822"/>
    <w:rsid w:val="009A2D15"/>
    <w:rsid w:val="009A2D31"/>
    <w:rsid w:val="009A2D71"/>
    <w:rsid w:val="009A2E4A"/>
    <w:rsid w:val="009A32F7"/>
    <w:rsid w:val="009A3689"/>
    <w:rsid w:val="009A3754"/>
    <w:rsid w:val="009A3A81"/>
    <w:rsid w:val="009A3C00"/>
    <w:rsid w:val="009A45DA"/>
    <w:rsid w:val="009A4B95"/>
    <w:rsid w:val="009A4D2D"/>
    <w:rsid w:val="009A5341"/>
    <w:rsid w:val="009A5805"/>
    <w:rsid w:val="009A5DCC"/>
    <w:rsid w:val="009A5E8A"/>
    <w:rsid w:val="009A637C"/>
    <w:rsid w:val="009A6AFD"/>
    <w:rsid w:val="009A6B9C"/>
    <w:rsid w:val="009A753D"/>
    <w:rsid w:val="009A7929"/>
    <w:rsid w:val="009B03C8"/>
    <w:rsid w:val="009B0789"/>
    <w:rsid w:val="009B0DC8"/>
    <w:rsid w:val="009B139D"/>
    <w:rsid w:val="009B152D"/>
    <w:rsid w:val="009B1D75"/>
    <w:rsid w:val="009B1FC7"/>
    <w:rsid w:val="009B1FDF"/>
    <w:rsid w:val="009B20D3"/>
    <w:rsid w:val="009B2113"/>
    <w:rsid w:val="009B244D"/>
    <w:rsid w:val="009B32D3"/>
    <w:rsid w:val="009B330D"/>
    <w:rsid w:val="009B395A"/>
    <w:rsid w:val="009B421F"/>
    <w:rsid w:val="009B4C40"/>
    <w:rsid w:val="009B4FCB"/>
    <w:rsid w:val="009B559D"/>
    <w:rsid w:val="009B5F91"/>
    <w:rsid w:val="009B722B"/>
    <w:rsid w:val="009B75E8"/>
    <w:rsid w:val="009B778E"/>
    <w:rsid w:val="009B7B5A"/>
    <w:rsid w:val="009B7BA5"/>
    <w:rsid w:val="009C0081"/>
    <w:rsid w:val="009C03A3"/>
    <w:rsid w:val="009C055B"/>
    <w:rsid w:val="009C0D41"/>
    <w:rsid w:val="009C0DF8"/>
    <w:rsid w:val="009C1003"/>
    <w:rsid w:val="009C1056"/>
    <w:rsid w:val="009C1D90"/>
    <w:rsid w:val="009C2ACC"/>
    <w:rsid w:val="009C2B17"/>
    <w:rsid w:val="009C2CA6"/>
    <w:rsid w:val="009C2F8D"/>
    <w:rsid w:val="009C30B2"/>
    <w:rsid w:val="009C336A"/>
    <w:rsid w:val="009C37FC"/>
    <w:rsid w:val="009C38DF"/>
    <w:rsid w:val="009C391D"/>
    <w:rsid w:val="009C3AF3"/>
    <w:rsid w:val="009C3B8E"/>
    <w:rsid w:val="009C3E35"/>
    <w:rsid w:val="009C3F05"/>
    <w:rsid w:val="009C3F41"/>
    <w:rsid w:val="009C4331"/>
    <w:rsid w:val="009C4915"/>
    <w:rsid w:val="009C536E"/>
    <w:rsid w:val="009C552A"/>
    <w:rsid w:val="009C5566"/>
    <w:rsid w:val="009C563B"/>
    <w:rsid w:val="009C5731"/>
    <w:rsid w:val="009C5A4F"/>
    <w:rsid w:val="009C5A84"/>
    <w:rsid w:val="009C5E8D"/>
    <w:rsid w:val="009C64D8"/>
    <w:rsid w:val="009C657E"/>
    <w:rsid w:val="009C6629"/>
    <w:rsid w:val="009C669A"/>
    <w:rsid w:val="009C6E4B"/>
    <w:rsid w:val="009C75B4"/>
    <w:rsid w:val="009C7B86"/>
    <w:rsid w:val="009C7BD3"/>
    <w:rsid w:val="009C7C34"/>
    <w:rsid w:val="009C7E89"/>
    <w:rsid w:val="009D072F"/>
    <w:rsid w:val="009D09AC"/>
    <w:rsid w:val="009D0C16"/>
    <w:rsid w:val="009D1096"/>
    <w:rsid w:val="009D15EB"/>
    <w:rsid w:val="009D16C2"/>
    <w:rsid w:val="009D185D"/>
    <w:rsid w:val="009D1884"/>
    <w:rsid w:val="009D1A0E"/>
    <w:rsid w:val="009D1DC2"/>
    <w:rsid w:val="009D212D"/>
    <w:rsid w:val="009D290A"/>
    <w:rsid w:val="009D2A34"/>
    <w:rsid w:val="009D2F03"/>
    <w:rsid w:val="009D3022"/>
    <w:rsid w:val="009D318C"/>
    <w:rsid w:val="009D3764"/>
    <w:rsid w:val="009D3886"/>
    <w:rsid w:val="009D3C49"/>
    <w:rsid w:val="009D3E29"/>
    <w:rsid w:val="009D3E47"/>
    <w:rsid w:val="009D4042"/>
    <w:rsid w:val="009D4362"/>
    <w:rsid w:val="009D4406"/>
    <w:rsid w:val="009D46FC"/>
    <w:rsid w:val="009D4C2D"/>
    <w:rsid w:val="009D51A6"/>
    <w:rsid w:val="009D53CF"/>
    <w:rsid w:val="009D5632"/>
    <w:rsid w:val="009D58D4"/>
    <w:rsid w:val="009D5AD1"/>
    <w:rsid w:val="009D5ED7"/>
    <w:rsid w:val="009D67F5"/>
    <w:rsid w:val="009D68EE"/>
    <w:rsid w:val="009D6E2F"/>
    <w:rsid w:val="009D7395"/>
    <w:rsid w:val="009D7414"/>
    <w:rsid w:val="009D7601"/>
    <w:rsid w:val="009D7BAA"/>
    <w:rsid w:val="009E0E9E"/>
    <w:rsid w:val="009E1B2F"/>
    <w:rsid w:val="009E20B8"/>
    <w:rsid w:val="009E2581"/>
    <w:rsid w:val="009E286B"/>
    <w:rsid w:val="009E35DF"/>
    <w:rsid w:val="009E3811"/>
    <w:rsid w:val="009E3CCF"/>
    <w:rsid w:val="009E407A"/>
    <w:rsid w:val="009E4383"/>
    <w:rsid w:val="009E4ED2"/>
    <w:rsid w:val="009E5A95"/>
    <w:rsid w:val="009E5C4F"/>
    <w:rsid w:val="009E5DE4"/>
    <w:rsid w:val="009E65C6"/>
    <w:rsid w:val="009E664E"/>
    <w:rsid w:val="009E6884"/>
    <w:rsid w:val="009E69A1"/>
    <w:rsid w:val="009E6F9C"/>
    <w:rsid w:val="009E70A2"/>
    <w:rsid w:val="009E745C"/>
    <w:rsid w:val="009E76E1"/>
    <w:rsid w:val="009E797C"/>
    <w:rsid w:val="009E7EBF"/>
    <w:rsid w:val="009F0105"/>
    <w:rsid w:val="009F05C2"/>
    <w:rsid w:val="009F08A1"/>
    <w:rsid w:val="009F0E60"/>
    <w:rsid w:val="009F1578"/>
    <w:rsid w:val="009F17B3"/>
    <w:rsid w:val="009F186E"/>
    <w:rsid w:val="009F1980"/>
    <w:rsid w:val="009F1A6D"/>
    <w:rsid w:val="009F2340"/>
    <w:rsid w:val="009F24F7"/>
    <w:rsid w:val="009F2B7C"/>
    <w:rsid w:val="009F2E97"/>
    <w:rsid w:val="009F2EF6"/>
    <w:rsid w:val="009F3142"/>
    <w:rsid w:val="009F356C"/>
    <w:rsid w:val="009F399C"/>
    <w:rsid w:val="009F3C03"/>
    <w:rsid w:val="009F409E"/>
    <w:rsid w:val="009F47AF"/>
    <w:rsid w:val="009F49A1"/>
    <w:rsid w:val="009F4B83"/>
    <w:rsid w:val="009F4BE3"/>
    <w:rsid w:val="009F4D57"/>
    <w:rsid w:val="009F4D68"/>
    <w:rsid w:val="009F502D"/>
    <w:rsid w:val="009F509A"/>
    <w:rsid w:val="009F530A"/>
    <w:rsid w:val="009F58D8"/>
    <w:rsid w:val="009F5930"/>
    <w:rsid w:val="009F5A11"/>
    <w:rsid w:val="009F5C86"/>
    <w:rsid w:val="009F675D"/>
    <w:rsid w:val="009F72EA"/>
    <w:rsid w:val="009F7512"/>
    <w:rsid w:val="009F7746"/>
    <w:rsid w:val="00A00B7D"/>
    <w:rsid w:val="00A00B8A"/>
    <w:rsid w:val="00A00D3B"/>
    <w:rsid w:val="00A01205"/>
    <w:rsid w:val="00A012F4"/>
    <w:rsid w:val="00A01544"/>
    <w:rsid w:val="00A02145"/>
    <w:rsid w:val="00A02808"/>
    <w:rsid w:val="00A02ED7"/>
    <w:rsid w:val="00A035C0"/>
    <w:rsid w:val="00A03741"/>
    <w:rsid w:val="00A03A58"/>
    <w:rsid w:val="00A03BAE"/>
    <w:rsid w:val="00A03E18"/>
    <w:rsid w:val="00A043AB"/>
    <w:rsid w:val="00A045F7"/>
    <w:rsid w:val="00A04CEC"/>
    <w:rsid w:val="00A04F25"/>
    <w:rsid w:val="00A05515"/>
    <w:rsid w:val="00A058B0"/>
    <w:rsid w:val="00A058CA"/>
    <w:rsid w:val="00A058D8"/>
    <w:rsid w:val="00A065EE"/>
    <w:rsid w:val="00A069D7"/>
    <w:rsid w:val="00A06EE5"/>
    <w:rsid w:val="00A0707E"/>
    <w:rsid w:val="00A075A3"/>
    <w:rsid w:val="00A07969"/>
    <w:rsid w:val="00A07C35"/>
    <w:rsid w:val="00A07CE2"/>
    <w:rsid w:val="00A07E0C"/>
    <w:rsid w:val="00A07F7B"/>
    <w:rsid w:val="00A10084"/>
    <w:rsid w:val="00A10A4D"/>
    <w:rsid w:val="00A10F12"/>
    <w:rsid w:val="00A11298"/>
    <w:rsid w:val="00A11430"/>
    <w:rsid w:val="00A125C2"/>
    <w:rsid w:val="00A12E4D"/>
    <w:rsid w:val="00A1307E"/>
    <w:rsid w:val="00A13D87"/>
    <w:rsid w:val="00A13F28"/>
    <w:rsid w:val="00A13F81"/>
    <w:rsid w:val="00A13FDE"/>
    <w:rsid w:val="00A14130"/>
    <w:rsid w:val="00A145A4"/>
    <w:rsid w:val="00A145D9"/>
    <w:rsid w:val="00A1485D"/>
    <w:rsid w:val="00A14AA2"/>
    <w:rsid w:val="00A14DAE"/>
    <w:rsid w:val="00A14E3E"/>
    <w:rsid w:val="00A15197"/>
    <w:rsid w:val="00A15808"/>
    <w:rsid w:val="00A15E20"/>
    <w:rsid w:val="00A15E5A"/>
    <w:rsid w:val="00A163E4"/>
    <w:rsid w:val="00A16528"/>
    <w:rsid w:val="00A165A2"/>
    <w:rsid w:val="00A166BE"/>
    <w:rsid w:val="00A16727"/>
    <w:rsid w:val="00A17387"/>
    <w:rsid w:val="00A1762B"/>
    <w:rsid w:val="00A17BFB"/>
    <w:rsid w:val="00A2015A"/>
    <w:rsid w:val="00A20755"/>
    <w:rsid w:val="00A210B7"/>
    <w:rsid w:val="00A21493"/>
    <w:rsid w:val="00A214FF"/>
    <w:rsid w:val="00A218E7"/>
    <w:rsid w:val="00A219D0"/>
    <w:rsid w:val="00A21AC2"/>
    <w:rsid w:val="00A22084"/>
    <w:rsid w:val="00A22457"/>
    <w:rsid w:val="00A22492"/>
    <w:rsid w:val="00A2260F"/>
    <w:rsid w:val="00A22A66"/>
    <w:rsid w:val="00A230BF"/>
    <w:rsid w:val="00A23F29"/>
    <w:rsid w:val="00A23FBE"/>
    <w:rsid w:val="00A2455B"/>
    <w:rsid w:val="00A24760"/>
    <w:rsid w:val="00A247F3"/>
    <w:rsid w:val="00A24C94"/>
    <w:rsid w:val="00A24E6A"/>
    <w:rsid w:val="00A24EA0"/>
    <w:rsid w:val="00A2632F"/>
    <w:rsid w:val="00A266E1"/>
    <w:rsid w:val="00A26CA0"/>
    <w:rsid w:val="00A26F66"/>
    <w:rsid w:val="00A274CE"/>
    <w:rsid w:val="00A27658"/>
    <w:rsid w:val="00A27673"/>
    <w:rsid w:val="00A27BE2"/>
    <w:rsid w:val="00A27C4C"/>
    <w:rsid w:val="00A308A3"/>
    <w:rsid w:val="00A30DE8"/>
    <w:rsid w:val="00A30DEF"/>
    <w:rsid w:val="00A31079"/>
    <w:rsid w:val="00A311FB"/>
    <w:rsid w:val="00A3128E"/>
    <w:rsid w:val="00A3172F"/>
    <w:rsid w:val="00A31E54"/>
    <w:rsid w:val="00A3218E"/>
    <w:rsid w:val="00A324F0"/>
    <w:rsid w:val="00A3290F"/>
    <w:rsid w:val="00A329BB"/>
    <w:rsid w:val="00A3318A"/>
    <w:rsid w:val="00A3348C"/>
    <w:rsid w:val="00A33828"/>
    <w:rsid w:val="00A33FC7"/>
    <w:rsid w:val="00A34507"/>
    <w:rsid w:val="00A34E7B"/>
    <w:rsid w:val="00A351EA"/>
    <w:rsid w:val="00A3584E"/>
    <w:rsid w:val="00A358A3"/>
    <w:rsid w:val="00A363EC"/>
    <w:rsid w:val="00A3648A"/>
    <w:rsid w:val="00A36B92"/>
    <w:rsid w:val="00A36B99"/>
    <w:rsid w:val="00A376FD"/>
    <w:rsid w:val="00A378A1"/>
    <w:rsid w:val="00A37C59"/>
    <w:rsid w:val="00A37F55"/>
    <w:rsid w:val="00A4096E"/>
    <w:rsid w:val="00A40F95"/>
    <w:rsid w:val="00A41162"/>
    <w:rsid w:val="00A41438"/>
    <w:rsid w:val="00A4185B"/>
    <w:rsid w:val="00A41C70"/>
    <w:rsid w:val="00A41C9A"/>
    <w:rsid w:val="00A42348"/>
    <w:rsid w:val="00A429CA"/>
    <w:rsid w:val="00A431FB"/>
    <w:rsid w:val="00A4342F"/>
    <w:rsid w:val="00A43525"/>
    <w:rsid w:val="00A43868"/>
    <w:rsid w:val="00A43933"/>
    <w:rsid w:val="00A43F18"/>
    <w:rsid w:val="00A44307"/>
    <w:rsid w:val="00A4437D"/>
    <w:rsid w:val="00A4449C"/>
    <w:rsid w:val="00A44601"/>
    <w:rsid w:val="00A4487E"/>
    <w:rsid w:val="00A454F8"/>
    <w:rsid w:val="00A455D6"/>
    <w:rsid w:val="00A45ACC"/>
    <w:rsid w:val="00A45B67"/>
    <w:rsid w:val="00A46002"/>
    <w:rsid w:val="00A461ED"/>
    <w:rsid w:val="00A46345"/>
    <w:rsid w:val="00A46A30"/>
    <w:rsid w:val="00A46A9D"/>
    <w:rsid w:val="00A46D0A"/>
    <w:rsid w:val="00A46EC7"/>
    <w:rsid w:val="00A47060"/>
    <w:rsid w:val="00A4793E"/>
    <w:rsid w:val="00A47A71"/>
    <w:rsid w:val="00A47C91"/>
    <w:rsid w:val="00A47FAF"/>
    <w:rsid w:val="00A47FC5"/>
    <w:rsid w:val="00A5087A"/>
    <w:rsid w:val="00A509DF"/>
    <w:rsid w:val="00A50D99"/>
    <w:rsid w:val="00A5116C"/>
    <w:rsid w:val="00A511AE"/>
    <w:rsid w:val="00A512FF"/>
    <w:rsid w:val="00A51377"/>
    <w:rsid w:val="00A515D7"/>
    <w:rsid w:val="00A51F8E"/>
    <w:rsid w:val="00A5207C"/>
    <w:rsid w:val="00A52604"/>
    <w:rsid w:val="00A5263A"/>
    <w:rsid w:val="00A5272D"/>
    <w:rsid w:val="00A53B35"/>
    <w:rsid w:val="00A53C4E"/>
    <w:rsid w:val="00A53C64"/>
    <w:rsid w:val="00A542E5"/>
    <w:rsid w:val="00A54583"/>
    <w:rsid w:val="00A546BE"/>
    <w:rsid w:val="00A54747"/>
    <w:rsid w:val="00A54832"/>
    <w:rsid w:val="00A54A9A"/>
    <w:rsid w:val="00A54CC7"/>
    <w:rsid w:val="00A5501B"/>
    <w:rsid w:val="00A55C82"/>
    <w:rsid w:val="00A55D76"/>
    <w:rsid w:val="00A567F9"/>
    <w:rsid w:val="00A5694C"/>
    <w:rsid w:val="00A56F5E"/>
    <w:rsid w:val="00A57B6B"/>
    <w:rsid w:val="00A57CCB"/>
    <w:rsid w:val="00A60039"/>
    <w:rsid w:val="00A61202"/>
    <w:rsid w:val="00A61399"/>
    <w:rsid w:val="00A6152D"/>
    <w:rsid w:val="00A61B03"/>
    <w:rsid w:val="00A61C94"/>
    <w:rsid w:val="00A6215D"/>
    <w:rsid w:val="00A62A24"/>
    <w:rsid w:val="00A62AFC"/>
    <w:rsid w:val="00A62BB8"/>
    <w:rsid w:val="00A62E5A"/>
    <w:rsid w:val="00A6327D"/>
    <w:rsid w:val="00A635A5"/>
    <w:rsid w:val="00A63BA2"/>
    <w:rsid w:val="00A63ED1"/>
    <w:rsid w:val="00A64545"/>
    <w:rsid w:val="00A64624"/>
    <w:rsid w:val="00A64A9C"/>
    <w:rsid w:val="00A64F96"/>
    <w:rsid w:val="00A651C3"/>
    <w:rsid w:val="00A66669"/>
    <w:rsid w:val="00A66B12"/>
    <w:rsid w:val="00A66CF6"/>
    <w:rsid w:val="00A66DB6"/>
    <w:rsid w:val="00A66DD7"/>
    <w:rsid w:val="00A677EE"/>
    <w:rsid w:val="00A679A8"/>
    <w:rsid w:val="00A67CA2"/>
    <w:rsid w:val="00A700AD"/>
    <w:rsid w:val="00A70367"/>
    <w:rsid w:val="00A7046B"/>
    <w:rsid w:val="00A70CC4"/>
    <w:rsid w:val="00A71175"/>
    <w:rsid w:val="00A71D50"/>
    <w:rsid w:val="00A7232A"/>
    <w:rsid w:val="00A7267D"/>
    <w:rsid w:val="00A7273A"/>
    <w:rsid w:val="00A72A30"/>
    <w:rsid w:val="00A72A38"/>
    <w:rsid w:val="00A72D20"/>
    <w:rsid w:val="00A72F8B"/>
    <w:rsid w:val="00A735F0"/>
    <w:rsid w:val="00A73986"/>
    <w:rsid w:val="00A73A92"/>
    <w:rsid w:val="00A73B73"/>
    <w:rsid w:val="00A74300"/>
    <w:rsid w:val="00A74A4C"/>
    <w:rsid w:val="00A74D26"/>
    <w:rsid w:val="00A74DB0"/>
    <w:rsid w:val="00A754D9"/>
    <w:rsid w:val="00A7566C"/>
    <w:rsid w:val="00A75C1C"/>
    <w:rsid w:val="00A75C47"/>
    <w:rsid w:val="00A75CDB"/>
    <w:rsid w:val="00A75E1A"/>
    <w:rsid w:val="00A7667E"/>
    <w:rsid w:val="00A76B62"/>
    <w:rsid w:val="00A778E6"/>
    <w:rsid w:val="00A77AA6"/>
    <w:rsid w:val="00A77E36"/>
    <w:rsid w:val="00A77E6A"/>
    <w:rsid w:val="00A80395"/>
    <w:rsid w:val="00A804E9"/>
    <w:rsid w:val="00A8072F"/>
    <w:rsid w:val="00A80A39"/>
    <w:rsid w:val="00A80B1C"/>
    <w:rsid w:val="00A80DC0"/>
    <w:rsid w:val="00A80FCC"/>
    <w:rsid w:val="00A81443"/>
    <w:rsid w:val="00A818FC"/>
    <w:rsid w:val="00A820F9"/>
    <w:rsid w:val="00A822CF"/>
    <w:rsid w:val="00A8272D"/>
    <w:rsid w:val="00A82A60"/>
    <w:rsid w:val="00A82C81"/>
    <w:rsid w:val="00A8306F"/>
    <w:rsid w:val="00A83364"/>
    <w:rsid w:val="00A833AB"/>
    <w:rsid w:val="00A833D3"/>
    <w:rsid w:val="00A835EA"/>
    <w:rsid w:val="00A83865"/>
    <w:rsid w:val="00A844A9"/>
    <w:rsid w:val="00A847E2"/>
    <w:rsid w:val="00A84A65"/>
    <w:rsid w:val="00A84C7B"/>
    <w:rsid w:val="00A858AC"/>
    <w:rsid w:val="00A85A25"/>
    <w:rsid w:val="00A863E4"/>
    <w:rsid w:val="00A86B36"/>
    <w:rsid w:val="00A86DDD"/>
    <w:rsid w:val="00A86FF0"/>
    <w:rsid w:val="00A870F8"/>
    <w:rsid w:val="00A872BD"/>
    <w:rsid w:val="00A8735F"/>
    <w:rsid w:val="00A8755D"/>
    <w:rsid w:val="00A875F5"/>
    <w:rsid w:val="00A87903"/>
    <w:rsid w:val="00A87B76"/>
    <w:rsid w:val="00A87D25"/>
    <w:rsid w:val="00A90214"/>
    <w:rsid w:val="00A90478"/>
    <w:rsid w:val="00A906CF"/>
    <w:rsid w:val="00A90C92"/>
    <w:rsid w:val="00A90F5D"/>
    <w:rsid w:val="00A90F9F"/>
    <w:rsid w:val="00A90FEF"/>
    <w:rsid w:val="00A91E08"/>
    <w:rsid w:val="00A92529"/>
    <w:rsid w:val="00A9263E"/>
    <w:rsid w:val="00A92917"/>
    <w:rsid w:val="00A93050"/>
    <w:rsid w:val="00A936F2"/>
    <w:rsid w:val="00A93AC9"/>
    <w:rsid w:val="00A93AD0"/>
    <w:rsid w:val="00A94288"/>
    <w:rsid w:val="00A947B8"/>
    <w:rsid w:val="00A94C25"/>
    <w:rsid w:val="00A94C4E"/>
    <w:rsid w:val="00A95028"/>
    <w:rsid w:val="00A950EC"/>
    <w:rsid w:val="00A95181"/>
    <w:rsid w:val="00A95339"/>
    <w:rsid w:val="00A95632"/>
    <w:rsid w:val="00A958A4"/>
    <w:rsid w:val="00A962FD"/>
    <w:rsid w:val="00A96472"/>
    <w:rsid w:val="00A96547"/>
    <w:rsid w:val="00A96A4F"/>
    <w:rsid w:val="00A96EBF"/>
    <w:rsid w:val="00A9737F"/>
    <w:rsid w:val="00A9752C"/>
    <w:rsid w:val="00AA0522"/>
    <w:rsid w:val="00AA0527"/>
    <w:rsid w:val="00AA0744"/>
    <w:rsid w:val="00AA0ABD"/>
    <w:rsid w:val="00AA0CAB"/>
    <w:rsid w:val="00AA0F70"/>
    <w:rsid w:val="00AA1498"/>
    <w:rsid w:val="00AA167A"/>
    <w:rsid w:val="00AA172F"/>
    <w:rsid w:val="00AA194C"/>
    <w:rsid w:val="00AA2E3D"/>
    <w:rsid w:val="00AA2FA0"/>
    <w:rsid w:val="00AA3439"/>
    <w:rsid w:val="00AA35C3"/>
    <w:rsid w:val="00AA3DCF"/>
    <w:rsid w:val="00AA425C"/>
    <w:rsid w:val="00AA447F"/>
    <w:rsid w:val="00AA55E0"/>
    <w:rsid w:val="00AA5634"/>
    <w:rsid w:val="00AA56CF"/>
    <w:rsid w:val="00AA582C"/>
    <w:rsid w:val="00AA5EA5"/>
    <w:rsid w:val="00AA6273"/>
    <w:rsid w:val="00AA66F7"/>
    <w:rsid w:val="00AA6C13"/>
    <w:rsid w:val="00AA6C75"/>
    <w:rsid w:val="00AA6CA5"/>
    <w:rsid w:val="00AA716F"/>
    <w:rsid w:val="00AA72D7"/>
    <w:rsid w:val="00AA7B5B"/>
    <w:rsid w:val="00AB0566"/>
    <w:rsid w:val="00AB09D0"/>
    <w:rsid w:val="00AB0DEC"/>
    <w:rsid w:val="00AB1713"/>
    <w:rsid w:val="00AB1AD5"/>
    <w:rsid w:val="00AB1BA4"/>
    <w:rsid w:val="00AB1C1C"/>
    <w:rsid w:val="00AB1FC9"/>
    <w:rsid w:val="00AB21C8"/>
    <w:rsid w:val="00AB249A"/>
    <w:rsid w:val="00AB2C69"/>
    <w:rsid w:val="00AB2C9E"/>
    <w:rsid w:val="00AB304C"/>
    <w:rsid w:val="00AB3FE2"/>
    <w:rsid w:val="00AB4090"/>
    <w:rsid w:val="00AB4122"/>
    <w:rsid w:val="00AB482D"/>
    <w:rsid w:val="00AB4946"/>
    <w:rsid w:val="00AB57F4"/>
    <w:rsid w:val="00AB5DB0"/>
    <w:rsid w:val="00AB612D"/>
    <w:rsid w:val="00AB61E8"/>
    <w:rsid w:val="00AB6B05"/>
    <w:rsid w:val="00AB714A"/>
    <w:rsid w:val="00AB726D"/>
    <w:rsid w:val="00AB7302"/>
    <w:rsid w:val="00AB79FE"/>
    <w:rsid w:val="00AB7A61"/>
    <w:rsid w:val="00AB7AC3"/>
    <w:rsid w:val="00AB7B0C"/>
    <w:rsid w:val="00AC01CE"/>
    <w:rsid w:val="00AC05EF"/>
    <w:rsid w:val="00AC1062"/>
    <w:rsid w:val="00AC1642"/>
    <w:rsid w:val="00AC1AC1"/>
    <w:rsid w:val="00AC1AEE"/>
    <w:rsid w:val="00AC1E9D"/>
    <w:rsid w:val="00AC1EFA"/>
    <w:rsid w:val="00AC1F04"/>
    <w:rsid w:val="00AC1F27"/>
    <w:rsid w:val="00AC2767"/>
    <w:rsid w:val="00AC27A0"/>
    <w:rsid w:val="00AC298C"/>
    <w:rsid w:val="00AC2BA4"/>
    <w:rsid w:val="00AC2BD2"/>
    <w:rsid w:val="00AC2C10"/>
    <w:rsid w:val="00AC2CCE"/>
    <w:rsid w:val="00AC2D25"/>
    <w:rsid w:val="00AC2EA6"/>
    <w:rsid w:val="00AC341E"/>
    <w:rsid w:val="00AC4060"/>
    <w:rsid w:val="00AC43FC"/>
    <w:rsid w:val="00AC4645"/>
    <w:rsid w:val="00AC4702"/>
    <w:rsid w:val="00AC477B"/>
    <w:rsid w:val="00AC4C69"/>
    <w:rsid w:val="00AC501F"/>
    <w:rsid w:val="00AC57E0"/>
    <w:rsid w:val="00AC5A5B"/>
    <w:rsid w:val="00AC5BD8"/>
    <w:rsid w:val="00AC5EC0"/>
    <w:rsid w:val="00AC66E4"/>
    <w:rsid w:val="00AC67B2"/>
    <w:rsid w:val="00AC67B4"/>
    <w:rsid w:val="00AC6EAB"/>
    <w:rsid w:val="00AC6FB4"/>
    <w:rsid w:val="00AC7490"/>
    <w:rsid w:val="00AC7C84"/>
    <w:rsid w:val="00AD01FB"/>
    <w:rsid w:val="00AD0D81"/>
    <w:rsid w:val="00AD0DAC"/>
    <w:rsid w:val="00AD0DC1"/>
    <w:rsid w:val="00AD0DF7"/>
    <w:rsid w:val="00AD1199"/>
    <w:rsid w:val="00AD16AE"/>
    <w:rsid w:val="00AD18E7"/>
    <w:rsid w:val="00AD1BCD"/>
    <w:rsid w:val="00AD1E50"/>
    <w:rsid w:val="00AD2066"/>
    <w:rsid w:val="00AD2A4D"/>
    <w:rsid w:val="00AD2D2D"/>
    <w:rsid w:val="00AD2E8E"/>
    <w:rsid w:val="00AD2FF5"/>
    <w:rsid w:val="00AD3033"/>
    <w:rsid w:val="00AD3CD2"/>
    <w:rsid w:val="00AD3D2D"/>
    <w:rsid w:val="00AD3E04"/>
    <w:rsid w:val="00AD3FB5"/>
    <w:rsid w:val="00AD402D"/>
    <w:rsid w:val="00AD41AB"/>
    <w:rsid w:val="00AD41ED"/>
    <w:rsid w:val="00AD42BA"/>
    <w:rsid w:val="00AD46DF"/>
    <w:rsid w:val="00AD4C04"/>
    <w:rsid w:val="00AD4C08"/>
    <w:rsid w:val="00AD5341"/>
    <w:rsid w:val="00AD553C"/>
    <w:rsid w:val="00AD56F1"/>
    <w:rsid w:val="00AD5799"/>
    <w:rsid w:val="00AD596A"/>
    <w:rsid w:val="00AD5DE9"/>
    <w:rsid w:val="00AD5F57"/>
    <w:rsid w:val="00AD6238"/>
    <w:rsid w:val="00AD67D2"/>
    <w:rsid w:val="00AD6B35"/>
    <w:rsid w:val="00AD6B43"/>
    <w:rsid w:val="00AD6DB3"/>
    <w:rsid w:val="00AD71A4"/>
    <w:rsid w:val="00AD74CB"/>
    <w:rsid w:val="00AD7B56"/>
    <w:rsid w:val="00AD7F1E"/>
    <w:rsid w:val="00AE0072"/>
    <w:rsid w:val="00AE012F"/>
    <w:rsid w:val="00AE06BB"/>
    <w:rsid w:val="00AE0A9E"/>
    <w:rsid w:val="00AE0CE9"/>
    <w:rsid w:val="00AE0D5E"/>
    <w:rsid w:val="00AE0EF9"/>
    <w:rsid w:val="00AE1336"/>
    <w:rsid w:val="00AE239D"/>
    <w:rsid w:val="00AE2699"/>
    <w:rsid w:val="00AE27FF"/>
    <w:rsid w:val="00AE28E6"/>
    <w:rsid w:val="00AE29E5"/>
    <w:rsid w:val="00AE2E96"/>
    <w:rsid w:val="00AE2F9E"/>
    <w:rsid w:val="00AE3397"/>
    <w:rsid w:val="00AE3AC1"/>
    <w:rsid w:val="00AE3FBB"/>
    <w:rsid w:val="00AE4068"/>
    <w:rsid w:val="00AE4106"/>
    <w:rsid w:val="00AE4752"/>
    <w:rsid w:val="00AE490B"/>
    <w:rsid w:val="00AE4A74"/>
    <w:rsid w:val="00AE4C70"/>
    <w:rsid w:val="00AE5986"/>
    <w:rsid w:val="00AE711F"/>
    <w:rsid w:val="00AE712C"/>
    <w:rsid w:val="00AE7FE1"/>
    <w:rsid w:val="00AF01C0"/>
    <w:rsid w:val="00AF0290"/>
    <w:rsid w:val="00AF07C8"/>
    <w:rsid w:val="00AF0A9A"/>
    <w:rsid w:val="00AF0B73"/>
    <w:rsid w:val="00AF15FB"/>
    <w:rsid w:val="00AF1601"/>
    <w:rsid w:val="00AF1675"/>
    <w:rsid w:val="00AF1808"/>
    <w:rsid w:val="00AF1976"/>
    <w:rsid w:val="00AF19E0"/>
    <w:rsid w:val="00AF1F07"/>
    <w:rsid w:val="00AF22D3"/>
    <w:rsid w:val="00AF2906"/>
    <w:rsid w:val="00AF31DF"/>
    <w:rsid w:val="00AF328B"/>
    <w:rsid w:val="00AF335C"/>
    <w:rsid w:val="00AF3C69"/>
    <w:rsid w:val="00AF4658"/>
    <w:rsid w:val="00AF49AE"/>
    <w:rsid w:val="00AF4BD6"/>
    <w:rsid w:val="00AF4F29"/>
    <w:rsid w:val="00AF51E2"/>
    <w:rsid w:val="00AF54E1"/>
    <w:rsid w:val="00AF5615"/>
    <w:rsid w:val="00AF59FA"/>
    <w:rsid w:val="00AF60C0"/>
    <w:rsid w:val="00AF644C"/>
    <w:rsid w:val="00AF6484"/>
    <w:rsid w:val="00AF64E4"/>
    <w:rsid w:val="00AF6637"/>
    <w:rsid w:val="00AF6D27"/>
    <w:rsid w:val="00AF7234"/>
    <w:rsid w:val="00AF779D"/>
    <w:rsid w:val="00AF78D8"/>
    <w:rsid w:val="00AF7AC8"/>
    <w:rsid w:val="00AF7E17"/>
    <w:rsid w:val="00B002CE"/>
    <w:rsid w:val="00B00530"/>
    <w:rsid w:val="00B00537"/>
    <w:rsid w:val="00B00B6F"/>
    <w:rsid w:val="00B01713"/>
    <w:rsid w:val="00B01A33"/>
    <w:rsid w:val="00B01C2C"/>
    <w:rsid w:val="00B0225C"/>
    <w:rsid w:val="00B0235F"/>
    <w:rsid w:val="00B028ED"/>
    <w:rsid w:val="00B029FC"/>
    <w:rsid w:val="00B02C8A"/>
    <w:rsid w:val="00B0330B"/>
    <w:rsid w:val="00B037CE"/>
    <w:rsid w:val="00B03939"/>
    <w:rsid w:val="00B03BE6"/>
    <w:rsid w:val="00B04029"/>
    <w:rsid w:val="00B0481A"/>
    <w:rsid w:val="00B050CD"/>
    <w:rsid w:val="00B0527D"/>
    <w:rsid w:val="00B052BD"/>
    <w:rsid w:val="00B05583"/>
    <w:rsid w:val="00B05E12"/>
    <w:rsid w:val="00B06158"/>
    <w:rsid w:val="00B07088"/>
    <w:rsid w:val="00B07698"/>
    <w:rsid w:val="00B077AB"/>
    <w:rsid w:val="00B07863"/>
    <w:rsid w:val="00B07A57"/>
    <w:rsid w:val="00B07A5A"/>
    <w:rsid w:val="00B07CAE"/>
    <w:rsid w:val="00B07F06"/>
    <w:rsid w:val="00B1024A"/>
    <w:rsid w:val="00B1122D"/>
    <w:rsid w:val="00B11459"/>
    <w:rsid w:val="00B1168E"/>
    <w:rsid w:val="00B1195D"/>
    <w:rsid w:val="00B11C7D"/>
    <w:rsid w:val="00B125B2"/>
    <w:rsid w:val="00B12743"/>
    <w:rsid w:val="00B1281F"/>
    <w:rsid w:val="00B12BEC"/>
    <w:rsid w:val="00B12C0A"/>
    <w:rsid w:val="00B12D25"/>
    <w:rsid w:val="00B14E05"/>
    <w:rsid w:val="00B1502B"/>
    <w:rsid w:val="00B15348"/>
    <w:rsid w:val="00B15420"/>
    <w:rsid w:val="00B1543F"/>
    <w:rsid w:val="00B154E7"/>
    <w:rsid w:val="00B15692"/>
    <w:rsid w:val="00B15789"/>
    <w:rsid w:val="00B1578A"/>
    <w:rsid w:val="00B159D6"/>
    <w:rsid w:val="00B15BC1"/>
    <w:rsid w:val="00B15CB2"/>
    <w:rsid w:val="00B163C9"/>
    <w:rsid w:val="00B1697E"/>
    <w:rsid w:val="00B16E39"/>
    <w:rsid w:val="00B202B9"/>
    <w:rsid w:val="00B20913"/>
    <w:rsid w:val="00B209CF"/>
    <w:rsid w:val="00B21114"/>
    <w:rsid w:val="00B21987"/>
    <w:rsid w:val="00B21BD8"/>
    <w:rsid w:val="00B22572"/>
    <w:rsid w:val="00B232A0"/>
    <w:rsid w:val="00B232F1"/>
    <w:rsid w:val="00B233A5"/>
    <w:rsid w:val="00B233F8"/>
    <w:rsid w:val="00B235B6"/>
    <w:rsid w:val="00B237A1"/>
    <w:rsid w:val="00B23E6C"/>
    <w:rsid w:val="00B2416D"/>
    <w:rsid w:val="00B24F6E"/>
    <w:rsid w:val="00B253D8"/>
    <w:rsid w:val="00B25487"/>
    <w:rsid w:val="00B264B8"/>
    <w:rsid w:val="00B26539"/>
    <w:rsid w:val="00B2691E"/>
    <w:rsid w:val="00B26AE5"/>
    <w:rsid w:val="00B26C59"/>
    <w:rsid w:val="00B2733B"/>
    <w:rsid w:val="00B27C81"/>
    <w:rsid w:val="00B27C8F"/>
    <w:rsid w:val="00B27CE3"/>
    <w:rsid w:val="00B27F8E"/>
    <w:rsid w:val="00B3044C"/>
    <w:rsid w:val="00B30785"/>
    <w:rsid w:val="00B30C3D"/>
    <w:rsid w:val="00B31004"/>
    <w:rsid w:val="00B310C2"/>
    <w:rsid w:val="00B31170"/>
    <w:rsid w:val="00B31771"/>
    <w:rsid w:val="00B31828"/>
    <w:rsid w:val="00B31838"/>
    <w:rsid w:val="00B31C9D"/>
    <w:rsid w:val="00B31D78"/>
    <w:rsid w:val="00B31E2A"/>
    <w:rsid w:val="00B31E96"/>
    <w:rsid w:val="00B3202C"/>
    <w:rsid w:val="00B32465"/>
    <w:rsid w:val="00B32611"/>
    <w:rsid w:val="00B326BF"/>
    <w:rsid w:val="00B32958"/>
    <w:rsid w:val="00B32C56"/>
    <w:rsid w:val="00B32C57"/>
    <w:rsid w:val="00B32D0F"/>
    <w:rsid w:val="00B33059"/>
    <w:rsid w:val="00B330B7"/>
    <w:rsid w:val="00B3350B"/>
    <w:rsid w:val="00B33951"/>
    <w:rsid w:val="00B339E1"/>
    <w:rsid w:val="00B33A8C"/>
    <w:rsid w:val="00B344CA"/>
    <w:rsid w:val="00B34660"/>
    <w:rsid w:val="00B34CB4"/>
    <w:rsid w:val="00B34ECE"/>
    <w:rsid w:val="00B354BF"/>
    <w:rsid w:val="00B3555A"/>
    <w:rsid w:val="00B3569C"/>
    <w:rsid w:val="00B3587A"/>
    <w:rsid w:val="00B359AD"/>
    <w:rsid w:val="00B35A00"/>
    <w:rsid w:val="00B35C0E"/>
    <w:rsid w:val="00B3617F"/>
    <w:rsid w:val="00B369AD"/>
    <w:rsid w:val="00B37238"/>
    <w:rsid w:val="00B3784B"/>
    <w:rsid w:val="00B378B3"/>
    <w:rsid w:val="00B37BDF"/>
    <w:rsid w:val="00B37E7D"/>
    <w:rsid w:val="00B40093"/>
    <w:rsid w:val="00B403BE"/>
    <w:rsid w:val="00B404D6"/>
    <w:rsid w:val="00B4057F"/>
    <w:rsid w:val="00B406C7"/>
    <w:rsid w:val="00B40CDD"/>
    <w:rsid w:val="00B40F69"/>
    <w:rsid w:val="00B4106B"/>
    <w:rsid w:val="00B41353"/>
    <w:rsid w:val="00B41E8D"/>
    <w:rsid w:val="00B425DD"/>
    <w:rsid w:val="00B42A14"/>
    <w:rsid w:val="00B42CB9"/>
    <w:rsid w:val="00B4427F"/>
    <w:rsid w:val="00B446D1"/>
    <w:rsid w:val="00B447F4"/>
    <w:rsid w:val="00B449F4"/>
    <w:rsid w:val="00B44B67"/>
    <w:rsid w:val="00B44D55"/>
    <w:rsid w:val="00B44F95"/>
    <w:rsid w:val="00B450AD"/>
    <w:rsid w:val="00B4606A"/>
    <w:rsid w:val="00B46305"/>
    <w:rsid w:val="00B463EE"/>
    <w:rsid w:val="00B46E82"/>
    <w:rsid w:val="00B47A95"/>
    <w:rsid w:val="00B47D07"/>
    <w:rsid w:val="00B47FF7"/>
    <w:rsid w:val="00B502F9"/>
    <w:rsid w:val="00B5043A"/>
    <w:rsid w:val="00B50523"/>
    <w:rsid w:val="00B50552"/>
    <w:rsid w:val="00B508B0"/>
    <w:rsid w:val="00B50982"/>
    <w:rsid w:val="00B512BD"/>
    <w:rsid w:val="00B51783"/>
    <w:rsid w:val="00B51DCB"/>
    <w:rsid w:val="00B528D5"/>
    <w:rsid w:val="00B53025"/>
    <w:rsid w:val="00B534CB"/>
    <w:rsid w:val="00B54010"/>
    <w:rsid w:val="00B54058"/>
    <w:rsid w:val="00B54088"/>
    <w:rsid w:val="00B540D6"/>
    <w:rsid w:val="00B546D3"/>
    <w:rsid w:val="00B54900"/>
    <w:rsid w:val="00B54A99"/>
    <w:rsid w:val="00B54D9F"/>
    <w:rsid w:val="00B54E0E"/>
    <w:rsid w:val="00B54FCE"/>
    <w:rsid w:val="00B552D6"/>
    <w:rsid w:val="00B55354"/>
    <w:rsid w:val="00B55549"/>
    <w:rsid w:val="00B55A46"/>
    <w:rsid w:val="00B56009"/>
    <w:rsid w:val="00B56650"/>
    <w:rsid w:val="00B567FD"/>
    <w:rsid w:val="00B5697C"/>
    <w:rsid w:val="00B56ED8"/>
    <w:rsid w:val="00B5724A"/>
    <w:rsid w:val="00B575A4"/>
    <w:rsid w:val="00B577E2"/>
    <w:rsid w:val="00B578FB"/>
    <w:rsid w:val="00B57A9D"/>
    <w:rsid w:val="00B57B0D"/>
    <w:rsid w:val="00B57D36"/>
    <w:rsid w:val="00B57FF4"/>
    <w:rsid w:val="00B60647"/>
    <w:rsid w:val="00B60865"/>
    <w:rsid w:val="00B61698"/>
    <w:rsid w:val="00B61832"/>
    <w:rsid w:val="00B61A06"/>
    <w:rsid w:val="00B61C92"/>
    <w:rsid w:val="00B62A9B"/>
    <w:rsid w:val="00B635A0"/>
    <w:rsid w:val="00B63A9F"/>
    <w:rsid w:val="00B63C39"/>
    <w:rsid w:val="00B63C7F"/>
    <w:rsid w:val="00B63F8E"/>
    <w:rsid w:val="00B63FFB"/>
    <w:rsid w:val="00B6476A"/>
    <w:rsid w:val="00B647A9"/>
    <w:rsid w:val="00B64E6F"/>
    <w:rsid w:val="00B6539F"/>
    <w:rsid w:val="00B6575E"/>
    <w:rsid w:val="00B65969"/>
    <w:rsid w:val="00B6622E"/>
    <w:rsid w:val="00B6638E"/>
    <w:rsid w:val="00B66B2C"/>
    <w:rsid w:val="00B66C34"/>
    <w:rsid w:val="00B66DC5"/>
    <w:rsid w:val="00B66E60"/>
    <w:rsid w:val="00B66E80"/>
    <w:rsid w:val="00B6735A"/>
    <w:rsid w:val="00B67733"/>
    <w:rsid w:val="00B7039C"/>
    <w:rsid w:val="00B70A01"/>
    <w:rsid w:val="00B70DDE"/>
    <w:rsid w:val="00B7136E"/>
    <w:rsid w:val="00B713A9"/>
    <w:rsid w:val="00B7150B"/>
    <w:rsid w:val="00B71754"/>
    <w:rsid w:val="00B71B64"/>
    <w:rsid w:val="00B71CE2"/>
    <w:rsid w:val="00B72847"/>
    <w:rsid w:val="00B7298B"/>
    <w:rsid w:val="00B72A1A"/>
    <w:rsid w:val="00B72A4B"/>
    <w:rsid w:val="00B72D29"/>
    <w:rsid w:val="00B73131"/>
    <w:rsid w:val="00B73ECA"/>
    <w:rsid w:val="00B73F45"/>
    <w:rsid w:val="00B7481D"/>
    <w:rsid w:val="00B748E1"/>
    <w:rsid w:val="00B74D9C"/>
    <w:rsid w:val="00B75463"/>
    <w:rsid w:val="00B75536"/>
    <w:rsid w:val="00B7574C"/>
    <w:rsid w:val="00B75891"/>
    <w:rsid w:val="00B75BF0"/>
    <w:rsid w:val="00B76446"/>
    <w:rsid w:val="00B76AAA"/>
    <w:rsid w:val="00B76B72"/>
    <w:rsid w:val="00B76F8E"/>
    <w:rsid w:val="00B77227"/>
    <w:rsid w:val="00B77359"/>
    <w:rsid w:val="00B77AAE"/>
    <w:rsid w:val="00B77B27"/>
    <w:rsid w:val="00B80361"/>
    <w:rsid w:val="00B807E5"/>
    <w:rsid w:val="00B8084C"/>
    <w:rsid w:val="00B81327"/>
    <w:rsid w:val="00B81532"/>
    <w:rsid w:val="00B81D50"/>
    <w:rsid w:val="00B81F92"/>
    <w:rsid w:val="00B8205A"/>
    <w:rsid w:val="00B82103"/>
    <w:rsid w:val="00B82477"/>
    <w:rsid w:val="00B82506"/>
    <w:rsid w:val="00B8341D"/>
    <w:rsid w:val="00B83482"/>
    <w:rsid w:val="00B83685"/>
    <w:rsid w:val="00B8472C"/>
    <w:rsid w:val="00B847DF"/>
    <w:rsid w:val="00B84845"/>
    <w:rsid w:val="00B84940"/>
    <w:rsid w:val="00B85378"/>
    <w:rsid w:val="00B8620F"/>
    <w:rsid w:val="00B867F3"/>
    <w:rsid w:val="00B86AA0"/>
    <w:rsid w:val="00B86B09"/>
    <w:rsid w:val="00B86BA6"/>
    <w:rsid w:val="00B86F55"/>
    <w:rsid w:val="00B870AF"/>
    <w:rsid w:val="00B878AA"/>
    <w:rsid w:val="00B87B81"/>
    <w:rsid w:val="00B90750"/>
    <w:rsid w:val="00B9089F"/>
    <w:rsid w:val="00B90CC5"/>
    <w:rsid w:val="00B90E5A"/>
    <w:rsid w:val="00B90EC4"/>
    <w:rsid w:val="00B91115"/>
    <w:rsid w:val="00B9167F"/>
    <w:rsid w:val="00B9183F"/>
    <w:rsid w:val="00B91FA2"/>
    <w:rsid w:val="00B921F6"/>
    <w:rsid w:val="00B92490"/>
    <w:rsid w:val="00B92678"/>
    <w:rsid w:val="00B928B3"/>
    <w:rsid w:val="00B928B6"/>
    <w:rsid w:val="00B9329B"/>
    <w:rsid w:val="00B93403"/>
    <w:rsid w:val="00B93B8D"/>
    <w:rsid w:val="00B93EFF"/>
    <w:rsid w:val="00B940B5"/>
    <w:rsid w:val="00B940CD"/>
    <w:rsid w:val="00B944B0"/>
    <w:rsid w:val="00B946FA"/>
    <w:rsid w:val="00B94AEC"/>
    <w:rsid w:val="00B9532C"/>
    <w:rsid w:val="00B95367"/>
    <w:rsid w:val="00B95A5D"/>
    <w:rsid w:val="00B96730"/>
    <w:rsid w:val="00B974D8"/>
    <w:rsid w:val="00B9772F"/>
    <w:rsid w:val="00B9782C"/>
    <w:rsid w:val="00B97A09"/>
    <w:rsid w:val="00B97BB2"/>
    <w:rsid w:val="00B97CD7"/>
    <w:rsid w:val="00BA01BF"/>
    <w:rsid w:val="00BA0292"/>
    <w:rsid w:val="00BA051A"/>
    <w:rsid w:val="00BA0661"/>
    <w:rsid w:val="00BA0A43"/>
    <w:rsid w:val="00BA0AEF"/>
    <w:rsid w:val="00BA0D1B"/>
    <w:rsid w:val="00BA0F16"/>
    <w:rsid w:val="00BA0F58"/>
    <w:rsid w:val="00BA12EB"/>
    <w:rsid w:val="00BA14D7"/>
    <w:rsid w:val="00BA1770"/>
    <w:rsid w:val="00BA1BE5"/>
    <w:rsid w:val="00BA1BF7"/>
    <w:rsid w:val="00BA2CC8"/>
    <w:rsid w:val="00BA2E46"/>
    <w:rsid w:val="00BA30E9"/>
    <w:rsid w:val="00BA37F7"/>
    <w:rsid w:val="00BA3BAF"/>
    <w:rsid w:val="00BA42B8"/>
    <w:rsid w:val="00BA43C5"/>
    <w:rsid w:val="00BA4D12"/>
    <w:rsid w:val="00BA52D5"/>
    <w:rsid w:val="00BA54D7"/>
    <w:rsid w:val="00BA5C54"/>
    <w:rsid w:val="00BA5FA6"/>
    <w:rsid w:val="00BA6090"/>
    <w:rsid w:val="00BA64B6"/>
    <w:rsid w:val="00BA6AC4"/>
    <w:rsid w:val="00BA6E73"/>
    <w:rsid w:val="00BA6E79"/>
    <w:rsid w:val="00BA7020"/>
    <w:rsid w:val="00BA7347"/>
    <w:rsid w:val="00BA7AF9"/>
    <w:rsid w:val="00BA7DA1"/>
    <w:rsid w:val="00BB01BF"/>
    <w:rsid w:val="00BB03EB"/>
    <w:rsid w:val="00BB05C1"/>
    <w:rsid w:val="00BB06AD"/>
    <w:rsid w:val="00BB0B70"/>
    <w:rsid w:val="00BB0E22"/>
    <w:rsid w:val="00BB1A5D"/>
    <w:rsid w:val="00BB22DF"/>
    <w:rsid w:val="00BB2920"/>
    <w:rsid w:val="00BB2D22"/>
    <w:rsid w:val="00BB37D8"/>
    <w:rsid w:val="00BB4546"/>
    <w:rsid w:val="00BB4604"/>
    <w:rsid w:val="00BB4C4F"/>
    <w:rsid w:val="00BB5299"/>
    <w:rsid w:val="00BB586C"/>
    <w:rsid w:val="00BB590A"/>
    <w:rsid w:val="00BB5FFC"/>
    <w:rsid w:val="00BB6664"/>
    <w:rsid w:val="00BB6775"/>
    <w:rsid w:val="00BB74AC"/>
    <w:rsid w:val="00BC02E3"/>
    <w:rsid w:val="00BC04DC"/>
    <w:rsid w:val="00BC0665"/>
    <w:rsid w:val="00BC0BD0"/>
    <w:rsid w:val="00BC12B4"/>
    <w:rsid w:val="00BC1545"/>
    <w:rsid w:val="00BC1617"/>
    <w:rsid w:val="00BC175F"/>
    <w:rsid w:val="00BC19A0"/>
    <w:rsid w:val="00BC19A7"/>
    <w:rsid w:val="00BC1D71"/>
    <w:rsid w:val="00BC21D5"/>
    <w:rsid w:val="00BC2D0E"/>
    <w:rsid w:val="00BC3569"/>
    <w:rsid w:val="00BC36CD"/>
    <w:rsid w:val="00BC39DE"/>
    <w:rsid w:val="00BC3DBC"/>
    <w:rsid w:val="00BC3F78"/>
    <w:rsid w:val="00BC4668"/>
    <w:rsid w:val="00BC46FB"/>
    <w:rsid w:val="00BC487D"/>
    <w:rsid w:val="00BC4A93"/>
    <w:rsid w:val="00BC4DD0"/>
    <w:rsid w:val="00BC5443"/>
    <w:rsid w:val="00BC5AEB"/>
    <w:rsid w:val="00BC5CF3"/>
    <w:rsid w:val="00BC5E0A"/>
    <w:rsid w:val="00BC5E41"/>
    <w:rsid w:val="00BC6797"/>
    <w:rsid w:val="00BC6DE1"/>
    <w:rsid w:val="00BC6E82"/>
    <w:rsid w:val="00BC6EFE"/>
    <w:rsid w:val="00BC73A9"/>
    <w:rsid w:val="00BC771B"/>
    <w:rsid w:val="00BC798E"/>
    <w:rsid w:val="00BC79E2"/>
    <w:rsid w:val="00BC7AF6"/>
    <w:rsid w:val="00BC7B22"/>
    <w:rsid w:val="00BD05D7"/>
    <w:rsid w:val="00BD063E"/>
    <w:rsid w:val="00BD0658"/>
    <w:rsid w:val="00BD0F57"/>
    <w:rsid w:val="00BD0F62"/>
    <w:rsid w:val="00BD1175"/>
    <w:rsid w:val="00BD1196"/>
    <w:rsid w:val="00BD11C7"/>
    <w:rsid w:val="00BD152D"/>
    <w:rsid w:val="00BD20D1"/>
    <w:rsid w:val="00BD221D"/>
    <w:rsid w:val="00BD24AE"/>
    <w:rsid w:val="00BD297F"/>
    <w:rsid w:val="00BD3807"/>
    <w:rsid w:val="00BD3C6A"/>
    <w:rsid w:val="00BD404D"/>
    <w:rsid w:val="00BD4098"/>
    <w:rsid w:val="00BD49BF"/>
    <w:rsid w:val="00BD4CD7"/>
    <w:rsid w:val="00BD4EF6"/>
    <w:rsid w:val="00BD4F70"/>
    <w:rsid w:val="00BD5195"/>
    <w:rsid w:val="00BD5252"/>
    <w:rsid w:val="00BD5A16"/>
    <w:rsid w:val="00BD5B15"/>
    <w:rsid w:val="00BD5E26"/>
    <w:rsid w:val="00BD5F00"/>
    <w:rsid w:val="00BD5F24"/>
    <w:rsid w:val="00BD616A"/>
    <w:rsid w:val="00BD6388"/>
    <w:rsid w:val="00BD6454"/>
    <w:rsid w:val="00BD6F86"/>
    <w:rsid w:val="00BD7141"/>
    <w:rsid w:val="00BD7A50"/>
    <w:rsid w:val="00BD7B9C"/>
    <w:rsid w:val="00BE01BB"/>
    <w:rsid w:val="00BE01E5"/>
    <w:rsid w:val="00BE02E6"/>
    <w:rsid w:val="00BE0A20"/>
    <w:rsid w:val="00BE0D17"/>
    <w:rsid w:val="00BE0FAB"/>
    <w:rsid w:val="00BE1236"/>
    <w:rsid w:val="00BE130E"/>
    <w:rsid w:val="00BE1480"/>
    <w:rsid w:val="00BE15D3"/>
    <w:rsid w:val="00BE1960"/>
    <w:rsid w:val="00BE19A7"/>
    <w:rsid w:val="00BE1A60"/>
    <w:rsid w:val="00BE20CC"/>
    <w:rsid w:val="00BE2267"/>
    <w:rsid w:val="00BE28B1"/>
    <w:rsid w:val="00BE2958"/>
    <w:rsid w:val="00BE2A1B"/>
    <w:rsid w:val="00BE2EF0"/>
    <w:rsid w:val="00BE2F09"/>
    <w:rsid w:val="00BE3250"/>
    <w:rsid w:val="00BE3BAA"/>
    <w:rsid w:val="00BE4159"/>
    <w:rsid w:val="00BE4489"/>
    <w:rsid w:val="00BE512D"/>
    <w:rsid w:val="00BE518B"/>
    <w:rsid w:val="00BE6177"/>
    <w:rsid w:val="00BE7149"/>
    <w:rsid w:val="00BE718F"/>
    <w:rsid w:val="00BE72C6"/>
    <w:rsid w:val="00BE751F"/>
    <w:rsid w:val="00BE77CA"/>
    <w:rsid w:val="00BE7990"/>
    <w:rsid w:val="00BE7F73"/>
    <w:rsid w:val="00BF003E"/>
    <w:rsid w:val="00BF0936"/>
    <w:rsid w:val="00BF0994"/>
    <w:rsid w:val="00BF09DD"/>
    <w:rsid w:val="00BF0E6D"/>
    <w:rsid w:val="00BF0F4E"/>
    <w:rsid w:val="00BF100B"/>
    <w:rsid w:val="00BF129C"/>
    <w:rsid w:val="00BF167B"/>
    <w:rsid w:val="00BF1928"/>
    <w:rsid w:val="00BF1A5C"/>
    <w:rsid w:val="00BF1B49"/>
    <w:rsid w:val="00BF268E"/>
    <w:rsid w:val="00BF2E01"/>
    <w:rsid w:val="00BF3293"/>
    <w:rsid w:val="00BF3502"/>
    <w:rsid w:val="00BF37B3"/>
    <w:rsid w:val="00BF3B2E"/>
    <w:rsid w:val="00BF44CA"/>
    <w:rsid w:val="00BF46B3"/>
    <w:rsid w:val="00BF4BDF"/>
    <w:rsid w:val="00BF4D8F"/>
    <w:rsid w:val="00BF5045"/>
    <w:rsid w:val="00BF5CB5"/>
    <w:rsid w:val="00BF5F0E"/>
    <w:rsid w:val="00BF649C"/>
    <w:rsid w:val="00BF6586"/>
    <w:rsid w:val="00BF6664"/>
    <w:rsid w:val="00BF6896"/>
    <w:rsid w:val="00BF6919"/>
    <w:rsid w:val="00BF6B71"/>
    <w:rsid w:val="00BF6B93"/>
    <w:rsid w:val="00BF6F02"/>
    <w:rsid w:val="00BF752B"/>
    <w:rsid w:val="00BF7E42"/>
    <w:rsid w:val="00BF7E4A"/>
    <w:rsid w:val="00C0041F"/>
    <w:rsid w:val="00C00496"/>
    <w:rsid w:val="00C00B56"/>
    <w:rsid w:val="00C00E6E"/>
    <w:rsid w:val="00C01924"/>
    <w:rsid w:val="00C01B53"/>
    <w:rsid w:val="00C01FBC"/>
    <w:rsid w:val="00C025EF"/>
    <w:rsid w:val="00C02656"/>
    <w:rsid w:val="00C02AF8"/>
    <w:rsid w:val="00C02C28"/>
    <w:rsid w:val="00C03022"/>
    <w:rsid w:val="00C03132"/>
    <w:rsid w:val="00C031D2"/>
    <w:rsid w:val="00C03E07"/>
    <w:rsid w:val="00C03E61"/>
    <w:rsid w:val="00C04143"/>
    <w:rsid w:val="00C043F2"/>
    <w:rsid w:val="00C05A14"/>
    <w:rsid w:val="00C05A1C"/>
    <w:rsid w:val="00C06760"/>
    <w:rsid w:val="00C06A87"/>
    <w:rsid w:val="00C06F78"/>
    <w:rsid w:val="00C07548"/>
    <w:rsid w:val="00C07960"/>
    <w:rsid w:val="00C10824"/>
    <w:rsid w:val="00C1096D"/>
    <w:rsid w:val="00C10AF7"/>
    <w:rsid w:val="00C10BAD"/>
    <w:rsid w:val="00C10BC3"/>
    <w:rsid w:val="00C10D8B"/>
    <w:rsid w:val="00C117F0"/>
    <w:rsid w:val="00C11EDB"/>
    <w:rsid w:val="00C12505"/>
    <w:rsid w:val="00C126E3"/>
    <w:rsid w:val="00C12756"/>
    <w:rsid w:val="00C1288B"/>
    <w:rsid w:val="00C128EC"/>
    <w:rsid w:val="00C12B77"/>
    <w:rsid w:val="00C12C61"/>
    <w:rsid w:val="00C12FCD"/>
    <w:rsid w:val="00C1320D"/>
    <w:rsid w:val="00C13A14"/>
    <w:rsid w:val="00C13D37"/>
    <w:rsid w:val="00C13E49"/>
    <w:rsid w:val="00C14127"/>
    <w:rsid w:val="00C14758"/>
    <w:rsid w:val="00C14C79"/>
    <w:rsid w:val="00C14CF2"/>
    <w:rsid w:val="00C1565B"/>
    <w:rsid w:val="00C157CC"/>
    <w:rsid w:val="00C15BFD"/>
    <w:rsid w:val="00C168B0"/>
    <w:rsid w:val="00C17560"/>
    <w:rsid w:val="00C17BDF"/>
    <w:rsid w:val="00C17E5C"/>
    <w:rsid w:val="00C17F88"/>
    <w:rsid w:val="00C202CE"/>
    <w:rsid w:val="00C20423"/>
    <w:rsid w:val="00C211D7"/>
    <w:rsid w:val="00C2128F"/>
    <w:rsid w:val="00C212A0"/>
    <w:rsid w:val="00C2246C"/>
    <w:rsid w:val="00C22B35"/>
    <w:rsid w:val="00C22F42"/>
    <w:rsid w:val="00C2398F"/>
    <w:rsid w:val="00C25067"/>
    <w:rsid w:val="00C254EE"/>
    <w:rsid w:val="00C25E75"/>
    <w:rsid w:val="00C25F11"/>
    <w:rsid w:val="00C2633E"/>
    <w:rsid w:val="00C26660"/>
    <w:rsid w:val="00C26A8A"/>
    <w:rsid w:val="00C26BF7"/>
    <w:rsid w:val="00C26C7F"/>
    <w:rsid w:val="00C27C12"/>
    <w:rsid w:val="00C27ED5"/>
    <w:rsid w:val="00C3001C"/>
    <w:rsid w:val="00C30187"/>
    <w:rsid w:val="00C30226"/>
    <w:rsid w:val="00C30439"/>
    <w:rsid w:val="00C3067E"/>
    <w:rsid w:val="00C3082A"/>
    <w:rsid w:val="00C30944"/>
    <w:rsid w:val="00C30F36"/>
    <w:rsid w:val="00C30F5A"/>
    <w:rsid w:val="00C3105A"/>
    <w:rsid w:val="00C3180F"/>
    <w:rsid w:val="00C3188C"/>
    <w:rsid w:val="00C31B22"/>
    <w:rsid w:val="00C31C8B"/>
    <w:rsid w:val="00C31D1F"/>
    <w:rsid w:val="00C322D7"/>
    <w:rsid w:val="00C329AC"/>
    <w:rsid w:val="00C33144"/>
    <w:rsid w:val="00C334B0"/>
    <w:rsid w:val="00C33723"/>
    <w:rsid w:val="00C33836"/>
    <w:rsid w:val="00C33B31"/>
    <w:rsid w:val="00C34294"/>
    <w:rsid w:val="00C345F0"/>
    <w:rsid w:val="00C34FCB"/>
    <w:rsid w:val="00C354D0"/>
    <w:rsid w:val="00C35ADC"/>
    <w:rsid w:val="00C35D73"/>
    <w:rsid w:val="00C36281"/>
    <w:rsid w:val="00C363DD"/>
    <w:rsid w:val="00C364F2"/>
    <w:rsid w:val="00C36B9C"/>
    <w:rsid w:val="00C36C07"/>
    <w:rsid w:val="00C3759D"/>
    <w:rsid w:val="00C379F3"/>
    <w:rsid w:val="00C37D4B"/>
    <w:rsid w:val="00C40318"/>
    <w:rsid w:val="00C4043C"/>
    <w:rsid w:val="00C410E3"/>
    <w:rsid w:val="00C411ED"/>
    <w:rsid w:val="00C41B40"/>
    <w:rsid w:val="00C41BBC"/>
    <w:rsid w:val="00C420B9"/>
    <w:rsid w:val="00C42163"/>
    <w:rsid w:val="00C421E9"/>
    <w:rsid w:val="00C42719"/>
    <w:rsid w:val="00C42ABE"/>
    <w:rsid w:val="00C42AD1"/>
    <w:rsid w:val="00C43357"/>
    <w:rsid w:val="00C433D9"/>
    <w:rsid w:val="00C437FD"/>
    <w:rsid w:val="00C44040"/>
    <w:rsid w:val="00C4420B"/>
    <w:rsid w:val="00C4432E"/>
    <w:rsid w:val="00C445B5"/>
    <w:rsid w:val="00C446C6"/>
    <w:rsid w:val="00C44790"/>
    <w:rsid w:val="00C44CBE"/>
    <w:rsid w:val="00C44DC2"/>
    <w:rsid w:val="00C44EC3"/>
    <w:rsid w:val="00C44F57"/>
    <w:rsid w:val="00C450B8"/>
    <w:rsid w:val="00C45351"/>
    <w:rsid w:val="00C45467"/>
    <w:rsid w:val="00C4553A"/>
    <w:rsid w:val="00C457E4"/>
    <w:rsid w:val="00C45821"/>
    <w:rsid w:val="00C46684"/>
    <w:rsid w:val="00C46853"/>
    <w:rsid w:val="00C46F67"/>
    <w:rsid w:val="00C475F7"/>
    <w:rsid w:val="00C47D0B"/>
    <w:rsid w:val="00C47D94"/>
    <w:rsid w:val="00C47EB6"/>
    <w:rsid w:val="00C47EDB"/>
    <w:rsid w:val="00C50460"/>
    <w:rsid w:val="00C50B79"/>
    <w:rsid w:val="00C5100E"/>
    <w:rsid w:val="00C5119B"/>
    <w:rsid w:val="00C51743"/>
    <w:rsid w:val="00C51D13"/>
    <w:rsid w:val="00C5212C"/>
    <w:rsid w:val="00C52482"/>
    <w:rsid w:val="00C5271C"/>
    <w:rsid w:val="00C52C02"/>
    <w:rsid w:val="00C53072"/>
    <w:rsid w:val="00C535AA"/>
    <w:rsid w:val="00C536C1"/>
    <w:rsid w:val="00C5370D"/>
    <w:rsid w:val="00C5408F"/>
    <w:rsid w:val="00C5411B"/>
    <w:rsid w:val="00C54202"/>
    <w:rsid w:val="00C544B5"/>
    <w:rsid w:val="00C544F8"/>
    <w:rsid w:val="00C54708"/>
    <w:rsid w:val="00C555A4"/>
    <w:rsid w:val="00C557CB"/>
    <w:rsid w:val="00C559A8"/>
    <w:rsid w:val="00C55C08"/>
    <w:rsid w:val="00C55CA7"/>
    <w:rsid w:val="00C56ABF"/>
    <w:rsid w:val="00C57948"/>
    <w:rsid w:val="00C57BF0"/>
    <w:rsid w:val="00C57F86"/>
    <w:rsid w:val="00C603B1"/>
    <w:rsid w:val="00C6076D"/>
    <w:rsid w:val="00C607EC"/>
    <w:rsid w:val="00C608D2"/>
    <w:rsid w:val="00C6090D"/>
    <w:rsid w:val="00C60B50"/>
    <w:rsid w:val="00C60C62"/>
    <w:rsid w:val="00C610FF"/>
    <w:rsid w:val="00C61A34"/>
    <w:rsid w:val="00C61B33"/>
    <w:rsid w:val="00C61D0C"/>
    <w:rsid w:val="00C61F8A"/>
    <w:rsid w:val="00C62099"/>
    <w:rsid w:val="00C62210"/>
    <w:rsid w:val="00C62292"/>
    <w:rsid w:val="00C62ED0"/>
    <w:rsid w:val="00C6310D"/>
    <w:rsid w:val="00C63240"/>
    <w:rsid w:val="00C63973"/>
    <w:rsid w:val="00C63A69"/>
    <w:rsid w:val="00C640B3"/>
    <w:rsid w:val="00C644DE"/>
    <w:rsid w:val="00C64532"/>
    <w:rsid w:val="00C64C12"/>
    <w:rsid w:val="00C65094"/>
    <w:rsid w:val="00C650FA"/>
    <w:rsid w:val="00C657CA"/>
    <w:rsid w:val="00C659E9"/>
    <w:rsid w:val="00C6647A"/>
    <w:rsid w:val="00C66608"/>
    <w:rsid w:val="00C66836"/>
    <w:rsid w:val="00C67385"/>
    <w:rsid w:val="00C6747B"/>
    <w:rsid w:val="00C67687"/>
    <w:rsid w:val="00C678F1"/>
    <w:rsid w:val="00C67A2B"/>
    <w:rsid w:val="00C67B6E"/>
    <w:rsid w:val="00C70081"/>
    <w:rsid w:val="00C700DC"/>
    <w:rsid w:val="00C70107"/>
    <w:rsid w:val="00C7025B"/>
    <w:rsid w:val="00C702B2"/>
    <w:rsid w:val="00C704F4"/>
    <w:rsid w:val="00C71164"/>
    <w:rsid w:val="00C72046"/>
    <w:rsid w:val="00C721C3"/>
    <w:rsid w:val="00C726D9"/>
    <w:rsid w:val="00C72AE8"/>
    <w:rsid w:val="00C72D1D"/>
    <w:rsid w:val="00C72F49"/>
    <w:rsid w:val="00C73308"/>
    <w:rsid w:val="00C73834"/>
    <w:rsid w:val="00C73ECC"/>
    <w:rsid w:val="00C74096"/>
    <w:rsid w:val="00C74335"/>
    <w:rsid w:val="00C743F7"/>
    <w:rsid w:val="00C7452F"/>
    <w:rsid w:val="00C7584E"/>
    <w:rsid w:val="00C75F9A"/>
    <w:rsid w:val="00C7623A"/>
    <w:rsid w:val="00C76881"/>
    <w:rsid w:val="00C768B7"/>
    <w:rsid w:val="00C76BD4"/>
    <w:rsid w:val="00C76D00"/>
    <w:rsid w:val="00C7709D"/>
    <w:rsid w:val="00C770EB"/>
    <w:rsid w:val="00C7721B"/>
    <w:rsid w:val="00C7778A"/>
    <w:rsid w:val="00C777FA"/>
    <w:rsid w:val="00C80444"/>
    <w:rsid w:val="00C81020"/>
    <w:rsid w:val="00C82054"/>
    <w:rsid w:val="00C821FC"/>
    <w:rsid w:val="00C823E7"/>
    <w:rsid w:val="00C825B4"/>
    <w:rsid w:val="00C82807"/>
    <w:rsid w:val="00C82DB9"/>
    <w:rsid w:val="00C8308C"/>
    <w:rsid w:val="00C830D8"/>
    <w:rsid w:val="00C83388"/>
    <w:rsid w:val="00C83798"/>
    <w:rsid w:val="00C83970"/>
    <w:rsid w:val="00C83C67"/>
    <w:rsid w:val="00C83E7A"/>
    <w:rsid w:val="00C83F64"/>
    <w:rsid w:val="00C84085"/>
    <w:rsid w:val="00C84449"/>
    <w:rsid w:val="00C84770"/>
    <w:rsid w:val="00C848C4"/>
    <w:rsid w:val="00C848EE"/>
    <w:rsid w:val="00C853E3"/>
    <w:rsid w:val="00C860E5"/>
    <w:rsid w:val="00C8635F"/>
    <w:rsid w:val="00C86D5A"/>
    <w:rsid w:val="00C871E5"/>
    <w:rsid w:val="00C8722E"/>
    <w:rsid w:val="00C872DC"/>
    <w:rsid w:val="00C873E2"/>
    <w:rsid w:val="00C875F6"/>
    <w:rsid w:val="00C90235"/>
    <w:rsid w:val="00C90432"/>
    <w:rsid w:val="00C90492"/>
    <w:rsid w:val="00C904D9"/>
    <w:rsid w:val="00C90B5F"/>
    <w:rsid w:val="00C90D1F"/>
    <w:rsid w:val="00C90DEA"/>
    <w:rsid w:val="00C9175B"/>
    <w:rsid w:val="00C91801"/>
    <w:rsid w:val="00C91B73"/>
    <w:rsid w:val="00C9224C"/>
    <w:rsid w:val="00C926A1"/>
    <w:rsid w:val="00C9290A"/>
    <w:rsid w:val="00C9320A"/>
    <w:rsid w:val="00C9337E"/>
    <w:rsid w:val="00C935D2"/>
    <w:rsid w:val="00C93718"/>
    <w:rsid w:val="00C93766"/>
    <w:rsid w:val="00C94253"/>
    <w:rsid w:val="00C9449F"/>
    <w:rsid w:val="00C94736"/>
    <w:rsid w:val="00C94B06"/>
    <w:rsid w:val="00C94FE6"/>
    <w:rsid w:val="00C953CE"/>
    <w:rsid w:val="00C956E7"/>
    <w:rsid w:val="00C9580C"/>
    <w:rsid w:val="00C95D88"/>
    <w:rsid w:val="00C9613A"/>
    <w:rsid w:val="00C96795"/>
    <w:rsid w:val="00C96910"/>
    <w:rsid w:val="00C96B58"/>
    <w:rsid w:val="00C96B83"/>
    <w:rsid w:val="00C96D91"/>
    <w:rsid w:val="00C96D9C"/>
    <w:rsid w:val="00CA055B"/>
    <w:rsid w:val="00CA083C"/>
    <w:rsid w:val="00CA0B2B"/>
    <w:rsid w:val="00CA145A"/>
    <w:rsid w:val="00CA1B9E"/>
    <w:rsid w:val="00CA21AC"/>
    <w:rsid w:val="00CA2687"/>
    <w:rsid w:val="00CA2901"/>
    <w:rsid w:val="00CA29B2"/>
    <w:rsid w:val="00CA308D"/>
    <w:rsid w:val="00CA30A1"/>
    <w:rsid w:val="00CA3838"/>
    <w:rsid w:val="00CA38B5"/>
    <w:rsid w:val="00CA427C"/>
    <w:rsid w:val="00CA49B0"/>
    <w:rsid w:val="00CA4EC6"/>
    <w:rsid w:val="00CA5239"/>
    <w:rsid w:val="00CA58D5"/>
    <w:rsid w:val="00CA5AD0"/>
    <w:rsid w:val="00CA5D5D"/>
    <w:rsid w:val="00CA67B1"/>
    <w:rsid w:val="00CA6906"/>
    <w:rsid w:val="00CA6A4C"/>
    <w:rsid w:val="00CA6CC8"/>
    <w:rsid w:val="00CA6D85"/>
    <w:rsid w:val="00CA7502"/>
    <w:rsid w:val="00CA7857"/>
    <w:rsid w:val="00CA79D5"/>
    <w:rsid w:val="00CB00FD"/>
    <w:rsid w:val="00CB01D4"/>
    <w:rsid w:val="00CB0694"/>
    <w:rsid w:val="00CB08A6"/>
    <w:rsid w:val="00CB155B"/>
    <w:rsid w:val="00CB350B"/>
    <w:rsid w:val="00CB38CE"/>
    <w:rsid w:val="00CB476C"/>
    <w:rsid w:val="00CB4841"/>
    <w:rsid w:val="00CB4980"/>
    <w:rsid w:val="00CB4BEB"/>
    <w:rsid w:val="00CB53A7"/>
    <w:rsid w:val="00CB580D"/>
    <w:rsid w:val="00CB583D"/>
    <w:rsid w:val="00CB5B66"/>
    <w:rsid w:val="00CB6230"/>
    <w:rsid w:val="00CB6460"/>
    <w:rsid w:val="00CB65F1"/>
    <w:rsid w:val="00CB696F"/>
    <w:rsid w:val="00CB6DF3"/>
    <w:rsid w:val="00CB76E3"/>
    <w:rsid w:val="00CB7848"/>
    <w:rsid w:val="00CB78BB"/>
    <w:rsid w:val="00CB7B10"/>
    <w:rsid w:val="00CC0016"/>
    <w:rsid w:val="00CC01BA"/>
    <w:rsid w:val="00CC085A"/>
    <w:rsid w:val="00CC0BFD"/>
    <w:rsid w:val="00CC103D"/>
    <w:rsid w:val="00CC16D2"/>
    <w:rsid w:val="00CC1959"/>
    <w:rsid w:val="00CC1A34"/>
    <w:rsid w:val="00CC1C20"/>
    <w:rsid w:val="00CC1F63"/>
    <w:rsid w:val="00CC277B"/>
    <w:rsid w:val="00CC27A4"/>
    <w:rsid w:val="00CC2C99"/>
    <w:rsid w:val="00CC37E9"/>
    <w:rsid w:val="00CC3EC8"/>
    <w:rsid w:val="00CC4883"/>
    <w:rsid w:val="00CC50F6"/>
    <w:rsid w:val="00CC58F4"/>
    <w:rsid w:val="00CC5CAF"/>
    <w:rsid w:val="00CC65B4"/>
    <w:rsid w:val="00CC69DA"/>
    <w:rsid w:val="00CC6BB9"/>
    <w:rsid w:val="00CC760A"/>
    <w:rsid w:val="00CC77E3"/>
    <w:rsid w:val="00CC79DE"/>
    <w:rsid w:val="00CC7CE9"/>
    <w:rsid w:val="00CD01CC"/>
    <w:rsid w:val="00CD01F7"/>
    <w:rsid w:val="00CD054D"/>
    <w:rsid w:val="00CD0B3D"/>
    <w:rsid w:val="00CD0B67"/>
    <w:rsid w:val="00CD0D44"/>
    <w:rsid w:val="00CD1FE4"/>
    <w:rsid w:val="00CD2149"/>
    <w:rsid w:val="00CD216D"/>
    <w:rsid w:val="00CD21B0"/>
    <w:rsid w:val="00CD2C7D"/>
    <w:rsid w:val="00CD35A5"/>
    <w:rsid w:val="00CD37C6"/>
    <w:rsid w:val="00CD451B"/>
    <w:rsid w:val="00CD4931"/>
    <w:rsid w:val="00CD4BFF"/>
    <w:rsid w:val="00CD4F3B"/>
    <w:rsid w:val="00CD5972"/>
    <w:rsid w:val="00CD5B67"/>
    <w:rsid w:val="00CD5B95"/>
    <w:rsid w:val="00CD5D01"/>
    <w:rsid w:val="00CD607B"/>
    <w:rsid w:val="00CD6110"/>
    <w:rsid w:val="00CD6288"/>
    <w:rsid w:val="00CD65C8"/>
    <w:rsid w:val="00CD6B2F"/>
    <w:rsid w:val="00CD6D45"/>
    <w:rsid w:val="00CD6F35"/>
    <w:rsid w:val="00CD7143"/>
    <w:rsid w:val="00CE03CF"/>
    <w:rsid w:val="00CE06A0"/>
    <w:rsid w:val="00CE0982"/>
    <w:rsid w:val="00CE1042"/>
    <w:rsid w:val="00CE1297"/>
    <w:rsid w:val="00CE1A59"/>
    <w:rsid w:val="00CE1F2C"/>
    <w:rsid w:val="00CE24F8"/>
    <w:rsid w:val="00CE2645"/>
    <w:rsid w:val="00CE26FC"/>
    <w:rsid w:val="00CE29A0"/>
    <w:rsid w:val="00CE2B7F"/>
    <w:rsid w:val="00CE2F7F"/>
    <w:rsid w:val="00CE31DB"/>
    <w:rsid w:val="00CE31FE"/>
    <w:rsid w:val="00CE3489"/>
    <w:rsid w:val="00CE3605"/>
    <w:rsid w:val="00CE371E"/>
    <w:rsid w:val="00CE3D5B"/>
    <w:rsid w:val="00CE3F5A"/>
    <w:rsid w:val="00CE42CB"/>
    <w:rsid w:val="00CE4409"/>
    <w:rsid w:val="00CE46F9"/>
    <w:rsid w:val="00CE4B65"/>
    <w:rsid w:val="00CE4C25"/>
    <w:rsid w:val="00CE4C43"/>
    <w:rsid w:val="00CE4CC3"/>
    <w:rsid w:val="00CE4E31"/>
    <w:rsid w:val="00CE547A"/>
    <w:rsid w:val="00CE58F8"/>
    <w:rsid w:val="00CE5E3E"/>
    <w:rsid w:val="00CE6132"/>
    <w:rsid w:val="00CE6691"/>
    <w:rsid w:val="00CE6FA6"/>
    <w:rsid w:val="00CE7047"/>
    <w:rsid w:val="00CE7470"/>
    <w:rsid w:val="00CE7D16"/>
    <w:rsid w:val="00CE7D6C"/>
    <w:rsid w:val="00CF005D"/>
    <w:rsid w:val="00CF0262"/>
    <w:rsid w:val="00CF0745"/>
    <w:rsid w:val="00CF0906"/>
    <w:rsid w:val="00CF0B79"/>
    <w:rsid w:val="00CF1015"/>
    <w:rsid w:val="00CF13A8"/>
    <w:rsid w:val="00CF183F"/>
    <w:rsid w:val="00CF1F4E"/>
    <w:rsid w:val="00CF2038"/>
    <w:rsid w:val="00CF20B1"/>
    <w:rsid w:val="00CF2179"/>
    <w:rsid w:val="00CF3D2C"/>
    <w:rsid w:val="00CF3E6A"/>
    <w:rsid w:val="00CF424F"/>
    <w:rsid w:val="00CF4AFE"/>
    <w:rsid w:val="00CF5593"/>
    <w:rsid w:val="00CF56AF"/>
    <w:rsid w:val="00CF587B"/>
    <w:rsid w:val="00CF5CA0"/>
    <w:rsid w:val="00CF5EDC"/>
    <w:rsid w:val="00CF5EEC"/>
    <w:rsid w:val="00CF610F"/>
    <w:rsid w:val="00CF68E3"/>
    <w:rsid w:val="00CF7234"/>
    <w:rsid w:val="00CF74D3"/>
    <w:rsid w:val="00CF764C"/>
    <w:rsid w:val="00CF79F1"/>
    <w:rsid w:val="00CF7DCD"/>
    <w:rsid w:val="00CF7EB6"/>
    <w:rsid w:val="00D00465"/>
    <w:rsid w:val="00D009B2"/>
    <w:rsid w:val="00D00A36"/>
    <w:rsid w:val="00D00D72"/>
    <w:rsid w:val="00D01412"/>
    <w:rsid w:val="00D0170F"/>
    <w:rsid w:val="00D01ACA"/>
    <w:rsid w:val="00D01C5D"/>
    <w:rsid w:val="00D01F5D"/>
    <w:rsid w:val="00D02555"/>
    <w:rsid w:val="00D034B0"/>
    <w:rsid w:val="00D03959"/>
    <w:rsid w:val="00D03C04"/>
    <w:rsid w:val="00D03C96"/>
    <w:rsid w:val="00D03E0F"/>
    <w:rsid w:val="00D0496A"/>
    <w:rsid w:val="00D04984"/>
    <w:rsid w:val="00D04AC6"/>
    <w:rsid w:val="00D05076"/>
    <w:rsid w:val="00D056EF"/>
    <w:rsid w:val="00D059C4"/>
    <w:rsid w:val="00D05D21"/>
    <w:rsid w:val="00D06097"/>
    <w:rsid w:val="00D0654C"/>
    <w:rsid w:val="00D06553"/>
    <w:rsid w:val="00D06603"/>
    <w:rsid w:val="00D066EE"/>
    <w:rsid w:val="00D07045"/>
    <w:rsid w:val="00D0778B"/>
    <w:rsid w:val="00D07939"/>
    <w:rsid w:val="00D1091E"/>
    <w:rsid w:val="00D10ADA"/>
    <w:rsid w:val="00D10ECC"/>
    <w:rsid w:val="00D10ECE"/>
    <w:rsid w:val="00D118D1"/>
    <w:rsid w:val="00D11B1E"/>
    <w:rsid w:val="00D12005"/>
    <w:rsid w:val="00D121D5"/>
    <w:rsid w:val="00D122D8"/>
    <w:rsid w:val="00D1245B"/>
    <w:rsid w:val="00D12689"/>
    <w:rsid w:val="00D13811"/>
    <w:rsid w:val="00D1399F"/>
    <w:rsid w:val="00D13B0D"/>
    <w:rsid w:val="00D13BBE"/>
    <w:rsid w:val="00D13F94"/>
    <w:rsid w:val="00D14010"/>
    <w:rsid w:val="00D14362"/>
    <w:rsid w:val="00D1484F"/>
    <w:rsid w:val="00D1490D"/>
    <w:rsid w:val="00D15074"/>
    <w:rsid w:val="00D15233"/>
    <w:rsid w:val="00D153B2"/>
    <w:rsid w:val="00D15611"/>
    <w:rsid w:val="00D158BB"/>
    <w:rsid w:val="00D16002"/>
    <w:rsid w:val="00D16AA1"/>
    <w:rsid w:val="00D1700B"/>
    <w:rsid w:val="00D173D7"/>
    <w:rsid w:val="00D174CB"/>
    <w:rsid w:val="00D178BA"/>
    <w:rsid w:val="00D17A7D"/>
    <w:rsid w:val="00D17C4C"/>
    <w:rsid w:val="00D201A1"/>
    <w:rsid w:val="00D205B2"/>
    <w:rsid w:val="00D208FC"/>
    <w:rsid w:val="00D20B90"/>
    <w:rsid w:val="00D20DC1"/>
    <w:rsid w:val="00D20F52"/>
    <w:rsid w:val="00D2159E"/>
    <w:rsid w:val="00D21F4A"/>
    <w:rsid w:val="00D222E2"/>
    <w:rsid w:val="00D2234F"/>
    <w:rsid w:val="00D22479"/>
    <w:rsid w:val="00D226E9"/>
    <w:rsid w:val="00D22A70"/>
    <w:rsid w:val="00D22D83"/>
    <w:rsid w:val="00D22EE1"/>
    <w:rsid w:val="00D22EFA"/>
    <w:rsid w:val="00D22F59"/>
    <w:rsid w:val="00D230D7"/>
    <w:rsid w:val="00D23C98"/>
    <w:rsid w:val="00D2436A"/>
    <w:rsid w:val="00D2498F"/>
    <w:rsid w:val="00D24F22"/>
    <w:rsid w:val="00D251FF"/>
    <w:rsid w:val="00D2525B"/>
    <w:rsid w:val="00D25480"/>
    <w:rsid w:val="00D25A48"/>
    <w:rsid w:val="00D25F2A"/>
    <w:rsid w:val="00D26052"/>
    <w:rsid w:val="00D263D9"/>
    <w:rsid w:val="00D264FC"/>
    <w:rsid w:val="00D26552"/>
    <w:rsid w:val="00D268A1"/>
    <w:rsid w:val="00D26B25"/>
    <w:rsid w:val="00D27130"/>
    <w:rsid w:val="00D27B85"/>
    <w:rsid w:val="00D3071C"/>
    <w:rsid w:val="00D30D01"/>
    <w:rsid w:val="00D3146C"/>
    <w:rsid w:val="00D31F3E"/>
    <w:rsid w:val="00D326D1"/>
    <w:rsid w:val="00D328CE"/>
    <w:rsid w:val="00D32E1A"/>
    <w:rsid w:val="00D32E4A"/>
    <w:rsid w:val="00D33299"/>
    <w:rsid w:val="00D3345D"/>
    <w:rsid w:val="00D33460"/>
    <w:rsid w:val="00D337E5"/>
    <w:rsid w:val="00D33B38"/>
    <w:rsid w:val="00D33C05"/>
    <w:rsid w:val="00D33C55"/>
    <w:rsid w:val="00D34351"/>
    <w:rsid w:val="00D34536"/>
    <w:rsid w:val="00D347E2"/>
    <w:rsid w:val="00D34BA6"/>
    <w:rsid w:val="00D352DC"/>
    <w:rsid w:val="00D359D3"/>
    <w:rsid w:val="00D35B06"/>
    <w:rsid w:val="00D35D84"/>
    <w:rsid w:val="00D36152"/>
    <w:rsid w:val="00D366EF"/>
    <w:rsid w:val="00D3681A"/>
    <w:rsid w:val="00D36E0B"/>
    <w:rsid w:val="00D3769E"/>
    <w:rsid w:val="00D37A95"/>
    <w:rsid w:val="00D37BF1"/>
    <w:rsid w:val="00D37CB3"/>
    <w:rsid w:val="00D40715"/>
    <w:rsid w:val="00D40EEE"/>
    <w:rsid w:val="00D40F22"/>
    <w:rsid w:val="00D41558"/>
    <w:rsid w:val="00D41819"/>
    <w:rsid w:val="00D425B9"/>
    <w:rsid w:val="00D430BF"/>
    <w:rsid w:val="00D437C8"/>
    <w:rsid w:val="00D44433"/>
    <w:rsid w:val="00D444F1"/>
    <w:rsid w:val="00D4499F"/>
    <w:rsid w:val="00D44D61"/>
    <w:rsid w:val="00D44E14"/>
    <w:rsid w:val="00D44EB9"/>
    <w:rsid w:val="00D45435"/>
    <w:rsid w:val="00D45F47"/>
    <w:rsid w:val="00D46320"/>
    <w:rsid w:val="00D469B0"/>
    <w:rsid w:val="00D469DA"/>
    <w:rsid w:val="00D46C07"/>
    <w:rsid w:val="00D46FFD"/>
    <w:rsid w:val="00D47626"/>
    <w:rsid w:val="00D4782A"/>
    <w:rsid w:val="00D47DDF"/>
    <w:rsid w:val="00D47DF9"/>
    <w:rsid w:val="00D50563"/>
    <w:rsid w:val="00D50DC2"/>
    <w:rsid w:val="00D51236"/>
    <w:rsid w:val="00D513F9"/>
    <w:rsid w:val="00D514CD"/>
    <w:rsid w:val="00D51B3B"/>
    <w:rsid w:val="00D51B5A"/>
    <w:rsid w:val="00D51D82"/>
    <w:rsid w:val="00D51E0E"/>
    <w:rsid w:val="00D521B4"/>
    <w:rsid w:val="00D52331"/>
    <w:rsid w:val="00D52579"/>
    <w:rsid w:val="00D52B8E"/>
    <w:rsid w:val="00D52CF8"/>
    <w:rsid w:val="00D52E0A"/>
    <w:rsid w:val="00D52EBD"/>
    <w:rsid w:val="00D5362D"/>
    <w:rsid w:val="00D5393D"/>
    <w:rsid w:val="00D53BCA"/>
    <w:rsid w:val="00D53FDB"/>
    <w:rsid w:val="00D54013"/>
    <w:rsid w:val="00D54705"/>
    <w:rsid w:val="00D54775"/>
    <w:rsid w:val="00D54D95"/>
    <w:rsid w:val="00D54FC0"/>
    <w:rsid w:val="00D5503D"/>
    <w:rsid w:val="00D551B5"/>
    <w:rsid w:val="00D55664"/>
    <w:rsid w:val="00D5568C"/>
    <w:rsid w:val="00D557CB"/>
    <w:rsid w:val="00D55957"/>
    <w:rsid w:val="00D55E7D"/>
    <w:rsid w:val="00D56599"/>
    <w:rsid w:val="00D567B7"/>
    <w:rsid w:val="00D56821"/>
    <w:rsid w:val="00D5689C"/>
    <w:rsid w:val="00D5690E"/>
    <w:rsid w:val="00D56966"/>
    <w:rsid w:val="00D56A34"/>
    <w:rsid w:val="00D56AD4"/>
    <w:rsid w:val="00D56C80"/>
    <w:rsid w:val="00D56F75"/>
    <w:rsid w:val="00D57243"/>
    <w:rsid w:val="00D572B2"/>
    <w:rsid w:val="00D575E2"/>
    <w:rsid w:val="00D57674"/>
    <w:rsid w:val="00D579A5"/>
    <w:rsid w:val="00D57D88"/>
    <w:rsid w:val="00D57F1F"/>
    <w:rsid w:val="00D601AA"/>
    <w:rsid w:val="00D602BA"/>
    <w:rsid w:val="00D607C5"/>
    <w:rsid w:val="00D61062"/>
    <w:rsid w:val="00D61737"/>
    <w:rsid w:val="00D617A0"/>
    <w:rsid w:val="00D6195B"/>
    <w:rsid w:val="00D61971"/>
    <w:rsid w:val="00D6236F"/>
    <w:rsid w:val="00D632C5"/>
    <w:rsid w:val="00D63386"/>
    <w:rsid w:val="00D63F0C"/>
    <w:rsid w:val="00D64463"/>
    <w:rsid w:val="00D64D01"/>
    <w:rsid w:val="00D652A5"/>
    <w:rsid w:val="00D65515"/>
    <w:rsid w:val="00D65F3B"/>
    <w:rsid w:val="00D6621A"/>
    <w:rsid w:val="00D6621B"/>
    <w:rsid w:val="00D66251"/>
    <w:rsid w:val="00D66988"/>
    <w:rsid w:val="00D66A3A"/>
    <w:rsid w:val="00D66AD9"/>
    <w:rsid w:val="00D66C05"/>
    <w:rsid w:val="00D67955"/>
    <w:rsid w:val="00D67F6D"/>
    <w:rsid w:val="00D70C3F"/>
    <w:rsid w:val="00D71578"/>
    <w:rsid w:val="00D72314"/>
    <w:rsid w:val="00D7264B"/>
    <w:rsid w:val="00D726DD"/>
    <w:rsid w:val="00D72796"/>
    <w:rsid w:val="00D72D3B"/>
    <w:rsid w:val="00D73488"/>
    <w:rsid w:val="00D7351B"/>
    <w:rsid w:val="00D752F7"/>
    <w:rsid w:val="00D75B54"/>
    <w:rsid w:val="00D75E61"/>
    <w:rsid w:val="00D76212"/>
    <w:rsid w:val="00D762C7"/>
    <w:rsid w:val="00D7666D"/>
    <w:rsid w:val="00D7719B"/>
    <w:rsid w:val="00D772DA"/>
    <w:rsid w:val="00D7736E"/>
    <w:rsid w:val="00D77930"/>
    <w:rsid w:val="00D77E6A"/>
    <w:rsid w:val="00D77FBB"/>
    <w:rsid w:val="00D801D4"/>
    <w:rsid w:val="00D80394"/>
    <w:rsid w:val="00D805B7"/>
    <w:rsid w:val="00D80A3D"/>
    <w:rsid w:val="00D80CD3"/>
    <w:rsid w:val="00D80D1C"/>
    <w:rsid w:val="00D80D78"/>
    <w:rsid w:val="00D80F49"/>
    <w:rsid w:val="00D80F65"/>
    <w:rsid w:val="00D8135C"/>
    <w:rsid w:val="00D8154A"/>
    <w:rsid w:val="00D81680"/>
    <w:rsid w:val="00D81C7A"/>
    <w:rsid w:val="00D8214B"/>
    <w:rsid w:val="00D822B4"/>
    <w:rsid w:val="00D829BE"/>
    <w:rsid w:val="00D83116"/>
    <w:rsid w:val="00D836E3"/>
    <w:rsid w:val="00D83AD5"/>
    <w:rsid w:val="00D83F50"/>
    <w:rsid w:val="00D84471"/>
    <w:rsid w:val="00D845F7"/>
    <w:rsid w:val="00D84B8E"/>
    <w:rsid w:val="00D84BC9"/>
    <w:rsid w:val="00D853DD"/>
    <w:rsid w:val="00D8544D"/>
    <w:rsid w:val="00D85507"/>
    <w:rsid w:val="00D85813"/>
    <w:rsid w:val="00D85AB2"/>
    <w:rsid w:val="00D85CD0"/>
    <w:rsid w:val="00D85DA6"/>
    <w:rsid w:val="00D85F15"/>
    <w:rsid w:val="00D86001"/>
    <w:rsid w:val="00D86453"/>
    <w:rsid w:val="00D86D46"/>
    <w:rsid w:val="00D870E5"/>
    <w:rsid w:val="00D873B7"/>
    <w:rsid w:val="00D87745"/>
    <w:rsid w:val="00D8792D"/>
    <w:rsid w:val="00D87C14"/>
    <w:rsid w:val="00D9016E"/>
    <w:rsid w:val="00D90363"/>
    <w:rsid w:val="00D905F8"/>
    <w:rsid w:val="00D91157"/>
    <w:rsid w:val="00D911B5"/>
    <w:rsid w:val="00D91367"/>
    <w:rsid w:val="00D91DBB"/>
    <w:rsid w:val="00D9250E"/>
    <w:rsid w:val="00D92535"/>
    <w:rsid w:val="00D92B31"/>
    <w:rsid w:val="00D92B6A"/>
    <w:rsid w:val="00D92D57"/>
    <w:rsid w:val="00D92D5C"/>
    <w:rsid w:val="00D92E07"/>
    <w:rsid w:val="00D935D3"/>
    <w:rsid w:val="00D93A66"/>
    <w:rsid w:val="00D94731"/>
    <w:rsid w:val="00D94FB7"/>
    <w:rsid w:val="00D9521E"/>
    <w:rsid w:val="00D956C4"/>
    <w:rsid w:val="00D95782"/>
    <w:rsid w:val="00D95A50"/>
    <w:rsid w:val="00D95A9C"/>
    <w:rsid w:val="00D95C80"/>
    <w:rsid w:val="00D95D2F"/>
    <w:rsid w:val="00D96A6F"/>
    <w:rsid w:val="00D96D73"/>
    <w:rsid w:val="00D96DF0"/>
    <w:rsid w:val="00D9703C"/>
    <w:rsid w:val="00D9728B"/>
    <w:rsid w:val="00D97E28"/>
    <w:rsid w:val="00DA018E"/>
    <w:rsid w:val="00DA040B"/>
    <w:rsid w:val="00DA0915"/>
    <w:rsid w:val="00DA1049"/>
    <w:rsid w:val="00DA2A6E"/>
    <w:rsid w:val="00DA2FBD"/>
    <w:rsid w:val="00DA3257"/>
    <w:rsid w:val="00DA32B2"/>
    <w:rsid w:val="00DA3324"/>
    <w:rsid w:val="00DA3353"/>
    <w:rsid w:val="00DA37BC"/>
    <w:rsid w:val="00DA3B74"/>
    <w:rsid w:val="00DA3D5A"/>
    <w:rsid w:val="00DA43F4"/>
    <w:rsid w:val="00DA4982"/>
    <w:rsid w:val="00DA4AD5"/>
    <w:rsid w:val="00DA5180"/>
    <w:rsid w:val="00DA5273"/>
    <w:rsid w:val="00DA5324"/>
    <w:rsid w:val="00DA544C"/>
    <w:rsid w:val="00DA5DE8"/>
    <w:rsid w:val="00DA6551"/>
    <w:rsid w:val="00DA6562"/>
    <w:rsid w:val="00DA675E"/>
    <w:rsid w:val="00DA68DD"/>
    <w:rsid w:val="00DA6CF5"/>
    <w:rsid w:val="00DA7343"/>
    <w:rsid w:val="00DA7407"/>
    <w:rsid w:val="00DA7BA7"/>
    <w:rsid w:val="00DB0C97"/>
    <w:rsid w:val="00DB11BC"/>
    <w:rsid w:val="00DB14FA"/>
    <w:rsid w:val="00DB2297"/>
    <w:rsid w:val="00DB2388"/>
    <w:rsid w:val="00DB24E1"/>
    <w:rsid w:val="00DB2710"/>
    <w:rsid w:val="00DB282F"/>
    <w:rsid w:val="00DB294B"/>
    <w:rsid w:val="00DB2A2A"/>
    <w:rsid w:val="00DB2B15"/>
    <w:rsid w:val="00DB2C55"/>
    <w:rsid w:val="00DB2E64"/>
    <w:rsid w:val="00DB3013"/>
    <w:rsid w:val="00DB33D0"/>
    <w:rsid w:val="00DB386E"/>
    <w:rsid w:val="00DB39D3"/>
    <w:rsid w:val="00DB39DD"/>
    <w:rsid w:val="00DB3B8D"/>
    <w:rsid w:val="00DB3D82"/>
    <w:rsid w:val="00DB44AA"/>
    <w:rsid w:val="00DB46CF"/>
    <w:rsid w:val="00DB4A1F"/>
    <w:rsid w:val="00DB5021"/>
    <w:rsid w:val="00DB50F7"/>
    <w:rsid w:val="00DB55CB"/>
    <w:rsid w:val="00DB561E"/>
    <w:rsid w:val="00DB58D3"/>
    <w:rsid w:val="00DB68A8"/>
    <w:rsid w:val="00DB78D3"/>
    <w:rsid w:val="00DB7C94"/>
    <w:rsid w:val="00DC04D1"/>
    <w:rsid w:val="00DC08DD"/>
    <w:rsid w:val="00DC0CD5"/>
    <w:rsid w:val="00DC0DED"/>
    <w:rsid w:val="00DC12BC"/>
    <w:rsid w:val="00DC232E"/>
    <w:rsid w:val="00DC2918"/>
    <w:rsid w:val="00DC3398"/>
    <w:rsid w:val="00DC354C"/>
    <w:rsid w:val="00DC3567"/>
    <w:rsid w:val="00DC387A"/>
    <w:rsid w:val="00DC3DC9"/>
    <w:rsid w:val="00DC4235"/>
    <w:rsid w:val="00DC4383"/>
    <w:rsid w:val="00DC44A8"/>
    <w:rsid w:val="00DC4666"/>
    <w:rsid w:val="00DC4784"/>
    <w:rsid w:val="00DC4951"/>
    <w:rsid w:val="00DC4D89"/>
    <w:rsid w:val="00DC4F6C"/>
    <w:rsid w:val="00DC5AE7"/>
    <w:rsid w:val="00DC6879"/>
    <w:rsid w:val="00DC68BB"/>
    <w:rsid w:val="00DC6ACF"/>
    <w:rsid w:val="00DC718D"/>
    <w:rsid w:val="00DC71B7"/>
    <w:rsid w:val="00DC74AB"/>
    <w:rsid w:val="00DC75B1"/>
    <w:rsid w:val="00DC7838"/>
    <w:rsid w:val="00DC795E"/>
    <w:rsid w:val="00DC7970"/>
    <w:rsid w:val="00DC7BE6"/>
    <w:rsid w:val="00DD05C1"/>
    <w:rsid w:val="00DD0629"/>
    <w:rsid w:val="00DD0962"/>
    <w:rsid w:val="00DD0BCA"/>
    <w:rsid w:val="00DD1469"/>
    <w:rsid w:val="00DD1570"/>
    <w:rsid w:val="00DD1A6A"/>
    <w:rsid w:val="00DD1AC2"/>
    <w:rsid w:val="00DD282F"/>
    <w:rsid w:val="00DD2F57"/>
    <w:rsid w:val="00DD30B3"/>
    <w:rsid w:val="00DD329B"/>
    <w:rsid w:val="00DD33AA"/>
    <w:rsid w:val="00DD38EB"/>
    <w:rsid w:val="00DD3967"/>
    <w:rsid w:val="00DD3F54"/>
    <w:rsid w:val="00DD434E"/>
    <w:rsid w:val="00DD45D6"/>
    <w:rsid w:val="00DD4F20"/>
    <w:rsid w:val="00DD52DF"/>
    <w:rsid w:val="00DD5482"/>
    <w:rsid w:val="00DD5735"/>
    <w:rsid w:val="00DD5F2D"/>
    <w:rsid w:val="00DD6013"/>
    <w:rsid w:val="00DD6F7A"/>
    <w:rsid w:val="00DD719C"/>
    <w:rsid w:val="00DD75F4"/>
    <w:rsid w:val="00DE0282"/>
    <w:rsid w:val="00DE06E0"/>
    <w:rsid w:val="00DE0945"/>
    <w:rsid w:val="00DE1419"/>
    <w:rsid w:val="00DE17F4"/>
    <w:rsid w:val="00DE1D6D"/>
    <w:rsid w:val="00DE21B2"/>
    <w:rsid w:val="00DE22B6"/>
    <w:rsid w:val="00DE2316"/>
    <w:rsid w:val="00DE2F5F"/>
    <w:rsid w:val="00DE321F"/>
    <w:rsid w:val="00DE33FD"/>
    <w:rsid w:val="00DE3523"/>
    <w:rsid w:val="00DE3850"/>
    <w:rsid w:val="00DE3B92"/>
    <w:rsid w:val="00DE3D9B"/>
    <w:rsid w:val="00DE4113"/>
    <w:rsid w:val="00DE44F0"/>
    <w:rsid w:val="00DE58E5"/>
    <w:rsid w:val="00DE5C77"/>
    <w:rsid w:val="00DE5E75"/>
    <w:rsid w:val="00DE619A"/>
    <w:rsid w:val="00DE6810"/>
    <w:rsid w:val="00DE6BB3"/>
    <w:rsid w:val="00DE719F"/>
    <w:rsid w:val="00DE732B"/>
    <w:rsid w:val="00DE7F41"/>
    <w:rsid w:val="00DF02A9"/>
    <w:rsid w:val="00DF1424"/>
    <w:rsid w:val="00DF1A7D"/>
    <w:rsid w:val="00DF1B35"/>
    <w:rsid w:val="00DF1EAE"/>
    <w:rsid w:val="00DF25E1"/>
    <w:rsid w:val="00DF25E2"/>
    <w:rsid w:val="00DF265D"/>
    <w:rsid w:val="00DF2D19"/>
    <w:rsid w:val="00DF2E3E"/>
    <w:rsid w:val="00DF4150"/>
    <w:rsid w:val="00DF4402"/>
    <w:rsid w:val="00DF47C0"/>
    <w:rsid w:val="00DF4EF4"/>
    <w:rsid w:val="00DF5065"/>
    <w:rsid w:val="00DF5234"/>
    <w:rsid w:val="00DF5388"/>
    <w:rsid w:val="00DF56AE"/>
    <w:rsid w:val="00DF5C23"/>
    <w:rsid w:val="00DF5D12"/>
    <w:rsid w:val="00DF625E"/>
    <w:rsid w:val="00DF6296"/>
    <w:rsid w:val="00DF69B4"/>
    <w:rsid w:val="00DF6F12"/>
    <w:rsid w:val="00DF6F15"/>
    <w:rsid w:val="00DF7400"/>
    <w:rsid w:val="00DF7450"/>
    <w:rsid w:val="00DF75BA"/>
    <w:rsid w:val="00DF7829"/>
    <w:rsid w:val="00DF783F"/>
    <w:rsid w:val="00DF7953"/>
    <w:rsid w:val="00DF7BB6"/>
    <w:rsid w:val="00DF7BCB"/>
    <w:rsid w:val="00DF7E0F"/>
    <w:rsid w:val="00E000E8"/>
    <w:rsid w:val="00E004CF"/>
    <w:rsid w:val="00E00D54"/>
    <w:rsid w:val="00E00ED3"/>
    <w:rsid w:val="00E00F8C"/>
    <w:rsid w:val="00E00FE4"/>
    <w:rsid w:val="00E01465"/>
    <w:rsid w:val="00E0149C"/>
    <w:rsid w:val="00E01AF0"/>
    <w:rsid w:val="00E01D0E"/>
    <w:rsid w:val="00E01F15"/>
    <w:rsid w:val="00E01FD1"/>
    <w:rsid w:val="00E03374"/>
    <w:rsid w:val="00E03CB2"/>
    <w:rsid w:val="00E0443C"/>
    <w:rsid w:val="00E04A30"/>
    <w:rsid w:val="00E04A6B"/>
    <w:rsid w:val="00E04B6E"/>
    <w:rsid w:val="00E05309"/>
    <w:rsid w:val="00E0560A"/>
    <w:rsid w:val="00E05C37"/>
    <w:rsid w:val="00E060A1"/>
    <w:rsid w:val="00E06BE2"/>
    <w:rsid w:val="00E0757C"/>
    <w:rsid w:val="00E075EE"/>
    <w:rsid w:val="00E1015E"/>
    <w:rsid w:val="00E108D4"/>
    <w:rsid w:val="00E1117B"/>
    <w:rsid w:val="00E113D9"/>
    <w:rsid w:val="00E11BAB"/>
    <w:rsid w:val="00E11CEA"/>
    <w:rsid w:val="00E1206F"/>
    <w:rsid w:val="00E12080"/>
    <w:rsid w:val="00E12138"/>
    <w:rsid w:val="00E12AE5"/>
    <w:rsid w:val="00E1335F"/>
    <w:rsid w:val="00E133EF"/>
    <w:rsid w:val="00E143BD"/>
    <w:rsid w:val="00E144EC"/>
    <w:rsid w:val="00E14983"/>
    <w:rsid w:val="00E14D12"/>
    <w:rsid w:val="00E1581C"/>
    <w:rsid w:val="00E15BAF"/>
    <w:rsid w:val="00E161EE"/>
    <w:rsid w:val="00E16238"/>
    <w:rsid w:val="00E1690F"/>
    <w:rsid w:val="00E16941"/>
    <w:rsid w:val="00E169FF"/>
    <w:rsid w:val="00E17593"/>
    <w:rsid w:val="00E17B28"/>
    <w:rsid w:val="00E17B2A"/>
    <w:rsid w:val="00E17F67"/>
    <w:rsid w:val="00E207EB"/>
    <w:rsid w:val="00E20B5D"/>
    <w:rsid w:val="00E20D35"/>
    <w:rsid w:val="00E21428"/>
    <w:rsid w:val="00E216AE"/>
    <w:rsid w:val="00E21B27"/>
    <w:rsid w:val="00E21EE3"/>
    <w:rsid w:val="00E21F0E"/>
    <w:rsid w:val="00E223E3"/>
    <w:rsid w:val="00E223E8"/>
    <w:rsid w:val="00E226FA"/>
    <w:rsid w:val="00E22AA7"/>
    <w:rsid w:val="00E22B6E"/>
    <w:rsid w:val="00E22E09"/>
    <w:rsid w:val="00E234E1"/>
    <w:rsid w:val="00E23CCC"/>
    <w:rsid w:val="00E23D70"/>
    <w:rsid w:val="00E244ED"/>
    <w:rsid w:val="00E246E2"/>
    <w:rsid w:val="00E24D87"/>
    <w:rsid w:val="00E24F5D"/>
    <w:rsid w:val="00E24FB7"/>
    <w:rsid w:val="00E25298"/>
    <w:rsid w:val="00E2563D"/>
    <w:rsid w:val="00E25F14"/>
    <w:rsid w:val="00E26502"/>
    <w:rsid w:val="00E26774"/>
    <w:rsid w:val="00E26B38"/>
    <w:rsid w:val="00E26B57"/>
    <w:rsid w:val="00E26F1C"/>
    <w:rsid w:val="00E27286"/>
    <w:rsid w:val="00E27296"/>
    <w:rsid w:val="00E274F5"/>
    <w:rsid w:val="00E274FB"/>
    <w:rsid w:val="00E306D6"/>
    <w:rsid w:val="00E30873"/>
    <w:rsid w:val="00E3087D"/>
    <w:rsid w:val="00E30F10"/>
    <w:rsid w:val="00E311CB"/>
    <w:rsid w:val="00E31D72"/>
    <w:rsid w:val="00E31F78"/>
    <w:rsid w:val="00E32791"/>
    <w:rsid w:val="00E32C4F"/>
    <w:rsid w:val="00E3389E"/>
    <w:rsid w:val="00E33940"/>
    <w:rsid w:val="00E33F89"/>
    <w:rsid w:val="00E3450E"/>
    <w:rsid w:val="00E34568"/>
    <w:rsid w:val="00E3540F"/>
    <w:rsid w:val="00E3545E"/>
    <w:rsid w:val="00E35EB6"/>
    <w:rsid w:val="00E35F37"/>
    <w:rsid w:val="00E360FF"/>
    <w:rsid w:val="00E367D3"/>
    <w:rsid w:val="00E36AAE"/>
    <w:rsid w:val="00E36FEB"/>
    <w:rsid w:val="00E372C7"/>
    <w:rsid w:val="00E37B7C"/>
    <w:rsid w:val="00E4010F"/>
    <w:rsid w:val="00E40206"/>
    <w:rsid w:val="00E4029B"/>
    <w:rsid w:val="00E402AE"/>
    <w:rsid w:val="00E40A95"/>
    <w:rsid w:val="00E40F9F"/>
    <w:rsid w:val="00E412C3"/>
    <w:rsid w:val="00E41867"/>
    <w:rsid w:val="00E41E47"/>
    <w:rsid w:val="00E41EDF"/>
    <w:rsid w:val="00E41F77"/>
    <w:rsid w:val="00E4310E"/>
    <w:rsid w:val="00E44A21"/>
    <w:rsid w:val="00E44C97"/>
    <w:rsid w:val="00E44DB9"/>
    <w:rsid w:val="00E45253"/>
    <w:rsid w:val="00E45255"/>
    <w:rsid w:val="00E45503"/>
    <w:rsid w:val="00E46C2A"/>
    <w:rsid w:val="00E46D66"/>
    <w:rsid w:val="00E477EA"/>
    <w:rsid w:val="00E478E7"/>
    <w:rsid w:val="00E47DDA"/>
    <w:rsid w:val="00E47F69"/>
    <w:rsid w:val="00E506E8"/>
    <w:rsid w:val="00E50D65"/>
    <w:rsid w:val="00E50DA4"/>
    <w:rsid w:val="00E50DE6"/>
    <w:rsid w:val="00E51092"/>
    <w:rsid w:val="00E51515"/>
    <w:rsid w:val="00E517BD"/>
    <w:rsid w:val="00E52500"/>
    <w:rsid w:val="00E52AA5"/>
    <w:rsid w:val="00E52FC2"/>
    <w:rsid w:val="00E53687"/>
    <w:rsid w:val="00E539AE"/>
    <w:rsid w:val="00E53E74"/>
    <w:rsid w:val="00E53EAD"/>
    <w:rsid w:val="00E5441A"/>
    <w:rsid w:val="00E5478C"/>
    <w:rsid w:val="00E551C6"/>
    <w:rsid w:val="00E55438"/>
    <w:rsid w:val="00E55838"/>
    <w:rsid w:val="00E55D50"/>
    <w:rsid w:val="00E56535"/>
    <w:rsid w:val="00E568E8"/>
    <w:rsid w:val="00E56B7A"/>
    <w:rsid w:val="00E56CE0"/>
    <w:rsid w:val="00E571E7"/>
    <w:rsid w:val="00E57D57"/>
    <w:rsid w:val="00E57DE7"/>
    <w:rsid w:val="00E6030B"/>
    <w:rsid w:val="00E6041E"/>
    <w:rsid w:val="00E60A99"/>
    <w:rsid w:val="00E60AD1"/>
    <w:rsid w:val="00E61253"/>
    <w:rsid w:val="00E61348"/>
    <w:rsid w:val="00E61395"/>
    <w:rsid w:val="00E613EA"/>
    <w:rsid w:val="00E616C3"/>
    <w:rsid w:val="00E61A6A"/>
    <w:rsid w:val="00E61E10"/>
    <w:rsid w:val="00E62142"/>
    <w:rsid w:val="00E6273B"/>
    <w:rsid w:val="00E62B33"/>
    <w:rsid w:val="00E62B71"/>
    <w:rsid w:val="00E630EB"/>
    <w:rsid w:val="00E63668"/>
    <w:rsid w:val="00E63AA0"/>
    <w:rsid w:val="00E63C1D"/>
    <w:rsid w:val="00E63F17"/>
    <w:rsid w:val="00E63F43"/>
    <w:rsid w:val="00E640B8"/>
    <w:rsid w:val="00E641C0"/>
    <w:rsid w:val="00E64647"/>
    <w:rsid w:val="00E64748"/>
    <w:rsid w:val="00E64854"/>
    <w:rsid w:val="00E64C3C"/>
    <w:rsid w:val="00E6506C"/>
    <w:rsid w:val="00E652D7"/>
    <w:rsid w:val="00E655AB"/>
    <w:rsid w:val="00E65673"/>
    <w:rsid w:val="00E66033"/>
    <w:rsid w:val="00E66266"/>
    <w:rsid w:val="00E665F9"/>
    <w:rsid w:val="00E6676E"/>
    <w:rsid w:val="00E66928"/>
    <w:rsid w:val="00E66AE9"/>
    <w:rsid w:val="00E66EFB"/>
    <w:rsid w:val="00E66FD2"/>
    <w:rsid w:val="00E66FE9"/>
    <w:rsid w:val="00E67070"/>
    <w:rsid w:val="00E67542"/>
    <w:rsid w:val="00E67586"/>
    <w:rsid w:val="00E67A45"/>
    <w:rsid w:val="00E70BA2"/>
    <w:rsid w:val="00E7104C"/>
    <w:rsid w:val="00E711CD"/>
    <w:rsid w:val="00E7157E"/>
    <w:rsid w:val="00E715D7"/>
    <w:rsid w:val="00E7170B"/>
    <w:rsid w:val="00E71ACE"/>
    <w:rsid w:val="00E71EC8"/>
    <w:rsid w:val="00E721F2"/>
    <w:rsid w:val="00E722DC"/>
    <w:rsid w:val="00E7244D"/>
    <w:rsid w:val="00E7250A"/>
    <w:rsid w:val="00E72852"/>
    <w:rsid w:val="00E73849"/>
    <w:rsid w:val="00E74203"/>
    <w:rsid w:val="00E748D8"/>
    <w:rsid w:val="00E750CF"/>
    <w:rsid w:val="00E75221"/>
    <w:rsid w:val="00E7549F"/>
    <w:rsid w:val="00E75745"/>
    <w:rsid w:val="00E762D0"/>
    <w:rsid w:val="00E763A6"/>
    <w:rsid w:val="00E7650E"/>
    <w:rsid w:val="00E765C9"/>
    <w:rsid w:val="00E76B8C"/>
    <w:rsid w:val="00E76C4F"/>
    <w:rsid w:val="00E770D4"/>
    <w:rsid w:val="00E77398"/>
    <w:rsid w:val="00E7796D"/>
    <w:rsid w:val="00E779DA"/>
    <w:rsid w:val="00E77C26"/>
    <w:rsid w:val="00E77E21"/>
    <w:rsid w:val="00E802E1"/>
    <w:rsid w:val="00E803E1"/>
    <w:rsid w:val="00E806A5"/>
    <w:rsid w:val="00E80747"/>
    <w:rsid w:val="00E811A7"/>
    <w:rsid w:val="00E8126B"/>
    <w:rsid w:val="00E81276"/>
    <w:rsid w:val="00E8137D"/>
    <w:rsid w:val="00E81A4C"/>
    <w:rsid w:val="00E82AE0"/>
    <w:rsid w:val="00E82B99"/>
    <w:rsid w:val="00E842E1"/>
    <w:rsid w:val="00E84CA4"/>
    <w:rsid w:val="00E85C06"/>
    <w:rsid w:val="00E86316"/>
    <w:rsid w:val="00E8642E"/>
    <w:rsid w:val="00E86466"/>
    <w:rsid w:val="00E868BC"/>
    <w:rsid w:val="00E86B14"/>
    <w:rsid w:val="00E86F00"/>
    <w:rsid w:val="00E8745D"/>
    <w:rsid w:val="00E87539"/>
    <w:rsid w:val="00E87573"/>
    <w:rsid w:val="00E8759D"/>
    <w:rsid w:val="00E87A44"/>
    <w:rsid w:val="00E87D94"/>
    <w:rsid w:val="00E87FB0"/>
    <w:rsid w:val="00E903E0"/>
    <w:rsid w:val="00E90683"/>
    <w:rsid w:val="00E906E6"/>
    <w:rsid w:val="00E91052"/>
    <w:rsid w:val="00E91829"/>
    <w:rsid w:val="00E923C5"/>
    <w:rsid w:val="00E93851"/>
    <w:rsid w:val="00E93AB6"/>
    <w:rsid w:val="00E93BD1"/>
    <w:rsid w:val="00E9447B"/>
    <w:rsid w:val="00E944E8"/>
    <w:rsid w:val="00E94CC2"/>
    <w:rsid w:val="00E94DFD"/>
    <w:rsid w:val="00E94EE0"/>
    <w:rsid w:val="00E9503A"/>
    <w:rsid w:val="00E951EF"/>
    <w:rsid w:val="00E9562F"/>
    <w:rsid w:val="00E957D9"/>
    <w:rsid w:val="00E95C97"/>
    <w:rsid w:val="00E9626E"/>
    <w:rsid w:val="00E9677F"/>
    <w:rsid w:val="00E968CE"/>
    <w:rsid w:val="00E96B0B"/>
    <w:rsid w:val="00E96F07"/>
    <w:rsid w:val="00E970CC"/>
    <w:rsid w:val="00E970D7"/>
    <w:rsid w:val="00E976D3"/>
    <w:rsid w:val="00E97D83"/>
    <w:rsid w:val="00EA0276"/>
    <w:rsid w:val="00EA0A62"/>
    <w:rsid w:val="00EA0FDB"/>
    <w:rsid w:val="00EA0FFF"/>
    <w:rsid w:val="00EA1364"/>
    <w:rsid w:val="00EA18AC"/>
    <w:rsid w:val="00EA1A9B"/>
    <w:rsid w:val="00EA1C04"/>
    <w:rsid w:val="00EA24A7"/>
    <w:rsid w:val="00EA24EE"/>
    <w:rsid w:val="00EA2902"/>
    <w:rsid w:val="00EA2B24"/>
    <w:rsid w:val="00EA2CDB"/>
    <w:rsid w:val="00EA2D39"/>
    <w:rsid w:val="00EA3209"/>
    <w:rsid w:val="00EA34A8"/>
    <w:rsid w:val="00EA3947"/>
    <w:rsid w:val="00EA3A44"/>
    <w:rsid w:val="00EA3CC1"/>
    <w:rsid w:val="00EA3ED9"/>
    <w:rsid w:val="00EA4611"/>
    <w:rsid w:val="00EA4D79"/>
    <w:rsid w:val="00EA527B"/>
    <w:rsid w:val="00EA53ED"/>
    <w:rsid w:val="00EA57B5"/>
    <w:rsid w:val="00EA622E"/>
    <w:rsid w:val="00EA62EB"/>
    <w:rsid w:val="00EA655C"/>
    <w:rsid w:val="00EA6630"/>
    <w:rsid w:val="00EA671A"/>
    <w:rsid w:val="00EA6970"/>
    <w:rsid w:val="00EA79B6"/>
    <w:rsid w:val="00EA7A39"/>
    <w:rsid w:val="00EA7D89"/>
    <w:rsid w:val="00EA7E0D"/>
    <w:rsid w:val="00EB049E"/>
    <w:rsid w:val="00EB06AC"/>
    <w:rsid w:val="00EB0BF9"/>
    <w:rsid w:val="00EB105B"/>
    <w:rsid w:val="00EB1288"/>
    <w:rsid w:val="00EB1317"/>
    <w:rsid w:val="00EB1567"/>
    <w:rsid w:val="00EB1BD6"/>
    <w:rsid w:val="00EB205C"/>
    <w:rsid w:val="00EB213A"/>
    <w:rsid w:val="00EB226B"/>
    <w:rsid w:val="00EB22A0"/>
    <w:rsid w:val="00EB254F"/>
    <w:rsid w:val="00EB2637"/>
    <w:rsid w:val="00EB2644"/>
    <w:rsid w:val="00EB2FBE"/>
    <w:rsid w:val="00EB32D7"/>
    <w:rsid w:val="00EB4156"/>
    <w:rsid w:val="00EB4182"/>
    <w:rsid w:val="00EB425D"/>
    <w:rsid w:val="00EB42D6"/>
    <w:rsid w:val="00EB4DFF"/>
    <w:rsid w:val="00EB4EC5"/>
    <w:rsid w:val="00EB4FDE"/>
    <w:rsid w:val="00EB53A4"/>
    <w:rsid w:val="00EB5D4F"/>
    <w:rsid w:val="00EB632F"/>
    <w:rsid w:val="00EB6939"/>
    <w:rsid w:val="00EB6989"/>
    <w:rsid w:val="00EB6995"/>
    <w:rsid w:val="00EB6A9B"/>
    <w:rsid w:val="00EB6C70"/>
    <w:rsid w:val="00EB72BB"/>
    <w:rsid w:val="00EC00C9"/>
    <w:rsid w:val="00EC0308"/>
    <w:rsid w:val="00EC06B7"/>
    <w:rsid w:val="00EC09BC"/>
    <w:rsid w:val="00EC11DA"/>
    <w:rsid w:val="00EC15ED"/>
    <w:rsid w:val="00EC15FC"/>
    <w:rsid w:val="00EC1831"/>
    <w:rsid w:val="00EC1A0D"/>
    <w:rsid w:val="00EC1D61"/>
    <w:rsid w:val="00EC2063"/>
    <w:rsid w:val="00EC27DE"/>
    <w:rsid w:val="00EC28E8"/>
    <w:rsid w:val="00EC2F29"/>
    <w:rsid w:val="00EC34C2"/>
    <w:rsid w:val="00EC3A75"/>
    <w:rsid w:val="00EC3AEA"/>
    <w:rsid w:val="00EC3B6C"/>
    <w:rsid w:val="00EC3BBB"/>
    <w:rsid w:val="00EC3CC6"/>
    <w:rsid w:val="00EC3D64"/>
    <w:rsid w:val="00EC3DDF"/>
    <w:rsid w:val="00EC3F31"/>
    <w:rsid w:val="00EC41C8"/>
    <w:rsid w:val="00EC4887"/>
    <w:rsid w:val="00EC4894"/>
    <w:rsid w:val="00EC5128"/>
    <w:rsid w:val="00EC5245"/>
    <w:rsid w:val="00EC5729"/>
    <w:rsid w:val="00EC574B"/>
    <w:rsid w:val="00EC63AA"/>
    <w:rsid w:val="00EC66CE"/>
    <w:rsid w:val="00EC67DD"/>
    <w:rsid w:val="00EC7D87"/>
    <w:rsid w:val="00EC7F4F"/>
    <w:rsid w:val="00ED0C4C"/>
    <w:rsid w:val="00ED0F9E"/>
    <w:rsid w:val="00ED10CB"/>
    <w:rsid w:val="00ED14F2"/>
    <w:rsid w:val="00ED1739"/>
    <w:rsid w:val="00ED17FC"/>
    <w:rsid w:val="00ED2645"/>
    <w:rsid w:val="00ED2A7A"/>
    <w:rsid w:val="00ED2C1D"/>
    <w:rsid w:val="00ED2F10"/>
    <w:rsid w:val="00ED3059"/>
    <w:rsid w:val="00ED3236"/>
    <w:rsid w:val="00ED341D"/>
    <w:rsid w:val="00ED391F"/>
    <w:rsid w:val="00ED3982"/>
    <w:rsid w:val="00ED3B87"/>
    <w:rsid w:val="00ED4151"/>
    <w:rsid w:val="00ED41E0"/>
    <w:rsid w:val="00ED4408"/>
    <w:rsid w:val="00ED462B"/>
    <w:rsid w:val="00ED4DB4"/>
    <w:rsid w:val="00ED4ECE"/>
    <w:rsid w:val="00ED5141"/>
    <w:rsid w:val="00ED525E"/>
    <w:rsid w:val="00ED59BE"/>
    <w:rsid w:val="00ED5ADE"/>
    <w:rsid w:val="00ED6436"/>
    <w:rsid w:val="00ED64D8"/>
    <w:rsid w:val="00ED71E3"/>
    <w:rsid w:val="00ED7474"/>
    <w:rsid w:val="00ED76D2"/>
    <w:rsid w:val="00ED7AF0"/>
    <w:rsid w:val="00ED7FE8"/>
    <w:rsid w:val="00EE0333"/>
    <w:rsid w:val="00EE036F"/>
    <w:rsid w:val="00EE03F4"/>
    <w:rsid w:val="00EE0542"/>
    <w:rsid w:val="00EE0740"/>
    <w:rsid w:val="00EE09A7"/>
    <w:rsid w:val="00EE0CD7"/>
    <w:rsid w:val="00EE0DFC"/>
    <w:rsid w:val="00EE0EE6"/>
    <w:rsid w:val="00EE0F8A"/>
    <w:rsid w:val="00EE1004"/>
    <w:rsid w:val="00EE135C"/>
    <w:rsid w:val="00EE17DC"/>
    <w:rsid w:val="00EE1A61"/>
    <w:rsid w:val="00EE20EA"/>
    <w:rsid w:val="00EE318C"/>
    <w:rsid w:val="00EE319A"/>
    <w:rsid w:val="00EE3205"/>
    <w:rsid w:val="00EE3A25"/>
    <w:rsid w:val="00EE3CD2"/>
    <w:rsid w:val="00EE4372"/>
    <w:rsid w:val="00EE4EFC"/>
    <w:rsid w:val="00EE51C4"/>
    <w:rsid w:val="00EE547F"/>
    <w:rsid w:val="00EE5542"/>
    <w:rsid w:val="00EE5614"/>
    <w:rsid w:val="00EE5706"/>
    <w:rsid w:val="00EE57DE"/>
    <w:rsid w:val="00EE58BF"/>
    <w:rsid w:val="00EE5CE2"/>
    <w:rsid w:val="00EE63F4"/>
    <w:rsid w:val="00EE6500"/>
    <w:rsid w:val="00EE68AD"/>
    <w:rsid w:val="00EE6E0F"/>
    <w:rsid w:val="00EE72D2"/>
    <w:rsid w:val="00EE753E"/>
    <w:rsid w:val="00EE7B1F"/>
    <w:rsid w:val="00EE7EA3"/>
    <w:rsid w:val="00EF0807"/>
    <w:rsid w:val="00EF16B2"/>
    <w:rsid w:val="00EF1A0D"/>
    <w:rsid w:val="00EF1C7E"/>
    <w:rsid w:val="00EF1FCB"/>
    <w:rsid w:val="00EF2B22"/>
    <w:rsid w:val="00EF2C91"/>
    <w:rsid w:val="00EF31ED"/>
    <w:rsid w:val="00EF336A"/>
    <w:rsid w:val="00EF399B"/>
    <w:rsid w:val="00EF3A1A"/>
    <w:rsid w:val="00EF3B2E"/>
    <w:rsid w:val="00EF4E9F"/>
    <w:rsid w:val="00EF50BF"/>
    <w:rsid w:val="00EF5732"/>
    <w:rsid w:val="00EF5ADC"/>
    <w:rsid w:val="00EF6733"/>
    <w:rsid w:val="00EF7000"/>
    <w:rsid w:val="00EF727D"/>
    <w:rsid w:val="00EF75B3"/>
    <w:rsid w:val="00EF76C0"/>
    <w:rsid w:val="00EF781F"/>
    <w:rsid w:val="00EF786B"/>
    <w:rsid w:val="00EF78F7"/>
    <w:rsid w:val="00EF7A8A"/>
    <w:rsid w:val="00EF7B08"/>
    <w:rsid w:val="00EF7D00"/>
    <w:rsid w:val="00EF7E4F"/>
    <w:rsid w:val="00EF7F58"/>
    <w:rsid w:val="00F00922"/>
    <w:rsid w:val="00F00A7D"/>
    <w:rsid w:val="00F00DB9"/>
    <w:rsid w:val="00F00E4B"/>
    <w:rsid w:val="00F01205"/>
    <w:rsid w:val="00F014C4"/>
    <w:rsid w:val="00F01F22"/>
    <w:rsid w:val="00F02103"/>
    <w:rsid w:val="00F0235C"/>
    <w:rsid w:val="00F02904"/>
    <w:rsid w:val="00F02A28"/>
    <w:rsid w:val="00F02AAB"/>
    <w:rsid w:val="00F02FF3"/>
    <w:rsid w:val="00F030AE"/>
    <w:rsid w:val="00F032E1"/>
    <w:rsid w:val="00F034A1"/>
    <w:rsid w:val="00F03CB5"/>
    <w:rsid w:val="00F03D9A"/>
    <w:rsid w:val="00F03ECC"/>
    <w:rsid w:val="00F04D73"/>
    <w:rsid w:val="00F04FC6"/>
    <w:rsid w:val="00F052F6"/>
    <w:rsid w:val="00F0533B"/>
    <w:rsid w:val="00F054B4"/>
    <w:rsid w:val="00F05552"/>
    <w:rsid w:val="00F05C34"/>
    <w:rsid w:val="00F063BE"/>
    <w:rsid w:val="00F0665B"/>
    <w:rsid w:val="00F0693C"/>
    <w:rsid w:val="00F06BD3"/>
    <w:rsid w:val="00F06E39"/>
    <w:rsid w:val="00F06FC6"/>
    <w:rsid w:val="00F0781B"/>
    <w:rsid w:val="00F07A54"/>
    <w:rsid w:val="00F07EF0"/>
    <w:rsid w:val="00F10A3B"/>
    <w:rsid w:val="00F10EDF"/>
    <w:rsid w:val="00F112AF"/>
    <w:rsid w:val="00F11A71"/>
    <w:rsid w:val="00F11BEF"/>
    <w:rsid w:val="00F120E2"/>
    <w:rsid w:val="00F12C8B"/>
    <w:rsid w:val="00F12CBD"/>
    <w:rsid w:val="00F13612"/>
    <w:rsid w:val="00F13A25"/>
    <w:rsid w:val="00F13AC6"/>
    <w:rsid w:val="00F143CC"/>
    <w:rsid w:val="00F157F6"/>
    <w:rsid w:val="00F15DAE"/>
    <w:rsid w:val="00F16124"/>
    <w:rsid w:val="00F16607"/>
    <w:rsid w:val="00F167FC"/>
    <w:rsid w:val="00F16919"/>
    <w:rsid w:val="00F169F5"/>
    <w:rsid w:val="00F16D4E"/>
    <w:rsid w:val="00F16E51"/>
    <w:rsid w:val="00F175DC"/>
    <w:rsid w:val="00F176A8"/>
    <w:rsid w:val="00F17844"/>
    <w:rsid w:val="00F206C0"/>
    <w:rsid w:val="00F20BB5"/>
    <w:rsid w:val="00F20FF6"/>
    <w:rsid w:val="00F217D3"/>
    <w:rsid w:val="00F21D66"/>
    <w:rsid w:val="00F21E56"/>
    <w:rsid w:val="00F2254A"/>
    <w:rsid w:val="00F228D8"/>
    <w:rsid w:val="00F22C03"/>
    <w:rsid w:val="00F22CFD"/>
    <w:rsid w:val="00F22E8B"/>
    <w:rsid w:val="00F23121"/>
    <w:rsid w:val="00F23220"/>
    <w:rsid w:val="00F23274"/>
    <w:rsid w:val="00F23316"/>
    <w:rsid w:val="00F236F4"/>
    <w:rsid w:val="00F23973"/>
    <w:rsid w:val="00F23A0B"/>
    <w:rsid w:val="00F23D8A"/>
    <w:rsid w:val="00F23FE1"/>
    <w:rsid w:val="00F240D6"/>
    <w:rsid w:val="00F2414A"/>
    <w:rsid w:val="00F24569"/>
    <w:rsid w:val="00F24581"/>
    <w:rsid w:val="00F248A1"/>
    <w:rsid w:val="00F24CF8"/>
    <w:rsid w:val="00F262F6"/>
    <w:rsid w:val="00F26615"/>
    <w:rsid w:val="00F26773"/>
    <w:rsid w:val="00F26BE7"/>
    <w:rsid w:val="00F26C05"/>
    <w:rsid w:val="00F26DB2"/>
    <w:rsid w:val="00F26FEF"/>
    <w:rsid w:val="00F275B6"/>
    <w:rsid w:val="00F278B7"/>
    <w:rsid w:val="00F27CC0"/>
    <w:rsid w:val="00F30258"/>
    <w:rsid w:val="00F303C2"/>
    <w:rsid w:val="00F303DD"/>
    <w:rsid w:val="00F3093E"/>
    <w:rsid w:val="00F30AAF"/>
    <w:rsid w:val="00F30CE3"/>
    <w:rsid w:val="00F30F1A"/>
    <w:rsid w:val="00F31DDF"/>
    <w:rsid w:val="00F32392"/>
    <w:rsid w:val="00F32DD2"/>
    <w:rsid w:val="00F33258"/>
    <w:rsid w:val="00F333D0"/>
    <w:rsid w:val="00F33684"/>
    <w:rsid w:val="00F33708"/>
    <w:rsid w:val="00F3383D"/>
    <w:rsid w:val="00F33922"/>
    <w:rsid w:val="00F33AB4"/>
    <w:rsid w:val="00F33AC4"/>
    <w:rsid w:val="00F33B19"/>
    <w:rsid w:val="00F33BB4"/>
    <w:rsid w:val="00F33D44"/>
    <w:rsid w:val="00F34196"/>
    <w:rsid w:val="00F3429C"/>
    <w:rsid w:val="00F3454A"/>
    <w:rsid w:val="00F34F55"/>
    <w:rsid w:val="00F35682"/>
    <w:rsid w:val="00F358AE"/>
    <w:rsid w:val="00F359AB"/>
    <w:rsid w:val="00F35B6A"/>
    <w:rsid w:val="00F35CA3"/>
    <w:rsid w:val="00F35EF2"/>
    <w:rsid w:val="00F3636E"/>
    <w:rsid w:val="00F369BB"/>
    <w:rsid w:val="00F36AEA"/>
    <w:rsid w:val="00F36BED"/>
    <w:rsid w:val="00F3752E"/>
    <w:rsid w:val="00F37844"/>
    <w:rsid w:val="00F37CC8"/>
    <w:rsid w:val="00F37CCD"/>
    <w:rsid w:val="00F400E1"/>
    <w:rsid w:val="00F40195"/>
    <w:rsid w:val="00F401CF"/>
    <w:rsid w:val="00F401E5"/>
    <w:rsid w:val="00F4037B"/>
    <w:rsid w:val="00F406DC"/>
    <w:rsid w:val="00F40851"/>
    <w:rsid w:val="00F40865"/>
    <w:rsid w:val="00F408CB"/>
    <w:rsid w:val="00F40D97"/>
    <w:rsid w:val="00F41108"/>
    <w:rsid w:val="00F41AE1"/>
    <w:rsid w:val="00F420E4"/>
    <w:rsid w:val="00F420EF"/>
    <w:rsid w:val="00F42491"/>
    <w:rsid w:val="00F4253E"/>
    <w:rsid w:val="00F42898"/>
    <w:rsid w:val="00F42914"/>
    <w:rsid w:val="00F4294C"/>
    <w:rsid w:val="00F42A0D"/>
    <w:rsid w:val="00F42F84"/>
    <w:rsid w:val="00F43F3D"/>
    <w:rsid w:val="00F44156"/>
    <w:rsid w:val="00F45123"/>
    <w:rsid w:val="00F457CF"/>
    <w:rsid w:val="00F467F4"/>
    <w:rsid w:val="00F46B1A"/>
    <w:rsid w:val="00F46C48"/>
    <w:rsid w:val="00F46E69"/>
    <w:rsid w:val="00F47438"/>
    <w:rsid w:val="00F4771B"/>
    <w:rsid w:val="00F47995"/>
    <w:rsid w:val="00F4799F"/>
    <w:rsid w:val="00F47C1F"/>
    <w:rsid w:val="00F47F77"/>
    <w:rsid w:val="00F50857"/>
    <w:rsid w:val="00F50BBC"/>
    <w:rsid w:val="00F51075"/>
    <w:rsid w:val="00F51356"/>
    <w:rsid w:val="00F51BF9"/>
    <w:rsid w:val="00F51F35"/>
    <w:rsid w:val="00F5208B"/>
    <w:rsid w:val="00F52D1E"/>
    <w:rsid w:val="00F53363"/>
    <w:rsid w:val="00F53C2D"/>
    <w:rsid w:val="00F540A8"/>
    <w:rsid w:val="00F54417"/>
    <w:rsid w:val="00F54814"/>
    <w:rsid w:val="00F54965"/>
    <w:rsid w:val="00F551CD"/>
    <w:rsid w:val="00F5594B"/>
    <w:rsid w:val="00F55B8B"/>
    <w:rsid w:val="00F55FB3"/>
    <w:rsid w:val="00F564BD"/>
    <w:rsid w:val="00F572EF"/>
    <w:rsid w:val="00F5735C"/>
    <w:rsid w:val="00F575E2"/>
    <w:rsid w:val="00F576BD"/>
    <w:rsid w:val="00F57CE2"/>
    <w:rsid w:val="00F57F02"/>
    <w:rsid w:val="00F600DF"/>
    <w:rsid w:val="00F603A5"/>
    <w:rsid w:val="00F60442"/>
    <w:rsid w:val="00F6056A"/>
    <w:rsid w:val="00F6068E"/>
    <w:rsid w:val="00F6077E"/>
    <w:rsid w:val="00F609D6"/>
    <w:rsid w:val="00F611B8"/>
    <w:rsid w:val="00F6136D"/>
    <w:rsid w:val="00F615FB"/>
    <w:rsid w:val="00F6175C"/>
    <w:rsid w:val="00F618F5"/>
    <w:rsid w:val="00F61B15"/>
    <w:rsid w:val="00F61DBE"/>
    <w:rsid w:val="00F61E5F"/>
    <w:rsid w:val="00F61F09"/>
    <w:rsid w:val="00F622F3"/>
    <w:rsid w:val="00F62977"/>
    <w:rsid w:val="00F62C2A"/>
    <w:rsid w:val="00F63540"/>
    <w:rsid w:val="00F63634"/>
    <w:rsid w:val="00F6375D"/>
    <w:rsid w:val="00F65109"/>
    <w:rsid w:val="00F65666"/>
    <w:rsid w:val="00F6566A"/>
    <w:rsid w:val="00F6670C"/>
    <w:rsid w:val="00F66EBC"/>
    <w:rsid w:val="00F67592"/>
    <w:rsid w:val="00F67668"/>
    <w:rsid w:val="00F6771D"/>
    <w:rsid w:val="00F6777C"/>
    <w:rsid w:val="00F6791C"/>
    <w:rsid w:val="00F67A73"/>
    <w:rsid w:val="00F67F0F"/>
    <w:rsid w:val="00F67F42"/>
    <w:rsid w:val="00F7089B"/>
    <w:rsid w:val="00F70AA4"/>
    <w:rsid w:val="00F70FA0"/>
    <w:rsid w:val="00F70FB5"/>
    <w:rsid w:val="00F7137F"/>
    <w:rsid w:val="00F71809"/>
    <w:rsid w:val="00F71870"/>
    <w:rsid w:val="00F71A90"/>
    <w:rsid w:val="00F7214C"/>
    <w:rsid w:val="00F72547"/>
    <w:rsid w:val="00F72CBF"/>
    <w:rsid w:val="00F73303"/>
    <w:rsid w:val="00F7341F"/>
    <w:rsid w:val="00F73664"/>
    <w:rsid w:val="00F73F85"/>
    <w:rsid w:val="00F74771"/>
    <w:rsid w:val="00F75619"/>
    <w:rsid w:val="00F75A87"/>
    <w:rsid w:val="00F76116"/>
    <w:rsid w:val="00F765BC"/>
    <w:rsid w:val="00F76730"/>
    <w:rsid w:val="00F76FDB"/>
    <w:rsid w:val="00F772DC"/>
    <w:rsid w:val="00F774F1"/>
    <w:rsid w:val="00F77748"/>
    <w:rsid w:val="00F778A9"/>
    <w:rsid w:val="00F77E82"/>
    <w:rsid w:val="00F800F6"/>
    <w:rsid w:val="00F80871"/>
    <w:rsid w:val="00F80D80"/>
    <w:rsid w:val="00F81157"/>
    <w:rsid w:val="00F815A4"/>
    <w:rsid w:val="00F816B5"/>
    <w:rsid w:val="00F817C3"/>
    <w:rsid w:val="00F81C1A"/>
    <w:rsid w:val="00F81CCF"/>
    <w:rsid w:val="00F82291"/>
    <w:rsid w:val="00F82425"/>
    <w:rsid w:val="00F8268B"/>
    <w:rsid w:val="00F82A18"/>
    <w:rsid w:val="00F835C9"/>
    <w:rsid w:val="00F83A1D"/>
    <w:rsid w:val="00F83AA9"/>
    <w:rsid w:val="00F83CD9"/>
    <w:rsid w:val="00F83E34"/>
    <w:rsid w:val="00F83E90"/>
    <w:rsid w:val="00F840D5"/>
    <w:rsid w:val="00F84325"/>
    <w:rsid w:val="00F84821"/>
    <w:rsid w:val="00F849CA"/>
    <w:rsid w:val="00F84A9D"/>
    <w:rsid w:val="00F84E98"/>
    <w:rsid w:val="00F854B6"/>
    <w:rsid w:val="00F85AF0"/>
    <w:rsid w:val="00F86222"/>
    <w:rsid w:val="00F86310"/>
    <w:rsid w:val="00F863F7"/>
    <w:rsid w:val="00F866B9"/>
    <w:rsid w:val="00F866FA"/>
    <w:rsid w:val="00F86A7F"/>
    <w:rsid w:val="00F86DE4"/>
    <w:rsid w:val="00F874B1"/>
    <w:rsid w:val="00F87B8E"/>
    <w:rsid w:val="00F90229"/>
    <w:rsid w:val="00F9073B"/>
    <w:rsid w:val="00F907C8"/>
    <w:rsid w:val="00F90840"/>
    <w:rsid w:val="00F90A2C"/>
    <w:rsid w:val="00F90A86"/>
    <w:rsid w:val="00F90C43"/>
    <w:rsid w:val="00F90D44"/>
    <w:rsid w:val="00F9102A"/>
    <w:rsid w:val="00F913E4"/>
    <w:rsid w:val="00F914DD"/>
    <w:rsid w:val="00F916BD"/>
    <w:rsid w:val="00F9184D"/>
    <w:rsid w:val="00F919AE"/>
    <w:rsid w:val="00F91B1F"/>
    <w:rsid w:val="00F91E56"/>
    <w:rsid w:val="00F91EBE"/>
    <w:rsid w:val="00F92145"/>
    <w:rsid w:val="00F9255C"/>
    <w:rsid w:val="00F92F5F"/>
    <w:rsid w:val="00F93F62"/>
    <w:rsid w:val="00F9563E"/>
    <w:rsid w:val="00F957C3"/>
    <w:rsid w:val="00F95CC5"/>
    <w:rsid w:val="00F95D7A"/>
    <w:rsid w:val="00F95E5B"/>
    <w:rsid w:val="00F960BF"/>
    <w:rsid w:val="00F9631F"/>
    <w:rsid w:val="00F964F9"/>
    <w:rsid w:val="00F9666E"/>
    <w:rsid w:val="00F969FB"/>
    <w:rsid w:val="00F9780B"/>
    <w:rsid w:val="00F97968"/>
    <w:rsid w:val="00F97C92"/>
    <w:rsid w:val="00FA03A8"/>
    <w:rsid w:val="00FA1047"/>
    <w:rsid w:val="00FA11E9"/>
    <w:rsid w:val="00FA1A78"/>
    <w:rsid w:val="00FA254F"/>
    <w:rsid w:val="00FA2627"/>
    <w:rsid w:val="00FA28CC"/>
    <w:rsid w:val="00FA29B6"/>
    <w:rsid w:val="00FA2DDF"/>
    <w:rsid w:val="00FA3483"/>
    <w:rsid w:val="00FA35CE"/>
    <w:rsid w:val="00FA38EF"/>
    <w:rsid w:val="00FA3C29"/>
    <w:rsid w:val="00FA40EE"/>
    <w:rsid w:val="00FA410F"/>
    <w:rsid w:val="00FA41D7"/>
    <w:rsid w:val="00FA4300"/>
    <w:rsid w:val="00FA4643"/>
    <w:rsid w:val="00FA46AD"/>
    <w:rsid w:val="00FA4C65"/>
    <w:rsid w:val="00FA53DA"/>
    <w:rsid w:val="00FA5558"/>
    <w:rsid w:val="00FA5758"/>
    <w:rsid w:val="00FA5831"/>
    <w:rsid w:val="00FA58A9"/>
    <w:rsid w:val="00FA5AFB"/>
    <w:rsid w:val="00FA5C5C"/>
    <w:rsid w:val="00FA5CEB"/>
    <w:rsid w:val="00FA6310"/>
    <w:rsid w:val="00FA644C"/>
    <w:rsid w:val="00FA6626"/>
    <w:rsid w:val="00FA67C9"/>
    <w:rsid w:val="00FA68B2"/>
    <w:rsid w:val="00FA69C2"/>
    <w:rsid w:val="00FA6C75"/>
    <w:rsid w:val="00FA716B"/>
    <w:rsid w:val="00FA7623"/>
    <w:rsid w:val="00FA7A48"/>
    <w:rsid w:val="00FA7A5F"/>
    <w:rsid w:val="00FA7C04"/>
    <w:rsid w:val="00FA7C0C"/>
    <w:rsid w:val="00FA7C3C"/>
    <w:rsid w:val="00FA7F5B"/>
    <w:rsid w:val="00FB009D"/>
    <w:rsid w:val="00FB088B"/>
    <w:rsid w:val="00FB093A"/>
    <w:rsid w:val="00FB0A48"/>
    <w:rsid w:val="00FB0A72"/>
    <w:rsid w:val="00FB101F"/>
    <w:rsid w:val="00FB1441"/>
    <w:rsid w:val="00FB18F6"/>
    <w:rsid w:val="00FB19F3"/>
    <w:rsid w:val="00FB1A1B"/>
    <w:rsid w:val="00FB201C"/>
    <w:rsid w:val="00FB3003"/>
    <w:rsid w:val="00FB374D"/>
    <w:rsid w:val="00FB37F2"/>
    <w:rsid w:val="00FB3961"/>
    <w:rsid w:val="00FB3A33"/>
    <w:rsid w:val="00FB42DF"/>
    <w:rsid w:val="00FB43A3"/>
    <w:rsid w:val="00FB4423"/>
    <w:rsid w:val="00FB45DF"/>
    <w:rsid w:val="00FB48DD"/>
    <w:rsid w:val="00FB4AB6"/>
    <w:rsid w:val="00FB4F15"/>
    <w:rsid w:val="00FB5006"/>
    <w:rsid w:val="00FB50A7"/>
    <w:rsid w:val="00FB5169"/>
    <w:rsid w:val="00FB54E4"/>
    <w:rsid w:val="00FB5EC8"/>
    <w:rsid w:val="00FB61AE"/>
    <w:rsid w:val="00FB6327"/>
    <w:rsid w:val="00FB6444"/>
    <w:rsid w:val="00FB6BD7"/>
    <w:rsid w:val="00FB6C47"/>
    <w:rsid w:val="00FB752A"/>
    <w:rsid w:val="00FB7C4A"/>
    <w:rsid w:val="00FB7CC4"/>
    <w:rsid w:val="00FB7CF0"/>
    <w:rsid w:val="00FB7D29"/>
    <w:rsid w:val="00FB7D36"/>
    <w:rsid w:val="00FC0081"/>
    <w:rsid w:val="00FC00A1"/>
    <w:rsid w:val="00FC03AC"/>
    <w:rsid w:val="00FC0D51"/>
    <w:rsid w:val="00FC0DCF"/>
    <w:rsid w:val="00FC11CC"/>
    <w:rsid w:val="00FC13EE"/>
    <w:rsid w:val="00FC1428"/>
    <w:rsid w:val="00FC18E7"/>
    <w:rsid w:val="00FC1B6D"/>
    <w:rsid w:val="00FC1D27"/>
    <w:rsid w:val="00FC23D0"/>
    <w:rsid w:val="00FC299A"/>
    <w:rsid w:val="00FC29B7"/>
    <w:rsid w:val="00FC2F38"/>
    <w:rsid w:val="00FC38E1"/>
    <w:rsid w:val="00FC3D44"/>
    <w:rsid w:val="00FC469F"/>
    <w:rsid w:val="00FC4A90"/>
    <w:rsid w:val="00FC4B6C"/>
    <w:rsid w:val="00FC52C6"/>
    <w:rsid w:val="00FC5977"/>
    <w:rsid w:val="00FC60D8"/>
    <w:rsid w:val="00FC6442"/>
    <w:rsid w:val="00FC727B"/>
    <w:rsid w:val="00FC7FB9"/>
    <w:rsid w:val="00FD03D4"/>
    <w:rsid w:val="00FD0C8E"/>
    <w:rsid w:val="00FD11D0"/>
    <w:rsid w:val="00FD1265"/>
    <w:rsid w:val="00FD1387"/>
    <w:rsid w:val="00FD149C"/>
    <w:rsid w:val="00FD15D3"/>
    <w:rsid w:val="00FD1864"/>
    <w:rsid w:val="00FD21AA"/>
    <w:rsid w:val="00FD21BE"/>
    <w:rsid w:val="00FD230D"/>
    <w:rsid w:val="00FD2362"/>
    <w:rsid w:val="00FD26D8"/>
    <w:rsid w:val="00FD27EC"/>
    <w:rsid w:val="00FD2918"/>
    <w:rsid w:val="00FD2C0D"/>
    <w:rsid w:val="00FD2E16"/>
    <w:rsid w:val="00FD3133"/>
    <w:rsid w:val="00FD323F"/>
    <w:rsid w:val="00FD3476"/>
    <w:rsid w:val="00FD396F"/>
    <w:rsid w:val="00FD3BAC"/>
    <w:rsid w:val="00FD4387"/>
    <w:rsid w:val="00FD490F"/>
    <w:rsid w:val="00FD534C"/>
    <w:rsid w:val="00FD57C4"/>
    <w:rsid w:val="00FD5CDC"/>
    <w:rsid w:val="00FD6022"/>
    <w:rsid w:val="00FD62A0"/>
    <w:rsid w:val="00FD63C3"/>
    <w:rsid w:val="00FD65A1"/>
    <w:rsid w:val="00FD6B53"/>
    <w:rsid w:val="00FD704D"/>
    <w:rsid w:val="00FD76F5"/>
    <w:rsid w:val="00FD7719"/>
    <w:rsid w:val="00FD7F56"/>
    <w:rsid w:val="00FE02E8"/>
    <w:rsid w:val="00FE0386"/>
    <w:rsid w:val="00FE0416"/>
    <w:rsid w:val="00FE06A9"/>
    <w:rsid w:val="00FE0F32"/>
    <w:rsid w:val="00FE0FB2"/>
    <w:rsid w:val="00FE1358"/>
    <w:rsid w:val="00FE19A4"/>
    <w:rsid w:val="00FE1FFF"/>
    <w:rsid w:val="00FE2192"/>
    <w:rsid w:val="00FE2440"/>
    <w:rsid w:val="00FE25D8"/>
    <w:rsid w:val="00FE26B0"/>
    <w:rsid w:val="00FE2DA5"/>
    <w:rsid w:val="00FE2EB9"/>
    <w:rsid w:val="00FE2F08"/>
    <w:rsid w:val="00FE3331"/>
    <w:rsid w:val="00FE354B"/>
    <w:rsid w:val="00FE3A84"/>
    <w:rsid w:val="00FE4474"/>
    <w:rsid w:val="00FE454A"/>
    <w:rsid w:val="00FE455F"/>
    <w:rsid w:val="00FE461B"/>
    <w:rsid w:val="00FE4782"/>
    <w:rsid w:val="00FE4845"/>
    <w:rsid w:val="00FE4FF1"/>
    <w:rsid w:val="00FE4FF6"/>
    <w:rsid w:val="00FE5163"/>
    <w:rsid w:val="00FE53E9"/>
    <w:rsid w:val="00FE5847"/>
    <w:rsid w:val="00FE5B4F"/>
    <w:rsid w:val="00FE5F9A"/>
    <w:rsid w:val="00FE66CD"/>
    <w:rsid w:val="00FE6847"/>
    <w:rsid w:val="00FE714B"/>
    <w:rsid w:val="00FE71E3"/>
    <w:rsid w:val="00FE7349"/>
    <w:rsid w:val="00FE7697"/>
    <w:rsid w:val="00FE77CF"/>
    <w:rsid w:val="00FE7905"/>
    <w:rsid w:val="00FE7ECE"/>
    <w:rsid w:val="00FF0791"/>
    <w:rsid w:val="00FF0F94"/>
    <w:rsid w:val="00FF0FFD"/>
    <w:rsid w:val="00FF179F"/>
    <w:rsid w:val="00FF27EB"/>
    <w:rsid w:val="00FF301A"/>
    <w:rsid w:val="00FF3180"/>
    <w:rsid w:val="00FF3861"/>
    <w:rsid w:val="00FF40CF"/>
    <w:rsid w:val="00FF4330"/>
    <w:rsid w:val="00FF43A2"/>
    <w:rsid w:val="00FF4420"/>
    <w:rsid w:val="00FF442B"/>
    <w:rsid w:val="00FF4DCB"/>
    <w:rsid w:val="00FF4F35"/>
    <w:rsid w:val="00FF4F53"/>
    <w:rsid w:val="00FF5202"/>
    <w:rsid w:val="00FF528F"/>
    <w:rsid w:val="00FF5788"/>
    <w:rsid w:val="00FF5B52"/>
    <w:rsid w:val="00FF6604"/>
    <w:rsid w:val="00FF6D63"/>
    <w:rsid w:val="00FF76F8"/>
    <w:rsid w:val="00FF7D8E"/>
    <w:rsid w:val="00FF7F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D4361D-A15E-419F-AAF4-FF9FF30C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35B8"/>
    <w:rPr>
      <w:rFonts w:ascii="Courier" w:hAnsi="Courier" w:cs="Courier"/>
      <w:sz w:val="24"/>
      <w:szCs w:val="24"/>
      <w:lang w:eastAsia="cs-CZ"/>
    </w:rPr>
  </w:style>
  <w:style w:type="paragraph" w:styleId="Nadpis1">
    <w:name w:val="heading 1"/>
    <w:aliases w:val="Char5 Char,Nadpis 1 Char Char,Heading 1 Char Char Char Char Char,Heading 1 Char Char Char Char,Heading 1 Char Char Char,Čo robí (časť)"/>
    <w:basedOn w:val="Normlny"/>
    <w:next w:val="Normlny"/>
    <w:link w:val="Nadpis1Char"/>
    <w:uiPriority w:val="9"/>
    <w:qFormat/>
    <w:rsid w:val="006935B8"/>
    <w:pPr>
      <w:keepNext/>
      <w:spacing w:before="240" w:after="60"/>
      <w:outlineLvl w:val="0"/>
    </w:pPr>
    <w:rPr>
      <w:rFonts w:ascii="Arial" w:hAnsi="Arial" w:cs="Arial"/>
      <w:b/>
      <w:bCs/>
      <w:kern w:val="32"/>
      <w:sz w:val="32"/>
      <w:szCs w:val="32"/>
    </w:rPr>
  </w:style>
  <w:style w:type="paragraph" w:styleId="Nadpis2">
    <w:name w:val="heading 2"/>
    <w:aliases w:val="Nadpis 2 Char Char Char,Nadpis 2 Char Char Char Char,Nadpis 2 Char Char,Úloha"/>
    <w:basedOn w:val="Normlny"/>
    <w:next w:val="Normlny"/>
    <w:link w:val="Nadpis2Char"/>
    <w:uiPriority w:val="9"/>
    <w:qFormat/>
    <w:rsid w:val="006935B8"/>
    <w:pPr>
      <w:keepNext/>
      <w:spacing w:before="240" w:after="60"/>
      <w:outlineLvl w:val="1"/>
    </w:pPr>
    <w:rPr>
      <w:rFonts w:ascii="Arial" w:hAnsi="Arial" w:cs="Times New Roman"/>
      <w:b/>
      <w:bCs/>
      <w:i/>
      <w:iCs/>
      <w:sz w:val="28"/>
      <w:szCs w:val="28"/>
    </w:rPr>
  </w:style>
  <w:style w:type="paragraph" w:styleId="Nadpis3">
    <w:name w:val="heading 3"/>
    <w:aliases w:val="Char4 Char,Nadpis 3 Char Char,Heading 3 Char Char Char,Podúloha"/>
    <w:basedOn w:val="Normlny"/>
    <w:next w:val="Normlny"/>
    <w:link w:val="Nadpis3Char"/>
    <w:uiPriority w:val="99"/>
    <w:qFormat/>
    <w:rsid w:val="00992BC9"/>
    <w:pPr>
      <w:keepNext/>
      <w:spacing w:before="240" w:after="60"/>
      <w:outlineLvl w:val="2"/>
    </w:pPr>
    <w:rPr>
      <w:rFonts w:ascii="Arial" w:hAnsi="Arial" w:cs="Times New Roman"/>
      <w:b/>
      <w:bCs/>
      <w:sz w:val="26"/>
      <w:szCs w:val="26"/>
    </w:rPr>
  </w:style>
  <w:style w:type="paragraph" w:styleId="Nadpis4">
    <w:name w:val="heading 4"/>
    <w:aliases w:val="Char Char,Nadpis 4 Char Char,Heading 4 Char Char Char,Termín"/>
    <w:basedOn w:val="Normlny"/>
    <w:next w:val="Normlny"/>
    <w:link w:val="Nadpis4Char"/>
    <w:uiPriority w:val="99"/>
    <w:qFormat/>
    <w:rsid w:val="00992BC9"/>
    <w:pPr>
      <w:keepNext/>
      <w:jc w:val="both"/>
      <w:outlineLvl w:val="3"/>
    </w:pPr>
    <w:rPr>
      <w:rFonts w:ascii="Arial" w:hAnsi="Arial" w:cs="Times New Roman"/>
      <w:b/>
      <w:bCs/>
      <w:sz w:val="20"/>
      <w:szCs w:val="20"/>
    </w:rPr>
  </w:style>
  <w:style w:type="paragraph" w:styleId="Nadpis5">
    <w:name w:val="heading 5"/>
    <w:basedOn w:val="Normlny"/>
    <w:next w:val="Normlny"/>
    <w:link w:val="Nadpis5Char"/>
    <w:uiPriority w:val="99"/>
    <w:qFormat/>
    <w:rsid w:val="006F7083"/>
    <w:pPr>
      <w:tabs>
        <w:tab w:val="num" w:pos="3240"/>
      </w:tabs>
      <w:spacing w:before="240" w:after="60"/>
      <w:ind w:left="2880"/>
      <w:outlineLvl w:val="4"/>
    </w:pPr>
    <w:rPr>
      <w:rFonts w:ascii="Times New Roman" w:hAnsi="Times New Roman" w:cs="Times New Roman"/>
      <w:b/>
      <w:bCs/>
      <w:i/>
      <w:iCs/>
      <w:sz w:val="26"/>
      <w:szCs w:val="26"/>
    </w:rPr>
  </w:style>
  <w:style w:type="paragraph" w:styleId="Nadpis6">
    <w:name w:val="heading 6"/>
    <w:basedOn w:val="Normlny"/>
    <w:next w:val="Normlny"/>
    <w:link w:val="Nadpis6Char"/>
    <w:uiPriority w:val="99"/>
    <w:qFormat/>
    <w:rsid w:val="006F7083"/>
    <w:pPr>
      <w:tabs>
        <w:tab w:val="num" w:pos="3960"/>
      </w:tabs>
      <w:spacing w:before="240" w:after="60"/>
      <w:ind w:left="3600"/>
      <w:outlineLvl w:val="5"/>
    </w:pPr>
    <w:rPr>
      <w:rFonts w:ascii="Times New Roman" w:hAnsi="Times New Roman" w:cs="Times New Roman"/>
      <w:b/>
      <w:bCs/>
      <w:sz w:val="22"/>
      <w:szCs w:val="22"/>
    </w:rPr>
  </w:style>
  <w:style w:type="paragraph" w:styleId="Nadpis7">
    <w:name w:val="heading 7"/>
    <w:basedOn w:val="Normlny"/>
    <w:next w:val="Normlny"/>
    <w:link w:val="Nadpis7Char"/>
    <w:uiPriority w:val="99"/>
    <w:qFormat/>
    <w:rsid w:val="006F7083"/>
    <w:pPr>
      <w:tabs>
        <w:tab w:val="num" w:pos="4680"/>
      </w:tabs>
      <w:spacing w:before="240" w:after="60"/>
      <w:ind w:left="4320"/>
      <w:outlineLvl w:val="6"/>
    </w:pPr>
    <w:rPr>
      <w:rFonts w:ascii="Times New Roman" w:hAnsi="Times New Roman" w:cs="Times New Roman"/>
    </w:rPr>
  </w:style>
  <w:style w:type="paragraph" w:styleId="Nadpis8">
    <w:name w:val="heading 8"/>
    <w:basedOn w:val="Normlny"/>
    <w:next w:val="Normlny"/>
    <w:link w:val="Nadpis8Char"/>
    <w:uiPriority w:val="99"/>
    <w:qFormat/>
    <w:rsid w:val="006F7083"/>
    <w:pPr>
      <w:tabs>
        <w:tab w:val="num" w:pos="5400"/>
      </w:tabs>
      <w:spacing w:before="240" w:after="60"/>
      <w:ind w:left="5040"/>
      <w:outlineLvl w:val="7"/>
    </w:pPr>
    <w:rPr>
      <w:rFonts w:ascii="Times New Roman" w:hAnsi="Times New Roman" w:cs="Times New Roman"/>
      <w:i/>
      <w:iCs/>
    </w:rPr>
  </w:style>
  <w:style w:type="paragraph" w:styleId="Nadpis9">
    <w:name w:val="heading 9"/>
    <w:basedOn w:val="Normlny"/>
    <w:next w:val="Normlny"/>
    <w:link w:val="Nadpis9Char"/>
    <w:uiPriority w:val="99"/>
    <w:qFormat/>
    <w:rsid w:val="006F7083"/>
    <w:pPr>
      <w:tabs>
        <w:tab w:val="num" w:pos="6120"/>
      </w:tabs>
      <w:spacing w:before="240" w:after="60"/>
      <w:ind w:left="5760"/>
      <w:outlineLvl w:val="8"/>
    </w:pPr>
    <w:rPr>
      <w:rFonts w:ascii="Arial" w:hAnsi="Arial"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r5 Char Char,Nadpis 1 Char Char Char,Heading 1 Char Char Char Char Char Char,Heading 1 Char Char Char Char Char1,Heading 1 Char Char Char Char1,Čo robí (časť) Char"/>
    <w:basedOn w:val="Predvolenpsmoodseku"/>
    <w:link w:val="Nadpis1"/>
    <w:uiPriority w:val="9"/>
    <w:locked/>
    <w:rsid w:val="006935B8"/>
    <w:rPr>
      <w:rFonts w:ascii="Arial" w:hAnsi="Arial" w:cs="Times New Roman"/>
      <w:b/>
      <w:kern w:val="32"/>
      <w:sz w:val="32"/>
      <w:lang w:val="x-none" w:eastAsia="cs-CZ"/>
    </w:rPr>
  </w:style>
  <w:style w:type="character" w:customStyle="1" w:styleId="Nadpis2Char">
    <w:name w:val="Nadpis 2 Char"/>
    <w:aliases w:val="Nadpis 2 Char Char Char Char1,Nadpis 2 Char Char Char Char Char,Nadpis 2 Char Char Char1,Úloha Char"/>
    <w:basedOn w:val="Predvolenpsmoodseku"/>
    <w:link w:val="Nadpis2"/>
    <w:uiPriority w:val="9"/>
    <w:locked/>
    <w:rsid w:val="008C27EE"/>
    <w:rPr>
      <w:rFonts w:ascii="Arial" w:hAnsi="Arial" w:cs="Times New Roman"/>
      <w:b/>
      <w:i/>
      <w:sz w:val="28"/>
      <w:lang w:val="x-none" w:eastAsia="cs-CZ"/>
    </w:rPr>
  </w:style>
  <w:style w:type="character" w:customStyle="1" w:styleId="Nadpis3Char">
    <w:name w:val="Nadpis 3 Char"/>
    <w:aliases w:val="Char4 Char Char,Nadpis 3 Char Char Char,Heading 3 Char Char Char Char,Podúloha Char"/>
    <w:basedOn w:val="Predvolenpsmoodseku"/>
    <w:link w:val="Nadpis3"/>
    <w:uiPriority w:val="99"/>
    <w:locked/>
    <w:rsid w:val="00992BC9"/>
    <w:rPr>
      <w:rFonts w:ascii="Arial" w:hAnsi="Arial" w:cs="Times New Roman"/>
      <w:b/>
      <w:sz w:val="26"/>
      <w:lang w:val="x-none" w:eastAsia="cs-CZ"/>
    </w:rPr>
  </w:style>
  <w:style w:type="character" w:customStyle="1" w:styleId="Nadpis4Char">
    <w:name w:val="Nadpis 4 Char"/>
    <w:aliases w:val="Char Char Char,Nadpis 4 Char Char Char,Heading 4 Char Char Char Char,Termín Char"/>
    <w:basedOn w:val="Predvolenpsmoodseku"/>
    <w:link w:val="Nadpis4"/>
    <w:uiPriority w:val="99"/>
    <w:locked/>
    <w:rsid w:val="00992BC9"/>
    <w:rPr>
      <w:rFonts w:ascii="Arial" w:hAnsi="Arial" w:cs="Times New Roman"/>
      <w:b/>
    </w:rPr>
  </w:style>
  <w:style w:type="character" w:customStyle="1" w:styleId="Nadpis5Char">
    <w:name w:val="Nadpis 5 Char"/>
    <w:basedOn w:val="Predvolenpsmoodseku"/>
    <w:link w:val="Nadpis5"/>
    <w:uiPriority w:val="99"/>
    <w:locked/>
    <w:rsid w:val="006F7083"/>
    <w:rPr>
      <w:rFonts w:cs="Times New Roman"/>
      <w:b/>
      <w:i/>
      <w:sz w:val="26"/>
      <w:lang w:val="x-none" w:eastAsia="cs-CZ"/>
    </w:rPr>
  </w:style>
  <w:style w:type="character" w:customStyle="1" w:styleId="Nadpis6Char">
    <w:name w:val="Nadpis 6 Char"/>
    <w:basedOn w:val="Predvolenpsmoodseku"/>
    <w:link w:val="Nadpis6"/>
    <w:uiPriority w:val="99"/>
    <w:locked/>
    <w:rsid w:val="006F7083"/>
    <w:rPr>
      <w:rFonts w:cs="Times New Roman"/>
      <w:b/>
      <w:sz w:val="22"/>
      <w:lang w:val="x-none" w:eastAsia="cs-CZ"/>
    </w:rPr>
  </w:style>
  <w:style w:type="character" w:customStyle="1" w:styleId="Nadpis7Char">
    <w:name w:val="Nadpis 7 Char"/>
    <w:basedOn w:val="Predvolenpsmoodseku"/>
    <w:link w:val="Nadpis7"/>
    <w:uiPriority w:val="99"/>
    <w:locked/>
    <w:rsid w:val="006F7083"/>
    <w:rPr>
      <w:rFonts w:cs="Times New Roman"/>
      <w:sz w:val="24"/>
      <w:lang w:val="x-none" w:eastAsia="cs-CZ"/>
    </w:rPr>
  </w:style>
  <w:style w:type="character" w:customStyle="1" w:styleId="Nadpis8Char">
    <w:name w:val="Nadpis 8 Char"/>
    <w:basedOn w:val="Predvolenpsmoodseku"/>
    <w:link w:val="Nadpis8"/>
    <w:uiPriority w:val="99"/>
    <w:locked/>
    <w:rsid w:val="006F7083"/>
    <w:rPr>
      <w:rFonts w:cs="Times New Roman"/>
      <w:i/>
      <w:sz w:val="24"/>
      <w:lang w:val="x-none" w:eastAsia="cs-CZ"/>
    </w:rPr>
  </w:style>
  <w:style w:type="character" w:customStyle="1" w:styleId="Nadpis9Char">
    <w:name w:val="Nadpis 9 Char"/>
    <w:basedOn w:val="Predvolenpsmoodseku"/>
    <w:link w:val="Nadpis9"/>
    <w:uiPriority w:val="99"/>
    <w:locked/>
    <w:rsid w:val="006F7083"/>
    <w:rPr>
      <w:rFonts w:ascii="Arial" w:hAnsi="Arial" w:cs="Times New Roman"/>
      <w:sz w:val="22"/>
      <w:lang w:val="x-none" w:eastAsia="cs-CZ"/>
    </w:rPr>
  </w:style>
  <w:style w:type="paragraph" w:styleId="Zkladntext">
    <w:name w:val="Body Text"/>
    <w:aliases w:val="Char14 Char Char,Základný text Char Char,Body Text Char Char Char Char Char,Body Text Char Char Char Char,Char14 Char,Body Text Char Char Char"/>
    <w:basedOn w:val="Normlny"/>
    <w:link w:val="ZkladntextChar"/>
    <w:uiPriority w:val="99"/>
    <w:qFormat/>
    <w:rsid w:val="006935B8"/>
    <w:pPr>
      <w:jc w:val="both"/>
    </w:pPr>
  </w:style>
  <w:style w:type="character" w:customStyle="1" w:styleId="ZkladntextChar">
    <w:name w:val="Základný text Char"/>
    <w:aliases w:val="Char14 Char Char Char,Základný text Char Char Char,Body Text Char Char Char Char Char Char,Body Text Char Char Char Char Char1,Char14 Char Char1,Body Text Char Char Char Char1"/>
    <w:basedOn w:val="Predvolenpsmoodseku"/>
    <w:link w:val="Zkladntext"/>
    <w:uiPriority w:val="99"/>
    <w:locked/>
    <w:rsid w:val="006935B8"/>
    <w:rPr>
      <w:rFonts w:ascii="Courier" w:hAnsi="Courier" w:cs="Times New Roman"/>
      <w:sz w:val="24"/>
      <w:lang w:val="sk-SK" w:eastAsia="cs-CZ"/>
    </w:rPr>
  </w:style>
  <w:style w:type="paragraph" w:styleId="Zarkazkladnhotextu">
    <w:name w:val="Body Text Indent"/>
    <w:aliases w:val="Char8 Char"/>
    <w:basedOn w:val="Normlny"/>
    <w:link w:val="ZarkazkladnhotextuChar"/>
    <w:uiPriority w:val="99"/>
    <w:qFormat/>
    <w:rsid w:val="006935B8"/>
    <w:pPr>
      <w:spacing w:after="120" w:line="480" w:lineRule="auto"/>
    </w:pPr>
  </w:style>
  <w:style w:type="character" w:customStyle="1" w:styleId="ZarkazkladnhotextuChar">
    <w:name w:val="Zarážka základného textu Char"/>
    <w:aliases w:val="Char8 Char Char"/>
    <w:basedOn w:val="Predvolenpsmoodseku"/>
    <w:link w:val="Zarkazkladnhotextu"/>
    <w:uiPriority w:val="99"/>
    <w:locked/>
    <w:rsid w:val="006935B8"/>
    <w:rPr>
      <w:rFonts w:ascii="Courier" w:hAnsi="Courier" w:cs="Times New Roman"/>
      <w:sz w:val="24"/>
      <w:lang w:val="sk-SK" w:eastAsia="cs-CZ"/>
    </w:rPr>
  </w:style>
  <w:style w:type="paragraph" w:customStyle="1" w:styleId="Zakladnystyl">
    <w:name w:val="Zakladny styl"/>
    <w:qFormat/>
    <w:rsid w:val="00C777FA"/>
    <w:rPr>
      <w:sz w:val="24"/>
      <w:szCs w:val="24"/>
    </w:rPr>
  </w:style>
  <w:style w:type="paragraph" w:customStyle="1" w:styleId="CharCharCharCharChar1">
    <w:name w:val="Char Char Char Char Char1"/>
    <w:basedOn w:val="Normlny"/>
    <w:uiPriority w:val="99"/>
    <w:qFormat/>
    <w:rsid w:val="00390B69"/>
    <w:pPr>
      <w:spacing w:after="160" w:line="240" w:lineRule="exact"/>
    </w:pPr>
    <w:rPr>
      <w:rFonts w:ascii="Tahoma" w:hAnsi="Tahoma" w:cs="Tahoma"/>
      <w:sz w:val="20"/>
      <w:szCs w:val="20"/>
      <w:lang w:val="en-US" w:eastAsia="en-US"/>
    </w:rPr>
  </w:style>
  <w:style w:type="paragraph" w:customStyle="1" w:styleId="Zarkazkladnhotextu1">
    <w:name w:val="Zarážka základného textu1"/>
    <w:basedOn w:val="Normlny"/>
    <w:link w:val="BodyTextIndentChar"/>
    <w:qFormat/>
    <w:rsid w:val="00390B69"/>
    <w:pPr>
      <w:spacing w:after="120"/>
      <w:ind w:left="283"/>
    </w:pPr>
  </w:style>
  <w:style w:type="character" w:customStyle="1" w:styleId="BodyTextIndentChar">
    <w:name w:val="Body Text Indent Char"/>
    <w:link w:val="Zarkazkladnhotextu1"/>
    <w:locked/>
    <w:rsid w:val="00390B69"/>
    <w:rPr>
      <w:rFonts w:ascii="Courier" w:hAnsi="Courier"/>
      <w:sz w:val="24"/>
      <w:lang w:val="x-none" w:eastAsia="cs-CZ"/>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uiPriority w:val="99"/>
    <w:qFormat/>
    <w:rsid w:val="008333C8"/>
    <w:pPr>
      <w:spacing w:after="160" w:line="240" w:lineRule="exact"/>
    </w:pPr>
    <w:rPr>
      <w:rFonts w:ascii="Tahoma" w:hAnsi="Tahoma" w:cs="Times New Roman"/>
      <w:sz w:val="20"/>
      <w:szCs w:val="20"/>
      <w:lang w:val="en-US" w:eastAsia="en-US"/>
    </w:rPr>
  </w:style>
  <w:style w:type="paragraph" w:customStyle="1" w:styleId="Zarkazkladnhotextu2">
    <w:name w:val="Zarážka základného textu2"/>
    <w:basedOn w:val="Normlny"/>
    <w:uiPriority w:val="99"/>
    <w:qFormat/>
    <w:rsid w:val="000E6159"/>
    <w:pPr>
      <w:spacing w:after="120"/>
      <w:ind w:left="283"/>
    </w:pPr>
  </w:style>
  <w:style w:type="paragraph" w:styleId="Textbubliny">
    <w:name w:val="Balloon Text"/>
    <w:aliases w:val="Char13 Char,Text bubliny Char Char,Balloon Text Char Char"/>
    <w:basedOn w:val="Normlny"/>
    <w:link w:val="TextbublinyChar"/>
    <w:uiPriority w:val="99"/>
    <w:semiHidden/>
    <w:unhideWhenUsed/>
    <w:qFormat/>
    <w:rsid w:val="00175AD5"/>
    <w:rPr>
      <w:rFonts w:ascii="Tahoma" w:hAnsi="Tahoma" w:cs="Times New Roman"/>
      <w:sz w:val="16"/>
      <w:szCs w:val="16"/>
    </w:rPr>
  </w:style>
  <w:style w:type="character" w:customStyle="1" w:styleId="TextbublinyChar">
    <w:name w:val="Text bubliny Char"/>
    <w:aliases w:val="Char13 Char Char,Text bubliny Char Char Char,Balloon Text Char Char Char"/>
    <w:basedOn w:val="Predvolenpsmoodseku"/>
    <w:link w:val="Textbubliny"/>
    <w:uiPriority w:val="99"/>
    <w:semiHidden/>
    <w:locked/>
    <w:rsid w:val="00175AD5"/>
    <w:rPr>
      <w:rFonts w:ascii="Tahoma" w:hAnsi="Tahoma" w:cs="Times New Roman"/>
      <w:sz w:val="16"/>
      <w:lang w:val="x-none" w:eastAsia="cs-CZ"/>
    </w:rPr>
  </w:style>
  <w:style w:type="paragraph" w:styleId="Odsekzoznamu">
    <w:name w:val="List Paragraph"/>
    <w:aliases w:val="body,Odsek zoznamu2,Dot pt,No Spacing1,List Paragraph Char Char Char,Indicator Text,Numbered Para 1,List Paragraph à moi,LISTA,Listaszerű bekezdés2,Listaszerű bekezdés3,Listaszerű bekezdés1,Odsek zoznamu4,F5 List Paragraph,Recommendation,3"/>
    <w:basedOn w:val="Normlny"/>
    <w:link w:val="OdsekzoznamuChar"/>
    <w:uiPriority w:val="34"/>
    <w:qFormat/>
    <w:rsid w:val="00C02AF8"/>
    <w:pPr>
      <w:ind w:left="720"/>
      <w:contextualSpacing/>
    </w:pPr>
  </w:style>
  <w:style w:type="paragraph" w:styleId="Hlavika">
    <w:name w:val="header"/>
    <w:aliases w:val="Hlavička Char Char Char"/>
    <w:basedOn w:val="Normlny"/>
    <w:link w:val="HlavikaChar"/>
    <w:uiPriority w:val="99"/>
    <w:unhideWhenUsed/>
    <w:qFormat/>
    <w:rsid w:val="00686060"/>
    <w:pPr>
      <w:tabs>
        <w:tab w:val="center" w:pos="4536"/>
        <w:tab w:val="right" w:pos="9072"/>
      </w:tabs>
    </w:pPr>
    <w:rPr>
      <w:rFonts w:cs="Times New Roman"/>
    </w:rPr>
  </w:style>
  <w:style w:type="character" w:customStyle="1" w:styleId="HlavikaChar">
    <w:name w:val="Hlavička Char"/>
    <w:aliases w:val="Hlavička Char Char Char Char"/>
    <w:basedOn w:val="Predvolenpsmoodseku"/>
    <w:link w:val="Hlavika"/>
    <w:uiPriority w:val="99"/>
    <w:locked/>
    <w:rsid w:val="00686060"/>
    <w:rPr>
      <w:rFonts w:ascii="Courier" w:hAnsi="Courier" w:cs="Times New Roman"/>
      <w:sz w:val="24"/>
      <w:lang w:val="x-none" w:eastAsia="cs-CZ"/>
    </w:rPr>
  </w:style>
  <w:style w:type="paragraph" w:styleId="Pta">
    <w:name w:val="footer"/>
    <w:aliases w:val="Char11 Char,Päta Char Char,Footer Char Char Char"/>
    <w:basedOn w:val="Normlny"/>
    <w:link w:val="PtaChar"/>
    <w:uiPriority w:val="99"/>
    <w:unhideWhenUsed/>
    <w:qFormat/>
    <w:rsid w:val="00686060"/>
    <w:pPr>
      <w:tabs>
        <w:tab w:val="center" w:pos="4536"/>
        <w:tab w:val="right" w:pos="9072"/>
      </w:tabs>
    </w:pPr>
    <w:rPr>
      <w:rFonts w:cs="Times New Roman"/>
    </w:rPr>
  </w:style>
  <w:style w:type="character" w:customStyle="1" w:styleId="PtaChar">
    <w:name w:val="Päta Char"/>
    <w:aliases w:val="Char11 Char Char,Päta Char Char Char,Footer Char Char Char Char"/>
    <w:basedOn w:val="Predvolenpsmoodseku"/>
    <w:link w:val="Pta"/>
    <w:uiPriority w:val="99"/>
    <w:locked/>
    <w:rsid w:val="00686060"/>
    <w:rPr>
      <w:rFonts w:ascii="Courier" w:hAnsi="Courier" w:cs="Times New Roman"/>
      <w:sz w:val="24"/>
      <w:lang w:val="x-none" w:eastAsia="cs-CZ"/>
    </w:rPr>
  </w:style>
  <w:style w:type="paragraph" w:customStyle="1" w:styleId="Zkladntext0">
    <w:name w:val="Základní text"/>
    <w:qFormat/>
    <w:rsid w:val="008C27EE"/>
    <w:pPr>
      <w:snapToGrid w:val="0"/>
    </w:pPr>
    <w:rPr>
      <w:color w:val="000000"/>
      <w:sz w:val="24"/>
    </w:rPr>
  </w:style>
  <w:style w:type="paragraph" w:customStyle="1" w:styleId="Default">
    <w:name w:val="Default"/>
    <w:qFormat/>
    <w:rsid w:val="005D1A7E"/>
    <w:pPr>
      <w:autoSpaceDE w:val="0"/>
      <w:autoSpaceDN w:val="0"/>
      <w:adjustRightInd w:val="0"/>
    </w:pPr>
    <w:rPr>
      <w:rFonts w:ascii="Arial" w:hAnsi="Arial" w:cs="Arial"/>
      <w:color w:val="000000"/>
      <w:sz w:val="24"/>
      <w:szCs w:val="24"/>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f"/>
    <w:basedOn w:val="Normlny"/>
    <w:link w:val="TextpoznmkypodiarouChar"/>
    <w:uiPriority w:val="99"/>
    <w:unhideWhenUsed/>
    <w:qFormat/>
    <w:rsid w:val="008C51E8"/>
    <w:rPr>
      <w:rFonts w:ascii="Times New Roman" w:hAnsi="Times New Roman" w:cs="Times New Roman"/>
      <w:sz w:val="20"/>
      <w:szCs w:val="20"/>
      <w:lang w:eastAsia="sk-SK"/>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f Char"/>
    <w:basedOn w:val="Predvolenpsmoodseku"/>
    <w:link w:val="Textpoznmkypodiarou"/>
    <w:uiPriority w:val="99"/>
    <w:locked/>
    <w:rsid w:val="008C51E8"/>
    <w:rPr>
      <w:rFonts w:cs="Times New Roman"/>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unhideWhenUsed/>
    <w:rsid w:val="008C51E8"/>
    <w:rPr>
      <w:rFonts w:cs="Times New Roman"/>
      <w:vertAlign w:val="superscript"/>
    </w:rPr>
  </w:style>
  <w:style w:type="paragraph" w:customStyle="1" w:styleId="CharChar2">
    <w:name w:val="Char Char2"/>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styleId="Zkladntext2">
    <w:name w:val="Body Text 2"/>
    <w:aliases w:val="Základný text 2 Char Char,Body Text 2 Char Char Char"/>
    <w:basedOn w:val="Normlny"/>
    <w:link w:val="Zkladntext2Char"/>
    <w:uiPriority w:val="99"/>
    <w:qFormat/>
    <w:rsid w:val="00992BC9"/>
    <w:pPr>
      <w:spacing w:after="120" w:line="480" w:lineRule="auto"/>
    </w:pPr>
    <w:rPr>
      <w:rFonts w:cs="Times New Roman"/>
    </w:rPr>
  </w:style>
  <w:style w:type="character" w:customStyle="1" w:styleId="Zkladntext2Char">
    <w:name w:val="Základný text 2 Char"/>
    <w:aliases w:val="Základný text 2 Char Char Char,Body Text 2 Char Char Char Char"/>
    <w:basedOn w:val="Predvolenpsmoodseku"/>
    <w:link w:val="Zkladntext2"/>
    <w:uiPriority w:val="99"/>
    <w:locked/>
    <w:rsid w:val="00992BC9"/>
    <w:rPr>
      <w:rFonts w:ascii="Courier" w:hAnsi="Courier" w:cs="Times New Roman"/>
      <w:sz w:val="24"/>
    </w:rPr>
  </w:style>
  <w:style w:type="paragraph" w:customStyle="1" w:styleId="INGBodyText">
    <w:name w:val="ING Body Text"/>
    <w:basedOn w:val="Normlny"/>
    <w:uiPriority w:val="99"/>
    <w:qFormat/>
    <w:rsid w:val="00992BC9"/>
    <w:pPr>
      <w:spacing w:after="160" w:line="280" w:lineRule="exact"/>
      <w:jc w:val="both"/>
    </w:pPr>
    <w:rPr>
      <w:rFonts w:ascii="Arial" w:hAnsi="Arial" w:cs="Arial"/>
      <w:color w:val="000000"/>
      <w:sz w:val="19"/>
      <w:szCs w:val="19"/>
      <w:lang w:val="en-GB" w:eastAsia="en-US"/>
    </w:rPr>
  </w:style>
  <w:style w:type="character" w:styleId="slostrany">
    <w:name w:val="page number"/>
    <w:basedOn w:val="Predvolenpsmoodseku"/>
    <w:uiPriority w:val="99"/>
    <w:rsid w:val="00992BC9"/>
    <w:rPr>
      <w:rFonts w:cs="Times New Roman"/>
    </w:rPr>
  </w:style>
  <w:style w:type="paragraph" w:styleId="Zarkazkladnhotextu20">
    <w:name w:val="Body Text Indent 2"/>
    <w:aliases w:val="Char10 Char,Zarážka základného textu 2 Char Char,Body Text Indent 2 Char Char Char"/>
    <w:basedOn w:val="Normlny"/>
    <w:link w:val="Zarkazkladnhotextu2Char"/>
    <w:uiPriority w:val="99"/>
    <w:qFormat/>
    <w:rsid w:val="00992BC9"/>
    <w:pPr>
      <w:spacing w:after="120" w:line="480" w:lineRule="auto"/>
      <w:ind w:left="283"/>
    </w:pPr>
    <w:rPr>
      <w:rFonts w:cs="Times New Roman"/>
    </w:rPr>
  </w:style>
  <w:style w:type="character" w:customStyle="1" w:styleId="Zarkazkladnhotextu2Char">
    <w:name w:val="Zarážka základného textu 2 Char"/>
    <w:aliases w:val="Char10 Char Char,Zarážka základného textu 2 Char Char Char,Body Text Indent 2 Char Char Char Char"/>
    <w:basedOn w:val="Predvolenpsmoodseku"/>
    <w:link w:val="Zarkazkladnhotextu20"/>
    <w:uiPriority w:val="99"/>
    <w:locked/>
    <w:rsid w:val="00992BC9"/>
    <w:rPr>
      <w:rFonts w:ascii="Courier" w:hAnsi="Courier" w:cs="Times New Roman"/>
      <w:sz w:val="24"/>
    </w:rPr>
  </w:style>
  <w:style w:type="character" w:customStyle="1" w:styleId="truktradokumentuChar">
    <w:name w:val="Štruktúra dokumentu Char"/>
    <w:aliases w:val="Char9 Char Char,Štruktúra dokumentu Char Char Char,Document Map Char Char Char"/>
    <w:link w:val="truktradokumentu"/>
    <w:uiPriority w:val="99"/>
    <w:semiHidden/>
    <w:locked/>
    <w:rsid w:val="00992BC9"/>
    <w:rPr>
      <w:rFonts w:ascii="Tahoma" w:hAnsi="Tahoma"/>
      <w:sz w:val="24"/>
      <w:shd w:val="clear" w:color="auto" w:fill="000080"/>
    </w:rPr>
  </w:style>
  <w:style w:type="paragraph" w:styleId="truktradokumentu">
    <w:name w:val="Document Map"/>
    <w:aliases w:val="Char9 Char,Štruktúra dokumentu Char Char,Document Map Char Char"/>
    <w:basedOn w:val="Normlny"/>
    <w:link w:val="truktradokumentuChar"/>
    <w:uiPriority w:val="99"/>
    <w:semiHidden/>
    <w:qFormat/>
    <w:rsid w:val="00992BC9"/>
    <w:pPr>
      <w:shd w:val="clear" w:color="auto" w:fill="000080"/>
    </w:pPr>
    <w:rPr>
      <w:rFonts w:ascii="Tahoma" w:hAnsi="Tahoma" w:cs="Times New Roman"/>
    </w:rPr>
  </w:style>
  <w:style w:type="character" w:customStyle="1" w:styleId="truktradokumentuChar1">
    <w:name w:val="Štruktúra dokumentu Char1"/>
    <w:aliases w:val="Char9 Char Char1,Štruktúra dokumentu Char Char Char1,Document Map Char Char Char1"/>
    <w:basedOn w:val="Predvolenpsmoodseku"/>
    <w:uiPriority w:val="99"/>
    <w:semiHidden/>
    <w:rPr>
      <w:rFonts w:ascii="Tahoma" w:hAnsi="Tahoma" w:cs="Tahoma"/>
      <w:sz w:val="16"/>
      <w:szCs w:val="16"/>
      <w:lang w:eastAsia="cs-CZ"/>
    </w:rPr>
  </w:style>
  <w:style w:type="character" w:customStyle="1" w:styleId="truktradokumentuChar1621">
    <w:name w:val="Štruktúra dokumentu Char1621"/>
    <w:aliases w:val="Char9 Char Char1622,Štruktúra dokumentu Char Char Char1622,Document Map Char Char Char1622"/>
    <w:basedOn w:val="Predvolenpsmoodseku"/>
    <w:uiPriority w:val="99"/>
    <w:semiHidden/>
    <w:rPr>
      <w:rFonts w:ascii="Tahoma" w:hAnsi="Tahoma" w:cs="Tahoma"/>
      <w:sz w:val="16"/>
      <w:szCs w:val="16"/>
      <w:lang w:val="x-none" w:eastAsia="cs-CZ"/>
    </w:rPr>
  </w:style>
  <w:style w:type="character" w:customStyle="1" w:styleId="truktradokumentuChar1620">
    <w:name w:val="Štruktúra dokumentu Char1620"/>
    <w:aliases w:val="Char9 Char Char1621,Štruktúra dokumentu Char Char Char1621,Document Map Char Char Char1621"/>
    <w:basedOn w:val="Predvolenpsmoodseku"/>
    <w:uiPriority w:val="99"/>
    <w:semiHidden/>
    <w:rPr>
      <w:rFonts w:ascii="Tahoma" w:hAnsi="Tahoma" w:cs="Tahoma"/>
      <w:sz w:val="16"/>
      <w:szCs w:val="16"/>
      <w:lang w:val="x-none" w:eastAsia="cs-CZ"/>
    </w:rPr>
  </w:style>
  <w:style w:type="character" w:customStyle="1" w:styleId="truktradokumentuChar1614">
    <w:name w:val="Štruktúra dokumentu Char1614"/>
    <w:aliases w:val="Char9 Char Char1615,Štruktúra dokumentu Char Char Char1615,Document Map Char Char Char1615"/>
    <w:basedOn w:val="Predvolenpsmoodseku"/>
    <w:uiPriority w:val="99"/>
    <w:semiHidden/>
    <w:rPr>
      <w:rFonts w:ascii="Tahoma" w:hAnsi="Tahoma" w:cs="Tahoma"/>
      <w:sz w:val="16"/>
      <w:szCs w:val="16"/>
      <w:lang w:val="x-none" w:eastAsia="cs-CZ"/>
    </w:rPr>
  </w:style>
  <w:style w:type="character" w:customStyle="1" w:styleId="truktradokumentuChar1613">
    <w:name w:val="Štruktúra dokumentu Char1613"/>
    <w:aliases w:val="Char9 Char Char1614,Štruktúra dokumentu Char Char Char1614,Document Map Char Char Char1614"/>
    <w:basedOn w:val="Predvolenpsmoodseku"/>
    <w:uiPriority w:val="99"/>
    <w:semiHidden/>
    <w:rPr>
      <w:rFonts w:ascii="Tahoma" w:hAnsi="Tahoma" w:cs="Tahoma"/>
      <w:sz w:val="16"/>
      <w:szCs w:val="16"/>
      <w:lang w:val="x-none" w:eastAsia="cs-CZ"/>
    </w:rPr>
  </w:style>
  <w:style w:type="character" w:customStyle="1" w:styleId="truktradokumentuChar1612">
    <w:name w:val="Štruktúra dokumentu Char1612"/>
    <w:aliases w:val="Char9 Char Char1613,Štruktúra dokumentu Char Char Char1613,Document Map Char Char Char1613"/>
    <w:basedOn w:val="Predvolenpsmoodseku"/>
    <w:uiPriority w:val="99"/>
    <w:semiHidden/>
    <w:rPr>
      <w:rFonts w:ascii="Tahoma" w:hAnsi="Tahoma" w:cs="Tahoma"/>
      <w:sz w:val="16"/>
      <w:szCs w:val="16"/>
      <w:lang w:val="x-none" w:eastAsia="cs-CZ"/>
    </w:rPr>
  </w:style>
  <w:style w:type="character" w:customStyle="1" w:styleId="truktradokumentuChar1611">
    <w:name w:val="Štruktúra dokumentu Char1611"/>
    <w:aliases w:val="Char9 Char Char1612,Štruktúra dokumentu Char Char Char1612,Document Map Char Char Char1612"/>
    <w:basedOn w:val="Predvolenpsmoodseku"/>
    <w:uiPriority w:val="99"/>
    <w:semiHidden/>
    <w:rPr>
      <w:rFonts w:ascii="Tahoma" w:hAnsi="Tahoma" w:cs="Tahoma"/>
      <w:sz w:val="16"/>
      <w:szCs w:val="16"/>
      <w:lang w:val="x-none" w:eastAsia="cs-CZ"/>
    </w:rPr>
  </w:style>
  <w:style w:type="character" w:customStyle="1" w:styleId="truktradokumentuChar1610">
    <w:name w:val="Štruktúra dokumentu Char1610"/>
    <w:aliases w:val="Char9 Char Char1611,Štruktúra dokumentu Char Char Char1611,Document Map Char Char Char1611"/>
    <w:basedOn w:val="Predvolenpsmoodseku"/>
    <w:uiPriority w:val="99"/>
    <w:semiHidden/>
    <w:rPr>
      <w:rFonts w:ascii="Tahoma" w:hAnsi="Tahoma" w:cs="Tahoma"/>
      <w:sz w:val="16"/>
      <w:szCs w:val="16"/>
      <w:lang w:val="x-none" w:eastAsia="cs-CZ"/>
    </w:rPr>
  </w:style>
  <w:style w:type="character" w:customStyle="1" w:styleId="truktradokumentuChar1609">
    <w:name w:val="Štruktúra dokumentu Char1609"/>
    <w:aliases w:val="Char9 Char Char1610,Štruktúra dokumentu Char Char Char1610,Document Map Char Char Char1610"/>
    <w:basedOn w:val="Predvolenpsmoodseku"/>
    <w:uiPriority w:val="99"/>
    <w:semiHidden/>
    <w:rPr>
      <w:rFonts w:ascii="Tahoma" w:hAnsi="Tahoma" w:cs="Tahoma"/>
      <w:sz w:val="16"/>
      <w:szCs w:val="16"/>
      <w:lang w:val="x-none" w:eastAsia="cs-CZ"/>
    </w:rPr>
  </w:style>
  <w:style w:type="character" w:customStyle="1" w:styleId="truktradokumentuChar1608">
    <w:name w:val="Štruktúra dokumentu Char1608"/>
    <w:aliases w:val="Char9 Char Char1609,Štruktúra dokumentu Char Char Char1609,Document Map Char Char Char1609"/>
    <w:basedOn w:val="Predvolenpsmoodseku"/>
    <w:uiPriority w:val="99"/>
    <w:semiHidden/>
    <w:rPr>
      <w:rFonts w:ascii="Tahoma" w:hAnsi="Tahoma" w:cs="Tahoma"/>
      <w:sz w:val="16"/>
      <w:szCs w:val="16"/>
      <w:lang w:val="x-none" w:eastAsia="cs-CZ"/>
    </w:rPr>
  </w:style>
  <w:style w:type="character" w:customStyle="1" w:styleId="truktradokumentuChar1607">
    <w:name w:val="Štruktúra dokumentu Char1607"/>
    <w:aliases w:val="Char9 Char Char1608,Štruktúra dokumentu Char Char Char1608,Document Map Char Char Char1608"/>
    <w:basedOn w:val="Predvolenpsmoodseku"/>
    <w:uiPriority w:val="99"/>
    <w:semiHidden/>
    <w:rPr>
      <w:rFonts w:ascii="Tahoma" w:hAnsi="Tahoma" w:cs="Tahoma"/>
      <w:sz w:val="16"/>
      <w:szCs w:val="16"/>
      <w:lang w:val="x-none" w:eastAsia="cs-CZ"/>
    </w:rPr>
  </w:style>
  <w:style w:type="character" w:customStyle="1" w:styleId="truktradokumentuChar1606">
    <w:name w:val="Štruktúra dokumentu Char1606"/>
    <w:aliases w:val="Char9 Char Char1607,Štruktúra dokumentu Char Char Char1607,Document Map Char Char Char1607"/>
    <w:basedOn w:val="Predvolenpsmoodseku"/>
    <w:uiPriority w:val="99"/>
    <w:semiHidden/>
    <w:rPr>
      <w:rFonts w:ascii="Tahoma" w:hAnsi="Tahoma" w:cs="Tahoma"/>
      <w:sz w:val="16"/>
      <w:szCs w:val="16"/>
      <w:lang w:val="x-none" w:eastAsia="cs-CZ"/>
    </w:rPr>
  </w:style>
  <w:style w:type="character" w:customStyle="1" w:styleId="truktradokumentuChar1605">
    <w:name w:val="Štruktúra dokumentu Char1605"/>
    <w:aliases w:val="Char9 Char Char1606,Štruktúra dokumentu Char Char Char1606,Document Map Char Char Char1606"/>
    <w:basedOn w:val="Predvolenpsmoodseku"/>
    <w:uiPriority w:val="99"/>
    <w:semiHidden/>
    <w:rPr>
      <w:rFonts w:ascii="Tahoma" w:hAnsi="Tahoma" w:cs="Tahoma"/>
      <w:sz w:val="16"/>
      <w:szCs w:val="16"/>
      <w:lang w:val="x-none" w:eastAsia="cs-CZ"/>
    </w:rPr>
  </w:style>
  <w:style w:type="character" w:customStyle="1" w:styleId="truktradokumentuChar1604">
    <w:name w:val="Štruktúra dokumentu Char1604"/>
    <w:aliases w:val="Char9 Char Char1605,Štruktúra dokumentu Char Char Char1605,Document Map Char Char Char1605"/>
    <w:basedOn w:val="Predvolenpsmoodseku"/>
    <w:uiPriority w:val="99"/>
    <w:semiHidden/>
    <w:rPr>
      <w:rFonts w:ascii="Tahoma" w:hAnsi="Tahoma" w:cs="Tahoma"/>
      <w:sz w:val="16"/>
      <w:szCs w:val="16"/>
      <w:lang w:val="x-none" w:eastAsia="cs-CZ"/>
    </w:rPr>
  </w:style>
  <w:style w:type="character" w:customStyle="1" w:styleId="truktradokumentuChar1603">
    <w:name w:val="Štruktúra dokumentu Char1603"/>
    <w:aliases w:val="Char9 Char Char1604,Štruktúra dokumentu Char Char Char1604,Document Map Char Char Char1604"/>
    <w:basedOn w:val="Predvolenpsmoodseku"/>
    <w:uiPriority w:val="99"/>
    <w:semiHidden/>
    <w:rPr>
      <w:rFonts w:ascii="Tahoma" w:hAnsi="Tahoma" w:cs="Tahoma"/>
      <w:sz w:val="16"/>
      <w:szCs w:val="16"/>
      <w:lang w:val="x-none" w:eastAsia="cs-CZ"/>
    </w:rPr>
  </w:style>
  <w:style w:type="character" w:customStyle="1" w:styleId="truktradokumentuChar1602">
    <w:name w:val="Štruktúra dokumentu Char1602"/>
    <w:aliases w:val="Char9 Char Char1603,Štruktúra dokumentu Char Char Char1603,Document Map Char Char Char1603"/>
    <w:basedOn w:val="Predvolenpsmoodseku"/>
    <w:uiPriority w:val="99"/>
    <w:semiHidden/>
    <w:rPr>
      <w:rFonts w:ascii="Tahoma" w:hAnsi="Tahoma" w:cs="Tahoma"/>
      <w:sz w:val="16"/>
      <w:szCs w:val="16"/>
      <w:lang w:val="x-none" w:eastAsia="cs-CZ"/>
    </w:rPr>
  </w:style>
  <w:style w:type="character" w:customStyle="1" w:styleId="truktradokumentuChar1601">
    <w:name w:val="Štruktúra dokumentu Char1601"/>
    <w:aliases w:val="Char9 Char Char1602,Štruktúra dokumentu Char Char Char1602,Document Map Char Char Char1602"/>
    <w:basedOn w:val="Predvolenpsmoodseku"/>
    <w:uiPriority w:val="99"/>
    <w:semiHidden/>
    <w:rPr>
      <w:rFonts w:ascii="Tahoma" w:hAnsi="Tahoma" w:cs="Tahoma"/>
      <w:sz w:val="16"/>
      <w:szCs w:val="16"/>
      <w:lang w:val="x-none" w:eastAsia="cs-CZ"/>
    </w:rPr>
  </w:style>
  <w:style w:type="character" w:customStyle="1" w:styleId="truktradokumentuChar1600">
    <w:name w:val="Štruktúra dokumentu Char1600"/>
    <w:aliases w:val="Char9 Char Char1601,Štruktúra dokumentu Char Char Char1601,Document Map Char Char Char1601"/>
    <w:basedOn w:val="Predvolenpsmoodseku"/>
    <w:uiPriority w:val="99"/>
    <w:semiHidden/>
    <w:rPr>
      <w:rFonts w:ascii="Tahoma" w:hAnsi="Tahoma" w:cs="Tahoma"/>
      <w:sz w:val="16"/>
      <w:szCs w:val="16"/>
      <w:lang w:val="x-none" w:eastAsia="cs-CZ"/>
    </w:rPr>
  </w:style>
  <w:style w:type="character" w:customStyle="1" w:styleId="truktradokumentuChar1599">
    <w:name w:val="Štruktúra dokumentu Char1599"/>
    <w:aliases w:val="Char9 Char Char1600,Štruktúra dokumentu Char Char Char1600,Document Map Char Char Char1600"/>
    <w:basedOn w:val="Predvolenpsmoodseku"/>
    <w:uiPriority w:val="99"/>
    <w:semiHidden/>
    <w:rPr>
      <w:rFonts w:ascii="Tahoma" w:hAnsi="Tahoma" w:cs="Tahoma"/>
      <w:sz w:val="16"/>
      <w:szCs w:val="16"/>
      <w:lang w:val="x-none" w:eastAsia="cs-CZ"/>
    </w:rPr>
  </w:style>
  <w:style w:type="character" w:customStyle="1" w:styleId="truktradokumentuChar1598">
    <w:name w:val="Štruktúra dokumentu Char1598"/>
    <w:aliases w:val="Char9 Char Char1599,Štruktúra dokumentu Char Char Char1599,Document Map Char Char Char1599"/>
    <w:basedOn w:val="Predvolenpsmoodseku"/>
    <w:uiPriority w:val="99"/>
    <w:semiHidden/>
    <w:rPr>
      <w:rFonts w:ascii="Tahoma" w:hAnsi="Tahoma" w:cs="Tahoma"/>
      <w:sz w:val="16"/>
      <w:szCs w:val="16"/>
      <w:lang w:val="x-none" w:eastAsia="cs-CZ"/>
    </w:rPr>
  </w:style>
  <w:style w:type="character" w:customStyle="1" w:styleId="truktradokumentuChar1597">
    <w:name w:val="Štruktúra dokumentu Char1597"/>
    <w:aliases w:val="Char9 Char Char1598,Štruktúra dokumentu Char Char Char1598,Document Map Char Char Char1598"/>
    <w:basedOn w:val="Predvolenpsmoodseku"/>
    <w:uiPriority w:val="99"/>
    <w:semiHidden/>
    <w:rPr>
      <w:rFonts w:ascii="Tahoma" w:hAnsi="Tahoma" w:cs="Tahoma"/>
      <w:sz w:val="16"/>
      <w:szCs w:val="16"/>
      <w:lang w:val="x-none" w:eastAsia="cs-CZ"/>
    </w:rPr>
  </w:style>
  <w:style w:type="character" w:customStyle="1" w:styleId="truktradokumentuChar1596">
    <w:name w:val="Štruktúra dokumentu Char1596"/>
    <w:aliases w:val="Char9 Char Char1597,Štruktúra dokumentu Char Char Char1597,Document Map Char Char Char1597"/>
    <w:basedOn w:val="Predvolenpsmoodseku"/>
    <w:uiPriority w:val="99"/>
    <w:semiHidden/>
    <w:rPr>
      <w:rFonts w:ascii="Tahoma" w:hAnsi="Tahoma" w:cs="Tahoma"/>
      <w:sz w:val="16"/>
      <w:szCs w:val="16"/>
      <w:lang w:val="x-none" w:eastAsia="cs-CZ"/>
    </w:rPr>
  </w:style>
  <w:style w:type="character" w:customStyle="1" w:styleId="truktradokumentuChar1595">
    <w:name w:val="Štruktúra dokumentu Char1595"/>
    <w:aliases w:val="Char9 Char Char1596,Štruktúra dokumentu Char Char Char1596,Document Map Char Char Char1596"/>
    <w:basedOn w:val="Predvolenpsmoodseku"/>
    <w:uiPriority w:val="99"/>
    <w:semiHidden/>
    <w:rPr>
      <w:rFonts w:ascii="Tahoma" w:hAnsi="Tahoma" w:cs="Tahoma"/>
      <w:sz w:val="16"/>
      <w:szCs w:val="16"/>
      <w:lang w:val="x-none" w:eastAsia="cs-CZ"/>
    </w:rPr>
  </w:style>
  <w:style w:type="character" w:customStyle="1" w:styleId="truktradokumentuChar1594">
    <w:name w:val="Štruktúra dokumentu Char1594"/>
    <w:aliases w:val="Char9 Char Char1595,Štruktúra dokumentu Char Char Char1595,Document Map Char Char Char1595"/>
    <w:basedOn w:val="Predvolenpsmoodseku"/>
    <w:uiPriority w:val="99"/>
    <w:semiHidden/>
    <w:rPr>
      <w:rFonts w:ascii="Tahoma" w:hAnsi="Tahoma" w:cs="Tahoma"/>
      <w:sz w:val="16"/>
      <w:szCs w:val="16"/>
      <w:lang w:val="x-none" w:eastAsia="cs-CZ"/>
    </w:rPr>
  </w:style>
  <w:style w:type="character" w:customStyle="1" w:styleId="truktradokumentuChar1593">
    <w:name w:val="Štruktúra dokumentu Char1593"/>
    <w:aliases w:val="Char9 Char Char1594,Štruktúra dokumentu Char Char Char1594,Document Map Char Char Char1594"/>
    <w:basedOn w:val="Predvolenpsmoodseku"/>
    <w:uiPriority w:val="99"/>
    <w:semiHidden/>
    <w:rPr>
      <w:rFonts w:ascii="Tahoma" w:hAnsi="Tahoma" w:cs="Tahoma"/>
      <w:sz w:val="16"/>
      <w:szCs w:val="16"/>
      <w:lang w:val="x-none" w:eastAsia="cs-CZ"/>
    </w:rPr>
  </w:style>
  <w:style w:type="character" w:customStyle="1" w:styleId="truktradokumentuChar1592">
    <w:name w:val="Štruktúra dokumentu Char1592"/>
    <w:aliases w:val="Char9 Char Char1593,Štruktúra dokumentu Char Char Char1593,Document Map Char Char Char1593"/>
    <w:basedOn w:val="Predvolenpsmoodseku"/>
    <w:uiPriority w:val="99"/>
    <w:semiHidden/>
    <w:rPr>
      <w:rFonts w:ascii="Tahoma" w:hAnsi="Tahoma" w:cs="Tahoma"/>
      <w:sz w:val="16"/>
      <w:szCs w:val="16"/>
      <w:lang w:val="x-none" w:eastAsia="cs-CZ"/>
    </w:rPr>
  </w:style>
  <w:style w:type="character" w:customStyle="1" w:styleId="truktradokumentuChar1591">
    <w:name w:val="Štruktúra dokumentu Char1591"/>
    <w:aliases w:val="Char9 Char Char1592,Štruktúra dokumentu Char Char Char1592,Document Map Char Char Char1592"/>
    <w:basedOn w:val="Predvolenpsmoodseku"/>
    <w:uiPriority w:val="99"/>
    <w:semiHidden/>
    <w:rPr>
      <w:rFonts w:ascii="Tahoma" w:hAnsi="Tahoma" w:cs="Tahoma"/>
      <w:sz w:val="16"/>
      <w:szCs w:val="16"/>
      <w:lang w:val="x-none" w:eastAsia="cs-CZ"/>
    </w:rPr>
  </w:style>
  <w:style w:type="character" w:customStyle="1" w:styleId="truktradokumentuChar1590">
    <w:name w:val="Štruktúra dokumentu Char1590"/>
    <w:aliases w:val="Char9 Char Char1591,Štruktúra dokumentu Char Char Char1591,Document Map Char Char Char1591"/>
    <w:basedOn w:val="Predvolenpsmoodseku"/>
    <w:uiPriority w:val="99"/>
    <w:semiHidden/>
    <w:rPr>
      <w:rFonts w:ascii="Tahoma" w:hAnsi="Tahoma" w:cs="Tahoma"/>
      <w:sz w:val="16"/>
      <w:szCs w:val="16"/>
      <w:lang w:val="x-none" w:eastAsia="cs-CZ"/>
    </w:rPr>
  </w:style>
  <w:style w:type="character" w:customStyle="1" w:styleId="truktradokumentuChar1589">
    <w:name w:val="Štruktúra dokumentu Char1589"/>
    <w:aliases w:val="Char9 Char Char1590,Štruktúra dokumentu Char Char Char1590,Document Map Char Char Char1590"/>
    <w:basedOn w:val="Predvolenpsmoodseku"/>
    <w:uiPriority w:val="99"/>
    <w:semiHidden/>
    <w:rPr>
      <w:rFonts w:ascii="Tahoma" w:hAnsi="Tahoma" w:cs="Tahoma"/>
      <w:sz w:val="16"/>
      <w:szCs w:val="16"/>
      <w:lang w:val="x-none" w:eastAsia="cs-CZ"/>
    </w:rPr>
  </w:style>
  <w:style w:type="character" w:customStyle="1" w:styleId="truktradokumentuChar1588">
    <w:name w:val="Štruktúra dokumentu Char1588"/>
    <w:aliases w:val="Char9 Char Char1589,Štruktúra dokumentu Char Char Char1589,Document Map Char Char Char1589"/>
    <w:basedOn w:val="Predvolenpsmoodseku"/>
    <w:uiPriority w:val="99"/>
    <w:semiHidden/>
    <w:rPr>
      <w:rFonts w:ascii="Tahoma" w:hAnsi="Tahoma" w:cs="Tahoma"/>
      <w:sz w:val="16"/>
      <w:szCs w:val="16"/>
      <w:lang w:val="x-none" w:eastAsia="cs-CZ"/>
    </w:rPr>
  </w:style>
  <w:style w:type="character" w:customStyle="1" w:styleId="truktradokumentuChar1587">
    <w:name w:val="Štruktúra dokumentu Char1587"/>
    <w:aliases w:val="Char9 Char Char1588,Štruktúra dokumentu Char Char Char1588,Document Map Char Char Char1588"/>
    <w:basedOn w:val="Predvolenpsmoodseku"/>
    <w:uiPriority w:val="99"/>
    <w:semiHidden/>
    <w:rPr>
      <w:rFonts w:ascii="Tahoma" w:hAnsi="Tahoma" w:cs="Tahoma"/>
      <w:sz w:val="16"/>
      <w:szCs w:val="16"/>
      <w:lang w:val="x-none" w:eastAsia="cs-CZ"/>
    </w:rPr>
  </w:style>
  <w:style w:type="character" w:customStyle="1" w:styleId="truktradokumentuChar1586">
    <w:name w:val="Štruktúra dokumentu Char1586"/>
    <w:aliases w:val="Char9 Char Char1587,Štruktúra dokumentu Char Char Char1587,Document Map Char Char Char1587"/>
    <w:basedOn w:val="Predvolenpsmoodseku"/>
    <w:uiPriority w:val="99"/>
    <w:semiHidden/>
    <w:rPr>
      <w:rFonts w:ascii="Tahoma" w:hAnsi="Tahoma" w:cs="Tahoma"/>
      <w:sz w:val="16"/>
      <w:szCs w:val="16"/>
      <w:lang w:val="x-none" w:eastAsia="cs-CZ"/>
    </w:rPr>
  </w:style>
  <w:style w:type="character" w:customStyle="1" w:styleId="truktradokumentuChar1585">
    <w:name w:val="Štruktúra dokumentu Char1585"/>
    <w:aliases w:val="Char9 Char Char1586,Štruktúra dokumentu Char Char Char1586,Document Map Char Char Char1586"/>
    <w:basedOn w:val="Predvolenpsmoodseku"/>
    <w:uiPriority w:val="99"/>
    <w:semiHidden/>
    <w:rPr>
      <w:rFonts w:ascii="Tahoma" w:hAnsi="Tahoma" w:cs="Tahoma"/>
      <w:sz w:val="16"/>
      <w:szCs w:val="16"/>
      <w:lang w:val="x-none" w:eastAsia="cs-CZ"/>
    </w:rPr>
  </w:style>
  <w:style w:type="character" w:customStyle="1" w:styleId="truktradokumentuChar1584">
    <w:name w:val="Štruktúra dokumentu Char1584"/>
    <w:aliases w:val="Char9 Char Char1585,Štruktúra dokumentu Char Char Char1585,Document Map Char Char Char1585"/>
    <w:basedOn w:val="Predvolenpsmoodseku"/>
    <w:uiPriority w:val="99"/>
    <w:semiHidden/>
    <w:rPr>
      <w:rFonts w:ascii="Tahoma" w:hAnsi="Tahoma" w:cs="Tahoma"/>
      <w:sz w:val="16"/>
      <w:szCs w:val="16"/>
      <w:lang w:val="x-none" w:eastAsia="cs-CZ"/>
    </w:rPr>
  </w:style>
  <w:style w:type="character" w:customStyle="1" w:styleId="truktradokumentuChar1583">
    <w:name w:val="Štruktúra dokumentu Char1583"/>
    <w:aliases w:val="Char9 Char Char1584,Štruktúra dokumentu Char Char Char1584,Document Map Char Char Char1584"/>
    <w:basedOn w:val="Predvolenpsmoodseku"/>
    <w:uiPriority w:val="99"/>
    <w:semiHidden/>
    <w:rPr>
      <w:rFonts w:ascii="Tahoma" w:hAnsi="Tahoma" w:cs="Tahoma"/>
      <w:sz w:val="16"/>
      <w:szCs w:val="16"/>
      <w:lang w:val="x-none" w:eastAsia="cs-CZ"/>
    </w:rPr>
  </w:style>
  <w:style w:type="character" w:customStyle="1" w:styleId="truktradokumentuChar1582">
    <w:name w:val="Štruktúra dokumentu Char1582"/>
    <w:aliases w:val="Char9 Char Char1583,Štruktúra dokumentu Char Char Char1583,Document Map Char Char Char1583"/>
    <w:basedOn w:val="Predvolenpsmoodseku"/>
    <w:uiPriority w:val="99"/>
    <w:semiHidden/>
    <w:rPr>
      <w:rFonts w:ascii="Tahoma" w:hAnsi="Tahoma" w:cs="Tahoma"/>
      <w:sz w:val="16"/>
      <w:szCs w:val="16"/>
      <w:lang w:val="x-none" w:eastAsia="cs-CZ"/>
    </w:rPr>
  </w:style>
  <w:style w:type="character" w:customStyle="1" w:styleId="truktradokumentuChar1581">
    <w:name w:val="Štruktúra dokumentu Char1581"/>
    <w:aliases w:val="Char9 Char Char1582,Štruktúra dokumentu Char Char Char1582,Document Map Char Char Char1582"/>
    <w:basedOn w:val="Predvolenpsmoodseku"/>
    <w:uiPriority w:val="99"/>
    <w:semiHidden/>
    <w:rPr>
      <w:rFonts w:ascii="Tahoma" w:hAnsi="Tahoma" w:cs="Tahoma"/>
      <w:sz w:val="16"/>
      <w:szCs w:val="16"/>
      <w:lang w:val="x-none" w:eastAsia="cs-CZ"/>
    </w:rPr>
  </w:style>
  <w:style w:type="character" w:customStyle="1" w:styleId="truktradokumentuChar1580">
    <w:name w:val="Štruktúra dokumentu Char1580"/>
    <w:aliases w:val="Char9 Char Char1581,Štruktúra dokumentu Char Char Char1581,Document Map Char Char Char1581"/>
    <w:basedOn w:val="Predvolenpsmoodseku"/>
    <w:uiPriority w:val="99"/>
    <w:semiHidden/>
    <w:rPr>
      <w:rFonts w:ascii="Tahoma" w:hAnsi="Tahoma" w:cs="Tahoma"/>
      <w:sz w:val="16"/>
      <w:szCs w:val="16"/>
      <w:lang w:val="x-none" w:eastAsia="cs-CZ"/>
    </w:rPr>
  </w:style>
  <w:style w:type="character" w:customStyle="1" w:styleId="truktradokumentuChar1579">
    <w:name w:val="Štruktúra dokumentu Char1579"/>
    <w:aliases w:val="Char9 Char Char1580,Štruktúra dokumentu Char Char Char1580,Document Map Char Char Char1580"/>
    <w:basedOn w:val="Predvolenpsmoodseku"/>
    <w:uiPriority w:val="99"/>
    <w:semiHidden/>
    <w:rPr>
      <w:rFonts w:ascii="Tahoma" w:hAnsi="Tahoma" w:cs="Tahoma"/>
      <w:sz w:val="16"/>
      <w:szCs w:val="16"/>
      <w:lang w:val="x-none" w:eastAsia="cs-CZ"/>
    </w:rPr>
  </w:style>
  <w:style w:type="character" w:customStyle="1" w:styleId="truktradokumentuChar1578">
    <w:name w:val="Štruktúra dokumentu Char1578"/>
    <w:aliases w:val="Char9 Char Char1579,Štruktúra dokumentu Char Char Char1579,Document Map Char Char Char1579"/>
    <w:basedOn w:val="Predvolenpsmoodseku"/>
    <w:uiPriority w:val="99"/>
    <w:semiHidden/>
    <w:rPr>
      <w:rFonts w:ascii="Tahoma" w:hAnsi="Tahoma" w:cs="Tahoma"/>
      <w:sz w:val="16"/>
      <w:szCs w:val="16"/>
      <w:lang w:val="x-none" w:eastAsia="cs-CZ"/>
    </w:rPr>
  </w:style>
  <w:style w:type="character" w:customStyle="1" w:styleId="truktradokumentuChar1577">
    <w:name w:val="Štruktúra dokumentu Char1577"/>
    <w:aliases w:val="Char9 Char Char1578,Štruktúra dokumentu Char Char Char1578,Document Map Char Char Char1578"/>
    <w:basedOn w:val="Predvolenpsmoodseku"/>
    <w:uiPriority w:val="99"/>
    <w:semiHidden/>
    <w:rPr>
      <w:rFonts w:ascii="Tahoma" w:hAnsi="Tahoma" w:cs="Tahoma"/>
      <w:sz w:val="16"/>
      <w:szCs w:val="16"/>
      <w:lang w:val="x-none" w:eastAsia="cs-CZ"/>
    </w:rPr>
  </w:style>
  <w:style w:type="character" w:customStyle="1" w:styleId="truktradokumentuChar1576">
    <w:name w:val="Štruktúra dokumentu Char1576"/>
    <w:aliases w:val="Char9 Char Char1577,Štruktúra dokumentu Char Char Char1577,Document Map Char Char Char1577"/>
    <w:basedOn w:val="Predvolenpsmoodseku"/>
    <w:uiPriority w:val="99"/>
    <w:semiHidden/>
    <w:rPr>
      <w:rFonts w:ascii="Tahoma" w:hAnsi="Tahoma" w:cs="Tahoma"/>
      <w:sz w:val="16"/>
      <w:szCs w:val="16"/>
      <w:lang w:val="x-none" w:eastAsia="cs-CZ"/>
    </w:rPr>
  </w:style>
  <w:style w:type="character" w:customStyle="1" w:styleId="truktradokumentuChar1575">
    <w:name w:val="Štruktúra dokumentu Char1575"/>
    <w:aliases w:val="Char9 Char Char1576,Štruktúra dokumentu Char Char Char1576,Document Map Char Char Char1576"/>
    <w:basedOn w:val="Predvolenpsmoodseku"/>
    <w:uiPriority w:val="99"/>
    <w:semiHidden/>
    <w:rPr>
      <w:rFonts w:ascii="Tahoma" w:hAnsi="Tahoma" w:cs="Tahoma"/>
      <w:sz w:val="16"/>
      <w:szCs w:val="16"/>
      <w:lang w:val="x-none" w:eastAsia="cs-CZ"/>
    </w:rPr>
  </w:style>
  <w:style w:type="character" w:customStyle="1" w:styleId="truktradokumentuChar1574">
    <w:name w:val="Štruktúra dokumentu Char1574"/>
    <w:aliases w:val="Char9 Char Char1575,Štruktúra dokumentu Char Char Char1575,Document Map Char Char Char1575"/>
    <w:basedOn w:val="Predvolenpsmoodseku"/>
    <w:uiPriority w:val="99"/>
    <w:semiHidden/>
    <w:rPr>
      <w:rFonts w:ascii="Tahoma" w:hAnsi="Tahoma" w:cs="Tahoma"/>
      <w:sz w:val="16"/>
      <w:szCs w:val="16"/>
      <w:lang w:val="x-none" w:eastAsia="cs-CZ"/>
    </w:rPr>
  </w:style>
  <w:style w:type="character" w:customStyle="1" w:styleId="truktradokumentuChar1573">
    <w:name w:val="Štruktúra dokumentu Char1573"/>
    <w:aliases w:val="Char9 Char Char1574,Štruktúra dokumentu Char Char Char1574,Document Map Char Char Char1574"/>
    <w:basedOn w:val="Predvolenpsmoodseku"/>
    <w:uiPriority w:val="99"/>
    <w:semiHidden/>
    <w:rPr>
      <w:rFonts w:ascii="Tahoma" w:hAnsi="Tahoma" w:cs="Tahoma"/>
      <w:sz w:val="16"/>
      <w:szCs w:val="16"/>
      <w:lang w:val="x-none" w:eastAsia="cs-CZ"/>
    </w:rPr>
  </w:style>
  <w:style w:type="character" w:customStyle="1" w:styleId="truktradokumentuChar1572">
    <w:name w:val="Štruktúra dokumentu Char1572"/>
    <w:aliases w:val="Char9 Char Char1573,Štruktúra dokumentu Char Char Char1573,Document Map Char Char Char1573"/>
    <w:basedOn w:val="Predvolenpsmoodseku"/>
    <w:uiPriority w:val="99"/>
    <w:semiHidden/>
    <w:rPr>
      <w:rFonts w:ascii="Tahoma" w:hAnsi="Tahoma" w:cs="Tahoma"/>
      <w:sz w:val="16"/>
      <w:szCs w:val="16"/>
      <w:lang w:val="x-none" w:eastAsia="cs-CZ"/>
    </w:rPr>
  </w:style>
  <w:style w:type="character" w:customStyle="1" w:styleId="truktradokumentuChar1571">
    <w:name w:val="Štruktúra dokumentu Char1571"/>
    <w:aliases w:val="Char9 Char Char1572,Štruktúra dokumentu Char Char Char1572,Document Map Char Char Char1572"/>
    <w:basedOn w:val="Predvolenpsmoodseku"/>
    <w:uiPriority w:val="99"/>
    <w:semiHidden/>
    <w:rPr>
      <w:rFonts w:ascii="Tahoma" w:hAnsi="Tahoma" w:cs="Tahoma"/>
      <w:sz w:val="16"/>
      <w:szCs w:val="16"/>
      <w:lang w:val="x-none" w:eastAsia="cs-CZ"/>
    </w:rPr>
  </w:style>
  <w:style w:type="character" w:customStyle="1" w:styleId="truktradokumentuChar1570">
    <w:name w:val="Štruktúra dokumentu Char1570"/>
    <w:aliases w:val="Char9 Char Char1571,Štruktúra dokumentu Char Char Char1571,Document Map Char Char Char1571"/>
    <w:basedOn w:val="Predvolenpsmoodseku"/>
    <w:uiPriority w:val="99"/>
    <w:semiHidden/>
    <w:rPr>
      <w:rFonts w:ascii="Tahoma" w:hAnsi="Tahoma" w:cs="Tahoma"/>
      <w:sz w:val="16"/>
      <w:szCs w:val="16"/>
      <w:lang w:val="x-none" w:eastAsia="cs-CZ"/>
    </w:rPr>
  </w:style>
  <w:style w:type="character" w:customStyle="1" w:styleId="truktradokumentuChar1569">
    <w:name w:val="Štruktúra dokumentu Char1569"/>
    <w:aliases w:val="Char9 Char Char1570,Štruktúra dokumentu Char Char Char1570,Document Map Char Char Char1570"/>
    <w:basedOn w:val="Predvolenpsmoodseku"/>
    <w:uiPriority w:val="99"/>
    <w:semiHidden/>
    <w:rPr>
      <w:rFonts w:ascii="Tahoma" w:hAnsi="Tahoma" w:cs="Tahoma"/>
      <w:sz w:val="16"/>
      <w:szCs w:val="16"/>
      <w:lang w:val="x-none" w:eastAsia="cs-CZ"/>
    </w:rPr>
  </w:style>
  <w:style w:type="character" w:customStyle="1" w:styleId="truktradokumentuChar1568">
    <w:name w:val="Štruktúra dokumentu Char1568"/>
    <w:aliases w:val="Char9 Char Char1569,Štruktúra dokumentu Char Char Char1569,Document Map Char Char Char1569"/>
    <w:basedOn w:val="Predvolenpsmoodseku"/>
    <w:uiPriority w:val="99"/>
    <w:semiHidden/>
    <w:rPr>
      <w:rFonts w:ascii="Tahoma" w:hAnsi="Tahoma" w:cs="Tahoma"/>
      <w:sz w:val="16"/>
      <w:szCs w:val="16"/>
      <w:lang w:val="x-none" w:eastAsia="cs-CZ"/>
    </w:rPr>
  </w:style>
  <w:style w:type="character" w:customStyle="1" w:styleId="truktradokumentuChar1567">
    <w:name w:val="Štruktúra dokumentu Char1567"/>
    <w:aliases w:val="Char9 Char Char1568,Štruktúra dokumentu Char Char Char1568,Document Map Char Char Char1568"/>
    <w:basedOn w:val="Predvolenpsmoodseku"/>
    <w:uiPriority w:val="99"/>
    <w:semiHidden/>
    <w:rPr>
      <w:rFonts w:ascii="Tahoma" w:hAnsi="Tahoma" w:cs="Tahoma"/>
      <w:sz w:val="16"/>
      <w:szCs w:val="16"/>
      <w:lang w:val="x-none" w:eastAsia="cs-CZ"/>
    </w:rPr>
  </w:style>
  <w:style w:type="character" w:customStyle="1" w:styleId="truktradokumentuChar1566">
    <w:name w:val="Štruktúra dokumentu Char1566"/>
    <w:aliases w:val="Char9 Char Char1567,Štruktúra dokumentu Char Char Char1567,Document Map Char Char Char1567"/>
    <w:basedOn w:val="Predvolenpsmoodseku"/>
    <w:uiPriority w:val="99"/>
    <w:semiHidden/>
    <w:rPr>
      <w:rFonts w:ascii="Tahoma" w:hAnsi="Tahoma" w:cs="Tahoma"/>
      <w:sz w:val="16"/>
      <w:szCs w:val="16"/>
      <w:lang w:val="x-none" w:eastAsia="cs-CZ"/>
    </w:rPr>
  </w:style>
  <w:style w:type="character" w:customStyle="1" w:styleId="truktradokumentuChar1565">
    <w:name w:val="Štruktúra dokumentu Char1565"/>
    <w:aliases w:val="Char9 Char Char1566,Štruktúra dokumentu Char Char Char1566,Document Map Char Char Char1566"/>
    <w:basedOn w:val="Predvolenpsmoodseku"/>
    <w:uiPriority w:val="99"/>
    <w:semiHidden/>
    <w:rPr>
      <w:rFonts w:ascii="Tahoma" w:hAnsi="Tahoma" w:cs="Tahoma"/>
      <w:sz w:val="16"/>
      <w:szCs w:val="16"/>
      <w:lang w:val="x-none" w:eastAsia="cs-CZ"/>
    </w:rPr>
  </w:style>
  <w:style w:type="character" w:customStyle="1" w:styleId="truktradokumentuChar1564">
    <w:name w:val="Štruktúra dokumentu Char1564"/>
    <w:aliases w:val="Char9 Char Char1565,Štruktúra dokumentu Char Char Char1565,Document Map Char Char Char1565"/>
    <w:basedOn w:val="Predvolenpsmoodseku"/>
    <w:uiPriority w:val="99"/>
    <w:semiHidden/>
    <w:rPr>
      <w:rFonts w:ascii="Tahoma" w:hAnsi="Tahoma" w:cs="Tahoma"/>
      <w:sz w:val="16"/>
      <w:szCs w:val="16"/>
      <w:lang w:val="x-none" w:eastAsia="cs-CZ"/>
    </w:rPr>
  </w:style>
  <w:style w:type="character" w:customStyle="1" w:styleId="truktradokumentuChar1563">
    <w:name w:val="Štruktúra dokumentu Char1563"/>
    <w:aliases w:val="Char9 Char Char1564,Štruktúra dokumentu Char Char Char1564,Document Map Char Char Char1564"/>
    <w:basedOn w:val="Predvolenpsmoodseku"/>
    <w:uiPriority w:val="99"/>
    <w:semiHidden/>
    <w:rPr>
      <w:rFonts w:ascii="Tahoma" w:hAnsi="Tahoma" w:cs="Tahoma"/>
      <w:sz w:val="16"/>
      <w:szCs w:val="16"/>
      <w:lang w:val="x-none" w:eastAsia="cs-CZ"/>
    </w:rPr>
  </w:style>
  <w:style w:type="character" w:customStyle="1" w:styleId="truktradokumentuChar1562">
    <w:name w:val="Štruktúra dokumentu Char1562"/>
    <w:aliases w:val="Char9 Char Char1563,Štruktúra dokumentu Char Char Char1563,Document Map Char Char Char1563"/>
    <w:basedOn w:val="Predvolenpsmoodseku"/>
    <w:uiPriority w:val="99"/>
    <w:semiHidden/>
    <w:rPr>
      <w:rFonts w:ascii="Tahoma" w:hAnsi="Tahoma" w:cs="Tahoma"/>
      <w:sz w:val="16"/>
      <w:szCs w:val="16"/>
      <w:lang w:val="x-none" w:eastAsia="cs-CZ"/>
    </w:rPr>
  </w:style>
  <w:style w:type="character" w:customStyle="1" w:styleId="truktradokumentuChar1561">
    <w:name w:val="Štruktúra dokumentu Char1561"/>
    <w:aliases w:val="Char9 Char Char1562,Štruktúra dokumentu Char Char Char1562,Document Map Char Char Char1562"/>
    <w:basedOn w:val="Predvolenpsmoodseku"/>
    <w:uiPriority w:val="99"/>
    <w:semiHidden/>
    <w:rPr>
      <w:rFonts w:ascii="Tahoma" w:hAnsi="Tahoma" w:cs="Tahoma"/>
      <w:sz w:val="16"/>
      <w:szCs w:val="16"/>
      <w:lang w:val="x-none" w:eastAsia="cs-CZ"/>
    </w:rPr>
  </w:style>
  <w:style w:type="character" w:customStyle="1" w:styleId="truktradokumentuChar1560">
    <w:name w:val="Štruktúra dokumentu Char1560"/>
    <w:aliases w:val="Char9 Char Char1561,Štruktúra dokumentu Char Char Char1561,Document Map Char Char Char1561"/>
    <w:basedOn w:val="Predvolenpsmoodseku"/>
    <w:uiPriority w:val="99"/>
    <w:semiHidden/>
    <w:rPr>
      <w:rFonts w:ascii="Tahoma" w:hAnsi="Tahoma" w:cs="Tahoma"/>
      <w:sz w:val="16"/>
      <w:szCs w:val="16"/>
      <w:lang w:val="x-none" w:eastAsia="cs-CZ"/>
    </w:rPr>
  </w:style>
  <w:style w:type="character" w:customStyle="1" w:styleId="truktradokumentuChar1559">
    <w:name w:val="Štruktúra dokumentu Char1559"/>
    <w:aliases w:val="Char9 Char Char1560,Štruktúra dokumentu Char Char Char1560,Document Map Char Char Char1560"/>
    <w:basedOn w:val="Predvolenpsmoodseku"/>
    <w:uiPriority w:val="99"/>
    <w:semiHidden/>
    <w:rPr>
      <w:rFonts w:ascii="Tahoma" w:hAnsi="Tahoma" w:cs="Tahoma"/>
      <w:sz w:val="16"/>
      <w:szCs w:val="16"/>
      <w:lang w:val="x-none" w:eastAsia="cs-CZ"/>
    </w:rPr>
  </w:style>
  <w:style w:type="character" w:customStyle="1" w:styleId="truktradokumentuChar1558">
    <w:name w:val="Štruktúra dokumentu Char1558"/>
    <w:aliases w:val="Char9 Char Char1559,Štruktúra dokumentu Char Char Char1559,Document Map Char Char Char1559"/>
    <w:basedOn w:val="Predvolenpsmoodseku"/>
    <w:uiPriority w:val="99"/>
    <w:semiHidden/>
    <w:rPr>
      <w:rFonts w:ascii="Tahoma" w:hAnsi="Tahoma" w:cs="Tahoma"/>
      <w:sz w:val="16"/>
      <w:szCs w:val="16"/>
      <w:lang w:val="x-none" w:eastAsia="cs-CZ"/>
    </w:rPr>
  </w:style>
  <w:style w:type="character" w:customStyle="1" w:styleId="truktradokumentuChar1557">
    <w:name w:val="Štruktúra dokumentu Char1557"/>
    <w:aliases w:val="Char9 Char Char1558,Štruktúra dokumentu Char Char Char1558,Document Map Char Char Char1558"/>
    <w:basedOn w:val="Predvolenpsmoodseku"/>
    <w:uiPriority w:val="99"/>
    <w:semiHidden/>
    <w:rPr>
      <w:rFonts w:ascii="Tahoma" w:hAnsi="Tahoma" w:cs="Tahoma"/>
      <w:sz w:val="16"/>
      <w:szCs w:val="16"/>
      <w:lang w:val="x-none" w:eastAsia="cs-CZ"/>
    </w:rPr>
  </w:style>
  <w:style w:type="character" w:customStyle="1" w:styleId="truktradokumentuChar1556">
    <w:name w:val="Štruktúra dokumentu Char1556"/>
    <w:aliases w:val="Char9 Char Char1557,Štruktúra dokumentu Char Char Char1557,Document Map Char Char Char1557"/>
    <w:basedOn w:val="Predvolenpsmoodseku"/>
    <w:uiPriority w:val="99"/>
    <w:semiHidden/>
    <w:rPr>
      <w:rFonts w:ascii="Tahoma" w:hAnsi="Tahoma" w:cs="Tahoma"/>
      <w:sz w:val="16"/>
      <w:szCs w:val="16"/>
      <w:lang w:val="x-none" w:eastAsia="cs-CZ"/>
    </w:rPr>
  </w:style>
  <w:style w:type="character" w:customStyle="1" w:styleId="truktradokumentuChar1555">
    <w:name w:val="Štruktúra dokumentu Char1555"/>
    <w:aliases w:val="Char9 Char Char1556,Štruktúra dokumentu Char Char Char1556,Document Map Char Char Char1556"/>
    <w:basedOn w:val="Predvolenpsmoodseku"/>
    <w:uiPriority w:val="99"/>
    <w:semiHidden/>
    <w:rPr>
      <w:rFonts w:ascii="Tahoma" w:hAnsi="Tahoma" w:cs="Tahoma"/>
      <w:sz w:val="16"/>
      <w:szCs w:val="16"/>
      <w:lang w:val="x-none" w:eastAsia="cs-CZ"/>
    </w:rPr>
  </w:style>
  <w:style w:type="character" w:customStyle="1" w:styleId="truktradokumentuChar1554">
    <w:name w:val="Štruktúra dokumentu Char1554"/>
    <w:aliases w:val="Char9 Char Char1555,Štruktúra dokumentu Char Char Char1555,Document Map Char Char Char1555"/>
    <w:basedOn w:val="Predvolenpsmoodseku"/>
    <w:uiPriority w:val="99"/>
    <w:semiHidden/>
    <w:rPr>
      <w:rFonts w:ascii="Tahoma" w:hAnsi="Tahoma" w:cs="Tahoma"/>
      <w:sz w:val="16"/>
      <w:szCs w:val="16"/>
      <w:lang w:val="x-none" w:eastAsia="cs-CZ"/>
    </w:rPr>
  </w:style>
  <w:style w:type="character" w:customStyle="1" w:styleId="truktradokumentuChar1553">
    <w:name w:val="Štruktúra dokumentu Char1553"/>
    <w:aliases w:val="Char9 Char Char1554,Štruktúra dokumentu Char Char Char1554,Document Map Char Char Char1554"/>
    <w:basedOn w:val="Predvolenpsmoodseku"/>
    <w:uiPriority w:val="99"/>
    <w:semiHidden/>
    <w:rPr>
      <w:rFonts w:ascii="Tahoma" w:hAnsi="Tahoma" w:cs="Tahoma"/>
      <w:sz w:val="16"/>
      <w:szCs w:val="16"/>
      <w:lang w:val="x-none" w:eastAsia="cs-CZ"/>
    </w:rPr>
  </w:style>
  <w:style w:type="character" w:customStyle="1" w:styleId="truktradokumentuChar1552">
    <w:name w:val="Štruktúra dokumentu Char1552"/>
    <w:aliases w:val="Char9 Char Char1553,Štruktúra dokumentu Char Char Char1553,Document Map Char Char Char1553"/>
    <w:basedOn w:val="Predvolenpsmoodseku"/>
    <w:uiPriority w:val="99"/>
    <w:semiHidden/>
    <w:rPr>
      <w:rFonts w:ascii="Tahoma" w:hAnsi="Tahoma" w:cs="Tahoma"/>
      <w:sz w:val="16"/>
      <w:szCs w:val="16"/>
      <w:lang w:val="x-none" w:eastAsia="cs-CZ"/>
    </w:rPr>
  </w:style>
  <w:style w:type="character" w:customStyle="1" w:styleId="truktradokumentuChar1551">
    <w:name w:val="Štruktúra dokumentu Char1551"/>
    <w:aliases w:val="Char9 Char Char1552,Štruktúra dokumentu Char Char Char1552,Document Map Char Char Char1552"/>
    <w:basedOn w:val="Predvolenpsmoodseku"/>
    <w:uiPriority w:val="99"/>
    <w:semiHidden/>
    <w:rPr>
      <w:rFonts w:ascii="Tahoma" w:hAnsi="Tahoma" w:cs="Tahoma"/>
      <w:sz w:val="16"/>
      <w:szCs w:val="16"/>
      <w:lang w:val="x-none" w:eastAsia="cs-CZ"/>
    </w:rPr>
  </w:style>
  <w:style w:type="character" w:customStyle="1" w:styleId="truktradokumentuChar1550">
    <w:name w:val="Štruktúra dokumentu Char1550"/>
    <w:aliases w:val="Char9 Char Char1551,Štruktúra dokumentu Char Char Char1551,Document Map Char Char Char1551"/>
    <w:basedOn w:val="Predvolenpsmoodseku"/>
    <w:uiPriority w:val="99"/>
    <w:semiHidden/>
    <w:rPr>
      <w:rFonts w:ascii="Tahoma" w:hAnsi="Tahoma" w:cs="Tahoma"/>
      <w:sz w:val="16"/>
      <w:szCs w:val="16"/>
      <w:lang w:val="x-none" w:eastAsia="cs-CZ"/>
    </w:rPr>
  </w:style>
  <w:style w:type="character" w:customStyle="1" w:styleId="truktradokumentuChar1549">
    <w:name w:val="Štruktúra dokumentu Char1549"/>
    <w:aliases w:val="Char9 Char Char1550,Štruktúra dokumentu Char Char Char1550,Document Map Char Char Char1550"/>
    <w:basedOn w:val="Predvolenpsmoodseku"/>
    <w:uiPriority w:val="99"/>
    <w:semiHidden/>
    <w:rPr>
      <w:rFonts w:ascii="Tahoma" w:hAnsi="Tahoma" w:cs="Tahoma"/>
      <w:sz w:val="16"/>
      <w:szCs w:val="16"/>
      <w:lang w:val="x-none" w:eastAsia="cs-CZ"/>
    </w:rPr>
  </w:style>
  <w:style w:type="character" w:customStyle="1" w:styleId="truktradokumentuChar1548">
    <w:name w:val="Štruktúra dokumentu Char1548"/>
    <w:aliases w:val="Char9 Char Char1549,Štruktúra dokumentu Char Char Char1549,Document Map Char Char Char1549"/>
    <w:basedOn w:val="Predvolenpsmoodseku"/>
    <w:uiPriority w:val="99"/>
    <w:semiHidden/>
    <w:rPr>
      <w:rFonts w:ascii="Tahoma" w:hAnsi="Tahoma" w:cs="Tahoma"/>
      <w:sz w:val="16"/>
      <w:szCs w:val="16"/>
      <w:lang w:val="x-none" w:eastAsia="cs-CZ"/>
    </w:rPr>
  </w:style>
  <w:style w:type="character" w:customStyle="1" w:styleId="truktradokumentuChar1547">
    <w:name w:val="Štruktúra dokumentu Char1547"/>
    <w:aliases w:val="Char9 Char Char1548,Štruktúra dokumentu Char Char Char1548,Document Map Char Char Char1548"/>
    <w:basedOn w:val="Predvolenpsmoodseku"/>
    <w:uiPriority w:val="99"/>
    <w:semiHidden/>
    <w:rPr>
      <w:rFonts w:ascii="Tahoma" w:hAnsi="Tahoma" w:cs="Tahoma"/>
      <w:sz w:val="16"/>
      <w:szCs w:val="16"/>
      <w:lang w:val="x-none" w:eastAsia="cs-CZ"/>
    </w:rPr>
  </w:style>
  <w:style w:type="character" w:customStyle="1" w:styleId="truktradokumentuChar1546">
    <w:name w:val="Štruktúra dokumentu Char1546"/>
    <w:aliases w:val="Char9 Char Char1547,Štruktúra dokumentu Char Char Char1547,Document Map Char Char Char1547"/>
    <w:basedOn w:val="Predvolenpsmoodseku"/>
    <w:uiPriority w:val="99"/>
    <w:semiHidden/>
    <w:rPr>
      <w:rFonts w:ascii="Tahoma" w:hAnsi="Tahoma" w:cs="Tahoma"/>
      <w:sz w:val="16"/>
      <w:szCs w:val="16"/>
      <w:lang w:val="x-none" w:eastAsia="cs-CZ"/>
    </w:rPr>
  </w:style>
  <w:style w:type="character" w:customStyle="1" w:styleId="truktradokumentuChar1545">
    <w:name w:val="Štruktúra dokumentu Char1545"/>
    <w:aliases w:val="Char9 Char Char1546,Štruktúra dokumentu Char Char Char1546,Document Map Char Char Char1546"/>
    <w:basedOn w:val="Predvolenpsmoodseku"/>
    <w:uiPriority w:val="99"/>
    <w:semiHidden/>
    <w:rPr>
      <w:rFonts w:ascii="Tahoma" w:hAnsi="Tahoma" w:cs="Tahoma"/>
      <w:sz w:val="16"/>
      <w:szCs w:val="16"/>
      <w:lang w:val="x-none" w:eastAsia="cs-CZ"/>
    </w:rPr>
  </w:style>
  <w:style w:type="character" w:customStyle="1" w:styleId="truktradokumentuChar1544">
    <w:name w:val="Štruktúra dokumentu Char1544"/>
    <w:aliases w:val="Char9 Char Char1545,Štruktúra dokumentu Char Char Char1545,Document Map Char Char Char1545"/>
    <w:basedOn w:val="Predvolenpsmoodseku"/>
    <w:uiPriority w:val="99"/>
    <w:semiHidden/>
    <w:rPr>
      <w:rFonts w:ascii="Tahoma" w:hAnsi="Tahoma" w:cs="Tahoma"/>
      <w:sz w:val="16"/>
      <w:szCs w:val="16"/>
      <w:lang w:val="x-none" w:eastAsia="cs-CZ"/>
    </w:rPr>
  </w:style>
  <w:style w:type="character" w:customStyle="1" w:styleId="truktradokumentuChar1543">
    <w:name w:val="Štruktúra dokumentu Char1543"/>
    <w:aliases w:val="Char9 Char Char1544,Štruktúra dokumentu Char Char Char1544,Document Map Char Char Char1544"/>
    <w:basedOn w:val="Predvolenpsmoodseku"/>
    <w:uiPriority w:val="99"/>
    <w:semiHidden/>
    <w:rPr>
      <w:rFonts w:ascii="Tahoma" w:hAnsi="Tahoma" w:cs="Tahoma"/>
      <w:sz w:val="16"/>
      <w:szCs w:val="16"/>
      <w:lang w:val="x-none" w:eastAsia="cs-CZ"/>
    </w:rPr>
  </w:style>
  <w:style w:type="character" w:customStyle="1" w:styleId="truktradokumentuChar1542">
    <w:name w:val="Štruktúra dokumentu Char1542"/>
    <w:aliases w:val="Char9 Char Char1543,Štruktúra dokumentu Char Char Char1543,Document Map Char Char Char1543"/>
    <w:basedOn w:val="Predvolenpsmoodseku"/>
    <w:uiPriority w:val="99"/>
    <w:semiHidden/>
    <w:rPr>
      <w:rFonts w:ascii="Tahoma" w:hAnsi="Tahoma" w:cs="Tahoma"/>
      <w:sz w:val="16"/>
      <w:szCs w:val="16"/>
      <w:lang w:val="x-none" w:eastAsia="cs-CZ"/>
    </w:rPr>
  </w:style>
  <w:style w:type="character" w:customStyle="1" w:styleId="truktradokumentuChar1541">
    <w:name w:val="Štruktúra dokumentu Char1541"/>
    <w:aliases w:val="Char9 Char Char1542,Štruktúra dokumentu Char Char Char1542,Document Map Char Char Char1542"/>
    <w:basedOn w:val="Predvolenpsmoodseku"/>
    <w:uiPriority w:val="99"/>
    <w:semiHidden/>
    <w:rPr>
      <w:rFonts w:ascii="Tahoma" w:hAnsi="Tahoma" w:cs="Tahoma"/>
      <w:sz w:val="16"/>
      <w:szCs w:val="16"/>
      <w:lang w:val="x-none" w:eastAsia="cs-CZ"/>
    </w:rPr>
  </w:style>
  <w:style w:type="character" w:customStyle="1" w:styleId="truktradokumentuChar1540">
    <w:name w:val="Štruktúra dokumentu Char1540"/>
    <w:aliases w:val="Char9 Char Char1541,Štruktúra dokumentu Char Char Char1541,Document Map Char Char Char1541"/>
    <w:basedOn w:val="Predvolenpsmoodseku"/>
    <w:uiPriority w:val="99"/>
    <w:semiHidden/>
    <w:rPr>
      <w:rFonts w:ascii="Tahoma" w:hAnsi="Tahoma" w:cs="Tahoma"/>
      <w:sz w:val="16"/>
      <w:szCs w:val="16"/>
      <w:lang w:val="x-none" w:eastAsia="cs-CZ"/>
    </w:rPr>
  </w:style>
  <w:style w:type="character" w:customStyle="1" w:styleId="truktradokumentuChar1539">
    <w:name w:val="Štruktúra dokumentu Char1539"/>
    <w:aliases w:val="Char9 Char Char1540,Štruktúra dokumentu Char Char Char1540,Document Map Char Char Char1540"/>
    <w:basedOn w:val="Predvolenpsmoodseku"/>
    <w:uiPriority w:val="99"/>
    <w:semiHidden/>
    <w:rPr>
      <w:rFonts w:ascii="Tahoma" w:hAnsi="Tahoma" w:cs="Tahoma"/>
      <w:sz w:val="16"/>
      <w:szCs w:val="16"/>
      <w:lang w:val="x-none" w:eastAsia="cs-CZ"/>
    </w:rPr>
  </w:style>
  <w:style w:type="character" w:customStyle="1" w:styleId="truktradokumentuChar1538">
    <w:name w:val="Štruktúra dokumentu Char1538"/>
    <w:aliases w:val="Char9 Char Char1539,Štruktúra dokumentu Char Char Char1539,Document Map Char Char Char1539"/>
    <w:basedOn w:val="Predvolenpsmoodseku"/>
    <w:uiPriority w:val="99"/>
    <w:semiHidden/>
    <w:rPr>
      <w:rFonts w:ascii="Tahoma" w:hAnsi="Tahoma" w:cs="Tahoma"/>
      <w:sz w:val="16"/>
      <w:szCs w:val="16"/>
      <w:lang w:val="x-none" w:eastAsia="cs-CZ"/>
    </w:rPr>
  </w:style>
  <w:style w:type="character" w:customStyle="1" w:styleId="truktradokumentuChar1537">
    <w:name w:val="Štruktúra dokumentu Char1537"/>
    <w:aliases w:val="Char9 Char Char1538,Štruktúra dokumentu Char Char Char1538,Document Map Char Char Char1538"/>
    <w:basedOn w:val="Predvolenpsmoodseku"/>
    <w:uiPriority w:val="99"/>
    <w:semiHidden/>
    <w:rPr>
      <w:rFonts w:ascii="Tahoma" w:hAnsi="Tahoma" w:cs="Tahoma"/>
      <w:sz w:val="16"/>
      <w:szCs w:val="16"/>
      <w:lang w:val="x-none" w:eastAsia="cs-CZ"/>
    </w:rPr>
  </w:style>
  <w:style w:type="character" w:customStyle="1" w:styleId="truktradokumentuChar1536">
    <w:name w:val="Štruktúra dokumentu Char1536"/>
    <w:aliases w:val="Char9 Char Char1537,Štruktúra dokumentu Char Char Char1537,Document Map Char Char Char1537"/>
    <w:basedOn w:val="Predvolenpsmoodseku"/>
    <w:uiPriority w:val="99"/>
    <w:semiHidden/>
    <w:rPr>
      <w:rFonts w:ascii="Tahoma" w:hAnsi="Tahoma" w:cs="Tahoma"/>
      <w:sz w:val="16"/>
      <w:szCs w:val="16"/>
      <w:lang w:val="x-none" w:eastAsia="cs-CZ"/>
    </w:rPr>
  </w:style>
  <w:style w:type="character" w:customStyle="1" w:styleId="truktradokumentuChar1535">
    <w:name w:val="Štruktúra dokumentu Char1535"/>
    <w:aliases w:val="Char9 Char Char1536,Štruktúra dokumentu Char Char Char1536,Document Map Char Char Char1536"/>
    <w:basedOn w:val="Predvolenpsmoodseku"/>
    <w:uiPriority w:val="99"/>
    <w:semiHidden/>
    <w:rPr>
      <w:rFonts w:ascii="Tahoma" w:hAnsi="Tahoma" w:cs="Tahoma"/>
      <w:sz w:val="16"/>
      <w:szCs w:val="16"/>
      <w:lang w:val="x-none" w:eastAsia="cs-CZ"/>
    </w:rPr>
  </w:style>
  <w:style w:type="character" w:customStyle="1" w:styleId="truktradokumentuChar1534">
    <w:name w:val="Štruktúra dokumentu Char1534"/>
    <w:aliases w:val="Char9 Char Char1535,Štruktúra dokumentu Char Char Char1535,Document Map Char Char Char1535"/>
    <w:basedOn w:val="Predvolenpsmoodseku"/>
    <w:uiPriority w:val="99"/>
    <w:semiHidden/>
    <w:rPr>
      <w:rFonts w:ascii="Tahoma" w:hAnsi="Tahoma" w:cs="Tahoma"/>
      <w:sz w:val="16"/>
      <w:szCs w:val="16"/>
      <w:lang w:val="x-none" w:eastAsia="cs-CZ"/>
    </w:rPr>
  </w:style>
  <w:style w:type="character" w:customStyle="1" w:styleId="truktradokumentuChar1533">
    <w:name w:val="Štruktúra dokumentu Char1533"/>
    <w:aliases w:val="Char9 Char Char1534,Štruktúra dokumentu Char Char Char1534,Document Map Char Char Char1534"/>
    <w:basedOn w:val="Predvolenpsmoodseku"/>
    <w:uiPriority w:val="99"/>
    <w:semiHidden/>
    <w:rPr>
      <w:rFonts w:ascii="Tahoma" w:hAnsi="Tahoma" w:cs="Tahoma"/>
      <w:sz w:val="16"/>
      <w:szCs w:val="16"/>
      <w:lang w:val="x-none" w:eastAsia="cs-CZ"/>
    </w:rPr>
  </w:style>
  <w:style w:type="character" w:customStyle="1" w:styleId="truktradokumentuChar1532">
    <w:name w:val="Štruktúra dokumentu Char1532"/>
    <w:aliases w:val="Char9 Char Char1533,Štruktúra dokumentu Char Char Char1533,Document Map Char Char Char1533"/>
    <w:basedOn w:val="Predvolenpsmoodseku"/>
    <w:uiPriority w:val="99"/>
    <w:semiHidden/>
    <w:rPr>
      <w:rFonts w:ascii="Tahoma" w:hAnsi="Tahoma" w:cs="Tahoma"/>
      <w:sz w:val="16"/>
      <w:szCs w:val="16"/>
      <w:lang w:val="x-none" w:eastAsia="cs-CZ"/>
    </w:rPr>
  </w:style>
  <w:style w:type="character" w:customStyle="1" w:styleId="truktradokumentuChar1531">
    <w:name w:val="Štruktúra dokumentu Char1531"/>
    <w:aliases w:val="Char9 Char Char1532,Štruktúra dokumentu Char Char Char1532,Document Map Char Char Char1532"/>
    <w:basedOn w:val="Predvolenpsmoodseku"/>
    <w:uiPriority w:val="99"/>
    <w:semiHidden/>
    <w:rPr>
      <w:rFonts w:ascii="Tahoma" w:hAnsi="Tahoma" w:cs="Tahoma"/>
      <w:sz w:val="16"/>
      <w:szCs w:val="16"/>
      <w:lang w:val="x-none" w:eastAsia="cs-CZ"/>
    </w:rPr>
  </w:style>
  <w:style w:type="character" w:customStyle="1" w:styleId="truktradokumentuChar1530">
    <w:name w:val="Štruktúra dokumentu Char1530"/>
    <w:aliases w:val="Char9 Char Char1531,Štruktúra dokumentu Char Char Char1531,Document Map Char Char Char1531"/>
    <w:basedOn w:val="Predvolenpsmoodseku"/>
    <w:uiPriority w:val="99"/>
    <w:semiHidden/>
    <w:rPr>
      <w:rFonts w:ascii="Tahoma" w:hAnsi="Tahoma" w:cs="Tahoma"/>
      <w:sz w:val="16"/>
      <w:szCs w:val="16"/>
      <w:lang w:val="x-none" w:eastAsia="cs-CZ"/>
    </w:rPr>
  </w:style>
  <w:style w:type="character" w:customStyle="1" w:styleId="truktradokumentuChar1529">
    <w:name w:val="Štruktúra dokumentu Char1529"/>
    <w:aliases w:val="Char9 Char Char1530,Štruktúra dokumentu Char Char Char1530,Document Map Char Char Char1530"/>
    <w:basedOn w:val="Predvolenpsmoodseku"/>
    <w:uiPriority w:val="99"/>
    <w:semiHidden/>
    <w:rPr>
      <w:rFonts w:ascii="Tahoma" w:hAnsi="Tahoma" w:cs="Tahoma"/>
      <w:sz w:val="16"/>
      <w:szCs w:val="16"/>
      <w:lang w:val="x-none" w:eastAsia="cs-CZ"/>
    </w:rPr>
  </w:style>
  <w:style w:type="character" w:customStyle="1" w:styleId="truktradokumentuChar1528">
    <w:name w:val="Štruktúra dokumentu Char1528"/>
    <w:aliases w:val="Char9 Char Char1529,Štruktúra dokumentu Char Char Char1529,Document Map Char Char Char1529"/>
    <w:basedOn w:val="Predvolenpsmoodseku"/>
    <w:uiPriority w:val="99"/>
    <w:semiHidden/>
    <w:rPr>
      <w:rFonts w:ascii="Tahoma" w:hAnsi="Tahoma" w:cs="Tahoma"/>
      <w:sz w:val="16"/>
      <w:szCs w:val="16"/>
      <w:lang w:val="x-none" w:eastAsia="cs-CZ"/>
    </w:rPr>
  </w:style>
  <w:style w:type="character" w:customStyle="1" w:styleId="truktradokumentuChar1527">
    <w:name w:val="Štruktúra dokumentu Char1527"/>
    <w:aliases w:val="Char9 Char Char1528,Štruktúra dokumentu Char Char Char1528,Document Map Char Char Char1528"/>
    <w:basedOn w:val="Predvolenpsmoodseku"/>
    <w:uiPriority w:val="99"/>
    <w:semiHidden/>
    <w:rPr>
      <w:rFonts w:ascii="Tahoma" w:hAnsi="Tahoma" w:cs="Tahoma"/>
      <w:sz w:val="16"/>
      <w:szCs w:val="16"/>
      <w:lang w:val="x-none" w:eastAsia="cs-CZ"/>
    </w:rPr>
  </w:style>
  <w:style w:type="character" w:customStyle="1" w:styleId="truktradokumentuChar1526">
    <w:name w:val="Štruktúra dokumentu Char1526"/>
    <w:aliases w:val="Char9 Char Char1527,Štruktúra dokumentu Char Char Char1527,Document Map Char Char Char1527"/>
    <w:basedOn w:val="Predvolenpsmoodseku"/>
    <w:uiPriority w:val="99"/>
    <w:semiHidden/>
    <w:rPr>
      <w:rFonts w:ascii="Tahoma" w:hAnsi="Tahoma" w:cs="Tahoma"/>
      <w:sz w:val="16"/>
      <w:szCs w:val="16"/>
      <w:lang w:val="x-none" w:eastAsia="cs-CZ"/>
    </w:rPr>
  </w:style>
  <w:style w:type="character" w:customStyle="1" w:styleId="truktradokumentuChar1525">
    <w:name w:val="Štruktúra dokumentu Char1525"/>
    <w:aliases w:val="Char9 Char Char1526,Štruktúra dokumentu Char Char Char1526,Document Map Char Char Char1526"/>
    <w:basedOn w:val="Predvolenpsmoodseku"/>
    <w:uiPriority w:val="99"/>
    <w:semiHidden/>
    <w:rPr>
      <w:rFonts w:ascii="Tahoma" w:hAnsi="Tahoma" w:cs="Tahoma"/>
      <w:sz w:val="16"/>
      <w:szCs w:val="16"/>
      <w:lang w:val="x-none" w:eastAsia="cs-CZ"/>
    </w:rPr>
  </w:style>
  <w:style w:type="character" w:customStyle="1" w:styleId="truktradokumentuChar1524">
    <w:name w:val="Štruktúra dokumentu Char1524"/>
    <w:aliases w:val="Char9 Char Char1525,Štruktúra dokumentu Char Char Char1525,Document Map Char Char Char1525"/>
    <w:basedOn w:val="Predvolenpsmoodseku"/>
    <w:uiPriority w:val="99"/>
    <w:semiHidden/>
    <w:rPr>
      <w:rFonts w:ascii="Tahoma" w:hAnsi="Tahoma" w:cs="Tahoma"/>
      <w:sz w:val="16"/>
      <w:szCs w:val="16"/>
      <w:lang w:val="x-none" w:eastAsia="cs-CZ"/>
    </w:rPr>
  </w:style>
  <w:style w:type="character" w:customStyle="1" w:styleId="truktradokumentuChar1523">
    <w:name w:val="Štruktúra dokumentu Char1523"/>
    <w:aliases w:val="Char9 Char Char1524,Štruktúra dokumentu Char Char Char1524,Document Map Char Char Char1524"/>
    <w:basedOn w:val="Predvolenpsmoodseku"/>
    <w:uiPriority w:val="99"/>
    <w:semiHidden/>
    <w:rPr>
      <w:rFonts w:ascii="Tahoma" w:hAnsi="Tahoma" w:cs="Tahoma"/>
      <w:sz w:val="16"/>
      <w:szCs w:val="16"/>
      <w:lang w:val="x-none" w:eastAsia="cs-CZ"/>
    </w:rPr>
  </w:style>
  <w:style w:type="character" w:customStyle="1" w:styleId="truktradokumentuChar1522">
    <w:name w:val="Štruktúra dokumentu Char1522"/>
    <w:aliases w:val="Char9 Char Char1523,Štruktúra dokumentu Char Char Char1523,Document Map Char Char Char1523"/>
    <w:basedOn w:val="Predvolenpsmoodseku"/>
    <w:uiPriority w:val="99"/>
    <w:semiHidden/>
    <w:rPr>
      <w:rFonts w:ascii="Tahoma" w:hAnsi="Tahoma" w:cs="Tahoma"/>
      <w:sz w:val="16"/>
      <w:szCs w:val="16"/>
      <w:lang w:val="x-none" w:eastAsia="cs-CZ"/>
    </w:rPr>
  </w:style>
  <w:style w:type="character" w:customStyle="1" w:styleId="truktradokumentuChar1521">
    <w:name w:val="Štruktúra dokumentu Char1521"/>
    <w:aliases w:val="Char9 Char Char1522,Štruktúra dokumentu Char Char Char1522,Document Map Char Char Char1522"/>
    <w:basedOn w:val="Predvolenpsmoodseku"/>
    <w:uiPriority w:val="99"/>
    <w:semiHidden/>
    <w:rPr>
      <w:rFonts w:ascii="Tahoma" w:hAnsi="Tahoma" w:cs="Tahoma"/>
      <w:sz w:val="16"/>
      <w:szCs w:val="16"/>
      <w:lang w:val="x-none" w:eastAsia="cs-CZ"/>
    </w:rPr>
  </w:style>
  <w:style w:type="character" w:customStyle="1" w:styleId="truktradokumentuChar1520">
    <w:name w:val="Štruktúra dokumentu Char1520"/>
    <w:aliases w:val="Char9 Char Char1521,Štruktúra dokumentu Char Char Char1521,Document Map Char Char Char1521"/>
    <w:basedOn w:val="Predvolenpsmoodseku"/>
    <w:uiPriority w:val="99"/>
    <w:semiHidden/>
    <w:rPr>
      <w:rFonts w:ascii="Tahoma" w:hAnsi="Tahoma" w:cs="Tahoma"/>
      <w:sz w:val="16"/>
      <w:szCs w:val="16"/>
      <w:lang w:val="x-none" w:eastAsia="cs-CZ"/>
    </w:rPr>
  </w:style>
  <w:style w:type="character" w:customStyle="1" w:styleId="truktradokumentuChar1519">
    <w:name w:val="Štruktúra dokumentu Char1519"/>
    <w:aliases w:val="Char9 Char Char1520,Štruktúra dokumentu Char Char Char1520,Document Map Char Char Char1520"/>
    <w:basedOn w:val="Predvolenpsmoodseku"/>
    <w:uiPriority w:val="99"/>
    <w:semiHidden/>
    <w:rPr>
      <w:rFonts w:ascii="Tahoma" w:hAnsi="Tahoma" w:cs="Tahoma"/>
      <w:sz w:val="16"/>
      <w:szCs w:val="16"/>
      <w:lang w:val="x-none" w:eastAsia="cs-CZ"/>
    </w:rPr>
  </w:style>
  <w:style w:type="character" w:customStyle="1" w:styleId="truktradokumentuChar1518">
    <w:name w:val="Štruktúra dokumentu Char1518"/>
    <w:aliases w:val="Char9 Char Char1519,Štruktúra dokumentu Char Char Char1519,Document Map Char Char Char1519"/>
    <w:basedOn w:val="Predvolenpsmoodseku"/>
    <w:uiPriority w:val="99"/>
    <w:semiHidden/>
    <w:rPr>
      <w:rFonts w:ascii="Tahoma" w:hAnsi="Tahoma" w:cs="Tahoma"/>
      <w:sz w:val="16"/>
      <w:szCs w:val="16"/>
      <w:lang w:val="x-none" w:eastAsia="cs-CZ"/>
    </w:rPr>
  </w:style>
  <w:style w:type="character" w:customStyle="1" w:styleId="truktradokumentuChar1517">
    <w:name w:val="Štruktúra dokumentu Char1517"/>
    <w:aliases w:val="Char9 Char Char1518,Štruktúra dokumentu Char Char Char1518,Document Map Char Char Char1518"/>
    <w:basedOn w:val="Predvolenpsmoodseku"/>
    <w:uiPriority w:val="99"/>
    <w:semiHidden/>
    <w:rPr>
      <w:rFonts w:ascii="Tahoma" w:hAnsi="Tahoma" w:cs="Tahoma"/>
      <w:sz w:val="16"/>
      <w:szCs w:val="16"/>
      <w:lang w:val="x-none" w:eastAsia="cs-CZ"/>
    </w:rPr>
  </w:style>
  <w:style w:type="character" w:customStyle="1" w:styleId="truktradokumentuChar1516">
    <w:name w:val="Štruktúra dokumentu Char1516"/>
    <w:aliases w:val="Char9 Char Char1517,Štruktúra dokumentu Char Char Char1517,Document Map Char Char Char1517"/>
    <w:basedOn w:val="Predvolenpsmoodseku"/>
    <w:uiPriority w:val="99"/>
    <w:semiHidden/>
    <w:rPr>
      <w:rFonts w:ascii="Tahoma" w:hAnsi="Tahoma" w:cs="Tahoma"/>
      <w:sz w:val="16"/>
      <w:szCs w:val="16"/>
      <w:lang w:val="x-none" w:eastAsia="cs-CZ"/>
    </w:rPr>
  </w:style>
  <w:style w:type="character" w:customStyle="1" w:styleId="truktradokumentuChar1515">
    <w:name w:val="Štruktúra dokumentu Char1515"/>
    <w:aliases w:val="Char9 Char Char1516,Štruktúra dokumentu Char Char Char1516,Document Map Char Char Char1516"/>
    <w:basedOn w:val="Predvolenpsmoodseku"/>
    <w:uiPriority w:val="99"/>
    <w:semiHidden/>
    <w:rPr>
      <w:rFonts w:ascii="Tahoma" w:hAnsi="Tahoma" w:cs="Tahoma"/>
      <w:sz w:val="16"/>
      <w:szCs w:val="16"/>
      <w:lang w:val="x-none" w:eastAsia="cs-CZ"/>
    </w:rPr>
  </w:style>
  <w:style w:type="character" w:customStyle="1" w:styleId="truktradokumentuChar1514">
    <w:name w:val="Štruktúra dokumentu Char1514"/>
    <w:aliases w:val="Char9 Char Char1515,Štruktúra dokumentu Char Char Char1515,Document Map Char Char Char1515"/>
    <w:basedOn w:val="Predvolenpsmoodseku"/>
    <w:uiPriority w:val="99"/>
    <w:semiHidden/>
    <w:rPr>
      <w:rFonts w:ascii="Tahoma" w:hAnsi="Tahoma" w:cs="Tahoma"/>
      <w:sz w:val="16"/>
      <w:szCs w:val="16"/>
      <w:lang w:val="x-none" w:eastAsia="cs-CZ"/>
    </w:rPr>
  </w:style>
  <w:style w:type="character" w:customStyle="1" w:styleId="truktradokumentuChar1513">
    <w:name w:val="Štruktúra dokumentu Char1513"/>
    <w:aliases w:val="Char9 Char Char1514,Štruktúra dokumentu Char Char Char1514,Document Map Char Char Char1514"/>
    <w:uiPriority w:val="99"/>
    <w:semiHidden/>
    <w:rPr>
      <w:rFonts w:ascii="Tahoma" w:hAnsi="Tahoma"/>
      <w:sz w:val="16"/>
      <w:lang w:val="x-none" w:eastAsia="cs-CZ"/>
    </w:rPr>
  </w:style>
  <w:style w:type="character" w:customStyle="1" w:styleId="truktradokumentuChar1512">
    <w:name w:val="Štruktúra dokumentu Char1512"/>
    <w:aliases w:val="Char9 Char Char1513,Štruktúra dokumentu Char Char Char1513,Document Map Char Char Char1513"/>
    <w:uiPriority w:val="99"/>
    <w:semiHidden/>
    <w:rPr>
      <w:rFonts w:ascii="Tahoma" w:hAnsi="Tahoma"/>
      <w:sz w:val="16"/>
      <w:lang w:val="x-none" w:eastAsia="cs-CZ"/>
    </w:rPr>
  </w:style>
  <w:style w:type="character" w:customStyle="1" w:styleId="truktradokumentuChar1511">
    <w:name w:val="Štruktúra dokumentu Char1511"/>
    <w:aliases w:val="Char9 Char Char1512,Štruktúra dokumentu Char Char Char1512,Document Map Char Char Char1512"/>
    <w:uiPriority w:val="99"/>
    <w:semiHidden/>
    <w:rPr>
      <w:rFonts w:ascii="Tahoma" w:hAnsi="Tahoma"/>
      <w:sz w:val="16"/>
      <w:lang w:val="x-none" w:eastAsia="cs-CZ"/>
    </w:rPr>
  </w:style>
  <w:style w:type="character" w:customStyle="1" w:styleId="truktradokumentuChar1510">
    <w:name w:val="Štruktúra dokumentu Char1510"/>
    <w:aliases w:val="Char9 Char Char1511,Štruktúra dokumentu Char Char Char1511,Document Map Char Char Char1511"/>
    <w:uiPriority w:val="99"/>
    <w:semiHidden/>
    <w:rPr>
      <w:rFonts w:ascii="Tahoma" w:hAnsi="Tahoma"/>
      <w:sz w:val="16"/>
      <w:lang w:val="x-none" w:eastAsia="cs-CZ"/>
    </w:rPr>
  </w:style>
  <w:style w:type="character" w:customStyle="1" w:styleId="truktradokumentuChar1509">
    <w:name w:val="Štruktúra dokumentu Char1509"/>
    <w:aliases w:val="Char9 Char Char1510,Štruktúra dokumentu Char Char Char1510,Document Map Char Char Char1510"/>
    <w:uiPriority w:val="99"/>
    <w:semiHidden/>
    <w:rPr>
      <w:rFonts w:ascii="Tahoma" w:hAnsi="Tahoma"/>
      <w:sz w:val="16"/>
      <w:lang w:val="x-none" w:eastAsia="cs-CZ"/>
    </w:rPr>
  </w:style>
  <w:style w:type="character" w:customStyle="1" w:styleId="truktradokumentuChar1508">
    <w:name w:val="Štruktúra dokumentu Char1508"/>
    <w:aliases w:val="Char9 Char Char1509,Štruktúra dokumentu Char Char Char1509,Document Map Char Char Char1509"/>
    <w:uiPriority w:val="99"/>
    <w:semiHidden/>
    <w:rPr>
      <w:rFonts w:ascii="Tahoma" w:hAnsi="Tahoma"/>
      <w:sz w:val="16"/>
      <w:lang w:val="x-none" w:eastAsia="cs-CZ"/>
    </w:rPr>
  </w:style>
  <w:style w:type="character" w:customStyle="1" w:styleId="truktradokumentuChar1507">
    <w:name w:val="Štruktúra dokumentu Char1507"/>
    <w:aliases w:val="Char9 Char Char1508,Štruktúra dokumentu Char Char Char1508,Document Map Char Char Char1508"/>
    <w:uiPriority w:val="99"/>
    <w:semiHidden/>
    <w:rPr>
      <w:rFonts w:ascii="Tahoma" w:hAnsi="Tahoma"/>
      <w:sz w:val="16"/>
      <w:lang w:val="x-none" w:eastAsia="cs-CZ"/>
    </w:rPr>
  </w:style>
  <w:style w:type="character" w:customStyle="1" w:styleId="truktradokumentuChar1506">
    <w:name w:val="Štruktúra dokumentu Char1506"/>
    <w:aliases w:val="Char9 Char Char1507,Štruktúra dokumentu Char Char Char1507,Document Map Char Char Char1507"/>
    <w:uiPriority w:val="99"/>
    <w:semiHidden/>
    <w:rPr>
      <w:rFonts w:ascii="Tahoma" w:hAnsi="Tahoma"/>
      <w:sz w:val="16"/>
      <w:lang w:val="x-none" w:eastAsia="cs-CZ"/>
    </w:rPr>
  </w:style>
  <w:style w:type="character" w:customStyle="1" w:styleId="truktradokumentuChar1505">
    <w:name w:val="Štruktúra dokumentu Char1505"/>
    <w:aliases w:val="Char9 Char Char1506,Štruktúra dokumentu Char Char Char1506,Document Map Char Char Char1506"/>
    <w:uiPriority w:val="99"/>
    <w:semiHidden/>
    <w:rPr>
      <w:rFonts w:ascii="Tahoma" w:hAnsi="Tahoma"/>
      <w:sz w:val="16"/>
      <w:lang w:val="x-none" w:eastAsia="cs-CZ"/>
    </w:rPr>
  </w:style>
  <w:style w:type="character" w:customStyle="1" w:styleId="truktradokumentuChar1504">
    <w:name w:val="Štruktúra dokumentu Char1504"/>
    <w:aliases w:val="Char9 Char Char1505,Štruktúra dokumentu Char Char Char1505,Document Map Char Char Char1505"/>
    <w:uiPriority w:val="99"/>
    <w:semiHidden/>
    <w:rPr>
      <w:rFonts w:ascii="Tahoma" w:hAnsi="Tahoma"/>
      <w:sz w:val="16"/>
      <w:lang w:val="x-none" w:eastAsia="cs-CZ"/>
    </w:rPr>
  </w:style>
  <w:style w:type="character" w:customStyle="1" w:styleId="truktradokumentuChar1503">
    <w:name w:val="Štruktúra dokumentu Char1503"/>
    <w:aliases w:val="Char9 Char Char1504,Štruktúra dokumentu Char Char Char1504,Document Map Char Char Char1504"/>
    <w:uiPriority w:val="99"/>
    <w:semiHidden/>
    <w:rPr>
      <w:rFonts w:ascii="Tahoma" w:hAnsi="Tahoma"/>
      <w:sz w:val="16"/>
      <w:lang w:val="x-none" w:eastAsia="cs-CZ"/>
    </w:rPr>
  </w:style>
  <w:style w:type="character" w:customStyle="1" w:styleId="truktradokumentuChar1502">
    <w:name w:val="Štruktúra dokumentu Char1502"/>
    <w:aliases w:val="Char9 Char Char1503,Štruktúra dokumentu Char Char Char1503,Document Map Char Char Char1503"/>
    <w:uiPriority w:val="99"/>
    <w:semiHidden/>
    <w:rPr>
      <w:rFonts w:ascii="Tahoma" w:hAnsi="Tahoma"/>
      <w:sz w:val="16"/>
      <w:lang w:val="x-none" w:eastAsia="cs-CZ"/>
    </w:rPr>
  </w:style>
  <w:style w:type="character" w:customStyle="1" w:styleId="truktradokumentuChar1501">
    <w:name w:val="Štruktúra dokumentu Char1501"/>
    <w:aliases w:val="Char9 Char Char1502,Štruktúra dokumentu Char Char Char1502,Document Map Char Char Char1502"/>
    <w:uiPriority w:val="99"/>
    <w:semiHidden/>
    <w:rPr>
      <w:rFonts w:ascii="Tahoma" w:hAnsi="Tahoma"/>
      <w:sz w:val="16"/>
      <w:lang w:val="x-none" w:eastAsia="cs-CZ"/>
    </w:rPr>
  </w:style>
  <w:style w:type="character" w:customStyle="1" w:styleId="truktradokumentuChar1500">
    <w:name w:val="Štruktúra dokumentu Char1500"/>
    <w:aliases w:val="Char9 Char Char1501,Štruktúra dokumentu Char Char Char1501,Document Map Char Char Char1501"/>
    <w:uiPriority w:val="99"/>
    <w:semiHidden/>
    <w:rPr>
      <w:rFonts w:ascii="Tahoma" w:hAnsi="Tahoma"/>
      <w:sz w:val="16"/>
      <w:lang w:val="x-none" w:eastAsia="cs-CZ"/>
    </w:rPr>
  </w:style>
  <w:style w:type="character" w:customStyle="1" w:styleId="truktradokumentuChar1499">
    <w:name w:val="Štruktúra dokumentu Char1499"/>
    <w:aliases w:val="Char9 Char Char1500,Štruktúra dokumentu Char Char Char1500,Document Map Char Char Char1500"/>
    <w:uiPriority w:val="99"/>
    <w:semiHidden/>
    <w:rPr>
      <w:rFonts w:ascii="Tahoma" w:hAnsi="Tahoma"/>
      <w:sz w:val="16"/>
      <w:lang w:val="x-none" w:eastAsia="cs-CZ"/>
    </w:rPr>
  </w:style>
  <w:style w:type="character" w:customStyle="1" w:styleId="truktradokumentuChar1498">
    <w:name w:val="Štruktúra dokumentu Char1498"/>
    <w:aliases w:val="Char9 Char Char1499,Štruktúra dokumentu Char Char Char1499,Document Map Char Char Char1499"/>
    <w:uiPriority w:val="99"/>
    <w:semiHidden/>
    <w:rPr>
      <w:rFonts w:ascii="Tahoma" w:hAnsi="Tahoma"/>
      <w:sz w:val="16"/>
      <w:lang w:val="x-none" w:eastAsia="cs-CZ"/>
    </w:rPr>
  </w:style>
  <w:style w:type="character" w:customStyle="1" w:styleId="truktradokumentuChar1497">
    <w:name w:val="Štruktúra dokumentu Char1497"/>
    <w:aliases w:val="Char9 Char Char1498,Štruktúra dokumentu Char Char Char1498,Document Map Char Char Char1498"/>
    <w:uiPriority w:val="99"/>
    <w:semiHidden/>
    <w:rPr>
      <w:rFonts w:ascii="Tahoma" w:hAnsi="Tahoma"/>
      <w:sz w:val="16"/>
      <w:lang w:val="x-none" w:eastAsia="cs-CZ"/>
    </w:rPr>
  </w:style>
  <w:style w:type="character" w:customStyle="1" w:styleId="truktradokumentuChar1496">
    <w:name w:val="Štruktúra dokumentu Char1496"/>
    <w:aliases w:val="Char9 Char Char1497,Štruktúra dokumentu Char Char Char1497,Document Map Char Char Char1497"/>
    <w:uiPriority w:val="99"/>
    <w:semiHidden/>
    <w:rPr>
      <w:rFonts w:ascii="Tahoma" w:hAnsi="Tahoma"/>
      <w:sz w:val="16"/>
      <w:lang w:val="x-none" w:eastAsia="cs-CZ"/>
    </w:rPr>
  </w:style>
  <w:style w:type="character" w:customStyle="1" w:styleId="truktradokumentuChar1495">
    <w:name w:val="Štruktúra dokumentu Char1495"/>
    <w:aliases w:val="Char9 Char Char1496,Štruktúra dokumentu Char Char Char1496,Document Map Char Char Char1496"/>
    <w:uiPriority w:val="99"/>
    <w:semiHidden/>
    <w:rPr>
      <w:rFonts w:ascii="Tahoma" w:hAnsi="Tahoma"/>
      <w:sz w:val="16"/>
      <w:lang w:val="x-none" w:eastAsia="cs-CZ"/>
    </w:rPr>
  </w:style>
  <w:style w:type="character" w:customStyle="1" w:styleId="truktradokumentuChar1494">
    <w:name w:val="Štruktúra dokumentu Char1494"/>
    <w:aliases w:val="Char9 Char Char1495,Štruktúra dokumentu Char Char Char1495,Document Map Char Char Char1495"/>
    <w:uiPriority w:val="99"/>
    <w:semiHidden/>
    <w:rPr>
      <w:rFonts w:ascii="Tahoma" w:hAnsi="Tahoma"/>
      <w:sz w:val="16"/>
      <w:lang w:val="x-none" w:eastAsia="cs-CZ"/>
    </w:rPr>
  </w:style>
  <w:style w:type="character" w:customStyle="1" w:styleId="truktradokumentuChar1493">
    <w:name w:val="Štruktúra dokumentu Char1493"/>
    <w:aliases w:val="Char9 Char Char1494,Štruktúra dokumentu Char Char Char1494,Document Map Char Char Char1494"/>
    <w:uiPriority w:val="99"/>
    <w:semiHidden/>
    <w:rPr>
      <w:rFonts w:ascii="Tahoma" w:hAnsi="Tahoma"/>
      <w:sz w:val="16"/>
      <w:lang w:val="x-none" w:eastAsia="cs-CZ"/>
    </w:rPr>
  </w:style>
  <w:style w:type="character" w:customStyle="1" w:styleId="truktradokumentuChar1492">
    <w:name w:val="Štruktúra dokumentu Char1492"/>
    <w:aliases w:val="Char9 Char Char1493,Štruktúra dokumentu Char Char Char1493,Document Map Char Char Char1493"/>
    <w:uiPriority w:val="99"/>
    <w:semiHidden/>
    <w:rPr>
      <w:rFonts w:ascii="Tahoma" w:hAnsi="Tahoma"/>
      <w:sz w:val="16"/>
      <w:lang w:val="x-none" w:eastAsia="cs-CZ"/>
    </w:rPr>
  </w:style>
  <w:style w:type="character" w:customStyle="1" w:styleId="truktradokumentuChar1491">
    <w:name w:val="Štruktúra dokumentu Char1491"/>
    <w:aliases w:val="Char9 Char Char1492,Štruktúra dokumentu Char Char Char1492,Document Map Char Char Char1492"/>
    <w:uiPriority w:val="99"/>
    <w:semiHidden/>
    <w:rPr>
      <w:rFonts w:ascii="Tahoma" w:hAnsi="Tahoma"/>
      <w:sz w:val="16"/>
      <w:lang w:val="x-none" w:eastAsia="cs-CZ"/>
    </w:rPr>
  </w:style>
  <w:style w:type="character" w:customStyle="1" w:styleId="truktradokumentuChar1490">
    <w:name w:val="Štruktúra dokumentu Char1490"/>
    <w:aliases w:val="Char9 Char Char1491,Štruktúra dokumentu Char Char Char1491,Document Map Char Char Char1491"/>
    <w:uiPriority w:val="99"/>
    <w:semiHidden/>
    <w:rPr>
      <w:rFonts w:ascii="Tahoma" w:hAnsi="Tahoma"/>
      <w:sz w:val="16"/>
      <w:lang w:val="x-none" w:eastAsia="cs-CZ"/>
    </w:rPr>
  </w:style>
  <w:style w:type="character" w:customStyle="1" w:styleId="truktradokumentuChar1489">
    <w:name w:val="Štruktúra dokumentu Char1489"/>
    <w:aliases w:val="Char9 Char Char1490,Štruktúra dokumentu Char Char Char1490,Document Map Char Char Char1490"/>
    <w:uiPriority w:val="99"/>
    <w:semiHidden/>
    <w:rPr>
      <w:rFonts w:ascii="Tahoma" w:hAnsi="Tahoma"/>
      <w:sz w:val="16"/>
      <w:lang w:val="x-none" w:eastAsia="cs-CZ"/>
    </w:rPr>
  </w:style>
  <w:style w:type="character" w:customStyle="1" w:styleId="truktradokumentuChar1488">
    <w:name w:val="Štruktúra dokumentu Char1488"/>
    <w:aliases w:val="Char9 Char Char1489,Štruktúra dokumentu Char Char Char1489,Document Map Char Char Char1489"/>
    <w:uiPriority w:val="99"/>
    <w:semiHidden/>
    <w:rPr>
      <w:rFonts w:ascii="Tahoma" w:hAnsi="Tahoma"/>
      <w:sz w:val="16"/>
      <w:lang w:val="x-none" w:eastAsia="cs-CZ"/>
    </w:rPr>
  </w:style>
  <w:style w:type="character" w:customStyle="1" w:styleId="truktradokumentuChar1487">
    <w:name w:val="Štruktúra dokumentu Char1487"/>
    <w:aliases w:val="Char9 Char Char1488,Štruktúra dokumentu Char Char Char1488,Document Map Char Char Char1488"/>
    <w:uiPriority w:val="99"/>
    <w:semiHidden/>
    <w:rPr>
      <w:rFonts w:ascii="Tahoma" w:hAnsi="Tahoma"/>
      <w:sz w:val="16"/>
      <w:lang w:val="x-none" w:eastAsia="cs-CZ"/>
    </w:rPr>
  </w:style>
  <w:style w:type="character" w:customStyle="1" w:styleId="truktradokumentuChar1486">
    <w:name w:val="Štruktúra dokumentu Char1486"/>
    <w:aliases w:val="Char9 Char Char1487,Štruktúra dokumentu Char Char Char1487,Document Map Char Char Char1487"/>
    <w:uiPriority w:val="99"/>
    <w:semiHidden/>
    <w:rPr>
      <w:rFonts w:ascii="Tahoma" w:hAnsi="Tahoma"/>
      <w:sz w:val="16"/>
      <w:lang w:val="x-none" w:eastAsia="cs-CZ"/>
    </w:rPr>
  </w:style>
  <w:style w:type="character" w:customStyle="1" w:styleId="truktradokumentuChar1485">
    <w:name w:val="Štruktúra dokumentu Char1485"/>
    <w:aliases w:val="Char9 Char Char1486,Štruktúra dokumentu Char Char Char1486,Document Map Char Char Char1486"/>
    <w:uiPriority w:val="99"/>
    <w:semiHidden/>
    <w:rPr>
      <w:rFonts w:ascii="Tahoma" w:hAnsi="Tahoma"/>
      <w:sz w:val="16"/>
      <w:lang w:val="x-none" w:eastAsia="cs-CZ"/>
    </w:rPr>
  </w:style>
  <w:style w:type="character" w:customStyle="1" w:styleId="truktradokumentuChar1484">
    <w:name w:val="Štruktúra dokumentu Char1484"/>
    <w:aliases w:val="Char9 Char Char1485,Štruktúra dokumentu Char Char Char1485,Document Map Char Char Char1485"/>
    <w:uiPriority w:val="99"/>
    <w:semiHidden/>
    <w:rPr>
      <w:rFonts w:ascii="Tahoma" w:hAnsi="Tahoma"/>
      <w:sz w:val="16"/>
      <w:lang w:val="x-none" w:eastAsia="cs-CZ"/>
    </w:rPr>
  </w:style>
  <w:style w:type="character" w:customStyle="1" w:styleId="truktradokumentuChar1483">
    <w:name w:val="Štruktúra dokumentu Char1483"/>
    <w:aliases w:val="Char9 Char Char1484,Štruktúra dokumentu Char Char Char1484,Document Map Char Char Char1484"/>
    <w:uiPriority w:val="99"/>
    <w:semiHidden/>
    <w:rPr>
      <w:rFonts w:ascii="Tahoma" w:hAnsi="Tahoma"/>
      <w:sz w:val="16"/>
      <w:lang w:val="x-none" w:eastAsia="cs-CZ"/>
    </w:rPr>
  </w:style>
  <w:style w:type="character" w:customStyle="1" w:styleId="truktradokumentuChar1482">
    <w:name w:val="Štruktúra dokumentu Char1482"/>
    <w:aliases w:val="Char9 Char Char1483,Štruktúra dokumentu Char Char Char1483,Document Map Char Char Char1483"/>
    <w:uiPriority w:val="99"/>
    <w:semiHidden/>
    <w:rPr>
      <w:rFonts w:ascii="Tahoma" w:hAnsi="Tahoma"/>
      <w:sz w:val="16"/>
      <w:lang w:val="x-none" w:eastAsia="cs-CZ"/>
    </w:rPr>
  </w:style>
  <w:style w:type="character" w:customStyle="1" w:styleId="truktradokumentuChar1481">
    <w:name w:val="Štruktúra dokumentu Char1481"/>
    <w:aliases w:val="Char9 Char Char1482,Štruktúra dokumentu Char Char Char1482,Document Map Char Char Char1482"/>
    <w:uiPriority w:val="99"/>
    <w:semiHidden/>
    <w:rPr>
      <w:rFonts w:ascii="Tahoma" w:hAnsi="Tahoma"/>
      <w:sz w:val="16"/>
      <w:lang w:val="x-none" w:eastAsia="cs-CZ"/>
    </w:rPr>
  </w:style>
  <w:style w:type="character" w:customStyle="1" w:styleId="truktradokumentuChar1480">
    <w:name w:val="Štruktúra dokumentu Char1480"/>
    <w:aliases w:val="Char9 Char Char1481,Štruktúra dokumentu Char Char Char1481,Document Map Char Char Char1481"/>
    <w:uiPriority w:val="99"/>
    <w:semiHidden/>
    <w:rPr>
      <w:rFonts w:ascii="Tahoma" w:hAnsi="Tahoma"/>
      <w:sz w:val="16"/>
      <w:lang w:val="x-none" w:eastAsia="cs-CZ"/>
    </w:rPr>
  </w:style>
  <w:style w:type="character" w:customStyle="1" w:styleId="truktradokumentuChar1479">
    <w:name w:val="Štruktúra dokumentu Char1479"/>
    <w:aliases w:val="Char9 Char Char1480,Štruktúra dokumentu Char Char Char1480,Document Map Char Char Char1480"/>
    <w:uiPriority w:val="99"/>
    <w:semiHidden/>
    <w:rPr>
      <w:rFonts w:ascii="Tahoma" w:hAnsi="Tahoma"/>
      <w:sz w:val="16"/>
      <w:lang w:val="x-none" w:eastAsia="cs-CZ"/>
    </w:rPr>
  </w:style>
  <w:style w:type="character" w:customStyle="1" w:styleId="truktradokumentuChar1478">
    <w:name w:val="Štruktúra dokumentu Char1478"/>
    <w:aliases w:val="Char9 Char Char1479,Štruktúra dokumentu Char Char Char1479,Document Map Char Char Char1479"/>
    <w:uiPriority w:val="99"/>
    <w:semiHidden/>
    <w:rPr>
      <w:rFonts w:ascii="Tahoma" w:hAnsi="Tahoma"/>
      <w:sz w:val="16"/>
      <w:lang w:val="x-none" w:eastAsia="cs-CZ"/>
    </w:rPr>
  </w:style>
  <w:style w:type="character" w:customStyle="1" w:styleId="truktradokumentuChar1477">
    <w:name w:val="Štruktúra dokumentu Char1477"/>
    <w:aliases w:val="Char9 Char Char1478,Štruktúra dokumentu Char Char Char1478,Document Map Char Char Char1478"/>
    <w:uiPriority w:val="99"/>
    <w:semiHidden/>
    <w:rPr>
      <w:rFonts w:ascii="Tahoma" w:hAnsi="Tahoma"/>
      <w:sz w:val="16"/>
      <w:lang w:val="x-none" w:eastAsia="cs-CZ"/>
    </w:rPr>
  </w:style>
  <w:style w:type="character" w:customStyle="1" w:styleId="truktradokumentuChar1476">
    <w:name w:val="Štruktúra dokumentu Char1476"/>
    <w:aliases w:val="Char9 Char Char1477,Štruktúra dokumentu Char Char Char1477,Document Map Char Char Char1477"/>
    <w:uiPriority w:val="99"/>
    <w:semiHidden/>
    <w:rPr>
      <w:rFonts w:ascii="Tahoma" w:hAnsi="Tahoma"/>
      <w:sz w:val="16"/>
      <w:lang w:val="x-none" w:eastAsia="cs-CZ"/>
    </w:rPr>
  </w:style>
  <w:style w:type="character" w:customStyle="1" w:styleId="truktradokumentuChar1475">
    <w:name w:val="Štruktúra dokumentu Char1475"/>
    <w:aliases w:val="Char9 Char Char1476,Štruktúra dokumentu Char Char Char1476,Document Map Char Char Char1476"/>
    <w:uiPriority w:val="99"/>
    <w:semiHidden/>
    <w:rPr>
      <w:rFonts w:ascii="Tahoma" w:hAnsi="Tahoma"/>
      <w:sz w:val="16"/>
      <w:lang w:val="x-none" w:eastAsia="cs-CZ"/>
    </w:rPr>
  </w:style>
  <w:style w:type="character" w:customStyle="1" w:styleId="truktradokumentuChar1474">
    <w:name w:val="Štruktúra dokumentu Char1474"/>
    <w:aliases w:val="Char9 Char Char1475,Štruktúra dokumentu Char Char Char1475,Document Map Char Char Char1475"/>
    <w:uiPriority w:val="99"/>
    <w:semiHidden/>
    <w:rPr>
      <w:rFonts w:ascii="Tahoma" w:hAnsi="Tahoma"/>
      <w:sz w:val="16"/>
      <w:lang w:val="x-none" w:eastAsia="cs-CZ"/>
    </w:rPr>
  </w:style>
  <w:style w:type="character" w:customStyle="1" w:styleId="truktradokumentuChar1473">
    <w:name w:val="Štruktúra dokumentu Char1473"/>
    <w:aliases w:val="Char9 Char Char1474,Štruktúra dokumentu Char Char Char1474,Document Map Char Char Char1474"/>
    <w:uiPriority w:val="99"/>
    <w:semiHidden/>
    <w:rPr>
      <w:rFonts w:ascii="Tahoma" w:hAnsi="Tahoma"/>
      <w:sz w:val="16"/>
      <w:lang w:val="x-none" w:eastAsia="cs-CZ"/>
    </w:rPr>
  </w:style>
  <w:style w:type="character" w:customStyle="1" w:styleId="truktradokumentuChar1472">
    <w:name w:val="Štruktúra dokumentu Char1472"/>
    <w:aliases w:val="Char9 Char Char1473,Štruktúra dokumentu Char Char Char1473,Document Map Char Char Char1473"/>
    <w:uiPriority w:val="99"/>
    <w:semiHidden/>
    <w:rPr>
      <w:rFonts w:ascii="Tahoma" w:hAnsi="Tahoma"/>
      <w:sz w:val="16"/>
      <w:lang w:val="x-none" w:eastAsia="cs-CZ"/>
    </w:rPr>
  </w:style>
  <w:style w:type="character" w:customStyle="1" w:styleId="truktradokumentuChar1471">
    <w:name w:val="Štruktúra dokumentu Char1471"/>
    <w:aliases w:val="Char9 Char Char1472,Štruktúra dokumentu Char Char Char1472,Document Map Char Char Char1472"/>
    <w:uiPriority w:val="99"/>
    <w:semiHidden/>
    <w:rPr>
      <w:rFonts w:ascii="Tahoma" w:hAnsi="Tahoma"/>
      <w:sz w:val="16"/>
      <w:lang w:val="x-none" w:eastAsia="cs-CZ"/>
    </w:rPr>
  </w:style>
  <w:style w:type="character" w:customStyle="1" w:styleId="truktradokumentuChar1470">
    <w:name w:val="Štruktúra dokumentu Char1470"/>
    <w:aliases w:val="Char9 Char Char1471,Štruktúra dokumentu Char Char Char1471,Document Map Char Char Char1471"/>
    <w:uiPriority w:val="99"/>
    <w:semiHidden/>
    <w:rPr>
      <w:rFonts w:ascii="Tahoma" w:hAnsi="Tahoma"/>
      <w:sz w:val="16"/>
      <w:lang w:val="x-none" w:eastAsia="cs-CZ"/>
    </w:rPr>
  </w:style>
  <w:style w:type="character" w:customStyle="1" w:styleId="truktradokumentuChar1469">
    <w:name w:val="Štruktúra dokumentu Char1469"/>
    <w:aliases w:val="Char9 Char Char1470,Štruktúra dokumentu Char Char Char1470,Document Map Char Char Char1470"/>
    <w:uiPriority w:val="99"/>
    <w:semiHidden/>
    <w:rPr>
      <w:rFonts w:ascii="Tahoma" w:hAnsi="Tahoma"/>
      <w:sz w:val="16"/>
      <w:lang w:val="x-none" w:eastAsia="cs-CZ"/>
    </w:rPr>
  </w:style>
  <w:style w:type="character" w:customStyle="1" w:styleId="truktradokumentuChar1468">
    <w:name w:val="Štruktúra dokumentu Char1468"/>
    <w:aliases w:val="Char9 Char Char1469,Štruktúra dokumentu Char Char Char1469,Document Map Char Char Char1469"/>
    <w:uiPriority w:val="99"/>
    <w:semiHidden/>
    <w:rPr>
      <w:rFonts w:ascii="Tahoma" w:hAnsi="Tahoma"/>
      <w:sz w:val="16"/>
      <w:lang w:val="x-none" w:eastAsia="cs-CZ"/>
    </w:rPr>
  </w:style>
  <w:style w:type="character" w:customStyle="1" w:styleId="truktradokumentuChar1467">
    <w:name w:val="Štruktúra dokumentu Char1467"/>
    <w:aliases w:val="Char9 Char Char1468,Štruktúra dokumentu Char Char Char1468,Document Map Char Char Char1468"/>
    <w:uiPriority w:val="99"/>
    <w:semiHidden/>
    <w:rPr>
      <w:rFonts w:ascii="Tahoma" w:hAnsi="Tahoma"/>
      <w:sz w:val="16"/>
      <w:lang w:val="x-none" w:eastAsia="cs-CZ"/>
    </w:rPr>
  </w:style>
  <w:style w:type="character" w:customStyle="1" w:styleId="truktradokumentuChar1466">
    <w:name w:val="Štruktúra dokumentu Char1466"/>
    <w:aliases w:val="Char9 Char Char1467,Štruktúra dokumentu Char Char Char1467,Document Map Char Char Char1467"/>
    <w:uiPriority w:val="99"/>
    <w:semiHidden/>
    <w:rPr>
      <w:rFonts w:ascii="Tahoma" w:hAnsi="Tahoma"/>
      <w:sz w:val="16"/>
      <w:lang w:val="x-none" w:eastAsia="cs-CZ"/>
    </w:rPr>
  </w:style>
  <w:style w:type="character" w:customStyle="1" w:styleId="truktradokumentuChar1465">
    <w:name w:val="Štruktúra dokumentu Char1465"/>
    <w:aliases w:val="Char9 Char Char1466,Štruktúra dokumentu Char Char Char1466,Document Map Char Char Char1466"/>
    <w:uiPriority w:val="99"/>
    <w:semiHidden/>
    <w:rPr>
      <w:rFonts w:ascii="Tahoma" w:hAnsi="Tahoma"/>
      <w:sz w:val="16"/>
      <w:lang w:val="x-none" w:eastAsia="cs-CZ"/>
    </w:rPr>
  </w:style>
  <w:style w:type="character" w:customStyle="1" w:styleId="truktradokumentuChar1464">
    <w:name w:val="Štruktúra dokumentu Char1464"/>
    <w:aliases w:val="Char9 Char Char1465,Štruktúra dokumentu Char Char Char1465,Document Map Char Char Char1465"/>
    <w:uiPriority w:val="99"/>
    <w:semiHidden/>
    <w:rPr>
      <w:rFonts w:ascii="Tahoma" w:hAnsi="Tahoma"/>
      <w:sz w:val="16"/>
      <w:lang w:val="x-none" w:eastAsia="cs-CZ"/>
    </w:rPr>
  </w:style>
  <w:style w:type="character" w:customStyle="1" w:styleId="truktradokumentuChar1463">
    <w:name w:val="Štruktúra dokumentu Char1463"/>
    <w:aliases w:val="Char9 Char Char1464,Štruktúra dokumentu Char Char Char1464,Document Map Char Char Char1464"/>
    <w:uiPriority w:val="99"/>
    <w:semiHidden/>
    <w:rPr>
      <w:rFonts w:ascii="Tahoma" w:hAnsi="Tahoma"/>
      <w:sz w:val="16"/>
      <w:lang w:val="x-none" w:eastAsia="cs-CZ"/>
    </w:rPr>
  </w:style>
  <w:style w:type="character" w:customStyle="1" w:styleId="truktradokumentuChar1462">
    <w:name w:val="Štruktúra dokumentu Char1462"/>
    <w:aliases w:val="Char9 Char Char1463,Štruktúra dokumentu Char Char Char1463,Document Map Char Char Char1463"/>
    <w:uiPriority w:val="99"/>
    <w:semiHidden/>
    <w:rPr>
      <w:rFonts w:ascii="Tahoma" w:hAnsi="Tahoma"/>
      <w:sz w:val="16"/>
      <w:lang w:val="x-none" w:eastAsia="cs-CZ"/>
    </w:rPr>
  </w:style>
  <w:style w:type="character" w:customStyle="1" w:styleId="truktradokumentuChar1461">
    <w:name w:val="Štruktúra dokumentu Char1461"/>
    <w:aliases w:val="Char9 Char Char1462,Štruktúra dokumentu Char Char Char1462,Document Map Char Char Char1462"/>
    <w:uiPriority w:val="99"/>
    <w:semiHidden/>
    <w:rPr>
      <w:rFonts w:ascii="Tahoma" w:hAnsi="Tahoma"/>
      <w:sz w:val="16"/>
      <w:lang w:val="x-none" w:eastAsia="cs-CZ"/>
    </w:rPr>
  </w:style>
  <w:style w:type="character" w:customStyle="1" w:styleId="truktradokumentuChar1460">
    <w:name w:val="Štruktúra dokumentu Char1460"/>
    <w:aliases w:val="Char9 Char Char1461,Štruktúra dokumentu Char Char Char1461,Document Map Char Char Char1461"/>
    <w:uiPriority w:val="99"/>
    <w:semiHidden/>
    <w:rPr>
      <w:rFonts w:ascii="Tahoma" w:hAnsi="Tahoma"/>
      <w:sz w:val="16"/>
      <w:lang w:val="x-none" w:eastAsia="cs-CZ"/>
    </w:rPr>
  </w:style>
  <w:style w:type="character" w:customStyle="1" w:styleId="truktradokumentuChar1459">
    <w:name w:val="Štruktúra dokumentu Char1459"/>
    <w:aliases w:val="Char9 Char Char1460,Štruktúra dokumentu Char Char Char1460,Document Map Char Char Char1460"/>
    <w:uiPriority w:val="99"/>
    <w:semiHidden/>
    <w:rPr>
      <w:rFonts w:ascii="Tahoma" w:hAnsi="Tahoma"/>
      <w:sz w:val="16"/>
      <w:lang w:val="x-none" w:eastAsia="cs-CZ"/>
    </w:rPr>
  </w:style>
  <w:style w:type="character" w:customStyle="1" w:styleId="truktradokumentuChar1458">
    <w:name w:val="Štruktúra dokumentu Char1458"/>
    <w:aliases w:val="Char9 Char Char1459,Štruktúra dokumentu Char Char Char1459,Document Map Char Char Char1459"/>
    <w:uiPriority w:val="99"/>
    <w:semiHidden/>
    <w:rPr>
      <w:rFonts w:ascii="Tahoma" w:hAnsi="Tahoma"/>
      <w:sz w:val="16"/>
      <w:lang w:val="x-none" w:eastAsia="cs-CZ"/>
    </w:rPr>
  </w:style>
  <w:style w:type="character" w:customStyle="1" w:styleId="truktradokumentuChar1457">
    <w:name w:val="Štruktúra dokumentu Char1457"/>
    <w:aliases w:val="Char9 Char Char1458,Štruktúra dokumentu Char Char Char1458,Document Map Char Char Char1458"/>
    <w:uiPriority w:val="99"/>
    <w:semiHidden/>
    <w:rPr>
      <w:rFonts w:ascii="Tahoma" w:hAnsi="Tahoma"/>
      <w:sz w:val="16"/>
      <w:lang w:val="x-none" w:eastAsia="cs-CZ"/>
    </w:rPr>
  </w:style>
  <w:style w:type="character" w:customStyle="1" w:styleId="truktradokumentuChar1456">
    <w:name w:val="Štruktúra dokumentu Char1456"/>
    <w:aliases w:val="Char9 Char Char1457,Štruktúra dokumentu Char Char Char1457,Document Map Char Char Char1457"/>
    <w:uiPriority w:val="99"/>
    <w:semiHidden/>
    <w:rPr>
      <w:rFonts w:ascii="Tahoma" w:hAnsi="Tahoma"/>
      <w:sz w:val="16"/>
      <w:lang w:val="x-none" w:eastAsia="cs-CZ"/>
    </w:rPr>
  </w:style>
  <w:style w:type="character" w:customStyle="1" w:styleId="truktradokumentuChar1455">
    <w:name w:val="Štruktúra dokumentu Char1455"/>
    <w:aliases w:val="Char9 Char Char1456,Štruktúra dokumentu Char Char Char1456,Document Map Char Char Char1456"/>
    <w:uiPriority w:val="99"/>
    <w:semiHidden/>
    <w:rPr>
      <w:rFonts w:ascii="Tahoma" w:hAnsi="Tahoma"/>
      <w:sz w:val="16"/>
      <w:lang w:val="x-none" w:eastAsia="cs-CZ"/>
    </w:rPr>
  </w:style>
  <w:style w:type="character" w:customStyle="1" w:styleId="truktradokumentuChar1454">
    <w:name w:val="Štruktúra dokumentu Char1454"/>
    <w:aliases w:val="Char9 Char Char1455,Štruktúra dokumentu Char Char Char1455,Document Map Char Char Char1455"/>
    <w:uiPriority w:val="99"/>
    <w:semiHidden/>
    <w:rPr>
      <w:rFonts w:ascii="Tahoma" w:hAnsi="Tahoma"/>
      <w:sz w:val="16"/>
      <w:lang w:val="x-none" w:eastAsia="cs-CZ"/>
    </w:rPr>
  </w:style>
  <w:style w:type="character" w:customStyle="1" w:styleId="truktradokumentuChar1453">
    <w:name w:val="Štruktúra dokumentu Char1453"/>
    <w:aliases w:val="Char9 Char Char1454,Štruktúra dokumentu Char Char Char1454,Document Map Char Char Char1454"/>
    <w:uiPriority w:val="99"/>
    <w:semiHidden/>
    <w:rPr>
      <w:rFonts w:ascii="Tahoma" w:hAnsi="Tahoma"/>
      <w:sz w:val="16"/>
      <w:lang w:val="x-none" w:eastAsia="cs-CZ"/>
    </w:rPr>
  </w:style>
  <w:style w:type="character" w:customStyle="1" w:styleId="truktradokumentuChar1452">
    <w:name w:val="Štruktúra dokumentu Char1452"/>
    <w:aliases w:val="Char9 Char Char1453,Štruktúra dokumentu Char Char Char1453,Document Map Char Char Char1453"/>
    <w:uiPriority w:val="99"/>
    <w:semiHidden/>
    <w:rPr>
      <w:rFonts w:ascii="Tahoma" w:hAnsi="Tahoma"/>
      <w:sz w:val="16"/>
      <w:lang w:val="x-none" w:eastAsia="cs-CZ"/>
    </w:rPr>
  </w:style>
  <w:style w:type="character" w:customStyle="1" w:styleId="truktradokumentuChar1451">
    <w:name w:val="Štruktúra dokumentu Char1451"/>
    <w:aliases w:val="Char9 Char Char1452,Štruktúra dokumentu Char Char Char1452,Document Map Char Char Char1452"/>
    <w:uiPriority w:val="99"/>
    <w:semiHidden/>
    <w:rPr>
      <w:rFonts w:ascii="Tahoma" w:hAnsi="Tahoma"/>
      <w:sz w:val="16"/>
      <w:lang w:val="x-none" w:eastAsia="cs-CZ"/>
    </w:rPr>
  </w:style>
  <w:style w:type="character" w:customStyle="1" w:styleId="truktradokumentuChar1450">
    <w:name w:val="Štruktúra dokumentu Char1450"/>
    <w:aliases w:val="Char9 Char Char1451,Štruktúra dokumentu Char Char Char1451,Document Map Char Char Char1451"/>
    <w:uiPriority w:val="99"/>
    <w:semiHidden/>
    <w:rPr>
      <w:rFonts w:ascii="Tahoma" w:hAnsi="Tahoma"/>
      <w:sz w:val="16"/>
      <w:lang w:val="x-none" w:eastAsia="cs-CZ"/>
    </w:rPr>
  </w:style>
  <w:style w:type="character" w:customStyle="1" w:styleId="truktradokumentuChar1449">
    <w:name w:val="Štruktúra dokumentu Char1449"/>
    <w:aliases w:val="Char9 Char Char1450,Štruktúra dokumentu Char Char Char1450,Document Map Char Char Char1450"/>
    <w:uiPriority w:val="99"/>
    <w:semiHidden/>
    <w:rPr>
      <w:rFonts w:ascii="Tahoma" w:hAnsi="Tahoma"/>
      <w:sz w:val="16"/>
      <w:lang w:val="x-none" w:eastAsia="cs-CZ"/>
    </w:rPr>
  </w:style>
  <w:style w:type="character" w:customStyle="1" w:styleId="truktradokumentuChar1448">
    <w:name w:val="Štruktúra dokumentu Char1448"/>
    <w:aliases w:val="Char9 Char Char1449,Štruktúra dokumentu Char Char Char1449,Document Map Char Char Char1449"/>
    <w:uiPriority w:val="99"/>
    <w:semiHidden/>
    <w:rPr>
      <w:rFonts w:ascii="Tahoma" w:hAnsi="Tahoma"/>
      <w:sz w:val="16"/>
      <w:lang w:val="x-none" w:eastAsia="cs-CZ"/>
    </w:rPr>
  </w:style>
  <w:style w:type="character" w:customStyle="1" w:styleId="truktradokumentuChar1447">
    <w:name w:val="Štruktúra dokumentu Char1447"/>
    <w:aliases w:val="Char9 Char Char1448,Štruktúra dokumentu Char Char Char1448,Document Map Char Char Char1448"/>
    <w:uiPriority w:val="99"/>
    <w:semiHidden/>
    <w:rPr>
      <w:rFonts w:ascii="Tahoma" w:hAnsi="Tahoma"/>
      <w:sz w:val="16"/>
      <w:lang w:val="x-none" w:eastAsia="cs-CZ"/>
    </w:rPr>
  </w:style>
  <w:style w:type="character" w:customStyle="1" w:styleId="truktradokumentuChar1446">
    <w:name w:val="Štruktúra dokumentu Char1446"/>
    <w:aliases w:val="Char9 Char Char1447,Štruktúra dokumentu Char Char Char1447,Document Map Char Char Char1447"/>
    <w:uiPriority w:val="99"/>
    <w:semiHidden/>
    <w:rPr>
      <w:rFonts w:ascii="Tahoma" w:hAnsi="Tahoma"/>
      <w:sz w:val="16"/>
      <w:lang w:val="x-none" w:eastAsia="cs-CZ"/>
    </w:rPr>
  </w:style>
  <w:style w:type="character" w:customStyle="1" w:styleId="truktradokumentuChar1445">
    <w:name w:val="Štruktúra dokumentu Char1445"/>
    <w:aliases w:val="Char9 Char Char1446,Štruktúra dokumentu Char Char Char1446,Document Map Char Char Char1446"/>
    <w:uiPriority w:val="99"/>
    <w:semiHidden/>
    <w:rPr>
      <w:rFonts w:ascii="Tahoma" w:hAnsi="Tahoma"/>
      <w:sz w:val="16"/>
      <w:lang w:val="x-none" w:eastAsia="cs-CZ"/>
    </w:rPr>
  </w:style>
  <w:style w:type="character" w:customStyle="1" w:styleId="truktradokumentuChar1444">
    <w:name w:val="Štruktúra dokumentu Char1444"/>
    <w:aliases w:val="Char9 Char Char1445,Štruktúra dokumentu Char Char Char1445,Document Map Char Char Char1445"/>
    <w:uiPriority w:val="99"/>
    <w:semiHidden/>
    <w:rPr>
      <w:rFonts w:ascii="Tahoma" w:hAnsi="Tahoma"/>
      <w:sz w:val="16"/>
      <w:lang w:val="x-none" w:eastAsia="cs-CZ"/>
    </w:rPr>
  </w:style>
  <w:style w:type="character" w:customStyle="1" w:styleId="truktradokumentuChar1443">
    <w:name w:val="Štruktúra dokumentu Char1443"/>
    <w:aliases w:val="Char9 Char Char1444,Štruktúra dokumentu Char Char Char1444,Document Map Char Char Char1444"/>
    <w:uiPriority w:val="99"/>
    <w:semiHidden/>
    <w:rPr>
      <w:rFonts w:ascii="Tahoma" w:hAnsi="Tahoma"/>
      <w:sz w:val="16"/>
      <w:lang w:val="x-none" w:eastAsia="cs-CZ"/>
    </w:rPr>
  </w:style>
  <w:style w:type="character" w:customStyle="1" w:styleId="truktradokumentuChar1442">
    <w:name w:val="Štruktúra dokumentu Char1442"/>
    <w:aliases w:val="Char9 Char Char1443,Štruktúra dokumentu Char Char Char1443,Document Map Char Char Char1443"/>
    <w:uiPriority w:val="99"/>
    <w:semiHidden/>
    <w:rPr>
      <w:rFonts w:ascii="Tahoma" w:hAnsi="Tahoma"/>
      <w:sz w:val="16"/>
      <w:lang w:val="x-none" w:eastAsia="cs-CZ"/>
    </w:rPr>
  </w:style>
  <w:style w:type="character" w:customStyle="1" w:styleId="truktradokumentuChar1441">
    <w:name w:val="Štruktúra dokumentu Char1441"/>
    <w:aliases w:val="Char9 Char Char1442,Štruktúra dokumentu Char Char Char1442,Document Map Char Char Char1442"/>
    <w:uiPriority w:val="99"/>
    <w:semiHidden/>
    <w:rPr>
      <w:rFonts w:ascii="Tahoma" w:hAnsi="Tahoma"/>
      <w:sz w:val="16"/>
      <w:lang w:val="x-none" w:eastAsia="cs-CZ"/>
    </w:rPr>
  </w:style>
  <w:style w:type="character" w:customStyle="1" w:styleId="truktradokumentuChar1440">
    <w:name w:val="Štruktúra dokumentu Char1440"/>
    <w:aliases w:val="Char9 Char Char1441,Štruktúra dokumentu Char Char Char1441,Document Map Char Char Char1441"/>
    <w:uiPriority w:val="99"/>
    <w:semiHidden/>
    <w:rPr>
      <w:rFonts w:ascii="Tahoma" w:hAnsi="Tahoma"/>
      <w:sz w:val="16"/>
      <w:lang w:val="x-none" w:eastAsia="cs-CZ"/>
    </w:rPr>
  </w:style>
  <w:style w:type="character" w:customStyle="1" w:styleId="truktradokumentuChar1439">
    <w:name w:val="Štruktúra dokumentu Char1439"/>
    <w:aliases w:val="Char9 Char Char1440,Štruktúra dokumentu Char Char Char1440,Document Map Char Char Char1440"/>
    <w:uiPriority w:val="99"/>
    <w:semiHidden/>
    <w:rPr>
      <w:rFonts w:ascii="Tahoma" w:hAnsi="Tahoma"/>
      <w:sz w:val="16"/>
      <w:lang w:val="x-none" w:eastAsia="cs-CZ"/>
    </w:rPr>
  </w:style>
  <w:style w:type="character" w:customStyle="1" w:styleId="truktradokumentuChar1438">
    <w:name w:val="Štruktúra dokumentu Char1438"/>
    <w:aliases w:val="Char9 Char Char1439,Štruktúra dokumentu Char Char Char1439,Document Map Char Char Char1439"/>
    <w:uiPriority w:val="99"/>
    <w:semiHidden/>
    <w:rPr>
      <w:rFonts w:ascii="Tahoma" w:hAnsi="Tahoma"/>
      <w:sz w:val="16"/>
      <w:lang w:val="x-none" w:eastAsia="cs-CZ"/>
    </w:rPr>
  </w:style>
  <w:style w:type="character" w:customStyle="1" w:styleId="truktradokumentuChar1437">
    <w:name w:val="Štruktúra dokumentu Char1437"/>
    <w:aliases w:val="Char9 Char Char1438,Štruktúra dokumentu Char Char Char1438,Document Map Char Char Char1438"/>
    <w:uiPriority w:val="99"/>
    <w:semiHidden/>
    <w:rPr>
      <w:rFonts w:ascii="Tahoma" w:hAnsi="Tahoma"/>
      <w:sz w:val="16"/>
      <w:lang w:val="x-none" w:eastAsia="cs-CZ"/>
    </w:rPr>
  </w:style>
  <w:style w:type="character" w:customStyle="1" w:styleId="truktradokumentuChar1436">
    <w:name w:val="Štruktúra dokumentu Char1436"/>
    <w:aliases w:val="Char9 Char Char1437,Štruktúra dokumentu Char Char Char1437,Document Map Char Char Char1437"/>
    <w:uiPriority w:val="99"/>
    <w:semiHidden/>
    <w:rPr>
      <w:rFonts w:ascii="Tahoma" w:hAnsi="Tahoma"/>
      <w:sz w:val="16"/>
      <w:lang w:val="x-none" w:eastAsia="cs-CZ"/>
    </w:rPr>
  </w:style>
  <w:style w:type="character" w:customStyle="1" w:styleId="truktradokumentuChar1435">
    <w:name w:val="Štruktúra dokumentu Char1435"/>
    <w:aliases w:val="Char9 Char Char1436,Štruktúra dokumentu Char Char Char1436,Document Map Char Char Char1436"/>
    <w:uiPriority w:val="99"/>
    <w:semiHidden/>
    <w:rPr>
      <w:rFonts w:ascii="Tahoma" w:hAnsi="Tahoma"/>
      <w:sz w:val="16"/>
      <w:lang w:val="x-none" w:eastAsia="cs-CZ"/>
    </w:rPr>
  </w:style>
  <w:style w:type="character" w:customStyle="1" w:styleId="truktradokumentuChar1434">
    <w:name w:val="Štruktúra dokumentu Char1434"/>
    <w:aliases w:val="Char9 Char Char1435,Štruktúra dokumentu Char Char Char1435,Document Map Char Char Char1435"/>
    <w:uiPriority w:val="99"/>
    <w:semiHidden/>
    <w:rPr>
      <w:rFonts w:ascii="Tahoma" w:hAnsi="Tahoma"/>
      <w:sz w:val="16"/>
      <w:lang w:val="x-none" w:eastAsia="cs-CZ"/>
    </w:rPr>
  </w:style>
  <w:style w:type="character" w:customStyle="1" w:styleId="truktradokumentuChar1433">
    <w:name w:val="Štruktúra dokumentu Char1433"/>
    <w:aliases w:val="Char9 Char Char1434,Štruktúra dokumentu Char Char Char1434,Document Map Char Char Char1434"/>
    <w:uiPriority w:val="99"/>
    <w:semiHidden/>
    <w:rPr>
      <w:rFonts w:ascii="Tahoma" w:hAnsi="Tahoma"/>
      <w:sz w:val="16"/>
      <w:lang w:val="x-none" w:eastAsia="cs-CZ"/>
    </w:rPr>
  </w:style>
  <w:style w:type="character" w:customStyle="1" w:styleId="truktradokumentuChar1432">
    <w:name w:val="Štruktúra dokumentu Char1432"/>
    <w:aliases w:val="Char9 Char Char1433,Štruktúra dokumentu Char Char Char1433,Document Map Char Char Char1433"/>
    <w:uiPriority w:val="99"/>
    <w:semiHidden/>
    <w:rPr>
      <w:rFonts w:ascii="Tahoma" w:hAnsi="Tahoma"/>
      <w:sz w:val="16"/>
      <w:lang w:val="x-none" w:eastAsia="cs-CZ"/>
    </w:rPr>
  </w:style>
  <w:style w:type="character" w:customStyle="1" w:styleId="truktradokumentuChar1431">
    <w:name w:val="Štruktúra dokumentu Char1431"/>
    <w:aliases w:val="Char9 Char Char1432,Štruktúra dokumentu Char Char Char1432,Document Map Char Char Char1432"/>
    <w:uiPriority w:val="99"/>
    <w:semiHidden/>
    <w:rPr>
      <w:rFonts w:ascii="Tahoma" w:hAnsi="Tahoma"/>
      <w:sz w:val="16"/>
      <w:lang w:val="x-none" w:eastAsia="cs-CZ"/>
    </w:rPr>
  </w:style>
  <w:style w:type="character" w:customStyle="1" w:styleId="truktradokumentuChar1430">
    <w:name w:val="Štruktúra dokumentu Char1430"/>
    <w:aliases w:val="Char9 Char Char1431,Štruktúra dokumentu Char Char Char1431,Document Map Char Char Char1431"/>
    <w:uiPriority w:val="99"/>
    <w:semiHidden/>
    <w:rPr>
      <w:rFonts w:ascii="Tahoma" w:hAnsi="Tahoma"/>
      <w:sz w:val="16"/>
      <w:lang w:val="x-none" w:eastAsia="cs-CZ"/>
    </w:rPr>
  </w:style>
  <w:style w:type="character" w:customStyle="1" w:styleId="truktradokumentuChar1429">
    <w:name w:val="Štruktúra dokumentu Char1429"/>
    <w:aliases w:val="Char9 Char Char1430,Štruktúra dokumentu Char Char Char1430,Document Map Char Char Char1430"/>
    <w:uiPriority w:val="99"/>
    <w:semiHidden/>
    <w:rPr>
      <w:rFonts w:ascii="Tahoma" w:hAnsi="Tahoma"/>
      <w:sz w:val="16"/>
      <w:lang w:val="x-none" w:eastAsia="cs-CZ"/>
    </w:rPr>
  </w:style>
  <w:style w:type="character" w:customStyle="1" w:styleId="truktradokumentuChar1428">
    <w:name w:val="Štruktúra dokumentu Char1428"/>
    <w:aliases w:val="Char9 Char Char1429,Štruktúra dokumentu Char Char Char1429,Document Map Char Char Char1429"/>
    <w:uiPriority w:val="99"/>
    <w:semiHidden/>
    <w:rPr>
      <w:rFonts w:ascii="Tahoma" w:hAnsi="Tahoma"/>
      <w:sz w:val="16"/>
      <w:lang w:val="x-none" w:eastAsia="cs-CZ"/>
    </w:rPr>
  </w:style>
  <w:style w:type="character" w:customStyle="1" w:styleId="truktradokumentuChar1427">
    <w:name w:val="Štruktúra dokumentu Char1427"/>
    <w:aliases w:val="Char9 Char Char1428,Štruktúra dokumentu Char Char Char1428,Document Map Char Char Char1428"/>
    <w:uiPriority w:val="99"/>
    <w:semiHidden/>
    <w:rPr>
      <w:rFonts w:ascii="Tahoma" w:hAnsi="Tahoma"/>
      <w:sz w:val="16"/>
      <w:lang w:val="x-none" w:eastAsia="cs-CZ"/>
    </w:rPr>
  </w:style>
  <w:style w:type="character" w:customStyle="1" w:styleId="truktradokumentuChar1426">
    <w:name w:val="Štruktúra dokumentu Char1426"/>
    <w:aliases w:val="Char9 Char Char1427,Štruktúra dokumentu Char Char Char1427,Document Map Char Char Char1427"/>
    <w:uiPriority w:val="99"/>
    <w:semiHidden/>
    <w:rPr>
      <w:rFonts w:ascii="Tahoma" w:hAnsi="Tahoma"/>
      <w:sz w:val="16"/>
      <w:lang w:val="x-none" w:eastAsia="cs-CZ"/>
    </w:rPr>
  </w:style>
  <w:style w:type="character" w:customStyle="1" w:styleId="truktradokumentuChar1425">
    <w:name w:val="Štruktúra dokumentu Char1425"/>
    <w:aliases w:val="Char9 Char Char1426,Štruktúra dokumentu Char Char Char1426,Document Map Char Char Char1426"/>
    <w:uiPriority w:val="99"/>
    <w:semiHidden/>
    <w:rPr>
      <w:rFonts w:ascii="Tahoma" w:hAnsi="Tahoma"/>
      <w:sz w:val="16"/>
      <w:lang w:val="x-none" w:eastAsia="cs-CZ"/>
    </w:rPr>
  </w:style>
  <w:style w:type="character" w:customStyle="1" w:styleId="truktradokumentuChar1424">
    <w:name w:val="Štruktúra dokumentu Char1424"/>
    <w:aliases w:val="Char9 Char Char1425,Štruktúra dokumentu Char Char Char1425,Document Map Char Char Char1425"/>
    <w:uiPriority w:val="99"/>
    <w:semiHidden/>
    <w:rPr>
      <w:rFonts w:ascii="Tahoma" w:hAnsi="Tahoma"/>
      <w:sz w:val="16"/>
      <w:lang w:val="x-none" w:eastAsia="cs-CZ"/>
    </w:rPr>
  </w:style>
  <w:style w:type="character" w:customStyle="1" w:styleId="truktradokumentuChar1423">
    <w:name w:val="Štruktúra dokumentu Char1423"/>
    <w:aliases w:val="Char9 Char Char1424,Štruktúra dokumentu Char Char Char1424,Document Map Char Char Char1424"/>
    <w:uiPriority w:val="99"/>
    <w:semiHidden/>
    <w:rPr>
      <w:rFonts w:ascii="Tahoma" w:hAnsi="Tahoma"/>
      <w:sz w:val="16"/>
      <w:lang w:val="x-none" w:eastAsia="cs-CZ"/>
    </w:rPr>
  </w:style>
  <w:style w:type="character" w:customStyle="1" w:styleId="truktradokumentuChar1422">
    <w:name w:val="Štruktúra dokumentu Char1422"/>
    <w:aliases w:val="Char9 Char Char1423,Štruktúra dokumentu Char Char Char1423,Document Map Char Char Char1423"/>
    <w:uiPriority w:val="99"/>
    <w:semiHidden/>
    <w:rPr>
      <w:rFonts w:ascii="Tahoma" w:hAnsi="Tahoma"/>
      <w:sz w:val="16"/>
      <w:lang w:val="x-none" w:eastAsia="cs-CZ"/>
    </w:rPr>
  </w:style>
  <w:style w:type="character" w:customStyle="1" w:styleId="truktradokumentuChar1421">
    <w:name w:val="Štruktúra dokumentu Char1421"/>
    <w:aliases w:val="Char9 Char Char1422,Štruktúra dokumentu Char Char Char1422,Document Map Char Char Char1422"/>
    <w:uiPriority w:val="99"/>
    <w:semiHidden/>
    <w:rPr>
      <w:rFonts w:ascii="Tahoma" w:hAnsi="Tahoma"/>
      <w:sz w:val="16"/>
      <w:lang w:val="x-none" w:eastAsia="cs-CZ"/>
    </w:rPr>
  </w:style>
  <w:style w:type="character" w:customStyle="1" w:styleId="truktradokumentuChar1420">
    <w:name w:val="Štruktúra dokumentu Char1420"/>
    <w:aliases w:val="Char9 Char Char1421,Štruktúra dokumentu Char Char Char1421,Document Map Char Char Char1421"/>
    <w:uiPriority w:val="99"/>
    <w:semiHidden/>
    <w:rPr>
      <w:rFonts w:ascii="Tahoma" w:hAnsi="Tahoma"/>
      <w:sz w:val="16"/>
      <w:lang w:val="x-none" w:eastAsia="cs-CZ"/>
    </w:rPr>
  </w:style>
  <w:style w:type="character" w:customStyle="1" w:styleId="truktradokumentuChar1419">
    <w:name w:val="Štruktúra dokumentu Char1419"/>
    <w:aliases w:val="Char9 Char Char1420,Štruktúra dokumentu Char Char Char1420,Document Map Char Char Char1420"/>
    <w:uiPriority w:val="99"/>
    <w:semiHidden/>
    <w:rPr>
      <w:rFonts w:ascii="Tahoma" w:hAnsi="Tahoma"/>
      <w:sz w:val="16"/>
      <w:lang w:val="x-none" w:eastAsia="cs-CZ"/>
    </w:rPr>
  </w:style>
  <w:style w:type="character" w:customStyle="1" w:styleId="truktradokumentuChar1418">
    <w:name w:val="Štruktúra dokumentu Char1418"/>
    <w:aliases w:val="Char9 Char Char1419,Štruktúra dokumentu Char Char Char1419,Document Map Char Char Char1419"/>
    <w:uiPriority w:val="99"/>
    <w:semiHidden/>
    <w:rPr>
      <w:rFonts w:ascii="Tahoma" w:hAnsi="Tahoma"/>
      <w:sz w:val="16"/>
      <w:lang w:val="x-none" w:eastAsia="cs-CZ"/>
    </w:rPr>
  </w:style>
  <w:style w:type="character" w:customStyle="1" w:styleId="truktradokumentuChar1417">
    <w:name w:val="Štruktúra dokumentu Char1417"/>
    <w:aliases w:val="Char9 Char Char1418,Štruktúra dokumentu Char Char Char1418,Document Map Char Char Char1418"/>
    <w:uiPriority w:val="99"/>
    <w:semiHidden/>
    <w:rPr>
      <w:rFonts w:ascii="Tahoma" w:hAnsi="Tahoma"/>
      <w:sz w:val="16"/>
      <w:lang w:val="x-none" w:eastAsia="cs-CZ"/>
    </w:rPr>
  </w:style>
  <w:style w:type="character" w:customStyle="1" w:styleId="truktradokumentuChar1416">
    <w:name w:val="Štruktúra dokumentu Char1416"/>
    <w:aliases w:val="Char9 Char Char1417,Štruktúra dokumentu Char Char Char1417,Document Map Char Char Char1417"/>
    <w:uiPriority w:val="99"/>
    <w:semiHidden/>
    <w:rPr>
      <w:rFonts w:ascii="Tahoma" w:hAnsi="Tahoma"/>
      <w:sz w:val="16"/>
      <w:lang w:val="x-none" w:eastAsia="cs-CZ"/>
    </w:rPr>
  </w:style>
  <w:style w:type="character" w:customStyle="1" w:styleId="truktradokumentuChar1415">
    <w:name w:val="Štruktúra dokumentu Char1415"/>
    <w:aliases w:val="Char9 Char Char1416,Štruktúra dokumentu Char Char Char1416,Document Map Char Char Char1416"/>
    <w:uiPriority w:val="99"/>
    <w:semiHidden/>
    <w:rPr>
      <w:rFonts w:ascii="Tahoma" w:hAnsi="Tahoma"/>
      <w:sz w:val="16"/>
      <w:lang w:val="x-none" w:eastAsia="cs-CZ"/>
    </w:rPr>
  </w:style>
  <w:style w:type="character" w:customStyle="1" w:styleId="truktradokumentuChar1414">
    <w:name w:val="Štruktúra dokumentu Char1414"/>
    <w:aliases w:val="Char9 Char Char1415,Štruktúra dokumentu Char Char Char1415,Document Map Char Char Char1415"/>
    <w:uiPriority w:val="99"/>
    <w:semiHidden/>
    <w:rPr>
      <w:rFonts w:ascii="Tahoma" w:hAnsi="Tahoma"/>
      <w:sz w:val="16"/>
      <w:lang w:val="x-none" w:eastAsia="cs-CZ"/>
    </w:rPr>
  </w:style>
  <w:style w:type="character" w:customStyle="1" w:styleId="truktradokumentuChar1413">
    <w:name w:val="Štruktúra dokumentu Char1413"/>
    <w:aliases w:val="Char9 Char Char1414,Štruktúra dokumentu Char Char Char1414,Document Map Char Char Char1414"/>
    <w:uiPriority w:val="99"/>
    <w:semiHidden/>
    <w:rPr>
      <w:rFonts w:ascii="Tahoma" w:hAnsi="Tahoma"/>
      <w:sz w:val="16"/>
      <w:lang w:val="x-none" w:eastAsia="cs-CZ"/>
    </w:rPr>
  </w:style>
  <w:style w:type="character" w:customStyle="1" w:styleId="truktradokumentuChar1412">
    <w:name w:val="Štruktúra dokumentu Char1412"/>
    <w:aliases w:val="Char9 Char Char1413,Štruktúra dokumentu Char Char Char1413,Document Map Char Char Char1413"/>
    <w:uiPriority w:val="99"/>
    <w:semiHidden/>
    <w:rPr>
      <w:rFonts w:ascii="Tahoma" w:hAnsi="Tahoma"/>
      <w:sz w:val="16"/>
      <w:lang w:val="x-none" w:eastAsia="cs-CZ"/>
    </w:rPr>
  </w:style>
  <w:style w:type="character" w:customStyle="1" w:styleId="truktradokumentuChar1411">
    <w:name w:val="Štruktúra dokumentu Char1411"/>
    <w:aliases w:val="Char9 Char Char1412,Štruktúra dokumentu Char Char Char1412,Document Map Char Char Char1412"/>
    <w:uiPriority w:val="99"/>
    <w:semiHidden/>
    <w:rPr>
      <w:rFonts w:ascii="Tahoma" w:hAnsi="Tahoma"/>
      <w:sz w:val="16"/>
      <w:lang w:val="x-none" w:eastAsia="cs-CZ"/>
    </w:rPr>
  </w:style>
  <w:style w:type="character" w:customStyle="1" w:styleId="truktradokumentuChar1410">
    <w:name w:val="Štruktúra dokumentu Char1410"/>
    <w:aliases w:val="Char9 Char Char1411,Štruktúra dokumentu Char Char Char1411,Document Map Char Char Char1411"/>
    <w:uiPriority w:val="99"/>
    <w:semiHidden/>
    <w:rPr>
      <w:rFonts w:ascii="Tahoma" w:hAnsi="Tahoma"/>
      <w:sz w:val="16"/>
      <w:lang w:val="x-none" w:eastAsia="cs-CZ"/>
    </w:rPr>
  </w:style>
  <w:style w:type="character" w:customStyle="1" w:styleId="truktradokumentuChar1409">
    <w:name w:val="Štruktúra dokumentu Char1409"/>
    <w:aliases w:val="Char9 Char Char1410,Štruktúra dokumentu Char Char Char1410,Document Map Char Char Char1410"/>
    <w:uiPriority w:val="99"/>
    <w:semiHidden/>
    <w:rPr>
      <w:rFonts w:ascii="Tahoma" w:hAnsi="Tahoma"/>
      <w:sz w:val="16"/>
      <w:lang w:val="x-none" w:eastAsia="cs-CZ"/>
    </w:rPr>
  </w:style>
  <w:style w:type="character" w:customStyle="1" w:styleId="truktradokumentuChar1408">
    <w:name w:val="Štruktúra dokumentu Char1408"/>
    <w:aliases w:val="Char9 Char Char1409,Štruktúra dokumentu Char Char Char1409,Document Map Char Char Char1409"/>
    <w:uiPriority w:val="99"/>
    <w:semiHidden/>
    <w:rPr>
      <w:rFonts w:ascii="Tahoma" w:hAnsi="Tahoma"/>
      <w:sz w:val="16"/>
      <w:lang w:val="x-none" w:eastAsia="cs-CZ"/>
    </w:rPr>
  </w:style>
  <w:style w:type="character" w:customStyle="1" w:styleId="truktradokumentuChar1407">
    <w:name w:val="Štruktúra dokumentu Char1407"/>
    <w:aliases w:val="Char9 Char Char1408,Štruktúra dokumentu Char Char Char1408,Document Map Char Char Char1408"/>
    <w:uiPriority w:val="99"/>
    <w:semiHidden/>
    <w:rPr>
      <w:rFonts w:ascii="Tahoma" w:hAnsi="Tahoma"/>
      <w:sz w:val="16"/>
      <w:lang w:val="x-none" w:eastAsia="cs-CZ"/>
    </w:rPr>
  </w:style>
  <w:style w:type="character" w:customStyle="1" w:styleId="truktradokumentuChar1406">
    <w:name w:val="Štruktúra dokumentu Char1406"/>
    <w:aliases w:val="Char9 Char Char1407,Štruktúra dokumentu Char Char Char1407,Document Map Char Char Char1407"/>
    <w:uiPriority w:val="99"/>
    <w:semiHidden/>
    <w:rPr>
      <w:rFonts w:ascii="Tahoma" w:hAnsi="Tahoma"/>
      <w:sz w:val="16"/>
      <w:lang w:val="x-none" w:eastAsia="cs-CZ"/>
    </w:rPr>
  </w:style>
  <w:style w:type="character" w:customStyle="1" w:styleId="truktradokumentuChar1405">
    <w:name w:val="Štruktúra dokumentu Char1405"/>
    <w:aliases w:val="Char9 Char Char1406,Štruktúra dokumentu Char Char Char1406,Document Map Char Char Char1406"/>
    <w:uiPriority w:val="99"/>
    <w:semiHidden/>
    <w:rPr>
      <w:rFonts w:ascii="Tahoma" w:hAnsi="Tahoma"/>
      <w:sz w:val="16"/>
      <w:lang w:val="x-none" w:eastAsia="cs-CZ"/>
    </w:rPr>
  </w:style>
  <w:style w:type="character" w:customStyle="1" w:styleId="truktradokumentuChar1404">
    <w:name w:val="Štruktúra dokumentu Char1404"/>
    <w:aliases w:val="Char9 Char Char1405,Štruktúra dokumentu Char Char Char1405,Document Map Char Char Char1405"/>
    <w:uiPriority w:val="99"/>
    <w:semiHidden/>
    <w:rPr>
      <w:rFonts w:ascii="Tahoma" w:hAnsi="Tahoma"/>
      <w:sz w:val="16"/>
      <w:lang w:val="x-none" w:eastAsia="cs-CZ"/>
    </w:rPr>
  </w:style>
  <w:style w:type="character" w:customStyle="1" w:styleId="truktradokumentuChar1403">
    <w:name w:val="Štruktúra dokumentu Char1403"/>
    <w:aliases w:val="Char9 Char Char1404,Štruktúra dokumentu Char Char Char1404,Document Map Char Char Char1404"/>
    <w:uiPriority w:val="99"/>
    <w:semiHidden/>
    <w:rPr>
      <w:rFonts w:ascii="Tahoma" w:hAnsi="Tahoma"/>
      <w:sz w:val="16"/>
      <w:lang w:val="x-none" w:eastAsia="cs-CZ"/>
    </w:rPr>
  </w:style>
  <w:style w:type="character" w:customStyle="1" w:styleId="truktradokumentuChar1402">
    <w:name w:val="Štruktúra dokumentu Char1402"/>
    <w:aliases w:val="Char9 Char Char1403,Štruktúra dokumentu Char Char Char1403,Document Map Char Char Char1403"/>
    <w:uiPriority w:val="99"/>
    <w:semiHidden/>
    <w:rPr>
      <w:rFonts w:ascii="Tahoma" w:hAnsi="Tahoma"/>
      <w:sz w:val="16"/>
      <w:lang w:val="x-none" w:eastAsia="cs-CZ"/>
    </w:rPr>
  </w:style>
  <w:style w:type="character" w:customStyle="1" w:styleId="truktradokumentuChar1401">
    <w:name w:val="Štruktúra dokumentu Char1401"/>
    <w:aliases w:val="Char9 Char Char1402,Štruktúra dokumentu Char Char Char1402,Document Map Char Char Char1402"/>
    <w:uiPriority w:val="99"/>
    <w:semiHidden/>
    <w:rPr>
      <w:rFonts w:ascii="Tahoma" w:hAnsi="Tahoma"/>
      <w:sz w:val="16"/>
      <w:lang w:val="x-none" w:eastAsia="cs-CZ"/>
    </w:rPr>
  </w:style>
  <w:style w:type="character" w:customStyle="1" w:styleId="truktradokumentuChar1400">
    <w:name w:val="Štruktúra dokumentu Char1400"/>
    <w:aliases w:val="Char9 Char Char1401,Štruktúra dokumentu Char Char Char1401,Document Map Char Char Char1401"/>
    <w:uiPriority w:val="99"/>
    <w:semiHidden/>
    <w:rPr>
      <w:rFonts w:ascii="Tahoma" w:hAnsi="Tahoma"/>
      <w:sz w:val="16"/>
      <w:lang w:val="x-none" w:eastAsia="cs-CZ"/>
    </w:rPr>
  </w:style>
  <w:style w:type="character" w:customStyle="1" w:styleId="truktradokumentuChar1399">
    <w:name w:val="Štruktúra dokumentu Char1399"/>
    <w:aliases w:val="Char9 Char Char1400,Štruktúra dokumentu Char Char Char1400,Document Map Char Char Char1400"/>
    <w:uiPriority w:val="99"/>
    <w:semiHidden/>
    <w:rPr>
      <w:rFonts w:ascii="Tahoma" w:hAnsi="Tahoma"/>
      <w:sz w:val="16"/>
      <w:lang w:val="x-none" w:eastAsia="cs-CZ"/>
    </w:rPr>
  </w:style>
  <w:style w:type="character" w:customStyle="1" w:styleId="truktradokumentuChar1398">
    <w:name w:val="Štruktúra dokumentu Char1398"/>
    <w:aliases w:val="Char9 Char Char1399,Štruktúra dokumentu Char Char Char1399,Document Map Char Char Char1399"/>
    <w:uiPriority w:val="99"/>
    <w:semiHidden/>
    <w:rPr>
      <w:rFonts w:ascii="Tahoma" w:hAnsi="Tahoma"/>
      <w:sz w:val="16"/>
      <w:lang w:val="x-none" w:eastAsia="cs-CZ"/>
    </w:rPr>
  </w:style>
  <w:style w:type="character" w:customStyle="1" w:styleId="truktradokumentuChar1397">
    <w:name w:val="Štruktúra dokumentu Char1397"/>
    <w:aliases w:val="Char9 Char Char1398,Štruktúra dokumentu Char Char Char1398,Document Map Char Char Char1398"/>
    <w:uiPriority w:val="99"/>
    <w:semiHidden/>
    <w:rPr>
      <w:rFonts w:ascii="Tahoma" w:hAnsi="Tahoma"/>
      <w:sz w:val="16"/>
      <w:lang w:val="x-none" w:eastAsia="cs-CZ"/>
    </w:rPr>
  </w:style>
  <w:style w:type="character" w:customStyle="1" w:styleId="truktradokumentuChar1396">
    <w:name w:val="Štruktúra dokumentu Char1396"/>
    <w:aliases w:val="Char9 Char Char1397,Štruktúra dokumentu Char Char Char1397,Document Map Char Char Char1397"/>
    <w:uiPriority w:val="99"/>
    <w:semiHidden/>
    <w:rPr>
      <w:rFonts w:ascii="Tahoma" w:hAnsi="Tahoma"/>
      <w:sz w:val="16"/>
      <w:lang w:val="x-none" w:eastAsia="cs-CZ"/>
    </w:rPr>
  </w:style>
  <w:style w:type="character" w:customStyle="1" w:styleId="truktradokumentuChar1395">
    <w:name w:val="Štruktúra dokumentu Char1395"/>
    <w:aliases w:val="Char9 Char Char1396,Štruktúra dokumentu Char Char Char1396,Document Map Char Char Char1396"/>
    <w:uiPriority w:val="99"/>
    <w:semiHidden/>
    <w:rPr>
      <w:rFonts w:ascii="Tahoma" w:hAnsi="Tahoma"/>
      <w:sz w:val="16"/>
      <w:lang w:val="x-none" w:eastAsia="cs-CZ"/>
    </w:rPr>
  </w:style>
  <w:style w:type="character" w:customStyle="1" w:styleId="truktradokumentuChar1394">
    <w:name w:val="Štruktúra dokumentu Char1394"/>
    <w:aliases w:val="Char9 Char Char1395,Štruktúra dokumentu Char Char Char1395,Document Map Char Char Char1395"/>
    <w:uiPriority w:val="99"/>
    <w:semiHidden/>
    <w:rPr>
      <w:rFonts w:ascii="Tahoma" w:hAnsi="Tahoma"/>
      <w:sz w:val="16"/>
      <w:lang w:val="x-none" w:eastAsia="cs-CZ"/>
    </w:rPr>
  </w:style>
  <w:style w:type="character" w:customStyle="1" w:styleId="truktradokumentuChar1393">
    <w:name w:val="Štruktúra dokumentu Char1393"/>
    <w:aliases w:val="Char9 Char Char1394,Štruktúra dokumentu Char Char Char1394,Document Map Char Char Char1394"/>
    <w:uiPriority w:val="99"/>
    <w:semiHidden/>
    <w:rPr>
      <w:rFonts w:ascii="Tahoma" w:hAnsi="Tahoma"/>
      <w:sz w:val="16"/>
      <w:lang w:val="x-none" w:eastAsia="cs-CZ"/>
    </w:rPr>
  </w:style>
  <w:style w:type="character" w:customStyle="1" w:styleId="truktradokumentuChar1392">
    <w:name w:val="Štruktúra dokumentu Char1392"/>
    <w:aliases w:val="Char9 Char Char1393,Štruktúra dokumentu Char Char Char1393,Document Map Char Char Char1393"/>
    <w:uiPriority w:val="99"/>
    <w:semiHidden/>
    <w:rPr>
      <w:rFonts w:ascii="Tahoma" w:hAnsi="Tahoma"/>
      <w:sz w:val="16"/>
      <w:lang w:val="x-none" w:eastAsia="cs-CZ"/>
    </w:rPr>
  </w:style>
  <w:style w:type="character" w:customStyle="1" w:styleId="truktradokumentuChar1391">
    <w:name w:val="Štruktúra dokumentu Char1391"/>
    <w:aliases w:val="Char9 Char Char1392,Štruktúra dokumentu Char Char Char1392,Document Map Char Char Char1392"/>
    <w:uiPriority w:val="99"/>
    <w:semiHidden/>
    <w:rPr>
      <w:rFonts w:ascii="Tahoma" w:hAnsi="Tahoma"/>
      <w:sz w:val="16"/>
      <w:lang w:val="x-none" w:eastAsia="cs-CZ"/>
    </w:rPr>
  </w:style>
  <w:style w:type="character" w:customStyle="1" w:styleId="truktradokumentuChar1390">
    <w:name w:val="Štruktúra dokumentu Char1390"/>
    <w:aliases w:val="Char9 Char Char1391,Štruktúra dokumentu Char Char Char1391,Document Map Char Char Char1391"/>
    <w:uiPriority w:val="99"/>
    <w:semiHidden/>
    <w:rPr>
      <w:rFonts w:ascii="Tahoma" w:hAnsi="Tahoma"/>
      <w:sz w:val="16"/>
      <w:lang w:val="x-none" w:eastAsia="cs-CZ"/>
    </w:rPr>
  </w:style>
  <w:style w:type="character" w:customStyle="1" w:styleId="truktradokumentuChar1389">
    <w:name w:val="Štruktúra dokumentu Char1389"/>
    <w:aliases w:val="Char9 Char Char1390,Štruktúra dokumentu Char Char Char1390,Document Map Char Char Char1390"/>
    <w:uiPriority w:val="99"/>
    <w:semiHidden/>
    <w:rPr>
      <w:rFonts w:ascii="Tahoma" w:hAnsi="Tahoma"/>
      <w:sz w:val="16"/>
      <w:lang w:val="x-none" w:eastAsia="cs-CZ"/>
    </w:rPr>
  </w:style>
  <w:style w:type="character" w:customStyle="1" w:styleId="truktradokumentuChar1388">
    <w:name w:val="Štruktúra dokumentu Char1388"/>
    <w:aliases w:val="Char9 Char Char1389,Štruktúra dokumentu Char Char Char1389,Document Map Char Char Char1389"/>
    <w:uiPriority w:val="99"/>
    <w:semiHidden/>
    <w:rPr>
      <w:rFonts w:ascii="Tahoma" w:hAnsi="Tahoma"/>
      <w:sz w:val="16"/>
      <w:lang w:val="x-none" w:eastAsia="cs-CZ"/>
    </w:rPr>
  </w:style>
  <w:style w:type="character" w:customStyle="1" w:styleId="truktradokumentuChar1387">
    <w:name w:val="Štruktúra dokumentu Char1387"/>
    <w:aliases w:val="Char9 Char Char1388,Štruktúra dokumentu Char Char Char1388,Document Map Char Char Char1388"/>
    <w:uiPriority w:val="99"/>
    <w:semiHidden/>
    <w:rPr>
      <w:rFonts w:ascii="Tahoma" w:hAnsi="Tahoma"/>
      <w:sz w:val="16"/>
      <w:lang w:val="x-none" w:eastAsia="cs-CZ"/>
    </w:rPr>
  </w:style>
  <w:style w:type="character" w:customStyle="1" w:styleId="truktradokumentuChar1386">
    <w:name w:val="Štruktúra dokumentu Char1386"/>
    <w:aliases w:val="Char9 Char Char1387,Štruktúra dokumentu Char Char Char1387,Document Map Char Char Char1387"/>
    <w:uiPriority w:val="99"/>
    <w:semiHidden/>
    <w:rPr>
      <w:rFonts w:ascii="Tahoma" w:hAnsi="Tahoma"/>
      <w:sz w:val="16"/>
      <w:lang w:val="x-none" w:eastAsia="cs-CZ"/>
    </w:rPr>
  </w:style>
  <w:style w:type="character" w:customStyle="1" w:styleId="truktradokumentuChar1385">
    <w:name w:val="Štruktúra dokumentu Char1385"/>
    <w:aliases w:val="Char9 Char Char1386,Štruktúra dokumentu Char Char Char1386,Document Map Char Char Char1386"/>
    <w:uiPriority w:val="99"/>
    <w:semiHidden/>
    <w:rPr>
      <w:rFonts w:ascii="Tahoma" w:hAnsi="Tahoma"/>
      <w:sz w:val="16"/>
      <w:lang w:val="x-none" w:eastAsia="cs-CZ"/>
    </w:rPr>
  </w:style>
  <w:style w:type="character" w:customStyle="1" w:styleId="truktradokumentuChar1384">
    <w:name w:val="Štruktúra dokumentu Char1384"/>
    <w:aliases w:val="Char9 Char Char1385,Štruktúra dokumentu Char Char Char1385,Document Map Char Char Char1385"/>
    <w:uiPriority w:val="99"/>
    <w:semiHidden/>
    <w:rPr>
      <w:rFonts w:ascii="Tahoma" w:hAnsi="Tahoma"/>
      <w:sz w:val="16"/>
      <w:lang w:val="x-none" w:eastAsia="cs-CZ"/>
    </w:rPr>
  </w:style>
  <w:style w:type="character" w:customStyle="1" w:styleId="truktradokumentuChar1383">
    <w:name w:val="Štruktúra dokumentu Char1383"/>
    <w:aliases w:val="Char9 Char Char1384,Štruktúra dokumentu Char Char Char1384,Document Map Char Char Char1384"/>
    <w:uiPriority w:val="99"/>
    <w:semiHidden/>
    <w:rPr>
      <w:rFonts w:ascii="Tahoma" w:hAnsi="Tahoma"/>
      <w:sz w:val="16"/>
      <w:lang w:val="x-none" w:eastAsia="cs-CZ"/>
    </w:rPr>
  </w:style>
  <w:style w:type="character" w:customStyle="1" w:styleId="truktradokumentuChar1382">
    <w:name w:val="Štruktúra dokumentu Char1382"/>
    <w:aliases w:val="Char9 Char Char1383,Štruktúra dokumentu Char Char Char1383,Document Map Char Char Char1383"/>
    <w:uiPriority w:val="99"/>
    <w:semiHidden/>
    <w:rPr>
      <w:rFonts w:ascii="Tahoma" w:hAnsi="Tahoma"/>
      <w:sz w:val="16"/>
      <w:lang w:val="x-none" w:eastAsia="cs-CZ"/>
    </w:rPr>
  </w:style>
  <w:style w:type="character" w:customStyle="1" w:styleId="truktradokumentuChar1381">
    <w:name w:val="Štruktúra dokumentu Char1381"/>
    <w:aliases w:val="Char9 Char Char1382,Štruktúra dokumentu Char Char Char1382,Document Map Char Char Char1382"/>
    <w:uiPriority w:val="99"/>
    <w:semiHidden/>
    <w:rPr>
      <w:rFonts w:ascii="Tahoma" w:hAnsi="Tahoma"/>
      <w:sz w:val="16"/>
      <w:lang w:val="x-none" w:eastAsia="cs-CZ"/>
    </w:rPr>
  </w:style>
  <w:style w:type="character" w:customStyle="1" w:styleId="truktradokumentuChar1380">
    <w:name w:val="Štruktúra dokumentu Char1380"/>
    <w:aliases w:val="Char9 Char Char1381,Štruktúra dokumentu Char Char Char1381,Document Map Char Char Char1381"/>
    <w:uiPriority w:val="99"/>
    <w:semiHidden/>
    <w:rPr>
      <w:rFonts w:ascii="Tahoma" w:hAnsi="Tahoma"/>
      <w:sz w:val="16"/>
      <w:lang w:val="x-none" w:eastAsia="cs-CZ"/>
    </w:rPr>
  </w:style>
  <w:style w:type="character" w:customStyle="1" w:styleId="truktradokumentuChar1379">
    <w:name w:val="Štruktúra dokumentu Char1379"/>
    <w:aliases w:val="Char9 Char Char1380,Štruktúra dokumentu Char Char Char1380,Document Map Char Char Char1380"/>
    <w:uiPriority w:val="99"/>
    <w:semiHidden/>
    <w:rPr>
      <w:rFonts w:ascii="Tahoma" w:hAnsi="Tahoma"/>
      <w:sz w:val="16"/>
      <w:lang w:val="x-none" w:eastAsia="cs-CZ"/>
    </w:rPr>
  </w:style>
  <w:style w:type="character" w:customStyle="1" w:styleId="truktradokumentuChar1378">
    <w:name w:val="Štruktúra dokumentu Char1378"/>
    <w:aliases w:val="Char9 Char Char1379,Štruktúra dokumentu Char Char Char1379,Document Map Char Char Char1379"/>
    <w:uiPriority w:val="99"/>
    <w:semiHidden/>
    <w:rPr>
      <w:rFonts w:ascii="Tahoma" w:hAnsi="Tahoma"/>
      <w:sz w:val="16"/>
      <w:lang w:val="x-none" w:eastAsia="cs-CZ"/>
    </w:rPr>
  </w:style>
  <w:style w:type="character" w:customStyle="1" w:styleId="truktradokumentuChar1377">
    <w:name w:val="Štruktúra dokumentu Char1377"/>
    <w:aliases w:val="Char9 Char Char1378,Štruktúra dokumentu Char Char Char1378,Document Map Char Char Char1378"/>
    <w:uiPriority w:val="99"/>
    <w:semiHidden/>
    <w:rPr>
      <w:rFonts w:ascii="Tahoma" w:hAnsi="Tahoma"/>
      <w:sz w:val="16"/>
      <w:lang w:val="x-none" w:eastAsia="cs-CZ"/>
    </w:rPr>
  </w:style>
  <w:style w:type="character" w:customStyle="1" w:styleId="truktradokumentuChar1376">
    <w:name w:val="Štruktúra dokumentu Char1376"/>
    <w:aliases w:val="Char9 Char Char1377,Štruktúra dokumentu Char Char Char1377,Document Map Char Char Char1377"/>
    <w:uiPriority w:val="99"/>
    <w:semiHidden/>
    <w:rPr>
      <w:rFonts w:ascii="Tahoma" w:hAnsi="Tahoma"/>
      <w:sz w:val="16"/>
      <w:lang w:val="x-none" w:eastAsia="cs-CZ"/>
    </w:rPr>
  </w:style>
  <w:style w:type="character" w:customStyle="1" w:styleId="truktradokumentuChar1375">
    <w:name w:val="Štruktúra dokumentu Char1375"/>
    <w:aliases w:val="Char9 Char Char1376,Štruktúra dokumentu Char Char Char1376,Document Map Char Char Char1376"/>
    <w:uiPriority w:val="99"/>
    <w:semiHidden/>
    <w:rPr>
      <w:rFonts w:ascii="Tahoma" w:hAnsi="Tahoma"/>
      <w:sz w:val="16"/>
      <w:lang w:val="x-none" w:eastAsia="cs-CZ"/>
    </w:rPr>
  </w:style>
  <w:style w:type="character" w:customStyle="1" w:styleId="truktradokumentuChar1374">
    <w:name w:val="Štruktúra dokumentu Char1374"/>
    <w:aliases w:val="Char9 Char Char1375,Štruktúra dokumentu Char Char Char1375,Document Map Char Char Char1375"/>
    <w:uiPriority w:val="99"/>
    <w:semiHidden/>
    <w:rPr>
      <w:rFonts w:ascii="Tahoma" w:hAnsi="Tahoma"/>
      <w:sz w:val="16"/>
      <w:lang w:val="x-none" w:eastAsia="cs-CZ"/>
    </w:rPr>
  </w:style>
  <w:style w:type="character" w:customStyle="1" w:styleId="truktradokumentuChar1373">
    <w:name w:val="Štruktúra dokumentu Char1373"/>
    <w:aliases w:val="Char9 Char Char1374,Štruktúra dokumentu Char Char Char1374,Document Map Char Char Char1374"/>
    <w:uiPriority w:val="99"/>
    <w:semiHidden/>
    <w:rPr>
      <w:rFonts w:ascii="Tahoma" w:hAnsi="Tahoma"/>
      <w:sz w:val="16"/>
      <w:lang w:val="x-none" w:eastAsia="cs-CZ"/>
    </w:rPr>
  </w:style>
  <w:style w:type="character" w:customStyle="1" w:styleId="truktradokumentuChar1372">
    <w:name w:val="Štruktúra dokumentu Char1372"/>
    <w:aliases w:val="Char9 Char Char1373,Štruktúra dokumentu Char Char Char1373,Document Map Char Char Char1373"/>
    <w:uiPriority w:val="99"/>
    <w:semiHidden/>
    <w:rPr>
      <w:rFonts w:ascii="Tahoma" w:hAnsi="Tahoma"/>
      <w:sz w:val="16"/>
      <w:lang w:val="x-none" w:eastAsia="cs-CZ"/>
    </w:rPr>
  </w:style>
  <w:style w:type="character" w:customStyle="1" w:styleId="truktradokumentuChar1371">
    <w:name w:val="Štruktúra dokumentu Char1371"/>
    <w:aliases w:val="Char9 Char Char1372,Štruktúra dokumentu Char Char Char1372,Document Map Char Char Char1372"/>
    <w:uiPriority w:val="99"/>
    <w:semiHidden/>
    <w:rPr>
      <w:rFonts w:ascii="Tahoma" w:hAnsi="Tahoma"/>
      <w:sz w:val="16"/>
      <w:lang w:val="x-none" w:eastAsia="cs-CZ"/>
    </w:rPr>
  </w:style>
  <w:style w:type="character" w:customStyle="1" w:styleId="truktradokumentuChar1370">
    <w:name w:val="Štruktúra dokumentu Char1370"/>
    <w:aliases w:val="Char9 Char Char1371,Štruktúra dokumentu Char Char Char1371,Document Map Char Char Char1371"/>
    <w:uiPriority w:val="99"/>
    <w:semiHidden/>
    <w:rPr>
      <w:rFonts w:ascii="Tahoma" w:hAnsi="Tahoma"/>
      <w:sz w:val="16"/>
      <w:lang w:val="x-none" w:eastAsia="cs-CZ"/>
    </w:rPr>
  </w:style>
  <w:style w:type="character" w:customStyle="1" w:styleId="truktradokumentuChar1369">
    <w:name w:val="Štruktúra dokumentu Char1369"/>
    <w:aliases w:val="Char9 Char Char1370,Štruktúra dokumentu Char Char Char1370,Document Map Char Char Char1370"/>
    <w:uiPriority w:val="99"/>
    <w:semiHidden/>
    <w:rPr>
      <w:rFonts w:ascii="Tahoma" w:hAnsi="Tahoma"/>
      <w:sz w:val="16"/>
      <w:lang w:val="x-none" w:eastAsia="cs-CZ"/>
    </w:rPr>
  </w:style>
  <w:style w:type="character" w:customStyle="1" w:styleId="truktradokumentuChar1368">
    <w:name w:val="Štruktúra dokumentu Char1368"/>
    <w:aliases w:val="Char9 Char Char1369,Štruktúra dokumentu Char Char Char1369,Document Map Char Char Char1369"/>
    <w:uiPriority w:val="99"/>
    <w:semiHidden/>
    <w:rPr>
      <w:rFonts w:ascii="Tahoma" w:hAnsi="Tahoma"/>
      <w:sz w:val="16"/>
      <w:lang w:val="x-none" w:eastAsia="cs-CZ"/>
    </w:rPr>
  </w:style>
  <w:style w:type="character" w:customStyle="1" w:styleId="truktradokumentuChar1367">
    <w:name w:val="Štruktúra dokumentu Char1367"/>
    <w:aliases w:val="Char9 Char Char1368,Štruktúra dokumentu Char Char Char1368,Document Map Char Char Char1368"/>
    <w:uiPriority w:val="99"/>
    <w:semiHidden/>
    <w:rPr>
      <w:rFonts w:ascii="Tahoma" w:hAnsi="Tahoma"/>
      <w:sz w:val="16"/>
      <w:lang w:val="x-none" w:eastAsia="cs-CZ"/>
    </w:rPr>
  </w:style>
  <w:style w:type="character" w:customStyle="1" w:styleId="truktradokumentuChar1366">
    <w:name w:val="Štruktúra dokumentu Char1366"/>
    <w:aliases w:val="Char9 Char Char1367,Štruktúra dokumentu Char Char Char1367,Document Map Char Char Char1367"/>
    <w:uiPriority w:val="99"/>
    <w:semiHidden/>
    <w:rPr>
      <w:rFonts w:ascii="Tahoma" w:hAnsi="Tahoma"/>
      <w:sz w:val="16"/>
      <w:lang w:val="x-none" w:eastAsia="cs-CZ"/>
    </w:rPr>
  </w:style>
  <w:style w:type="character" w:customStyle="1" w:styleId="truktradokumentuChar1365">
    <w:name w:val="Štruktúra dokumentu Char1365"/>
    <w:aliases w:val="Char9 Char Char1366,Štruktúra dokumentu Char Char Char1366,Document Map Char Char Char1366"/>
    <w:uiPriority w:val="99"/>
    <w:semiHidden/>
    <w:rPr>
      <w:rFonts w:ascii="Tahoma" w:hAnsi="Tahoma"/>
      <w:sz w:val="16"/>
      <w:lang w:val="x-none" w:eastAsia="cs-CZ"/>
    </w:rPr>
  </w:style>
  <w:style w:type="character" w:customStyle="1" w:styleId="truktradokumentuChar1364">
    <w:name w:val="Štruktúra dokumentu Char1364"/>
    <w:aliases w:val="Char9 Char Char1365,Štruktúra dokumentu Char Char Char1365,Document Map Char Char Char1365"/>
    <w:uiPriority w:val="99"/>
    <w:semiHidden/>
    <w:rPr>
      <w:rFonts w:ascii="Tahoma" w:hAnsi="Tahoma"/>
      <w:sz w:val="16"/>
      <w:lang w:val="x-none" w:eastAsia="cs-CZ"/>
    </w:rPr>
  </w:style>
  <w:style w:type="character" w:customStyle="1" w:styleId="truktradokumentuChar1363">
    <w:name w:val="Štruktúra dokumentu Char1363"/>
    <w:aliases w:val="Char9 Char Char1364,Štruktúra dokumentu Char Char Char1364,Document Map Char Char Char1364"/>
    <w:uiPriority w:val="99"/>
    <w:semiHidden/>
    <w:rPr>
      <w:rFonts w:ascii="Tahoma" w:hAnsi="Tahoma"/>
      <w:sz w:val="16"/>
      <w:lang w:val="x-none" w:eastAsia="cs-CZ"/>
    </w:rPr>
  </w:style>
  <w:style w:type="character" w:customStyle="1" w:styleId="truktradokumentuChar1362">
    <w:name w:val="Štruktúra dokumentu Char1362"/>
    <w:aliases w:val="Char9 Char Char1363,Štruktúra dokumentu Char Char Char1363,Document Map Char Char Char1363"/>
    <w:uiPriority w:val="99"/>
    <w:semiHidden/>
    <w:rPr>
      <w:rFonts w:ascii="Tahoma" w:hAnsi="Tahoma"/>
      <w:sz w:val="16"/>
      <w:lang w:val="x-none" w:eastAsia="cs-CZ"/>
    </w:rPr>
  </w:style>
  <w:style w:type="character" w:customStyle="1" w:styleId="truktradokumentuChar1361">
    <w:name w:val="Štruktúra dokumentu Char1361"/>
    <w:aliases w:val="Char9 Char Char1362,Štruktúra dokumentu Char Char Char1362,Document Map Char Char Char1362"/>
    <w:uiPriority w:val="99"/>
    <w:semiHidden/>
    <w:rPr>
      <w:rFonts w:ascii="Tahoma" w:hAnsi="Tahoma"/>
      <w:sz w:val="16"/>
      <w:lang w:val="x-none" w:eastAsia="cs-CZ"/>
    </w:rPr>
  </w:style>
  <w:style w:type="character" w:customStyle="1" w:styleId="truktradokumentuChar1360">
    <w:name w:val="Štruktúra dokumentu Char1360"/>
    <w:aliases w:val="Char9 Char Char1361,Štruktúra dokumentu Char Char Char1361,Document Map Char Char Char1361"/>
    <w:uiPriority w:val="99"/>
    <w:semiHidden/>
    <w:rPr>
      <w:rFonts w:ascii="Tahoma" w:hAnsi="Tahoma"/>
      <w:sz w:val="16"/>
      <w:lang w:val="x-none" w:eastAsia="cs-CZ"/>
    </w:rPr>
  </w:style>
  <w:style w:type="character" w:customStyle="1" w:styleId="truktradokumentuChar1359">
    <w:name w:val="Štruktúra dokumentu Char1359"/>
    <w:aliases w:val="Char9 Char Char1360,Štruktúra dokumentu Char Char Char1360,Document Map Char Char Char1360"/>
    <w:uiPriority w:val="99"/>
    <w:semiHidden/>
    <w:rPr>
      <w:rFonts w:ascii="Tahoma" w:hAnsi="Tahoma"/>
      <w:sz w:val="16"/>
      <w:lang w:val="x-none" w:eastAsia="cs-CZ"/>
    </w:rPr>
  </w:style>
  <w:style w:type="character" w:customStyle="1" w:styleId="truktradokumentuChar1358">
    <w:name w:val="Štruktúra dokumentu Char1358"/>
    <w:aliases w:val="Char9 Char Char1359,Štruktúra dokumentu Char Char Char1359,Document Map Char Char Char1359"/>
    <w:uiPriority w:val="99"/>
    <w:semiHidden/>
    <w:rPr>
      <w:rFonts w:ascii="Tahoma" w:hAnsi="Tahoma"/>
      <w:sz w:val="16"/>
      <w:lang w:val="x-none" w:eastAsia="cs-CZ"/>
    </w:rPr>
  </w:style>
  <w:style w:type="character" w:customStyle="1" w:styleId="truktradokumentuChar1357">
    <w:name w:val="Štruktúra dokumentu Char1357"/>
    <w:aliases w:val="Char9 Char Char1358,Štruktúra dokumentu Char Char Char1358,Document Map Char Char Char1358"/>
    <w:uiPriority w:val="99"/>
    <w:semiHidden/>
    <w:rPr>
      <w:rFonts w:ascii="Tahoma" w:hAnsi="Tahoma"/>
      <w:sz w:val="16"/>
      <w:lang w:val="x-none" w:eastAsia="cs-CZ"/>
    </w:rPr>
  </w:style>
  <w:style w:type="character" w:customStyle="1" w:styleId="truktradokumentuChar1356">
    <w:name w:val="Štruktúra dokumentu Char1356"/>
    <w:aliases w:val="Char9 Char Char1357,Štruktúra dokumentu Char Char Char1357,Document Map Char Char Char1357"/>
    <w:uiPriority w:val="99"/>
    <w:semiHidden/>
    <w:rPr>
      <w:rFonts w:ascii="Tahoma" w:hAnsi="Tahoma"/>
      <w:sz w:val="16"/>
      <w:lang w:val="x-none" w:eastAsia="cs-CZ"/>
    </w:rPr>
  </w:style>
  <w:style w:type="character" w:customStyle="1" w:styleId="truktradokumentuChar1355">
    <w:name w:val="Štruktúra dokumentu Char1355"/>
    <w:aliases w:val="Char9 Char Char1356,Štruktúra dokumentu Char Char Char1356,Document Map Char Char Char1356"/>
    <w:uiPriority w:val="99"/>
    <w:semiHidden/>
    <w:rPr>
      <w:rFonts w:ascii="Tahoma" w:hAnsi="Tahoma"/>
      <w:sz w:val="16"/>
      <w:lang w:val="x-none" w:eastAsia="cs-CZ"/>
    </w:rPr>
  </w:style>
  <w:style w:type="character" w:customStyle="1" w:styleId="truktradokumentuChar1354">
    <w:name w:val="Štruktúra dokumentu Char1354"/>
    <w:aliases w:val="Char9 Char Char1355,Štruktúra dokumentu Char Char Char1355,Document Map Char Char Char1355"/>
    <w:uiPriority w:val="99"/>
    <w:semiHidden/>
    <w:rPr>
      <w:rFonts w:ascii="Tahoma" w:hAnsi="Tahoma"/>
      <w:sz w:val="16"/>
      <w:lang w:val="x-none" w:eastAsia="cs-CZ"/>
    </w:rPr>
  </w:style>
  <w:style w:type="character" w:customStyle="1" w:styleId="truktradokumentuChar1353">
    <w:name w:val="Štruktúra dokumentu Char1353"/>
    <w:aliases w:val="Char9 Char Char1354,Štruktúra dokumentu Char Char Char1354,Document Map Char Char Char1354"/>
    <w:uiPriority w:val="99"/>
    <w:semiHidden/>
    <w:rPr>
      <w:rFonts w:ascii="Tahoma" w:hAnsi="Tahoma"/>
      <w:sz w:val="16"/>
      <w:lang w:val="x-none" w:eastAsia="cs-CZ"/>
    </w:rPr>
  </w:style>
  <w:style w:type="character" w:customStyle="1" w:styleId="truktradokumentuChar1352">
    <w:name w:val="Štruktúra dokumentu Char1352"/>
    <w:aliases w:val="Char9 Char Char1353,Štruktúra dokumentu Char Char Char1353,Document Map Char Char Char1353"/>
    <w:uiPriority w:val="99"/>
    <w:semiHidden/>
    <w:rPr>
      <w:rFonts w:ascii="Tahoma" w:hAnsi="Tahoma"/>
      <w:sz w:val="16"/>
      <w:lang w:val="x-none" w:eastAsia="cs-CZ"/>
    </w:rPr>
  </w:style>
  <w:style w:type="character" w:customStyle="1" w:styleId="truktradokumentuChar1351">
    <w:name w:val="Štruktúra dokumentu Char1351"/>
    <w:aliases w:val="Char9 Char Char1352,Štruktúra dokumentu Char Char Char1352,Document Map Char Char Char1352"/>
    <w:uiPriority w:val="99"/>
    <w:semiHidden/>
    <w:rPr>
      <w:rFonts w:ascii="Tahoma" w:hAnsi="Tahoma"/>
      <w:sz w:val="16"/>
      <w:lang w:val="x-none" w:eastAsia="cs-CZ"/>
    </w:rPr>
  </w:style>
  <w:style w:type="character" w:customStyle="1" w:styleId="truktradokumentuChar1350">
    <w:name w:val="Štruktúra dokumentu Char1350"/>
    <w:aliases w:val="Char9 Char Char1351,Štruktúra dokumentu Char Char Char1351,Document Map Char Char Char1351"/>
    <w:uiPriority w:val="99"/>
    <w:semiHidden/>
    <w:rPr>
      <w:rFonts w:ascii="Tahoma" w:hAnsi="Tahoma"/>
      <w:sz w:val="16"/>
      <w:lang w:val="x-none" w:eastAsia="cs-CZ"/>
    </w:rPr>
  </w:style>
  <w:style w:type="character" w:customStyle="1" w:styleId="truktradokumentuChar1349">
    <w:name w:val="Štruktúra dokumentu Char1349"/>
    <w:aliases w:val="Char9 Char Char1350,Štruktúra dokumentu Char Char Char1350,Document Map Char Char Char1350"/>
    <w:uiPriority w:val="99"/>
    <w:semiHidden/>
    <w:rPr>
      <w:rFonts w:ascii="Tahoma" w:hAnsi="Tahoma"/>
      <w:sz w:val="16"/>
      <w:lang w:val="x-none" w:eastAsia="cs-CZ"/>
    </w:rPr>
  </w:style>
  <w:style w:type="character" w:customStyle="1" w:styleId="truktradokumentuChar1348">
    <w:name w:val="Štruktúra dokumentu Char1348"/>
    <w:aliases w:val="Char9 Char Char1349,Štruktúra dokumentu Char Char Char1349,Document Map Char Char Char1349"/>
    <w:uiPriority w:val="99"/>
    <w:semiHidden/>
    <w:rPr>
      <w:rFonts w:ascii="Tahoma" w:hAnsi="Tahoma"/>
      <w:sz w:val="16"/>
      <w:lang w:val="x-none" w:eastAsia="cs-CZ"/>
    </w:rPr>
  </w:style>
  <w:style w:type="character" w:customStyle="1" w:styleId="truktradokumentuChar1347">
    <w:name w:val="Štruktúra dokumentu Char1347"/>
    <w:aliases w:val="Char9 Char Char1348,Štruktúra dokumentu Char Char Char1348,Document Map Char Char Char1348"/>
    <w:uiPriority w:val="99"/>
    <w:semiHidden/>
    <w:rPr>
      <w:rFonts w:ascii="Tahoma" w:hAnsi="Tahoma"/>
      <w:sz w:val="16"/>
      <w:lang w:val="x-none" w:eastAsia="cs-CZ"/>
    </w:rPr>
  </w:style>
  <w:style w:type="character" w:customStyle="1" w:styleId="truktradokumentuChar1346">
    <w:name w:val="Štruktúra dokumentu Char1346"/>
    <w:aliases w:val="Char9 Char Char1347,Štruktúra dokumentu Char Char Char1347,Document Map Char Char Char1347"/>
    <w:uiPriority w:val="99"/>
    <w:semiHidden/>
    <w:rPr>
      <w:rFonts w:ascii="Tahoma" w:hAnsi="Tahoma"/>
      <w:sz w:val="16"/>
      <w:lang w:val="x-none" w:eastAsia="cs-CZ"/>
    </w:rPr>
  </w:style>
  <w:style w:type="character" w:customStyle="1" w:styleId="truktradokumentuChar1345">
    <w:name w:val="Štruktúra dokumentu Char1345"/>
    <w:aliases w:val="Char9 Char Char1346,Štruktúra dokumentu Char Char Char1346,Document Map Char Char Char1346"/>
    <w:uiPriority w:val="99"/>
    <w:semiHidden/>
    <w:rPr>
      <w:rFonts w:ascii="Tahoma" w:hAnsi="Tahoma"/>
      <w:sz w:val="16"/>
      <w:lang w:val="x-none" w:eastAsia="cs-CZ"/>
    </w:rPr>
  </w:style>
  <w:style w:type="character" w:customStyle="1" w:styleId="truktradokumentuChar1344">
    <w:name w:val="Štruktúra dokumentu Char1344"/>
    <w:aliases w:val="Char9 Char Char1345,Štruktúra dokumentu Char Char Char1345,Document Map Char Char Char1345"/>
    <w:uiPriority w:val="99"/>
    <w:semiHidden/>
    <w:rPr>
      <w:rFonts w:ascii="Tahoma" w:hAnsi="Tahoma"/>
      <w:sz w:val="16"/>
      <w:lang w:val="x-none" w:eastAsia="cs-CZ"/>
    </w:rPr>
  </w:style>
  <w:style w:type="character" w:customStyle="1" w:styleId="truktradokumentuChar1343">
    <w:name w:val="Štruktúra dokumentu Char1343"/>
    <w:aliases w:val="Char9 Char Char1344,Štruktúra dokumentu Char Char Char1344,Document Map Char Char Char1344"/>
    <w:uiPriority w:val="99"/>
    <w:semiHidden/>
    <w:rPr>
      <w:rFonts w:ascii="Tahoma" w:hAnsi="Tahoma"/>
      <w:sz w:val="16"/>
      <w:lang w:val="x-none" w:eastAsia="cs-CZ"/>
    </w:rPr>
  </w:style>
  <w:style w:type="character" w:customStyle="1" w:styleId="truktradokumentuChar1342">
    <w:name w:val="Štruktúra dokumentu Char1342"/>
    <w:aliases w:val="Char9 Char Char1343,Štruktúra dokumentu Char Char Char1343,Document Map Char Char Char1343"/>
    <w:uiPriority w:val="99"/>
    <w:semiHidden/>
    <w:rPr>
      <w:rFonts w:ascii="Tahoma" w:hAnsi="Tahoma"/>
      <w:sz w:val="16"/>
      <w:lang w:val="x-none" w:eastAsia="cs-CZ"/>
    </w:rPr>
  </w:style>
  <w:style w:type="character" w:customStyle="1" w:styleId="truktradokumentuChar1341">
    <w:name w:val="Štruktúra dokumentu Char1341"/>
    <w:aliases w:val="Char9 Char Char1342,Štruktúra dokumentu Char Char Char1342,Document Map Char Char Char1342"/>
    <w:uiPriority w:val="99"/>
    <w:semiHidden/>
    <w:rPr>
      <w:rFonts w:ascii="Tahoma" w:hAnsi="Tahoma"/>
      <w:sz w:val="16"/>
      <w:lang w:val="x-none" w:eastAsia="cs-CZ"/>
    </w:rPr>
  </w:style>
  <w:style w:type="character" w:customStyle="1" w:styleId="truktradokumentuChar1340">
    <w:name w:val="Štruktúra dokumentu Char1340"/>
    <w:aliases w:val="Char9 Char Char1341,Štruktúra dokumentu Char Char Char1341,Document Map Char Char Char1341"/>
    <w:uiPriority w:val="99"/>
    <w:semiHidden/>
    <w:rPr>
      <w:rFonts w:ascii="Tahoma" w:hAnsi="Tahoma"/>
      <w:sz w:val="16"/>
      <w:lang w:val="x-none" w:eastAsia="cs-CZ"/>
    </w:rPr>
  </w:style>
  <w:style w:type="character" w:customStyle="1" w:styleId="truktradokumentuChar1339">
    <w:name w:val="Štruktúra dokumentu Char1339"/>
    <w:aliases w:val="Char9 Char Char1340,Štruktúra dokumentu Char Char Char1340,Document Map Char Char Char1340"/>
    <w:uiPriority w:val="99"/>
    <w:semiHidden/>
    <w:rPr>
      <w:rFonts w:ascii="Tahoma" w:hAnsi="Tahoma"/>
      <w:sz w:val="16"/>
      <w:lang w:val="x-none" w:eastAsia="cs-CZ"/>
    </w:rPr>
  </w:style>
  <w:style w:type="character" w:customStyle="1" w:styleId="truktradokumentuChar1338">
    <w:name w:val="Štruktúra dokumentu Char1338"/>
    <w:aliases w:val="Char9 Char Char1339,Štruktúra dokumentu Char Char Char1339,Document Map Char Char Char1339"/>
    <w:uiPriority w:val="99"/>
    <w:semiHidden/>
    <w:rPr>
      <w:rFonts w:ascii="Tahoma" w:hAnsi="Tahoma"/>
      <w:sz w:val="16"/>
      <w:lang w:val="x-none" w:eastAsia="cs-CZ"/>
    </w:rPr>
  </w:style>
  <w:style w:type="character" w:customStyle="1" w:styleId="truktradokumentuChar1337">
    <w:name w:val="Štruktúra dokumentu Char1337"/>
    <w:aliases w:val="Char9 Char Char1338,Štruktúra dokumentu Char Char Char1338,Document Map Char Char Char1338"/>
    <w:uiPriority w:val="99"/>
    <w:semiHidden/>
    <w:rPr>
      <w:rFonts w:ascii="Tahoma" w:hAnsi="Tahoma"/>
      <w:sz w:val="16"/>
      <w:lang w:val="x-none" w:eastAsia="cs-CZ"/>
    </w:rPr>
  </w:style>
  <w:style w:type="character" w:customStyle="1" w:styleId="truktradokumentuChar1336">
    <w:name w:val="Štruktúra dokumentu Char1336"/>
    <w:aliases w:val="Char9 Char Char1337,Štruktúra dokumentu Char Char Char1337,Document Map Char Char Char1337"/>
    <w:uiPriority w:val="99"/>
    <w:semiHidden/>
    <w:rPr>
      <w:rFonts w:ascii="Tahoma" w:hAnsi="Tahoma"/>
      <w:sz w:val="16"/>
      <w:lang w:val="x-none" w:eastAsia="cs-CZ"/>
    </w:rPr>
  </w:style>
  <w:style w:type="character" w:customStyle="1" w:styleId="truktradokumentuChar1335">
    <w:name w:val="Štruktúra dokumentu Char1335"/>
    <w:aliases w:val="Char9 Char Char1336,Štruktúra dokumentu Char Char Char1336,Document Map Char Char Char1336"/>
    <w:uiPriority w:val="99"/>
    <w:semiHidden/>
    <w:rPr>
      <w:rFonts w:ascii="Tahoma" w:hAnsi="Tahoma"/>
      <w:sz w:val="16"/>
      <w:lang w:val="x-none" w:eastAsia="cs-CZ"/>
    </w:rPr>
  </w:style>
  <w:style w:type="character" w:customStyle="1" w:styleId="truktradokumentuChar1334">
    <w:name w:val="Štruktúra dokumentu Char1334"/>
    <w:aliases w:val="Char9 Char Char1335,Štruktúra dokumentu Char Char Char1335,Document Map Char Char Char1335"/>
    <w:uiPriority w:val="99"/>
    <w:semiHidden/>
    <w:rPr>
      <w:rFonts w:ascii="Tahoma" w:hAnsi="Tahoma"/>
      <w:sz w:val="16"/>
      <w:lang w:val="x-none" w:eastAsia="cs-CZ"/>
    </w:rPr>
  </w:style>
  <w:style w:type="character" w:customStyle="1" w:styleId="truktradokumentuChar1333">
    <w:name w:val="Štruktúra dokumentu Char1333"/>
    <w:aliases w:val="Char9 Char Char1334,Štruktúra dokumentu Char Char Char1334,Document Map Char Char Char1334"/>
    <w:uiPriority w:val="99"/>
    <w:semiHidden/>
    <w:rPr>
      <w:rFonts w:ascii="Tahoma" w:hAnsi="Tahoma"/>
      <w:sz w:val="16"/>
      <w:lang w:val="x-none" w:eastAsia="cs-CZ"/>
    </w:rPr>
  </w:style>
  <w:style w:type="character" w:customStyle="1" w:styleId="truktradokumentuChar1332">
    <w:name w:val="Štruktúra dokumentu Char1332"/>
    <w:aliases w:val="Char9 Char Char1333,Štruktúra dokumentu Char Char Char1333,Document Map Char Char Char1333"/>
    <w:uiPriority w:val="99"/>
    <w:semiHidden/>
    <w:rPr>
      <w:rFonts w:ascii="Tahoma" w:hAnsi="Tahoma"/>
      <w:sz w:val="16"/>
      <w:lang w:val="x-none" w:eastAsia="cs-CZ"/>
    </w:rPr>
  </w:style>
  <w:style w:type="character" w:customStyle="1" w:styleId="truktradokumentuChar1331">
    <w:name w:val="Štruktúra dokumentu Char1331"/>
    <w:aliases w:val="Char9 Char Char1332,Štruktúra dokumentu Char Char Char1332,Document Map Char Char Char1332"/>
    <w:uiPriority w:val="99"/>
    <w:semiHidden/>
    <w:rPr>
      <w:rFonts w:ascii="Tahoma" w:hAnsi="Tahoma"/>
      <w:sz w:val="16"/>
      <w:lang w:val="x-none" w:eastAsia="cs-CZ"/>
    </w:rPr>
  </w:style>
  <w:style w:type="character" w:customStyle="1" w:styleId="truktradokumentuChar1330">
    <w:name w:val="Štruktúra dokumentu Char1330"/>
    <w:aliases w:val="Char9 Char Char1331,Štruktúra dokumentu Char Char Char1331,Document Map Char Char Char1331"/>
    <w:uiPriority w:val="99"/>
    <w:semiHidden/>
    <w:rPr>
      <w:rFonts w:ascii="Tahoma" w:hAnsi="Tahoma"/>
      <w:sz w:val="16"/>
      <w:lang w:val="x-none" w:eastAsia="cs-CZ"/>
    </w:rPr>
  </w:style>
  <w:style w:type="character" w:customStyle="1" w:styleId="truktradokumentuChar1329">
    <w:name w:val="Štruktúra dokumentu Char1329"/>
    <w:aliases w:val="Char9 Char Char1330,Štruktúra dokumentu Char Char Char1330,Document Map Char Char Char1330"/>
    <w:uiPriority w:val="99"/>
    <w:semiHidden/>
    <w:rPr>
      <w:rFonts w:ascii="Tahoma" w:hAnsi="Tahoma"/>
      <w:sz w:val="16"/>
      <w:lang w:val="x-none" w:eastAsia="cs-CZ"/>
    </w:rPr>
  </w:style>
  <w:style w:type="character" w:customStyle="1" w:styleId="truktradokumentuChar1328">
    <w:name w:val="Štruktúra dokumentu Char1328"/>
    <w:aliases w:val="Char9 Char Char1329,Štruktúra dokumentu Char Char Char1329,Document Map Char Char Char1329"/>
    <w:uiPriority w:val="99"/>
    <w:semiHidden/>
    <w:rPr>
      <w:rFonts w:ascii="Tahoma" w:hAnsi="Tahoma"/>
      <w:sz w:val="16"/>
      <w:lang w:val="x-none" w:eastAsia="cs-CZ"/>
    </w:rPr>
  </w:style>
  <w:style w:type="character" w:customStyle="1" w:styleId="truktradokumentuChar1327">
    <w:name w:val="Štruktúra dokumentu Char1327"/>
    <w:aliases w:val="Char9 Char Char1328,Štruktúra dokumentu Char Char Char1328,Document Map Char Char Char1328"/>
    <w:uiPriority w:val="99"/>
    <w:semiHidden/>
    <w:rPr>
      <w:rFonts w:ascii="Tahoma" w:hAnsi="Tahoma"/>
      <w:sz w:val="16"/>
      <w:lang w:val="x-none" w:eastAsia="cs-CZ"/>
    </w:rPr>
  </w:style>
  <w:style w:type="character" w:customStyle="1" w:styleId="truktradokumentuChar1326">
    <w:name w:val="Štruktúra dokumentu Char1326"/>
    <w:aliases w:val="Char9 Char Char1327,Štruktúra dokumentu Char Char Char1327,Document Map Char Char Char1327"/>
    <w:uiPriority w:val="99"/>
    <w:semiHidden/>
    <w:rPr>
      <w:rFonts w:ascii="Tahoma" w:hAnsi="Tahoma"/>
      <w:sz w:val="16"/>
      <w:lang w:val="x-none" w:eastAsia="cs-CZ"/>
    </w:rPr>
  </w:style>
  <w:style w:type="character" w:customStyle="1" w:styleId="truktradokumentuChar1325">
    <w:name w:val="Štruktúra dokumentu Char1325"/>
    <w:aliases w:val="Char9 Char Char1326,Štruktúra dokumentu Char Char Char1326,Document Map Char Char Char1326"/>
    <w:uiPriority w:val="99"/>
    <w:semiHidden/>
    <w:rPr>
      <w:rFonts w:ascii="Tahoma" w:hAnsi="Tahoma"/>
      <w:sz w:val="16"/>
      <w:lang w:val="x-none" w:eastAsia="cs-CZ"/>
    </w:rPr>
  </w:style>
  <w:style w:type="character" w:customStyle="1" w:styleId="truktradokumentuChar1324">
    <w:name w:val="Štruktúra dokumentu Char1324"/>
    <w:aliases w:val="Char9 Char Char1325,Štruktúra dokumentu Char Char Char1325,Document Map Char Char Char1325"/>
    <w:uiPriority w:val="99"/>
    <w:semiHidden/>
    <w:rPr>
      <w:rFonts w:ascii="Tahoma" w:hAnsi="Tahoma"/>
      <w:sz w:val="16"/>
      <w:lang w:val="x-none" w:eastAsia="cs-CZ"/>
    </w:rPr>
  </w:style>
  <w:style w:type="character" w:customStyle="1" w:styleId="truktradokumentuChar1323">
    <w:name w:val="Štruktúra dokumentu Char1323"/>
    <w:aliases w:val="Char9 Char Char1324,Štruktúra dokumentu Char Char Char1324,Document Map Char Char Char1324"/>
    <w:uiPriority w:val="99"/>
    <w:semiHidden/>
    <w:rPr>
      <w:rFonts w:ascii="Tahoma" w:hAnsi="Tahoma"/>
      <w:sz w:val="16"/>
      <w:lang w:val="x-none" w:eastAsia="cs-CZ"/>
    </w:rPr>
  </w:style>
  <w:style w:type="character" w:customStyle="1" w:styleId="truktradokumentuChar1322">
    <w:name w:val="Štruktúra dokumentu Char1322"/>
    <w:aliases w:val="Char9 Char Char1323,Štruktúra dokumentu Char Char Char1323,Document Map Char Char Char1323"/>
    <w:uiPriority w:val="99"/>
    <w:semiHidden/>
    <w:rPr>
      <w:rFonts w:ascii="Tahoma" w:hAnsi="Tahoma"/>
      <w:sz w:val="16"/>
      <w:lang w:val="x-none" w:eastAsia="cs-CZ"/>
    </w:rPr>
  </w:style>
  <w:style w:type="character" w:customStyle="1" w:styleId="truktradokumentuChar1321">
    <w:name w:val="Štruktúra dokumentu Char1321"/>
    <w:aliases w:val="Char9 Char Char1322,Štruktúra dokumentu Char Char Char1322,Document Map Char Char Char1322"/>
    <w:uiPriority w:val="99"/>
    <w:semiHidden/>
    <w:rPr>
      <w:rFonts w:ascii="Tahoma" w:hAnsi="Tahoma"/>
      <w:sz w:val="16"/>
      <w:lang w:val="x-none" w:eastAsia="cs-CZ"/>
    </w:rPr>
  </w:style>
  <w:style w:type="character" w:customStyle="1" w:styleId="truktradokumentuChar1320">
    <w:name w:val="Štruktúra dokumentu Char1320"/>
    <w:aliases w:val="Char9 Char Char1321,Štruktúra dokumentu Char Char Char1321,Document Map Char Char Char1321"/>
    <w:uiPriority w:val="99"/>
    <w:semiHidden/>
    <w:rPr>
      <w:rFonts w:ascii="Tahoma" w:hAnsi="Tahoma"/>
      <w:sz w:val="16"/>
      <w:lang w:val="x-none" w:eastAsia="cs-CZ"/>
    </w:rPr>
  </w:style>
  <w:style w:type="character" w:customStyle="1" w:styleId="truktradokumentuChar1319">
    <w:name w:val="Štruktúra dokumentu Char1319"/>
    <w:aliases w:val="Char9 Char Char1320,Štruktúra dokumentu Char Char Char1320,Document Map Char Char Char1320"/>
    <w:uiPriority w:val="99"/>
    <w:semiHidden/>
    <w:rPr>
      <w:rFonts w:ascii="Tahoma" w:hAnsi="Tahoma"/>
      <w:sz w:val="16"/>
      <w:lang w:val="x-none" w:eastAsia="cs-CZ"/>
    </w:rPr>
  </w:style>
  <w:style w:type="character" w:customStyle="1" w:styleId="truktradokumentuChar1318">
    <w:name w:val="Štruktúra dokumentu Char1318"/>
    <w:aliases w:val="Char9 Char Char1319,Štruktúra dokumentu Char Char Char1319,Document Map Char Char Char1319"/>
    <w:uiPriority w:val="99"/>
    <w:semiHidden/>
    <w:rPr>
      <w:rFonts w:ascii="Tahoma" w:hAnsi="Tahoma"/>
      <w:sz w:val="16"/>
      <w:lang w:val="x-none" w:eastAsia="cs-CZ"/>
    </w:rPr>
  </w:style>
  <w:style w:type="character" w:customStyle="1" w:styleId="truktradokumentuChar1317">
    <w:name w:val="Štruktúra dokumentu Char1317"/>
    <w:aliases w:val="Char9 Char Char1318,Štruktúra dokumentu Char Char Char1318,Document Map Char Char Char1318"/>
    <w:uiPriority w:val="99"/>
    <w:semiHidden/>
    <w:rPr>
      <w:rFonts w:ascii="Tahoma" w:hAnsi="Tahoma"/>
      <w:sz w:val="16"/>
      <w:lang w:val="x-none" w:eastAsia="cs-CZ"/>
    </w:rPr>
  </w:style>
  <w:style w:type="character" w:customStyle="1" w:styleId="truktradokumentuChar1316">
    <w:name w:val="Štruktúra dokumentu Char1316"/>
    <w:aliases w:val="Char9 Char Char1317,Štruktúra dokumentu Char Char Char1317,Document Map Char Char Char1317"/>
    <w:uiPriority w:val="99"/>
    <w:semiHidden/>
    <w:rPr>
      <w:rFonts w:ascii="Tahoma" w:hAnsi="Tahoma"/>
      <w:sz w:val="16"/>
      <w:lang w:val="x-none" w:eastAsia="cs-CZ"/>
    </w:rPr>
  </w:style>
  <w:style w:type="character" w:customStyle="1" w:styleId="truktradokumentuChar1315">
    <w:name w:val="Štruktúra dokumentu Char1315"/>
    <w:aliases w:val="Char9 Char Char1316,Štruktúra dokumentu Char Char Char1316,Document Map Char Char Char1316"/>
    <w:uiPriority w:val="99"/>
    <w:semiHidden/>
    <w:rPr>
      <w:rFonts w:ascii="Tahoma" w:hAnsi="Tahoma"/>
      <w:sz w:val="16"/>
      <w:lang w:val="x-none" w:eastAsia="cs-CZ"/>
    </w:rPr>
  </w:style>
  <w:style w:type="character" w:customStyle="1" w:styleId="truktradokumentuChar1314">
    <w:name w:val="Štruktúra dokumentu Char1314"/>
    <w:aliases w:val="Char9 Char Char1315,Štruktúra dokumentu Char Char Char1315,Document Map Char Char Char1315"/>
    <w:uiPriority w:val="99"/>
    <w:semiHidden/>
    <w:rPr>
      <w:rFonts w:ascii="Tahoma" w:hAnsi="Tahoma"/>
      <w:sz w:val="16"/>
      <w:lang w:val="x-none" w:eastAsia="cs-CZ"/>
    </w:rPr>
  </w:style>
  <w:style w:type="character" w:customStyle="1" w:styleId="truktradokumentuChar1313">
    <w:name w:val="Štruktúra dokumentu Char1313"/>
    <w:aliases w:val="Char9 Char Char1314,Štruktúra dokumentu Char Char Char1314,Document Map Char Char Char1314"/>
    <w:uiPriority w:val="99"/>
    <w:semiHidden/>
    <w:rPr>
      <w:rFonts w:ascii="Tahoma" w:hAnsi="Tahoma"/>
      <w:sz w:val="16"/>
      <w:lang w:val="x-none" w:eastAsia="cs-CZ"/>
    </w:rPr>
  </w:style>
  <w:style w:type="character" w:customStyle="1" w:styleId="truktradokumentuChar1312">
    <w:name w:val="Štruktúra dokumentu Char1312"/>
    <w:aliases w:val="Char9 Char Char1313,Štruktúra dokumentu Char Char Char1313,Document Map Char Char Char1313"/>
    <w:uiPriority w:val="99"/>
    <w:semiHidden/>
    <w:rPr>
      <w:rFonts w:ascii="Tahoma" w:hAnsi="Tahoma"/>
      <w:sz w:val="16"/>
      <w:lang w:val="x-none" w:eastAsia="cs-CZ"/>
    </w:rPr>
  </w:style>
  <w:style w:type="character" w:customStyle="1" w:styleId="truktradokumentuChar1311">
    <w:name w:val="Štruktúra dokumentu Char1311"/>
    <w:aliases w:val="Char9 Char Char1312,Štruktúra dokumentu Char Char Char1312,Document Map Char Char Char1312"/>
    <w:uiPriority w:val="99"/>
    <w:semiHidden/>
    <w:rPr>
      <w:rFonts w:ascii="Tahoma" w:hAnsi="Tahoma"/>
      <w:sz w:val="16"/>
      <w:lang w:val="x-none" w:eastAsia="cs-CZ"/>
    </w:rPr>
  </w:style>
  <w:style w:type="character" w:customStyle="1" w:styleId="truktradokumentuChar1310">
    <w:name w:val="Štruktúra dokumentu Char1310"/>
    <w:aliases w:val="Char9 Char Char1311,Štruktúra dokumentu Char Char Char1311,Document Map Char Char Char1311"/>
    <w:uiPriority w:val="99"/>
    <w:semiHidden/>
    <w:rPr>
      <w:rFonts w:ascii="Tahoma" w:hAnsi="Tahoma"/>
      <w:sz w:val="16"/>
      <w:lang w:val="x-none" w:eastAsia="cs-CZ"/>
    </w:rPr>
  </w:style>
  <w:style w:type="character" w:customStyle="1" w:styleId="truktradokumentuChar1309">
    <w:name w:val="Štruktúra dokumentu Char1309"/>
    <w:aliases w:val="Char9 Char Char1310,Štruktúra dokumentu Char Char Char1310,Document Map Char Char Char1310"/>
    <w:uiPriority w:val="99"/>
    <w:semiHidden/>
    <w:rPr>
      <w:rFonts w:ascii="Tahoma" w:hAnsi="Tahoma"/>
      <w:sz w:val="16"/>
      <w:lang w:val="x-none" w:eastAsia="cs-CZ"/>
    </w:rPr>
  </w:style>
  <w:style w:type="character" w:customStyle="1" w:styleId="truktradokumentuChar1308">
    <w:name w:val="Štruktúra dokumentu Char1308"/>
    <w:aliases w:val="Char9 Char Char1309,Štruktúra dokumentu Char Char Char1309,Document Map Char Char Char1309"/>
    <w:uiPriority w:val="99"/>
    <w:semiHidden/>
    <w:rPr>
      <w:rFonts w:ascii="Tahoma" w:hAnsi="Tahoma"/>
      <w:sz w:val="16"/>
      <w:lang w:val="x-none" w:eastAsia="cs-CZ"/>
    </w:rPr>
  </w:style>
  <w:style w:type="character" w:customStyle="1" w:styleId="truktradokumentuChar1307">
    <w:name w:val="Štruktúra dokumentu Char1307"/>
    <w:aliases w:val="Char9 Char Char1308,Štruktúra dokumentu Char Char Char1308,Document Map Char Char Char1308"/>
    <w:uiPriority w:val="99"/>
    <w:semiHidden/>
    <w:rPr>
      <w:rFonts w:ascii="Tahoma" w:hAnsi="Tahoma"/>
      <w:sz w:val="16"/>
      <w:lang w:val="x-none" w:eastAsia="cs-CZ"/>
    </w:rPr>
  </w:style>
  <w:style w:type="character" w:customStyle="1" w:styleId="truktradokumentuChar1306">
    <w:name w:val="Štruktúra dokumentu Char1306"/>
    <w:aliases w:val="Char9 Char Char1307,Štruktúra dokumentu Char Char Char1307,Document Map Char Char Char1307"/>
    <w:uiPriority w:val="99"/>
    <w:semiHidden/>
    <w:rPr>
      <w:rFonts w:ascii="Tahoma" w:hAnsi="Tahoma"/>
      <w:sz w:val="16"/>
      <w:lang w:val="x-none" w:eastAsia="cs-CZ"/>
    </w:rPr>
  </w:style>
  <w:style w:type="character" w:customStyle="1" w:styleId="truktradokumentuChar1305">
    <w:name w:val="Štruktúra dokumentu Char1305"/>
    <w:aliases w:val="Char9 Char Char1306,Štruktúra dokumentu Char Char Char1306,Document Map Char Char Char1306"/>
    <w:uiPriority w:val="99"/>
    <w:semiHidden/>
    <w:rPr>
      <w:rFonts w:ascii="Tahoma" w:hAnsi="Tahoma"/>
      <w:sz w:val="16"/>
      <w:lang w:val="x-none" w:eastAsia="cs-CZ"/>
    </w:rPr>
  </w:style>
  <w:style w:type="character" w:customStyle="1" w:styleId="truktradokumentuChar1304">
    <w:name w:val="Štruktúra dokumentu Char1304"/>
    <w:aliases w:val="Char9 Char Char1305,Štruktúra dokumentu Char Char Char1305,Document Map Char Char Char1305"/>
    <w:uiPriority w:val="99"/>
    <w:semiHidden/>
    <w:rPr>
      <w:rFonts w:ascii="Tahoma" w:hAnsi="Tahoma"/>
      <w:sz w:val="16"/>
      <w:lang w:val="x-none" w:eastAsia="cs-CZ"/>
    </w:rPr>
  </w:style>
  <w:style w:type="character" w:customStyle="1" w:styleId="truktradokumentuChar1303">
    <w:name w:val="Štruktúra dokumentu Char1303"/>
    <w:aliases w:val="Char9 Char Char1304,Štruktúra dokumentu Char Char Char1304,Document Map Char Char Char1304"/>
    <w:uiPriority w:val="99"/>
    <w:semiHidden/>
    <w:rPr>
      <w:rFonts w:ascii="Tahoma" w:hAnsi="Tahoma"/>
      <w:sz w:val="16"/>
      <w:lang w:val="x-none" w:eastAsia="cs-CZ"/>
    </w:rPr>
  </w:style>
  <w:style w:type="character" w:customStyle="1" w:styleId="truktradokumentuChar1302">
    <w:name w:val="Štruktúra dokumentu Char1302"/>
    <w:aliases w:val="Char9 Char Char1303,Štruktúra dokumentu Char Char Char1303,Document Map Char Char Char1303"/>
    <w:uiPriority w:val="99"/>
    <w:semiHidden/>
    <w:rPr>
      <w:rFonts w:ascii="Tahoma" w:hAnsi="Tahoma"/>
      <w:sz w:val="16"/>
      <w:lang w:val="x-none" w:eastAsia="cs-CZ"/>
    </w:rPr>
  </w:style>
  <w:style w:type="character" w:customStyle="1" w:styleId="truktradokumentuChar1301">
    <w:name w:val="Štruktúra dokumentu Char1301"/>
    <w:aliases w:val="Char9 Char Char1302,Štruktúra dokumentu Char Char Char1302,Document Map Char Char Char1302"/>
    <w:uiPriority w:val="99"/>
    <w:semiHidden/>
    <w:rPr>
      <w:rFonts w:ascii="Tahoma" w:hAnsi="Tahoma"/>
      <w:sz w:val="16"/>
      <w:lang w:val="x-none" w:eastAsia="cs-CZ"/>
    </w:rPr>
  </w:style>
  <w:style w:type="character" w:customStyle="1" w:styleId="truktradokumentuChar1300">
    <w:name w:val="Štruktúra dokumentu Char1300"/>
    <w:aliases w:val="Char9 Char Char1301,Štruktúra dokumentu Char Char Char1301,Document Map Char Char Char1301"/>
    <w:uiPriority w:val="99"/>
    <w:semiHidden/>
    <w:rPr>
      <w:rFonts w:ascii="Tahoma" w:hAnsi="Tahoma"/>
      <w:sz w:val="16"/>
      <w:lang w:val="x-none" w:eastAsia="cs-CZ"/>
    </w:rPr>
  </w:style>
  <w:style w:type="character" w:customStyle="1" w:styleId="truktradokumentuChar1299">
    <w:name w:val="Štruktúra dokumentu Char1299"/>
    <w:aliases w:val="Char9 Char Char1300,Štruktúra dokumentu Char Char Char1300,Document Map Char Char Char1300"/>
    <w:uiPriority w:val="99"/>
    <w:semiHidden/>
    <w:rPr>
      <w:rFonts w:ascii="Tahoma" w:hAnsi="Tahoma"/>
      <w:sz w:val="16"/>
      <w:lang w:val="x-none" w:eastAsia="cs-CZ"/>
    </w:rPr>
  </w:style>
  <w:style w:type="character" w:customStyle="1" w:styleId="truktradokumentuChar1298">
    <w:name w:val="Štruktúra dokumentu Char1298"/>
    <w:aliases w:val="Char9 Char Char1299,Štruktúra dokumentu Char Char Char1299,Document Map Char Char Char1299"/>
    <w:uiPriority w:val="99"/>
    <w:semiHidden/>
    <w:rPr>
      <w:rFonts w:ascii="Tahoma" w:hAnsi="Tahoma"/>
      <w:sz w:val="16"/>
      <w:lang w:val="x-none" w:eastAsia="cs-CZ"/>
    </w:rPr>
  </w:style>
  <w:style w:type="character" w:customStyle="1" w:styleId="truktradokumentuChar1297">
    <w:name w:val="Štruktúra dokumentu Char1297"/>
    <w:aliases w:val="Char9 Char Char1298,Štruktúra dokumentu Char Char Char1298,Document Map Char Char Char1298"/>
    <w:uiPriority w:val="99"/>
    <w:semiHidden/>
    <w:rPr>
      <w:rFonts w:ascii="Tahoma" w:hAnsi="Tahoma"/>
      <w:sz w:val="16"/>
      <w:lang w:val="x-none" w:eastAsia="cs-CZ"/>
    </w:rPr>
  </w:style>
  <w:style w:type="character" w:customStyle="1" w:styleId="truktradokumentuChar1296">
    <w:name w:val="Štruktúra dokumentu Char1296"/>
    <w:aliases w:val="Char9 Char Char1297,Štruktúra dokumentu Char Char Char1297,Document Map Char Char Char1297"/>
    <w:uiPriority w:val="99"/>
    <w:semiHidden/>
    <w:rPr>
      <w:rFonts w:ascii="Tahoma" w:hAnsi="Tahoma"/>
      <w:sz w:val="16"/>
      <w:lang w:val="x-none" w:eastAsia="cs-CZ"/>
    </w:rPr>
  </w:style>
  <w:style w:type="character" w:customStyle="1" w:styleId="truktradokumentuChar1295">
    <w:name w:val="Štruktúra dokumentu Char1295"/>
    <w:aliases w:val="Char9 Char Char1296,Štruktúra dokumentu Char Char Char1296,Document Map Char Char Char1296"/>
    <w:uiPriority w:val="99"/>
    <w:semiHidden/>
    <w:rPr>
      <w:rFonts w:ascii="Tahoma" w:hAnsi="Tahoma"/>
      <w:sz w:val="16"/>
      <w:lang w:val="x-none" w:eastAsia="cs-CZ"/>
    </w:rPr>
  </w:style>
  <w:style w:type="character" w:customStyle="1" w:styleId="truktradokumentuChar1294">
    <w:name w:val="Štruktúra dokumentu Char1294"/>
    <w:aliases w:val="Char9 Char Char1295,Štruktúra dokumentu Char Char Char1295,Document Map Char Char Char1295"/>
    <w:uiPriority w:val="99"/>
    <w:semiHidden/>
    <w:rPr>
      <w:rFonts w:ascii="Tahoma" w:hAnsi="Tahoma"/>
      <w:sz w:val="16"/>
      <w:lang w:val="x-none" w:eastAsia="cs-CZ"/>
    </w:rPr>
  </w:style>
  <w:style w:type="character" w:customStyle="1" w:styleId="truktradokumentuChar1293">
    <w:name w:val="Štruktúra dokumentu Char1293"/>
    <w:aliases w:val="Char9 Char Char1294,Štruktúra dokumentu Char Char Char1294,Document Map Char Char Char1294"/>
    <w:uiPriority w:val="99"/>
    <w:semiHidden/>
    <w:rPr>
      <w:rFonts w:ascii="Tahoma" w:hAnsi="Tahoma"/>
      <w:sz w:val="16"/>
      <w:lang w:val="x-none" w:eastAsia="cs-CZ"/>
    </w:rPr>
  </w:style>
  <w:style w:type="character" w:customStyle="1" w:styleId="truktradokumentuChar1292">
    <w:name w:val="Štruktúra dokumentu Char1292"/>
    <w:aliases w:val="Char9 Char Char1293,Štruktúra dokumentu Char Char Char1293,Document Map Char Char Char1293"/>
    <w:uiPriority w:val="99"/>
    <w:semiHidden/>
    <w:rPr>
      <w:rFonts w:ascii="Tahoma" w:hAnsi="Tahoma"/>
      <w:sz w:val="16"/>
      <w:lang w:val="x-none" w:eastAsia="cs-CZ"/>
    </w:rPr>
  </w:style>
  <w:style w:type="character" w:customStyle="1" w:styleId="truktradokumentuChar1291">
    <w:name w:val="Štruktúra dokumentu Char1291"/>
    <w:aliases w:val="Char9 Char Char1292,Štruktúra dokumentu Char Char Char1292,Document Map Char Char Char1292"/>
    <w:uiPriority w:val="99"/>
    <w:semiHidden/>
    <w:rPr>
      <w:rFonts w:ascii="Tahoma" w:hAnsi="Tahoma"/>
      <w:sz w:val="16"/>
      <w:lang w:val="x-none" w:eastAsia="cs-CZ"/>
    </w:rPr>
  </w:style>
  <w:style w:type="character" w:customStyle="1" w:styleId="truktradokumentuChar1290">
    <w:name w:val="Štruktúra dokumentu Char1290"/>
    <w:aliases w:val="Char9 Char Char1291,Štruktúra dokumentu Char Char Char1291,Document Map Char Char Char1291"/>
    <w:uiPriority w:val="99"/>
    <w:semiHidden/>
    <w:rPr>
      <w:rFonts w:ascii="Tahoma" w:hAnsi="Tahoma"/>
      <w:sz w:val="16"/>
      <w:lang w:val="x-none" w:eastAsia="cs-CZ"/>
    </w:rPr>
  </w:style>
  <w:style w:type="character" w:customStyle="1" w:styleId="truktradokumentuChar1289">
    <w:name w:val="Štruktúra dokumentu Char1289"/>
    <w:aliases w:val="Char9 Char Char1290,Štruktúra dokumentu Char Char Char1290,Document Map Char Char Char1290"/>
    <w:uiPriority w:val="99"/>
    <w:semiHidden/>
    <w:rPr>
      <w:rFonts w:ascii="Tahoma" w:hAnsi="Tahoma"/>
      <w:sz w:val="16"/>
      <w:lang w:val="x-none" w:eastAsia="cs-CZ"/>
    </w:rPr>
  </w:style>
  <w:style w:type="character" w:customStyle="1" w:styleId="truktradokumentuChar1288">
    <w:name w:val="Štruktúra dokumentu Char1288"/>
    <w:aliases w:val="Char9 Char Char1289,Štruktúra dokumentu Char Char Char1289,Document Map Char Char Char1289"/>
    <w:uiPriority w:val="99"/>
    <w:semiHidden/>
    <w:rPr>
      <w:rFonts w:ascii="Tahoma" w:hAnsi="Tahoma"/>
      <w:sz w:val="16"/>
      <w:lang w:val="x-none" w:eastAsia="cs-CZ"/>
    </w:rPr>
  </w:style>
  <w:style w:type="character" w:customStyle="1" w:styleId="truktradokumentuChar1287">
    <w:name w:val="Štruktúra dokumentu Char1287"/>
    <w:aliases w:val="Char9 Char Char1288,Štruktúra dokumentu Char Char Char1288,Document Map Char Char Char1288"/>
    <w:uiPriority w:val="99"/>
    <w:semiHidden/>
    <w:rPr>
      <w:rFonts w:ascii="Tahoma" w:hAnsi="Tahoma"/>
      <w:sz w:val="16"/>
      <w:lang w:val="x-none" w:eastAsia="cs-CZ"/>
    </w:rPr>
  </w:style>
  <w:style w:type="character" w:customStyle="1" w:styleId="truktradokumentuChar1286">
    <w:name w:val="Štruktúra dokumentu Char1286"/>
    <w:aliases w:val="Char9 Char Char1287,Štruktúra dokumentu Char Char Char1287,Document Map Char Char Char1287"/>
    <w:uiPriority w:val="99"/>
    <w:semiHidden/>
    <w:rPr>
      <w:rFonts w:ascii="Tahoma" w:hAnsi="Tahoma"/>
      <w:sz w:val="16"/>
      <w:lang w:val="x-none" w:eastAsia="cs-CZ"/>
    </w:rPr>
  </w:style>
  <w:style w:type="character" w:customStyle="1" w:styleId="truktradokumentuChar1285">
    <w:name w:val="Štruktúra dokumentu Char1285"/>
    <w:aliases w:val="Char9 Char Char1286,Štruktúra dokumentu Char Char Char1286,Document Map Char Char Char1286"/>
    <w:uiPriority w:val="99"/>
    <w:semiHidden/>
    <w:rPr>
      <w:rFonts w:ascii="Tahoma" w:hAnsi="Tahoma"/>
      <w:sz w:val="16"/>
      <w:lang w:val="x-none" w:eastAsia="cs-CZ"/>
    </w:rPr>
  </w:style>
  <w:style w:type="character" w:customStyle="1" w:styleId="truktradokumentuChar1284">
    <w:name w:val="Štruktúra dokumentu Char1284"/>
    <w:aliases w:val="Char9 Char Char1285,Štruktúra dokumentu Char Char Char1285,Document Map Char Char Char1285"/>
    <w:uiPriority w:val="99"/>
    <w:semiHidden/>
    <w:rPr>
      <w:rFonts w:ascii="Tahoma" w:hAnsi="Tahoma"/>
      <w:sz w:val="16"/>
      <w:lang w:val="x-none" w:eastAsia="cs-CZ"/>
    </w:rPr>
  </w:style>
  <w:style w:type="character" w:customStyle="1" w:styleId="truktradokumentuChar1283">
    <w:name w:val="Štruktúra dokumentu Char1283"/>
    <w:aliases w:val="Char9 Char Char1284,Štruktúra dokumentu Char Char Char1284,Document Map Char Char Char1284"/>
    <w:uiPriority w:val="99"/>
    <w:semiHidden/>
    <w:rPr>
      <w:rFonts w:ascii="Tahoma" w:hAnsi="Tahoma"/>
      <w:sz w:val="16"/>
      <w:lang w:val="x-none" w:eastAsia="cs-CZ"/>
    </w:rPr>
  </w:style>
  <w:style w:type="character" w:customStyle="1" w:styleId="truktradokumentuChar1282">
    <w:name w:val="Štruktúra dokumentu Char1282"/>
    <w:aliases w:val="Char9 Char Char1283,Štruktúra dokumentu Char Char Char1283,Document Map Char Char Char1283"/>
    <w:uiPriority w:val="99"/>
    <w:semiHidden/>
    <w:rPr>
      <w:rFonts w:ascii="Tahoma" w:hAnsi="Tahoma"/>
      <w:sz w:val="16"/>
      <w:lang w:val="x-none" w:eastAsia="cs-CZ"/>
    </w:rPr>
  </w:style>
  <w:style w:type="character" w:customStyle="1" w:styleId="truktradokumentuChar1281">
    <w:name w:val="Štruktúra dokumentu Char1281"/>
    <w:aliases w:val="Char9 Char Char1282,Štruktúra dokumentu Char Char Char1282,Document Map Char Char Char1282"/>
    <w:uiPriority w:val="99"/>
    <w:semiHidden/>
    <w:rPr>
      <w:rFonts w:ascii="Tahoma" w:hAnsi="Tahoma"/>
      <w:sz w:val="16"/>
      <w:lang w:val="x-none" w:eastAsia="cs-CZ"/>
    </w:rPr>
  </w:style>
  <w:style w:type="character" w:customStyle="1" w:styleId="truktradokumentuChar1280">
    <w:name w:val="Štruktúra dokumentu Char1280"/>
    <w:aliases w:val="Char9 Char Char1281,Štruktúra dokumentu Char Char Char1281,Document Map Char Char Char1281"/>
    <w:uiPriority w:val="99"/>
    <w:semiHidden/>
    <w:rPr>
      <w:rFonts w:ascii="Tahoma" w:hAnsi="Tahoma"/>
      <w:sz w:val="16"/>
      <w:lang w:val="x-none" w:eastAsia="cs-CZ"/>
    </w:rPr>
  </w:style>
  <w:style w:type="character" w:customStyle="1" w:styleId="truktradokumentuChar1279">
    <w:name w:val="Štruktúra dokumentu Char1279"/>
    <w:aliases w:val="Char9 Char Char1280,Štruktúra dokumentu Char Char Char1280,Document Map Char Char Char1280"/>
    <w:uiPriority w:val="99"/>
    <w:semiHidden/>
    <w:rPr>
      <w:rFonts w:ascii="Tahoma" w:hAnsi="Tahoma"/>
      <w:sz w:val="16"/>
      <w:lang w:val="x-none" w:eastAsia="cs-CZ"/>
    </w:rPr>
  </w:style>
  <w:style w:type="character" w:customStyle="1" w:styleId="truktradokumentuChar1278">
    <w:name w:val="Štruktúra dokumentu Char1278"/>
    <w:aliases w:val="Char9 Char Char1279,Štruktúra dokumentu Char Char Char1279,Document Map Char Char Char1279"/>
    <w:uiPriority w:val="99"/>
    <w:semiHidden/>
    <w:rPr>
      <w:rFonts w:ascii="Tahoma" w:hAnsi="Tahoma"/>
      <w:sz w:val="16"/>
      <w:lang w:val="x-none" w:eastAsia="cs-CZ"/>
    </w:rPr>
  </w:style>
  <w:style w:type="character" w:customStyle="1" w:styleId="truktradokumentuChar1277">
    <w:name w:val="Štruktúra dokumentu Char1277"/>
    <w:aliases w:val="Char9 Char Char1278,Štruktúra dokumentu Char Char Char1278,Document Map Char Char Char1278"/>
    <w:uiPriority w:val="99"/>
    <w:semiHidden/>
    <w:rPr>
      <w:rFonts w:ascii="Tahoma" w:hAnsi="Tahoma"/>
      <w:sz w:val="16"/>
      <w:lang w:val="x-none" w:eastAsia="cs-CZ"/>
    </w:rPr>
  </w:style>
  <w:style w:type="character" w:customStyle="1" w:styleId="truktradokumentuChar1276">
    <w:name w:val="Štruktúra dokumentu Char1276"/>
    <w:aliases w:val="Char9 Char Char1277,Štruktúra dokumentu Char Char Char1277,Document Map Char Char Char1277"/>
    <w:uiPriority w:val="99"/>
    <w:semiHidden/>
    <w:rPr>
      <w:rFonts w:ascii="Tahoma" w:hAnsi="Tahoma"/>
      <w:sz w:val="16"/>
      <w:lang w:val="x-none" w:eastAsia="cs-CZ"/>
    </w:rPr>
  </w:style>
  <w:style w:type="character" w:customStyle="1" w:styleId="truktradokumentuChar1275">
    <w:name w:val="Štruktúra dokumentu Char1275"/>
    <w:aliases w:val="Char9 Char Char1276,Štruktúra dokumentu Char Char Char1276,Document Map Char Char Char1276"/>
    <w:uiPriority w:val="99"/>
    <w:semiHidden/>
    <w:rPr>
      <w:rFonts w:ascii="Tahoma" w:hAnsi="Tahoma"/>
      <w:sz w:val="16"/>
      <w:lang w:val="x-none" w:eastAsia="cs-CZ"/>
    </w:rPr>
  </w:style>
  <w:style w:type="character" w:customStyle="1" w:styleId="truktradokumentuChar1274">
    <w:name w:val="Štruktúra dokumentu Char1274"/>
    <w:aliases w:val="Char9 Char Char1275,Štruktúra dokumentu Char Char Char1275,Document Map Char Char Char1275"/>
    <w:uiPriority w:val="99"/>
    <w:semiHidden/>
    <w:rPr>
      <w:rFonts w:ascii="Tahoma" w:hAnsi="Tahoma"/>
      <w:sz w:val="16"/>
      <w:lang w:val="x-none" w:eastAsia="cs-CZ"/>
    </w:rPr>
  </w:style>
  <w:style w:type="character" w:customStyle="1" w:styleId="truktradokumentuChar1273">
    <w:name w:val="Štruktúra dokumentu Char1273"/>
    <w:aliases w:val="Char9 Char Char1274,Štruktúra dokumentu Char Char Char1274,Document Map Char Char Char1274"/>
    <w:uiPriority w:val="99"/>
    <w:semiHidden/>
    <w:rPr>
      <w:rFonts w:ascii="Tahoma" w:hAnsi="Tahoma"/>
      <w:sz w:val="16"/>
      <w:lang w:val="x-none" w:eastAsia="cs-CZ"/>
    </w:rPr>
  </w:style>
  <w:style w:type="character" w:customStyle="1" w:styleId="truktradokumentuChar1272">
    <w:name w:val="Štruktúra dokumentu Char1272"/>
    <w:aliases w:val="Char9 Char Char1273,Štruktúra dokumentu Char Char Char1273,Document Map Char Char Char1273"/>
    <w:uiPriority w:val="99"/>
    <w:semiHidden/>
    <w:rPr>
      <w:rFonts w:ascii="Tahoma" w:hAnsi="Tahoma"/>
      <w:sz w:val="16"/>
      <w:lang w:val="x-none" w:eastAsia="cs-CZ"/>
    </w:rPr>
  </w:style>
  <w:style w:type="character" w:customStyle="1" w:styleId="truktradokumentuChar1271">
    <w:name w:val="Štruktúra dokumentu Char1271"/>
    <w:aliases w:val="Char9 Char Char1272,Štruktúra dokumentu Char Char Char1272,Document Map Char Char Char1272"/>
    <w:uiPriority w:val="99"/>
    <w:semiHidden/>
    <w:rPr>
      <w:rFonts w:ascii="Tahoma" w:hAnsi="Tahoma"/>
      <w:sz w:val="16"/>
      <w:lang w:val="x-none" w:eastAsia="cs-CZ"/>
    </w:rPr>
  </w:style>
  <w:style w:type="character" w:customStyle="1" w:styleId="truktradokumentuChar1270">
    <w:name w:val="Štruktúra dokumentu Char1270"/>
    <w:aliases w:val="Char9 Char Char1271,Štruktúra dokumentu Char Char Char1271,Document Map Char Char Char1271"/>
    <w:uiPriority w:val="99"/>
    <w:semiHidden/>
    <w:rPr>
      <w:rFonts w:ascii="Tahoma" w:hAnsi="Tahoma"/>
      <w:sz w:val="16"/>
      <w:lang w:val="x-none" w:eastAsia="cs-CZ"/>
    </w:rPr>
  </w:style>
  <w:style w:type="character" w:customStyle="1" w:styleId="truktradokumentuChar1269">
    <w:name w:val="Štruktúra dokumentu Char1269"/>
    <w:aliases w:val="Char9 Char Char1270,Štruktúra dokumentu Char Char Char1270,Document Map Char Char Char1270"/>
    <w:uiPriority w:val="99"/>
    <w:semiHidden/>
    <w:rPr>
      <w:rFonts w:ascii="Tahoma" w:hAnsi="Tahoma"/>
      <w:sz w:val="16"/>
      <w:lang w:val="x-none" w:eastAsia="cs-CZ"/>
    </w:rPr>
  </w:style>
  <w:style w:type="character" w:customStyle="1" w:styleId="truktradokumentuChar1268">
    <w:name w:val="Štruktúra dokumentu Char1268"/>
    <w:aliases w:val="Char9 Char Char1269,Štruktúra dokumentu Char Char Char1269,Document Map Char Char Char1269"/>
    <w:uiPriority w:val="99"/>
    <w:semiHidden/>
    <w:rPr>
      <w:rFonts w:ascii="Tahoma" w:hAnsi="Tahoma"/>
      <w:sz w:val="16"/>
      <w:lang w:val="x-none" w:eastAsia="cs-CZ"/>
    </w:rPr>
  </w:style>
  <w:style w:type="character" w:customStyle="1" w:styleId="truktradokumentuChar1267">
    <w:name w:val="Štruktúra dokumentu Char1267"/>
    <w:aliases w:val="Char9 Char Char1268,Štruktúra dokumentu Char Char Char1268,Document Map Char Char Char1268"/>
    <w:uiPriority w:val="99"/>
    <w:semiHidden/>
    <w:rPr>
      <w:rFonts w:ascii="Tahoma" w:hAnsi="Tahoma"/>
      <w:sz w:val="16"/>
      <w:lang w:val="x-none" w:eastAsia="cs-CZ"/>
    </w:rPr>
  </w:style>
  <w:style w:type="character" w:customStyle="1" w:styleId="truktradokumentuChar1266">
    <w:name w:val="Štruktúra dokumentu Char1266"/>
    <w:aliases w:val="Char9 Char Char1267,Štruktúra dokumentu Char Char Char1267,Document Map Char Char Char1267"/>
    <w:uiPriority w:val="99"/>
    <w:semiHidden/>
    <w:rPr>
      <w:rFonts w:ascii="Tahoma" w:hAnsi="Tahoma"/>
      <w:sz w:val="16"/>
      <w:lang w:val="x-none" w:eastAsia="cs-CZ"/>
    </w:rPr>
  </w:style>
  <w:style w:type="character" w:customStyle="1" w:styleId="truktradokumentuChar1265">
    <w:name w:val="Štruktúra dokumentu Char1265"/>
    <w:aliases w:val="Char9 Char Char1266,Štruktúra dokumentu Char Char Char1266,Document Map Char Char Char1266"/>
    <w:uiPriority w:val="99"/>
    <w:semiHidden/>
    <w:rPr>
      <w:rFonts w:ascii="Tahoma" w:hAnsi="Tahoma"/>
      <w:sz w:val="16"/>
      <w:lang w:val="x-none" w:eastAsia="cs-CZ"/>
    </w:rPr>
  </w:style>
  <w:style w:type="character" w:customStyle="1" w:styleId="truktradokumentuChar1264">
    <w:name w:val="Štruktúra dokumentu Char1264"/>
    <w:aliases w:val="Char9 Char Char1265,Štruktúra dokumentu Char Char Char1265,Document Map Char Char Char1265"/>
    <w:uiPriority w:val="99"/>
    <w:semiHidden/>
    <w:rPr>
      <w:rFonts w:ascii="Tahoma" w:hAnsi="Tahoma"/>
      <w:sz w:val="16"/>
      <w:lang w:val="x-none" w:eastAsia="cs-CZ"/>
    </w:rPr>
  </w:style>
  <w:style w:type="character" w:customStyle="1" w:styleId="truktradokumentuChar1263">
    <w:name w:val="Štruktúra dokumentu Char1263"/>
    <w:aliases w:val="Char9 Char Char1264,Štruktúra dokumentu Char Char Char1264,Document Map Char Char Char1264"/>
    <w:uiPriority w:val="99"/>
    <w:semiHidden/>
    <w:rPr>
      <w:rFonts w:ascii="Tahoma" w:hAnsi="Tahoma"/>
      <w:sz w:val="16"/>
      <w:lang w:val="x-none" w:eastAsia="cs-CZ"/>
    </w:rPr>
  </w:style>
  <w:style w:type="character" w:customStyle="1" w:styleId="truktradokumentuChar1262">
    <w:name w:val="Štruktúra dokumentu Char1262"/>
    <w:aliases w:val="Char9 Char Char1263,Štruktúra dokumentu Char Char Char1263,Document Map Char Char Char1263"/>
    <w:uiPriority w:val="99"/>
    <w:semiHidden/>
    <w:rPr>
      <w:rFonts w:ascii="Tahoma" w:hAnsi="Tahoma"/>
      <w:sz w:val="16"/>
      <w:lang w:val="x-none" w:eastAsia="cs-CZ"/>
    </w:rPr>
  </w:style>
  <w:style w:type="character" w:customStyle="1" w:styleId="truktradokumentuChar1261">
    <w:name w:val="Štruktúra dokumentu Char1261"/>
    <w:aliases w:val="Char9 Char Char1262,Štruktúra dokumentu Char Char Char1262,Document Map Char Char Char1262"/>
    <w:uiPriority w:val="99"/>
    <w:semiHidden/>
    <w:rPr>
      <w:rFonts w:ascii="Tahoma" w:hAnsi="Tahoma"/>
      <w:sz w:val="16"/>
      <w:lang w:val="x-none" w:eastAsia="cs-CZ"/>
    </w:rPr>
  </w:style>
  <w:style w:type="character" w:customStyle="1" w:styleId="truktradokumentuChar1260">
    <w:name w:val="Štruktúra dokumentu Char1260"/>
    <w:aliases w:val="Char9 Char Char1261,Štruktúra dokumentu Char Char Char1261,Document Map Char Char Char1261"/>
    <w:uiPriority w:val="99"/>
    <w:semiHidden/>
    <w:rPr>
      <w:rFonts w:ascii="Tahoma" w:hAnsi="Tahoma"/>
      <w:sz w:val="16"/>
      <w:lang w:val="x-none" w:eastAsia="cs-CZ"/>
    </w:rPr>
  </w:style>
  <w:style w:type="character" w:customStyle="1" w:styleId="truktradokumentuChar1259">
    <w:name w:val="Štruktúra dokumentu Char1259"/>
    <w:aliases w:val="Char9 Char Char1260,Štruktúra dokumentu Char Char Char1260,Document Map Char Char Char1260"/>
    <w:uiPriority w:val="99"/>
    <w:semiHidden/>
    <w:rPr>
      <w:rFonts w:ascii="Tahoma" w:hAnsi="Tahoma"/>
      <w:sz w:val="16"/>
      <w:lang w:val="x-none" w:eastAsia="cs-CZ"/>
    </w:rPr>
  </w:style>
  <w:style w:type="character" w:customStyle="1" w:styleId="truktradokumentuChar1258">
    <w:name w:val="Štruktúra dokumentu Char1258"/>
    <w:aliases w:val="Char9 Char Char1259,Štruktúra dokumentu Char Char Char1259,Document Map Char Char Char1259"/>
    <w:uiPriority w:val="99"/>
    <w:semiHidden/>
    <w:rPr>
      <w:rFonts w:ascii="Tahoma" w:hAnsi="Tahoma"/>
      <w:sz w:val="16"/>
      <w:lang w:val="x-none" w:eastAsia="cs-CZ"/>
    </w:rPr>
  </w:style>
  <w:style w:type="character" w:customStyle="1" w:styleId="truktradokumentuChar1257">
    <w:name w:val="Štruktúra dokumentu Char1257"/>
    <w:aliases w:val="Char9 Char Char1258,Štruktúra dokumentu Char Char Char1258,Document Map Char Char Char1258"/>
    <w:uiPriority w:val="99"/>
    <w:semiHidden/>
    <w:rPr>
      <w:rFonts w:ascii="Tahoma" w:hAnsi="Tahoma"/>
      <w:sz w:val="16"/>
      <w:lang w:val="x-none" w:eastAsia="cs-CZ"/>
    </w:rPr>
  </w:style>
  <w:style w:type="character" w:customStyle="1" w:styleId="truktradokumentuChar1256">
    <w:name w:val="Štruktúra dokumentu Char1256"/>
    <w:aliases w:val="Char9 Char Char1257,Štruktúra dokumentu Char Char Char1257,Document Map Char Char Char1257"/>
    <w:uiPriority w:val="99"/>
    <w:semiHidden/>
    <w:rPr>
      <w:rFonts w:ascii="Tahoma" w:hAnsi="Tahoma"/>
      <w:sz w:val="16"/>
      <w:lang w:val="x-none" w:eastAsia="cs-CZ"/>
    </w:rPr>
  </w:style>
  <w:style w:type="character" w:customStyle="1" w:styleId="truktradokumentuChar1255">
    <w:name w:val="Štruktúra dokumentu Char1255"/>
    <w:aliases w:val="Char9 Char Char1256,Štruktúra dokumentu Char Char Char1256,Document Map Char Char Char1256"/>
    <w:uiPriority w:val="99"/>
    <w:semiHidden/>
    <w:rPr>
      <w:rFonts w:ascii="Tahoma" w:hAnsi="Tahoma"/>
      <w:sz w:val="16"/>
      <w:lang w:val="x-none" w:eastAsia="cs-CZ"/>
    </w:rPr>
  </w:style>
  <w:style w:type="character" w:customStyle="1" w:styleId="truktradokumentuChar1254">
    <w:name w:val="Štruktúra dokumentu Char1254"/>
    <w:aliases w:val="Char9 Char Char1255,Štruktúra dokumentu Char Char Char1255,Document Map Char Char Char1255"/>
    <w:uiPriority w:val="99"/>
    <w:semiHidden/>
    <w:rPr>
      <w:rFonts w:ascii="Tahoma" w:hAnsi="Tahoma"/>
      <w:sz w:val="16"/>
      <w:lang w:val="x-none" w:eastAsia="cs-CZ"/>
    </w:rPr>
  </w:style>
  <w:style w:type="character" w:customStyle="1" w:styleId="truktradokumentuChar1253">
    <w:name w:val="Štruktúra dokumentu Char1253"/>
    <w:aliases w:val="Char9 Char Char1254,Štruktúra dokumentu Char Char Char1254,Document Map Char Char Char1254"/>
    <w:uiPriority w:val="99"/>
    <w:semiHidden/>
    <w:rPr>
      <w:rFonts w:ascii="Tahoma" w:hAnsi="Tahoma"/>
      <w:sz w:val="16"/>
      <w:lang w:val="x-none" w:eastAsia="cs-CZ"/>
    </w:rPr>
  </w:style>
  <w:style w:type="character" w:customStyle="1" w:styleId="truktradokumentuChar1252">
    <w:name w:val="Štruktúra dokumentu Char1252"/>
    <w:aliases w:val="Char9 Char Char1253,Štruktúra dokumentu Char Char Char1253,Document Map Char Char Char1253"/>
    <w:uiPriority w:val="99"/>
    <w:semiHidden/>
    <w:rPr>
      <w:rFonts w:ascii="Tahoma" w:hAnsi="Tahoma"/>
      <w:sz w:val="16"/>
      <w:lang w:val="x-none" w:eastAsia="cs-CZ"/>
    </w:rPr>
  </w:style>
  <w:style w:type="character" w:customStyle="1" w:styleId="truktradokumentuChar1251">
    <w:name w:val="Štruktúra dokumentu Char1251"/>
    <w:aliases w:val="Char9 Char Char1252,Štruktúra dokumentu Char Char Char1252,Document Map Char Char Char1252"/>
    <w:uiPriority w:val="99"/>
    <w:semiHidden/>
    <w:rPr>
      <w:rFonts w:ascii="Tahoma" w:hAnsi="Tahoma"/>
      <w:sz w:val="16"/>
      <w:lang w:val="x-none" w:eastAsia="cs-CZ"/>
    </w:rPr>
  </w:style>
  <w:style w:type="character" w:customStyle="1" w:styleId="truktradokumentuChar1250">
    <w:name w:val="Štruktúra dokumentu Char1250"/>
    <w:aliases w:val="Char9 Char Char1251,Štruktúra dokumentu Char Char Char1251,Document Map Char Char Char1251"/>
    <w:uiPriority w:val="99"/>
    <w:semiHidden/>
    <w:rPr>
      <w:rFonts w:ascii="Tahoma" w:hAnsi="Tahoma"/>
      <w:sz w:val="16"/>
      <w:lang w:val="x-none" w:eastAsia="cs-CZ"/>
    </w:rPr>
  </w:style>
  <w:style w:type="character" w:customStyle="1" w:styleId="truktradokumentuChar1249">
    <w:name w:val="Štruktúra dokumentu Char1249"/>
    <w:aliases w:val="Char9 Char Char1250,Štruktúra dokumentu Char Char Char1250,Document Map Char Char Char1250"/>
    <w:uiPriority w:val="99"/>
    <w:semiHidden/>
    <w:rPr>
      <w:rFonts w:ascii="Tahoma" w:hAnsi="Tahoma"/>
      <w:sz w:val="16"/>
      <w:lang w:val="x-none" w:eastAsia="cs-CZ"/>
    </w:rPr>
  </w:style>
  <w:style w:type="character" w:customStyle="1" w:styleId="truktradokumentuChar1248">
    <w:name w:val="Štruktúra dokumentu Char1248"/>
    <w:aliases w:val="Char9 Char Char1249,Štruktúra dokumentu Char Char Char1249,Document Map Char Char Char1249"/>
    <w:uiPriority w:val="99"/>
    <w:semiHidden/>
    <w:rPr>
      <w:rFonts w:ascii="Tahoma" w:hAnsi="Tahoma"/>
      <w:sz w:val="16"/>
      <w:lang w:val="x-none" w:eastAsia="cs-CZ"/>
    </w:rPr>
  </w:style>
  <w:style w:type="character" w:customStyle="1" w:styleId="truktradokumentuChar1247">
    <w:name w:val="Štruktúra dokumentu Char1247"/>
    <w:aliases w:val="Char9 Char Char1248,Štruktúra dokumentu Char Char Char1248,Document Map Char Char Char1248"/>
    <w:uiPriority w:val="99"/>
    <w:semiHidden/>
    <w:rPr>
      <w:rFonts w:ascii="Tahoma" w:hAnsi="Tahoma"/>
      <w:sz w:val="16"/>
      <w:lang w:val="x-none" w:eastAsia="cs-CZ"/>
    </w:rPr>
  </w:style>
  <w:style w:type="character" w:customStyle="1" w:styleId="truktradokumentuChar1246">
    <w:name w:val="Štruktúra dokumentu Char1246"/>
    <w:aliases w:val="Char9 Char Char1247,Štruktúra dokumentu Char Char Char1247,Document Map Char Char Char1247"/>
    <w:uiPriority w:val="99"/>
    <w:semiHidden/>
    <w:rPr>
      <w:rFonts w:ascii="Tahoma" w:hAnsi="Tahoma"/>
      <w:sz w:val="16"/>
      <w:lang w:val="x-none" w:eastAsia="cs-CZ"/>
    </w:rPr>
  </w:style>
  <w:style w:type="character" w:customStyle="1" w:styleId="truktradokumentuChar1245">
    <w:name w:val="Štruktúra dokumentu Char1245"/>
    <w:aliases w:val="Char9 Char Char1246,Štruktúra dokumentu Char Char Char1246,Document Map Char Char Char1246"/>
    <w:uiPriority w:val="99"/>
    <w:semiHidden/>
    <w:rPr>
      <w:rFonts w:ascii="Tahoma" w:hAnsi="Tahoma"/>
      <w:sz w:val="16"/>
      <w:lang w:val="x-none" w:eastAsia="cs-CZ"/>
    </w:rPr>
  </w:style>
  <w:style w:type="character" w:customStyle="1" w:styleId="truktradokumentuChar1244">
    <w:name w:val="Štruktúra dokumentu Char1244"/>
    <w:aliases w:val="Char9 Char Char1245,Štruktúra dokumentu Char Char Char1245,Document Map Char Char Char1245"/>
    <w:uiPriority w:val="99"/>
    <w:semiHidden/>
    <w:rPr>
      <w:rFonts w:ascii="Tahoma" w:hAnsi="Tahoma"/>
      <w:sz w:val="16"/>
      <w:lang w:val="x-none" w:eastAsia="cs-CZ"/>
    </w:rPr>
  </w:style>
  <w:style w:type="character" w:customStyle="1" w:styleId="truktradokumentuChar1243">
    <w:name w:val="Štruktúra dokumentu Char1243"/>
    <w:aliases w:val="Char9 Char Char1244,Štruktúra dokumentu Char Char Char1244,Document Map Char Char Char1244"/>
    <w:uiPriority w:val="99"/>
    <w:semiHidden/>
    <w:rPr>
      <w:rFonts w:ascii="Tahoma" w:hAnsi="Tahoma"/>
      <w:sz w:val="16"/>
      <w:lang w:val="x-none" w:eastAsia="cs-CZ"/>
    </w:rPr>
  </w:style>
  <w:style w:type="character" w:customStyle="1" w:styleId="truktradokumentuChar1242">
    <w:name w:val="Štruktúra dokumentu Char1242"/>
    <w:aliases w:val="Char9 Char Char1243,Štruktúra dokumentu Char Char Char1243,Document Map Char Char Char1243"/>
    <w:uiPriority w:val="99"/>
    <w:semiHidden/>
    <w:rPr>
      <w:rFonts w:ascii="Tahoma" w:hAnsi="Tahoma"/>
      <w:sz w:val="16"/>
      <w:lang w:val="x-none" w:eastAsia="cs-CZ"/>
    </w:rPr>
  </w:style>
  <w:style w:type="character" w:customStyle="1" w:styleId="truktradokumentuChar1241">
    <w:name w:val="Štruktúra dokumentu Char1241"/>
    <w:aliases w:val="Char9 Char Char1242,Štruktúra dokumentu Char Char Char1242,Document Map Char Char Char1242"/>
    <w:uiPriority w:val="99"/>
    <w:semiHidden/>
    <w:rPr>
      <w:rFonts w:ascii="Tahoma" w:hAnsi="Tahoma"/>
      <w:sz w:val="16"/>
      <w:lang w:val="x-none" w:eastAsia="cs-CZ"/>
    </w:rPr>
  </w:style>
  <w:style w:type="character" w:customStyle="1" w:styleId="truktradokumentuChar1240">
    <w:name w:val="Štruktúra dokumentu Char1240"/>
    <w:aliases w:val="Char9 Char Char1241,Štruktúra dokumentu Char Char Char1241,Document Map Char Char Char1241"/>
    <w:uiPriority w:val="99"/>
    <w:semiHidden/>
    <w:rPr>
      <w:rFonts w:ascii="Tahoma" w:hAnsi="Tahoma"/>
      <w:sz w:val="16"/>
      <w:lang w:val="x-none" w:eastAsia="cs-CZ"/>
    </w:rPr>
  </w:style>
  <w:style w:type="character" w:customStyle="1" w:styleId="truktradokumentuChar1239">
    <w:name w:val="Štruktúra dokumentu Char1239"/>
    <w:aliases w:val="Char9 Char Char1240,Štruktúra dokumentu Char Char Char1240,Document Map Char Char Char1240"/>
    <w:uiPriority w:val="99"/>
    <w:semiHidden/>
    <w:rPr>
      <w:rFonts w:ascii="Tahoma" w:hAnsi="Tahoma"/>
      <w:sz w:val="16"/>
      <w:lang w:val="x-none" w:eastAsia="cs-CZ"/>
    </w:rPr>
  </w:style>
  <w:style w:type="character" w:customStyle="1" w:styleId="truktradokumentuChar1238">
    <w:name w:val="Štruktúra dokumentu Char1238"/>
    <w:aliases w:val="Char9 Char Char1239,Štruktúra dokumentu Char Char Char1239,Document Map Char Char Char1239"/>
    <w:uiPriority w:val="99"/>
    <w:semiHidden/>
    <w:rPr>
      <w:rFonts w:ascii="Tahoma" w:hAnsi="Tahoma"/>
      <w:sz w:val="16"/>
      <w:lang w:val="x-none" w:eastAsia="cs-CZ"/>
    </w:rPr>
  </w:style>
  <w:style w:type="character" w:customStyle="1" w:styleId="truktradokumentuChar1237">
    <w:name w:val="Štruktúra dokumentu Char1237"/>
    <w:aliases w:val="Char9 Char Char1238,Štruktúra dokumentu Char Char Char1238,Document Map Char Char Char1238"/>
    <w:uiPriority w:val="99"/>
    <w:semiHidden/>
    <w:rPr>
      <w:rFonts w:ascii="Tahoma" w:hAnsi="Tahoma"/>
      <w:sz w:val="16"/>
      <w:lang w:val="x-none" w:eastAsia="cs-CZ"/>
    </w:rPr>
  </w:style>
  <w:style w:type="character" w:customStyle="1" w:styleId="truktradokumentuChar1236">
    <w:name w:val="Štruktúra dokumentu Char1236"/>
    <w:aliases w:val="Char9 Char Char1237,Štruktúra dokumentu Char Char Char1237,Document Map Char Char Char1237"/>
    <w:uiPriority w:val="99"/>
    <w:semiHidden/>
    <w:rPr>
      <w:rFonts w:ascii="Tahoma" w:hAnsi="Tahoma"/>
      <w:sz w:val="16"/>
      <w:lang w:val="x-none" w:eastAsia="cs-CZ"/>
    </w:rPr>
  </w:style>
  <w:style w:type="character" w:customStyle="1" w:styleId="truktradokumentuChar1235">
    <w:name w:val="Štruktúra dokumentu Char1235"/>
    <w:aliases w:val="Char9 Char Char1236,Štruktúra dokumentu Char Char Char1236,Document Map Char Char Char1236"/>
    <w:uiPriority w:val="99"/>
    <w:semiHidden/>
    <w:rPr>
      <w:rFonts w:ascii="Tahoma" w:hAnsi="Tahoma"/>
      <w:sz w:val="16"/>
      <w:lang w:val="x-none" w:eastAsia="cs-CZ"/>
    </w:rPr>
  </w:style>
  <w:style w:type="character" w:customStyle="1" w:styleId="truktradokumentuChar1234">
    <w:name w:val="Štruktúra dokumentu Char1234"/>
    <w:aliases w:val="Char9 Char Char1235,Štruktúra dokumentu Char Char Char1235,Document Map Char Char Char1235"/>
    <w:uiPriority w:val="99"/>
    <w:semiHidden/>
    <w:rPr>
      <w:rFonts w:ascii="Tahoma" w:hAnsi="Tahoma"/>
      <w:sz w:val="16"/>
      <w:lang w:val="x-none" w:eastAsia="cs-CZ"/>
    </w:rPr>
  </w:style>
  <w:style w:type="character" w:customStyle="1" w:styleId="truktradokumentuChar1233">
    <w:name w:val="Štruktúra dokumentu Char1233"/>
    <w:aliases w:val="Char9 Char Char1234,Štruktúra dokumentu Char Char Char1234,Document Map Char Char Char1234"/>
    <w:uiPriority w:val="99"/>
    <w:semiHidden/>
    <w:rPr>
      <w:rFonts w:ascii="Tahoma" w:hAnsi="Tahoma"/>
      <w:sz w:val="16"/>
      <w:lang w:val="x-none" w:eastAsia="cs-CZ"/>
    </w:rPr>
  </w:style>
  <w:style w:type="character" w:customStyle="1" w:styleId="truktradokumentuChar1232">
    <w:name w:val="Štruktúra dokumentu Char1232"/>
    <w:aliases w:val="Char9 Char Char1233,Štruktúra dokumentu Char Char Char1233,Document Map Char Char Char1233"/>
    <w:uiPriority w:val="99"/>
    <w:semiHidden/>
    <w:rPr>
      <w:rFonts w:ascii="Tahoma" w:hAnsi="Tahoma"/>
      <w:sz w:val="16"/>
      <w:lang w:val="x-none" w:eastAsia="cs-CZ"/>
    </w:rPr>
  </w:style>
  <w:style w:type="character" w:customStyle="1" w:styleId="truktradokumentuChar1231">
    <w:name w:val="Štruktúra dokumentu Char1231"/>
    <w:aliases w:val="Char9 Char Char1232,Štruktúra dokumentu Char Char Char1232,Document Map Char Char Char1232"/>
    <w:uiPriority w:val="99"/>
    <w:semiHidden/>
    <w:rPr>
      <w:rFonts w:ascii="Tahoma" w:hAnsi="Tahoma"/>
      <w:sz w:val="16"/>
      <w:lang w:val="x-none" w:eastAsia="cs-CZ"/>
    </w:rPr>
  </w:style>
  <w:style w:type="character" w:customStyle="1" w:styleId="truktradokumentuChar1230">
    <w:name w:val="Štruktúra dokumentu Char1230"/>
    <w:aliases w:val="Char9 Char Char1231,Štruktúra dokumentu Char Char Char1231,Document Map Char Char Char1231"/>
    <w:uiPriority w:val="99"/>
    <w:semiHidden/>
    <w:rPr>
      <w:rFonts w:ascii="Tahoma" w:hAnsi="Tahoma"/>
      <w:sz w:val="16"/>
      <w:lang w:val="x-none" w:eastAsia="cs-CZ"/>
    </w:rPr>
  </w:style>
  <w:style w:type="character" w:customStyle="1" w:styleId="truktradokumentuChar1229">
    <w:name w:val="Štruktúra dokumentu Char1229"/>
    <w:aliases w:val="Char9 Char Char1230,Štruktúra dokumentu Char Char Char1230,Document Map Char Char Char1230"/>
    <w:uiPriority w:val="99"/>
    <w:semiHidden/>
    <w:rPr>
      <w:rFonts w:ascii="Tahoma" w:hAnsi="Tahoma"/>
      <w:sz w:val="16"/>
      <w:lang w:val="x-none" w:eastAsia="cs-CZ"/>
    </w:rPr>
  </w:style>
  <w:style w:type="character" w:customStyle="1" w:styleId="truktradokumentuChar1228">
    <w:name w:val="Štruktúra dokumentu Char1228"/>
    <w:aliases w:val="Char9 Char Char1229,Štruktúra dokumentu Char Char Char1229,Document Map Char Char Char1229"/>
    <w:uiPriority w:val="99"/>
    <w:semiHidden/>
    <w:rPr>
      <w:rFonts w:ascii="Tahoma" w:hAnsi="Tahoma"/>
      <w:sz w:val="16"/>
      <w:lang w:val="x-none" w:eastAsia="cs-CZ"/>
    </w:rPr>
  </w:style>
  <w:style w:type="character" w:customStyle="1" w:styleId="truktradokumentuChar1227">
    <w:name w:val="Štruktúra dokumentu Char1227"/>
    <w:aliases w:val="Char9 Char Char1228,Štruktúra dokumentu Char Char Char1228,Document Map Char Char Char1228"/>
    <w:uiPriority w:val="99"/>
    <w:semiHidden/>
    <w:rPr>
      <w:rFonts w:ascii="Tahoma" w:hAnsi="Tahoma"/>
      <w:sz w:val="16"/>
      <w:lang w:val="x-none" w:eastAsia="cs-CZ"/>
    </w:rPr>
  </w:style>
  <w:style w:type="character" w:customStyle="1" w:styleId="truktradokumentuChar1226">
    <w:name w:val="Štruktúra dokumentu Char1226"/>
    <w:aliases w:val="Char9 Char Char1227,Štruktúra dokumentu Char Char Char1227,Document Map Char Char Char1227"/>
    <w:uiPriority w:val="99"/>
    <w:semiHidden/>
    <w:rPr>
      <w:rFonts w:ascii="Tahoma" w:hAnsi="Tahoma"/>
      <w:sz w:val="16"/>
      <w:lang w:val="x-none" w:eastAsia="cs-CZ"/>
    </w:rPr>
  </w:style>
  <w:style w:type="character" w:customStyle="1" w:styleId="truktradokumentuChar1225">
    <w:name w:val="Štruktúra dokumentu Char1225"/>
    <w:aliases w:val="Char9 Char Char1226,Štruktúra dokumentu Char Char Char1226,Document Map Char Char Char1226"/>
    <w:uiPriority w:val="99"/>
    <w:semiHidden/>
    <w:rPr>
      <w:rFonts w:ascii="Tahoma" w:hAnsi="Tahoma"/>
      <w:sz w:val="16"/>
      <w:lang w:val="x-none" w:eastAsia="cs-CZ"/>
    </w:rPr>
  </w:style>
  <w:style w:type="character" w:customStyle="1" w:styleId="truktradokumentuChar1224">
    <w:name w:val="Štruktúra dokumentu Char1224"/>
    <w:aliases w:val="Char9 Char Char1225,Štruktúra dokumentu Char Char Char1225,Document Map Char Char Char1225"/>
    <w:uiPriority w:val="99"/>
    <w:semiHidden/>
    <w:rPr>
      <w:rFonts w:ascii="Tahoma" w:hAnsi="Tahoma"/>
      <w:sz w:val="16"/>
      <w:lang w:val="x-none" w:eastAsia="cs-CZ"/>
    </w:rPr>
  </w:style>
  <w:style w:type="character" w:customStyle="1" w:styleId="truktradokumentuChar1223">
    <w:name w:val="Štruktúra dokumentu Char1223"/>
    <w:aliases w:val="Char9 Char Char1224,Štruktúra dokumentu Char Char Char1224,Document Map Char Char Char1224"/>
    <w:uiPriority w:val="99"/>
    <w:semiHidden/>
    <w:rPr>
      <w:rFonts w:ascii="Tahoma" w:hAnsi="Tahoma"/>
      <w:sz w:val="16"/>
      <w:lang w:val="x-none" w:eastAsia="cs-CZ"/>
    </w:rPr>
  </w:style>
  <w:style w:type="character" w:customStyle="1" w:styleId="truktradokumentuChar1222">
    <w:name w:val="Štruktúra dokumentu Char1222"/>
    <w:aliases w:val="Char9 Char Char1223,Štruktúra dokumentu Char Char Char1223,Document Map Char Char Char1223"/>
    <w:uiPriority w:val="99"/>
    <w:semiHidden/>
    <w:rPr>
      <w:rFonts w:ascii="Tahoma" w:hAnsi="Tahoma"/>
      <w:sz w:val="16"/>
      <w:lang w:val="x-none" w:eastAsia="cs-CZ"/>
    </w:rPr>
  </w:style>
  <w:style w:type="character" w:customStyle="1" w:styleId="truktradokumentuChar1221">
    <w:name w:val="Štruktúra dokumentu Char1221"/>
    <w:aliases w:val="Char9 Char Char1222,Štruktúra dokumentu Char Char Char1222,Document Map Char Char Char1222"/>
    <w:uiPriority w:val="99"/>
    <w:semiHidden/>
    <w:rPr>
      <w:rFonts w:ascii="Tahoma" w:hAnsi="Tahoma"/>
      <w:sz w:val="16"/>
      <w:lang w:val="x-none" w:eastAsia="cs-CZ"/>
    </w:rPr>
  </w:style>
  <w:style w:type="character" w:customStyle="1" w:styleId="truktradokumentuChar1220">
    <w:name w:val="Štruktúra dokumentu Char1220"/>
    <w:aliases w:val="Char9 Char Char1221,Štruktúra dokumentu Char Char Char1221,Document Map Char Char Char1221"/>
    <w:uiPriority w:val="99"/>
    <w:semiHidden/>
    <w:rPr>
      <w:rFonts w:ascii="Tahoma" w:hAnsi="Tahoma"/>
      <w:sz w:val="16"/>
      <w:lang w:val="x-none" w:eastAsia="cs-CZ"/>
    </w:rPr>
  </w:style>
  <w:style w:type="character" w:customStyle="1" w:styleId="truktradokumentuChar1219">
    <w:name w:val="Štruktúra dokumentu Char1219"/>
    <w:aliases w:val="Char9 Char Char1220,Štruktúra dokumentu Char Char Char1220,Document Map Char Char Char1220"/>
    <w:uiPriority w:val="99"/>
    <w:semiHidden/>
    <w:rPr>
      <w:rFonts w:ascii="Tahoma" w:hAnsi="Tahoma"/>
      <w:sz w:val="16"/>
      <w:lang w:val="x-none" w:eastAsia="cs-CZ"/>
    </w:rPr>
  </w:style>
  <w:style w:type="character" w:customStyle="1" w:styleId="truktradokumentuChar1218">
    <w:name w:val="Štruktúra dokumentu Char1218"/>
    <w:aliases w:val="Char9 Char Char1219,Štruktúra dokumentu Char Char Char1219,Document Map Char Char Char1219"/>
    <w:uiPriority w:val="99"/>
    <w:semiHidden/>
    <w:rPr>
      <w:rFonts w:ascii="Tahoma" w:hAnsi="Tahoma"/>
      <w:sz w:val="16"/>
      <w:lang w:val="x-none" w:eastAsia="cs-CZ"/>
    </w:rPr>
  </w:style>
  <w:style w:type="character" w:customStyle="1" w:styleId="truktradokumentuChar1217">
    <w:name w:val="Štruktúra dokumentu Char1217"/>
    <w:aliases w:val="Char9 Char Char1218,Štruktúra dokumentu Char Char Char1218,Document Map Char Char Char1218"/>
    <w:uiPriority w:val="99"/>
    <w:semiHidden/>
    <w:rPr>
      <w:rFonts w:ascii="Tahoma" w:hAnsi="Tahoma"/>
      <w:sz w:val="16"/>
      <w:lang w:val="x-none" w:eastAsia="cs-CZ"/>
    </w:rPr>
  </w:style>
  <w:style w:type="character" w:customStyle="1" w:styleId="truktradokumentuChar1216">
    <w:name w:val="Štruktúra dokumentu Char1216"/>
    <w:aliases w:val="Char9 Char Char1217,Štruktúra dokumentu Char Char Char1217,Document Map Char Char Char1217"/>
    <w:uiPriority w:val="99"/>
    <w:semiHidden/>
    <w:rPr>
      <w:rFonts w:ascii="Tahoma" w:hAnsi="Tahoma"/>
      <w:sz w:val="16"/>
      <w:lang w:val="x-none" w:eastAsia="cs-CZ"/>
    </w:rPr>
  </w:style>
  <w:style w:type="character" w:customStyle="1" w:styleId="truktradokumentuChar1215">
    <w:name w:val="Štruktúra dokumentu Char1215"/>
    <w:aliases w:val="Char9 Char Char1216,Štruktúra dokumentu Char Char Char1216,Document Map Char Char Char1216"/>
    <w:uiPriority w:val="99"/>
    <w:semiHidden/>
    <w:rPr>
      <w:rFonts w:ascii="Tahoma" w:hAnsi="Tahoma"/>
      <w:sz w:val="16"/>
      <w:lang w:val="x-none" w:eastAsia="cs-CZ"/>
    </w:rPr>
  </w:style>
  <w:style w:type="character" w:customStyle="1" w:styleId="truktradokumentuChar1214">
    <w:name w:val="Štruktúra dokumentu Char1214"/>
    <w:aliases w:val="Char9 Char Char1215,Štruktúra dokumentu Char Char Char1215,Document Map Char Char Char1215"/>
    <w:uiPriority w:val="99"/>
    <w:semiHidden/>
    <w:rPr>
      <w:rFonts w:ascii="Tahoma" w:hAnsi="Tahoma"/>
      <w:sz w:val="16"/>
      <w:lang w:val="x-none" w:eastAsia="cs-CZ"/>
    </w:rPr>
  </w:style>
  <w:style w:type="character" w:customStyle="1" w:styleId="truktradokumentuChar1213">
    <w:name w:val="Štruktúra dokumentu Char1213"/>
    <w:aliases w:val="Char9 Char Char1214,Štruktúra dokumentu Char Char Char1214,Document Map Char Char Char1214"/>
    <w:uiPriority w:val="99"/>
    <w:semiHidden/>
    <w:rPr>
      <w:rFonts w:ascii="Tahoma" w:hAnsi="Tahoma"/>
      <w:sz w:val="16"/>
      <w:lang w:val="x-none" w:eastAsia="cs-CZ"/>
    </w:rPr>
  </w:style>
  <w:style w:type="character" w:customStyle="1" w:styleId="truktradokumentuChar1212">
    <w:name w:val="Štruktúra dokumentu Char1212"/>
    <w:aliases w:val="Char9 Char Char1213,Štruktúra dokumentu Char Char Char1213,Document Map Char Char Char1213"/>
    <w:uiPriority w:val="99"/>
    <w:semiHidden/>
    <w:rPr>
      <w:rFonts w:ascii="Tahoma" w:hAnsi="Tahoma"/>
      <w:sz w:val="16"/>
      <w:lang w:val="x-none" w:eastAsia="cs-CZ"/>
    </w:rPr>
  </w:style>
  <w:style w:type="character" w:customStyle="1" w:styleId="truktradokumentuChar1211">
    <w:name w:val="Štruktúra dokumentu Char1211"/>
    <w:aliases w:val="Char9 Char Char1212,Štruktúra dokumentu Char Char Char1212,Document Map Char Char Char1212"/>
    <w:uiPriority w:val="99"/>
    <w:semiHidden/>
    <w:rPr>
      <w:rFonts w:ascii="Tahoma" w:hAnsi="Tahoma"/>
      <w:sz w:val="16"/>
      <w:lang w:val="x-none" w:eastAsia="cs-CZ"/>
    </w:rPr>
  </w:style>
  <w:style w:type="character" w:customStyle="1" w:styleId="truktradokumentuChar1210">
    <w:name w:val="Štruktúra dokumentu Char1210"/>
    <w:aliases w:val="Char9 Char Char1211,Štruktúra dokumentu Char Char Char1211,Document Map Char Char Char1211"/>
    <w:uiPriority w:val="99"/>
    <w:semiHidden/>
    <w:rPr>
      <w:rFonts w:ascii="Tahoma" w:hAnsi="Tahoma"/>
      <w:sz w:val="16"/>
      <w:lang w:val="x-none" w:eastAsia="cs-CZ"/>
    </w:rPr>
  </w:style>
  <w:style w:type="character" w:customStyle="1" w:styleId="truktradokumentuChar1209">
    <w:name w:val="Štruktúra dokumentu Char1209"/>
    <w:aliases w:val="Char9 Char Char1210,Štruktúra dokumentu Char Char Char1210,Document Map Char Char Char1210"/>
    <w:uiPriority w:val="99"/>
    <w:semiHidden/>
    <w:rPr>
      <w:rFonts w:ascii="Tahoma" w:hAnsi="Tahoma"/>
      <w:sz w:val="16"/>
      <w:lang w:val="x-none" w:eastAsia="cs-CZ"/>
    </w:rPr>
  </w:style>
  <w:style w:type="character" w:customStyle="1" w:styleId="truktradokumentuChar1208">
    <w:name w:val="Štruktúra dokumentu Char1208"/>
    <w:aliases w:val="Char9 Char Char1209,Štruktúra dokumentu Char Char Char1209,Document Map Char Char Char1209"/>
    <w:uiPriority w:val="99"/>
    <w:semiHidden/>
    <w:rPr>
      <w:rFonts w:ascii="Tahoma" w:hAnsi="Tahoma"/>
      <w:sz w:val="16"/>
      <w:lang w:val="x-none" w:eastAsia="cs-CZ"/>
    </w:rPr>
  </w:style>
  <w:style w:type="character" w:customStyle="1" w:styleId="truktradokumentuChar1207">
    <w:name w:val="Štruktúra dokumentu Char1207"/>
    <w:aliases w:val="Char9 Char Char1208,Štruktúra dokumentu Char Char Char1208,Document Map Char Char Char1208"/>
    <w:uiPriority w:val="99"/>
    <w:semiHidden/>
    <w:rPr>
      <w:rFonts w:ascii="Tahoma" w:hAnsi="Tahoma"/>
      <w:sz w:val="16"/>
      <w:lang w:val="x-none" w:eastAsia="cs-CZ"/>
    </w:rPr>
  </w:style>
  <w:style w:type="character" w:customStyle="1" w:styleId="truktradokumentuChar1206">
    <w:name w:val="Štruktúra dokumentu Char1206"/>
    <w:aliases w:val="Char9 Char Char1207,Štruktúra dokumentu Char Char Char1207,Document Map Char Char Char1207"/>
    <w:uiPriority w:val="99"/>
    <w:semiHidden/>
    <w:rPr>
      <w:rFonts w:ascii="Tahoma" w:hAnsi="Tahoma"/>
      <w:sz w:val="16"/>
      <w:lang w:val="x-none" w:eastAsia="cs-CZ"/>
    </w:rPr>
  </w:style>
  <w:style w:type="character" w:customStyle="1" w:styleId="truktradokumentuChar1205">
    <w:name w:val="Štruktúra dokumentu Char1205"/>
    <w:aliases w:val="Char9 Char Char1206,Štruktúra dokumentu Char Char Char1206,Document Map Char Char Char1206"/>
    <w:uiPriority w:val="99"/>
    <w:semiHidden/>
    <w:rPr>
      <w:rFonts w:ascii="Tahoma" w:hAnsi="Tahoma"/>
      <w:sz w:val="16"/>
      <w:lang w:val="x-none" w:eastAsia="cs-CZ"/>
    </w:rPr>
  </w:style>
  <w:style w:type="character" w:customStyle="1" w:styleId="truktradokumentuChar1204">
    <w:name w:val="Štruktúra dokumentu Char1204"/>
    <w:aliases w:val="Char9 Char Char1205,Štruktúra dokumentu Char Char Char1205,Document Map Char Char Char1205"/>
    <w:uiPriority w:val="99"/>
    <w:semiHidden/>
    <w:rPr>
      <w:rFonts w:ascii="Tahoma" w:hAnsi="Tahoma"/>
      <w:sz w:val="16"/>
      <w:lang w:val="x-none" w:eastAsia="cs-CZ"/>
    </w:rPr>
  </w:style>
  <w:style w:type="character" w:customStyle="1" w:styleId="truktradokumentuChar1203">
    <w:name w:val="Štruktúra dokumentu Char1203"/>
    <w:aliases w:val="Char9 Char Char1204,Štruktúra dokumentu Char Char Char1204,Document Map Char Char Char1204"/>
    <w:uiPriority w:val="99"/>
    <w:semiHidden/>
    <w:rPr>
      <w:rFonts w:ascii="Tahoma" w:hAnsi="Tahoma"/>
      <w:sz w:val="16"/>
      <w:lang w:val="x-none" w:eastAsia="cs-CZ"/>
    </w:rPr>
  </w:style>
  <w:style w:type="character" w:customStyle="1" w:styleId="truktradokumentuChar1202">
    <w:name w:val="Štruktúra dokumentu Char1202"/>
    <w:aliases w:val="Char9 Char Char1203,Štruktúra dokumentu Char Char Char1203,Document Map Char Char Char1203"/>
    <w:uiPriority w:val="99"/>
    <w:semiHidden/>
    <w:rPr>
      <w:rFonts w:ascii="Tahoma" w:hAnsi="Tahoma"/>
      <w:sz w:val="16"/>
      <w:lang w:val="x-none" w:eastAsia="cs-CZ"/>
    </w:rPr>
  </w:style>
  <w:style w:type="character" w:customStyle="1" w:styleId="truktradokumentuChar1201">
    <w:name w:val="Štruktúra dokumentu Char1201"/>
    <w:aliases w:val="Char9 Char Char1202,Štruktúra dokumentu Char Char Char1202,Document Map Char Char Char1202"/>
    <w:uiPriority w:val="99"/>
    <w:semiHidden/>
    <w:rPr>
      <w:rFonts w:ascii="Tahoma" w:hAnsi="Tahoma"/>
      <w:sz w:val="16"/>
      <w:lang w:val="x-none" w:eastAsia="cs-CZ"/>
    </w:rPr>
  </w:style>
  <w:style w:type="character" w:customStyle="1" w:styleId="truktradokumentuChar1200">
    <w:name w:val="Štruktúra dokumentu Char1200"/>
    <w:aliases w:val="Char9 Char Char1201,Štruktúra dokumentu Char Char Char1201,Document Map Char Char Char1201"/>
    <w:uiPriority w:val="99"/>
    <w:semiHidden/>
    <w:rPr>
      <w:rFonts w:ascii="Tahoma" w:hAnsi="Tahoma"/>
      <w:sz w:val="16"/>
      <w:lang w:val="x-none" w:eastAsia="cs-CZ"/>
    </w:rPr>
  </w:style>
  <w:style w:type="character" w:customStyle="1" w:styleId="truktradokumentuChar1199">
    <w:name w:val="Štruktúra dokumentu Char1199"/>
    <w:aliases w:val="Char9 Char Char1200,Štruktúra dokumentu Char Char Char1200,Document Map Char Char Char1200"/>
    <w:uiPriority w:val="99"/>
    <w:semiHidden/>
    <w:rPr>
      <w:rFonts w:ascii="Tahoma" w:hAnsi="Tahoma"/>
      <w:sz w:val="16"/>
      <w:lang w:val="x-none" w:eastAsia="cs-CZ"/>
    </w:rPr>
  </w:style>
  <w:style w:type="character" w:customStyle="1" w:styleId="truktradokumentuChar1198">
    <w:name w:val="Štruktúra dokumentu Char1198"/>
    <w:aliases w:val="Char9 Char Char1199,Štruktúra dokumentu Char Char Char1199,Document Map Char Char Char1199"/>
    <w:uiPriority w:val="99"/>
    <w:semiHidden/>
    <w:rPr>
      <w:rFonts w:ascii="Tahoma" w:hAnsi="Tahoma"/>
      <w:sz w:val="16"/>
      <w:lang w:val="x-none" w:eastAsia="cs-CZ"/>
    </w:rPr>
  </w:style>
  <w:style w:type="character" w:customStyle="1" w:styleId="truktradokumentuChar1197">
    <w:name w:val="Štruktúra dokumentu Char1197"/>
    <w:aliases w:val="Char9 Char Char1198,Štruktúra dokumentu Char Char Char1198,Document Map Char Char Char1198"/>
    <w:uiPriority w:val="99"/>
    <w:semiHidden/>
    <w:rPr>
      <w:rFonts w:ascii="Tahoma" w:hAnsi="Tahoma"/>
      <w:sz w:val="16"/>
      <w:lang w:val="x-none" w:eastAsia="cs-CZ"/>
    </w:rPr>
  </w:style>
  <w:style w:type="character" w:customStyle="1" w:styleId="truktradokumentuChar1196">
    <w:name w:val="Štruktúra dokumentu Char1196"/>
    <w:aliases w:val="Char9 Char Char1197,Štruktúra dokumentu Char Char Char1197,Document Map Char Char Char1197"/>
    <w:uiPriority w:val="99"/>
    <w:semiHidden/>
    <w:rPr>
      <w:rFonts w:ascii="Tahoma" w:hAnsi="Tahoma"/>
      <w:sz w:val="16"/>
      <w:lang w:val="x-none" w:eastAsia="cs-CZ"/>
    </w:rPr>
  </w:style>
  <w:style w:type="character" w:customStyle="1" w:styleId="truktradokumentuChar1195">
    <w:name w:val="Štruktúra dokumentu Char1195"/>
    <w:aliases w:val="Char9 Char Char1196,Štruktúra dokumentu Char Char Char1196,Document Map Char Char Char1196"/>
    <w:uiPriority w:val="99"/>
    <w:semiHidden/>
    <w:rPr>
      <w:rFonts w:ascii="Tahoma" w:hAnsi="Tahoma"/>
      <w:sz w:val="16"/>
      <w:lang w:val="x-none" w:eastAsia="cs-CZ"/>
    </w:rPr>
  </w:style>
  <w:style w:type="character" w:customStyle="1" w:styleId="truktradokumentuChar1194">
    <w:name w:val="Štruktúra dokumentu Char1194"/>
    <w:aliases w:val="Char9 Char Char1195,Štruktúra dokumentu Char Char Char1195,Document Map Char Char Char1195"/>
    <w:uiPriority w:val="99"/>
    <w:semiHidden/>
    <w:rPr>
      <w:rFonts w:ascii="Tahoma" w:hAnsi="Tahoma"/>
      <w:sz w:val="16"/>
      <w:lang w:val="x-none" w:eastAsia="cs-CZ"/>
    </w:rPr>
  </w:style>
  <w:style w:type="character" w:customStyle="1" w:styleId="truktradokumentuChar1193">
    <w:name w:val="Štruktúra dokumentu Char1193"/>
    <w:aliases w:val="Char9 Char Char1194,Štruktúra dokumentu Char Char Char1194,Document Map Char Char Char1194"/>
    <w:uiPriority w:val="99"/>
    <w:semiHidden/>
    <w:rPr>
      <w:rFonts w:ascii="Tahoma" w:hAnsi="Tahoma"/>
      <w:sz w:val="16"/>
      <w:lang w:val="x-none" w:eastAsia="cs-CZ"/>
    </w:rPr>
  </w:style>
  <w:style w:type="character" w:customStyle="1" w:styleId="truktradokumentuChar1192">
    <w:name w:val="Štruktúra dokumentu Char1192"/>
    <w:aliases w:val="Char9 Char Char1193,Štruktúra dokumentu Char Char Char1193,Document Map Char Char Char1193"/>
    <w:uiPriority w:val="99"/>
    <w:semiHidden/>
    <w:rPr>
      <w:rFonts w:ascii="Tahoma" w:hAnsi="Tahoma"/>
      <w:sz w:val="16"/>
      <w:lang w:val="x-none" w:eastAsia="cs-CZ"/>
    </w:rPr>
  </w:style>
  <w:style w:type="character" w:customStyle="1" w:styleId="truktradokumentuChar1191">
    <w:name w:val="Štruktúra dokumentu Char1191"/>
    <w:aliases w:val="Char9 Char Char1192,Štruktúra dokumentu Char Char Char1192,Document Map Char Char Char1192"/>
    <w:uiPriority w:val="99"/>
    <w:semiHidden/>
    <w:rPr>
      <w:rFonts w:ascii="Tahoma" w:hAnsi="Tahoma"/>
      <w:sz w:val="16"/>
      <w:lang w:val="x-none" w:eastAsia="cs-CZ"/>
    </w:rPr>
  </w:style>
  <w:style w:type="character" w:customStyle="1" w:styleId="truktradokumentuChar1190">
    <w:name w:val="Štruktúra dokumentu Char1190"/>
    <w:aliases w:val="Char9 Char Char1191,Štruktúra dokumentu Char Char Char1191,Document Map Char Char Char1191"/>
    <w:uiPriority w:val="99"/>
    <w:semiHidden/>
    <w:rPr>
      <w:rFonts w:ascii="Tahoma" w:hAnsi="Tahoma"/>
      <w:sz w:val="16"/>
      <w:lang w:val="x-none" w:eastAsia="cs-CZ"/>
    </w:rPr>
  </w:style>
  <w:style w:type="character" w:customStyle="1" w:styleId="truktradokumentuChar1189">
    <w:name w:val="Štruktúra dokumentu Char1189"/>
    <w:aliases w:val="Char9 Char Char1190,Štruktúra dokumentu Char Char Char1190,Document Map Char Char Char1190"/>
    <w:uiPriority w:val="99"/>
    <w:semiHidden/>
    <w:rPr>
      <w:rFonts w:ascii="Tahoma" w:hAnsi="Tahoma"/>
      <w:sz w:val="16"/>
      <w:lang w:val="x-none" w:eastAsia="cs-CZ"/>
    </w:rPr>
  </w:style>
  <w:style w:type="character" w:customStyle="1" w:styleId="truktradokumentuChar1188">
    <w:name w:val="Štruktúra dokumentu Char1188"/>
    <w:aliases w:val="Char9 Char Char1189,Štruktúra dokumentu Char Char Char1189,Document Map Char Char Char1189"/>
    <w:uiPriority w:val="99"/>
    <w:semiHidden/>
    <w:rPr>
      <w:rFonts w:ascii="Tahoma" w:hAnsi="Tahoma"/>
      <w:sz w:val="16"/>
      <w:lang w:val="x-none" w:eastAsia="cs-CZ"/>
    </w:rPr>
  </w:style>
  <w:style w:type="character" w:customStyle="1" w:styleId="truktradokumentuChar1187">
    <w:name w:val="Štruktúra dokumentu Char1187"/>
    <w:aliases w:val="Char9 Char Char1188,Štruktúra dokumentu Char Char Char1188,Document Map Char Char Char1188"/>
    <w:uiPriority w:val="99"/>
    <w:semiHidden/>
    <w:rPr>
      <w:rFonts w:ascii="Tahoma" w:hAnsi="Tahoma"/>
      <w:sz w:val="16"/>
      <w:lang w:val="x-none" w:eastAsia="cs-CZ"/>
    </w:rPr>
  </w:style>
  <w:style w:type="character" w:customStyle="1" w:styleId="truktradokumentuChar1186">
    <w:name w:val="Štruktúra dokumentu Char1186"/>
    <w:aliases w:val="Char9 Char Char1187,Štruktúra dokumentu Char Char Char1187,Document Map Char Char Char1187"/>
    <w:uiPriority w:val="99"/>
    <w:semiHidden/>
    <w:rPr>
      <w:rFonts w:ascii="Tahoma" w:hAnsi="Tahoma"/>
      <w:sz w:val="16"/>
      <w:lang w:val="x-none" w:eastAsia="cs-CZ"/>
    </w:rPr>
  </w:style>
  <w:style w:type="character" w:customStyle="1" w:styleId="truktradokumentuChar1185">
    <w:name w:val="Štruktúra dokumentu Char1185"/>
    <w:aliases w:val="Char9 Char Char1186,Štruktúra dokumentu Char Char Char1186,Document Map Char Char Char1186"/>
    <w:uiPriority w:val="99"/>
    <w:semiHidden/>
    <w:rPr>
      <w:rFonts w:ascii="Tahoma" w:hAnsi="Tahoma"/>
      <w:sz w:val="16"/>
      <w:lang w:val="x-none" w:eastAsia="cs-CZ"/>
    </w:rPr>
  </w:style>
  <w:style w:type="character" w:customStyle="1" w:styleId="truktradokumentuChar1184">
    <w:name w:val="Štruktúra dokumentu Char1184"/>
    <w:aliases w:val="Char9 Char Char1185,Štruktúra dokumentu Char Char Char1185,Document Map Char Char Char1185"/>
    <w:uiPriority w:val="99"/>
    <w:semiHidden/>
    <w:rPr>
      <w:rFonts w:ascii="Tahoma" w:hAnsi="Tahoma"/>
      <w:sz w:val="16"/>
      <w:lang w:val="x-none" w:eastAsia="cs-CZ"/>
    </w:rPr>
  </w:style>
  <w:style w:type="character" w:customStyle="1" w:styleId="truktradokumentuChar1183">
    <w:name w:val="Štruktúra dokumentu Char1183"/>
    <w:aliases w:val="Char9 Char Char1184,Štruktúra dokumentu Char Char Char1184,Document Map Char Char Char1184"/>
    <w:uiPriority w:val="99"/>
    <w:semiHidden/>
    <w:rPr>
      <w:rFonts w:ascii="Tahoma" w:hAnsi="Tahoma"/>
      <w:sz w:val="16"/>
      <w:lang w:val="x-none" w:eastAsia="cs-CZ"/>
    </w:rPr>
  </w:style>
  <w:style w:type="character" w:customStyle="1" w:styleId="truktradokumentuChar1182">
    <w:name w:val="Štruktúra dokumentu Char1182"/>
    <w:aliases w:val="Char9 Char Char1183,Štruktúra dokumentu Char Char Char1183,Document Map Char Char Char1183"/>
    <w:uiPriority w:val="99"/>
    <w:semiHidden/>
    <w:rPr>
      <w:rFonts w:ascii="Tahoma" w:hAnsi="Tahoma"/>
      <w:sz w:val="16"/>
      <w:lang w:val="x-none" w:eastAsia="cs-CZ"/>
    </w:rPr>
  </w:style>
  <w:style w:type="character" w:customStyle="1" w:styleId="truktradokumentuChar1181">
    <w:name w:val="Štruktúra dokumentu Char1181"/>
    <w:aliases w:val="Char9 Char Char1182,Štruktúra dokumentu Char Char Char1182,Document Map Char Char Char1182"/>
    <w:uiPriority w:val="99"/>
    <w:semiHidden/>
    <w:rPr>
      <w:rFonts w:ascii="Tahoma" w:hAnsi="Tahoma"/>
      <w:sz w:val="16"/>
      <w:lang w:val="x-none" w:eastAsia="cs-CZ"/>
    </w:rPr>
  </w:style>
  <w:style w:type="character" w:customStyle="1" w:styleId="truktradokumentuChar1180">
    <w:name w:val="Štruktúra dokumentu Char1180"/>
    <w:aliases w:val="Char9 Char Char1181,Štruktúra dokumentu Char Char Char1181,Document Map Char Char Char1181"/>
    <w:uiPriority w:val="99"/>
    <w:semiHidden/>
    <w:rPr>
      <w:rFonts w:ascii="Tahoma" w:hAnsi="Tahoma"/>
      <w:sz w:val="16"/>
      <w:lang w:val="x-none" w:eastAsia="cs-CZ"/>
    </w:rPr>
  </w:style>
  <w:style w:type="character" w:customStyle="1" w:styleId="truktradokumentuChar1179">
    <w:name w:val="Štruktúra dokumentu Char1179"/>
    <w:aliases w:val="Char9 Char Char1180,Štruktúra dokumentu Char Char Char1180,Document Map Char Char Char1180"/>
    <w:uiPriority w:val="99"/>
    <w:semiHidden/>
    <w:rPr>
      <w:rFonts w:ascii="Tahoma" w:hAnsi="Tahoma"/>
      <w:sz w:val="16"/>
      <w:lang w:val="x-none" w:eastAsia="cs-CZ"/>
    </w:rPr>
  </w:style>
  <w:style w:type="character" w:customStyle="1" w:styleId="truktradokumentuChar1178">
    <w:name w:val="Štruktúra dokumentu Char1178"/>
    <w:aliases w:val="Char9 Char Char1179,Štruktúra dokumentu Char Char Char1179,Document Map Char Char Char1179"/>
    <w:uiPriority w:val="99"/>
    <w:semiHidden/>
    <w:rPr>
      <w:rFonts w:ascii="Tahoma" w:hAnsi="Tahoma"/>
      <w:sz w:val="16"/>
      <w:lang w:val="x-none" w:eastAsia="cs-CZ"/>
    </w:rPr>
  </w:style>
  <w:style w:type="character" w:customStyle="1" w:styleId="truktradokumentuChar1177">
    <w:name w:val="Štruktúra dokumentu Char1177"/>
    <w:aliases w:val="Char9 Char Char1178,Štruktúra dokumentu Char Char Char1178,Document Map Char Char Char1178"/>
    <w:uiPriority w:val="99"/>
    <w:semiHidden/>
    <w:rPr>
      <w:rFonts w:ascii="Tahoma" w:hAnsi="Tahoma"/>
      <w:sz w:val="16"/>
      <w:lang w:val="x-none" w:eastAsia="cs-CZ"/>
    </w:rPr>
  </w:style>
  <w:style w:type="character" w:customStyle="1" w:styleId="truktradokumentuChar1176">
    <w:name w:val="Štruktúra dokumentu Char1176"/>
    <w:aliases w:val="Char9 Char Char1177,Štruktúra dokumentu Char Char Char1177,Document Map Char Char Char1177"/>
    <w:uiPriority w:val="99"/>
    <w:semiHidden/>
    <w:rPr>
      <w:rFonts w:ascii="Tahoma" w:hAnsi="Tahoma"/>
      <w:sz w:val="16"/>
      <w:lang w:val="x-none" w:eastAsia="cs-CZ"/>
    </w:rPr>
  </w:style>
  <w:style w:type="character" w:customStyle="1" w:styleId="truktradokumentuChar1175">
    <w:name w:val="Štruktúra dokumentu Char1175"/>
    <w:aliases w:val="Char9 Char Char1176,Štruktúra dokumentu Char Char Char1176,Document Map Char Char Char1176"/>
    <w:uiPriority w:val="99"/>
    <w:semiHidden/>
    <w:rPr>
      <w:rFonts w:ascii="Tahoma" w:hAnsi="Tahoma"/>
      <w:sz w:val="16"/>
      <w:lang w:val="x-none" w:eastAsia="cs-CZ"/>
    </w:rPr>
  </w:style>
  <w:style w:type="character" w:customStyle="1" w:styleId="truktradokumentuChar1174">
    <w:name w:val="Štruktúra dokumentu Char1174"/>
    <w:aliases w:val="Char9 Char Char1175,Štruktúra dokumentu Char Char Char1175,Document Map Char Char Char1175"/>
    <w:uiPriority w:val="99"/>
    <w:semiHidden/>
    <w:rPr>
      <w:rFonts w:ascii="Tahoma" w:hAnsi="Tahoma"/>
      <w:sz w:val="16"/>
      <w:lang w:val="x-none" w:eastAsia="cs-CZ"/>
    </w:rPr>
  </w:style>
  <w:style w:type="character" w:customStyle="1" w:styleId="truktradokumentuChar1173">
    <w:name w:val="Štruktúra dokumentu Char1173"/>
    <w:aliases w:val="Char9 Char Char1174,Štruktúra dokumentu Char Char Char1174,Document Map Char Char Char1174"/>
    <w:uiPriority w:val="99"/>
    <w:semiHidden/>
    <w:rPr>
      <w:rFonts w:ascii="Tahoma" w:hAnsi="Tahoma"/>
      <w:sz w:val="16"/>
      <w:lang w:val="x-none" w:eastAsia="cs-CZ"/>
    </w:rPr>
  </w:style>
  <w:style w:type="character" w:customStyle="1" w:styleId="truktradokumentuChar1172">
    <w:name w:val="Štruktúra dokumentu Char1172"/>
    <w:aliases w:val="Char9 Char Char1173,Štruktúra dokumentu Char Char Char1173,Document Map Char Char Char1173"/>
    <w:uiPriority w:val="99"/>
    <w:semiHidden/>
    <w:rPr>
      <w:rFonts w:ascii="Tahoma" w:hAnsi="Tahoma"/>
      <w:sz w:val="16"/>
      <w:lang w:val="x-none" w:eastAsia="cs-CZ"/>
    </w:rPr>
  </w:style>
  <w:style w:type="character" w:customStyle="1" w:styleId="truktradokumentuChar1171">
    <w:name w:val="Štruktúra dokumentu Char1171"/>
    <w:aliases w:val="Char9 Char Char1172,Štruktúra dokumentu Char Char Char1172,Document Map Char Char Char1172"/>
    <w:uiPriority w:val="99"/>
    <w:semiHidden/>
    <w:rPr>
      <w:rFonts w:ascii="Tahoma" w:hAnsi="Tahoma"/>
      <w:sz w:val="16"/>
      <w:lang w:val="x-none" w:eastAsia="cs-CZ"/>
    </w:rPr>
  </w:style>
  <w:style w:type="character" w:customStyle="1" w:styleId="truktradokumentuChar1165">
    <w:name w:val="Štruktúra dokumentu Char1165"/>
    <w:aliases w:val="Char9 Char Char1166,Štruktúra dokumentu Char Char Char1166,Document Map Char Char Char1166"/>
    <w:uiPriority w:val="99"/>
    <w:semiHidden/>
    <w:rPr>
      <w:rFonts w:ascii="Tahoma" w:hAnsi="Tahoma"/>
      <w:sz w:val="16"/>
      <w:lang w:val="x-none" w:eastAsia="cs-CZ"/>
    </w:rPr>
  </w:style>
  <w:style w:type="character" w:customStyle="1" w:styleId="truktradokumentuChar1164">
    <w:name w:val="Štruktúra dokumentu Char1164"/>
    <w:aliases w:val="Char9 Char Char1165,Štruktúra dokumentu Char Char Char1165,Document Map Char Char Char1165"/>
    <w:uiPriority w:val="99"/>
    <w:semiHidden/>
    <w:rPr>
      <w:rFonts w:ascii="Tahoma" w:hAnsi="Tahoma"/>
      <w:sz w:val="16"/>
      <w:lang w:val="x-none" w:eastAsia="cs-CZ"/>
    </w:rPr>
  </w:style>
  <w:style w:type="character" w:customStyle="1" w:styleId="truktradokumentuChar1163">
    <w:name w:val="Štruktúra dokumentu Char1163"/>
    <w:aliases w:val="Char9 Char Char1164,Štruktúra dokumentu Char Char Char1164,Document Map Char Char Char1164"/>
    <w:uiPriority w:val="99"/>
    <w:semiHidden/>
    <w:rPr>
      <w:rFonts w:ascii="Tahoma" w:hAnsi="Tahoma"/>
      <w:sz w:val="16"/>
      <w:lang w:val="x-none" w:eastAsia="cs-CZ"/>
    </w:rPr>
  </w:style>
  <w:style w:type="character" w:customStyle="1" w:styleId="truktradokumentuChar1162">
    <w:name w:val="Štruktúra dokumentu Char1162"/>
    <w:aliases w:val="Char9 Char Char1163,Štruktúra dokumentu Char Char Char1163,Document Map Char Char Char1163"/>
    <w:uiPriority w:val="99"/>
    <w:semiHidden/>
    <w:rPr>
      <w:rFonts w:ascii="Tahoma" w:hAnsi="Tahoma"/>
      <w:sz w:val="16"/>
      <w:lang w:val="x-none" w:eastAsia="cs-CZ"/>
    </w:rPr>
  </w:style>
  <w:style w:type="character" w:customStyle="1" w:styleId="truktradokumentuChar1161">
    <w:name w:val="Štruktúra dokumentu Char1161"/>
    <w:aliases w:val="Char9 Char Char1162,Štruktúra dokumentu Char Char Char1162,Document Map Char Char Char1162"/>
    <w:uiPriority w:val="99"/>
    <w:semiHidden/>
    <w:rPr>
      <w:rFonts w:ascii="Tahoma" w:hAnsi="Tahoma"/>
      <w:sz w:val="16"/>
      <w:lang w:val="x-none" w:eastAsia="cs-CZ"/>
    </w:rPr>
  </w:style>
  <w:style w:type="character" w:customStyle="1" w:styleId="truktradokumentuChar1160">
    <w:name w:val="Štruktúra dokumentu Char1160"/>
    <w:aliases w:val="Char9 Char Char1161,Štruktúra dokumentu Char Char Char1161,Document Map Char Char Char1161"/>
    <w:uiPriority w:val="99"/>
    <w:semiHidden/>
    <w:rPr>
      <w:rFonts w:ascii="Tahoma" w:hAnsi="Tahoma"/>
      <w:sz w:val="16"/>
      <w:lang w:val="x-none" w:eastAsia="cs-CZ"/>
    </w:rPr>
  </w:style>
  <w:style w:type="character" w:customStyle="1" w:styleId="truktradokumentuChar1159">
    <w:name w:val="Štruktúra dokumentu Char1159"/>
    <w:aliases w:val="Char9 Char Char1160,Štruktúra dokumentu Char Char Char1160,Document Map Char Char Char1160"/>
    <w:uiPriority w:val="99"/>
    <w:semiHidden/>
    <w:rPr>
      <w:rFonts w:ascii="Tahoma" w:hAnsi="Tahoma"/>
      <w:sz w:val="16"/>
      <w:lang w:val="x-none" w:eastAsia="cs-CZ"/>
    </w:rPr>
  </w:style>
  <w:style w:type="character" w:customStyle="1" w:styleId="truktradokumentuChar1158">
    <w:name w:val="Štruktúra dokumentu Char1158"/>
    <w:aliases w:val="Char9 Char Char1159,Štruktúra dokumentu Char Char Char1159,Document Map Char Char Char1159"/>
    <w:uiPriority w:val="99"/>
    <w:semiHidden/>
    <w:rPr>
      <w:rFonts w:ascii="Tahoma" w:hAnsi="Tahoma"/>
      <w:sz w:val="16"/>
      <w:lang w:val="x-none" w:eastAsia="cs-CZ"/>
    </w:rPr>
  </w:style>
  <w:style w:type="character" w:customStyle="1" w:styleId="truktradokumentuChar1157">
    <w:name w:val="Štruktúra dokumentu Char1157"/>
    <w:aliases w:val="Char9 Char Char1158,Štruktúra dokumentu Char Char Char1158,Document Map Char Char Char1158"/>
    <w:uiPriority w:val="99"/>
    <w:semiHidden/>
    <w:rPr>
      <w:rFonts w:ascii="Tahoma" w:hAnsi="Tahoma"/>
      <w:sz w:val="16"/>
      <w:lang w:val="x-none" w:eastAsia="cs-CZ"/>
    </w:rPr>
  </w:style>
  <w:style w:type="character" w:customStyle="1" w:styleId="truktradokumentuChar1156">
    <w:name w:val="Štruktúra dokumentu Char1156"/>
    <w:aliases w:val="Char9 Char Char1157,Štruktúra dokumentu Char Char Char1157,Document Map Char Char Char1157"/>
    <w:uiPriority w:val="99"/>
    <w:semiHidden/>
    <w:rPr>
      <w:rFonts w:ascii="Tahoma" w:hAnsi="Tahoma"/>
      <w:sz w:val="16"/>
      <w:lang w:val="x-none" w:eastAsia="cs-CZ"/>
    </w:rPr>
  </w:style>
  <w:style w:type="character" w:customStyle="1" w:styleId="truktradokumentuChar1155">
    <w:name w:val="Štruktúra dokumentu Char1155"/>
    <w:aliases w:val="Char9 Char Char1156,Štruktúra dokumentu Char Char Char1156,Document Map Char Char Char1156"/>
    <w:uiPriority w:val="99"/>
    <w:semiHidden/>
    <w:rPr>
      <w:rFonts w:ascii="Tahoma" w:hAnsi="Tahoma"/>
      <w:sz w:val="16"/>
      <w:lang w:val="x-none" w:eastAsia="cs-CZ"/>
    </w:rPr>
  </w:style>
  <w:style w:type="character" w:customStyle="1" w:styleId="truktradokumentuChar1154">
    <w:name w:val="Štruktúra dokumentu Char1154"/>
    <w:aliases w:val="Char9 Char Char1155,Štruktúra dokumentu Char Char Char1155,Document Map Char Char Char1155"/>
    <w:uiPriority w:val="99"/>
    <w:semiHidden/>
    <w:rPr>
      <w:rFonts w:ascii="Tahoma" w:hAnsi="Tahoma"/>
      <w:sz w:val="16"/>
      <w:lang w:val="x-none" w:eastAsia="cs-CZ"/>
    </w:rPr>
  </w:style>
  <w:style w:type="character" w:customStyle="1" w:styleId="truktradokumentuChar1153">
    <w:name w:val="Štruktúra dokumentu Char1153"/>
    <w:aliases w:val="Char9 Char Char1154,Štruktúra dokumentu Char Char Char1154,Document Map Char Char Char1154"/>
    <w:uiPriority w:val="99"/>
    <w:semiHidden/>
    <w:rPr>
      <w:rFonts w:ascii="Tahoma" w:hAnsi="Tahoma"/>
      <w:sz w:val="16"/>
      <w:lang w:val="x-none" w:eastAsia="cs-CZ"/>
    </w:rPr>
  </w:style>
  <w:style w:type="character" w:customStyle="1" w:styleId="truktradokumentuChar1152">
    <w:name w:val="Štruktúra dokumentu Char1152"/>
    <w:aliases w:val="Char9 Char Char1153,Štruktúra dokumentu Char Char Char1153,Document Map Char Char Char1153"/>
    <w:uiPriority w:val="99"/>
    <w:semiHidden/>
    <w:rPr>
      <w:rFonts w:ascii="Tahoma" w:hAnsi="Tahoma"/>
      <w:sz w:val="16"/>
      <w:lang w:val="x-none" w:eastAsia="cs-CZ"/>
    </w:rPr>
  </w:style>
  <w:style w:type="character" w:customStyle="1" w:styleId="truktradokumentuChar1151">
    <w:name w:val="Štruktúra dokumentu Char1151"/>
    <w:aliases w:val="Char9 Char Char1152,Štruktúra dokumentu Char Char Char1152,Document Map Char Char Char1152"/>
    <w:uiPriority w:val="99"/>
    <w:semiHidden/>
    <w:rPr>
      <w:rFonts w:ascii="Tahoma" w:hAnsi="Tahoma"/>
      <w:sz w:val="16"/>
      <w:lang w:val="x-none" w:eastAsia="cs-CZ"/>
    </w:rPr>
  </w:style>
  <w:style w:type="character" w:customStyle="1" w:styleId="truktradokumentuChar1150">
    <w:name w:val="Štruktúra dokumentu Char1150"/>
    <w:aliases w:val="Char9 Char Char1151,Štruktúra dokumentu Char Char Char1151,Document Map Char Char Char1151"/>
    <w:uiPriority w:val="99"/>
    <w:semiHidden/>
    <w:rPr>
      <w:rFonts w:ascii="Tahoma" w:hAnsi="Tahoma"/>
      <w:sz w:val="16"/>
      <w:lang w:val="x-none" w:eastAsia="cs-CZ"/>
    </w:rPr>
  </w:style>
  <w:style w:type="character" w:customStyle="1" w:styleId="truktradokumentuChar1149">
    <w:name w:val="Štruktúra dokumentu Char1149"/>
    <w:aliases w:val="Char9 Char Char1150,Štruktúra dokumentu Char Char Char1150,Document Map Char Char Char1150"/>
    <w:uiPriority w:val="99"/>
    <w:semiHidden/>
    <w:rPr>
      <w:rFonts w:ascii="Tahoma" w:hAnsi="Tahoma"/>
      <w:sz w:val="16"/>
      <w:lang w:val="x-none" w:eastAsia="cs-CZ"/>
    </w:rPr>
  </w:style>
  <w:style w:type="character" w:customStyle="1" w:styleId="truktradokumentuChar1148">
    <w:name w:val="Štruktúra dokumentu Char1148"/>
    <w:aliases w:val="Char9 Char Char1149,Štruktúra dokumentu Char Char Char1149,Document Map Char Char Char1149"/>
    <w:uiPriority w:val="99"/>
    <w:semiHidden/>
    <w:rPr>
      <w:rFonts w:ascii="Tahoma" w:hAnsi="Tahoma"/>
      <w:sz w:val="16"/>
      <w:lang w:val="x-none" w:eastAsia="cs-CZ"/>
    </w:rPr>
  </w:style>
  <w:style w:type="character" w:customStyle="1" w:styleId="truktradokumentuChar1147">
    <w:name w:val="Štruktúra dokumentu Char1147"/>
    <w:aliases w:val="Char9 Char Char1148,Štruktúra dokumentu Char Char Char1148,Document Map Char Char Char1148"/>
    <w:uiPriority w:val="99"/>
    <w:semiHidden/>
    <w:rPr>
      <w:rFonts w:ascii="Tahoma" w:hAnsi="Tahoma"/>
      <w:sz w:val="16"/>
      <w:lang w:val="x-none" w:eastAsia="cs-CZ"/>
    </w:rPr>
  </w:style>
  <w:style w:type="character" w:customStyle="1" w:styleId="truktradokumentuChar1146">
    <w:name w:val="Štruktúra dokumentu Char1146"/>
    <w:aliases w:val="Char9 Char Char1147,Štruktúra dokumentu Char Char Char1147,Document Map Char Char Char1147"/>
    <w:uiPriority w:val="99"/>
    <w:semiHidden/>
    <w:rPr>
      <w:rFonts w:ascii="Tahoma" w:hAnsi="Tahoma"/>
      <w:sz w:val="16"/>
      <w:lang w:val="x-none" w:eastAsia="cs-CZ"/>
    </w:rPr>
  </w:style>
  <w:style w:type="character" w:customStyle="1" w:styleId="truktradokumentuChar1145">
    <w:name w:val="Štruktúra dokumentu Char1145"/>
    <w:aliases w:val="Char9 Char Char1146,Štruktúra dokumentu Char Char Char1146,Document Map Char Char Char1146"/>
    <w:uiPriority w:val="99"/>
    <w:semiHidden/>
    <w:rPr>
      <w:rFonts w:ascii="Tahoma" w:hAnsi="Tahoma"/>
      <w:sz w:val="16"/>
      <w:lang w:val="x-none" w:eastAsia="cs-CZ"/>
    </w:rPr>
  </w:style>
  <w:style w:type="character" w:customStyle="1" w:styleId="truktradokumentuChar1144">
    <w:name w:val="Štruktúra dokumentu Char1144"/>
    <w:aliases w:val="Char9 Char Char1145,Štruktúra dokumentu Char Char Char1145,Document Map Char Char Char1145"/>
    <w:uiPriority w:val="99"/>
    <w:semiHidden/>
    <w:rPr>
      <w:rFonts w:ascii="Tahoma" w:hAnsi="Tahoma"/>
      <w:sz w:val="16"/>
      <w:lang w:val="x-none" w:eastAsia="cs-CZ"/>
    </w:rPr>
  </w:style>
  <w:style w:type="character" w:customStyle="1" w:styleId="truktradokumentuChar1143">
    <w:name w:val="Štruktúra dokumentu Char1143"/>
    <w:aliases w:val="Char9 Char Char1144,Štruktúra dokumentu Char Char Char1144,Document Map Char Char Char1144"/>
    <w:uiPriority w:val="99"/>
    <w:semiHidden/>
    <w:rPr>
      <w:rFonts w:ascii="Tahoma" w:hAnsi="Tahoma"/>
      <w:sz w:val="16"/>
      <w:lang w:val="x-none" w:eastAsia="cs-CZ"/>
    </w:rPr>
  </w:style>
  <w:style w:type="character" w:customStyle="1" w:styleId="truktradokumentuChar1142">
    <w:name w:val="Štruktúra dokumentu Char1142"/>
    <w:aliases w:val="Char9 Char Char1143,Štruktúra dokumentu Char Char Char1143,Document Map Char Char Char1143"/>
    <w:uiPriority w:val="99"/>
    <w:semiHidden/>
    <w:rPr>
      <w:rFonts w:ascii="Tahoma" w:hAnsi="Tahoma"/>
      <w:sz w:val="16"/>
      <w:lang w:val="x-none" w:eastAsia="cs-CZ"/>
    </w:rPr>
  </w:style>
  <w:style w:type="character" w:customStyle="1" w:styleId="truktradokumentuChar1141">
    <w:name w:val="Štruktúra dokumentu Char1141"/>
    <w:aliases w:val="Char9 Char Char1142,Štruktúra dokumentu Char Char Char1142,Document Map Char Char Char1142"/>
    <w:uiPriority w:val="99"/>
    <w:semiHidden/>
    <w:rPr>
      <w:rFonts w:ascii="Tahoma" w:hAnsi="Tahoma"/>
      <w:sz w:val="16"/>
      <w:lang w:val="x-none" w:eastAsia="cs-CZ"/>
    </w:rPr>
  </w:style>
  <w:style w:type="character" w:customStyle="1" w:styleId="truktradokumentuChar1140">
    <w:name w:val="Štruktúra dokumentu Char1140"/>
    <w:aliases w:val="Char9 Char Char1141,Štruktúra dokumentu Char Char Char1141,Document Map Char Char Char1141"/>
    <w:uiPriority w:val="99"/>
    <w:semiHidden/>
    <w:rPr>
      <w:rFonts w:ascii="Tahoma" w:hAnsi="Tahoma"/>
      <w:sz w:val="16"/>
      <w:lang w:val="x-none" w:eastAsia="cs-CZ"/>
    </w:rPr>
  </w:style>
  <w:style w:type="character" w:customStyle="1" w:styleId="truktradokumentuChar1139">
    <w:name w:val="Štruktúra dokumentu Char1139"/>
    <w:aliases w:val="Char9 Char Char1140,Štruktúra dokumentu Char Char Char1140,Document Map Char Char Char1140"/>
    <w:uiPriority w:val="99"/>
    <w:semiHidden/>
    <w:rPr>
      <w:rFonts w:ascii="Tahoma" w:hAnsi="Tahoma"/>
      <w:sz w:val="16"/>
      <w:lang w:val="x-none" w:eastAsia="cs-CZ"/>
    </w:rPr>
  </w:style>
  <w:style w:type="character" w:customStyle="1" w:styleId="truktradokumentuChar1138">
    <w:name w:val="Štruktúra dokumentu Char1138"/>
    <w:aliases w:val="Char9 Char Char1139,Štruktúra dokumentu Char Char Char1139,Document Map Char Char Char1139"/>
    <w:uiPriority w:val="99"/>
    <w:semiHidden/>
    <w:rPr>
      <w:rFonts w:ascii="Tahoma" w:hAnsi="Tahoma"/>
      <w:sz w:val="16"/>
      <w:lang w:val="x-none" w:eastAsia="cs-CZ"/>
    </w:rPr>
  </w:style>
  <w:style w:type="character" w:customStyle="1" w:styleId="truktradokumentuChar1137">
    <w:name w:val="Štruktúra dokumentu Char1137"/>
    <w:aliases w:val="Char9 Char Char1138,Štruktúra dokumentu Char Char Char1138,Document Map Char Char Char1138"/>
    <w:uiPriority w:val="99"/>
    <w:semiHidden/>
    <w:rPr>
      <w:rFonts w:ascii="Tahoma" w:hAnsi="Tahoma"/>
      <w:sz w:val="16"/>
      <w:lang w:val="x-none" w:eastAsia="cs-CZ"/>
    </w:rPr>
  </w:style>
  <w:style w:type="character" w:customStyle="1" w:styleId="truktradokumentuChar1136">
    <w:name w:val="Štruktúra dokumentu Char1136"/>
    <w:aliases w:val="Char9 Char Char1137,Štruktúra dokumentu Char Char Char1137,Document Map Char Char Char1137"/>
    <w:uiPriority w:val="99"/>
    <w:semiHidden/>
    <w:rPr>
      <w:rFonts w:ascii="Tahoma" w:hAnsi="Tahoma"/>
      <w:sz w:val="16"/>
      <w:lang w:val="x-none" w:eastAsia="cs-CZ"/>
    </w:rPr>
  </w:style>
  <w:style w:type="character" w:customStyle="1" w:styleId="truktradokumentuChar1135">
    <w:name w:val="Štruktúra dokumentu Char1135"/>
    <w:aliases w:val="Char9 Char Char1136,Štruktúra dokumentu Char Char Char1136,Document Map Char Char Char1136"/>
    <w:uiPriority w:val="99"/>
    <w:semiHidden/>
    <w:rPr>
      <w:rFonts w:ascii="Tahoma" w:hAnsi="Tahoma"/>
      <w:sz w:val="16"/>
      <w:lang w:val="x-none" w:eastAsia="cs-CZ"/>
    </w:rPr>
  </w:style>
  <w:style w:type="character" w:customStyle="1" w:styleId="truktradokumentuChar1134">
    <w:name w:val="Štruktúra dokumentu Char1134"/>
    <w:aliases w:val="Char9 Char Char1135,Štruktúra dokumentu Char Char Char1135,Document Map Char Char Char1135"/>
    <w:uiPriority w:val="99"/>
    <w:semiHidden/>
    <w:rPr>
      <w:rFonts w:ascii="Tahoma" w:hAnsi="Tahoma"/>
      <w:sz w:val="16"/>
      <w:lang w:val="x-none" w:eastAsia="cs-CZ"/>
    </w:rPr>
  </w:style>
  <w:style w:type="character" w:customStyle="1" w:styleId="truktradokumentuChar1133">
    <w:name w:val="Štruktúra dokumentu Char1133"/>
    <w:aliases w:val="Char9 Char Char1134,Štruktúra dokumentu Char Char Char1134,Document Map Char Char Char1134"/>
    <w:uiPriority w:val="99"/>
    <w:semiHidden/>
    <w:rPr>
      <w:rFonts w:ascii="Tahoma" w:hAnsi="Tahoma"/>
      <w:sz w:val="16"/>
      <w:lang w:val="x-none" w:eastAsia="cs-CZ"/>
    </w:rPr>
  </w:style>
  <w:style w:type="character" w:customStyle="1" w:styleId="truktradokumentuChar1132">
    <w:name w:val="Štruktúra dokumentu Char1132"/>
    <w:aliases w:val="Char9 Char Char1133,Štruktúra dokumentu Char Char Char1133,Document Map Char Char Char1133"/>
    <w:uiPriority w:val="99"/>
    <w:semiHidden/>
    <w:rPr>
      <w:rFonts w:ascii="Tahoma" w:hAnsi="Tahoma"/>
      <w:sz w:val="16"/>
      <w:lang w:val="x-none" w:eastAsia="cs-CZ"/>
    </w:rPr>
  </w:style>
  <w:style w:type="character" w:customStyle="1" w:styleId="truktradokumentuChar1131">
    <w:name w:val="Štruktúra dokumentu Char1131"/>
    <w:aliases w:val="Char9 Char Char1132,Štruktúra dokumentu Char Char Char1132,Document Map Char Char Char1132"/>
    <w:uiPriority w:val="99"/>
    <w:semiHidden/>
    <w:rPr>
      <w:rFonts w:ascii="Tahoma" w:hAnsi="Tahoma"/>
      <w:sz w:val="16"/>
      <w:lang w:val="x-none" w:eastAsia="cs-CZ"/>
    </w:rPr>
  </w:style>
  <w:style w:type="character" w:customStyle="1" w:styleId="truktradokumentuChar1130">
    <w:name w:val="Štruktúra dokumentu Char1130"/>
    <w:aliases w:val="Char9 Char Char1131,Štruktúra dokumentu Char Char Char1131,Document Map Char Char Char1131"/>
    <w:uiPriority w:val="99"/>
    <w:semiHidden/>
    <w:rPr>
      <w:rFonts w:ascii="Tahoma" w:hAnsi="Tahoma"/>
      <w:sz w:val="16"/>
      <w:lang w:val="x-none" w:eastAsia="cs-CZ"/>
    </w:rPr>
  </w:style>
  <w:style w:type="character" w:customStyle="1" w:styleId="truktradokumentuChar1129">
    <w:name w:val="Štruktúra dokumentu Char1129"/>
    <w:aliases w:val="Char9 Char Char1130,Štruktúra dokumentu Char Char Char1130,Document Map Char Char Char1130"/>
    <w:uiPriority w:val="99"/>
    <w:semiHidden/>
    <w:rPr>
      <w:rFonts w:ascii="Tahoma" w:hAnsi="Tahoma"/>
      <w:sz w:val="16"/>
      <w:lang w:val="x-none" w:eastAsia="cs-CZ"/>
    </w:rPr>
  </w:style>
  <w:style w:type="character" w:customStyle="1" w:styleId="truktradokumentuChar1128">
    <w:name w:val="Štruktúra dokumentu Char1128"/>
    <w:aliases w:val="Char9 Char Char1129,Štruktúra dokumentu Char Char Char1129,Document Map Char Char Char1129"/>
    <w:uiPriority w:val="99"/>
    <w:semiHidden/>
    <w:rPr>
      <w:rFonts w:ascii="Tahoma" w:hAnsi="Tahoma"/>
      <w:sz w:val="16"/>
      <w:lang w:val="x-none" w:eastAsia="cs-CZ"/>
    </w:rPr>
  </w:style>
  <w:style w:type="character" w:customStyle="1" w:styleId="truktradokumentuChar1127">
    <w:name w:val="Štruktúra dokumentu Char1127"/>
    <w:aliases w:val="Char9 Char Char1128,Štruktúra dokumentu Char Char Char1128,Document Map Char Char Char1128"/>
    <w:uiPriority w:val="99"/>
    <w:semiHidden/>
    <w:rPr>
      <w:rFonts w:ascii="Tahoma" w:hAnsi="Tahoma"/>
      <w:sz w:val="16"/>
      <w:lang w:val="x-none" w:eastAsia="cs-CZ"/>
    </w:rPr>
  </w:style>
  <w:style w:type="character" w:customStyle="1" w:styleId="truktradokumentuChar1126">
    <w:name w:val="Štruktúra dokumentu Char1126"/>
    <w:aliases w:val="Char9 Char Char1127,Štruktúra dokumentu Char Char Char1127,Document Map Char Char Char1127"/>
    <w:uiPriority w:val="99"/>
    <w:semiHidden/>
    <w:rPr>
      <w:rFonts w:ascii="Tahoma" w:hAnsi="Tahoma"/>
      <w:sz w:val="16"/>
      <w:lang w:val="x-none" w:eastAsia="cs-CZ"/>
    </w:rPr>
  </w:style>
  <w:style w:type="character" w:customStyle="1" w:styleId="truktradokumentuChar1125">
    <w:name w:val="Štruktúra dokumentu Char1125"/>
    <w:aliases w:val="Char9 Char Char1126,Štruktúra dokumentu Char Char Char1126,Document Map Char Char Char1126"/>
    <w:uiPriority w:val="99"/>
    <w:semiHidden/>
    <w:rPr>
      <w:rFonts w:ascii="Tahoma" w:hAnsi="Tahoma"/>
      <w:sz w:val="16"/>
      <w:lang w:val="x-none" w:eastAsia="cs-CZ"/>
    </w:rPr>
  </w:style>
  <w:style w:type="character" w:customStyle="1" w:styleId="truktradokumentuChar1124">
    <w:name w:val="Štruktúra dokumentu Char1124"/>
    <w:aliases w:val="Char9 Char Char1125,Štruktúra dokumentu Char Char Char1125,Document Map Char Char Char1125"/>
    <w:uiPriority w:val="99"/>
    <w:semiHidden/>
    <w:rPr>
      <w:rFonts w:ascii="Tahoma" w:hAnsi="Tahoma"/>
      <w:sz w:val="16"/>
      <w:lang w:val="x-none" w:eastAsia="cs-CZ"/>
    </w:rPr>
  </w:style>
  <w:style w:type="character" w:customStyle="1" w:styleId="truktradokumentuChar1123">
    <w:name w:val="Štruktúra dokumentu Char1123"/>
    <w:aliases w:val="Char9 Char Char1124,Štruktúra dokumentu Char Char Char1124,Document Map Char Char Char1124"/>
    <w:uiPriority w:val="99"/>
    <w:semiHidden/>
    <w:rPr>
      <w:rFonts w:ascii="Tahoma" w:hAnsi="Tahoma"/>
      <w:sz w:val="16"/>
      <w:lang w:val="x-none" w:eastAsia="cs-CZ"/>
    </w:rPr>
  </w:style>
  <w:style w:type="character" w:customStyle="1" w:styleId="truktradokumentuChar1122">
    <w:name w:val="Štruktúra dokumentu Char1122"/>
    <w:aliases w:val="Char9 Char Char1123,Štruktúra dokumentu Char Char Char1123,Document Map Char Char Char1123"/>
    <w:uiPriority w:val="99"/>
    <w:semiHidden/>
    <w:rPr>
      <w:rFonts w:ascii="Tahoma" w:hAnsi="Tahoma"/>
      <w:sz w:val="16"/>
      <w:lang w:val="x-none" w:eastAsia="cs-CZ"/>
    </w:rPr>
  </w:style>
  <w:style w:type="character" w:customStyle="1" w:styleId="truktradokumentuChar1121">
    <w:name w:val="Štruktúra dokumentu Char1121"/>
    <w:aliases w:val="Char9 Char Char1122,Štruktúra dokumentu Char Char Char1122,Document Map Char Char Char1122"/>
    <w:uiPriority w:val="99"/>
    <w:semiHidden/>
    <w:rPr>
      <w:rFonts w:ascii="Tahoma" w:hAnsi="Tahoma"/>
      <w:sz w:val="16"/>
      <w:lang w:val="x-none" w:eastAsia="cs-CZ"/>
    </w:rPr>
  </w:style>
  <w:style w:type="character" w:customStyle="1" w:styleId="truktradokumentuChar1120">
    <w:name w:val="Štruktúra dokumentu Char1120"/>
    <w:aliases w:val="Char9 Char Char1121,Štruktúra dokumentu Char Char Char1121,Document Map Char Char Char1121"/>
    <w:uiPriority w:val="99"/>
    <w:semiHidden/>
    <w:rPr>
      <w:rFonts w:ascii="Tahoma" w:hAnsi="Tahoma"/>
      <w:sz w:val="16"/>
      <w:lang w:val="x-none" w:eastAsia="cs-CZ"/>
    </w:rPr>
  </w:style>
  <w:style w:type="character" w:customStyle="1" w:styleId="truktradokumentuChar1119">
    <w:name w:val="Štruktúra dokumentu Char1119"/>
    <w:aliases w:val="Char9 Char Char1120,Štruktúra dokumentu Char Char Char1120,Document Map Char Char Char1120"/>
    <w:uiPriority w:val="99"/>
    <w:semiHidden/>
    <w:rPr>
      <w:rFonts w:ascii="Tahoma" w:hAnsi="Tahoma"/>
      <w:sz w:val="16"/>
      <w:lang w:val="x-none" w:eastAsia="cs-CZ"/>
    </w:rPr>
  </w:style>
  <w:style w:type="character" w:customStyle="1" w:styleId="truktradokumentuChar1118">
    <w:name w:val="Štruktúra dokumentu Char1118"/>
    <w:aliases w:val="Char9 Char Char1119,Štruktúra dokumentu Char Char Char1119,Document Map Char Char Char1119"/>
    <w:uiPriority w:val="99"/>
    <w:semiHidden/>
    <w:rPr>
      <w:rFonts w:ascii="Tahoma" w:hAnsi="Tahoma"/>
      <w:sz w:val="16"/>
      <w:lang w:val="x-none" w:eastAsia="cs-CZ"/>
    </w:rPr>
  </w:style>
  <w:style w:type="character" w:customStyle="1" w:styleId="truktradokumentuChar1117">
    <w:name w:val="Štruktúra dokumentu Char1117"/>
    <w:aliases w:val="Char9 Char Char1118,Štruktúra dokumentu Char Char Char1118,Document Map Char Char Char1118"/>
    <w:uiPriority w:val="99"/>
    <w:semiHidden/>
    <w:rPr>
      <w:rFonts w:ascii="Tahoma" w:hAnsi="Tahoma"/>
      <w:sz w:val="16"/>
      <w:lang w:val="x-none" w:eastAsia="cs-CZ"/>
    </w:rPr>
  </w:style>
  <w:style w:type="character" w:customStyle="1" w:styleId="truktradokumentuChar1116">
    <w:name w:val="Štruktúra dokumentu Char1116"/>
    <w:aliases w:val="Char9 Char Char1117,Štruktúra dokumentu Char Char Char1117,Document Map Char Char Char1117"/>
    <w:uiPriority w:val="99"/>
    <w:semiHidden/>
    <w:rPr>
      <w:rFonts w:ascii="Tahoma" w:hAnsi="Tahoma"/>
      <w:sz w:val="16"/>
      <w:lang w:val="x-none" w:eastAsia="cs-CZ"/>
    </w:rPr>
  </w:style>
  <w:style w:type="character" w:customStyle="1" w:styleId="truktradokumentuChar1115">
    <w:name w:val="Štruktúra dokumentu Char1115"/>
    <w:aliases w:val="Char9 Char Char1116,Štruktúra dokumentu Char Char Char1116,Document Map Char Char Char1116"/>
    <w:uiPriority w:val="99"/>
    <w:semiHidden/>
    <w:rPr>
      <w:rFonts w:ascii="Tahoma" w:hAnsi="Tahoma"/>
      <w:sz w:val="16"/>
      <w:lang w:val="x-none" w:eastAsia="cs-CZ"/>
    </w:rPr>
  </w:style>
  <w:style w:type="character" w:customStyle="1" w:styleId="truktradokumentuChar1114">
    <w:name w:val="Štruktúra dokumentu Char1114"/>
    <w:aliases w:val="Char9 Char Char1115,Štruktúra dokumentu Char Char Char1115,Document Map Char Char Char1115"/>
    <w:uiPriority w:val="99"/>
    <w:semiHidden/>
    <w:rPr>
      <w:rFonts w:ascii="Tahoma" w:hAnsi="Tahoma"/>
      <w:sz w:val="16"/>
      <w:lang w:val="x-none" w:eastAsia="cs-CZ"/>
    </w:rPr>
  </w:style>
  <w:style w:type="character" w:customStyle="1" w:styleId="truktradokumentuChar1113">
    <w:name w:val="Štruktúra dokumentu Char1113"/>
    <w:aliases w:val="Char9 Char Char1114,Štruktúra dokumentu Char Char Char1114,Document Map Char Char Char1114"/>
    <w:uiPriority w:val="99"/>
    <w:semiHidden/>
    <w:rPr>
      <w:rFonts w:ascii="Tahoma" w:hAnsi="Tahoma"/>
      <w:sz w:val="16"/>
      <w:lang w:val="x-none" w:eastAsia="cs-CZ"/>
    </w:rPr>
  </w:style>
  <w:style w:type="character" w:customStyle="1" w:styleId="truktradokumentuChar1112">
    <w:name w:val="Štruktúra dokumentu Char1112"/>
    <w:aliases w:val="Char9 Char Char1113,Štruktúra dokumentu Char Char Char1113,Document Map Char Char Char1113"/>
    <w:uiPriority w:val="99"/>
    <w:semiHidden/>
    <w:rPr>
      <w:rFonts w:ascii="Tahoma" w:hAnsi="Tahoma"/>
      <w:sz w:val="16"/>
      <w:lang w:val="x-none" w:eastAsia="cs-CZ"/>
    </w:rPr>
  </w:style>
  <w:style w:type="character" w:customStyle="1" w:styleId="truktradokumentuChar1111">
    <w:name w:val="Štruktúra dokumentu Char1111"/>
    <w:aliases w:val="Char9 Char Char1112,Štruktúra dokumentu Char Char Char1112,Document Map Char Char Char1112"/>
    <w:uiPriority w:val="99"/>
    <w:semiHidden/>
    <w:rPr>
      <w:rFonts w:ascii="Tahoma" w:hAnsi="Tahoma"/>
      <w:sz w:val="16"/>
      <w:lang w:val="x-none" w:eastAsia="cs-CZ"/>
    </w:rPr>
  </w:style>
  <w:style w:type="character" w:customStyle="1" w:styleId="truktradokumentuChar1110">
    <w:name w:val="Štruktúra dokumentu Char1110"/>
    <w:aliases w:val="Char9 Char Char1111,Štruktúra dokumentu Char Char Char1111,Document Map Char Char Char1111"/>
    <w:uiPriority w:val="99"/>
    <w:semiHidden/>
    <w:rPr>
      <w:rFonts w:ascii="Tahoma" w:hAnsi="Tahoma"/>
      <w:sz w:val="16"/>
      <w:lang w:val="x-none" w:eastAsia="cs-CZ"/>
    </w:rPr>
  </w:style>
  <w:style w:type="character" w:customStyle="1" w:styleId="truktradokumentuChar1109">
    <w:name w:val="Štruktúra dokumentu Char1109"/>
    <w:aliases w:val="Char9 Char Char1110,Štruktúra dokumentu Char Char Char1110,Document Map Char Char Char1110"/>
    <w:uiPriority w:val="99"/>
    <w:semiHidden/>
    <w:rPr>
      <w:rFonts w:ascii="Tahoma" w:hAnsi="Tahoma"/>
      <w:sz w:val="16"/>
      <w:lang w:val="x-none" w:eastAsia="cs-CZ"/>
    </w:rPr>
  </w:style>
  <w:style w:type="character" w:customStyle="1" w:styleId="truktradokumentuChar1108">
    <w:name w:val="Štruktúra dokumentu Char1108"/>
    <w:aliases w:val="Char9 Char Char1109,Štruktúra dokumentu Char Char Char1109,Document Map Char Char Char1109"/>
    <w:uiPriority w:val="99"/>
    <w:semiHidden/>
    <w:rPr>
      <w:rFonts w:ascii="Tahoma" w:hAnsi="Tahoma"/>
      <w:sz w:val="16"/>
      <w:lang w:val="x-none" w:eastAsia="cs-CZ"/>
    </w:rPr>
  </w:style>
  <w:style w:type="character" w:customStyle="1" w:styleId="truktradokumentuChar1107">
    <w:name w:val="Štruktúra dokumentu Char1107"/>
    <w:aliases w:val="Char9 Char Char1108,Štruktúra dokumentu Char Char Char1108,Document Map Char Char Char1108"/>
    <w:uiPriority w:val="99"/>
    <w:semiHidden/>
    <w:rPr>
      <w:rFonts w:ascii="Tahoma" w:hAnsi="Tahoma"/>
      <w:sz w:val="16"/>
      <w:lang w:val="x-none" w:eastAsia="cs-CZ"/>
    </w:rPr>
  </w:style>
  <w:style w:type="character" w:customStyle="1" w:styleId="truktradokumentuChar1106">
    <w:name w:val="Štruktúra dokumentu Char1106"/>
    <w:aliases w:val="Char9 Char Char1107,Štruktúra dokumentu Char Char Char1107,Document Map Char Char Char1107"/>
    <w:uiPriority w:val="99"/>
    <w:semiHidden/>
    <w:rPr>
      <w:rFonts w:ascii="Tahoma" w:hAnsi="Tahoma"/>
      <w:sz w:val="16"/>
      <w:lang w:val="x-none" w:eastAsia="cs-CZ"/>
    </w:rPr>
  </w:style>
  <w:style w:type="character" w:customStyle="1" w:styleId="truktradokumentuChar1105">
    <w:name w:val="Štruktúra dokumentu Char1105"/>
    <w:aliases w:val="Char9 Char Char1106,Štruktúra dokumentu Char Char Char1106,Document Map Char Char Char1106"/>
    <w:uiPriority w:val="99"/>
    <w:semiHidden/>
    <w:rPr>
      <w:rFonts w:ascii="Tahoma" w:hAnsi="Tahoma"/>
      <w:sz w:val="16"/>
      <w:lang w:val="x-none" w:eastAsia="cs-CZ"/>
    </w:rPr>
  </w:style>
  <w:style w:type="character" w:customStyle="1" w:styleId="truktradokumentuChar1104">
    <w:name w:val="Štruktúra dokumentu Char1104"/>
    <w:aliases w:val="Char9 Char Char1105,Štruktúra dokumentu Char Char Char1105,Document Map Char Char Char1105"/>
    <w:uiPriority w:val="99"/>
    <w:semiHidden/>
    <w:rPr>
      <w:rFonts w:ascii="Tahoma" w:hAnsi="Tahoma"/>
      <w:sz w:val="16"/>
      <w:lang w:val="x-none" w:eastAsia="cs-CZ"/>
    </w:rPr>
  </w:style>
  <w:style w:type="character" w:customStyle="1" w:styleId="truktradokumentuChar1103">
    <w:name w:val="Štruktúra dokumentu Char1103"/>
    <w:aliases w:val="Char9 Char Char1104,Štruktúra dokumentu Char Char Char1104,Document Map Char Char Char1104"/>
    <w:uiPriority w:val="99"/>
    <w:semiHidden/>
    <w:rPr>
      <w:rFonts w:ascii="Tahoma" w:hAnsi="Tahoma"/>
      <w:sz w:val="16"/>
      <w:lang w:val="x-none" w:eastAsia="cs-CZ"/>
    </w:rPr>
  </w:style>
  <w:style w:type="character" w:customStyle="1" w:styleId="truktradokumentuChar1102">
    <w:name w:val="Štruktúra dokumentu Char1102"/>
    <w:aliases w:val="Char9 Char Char1103,Štruktúra dokumentu Char Char Char1103,Document Map Char Char Char1103"/>
    <w:uiPriority w:val="99"/>
    <w:semiHidden/>
    <w:rPr>
      <w:rFonts w:ascii="Tahoma" w:hAnsi="Tahoma"/>
      <w:sz w:val="16"/>
      <w:lang w:val="x-none" w:eastAsia="cs-CZ"/>
    </w:rPr>
  </w:style>
  <w:style w:type="character" w:customStyle="1" w:styleId="truktradokumentuChar1101">
    <w:name w:val="Štruktúra dokumentu Char1101"/>
    <w:aliases w:val="Char9 Char Char1102,Štruktúra dokumentu Char Char Char1102,Document Map Char Char Char1102"/>
    <w:uiPriority w:val="99"/>
    <w:semiHidden/>
    <w:rPr>
      <w:rFonts w:ascii="Tahoma" w:hAnsi="Tahoma"/>
      <w:sz w:val="16"/>
      <w:lang w:val="x-none" w:eastAsia="cs-CZ"/>
    </w:rPr>
  </w:style>
  <w:style w:type="character" w:customStyle="1" w:styleId="truktradokumentuChar1100">
    <w:name w:val="Štruktúra dokumentu Char1100"/>
    <w:aliases w:val="Char9 Char Char1101,Štruktúra dokumentu Char Char Char1101,Document Map Char Char Char1101"/>
    <w:uiPriority w:val="99"/>
    <w:semiHidden/>
    <w:rPr>
      <w:rFonts w:ascii="Tahoma" w:hAnsi="Tahoma"/>
      <w:sz w:val="16"/>
      <w:lang w:val="x-none" w:eastAsia="cs-CZ"/>
    </w:rPr>
  </w:style>
  <w:style w:type="character" w:customStyle="1" w:styleId="truktradokumentuChar199">
    <w:name w:val="Štruktúra dokumentu Char199"/>
    <w:aliases w:val="Char9 Char Char1100,Štruktúra dokumentu Char Char Char1100,Document Map Char Char Char1100"/>
    <w:uiPriority w:val="99"/>
    <w:semiHidden/>
    <w:rPr>
      <w:rFonts w:ascii="Tahoma" w:hAnsi="Tahoma"/>
      <w:sz w:val="16"/>
      <w:lang w:val="x-none" w:eastAsia="cs-CZ"/>
    </w:rPr>
  </w:style>
  <w:style w:type="character" w:customStyle="1" w:styleId="truktradokumentuChar198">
    <w:name w:val="Štruktúra dokumentu Char198"/>
    <w:aliases w:val="Char9 Char Char199,Štruktúra dokumentu Char Char Char199,Document Map Char Char Char199"/>
    <w:uiPriority w:val="99"/>
    <w:semiHidden/>
    <w:rPr>
      <w:rFonts w:ascii="Tahoma" w:hAnsi="Tahoma"/>
      <w:sz w:val="16"/>
      <w:lang w:val="x-none" w:eastAsia="cs-CZ"/>
    </w:rPr>
  </w:style>
  <w:style w:type="character" w:customStyle="1" w:styleId="truktradokumentuChar197">
    <w:name w:val="Štruktúra dokumentu Char197"/>
    <w:aliases w:val="Char9 Char Char198,Štruktúra dokumentu Char Char Char198,Document Map Char Char Char198"/>
    <w:uiPriority w:val="99"/>
    <w:semiHidden/>
    <w:rPr>
      <w:rFonts w:ascii="Tahoma" w:hAnsi="Tahoma"/>
      <w:sz w:val="16"/>
      <w:lang w:val="x-none" w:eastAsia="cs-CZ"/>
    </w:rPr>
  </w:style>
  <w:style w:type="character" w:customStyle="1" w:styleId="truktradokumentuChar196">
    <w:name w:val="Štruktúra dokumentu Char196"/>
    <w:aliases w:val="Char9 Char Char197,Štruktúra dokumentu Char Char Char197,Document Map Char Char Char197"/>
    <w:uiPriority w:val="99"/>
    <w:semiHidden/>
    <w:rPr>
      <w:rFonts w:ascii="Tahoma" w:hAnsi="Tahoma"/>
      <w:sz w:val="16"/>
      <w:lang w:val="x-none" w:eastAsia="cs-CZ"/>
    </w:rPr>
  </w:style>
  <w:style w:type="character" w:customStyle="1" w:styleId="truktradokumentuChar195">
    <w:name w:val="Štruktúra dokumentu Char195"/>
    <w:aliases w:val="Char9 Char Char196,Štruktúra dokumentu Char Char Char196,Document Map Char Char Char196"/>
    <w:uiPriority w:val="99"/>
    <w:semiHidden/>
    <w:rPr>
      <w:rFonts w:ascii="Tahoma" w:hAnsi="Tahoma"/>
      <w:sz w:val="16"/>
      <w:lang w:val="x-none" w:eastAsia="cs-CZ"/>
    </w:rPr>
  </w:style>
  <w:style w:type="character" w:customStyle="1" w:styleId="truktradokumentuChar194">
    <w:name w:val="Štruktúra dokumentu Char194"/>
    <w:aliases w:val="Char9 Char Char195,Štruktúra dokumentu Char Char Char195,Document Map Char Char Char195"/>
    <w:uiPriority w:val="99"/>
    <w:semiHidden/>
    <w:rPr>
      <w:rFonts w:ascii="Tahoma" w:hAnsi="Tahoma"/>
      <w:sz w:val="16"/>
      <w:lang w:val="x-none" w:eastAsia="cs-CZ"/>
    </w:rPr>
  </w:style>
  <w:style w:type="character" w:customStyle="1" w:styleId="truktradokumentuChar193">
    <w:name w:val="Štruktúra dokumentu Char193"/>
    <w:aliases w:val="Char9 Char Char194,Štruktúra dokumentu Char Char Char194,Document Map Char Char Char194"/>
    <w:uiPriority w:val="99"/>
    <w:semiHidden/>
    <w:rPr>
      <w:rFonts w:ascii="Tahoma" w:hAnsi="Tahoma"/>
      <w:sz w:val="16"/>
      <w:lang w:val="x-none" w:eastAsia="cs-CZ"/>
    </w:rPr>
  </w:style>
  <w:style w:type="character" w:customStyle="1" w:styleId="truktradokumentuChar192">
    <w:name w:val="Štruktúra dokumentu Char192"/>
    <w:aliases w:val="Char9 Char Char193,Štruktúra dokumentu Char Char Char193,Document Map Char Char Char193"/>
    <w:uiPriority w:val="99"/>
    <w:semiHidden/>
    <w:rPr>
      <w:rFonts w:ascii="Tahoma" w:hAnsi="Tahoma"/>
      <w:sz w:val="16"/>
      <w:lang w:val="x-none" w:eastAsia="cs-CZ"/>
    </w:rPr>
  </w:style>
  <w:style w:type="character" w:customStyle="1" w:styleId="truktradokumentuChar191">
    <w:name w:val="Štruktúra dokumentu Char191"/>
    <w:aliases w:val="Char9 Char Char192,Štruktúra dokumentu Char Char Char192,Document Map Char Char Char192"/>
    <w:uiPriority w:val="99"/>
    <w:semiHidden/>
    <w:rPr>
      <w:rFonts w:ascii="Tahoma" w:hAnsi="Tahoma"/>
      <w:sz w:val="16"/>
      <w:lang w:val="x-none" w:eastAsia="cs-CZ"/>
    </w:rPr>
  </w:style>
  <w:style w:type="character" w:customStyle="1" w:styleId="truktradokumentuChar190">
    <w:name w:val="Štruktúra dokumentu Char190"/>
    <w:aliases w:val="Char9 Char Char191,Štruktúra dokumentu Char Char Char191,Document Map Char Char Char191"/>
    <w:uiPriority w:val="99"/>
    <w:semiHidden/>
    <w:rPr>
      <w:rFonts w:ascii="Tahoma" w:hAnsi="Tahoma"/>
      <w:sz w:val="16"/>
      <w:lang w:val="x-none" w:eastAsia="cs-CZ"/>
    </w:rPr>
  </w:style>
  <w:style w:type="character" w:customStyle="1" w:styleId="truktradokumentuChar189">
    <w:name w:val="Štruktúra dokumentu Char189"/>
    <w:aliases w:val="Char9 Char Char190,Štruktúra dokumentu Char Char Char190,Document Map Char Char Char190"/>
    <w:uiPriority w:val="99"/>
    <w:semiHidden/>
    <w:rPr>
      <w:rFonts w:ascii="Tahoma" w:hAnsi="Tahoma"/>
      <w:sz w:val="16"/>
      <w:lang w:val="x-none" w:eastAsia="cs-CZ"/>
    </w:rPr>
  </w:style>
  <w:style w:type="character" w:customStyle="1" w:styleId="truktradokumentuChar188">
    <w:name w:val="Štruktúra dokumentu Char188"/>
    <w:aliases w:val="Char9 Char Char189,Štruktúra dokumentu Char Char Char189,Document Map Char Char Char189"/>
    <w:uiPriority w:val="99"/>
    <w:semiHidden/>
    <w:rPr>
      <w:rFonts w:ascii="Tahoma" w:hAnsi="Tahoma"/>
      <w:sz w:val="16"/>
      <w:lang w:val="x-none" w:eastAsia="cs-CZ"/>
    </w:rPr>
  </w:style>
  <w:style w:type="character" w:customStyle="1" w:styleId="truktradokumentuChar187">
    <w:name w:val="Štruktúra dokumentu Char187"/>
    <w:aliases w:val="Char9 Char Char188,Štruktúra dokumentu Char Char Char188,Document Map Char Char Char188"/>
    <w:uiPriority w:val="99"/>
    <w:semiHidden/>
    <w:rPr>
      <w:rFonts w:ascii="Tahoma" w:hAnsi="Tahoma"/>
      <w:sz w:val="16"/>
      <w:lang w:val="x-none" w:eastAsia="cs-CZ"/>
    </w:rPr>
  </w:style>
  <w:style w:type="character" w:customStyle="1" w:styleId="truktradokumentuChar186">
    <w:name w:val="Štruktúra dokumentu Char186"/>
    <w:aliases w:val="Char9 Char Char187,Štruktúra dokumentu Char Char Char187,Document Map Char Char Char187"/>
    <w:uiPriority w:val="99"/>
    <w:semiHidden/>
    <w:rPr>
      <w:rFonts w:ascii="Tahoma" w:hAnsi="Tahoma"/>
      <w:sz w:val="16"/>
      <w:lang w:val="x-none" w:eastAsia="cs-CZ"/>
    </w:rPr>
  </w:style>
  <w:style w:type="character" w:customStyle="1" w:styleId="truktradokumentuChar185">
    <w:name w:val="Štruktúra dokumentu Char185"/>
    <w:aliases w:val="Char9 Char Char186,Štruktúra dokumentu Char Char Char186,Document Map Char Char Char186"/>
    <w:uiPriority w:val="99"/>
    <w:semiHidden/>
    <w:rPr>
      <w:rFonts w:ascii="Tahoma" w:hAnsi="Tahoma"/>
      <w:sz w:val="16"/>
      <w:lang w:val="x-none" w:eastAsia="cs-CZ"/>
    </w:rPr>
  </w:style>
  <w:style w:type="character" w:customStyle="1" w:styleId="truktradokumentuChar184">
    <w:name w:val="Štruktúra dokumentu Char184"/>
    <w:aliases w:val="Char9 Char Char185,Štruktúra dokumentu Char Char Char185,Document Map Char Char Char185"/>
    <w:uiPriority w:val="99"/>
    <w:semiHidden/>
    <w:rPr>
      <w:rFonts w:ascii="Tahoma" w:hAnsi="Tahoma"/>
      <w:sz w:val="16"/>
      <w:lang w:val="x-none" w:eastAsia="cs-CZ"/>
    </w:rPr>
  </w:style>
  <w:style w:type="character" w:customStyle="1" w:styleId="truktradokumentuChar183">
    <w:name w:val="Štruktúra dokumentu Char183"/>
    <w:aliases w:val="Char9 Char Char184,Štruktúra dokumentu Char Char Char184,Document Map Char Char Char184"/>
    <w:uiPriority w:val="99"/>
    <w:semiHidden/>
    <w:rPr>
      <w:rFonts w:ascii="Tahoma" w:hAnsi="Tahoma"/>
      <w:sz w:val="16"/>
      <w:lang w:val="x-none" w:eastAsia="cs-CZ"/>
    </w:rPr>
  </w:style>
  <w:style w:type="character" w:customStyle="1" w:styleId="truktradokumentuChar182">
    <w:name w:val="Štruktúra dokumentu Char182"/>
    <w:aliases w:val="Char9 Char Char183,Štruktúra dokumentu Char Char Char183,Document Map Char Char Char183"/>
    <w:uiPriority w:val="99"/>
    <w:semiHidden/>
    <w:rPr>
      <w:rFonts w:ascii="Tahoma" w:hAnsi="Tahoma"/>
      <w:sz w:val="16"/>
      <w:lang w:val="x-none" w:eastAsia="cs-CZ"/>
    </w:rPr>
  </w:style>
  <w:style w:type="character" w:customStyle="1" w:styleId="truktradokumentuChar181">
    <w:name w:val="Štruktúra dokumentu Char181"/>
    <w:aliases w:val="Char9 Char Char182,Štruktúra dokumentu Char Char Char182,Document Map Char Char Char182"/>
    <w:uiPriority w:val="99"/>
    <w:semiHidden/>
    <w:rPr>
      <w:rFonts w:ascii="Tahoma" w:hAnsi="Tahoma"/>
      <w:sz w:val="16"/>
      <w:lang w:val="x-none" w:eastAsia="cs-CZ"/>
    </w:rPr>
  </w:style>
  <w:style w:type="character" w:customStyle="1" w:styleId="truktradokumentuChar180">
    <w:name w:val="Štruktúra dokumentu Char180"/>
    <w:aliases w:val="Char9 Char Char181,Štruktúra dokumentu Char Char Char181,Document Map Char Char Char181"/>
    <w:uiPriority w:val="99"/>
    <w:semiHidden/>
    <w:rPr>
      <w:rFonts w:ascii="Tahoma" w:hAnsi="Tahoma"/>
      <w:sz w:val="16"/>
      <w:lang w:val="x-none" w:eastAsia="cs-CZ"/>
    </w:rPr>
  </w:style>
  <w:style w:type="character" w:customStyle="1" w:styleId="truktradokumentuChar179">
    <w:name w:val="Štruktúra dokumentu Char179"/>
    <w:aliases w:val="Char9 Char Char180,Štruktúra dokumentu Char Char Char180,Document Map Char Char Char180"/>
    <w:uiPriority w:val="99"/>
    <w:semiHidden/>
    <w:rPr>
      <w:rFonts w:ascii="Tahoma" w:hAnsi="Tahoma"/>
      <w:sz w:val="16"/>
      <w:lang w:val="x-none" w:eastAsia="cs-CZ"/>
    </w:rPr>
  </w:style>
  <w:style w:type="character" w:customStyle="1" w:styleId="truktradokumentuChar178">
    <w:name w:val="Štruktúra dokumentu Char178"/>
    <w:aliases w:val="Char9 Char Char179,Štruktúra dokumentu Char Char Char179,Document Map Char Char Char179"/>
    <w:uiPriority w:val="99"/>
    <w:semiHidden/>
    <w:rPr>
      <w:rFonts w:ascii="Tahoma" w:hAnsi="Tahoma"/>
      <w:sz w:val="16"/>
      <w:lang w:val="x-none" w:eastAsia="cs-CZ"/>
    </w:rPr>
  </w:style>
  <w:style w:type="character" w:customStyle="1" w:styleId="truktradokumentuChar177">
    <w:name w:val="Štruktúra dokumentu Char177"/>
    <w:aliases w:val="Char9 Char Char178,Štruktúra dokumentu Char Char Char178,Document Map Char Char Char178"/>
    <w:uiPriority w:val="99"/>
    <w:semiHidden/>
    <w:rPr>
      <w:rFonts w:ascii="Tahoma" w:hAnsi="Tahoma"/>
      <w:sz w:val="16"/>
      <w:lang w:val="x-none" w:eastAsia="cs-CZ"/>
    </w:rPr>
  </w:style>
  <w:style w:type="character" w:customStyle="1" w:styleId="truktradokumentuChar176">
    <w:name w:val="Štruktúra dokumentu Char176"/>
    <w:aliases w:val="Char9 Char Char177,Štruktúra dokumentu Char Char Char177,Document Map Char Char Char177"/>
    <w:uiPriority w:val="99"/>
    <w:semiHidden/>
    <w:rPr>
      <w:rFonts w:ascii="Tahoma" w:hAnsi="Tahoma"/>
      <w:sz w:val="16"/>
      <w:lang w:val="x-none" w:eastAsia="cs-CZ"/>
    </w:rPr>
  </w:style>
  <w:style w:type="character" w:customStyle="1" w:styleId="truktradokumentuChar175">
    <w:name w:val="Štruktúra dokumentu Char175"/>
    <w:aliases w:val="Char9 Char Char176,Štruktúra dokumentu Char Char Char176,Document Map Char Char Char176"/>
    <w:uiPriority w:val="99"/>
    <w:semiHidden/>
    <w:rPr>
      <w:rFonts w:ascii="Tahoma" w:hAnsi="Tahoma"/>
      <w:sz w:val="16"/>
      <w:lang w:val="x-none" w:eastAsia="cs-CZ"/>
    </w:rPr>
  </w:style>
  <w:style w:type="character" w:customStyle="1" w:styleId="truktradokumentuChar174">
    <w:name w:val="Štruktúra dokumentu Char174"/>
    <w:aliases w:val="Char9 Char Char175,Štruktúra dokumentu Char Char Char175,Document Map Char Char Char175"/>
    <w:uiPriority w:val="99"/>
    <w:semiHidden/>
    <w:rPr>
      <w:rFonts w:ascii="Tahoma" w:hAnsi="Tahoma"/>
      <w:sz w:val="16"/>
      <w:lang w:val="x-none" w:eastAsia="cs-CZ"/>
    </w:rPr>
  </w:style>
  <w:style w:type="character" w:customStyle="1" w:styleId="truktradokumentuChar173">
    <w:name w:val="Štruktúra dokumentu Char173"/>
    <w:aliases w:val="Char9 Char Char174,Štruktúra dokumentu Char Char Char174,Document Map Char Char Char174"/>
    <w:uiPriority w:val="99"/>
    <w:semiHidden/>
    <w:rPr>
      <w:rFonts w:ascii="Tahoma" w:hAnsi="Tahoma"/>
      <w:sz w:val="16"/>
      <w:lang w:val="x-none" w:eastAsia="cs-CZ"/>
    </w:rPr>
  </w:style>
  <w:style w:type="character" w:customStyle="1" w:styleId="truktradokumentuChar172">
    <w:name w:val="Štruktúra dokumentu Char172"/>
    <w:aliases w:val="Char9 Char Char173,Štruktúra dokumentu Char Char Char173,Document Map Char Char Char173"/>
    <w:uiPriority w:val="99"/>
    <w:semiHidden/>
    <w:rPr>
      <w:rFonts w:ascii="Tahoma" w:hAnsi="Tahoma"/>
      <w:sz w:val="16"/>
      <w:lang w:val="x-none" w:eastAsia="cs-CZ"/>
    </w:rPr>
  </w:style>
  <w:style w:type="character" w:customStyle="1" w:styleId="truktradokumentuChar171">
    <w:name w:val="Štruktúra dokumentu Char171"/>
    <w:aliases w:val="Char9 Char Char172,Štruktúra dokumentu Char Char Char172,Document Map Char Char Char172"/>
    <w:uiPriority w:val="99"/>
    <w:semiHidden/>
    <w:rPr>
      <w:rFonts w:ascii="Tahoma" w:hAnsi="Tahoma"/>
      <w:sz w:val="16"/>
      <w:lang w:val="x-none" w:eastAsia="cs-CZ"/>
    </w:rPr>
  </w:style>
  <w:style w:type="character" w:customStyle="1" w:styleId="truktradokumentuChar170">
    <w:name w:val="Štruktúra dokumentu Char170"/>
    <w:aliases w:val="Char9 Char Char171,Štruktúra dokumentu Char Char Char171,Document Map Char Char Char171"/>
    <w:uiPriority w:val="99"/>
    <w:semiHidden/>
    <w:rPr>
      <w:rFonts w:ascii="Tahoma" w:hAnsi="Tahoma"/>
      <w:sz w:val="16"/>
      <w:lang w:val="x-none" w:eastAsia="cs-CZ"/>
    </w:rPr>
  </w:style>
  <w:style w:type="character" w:customStyle="1" w:styleId="truktradokumentuChar169">
    <w:name w:val="Štruktúra dokumentu Char169"/>
    <w:aliases w:val="Char9 Char Char170,Štruktúra dokumentu Char Char Char170,Document Map Char Char Char170"/>
    <w:uiPriority w:val="99"/>
    <w:semiHidden/>
    <w:rPr>
      <w:rFonts w:ascii="Tahoma" w:hAnsi="Tahoma"/>
      <w:sz w:val="16"/>
      <w:lang w:val="x-none" w:eastAsia="cs-CZ"/>
    </w:rPr>
  </w:style>
  <w:style w:type="character" w:customStyle="1" w:styleId="truktradokumentuChar168">
    <w:name w:val="Štruktúra dokumentu Char168"/>
    <w:aliases w:val="Char9 Char Char169,Štruktúra dokumentu Char Char Char169,Document Map Char Char Char169"/>
    <w:uiPriority w:val="99"/>
    <w:semiHidden/>
    <w:rPr>
      <w:rFonts w:ascii="Tahoma" w:hAnsi="Tahoma"/>
      <w:sz w:val="16"/>
      <w:lang w:val="x-none" w:eastAsia="cs-CZ"/>
    </w:rPr>
  </w:style>
  <w:style w:type="character" w:customStyle="1" w:styleId="truktradokumentuChar167">
    <w:name w:val="Štruktúra dokumentu Char167"/>
    <w:aliases w:val="Char9 Char Char168,Štruktúra dokumentu Char Char Char168,Document Map Char Char Char168"/>
    <w:uiPriority w:val="99"/>
    <w:semiHidden/>
    <w:rPr>
      <w:rFonts w:ascii="Tahoma" w:hAnsi="Tahoma"/>
      <w:sz w:val="16"/>
      <w:lang w:val="x-none" w:eastAsia="cs-CZ"/>
    </w:rPr>
  </w:style>
  <w:style w:type="character" w:customStyle="1" w:styleId="truktradokumentuChar166">
    <w:name w:val="Štruktúra dokumentu Char166"/>
    <w:aliases w:val="Char9 Char Char167,Štruktúra dokumentu Char Char Char167,Document Map Char Char Char167"/>
    <w:uiPriority w:val="99"/>
    <w:semiHidden/>
    <w:rPr>
      <w:rFonts w:ascii="Tahoma" w:hAnsi="Tahoma"/>
      <w:sz w:val="16"/>
      <w:lang w:val="x-none" w:eastAsia="cs-CZ"/>
    </w:rPr>
  </w:style>
  <w:style w:type="character" w:customStyle="1" w:styleId="truktradokumentuChar165">
    <w:name w:val="Štruktúra dokumentu Char165"/>
    <w:aliases w:val="Char9 Char Char166,Štruktúra dokumentu Char Char Char166,Document Map Char Char Char166"/>
    <w:uiPriority w:val="99"/>
    <w:semiHidden/>
    <w:rPr>
      <w:rFonts w:ascii="Tahoma" w:hAnsi="Tahoma"/>
      <w:sz w:val="16"/>
      <w:lang w:val="x-none" w:eastAsia="cs-CZ"/>
    </w:rPr>
  </w:style>
  <w:style w:type="character" w:customStyle="1" w:styleId="truktradokumentuChar164">
    <w:name w:val="Štruktúra dokumentu Char164"/>
    <w:aliases w:val="Char9 Char Char165,Štruktúra dokumentu Char Char Char165,Document Map Char Char Char165"/>
    <w:uiPriority w:val="99"/>
    <w:semiHidden/>
    <w:rPr>
      <w:rFonts w:ascii="Tahoma" w:hAnsi="Tahoma"/>
      <w:sz w:val="16"/>
      <w:lang w:val="x-none" w:eastAsia="cs-CZ"/>
    </w:rPr>
  </w:style>
  <w:style w:type="character" w:customStyle="1" w:styleId="truktradokumentuChar163">
    <w:name w:val="Štruktúra dokumentu Char163"/>
    <w:aliases w:val="Char9 Char Char164,Štruktúra dokumentu Char Char Char164,Document Map Char Char Char164"/>
    <w:uiPriority w:val="99"/>
    <w:semiHidden/>
    <w:rPr>
      <w:rFonts w:ascii="Tahoma" w:hAnsi="Tahoma"/>
      <w:sz w:val="16"/>
      <w:lang w:val="x-none" w:eastAsia="cs-CZ"/>
    </w:rPr>
  </w:style>
  <w:style w:type="character" w:customStyle="1" w:styleId="truktradokumentuChar162">
    <w:name w:val="Štruktúra dokumentu Char162"/>
    <w:aliases w:val="Char9 Char Char163,Štruktúra dokumentu Char Char Char163,Document Map Char Char Char163"/>
    <w:uiPriority w:val="99"/>
    <w:semiHidden/>
    <w:rPr>
      <w:rFonts w:ascii="Tahoma" w:hAnsi="Tahoma"/>
      <w:sz w:val="16"/>
      <w:lang w:val="x-none" w:eastAsia="cs-CZ"/>
    </w:rPr>
  </w:style>
  <w:style w:type="character" w:customStyle="1" w:styleId="truktradokumentuChar161">
    <w:name w:val="Štruktúra dokumentu Char161"/>
    <w:aliases w:val="Char9 Char Char162,Štruktúra dokumentu Char Char Char162,Document Map Char Char Char162"/>
    <w:uiPriority w:val="99"/>
    <w:semiHidden/>
    <w:rPr>
      <w:rFonts w:ascii="Tahoma" w:hAnsi="Tahoma"/>
      <w:sz w:val="16"/>
      <w:lang w:val="x-none" w:eastAsia="cs-CZ"/>
    </w:rPr>
  </w:style>
  <w:style w:type="character" w:customStyle="1" w:styleId="truktradokumentuChar160">
    <w:name w:val="Štruktúra dokumentu Char160"/>
    <w:aliases w:val="Char9 Char Char161,Štruktúra dokumentu Char Char Char161,Document Map Char Char Char161"/>
    <w:uiPriority w:val="99"/>
    <w:semiHidden/>
    <w:rPr>
      <w:rFonts w:ascii="Tahoma" w:hAnsi="Tahoma"/>
      <w:sz w:val="16"/>
      <w:lang w:val="x-none" w:eastAsia="cs-CZ"/>
    </w:rPr>
  </w:style>
  <w:style w:type="character" w:customStyle="1" w:styleId="truktradokumentuChar159">
    <w:name w:val="Štruktúra dokumentu Char159"/>
    <w:aliases w:val="Char9 Char Char160,Štruktúra dokumentu Char Char Char160,Document Map Char Char Char160"/>
    <w:uiPriority w:val="99"/>
    <w:semiHidden/>
    <w:rPr>
      <w:rFonts w:ascii="Tahoma" w:hAnsi="Tahoma"/>
      <w:sz w:val="16"/>
      <w:lang w:val="x-none" w:eastAsia="cs-CZ"/>
    </w:rPr>
  </w:style>
  <w:style w:type="character" w:customStyle="1" w:styleId="truktradokumentuChar158">
    <w:name w:val="Štruktúra dokumentu Char158"/>
    <w:aliases w:val="Char9 Char Char159,Štruktúra dokumentu Char Char Char159,Document Map Char Char Char159"/>
    <w:uiPriority w:val="99"/>
    <w:semiHidden/>
    <w:rPr>
      <w:rFonts w:ascii="Tahoma" w:hAnsi="Tahoma"/>
      <w:sz w:val="16"/>
      <w:lang w:val="x-none" w:eastAsia="cs-CZ"/>
    </w:rPr>
  </w:style>
  <w:style w:type="character" w:customStyle="1" w:styleId="truktradokumentuChar157">
    <w:name w:val="Štruktúra dokumentu Char157"/>
    <w:aliases w:val="Char9 Char Char158,Štruktúra dokumentu Char Char Char158,Document Map Char Char Char158"/>
    <w:uiPriority w:val="99"/>
    <w:semiHidden/>
    <w:rPr>
      <w:rFonts w:ascii="Tahoma" w:hAnsi="Tahoma"/>
      <w:sz w:val="16"/>
      <w:lang w:val="x-none" w:eastAsia="cs-CZ"/>
    </w:rPr>
  </w:style>
  <w:style w:type="character" w:customStyle="1" w:styleId="truktradokumentuChar156">
    <w:name w:val="Štruktúra dokumentu Char156"/>
    <w:aliases w:val="Char9 Char Char157,Štruktúra dokumentu Char Char Char157,Document Map Char Char Char157"/>
    <w:uiPriority w:val="99"/>
    <w:semiHidden/>
    <w:rPr>
      <w:rFonts w:ascii="Tahoma" w:hAnsi="Tahoma"/>
      <w:sz w:val="16"/>
      <w:lang w:val="x-none" w:eastAsia="cs-CZ"/>
    </w:rPr>
  </w:style>
  <w:style w:type="character" w:customStyle="1" w:styleId="truktradokumentuChar155">
    <w:name w:val="Štruktúra dokumentu Char155"/>
    <w:aliases w:val="Char9 Char Char156,Štruktúra dokumentu Char Char Char156,Document Map Char Char Char156"/>
    <w:uiPriority w:val="99"/>
    <w:semiHidden/>
    <w:rPr>
      <w:rFonts w:ascii="Tahoma" w:hAnsi="Tahoma"/>
      <w:sz w:val="16"/>
      <w:lang w:val="x-none" w:eastAsia="cs-CZ"/>
    </w:rPr>
  </w:style>
  <w:style w:type="character" w:customStyle="1" w:styleId="truktradokumentuChar154">
    <w:name w:val="Štruktúra dokumentu Char154"/>
    <w:aliases w:val="Char9 Char Char155,Štruktúra dokumentu Char Char Char155,Document Map Char Char Char155"/>
    <w:uiPriority w:val="99"/>
    <w:semiHidden/>
    <w:rPr>
      <w:rFonts w:ascii="Tahoma" w:hAnsi="Tahoma"/>
      <w:sz w:val="16"/>
      <w:lang w:val="x-none" w:eastAsia="cs-CZ"/>
    </w:rPr>
  </w:style>
  <w:style w:type="character" w:customStyle="1" w:styleId="truktradokumentuChar153">
    <w:name w:val="Štruktúra dokumentu Char153"/>
    <w:aliases w:val="Char9 Char Char154,Štruktúra dokumentu Char Char Char154,Document Map Char Char Char154"/>
    <w:uiPriority w:val="99"/>
    <w:semiHidden/>
    <w:rPr>
      <w:rFonts w:ascii="Tahoma" w:hAnsi="Tahoma"/>
      <w:sz w:val="16"/>
      <w:lang w:val="x-none" w:eastAsia="cs-CZ"/>
    </w:rPr>
  </w:style>
  <w:style w:type="character" w:customStyle="1" w:styleId="truktradokumentuChar152">
    <w:name w:val="Štruktúra dokumentu Char152"/>
    <w:aliases w:val="Char9 Char Char153,Štruktúra dokumentu Char Char Char153,Document Map Char Char Char153"/>
    <w:uiPriority w:val="99"/>
    <w:semiHidden/>
    <w:rPr>
      <w:rFonts w:ascii="Tahoma" w:hAnsi="Tahoma"/>
      <w:sz w:val="16"/>
      <w:lang w:val="x-none" w:eastAsia="cs-CZ"/>
    </w:rPr>
  </w:style>
  <w:style w:type="character" w:customStyle="1" w:styleId="truktradokumentuChar151">
    <w:name w:val="Štruktúra dokumentu Char151"/>
    <w:aliases w:val="Char9 Char Char152,Štruktúra dokumentu Char Char Char152,Document Map Char Char Char152"/>
    <w:uiPriority w:val="99"/>
    <w:semiHidden/>
    <w:rPr>
      <w:rFonts w:ascii="Tahoma" w:hAnsi="Tahoma"/>
      <w:sz w:val="16"/>
      <w:lang w:val="x-none" w:eastAsia="cs-CZ"/>
    </w:rPr>
  </w:style>
  <w:style w:type="character" w:customStyle="1" w:styleId="truktradokumentuChar150">
    <w:name w:val="Štruktúra dokumentu Char150"/>
    <w:aliases w:val="Char9 Char Char151,Štruktúra dokumentu Char Char Char151,Document Map Char Char Char151"/>
    <w:uiPriority w:val="99"/>
    <w:semiHidden/>
    <w:rPr>
      <w:rFonts w:ascii="Tahoma" w:hAnsi="Tahoma"/>
      <w:sz w:val="16"/>
      <w:lang w:val="x-none" w:eastAsia="cs-CZ"/>
    </w:rPr>
  </w:style>
  <w:style w:type="character" w:customStyle="1" w:styleId="truktradokumentuChar149">
    <w:name w:val="Štruktúra dokumentu Char149"/>
    <w:aliases w:val="Char9 Char Char150,Štruktúra dokumentu Char Char Char150,Document Map Char Char Char150"/>
    <w:uiPriority w:val="99"/>
    <w:semiHidden/>
    <w:rPr>
      <w:rFonts w:ascii="Tahoma" w:hAnsi="Tahoma"/>
      <w:sz w:val="16"/>
      <w:lang w:val="x-none" w:eastAsia="cs-CZ"/>
    </w:rPr>
  </w:style>
  <w:style w:type="character" w:customStyle="1" w:styleId="truktradokumentuChar148">
    <w:name w:val="Štruktúra dokumentu Char148"/>
    <w:aliases w:val="Char9 Char Char149,Štruktúra dokumentu Char Char Char149,Document Map Char Char Char149"/>
    <w:uiPriority w:val="99"/>
    <w:semiHidden/>
    <w:rPr>
      <w:rFonts w:ascii="Tahoma" w:hAnsi="Tahoma"/>
      <w:sz w:val="16"/>
      <w:lang w:val="x-none" w:eastAsia="cs-CZ"/>
    </w:rPr>
  </w:style>
  <w:style w:type="character" w:customStyle="1" w:styleId="truktradokumentuChar147">
    <w:name w:val="Štruktúra dokumentu Char147"/>
    <w:aliases w:val="Char9 Char Char148,Štruktúra dokumentu Char Char Char148,Document Map Char Char Char148"/>
    <w:uiPriority w:val="99"/>
    <w:semiHidden/>
    <w:rPr>
      <w:rFonts w:ascii="Tahoma" w:hAnsi="Tahoma"/>
      <w:sz w:val="16"/>
      <w:lang w:val="x-none" w:eastAsia="cs-CZ"/>
    </w:rPr>
  </w:style>
  <w:style w:type="character" w:customStyle="1" w:styleId="truktradokumentuChar146">
    <w:name w:val="Štruktúra dokumentu Char146"/>
    <w:aliases w:val="Char9 Char Char147,Štruktúra dokumentu Char Char Char147,Document Map Char Char Char147"/>
    <w:uiPriority w:val="99"/>
    <w:semiHidden/>
    <w:rPr>
      <w:rFonts w:ascii="Tahoma" w:hAnsi="Tahoma"/>
      <w:sz w:val="16"/>
      <w:lang w:val="x-none" w:eastAsia="cs-CZ"/>
    </w:rPr>
  </w:style>
  <w:style w:type="character" w:customStyle="1" w:styleId="truktradokumentuChar145">
    <w:name w:val="Štruktúra dokumentu Char145"/>
    <w:aliases w:val="Char9 Char Char146,Štruktúra dokumentu Char Char Char146,Document Map Char Char Char146"/>
    <w:uiPriority w:val="99"/>
    <w:semiHidden/>
    <w:rPr>
      <w:rFonts w:ascii="Tahoma" w:hAnsi="Tahoma"/>
      <w:sz w:val="16"/>
      <w:lang w:val="x-none" w:eastAsia="cs-CZ"/>
    </w:rPr>
  </w:style>
  <w:style w:type="character" w:customStyle="1" w:styleId="truktradokumentuChar144">
    <w:name w:val="Štruktúra dokumentu Char144"/>
    <w:aliases w:val="Char9 Char Char145,Štruktúra dokumentu Char Char Char145,Document Map Char Char Char145"/>
    <w:uiPriority w:val="99"/>
    <w:semiHidden/>
    <w:rPr>
      <w:rFonts w:ascii="Tahoma" w:hAnsi="Tahoma"/>
      <w:sz w:val="16"/>
      <w:lang w:val="x-none" w:eastAsia="cs-CZ"/>
    </w:rPr>
  </w:style>
  <w:style w:type="character" w:customStyle="1" w:styleId="truktradokumentuChar143">
    <w:name w:val="Štruktúra dokumentu Char143"/>
    <w:aliases w:val="Char9 Char Char144,Štruktúra dokumentu Char Char Char144,Document Map Char Char Char144"/>
    <w:uiPriority w:val="99"/>
    <w:semiHidden/>
    <w:rPr>
      <w:rFonts w:ascii="Tahoma" w:hAnsi="Tahoma"/>
      <w:sz w:val="16"/>
      <w:lang w:val="x-none" w:eastAsia="cs-CZ"/>
    </w:rPr>
  </w:style>
  <w:style w:type="character" w:customStyle="1" w:styleId="truktradokumentuChar142">
    <w:name w:val="Štruktúra dokumentu Char142"/>
    <w:aliases w:val="Char9 Char Char143,Štruktúra dokumentu Char Char Char143,Document Map Char Char Char143"/>
    <w:uiPriority w:val="99"/>
    <w:semiHidden/>
    <w:rPr>
      <w:rFonts w:ascii="Tahoma" w:hAnsi="Tahoma"/>
      <w:sz w:val="16"/>
      <w:lang w:val="x-none" w:eastAsia="cs-CZ"/>
    </w:rPr>
  </w:style>
  <w:style w:type="character" w:customStyle="1" w:styleId="truktradokumentuChar141">
    <w:name w:val="Štruktúra dokumentu Char141"/>
    <w:aliases w:val="Char9 Char Char142,Štruktúra dokumentu Char Char Char142,Document Map Char Char Char142"/>
    <w:uiPriority w:val="99"/>
    <w:semiHidden/>
    <w:rPr>
      <w:rFonts w:ascii="Tahoma" w:hAnsi="Tahoma"/>
      <w:sz w:val="16"/>
      <w:lang w:val="x-none" w:eastAsia="cs-CZ"/>
    </w:rPr>
  </w:style>
  <w:style w:type="character" w:customStyle="1" w:styleId="truktradokumentuChar140">
    <w:name w:val="Štruktúra dokumentu Char140"/>
    <w:aliases w:val="Char9 Char Char141,Štruktúra dokumentu Char Char Char141,Document Map Char Char Char141"/>
    <w:uiPriority w:val="99"/>
    <w:semiHidden/>
    <w:rPr>
      <w:rFonts w:ascii="Tahoma" w:hAnsi="Tahoma"/>
      <w:sz w:val="16"/>
      <w:lang w:val="x-none" w:eastAsia="cs-CZ"/>
    </w:rPr>
  </w:style>
  <w:style w:type="character" w:customStyle="1" w:styleId="truktradokumentuChar139">
    <w:name w:val="Štruktúra dokumentu Char139"/>
    <w:aliases w:val="Char9 Char Char140,Štruktúra dokumentu Char Char Char140,Document Map Char Char Char140"/>
    <w:uiPriority w:val="99"/>
    <w:semiHidden/>
    <w:rPr>
      <w:rFonts w:ascii="Tahoma" w:hAnsi="Tahoma"/>
      <w:sz w:val="16"/>
      <w:lang w:val="x-none" w:eastAsia="cs-CZ"/>
    </w:rPr>
  </w:style>
  <w:style w:type="character" w:customStyle="1" w:styleId="truktradokumentuChar138">
    <w:name w:val="Štruktúra dokumentu Char138"/>
    <w:aliases w:val="Char9 Char Char139,Štruktúra dokumentu Char Char Char139,Document Map Char Char Char139"/>
    <w:uiPriority w:val="99"/>
    <w:semiHidden/>
    <w:rPr>
      <w:rFonts w:ascii="Tahoma" w:hAnsi="Tahoma"/>
      <w:sz w:val="16"/>
      <w:lang w:val="x-none" w:eastAsia="cs-CZ"/>
    </w:rPr>
  </w:style>
  <w:style w:type="character" w:customStyle="1" w:styleId="truktradokumentuChar137">
    <w:name w:val="Štruktúra dokumentu Char137"/>
    <w:aliases w:val="Char9 Char Char138,Štruktúra dokumentu Char Char Char138,Document Map Char Char Char138"/>
    <w:uiPriority w:val="99"/>
    <w:semiHidden/>
    <w:rPr>
      <w:rFonts w:ascii="Tahoma" w:hAnsi="Tahoma"/>
      <w:sz w:val="16"/>
      <w:lang w:val="x-none" w:eastAsia="cs-CZ"/>
    </w:rPr>
  </w:style>
  <w:style w:type="character" w:customStyle="1" w:styleId="truktradokumentuChar136">
    <w:name w:val="Štruktúra dokumentu Char136"/>
    <w:aliases w:val="Char9 Char Char137,Štruktúra dokumentu Char Char Char137,Document Map Char Char Char137"/>
    <w:uiPriority w:val="99"/>
    <w:semiHidden/>
    <w:rPr>
      <w:rFonts w:ascii="Tahoma" w:hAnsi="Tahoma"/>
      <w:sz w:val="16"/>
      <w:lang w:val="x-none" w:eastAsia="cs-CZ"/>
    </w:rPr>
  </w:style>
  <w:style w:type="character" w:customStyle="1" w:styleId="truktradokumentuChar135">
    <w:name w:val="Štruktúra dokumentu Char135"/>
    <w:aliases w:val="Char9 Char Char136,Štruktúra dokumentu Char Char Char136,Document Map Char Char Char136"/>
    <w:uiPriority w:val="99"/>
    <w:semiHidden/>
    <w:rPr>
      <w:rFonts w:ascii="Tahoma" w:hAnsi="Tahoma"/>
      <w:sz w:val="16"/>
      <w:lang w:val="x-none" w:eastAsia="cs-CZ"/>
    </w:rPr>
  </w:style>
  <w:style w:type="character" w:customStyle="1" w:styleId="truktradokumentuChar134">
    <w:name w:val="Štruktúra dokumentu Char134"/>
    <w:aliases w:val="Char9 Char Char135,Štruktúra dokumentu Char Char Char135,Document Map Char Char Char135"/>
    <w:uiPriority w:val="99"/>
    <w:semiHidden/>
    <w:rPr>
      <w:rFonts w:ascii="Tahoma" w:hAnsi="Tahoma"/>
      <w:sz w:val="16"/>
      <w:lang w:val="x-none" w:eastAsia="cs-CZ"/>
    </w:rPr>
  </w:style>
  <w:style w:type="character" w:customStyle="1" w:styleId="truktradokumentuChar133">
    <w:name w:val="Štruktúra dokumentu Char133"/>
    <w:aliases w:val="Char9 Char Char134,Štruktúra dokumentu Char Char Char134,Document Map Char Char Char134"/>
    <w:uiPriority w:val="99"/>
    <w:semiHidden/>
    <w:rPr>
      <w:rFonts w:ascii="Tahoma" w:hAnsi="Tahoma"/>
      <w:sz w:val="16"/>
      <w:lang w:val="x-none" w:eastAsia="cs-CZ"/>
    </w:rPr>
  </w:style>
  <w:style w:type="character" w:customStyle="1" w:styleId="truktradokumentuChar132">
    <w:name w:val="Štruktúra dokumentu Char132"/>
    <w:aliases w:val="Char9 Char Char133,Štruktúra dokumentu Char Char Char133,Document Map Char Char Char133"/>
    <w:uiPriority w:val="99"/>
    <w:semiHidden/>
    <w:rPr>
      <w:rFonts w:ascii="Tahoma" w:hAnsi="Tahoma"/>
      <w:sz w:val="16"/>
      <w:lang w:val="x-none" w:eastAsia="cs-CZ"/>
    </w:rPr>
  </w:style>
  <w:style w:type="character" w:customStyle="1" w:styleId="truktradokumentuChar131">
    <w:name w:val="Štruktúra dokumentu Char131"/>
    <w:aliases w:val="Char9 Char Char132,Štruktúra dokumentu Char Char Char132,Document Map Char Char Char132"/>
    <w:uiPriority w:val="99"/>
    <w:semiHidden/>
    <w:rPr>
      <w:rFonts w:ascii="Tahoma" w:hAnsi="Tahoma"/>
      <w:sz w:val="16"/>
      <w:lang w:val="x-none" w:eastAsia="cs-CZ"/>
    </w:rPr>
  </w:style>
  <w:style w:type="character" w:customStyle="1" w:styleId="truktradokumentuChar130">
    <w:name w:val="Štruktúra dokumentu Char130"/>
    <w:aliases w:val="Char9 Char Char131,Štruktúra dokumentu Char Char Char131,Document Map Char Char Char131"/>
    <w:uiPriority w:val="99"/>
    <w:semiHidden/>
    <w:rPr>
      <w:rFonts w:ascii="Tahoma" w:hAnsi="Tahoma"/>
      <w:sz w:val="16"/>
      <w:lang w:val="x-none" w:eastAsia="cs-CZ"/>
    </w:rPr>
  </w:style>
  <w:style w:type="character" w:customStyle="1" w:styleId="truktradokumentuChar129">
    <w:name w:val="Štruktúra dokumentu Char129"/>
    <w:aliases w:val="Char9 Char Char130,Štruktúra dokumentu Char Char Char130,Document Map Char Char Char130"/>
    <w:uiPriority w:val="99"/>
    <w:semiHidden/>
    <w:rPr>
      <w:rFonts w:ascii="Tahoma" w:hAnsi="Tahoma"/>
      <w:sz w:val="16"/>
      <w:lang w:val="x-none" w:eastAsia="cs-CZ"/>
    </w:rPr>
  </w:style>
  <w:style w:type="character" w:customStyle="1" w:styleId="truktradokumentuChar128">
    <w:name w:val="Štruktúra dokumentu Char128"/>
    <w:aliases w:val="Char9 Char Char129,Štruktúra dokumentu Char Char Char129,Document Map Char Char Char129"/>
    <w:uiPriority w:val="99"/>
    <w:semiHidden/>
    <w:rPr>
      <w:rFonts w:ascii="Tahoma" w:hAnsi="Tahoma"/>
      <w:sz w:val="16"/>
      <w:lang w:val="x-none" w:eastAsia="cs-CZ"/>
    </w:rPr>
  </w:style>
  <w:style w:type="character" w:customStyle="1" w:styleId="truktradokumentuChar127">
    <w:name w:val="Štruktúra dokumentu Char127"/>
    <w:aliases w:val="Char9 Char Char128,Štruktúra dokumentu Char Char Char128,Document Map Char Char Char128"/>
    <w:uiPriority w:val="99"/>
    <w:semiHidden/>
    <w:rPr>
      <w:rFonts w:ascii="Tahoma" w:hAnsi="Tahoma"/>
      <w:sz w:val="16"/>
      <w:lang w:val="x-none" w:eastAsia="cs-CZ"/>
    </w:rPr>
  </w:style>
  <w:style w:type="character" w:customStyle="1" w:styleId="truktradokumentuChar126">
    <w:name w:val="Štruktúra dokumentu Char126"/>
    <w:aliases w:val="Char9 Char Char127,Štruktúra dokumentu Char Char Char127,Document Map Char Char Char127"/>
    <w:uiPriority w:val="99"/>
    <w:semiHidden/>
    <w:rPr>
      <w:rFonts w:ascii="Tahoma" w:hAnsi="Tahoma"/>
      <w:sz w:val="16"/>
      <w:lang w:val="x-none" w:eastAsia="cs-CZ"/>
    </w:rPr>
  </w:style>
  <w:style w:type="character" w:customStyle="1" w:styleId="truktradokumentuChar125">
    <w:name w:val="Štruktúra dokumentu Char125"/>
    <w:aliases w:val="Char9 Char Char126,Štruktúra dokumentu Char Char Char126,Document Map Char Char Char126"/>
    <w:uiPriority w:val="99"/>
    <w:semiHidden/>
    <w:rPr>
      <w:rFonts w:ascii="Tahoma" w:hAnsi="Tahoma"/>
      <w:sz w:val="16"/>
      <w:lang w:val="x-none" w:eastAsia="cs-CZ"/>
    </w:rPr>
  </w:style>
  <w:style w:type="character" w:customStyle="1" w:styleId="truktradokumentuChar124">
    <w:name w:val="Štruktúra dokumentu Char124"/>
    <w:aliases w:val="Char9 Char Char125,Štruktúra dokumentu Char Char Char125,Document Map Char Char Char125"/>
    <w:uiPriority w:val="99"/>
    <w:semiHidden/>
    <w:rPr>
      <w:rFonts w:ascii="Tahoma" w:hAnsi="Tahoma"/>
      <w:sz w:val="16"/>
      <w:lang w:val="x-none" w:eastAsia="cs-CZ"/>
    </w:rPr>
  </w:style>
  <w:style w:type="character" w:customStyle="1" w:styleId="truktradokumentuChar123">
    <w:name w:val="Štruktúra dokumentu Char123"/>
    <w:aliases w:val="Char9 Char Char124,Štruktúra dokumentu Char Char Char124,Document Map Char Char Char124"/>
    <w:uiPriority w:val="99"/>
    <w:semiHidden/>
    <w:rPr>
      <w:rFonts w:ascii="Tahoma" w:hAnsi="Tahoma"/>
      <w:sz w:val="16"/>
      <w:lang w:val="x-none" w:eastAsia="cs-CZ"/>
    </w:rPr>
  </w:style>
  <w:style w:type="character" w:customStyle="1" w:styleId="truktradokumentuChar122">
    <w:name w:val="Štruktúra dokumentu Char122"/>
    <w:aliases w:val="Char9 Char Char123,Štruktúra dokumentu Char Char Char123,Document Map Char Char Char123"/>
    <w:uiPriority w:val="99"/>
    <w:semiHidden/>
    <w:rPr>
      <w:rFonts w:ascii="Tahoma" w:hAnsi="Tahoma"/>
      <w:sz w:val="16"/>
      <w:lang w:val="x-none" w:eastAsia="cs-CZ"/>
    </w:rPr>
  </w:style>
  <w:style w:type="character" w:customStyle="1" w:styleId="truktradokumentuChar121">
    <w:name w:val="Štruktúra dokumentu Char121"/>
    <w:aliases w:val="Char9 Char Char122,Štruktúra dokumentu Char Char Char122,Document Map Char Char Char122"/>
    <w:uiPriority w:val="99"/>
    <w:semiHidden/>
    <w:rPr>
      <w:rFonts w:ascii="Tahoma" w:hAnsi="Tahoma"/>
      <w:sz w:val="16"/>
      <w:lang w:val="x-none" w:eastAsia="cs-CZ"/>
    </w:rPr>
  </w:style>
  <w:style w:type="character" w:customStyle="1" w:styleId="truktradokumentuChar120">
    <w:name w:val="Štruktúra dokumentu Char120"/>
    <w:aliases w:val="Char9 Char Char121,Štruktúra dokumentu Char Char Char121,Document Map Char Char Char121"/>
    <w:uiPriority w:val="99"/>
    <w:semiHidden/>
    <w:rPr>
      <w:rFonts w:ascii="Tahoma" w:hAnsi="Tahoma"/>
      <w:sz w:val="16"/>
      <w:lang w:val="x-none" w:eastAsia="cs-CZ"/>
    </w:rPr>
  </w:style>
  <w:style w:type="character" w:customStyle="1" w:styleId="truktradokumentuChar119">
    <w:name w:val="Štruktúra dokumentu Char119"/>
    <w:aliases w:val="Char9 Char Char120,Štruktúra dokumentu Char Char Char120,Document Map Char Char Char120"/>
    <w:uiPriority w:val="99"/>
    <w:semiHidden/>
    <w:rPr>
      <w:rFonts w:ascii="Tahoma" w:hAnsi="Tahoma"/>
      <w:sz w:val="16"/>
      <w:lang w:val="x-none" w:eastAsia="cs-CZ"/>
    </w:rPr>
  </w:style>
  <w:style w:type="character" w:customStyle="1" w:styleId="truktradokumentuChar118">
    <w:name w:val="Štruktúra dokumentu Char118"/>
    <w:aliases w:val="Char9 Char Char119,Štruktúra dokumentu Char Char Char119,Document Map Char Char Char119"/>
    <w:uiPriority w:val="99"/>
    <w:semiHidden/>
    <w:rPr>
      <w:rFonts w:ascii="Tahoma" w:hAnsi="Tahoma"/>
      <w:sz w:val="16"/>
      <w:lang w:val="x-none" w:eastAsia="cs-CZ"/>
    </w:rPr>
  </w:style>
  <w:style w:type="character" w:customStyle="1" w:styleId="truktradokumentuChar117">
    <w:name w:val="Štruktúra dokumentu Char117"/>
    <w:aliases w:val="Char9 Char Char118,Štruktúra dokumentu Char Char Char118,Document Map Char Char Char118"/>
    <w:uiPriority w:val="99"/>
    <w:semiHidden/>
    <w:rPr>
      <w:rFonts w:ascii="Tahoma" w:hAnsi="Tahoma"/>
      <w:sz w:val="16"/>
      <w:lang w:val="x-none" w:eastAsia="cs-CZ"/>
    </w:rPr>
  </w:style>
  <w:style w:type="character" w:customStyle="1" w:styleId="truktradokumentuChar116">
    <w:name w:val="Štruktúra dokumentu Char116"/>
    <w:aliases w:val="Char9 Char Char117,Štruktúra dokumentu Char Char Char117,Document Map Char Char Char117"/>
    <w:uiPriority w:val="99"/>
    <w:semiHidden/>
    <w:rPr>
      <w:rFonts w:ascii="Tahoma" w:hAnsi="Tahoma"/>
      <w:sz w:val="16"/>
      <w:lang w:val="x-none" w:eastAsia="cs-CZ"/>
    </w:rPr>
  </w:style>
  <w:style w:type="character" w:customStyle="1" w:styleId="truktradokumentuChar115">
    <w:name w:val="Štruktúra dokumentu Char115"/>
    <w:aliases w:val="Char9 Char Char116,Štruktúra dokumentu Char Char Char116,Document Map Char Char Char116"/>
    <w:uiPriority w:val="99"/>
    <w:semiHidden/>
    <w:rPr>
      <w:rFonts w:ascii="Tahoma" w:hAnsi="Tahoma"/>
      <w:sz w:val="16"/>
      <w:lang w:val="x-none" w:eastAsia="cs-CZ"/>
    </w:rPr>
  </w:style>
  <w:style w:type="character" w:customStyle="1" w:styleId="truktradokumentuChar114">
    <w:name w:val="Štruktúra dokumentu Char114"/>
    <w:aliases w:val="Char9 Char Char115,Štruktúra dokumentu Char Char Char115,Document Map Char Char Char115"/>
    <w:uiPriority w:val="99"/>
    <w:semiHidden/>
    <w:rPr>
      <w:rFonts w:ascii="Tahoma" w:hAnsi="Tahoma"/>
      <w:sz w:val="16"/>
      <w:lang w:val="x-none" w:eastAsia="cs-CZ"/>
    </w:rPr>
  </w:style>
  <w:style w:type="character" w:customStyle="1" w:styleId="truktradokumentuChar113">
    <w:name w:val="Štruktúra dokumentu Char113"/>
    <w:aliases w:val="Char9 Char Char114,Štruktúra dokumentu Char Char Char114,Document Map Char Char Char114"/>
    <w:uiPriority w:val="99"/>
    <w:semiHidden/>
    <w:rPr>
      <w:rFonts w:ascii="Tahoma" w:hAnsi="Tahoma"/>
      <w:sz w:val="16"/>
      <w:lang w:val="x-none" w:eastAsia="cs-CZ"/>
    </w:rPr>
  </w:style>
  <w:style w:type="character" w:customStyle="1" w:styleId="truktradokumentuChar112">
    <w:name w:val="Štruktúra dokumentu Char112"/>
    <w:aliases w:val="Char9 Char Char113,Štruktúra dokumentu Char Char Char113,Document Map Char Char Char113"/>
    <w:uiPriority w:val="99"/>
    <w:semiHidden/>
    <w:rPr>
      <w:rFonts w:ascii="Tahoma" w:hAnsi="Tahoma"/>
      <w:sz w:val="16"/>
      <w:lang w:val="x-none" w:eastAsia="cs-CZ"/>
    </w:rPr>
  </w:style>
  <w:style w:type="character" w:customStyle="1" w:styleId="truktradokumentuChar111">
    <w:name w:val="Štruktúra dokumentu Char111"/>
    <w:aliases w:val="Char9 Char Char112,Štruktúra dokumentu Char Char Char112,Document Map Char Char Char112"/>
    <w:uiPriority w:val="99"/>
    <w:semiHidden/>
    <w:rPr>
      <w:rFonts w:ascii="Tahoma" w:hAnsi="Tahoma"/>
      <w:sz w:val="16"/>
      <w:lang w:val="x-none" w:eastAsia="cs-CZ"/>
    </w:rPr>
  </w:style>
  <w:style w:type="character" w:customStyle="1" w:styleId="truktradokumentuChar110">
    <w:name w:val="Štruktúra dokumentu Char110"/>
    <w:aliases w:val="Char9 Char Char110,Štruktúra dokumentu Char Char Char110,Document Map Char Char Char110"/>
    <w:uiPriority w:val="99"/>
    <w:semiHidden/>
    <w:rPr>
      <w:rFonts w:ascii="Tahoma" w:hAnsi="Tahoma"/>
      <w:sz w:val="16"/>
      <w:lang w:val="x-none" w:eastAsia="cs-CZ"/>
    </w:rPr>
  </w:style>
  <w:style w:type="character" w:customStyle="1" w:styleId="truktradokumentuChar19">
    <w:name w:val="Štruktúra dokumentu Char19"/>
    <w:aliases w:val="Char9 Char Char19,Štruktúra dokumentu Char Char Char19,Document Map Char Char Char19"/>
    <w:uiPriority w:val="99"/>
    <w:semiHidden/>
    <w:rPr>
      <w:rFonts w:ascii="Tahoma" w:hAnsi="Tahoma"/>
      <w:sz w:val="16"/>
      <w:lang w:val="x-none" w:eastAsia="cs-CZ"/>
    </w:rPr>
  </w:style>
  <w:style w:type="character" w:customStyle="1" w:styleId="truktradokumentuChar18">
    <w:name w:val="Štruktúra dokumentu Char18"/>
    <w:aliases w:val="Char9 Char Char18,Štruktúra dokumentu Char Char Char18,Document Map Char Char Char18"/>
    <w:uiPriority w:val="99"/>
    <w:semiHidden/>
    <w:rPr>
      <w:rFonts w:ascii="Tahoma" w:hAnsi="Tahoma"/>
      <w:sz w:val="16"/>
      <w:lang w:val="x-none" w:eastAsia="cs-CZ"/>
    </w:rPr>
  </w:style>
  <w:style w:type="character" w:customStyle="1" w:styleId="truktradokumentuChar17">
    <w:name w:val="Štruktúra dokumentu Char17"/>
    <w:aliases w:val="Char9 Char Char17,Štruktúra dokumentu Char Char Char17,Document Map Char Char Char17"/>
    <w:uiPriority w:val="99"/>
    <w:semiHidden/>
    <w:rPr>
      <w:rFonts w:ascii="Tahoma" w:hAnsi="Tahoma"/>
      <w:sz w:val="16"/>
      <w:lang w:val="x-none" w:eastAsia="cs-CZ"/>
    </w:rPr>
  </w:style>
  <w:style w:type="character" w:customStyle="1" w:styleId="truktradokumentuChar16">
    <w:name w:val="Štruktúra dokumentu Char16"/>
    <w:aliases w:val="Char9 Char Char16,Štruktúra dokumentu Char Char Char16,Document Map Char Char Char16"/>
    <w:uiPriority w:val="99"/>
    <w:semiHidden/>
    <w:rPr>
      <w:rFonts w:ascii="Tahoma" w:hAnsi="Tahoma"/>
      <w:sz w:val="16"/>
      <w:lang w:val="x-none" w:eastAsia="cs-CZ"/>
    </w:rPr>
  </w:style>
  <w:style w:type="character" w:customStyle="1" w:styleId="truktradokumentuChar15">
    <w:name w:val="Štruktúra dokumentu Char15"/>
    <w:aliases w:val="Char9 Char Char15,Štruktúra dokumentu Char Char Char15,Document Map Char Char Char15"/>
    <w:uiPriority w:val="99"/>
    <w:semiHidden/>
    <w:rPr>
      <w:rFonts w:ascii="Tahoma" w:hAnsi="Tahoma"/>
      <w:sz w:val="16"/>
      <w:lang w:val="x-none" w:eastAsia="cs-CZ"/>
    </w:rPr>
  </w:style>
  <w:style w:type="character" w:customStyle="1" w:styleId="truktradokumentuChar14">
    <w:name w:val="Štruktúra dokumentu Char14"/>
    <w:aliases w:val="Char9 Char Char14,Štruktúra dokumentu Char Char Char14,Document Map Char Char Char14"/>
    <w:uiPriority w:val="99"/>
    <w:semiHidden/>
    <w:rPr>
      <w:rFonts w:ascii="Tahoma" w:hAnsi="Tahoma"/>
      <w:sz w:val="16"/>
      <w:lang w:val="x-none" w:eastAsia="cs-CZ"/>
    </w:rPr>
  </w:style>
  <w:style w:type="character" w:customStyle="1" w:styleId="truktradokumentuChar13">
    <w:name w:val="Štruktúra dokumentu Char13"/>
    <w:aliases w:val="Char9 Char Char13,Štruktúra dokumentu Char Char Char13,Document Map Char Char Char13"/>
    <w:uiPriority w:val="99"/>
    <w:semiHidden/>
    <w:rPr>
      <w:rFonts w:ascii="Tahoma" w:hAnsi="Tahoma"/>
      <w:sz w:val="16"/>
      <w:lang w:val="x-none" w:eastAsia="cs-CZ"/>
    </w:rPr>
  </w:style>
  <w:style w:type="character" w:customStyle="1" w:styleId="truktradokumentuChar12">
    <w:name w:val="Štruktúra dokumentu Char12"/>
    <w:aliases w:val="Char9 Char Char12,Štruktúra dokumentu Char Char Char12,Document Map Char Char Char12"/>
    <w:uiPriority w:val="99"/>
    <w:semiHidden/>
    <w:rPr>
      <w:rFonts w:ascii="Tahoma" w:hAnsi="Tahoma"/>
      <w:sz w:val="16"/>
      <w:lang w:val="x-none" w:eastAsia="cs-CZ"/>
    </w:rPr>
  </w:style>
  <w:style w:type="character" w:customStyle="1" w:styleId="truktradokumentuChar11">
    <w:name w:val="Štruktúra dokumentu Char11"/>
    <w:aliases w:val="Char9 Char Char11,Štruktúra dokumentu Char Char Char11,Document Map Char Char Char11,Char9 Char Char111,Štruktúra dokumentu Char Char Char111,Document Map Char Char Char111"/>
    <w:uiPriority w:val="99"/>
    <w:semiHidden/>
    <w:rsid w:val="00992BC9"/>
    <w:rPr>
      <w:rFonts w:ascii="Tahoma" w:hAnsi="Tahoma"/>
      <w:sz w:val="16"/>
      <w:lang w:val="x-none" w:eastAsia="cs-CZ"/>
    </w:rPr>
  </w:style>
  <w:style w:type="paragraph" w:customStyle="1" w:styleId="CharCharCharCharCharCharCharCharCharCharCharCharCharCharCharCharCharCharCharCharCharCharChar1CharCharCharCharChar">
    <w:name w:val="Char Char Char Char Char Char Char Char Char Char Char Char Char Char Char Char Char Char Char Char Char Char Char1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CharCharCharCharChar">
    <w:name w:val="Char Char Char2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
    <w:name w:val="Char Char Char2 Char Char Char Char Char Char"/>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TextkomentraChar">
    <w:name w:val="Text komentára Char"/>
    <w:aliases w:val="Char7 Char Char,Text komentára Char Char Char,Comment Text Char Char Char"/>
    <w:link w:val="Textkomentra"/>
    <w:uiPriority w:val="99"/>
    <w:semiHidden/>
    <w:locked/>
    <w:rsid w:val="00992BC9"/>
    <w:rPr>
      <w:rFonts w:ascii="Courier" w:hAnsi="Courier"/>
    </w:rPr>
  </w:style>
  <w:style w:type="paragraph" w:styleId="Textkomentra">
    <w:name w:val="annotation text"/>
    <w:aliases w:val="Char7 Char,Text komentára Char Char,Comment Text Char Char"/>
    <w:basedOn w:val="Normlny"/>
    <w:link w:val="TextkomentraChar"/>
    <w:uiPriority w:val="99"/>
    <w:semiHidden/>
    <w:qFormat/>
    <w:rsid w:val="00992BC9"/>
    <w:rPr>
      <w:rFonts w:cs="Times New Roman"/>
      <w:sz w:val="20"/>
      <w:szCs w:val="20"/>
    </w:rPr>
  </w:style>
  <w:style w:type="character" w:customStyle="1" w:styleId="TextkomentraChar1">
    <w:name w:val="Text komentára Char1"/>
    <w:aliases w:val="Char7 Char Char1,Text komentára Char Char Char1,Comment Text Char Char Char1"/>
    <w:basedOn w:val="Predvolenpsmoodseku"/>
    <w:uiPriority w:val="99"/>
    <w:semiHidden/>
    <w:rPr>
      <w:rFonts w:ascii="Courier" w:hAnsi="Courier" w:cs="Courier"/>
      <w:lang w:eastAsia="cs-CZ"/>
    </w:rPr>
  </w:style>
  <w:style w:type="character" w:customStyle="1" w:styleId="TextkomentraChar1621">
    <w:name w:val="Text komentára Char1621"/>
    <w:aliases w:val="Char7 Char Char1622,Text komentára Char Char Char1622,Comment Text Char Char Char1622"/>
    <w:basedOn w:val="Predvolenpsmoodseku"/>
    <w:uiPriority w:val="99"/>
    <w:semiHidden/>
    <w:rPr>
      <w:rFonts w:ascii="Courier" w:hAnsi="Courier" w:cs="Courier"/>
      <w:lang w:val="x-none" w:eastAsia="cs-CZ"/>
    </w:rPr>
  </w:style>
  <w:style w:type="character" w:customStyle="1" w:styleId="TextkomentraChar1620">
    <w:name w:val="Text komentára Char1620"/>
    <w:aliases w:val="Char7 Char Char1621,Text komentára Char Char Char1621,Comment Text Char Char Char1621"/>
    <w:basedOn w:val="Predvolenpsmoodseku"/>
    <w:uiPriority w:val="99"/>
    <w:semiHidden/>
    <w:rPr>
      <w:rFonts w:ascii="Courier" w:hAnsi="Courier" w:cs="Courier"/>
      <w:lang w:val="x-none" w:eastAsia="cs-CZ"/>
    </w:rPr>
  </w:style>
  <w:style w:type="character" w:customStyle="1" w:styleId="TextkomentraChar1614">
    <w:name w:val="Text komentára Char1614"/>
    <w:aliases w:val="Char7 Char Char1615,Text komentára Char Char Char1615,Comment Text Char Char Char1615"/>
    <w:basedOn w:val="Predvolenpsmoodseku"/>
    <w:uiPriority w:val="99"/>
    <w:semiHidden/>
    <w:rPr>
      <w:rFonts w:ascii="Courier" w:hAnsi="Courier" w:cs="Courier"/>
      <w:lang w:val="x-none" w:eastAsia="cs-CZ"/>
    </w:rPr>
  </w:style>
  <w:style w:type="character" w:customStyle="1" w:styleId="TextkomentraChar1613">
    <w:name w:val="Text komentára Char1613"/>
    <w:aliases w:val="Char7 Char Char1614,Text komentára Char Char Char1614,Comment Text Char Char Char1614"/>
    <w:basedOn w:val="Predvolenpsmoodseku"/>
    <w:uiPriority w:val="99"/>
    <w:semiHidden/>
    <w:rPr>
      <w:rFonts w:ascii="Courier" w:hAnsi="Courier" w:cs="Courier"/>
      <w:lang w:val="x-none" w:eastAsia="cs-CZ"/>
    </w:rPr>
  </w:style>
  <w:style w:type="character" w:customStyle="1" w:styleId="TextkomentraChar1612">
    <w:name w:val="Text komentára Char1612"/>
    <w:aliases w:val="Char7 Char Char1613,Text komentára Char Char Char1613,Comment Text Char Char Char1613"/>
    <w:basedOn w:val="Predvolenpsmoodseku"/>
    <w:uiPriority w:val="99"/>
    <w:semiHidden/>
    <w:rPr>
      <w:rFonts w:ascii="Courier" w:hAnsi="Courier" w:cs="Courier"/>
      <w:lang w:val="x-none" w:eastAsia="cs-CZ"/>
    </w:rPr>
  </w:style>
  <w:style w:type="character" w:customStyle="1" w:styleId="TextkomentraChar1611">
    <w:name w:val="Text komentára Char1611"/>
    <w:aliases w:val="Char7 Char Char1612,Text komentára Char Char Char1612,Comment Text Char Char Char1612"/>
    <w:basedOn w:val="Predvolenpsmoodseku"/>
    <w:uiPriority w:val="99"/>
    <w:semiHidden/>
    <w:rPr>
      <w:rFonts w:ascii="Courier" w:hAnsi="Courier" w:cs="Courier"/>
      <w:lang w:val="x-none" w:eastAsia="cs-CZ"/>
    </w:rPr>
  </w:style>
  <w:style w:type="character" w:customStyle="1" w:styleId="TextkomentraChar1610">
    <w:name w:val="Text komentára Char1610"/>
    <w:aliases w:val="Char7 Char Char1611,Text komentára Char Char Char1611,Comment Text Char Char Char1611"/>
    <w:basedOn w:val="Predvolenpsmoodseku"/>
    <w:uiPriority w:val="99"/>
    <w:semiHidden/>
    <w:rPr>
      <w:rFonts w:ascii="Courier" w:hAnsi="Courier" w:cs="Courier"/>
      <w:lang w:val="x-none" w:eastAsia="cs-CZ"/>
    </w:rPr>
  </w:style>
  <w:style w:type="character" w:customStyle="1" w:styleId="TextkomentraChar1609">
    <w:name w:val="Text komentára Char1609"/>
    <w:aliases w:val="Char7 Char Char1610,Text komentára Char Char Char1610,Comment Text Char Char Char1610"/>
    <w:basedOn w:val="Predvolenpsmoodseku"/>
    <w:uiPriority w:val="99"/>
    <w:semiHidden/>
    <w:rPr>
      <w:rFonts w:ascii="Courier" w:hAnsi="Courier" w:cs="Courier"/>
      <w:lang w:val="x-none" w:eastAsia="cs-CZ"/>
    </w:rPr>
  </w:style>
  <w:style w:type="character" w:customStyle="1" w:styleId="TextkomentraChar1608">
    <w:name w:val="Text komentára Char1608"/>
    <w:aliases w:val="Char7 Char Char1609,Text komentára Char Char Char1609,Comment Text Char Char Char1609"/>
    <w:basedOn w:val="Predvolenpsmoodseku"/>
    <w:uiPriority w:val="99"/>
    <w:semiHidden/>
    <w:rPr>
      <w:rFonts w:ascii="Courier" w:hAnsi="Courier" w:cs="Courier"/>
      <w:lang w:val="x-none" w:eastAsia="cs-CZ"/>
    </w:rPr>
  </w:style>
  <w:style w:type="character" w:customStyle="1" w:styleId="TextkomentraChar1607">
    <w:name w:val="Text komentára Char1607"/>
    <w:aliases w:val="Char7 Char Char1608,Text komentára Char Char Char1608,Comment Text Char Char Char1608"/>
    <w:basedOn w:val="Predvolenpsmoodseku"/>
    <w:uiPriority w:val="99"/>
    <w:semiHidden/>
    <w:rPr>
      <w:rFonts w:ascii="Courier" w:hAnsi="Courier" w:cs="Courier"/>
      <w:lang w:val="x-none" w:eastAsia="cs-CZ"/>
    </w:rPr>
  </w:style>
  <w:style w:type="character" w:customStyle="1" w:styleId="TextkomentraChar1606">
    <w:name w:val="Text komentára Char1606"/>
    <w:aliases w:val="Char7 Char Char1607,Text komentára Char Char Char1607,Comment Text Char Char Char1607"/>
    <w:basedOn w:val="Predvolenpsmoodseku"/>
    <w:uiPriority w:val="99"/>
    <w:semiHidden/>
    <w:rPr>
      <w:rFonts w:ascii="Courier" w:hAnsi="Courier" w:cs="Courier"/>
      <w:lang w:val="x-none" w:eastAsia="cs-CZ"/>
    </w:rPr>
  </w:style>
  <w:style w:type="character" w:customStyle="1" w:styleId="TextkomentraChar1605">
    <w:name w:val="Text komentára Char1605"/>
    <w:aliases w:val="Char7 Char Char1606,Text komentára Char Char Char1606,Comment Text Char Char Char1606"/>
    <w:basedOn w:val="Predvolenpsmoodseku"/>
    <w:uiPriority w:val="99"/>
    <w:semiHidden/>
    <w:rPr>
      <w:rFonts w:ascii="Courier" w:hAnsi="Courier" w:cs="Courier"/>
      <w:lang w:val="x-none" w:eastAsia="cs-CZ"/>
    </w:rPr>
  </w:style>
  <w:style w:type="character" w:customStyle="1" w:styleId="TextkomentraChar1604">
    <w:name w:val="Text komentára Char1604"/>
    <w:aliases w:val="Char7 Char Char1605,Text komentára Char Char Char1605,Comment Text Char Char Char1605"/>
    <w:basedOn w:val="Predvolenpsmoodseku"/>
    <w:uiPriority w:val="99"/>
    <w:semiHidden/>
    <w:rPr>
      <w:rFonts w:ascii="Courier" w:hAnsi="Courier" w:cs="Courier"/>
      <w:lang w:val="x-none" w:eastAsia="cs-CZ"/>
    </w:rPr>
  </w:style>
  <w:style w:type="character" w:customStyle="1" w:styleId="TextkomentraChar1603">
    <w:name w:val="Text komentára Char1603"/>
    <w:aliases w:val="Char7 Char Char1604,Text komentára Char Char Char1604,Comment Text Char Char Char1604"/>
    <w:basedOn w:val="Predvolenpsmoodseku"/>
    <w:uiPriority w:val="99"/>
    <w:semiHidden/>
    <w:rPr>
      <w:rFonts w:ascii="Courier" w:hAnsi="Courier" w:cs="Courier"/>
      <w:lang w:val="x-none" w:eastAsia="cs-CZ"/>
    </w:rPr>
  </w:style>
  <w:style w:type="character" w:customStyle="1" w:styleId="TextkomentraChar1602">
    <w:name w:val="Text komentára Char1602"/>
    <w:aliases w:val="Char7 Char Char1603,Text komentára Char Char Char1603,Comment Text Char Char Char1603"/>
    <w:basedOn w:val="Predvolenpsmoodseku"/>
    <w:uiPriority w:val="99"/>
    <w:semiHidden/>
    <w:rPr>
      <w:rFonts w:ascii="Courier" w:hAnsi="Courier" w:cs="Courier"/>
      <w:lang w:val="x-none" w:eastAsia="cs-CZ"/>
    </w:rPr>
  </w:style>
  <w:style w:type="character" w:customStyle="1" w:styleId="TextkomentraChar1601">
    <w:name w:val="Text komentára Char1601"/>
    <w:aliases w:val="Char7 Char Char1602,Text komentára Char Char Char1602,Comment Text Char Char Char1602"/>
    <w:basedOn w:val="Predvolenpsmoodseku"/>
    <w:uiPriority w:val="99"/>
    <w:semiHidden/>
    <w:rPr>
      <w:rFonts w:ascii="Courier" w:hAnsi="Courier" w:cs="Courier"/>
      <w:lang w:val="x-none" w:eastAsia="cs-CZ"/>
    </w:rPr>
  </w:style>
  <w:style w:type="character" w:customStyle="1" w:styleId="TextkomentraChar1600">
    <w:name w:val="Text komentára Char1600"/>
    <w:aliases w:val="Char7 Char Char1601,Text komentára Char Char Char1601,Comment Text Char Char Char1601"/>
    <w:basedOn w:val="Predvolenpsmoodseku"/>
    <w:uiPriority w:val="99"/>
    <w:semiHidden/>
    <w:rPr>
      <w:rFonts w:ascii="Courier" w:hAnsi="Courier" w:cs="Courier"/>
      <w:lang w:val="x-none" w:eastAsia="cs-CZ"/>
    </w:rPr>
  </w:style>
  <w:style w:type="character" w:customStyle="1" w:styleId="TextkomentraChar1599">
    <w:name w:val="Text komentára Char1599"/>
    <w:aliases w:val="Char7 Char Char1600,Text komentára Char Char Char1600,Comment Text Char Char Char1600"/>
    <w:basedOn w:val="Predvolenpsmoodseku"/>
    <w:uiPriority w:val="99"/>
    <w:semiHidden/>
    <w:rPr>
      <w:rFonts w:ascii="Courier" w:hAnsi="Courier" w:cs="Courier"/>
      <w:lang w:val="x-none" w:eastAsia="cs-CZ"/>
    </w:rPr>
  </w:style>
  <w:style w:type="character" w:customStyle="1" w:styleId="TextkomentraChar1598">
    <w:name w:val="Text komentára Char1598"/>
    <w:aliases w:val="Char7 Char Char1599,Text komentára Char Char Char1599,Comment Text Char Char Char1599"/>
    <w:basedOn w:val="Predvolenpsmoodseku"/>
    <w:uiPriority w:val="99"/>
    <w:semiHidden/>
    <w:rPr>
      <w:rFonts w:ascii="Courier" w:hAnsi="Courier" w:cs="Courier"/>
      <w:lang w:val="x-none" w:eastAsia="cs-CZ"/>
    </w:rPr>
  </w:style>
  <w:style w:type="character" w:customStyle="1" w:styleId="TextkomentraChar1597">
    <w:name w:val="Text komentára Char1597"/>
    <w:aliases w:val="Char7 Char Char1598,Text komentára Char Char Char1598,Comment Text Char Char Char1598"/>
    <w:basedOn w:val="Predvolenpsmoodseku"/>
    <w:uiPriority w:val="99"/>
    <w:semiHidden/>
    <w:rPr>
      <w:rFonts w:ascii="Courier" w:hAnsi="Courier" w:cs="Courier"/>
      <w:lang w:val="x-none" w:eastAsia="cs-CZ"/>
    </w:rPr>
  </w:style>
  <w:style w:type="character" w:customStyle="1" w:styleId="TextkomentraChar1596">
    <w:name w:val="Text komentára Char1596"/>
    <w:aliases w:val="Char7 Char Char1597,Text komentára Char Char Char1597,Comment Text Char Char Char1597"/>
    <w:basedOn w:val="Predvolenpsmoodseku"/>
    <w:uiPriority w:val="99"/>
    <w:semiHidden/>
    <w:rPr>
      <w:rFonts w:ascii="Courier" w:hAnsi="Courier" w:cs="Courier"/>
      <w:lang w:val="x-none" w:eastAsia="cs-CZ"/>
    </w:rPr>
  </w:style>
  <w:style w:type="character" w:customStyle="1" w:styleId="TextkomentraChar1595">
    <w:name w:val="Text komentára Char1595"/>
    <w:aliases w:val="Char7 Char Char1596,Text komentára Char Char Char1596,Comment Text Char Char Char1596"/>
    <w:basedOn w:val="Predvolenpsmoodseku"/>
    <w:uiPriority w:val="99"/>
    <w:semiHidden/>
    <w:rPr>
      <w:rFonts w:ascii="Courier" w:hAnsi="Courier" w:cs="Courier"/>
      <w:lang w:val="x-none" w:eastAsia="cs-CZ"/>
    </w:rPr>
  </w:style>
  <w:style w:type="character" w:customStyle="1" w:styleId="TextkomentraChar1594">
    <w:name w:val="Text komentára Char1594"/>
    <w:aliases w:val="Char7 Char Char1595,Text komentára Char Char Char1595,Comment Text Char Char Char1595"/>
    <w:basedOn w:val="Predvolenpsmoodseku"/>
    <w:uiPriority w:val="99"/>
    <w:semiHidden/>
    <w:rPr>
      <w:rFonts w:ascii="Courier" w:hAnsi="Courier" w:cs="Courier"/>
      <w:lang w:val="x-none" w:eastAsia="cs-CZ"/>
    </w:rPr>
  </w:style>
  <w:style w:type="character" w:customStyle="1" w:styleId="TextkomentraChar1593">
    <w:name w:val="Text komentára Char1593"/>
    <w:aliases w:val="Char7 Char Char1594,Text komentára Char Char Char1594,Comment Text Char Char Char1594"/>
    <w:basedOn w:val="Predvolenpsmoodseku"/>
    <w:uiPriority w:val="99"/>
    <w:semiHidden/>
    <w:rPr>
      <w:rFonts w:ascii="Courier" w:hAnsi="Courier" w:cs="Courier"/>
      <w:lang w:val="x-none" w:eastAsia="cs-CZ"/>
    </w:rPr>
  </w:style>
  <w:style w:type="character" w:customStyle="1" w:styleId="TextkomentraChar1592">
    <w:name w:val="Text komentára Char1592"/>
    <w:aliases w:val="Char7 Char Char1593,Text komentára Char Char Char1593,Comment Text Char Char Char1593"/>
    <w:basedOn w:val="Predvolenpsmoodseku"/>
    <w:uiPriority w:val="99"/>
    <w:semiHidden/>
    <w:rPr>
      <w:rFonts w:ascii="Courier" w:hAnsi="Courier" w:cs="Courier"/>
      <w:lang w:val="x-none" w:eastAsia="cs-CZ"/>
    </w:rPr>
  </w:style>
  <w:style w:type="character" w:customStyle="1" w:styleId="TextkomentraChar1591">
    <w:name w:val="Text komentára Char1591"/>
    <w:aliases w:val="Char7 Char Char1592,Text komentára Char Char Char1592,Comment Text Char Char Char1592"/>
    <w:basedOn w:val="Predvolenpsmoodseku"/>
    <w:uiPriority w:val="99"/>
    <w:semiHidden/>
    <w:rPr>
      <w:rFonts w:ascii="Courier" w:hAnsi="Courier" w:cs="Courier"/>
      <w:lang w:val="x-none" w:eastAsia="cs-CZ"/>
    </w:rPr>
  </w:style>
  <w:style w:type="character" w:customStyle="1" w:styleId="TextkomentraChar1590">
    <w:name w:val="Text komentára Char1590"/>
    <w:aliases w:val="Char7 Char Char1591,Text komentára Char Char Char1591,Comment Text Char Char Char1591"/>
    <w:basedOn w:val="Predvolenpsmoodseku"/>
    <w:uiPriority w:val="99"/>
    <w:semiHidden/>
    <w:rPr>
      <w:rFonts w:ascii="Courier" w:hAnsi="Courier" w:cs="Courier"/>
      <w:lang w:val="x-none" w:eastAsia="cs-CZ"/>
    </w:rPr>
  </w:style>
  <w:style w:type="character" w:customStyle="1" w:styleId="TextkomentraChar1589">
    <w:name w:val="Text komentára Char1589"/>
    <w:aliases w:val="Char7 Char Char1590,Text komentára Char Char Char1590,Comment Text Char Char Char1590"/>
    <w:basedOn w:val="Predvolenpsmoodseku"/>
    <w:uiPriority w:val="99"/>
    <w:semiHidden/>
    <w:rPr>
      <w:rFonts w:ascii="Courier" w:hAnsi="Courier" w:cs="Courier"/>
      <w:lang w:val="x-none" w:eastAsia="cs-CZ"/>
    </w:rPr>
  </w:style>
  <w:style w:type="character" w:customStyle="1" w:styleId="TextkomentraChar1588">
    <w:name w:val="Text komentára Char1588"/>
    <w:aliases w:val="Char7 Char Char1589,Text komentára Char Char Char1589,Comment Text Char Char Char1589"/>
    <w:basedOn w:val="Predvolenpsmoodseku"/>
    <w:uiPriority w:val="99"/>
    <w:semiHidden/>
    <w:rPr>
      <w:rFonts w:ascii="Courier" w:hAnsi="Courier" w:cs="Courier"/>
      <w:lang w:val="x-none" w:eastAsia="cs-CZ"/>
    </w:rPr>
  </w:style>
  <w:style w:type="character" w:customStyle="1" w:styleId="TextkomentraChar1587">
    <w:name w:val="Text komentára Char1587"/>
    <w:aliases w:val="Char7 Char Char1588,Text komentára Char Char Char1588,Comment Text Char Char Char1588"/>
    <w:basedOn w:val="Predvolenpsmoodseku"/>
    <w:uiPriority w:val="99"/>
    <w:semiHidden/>
    <w:rPr>
      <w:rFonts w:ascii="Courier" w:hAnsi="Courier" w:cs="Courier"/>
      <w:lang w:val="x-none" w:eastAsia="cs-CZ"/>
    </w:rPr>
  </w:style>
  <w:style w:type="character" w:customStyle="1" w:styleId="TextkomentraChar1586">
    <w:name w:val="Text komentára Char1586"/>
    <w:aliases w:val="Char7 Char Char1587,Text komentára Char Char Char1587,Comment Text Char Char Char1587"/>
    <w:basedOn w:val="Predvolenpsmoodseku"/>
    <w:uiPriority w:val="99"/>
    <w:semiHidden/>
    <w:rPr>
      <w:rFonts w:ascii="Courier" w:hAnsi="Courier" w:cs="Courier"/>
      <w:lang w:val="x-none" w:eastAsia="cs-CZ"/>
    </w:rPr>
  </w:style>
  <w:style w:type="character" w:customStyle="1" w:styleId="TextkomentraChar1585">
    <w:name w:val="Text komentára Char1585"/>
    <w:aliases w:val="Char7 Char Char1586,Text komentára Char Char Char1586,Comment Text Char Char Char1586"/>
    <w:basedOn w:val="Predvolenpsmoodseku"/>
    <w:uiPriority w:val="99"/>
    <w:semiHidden/>
    <w:rPr>
      <w:rFonts w:ascii="Courier" w:hAnsi="Courier" w:cs="Courier"/>
      <w:lang w:val="x-none" w:eastAsia="cs-CZ"/>
    </w:rPr>
  </w:style>
  <w:style w:type="character" w:customStyle="1" w:styleId="TextkomentraChar1584">
    <w:name w:val="Text komentára Char1584"/>
    <w:aliases w:val="Char7 Char Char1585,Text komentára Char Char Char1585,Comment Text Char Char Char1585"/>
    <w:basedOn w:val="Predvolenpsmoodseku"/>
    <w:uiPriority w:val="99"/>
    <w:semiHidden/>
    <w:rPr>
      <w:rFonts w:ascii="Courier" w:hAnsi="Courier" w:cs="Courier"/>
      <w:lang w:val="x-none" w:eastAsia="cs-CZ"/>
    </w:rPr>
  </w:style>
  <w:style w:type="character" w:customStyle="1" w:styleId="TextkomentraChar1583">
    <w:name w:val="Text komentára Char1583"/>
    <w:aliases w:val="Char7 Char Char1584,Text komentára Char Char Char1584,Comment Text Char Char Char1584"/>
    <w:basedOn w:val="Predvolenpsmoodseku"/>
    <w:uiPriority w:val="99"/>
    <w:semiHidden/>
    <w:rPr>
      <w:rFonts w:ascii="Courier" w:hAnsi="Courier" w:cs="Courier"/>
      <w:lang w:val="x-none" w:eastAsia="cs-CZ"/>
    </w:rPr>
  </w:style>
  <w:style w:type="character" w:customStyle="1" w:styleId="TextkomentraChar1582">
    <w:name w:val="Text komentára Char1582"/>
    <w:aliases w:val="Char7 Char Char1583,Text komentára Char Char Char1583,Comment Text Char Char Char1583"/>
    <w:basedOn w:val="Predvolenpsmoodseku"/>
    <w:uiPriority w:val="99"/>
    <w:semiHidden/>
    <w:rPr>
      <w:rFonts w:ascii="Courier" w:hAnsi="Courier" w:cs="Courier"/>
      <w:lang w:val="x-none" w:eastAsia="cs-CZ"/>
    </w:rPr>
  </w:style>
  <w:style w:type="character" w:customStyle="1" w:styleId="TextkomentraChar1581">
    <w:name w:val="Text komentára Char1581"/>
    <w:aliases w:val="Char7 Char Char1582,Text komentára Char Char Char1582,Comment Text Char Char Char1582"/>
    <w:basedOn w:val="Predvolenpsmoodseku"/>
    <w:uiPriority w:val="99"/>
    <w:semiHidden/>
    <w:rPr>
      <w:rFonts w:ascii="Courier" w:hAnsi="Courier" w:cs="Courier"/>
      <w:lang w:val="x-none" w:eastAsia="cs-CZ"/>
    </w:rPr>
  </w:style>
  <w:style w:type="character" w:customStyle="1" w:styleId="TextkomentraChar1580">
    <w:name w:val="Text komentára Char1580"/>
    <w:aliases w:val="Char7 Char Char1581,Text komentára Char Char Char1581,Comment Text Char Char Char1581"/>
    <w:basedOn w:val="Predvolenpsmoodseku"/>
    <w:uiPriority w:val="99"/>
    <w:semiHidden/>
    <w:rPr>
      <w:rFonts w:ascii="Courier" w:hAnsi="Courier" w:cs="Courier"/>
      <w:lang w:val="x-none" w:eastAsia="cs-CZ"/>
    </w:rPr>
  </w:style>
  <w:style w:type="character" w:customStyle="1" w:styleId="TextkomentraChar1579">
    <w:name w:val="Text komentára Char1579"/>
    <w:aliases w:val="Char7 Char Char1580,Text komentára Char Char Char1580,Comment Text Char Char Char1580"/>
    <w:basedOn w:val="Predvolenpsmoodseku"/>
    <w:uiPriority w:val="99"/>
    <w:semiHidden/>
    <w:rPr>
      <w:rFonts w:ascii="Courier" w:hAnsi="Courier" w:cs="Courier"/>
      <w:lang w:val="x-none" w:eastAsia="cs-CZ"/>
    </w:rPr>
  </w:style>
  <w:style w:type="character" w:customStyle="1" w:styleId="TextkomentraChar1578">
    <w:name w:val="Text komentára Char1578"/>
    <w:aliases w:val="Char7 Char Char1579,Text komentára Char Char Char1579,Comment Text Char Char Char1579"/>
    <w:basedOn w:val="Predvolenpsmoodseku"/>
    <w:uiPriority w:val="99"/>
    <w:semiHidden/>
    <w:rPr>
      <w:rFonts w:ascii="Courier" w:hAnsi="Courier" w:cs="Courier"/>
      <w:lang w:val="x-none" w:eastAsia="cs-CZ"/>
    </w:rPr>
  </w:style>
  <w:style w:type="character" w:customStyle="1" w:styleId="TextkomentraChar1577">
    <w:name w:val="Text komentára Char1577"/>
    <w:aliases w:val="Char7 Char Char1578,Text komentára Char Char Char1578,Comment Text Char Char Char1578"/>
    <w:basedOn w:val="Predvolenpsmoodseku"/>
    <w:uiPriority w:val="99"/>
    <w:semiHidden/>
    <w:rPr>
      <w:rFonts w:ascii="Courier" w:hAnsi="Courier" w:cs="Courier"/>
      <w:lang w:val="x-none" w:eastAsia="cs-CZ"/>
    </w:rPr>
  </w:style>
  <w:style w:type="character" w:customStyle="1" w:styleId="TextkomentraChar1576">
    <w:name w:val="Text komentára Char1576"/>
    <w:aliases w:val="Char7 Char Char1577,Text komentára Char Char Char1577,Comment Text Char Char Char1577"/>
    <w:basedOn w:val="Predvolenpsmoodseku"/>
    <w:uiPriority w:val="99"/>
    <w:semiHidden/>
    <w:rPr>
      <w:rFonts w:ascii="Courier" w:hAnsi="Courier" w:cs="Courier"/>
      <w:lang w:val="x-none" w:eastAsia="cs-CZ"/>
    </w:rPr>
  </w:style>
  <w:style w:type="character" w:customStyle="1" w:styleId="TextkomentraChar1575">
    <w:name w:val="Text komentára Char1575"/>
    <w:aliases w:val="Char7 Char Char1576,Text komentára Char Char Char1576,Comment Text Char Char Char1576"/>
    <w:basedOn w:val="Predvolenpsmoodseku"/>
    <w:uiPriority w:val="99"/>
    <w:semiHidden/>
    <w:rPr>
      <w:rFonts w:ascii="Courier" w:hAnsi="Courier" w:cs="Courier"/>
      <w:lang w:val="x-none" w:eastAsia="cs-CZ"/>
    </w:rPr>
  </w:style>
  <w:style w:type="character" w:customStyle="1" w:styleId="TextkomentraChar1574">
    <w:name w:val="Text komentára Char1574"/>
    <w:aliases w:val="Char7 Char Char1575,Text komentára Char Char Char1575,Comment Text Char Char Char1575"/>
    <w:basedOn w:val="Predvolenpsmoodseku"/>
    <w:uiPriority w:val="99"/>
    <w:semiHidden/>
    <w:rPr>
      <w:rFonts w:ascii="Courier" w:hAnsi="Courier" w:cs="Courier"/>
      <w:lang w:val="x-none" w:eastAsia="cs-CZ"/>
    </w:rPr>
  </w:style>
  <w:style w:type="character" w:customStyle="1" w:styleId="TextkomentraChar1573">
    <w:name w:val="Text komentára Char1573"/>
    <w:aliases w:val="Char7 Char Char1574,Text komentára Char Char Char1574,Comment Text Char Char Char1574"/>
    <w:basedOn w:val="Predvolenpsmoodseku"/>
    <w:uiPriority w:val="99"/>
    <w:semiHidden/>
    <w:rPr>
      <w:rFonts w:ascii="Courier" w:hAnsi="Courier" w:cs="Courier"/>
      <w:lang w:val="x-none" w:eastAsia="cs-CZ"/>
    </w:rPr>
  </w:style>
  <w:style w:type="character" w:customStyle="1" w:styleId="TextkomentraChar1572">
    <w:name w:val="Text komentára Char1572"/>
    <w:aliases w:val="Char7 Char Char1573,Text komentára Char Char Char1573,Comment Text Char Char Char1573"/>
    <w:basedOn w:val="Predvolenpsmoodseku"/>
    <w:uiPriority w:val="99"/>
    <w:semiHidden/>
    <w:rPr>
      <w:rFonts w:ascii="Courier" w:hAnsi="Courier" w:cs="Courier"/>
      <w:lang w:val="x-none" w:eastAsia="cs-CZ"/>
    </w:rPr>
  </w:style>
  <w:style w:type="character" w:customStyle="1" w:styleId="TextkomentraChar1571">
    <w:name w:val="Text komentára Char1571"/>
    <w:aliases w:val="Char7 Char Char1572,Text komentára Char Char Char1572,Comment Text Char Char Char1572"/>
    <w:basedOn w:val="Predvolenpsmoodseku"/>
    <w:uiPriority w:val="99"/>
    <w:semiHidden/>
    <w:rPr>
      <w:rFonts w:ascii="Courier" w:hAnsi="Courier" w:cs="Courier"/>
      <w:lang w:val="x-none" w:eastAsia="cs-CZ"/>
    </w:rPr>
  </w:style>
  <w:style w:type="character" w:customStyle="1" w:styleId="TextkomentraChar1570">
    <w:name w:val="Text komentára Char1570"/>
    <w:aliases w:val="Char7 Char Char1571,Text komentára Char Char Char1571,Comment Text Char Char Char1571"/>
    <w:basedOn w:val="Predvolenpsmoodseku"/>
    <w:uiPriority w:val="99"/>
    <w:semiHidden/>
    <w:rPr>
      <w:rFonts w:ascii="Courier" w:hAnsi="Courier" w:cs="Courier"/>
      <w:lang w:val="x-none" w:eastAsia="cs-CZ"/>
    </w:rPr>
  </w:style>
  <w:style w:type="character" w:customStyle="1" w:styleId="TextkomentraChar1569">
    <w:name w:val="Text komentára Char1569"/>
    <w:aliases w:val="Char7 Char Char1570,Text komentára Char Char Char1570,Comment Text Char Char Char1570"/>
    <w:basedOn w:val="Predvolenpsmoodseku"/>
    <w:uiPriority w:val="99"/>
    <w:semiHidden/>
    <w:rPr>
      <w:rFonts w:ascii="Courier" w:hAnsi="Courier" w:cs="Courier"/>
      <w:lang w:val="x-none" w:eastAsia="cs-CZ"/>
    </w:rPr>
  </w:style>
  <w:style w:type="character" w:customStyle="1" w:styleId="TextkomentraChar1568">
    <w:name w:val="Text komentára Char1568"/>
    <w:aliases w:val="Char7 Char Char1569,Text komentára Char Char Char1569,Comment Text Char Char Char1569"/>
    <w:basedOn w:val="Predvolenpsmoodseku"/>
    <w:uiPriority w:val="99"/>
    <w:semiHidden/>
    <w:rPr>
      <w:rFonts w:ascii="Courier" w:hAnsi="Courier" w:cs="Courier"/>
      <w:lang w:val="x-none" w:eastAsia="cs-CZ"/>
    </w:rPr>
  </w:style>
  <w:style w:type="character" w:customStyle="1" w:styleId="TextkomentraChar1567">
    <w:name w:val="Text komentára Char1567"/>
    <w:aliases w:val="Char7 Char Char1568,Text komentára Char Char Char1568,Comment Text Char Char Char1568"/>
    <w:basedOn w:val="Predvolenpsmoodseku"/>
    <w:uiPriority w:val="99"/>
    <w:semiHidden/>
    <w:rPr>
      <w:rFonts w:ascii="Courier" w:hAnsi="Courier" w:cs="Courier"/>
      <w:lang w:val="x-none" w:eastAsia="cs-CZ"/>
    </w:rPr>
  </w:style>
  <w:style w:type="character" w:customStyle="1" w:styleId="TextkomentraChar1566">
    <w:name w:val="Text komentára Char1566"/>
    <w:aliases w:val="Char7 Char Char1567,Text komentára Char Char Char1567,Comment Text Char Char Char1567"/>
    <w:basedOn w:val="Predvolenpsmoodseku"/>
    <w:uiPriority w:val="99"/>
    <w:semiHidden/>
    <w:rPr>
      <w:rFonts w:ascii="Courier" w:hAnsi="Courier" w:cs="Courier"/>
      <w:lang w:val="x-none" w:eastAsia="cs-CZ"/>
    </w:rPr>
  </w:style>
  <w:style w:type="character" w:customStyle="1" w:styleId="TextkomentraChar1565">
    <w:name w:val="Text komentára Char1565"/>
    <w:aliases w:val="Char7 Char Char1566,Text komentára Char Char Char1566,Comment Text Char Char Char1566"/>
    <w:basedOn w:val="Predvolenpsmoodseku"/>
    <w:uiPriority w:val="99"/>
    <w:semiHidden/>
    <w:rPr>
      <w:rFonts w:ascii="Courier" w:hAnsi="Courier" w:cs="Courier"/>
      <w:lang w:val="x-none" w:eastAsia="cs-CZ"/>
    </w:rPr>
  </w:style>
  <w:style w:type="character" w:customStyle="1" w:styleId="TextkomentraChar1564">
    <w:name w:val="Text komentára Char1564"/>
    <w:aliases w:val="Char7 Char Char1565,Text komentára Char Char Char1565,Comment Text Char Char Char1565"/>
    <w:basedOn w:val="Predvolenpsmoodseku"/>
    <w:uiPriority w:val="99"/>
    <w:semiHidden/>
    <w:rPr>
      <w:rFonts w:ascii="Courier" w:hAnsi="Courier" w:cs="Courier"/>
      <w:lang w:val="x-none" w:eastAsia="cs-CZ"/>
    </w:rPr>
  </w:style>
  <w:style w:type="character" w:customStyle="1" w:styleId="TextkomentraChar1563">
    <w:name w:val="Text komentára Char1563"/>
    <w:aliases w:val="Char7 Char Char1564,Text komentára Char Char Char1564,Comment Text Char Char Char1564"/>
    <w:basedOn w:val="Predvolenpsmoodseku"/>
    <w:uiPriority w:val="99"/>
    <w:semiHidden/>
    <w:rPr>
      <w:rFonts w:ascii="Courier" w:hAnsi="Courier" w:cs="Courier"/>
      <w:lang w:val="x-none" w:eastAsia="cs-CZ"/>
    </w:rPr>
  </w:style>
  <w:style w:type="character" w:customStyle="1" w:styleId="TextkomentraChar1562">
    <w:name w:val="Text komentára Char1562"/>
    <w:aliases w:val="Char7 Char Char1563,Text komentára Char Char Char1563,Comment Text Char Char Char1563"/>
    <w:basedOn w:val="Predvolenpsmoodseku"/>
    <w:uiPriority w:val="99"/>
    <w:semiHidden/>
    <w:rPr>
      <w:rFonts w:ascii="Courier" w:hAnsi="Courier" w:cs="Courier"/>
      <w:lang w:val="x-none" w:eastAsia="cs-CZ"/>
    </w:rPr>
  </w:style>
  <w:style w:type="character" w:customStyle="1" w:styleId="TextkomentraChar1561">
    <w:name w:val="Text komentára Char1561"/>
    <w:aliases w:val="Char7 Char Char1562,Text komentára Char Char Char1562,Comment Text Char Char Char1562"/>
    <w:basedOn w:val="Predvolenpsmoodseku"/>
    <w:uiPriority w:val="99"/>
    <w:semiHidden/>
    <w:rPr>
      <w:rFonts w:ascii="Courier" w:hAnsi="Courier" w:cs="Courier"/>
      <w:lang w:val="x-none" w:eastAsia="cs-CZ"/>
    </w:rPr>
  </w:style>
  <w:style w:type="character" w:customStyle="1" w:styleId="TextkomentraChar1560">
    <w:name w:val="Text komentára Char1560"/>
    <w:aliases w:val="Char7 Char Char1561,Text komentára Char Char Char1561,Comment Text Char Char Char1561"/>
    <w:basedOn w:val="Predvolenpsmoodseku"/>
    <w:uiPriority w:val="99"/>
    <w:semiHidden/>
    <w:rPr>
      <w:rFonts w:ascii="Courier" w:hAnsi="Courier" w:cs="Courier"/>
      <w:lang w:val="x-none" w:eastAsia="cs-CZ"/>
    </w:rPr>
  </w:style>
  <w:style w:type="character" w:customStyle="1" w:styleId="TextkomentraChar1559">
    <w:name w:val="Text komentára Char1559"/>
    <w:aliases w:val="Char7 Char Char1560,Text komentára Char Char Char1560,Comment Text Char Char Char1560"/>
    <w:basedOn w:val="Predvolenpsmoodseku"/>
    <w:uiPriority w:val="99"/>
    <w:semiHidden/>
    <w:rPr>
      <w:rFonts w:ascii="Courier" w:hAnsi="Courier" w:cs="Courier"/>
      <w:lang w:val="x-none" w:eastAsia="cs-CZ"/>
    </w:rPr>
  </w:style>
  <w:style w:type="character" w:customStyle="1" w:styleId="TextkomentraChar1558">
    <w:name w:val="Text komentára Char1558"/>
    <w:aliases w:val="Char7 Char Char1559,Text komentára Char Char Char1559,Comment Text Char Char Char1559"/>
    <w:basedOn w:val="Predvolenpsmoodseku"/>
    <w:uiPriority w:val="99"/>
    <w:semiHidden/>
    <w:rPr>
      <w:rFonts w:ascii="Courier" w:hAnsi="Courier" w:cs="Courier"/>
      <w:lang w:val="x-none" w:eastAsia="cs-CZ"/>
    </w:rPr>
  </w:style>
  <w:style w:type="character" w:customStyle="1" w:styleId="TextkomentraChar1557">
    <w:name w:val="Text komentára Char1557"/>
    <w:aliases w:val="Char7 Char Char1558,Text komentára Char Char Char1558,Comment Text Char Char Char1558"/>
    <w:basedOn w:val="Predvolenpsmoodseku"/>
    <w:uiPriority w:val="99"/>
    <w:semiHidden/>
    <w:rPr>
      <w:rFonts w:ascii="Courier" w:hAnsi="Courier" w:cs="Courier"/>
      <w:lang w:val="x-none" w:eastAsia="cs-CZ"/>
    </w:rPr>
  </w:style>
  <w:style w:type="character" w:customStyle="1" w:styleId="TextkomentraChar1556">
    <w:name w:val="Text komentára Char1556"/>
    <w:aliases w:val="Char7 Char Char1557,Text komentára Char Char Char1557,Comment Text Char Char Char1557"/>
    <w:basedOn w:val="Predvolenpsmoodseku"/>
    <w:uiPriority w:val="99"/>
    <w:semiHidden/>
    <w:rPr>
      <w:rFonts w:ascii="Courier" w:hAnsi="Courier" w:cs="Courier"/>
      <w:lang w:val="x-none" w:eastAsia="cs-CZ"/>
    </w:rPr>
  </w:style>
  <w:style w:type="character" w:customStyle="1" w:styleId="TextkomentraChar1555">
    <w:name w:val="Text komentára Char1555"/>
    <w:aliases w:val="Char7 Char Char1556,Text komentára Char Char Char1556,Comment Text Char Char Char1556"/>
    <w:basedOn w:val="Predvolenpsmoodseku"/>
    <w:uiPriority w:val="99"/>
    <w:semiHidden/>
    <w:rPr>
      <w:rFonts w:ascii="Courier" w:hAnsi="Courier" w:cs="Courier"/>
      <w:lang w:val="x-none" w:eastAsia="cs-CZ"/>
    </w:rPr>
  </w:style>
  <w:style w:type="character" w:customStyle="1" w:styleId="TextkomentraChar1554">
    <w:name w:val="Text komentára Char1554"/>
    <w:aliases w:val="Char7 Char Char1555,Text komentára Char Char Char1555,Comment Text Char Char Char1555"/>
    <w:basedOn w:val="Predvolenpsmoodseku"/>
    <w:uiPriority w:val="99"/>
    <w:semiHidden/>
    <w:rPr>
      <w:rFonts w:ascii="Courier" w:hAnsi="Courier" w:cs="Courier"/>
      <w:lang w:val="x-none" w:eastAsia="cs-CZ"/>
    </w:rPr>
  </w:style>
  <w:style w:type="character" w:customStyle="1" w:styleId="TextkomentraChar1553">
    <w:name w:val="Text komentára Char1553"/>
    <w:aliases w:val="Char7 Char Char1554,Text komentára Char Char Char1554,Comment Text Char Char Char1554"/>
    <w:basedOn w:val="Predvolenpsmoodseku"/>
    <w:uiPriority w:val="99"/>
    <w:semiHidden/>
    <w:rPr>
      <w:rFonts w:ascii="Courier" w:hAnsi="Courier" w:cs="Courier"/>
      <w:lang w:val="x-none" w:eastAsia="cs-CZ"/>
    </w:rPr>
  </w:style>
  <w:style w:type="character" w:customStyle="1" w:styleId="TextkomentraChar1552">
    <w:name w:val="Text komentára Char1552"/>
    <w:aliases w:val="Char7 Char Char1553,Text komentára Char Char Char1553,Comment Text Char Char Char1553"/>
    <w:basedOn w:val="Predvolenpsmoodseku"/>
    <w:uiPriority w:val="99"/>
    <w:semiHidden/>
    <w:rPr>
      <w:rFonts w:ascii="Courier" w:hAnsi="Courier" w:cs="Courier"/>
      <w:lang w:val="x-none" w:eastAsia="cs-CZ"/>
    </w:rPr>
  </w:style>
  <w:style w:type="character" w:customStyle="1" w:styleId="TextkomentraChar1551">
    <w:name w:val="Text komentára Char1551"/>
    <w:aliases w:val="Char7 Char Char1552,Text komentára Char Char Char1552,Comment Text Char Char Char1552"/>
    <w:basedOn w:val="Predvolenpsmoodseku"/>
    <w:uiPriority w:val="99"/>
    <w:semiHidden/>
    <w:rPr>
      <w:rFonts w:ascii="Courier" w:hAnsi="Courier" w:cs="Courier"/>
      <w:lang w:val="x-none" w:eastAsia="cs-CZ"/>
    </w:rPr>
  </w:style>
  <w:style w:type="character" w:customStyle="1" w:styleId="TextkomentraChar1550">
    <w:name w:val="Text komentára Char1550"/>
    <w:aliases w:val="Char7 Char Char1551,Text komentára Char Char Char1551,Comment Text Char Char Char1551"/>
    <w:basedOn w:val="Predvolenpsmoodseku"/>
    <w:uiPriority w:val="99"/>
    <w:semiHidden/>
    <w:rPr>
      <w:rFonts w:ascii="Courier" w:hAnsi="Courier" w:cs="Courier"/>
      <w:lang w:val="x-none" w:eastAsia="cs-CZ"/>
    </w:rPr>
  </w:style>
  <w:style w:type="character" w:customStyle="1" w:styleId="TextkomentraChar1549">
    <w:name w:val="Text komentára Char1549"/>
    <w:aliases w:val="Char7 Char Char1550,Text komentára Char Char Char1550,Comment Text Char Char Char1550"/>
    <w:basedOn w:val="Predvolenpsmoodseku"/>
    <w:uiPriority w:val="99"/>
    <w:semiHidden/>
    <w:rPr>
      <w:rFonts w:ascii="Courier" w:hAnsi="Courier" w:cs="Courier"/>
      <w:lang w:val="x-none" w:eastAsia="cs-CZ"/>
    </w:rPr>
  </w:style>
  <w:style w:type="character" w:customStyle="1" w:styleId="TextkomentraChar1548">
    <w:name w:val="Text komentára Char1548"/>
    <w:aliases w:val="Char7 Char Char1549,Text komentára Char Char Char1549,Comment Text Char Char Char1549"/>
    <w:basedOn w:val="Predvolenpsmoodseku"/>
    <w:uiPriority w:val="99"/>
    <w:semiHidden/>
    <w:rPr>
      <w:rFonts w:ascii="Courier" w:hAnsi="Courier" w:cs="Courier"/>
      <w:lang w:val="x-none" w:eastAsia="cs-CZ"/>
    </w:rPr>
  </w:style>
  <w:style w:type="character" w:customStyle="1" w:styleId="TextkomentraChar1547">
    <w:name w:val="Text komentára Char1547"/>
    <w:aliases w:val="Char7 Char Char1548,Text komentára Char Char Char1548,Comment Text Char Char Char1548"/>
    <w:basedOn w:val="Predvolenpsmoodseku"/>
    <w:uiPriority w:val="99"/>
    <w:semiHidden/>
    <w:rPr>
      <w:rFonts w:ascii="Courier" w:hAnsi="Courier" w:cs="Courier"/>
      <w:lang w:val="x-none" w:eastAsia="cs-CZ"/>
    </w:rPr>
  </w:style>
  <w:style w:type="character" w:customStyle="1" w:styleId="TextkomentraChar1546">
    <w:name w:val="Text komentára Char1546"/>
    <w:aliases w:val="Char7 Char Char1547,Text komentára Char Char Char1547,Comment Text Char Char Char1547"/>
    <w:basedOn w:val="Predvolenpsmoodseku"/>
    <w:uiPriority w:val="99"/>
    <w:semiHidden/>
    <w:rPr>
      <w:rFonts w:ascii="Courier" w:hAnsi="Courier" w:cs="Courier"/>
      <w:lang w:val="x-none" w:eastAsia="cs-CZ"/>
    </w:rPr>
  </w:style>
  <w:style w:type="character" w:customStyle="1" w:styleId="TextkomentraChar1545">
    <w:name w:val="Text komentára Char1545"/>
    <w:aliases w:val="Char7 Char Char1546,Text komentára Char Char Char1546,Comment Text Char Char Char1546"/>
    <w:basedOn w:val="Predvolenpsmoodseku"/>
    <w:uiPriority w:val="99"/>
    <w:semiHidden/>
    <w:rPr>
      <w:rFonts w:ascii="Courier" w:hAnsi="Courier" w:cs="Courier"/>
      <w:lang w:val="x-none" w:eastAsia="cs-CZ"/>
    </w:rPr>
  </w:style>
  <w:style w:type="character" w:customStyle="1" w:styleId="TextkomentraChar1544">
    <w:name w:val="Text komentára Char1544"/>
    <w:aliases w:val="Char7 Char Char1545,Text komentára Char Char Char1545,Comment Text Char Char Char1545"/>
    <w:basedOn w:val="Predvolenpsmoodseku"/>
    <w:uiPriority w:val="99"/>
    <w:semiHidden/>
    <w:rPr>
      <w:rFonts w:ascii="Courier" w:hAnsi="Courier" w:cs="Courier"/>
      <w:lang w:val="x-none" w:eastAsia="cs-CZ"/>
    </w:rPr>
  </w:style>
  <w:style w:type="character" w:customStyle="1" w:styleId="TextkomentraChar1543">
    <w:name w:val="Text komentára Char1543"/>
    <w:aliases w:val="Char7 Char Char1544,Text komentára Char Char Char1544,Comment Text Char Char Char1544"/>
    <w:basedOn w:val="Predvolenpsmoodseku"/>
    <w:uiPriority w:val="99"/>
    <w:semiHidden/>
    <w:rPr>
      <w:rFonts w:ascii="Courier" w:hAnsi="Courier" w:cs="Courier"/>
      <w:lang w:val="x-none" w:eastAsia="cs-CZ"/>
    </w:rPr>
  </w:style>
  <w:style w:type="character" w:customStyle="1" w:styleId="TextkomentraChar1542">
    <w:name w:val="Text komentára Char1542"/>
    <w:aliases w:val="Char7 Char Char1543,Text komentára Char Char Char1543,Comment Text Char Char Char1543"/>
    <w:basedOn w:val="Predvolenpsmoodseku"/>
    <w:uiPriority w:val="99"/>
    <w:semiHidden/>
    <w:rPr>
      <w:rFonts w:ascii="Courier" w:hAnsi="Courier" w:cs="Courier"/>
      <w:lang w:val="x-none" w:eastAsia="cs-CZ"/>
    </w:rPr>
  </w:style>
  <w:style w:type="character" w:customStyle="1" w:styleId="TextkomentraChar1541">
    <w:name w:val="Text komentára Char1541"/>
    <w:aliases w:val="Char7 Char Char1542,Text komentára Char Char Char1542,Comment Text Char Char Char1542"/>
    <w:basedOn w:val="Predvolenpsmoodseku"/>
    <w:uiPriority w:val="99"/>
    <w:semiHidden/>
    <w:rPr>
      <w:rFonts w:ascii="Courier" w:hAnsi="Courier" w:cs="Courier"/>
      <w:lang w:val="x-none" w:eastAsia="cs-CZ"/>
    </w:rPr>
  </w:style>
  <w:style w:type="character" w:customStyle="1" w:styleId="TextkomentraChar1540">
    <w:name w:val="Text komentára Char1540"/>
    <w:aliases w:val="Char7 Char Char1541,Text komentára Char Char Char1541,Comment Text Char Char Char1541"/>
    <w:basedOn w:val="Predvolenpsmoodseku"/>
    <w:uiPriority w:val="99"/>
    <w:semiHidden/>
    <w:rPr>
      <w:rFonts w:ascii="Courier" w:hAnsi="Courier" w:cs="Courier"/>
      <w:lang w:val="x-none" w:eastAsia="cs-CZ"/>
    </w:rPr>
  </w:style>
  <w:style w:type="character" w:customStyle="1" w:styleId="TextkomentraChar1539">
    <w:name w:val="Text komentára Char1539"/>
    <w:aliases w:val="Char7 Char Char1540,Text komentára Char Char Char1540,Comment Text Char Char Char1540"/>
    <w:basedOn w:val="Predvolenpsmoodseku"/>
    <w:uiPriority w:val="99"/>
    <w:semiHidden/>
    <w:rPr>
      <w:rFonts w:ascii="Courier" w:hAnsi="Courier" w:cs="Courier"/>
      <w:lang w:val="x-none" w:eastAsia="cs-CZ"/>
    </w:rPr>
  </w:style>
  <w:style w:type="character" w:customStyle="1" w:styleId="TextkomentraChar1538">
    <w:name w:val="Text komentára Char1538"/>
    <w:aliases w:val="Char7 Char Char1539,Text komentára Char Char Char1539,Comment Text Char Char Char1539"/>
    <w:basedOn w:val="Predvolenpsmoodseku"/>
    <w:uiPriority w:val="99"/>
    <w:semiHidden/>
    <w:rPr>
      <w:rFonts w:ascii="Courier" w:hAnsi="Courier" w:cs="Courier"/>
      <w:lang w:val="x-none" w:eastAsia="cs-CZ"/>
    </w:rPr>
  </w:style>
  <w:style w:type="character" w:customStyle="1" w:styleId="TextkomentraChar1537">
    <w:name w:val="Text komentára Char1537"/>
    <w:aliases w:val="Char7 Char Char1538,Text komentára Char Char Char1538,Comment Text Char Char Char1538"/>
    <w:basedOn w:val="Predvolenpsmoodseku"/>
    <w:uiPriority w:val="99"/>
    <w:semiHidden/>
    <w:rPr>
      <w:rFonts w:ascii="Courier" w:hAnsi="Courier" w:cs="Courier"/>
      <w:lang w:val="x-none" w:eastAsia="cs-CZ"/>
    </w:rPr>
  </w:style>
  <w:style w:type="character" w:customStyle="1" w:styleId="TextkomentraChar1536">
    <w:name w:val="Text komentára Char1536"/>
    <w:aliases w:val="Char7 Char Char1537,Text komentára Char Char Char1537,Comment Text Char Char Char1537"/>
    <w:basedOn w:val="Predvolenpsmoodseku"/>
    <w:uiPriority w:val="99"/>
    <w:semiHidden/>
    <w:rPr>
      <w:rFonts w:ascii="Courier" w:hAnsi="Courier" w:cs="Courier"/>
      <w:lang w:val="x-none" w:eastAsia="cs-CZ"/>
    </w:rPr>
  </w:style>
  <w:style w:type="character" w:customStyle="1" w:styleId="TextkomentraChar1535">
    <w:name w:val="Text komentára Char1535"/>
    <w:aliases w:val="Char7 Char Char1536,Text komentára Char Char Char1536,Comment Text Char Char Char1536"/>
    <w:basedOn w:val="Predvolenpsmoodseku"/>
    <w:uiPriority w:val="99"/>
    <w:semiHidden/>
    <w:rPr>
      <w:rFonts w:ascii="Courier" w:hAnsi="Courier" w:cs="Courier"/>
      <w:lang w:val="x-none" w:eastAsia="cs-CZ"/>
    </w:rPr>
  </w:style>
  <w:style w:type="character" w:customStyle="1" w:styleId="TextkomentraChar1534">
    <w:name w:val="Text komentára Char1534"/>
    <w:aliases w:val="Char7 Char Char1535,Text komentára Char Char Char1535,Comment Text Char Char Char1535"/>
    <w:basedOn w:val="Predvolenpsmoodseku"/>
    <w:uiPriority w:val="99"/>
    <w:semiHidden/>
    <w:rPr>
      <w:rFonts w:ascii="Courier" w:hAnsi="Courier" w:cs="Courier"/>
      <w:lang w:val="x-none" w:eastAsia="cs-CZ"/>
    </w:rPr>
  </w:style>
  <w:style w:type="character" w:customStyle="1" w:styleId="TextkomentraChar1533">
    <w:name w:val="Text komentára Char1533"/>
    <w:aliases w:val="Char7 Char Char1534,Text komentára Char Char Char1534,Comment Text Char Char Char1534"/>
    <w:basedOn w:val="Predvolenpsmoodseku"/>
    <w:uiPriority w:val="99"/>
    <w:semiHidden/>
    <w:rPr>
      <w:rFonts w:ascii="Courier" w:hAnsi="Courier" w:cs="Courier"/>
      <w:lang w:val="x-none" w:eastAsia="cs-CZ"/>
    </w:rPr>
  </w:style>
  <w:style w:type="character" w:customStyle="1" w:styleId="TextkomentraChar1532">
    <w:name w:val="Text komentára Char1532"/>
    <w:aliases w:val="Char7 Char Char1533,Text komentára Char Char Char1533,Comment Text Char Char Char1533"/>
    <w:basedOn w:val="Predvolenpsmoodseku"/>
    <w:uiPriority w:val="99"/>
    <w:semiHidden/>
    <w:rPr>
      <w:rFonts w:ascii="Courier" w:hAnsi="Courier" w:cs="Courier"/>
      <w:lang w:val="x-none" w:eastAsia="cs-CZ"/>
    </w:rPr>
  </w:style>
  <w:style w:type="character" w:customStyle="1" w:styleId="TextkomentraChar1531">
    <w:name w:val="Text komentára Char1531"/>
    <w:aliases w:val="Char7 Char Char1532,Text komentára Char Char Char1532,Comment Text Char Char Char1532"/>
    <w:basedOn w:val="Predvolenpsmoodseku"/>
    <w:uiPriority w:val="99"/>
    <w:semiHidden/>
    <w:rPr>
      <w:rFonts w:ascii="Courier" w:hAnsi="Courier" w:cs="Courier"/>
      <w:lang w:val="x-none" w:eastAsia="cs-CZ"/>
    </w:rPr>
  </w:style>
  <w:style w:type="character" w:customStyle="1" w:styleId="TextkomentraChar1530">
    <w:name w:val="Text komentára Char1530"/>
    <w:aliases w:val="Char7 Char Char1531,Text komentára Char Char Char1531,Comment Text Char Char Char1531"/>
    <w:basedOn w:val="Predvolenpsmoodseku"/>
    <w:uiPriority w:val="99"/>
    <w:semiHidden/>
    <w:rPr>
      <w:rFonts w:ascii="Courier" w:hAnsi="Courier" w:cs="Courier"/>
      <w:lang w:val="x-none" w:eastAsia="cs-CZ"/>
    </w:rPr>
  </w:style>
  <w:style w:type="character" w:customStyle="1" w:styleId="TextkomentraChar1529">
    <w:name w:val="Text komentára Char1529"/>
    <w:aliases w:val="Char7 Char Char1530,Text komentára Char Char Char1530,Comment Text Char Char Char1530"/>
    <w:basedOn w:val="Predvolenpsmoodseku"/>
    <w:uiPriority w:val="99"/>
    <w:semiHidden/>
    <w:rPr>
      <w:rFonts w:ascii="Courier" w:hAnsi="Courier" w:cs="Courier"/>
      <w:lang w:val="x-none" w:eastAsia="cs-CZ"/>
    </w:rPr>
  </w:style>
  <w:style w:type="character" w:customStyle="1" w:styleId="TextkomentraChar1528">
    <w:name w:val="Text komentára Char1528"/>
    <w:aliases w:val="Char7 Char Char1529,Text komentára Char Char Char1529,Comment Text Char Char Char1529"/>
    <w:basedOn w:val="Predvolenpsmoodseku"/>
    <w:uiPriority w:val="99"/>
    <w:semiHidden/>
    <w:rPr>
      <w:rFonts w:ascii="Courier" w:hAnsi="Courier" w:cs="Courier"/>
      <w:lang w:val="x-none" w:eastAsia="cs-CZ"/>
    </w:rPr>
  </w:style>
  <w:style w:type="character" w:customStyle="1" w:styleId="TextkomentraChar1527">
    <w:name w:val="Text komentára Char1527"/>
    <w:aliases w:val="Char7 Char Char1528,Text komentára Char Char Char1528,Comment Text Char Char Char1528"/>
    <w:basedOn w:val="Predvolenpsmoodseku"/>
    <w:uiPriority w:val="99"/>
    <w:semiHidden/>
    <w:rPr>
      <w:rFonts w:ascii="Courier" w:hAnsi="Courier" w:cs="Courier"/>
      <w:lang w:val="x-none" w:eastAsia="cs-CZ"/>
    </w:rPr>
  </w:style>
  <w:style w:type="character" w:customStyle="1" w:styleId="TextkomentraChar1526">
    <w:name w:val="Text komentára Char1526"/>
    <w:aliases w:val="Char7 Char Char1527,Text komentára Char Char Char1527,Comment Text Char Char Char1527"/>
    <w:basedOn w:val="Predvolenpsmoodseku"/>
    <w:uiPriority w:val="99"/>
    <w:semiHidden/>
    <w:rPr>
      <w:rFonts w:ascii="Courier" w:hAnsi="Courier" w:cs="Courier"/>
      <w:lang w:val="x-none" w:eastAsia="cs-CZ"/>
    </w:rPr>
  </w:style>
  <w:style w:type="character" w:customStyle="1" w:styleId="TextkomentraChar1525">
    <w:name w:val="Text komentára Char1525"/>
    <w:aliases w:val="Char7 Char Char1526,Text komentára Char Char Char1526,Comment Text Char Char Char1526"/>
    <w:basedOn w:val="Predvolenpsmoodseku"/>
    <w:uiPriority w:val="99"/>
    <w:semiHidden/>
    <w:rPr>
      <w:rFonts w:ascii="Courier" w:hAnsi="Courier" w:cs="Courier"/>
      <w:lang w:val="x-none" w:eastAsia="cs-CZ"/>
    </w:rPr>
  </w:style>
  <w:style w:type="character" w:customStyle="1" w:styleId="TextkomentraChar1524">
    <w:name w:val="Text komentára Char1524"/>
    <w:aliases w:val="Char7 Char Char1525,Text komentára Char Char Char1525,Comment Text Char Char Char1525"/>
    <w:basedOn w:val="Predvolenpsmoodseku"/>
    <w:uiPriority w:val="99"/>
    <w:semiHidden/>
    <w:rPr>
      <w:rFonts w:ascii="Courier" w:hAnsi="Courier" w:cs="Courier"/>
      <w:lang w:val="x-none" w:eastAsia="cs-CZ"/>
    </w:rPr>
  </w:style>
  <w:style w:type="character" w:customStyle="1" w:styleId="TextkomentraChar1523">
    <w:name w:val="Text komentára Char1523"/>
    <w:aliases w:val="Char7 Char Char1524,Text komentára Char Char Char1524,Comment Text Char Char Char1524"/>
    <w:basedOn w:val="Predvolenpsmoodseku"/>
    <w:uiPriority w:val="99"/>
    <w:semiHidden/>
    <w:rPr>
      <w:rFonts w:ascii="Courier" w:hAnsi="Courier" w:cs="Courier"/>
      <w:lang w:val="x-none" w:eastAsia="cs-CZ"/>
    </w:rPr>
  </w:style>
  <w:style w:type="character" w:customStyle="1" w:styleId="TextkomentraChar1522">
    <w:name w:val="Text komentára Char1522"/>
    <w:aliases w:val="Char7 Char Char1523,Text komentára Char Char Char1523,Comment Text Char Char Char1523"/>
    <w:basedOn w:val="Predvolenpsmoodseku"/>
    <w:uiPriority w:val="99"/>
    <w:semiHidden/>
    <w:rPr>
      <w:rFonts w:ascii="Courier" w:hAnsi="Courier" w:cs="Courier"/>
      <w:lang w:val="x-none" w:eastAsia="cs-CZ"/>
    </w:rPr>
  </w:style>
  <w:style w:type="character" w:customStyle="1" w:styleId="TextkomentraChar1521">
    <w:name w:val="Text komentára Char1521"/>
    <w:aliases w:val="Char7 Char Char1522,Text komentára Char Char Char1522,Comment Text Char Char Char1522"/>
    <w:basedOn w:val="Predvolenpsmoodseku"/>
    <w:uiPriority w:val="99"/>
    <w:semiHidden/>
    <w:rPr>
      <w:rFonts w:ascii="Courier" w:hAnsi="Courier" w:cs="Courier"/>
      <w:lang w:val="x-none" w:eastAsia="cs-CZ"/>
    </w:rPr>
  </w:style>
  <w:style w:type="character" w:customStyle="1" w:styleId="TextkomentraChar1520">
    <w:name w:val="Text komentára Char1520"/>
    <w:aliases w:val="Char7 Char Char1521,Text komentára Char Char Char1521,Comment Text Char Char Char1521"/>
    <w:basedOn w:val="Predvolenpsmoodseku"/>
    <w:uiPriority w:val="99"/>
    <w:semiHidden/>
    <w:rPr>
      <w:rFonts w:ascii="Courier" w:hAnsi="Courier" w:cs="Courier"/>
      <w:lang w:val="x-none" w:eastAsia="cs-CZ"/>
    </w:rPr>
  </w:style>
  <w:style w:type="character" w:customStyle="1" w:styleId="TextkomentraChar1519">
    <w:name w:val="Text komentára Char1519"/>
    <w:aliases w:val="Char7 Char Char1520,Text komentára Char Char Char1520,Comment Text Char Char Char1520"/>
    <w:basedOn w:val="Predvolenpsmoodseku"/>
    <w:uiPriority w:val="99"/>
    <w:semiHidden/>
    <w:rPr>
      <w:rFonts w:ascii="Courier" w:hAnsi="Courier" w:cs="Courier"/>
      <w:lang w:val="x-none" w:eastAsia="cs-CZ"/>
    </w:rPr>
  </w:style>
  <w:style w:type="character" w:customStyle="1" w:styleId="TextkomentraChar1518">
    <w:name w:val="Text komentára Char1518"/>
    <w:aliases w:val="Char7 Char Char1519,Text komentára Char Char Char1519,Comment Text Char Char Char1519"/>
    <w:basedOn w:val="Predvolenpsmoodseku"/>
    <w:uiPriority w:val="99"/>
    <w:semiHidden/>
    <w:rPr>
      <w:rFonts w:ascii="Courier" w:hAnsi="Courier" w:cs="Courier"/>
      <w:lang w:val="x-none" w:eastAsia="cs-CZ"/>
    </w:rPr>
  </w:style>
  <w:style w:type="character" w:customStyle="1" w:styleId="TextkomentraChar1517">
    <w:name w:val="Text komentára Char1517"/>
    <w:aliases w:val="Char7 Char Char1518,Text komentára Char Char Char1518,Comment Text Char Char Char1518"/>
    <w:basedOn w:val="Predvolenpsmoodseku"/>
    <w:uiPriority w:val="99"/>
    <w:semiHidden/>
    <w:rPr>
      <w:rFonts w:ascii="Courier" w:hAnsi="Courier" w:cs="Courier"/>
      <w:lang w:val="x-none" w:eastAsia="cs-CZ"/>
    </w:rPr>
  </w:style>
  <w:style w:type="character" w:customStyle="1" w:styleId="TextkomentraChar1516">
    <w:name w:val="Text komentára Char1516"/>
    <w:aliases w:val="Char7 Char Char1517,Text komentára Char Char Char1517,Comment Text Char Char Char1517"/>
    <w:basedOn w:val="Predvolenpsmoodseku"/>
    <w:uiPriority w:val="99"/>
    <w:semiHidden/>
    <w:rPr>
      <w:rFonts w:ascii="Courier" w:hAnsi="Courier" w:cs="Courier"/>
      <w:lang w:val="x-none" w:eastAsia="cs-CZ"/>
    </w:rPr>
  </w:style>
  <w:style w:type="character" w:customStyle="1" w:styleId="TextkomentraChar1515">
    <w:name w:val="Text komentára Char1515"/>
    <w:aliases w:val="Char7 Char Char1516,Text komentára Char Char Char1516,Comment Text Char Char Char1516"/>
    <w:basedOn w:val="Predvolenpsmoodseku"/>
    <w:uiPriority w:val="99"/>
    <w:semiHidden/>
    <w:rPr>
      <w:rFonts w:ascii="Courier" w:hAnsi="Courier" w:cs="Courier"/>
      <w:lang w:val="x-none" w:eastAsia="cs-CZ"/>
    </w:rPr>
  </w:style>
  <w:style w:type="character" w:customStyle="1" w:styleId="TextkomentraChar1514">
    <w:name w:val="Text komentára Char1514"/>
    <w:aliases w:val="Char7 Char Char1515,Text komentára Char Char Char1515,Comment Text Char Char Char1515"/>
    <w:basedOn w:val="Predvolenpsmoodseku"/>
    <w:uiPriority w:val="99"/>
    <w:semiHidden/>
    <w:rPr>
      <w:rFonts w:ascii="Courier" w:hAnsi="Courier" w:cs="Courier"/>
      <w:lang w:val="x-none" w:eastAsia="cs-CZ"/>
    </w:rPr>
  </w:style>
  <w:style w:type="character" w:customStyle="1" w:styleId="TextkomentraChar1513">
    <w:name w:val="Text komentára Char1513"/>
    <w:aliases w:val="Char7 Char Char1514,Text komentára Char Char Char1514,Comment Text Char Char Char1514"/>
    <w:uiPriority w:val="99"/>
    <w:semiHidden/>
    <w:rPr>
      <w:rFonts w:ascii="Courier" w:hAnsi="Courier"/>
      <w:lang w:val="x-none" w:eastAsia="cs-CZ"/>
    </w:rPr>
  </w:style>
  <w:style w:type="character" w:customStyle="1" w:styleId="TextkomentraChar1512">
    <w:name w:val="Text komentára Char1512"/>
    <w:aliases w:val="Char7 Char Char1513,Text komentára Char Char Char1513,Comment Text Char Char Char1513"/>
    <w:uiPriority w:val="99"/>
    <w:semiHidden/>
    <w:rPr>
      <w:rFonts w:ascii="Courier" w:hAnsi="Courier"/>
      <w:lang w:val="x-none" w:eastAsia="cs-CZ"/>
    </w:rPr>
  </w:style>
  <w:style w:type="character" w:customStyle="1" w:styleId="TextkomentraChar1511">
    <w:name w:val="Text komentára Char1511"/>
    <w:aliases w:val="Char7 Char Char1512,Text komentára Char Char Char1512,Comment Text Char Char Char1512"/>
    <w:uiPriority w:val="99"/>
    <w:semiHidden/>
    <w:rPr>
      <w:rFonts w:ascii="Courier" w:hAnsi="Courier"/>
      <w:lang w:val="x-none" w:eastAsia="cs-CZ"/>
    </w:rPr>
  </w:style>
  <w:style w:type="character" w:customStyle="1" w:styleId="TextkomentraChar1510">
    <w:name w:val="Text komentára Char1510"/>
    <w:aliases w:val="Char7 Char Char1511,Text komentára Char Char Char1511,Comment Text Char Char Char1511"/>
    <w:uiPriority w:val="99"/>
    <w:semiHidden/>
    <w:rPr>
      <w:rFonts w:ascii="Courier" w:hAnsi="Courier"/>
      <w:lang w:val="x-none" w:eastAsia="cs-CZ"/>
    </w:rPr>
  </w:style>
  <w:style w:type="character" w:customStyle="1" w:styleId="TextkomentraChar1509">
    <w:name w:val="Text komentára Char1509"/>
    <w:aliases w:val="Char7 Char Char1510,Text komentára Char Char Char1510,Comment Text Char Char Char1510"/>
    <w:uiPriority w:val="99"/>
    <w:semiHidden/>
    <w:rPr>
      <w:rFonts w:ascii="Courier" w:hAnsi="Courier"/>
      <w:lang w:val="x-none" w:eastAsia="cs-CZ"/>
    </w:rPr>
  </w:style>
  <w:style w:type="character" w:customStyle="1" w:styleId="TextkomentraChar1508">
    <w:name w:val="Text komentára Char1508"/>
    <w:aliases w:val="Char7 Char Char1509,Text komentára Char Char Char1509,Comment Text Char Char Char1509"/>
    <w:uiPriority w:val="99"/>
    <w:semiHidden/>
    <w:rPr>
      <w:rFonts w:ascii="Courier" w:hAnsi="Courier"/>
      <w:lang w:val="x-none" w:eastAsia="cs-CZ"/>
    </w:rPr>
  </w:style>
  <w:style w:type="character" w:customStyle="1" w:styleId="TextkomentraChar1507">
    <w:name w:val="Text komentára Char1507"/>
    <w:aliases w:val="Char7 Char Char1508,Text komentára Char Char Char1508,Comment Text Char Char Char1508"/>
    <w:uiPriority w:val="99"/>
    <w:semiHidden/>
    <w:rPr>
      <w:rFonts w:ascii="Courier" w:hAnsi="Courier"/>
      <w:lang w:val="x-none" w:eastAsia="cs-CZ"/>
    </w:rPr>
  </w:style>
  <w:style w:type="character" w:customStyle="1" w:styleId="TextkomentraChar1506">
    <w:name w:val="Text komentára Char1506"/>
    <w:aliases w:val="Char7 Char Char1507,Text komentára Char Char Char1507,Comment Text Char Char Char1507"/>
    <w:uiPriority w:val="99"/>
    <w:semiHidden/>
    <w:rPr>
      <w:rFonts w:ascii="Courier" w:hAnsi="Courier"/>
      <w:lang w:val="x-none" w:eastAsia="cs-CZ"/>
    </w:rPr>
  </w:style>
  <w:style w:type="character" w:customStyle="1" w:styleId="TextkomentraChar1505">
    <w:name w:val="Text komentára Char1505"/>
    <w:aliases w:val="Char7 Char Char1506,Text komentára Char Char Char1506,Comment Text Char Char Char1506"/>
    <w:uiPriority w:val="99"/>
    <w:semiHidden/>
    <w:rPr>
      <w:rFonts w:ascii="Courier" w:hAnsi="Courier"/>
      <w:lang w:val="x-none" w:eastAsia="cs-CZ"/>
    </w:rPr>
  </w:style>
  <w:style w:type="character" w:customStyle="1" w:styleId="TextkomentraChar1504">
    <w:name w:val="Text komentára Char1504"/>
    <w:aliases w:val="Char7 Char Char1505,Text komentára Char Char Char1505,Comment Text Char Char Char1505"/>
    <w:uiPriority w:val="99"/>
    <w:semiHidden/>
    <w:rPr>
      <w:rFonts w:ascii="Courier" w:hAnsi="Courier"/>
      <w:lang w:val="x-none" w:eastAsia="cs-CZ"/>
    </w:rPr>
  </w:style>
  <w:style w:type="character" w:customStyle="1" w:styleId="TextkomentraChar1503">
    <w:name w:val="Text komentára Char1503"/>
    <w:aliases w:val="Char7 Char Char1504,Text komentára Char Char Char1504,Comment Text Char Char Char1504"/>
    <w:uiPriority w:val="99"/>
    <w:semiHidden/>
    <w:rPr>
      <w:rFonts w:ascii="Courier" w:hAnsi="Courier"/>
      <w:lang w:val="x-none" w:eastAsia="cs-CZ"/>
    </w:rPr>
  </w:style>
  <w:style w:type="character" w:customStyle="1" w:styleId="TextkomentraChar1502">
    <w:name w:val="Text komentára Char1502"/>
    <w:aliases w:val="Char7 Char Char1503,Text komentára Char Char Char1503,Comment Text Char Char Char1503"/>
    <w:uiPriority w:val="99"/>
    <w:semiHidden/>
    <w:rPr>
      <w:rFonts w:ascii="Courier" w:hAnsi="Courier"/>
      <w:lang w:val="x-none" w:eastAsia="cs-CZ"/>
    </w:rPr>
  </w:style>
  <w:style w:type="character" w:customStyle="1" w:styleId="TextkomentraChar1501">
    <w:name w:val="Text komentára Char1501"/>
    <w:aliases w:val="Char7 Char Char1502,Text komentára Char Char Char1502,Comment Text Char Char Char1502"/>
    <w:uiPriority w:val="99"/>
    <w:semiHidden/>
    <w:rPr>
      <w:rFonts w:ascii="Courier" w:hAnsi="Courier"/>
      <w:lang w:val="x-none" w:eastAsia="cs-CZ"/>
    </w:rPr>
  </w:style>
  <w:style w:type="character" w:customStyle="1" w:styleId="TextkomentraChar1500">
    <w:name w:val="Text komentára Char1500"/>
    <w:aliases w:val="Char7 Char Char1501,Text komentára Char Char Char1501,Comment Text Char Char Char1501"/>
    <w:uiPriority w:val="99"/>
    <w:semiHidden/>
    <w:rPr>
      <w:rFonts w:ascii="Courier" w:hAnsi="Courier"/>
      <w:lang w:val="x-none" w:eastAsia="cs-CZ"/>
    </w:rPr>
  </w:style>
  <w:style w:type="character" w:customStyle="1" w:styleId="TextkomentraChar1499">
    <w:name w:val="Text komentára Char1499"/>
    <w:aliases w:val="Char7 Char Char1500,Text komentára Char Char Char1500,Comment Text Char Char Char1500"/>
    <w:uiPriority w:val="99"/>
    <w:semiHidden/>
    <w:rPr>
      <w:rFonts w:ascii="Courier" w:hAnsi="Courier"/>
      <w:lang w:val="x-none" w:eastAsia="cs-CZ"/>
    </w:rPr>
  </w:style>
  <w:style w:type="character" w:customStyle="1" w:styleId="TextkomentraChar1498">
    <w:name w:val="Text komentára Char1498"/>
    <w:aliases w:val="Char7 Char Char1499,Text komentára Char Char Char1499,Comment Text Char Char Char1499"/>
    <w:uiPriority w:val="99"/>
    <w:semiHidden/>
    <w:rPr>
      <w:rFonts w:ascii="Courier" w:hAnsi="Courier"/>
      <w:lang w:val="x-none" w:eastAsia="cs-CZ"/>
    </w:rPr>
  </w:style>
  <w:style w:type="character" w:customStyle="1" w:styleId="TextkomentraChar1497">
    <w:name w:val="Text komentára Char1497"/>
    <w:aliases w:val="Char7 Char Char1498,Text komentára Char Char Char1498,Comment Text Char Char Char1498"/>
    <w:uiPriority w:val="99"/>
    <w:semiHidden/>
    <w:rPr>
      <w:rFonts w:ascii="Courier" w:hAnsi="Courier"/>
      <w:lang w:val="x-none" w:eastAsia="cs-CZ"/>
    </w:rPr>
  </w:style>
  <w:style w:type="character" w:customStyle="1" w:styleId="TextkomentraChar1496">
    <w:name w:val="Text komentára Char1496"/>
    <w:aliases w:val="Char7 Char Char1497,Text komentára Char Char Char1497,Comment Text Char Char Char1497"/>
    <w:uiPriority w:val="99"/>
    <w:semiHidden/>
    <w:rPr>
      <w:rFonts w:ascii="Courier" w:hAnsi="Courier"/>
      <w:lang w:val="x-none" w:eastAsia="cs-CZ"/>
    </w:rPr>
  </w:style>
  <w:style w:type="character" w:customStyle="1" w:styleId="TextkomentraChar1495">
    <w:name w:val="Text komentára Char1495"/>
    <w:aliases w:val="Char7 Char Char1496,Text komentára Char Char Char1496,Comment Text Char Char Char1496"/>
    <w:uiPriority w:val="99"/>
    <w:semiHidden/>
    <w:rPr>
      <w:rFonts w:ascii="Courier" w:hAnsi="Courier"/>
      <w:lang w:val="x-none" w:eastAsia="cs-CZ"/>
    </w:rPr>
  </w:style>
  <w:style w:type="character" w:customStyle="1" w:styleId="TextkomentraChar1494">
    <w:name w:val="Text komentára Char1494"/>
    <w:aliases w:val="Char7 Char Char1495,Text komentára Char Char Char1495,Comment Text Char Char Char1495"/>
    <w:uiPriority w:val="99"/>
    <w:semiHidden/>
    <w:rPr>
      <w:rFonts w:ascii="Courier" w:hAnsi="Courier"/>
      <w:lang w:val="x-none" w:eastAsia="cs-CZ"/>
    </w:rPr>
  </w:style>
  <w:style w:type="character" w:customStyle="1" w:styleId="TextkomentraChar1493">
    <w:name w:val="Text komentára Char1493"/>
    <w:aliases w:val="Char7 Char Char1494,Text komentára Char Char Char1494,Comment Text Char Char Char1494"/>
    <w:uiPriority w:val="99"/>
    <w:semiHidden/>
    <w:rPr>
      <w:rFonts w:ascii="Courier" w:hAnsi="Courier"/>
      <w:lang w:val="x-none" w:eastAsia="cs-CZ"/>
    </w:rPr>
  </w:style>
  <w:style w:type="character" w:customStyle="1" w:styleId="TextkomentraChar1492">
    <w:name w:val="Text komentára Char1492"/>
    <w:aliases w:val="Char7 Char Char1493,Text komentára Char Char Char1493,Comment Text Char Char Char1493"/>
    <w:uiPriority w:val="99"/>
    <w:semiHidden/>
    <w:rPr>
      <w:rFonts w:ascii="Courier" w:hAnsi="Courier"/>
      <w:lang w:val="x-none" w:eastAsia="cs-CZ"/>
    </w:rPr>
  </w:style>
  <w:style w:type="character" w:customStyle="1" w:styleId="TextkomentraChar1491">
    <w:name w:val="Text komentára Char1491"/>
    <w:aliases w:val="Char7 Char Char1492,Text komentára Char Char Char1492,Comment Text Char Char Char1492"/>
    <w:uiPriority w:val="99"/>
    <w:semiHidden/>
    <w:rPr>
      <w:rFonts w:ascii="Courier" w:hAnsi="Courier"/>
      <w:lang w:val="x-none" w:eastAsia="cs-CZ"/>
    </w:rPr>
  </w:style>
  <w:style w:type="character" w:customStyle="1" w:styleId="TextkomentraChar1490">
    <w:name w:val="Text komentára Char1490"/>
    <w:aliases w:val="Char7 Char Char1491,Text komentára Char Char Char1491,Comment Text Char Char Char1491"/>
    <w:uiPriority w:val="99"/>
    <w:semiHidden/>
    <w:rPr>
      <w:rFonts w:ascii="Courier" w:hAnsi="Courier"/>
      <w:lang w:val="x-none" w:eastAsia="cs-CZ"/>
    </w:rPr>
  </w:style>
  <w:style w:type="character" w:customStyle="1" w:styleId="TextkomentraChar1489">
    <w:name w:val="Text komentára Char1489"/>
    <w:aliases w:val="Char7 Char Char1490,Text komentára Char Char Char1490,Comment Text Char Char Char1490"/>
    <w:uiPriority w:val="99"/>
    <w:semiHidden/>
    <w:rPr>
      <w:rFonts w:ascii="Courier" w:hAnsi="Courier"/>
      <w:lang w:val="x-none" w:eastAsia="cs-CZ"/>
    </w:rPr>
  </w:style>
  <w:style w:type="character" w:customStyle="1" w:styleId="TextkomentraChar1488">
    <w:name w:val="Text komentára Char1488"/>
    <w:aliases w:val="Char7 Char Char1489,Text komentára Char Char Char1489,Comment Text Char Char Char1489"/>
    <w:uiPriority w:val="99"/>
    <w:semiHidden/>
    <w:rPr>
      <w:rFonts w:ascii="Courier" w:hAnsi="Courier"/>
      <w:lang w:val="x-none" w:eastAsia="cs-CZ"/>
    </w:rPr>
  </w:style>
  <w:style w:type="character" w:customStyle="1" w:styleId="TextkomentraChar1487">
    <w:name w:val="Text komentára Char1487"/>
    <w:aliases w:val="Char7 Char Char1488,Text komentára Char Char Char1488,Comment Text Char Char Char1488"/>
    <w:uiPriority w:val="99"/>
    <w:semiHidden/>
    <w:rPr>
      <w:rFonts w:ascii="Courier" w:hAnsi="Courier"/>
      <w:lang w:val="x-none" w:eastAsia="cs-CZ"/>
    </w:rPr>
  </w:style>
  <w:style w:type="character" w:customStyle="1" w:styleId="TextkomentraChar1486">
    <w:name w:val="Text komentára Char1486"/>
    <w:aliases w:val="Char7 Char Char1487,Text komentára Char Char Char1487,Comment Text Char Char Char1487"/>
    <w:uiPriority w:val="99"/>
    <w:semiHidden/>
    <w:rPr>
      <w:rFonts w:ascii="Courier" w:hAnsi="Courier"/>
      <w:lang w:val="x-none" w:eastAsia="cs-CZ"/>
    </w:rPr>
  </w:style>
  <w:style w:type="character" w:customStyle="1" w:styleId="TextkomentraChar1485">
    <w:name w:val="Text komentára Char1485"/>
    <w:aliases w:val="Char7 Char Char1486,Text komentára Char Char Char1486,Comment Text Char Char Char1486"/>
    <w:uiPriority w:val="99"/>
    <w:semiHidden/>
    <w:rPr>
      <w:rFonts w:ascii="Courier" w:hAnsi="Courier"/>
      <w:lang w:val="x-none" w:eastAsia="cs-CZ"/>
    </w:rPr>
  </w:style>
  <w:style w:type="character" w:customStyle="1" w:styleId="TextkomentraChar1484">
    <w:name w:val="Text komentára Char1484"/>
    <w:aliases w:val="Char7 Char Char1485,Text komentára Char Char Char1485,Comment Text Char Char Char1485"/>
    <w:uiPriority w:val="99"/>
    <w:semiHidden/>
    <w:rPr>
      <w:rFonts w:ascii="Courier" w:hAnsi="Courier"/>
      <w:lang w:val="x-none" w:eastAsia="cs-CZ"/>
    </w:rPr>
  </w:style>
  <w:style w:type="character" w:customStyle="1" w:styleId="TextkomentraChar1483">
    <w:name w:val="Text komentára Char1483"/>
    <w:aliases w:val="Char7 Char Char1484,Text komentára Char Char Char1484,Comment Text Char Char Char1484"/>
    <w:uiPriority w:val="99"/>
    <w:semiHidden/>
    <w:rPr>
      <w:rFonts w:ascii="Courier" w:hAnsi="Courier"/>
      <w:lang w:val="x-none" w:eastAsia="cs-CZ"/>
    </w:rPr>
  </w:style>
  <w:style w:type="character" w:customStyle="1" w:styleId="TextkomentraChar1482">
    <w:name w:val="Text komentára Char1482"/>
    <w:aliases w:val="Char7 Char Char1483,Text komentára Char Char Char1483,Comment Text Char Char Char1483"/>
    <w:uiPriority w:val="99"/>
    <w:semiHidden/>
    <w:rPr>
      <w:rFonts w:ascii="Courier" w:hAnsi="Courier"/>
      <w:lang w:val="x-none" w:eastAsia="cs-CZ"/>
    </w:rPr>
  </w:style>
  <w:style w:type="character" w:customStyle="1" w:styleId="TextkomentraChar1481">
    <w:name w:val="Text komentára Char1481"/>
    <w:aliases w:val="Char7 Char Char1482,Text komentára Char Char Char1482,Comment Text Char Char Char1482"/>
    <w:uiPriority w:val="99"/>
    <w:semiHidden/>
    <w:rPr>
      <w:rFonts w:ascii="Courier" w:hAnsi="Courier"/>
      <w:lang w:val="x-none" w:eastAsia="cs-CZ"/>
    </w:rPr>
  </w:style>
  <w:style w:type="character" w:customStyle="1" w:styleId="TextkomentraChar1480">
    <w:name w:val="Text komentára Char1480"/>
    <w:aliases w:val="Char7 Char Char1481,Text komentára Char Char Char1481,Comment Text Char Char Char1481"/>
    <w:uiPriority w:val="99"/>
    <w:semiHidden/>
    <w:rPr>
      <w:rFonts w:ascii="Courier" w:hAnsi="Courier"/>
      <w:lang w:val="x-none" w:eastAsia="cs-CZ"/>
    </w:rPr>
  </w:style>
  <w:style w:type="character" w:customStyle="1" w:styleId="TextkomentraChar1479">
    <w:name w:val="Text komentára Char1479"/>
    <w:aliases w:val="Char7 Char Char1480,Text komentára Char Char Char1480,Comment Text Char Char Char1480"/>
    <w:uiPriority w:val="99"/>
    <w:semiHidden/>
    <w:rPr>
      <w:rFonts w:ascii="Courier" w:hAnsi="Courier"/>
      <w:lang w:val="x-none" w:eastAsia="cs-CZ"/>
    </w:rPr>
  </w:style>
  <w:style w:type="character" w:customStyle="1" w:styleId="TextkomentraChar1478">
    <w:name w:val="Text komentára Char1478"/>
    <w:aliases w:val="Char7 Char Char1479,Text komentára Char Char Char1479,Comment Text Char Char Char1479"/>
    <w:uiPriority w:val="99"/>
    <w:semiHidden/>
    <w:rPr>
      <w:rFonts w:ascii="Courier" w:hAnsi="Courier"/>
      <w:lang w:val="x-none" w:eastAsia="cs-CZ"/>
    </w:rPr>
  </w:style>
  <w:style w:type="character" w:customStyle="1" w:styleId="TextkomentraChar1477">
    <w:name w:val="Text komentára Char1477"/>
    <w:aliases w:val="Char7 Char Char1478,Text komentára Char Char Char1478,Comment Text Char Char Char1478"/>
    <w:uiPriority w:val="99"/>
    <w:semiHidden/>
    <w:rPr>
      <w:rFonts w:ascii="Courier" w:hAnsi="Courier"/>
      <w:lang w:val="x-none" w:eastAsia="cs-CZ"/>
    </w:rPr>
  </w:style>
  <w:style w:type="character" w:customStyle="1" w:styleId="TextkomentraChar1476">
    <w:name w:val="Text komentára Char1476"/>
    <w:aliases w:val="Char7 Char Char1477,Text komentára Char Char Char1477,Comment Text Char Char Char1477"/>
    <w:uiPriority w:val="99"/>
    <w:semiHidden/>
    <w:rPr>
      <w:rFonts w:ascii="Courier" w:hAnsi="Courier"/>
      <w:lang w:val="x-none" w:eastAsia="cs-CZ"/>
    </w:rPr>
  </w:style>
  <w:style w:type="character" w:customStyle="1" w:styleId="TextkomentraChar1475">
    <w:name w:val="Text komentára Char1475"/>
    <w:aliases w:val="Char7 Char Char1476,Text komentára Char Char Char1476,Comment Text Char Char Char1476"/>
    <w:uiPriority w:val="99"/>
    <w:semiHidden/>
    <w:rPr>
      <w:rFonts w:ascii="Courier" w:hAnsi="Courier"/>
      <w:lang w:val="x-none" w:eastAsia="cs-CZ"/>
    </w:rPr>
  </w:style>
  <w:style w:type="character" w:customStyle="1" w:styleId="TextkomentraChar1474">
    <w:name w:val="Text komentára Char1474"/>
    <w:aliases w:val="Char7 Char Char1475,Text komentára Char Char Char1475,Comment Text Char Char Char1475"/>
    <w:uiPriority w:val="99"/>
    <w:semiHidden/>
    <w:rPr>
      <w:rFonts w:ascii="Courier" w:hAnsi="Courier"/>
      <w:lang w:val="x-none" w:eastAsia="cs-CZ"/>
    </w:rPr>
  </w:style>
  <w:style w:type="character" w:customStyle="1" w:styleId="TextkomentraChar1473">
    <w:name w:val="Text komentára Char1473"/>
    <w:aliases w:val="Char7 Char Char1474,Text komentára Char Char Char1474,Comment Text Char Char Char1474"/>
    <w:uiPriority w:val="99"/>
    <w:semiHidden/>
    <w:rPr>
      <w:rFonts w:ascii="Courier" w:hAnsi="Courier"/>
      <w:lang w:val="x-none" w:eastAsia="cs-CZ"/>
    </w:rPr>
  </w:style>
  <w:style w:type="character" w:customStyle="1" w:styleId="TextkomentraChar1472">
    <w:name w:val="Text komentára Char1472"/>
    <w:aliases w:val="Char7 Char Char1473,Text komentára Char Char Char1473,Comment Text Char Char Char1473"/>
    <w:uiPriority w:val="99"/>
    <w:semiHidden/>
    <w:rPr>
      <w:rFonts w:ascii="Courier" w:hAnsi="Courier"/>
      <w:lang w:val="x-none" w:eastAsia="cs-CZ"/>
    </w:rPr>
  </w:style>
  <w:style w:type="character" w:customStyle="1" w:styleId="TextkomentraChar1471">
    <w:name w:val="Text komentára Char1471"/>
    <w:aliases w:val="Char7 Char Char1472,Text komentára Char Char Char1472,Comment Text Char Char Char1472"/>
    <w:uiPriority w:val="99"/>
    <w:semiHidden/>
    <w:rPr>
      <w:rFonts w:ascii="Courier" w:hAnsi="Courier"/>
      <w:lang w:val="x-none" w:eastAsia="cs-CZ"/>
    </w:rPr>
  </w:style>
  <w:style w:type="character" w:customStyle="1" w:styleId="TextkomentraChar1470">
    <w:name w:val="Text komentára Char1470"/>
    <w:aliases w:val="Char7 Char Char1471,Text komentára Char Char Char1471,Comment Text Char Char Char1471"/>
    <w:uiPriority w:val="99"/>
    <w:semiHidden/>
    <w:rPr>
      <w:rFonts w:ascii="Courier" w:hAnsi="Courier"/>
      <w:lang w:val="x-none" w:eastAsia="cs-CZ"/>
    </w:rPr>
  </w:style>
  <w:style w:type="character" w:customStyle="1" w:styleId="TextkomentraChar1469">
    <w:name w:val="Text komentára Char1469"/>
    <w:aliases w:val="Char7 Char Char1470,Text komentára Char Char Char1470,Comment Text Char Char Char1470"/>
    <w:uiPriority w:val="99"/>
    <w:semiHidden/>
    <w:rPr>
      <w:rFonts w:ascii="Courier" w:hAnsi="Courier"/>
      <w:lang w:val="x-none" w:eastAsia="cs-CZ"/>
    </w:rPr>
  </w:style>
  <w:style w:type="character" w:customStyle="1" w:styleId="TextkomentraChar1468">
    <w:name w:val="Text komentára Char1468"/>
    <w:aliases w:val="Char7 Char Char1469,Text komentára Char Char Char1469,Comment Text Char Char Char1469"/>
    <w:uiPriority w:val="99"/>
    <w:semiHidden/>
    <w:rPr>
      <w:rFonts w:ascii="Courier" w:hAnsi="Courier"/>
      <w:lang w:val="x-none" w:eastAsia="cs-CZ"/>
    </w:rPr>
  </w:style>
  <w:style w:type="character" w:customStyle="1" w:styleId="TextkomentraChar1467">
    <w:name w:val="Text komentára Char1467"/>
    <w:aliases w:val="Char7 Char Char1468,Text komentára Char Char Char1468,Comment Text Char Char Char1468"/>
    <w:uiPriority w:val="99"/>
    <w:semiHidden/>
    <w:rPr>
      <w:rFonts w:ascii="Courier" w:hAnsi="Courier"/>
      <w:lang w:val="x-none" w:eastAsia="cs-CZ"/>
    </w:rPr>
  </w:style>
  <w:style w:type="character" w:customStyle="1" w:styleId="TextkomentraChar1466">
    <w:name w:val="Text komentára Char1466"/>
    <w:aliases w:val="Char7 Char Char1467,Text komentára Char Char Char1467,Comment Text Char Char Char1467"/>
    <w:uiPriority w:val="99"/>
    <w:semiHidden/>
    <w:rPr>
      <w:rFonts w:ascii="Courier" w:hAnsi="Courier"/>
      <w:lang w:val="x-none" w:eastAsia="cs-CZ"/>
    </w:rPr>
  </w:style>
  <w:style w:type="character" w:customStyle="1" w:styleId="TextkomentraChar1465">
    <w:name w:val="Text komentára Char1465"/>
    <w:aliases w:val="Char7 Char Char1466,Text komentára Char Char Char1466,Comment Text Char Char Char1466"/>
    <w:uiPriority w:val="99"/>
    <w:semiHidden/>
    <w:rPr>
      <w:rFonts w:ascii="Courier" w:hAnsi="Courier"/>
      <w:lang w:val="x-none" w:eastAsia="cs-CZ"/>
    </w:rPr>
  </w:style>
  <w:style w:type="character" w:customStyle="1" w:styleId="TextkomentraChar1464">
    <w:name w:val="Text komentára Char1464"/>
    <w:aliases w:val="Char7 Char Char1465,Text komentára Char Char Char1465,Comment Text Char Char Char1465"/>
    <w:uiPriority w:val="99"/>
    <w:semiHidden/>
    <w:rPr>
      <w:rFonts w:ascii="Courier" w:hAnsi="Courier"/>
      <w:lang w:val="x-none" w:eastAsia="cs-CZ"/>
    </w:rPr>
  </w:style>
  <w:style w:type="character" w:customStyle="1" w:styleId="TextkomentraChar1463">
    <w:name w:val="Text komentára Char1463"/>
    <w:aliases w:val="Char7 Char Char1464,Text komentára Char Char Char1464,Comment Text Char Char Char1464"/>
    <w:uiPriority w:val="99"/>
    <w:semiHidden/>
    <w:rPr>
      <w:rFonts w:ascii="Courier" w:hAnsi="Courier"/>
      <w:lang w:val="x-none" w:eastAsia="cs-CZ"/>
    </w:rPr>
  </w:style>
  <w:style w:type="character" w:customStyle="1" w:styleId="TextkomentraChar1462">
    <w:name w:val="Text komentára Char1462"/>
    <w:aliases w:val="Char7 Char Char1463,Text komentára Char Char Char1463,Comment Text Char Char Char1463"/>
    <w:uiPriority w:val="99"/>
    <w:semiHidden/>
    <w:rPr>
      <w:rFonts w:ascii="Courier" w:hAnsi="Courier"/>
      <w:lang w:val="x-none" w:eastAsia="cs-CZ"/>
    </w:rPr>
  </w:style>
  <w:style w:type="character" w:customStyle="1" w:styleId="TextkomentraChar1461">
    <w:name w:val="Text komentára Char1461"/>
    <w:aliases w:val="Char7 Char Char1462,Text komentára Char Char Char1462,Comment Text Char Char Char1462"/>
    <w:uiPriority w:val="99"/>
    <w:semiHidden/>
    <w:rPr>
      <w:rFonts w:ascii="Courier" w:hAnsi="Courier"/>
      <w:lang w:val="x-none" w:eastAsia="cs-CZ"/>
    </w:rPr>
  </w:style>
  <w:style w:type="character" w:customStyle="1" w:styleId="TextkomentraChar1460">
    <w:name w:val="Text komentára Char1460"/>
    <w:aliases w:val="Char7 Char Char1461,Text komentára Char Char Char1461,Comment Text Char Char Char1461"/>
    <w:uiPriority w:val="99"/>
    <w:semiHidden/>
    <w:rPr>
      <w:rFonts w:ascii="Courier" w:hAnsi="Courier"/>
      <w:lang w:val="x-none" w:eastAsia="cs-CZ"/>
    </w:rPr>
  </w:style>
  <w:style w:type="character" w:customStyle="1" w:styleId="TextkomentraChar1459">
    <w:name w:val="Text komentára Char1459"/>
    <w:aliases w:val="Char7 Char Char1460,Text komentára Char Char Char1460,Comment Text Char Char Char1460"/>
    <w:uiPriority w:val="99"/>
    <w:semiHidden/>
    <w:rPr>
      <w:rFonts w:ascii="Courier" w:hAnsi="Courier"/>
      <w:lang w:val="x-none" w:eastAsia="cs-CZ"/>
    </w:rPr>
  </w:style>
  <w:style w:type="character" w:customStyle="1" w:styleId="TextkomentraChar1458">
    <w:name w:val="Text komentára Char1458"/>
    <w:aliases w:val="Char7 Char Char1459,Text komentára Char Char Char1459,Comment Text Char Char Char1459"/>
    <w:uiPriority w:val="99"/>
    <w:semiHidden/>
    <w:rPr>
      <w:rFonts w:ascii="Courier" w:hAnsi="Courier"/>
      <w:lang w:val="x-none" w:eastAsia="cs-CZ"/>
    </w:rPr>
  </w:style>
  <w:style w:type="character" w:customStyle="1" w:styleId="TextkomentraChar1457">
    <w:name w:val="Text komentára Char1457"/>
    <w:aliases w:val="Char7 Char Char1458,Text komentára Char Char Char1458,Comment Text Char Char Char1458"/>
    <w:uiPriority w:val="99"/>
    <w:semiHidden/>
    <w:rPr>
      <w:rFonts w:ascii="Courier" w:hAnsi="Courier"/>
      <w:lang w:val="x-none" w:eastAsia="cs-CZ"/>
    </w:rPr>
  </w:style>
  <w:style w:type="character" w:customStyle="1" w:styleId="TextkomentraChar1456">
    <w:name w:val="Text komentára Char1456"/>
    <w:aliases w:val="Char7 Char Char1457,Text komentára Char Char Char1457,Comment Text Char Char Char1457"/>
    <w:uiPriority w:val="99"/>
    <w:semiHidden/>
    <w:rPr>
      <w:rFonts w:ascii="Courier" w:hAnsi="Courier"/>
      <w:lang w:val="x-none" w:eastAsia="cs-CZ"/>
    </w:rPr>
  </w:style>
  <w:style w:type="character" w:customStyle="1" w:styleId="TextkomentraChar1455">
    <w:name w:val="Text komentára Char1455"/>
    <w:aliases w:val="Char7 Char Char1456,Text komentára Char Char Char1456,Comment Text Char Char Char1456"/>
    <w:uiPriority w:val="99"/>
    <w:semiHidden/>
    <w:rPr>
      <w:rFonts w:ascii="Courier" w:hAnsi="Courier"/>
      <w:lang w:val="x-none" w:eastAsia="cs-CZ"/>
    </w:rPr>
  </w:style>
  <w:style w:type="character" w:customStyle="1" w:styleId="TextkomentraChar1454">
    <w:name w:val="Text komentára Char1454"/>
    <w:aliases w:val="Char7 Char Char1455,Text komentára Char Char Char1455,Comment Text Char Char Char1455"/>
    <w:uiPriority w:val="99"/>
    <w:semiHidden/>
    <w:rPr>
      <w:rFonts w:ascii="Courier" w:hAnsi="Courier"/>
      <w:lang w:val="x-none" w:eastAsia="cs-CZ"/>
    </w:rPr>
  </w:style>
  <w:style w:type="character" w:customStyle="1" w:styleId="TextkomentraChar1453">
    <w:name w:val="Text komentára Char1453"/>
    <w:aliases w:val="Char7 Char Char1454,Text komentára Char Char Char1454,Comment Text Char Char Char1454"/>
    <w:uiPriority w:val="99"/>
    <w:semiHidden/>
    <w:rPr>
      <w:rFonts w:ascii="Courier" w:hAnsi="Courier"/>
      <w:lang w:val="x-none" w:eastAsia="cs-CZ"/>
    </w:rPr>
  </w:style>
  <w:style w:type="character" w:customStyle="1" w:styleId="TextkomentraChar1452">
    <w:name w:val="Text komentára Char1452"/>
    <w:aliases w:val="Char7 Char Char1453,Text komentára Char Char Char1453,Comment Text Char Char Char1453"/>
    <w:uiPriority w:val="99"/>
    <w:semiHidden/>
    <w:rPr>
      <w:rFonts w:ascii="Courier" w:hAnsi="Courier"/>
      <w:lang w:val="x-none" w:eastAsia="cs-CZ"/>
    </w:rPr>
  </w:style>
  <w:style w:type="character" w:customStyle="1" w:styleId="TextkomentraChar1451">
    <w:name w:val="Text komentára Char1451"/>
    <w:aliases w:val="Char7 Char Char1452,Text komentára Char Char Char1452,Comment Text Char Char Char1452"/>
    <w:uiPriority w:val="99"/>
    <w:semiHidden/>
    <w:rPr>
      <w:rFonts w:ascii="Courier" w:hAnsi="Courier"/>
      <w:lang w:val="x-none" w:eastAsia="cs-CZ"/>
    </w:rPr>
  </w:style>
  <w:style w:type="character" w:customStyle="1" w:styleId="TextkomentraChar1450">
    <w:name w:val="Text komentára Char1450"/>
    <w:aliases w:val="Char7 Char Char1451,Text komentára Char Char Char1451,Comment Text Char Char Char1451"/>
    <w:uiPriority w:val="99"/>
    <w:semiHidden/>
    <w:rPr>
      <w:rFonts w:ascii="Courier" w:hAnsi="Courier"/>
      <w:lang w:val="x-none" w:eastAsia="cs-CZ"/>
    </w:rPr>
  </w:style>
  <w:style w:type="character" w:customStyle="1" w:styleId="TextkomentraChar1449">
    <w:name w:val="Text komentára Char1449"/>
    <w:aliases w:val="Char7 Char Char1450,Text komentára Char Char Char1450,Comment Text Char Char Char1450"/>
    <w:uiPriority w:val="99"/>
    <w:semiHidden/>
    <w:rPr>
      <w:rFonts w:ascii="Courier" w:hAnsi="Courier"/>
      <w:lang w:val="x-none" w:eastAsia="cs-CZ"/>
    </w:rPr>
  </w:style>
  <w:style w:type="character" w:customStyle="1" w:styleId="TextkomentraChar1448">
    <w:name w:val="Text komentára Char1448"/>
    <w:aliases w:val="Char7 Char Char1449,Text komentára Char Char Char1449,Comment Text Char Char Char1449"/>
    <w:uiPriority w:val="99"/>
    <w:semiHidden/>
    <w:rPr>
      <w:rFonts w:ascii="Courier" w:hAnsi="Courier"/>
      <w:lang w:val="x-none" w:eastAsia="cs-CZ"/>
    </w:rPr>
  </w:style>
  <w:style w:type="character" w:customStyle="1" w:styleId="TextkomentraChar1447">
    <w:name w:val="Text komentára Char1447"/>
    <w:aliases w:val="Char7 Char Char1448,Text komentára Char Char Char1448,Comment Text Char Char Char1448"/>
    <w:uiPriority w:val="99"/>
    <w:semiHidden/>
    <w:rPr>
      <w:rFonts w:ascii="Courier" w:hAnsi="Courier"/>
      <w:lang w:val="x-none" w:eastAsia="cs-CZ"/>
    </w:rPr>
  </w:style>
  <w:style w:type="character" w:customStyle="1" w:styleId="TextkomentraChar1446">
    <w:name w:val="Text komentára Char1446"/>
    <w:aliases w:val="Char7 Char Char1447,Text komentára Char Char Char1447,Comment Text Char Char Char1447"/>
    <w:uiPriority w:val="99"/>
    <w:semiHidden/>
    <w:rPr>
      <w:rFonts w:ascii="Courier" w:hAnsi="Courier"/>
      <w:lang w:val="x-none" w:eastAsia="cs-CZ"/>
    </w:rPr>
  </w:style>
  <w:style w:type="character" w:customStyle="1" w:styleId="TextkomentraChar1445">
    <w:name w:val="Text komentára Char1445"/>
    <w:aliases w:val="Char7 Char Char1446,Text komentára Char Char Char1446,Comment Text Char Char Char1446"/>
    <w:uiPriority w:val="99"/>
    <w:semiHidden/>
    <w:rPr>
      <w:rFonts w:ascii="Courier" w:hAnsi="Courier"/>
      <w:lang w:val="x-none" w:eastAsia="cs-CZ"/>
    </w:rPr>
  </w:style>
  <w:style w:type="character" w:customStyle="1" w:styleId="TextkomentraChar1444">
    <w:name w:val="Text komentára Char1444"/>
    <w:aliases w:val="Char7 Char Char1445,Text komentára Char Char Char1445,Comment Text Char Char Char1445"/>
    <w:uiPriority w:val="99"/>
    <w:semiHidden/>
    <w:rPr>
      <w:rFonts w:ascii="Courier" w:hAnsi="Courier"/>
      <w:lang w:val="x-none" w:eastAsia="cs-CZ"/>
    </w:rPr>
  </w:style>
  <w:style w:type="character" w:customStyle="1" w:styleId="TextkomentraChar1443">
    <w:name w:val="Text komentára Char1443"/>
    <w:aliases w:val="Char7 Char Char1444,Text komentára Char Char Char1444,Comment Text Char Char Char1444"/>
    <w:uiPriority w:val="99"/>
    <w:semiHidden/>
    <w:rPr>
      <w:rFonts w:ascii="Courier" w:hAnsi="Courier"/>
      <w:lang w:val="x-none" w:eastAsia="cs-CZ"/>
    </w:rPr>
  </w:style>
  <w:style w:type="character" w:customStyle="1" w:styleId="TextkomentraChar1442">
    <w:name w:val="Text komentára Char1442"/>
    <w:aliases w:val="Char7 Char Char1443,Text komentára Char Char Char1443,Comment Text Char Char Char1443"/>
    <w:uiPriority w:val="99"/>
    <w:semiHidden/>
    <w:rPr>
      <w:rFonts w:ascii="Courier" w:hAnsi="Courier"/>
      <w:lang w:val="x-none" w:eastAsia="cs-CZ"/>
    </w:rPr>
  </w:style>
  <w:style w:type="character" w:customStyle="1" w:styleId="TextkomentraChar1441">
    <w:name w:val="Text komentára Char1441"/>
    <w:aliases w:val="Char7 Char Char1442,Text komentára Char Char Char1442,Comment Text Char Char Char1442"/>
    <w:uiPriority w:val="99"/>
    <w:semiHidden/>
    <w:rPr>
      <w:rFonts w:ascii="Courier" w:hAnsi="Courier"/>
      <w:lang w:val="x-none" w:eastAsia="cs-CZ"/>
    </w:rPr>
  </w:style>
  <w:style w:type="character" w:customStyle="1" w:styleId="TextkomentraChar1440">
    <w:name w:val="Text komentára Char1440"/>
    <w:aliases w:val="Char7 Char Char1441,Text komentára Char Char Char1441,Comment Text Char Char Char1441"/>
    <w:uiPriority w:val="99"/>
    <w:semiHidden/>
    <w:rPr>
      <w:rFonts w:ascii="Courier" w:hAnsi="Courier"/>
      <w:lang w:val="x-none" w:eastAsia="cs-CZ"/>
    </w:rPr>
  </w:style>
  <w:style w:type="character" w:customStyle="1" w:styleId="TextkomentraChar1439">
    <w:name w:val="Text komentára Char1439"/>
    <w:aliases w:val="Char7 Char Char1440,Text komentára Char Char Char1440,Comment Text Char Char Char1440"/>
    <w:uiPriority w:val="99"/>
    <w:semiHidden/>
    <w:rPr>
      <w:rFonts w:ascii="Courier" w:hAnsi="Courier"/>
      <w:lang w:val="x-none" w:eastAsia="cs-CZ"/>
    </w:rPr>
  </w:style>
  <w:style w:type="character" w:customStyle="1" w:styleId="TextkomentraChar1438">
    <w:name w:val="Text komentára Char1438"/>
    <w:aliases w:val="Char7 Char Char1439,Text komentára Char Char Char1439,Comment Text Char Char Char1439"/>
    <w:uiPriority w:val="99"/>
    <w:semiHidden/>
    <w:rPr>
      <w:rFonts w:ascii="Courier" w:hAnsi="Courier"/>
      <w:lang w:val="x-none" w:eastAsia="cs-CZ"/>
    </w:rPr>
  </w:style>
  <w:style w:type="character" w:customStyle="1" w:styleId="TextkomentraChar1437">
    <w:name w:val="Text komentára Char1437"/>
    <w:aliases w:val="Char7 Char Char1438,Text komentára Char Char Char1438,Comment Text Char Char Char1438"/>
    <w:uiPriority w:val="99"/>
    <w:semiHidden/>
    <w:rPr>
      <w:rFonts w:ascii="Courier" w:hAnsi="Courier"/>
      <w:lang w:val="x-none" w:eastAsia="cs-CZ"/>
    </w:rPr>
  </w:style>
  <w:style w:type="character" w:customStyle="1" w:styleId="TextkomentraChar1436">
    <w:name w:val="Text komentára Char1436"/>
    <w:aliases w:val="Char7 Char Char1437,Text komentára Char Char Char1437,Comment Text Char Char Char1437"/>
    <w:uiPriority w:val="99"/>
    <w:semiHidden/>
    <w:rPr>
      <w:rFonts w:ascii="Courier" w:hAnsi="Courier"/>
      <w:lang w:val="x-none" w:eastAsia="cs-CZ"/>
    </w:rPr>
  </w:style>
  <w:style w:type="character" w:customStyle="1" w:styleId="TextkomentraChar1435">
    <w:name w:val="Text komentára Char1435"/>
    <w:aliases w:val="Char7 Char Char1436,Text komentára Char Char Char1436,Comment Text Char Char Char1436"/>
    <w:uiPriority w:val="99"/>
    <w:semiHidden/>
    <w:rPr>
      <w:rFonts w:ascii="Courier" w:hAnsi="Courier"/>
      <w:lang w:val="x-none" w:eastAsia="cs-CZ"/>
    </w:rPr>
  </w:style>
  <w:style w:type="character" w:customStyle="1" w:styleId="TextkomentraChar1434">
    <w:name w:val="Text komentára Char1434"/>
    <w:aliases w:val="Char7 Char Char1435,Text komentára Char Char Char1435,Comment Text Char Char Char1435"/>
    <w:uiPriority w:val="99"/>
    <w:semiHidden/>
    <w:rPr>
      <w:rFonts w:ascii="Courier" w:hAnsi="Courier"/>
      <w:lang w:val="x-none" w:eastAsia="cs-CZ"/>
    </w:rPr>
  </w:style>
  <w:style w:type="character" w:customStyle="1" w:styleId="TextkomentraChar1433">
    <w:name w:val="Text komentára Char1433"/>
    <w:aliases w:val="Char7 Char Char1434,Text komentára Char Char Char1434,Comment Text Char Char Char1434"/>
    <w:uiPriority w:val="99"/>
    <w:semiHidden/>
    <w:rPr>
      <w:rFonts w:ascii="Courier" w:hAnsi="Courier"/>
      <w:lang w:val="x-none" w:eastAsia="cs-CZ"/>
    </w:rPr>
  </w:style>
  <w:style w:type="character" w:customStyle="1" w:styleId="TextkomentraChar1432">
    <w:name w:val="Text komentára Char1432"/>
    <w:aliases w:val="Char7 Char Char1433,Text komentára Char Char Char1433,Comment Text Char Char Char1433"/>
    <w:uiPriority w:val="99"/>
    <w:semiHidden/>
    <w:rPr>
      <w:rFonts w:ascii="Courier" w:hAnsi="Courier"/>
      <w:lang w:val="x-none" w:eastAsia="cs-CZ"/>
    </w:rPr>
  </w:style>
  <w:style w:type="character" w:customStyle="1" w:styleId="TextkomentraChar1431">
    <w:name w:val="Text komentára Char1431"/>
    <w:aliases w:val="Char7 Char Char1432,Text komentára Char Char Char1432,Comment Text Char Char Char1432"/>
    <w:uiPriority w:val="99"/>
    <w:semiHidden/>
    <w:rPr>
      <w:rFonts w:ascii="Courier" w:hAnsi="Courier"/>
      <w:lang w:val="x-none" w:eastAsia="cs-CZ"/>
    </w:rPr>
  </w:style>
  <w:style w:type="character" w:customStyle="1" w:styleId="TextkomentraChar1430">
    <w:name w:val="Text komentára Char1430"/>
    <w:aliases w:val="Char7 Char Char1431,Text komentára Char Char Char1431,Comment Text Char Char Char1431"/>
    <w:uiPriority w:val="99"/>
    <w:semiHidden/>
    <w:rPr>
      <w:rFonts w:ascii="Courier" w:hAnsi="Courier"/>
      <w:lang w:val="x-none" w:eastAsia="cs-CZ"/>
    </w:rPr>
  </w:style>
  <w:style w:type="character" w:customStyle="1" w:styleId="TextkomentraChar1429">
    <w:name w:val="Text komentára Char1429"/>
    <w:aliases w:val="Char7 Char Char1430,Text komentára Char Char Char1430,Comment Text Char Char Char1430"/>
    <w:uiPriority w:val="99"/>
    <w:semiHidden/>
    <w:rPr>
      <w:rFonts w:ascii="Courier" w:hAnsi="Courier"/>
      <w:lang w:val="x-none" w:eastAsia="cs-CZ"/>
    </w:rPr>
  </w:style>
  <w:style w:type="character" w:customStyle="1" w:styleId="TextkomentraChar1428">
    <w:name w:val="Text komentára Char1428"/>
    <w:aliases w:val="Char7 Char Char1429,Text komentára Char Char Char1429,Comment Text Char Char Char1429"/>
    <w:uiPriority w:val="99"/>
    <w:semiHidden/>
    <w:rPr>
      <w:rFonts w:ascii="Courier" w:hAnsi="Courier"/>
      <w:lang w:val="x-none" w:eastAsia="cs-CZ"/>
    </w:rPr>
  </w:style>
  <w:style w:type="character" w:customStyle="1" w:styleId="TextkomentraChar1427">
    <w:name w:val="Text komentára Char1427"/>
    <w:aliases w:val="Char7 Char Char1428,Text komentára Char Char Char1428,Comment Text Char Char Char1428"/>
    <w:uiPriority w:val="99"/>
    <w:semiHidden/>
    <w:rPr>
      <w:rFonts w:ascii="Courier" w:hAnsi="Courier"/>
      <w:lang w:val="x-none" w:eastAsia="cs-CZ"/>
    </w:rPr>
  </w:style>
  <w:style w:type="character" w:customStyle="1" w:styleId="TextkomentraChar1426">
    <w:name w:val="Text komentára Char1426"/>
    <w:aliases w:val="Char7 Char Char1427,Text komentára Char Char Char1427,Comment Text Char Char Char1427"/>
    <w:uiPriority w:val="99"/>
    <w:semiHidden/>
    <w:rPr>
      <w:rFonts w:ascii="Courier" w:hAnsi="Courier"/>
      <w:lang w:val="x-none" w:eastAsia="cs-CZ"/>
    </w:rPr>
  </w:style>
  <w:style w:type="character" w:customStyle="1" w:styleId="TextkomentraChar1425">
    <w:name w:val="Text komentára Char1425"/>
    <w:aliases w:val="Char7 Char Char1426,Text komentára Char Char Char1426,Comment Text Char Char Char1426"/>
    <w:uiPriority w:val="99"/>
    <w:semiHidden/>
    <w:rPr>
      <w:rFonts w:ascii="Courier" w:hAnsi="Courier"/>
      <w:lang w:val="x-none" w:eastAsia="cs-CZ"/>
    </w:rPr>
  </w:style>
  <w:style w:type="character" w:customStyle="1" w:styleId="TextkomentraChar1424">
    <w:name w:val="Text komentára Char1424"/>
    <w:aliases w:val="Char7 Char Char1425,Text komentára Char Char Char1425,Comment Text Char Char Char1425"/>
    <w:uiPriority w:val="99"/>
    <w:semiHidden/>
    <w:rPr>
      <w:rFonts w:ascii="Courier" w:hAnsi="Courier"/>
      <w:lang w:val="x-none" w:eastAsia="cs-CZ"/>
    </w:rPr>
  </w:style>
  <w:style w:type="character" w:customStyle="1" w:styleId="TextkomentraChar1423">
    <w:name w:val="Text komentára Char1423"/>
    <w:aliases w:val="Char7 Char Char1424,Text komentára Char Char Char1424,Comment Text Char Char Char1424"/>
    <w:uiPriority w:val="99"/>
    <w:semiHidden/>
    <w:rPr>
      <w:rFonts w:ascii="Courier" w:hAnsi="Courier"/>
      <w:lang w:val="x-none" w:eastAsia="cs-CZ"/>
    </w:rPr>
  </w:style>
  <w:style w:type="character" w:customStyle="1" w:styleId="TextkomentraChar1422">
    <w:name w:val="Text komentára Char1422"/>
    <w:aliases w:val="Char7 Char Char1423,Text komentára Char Char Char1423,Comment Text Char Char Char1423"/>
    <w:uiPriority w:val="99"/>
    <w:semiHidden/>
    <w:rPr>
      <w:rFonts w:ascii="Courier" w:hAnsi="Courier"/>
      <w:lang w:val="x-none" w:eastAsia="cs-CZ"/>
    </w:rPr>
  </w:style>
  <w:style w:type="character" w:customStyle="1" w:styleId="TextkomentraChar1421">
    <w:name w:val="Text komentára Char1421"/>
    <w:aliases w:val="Char7 Char Char1422,Text komentára Char Char Char1422,Comment Text Char Char Char1422"/>
    <w:uiPriority w:val="99"/>
    <w:semiHidden/>
    <w:rPr>
      <w:rFonts w:ascii="Courier" w:hAnsi="Courier"/>
      <w:lang w:val="x-none" w:eastAsia="cs-CZ"/>
    </w:rPr>
  </w:style>
  <w:style w:type="character" w:customStyle="1" w:styleId="TextkomentraChar1420">
    <w:name w:val="Text komentára Char1420"/>
    <w:aliases w:val="Char7 Char Char1421,Text komentára Char Char Char1421,Comment Text Char Char Char1421"/>
    <w:uiPriority w:val="99"/>
    <w:semiHidden/>
    <w:rPr>
      <w:rFonts w:ascii="Courier" w:hAnsi="Courier"/>
      <w:lang w:val="x-none" w:eastAsia="cs-CZ"/>
    </w:rPr>
  </w:style>
  <w:style w:type="character" w:customStyle="1" w:styleId="TextkomentraChar1419">
    <w:name w:val="Text komentára Char1419"/>
    <w:aliases w:val="Char7 Char Char1420,Text komentára Char Char Char1420,Comment Text Char Char Char1420"/>
    <w:uiPriority w:val="99"/>
    <w:semiHidden/>
    <w:rPr>
      <w:rFonts w:ascii="Courier" w:hAnsi="Courier"/>
      <w:lang w:val="x-none" w:eastAsia="cs-CZ"/>
    </w:rPr>
  </w:style>
  <w:style w:type="character" w:customStyle="1" w:styleId="TextkomentraChar1418">
    <w:name w:val="Text komentára Char1418"/>
    <w:aliases w:val="Char7 Char Char1419,Text komentára Char Char Char1419,Comment Text Char Char Char1419"/>
    <w:uiPriority w:val="99"/>
    <w:semiHidden/>
    <w:rPr>
      <w:rFonts w:ascii="Courier" w:hAnsi="Courier"/>
      <w:lang w:val="x-none" w:eastAsia="cs-CZ"/>
    </w:rPr>
  </w:style>
  <w:style w:type="character" w:customStyle="1" w:styleId="TextkomentraChar1417">
    <w:name w:val="Text komentára Char1417"/>
    <w:aliases w:val="Char7 Char Char1418,Text komentára Char Char Char1418,Comment Text Char Char Char1418"/>
    <w:uiPriority w:val="99"/>
    <w:semiHidden/>
    <w:rPr>
      <w:rFonts w:ascii="Courier" w:hAnsi="Courier"/>
      <w:lang w:val="x-none" w:eastAsia="cs-CZ"/>
    </w:rPr>
  </w:style>
  <w:style w:type="character" w:customStyle="1" w:styleId="TextkomentraChar1416">
    <w:name w:val="Text komentára Char1416"/>
    <w:aliases w:val="Char7 Char Char1417,Text komentára Char Char Char1417,Comment Text Char Char Char1417"/>
    <w:uiPriority w:val="99"/>
    <w:semiHidden/>
    <w:rPr>
      <w:rFonts w:ascii="Courier" w:hAnsi="Courier"/>
      <w:lang w:val="x-none" w:eastAsia="cs-CZ"/>
    </w:rPr>
  </w:style>
  <w:style w:type="character" w:customStyle="1" w:styleId="TextkomentraChar1415">
    <w:name w:val="Text komentára Char1415"/>
    <w:aliases w:val="Char7 Char Char1416,Text komentára Char Char Char1416,Comment Text Char Char Char1416"/>
    <w:uiPriority w:val="99"/>
    <w:semiHidden/>
    <w:rPr>
      <w:rFonts w:ascii="Courier" w:hAnsi="Courier"/>
      <w:lang w:val="x-none" w:eastAsia="cs-CZ"/>
    </w:rPr>
  </w:style>
  <w:style w:type="character" w:customStyle="1" w:styleId="TextkomentraChar1414">
    <w:name w:val="Text komentára Char1414"/>
    <w:aliases w:val="Char7 Char Char1415,Text komentára Char Char Char1415,Comment Text Char Char Char1415"/>
    <w:uiPriority w:val="99"/>
    <w:semiHidden/>
    <w:rPr>
      <w:rFonts w:ascii="Courier" w:hAnsi="Courier"/>
      <w:lang w:val="x-none" w:eastAsia="cs-CZ"/>
    </w:rPr>
  </w:style>
  <w:style w:type="character" w:customStyle="1" w:styleId="TextkomentraChar1413">
    <w:name w:val="Text komentára Char1413"/>
    <w:aliases w:val="Char7 Char Char1414,Text komentára Char Char Char1414,Comment Text Char Char Char1414"/>
    <w:uiPriority w:val="99"/>
    <w:semiHidden/>
    <w:rPr>
      <w:rFonts w:ascii="Courier" w:hAnsi="Courier"/>
      <w:lang w:val="x-none" w:eastAsia="cs-CZ"/>
    </w:rPr>
  </w:style>
  <w:style w:type="character" w:customStyle="1" w:styleId="TextkomentraChar1412">
    <w:name w:val="Text komentára Char1412"/>
    <w:aliases w:val="Char7 Char Char1413,Text komentára Char Char Char1413,Comment Text Char Char Char1413"/>
    <w:uiPriority w:val="99"/>
    <w:semiHidden/>
    <w:rPr>
      <w:rFonts w:ascii="Courier" w:hAnsi="Courier"/>
      <w:lang w:val="x-none" w:eastAsia="cs-CZ"/>
    </w:rPr>
  </w:style>
  <w:style w:type="character" w:customStyle="1" w:styleId="TextkomentraChar1411">
    <w:name w:val="Text komentára Char1411"/>
    <w:aliases w:val="Char7 Char Char1412,Text komentára Char Char Char1412,Comment Text Char Char Char1412"/>
    <w:uiPriority w:val="99"/>
    <w:semiHidden/>
    <w:rPr>
      <w:rFonts w:ascii="Courier" w:hAnsi="Courier"/>
      <w:lang w:val="x-none" w:eastAsia="cs-CZ"/>
    </w:rPr>
  </w:style>
  <w:style w:type="character" w:customStyle="1" w:styleId="TextkomentraChar1410">
    <w:name w:val="Text komentára Char1410"/>
    <w:aliases w:val="Char7 Char Char1411,Text komentára Char Char Char1411,Comment Text Char Char Char1411"/>
    <w:uiPriority w:val="99"/>
    <w:semiHidden/>
    <w:rPr>
      <w:rFonts w:ascii="Courier" w:hAnsi="Courier"/>
      <w:lang w:val="x-none" w:eastAsia="cs-CZ"/>
    </w:rPr>
  </w:style>
  <w:style w:type="character" w:customStyle="1" w:styleId="TextkomentraChar1409">
    <w:name w:val="Text komentára Char1409"/>
    <w:aliases w:val="Char7 Char Char1410,Text komentára Char Char Char1410,Comment Text Char Char Char1410"/>
    <w:uiPriority w:val="99"/>
    <w:semiHidden/>
    <w:rPr>
      <w:rFonts w:ascii="Courier" w:hAnsi="Courier"/>
      <w:lang w:val="x-none" w:eastAsia="cs-CZ"/>
    </w:rPr>
  </w:style>
  <w:style w:type="character" w:customStyle="1" w:styleId="TextkomentraChar1408">
    <w:name w:val="Text komentára Char1408"/>
    <w:aliases w:val="Char7 Char Char1409,Text komentára Char Char Char1409,Comment Text Char Char Char1409"/>
    <w:uiPriority w:val="99"/>
    <w:semiHidden/>
    <w:rPr>
      <w:rFonts w:ascii="Courier" w:hAnsi="Courier"/>
      <w:lang w:val="x-none" w:eastAsia="cs-CZ"/>
    </w:rPr>
  </w:style>
  <w:style w:type="character" w:customStyle="1" w:styleId="TextkomentraChar1407">
    <w:name w:val="Text komentára Char1407"/>
    <w:aliases w:val="Char7 Char Char1408,Text komentára Char Char Char1408,Comment Text Char Char Char1408"/>
    <w:uiPriority w:val="99"/>
    <w:semiHidden/>
    <w:rPr>
      <w:rFonts w:ascii="Courier" w:hAnsi="Courier"/>
      <w:lang w:val="x-none" w:eastAsia="cs-CZ"/>
    </w:rPr>
  </w:style>
  <w:style w:type="character" w:customStyle="1" w:styleId="TextkomentraChar1406">
    <w:name w:val="Text komentára Char1406"/>
    <w:aliases w:val="Char7 Char Char1407,Text komentára Char Char Char1407,Comment Text Char Char Char1407"/>
    <w:uiPriority w:val="99"/>
    <w:semiHidden/>
    <w:rPr>
      <w:rFonts w:ascii="Courier" w:hAnsi="Courier"/>
      <w:lang w:val="x-none" w:eastAsia="cs-CZ"/>
    </w:rPr>
  </w:style>
  <w:style w:type="character" w:customStyle="1" w:styleId="TextkomentraChar1405">
    <w:name w:val="Text komentára Char1405"/>
    <w:aliases w:val="Char7 Char Char1406,Text komentára Char Char Char1406,Comment Text Char Char Char1406"/>
    <w:uiPriority w:val="99"/>
    <w:semiHidden/>
    <w:rPr>
      <w:rFonts w:ascii="Courier" w:hAnsi="Courier"/>
      <w:lang w:val="x-none" w:eastAsia="cs-CZ"/>
    </w:rPr>
  </w:style>
  <w:style w:type="character" w:customStyle="1" w:styleId="TextkomentraChar1404">
    <w:name w:val="Text komentára Char1404"/>
    <w:aliases w:val="Char7 Char Char1405,Text komentára Char Char Char1405,Comment Text Char Char Char1405"/>
    <w:uiPriority w:val="99"/>
    <w:semiHidden/>
    <w:rPr>
      <w:rFonts w:ascii="Courier" w:hAnsi="Courier"/>
      <w:lang w:val="x-none" w:eastAsia="cs-CZ"/>
    </w:rPr>
  </w:style>
  <w:style w:type="character" w:customStyle="1" w:styleId="TextkomentraChar1403">
    <w:name w:val="Text komentára Char1403"/>
    <w:aliases w:val="Char7 Char Char1404,Text komentára Char Char Char1404,Comment Text Char Char Char1404"/>
    <w:uiPriority w:val="99"/>
    <w:semiHidden/>
    <w:rPr>
      <w:rFonts w:ascii="Courier" w:hAnsi="Courier"/>
      <w:lang w:val="x-none" w:eastAsia="cs-CZ"/>
    </w:rPr>
  </w:style>
  <w:style w:type="character" w:customStyle="1" w:styleId="TextkomentraChar1402">
    <w:name w:val="Text komentára Char1402"/>
    <w:aliases w:val="Char7 Char Char1403,Text komentára Char Char Char1403,Comment Text Char Char Char1403"/>
    <w:uiPriority w:val="99"/>
    <w:semiHidden/>
    <w:rPr>
      <w:rFonts w:ascii="Courier" w:hAnsi="Courier"/>
      <w:lang w:val="x-none" w:eastAsia="cs-CZ"/>
    </w:rPr>
  </w:style>
  <w:style w:type="character" w:customStyle="1" w:styleId="TextkomentraChar1401">
    <w:name w:val="Text komentára Char1401"/>
    <w:aliases w:val="Char7 Char Char1402,Text komentára Char Char Char1402,Comment Text Char Char Char1402"/>
    <w:uiPriority w:val="99"/>
    <w:semiHidden/>
    <w:rPr>
      <w:rFonts w:ascii="Courier" w:hAnsi="Courier"/>
      <w:lang w:val="x-none" w:eastAsia="cs-CZ"/>
    </w:rPr>
  </w:style>
  <w:style w:type="character" w:customStyle="1" w:styleId="TextkomentraChar1400">
    <w:name w:val="Text komentára Char1400"/>
    <w:aliases w:val="Char7 Char Char1401,Text komentára Char Char Char1401,Comment Text Char Char Char1401"/>
    <w:uiPriority w:val="99"/>
    <w:semiHidden/>
    <w:rPr>
      <w:rFonts w:ascii="Courier" w:hAnsi="Courier"/>
      <w:lang w:val="x-none" w:eastAsia="cs-CZ"/>
    </w:rPr>
  </w:style>
  <w:style w:type="character" w:customStyle="1" w:styleId="TextkomentraChar1399">
    <w:name w:val="Text komentára Char1399"/>
    <w:aliases w:val="Char7 Char Char1400,Text komentára Char Char Char1400,Comment Text Char Char Char1400"/>
    <w:uiPriority w:val="99"/>
    <w:semiHidden/>
    <w:rPr>
      <w:rFonts w:ascii="Courier" w:hAnsi="Courier"/>
      <w:lang w:val="x-none" w:eastAsia="cs-CZ"/>
    </w:rPr>
  </w:style>
  <w:style w:type="character" w:customStyle="1" w:styleId="TextkomentraChar1398">
    <w:name w:val="Text komentára Char1398"/>
    <w:aliases w:val="Char7 Char Char1399,Text komentára Char Char Char1399,Comment Text Char Char Char1399"/>
    <w:uiPriority w:val="99"/>
    <w:semiHidden/>
    <w:rPr>
      <w:rFonts w:ascii="Courier" w:hAnsi="Courier"/>
      <w:lang w:val="x-none" w:eastAsia="cs-CZ"/>
    </w:rPr>
  </w:style>
  <w:style w:type="character" w:customStyle="1" w:styleId="TextkomentraChar1397">
    <w:name w:val="Text komentára Char1397"/>
    <w:aliases w:val="Char7 Char Char1398,Text komentára Char Char Char1398,Comment Text Char Char Char1398"/>
    <w:uiPriority w:val="99"/>
    <w:semiHidden/>
    <w:rPr>
      <w:rFonts w:ascii="Courier" w:hAnsi="Courier"/>
      <w:lang w:val="x-none" w:eastAsia="cs-CZ"/>
    </w:rPr>
  </w:style>
  <w:style w:type="character" w:customStyle="1" w:styleId="TextkomentraChar1396">
    <w:name w:val="Text komentára Char1396"/>
    <w:aliases w:val="Char7 Char Char1397,Text komentára Char Char Char1397,Comment Text Char Char Char1397"/>
    <w:uiPriority w:val="99"/>
    <w:semiHidden/>
    <w:rPr>
      <w:rFonts w:ascii="Courier" w:hAnsi="Courier"/>
      <w:lang w:val="x-none" w:eastAsia="cs-CZ"/>
    </w:rPr>
  </w:style>
  <w:style w:type="character" w:customStyle="1" w:styleId="TextkomentraChar1395">
    <w:name w:val="Text komentára Char1395"/>
    <w:aliases w:val="Char7 Char Char1396,Text komentára Char Char Char1396,Comment Text Char Char Char1396"/>
    <w:uiPriority w:val="99"/>
    <w:semiHidden/>
    <w:rPr>
      <w:rFonts w:ascii="Courier" w:hAnsi="Courier"/>
      <w:lang w:val="x-none" w:eastAsia="cs-CZ"/>
    </w:rPr>
  </w:style>
  <w:style w:type="character" w:customStyle="1" w:styleId="TextkomentraChar1394">
    <w:name w:val="Text komentára Char1394"/>
    <w:aliases w:val="Char7 Char Char1395,Text komentára Char Char Char1395,Comment Text Char Char Char1395"/>
    <w:uiPriority w:val="99"/>
    <w:semiHidden/>
    <w:rPr>
      <w:rFonts w:ascii="Courier" w:hAnsi="Courier"/>
      <w:lang w:val="x-none" w:eastAsia="cs-CZ"/>
    </w:rPr>
  </w:style>
  <w:style w:type="character" w:customStyle="1" w:styleId="TextkomentraChar1393">
    <w:name w:val="Text komentára Char1393"/>
    <w:aliases w:val="Char7 Char Char1394,Text komentára Char Char Char1394,Comment Text Char Char Char1394"/>
    <w:uiPriority w:val="99"/>
    <w:semiHidden/>
    <w:rPr>
      <w:rFonts w:ascii="Courier" w:hAnsi="Courier"/>
      <w:lang w:val="x-none" w:eastAsia="cs-CZ"/>
    </w:rPr>
  </w:style>
  <w:style w:type="character" w:customStyle="1" w:styleId="TextkomentraChar1392">
    <w:name w:val="Text komentára Char1392"/>
    <w:aliases w:val="Char7 Char Char1393,Text komentára Char Char Char1393,Comment Text Char Char Char1393"/>
    <w:uiPriority w:val="99"/>
    <w:semiHidden/>
    <w:rPr>
      <w:rFonts w:ascii="Courier" w:hAnsi="Courier"/>
      <w:lang w:val="x-none" w:eastAsia="cs-CZ"/>
    </w:rPr>
  </w:style>
  <w:style w:type="character" w:customStyle="1" w:styleId="TextkomentraChar1391">
    <w:name w:val="Text komentára Char1391"/>
    <w:aliases w:val="Char7 Char Char1392,Text komentára Char Char Char1392,Comment Text Char Char Char1392"/>
    <w:uiPriority w:val="99"/>
    <w:semiHidden/>
    <w:rPr>
      <w:rFonts w:ascii="Courier" w:hAnsi="Courier"/>
      <w:lang w:val="x-none" w:eastAsia="cs-CZ"/>
    </w:rPr>
  </w:style>
  <w:style w:type="character" w:customStyle="1" w:styleId="TextkomentraChar1390">
    <w:name w:val="Text komentára Char1390"/>
    <w:aliases w:val="Char7 Char Char1391,Text komentára Char Char Char1391,Comment Text Char Char Char1391"/>
    <w:uiPriority w:val="99"/>
    <w:semiHidden/>
    <w:rPr>
      <w:rFonts w:ascii="Courier" w:hAnsi="Courier"/>
      <w:lang w:val="x-none" w:eastAsia="cs-CZ"/>
    </w:rPr>
  </w:style>
  <w:style w:type="character" w:customStyle="1" w:styleId="TextkomentraChar1389">
    <w:name w:val="Text komentára Char1389"/>
    <w:aliases w:val="Char7 Char Char1390,Text komentára Char Char Char1390,Comment Text Char Char Char1390"/>
    <w:uiPriority w:val="99"/>
    <w:semiHidden/>
    <w:rPr>
      <w:rFonts w:ascii="Courier" w:hAnsi="Courier"/>
      <w:lang w:val="x-none" w:eastAsia="cs-CZ"/>
    </w:rPr>
  </w:style>
  <w:style w:type="character" w:customStyle="1" w:styleId="TextkomentraChar1388">
    <w:name w:val="Text komentára Char1388"/>
    <w:aliases w:val="Char7 Char Char1389,Text komentára Char Char Char1389,Comment Text Char Char Char1389"/>
    <w:uiPriority w:val="99"/>
    <w:semiHidden/>
    <w:rPr>
      <w:rFonts w:ascii="Courier" w:hAnsi="Courier"/>
      <w:lang w:val="x-none" w:eastAsia="cs-CZ"/>
    </w:rPr>
  </w:style>
  <w:style w:type="character" w:customStyle="1" w:styleId="TextkomentraChar1387">
    <w:name w:val="Text komentára Char1387"/>
    <w:aliases w:val="Char7 Char Char1388,Text komentára Char Char Char1388,Comment Text Char Char Char1388"/>
    <w:uiPriority w:val="99"/>
    <w:semiHidden/>
    <w:rPr>
      <w:rFonts w:ascii="Courier" w:hAnsi="Courier"/>
      <w:lang w:val="x-none" w:eastAsia="cs-CZ"/>
    </w:rPr>
  </w:style>
  <w:style w:type="character" w:customStyle="1" w:styleId="TextkomentraChar1386">
    <w:name w:val="Text komentára Char1386"/>
    <w:aliases w:val="Char7 Char Char1387,Text komentára Char Char Char1387,Comment Text Char Char Char1387"/>
    <w:uiPriority w:val="99"/>
    <w:semiHidden/>
    <w:rPr>
      <w:rFonts w:ascii="Courier" w:hAnsi="Courier"/>
      <w:lang w:val="x-none" w:eastAsia="cs-CZ"/>
    </w:rPr>
  </w:style>
  <w:style w:type="character" w:customStyle="1" w:styleId="TextkomentraChar1385">
    <w:name w:val="Text komentára Char1385"/>
    <w:aliases w:val="Char7 Char Char1386,Text komentára Char Char Char1386,Comment Text Char Char Char1386"/>
    <w:uiPriority w:val="99"/>
    <w:semiHidden/>
    <w:rPr>
      <w:rFonts w:ascii="Courier" w:hAnsi="Courier"/>
      <w:lang w:val="x-none" w:eastAsia="cs-CZ"/>
    </w:rPr>
  </w:style>
  <w:style w:type="character" w:customStyle="1" w:styleId="TextkomentraChar1384">
    <w:name w:val="Text komentára Char1384"/>
    <w:aliases w:val="Char7 Char Char1385,Text komentára Char Char Char1385,Comment Text Char Char Char1385"/>
    <w:uiPriority w:val="99"/>
    <w:semiHidden/>
    <w:rPr>
      <w:rFonts w:ascii="Courier" w:hAnsi="Courier"/>
      <w:lang w:val="x-none" w:eastAsia="cs-CZ"/>
    </w:rPr>
  </w:style>
  <w:style w:type="character" w:customStyle="1" w:styleId="TextkomentraChar1383">
    <w:name w:val="Text komentára Char1383"/>
    <w:aliases w:val="Char7 Char Char1384,Text komentára Char Char Char1384,Comment Text Char Char Char1384"/>
    <w:uiPriority w:val="99"/>
    <w:semiHidden/>
    <w:rPr>
      <w:rFonts w:ascii="Courier" w:hAnsi="Courier"/>
      <w:lang w:val="x-none" w:eastAsia="cs-CZ"/>
    </w:rPr>
  </w:style>
  <w:style w:type="character" w:customStyle="1" w:styleId="TextkomentraChar1382">
    <w:name w:val="Text komentára Char1382"/>
    <w:aliases w:val="Char7 Char Char1383,Text komentára Char Char Char1383,Comment Text Char Char Char1383"/>
    <w:uiPriority w:val="99"/>
    <w:semiHidden/>
    <w:rPr>
      <w:rFonts w:ascii="Courier" w:hAnsi="Courier"/>
      <w:lang w:val="x-none" w:eastAsia="cs-CZ"/>
    </w:rPr>
  </w:style>
  <w:style w:type="character" w:customStyle="1" w:styleId="TextkomentraChar1381">
    <w:name w:val="Text komentára Char1381"/>
    <w:aliases w:val="Char7 Char Char1382,Text komentára Char Char Char1382,Comment Text Char Char Char1382"/>
    <w:uiPriority w:val="99"/>
    <w:semiHidden/>
    <w:rPr>
      <w:rFonts w:ascii="Courier" w:hAnsi="Courier"/>
      <w:lang w:val="x-none" w:eastAsia="cs-CZ"/>
    </w:rPr>
  </w:style>
  <w:style w:type="character" w:customStyle="1" w:styleId="TextkomentraChar1380">
    <w:name w:val="Text komentára Char1380"/>
    <w:aliases w:val="Char7 Char Char1381,Text komentára Char Char Char1381,Comment Text Char Char Char1381"/>
    <w:uiPriority w:val="99"/>
    <w:semiHidden/>
    <w:rPr>
      <w:rFonts w:ascii="Courier" w:hAnsi="Courier"/>
      <w:lang w:val="x-none" w:eastAsia="cs-CZ"/>
    </w:rPr>
  </w:style>
  <w:style w:type="character" w:customStyle="1" w:styleId="TextkomentraChar1379">
    <w:name w:val="Text komentára Char1379"/>
    <w:aliases w:val="Char7 Char Char1380,Text komentára Char Char Char1380,Comment Text Char Char Char1380"/>
    <w:uiPriority w:val="99"/>
    <w:semiHidden/>
    <w:rPr>
      <w:rFonts w:ascii="Courier" w:hAnsi="Courier"/>
      <w:lang w:val="x-none" w:eastAsia="cs-CZ"/>
    </w:rPr>
  </w:style>
  <w:style w:type="character" w:customStyle="1" w:styleId="TextkomentraChar1378">
    <w:name w:val="Text komentára Char1378"/>
    <w:aliases w:val="Char7 Char Char1379,Text komentára Char Char Char1379,Comment Text Char Char Char1379"/>
    <w:uiPriority w:val="99"/>
    <w:semiHidden/>
    <w:rPr>
      <w:rFonts w:ascii="Courier" w:hAnsi="Courier"/>
      <w:lang w:val="x-none" w:eastAsia="cs-CZ"/>
    </w:rPr>
  </w:style>
  <w:style w:type="character" w:customStyle="1" w:styleId="TextkomentraChar1377">
    <w:name w:val="Text komentára Char1377"/>
    <w:aliases w:val="Char7 Char Char1378,Text komentára Char Char Char1378,Comment Text Char Char Char1378"/>
    <w:uiPriority w:val="99"/>
    <w:semiHidden/>
    <w:rPr>
      <w:rFonts w:ascii="Courier" w:hAnsi="Courier"/>
      <w:lang w:val="x-none" w:eastAsia="cs-CZ"/>
    </w:rPr>
  </w:style>
  <w:style w:type="character" w:customStyle="1" w:styleId="TextkomentraChar1376">
    <w:name w:val="Text komentára Char1376"/>
    <w:aliases w:val="Char7 Char Char1377,Text komentára Char Char Char1377,Comment Text Char Char Char1377"/>
    <w:uiPriority w:val="99"/>
    <w:semiHidden/>
    <w:rPr>
      <w:rFonts w:ascii="Courier" w:hAnsi="Courier"/>
      <w:lang w:val="x-none" w:eastAsia="cs-CZ"/>
    </w:rPr>
  </w:style>
  <w:style w:type="character" w:customStyle="1" w:styleId="TextkomentraChar1375">
    <w:name w:val="Text komentára Char1375"/>
    <w:aliases w:val="Char7 Char Char1376,Text komentára Char Char Char1376,Comment Text Char Char Char1376"/>
    <w:uiPriority w:val="99"/>
    <w:semiHidden/>
    <w:rPr>
      <w:rFonts w:ascii="Courier" w:hAnsi="Courier"/>
      <w:lang w:val="x-none" w:eastAsia="cs-CZ"/>
    </w:rPr>
  </w:style>
  <w:style w:type="character" w:customStyle="1" w:styleId="TextkomentraChar1374">
    <w:name w:val="Text komentára Char1374"/>
    <w:aliases w:val="Char7 Char Char1375,Text komentára Char Char Char1375,Comment Text Char Char Char1375"/>
    <w:uiPriority w:val="99"/>
    <w:semiHidden/>
    <w:rPr>
      <w:rFonts w:ascii="Courier" w:hAnsi="Courier"/>
      <w:lang w:val="x-none" w:eastAsia="cs-CZ"/>
    </w:rPr>
  </w:style>
  <w:style w:type="character" w:customStyle="1" w:styleId="TextkomentraChar1373">
    <w:name w:val="Text komentára Char1373"/>
    <w:aliases w:val="Char7 Char Char1374,Text komentára Char Char Char1374,Comment Text Char Char Char1374"/>
    <w:uiPriority w:val="99"/>
    <w:semiHidden/>
    <w:rPr>
      <w:rFonts w:ascii="Courier" w:hAnsi="Courier"/>
      <w:lang w:val="x-none" w:eastAsia="cs-CZ"/>
    </w:rPr>
  </w:style>
  <w:style w:type="character" w:customStyle="1" w:styleId="TextkomentraChar1372">
    <w:name w:val="Text komentára Char1372"/>
    <w:aliases w:val="Char7 Char Char1373,Text komentára Char Char Char1373,Comment Text Char Char Char1373"/>
    <w:uiPriority w:val="99"/>
    <w:semiHidden/>
    <w:rPr>
      <w:rFonts w:ascii="Courier" w:hAnsi="Courier"/>
      <w:lang w:val="x-none" w:eastAsia="cs-CZ"/>
    </w:rPr>
  </w:style>
  <w:style w:type="character" w:customStyle="1" w:styleId="TextkomentraChar1371">
    <w:name w:val="Text komentára Char1371"/>
    <w:aliases w:val="Char7 Char Char1372,Text komentára Char Char Char1372,Comment Text Char Char Char1372"/>
    <w:uiPriority w:val="99"/>
    <w:semiHidden/>
    <w:rPr>
      <w:rFonts w:ascii="Courier" w:hAnsi="Courier"/>
      <w:lang w:val="x-none" w:eastAsia="cs-CZ"/>
    </w:rPr>
  </w:style>
  <w:style w:type="character" w:customStyle="1" w:styleId="TextkomentraChar1370">
    <w:name w:val="Text komentára Char1370"/>
    <w:aliases w:val="Char7 Char Char1371,Text komentára Char Char Char1371,Comment Text Char Char Char1371"/>
    <w:uiPriority w:val="99"/>
    <w:semiHidden/>
    <w:rPr>
      <w:rFonts w:ascii="Courier" w:hAnsi="Courier"/>
      <w:lang w:val="x-none" w:eastAsia="cs-CZ"/>
    </w:rPr>
  </w:style>
  <w:style w:type="character" w:customStyle="1" w:styleId="TextkomentraChar1369">
    <w:name w:val="Text komentára Char1369"/>
    <w:aliases w:val="Char7 Char Char1370,Text komentára Char Char Char1370,Comment Text Char Char Char1370"/>
    <w:uiPriority w:val="99"/>
    <w:semiHidden/>
    <w:rPr>
      <w:rFonts w:ascii="Courier" w:hAnsi="Courier"/>
      <w:lang w:val="x-none" w:eastAsia="cs-CZ"/>
    </w:rPr>
  </w:style>
  <w:style w:type="character" w:customStyle="1" w:styleId="TextkomentraChar1368">
    <w:name w:val="Text komentára Char1368"/>
    <w:aliases w:val="Char7 Char Char1369,Text komentára Char Char Char1369,Comment Text Char Char Char1369"/>
    <w:uiPriority w:val="99"/>
    <w:semiHidden/>
    <w:rPr>
      <w:rFonts w:ascii="Courier" w:hAnsi="Courier"/>
      <w:lang w:val="x-none" w:eastAsia="cs-CZ"/>
    </w:rPr>
  </w:style>
  <w:style w:type="character" w:customStyle="1" w:styleId="TextkomentraChar1367">
    <w:name w:val="Text komentára Char1367"/>
    <w:aliases w:val="Char7 Char Char1368,Text komentára Char Char Char1368,Comment Text Char Char Char1368"/>
    <w:uiPriority w:val="99"/>
    <w:semiHidden/>
    <w:rPr>
      <w:rFonts w:ascii="Courier" w:hAnsi="Courier"/>
      <w:lang w:val="x-none" w:eastAsia="cs-CZ"/>
    </w:rPr>
  </w:style>
  <w:style w:type="character" w:customStyle="1" w:styleId="TextkomentraChar1366">
    <w:name w:val="Text komentára Char1366"/>
    <w:aliases w:val="Char7 Char Char1367,Text komentára Char Char Char1367,Comment Text Char Char Char1367"/>
    <w:uiPriority w:val="99"/>
    <w:semiHidden/>
    <w:rPr>
      <w:rFonts w:ascii="Courier" w:hAnsi="Courier"/>
      <w:lang w:val="x-none" w:eastAsia="cs-CZ"/>
    </w:rPr>
  </w:style>
  <w:style w:type="character" w:customStyle="1" w:styleId="TextkomentraChar1365">
    <w:name w:val="Text komentára Char1365"/>
    <w:aliases w:val="Char7 Char Char1366,Text komentára Char Char Char1366,Comment Text Char Char Char1366"/>
    <w:uiPriority w:val="99"/>
    <w:semiHidden/>
    <w:rPr>
      <w:rFonts w:ascii="Courier" w:hAnsi="Courier"/>
      <w:lang w:val="x-none" w:eastAsia="cs-CZ"/>
    </w:rPr>
  </w:style>
  <w:style w:type="character" w:customStyle="1" w:styleId="TextkomentraChar1364">
    <w:name w:val="Text komentára Char1364"/>
    <w:aliases w:val="Char7 Char Char1365,Text komentára Char Char Char1365,Comment Text Char Char Char1365"/>
    <w:uiPriority w:val="99"/>
    <w:semiHidden/>
    <w:rPr>
      <w:rFonts w:ascii="Courier" w:hAnsi="Courier"/>
      <w:lang w:val="x-none" w:eastAsia="cs-CZ"/>
    </w:rPr>
  </w:style>
  <w:style w:type="character" w:customStyle="1" w:styleId="TextkomentraChar1363">
    <w:name w:val="Text komentára Char1363"/>
    <w:aliases w:val="Char7 Char Char1364,Text komentára Char Char Char1364,Comment Text Char Char Char1364"/>
    <w:uiPriority w:val="99"/>
    <w:semiHidden/>
    <w:rPr>
      <w:rFonts w:ascii="Courier" w:hAnsi="Courier"/>
      <w:lang w:val="x-none" w:eastAsia="cs-CZ"/>
    </w:rPr>
  </w:style>
  <w:style w:type="character" w:customStyle="1" w:styleId="TextkomentraChar1362">
    <w:name w:val="Text komentára Char1362"/>
    <w:aliases w:val="Char7 Char Char1363,Text komentára Char Char Char1363,Comment Text Char Char Char1363"/>
    <w:uiPriority w:val="99"/>
    <w:semiHidden/>
    <w:rPr>
      <w:rFonts w:ascii="Courier" w:hAnsi="Courier"/>
      <w:lang w:val="x-none" w:eastAsia="cs-CZ"/>
    </w:rPr>
  </w:style>
  <w:style w:type="character" w:customStyle="1" w:styleId="TextkomentraChar1361">
    <w:name w:val="Text komentára Char1361"/>
    <w:aliases w:val="Char7 Char Char1362,Text komentára Char Char Char1362,Comment Text Char Char Char1362"/>
    <w:uiPriority w:val="99"/>
    <w:semiHidden/>
    <w:rPr>
      <w:rFonts w:ascii="Courier" w:hAnsi="Courier"/>
      <w:lang w:val="x-none" w:eastAsia="cs-CZ"/>
    </w:rPr>
  </w:style>
  <w:style w:type="character" w:customStyle="1" w:styleId="TextkomentraChar1360">
    <w:name w:val="Text komentára Char1360"/>
    <w:aliases w:val="Char7 Char Char1361,Text komentára Char Char Char1361,Comment Text Char Char Char1361"/>
    <w:uiPriority w:val="99"/>
    <w:semiHidden/>
    <w:rPr>
      <w:rFonts w:ascii="Courier" w:hAnsi="Courier"/>
      <w:lang w:val="x-none" w:eastAsia="cs-CZ"/>
    </w:rPr>
  </w:style>
  <w:style w:type="character" w:customStyle="1" w:styleId="TextkomentraChar1359">
    <w:name w:val="Text komentára Char1359"/>
    <w:aliases w:val="Char7 Char Char1360,Text komentára Char Char Char1360,Comment Text Char Char Char1360"/>
    <w:uiPriority w:val="99"/>
    <w:semiHidden/>
    <w:rPr>
      <w:rFonts w:ascii="Courier" w:hAnsi="Courier"/>
      <w:lang w:val="x-none" w:eastAsia="cs-CZ"/>
    </w:rPr>
  </w:style>
  <w:style w:type="character" w:customStyle="1" w:styleId="TextkomentraChar1358">
    <w:name w:val="Text komentára Char1358"/>
    <w:aliases w:val="Char7 Char Char1359,Text komentára Char Char Char1359,Comment Text Char Char Char1359"/>
    <w:uiPriority w:val="99"/>
    <w:semiHidden/>
    <w:rPr>
      <w:rFonts w:ascii="Courier" w:hAnsi="Courier"/>
      <w:lang w:val="x-none" w:eastAsia="cs-CZ"/>
    </w:rPr>
  </w:style>
  <w:style w:type="character" w:customStyle="1" w:styleId="TextkomentraChar1357">
    <w:name w:val="Text komentára Char1357"/>
    <w:aliases w:val="Char7 Char Char1358,Text komentára Char Char Char1358,Comment Text Char Char Char1358"/>
    <w:uiPriority w:val="99"/>
    <w:semiHidden/>
    <w:rPr>
      <w:rFonts w:ascii="Courier" w:hAnsi="Courier"/>
      <w:lang w:val="x-none" w:eastAsia="cs-CZ"/>
    </w:rPr>
  </w:style>
  <w:style w:type="character" w:customStyle="1" w:styleId="TextkomentraChar1356">
    <w:name w:val="Text komentára Char1356"/>
    <w:aliases w:val="Char7 Char Char1357,Text komentára Char Char Char1357,Comment Text Char Char Char1357"/>
    <w:uiPriority w:val="99"/>
    <w:semiHidden/>
    <w:rPr>
      <w:rFonts w:ascii="Courier" w:hAnsi="Courier"/>
      <w:lang w:val="x-none" w:eastAsia="cs-CZ"/>
    </w:rPr>
  </w:style>
  <w:style w:type="character" w:customStyle="1" w:styleId="TextkomentraChar1355">
    <w:name w:val="Text komentára Char1355"/>
    <w:aliases w:val="Char7 Char Char1356,Text komentára Char Char Char1356,Comment Text Char Char Char1356"/>
    <w:uiPriority w:val="99"/>
    <w:semiHidden/>
    <w:rPr>
      <w:rFonts w:ascii="Courier" w:hAnsi="Courier"/>
      <w:lang w:val="x-none" w:eastAsia="cs-CZ"/>
    </w:rPr>
  </w:style>
  <w:style w:type="character" w:customStyle="1" w:styleId="TextkomentraChar1354">
    <w:name w:val="Text komentára Char1354"/>
    <w:aliases w:val="Char7 Char Char1355,Text komentára Char Char Char1355,Comment Text Char Char Char1355"/>
    <w:uiPriority w:val="99"/>
    <w:semiHidden/>
    <w:rPr>
      <w:rFonts w:ascii="Courier" w:hAnsi="Courier"/>
      <w:lang w:val="x-none" w:eastAsia="cs-CZ"/>
    </w:rPr>
  </w:style>
  <w:style w:type="character" w:customStyle="1" w:styleId="TextkomentraChar1353">
    <w:name w:val="Text komentára Char1353"/>
    <w:aliases w:val="Char7 Char Char1354,Text komentára Char Char Char1354,Comment Text Char Char Char1354"/>
    <w:uiPriority w:val="99"/>
    <w:semiHidden/>
    <w:rPr>
      <w:rFonts w:ascii="Courier" w:hAnsi="Courier"/>
      <w:lang w:val="x-none" w:eastAsia="cs-CZ"/>
    </w:rPr>
  </w:style>
  <w:style w:type="character" w:customStyle="1" w:styleId="TextkomentraChar1352">
    <w:name w:val="Text komentára Char1352"/>
    <w:aliases w:val="Char7 Char Char1353,Text komentára Char Char Char1353,Comment Text Char Char Char1353"/>
    <w:uiPriority w:val="99"/>
    <w:semiHidden/>
    <w:rPr>
      <w:rFonts w:ascii="Courier" w:hAnsi="Courier"/>
      <w:lang w:val="x-none" w:eastAsia="cs-CZ"/>
    </w:rPr>
  </w:style>
  <w:style w:type="character" w:customStyle="1" w:styleId="TextkomentraChar1351">
    <w:name w:val="Text komentára Char1351"/>
    <w:aliases w:val="Char7 Char Char1352,Text komentára Char Char Char1352,Comment Text Char Char Char1352"/>
    <w:uiPriority w:val="99"/>
    <w:semiHidden/>
    <w:rPr>
      <w:rFonts w:ascii="Courier" w:hAnsi="Courier"/>
      <w:lang w:val="x-none" w:eastAsia="cs-CZ"/>
    </w:rPr>
  </w:style>
  <w:style w:type="character" w:customStyle="1" w:styleId="TextkomentraChar1350">
    <w:name w:val="Text komentára Char1350"/>
    <w:aliases w:val="Char7 Char Char1351,Text komentára Char Char Char1351,Comment Text Char Char Char1351"/>
    <w:uiPriority w:val="99"/>
    <w:semiHidden/>
    <w:rPr>
      <w:rFonts w:ascii="Courier" w:hAnsi="Courier"/>
      <w:lang w:val="x-none" w:eastAsia="cs-CZ"/>
    </w:rPr>
  </w:style>
  <w:style w:type="character" w:customStyle="1" w:styleId="TextkomentraChar1349">
    <w:name w:val="Text komentára Char1349"/>
    <w:aliases w:val="Char7 Char Char1350,Text komentára Char Char Char1350,Comment Text Char Char Char1350"/>
    <w:uiPriority w:val="99"/>
    <w:semiHidden/>
    <w:rPr>
      <w:rFonts w:ascii="Courier" w:hAnsi="Courier"/>
      <w:lang w:val="x-none" w:eastAsia="cs-CZ"/>
    </w:rPr>
  </w:style>
  <w:style w:type="character" w:customStyle="1" w:styleId="TextkomentraChar1348">
    <w:name w:val="Text komentára Char1348"/>
    <w:aliases w:val="Char7 Char Char1349,Text komentára Char Char Char1349,Comment Text Char Char Char1349"/>
    <w:uiPriority w:val="99"/>
    <w:semiHidden/>
    <w:rPr>
      <w:rFonts w:ascii="Courier" w:hAnsi="Courier"/>
      <w:lang w:val="x-none" w:eastAsia="cs-CZ"/>
    </w:rPr>
  </w:style>
  <w:style w:type="character" w:customStyle="1" w:styleId="TextkomentraChar1347">
    <w:name w:val="Text komentára Char1347"/>
    <w:aliases w:val="Char7 Char Char1348,Text komentára Char Char Char1348,Comment Text Char Char Char1348"/>
    <w:uiPriority w:val="99"/>
    <w:semiHidden/>
    <w:rPr>
      <w:rFonts w:ascii="Courier" w:hAnsi="Courier"/>
      <w:lang w:val="x-none" w:eastAsia="cs-CZ"/>
    </w:rPr>
  </w:style>
  <w:style w:type="character" w:customStyle="1" w:styleId="TextkomentraChar1346">
    <w:name w:val="Text komentára Char1346"/>
    <w:aliases w:val="Char7 Char Char1347,Text komentára Char Char Char1347,Comment Text Char Char Char1347"/>
    <w:uiPriority w:val="99"/>
    <w:semiHidden/>
    <w:rPr>
      <w:rFonts w:ascii="Courier" w:hAnsi="Courier"/>
      <w:lang w:val="x-none" w:eastAsia="cs-CZ"/>
    </w:rPr>
  </w:style>
  <w:style w:type="character" w:customStyle="1" w:styleId="TextkomentraChar1345">
    <w:name w:val="Text komentára Char1345"/>
    <w:aliases w:val="Char7 Char Char1346,Text komentára Char Char Char1346,Comment Text Char Char Char1346"/>
    <w:uiPriority w:val="99"/>
    <w:semiHidden/>
    <w:rPr>
      <w:rFonts w:ascii="Courier" w:hAnsi="Courier"/>
      <w:lang w:val="x-none" w:eastAsia="cs-CZ"/>
    </w:rPr>
  </w:style>
  <w:style w:type="character" w:customStyle="1" w:styleId="TextkomentraChar1344">
    <w:name w:val="Text komentára Char1344"/>
    <w:aliases w:val="Char7 Char Char1345,Text komentára Char Char Char1345,Comment Text Char Char Char1345"/>
    <w:uiPriority w:val="99"/>
    <w:semiHidden/>
    <w:rPr>
      <w:rFonts w:ascii="Courier" w:hAnsi="Courier"/>
      <w:lang w:val="x-none" w:eastAsia="cs-CZ"/>
    </w:rPr>
  </w:style>
  <w:style w:type="character" w:customStyle="1" w:styleId="TextkomentraChar1343">
    <w:name w:val="Text komentára Char1343"/>
    <w:aliases w:val="Char7 Char Char1344,Text komentára Char Char Char1344,Comment Text Char Char Char1344"/>
    <w:uiPriority w:val="99"/>
    <w:semiHidden/>
    <w:rPr>
      <w:rFonts w:ascii="Courier" w:hAnsi="Courier"/>
      <w:lang w:val="x-none" w:eastAsia="cs-CZ"/>
    </w:rPr>
  </w:style>
  <w:style w:type="character" w:customStyle="1" w:styleId="TextkomentraChar1342">
    <w:name w:val="Text komentára Char1342"/>
    <w:aliases w:val="Char7 Char Char1343,Text komentára Char Char Char1343,Comment Text Char Char Char1343"/>
    <w:uiPriority w:val="99"/>
    <w:semiHidden/>
    <w:rPr>
      <w:rFonts w:ascii="Courier" w:hAnsi="Courier"/>
      <w:lang w:val="x-none" w:eastAsia="cs-CZ"/>
    </w:rPr>
  </w:style>
  <w:style w:type="character" w:customStyle="1" w:styleId="TextkomentraChar1341">
    <w:name w:val="Text komentára Char1341"/>
    <w:aliases w:val="Char7 Char Char1342,Text komentára Char Char Char1342,Comment Text Char Char Char1342"/>
    <w:uiPriority w:val="99"/>
    <w:semiHidden/>
    <w:rPr>
      <w:rFonts w:ascii="Courier" w:hAnsi="Courier"/>
      <w:lang w:val="x-none" w:eastAsia="cs-CZ"/>
    </w:rPr>
  </w:style>
  <w:style w:type="character" w:customStyle="1" w:styleId="TextkomentraChar1340">
    <w:name w:val="Text komentára Char1340"/>
    <w:aliases w:val="Char7 Char Char1341,Text komentára Char Char Char1341,Comment Text Char Char Char1341"/>
    <w:uiPriority w:val="99"/>
    <w:semiHidden/>
    <w:rPr>
      <w:rFonts w:ascii="Courier" w:hAnsi="Courier"/>
      <w:lang w:val="x-none" w:eastAsia="cs-CZ"/>
    </w:rPr>
  </w:style>
  <w:style w:type="character" w:customStyle="1" w:styleId="TextkomentraChar1339">
    <w:name w:val="Text komentára Char1339"/>
    <w:aliases w:val="Char7 Char Char1340,Text komentára Char Char Char1340,Comment Text Char Char Char1340"/>
    <w:uiPriority w:val="99"/>
    <w:semiHidden/>
    <w:rPr>
      <w:rFonts w:ascii="Courier" w:hAnsi="Courier"/>
      <w:lang w:val="x-none" w:eastAsia="cs-CZ"/>
    </w:rPr>
  </w:style>
  <w:style w:type="character" w:customStyle="1" w:styleId="TextkomentraChar1338">
    <w:name w:val="Text komentára Char1338"/>
    <w:aliases w:val="Char7 Char Char1339,Text komentára Char Char Char1339,Comment Text Char Char Char1339"/>
    <w:uiPriority w:val="99"/>
    <w:semiHidden/>
    <w:rPr>
      <w:rFonts w:ascii="Courier" w:hAnsi="Courier"/>
      <w:lang w:val="x-none" w:eastAsia="cs-CZ"/>
    </w:rPr>
  </w:style>
  <w:style w:type="character" w:customStyle="1" w:styleId="TextkomentraChar1337">
    <w:name w:val="Text komentára Char1337"/>
    <w:aliases w:val="Char7 Char Char1338,Text komentára Char Char Char1338,Comment Text Char Char Char1338"/>
    <w:uiPriority w:val="99"/>
    <w:semiHidden/>
    <w:rPr>
      <w:rFonts w:ascii="Courier" w:hAnsi="Courier"/>
      <w:lang w:val="x-none" w:eastAsia="cs-CZ"/>
    </w:rPr>
  </w:style>
  <w:style w:type="character" w:customStyle="1" w:styleId="TextkomentraChar1336">
    <w:name w:val="Text komentára Char1336"/>
    <w:aliases w:val="Char7 Char Char1337,Text komentára Char Char Char1337,Comment Text Char Char Char1337"/>
    <w:uiPriority w:val="99"/>
    <w:semiHidden/>
    <w:rPr>
      <w:rFonts w:ascii="Courier" w:hAnsi="Courier"/>
      <w:lang w:val="x-none" w:eastAsia="cs-CZ"/>
    </w:rPr>
  </w:style>
  <w:style w:type="character" w:customStyle="1" w:styleId="TextkomentraChar1335">
    <w:name w:val="Text komentára Char1335"/>
    <w:aliases w:val="Char7 Char Char1336,Text komentára Char Char Char1336,Comment Text Char Char Char1336"/>
    <w:uiPriority w:val="99"/>
    <w:semiHidden/>
    <w:rPr>
      <w:rFonts w:ascii="Courier" w:hAnsi="Courier"/>
      <w:lang w:val="x-none" w:eastAsia="cs-CZ"/>
    </w:rPr>
  </w:style>
  <w:style w:type="character" w:customStyle="1" w:styleId="TextkomentraChar1334">
    <w:name w:val="Text komentára Char1334"/>
    <w:aliases w:val="Char7 Char Char1335,Text komentára Char Char Char1335,Comment Text Char Char Char1335"/>
    <w:uiPriority w:val="99"/>
    <w:semiHidden/>
    <w:rPr>
      <w:rFonts w:ascii="Courier" w:hAnsi="Courier"/>
      <w:lang w:val="x-none" w:eastAsia="cs-CZ"/>
    </w:rPr>
  </w:style>
  <w:style w:type="character" w:customStyle="1" w:styleId="TextkomentraChar1333">
    <w:name w:val="Text komentára Char1333"/>
    <w:aliases w:val="Char7 Char Char1334,Text komentára Char Char Char1334,Comment Text Char Char Char1334"/>
    <w:uiPriority w:val="99"/>
    <w:semiHidden/>
    <w:rPr>
      <w:rFonts w:ascii="Courier" w:hAnsi="Courier"/>
      <w:lang w:val="x-none" w:eastAsia="cs-CZ"/>
    </w:rPr>
  </w:style>
  <w:style w:type="character" w:customStyle="1" w:styleId="TextkomentraChar1332">
    <w:name w:val="Text komentára Char1332"/>
    <w:aliases w:val="Char7 Char Char1333,Text komentára Char Char Char1333,Comment Text Char Char Char1333"/>
    <w:uiPriority w:val="99"/>
    <w:semiHidden/>
    <w:rPr>
      <w:rFonts w:ascii="Courier" w:hAnsi="Courier"/>
      <w:lang w:val="x-none" w:eastAsia="cs-CZ"/>
    </w:rPr>
  </w:style>
  <w:style w:type="character" w:customStyle="1" w:styleId="TextkomentraChar1331">
    <w:name w:val="Text komentára Char1331"/>
    <w:aliases w:val="Char7 Char Char1332,Text komentára Char Char Char1332,Comment Text Char Char Char1332"/>
    <w:uiPriority w:val="99"/>
    <w:semiHidden/>
    <w:rPr>
      <w:rFonts w:ascii="Courier" w:hAnsi="Courier"/>
      <w:lang w:val="x-none" w:eastAsia="cs-CZ"/>
    </w:rPr>
  </w:style>
  <w:style w:type="character" w:customStyle="1" w:styleId="TextkomentraChar1330">
    <w:name w:val="Text komentára Char1330"/>
    <w:aliases w:val="Char7 Char Char1331,Text komentára Char Char Char1331,Comment Text Char Char Char1331"/>
    <w:uiPriority w:val="99"/>
    <w:semiHidden/>
    <w:rPr>
      <w:rFonts w:ascii="Courier" w:hAnsi="Courier"/>
      <w:lang w:val="x-none" w:eastAsia="cs-CZ"/>
    </w:rPr>
  </w:style>
  <w:style w:type="character" w:customStyle="1" w:styleId="TextkomentraChar1329">
    <w:name w:val="Text komentára Char1329"/>
    <w:aliases w:val="Char7 Char Char1330,Text komentára Char Char Char1330,Comment Text Char Char Char1330"/>
    <w:uiPriority w:val="99"/>
    <w:semiHidden/>
    <w:rPr>
      <w:rFonts w:ascii="Courier" w:hAnsi="Courier"/>
      <w:lang w:val="x-none" w:eastAsia="cs-CZ"/>
    </w:rPr>
  </w:style>
  <w:style w:type="character" w:customStyle="1" w:styleId="TextkomentraChar1328">
    <w:name w:val="Text komentára Char1328"/>
    <w:aliases w:val="Char7 Char Char1329,Text komentára Char Char Char1329,Comment Text Char Char Char1329"/>
    <w:uiPriority w:val="99"/>
    <w:semiHidden/>
    <w:rPr>
      <w:rFonts w:ascii="Courier" w:hAnsi="Courier"/>
      <w:lang w:val="x-none" w:eastAsia="cs-CZ"/>
    </w:rPr>
  </w:style>
  <w:style w:type="character" w:customStyle="1" w:styleId="TextkomentraChar1327">
    <w:name w:val="Text komentára Char1327"/>
    <w:aliases w:val="Char7 Char Char1328,Text komentára Char Char Char1328,Comment Text Char Char Char1328"/>
    <w:uiPriority w:val="99"/>
    <w:semiHidden/>
    <w:rPr>
      <w:rFonts w:ascii="Courier" w:hAnsi="Courier"/>
      <w:lang w:val="x-none" w:eastAsia="cs-CZ"/>
    </w:rPr>
  </w:style>
  <w:style w:type="character" w:customStyle="1" w:styleId="TextkomentraChar1326">
    <w:name w:val="Text komentára Char1326"/>
    <w:aliases w:val="Char7 Char Char1327,Text komentára Char Char Char1327,Comment Text Char Char Char1327"/>
    <w:uiPriority w:val="99"/>
    <w:semiHidden/>
    <w:rPr>
      <w:rFonts w:ascii="Courier" w:hAnsi="Courier"/>
      <w:lang w:val="x-none" w:eastAsia="cs-CZ"/>
    </w:rPr>
  </w:style>
  <w:style w:type="character" w:customStyle="1" w:styleId="TextkomentraChar1325">
    <w:name w:val="Text komentára Char1325"/>
    <w:aliases w:val="Char7 Char Char1326,Text komentára Char Char Char1326,Comment Text Char Char Char1326"/>
    <w:uiPriority w:val="99"/>
    <w:semiHidden/>
    <w:rPr>
      <w:rFonts w:ascii="Courier" w:hAnsi="Courier"/>
      <w:lang w:val="x-none" w:eastAsia="cs-CZ"/>
    </w:rPr>
  </w:style>
  <w:style w:type="character" w:customStyle="1" w:styleId="TextkomentraChar1324">
    <w:name w:val="Text komentára Char1324"/>
    <w:aliases w:val="Char7 Char Char1325,Text komentára Char Char Char1325,Comment Text Char Char Char1325"/>
    <w:uiPriority w:val="99"/>
    <w:semiHidden/>
    <w:rPr>
      <w:rFonts w:ascii="Courier" w:hAnsi="Courier"/>
      <w:lang w:val="x-none" w:eastAsia="cs-CZ"/>
    </w:rPr>
  </w:style>
  <w:style w:type="character" w:customStyle="1" w:styleId="TextkomentraChar1323">
    <w:name w:val="Text komentára Char1323"/>
    <w:aliases w:val="Char7 Char Char1324,Text komentára Char Char Char1324,Comment Text Char Char Char1324"/>
    <w:uiPriority w:val="99"/>
    <w:semiHidden/>
    <w:rPr>
      <w:rFonts w:ascii="Courier" w:hAnsi="Courier"/>
      <w:lang w:val="x-none" w:eastAsia="cs-CZ"/>
    </w:rPr>
  </w:style>
  <w:style w:type="character" w:customStyle="1" w:styleId="TextkomentraChar1322">
    <w:name w:val="Text komentára Char1322"/>
    <w:aliases w:val="Char7 Char Char1323,Text komentára Char Char Char1323,Comment Text Char Char Char1323"/>
    <w:uiPriority w:val="99"/>
    <w:semiHidden/>
    <w:rPr>
      <w:rFonts w:ascii="Courier" w:hAnsi="Courier"/>
      <w:lang w:val="x-none" w:eastAsia="cs-CZ"/>
    </w:rPr>
  </w:style>
  <w:style w:type="character" w:customStyle="1" w:styleId="TextkomentraChar1321">
    <w:name w:val="Text komentára Char1321"/>
    <w:aliases w:val="Char7 Char Char1322,Text komentára Char Char Char1322,Comment Text Char Char Char1322"/>
    <w:uiPriority w:val="99"/>
    <w:semiHidden/>
    <w:rPr>
      <w:rFonts w:ascii="Courier" w:hAnsi="Courier"/>
      <w:lang w:val="x-none" w:eastAsia="cs-CZ"/>
    </w:rPr>
  </w:style>
  <w:style w:type="character" w:customStyle="1" w:styleId="TextkomentraChar1320">
    <w:name w:val="Text komentára Char1320"/>
    <w:aliases w:val="Char7 Char Char1321,Text komentára Char Char Char1321,Comment Text Char Char Char1321"/>
    <w:uiPriority w:val="99"/>
    <w:semiHidden/>
    <w:rPr>
      <w:rFonts w:ascii="Courier" w:hAnsi="Courier"/>
      <w:lang w:val="x-none" w:eastAsia="cs-CZ"/>
    </w:rPr>
  </w:style>
  <w:style w:type="character" w:customStyle="1" w:styleId="TextkomentraChar1319">
    <w:name w:val="Text komentára Char1319"/>
    <w:aliases w:val="Char7 Char Char1320,Text komentára Char Char Char1320,Comment Text Char Char Char1320"/>
    <w:uiPriority w:val="99"/>
    <w:semiHidden/>
    <w:rPr>
      <w:rFonts w:ascii="Courier" w:hAnsi="Courier"/>
      <w:lang w:val="x-none" w:eastAsia="cs-CZ"/>
    </w:rPr>
  </w:style>
  <w:style w:type="character" w:customStyle="1" w:styleId="TextkomentraChar1318">
    <w:name w:val="Text komentára Char1318"/>
    <w:aliases w:val="Char7 Char Char1319,Text komentára Char Char Char1319,Comment Text Char Char Char1319"/>
    <w:uiPriority w:val="99"/>
    <w:semiHidden/>
    <w:rPr>
      <w:rFonts w:ascii="Courier" w:hAnsi="Courier"/>
      <w:lang w:val="x-none" w:eastAsia="cs-CZ"/>
    </w:rPr>
  </w:style>
  <w:style w:type="character" w:customStyle="1" w:styleId="TextkomentraChar1317">
    <w:name w:val="Text komentára Char1317"/>
    <w:aliases w:val="Char7 Char Char1318,Text komentára Char Char Char1318,Comment Text Char Char Char1318"/>
    <w:uiPriority w:val="99"/>
    <w:semiHidden/>
    <w:rPr>
      <w:rFonts w:ascii="Courier" w:hAnsi="Courier"/>
      <w:lang w:val="x-none" w:eastAsia="cs-CZ"/>
    </w:rPr>
  </w:style>
  <w:style w:type="character" w:customStyle="1" w:styleId="TextkomentraChar1316">
    <w:name w:val="Text komentára Char1316"/>
    <w:aliases w:val="Char7 Char Char1317,Text komentára Char Char Char1317,Comment Text Char Char Char1317"/>
    <w:uiPriority w:val="99"/>
    <w:semiHidden/>
    <w:rPr>
      <w:rFonts w:ascii="Courier" w:hAnsi="Courier"/>
      <w:lang w:val="x-none" w:eastAsia="cs-CZ"/>
    </w:rPr>
  </w:style>
  <w:style w:type="character" w:customStyle="1" w:styleId="TextkomentraChar1315">
    <w:name w:val="Text komentára Char1315"/>
    <w:aliases w:val="Char7 Char Char1316,Text komentára Char Char Char1316,Comment Text Char Char Char1316"/>
    <w:uiPriority w:val="99"/>
    <w:semiHidden/>
    <w:rPr>
      <w:rFonts w:ascii="Courier" w:hAnsi="Courier"/>
      <w:lang w:val="x-none" w:eastAsia="cs-CZ"/>
    </w:rPr>
  </w:style>
  <w:style w:type="character" w:customStyle="1" w:styleId="TextkomentraChar1314">
    <w:name w:val="Text komentára Char1314"/>
    <w:aliases w:val="Char7 Char Char1315,Text komentára Char Char Char1315,Comment Text Char Char Char1315"/>
    <w:uiPriority w:val="99"/>
    <w:semiHidden/>
    <w:rPr>
      <w:rFonts w:ascii="Courier" w:hAnsi="Courier"/>
      <w:lang w:val="x-none" w:eastAsia="cs-CZ"/>
    </w:rPr>
  </w:style>
  <w:style w:type="character" w:customStyle="1" w:styleId="TextkomentraChar1313">
    <w:name w:val="Text komentára Char1313"/>
    <w:aliases w:val="Char7 Char Char1314,Text komentára Char Char Char1314,Comment Text Char Char Char1314"/>
    <w:uiPriority w:val="99"/>
    <w:semiHidden/>
    <w:rPr>
      <w:rFonts w:ascii="Courier" w:hAnsi="Courier"/>
      <w:lang w:val="x-none" w:eastAsia="cs-CZ"/>
    </w:rPr>
  </w:style>
  <w:style w:type="character" w:customStyle="1" w:styleId="TextkomentraChar1312">
    <w:name w:val="Text komentára Char1312"/>
    <w:aliases w:val="Char7 Char Char1313,Text komentára Char Char Char1313,Comment Text Char Char Char1313"/>
    <w:uiPriority w:val="99"/>
    <w:semiHidden/>
    <w:rPr>
      <w:rFonts w:ascii="Courier" w:hAnsi="Courier"/>
      <w:lang w:val="x-none" w:eastAsia="cs-CZ"/>
    </w:rPr>
  </w:style>
  <w:style w:type="character" w:customStyle="1" w:styleId="TextkomentraChar1311">
    <w:name w:val="Text komentára Char1311"/>
    <w:aliases w:val="Char7 Char Char1312,Text komentára Char Char Char1312,Comment Text Char Char Char1312"/>
    <w:uiPriority w:val="99"/>
    <w:semiHidden/>
    <w:rPr>
      <w:rFonts w:ascii="Courier" w:hAnsi="Courier"/>
      <w:lang w:val="x-none" w:eastAsia="cs-CZ"/>
    </w:rPr>
  </w:style>
  <w:style w:type="character" w:customStyle="1" w:styleId="TextkomentraChar1310">
    <w:name w:val="Text komentára Char1310"/>
    <w:aliases w:val="Char7 Char Char1311,Text komentára Char Char Char1311,Comment Text Char Char Char1311"/>
    <w:uiPriority w:val="99"/>
    <w:semiHidden/>
    <w:rPr>
      <w:rFonts w:ascii="Courier" w:hAnsi="Courier"/>
      <w:lang w:val="x-none" w:eastAsia="cs-CZ"/>
    </w:rPr>
  </w:style>
  <w:style w:type="character" w:customStyle="1" w:styleId="TextkomentraChar1309">
    <w:name w:val="Text komentára Char1309"/>
    <w:aliases w:val="Char7 Char Char1310,Text komentára Char Char Char1310,Comment Text Char Char Char1310"/>
    <w:uiPriority w:val="99"/>
    <w:semiHidden/>
    <w:rPr>
      <w:rFonts w:ascii="Courier" w:hAnsi="Courier"/>
      <w:lang w:val="x-none" w:eastAsia="cs-CZ"/>
    </w:rPr>
  </w:style>
  <w:style w:type="character" w:customStyle="1" w:styleId="TextkomentraChar1308">
    <w:name w:val="Text komentára Char1308"/>
    <w:aliases w:val="Char7 Char Char1309,Text komentára Char Char Char1309,Comment Text Char Char Char1309"/>
    <w:uiPriority w:val="99"/>
    <w:semiHidden/>
    <w:rPr>
      <w:rFonts w:ascii="Courier" w:hAnsi="Courier"/>
      <w:lang w:val="x-none" w:eastAsia="cs-CZ"/>
    </w:rPr>
  </w:style>
  <w:style w:type="character" w:customStyle="1" w:styleId="TextkomentraChar1307">
    <w:name w:val="Text komentára Char1307"/>
    <w:aliases w:val="Char7 Char Char1308,Text komentára Char Char Char1308,Comment Text Char Char Char1308"/>
    <w:uiPriority w:val="99"/>
    <w:semiHidden/>
    <w:rPr>
      <w:rFonts w:ascii="Courier" w:hAnsi="Courier"/>
      <w:lang w:val="x-none" w:eastAsia="cs-CZ"/>
    </w:rPr>
  </w:style>
  <w:style w:type="character" w:customStyle="1" w:styleId="TextkomentraChar1306">
    <w:name w:val="Text komentára Char1306"/>
    <w:aliases w:val="Char7 Char Char1307,Text komentára Char Char Char1307,Comment Text Char Char Char1307"/>
    <w:uiPriority w:val="99"/>
    <w:semiHidden/>
    <w:rPr>
      <w:rFonts w:ascii="Courier" w:hAnsi="Courier"/>
      <w:lang w:val="x-none" w:eastAsia="cs-CZ"/>
    </w:rPr>
  </w:style>
  <w:style w:type="character" w:customStyle="1" w:styleId="TextkomentraChar1305">
    <w:name w:val="Text komentára Char1305"/>
    <w:aliases w:val="Char7 Char Char1306,Text komentára Char Char Char1306,Comment Text Char Char Char1306"/>
    <w:uiPriority w:val="99"/>
    <w:semiHidden/>
    <w:rPr>
      <w:rFonts w:ascii="Courier" w:hAnsi="Courier"/>
      <w:lang w:val="x-none" w:eastAsia="cs-CZ"/>
    </w:rPr>
  </w:style>
  <w:style w:type="character" w:customStyle="1" w:styleId="TextkomentraChar1304">
    <w:name w:val="Text komentára Char1304"/>
    <w:aliases w:val="Char7 Char Char1305,Text komentára Char Char Char1305,Comment Text Char Char Char1305"/>
    <w:uiPriority w:val="99"/>
    <w:semiHidden/>
    <w:rPr>
      <w:rFonts w:ascii="Courier" w:hAnsi="Courier"/>
      <w:lang w:val="x-none" w:eastAsia="cs-CZ"/>
    </w:rPr>
  </w:style>
  <w:style w:type="character" w:customStyle="1" w:styleId="TextkomentraChar1303">
    <w:name w:val="Text komentára Char1303"/>
    <w:aliases w:val="Char7 Char Char1304,Text komentára Char Char Char1304,Comment Text Char Char Char1304"/>
    <w:uiPriority w:val="99"/>
    <w:semiHidden/>
    <w:rPr>
      <w:rFonts w:ascii="Courier" w:hAnsi="Courier"/>
      <w:lang w:val="x-none" w:eastAsia="cs-CZ"/>
    </w:rPr>
  </w:style>
  <w:style w:type="character" w:customStyle="1" w:styleId="TextkomentraChar1302">
    <w:name w:val="Text komentára Char1302"/>
    <w:aliases w:val="Char7 Char Char1303,Text komentára Char Char Char1303,Comment Text Char Char Char1303"/>
    <w:uiPriority w:val="99"/>
    <w:semiHidden/>
    <w:rPr>
      <w:rFonts w:ascii="Courier" w:hAnsi="Courier"/>
      <w:lang w:val="x-none" w:eastAsia="cs-CZ"/>
    </w:rPr>
  </w:style>
  <w:style w:type="character" w:customStyle="1" w:styleId="TextkomentraChar1301">
    <w:name w:val="Text komentára Char1301"/>
    <w:aliases w:val="Char7 Char Char1302,Text komentára Char Char Char1302,Comment Text Char Char Char1302"/>
    <w:uiPriority w:val="99"/>
    <w:semiHidden/>
    <w:rPr>
      <w:rFonts w:ascii="Courier" w:hAnsi="Courier"/>
      <w:lang w:val="x-none" w:eastAsia="cs-CZ"/>
    </w:rPr>
  </w:style>
  <w:style w:type="character" w:customStyle="1" w:styleId="TextkomentraChar1300">
    <w:name w:val="Text komentára Char1300"/>
    <w:aliases w:val="Char7 Char Char1301,Text komentára Char Char Char1301,Comment Text Char Char Char1301"/>
    <w:uiPriority w:val="99"/>
    <w:semiHidden/>
    <w:rPr>
      <w:rFonts w:ascii="Courier" w:hAnsi="Courier"/>
      <w:lang w:val="x-none" w:eastAsia="cs-CZ"/>
    </w:rPr>
  </w:style>
  <w:style w:type="character" w:customStyle="1" w:styleId="TextkomentraChar1299">
    <w:name w:val="Text komentára Char1299"/>
    <w:aliases w:val="Char7 Char Char1300,Text komentára Char Char Char1300,Comment Text Char Char Char1300"/>
    <w:uiPriority w:val="99"/>
    <w:semiHidden/>
    <w:rPr>
      <w:rFonts w:ascii="Courier" w:hAnsi="Courier"/>
      <w:lang w:val="x-none" w:eastAsia="cs-CZ"/>
    </w:rPr>
  </w:style>
  <w:style w:type="character" w:customStyle="1" w:styleId="TextkomentraChar1298">
    <w:name w:val="Text komentára Char1298"/>
    <w:aliases w:val="Char7 Char Char1299,Text komentára Char Char Char1299,Comment Text Char Char Char1299"/>
    <w:uiPriority w:val="99"/>
    <w:semiHidden/>
    <w:rPr>
      <w:rFonts w:ascii="Courier" w:hAnsi="Courier"/>
      <w:lang w:val="x-none" w:eastAsia="cs-CZ"/>
    </w:rPr>
  </w:style>
  <w:style w:type="character" w:customStyle="1" w:styleId="TextkomentraChar1297">
    <w:name w:val="Text komentára Char1297"/>
    <w:aliases w:val="Char7 Char Char1298,Text komentára Char Char Char1298,Comment Text Char Char Char1298"/>
    <w:uiPriority w:val="99"/>
    <w:semiHidden/>
    <w:rPr>
      <w:rFonts w:ascii="Courier" w:hAnsi="Courier"/>
      <w:lang w:val="x-none" w:eastAsia="cs-CZ"/>
    </w:rPr>
  </w:style>
  <w:style w:type="character" w:customStyle="1" w:styleId="TextkomentraChar1296">
    <w:name w:val="Text komentára Char1296"/>
    <w:aliases w:val="Char7 Char Char1297,Text komentára Char Char Char1297,Comment Text Char Char Char1297"/>
    <w:uiPriority w:val="99"/>
    <w:semiHidden/>
    <w:rPr>
      <w:rFonts w:ascii="Courier" w:hAnsi="Courier"/>
      <w:lang w:val="x-none" w:eastAsia="cs-CZ"/>
    </w:rPr>
  </w:style>
  <w:style w:type="character" w:customStyle="1" w:styleId="TextkomentraChar1295">
    <w:name w:val="Text komentára Char1295"/>
    <w:aliases w:val="Char7 Char Char1296,Text komentára Char Char Char1296,Comment Text Char Char Char1296"/>
    <w:uiPriority w:val="99"/>
    <w:semiHidden/>
    <w:rPr>
      <w:rFonts w:ascii="Courier" w:hAnsi="Courier"/>
      <w:lang w:val="x-none" w:eastAsia="cs-CZ"/>
    </w:rPr>
  </w:style>
  <w:style w:type="character" w:customStyle="1" w:styleId="TextkomentraChar1294">
    <w:name w:val="Text komentára Char1294"/>
    <w:aliases w:val="Char7 Char Char1295,Text komentára Char Char Char1295,Comment Text Char Char Char1295"/>
    <w:uiPriority w:val="99"/>
    <w:semiHidden/>
    <w:rPr>
      <w:rFonts w:ascii="Courier" w:hAnsi="Courier"/>
      <w:lang w:val="x-none" w:eastAsia="cs-CZ"/>
    </w:rPr>
  </w:style>
  <w:style w:type="character" w:customStyle="1" w:styleId="TextkomentraChar1293">
    <w:name w:val="Text komentára Char1293"/>
    <w:aliases w:val="Char7 Char Char1294,Text komentára Char Char Char1294,Comment Text Char Char Char1294"/>
    <w:uiPriority w:val="99"/>
    <w:semiHidden/>
    <w:rPr>
      <w:rFonts w:ascii="Courier" w:hAnsi="Courier"/>
      <w:lang w:val="x-none" w:eastAsia="cs-CZ"/>
    </w:rPr>
  </w:style>
  <w:style w:type="character" w:customStyle="1" w:styleId="TextkomentraChar1292">
    <w:name w:val="Text komentára Char1292"/>
    <w:aliases w:val="Char7 Char Char1293,Text komentára Char Char Char1293,Comment Text Char Char Char1293"/>
    <w:uiPriority w:val="99"/>
    <w:semiHidden/>
    <w:rPr>
      <w:rFonts w:ascii="Courier" w:hAnsi="Courier"/>
      <w:lang w:val="x-none" w:eastAsia="cs-CZ"/>
    </w:rPr>
  </w:style>
  <w:style w:type="character" w:customStyle="1" w:styleId="TextkomentraChar1291">
    <w:name w:val="Text komentára Char1291"/>
    <w:aliases w:val="Char7 Char Char1292,Text komentára Char Char Char1292,Comment Text Char Char Char1292"/>
    <w:uiPriority w:val="99"/>
    <w:semiHidden/>
    <w:rPr>
      <w:rFonts w:ascii="Courier" w:hAnsi="Courier"/>
      <w:lang w:val="x-none" w:eastAsia="cs-CZ"/>
    </w:rPr>
  </w:style>
  <w:style w:type="character" w:customStyle="1" w:styleId="TextkomentraChar1290">
    <w:name w:val="Text komentára Char1290"/>
    <w:aliases w:val="Char7 Char Char1291,Text komentára Char Char Char1291,Comment Text Char Char Char1291"/>
    <w:uiPriority w:val="99"/>
    <w:semiHidden/>
    <w:rPr>
      <w:rFonts w:ascii="Courier" w:hAnsi="Courier"/>
      <w:lang w:val="x-none" w:eastAsia="cs-CZ"/>
    </w:rPr>
  </w:style>
  <w:style w:type="character" w:customStyle="1" w:styleId="TextkomentraChar1289">
    <w:name w:val="Text komentára Char1289"/>
    <w:aliases w:val="Char7 Char Char1290,Text komentára Char Char Char1290,Comment Text Char Char Char1290"/>
    <w:uiPriority w:val="99"/>
    <w:semiHidden/>
    <w:rPr>
      <w:rFonts w:ascii="Courier" w:hAnsi="Courier"/>
      <w:lang w:val="x-none" w:eastAsia="cs-CZ"/>
    </w:rPr>
  </w:style>
  <w:style w:type="character" w:customStyle="1" w:styleId="TextkomentraChar1288">
    <w:name w:val="Text komentára Char1288"/>
    <w:aliases w:val="Char7 Char Char1289,Text komentára Char Char Char1289,Comment Text Char Char Char1289"/>
    <w:uiPriority w:val="99"/>
    <w:semiHidden/>
    <w:rPr>
      <w:rFonts w:ascii="Courier" w:hAnsi="Courier"/>
      <w:lang w:val="x-none" w:eastAsia="cs-CZ"/>
    </w:rPr>
  </w:style>
  <w:style w:type="character" w:customStyle="1" w:styleId="TextkomentraChar1287">
    <w:name w:val="Text komentára Char1287"/>
    <w:aliases w:val="Char7 Char Char1288,Text komentára Char Char Char1288,Comment Text Char Char Char1288"/>
    <w:uiPriority w:val="99"/>
    <w:semiHidden/>
    <w:rPr>
      <w:rFonts w:ascii="Courier" w:hAnsi="Courier"/>
      <w:lang w:val="x-none" w:eastAsia="cs-CZ"/>
    </w:rPr>
  </w:style>
  <w:style w:type="character" w:customStyle="1" w:styleId="TextkomentraChar1286">
    <w:name w:val="Text komentára Char1286"/>
    <w:aliases w:val="Char7 Char Char1287,Text komentára Char Char Char1287,Comment Text Char Char Char1287"/>
    <w:uiPriority w:val="99"/>
    <w:semiHidden/>
    <w:rPr>
      <w:rFonts w:ascii="Courier" w:hAnsi="Courier"/>
      <w:lang w:val="x-none" w:eastAsia="cs-CZ"/>
    </w:rPr>
  </w:style>
  <w:style w:type="character" w:customStyle="1" w:styleId="TextkomentraChar1285">
    <w:name w:val="Text komentára Char1285"/>
    <w:aliases w:val="Char7 Char Char1286,Text komentára Char Char Char1286,Comment Text Char Char Char1286"/>
    <w:uiPriority w:val="99"/>
    <w:semiHidden/>
    <w:rPr>
      <w:rFonts w:ascii="Courier" w:hAnsi="Courier"/>
      <w:lang w:val="x-none" w:eastAsia="cs-CZ"/>
    </w:rPr>
  </w:style>
  <w:style w:type="character" w:customStyle="1" w:styleId="TextkomentraChar1284">
    <w:name w:val="Text komentára Char1284"/>
    <w:aliases w:val="Char7 Char Char1285,Text komentára Char Char Char1285,Comment Text Char Char Char1285"/>
    <w:uiPriority w:val="99"/>
    <w:semiHidden/>
    <w:rPr>
      <w:rFonts w:ascii="Courier" w:hAnsi="Courier"/>
      <w:lang w:val="x-none" w:eastAsia="cs-CZ"/>
    </w:rPr>
  </w:style>
  <w:style w:type="character" w:customStyle="1" w:styleId="TextkomentraChar1283">
    <w:name w:val="Text komentára Char1283"/>
    <w:aliases w:val="Char7 Char Char1284,Text komentára Char Char Char1284,Comment Text Char Char Char1284"/>
    <w:uiPriority w:val="99"/>
    <w:semiHidden/>
    <w:rPr>
      <w:rFonts w:ascii="Courier" w:hAnsi="Courier"/>
      <w:lang w:val="x-none" w:eastAsia="cs-CZ"/>
    </w:rPr>
  </w:style>
  <w:style w:type="character" w:customStyle="1" w:styleId="TextkomentraChar1282">
    <w:name w:val="Text komentára Char1282"/>
    <w:aliases w:val="Char7 Char Char1283,Text komentára Char Char Char1283,Comment Text Char Char Char1283"/>
    <w:uiPriority w:val="99"/>
    <w:semiHidden/>
    <w:rPr>
      <w:rFonts w:ascii="Courier" w:hAnsi="Courier"/>
      <w:lang w:val="x-none" w:eastAsia="cs-CZ"/>
    </w:rPr>
  </w:style>
  <w:style w:type="character" w:customStyle="1" w:styleId="TextkomentraChar1281">
    <w:name w:val="Text komentára Char1281"/>
    <w:aliases w:val="Char7 Char Char1282,Text komentára Char Char Char1282,Comment Text Char Char Char1282"/>
    <w:uiPriority w:val="99"/>
    <w:semiHidden/>
    <w:rPr>
      <w:rFonts w:ascii="Courier" w:hAnsi="Courier"/>
      <w:lang w:val="x-none" w:eastAsia="cs-CZ"/>
    </w:rPr>
  </w:style>
  <w:style w:type="character" w:customStyle="1" w:styleId="TextkomentraChar1280">
    <w:name w:val="Text komentára Char1280"/>
    <w:aliases w:val="Char7 Char Char1281,Text komentára Char Char Char1281,Comment Text Char Char Char1281"/>
    <w:uiPriority w:val="99"/>
    <w:semiHidden/>
    <w:rPr>
      <w:rFonts w:ascii="Courier" w:hAnsi="Courier"/>
      <w:lang w:val="x-none" w:eastAsia="cs-CZ"/>
    </w:rPr>
  </w:style>
  <w:style w:type="character" w:customStyle="1" w:styleId="TextkomentraChar1279">
    <w:name w:val="Text komentára Char1279"/>
    <w:aliases w:val="Char7 Char Char1280,Text komentára Char Char Char1280,Comment Text Char Char Char1280"/>
    <w:uiPriority w:val="99"/>
    <w:semiHidden/>
    <w:rPr>
      <w:rFonts w:ascii="Courier" w:hAnsi="Courier"/>
      <w:lang w:val="x-none" w:eastAsia="cs-CZ"/>
    </w:rPr>
  </w:style>
  <w:style w:type="character" w:customStyle="1" w:styleId="TextkomentraChar1278">
    <w:name w:val="Text komentára Char1278"/>
    <w:aliases w:val="Char7 Char Char1279,Text komentára Char Char Char1279,Comment Text Char Char Char1279"/>
    <w:uiPriority w:val="99"/>
    <w:semiHidden/>
    <w:rPr>
      <w:rFonts w:ascii="Courier" w:hAnsi="Courier"/>
      <w:lang w:val="x-none" w:eastAsia="cs-CZ"/>
    </w:rPr>
  </w:style>
  <w:style w:type="character" w:customStyle="1" w:styleId="TextkomentraChar1277">
    <w:name w:val="Text komentára Char1277"/>
    <w:aliases w:val="Char7 Char Char1278,Text komentára Char Char Char1278,Comment Text Char Char Char1278"/>
    <w:uiPriority w:val="99"/>
    <w:semiHidden/>
    <w:rPr>
      <w:rFonts w:ascii="Courier" w:hAnsi="Courier"/>
      <w:lang w:val="x-none" w:eastAsia="cs-CZ"/>
    </w:rPr>
  </w:style>
  <w:style w:type="character" w:customStyle="1" w:styleId="TextkomentraChar1276">
    <w:name w:val="Text komentára Char1276"/>
    <w:aliases w:val="Char7 Char Char1277,Text komentára Char Char Char1277,Comment Text Char Char Char1277"/>
    <w:uiPriority w:val="99"/>
    <w:semiHidden/>
    <w:rPr>
      <w:rFonts w:ascii="Courier" w:hAnsi="Courier"/>
      <w:lang w:val="x-none" w:eastAsia="cs-CZ"/>
    </w:rPr>
  </w:style>
  <w:style w:type="character" w:customStyle="1" w:styleId="TextkomentraChar1275">
    <w:name w:val="Text komentára Char1275"/>
    <w:aliases w:val="Char7 Char Char1276,Text komentára Char Char Char1276,Comment Text Char Char Char1276"/>
    <w:uiPriority w:val="99"/>
    <w:semiHidden/>
    <w:rPr>
      <w:rFonts w:ascii="Courier" w:hAnsi="Courier"/>
      <w:lang w:val="x-none" w:eastAsia="cs-CZ"/>
    </w:rPr>
  </w:style>
  <w:style w:type="character" w:customStyle="1" w:styleId="TextkomentraChar1274">
    <w:name w:val="Text komentára Char1274"/>
    <w:aliases w:val="Char7 Char Char1275,Text komentára Char Char Char1275,Comment Text Char Char Char1275"/>
    <w:uiPriority w:val="99"/>
    <w:semiHidden/>
    <w:rPr>
      <w:rFonts w:ascii="Courier" w:hAnsi="Courier"/>
      <w:lang w:val="x-none" w:eastAsia="cs-CZ"/>
    </w:rPr>
  </w:style>
  <w:style w:type="character" w:customStyle="1" w:styleId="TextkomentraChar1273">
    <w:name w:val="Text komentára Char1273"/>
    <w:aliases w:val="Char7 Char Char1274,Text komentára Char Char Char1274,Comment Text Char Char Char1274"/>
    <w:uiPriority w:val="99"/>
    <w:semiHidden/>
    <w:rPr>
      <w:rFonts w:ascii="Courier" w:hAnsi="Courier"/>
      <w:lang w:val="x-none" w:eastAsia="cs-CZ"/>
    </w:rPr>
  </w:style>
  <w:style w:type="character" w:customStyle="1" w:styleId="TextkomentraChar1272">
    <w:name w:val="Text komentára Char1272"/>
    <w:aliases w:val="Char7 Char Char1273,Text komentára Char Char Char1273,Comment Text Char Char Char1273"/>
    <w:uiPriority w:val="99"/>
    <w:semiHidden/>
    <w:rPr>
      <w:rFonts w:ascii="Courier" w:hAnsi="Courier"/>
      <w:lang w:val="x-none" w:eastAsia="cs-CZ"/>
    </w:rPr>
  </w:style>
  <w:style w:type="character" w:customStyle="1" w:styleId="TextkomentraChar1271">
    <w:name w:val="Text komentára Char1271"/>
    <w:aliases w:val="Char7 Char Char1272,Text komentára Char Char Char1272,Comment Text Char Char Char1272"/>
    <w:uiPriority w:val="99"/>
    <w:semiHidden/>
    <w:rPr>
      <w:rFonts w:ascii="Courier" w:hAnsi="Courier"/>
      <w:lang w:val="x-none" w:eastAsia="cs-CZ"/>
    </w:rPr>
  </w:style>
  <w:style w:type="character" w:customStyle="1" w:styleId="TextkomentraChar1270">
    <w:name w:val="Text komentára Char1270"/>
    <w:aliases w:val="Char7 Char Char1271,Text komentára Char Char Char1271,Comment Text Char Char Char1271"/>
    <w:uiPriority w:val="99"/>
    <w:semiHidden/>
    <w:rPr>
      <w:rFonts w:ascii="Courier" w:hAnsi="Courier"/>
      <w:lang w:val="x-none" w:eastAsia="cs-CZ"/>
    </w:rPr>
  </w:style>
  <w:style w:type="character" w:customStyle="1" w:styleId="TextkomentraChar1269">
    <w:name w:val="Text komentára Char1269"/>
    <w:aliases w:val="Char7 Char Char1270,Text komentára Char Char Char1270,Comment Text Char Char Char1270"/>
    <w:uiPriority w:val="99"/>
    <w:semiHidden/>
    <w:rPr>
      <w:rFonts w:ascii="Courier" w:hAnsi="Courier"/>
      <w:lang w:val="x-none" w:eastAsia="cs-CZ"/>
    </w:rPr>
  </w:style>
  <w:style w:type="character" w:customStyle="1" w:styleId="TextkomentraChar1268">
    <w:name w:val="Text komentára Char1268"/>
    <w:aliases w:val="Char7 Char Char1269,Text komentára Char Char Char1269,Comment Text Char Char Char1269"/>
    <w:uiPriority w:val="99"/>
    <w:semiHidden/>
    <w:rPr>
      <w:rFonts w:ascii="Courier" w:hAnsi="Courier"/>
      <w:lang w:val="x-none" w:eastAsia="cs-CZ"/>
    </w:rPr>
  </w:style>
  <w:style w:type="character" w:customStyle="1" w:styleId="TextkomentraChar1267">
    <w:name w:val="Text komentára Char1267"/>
    <w:aliases w:val="Char7 Char Char1268,Text komentára Char Char Char1268,Comment Text Char Char Char1268"/>
    <w:uiPriority w:val="99"/>
    <w:semiHidden/>
    <w:rPr>
      <w:rFonts w:ascii="Courier" w:hAnsi="Courier"/>
      <w:lang w:val="x-none" w:eastAsia="cs-CZ"/>
    </w:rPr>
  </w:style>
  <w:style w:type="character" w:customStyle="1" w:styleId="TextkomentraChar1266">
    <w:name w:val="Text komentára Char1266"/>
    <w:aliases w:val="Char7 Char Char1267,Text komentára Char Char Char1267,Comment Text Char Char Char1267"/>
    <w:uiPriority w:val="99"/>
    <w:semiHidden/>
    <w:rPr>
      <w:rFonts w:ascii="Courier" w:hAnsi="Courier"/>
      <w:lang w:val="x-none" w:eastAsia="cs-CZ"/>
    </w:rPr>
  </w:style>
  <w:style w:type="character" w:customStyle="1" w:styleId="TextkomentraChar1265">
    <w:name w:val="Text komentára Char1265"/>
    <w:aliases w:val="Char7 Char Char1266,Text komentára Char Char Char1266,Comment Text Char Char Char1266"/>
    <w:uiPriority w:val="99"/>
    <w:semiHidden/>
    <w:rPr>
      <w:rFonts w:ascii="Courier" w:hAnsi="Courier"/>
      <w:lang w:val="x-none" w:eastAsia="cs-CZ"/>
    </w:rPr>
  </w:style>
  <w:style w:type="character" w:customStyle="1" w:styleId="TextkomentraChar1264">
    <w:name w:val="Text komentára Char1264"/>
    <w:aliases w:val="Char7 Char Char1265,Text komentára Char Char Char1265,Comment Text Char Char Char1265"/>
    <w:uiPriority w:val="99"/>
    <w:semiHidden/>
    <w:rPr>
      <w:rFonts w:ascii="Courier" w:hAnsi="Courier"/>
      <w:lang w:val="x-none" w:eastAsia="cs-CZ"/>
    </w:rPr>
  </w:style>
  <w:style w:type="character" w:customStyle="1" w:styleId="TextkomentraChar1263">
    <w:name w:val="Text komentára Char1263"/>
    <w:aliases w:val="Char7 Char Char1264,Text komentára Char Char Char1264,Comment Text Char Char Char1264"/>
    <w:uiPriority w:val="99"/>
    <w:semiHidden/>
    <w:rPr>
      <w:rFonts w:ascii="Courier" w:hAnsi="Courier"/>
      <w:lang w:val="x-none" w:eastAsia="cs-CZ"/>
    </w:rPr>
  </w:style>
  <w:style w:type="character" w:customStyle="1" w:styleId="TextkomentraChar1262">
    <w:name w:val="Text komentára Char1262"/>
    <w:aliases w:val="Char7 Char Char1263,Text komentára Char Char Char1263,Comment Text Char Char Char1263"/>
    <w:uiPriority w:val="99"/>
    <w:semiHidden/>
    <w:rPr>
      <w:rFonts w:ascii="Courier" w:hAnsi="Courier"/>
      <w:lang w:val="x-none" w:eastAsia="cs-CZ"/>
    </w:rPr>
  </w:style>
  <w:style w:type="character" w:customStyle="1" w:styleId="TextkomentraChar1261">
    <w:name w:val="Text komentára Char1261"/>
    <w:aliases w:val="Char7 Char Char1262,Text komentára Char Char Char1262,Comment Text Char Char Char1262"/>
    <w:uiPriority w:val="99"/>
    <w:semiHidden/>
    <w:rPr>
      <w:rFonts w:ascii="Courier" w:hAnsi="Courier"/>
      <w:lang w:val="x-none" w:eastAsia="cs-CZ"/>
    </w:rPr>
  </w:style>
  <w:style w:type="character" w:customStyle="1" w:styleId="TextkomentraChar1260">
    <w:name w:val="Text komentára Char1260"/>
    <w:aliases w:val="Char7 Char Char1261,Text komentára Char Char Char1261,Comment Text Char Char Char1261"/>
    <w:uiPriority w:val="99"/>
    <w:semiHidden/>
    <w:rPr>
      <w:rFonts w:ascii="Courier" w:hAnsi="Courier"/>
      <w:lang w:val="x-none" w:eastAsia="cs-CZ"/>
    </w:rPr>
  </w:style>
  <w:style w:type="character" w:customStyle="1" w:styleId="TextkomentraChar1259">
    <w:name w:val="Text komentára Char1259"/>
    <w:aliases w:val="Char7 Char Char1260,Text komentára Char Char Char1260,Comment Text Char Char Char1260"/>
    <w:uiPriority w:val="99"/>
    <w:semiHidden/>
    <w:rPr>
      <w:rFonts w:ascii="Courier" w:hAnsi="Courier"/>
      <w:lang w:val="x-none" w:eastAsia="cs-CZ"/>
    </w:rPr>
  </w:style>
  <w:style w:type="character" w:customStyle="1" w:styleId="TextkomentraChar1258">
    <w:name w:val="Text komentára Char1258"/>
    <w:aliases w:val="Char7 Char Char1259,Text komentára Char Char Char1259,Comment Text Char Char Char1259"/>
    <w:uiPriority w:val="99"/>
    <w:semiHidden/>
    <w:rPr>
      <w:rFonts w:ascii="Courier" w:hAnsi="Courier"/>
      <w:lang w:val="x-none" w:eastAsia="cs-CZ"/>
    </w:rPr>
  </w:style>
  <w:style w:type="character" w:customStyle="1" w:styleId="TextkomentraChar1257">
    <w:name w:val="Text komentára Char1257"/>
    <w:aliases w:val="Char7 Char Char1258,Text komentára Char Char Char1258,Comment Text Char Char Char1258"/>
    <w:uiPriority w:val="99"/>
    <w:semiHidden/>
    <w:rPr>
      <w:rFonts w:ascii="Courier" w:hAnsi="Courier"/>
      <w:lang w:val="x-none" w:eastAsia="cs-CZ"/>
    </w:rPr>
  </w:style>
  <w:style w:type="character" w:customStyle="1" w:styleId="TextkomentraChar1256">
    <w:name w:val="Text komentára Char1256"/>
    <w:aliases w:val="Char7 Char Char1257,Text komentára Char Char Char1257,Comment Text Char Char Char1257"/>
    <w:uiPriority w:val="99"/>
    <w:semiHidden/>
    <w:rPr>
      <w:rFonts w:ascii="Courier" w:hAnsi="Courier"/>
      <w:lang w:val="x-none" w:eastAsia="cs-CZ"/>
    </w:rPr>
  </w:style>
  <w:style w:type="character" w:customStyle="1" w:styleId="TextkomentraChar1255">
    <w:name w:val="Text komentára Char1255"/>
    <w:aliases w:val="Char7 Char Char1256,Text komentára Char Char Char1256,Comment Text Char Char Char1256"/>
    <w:uiPriority w:val="99"/>
    <w:semiHidden/>
    <w:rPr>
      <w:rFonts w:ascii="Courier" w:hAnsi="Courier"/>
      <w:lang w:val="x-none" w:eastAsia="cs-CZ"/>
    </w:rPr>
  </w:style>
  <w:style w:type="character" w:customStyle="1" w:styleId="TextkomentraChar1254">
    <w:name w:val="Text komentára Char1254"/>
    <w:aliases w:val="Char7 Char Char1255,Text komentára Char Char Char1255,Comment Text Char Char Char1255"/>
    <w:uiPriority w:val="99"/>
    <w:semiHidden/>
    <w:rPr>
      <w:rFonts w:ascii="Courier" w:hAnsi="Courier"/>
      <w:lang w:val="x-none" w:eastAsia="cs-CZ"/>
    </w:rPr>
  </w:style>
  <w:style w:type="character" w:customStyle="1" w:styleId="TextkomentraChar1253">
    <w:name w:val="Text komentára Char1253"/>
    <w:aliases w:val="Char7 Char Char1254,Text komentára Char Char Char1254,Comment Text Char Char Char1254"/>
    <w:uiPriority w:val="99"/>
    <w:semiHidden/>
    <w:rPr>
      <w:rFonts w:ascii="Courier" w:hAnsi="Courier"/>
      <w:lang w:val="x-none" w:eastAsia="cs-CZ"/>
    </w:rPr>
  </w:style>
  <w:style w:type="character" w:customStyle="1" w:styleId="TextkomentraChar1252">
    <w:name w:val="Text komentára Char1252"/>
    <w:aliases w:val="Char7 Char Char1253,Text komentára Char Char Char1253,Comment Text Char Char Char1253"/>
    <w:uiPriority w:val="99"/>
    <w:semiHidden/>
    <w:rPr>
      <w:rFonts w:ascii="Courier" w:hAnsi="Courier"/>
      <w:lang w:val="x-none" w:eastAsia="cs-CZ"/>
    </w:rPr>
  </w:style>
  <w:style w:type="character" w:customStyle="1" w:styleId="TextkomentraChar1251">
    <w:name w:val="Text komentára Char1251"/>
    <w:aliases w:val="Char7 Char Char1252,Text komentára Char Char Char1252,Comment Text Char Char Char1252"/>
    <w:uiPriority w:val="99"/>
    <w:semiHidden/>
    <w:rPr>
      <w:rFonts w:ascii="Courier" w:hAnsi="Courier"/>
      <w:lang w:val="x-none" w:eastAsia="cs-CZ"/>
    </w:rPr>
  </w:style>
  <w:style w:type="character" w:customStyle="1" w:styleId="TextkomentraChar1250">
    <w:name w:val="Text komentára Char1250"/>
    <w:aliases w:val="Char7 Char Char1251,Text komentára Char Char Char1251,Comment Text Char Char Char1251"/>
    <w:uiPriority w:val="99"/>
    <w:semiHidden/>
    <w:rPr>
      <w:rFonts w:ascii="Courier" w:hAnsi="Courier"/>
      <w:lang w:val="x-none" w:eastAsia="cs-CZ"/>
    </w:rPr>
  </w:style>
  <w:style w:type="character" w:customStyle="1" w:styleId="TextkomentraChar1249">
    <w:name w:val="Text komentára Char1249"/>
    <w:aliases w:val="Char7 Char Char1250,Text komentára Char Char Char1250,Comment Text Char Char Char1250"/>
    <w:uiPriority w:val="99"/>
    <w:semiHidden/>
    <w:rPr>
      <w:rFonts w:ascii="Courier" w:hAnsi="Courier"/>
      <w:lang w:val="x-none" w:eastAsia="cs-CZ"/>
    </w:rPr>
  </w:style>
  <w:style w:type="character" w:customStyle="1" w:styleId="TextkomentraChar1248">
    <w:name w:val="Text komentára Char1248"/>
    <w:aliases w:val="Char7 Char Char1249,Text komentára Char Char Char1249,Comment Text Char Char Char1249"/>
    <w:uiPriority w:val="99"/>
    <w:semiHidden/>
    <w:rPr>
      <w:rFonts w:ascii="Courier" w:hAnsi="Courier"/>
      <w:lang w:val="x-none" w:eastAsia="cs-CZ"/>
    </w:rPr>
  </w:style>
  <w:style w:type="character" w:customStyle="1" w:styleId="TextkomentraChar1247">
    <w:name w:val="Text komentára Char1247"/>
    <w:aliases w:val="Char7 Char Char1248,Text komentára Char Char Char1248,Comment Text Char Char Char1248"/>
    <w:uiPriority w:val="99"/>
    <w:semiHidden/>
    <w:rPr>
      <w:rFonts w:ascii="Courier" w:hAnsi="Courier"/>
      <w:lang w:val="x-none" w:eastAsia="cs-CZ"/>
    </w:rPr>
  </w:style>
  <w:style w:type="character" w:customStyle="1" w:styleId="TextkomentraChar1246">
    <w:name w:val="Text komentára Char1246"/>
    <w:aliases w:val="Char7 Char Char1247,Text komentára Char Char Char1247,Comment Text Char Char Char1247"/>
    <w:uiPriority w:val="99"/>
    <w:semiHidden/>
    <w:rPr>
      <w:rFonts w:ascii="Courier" w:hAnsi="Courier"/>
      <w:lang w:val="x-none" w:eastAsia="cs-CZ"/>
    </w:rPr>
  </w:style>
  <w:style w:type="character" w:customStyle="1" w:styleId="TextkomentraChar1245">
    <w:name w:val="Text komentára Char1245"/>
    <w:aliases w:val="Char7 Char Char1246,Text komentára Char Char Char1246,Comment Text Char Char Char1246"/>
    <w:uiPriority w:val="99"/>
    <w:semiHidden/>
    <w:rPr>
      <w:rFonts w:ascii="Courier" w:hAnsi="Courier"/>
      <w:lang w:val="x-none" w:eastAsia="cs-CZ"/>
    </w:rPr>
  </w:style>
  <w:style w:type="character" w:customStyle="1" w:styleId="TextkomentraChar1244">
    <w:name w:val="Text komentára Char1244"/>
    <w:aliases w:val="Char7 Char Char1245,Text komentára Char Char Char1245,Comment Text Char Char Char1245"/>
    <w:uiPriority w:val="99"/>
    <w:semiHidden/>
    <w:rPr>
      <w:rFonts w:ascii="Courier" w:hAnsi="Courier"/>
      <w:lang w:val="x-none" w:eastAsia="cs-CZ"/>
    </w:rPr>
  </w:style>
  <w:style w:type="character" w:customStyle="1" w:styleId="TextkomentraChar1243">
    <w:name w:val="Text komentára Char1243"/>
    <w:aliases w:val="Char7 Char Char1244,Text komentára Char Char Char1244,Comment Text Char Char Char1244"/>
    <w:uiPriority w:val="99"/>
    <w:semiHidden/>
    <w:rPr>
      <w:rFonts w:ascii="Courier" w:hAnsi="Courier"/>
      <w:lang w:val="x-none" w:eastAsia="cs-CZ"/>
    </w:rPr>
  </w:style>
  <w:style w:type="character" w:customStyle="1" w:styleId="TextkomentraChar1242">
    <w:name w:val="Text komentára Char1242"/>
    <w:aliases w:val="Char7 Char Char1243,Text komentára Char Char Char1243,Comment Text Char Char Char1243"/>
    <w:uiPriority w:val="99"/>
    <w:semiHidden/>
    <w:rPr>
      <w:rFonts w:ascii="Courier" w:hAnsi="Courier"/>
      <w:lang w:val="x-none" w:eastAsia="cs-CZ"/>
    </w:rPr>
  </w:style>
  <w:style w:type="character" w:customStyle="1" w:styleId="TextkomentraChar1241">
    <w:name w:val="Text komentára Char1241"/>
    <w:aliases w:val="Char7 Char Char1242,Text komentára Char Char Char1242,Comment Text Char Char Char1242"/>
    <w:uiPriority w:val="99"/>
    <w:semiHidden/>
    <w:rPr>
      <w:rFonts w:ascii="Courier" w:hAnsi="Courier"/>
      <w:lang w:val="x-none" w:eastAsia="cs-CZ"/>
    </w:rPr>
  </w:style>
  <w:style w:type="character" w:customStyle="1" w:styleId="TextkomentraChar1240">
    <w:name w:val="Text komentára Char1240"/>
    <w:aliases w:val="Char7 Char Char1241,Text komentára Char Char Char1241,Comment Text Char Char Char1241"/>
    <w:uiPriority w:val="99"/>
    <w:semiHidden/>
    <w:rPr>
      <w:rFonts w:ascii="Courier" w:hAnsi="Courier"/>
      <w:lang w:val="x-none" w:eastAsia="cs-CZ"/>
    </w:rPr>
  </w:style>
  <w:style w:type="character" w:customStyle="1" w:styleId="TextkomentraChar1239">
    <w:name w:val="Text komentára Char1239"/>
    <w:aliases w:val="Char7 Char Char1240,Text komentára Char Char Char1240,Comment Text Char Char Char1240"/>
    <w:uiPriority w:val="99"/>
    <w:semiHidden/>
    <w:rPr>
      <w:rFonts w:ascii="Courier" w:hAnsi="Courier"/>
      <w:lang w:val="x-none" w:eastAsia="cs-CZ"/>
    </w:rPr>
  </w:style>
  <w:style w:type="character" w:customStyle="1" w:styleId="TextkomentraChar1238">
    <w:name w:val="Text komentára Char1238"/>
    <w:aliases w:val="Char7 Char Char1239,Text komentára Char Char Char1239,Comment Text Char Char Char1239"/>
    <w:uiPriority w:val="99"/>
    <w:semiHidden/>
    <w:rPr>
      <w:rFonts w:ascii="Courier" w:hAnsi="Courier"/>
      <w:lang w:val="x-none" w:eastAsia="cs-CZ"/>
    </w:rPr>
  </w:style>
  <w:style w:type="character" w:customStyle="1" w:styleId="TextkomentraChar1237">
    <w:name w:val="Text komentára Char1237"/>
    <w:aliases w:val="Char7 Char Char1238,Text komentára Char Char Char1238,Comment Text Char Char Char1238"/>
    <w:uiPriority w:val="99"/>
    <w:semiHidden/>
    <w:rPr>
      <w:rFonts w:ascii="Courier" w:hAnsi="Courier"/>
      <w:lang w:val="x-none" w:eastAsia="cs-CZ"/>
    </w:rPr>
  </w:style>
  <w:style w:type="character" w:customStyle="1" w:styleId="TextkomentraChar1236">
    <w:name w:val="Text komentára Char1236"/>
    <w:aliases w:val="Char7 Char Char1237,Text komentára Char Char Char1237,Comment Text Char Char Char1237"/>
    <w:uiPriority w:val="99"/>
    <w:semiHidden/>
    <w:rPr>
      <w:rFonts w:ascii="Courier" w:hAnsi="Courier"/>
      <w:lang w:val="x-none" w:eastAsia="cs-CZ"/>
    </w:rPr>
  </w:style>
  <w:style w:type="character" w:customStyle="1" w:styleId="TextkomentraChar1235">
    <w:name w:val="Text komentára Char1235"/>
    <w:aliases w:val="Char7 Char Char1236,Text komentára Char Char Char1236,Comment Text Char Char Char1236"/>
    <w:uiPriority w:val="99"/>
    <w:semiHidden/>
    <w:rPr>
      <w:rFonts w:ascii="Courier" w:hAnsi="Courier"/>
      <w:lang w:val="x-none" w:eastAsia="cs-CZ"/>
    </w:rPr>
  </w:style>
  <w:style w:type="character" w:customStyle="1" w:styleId="TextkomentraChar1234">
    <w:name w:val="Text komentára Char1234"/>
    <w:aliases w:val="Char7 Char Char1235,Text komentára Char Char Char1235,Comment Text Char Char Char1235"/>
    <w:uiPriority w:val="99"/>
    <w:semiHidden/>
    <w:rPr>
      <w:rFonts w:ascii="Courier" w:hAnsi="Courier"/>
      <w:lang w:val="x-none" w:eastAsia="cs-CZ"/>
    </w:rPr>
  </w:style>
  <w:style w:type="character" w:customStyle="1" w:styleId="TextkomentraChar1233">
    <w:name w:val="Text komentára Char1233"/>
    <w:aliases w:val="Char7 Char Char1234,Text komentára Char Char Char1234,Comment Text Char Char Char1234"/>
    <w:uiPriority w:val="99"/>
    <w:semiHidden/>
    <w:rPr>
      <w:rFonts w:ascii="Courier" w:hAnsi="Courier"/>
      <w:lang w:val="x-none" w:eastAsia="cs-CZ"/>
    </w:rPr>
  </w:style>
  <w:style w:type="character" w:customStyle="1" w:styleId="TextkomentraChar1232">
    <w:name w:val="Text komentára Char1232"/>
    <w:aliases w:val="Char7 Char Char1233,Text komentára Char Char Char1233,Comment Text Char Char Char1233"/>
    <w:uiPriority w:val="99"/>
    <w:semiHidden/>
    <w:rPr>
      <w:rFonts w:ascii="Courier" w:hAnsi="Courier"/>
      <w:lang w:val="x-none" w:eastAsia="cs-CZ"/>
    </w:rPr>
  </w:style>
  <w:style w:type="character" w:customStyle="1" w:styleId="TextkomentraChar1231">
    <w:name w:val="Text komentára Char1231"/>
    <w:aliases w:val="Char7 Char Char1232,Text komentára Char Char Char1232,Comment Text Char Char Char1232"/>
    <w:uiPriority w:val="99"/>
    <w:semiHidden/>
    <w:rPr>
      <w:rFonts w:ascii="Courier" w:hAnsi="Courier"/>
      <w:lang w:val="x-none" w:eastAsia="cs-CZ"/>
    </w:rPr>
  </w:style>
  <w:style w:type="character" w:customStyle="1" w:styleId="TextkomentraChar1230">
    <w:name w:val="Text komentára Char1230"/>
    <w:aliases w:val="Char7 Char Char1231,Text komentára Char Char Char1231,Comment Text Char Char Char1231"/>
    <w:uiPriority w:val="99"/>
    <w:semiHidden/>
    <w:rPr>
      <w:rFonts w:ascii="Courier" w:hAnsi="Courier"/>
      <w:lang w:val="x-none" w:eastAsia="cs-CZ"/>
    </w:rPr>
  </w:style>
  <w:style w:type="character" w:customStyle="1" w:styleId="TextkomentraChar1229">
    <w:name w:val="Text komentára Char1229"/>
    <w:aliases w:val="Char7 Char Char1230,Text komentára Char Char Char1230,Comment Text Char Char Char1230"/>
    <w:uiPriority w:val="99"/>
    <w:semiHidden/>
    <w:rPr>
      <w:rFonts w:ascii="Courier" w:hAnsi="Courier"/>
      <w:lang w:val="x-none" w:eastAsia="cs-CZ"/>
    </w:rPr>
  </w:style>
  <w:style w:type="character" w:customStyle="1" w:styleId="TextkomentraChar1228">
    <w:name w:val="Text komentára Char1228"/>
    <w:aliases w:val="Char7 Char Char1229,Text komentára Char Char Char1229,Comment Text Char Char Char1229"/>
    <w:uiPriority w:val="99"/>
    <w:semiHidden/>
    <w:rPr>
      <w:rFonts w:ascii="Courier" w:hAnsi="Courier"/>
      <w:lang w:val="x-none" w:eastAsia="cs-CZ"/>
    </w:rPr>
  </w:style>
  <w:style w:type="character" w:customStyle="1" w:styleId="TextkomentraChar1227">
    <w:name w:val="Text komentára Char1227"/>
    <w:aliases w:val="Char7 Char Char1228,Text komentára Char Char Char1228,Comment Text Char Char Char1228"/>
    <w:uiPriority w:val="99"/>
    <w:semiHidden/>
    <w:rPr>
      <w:rFonts w:ascii="Courier" w:hAnsi="Courier"/>
      <w:lang w:val="x-none" w:eastAsia="cs-CZ"/>
    </w:rPr>
  </w:style>
  <w:style w:type="character" w:customStyle="1" w:styleId="TextkomentraChar1226">
    <w:name w:val="Text komentára Char1226"/>
    <w:aliases w:val="Char7 Char Char1227,Text komentára Char Char Char1227,Comment Text Char Char Char1227"/>
    <w:uiPriority w:val="99"/>
    <w:semiHidden/>
    <w:rPr>
      <w:rFonts w:ascii="Courier" w:hAnsi="Courier"/>
      <w:lang w:val="x-none" w:eastAsia="cs-CZ"/>
    </w:rPr>
  </w:style>
  <w:style w:type="character" w:customStyle="1" w:styleId="TextkomentraChar1225">
    <w:name w:val="Text komentára Char1225"/>
    <w:aliases w:val="Char7 Char Char1226,Text komentára Char Char Char1226,Comment Text Char Char Char1226"/>
    <w:uiPriority w:val="99"/>
    <w:semiHidden/>
    <w:rPr>
      <w:rFonts w:ascii="Courier" w:hAnsi="Courier"/>
      <w:lang w:val="x-none" w:eastAsia="cs-CZ"/>
    </w:rPr>
  </w:style>
  <w:style w:type="character" w:customStyle="1" w:styleId="TextkomentraChar1224">
    <w:name w:val="Text komentára Char1224"/>
    <w:aliases w:val="Char7 Char Char1225,Text komentára Char Char Char1225,Comment Text Char Char Char1225"/>
    <w:uiPriority w:val="99"/>
    <w:semiHidden/>
    <w:rPr>
      <w:rFonts w:ascii="Courier" w:hAnsi="Courier"/>
      <w:lang w:val="x-none" w:eastAsia="cs-CZ"/>
    </w:rPr>
  </w:style>
  <w:style w:type="character" w:customStyle="1" w:styleId="TextkomentraChar1223">
    <w:name w:val="Text komentára Char1223"/>
    <w:aliases w:val="Char7 Char Char1224,Text komentára Char Char Char1224,Comment Text Char Char Char1224"/>
    <w:uiPriority w:val="99"/>
    <w:semiHidden/>
    <w:rPr>
      <w:rFonts w:ascii="Courier" w:hAnsi="Courier"/>
      <w:lang w:val="x-none" w:eastAsia="cs-CZ"/>
    </w:rPr>
  </w:style>
  <w:style w:type="character" w:customStyle="1" w:styleId="TextkomentraChar1222">
    <w:name w:val="Text komentára Char1222"/>
    <w:aliases w:val="Char7 Char Char1223,Text komentára Char Char Char1223,Comment Text Char Char Char1223"/>
    <w:uiPriority w:val="99"/>
    <w:semiHidden/>
    <w:rPr>
      <w:rFonts w:ascii="Courier" w:hAnsi="Courier"/>
      <w:lang w:val="x-none" w:eastAsia="cs-CZ"/>
    </w:rPr>
  </w:style>
  <w:style w:type="character" w:customStyle="1" w:styleId="TextkomentraChar1221">
    <w:name w:val="Text komentára Char1221"/>
    <w:aliases w:val="Char7 Char Char1222,Text komentára Char Char Char1222,Comment Text Char Char Char1222"/>
    <w:uiPriority w:val="99"/>
    <w:semiHidden/>
    <w:rPr>
      <w:rFonts w:ascii="Courier" w:hAnsi="Courier"/>
      <w:lang w:val="x-none" w:eastAsia="cs-CZ"/>
    </w:rPr>
  </w:style>
  <w:style w:type="character" w:customStyle="1" w:styleId="TextkomentraChar1220">
    <w:name w:val="Text komentára Char1220"/>
    <w:aliases w:val="Char7 Char Char1221,Text komentára Char Char Char1221,Comment Text Char Char Char1221"/>
    <w:uiPriority w:val="99"/>
    <w:semiHidden/>
    <w:rPr>
      <w:rFonts w:ascii="Courier" w:hAnsi="Courier"/>
      <w:lang w:val="x-none" w:eastAsia="cs-CZ"/>
    </w:rPr>
  </w:style>
  <w:style w:type="character" w:customStyle="1" w:styleId="TextkomentraChar1219">
    <w:name w:val="Text komentára Char1219"/>
    <w:aliases w:val="Char7 Char Char1220,Text komentára Char Char Char1220,Comment Text Char Char Char1220"/>
    <w:uiPriority w:val="99"/>
    <w:semiHidden/>
    <w:rPr>
      <w:rFonts w:ascii="Courier" w:hAnsi="Courier"/>
      <w:lang w:val="x-none" w:eastAsia="cs-CZ"/>
    </w:rPr>
  </w:style>
  <w:style w:type="character" w:customStyle="1" w:styleId="TextkomentraChar1218">
    <w:name w:val="Text komentára Char1218"/>
    <w:aliases w:val="Char7 Char Char1219,Text komentára Char Char Char1219,Comment Text Char Char Char1219"/>
    <w:uiPriority w:val="99"/>
    <w:semiHidden/>
    <w:rPr>
      <w:rFonts w:ascii="Courier" w:hAnsi="Courier"/>
      <w:lang w:val="x-none" w:eastAsia="cs-CZ"/>
    </w:rPr>
  </w:style>
  <w:style w:type="character" w:customStyle="1" w:styleId="TextkomentraChar1217">
    <w:name w:val="Text komentára Char1217"/>
    <w:aliases w:val="Char7 Char Char1218,Text komentára Char Char Char1218,Comment Text Char Char Char1218"/>
    <w:uiPriority w:val="99"/>
    <w:semiHidden/>
    <w:rPr>
      <w:rFonts w:ascii="Courier" w:hAnsi="Courier"/>
      <w:lang w:val="x-none" w:eastAsia="cs-CZ"/>
    </w:rPr>
  </w:style>
  <w:style w:type="character" w:customStyle="1" w:styleId="TextkomentraChar1216">
    <w:name w:val="Text komentára Char1216"/>
    <w:aliases w:val="Char7 Char Char1217,Text komentára Char Char Char1217,Comment Text Char Char Char1217"/>
    <w:uiPriority w:val="99"/>
    <w:semiHidden/>
    <w:rPr>
      <w:rFonts w:ascii="Courier" w:hAnsi="Courier"/>
      <w:lang w:val="x-none" w:eastAsia="cs-CZ"/>
    </w:rPr>
  </w:style>
  <w:style w:type="character" w:customStyle="1" w:styleId="TextkomentraChar1215">
    <w:name w:val="Text komentára Char1215"/>
    <w:aliases w:val="Char7 Char Char1216,Text komentára Char Char Char1216,Comment Text Char Char Char1216"/>
    <w:uiPriority w:val="99"/>
    <w:semiHidden/>
    <w:rPr>
      <w:rFonts w:ascii="Courier" w:hAnsi="Courier"/>
      <w:lang w:val="x-none" w:eastAsia="cs-CZ"/>
    </w:rPr>
  </w:style>
  <w:style w:type="character" w:customStyle="1" w:styleId="TextkomentraChar1214">
    <w:name w:val="Text komentára Char1214"/>
    <w:aliases w:val="Char7 Char Char1215,Text komentára Char Char Char1215,Comment Text Char Char Char1215"/>
    <w:uiPriority w:val="99"/>
    <w:semiHidden/>
    <w:rPr>
      <w:rFonts w:ascii="Courier" w:hAnsi="Courier"/>
      <w:lang w:val="x-none" w:eastAsia="cs-CZ"/>
    </w:rPr>
  </w:style>
  <w:style w:type="character" w:customStyle="1" w:styleId="TextkomentraChar1213">
    <w:name w:val="Text komentára Char1213"/>
    <w:aliases w:val="Char7 Char Char1214,Text komentára Char Char Char1214,Comment Text Char Char Char1214"/>
    <w:uiPriority w:val="99"/>
    <w:semiHidden/>
    <w:rPr>
      <w:rFonts w:ascii="Courier" w:hAnsi="Courier"/>
      <w:lang w:val="x-none" w:eastAsia="cs-CZ"/>
    </w:rPr>
  </w:style>
  <w:style w:type="character" w:customStyle="1" w:styleId="TextkomentraChar1212">
    <w:name w:val="Text komentára Char1212"/>
    <w:aliases w:val="Char7 Char Char1213,Text komentára Char Char Char1213,Comment Text Char Char Char1213"/>
    <w:uiPriority w:val="99"/>
    <w:semiHidden/>
    <w:rPr>
      <w:rFonts w:ascii="Courier" w:hAnsi="Courier"/>
      <w:lang w:val="x-none" w:eastAsia="cs-CZ"/>
    </w:rPr>
  </w:style>
  <w:style w:type="character" w:customStyle="1" w:styleId="TextkomentraChar1211">
    <w:name w:val="Text komentára Char1211"/>
    <w:aliases w:val="Char7 Char Char1212,Text komentára Char Char Char1212,Comment Text Char Char Char1212"/>
    <w:uiPriority w:val="99"/>
    <w:semiHidden/>
    <w:rPr>
      <w:rFonts w:ascii="Courier" w:hAnsi="Courier"/>
      <w:lang w:val="x-none" w:eastAsia="cs-CZ"/>
    </w:rPr>
  </w:style>
  <w:style w:type="character" w:customStyle="1" w:styleId="TextkomentraChar1210">
    <w:name w:val="Text komentára Char1210"/>
    <w:aliases w:val="Char7 Char Char1211,Text komentára Char Char Char1211,Comment Text Char Char Char1211"/>
    <w:uiPriority w:val="99"/>
    <w:semiHidden/>
    <w:rPr>
      <w:rFonts w:ascii="Courier" w:hAnsi="Courier"/>
      <w:lang w:val="x-none" w:eastAsia="cs-CZ"/>
    </w:rPr>
  </w:style>
  <w:style w:type="character" w:customStyle="1" w:styleId="TextkomentraChar1209">
    <w:name w:val="Text komentára Char1209"/>
    <w:aliases w:val="Char7 Char Char1210,Text komentára Char Char Char1210,Comment Text Char Char Char1210"/>
    <w:uiPriority w:val="99"/>
    <w:semiHidden/>
    <w:rPr>
      <w:rFonts w:ascii="Courier" w:hAnsi="Courier"/>
      <w:lang w:val="x-none" w:eastAsia="cs-CZ"/>
    </w:rPr>
  </w:style>
  <w:style w:type="character" w:customStyle="1" w:styleId="TextkomentraChar1208">
    <w:name w:val="Text komentára Char1208"/>
    <w:aliases w:val="Char7 Char Char1209,Text komentára Char Char Char1209,Comment Text Char Char Char1209"/>
    <w:uiPriority w:val="99"/>
    <w:semiHidden/>
    <w:rPr>
      <w:rFonts w:ascii="Courier" w:hAnsi="Courier"/>
      <w:lang w:val="x-none" w:eastAsia="cs-CZ"/>
    </w:rPr>
  </w:style>
  <w:style w:type="character" w:customStyle="1" w:styleId="TextkomentraChar1207">
    <w:name w:val="Text komentára Char1207"/>
    <w:aliases w:val="Char7 Char Char1208,Text komentára Char Char Char1208,Comment Text Char Char Char1208"/>
    <w:uiPriority w:val="99"/>
    <w:semiHidden/>
    <w:rPr>
      <w:rFonts w:ascii="Courier" w:hAnsi="Courier"/>
      <w:lang w:val="x-none" w:eastAsia="cs-CZ"/>
    </w:rPr>
  </w:style>
  <w:style w:type="character" w:customStyle="1" w:styleId="TextkomentraChar1206">
    <w:name w:val="Text komentára Char1206"/>
    <w:aliases w:val="Char7 Char Char1207,Text komentára Char Char Char1207,Comment Text Char Char Char1207"/>
    <w:uiPriority w:val="99"/>
    <w:semiHidden/>
    <w:rPr>
      <w:rFonts w:ascii="Courier" w:hAnsi="Courier"/>
      <w:lang w:val="x-none" w:eastAsia="cs-CZ"/>
    </w:rPr>
  </w:style>
  <w:style w:type="character" w:customStyle="1" w:styleId="TextkomentraChar1205">
    <w:name w:val="Text komentára Char1205"/>
    <w:aliases w:val="Char7 Char Char1206,Text komentára Char Char Char1206,Comment Text Char Char Char1206"/>
    <w:uiPriority w:val="99"/>
    <w:semiHidden/>
    <w:rPr>
      <w:rFonts w:ascii="Courier" w:hAnsi="Courier"/>
      <w:lang w:val="x-none" w:eastAsia="cs-CZ"/>
    </w:rPr>
  </w:style>
  <w:style w:type="character" w:customStyle="1" w:styleId="TextkomentraChar1204">
    <w:name w:val="Text komentára Char1204"/>
    <w:aliases w:val="Char7 Char Char1205,Text komentára Char Char Char1205,Comment Text Char Char Char1205"/>
    <w:uiPriority w:val="99"/>
    <w:semiHidden/>
    <w:rPr>
      <w:rFonts w:ascii="Courier" w:hAnsi="Courier"/>
      <w:lang w:val="x-none" w:eastAsia="cs-CZ"/>
    </w:rPr>
  </w:style>
  <w:style w:type="character" w:customStyle="1" w:styleId="TextkomentraChar1203">
    <w:name w:val="Text komentára Char1203"/>
    <w:aliases w:val="Char7 Char Char1204,Text komentára Char Char Char1204,Comment Text Char Char Char1204"/>
    <w:uiPriority w:val="99"/>
    <w:semiHidden/>
    <w:rPr>
      <w:rFonts w:ascii="Courier" w:hAnsi="Courier"/>
      <w:lang w:val="x-none" w:eastAsia="cs-CZ"/>
    </w:rPr>
  </w:style>
  <w:style w:type="character" w:customStyle="1" w:styleId="TextkomentraChar1202">
    <w:name w:val="Text komentára Char1202"/>
    <w:aliases w:val="Char7 Char Char1203,Text komentára Char Char Char1203,Comment Text Char Char Char1203"/>
    <w:uiPriority w:val="99"/>
    <w:semiHidden/>
    <w:rPr>
      <w:rFonts w:ascii="Courier" w:hAnsi="Courier"/>
      <w:lang w:val="x-none" w:eastAsia="cs-CZ"/>
    </w:rPr>
  </w:style>
  <w:style w:type="character" w:customStyle="1" w:styleId="TextkomentraChar1201">
    <w:name w:val="Text komentára Char1201"/>
    <w:aliases w:val="Char7 Char Char1202,Text komentára Char Char Char1202,Comment Text Char Char Char1202"/>
    <w:uiPriority w:val="99"/>
    <w:semiHidden/>
    <w:rPr>
      <w:rFonts w:ascii="Courier" w:hAnsi="Courier"/>
      <w:lang w:val="x-none" w:eastAsia="cs-CZ"/>
    </w:rPr>
  </w:style>
  <w:style w:type="character" w:customStyle="1" w:styleId="TextkomentraChar1200">
    <w:name w:val="Text komentára Char1200"/>
    <w:aliases w:val="Char7 Char Char1201,Text komentára Char Char Char1201,Comment Text Char Char Char1201"/>
    <w:uiPriority w:val="99"/>
    <w:semiHidden/>
    <w:rPr>
      <w:rFonts w:ascii="Courier" w:hAnsi="Courier"/>
      <w:lang w:val="x-none" w:eastAsia="cs-CZ"/>
    </w:rPr>
  </w:style>
  <w:style w:type="character" w:customStyle="1" w:styleId="TextkomentraChar1199">
    <w:name w:val="Text komentára Char1199"/>
    <w:aliases w:val="Char7 Char Char1200,Text komentára Char Char Char1200,Comment Text Char Char Char1200"/>
    <w:uiPriority w:val="99"/>
    <w:semiHidden/>
    <w:rPr>
      <w:rFonts w:ascii="Courier" w:hAnsi="Courier"/>
      <w:lang w:val="x-none" w:eastAsia="cs-CZ"/>
    </w:rPr>
  </w:style>
  <w:style w:type="character" w:customStyle="1" w:styleId="TextkomentraChar1198">
    <w:name w:val="Text komentára Char1198"/>
    <w:aliases w:val="Char7 Char Char1199,Text komentára Char Char Char1199,Comment Text Char Char Char1199"/>
    <w:uiPriority w:val="99"/>
    <w:semiHidden/>
    <w:rPr>
      <w:rFonts w:ascii="Courier" w:hAnsi="Courier"/>
      <w:lang w:val="x-none" w:eastAsia="cs-CZ"/>
    </w:rPr>
  </w:style>
  <w:style w:type="character" w:customStyle="1" w:styleId="TextkomentraChar1197">
    <w:name w:val="Text komentára Char1197"/>
    <w:aliases w:val="Char7 Char Char1198,Text komentára Char Char Char1198,Comment Text Char Char Char1198"/>
    <w:uiPriority w:val="99"/>
    <w:semiHidden/>
    <w:rPr>
      <w:rFonts w:ascii="Courier" w:hAnsi="Courier"/>
      <w:lang w:val="x-none" w:eastAsia="cs-CZ"/>
    </w:rPr>
  </w:style>
  <w:style w:type="character" w:customStyle="1" w:styleId="TextkomentraChar1196">
    <w:name w:val="Text komentára Char1196"/>
    <w:aliases w:val="Char7 Char Char1197,Text komentára Char Char Char1197,Comment Text Char Char Char1197"/>
    <w:uiPriority w:val="99"/>
    <w:semiHidden/>
    <w:rPr>
      <w:rFonts w:ascii="Courier" w:hAnsi="Courier"/>
      <w:lang w:val="x-none" w:eastAsia="cs-CZ"/>
    </w:rPr>
  </w:style>
  <w:style w:type="character" w:customStyle="1" w:styleId="TextkomentraChar1195">
    <w:name w:val="Text komentára Char1195"/>
    <w:aliases w:val="Char7 Char Char1196,Text komentára Char Char Char1196,Comment Text Char Char Char1196"/>
    <w:uiPriority w:val="99"/>
    <w:semiHidden/>
    <w:rPr>
      <w:rFonts w:ascii="Courier" w:hAnsi="Courier"/>
      <w:lang w:val="x-none" w:eastAsia="cs-CZ"/>
    </w:rPr>
  </w:style>
  <w:style w:type="character" w:customStyle="1" w:styleId="TextkomentraChar1194">
    <w:name w:val="Text komentára Char1194"/>
    <w:aliases w:val="Char7 Char Char1195,Text komentára Char Char Char1195,Comment Text Char Char Char1195"/>
    <w:uiPriority w:val="99"/>
    <w:semiHidden/>
    <w:rPr>
      <w:rFonts w:ascii="Courier" w:hAnsi="Courier"/>
      <w:lang w:val="x-none" w:eastAsia="cs-CZ"/>
    </w:rPr>
  </w:style>
  <w:style w:type="character" w:customStyle="1" w:styleId="TextkomentraChar1193">
    <w:name w:val="Text komentára Char1193"/>
    <w:aliases w:val="Char7 Char Char1194,Text komentára Char Char Char1194,Comment Text Char Char Char1194"/>
    <w:uiPriority w:val="99"/>
    <w:semiHidden/>
    <w:rPr>
      <w:rFonts w:ascii="Courier" w:hAnsi="Courier"/>
      <w:lang w:val="x-none" w:eastAsia="cs-CZ"/>
    </w:rPr>
  </w:style>
  <w:style w:type="character" w:customStyle="1" w:styleId="TextkomentraChar1192">
    <w:name w:val="Text komentára Char1192"/>
    <w:aliases w:val="Char7 Char Char1193,Text komentára Char Char Char1193,Comment Text Char Char Char1193"/>
    <w:uiPriority w:val="99"/>
    <w:semiHidden/>
    <w:rPr>
      <w:rFonts w:ascii="Courier" w:hAnsi="Courier"/>
      <w:lang w:val="x-none" w:eastAsia="cs-CZ"/>
    </w:rPr>
  </w:style>
  <w:style w:type="character" w:customStyle="1" w:styleId="TextkomentraChar1191">
    <w:name w:val="Text komentára Char1191"/>
    <w:aliases w:val="Char7 Char Char1192,Text komentára Char Char Char1192,Comment Text Char Char Char1192"/>
    <w:uiPriority w:val="99"/>
    <w:semiHidden/>
    <w:rPr>
      <w:rFonts w:ascii="Courier" w:hAnsi="Courier"/>
      <w:lang w:val="x-none" w:eastAsia="cs-CZ"/>
    </w:rPr>
  </w:style>
  <w:style w:type="character" w:customStyle="1" w:styleId="TextkomentraChar1190">
    <w:name w:val="Text komentára Char1190"/>
    <w:aliases w:val="Char7 Char Char1191,Text komentára Char Char Char1191,Comment Text Char Char Char1191"/>
    <w:uiPriority w:val="99"/>
    <w:semiHidden/>
    <w:rPr>
      <w:rFonts w:ascii="Courier" w:hAnsi="Courier"/>
      <w:lang w:val="x-none" w:eastAsia="cs-CZ"/>
    </w:rPr>
  </w:style>
  <w:style w:type="character" w:customStyle="1" w:styleId="TextkomentraChar1189">
    <w:name w:val="Text komentára Char1189"/>
    <w:aliases w:val="Char7 Char Char1190,Text komentára Char Char Char1190,Comment Text Char Char Char1190"/>
    <w:uiPriority w:val="99"/>
    <w:semiHidden/>
    <w:rPr>
      <w:rFonts w:ascii="Courier" w:hAnsi="Courier"/>
      <w:lang w:val="x-none" w:eastAsia="cs-CZ"/>
    </w:rPr>
  </w:style>
  <w:style w:type="character" w:customStyle="1" w:styleId="TextkomentraChar1188">
    <w:name w:val="Text komentára Char1188"/>
    <w:aliases w:val="Char7 Char Char1189,Text komentára Char Char Char1189,Comment Text Char Char Char1189"/>
    <w:uiPriority w:val="99"/>
    <w:semiHidden/>
    <w:rPr>
      <w:rFonts w:ascii="Courier" w:hAnsi="Courier"/>
      <w:lang w:val="x-none" w:eastAsia="cs-CZ"/>
    </w:rPr>
  </w:style>
  <w:style w:type="character" w:customStyle="1" w:styleId="TextkomentraChar1187">
    <w:name w:val="Text komentára Char1187"/>
    <w:aliases w:val="Char7 Char Char1188,Text komentára Char Char Char1188,Comment Text Char Char Char1188"/>
    <w:uiPriority w:val="99"/>
    <w:semiHidden/>
    <w:rPr>
      <w:rFonts w:ascii="Courier" w:hAnsi="Courier"/>
      <w:lang w:val="x-none" w:eastAsia="cs-CZ"/>
    </w:rPr>
  </w:style>
  <w:style w:type="character" w:customStyle="1" w:styleId="TextkomentraChar1186">
    <w:name w:val="Text komentára Char1186"/>
    <w:aliases w:val="Char7 Char Char1187,Text komentára Char Char Char1187,Comment Text Char Char Char1187"/>
    <w:uiPriority w:val="99"/>
    <w:semiHidden/>
    <w:rPr>
      <w:rFonts w:ascii="Courier" w:hAnsi="Courier"/>
      <w:lang w:val="x-none" w:eastAsia="cs-CZ"/>
    </w:rPr>
  </w:style>
  <w:style w:type="character" w:customStyle="1" w:styleId="TextkomentraChar1185">
    <w:name w:val="Text komentára Char1185"/>
    <w:aliases w:val="Char7 Char Char1186,Text komentára Char Char Char1186,Comment Text Char Char Char1186"/>
    <w:uiPriority w:val="99"/>
    <w:semiHidden/>
    <w:rPr>
      <w:rFonts w:ascii="Courier" w:hAnsi="Courier"/>
      <w:lang w:val="x-none" w:eastAsia="cs-CZ"/>
    </w:rPr>
  </w:style>
  <w:style w:type="character" w:customStyle="1" w:styleId="TextkomentraChar1184">
    <w:name w:val="Text komentára Char1184"/>
    <w:aliases w:val="Char7 Char Char1185,Text komentára Char Char Char1185,Comment Text Char Char Char1185"/>
    <w:uiPriority w:val="99"/>
    <w:semiHidden/>
    <w:rPr>
      <w:rFonts w:ascii="Courier" w:hAnsi="Courier"/>
      <w:lang w:val="x-none" w:eastAsia="cs-CZ"/>
    </w:rPr>
  </w:style>
  <w:style w:type="character" w:customStyle="1" w:styleId="TextkomentraChar1183">
    <w:name w:val="Text komentára Char1183"/>
    <w:aliases w:val="Char7 Char Char1184,Text komentára Char Char Char1184,Comment Text Char Char Char1184"/>
    <w:uiPriority w:val="99"/>
    <w:semiHidden/>
    <w:rPr>
      <w:rFonts w:ascii="Courier" w:hAnsi="Courier"/>
      <w:lang w:val="x-none" w:eastAsia="cs-CZ"/>
    </w:rPr>
  </w:style>
  <w:style w:type="character" w:customStyle="1" w:styleId="TextkomentraChar1182">
    <w:name w:val="Text komentára Char1182"/>
    <w:aliases w:val="Char7 Char Char1183,Text komentára Char Char Char1183,Comment Text Char Char Char1183"/>
    <w:uiPriority w:val="99"/>
    <w:semiHidden/>
    <w:rPr>
      <w:rFonts w:ascii="Courier" w:hAnsi="Courier"/>
      <w:lang w:val="x-none" w:eastAsia="cs-CZ"/>
    </w:rPr>
  </w:style>
  <w:style w:type="character" w:customStyle="1" w:styleId="TextkomentraChar1181">
    <w:name w:val="Text komentára Char1181"/>
    <w:aliases w:val="Char7 Char Char1182,Text komentára Char Char Char1182,Comment Text Char Char Char1182"/>
    <w:uiPriority w:val="99"/>
    <w:semiHidden/>
    <w:rPr>
      <w:rFonts w:ascii="Courier" w:hAnsi="Courier"/>
      <w:lang w:val="x-none" w:eastAsia="cs-CZ"/>
    </w:rPr>
  </w:style>
  <w:style w:type="character" w:customStyle="1" w:styleId="TextkomentraChar1180">
    <w:name w:val="Text komentára Char1180"/>
    <w:aliases w:val="Char7 Char Char1181,Text komentára Char Char Char1181,Comment Text Char Char Char1181"/>
    <w:uiPriority w:val="99"/>
    <w:semiHidden/>
    <w:rPr>
      <w:rFonts w:ascii="Courier" w:hAnsi="Courier"/>
      <w:lang w:val="x-none" w:eastAsia="cs-CZ"/>
    </w:rPr>
  </w:style>
  <w:style w:type="character" w:customStyle="1" w:styleId="TextkomentraChar1179">
    <w:name w:val="Text komentára Char1179"/>
    <w:aliases w:val="Char7 Char Char1180,Text komentára Char Char Char1180,Comment Text Char Char Char1180"/>
    <w:uiPriority w:val="99"/>
    <w:semiHidden/>
    <w:rPr>
      <w:rFonts w:ascii="Courier" w:hAnsi="Courier"/>
      <w:lang w:val="x-none" w:eastAsia="cs-CZ"/>
    </w:rPr>
  </w:style>
  <w:style w:type="character" w:customStyle="1" w:styleId="TextkomentraChar1178">
    <w:name w:val="Text komentára Char1178"/>
    <w:aliases w:val="Char7 Char Char1179,Text komentára Char Char Char1179,Comment Text Char Char Char1179"/>
    <w:uiPriority w:val="99"/>
    <w:semiHidden/>
    <w:rPr>
      <w:rFonts w:ascii="Courier" w:hAnsi="Courier"/>
      <w:lang w:val="x-none" w:eastAsia="cs-CZ"/>
    </w:rPr>
  </w:style>
  <w:style w:type="character" w:customStyle="1" w:styleId="TextkomentraChar1177">
    <w:name w:val="Text komentára Char1177"/>
    <w:aliases w:val="Char7 Char Char1178,Text komentára Char Char Char1178,Comment Text Char Char Char1178"/>
    <w:uiPriority w:val="99"/>
    <w:semiHidden/>
    <w:rPr>
      <w:rFonts w:ascii="Courier" w:hAnsi="Courier"/>
      <w:lang w:val="x-none" w:eastAsia="cs-CZ"/>
    </w:rPr>
  </w:style>
  <w:style w:type="character" w:customStyle="1" w:styleId="TextkomentraChar1176">
    <w:name w:val="Text komentára Char1176"/>
    <w:aliases w:val="Char7 Char Char1177,Text komentára Char Char Char1177,Comment Text Char Char Char1177"/>
    <w:uiPriority w:val="99"/>
    <w:semiHidden/>
    <w:rPr>
      <w:rFonts w:ascii="Courier" w:hAnsi="Courier"/>
      <w:lang w:val="x-none" w:eastAsia="cs-CZ"/>
    </w:rPr>
  </w:style>
  <w:style w:type="character" w:customStyle="1" w:styleId="TextkomentraChar1175">
    <w:name w:val="Text komentára Char1175"/>
    <w:aliases w:val="Char7 Char Char1176,Text komentára Char Char Char1176,Comment Text Char Char Char1176"/>
    <w:uiPriority w:val="99"/>
    <w:semiHidden/>
    <w:rPr>
      <w:rFonts w:ascii="Courier" w:hAnsi="Courier"/>
      <w:lang w:val="x-none" w:eastAsia="cs-CZ"/>
    </w:rPr>
  </w:style>
  <w:style w:type="character" w:customStyle="1" w:styleId="TextkomentraChar1174">
    <w:name w:val="Text komentára Char1174"/>
    <w:aliases w:val="Char7 Char Char1175,Text komentára Char Char Char1175,Comment Text Char Char Char1175"/>
    <w:uiPriority w:val="99"/>
    <w:semiHidden/>
    <w:rPr>
      <w:rFonts w:ascii="Courier" w:hAnsi="Courier"/>
      <w:lang w:val="x-none" w:eastAsia="cs-CZ"/>
    </w:rPr>
  </w:style>
  <w:style w:type="character" w:customStyle="1" w:styleId="TextkomentraChar1173">
    <w:name w:val="Text komentára Char1173"/>
    <w:aliases w:val="Char7 Char Char1174,Text komentára Char Char Char1174,Comment Text Char Char Char1174"/>
    <w:uiPriority w:val="99"/>
    <w:semiHidden/>
    <w:rPr>
      <w:rFonts w:ascii="Courier" w:hAnsi="Courier"/>
      <w:lang w:val="x-none" w:eastAsia="cs-CZ"/>
    </w:rPr>
  </w:style>
  <w:style w:type="character" w:customStyle="1" w:styleId="TextkomentraChar1172">
    <w:name w:val="Text komentára Char1172"/>
    <w:aliases w:val="Char7 Char Char1173,Text komentára Char Char Char1173,Comment Text Char Char Char1173"/>
    <w:uiPriority w:val="99"/>
    <w:semiHidden/>
    <w:rPr>
      <w:rFonts w:ascii="Courier" w:hAnsi="Courier"/>
      <w:lang w:val="x-none" w:eastAsia="cs-CZ"/>
    </w:rPr>
  </w:style>
  <w:style w:type="character" w:customStyle="1" w:styleId="TextkomentraChar1171">
    <w:name w:val="Text komentára Char1171"/>
    <w:aliases w:val="Char7 Char Char1172,Text komentára Char Char Char1172,Comment Text Char Char Char1172"/>
    <w:uiPriority w:val="99"/>
    <w:semiHidden/>
    <w:rPr>
      <w:rFonts w:ascii="Courier" w:hAnsi="Courier"/>
      <w:lang w:val="x-none" w:eastAsia="cs-CZ"/>
    </w:rPr>
  </w:style>
  <w:style w:type="character" w:customStyle="1" w:styleId="TextkomentraChar1165">
    <w:name w:val="Text komentára Char1165"/>
    <w:aliases w:val="Char7 Char Char1166,Text komentára Char Char Char1166,Comment Text Char Char Char1166"/>
    <w:uiPriority w:val="99"/>
    <w:semiHidden/>
    <w:rPr>
      <w:rFonts w:ascii="Courier" w:hAnsi="Courier"/>
      <w:lang w:val="x-none" w:eastAsia="cs-CZ"/>
    </w:rPr>
  </w:style>
  <w:style w:type="character" w:customStyle="1" w:styleId="TextkomentraChar1164">
    <w:name w:val="Text komentára Char1164"/>
    <w:aliases w:val="Char7 Char Char1165,Text komentára Char Char Char1165,Comment Text Char Char Char1165"/>
    <w:uiPriority w:val="99"/>
    <w:semiHidden/>
    <w:rPr>
      <w:rFonts w:ascii="Courier" w:hAnsi="Courier"/>
      <w:lang w:val="x-none" w:eastAsia="cs-CZ"/>
    </w:rPr>
  </w:style>
  <w:style w:type="character" w:customStyle="1" w:styleId="TextkomentraChar1163">
    <w:name w:val="Text komentára Char1163"/>
    <w:aliases w:val="Char7 Char Char1164,Text komentára Char Char Char1164,Comment Text Char Char Char1164"/>
    <w:uiPriority w:val="99"/>
    <w:semiHidden/>
    <w:rPr>
      <w:rFonts w:ascii="Courier" w:hAnsi="Courier"/>
      <w:lang w:val="x-none" w:eastAsia="cs-CZ"/>
    </w:rPr>
  </w:style>
  <w:style w:type="character" w:customStyle="1" w:styleId="TextkomentraChar1162">
    <w:name w:val="Text komentára Char1162"/>
    <w:aliases w:val="Char7 Char Char1163,Text komentára Char Char Char1163,Comment Text Char Char Char1163"/>
    <w:uiPriority w:val="99"/>
    <w:semiHidden/>
    <w:rPr>
      <w:rFonts w:ascii="Courier" w:hAnsi="Courier"/>
      <w:lang w:val="x-none" w:eastAsia="cs-CZ"/>
    </w:rPr>
  </w:style>
  <w:style w:type="character" w:customStyle="1" w:styleId="TextkomentraChar1161">
    <w:name w:val="Text komentára Char1161"/>
    <w:aliases w:val="Char7 Char Char1162,Text komentára Char Char Char1162,Comment Text Char Char Char1162"/>
    <w:uiPriority w:val="99"/>
    <w:semiHidden/>
    <w:rPr>
      <w:rFonts w:ascii="Courier" w:hAnsi="Courier"/>
      <w:lang w:val="x-none" w:eastAsia="cs-CZ"/>
    </w:rPr>
  </w:style>
  <w:style w:type="character" w:customStyle="1" w:styleId="TextkomentraChar1160">
    <w:name w:val="Text komentára Char1160"/>
    <w:aliases w:val="Char7 Char Char1161,Text komentára Char Char Char1161,Comment Text Char Char Char1161"/>
    <w:uiPriority w:val="99"/>
    <w:semiHidden/>
    <w:rPr>
      <w:rFonts w:ascii="Courier" w:hAnsi="Courier"/>
      <w:lang w:val="x-none" w:eastAsia="cs-CZ"/>
    </w:rPr>
  </w:style>
  <w:style w:type="character" w:customStyle="1" w:styleId="TextkomentraChar1159">
    <w:name w:val="Text komentára Char1159"/>
    <w:aliases w:val="Char7 Char Char1160,Text komentára Char Char Char1160,Comment Text Char Char Char1160"/>
    <w:uiPriority w:val="99"/>
    <w:semiHidden/>
    <w:rPr>
      <w:rFonts w:ascii="Courier" w:hAnsi="Courier"/>
      <w:lang w:val="x-none" w:eastAsia="cs-CZ"/>
    </w:rPr>
  </w:style>
  <w:style w:type="character" w:customStyle="1" w:styleId="TextkomentraChar1158">
    <w:name w:val="Text komentára Char1158"/>
    <w:aliases w:val="Char7 Char Char1159,Text komentára Char Char Char1159,Comment Text Char Char Char1159"/>
    <w:uiPriority w:val="99"/>
    <w:semiHidden/>
    <w:rPr>
      <w:rFonts w:ascii="Courier" w:hAnsi="Courier"/>
      <w:lang w:val="x-none" w:eastAsia="cs-CZ"/>
    </w:rPr>
  </w:style>
  <w:style w:type="character" w:customStyle="1" w:styleId="TextkomentraChar1157">
    <w:name w:val="Text komentára Char1157"/>
    <w:aliases w:val="Char7 Char Char1158,Text komentára Char Char Char1158,Comment Text Char Char Char1158"/>
    <w:uiPriority w:val="99"/>
    <w:semiHidden/>
    <w:rPr>
      <w:rFonts w:ascii="Courier" w:hAnsi="Courier"/>
      <w:lang w:val="x-none" w:eastAsia="cs-CZ"/>
    </w:rPr>
  </w:style>
  <w:style w:type="character" w:customStyle="1" w:styleId="TextkomentraChar1156">
    <w:name w:val="Text komentára Char1156"/>
    <w:aliases w:val="Char7 Char Char1157,Text komentára Char Char Char1157,Comment Text Char Char Char1157"/>
    <w:uiPriority w:val="99"/>
    <w:semiHidden/>
    <w:rPr>
      <w:rFonts w:ascii="Courier" w:hAnsi="Courier"/>
      <w:lang w:val="x-none" w:eastAsia="cs-CZ"/>
    </w:rPr>
  </w:style>
  <w:style w:type="character" w:customStyle="1" w:styleId="TextkomentraChar1155">
    <w:name w:val="Text komentára Char1155"/>
    <w:aliases w:val="Char7 Char Char1156,Text komentára Char Char Char1156,Comment Text Char Char Char1156"/>
    <w:uiPriority w:val="99"/>
    <w:semiHidden/>
    <w:rPr>
      <w:rFonts w:ascii="Courier" w:hAnsi="Courier"/>
      <w:lang w:val="x-none" w:eastAsia="cs-CZ"/>
    </w:rPr>
  </w:style>
  <w:style w:type="character" w:customStyle="1" w:styleId="TextkomentraChar1154">
    <w:name w:val="Text komentára Char1154"/>
    <w:aliases w:val="Char7 Char Char1155,Text komentára Char Char Char1155,Comment Text Char Char Char1155"/>
    <w:uiPriority w:val="99"/>
    <w:semiHidden/>
    <w:rPr>
      <w:rFonts w:ascii="Courier" w:hAnsi="Courier"/>
      <w:lang w:val="x-none" w:eastAsia="cs-CZ"/>
    </w:rPr>
  </w:style>
  <w:style w:type="character" w:customStyle="1" w:styleId="TextkomentraChar1153">
    <w:name w:val="Text komentára Char1153"/>
    <w:aliases w:val="Char7 Char Char1154,Text komentára Char Char Char1154,Comment Text Char Char Char1154"/>
    <w:uiPriority w:val="99"/>
    <w:semiHidden/>
    <w:rPr>
      <w:rFonts w:ascii="Courier" w:hAnsi="Courier"/>
      <w:lang w:val="x-none" w:eastAsia="cs-CZ"/>
    </w:rPr>
  </w:style>
  <w:style w:type="character" w:customStyle="1" w:styleId="TextkomentraChar1152">
    <w:name w:val="Text komentára Char1152"/>
    <w:aliases w:val="Char7 Char Char1153,Text komentára Char Char Char1153,Comment Text Char Char Char1153"/>
    <w:uiPriority w:val="99"/>
    <w:semiHidden/>
    <w:rPr>
      <w:rFonts w:ascii="Courier" w:hAnsi="Courier"/>
      <w:lang w:val="x-none" w:eastAsia="cs-CZ"/>
    </w:rPr>
  </w:style>
  <w:style w:type="character" w:customStyle="1" w:styleId="TextkomentraChar1151">
    <w:name w:val="Text komentára Char1151"/>
    <w:aliases w:val="Char7 Char Char1152,Text komentára Char Char Char1152,Comment Text Char Char Char1152"/>
    <w:uiPriority w:val="99"/>
    <w:semiHidden/>
    <w:rPr>
      <w:rFonts w:ascii="Courier" w:hAnsi="Courier"/>
      <w:lang w:val="x-none" w:eastAsia="cs-CZ"/>
    </w:rPr>
  </w:style>
  <w:style w:type="character" w:customStyle="1" w:styleId="TextkomentraChar1150">
    <w:name w:val="Text komentára Char1150"/>
    <w:aliases w:val="Char7 Char Char1151,Text komentára Char Char Char1151,Comment Text Char Char Char1151"/>
    <w:uiPriority w:val="99"/>
    <w:semiHidden/>
    <w:rPr>
      <w:rFonts w:ascii="Courier" w:hAnsi="Courier"/>
      <w:lang w:val="x-none" w:eastAsia="cs-CZ"/>
    </w:rPr>
  </w:style>
  <w:style w:type="character" w:customStyle="1" w:styleId="TextkomentraChar1149">
    <w:name w:val="Text komentára Char1149"/>
    <w:aliases w:val="Char7 Char Char1150,Text komentára Char Char Char1150,Comment Text Char Char Char1150"/>
    <w:uiPriority w:val="99"/>
    <w:semiHidden/>
    <w:rPr>
      <w:rFonts w:ascii="Courier" w:hAnsi="Courier"/>
      <w:lang w:val="x-none" w:eastAsia="cs-CZ"/>
    </w:rPr>
  </w:style>
  <w:style w:type="character" w:customStyle="1" w:styleId="TextkomentraChar1148">
    <w:name w:val="Text komentára Char1148"/>
    <w:aliases w:val="Char7 Char Char1149,Text komentára Char Char Char1149,Comment Text Char Char Char1149"/>
    <w:uiPriority w:val="99"/>
    <w:semiHidden/>
    <w:rPr>
      <w:rFonts w:ascii="Courier" w:hAnsi="Courier"/>
      <w:lang w:val="x-none" w:eastAsia="cs-CZ"/>
    </w:rPr>
  </w:style>
  <w:style w:type="character" w:customStyle="1" w:styleId="TextkomentraChar1147">
    <w:name w:val="Text komentára Char1147"/>
    <w:aliases w:val="Char7 Char Char1148,Text komentára Char Char Char1148,Comment Text Char Char Char1148"/>
    <w:uiPriority w:val="99"/>
    <w:semiHidden/>
    <w:rPr>
      <w:rFonts w:ascii="Courier" w:hAnsi="Courier"/>
      <w:lang w:val="x-none" w:eastAsia="cs-CZ"/>
    </w:rPr>
  </w:style>
  <w:style w:type="character" w:customStyle="1" w:styleId="TextkomentraChar1146">
    <w:name w:val="Text komentára Char1146"/>
    <w:aliases w:val="Char7 Char Char1147,Text komentára Char Char Char1147,Comment Text Char Char Char1147"/>
    <w:uiPriority w:val="99"/>
    <w:semiHidden/>
    <w:rPr>
      <w:rFonts w:ascii="Courier" w:hAnsi="Courier"/>
      <w:lang w:val="x-none" w:eastAsia="cs-CZ"/>
    </w:rPr>
  </w:style>
  <w:style w:type="character" w:customStyle="1" w:styleId="TextkomentraChar1145">
    <w:name w:val="Text komentára Char1145"/>
    <w:aliases w:val="Char7 Char Char1146,Text komentára Char Char Char1146,Comment Text Char Char Char1146"/>
    <w:uiPriority w:val="99"/>
    <w:semiHidden/>
    <w:rPr>
      <w:rFonts w:ascii="Courier" w:hAnsi="Courier"/>
      <w:lang w:val="x-none" w:eastAsia="cs-CZ"/>
    </w:rPr>
  </w:style>
  <w:style w:type="character" w:customStyle="1" w:styleId="TextkomentraChar1144">
    <w:name w:val="Text komentára Char1144"/>
    <w:aliases w:val="Char7 Char Char1145,Text komentára Char Char Char1145,Comment Text Char Char Char1145"/>
    <w:uiPriority w:val="99"/>
    <w:semiHidden/>
    <w:rPr>
      <w:rFonts w:ascii="Courier" w:hAnsi="Courier"/>
      <w:lang w:val="x-none" w:eastAsia="cs-CZ"/>
    </w:rPr>
  </w:style>
  <w:style w:type="character" w:customStyle="1" w:styleId="TextkomentraChar1143">
    <w:name w:val="Text komentára Char1143"/>
    <w:aliases w:val="Char7 Char Char1144,Text komentára Char Char Char1144,Comment Text Char Char Char1144"/>
    <w:uiPriority w:val="99"/>
    <w:semiHidden/>
    <w:rPr>
      <w:rFonts w:ascii="Courier" w:hAnsi="Courier"/>
      <w:lang w:val="x-none" w:eastAsia="cs-CZ"/>
    </w:rPr>
  </w:style>
  <w:style w:type="character" w:customStyle="1" w:styleId="TextkomentraChar1142">
    <w:name w:val="Text komentára Char1142"/>
    <w:aliases w:val="Char7 Char Char1143,Text komentára Char Char Char1143,Comment Text Char Char Char1143"/>
    <w:uiPriority w:val="99"/>
    <w:semiHidden/>
    <w:rPr>
      <w:rFonts w:ascii="Courier" w:hAnsi="Courier"/>
      <w:lang w:val="x-none" w:eastAsia="cs-CZ"/>
    </w:rPr>
  </w:style>
  <w:style w:type="character" w:customStyle="1" w:styleId="TextkomentraChar1141">
    <w:name w:val="Text komentára Char1141"/>
    <w:aliases w:val="Char7 Char Char1142,Text komentára Char Char Char1142,Comment Text Char Char Char1142"/>
    <w:uiPriority w:val="99"/>
    <w:semiHidden/>
    <w:rPr>
      <w:rFonts w:ascii="Courier" w:hAnsi="Courier"/>
      <w:lang w:val="x-none" w:eastAsia="cs-CZ"/>
    </w:rPr>
  </w:style>
  <w:style w:type="character" w:customStyle="1" w:styleId="TextkomentraChar1140">
    <w:name w:val="Text komentára Char1140"/>
    <w:aliases w:val="Char7 Char Char1141,Text komentára Char Char Char1141,Comment Text Char Char Char1141"/>
    <w:uiPriority w:val="99"/>
    <w:semiHidden/>
    <w:rPr>
      <w:rFonts w:ascii="Courier" w:hAnsi="Courier"/>
      <w:lang w:val="x-none" w:eastAsia="cs-CZ"/>
    </w:rPr>
  </w:style>
  <w:style w:type="character" w:customStyle="1" w:styleId="TextkomentraChar1139">
    <w:name w:val="Text komentára Char1139"/>
    <w:aliases w:val="Char7 Char Char1140,Text komentára Char Char Char1140,Comment Text Char Char Char1140"/>
    <w:uiPriority w:val="99"/>
    <w:semiHidden/>
    <w:rPr>
      <w:rFonts w:ascii="Courier" w:hAnsi="Courier"/>
      <w:lang w:val="x-none" w:eastAsia="cs-CZ"/>
    </w:rPr>
  </w:style>
  <w:style w:type="character" w:customStyle="1" w:styleId="TextkomentraChar1138">
    <w:name w:val="Text komentára Char1138"/>
    <w:aliases w:val="Char7 Char Char1139,Text komentára Char Char Char1139,Comment Text Char Char Char1139"/>
    <w:uiPriority w:val="99"/>
    <w:semiHidden/>
    <w:rPr>
      <w:rFonts w:ascii="Courier" w:hAnsi="Courier"/>
      <w:lang w:val="x-none" w:eastAsia="cs-CZ"/>
    </w:rPr>
  </w:style>
  <w:style w:type="character" w:customStyle="1" w:styleId="TextkomentraChar1137">
    <w:name w:val="Text komentára Char1137"/>
    <w:aliases w:val="Char7 Char Char1138,Text komentára Char Char Char1138,Comment Text Char Char Char1138"/>
    <w:uiPriority w:val="99"/>
    <w:semiHidden/>
    <w:rPr>
      <w:rFonts w:ascii="Courier" w:hAnsi="Courier"/>
      <w:lang w:val="x-none" w:eastAsia="cs-CZ"/>
    </w:rPr>
  </w:style>
  <w:style w:type="character" w:customStyle="1" w:styleId="TextkomentraChar1136">
    <w:name w:val="Text komentára Char1136"/>
    <w:aliases w:val="Char7 Char Char1137,Text komentára Char Char Char1137,Comment Text Char Char Char1137"/>
    <w:uiPriority w:val="99"/>
    <w:semiHidden/>
    <w:rPr>
      <w:rFonts w:ascii="Courier" w:hAnsi="Courier"/>
      <w:lang w:val="x-none" w:eastAsia="cs-CZ"/>
    </w:rPr>
  </w:style>
  <w:style w:type="character" w:customStyle="1" w:styleId="TextkomentraChar1135">
    <w:name w:val="Text komentára Char1135"/>
    <w:aliases w:val="Char7 Char Char1136,Text komentára Char Char Char1136,Comment Text Char Char Char1136"/>
    <w:uiPriority w:val="99"/>
    <w:semiHidden/>
    <w:rPr>
      <w:rFonts w:ascii="Courier" w:hAnsi="Courier"/>
      <w:lang w:val="x-none" w:eastAsia="cs-CZ"/>
    </w:rPr>
  </w:style>
  <w:style w:type="character" w:customStyle="1" w:styleId="TextkomentraChar1134">
    <w:name w:val="Text komentára Char1134"/>
    <w:aliases w:val="Char7 Char Char1135,Text komentára Char Char Char1135,Comment Text Char Char Char1135"/>
    <w:uiPriority w:val="99"/>
    <w:semiHidden/>
    <w:rPr>
      <w:rFonts w:ascii="Courier" w:hAnsi="Courier"/>
      <w:lang w:val="x-none" w:eastAsia="cs-CZ"/>
    </w:rPr>
  </w:style>
  <w:style w:type="character" w:customStyle="1" w:styleId="TextkomentraChar1133">
    <w:name w:val="Text komentára Char1133"/>
    <w:aliases w:val="Char7 Char Char1134,Text komentára Char Char Char1134,Comment Text Char Char Char1134"/>
    <w:uiPriority w:val="99"/>
    <w:semiHidden/>
    <w:rPr>
      <w:rFonts w:ascii="Courier" w:hAnsi="Courier"/>
      <w:lang w:val="x-none" w:eastAsia="cs-CZ"/>
    </w:rPr>
  </w:style>
  <w:style w:type="character" w:customStyle="1" w:styleId="TextkomentraChar1132">
    <w:name w:val="Text komentára Char1132"/>
    <w:aliases w:val="Char7 Char Char1133,Text komentára Char Char Char1133,Comment Text Char Char Char1133"/>
    <w:uiPriority w:val="99"/>
    <w:semiHidden/>
    <w:rPr>
      <w:rFonts w:ascii="Courier" w:hAnsi="Courier"/>
      <w:lang w:val="x-none" w:eastAsia="cs-CZ"/>
    </w:rPr>
  </w:style>
  <w:style w:type="character" w:customStyle="1" w:styleId="TextkomentraChar1131">
    <w:name w:val="Text komentára Char1131"/>
    <w:aliases w:val="Char7 Char Char1132,Text komentára Char Char Char1132,Comment Text Char Char Char1132"/>
    <w:uiPriority w:val="99"/>
    <w:semiHidden/>
    <w:rPr>
      <w:rFonts w:ascii="Courier" w:hAnsi="Courier"/>
      <w:lang w:val="x-none" w:eastAsia="cs-CZ"/>
    </w:rPr>
  </w:style>
  <w:style w:type="character" w:customStyle="1" w:styleId="TextkomentraChar1130">
    <w:name w:val="Text komentára Char1130"/>
    <w:aliases w:val="Char7 Char Char1131,Text komentára Char Char Char1131,Comment Text Char Char Char1131"/>
    <w:uiPriority w:val="99"/>
    <w:semiHidden/>
    <w:rPr>
      <w:rFonts w:ascii="Courier" w:hAnsi="Courier"/>
      <w:lang w:val="x-none" w:eastAsia="cs-CZ"/>
    </w:rPr>
  </w:style>
  <w:style w:type="character" w:customStyle="1" w:styleId="TextkomentraChar1129">
    <w:name w:val="Text komentára Char1129"/>
    <w:aliases w:val="Char7 Char Char1130,Text komentára Char Char Char1130,Comment Text Char Char Char1130"/>
    <w:uiPriority w:val="99"/>
    <w:semiHidden/>
    <w:rPr>
      <w:rFonts w:ascii="Courier" w:hAnsi="Courier"/>
      <w:lang w:val="x-none" w:eastAsia="cs-CZ"/>
    </w:rPr>
  </w:style>
  <w:style w:type="character" w:customStyle="1" w:styleId="TextkomentraChar1128">
    <w:name w:val="Text komentára Char1128"/>
    <w:aliases w:val="Char7 Char Char1129,Text komentára Char Char Char1129,Comment Text Char Char Char1129"/>
    <w:uiPriority w:val="99"/>
    <w:semiHidden/>
    <w:rPr>
      <w:rFonts w:ascii="Courier" w:hAnsi="Courier"/>
      <w:lang w:val="x-none" w:eastAsia="cs-CZ"/>
    </w:rPr>
  </w:style>
  <w:style w:type="character" w:customStyle="1" w:styleId="TextkomentraChar1127">
    <w:name w:val="Text komentára Char1127"/>
    <w:aliases w:val="Char7 Char Char1128,Text komentára Char Char Char1128,Comment Text Char Char Char1128"/>
    <w:uiPriority w:val="99"/>
    <w:semiHidden/>
    <w:rPr>
      <w:rFonts w:ascii="Courier" w:hAnsi="Courier"/>
      <w:lang w:val="x-none" w:eastAsia="cs-CZ"/>
    </w:rPr>
  </w:style>
  <w:style w:type="character" w:customStyle="1" w:styleId="TextkomentraChar1126">
    <w:name w:val="Text komentára Char1126"/>
    <w:aliases w:val="Char7 Char Char1127,Text komentára Char Char Char1127,Comment Text Char Char Char1127"/>
    <w:uiPriority w:val="99"/>
    <w:semiHidden/>
    <w:rPr>
      <w:rFonts w:ascii="Courier" w:hAnsi="Courier"/>
      <w:lang w:val="x-none" w:eastAsia="cs-CZ"/>
    </w:rPr>
  </w:style>
  <w:style w:type="character" w:customStyle="1" w:styleId="TextkomentraChar1125">
    <w:name w:val="Text komentára Char1125"/>
    <w:aliases w:val="Char7 Char Char1126,Text komentára Char Char Char1126,Comment Text Char Char Char1126"/>
    <w:uiPriority w:val="99"/>
    <w:semiHidden/>
    <w:rPr>
      <w:rFonts w:ascii="Courier" w:hAnsi="Courier"/>
      <w:lang w:val="x-none" w:eastAsia="cs-CZ"/>
    </w:rPr>
  </w:style>
  <w:style w:type="character" w:customStyle="1" w:styleId="TextkomentraChar1124">
    <w:name w:val="Text komentára Char1124"/>
    <w:aliases w:val="Char7 Char Char1125,Text komentára Char Char Char1125,Comment Text Char Char Char1125"/>
    <w:uiPriority w:val="99"/>
    <w:semiHidden/>
    <w:rPr>
      <w:rFonts w:ascii="Courier" w:hAnsi="Courier"/>
      <w:lang w:val="x-none" w:eastAsia="cs-CZ"/>
    </w:rPr>
  </w:style>
  <w:style w:type="character" w:customStyle="1" w:styleId="TextkomentraChar1123">
    <w:name w:val="Text komentára Char1123"/>
    <w:aliases w:val="Char7 Char Char1124,Text komentára Char Char Char1124,Comment Text Char Char Char1124"/>
    <w:uiPriority w:val="99"/>
    <w:semiHidden/>
    <w:rPr>
      <w:rFonts w:ascii="Courier" w:hAnsi="Courier"/>
      <w:lang w:val="x-none" w:eastAsia="cs-CZ"/>
    </w:rPr>
  </w:style>
  <w:style w:type="character" w:customStyle="1" w:styleId="TextkomentraChar1122">
    <w:name w:val="Text komentára Char1122"/>
    <w:aliases w:val="Char7 Char Char1123,Text komentára Char Char Char1123,Comment Text Char Char Char1123"/>
    <w:uiPriority w:val="99"/>
    <w:semiHidden/>
    <w:rPr>
      <w:rFonts w:ascii="Courier" w:hAnsi="Courier"/>
      <w:lang w:val="x-none" w:eastAsia="cs-CZ"/>
    </w:rPr>
  </w:style>
  <w:style w:type="character" w:customStyle="1" w:styleId="TextkomentraChar1121">
    <w:name w:val="Text komentára Char1121"/>
    <w:aliases w:val="Char7 Char Char1122,Text komentára Char Char Char1122,Comment Text Char Char Char1122"/>
    <w:uiPriority w:val="99"/>
    <w:semiHidden/>
    <w:rPr>
      <w:rFonts w:ascii="Courier" w:hAnsi="Courier"/>
      <w:lang w:val="x-none" w:eastAsia="cs-CZ"/>
    </w:rPr>
  </w:style>
  <w:style w:type="character" w:customStyle="1" w:styleId="TextkomentraChar1120">
    <w:name w:val="Text komentára Char1120"/>
    <w:aliases w:val="Char7 Char Char1121,Text komentára Char Char Char1121,Comment Text Char Char Char1121"/>
    <w:uiPriority w:val="99"/>
    <w:semiHidden/>
    <w:rPr>
      <w:rFonts w:ascii="Courier" w:hAnsi="Courier"/>
      <w:lang w:val="x-none" w:eastAsia="cs-CZ"/>
    </w:rPr>
  </w:style>
  <w:style w:type="character" w:customStyle="1" w:styleId="TextkomentraChar1119">
    <w:name w:val="Text komentára Char1119"/>
    <w:aliases w:val="Char7 Char Char1120,Text komentára Char Char Char1120,Comment Text Char Char Char1120"/>
    <w:uiPriority w:val="99"/>
    <w:semiHidden/>
    <w:rPr>
      <w:rFonts w:ascii="Courier" w:hAnsi="Courier"/>
      <w:lang w:val="x-none" w:eastAsia="cs-CZ"/>
    </w:rPr>
  </w:style>
  <w:style w:type="character" w:customStyle="1" w:styleId="TextkomentraChar1118">
    <w:name w:val="Text komentára Char1118"/>
    <w:aliases w:val="Char7 Char Char1119,Text komentára Char Char Char1119,Comment Text Char Char Char1119"/>
    <w:uiPriority w:val="99"/>
    <w:semiHidden/>
    <w:rPr>
      <w:rFonts w:ascii="Courier" w:hAnsi="Courier"/>
      <w:lang w:val="x-none" w:eastAsia="cs-CZ"/>
    </w:rPr>
  </w:style>
  <w:style w:type="character" w:customStyle="1" w:styleId="TextkomentraChar1117">
    <w:name w:val="Text komentára Char1117"/>
    <w:aliases w:val="Char7 Char Char1118,Text komentára Char Char Char1118,Comment Text Char Char Char1118"/>
    <w:uiPriority w:val="99"/>
    <w:semiHidden/>
    <w:rPr>
      <w:rFonts w:ascii="Courier" w:hAnsi="Courier"/>
      <w:lang w:val="x-none" w:eastAsia="cs-CZ"/>
    </w:rPr>
  </w:style>
  <w:style w:type="character" w:customStyle="1" w:styleId="TextkomentraChar1116">
    <w:name w:val="Text komentára Char1116"/>
    <w:aliases w:val="Char7 Char Char1117,Text komentára Char Char Char1117,Comment Text Char Char Char1117"/>
    <w:uiPriority w:val="99"/>
    <w:semiHidden/>
    <w:rPr>
      <w:rFonts w:ascii="Courier" w:hAnsi="Courier"/>
      <w:lang w:val="x-none" w:eastAsia="cs-CZ"/>
    </w:rPr>
  </w:style>
  <w:style w:type="character" w:customStyle="1" w:styleId="TextkomentraChar1115">
    <w:name w:val="Text komentára Char1115"/>
    <w:aliases w:val="Char7 Char Char1116,Text komentára Char Char Char1116,Comment Text Char Char Char1116"/>
    <w:uiPriority w:val="99"/>
    <w:semiHidden/>
    <w:rPr>
      <w:rFonts w:ascii="Courier" w:hAnsi="Courier"/>
      <w:lang w:val="x-none" w:eastAsia="cs-CZ"/>
    </w:rPr>
  </w:style>
  <w:style w:type="character" w:customStyle="1" w:styleId="TextkomentraChar1114">
    <w:name w:val="Text komentára Char1114"/>
    <w:aliases w:val="Char7 Char Char1115,Text komentára Char Char Char1115,Comment Text Char Char Char1115"/>
    <w:uiPriority w:val="99"/>
    <w:semiHidden/>
    <w:rPr>
      <w:rFonts w:ascii="Courier" w:hAnsi="Courier"/>
      <w:lang w:val="x-none" w:eastAsia="cs-CZ"/>
    </w:rPr>
  </w:style>
  <w:style w:type="character" w:customStyle="1" w:styleId="TextkomentraChar1113">
    <w:name w:val="Text komentára Char1113"/>
    <w:aliases w:val="Char7 Char Char1114,Text komentára Char Char Char1114,Comment Text Char Char Char1114"/>
    <w:uiPriority w:val="99"/>
    <w:semiHidden/>
    <w:rPr>
      <w:rFonts w:ascii="Courier" w:hAnsi="Courier"/>
      <w:lang w:val="x-none" w:eastAsia="cs-CZ"/>
    </w:rPr>
  </w:style>
  <w:style w:type="character" w:customStyle="1" w:styleId="TextkomentraChar1112">
    <w:name w:val="Text komentára Char1112"/>
    <w:aliases w:val="Char7 Char Char1113,Text komentára Char Char Char1113,Comment Text Char Char Char1113"/>
    <w:uiPriority w:val="99"/>
    <w:semiHidden/>
    <w:rPr>
      <w:rFonts w:ascii="Courier" w:hAnsi="Courier"/>
      <w:lang w:val="x-none" w:eastAsia="cs-CZ"/>
    </w:rPr>
  </w:style>
  <w:style w:type="character" w:customStyle="1" w:styleId="TextkomentraChar1111">
    <w:name w:val="Text komentára Char1111"/>
    <w:aliases w:val="Char7 Char Char1112,Text komentára Char Char Char1112,Comment Text Char Char Char1112"/>
    <w:uiPriority w:val="99"/>
    <w:semiHidden/>
    <w:rPr>
      <w:rFonts w:ascii="Courier" w:hAnsi="Courier"/>
      <w:lang w:val="x-none" w:eastAsia="cs-CZ"/>
    </w:rPr>
  </w:style>
  <w:style w:type="character" w:customStyle="1" w:styleId="TextkomentraChar1110">
    <w:name w:val="Text komentára Char1110"/>
    <w:aliases w:val="Char7 Char Char1111,Text komentára Char Char Char1111,Comment Text Char Char Char1111"/>
    <w:uiPriority w:val="99"/>
    <w:semiHidden/>
    <w:rPr>
      <w:rFonts w:ascii="Courier" w:hAnsi="Courier"/>
      <w:lang w:val="x-none" w:eastAsia="cs-CZ"/>
    </w:rPr>
  </w:style>
  <w:style w:type="character" w:customStyle="1" w:styleId="TextkomentraChar1109">
    <w:name w:val="Text komentára Char1109"/>
    <w:aliases w:val="Char7 Char Char1110,Text komentára Char Char Char1110,Comment Text Char Char Char1110"/>
    <w:uiPriority w:val="99"/>
    <w:semiHidden/>
    <w:rPr>
      <w:rFonts w:ascii="Courier" w:hAnsi="Courier"/>
      <w:lang w:val="x-none" w:eastAsia="cs-CZ"/>
    </w:rPr>
  </w:style>
  <w:style w:type="character" w:customStyle="1" w:styleId="TextkomentraChar1108">
    <w:name w:val="Text komentára Char1108"/>
    <w:aliases w:val="Char7 Char Char1109,Text komentára Char Char Char1109,Comment Text Char Char Char1109"/>
    <w:uiPriority w:val="99"/>
    <w:semiHidden/>
    <w:rPr>
      <w:rFonts w:ascii="Courier" w:hAnsi="Courier"/>
      <w:lang w:val="x-none" w:eastAsia="cs-CZ"/>
    </w:rPr>
  </w:style>
  <w:style w:type="character" w:customStyle="1" w:styleId="TextkomentraChar1107">
    <w:name w:val="Text komentára Char1107"/>
    <w:aliases w:val="Char7 Char Char1108,Text komentára Char Char Char1108,Comment Text Char Char Char1108"/>
    <w:uiPriority w:val="99"/>
    <w:semiHidden/>
    <w:rPr>
      <w:rFonts w:ascii="Courier" w:hAnsi="Courier"/>
      <w:lang w:val="x-none" w:eastAsia="cs-CZ"/>
    </w:rPr>
  </w:style>
  <w:style w:type="character" w:customStyle="1" w:styleId="TextkomentraChar1106">
    <w:name w:val="Text komentára Char1106"/>
    <w:aliases w:val="Char7 Char Char1107,Text komentára Char Char Char1107,Comment Text Char Char Char1107"/>
    <w:uiPriority w:val="99"/>
    <w:semiHidden/>
    <w:rPr>
      <w:rFonts w:ascii="Courier" w:hAnsi="Courier"/>
      <w:lang w:val="x-none" w:eastAsia="cs-CZ"/>
    </w:rPr>
  </w:style>
  <w:style w:type="character" w:customStyle="1" w:styleId="TextkomentraChar1105">
    <w:name w:val="Text komentára Char1105"/>
    <w:aliases w:val="Char7 Char Char1106,Text komentára Char Char Char1106,Comment Text Char Char Char1106"/>
    <w:uiPriority w:val="99"/>
    <w:semiHidden/>
    <w:rPr>
      <w:rFonts w:ascii="Courier" w:hAnsi="Courier"/>
      <w:lang w:val="x-none" w:eastAsia="cs-CZ"/>
    </w:rPr>
  </w:style>
  <w:style w:type="character" w:customStyle="1" w:styleId="TextkomentraChar1104">
    <w:name w:val="Text komentára Char1104"/>
    <w:aliases w:val="Char7 Char Char1105,Text komentára Char Char Char1105,Comment Text Char Char Char1105"/>
    <w:uiPriority w:val="99"/>
    <w:semiHidden/>
    <w:rPr>
      <w:rFonts w:ascii="Courier" w:hAnsi="Courier"/>
      <w:lang w:val="x-none" w:eastAsia="cs-CZ"/>
    </w:rPr>
  </w:style>
  <w:style w:type="character" w:customStyle="1" w:styleId="TextkomentraChar1103">
    <w:name w:val="Text komentára Char1103"/>
    <w:aliases w:val="Char7 Char Char1104,Text komentára Char Char Char1104,Comment Text Char Char Char1104"/>
    <w:uiPriority w:val="99"/>
    <w:semiHidden/>
    <w:rPr>
      <w:rFonts w:ascii="Courier" w:hAnsi="Courier"/>
      <w:lang w:val="x-none" w:eastAsia="cs-CZ"/>
    </w:rPr>
  </w:style>
  <w:style w:type="character" w:customStyle="1" w:styleId="TextkomentraChar1102">
    <w:name w:val="Text komentára Char1102"/>
    <w:aliases w:val="Char7 Char Char1103,Text komentára Char Char Char1103,Comment Text Char Char Char1103"/>
    <w:uiPriority w:val="99"/>
    <w:semiHidden/>
    <w:rPr>
      <w:rFonts w:ascii="Courier" w:hAnsi="Courier"/>
      <w:lang w:val="x-none" w:eastAsia="cs-CZ"/>
    </w:rPr>
  </w:style>
  <w:style w:type="character" w:customStyle="1" w:styleId="TextkomentraChar1101">
    <w:name w:val="Text komentára Char1101"/>
    <w:aliases w:val="Char7 Char Char1102,Text komentára Char Char Char1102,Comment Text Char Char Char1102"/>
    <w:uiPriority w:val="99"/>
    <w:semiHidden/>
    <w:rPr>
      <w:rFonts w:ascii="Courier" w:hAnsi="Courier"/>
      <w:lang w:val="x-none" w:eastAsia="cs-CZ"/>
    </w:rPr>
  </w:style>
  <w:style w:type="character" w:customStyle="1" w:styleId="TextkomentraChar1100">
    <w:name w:val="Text komentára Char1100"/>
    <w:aliases w:val="Char7 Char Char1101,Text komentára Char Char Char1101,Comment Text Char Char Char1101"/>
    <w:uiPriority w:val="99"/>
    <w:semiHidden/>
    <w:rPr>
      <w:rFonts w:ascii="Courier" w:hAnsi="Courier"/>
      <w:lang w:val="x-none" w:eastAsia="cs-CZ"/>
    </w:rPr>
  </w:style>
  <w:style w:type="character" w:customStyle="1" w:styleId="TextkomentraChar199">
    <w:name w:val="Text komentára Char199"/>
    <w:aliases w:val="Char7 Char Char1100,Text komentára Char Char Char1100,Comment Text Char Char Char1100"/>
    <w:uiPriority w:val="99"/>
    <w:semiHidden/>
    <w:rPr>
      <w:rFonts w:ascii="Courier" w:hAnsi="Courier"/>
      <w:lang w:val="x-none" w:eastAsia="cs-CZ"/>
    </w:rPr>
  </w:style>
  <w:style w:type="character" w:customStyle="1" w:styleId="TextkomentraChar198">
    <w:name w:val="Text komentára Char198"/>
    <w:aliases w:val="Char7 Char Char199,Text komentára Char Char Char199,Comment Text Char Char Char199"/>
    <w:uiPriority w:val="99"/>
    <w:semiHidden/>
    <w:rPr>
      <w:rFonts w:ascii="Courier" w:hAnsi="Courier"/>
      <w:lang w:val="x-none" w:eastAsia="cs-CZ"/>
    </w:rPr>
  </w:style>
  <w:style w:type="character" w:customStyle="1" w:styleId="TextkomentraChar197">
    <w:name w:val="Text komentára Char197"/>
    <w:aliases w:val="Char7 Char Char198,Text komentára Char Char Char198,Comment Text Char Char Char198"/>
    <w:uiPriority w:val="99"/>
    <w:semiHidden/>
    <w:rPr>
      <w:rFonts w:ascii="Courier" w:hAnsi="Courier"/>
      <w:lang w:val="x-none" w:eastAsia="cs-CZ"/>
    </w:rPr>
  </w:style>
  <w:style w:type="character" w:customStyle="1" w:styleId="TextkomentraChar196">
    <w:name w:val="Text komentára Char196"/>
    <w:aliases w:val="Char7 Char Char197,Text komentára Char Char Char197,Comment Text Char Char Char197"/>
    <w:uiPriority w:val="99"/>
    <w:semiHidden/>
    <w:rPr>
      <w:rFonts w:ascii="Courier" w:hAnsi="Courier"/>
      <w:lang w:val="x-none" w:eastAsia="cs-CZ"/>
    </w:rPr>
  </w:style>
  <w:style w:type="character" w:customStyle="1" w:styleId="TextkomentraChar195">
    <w:name w:val="Text komentára Char195"/>
    <w:aliases w:val="Char7 Char Char196,Text komentára Char Char Char196,Comment Text Char Char Char196"/>
    <w:uiPriority w:val="99"/>
    <w:semiHidden/>
    <w:rPr>
      <w:rFonts w:ascii="Courier" w:hAnsi="Courier"/>
      <w:lang w:val="x-none" w:eastAsia="cs-CZ"/>
    </w:rPr>
  </w:style>
  <w:style w:type="character" w:customStyle="1" w:styleId="TextkomentraChar194">
    <w:name w:val="Text komentára Char194"/>
    <w:aliases w:val="Char7 Char Char195,Text komentára Char Char Char195,Comment Text Char Char Char195"/>
    <w:uiPriority w:val="99"/>
    <w:semiHidden/>
    <w:rPr>
      <w:rFonts w:ascii="Courier" w:hAnsi="Courier"/>
      <w:lang w:val="x-none" w:eastAsia="cs-CZ"/>
    </w:rPr>
  </w:style>
  <w:style w:type="character" w:customStyle="1" w:styleId="TextkomentraChar193">
    <w:name w:val="Text komentára Char193"/>
    <w:aliases w:val="Char7 Char Char194,Text komentára Char Char Char194,Comment Text Char Char Char194"/>
    <w:uiPriority w:val="99"/>
    <w:semiHidden/>
    <w:rPr>
      <w:rFonts w:ascii="Courier" w:hAnsi="Courier"/>
      <w:lang w:val="x-none" w:eastAsia="cs-CZ"/>
    </w:rPr>
  </w:style>
  <w:style w:type="character" w:customStyle="1" w:styleId="TextkomentraChar192">
    <w:name w:val="Text komentára Char192"/>
    <w:aliases w:val="Char7 Char Char193,Text komentára Char Char Char193,Comment Text Char Char Char193"/>
    <w:uiPriority w:val="99"/>
    <w:semiHidden/>
    <w:rPr>
      <w:rFonts w:ascii="Courier" w:hAnsi="Courier"/>
      <w:lang w:val="x-none" w:eastAsia="cs-CZ"/>
    </w:rPr>
  </w:style>
  <w:style w:type="character" w:customStyle="1" w:styleId="TextkomentraChar191">
    <w:name w:val="Text komentára Char191"/>
    <w:aliases w:val="Char7 Char Char192,Text komentára Char Char Char192,Comment Text Char Char Char192"/>
    <w:uiPriority w:val="99"/>
    <w:semiHidden/>
    <w:rPr>
      <w:rFonts w:ascii="Courier" w:hAnsi="Courier"/>
      <w:lang w:val="x-none" w:eastAsia="cs-CZ"/>
    </w:rPr>
  </w:style>
  <w:style w:type="character" w:customStyle="1" w:styleId="TextkomentraChar190">
    <w:name w:val="Text komentára Char190"/>
    <w:aliases w:val="Char7 Char Char191,Text komentára Char Char Char191,Comment Text Char Char Char191"/>
    <w:uiPriority w:val="99"/>
    <w:semiHidden/>
    <w:rPr>
      <w:rFonts w:ascii="Courier" w:hAnsi="Courier"/>
      <w:lang w:val="x-none" w:eastAsia="cs-CZ"/>
    </w:rPr>
  </w:style>
  <w:style w:type="character" w:customStyle="1" w:styleId="TextkomentraChar189">
    <w:name w:val="Text komentára Char189"/>
    <w:aliases w:val="Char7 Char Char190,Text komentára Char Char Char190,Comment Text Char Char Char190"/>
    <w:uiPriority w:val="99"/>
    <w:semiHidden/>
    <w:rPr>
      <w:rFonts w:ascii="Courier" w:hAnsi="Courier"/>
      <w:lang w:val="x-none" w:eastAsia="cs-CZ"/>
    </w:rPr>
  </w:style>
  <w:style w:type="character" w:customStyle="1" w:styleId="TextkomentraChar188">
    <w:name w:val="Text komentára Char188"/>
    <w:aliases w:val="Char7 Char Char189,Text komentára Char Char Char189,Comment Text Char Char Char189"/>
    <w:uiPriority w:val="99"/>
    <w:semiHidden/>
    <w:rPr>
      <w:rFonts w:ascii="Courier" w:hAnsi="Courier"/>
      <w:lang w:val="x-none" w:eastAsia="cs-CZ"/>
    </w:rPr>
  </w:style>
  <w:style w:type="character" w:customStyle="1" w:styleId="TextkomentraChar187">
    <w:name w:val="Text komentára Char187"/>
    <w:aliases w:val="Char7 Char Char188,Text komentára Char Char Char188,Comment Text Char Char Char188"/>
    <w:uiPriority w:val="99"/>
    <w:semiHidden/>
    <w:rPr>
      <w:rFonts w:ascii="Courier" w:hAnsi="Courier"/>
      <w:lang w:val="x-none" w:eastAsia="cs-CZ"/>
    </w:rPr>
  </w:style>
  <w:style w:type="character" w:customStyle="1" w:styleId="TextkomentraChar186">
    <w:name w:val="Text komentára Char186"/>
    <w:aliases w:val="Char7 Char Char187,Text komentára Char Char Char187,Comment Text Char Char Char187"/>
    <w:uiPriority w:val="99"/>
    <w:semiHidden/>
    <w:rPr>
      <w:rFonts w:ascii="Courier" w:hAnsi="Courier"/>
      <w:lang w:val="x-none" w:eastAsia="cs-CZ"/>
    </w:rPr>
  </w:style>
  <w:style w:type="character" w:customStyle="1" w:styleId="TextkomentraChar185">
    <w:name w:val="Text komentára Char185"/>
    <w:aliases w:val="Char7 Char Char186,Text komentára Char Char Char186,Comment Text Char Char Char186"/>
    <w:uiPriority w:val="99"/>
    <w:semiHidden/>
    <w:rPr>
      <w:rFonts w:ascii="Courier" w:hAnsi="Courier"/>
      <w:lang w:val="x-none" w:eastAsia="cs-CZ"/>
    </w:rPr>
  </w:style>
  <w:style w:type="character" w:customStyle="1" w:styleId="TextkomentraChar184">
    <w:name w:val="Text komentára Char184"/>
    <w:aliases w:val="Char7 Char Char185,Text komentára Char Char Char185,Comment Text Char Char Char185"/>
    <w:uiPriority w:val="99"/>
    <w:semiHidden/>
    <w:rPr>
      <w:rFonts w:ascii="Courier" w:hAnsi="Courier"/>
      <w:lang w:val="x-none" w:eastAsia="cs-CZ"/>
    </w:rPr>
  </w:style>
  <w:style w:type="character" w:customStyle="1" w:styleId="TextkomentraChar183">
    <w:name w:val="Text komentára Char183"/>
    <w:aliases w:val="Char7 Char Char184,Text komentára Char Char Char184,Comment Text Char Char Char184"/>
    <w:uiPriority w:val="99"/>
    <w:semiHidden/>
    <w:rPr>
      <w:rFonts w:ascii="Courier" w:hAnsi="Courier"/>
      <w:lang w:val="x-none" w:eastAsia="cs-CZ"/>
    </w:rPr>
  </w:style>
  <w:style w:type="character" w:customStyle="1" w:styleId="TextkomentraChar182">
    <w:name w:val="Text komentára Char182"/>
    <w:aliases w:val="Char7 Char Char183,Text komentára Char Char Char183,Comment Text Char Char Char183"/>
    <w:uiPriority w:val="99"/>
    <w:semiHidden/>
    <w:rPr>
      <w:rFonts w:ascii="Courier" w:hAnsi="Courier"/>
      <w:lang w:val="x-none" w:eastAsia="cs-CZ"/>
    </w:rPr>
  </w:style>
  <w:style w:type="character" w:customStyle="1" w:styleId="TextkomentraChar181">
    <w:name w:val="Text komentára Char181"/>
    <w:aliases w:val="Char7 Char Char182,Text komentára Char Char Char182,Comment Text Char Char Char182"/>
    <w:uiPriority w:val="99"/>
    <w:semiHidden/>
    <w:rPr>
      <w:rFonts w:ascii="Courier" w:hAnsi="Courier"/>
      <w:lang w:val="x-none" w:eastAsia="cs-CZ"/>
    </w:rPr>
  </w:style>
  <w:style w:type="character" w:customStyle="1" w:styleId="TextkomentraChar180">
    <w:name w:val="Text komentára Char180"/>
    <w:aliases w:val="Char7 Char Char181,Text komentára Char Char Char181,Comment Text Char Char Char181"/>
    <w:uiPriority w:val="99"/>
    <w:semiHidden/>
    <w:rPr>
      <w:rFonts w:ascii="Courier" w:hAnsi="Courier"/>
      <w:lang w:val="x-none" w:eastAsia="cs-CZ"/>
    </w:rPr>
  </w:style>
  <w:style w:type="character" w:customStyle="1" w:styleId="TextkomentraChar179">
    <w:name w:val="Text komentára Char179"/>
    <w:aliases w:val="Char7 Char Char180,Text komentára Char Char Char180,Comment Text Char Char Char180"/>
    <w:uiPriority w:val="99"/>
    <w:semiHidden/>
    <w:rPr>
      <w:rFonts w:ascii="Courier" w:hAnsi="Courier"/>
      <w:lang w:val="x-none" w:eastAsia="cs-CZ"/>
    </w:rPr>
  </w:style>
  <w:style w:type="character" w:customStyle="1" w:styleId="TextkomentraChar178">
    <w:name w:val="Text komentára Char178"/>
    <w:aliases w:val="Char7 Char Char179,Text komentára Char Char Char179,Comment Text Char Char Char179"/>
    <w:uiPriority w:val="99"/>
    <w:semiHidden/>
    <w:rPr>
      <w:rFonts w:ascii="Courier" w:hAnsi="Courier"/>
      <w:lang w:val="x-none" w:eastAsia="cs-CZ"/>
    </w:rPr>
  </w:style>
  <w:style w:type="character" w:customStyle="1" w:styleId="TextkomentraChar177">
    <w:name w:val="Text komentára Char177"/>
    <w:aliases w:val="Char7 Char Char178,Text komentára Char Char Char178,Comment Text Char Char Char178"/>
    <w:uiPriority w:val="99"/>
    <w:semiHidden/>
    <w:rPr>
      <w:rFonts w:ascii="Courier" w:hAnsi="Courier"/>
      <w:lang w:val="x-none" w:eastAsia="cs-CZ"/>
    </w:rPr>
  </w:style>
  <w:style w:type="character" w:customStyle="1" w:styleId="TextkomentraChar176">
    <w:name w:val="Text komentára Char176"/>
    <w:aliases w:val="Char7 Char Char177,Text komentára Char Char Char177,Comment Text Char Char Char177"/>
    <w:uiPriority w:val="99"/>
    <w:semiHidden/>
    <w:rPr>
      <w:rFonts w:ascii="Courier" w:hAnsi="Courier"/>
      <w:lang w:val="x-none" w:eastAsia="cs-CZ"/>
    </w:rPr>
  </w:style>
  <w:style w:type="character" w:customStyle="1" w:styleId="TextkomentraChar175">
    <w:name w:val="Text komentára Char175"/>
    <w:aliases w:val="Char7 Char Char176,Text komentára Char Char Char176,Comment Text Char Char Char176"/>
    <w:uiPriority w:val="99"/>
    <w:semiHidden/>
    <w:rPr>
      <w:rFonts w:ascii="Courier" w:hAnsi="Courier"/>
      <w:lang w:val="x-none" w:eastAsia="cs-CZ"/>
    </w:rPr>
  </w:style>
  <w:style w:type="character" w:customStyle="1" w:styleId="TextkomentraChar174">
    <w:name w:val="Text komentára Char174"/>
    <w:aliases w:val="Char7 Char Char175,Text komentára Char Char Char175,Comment Text Char Char Char175"/>
    <w:uiPriority w:val="99"/>
    <w:semiHidden/>
    <w:rPr>
      <w:rFonts w:ascii="Courier" w:hAnsi="Courier"/>
      <w:lang w:val="x-none" w:eastAsia="cs-CZ"/>
    </w:rPr>
  </w:style>
  <w:style w:type="character" w:customStyle="1" w:styleId="TextkomentraChar173">
    <w:name w:val="Text komentára Char173"/>
    <w:aliases w:val="Char7 Char Char174,Text komentára Char Char Char174,Comment Text Char Char Char174"/>
    <w:uiPriority w:val="99"/>
    <w:semiHidden/>
    <w:rPr>
      <w:rFonts w:ascii="Courier" w:hAnsi="Courier"/>
      <w:lang w:val="x-none" w:eastAsia="cs-CZ"/>
    </w:rPr>
  </w:style>
  <w:style w:type="character" w:customStyle="1" w:styleId="TextkomentraChar172">
    <w:name w:val="Text komentára Char172"/>
    <w:aliases w:val="Char7 Char Char173,Text komentára Char Char Char173,Comment Text Char Char Char173"/>
    <w:uiPriority w:val="99"/>
    <w:semiHidden/>
    <w:rPr>
      <w:rFonts w:ascii="Courier" w:hAnsi="Courier"/>
      <w:lang w:val="x-none" w:eastAsia="cs-CZ"/>
    </w:rPr>
  </w:style>
  <w:style w:type="character" w:customStyle="1" w:styleId="TextkomentraChar171">
    <w:name w:val="Text komentára Char171"/>
    <w:aliases w:val="Char7 Char Char172,Text komentára Char Char Char172,Comment Text Char Char Char172"/>
    <w:uiPriority w:val="99"/>
    <w:semiHidden/>
    <w:rPr>
      <w:rFonts w:ascii="Courier" w:hAnsi="Courier"/>
      <w:lang w:val="x-none" w:eastAsia="cs-CZ"/>
    </w:rPr>
  </w:style>
  <w:style w:type="character" w:customStyle="1" w:styleId="TextkomentraChar170">
    <w:name w:val="Text komentára Char170"/>
    <w:aliases w:val="Char7 Char Char171,Text komentára Char Char Char171,Comment Text Char Char Char171"/>
    <w:uiPriority w:val="99"/>
    <w:semiHidden/>
    <w:rPr>
      <w:rFonts w:ascii="Courier" w:hAnsi="Courier"/>
      <w:lang w:val="x-none" w:eastAsia="cs-CZ"/>
    </w:rPr>
  </w:style>
  <w:style w:type="character" w:customStyle="1" w:styleId="TextkomentraChar169">
    <w:name w:val="Text komentára Char169"/>
    <w:aliases w:val="Char7 Char Char170,Text komentára Char Char Char170,Comment Text Char Char Char170"/>
    <w:uiPriority w:val="99"/>
    <w:semiHidden/>
    <w:rPr>
      <w:rFonts w:ascii="Courier" w:hAnsi="Courier"/>
      <w:lang w:val="x-none" w:eastAsia="cs-CZ"/>
    </w:rPr>
  </w:style>
  <w:style w:type="character" w:customStyle="1" w:styleId="TextkomentraChar168">
    <w:name w:val="Text komentára Char168"/>
    <w:aliases w:val="Char7 Char Char169,Text komentára Char Char Char169,Comment Text Char Char Char169"/>
    <w:uiPriority w:val="99"/>
    <w:semiHidden/>
    <w:rPr>
      <w:rFonts w:ascii="Courier" w:hAnsi="Courier"/>
      <w:lang w:val="x-none" w:eastAsia="cs-CZ"/>
    </w:rPr>
  </w:style>
  <w:style w:type="character" w:customStyle="1" w:styleId="TextkomentraChar167">
    <w:name w:val="Text komentára Char167"/>
    <w:aliases w:val="Char7 Char Char168,Text komentára Char Char Char168,Comment Text Char Char Char168"/>
    <w:uiPriority w:val="99"/>
    <w:semiHidden/>
    <w:rPr>
      <w:rFonts w:ascii="Courier" w:hAnsi="Courier"/>
      <w:lang w:val="x-none" w:eastAsia="cs-CZ"/>
    </w:rPr>
  </w:style>
  <w:style w:type="character" w:customStyle="1" w:styleId="TextkomentraChar166">
    <w:name w:val="Text komentára Char166"/>
    <w:aliases w:val="Char7 Char Char167,Text komentára Char Char Char167,Comment Text Char Char Char167"/>
    <w:uiPriority w:val="99"/>
    <w:semiHidden/>
    <w:rPr>
      <w:rFonts w:ascii="Courier" w:hAnsi="Courier"/>
      <w:lang w:val="x-none" w:eastAsia="cs-CZ"/>
    </w:rPr>
  </w:style>
  <w:style w:type="character" w:customStyle="1" w:styleId="TextkomentraChar165">
    <w:name w:val="Text komentára Char165"/>
    <w:aliases w:val="Char7 Char Char166,Text komentára Char Char Char166,Comment Text Char Char Char166"/>
    <w:uiPriority w:val="99"/>
    <w:semiHidden/>
    <w:rPr>
      <w:rFonts w:ascii="Courier" w:hAnsi="Courier"/>
      <w:lang w:val="x-none" w:eastAsia="cs-CZ"/>
    </w:rPr>
  </w:style>
  <w:style w:type="character" w:customStyle="1" w:styleId="TextkomentraChar164">
    <w:name w:val="Text komentára Char164"/>
    <w:aliases w:val="Char7 Char Char165,Text komentára Char Char Char165,Comment Text Char Char Char165"/>
    <w:uiPriority w:val="99"/>
    <w:semiHidden/>
    <w:rPr>
      <w:rFonts w:ascii="Courier" w:hAnsi="Courier"/>
      <w:lang w:val="x-none" w:eastAsia="cs-CZ"/>
    </w:rPr>
  </w:style>
  <w:style w:type="character" w:customStyle="1" w:styleId="TextkomentraChar163">
    <w:name w:val="Text komentára Char163"/>
    <w:aliases w:val="Char7 Char Char164,Text komentára Char Char Char164,Comment Text Char Char Char164"/>
    <w:uiPriority w:val="99"/>
    <w:semiHidden/>
    <w:rPr>
      <w:rFonts w:ascii="Courier" w:hAnsi="Courier"/>
      <w:lang w:val="x-none" w:eastAsia="cs-CZ"/>
    </w:rPr>
  </w:style>
  <w:style w:type="character" w:customStyle="1" w:styleId="TextkomentraChar162">
    <w:name w:val="Text komentára Char162"/>
    <w:aliases w:val="Char7 Char Char163,Text komentára Char Char Char163,Comment Text Char Char Char163"/>
    <w:uiPriority w:val="99"/>
    <w:semiHidden/>
    <w:rPr>
      <w:rFonts w:ascii="Courier" w:hAnsi="Courier"/>
      <w:lang w:val="x-none" w:eastAsia="cs-CZ"/>
    </w:rPr>
  </w:style>
  <w:style w:type="character" w:customStyle="1" w:styleId="TextkomentraChar161">
    <w:name w:val="Text komentára Char161"/>
    <w:aliases w:val="Char7 Char Char162,Text komentára Char Char Char162,Comment Text Char Char Char162"/>
    <w:uiPriority w:val="99"/>
    <w:semiHidden/>
    <w:rPr>
      <w:rFonts w:ascii="Courier" w:hAnsi="Courier"/>
      <w:lang w:val="x-none" w:eastAsia="cs-CZ"/>
    </w:rPr>
  </w:style>
  <w:style w:type="character" w:customStyle="1" w:styleId="TextkomentraChar160">
    <w:name w:val="Text komentára Char160"/>
    <w:aliases w:val="Char7 Char Char161,Text komentára Char Char Char161,Comment Text Char Char Char161"/>
    <w:uiPriority w:val="99"/>
    <w:semiHidden/>
    <w:rPr>
      <w:rFonts w:ascii="Courier" w:hAnsi="Courier"/>
      <w:lang w:val="x-none" w:eastAsia="cs-CZ"/>
    </w:rPr>
  </w:style>
  <w:style w:type="character" w:customStyle="1" w:styleId="TextkomentraChar159">
    <w:name w:val="Text komentára Char159"/>
    <w:aliases w:val="Char7 Char Char160,Text komentára Char Char Char160,Comment Text Char Char Char160"/>
    <w:uiPriority w:val="99"/>
    <w:semiHidden/>
    <w:rPr>
      <w:rFonts w:ascii="Courier" w:hAnsi="Courier"/>
      <w:lang w:val="x-none" w:eastAsia="cs-CZ"/>
    </w:rPr>
  </w:style>
  <w:style w:type="character" w:customStyle="1" w:styleId="TextkomentraChar158">
    <w:name w:val="Text komentára Char158"/>
    <w:aliases w:val="Char7 Char Char159,Text komentára Char Char Char159,Comment Text Char Char Char159"/>
    <w:uiPriority w:val="99"/>
    <w:semiHidden/>
    <w:rPr>
      <w:rFonts w:ascii="Courier" w:hAnsi="Courier"/>
      <w:lang w:val="x-none" w:eastAsia="cs-CZ"/>
    </w:rPr>
  </w:style>
  <w:style w:type="character" w:customStyle="1" w:styleId="TextkomentraChar157">
    <w:name w:val="Text komentára Char157"/>
    <w:aliases w:val="Char7 Char Char158,Text komentára Char Char Char158,Comment Text Char Char Char158"/>
    <w:uiPriority w:val="99"/>
    <w:semiHidden/>
    <w:rPr>
      <w:rFonts w:ascii="Courier" w:hAnsi="Courier"/>
      <w:lang w:val="x-none" w:eastAsia="cs-CZ"/>
    </w:rPr>
  </w:style>
  <w:style w:type="character" w:customStyle="1" w:styleId="TextkomentraChar156">
    <w:name w:val="Text komentára Char156"/>
    <w:aliases w:val="Char7 Char Char157,Text komentára Char Char Char157,Comment Text Char Char Char157"/>
    <w:uiPriority w:val="99"/>
    <w:semiHidden/>
    <w:rPr>
      <w:rFonts w:ascii="Courier" w:hAnsi="Courier"/>
      <w:lang w:val="x-none" w:eastAsia="cs-CZ"/>
    </w:rPr>
  </w:style>
  <w:style w:type="character" w:customStyle="1" w:styleId="TextkomentraChar155">
    <w:name w:val="Text komentára Char155"/>
    <w:aliases w:val="Char7 Char Char156,Text komentára Char Char Char156,Comment Text Char Char Char156"/>
    <w:uiPriority w:val="99"/>
    <w:semiHidden/>
    <w:rPr>
      <w:rFonts w:ascii="Courier" w:hAnsi="Courier"/>
      <w:lang w:val="x-none" w:eastAsia="cs-CZ"/>
    </w:rPr>
  </w:style>
  <w:style w:type="character" w:customStyle="1" w:styleId="TextkomentraChar154">
    <w:name w:val="Text komentára Char154"/>
    <w:aliases w:val="Char7 Char Char155,Text komentára Char Char Char155,Comment Text Char Char Char155"/>
    <w:uiPriority w:val="99"/>
    <w:semiHidden/>
    <w:rPr>
      <w:rFonts w:ascii="Courier" w:hAnsi="Courier"/>
      <w:lang w:val="x-none" w:eastAsia="cs-CZ"/>
    </w:rPr>
  </w:style>
  <w:style w:type="character" w:customStyle="1" w:styleId="TextkomentraChar153">
    <w:name w:val="Text komentára Char153"/>
    <w:aliases w:val="Char7 Char Char154,Text komentára Char Char Char154,Comment Text Char Char Char154"/>
    <w:uiPriority w:val="99"/>
    <w:semiHidden/>
    <w:rPr>
      <w:rFonts w:ascii="Courier" w:hAnsi="Courier"/>
      <w:lang w:val="x-none" w:eastAsia="cs-CZ"/>
    </w:rPr>
  </w:style>
  <w:style w:type="character" w:customStyle="1" w:styleId="TextkomentraChar152">
    <w:name w:val="Text komentára Char152"/>
    <w:aliases w:val="Char7 Char Char153,Text komentára Char Char Char153,Comment Text Char Char Char153"/>
    <w:uiPriority w:val="99"/>
    <w:semiHidden/>
    <w:rPr>
      <w:rFonts w:ascii="Courier" w:hAnsi="Courier"/>
      <w:lang w:val="x-none" w:eastAsia="cs-CZ"/>
    </w:rPr>
  </w:style>
  <w:style w:type="character" w:customStyle="1" w:styleId="TextkomentraChar151">
    <w:name w:val="Text komentára Char151"/>
    <w:aliases w:val="Char7 Char Char152,Text komentára Char Char Char152,Comment Text Char Char Char152"/>
    <w:uiPriority w:val="99"/>
    <w:semiHidden/>
    <w:rPr>
      <w:rFonts w:ascii="Courier" w:hAnsi="Courier"/>
      <w:lang w:val="x-none" w:eastAsia="cs-CZ"/>
    </w:rPr>
  </w:style>
  <w:style w:type="character" w:customStyle="1" w:styleId="TextkomentraChar150">
    <w:name w:val="Text komentára Char150"/>
    <w:aliases w:val="Char7 Char Char151,Text komentára Char Char Char151,Comment Text Char Char Char151"/>
    <w:uiPriority w:val="99"/>
    <w:semiHidden/>
    <w:rPr>
      <w:rFonts w:ascii="Courier" w:hAnsi="Courier"/>
      <w:lang w:val="x-none" w:eastAsia="cs-CZ"/>
    </w:rPr>
  </w:style>
  <w:style w:type="character" w:customStyle="1" w:styleId="TextkomentraChar149">
    <w:name w:val="Text komentára Char149"/>
    <w:aliases w:val="Char7 Char Char150,Text komentára Char Char Char150,Comment Text Char Char Char150"/>
    <w:uiPriority w:val="99"/>
    <w:semiHidden/>
    <w:rPr>
      <w:rFonts w:ascii="Courier" w:hAnsi="Courier"/>
      <w:lang w:val="x-none" w:eastAsia="cs-CZ"/>
    </w:rPr>
  </w:style>
  <w:style w:type="character" w:customStyle="1" w:styleId="TextkomentraChar148">
    <w:name w:val="Text komentára Char148"/>
    <w:aliases w:val="Char7 Char Char149,Text komentára Char Char Char149,Comment Text Char Char Char149"/>
    <w:uiPriority w:val="99"/>
    <w:semiHidden/>
    <w:rPr>
      <w:rFonts w:ascii="Courier" w:hAnsi="Courier"/>
      <w:lang w:val="x-none" w:eastAsia="cs-CZ"/>
    </w:rPr>
  </w:style>
  <w:style w:type="character" w:customStyle="1" w:styleId="TextkomentraChar147">
    <w:name w:val="Text komentára Char147"/>
    <w:aliases w:val="Char7 Char Char148,Text komentára Char Char Char148,Comment Text Char Char Char148"/>
    <w:uiPriority w:val="99"/>
    <w:semiHidden/>
    <w:rPr>
      <w:rFonts w:ascii="Courier" w:hAnsi="Courier"/>
      <w:lang w:val="x-none" w:eastAsia="cs-CZ"/>
    </w:rPr>
  </w:style>
  <w:style w:type="character" w:customStyle="1" w:styleId="TextkomentraChar146">
    <w:name w:val="Text komentára Char146"/>
    <w:aliases w:val="Char7 Char Char147,Text komentára Char Char Char147,Comment Text Char Char Char147"/>
    <w:uiPriority w:val="99"/>
    <w:semiHidden/>
    <w:rPr>
      <w:rFonts w:ascii="Courier" w:hAnsi="Courier"/>
      <w:lang w:val="x-none" w:eastAsia="cs-CZ"/>
    </w:rPr>
  </w:style>
  <w:style w:type="character" w:customStyle="1" w:styleId="TextkomentraChar145">
    <w:name w:val="Text komentára Char145"/>
    <w:aliases w:val="Char7 Char Char146,Text komentára Char Char Char146,Comment Text Char Char Char146"/>
    <w:uiPriority w:val="99"/>
    <w:semiHidden/>
    <w:rPr>
      <w:rFonts w:ascii="Courier" w:hAnsi="Courier"/>
      <w:lang w:val="x-none" w:eastAsia="cs-CZ"/>
    </w:rPr>
  </w:style>
  <w:style w:type="character" w:customStyle="1" w:styleId="TextkomentraChar144">
    <w:name w:val="Text komentára Char144"/>
    <w:aliases w:val="Char7 Char Char145,Text komentára Char Char Char145,Comment Text Char Char Char145"/>
    <w:uiPriority w:val="99"/>
    <w:semiHidden/>
    <w:rPr>
      <w:rFonts w:ascii="Courier" w:hAnsi="Courier"/>
      <w:lang w:val="x-none" w:eastAsia="cs-CZ"/>
    </w:rPr>
  </w:style>
  <w:style w:type="character" w:customStyle="1" w:styleId="TextkomentraChar143">
    <w:name w:val="Text komentára Char143"/>
    <w:aliases w:val="Char7 Char Char144,Text komentára Char Char Char144,Comment Text Char Char Char144"/>
    <w:uiPriority w:val="99"/>
    <w:semiHidden/>
    <w:rPr>
      <w:rFonts w:ascii="Courier" w:hAnsi="Courier"/>
      <w:lang w:val="x-none" w:eastAsia="cs-CZ"/>
    </w:rPr>
  </w:style>
  <w:style w:type="character" w:customStyle="1" w:styleId="TextkomentraChar142">
    <w:name w:val="Text komentára Char142"/>
    <w:aliases w:val="Char7 Char Char143,Text komentára Char Char Char143,Comment Text Char Char Char143"/>
    <w:uiPriority w:val="99"/>
    <w:semiHidden/>
    <w:rPr>
      <w:rFonts w:ascii="Courier" w:hAnsi="Courier"/>
      <w:lang w:val="x-none" w:eastAsia="cs-CZ"/>
    </w:rPr>
  </w:style>
  <w:style w:type="character" w:customStyle="1" w:styleId="TextkomentraChar141">
    <w:name w:val="Text komentára Char141"/>
    <w:aliases w:val="Char7 Char Char142,Text komentára Char Char Char142,Comment Text Char Char Char142"/>
    <w:uiPriority w:val="99"/>
    <w:semiHidden/>
    <w:rPr>
      <w:rFonts w:ascii="Courier" w:hAnsi="Courier"/>
      <w:lang w:val="x-none" w:eastAsia="cs-CZ"/>
    </w:rPr>
  </w:style>
  <w:style w:type="character" w:customStyle="1" w:styleId="TextkomentraChar140">
    <w:name w:val="Text komentára Char140"/>
    <w:aliases w:val="Char7 Char Char141,Text komentára Char Char Char141,Comment Text Char Char Char141"/>
    <w:uiPriority w:val="99"/>
    <w:semiHidden/>
    <w:rPr>
      <w:rFonts w:ascii="Courier" w:hAnsi="Courier"/>
      <w:lang w:val="x-none" w:eastAsia="cs-CZ"/>
    </w:rPr>
  </w:style>
  <w:style w:type="character" w:customStyle="1" w:styleId="TextkomentraChar139">
    <w:name w:val="Text komentára Char139"/>
    <w:aliases w:val="Char7 Char Char140,Text komentára Char Char Char140,Comment Text Char Char Char140"/>
    <w:uiPriority w:val="99"/>
    <w:semiHidden/>
    <w:rPr>
      <w:rFonts w:ascii="Courier" w:hAnsi="Courier"/>
      <w:lang w:val="x-none" w:eastAsia="cs-CZ"/>
    </w:rPr>
  </w:style>
  <w:style w:type="character" w:customStyle="1" w:styleId="TextkomentraChar138">
    <w:name w:val="Text komentára Char138"/>
    <w:aliases w:val="Char7 Char Char139,Text komentára Char Char Char139,Comment Text Char Char Char139"/>
    <w:uiPriority w:val="99"/>
    <w:semiHidden/>
    <w:rPr>
      <w:rFonts w:ascii="Courier" w:hAnsi="Courier"/>
      <w:lang w:val="x-none" w:eastAsia="cs-CZ"/>
    </w:rPr>
  </w:style>
  <w:style w:type="character" w:customStyle="1" w:styleId="TextkomentraChar137">
    <w:name w:val="Text komentára Char137"/>
    <w:aliases w:val="Char7 Char Char138,Text komentára Char Char Char138,Comment Text Char Char Char138"/>
    <w:uiPriority w:val="99"/>
    <w:semiHidden/>
    <w:rPr>
      <w:rFonts w:ascii="Courier" w:hAnsi="Courier"/>
      <w:lang w:val="x-none" w:eastAsia="cs-CZ"/>
    </w:rPr>
  </w:style>
  <w:style w:type="character" w:customStyle="1" w:styleId="TextkomentraChar136">
    <w:name w:val="Text komentára Char136"/>
    <w:aliases w:val="Char7 Char Char137,Text komentára Char Char Char137,Comment Text Char Char Char137"/>
    <w:uiPriority w:val="99"/>
    <w:semiHidden/>
    <w:rPr>
      <w:rFonts w:ascii="Courier" w:hAnsi="Courier"/>
      <w:lang w:val="x-none" w:eastAsia="cs-CZ"/>
    </w:rPr>
  </w:style>
  <w:style w:type="character" w:customStyle="1" w:styleId="TextkomentraChar135">
    <w:name w:val="Text komentára Char135"/>
    <w:aliases w:val="Char7 Char Char136,Text komentára Char Char Char136,Comment Text Char Char Char136"/>
    <w:uiPriority w:val="99"/>
    <w:semiHidden/>
    <w:rPr>
      <w:rFonts w:ascii="Courier" w:hAnsi="Courier"/>
      <w:lang w:val="x-none" w:eastAsia="cs-CZ"/>
    </w:rPr>
  </w:style>
  <w:style w:type="character" w:customStyle="1" w:styleId="TextkomentraChar134">
    <w:name w:val="Text komentára Char134"/>
    <w:aliases w:val="Char7 Char Char135,Text komentára Char Char Char135,Comment Text Char Char Char135"/>
    <w:uiPriority w:val="99"/>
    <w:semiHidden/>
    <w:rPr>
      <w:rFonts w:ascii="Courier" w:hAnsi="Courier"/>
      <w:lang w:val="x-none" w:eastAsia="cs-CZ"/>
    </w:rPr>
  </w:style>
  <w:style w:type="character" w:customStyle="1" w:styleId="TextkomentraChar133">
    <w:name w:val="Text komentára Char133"/>
    <w:aliases w:val="Char7 Char Char134,Text komentára Char Char Char134,Comment Text Char Char Char134"/>
    <w:uiPriority w:val="99"/>
    <w:semiHidden/>
    <w:rPr>
      <w:rFonts w:ascii="Courier" w:hAnsi="Courier"/>
      <w:lang w:val="x-none" w:eastAsia="cs-CZ"/>
    </w:rPr>
  </w:style>
  <w:style w:type="character" w:customStyle="1" w:styleId="TextkomentraChar132">
    <w:name w:val="Text komentára Char132"/>
    <w:aliases w:val="Char7 Char Char133,Text komentára Char Char Char133,Comment Text Char Char Char133"/>
    <w:uiPriority w:val="99"/>
    <w:semiHidden/>
    <w:rPr>
      <w:rFonts w:ascii="Courier" w:hAnsi="Courier"/>
      <w:lang w:val="x-none" w:eastAsia="cs-CZ"/>
    </w:rPr>
  </w:style>
  <w:style w:type="character" w:customStyle="1" w:styleId="TextkomentraChar131">
    <w:name w:val="Text komentára Char131"/>
    <w:aliases w:val="Char7 Char Char132,Text komentára Char Char Char132,Comment Text Char Char Char132"/>
    <w:uiPriority w:val="99"/>
    <w:semiHidden/>
    <w:rPr>
      <w:rFonts w:ascii="Courier" w:hAnsi="Courier"/>
      <w:lang w:val="x-none" w:eastAsia="cs-CZ"/>
    </w:rPr>
  </w:style>
  <w:style w:type="character" w:customStyle="1" w:styleId="TextkomentraChar130">
    <w:name w:val="Text komentára Char130"/>
    <w:aliases w:val="Char7 Char Char131,Text komentára Char Char Char131,Comment Text Char Char Char131"/>
    <w:uiPriority w:val="99"/>
    <w:semiHidden/>
    <w:rPr>
      <w:rFonts w:ascii="Courier" w:hAnsi="Courier"/>
      <w:lang w:val="x-none" w:eastAsia="cs-CZ"/>
    </w:rPr>
  </w:style>
  <w:style w:type="character" w:customStyle="1" w:styleId="TextkomentraChar129">
    <w:name w:val="Text komentára Char129"/>
    <w:aliases w:val="Char7 Char Char130,Text komentára Char Char Char130,Comment Text Char Char Char130"/>
    <w:uiPriority w:val="99"/>
    <w:semiHidden/>
    <w:rPr>
      <w:rFonts w:ascii="Courier" w:hAnsi="Courier"/>
      <w:lang w:val="x-none" w:eastAsia="cs-CZ"/>
    </w:rPr>
  </w:style>
  <w:style w:type="character" w:customStyle="1" w:styleId="TextkomentraChar128">
    <w:name w:val="Text komentára Char128"/>
    <w:aliases w:val="Char7 Char Char129,Text komentára Char Char Char129,Comment Text Char Char Char129"/>
    <w:uiPriority w:val="99"/>
    <w:semiHidden/>
    <w:rPr>
      <w:rFonts w:ascii="Courier" w:hAnsi="Courier"/>
      <w:lang w:val="x-none" w:eastAsia="cs-CZ"/>
    </w:rPr>
  </w:style>
  <w:style w:type="character" w:customStyle="1" w:styleId="TextkomentraChar127">
    <w:name w:val="Text komentára Char127"/>
    <w:aliases w:val="Char7 Char Char128,Text komentára Char Char Char128,Comment Text Char Char Char128"/>
    <w:uiPriority w:val="99"/>
    <w:semiHidden/>
    <w:rPr>
      <w:rFonts w:ascii="Courier" w:hAnsi="Courier"/>
      <w:lang w:val="x-none" w:eastAsia="cs-CZ"/>
    </w:rPr>
  </w:style>
  <w:style w:type="character" w:customStyle="1" w:styleId="TextkomentraChar126">
    <w:name w:val="Text komentára Char126"/>
    <w:aliases w:val="Char7 Char Char127,Text komentára Char Char Char127,Comment Text Char Char Char127"/>
    <w:uiPriority w:val="99"/>
    <w:semiHidden/>
    <w:rPr>
      <w:rFonts w:ascii="Courier" w:hAnsi="Courier"/>
      <w:lang w:val="x-none" w:eastAsia="cs-CZ"/>
    </w:rPr>
  </w:style>
  <w:style w:type="character" w:customStyle="1" w:styleId="TextkomentraChar125">
    <w:name w:val="Text komentára Char125"/>
    <w:aliases w:val="Char7 Char Char126,Text komentára Char Char Char126,Comment Text Char Char Char126"/>
    <w:uiPriority w:val="99"/>
    <w:semiHidden/>
    <w:rPr>
      <w:rFonts w:ascii="Courier" w:hAnsi="Courier"/>
      <w:lang w:val="x-none" w:eastAsia="cs-CZ"/>
    </w:rPr>
  </w:style>
  <w:style w:type="character" w:customStyle="1" w:styleId="TextkomentraChar124">
    <w:name w:val="Text komentára Char124"/>
    <w:aliases w:val="Char7 Char Char125,Text komentára Char Char Char125,Comment Text Char Char Char125"/>
    <w:uiPriority w:val="99"/>
    <w:semiHidden/>
    <w:rPr>
      <w:rFonts w:ascii="Courier" w:hAnsi="Courier"/>
      <w:lang w:val="x-none" w:eastAsia="cs-CZ"/>
    </w:rPr>
  </w:style>
  <w:style w:type="character" w:customStyle="1" w:styleId="TextkomentraChar123">
    <w:name w:val="Text komentára Char123"/>
    <w:aliases w:val="Char7 Char Char124,Text komentára Char Char Char124,Comment Text Char Char Char124"/>
    <w:uiPriority w:val="99"/>
    <w:semiHidden/>
    <w:rPr>
      <w:rFonts w:ascii="Courier" w:hAnsi="Courier"/>
      <w:lang w:val="x-none" w:eastAsia="cs-CZ"/>
    </w:rPr>
  </w:style>
  <w:style w:type="character" w:customStyle="1" w:styleId="TextkomentraChar122">
    <w:name w:val="Text komentára Char122"/>
    <w:aliases w:val="Char7 Char Char123,Text komentára Char Char Char123,Comment Text Char Char Char123"/>
    <w:uiPriority w:val="99"/>
    <w:semiHidden/>
    <w:rPr>
      <w:rFonts w:ascii="Courier" w:hAnsi="Courier"/>
      <w:lang w:val="x-none" w:eastAsia="cs-CZ"/>
    </w:rPr>
  </w:style>
  <w:style w:type="character" w:customStyle="1" w:styleId="TextkomentraChar121">
    <w:name w:val="Text komentára Char121"/>
    <w:aliases w:val="Char7 Char Char122,Text komentára Char Char Char122,Comment Text Char Char Char122"/>
    <w:uiPriority w:val="99"/>
    <w:semiHidden/>
    <w:rPr>
      <w:rFonts w:ascii="Courier" w:hAnsi="Courier"/>
      <w:lang w:val="x-none" w:eastAsia="cs-CZ"/>
    </w:rPr>
  </w:style>
  <w:style w:type="character" w:customStyle="1" w:styleId="TextkomentraChar120">
    <w:name w:val="Text komentára Char120"/>
    <w:aliases w:val="Char7 Char Char121,Text komentára Char Char Char121,Comment Text Char Char Char121"/>
    <w:uiPriority w:val="99"/>
    <w:semiHidden/>
    <w:rPr>
      <w:rFonts w:ascii="Courier" w:hAnsi="Courier"/>
      <w:lang w:val="x-none" w:eastAsia="cs-CZ"/>
    </w:rPr>
  </w:style>
  <w:style w:type="character" w:customStyle="1" w:styleId="TextkomentraChar119">
    <w:name w:val="Text komentára Char119"/>
    <w:aliases w:val="Char7 Char Char120,Text komentára Char Char Char120,Comment Text Char Char Char120"/>
    <w:uiPriority w:val="99"/>
    <w:semiHidden/>
    <w:rPr>
      <w:rFonts w:ascii="Courier" w:hAnsi="Courier"/>
      <w:lang w:val="x-none" w:eastAsia="cs-CZ"/>
    </w:rPr>
  </w:style>
  <w:style w:type="character" w:customStyle="1" w:styleId="TextkomentraChar118">
    <w:name w:val="Text komentára Char118"/>
    <w:aliases w:val="Char7 Char Char119,Text komentára Char Char Char119,Comment Text Char Char Char119"/>
    <w:uiPriority w:val="99"/>
    <w:semiHidden/>
    <w:rPr>
      <w:rFonts w:ascii="Courier" w:hAnsi="Courier"/>
      <w:lang w:val="x-none" w:eastAsia="cs-CZ"/>
    </w:rPr>
  </w:style>
  <w:style w:type="character" w:customStyle="1" w:styleId="TextkomentraChar117">
    <w:name w:val="Text komentára Char117"/>
    <w:aliases w:val="Char7 Char Char118,Text komentára Char Char Char118,Comment Text Char Char Char118"/>
    <w:uiPriority w:val="99"/>
    <w:semiHidden/>
    <w:rPr>
      <w:rFonts w:ascii="Courier" w:hAnsi="Courier"/>
      <w:lang w:val="x-none" w:eastAsia="cs-CZ"/>
    </w:rPr>
  </w:style>
  <w:style w:type="character" w:customStyle="1" w:styleId="TextkomentraChar116">
    <w:name w:val="Text komentára Char116"/>
    <w:aliases w:val="Char7 Char Char117,Text komentára Char Char Char117,Comment Text Char Char Char117"/>
    <w:uiPriority w:val="99"/>
    <w:semiHidden/>
    <w:rPr>
      <w:rFonts w:ascii="Courier" w:hAnsi="Courier"/>
      <w:lang w:val="x-none" w:eastAsia="cs-CZ"/>
    </w:rPr>
  </w:style>
  <w:style w:type="character" w:customStyle="1" w:styleId="TextkomentraChar115">
    <w:name w:val="Text komentára Char115"/>
    <w:aliases w:val="Char7 Char Char116,Text komentára Char Char Char116,Comment Text Char Char Char116"/>
    <w:uiPriority w:val="99"/>
    <w:semiHidden/>
    <w:rPr>
      <w:rFonts w:ascii="Courier" w:hAnsi="Courier"/>
      <w:lang w:val="x-none" w:eastAsia="cs-CZ"/>
    </w:rPr>
  </w:style>
  <w:style w:type="character" w:customStyle="1" w:styleId="TextkomentraChar114">
    <w:name w:val="Text komentára Char114"/>
    <w:aliases w:val="Char7 Char Char115,Text komentára Char Char Char115,Comment Text Char Char Char115"/>
    <w:uiPriority w:val="99"/>
    <w:semiHidden/>
    <w:rPr>
      <w:rFonts w:ascii="Courier" w:hAnsi="Courier"/>
      <w:lang w:val="x-none" w:eastAsia="cs-CZ"/>
    </w:rPr>
  </w:style>
  <w:style w:type="character" w:customStyle="1" w:styleId="TextkomentraChar113">
    <w:name w:val="Text komentára Char113"/>
    <w:aliases w:val="Char7 Char Char114,Text komentára Char Char Char114,Comment Text Char Char Char114"/>
    <w:uiPriority w:val="99"/>
    <w:semiHidden/>
    <w:rPr>
      <w:rFonts w:ascii="Courier" w:hAnsi="Courier"/>
      <w:lang w:val="x-none" w:eastAsia="cs-CZ"/>
    </w:rPr>
  </w:style>
  <w:style w:type="character" w:customStyle="1" w:styleId="TextkomentraChar112">
    <w:name w:val="Text komentára Char112"/>
    <w:aliases w:val="Char7 Char Char113,Text komentára Char Char Char113,Comment Text Char Char Char113"/>
    <w:uiPriority w:val="99"/>
    <w:semiHidden/>
    <w:rPr>
      <w:rFonts w:ascii="Courier" w:hAnsi="Courier"/>
      <w:lang w:val="x-none" w:eastAsia="cs-CZ"/>
    </w:rPr>
  </w:style>
  <w:style w:type="character" w:customStyle="1" w:styleId="TextkomentraChar111">
    <w:name w:val="Text komentára Char111"/>
    <w:aliases w:val="Char7 Char Char112,Text komentára Char Char Char112,Comment Text Char Char Char112"/>
    <w:uiPriority w:val="99"/>
    <w:semiHidden/>
    <w:rPr>
      <w:rFonts w:ascii="Courier" w:hAnsi="Courier"/>
      <w:lang w:val="x-none" w:eastAsia="cs-CZ"/>
    </w:rPr>
  </w:style>
  <w:style w:type="character" w:customStyle="1" w:styleId="TextkomentraChar110">
    <w:name w:val="Text komentára Char110"/>
    <w:aliases w:val="Char7 Char Char110,Text komentára Char Char Char110,Comment Text Char Char Char110"/>
    <w:uiPriority w:val="99"/>
    <w:semiHidden/>
    <w:rPr>
      <w:rFonts w:ascii="Courier" w:hAnsi="Courier"/>
      <w:lang w:val="x-none" w:eastAsia="cs-CZ"/>
    </w:rPr>
  </w:style>
  <w:style w:type="character" w:customStyle="1" w:styleId="TextkomentraChar19">
    <w:name w:val="Text komentára Char19"/>
    <w:aliases w:val="Char7 Char Char19,Text komentára Char Char Char19,Comment Text Char Char Char19"/>
    <w:uiPriority w:val="99"/>
    <w:semiHidden/>
    <w:rPr>
      <w:rFonts w:ascii="Courier" w:hAnsi="Courier"/>
      <w:lang w:val="x-none" w:eastAsia="cs-CZ"/>
    </w:rPr>
  </w:style>
  <w:style w:type="character" w:customStyle="1" w:styleId="TextkomentraChar18">
    <w:name w:val="Text komentára Char18"/>
    <w:aliases w:val="Char7 Char Char18,Text komentára Char Char Char18,Comment Text Char Char Char18"/>
    <w:uiPriority w:val="99"/>
    <w:semiHidden/>
    <w:rPr>
      <w:rFonts w:ascii="Courier" w:hAnsi="Courier"/>
      <w:lang w:val="x-none" w:eastAsia="cs-CZ"/>
    </w:rPr>
  </w:style>
  <w:style w:type="character" w:customStyle="1" w:styleId="TextkomentraChar17">
    <w:name w:val="Text komentára Char17"/>
    <w:aliases w:val="Char7 Char Char17,Text komentára Char Char Char17,Comment Text Char Char Char17"/>
    <w:uiPriority w:val="99"/>
    <w:semiHidden/>
    <w:rPr>
      <w:rFonts w:ascii="Courier" w:hAnsi="Courier"/>
      <w:lang w:val="x-none" w:eastAsia="cs-CZ"/>
    </w:rPr>
  </w:style>
  <w:style w:type="character" w:customStyle="1" w:styleId="TextkomentraChar16">
    <w:name w:val="Text komentára Char16"/>
    <w:aliases w:val="Char7 Char Char16,Text komentára Char Char Char16,Comment Text Char Char Char16"/>
    <w:uiPriority w:val="99"/>
    <w:semiHidden/>
    <w:rPr>
      <w:rFonts w:ascii="Courier" w:hAnsi="Courier"/>
      <w:lang w:val="x-none" w:eastAsia="cs-CZ"/>
    </w:rPr>
  </w:style>
  <w:style w:type="character" w:customStyle="1" w:styleId="TextkomentraChar15">
    <w:name w:val="Text komentára Char15"/>
    <w:aliases w:val="Char7 Char Char15,Text komentára Char Char Char15,Comment Text Char Char Char15"/>
    <w:uiPriority w:val="99"/>
    <w:semiHidden/>
    <w:rPr>
      <w:rFonts w:ascii="Courier" w:hAnsi="Courier"/>
      <w:lang w:val="x-none" w:eastAsia="cs-CZ"/>
    </w:rPr>
  </w:style>
  <w:style w:type="character" w:customStyle="1" w:styleId="TextkomentraChar14">
    <w:name w:val="Text komentára Char14"/>
    <w:aliases w:val="Char7 Char Char14,Text komentára Char Char Char14,Comment Text Char Char Char14"/>
    <w:uiPriority w:val="99"/>
    <w:semiHidden/>
    <w:rPr>
      <w:rFonts w:ascii="Courier" w:hAnsi="Courier"/>
      <w:lang w:val="x-none" w:eastAsia="cs-CZ"/>
    </w:rPr>
  </w:style>
  <w:style w:type="character" w:customStyle="1" w:styleId="TextkomentraChar13">
    <w:name w:val="Text komentára Char13"/>
    <w:aliases w:val="Char7 Char Char13,Text komentára Char Char Char13,Comment Text Char Char Char13"/>
    <w:uiPriority w:val="99"/>
    <w:semiHidden/>
    <w:rPr>
      <w:rFonts w:ascii="Courier" w:hAnsi="Courier"/>
      <w:lang w:val="x-none" w:eastAsia="cs-CZ"/>
    </w:rPr>
  </w:style>
  <w:style w:type="character" w:customStyle="1" w:styleId="TextkomentraChar12">
    <w:name w:val="Text komentára Char12"/>
    <w:aliases w:val="Char7 Char Char12,Text komentára Char Char Char12,Comment Text Char Char Char12"/>
    <w:uiPriority w:val="99"/>
    <w:semiHidden/>
    <w:rPr>
      <w:rFonts w:ascii="Courier" w:hAnsi="Courier"/>
      <w:lang w:val="x-none" w:eastAsia="cs-CZ"/>
    </w:rPr>
  </w:style>
  <w:style w:type="character" w:customStyle="1" w:styleId="TextkomentraChar11">
    <w:name w:val="Text komentára Char11"/>
    <w:aliases w:val="Char7 Char Char11,Text komentára Char Char Char11,Comment Text Char Char Char11,Char7 Char Char111,Text komentára Char Char Char111,Comment Text Char Char Char111"/>
    <w:uiPriority w:val="99"/>
    <w:semiHidden/>
    <w:rsid w:val="00992BC9"/>
    <w:rPr>
      <w:rFonts w:ascii="Courier" w:hAnsi="Courier"/>
      <w:lang w:val="x-none" w:eastAsia="cs-CZ"/>
    </w:rPr>
  </w:style>
  <w:style w:type="character" w:customStyle="1" w:styleId="PredmetkomentraChar">
    <w:name w:val="Predmet komentára Char"/>
    <w:aliases w:val="Char6 Char Char,Predmet komentára Char Char Char,Comment Subject Char Char Char"/>
    <w:link w:val="Predmetkomentra"/>
    <w:uiPriority w:val="99"/>
    <w:semiHidden/>
    <w:locked/>
    <w:rsid w:val="00992BC9"/>
    <w:rPr>
      <w:rFonts w:ascii="Courier" w:hAnsi="Courier"/>
      <w:b/>
    </w:rPr>
  </w:style>
  <w:style w:type="paragraph" w:styleId="Predmetkomentra">
    <w:name w:val="annotation subject"/>
    <w:aliases w:val="Char6 Char,Predmet komentára Char Char,Comment Subject Char Char"/>
    <w:basedOn w:val="Textkomentra"/>
    <w:next w:val="Textkomentra"/>
    <w:link w:val="PredmetkomentraChar"/>
    <w:uiPriority w:val="99"/>
    <w:semiHidden/>
    <w:qFormat/>
    <w:rsid w:val="00992BC9"/>
    <w:rPr>
      <w:b/>
      <w:bCs/>
    </w:rPr>
  </w:style>
  <w:style w:type="character" w:customStyle="1" w:styleId="PredmetkomentraChar1">
    <w:name w:val="Predmet komentára Char1"/>
    <w:aliases w:val="Char6 Char Char1,Predmet komentára Char Char Char1,Comment Subject Char Char Char1"/>
    <w:basedOn w:val="TextkomentraChar"/>
    <w:uiPriority w:val="99"/>
    <w:semiHidden/>
    <w:rPr>
      <w:rFonts w:ascii="Courier" w:hAnsi="Courier" w:cs="Courier"/>
      <w:b/>
      <w:bCs/>
      <w:lang w:eastAsia="cs-CZ"/>
    </w:rPr>
  </w:style>
  <w:style w:type="character" w:customStyle="1" w:styleId="PredmetkomentraChar1621">
    <w:name w:val="Predmet komentára Char1621"/>
    <w:aliases w:val="Char6 Char Char1622,Predmet komentára Char Char Char1622,Comment Subject Char Char Char1622"/>
    <w:basedOn w:val="TextkomentraChar"/>
    <w:uiPriority w:val="99"/>
    <w:semiHidden/>
    <w:rPr>
      <w:rFonts w:ascii="Courier" w:hAnsi="Courier" w:cs="Courier"/>
      <w:b/>
      <w:bCs/>
      <w:lang w:val="x-none" w:eastAsia="cs-CZ"/>
    </w:rPr>
  </w:style>
  <w:style w:type="character" w:customStyle="1" w:styleId="PredmetkomentraChar1620">
    <w:name w:val="Predmet komentára Char1620"/>
    <w:aliases w:val="Char6 Char Char1621,Predmet komentára Char Char Char1621,Comment Subject Char Char Char1621"/>
    <w:basedOn w:val="TextkomentraChar"/>
    <w:uiPriority w:val="99"/>
    <w:semiHidden/>
    <w:rPr>
      <w:rFonts w:ascii="Courier" w:hAnsi="Courier" w:cs="Courier"/>
      <w:b/>
      <w:bCs/>
      <w:lang w:val="x-none" w:eastAsia="cs-CZ"/>
    </w:rPr>
  </w:style>
  <w:style w:type="character" w:customStyle="1" w:styleId="PredmetkomentraChar1614">
    <w:name w:val="Predmet komentára Char1614"/>
    <w:aliases w:val="Char6 Char Char1615,Predmet komentára Char Char Char1615,Comment Subject Char Char Char1615"/>
    <w:basedOn w:val="TextkomentraChar"/>
    <w:uiPriority w:val="99"/>
    <w:semiHidden/>
    <w:rPr>
      <w:rFonts w:ascii="Courier" w:hAnsi="Courier" w:cs="Courier"/>
      <w:b/>
      <w:bCs/>
      <w:lang w:val="x-none" w:eastAsia="cs-CZ"/>
    </w:rPr>
  </w:style>
  <w:style w:type="character" w:customStyle="1" w:styleId="PredmetkomentraChar1613">
    <w:name w:val="Predmet komentára Char1613"/>
    <w:aliases w:val="Char6 Char Char1614,Predmet komentára Char Char Char1614,Comment Subject Char Char Char1614"/>
    <w:basedOn w:val="TextkomentraChar"/>
    <w:uiPriority w:val="99"/>
    <w:semiHidden/>
    <w:rPr>
      <w:rFonts w:ascii="Courier" w:hAnsi="Courier" w:cs="Courier"/>
      <w:b/>
      <w:bCs/>
      <w:lang w:val="x-none" w:eastAsia="cs-CZ"/>
    </w:rPr>
  </w:style>
  <w:style w:type="character" w:customStyle="1" w:styleId="PredmetkomentraChar1612">
    <w:name w:val="Predmet komentára Char1612"/>
    <w:aliases w:val="Char6 Char Char1613,Predmet komentára Char Char Char1613,Comment Subject Char Char Char1613"/>
    <w:basedOn w:val="TextkomentraChar"/>
    <w:uiPriority w:val="99"/>
    <w:semiHidden/>
    <w:rPr>
      <w:rFonts w:ascii="Courier" w:hAnsi="Courier" w:cs="Courier"/>
      <w:b/>
      <w:bCs/>
      <w:lang w:val="x-none" w:eastAsia="cs-CZ"/>
    </w:rPr>
  </w:style>
  <w:style w:type="character" w:customStyle="1" w:styleId="PredmetkomentraChar1611">
    <w:name w:val="Predmet komentára Char1611"/>
    <w:aliases w:val="Char6 Char Char1612,Predmet komentára Char Char Char1612,Comment Subject Char Char Char1612"/>
    <w:basedOn w:val="TextkomentraChar"/>
    <w:uiPriority w:val="99"/>
    <w:semiHidden/>
    <w:rPr>
      <w:rFonts w:ascii="Courier" w:hAnsi="Courier" w:cs="Courier"/>
      <w:b/>
      <w:bCs/>
      <w:lang w:val="x-none" w:eastAsia="cs-CZ"/>
    </w:rPr>
  </w:style>
  <w:style w:type="character" w:customStyle="1" w:styleId="PredmetkomentraChar1610">
    <w:name w:val="Predmet komentára Char1610"/>
    <w:aliases w:val="Char6 Char Char1611,Predmet komentára Char Char Char1611,Comment Subject Char Char Char1611"/>
    <w:basedOn w:val="TextkomentraChar"/>
    <w:uiPriority w:val="99"/>
    <w:semiHidden/>
    <w:rPr>
      <w:rFonts w:ascii="Courier" w:hAnsi="Courier" w:cs="Courier"/>
      <w:b/>
      <w:bCs/>
      <w:lang w:val="x-none" w:eastAsia="cs-CZ"/>
    </w:rPr>
  </w:style>
  <w:style w:type="character" w:customStyle="1" w:styleId="PredmetkomentraChar1609">
    <w:name w:val="Predmet komentára Char1609"/>
    <w:aliases w:val="Char6 Char Char1610,Predmet komentára Char Char Char1610,Comment Subject Char Char Char1610"/>
    <w:basedOn w:val="TextkomentraChar"/>
    <w:uiPriority w:val="99"/>
    <w:semiHidden/>
    <w:rPr>
      <w:rFonts w:ascii="Courier" w:hAnsi="Courier" w:cs="Courier"/>
      <w:b/>
      <w:bCs/>
      <w:lang w:val="x-none" w:eastAsia="cs-CZ"/>
    </w:rPr>
  </w:style>
  <w:style w:type="character" w:customStyle="1" w:styleId="PredmetkomentraChar1608">
    <w:name w:val="Predmet komentára Char1608"/>
    <w:aliases w:val="Char6 Char Char1609,Predmet komentára Char Char Char1609,Comment Subject Char Char Char1609"/>
    <w:basedOn w:val="TextkomentraChar"/>
    <w:uiPriority w:val="99"/>
    <w:semiHidden/>
    <w:rPr>
      <w:rFonts w:ascii="Courier" w:hAnsi="Courier" w:cs="Courier"/>
      <w:b/>
      <w:bCs/>
      <w:lang w:val="x-none" w:eastAsia="cs-CZ"/>
    </w:rPr>
  </w:style>
  <w:style w:type="character" w:customStyle="1" w:styleId="PredmetkomentraChar1607">
    <w:name w:val="Predmet komentára Char1607"/>
    <w:aliases w:val="Char6 Char Char1608,Predmet komentára Char Char Char1608,Comment Subject Char Char Char1608"/>
    <w:basedOn w:val="TextkomentraChar"/>
    <w:uiPriority w:val="99"/>
    <w:semiHidden/>
    <w:rPr>
      <w:rFonts w:ascii="Courier" w:hAnsi="Courier" w:cs="Courier"/>
      <w:b/>
      <w:bCs/>
      <w:lang w:val="x-none" w:eastAsia="cs-CZ"/>
    </w:rPr>
  </w:style>
  <w:style w:type="character" w:customStyle="1" w:styleId="PredmetkomentraChar1606">
    <w:name w:val="Predmet komentára Char1606"/>
    <w:aliases w:val="Char6 Char Char1607,Predmet komentára Char Char Char1607,Comment Subject Char Char Char1607"/>
    <w:basedOn w:val="TextkomentraChar"/>
    <w:uiPriority w:val="99"/>
    <w:semiHidden/>
    <w:rPr>
      <w:rFonts w:ascii="Courier" w:hAnsi="Courier" w:cs="Courier"/>
      <w:b/>
      <w:bCs/>
      <w:lang w:val="x-none" w:eastAsia="cs-CZ"/>
    </w:rPr>
  </w:style>
  <w:style w:type="character" w:customStyle="1" w:styleId="PredmetkomentraChar1605">
    <w:name w:val="Predmet komentára Char1605"/>
    <w:aliases w:val="Char6 Char Char1606,Predmet komentára Char Char Char1606,Comment Subject Char Char Char1606"/>
    <w:basedOn w:val="TextkomentraChar"/>
    <w:uiPriority w:val="99"/>
    <w:semiHidden/>
    <w:rPr>
      <w:rFonts w:ascii="Courier" w:hAnsi="Courier" w:cs="Courier"/>
      <w:b/>
      <w:bCs/>
      <w:lang w:val="x-none" w:eastAsia="cs-CZ"/>
    </w:rPr>
  </w:style>
  <w:style w:type="character" w:customStyle="1" w:styleId="PredmetkomentraChar1604">
    <w:name w:val="Predmet komentára Char1604"/>
    <w:aliases w:val="Char6 Char Char1605,Predmet komentára Char Char Char1605,Comment Subject Char Char Char1605"/>
    <w:basedOn w:val="TextkomentraChar"/>
    <w:uiPriority w:val="99"/>
    <w:semiHidden/>
    <w:rPr>
      <w:rFonts w:ascii="Courier" w:hAnsi="Courier" w:cs="Courier"/>
      <w:b/>
      <w:bCs/>
      <w:lang w:val="x-none" w:eastAsia="cs-CZ"/>
    </w:rPr>
  </w:style>
  <w:style w:type="character" w:customStyle="1" w:styleId="PredmetkomentraChar1603">
    <w:name w:val="Predmet komentára Char1603"/>
    <w:aliases w:val="Char6 Char Char1604,Predmet komentára Char Char Char1604,Comment Subject Char Char Char1604"/>
    <w:basedOn w:val="TextkomentraChar"/>
    <w:uiPriority w:val="99"/>
    <w:semiHidden/>
    <w:rPr>
      <w:rFonts w:ascii="Courier" w:hAnsi="Courier" w:cs="Courier"/>
      <w:b/>
      <w:bCs/>
      <w:lang w:val="x-none" w:eastAsia="cs-CZ"/>
    </w:rPr>
  </w:style>
  <w:style w:type="character" w:customStyle="1" w:styleId="PredmetkomentraChar1602">
    <w:name w:val="Predmet komentára Char1602"/>
    <w:aliases w:val="Char6 Char Char1603,Predmet komentára Char Char Char1603,Comment Subject Char Char Char1603"/>
    <w:basedOn w:val="TextkomentraChar"/>
    <w:uiPriority w:val="99"/>
    <w:semiHidden/>
    <w:rPr>
      <w:rFonts w:ascii="Courier" w:hAnsi="Courier" w:cs="Courier"/>
      <w:b/>
      <w:bCs/>
      <w:lang w:val="x-none" w:eastAsia="cs-CZ"/>
    </w:rPr>
  </w:style>
  <w:style w:type="character" w:customStyle="1" w:styleId="PredmetkomentraChar1601">
    <w:name w:val="Predmet komentára Char1601"/>
    <w:aliases w:val="Char6 Char Char1602,Predmet komentára Char Char Char1602,Comment Subject Char Char Char1602"/>
    <w:basedOn w:val="TextkomentraChar"/>
    <w:uiPriority w:val="99"/>
    <w:semiHidden/>
    <w:rPr>
      <w:rFonts w:ascii="Courier" w:hAnsi="Courier" w:cs="Courier"/>
      <w:b/>
      <w:bCs/>
      <w:lang w:val="x-none" w:eastAsia="cs-CZ"/>
    </w:rPr>
  </w:style>
  <w:style w:type="character" w:customStyle="1" w:styleId="PredmetkomentraChar1600">
    <w:name w:val="Predmet komentára Char1600"/>
    <w:aliases w:val="Char6 Char Char1601,Predmet komentára Char Char Char1601,Comment Subject Char Char Char1601"/>
    <w:basedOn w:val="TextkomentraChar"/>
    <w:uiPriority w:val="99"/>
    <w:semiHidden/>
    <w:rPr>
      <w:rFonts w:ascii="Courier" w:hAnsi="Courier" w:cs="Courier"/>
      <w:b/>
      <w:bCs/>
      <w:lang w:val="x-none" w:eastAsia="cs-CZ"/>
    </w:rPr>
  </w:style>
  <w:style w:type="character" w:customStyle="1" w:styleId="PredmetkomentraChar1599">
    <w:name w:val="Predmet komentára Char1599"/>
    <w:aliases w:val="Char6 Char Char1600,Predmet komentára Char Char Char1600,Comment Subject Char Char Char1600"/>
    <w:basedOn w:val="TextkomentraChar"/>
    <w:uiPriority w:val="99"/>
    <w:semiHidden/>
    <w:rPr>
      <w:rFonts w:ascii="Courier" w:hAnsi="Courier" w:cs="Courier"/>
      <w:b/>
      <w:bCs/>
      <w:lang w:val="x-none" w:eastAsia="cs-CZ"/>
    </w:rPr>
  </w:style>
  <w:style w:type="character" w:customStyle="1" w:styleId="PredmetkomentraChar1598">
    <w:name w:val="Predmet komentára Char1598"/>
    <w:aliases w:val="Char6 Char Char1599,Predmet komentára Char Char Char1599,Comment Subject Char Char Char1599"/>
    <w:basedOn w:val="TextkomentraChar"/>
    <w:uiPriority w:val="99"/>
    <w:semiHidden/>
    <w:rPr>
      <w:rFonts w:ascii="Courier" w:hAnsi="Courier" w:cs="Courier"/>
      <w:b/>
      <w:bCs/>
      <w:lang w:val="x-none" w:eastAsia="cs-CZ"/>
    </w:rPr>
  </w:style>
  <w:style w:type="character" w:customStyle="1" w:styleId="PredmetkomentraChar1597">
    <w:name w:val="Predmet komentára Char1597"/>
    <w:aliases w:val="Char6 Char Char1598,Predmet komentára Char Char Char1598,Comment Subject Char Char Char1598"/>
    <w:basedOn w:val="TextkomentraChar"/>
    <w:uiPriority w:val="99"/>
    <w:semiHidden/>
    <w:rPr>
      <w:rFonts w:ascii="Courier" w:hAnsi="Courier" w:cs="Courier"/>
      <w:b/>
      <w:bCs/>
      <w:lang w:val="x-none" w:eastAsia="cs-CZ"/>
    </w:rPr>
  </w:style>
  <w:style w:type="character" w:customStyle="1" w:styleId="PredmetkomentraChar1596">
    <w:name w:val="Predmet komentára Char1596"/>
    <w:aliases w:val="Char6 Char Char1597,Predmet komentára Char Char Char1597,Comment Subject Char Char Char1597"/>
    <w:basedOn w:val="TextkomentraChar"/>
    <w:uiPriority w:val="99"/>
    <w:semiHidden/>
    <w:rPr>
      <w:rFonts w:ascii="Courier" w:hAnsi="Courier" w:cs="Courier"/>
      <w:b/>
      <w:bCs/>
      <w:lang w:val="x-none" w:eastAsia="cs-CZ"/>
    </w:rPr>
  </w:style>
  <w:style w:type="character" w:customStyle="1" w:styleId="PredmetkomentraChar1595">
    <w:name w:val="Predmet komentára Char1595"/>
    <w:aliases w:val="Char6 Char Char1596,Predmet komentára Char Char Char1596,Comment Subject Char Char Char1596"/>
    <w:basedOn w:val="TextkomentraChar"/>
    <w:uiPriority w:val="99"/>
    <w:semiHidden/>
    <w:rPr>
      <w:rFonts w:ascii="Courier" w:hAnsi="Courier" w:cs="Courier"/>
      <w:b/>
      <w:bCs/>
      <w:lang w:val="x-none" w:eastAsia="cs-CZ"/>
    </w:rPr>
  </w:style>
  <w:style w:type="character" w:customStyle="1" w:styleId="PredmetkomentraChar1594">
    <w:name w:val="Predmet komentára Char1594"/>
    <w:aliases w:val="Char6 Char Char1595,Predmet komentára Char Char Char1595,Comment Subject Char Char Char1595"/>
    <w:basedOn w:val="TextkomentraChar"/>
    <w:uiPriority w:val="99"/>
    <w:semiHidden/>
    <w:rPr>
      <w:rFonts w:ascii="Courier" w:hAnsi="Courier" w:cs="Courier"/>
      <w:b/>
      <w:bCs/>
      <w:lang w:val="x-none" w:eastAsia="cs-CZ"/>
    </w:rPr>
  </w:style>
  <w:style w:type="character" w:customStyle="1" w:styleId="PredmetkomentraChar1593">
    <w:name w:val="Predmet komentára Char1593"/>
    <w:aliases w:val="Char6 Char Char1594,Predmet komentára Char Char Char1594,Comment Subject Char Char Char1594"/>
    <w:basedOn w:val="TextkomentraChar"/>
    <w:uiPriority w:val="99"/>
    <w:semiHidden/>
    <w:rPr>
      <w:rFonts w:ascii="Courier" w:hAnsi="Courier" w:cs="Courier"/>
      <w:b/>
      <w:bCs/>
      <w:lang w:val="x-none" w:eastAsia="cs-CZ"/>
    </w:rPr>
  </w:style>
  <w:style w:type="character" w:customStyle="1" w:styleId="PredmetkomentraChar1592">
    <w:name w:val="Predmet komentára Char1592"/>
    <w:aliases w:val="Char6 Char Char1593,Predmet komentára Char Char Char1593,Comment Subject Char Char Char1593"/>
    <w:basedOn w:val="TextkomentraChar"/>
    <w:uiPriority w:val="99"/>
    <w:semiHidden/>
    <w:rPr>
      <w:rFonts w:ascii="Courier" w:hAnsi="Courier" w:cs="Courier"/>
      <w:b/>
      <w:bCs/>
      <w:lang w:val="x-none" w:eastAsia="cs-CZ"/>
    </w:rPr>
  </w:style>
  <w:style w:type="character" w:customStyle="1" w:styleId="PredmetkomentraChar1591">
    <w:name w:val="Predmet komentára Char1591"/>
    <w:aliases w:val="Char6 Char Char1592,Predmet komentára Char Char Char1592,Comment Subject Char Char Char1592"/>
    <w:basedOn w:val="TextkomentraChar"/>
    <w:uiPriority w:val="99"/>
    <w:semiHidden/>
    <w:rPr>
      <w:rFonts w:ascii="Courier" w:hAnsi="Courier" w:cs="Courier"/>
      <w:b/>
      <w:bCs/>
      <w:lang w:val="x-none" w:eastAsia="cs-CZ"/>
    </w:rPr>
  </w:style>
  <w:style w:type="character" w:customStyle="1" w:styleId="PredmetkomentraChar1590">
    <w:name w:val="Predmet komentára Char1590"/>
    <w:aliases w:val="Char6 Char Char1591,Predmet komentára Char Char Char1591,Comment Subject Char Char Char1591"/>
    <w:basedOn w:val="TextkomentraChar"/>
    <w:uiPriority w:val="99"/>
    <w:semiHidden/>
    <w:rPr>
      <w:rFonts w:ascii="Courier" w:hAnsi="Courier" w:cs="Courier"/>
      <w:b/>
      <w:bCs/>
      <w:lang w:val="x-none" w:eastAsia="cs-CZ"/>
    </w:rPr>
  </w:style>
  <w:style w:type="character" w:customStyle="1" w:styleId="PredmetkomentraChar1589">
    <w:name w:val="Predmet komentára Char1589"/>
    <w:aliases w:val="Char6 Char Char1590,Predmet komentára Char Char Char1590,Comment Subject Char Char Char1590"/>
    <w:basedOn w:val="TextkomentraChar"/>
    <w:uiPriority w:val="99"/>
    <w:semiHidden/>
    <w:rPr>
      <w:rFonts w:ascii="Courier" w:hAnsi="Courier" w:cs="Courier"/>
      <w:b/>
      <w:bCs/>
      <w:lang w:val="x-none" w:eastAsia="cs-CZ"/>
    </w:rPr>
  </w:style>
  <w:style w:type="character" w:customStyle="1" w:styleId="PredmetkomentraChar1588">
    <w:name w:val="Predmet komentára Char1588"/>
    <w:aliases w:val="Char6 Char Char1589,Predmet komentára Char Char Char1589,Comment Subject Char Char Char1589"/>
    <w:basedOn w:val="TextkomentraChar"/>
    <w:uiPriority w:val="99"/>
    <w:semiHidden/>
    <w:rPr>
      <w:rFonts w:ascii="Courier" w:hAnsi="Courier" w:cs="Courier"/>
      <w:b/>
      <w:bCs/>
      <w:lang w:val="x-none" w:eastAsia="cs-CZ"/>
    </w:rPr>
  </w:style>
  <w:style w:type="character" w:customStyle="1" w:styleId="PredmetkomentraChar1587">
    <w:name w:val="Predmet komentára Char1587"/>
    <w:aliases w:val="Char6 Char Char1588,Predmet komentára Char Char Char1588,Comment Subject Char Char Char1588"/>
    <w:basedOn w:val="TextkomentraChar"/>
    <w:uiPriority w:val="99"/>
    <w:semiHidden/>
    <w:rPr>
      <w:rFonts w:ascii="Courier" w:hAnsi="Courier" w:cs="Courier"/>
      <w:b/>
      <w:bCs/>
      <w:lang w:val="x-none" w:eastAsia="cs-CZ"/>
    </w:rPr>
  </w:style>
  <w:style w:type="character" w:customStyle="1" w:styleId="PredmetkomentraChar1586">
    <w:name w:val="Predmet komentára Char1586"/>
    <w:aliases w:val="Char6 Char Char1587,Predmet komentára Char Char Char1587,Comment Subject Char Char Char1587"/>
    <w:basedOn w:val="TextkomentraChar"/>
    <w:uiPriority w:val="99"/>
    <w:semiHidden/>
    <w:rPr>
      <w:rFonts w:ascii="Courier" w:hAnsi="Courier" w:cs="Courier"/>
      <w:b/>
      <w:bCs/>
      <w:lang w:val="x-none" w:eastAsia="cs-CZ"/>
    </w:rPr>
  </w:style>
  <w:style w:type="character" w:customStyle="1" w:styleId="PredmetkomentraChar1585">
    <w:name w:val="Predmet komentára Char1585"/>
    <w:aliases w:val="Char6 Char Char1586,Predmet komentára Char Char Char1586,Comment Subject Char Char Char1586"/>
    <w:basedOn w:val="TextkomentraChar"/>
    <w:uiPriority w:val="99"/>
    <w:semiHidden/>
    <w:rPr>
      <w:rFonts w:ascii="Courier" w:hAnsi="Courier" w:cs="Courier"/>
      <w:b/>
      <w:bCs/>
      <w:lang w:val="x-none" w:eastAsia="cs-CZ"/>
    </w:rPr>
  </w:style>
  <w:style w:type="character" w:customStyle="1" w:styleId="PredmetkomentraChar1584">
    <w:name w:val="Predmet komentára Char1584"/>
    <w:aliases w:val="Char6 Char Char1585,Predmet komentára Char Char Char1585,Comment Subject Char Char Char1585"/>
    <w:basedOn w:val="TextkomentraChar"/>
    <w:uiPriority w:val="99"/>
    <w:semiHidden/>
    <w:rPr>
      <w:rFonts w:ascii="Courier" w:hAnsi="Courier" w:cs="Courier"/>
      <w:b/>
      <w:bCs/>
      <w:lang w:val="x-none" w:eastAsia="cs-CZ"/>
    </w:rPr>
  </w:style>
  <w:style w:type="character" w:customStyle="1" w:styleId="PredmetkomentraChar1583">
    <w:name w:val="Predmet komentára Char1583"/>
    <w:aliases w:val="Char6 Char Char1584,Predmet komentára Char Char Char1584,Comment Subject Char Char Char1584"/>
    <w:basedOn w:val="TextkomentraChar"/>
    <w:uiPriority w:val="99"/>
    <w:semiHidden/>
    <w:rPr>
      <w:rFonts w:ascii="Courier" w:hAnsi="Courier" w:cs="Courier"/>
      <w:b/>
      <w:bCs/>
      <w:lang w:val="x-none" w:eastAsia="cs-CZ"/>
    </w:rPr>
  </w:style>
  <w:style w:type="character" w:customStyle="1" w:styleId="PredmetkomentraChar1582">
    <w:name w:val="Predmet komentára Char1582"/>
    <w:aliases w:val="Char6 Char Char1583,Predmet komentára Char Char Char1583,Comment Subject Char Char Char1583"/>
    <w:basedOn w:val="TextkomentraChar"/>
    <w:uiPriority w:val="99"/>
    <w:semiHidden/>
    <w:rPr>
      <w:rFonts w:ascii="Courier" w:hAnsi="Courier" w:cs="Courier"/>
      <w:b/>
      <w:bCs/>
      <w:lang w:val="x-none" w:eastAsia="cs-CZ"/>
    </w:rPr>
  </w:style>
  <w:style w:type="character" w:customStyle="1" w:styleId="PredmetkomentraChar1581">
    <w:name w:val="Predmet komentára Char1581"/>
    <w:aliases w:val="Char6 Char Char1582,Predmet komentára Char Char Char1582,Comment Subject Char Char Char1582"/>
    <w:basedOn w:val="TextkomentraChar"/>
    <w:uiPriority w:val="99"/>
    <w:semiHidden/>
    <w:rPr>
      <w:rFonts w:ascii="Courier" w:hAnsi="Courier" w:cs="Courier"/>
      <w:b/>
      <w:bCs/>
      <w:lang w:val="x-none" w:eastAsia="cs-CZ"/>
    </w:rPr>
  </w:style>
  <w:style w:type="character" w:customStyle="1" w:styleId="PredmetkomentraChar1580">
    <w:name w:val="Predmet komentára Char1580"/>
    <w:aliases w:val="Char6 Char Char1581,Predmet komentára Char Char Char1581,Comment Subject Char Char Char1581"/>
    <w:basedOn w:val="TextkomentraChar"/>
    <w:uiPriority w:val="99"/>
    <w:semiHidden/>
    <w:rPr>
      <w:rFonts w:ascii="Courier" w:hAnsi="Courier" w:cs="Courier"/>
      <w:b/>
      <w:bCs/>
      <w:lang w:val="x-none" w:eastAsia="cs-CZ"/>
    </w:rPr>
  </w:style>
  <w:style w:type="character" w:customStyle="1" w:styleId="PredmetkomentraChar1579">
    <w:name w:val="Predmet komentára Char1579"/>
    <w:aliases w:val="Char6 Char Char1580,Predmet komentára Char Char Char1580,Comment Subject Char Char Char1580"/>
    <w:basedOn w:val="TextkomentraChar"/>
    <w:uiPriority w:val="99"/>
    <w:semiHidden/>
    <w:rPr>
      <w:rFonts w:ascii="Courier" w:hAnsi="Courier" w:cs="Courier"/>
      <w:b/>
      <w:bCs/>
      <w:lang w:val="x-none" w:eastAsia="cs-CZ"/>
    </w:rPr>
  </w:style>
  <w:style w:type="character" w:customStyle="1" w:styleId="PredmetkomentraChar1578">
    <w:name w:val="Predmet komentára Char1578"/>
    <w:aliases w:val="Char6 Char Char1579,Predmet komentára Char Char Char1579,Comment Subject Char Char Char1579"/>
    <w:basedOn w:val="TextkomentraChar"/>
    <w:uiPriority w:val="99"/>
    <w:semiHidden/>
    <w:rPr>
      <w:rFonts w:ascii="Courier" w:hAnsi="Courier" w:cs="Courier"/>
      <w:b/>
      <w:bCs/>
      <w:lang w:val="x-none" w:eastAsia="cs-CZ"/>
    </w:rPr>
  </w:style>
  <w:style w:type="character" w:customStyle="1" w:styleId="PredmetkomentraChar1577">
    <w:name w:val="Predmet komentára Char1577"/>
    <w:aliases w:val="Char6 Char Char1578,Predmet komentára Char Char Char1578,Comment Subject Char Char Char1578"/>
    <w:basedOn w:val="TextkomentraChar"/>
    <w:uiPriority w:val="99"/>
    <w:semiHidden/>
    <w:rPr>
      <w:rFonts w:ascii="Courier" w:hAnsi="Courier" w:cs="Courier"/>
      <w:b/>
      <w:bCs/>
      <w:lang w:val="x-none" w:eastAsia="cs-CZ"/>
    </w:rPr>
  </w:style>
  <w:style w:type="character" w:customStyle="1" w:styleId="PredmetkomentraChar1576">
    <w:name w:val="Predmet komentára Char1576"/>
    <w:aliases w:val="Char6 Char Char1577,Predmet komentára Char Char Char1577,Comment Subject Char Char Char1577"/>
    <w:basedOn w:val="TextkomentraChar"/>
    <w:uiPriority w:val="99"/>
    <w:semiHidden/>
    <w:rPr>
      <w:rFonts w:ascii="Courier" w:hAnsi="Courier" w:cs="Courier"/>
      <w:b/>
      <w:bCs/>
      <w:lang w:val="x-none" w:eastAsia="cs-CZ"/>
    </w:rPr>
  </w:style>
  <w:style w:type="character" w:customStyle="1" w:styleId="PredmetkomentraChar1575">
    <w:name w:val="Predmet komentára Char1575"/>
    <w:aliases w:val="Char6 Char Char1576,Predmet komentára Char Char Char1576,Comment Subject Char Char Char1576"/>
    <w:basedOn w:val="TextkomentraChar"/>
    <w:uiPriority w:val="99"/>
    <w:semiHidden/>
    <w:rPr>
      <w:rFonts w:ascii="Courier" w:hAnsi="Courier" w:cs="Courier"/>
      <w:b/>
      <w:bCs/>
      <w:lang w:val="x-none" w:eastAsia="cs-CZ"/>
    </w:rPr>
  </w:style>
  <w:style w:type="character" w:customStyle="1" w:styleId="PredmetkomentraChar1574">
    <w:name w:val="Predmet komentára Char1574"/>
    <w:aliases w:val="Char6 Char Char1575,Predmet komentára Char Char Char1575,Comment Subject Char Char Char1575"/>
    <w:basedOn w:val="TextkomentraChar"/>
    <w:uiPriority w:val="99"/>
    <w:semiHidden/>
    <w:rPr>
      <w:rFonts w:ascii="Courier" w:hAnsi="Courier" w:cs="Courier"/>
      <w:b/>
      <w:bCs/>
      <w:lang w:val="x-none" w:eastAsia="cs-CZ"/>
    </w:rPr>
  </w:style>
  <w:style w:type="character" w:customStyle="1" w:styleId="PredmetkomentraChar1573">
    <w:name w:val="Predmet komentára Char1573"/>
    <w:aliases w:val="Char6 Char Char1574,Predmet komentára Char Char Char1574,Comment Subject Char Char Char1574"/>
    <w:basedOn w:val="TextkomentraChar"/>
    <w:uiPriority w:val="99"/>
    <w:semiHidden/>
    <w:rPr>
      <w:rFonts w:ascii="Courier" w:hAnsi="Courier" w:cs="Courier"/>
      <w:b/>
      <w:bCs/>
      <w:lang w:val="x-none" w:eastAsia="cs-CZ"/>
    </w:rPr>
  </w:style>
  <w:style w:type="character" w:customStyle="1" w:styleId="PredmetkomentraChar1572">
    <w:name w:val="Predmet komentára Char1572"/>
    <w:aliases w:val="Char6 Char Char1573,Predmet komentára Char Char Char1573,Comment Subject Char Char Char1573"/>
    <w:basedOn w:val="TextkomentraChar"/>
    <w:uiPriority w:val="99"/>
    <w:semiHidden/>
    <w:rPr>
      <w:rFonts w:ascii="Courier" w:hAnsi="Courier" w:cs="Courier"/>
      <w:b/>
      <w:bCs/>
      <w:lang w:val="x-none" w:eastAsia="cs-CZ"/>
    </w:rPr>
  </w:style>
  <w:style w:type="character" w:customStyle="1" w:styleId="PredmetkomentraChar1571">
    <w:name w:val="Predmet komentára Char1571"/>
    <w:aliases w:val="Char6 Char Char1572,Predmet komentára Char Char Char1572,Comment Subject Char Char Char1572"/>
    <w:basedOn w:val="TextkomentraChar"/>
    <w:uiPriority w:val="99"/>
    <w:semiHidden/>
    <w:rPr>
      <w:rFonts w:ascii="Courier" w:hAnsi="Courier" w:cs="Courier"/>
      <w:b/>
      <w:bCs/>
      <w:lang w:val="x-none" w:eastAsia="cs-CZ"/>
    </w:rPr>
  </w:style>
  <w:style w:type="character" w:customStyle="1" w:styleId="PredmetkomentraChar1570">
    <w:name w:val="Predmet komentára Char1570"/>
    <w:aliases w:val="Char6 Char Char1571,Predmet komentára Char Char Char1571,Comment Subject Char Char Char1571"/>
    <w:basedOn w:val="TextkomentraChar"/>
    <w:uiPriority w:val="99"/>
    <w:semiHidden/>
    <w:rPr>
      <w:rFonts w:ascii="Courier" w:hAnsi="Courier" w:cs="Courier"/>
      <w:b/>
      <w:bCs/>
      <w:lang w:val="x-none" w:eastAsia="cs-CZ"/>
    </w:rPr>
  </w:style>
  <w:style w:type="character" w:customStyle="1" w:styleId="PredmetkomentraChar1569">
    <w:name w:val="Predmet komentára Char1569"/>
    <w:aliases w:val="Char6 Char Char1570,Predmet komentára Char Char Char1570,Comment Subject Char Char Char1570"/>
    <w:basedOn w:val="TextkomentraChar"/>
    <w:uiPriority w:val="99"/>
    <w:semiHidden/>
    <w:rPr>
      <w:rFonts w:ascii="Courier" w:hAnsi="Courier" w:cs="Courier"/>
      <w:b/>
      <w:bCs/>
      <w:lang w:val="x-none" w:eastAsia="cs-CZ"/>
    </w:rPr>
  </w:style>
  <w:style w:type="character" w:customStyle="1" w:styleId="PredmetkomentraChar1568">
    <w:name w:val="Predmet komentára Char1568"/>
    <w:aliases w:val="Char6 Char Char1569,Predmet komentára Char Char Char1569,Comment Subject Char Char Char1569"/>
    <w:basedOn w:val="TextkomentraChar"/>
    <w:uiPriority w:val="99"/>
    <w:semiHidden/>
    <w:rPr>
      <w:rFonts w:ascii="Courier" w:hAnsi="Courier" w:cs="Courier"/>
      <w:b/>
      <w:bCs/>
      <w:lang w:val="x-none" w:eastAsia="cs-CZ"/>
    </w:rPr>
  </w:style>
  <w:style w:type="character" w:customStyle="1" w:styleId="PredmetkomentraChar1567">
    <w:name w:val="Predmet komentára Char1567"/>
    <w:aliases w:val="Char6 Char Char1568,Predmet komentára Char Char Char1568,Comment Subject Char Char Char1568"/>
    <w:basedOn w:val="TextkomentraChar"/>
    <w:uiPriority w:val="99"/>
    <w:semiHidden/>
    <w:rPr>
      <w:rFonts w:ascii="Courier" w:hAnsi="Courier" w:cs="Courier"/>
      <w:b/>
      <w:bCs/>
      <w:lang w:val="x-none" w:eastAsia="cs-CZ"/>
    </w:rPr>
  </w:style>
  <w:style w:type="character" w:customStyle="1" w:styleId="PredmetkomentraChar1566">
    <w:name w:val="Predmet komentára Char1566"/>
    <w:aliases w:val="Char6 Char Char1567,Predmet komentára Char Char Char1567,Comment Subject Char Char Char1567"/>
    <w:basedOn w:val="TextkomentraChar"/>
    <w:uiPriority w:val="99"/>
    <w:semiHidden/>
    <w:rPr>
      <w:rFonts w:ascii="Courier" w:hAnsi="Courier" w:cs="Courier"/>
      <w:b/>
      <w:bCs/>
      <w:lang w:val="x-none" w:eastAsia="cs-CZ"/>
    </w:rPr>
  </w:style>
  <w:style w:type="character" w:customStyle="1" w:styleId="PredmetkomentraChar1565">
    <w:name w:val="Predmet komentára Char1565"/>
    <w:aliases w:val="Char6 Char Char1566,Predmet komentára Char Char Char1566,Comment Subject Char Char Char1566"/>
    <w:basedOn w:val="TextkomentraChar"/>
    <w:uiPriority w:val="99"/>
    <w:semiHidden/>
    <w:rPr>
      <w:rFonts w:ascii="Courier" w:hAnsi="Courier" w:cs="Courier"/>
      <w:b/>
      <w:bCs/>
      <w:lang w:val="x-none" w:eastAsia="cs-CZ"/>
    </w:rPr>
  </w:style>
  <w:style w:type="character" w:customStyle="1" w:styleId="PredmetkomentraChar1564">
    <w:name w:val="Predmet komentára Char1564"/>
    <w:aliases w:val="Char6 Char Char1565,Predmet komentára Char Char Char1565,Comment Subject Char Char Char1565"/>
    <w:basedOn w:val="TextkomentraChar"/>
    <w:uiPriority w:val="99"/>
    <w:semiHidden/>
    <w:rPr>
      <w:rFonts w:ascii="Courier" w:hAnsi="Courier" w:cs="Courier"/>
      <w:b/>
      <w:bCs/>
      <w:lang w:val="x-none" w:eastAsia="cs-CZ"/>
    </w:rPr>
  </w:style>
  <w:style w:type="character" w:customStyle="1" w:styleId="PredmetkomentraChar1563">
    <w:name w:val="Predmet komentára Char1563"/>
    <w:aliases w:val="Char6 Char Char1564,Predmet komentára Char Char Char1564,Comment Subject Char Char Char1564"/>
    <w:basedOn w:val="TextkomentraChar"/>
    <w:uiPriority w:val="99"/>
    <w:semiHidden/>
    <w:rPr>
      <w:rFonts w:ascii="Courier" w:hAnsi="Courier" w:cs="Courier"/>
      <w:b/>
      <w:bCs/>
      <w:lang w:val="x-none" w:eastAsia="cs-CZ"/>
    </w:rPr>
  </w:style>
  <w:style w:type="character" w:customStyle="1" w:styleId="PredmetkomentraChar1562">
    <w:name w:val="Predmet komentára Char1562"/>
    <w:aliases w:val="Char6 Char Char1563,Predmet komentára Char Char Char1563,Comment Subject Char Char Char1563"/>
    <w:basedOn w:val="TextkomentraChar"/>
    <w:uiPriority w:val="99"/>
    <w:semiHidden/>
    <w:rPr>
      <w:rFonts w:ascii="Courier" w:hAnsi="Courier" w:cs="Courier"/>
      <w:b/>
      <w:bCs/>
      <w:lang w:val="x-none" w:eastAsia="cs-CZ"/>
    </w:rPr>
  </w:style>
  <w:style w:type="character" w:customStyle="1" w:styleId="PredmetkomentraChar1561">
    <w:name w:val="Predmet komentára Char1561"/>
    <w:aliases w:val="Char6 Char Char1562,Predmet komentára Char Char Char1562,Comment Subject Char Char Char1562"/>
    <w:basedOn w:val="TextkomentraChar"/>
    <w:uiPriority w:val="99"/>
    <w:semiHidden/>
    <w:rPr>
      <w:rFonts w:ascii="Courier" w:hAnsi="Courier" w:cs="Courier"/>
      <w:b/>
      <w:bCs/>
      <w:lang w:val="x-none" w:eastAsia="cs-CZ"/>
    </w:rPr>
  </w:style>
  <w:style w:type="character" w:customStyle="1" w:styleId="PredmetkomentraChar1560">
    <w:name w:val="Predmet komentára Char1560"/>
    <w:aliases w:val="Char6 Char Char1561,Predmet komentára Char Char Char1561,Comment Subject Char Char Char1561"/>
    <w:basedOn w:val="TextkomentraChar"/>
    <w:uiPriority w:val="99"/>
    <w:semiHidden/>
    <w:rPr>
      <w:rFonts w:ascii="Courier" w:hAnsi="Courier" w:cs="Courier"/>
      <w:b/>
      <w:bCs/>
      <w:lang w:val="x-none" w:eastAsia="cs-CZ"/>
    </w:rPr>
  </w:style>
  <w:style w:type="character" w:customStyle="1" w:styleId="PredmetkomentraChar1559">
    <w:name w:val="Predmet komentára Char1559"/>
    <w:aliases w:val="Char6 Char Char1560,Predmet komentára Char Char Char1560,Comment Subject Char Char Char1560"/>
    <w:basedOn w:val="TextkomentraChar"/>
    <w:uiPriority w:val="99"/>
    <w:semiHidden/>
    <w:rPr>
      <w:rFonts w:ascii="Courier" w:hAnsi="Courier" w:cs="Courier"/>
      <w:b/>
      <w:bCs/>
      <w:lang w:val="x-none" w:eastAsia="cs-CZ"/>
    </w:rPr>
  </w:style>
  <w:style w:type="character" w:customStyle="1" w:styleId="PredmetkomentraChar1558">
    <w:name w:val="Predmet komentára Char1558"/>
    <w:aliases w:val="Char6 Char Char1559,Predmet komentára Char Char Char1559,Comment Subject Char Char Char1559"/>
    <w:basedOn w:val="TextkomentraChar"/>
    <w:uiPriority w:val="99"/>
    <w:semiHidden/>
    <w:rPr>
      <w:rFonts w:ascii="Courier" w:hAnsi="Courier" w:cs="Courier"/>
      <w:b/>
      <w:bCs/>
      <w:lang w:val="x-none" w:eastAsia="cs-CZ"/>
    </w:rPr>
  </w:style>
  <w:style w:type="character" w:customStyle="1" w:styleId="PredmetkomentraChar1557">
    <w:name w:val="Predmet komentára Char1557"/>
    <w:aliases w:val="Char6 Char Char1558,Predmet komentára Char Char Char1558,Comment Subject Char Char Char1558"/>
    <w:basedOn w:val="TextkomentraChar"/>
    <w:uiPriority w:val="99"/>
    <w:semiHidden/>
    <w:rPr>
      <w:rFonts w:ascii="Courier" w:hAnsi="Courier" w:cs="Courier"/>
      <w:b/>
      <w:bCs/>
      <w:lang w:val="x-none" w:eastAsia="cs-CZ"/>
    </w:rPr>
  </w:style>
  <w:style w:type="character" w:customStyle="1" w:styleId="PredmetkomentraChar1556">
    <w:name w:val="Predmet komentára Char1556"/>
    <w:aliases w:val="Char6 Char Char1557,Predmet komentára Char Char Char1557,Comment Subject Char Char Char1557"/>
    <w:basedOn w:val="TextkomentraChar"/>
    <w:uiPriority w:val="99"/>
    <w:semiHidden/>
    <w:rPr>
      <w:rFonts w:ascii="Courier" w:hAnsi="Courier" w:cs="Courier"/>
      <w:b/>
      <w:bCs/>
      <w:lang w:val="x-none" w:eastAsia="cs-CZ"/>
    </w:rPr>
  </w:style>
  <w:style w:type="character" w:customStyle="1" w:styleId="PredmetkomentraChar1555">
    <w:name w:val="Predmet komentára Char1555"/>
    <w:aliases w:val="Char6 Char Char1556,Predmet komentára Char Char Char1556,Comment Subject Char Char Char1556"/>
    <w:basedOn w:val="TextkomentraChar"/>
    <w:uiPriority w:val="99"/>
    <w:semiHidden/>
    <w:rPr>
      <w:rFonts w:ascii="Courier" w:hAnsi="Courier" w:cs="Courier"/>
      <w:b/>
      <w:bCs/>
      <w:lang w:val="x-none" w:eastAsia="cs-CZ"/>
    </w:rPr>
  </w:style>
  <w:style w:type="character" w:customStyle="1" w:styleId="PredmetkomentraChar1554">
    <w:name w:val="Predmet komentára Char1554"/>
    <w:aliases w:val="Char6 Char Char1555,Predmet komentára Char Char Char1555,Comment Subject Char Char Char1555"/>
    <w:basedOn w:val="TextkomentraChar"/>
    <w:uiPriority w:val="99"/>
    <w:semiHidden/>
    <w:rPr>
      <w:rFonts w:ascii="Courier" w:hAnsi="Courier" w:cs="Courier"/>
      <w:b/>
      <w:bCs/>
      <w:lang w:val="x-none" w:eastAsia="cs-CZ"/>
    </w:rPr>
  </w:style>
  <w:style w:type="character" w:customStyle="1" w:styleId="PredmetkomentraChar1553">
    <w:name w:val="Predmet komentára Char1553"/>
    <w:aliases w:val="Char6 Char Char1554,Predmet komentára Char Char Char1554,Comment Subject Char Char Char1554"/>
    <w:basedOn w:val="TextkomentraChar"/>
    <w:uiPriority w:val="99"/>
    <w:semiHidden/>
    <w:rPr>
      <w:rFonts w:ascii="Courier" w:hAnsi="Courier" w:cs="Courier"/>
      <w:b/>
      <w:bCs/>
      <w:lang w:val="x-none" w:eastAsia="cs-CZ"/>
    </w:rPr>
  </w:style>
  <w:style w:type="character" w:customStyle="1" w:styleId="PredmetkomentraChar1552">
    <w:name w:val="Predmet komentára Char1552"/>
    <w:aliases w:val="Char6 Char Char1553,Predmet komentára Char Char Char1553,Comment Subject Char Char Char1553"/>
    <w:basedOn w:val="TextkomentraChar"/>
    <w:uiPriority w:val="99"/>
    <w:semiHidden/>
    <w:rPr>
      <w:rFonts w:ascii="Courier" w:hAnsi="Courier" w:cs="Courier"/>
      <w:b/>
      <w:bCs/>
      <w:lang w:val="x-none" w:eastAsia="cs-CZ"/>
    </w:rPr>
  </w:style>
  <w:style w:type="character" w:customStyle="1" w:styleId="PredmetkomentraChar1551">
    <w:name w:val="Predmet komentára Char1551"/>
    <w:aliases w:val="Char6 Char Char1552,Predmet komentára Char Char Char1552,Comment Subject Char Char Char1552"/>
    <w:basedOn w:val="TextkomentraChar"/>
    <w:uiPriority w:val="99"/>
    <w:semiHidden/>
    <w:rPr>
      <w:rFonts w:ascii="Courier" w:hAnsi="Courier" w:cs="Courier"/>
      <w:b/>
      <w:bCs/>
      <w:lang w:val="x-none" w:eastAsia="cs-CZ"/>
    </w:rPr>
  </w:style>
  <w:style w:type="character" w:customStyle="1" w:styleId="PredmetkomentraChar1550">
    <w:name w:val="Predmet komentára Char1550"/>
    <w:aliases w:val="Char6 Char Char1551,Predmet komentára Char Char Char1551,Comment Subject Char Char Char1551"/>
    <w:basedOn w:val="TextkomentraChar"/>
    <w:uiPriority w:val="99"/>
    <w:semiHidden/>
    <w:rPr>
      <w:rFonts w:ascii="Courier" w:hAnsi="Courier" w:cs="Courier"/>
      <w:b/>
      <w:bCs/>
      <w:lang w:val="x-none" w:eastAsia="cs-CZ"/>
    </w:rPr>
  </w:style>
  <w:style w:type="character" w:customStyle="1" w:styleId="PredmetkomentraChar1549">
    <w:name w:val="Predmet komentára Char1549"/>
    <w:aliases w:val="Char6 Char Char1550,Predmet komentára Char Char Char1550,Comment Subject Char Char Char1550"/>
    <w:basedOn w:val="TextkomentraChar"/>
    <w:uiPriority w:val="99"/>
    <w:semiHidden/>
    <w:rPr>
      <w:rFonts w:ascii="Courier" w:hAnsi="Courier" w:cs="Courier"/>
      <w:b/>
      <w:bCs/>
      <w:lang w:val="x-none" w:eastAsia="cs-CZ"/>
    </w:rPr>
  </w:style>
  <w:style w:type="character" w:customStyle="1" w:styleId="PredmetkomentraChar1548">
    <w:name w:val="Predmet komentára Char1548"/>
    <w:aliases w:val="Char6 Char Char1549,Predmet komentára Char Char Char1549,Comment Subject Char Char Char1549"/>
    <w:basedOn w:val="TextkomentraChar"/>
    <w:uiPriority w:val="99"/>
    <w:semiHidden/>
    <w:rPr>
      <w:rFonts w:ascii="Courier" w:hAnsi="Courier" w:cs="Courier"/>
      <w:b/>
      <w:bCs/>
      <w:lang w:val="x-none" w:eastAsia="cs-CZ"/>
    </w:rPr>
  </w:style>
  <w:style w:type="character" w:customStyle="1" w:styleId="PredmetkomentraChar1547">
    <w:name w:val="Predmet komentára Char1547"/>
    <w:aliases w:val="Char6 Char Char1548,Predmet komentára Char Char Char1548,Comment Subject Char Char Char1548"/>
    <w:basedOn w:val="TextkomentraChar"/>
    <w:uiPriority w:val="99"/>
    <w:semiHidden/>
    <w:rPr>
      <w:rFonts w:ascii="Courier" w:hAnsi="Courier" w:cs="Courier"/>
      <w:b/>
      <w:bCs/>
      <w:lang w:val="x-none" w:eastAsia="cs-CZ"/>
    </w:rPr>
  </w:style>
  <w:style w:type="character" w:customStyle="1" w:styleId="PredmetkomentraChar1546">
    <w:name w:val="Predmet komentára Char1546"/>
    <w:aliases w:val="Char6 Char Char1547,Predmet komentára Char Char Char1547,Comment Subject Char Char Char1547"/>
    <w:basedOn w:val="TextkomentraChar"/>
    <w:uiPriority w:val="99"/>
    <w:semiHidden/>
    <w:rPr>
      <w:rFonts w:ascii="Courier" w:hAnsi="Courier" w:cs="Courier"/>
      <w:b/>
      <w:bCs/>
      <w:lang w:val="x-none" w:eastAsia="cs-CZ"/>
    </w:rPr>
  </w:style>
  <w:style w:type="character" w:customStyle="1" w:styleId="PredmetkomentraChar1545">
    <w:name w:val="Predmet komentára Char1545"/>
    <w:aliases w:val="Char6 Char Char1546,Predmet komentára Char Char Char1546,Comment Subject Char Char Char1546"/>
    <w:basedOn w:val="TextkomentraChar"/>
    <w:uiPriority w:val="99"/>
    <w:semiHidden/>
    <w:rPr>
      <w:rFonts w:ascii="Courier" w:hAnsi="Courier" w:cs="Courier"/>
      <w:b/>
      <w:bCs/>
      <w:lang w:val="x-none" w:eastAsia="cs-CZ"/>
    </w:rPr>
  </w:style>
  <w:style w:type="character" w:customStyle="1" w:styleId="PredmetkomentraChar1544">
    <w:name w:val="Predmet komentára Char1544"/>
    <w:aliases w:val="Char6 Char Char1545,Predmet komentára Char Char Char1545,Comment Subject Char Char Char1545"/>
    <w:basedOn w:val="TextkomentraChar"/>
    <w:uiPriority w:val="99"/>
    <w:semiHidden/>
    <w:rPr>
      <w:rFonts w:ascii="Courier" w:hAnsi="Courier" w:cs="Courier"/>
      <w:b/>
      <w:bCs/>
      <w:lang w:val="x-none" w:eastAsia="cs-CZ"/>
    </w:rPr>
  </w:style>
  <w:style w:type="character" w:customStyle="1" w:styleId="PredmetkomentraChar1543">
    <w:name w:val="Predmet komentára Char1543"/>
    <w:aliases w:val="Char6 Char Char1544,Predmet komentára Char Char Char1544,Comment Subject Char Char Char1544"/>
    <w:basedOn w:val="TextkomentraChar"/>
    <w:uiPriority w:val="99"/>
    <w:semiHidden/>
    <w:rPr>
      <w:rFonts w:ascii="Courier" w:hAnsi="Courier" w:cs="Courier"/>
      <w:b/>
      <w:bCs/>
      <w:lang w:val="x-none" w:eastAsia="cs-CZ"/>
    </w:rPr>
  </w:style>
  <w:style w:type="character" w:customStyle="1" w:styleId="PredmetkomentraChar1542">
    <w:name w:val="Predmet komentára Char1542"/>
    <w:aliases w:val="Char6 Char Char1543,Predmet komentára Char Char Char1543,Comment Subject Char Char Char1543"/>
    <w:basedOn w:val="TextkomentraChar"/>
    <w:uiPriority w:val="99"/>
    <w:semiHidden/>
    <w:rPr>
      <w:rFonts w:ascii="Courier" w:hAnsi="Courier" w:cs="Courier"/>
      <w:b/>
      <w:bCs/>
      <w:lang w:val="x-none" w:eastAsia="cs-CZ"/>
    </w:rPr>
  </w:style>
  <w:style w:type="character" w:customStyle="1" w:styleId="PredmetkomentraChar1541">
    <w:name w:val="Predmet komentára Char1541"/>
    <w:aliases w:val="Char6 Char Char1542,Predmet komentára Char Char Char1542,Comment Subject Char Char Char1542"/>
    <w:basedOn w:val="TextkomentraChar"/>
    <w:uiPriority w:val="99"/>
    <w:semiHidden/>
    <w:rPr>
      <w:rFonts w:ascii="Courier" w:hAnsi="Courier" w:cs="Courier"/>
      <w:b/>
      <w:bCs/>
      <w:lang w:val="x-none" w:eastAsia="cs-CZ"/>
    </w:rPr>
  </w:style>
  <w:style w:type="character" w:customStyle="1" w:styleId="PredmetkomentraChar1540">
    <w:name w:val="Predmet komentára Char1540"/>
    <w:aliases w:val="Char6 Char Char1541,Predmet komentára Char Char Char1541,Comment Subject Char Char Char1541"/>
    <w:basedOn w:val="TextkomentraChar"/>
    <w:uiPriority w:val="99"/>
    <w:semiHidden/>
    <w:rPr>
      <w:rFonts w:ascii="Courier" w:hAnsi="Courier" w:cs="Courier"/>
      <w:b/>
      <w:bCs/>
      <w:lang w:val="x-none" w:eastAsia="cs-CZ"/>
    </w:rPr>
  </w:style>
  <w:style w:type="character" w:customStyle="1" w:styleId="PredmetkomentraChar1539">
    <w:name w:val="Predmet komentára Char1539"/>
    <w:aliases w:val="Char6 Char Char1540,Predmet komentára Char Char Char1540,Comment Subject Char Char Char1540"/>
    <w:basedOn w:val="TextkomentraChar"/>
    <w:uiPriority w:val="99"/>
    <w:semiHidden/>
    <w:rPr>
      <w:rFonts w:ascii="Courier" w:hAnsi="Courier" w:cs="Courier"/>
      <w:b/>
      <w:bCs/>
      <w:lang w:val="x-none" w:eastAsia="cs-CZ"/>
    </w:rPr>
  </w:style>
  <w:style w:type="character" w:customStyle="1" w:styleId="PredmetkomentraChar1538">
    <w:name w:val="Predmet komentára Char1538"/>
    <w:aliases w:val="Char6 Char Char1539,Predmet komentára Char Char Char1539,Comment Subject Char Char Char1539"/>
    <w:basedOn w:val="TextkomentraChar"/>
    <w:uiPriority w:val="99"/>
    <w:semiHidden/>
    <w:rPr>
      <w:rFonts w:ascii="Courier" w:hAnsi="Courier" w:cs="Courier"/>
      <w:b/>
      <w:bCs/>
      <w:lang w:val="x-none" w:eastAsia="cs-CZ"/>
    </w:rPr>
  </w:style>
  <w:style w:type="character" w:customStyle="1" w:styleId="PredmetkomentraChar1537">
    <w:name w:val="Predmet komentára Char1537"/>
    <w:aliases w:val="Char6 Char Char1538,Predmet komentára Char Char Char1538,Comment Subject Char Char Char1538"/>
    <w:basedOn w:val="TextkomentraChar"/>
    <w:uiPriority w:val="99"/>
    <w:semiHidden/>
    <w:rPr>
      <w:rFonts w:ascii="Courier" w:hAnsi="Courier" w:cs="Courier"/>
      <w:b/>
      <w:bCs/>
      <w:lang w:val="x-none" w:eastAsia="cs-CZ"/>
    </w:rPr>
  </w:style>
  <w:style w:type="character" w:customStyle="1" w:styleId="PredmetkomentraChar1536">
    <w:name w:val="Predmet komentára Char1536"/>
    <w:aliases w:val="Char6 Char Char1537,Predmet komentára Char Char Char1537,Comment Subject Char Char Char1537"/>
    <w:basedOn w:val="TextkomentraChar"/>
    <w:uiPriority w:val="99"/>
    <w:semiHidden/>
    <w:rPr>
      <w:rFonts w:ascii="Courier" w:hAnsi="Courier" w:cs="Courier"/>
      <w:b/>
      <w:bCs/>
      <w:lang w:val="x-none" w:eastAsia="cs-CZ"/>
    </w:rPr>
  </w:style>
  <w:style w:type="character" w:customStyle="1" w:styleId="PredmetkomentraChar1535">
    <w:name w:val="Predmet komentára Char1535"/>
    <w:aliases w:val="Char6 Char Char1536,Predmet komentára Char Char Char1536,Comment Subject Char Char Char1536"/>
    <w:basedOn w:val="TextkomentraChar"/>
    <w:uiPriority w:val="99"/>
    <w:semiHidden/>
    <w:rPr>
      <w:rFonts w:ascii="Courier" w:hAnsi="Courier" w:cs="Courier"/>
      <w:b/>
      <w:bCs/>
      <w:lang w:val="x-none" w:eastAsia="cs-CZ"/>
    </w:rPr>
  </w:style>
  <w:style w:type="character" w:customStyle="1" w:styleId="PredmetkomentraChar1534">
    <w:name w:val="Predmet komentára Char1534"/>
    <w:aliases w:val="Char6 Char Char1535,Predmet komentára Char Char Char1535,Comment Subject Char Char Char1535"/>
    <w:basedOn w:val="TextkomentraChar"/>
    <w:uiPriority w:val="99"/>
    <w:semiHidden/>
    <w:rPr>
      <w:rFonts w:ascii="Courier" w:hAnsi="Courier" w:cs="Courier"/>
      <w:b/>
      <w:bCs/>
      <w:lang w:val="x-none" w:eastAsia="cs-CZ"/>
    </w:rPr>
  </w:style>
  <w:style w:type="character" w:customStyle="1" w:styleId="PredmetkomentraChar1533">
    <w:name w:val="Predmet komentára Char1533"/>
    <w:aliases w:val="Char6 Char Char1534,Predmet komentára Char Char Char1534,Comment Subject Char Char Char1534"/>
    <w:basedOn w:val="TextkomentraChar"/>
    <w:uiPriority w:val="99"/>
    <w:semiHidden/>
    <w:rPr>
      <w:rFonts w:ascii="Courier" w:hAnsi="Courier" w:cs="Courier"/>
      <w:b/>
      <w:bCs/>
      <w:lang w:val="x-none" w:eastAsia="cs-CZ"/>
    </w:rPr>
  </w:style>
  <w:style w:type="character" w:customStyle="1" w:styleId="PredmetkomentraChar1532">
    <w:name w:val="Predmet komentára Char1532"/>
    <w:aliases w:val="Char6 Char Char1533,Predmet komentára Char Char Char1533,Comment Subject Char Char Char1533"/>
    <w:basedOn w:val="TextkomentraChar"/>
    <w:uiPriority w:val="99"/>
    <w:semiHidden/>
    <w:rPr>
      <w:rFonts w:ascii="Courier" w:hAnsi="Courier" w:cs="Courier"/>
      <w:b/>
      <w:bCs/>
      <w:lang w:val="x-none" w:eastAsia="cs-CZ"/>
    </w:rPr>
  </w:style>
  <w:style w:type="character" w:customStyle="1" w:styleId="PredmetkomentraChar1531">
    <w:name w:val="Predmet komentára Char1531"/>
    <w:aliases w:val="Char6 Char Char1532,Predmet komentára Char Char Char1532,Comment Subject Char Char Char1532"/>
    <w:basedOn w:val="TextkomentraChar"/>
    <w:uiPriority w:val="99"/>
    <w:semiHidden/>
    <w:rPr>
      <w:rFonts w:ascii="Courier" w:hAnsi="Courier" w:cs="Courier"/>
      <w:b/>
      <w:bCs/>
      <w:lang w:val="x-none" w:eastAsia="cs-CZ"/>
    </w:rPr>
  </w:style>
  <w:style w:type="character" w:customStyle="1" w:styleId="PredmetkomentraChar1530">
    <w:name w:val="Predmet komentára Char1530"/>
    <w:aliases w:val="Char6 Char Char1531,Predmet komentára Char Char Char1531,Comment Subject Char Char Char1531"/>
    <w:basedOn w:val="TextkomentraChar"/>
    <w:uiPriority w:val="99"/>
    <w:semiHidden/>
    <w:rPr>
      <w:rFonts w:ascii="Courier" w:hAnsi="Courier" w:cs="Courier"/>
      <w:b/>
      <w:bCs/>
      <w:lang w:val="x-none" w:eastAsia="cs-CZ"/>
    </w:rPr>
  </w:style>
  <w:style w:type="character" w:customStyle="1" w:styleId="PredmetkomentraChar1529">
    <w:name w:val="Predmet komentára Char1529"/>
    <w:aliases w:val="Char6 Char Char1530,Predmet komentára Char Char Char1530,Comment Subject Char Char Char1530"/>
    <w:basedOn w:val="TextkomentraChar"/>
    <w:uiPriority w:val="99"/>
    <w:semiHidden/>
    <w:rPr>
      <w:rFonts w:ascii="Courier" w:hAnsi="Courier" w:cs="Courier"/>
      <w:b/>
      <w:bCs/>
      <w:lang w:val="x-none" w:eastAsia="cs-CZ"/>
    </w:rPr>
  </w:style>
  <w:style w:type="character" w:customStyle="1" w:styleId="PredmetkomentraChar1528">
    <w:name w:val="Predmet komentára Char1528"/>
    <w:aliases w:val="Char6 Char Char1529,Predmet komentára Char Char Char1529,Comment Subject Char Char Char1529"/>
    <w:basedOn w:val="TextkomentraChar"/>
    <w:uiPriority w:val="99"/>
    <w:semiHidden/>
    <w:rPr>
      <w:rFonts w:ascii="Courier" w:hAnsi="Courier" w:cs="Courier"/>
      <w:b/>
      <w:bCs/>
      <w:lang w:val="x-none" w:eastAsia="cs-CZ"/>
    </w:rPr>
  </w:style>
  <w:style w:type="character" w:customStyle="1" w:styleId="PredmetkomentraChar1527">
    <w:name w:val="Predmet komentára Char1527"/>
    <w:aliases w:val="Char6 Char Char1528,Predmet komentára Char Char Char1528,Comment Subject Char Char Char1528"/>
    <w:basedOn w:val="TextkomentraChar"/>
    <w:uiPriority w:val="99"/>
    <w:semiHidden/>
    <w:rPr>
      <w:rFonts w:ascii="Courier" w:hAnsi="Courier" w:cs="Courier"/>
      <w:b/>
      <w:bCs/>
      <w:lang w:val="x-none" w:eastAsia="cs-CZ"/>
    </w:rPr>
  </w:style>
  <w:style w:type="character" w:customStyle="1" w:styleId="PredmetkomentraChar1526">
    <w:name w:val="Predmet komentára Char1526"/>
    <w:aliases w:val="Char6 Char Char1527,Predmet komentára Char Char Char1527,Comment Subject Char Char Char1527"/>
    <w:basedOn w:val="TextkomentraChar"/>
    <w:uiPriority w:val="99"/>
    <w:semiHidden/>
    <w:rPr>
      <w:rFonts w:ascii="Courier" w:hAnsi="Courier" w:cs="Courier"/>
      <w:b/>
      <w:bCs/>
      <w:lang w:val="x-none" w:eastAsia="cs-CZ"/>
    </w:rPr>
  </w:style>
  <w:style w:type="character" w:customStyle="1" w:styleId="PredmetkomentraChar1525">
    <w:name w:val="Predmet komentára Char1525"/>
    <w:aliases w:val="Char6 Char Char1526,Predmet komentára Char Char Char1526,Comment Subject Char Char Char1526"/>
    <w:basedOn w:val="TextkomentraChar"/>
    <w:uiPriority w:val="99"/>
    <w:semiHidden/>
    <w:rPr>
      <w:rFonts w:ascii="Courier" w:hAnsi="Courier" w:cs="Courier"/>
      <w:b/>
      <w:bCs/>
      <w:lang w:val="x-none" w:eastAsia="cs-CZ"/>
    </w:rPr>
  </w:style>
  <w:style w:type="character" w:customStyle="1" w:styleId="PredmetkomentraChar1524">
    <w:name w:val="Predmet komentára Char1524"/>
    <w:aliases w:val="Char6 Char Char1525,Predmet komentára Char Char Char1525,Comment Subject Char Char Char1525"/>
    <w:basedOn w:val="TextkomentraChar"/>
    <w:uiPriority w:val="99"/>
    <w:semiHidden/>
    <w:rPr>
      <w:rFonts w:ascii="Courier" w:hAnsi="Courier" w:cs="Courier"/>
      <w:b/>
      <w:bCs/>
      <w:lang w:val="x-none" w:eastAsia="cs-CZ"/>
    </w:rPr>
  </w:style>
  <w:style w:type="character" w:customStyle="1" w:styleId="PredmetkomentraChar1523">
    <w:name w:val="Predmet komentára Char1523"/>
    <w:aliases w:val="Char6 Char Char1524,Predmet komentára Char Char Char1524,Comment Subject Char Char Char1524"/>
    <w:basedOn w:val="TextkomentraChar"/>
    <w:uiPriority w:val="99"/>
    <w:semiHidden/>
    <w:rPr>
      <w:rFonts w:ascii="Courier" w:hAnsi="Courier" w:cs="Courier"/>
      <w:b/>
      <w:bCs/>
      <w:lang w:val="x-none" w:eastAsia="cs-CZ"/>
    </w:rPr>
  </w:style>
  <w:style w:type="character" w:customStyle="1" w:styleId="PredmetkomentraChar1522">
    <w:name w:val="Predmet komentára Char1522"/>
    <w:aliases w:val="Char6 Char Char1523,Predmet komentára Char Char Char1523,Comment Subject Char Char Char1523"/>
    <w:basedOn w:val="TextkomentraChar"/>
    <w:uiPriority w:val="99"/>
    <w:semiHidden/>
    <w:rPr>
      <w:rFonts w:ascii="Courier" w:hAnsi="Courier" w:cs="Courier"/>
      <w:b/>
      <w:bCs/>
      <w:lang w:val="x-none" w:eastAsia="cs-CZ"/>
    </w:rPr>
  </w:style>
  <w:style w:type="character" w:customStyle="1" w:styleId="PredmetkomentraChar1521">
    <w:name w:val="Predmet komentára Char1521"/>
    <w:aliases w:val="Char6 Char Char1522,Predmet komentára Char Char Char1522,Comment Subject Char Char Char1522"/>
    <w:basedOn w:val="TextkomentraChar"/>
    <w:uiPriority w:val="99"/>
    <w:semiHidden/>
    <w:rPr>
      <w:rFonts w:ascii="Courier" w:hAnsi="Courier" w:cs="Courier"/>
      <w:b/>
      <w:bCs/>
      <w:lang w:val="x-none" w:eastAsia="cs-CZ"/>
    </w:rPr>
  </w:style>
  <w:style w:type="character" w:customStyle="1" w:styleId="PredmetkomentraChar1520">
    <w:name w:val="Predmet komentára Char1520"/>
    <w:aliases w:val="Char6 Char Char1521,Predmet komentára Char Char Char1521,Comment Subject Char Char Char1521"/>
    <w:basedOn w:val="TextkomentraChar"/>
    <w:uiPriority w:val="99"/>
    <w:semiHidden/>
    <w:rPr>
      <w:rFonts w:ascii="Courier" w:hAnsi="Courier" w:cs="Courier"/>
      <w:b/>
      <w:bCs/>
      <w:lang w:val="x-none" w:eastAsia="cs-CZ"/>
    </w:rPr>
  </w:style>
  <w:style w:type="character" w:customStyle="1" w:styleId="PredmetkomentraChar1519">
    <w:name w:val="Predmet komentára Char1519"/>
    <w:aliases w:val="Char6 Char Char1520,Predmet komentára Char Char Char1520,Comment Subject Char Char Char1520"/>
    <w:basedOn w:val="TextkomentraChar"/>
    <w:uiPriority w:val="99"/>
    <w:semiHidden/>
    <w:rPr>
      <w:rFonts w:ascii="Courier" w:hAnsi="Courier" w:cs="Courier"/>
      <w:b/>
      <w:bCs/>
      <w:lang w:val="x-none" w:eastAsia="cs-CZ"/>
    </w:rPr>
  </w:style>
  <w:style w:type="character" w:customStyle="1" w:styleId="PredmetkomentraChar1518">
    <w:name w:val="Predmet komentára Char1518"/>
    <w:aliases w:val="Char6 Char Char1519,Predmet komentára Char Char Char1519,Comment Subject Char Char Char1519"/>
    <w:basedOn w:val="TextkomentraChar"/>
    <w:uiPriority w:val="99"/>
    <w:semiHidden/>
    <w:rPr>
      <w:rFonts w:ascii="Courier" w:hAnsi="Courier" w:cs="Courier"/>
      <w:b/>
      <w:bCs/>
      <w:lang w:val="x-none" w:eastAsia="cs-CZ"/>
    </w:rPr>
  </w:style>
  <w:style w:type="character" w:customStyle="1" w:styleId="PredmetkomentraChar1517">
    <w:name w:val="Predmet komentára Char1517"/>
    <w:aliases w:val="Char6 Char Char1518,Predmet komentára Char Char Char1518,Comment Subject Char Char Char1518"/>
    <w:basedOn w:val="TextkomentraChar"/>
    <w:uiPriority w:val="99"/>
    <w:semiHidden/>
    <w:rPr>
      <w:rFonts w:ascii="Courier" w:hAnsi="Courier" w:cs="Courier"/>
      <w:b/>
      <w:bCs/>
      <w:lang w:val="x-none" w:eastAsia="cs-CZ"/>
    </w:rPr>
  </w:style>
  <w:style w:type="character" w:customStyle="1" w:styleId="PredmetkomentraChar1516">
    <w:name w:val="Predmet komentára Char1516"/>
    <w:aliases w:val="Char6 Char Char1517,Predmet komentára Char Char Char1517,Comment Subject Char Char Char1517"/>
    <w:basedOn w:val="TextkomentraChar"/>
    <w:uiPriority w:val="99"/>
    <w:semiHidden/>
    <w:rPr>
      <w:rFonts w:ascii="Courier" w:hAnsi="Courier" w:cs="Courier"/>
      <w:b/>
      <w:bCs/>
      <w:lang w:val="x-none" w:eastAsia="cs-CZ"/>
    </w:rPr>
  </w:style>
  <w:style w:type="character" w:customStyle="1" w:styleId="PredmetkomentraChar1515">
    <w:name w:val="Predmet komentára Char1515"/>
    <w:aliases w:val="Char6 Char Char1516,Predmet komentára Char Char Char1516,Comment Subject Char Char Char1516"/>
    <w:basedOn w:val="TextkomentraChar"/>
    <w:uiPriority w:val="99"/>
    <w:semiHidden/>
    <w:rPr>
      <w:rFonts w:ascii="Courier" w:hAnsi="Courier" w:cs="Courier"/>
      <w:b/>
      <w:bCs/>
      <w:lang w:val="x-none" w:eastAsia="cs-CZ"/>
    </w:rPr>
  </w:style>
  <w:style w:type="character" w:customStyle="1" w:styleId="PredmetkomentraChar1514">
    <w:name w:val="Predmet komentára Char1514"/>
    <w:aliases w:val="Char6 Char Char1515,Predmet komentára Char Char Char1515,Comment Subject Char Char Char1515"/>
    <w:basedOn w:val="TextkomentraChar"/>
    <w:uiPriority w:val="99"/>
    <w:semiHidden/>
    <w:rPr>
      <w:rFonts w:ascii="Courier" w:hAnsi="Courier" w:cs="Courier"/>
      <w:b/>
      <w:bCs/>
      <w:lang w:val="x-none" w:eastAsia="cs-CZ"/>
    </w:rPr>
  </w:style>
  <w:style w:type="character" w:customStyle="1" w:styleId="PredmetkomentraChar1513">
    <w:name w:val="Predmet komentára Char1513"/>
    <w:aliases w:val="Char6 Char Char1514,Predmet komentára Char Char Char1514,Comment Subject Char Char Char1514"/>
    <w:uiPriority w:val="99"/>
    <w:semiHidden/>
    <w:rPr>
      <w:rFonts w:ascii="Courier" w:hAnsi="Courier"/>
      <w:b/>
      <w:lang w:val="x-none" w:eastAsia="cs-CZ"/>
    </w:rPr>
  </w:style>
  <w:style w:type="character" w:customStyle="1" w:styleId="PredmetkomentraChar1512">
    <w:name w:val="Predmet komentára Char1512"/>
    <w:aliases w:val="Char6 Char Char1513,Predmet komentára Char Char Char1513,Comment Subject Char Char Char1513"/>
    <w:uiPriority w:val="99"/>
    <w:semiHidden/>
    <w:rPr>
      <w:rFonts w:ascii="Courier" w:hAnsi="Courier"/>
      <w:b/>
      <w:lang w:val="x-none" w:eastAsia="cs-CZ"/>
    </w:rPr>
  </w:style>
  <w:style w:type="character" w:customStyle="1" w:styleId="PredmetkomentraChar1511">
    <w:name w:val="Predmet komentára Char1511"/>
    <w:aliases w:val="Char6 Char Char1512,Predmet komentára Char Char Char1512,Comment Subject Char Char Char1512"/>
    <w:uiPriority w:val="99"/>
    <w:semiHidden/>
    <w:rPr>
      <w:rFonts w:ascii="Courier" w:hAnsi="Courier"/>
      <w:b/>
      <w:lang w:val="x-none" w:eastAsia="cs-CZ"/>
    </w:rPr>
  </w:style>
  <w:style w:type="character" w:customStyle="1" w:styleId="PredmetkomentraChar1510">
    <w:name w:val="Predmet komentára Char1510"/>
    <w:aliases w:val="Char6 Char Char1511,Predmet komentára Char Char Char1511,Comment Subject Char Char Char1511"/>
    <w:uiPriority w:val="99"/>
    <w:semiHidden/>
    <w:rPr>
      <w:rFonts w:ascii="Courier" w:hAnsi="Courier"/>
      <w:b/>
      <w:lang w:val="x-none" w:eastAsia="cs-CZ"/>
    </w:rPr>
  </w:style>
  <w:style w:type="character" w:customStyle="1" w:styleId="PredmetkomentraChar1509">
    <w:name w:val="Predmet komentára Char1509"/>
    <w:aliases w:val="Char6 Char Char1510,Predmet komentára Char Char Char1510,Comment Subject Char Char Char1510"/>
    <w:uiPriority w:val="99"/>
    <w:semiHidden/>
    <w:rPr>
      <w:rFonts w:ascii="Courier" w:hAnsi="Courier"/>
      <w:b/>
      <w:lang w:val="x-none" w:eastAsia="cs-CZ"/>
    </w:rPr>
  </w:style>
  <w:style w:type="character" w:customStyle="1" w:styleId="PredmetkomentraChar1508">
    <w:name w:val="Predmet komentára Char1508"/>
    <w:aliases w:val="Char6 Char Char1509,Predmet komentára Char Char Char1509,Comment Subject Char Char Char1509"/>
    <w:uiPriority w:val="99"/>
    <w:semiHidden/>
    <w:rPr>
      <w:rFonts w:ascii="Courier" w:hAnsi="Courier"/>
      <w:b/>
      <w:lang w:val="x-none" w:eastAsia="cs-CZ"/>
    </w:rPr>
  </w:style>
  <w:style w:type="character" w:customStyle="1" w:styleId="PredmetkomentraChar1507">
    <w:name w:val="Predmet komentára Char1507"/>
    <w:aliases w:val="Char6 Char Char1508,Predmet komentára Char Char Char1508,Comment Subject Char Char Char1508"/>
    <w:uiPriority w:val="99"/>
    <w:semiHidden/>
    <w:rPr>
      <w:rFonts w:ascii="Courier" w:hAnsi="Courier"/>
      <w:b/>
      <w:lang w:val="x-none" w:eastAsia="cs-CZ"/>
    </w:rPr>
  </w:style>
  <w:style w:type="character" w:customStyle="1" w:styleId="PredmetkomentraChar1506">
    <w:name w:val="Predmet komentára Char1506"/>
    <w:aliases w:val="Char6 Char Char1507,Predmet komentára Char Char Char1507,Comment Subject Char Char Char1507"/>
    <w:uiPriority w:val="99"/>
    <w:semiHidden/>
    <w:rPr>
      <w:rFonts w:ascii="Courier" w:hAnsi="Courier"/>
      <w:b/>
      <w:lang w:val="x-none" w:eastAsia="cs-CZ"/>
    </w:rPr>
  </w:style>
  <w:style w:type="character" w:customStyle="1" w:styleId="PredmetkomentraChar1505">
    <w:name w:val="Predmet komentára Char1505"/>
    <w:aliases w:val="Char6 Char Char1506,Predmet komentára Char Char Char1506,Comment Subject Char Char Char1506"/>
    <w:uiPriority w:val="99"/>
    <w:semiHidden/>
    <w:rPr>
      <w:rFonts w:ascii="Courier" w:hAnsi="Courier"/>
      <w:b/>
      <w:lang w:val="x-none" w:eastAsia="cs-CZ"/>
    </w:rPr>
  </w:style>
  <w:style w:type="character" w:customStyle="1" w:styleId="PredmetkomentraChar1504">
    <w:name w:val="Predmet komentára Char1504"/>
    <w:aliases w:val="Char6 Char Char1505,Predmet komentára Char Char Char1505,Comment Subject Char Char Char1505"/>
    <w:uiPriority w:val="99"/>
    <w:semiHidden/>
    <w:rPr>
      <w:rFonts w:ascii="Courier" w:hAnsi="Courier"/>
      <w:b/>
      <w:lang w:val="x-none" w:eastAsia="cs-CZ"/>
    </w:rPr>
  </w:style>
  <w:style w:type="character" w:customStyle="1" w:styleId="PredmetkomentraChar1503">
    <w:name w:val="Predmet komentára Char1503"/>
    <w:aliases w:val="Char6 Char Char1504,Predmet komentára Char Char Char1504,Comment Subject Char Char Char1504"/>
    <w:uiPriority w:val="99"/>
    <w:semiHidden/>
    <w:rPr>
      <w:rFonts w:ascii="Courier" w:hAnsi="Courier"/>
      <w:b/>
      <w:lang w:val="x-none" w:eastAsia="cs-CZ"/>
    </w:rPr>
  </w:style>
  <w:style w:type="character" w:customStyle="1" w:styleId="PredmetkomentraChar1502">
    <w:name w:val="Predmet komentára Char1502"/>
    <w:aliases w:val="Char6 Char Char1503,Predmet komentára Char Char Char1503,Comment Subject Char Char Char1503"/>
    <w:uiPriority w:val="99"/>
    <w:semiHidden/>
    <w:rPr>
      <w:rFonts w:ascii="Courier" w:hAnsi="Courier"/>
      <w:b/>
      <w:lang w:val="x-none" w:eastAsia="cs-CZ"/>
    </w:rPr>
  </w:style>
  <w:style w:type="character" w:customStyle="1" w:styleId="PredmetkomentraChar1501">
    <w:name w:val="Predmet komentára Char1501"/>
    <w:aliases w:val="Char6 Char Char1502,Predmet komentára Char Char Char1502,Comment Subject Char Char Char1502"/>
    <w:uiPriority w:val="99"/>
    <w:semiHidden/>
    <w:rPr>
      <w:rFonts w:ascii="Courier" w:hAnsi="Courier"/>
      <w:b/>
      <w:lang w:val="x-none" w:eastAsia="cs-CZ"/>
    </w:rPr>
  </w:style>
  <w:style w:type="character" w:customStyle="1" w:styleId="PredmetkomentraChar1500">
    <w:name w:val="Predmet komentára Char1500"/>
    <w:aliases w:val="Char6 Char Char1501,Predmet komentára Char Char Char1501,Comment Subject Char Char Char1501"/>
    <w:uiPriority w:val="99"/>
    <w:semiHidden/>
    <w:rPr>
      <w:rFonts w:ascii="Courier" w:hAnsi="Courier"/>
      <w:b/>
      <w:lang w:val="x-none" w:eastAsia="cs-CZ"/>
    </w:rPr>
  </w:style>
  <w:style w:type="character" w:customStyle="1" w:styleId="PredmetkomentraChar1499">
    <w:name w:val="Predmet komentára Char1499"/>
    <w:aliases w:val="Char6 Char Char1500,Predmet komentára Char Char Char1500,Comment Subject Char Char Char1500"/>
    <w:uiPriority w:val="99"/>
    <w:semiHidden/>
    <w:rPr>
      <w:rFonts w:ascii="Courier" w:hAnsi="Courier"/>
      <w:b/>
      <w:lang w:val="x-none" w:eastAsia="cs-CZ"/>
    </w:rPr>
  </w:style>
  <w:style w:type="character" w:customStyle="1" w:styleId="PredmetkomentraChar1498">
    <w:name w:val="Predmet komentára Char1498"/>
    <w:aliases w:val="Char6 Char Char1499,Predmet komentára Char Char Char1499,Comment Subject Char Char Char1499"/>
    <w:uiPriority w:val="99"/>
    <w:semiHidden/>
    <w:rPr>
      <w:rFonts w:ascii="Courier" w:hAnsi="Courier"/>
      <w:b/>
      <w:lang w:val="x-none" w:eastAsia="cs-CZ"/>
    </w:rPr>
  </w:style>
  <w:style w:type="character" w:customStyle="1" w:styleId="PredmetkomentraChar1497">
    <w:name w:val="Predmet komentára Char1497"/>
    <w:aliases w:val="Char6 Char Char1498,Predmet komentára Char Char Char1498,Comment Subject Char Char Char1498"/>
    <w:uiPriority w:val="99"/>
    <w:semiHidden/>
    <w:rPr>
      <w:rFonts w:ascii="Courier" w:hAnsi="Courier"/>
      <w:b/>
      <w:lang w:val="x-none" w:eastAsia="cs-CZ"/>
    </w:rPr>
  </w:style>
  <w:style w:type="character" w:customStyle="1" w:styleId="PredmetkomentraChar1496">
    <w:name w:val="Predmet komentára Char1496"/>
    <w:aliases w:val="Char6 Char Char1497,Predmet komentára Char Char Char1497,Comment Subject Char Char Char1497"/>
    <w:uiPriority w:val="99"/>
    <w:semiHidden/>
    <w:rPr>
      <w:rFonts w:ascii="Courier" w:hAnsi="Courier"/>
      <w:b/>
      <w:lang w:val="x-none" w:eastAsia="cs-CZ"/>
    </w:rPr>
  </w:style>
  <w:style w:type="character" w:customStyle="1" w:styleId="PredmetkomentraChar1495">
    <w:name w:val="Predmet komentára Char1495"/>
    <w:aliases w:val="Char6 Char Char1496,Predmet komentára Char Char Char1496,Comment Subject Char Char Char1496"/>
    <w:uiPriority w:val="99"/>
    <w:semiHidden/>
    <w:rPr>
      <w:rFonts w:ascii="Courier" w:hAnsi="Courier"/>
      <w:b/>
      <w:lang w:val="x-none" w:eastAsia="cs-CZ"/>
    </w:rPr>
  </w:style>
  <w:style w:type="character" w:customStyle="1" w:styleId="PredmetkomentraChar1494">
    <w:name w:val="Predmet komentára Char1494"/>
    <w:aliases w:val="Char6 Char Char1495,Predmet komentára Char Char Char1495,Comment Subject Char Char Char1495"/>
    <w:uiPriority w:val="99"/>
    <w:semiHidden/>
    <w:rPr>
      <w:rFonts w:ascii="Courier" w:hAnsi="Courier"/>
      <w:b/>
      <w:lang w:val="x-none" w:eastAsia="cs-CZ"/>
    </w:rPr>
  </w:style>
  <w:style w:type="character" w:customStyle="1" w:styleId="PredmetkomentraChar1493">
    <w:name w:val="Predmet komentára Char1493"/>
    <w:aliases w:val="Char6 Char Char1494,Predmet komentára Char Char Char1494,Comment Subject Char Char Char1494"/>
    <w:uiPriority w:val="99"/>
    <w:semiHidden/>
    <w:rPr>
      <w:rFonts w:ascii="Courier" w:hAnsi="Courier"/>
      <w:b/>
      <w:lang w:val="x-none" w:eastAsia="cs-CZ"/>
    </w:rPr>
  </w:style>
  <w:style w:type="character" w:customStyle="1" w:styleId="PredmetkomentraChar1492">
    <w:name w:val="Predmet komentára Char1492"/>
    <w:aliases w:val="Char6 Char Char1493,Predmet komentára Char Char Char1493,Comment Subject Char Char Char1493"/>
    <w:uiPriority w:val="99"/>
    <w:semiHidden/>
    <w:rPr>
      <w:rFonts w:ascii="Courier" w:hAnsi="Courier"/>
      <w:b/>
      <w:lang w:val="x-none" w:eastAsia="cs-CZ"/>
    </w:rPr>
  </w:style>
  <w:style w:type="character" w:customStyle="1" w:styleId="PredmetkomentraChar1491">
    <w:name w:val="Predmet komentára Char1491"/>
    <w:aliases w:val="Char6 Char Char1492,Predmet komentára Char Char Char1492,Comment Subject Char Char Char1492"/>
    <w:uiPriority w:val="99"/>
    <w:semiHidden/>
    <w:rPr>
      <w:rFonts w:ascii="Courier" w:hAnsi="Courier"/>
      <w:b/>
      <w:lang w:val="x-none" w:eastAsia="cs-CZ"/>
    </w:rPr>
  </w:style>
  <w:style w:type="character" w:customStyle="1" w:styleId="PredmetkomentraChar1490">
    <w:name w:val="Predmet komentára Char1490"/>
    <w:aliases w:val="Char6 Char Char1491,Predmet komentára Char Char Char1491,Comment Subject Char Char Char1491"/>
    <w:uiPriority w:val="99"/>
    <w:semiHidden/>
    <w:rPr>
      <w:rFonts w:ascii="Courier" w:hAnsi="Courier"/>
      <w:b/>
      <w:lang w:val="x-none" w:eastAsia="cs-CZ"/>
    </w:rPr>
  </w:style>
  <w:style w:type="character" w:customStyle="1" w:styleId="PredmetkomentraChar1489">
    <w:name w:val="Predmet komentára Char1489"/>
    <w:aliases w:val="Char6 Char Char1490,Predmet komentára Char Char Char1490,Comment Subject Char Char Char1490"/>
    <w:uiPriority w:val="99"/>
    <w:semiHidden/>
    <w:rPr>
      <w:rFonts w:ascii="Courier" w:hAnsi="Courier"/>
      <w:b/>
      <w:lang w:val="x-none" w:eastAsia="cs-CZ"/>
    </w:rPr>
  </w:style>
  <w:style w:type="character" w:customStyle="1" w:styleId="PredmetkomentraChar1488">
    <w:name w:val="Predmet komentára Char1488"/>
    <w:aliases w:val="Char6 Char Char1489,Predmet komentára Char Char Char1489,Comment Subject Char Char Char1489"/>
    <w:uiPriority w:val="99"/>
    <w:semiHidden/>
    <w:rPr>
      <w:rFonts w:ascii="Courier" w:hAnsi="Courier"/>
      <w:b/>
      <w:lang w:val="x-none" w:eastAsia="cs-CZ"/>
    </w:rPr>
  </w:style>
  <w:style w:type="character" w:customStyle="1" w:styleId="PredmetkomentraChar1487">
    <w:name w:val="Predmet komentára Char1487"/>
    <w:aliases w:val="Char6 Char Char1488,Predmet komentára Char Char Char1488,Comment Subject Char Char Char1488"/>
    <w:uiPriority w:val="99"/>
    <w:semiHidden/>
    <w:rPr>
      <w:rFonts w:ascii="Courier" w:hAnsi="Courier"/>
      <w:b/>
      <w:lang w:val="x-none" w:eastAsia="cs-CZ"/>
    </w:rPr>
  </w:style>
  <w:style w:type="character" w:customStyle="1" w:styleId="PredmetkomentraChar1486">
    <w:name w:val="Predmet komentára Char1486"/>
    <w:aliases w:val="Char6 Char Char1487,Predmet komentára Char Char Char1487,Comment Subject Char Char Char1487"/>
    <w:uiPriority w:val="99"/>
    <w:semiHidden/>
    <w:rPr>
      <w:rFonts w:ascii="Courier" w:hAnsi="Courier"/>
      <w:b/>
      <w:lang w:val="x-none" w:eastAsia="cs-CZ"/>
    </w:rPr>
  </w:style>
  <w:style w:type="character" w:customStyle="1" w:styleId="PredmetkomentraChar1485">
    <w:name w:val="Predmet komentára Char1485"/>
    <w:aliases w:val="Char6 Char Char1486,Predmet komentára Char Char Char1486,Comment Subject Char Char Char1486"/>
    <w:uiPriority w:val="99"/>
    <w:semiHidden/>
    <w:rPr>
      <w:rFonts w:ascii="Courier" w:hAnsi="Courier"/>
      <w:b/>
      <w:lang w:val="x-none" w:eastAsia="cs-CZ"/>
    </w:rPr>
  </w:style>
  <w:style w:type="character" w:customStyle="1" w:styleId="PredmetkomentraChar1484">
    <w:name w:val="Predmet komentára Char1484"/>
    <w:aliases w:val="Char6 Char Char1485,Predmet komentára Char Char Char1485,Comment Subject Char Char Char1485"/>
    <w:uiPriority w:val="99"/>
    <w:semiHidden/>
    <w:rPr>
      <w:rFonts w:ascii="Courier" w:hAnsi="Courier"/>
      <w:b/>
      <w:lang w:val="x-none" w:eastAsia="cs-CZ"/>
    </w:rPr>
  </w:style>
  <w:style w:type="character" w:customStyle="1" w:styleId="PredmetkomentraChar1483">
    <w:name w:val="Predmet komentára Char1483"/>
    <w:aliases w:val="Char6 Char Char1484,Predmet komentára Char Char Char1484,Comment Subject Char Char Char1484"/>
    <w:uiPriority w:val="99"/>
    <w:semiHidden/>
    <w:rPr>
      <w:rFonts w:ascii="Courier" w:hAnsi="Courier"/>
      <w:b/>
      <w:lang w:val="x-none" w:eastAsia="cs-CZ"/>
    </w:rPr>
  </w:style>
  <w:style w:type="character" w:customStyle="1" w:styleId="PredmetkomentraChar1482">
    <w:name w:val="Predmet komentára Char1482"/>
    <w:aliases w:val="Char6 Char Char1483,Predmet komentára Char Char Char1483,Comment Subject Char Char Char1483"/>
    <w:uiPriority w:val="99"/>
    <w:semiHidden/>
    <w:rPr>
      <w:rFonts w:ascii="Courier" w:hAnsi="Courier"/>
      <w:b/>
      <w:lang w:val="x-none" w:eastAsia="cs-CZ"/>
    </w:rPr>
  </w:style>
  <w:style w:type="character" w:customStyle="1" w:styleId="PredmetkomentraChar1481">
    <w:name w:val="Predmet komentára Char1481"/>
    <w:aliases w:val="Char6 Char Char1482,Predmet komentára Char Char Char1482,Comment Subject Char Char Char1482"/>
    <w:uiPriority w:val="99"/>
    <w:semiHidden/>
    <w:rPr>
      <w:rFonts w:ascii="Courier" w:hAnsi="Courier"/>
      <w:b/>
      <w:lang w:val="x-none" w:eastAsia="cs-CZ"/>
    </w:rPr>
  </w:style>
  <w:style w:type="character" w:customStyle="1" w:styleId="PredmetkomentraChar1480">
    <w:name w:val="Predmet komentára Char1480"/>
    <w:aliases w:val="Char6 Char Char1481,Predmet komentára Char Char Char1481,Comment Subject Char Char Char1481"/>
    <w:uiPriority w:val="99"/>
    <w:semiHidden/>
    <w:rPr>
      <w:rFonts w:ascii="Courier" w:hAnsi="Courier"/>
      <w:b/>
      <w:lang w:val="x-none" w:eastAsia="cs-CZ"/>
    </w:rPr>
  </w:style>
  <w:style w:type="character" w:customStyle="1" w:styleId="PredmetkomentraChar1479">
    <w:name w:val="Predmet komentára Char1479"/>
    <w:aliases w:val="Char6 Char Char1480,Predmet komentára Char Char Char1480,Comment Subject Char Char Char1480"/>
    <w:uiPriority w:val="99"/>
    <w:semiHidden/>
    <w:rPr>
      <w:rFonts w:ascii="Courier" w:hAnsi="Courier"/>
      <w:b/>
      <w:lang w:val="x-none" w:eastAsia="cs-CZ"/>
    </w:rPr>
  </w:style>
  <w:style w:type="character" w:customStyle="1" w:styleId="PredmetkomentraChar1478">
    <w:name w:val="Predmet komentára Char1478"/>
    <w:aliases w:val="Char6 Char Char1479,Predmet komentára Char Char Char1479,Comment Subject Char Char Char1479"/>
    <w:uiPriority w:val="99"/>
    <w:semiHidden/>
    <w:rPr>
      <w:rFonts w:ascii="Courier" w:hAnsi="Courier"/>
      <w:b/>
      <w:lang w:val="x-none" w:eastAsia="cs-CZ"/>
    </w:rPr>
  </w:style>
  <w:style w:type="character" w:customStyle="1" w:styleId="PredmetkomentraChar1477">
    <w:name w:val="Predmet komentára Char1477"/>
    <w:aliases w:val="Char6 Char Char1478,Predmet komentára Char Char Char1478,Comment Subject Char Char Char1478"/>
    <w:uiPriority w:val="99"/>
    <w:semiHidden/>
    <w:rPr>
      <w:rFonts w:ascii="Courier" w:hAnsi="Courier"/>
      <w:b/>
      <w:lang w:val="x-none" w:eastAsia="cs-CZ"/>
    </w:rPr>
  </w:style>
  <w:style w:type="character" w:customStyle="1" w:styleId="PredmetkomentraChar1476">
    <w:name w:val="Predmet komentára Char1476"/>
    <w:aliases w:val="Char6 Char Char1477,Predmet komentára Char Char Char1477,Comment Subject Char Char Char1477"/>
    <w:uiPriority w:val="99"/>
    <w:semiHidden/>
    <w:rPr>
      <w:rFonts w:ascii="Courier" w:hAnsi="Courier"/>
      <w:b/>
      <w:lang w:val="x-none" w:eastAsia="cs-CZ"/>
    </w:rPr>
  </w:style>
  <w:style w:type="character" w:customStyle="1" w:styleId="PredmetkomentraChar1475">
    <w:name w:val="Predmet komentára Char1475"/>
    <w:aliases w:val="Char6 Char Char1476,Predmet komentára Char Char Char1476,Comment Subject Char Char Char1476"/>
    <w:uiPriority w:val="99"/>
    <w:semiHidden/>
    <w:rPr>
      <w:rFonts w:ascii="Courier" w:hAnsi="Courier"/>
      <w:b/>
      <w:lang w:val="x-none" w:eastAsia="cs-CZ"/>
    </w:rPr>
  </w:style>
  <w:style w:type="character" w:customStyle="1" w:styleId="PredmetkomentraChar1474">
    <w:name w:val="Predmet komentára Char1474"/>
    <w:aliases w:val="Char6 Char Char1475,Predmet komentára Char Char Char1475,Comment Subject Char Char Char1475"/>
    <w:uiPriority w:val="99"/>
    <w:semiHidden/>
    <w:rPr>
      <w:rFonts w:ascii="Courier" w:hAnsi="Courier"/>
      <w:b/>
      <w:lang w:val="x-none" w:eastAsia="cs-CZ"/>
    </w:rPr>
  </w:style>
  <w:style w:type="character" w:customStyle="1" w:styleId="PredmetkomentraChar1473">
    <w:name w:val="Predmet komentára Char1473"/>
    <w:aliases w:val="Char6 Char Char1474,Predmet komentára Char Char Char1474,Comment Subject Char Char Char1474"/>
    <w:uiPriority w:val="99"/>
    <w:semiHidden/>
    <w:rPr>
      <w:rFonts w:ascii="Courier" w:hAnsi="Courier"/>
      <w:b/>
      <w:lang w:val="x-none" w:eastAsia="cs-CZ"/>
    </w:rPr>
  </w:style>
  <w:style w:type="character" w:customStyle="1" w:styleId="PredmetkomentraChar1472">
    <w:name w:val="Predmet komentára Char1472"/>
    <w:aliases w:val="Char6 Char Char1473,Predmet komentára Char Char Char1473,Comment Subject Char Char Char1473"/>
    <w:uiPriority w:val="99"/>
    <w:semiHidden/>
    <w:rPr>
      <w:rFonts w:ascii="Courier" w:hAnsi="Courier"/>
      <w:b/>
      <w:lang w:val="x-none" w:eastAsia="cs-CZ"/>
    </w:rPr>
  </w:style>
  <w:style w:type="character" w:customStyle="1" w:styleId="PredmetkomentraChar1471">
    <w:name w:val="Predmet komentára Char1471"/>
    <w:aliases w:val="Char6 Char Char1472,Predmet komentára Char Char Char1472,Comment Subject Char Char Char1472"/>
    <w:uiPriority w:val="99"/>
    <w:semiHidden/>
    <w:rPr>
      <w:rFonts w:ascii="Courier" w:hAnsi="Courier"/>
      <w:b/>
      <w:lang w:val="x-none" w:eastAsia="cs-CZ"/>
    </w:rPr>
  </w:style>
  <w:style w:type="character" w:customStyle="1" w:styleId="PredmetkomentraChar1470">
    <w:name w:val="Predmet komentára Char1470"/>
    <w:aliases w:val="Char6 Char Char1471,Predmet komentára Char Char Char1471,Comment Subject Char Char Char1471"/>
    <w:uiPriority w:val="99"/>
    <w:semiHidden/>
    <w:rPr>
      <w:rFonts w:ascii="Courier" w:hAnsi="Courier"/>
      <w:b/>
      <w:lang w:val="x-none" w:eastAsia="cs-CZ"/>
    </w:rPr>
  </w:style>
  <w:style w:type="character" w:customStyle="1" w:styleId="PredmetkomentraChar1469">
    <w:name w:val="Predmet komentára Char1469"/>
    <w:aliases w:val="Char6 Char Char1470,Predmet komentára Char Char Char1470,Comment Subject Char Char Char1470"/>
    <w:uiPriority w:val="99"/>
    <w:semiHidden/>
    <w:rPr>
      <w:rFonts w:ascii="Courier" w:hAnsi="Courier"/>
      <w:b/>
      <w:lang w:val="x-none" w:eastAsia="cs-CZ"/>
    </w:rPr>
  </w:style>
  <w:style w:type="character" w:customStyle="1" w:styleId="PredmetkomentraChar1468">
    <w:name w:val="Predmet komentára Char1468"/>
    <w:aliases w:val="Char6 Char Char1469,Predmet komentára Char Char Char1469,Comment Subject Char Char Char1469"/>
    <w:uiPriority w:val="99"/>
    <w:semiHidden/>
    <w:rPr>
      <w:rFonts w:ascii="Courier" w:hAnsi="Courier"/>
      <w:b/>
      <w:lang w:val="x-none" w:eastAsia="cs-CZ"/>
    </w:rPr>
  </w:style>
  <w:style w:type="character" w:customStyle="1" w:styleId="PredmetkomentraChar1467">
    <w:name w:val="Predmet komentára Char1467"/>
    <w:aliases w:val="Char6 Char Char1468,Predmet komentára Char Char Char1468,Comment Subject Char Char Char1468"/>
    <w:uiPriority w:val="99"/>
    <w:semiHidden/>
    <w:rPr>
      <w:rFonts w:ascii="Courier" w:hAnsi="Courier"/>
      <w:b/>
      <w:lang w:val="x-none" w:eastAsia="cs-CZ"/>
    </w:rPr>
  </w:style>
  <w:style w:type="character" w:customStyle="1" w:styleId="PredmetkomentraChar1466">
    <w:name w:val="Predmet komentára Char1466"/>
    <w:aliases w:val="Char6 Char Char1467,Predmet komentára Char Char Char1467,Comment Subject Char Char Char1467"/>
    <w:uiPriority w:val="99"/>
    <w:semiHidden/>
    <w:rPr>
      <w:rFonts w:ascii="Courier" w:hAnsi="Courier"/>
      <w:b/>
      <w:lang w:val="x-none" w:eastAsia="cs-CZ"/>
    </w:rPr>
  </w:style>
  <w:style w:type="character" w:customStyle="1" w:styleId="PredmetkomentraChar1465">
    <w:name w:val="Predmet komentára Char1465"/>
    <w:aliases w:val="Char6 Char Char1466,Predmet komentára Char Char Char1466,Comment Subject Char Char Char1466"/>
    <w:uiPriority w:val="99"/>
    <w:semiHidden/>
    <w:rPr>
      <w:rFonts w:ascii="Courier" w:hAnsi="Courier"/>
      <w:b/>
      <w:lang w:val="x-none" w:eastAsia="cs-CZ"/>
    </w:rPr>
  </w:style>
  <w:style w:type="character" w:customStyle="1" w:styleId="PredmetkomentraChar1464">
    <w:name w:val="Predmet komentára Char1464"/>
    <w:aliases w:val="Char6 Char Char1465,Predmet komentára Char Char Char1465,Comment Subject Char Char Char1465"/>
    <w:uiPriority w:val="99"/>
    <w:semiHidden/>
    <w:rPr>
      <w:rFonts w:ascii="Courier" w:hAnsi="Courier"/>
      <w:b/>
      <w:lang w:val="x-none" w:eastAsia="cs-CZ"/>
    </w:rPr>
  </w:style>
  <w:style w:type="character" w:customStyle="1" w:styleId="PredmetkomentraChar1463">
    <w:name w:val="Predmet komentára Char1463"/>
    <w:aliases w:val="Char6 Char Char1464,Predmet komentára Char Char Char1464,Comment Subject Char Char Char1464"/>
    <w:uiPriority w:val="99"/>
    <w:semiHidden/>
    <w:rPr>
      <w:rFonts w:ascii="Courier" w:hAnsi="Courier"/>
      <w:b/>
      <w:lang w:val="x-none" w:eastAsia="cs-CZ"/>
    </w:rPr>
  </w:style>
  <w:style w:type="character" w:customStyle="1" w:styleId="PredmetkomentraChar1462">
    <w:name w:val="Predmet komentára Char1462"/>
    <w:aliases w:val="Char6 Char Char1463,Predmet komentára Char Char Char1463,Comment Subject Char Char Char1463"/>
    <w:uiPriority w:val="99"/>
    <w:semiHidden/>
    <w:rPr>
      <w:rFonts w:ascii="Courier" w:hAnsi="Courier"/>
      <w:b/>
      <w:lang w:val="x-none" w:eastAsia="cs-CZ"/>
    </w:rPr>
  </w:style>
  <w:style w:type="character" w:customStyle="1" w:styleId="PredmetkomentraChar1461">
    <w:name w:val="Predmet komentára Char1461"/>
    <w:aliases w:val="Char6 Char Char1462,Predmet komentára Char Char Char1462,Comment Subject Char Char Char1462"/>
    <w:uiPriority w:val="99"/>
    <w:semiHidden/>
    <w:rPr>
      <w:rFonts w:ascii="Courier" w:hAnsi="Courier"/>
      <w:b/>
      <w:lang w:val="x-none" w:eastAsia="cs-CZ"/>
    </w:rPr>
  </w:style>
  <w:style w:type="character" w:customStyle="1" w:styleId="PredmetkomentraChar1460">
    <w:name w:val="Predmet komentára Char1460"/>
    <w:aliases w:val="Char6 Char Char1461,Predmet komentára Char Char Char1461,Comment Subject Char Char Char1461"/>
    <w:uiPriority w:val="99"/>
    <w:semiHidden/>
    <w:rPr>
      <w:rFonts w:ascii="Courier" w:hAnsi="Courier"/>
      <w:b/>
      <w:lang w:val="x-none" w:eastAsia="cs-CZ"/>
    </w:rPr>
  </w:style>
  <w:style w:type="character" w:customStyle="1" w:styleId="PredmetkomentraChar1459">
    <w:name w:val="Predmet komentára Char1459"/>
    <w:aliases w:val="Char6 Char Char1460,Predmet komentára Char Char Char1460,Comment Subject Char Char Char1460"/>
    <w:uiPriority w:val="99"/>
    <w:semiHidden/>
    <w:rPr>
      <w:rFonts w:ascii="Courier" w:hAnsi="Courier"/>
      <w:b/>
      <w:lang w:val="x-none" w:eastAsia="cs-CZ"/>
    </w:rPr>
  </w:style>
  <w:style w:type="character" w:customStyle="1" w:styleId="PredmetkomentraChar1458">
    <w:name w:val="Predmet komentára Char1458"/>
    <w:aliases w:val="Char6 Char Char1459,Predmet komentára Char Char Char1459,Comment Subject Char Char Char1459"/>
    <w:uiPriority w:val="99"/>
    <w:semiHidden/>
    <w:rPr>
      <w:rFonts w:ascii="Courier" w:hAnsi="Courier"/>
      <w:b/>
      <w:lang w:val="x-none" w:eastAsia="cs-CZ"/>
    </w:rPr>
  </w:style>
  <w:style w:type="character" w:customStyle="1" w:styleId="PredmetkomentraChar1457">
    <w:name w:val="Predmet komentára Char1457"/>
    <w:aliases w:val="Char6 Char Char1458,Predmet komentára Char Char Char1458,Comment Subject Char Char Char1458"/>
    <w:uiPriority w:val="99"/>
    <w:semiHidden/>
    <w:rPr>
      <w:rFonts w:ascii="Courier" w:hAnsi="Courier"/>
      <w:b/>
      <w:lang w:val="x-none" w:eastAsia="cs-CZ"/>
    </w:rPr>
  </w:style>
  <w:style w:type="character" w:customStyle="1" w:styleId="PredmetkomentraChar1456">
    <w:name w:val="Predmet komentára Char1456"/>
    <w:aliases w:val="Char6 Char Char1457,Predmet komentára Char Char Char1457,Comment Subject Char Char Char1457"/>
    <w:uiPriority w:val="99"/>
    <w:semiHidden/>
    <w:rPr>
      <w:rFonts w:ascii="Courier" w:hAnsi="Courier"/>
      <w:b/>
      <w:lang w:val="x-none" w:eastAsia="cs-CZ"/>
    </w:rPr>
  </w:style>
  <w:style w:type="character" w:customStyle="1" w:styleId="PredmetkomentraChar1455">
    <w:name w:val="Predmet komentára Char1455"/>
    <w:aliases w:val="Char6 Char Char1456,Predmet komentára Char Char Char1456,Comment Subject Char Char Char1456"/>
    <w:uiPriority w:val="99"/>
    <w:semiHidden/>
    <w:rPr>
      <w:rFonts w:ascii="Courier" w:hAnsi="Courier"/>
      <w:b/>
      <w:lang w:val="x-none" w:eastAsia="cs-CZ"/>
    </w:rPr>
  </w:style>
  <w:style w:type="character" w:customStyle="1" w:styleId="PredmetkomentraChar1454">
    <w:name w:val="Predmet komentára Char1454"/>
    <w:aliases w:val="Char6 Char Char1455,Predmet komentára Char Char Char1455,Comment Subject Char Char Char1455"/>
    <w:uiPriority w:val="99"/>
    <w:semiHidden/>
    <w:rPr>
      <w:rFonts w:ascii="Courier" w:hAnsi="Courier"/>
      <w:b/>
      <w:lang w:val="x-none" w:eastAsia="cs-CZ"/>
    </w:rPr>
  </w:style>
  <w:style w:type="character" w:customStyle="1" w:styleId="PredmetkomentraChar1453">
    <w:name w:val="Predmet komentára Char1453"/>
    <w:aliases w:val="Char6 Char Char1454,Predmet komentára Char Char Char1454,Comment Subject Char Char Char1454"/>
    <w:uiPriority w:val="99"/>
    <w:semiHidden/>
    <w:rPr>
      <w:rFonts w:ascii="Courier" w:hAnsi="Courier"/>
      <w:b/>
      <w:lang w:val="x-none" w:eastAsia="cs-CZ"/>
    </w:rPr>
  </w:style>
  <w:style w:type="character" w:customStyle="1" w:styleId="PredmetkomentraChar1452">
    <w:name w:val="Predmet komentára Char1452"/>
    <w:aliases w:val="Char6 Char Char1453,Predmet komentára Char Char Char1453,Comment Subject Char Char Char1453"/>
    <w:uiPriority w:val="99"/>
    <w:semiHidden/>
    <w:rPr>
      <w:rFonts w:ascii="Courier" w:hAnsi="Courier"/>
      <w:b/>
      <w:lang w:val="x-none" w:eastAsia="cs-CZ"/>
    </w:rPr>
  </w:style>
  <w:style w:type="character" w:customStyle="1" w:styleId="PredmetkomentraChar1451">
    <w:name w:val="Predmet komentára Char1451"/>
    <w:aliases w:val="Char6 Char Char1452,Predmet komentára Char Char Char1452,Comment Subject Char Char Char1452"/>
    <w:uiPriority w:val="99"/>
    <w:semiHidden/>
    <w:rPr>
      <w:rFonts w:ascii="Courier" w:hAnsi="Courier"/>
      <w:b/>
      <w:lang w:val="x-none" w:eastAsia="cs-CZ"/>
    </w:rPr>
  </w:style>
  <w:style w:type="character" w:customStyle="1" w:styleId="PredmetkomentraChar1450">
    <w:name w:val="Predmet komentára Char1450"/>
    <w:aliases w:val="Char6 Char Char1451,Predmet komentára Char Char Char1451,Comment Subject Char Char Char1451"/>
    <w:uiPriority w:val="99"/>
    <w:semiHidden/>
    <w:rPr>
      <w:rFonts w:ascii="Courier" w:hAnsi="Courier"/>
      <w:b/>
      <w:lang w:val="x-none" w:eastAsia="cs-CZ"/>
    </w:rPr>
  </w:style>
  <w:style w:type="character" w:customStyle="1" w:styleId="PredmetkomentraChar1449">
    <w:name w:val="Predmet komentára Char1449"/>
    <w:aliases w:val="Char6 Char Char1450,Predmet komentára Char Char Char1450,Comment Subject Char Char Char1450"/>
    <w:uiPriority w:val="99"/>
    <w:semiHidden/>
    <w:rPr>
      <w:rFonts w:ascii="Courier" w:hAnsi="Courier"/>
      <w:b/>
      <w:lang w:val="x-none" w:eastAsia="cs-CZ"/>
    </w:rPr>
  </w:style>
  <w:style w:type="character" w:customStyle="1" w:styleId="PredmetkomentraChar1448">
    <w:name w:val="Predmet komentára Char1448"/>
    <w:aliases w:val="Char6 Char Char1449,Predmet komentára Char Char Char1449,Comment Subject Char Char Char1449"/>
    <w:uiPriority w:val="99"/>
    <w:semiHidden/>
    <w:rPr>
      <w:rFonts w:ascii="Courier" w:hAnsi="Courier"/>
      <w:b/>
      <w:lang w:val="x-none" w:eastAsia="cs-CZ"/>
    </w:rPr>
  </w:style>
  <w:style w:type="character" w:customStyle="1" w:styleId="PredmetkomentraChar1447">
    <w:name w:val="Predmet komentára Char1447"/>
    <w:aliases w:val="Char6 Char Char1448,Predmet komentára Char Char Char1448,Comment Subject Char Char Char1448"/>
    <w:uiPriority w:val="99"/>
    <w:semiHidden/>
    <w:rPr>
      <w:rFonts w:ascii="Courier" w:hAnsi="Courier"/>
      <w:b/>
      <w:lang w:val="x-none" w:eastAsia="cs-CZ"/>
    </w:rPr>
  </w:style>
  <w:style w:type="character" w:customStyle="1" w:styleId="PredmetkomentraChar1446">
    <w:name w:val="Predmet komentára Char1446"/>
    <w:aliases w:val="Char6 Char Char1447,Predmet komentára Char Char Char1447,Comment Subject Char Char Char1447"/>
    <w:uiPriority w:val="99"/>
    <w:semiHidden/>
    <w:rPr>
      <w:rFonts w:ascii="Courier" w:hAnsi="Courier"/>
      <w:b/>
      <w:lang w:val="x-none" w:eastAsia="cs-CZ"/>
    </w:rPr>
  </w:style>
  <w:style w:type="character" w:customStyle="1" w:styleId="PredmetkomentraChar1445">
    <w:name w:val="Predmet komentára Char1445"/>
    <w:aliases w:val="Char6 Char Char1446,Predmet komentára Char Char Char1446,Comment Subject Char Char Char1446"/>
    <w:uiPriority w:val="99"/>
    <w:semiHidden/>
    <w:rPr>
      <w:rFonts w:ascii="Courier" w:hAnsi="Courier"/>
      <w:b/>
      <w:lang w:val="x-none" w:eastAsia="cs-CZ"/>
    </w:rPr>
  </w:style>
  <w:style w:type="character" w:customStyle="1" w:styleId="PredmetkomentraChar1444">
    <w:name w:val="Predmet komentára Char1444"/>
    <w:aliases w:val="Char6 Char Char1445,Predmet komentára Char Char Char1445,Comment Subject Char Char Char1445"/>
    <w:uiPriority w:val="99"/>
    <w:semiHidden/>
    <w:rPr>
      <w:rFonts w:ascii="Courier" w:hAnsi="Courier"/>
      <w:b/>
      <w:lang w:val="x-none" w:eastAsia="cs-CZ"/>
    </w:rPr>
  </w:style>
  <w:style w:type="character" w:customStyle="1" w:styleId="PredmetkomentraChar1443">
    <w:name w:val="Predmet komentára Char1443"/>
    <w:aliases w:val="Char6 Char Char1444,Predmet komentára Char Char Char1444,Comment Subject Char Char Char1444"/>
    <w:uiPriority w:val="99"/>
    <w:semiHidden/>
    <w:rPr>
      <w:rFonts w:ascii="Courier" w:hAnsi="Courier"/>
      <w:b/>
      <w:lang w:val="x-none" w:eastAsia="cs-CZ"/>
    </w:rPr>
  </w:style>
  <w:style w:type="character" w:customStyle="1" w:styleId="PredmetkomentraChar1442">
    <w:name w:val="Predmet komentára Char1442"/>
    <w:aliases w:val="Char6 Char Char1443,Predmet komentára Char Char Char1443,Comment Subject Char Char Char1443"/>
    <w:uiPriority w:val="99"/>
    <w:semiHidden/>
    <w:rPr>
      <w:rFonts w:ascii="Courier" w:hAnsi="Courier"/>
      <w:b/>
      <w:lang w:val="x-none" w:eastAsia="cs-CZ"/>
    </w:rPr>
  </w:style>
  <w:style w:type="character" w:customStyle="1" w:styleId="PredmetkomentraChar1441">
    <w:name w:val="Predmet komentára Char1441"/>
    <w:aliases w:val="Char6 Char Char1442,Predmet komentára Char Char Char1442,Comment Subject Char Char Char1442"/>
    <w:uiPriority w:val="99"/>
    <w:semiHidden/>
    <w:rPr>
      <w:rFonts w:ascii="Courier" w:hAnsi="Courier"/>
      <w:b/>
      <w:lang w:val="x-none" w:eastAsia="cs-CZ"/>
    </w:rPr>
  </w:style>
  <w:style w:type="character" w:customStyle="1" w:styleId="PredmetkomentraChar1440">
    <w:name w:val="Predmet komentára Char1440"/>
    <w:aliases w:val="Char6 Char Char1441,Predmet komentára Char Char Char1441,Comment Subject Char Char Char1441"/>
    <w:uiPriority w:val="99"/>
    <w:semiHidden/>
    <w:rPr>
      <w:rFonts w:ascii="Courier" w:hAnsi="Courier"/>
      <w:b/>
      <w:lang w:val="x-none" w:eastAsia="cs-CZ"/>
    </w:rPr>
  </w:style>
  <w:style w:type="character" w:customStyle="1" w:styleId="PredmetkomentraChar1439">
    <w:name w:val="Predmet komentára Char1439"/>
    <w:aliases w:val="Char6 Char Char1440,Predmet komentára Char Char Char1440,Comment Subject Char Char Char1440"/>
    <w:uiPriority w:val="99"/>
    <w:semiHidden/>
    <w:rPr>
      <w:rFonts w:ascii="Courier" w:hAnsi="Courier"/>
      <w:b/>
      <w:lang w:val="x-none" w:eastAsia="cs-CZ"/>
    </w:rPr>
  </w:style>
  <w:style w:type="character" w:customStyle="1" w:styleId="PredmetkomentraChar1438">
    <w:name w:val="Predmet komentára Char1438"/>
    <w:aliases w:val="Char6 Char Char1439,Predmet komentára Char Char Char1439,Comment Subject Char Char Char1439"/>
    <w:uiPriority w:val="99"/>
    <w:semiHidden/>
    <w:rPr>
      <w:rFonts w:ascii="Courier" w:hAnsi="Courier"/>
      <w:b/>
      <w:lang w:val="x-none" w:eastAsia="cs-CZ"/>
    </w:rPr>
  </w:style>
  <w:style w:type="character" w:customStyle="1" w:styleId="PredmetkomentraChar1437">
    <w:name w:val="Predmet komentára Char1437"/>
    <w:aliases w:val="Char6 Char Char1438,Predmet komentára Char Char Char1438,Comment Subject Char Char Char1438"/>
    <w:uiPriority w:val="99"/>
    <w:semiHidden/>
    <w:rPr>
      <w:rFonts w:ascii="Courier" w:hAnsi="Courier"/>
      <w:b/>
      <w:lang w:val="x-none" w:eastAsia="cs-CZ"/>
    </w:rPr>
  </w:style>
  <w:style w:type="character" w:customStyle="1" w:styleId="PredmetkomentraChar1436">
    <w:name w:val="Predmet komentára Char1436"/>
    <w:aliases w:val="Char6 Char Char1437,Predmet komentára Char Char Char1437,Comment Subject Char Char Char1437"/>
    <w:uiPriority w:val="99"/>
    <w:semiHidden/>
    <w:rPr>
      <w:rFonts w:ascii="Courier" w:hAnsi="Courier"/>
      <w:b/>
      <w:lang w:val="x-none" w:eastAsia="cs-CZ"/>
    </w:rPr>
  </w:style>
  <w:style w:type="character" w:customStyle="1" w:styleId="PredmetkomentraChar1435">
    <w:name w:val="Predmet komentára Char1435"/>
    <w:aliases w:val="Char6 Char Char1436,Predmet komentára Char Char Char1436,Comment Subject Char Char Char1436"/>
    <w:uiPriority w:val="99"/>
    <w:semiHidden/>
    <w:rPr>
      <w:rFonts w:ascii="Courier" w:hAnsi="Courier"/>
      <w:b/>
      <w:lang w:val="x-none" w:eastAsia="cs-CZ"/>
    </w:rPr>
  </w:style>
  <w:style w:type="character" w:customStyle="1" w:styleId="PredmetkomentraChar1434">
    <w:name w:val="Predmet komentára Char1434"/>
    <w:aliases w:val="Char6 Char Char1435,Predmet komentára Char Char Char1435,Comment Subject Char Char Char1435"/>
    <w:uiPriority w:val="99"/>
    <w:semiHidden/>
    <w:rPr>
      <w:rFonts w:ascii="Courier" w:hAnsi="Courier"/>
      <w:b/>
      <w:lang w:val="x-none" w:eastAsia="cs-CZ"/>
    </w:rPr>
  </w:style>
  <w:style w:type="character" w:customStyle="1" w:styleId="PredmetkomentraChar1433">
    <w:name w:val="Predmet komentára Char1433"/>
    <w:aliases w:val="Char6 Char Char1434,Predmet komentára Char Char Char1434,Comment Subject Char Char Char1434"/>
    <w:uiPriority w:val="99"/>
    <w:semiHidden/>
    <w:rPr>
      <w:rFonts w:ascii="Courier" w:hAnsi="Courier"/>
      <w:b/>
      <w:lang w:val="x-none" w:eastAsia="cs-CZ"/>
    </w:rPr>
  </w:style>
  <w:style w:type="character" w:customStyle="1" w:styleId="PredmetkomentraChar1432">
    <w:name w:val="Predmet komentára Char1432"/>
    <w:aliases w:val="Char6 Char Char1433,Predmet komentára Char Char Char1433,Comment Subject Char Char Char1433"/>
    <w:uiPriority w:val="99"/>
    <w:semiHidden/>
    <w:rPr>
      <w:rFonts w:ascii="Courier" w:hAnsi="Courier"/>
      <w:b/>
      <w:lang w:val="x-none" w:eastAsia="cs-CZ"/>
    </w:rPr>
  </w:style>
  <w:style w:type="character" w:customStyle="1" w:styleId="PredmetkomentraChar1431">
    <w:name w:val="Predmet komentára Char1431"/>
    <w:aliases w:val="Char6 Char Char1432,Predmet komentára Char Char Char1432,Comment Subject Char Char Char1432"/>
    <w:uiPriority w:val="99"/>
    <w:semiHidden/>
    <w:rPr>
      <w:rFonts w:ascii="Courier" w:hAnsi="Courier"/>
      <w:b/>
      <w:lang w:val="x-none" w:eastAsia="cs-CZ"/>
    </w:rPr>
  </w:style>
  <w:style w:type="character" w:customStyle="1" w:styleId="PredmetkomentraChar1430">
    <w:name w:val="Predmet komentára Char1430"/>
    <w:aliases w:val="Char6 Char Char1431,Predmet komentára Char Char Char1431,Comment Subject Char Char Char1431"/>
    <w:uiPriority w:val="99"/>
    <w:semiHidden/>
    <w:rPr>
      <w:rFonts w:ascii="Courier" w:hAnsi="Courier"/>
      <w:b/>
      <w:lang w:val="x-none" w:eastAsia="cs-CZ"/>
    </w:rPr>
  </w:style>
  <w:style w:type="character" w:customStyle="1" w:styleId="PredmetkomentraChar1429">
    <w:name w:val="Predmet komentára Char1429"/>
    <w:aliases w:val="Char6 Char Char1430,Predmet komentára Char Char Char1430,Comment Subject Char Char Char1430"/>
    <w:uiPriority w:val="99"/>
    <w:semiHidden/>
    <w:rPr>
      <w:rFonts w:ascii="Courier" w:hAnsi="Courier"/>
      <w:b/>
      <w:lang w:val="x-none" w:eastAsia="cs-CZ"/>
    </w:rPr>
  </w:style>
  <w:style w:type="character" w:customStyle="1" w:styleId="PredmetkomentraChar1428">
    <w:name w:val="Predmet komentára Char1428"/>
    <w:aliases w:val="Char6 Char Char1429,Predmet komentára Char Char Char1429,Comment Subject Char Char Char1429"/>
    <w:uiPriority w:val="99"/>
    <w:semiHidden/>
    <w:rPr>
      <w:rFonts w:ascii="Courier" w:hAnsi="Courier"/>
      <w:b/>
      <w:lang w:val="x-none" w:eastAsia="cs-CZ"/>
    </w:rPr>
  </w:style>
  <w:style w:type="character" w:customStyle="1" w:styleId="PredmetkomentraChar1427">
    <w:name w:val="Predmet komentára Char1427"/>
    <w:aliases w:val="Char6 Char Char1428,Predmet komentára Char Char Char1428,Comment Subject Char Char Char1428"/>
    <w:uiPriority w:val="99"/>
    <w:semiHidden/>
    <w:rPr>
      <w:rFonts w:ascii="Courier" w:hAnsi="Courier"/>
      <w:b/>
      <w:lang w:val="x-none" w:eastAsia="cs-CZ"/>
    </w:rPr>
  </w:style>
  <w:style w:type="character" w:customStyle="1" w:styleId="PredmetkomentraChar1426">
    <w:name w:val="Predmet komentára Char1426"/>
    <w:aliases w:val="Char6 Char Char1427,Predmet komentára Char Char Char1427,Comment Subject Char Char Char1427"/>
    <w:uiPriority w:val="99"/>
    <w:semiHidden/>
    <w:rPr>
      <w:rFonts w:ascii="Courier" w:hAnsi="Courier"/>
      <w:b/>
      <w:lang w:val="x-none" w:eastAsia="cs-CZ"/>
    </w:rPr>
  </w:style>
  <w:style w:type="character" w:customStyle="1" w:styleId="PredmetkomentraChar1425">
    <w:name w:val="Predmet komentára Char1425"/>
    <w:aliases w:val="Char6 Char Char1426,Predmet komentára Char Char Char1426,Comment Subject Char Char Char1426"/>
    <w:uiPriority w:val="99"/>
    <w:semiHidden/>
    <w:rPr>
      <w:rFonts w:ascii="Courier" w:hAnsi="Courier"/>
      <w:b/>
      <w:lang w:val="x-none" w:eastAsia="cs-CZ"/>
    </w:rPr>
  </w:style>
  <w:style w:type="character" w:customStyle="1" w:styleId="PredmetkomentraChar1424">
    <w:name w:val="Predmet komentára Char1424"/>
    <w:aliases w:val="Char6 Char Char1425,Predmet komentára Char Char Char1425,Comment Subject Char Char Char1425"/>
    <w:uiPriority w:val="99"/>
    <w:semiHidden/>
    <w:rPr>
      <w:rFonts w:ascii="Courier" w:hAnsi="Courier"/>
      <w:b/>
      <w:lang w:val="x-none" w:eastAsia="cs-CZ"/>
    </w:rPr>
  </w:style>
  <w:style w:type="character" w:customStyle="1" w:styleId="PredmetkomentraChar1423">
    <w:name w:val="Predmet komentára Char1423"/>
    <w:aliases w:val="Char6 Char Char1424,Predmet komentára Char Char Char1424,Comment Subject Char Char Char1424"/>
    <w:uiPriority w:val="99"/>
    <w:semiHidden/>
    <w:rPr>
      <w:rFonts w:ascii="Courier" w:hAnsi="Courier"/>
      <w:b/>
      <w:lang w:val="x-none" w:eastAsia="cs-CZ"/>
    </w:rPr>
  </w:style>
  <w:style w:type="character" w:customStyle="1" w:styleId="PredmetkomentraChar1422">
    <w:name w:val="Predmet komentára Char1422"/>
    <w:aliases w:val="Char6 Char Char1423,Predmet komentára Char Char Char1423,Comment Subject Char Char Char1423"/>
    <w:uiPriority w:val="99"/>
    <w:semiHidden/>
    <w:rPr>
      <w:rFonts w:ascii="Courier" w:hAnsi="Courier"/>
      <w:b/>
      <w:lang w:val="x-none" w:eastAsia="cs-CZ"/>
    </w:rPr>
  </w:style>
  <w:style w:type="character" w:customStyle="1" w:styleId="PredmetkomentraChar1421">
    <w:name w:val="Predmet komentára Char1421"/>
    <w:aliases w:val="Char6 Char Char1422,Predmet komentára Char Char Char1422,Comment Subject Char Char Char1422"/>
    <w:uiPriority w:val="99"/>
    <w:semiHidden/>
    <w:rPr>
      <w:rFonts w:ascii="Courier" w:hAnsi="Courier"/>
      <w:b/>
      <w:lang w:val="x-none" w:eastAsia="cs-CZ"/>
    </w:rPr>
  </w:style>
  <w:style w:type="character" w:customStyle="1" w:styleId="PredmetkomentraChar1420">
    <w:name w:val="Predmet komentára Char1420"/>
    <w:aliases w:val="Char6 Char Char1421,Predmet komentára Char Char Char1421,Comment Subject Char Char Char1421"/>
    <w:uiPriority w:val="99"/>
    <w:semiHidden/>
    <w:rPr>
      <w:rFonts w:ascii="Courier" w:hAnsi="Courier"/>
      <w:b/>
      <w:lang w:val="x-none" w:eastAsia="cs-CZ"/>
    </w:rPr>
  </w:style>
  <w:style w:type="character" w:customStyle="1" w:styleId="PredmetkomentraChar1419">
    <w:name w:val="Predmet komentára Char1419"/>
    <w:aliases w:val="Char6 Char Char1420,Predmet komentára Char Char Char1420,Comment Subject Char Char Char1420"/>
    <w:uiPriority w:val="99"/>
    <w:semiHidden/>
    <w:rPr>
      <w:rFonts w:ascii="Courier" w:hAnsi="Courier"/>
      <w:b/>
      <w:lang w:val="x-none" w:eastAsia="cs-CZ"/>
    </w:rPr>
  </w:style>
  <w:style w:type="character" w:customStyle="1" w:styleId="PredmetkomentraChar1418">
    <w:name w:val="Predmet komentára Char1418"/>
    <w:aliases w:val="Char6 Char Char1419,Predmet komentára Char Char Char1419,Comment Subject Char Char Char1419"/>
    <w:uiPriority w:val="99"/>
    <w:semiHidden/>
    <w:rPr>
      <w:rFonts w:ascii="Courier" w:hAnsi="Courier"/>
      <w:b/>
      <w:lang w:val="x-none" w:eastAsia="cs-CZ"/>
    </w:rPr>
  </w:style>
  <w:style w:type="character" w:customStyle="1" w:styleId="PredmetkomentraChar1417">
    <w:name w:val="Predmet komentára Char1417"/>
    <w:aliases w:val="Char6 Char Char1418,Predmet komentára Char Char Char1418,Comment Subject Char Char Char1418"/>
    <w:uiPriority w:val="99"/>
    <w:semiHidden/>
    <w:rPr>
      <w:rFonts w:ascii="Courier" w:hAnsi="Courier"/>
      <w:b/>
      <w:lang w:val="x-none" w:eastAsia="cs-CZ"/>
    </w:rPr>
  </w:style>
  <w:style w:type="character" w:customStyle="1" w:styleId="PredmetkomentraChar1416">
    <w:name w:val="Predmet komentára Char1416"/>
    <w:aliases w:val="Char6 Char Char1417,Predmet komentára Char Char Char1417,Comment Subject Char Char Char1417"/>
    <w:uiPriority w:val="99"/>
    <w:semiHidden/>
    <w:rPr>
      <w:rFonts w:ascii="Courier" w:hAnsi="Courier"/>
      <w:b/>
      <w:lang w:val="x-none" w:eastAsia="cs-CZ"/>
    </w:rPr>
  </w:style>
  <w:style w:type="character" w:customStyle="1" w:styleId="PredmetkomentraChar1415">
    <w:name w:val="Predmet komentára Char1415"/>
    <w:aliases w:val="Char6 Char Char1416,Predmet komentára Char Char Char1416,Comment Subject Char Char Char1416"/>
    <w:uiPriority w:val="99"/>
    <w:semiHidden/>
    <w:rPr>
      <w:rFonts w:ascii="Courier" w:hAnsi="Courier"/>
      <w:b/>
      <w:lang w:val="x-none" w:eastAsia="cs-CZ"/>
    </w:rPr>
  </w:style>
  <w:style w:type="character" w:customStyle="1" w:styleId="PredmetkomentraChar1414">
    <w:name w:val="Predmet komentára Char1414"/>
    <w:aliases w:val="Char6 Char Char1415,Predmet komentára Char Char Char1415,Comment Subject Char Char Char1415"/>
    <w:uiPriority w:val="99"/>
    <w:semiHidden/>
    <w:rPr>
      <w:rFonts w:ascii="Courier" w:hAnsi="Courier"/>
      <w:b/>
      <w:lang w:val="x-none" w:eastAsia="cs-CZ"/>
    </w:rPr>
  </w:style>
  <w:style w:type="character" w:customStyle="1" w:styleId="PredmetkomentraChar1413">
    <w:name w:val="Predmet komentára Char1413"/>
    <w:aliases w:val="Char6 Char Char1414,Predmet komentára Char Char Char1414,Comment Subject Char Char Char1414"/>
    <w:uiPriority w:val="99"/>
    <w:semiHidden/>
    <w:rPr>
      <w:rFonts w:ascii="Courier" w:hAnsi="Courier"/>
      <w:b/>
      <w:lang w:val="x-none" w:eastAsia="cs-CZ"/>
    </w:rPr>
  </w:style>
  <w:style w:type="character" w:customStyle="1" w:styleId="PredmetkomentraChar1412">
    <w:name w:val="Predmet komentára Char1412"/>
    <w:aliases w:val="Char6 Char Char1413,Predmet komentára Char Char Char1413,Comment Subject Char Char Char1413"/>
    <w:uiPriority w:val="99"/>
    <w:semiHidden/>
    <w:rPr>
      <w:rFonts w:ascii="Courier" w:hAnsi="Courier"/>
      <w:b/>
      <w:lang w:val="x-none" w:eastAsia="cs-CZ"/>
    </w:rPr>
  </w:style>
  <w:style w:type="character" w:customStyle="1" w:styleId="PredmetkomentraChar1411">
    <w:name w:val="Predmet komentára Char1411"/>
    <w:aliases w:val="Char6 Char Char1412,Predmet komentára Char Char Char1412,Comment Subject Char Char Char1412"/>
    <w:uiPriority w:val="99"/>
    <w:semiHidden/>
    <w:rPr>
      <w:rFonts w:ascii="Courier" w:hAnsi="Courier"/>
      <w:b/>
      <w:lang w:val="x-none" w:eastAsia="cs-CZ"/>
    </w:rPr>
  </w:style>
  <w:style w:type="character" w:customStyle="1" w:styleId="PredmetkomentraChar1410">
    <w:name w:val="Predmet komentára Char1410"/>
    <w:aliases w:val="Char6 Char Char1411,Predmet komentára Char Char Char1411,Comment Subject Char Char Char1411"/>
    <w:uiPriority w:val="99"/>
    <w:semiHidden/>
    <w:rPr>
      <w:rFonts w:ascii="Courier" w:hAnsi="Courier"/>
      <w:b/>
      <w:lang w:val="x-none" w:eastAsia="cs-CZ"/>
    </w:rPr>
  </w:style>
  <w:style w:type="character" w:customStyle="1" w:styleId="PredmetkomentraChar1409">
    <w:name w:val="Predmet komentára Char1409"/>
    <w:aliases w:val="Char6 Char Char1410,Predmet komentára Char Char Char1410,Comment Subject Char Char Char1410"/>
    <w:uiPriority w:val="99"/>
    <w:semiHidden/>
    <w:rPr>
      <w:rFonts w:ascii="Courier" w:hAnsi="Courier"/>
      <w:b/>
      <w:lang w:val="x-none" w:eastAsia="cs-CZ"/>
    </w:rPr>
  </w:style>
  <w:style w:type="character" w:customStyle="1" w:styleId="PredmetkomentraChar1408">
    <w:name w:val="Predmet komentára Char1408"/>
    <w:aliases w:val="Char6 Char Char1409,Predmet komentára Char Char Char1409,Comment Subject Char Char Char1409"/>
    <w:uiPriority w:val="99"/>
    <w:semiHidden/>
    <w:rPr>
      <w:rFonts w:ascii="Courier" w:hAnsi="Courier"/>
      <w:b/>
      <w:lang w:val="x-none" w:eastAsia="cs-CZ"/>
    </w:rPr>
  </w:style>
  <w:style w:type="character" w:customStyle="1" w:styleId="PredmetkomentraChar1407">
    <w:name w:val="Predmet komentára Char1407"/>
    <w:aliases w:val="Char6 Char Char1408,Predmet komentára Char Char Char1408,Comment Subject Char Char Char1408"/>
    <w:uiPriority w:val="99"/>
    <w:semiHidden/>
    <w:rPr>
      <w:rFonts w:ascii="Courier" w:hAnsi="Courier"/>
      <w:b/>
      <w:lang w:val="x-none" w:eastAsia="cs-CZ"/>
    </w:rPr>
  </w:style>
  <w:style w:type="character" w:customStyle="1" w:styleId="PredmetkomentraChar1406">
    <w:name w:val="Predmet komentára Char1406"/>
    <w:aliases w:val="Char6 Char Char1407,Predmet komentára Char Char Char1407,Comment Subject Char Char Char1407"/>
    <w:uiPriority w:val="99"/>
    <w:semiHidden/>
    <w:rPr>
      <w:rFonts w:ascii="Courier" w:hAnsi="Courier"/>
      <w:b/>
      <w:lang w:val="x-none" w:eastAsia="cs-CZ"/>
    </w:rPr>
  </w:style>
  <w:style w:type="character" w:customStyle="1" w:styleId="PredmetkomentraChar1405">
    <w:name w:val="Predmet komentára Char1405"/>
    <w:aliases w:val="Char6 Char Char1406,Predmet komentára Char Char Char1406,Comment Subject Char Char Char1406"/>
    <w:uiPriority w:val="99"/>
    <w:semiHidden/>
    <w:rPr>
      <w:rFonts w:ascii="Courier" w:hAnsi="Courier"/>
      <w:b/>
      <w:lang w:val="x-none" w:eastAsia="cs-CZ"/>
    </w:rPr>
  </w:style>
  <w:style w:type="character" w:customStyle="1" w:styleId="PredmetkomentraChar1404">
    <w:name w:val="Predmet komentára Char1404"/>
    <w:aliases w:val="Char6 Char Char1405,Predmet komentára Char Char Char1405,Comment Subject Char Char Char1405"/>
    <w:uiPriority w:val="99"/>
    <w:semiHidden/>
    <w:rPr>
      <w:rFonts w:ascii="Courier" w:hAnsi="Courier"/>
      <w:b/>
      <w:lang w:val="x-none" w:eastAsia="cs-CZ"/>
    </w:rPr>
  </w:style>
  <w:style w:type="character" w:customStyle="1" w:styleId="PredmetkomentraChar1403">
    <w:name w:val="Predmet komentára Char1403"/>
    <w:aliases w:val="Char6 Char Char1404,Predmet komentára Char Char Char1404,Comment Subject Char Char Char1404"/>
    <w:uiPriority w:val="99"/>
    <w:semiHidden/>
    <w:rPr>
      <w:rFonts w:ascii="Courier" w:hAnsi="Courier"/>
      <w:b/>
      <w:lang w:val="x-none" w:eastAsia="cs-CZ"/>
    </w:rPr>
  </w:style>
  <w:style w:type="character" w:customStyle="1" w:styleId="PredmetkomentraChar1402">
    <w:name w:val="Predmet komentára Char1402"/>
    <w:aliases w:val="Char6 Char Char1403,Predmet komentára Char Char Char1403,Comment Subject Char Char Char1403"/>
    <w:uiPriority w:val="99"/>
    <w:semiHidden/>
    <w:rPr>
      <w:rFonts w:ascii="Courier" w:hAnsi="Courier"/>
      <w:b/>
      <w:lang w:val="x-none" w:eastAsia="cs-CZ"/>
    </w:rPr>
  </w:style>
  <w:style w:type="character" w:customStyle="1" w:styleId="PredmetkomentraChar1401">
    <w:name w:val="Predmet komentára Char1401"/>
    <w:aliases w:val="Char6 Char Char1402,Predmet komentára Char Char Char1402,Comment Subject Char Char Char1402"/>
    <w:uiPriority w:val="99"/>
    <w:semiHidden/>
    <w:rPr>
      <w:rFonts w:ascii="Courier" w:hAnsi="Courier"/>
      <w:b/>
      <w:lang w:val="x-none" w:eastAsia="cs-CZ"/>
    </w:rPr>
  </w:style>
  <w:style w:type="character" w:customStyle="1" w:styleId="PredmetkomentraChar1400">
    <w:name w:val="Predmet komentára Char1400"/>
    <w:aliases w:val="Char6 Char Char1401,Predmet komentára Char Char Char1401,Comment Subject Char Char Char1401"/>
    <w:uiPriority w:val="99"/>
    <w:semiHidden/>
    <w:rPr>
      <w:rFonts w:ascii="Courier" w:hAnsi="Courier"/>
      <w:b/>
      <w:lang w:val="x-none" w:eastAsia="cs-CZ"/>
    </w:rPr>
  </w:style>
  <w:style w:type="character" w:customStyle="1" w:styleId="PredmetkomentraChar1399">
    <w:name w:val="Predmet komentára Char1399"/>
    <w:aliases w:val="Char6 Char Char1400,Predmet komentára Char Char Char1400,Comment Subject Char Char Char1400"/>
    <w:uiPriority w:val="99"/>
    <w:semiHidden/>
    <w:rPr>
      <w:rFonts w:ascii="Courier" w:hAnsi="Courier"/>
      <w:b/>
      <w:lang w:val="x-none" w:eastAsia="cs-CZ"/>
    </w:rPr>
  </w:style>
  <w:style w:type="character" w:customStyle="1" w:styleId="PredmetkomentraChar1398">
    <w:name w:val="Predmet komentára Char1398"/>
    <w:aliases w:val="Char6 Char Char1399,Predmet komentára Char Char Char1399,Comment Subject Char Char Char1399"/>
    <w:uiPriority w:val="99"/>
    <w:semiHidden/>
    <w:rPr>
      <w:rFonts w:ascii="Courier" w:hAnsi="Courier"/>
      <w:b/>
      <w:lang w:val="x-none" w:eastAsia="cs-CZ"/>
    </w:rPr>
  </w:style>
  <w:style w:type="character" w:customStyle="1" w:styleId="PredmetkomentraChar1397">
    <w:name w:val="Predmet komentára Char1397"/>
    <w:aliases w:val="Char6 Char Char1398,Predmet komentára Char Char Char1398,Comment Subject Char Char Char1398"/>
    <w:uiPriority w:val="99"/>
    <w:semiHidden/>
    <w:rPr>
      <w:rFonts w:ascii="Courier" w:hAnsi="Courier"/>
      <w:b/>
      <w:lang w:val="x-none" w:eastAsia="cs-CZ"/>
    </w:rPr>
  </w:style>
  <w:style w:type="character" w:customStyle="1" w:styleId="PredmetkomentraChar1396">
    <w:name w:val="Predmet komentára Char1396"/>
    <w:aliases w:val="Char6 Char Char1397,Predmet komentára Char Char Char1397,Comment Subject Char Char Char1397"/>
    <w:uiPriority w:val="99"/>
    <w:semiHidden/>
    <w:rPr>
      <w:rFonts w:ascii="Courier" w:hAnsi="Courier"/>
      <w:b/>
      <w:lang w:val="x-none" w:eastAsia="cs-CZ"/>
    </w:rPr>
  </w:style>
  <w:style w:type="character" w:customStyle="1" w:styleId="PredmetkomentraChar1395">
    <w:name w:val="Predmet komentára Char1395"/>
    <w:aliases w:val="Char6 Char Char1396,Predmet komentára Char Char Char1396,Comment Subject Char Char Char1396"/>
    <w:uiPriority w:val="99"/>
    <w:semiHidden/>
    <w:rPr>
      <w:rFonts w:ascii="Courier" w:hAnsi="Courier"/>
      <w:b/>
      <w:lang w:val="x-none" w:eastAsia="cs-CZ"/>
    </w:rPr>
  </w:style>
  <w:style w:type="character" w:customStyle="1" w:styleId="PredmetkomentraChar1394">
    <w:name w:val="Predmet komentára Char1394"/>
    <w:aliases w:val="Char6 Char Char1395,Predmet komentára Char Char Char1395,Comment Subject Char Char Char1395"/>
    <w:uiPriority w:val="99"/>
    <w:semiHidden/>
    <w:rPr>
      <w:rFonts w:ascii="Courier" w:hAnsi="Courier"/>
      <w:b/>
      <w:lang w:val="x-none" w:eastAsia="cs-CZ"/>
    </w:rPr>
  </w:style>
  <w:style w:type="character" w:customStyle="1" w:styleId="PredmetkomentraChar1393">
    <w:name w:val="Predmet komentára Char1393"/>
    <w:aliases w:val="Char6 Char Char1394,Predmet komentára Char Char Char1394,Comment Subject Char Char Char1394"/>
    <w:uiPriority w:val="99"/>
    <w:semiHidden/>
    <w:rPr>
      <w:rFonts w:ascii="Courier" w:hAnsi="Courier"/>
      <w:b/>
      <w:lang w:val="x-none" w:eastAsia="cs-CZ"/>
    </w:rPr>
  </w:style>
  <w:style w:type="character" w:customStyle="1" w:styleId="PredmetkomentraChar1392">
    <w:name w:val="Predmet komentára Char1392"/>
    <w:aliases w:val="Char6 Char Char1393,Predmet komentára Char Char Char1393,Comment Subject Char Char Char1393"/>
    <w:uiPriority w:val="99"/>
    <w:semiHidden/>
    <w:rPr>
      <w:rFonts w:ascii="Courier" w:hAnsi="Courier"/>
      <w:b/>
      <w:lang w:val="x-none" w:eastAsia="cs-CZ"/>
    </w:rPr>
  </w:style>
  <w:style w:type="character" w:customStyle="1" w:styleId="PredmetkomentraChar1391">
    <w:name w:val="Predmet komentára Char1391"/>
    <w:aliases w:val="Char6 Char Char1392,Predmet komentára Char Char Char1392,Comment Subject Char Char Char1392"/>
    <w:uiPriority w:val="99"/>
    <w:semiHidden/>
    <w:rPr>
      <w:rFonts w:ascii="Courier" w:hAnsi="Courier"/>
      <w:b/>
      <w:lang w:val="x-none" w:eastAsia="cs-CZ"/>
    </w:rPr>
  </w:style>
  <w:style w:type="character" w:customStyle="1" w:styleId="PredmetkomentraChar1390">
    <w:name w:val="Predmet komentára Char1390"/>
    <w:aliases w:val="Char6 Char Char1391,Predmet komentára Char Char Char1391,Comment Subject Char Char Char1391"/>
    <w:uiPriority w:val="99"/>
    <w:semiHidden/>
    <w:rPr>
      <w:rFonts w:ascii="Courier" w:hAnsi="Courier"/>
      <w:b/>
      <w:lang w:val="x-none" w:eastAsia="cs-CZ"/>
    </w:rPr>
  </w:style>
  <w:style w:type="character" w:customStyle="1" w:styleId="PredmetkomentraChar1389">
    <w:name w:val="Predmet komentára Char1389"/>
    <w:aliases w:val="Char6 Char Char1390,Predmet komentára Char Char Char1390,Comment Subject Char Char Char1390"/>
    <w:uiPriority w:val="99"/>
    <w:semiHidden/>
    <w:rPr>
      <w:rFonts w:ascii="Courier" w:hAnsi="Courier"/>
      <w:b/>
      <w:lang w:val="x-none" w:eastAsia="cs-CZ"/>
    </w:rPr>
  </w:style>
  <w:style w:type="character" w:customStyle="1" w:styleId="PredmetkomentraChar1388">
    <w:name w:val="Predmet komentára Char1388"/>
    <w:aliases w:val="Char6 Char Char1389,Predmet komentára Char Char Char1389,Comment Subject Char Char Char1389"/>
    <w:uiPriority w:val="99"/>
    <w:semiHidden/>
    <w:rPr>
      <w:rFonts w:ascii="Courier" w:hAnsi="Courier"/>
      <w:b/>
      <w:lang w:val="x-none" w:eastAsia="cs-CZ"/>
    </w:rPr>
  </w:style>
  <w:style w:type="character" w:customStyle="1" w:styleId="PredmetkomentraChar1387">
    <w:name w:val="Predmet komentára Char1387"/>
    <w:aliases w:val="Char6 Char Char1388,Predmet komentára Char Char Char1388,Comment Subject Char Char Char1388"/>
    <w:uiPriority w:val="99"/>
    <w:semiHidden/>
    <w:rPr>
      <w:rFonts w:ascii="Courier" w:hAnsi="Courier"/>
      <w:b/>
      <w:lang w:val="x-none" w:eastAsia="cs-CZ"/>
    </w:rPr>
  </w:style>
  <w:style w:type="character" w:customStyle="1" w:styleId="PredmetkomentraChar1386">
    <w:name w:val="Predmet komentára Char1386"/>
    <w:aliases w:val="Char6 Char Char1387,Predmet komentára Char Char Char1387,Comment Subject Char Char Char1387"/>
    <w:uiPriority w:val="99"/>
    <w:semiHidden/>
    <w:rPr>
      <w:rFonts w:ascii="Courier" w:hAnsi="Courier"/>
      <w:b/>
      <w:lang w:val="x-none" w:eastAsia="cs-CZ"/>
    </w:rPr>
  </w:style>
  <w:style w:type="character" w:customStyle="1" w:styleId="PredmetkomentraChar1385">
    <w:name w:val="Predmet komentára Char1385"/>
    <w:aliases w:val="Char6 Char Char1386,Predmet komentára Char Char Char1386,Comment Subject Char Char Char1386"/>
    <w:uiPriority w:val="99"/>
    <w:semiHidden/>
    <w:rPr>
      <w:rFonts w:ascii="Courier" w:hAnsi="Courier"/>
      <w:b/>
      <w:lang w:val="x-none" w:eastAsia="cs-CZ"/>
    </w:rPr>
  </w:style>
  <w:style w:type="character" w:customStyle="1" w:styleId="PredmetkomentraChar1384">
    <w:name w:val="Predmet komentára Char1384"/>
    <w:aliases w:val="Char6 Char Char1385,Predmet komentára Char Char Char1385,Comment Subject Char Char Char1385"/>
    <w:uiPriority w:val="99"/>
    <w:semiHidden/>
    <w:rPr>
      <w:rFonts w:ascii="Courier" w:hAnsi="Courier"/>
      <w:b/>
      <w:lang w:val="x-none" w:eastAsia="cs-CZ"/>
    </w:rPr>
  </w:style>
  <w:style w:type="character" w:customStyle="1" w:styleId="PredmetkomentraChar1383">
    <w:name w:val="Predmet komentára Char1383"/>
    <w:aliases w:val="Char6 Char Char1384,Predmet komentára Char Char Char1384,Comment Subject Char Char Char1384"/>
    <w:uiPriority w:val="99"/>
    <w:semiHidden/>
    <w:rPr>
      <w:rFonts w:ascii="Courier" w:hAnsi="Courier"/>
      <w:b/>
      <w:lang w:val="x-none" w:eastAsia="cs-CZ"/>
    </w:rPr>
  </w:style>
  <w:style w:type="character" w:customStyle="1" w:styleId="PredmetkomentraChar1382">
    <w:name w:val="Predmet komentára Char1382"/>
    <w:aliases w:val="Char6 Char Char1383,Predmet komentára Char Char Char1383,Comment Subject Char Char Char1383"/>
    <w:uiPriority w:val="99"/>
    <w:semiHidden/>
    <w:rPr>
      <w:rFonts w:ascii="Courier" w:hAnsi="Courier"/>
      <w:b/>
      <w:lang w:val="x-none" w:eastAsia="cs-CZ"/>
    </w:rPr>
  </w:style>
  <w:style w:type="character" w:customStyle="1" w:styleId="PredmetkomentraChar1381">
    <w:name w:val="Predmet komentára Char1381"/>
    <w:aliases w:val="Char6 Char Char1382,Predmet komentára Char Char Char1382,Comment Subject Char Char Char1382"/>
    <w:uiPriority w:val="99"/>
    <w:semiHidden/>
    <w:rPr>
      <w:rFonts w:ascii="Courier" w:hAnsi="Courier"/>
      <w:b/>
      <w:lang w:val="x-none" w:eastAsia="cs-CZ"/>
    </w:rPr>
  </w:style>
  <w:style w:type="character" w:customStyle="1" w:styleId="PredmetkomentraChar1380">
    <w:name w:val="Predmet komentára Char1380"/>
    <w:aliases w:val="Char6 Char Char1381,Predmet komentára Char Char Char1381,Comment Subject Char Char Char1381"/>
    <w:uiPriority w:val="99"/>
    <w:semiHidden/>
    <w:rPr>
      <w:rFonts w:ascii="Courier" w:hAnsi="Courier"/>
      <w:b/>
      <w:lang w:val="x-none" w:eastAsia="cs-CZ"/>
    </w:rPr>
  </w:style>
  <w:style w:type="character" w:customStyle="1" w:styleId="PredmetkomentraChar1379">
    <w:name w:val="Predmet komentára Char1379"/>
    <w:aliases w:val="Char6 Char Char1380,Predmet komentára Char Char Char1380,Comment Subject Char Char Char1380"/>
    <w:uiPriority w:val="99"/>
    <w:semiHidden/>
    <w:rPr>
      <w:rFonts w:ascii="Courier" w:hAnsi="Courier"/>
      <w:b/>
      <w:lang w:val="x-none" w:eastAsia="cs-CZ"/>
    </w:rPr>
  </w:style>
  <w:style w:type="character" w:customStyle="1" w:styleId="PredmetkomentraChar1378">
    <w:name w:val="Predmet komentára Char1378"/>
    <w:aliases w:val="Char6 Char Char1379,Predmet komentára Char Char Char1379,Comment Subject Char Char Char1379"/>
    <w:uiPriority w:val="99"/>
    <w:semiHidden/>
    <w:rPr>
      <w:rFonts w:ascii="Courier" w:hAnsi="Courier"/>
      <w:b/>
      <w:lang w:val="x-none" w:eastAsia="cs-CZ"/>
    </w:rPr>
  </w:style>
  <w:style w:type="character" w:customStyle="1" w:styleId="PredmetkomentraChar1377">
    <w:name w:val="Predmet komentára Char1377"/>
    <w:aliases w:val="Char6 Char Char1378,Predmet komentára Char Char Char1378,Comment Subject Char Char Char1378"/>
    <w:uiPriority w:val="99"/>
    <w:semiHidden/>
    <w:rPr>
      <w:rFonts w:ascii="Courier" w:hAnsi="Courier"/>
      <w:b/>
      <w:lang w:val="x-none" w:eastAsia="cs-CZ"/>
    </w:rPr>
  </w:style>
  <w:style w:type="character" w:customStyle="1" w:styleId="PredmetkomentraChar1376">
    <w:name w:val="Predmet komentára Char1376"/>
    <w:aliases w:val="Char6 Char Char1377,Predmet komentára Char Char Char1377,Comment Subject Char Char Char1377"/>
    <w:uiPriority w:val="99"/>
    <w:semiHidden/>
    <w:rPr>
      <w:rFonts w:ascii="Courier" w:hAnsi="Courier"/>
      <w:b/>
      <w:lang w:val="x-none" w:eastAsia="cs-CZ"/>
    </w:rPr>
  </w:style>
  <w:style w:type="character" w:customStyle="1" w:styleId="PredmetkomentraChar1375">
    <w:name w:val="Predmet komentára Char1375"/>
    <w:aliases w:val="Char6 Char Char1376,Predmet komentára Char Char Char1376,Comment Subject Char Char Char1376"/>
    <w:uiPriority w:val="99"/>
    <w:semiHidden/>
    <w:rPr>
      <w:rFonts w:ascii="Courier" w:hAnsi="Courier"/>
      <w:b/>
      <w:lang w:val="x-none" w:eastAsia="cs-CZ"/>
    </w:rPr>
  </w:style>
  <w:style w:type="character" w:customStyle="1" w:styleId="PredmetkomentraChar1374">
    <w:name w:val="Predmet komentára Char1374"/>
    <w:aliases w:val="Char6 Char Char1375,Predmet komentára Char Char Char1375,Comment Subject Char Char Char1375"/>
    <w:uiPriority w:val="99"/>
    <w:semiHidden/>
    <w:rPr>
      <w:rFonts w:ascii="Courier" w:hAnsi="Courier"/>
      <w:b/>
      <w:lang w:val="x-none" w:eastAsia="cs-CZ"/>
    </w:rPr>
  </w:style>
  <w:style w:type="character" w:customStyle="1" w:styleId="PredmetkomentraChar1373">
    <w:name w:val="Predmet komentára Char1373"/>
    <w:aliases w:val="Char6 Char Char1374,Predmet komentára Char Char Char1374,Comment Subject Char Char Char1374"/>
    <w:uiPriority w:val="99"/>
    <w:semiHidden/>
    <w:rPr>
      <w:rFonts w:ascii="Courier" w:hAnsi="Courier"/>
      <w:b/>
      <w:lang w:val="x-none" w:eastAsia="cs-CZ"/>
    </w:rPr>
  </w:style>
  <w:style w:type="character" w:customStyle="1" w:styleId="PredmetkomentraChar1372">
    <w:name w:val="Predmet komentára Char1372"/>
    <w:aliases w:val="Char6 Char Char1373,Predmet komentára Char Char Char1373,Comment Subject Char Char Char1373"/>
    <w:uiPriority w:val="99"/>
    <w:semiHidden/>
    <w:rPr>
      <w:rFonts w:ascii="Courier" w:hAnsi="Courier"/>
      <w:b/>
      <w:lang w:val="x-none" w:eastAsia="cs-CZ"/>
    </w:rPr>
  </w:style>
  <w:style w:type="character" w:customStyle="1" w:styleId="PredmetkomentraChar1371">
    <w:name w:val="Predmet komentára Char1371"/>
    <w:aliases w:val="Char6 Char Char1372,Predmet komentára Char Char Char1372,Comment Subject Char Char Char1372"/>
    <w:uiPriority w:val="99"/>
    <w:semiHidden/>
    <w:rPr>
      <w:rFonts w:ascii="Courier" w:hAnsi="Courier"/>
      <w:b/>
      <w:lang w:val="x-none" w:eastAsia="cs-CZ"/>
    </w:rPr>
  </w:style>
  <w:style w:type="character" w:customStyle="1" w:styleId="PredmetkomentraChar1370">
    <w:name w:val="Predmet komentára Char1370"/>
    <w:aliases w:val="Char6 Char Char1371,Predmet komentára Char Char Char1371,Comment Subject Char Char Char1371"/>
    <w:uiPriority w:val="99"/>
    <w:semiHidden/>
    <w:rPr>
      <w:rFonts w:ascii="Courier" w:hAnsi="Courier"/>
      <w:b/>
      <w:lang w:val="x-none" w:eastAsia="cs-CZ"/>
    </w:rPr>
  </w:style>
  <w:style w:type="character" w:customStyle="1" w:styleId="PredmetkomentraChar1369">
    <w:name w:val="Predmet komentára Char1369"/>
    <w:aliases w:val="Char6 Char Char1370,Predmet komentára Char Char Char1370,Comment Subject Char Char Char1370"/>
    <w:uiPriority w:val="99"/>
    <w:semiHidden/>
    <w:rPr>
      <w:rFonts w:ascii="Courier" w:hAnsi="Courier"/>
      <w:b/>
      <w:lang w:val="x-none" w:eastAsia="cs-CZ"/>
    </w:rPr>
  </w:style>
  <w:style w:type="character" w:customStyle="1" w:styleId="PredmetkomentraChar1368">
    <w:name w:val="Predmet komentára Char1368"/>
    <w:aliases w:val="Char6 Char Char1369,Predmet komentára Char Char Char1369,Comment Subject Char Char Char1369"/>
    <w:uiPriority w:val="99"/>
    <w:semiHidden/>
    <w:rPr>
      <w:rFonts w:ascii="Courier" w:hAnsi="Courier"/>
      <w:b/>
      <w:lang w:val="x-none" w:eastAsia="cs-CZ"/>
    </w:rPr>
  </w:style>
  <w:style w:type="character" w:customStyle="1" w:styleId="PredmetkomentraChar1367">
    <w:name w:val="Predmet komentára Char1367"/>
    <w:aliases w:val="Char6 Char Char1368,Predmet komentára Char Char Char1368,Comment Subject Char Char Char1368"/>
    <w:uiPriority w:val="99"/>
    <w:semiHidden/>
    <w:rPr>
      <w:rFonts w:ascii="Courier" w:hAnsi="Courier"/>
      <w:b/>
      <w:lang w:val="x-none" w:eastAsia="cs-CZ"/>
    </w:rPr>
  </w:style>
  <w:style w:type="character" w:customStyle="1" w:styleId="PredmetkomentraChar1366">
    <w:name w:val="Predmet komentára Char1366"/>
    <w:aliases w:val="Char6 Char Char1367,Predmet komentára Char Char Char1367,Comment Subject Char Char Char1367"/>
    <w:uiPriority w:val="99"/>
    <w:semiHidden/>
    <w:rPr>
      <w:rFonts w:ascii="Courier" w:hAnsi="Courier"/>
      <w:b/>
      <w:lang w:val="x-none" w:eastAsia="cs-CZ"/>
    </w:rPr>
  </w:style>
  <w:style w:type="character" w:customStyle="1" w:styleId="PredmetkomentraChar1365">
    <w:name w:val="Predmet komentára Char1365"/>
    <w:aliases w:val="Char6 Char Char1366,Predmet komentára Char Char Char1366,Comment Subject Char Char Char1366"/>
    <w:uiPriority w:val="99"/>
    <w:semiHidden/>
    <w:rPr>
      <w:rFonts w:ascii="Courier" w:hAnsi="Courier"/>
      <w:b/>
      <w:lang w:val="x-none" w:eastAsia="cs-CZ"/>
    </w:rPr>
  </w:style>
  <w:style w:type="character" w:customStyle="1" w:styleId="PredmetkomentraChar1364">
    <w:name w:val="Predmet komentára Char1364"/>
    <w:aliases w:val="Char6 Char Char1365,Predmet komentára Char Char Char1365,Comment Subject Char Char Char1365"/>
    <w:uiPriority w:val="99"/>
    <w:semiHidden/>
    <w:rPr>
      <w:rFonts w:ascii="Courier" w:hAnsi="Courier"/>
      <w:b/>
      <w:lang w:val="x-none" w:eastAsia="cs-CZ"/>
    </w:rPr>
  </w:style>
  <w:style w:type="character" w:customStyle="1" w:styleId="PredmetkomentraChar1363">
    <w:name w:val="Predmet komentára Char1363"/>
    <w:aliases w:val="Char6 Char Char1364,Predmet komentára Char Char Char1364,Comment Subject Char Char Char1364"/>
    <w:uiPriority w:val="99"/>
    <w:semiHidden/>
    <w:rPr>
      <w:rFonts w:ascii="Courier" w:hAnsi="Courier"/>
      <w:b/>
      <w:lang w:val="x-none" w:eastAsia="cs-CZ"/>
    </w:rPr>
  </w:style>
  <w:style w:type="character" w:customStyle="1" w:styleId="PredmetkomentraChar1362">
    <w:name w:val="Predmet komentára Char1362"/>
    <w:aliases w:val="Char6 Char Char1363,Predmet komentára Char Char Char1363,Comment Subject Char Char Char1363"/>
    <w:uiPriority w:val="99"/>
    <w:semiHidden/>
    <w:rPr>
      <w:rFonts w:ascii="Courier" w:hAnsi="Courier"/>
      <w:b/>
      <w:lang w:val="x-none" w:eastAsia="cs-CZ"/>
    </w:rPr>
  </w:style>
  <w:style w:type="character" w:customStyle="1" w:styleId="PredmetkomentraChar1361">
    <w:name w:val="Predmet komentára Char1361"/>
    <w:aliases w:val="Char6 Char Char1362,Predmet komentára Char Char Char1362,Comment Subject Char Char Char1362"/>
    <w:uiPriority w:val="99"/>
    <w:semiHidden/>
    <w:rPr>
      <w:rFonts w:ascii="Courier" w:hAnsi="Courier"/>
      <w:b/>
      <w:lang w:val="x-none" w:eastAsia="cs-CZ"/>
    </w:rPr>
  </w:style>
  <w:style w:type="character" w:customStyle="1" w:styleId="PredmetkomentraChar1360">
    <w:name w:val="Predmet komentára Char1360"/>
    <w:aliases w:val="Char6 Char Char1361,Predmet komentára Char Char Char1361,Comment Subject Char Char Char1361"/>
    <w:uiPriority w:val="99"/>
    <w:semiHidden/>
    <w:rPr>
      <w:rFonts w:ascii="Courier" w:hAnsi="Courier"/>
      <w:b/>
      <w:lang w:val="x-none" w:eastAsia="cs-CZ"/>
    </w:rPr>
  </w:style>
  <w:style w:type="character" w:customStyle="1" w:styleId="PredmetkomentraChar1359">
    <w:name w:val="Predmet komentára Char1359"/>
    <w:aliases w:val="Char6 Char Char1360,Predmet komentára Char Char Char1360,Comment Subject Char Char Char1360"/>
    <w:uiPriority w:val="99"/>
    <w:semiHidden/>
    <w:rPr>
      <w:rFonts w:ascii="Courier" w:hAnsi="Courier"/>
      <w:b/>
      <w:lang w:val="x-none" w:eastAsia="cs-CZ"/>
    </w:rPr>
  </w:style>
  <w:style w:type="character" w:customStyle="1" w:styleId="PredmetkomentraChar1358">
    <w:name w:val="Predmet komentára Char1358"/>
    <w:aliases w:val="Char6 Char Char1359,Predmet komentára Char Char Char1359,Comment Subject Char Char Char1359"/>
    <w:uiPriority w:val="99"/>
    <w:semiHidden/>
    <w:rPr>
      <w:rFonts w:ascii="Courier" w:hAnsi="Courier"/>
      <w:b/>
      <w:lang w:val="x-none" w:eastAsia="cs-CZ"/>
    </w:rPr>
  </w:style>
  <w:style w:type="character" w:customStyle="1" w:styleId="PredmetkomentraChar1357">
    <w:name w:val="Predmet komentára Char1357"/>
    <w:aliases w:val="Char6 Char Char1358,Predmet komentára Char Char Char1358,Comment Subject Char Char Char1358"/>
    <w:uiPriority w:val="99"/>
    <w:semiHidden/>
    <w:rPr>
      <w:rFonts w:ascii="Courier" w:hAnsi="Courier"/>
      <w:b/>
      <w:lang w:val="x-none" w:eastAsia="cs-CZ"/>
    </w:rPr>
  </w:style>
  <w:style w:type="character" w:customStyle="1" w:styleId="PredmetkomentraChar1356">
    <w:name w:val="Predmet komentára Char1356"/>
    <w:aliases w:val="Char6 Char Char1357,Predmet komentára Char Char Char1357,Comment Subject Char Char Char1357"/>
    <w:uiPriority w:val="99"/>
    <w:semiHidden/>
    <w:rPr>
      <w:rFonts w:ascii="Courier" w:hAnsi="Courier"/>
      <w:b/>
      <w:lang w:val="x-none" w:eastAsia="cs-CZ"/>
    </w:rPr>
  </w:style>
  <w:style w:type="character" w:customStyle="1" w:styleId="PredmetkomentraChar1355">
    <w:name w:val="Predmet komentára Char1355"/>
    <w:aliases w:val="Char6 Char Char1356,Predmet komentára Char Char Char1356,Comment Subject Char Char Char1356"/>
    <w:uiPriority w:val="99"/>
    <w:semiHidden/>
    <w:rPr>
      <w:rFonts w:ascii="Courier" w:hAnsi="Courier"/>
      <w:b/>
      <w:lang w:val="x-none" w:eastAsia="cs-CZ"/>
    </w:rPr>
  </w:style>
  <w:style w:type="character" w:customStyle="1" w:styleId="PredmetkomentraChar1354">
    <w:name w:val="Predmet komentára Char1354"/>
    <w:aliases w:val="Char6 Char Char1355,Predmet komentára Char Char Char1355,Comment Subject Char Char Char1355"/>
    <w:uiPriority w:val="99"/>
    <w:semiHidden/>
    <w:rPr>
      <w:rFonts w:ascii="Courier" w:hAnsi="Courier"/>
      <w:b/>
      <w:lang w:val="x-none" w:eastAsia="cs-CZ"/>
    </w:rPr>
  </w:style>
  <w:style w:type="character" w:customStyle="1" w:styleId="PredmetkomentraChar1353">
    <w:name w:val="Predmet komentára Char1353"/>
    <w:aliases w:val="Char6 Char Char1354,Predmet komentára Char Char Char1354,Comment Subject Char Char Char1354"/>
    <w:uiPriority w:val="99"/>
    <w:semiHidden/>
    <w:rPr>
      <w:rFonts w:ascii="Courier" w:hAnsi="Courier"/>
      <w:b/>
      <w:lang w:val="x-none" w:eastAsia="cs-CZ"/>
    </w:rPr>
  </w:style>
  <w:style w:type="character" w:customStyle="1" w:styleId="PredmetkomentraChar1352">
    <w:name w:val="Predmet komentára Char1352"/>
    <w:aliases w:val="Char6 Char Char1353,Predmet komentára Char Char Char1353,Comment Subject Char Char Char1353"/>
    <w:uiPriority w:val="99"/>
    <w:semiHidden/>
    <w:rPr>
      <w:rFonts w:ascii="Courier" w:hAnsi="Courier"/>
      <w:b/>
      <w:lang w:val="x-none" w:eastAsia="cs-CZ"/>
    </w:rPr>
  </w:style>
  <w:style w:type="character" w:customStyle="1" w:styleId="PredmetkomentraChar1351">
    <w:name w:val="Predmet komentára Char1351"/>
    <w:aliases w:val="Char6 Char Char1352,Predmet komentára Char Char Char1352,Comment Subject Char Char Char1352"/>
    <w:uiPriority w:val="99"/>
    <w:semiHidden/>
    <w:rPr>
      <w:rFonts w:ascii="Courier" w:hAnsi="Courier"/>
      <w:b/>
      <w:lang w:val="x-none" w:eastAsia="cs-CZ"/>
    </w:rPr>
  </w:style>
  <w:style w:type="character" w:customStyle="1" w:styleId="PredmetkomentraChar1350">
    <w:name w:val="Predmet komentára Char1350"/>
    <w:aliases w:val="Char6 Char Char1351,Predmet komentára Char Char Char1351,Comment Subject Char Char Char1351"/>
    <w:uiPriority w:val="99"/>
    <w:semiHidden/>
    <w:rPr>
      <w:rFonts w:ascii="Courier" w:hAnsi="Courier"/>
      <w:b/>
      <w:lang w:val="x-none" w:eastAsia="cs-CZ"/>
    </w:rPr>
  </w:style>
  <w:style w:type="character" w:customStyle="1" w:styleId="PredmetkomentraChar1349">
    <w:name w:val="Predmet komentára Char1349"/>
    <w:aliases w:val="Char6 Char Char1350,Predmet komentára Char Char Char1350,Comment Subject Char Char Char1350"/>
    <w:uiPriority w:val="99"/>
    <w:semiHidden/>
    <w:rPr>
      <w:rFonts w:ascii="Courier" w:hAnsi="Courier"/>
      <w:b/>
      <w:lang w:val="x-none" w:eastAsia="cs-CZ"/>
    </w:rPr>
  </w:style>
  <w:style w:type="character" w:customStyle="1" w:styleId="PredmetkomentraChar1348">
    <w:name w:val="Predmet komentára Char1348"/>
    <w:aliases w:val="Char6 Char Char1349,Predmet komentára Char Char Char1349,Comment Subject Char Char Char1349"/>
    <w:uiPriority w:val="99"/>
    <w:semiHidden/>
    <w:rPr>
      <w:rFonts w:ascii="Courier" w:hAnsi="Courier"/>
      <w:b/>
      <w:lang w:val="x-none" w:eastAsia="cs-CZ"/>
    </w:rPr>
  </w:style>
  <w:style w:type="character" w:customStyle="1" w:styleId="PredmetkomentraChar1347">
    <w:name w:val="Predmet komentára Char1347"/>
    <w:aliases w:val="Char6 Char Char1348,Predmet komentára Char Char Char1348,Comment Subject Char Char Char1348"/>
    <w:uiPriority w:val="99"/>
    <w:semiHidden/>
    <w:rPr>
      <w:rFonts w:ascii="Courier" w:hAnsi="Courier"/>
      <w:b/>
      <w:lang w:val="x-none" w:eastAsia="cs-CZ"/>
    </w:rPr>
  </w:style>
  <w:style w:type="character" w:customStyle="1" w:styleId="PredmetkomentraChar1346">
    <w:name w:val="Predmet komentára Char1346"/>
    <w:aliases w:val="Char6 Char Char1347,Predmet komentára Char Char Char1347,Comment Subject Char Char Char1347"/>
    <w:uiPriority w:val="99"/>
    <w:semiHidden/>
    <w:rPr>
      <w:rFonts w:ascii="Courier" w:hAnsi="Courier"/>
      <w:b/>
      <w:lang w:val="x-none" w:eastAsia="cs-CZ"/>
    </w:rPr>
  </w:style>
  <w:style w:type="character" w:customStyle="1" w:styleId="PredmetkomentraChar1345">
    <w:name w:val="Predmet komentára Char1345"/>
    <w:aliases w:val="Char6 Char Char1346,Predmet komentára Char Char Char1346,Comment Subject Char Char Char1346"/>
    <w:uiPriority w:val="99"/>
    <w:semiHidden/>
    <w:rPr>
      <w:rFonts w:ascii="Courier" w:hAnsi="Courier"/>
      <w:b/>
      <w:lang w:val="x-none" w:eastAsia="cs-CZ"/>
    </w:rPr>
  </w:style>
  <w:style w:type="character" w:customStyle="1" w:styleId="PredmetkomentraChar1344">
    <w:name w:val="Predmet komentára Char1344"/>
    <w:aliases w:val="Char6 Char Char1345,Predmet komentára Char Char Char1345,Comment Subject Char Char Char1345"/>
    <w:uiPriority w:val="99"/>
    <w:semiHidden/>
    <w:rPr>
      <w:rFonts w:ascii="Courier" w:hAnsi="Courier"/>
      <w:b/>
      <w:lang w:val="x-none" w:eastAsia="cs-CZ"/>
    </w:rPr>
  </w:style>
  <w:style w:type="character" w:customStyle="1" w:styleId="PredmetkomentraChar1343">
    <w:name w:val="Predmet komentára Char1343"/>
    <w:aliases w:val="Char6 Char Char1344,Predmet komentára Char Char Char1344,Comment Subject Char Char Char1344"/>
    <w:uiPriority w:val="99"/>
    <w:semiHidden/>
    <w:rPr>
      <w:rFonts w:ascii="Courier" w:hAnsi="Courier"/>
      <w:b/>
      <w:lang w:val="x-none" w:eastAsia="cs-CZ"/>
    </w:rPr>
  </w:style>
  <w:style w:type="character" w:customStyle="1" w:styleId="PredmetkomentraChar1342">
    <w:name w:val="Predmet komentára Char1342"/>
    <w:aliases w:val="Char6 Char Char1343,Predmet komentára Char Char Char1343,Comment Subject Char Char Char1343"/>
    <w:uiPriority w:val="99"/>
    <w:semiHidden/>
    <w:rPr>
      <w:rFonts w:ascii="Courier" w:hAnsi="Courier"/>
      <w:b/>
      <w:lang w:val="x-none" w:eastAsia="cs-CZ"/>
    </w:rPr>
  </w:style>
  <w:style w:type="character" w:customStyle="1" w:styleId="PredmetkomentraChar1341">
    <w:name w:val="Predmet komentára Char1341"/>
    <w:aliases w:val="Char6 Char Char1342,Predmet komentára Char Char Char1342,Comment Subject Char Char Char1342"/>
    <w:uiPriority w:val="99"/>
    <w:semiHidden/>
    <w:rPr>
      <w:rFonts w:ascii="Courier" w:hAnsi="Courier"/>
      <w:b/>
      <w:lang w:val="x-none" w:eastAsia="cs-CZ"/>
    </w:rPr>
  </w:style>
  <w:style w:type="character" w:customStyle="1" w:styleId="PredmetkomentraChar1340">
    <w:name w:val="Predmet komentára Char1340"/>
    <w:aliases w:val="Char6 Char Char1341,Predmet komentára Char Char Char1341,Comment Subject Char Char Char1341"/>
    <w:uiPriority w:val="99"/>
    <w:semiHidden/>
    <w:rPr>
      <w:rFonts w:ascii="Courier" w:hAnsi="Courier"/>
      <w:b/>
      <w:lang w:val="x-none" w:eastAsia="cs-CZ"/>
    </w:rPr>
  </w:style>
  <w:style w:type="character" w:customStyle="1" w:styleId="PredmetkomentraChar1339">
    <w:name w:val="Predmet komentára Char1339"/>
    <w:aliases w:val="Char6 Char Char1340,Predmet komentára Char Char Char1340,Comment Subject Char Char Char1340"/>
    <w:uiPriority w:val="99"/>
    <w:semiHidden/>
    <w:rPr>
      <w:rFonts w:ascii="Courier" w:hAnsi="Courier"/>
      <w:b/>
      <w:lang w:val="x-none" w:eastAsia="cs-CZ"/>
    </w:rPr>
  </w:style>
  <w:style w:type="character" w:customStyle="1" w:styleId="PredmetkomentraChar1338">
    <w:name w:val="Predmet komentára Char1338"/>
    <w:aliases w:val="Char6 Char Char1339,Predmet komentára Char Char Char1339,Comment Subject Char Char Char1339"/>
    <w:uiPriority w:val="99"/>
    <w:semiHidden/>
    <w:rPr>
      <w:rFonts w:ascii="Courier" w:hAnsi="Courier"/>
      <w:b/>
      <w:lang w:val="x-none" w:eastAsia="cs-CZ"/>
    </w:rPr>
  </w:style>
  <w:style w:type="character" w:customStyle="1" w:styleId="PredmetkomentraChar1337">
    <w:name w:val="Predmet komentára Char1337"/>
    <w:aliases w:val="Char6 Char Char1338,Predmet komentára Char Char Char1338,Comment Subject Char Char Char1338"/>
    <w:uiPriority w:val="99"/>
    <w:semiHidden/>
    <w:rPr>
      <w:rFonts w:ascii="Courier" w:hAnsi="Courier"/>
      <w:b/>
      <w:lang w:val="x-none" w:eastAsia="cs-CZ"/>
    </w:rPr>
  </w:style>
  <w:style w:type="character" w:customStyle="1" w:styleId="PredmetkomentraChar1336">
    <w:name w:val="Predmet komentára Char1336"/>
    <w:aliases w:val="Char6 Char Char1337,Predmet komentára Char Char Char1337,Comment Subject Char Char Char1337"/>
    <w:uiPriority w:val="99"/>
    <w:semiHidden/>
    <w:rPr>
      <w:rFonts w:ascii="Courier" w:hAnsi="Courier"/>
      <w:b/>
      <w:lang w:val="x-none" w:eastAsia="cs-CZ"/>
    </w:rPr>
  </w:style>
  <w:style w:type="character" w:customStyle="1" w:styleId="PredmetkomentraChar1335">
    <w:name w:val="Predmet komentára Char1335"/>
    <w:aliases w:val="Char6 Char Char1336,Predmet komentára Char Char Char1336,Comment Subject Char Char Char1336"/>
    <w:uiPriority w:val="99"/>
    <w:semiHidden/>
    <w:rPr>
      <w:rFonts w:ascii="Courier" w:hAnsi="Courier"/>
      <w:b/>
      <w:lang w:val="x-none" w:eastAsia="cs-CZ"/>
    </w:rPr>
  </w:style>
  <w:style w:type="character" w:customStyle="1" w:styleId="PredmetkomentraChar1334">
    <w:name w:val="Predmet komentára Char1334"/>
    <w:aliases w:val="Char6 Char Char1335,Predmet komentára Char Char Char1335,Comment Subject Char Char Char1335"/>
    <w:uiPriority w:val="99"/>
    <w:semiHidden/>
    <w:rPr>
      <w:rFonts w:ascii="Courier" w:hAnsi="Courier"/>
      <w:b/>
      <w:lang w:val="x-none" w:eastAsia="cs-CZ"/>
    </w:rPr>
  </w:style>
  <w:style w:type="character" w:customStyle="1" w:styleId="PredmetkomentraChar1333">
    <w:name w:val="Predmet komentára Char1333"/>
    <w:aliases w:val="Char6 Char Char1334,Predmet komentára Char Char Char1334,Comment Subject Char Char Char1334"/>
    <w:uiPriority w:val="99"/>
    <w:semiHidden/>
    <w:rPr>
      <w:rFonts w:ascii="Courier" w:hAnsi="Courier"/>
      <w:b/>
      <w:lang w:val="x-none" w:eastAsia="cs-CZ"/>
    </w:rPr>
  </w:style>
  <w:style w:type="character" w:customStyle="1" w:styleId="PredmetkomentraChar1332">
    <w:name w:val="Predmet komentára Char1332"/>
    <w:aliases w:val="Char6 Char Char1333,Predmet komentára Char Char Char1333,Comment Subject Char Char Char1333"/>
    <w:uiPriority w:val="99"/>
    <w:semiHidden/>
    <w:rPr>
      <w:rFonts w:ascii="Courier" w:hAnsi="Courier"/>
      <w:b/>
      <w:lang w:val="x-none" w:eastAsia="cs-CZ"/>
    </w:rPr>
  </w:style>
  <w:style w:type="character" w:customStyle="1" w:styleId="PredmetkomentraChar1331">
    <w:name w:val="Predmet komentára Char1331"/>
    <w:aliases w:val="Char6 Char Char1332,Predmet komentára Char Char Char1332,Comment Subject Char Char Char1332"/>
    <w:uiPriority w:val="99"/>
    <w:semiHidden/>
    <w:rPr>
      <w:rFonts w:ascii="Courier" w:hAnsi="Courier"/>
      <w:b/>
      <w:lang w:val="x-none" w:eastAsia="cs-CZ"/>
    </w:rPr>
  </w:style>
  <w:style w:type="character" w:customStyle="1" w:styleId="PredmetkomentraChar1330">
    <w:name w:val="Predmet komentára Char1330"/>
    <w:aliases w:val="Char6 Char Char1331,Predmet komentára Char Char Char1331,Comment Subject Char Char Char1331"/>
    <w:uiPriority w:val="99"/>
    <w:semiHidden/>
    <w:rPr>
      <w:rFonts w:ascii="Courier" w:hAnsi="Courier"/>
      <w:b/>
      <w:lang w:val="x-none" w:eastAsia="cs-CZ"/>
    </w:rPr>
  </w:style>
  <w:style w:type="character" w:customStyle="1" w:styleId="PredmetkomentraChar1329">
    <w:name w:val="Predmet komentára Char1329"/>
    <w:aliases w:val="Char6 Char Char1330,Predmet komentára Char Char Char1330,Comment Subject Char Char Char1330"/>
    <w:uiPriority w:val="99"/>
    <w:semiHidden/>
    <w:rPr>
      <w:rFonts w:ascii="Courier" w:hAnsi="Courier"/>
      <w:b/>
      <w:lang w:val="x-none" w:eastAsia="cs-CZ"/>
    </w:rPr>
  </w:style>
  <w:style w:type="character" w:customStyle="1" w:styleId="PredmetkomentraChar1328">
    <w:name w:val="Predmet komentára Char1328"/>
    <w:aliases w:val="Char6 Char Char1329,Predmet komentára Char Char Char1329,Comment Subject Char Char Char1329"/>
    <w:uiPriority w:val="99"/>
    <w:semiHidden/>
    <w:rPr>
      <w:rFonts w:ascii="Courier" w:hAnsi="Courier"/>
      <w:b/>
      <w:lang w:val="x-none" w:eastAsia="cs-CZ"/>
    </w:rPr>
  </w:style>
  <w:style w:type="character" w:customStyle="1" w:styleId="PredmetkomentraChar1327">
    <w:name w:val="Predmet komentára Char1327"/>
    <w:aliases w:val="Char6 Char Char1328,Predmet komentára Char Char Char1328,Comment Subject Char Char Char1328"/>
    <w:uiPriority w:val="99"/>
    <w:semiHidden/>
    <w:rPr>
      <w:rFonts w:ascii="Courier" w:hAnsi="Courier"/>
      <w:b/>
      <w:lang w:val="x-none" w:eastAsia="cs-CZ"/>
    </w:rPr>
  </w:style>
  <w:style w:type="character" w:customStyle="1" w:styleId="PredmetkomentraChar1326">
    <w:name w:val="Predmet komentára Char1326"/>
    <w:aliases w:val="Char6 Char Char1327,Predmet komentára Char Char Char1327,Comment Subject Char Char Char1327"/>
    <w:uiPriority w:val="99"/>
    <w:semiHidden/>
    <w:rPr>
      <w:rFonts w:ascii="Courier" w:hAnsi="Courier"/>
      <w:b/>
      <w:lang w:val="x-none" w:eastAsia="cs-CZ"/>
    </w:rPr>
  </w:style>
  <w:style w:type="character" w:customStyle="1" w:styleId="PredmetkomentraChar1325">
    <w:name w:val="Predmet komentára Char1325"/>
    <w:aliases w:val="Char6 Char Char1326,Predmet komentára Char Char Char1326,Comment Subject Char Char Char1326"/>
    <w:uiPriority w:val="99"/>
    <w:semiHidden/>
    <w:rPr>
      <w:rFonts w:ascii="Courier" w:hAnsi="Courier"/>
      <w:b/>
      <w:lang w:val="x-none" w:eastAsia="cs-CZ"/>
    </w:rPr>
  </w:style>
  <w:style w:type="character" w:customStyle="1" w:styleId="PredmetkomentraChar1324">
    <w:name w:val="Predmet komentára Char1324"/>
    <w:aliases w:val="Char6 Char Char1325,Predmet komentára Char Char Char1325,Comment Subject Char Char Char1325"/>
    <w:uiPriority w:val="99"/>
    <w:semiHidden/>
    <w:rPr>
      <w:rFonts w:ascii="Courier" w:hAnsi="Courier"/>
      <w:b/>
      <w:lang w:val="x-none" w:eastAsia="cs-CZ"/>
    </w:rPr>
  </w:style>
  <w:style w:type="character" w:customStyle="1" w:styleId="PredmetkomentraChar1323">
    <w:name w:val="Predmet komentára Char1323"/>
    <w:aliases w:val="Char6 Char Char1324,Predmet komentára Char Char Char1324,Comment Subject Char Char Char1324"/>
    <w:uiPriority w:val="99"/>
    <w:semiHidden/>
    <w:rPr>
      <w:rFonts w:ascii="Courier" w:hAnsi="Courier"/>
      <w:b/>
      <w:lang w:val="x-none" w:eastAsia="cs-CZ"/>
    </w:rPr>
  </w:style>
  <w:style w:type="character" w:customStyle="1" w:styleId="PredmetkomentraChar1322">
    <w:name w:val="Predmet komentára Char1322"/>
    <w:aliases w:val="Char6 Char Char1323,Predmet komentára Char Char Char1323,Comment Subject Char Char Char1323"/>
    <w:uiPriority w:val="99"/>
    <w:semiHidden/>
    <w:rPr>
      <w:rFonts w:ascii="Courier" w:hAnsi="Courier"/>
      <w:b/>
      <w:lang w:val="x-none" w:eastAsia="cs-CZ"/>
    </w:rPr>
  </w:style>
  <w:style w:type="character" w:customStyle="1" w:styleId="PredmetkomentraChar1321">
    <w:name w:val="Predmet komentára Char1321"/>
    <w:aliases w:val="Char6 Char Char1322,Predmet komentára Char Char Char1322,Comment Subject Char Char Char1322"/>
    <w:uiPriority w:val="99"/>
    <w:semiHidden/>
    <w:rPr>
      <w:rFonts w:ascii="Courier" w:hAnsi="Courier"/>
      <w:b/>
      <w:lang w:val="x-none" w:eastAsia="cs-CZ"/>
    </w:rPr>
  </w:style>
  <w:style w:type="character" w:customStyle="1" w:styleId="PredmetkomentraChar1320">
    <w:name w:val="Predmet komentára Char1320"/>
    <w:aliases w:val="Char6 Char Char1321,Predmet komentára Char Char Char1321,Comment Subject Char Char Char1321"/>
    <w:uiPriority w:val="99"/>
    <w:semiHidden/>
    <w:rPr>
      <w:rFonts w:ascii="Courier" w:hAnsi="Courier"/>
      <w:b/>
      <w:lang w:val="x-none" w:eastAsia="cs-CZ"/>
    </w:rPr>
  </w:style>
  <w:style w:type="character" w:customStyle="1" w:styleId="PredmetkomentraChar1319">
    <w:name w:val="Predmet komentára Char1319"/>
    <w:aliases w:val="Char6 Char Char1320,Predmet komentára Char Char Char1320,Comment Subject Char Char Char1320"/>
    <w:uiPriority w:val="99"/>
    <w:semiHidden/>
    <w:rPr>
      <w:rFonts w:ascii="Courier" w:hAnsi="Courier"/>
      <w:b/>
      <w:lang w:val="x-none" w:eastAsia="cs-CZ"/>
    </w:rPr>
  </w:style>
  <w:style w:type="character" w:customStyle="1" w:styleId="PredmetkomentraChar1318">
    <w:name w:val="Predmet komentára Char1318"/>
    <w:aliases w:val="Char6 Char Char1319,Predmet komentára Char Char Char1319,Comment Subject Char Char Char1319"/>
    <w:uiPriority w:val="99"/>
    <w:semiHidden/>
    <w:rPr>
      <w:rFonts w:ascii="Courier" w:hAnsi="Courier"/>
      <w:b/>
      <w:lang w:val="x-none" w:eastAsia="cs-CZ"/>
    </w:rPr>
  </w:style>
  <w:style w:type="character" w:customStyle="1" w:styleId="PredmetkomentraChar1317">
    <w:name w:val="Predmet komentára Char1317"/>
    <w:aliases w:val="Char6 Char Char1318,Predmet komentára Char Char Char1318,Comment Subject Char Char Char1318"/>
    <w:uiPriority w:val="99"/>
    <w:semiHidden/>
    <w:rPr>
      <w:rFonts w:ascii="Courier" w:hAnsi="Courier"/>
      <w:b/>
      <w:lang w:val="x-none" w:eastAsia="cs-CZ"/>
    </w:rPr>
  </w:style>
  <w:style w:type="character" w:customStyle="1" w:styleId="PredmetkomentraChar1316">
    <w:name w:val="Predmet komentára Char1316"/>
    <w:aliases w:val="Char6 Char Char1317,Predmet komentára Char Char Char1317,Comment Subject Char Char Char1317"/>
    <w:uiPriority w:val="99"/>
    <w:semiHidden/>
    <w:rPr>
      <w:rFonts w:ascii="Courier" w:hAnsi="Courier"/>
      <w:b/>
      <w:lang w:val="x-none" w:eastAsia="cs-CZ"/>
    </w:rPr>
  </w:style>
  <w:style w:type="character" w:customStyle="1" w:styleId="PredmetkomentraChar1315">
    <w:name w:val="Predmet komentára Char1315"/>
    <w:aliases w:val="Char6 Char Char1316,Predmet komentára Char Char Char1316,Comment Subject Char Char Char1316"/>
    <w:uiPriority w:val="99"/>
    <w:semiHidden/>
    <w:rPr>
      <w:rFonts w:ascii="Courier" w:hAnsi="Courier"/>
      <w:b/>
      <w:lang w:val="x-none" w:eastAsia="cs-CZ"/>
    </w:rPr>
  </w:style>
  <w:style w:type="character" w:customStyle="1" w:styleId="PredmetkomentraChar1314">
    <w:name w:val="Predmet komentára Char1314"/>
    <w:aliases w:val="Char6 Char Char1315,Predmet komentára Char Char Char1315,Comment Subject Char Char Char1315"/>
    <w:uiPriority w:val="99"/>
    <w:semiHidden/>
    <w:rPr>
      <w:rFonts w:ascii="Courier" w:hAnsi="Courier"/>
      <w:b/>
      <w:lang w:val="x-none" w:eastAsia="cs-CZ"/>
    </w:rPr>
  </w:style>
  <w:style w:type="character" w:customStyle="1" w:styleId="PredmetkomentraChar1313">
    <w:name w:val="Predmet komentára Char1313"/>
    <w:aliases w:val="Char6 Char Char1314,Predmet komentára Char Char Char1314,Comment Subject Char Char Char1314"/>
    <w:uiPriority w:val="99"/>
    <w:semiHidden/>
    <w:rPr>
      <w:rFonts w:ascii="Courier" w:hAnsi="Courier"/>
      <w:b/>
      <w:lang w:val="x-none" w:eastAsia="cs-CZ"/>
    </w:rPr>
  </w:style>
  <w:style w:type="character" w:customStyle="1" w:styleId="PredmetkomentraChar1312">
    <w:name w:val="Predmet komentára Char1312"/>
    <w:aliases w:val="Char6 Char Char1313,Predmet komentára Char Char Char1313,Comment Subject Char Char Char1313"/>
    <w:uiPriority w:val="99"/>
    <w:semiHidden/>
    <w:rPr>
      <w:rFonts w:ascii="Courier" w:hAnsi="Courier"/>
      <w:b/>
      <w:lang w:val="x-none" w:eastAsia="cs-CZ"/>
    </w:rPr>
  </w:style>
  <w:style w:type="character" w:customStyle="1" w:styleId="PredmetkomentraChar1311">
    <w:name w:val="Predmet komentára Char1311"/>
    <w:aliases w:val="Char6 Char Char1312,Predmet komentára Char Char Char1312,Comment Subject Char Char Char1312"/>
    <w:uiPriority w:val="99"/>
    <w:semiHidden/>
    <w:rPr>
      <w:rFonts w:ascii="Courier" w:hAnsi="Courier"/>
      <w:b/>
      <w:lang w:val="x-none" w:eastAsia="cs-CZ"/>
    </w:rPr>
  </w:style>
  <w:style w:type="character" w:customStyle="1" w:styleId="PredmetkomentraChar1310">
    <w:name w:val="Predmet komentára Char1310"/>
    <w:aliases w:val="Char6 Char Char1311,Predmet komentára Char Char Char1311,Comment Subject Char Char Char1311"/>
    <w:uiPriority w:val="99"/>
    <w:semiHidden/>
    <w:rPr>
      <w:rFonts w:ascii="Courier" w:hAnsi="Courier"/>
      <w:b/>
      <w:lang w:val="x-none" w:eastAsia="cs-CZ"/>
    </w:rPr>
  </w:style>
  <w:style w:type="character" w:customStyle="1" w:styleId="PredmetkomentraChar1309">
    <w:name w:val="Predmet komentára Char1309"/>
    <w:aliases w:val="Char6 Char Char1310,Predmet komentára Char Char Char1310,Comment Subject Char Char Char1310"/>
    <w:uiPriority w:val="99"/>
    <w:semiHidden/>
    <w:rPr>
      <w:rFonts w:ascii="Courier" w:hAnsi="Courier"/>
      <w:b/>
      <w:lang w:val="x-none" w:eastAsia="cs-CZ"/>
    </w:rPr>
  </w:style>
  <w:style w:type="character" w:customStyle="1" w:styleId="PredmetkomentraChar1308">
    <w:name w:val="Predmet komentára Char1308"/>
    <w:aliases w:val="Char6 Char Char1309,Predmet komentára Char Char Char1309,Comment Subject Char Char Char1309"/>
    <w:uiPriority w:val="99"/>
    <w:semiHidden/>
    <w:rPr>
      <w:rFonts w:ascii="Courier" w:hAnsi="Courier"/>
      <w:b/>
      <w:lang w:val="x-none" w:eastAsia="cs-CZ"/>
    </w:rPr>
  </w:style>
  <w:style w:type="character" w:customStyle="1" w:styleId="PredmetkomentraChar1307">
    <w:name w:val="Predmet komentára Char1307"/>
    <w:aliases w:val="Char6 Char Char1308,Predmet komentára Char Char Char1308,Comment Subject Char Char Char1308"/>
    <w:uiPriority w:val="99"/>
    <w:semiHidden/>
    <w:rPr>
      <w:rFonts w:ascii="Courier" w:hAnsi="Courier"/>
      <w:b/>
      <w:lang w:val="x-none" w:eastAsia="cs-CZ"/>
    </w:rPr>
  </w:style>
  <w:style w:type="character" w:customStyle="1" w:styleId="PredmetkomentraChar1306">
    <w:name w:val="Predmet komentára Char1306"/>
    <w:aliases w:val="Char6 Char Char1307,Predmet komentára Char Char Char1307,Comment Subject Char Char Char1307"/>
    <w:uiPriority w:val="99"/>
    <w:semiHidden/>
    <w:rPr>
      <w:rFonts w:ascii="Courier" w:hAnsi="Courier"/>
      <w:b/>
      <w:lang w:val="x-none" w:eastAsia="cs-CZ"/>
    </w:rPr>
  </w:style>
  <w:style w:type="character" w:customStyle="1" w:styleId="PredmetkomentraChar1305">
    <w:name w:val="Predmet komentára Char1305"/>
    <w:aliases w:val="Char6 Char Char1306,Predmet komentára Char Char Char1306,Comment Subject Char Char Char1306"/>
    <w:uiPriority w:val="99"/>
    <w:semiHidden/>
    <w:rPr>
      <w:rFonts w:ascii="Courier" w:hAnsi="Courier"/>
      <w:b/>
      <w:lang w:val="x-none" w:eastAsia="cs-CZ"/>
    </w:rPr>
  </w:style>
  <w:style w:type="character" w:customStyle="1" w:styleId="PredmetkomentraChar1304">
    <w:name w:val="Predmet komentára Char1304"/>
    <w:aliases w:val="Char6 Char Char1305,Predmet komentára Char Char Char1305,Comment Subject Char Char Char1305"/>
    <w:uiPriority w:val="99"/>
    <w:semiHidden/>
    <w:rPr>
      <w:rFonts w:ascii="Courier" w:hAnsi="Courier"/>
      <w:b/>
      <w:lang w:val="x-none" w:eastAsia="cs-CZ"/>
    </w:rPr>
  </w:style>
  <w:style w:type="character" w:customStyle="1" w:styleId="PredmetkomentraChar1303">
    <w:name w:val="Predmet komentára Char1303"/>
    <w:aliases w:val="Char6 Char Char1304,Predmet komentára Char Char Char1304,Comment Subject Char Char Char1304"/>
    <w:uiPriority w:val="99"/>
    <w:semiHidden/>
    <w:rPr>
      <w:rFonts w:ascii="Courier" w:hAnsi="Courier"/>
      <w:b/>
      <w:lang w:val="x-none" w:eastAsia="cs-CZ"/>
    </w:rPr>
  </w:style>
  <w:style w:type="character" w:customStyle="1" w:styleId="PredmetkomentraChar1302">
    <w:name w:val="Predmet komentára Char1302"/>
    <w:aliases w:val="Char6 Char Char1303,Predmet komentára Char Char Char1303,Comment Subject Char Char Char1303"/>
    <w:uiPriority w:val="99"/>
    <w:semiHidden/>
    <w:rPr>
      <w:rFonts w:ascii="Courier" w:hAnsi="Courier"/>
      <w:b/>
      <w:lang w:val="x-none" w:eastAsia="cs-CZ"/>
    </w:rPr>
  </w:style>
  <w:style w:type="character" w:customStyle="1" w:styleId="PredmetkomentraChar1301">
    <w:name w:val="Predmet komentára Char1301"/>
    <w:aliases w:val="Char6 Char Char1302,Predmet komentára Char Char Char1302,Comment Subject Char Char Char1302"/>
    <w:uiPriority w:val="99"/>
    <w:semiHidden/>
    <w:rPr>
      <w:rFonts w:ascii="Courier" w:hAnsi="Courier"/>
      <w:b/>
      <w:lang w:val="x-none" w:eastAsia="cs-CZ"/>
    </w:rPr>
  </w:style>
  <w:style w:type="character" w:customStyle="1" w:styleId="PredmetkomentraChar1300">
    <w:name w:val="Predmet komentára Char1300"/>
    <w:aliases w:val="Char6 Char Char1301,Predmet komentára Char Char Char1301,Comment Subject Char Char Char1301"/>
    <w:uiPriority w:val="99"/>
    <w:semiHidden/>
    <w:rPr>
      <w:rFonts w:ascii="Courier" w:hAnsi="Courier"/>
      <w:b/>
      <w:lang w:val="x-none" w:eastAsia="cs-CZ"/>
    </w:rPr>
  </w:style>
  <w:style w:type="character" w:customStyle="1" w:styleId="PredmetkomentraChar1299">
    <w:name w:val="Predmet komentára Char1299"/>
    <w:aliases w:val="Char6 Char Char1300,Predmet komentára Char Char Char1300,Comment Subject Char Char Char1300"/>
    <w:uiPriority w:val="99"/>
    <w:semiHidden/>
    <w:rPr>
      <w:rFonts w:ascii="Courier" w:hAnsi="Courier"/>
      <w:b/>
      <w:lang w:val="x-none" w:eastAsia="cs-CZ"/>
    </w:rPr>
  </w:style>
  <w:style w:type="character" w:customStyle="1" w:styleId="PredmetkomentraChar1298">
    <w:name w:val="Predmet komentára Char1298"/>
    <w:aliases w:val="Char6 Char Char1299,Predmet komentára Char Char Char1299,Comment Subject Char Char Char1299"/>
    <w:uiPriority w:val="99"/>
    <w:semiHidden/>
    <w:rPr>
      <w:rFonts w:ascii="Courier" w:hAnsi="Courier"/>
      <w:b/>
      <w:lang w:val="x-none" w:eastAsia="cs-CZ"/>
    </w:rPr>
  </w:style>
  <w:style w:type="character" w:customStyle="1" w:styleId="PredmetkomentraChar1297">
    <w:name w:val="Predmet komentára Char1297"/>
    <w:aliases w:val="Char6 Char Char1298,Predmet komentára Char Char Char1298,Comment Subject Char Char Char1298"/>
    <w:uiPriority w:val="99"/>
    <w:semiHidden/>
    <w:rPr>
      <w:rFonts w:ascii="Courier" w:hAnsi="Courier"/>
      <w:b/>
      <w:lang w:val="x-none" w:eastAsia="cs-CZ"/>
    </w:rPr>
  </w:style>
  <w:style w:type="character" w:customStyle="1" w:styleId="PredmetkomentraChar1296">
    <w:name w:val="Predmet komentára Char1296"/>
    <w:aliases w:val="Char6 Char Char1297,Predmet komentára Char Char Char1297,Comment Subject Char Char Char1297"/>
    <w:uiPriority w:val="99"/>
    <w:semiHidden/>
    <w:rPr>
      <w:rFonts w:ascii="Courier" w:hAnsi="Courier"/>
      <w:b/>
      <w:lang w:val="x-none" w:eastAsia="cs-CZ"/>
    </w:rPr>
  </w:style>
  <w:style w:type="character" w:customStyle="1" w:styleId="PredmetkomentraChar1295">
    <w:name w:val="Predmet komentára Char1295"/>
    <w:aliases w:val="Char6 Char Char1296,Predmet komentára Char Char Char1296,Comment Subject Char Char Char1296"/>
    <w:uiPriority w:val="99"/>
    <w:semiHidden/>
    <w:rPr>
      <w:rFonts w:ascii="Courier" w:hAnsi="Courier"/>
      <w:b/>
      <w:lang w:val="x-none" w:eastAsia="cs-CZ"/>
    </w:rPr>
  </w:style>
  <w:style w:type="character" w:customStyle="1" w:styleId="PredmetkomentraChar1294">
    <w:name w:val="Predmet komentára Char1294"/>
    <w:aliases w:val="Char6 Char Char1295,Predmet komentára Char Char Char1295,Comment Subject Char Char Char1295"/>
    <w:uiPriority w:val="99"/>
    <w:semiHidden/>
    <w:rPr>
      <w:rFonts w:ascii="Courier" w:hAnsi="Courier"/>
      <w:b/>
      <w:lang w:val="x-none" w:eastAsia="cs-CZ"/>
    </w:rPr>
  </w:style>
  <w:style w:type="character" w:customStyle="1" w:styleId="PredmetkomentraChar1293">
    <w:name w:val="Predmet komentára Char1293"/>
    <w:aliases w:val="Char6 Char Char1294,Predmet komentára Char Char Char1294,Comment Subject Char Char Char1294"/>
    <w:uiPriority w:val="99"/>
    <w:semiHidden/>
    <w:rPr>
      <w:rFonts w:ascii="Courier" w:hAnsi="Courier"/>
      <w:b/>
      <w:lang w:val="x-none" w:eastAsia="cs-CZ"/>
    </w:rPr>
  </w:style>
  <w:style w:type="character" w:customStyle="1" w:styleId="PredmetkomentraChar1292">
    <w:name w:val="Predmet komentára Char1292"/>
    <w:aliases w:val="Char6 Char Char1293,Predmet komentára Char Char Char1293,Comment Subject Char Char Char1293"/>
    <w:uiPriority w:val="99"/>
    <w:semiHidden/>
    <w:rPr>
      <w:rFonts w:ascii="Courier" w:hAnsi="Courier"/>
      <w:b/>
      <w:lang w:val="x-none" w:eastAsia="cs-CZ"/>
    </w:rPr>
  </w:style>
  <w:style w:type="character" w:customStyle="1" w:styleId="PredmetkomentraChar1291">
    <w:name w:val="Predmet komentára Char1291"/>
    <w:aliases w:val="Char6 Char Char1292,Predmet komentára Char Char Char1292,Comment Subject Char Char Char1292"/>
    <w:uiPriority w:val="99"/>
    <w:semiHidden/>
    <w:rPr>
      <w:rFonts w:ascii="Courier" w:hAnsi="Courier"/>
      <w:b/>
      <w:lang w:val="x-none" w:eastAsia="cs-CZ"/>
    </w:rPr>
  </w:style>
  <w:style w:type="character" w:customStyle="1" w:styleId="PredmetkomentraChar1290">
    <w:name w:val="Predmet komentára Char1290"/>
    <w:aliases w:val="Char6 Char Char1291,Predmet komentára Char Char Char1291,Comment Subject Char Char Char1291"/>
    <w:uiPriority w:val="99"/>
    <w:semiHidden/>
    <w:rPr>
      <w:rFonts w:ascii="Courier" w:hAnsi="Courier"/>
      <w:b/>
      <w:lang w:val="x-none" w:eastAsia="cs-CZ"/>
    </w:rPr>
  </w:style>
  <w:style w:type="character" w:customStyle="1" w:styleId="PredmetkomentraChar1289">
    <w:name w:val="Predmet komentára Char1289"/>
    <w:aliases w:val="Char6 Char Char1290,Predmet komentára Char Char Char1290,Comment Subject Char Char Char1290"/>
    <w:uiPriority w:val="99"/>
    <w:semiHidden/>
    <w:rPr>
      <w:rFonts w:ascii="Courier" w:hAnsi="Courier"/>
      <w:b/>
      <w:lang w:val="x-none" w:eastAsia="cs-CZ"/>
    </w:rPr>
  </w:style>
  <w:style w:type="character" w:customStyle="1" w:styleId="PredmetkomentraChar1288">
    <w:name w:val="Predmet komentára Char1288"/>
    <w:aliases w:val="Char6 Char Char1289,Predmet komentára Char Char Char1289,Comment Subject Char Char Char1289"/>
    <w:uiPriority w:val="99"/>
    <w:semiHidden/>
    <w:rPr>
      <w:rFonts w:ascii="Courier" w:hAnsi="Courier"/>
      <w:b/>
      <w:lang w:val="x-none" w:eastAsia="cs-CZ"/>
    </w:rPr>
  </w:style>
  <w:style w:type="character" w:customStyle="1" w:styleId="PredmetkomentraChar1287">
    <w:name w:val="Predmet komentára Char1287"/>
    <w:aliases w:val="Char6 Char Char1288,Predmet komentára Char Char Char1288,Comment Subject Char Char Char1288"/>
    <w:uiPriority w:val="99"/>
    <w:semiHidden/>
    <w:rPr>
      <w:rFonts w:ascii="Courier" w:hAnsi="Courier"/>
      <w:b/>
      <w:lang w:val="x-none" w:eastAsia="cs-CZ"/>
    </w:rPr>
  </w:style>
  <w:style w:type="character" w:customStyle="1" w:styleId="PredmetkomentraChar1286">
    <w:name w:val="Predmet komentára Char1286"/>
    <w:aliases w:val="Char6 Char Char1287,Predmet komentára Char Char Char1287,Comment Subject Char Char Char1287"/>
    <w:uiPriority w:val="99"/>
    <w:semiHidden/>
    <w:rPr>
      <w:rFonts w:ascii="Courier" w:hAnsi="Courier"/>
      <w:b/>
      <w:lang w:val="x-none" w:eastAsia="cs-CZ"/>
    </w:rPr>
  </w:style>
  <w:style w:type="character" w:customStyle="1" w:styleId="PredmetkomentraChar1285">
    <w:name w:val="Predmet komentára Char1285"/>
    <w:aliases w:val="Char6 Char Char1286,Predmet komentára Char Char Char1286,Comment Subject Char Char Char1286"/>
    <w:uiPriority w:val="99"/>
    <w:semiHidden/>
    <w:rPr>
      <w:rFonts w:ascii="Courier" w:hAnsi="Courier"/>
      <w:b/>
      <w:lang w:val="x-none" w:eastAsia="cs-CZ"/>
    </w:rPr>
  </w:style>
  <w:style w:type="character" w:customStyle="1" w:styleId="PredmetkomentraChar1284">
    <w:name w:val="Predmet komentára Char1284"/>
    <w:aliases w:val="Char6 Char Char1285,Predmet komentára Char Char Char1285,Comment Subject Char Char Char1285"/>
    <w:uiPriority w:val="99"/>
    <w:semiHidden/>
    <w:rPr>
      <w:rFonts w:ascii="Courier" w:hAnsi="Courier"/>
      <w:b/>
      <w:lang w:val="x-none" w:eastAsia="cs-CZ"/>
    </w:rPr>
  </w:style>
  <w:style w:type="character" w:customStyle="1" w:styleId="PredmetkomentraChar1283">
    <w:name w:val="Predmet komentára Char1283"/>
    <w:aliases w:val="Char6 Char Char1284,Predmet komentára Char Char Char1284,Comment Subject Char Char Char1284"/>
    <w:uiPriority w:val="99"/>
    <w:semiHidden/>
    <w:rPr>
      <w:rFonts w:ascii="Courier" w:hAnsi="Courier"/>
      <w:b/>
      <w:lang w:val="x-none" w:eastAsia="cs-CZ"/>
    </w:rPr>
  </w:style>
  <w:style w:type="character" w:customStyle="1" w:styleId="PredmetkomentraChar1282">
    <w:name w:val="Predmet komentára Char1282"/>
    <w:aliases w:val="Char6 Char Char1283,Predmet komentára Char Char Char1283,Comment Subject Char Char Char1283"/>
    <w:uiPriority w:val="99"/>
    <w:semiHidden/>
    <w:rPr>
      <w:rFonts w:ascii="Courier" w:hAnsi="Courier"/>
      <w:b/>
      <w:lang w:val="x-none" w:eastAsia="cs-CZ"/>
    </w:rPr>
  </w:style>
  <w:style w:type="character" w:customStyle="1" w:styleId="PredmetkomentraChar1281">
    <w:name w:val="Predmet komentára Char1281"/>
    <w:aliases w:val="Char6 Char Char1282,Predmet komentára Char Char Char1282,Comment Subject Char Char Char1282"/>
    <w:uiPriority w:val="99"/>
    <w:semiHidden/>
    <w:rPr>
      <w:rFonts w:ascii="Courier" w:hAnsi="Courier"/>
      <w:b/>
      <w:lang w:val="x-none" w:eastAsia="cs-CZ"/>
    </w:rPr>
  </w:style>
  <w:style w:type="character" w:customStyle="1" w:styleId="PredmetkomentraChar1280">
    <w:name w:val="Predmet komentára Char1280"/>
    <w:aliases w:val="Char6 Char Char1281,Predmet komentára Char Char Char1281,Comment Subject Char Char Char1281"/>
    <w:uiPriority w:val="99"/>
    <w:semiHidden/>
    <w:rPr>
      <w:rFonts w:ascii="Courier" w:hAnsi="Courier"/>
      <w:b/>
      <w:lang w:val="x-none" w:eastAsia="cs-CZ"/>
    </w:rPr>
  </w:style>
  <w:style w:type="character" w:customStyle="1" w:styleId="PredmetkomentraChar1279">
    <w:name w:val="Predmet komentára Char1279"/>
    <w:aliases w:val="Char6 Char Char1280,Predmet komentára Char Char Char1280,Comment Subject Char Char Char1280"/>
    <w:uiPriority w:val="99"/>
    <w:semiHidden/>
    <w:rPr>
      <w:rFonts w:ascii="Courier" w:hAnsi="Courier"/>
      <w:b/>
      <w:lang w:val="x-none" w:eastAsia="cs-CZ"/>
    </w:rPr>
  </w:style>
  <w:style w:type="character" w:customStyle="1" w:styleId="PredmetkomentraChar1278">
    <w:name w:val="Predmet komentára Char1278"/>
    <w:aliases w:val="Char6 Char Char1279,Predmet komentára Char Char Char1279,Comment Subject Char Char Char1279"/>
    <w:uiPriority w:val="99"/>
    <w:semiHidden/>
    <w:rPr>
      <w:rFonts w:ascii="Courier" w:hAnsi="Courier"/>
      <w:b/>
      <w:lang w:val="x-none" w:eastAsia="cs-CZ"/>
    </w:rPr>
  </w:style>
  <w:style w:type="character" w:customStyle="1" w:styleId="PredmetkomentraChar1277">
    <w:name w:val="Predmet komentára Char1277"/>
    <w:aliases w:val="Char6 Char Char1278,Predmet komentára Char Char Char1278,Comment Subject Char Char Char1278"/>
    <w:uiPriority w:val="99"/>
    <w:semiHidden/>
    <w:rPr>
      <w:rFonts w:ascii="Courier" w:hAnsi="Courier"/>
      <w:b/>
      <w:lang w:val="x-none" w:eastAsia="cs-CZ"/>
    </w:rPr>
  </w:style>
  <w:style w:type="character" w:customStyle="1" w:styleId="PredmetkomentraChar1276">
    <w:name w:val="Predmet komentára Char1276"/>
    <w:aliases w:val="Char6 Char Char1277,Predmet komentára Char Char Char1277,Comment Subject Char Char Char1277"/>
    <w:uiPriority w:val="99"/>
    <w:semiHidden/>
    <w:rPr>
      <w:rFonts w:ascii="Courier" w:hAnsi="Courier"/>
      <w:b/>
      <w:lang w:val="x-none" w:eastAsia="cs-CZ"/>
    </w:rPr>
  </w:style>
  <w:style w:type="character" w:customStyle="1" w:styleId="PredmetkomentraChar1275">
    <w:name w:val="Predmet komentára Char1275"/>
    <w:aliases w:val="Char6 Char Char1276,Predmet komentára Char Char Char1276,Comment Subject Char Char Char1276"/>
    <w:uiPriority w:val="99"/>
    <w:semiHidden/>
    <w:rPr>
      <w:rFonts w:ascii="Courier" w:hAnsi="Courier"/>
      <w:b/>
      <w:lang w:val="x-none" w:eastAsia="cs-CZ"/>
    </w:rPr>
  </w:style>
  <w:style w:type="character" w:customStyle="1" w:styleId="PredmetkomentraChar1274">
    <w:name w:val="Predmet komentára Char1274"/>
    <w:aliases w:val="Char6 Char Char1275,Predmet komentára Char Char Char1275,Comment Subject Char Char Char1275"/>
    <w:uiPriority w:val="99"/>
    <w:semiHidden/>
    <w:rPr>
      <w:rFonts w:ascii="Courier" w:hAnsi="Courier"/>
      <w:b/>
      <w:lang w:val="x-none" w:eastAsia="cs-CZ"/>
    </w:rPr>
  </w:style>
  <w:style w:type="character" w:customStyle="1" w:styleId="PredmetkomentraChar1273">
    <w:name w:val="Predmet komentára Char1273"/>
    <w:aliases w:val="Char6 Char Char1274,Predmet komentára Char Char Char1274,Comment Subject Char Char Char1274"/>
    <w:uiPriority w:val="99"/>
    <w:semiHidden/>
    <w:rPr>
      <w:rFonts w:ascii="Courier" w:hAnsi="Courier"/>
      <w:b/>
      <w:lang w:val="x-none" w:eastAsia="cs-CZ"/>
    </w:rPr>
  </w:style>
  <w:style w:type="character" w:customStyle="1" w:styleId="PredmetkomentraChar1272">
    <w:name w:val="Predmet komentára Char1272"/>
    <w:aliases w:val="Char6 Char Char1273,Predmet komentára Char Char Char1273,Comment Subject Char Char Char1273"/>
    <w:uiPriority w:val="99"/>
    <w:semiHidden/>
    <w:rPr>
      <w:rFonts w:ascii="Courier" w:hAnsi="Courier"/>
      <w:b/>
      <w:lang w:val="x-none" w:eastAsia="cs-CZ"/>
    </w:rPr>
  </w:style>
  <w:style w:type="character" w:customStyle="1" w:styleId="PredmetkomentraChar1271">
    <w:name w:val="Predmet komentára Char1271"/>
    <w:aliases w:val="Char6 Char Char1272,Predmet komentára Char Char Char1272,Comment Subject Char Char Char1272"/>
    <w:uiPriority w:val="99"/>
    <w:semiHidden/>
    <w:rPr>
      <w:rFonts w:ascii="Courier" w:hAnsi="Courier"/>
      <w:b/>
      <w:lang w:val="x-none" w:eastAsia="cs-CZ"/>
    </w:rPr>
  </w:style>
  <w:style w:type="character" w:customStyle="1" w:styleId="PredmetkomentraChar1270">
    <w:name w:val="Predmet komentára Char1270"/>
    <w:aliases w:val="Char6 Char Char1271,Predmet komentára Char Char Char1271,Comment Subject Char Char Char1271"/>
    <w:uiPriority w:val="99"/>
    <w:semiHidden/>
    <w:rPr>
      <w:rFonts w:ascii="Courier" w:hAnsi="Courier"/>
      <w:b/>
      <w:lang w:val="x-none" w:eastAsia="cs-CZ"/>
    </w:rPr>
  </w:style>
  <w:style w:type="character" w:customStyle="1" w:styleId="PredmetkomentraChar1269">
    <w:name w:val="Predmet komentára Char1269"/>
    <w:aliases w:val="Char6 Char Char1270,Predmet komentára Char Char Char1270,Comment Subject Char Char Char1270"/>
    <w:uiPriority w:val="99"/>
    <w:semiHidden/>
    <w:rPr>
      <w:rFonts w:ascii="Courier" w:hAnsi="Courier"/>
      <w:b/>
      <w:lang w:val="x-none" w:eastAsia="cs-CZ"/>
    </w:rPr>
  </w:style>
  <w:style w:type="character" w:customStyle="1" w:styleId="PredmetkomentraChar1268">
    <w:name w:val="Predmet komentára Char1268"/>
    <w:aliases w:val="Char6 Char Char1269,Predmet komentára Char Char Char1269,Comment Subject Char Char Char1269"/>
    <w:uiPriority w:val="99"/>
    <w:semiHidden/>
    <w:rPr>
      <w:rFonts w:ascii="Courier" w:hAnsi="Courier"/>
      <w:b/>
      <w:lang w:val="x-none" w:eastAsia="cs-CZ"/>
    </w:rPr>
  </w:style>
  <w:style w:type="character" w:customStyle="1" w:styleId="PredmetkomentraChar1267">
    <w:name w:val="Predmet komentára Char1267"/>
    <w:aliases w:val="Char6 Char Char1268,Predmet komentára Char Char Char1268,Comment Subject Char Char Char1268"/>
    <w:uiPriority w:val="99"/>
    <w:semiHidden/>
    <w:rPr>
      <w:rFonts w:ascii="Courier" w:hAnsi="Courier"/>
      <w:b/>
      <w:lang w:val="x-none" w:eastAsia="cs-CZ"/>
    </w:rPr>
  </w:style>
  <w:style w:type="character" w:customStyle="1" w:styleId="PredmetkomentraChar1266">
    <w:name w:val="Predmet komentára Char1266"/>
    <w:aliases w:val="Char6 Char Char1267,Predmet komentára Char Char Char1267,Comment Subject Char Char Char1267"/>
    <w:uiPriority w:val="99"/>
    <w:semiHidden/>
    <w:rPr>
      <w:rFonts w:ascii="Courier" w:hAnsi="Courier"/>
      <w:b/>
      <w:lang w:val="x-none" w:eastAsia="cs-CZ"/>
    </w:rPr>
  </w:style>
  <w:style w:type="character" w:customStyle="1" w:styleId="PredmetkomentraChar1265">
    <w:name w:val="Predmet komentára Char1265"/>
    <w:aliases w:val="Char6 Char Char1266,Predmet komentára Char Char Char1266,Comment Subject Char Char Char1266"/>
    <w:uiPriority w:val="99"/>
    <w:semiHidden/>
    <w:rPr>
      <w:rFonts w:ascii="Courier" w:hAnsi="Courier"/>
      <w:b/>
      <w:lang w:val="x-none" w:eastAsia="cs-CZ"/>
    </w:rPr>
  </w:style>
  <w:style w:type="character" w:customStyle="1" w:styleId="PredmetkomentraChar1264">
    <w:name w:val="Predmet komentára Char1264"/>
    <w:aliases w:val="Char6 Char Char1265,Predmet komentára Char Char Char1265,Comment Subject Char Char Char1265"/>
    <w:uiPriority w:val="99"/>
    <w:semiHidden/>
    <w:rPr>
      <w:rFonts w:ascii="Courier" w:hAnsi="Courier"/>
      <w:b/>
      <w:lang w:val="x-none" w:eastAsia="cs-CZ"/>
    </w:rPr>
  </w:style>
  <w:style w:type="character" w:customStyle="1" w:styleId="PredmetkomentraChar1263">
    <w:name w:val="Predmet komentára Char1263"/>
    <w:aliases w:val="Char6 Char Char1264,Predmet komentára Char Char Char1264,Comment Subject Char Char Char1264"/>
    <w:uiPriority w:val="99"/>
    <w:semiHidden/>
    <w:rPr>
      <w:rFonts w:ascii="Courier" w:hAnsi="Courier"/>
      <w:b/>
      <w:lang w:val="x-none" w:eastAsia="cs-CZ"/>
    </w:rPr>
  </w:style>
  <w:style w:type="character" w:customStyle="1" w:styleId="PredmetkomentraChar1262">
    <w:name w:val="Predmet komentára Char1262"/>
    <w:aliases w:val="Char6 Char Char1263,Predmet komentára Char Char Char1263,Comment Subject Char Char Char1263"/>
    <w:uiPriority w:val="99"/>
    <w:semiHidden/>
    <w:rPr>
      <w:rFonts w:ascii="Courier" w:hAnsi="Courier"/>
      <w:b/>
      <w:lang w:val="x-none" w:eastAsia="cs-CZ"/>
    </w:rPr>
  </w:style>
  <w:style w:type="character" w:customStyle="1" w:styleId="PredmetkomentraChar1261">
    <w:name w:val="Predmet komentára Char1261"/>
    <w:aliases w:val="Char6 Char Char1262,Predmet komentára Char Char Char1262,Comment Subject Char Char Char1262"/>
    <w:uiPriority w:val="99"/>
    <w:semiHidden/>
    <w:rPr>
      <w:rFonts w:ascii="Courier" w:hAnsi="Courier"/>
      <w:b/>
      <w:lang w:val="x-none" w:eastAsia="cs-CZ"/>
    </w:rPr>
  </w:style>
  <w:style w:type="character" w:customStyle="1" w:styleId="PredmetkomentraChar1260">
    <w:name w:val="Predmet komentára Char1260"/>
    <w:aliases w:val="Char6 Char Char1261,Predmet komentára Char Char Char1261,Comment Subject Char Char Char1261"/>
    <w:uiPriority w:val="99"/>
    <w:semiHidden/>
    <w:rPr>
      <w:rFonts w:ascii="Courier" w:hAnsi="Courier"/>
      <w:b/>
      <w:lang w:val="x-none" w:eastAsia="cs-CZ"/>
    </w:rPr>
  </w:style>
  <w:style w:type="character" w:customStyle="1" w:styleId="PredmetkomentraChar1259">
    <w:name w:val="Predmet komentára Char1259"/>
    <w:aliases w:val="Char6 Char Char1260,Predmet komentára Char Char Char1260,Comment Subject Char Char Char1260"/>
    <w:uiPriority w:val="99"/>
    <w:semiHidden/>
    <w:rPr>
      <w:rFonts w:ascii="Courier" w:hAnsi="Courier"/>
      <w:b/>
      <w:lang w:val="x-none" w:eastAsia="cs-CZ"/>
    </w:rPr>
  </w:style>
  <w:style w:type="character" w:customStyle="1" w:styleId="PredmetkomentraChar1258">
    <w:name w:val="Predmet komentára Char1258"/>
    <w:aliases w:val="Char6 Char Char1259,Predmet komentára Char Char Char1259,Comment Subject Char Char Char1259"/>
    <w:uiPriority w:val="99"/>
    <w:semiHidden/>
    <w:rPr>
      <w:rFonts w:ascii="Courier" w:hAnsi="Courier"/>
      <w:b/>
      <w:lang w:val="x-none" w:eastAsia="cs-CZ"/>
    </w:rPr>
  </w:style>
  <w:style w:type="character" w:customStyle="1" w:styleId="PredmetkomentraChar1257">
    <w:name w:val="Predmet komentára Char1257"/>
    <w:aliases w:val="Char6 Char Char1258,Predmet komentára Char Char Char1258,Comment Subject Char Char Char1258"/>
    <w:uiPriority w:val="99"/>
    <w:semiHidden/>
    <w:rPr>
      <w:rFonts w:ascii="Courier" w:hAnsi="Courier"/>
      <w:b/>
      <w:lang w:val="x-none" w:eastAsia="cs-CZ"/>
    </w:rPr>
  </w:style>
  <w:style w:type="character" w:customStyle="1" w:styleId="PredmetkomentraChar1256">
    <w:name w:val="Predmet komentára Char1256"/>
    <w:aliases w:val="Char6 Char Char1257,Predmet komentára Char Char Char1257,Comment Subject Char Char Char1257"/>
    <w:uiPriority w:val="99"/>
    <w:semiHidden/>
    <w:rPr>
      <w:rFonts w:ascii="Courier" w:hAnsi="Courier"/>
      <w:b/>
      <w:lang w:val="x-none" w:eastAsia="cs-CZ"/>
    </w:rPr>
  </w:style>
  <w:style w:type="character" w:customStyle="1" w:styleId="PredmetkomentraChar1255">
    <w:name w:val="Predmet komentára Char1255"/>
    <w:aliases w:val="Char6 Char Char1256,Predmet komentára Char Char Char1256,Comment Subject Char Char Char1256"/>
    <w:uiPriority w:val="99"/>
    <w:semiHidden/>
    <w:rPr>
      <w:rFonts w:ascii="Courier" w:hAnsi="Courier"/>
      <w:b/>
      <w:lang w:val="x-none" w:eastAsia="cs-CZ"/>
    </w:rPr>
  </w:style>
  <w:style w:type="character" w:customStyle="1" w:styleId="PredmetkomentraChar1254">
    <w:name w:val="Predmet komentára Char1254"/>
    <w:aliases w:val="Char6 Char Char1255,Predmet komentára Char Char Char1255,Comment Subject Char Char Char1255"/>
    <w:uiPriority w:val="99"/>
    <w:semiHidden/>
    <w:rPr>
      <w:rFonts w:ascii="Courier" w:hAnsi="Courier"/>
      <w:b/>
      <w:lang w:val="x-none" w:eastAsia="cs-CZ"/>
    </w:rPr>
  </w:style>
  <w:style w:type="character" w:customStyle="1" w:styleId="PredmetkomentraChar1253">
    <w:name w:val="Predmet komentára Char1253"/>
    <w:aliases w:val="Char6 Char Char1254,Predmet komentára Char Char Char1254,Comment Subject Char Char Char1254"/>
    <w:uiPriority w:val="99"/>
    <w:semiHidden/>
    <w:rPr>
      <w:rFonts w:ascii="Courier" w:hAnsi="Courier"/>
      <w:b/>
      <w:lang w:val="x-none" w:eastAsia="cs-CZ"/>
    </w:rPr>
  </w:style>
  <w:style w:type="character" w:customStyle="1" w:styleId="PredmetkomentraChar1252">
    <w:name w:val="Predmet komentára Char1252"/>
    <w:aliases w:val="Char6 Char Char1253,Predmet komentára Char Char Char1253,Comment Subject Char Char Char1253"/>
    <w:uiPriority w:val="99"/>
    <w:semiHidden/>
    <w:rPr>
      <w:rFonts w:ascii="Courier" w:hAnsi="Courier"/>
      <w:b/>
      <w:lang w:val="x-none" w:eastAsia="cs-CZ"/>
    </w:rPr>
  </w:style>
  <w:style w:type="character" w:customStyle="1" w:styleId="PredmetkomentraChar1251">
    <w:name w:val="Predmet komentára Char1251"/>
    <w:aliases w:val="Char6 Char Char1252,Predmet komentára Char Char Char1252,Comment Subject Char Char Char1252"/>
    <w:uiPriority w:val="99"/>
    <w:semiHidden/>
    <w:rPr>
      <w:rFonts w:ascii="Courier" w:hAnsi="Courier"/>
      <w:b/>
      <w:lang w:val="x-none" w:eastAsia="cs-CZ"/>
    </w:rPr>
  </w:style>
  <w:style w:type="character" w:customStyle="1" w:styleId="PredmetkomentraChar1250">
    <w:name w:val="Predmet komentára Char1250"/>
    <w:aliases w:val="Char6 Char Char1251,Predmet komentára Char Char Char1251,Comment Subject Char Char Char1251"/>
    <w:uiPriority w:val="99"/>
    <w:semiHidden/>
    <w:rPr>
      <w:rFonts w:ascii="Courier" w:hAnsi="Courier"/>
      <w:b/>
      <w:lang w:val="x-none" w:eastAsia="cs-CZ"/>
    </w:rPr>
  </w:style>
  <w:style w:type="character" w:customStyle="1" w:styleId="PredmetkomentraChar1249">
    <w:name w:val="Predmet komentára Char1249"/>
    <w:aliases w:val="Char6 Char Char1250,Predmet komentára Char Char Char1250,Comment Subject Char Char Char1250"/>
    <w:uiPriority w:val="99"/>
    <w:semiHidden/>
    <w:rPr>
      <w:rFonts w:ascii="Courier" w:hAnsi="Courier"/>
      <w:b/>
      <w:lang w:val="x-none" w:eastAsia="cs-CZ"/>
    </w:rPr>
  </w:style>
  <w:style w:type="character" w:customStyle="1" w:styleId="PredmetkomentraChar1248">
    <w:name w:val="Predmet komentára Char1248"/>
    <w:aliases w:val="Char6 Char Char1249,Predmet komentára Char Char Char1249,Comment Subject Char Char Char1249"/>
    <w:uiPriority w:val="99"/>
    <w:semiHidden/>
    <w:rPr>
      <w:rFonts w:ascii="Courier" w:hAnsi="Courier"/>
      <w:b/>
      <w:lang w:val="x-none" w:eastAsia="cs-CZ"/>
    </w:rPr>
  </w:style>
  <w:style w:type="character" w:customStyle="1" w:styleId="PredmetkomentraChar1247">
    <w:name w:val="Predmet komentára Char1247"/>
    <w:aliases w:val="Char6 Char Char1248,Predmet komentára Char Char Char1248,Comment Subject Char Char Char1248"/>
    <w:uiPriority w:val="99"/>
    <w:semiHidden/>
    <w:rPr>
      <w:rFonts w:ascii="Courier" w:hAnsi="Courier"/>
      <w:b/>
      <w:lang w:val="x-none" w:eastAsia="cs-CZ"/>
    </w:rPr>
  </w:style>
  <w:style w:type="character" w:customStyle="1" w:styleId="PredmetkomentraChar1246">
    <w:name w:val="Predmet komentára Char1246"/>
    <w:aliases w:val="Char6 Char Char1247,Predmet komentára Char Char Char1247,Comment Subject Char Char Char1247"/>
    <w:uiPriority w:val="99"/>
    <w:semiHidden/>
    <w:rPr>
      <w:rFonts w:ascii="Courier" w:hAnsi="Courier"/>
      <w:b/>
      <w:lang w:val="x-none" w:eastAsia="cs-CZ"/>
    </w:rPr>
  </w:style>
  <w:style w:type="character" w:customStyle="1" w:styleId="PredmetkomentraChar1245">
    <w:name w:val="Predmet komentára Char1245"/>
    <w:aliases w:val="Char6 Char Char1246,Predmet komentára Char Char Char1246,Comment Subject Char Char Char1246"/>
    <w:uiPriority w:val="99"/>
    <w:semiHidden/>
    <w:rPr>
      <w:rFonts w:ascii="Courier" w:hAnsi="Courier"/>
      <w:b/>
      <w:lang w:val="x-none" w:eastAsia="cs-CZ"/>
    </w:rPr>
  </w:style>
  <w:style w:type="character" w:customStyle="1" w:styleId="PredmetkomentraChar1244">
    <w:name w:val="Predmet komentára Char1244"/>
    <w:aliases w:val="Char6 Char Char1245,Predmet komentára Char Char Char1245,Comment Subject Char Char Char1245"/>
    <w:uiPriority w:val="99"/>
    <w:semiHidden/>
    <w:rPr>
      <w:rFonts w:ascii="Courier" w:hAnsi="Courier"/>
      <w:b/>
      <w:lang w:val="x-none" w:eastAsia="cs-CZ"/>
    </w:rPr>
  </w:style>
  <w:style w:type="character" w:customStyle="1" w:styleId="PredmetkomentraChar1243">
    <w:name w:val="Predmet komentára Char1243"/>
    <w:aliases w:val="Char6 Char Char1244,Predmet komentára Char Char Char1244,Comment Subject Char Char Char1244"/>
    <w:uiPriority w:val="99"/>
    <w:semiHidden/>
    <w:rPr>
      <w:rFonts w:ascii="Courier" w:hAnsi="Courier"/>
      <w:b/>
      <w:lang w:val="x-none" w:eastAsia="cs-CZ"/>
    </w:rPr>
  </w:style>
  <w:style w:type="character" w:customStyle="1" w:styleId="PredmetkomentraChar1242">
    <w:name w:val="Predmet komentára Char1242"/>
    <w:aliases w:val="Char6 Char Char1243,Predmet komentára Char Char Char1243,Comment Subject Char Char Char1243"/>
    <w:uiPriority w:val="99"/>
    <w:semiHidden/>
    <w:rPr>
      <w:rFonts w:ascii="Courier" w:hAnsi="Courier"/>
      <w:b/>
      <w:lang w:val="x-none" w:eastAsia="cs-CZ"/>
    </w:rPr>
  </w:style>
  <w:style w:type="character" w:customStyle="1" w:styleId="PredmetkomentraChar1241">
    <w:name w:val="Predmet komentára Char1241"/>
    <w:aliases w:val="Char6 Char Char1242,Predmet komentára Char Char Char1242,Comment Subject Char Char Char1242"/>
    <w:uiPriority w:val="99"/>
    <w:semiHidden/>
    <w:rPr>
      <w:rFonts w:ascii="Courier" w:hAnsi="Courier"/>
      <w:b/>
      <w:lang w:val="x-none" w:eastAsia="cs-CZ"/>
    </w:rPr>
  </w:style>
  <w:style w:type="character" w:customStyle="1" w:styleId="PredmetkomentraChar1240">
    <w:name w:val="Predmet komentára Char1240"/>
    <w:aliases w:val="Char6 Char Char1241,Predmet komentára Char Char Char1241,Comment Subject Char Char Char1241"/>
    <w:uiPriority w:val="99"/>
    <w:semiHidden/>
    <w:rPr>
      <w:rFonts w:ascii="Courier" w:hAnsi="Courier"/>
      <w:b/>
      <w:lang w:val="x-none" w:eastAsia="cs-CZ"/>
    </w:rPr>
  </w:style>
  <w:style w:type="character" w:customStyle="1" w:styleId="PredmetkomentraChar1239">
    <w:name w:val="Predmet komentára Char1239"/>
    <w:aliases w:val="Char6 Char Char1240,Predmet komentára Char Char Char1240,Comment Subject Char Char Char1240"/>
    <w:uiPriority w:val="99"/>
    <w:semiHidden/>
    <w:rPr>
      <w:rFonts w:ascii="Courier" w:hAnsi="Courier"/>
      <w:b/>
      <w:lang w:val="x-none" w:eastAsia="cs-CZ"/>
    </w:rPr>
  </w:style>
  <w:style w:type="character" w:customStyle="1" w:styleId="PredmetkomentraChar1238">
    <w:name w:val="Predmet komentára Char1238"/>
    <w:aliases w:val="Char6 Char Char1239,Predmet komentára Char Char Char1239,Comment Subject Char Char Char1239"/>
    <w:uiPriority w:val="99"/>
    <w:semiHidden/>
    <w:rPr>
      <w:rFonts w:ascii="Courier" w:hAnsi="Courier"/>
      <w:b/>
      <w:lang w:val="x-none" w:eastAsia="cs-CZ"/>
    </w:rPr>
  </w:style>
  <w:style w:type="character" w:customStyle="1" w:styleId="PredmetkomentraChar1237">
    <w:name w:val="Predmet komentára Char1237"/>
    <w:aliases w:val="Char6 Char Char1238,Predmet komentára Char Char Char1238,Comment Subject Char Char Char1238"/>
    <w:uiPriority w:val="99"/>
    <w:semiHidden/>
    <w:rPr>
      <w:rFonts w:ascii="Courier" w:hAnsi="Courier"/>
      <w:b/>
      <w:lang w:val="x-none" w:eastAsia="cs-CZ"/>
    </w:rPr>
  </w:style>
  <w:style w:type="character" w:customStyle="1" w:styleId="PredmetkomentraChar1236">
    <w:name w:val="Predmet komentára Char1236"/>
    <w:aliases w:val="Char6 Char Char1237,Predmet komentára Char Char Char1237,Comment Subject Char Char Char1237"/>
    <w:uiPriority w:val="99"/>
    <w:semiHidden/>
    <w:rPr>
      <w:rFonts w:ascii="Courier" w:hAnsi="Courier"/>
      <w:b/>
      <w:lang w:val="x-none" w:eastAsia="cs-CZ"/>
    </w:rPr>
  </w:style>
  <w:style w:type="character" w:customStyle="1" w:styleId="PredmetkomentraChar1235">
    <w:name w:val="Predmet komentára Char1235"/>
    <w:aliases w:val="Char6 Char Char1236,Predmet komentára Char Char Char1236,Comment Subject Char Char Char1236"/>
    <w:uiPriority w:val="99"/>
    <w:semiHidden/>
    <w:rPr>
      <w:rFonts w:ascii="Courier" w:hAnsi="Courier"/>
      <w:b/>
      <w:lang w:val="x-none" w:eastAsia="cs-CZ"/>
    </w:rPr>
  </w:style>
  <w:style w:type="character" w:customStyle="1" w:styleId="PredmetkomentraChar1234">
    <w:name w:val="Predmet komentára Char1234"/>
    <w:aliases w:val="Char6 Char Char1235,Predmet komentára Char Char Char1235,Comment Subject Char Char Char1235"/>
    <w:uiPriority w:val="99"/>
    <w:semiHidden/>
    <w:rPr>
      <w:rFonts w:ascii="Courier" w:hAnsi="Courier"/>
      <w:b/>
      <w:lang w:val="x-none" w:eastAsia="cs-CZ"/>
    </w:rPr>
  </w:style>
  <w:style w:type="character" w:customStyle="1" w:styleId="PredmetkomentraChar1233">
    <w:name w:val="Predmet komentára Char1233"/>
    <w:aliases w:val="Char6 Char Char1234,Predmet komentára Char Char Char1234,Comment Subject Char Char Char1234"/>
    <w:uiPriority w:val="99"/>
    <w:semiHidden/>
    <w:rPr>
      <w:rFonts w:ascii="Courier" w:hAnsi="Courier"/>
      <w:b/>
      <w:lang w:val="x-none" w:eastAsia="cs-CZ"/>
    </w:rPr>
  </w:style>
  <w:style w:type="character" w:customStyle="1" w:styleId="PredmetkomentraChar1232">
    <w:name w:val="Predmet komentára Char1232"/>
    <w:aliases w:val="Char6 Char Char1233,Predmet komentára Char Char Char1233,Comment Subject Char Char Char1233"/>
    <w:uiPriority w:val="99"/>
    <w:semiHidden/>
    <w:rPr>
      <w:rFonts w:ascii="Courier" w:hAnsi="Courier"/>
      <w:b/>
      <w:lang w:val="x-none" w:eastAsia="cs-CZ"/>
    </w:rPr>
  </w:style>
  <w:style w:type="character" w:customStyle="1" w:styleId="PredmetkomentraChar1231">
    <w:name w:val="Predmet komentára Char1231"/>
    <w:aliases w:val="Char6 Char Char1232,Predmet komentára Char Char Char1232,Comment Subject Char Char Char1232"/>
    <w:uiPriority w:val="99"/>
    <w:semiHidden/>
    <w:rPr>
      <w:rFonts w:ascii="Courier" w:hAnsi="Courier"/>
      <w:b/>
      <w:lang w:val="x-none" w:eastAsia="cs-CZ"/>
    </w:rPr>
  </w:style>
  <w:style w:type="character" w:customStyle="1" w:styleId="PredmetkomentraChar1230">
    <w:name w:val="Predmet komentára Char1230"/>
    <w:aliases w:val="Char6 Char Char1231,Predmet komentára Char Char Char1231,Comment Subject Char Char Char1231"/>
    <w:uiPriority w:val="99"/>
    <w:semiHidden/>
    <w:rPr>
      <w:rFonts w:ascii="Courier" w:hAnsi="Courier"/>
      <w:b/>
      <w:lang w:val="x-none" w:eastAsia="cs-CZ"/>
    </w:rPr>
  </w:style>
  <w:style w:type="character" w:customStyle="1" w:styleId="PredmetkomentraChar1229">
    <w:name w:val="Predmet komentára Char1229"/>
    <w:aliases w:val="Char6 Char Char1230,Predmet komentára Char Char Char1230,Comment Subject Char Char Char1230"/>
    <w:uiPriority w:val="99"/>
    <w:semiHidden/>
    <w:rPr>
      <w:rFonts w:ascii="Courier" w:hAnsi="Courier"/>
      <w:b/>
      <w:lang w:val="x-none" w:eastAsia="cs-CZ"/>
    </w:rPr>
  </w:style>
  <w:style w:type="character" w:customStyle="1" w:styleId="PredmetkomentraChar1228">
    <w:name w:val="Predmet komentára Char1228"/>
    <w:aliases w:val="Char6 Char Char1229,Predmet komentára Char Char Char1229,Comment Subject Char Char Char1229"/>
    <w:uiPriority w:val="99"/>
    <w:semiHidden/>
    <w:rPr>
      <w:rFonts w:ascii="Courier" w:hAnsi="Courier"/>
      <w:b/>
      <w:lang w:val="x-none" w:eastAsia="cs-CZ"/>
    </w:rPr>
  </w:style>
  <w:style w:type="character" w:customStyle="1" w:styleId="PredmetkomentraChar1227">
    <w:name w:val="Predmet komentára Char1227"/>
    <w:aliases w:val="Char6 Char Char1228,Predmet komentára Char Char Char1228,Comment Subject Char Char Char1228"/>
    <w:uiPriority w:val="99"/>
    <w:semiHidden/>
    <w:rPr>
      <w:rFonts w:ascii="Courier" w:hAnsi="Courier"/>
      <w:b/>
      <w:lang w:val="x-none" w:eastAsia="cs-CZ"/>
    </w:rPr>
  </w:style>
  <w:style w:type="character" w:customStyle="1" w:styleId="PredmetkomentraChar1226">
    <w:name w:val="Predmet komentára Char1226"/>
    <w:aliases w:val="Char6 Char Char1227,Predmet komentára Char Char Char1227,Comment Subject Char Char Char1227"/>
    <w:uiPriority w:val="99"/>
    <w:semiHidden/>
    <w:rPr>
      <w:rFonts w:ascii="Courier" w:hAnsi="Courier"/>
      <w:b/>
      <w:lang w:val="x-none" w:eastAsia="cs-CZ"/>
    </w:rPr>
  </w:style>
  <w:style w:type="character" w:customStyle="1" w:styleId="PredmetkomentraChar1225">
    <w:name w:val="Predmet komentára Char1225"/>
    <w:aliases w:val="Char6 Char Char1226,Predmet komentára Char Char Char1226,Comment Subject Char Char Char1226"/>
    <w:uiPriority w:val="99"/>
    <w:semiHidden/>
    <w:rPr>
      <w:rFonts w:ascii="Courier" w:hAnsi="Courier"/>
      <w:b/>
      <w:lang w:val="x-none" w:eastAsia="cs-CZ"/>
    </w:rPr>
  </w:style>
  <w:style w:type="character" w:customStyle="1" w:styleId="PredmetkomentraChar1224">
    <w:name w:val="Predmet komentára Char1224"/>
    <w:aliases w:val="Char6 Char Char1225,Predmet komentára Char Char Char1225,Comment Subject Char Char Char1225"/>
    <w:uiPriority w:val="99"/>
    <w:semiHidden/>
    <w:rPr>
      <w:rFonts w:ascii="Courier" w:hAnsi="Courier"/>
      <w:b/>
      <w:lang w:val="x-none" w:eastAsia="cs-CZ"/>
    </w:rPr>
  </w:style>
  <w:style w:type="character" w:customStyle="1" w:styleId="PredmetkomentraChar1223">
    <w:name w:val="Predmet komentára Char1223"/>
    <w:aliases w:val="Char6 Char Char1224,Predmet komentára Char Char Char1224,Comment Subject Char Char Char1224"/>
    <w:uiPriority w:val="99"/>
    <w:semiHidden/>
    <w:rPr>
      <w:rFonts w:ascii="Courier" w:hAnsi="Courier"/>
      <w:b/>
      <w:lang w:val="x-none" w:eastAsia="cs-CZ"/>
    </w:rPr>
  </w:style>
  <w:style w:type="character" w:customStyle="1" w:styleId="PredmetkomentraChar1222">
    <w:name w:val="Predmet komentára Char1222"/>
    <w:aliases w:val="Char6 Char Char1223,Predmet komentára Char Char Char1223,Comment Subject Char Char Char1223"/>
    <w:uiPriority w:val="99"/>
    <w:semiHidden/>
    <w:rPr>
      <w:rFonts w:ascii="Courier" w:hAnsi="Courier"/>
      <w:b/>
      <w:lang w:val="x-none" w:eastAsia="cs-CZ"/>
    </w:rPr>
  </w:style>
  <w:style w:type="character" w:customStyle="1" w:styleId="PredmetkomentraChar1221">
    <w:name w:val="Predmet komentára Char1221"/>
    <w:aliases w:val="Char6 Char Char1222,Predmet komentára Char Char Char1222,Comment Subject Char Char Char1222"/>
    <w:uiPriority w:val="99"/>
    <w:semiHidden/>
    <w:rPr>
      <w:rFonts w:ascii="Courier" w:hAnsi="Courier"/>
      <w:b/>
      <w:lang w:val="x-none" w:eastAsia="cs-CZ"/>
    </w:rPr>
  </w:style>
  <w:style w:type="character" w:customStyle="1" w:styleId="PredmetkomentraChar1220">
    <w:name w:val="Predmet komentára Char1220"/>
    <w:aliases w:val="Char6 Char Char1221,Predmet komentára Char Char Char1221,Comment Subject Char Char Char1221"/>
    <w:uiPriority w:val="99"/>
    <w:semiHidden/>
    <w:rPr>
      <w:rFonts w:ascii="Courier" w:hAnsi="Courier"/>
      <w:b/>
      <w:lang w:val="x-none" w:eastAsia="cs-CZ"/>
    </w:rPr>
  </w:style>
  <w:style w:type="character" w:customStyle="1" w:styleId="PredmetkomentraChar1219">
    <w:name w:val="Predmet komentára Char1219"/>
    <w:aliases w:val="Char6 Char Char1220,Predmet komentára Char Char Char1220,Comment Subject Char Char Char1220"/>
    <w:uiPriority w:val="99"/>
    <w:semiHidden/>
    <w:rPr>
      <w:rFonts w:ascii="Courier" w:hAnsi="Courier"/>
      <w:b/>
      <w:lang w:val="x-none" w:eastAsia="cs-CZ"/>
    </w:rPr>
  </w:style>
  <w:style w:type="character" w:customStyle="1" w:styleId="PredmetkomentraChar1218">
    <w:name w:val="Predmet komentára Char1218"/>
    <w:aliases w:val="Char6 Char Char1219,Predmet komentára Char Char Char1219,Comment Subject Char Char Char1219"/>
    <w:uiPriority w:val="99"/>
    <w:semiHidden/>
    <w:rPr>
      <w:rFonts w:ascii="Courier" w:hAnsi="Courier"/>
      <w:b/>
      <w:lang w:val="x-none" w:eastAsia="cs-CZ"/>
    </w:rPr>
  </w:style>
  <w:style w:type="character" w:customStyle="1" w:styleId="PredmetkomentraChar1217">
    <w:name w:val="Predmet komentára Char1217"/>
    <w:aliases w:val="Char6 Char Char1218,Predmet komentára Char Char Char1218,Comment Subject Char Char Char1218"/>
    <w:uiPriority w:val="99"/>
    <w:semiHidden/>
    <w:rPr>
      <w:rFonts w:ascii="Courier" w:hAnsi="Courier"/>
      <w:b/>
      <w:lang w:val="x-none" w:eastAsia="cs-CZ"/>
    </w:rPr>
  </w:style>
  <w:style w:type="character" w:customStyle="1" w:styleId="PredmetkomentraChar1216">
    <w:name w:val="Predmet komentára Char1216"/>
    <w:aliases w:val="Char6 Char Char1217,Predmet komentára Char Char Char1217,Comment Subject Char Char Char1217"/>
    <w:uiPriority w:val="99"/>
    <w:semiHidden/>
    <w:rPr>
      <w:rFonts w:ascii="Courier" w:hAnsi="Courier"/>
      <w:b/>
      <w:lang w:val="x-none" w:eastAsia="cs-CZ"/>
    </w:rPr>
  </w:style>
  <w:style w:type="character" w:customStyle="1" w:styleId="PredmetkomentraChar1215">
    <w:name w:val="Predmet komentára Char1215"/>
    <w:aliases w:val="Char6 Char Char1216,Predmet komentára Char Char Char1216,Comment Subject Char Char Char1216"/>
    <w:uiPriority w:val="99"/>
    <w:semiHidden/>
    <w:rPr>
      <w:rFonts w:ascii="Courier" w:hAnsi="Courier"/>
      <w:b/>
      <w:lang w:val="x-none" w:eastAsia="cs-CZ"/>
    </w:rPr>
  </w:style>
  <w:style w:type="character" w:customStyle="1" w:styleId="PredmetkomentraChar1214">
    <w:name w:val="Predmet komentára Char1214"/>
    <w:aliases w:val="Char6 Char Char1215,Predmet komentára Char Char Char1215,Comment Subject Char Char Char1215"/>
    <w:uiPriority w:val="99"/>
    <w:semiHidden/>
    <w:rPr>
      <w:rFonts w:ascii="Courier" w:hAnsi="Courier"/>
      <w:b/>
      <w:lang w:val="x-none" w:eastAsia="cs-CZ"/>
    </w:rPr>
  </w:style>
  <w:style w:type="character" w:customStyle="1" w:styleId="PredmetkomentraChar1213">
    <w:name w:val="Predmet komentára Char1213"/>
    <w:aliases w:val="Char6 Char Char1214,Predmet komentára Char Char Char1214,Comment Subject Char Char Char1214"/>
    <w:uiPriority w:val="99"/>
    <w:semiHidden/>
    <w:rPr>
      <w:rFonts w:ascii="Courier" w:hAnsi="Courier"/>
      <w:b/>
      <w:lang w:val="x-none" w:eastAsia="cs-CZ"/>
    </w:rPr>
  </w:style>
  <w:style w:type="character" w:customStyle="1" w:styleId="PredmetkomentraChar1212">
    <w:name w:val="Predmet komentára Char1212"/>
    <w:aliases w:val="Char6 Char Char1213,Predmet komentára Char Char Char1213,Comment Subject Char Char Char1213"/>
    <w:uiPriority w:val="99"/>
    <w:semiHidden/>
    <w:rPr>
      <w:rFonts w:ascii="Courier" w:hAnsi="Courier"/>
      <w:b/>
      <w:lang w:val="x-none" w:eastAsia="cs-CZ"/>
    </w:rPr>
  </w:style>
  <w:style w:type="character" w:customStyle="1" w:styleId="PredmetkomentraChar1211">
    <w:name w:val="Predmet komentára Char1211"/>
    <w:aliases w:val="Char6 Char Char1212,Predmet komentára Char Char Char1212,Comment Subject Char Char Char1212"/>
    <w:uiPriority w:val="99"/>
    <w:semiHidden/>
    <w:rPr>
      <w:rFonts w:ascii="Courier" w:hAnsi="Courier"/>
      <w:b/>
      <w:lang w:val="x-none" w:eastAsia="cs-CZ"/>
    </w:rPr>
  </w:style>
  <w:style w:type="character" w:customStyle="1" w:styleId="PredmetkomentraChar1210">
    <w:name w:val="Predmet komentára Char1210"/>
    <w:aliases w:val="Char6 Char Char1211,Predmet komentára Char Char Char1211,Comment Subject Char Char Char1211"/>
    <w:uiPriority w:val="99"/>
    <w:semiHidden/>
    <w:rPr>
      <w:rFonts w:ascii="Courier" w:hAnsi="Courier"/>
      <w:b/>
      <w:lang w:val="x-none" w:eastAsia="cs-CZ"/>
    </w:rPr>
  </w:style>
  <w:style w:type="character" w:customStyle="1" w:styleId="PredmetkomentraChar1209">
    <w:name w:val="Predmet komentára Char1209"/>
    <w:aliases w:val="Char6 Char Char1210,Predmet komentára Char Char Char1210,Comment Subject Char Char Char1210"/>
    <w:uiPriority w:val="99"/>
    <w:semiHidden/>
    <w:rPr>
      <w:rFonts w:ascii="Courier" w:hAnsi="Courier"/>
      <w:b/>
      <w:lang w:val="x-none" w:eastAsia="cs-CZ"/>
    </w:rPr>
  </w:style>
  <w:style w:type="character" w:customStyle="1" w:styleId="PredmetkomentraChar1208">
    <w:name w:val="Predmet komentára Char1208"/>
    <w:aliases w:val="Char6 Char Char1209,Predmet komentára Char Char Char1209,Comment Subject Char Char Char1209"/>
    <w:uiPriority w:val="99"/>
    <w:semiHidden/>
    <w:rPr>
      <w:rFonts w:ascii="Courier" w:hAnsi="Courier"/>
      <w:b/>
      <w:lang w:val="x-none" w:eastAsia="cs-CZ"/>
    </w:rPr>
  </w:style>
  <w:style w:type="character" w:customStyle="1" w:styleId="PredmetkomentraChar1207">
    <w:name w:val="Predmet komentára Char1207"/>
    <w:aliases w:val="Char6 Char Char1208,Predmet komentára Char Char Char1208,Comment Subject Char Char Char1208"/>
    <w:uiPriority w:val="99"/>
    <w:semiHidden/>
    <w:rPr>
      <w:rFonts w:ascii="Courier" w:hAnsi="Courier"/>
      <w:b/>
      <w:lang w:val="x-none" w:eastAsia="cs-CZ"/>
    </w:rPr>
  </w:style>
  <w:style w:type="character" w:customStyle="1" w:styleId="PredmetkomentraChar1206">
    <w:name w:val="Predmet komentára Char1206"/>
    <w:aliases w:val="Char6 Char Char1207,Predmet komentára Char Char Char1207,Comment Subject Char Char Char1207"/>
    <w:uiPriority w:val="99"/>
    <w:semiHidden/>
    <w:rPr>
      <w:rFonts w:ascii="Courier" w:hAnsi="Courier"/>
      <w:b/>
      <w:lang w:val="x-none" w:eastAsia="cs-CZ"/>
    </w:rPr>
  </w:style>
  <w:style w:type="character" w:customStyle="1" w:styleId="PredmetkomentraChar1205">
    <w:name w:val="Predmet komentára Char1205"/>
    <w:aliases w:val="Char6 Char Char1206,Predmet komentára Char Char Char1206,Comment Subject Char Char Char1206"/>
    <w:uiPriority w:val="99"/>
    <w:semiHidden/>
    <w:rPr>
      <w:rFonts w:ascii="Courier" w:hAnsi="Courier"/>
      <w:b/>
      <w:lang w:val="x-none" w:eastAsia="cs-CZ"/>
    </w:rPr>
  </w:style>
  <w:style w:type="character" w:customStyle="1" w:styleId="PredmetkomentraChar1204">
    <w:name w:val="Predmet komentára Char1204"/>
    <w:aliases w:val="Char6 Char Char1205,Predmet komentára Char Char Char1205,Comment Subject Char Char Char1205"/>
    <w:uiPriority w:val="99"/>
    <w:semiHidden/>
    <w:rPr>
      <w:rFonts w:ascii="Courier" w:hAnsi="Courier"/>
      <w:b/>
      <w:lang w:val="x-none" w:eastAsia="cs-CZ"/>
    </w:rPr>
  </w:style>
  <w:style w:type="character" w:customStyle="1" w:styleId="PredmetkomentraChar1203">
    <w:name w:val="Predmet komentára Char1203"/>
    <w:aliases w:val="Char6 Char Char1204,Predmet komentára Char Char Char1204,Comment Subject Char Char Char1204"/>
    <w:uiPriority w:val="99"/>
    <w:semiHidden/>
    <w:rPr>
      <w:rFonts w:ascii="Courier" w:hAnsi="Courier"/>
      <w:b/>
      <w:lang w:val="x-none" w:eastAsia="cs-CZ"/>
    </w:rPr>
  </w:style>
  <w:style w:type="character" w:customStyle="1" w:styleId="PredmetkomentraChar1202">
    <w:name w:val="Predmet komentára Char1202"/>
    <w:aliases w:val="Char6 Char Char1203,Predmet komentára Char Char Char1203,Comment Subject Char Char Char1203"/>
    <w:uiPriority w:val="99"/>
    <w:semiHidden/>
    <w:rPr>
      <w:rFonts w:ascii="Courier" w:hAnsi="Courier"/>
      <w:b/>
      <w:lang w:val="x-none" w:eastAsia="cs-CZ"/>
    </w:rPr>
  </w:style>
  <w:style w:type="character" w:customStyle="1" w:styleId="PredmetkomentraChar1201">
    <w:name w:val="Predmet komentára Char1201"/>
    <w:aliases w:val="Char6 Char Char1202,Predmet komentára Char Char Char1202,Comment Subject Char Char Char1202"/>
    <w:uiPriority w:val="99"/>
    <w:semiHidden/>
    <w:rPr>
      <w:rFonts w:ascii="Courier" w:hAnsi="Courier"/>
      <w:b/>
      <w:lang w:val="x-none" w:eastAsia="cs-CZ"/>
    </w:rPr>
  </w:style>
  <w:style w:type="character" w:customStyle="1" w:styleId="PredmetkomentraChar1200">
    <w:name w:val="Predmet komentára Char1200"/>
    <w:aliases w:val="Char6 Char Char1201,Predmet komentára Char Char Char1201,Comment Subject Char Char Char1201"/>
    <w:uiPriority w:val="99"/>
    <w:semiHidden/>
    <w:rPr>
      <w:rFonts w:ascii="Courier" w:hAnsi="Courier"/>
      <w:b/>
      <w:lang w:val="x-none" w:eastAsia="cs-CZ"/>
    </w:rPr>
  </w:style>
  <w:style w:type="character" w:customStyle="1" w:styleId="PredmetkomentraChar1199">
    <w:name w:val="Predmet komentára Char1199"/>
    <w:aliases w:val="Char6 Char Char1200,Predmet komentára Char Char Char1200,Comment Subject Char Char Char1200"/>
    <w:uiPriority w:val="99"/>
    <w:semiHidden/>
    <w:rPr>
      <w:rFonts w:ascii="Courier" w:hAnsi="Courier"/>
      <w:b/>
      <w:lang w:val="x-none" w:eastAsia="cs-CZ"/>
    </w:rPr>
  </w:style>
  <w:style w:type="character" w:customStyle="1" w:styleId="PredmetkomentraChar1198">
    <w:name w:val="Predmet komentára Char1198"/>
    <w:aliases w:val="Char6 Char Char1199,Predmet komentára Char Char Char1199,Comment Subject Char Char Char1199"/>
    <w:uiPriority w:val="99"/>
    <w:semiHidden/>
    <w:rPr>
      <w:rFonts w:ascii="Courier" w:hAnsi="Courier"/>
      <w:b/>
      <w:lang w:val="x-none" w:eastAsia="cs-CZ"/>
    </w:rPr>
  </w:style>
  <w:style w:type="character" w:customStyle="1" w:styleId="PredmetkomentraChar1197">
    <w:name w:val="Predmet komentára Char1197"/>
    <w:aliases w:val="Char6 Char Char1198,Predmet komentára Char Char Char1198,Comment Subject Char Char Char1198"/>
    <w:uiPriority w:val="99"/>
    <w:semiHidden/>
    <w:rPr>
      <w:rFonts w:ascii="Courier" w:hAnsi="Courier"/>
      <w:b/>
      <w:lang w:val="x-none" w:eastAsia="cs-CZ"/>
    </w:rPr>
  </w:style>
  <w:style w:type="character" w:customStyle="1" w:styleId="PredmetkomentraChar1196">
    <w:name w:val="Predmet komentára Char1196"/>
    <w:aliases w:val="Char6 Char Char1197,Predmet komentára Char Char Char1197,Comment Subject Char Char Char1197"/>
    <w:uiPriority w:val="99"/>
    <w:semiHidden/>
    <w:rPr>
      <w:rFonts w:ascii="Courier" w:hAnsi="Courier"/>
      <w:b/>
      <w:lang w:val="x-none" w:eastAsia="cs-CZ"/>
    </w:rPr>
  </w:style>
  <w:style w:type="character" w:customStyle="1" w:styleId="PredmetkomentraChar1195">
    <w:name w:val="Predmet komentára Char1195"/>
    <w:aliases w:val="Char6 Char Char1196,Predmet komentára Char Char Char1196,Comment Subject Char Char Char1196"/>
    <w:uiPriority w:val="99"/>
    <w:semiHidden/>
    <w:rPr>
      <w:rFonts w:ascii="Courier" w:hAnsi="Courier"/>
      <w:b/>
      <w:lang w:val="x-none" w:eastAsia="cs-CZ"/>
    </w:rPr>
  </w:style>
  <w:style w:type="character" w:customStyle="1" w:styleId="PredmetkomentraChar1194">
    <w:name w:val="Predmet komentára Char1194"/>
    <w:aliases w:val="Char6 Char Char1195,Predmet komentára Char Char Char1195,Comment Subject Char Char Char1195"/>
    <w:uiPriority w:val="99"/>
    <w:semiHidden/>
    <w:rPr>
      <w:rFonts w:ascii="Courier" w:hAnsi="Courier"/>
      <w:b/>
      <w:lang w:val="x-none" w:eastAsia="cs-CZ"/>
    </w:rPr>
  </w:style>
  <w:style w:type="character" w:customStyle="1" w:styleId="PredmetkomentraChar1193">
    <w:name w:val="Predmet komentára Char1193"/>
    <w:aliases w:val="Char6 Char Char1194,Predmet komentára Char Char Char1194,Comment Subject Char Char Char1194"/>
    <w:uiPriority w:val="99"/>
    <w:semiHidden/>
    <w:rPr>
      <w:rFonts w:ascii="Courier" w:hAnsi="Courier"/>
      <w:b/>
      <w:lang w:val="x-none" w:eastAsia="cs-CZ"/>
    </w:rPr>
  </w:style>
  <w:style w:type="character" w:customStyle="1" w:styleId="PredmetkomentraChar1192">
    <w:name w:val="Predmet komentára Char1192"/>
    <w:aliases w:val="Char6 Char Char1193,Predmet komentára Char Char Char1193,Comment Subject Char Char Char1193"/>
    <w:uiPriority w:val="99"/>
    <w:semiHidden/>
    <w:rPr>
      <w:rFonts w:ascii="Courier" w:hAnsi="Courier"/>
      <w:b/>
      <w:lang w:val="x-none" w:eastAsia="cs-CZ"/>
    </w:rPr>
  </w:style>
  <w:style w:type="character" w:customStyle="1" w:styleId="PredmetkomentraChar1191">
    <w:name w:val="Predmet komentára Char1191"/>
    <w:aliases w:val="Char6 Char Char1192,Predmet komentára Char Char Char1192,Comment Subject Char Char Char1192"/>
    <w:uiPriority w:val="99"/>
    <w:semiHidden/>
    <w:rPr>
      <w:rFonts w:ascii="Courier" w:hAnsi="Courier"/>
      <w:b/>
      <w:lang w:val="x-none" w:eastAsia="cs-CZ"/>
    </w:rPr>
  </w:style>
  <w:style w:type="character" w:customStyle="1" w:styleId="PredmetkomentraChar1190">
    <w:name w:val="Predmet komentára Char1190"/>
    <w:aliases w:val="Char6 Char Char1191,Predmet komentára Char Char Char1191,Comment Subject Char Char Char1191"/>
    <w:uiPriority w:val="99"/>
    <w:semiHidden/>
    <w:rPr>
      <w:rFonts w:ascii="Courier" w:hAnsi="Courier"/>
      <w:b/>
      <w:lang w:val="x-none" w:eastAsia="cs-CZ"/>
    </w:rPr>
  </w:style>
  <w:style w:type="character" w:customStyle="1" w:styleId="PredmetkomentraChar1189">
    <w:name w:val="Predmet komentára Char1189"/>
    <w:aliases w:val="Char6 Char Char1190,Predmet komentára Char Char Char1190,Comment Subject Char Char Char1190"/>
    <w:uiPriority w:val="99"/>
    <w:semiHidden/>
    <w:rPr>
      <w:rFonts w:ascii="Courier" w:hAnsi="Courier"/>
      <w:b/>
      <w:lang w:val="x-none" w:eastAsia="cs-CZ"/>
    </w:rPr>
  </w:style>
  <w:style w:type="character" w:customStyle="1" w:styleId="PredmetkomentraChar1188">
    <w:name w:val="Predmet komentára Char1188"/>
    <w:aliases w:val="Char6 Char Char1189,Predmet komentára Char Char Char1189,Comment Subject Char Char Char1189"/>
    <w:uiPriority w:val="99"/>
    <w:semiHidden/>
    <w:rPr>
      <w:rFonts w:ascii="Courier" w:hAnsi="Courier"/>
      <w:b/>
      <w:lang w:val="x-none" w:eastAsia="cs-CZ"/>
    </w:rPr>
  </w:style>
  <w:style w:type="character" w:customStyle="1" w:styleId="PredmetkomentraChar1187">
    <w:name w:val="Predmet komentára Char1187"/>
    <w:aliases w:val="Char6 Char Char1188,Predmet komentára Char Char Char1188,Comment Subject Char Char Char1188"/>
    <w:uiPriority w:val="99"/>
    <w:semiHidden/>
    <w:rPr>
      <w:rFonts w:ascii="Courier" w:hAnsi="Courier"/>
      <w:b/>
      <w:lang w:val="x-none" w:eastAsia="cs-CZ"/>
    </w:rPr>
  </w:style>
  <w:style w:type="character" w:customStyle="1" w:styleId="PredmetkomentraChar1186">
    <w:name w:val="Predmet komentára Char1186"/>
    <w:aliases w:val="Char6 Char Char1187,Predmet komentára Char Char Char1187,Comment Subject Char Char Char1187"/>
    <w:uiPriority w:val="99"/>
    <w:semiHidden/>
    <w:rPr>
      <w:rFonts w:ascii="Courier" w:hAnsi="Courier"/>
      <w:b/>
      <w:lang w:val="x-none" w:eastAsia="cs-CZ"/>
    </w:rPr>
  </w:style>
  <w:style w:type="character" w:customStyle="1" w:styleId="PredmetkomentraChar1185">
    <w:name w:val="Predmet komentára Char1185"/>
    <w:aliases w:val="Char6 Char Char1186,Predmet komentára Char Char Char1186,Comment Subject Char Char Char1186"/>
    <w:uiPriority w:val="99"/>
    <w:semiHidden/>
    <w:rPr>
      <w:rFonts w:ascii="Courier" w:hAnsi="Courier"/>
      <w:b/>
      <w:lang w:val="x-none" w:eastAsia="cs-CZ"/>
    </w:rPr>
  </w:style>
  <w:style w:type="character" w:customStyle="1" w:styleId="PredmetkomentraChar1184">
    <w:name w:val="Predmet komentára Char1184"/>
    <w:aliases w:val="Char6 Char Char1185,Predmet komentára Char Char Char1185,Comment Subject Char Char Char1185"/>
    <w:uiPriority w:val="99"/>
    <w:semiHidden/>
    <w:rPr>
      <w:rFonts w:ascii="Courier" w:hAnsi="Courier"/>
      <w:b/>
      <w:lang w:val="x-none" w:eastAsia="cs-CZ"/>
    </w:rPr>
  </w:style>
  <w:style w:type="character" w:customStyle="1" w:styleId="PredmetkomentraChar1183">
    <w:name w:val="Predmet komentára Char1183"/>
    <w:aliases w:val="Char6 Char Char1184,Predmet komentára Char Char Char1184,Comment Subject Char Char Char1184"/>
    <w:uiPriority w:val="99"/>
    <w:semiHidden/>
    <w:rPr>
      <w:rFonts w:ascii="Courier" w:hAnsi="Courier"/>
      <w:b/>
      <w:lang w:val="x-none" w:eastAsia="cs-CZ"/>
    </w:rPr>
  </w:style>
  <w:style w:type="character" w:customStyle="1" w:styleId="PredmetkomentraChar1182">
    <w:name w:val="Predmet komentára Char1182"/>
    <w:aliases w:val="Char6 Char Char1183,Predmet komentára Char Char Char1183,Comment Subject Char Char Char1183"/>
    <w:uiPriority w:val="99"/>
    <w:semiHidden/>
    <w:rPr>
      <w:rFonts w:ascii="Courier" w:hAnsi="Courier"/>
      <w:b/>
      <w:lang w:val="x-none" w:eastAsia="cs-CZ"/>
    </w:rPr>
  </w:style>
  <w:style w:type="character" w:customStyle="1" w:styleId="PredmetkomentraChar1181">
    <w:name w:val="Predmet komentára Char1181"/>
    <w:aliases w:val="Char6 Char Char1182,Predmet komentára Char Char Char1182,Comment Subject Char Char Char1182"/>
    <w:uiPriority w:val="99"/>
    <w:semiHidden/>
    <w:rPr>
      <w:rFonts w:ascii="Courier" w:hAnsi="Courier"/>
      <w:b/>
      <w:lang w:val="x-none" w:eastAsia="cs-CZ"/>
    </w:rPr>
  </w:style>
  <w:style w:type="character" w:customStyle="1" w:styleId="PredmetkomentraChar1180">
    <w:name w:val="Predmet komentára Char1180"/>
    <w:aliases w:val="Char6 Char Char1181,Predmet komentára Char Char Char1181,Comment Subject Char Char Char1181"/>
    <w:uiPriority w:val="99"/>
    <w:semiHidden/>
    <w:rPr>
      <w:rFonts w:ascii="Courier" w:hAnsi="Courier"/>
      <w:b/>
      <w:lang w:val="x-none" w:eastAsia="cs-CZ"/>
    </w:rPr>
  </w:style>
  <w:style w:type="character" w:customStyle="1" w:styleId="PredmetkomentraChar1179">
    <w:name w:val="Predmet komentára Char1179"/>
    <w:aliases w:val="Char6 Char Char1180,Predmet komentára Char Char Char1180,Comment Subject Char Char Char1180"/>
    <w:uiPriority w:val="99"/>
    <w:semiHidden/>
    <w:rPr>
      <w:rFonts w:ascii="Courier" w:hAnsi="Courier"/>
      <w:b/>
      <w:lang w:val="x-none" w:eastAsia="cs-CZ"/>
    </w:rPr>
  </w:style>
  <w:style w:type="character" w:customStyle="1" w:styleId="PredmetkomentraChar1178">
    <w:name w:val="Predmet komentára Char1178"/>
    <w:aliases w:val="Char6 Char Char1179,Predmet komentára Char Char Char1179,Comment Subject Char Char Char1179"/>
    <w:uiPriority w:val="99"/>
    <w:semiHidden/>
    <w:rPr>
      <w:rFonts w:ascii="Courier" w:hAnsi="Courier"/>
      <w:b/>
      <w:lang w:val="x-none" w:eastAsia="cs-CZ"/>
    </w:rPr>
  </w:style>
  <w:style w:type="character" w:customStyle="1" w:styleId="PredmetkomentraChar1177">
    <w:name w:val="Predmet komentára Char1177"/>
    <w:aliases w:val="Char6 Char Char1178,Predmet komentára Char Char Char1178,Comment Subject Char Char Char1178"/>
    <w:uiPriority w:val="99"/>
    <w:semiHidden/>
    <w:rPr>
      <w:rFonts w:ascii="Courier" w:hAnsi="Courier"/>
      <w:b/>
      <w:lang w:val="x-none" w:eastAsia="cs-CZ"/>
    </w:rPr>
  </w:style>
  <w:style w:type="character" w:customStyle="1" w:styleId="PredmetkomentraChar1176">
    <w:name w:val="Predmet komentára Char1176"/>
    <w:aliases w:val="Char6 Char Char1177,Predmet komentára Char Char Char1177,Comment Subject Char Char Char1177"/>
    <w:uiPriority w:val="99"/>
    <w:semiHidden/>
    <w:rPr>
      <w:rFonts w:ascii="Courier" w:hAnsi="Courier"/>
      <w:b/>
      <w:lang w:val="x-none" w:eastAsia="cs-CZ"/>
    </w:rPr>
  </w:style>
  <w:style w:type="character" w:customStyle="1" w:styleId="PredmetkomentraChar1175">
    <w:name w:val="Predmet komentára Char1175"/>
    <w:aliases w:val="Char6 Char Char1176,Predmet komentára Char Char Char1176,Comment Subject Char Char Char1176"/>
    <w:uiPriority w:val="99"/>
    <w:semiHidden/>
    <w:rPr>
      <w:rFonts w:ascii="Courier" w:hAnsi="Courier"/>
      <w:b/>
      <w:lang w:val="x-none" w:eastAsia="cs-CZ"/>
    </w:rPr>
  </w:style>
  <w:style w:type="character" w:customStyle="1" w:styleId="PredmetkomentraChar1174">
    <w:name w:val="Predmet komentára Char1174"/>
    <w:aliases w:val="Char6 Char Char1175,Predmet komentára Char Char Char1175,Comment Subject Char Char Char1175"/>
    <w:uiPriority w:val="99"/>
    <w:semiHidden/>
    <w:rPr>
      <w:rFonts w:ascii="Courier" w:hAnsi="Courier"/>
      <w:b/>
      <w:lang w:val="x-none" w:eastAsia="cs-CZ"/>
    </w:rPr>
  </w:style>
  <w:style w:type="character" w:customStyle="1" w:styleId="PredmetkomentraChar1173">
    <w:name w:val="Predmet komentára Char1173"/>
    <w:aliases w:val="Char6 Char Char1174,Predmet komentára Char Char Char1174,Comment Subject Char Char Char1174"/>
    <w:uiPriority w:val="99"/>
    <w:semiHidden/>
    <w:rPr>
      <w:rFonts w:ascii="Courier" w:hAnsi="Courier"/>
      <w:b/>
      <w:lang w:val="x-none" w:eastAsia="cs-CZ"/>
    </w:rPr>
  </w:style>
  <w:style w:type="character" w:customStyle="1" w:styleId="PredmetkomentraChar1172">
    <w:name w:val="Predmet komentára Char1172"/>
    <w:aliases w:val="Char6 Char Char1173,Predmet komentára Char Char Char1173,Comment Subject Char Char Char1173"/>
    <w:uiPriority w:val="99"/>
    <w:semiHidden/>
    <w:rPr>
      <w:rFonts w:ascii="Courier" w:hAnsi="Courier"/>
      <w:b/>
      <w:lang w:val="x-none" w:eastAsia="cs-CZ"/>
    </w:rPr>
  </w:style>
  <w:style w:type="character" w:customStyle="1" w:styleId="PredmetkomentraChar1171">
    <w:name w:val="Predmet komentára Char1171"/>
    <w:aliases w:val="Char6 Char Char1172,Predmet komentára Char Char Char1172,Comment Subject Char Char Char1172"/>
    <w:uiPriority w:val="99"/>
    <w:semiHidden/>
    <w:rPr>
      <w:rFonts w:ascii="Courier" w:hAnsi="Courier"/>
      <w:b/>
      <w:lang w:val="x-none" w:eastAsia="cs-CZ"/>
    </w:rPr>
  </w:style>
  <w:style w:type="character" w:customStyle="1" w:styleId="PredmetkomentraChar1165">
    <w:name w:val="Predmet komentára Char1165"/>
    <w:aliases w:val="Char6 Char Char1166,Predmet komentára Char Char Char1166,Comment Subject Char Char Char1166"/>
    <w:uiPriority w:val="99"/>
    <w:semiHidden/>
    <w:rPr>
      <w:rFonts w:ascii="Courier" w:hAnsi="Courier"/>
      <w:b/>
      <w:lang w:val="x-none" w:eastAsia="cs-CZ"/>
    </w:rPr>
  </w:style>
  <w:style w:type="character" w:customStyle="1" w:styleId="PredmetkomentraChar1164">
    <w:name w:val="Predmet komentára Char1164"/>
    <w:aliases w:val="Char6 Char Char1165,Predmet komentára Char Char Char1165,Comment Subject Char Char Char1165"/>
    <w:uiPriority w:val="99"/>
    <w:semiHidden/>
    <w:rPr>
      <w:rFonts w:ascii="Courier" w:hAnsi="Courier"/>
      <w:b/>
      <w:lang w:val="x-none" w:eastAsia="cs-CZ"/>
    </w:rPr>
  </w:style>
  <w:style w:type="character" w:customStyle="1" w:styleId="PredmetkomentraChar1163">
    <w:name w:val="Predmet komentára Char1163"/>
    <w:aliases w:val="Char6 Char Char1164,Predmet komentára Char Char Char1164,Comment Subject Char Char Char1164"/>
    <w:uiPriority w:val="99"/>
    <w:semiHidden/>
    <w:rPr>
      <w:rFonts w:ascii="Courier" w:hAnsi="Courier"/>
      <w:b/>
      <w:lang w:val="x-none" w:eastAsia="cs-CZ"/>
    </w:rPr>
  </w:style>
  <w:style w:type="character" w:customStyle="1" w:styleId="PredmetkomentraChar1162">
    <w:name w:val="Predmet komentára Char1162"/>
    <w:aliases w:val="Char6 Char Char1163,Predmet komentára Char Char Char1163,Comment Subject Char Char Char1163"/>
    <w:uiPriority w:val="99"/>
    <w:semiHidden/>
    <w:rPr>
      <w:rFonts w:ascii="Courier" w:hAnsi="Courier"/>
      <w:b/>
      <w:lang w:val="x-none" w:eastAsia="cs-CZ"/>
    </w:rPr>
  </w:style>
  <w:style w:type="character" w:customStyle="1" w:styleId="PredmetkomentraChar1161">
    <w:name w:val="Predmet komentára Char1161"/>
    <w:aliases w:val="Char6 Char Char1162,Predmet komentára Char Char Char1162,Comment Subject Char Char Char1162"/>
    <w:uiPriority w:val="99"/>
    <w:semiHidden/>
    <w:rPr>
      <w:rFonts w:ascii="Courier" w:hAnsi="Courier"/>
      <w:b/>
      <w:lang w:val="x-none" w:eastAsia="cs-CZ"/>
    </w:rPr>
  </w:style>
  <w:style w:type="character" w:customStyle="1" w:styleId="PredmetkomentraChar1160">
    <w:name w:val="Predmet komentára Char1160"/>
    <w:aliases w:val="Char6 Char Char1161,Predmet komentára Char Char Char1161,Comment Subject Char Char Char1161"/>
    <w:uiPriority w:val="99"/>
    <w:semiHidden/>
    <w:rPr>
      <w:rFonts w:ascii="Courier" w:hAnsi="Courier"/>
      <w:b/>
      <w:lang w:val="x-none" w:eastAsia="cs-CZ"/>
    </w:rPr>
  </w:style>
  <w:style w:type="character" w:customStyle="1" w:styleId="PredmetkomentraChar1159">
    <w:name w:val="Predmet komentára Char1159"/>
    <w:aliases w:val="Char6 Char Char1160,Predmet komentára Char Char Char1160,Comment Subject Char Char Char1160"/>
    <w:uiPriority w:val="99"/>
    <w:semiHidden/>
    <w:rPr>
      <w:rFonts w:ascii="Courier" w:hAnsi="Courier"/>
      <w:b/>
      <w:lang w:val="x-none" w:eastAsia="cs-CZ"/>
    </w:rPr>
  </w:style>
  <w:style w:type="character" w:customStyle="1" w:styleId="PredmetkomentraChar1158">
    <w:name w:val="Predmet komentára Char1158"/>
    <w:aliases w:val="Char6 Char Char1159,Predmet komentára Char Char Char1159,Comment Subject Char Char Char1159"/>
    <w:uiPriority w:val="99"/>
    <w:semiHidden/>
    <w:rPr>
      <w:rFonts w:ascii="Courier" w:hAnsi="Courier"/>
      <w:b/>
      <w:lang w:val="x-none" w:eastAsia="cs-CZ"/>
    </w:rPr>
  </w:style>
  <w:style w:type="character" w:customStyle="1" w:styleId="PredmetkomentraChar1157">
    <w:name w:val="Predmet komentára Char1157"/>
    <w:aliases w:val="Char6 Char Char1158,Predmet komentára Char Char Char1158,Comment Subject Char Char Char1158"/>
    <w:uiPriority w:val="99"/>
    <w:semiHidden/>
    <w:rPr>
      <w:rFonts w:ascii="Courier" w:hAnsi="Courier"/>
      <w:b/>
      <w:lang w:val="x-none" w:eastAsia="cs-CZ"/>
    </w:rPr>
  </w:style>
  <w:style w:type="character" w:customStyle="1" w:styleId="PredmetkomentraChar1156">
    <w:name w:val="Predmet komentára Char1156"/>
    <w:aliases w:val="Char6 Char Char1157,Predmet komentára Char Char Char1157,Comment Subject Char Char Char1157"/>
    <w:uiPriority w:val="99"/>
    <w:semiHidden/>
    <w:rPr>
      <w:rFonts w:ascii="Courier" w:hAnsi="Courier"/>
      <w:b/>
      <w:lang w:val="x-none" w:eastAsia="cs-CZ"/>
    </w:rPr>
  </w:style>
  <w:style w:type="character" w:customStyle="1" w:styleId="PredmetkomentraChar1155">
    <w:name w:val="Predmet komentára Char1155"/>
    <w:aliases w:val="Char6 Char Char1156,Predmet komentára Char Char Char1156,Comment Subject Char Char Char1156"/>
    <w:uiPriority w:val="99"/>
    <w:semiHidden/>
    <w:rPr>
      <w:rFonts w:ascii="Courier" w:hAnsi="Courier"/>
      <w:b/>
      <w:lang w:val="x-none" w:eastAsia="cs-CZ"/>
    </w:rPr>
  </w:style>
  <w:style w:type="character" w:customStyle="1" w:styleId="PredmetkomentraChar1154">
    <w:name w:val="Predmet komentára Char1154"/>
    <w:aliases w:val="Char6 Char Char1155,Predmet komentára Char Char Char1155,Comment Subject Char Char Char1155"/>
    <w:uiPriority w:val="99"/>
    <w:semiHidden/>
    <w:rPr>
      <w:rFonts w:ascii="Courier" w:hAnsi="Courier"/>
      <w:b/>
      <w:lang w:val="x-none" w:eastAsia="cs-CZ"/>
    </w:rPr>
  </w:style>
  <w:style w:type="character" w:customStyle="1" w:styleId="PredmetkomentraChar1153">
    <w:name w:val="Predmet komentára Char1153"/>
    <w:aliases w:val="Char6 Char Char1154,Predmet komentára Char Char Char1154,Comment Subject Char Char Char1154"/>
    <w:uiPriority w:val="99"/>
    <w:semiHidden/>
    <w:rPr>
      <w:rFonts w:ascii="Courier" w:hAnsi="Courier"/>
      <w:b/>
      <w:lang w:val="x-none" w:eastAsia="cs-CZ"/>
    </w:rPr>
  </w:style>
  <w:style w:type="character" w:customStyle="1" w:styleId="PredmetkomentraChar1152">
    <w:name w:val="Predmet komentára Char1152"/>
    <w:aliases w:val="Char6 Char Char1153,Predmet komentára Char Char Char1153,Comment Subject Char Char Char1153"/>
    <w:uiPriority w:val="99"/>
    <w:semiHidden/>
    <w:rPr>
      <w:rFonts w:ascii="Courier" w:hAnsi="Courier"/>
      <w:b/>
      <w:lang w:val="x-none" w:eastAsia="cs-CZ"/>
    </w:rPr>
  </w:style>
  <w:style w:type="character" w:customStyle="1" w:styleId="PredmetkomentraChar1151">
    <w:name w:val="Predmet komentára Char1151"/>
    <w:aliases w:val="Char6 Char Char1152,Predmet komentára Char Char Char1152,Comment Subject Char Char Char1152"/>
    <w:uiPriority w:val="99"/>
    <w:semiHidden/>
    <w:rPr>
      <w:rFonts w:ascii="Courier" w:hAnsi="Courier"/>
      <w:b/>
      <w:lang w:val="x-none" w:eastAsia="cs-CZ"/>
    </w:rPr>
  </w:style>
  <w:style w:type="character" w:customStyle="1" w:styleId="PredmetkomentraChar1150">
    <w:name w:val="Predmet komentára Char1150"/>
    <w:aliases w:val="Char6 Char Char1151,Predmet komentára Char Char Char1151,Comment Subject Char Char Char1151"/>
    <w:uiPriority w:val="99"/>
    <w:semiHidden/>
    <w:rPr>
      <w:rFonts w:ascii="Courier" w:hAnsi="Courier"/>
      <w:b/>
      <w:lang w:val="x-none" w:eastAsia="cs-CZ"/>
    </w:rPr>
  </w:style>
  <w:style w:type="character" w:customStyle="1" w:styleId="PredmetkomentraChar1149">
    <w:name w:val="Predmet komentára Char1149"/>
    <w:aliases w:val="Char6 Char Char1150,Predmet komentára Char Char Char1150,Comment Subject Char Char Char1150"/>
    <w:uiPriority w:val="99"/>
    <w:semiHidden/>
    <w:rPr>
      <w:rFonts w:ascii="Courier" w:hAnsi="Courier"/>
      <w:b/>
      <w:lang w:val="x-none" w:eastAsia="cs-CZ"/>
    </w:rPr>
  </w:style>
  <w:style w:type="character" w:customStyle="1" w:styleId="PredmetkomentraChar1148">
    <w:name w:val="Predmet komentára Char1148"/>
    <w:aliases w:val="Char6 Char Char1149,Predmet komentára Char Char Char1149,Comment Subject Char Char Char1149"/>
    <w:uiPriority w:val="99"/>
    <w:semiHidden/>
    <w:rPr>
      <w:rFonts w:ascii="Courier" w:hAnsi="Courier"/>
      <w:b/>
      <w:lang w:val="x-none" w:eastAsia="cs-CZ"/>
    </w:rPr>
  </w:style>
  <w:style w:type="character" w:customStyle="1" w:styleId="PredmetkomentraChar1147">
    <w:name w:val="Predmet komentára Char1147"/>
    <w:aliases w:val="Char6 Char Char1148,Predmet komentára Char Char Char1148,Comment Subject Char Char Char1148"/>
    <w:uiPriority w:val="99"/>
    <w:semiHidden/>
    <w:rPr>
      <w:rFonts w:ascii="Courier" w:hAnsi="Courier"/>
      <w:b/>
      <w:lang w:val="x-none" w:eastAsia="cs-CZ"/>
    </w:rPr>
  </w:style>
  <w:style w:type="character" w:customStyle="1" w:styleId="PredmetkomentraChar1146">
    <w:name w:val="Predmet komentára Char1146"/>
    <w:aliases w:val="Char6 Char Char1147,Predmet komentára Char Char Char1147,Comment Subject Char Char Char1147"/>
    <w:uiPriority w:val="99"/>
    <w:semiHidden/>
    <w:rPr>
      <w:rFonts w:ascii="Courier" w:hAnsi="Courier"/>
      <w:b/>
      <w:lang w:val="x-none" w:eastAsia="cs-CZ"/>
    </w:rPr>
  </w:style>
  <w:style w:type="character" w:customStyle="1" w:styleId="PredmetkomentraChar1145">
    <w:name w:val="Predmet komentára Char1145"/>
    <w:aliases w:val="Char6 Char Char1146,Predmet komentára Char Char Char1146,Comment Subject Char Char Char1146"/>
    <w:uiPriority w:val="99"/>
    <w:semiHidden/>
    <w:rPr>
      <w:rFonts w:ascii="Courier" w:hAnsi="Courier"/>
      <w:b/>
      <w:lang w:val="x-none" w:eastAsia="cs-CZ"/>
    </w:rPr>
  </w:style>
  <w:style w:type="character" w:customStyle="1" w:styleId="PredmetkomentraChar1144">
    <w:name w:val="Predmet komentára Char1144"/>
    <w:aliases w:val="Char6 Char Char1145,Predmet komentára Char Char Char1145,Comment Subject Char Char Char1145"/>
    <w:uiPriority w:val="99"/>
    <w:semiHidden/>
    <w:rPr>
      <w:rFonts w:ascii="Courier" w:hAnsi="Courier"/>
      <w:b/>
      <w:lang w:val="x-none" w:eastAsia="cs-CZ"/>
    </w:rPr>
  </w:style>
  <w:style w:type="character" w:customStyle="1" w:styleId="PredmetkomentraChar1143">
    <w:name w:val="Predmet komentára Char1143"/>
    <w:aliases w:val="Char6 Char Char1144,Predmet komentára Char Char Char1144,Comment Subject Char Char Char1144"/>
    <w:uiPriority w:val="99"/>
    <w:semiHidden/>
    <w:rPr>
      <w:rFonts w:ascii="Courier" w:hAnsi="Courier"/>
      <w:b/>
      <w:lang w:val="x-none" w:eastAsia="cs-CZ"/>
    </w:rPr>
  </w:style>
  <w:style w:type="character" w:customStyle="1" w:styleId="PredmetkomentraChar1142">
    <w:name w:val="Predmet komentára Char1142"/>
    <w:aliases w:val="Char6 Char Char1143,Predmet komentára Char Char Char1143,Comment Subject Char Char Char1143"/>
    <w:uiPriority w:val="99"/>
    <w:semiHidden/>
    <w:rPr>
      <w:rFonts w:ascii="Courier" w:hAnsi="Courier"/>
      <w:b/>
      <w:lang w:val="x-none" w:eastAsia="cs-CZ"/>
    </w:rPr>
  </w:style>
  <w:style w:type="character" w:customStyle="1" w:styleId="PredmetkomentraChar1141">
    <w:name w:val="Predmet komentára Char1141"/>
    <w:aliases w:val="Char6 Char Char1142,Predmet komentára Char Char Char1142,Comment Subject Char Char Char1142"/>
    <w:uiPriority w:val="99"/>
    <w:semiHidden/>
    <w:rPr>
      <w:rFonts w:ascii="Courier" w:hAnsi="Courier"/>
      <w:b/>
      <w:lang w:val="x-none" w:eastAsia="cs-CZ"/>
    </w:rPr>
  </w:style>
  <w:style w:type="character" w:customStyle="1" w:styleId="PredmetkomentraChar1140">
    <w:name w:val="Predmet komentára Char1140"/>
    <w:aliases w:val="Char6 Char Char1141,Predmet komentára Char Char Char1141,Comment Subject Char Char Char1141"/>
    <w:uiPriority w:val="99"/>
    <w:semiHidden/>
    <w:rPr>
      <w:rFonts w:ascii="Courier" w:hAnsi="Courier"/>
      <w:b/>
      <w:lang w:val="x-none" w:eastAsia="cs-CZ"/>
    </w:rPr>
  </w:style>
  <w:style w:type="character" w:customStyle="1" w:styleId="PredmetkomentraChar1139">
    <w:name w:val="Predmet komentára Char1139"/>
    <w:aliases w:val="Char6 Char Char1140,Predmet komentára Char Char Char1140,Comment Subject Char Char Char1140"/>
    <w:uiPriority w:val="99"/>
    <w:semiHidden/>
    <w:rPr>
      <w:rFonts w:ascii="Courier" w:hAnsi="Courier"/>
      <w:b/>
      <w:lang w:val="x-none" w:eastAsia="cs-CZ"/>
    </w:rPr>
  </w:style>
  <w:style w:type="character" w:customStyle="1" w:styleId="PredmetkomentraChar1138">
    <w:name w:val="Predmet komentára Char1138"/>
    <w:aliases w:val="Char6 Char Char1139,Predmet komentára Char Char Char1139,Comment Subject Char Char Char1139"/>
    <w:uiPriority w:val="99"/>
    <w:semiHidden/>
    <w:rPr>
      <w:rFonts w:ascii="Courier" w:hAnsi="Courier"/>
      <w:b/>
      <w:lang w:val="x-none" w:eastAsia="cs-CZ"/>
    </w:rPr>
  </w:style>
  <w:style w:type="character" w:customStyle="1" w:styleId="PredmetkomentraChar1137">
    <w:name w:val="Predmet komentára Char1137"/>
    <w:aliases w:val="Char6 Char Char1138,Predmet komentára Char Char Char1138,Comment Subject Char Char Char1138"/>
    <w:uiPriority w:val="99"/>
    <w:semiHidden/>
    <w:rPr>
      <w:rFonts w:ascii="Courier" w:hAnsi="Courier"/>
      <w:b/>
      <w:lang w:val="x-none" w:eastAsia="cs-CZ"/>
    </w:rPr>
  </w:style>
  <w:style w:type="character" w:customStyle="1" w:styleId="PredmetkomentraChar1136">
    <w:name w:val="Predmet komentára Char1136"/>
    <w:aliases w:val="Char6 Char Char1137,Predmet komentára Char Char Char1137,Comment Subject Char Char Char1137"/>
    <w:uiPriority w:val="99"/>
    <w:semiHidden/>
    <w:rPr>
      <w:rFonts w:ascii="Courier" w:hAnsi="Courier"/>
      <w:b/>
      <w:lang w:val="x-none" w:eastAsia="cs-CZ"/>
    </w:rPr>
  </w:style>
  <w:style w:type="character" w:customStyle="1" w:styleId="PredmetkomentraChar1135">
    <w:name w:val="Predmet komentára Char1135"/>
    <w:aliases w:val="Char6 Char Char1136,Predmet komentára Char Char Char1136,Comment Subject Char Char Char1136"/>
    <w:uiPriority w:val="99"/>
    <w:semiHidden/>
    <w:rPr>
      <w:rFonts w:ascii="Courier" w:hAnsi="Courier"/>
      <w:b/>
      <w:lang w:val="x-none" w:eastAsia="cs-CZ"/>
    </w:rPr>
  </w:style>
  <w:style w:type="character" w:customStyle="1" w:styleId="PredmetkomentraChar1134">
    <w:name w:val="Predmet komentára Char1134"/>
    <w:aliases w:val="Char6 Char Char1135,Predmet komentára Char Char Char1135,Comment Subject Char Char Char1135"/>
    <w:uiPriority w:val="99"/>
    <w:semiHidden/>
    <w:rPr>
      <w:rFonts w:ascii="Courier" w:hAnsi="Courier"/>
      <w:b/>
      <w:lang w:val="x-none" w:eastAsia="cs-CZ"/>
    </w:rPr>
  </w:style>
  <w:style w:type="character" w:customStyle="1" w:styleId="PredmetkomentraChar1133">
    <w:name w:val="Predmet komentára Char1133"/>
    <w:aliases w:val="Char6 Char Char1134,Predmet komentára Char Char Char1134,Comment Subject Char Char Char1134"/>
    <w:uiPriority w:val="99"/>
    <w:semiHidden/>
    <w:rPr>
      <w:rFonts w:ascii="Courier" w:hAnsi="Courier"/>
      <w:b/>
      <w:lang w:val="x-none" w:eastAsia="cs-CZ"/>
    </w:rPr>
  </w:style>
  <w:style w:type="character" w:customStyle="1" w:styleId="PredmetkomentraChar1132">
    <w:name w:val="Predmet komentára Char1132"/>
    <w:aliases w:val="Char6 Char Char1133,Predmet komentára Char Char Char1133,Comment Subject Char Char Char1133"/>
    <w:uiPriority w:val="99"/>
    <w:semiHidden/>
    <w:rPr>
      <w:rFonts w:ascii="Courier" w:hAnsi="Courier"/>
      <w:b/>
      <w:lang w:val="x-none" w:eastAsia="cs-CZ"/>
    </w:rPr>
  </w:style>
  <w:style w:type="character" w:customStyle="1" w:styleId="PredmetkomentraChar1131">
    <w:name w:val="Predmet komentára Char1131"/>
    <w:aliases w:val="Char6 Char Char1132,Predmet komentára Char Char Char1132,Comment Subject Char Char Char1132"/>
    <w:uiPriority w:val="99"/>
    <w:semiHidden/>
    <w:rPr>
      <w:rFonts w:ascii="Courier" w:hAnsi="Courier"/>
      <w:b/>
      <w:lang w:val="x-none" w:eastAsia="cs-CZ"/>
    </w:rPr>
  </w:style>
  <w:style w:type="character" w:customStyle="1" w:styleId="PredmetkomentraChar1130">
    <w:name w:val="Predmet komentára Char1130"/>
    <w:aliases w:val="Char6 Char Char1131,Predmet komentára Char Char Char1131,Comment Subject Char Char Char1131"/>
    <w:uiPriority w:val="99"/>
    <w:semiHidden/>
    <w:rPr>
      <w:rFonts w:ascii="Courier" w:hAnsi="Courier"/>
      <w:b/>
      <w:lang w:val="x-none" w:eastAsia="cs-CZ"/>
    </w:rPr>
  </w:style>
  <w:style w:type="character" w:customStyle="1" w:styleId="PredmetkomentraChar1129">
    <w:name w:val="Predmet komentára Char1129"/>
    <w:aliases w:val="Char6 Char Char1130,Predmet komentára Char Char Char1130,Comment Subject Char Char Char1130"/>
    <w:uiPriority w:val="99"/>
    <w:semiHidden/>
    <w:rPr>
      <w:rFonts w:ascii="Courier" w:hAnsi="Courier"/>
      <w:b/>
      <w:lang w:val="x-none" w:eastAsia="cs-CZ"/>
    </w:rPr>
  </w:style>
  <w:style w:type="character" w:customStyle="1" w:styleId="PredmetkomentraChar1128">
    <w:name w:val="Predmet komentára Char1128"/>
    <w:aliases w:val="Char6 Char Char1129,Predmet komentára Char Char Char1129,Comment Subject Char Char Char1129"/>
    <w:uiPriority w:val="99"/>
    <w:semiHidden/>
    <w:rPr>
      <w:rFonts w:ascii="Courier" w:hAnsi="Courier"/>
      <w:b/>
      <w:lang w:val="x-none" w:eastAsia="cs-CZ"/>
    </w:rPr>
  </w:style>
  <w:style w:type="character" w:customStyle="1" w:styleId="PredmetkomentraChar1127">
    <w:name w:val="Predmet komentára Char1127"/>
    <w:aliases w:val="Char6 Char Char1128,Predmet komentára Char Char Char1128,Comment Subject Char Char Char1128"/>
    <w:uiPriority w:val="99"/>
    <w:semiHidden/>
    <w:rPr>
      <w:rFonts w:ascii="Courier" w:hAnsi="Courier"/>
      <w:b/>
      <w:lang w:val="x-none" w:eastAsia="cs-CZ"/>
    </w:rPr>
  </w:style>
  <w:style w:type="character" w:customStyle="1" w:styleId="PredmetkomentraChar1126">
    <w:name w:val="Predmet komentára Char1126"/>
    <w:aliases w:val="Char6 Char Char1127,Predmet komentára Char Char Char1127,Comment Subject Char Char Char1127"/>
    <w:uiPriority w:val="99"/>
    <w:semiHidden/>
    <w:rPr>
      <w:rFonts w:ascii="Courier" w:hAnsi="Courier"/>
      <w:b/>
      <w:lang w:val="x-none" w:eastAsia="cs-CZ"/>
    </w:rPr>
  </w:style>
  <w:style w:type="character" w:customStyle="1" w:styleId="PredmetkomentraChar1125">
    <w:name w:val="Predmet komentára Char1125"/>
    <w:aliases w:val="Char6 Char Char1126,Predmet komentára Char Char Char1126,Comment Subject Char Char Char1126"/>
    <w:uiPriority w:val="99"/>
    <w:semiHidden/>
    <w:rPr>
      <w:rFonts w:ascii="Courier" w:hAnsi="Courier"/>
      <w:b/>
      <w:lang w:val="x-none" w:eastAsia="cs-CZ"/>
    </w:rPr>
  </w:style>
  <w:style w:type="character" w:customStyle="1" w:styleId="PredmetkomentraChar1124">
    <w:name w:val="Predmet komentára Char1124"/>
    <w:aliases w:val="Char6 Char Char1125,Predmet komentára Char Char Char1125,Comment Subject Char Char Char1125"/>
    <w:uiPriority w:val="99"/>
    <w:semiHidden/>
    <w:rPr>
      <w:rFonts w:ascii="Courier" w:hAnsi="Courier"/>
      <w:b/>
      <w:lang w:val="x-none" w:eastAsia="cs-CZ"/>
    </w:rPr>
  </w:style>
  <w:style w:type="character" w:customStyle="1" w:styleId="PredmetkomentraChar1123">
    <w:name w:val="Predmet komentára Char1123"/>
    <w:aliases w:val="Char6 Char Char1124,Predmet komentára Char Char Char1124,Comment Subject Char Char Char1124"/>
    <w:uiPriority w:val="99"/>
    <w:semiHidden/>
    <w:rPr>
      <w:rFonts w:ascii="Courier" w:hAnsi="Courier"/>
      <w:b/>
      <w:lang w:val="x-none" w:eastAsia="cs-CZ"/>
    </w:rPr>
  </w:style>
  <w:style w:type="character" w:customStyle="1" w:styleId="PredmetkomentraChar1122">
    <w:name w:val="Predmet komentára Char1122"/>
    <w:aliases w:val="Char6 Char Char1123,Predmet komentára Char Char Char1123,Comment Subject Char Char Char1123"/>
    <w:uiPriority w:val="99"/>
    <w:semiHidden/>
    <w:rPr>
      <w:rFonts w:ascii="Courier" w:hAnsi="Courier"/>
      <w:b/>
      <w:lang w:val="x-none" w:eastAsia="cs-CZ"/>
    </w:rPr>
  </w:style>
  <w:style w:type="character" w:customStyle="1" w:styleId="PredmetkomentraChar1121">
    <w:name w:val="Predmet komentára Char1121"/>
    <w:aliases w:val="Char6 Char Char1122,Predmet komentára Char Char Char1122,Comment Subject Char Char Char1122"/>
    <w:uiPriority w:val="99"/>
    <w:semiHidden/>
    <w:rPr>
      <w:rFonts w:ascii="Courier" w:hAnsi="Courier"/>
      <w:b/>
      <w:lang w:val="x-none" w:eastAsia="cs-CZ"/>
    </w:rPr>
  </w:style>
  <w:style w:type="character" w:customStyle="1" w:styleId="PredmetkomentraChar1120">
    <w:name w:val="Predmet komentára Char1120"/>
    <w:aliases w:val="Char6 Char Char1121,Predmet komentára Char Char Char1121,Comment Subject Char Char Char1121"/>
    <w:uiPriority w:val="99"/>
    <w:semiHidden/>
    <w:rPr>
      <w:rFonts w:ascii="Courier" w:hAnsi="Courier"/>
      <w:b/>
      <w:lang w:val="x-none" w:eastAsia="cs-CZ"/>
    </w:rPr>
  </w:style>
  <w:style w:type="character" w:customStyle="1" w:styleId="PredmetkomentraChar1119">
    <w:name w:val="Predmet komentára Char1119"/>
    <w:aliases w:val="Char6 Char Char1120,Predmet komentára Char Char Char1120,Comment Subject Char Char Char1120"/>
    <w:uiPriority w:val="99"/>
    <w:semiHidden/>
    <w:rPr>
      <w:rFonts w:ascii="Courier" w:hAnsi="Courier"/>
      <w:b/>
      <w:lang w:val="x-none" w:eastAsia="cs-CZ"/>
    </w:rPr>
  </w:style>
  <w:style w:type="character" w:customStyle="1" w:styleId="PredmetkomentraChar1118">
    <w:name w:val="Predmet komentára Char1118"/>
    <w:aliases w:val="Char6 Char Char1119,Predmet komentára Char Char Char1119,Comment Subject Char Char Char1119"/>
    <w:uiPriority w:val="99"/>
    <w:semiHidden/>
    <w:rPr>
      <w:rFonts w:ascii="Courier" w:hAnsi="Courier"/>
      <w:b/>
      <w:lang w:val="x-none" w:eastAsia="cs-CZ"/>
    </w:rPr>
  </w:style>
  <w:style w:type="character" w:customStyle="1" w:styleId="PredmetkomentraChar1117">
    <w:name w:val="Predmet komentára Char1117"/>
    <w:aliases w:val="Char6 Char Char1118,Predmet komentára Char Char Char1118,Comment Subject Char Char Char1118"/>
    <w:uiPriority w:val="99"/>
    <w:semiHidden/>
    <w:rPr>
      <w:rFonts w:ascii="Courier" w:hAnsi="Courier"/>
      <w:b/>
      <w:lang w:val="x-none" w:eastAsia="cs-CZ"/>
    </w:rPr>
  </w:style>
  <w:style w:type="character" w:customStyle="1" w:styleId="PredmetkomentraChar1116">
    <w:name w:val="Predmet komentára Char1116"/>
    <w:aliases w:val="Char6 Char Char1117,Predmet komentára Char Char Char1117,Comment Subject Char Char Char1117"/>
    <w:uiPriority w:val="99"/>
    <w:semiHidden/>
    <w:rPr>
      <w:rFonts w:ascii="Courier" w:hAnsi="Courier"/>
      <w:b/>
      <w:lang w:val="x-none" w:eastAsia="cs-CZ"/>
    </w:rPr>
  </w:style>
  <w:style w:type="character" w:customStyle="1" w:styleId="PredmetkomentraChar1115">
    <w:name w:val="Predmet komentára Char1115"/>
    <w:aliases w:val="Char6 Char Char1116,Predmet komentára Char Char Char1116,Comment Subject Char Char Char1116"/>
    <w:uiPriority w:val="99"/>
    <w:semiHidden/>
    <w:rPr>
      <w:rFonts w:ascii="Courier" w:hAnsi="Courier"/>
      <w:b/>
      <w:lang w:val="x-none" w:eastAsia="cs-CZ"/>
    </w:rPr>
  </w:style>
  <w:style w:type="character" w:customStyle="1" w:styleId="PredmetkomentraChar1114">
    <w:name w:val="Predmet komentára Char1114"/>
    <w:aliases w:val="Char6 Char Char1115,Predmet komentára Char Char Char1115,Comment Subject Char Char Char1115"/>
    <w:uiPriority w:val="99"/>
    <w:semiHidden/>
    <w:rPr>
      <w:rFonts w:ascii="Courier" w:hAnsi="Courier"/>
      <w:b/>
      <w:lang w:val="x-none" w:eastAsia="cs-CZ"/>
    </w:rPr>
  </w:style>
  <w:style w:type="character" w:customStyle="1" w:styleId="PredmetkomentraChar1113">
    <w:name w:val="Predmet komentára Char1113"/>
    <w:aliases w:val="Char6 Char Char1114,Predmet komentára Char Char Char1114,Comment Subject Char Char Char1114"/>
    <w:uiPriority w:val="99"/>
    <w:semiHidden/>
    <w:rPr>
      <w:rFonts w:ascii="Courier" w:hAnsi="Courier"/>
      <w:b/>
      <w:lang w:val="x-none" w:eastAsia="cs-CZ"/>
    </w:rPr>
  </w:style>
  <w:style w:type="character" w:customStyle="1" w:styleId="PredmetkomentraChar1112">
    <w:name w:val="Predmet komentára Char1112"/>
    <w:aliases w:val="Char6 Char Char1113,Predmet komentára Char Char Char1113,Comment Subject Char Char Char1113"/>
    <w:uiPriority w:val="99"/>
    <w:semiHidden/>
    <w:rPr>
      <w:rFonts w:ascii="Courier" w:hAnsi="Courier"/>
      <w:b/>
      <w:lang w:val="x-none" w:eastAsia="cs-CZ"/>
    </w:rPr>
  </w:style>
  <w:style w:type="character" w:customStyle="1" w:styleId="PredmetkomentraChar1111">
    <w:name w:val="Predmet komentára Char1111"/>
    <w:aliases w:val="Char6 Char Char1112,Predmet komentára Char Char Char1112,Comment Subject Char Char Char1112"/>
    <w:uiPriority w:val="99"/>
    <w:semiHidden/>
    <w:rPr>
      <w:rFonts w:ascii="Courier" w:hAnsi="Courier"/>
      <w:b/>
      <w:lang w:val="x-none" w:eastAsia="cs-CZ"/>
    </w:rPr>
  </w:style>
  <w:style w:type="character" w:customStyle="1" w:styleId="PredmetkomentraChar1110">
    <w:name w:val="Predmet komentára Char1110"/>
    <w:aliases w:val="Char6 Char Char1111,Predmet komentára Char Char Char1111,Comment Subject Char Char Char1111"/>
    <w:uiPriority w:val="99"/>
    <w:semiHidden/>
    <w:rPr>
      <w:rFonts w:ascii="Courier" w:hAnsi="Courier"/>
      <w:b/>
      <w:lang w:val="x-none" w:eastAsia="cs-CZ"/>
    </w:rPr>
  </w:style>
  <w:style w:type="character" w:customStyle="1" w:styleId="PredmetkomentraChar1109">
    <w:name w:val="Predmet komentára Char1109"/>
    <w:aliases w:val="Char6 Char Char1110,Predmet komentára Char Char Char1110,Comment Subject Char Char Char1110"/>
    <w:uiPriority w:val="99"/>
    <w:semiHidden/>
    <w:rPr>
      <w:rFonts w:ascii="Courier" w:hAnsi="Courier"/>
      <w:b/>
      <w:lang w:val="x-none" w:eastAsia="cs-CZ"/>
    </w:rPr>
  </w:style>
  <w:style w:type="character" w:customStyle="1" w:styleId="PredmetkomentraChar1108">
    <w:name w:val="Predmet komentára Char1108"/>
    <w:aliases w:val="Char6 Char Char1109,Predmet komentára Char Char Char1109,Comment Subject Char Char Char1109"/>
    <w:uiPriority w:val="99"/>
    <w:semiHidden/>
    <w:rPr>
      <w:rFonts w:ascii="Courier" w:hAnsi="Courier"/>
      <w:b/>
      <w:lang w:val="x-none" w:eastAsia="cs-CZ"/>
    </w:rPr>
  </w:style>
  <w:style w:type="character" w:customStyle="1" w:styleId="PredmetkomentraChar1107">
    <w:name w:val="Predmet komentára Char1107"/>
    <w:aliases w:val="Char6 Char Char1108,Predmet komentára Char Char Char1108,Comment Subject Char Char Char1108"/>
    <w:uiPriority w:val="99"/>
    <w:semiHidden/>
    <w:rPr>
      <w:rFonts w:ascii="Courier" w:hAnsi="Courier"/>
      <w:b/>
      <w:lang w:val="x-none" w:eastAsia="cs-CZ"/>
    </w:rPr>
  </w:style>
  <w:style w:type="character" w:customStyle="1" w:styleId="PredmetkomentraChar1106">
    <w:name w:val="Predmet komentára Char1106"/>
    <w:aliases w:val="Char6 Char Char1107,Predmet komentára Char Char Char1107,Comment Subject Char Char Char1107"/>
    <w:uiPriority w:val="99"/>
    <w:semiHidden/>
    <w:rPr>
      <w:rFonts w:ascii="Courier" w:hAnsi="Courier"/>
      <w:b/>
      <w:lang w:val="x-none" w:eastAsia="cs-CZ"/>
    </w:rPr>
  </w:style>
  <w:style w:type="character" w:customStyle="1" w:styleId="PredmetkomentraChar1105">
    <w:name w:val="Predmet komentára Char1105"/>
    <w:aliases w:val="Char6 Char Char1106,Predmet komentára Char Char Char1106,Comment Subject Char Char Char1106"/>
    <w:uiPriority w:val="99"/>
    <w:semiHidden/>
    <w:rPr>
      <w:rFonts w:ascii="Courier" w:hAnsi="Courier"/>
      <w:b/>
      <w:lang w:val="x-none" w:eastAsia="cs-CZ"/>
    </w:rPr>
  </w:style>
  <w:style w:type="character" w:customStyle="1" w:styleId="PredmetkomentraChar1104">
    <w:name w:val="Predmet komentára Char1104"/>
    <w:aliases w:val="Char6 Char Char1105,Predmet komentára Char Char Char1105,Comment Subject Char Char Char1105"/>
    <w:uiPriority w:val="99"/>
    <w:semiHidden/>
    <w:rPr>
      <w:rFonts w:ascii="Courier" w:hAnsi="Courier"/>
      <w:b/>
      <w:lang w:val="x-none" w:eastAsia="cs-CZ"/>
    </w:rPr>
  </w:style>
  <w:style w:type="character" w:customStyle="1" w:styleId="PredmetkomentraChar1103">
    <w:name w:val="Predmet komentára Char1103"/>
    <w:aliases w:val="Char6 Char Char1104,Predmet komentára Char Char Char1104,Comment Subject Char Char Char1104"/>
    <w:uiPriority w:val="99"/>
    <w:semiHidden/>
    <w:rPr>
      <w:rFonts w:ascii="Courier" w:hAnsi="Courier"/>
      <w:b/>
      <w:lang w:val="x-none" w:eastAsia="cs-CZ"/>
    </w:rPr>
  </w:style>
  <w:style w:type="character" w:customStyle="1" w:styleId="PredmetkomentraChar1102">
    <w:name w:val="Predmet komentára Char1102"/>
    <w:aliases w:val="Char6 Char Char1103,Predmet komentára Char Char Char1103,Comment Subject Char Char Char1103"/>
    <w:uiPriority w:val="99"/>
    <w:semiHidden/>
    <w:rPr>
      <w:rFonts w:ascii="Courier" w:hAnsi="Courier"/>
      <w:b/>
      <w:lang w:val="x-none" w:eastAsia="cs-CZ"/>
    </w:rPr>
  </w:style>
  <w:style w:type="character" w:customStyle="1" w:styleId="PredmetkomentraChar1101">
    <w:name w:val="Predmet komentára Char1101"/>
    <w:aliases w:val="Char6 Char Char1102,Predmet komentára Char Char Char1102,Comment Subject Char Char Char1102"/>
    <w:uiPriority w:val="99"/>
    <w:semiHidden/>
    <w:rPr>
      <w:rFonts w:ascii="Courier" w:hAnsi="Courier"/>
      <w:b/>
      <w:lang w:val="x-none" w:eastAsia="cs-CZ"/>
    </w:rPr>
  </w:style>
  <w:style w:type="character" w:customStyle="1" w:styleId="PredmetkomentraChar1100">
    <w:name w:val="Predmet komentára Char1100"/>
    <w:aliases w:val="Char6 Char Char1101,Predmet komentára Char Char Char1101,Comment Subject Char Char Char1101"/>
    <w:uiPriority w:val="99"/>
    <w:semiHidden/>
    <w:rPr>
      <w:rFonts w:ascii="Courier" w:hAnsi="Courier"/>
      <w:b/>
      <w:lang w:val="x-none" w:eastAsia="cs-CZ"/>
    </w:rPr>
  </w:style>
  <w:style w:type="character" w:customStyle="1" w:styleId="PredmetkomentraChar199">
    <w:name w:val="Predmet komentára Char199"/>
    <w:aliases w:val="Char6 Char Char1100,Predmet komentára Char Char Char1100,Comment Subject Char Char Char1100"/>
    <w:uiPriority w:val="99"/>
    <w:semiHidden/>
    <w:rPr>
      <w:rFonts w:ascii="Courier" w:hAnsi="Courier"/>
      <w:b/>
      <w:lang w:val="x-none" w:eastAsia="cs-CZ"/>
    </w:rPr>
  </w:style>
  <w:style w:type="character" w:customStyle="1" w:styleId="PredmetkomentraChar198">
    <w:name w:val="Predmet komentára Char198"/>
    <w:aliases w:val="Char6 Char Char199,Predmet komentára Char Char Char199,Comment Subject Char Char Char199"/>
    <w:uiPriority w:val="99"/>
    <w:semiHidden/>
    <w:rPr>
      <w:rFonts w:ascii="Courier" w:hAnsi="Courier"/>
      <w:b/>
      <w:lang w:val="x-none" w:eastAsia="cs-CZ"/>
    </w:rPr>
  </w:style>
  <w:style w:type="character" w:customStyle="1" w:styleId="PredmetkomentraChar197">
    <w:name w:val="Predmet komentára Char197"/>
    <w:aliases w:val="Char6 Char Char198,Predmet komentára Char Char Char198,Comment Subject Char Char Char198"/>
    <w:uiPriority w:val="99"/>
    <w:semiHidden/>
    <w:rPr>
      <w:rFonts w:ascii="Courier" w:hAnsi="Courier"/>
      <w:b/>
      <w:lang w:val="x-none" w:eastAsia="cs-CZ"/>
    </w:rPr>
  </w:style>
  <w:style w:type="character" w:customStyle="1" w:styleId="PredmetkomentraChar196">
    <w:name w:val="Predmet komentára Char196"/>
    <w:aliases w:val="Char6 Char Char197,Predmet komentára Char Char Char197,Comment Subject Char Char Char197"/>
    <w:uiPriority w:val="99"/>
    <w:semiHidden/>
    <w:rPr>
      <w:rFonts w:ascii="Courier" w:hAnsi="Courier"/>
      <w:b/>
      <w:lang w:val="x-none" w:eastAsia="cs-CZ"/>
    </w:rPr>
  </w:style>
  <w:style w:type="character" w:customStyle="1" w:styleId="PredmetkomentraChar195">
    <w:name w:val="Predmet komentára Char195"/>
    <w:aliases w:val="Char6 Char Char196,Predmet komentára Char Char Char196,Comment Subject Char Char Char196"/>
    <w:uiPriority w:val="99"/>
    <w:semiHidden/>
    <w:rPr>
      <w:rFonts w:ascii="Courier" w:hAnsi="Courier"/>
      <w:b/>
      <w:lang w:val="x-none" w:eastAsia="cs-CZ"/>
    </w:rPr>
  </w:style>
  <w:style w:type="character" w:customStyle="1" w:styleId="PredmetkomentraChar194">
    <w:name w:val="Predmet komentára Char194"/>
    <w:aliases w:val="Char6 Char Char195,Predmet komentára Char Char Char195,Comment Subject Char Char Char195"/>
    <w:uiPriority w:val="99"/>
    <w:semiHidden/>
    <w:rPr>
      <w:rFonts w:ascii="Courier" w:hAnsi="Courier"/>
      <w:b/>
      <w:lang w:val="x-none" w:eastAsia="cs-CZ"/>
    </w:rPr>
  </w:style>
  <w:style w:type="character" w:customStyle="1" w:styleId="PredmetkomentraChar193">
    <w:name w:val="Predmet komentára Char193"/>
    <w:aliases w:val="Char6 Char Char194,Predmet komentára Char Char Char194,Comment Subject Char Char Char194"/>
    <w:uiPriority w:val="99"/>
    <w:semiHidden/>
    <w:rPr>
      <w:rFonts w:ascii="Courier" w:hAnsi="Courier"/>
      <w:b/>
      <w:lang w:val="x-none" w:eastAsia="cs-CZ"/>
    </w:rPr>
  </w:style>
  <w:style w:type="character" w:customStyle="1" w:styleId="PredmetkomentraChar192">
    <w:name w:val="Predmet komentára Char192"/>
    <w:aliases w:val="Char6 Char Char193,Predmet komentára Char Char Char193,Comment Subject Char Char Char193"/>
    <w:uiPriority w:val="99"/>
    <w:semiHidden/>
    <w:rPr>
      <w:rFonts w:ascii="Courier" w:hAnsi="Courier"/>
      <w:b/>
      <w:lang w:val="x-none" w:eastAsia="cs-CZ"/>
    </w:rPr>
  </w:style>
  <w:style w:type="character" w:customStyle="1" w:styleId="PredmetkomentraChar191">
    <w:name w:val="Predmet komentára Char191"/>
    <w:aliases w:val="Char6 Char Char192,Predmet komentára Char Char Char192,Comment Subject Char Char Char192"/>
    <w:uiPriority w:val="99"/>
    <w:semiHidden/>
    <w:rPr>
      <w:rFonts w:ascii="Courier" w:hAnsi="Courier"/>
      <w:b/>
      <w:lang w:val="x-none" w:eastAsia="cs-CZ"/>
    </w:rPr>
  </w:style>
  <w:style w:type="character" w:customStyle="1" w:styleId="PredmetkomentraChar190">
    <w:name w:val="Predmet komentára Char190"/>
    <w:aliases w:val="Char6 Char Char191,Predmet komentára Char Char Char191,Comment Subject Char Char Char191"/>
    <w:uiPriority w:val="99"/>
    <w:semiHidden/>
    <w:rPr>
      <w:rFonts w:ascii="Courier" w:hAnsi="Courier"/>
      <w:b/>
      <w:lang w:val="x-none" w:eastAsia="cs-CZ"/>
    </w:rPr>
  </w:style>
  <w:style w:type="character" w:customStyle="1" w:styleId="PredmetkomentraChar189">
    <w:name w:val="Predmet komentára Char189"/>
    <w:aliases w:val="Char6 Char Char190,Predmet komentára Char Char Char190,Comment Subject Char Char Char190"/>
    <w:uiPriority w:val="99"/>
    <w:semiHidden/>
    <w:rPr>
      <w:rFonts w:ascii="Courier" w:hAnsi="Courier"/>
      <w:b/>
      <w:lang w:val="x-none" w:eastAsia="cs-CZ"/>
    </w:rPr>
  </w:style>
  <w:style w:type="character" w:customStyle="1" w:styleId="PredmetkomentraChar188">
    <w:name w:val="Predmet komentára Char188"/>
    <w:aliases w:val="Char6 Char Char189,Predmet komentára Char Char Char189,Comment Subject Char Char Char189"/>
    <w:uiPriority w:val="99"/>
    <w:semiHidden/>
    <w:rPr>
      <w:rFonts w:ascii="Courier" w:hAnsi="Courier"/>
      <w:b/>
      <w:lang w:val="x-none" w:eastAsia="cs-CZ"/>
    </w:rPr>
  </w:style>
  <w:style w:type="character" w:customStyle="1" w:styleId="PredmetkomentraChar187">
    <w:name w:val="Predmet komentára Char187"/>
    <w:aliases w:val="Char6 Char Char188,Predmet komentára Char Char Char188,Comment Subject Char Char Char188"/>
    <w:uiPriority w:val="99"/>
    <w:semiHidden/>
    <w:rPr>
      <w:rFonts w:ascii="Courier" w:hAnsi="Courier"/>
      <w:b/>
      <w:lang w:val="x-none" w:eastAsia="cs-CZ"/>
    </w:rPr>
  </w:style>
  <w:style w:type="character" w:customStyle="1" w:styleId="PredmetkomentraChar186">
    <w:name w:val="Predmet komentára Char186"/>
    <w:aliases w:val="Char6 Char Char187,Predmet komentára Char Char Char187,Comment Subject Char Char Char187"/>
    <w:uiPriority w:val="99"/>
    <w:semiHidden/>
    <w:rPr>
      <w:rFonts w:ascii="Courier" w:hAnsi="Courier"/>
      <w:b/>
      <w:lang w:val="x-none" w:eastAsia="cs-CZ"/>
    </w:rPr>
  </w:style>
  <w:style w:type="character" w:customStyle="1" w:styleId="PredmetkomentraChar185">
    <w:name w:val="Predmet komentára Char185"/>
    <w:aliases w:val="Char6 Char Char186,Predmet komentára Char Char Char186,Comment Subject Char Char Char186"/>
    <w:uiPriority w:val="99"/>
    <w:semiHidden/>
    <w:rPr>
      <w:rFonts w:ascii="Courier" w:hAnsi="Courier"/>
      <w:b/>
      <w:lang w:val="x-none" w:eastAsia="cs-CZ"/>
    </w:rPr>
  </w:style>
  <w:style w:type="character" w:customStyle="1" w:styleId="PredmetkomentraChar184">
    <w:name w:val="Predmet komentára Char184"/>
    <w:aliases w:val="Char6 Char Char185,Predmet komentára Char Char Char185,Comment Subject Char Char Char185"/>
    <w:uiPriority w:val="99"/>
    <w:semiHidden/>
    <w:rPr>
      <w:rFonts w:ascii="Courier" w:hAnsi="Courier"/>
      <w:b/>
      <w:lang w:val="x-none" w:eastAsia="cs-CZ"/>
    </w:rPr>
  </w:style>
  <w:style w:type="character" w:customStyle="1" w:styleId="PredmetkomentraChar183">
    <w:name w:val="Predmet komentára Char183"/>
    <w:aliases w:val="Char6 Char Char184,Predmet komentára Char Char Char184,Comment Subject Char Char Char184"/>
    <w:uiPriority w:val="99"/>
    <w:semiHidden/>
    <w:rPr>
      <w:rFonts w:ascii="Courier" w:hAnsi="Courier"/>
      <w:b/>
      <w:lang w:val="x-none" w:eastAsia="cs-CZ"/>
    </w:rPr>
  </w:style>
  <w:style w:type="character" w:customStyle="1" w:styleId="PredmetkomentraChar182">
    <w:name w:val="Predmet komentára Char182"/>
    <w:aliases w:val="Char6 Char Char183,Predmet komentára Char Char Char183,Comment Subject Char Char Char183"/>
    <w:uiPriority w:val="99"/>
    <w:semiHidden/>
    <w:rPr>
      <w:rFonts w:ascii="Courier" w:hAnsi="Courier"/>
      <w:b/>
      <w:lang w:val="x-none" w:eastAsia="cs-CZ"/>
    </w:rPr>
  </w:style>
  <w:style w:type="character" w:customStyle="1" w:styleId="PredmetkomentraChar181">
    <w:name w:val="Predmet komentára Char181"/>
    <w:aliases w:val="Char6 Char Char182,Predmet komentára Char Char Char182,Comment Subject Char Char Char182"/>
    <w:uiPriority w:val="99"/>
    <w:semiHidden/>
    <w:rPr>
      <w:rFonts w:ascii="Courier" w:hAnsi="Courier"/>
      <w:b/>
      <w:lang w:val="x-none" w:eastAsia="cs-CZ"/>
    </w:rPr>
  </w:style>
  <w:style w:type="character" w:customStyle="1" w:styleId="PredmetkomentraChar180">
    <w:name w:val="Predmet komentára Char180"/>
    <w:aliases w:val="Char6 Char Char181,Predmet komentára Char Char Char181,Comment Subject Char Char Char181"/>
    <w:uiPriority w:val="99"/>
    <w:semiHidden/>
    <w:rPr>
      <w:rFonts w:ascii="Courier" w:hAnsi="Courier"/>
      <w:b/>
      <w:lang w:val="x-none" w:eastAsia="cs-CZ"/>
    </w:rPr>
  </w:style>
  <w:style w:type="character" w:customStyle="1" w:styleId="PredmetkomentraChar179">
    <w:name w:val="Predmet komentára Char179"/>
    <w:aliases w:val="Char6 Char Char180,Predmet komentára Char Char Char180,Comment Subject Char Char Char180"/>
    <w:uiPriority w:val="99"/>
    <w:semiHidden/>
    <w:rPr>
      <w:rFonts w:ascii="Courier" w:hAnsi="Courier"/>
      <w:b/>
      <w:lang w:val="x-none" w:eastAsia="cs-CZ"/>
    </w:rPr>
  </w:style>
  <w:style w:type="character" w:customStyle="1" w:styleId="PredmetkomentraChar178">
    <w:name w:val="Predmet komentára Char178"/>
    <w:aliases w:val="Char6 Char Char179,Predmet komentára Char Char Char179,Comment Subject Char Char Char179"/>
    <w:uiPriority w:val="99"/>
    <w:semiHidden/>
    <w:rPr>
      <w:rFonts w:ascii="Courier" w:hAnsi="Courier"/>
      <w:b/>
      <w:lang w:val="x-none" w:eastAsia="cs-CZ"/>
    </w:rPr>
  </w:style>
  <w:style w:type="character" w:customStyle="1" w:styleId="PredmetkomentraChar177">
    <w:name w:val="Predmet komentára Char177"/>
    <w:aliases w:val="Char6 Char Char178,Predmet komentára Char Char Char178,Comment Subject Char Char Char178"/>
    <w:uiPriority w:val="99"/>
    <w:semiHidden/>
    <w:rPr>
      <w:rFonts w:ascii="Courier" w:hAnsi="Courier"/>
      <w:b/>
      <w:lang w:val="x-none" w:eastAsia="cs-CZ"/>
    </w:rPr>
  </w:style>
  <w:style w:type="character" w:customStyle="1" w:styleId="PredmetkomentraChar176">
    <w:name w:val="Predmet komentára Char176"/>
    <w:aliases w:val="Char6 Char Char177,Predmet komentára Char Char Char177,Comment Subject Char Char Char177"/>
    <w:uiPriority w:val="99"/>
    <w:semiHidden/>
    <w:rPr>
      <w:rFonts w:ascii="Courier" w:hAnsi="Courier"/>
      <w:b/>
      <w:lang w:val="x-none" w:eastAsia="cs-CZ"/>
    </w:rPr>
  </w:style>
  <w:style w:type="character" w:customStyle="1" w:styleId="PredmetkomentraChar175">
    <w:name w:val="Predmet komentára Char175"/>
    <w:aliases w:val="Char6 Char Char176,Predmet komentára Char Char Char176,Comment Subject Char Char Char176"/>
    <w:uiPriority w:val="99"/>
    <w:semiHidden/>
    <w:rPr>
      <w:rFonts w:ascii="Courier" w:hAnsi="Courier"/>
      <w:b/>
      <w:lang w:val="x-none" w:eastAsia="cs-CZ"/>
    </w:rPr>
  </w:style>
  <w:style w:type="character" w:customStyle="1" w:styleId="PredmetkomentraChar174">
    <w:name w:val="Predmet komentára Char174"/>
    <w:aliases w:val="Char6 Char Char175,Predmet komentára Char Char Char175,Comment Subject Char Char Char175"/>
    <w:uiPriority w:val="99"/>
    <w:semiHidden/>
    <w:rPr>
      <w:rFonts w:ascii="Courier" w:hAnsi="Courier"/>
      <w:b/>
      <w:lang w:val="x-none" w:eastAsia="cs-CZ"/>
    </w:rPr>
  </w:style>
  <w:style w:type="character" w:customStyle="1" w:styleId="PredmetkomentraChar173">
    <w:name w:val="Predmet komentára Char173"/>
    <w:aliases w:val="Char6 Char Char174,Predmet komentára Char Char Char174,Comment Subject Char Char Char174"/>
    <w:uiPriority w:val="99"/>
    <w:semiHidden/>
    <w:rPr>
      <w:rFonts w:ascii="Courier" w:hAnsi="Courier"/>
      <w:b/>
      <w:lang w:val="x-none" w:eastAsia="cs-CZ"/>
    </w:rPr>
  </w:style>
  <w:style w:type="character" w:customStyle="1" w:styleId="PredmetkomentraChar172">
    <w:name w:val="Predmet komentára Char172"/>
    <w:aliases w:val="Char6 Char Char173,Predmet komentára Char Char Char173,Comment Subject Char Char Char173"/>
    <w:uiPriority w:val="99"/>
    <w:semiHidden/>
    <w:rPr>
      <w:rFonts w:ascii="Courier" w:hAnsi="Courier"/>
      <w:b/>
      <w:lang w:val="x-none" w:eastAsia="cs-CZ"/>
    </w:rPr>
  </w:style>
  <w:style w:type="character" w:customStyle="1" w:styleId="PredmetkomentraChar171">
    <w:name w:val="Predmet komentára Char171"/>
    <w:aliases w:val="Char6 Char Char172,Predmet komentára Char Char Char172,Comment Subject Char Char Char172"/>
    <w:uiPriority w:val="99"/>
    <w:semiHidden/>
    <w:rPr>
      <w:rFonts w:ascii="Courier" w:hAnsi="Courier"/>
      <w:b/>
      <w:lang w:val="x-none" w:eastAsia="cs-CZ"/>
    </w:rPr>
  </w:style>
  <w:style w:type="character" w:customStyle="1" w:styleId="PredmetkomentraChar170">
    <w:name w:val="Predmet komentára Char170"/>
    <w:aliases w:val="Char6 Char Char171,Predmet komentára Char Char Char171,Comment Subject Char Char Char171"/>
    <w:uiPriority w:val="99"/>
    <w:semiHidden/>
    <w:rPr>
      <w:rFonts w:ascii="Courier" w:hAnsi="Courier"/>
      <w:b/>
      <w:lang w:val="x-none" w:eastAsia="cs-CZ"/>
    </w:rPr>
  </w:style>
  <w:style w:type="character" w:customStyle="1" w:styleId="PredmetkomentraChar169">
    <w:name w:val="Predmet komentára Char169"/>
    <w:aliases w:val="Char6 Char Char170,Predmet komentára Char Char Char170,Comment Subject Char Char Char170"/>
    <w:uiPriority w:val="99"/>
    <w:semiHidden/>
    <w:rPr>
      <w:rFonts w:ascii="Courier" w:hAnsi="Courier"/>
      <w:b/>
      <w:lang w:val="x-none" w:eastAsia="cs-CZ"/>
    </w:rPr>
  </w:style>
  <w:style w:type="character" w:customStyle="1" w:styleId="PredmetkomentraChar168">
    <w:name w:val="Predmet komentára Char168"/>
    <w:aliases w:val="Char6 Char Char169,Predmet komentára Char Char Char169,Comment Subject Char Char Char169"/>
    <w:uiPriority w:val="99"/>
    <w:semiHidden/>
    <w:rPr>
      <w:rFonts w:ascii="Courier" w:hAnsi="Courier"/>
      <w:b/>
      <w:lang w:val="x-none" w:eastAsia="cs-CZ"/>
    </w:rPr>
  </w:style>
  <w:style w:type="character" w:customStyle="1" w:styleId="PredmetkomentraChar167">
    <w:name w:val="Predmet komentára Char167"/>
    <w:aliases w:val="Char6 Char Char168,Predmet komentára Char Char Char168,Comment Subject Char Char Char168"/>
    <w:uiPriority w:val="99"/>
    <w:semiHidden/>
    <w:rPr>
      <w:rFonts w:ascii="Courier" w:hAnsi="Courier"/>
      <w:b/>
      <w:lang w:val="x-none" w:eastAsia="cs-CZ"/>
    </w:rPr>
  </w:style>
  <w:style w:type="character" w:customStyle="1" w:styleId="PredmetkomentraChar166">
    <w:name w:val="Predmet komentára Char166"/>
    <w:aliases w:val="Char6 Char Char167,Predmet komentára Char Char Char167,Comment Subject Char Char Char167"/>
    <w:uiPriority w:val="99"/>
    <w:semiHidden/>
    <w:rPr>
      <w:rFonts w:ascii="Courier" w:hAnsi="Courier"/>
      <w:b/>
      <w:lang w:val="x-none" w:eastAsia="cs-CZ"/>
    </w:rPr>
  </w:style>
  <w:style w:type="character" w:customStyle="1" w:styleId="PredmetkomentraChar165">
    <w:name w:val="Predmet komentára Char165"/>
    <w:aliases w:val="Char6 Char Char166,Predmet komentára Char Char Char166,Comment Subject Char Char Char166"/>
    <w:uiPriority w:val="99"/>
    <w:semiHidden/>
    <w:rPr>
      <w:rFonts w:ascii="Courier" w:hAnsi="Courier"/>
      <w:b/>
      <w:lang w:val="x-none" w:eastAsia="cs-CZ"/>
    </w:rPr>
  </w:style>
  <w:style w:type="character" w:customStyle="1" w:styleId="PredmetkomentraChar164">
    <w:name w:val="Predmet komentára Char164"/>
    <w:aliases w:val="Char6 Char Char165,Predmet komentára Char Char Char165,Comment Subject Char Char Char165"/>
    <w:uiPriority w:val="99"/>
    <w:semiHidden/>
    <w:rPr>
      <w:rFonts w:ascii="Courier" w:hAnsi="Courier"/>
      <w:b/>
      <w:lang w:val="x-none" w:eastAsia="cs-CZ"/>
    </w:rPr>
  </w:style>
  <w:style w:type="character" w:customStyle="1" w:styleId="PredmetkomentraChar163">
    <w:name w:val="Predmet komentára Char163"/>
    <w:aliases w:val="Char6 Char Char164,Predmet komentára Char Char Char164,Comment Subject Char Char Char164"/>
    <w:uiPriority w:val="99"/>
    <w:semiHidden/>
    <w:rPr>
      <w:rFonts w:ascii="Courier" w:hAnsi="Courier"/>
      <w:b/>
      <w:lang w:val="x-none" w:eastAsia="cs-CZ"/>
    </w:rPr>
  </w:style>
  <w:style w:type="character" w:customStyle="1" w:styleId="PredmetkomentraChar162">
    <w:name w:val="Predmet komentára Char162"/>
    <w:aliases w:val="Char6 Char Char163,Predmet komentára Char Char Char163,Comment Subject Char Char Char163"/>
    <w:uiPriority w:val="99"/>
    <w:semiHidden/>
    <w:rPr>
      <w:rFonts w:ascii="Courier" w:hAnsi="Courier"/>
      <w:b/>
      <w:lang w:val="x-none" w:eastAsia="cs-CZ"/>
    </w:rPr>
  </w:style>
  <w:style w:type="character" w:customStyle="1" w:styleId="PredmetkomentraChar161">
    <w:name w:val="Predmet komentára Char161"/>
    <w:aliases w:val="Char6 Char Char162,Predmet komentára Char Char Char162,Comment Subject Char Char Char162"/>
    <w:uiPriority w:val="99"/>
    <w:semiHidden/>
    <w:rPr>
      <w:rFonts w:ascii="Courier" w:hAnsi="Courier"/>
      <w:b/>
      <w:lang w:val="x-none" w:eastAsia="cs-CZ"/>
    </w:rPr>
  </w:style>
  <w:style w:type="character" w:customStyle="1" w:styleId="PredmetkomentraChar160">
    <w:name w:val="Predmet komentára Char160"/>
    <w:aliases w:val="Char6 Char Char161,Predmet komentára Char Char Char161,Comment Subject Char Char Char161"/>
    <w:uiPriority w:val="99"/>
    <w:semiHidden/>
    <w:rPr>
      <w:rFonts w:ascii="Courier" w:hAnsi="Courier"/>
      <w:b/>
      <w:lang w:val="x-none" w:eastAsia="cs-CZ"/>
    </w:rPr>
  </w:style>
  <w:style w:type="character" w:customStyle="1" w:styleId="PredmetkomentraChar159">
    <w:name w:val="Predmet komentára Char159"/>
    <w:aliases w:val="Char6 Char Char160,Predmet komentára Char Char Char160,Comment Subject Char Char Char160"/>
    <w:uiPriority w:val="99"/>
    <w:semiHidden/>
    <w:rPr>
      <w:rFonts w:ascii="Courier" w:hAnsi="Courier"/>
      <w:b/>
      <w:lang w:val="x-none" w:eastAsia="cs-CZ"/>
    </w:rPr>
  </w:style>
  <w:style w:type="character" w:customStyle="1" w:styleId="PredmetkomentraChar158">
    <w:name w:val="Predmet komentára Char158"/>
    <w:aliases w:val="Char6 Char Char159,Predmet komentára Char Char Char159,Comment Subject Char Char Char159"/>
    <w:uiPriority w:val="99"/>
    <w:semiHidden/>
    <w:rPr>
      <w:rFonts w:ascii="Courier" w:hAnsi="Courier"/>
      <w:b/>
      <w:lang w:val="x-none" w:eastAsia="cs-CZ"/>
    </w:rPr>
  </w:style>
  <w:style w:type="character" w:customStyle="1" w:styleId="PredmetkomentraChar157">
    <w:name w:val="Predmet komentára Char157"/>
    <w:aliases w:val="Char6 Char Char158,Predmet komentára Char Char Char158,Comment Subject Char Char Char158"/>
    <w:uiPriority w:val="99"/>
    <w:semiHidden/>
    <w:rPr>
      <w:rFonts w:ascii="Courier" w:hAnsi="Courier"/>
      <w:b/>
      <w:lang w:val="x-none" w:eastAsia="cs-CZ"/>
    </w:rPr>
  </w:style>
  <w:style w:type="character" w:customStyle="1" w:styleId="PredmetkomentraChar156">
    <w:name w:val="Predmet komentára Char156"/>
    <w:aliases w:val="Char6 Char Char157,Predmet komentára Char Char Char157,Comment Subject Char Char Char157"/>
    <w:uiPriority w:val="99"/>
    <w:semiHidden/>
    <w:rPr>
      <w:rFonts w:ascii="Courier" w:hAnsi="Courier"/>
      <w:b/>
      <w:lang w:val="x-none" w:eastAsia="cs-CZ"/>
    </w:rPr>
  </w:style>
  <w:style w:type="character" w:customStyle="1" w:styleId="PredmetkomentraChar155">
    <w:name w:val="Predmet komentára Char155"/>
    <w:aliases w:val="Char6 Char Char156,Predmet komentára Char Char Char156,Comment Subject Char Char Char156"/>
    <w:uiPriority w:val="99"/>
    <w:semiHidden/>
    <w:rPr>
      <w:rFonts w:ascii="Courier" w:hAnsi="Courier"/>
      <w:b/>
      <w:lang w:val="x-none" w:eastAsia="cs-CZ"/>
    </w:rPr>
  </w:style>
  <w:style w:type="character" w:customStyle="1" w:styleId="PredmetkomentraChar154">
    <w:name w:val="Predmet komentára Char154"/>
    <w:aliases w:val="Char6 Char Char155,Predmet komentára Char Char Char155,Comment Subject Char Char Char155"/>
    <w:uiPriority w:val="99"/>
    <w:semiHidden/>
    <w:rPr>
      <w:rFonts w:ascii="Courier" w:hAnsi="Courier"/>
      <w:b/>
      <w:lang w:val="x-none" w:eastAsia="cs-CZ"/>
    </w:rPr>
  </w:style>
  <w:style w:type="character" w:customStyle="1" w:styleId="PredmetkomentraChar153">
    <w:name w:val="Predmet komentára Char153"/>
    <w:aliases w:val="Char6 Char Char154,Predmet komentára Char Char Char154,Comment Subject Char Char Char154"/>
    <w:uiPriority w:val="99"/>
    <w:semiHidden/>
    <w:rPr>
      <w:rFonts w:ascii="Courier" w:hAnsi="Courier"/>
      <w:b/>
      <w:lang w:val="x-none" w:eastAsia="cs-CZ"/>
    </w:rPr>
  </w:style>
  <w:style w:type="character" w:customStyle="1" w:styleId="PredmetkomentraChar152">
    <w:name w:val="Predmet komentára Char152"/>
    <w:aliases w:val="Char6 Char Char153,Predmet komentára Char Char Char153,Comment Subject Char Char Char153"/>
    <w:uiPriority w:val="99"/>
    <w:semiHidden/>
    <w:rPr>
      <w:rFonts w:ascii="Courier" w:hAnsi="Courier"/>
      <w:b/>
      <w:lang w:val="x-none" w:eastAsia="cs-CZ"/>
    </w:rPr>
  </w:style>
  <w:style w:type="character" w:customStyle="1" w:styleId="PredmetkomentraChar151">
    <w:name w:val="Predmet komentára Char151"/>
    <w:aliases w:val="Char6 Char Char152,Predmet komentára Char Char Char152,Comment Subject Char Char Char152"/>
    <w:uiPriority w:val="99"/>
    <w:semiHidden/>
    <w:rPr>
      <w:rFonts w:ascii="Courier" w:hAnsi="Courier"/>
      <w:b/>
      <w:lang w:val="x-none" w:eastAsia="cs-CZ"/>
    </w:rPr>
  </w:style>
  <w:style w:type="character" w:customStyle="1" w:styleId="PredmetkomentraChar150">
    <w:name w:val="Predmet komentára Char150"/>
    <w:aliases w:val="Char6 Char Char151,Predmet komentára Char Char Char151,Comment Subject Char Char Char151"/>
    <w:uiPriority w:val="99"/>
    <w:semiHidden/>
    <w:rPr>
      <w:rFonts w:ascii="Courier" w:hAnsi="Courier"/>
      <w:b/>
      <w:lang w:val="x-none" w:eastAsia="cs-CZ"/>
    </w:rPr>
  </w:style>
  <w:style w:type="character" w:customStyle="1" w:styleId="PredmetkomentraChar149">
    <w:name w:val="Predmet komentára Char149"/>
    <w:aliases w:val="Char6 Char Char150,Predmet komentára Char Char Char150,Comment Subject Char Char Char150"/>
    <w:uiPriority w:val="99"/>
    <w:semiHidden/>
    <w:rPr>
      <w:rFonts w:ascii="Courier" w:hAnsi="Courier"/>
      <w:b/>
      <w:lang w:val="x-none" w:eastAsia="cs-CZ"/>
    </w:rPr>
  </w:style>
  <w:style w:type="character" w:customStyle="1" w:styleId="PredmetkomentraChar148">
    <w:name w:val="Predmet komentára Char148"/>
    <w:aliases w:val="Char6 Char Char149,Predmet komentára Char Char Char149,Comment Subject Char Char Char149"/>
    <w:uiPriority w:val="99"/>
    <w:semiHidden/>
    <w:rPr>
      <w:rFonts w:ascii="Courier" w:hAnsi="Courier"/>
      <w:b/>
      <w:lang w:val="x-none" w:eastAsia="cs-CZ"/>
    </w:rPr>
  </w:style>
  <w:style w:type="character" w:customStyle="1" w:styleId="PredmetkomentraChar147">
    <w:name w:val="Predmet komentára Char147"/>
    <w:aliases w:val="Char6 Char Char148,Predmet komentára Char Char Char148,Comment Subject Char Char Char148"/>
    <w:uiPriority w:val="99"/>
    <w:semiHidden/>
    <w:rPr>
      <w:rFonts w:ascii="Courier" w:hAnsi="Courier"/>
      <w:b/>
      <w:lang w:val="x-none" w:eastAsia="cs-CZ"/>
    </w:rPr>
  </w:style>
  <w:style w:type="character" w:customStyle="1" w:styleId="PredmetkomentraChar146">
    <w:name w:val="Predmet komentára Char146"/>
    <w:aliases w:val="Char6 Char Char147,Predmet komentára Char Char Char147,Comment Subject Char Char Char147"/>
    <w:uiPriority w:val="99"/>
    <w:semiHidden/>
    <w:rPr>
      <w:rFonts w:ascii="Courier" w:hAnsi="Courier"/>
      <w:b/>
      <w:lang w:val="x-none" w:eastAsia="cs-CZ"/>
    </w:rPr>
  </w:style>
  <w:style w:type="character" w:customStyle="1" w:styleId="PredmetkomentraChar145">
    <w:name w:val="Predmet komentára Char145"/>
    <w:aliases w:val="Char6 Char Char146,Predmet komentára Char Char Char146,Comment Subject Char Char Char146"/>
    <w:uiPriority w:val="99"/>
    <w:semiHidden/>
    <w:rPr>
      <w:rFonts w:ascii="Courier" w:hAnsi="Courier"/>
      <w:b/>
      <w:lang w:val="x-none" w:eastAsia="cs-CZ"/>
    </w:rPr>
  </w:style>
  <w:style w:type="character" w:customStyle="1" w:styleId="PredmetkomentraChar144">
    <w:name w:val="Predmet komentára Char144"/>
    <w:aliases w:val="Char6 Char Char145,Predmet komentára Char Char Char145,Comment Subject Char Char Char145"/>
    <w:uiPriority w:val="99"/>
    <w:semiHidden/>
    <w:rPr>
      <w:rFonts w:ascii="Courier" w:hAnsi="Courier"/>
      <w:b/>
      <w:lang w:val="x-none" w:eastAsia="cs-CZ"/>
    </w:rPr>
  </w:style>
  <w:style w:type="character" w:customStyle="1" w:styleId="PredmetkomentraChar143">
    <w:name w:val="Predmet komentára Char143"/>
    <w:aliases w:val="Char6 Char Char144,Predmet komentára Char Char Char144,Comment Subject Char Char Char144"/>
    <w:uiPriority w:val="99"/>
    <w:semiHidden/>
    <w:rPr>
      <w:rFonts w:ascii="Courier" w:hAnsi="Courier"/>
      <w:b/>
      <w:lang w:val="x-none" w:eastAsia="cs-CZ"/>
    </w:rPr>
  </w:style>
  <w:style w:type="character" w:customStyle="1" w:styleId="PredmetkomentraChar142">
    <w:name w:val="Predmet komentára Char142"/>
    <w:aliases w:val="Char6 Char Char143,Predmet komentára Char Char Char143,Comment Subject Char Char Char143"/>
    <w:uiPriority w:val="99"/>
    <w:semiHidden/>
    <w:rPr>
      <w:rFonts w:ascii="Courier" w:hAnsi="Courier"/>
      <w:b/>
      <w:lang w:val="x-none" w:eastAsia="cs-CZ"/>
    </w:rPr>
  </w:style>
  <w:style w:type="character" w:customStyle="1" w:styleId="PredmetkomentraChar141">
    <w:name w:val="Predmet komentára Char141"/>
    <w:aliases w:val="Char6 Char Char142,Predmet komentára Char Char Char142,Comment Subject Char Char Char142"/>
    <w:uiPriority w:val="99"/>
    <w:semiHidden/>
    <w:rPr>
      <w:rFonts w:ascii="Courier" w:hAnsi="Courier"/>
      <w:b/>
      <w:lang w:val="x-none" w:eastAsia="cs-CZ"/>
    </w:rPr>
  </w:style>
  <w:style w:type="character" w:customStyle="1" w:styleId="PredmetkomentraChar140">
    <w:name w:val="Predmet komentára Char140"/>
    <w:aliases w:val="Char6 Char Char141,Predmet komentára Char Char Char141,Comment Subject Char Char Char141"/>
    <w:uiPriority w:val="99"/>
    <w:semiHidden/>
    <w:rPr>
      <w:rFonts w:ascii="Courier" w:hAnsi="Courier"/>
      <w:b/>
      <w:lang w:val="x-none" w:eastAsia="cs-CZ"/>
    </w:rPr>
  </w:style>
  <w:style w:type="character" w:customStyle="1" w:styleId="PredmetkomentraChar139">
    <w:name w:val="Predmet komentára Char139"/>
    <w:aliases w:val="Char6 Char Char140,Predmet komentára Char Char Char140,Comment Subject Char Char Char140"/>
    <w:uiPriority w:val="99"/>
    <w:semiHidden/>
    <w:rPr>
      <w:rFonts w:ascii="Courier" w:hAnsi="Courier"/>
      <w:b/>
      <w:lang w:val="x-none" w:eastAsia="cs-CZ"/>
    </w:rPr>
  </w:style>
  <w:style w:type="character" w:customStyle="1" w:styleId="PredmetkomentraChar138">
    <w:name w:val="Predmet komentára Char138"/>
    <w:aliases w:val="Char6 Char Char139,Predmet komentára Char Char Char139,Comment Subject Char Char Char139"/>
    <w:uiPriority w:val="99"/>
    <w:semiHidden/>
    <w:rPr>
      <w:rFonts w:ascii="Courier" w:hAnsi="Courier"/>
      <w:b/>
      <w:lang w:val="x-none" w:eastAsia="cs-CZ"/>
    </w:rPr>
  </w:style>
  <w:style w:type="character" w:customStyle="1" w:styleId="PredmetkomentraChar137">
    <w:name w:val="Predmet komentára Char137"/>
    <w:aliases w:val="Char6 Char Char138,Predmet komentára Char Char Char138,Comment Subject Char Char Char138"/>
    <w:uiPriority w:val="99"/>
    <w:semiHidden/>
    <w:rPr>
      <w:rFonts w:ascii="Courier" w:hAnsi="Courier"/>
      <w:b/>
      <w:lang w:val="x-none" w:eastAsia="cs-CZ"/>
    </w:rPr>
  </w:style>
  <w:style w:type="character" w:customStyle="1" w:styleId="PredmetkomentraChar136">
    <w:name w:val="Predmet komentára Char136"/>
    <w:aliases w:val="Char6 Char Char137,Predmet komentára Char Char Char137,Comment Subject Char Char Char137"/>
    <w:uiPriority w:val="99"/>
    <w:semiHidden/>
    <w:rPr>
      <w:rFonts w:ascii="Courier" w:hAnsi="Courier"/>
      <w:b/>
      <w:lang w:val="x-none" w:eastAsia="cs-CZ"/>
    </w:rPr>
  </w:style>
  <w:style w:type="character" w:customStyle="1" w:styleId="PredmetkomentraChar135">
    <w:name w:val="Predmet komentára Char135"/>
    <w:aliases w:val="Char6 Char Char136,Predmet komentára Char Char Char136,Comment Subject Char Char Char136"/>
    <w:uiPriority w:val="99"/>
    <w:semiHidden/>
    <w:rPr>
      <w:rFonts w:ascii="Courier" w:hAnsi="Courier"/>
      <w:b/>
      <w:lang w:val="x-none" w:eastAsia="cs-CZ"/>
    </w:rPr>
  </w:style>
  <w:style w:type="character" w:customStyle="1" w:styleId="PredmetkomentraChar134">
    <w:name w:val="Predmet komentára Char134"/>
    <w:aliases w:val="Char6 Char Char135,Predmet komentára Char Char Char135,Comment Subject Char Char Char135"/>
    <w:uiPriority w:val="99"/>
    <w:semiHidden/>
    <w:rPr>
      <w:rFonts w:ascii="Courier" w:hAnsi="Courier"/>
      <w:b/>
      <w:lang w:val="x-none" w:eastAsia="cs-CZ"/>
    </w:rPr>
  </w:style>
  <w:style w:type="character" w:customStyle="1" w:styleId="PredmetkomentraChar133">
    <w:name w:val="Predmet komentára Char133"/>
    <w:aliases w:val="Char6 Char Char134,Predmet komentára Char Char Char134,Comment Subject Char Char Char134"/>
    <w:uiPriority w:val="99"/>
    <w:semiHidden/>
    <w:rPr>
      <w:rFonts w:ascii="Courier" w:hAnsi="Courier"/>
      <w:b/>
      <w:lang w:val="x-none" w:eastAsia="cs-CZ"/>
    </w:rPr>
  </w:style>
  <w:style w:type="character" w:customStyle="1" w:styleId="PredmetkomentraChar132">
    <w:name w:val="Predmet komentára Char132"/>
    <w:aliases w:val="Char6 Char Char133,Predmet komentára Char Char Char133,Comment Subject Char Char Char133"/>
    <w:uiPriority w:val="99"/>
    <w:semiHidden/>
    <w:rPr>
      <w:rFonts w:ascii="Courier" w:hAnsi="Courier"/>
      <w:b/>
      <w:lang w:val="x-none" w:eastAsia="cs-CZ"/>
    </w:rPr>
  </w:style>
  <w:style w:type="character" w:customStyle="1" w:styleId="PredmetkomentraChar131">
    <w:name w:val="Predmet komentára Char131"/>
    <w:aliases w:val="Char6 Char Char132,Predmet komentára Char Char Char132,Comment Subject Char Char Char132"/>
    <w:uiPriority w:val="99"/>
    <w:semiHidden/>
    <w:rPr>
      <w:rFonts w:ascii="Courier" w:hAnsi="Courier"/>
      <w:b/>
      <w:lang w:val="x-none" w:eastAsia="cs-CZ"/>
    </w:rPr>
  </w:style>
  <w:style w:type="character" w:customStyle="1" w:styleId="PredmetkomentraChar130">
    <w:name w:val="Predmet komentára Char130"/>
    <w:aliases w:val="Char6 Char Char131,Predmet komentára Char Char Char131,Comment Subject Char Char Char131"/>
    <w:uiPriority w:val="99"/>
    <w:semiHidden/>
    <w:rPr>
      <w:rFonts w:ascii="Courier" w:hAnsi="Courier"/>
      <w:b/>
      <w:lang w:val="x-none" w:eastAsia="cs-CZ"/>
    </w:rPr>
  </w:style>
  <w:style w:type="character" w:customStyle="1" w:styleId="PredmetkomentraChar129">
    <w:name w:val="Predmet komentára Char129"/>
    <w:aliases w:val="Char6 Char Char130,Predmet komentára Char Char Char130,Comment Subject Char Char Char130"/>
    <w:uiPriority w:val="99"/>
    <w:semiHidden/>
    <w:rPr>
      <w:rFonts w:ascii="Courier" w:hAnsi="Courier"/>
      <w:b/>
      <w:lang w:val="x-none" w:eastAsia="cs-CZ"/>
    </w:rPr>
  </w:style>
  <w:style w:type="character" w:customStyle="1" w:styleId="PredmetkomentraChar128">
    <w:name w:val="Predmet komentára Char128"/>
    <w:aliases w:val="Char6 Char Char129,Predmet komentára Char Char Char129,Comment Subject Char Char Char129"/>
    <w:uiPriority w:val="99"/>
    <w:semiHidden/>
    <w:rPr>
      <w:rFonts w:ascii="Courier" w:hAnsi="Courier"/>
      <w:b/>
      <w:lang w:val="x-none" w:eastAsia="cs-CZ"/>
    </w:rPr>
  </w:style>
  <w:style w:type="character" w:customStyle="1" w:styleId="PredmetkomentraChar127">
    <w:name w:val="Predmet komentára Char127"/>
    <w:aliases w:val="Char6 Char Char128,Predmet komentára Char Char Char128,Comment Subject Char Char Char128"/>
    <w:uiPriority w:val="99"/>
    <w:semiHidden/>
    <w:rPr>
      <w:rFonts w:ascii="Courier" w:hAnsi="Courier"/>
      <w:b/>
      <w:lang w:val="x-none" w:eastAsia="cs-CZ"/>
    </w:rPr>
  </w:style>
  <w:style w:type="character" w:customStyle="1" w:styleId="PredmetkomentraChar126">
    <w:name w:val="Predmet komentára Char126"/>
    <w:aliases w:val="Char6 Char Char127,Predmet komentára Char Char Char127,Comment Subject Char Char Char127"/>
    <w:uiPriority w:val="99"/>
    <w:semiHidden/>
    <w:rPr>
      <w:rFonts w:ascii="Courier" w:hAnsi="Courier"/>
      <w:b/>
      <w:lang w:val="x-none" w:eastAsia="cs-CZ"/>
    </w:rPr>
  </w:style>
  <w:style w:type="character" w:customStyle="1" w:styleId="PredmetkomentraChar125">
    <w:name w:val="Predmet komentára Char125"/>
    <w:aliases w:val="Char6 Char Char126,Predmet komentára Char Char Char126,Comment Subject Char Char Char126"/>
    <w:uiPriority w:val="99"/>
    <w:semiHidden/>
    <w:rPr>
      <w:rFonts w:ascii="Courier" w:hAnsi="Courier"/>
      <w:b/>
      <w:lang w:val="x-none" w:eastAsia="cs-CZ"/>
    </w:rPr>
  </w:style>
  <w:style w:type="character" w:customStyle="1" w:styleId="PredmetkomentraChar124">
    <w:name w:val="Predmet komentára Char124"/>
    <w:aliases w:val="Char6 Char Char125,Predmet komentára Char Char Char125,Comment Subject Char Char Char125"/>
    <w:uiPriority w:val="99"/>
    <w:semiHidden/>
    <w:rPr>
      <w:rFonts w:ascii="Courier" w:hAnsi="Courier"/>
      <w:b/>
      <w:lang w:val="x-none" w:eastAsia="cs-CZ"/>
    </w:rPr>
  </w:style>
  <w:style w:type="character" w:customStyle="1" w:styleId="PredmetkomentraChar123">
    <w:name w:val="Predmet komentára Char123"/>
    <w:aliases w:val="Char6 Char Char124,Predmet komentára Char Char Char124,Comment Subject Char Char Char124"/>
    <w:uiPriority w:val="99"/>
    <w:semiHidden/>
    <w:rPr>
      <w:rFonts w:ascii="Courier" w:hAnsi="Courier"/>
      <w:b/>
      <w:lang w:val="x-none" w:eastAsia="cs-CZ"/>
    </w:rPr>
  </w:style>
  <w:style w:type="character" w:customStyle="1" w:styleId="PredmetkomentraChar122">
    <w:name w:val="Predmet komentára Char122"/>
    <w:aliases w:val="Char6 Char Char123,Predmet komentára Char Char Char123,Comment Subject Char Char Char123"/>
    <w:uiPriority w:val="99"/>
    <w:semiHidden/>
    <w:rPr>
      <w:rFonts w:ascii="Courier" w:hAnsi="Courier"/>
      <w:b/>
      <w:lang w:val="x-none" w:eastAsia="cs-CZ"/>
    </w:rPr>
  </w:style>
  <w:style w:type="character" w:customStyle="1" w:styleId="PredmetkomentraChar121">
    <w:name w:val="Predmet komentára Char121"/>
    <w:aliases w:val="Char6 Char Char122,Predmet komentára Char Char Char122,Comment Subject Char Char Char122"/>
    <w:uiPriority w:val="99"/>
    <w:semiHidden/>
    <w:rPr>
      <w:rFonts w:ascii="Courier" w:hAnsi="Courier"/>
      <w:b/>
      <w:lang w:val="x-none" w:eastAsia="cs-CZ"/>
    </w:rPr>
  </w:style>
  <w:style w:type="character" w:customStyle="1" w:styleId="PredmetkomentraChar120">
    <w:name w:val="Predmet komentára Char120"/>
    <w:aliases w:val="Char6 Char Char121,Predmet komentára Char Char Char121,Comment Subject Char Char Char121"/>
    <w:uiPriority w:val="99"/>
    <w:semiHidden/>
    <w:rPr>
      <w:rFonts w:ascii="Courier" w:hAnsi="Courier"/>
      <w:b/>
      <w:lang w:val="x-none" w:eastAsia="cs-CZ"/>
    </w:rPr>
  </w:style>
  <w:style w:type="character" w:customStyle="1" w:styleId="PredmetkomentraChar119">
    <w:name w:val="Predmet komentára Char119"/>
    <w:aliases w:val="Char6 Char Char120,Predmet komentára Char Char Char120,Comment Subject Char Char Char120"/>
    <w:uiPriority w:val="99"/>
    <w:semiHidden/>
    <w:rPr>
      <w:rFonts w:ascii="Courier" w:hAnsi="Courier"/>
      <w:b/>
      <w:lang w:val="x-none" w:eastAsia="cs-CZ"/>
    </w:rPr>
  </w:style>
  <w:style w:type="character" w:customStyle="1" w:styleId="PredmetkomentraChar118">
    <w:name w:val="Predmet komentára Char118"/>
    <w:aliases w:val="Char6 Char Char119,Predmet komentára Char Char Char119,Comment Subject Char Char Char119"/>
    <w:uiPriority w:val="99"/>
    <w:semiHidden/>
    <w:rPr>
      <w:rFonts w:ascii="Courier" w:hAnsi="Courier"/>
      <w:b/>
      <w:lang w:val="x-none" w:eastAsia="cs-CZ"/>
    </w:rPr>
  </w:style>
  <w:style w:type="character" w:customStyle="1" w:styleId="PredmetkomentraChar117">
    <w:name w:val="Predmet komentára Char117"/>
    <w:aliases w:val="Char6 Char Char118,Predmet komentára Char Char Char118,Comment Subject Char Char Char118"/>
    <w:uiPriority w:val="99"/>
    <w:semiHidden/>
    <w:rPr>
      <w:rFonts w:ascii="Courier" w:hAnsi="Courier"/>
      <w:b/>
      <w:lang w:val="x-none" w:eastAsia="cs-CZ"/>
    </w:rPr>
  </w:style>
  <w:style w:type="character" w:customStyle="1" w:styleId="PredmetkomentraChar116">
    <w:name w:val="Predmet komentára Char116"/>
    <w:aliases w:val="Char6 Char Char117,Predmet komentára Char Char Char117,Comment Subject Char Char Char117"/>
    <w:uiPriority w:val="99"/>
    <w:semiHidden/>
    <w:rPr>
      <w:rFonts w:ascii="Courier" w:hAnsi="Courier"/>
      <w:b/>
      <w:lang w:val="x-none" w:eastAsia="cs-CZ"/>
    </w:rPr>
  </w:style>
  <w:style w:type="character" w:customStyle="1" w:styleId="PredmetkomentraChar115">
    <w:name w:val="Predmet komentára Char115"/>
    <w:aliases w:val="Char6 Char Char116,Predmet komentára Char Char Char116,Comment Subject Char Char Char116"/>
    <w:uiPriority w:val="99"/>
    <w:semiHidden/>
    <w:rPr>
      <w:rFonts w:ascii="Courier" w:hAnsi="Courier"/>
      <w:b/>
      <w:lang w:val="x-none" w:eastAsia="cs-CZ"/>
    </w:rPr>
  </w:style>
  <w:style w:type="character" w:customStyle="1" w:styleId="PredmetkomentraChar114">
    <w:name w:val="Predmet komentára Char114"/>
    <w:aliases w:val="Char6 Char Char115,Predmet komentára Char Char Char115,Comment Subject Char Char Char115"/>
    <w:uiPriority w:val="99"/>
    <w:semiHidden/>
    <w:rPr>
      <w:rFonts w:ascii="Courier" w:hAnsi="Courier"/>
      <w:b/>
      <w:lang w:val="x-none" w:eastAsia="cs-CZ"/>
    </w:rPr>
  </w:style>
  <w:style w:type="character" w:customStyle="1" w:styleId="PredmetkomentraChar113">
    <w:name w:val="Predmet komentára Char113"/>
    <w:aliases w:val="Char6 Char Char114,Predmet komentára Char Char Char114,Comment Subject Char Char Char114"/>
    <w:uiPriority w:val="99"/>
    <w:semiHidden/>
    <w:rPr>
      <w:rFonts w:ascii="Courier" w:hAnsi="Courier"/>
      <w:b/>
      <w:lang w:val="x-none" w:eastAsia="cs-CZ"/>
    </w:rPr>
  </w:style>
  <w:style w:type="character" w:customStyle="1" w:styleId="PredmetkomentraChar112">
    <w:name w:val="Predmet komentára Char112"/>
    <w:aliases w:val="Char6 Char Char113,Predmet komentára Char Char Char113,Comment Subject Char Char Char113"/>
    <w:uiPriority w:val="99"/>
    <w:semiHidden/>
    <w:rPr>
      <w:rFonts w:ascii="Courier" w:hAnsi="Courier"/>
      <w:b/>
      <w:lang w:val="x-none" w:eastAsia="cs-CZ"/>
    </w:rPr>
  </w:style>
  <w:style w:type="character" w:customStyle="1" w:styleId="PredmetkomentraChar111">
    <w:name w:val="Predmet komentára Char111"/>
    <w:aliases w:val="Char6 Char Char112,Predmet komentára Char Char Char112,Comment Subject Char Char Char112"/>
    <w:uiPriority w:val="99"/>
    <w:semiHidden/>
    <w:rPr>
      <w:rFonts w:ascii="Courier" w:hAnsi="Courier"/>
      <w:b/>
      <w:lang w:val="x-none" w:eastAsia="cs-CZ"/>
    </w:rPr>
  </w:style>
  <w:style w:type="character" w:customStyle="1" w:styleId="PredmetkomentraChar110">
    <w:name w:val="Predmet komentára Char110"/>
    <w:aliases w:val="Char6 Char Char110,Predmet komentára Char Char Char110,Comment Subject Char Char Char110"/>
    <w:uiPriority w:val="99"/>
    <w:semiHidden/>
    <w:rPr>
      <w:rFonts w:ascii="Courier" w:hAnsi="Courier"/>
      <w:b/>
      <w:lang w:val="x-none" w:eastAsia="cs-CZ"/>
    </w:rPr>
  </w:style>
  <w:style w:type="character" w:customStyle="1" w:styleId="PredmetkomentraChar19">
    <w:name w:val="Predmet komentára Char19"/>
    <w:aliases w:val="Char6 Char Char19,Predmet komentára Char Char Char19,Comment Subject Char Char Char19"/>
    <w:uiPriority w:val="99"/>
    <w:semiHidden/>
    <w:rPr>
      <w:rFonts w:ascii="Courier" w:hAnsi="Courier"/>
      <w:b/>
      <w:lang w:val="x-none" w:eastAsia="cs-CZ"/>
    </w:rPr>
  </w:style>
  <w:style w:type="character" w:customStyle="1" w:styleId="PredmetkomentraChar18">
    <w:name w:val="Predmet komentára Char18"/>
    <w:aliases w:val="Char6 Char Char18,Predmet komentára Char Char Char18,Comment Subject Char Char Char18"/>
    <w:uiPriority w:val="99"/>
    <w:semiHidden/>
    <w:rPr>
      <w:rFonts w:ascii="Courier" w:hAnsi="Courier"/>
      <w:b/>
      <w:lang w:val="x-none" w:eastAsia="cs-CZ"/>
    </w:rPr>
  </w:style>
  <w:style w:type="character" w:customStyle="1" w:styleId="PredmetkomentraChar17">
    <w:name w:val="Predmet komentára Char17"/>
    <w:aliases w:val="Char6 Char Char17,Predmet komentára Char Char Char17,Comment Subject Char Char Char17"/>
    <w:uiPriority w:val="99"/>
    <w:semiHidden/>
    <w:rPr>
      <w:rFonts w:ascii="Courier" w:hAnsi="Courier"/>
      <w:b/>
      <w:lang w:val="x-none" w:eastAsia="cs-CZ"/>
    </w:rPr>
  </w:style>
  <w:style w:type="character" w:customStyle="1" w:styleId="PredmetkomentraChar16">
    <w:name w:val="Predmet komentára Char16"/>
    <w:aliases w:val="Char6 Char Char16,Predmet komentára Char Char Char16,Comment Subject Char Char Char16"/>
    <w:uiPriority w:val="99"/>
    <w:semiHidden/>
    <w:rPr>
      <w:rFonts w:ascii="Courier" w:hAnsi="Courier"/>
      <w:b/>
      <w:lang w:val="x-none" w:eastAsia="cs-CZ"/>
    </w:rPr>
  </w:style>
  <w:style w:type="character" w:customStyle="1" w:styleId="PredmetkomentraChar15">
    <w:name w:val="Predmet komentára Char15"/>
    <w:aliases w:val="Char6 Char Char15,Predmet komentára Char Char Char15,Comment Subject Char Char Char15"/>
    <w:uiPriority w:val="99"/>
    <w:semiHidden/>
    <w:rPr>
      <w:rFonts w:ascii="Courier" w:hAnsi="Courier"/>
      <w:b/>
      <w:lang w:val="x-none" w:eastAsia="cs-CZ"/>
    </w:rPr>
  </w:style>
  <w:style w:type="character" w:customStyle="1" w:styleId="PredmetkomentraChar14">
    <w:name w:val="Predmet komentára Char14"/>
    <w:aliases w:val="Char6 Char Char14,Predmet komentára Char Char Char14,Comment Subject Char Char Char14"/>
    <w:uiPriority w:val="99"/>
    <w:semiHidden/>
    <w:rPr>
      <w:rFonts w:ascii="Courier" w:hAnsi="Courier"/>
      <w:b/>
      <w:lang w:val="x-none" w:eastAsia="cs-CZ"/>
    </w:rPr>
  </w:style>
  <w:style w:type="character" w:customStyle="1" w:styleId="PredmetkomentraChar13">
    <w:name w:val="Predmet komentára Char13"/>
    <w:aliases w:val="Char6 Char Char13,Predmet komentára Char Char Char13,Comment Subject Char Char Char13"/>
    <w:uiPriority w:val="99"/>
    <w:semiHidden/>
    <w:rPr>
      <w:rFonts w:ascii="Courier" w:hAnsi="Courier"/>
      <w:b/>
      <w:lang w:val="x-none" w:eastAsia="cs-CZ"/>
    </w:rPr>
  </w:style>
  <w:style w:type="character" w:customStyle="1" w:styleId="PredmetkomentraChar12">
    <w:name w:val="Predmet komentára Char12"/>
    <w:aliases w:val="Char6 Char Char12,Predmet komentára Char Char Char12,Comment Subject Char Char Char12"/>
    <w:uiPriority w:val="99"/>
    <w:semiHidden/>
    <w:rPr>
      <w:rFonts w:ascii="Courier" w:hAnsi="Courier"/>
      <w:b/>
      <w:lang w:val="x-none" w:eastAsia="cs-CZ"/>
    </w:rPr>
  </w:style>
  <w:style w:type="character" w:customStyle="1" w:styleId="PredmetkomentraChar11">
    <w:name w:val="Predmet komentára Char11"/>
    <w:aliases w:val="Char6 Char Char11,Predmet komentára Char Char Char11,Comment Subject Char Char Char11,Char6 Char Char111,Predmet komentára Char Char Char111,Comment Subject Char Char Char111"/>
    <w:uiPriority w:val="99"/>
    <w:semiHidden/>
    <w:rsid w:val="00992BC9"/>
    <w:rPr>
      <w:rFonts w:ascii="Courier" w:hAnsi="Courier"/>
      <w:b/>
      <w:lang w:val="x-none" w:eastAsia="cs-CZ"/>
    </w:rPr>
  </w:style>
  <w:style w:type="paragraph" w:customStyle="1" w:styleId="CharCharCharCharCharCharCharCharChar">
    <w:name w:val="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
    <w:name w:val="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3">
    <w:name w:val="Char3"/>
    <w:basedOn w:val="Normlny"/>
    <w:uiPriority w:val="99"/>
    <w:qFormat/>
    <w:rsid w:val="00992BC9"/>
    <w:pPr>
      <w:spacing w:after="160" w:line="240" w:lineRule="exact"/>
    </w:pPr>
    <w:rPr>
      <w:rFonts w:ascii="Tahoma" w:hAnsi="Tahoma" w:cs="Tahoma"/>
      <w:sz w:val="20"/>
      <w:szCs w:val="20"/>
      <w:lang w:val="en-US" w:eastAsia="en-US"/>
    </w:rPr>
  </w:style>
  <w:style w:type="paragraph" w:styleId="Zarkazkladnhotextu3">
    <w:name w:val="Body Text Indent 3"/>
    <w:aliases w:val="Char2 Char,Zarážka základného textu 3 Char Char,Body Text Indent 3 Char Char Char"/>
    <w:basedOn w:val="Normlny"/>
    <w:link w:val="Zarkazkladnhotextu3Char"/>
    <w:uiPriority w:val="99"/>
    <w:qFormat/>
    <w:rsid w:val="00992BC9"/>
    <w:pPr>
      <w:spacing w:after="120"/>
      <w:ind w:left="283"/>
    </w:pPr>
    <w:rPr>
      <w:rFonts w:cs="Times New Roman"/>
      <w:sz w:val="16"/>
      <w:szCs w:val="16"/>
    </w:rPr>
  </w:style>
  <w:style w:type="character" w:customStyle="1" w:styleId="Zarkazkladnhotextu3Char">
    <w:name w:val="Zarážka základného textu 3 Char"/>
    <w:aliases w:val="Char2 Char Char,Zarážka základného textu 3 Char Char Char,Body Text Indent 3 Char Char Char Char"/>
    <w:basedOn w:val="Predvolenpsmoodseku"/>
    <w:link w:val="Zarkazkladnhotextu3"/>
    <w:uiPriority w:val="99"/>
    <w:locked/>
    <w:rsid w:val="00992BC9"/>
    <w:rPr>
      <w:rFonts w:ascii="Courier" w:hAnsi="Courier" w:cs="Times New Roman"/>
      <w:sz w:val="16"/>
      <w:lang w:val="x-none" w:eastAsia="cs-CZ"/>
    </w:rPr>
  </w:style>
  <w:style w:type="paragraph" w:customStyle="1" w:styleId="CharChar1">
    <w:name w:val="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1">
    <w:name w:val="Char1"/>
    <w:basedOn w:val="Normlny"/>
    <w:uiPriority w:val="99"/>
    <w:qFormat/>
    <w:rsid w:val="00992BC9"/>
    <w:pPr>
      <w:spacing w:after="160" w:line="240" w:lineRule="exact"/>
    </w:pPr>
    <w:rPr>
      <w:rFonts w:ascii="Tahoma" w:hAnsi="Tahoma" w:cs="Tahoma"/>
      <w:sz w:val="20"/>
      <w:szCs w:val="20"/>
      <w:lang w:val="en-US" w:eastAsia="en-US"/>
    </w:rPr>
  </w:style>
  <w:style w:type="character" w:styleId="Hypertextovprepojenie">
    <w:name w:val="Hyperlink"/>
    <w:basedOn w:val="Predvolenpsmoodseku"/>
    <w:uiPriority w:val="99"/>
    <w:rsid w:val="00992BC9"/>
    <w:rPr>
      <w:rFonts w:cs="Times New Roman"/>
      <w:color w:val="0000FF"/>
      <w:u w:val="single"/>
    </w:rPr>
  </w:style>
  <w:style w:type="character" w:customStyle="1" w:styleId="BodyTextIndentCharChar">
    <w:name w:val="Body Text Indent Char Char"/>
    <w:uiPriority w:val="99"/>
    <w:rsid w:val="00992BC9"/>
    <w:rPr>
      <w:rFonts w:ascii="Courier" w:hAnsi="Courier"/>
      <w:sz w:val="24"/>
      <w:lang w:val="x-none" w:eastAsia="cs-CZ"/>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1">
    <w:name w:val="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CharCharCharCharChar1">
    <w:name w:val="Char Char Char2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1CharCharCharCharChar1">
    <w:name w:val="Char Char Char Char Char Char Char Char Char Char Char Char Char Char Char Char Char Char Char Char Char Char Char1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ObyajntextChar">
    <w:name w:val="Obyčajný text Char"/>
    <w:aliases w:val="Obyčajný text Char Char Char Char"/>
    <w:link w:val="Obyajntext"/>
    <w:uiPriority w:val="99"/>
    <w:locked/>
    <w:rsid w:val="00992BC9"/>
    <w:rPr>
      <w:rFonts w:ascii="Consolas" w:hAnsi="Consolas"/>
      <w:sz w:val="21"/>
    </w:rPr>
  </w:style>
  <w:style w:type="paragraph" w:styleId="Obyajntext">
    <w:name w:val="Plain Text"/>
    <w:aliases w:val="Obyčajný text Char Char Char"/>
    <w:basedOn w:val="Normlny"/>
    <w:link w:val="ObyajntextChar"/>
    <w:uiPriority w:val="99"/>
    <w:qFormat/>
    <w:rsid w:val="00992BC9"/>
    <w:rPr>
      <w:rFonts w:ascii="Consolas" w:hAnsi="Consolas" w:cs="Times New Roman"/>
      <w:sz w:val="21"/>
      <w:szCs w:val="21"/>
    </w:rPr>
  </w:style>
  <w:style w:type="character" w:customStyle="1" w:styleId="ObyajntextChar1">
    <w:name w:val="Obyčajný text Char1"/>
    <w:aliases w:val="Obyčajný text Char Char Char Char1"/>
    <w:basedOn w:val="Predvolenpsmoodseku"/>
    <w:uiPriority w:val="99"/>
    <w:semiHidden/>
    <w:rPr>
      <w:rFonts w:ascii="Courier New" w:hAnsi="Courier New" w:cs="Courier New"/>
      <w:lang w:eastAsia="cs-CZ"/>
    </w:rPr>
  </w:style>
  <w:style w:type="character" w:customStyle="1" w:styleId="ObyajntextChar1621">
    <w:name w:val="Obyčajný text Char1621"/>
    <w:aliases w:val="Obyčajný text Char Char Char Char1622"/>
    <w:basedOn w:val="Predvolenpsmoodseku"/>
    <w:uiPriority w:val="99"/>
    <w:semiHidden/>
    <w:rPr>
      <w:rFonts w:ascii="Courier New" w:hAnsi="Courier New" w:cs="Courier New"/>
      <w:lang w:val="x-none" w:eastAsia="cs-CZ"/>
    </w:rPr>
  </w:style>
  <w:style w:type="character" w:customStyle="1" w:styleId="ObyajntextChar1620">
    <w:name w:val="Obyčajný text Char1620"/>
    <w:aliases w:val="Obyčajný text Char Char Char Char1621"/>
    <w:basedOn w:val="Predvolenpsmoodseku"/>
    <w:uiPriority w:val="99"/>
    <w:semiHidden/>
    <w:rPr>
      <w:rFonts w:ascii="Courier New" w:hAnsi="Courier New" w:cs="Courier New"/>
      <w:lang w:val="x-none" w:eastAsia="cs-CZ"/>
    </w:rPr>
  </w:style>
  <w:style w:type="character" w:customStyle="1" w:styleId="ObyajntextChar1614">
    <w:name w:val="Obyčajný text Char1614"/>
    <w:aliases w:val="Obyčajný text Char Char Char Char1615"/>
    <w:basedOn w:val="Predvolenpsmoodseku"/>
    <w:uiPriority w:val="99"/>
    <w:semiHidden/>
    <w:rPr>
      <w:rFonts w:ascii="Courier New" w:hAnsi="Courier New" w:cs="Courier New"/>
      <w:lang w:val="x-none" w:eastAsia="cs-CZ"/>
    </w:rPr>
  </w:style>
  <w:style w:type="character" w:customStyle="1" w:styleId="ObyajntextChar1613">
    <w:name w:val="Obyčajný text Char1613"/>
    <w:aliases w:val="Obyčajný text Char Char Char Char1614"/>
    <w:basedOn w:val="Predvolenpsmoodseku"/>
    <w:uiPriority w:val="99"/>
    <w:semiHidden/>
    <w:rPr>
      <w:rFonts w:ascii="Courier New" w:hAnsi="Courier New" w:cs="Courier New"/>
      <w:lang w:val="x-none" w:eastAsia="cs-CZ"/>
    </w:rPr>
  </w:style>
  <w:style w:type="character" w:customStyle="1" w:styleId="ObyajntextChar1612">
    <w:name w:val="Obyčajný text Char1612"/>
    <w:aliases w:val="Obyčajný text Char Char Char Char1613"/>
    <w:basedOn w:val="Predvolenpsmoodseku"/>
    <w:uiPriority w:val="99"/>
    <w:semiHidden/>
    <w:rPr>
      <w:rFonts w:ascii="Courier New" w:hAnsi="Courier New" w:cs="Courier New"/>
      <w:lang w:val="x-none" w:eastAsia="cs-CZ"/>
    </w:rPr>
  </w:style>
  <w:style w:type="character" w:customStyle="1" w:styleId="ObyajntextChar1611">
    <w:name w:val="Obyčajný text Char1611"/>
    <w:aliases w:val="Obyčajný text Char Char Char Char1612"/>
    <w:basedOn w:val="Predvolenpsmoodseku"/>
    <w:uiPriority w:val="99"/>
    <w:semiHidden/>
    <w:rPr>
      <w:rFonts w:ascii="Courier New" w:hAnsi="Courier New" w:cs="Courier New"/>
      <w:lang w:val="x-none" w:eastAsia="cs-CZ"/>
    </w:rPr>
  </w:style>
  <w:style w:type="character" w:customStyle="1" w:styleId="ObyajntextChar1610">
    <w:name w:val="Obyčajný text Char1610"/>
    <w:aliases w:val="Obyčajný text Char Char Char Char1611"/>
    <w:basedOn w:val="Predvolenpsmoodseku"/>
    <w:uiPriority w:val="99"/>
    <w:semiHidden/>
    <w:rPr>
      <w:rFonts w:ascii="Courier New" w:hAnsi="Courier New" w:cs="Courier New"/>
      <w:lang w:val="x-none" w:eastAsia="cs-CZ"/>
    </w:rPr>
  </w:style>
  <w:style w:type="character" w:customStyle="1" w:styleId="ObyajntextChar1609">
    <w:name w:val="Obyčajný text Char1609"/>
    <w:aliases w:val="Obyčajný text Char Char Char Char1610"/>
    <w:basedOn w:val="Predvolenpsmoodseku"/>
    <w:uiPriority w:val="99"/>
    <w:semiHidden/>
    <w:rPr>
      <w:rFonts w:ascii="Courier New" w:hAnsi="Courier New" w:cs="Courier New"/>
      <w:lang w:val="x-none" w:eastAsia="cs-CZ"/>
    </w:rPr>
  </w:style>
  <w:style w:type="character" w:customStyle="1" w:styleId="ObyajntextChar1608">
    <w:name w:val="Obyčajný text Char1608"/>
    <w:aliases w:val="Obyčajný text Char Char Char Char1609"/>
    <w:basedOn w:val="Predvolenpsmoodseku"/>
    <w:uiPriority w:val="99"/>
    <w:semiHidden/>
    <w:rPr>
      <w:rFonts w:ascii="Courier New" w:hAnsi="Courier New" w:cs="Courier New"/>
      <w:lang w:val="x-none" w:eastAsia="cs-CZ"/>
    </w:rPr>
  </w:style>
  <w:style w:type="character" w:customStyle="1" w:styleId="ObyajntextChar1607">
    <w:name w:val="Obyčajný text Char1607"/>
    <w:aliases w:val="Obyčajný text Char Char Char Char1608"/>
    <w:basedOn w:val="Predvolenpsmoodseku"/>
    <w:uiPriority w:val="99"/>
    <w:semiHidden/>
    <w:rPr>
      <w:rFonts w:ascii="Courier New" w:hAnsi="Courier New" w:cs="Courier New"/>
      <w:lang w:val="x-none" w:eastAsia="cs-CZ"/>
    </w:rPr>
  </w:style>
  <w:style w:type="character" w:customStyle="1" w:styleId="ObyajntextChar1606">
    <w:name w:val="Obyčajný text Char1606"/>
    <w:aliases w:val="Obyčajný text Char Char Char Char1607"/>
    <w:basedOn w:val="Predvolenpsmoodseku"/>
    <w:uiPriority w:val="99"/>
    <w:semiHidden/>
    <w:rPr>
      <w:rFonts w:ascii="Courier New" w:hAnsi="Courier New" w:cs="Courier New"/>
      <w:lang w:val="x-none" w:eastAsia="cs-CZ"/>
    </w:rPr>
  </w:style>
  <w:style w:type="character" w:customStyle="1" w:styleId="ObyajntextChar1605">
    <w:name w:val="Obyčajný text Char1605"/>
    <w:aliases w:val="Obyčajný text Char Char Char Char1606"/>
    <w:basedOn w:val="Predvolenpsmoodseku"/>
    <w:uiPriority w:val="99"/>
    <w:semiHidden/>
    <w:rPr>
      <w:rFonts w:ascii="Courier New" w:hAnsi="Courier New" w:cs="Courier New"/>
      <w:lang w:val="x-none" w:eastAsia="cs-CZ"/>
    </w:rPr>
  </w:style>
  <w:style w:type="character" w:customStyle="1" w:styleId="ObyajntextChar1604">
    <w:name w:val="Obyčajný text Char1604"/>
    <w:aliases w:val="Obyčajný text Char Char Char Char1605"/>
    <w:basedOn w:val="Predvolenpsmoodseku"/>
    <w:uiPriority w:val="99"/>
    <w:semiHidden/>
    <w:rPr>
      <w:rFonts w:ascii="Courier New" w:hAnsi="Courier New" w:cs="Courier New"/>
      <w:lang w:val="x-none" w:eastAsia="cs-CZ"/>
    </w:rPr>
  </w:style>
  <w:style w:type="character" w:customStyle="1" w:styleId="ObyajntextChar1603">
    <w:name w:val="Obyčajný text Char1603"/>
    <w:aliases w:val="Obyčajný text Char Char Char Char1604"/>
    <w:basedOn w:val="Predvolenpsmoodseku"/>
    <w:uiPriority w:val="99"/>
    <w:semiHidden/>
    <w:rPr>
      <w:rFonts w:ascii="Courier New" w:hAnsi="Courier New" w:cs="Courier New"/>
      <w:lang w:val="x-none" w:eastAsia="cs-CZ"/>
    </w:rPr>
  </w:style>
  <w:style w:type="character" w:customStyle="1" w:styleId="ObyajntextChar1602">
    <w:name w:val="Obyčajný text Char1602"/>
    <w:aliases w:val="Obyčajný text Char Char Char Char1603"/>
    <w:basedOn w:val="Predvolenpsmoodseku"/>
    <w:uiPriority w:val="99"/>
    <w:semiHidden/>
    <w:rPr>
      <w:rFonts w:ascii="Courier New" w:hAnsi="Courier New" w:cs="Courier New"/>
      <w:lang w:val="x-none" w:eastAsia="cs-CZ"/>
    </w:rPr>
  </w:style>
  <w:style w:type="character" w:customStyle="1" w:styleId="ObyajntextChar1601">
    <w:name w:val="Obyčajný text Char1601"/>
    <w:aliases w:val="Obyčajný text Char Char Char Char1602"/>
    <w:basedOn w:val="Predvolenpsmoodseku"/>
    <w:uiPriority w:val="99"/>
    <w:semiHidden/>
    <w:rPr>
      <w:rFonts w:ascii="Courier New" w:hAnsi="Courier New" w:cs="Courier New"/>
      <w:lang w:val="x-none" w:eastAsia="cs-CZ"/>
    </w:rPr>
  </w:style>
  <w:style w:type="character" w:customStyle="1" w:styleId="ObyajntextChar1600">
    <w:name w:val="Obyčajný text Char1600"/>
    <w:aliases w:val="Obyčajný text Char Char Char Char1601"/>
    <w:basedOn w:val="Predvolenpsmoodseku"/>
    <w:uiPriority w:val="99"/>
    <w:semiHidden/>
    <w:rPr>
      <w:rFonts w:ascii="Courier New" w:hAnsi="Courier New" w:cs="Courier New"/>
      <w:lang w:val="x-none" w:eastAsia="cs-CZ"/>
    </w:rPr>
  </w:style>
  <w:style w:type="character" w:customStyle="1" w:styleId="ObyajntextChar1599">
    <w:name w:val="Obyčajný text Char1599"/>
    <w:aliases w:val="Obyčajný text Char Char Char Char1600"/>
    <w:basedOn w:val="Predvolenpsmoodseku"/>
    <w:uiPriority w:val="99"/>
    <w:semiHidden/>
    <w:rPr>
      <w:rFonts w:ascii="Courier New" w:hAnsi="Courier New" w:cs="Courier New"/>
      <w:lang w:val="x-none" w:eastAsia="cs-CZ"/>
    </w:rPr>
  </w:style>
  <w:style w:type="character" w:customStyle="1" w:styleId="ObyajntextChar1598">
    <w:name w:val="Obyčajný text Char1598"/>
    <w:aliases w:val="Obyčajný text Char Char Char Char1599"/>
    <w:basedOn w:val="Predvolenpsmoodseku"/>
    <w:uiPriority w:val="99"/>
    <w:semiHidden/>
    <w:rPr>
      <w:rFonts w:ascii="Courier New" w:hAnsi="Courier New" w:cs="Courier New"/>
      <w:lang w:val="x-none" w:eastAsia="cs-CZ"/>
    </w:rPr>
  </w:style>
  <w:style w:type="character" w:customStyle="1" w:styleId="ObyajntextChar1597">
    <w:name w:val="Obyčajný text Char1597"/>
    <w:aliases w:val="Obyčajný text Char Char Char Char1598"/>
    <w:basedOn w:val="Predvolenpsmoodseku"/>
    <w:uiPriority w:val="99"/>
    <w:semiHidden/>
    <w:rPr>
      <w:rFonts w:ascii="Courier New" w:hAnsi="Courier New" w:cs="Courier New"/>
      <w:lang w:val="x-none" w:eastAsia="cs-CZ"/>
    </w:rPr>
  </w:style>
  <w:style w:type="character" w:customStyle="1" w:styleId="ObyajntextChar1596">
    <w:name w:val="Obyčajný text Char1596"/>
    <w:aliases w:val="Obyčajný text Char Char Char Char1597"/>
    <w:basedOn w:val="Predvolenpsmoodseku"/>
    <w:uiPriority w:val="99"/>
    <w:semiHidden/>
    <w:rPr>
      <w:rFonts w:ascii="Courier New" w:hAnsi="Courier New" w:cs="Courier New"/>
      <w:lang w:val="x-none" w:eastAsia="cs-CZ"/>
    </w:rPr>
  </w:style>
  <w:style w:type="character" w:customStyle="1" w:styleId="ObyajntextChar1595">
    <w:name w:val="Obyčajný text Char1595"/>
    <w:aliases w:val="Obyčajný text Char Char Char Char1596"/>
    <w:basedOn w:val="Predvolenpsmoodseku"/>
    <w:uiPriority w:val="99"/>
    <w:semiHidden/>
    <w:rPr>
      <w:rFonts w:ascii="Courier New" w:hAnsi="Courier New" w:cs="Courier New"/>
      <w:lang w:val="x-none" w:eastAsia="cs-CZ"/>
    </w:rPr>
  </w:style>
  <w:style w:type="character" w:customStyle="1" w:styleId="ObyajntextChar1594">
    <w:name w:val="Obyčajný text Char1594"/>
    <w:aliases w:val="Obyčajný text Char Char Char Char1595"/>
    <w:basedOn w:val="Predvolenpsmoodseku"/>
    <w:uiPriority w:val="99"/>
    <w:semiHidden/>
    <w:rPr>
      <w:rFonts w:ascii="Courier New" w:hAnsi="Courier New" w:cs="Courier New"/>
      <w:lang w:val="x-none" w:eastAsia="cs-CZ"/>
    </w:rPr>
  </w:style>
  <w:style w:type="character" w:customStyle="1" w:styleId="ObyajntextChar1593">
    <w:name w:val="Obyčajný text Char1593"/>
    <w:aliases w:val="Obyčajný text Char Char Char Char1594"/>
    <w:basedOn w:val="Predvolenpsmoodseku"/>
    <w:uiPriority w:val="99"/>
    <w:semiHidden/>
    <w:rPr>
      <w:rFonts w:ascii="Courier New" w:hAnsi="Courier New" w:cs="Courier New"/>
      <w:lang w:val="x-none" w:eastAsia="cs-CZ"/>
    </w:rPr>
  </w:style>
  <w:style w:type="character" w:customStyle="1" w:styleId="ObyajntextChar1592">
    <w:name w:val="Obyčajný text Char1592"/>
    <w:aliases w:val="Obyčajný text Char Char Char Char1593"/>
    <w:basedOn w:val="Predvolenpsmoodseku"/>
    <w:uiPriority w:val="99"/>
    <w:semiHidden/>
    <w:rPr>
      <w:rFonts w:ascii="Courier New" w:hAnsi="Courier New" w:cs="Courier New"/>
      <w:lang w:val="x-none" w:eastAsia="cs-CZ"/>
    </w:rPr>
  </w:style>
  <w:style w:type="character" w:customStyle="1" w:styleId="ObyajntextChar1591">
    <w:name w:val="Obyčajný text Char1591"/>
    <w:aliases w:val="Obyčajný text Char Char Char Char1592"/>
    <w:basedOn w:val="Predvolenpsmoodseku"/>
    <w:uiPriority w:val="99"/>
    <w:semiHidden/>
    <w:rPr>
      <w:rFonts w:ascii="Courier New" w:hAnsi="Courier New" w:cs="Courier New"/>
      <w:lang w:val="x-none" w:eastAsia="cs-CZ"/>
    </w:rPr>
  </w:style>
  <w:style w:type="character" w:customStyle="1" w:styleId="ObyajntextChar1590">
    <w:name w:val="Obyčajný text Char1590"/>
    <w:aliases w:val="Obyčajný text Char Char Char Char1591"/>
    <w:basedOn w:val="Predvolenpsmoodseku"/>
    <w:uiPriority w:val="99"/>
    <w:semiHidden/>
    <w:rPr>
      <w:rFonts w:ascii="Courier New" w:hAnsi="Courier New" w:cs="Courier New"/>
      <w:lang w:val="x-none" w:eastAsia="cs-CZ"/>
    </w:rPr>
  </w:style>
  <w:style w:type="character" w:customStyle="1" w:styleId="ObyajntextChar1589">
    <w:name w:val="Obyčajný text Char1589"/>
    <w:aliases w:val="Obyčajný text Char Char Char Char1590"/>
    <w:basedOn w:val="Predvolenpsmoodseku"/>
    <w:uiPriority w:val="99"/>
    <w:semiHidden/>
    <w:rPr>
      <w:rFonts w:ascii="Courier New" w:hAnsi="Courier New" w:cs="Courier New"/>
      <w:lang w:val="x-none" w:eastAsia="cs-CZ"/>
    </w:rPr>
  </w:style>
  <w:style w:type="character" w:customStyle="1" w:styleId="ObyajntextChar1588">
    <w:name w:val="Obyčajný text Char1588"/>
    <w:aliases w:val="Obyčajný text Char Char Char Char1589"/>
    <w:basedOn w:val="Predvolenpsmoodseku"/>
    <w:uiPriority w:val="99"/>
    <w:semiHidden/>
    <w:rPr>
      <w:rFonts w:ascii="Courier New" w:hAnsi="Courier New" w:cs="Courier New"/>
      <w:lang w:val="x-none" w:eastAsia="cs-CZ"/>
    </w:rPr>
  </w:style>
  <w:style w:type="character" w:customStyle="1" w:styleId="ObyajntextChar1587">
    <w:name w:val="Obyčajný text Char1587"/>
    <w:aliases w:val="Obyčajný text Char Char Char Char1588"/>
    <w:basedOn w:val="Predvolenpsmoodseku"/>
    <w:uiPriority w:val="99"/>
    <w:semiHidden/>
    <w:rPr>
      <w:rFonts w:ascii="Courier New" w:hAnsi="Courier New" w:cs="Courier New"/>
      <w:lang w:val="x-none" w:eastAsia="cs-CZ"/>
    </w:rPr>
  </w:style>
  <w:style w:type="character" w:customStyle="1" w:styleId="ObyajntextChar1586">
    <w:name w:val="Obyčajný text Char1586"/>
    <w:aliases w:val="Obyčajný text Char Char Char Char1587"/>
    <w:basedOn w:val="Predvolenpsmoodseku"/>
    <w:uiPriority w:val="99"/>
    <w:semiHidden/>
    <w:rPr>
      <w:rFonts w:ascii="Courier New" w:hAnsi="Courier New" w:cs="Courier New"/>
      <w:lang w:val="x-none" w:eastAsia="cs-CZ"/>
    </w:rPr>
  </w:style>
  <w:style w:type="character" w:customStyle="1" w:styleId="ObyajntextChar1585">
    <w:name w:val="Obyčajný text Char1585"/>
    <w:aliases w:val="Obyčajný text Char Char Char Char1586"/>
    <w:basedOn w:val="Predvolenpsmoodseku"/>
    <w:uiPriority w:val="99"/>
    <w:semiHidden/>
    <w:rPr>
      <w:rFonts w:ascii="Courier New" w:hAnsi="Courier New" w:cs="Courier New"/>
      <w:lang w:val="x-none" w:eastAsia="cs-CZ"/>
    </w:rPr>
  </w:style>
  <w:style w:type="character" w:customStyle="1" w:styleId="ObyajntextChar1584">
    <w:name w:val="Obyčajný text Char1584"/>
    <w:aliases w:val="Obyčajný text Char Char Char Char1585"/>
    <w:basedOn w:val="Predvolenpsmoodseku"/>
    <w:uiPriority w:val="99"/>
    <w:semiHidden/>
    <w:rPr>
      <w:rFonts w:ascii="Courier New" w:hAnsi="Courier New" w:cs="Courier New"/>
      <w:lang w:val="x-none" w:eastAsia="cs-CZ"/>
    </w:rPr>
  </w:style>
  <w:style w:type="character" w:customStyle="1" w:styleId="ObyajntextChar1583">
    <w:name w:val="Obyčajný text Char1583"/>
    <w:aliases w:val="Obyčajný text Char Char Char Char1584"/>
    <w:basedOn w:val="Predvolenpsmoodseku"/>
    <w:uiPriority w:val="99"/>
    <w:semiHidden/>
    <w:rPr>
      <w:rFonts w:ascii="Courier New" w:hAnsi="Courier New" w:cs="Courier New"/>
      <w:lang w:val="x-none" w:eastAsia="cs-CZ"/>
    </w:rPr>
  </w:style>
  <w:style w:type="character" w:customStyle="1" w:styleId="ObyajntextChar1582">
    <w:name w:val="Obyčajný text Char1582"/>
    <w:aliases w:val="Obyčajný text Char Char Char Char1583"/>
    <w:basedOn w:val="Predvolenpsmoodseku"/>
    <w:uiPriority w:val="99"/>
    <w:semiHidden/>
    <w:rPr>
      <w:rFonts w:ascii="Courier New" w:hAnsi="Courier New" w:cs="Courier New"/>
      <w:lang w:val="x-none" w:eastAsia="cs-CZ"/>
    </w:rPr>
  </w:style>
  <w:style w:type="character" w:customStyle="1" w:styleId="ObyajntextChar1581">
    <w:name w:val="Obyčajný text Char1581"/>
    <w:aliases w:val="Obyčajný text Char Char Char Char1582"/>
    <w:basedOn w:val="Predvolenpsmoodseku"/>
    <w:uiPriority w:val="99"/>
    <w:semiHidden/>
    <w:rPr>
      <w:rFonts w:ascii="Courier New" w:hAnsi="Courier New" w:cs="Courier New"/>
      <w:lang w:val="x-none" w:eastAsia="cs-CZ"/>
    </w:rPr>
  </w:style>
  <w:style w:type="character" w:customStyle="1" w:styleId="ObyajntextChar1580">
    <w:name w:val="Obyčajný text Char1580"/>
    <w:aliases w:val="Obyčajný text Char Char Char Char1581"/>
    <w:basedOn w:val="Predvolenpsmoodseku"/>
    <w:uiPriority w:val="99"/>
    <w:semiHidden/>
    <w:rPr>
      <w:rFonts w:ascii="Courier New" w:hAnsi="Courier New" w:cs="Courier New"/>
      <w:lang w:val="x-none" w:eastAsia="cs-CZ"/>
    </w:rPr>
  </w:style>
  <w:style w:type="character" w:customStyle="1" w:styleId="ObyajntextChar1579">
    <w:name w:val="Obyčajný text Char1579"/>
    <w:aliases w:val="Obyčajný text Char Char Char Char1580"/>
    <w:basedOn w:val="Predvolenpsmoodseku"/>
    <w:uiPriority w:val="99"/>
    <w:semiHidden/>
    <w:rPr>
      <w:rFonts w:ascii="Courier New" w:hAnsi="Courier New" w:cs="Courier New"/>
      <w:lang w:val="x-none" w:eastAsia="cs-CZ"/>
    </w:rPr>
  </w:style>
  <w:style w:type="character" w:customStyle="1" w:styleId="ObyajntextChar1578">
    <w:name w:val="Obyčajný text Char1578"/>
    <w:aliases w:val="Obyčajný text Char Char Char Char1579"/>
    <w:basedOn w:val="Predvolenpsmoodseku"/>
    <w:uiPriority w:val="99"/>
    <w:semiHidden/>
    <w:rPr>
      <w:rFonts w:ascii="Courier New" w:hAnsi="Courier New" w:cs="Courier New"/>
      <w:lang w:val="x-none" w:eastAsia="cs-CZ"/>
    </w:rPr>
  </w:style>
  <w:style w:type="character" w:customStyle="1" w:styleId="ObyajntextChar1577">
    <w:name w:val="Obyčajný text Char1577"/>
    <w:aliases w:val="Obyčajný text Char Char Char Char1578"/>
    <w:basedOn w:val="Predvolenpsmoodseku"/>
    <w:uiPriority w:val="99"/>
    <w:semiHidden/>
    <w:rPr>
      <w:rFonts w:ascii="Courier New" w:hAnsi="Courier New" w:cs="Courier New"/>
      <w:lang w:val="x-none" w:eastAsia="cs-CZ"/>
    </w:rPr>
  </w:style>
  <w:style w:type="character" w:customStyle="1" w:styleId="ObyajntextChar1576">
    <w:name w:val="Obyčajný text Char1576"/>
    <w:aliases w:val="Obyčajný text Char Char Char Char1577"/>
    <w:basedOn w:val="Predvolenpsmoodseku"/>
    <w:uiPriority w:val="99"/>
    <w:semiHidden/>
    <w:rPr>
      <w:rFonts w:ascii="Courier New" w:hAnsi="Courier New" w:cs="Courier New"/>
      <w:lang w:val="x-none" w:eastAsia="cs-CZ"/>
    </w:rPr>
  </w:style>
  <w:style w:type="character" w:customStyle="1" w:styleId="ObyajntextChar1575">
    <w:name w:val="Obyčajný text Char1575"/>
    <w:aliases w:val="Obyčajný text Char Char Char Char1576"/>
    <w:basedOn w:val="Predvolenpsmoodseku"/>
    <w:uiPriority w:val="99"/>
    <w:semiHidden/>
    <w:rPr>
      <w:rFonts w:ascii="Courier New" w:hAnsi="Courier New" w:cs="Courier New"/>
      <w:lang w:val="x-none" w:eastAsia="cs-CZ"/>
    </w:rPr>
  </w:style>
  <w:style w:type="character" w:customStyle="1" w:styleId="ObyajntextChar1574">
    <w:name w:val="Obyčajný text Char1574"/>
    <w:aliases w:val="Obyčajný text Char Char Char Char1575"/>
    <w:basedOn w:val="Predvolenpsmoodseku"/>
    <w:uiPriority w:val="99"/>
    <w:semiHidden/>
    <w:rPr>
      <w:rFonts w:ascii="Courier New" w:hAnsi="Courier New" w:cs="Courier New"/>
      <w:lang w:val="x-none" w:eastAsia="cs-CZ"/>
    </w:rPr>
  </w:style>
  <w:style w:type="character" w:customStyle="1" w:styleId="ObyajntextChar1573">
    <w:name w:val="Obyčajný text Char1573"/>
    <w:aliases w:val="Obyčajný text Char Char Char Char1574"/>
    <w:basedOn w:val="Predvolenpsmoodseku"/>
    <w:uiPriority w:val="99"/>
    <w:semiHidden/>
    <w:rPr>
      <w:rFonts w:ascii="Courier New" w:hAnsi="Courier New" w:cs="Courier New"/>
      <w:lang w:val="x-none" w:eastAsia="cs-CZ"/>
    </w:rPr>
  </w:style>
  <w:style w:type="character" w:customStyle="1" w:styleId="ObyajntextChar1572">
    <w:name w:val="Obyčajný text Char1572"/>
    <w:aliases w:val="Obyčajný text Char Char Char Char1573"/>
    <w:basedOn w:val="Predvolenpsmoodseku"/>
    <w:uiPriority w:val="99"/>
    <w:semiHidden/>
    <w:rPr>
      <w:rFonts w:ascii="Courier New" w:hAnsi="Courier New" w:cs="Courier New"/>
      <w:lang w:val="x-none" w:eastAsia="cs-CZ"/>
    </w:rPr>
  </w:style>
  <w:style w:type="character" w:customStyle="1" w:styleId="ObyajntextChar1571">
    <w:name w:val="Obyčajný text Char1571"/>
    <w:aliases w:val="Obyčajný text Char Char Char Char1572"/>
    <w:basedOn w:val="Predvolenpsmoodseku"/>
    <w:uiPriority w:val="99"/>
    <w:semiHidden/>
    <w:rPr>
      <w:rFonts w:ascii="Courier New" w:hAnsi="Courier New" w:cs="Courier New"/>
      <w:lang w:val="x-none" w:eastAsia="cs-CZ"/>
    </w:rPr>
  </w:style>
  <w:style w:type="character" w:customStyle="1" w:styleId="ObyajntextChar1570">
    <w:name w:val="Obyčajný text Char1570"/>
    <w:aliases w:val="Obyčajný text Char Char Char Char1571"/>
    <w:basedOn w:val="Predvolenpsmoodseku"/>
    <w:uiPriority w:val="99"/>
    <w:semiHidden/>
    <w:rPr>
      <w:rFonts w:ascii="Courier New" w:hAnsi="Courier New" w:cs="Courier New"/>
      <w:lang w:val="x-none" w:eastAsia="cs-CZ"/>
    </w:rPr>
  </w:style>
  <w:style w:type="character" w:customStyle="1" w:styleId="ObyajntextChar1569">
    <w:name w:val="Obyčajný text Char1569"/>
    <w:aliases w:val="Obyčajný text Char Char Char Char1570"/>
    <w:basedOn w:val="Predvolenpsmoodseku"/>
    <w:uiPriority w:val="99"/>
    <w:semiHidden/>
    <w:rPr>
      <w:rFonts w:ascii="Courier New" w:hAnsi="Courier New" w:cs="Courier New"/>
      <w:lang w:val="x-none" w:eastAsia="cs-CZ"/>
    </w:rPr>
  </w:style>
  <w:style w:type="character" w:customStyle="1" w:styleId="ObyajntextChar1568">
    <w:name w:val="Obyčajný text Char1568"/>
    <w:aliases w:val="Obyčajný text Char Char Char Char1569"/>
    <w:basedOn w:val="Predvolenpsmoodseku"/>
    <w:uiPriority w:val="99"/>
    <w:semiHidden/>
    <w:rPr>
      <w:rFonts w:ascii="Courier New" w:hAnsi="Courier New" w:cs="Courier New"/>
      <w:lang w:val="x-none" w:eastAsia="cs-CZ"/>
    </w:rPr>
  </w:style>
  <w:style w:type="character" w:customStyle="1" w:styleId="ObyajntextChar1567">
    <w:name w:val="Obyčajný text Char1567"/>
    <w:aliases w:val="Obyčajný text Char Char Char Char1568"/>
    <w:basedOn w:val="Predvolenpsmoodseku"/>
    <w:uiPriority w:val="99"/>
    <w:semiHidden/>
    <w:rPr>
      <w:rFonts w:ascii="Courier New" w:hAnsi="Courier New" w:cs="Courier New"/>
      <w:lang w:val="x-none" w:eastAsia="cs-CZ"/>
    </w:rPr>
  </w:style>
  <w:style w:type="character" w:customStyle="1" w:styleId="ObyajntextChar1566">
    <w:name w:val="Obyčajný text Char1566"/>
    <w:aliases w:val="Obyčajný text Char Char Char Char1567"/>
    <w:basedOn w:val="Predvolenpsmoodseku"/>
    <w:uiPriority w:val="99"/>
    <w:semiHidden/>
    <w:rPr>
      <w:rFonts w:ascii="Courier New" w:hAnsi="Courier New" w:cs="Courier New"/>
      <w:lang w:val="x-none" w:eastAsia="cs-CZ"/>
    </w:rPr>
  </w:style>
  <w:style w:type="character" w:customStyle="1" w:styleId="ObyajntextChar1565">
    <w:name w:val="Obyčajný text Char1565"/>
    <w:aliases w:val="Obyčajný text Char Char Char Char1566"/>
    <w:basedOn w:val="Predvolenpsmoodseku"/>
    <w:uiPriority w:val="99"/>
    <w:semiHidden/>
    <w:rPr>
      <w:rFonts w:ascii="Courier New" w:hAnsi="Courier New" w:cs="Courier New"/>
      <w:lang w:val="x-none" w:eastAsia="cs-CZ"/>
    </w:rPr>
  </w:style>
  <w:style w:type="character" w:customStyle="1" w:styleId="ObyajntextChar1564">
    <w:name w:val="Obyčajný text Char1564"/>
    <w:aliases w:val="Obyčajný text Char Char Char Char1565"/>
    <w:basedOn w:val="Predvolenpsmoodseku"/>
    <w:uiPriority w:val="99"/>
    <w:semiHidden/>
    <w:rPr>
      <w:rFonts w:ascii="Courier New" w:hAnsi="Courier New" w:cs="Courier New"/>
      <w:lang w:val="x-none" w:eastAsia="cs-CZ"/>
    </w:rPr>
  </w:style>
  <w:style w:type="character" w:customStyle="1" w:styleId="ObyajntextChar1563">
    <w:name w:val="Obyčajný text Char1563"/>
    <w:aliases w:val="Obyčajný text Char Char Char Char1564"/>
    <w:basedOn w:val="Predvolenpsmoodseku"/>
    <w:uiPriority w:val="99"/>
    <w:semiHidden/>
    <w:rPr>
      <w:rFonts w:ascii="Courier New" w:hAnsi="Courier New" w:cs="Courier New"/>
      <w:lang w:val="x-none" w:eastAsia="cs-CZ"/>
    </w:rPr>
  </w:style>
  <w:style w:type="character" w:customStyle="1" w:styleId="ObyajntextChar1562">
    <w:name w:val="Obyčajný text Char1562"/>
    <w:aliases w:val="Obyčajný text Char Char Char Char1563"/>
    <w:basedOn w:val="Predvolenpsmoodseku"/>
    <w:uiPriority w:val="99"/>
    <w:semiHidden/>
    <w:rPr>
      <w:rFonts w:ascii="Courier New" w:hAnsi="Courier New" w:cs="Courier New"/>
      <w:lang w:val="x-none" w:eastAsia="cs-CZ"/>
    </w:rPr>
  </w:style>
  <w:style w:type="character" w:customStyle="1" w:styleId="ObyajntextChar1561">
    <w:name w:val="Obyčajný text Char1561"/>
    <w:aliases w:val="Obyčajný text Char Char Char Char1562"/>
    <w:basedOn w:val="Predvolenpsmoodseku"/>
    <w:uiPriority w:val="99"/>
    <w:semiHidden/>
    <w:rPr>
      <w:rFonts w:ascii="Courier New" w:hAnsi="Courier New" w:cs="Courier New"/>
      <w:lang w:val="x-none" w:eastAsia="cs-CZ"/>
    </w:rPr>
  </w:style>
  <w:style w:type="character" w:customStyle="1" w:styleId="ObyajntextChar1560">
    <w:name w:val="Obyčajný text Char1560"/>
    <w:aliases w:val="Obyčajný text Char Char Char Char1561"/>
    <w:basedOn w:val="Predvolenpsmoodseku"/>
    <w:uiPriority w:val="99"/>
    <w:semiHidden/>
    <w:rPr>
      <w:rFonts w:ascii="Courier New" w:hAnsi="Courier New" w:cs="Courier New"/>
      <w:lang w:val="x-none" w:eastAsia="cs-CZ"/>
    </w:rPr>
  </w:style>
  <w:style w:type="character" w:customStyle="1" w:styleId="ObyajntextChar1559">
    <w:name w:val="Obyčajný text Char1559"/>
    <w:aliases w:val="Obyčajný text Char Char Char Char1560"/>
    <w:basedOn w:val="Predvolenpsmoodseku"/>
    <w:uiPriority w:val="99"/>
    <w:semiHidden/>
    <w:rPr>
      <w:rFonts w:ascii="Courier New" w:hAnsi="Courier New" w:cs="Courier New"/>
      <w:lang w:val="x-none" w:eastAsia="cs-CZ"/>
    </w:rPr>
  </w:style>
  <w:style w:type="character" w:customStyle="1" w:styleId="ObyajntextChar1558">
    <w:name w:val="Obyčajný text Char1558"/>
    <w:aliases w:val="Obyčajný text Char Char Char Char1559"/>
    <w:basedOn w:val="Predvolenpsmoodseku"/>
    <w:uiPriority w:val="99"/>
    <w:semiHidden/>
    <w:rPr>
      <w:rFonts w:ascii="Courier New" w:hAnsi="Courier New" w:cs="Courier New"/>
      <w:lang w:val="x-none" w:eastAsia="cs-CZ"/>
    </w:rPr>
  </w:style>
  <w:style w:type="character" w:customStyle="1" w:styleId="ObyajntextChar1557">
    <w:name w:val="Obyčajný text Char1557"/>
    <w:aliases w:val="Obyčajný text Char Char Char Char1558"/>
    <w:basedOn w:val="Predvolenpsmoodseku"/>
    <w:uiPriority w:val="99"/>
    <w:semiHidden/>
    <w:rPr>
      <w:rFonts w:ascii="Courier New" w:hAnsi="Courier New" w:cs="Courier New"/>
      <w:lang w:val="x-none" w:eastAsia="cs-CZ"/>
    </w:rPr>
  </w:style>
  <w:style w:type="character" w:customStyle="1" w:styleId="ObyajntextChar1556">
    <w:name w:val="Obyčajný text Char1556"/>
    <w:aliases w:val="Obyčajný text Char Char Char Char1557"/>
    <w:basedOn w:val="Predvolenpsmoodseku"/>
    <w:uiPriority w:val="99"/>
    <w:semiHidden/>
    <w:rPr>
      <w:rFonts w:ascii="Courier New" w:hAnsi="Courier New" w:cs="Courier New"/>
      <w:lang w:val="x-none" w:eastAsia="cs-CZ"/>
    </w:rPr>
  </w:style>
  <w:style w:type="character" w:customStyle="1" w:styleId="ObyajntextChar1555">
    <w:name w:val="Obyčajný text Char1555"/>
    <w:aliases w:val="Obyčajný text Char Char Char Char1556"/>
    <w:basedOn w:val="Predvolenpsmoodseku"/>
    <w:uiPriority w:val="99"/>
    <w:semiHidden/>
    <w:rPr>
      <w:rFonts w:ascii="Courier New" w:hAnsi="Courier New" w:cs="Courier New"/>
      <w:lang w:val="x-none" w:eastAsia="cs-CZ"/>
    </w:rPr>
  </w:style>
  <w:style w:type="character" w:customStyle="1" w:styleId="ObyajntextChar1554">
    <w:name w:val="Obyčajný text Char1554"/>
    <w:aliases w:val="Obyčajný text Char Char Char Char1555"/>
    <w:basedOn w:val="Predvolenpsmoodseku"/>
    <w:uiPriority w:val="99"/>
    <w:semiHidden/>
    <w:rPr>
      <w:rFonts w:ascii="Courier New" w:hAnsi="Courier New" w:cs="Courier New"/>
      <w:lang w:val="x-none" w:eastAsia="cs-CZ"/>
    </w:rPr>
  </w:style>
  <w:style w:type="character" w:customStyle="1" w:styleId="ObyajntextChar1553">
    <w:name w:val="Obyčajný text Char1553"/>
    <w:aliases w:val="Obyčajný text Char Char Char Char1554"/>
    <w:basedOn w:val="Predvolenpsmoodseku"/>
    <w:uiPriority w:val="99"/>
    <w:semiHidden/>
    <w:rPr>
      <w:rFonts w:ascii="Courier New" w:hAnsi="Courier New" w:cs="Courier New"/>
      <w:lang w:val="x-none" w:eastAsia="cs-CZ"/>
    </w:rPr>
  </w:style>
  <w:style w:type="character" w:customStyle="1" w:styleId="ObyajntextChar1552">
    <w:name w:val="Obyčajný text Char1552"/>
    <w:aliases w:val="Obyčajný text Char Char Char Char1553"/>
    <w:basedOn w:val="Predvolenpsmoodseku"/>
    <w:uiPriority w:val="99"/>
    <w:semiHidden/>
    <w:rPr>
      <w:rFonts w:ascii="Courier New" w:hAnsi="Courier New" w:cs="Courier New"/>
      <w:lang w:val="x-none" w:eastAsia="cs-CZ"/>
    </w:rPr>
  </w:style>
  <w:style w:type="character" w:customStyle="1" w:styleId="ObyajntextChar1551">
    <w:name w:val="Obyčajný text Char1551"/>
    <w:aliases w:val="Obyčajný text Char Char Char Char1552"/>
    <w:basedOn w:val="Predvolenpsmoodseku"/>
    <w:uiPriority w:val="99"/>
    <w:semiHidden/>
    <w:rPr>
      <w:rFonts w:ascii="Courier New" w:hAnsi="Courier New" w:cs="Courier New"/>
      <w:lang w:val="x-none" w:eastAsia="cs-CZ"/>
    </w:rPr>
  </w:style>
  <w:style w:type="character" w:customStyle="1" w:styleId="ObyajntextChar1550">
    <w:name w:val="Obyčajný text Char1550"/>
    <w:aliases w:val="Obyčajný text Char Char Char Char1551"/>
    <w:basedOn w:val="Predvolenpsmoodseku"/>
    <w:uiPriority w:val="99"/>
    <w:semiHidden/>
    <w:rPr>
      <w:rFonts w:ascii="Courier New" w:hAnsi="Courier New" w:cs="Courier New"/>
      <w:lang w:val="x-none" w:eastAsia="cs-CZ"/>
    </w:rPr>
  </w:style>
  <w:style w:type="character" w:customStyle="1" w:styleId="ObyajntextChar1549">
    <w:name w:val="Obyčajný text Char1549"/>
    <w:aliases w:val="Obyčajný text Char Char Char Char1550"/>
    <w:basedOn w:val="Predvolenpsmoodseku"/>
    <w:uiPriority w:val="99"/>
    <w:semiHidden/>
    <w:rPr>
      <w:rFonts w:ascii="Courier New" w:hAnsi="Courier New" w:cs="Courier New"/>
      <w:lang w:val="x-none" w:eastAsia="cs-CZ"/>
    </w:rPr>
  </w:style>
  <w:style w:type="character" w:customStyle="1" w:styleId="ObyajntextChar1548">
    <w:name w:val="Obyčajný text Char1548"/>
    <w:aliases w:val="Obyčajný text Char Char Char Char1549"/>
    <w:basedOn w:val="Predvolenpsmoodseku"/>
    <w:uiPriority w:val="99"/>
    <w:semiHidden/>
    <w:rPr>
      <w:rFonts w:ascii="Courier New" w:hAnsi="Courier New" w:cs="Courier New"/>
      <w:lang w:val="x-none" w:eastAsia="cs-CZ"/>
    </w:rPr>
  </w:style>
  <w:style w:type="character" w:customStyle="1" w:styleId="ObyajntextChar1547">
    <w:name w:val="Obyčajný text Char1547"/>
    <w:aliases w:val="Obyčajný text Char Char Char Char1548"/>
    <w:basedOn w:val="Predvolenpsmoodseku"/>
    <w:uiPriority w:val="99"/>
    <w:semiHidden/>
    <w:rPr>
      <w:rFonts w:ascii="Courier New" w:hAnsi="Courier New" w:cs="Courier New"/>
      <w:lang w:val="x-none" w:eastAsia="cs-CZ"/>
    </w:rPr>
  </w:style>
  <w:style w:type="character" w:customStyle="1" w:styleId="ObyajntextChar1546">
    <w:name w:val="Obyčajný text Char1546"/>
    <w:aliases w:val="Obyčajný text Char Char Char Char1547"/>
    <w:basedOn w:val="Predvolenpsmoodseku"/>
    <w:uiPriority w:val="99"/>
    <w:semiHidden/>
    <w:rPr>
      <w:rFonts w:ascii="Courier New" w:hAnsi="Courier New" w:cs="Courier New"/>
      <w:lang w:val="x-none" w:eastAsia="cs-CZ"/>
    </w:rPr>
  </w:style>
  <w:style w:type="character" w:customStyle="1" w:styleId="ObyajntextChar1545">
    <w:name w:val="Obyčajný text Char1545"/>
    <w:aliases w:val="Obyčajný text Char Char Char Char1546"/>
    <w:basedOn w:val="Predvolenpsmoodseku"/>
    <w:uiPriority w:val="99"/>
    <w:semiHidden/>
    <w:rPr>
      <w:rFonts w:ascii="Courier New" w:hAnsi="Courier New" w:cs="Courier New"/>
      <w:lang w:val="x-none" w:eastAsia="cs-CZ"/>
    </w:rPr>
  </w:style>
  <w:style w:type="character" w:customStyle="1" w:styleId="ObyajntextChar1544">
    <w:name w:val="Obyčajný text Char1544"/>
    <w:aliases w:val="Obyčajný text Char Char Char Char1545"/>
    <w:basedOn w:val="Predvolenpsmoodseku"/>
    <w:uiPriority w:val="99"/>
    <w:semiHidden/>
    <w:rPr>
      <w:rFonts w:ascii="Courier New" w:hAnsi="Courier New" w:cs="Courier New"/>
      <w:lang w:val="x-none" w:eastAsia="cs-CZ"/>
    </w:rPr>
  </w:style>
  <w:style w:type="character" w:customStyle="1" w:styleId="ObyajntextChar1543">
    <w:name w:val="Obyčajný text Char1543"/>
    <w:aliases w:val="Obyčajný text Char Char Char Char1544"/>
    <w:basedOn w:val="Predvolenpsmoodseku"/>
    <w:uiPriority w:val="99"/>
    <w:semiHidden/>
    <w:rPr>
      <w:rFonts w:ascii="Courier New" w:hAnsi="Courier New" w:cs="Courier New"/>
      <w:lang w:val="x-none" w:eastAsia="cs-CZ"/>
    </w:rPr>
  </w:style>
  <w:style w:type="character" w:customStyle="1" w:styleId="ObyajntextChar1542">
    <w:name w:val="Obyčajný text Char1542"/>
    <w:aliases w:val="Obyčajný text Char Char Char Char1543"/>
    <w:basedOn w:val="Predvolenpsmoodseku"/>
    <w:uiPriority w:val="99"/>
    <w:semiHidden/>
    <w:rPr>
      <w:rFonts w:ascii="Courier New" w:hAnsi="Courier New" w:cs="Courier New"/>
      <w:lang w:val="x-none" w:eastAsia="cs-CZ"/>
    </w:rPr>
  </w:style>
  <w:style w:type="character" w:customStyle="1" w:styleId="ObyajntextChar1541">
    <w:name w:val="Obyčajný text Char1541"/>
    <w:aliases w:val="Obyčajný text Char Char Char Char1542"/>
    <w:basedOn w:val="Predvolenpsmoodseku"/>
    <w:uiPriority w:val="99"/>
    <w:semiHidden/>
    <w:rPr>
      <w:rFonts w:ascii="Courier New" w:hAnsi="Courier New" w:cs="Courier New"/>
      <w:lang w:val="x-none" w:eastAsia="cs-CZ"/>
    </w:rPr>
  </w:style>
  <w:style w:type="character" w:customStyle="1" w:styleId="ObyajntextChar1540">
    <w:name w:val="Obyčajný text Char1540"/>
    <w:aliases w:val="Obyčajný text Char Char Char Char1541"/>
    <w:basedOn w:val="Predvolenpsmoodseku"/>
    <w:uiPriority w:val="99"/>
    <w:semiHidden/>
    <w:rPr>
      <w:rFonts w:ascii="Courier New" w:hAnsi="Courier New" w:cs="Courier New"/>
      <w:lang w:val="x-none" w:eastAsia="cs-CZ"/>
    </w:rPr>
  </w:style>
  <w:style w:type="character" w:customStyle="1" w:styleId="ObyajntextChar1539">
    <w:name w:val="Obyčajný text Char1539"/>
    <w:aliases w:val="Obyčajný text Char Char Char Char1540"/>
    <w:basedOn w:val="Predvolenpsmoodseku"/>
    <w:uiPriority w:val="99"/>
    <w:semiHidden/>
    <w:rPr>
      <w:rFonts w:ascii="Courier New" w:hAnsi="Courier New" w:cs="Courier New"/>
      <w:lang w:val="x-none" w:eastAsia="cs-CZ"/>
    </w:rPr>
  </w:style>
  <w:style w:type="character" w:customStyle="1" w:styleId="ObyajntextChar1538">
    <w:name w:val="Obyčajný text Char1538"/>
    <w:aliases w:val="Obyčajný text Char Char Char Char1539"/>
    <w:basedOn w:val="Predvolenpsmoodseku"/>
    <w:uiPriority w:val="99"/>
    <w:semiHidden/>
    <w:rPr>
      <w:rFonts w:ascii="Courier New" w:hAnsi="Courier New" w:cs="Courier New"/>
      <w:lang w:val="x-none" w:eastAsia="cs-CZ"/>
    </w:rPr>
  </w:style>
  <w:style w:type="character" w:customStyle="1" w:styleId="ObyajntextChar1537">
    <w:name w:val="Obyčajný text Char1537"/>
    <w:aliases w:val="Obyčajný text Char Char Char Char1538"/>
    <w:basedOn w:val="Predvolenpsmoodseku"/>
    <w:uiPriority w:val="99"/>
    <w:semiHidden/>
    <w:rPr>
      <w:rFonts w:ascii="Courier New" w:hAnsi="Courier New" w:cs="Courier New"/>
      <w:lang w:val="x-none" w:eastAsia="cs-CZ"/>
    </w:rPr>
  </w:style>
  <w:style w:type="character" w:customStyle="1" w:styleId="ObyajntextChar1536">
    <w:name w:val="Obyčajný text Char1536"/>
    <w:aliases w:val="Obyčajný text Char Char Char Char1537"/>
    <w:basedOn w:val="Predvolenpsmoodseku"/>
    <w:uiPriority w:val="99"/>
    <w:semiHidden/>
    <w:rPr>
      <w:rFonts w:ascii="Courier New" w:hAnsi="Courier New" w:cs="Courier New"/>
      <w:lang w:val="x-none" w:eastAsia="cs-CZ"/>
    </w:rPr>
  </w:style>
  <w:style w:type="character" w:customStyle="1" w:styleId="ObyajntextChar1535">
    <w:name w:val="Obyčajný text Char1535"/>
    <w:aliases w:val="Obyčajný text Char Char Char Char1536"/>
    <w:basedOn w:val="Predvolenpsmoodseku"/>
    <w:uiPriority w:val="99"/>
    <w:semiHidden/>
    <w:rPr>
      <w:rFonts w:ascii="Courier New" w:hAnsi="Courier New" w:cs="Courier New"/>
      <w:lang w:val="x-none" w:eastAsia="cs-CZ"/>
    </w:rPr>
  </w:style>
  <w:style w:type="character" w:customStyle="1" w:styleId="ObyajntextChar1534">
    <w:name w:val="Obyčajný text Char1534"/>
    <w:aliases w:val="Obyčajný text Char Char Char Char1535"/>
    <w:basedOn w:val="Predvolenpsmoodseku"/>
    <w:uiPriority w:val="99"/>
    <w:semiHidden/>
    <w:rPr>
      <w:rFonts w:ascii="Courier New" w:hAnsi="Courier New" w:cs="Courier New"/>
      <w:lang w:val="x-none" w:eastAsia="cs-CZ"/>
    </w:rPr>
  </w:style>
  <w:style w:type="character" w:customStyle="1" w:styleId="ObyajntextChar1533">
    <w:name w:val="Obyčajný text Char1533"/>
    <w:aliases w:val="Obyčajný text Char Char Char Char1534"/>
    <w:basedOn w:val="Predvolenpsmoodseku"/>
    <w:uiPriority w:val="99"/>
    <w:semiHidden/>
    <w:rPr>
      <w:rFonts w:ascii="Courier New" w:hAnsi="Courier New" w:cs="Courier New"/>
      <w:lang w:val="x-none" w:eastAsia="cs-CZ"/>
    </w:rPr>
  </w:style>
  <w:style w:type="character" w:customStyle="1" w:styleId="ObyajntextChar1532">
    <w:name w:val="Obyčajný text Char1532"/>
    <w:aliases w:val="Obyčajný text Char Char Char Char1533"/>
    <w:basedOn w:val="Predvolenpsmoodseku"/>
    <w:uiPriority w:val="99"/>
    <w:semiHidden/>
    <w:rPr>
      <w:rFonts w:ascii="Courier New" w:hAnsi="Courier New" w:cs="Courier New"/>
      <w:lang w:val="x-none" w:eastAsia="cs-CZ"/>
    </w:rPr>
  </w:style>
  <w:style w:type="character" w:customStyle="1" w:styleId="ObyajntextChar1531">
    <w:name w:val="Obyčajný text Char1531"/>
    <w:aliases w:val="Obyčajný text Char Char Char Char1532"/>
    <w:basedOn w:val="Predvolenpsmoodseku"/>
    <w:uiPriority w:val="99"/>
    <w:semiHidden/>
    <w:rPr>
      <w:rFonts w:ascii="Courier New" w:hAnsi="Courier New" w:cs="Courier New"/>
      <w:lang w:val="x-none" w:eastAsia="cs-CZ"/>
    </w:rPr>
  </w:style>
  <w:style w:type="character" w:customStyle="1" w:styleId="ObyajntextChar1530">
    <w:name w:val="Obyčajný text Char1530"/>
    <w:aliases w:val="Obyčajný text Char Char Char Char1531"/>
    <w:basedOn w:val="Predvolenpsmoodseku"/>
    <w:uiPriority w:val="99"/>
    <w:semiHidden/>
    <w:rPr>
      <w:rFonts w:ascii="Courier New" w:hAnsi="Courier New" w:cs="Courier New"/>
      <w:lang w:val="x-none" w:eastAsia="cs-CZ"/>
    </w:rPr>
  </w:style>
  <w:style w:type="character" w:customStyle="1" w:styleId="ObyajntextChar1529">
    <w:name w:val="Obyčajný text Char1529"/>
    <w:aliases w:val="Obyčajný text Char Char Char Char1530"/>
    <w:basedOn w:val="Predvolenpsmoodseku"/>
    <w:uiPriority w:val="99"/>
    <w:semiHidden/>
    <w:rPr>
      <w:rFonts w:ascii="Courier New" w:hAnsi="Courier New" w:cs="Courier New"/>
      <w:lang w:val="x-none" w:eastAsia="cs-CZ"/>
    </w:rPr>
  </w:style>
  <w:style w:type="character" w:customStyle="1" w:styleId="ObyajntextChar1528">
    <w:name w:val="Obyčajný text Char1528"/>
    <w:aliases w:val="Obyčajný text Char Char Char Char1529"/>
    <w:basedOn w:val="Predvolenpsmoodseku"/>
    <w:uiPriority w:val="99"/>
    <w:semiHidden/>
    <w:rPr>
      <w:rFonts w:ascii="Courier New" w:hAnsi="Courier New" w:cs="Courier New"/>
      <w:lang w:val="x-none" w:eastAsia="cs-CZ"/>
    </w:rPr>
  </w:style>
  <w:style w:type="character" w:customStyle="1" w:styleId="ObyajntextChar1527">
    <w:name w:val="Obyčajný text Char1527"/>
    <w:aliases w:val="Obyčajný text Char Char Char Char1528"/>
    <w:basedOn w:val="Predvolenpsmoodseku"/>
    <w:uiPriority w:val="99"/>
    <w:semiHidden/>
    <w:rPr>
      <w:rFonts w:ascii="Courier New" w:hAnsi="Courier New" w:cs="Courier New"/>
      <w:lang w:val="x-none" w:eastAsia="cs-CZ"/>
    </w:rPr>
  </w:style>
  <w:style w:type="character" w:customStyle="1" w:styleId="ObyajntextChar1526">
    <w:name w:val="Obyčajný text Char1526"/>
    <w:aliases w:val="Obyčajný text Char Char Char Char1527"/>
    <w:basedOn w:val="Predvolenpsmoodseku"/>
    <w:uiPriority w:val="99"/>
    <w:semiHidden/>
    <w:rPr>
      <w:rFonts w:ascii="Courier New" w:hAnsi="Courier New" w:cs="Courier New"/>
      <w:lang w:val="x-none" w:eastAsia="cs-CZ"/>
    </w:rPr>
  </w:style>
  <w:style w:type="character" w:customStyle="1" w:styleId="ObyajntextChar1525">
    <w:name w:val="Obyčajný text Char1525"/>
    <w:aliases w:val="Obyčajný text Char Char Char Char1526"/>
    <w:basedOn w:val="Predvolenpsmoodseku"/>
    <w:uiPriority w:val="99"/>
    <w:semiHidden/>
    <w:rPr>
      <w:rFonts w:ascii="Courier New" w:hAnsi="Courier New" w:cs="Courier New"/>
      <w:lang w:val="x-none" w:eastAsia="cs-CZ"/>
    </w:rPr>
  </w:style>
  <w:style w:type="character" w:customStyle="1" w:styleId="ObyajntextChar1524">
    <w:name w:val="Obyčajný text Char1524"/>
    <w:aliases w:val="Obyčajný text Char Char Char Char1525"/>
    <w:basedOn w:val="Predvolenpsmoodseku"/>
    <w:uiPriority w:val="99"/>
    <w:semiHidden/>
    <w:rPr>
      <w:rFonts w:ascii="Courier New" w:hAnsi="Courier New" w:cs="Courier New"/>
      <w:lang w:val="x-none" w:eastAsia="cs-CZ"/>
    </w:rPr>
  </w:style>
  <w:style w:type="character" w:customStyle="1" w:styleId="ObyajntextChar1523">
    <w:name w:val="Obyčajný text Char1523"/>
    <w:aliases w:val="Obyčajný text Char Char Char Char1524"/>
    <w:basedOn w:val="Predvolenpsmoodseku"/>
    <w:uiPriority w:val="99"/>
    <w:semiHidden/>
    <w:rPr>
      <w:rFonts w:ascii="Courier New" w:hAnsi="Courier New" w:cs="Courier New"/>
      <w:lang w:val="x-none" w:eastAsia="cs-CZ"/>
    </w:rPr>
  </w:style>
  <w:style w:type="character" w:customStyle="1" w:styleId="ObyajntextChar1522">
    <w:name w:val="Obyčajný text Char1522"/>
    <w:aliases w:val="Obyčajný text Char Char Char Char1523"/>
    <w:basedOn w:val="Predvolenpsmoodseku"/>
    <w:uiPriority w:val="99"/>
    <w:semiHidden/>
    <w:rPr>
      <w:rFonts w:ascii="Courier New" w:hAnsi="Courier New" w:cs="Courier New"/>
      <w:lang w:val="x-none" w:eastAsia="cs-CZ"/>
    </w:rPr>
  </w:style>
  <w:style w:type="character" w:customStyle="1" w:styleId="ObyajntextChar1521">
    <w:name w:val="Obyčajný text Char1521"/>
    <w:aliases w:val="Obyčajný text Char Char Char Char1522"/>
    <w:basedOn w:val="Predvolenpsmoodseku"/>
    <w:uiPriority w:val="99"/>
    <w:semiHidden/>
    <w:rPr>
      <w:rFonts w:ascii="Courier New" w:hAnsi="Courier New" w:cs="Courier New"/>
      <w:lang w:val="x-none" w:eastAsia="cs-CZ"/>
    </w:rPr>
  </w:style>
  <w:style w:type="character" w:customStyle="1" w:styleId="ObyajntextChar1520">
    <w:name w:val="Obyčajný text Char1520"/>
    <w:aliases w:val="Obyčajný text Char Char Char Char1521"/>
    <w:basedOn w:val="Predvolenpsmoodseku"/>
    <w:uiPriority w:val="99"/>
    <w:semiHidden/>
    <w:rPr>
      <w:rFonts w:ascii="Courier New" w:hAnsi="Courier New" w:cs="Courier New"/>
      <w:lang w:val="x-none" w:eastAsia="cs-CZ"/>
    </w:rPr>
  </w:style>
  <w:style w:type="character" w:customStyle="1" w:styleId="ObyajntextChar1519">
    <w:name w:val="Obyčajný text Char1519"/>
    <w:aliases w:val="Obyčajný text Char Char Char Char1520"/>
    <w:basedOn w:val="Predvolenpsmoodseku"/>
    <w:uiPriority w:val="99"/>
    <w:semiHidden/>
    <w:rPr>
      <w:rFonts w:ascii="Courier New" w:hAnsi="Courier New" w:cs="Courier New"/>
      <w:lang w:val="x-none" w:eastAsia="cs-CZ"/>
    </w:rPr>
  </w:style>
  <w:style w:type="character" w:customStyle="1" w:styleId="ObyajntextChar1518">
    <w:name w:val="Obyčajný text Char1518"/>
    <w:aliases w:val="Obyčajný text Char Char Char Char1519"/>
    <w:basedOn w:val="Predvolenpsmoodseku"/>
    <w:uiPriority w:val="99"/>
    <w:semiHidden/>
    <w:rPr>
      <w:rFonts w:ascii="Courier New" w:hAnsi="Courier New" w:cs="Courier New"/>
      <w:lang w:val="x-none" w:eastAsia="cs-CZ"/>
    </w:rPr>
  </w:style>
  <w:style w:type="character" w:customStyle="1" w:styleId="ObyajntextChar1517">
    <w:name w:val="Obyčajný text Char1517"/>
    <w:aliases w:val="Obyčajný text Char Char Char Char1518"/>
    <w:basedOn w:val="Predvolenpsmoodseku"/>
    <w:uiPriority w:val="99"/>
    <w:semiHidden/>
    <w:rPr>
      <w:rFonts w:ascii="Courier New" w:hAnsi="Courier New" w:cs="Courier New"/>
      <w:lang w:val="x-none" w:eastAsia="cs-CZ"/>
    </w:rPr>
  </w:style>
  <w:style w:type="character" w:customStyle="1" w:styleId="ObyajntextChar1516">
    <w:name w:val="Obyčajný text Char1516"/>
    <w:aliases w:val="Obyčajný text Char Char Char Char1517"/>
    <w:basedOn w:val="Predvolenpsmoodseku"/>
    <w:uiPriority w:val="99"/>
    <w:semiHidden/>
    <w:rPr>
      <w:rFonts w:ascii="Courier New" w:hAnsi="Courier New" w:cs="Courier New"/>
      <w:lang w:val="x-none" w:eastAsia="cs-CZ"/>
    </w:rPr>
  </w:style>
  <w:style w:type="character" w:customStyle="1" w:styleId="ObyajntextChar1515">
    <w:name w:val="Obyčajný text Char1515"/>
    <w:aliases w:val="Obyčajný text Char Char Char Char1516"/>
    <w:basedOn w:val="Predvolenpsmoodseku"/>
    <w:uiPriority w:val="99"/>
    <w:semiHidden/>
    <w:rPr>
      <w:rFonts w:ascii="Courier New" w:hAnsi="Courier New" w:cs="Courier New"/>
      <w:lang w:val="x-none" w:eastAsia="cs-CZ"/>
    </w:rPr>
  </w:style>
  <w:style w:type="character" w:customStyle="1" w:styleId="ObyajntextChar1514">
    <w:name w:val="Obyčajný text Char1514"/>
    <w:aliases w:val="Obyčajný text Char Char Char Char1515"/>
    <w:basedOn w:val="Predvolenpsmoodseku"/>
    <w:uiPriority w:val="99"/>
    <w:semiHidden/>
    <w:rPr>
      <w:rFonts w:ascii="Courier New" w:hAnsi="Courier New" w:cs="Courier New"/>
      <w:lang w:val="x-none" w:eastAsia="cs-CZ"/>
    </w:rPr>
  </w:style>
  <w:style w:type="character" w:customStyle="1" w:styleId="ObyajntextChar1513">
    <w:name w:val="Obyčajný text Char1513"/>
    <w:aliases w:val="Obyčajný text Char Char Char Char1514"/>
    <w:uiPriority w:val="99"/>
    <w:semiHidden/>
    <w:rPr>
      <w:rFonts w:ascii="Courier New" w:hAnsi="Courier New"/>
      <w:lang w:val="x-none" w:eastAsia="cs-CZ"/>
    </w:rPr>
  </w:style>
  <w:style w:type="character" w:customStyle="1" w:styleId="ObyajntextChar1512">
    <w:name w:val="Obyčajný text Char1512"/>
    <w:aliases w:val="Obyčajný text Char Char Char Char1513"/>
    <w:uiPriority w:val="99"/>
    <w:semiHidden/>
    <w:rPr>
      <w:rFonts w:ascii="Courier New" w:hAnsi="Courier New"/>
      <w:lang w:val="x-none" w:eastAsia="cs-CZ"/>
    </w:rPr>
  </w:style>
  <w:style w:type="character" w:customStyle="1" w:styleId="ObyajntextChar1511">
    <w:name w:val="Obyčajný text Char1511"/>
    <w:aliases w:val="Obyčajný text Char Char Char Char1512"/>
    <w:uiPriority w:val="99"/>
    <w:semiHidden/>
    <w:rPr>
      <w:rFonts w:ascii="Courier New" w:hAnsi="Courier New"/>
      <w:lang w:val="x-none" w:eastAsia="cs-CZ"/>
    </w:rPr>
  </w:style>
  <w:style w:type="character" w:customStyle="1" w:styleId="ObyajntextChar1510">
    <w:name w:val="Obyčajný text Char1510"/>
    <w:aliases w:val="Obyčajný text Char Char Char Char1511"/>
    <w:uiPriority w:val="99"/>
    <w:semiHidden/>
    <w:rPr>
      <w:rFonts w:ascii="Courier New" w:hAnsi="Courier New"/>
      <w:lang w:val="x-none" w:eastAsia="cs-CZ"/>
    </w:rPr>
  </w:style>
  <w:style w:type="character" w:customStyle="1" w:styleId="ObyajntextChar1509">
    <w:name w:val="Obyčajný text Char1509"/>
    <w:aliases w:val="Obyčajný text Char Char Char Char1510"/>
    <w:uiPriority w:val="99"/>
    <w:semiHidden/>
    <w:rPr>
      <w:rFonts w:ascii="Courier New" w:hAnsi="Courier New"/>
      <w:lang w:val="x-none" w:eastAsia="cs-CZ"/>
    </w:rPr>
  </w:style>
  <w:style w:type="character" w:customStyle="1" w:styleId="ObyajntextChar1508">
    <w:name w:val="Obyčajný text Char1508"/>
    <w:aliases w:val="Obyčajný text Char Char Char Char1509"/>
    <w:uiPriority w:val="99"/>
    <w:semiHidden/>
    <w:rPr>
      <w:rFonts w:ascii="Courier New" w:hAnsi="Courier New"/>
      <w:lang w:val="x-none" w:eastAsia="cs-CZ"/>
    </w:rPr>
  </w:style>
  <w:style w:type="character" w:customStyle="1" w:styleId="ObyajntextChar1507">
    <w:name w:val="Obyčajný text Char1507"/>
    <w:aliases w:val="Obyčajný text Char Char Char Char1508"/>
    <w:uiPriority w:val="99"/>
    <w:semiHidden/>
    <w:rPr>
      <w:rFonts w:ascii="Courier New" w:hAnsi="Courier New"/>
      <w:lang w:val="x-none" w:eastAsia="cs-CZ"/>
    </w:rPr>
  </w:style>
  <w:style w:type="character" w:customStyle="1" w:styleId="ObyajntextChar1506">
    <w:name w:val="Obyčajný text Char1506"/>
    <w:aliases w:val="Obyčajný text Char Char Char Char1507"/>
    <w:uiPriority w:val="99"/>
    <w:semiHidden/>
    <w:rPr>
      <w:rFonts w:ascii="Courier New" w:hAnsi="Courier New"/>
      <w:lang w:val="x-none" w:eastAsia="cs-CZ"/>
    </w:rPr>
  </w:style>
  <w:style w:type="character" w:customStyle="1" w:styleId="ObyajntextChar1505">
    <w:name w:val="Obyčajný text Char1505"/>
    <w:aliases w:val="Obyčajný text Char Char Char Char1506"/>
    <w:uiPriority w:val="99"/>
    <w:semiHidden/>
    <w:rPr>
      <w:rFonts w:ascii="Courier New" w:hAnsi="Courier New"/>
      <w:lang w:val="x-none" w:eastAsia="cs-CZ"/>
    </w:rPr>
  </w:style>
  <w:style w:type="character" w:customStyle="1" w:styleId="ObyajntextChar1504">
    <w:name w:val="Obyčajný text Char1504"/>
    <w:aliases w:val="Obyčajný text Char Char Char Char1505"/>
    <w:uiPriority w:val="99"/>
    <w:semiHidden/>
    <w:rPr>
      <w:rFonts w:ascii="Courier New" w:hAnsi="Courier New"/>
      <w:lang w:val="x-none" w:eastAsia="cs-CZ"/>
    </w:rPr>
  </w:style>
  <w:style w:type="character" w:customStyle="1" w:styleId="ObyajntextChar1503">
    <w:name w:val="Obyčajný text Char1503"/>
    <w:aliases w:val="Obyčajný text Char Char Char Char1504"/>
    <w:uiPriority w:val="99"/>
    <w:semiHidden/>
    <w:rPr>
      <w:rFonts w:ascii="Courier New" w:hAnsi="Courier New"/>
      <w:lang w:val="x-none" w:eastAsia="cs-CZ"/>
    </w:rPr>
  </w:style>
  <w:style w:type="character" w:customStyle="1" w:styleId="ObyajntextChar1502">
    <w:name w:val="Obyčajný text Char1502"/>
    <w:aliases w:val="Obyčajný text Char Char Char Char1503"/>
    <w:uiPriority w:val="99"/>
    <w:semiHidden/>
    <w:rPr>
      <w:rFonts w:ascii="Courier New" w:hAnsi="Courier New"/>
      <w:lang w:val="x-none" w:eastAsia="cs-CZ"/>
    </w:rPr>
  </w:style>
  <w:style w:type="character" w:customStyle="1" w:styleId="ObyajntextChar1501">
    <w:name w:val="Obyčajný text Char1501"/>
    <w:aliases w:val="Obyčajný text Char Char Char Char1502"/>
    <w:uiPriority w:val="99"/>
    <w:semiHidden/>
    <w:rPr>
      <w:rFonts w:ascii="Courier New" w:hAnsi="Courier New"/>
      <w:lang w:val="x-none" w:eastAsia="cs-CZ"/>
    </w:rPr>
  </w:style>
  <w:style w:type="character" w:customStyle="1" w:styleId="ObyajntextChar1500">
    <w:name w:val="Obyčajný text Char1500"/>
    <w:aliases w:val="Obyčajný text Char Char Char Char1501"/>
    <w:uiPriority w:val="99"/>
    <w:semiHidden/>
    <w:rPr>
      <w:rFonts w:ascii="Courier New" w:hAnsi="Courier New"/>
      <w:lang w:val="x-none" w:eastAsia="cs-CZ"/>
    </w:rPr>
  </w:style>
  <w:style w:type="character" w:customStyle="1" w:styleId="ObyajntextChar1499">
    <w:name w:val="Obyčajný text Char1499"/>
    <w:aliases w:val="Obyčajný text Char Char Char Char1500"/>
    <w:uiPriority w:val="99"/>
    <w:semiHidden/>
    <w:rPr>
      <w:rFonts w:ascii="Courier New" w:hAnsi="Courier New"/>
      <w:lang w:val="x-none" w:eastAsia="cs-CZ"/>
    </w:rPr>
  </w:style>
  <w:style w:type="character" w:customStyle="1" w:styleId="ObyajntextChar1498">
    <w:name w:val="Obyčajný text Char1498"/>
    <w:aliases w:val="Obyčajný text Char Char Char Char1499"/>
    <w:uiPriority w:val="99"/>
    <w:semiHidden/>
    <w:rPr>
      <w:rFonts w:ascii="Courier New" w:hAnsi="Courier New"/>
      <w:lang w:val="x-none" w:eastAsia="cs-CZ"/>
    </w:rPr>
  </w:style>
  <w:style w:type="character" w:customStyle="1" w:styleId="ObyajntextChar1497">
    <w:name w:val="Obyčajný text Char1497"/>
    <w:aliases w:val="Obyčajný text Char Char Char Char1498"/>
    <w:uiPriority w:val="99"/>
    <w:semiHidden/>
    <w:rPr>
      <w:rFonts w:ascii="Courier New" w:hAnsi="Courier New"/>
      <w:lang w:val="x-none" w:eastAsia="cs-CZ"/>
    </w:rPr>
  </w:style>
  <w:style w:type="character" w:customStyle="1" w:styleId="ObyajntextChar1496">
    <w:name w:val="Obyčajný text Char1496"/>
    <w:aliases w:val="Obyčajný text Char Char Char Char1497"/>
    <w:uiPriority w:val="99"/>
    <w:semiHidden/>
    <w:rPr>
      <w:rFonts w:ascii="Courier New" w:hAnsi="Courier New"/>
      <w:lang w:val="x-none" w:eastAsia="cs-CZ"/>
    </w:rPr>
  </w:style>
  <w:style w:type="character" w:customStyle="1" w:styleId="ObyajntextChar1495">
    <w:name w:val="Obyčajný text Char1495"/>
    <w:aliases w:val="Obyčajný text Char Char Char Char1496"/>
    <w:uiPriority w:val="99"/>
    <w:semiHidden/>
    <w:rPr>
      <w:rFonts w:ascii="Courier New" w:hAnsi="Courier New"/>
      <w:lang w:val="x-none" w:eastAsia="cs-CZ"/>
    </w:rPr>
  </w:style>
  <w:style w:type="character" w:customStyle="1" w:styleId="ObyajntextChar1494">
    <w:name w:val="Obyčajný text Char1494"/>
    <w:aliases w:val="Obyčajný text Char Char Char Char1495"/>
    <w:uiPriority w:val="99"/>
    <w:semiHidden/>
    <w:rPr>
      <w:rFonts w:ascii="Courier New" w:hAnsi="Courier New"/>
      <w:lang w:val="x-none" w:eastAsia="cs-CZ"/>
    </w:rPr>
  </w:style>
  <w:style w:type="character" w:customStyle="1" w:styleId="ObyajntextChar1493">
    <w:name w:val="Obyčajný text Char1493"/>
    <w:aliases w:val="Obyčajný text Char Char Char Char1494"/>
    <w:uiPriority w:val="99"/>
    <w:semiHidden/>
    <w:rPr>
      <w:rFonts w:ascii="Courier New" w:hAnsi="Courier New"/>
      <w:lang w:val="x-none" w:eastAsia="cs-CZ"/>
    </w:rPr>
  </w:style>
  <w:style w:type="character" w:customStyle="1" w:styleId="ObyajntextChar1492">
    <w:name w:val="Obyčajný text Char1492"/>
    <w:aliases w:val="Obyčajný text Char Char Char Char1493"/>
    <w:uiPriority w:val="99"/>
    <w:semiHidden/>
    <w:rPr>
      <w:rFonts w:ascii="Courier New" w:hAnsi="Courier New"/>
      <w:lang w:val="x-none" w:eastAsia="cs-CZ"/>
    </w:rPr>
  </w:style>
  <w:style w:type="character" w:customStyle="1" w:styleId="ObyajntextChar1491">
    <w:name w:val="Obyčajný text Char1491"/>
    <w:aliases w:val="Obyčajný text Char Char Char Char1492"/>
    <w:uiPriority w:val="99"/>
    <w:semiHidden/>
    <w:rPr>
      <w:rFonts w:ascii="Courier New" w:hAnsi="Courier New"/>
      <w:lang w:val="x-none" w:eastAsia="cs-CZ"/>
    </w:rPr>
  </w:style>
  <w:style w:type="character" w:customStyle="1" w:styleId="ObyajntextChar1490">
    <w:name w:val="Obyčajný text Char1490"/>
    <w:aliases w:val="Obyčajný text Char Char Char Char1491"/>
    <w:uiPriority w:val="99"/>
    <w:semiHidden/>
    <w:rPr>
      <w:rFonts w:ascii="Courier New" w:hAnsi="Courier New"/>
      <w:lang w:val="x-none" w:eastAsia="cs-CZ"/>
    </w:rPr>
  </w:style>
  <w:style w:type="character" w:customStyle="1" w:styleId="ObyajntextChar1489">
    <w:name w:val="Obyčajný text Char1489"/>
    <w:aliases w:val="Obyčajný text Char Char Char Char1490"/>
    <w:uiPriority w:val="99"/>
    <w:semiHidden/>
    <w:rPr>
      <w:rFonts w:ascii="Courier New" w:hAnsi="Courier New"/>
      <w:lang w:val="x-none" w:eastAsia="cs-CZ"/>
    </w:rPr>
  </w:style>
  <w:style w:type="character" w:customStyle="1" w:styleId="ObyajntextChar1488">
    <w:name w:val="Obyčajný text Char1488"/>
    <w:aliases w:val="Obyčajný text Char Char Char Char1489"/>
    <w:uiPriority w:val="99"/>
    <w:semiHidden/>
    <w:rPr>
      <w:rFonts w:ascii="Courier New" w:hAnsi="Courier New"/>
      <w:lang w:val="x-none" w:eastAsia="cs-CZ"/>
    </w:rPr>
  </w:style>
  <w:style w:type="character" w:customStyle="1" w:styleId="ObyajntextChar1487">
    <w:name w:val="Obyčajný text Char1487"/>
    <w:aliases w:val="Obyčajný text Char Char Char Char1488"/>
    <w:uiPriority w:val="99"/>
    <w:semiHidden/>
    <w:rPr>
      <w:rFonts w:ascii="Courier New" w:hAnsi="Courier New"/>
      <w:lang w:val="x-none" w:eastAsia="cs-CZ"/>
    </w:rPr>
  </w:style>
  <w:style w:type="character" w:customStyle="1" w:styleId="ObyajntextChar1486">
    <w:name w:val="Obyčajný text Char1486"/>
    <w:aliases w:val="Obyčajný text Char Char Char Char1487"/>
    <w:uiPriority w:val="99"/>
    <w:semiHidden/>
    <w:rPr>
      <w:rFonts w:ascii="Courier New" w:hAnsi="Courier New"/>
      <w:lang w:val="x-none" w:eastAsia="cs-CZ"/>
    </w:rPr>
  </w:style>
  <w:style w:type="character" w:customStyle="1" w:styleId="ObyajntextChar1485">
    <w:name w:val="Obyčajný text Char1485"/>
    <w:aliases w:val="Obyčajný text Char Char Char Char1486"/>
    <w:uiPriority w:val="99"/>
    <w:semiHidden/>
    <w:rPr>
      <w:rFonts w:ascii="Courier New" w:hAnsi="Courier New"/>
      <w:lang w:val="x-none" w:eastAsia="cs-CZ"/>
    </w:rPr>
  </w:style>
  <w:style w:type="character" w:customStyle="1" w:styleId="ObyajntextChar1484">
    <w:name w:val="Obyčajný text Char1484"/>
    <w:aliases w:val="Obyčajný text Char Char Char Char1485"/>
    <w:uiPriority w:val="99"/>
    <w:semiHidden/>
    <w:rPr>
      <w:rFonts w:ascii="Courier New" w:hAnsi="Courier New"/>
      <w:lang w:val="x-none" w:eastAsia="cs-CZ"/>
    </w:rPr>
  </w:style>
  <w:style w:type="character" w:customStyle="1" w:styleId="ObyajntextChar1483">
    <w:name w:val="Obyčajný text Char1483"/>
    <w:aliases w:val="Obyčajný text Char Char Char Char1484"/>
    <w:uiPriority w:val="99"/>
    <w:semiHidden/>
    <w:rPr>
      <w:rFonts w:ascii="Courier New" w:hAnsi="Courier New"/>
      <w:lang w:val="x-none" w:eastAsia="cs-CZ"/>
    </w:rPr>
  </w:style>
  <w:style w:type="character" w:customStyle="1" w:styleId="ObyajntextChar1482">
    <w:name w:val="Obyčajný text Char1482"/>
    <w:aliases w:val="Obyčajný text Char Char Char Char1483"/>
    <w:uiPriority w:val="99"/>
    <w:semiHidden/>
    <w:rPr>
      <w:rFonts w:ascii="Courier New" w:hAnsi="Courier New"/>
      <w:lang w:val="x-none" w:eastAsia="cs-CZ"/>
    </w:rPr>
  </w:style>
  <w:style w:type="character" w:customStyle="1" w:styleId="ObyajntextChar1481">
    <w:name w:val="Obyčajný text Char1481"/>
    <w:aliases w:val="Obyčajný text Char Char Char Char1482"/>
    <w:uiPriority w:val="99"/>
    <w:semiHidden/>
    <w:rPr>
      <w:rFonts w:ascii="Courier New" w:hAnsi="Courier New"/>
      <w:lang w:val="x-none" w:eastAsia="cs-CZ"/>
    </w:rPr>
  </w:style>
  <w:style w:type="character" w:customStyle="1" w:styleId="ObyajntextChar1480">
    <w:name w:val="Obyčajný text Char1480"/>
    <w:aliases w:val="Obyčajný text Char Char Char Char1481"/>
    <w:uiPriority w:val="99"/>
    <w:semiHidden/>
    <w:rPr>
      <w:rFonts w:ascii="Courier New" w:hAnsi="Courier New"/>
      <w:lang w:val="x-none" w:eastAsia="cs-CZ"/>
    </w:rPr>
  </w:style>
  <w:style w:type="character" w:customStyle="1" w:styleId="ObyajntextChar1479">
    <w:name w:val="Obyčajný text Char1479"/>
    <w:aliases w:val="Obyčajný text Char Char Char Char1480"/>
    <w:uiPriority w:val="99"/>
    <w:semiHidden/>
    <w:rPr>
      <w:rFonts w:ascii="Courier New" w:hAnsi="Courier New"/>
      <w:lang w:val="x-none" w:eastAsia="cs-CZ"/>
    </w:rPr>
  </w:style>
  <w:style w:type="character" w:customStyle="1" w:styleId="ObyajntextChar1478">
    <w:name w:val="Obyčajný text Char1478"/>
    <w:aliases w:val="Obyčajný text Char Char Char Char1479"/>
    <w:uiPriority w:val="99"/>
    <w:semiHidden/>
    <w:rPr>
      <w:rFonts w:ascii="Courier New" w:hAnsi="Courier New"/>
      <w:lang w:val="x-none" w:eastAsia="cs-CZ"/>
    </w:rPr>
  </w:style>
  <w:style w:type="character" w:customStyle="1" w:styleId="ObyajntextChar1477">
    <w:name w:val="Obyčajný text Char1477"/>
    <w:aliases w:val="Obyčajný text Char Char Char Char1478"/>
    <w:uiPriority w:val="99"/>
    <w:semiHidden/>
    <w:rPr>
      <w:rFonts w:ascii="Courier New" w:hAnsi="Courier New"/>
      <w:lang w:val="x-none" w:eastAsia="cs-CZ"/>
    </w:rPr>
  </w:style>
  <w:style w:type="character" w:customStyle="1" w:styleId="ObyajntextChar1476">
    <w:name w:val="Obyčajný text Char1476"/>
    <w:aliases w:val="Obyčajný text Char Char Char Char1477"/>
    <w:uiPriority w:val="99"/>
    <w:semiHidden/>
    <w:rPr>
      <w:rFonts w:ascii="Courier New" w:hAnsi="Courier New"/>
      <w:lang w:val="x-none" w:eastAsia="cs-CZ"/>
    </w:rPr>
  </w:style>
  <w:style w:type="character" w:customStyle="1" w:styleId="ObyajntextChar1475">
    <w:name w:val="Obyčajný text Char1475"/>
    <w:aliases w:val="Obyčajný text Char Char Char Char1476"/>
    <w:uiPriority w:val="99"/>
    <w:semiHidden/>
    <w:rPr>
      <w:rFonts w:ascii="Courier New" w:hAnsi="Courier New"/>
      <w:lang w:val="x-none" w:eastAsia="cs-CZ"/>
    </w:rPr>
  </w:style>
  <w:style w:type="character" w:customStyle="1" w:styleId="ObyajntextChar1474">
    <w:name w:val="Obyčajný text Char1474"/>
    <w:aliases w:val="Obyčajný text Char Char Char Char1475"/>
    <w:uiPriority w:val="99"/>
    <w:semiHidden/>
    <w:rPr>
      <w:rFonts w:ascii="Courier New" w:hAnsi="Courier New"/>
      <w:lang w:val="x-none" w:eastAsia="cs-CZ"/>
    </w:rPr>
  </w:style>
  <w:style w:type="character" w:customStyle="1" w:styleId="ObyajntextChar1473">
    <w:name w:val="Obyčajný text Char1473"/>
    <w:aliases w:val="Obyčajný text Char Char Char Char1474"/>
    <w:uiPriority w:val="99"/>
    <w:semiHidden/>
    <w:rPr>
      <w:rFonts w:ascii="Courier New" w:hAnsi="Courier New"/>
      <w:lang w:val="x-none" w:eastAsia="cs-CZ"/>
    </w:rPr>
  </w:style>
  <w:style w:type="character" w:customStyle="1" w:styleId="ObyajntextChar1472">
    <w:name w:val="Obyčajný text Char1472"/>
    <w:aliases w:val="Obyčajný text Char Char Char Char1473"/>
    <w:uiPriority w:val="99"/>
    <w:semiHidden/>
    <w:rPr>
      <w:rFonts w:ascii="Courier New" w:hAnsi="Courier New"/>
      <w:lang w:val="x-none" w:eastAsia="cs-CZ"/>
    </w:rPr>
  </w:style>
  <w:style w:type="character" w:customStyle="1" w:styleId="ObyajntextChar1471">
    <w:name w:val="Obyčajný text Char1471"/>
    <w:aliases w:val="Obyčajný text Char Char Char Char1472"/>
    <w:uiPriority w:val="99"/>
    <w:semiHidden/>
    <w:rPr>
      <w:rFonts w:ascii="Courier New" w:hAnsi="Courier New"/>
      <w:lang w:val="x-none" w:eastAsia="cs-CZ"/>
    </w:rPr>
  </w:style>
  <w:style w:type="character" w:customStyle="1" w:styleId="ObyajntextChar1470">
    <w:name w:val="Obyčajný text Char1470"/>
    <w:aliases w:val="Obyčajný text Char Char Char Char1471"/>
    <w:uiPriority w:val="99"/>
    <w:semiHidden/>
    <w:rPr>
      <w:rFonts w:ascii="Courier New" w:hAnsi="Courier New"/>
      <w:lang w:val="x-none" w:eastAsia="cs-CZ"/>
    </w:rPr>
  </w:style>
  <w:style w:type="character" w:customStyle="1" w:styleId="ObyajntextChar1469">
    <w:name w:val="Obyčajný text Char1469"/>
    <w:aliases w:val="Obyčajný text Char Char Char Char1470"/>
    <w:uiPriority w:val="99"/>
    <w:semiHidden/>
    <w:rPr>
      <w:rFonts w:ascii="Courier New" w:hAnsi="Courier New"/>
      <w:lang w:val="x-none" w:eastAsia="cs-CZ"/>
    </w:rPr>
  </w:style>
  <w:style w:type="character" w:customStyle="1" w:styleId="ObyajntextChar1468">
    <w:name w:val="Obyčajný text Char1468"/>
    <w:aliases w:val="Obyčajný text Char Char Char Char1469"/>
    <w:uiPriority w:val="99"/>
    <w:semiHidden/>
    <w:rPr>
      <w:rFonts w:ascii="Courier New" w:hAnsi="Courier New"/>
      <w:lang w:val="x-none" w:eastAsia="cs-CZ"/>
    </w:rPr>
  </w:style>
  <w:style w:type="character" w:customStyle="1" w:styleId="ObyajntextChar1467">
    <w:name w:val="Obyčajný text Char1467"/>
    <w:aliases w:val="Obyčajný text Char Char Char Char1468"/>
    <w:uiPriority w:val="99"/>
    <w:semiHidden/>
    <w:rPr>
      <w:rFonts w:ascii="Courier New" w:hAnsi="Courier New"/>
      <w:lang w:val="x-none" w:eastAsia="cs-CZ"/>
    </w:rPr>
  </w:style>
  <w:style w:type="character" w:customStyle="1" w:styleId="ObyajntextChar1466">
    <w:name w:val="Obyčajný text Char1466"/>
    <w:aliases w:val="Obyčajný text Char Char Char Char1467"/>
    <w:uiPriority w:val="99"/>
    <w:semiHidden/>
    <w:rPr>
      <w:rFonts w:ascii="Courier New" w:hAnsi="Courier New"/>
      <w:lang w:val="x-none" w:eastAsia="cs-CZ"/>
    </w:rPr>
  </w:style>
  <w:style w:type="character" w:customStyle="1" w:styleId="ObyajntextChar1465">
    <w:name w:val="Obyčajný text Char1465"/>
    <w:aliases w:val="Obyčajný text Char Char Char Char1466"/>
    <w:uiPriority w:val="99"/>
    <w:semiHidden/>
    <w:rPr>
      <w:rFonts w:ascii="Courier New" w:hAnsi="Courier New"/>
      <w:lang w:val="x-none" w:eastAsia="cs-CZ"/>
    </w:rPr>
  </w:style>
  <w:style w:type="character" w:customStyle="1" w:styleId="ObyajntextChar1464">
    <w:name w:val="Obyčajný text Char1464"/>
    <w:aliases w:val="Obyčajný text Char Char Char Char1465"/>
    <w:uiPriority w:val="99"/>
    <w:semiHidden/>
    <w:rPr>
      <w:rFonts w:ascii="Courier New" w:hAnsi="Courier New"/>
      <w:lang w:val="x-none" w:eastAsia="cs-CZ"/>
    </w:rPr>
  </w:style>
  <w:style w:type="character" w:customStyle="1" w:styleId="ObyajntextChar1463">
    <w:name w:val="Obyčajný text Char1463"/>
    <w:aliases w:val="Obyčajný text Char Char Char Char1464"/>
    <w:uiPriority w:val="99"/>
    <w:semiHidden/>
    <w:rPr>
      <w:rFonts w:ascii="Courier New" w:hAnsi="Courier New"/>
      <w:lang w:val="x-none" w:eastAsia="cs-CZ"/>
    </w:rPr>
  </w:style>
  <w:style w:type="character" w:customStyle="1" w:styleId="ObyajntextChar1462">
    <w:name w:val="Obyčajný text Char1462"/>
    <w:aliases w:val="Obyčajný text Char Char Char Char1463"/>
    <w:uiPriority w:val="99"/>
    <w:semiHidden/>
    <w:rPr>
      <w:rFonts w:ascii="Courier New" w:hAnsi="Courier New"/>
      <w:lang w:val="x-none" w:eastAsia="cs-CZ"/>
    </w:rPr>
  </w:style>
  <w:style w:type="character" w:customStyle="1" w:styleId="ObyajntextChar1461">
    <w:name w:val="Obyčajný text Char1461"/>
    <w:aliases w:val="Obyčajný text Char Char Char Char1462"/>
    <w:uiPriority w:val="99"/>
    <w:semiHidden/>
    <w:rPr>
      <w:rFonts w:ascii="Courier New" w:hAnsi="Courier New"/>
      <w:lang w:val="x-none" w:eastAsia="cs-CZ"/>
    </w:rPr>
  </w:style>
  <w:style w:type="character" w:customStyle="1" w:styleId="ObyajntextChar1460">
    <w:name w:val="Obyčajný text Char1460"/>
    <w:aliases w:val="Obyčajný text Char Char Char Char1461"/>
    <w:uiPriority w:val="99"/>
    <w:semiHidden/>
    <w:rPr>
      <w:rFonts w:ascii="Courier New" w:hAnsi="Courier New"/>
      <w:lang w:val="x-none" w:eastAsia="cs-CZ"/>
    </w:rPr>
  </w:style>
  <w:style w:type="character" w:customStyle="1" w:styleId="ObyajntextChar1459">
    <w:name w:val="Obyčajný text Char1459"/>
    <w:aliases w:val="Obyčajný text Char Char Char Char1460"/>
    <w:uiPriority w:val="99"/>
    <w:semiHidden/>
    <w:rPr>
      <w:rFonts w:ascii="Courier New" w:hAnsi="Courier New"/>
      <w:lang w:val="x-none" w:eastAsia="cs-CZ"/>
    </w:rPr>
  </w:style>
  <w:style w:type="character" w:customStyle="1" w:styleId="ObyajntextChar1458">
    <w:name w:val="Obyčajný text Char1458"/>
    <w:aliases w:val="Obyčajný text Char Char Char Char1459"/>
    <w:uiPriority w:val="99"/>
    <w:semiHidden/>
    <w:rPr>
      <w:rFonts w:ascii="Courier New" w:hAnsi="Courier New"/>
      <w:lang w:val="x-none" w:eastAsia="cs-CZ"/>
    </w:rPr>
  </w:style>
  <w:style w:type="character" w:customStyle="1" w:styleId="ObyajntextChar1457">
    <w:name w:val="Obyčajný text Char1457"/>
    <w:aliases w:val="Obyčajný text Char Char Char Char1458"/>
    <w:uiPriority w:val="99"/>
    <w:semiHidden/>
    <w:rPr>
      <w:rFonts w:ascii="Courier New" w:hAnsi="Courier New"/>
      <w:lang w:val="x-none" w:eastAsia="cs-CZ"/>
    </w:rPr>
  </w:style>
  <w:style w:type="character" w:customStyle="1" w:styleId="ObyajntextChar1456">
    <w:name w:val="Obyčajný text Char1456"/>
    <w:aliases w:val="Obyčajný text Char Char Char Char1457"/>
    <w:uiPriority w:val="99"/>
    <w:semiHidden/>
    <w:rPr>
      <w:rFonts w:ascii="Courier New" w:hAnsi="Courier New"/>
      <w:lang w:val="x-none" w:eastAsia="cs-CZ"/>
    </w:rPr>
  </w:style>
  <w:style w:type="character" w:customStyle="1" w:styleId="ObyajntextChar1455">
    <w:name w:val="Obyčajný text Char1455"/>
    <w:aliases w:val="Obyčajný text Char Char Char Char1456"/>
    <w:uiPriority w:val="99"/>
    <w:semiHidden/>
    <w:rPr>
      <w:rFonts w:ascii="Courier New" w:hAnsi="Courier New"/>
      <w:lang w:val="x-none" w:eastAsia="cs-CZ"/>
    </w:rPr>
  </w:style>
  <w:style w:type="character" w:customStyle="1" w:styleId="ObyajntextChar1454">
    <w:name w:val="Obyčajný text Char1454"/>
    <w:aliases w:val="Obyčajný text Char Char Char Char1455"/>
    <w:uiPriority w:val="99"/>
    <w:semiHidden/>
    <w:rPr>
      <w:rFonts w:ascii="Courier New" w:hAnsi="Courier New"/>
      <w:lang w:val="x-none" w:eastAsia="cs-CZ"/>
    </w:rPr>
  </w:style>
  <w:style w:type="character" w:customStyle="1" w:styleId="ObyajntextChar1453">
    <w:name w:val="Obyčajný text Char1453"/>
    <w:aliases w:val="Obyčajný text Char Char Char Char1454"/>
    <w:uiPriority w:val="99"/>
    <w:semiHidden/>
    <w:rPr>
      <w:rFonts w:ascii="Courier New" w:hAnsi="Courier New"/>
      <w:lang w:val="x-none" w:eastAsia="cs-CZ"/>
    </w:rPr>
  </w:style>
  <w:style w:type="character" w:customStyle="1" w:styleId="ObyajntextChar1452">
    <w:name w:val="Obyčajný text Char1452"/>
    <w:aliases w:val="Obyčajný text Char Char Char Char1453"/>
    <w:uiPriority w:val="99"/>
    <w:semiHidden/>
    <w:rPr>
      <w:rFonts w:ascii="Courier New" w:hAnsi="Courier New"/>
      <w:lang w:val="x-none" w:eastAsia="cs-CZ"/>
    </w:rPr>
  </w:style>
  <w:style w:type="character" w:customStyle="1" w:styleId="ObyajntextChar1451">
    <w:name w:val="Obyčajný text Char1451"/>
    <w:aliases w:val="Obyčajný text Char Char Char Char1452"/>
    <w:uiPriority w:val="99"/>
    <w:semiHidden/>
    <w:rPr>
      <w:rFonts w:ascii="Courier New" w:hAnsi="Courier New"/>
      <w:lang w:val="x-none" w:eastAsia="cs-CZ"/>
    </w:rPr>
  </w:style>
  <w:style w:type="character" w:customStyle="1" w:styleId="ObyajntextChar1450">
    <w:name w:val="Obyčajný text Char1450"/>
    <w:aliases w:val="Obyčajný text Char Char Char Char1451"/>
    <w:uiPriority w:val="99"/>
    <w:semiHidden/>
    <w:rPr>
      <w:rFonts w:ascii="Courier New" w:hAnsi="Courier New"/>
      <w:lang w:val="x-none" w:eastAsia="cs-CZ"/>
    </w:rPr>
  </w:style>
  <w:style w:type="character" w:customStyle="1" w:styleId="ObyajntextChar1449">
    <w:name w:val="Obyčajný text Char1449"/>
    <w:aliases w:val="Obyčajný text Char Char Char Char1450"/>
    <w:uiPriority w:val="99"/>
    <w:semiHidden/>
    <w:rPr>
      <w:rFonts w:ascii="Courier New" w:hAnsi="Courier New"/>
      <w:lang w:val="x-none" w:eastAsia="cs-CZ"/>
    </w:rPr>
  </w:style>
  <w:style w:type="character" w:customStyle="1" w:styleId="ObyajntextChar1448">
    <w:name w:val="Obyčajný text Char1448"/>
    <w:aliases w:val="Obyčajný text Char Char Char Char1449"/>
    <w:uiPriority w:val="99"/>
    <w:semiHidden/>
    <w:rPr>
      <w:rFonts w:ascii="Courier New" w:hAnsi="Courier New"/>
      <w:lang w:val="x-none" w:eastAsia="cs-CZ"/>
    </w:rPr>
  </w:style>
  <w:style w:type="character" w:customStyle="1" w:styleId="ObyajntextChar1447">
    <w:name w:val="Obyčajný text Char1447"/>
    <w:aliases w:val="Obyčajný text Char Char Char Char1448"/>
    <w:uiPriority w:val="99"/>
    <w:semiHidden/>
    <w:rPr>
      <w:rFonts w:ascii="Courier New" w:hAnsi="Courier New"/>
      <w:lang w:val="x-none" w:eastAsia="cs-CZ"/>
    </w:rPr>
  </w:style>
  <w:style w:type="character" w:customStyle="1" w:styleId="ObyajntextChar1446">
    <w:name w:val="Obyčajný text Char1446"/>
    <w:aliases w:val="Obyčajný text Char Char Char Char1447"/>
    <w:uiPriority w:val="99"/>
    <w:semiHidden/>
    <w:rPr>
      <w:rFonts w:ascii="Courier New" w:hAnsi="Courier New"/>
      <w:lang w:val="x-none" w:eastAsia="cs-CZ"/>
    </w:rPr>
  </w:style>
  <w:style w:type="character" w:customStyle="1" w:styleId="ObyajntextChar1445">
    <w:name w:val="Obyčajný text Char1445"/>
    <w:aliases w:val="Obyčajný text Char Char Char Char1446"/>
    <w:uiPriority w:val="99"/>
    <w:semiHidden/>
    <w:rPr>
      <w:rFonts w:ascii="Courier New" w:hAnsi="Courier New"/>
      <w:lang w:val="x-none" w:eastAsia="cs-CZ"/>
    </w:rPr>
  </w:style>
  <w:style w:type="character" w:customStyle="1" w:styleId="ObyajntextChar1444">
    <w:name w:val="Obyčajný text Char1444"/>
    <w:aliases w:val="Obyčajný text Char Char Char Char1445"/>
    <w:uiPriority w:val="99"/>
    <w:semiHidden/>
    <w:rPr>
      <w:rFonts w:ascii="Courier New" w:hAnsi="Courier New"/>
      <w:lang w:val="x-none" w:eastAsia="cs-CZ"/>
    </w:rPr>
  </w:style>
  <w:style w:type="character" w:customStyle="1" w:styleId="ObyajntextChar1443">
    <w:name w:val="Obyčajný text Char1443"/>
    <w:aliases w:val="Obyčajný text Char Char Char Char1444"/>
    <w:uiPriority w:val="99"/>
    <w:semiHidden/>
    <w:rPr>
      <w:rFonts w:ascii="Courier New" w:hAnsi="Courier New"/>
      <w:lang w:val="x-none" w:eastAsia="cs-CZ"/>
    </w:rPr>
  </w:style>
  <w:style w:type="character" w:customStyle="1" w:styleId="ObyajntextChar1442">
    <w:name w:val="Obyčajný text Char1442"/>
    <w:aliases w:val="Obyčajný text Char Char Char Char1443"/>
    <w:uiPriority w:val="99"/>
    <w:semiHidden/>
    <w:rPr>
      <w:rFonts w:ascii="Courier New" w:hAnsi="Courier New"/>
      <w:lang w:val="x-none" w:eastAsia="cs-CZ"/>
    </w:rPr>
  </w:style>
  <w:style w:type="character" w:customStyle="1" w:styleId="ObyajntextChar1441">
    <w:name w:val="Obyčajný text Char1441"/>
    <w:aliases w:val="Obyčajný text Char Char Char Char1442"/>
    <w:uiPriority w:val="99"/>
    <w:semiHidden/>
    <w:rPr>
      <w:rFonts w:ascii="Courier New" w:hAnsi="Courier New"/>
      <w:lang w:val="x-none" w:eastAsia="cs-CZ"/>
    </w:rPr>
  </w:style>
  <w:style w:type="character" w:customStyle="1" w:styleId="ObyajntextChar1440">
    <w:name w:val="Obyčajný text Char1440"/>
    <w:aliases w:val="Obyčajný text Char Char Char Char1441"/>
    <w:uiPriority w:val="99"/>
    <w:semiHidden/>
    <w:rPr>
      <w:rFonts w:ascii="Courier New" w:hAnsi="Courier New"/>
      <w:lang w:val="x-none" w:eastAsia="cs-CZ"/>
    </w:rPr>
  </w:style>
  <w:style w:type="character" w:customStyle="1" w:styleId="ObyajntextChar1439">
    <w:name w:val="Obyčajný text Char1439"/>
    <w:aliases w:val="Obyčajný text Char Char Char Char1440"/>
    <w:uiPriority w:val="99"/>
    <w:semiHidden/>
    <w:rPr>
      <w:rFonts w:ascii="Courier New" w:hAnsi="Courier New"/>
      <w:lang w:val="x-none" w:eastAsia="cs-CZ"/>
    </w:rPr>
  </w:style>
  <w:style w:type="character" w:customStyle="1" w:styleId="ObyajntextChar1438">
    <w:name w:val="Obyčajný text Char1438"/>
    <w:aliases w:val="Obyčajný text Char Char Char Char1439"/>
    <w:uiPriority w:val="99"/>
    <w:semiHidden/>
    <w:rPr>
      <w:rFonts w:ascii="Courier New" w:hAnsi="Courier New"/>
      <w:lang w:val="x-none" w:eastAsia="cs-CZ"/>
    </w:rPr>
  </w:style>
  <w:style w:type="character" w:customStyle="1" w:styleId="ObyajntextChar1437">
    <w:name w:val="Obyčajný text Char1437"/>
    <w:aliases w:val="Obyčajný text Char Char Char Char1438"/>
    <w:uiPriority w:val="99"/>
    <w:semiHidden/>
    <w:rPr>
      <w:rFonts w:ascii="Courier New" w:hAnsi="Courier New"/>
      <w:lang w:val="x-none" w:eastAsia="cs-CZ"/>
    </w:rPr>
  </w:style>
  <w:style w:type="character" w:customStyle="1" w:styleId="ObyajntextChar1436">
    <w:name w:val="Obyčajný text Char1436"/>
    <w:aliases w:val="Obyčajný text Char Char Char Char1437"/>
    <w:uiPriority w:val="99"/>
    <w:semiHidden/>
    <w:rPr>
      <w:rFonts w:ascii="Courier New" w:hAnsi="Courier New"/>
      <w:lang w:val="x-none" w:eastAsia="cs-CZ"/>
    </w:rPr>
  </w:style>
  <w:style w:type="character" w:customStyle="1" w:styleId="ObyajntextChar1435">
    <w:name w:val="Obyčajný text Char1435"/>
    <w:aliases w:val="Obyčajný text Char Char Char Char1436"/>
    <w:uiPriority w:val="99"/>
    <w:semiHidden/>
    <w:rPr>
      <w:rFonts w:ascii="Courier New" w:hAnsi="Courier New"/>
      <w:lang w:val="x-none" w:eastAsia="cs-CZ"/>
    </w:rPr>
  </w:style>
  <w:style w:type="character" w:customStyle="1" w:styleId="ObyajntextChar1434">
    <w:name w:val="Obyčajný text Char1434"/>
    <w:aliases w:val="Obyčajný text Char Char Char Char1435"/>
    <w:uiPriority w:val="99"/>
    <w:semiHidden/>
    <w:rPr>
      <w:rFonts w:ascii="Courier New" w:hAnsi="Courier New"/>
      <w:lang w:val="x-none" w:eastAsia="cs-CZ"/>
    </w:rPr>
  </w:style>
  <w:style w:type="character" w:customStyle="1" w:styleId="ObyajntextChar1433">
    <w:name w:val="Obyčajný text Char1433"/>
    <w:aliases w:val="Obyčajný text Char Char Char Char1434"/>
    <w:uiPriority w:val="99"/>
    <w:semiHidden/>
    <w:rPr>
      <w:rFonts w:ascii="Courier New" w:hAnsi="Courier New"/>
      <w:lang w:val="x-none" w:eastAsia="cs-CZ"/>
    </w:rPr>
  </w:style>
  <w:style w:type="character" w:customStyle="1" w:styleId="ObyajntextChar1432">
    <w:name w:val="Obyčajný text Char1432"/>
    <w:aliases w:val="Obyčajný text Char Char Char Char1433"/>
    <w:uiPriority w:val="99"/>
    <w:semiHidden/>
    <w:rPr>
      <w:rFonts w:ascii="Courier New" w:hAnsi="Courier New"/>
      <w:lang w:val="x-none" w:eastAsia="cs-CZ"/>
    </w:rPr>
  </w:style>
  <w:style w:type="character" w:customStyle="1" w:styleId="ObyajntextChar1431">
    <w:name w:val="Obyčajný text Char1431"/>
    <w:aliases w:val="Obyčajný text Char Char Char Char1432"/>
    <w:uiPriority w:val="99"/>
    <w:semiHidden/>
    <w:rPr>
      <w:rFonts w:ascii="Courier New" w:hAnsi="Courier New"/>
      <w:lang w:val="x-none" w:eastAsia="cs-CZ"/>
    </w:rPr>
  </w:style>
  <w:style w:type="character" w:customStyle="1" w:styleId="ObyajntextChar1430">
    <w:name w:val="Obyčajný text Char1430"/>
    <w:aliases w:val="Obyčajný text Char Char Char Char1431"/>
    <w:uiPriority w:val="99"/>
    <w:semiHidden/>
    <w:rPr>
      <w:rFonts w:ascii="Courier New" w:hAnsi="Courier New"/>
      <w:lang w:val="x-none" w:eastAsia="cs-CZ"/>
    </w:rPr>
  </w:style>
  <w:style w:type="character" w:customStyle="1" w:styleId="ObyajntextChar1429">
    <w:name w:val="Obyčajný text Char1429"/>
    <w:aliases w:val="Obyčajný text Char Char Char Char1430"/>
    <w:uiPriority w:val="99"/>
    <w:semiHidden/>
    <w:rPr>
      <w:rFonts w:ascii="Courier New" w:hAnsi="Courier New"/>
      <w:lang w:val="x-none" w:eastAsia="cs-CZ"/>
    </w:rPr>
  </w:style>
  <w:style w:type="character" w:customStyle="1" w:styleId="ObyajntextChar1428">
    <w:name w:val="Obyčajný text Char1428"/>
    <w:aliases w:val="Obyčajný text Char Char Char Char1429"/>
    <w:uiPriority w:val="99"/>
    <w:semiHidden/>
    <w:rPr>
      <w:rFonts w:ascii="Courier New" w:hAnsi="Courier New"/>
      <w:lang w:val="x-none" w:eastAsia="cs-CZ"/>
    </w:rPr>
  </w:style>
  <w:style w:type="character" w:customStyle="1" w:styleId="ObyajntextChar1427">
    <w:name w:val="Obyčajný text Char1427"/>
    <w:aliases w:val="Obyčajný text Char Char Char Char1428"/>
    <w:uiPriority w:val="99"/>
    <w:semiHidden/>
    <w:rPr>
      <w:rFonts w:ascii="Courier New" w:hAnsi="Courier New"/>
      <w:lang w:val="x-none" w:eastAsia="cs-CZ"/>
    </w:rPr>
  </w:style>
  <w:style w:type="character" w:customStyle="1" w:styleId="ObyajntextChar1426">
    <w:name w:val="Obyčajný text Char1426"/>
    <w:aliases w:val="Obyčajný text Char Char Char Char1427"/>
    <w:uiPriority w:val="99"/>
    <w:semiHidden/>
    <w:rPr>
      <w:rFonts w:ascii="Courier New" w:hAnsi="Courier New"/>
      <w:lang w:val="x-none" w:eastAsia="cs-CZ"/>
    </w:rPr>
  </w:style>
  <w:style w:type="character" w:customStyle="1" w:styleId="ObyajntextChar1425">
    <w:name w:val="Obyčajný text Char1425"/>
    <w:aliases w:val="Obyčajný text Char Char Char Char1426"/>
    <w:uiPriority w:val="99"/>
    <w:semiHidden/>
    <w:rPr>
      <w:rFonts w:ascii="Courier New" w:hAnsi="Courier New"/>
      <w:lang w:val="x-none" w:eastAsia="cs-CZ"/>
    </w:rPr>
  </w:style>
  <w:style w:type="character" w:customStyle="1" w:styleId="ObyajntextChar1424">
    <w:name w:val="Obyčajný text Char1424"/>
    <w:aliases w:val="Obyčajný text Char Char Char Char1425"/>
    <w:uiPriority w:val="99"/>
    <w:semiHidden/>
    <w:rPr>
      <w:rFonts w:ascii="Courier New" w:hAnsi="Courier New"/>
      <w:lang w:val="x-none" w:eastAsia="cs-CZ"/>
    </w:rPr>
  </w:style>
  <w:style w:type="character" w:customStyle="1" w:styleId="ObyajntextChar1423">
    <w:name w:val="Obyčajný text Char1423"/>
    <w:aliases w:val="Obyčajný text Char Char Char Char1424"/>
    <w:uiPriority w:val="99"/>
    <w:semiHidden/>
    <w:rPr>
      <w:rFonts w:ascii="Courier New" w:hAnsi="Courier New"/>
      <w:lang w:val="x-none" w:eastAsia="cs-CZ"/>
    </w:rPr>
  </w:style>
  <w:style w:type="character" w:customStyle="1" w:styleId="ObyajntextChar1422">
    <w:name w:val="Obyčajný text Char1422"/>
    <w:aliases w:val="Obyčajný text Char Char Char Char1423"/>
    <w:uiPriority w:val="99"/>
    <w:semiHidden/>
    <w:rPr>
      <w:rFonts w:ascii="Courier New" w:hAnsi="Courier New"/>
      <w:lang w:val="x-none" w:eastAsia="cs-CZ"/>
    </w:rPr>
  </w:style>
  <w:style w:type="character" w:customStyle="1" w:styleId="ObyajntextChar1421">
    <w:name w:val="Obyčajný text Char1421"/>
    <w:aliases w:val="Obyčajný text Char Char Char Char1422"/>
    <w:uiPriority w:val="99"/>
    <w:semiHidden/>
    <w:rPr>
      <w:rFonts w:ascii="Courier New" w:hAnsi="Courier New"/>
      <w:lang w:val="x-none" w:eastAsia="cs-CZ"/>
    </w:rPr>
  </w:style>
  <w:style w:type="character" w:customStyle="1" w:styleId="ObyajntextChar1420">
    <w:name w:val="Obyčajný text Char1420"/>
    <w:aliases w:val="Obyčajný text Char Char Char Char1421"/>
    <w:uiPriority w:val="99"/>
    <w:semiHidden/>
    <w:rPr>
      <w:rFonts w:ascii="Courier New" w:hAnsi="Courier New"/>
      <w:lang w:val="x-none" w:eastAsia="cs-CZ"/>
    </w:rPr>
  </w:style>
  <w:style w:type="character" w:customStyle="1" w:styleId="ObyajntextChar1419">
    <w:name w:val="Obyčajný text Char1419"/>
    <w:aliases w:val="Obyčajný text Char Char Char Char1420"/>
    <w:uiPriority w:val="99"/>
    <w:semiHidden/>
    <w:rPr>
      <w:rFonts w:ascii="Courier New" w:hAnsi="Courier New"/>
      <w:lang w:val="x-none" w:eastAsia="cs-CZ"/>
    </w:rPr>
  </w:style>
  <w:style w:type="character" w:customStyle="1" w:styleId="ObyajntextChar1418">
    <w:name w:val="Obyčajný text Char1418"/>
    <w:aliases w:val="Obyčajný text Char Char Char Char1419"/>
    <w:uiPriority w:val="99"/>
    <w:semiHidden/>
    <w:rPr>
      <w:rFonts w:ascii="Courier New" w:hAnsi="Courier New"/>
      <w:lang w:val="x-none" w:eastAsia="cs-CZ"/>
    </w:rPr>
  </w:style>
  <w:style w:type="character" w:customStyle="1" w:styleId="ObyajntextChar1417">
    <w:name w:val="Obyčajný text Char1417"/>
    <w:aliases w:val="Obyčajný text Char Char Char Char1418"/>
    <w:uiPriority w:val="99"/>
    <w:semiHidden/>
    <w:rPr>
      <w:rFonts w:ascii="Courier New" w:hAnsi="Courier New"/>
      <w:lang w:val="x-none" w:eastAsia="cs-CZ"/>
    </w:rPr>
  </w:style>
  <w:style w:type="character" w:customStyle="1" w:styleId="ObyajntextChar1416">
    <w:name w:val="Obyčajný text Char1416"/>
    <w:aliases w:val="Obyčajný text Char Char Char Char1417"/>
    <w:uiPriority w:val="99"/>
    <w:semiHidden/>
    <w:rPr>
      <w:rFonts w:ascii="Courier New" w:hAnsi="Courier New"/>
      <w:lang w:val="x-none" w:eastAsia="cs-CZ"/>
    </w:rPr>
  </w:style>
  <w:style w:type="character" w:customStyle="1" w:styleId="ObyajntextChar1415">
    <w:name w:val="Obyčajný text Char1415"/>
    <w:aliases w:val="Obyčajný text Char Char Char Char1416"/>
    <w:uiPriority w:val="99"/>
    <w:semiHidden/>
    <w:rPr>
      <w:rFonts w:ascii="Courier New" w:hAnsi="Courier New"/>
      <w:lang w:val="x-none" w:eastAsia="cs-CZ"/>
    </w:rPr>
  </w:style>
  <w:style w:type="character" w:customStyle="1" w:styleId="ObyajntextChar1414">
    <w:name w:val="Obyčajný text Char1414"/>
    <w:aliases w:val="Obyčajný text Char Char Char Char1415"/>
    <w:uiPriority w:val="99"/>
    <w:semiHidden/>
    <w:rPr>
      <w:rFonts w:ascii="Courier New" w:hAnsi="Courier New"/>
      <w:lang w:val="x-none" w:eastAsia="cs-CZ"/>
    </w:rPr>
  </w:style>
  <w:style w:type="character" w:customStyle="1" w:styleId="ObyajntextChar1413">
    <w:name w:val="Obyčajný text Char1413"/>
    <w:aliases w:val="Obyčajný text Char Char Char Char1414"/>
    <w:uiPriority w:val="99"/>
    <w:semiHidden/>
    <w:rPr>
      <w:rFonts w:ascii="Courier New" w:hAnsi="Courier New"/>
      <w:lang w:val="x-none" w:eastAsia="cs-CZ"/>
    </w:rPr>
  </w:style>
  <w:style w:type="character" w:customStyle="1" w:styleId="ObyajntextChar1412">
    <w:name w:val="Obyčajný text Char1412"/>
    <w:aliases w:val="Obyčajný text Char Char Char Char1413"/>
    <w:uiPriority w:val="99"/>
    <w:semiHidden/>
    <w:rPr>
      <w:rFonts w:ascii="Courier New" w:hAnsi="Courier New"/>
      <w:lang w:val="x-none" w:eastAsia="cs-CZ"/>
    </w:rPr>
  </w:style>
  <w:style w:type="character" w:customStyle="1" w:styleId="ObyajntextChar1411">
    <w:name w:val="Obyčajný text Char1411"/>
    <w:aliases w:val="Obyčajný text Char Char Char Char1412"/>
    <w:uiPriority w:val="99"/>
    <w:semiHidden/>
    <w:rPr>
      <w:rFonts w:ascii="Courier New" w:hAnsi="Courier New"/>
      <w:lang w:val="x-none" w:eastAsia="cs-CZ"/>
    </w:rPr>
  </w:style>
  <w:style w:type="character" w:customStyle="1" w:styleId="ObyajntextChar1410">
    <w:name w:val="Obyčajný text Char1410"/>
    <w:aliases w:val="Obyčajný text Char Char Char Char1411"/>
    <w:uiPriority w:val="99"/>
    <w:semiHidden/>
    <w:rPr>
      <w:rFonts w:ascii="Courier New" w:hAnsi="Courier New"/>
      <w:lang w:val="x-none" w:eastAsia="cs-CZ"/>
    </w:rPr>
  </w:style>
  <w:style w:type="character" w:customStyle="1" w:styleId="ObyajntextChar1409">
    <w:name w:val="Obyčajný text Char1409"/>
    <w:aliases w:val="Obyčajný text Char Char Char Char1410"/>
    <w:uiPriority w:val="99"/>
    <w:semiHidden/>
    <w:rPr>
      <w:rFonts w:ascii="Courier New" w:hAnsi="Courier New"/>
      <w:lang w:val="x-none" w:eastAsia="cs-CZ"/>
    </w:rPr>
  </w:style>
  <w:style w:type="character" w:customStyle="1" w:styleId="ObyajntextChar1408">
    <w:name w:val="Obyčajný text Char1408"/>
    <w:aliases w:val="Obyčajný text Char Char Char Char1409"/>
    <w:uiPriority w:val="99"/>
    <w:semiHidden/>
    <w:rPr>
      <w:rFonts w:ascii="Courier New" w:hAnsi="Courier New"/>
      <w:lang w:val="x-none" w:eastAsia="cs-CZ"/>
    </w:rPr>
  </w:style>
  <w:style w:type="character" w:customStyle="1" w:styleId="ObyajntextChar1407">
    <w:name w:val="Obyčajný text Char1407"/>
    <w:aliases w:val="Obyčajný text Char Char Char Char1408"/>
    <w:uiPriority w:val="99"/>
    <w:semiHidden/>
    <w:rPr>
      <w:rFonts w:ascii="Courier New" w:hAnsi="Courier New"/>
      <w:lang w:val="x-none" w:eastAsia="cs-CZ"/>
    </w:rPr>
  </w:style>
  <w:style w:type="character" w:customStyle="1" w:styleId="ObyajntextChar1406">
    <w:name w:val="Obyčajný text Char1406"/>
    <w:aliases w:val="Obyčajný text Char Char Char Char1407"/>
    <w:uiPriority w:val="99"/>
    <w:semiHidden/>
    <w:rPr>
      <w:rFonts w:ascii="Courier New" w:hAnsi="Courier New"/>
      <w:lang w:val="x-none" w:eastAsia="cs-CZ"/>
    </w:rPr>
  </w:style>
  <w:style w:type="character" w:customStyle="1" w:styleId="ObyajntextChar1405">
    <w:name w:val="Obyčajný text Char1405"/>
    <w:aliases w:val="Obyčajný text Char Char Char Char1406"/>
    <w:uiPriority w:val="99"/>
    <w:semiHidden/>
    <w:rPr>
      <w:rFonts w:ascii="Courier New" w:hAnsi="Courier New"/>
      <w:lang w:val="x-none" w:eastAsia="cs-CZ"/>
    </w:rPr>
  </w:style>
  <w:style w:type="character" w:customStyle="1" w:styleId="ObyajntextChar1404">
    <w:name w:val="Obyčajný text Char1404"/>
    <w:aliases w:val="Obyčajný text Char Char Char Char1405"/>
    <w:uiPriority w:val="99"/>
    <w:semiHidden/>
    <w:rPr>
      <w:rFonts w:ascii="Courier New" w:hAnsi="Courier New"/>
      <w:lang w:val="x-none" w:eastAsia="cs-CZ"/>
    </w:rPr>
  </w:style>
  <w:style w:type="character" w:customStyle="1" w:styleId="ObyajntextChar1403">
    <w:name w:val="Obyčajný text Char1403"/>
    <w:aliases w:val="Obyčajný text Char Char Char Char1404"/>
    <w:uiPriority w:val="99"/>
    <w:semiHidden/>
    <w:rPr>
      <w:rFonts w:ascii="Courier New" w:hAnsi="Courier New"/>
      <w:lang w:val="x-none" w:eastAsia="cs-CZ"/>
    </w:rPr>
  </w:style>
  <w:style w:type="character" w:customStyle="1" w:styleId="ObyajntextChar1402">
    <w:name w:val="Obyčajný text Char1402"/>
    <w:aliases w:val="Obyčajný text Char Char Char Char1403"/>
    <w:uiPriority w:val="99"/>
    <w:semiHidden/>
    <w:rPr>
      <w:rFonts w:ascii="Courier New" w:hAnsi="Courier New"/>
      <w:lang w:val="x-none" w:eastAsia="cs-CZ"/>
    </w:rPr>
  </w:style>
  <w:style w:type="character" w:customStyle="1" w:styleId="ObyajntextChar1401">
    <w:name w:val="Obyčajný text Char1401"/>
    <w:aliases w:val="Obyčajný text Char Char Char Char1402"/>
    <w:uiPriority w:val="99"/>
    <w:semiHidden/>
    <w:rPr>
      <w:rFonts w:ascii="Courier New" w:hAnsi="Courier New"/>
      <w:lang w:val="x-none" w:eastAsia="cs-CZ"/>
    </w:rPr>
  </w:style>
  <w:style w:type="character" w:customStyle="1" w:styleId="ObyajntextChar1400">
    <w:name w:val="Obyčajný text Char1400"/>
    <w:aliases w:val="Obyčajný text Char Char Char Char1401"/>
    <w:uiPriority w:val="99"/>
    <w:semiHidden/>
    <w:rPr>
      <w:rFonts w:ascii="Courier New" w:hAnsi="Courier New"/>
      <w:lang w:val="x-none" w:eastAsia="cs-CZ"/>
    </w:rPr>
  </w:style>
  <w:style w:type="character" w:customStyle="1" w:styleId="ObyajntextChar1399">
    <w:name w:val="Obyčajný text Char1399"/>
    <w:aliases w:val="Obyčajný text Char Char Char Char1400"/>
    <w:uiPriority w:val="99"/>
    <w:semiHidden/>
    <w:rPr>
      <w:rFonts w:ascii="Courier New" w:hAnsi="Courier New"/>
      <w:lang w:val="x-none" w:eastAsia="cs-CZ"/>
    </w:rPr>
  </w:style>
  <w:style w:type="character" w:customStyle="1" w:styleId="ObyajntextChar1398">
    <w:name w:val="Obyčajný text Char1398"/>
    <w:aliases w:val="Obyčajný text Char Char Char Char1399"/>
    <w:uiPriority w:val="99"/>
    <w:semiHidden/>
    <w:rPr>
      <w:rFonts w:ascii="Courier New" w:hAnsi="Courier New"/>
      <w:lang w:val="x-none" w:eastAsia="cs-CZ"/>
    </w:rPr>
  </w:style>
  <w:style w:type="character" w:customStyle="1" w:styleId="ObyajntextChar1397">
    <w:name w:val="Obyčajný text Char1397"/>
    <w:aliases w:val="Obyčajný text Char Char Char Char1398"/>
    <w:uiPriority w:val="99"/>
    <w:semiHidden/>
    <w:rPr>
      <w:rFonts w:ascii="Courier New" w:hAnsi="Courier New"/>
      <w:lang w:val="x-none" w:eastAsia="cs-CZ"/>
    </w:rPr>
  </w:style>
  <w:style w:type="character" w:customStyle="1" w:styleId="ObyajntextChar1396">
    <w:name w:val="Obyčajný text Char1396"/>
    <w:aliases w:val="Obyčajný text Char Char Char Char1397"/>
    <w:uiPriority w:val="99"/>
    <w:semiHidden/>
    <w:rPr>
      <w:rFonts w:ascii="Courier New" w:hAnsi="Courier New"/>
      <w:lang w:val="x-none" w:eastAsia="cs-CZ"/>
    </w:rPr>
  </w:style>
  <w:style w:type="character" w:customStyle="1" w:styleId="ObyajntextChar1395">
    <w:name w:val="Obyčajný text Char1395"/>
    <w:aliases w:val="Obyčajný text Char Char Char Char1396"/>
    <w:uiPriority w:val="99"/>
    <w:semiHidden/>
    <w:rPr>
      <w:rFonts w:ascii="Courier New" w:hAnsi="Courier New"/>
      <w:lang w:val="x-none" w:eastAsia="cs-CZ"/>
    </w:rPr>
  </w:style>
  <w:style w:type="character" w:customStyle="1" w:styleId="ObyajntextChar1394">
    <w:name w:val="Obyčajný text Char1394"/>
    <w:aliases w:val="Obyčajný text Char Char Char Char1395"/>
    <w:uiPriority w:val="99"/>
    <w:semiHidden/>
    <w:rPr>
      <w:rFonts w:ascii="Courier New" w:hAnsi="Courier New"/>
      <w:lang w:val="x-none" w:eastAsia="cs-CZ"/>
    </w:rPr>
  </w:style>
  <w:style w:type="character" w:customStyle="1" w:styleId="ObyajntextChar1393">
    <w:name w:val="Obyčajný text Char1393"/>
    <w:aliases w:val="Obyčajný text Char Char Char Char1394"/>
    <w:uiPriority w:val="99"/>
    <w:semiHidden/>
    <w:rPr>
      <w:rFonts w:ascii="Courier New" w:hAnsi="Courier New"/>
      <w:lang w:val="x-none" w:eastAsia="cs-CZ"/>
    </w:rPr>
  </w:style>
  <w:style w:type="character" w:customStyle="1" w:styleId="ObyajntextChar1392">
    <w:name w:val="Obyčajný text Char1392"/>
    <w:aliases w:val="Obyčajný text Char Char Char Char1393"/>
    <w:uiPriority w:val="99"/>
    <w:semiHidden/>
    <w:rPr>
      <w:rFonts w:ascii="Courier New" w:hAnsi="Courier New"/>
      <w:lang w:val="x-none" w:eastAsia="cs-CZ"/>
    </w:rPr>
  </w:style>
  <w:style w:type="character" w:customStyle="1" w:styleId="ObyajntextChar1391">
    <w:name w:val="Obyčajný text Char1391"/>
    <w:aliases w:val="Obyčajný text Char Char Char Char1392"/>
    <w:uiPriority w:val="99"/>
    <w:semiHidden/>
    <w:rPr>
      <w:rFonts w:ascii="Courier New" w:hAnsi="Courier New"/>
      <w:lang w:val="x-none" w:eastAsia="cs-CZ"/>
    </w:rPr>
  </w:style>
  <w:style w:type="character" w:customStyle="1" w:styleId="ObyajntextChar1390">
    <w:name w:val="Obyčajný text Char1390"/>
    <w:aliases w:val="Obyčajný text Char Char Char Char1391"/>
    <w:uiPriority w:val="99"/>
    <w:semiHidden/>
    <w:rPr>
      <w:rFonts w:ascii="Courier New" w:hAnsi="Courier New"/>
      <w:lang w:val="x-none" w:eastAsia="cs-CZ"/>
    </w:rPr>
  </w:style>
  <w:style w:type="character" w:customStyle="1" w:styleId="ObyajntextChar1389">
    <w:name w:val="Obyčajný text Char1389"/>
    <w:aliases w:val="Obyčajný text Char Char Char Char1390"/>
    <w:uiPriority w:val="99"/>
    <w:semiHidden/>
    <w:rPr>
      <w:rFonts w:ascii="Courier New" w:hAnsi="Courier New"/>
      <w:lang w:val="x-none" w:eastAsia="cs-CZ"/>
    </w:rPr>
  </w:style>
  <w:style w:type="character" w:customStyle="1" w:styleId="ObyajntextChar1388">
    <w:name w:val="Obyčajný text Char1388"/>
    <w:aliases w:val="Obyčajný text Char Char Char Char1389"/>
    <w:uiPriority w:val="99"/>
    <w:semiHidden/>
    <w:rPr>
      <w:rFonts w:ascii="Courier New" w:hAnsi="Courier New"/>
      <w:lang w:val="x-none" w:eastAsia="cs-CZ"/>
    </w:rPr>
  </w:style>
  <w:style w:type="character" w:customStyle="1" w:styleId="ObyajntextChar1387">
    <w:name w:val="Obyčajný text Char1387"/>
    <w:aliases w:val="Obyčajný text Char Char Char Char1388"/>
    <w:uiPriority w:val="99"/>
    <w:semiHidden/>
    <w:rPr>
      <w:rFonts w:ascii="Courier New" w:hAnsi="Courier New"/>
      <w:lang w:val="x-none" w:eastAsia="cs-CZ"/>
    </w:rPr>
  </w:style>
  <w:style w:type="character" w:customStyle="1" w:styleId="ObyajntextChar1386">
    <w:name w:val="Obyčajný text Char1386"/>
    <w:aliases w:val="Obyčajný text Char Char Char Char1387"/>
    <w:uiPriority w:val="99"/>
    <w:semiHidden/>
    <w:rPr>
      <w:rFonts w:ascii="Courier New" w:hAnsi="Courier New"/>
      <w:lang w:val="x-none" w:eastAsia="cs-CZ"/>
    </w:rPr>
  </w:style>
  <w:style w:type="character" w:customStyle="1" w:styleId="ObyajntextChar1385">
    <w:name w:val="Obyčajný text Char1385"/>
    <w:aliases w:val="Obyčajný text Char Char Char Char1386"/>
    <w:uiPriority w:val="99"/>
    <w:semiHidden/>
    <w:rPr>
      <w:rFonts w:ascii="Courier New" w:hAnsi="Courier New"/>
      <w:lang w:val="x-none" w:eastAsia="cs-CZ"/>
    </w:rPr>
  </w:style>
  <w:style w:type="character" w:customStyle="1" w:styleId="ObyajntextChar1384">
    <w:name w:val="Obyčajný text Char1384"/>
    <w:aliases w:val="Obyčajný text Char Char Char Char1385"/>
    <w:uiPriority w:val="99"/>
    <w:semiHidden/>
    <w:rPr>
      <w:rFonts w:ascii="Courier New" w:hAnsi="Courier New"/>
      <w:lang w:val="x-none" w:eastAsia="cs-CZ"/>
    </w:rPr>
  </w:style>
  <w:style w:type="character" w:customStyle="1" w:styleId="ObyajntextChar1383">
    <w:name w:val="Obyčajný text Char1383"/>
    <w:aliases w:val="Obyčajný text Char Char Char Char1384"/>
    <w:uiPriority w:val="99"/>
    <w:semiHidden/>
    <w:rPr>
      <w:rFonts w:ascii="Courier New" w:hAnsi="Courier New"/>
      <w:lang w:val="x-none" w:eastAsia="cs-CZ"/>
    </w:rPr>
  </w:style>
  <w:style w:type="character" w:customStyle="1" w:styleId="ObyajntextChar1382">
    <w:name w:val="Obyčajný text Char1382"/>
    <w:aliases w:val="Obyčajný text Char Char Char Char1383"/>
    <w:uiPriority w:val="99"/>
    <w:semiHidden/>
    <w:rPr>
      <w:rFonts w:ascii="Courier New" w:hAnsi="Courier New"/>
      <w:lang w:val="x-none" w:eastAsia="cs-CZ"/>
    </w:rPr>
  </w:style>
  <w:style w:type="character" w:customStyle="1" w:styleId="ObyajntextChar1381">
    <w:name w:val="Obyčajný text Char1381"/>
    <w:aliases w:val="Obyčajný text Char Char Char Char1382"/>
    <w:uiPriority w:val="99"/>
    <w:semiHidden/>
    <w:rPr>
      <w:rFonts w:ascii="Courier New" w:hAnsi="Courier New"/>
      <w:lang w:val="x-none" w:eastAsia="cs-CZ"/>
    </w:rPr>
  </w:style>
  <w:style w:type="character" w:customStyle="1" w:styleId="ObyajntextChar1380">
    <w:name w:val="Obyčajný text Char1380"/>
    <w:aliases w:val="Obyčajný text Char Char Char Char1381"/>
    <w:uiPriority w:val="99"/>
    <w:semiHidden/>
    <w:rPr>
      <w:rFonts w:ascii="Courier New" w:hAnsi="Courier New"/>
      <w:lang w:val="x-none" w:eastAsia="cs-CZ"/>
    </w:rPr>
  </w:style>
  <w:style w:type="character" w:customStyle="1" w:styleId="ObyajntextChar1379">
    <w:name w:val="Obyčajný text Char1379"/>
    <w:aliases w:val="Obyčajný text Char Char Char Char1380"/>
    <w:uiPriority w:val="99"/>
    <w:semiHidden/>
    <w:rPr>
      <w:rFonts w:ascii="Courier New" w:hAnsi="Courier New"/>
      <w:lang w:val="x-none" w:eastAsia="cs-CZ"/>
    </w:rPr>
  </w:style>
  <w:style w:type="character" w:customStyle="1" w:styleId="ObyajntextChar1378">
    <w:name w:val="Obyčajný text Char1378"/>
    <w:aliases w:val="Obyčajný text Char Char Char Char1379"/>
    <w:uiPriority w:val="99"/>
    <w:semiHidden/>
    <w:rPr>
      <w:rFonts w:ascii="Courier New" w:hAnsi="Courier New"/>
      <w:lang w:val="x-none" w:eastAsia="cs-CZ"/>
    </w:rPr>
  </w:style>
  <w:style w:type="character" w:customStyle="1" w:styleId="ObyajntextChar1377">
    <w:name w:val="Obyčajný text Char1377"/>
    <w:aliases w:val="Obyčajný text Char Char Char Char1378"/>
    <w:uiPriority w:val="99"/>
    <w:semiHidden/>
    <w:rPr>
      <w:rFonts w:ascii="Courier New" w:hAnsi="Courier New"/>
      <w:lang w:val="x-none" w:eastAsia="cs-CZ"/>
    </w:rPr>
  </w:style>
  <w:style w:type="character" w:customStyle="1" w:styleId="ObyajntextChar1376">
    <w:name w:val="Obyčajný text Char1376"/>
    <w:aliases w:val="Obyčajný text Char Char Char Char1377"/>
    <w:uiPriority w:val="99"/>
    <w:semiHidden/>
    <w:rPr>
      <w:rFonts w:ascii="Courier New" w:hAnsi="Courier New"/>
      <w:lang w:val="x-none" w:eastAsia="cs-CZ"/>
    </w:rPr>
  </w:style>
  <w:style w:type="character" w:customStyle="1" w:styleId="ObyajntextChar1375">
    <w:name w:val="Obyčajný text Char1375"/>
    <w:aliases w:val="Obyčajný text Char Char Char Char1376"/>
    <w:uiPriority w:val="99"/>
    <w:semiHidden/>
    <w:rPr>
      <w:rFonts w:ascii="Courier New" w:hAnsi="Courier New"/>
      <w:lang w:val="x-none" w:eastAsia="cs-CZ"/>
    </w:rPr>
  </w:style>
  <w:style w:type="character" w:customStyle="1" w:styleId="ObyajntextChar1374">
    <w:name w:val="Obyčajný text Char1374"/>
    <w:aliases w:val="Obyčajný text Char Char Char Char1375"/>
    <w:uiPriority w:val="99"/>
    <w:semiHidden/>
    <w:rPr>
      <w:rFonts w:ascii="Courier New" w:hAnsi="Courier New"/>
      <w:lang w:val="x-none" w:eastAsia="cs-CZ"/>
    </w:rPr>
  </w:style>
  <w:style w:type="character" w:customStyle="1" w:styleId="ObyajntextChar1373">
    <w:name w:val="Obyčajný text Char1373"/>
    <w:aliases w:val="Obyčajný text Char Char Char Char1374"/>
    <w:uiPriority w:val="99"/>
    <w:semiHidden/>
    <w:rPr>
      <w:rFonts w:ascii="Courier New" w:hAnsi="Courier New"/>
      <w:lang w:val="x-none" w:eastAsia="cs-CZ"/>
    </w:rPr>
  </w:style>
  <w:style w:type="character" w:customStyle="1" w:styleId="ObyajntextChar1372">
    <w:name w:val="Obyčajný text Char1372"/>
    <w:aliases w:val="Obyčajný text Char Char Char Char1373"/>
    <w:uiPriority w:val="99"/>
    <w:semiHidden/>
    <w:rPr>
      <w:rFonts w:ascii="Courier New" w:hAnsi="Courier New"/>
      <w:lang w:val="x-none" w:eastAsia="cs-CZ"/>
    </w:rPr>
  </w:style>
  <w:style w:type="character" w:customStyle="1" w:styleId="ObyajntextChar1371">
    <w:name w:val="Obyčajný text Char1371"/>
    <w:aliases w:val="Obyčajný text Char Char Char Char1372"/>
    <w:uiPriority w:val="99"/>
    <w:semiHidden/>
    <w:rPr>
      <w:rFonts w:ascii="Courier New" w:hAnsi="Courier New"/>
      <w:lang w:val="x-none" w:eastAsia="cs-CZ"/>
    </w:rPr>
  </w:style>
  <w:style w:type="character" w:customStyle="1" w:styleId="ObyajntextChar1370">
    <w:name w:val="Obyčajný text Char1370"/>
    <w:aliases w:val="Obyčajný text Char Char Char Char1371"/>
    <w:uiPriority w:val="99"/>
    <w:semiHidden/>
    <w:rPr>
      <w:rFonts w:ascii="Courier New" w:hAnsi="Courier New"/>
      <w:lang w:val="x-none" w:eastAsia="cs-CZ"/>
    </w:rPr>
  </w:style>
  <w:style w:type="character" w:customStyle="1" w:styleId="ObyajntextChar1369">
    <w:name w:val="Obyčajný text Char1369"/>
    <w:aliases w:val="Obyčajný text Char Char Char Char1370"/>
    <w:uiPriority w:val="99"/>
    <w:semiHidden/>
    <w:rPr>
      <w:rFonts w:ascii="Courier New" w:hAnsi="Courier New"/>
      <w:lang w:val="x-none" w:eastAsia="cs-CZ"/>
    </w:rPr>
  </w:style>
  <w:style w:type="character" w:customStyle="1" w:styleId="ObyajntextChar1368">
    <w:name w:val="Obyčajný text Char1368"/>
    <w:aliases w:val="Obyčajný text Char Char Char Char1369"/>
    <w:uiPriority w:val="99"/>
    <w:semiHidden/>
    <w:rPr>
      <w:rFonts w:ascii="Courier New" w:hAnsi="Courier New"/>
      <w:lang w:val="x-none" w:eastAsia="cs-CZ"/>
    </w:rPr>
  </w:style>
  <w:style w:type="character" w:customStyle="1" w:styleId="ObyajntextChar1367">
    <w:name w:val="Obyčajný text Char1367"/>
    <w:aliases w:val="Obyčajný text Char Char Char Char1368"/>
    <w:uiPriority w:val="99"/>
    <w:semiHidden/>
    <w:rPr>
      <w:rFonts w:ascii="Courier New" w:hAnsi="Courier New"/>
      <w:lang w:val="x-none" w:eastAsia="cs-CZ"/>
    </w:rPr>
  </w:style>
  <w:style w:type="character" w:customStyle="1" w:styleId="ObyajntextChar1366">
    <w:name w:val="Obyčajný text Char1366"/>
    <w:aliases w:val="Obyčajný text Char Char Char Char1367"/>
    <w:uiPriority w:val="99"/>
    <w:semiHidden/>
    <w:rPr>
      <w:rFonts w:ascii="Courier New" w:hAnsi="Courier New"/>
      <w:lang w:val="x-none" w:eastAsia="cs-CZ"/>
    </w:rPr>
  </w:style>
  <w:style w:type="character" w:customStyle="1" w:styleId="ObyajntextChar1365">
    <w:name w:val="Obyčajný text Char1365"/>
    <w:aliases w:val="Obyčajný text Char Char Char Char1366"/>
    <w:uiPriority w:val="99"/>
    <w:semiHidden/>
    <w:rPr>
      <w:rFonts w:ascii="Courier New" w:hAnsi="Courier New"/>
      <w:lang w:val="x-none" w:eastAsia="cs-CZ"/>
    </w:rPr>
  </w:style>
  <w:style w:type="character" w:customStyle="1" w:styleId="ObyajntextChar1364">
    <w:name w:val="Obyčajný text Char1364"/>
    <w:aliases w:val="Obyčajný text Char Char Char Char1365"/>
    <w:uiPriority w:val="99"/>
    <w:semiHidden/>
    <w:rPr>
      <w:rFonts w:ascii="Courier New" w:hAnsi="Courier New"/>
      <w:lang w:val="x-none" w:eastAsia="cs-CZ"/>
    </w:rPr>
  </w:style>
  <w:style w:type="character" w:customStyle="1" w:styleId="ObyajntextChar1363">
    <w:name w:val="Obyčajný text Char1363"/>
    <w:aliases w:val="Obyčajný text Char Char Char Char1364"/>
    <w:uiPriority w:val="99"/>
    <w:semiHidden/>
    <w:rPr>
      <w:rFonts w:ascii="Courier New" w:hAnsi="Courier New"/>
      <w:lang w:val="x-none" w:eastAsia="cs-CZ"/>
    </w:rPr>
  </w:style>
  <w:style w:type="character" w:customStyle="1" w:styleId="ObyajntextChar1362">
    <w:name w:val="Obyčajný text Char1362"/>
    <w:aliases w:val="Obyčajný text Char Char Char Char1363"/>
    <w:uiPriority w:val="99"/>
    <w:semiHidden/>
    <w:rPr>
      <w:rFonts w:ascii="Courier New" w:hAnsi="Courier New"/>
      <w:lang w:val="x-none" w:eastAsia="cs-CZ"/>
    </w:rPr>
  </w:style>
  <w:style w:type="character" w:customStyle="1" w:styleId="ObyajntextChar1361">
    <w:name w:val="Obyčajný text Char1361"/>
    <w:aliases w:val="Obyčajný text Char Char Char Char1362"/>
    <w:uiPriority w:val="99"/>
    <w:semiHidden/>
    <w:rPr>
      <w:rFonts w:ascii="Courier New" w:hAnsi="Courier New"/>
      <w:lang w:val="x-none" w:eastAsia="cs-CZ"/>
    </w:rPr>
  </w:style>
  <w:style w:type="character" w:customStyle="1" w:styleId="ObyajntextChar1360">
    <w:name w:val="Obyčajný text Char1360"/>
    <w:aliases w:val="Obyčajný text Char Char Char Char1361"/>
    <w:uiPriority w:val="99"/>
    <w:semiHidden/>
    <w:rPr>
      <w:rFonts w:ascii="Courier New" w:hAnsi="Courier New"/>
      <w:lang w:val="x-none" w:eastAsia="cs-CZ"/>
    </w:rPr>
  </w:style>
  <w:style w:type="character" w:customStyle="1" w:styleId="ObyajntextChar1359">
    <w:name w:val="Obyčajný text Char1359"/>
    <w:aliases w:val="Obyčajný text Char Char Char Char1360"/>
    <w:uiPriority w:val="99"/>
    <w:semiHidden/>
    <w:rPr>
      <w:rFonts w:ascii="Courier New" w:hAnsi="Courier New"/>
      <w:lang w:val="x-none" w:eastAsia="cs-CZ"/>
    </w:rPr>
  </w:style>
  <w:style w:type="character" w:customStyle="1" w:styleId="ObyajntextChar1358">
    <w:name w:val="Obyčajný text Char1358"/>
    <w:aliases w:val="Obyčajný text Char Char Char Char1359"/>
    <w:uiPriority w:val="99"/>
    <w:semiHidden/>
    <w:rPr>
      <w:rFonts w:ascii="Courier New" w:hAnsi="Courier New"/>
      <w:lang w:val="x-none" w:eastAsia="cs-CZ"/>
    </w:rPr>
  </w:style>
  <w:style w:type="character" w:customStyle="1" w:styleId="ObyajntextChar1357">
    <w:name w:val="Obyčajný text Char1357"/>
    <w:aliases w:val="Obyčajný text Char Char Char Char1358"/>
    <w:uiPriority w:val="99"/>
    <w:semiHidden/>
    <w:rPr>
      <w:rFonts w:ascii="Courier New" w:hAnsi="Courier New"/>
      <w:lang w:val="x-none" w:eastAsia="cs-CZ"/>
    </w:rPr>
  </w:style>
  <w:style w:type="character" w:customStyle="1" w:styleId="ObyajntextChar1356">
    <w:name w:val="Obyčajný text Char1356"/>
    <w:aliases w:val="Obyčajný text Char Char Char Char1357"/>
    <w:uiPriority w:val="99"/>
    <w:semiHidden/>
    <w:rPr>
      <w:rFonts w:ascii="Courier New" w:hAnsi="Courier New"/>
      <w:lang w:val="x-none" w:eastAsia="cs-CZ"/>
    </w:rPr>
  </w:style>
  <w:style w:type="character" w:customStyle="1" w:styleId="ObyajntextChar1355">
    <w:name w:val="Obyčajný text Char1355"/>
    <w:aliases w:val="Obyčajný text Char Char Char Char1356"/>
    <w:uiPriority w:val="99"/>
    <w:semiHidden/>
    <w:rPr>
      <w:rFonts w:ascii="Courier New" w:hAnsi="Courier New"/>
      <w:lang w:val="x-none" w:eastAsia="cs-CZ"/>
    </w:rPr>
  </w:style>
  <w:style w:type="character" w:customStyle="1" w:styleId="ObyajntextChar1354">
    <w:name w:val="Obyčajný text Char1354"/>
    <w:aliases w:val="Obyčajný text Char Char Char Char1355"/>
    <w:uiPriority w:val="99"/>
    <w:semiHidden/>
    <w:rPr>
      <w:rFonts w:ascii="Courier New" w:hAnsi="Courier New"/>
      <w:lang w:val="x-none" w:eastAsia="cs-CZ"/>
    </w:rPr>
  </w:style>
  <w:style w:type="character" w:customStyle="1" w:styleId="ObyajntextChar1353">
    <w:name w:val="Obyčajný text Char1353"/>
    <w:aliases w:val="Obyčajný text Char Char Char Char1354"/>
    <w:uiPriority w:val="99"/>
    <w:semiHidden/>
    <w:rPr>
      <w:rFonts w:ascii="Courier New" w:hAnsi="Courier New"/>
      <w:lang w:val="x-none" w:eastAsia="cs-CZ"/>
    </w:rPr>
  </w:style>
  <w:style w:type="character" w:customStyle="1" w:styleId="ObyajntextChar1352">
    <w:name w:val="Obyčajný text Char1352"/>
    <w:aliases w:val="Obyčajný text Char Char Char Char1353"/>
    <w:uiPriority w:val="99"/>
    <w:semiHidden/>
    <w:rPr>
      <w:rFonts w:ascii="Courier New" w:hAnsi="Courier New"/>
      <w:lang w:val="x-none" w:eastAsia="cs-CZ"/>
    </w:rPr>
  </w:style>
  <w:style w:type="character" w:customStyle="1" w:styleId="ObyajntextChar1351">
    <w:name w:val="Obyčajný text Char1351"/>
    <w:aliases w:val="Obyčajný text Char Char Char Char1352"/>
    <w:uiPriority w:val="99"/>
    <w:semiHidden/>
    <w:rPr>
      <w:rFonts w:ascii="Courier New" w:hAnsi="Courier New"/>
      <w:lang w:val="x-none" w:eastAsia="cs-CZ"/>
    </w:rPr>
  </w:style>
  <w:style w:type="character" w:customStyle="1" w:styleId="ObyajntextChar1350">
    <w:name w:val="Obyčajný text Char1350"/>
    <w:aliases w:val="Obyčajný text Char Char Char Char1351"/>
    <w:uiPriority w:val="99"/>
    <w:semiHidden/>
    <w:rPr>
      <w:rFonts w:ascii="Courier New" w:hAnsi="Courier New"/>
      <w:lang w:val="x-none" w:eastAsia="cs-CZ"/>
    </w:rPr>
  </w:style>
  <w:style w:type="character" w:customStyle="1" w:styleId="ObyajntextChar1349">
    <w:name w:val="Obyčajný text Char1349"/>
    <w:aliases w:val="Obyčajný text Char Char Char Char1350"/>
    <w:uiPriority w:val="99"/>
    <w:semiHidden/>
    <w:rPr>
      <w:rFonts w:ascii="Courier New" w:hAnsi="Courier New"/>
      <w:lang w:val="x-none" w:eastAsia="cs-CZ"/>
    </w:rPr>
  </w:style>
  <w:style w:type="character" w:customStyle="1" w:styleId="ObyajntextChar1348">
    <w:name w:val="Obyčajný text Char1348"/>
    <w:aliases w:val="Obyčajný text Char Char Char Char1349"/>
    <w:uiPriority w:val="99"/>
    <w:semiHidden/>
    <w:rPr>
      <w:rFonts w:ascii="Courier New" w:hAnsi="Courier New"/>
      <w:lang w:val="x-none" w:eastAsia="cs-CZ"/>
    </w:rPr>
  </w:style>
  <w:style w:type="character" w:customStyle="1" w:styleId="ObyajntextChar1347">
    <w:name w:val="Obyčajný text Char1347"/>
    <w:aliases w:val="Obyčajný text Char Char Char Char1348"/>
    <w:uiPriority w:val="99"/>
    <w:semiHidden/>
    <w:rPr>
      <w:rFonts w:ascii="Courier New" w:hAnsi="Courier New"/>
      <w:lang w:val="x-none" w:eastAsia="cs-CZ"/>
    </w:rPr>
  </w:style>
  <w:style w:type="character" w:customStyle="1" w:styleId="ObyajntextChar1346">
    <w:name w:val="Obyčajný text Char1346"/>
    <w:aliases w:val="Obyčajný text Char Char Char Char1347"/>
    <w:uiPriority w:val="99"/>
    <w:semiHidden/>
    <w:rPr>
      <w:rFonts w:ascii="Courier New" w:hAnsi="Courier New"/>
      <w:lang w:val="x-none" w:eastAsia="cs-CZ"/>
    </w:rPr>
  </w:style>
  <w:style w:type="character" w:customStyle="1" w:styleId="ObyajntextChar1345">
    <w:name w:val="Obyčajný text Char1345"/>
    <w:aliases w:val="Obyčajný text Char Char Char Char1346"/>
    <w:uiPriority w:val="99"/>
    <w:semiHidden/>
    <w:rPr>
      <w:rFonts w:ascii="Courier New" w:hAnsi="Courier New"/>
      <w:lang w:val="x-none" w:eastAsia="cs-CZ"/>
    </w:rPr>
  </w:style>
  <w:style w:type="character" w:customStyle="1" w:styleId="ObyajntextChar1344">
    <w:name w:val="Obyčajný text Char1344"/>
    <w:aliases w:val="Obyčajný text Char Char Char Char1345"/>
    <w:uiPriority w:val="99"/>
    <w:semiHidden/>
    <w:rPr>
      <w:rFonts w:ascii="Courier New" w:hAnsi="Courier New"/>
      <w:lang w:val="x-none" w:eastAsia="cs-CZ"/>
    </w:rPr>
  </w:style>
  <w:style w:type="character" w:customStyle="1" w:styleId="ObyajntextChar1343">
    <w:name w:val="Obyčajný text Char1343"/>
    <w:aliases w:val="Obyčajný text Char Char Char Char1344"/>
    <w:uiPriority w:val="99"/>
    <w:semiHidden/>
    <w:rPr>
      <w:rFonts w:ascii="Courier New" w:hAnsi="Courier New"/>
      <w:lang w:val="x-none" w:eastAsia="cs-CZ"/>
    </w:rPr>
  </w:style>
  <w:style w:type="character" w:customStyle="1" w:styleId="ObyajntextChar1342">
    <w:name w:val="Obyčajný text Char1342"/>
    <w:aliases w:val="Obyčajný text Char Char Char Char1343"/>
    <w:uiPriority w:val="99"/>
    <w:semiHidden/>
    <w:rPr>
      <w:rFonts w:ascii="Courier New" w:hAnsi="Courier New"/>
      <w:lang w:val="x-none" w:eastAsia="cs-CZ"/>
    </w:rPr>
  </w:style>
  <w:style w:type="character" w:customStyle="1" w:styleId="ObyajntextChar1341">
    <w:name w:val="Obyčajný text Char1341"/>
    <w:aliases w:val="Obyčajný text Char Char Char Char1342"/>
    <w:uiPriority w:val="99"/>
    <w:semiHidden/>
    <w:rPr>
      <w:rFonts w:ascii="Courier New" w:hAnsi="Courier New"/>
      <w:lang w:val="x-none" w:eastAsia="cs-CZ"/>
    </w:rPr>
  </w:style>
  <w:style w:type="character" w:customStyle="1" w:styleId="ObyajntextChar1340">
    <w:name w:val="Obyčajný text Char1340"/>
    <w:aliases w:val="Obyčajný text Char Char Char Char1341"/>
    <w:uiPriority w:val="99"/>
    <w:semiHidden/>
    <w:rPr>
      <w:rFonts w:ascii="Courier New" w:hAnsi="Courier New"/>
      <w:lang w:val="x-none" w:eastAsia="cs-CZ"/>
    </w:rPr>
  </w:style>
  <w:style w:type="character" w:customStyle="1" w:styleId="ObyajntextChar1339">
    <w:name w:val="Obyčajný text Char1339"/>
    <w:aliases w:val="Obyčajný text Char Char Char Char1340"/>
    <w:uiPriority w:val="99"/>
    <w:semiHidden/>
    <w:rPr>
      <w:rFonts w:ascii="Courier New" w:hAnsi="Courier New"/>
      <w:lang w:val="x-none" w:eastAsia="cs-CZ"/>
    </w:rPr>
  </w:style>
  <w:style w:type="character" w:customStyle="1" w:styleId="ObyajntextChar1338">
    <w:name w:val="Obyčajný text Char1338"/>
    <w:aliases w:val="Obyčajný text Char Char Char Char1339"/>
    <w:uiPriority w:val="99"/>
    <w:semiHidden/>
    <w:rPr>
      <w:rFonts w:ascii="Courier New" w:hAnsi="Courier New"/>
      <w:lang w:val="x-none" w:eastAsia="cs-CZ"/>
    </w:rPr>
  </w:style>
  <w:style w:type="character" w:customStyle="1" w:styleId="ObyajntextChar1337">
    <w:name w:val="Obyčajný text Char1337"/>
    <w:aliases w:val="Obyčajný text Char Char Char Char1338"/>
    <w:uiPriority w:val="99"/>
    <w:semiHidden/>
    <w:rPr>
      <w:rFonts w:ascii="Courier New" w:hAnsi="Courier New"/>
      <w:lang w:val="x-none" w:eastAsia="cs-CZ"/>
    </w:rPr>
  </w:style>
  <w:style w:type="character" w:customStyle="1" w:styleId="ObyajntextChar1336">
    <w:name w:val="Obyčajný text Char1336"/>
    <w:aliases w:val="Obyčajný text Char Char Char Char1337"/>
    <w:uiPriority w:val="99"/>
    <w:semiHidden/>
    <w:rPr>
      <w:rFonts w:ascii="Courier New" w:hAnsi="Courier New"/>
      <w:lang w:val="x-none" w:eastAsia="cs-CZ"/>
    </w:rPr>
  </w:style>
  <w:style w:type="character" w:customStyle="1" w:styleId="ObyajntextChar1335">
    <w:name w:val="Obyčajný text Char1335"/>
    <w:aliases w:val="Obyčajný text Char Char Char Char1336"/>
    <w:uiPriority w:val="99"/>
    <w:semiHidden/>
    <w:rPr>
      <w:rFonts w:ascii="Courier New" w:hAnsi="Courier New"/>
      <w:lang w:val="x-none" w:eastAsia="cs-CZ"/>
    </w:rPr>
  </w:style>
  <w:style w:type="character" w:customStyle="1" w:styleId="ObyajntextChar1334">
    <w:name w:val="Obyčajný text Char1334"/>
    <w:aliases w:val="Obyčajný text Char Char Char Char1335"/>
    <w:uiPriority w:val="99"/>
    <w:semiHidden/>
    <w:rPr>
      <w:rFonts w:ascii="Courier New" w:hAnsi="Courier New"/>
      <w:lang w:val="x-none" w:eastAsia="cs-CZ"/>
    </w:rPr>
  </w:style>
  <w:style w:type="character" w:customStyle="1" w:styleId="ObyajntextChar1333">
    <w:name w:val="Obyčajný text Char1333"/>
    <w:aliases w:val="Obyčajný text Char Char Char Char1334"/>
    <w:uiPriority w:val="99"/>
    <w:semiHidden/>
    <w:rPr>
      <w:rFonts w:ascii="Courier New" w:hAnsi="Courier New"/>
      <w:lang w:val="x-none" w:eastAsia="cs-CZ"/>
    </w:rPr>
  </w:style>
  <w:style w:type="character" w:customStyle="1" w:styleId="ObyajntextChar1332">
    <w:name w:val="Obyčajný text Char1332"/>
    <w:aliases w:val="Obyčajný text Char Char Char Char1333"/>
    <w:uiPriority w:val="99"/>
    <w:semiHidden/>
    <w:rPr>
      <w:rFonts w:ascii="Courier New" w:hAnsi="Courier New"/>
      <w:lang w:val="x-none" w:eastAsia="cs-CZ"/>
    </w:rPr>
  </w:style>
  <w:style w:type="character" w:customStyle="1" w:styleId="ObyajntextChar1331">
    <w:name w:val="Obyčajný text Char1331"/>
    <w:aliases w:val="Obyčajný text Char Char Char Char1332"/>
    <w:uiPriority w:val="99"/>
    <w:semiHidden/>
    <w:rPr>
      <w:rFonts w:ascii="Courier New" w:hAnsi="Courier New"/>
      <w:lang w:val="x-none" w:eastAsia="cs-CZ"/>
    </w:rPr>
  </w:style>
  <w:style w:type="character" w:customStyle="1" w:styleId="ObyajntextChar1330">
    <w:name w:val="Obyčajný text Char1330"/>
    <w:aliases w:val="Obyčajný text Char Char Char Char1331"/>
    <w:uiPriority w:val="99"/>
    <w:semiHidden/>
    <w:rPr>
      <w:rFonts w:ascii="Courier New" w:hAnsi="Courier New"/>
      <w:lang w:val="x-none" w:eastAsia="cs-CZ"/>
    </w:rPr>
  </w:style>
  <w:style w:type="character" w:customStyle="1" w:styleId="ObyajntextChar1329">
    <w:name w:val="Obyčajný text Char1329"/>
    <w:aliases w:val="Obyčajný text Char Char Char Char1330"/>
    <w:uiPriority w:val="99"/>
    <w:semiHidden/>
    <w:rPr>
      <w:rFonts w:ascii="Courier New" w:hAnsi="Courier New"/>
      <w:lang w:val="x-none" w:eastAsia="cs-CZ"/>
    </w:rPr>
  </w:style>
  <w:style w:type="character" w:customStyle="1" w:styleId="ObyajntextChar1328">
    <w:name w:val="Obyčajný text Char1328"/>
    <w:aliases w:val="Obyčajný text Char Char Char Char1329"/>
    <w:uiPriority w:val="99"/>
    <w:semiHidden/>
    <w:rPr>
      <w:rFonts w:ascii="Courier New" w:hAnsi="Courier New"/>
      <w:lang w:val="x-none" w:eastAsia="cs-CZ"/>
    </w:rPr>
  </w:style>
  <w:style w:type="character" w:customStyle="1" w:styleId="ObyajntextChar1327">
    <w:name w:val="Obyčajný text Char1327"/>
    <w:aliases w:val="Obyčajný text Char Char Char Char1328"/>
    <w:uiPriority w:val="99"/>
    <w:semiHidden/>
    <w:rPr>
      <w:rFonts w:ascii="Courier New" w:hAnsi="Courier New"/>
      <w:lang w:val="x-none" w:eastAsia="cs-CZ"/>
    </w:rPr>
  </w:style>
  <w:style w:type="character" w:customStyle="1" w:styleId="ObyajntextChar1326">
    <w:name w:val="Obyčajný text Char1326"/>
    <w:aliases w:val="Obyčajný text Char Char Char Char1327"/>
    <w:uiPriority w:val="99"/>
    <w:semiHidden/>
    <w:rPr>
      <w:rFonts w:ascii="Courier New" w:hAnsi="Courier New"/>
      <w:lang w:val="x-none" w:eastAsia="cs-CZ"/>
    </w:rPr>
  </w:style>
  <w:style w:type="character" w:customStyle="1" w:styleId="ObyajntextChar1325">
    <w:name w:val="Obyčajný text Char1325"/>
    <w:aliases w:val="Obyčajný text Char Char Char Char1326"/>
    <w:uiPriority w:val="99"/>
    <w:semiHidden/>
    <w:rPr>
      <w:rFonts w:ascii="Courier New" w:hAnsi="Courier New"/>
      <w:lang w:val="x-none" w:eastAsia="cs-CZ"/>
    </w:rPr>
  </w:style>
  <w:style w:type="character" w:customStyle="1" w:styleId="ObyajntextChar1324">
    <w:name w:val="Obyčajný text Char1324"/>
    <w:aliases w:val="Obyčajný text Char Char Char Char1325"/>
    <w:uiPriority w:val="99"/>
    <w:semiHidden/>
    <w:rPr>
      <w:rFonts w:ascii="Courier New" w:hAnsi="Courier New"/>
      <w:lang w:val="x-none" w:eastAsia="cs-CZ"/>
    </w:rPr>
  </w:style>
  <w:style w:type="character" w:customStyle="1" w:styleId="ObyajntextChar1323">
    <w:name w:val="Obyčajný text Char1323"/>
    <w:aliases w:val="Obyčajný text Char Char Char Char1324"/>
    <w:uiPriority w:val="99"/>
    <w:semiHidden/>
    <w:rPr>
      <w:rFonts w:ascii="Courier New" w:hAnsi="Courier New"/>
      <w:lang w:val="x-none" w:eastAsia="cs-CZ"/>
    </w:rPr>
  </w:style>
  <w:style w:type="character" w:customStyle="1" w:styleId="ObyajntextChar1322">
    <w:name w:val="Obyčajný text Char1322"/>
    <w:aliases w:val="Obyčajný text Char Char Char Char1323"/>
    <w:uiPriority w:val="99"/>
    <w:semiHidden/>
    <w:rPr>
      <w:rFonts w:ascii="Courier New" w:hAnsi="Courier New"/>
      <w:lang w:val="x-none" w:eastAsia="cs-CZ"/>
    </w:rPr>
  </w:style>
  <w:style w:type="character" w:customStyle="1" w:styleId="ObyajntextChar1321">
    <w:name w:val="Obyčajný text Char1321"/>
    <w:aliases w:val="Obyčajný text Char Char Char Char1322"/>
    <w:uiPriority w:val="99"/>
    <w:semiHidden/>
    <w:rPr>
      <w:rFonts w:ascii="Courier New" w:hAnsi="Courier New"/>
      <w:lang w:val="x-none" w:eastAsia="cs-CZ"/>
    </w:rPr>
  </w:style>
  <w:style w:type="character" w:customStyle="1" w:styleId="ObyajntextChar1320">
    <w:name w:val="Obyčajný text Char1320"/>
    <w:aliases w:val="Obyčajný text Char Char Char Char1321"/>
    <w:uiPriority w:val="99"/>
    <w:semiHidden/>
    <w:rPr>
      <w:rFonts w:ascii="Courier New" w:hAnsi="Courier New"/>
      <w:lang w:val="x-none" w:eastAsia="cs-CZ"/>
    </w:rPr>
  </w:style>
  <w:style w:type="character" w:customStyle="1" w:styleId="ObyajntextChar1319">
    <w:name w:val="Obyčajný text Char1319"/>
    <w:aliases w:val="Obyčajný text Char Char Char Char1320"/>
    <w:uiPriority w:val="99"/>
    <w:semiHidden/>
    <w:rPr>
      <w:rFonts w:ascii="Courier New" w:hAnsi="Courier New"/>
      <w:lang w:val="x-none" w:eastAsia="cs-CZ"/>
    </w:rPr>
  </w:style>
  <w:style w:type="character" w:customStyle="1" w:styleId="ObyajntextChar1318">
    <w:name w:val="Obyčajný text Char1318"/>
    <w:aliases w:val="Obyčajný text Char Char Char Char1319"/>
    <w:uiPriority w:val="99"/>
    <w:semiHidden/>
    <w:rPr>
      <w:rFonts w:ascii="Courier New" w:hAnsi="Courier New"/>
      <w:lang w:val="x-none" w:eastAsia="cs-CZ"/>
    </w:rPr>
  </w:style>
  <w:style w:type="character" w:customStyle="1" w:styleId="ObyajntextChar1317">
    <w:name w:val="Obyčajný text Char1317"/>
    <w:aliases w:val="Obyčajný text Char Char Char Char1318"/>
    <w:uiPriority w:val="99"/>
    <w:semiHidden/>
    <w:rPr>
      <w:rFonts w:ascii="Courier New" w:hAnsi="Courier New"/>
      <w:lang w:val="x-none" w:eastAsia="cs-CZ"/>
    </w:rPr>
  </w:style>
  <w:style w:type="character" w:customStyle="1" w:styleId="ObyajntextChar1316">
    <w:name w:val="Obyčajný text Char1316"/>
    <w:aliases w:val="Obyčajný text Char Char Char Char1317"/>
    <w:uiPriority w:val="99"/>
    <w:semiHidden/>
    <w:rPr>
      <w:rFonts w:ascii="Courier New" w:hAnsi="Courier New"/>
      <w:lang w:val="x-none" w:eastAsia="cs-CZ"/>
    </w:rPr>
  </w:style>
  <w:style w:type="character" w:customStyle="1" w:styleId="ObyajntextChar1315">
    <w:name w:val="Obyčajný text Char1315"/>
    <w:aliases w:val="Obyčajný text Char Char Char Char1316"/>
    <w:uiPriority w:val="99"/>
    <w:semiHidden/>
    <w:rPr>
      <w:rFonts w:ascii="Courier New" w:hAnsi="Courier New"/>
      <w:lang w:val="x-none" w:eastAsia="cs-CZ"/>
    </w:rPr>
  </w:style>
  <w:style w:type="character" w:customStyle="1" w:styleId="ObyajntextChar1314">
    <w:name w:val="Obyčajný text Char1314"/>
    <w:aliases w:val="Obyčajný text Char Char Char Char1315"/>
    <w:uiPriority w:val="99"/>
    <w:semiHidden/>
    <w:rPr>
      <w:rFonts w:ascii="Courier New" w:hAnsi="Courier New"/>
      <w:lang w:val="x-none" w:eastAsia="cs-CZ"/>
    </w:rPr>
  </w:style>
  <w:style w:type="character" w:customStyle="1" w:styleId="ObyajntextChar1313">
    <w:name w:val="Obyčajný text Char1313"/>
    <w:aliases w:val="Obyčajný text Char Char Char Char1314"/>
    <w:uiPriority w:val="99"/>
    <w:semiHidden/>
    <w:rPr>
      <w:rFonts w:ascii="Courier New" w:hAnsi="Courier New"/>
      <w:lang w:val="x-none" w:eastAsia="cs-CZ"/>
    </w:rPr>
  </w:style>
  <w:style w:type="character" w:customStyle="1" w:styleId="ObyajntextChar1312">
    <w:name w:val="Obyčajný text Char1312"/>
    <w:aliases w:val="Obyčajný text Char Char Char Char1313"/>
    <w:uiPriority w:val="99"/>
    <w:semiHidden/>
    <w:rPr>
      <w:rFonts w:ascii="Courier New" w:hAnsi="Courier New"/>
      <w:lang w:val="x-none" w:eastAsia="cs-CZ"/>
    </w:rPr>
  </w:style>
  <w:style w:type="character" w:customStyle="1" w:styleId="ObyajntextChar1311">
    <w:name w:val="Obyčajný text Char1311"/>
    <w:aliases w:val="Obyčajný text Char Char Char Char1312"/>
    <w:uiPriority w:val="99"/>
    <w:semiHidden/>
    <w:rPr>
      <w:rFonts w:ascii="Courier New" w:hAnsi="Courier New"/>
      <w:lang w:val="x-none" w:eastAsia="cs-CZ"/>
    </w:rPr>
  </w:style>
  <w:style w:type="character" w:customStyle="1" w:styleId="ObyajntextChar1310">
    <w:name w:val="Obyčajný text Char1310"/>
    <w:aliases w:val="Obyčajný text Char Char Char Char1311"/>
    <w:uiPriority w:val="99"/>
    <w:semiHidden/>
    <w:rPr>
      <w:rFonts w:ascii="Courier New" w:hAnsi="Courier New"/>
      <w:lang w:val="x-none" w:eastAsia="cs-CZ"/>
    </w:rPr>
  </w:style>
  <w:style w:type="character" w:customStyle="1" w:styleId="ObyajntextChar1309">
    <w:name w:val="Obyčajný text Char1309"/>
    <w:aliases w:val="Obyčajný text Char Char Char Char1310"/>
    <w:uiPriority w:val="99"/>
    <w:semiHidden/>
    <w:rPr>
      <w:rFonts w:ascii="Courier New" w:hAnsi="Courier New"/>
      <w:lang w:val="x-none" w:eastAsia="cs-CZ"/>
    </w:rPr>
  </w:style>
  <w:style w:type="character" w:customStyle="1" w:styleId="ObyajntextChar1308">
    <w:name w:val="Obyčajný text Char1308"/>
    <w:aliases w:val="Obyčajný text Char Char Char Char1309"/>
    <w:uiPriority w:val="99"/>
    <w:semiHidden/>
    <w:rPr>
      <w:rFonts w:ascii="Courier New" w:hAnsi="Courier New"/>
      <w:lang w:val="x-none" w:eastAsia="cs-CZ"/>
    </w:rPr>
  </w:style>
  <w:style w:type="character" w:customStyle="1" w:styleId="ObyajntextChar1307">
    <w:name w:val="Obyčajný text Char1307"/>
    <w:aliases w:val="Obyčajný text Char Char Char Char1308"/>
    <w:uiPriority w:val="99"/>
    <w:semiHidden/>
    <w:rPr>
      <w:rFonts w:ascii="Courier New" w:hAnsi="Courier New"/>
      <w:lang w:val="x-none" w:eastAsia="cs-CZ"/>
    </w:rPr>
  </w:style>
  <w:style w:type="character" w:customStyle="1" w:styleId="ObyajntextChar1306">
    <w:name w:val="Obyčajný text Char1306"/>
    <w:aliases w:val="Obyčajný text Char Char Char Char1307"/>
    <w:uiPriority w:val="99"/>
    <w:semiHidden/>
    <w:rPr>
      <w:rFonts w:ascii="Courier New" w:hAnsi="Courier New"/>
      <w:lang w:val="x-none" w:eastAsia="cs-CZ"/>
    </w:rPr>
  </w:style>
  <w:style w:type="character" w:customStyle="1" w:styleId="ObyajntextChar1305">
    <w:name w:val="Obyčajný text Char1305"/>
    <w:aliases w:val="Obyčajný text Char Char Char Char1306"/>
    <w:uiPriority w:val="99"/>
    <w:semiHidden/>
    <w:rPr>
      <w:rFonts w:ascii="Courier New" w:hAnsi="Courier New"/>
      <w:lang w:val="x-none" w:eastAsia="cs-CZ"/>
    </w:rPr>
  </w:style>
  <w:style w:type="character" w:customStyle="1" w:styleId="ObyajntextChar1304">
    <w:name w:val="Obyčajný text Char1304"/>
    <w:aliases w:val="Obyčajný text Char Char Char Char1305"/>
    <w:uiPriority w:val="99"/>
    <w:semiHidden/>
    <w:rPr>
      <w:rFonts w:ascii="Courier New" w:hAnsi="Courier New"/>
      <w:lang w:val="x-none" w:eastAsia="cs-CZ"/>
    </w:rPr>
  </w:style>
  <w:style w:type="character" w:customStyle="1" w:styleId="ObyajntextChar1303">
    <w:name w:val="Obyčajný text Char1303"/>
    <w:aliases w:val="Obyčajný text Char Char Char Char1304"/>
    <w:uiPriority w:val="99"/>
    <w:semiHidden/>
    <w:rPr>
      <w:rFonts w:ascii="Courier New" w:hAnsi="Courier New"/>
      <w:lang w:val="x-none" w:eastAsia="cs-CZ"/>
    </w:rPr>
  </w:style>
  <w:style w:type="character" w:customStyle="1" w:styleId="ObyajntextChar1302">
    <w:name w:val="Obyčajný text Char1302"/>
    <w:aliases w:val="Obyčajný text Char Char Char Char1303"/>
    <w:uiPriority w:val="99"/>
    <w:semiHidden/>
    <w:rPr>
      <w:rFonts w:ascii="Courier New" w:hAnsi="Courier New"/>
      <w:lang w:val="x-none" w:eastAsia="cs-CZ"/>
    </w:rPr>
  </w:style>
  <w:style w:type="character" w:customStyle="1" w:styleId="ObyajntextChar1301">
    <w:name w:val="Obyčajný text Char1301"/>
    <w:aliases w:val="Obyčajný text Char Char Char Char1302"/>
    <w:uiPriority w:val="99"/>
    <w:semiHidden/>
    <w:rPr>
      <w:rFonts w:ascii="Courier New" w:hAnsi="Courier New"/>
      <w:lang w:val="x-none" w:eastAsia="cs-CZ"/>
    </w:rPr>
  </w:style>
  <w:style w:type="character" w:customStyle="1" w:styleId="ObyajntextChar1300">
    <w:name w:val="Obyčajný text Char1300"/>
    <w:aliases w:val="Obyčajný text Char Char Char Char1301"/>
    <w:uiPriority w:val="99"/>
    <w:semiHidden/>
    <w:rPr>
      <w:rFonts w:ascii="Courier New" w:hAnsi="Courier New"/>
      <w:lang w:val="x-none" w:eastAsia="cs-CZ"/>
    </w:rPr>
  </w:style>
  <w:style w:type="character" w:customStyle="1" w:styleId="ObyajntextChar1299">
    <w:name w:val="Obyčajný text Char1299"/>
    <w:aliases w:val="Obyčajný text Char Char Char Char1300"/>
    <w:uiPriority w:val="99"/>
    <w:semiHidden/>
    <w:rPr>
      <w:rFonts w:ascii="Courier New" w:hAnsi="Courier New"/>
      <w:lang w:val="x-none" w:eastAsia="cs-CZ"/>
    </w:rPr>
  </w:style>
  <w:style w:type="character" w:customStyle="1" w:styleId="ObyajntextChar1298">
    <w:name w:val="Obyčajný text Char1298"/>
    <w:aliases w:val="Obyčajný text Char Char Char Char1299"/>
    <w:uiPriority w:val="99"/>
    <w:semiHidden/>
    <w:rPr>
      <w:rFonts w:ascii="Courier New" w:hAnsi="Courier New"/>
      <w:lang w:val="x-none" w:eastAsia="cs-CZ"/>
    </w:rPr>
  </w:style>
  <w:style w:type="character" w:customStyle="1" w:styleId="ObyajntextChar1297">
    <w:name w:val="Obyčajný text Char1297"/>
    <w:aliases w:val="Obyčajný text Char Char Char Char1298"/>
    <w:uiPriority w:val="99"/>
    <w:semiHidden/>
    <w:rPr>
      <w:rFonts w:ascii="Courier New" w:hAnsi="Courier New"/>
      <w:lang w:val="x-none" w:eastAsia="cs-CZ"/>
    </w:rPr>
  </w:style>
  <w:style w:type="character" w:customStyle="1" w:styleId="ObyajntextChar1296">
    <w:name w:val="Obyčajný text Char1296"/>
    <w:aliases w:val="Obyčajný text Char Char Char Char1297"/>
    <w:uiPriority w:val="99"/>
    <w:semiHidden/>
    <w:rPr>
      <w:rFonts w:ascii="Courier New" w:hAnsi="Courier New"/>
      <w:lang w:val="x-none" w:eastAsia="cs-CZ"/>
    </w:rPr>
  </w:style>
  <w:style w:type="character" w:customStyle="1" w:styleId="ObyajntextChar1295">
    <w:name w:val="Obyčajný text Char1295"/>
    <w:aliases w:val="Obyčajný text Char Char Char Char1296"/>
    <w:uiPriority w:val="99"/>
    <w:semiHidden/>
    <w:rPr>
      <w:rFonts w:ascii="Courier New" w:hAnsi="Courier New"/>
      <w:lang w:val="x-none" w:eastAsia="cs-CZ"/>
    </w:rPr>
  </w:style>
  <w:style w:type="character" w:customStyle="1" w:styleId="ObyajntextChar1294">
    <w:name w:val="Obyčajný text Char1294"/>
    <w:aliases w:val="Obyčajný text Char Char Char Char1295"/>
    <w:uiPriority w:val="99"/>
    <w:semiHidden/>
    <w:rPr>
      <w:rFonts w:ascii="Courier New" w:hAnsi="Courier New"/>
      <w:lang w:val="x-none" w:eastAsia="cs-CZ"/>
    </w:rPr>
  </w:style>
  <w:style w:type="character" w:customStyle="1" w:styleId="ObyajntextChar1293">
    <w:name w:val="Obyčajný text Char1293"/>
    <w:aliases w:val="Obyčajný text Char Char Char Char1294"/>
    <w:uiPriority w:val="99"/>
    <w:semiHidden/>
    <w:rPr>
      <w:rFonts w:ascii="Courier New" w:hAnsi="Courier New"/>
      <w:lang w:val="x-none" w:eastAsia="cs-CZ"/>
    </w:rPr>
  </w:style>
  <w:style w:type="character" w:customStyle="1" w:styleId="ObyajntextChar1292">
    <w:name w:val="Obyčajný text Char1292"/>
    <w:aliases w:val="Obyčajný text Char Char Char Char1293"/>
    <w:uiPriority w:val="99"/>
    <w:semiHidden/>
    <w:rPr>
      <w:rFonts w:ascii="Courier New" w:hAnsi="Courier New"/>
      <w:lang w:val="x-none" w:eastAsia="cs-CZ"/>
    </w:rPr>
  </w:style>
  <w:style w:type="character" w:customStyle="1" w:styleId="ObyajntextChar1291">
    <w:name w:val="Obyčajný text Char1291"/>
    <w:aliases w:val="Obyčajný text Char Char Char Char1292"/>
    <w:uiPriority w:val="99"/>
    <w:semiHidden/>
    <w:rPr>
      <w:rFonts w:ascii="Courier New" w:hAnsi="Courier New"/>
      <w:lang w:val="x-none" w:eastAsia="cs-CZ"/>
    </w:rPr>
  </w:style>
  <w:style w:type="character" w:customStyle="1" w:styleId="ObyajntextChar1290">
    <w:name w:val="Obyčajný text Char1290"/>
    <w:aliases w:val="Obyčajný text Char Char Char Char1291"/>
    <w:uiPriority w:val="99"/>
    <w:semiHidden/>
    <w:rPr>
      <w:rFonts w:ascii="Courier New" w:hAnsi="Courier New"/>
      <w:lang w:val="x-none" w:eastAsia="cs-CZ"/>
    </w:rPr>
  </w:style>
  <w:style w:type="character" w:customStyle="1" w:styleId="ObyajntextChar1289">
    <w:name w:val="Obyčajný text Char1289"/>
    <w:aliases w:val="Obyčajný text Char Char Char Char1290"/>
    <w:uiPriority w:val="99"/>
    <w:semiHidden/>
    <w:rPr>
      <w:rFonts w:ascii="Courier New" w:hAnsi="Courier New"/>
      <w:lang w:val="x-none" w:eastAsia="cs-CZ"/>
    </w:rPr>
  </w:style>
  <w:style w:type="character" w:customStyle="1" w:styleId="ObyajntextChar1288">
    <w:name w:val="Obyčajný text Char1288"/>
    <w:aliases w:val="Obyčajný text Char Char Char Char1289"/>
    <w:uiPriority w:val="99"/>
    <w:semiHidden/>
    <w:rPr>
      <w:rFonts w:ascii="Courier New" w:hAnsi="Courier New"/>
      <w:lang w:val="x-none" w:eastAsia="cs-CZ"/>
    </w:rPr>
  </w:style>
  <w:style w:type="character" w:customStyle="1" w:styleId="ObyajntextChar1287">
    <w:name w:val="Obyčajný text Char1287"/>
    <w:aliases w:val="Obyčajný text Char Char Char Char1288"/>
    <w:uiPriority w:val="99"/>
    <w:semiHidden/>
    <w:rPr>
      <w:rFonts w:ascii="Courier New" w:hAnsi="Courier New"/>
      <w:lang w:val="x-none" w:eastAsia="cs-CZ"/>
    </w:rPr>
  </w:style>
  <w:style w:type="character" w:customStyle="1" w:styleId="ObyajntextChar1286">
    <w:name w:val="Obyčajný text Char1286"/>
    <w:aliases w:val="Obyčajný text Char Char Char Char1287"/>
    <w:uiPriority w:val="99"/>
    <w:semiHidden/>
    <w:rPr>
      <w:rFonts w:ascii="Courier New" w:hAnsi="Courier New"/>
      <w:lang w:val="x-none" w:eastAsia="cs-CZ"/>
    </w:rPr>
  </w:style>
  <w:style w:type="character" w:customStyle="1" w:styleId="ObyajntextChar1285">
    <w:name w:val="Obyčajný text Char1285"/>
    <w:aliases w:val="Obyčajný text Char Char Char Char1286"/>
    <w:uiPriority w:val="99"/>
    <w:semiHidden/>
    <w:rPr>
      <w:rFonts w:ascii="Courier New" w:hAnsi="Courier New"/>
      <w:lang w:val="x-none" w:eastAsia="cs-CZ"/>
    </w:rPr>
  </w:style>
  <w:style w:type="character" w:customStyle="1" w:styleId="ObyajntextChar1284">
    <w:name w:val="Obyčajný text Char1284"/>
    <w:aliases w:val="Obyčajný text Char Char Char Char1285"/>
    <w:uiPriority w:val="99"/>
    <w:semiHidden/>
    <w:rPr>
      <w:rFonts w:ascii="Courier New" w:hAnsi="Courier New"/>
      <w:lang w:val="x-none" w:eastAsia="cs-CZ"/>
    </w:rPr>
  </w:style>
  <w:style w:type="character" w:customStyle="1" w:styleId="ObyajntextChar1283">
    <w:name w:val="Obyčajný text Char1283"/>
    <w:aliases w:val="Obyčajný text Char Char Char Char1284"/>
    <w:uiPriority w:val="99"/>
    <w:semiHidden/>
    <w:rPr>
      <w:rFonts w:ascii="Courier New" w:hAnsi="Courier New"/>
      <w:lang w:val="x-none" w:eastAsia="cs-CZ"/>
    </w:rPr>
  </w:style>
  <w:style w:type="character" w:customStyle="1" w:styleId="ObyajntextChar1282">
    <w:name w:val="Obyčajný text Char1282"/>
    <w:aliases w:val="Obyčajný text Char Char Char Char1283"/>
    <w:uiPriority w:val="99"/>
    <w:semiHidden/>
    <w:rPr>
      <w:rFonts w:ascii="Courier New" w:hAnsi="Courier New"/>
      <w:lang w:val="x-none" w:eastAsia="cs-CZ"/>
    </w:rPr>
  </w:style>
  <w:style w:type="character" w:customStyle="1" w:styleId="ObyajntextChar1281">
    <w:name w:val="Obyčajný text Char1281"/>
    <w:aliases w:val="Obyčajný text Char Char Char Char1282"/>
    <w:uiPriority w:val="99"/>
    <w:semiHidden/>
    <w:rPr>
      <w:rFonts w:ascii="Courier New" w:hAnsi="Courier New"/>
      <w:lang w:val="x-none" w:eastAsia="cs-CZ"/>
    </w:rPr>
  </w:style>
  <w:style w:type="character" w:customStyle="1" w:styleId="ObyajntextChar1280">
    <w:name w:val="Obyčajný text Char1280"/>
    <w:aliases w:val="Obyčajný text Char Char Char Char1281"/>
    <w:uiPriority w:val="99"/>
    <w:semiHidden/>
    <w:rPr>
      <w:rFonts w:ascii="Courier New" w:hAnsi="Courier New"/>
      <w:lang w:val="x-none" w:eastAsia="cs-CZ"/>
    </w:rPr>
  </w:style>
  <w:style w:type="character" w:customStyle="1" w:styleId="ObyajntextChar1279">
    <w:name w:val="Obyčajný text Char1279"/>
    <w:aliases w:val="Obyčajný text Char Char Char Char1280"/>
    <w:uiPriority w:val="99"/>
    <w:semiHidden/>
    <w:rPr>
      <w:rFonts w:ascii="Courier New" w:hAnsi="Courier New"/>
      <w:lang w:val="x-none" w:eastAsia="cs-CZ"/>
    </w:rPr>
  </w:style>
  <w:style w:type="character" w:customStyle="1" w:styleId="ObyajntextChar1278">
    <w:name w:val="Obyčajný text Char1278"/>
    <w:aliases w:val="Obyčajný text Char Char Char Char1279"/>
    <w:uiPriority w:val="99"/>
    <w:semiHidden/>
    <w:rPr>
      <w:rFonts w:ascii="Courier New" w:hAnsi="Courier New"/>
      <w:lang w:val="x-none" w:eastAsia="cs-CZ"/>
    </w:rPr>
  </w:style>
  <w:style w:type="character" w:customStyle="1" w:styleId="ObyajntextChar1277">
    <w:name w:val="Obyčajný text Char1277"/>
    <w:aliases w:val="Obyčajný text Char Char Char Char1278"/>
    <w:uiPriority w:val="99"/>
    <w:semiHidden/>
    <w:rPr>
      <w:rFonts w:ascii="Courier New" w:hAnsi="Courier New"/>
      <w:lang w:val="x-none" w:eastAsia="cs-CZ"/>
    </w:rPr>
  </w:style>
  <w:style w:type="character" w:customStyle="1" w:styleId="ObyajntextChar1276">
    <w:name w:val="Obyčajný text Char1276"/>
    <w:aliases w:val="Obyčajný text Char Char Char Char1277"/>
    <w:uiPriority w:val="99"/>
    <w:semiHidden/>
    <w:rPr>
      <w:rFonts w:ascii="Courier New" w:hAnsi="Courier New"/>
      <w:lang w:val="x-none" w:eastAsia="cs-CZ"/>
    </w:rPr>
  </w:style>
  <w:style w:type="character" w:customStyle="1" w:styleId="ObyajntextChar1275">
    <w:name w:val="Obyčajný text Char1275"/>
    <w:aliases w:val="Obyčajný text Char Char Char Char1276"/>
    <w:uiPriority w:val="99"/>
    <w:semiHidden/>
    <w:rPr>
      <w:rFonts w:ascii="Courier New" w:hAnsi="Courier New"/>
      <w:lang w:val="x-none" w:eastAsia="cs-CZ"/>
    </w:rPr>
  </w:style>
  <w:style w:type="character" w:customStyle="1" w:styleId="ObyajntextChar1274">
    <w:name w:val="Obyčajný text Char1274"/>
    <w:aliases w:val="Obyčajný text Char Char Char Char1275"/>
    <w:uiPriority w:val="99"/>
    <w:semiHidden/>
    <w:rPr>
      <w:rFonts w:ascii="Courier New" w:hAnsi="Courier New"/>
      <w:lang w:val="x-none" w:eastAsia="cs-CZ"/>
    </w:rPr>
  </w:style>
  <w:style w:type="character" w:customStyle="1" w:styleId="ObyajntextChar1273">
    <w:name w:val="Obyčajný text Char1273"/>
    <w:aliases w:val="Obyčajný text Char Char Char Char1274"/>
    <w:uiPriority w:val="99"/>
    <w:semiHidden/>
    <w:rPr>
      <w:rFonts w:ascii="Courier New" w:hAnsi="Courier New"/>
      <w:lang w:val="x-none" w:eastAsia="cs-CZ"/>
    </w:rPr>
  </w:style>
  <w:style w:type="character" w:customStyle="1" w:styleId="ObyajntextChar1272">
    <w:name w:val="Obyčajný text Char1272"/>
    <w:aliases w:val="Obyčajný text Char Char Char Char1273"/>
    <w:uiPriority w:val="99"/>
    <w:semiHidden/>
    <w:rPr>
      <w:rFonts w:ascii="Courier New" w:hAnsi="Courier New"/>
      <w:lang w:val="x-none" w:eastAsia="cs-CZ"/>
    </w:rPr>
  </w:style>
  <w:style w:type="character" w:customStyle="1" w:styleId="ObyajntextChar1271">
    <w:name w:val="Obyčajný text Char1271"/>
    <w:aliases w:val="Obyčajný text Char Char Char Char1272"/>
    <w:uiPriority w:val="99"/>
    <w:semiHidden/>
    <w:rPr>
      <w:rFonts w:ascii="Courier New" w:hAnsi="Courier New"/>
      <w:lang w:val="x-none" w:eastAsia="cs-CZ"/>
    </w:rPr>
  </w:style>
  <w:style w:type="character" w:customStyle="1" w:styleId="ObyajntextChar1270">
    <w:name w:val="Obyčajný text Char1270"/>
    <w:aliases w:val="Obyčajný text Char Char Char Char1271"/>
    <w:uiPriority w:val="99"/>
    <w:semiHidden/>
    <w:rPr>
      <w:rFonts w:ascii="Courier New" w:hAnsi="Courier New"/>
      <w:lang w:val="x-none" w:eastAsia="cs-CZ"/>
    </w:rPr>
  </w:style>
  <w:style w:type="character" w:customStyle="1" w:styleId="ObyajntextChar1269">
    <w:name w:val="Obyčajný text Char1269"/>
    <w:aliases w:val="Obyčajný text Char Char Char Char1270"/>
    <w:uiPriority w:val="99"/>
    <w:semiHidden/>
    <w:rPr>
      <w:rFonts w:ascii="Courier New" w:hAnsi="Courier New"/>
      <w:lang w:val="x-none" w:eastAsia="cs-CZ"/>
    </w:rPr>
  </w:style>
  <w:style w:type="character" w:customStyle="1" w:styleId="ObyajntextChar1268">
    <w:name w:val="Obyčajný text Char1268"/>
    <w:aliases w:val="Obyčajný text Char Char Char Char1269"/>
    <w:uiPriority w:val="99"/>
    <w:semiHidden/>
    <w:rPr>
      <w:rFonts w:ascii="Courier New" w:hAnsi="Courier New"/>
      <w:lang w:val="x-none" w:eastAsia="cs-CZ"/>
    </w:rPr>
  </w:style>
  <w:style w:type="character" w:customStyle="1" w:styleId="ObyajntextChar1267">
    <w:name w:val="Obyčajný text Char1267"/>
    <w:aliases w:val="Obyčajný text Char Char Char Char1268"/>
    <w:uiPriority w:val="99"/>
    <w:semiHidden/>
    <w:rPr>
      <w:rFonts w:ascii="Courier New" w:hAnsi="Courier New"/>
      <w:lang w:val="x-none" w:eastAsia="cs-CZ"/>
    </w:rPr>
  </w:style>
  <w:style w:type="character" w:customStyle="1" w:styleId="ObyajntextChar1266">
    <w:name w:val="Obyčajný text Char1266"/>
    <w:aliases w:val="Obyčajný text Char Char Char Char1267"/>
    <w:uiPriority w:val="99"/>
    <w:semiHidden/>
    <w:rPr>
      <w:rFonts w:ascii="Courier New" w:hAnsi="Courier New"/>
      <w:lang w:val="x-none" w:eastAsia="cs-CZ"/>
    </w:rPr>
  </w:style>
  <w:style w:type="character" w:customStyle="1" w:styleId="ObyajntextChar1265">
    <w:name w:val="Obyčajný text Char1265"/>
    <w:aliases w:val="Obyčajný text Char Char Char Char1266"/>
    <w:uiPriority w:val="99"/>
    <w:semiHidden/>
    <w:rPr>
      <w:rFonts w:ascii="Courier New" w:hAnsi="Courier New"/>
      <w:lang w:val="x-none" w:eastAsia="cs-CZ"/>
    </w:rPr>
  </w:style>
  <w:style w:type="character" w:customStyle="1" w:styleId="ObyajntextChar1264">
    <w:name w:val="Obyčajný text Char1264"/>
    <w:aliases w:val="Obyčajný text Char Char Char Char1265"/>
    <w:uiPriority w:val="99"/>
    <w:semiHidden/>
    <w:rPr>
      <w:rFonts w:ascii="Courier New" w:hAnsi="Courier New"/>
      <w:lang w:val="x-none" w:eastAsia="cs-CZ"/>
    </w:rPr>
  </w:style>
  <w:style w:type="character" w:customStyle="1" w:styleId="ObyajntextChar1263">
    <w:name w:val="Obyčajný text Char1263"/>
    <w:aliases w:val="Obyčajný text Char Char Char Char1264"/>
    <w:uiPriority w:val="99"/>
    <w:semiHidden/>
    <w:rPr>
      <w:rFonts w:ascii="Courier New" w:hAnsi="Courier New"/>
      <w:lang w:val="x-none" w:eastAsia="cs-CZ"/>
    </w:rPr>
  </w:style>
  <w:style w:type="character" w:customStyle="1" w:styleId="ObyajntextChar1262">
    <w:name w:val="Obyčajný text Char1262"/>
    <w:aliases w:val="Obyčajný text Char Char Char Char1263"/>
    <w:uiPriority w:val="99"/>
    <w:semiHidden/>
    <w:rPr>
      <w:rFonts w:ascii="Courier New" w:hAnsi="Courier New"/>
      <w:lang w:val="x-none" w:eastAsia="cs-CZ"/>
    </w:rPr>
  </w:style>
  <w:style w:type="character" w:customStyle="1" w:styleId="ObyajntextChar1261">
    <w:name w:val="Obyčajný text Char1261"/>
    <w:aliases w:val="Obyčajný text Char Char Char Char1262"/>
    <w:uiPriority w:val="99"/>
    <w:semiHidden/>
    <w:rPr>
      <w:rFonts w:ascii="Courier New" w:hAnsi="Courier New"/>
      <w:lang w:val="x-none" w:eastAsia="cs-CZ"/>
    </w:rPr>
  </w:style>
  <w:style w:type="character" w:customStyle="1" w:styleId="ObyajntextChar1260">
    <w:name w:val="Obyčajný text Char1260"/>
    <w:aliases w:val="Obyčajný text Char Char Char Char1261"/>
    <w:uiPriority w:val="99"/>
    <w:semiHidden/>
    <w:rPr>
      <w:rFonts w:ascii="Courier New" w:hAnsi="Courier New"/>
      <w:lang w:val="x-none" w:eastAsia="cs-CZ"/>
    </w:rPr>
  </w:style>
  <w:style w:type="character" w:customStyle="1" w:styleId="ObyajntextChar1259">
    <w:name w:val="Obyčajný text Char1259"/>
    <w:aliases w:val="Obyčajný text Char Char Char Char1260"/>
    <w:uiPriority w:val="99"/>
    <w:semiHidden/>
    <w:rPr>
      <w:rFonts w:ascii="Courier New" w:hAnsi="Courier New"/>
      <w:lang w:val="x-none" w:eastAsia="cs-CZ"/>
    </w:rPr>
  </w:style>
  <w:style w:type="character" w:customStyle="1" w:styleId="ObyajntextChar1258">
    <w:name w:val="Obyčajný text Char1258"/>
    <w:aliases w:val="Obyčajný text Char Char Char Char1259"/>
    <w:uiPriority w:val="99"/>
    <w:semiHidden/>
    <w:rPr>
      <w:rFonts w:ascii="Courier New" w:hAnsi="Courier New"/>
      <w:lang w:val="x-none" w:eastAsia="cs-CZ"/>
    </w:rPr>
  </w:style>
  <w:style w:type="character" w:customStyle="1" w:styleId="ObyajntextChar1257">
    <w:name w:val="Obyčajný text Char1257"/>
    <w:aliases w:val="Obyčajný text Char Char Char Char1258"/>
    <w:uiPriority w:val="99"/>
    <w:semiHidden/>
    <w:rPr>
      <w:rFonts w:ascii="Courier New" w:hAnsi="Courier New"/>
      <w:lang w:val="x-none" w:eastAsia="cs-CZ"/>
    </w:rPr>
  </w:style>
  <w:style w:type="character" w:customStyle="1" w:styleId="ObyajntextChar1256">
    <w:name w:val="Obyčajný text Char1256"/>
    <w:aliases w:val="Obyčajný text Char Char Char Char1257"/>
    <w:uiPriority w:val="99"/>
    <w:semiHidden/>
    <w:rPr>
      <w:rFonts w:ascii="Courier New" w:hAnsi="Courier New"/>
      <w:lang w:val="x-none" w:eastAsia="cs-CZ"/>
    </w:rPr>
  </w:style>
  <w:style w:type="character" w:customStyle="1" w:styleId="ObyajntextChar1255">
    <w:name w:val="Obyčajný text Char1255"/>
    <w:aliases w:val="Obyčajný text Char Char Char Char1256"/>
    <w:uiPriority w:val="99"/>
    <w:semiHidden/>
    <w:rPr>
      <w:rFonts w:ascii="Courier New" w:hAnsi="Courier New"/>
      <w:lang w:val="x-none" w:eastAsia="cs-CZ"/>
    </w:rPr>
  </w:style>
  <w:style w:type="character" w:customStyle="1" w:styleId="ObyajntextChar1254">
    <w:name w:val="Obyčajný text Char1254"/>
    <w:aliases w:val="Obyčajný text Char Char Char Char1255"/>
    <w:uiPriority w:val="99"/>
    <w:semiHidden/>
    <w:rPr>
      <w:rFonts w:ascii="Courier New" w:hAnsi="Courier New"/>
      <w:lang w:val="x-none" w:eastAsia="cs-CZ"/>
    </w:rPr>
  </w:style>
  <w:style w:type="character" w:customStyle="1" w:styleId="ObyajntextChar1253">
    <w:name w:val="Obyčajný text Char1253"/>
    <w:aliases w:val="Obyčajný text Char Char Char Char1254"/>
    <w:uiPriority w:val="99"/>
    <w:semiHidden/>
    <w:rPr>
      <w:rFonts w:ascii="Courier New" w:hAnsi="Courier New"/>
      <w:lang w:val="x-none" w:eastAsia="cs-CZ"/>
    </w:rPr>
  </w:style>
  <w:style w:type="character" w:customStyle="1" w:styleId="ObyajntextChar1252">
    <w:name w:val="Obyčajný text Char1252"/>
    <w:aliases w:val="Obyčajný text Char Char Char Char1253"/>
    <w:uiPriority w:val="99"/>
    <w:semiHidden/>
    <w:rPr>
      <w:rFonts w:ascii="Courier New" w:hAnsi="Courier New"/>
      <w:lang w:val="x-none" w:eastAsia="cs-CZ"/>
    </w:rPr>
  </w:style>
  <w:style w:type="character" w:customStyle="1" w:styleId="ObyajntextChar1251">
    <w:name w:val="Obyčajný text Char1251"/>
    <w:aliases w:val="Obyčajný text Char Char Char Char1252"/>
    <w:uiPriority w:val="99"/>
    <w:semiHidden/>
    <w:rPr>
      <w:rFonts w:ascii="Courier New" w:hAnsi="Courier New"/>
      <w:lang w:val="x-none" w:eastAsia="cs-CZ"/>
    </w:rPr>
  </w:style>
  <w:style w:type="character" w:customStyle="1" w:styleId="ObyajntextChar1250">
    <w:name w:val="Obyčajný text Char1250"/>
    <w:aliases w:val="Obyčajný text Char Char Char Char1251"/>
    <w:uiPriority w:val="99"/>
    <w:semiHidden/>
    <w:rPr>
      <w:rFonts w:ascii="Courier New" w:hAnsi="Courier New"/>
      <w:lang w:val="x-none" w:eastAsia="cs-CZ"/>
    </w:rPr>
  </w:style>
  <w:style w:type="character" w:customStyle="1" w:styleId="ObyajntextChar1249">
    <w:name w:val="Obyčajný text Char1249"/>
    <w:aliases w:val="Obyčajný text Char Char Char Char1250"/>
    <w:uiPriority w:val="99"/>
    <w:semiHidden/>
    <w:rPr>
      <w:rFonts w:ascii="Courier New" w:hAnsi="Courier New"/>
      <w:lang w:val="x-none" w:eastAsia="cs-CZ"/>
    </w:rPr>
  </w:style>
  <w:style w:type="character" w:customStyle="1" w:styleId="ObyajntextChar1248">
    <w:name w:val="Obyčajný text Char1248"/>
    <w:aliases w:val="Obyčajný text Char Char Char Char1249"/>
    <w:uiPriority w:val="99"/>
    <w:semiHidden/>
    <w:rPr>
      <w:rFonts w:ascii="Courier New" w:hAnsi="Courier New"/>
      <w:lang w:val="x-none" w:eastAsia="cs-CZ"/>
    </w:rPr>
  </w:style>
  <w:style w:type="character" w:customStyle="1" w:styleId="ObyajntextChar1247">
    <w:name w:val="Obyčajný text Char1247"/>
    <w:aliases w:val="Obyčajný text Char Char Char Char1248"/>
    <w:uiPriority w:val="99"/>
    <w:semiHidden/>
    <w:rPr>
      <w:rFonts w:ascii="Courier New" w:hAnsi="Courier New"/>
      <w:lang w:val="x-none" w:eastAsia="cs-CZ"/>
    </w:rPr>
  </w:style>
  <w:style w:type="character" w:customStyle="1" w:styleId="ObyajntextChar1246">
    <w:name w:val="Obyčajný text Char1246"/>
    <w:aliases w:val="Obyčajný text Char Char Char Char1247"/>
    <w:uiPriority w:val="99"/>
    <w:semiHidden/>
    <w:rPr>
      <w:rFonts w:ascii="Courier New" w:hAnsi="Courier New"/>
      <w:lang w:val="x-none" w:eastAsia="cs-CZ"/>
    </w:rPr>
  </w:style>
  <w:style w:type="character" w:customStyle="1" w:styleId="ObyajntextChar1245">
    <w:name w:val="Obyčajný text Char1245"/>
    <w:aliases w:val="Obyčajný text Char Char Char Char1246"/>
    <w:uiPriority w:val="99"/>
    <w:semiHidden/>
    <w:rPr>
      <w:rFonts w:ascii="Courier New" w:hAnsi="Courier New"/>
      <w:lang w:val="x-none" w:eastAsia="cs-CZ"/>
    </w:rPr>
  </w:style>
  <w:style w:type="character" w:customStyle="1" w:styleId="ObyajntextChar1244">
    <w:name w:val="Obyčajný text Char1244"/>
    <w:aliases w:val="Obyčajný text Char Char Char Char1245"/>
    <w:uiPriority w:val="99"/>
    <w:semiHidden/>
    <w:rPr>
      <w:rFonts w:ascii="Courier New" w:hAnsi="Courier New"/>
      <w:lang w:val="x-none" w:eastAsia="cs-CZ"/>
    </w:rPr>
  </w:style>
  <w:style w:type="character" w:customStyle="1" w:styleId="ObyajntextChar1243">
    <w:name w:val="Obyčajný text Char1243"/>
    <w:aliases w:val="Obyčajný text Char Char Char Char1244"/>
    <w:uiPriority w:val="99"/>
    <w:semiHidden/>
    <w:rPr>
      <w:rFonts w:ascii="Courier New" w:hAnsi="Courier New"/>
      <w:lang w:val="x-none" w:eastAsia="cs-CZ"/>
    </w:rPr>
  </w:style>
  <w:style w:type="character" w:customStyle="1" w:styleId="ObyajntextChar1242">
    <w:name w:val="Obyčajný text Char1242"/>
    <w:aliases w:val="Obyčajný text Char Char Char Char1243"/>
    <w:uiPriority w:val="99"/>
    <w:semiHidden/>
    <w:rPr>
      <w:rFonts w:ascii="Courier New" w:hAnsi="Courier New"/>
      <w:lang w:val="x-none" w:eastAsia="cs-CZ"/>
    </w:rPr>
  </w:style>
  <w:style w:type="character" w:customStyle="1" w:styleId="ObyajntextChar1241">
    <w:name w:val="Obyčajný text Char1241"/>
    <w:aliases w:val="Obyčajný text Char Char Char Char1242"/>
    <w:uiPriority w:val="99"/>
    <w:semiHidden/>
    <w:rPr>
      <w:rFonts w:ascii="Courier New" w:hAnsi="Courier New"/>
      <w:lang w:val="x-none" w:eastAsia="cs-CZ"/>
    </w:rPr>
  </w:style>
  <w:style w:type="character" w:customStyle="1" w:styleId="ObyajntextChar1240">
    <w:name w:val="Obyčajný text Char1240"/>
    <w:aliases w:val="Obyčajný text Char Char Char Char1241"/>
    <w:uiPriority w:val="99"/>
    <w:semiHidden/>
    <w:rPr>
      <w:rFonts w:ascii="Courier New" w:hAnsi="Courier New"/>
      <w:lang w:val="x-none" w:eastAsia="cs-CZ"/>
    </w:rPr>
  </w:style>
  <w:style w:type="character" w:customStyle="1" w:styleId="ObyajntextChar1239">
    <w:name w:val="Obyčajný text Char1239"/>
    <w:aliases w:val="Obyčajný text Char Char Char Char1240"/>
    <w:uiPriority w:val="99"/>
    <w:semiHidden/>
    <w:rPr>
      <w:rFonts w:ascii="Courier New" w:hAnsi="Courier New"/>
      <w:lang w:val="x-none" w:eastAsia="cs-CZ"/>
    </w:rPr>
  </w:style>
  <w:style w:type="character" w:customStyle="1" w:styleId="ObyajntextChar1238">
    <w:name w:val="Obyčajný text Char1238"/>
    <w:aliases w:val="Obyčajný text Char Char Char Char1239"/>
    <w:uiPriority w:val="99"/>
    <w:semiHidden/>
    <w:rPr>
      <w:rFonts w:ascii="Courier New" w:hAnsi="Courier New"/>
      <w:lang w:val="x-none" w:eastAsia="cs-CZ"/>
    </w:rPr>
  </w:style>
  <w:style w:type="character" w:customStyle="1" w:styleId="ObyajntextChar1237">
    <w:name w:val="Obyčajný text Char1237"/>
    <w:aliases w:val="Obyčajný text Char Char Char Char1238"/>
    <w:uiPriority w:val="99"/>
    <w:semiHidden/>
    <w:rPr>
      <w:rFonts w:ascii="Courier New" w:hAnsi="Courier New"/>
      <w:lang w:val="x-none" w:eastAsia="cs-CZ"/>
    </w:rPr>
  </w:style>
  <w:style w:type="character" w:customStyle="1" w:styleId="ObyajntextChar1236">
    <w:name w:val="Obyčajný text Char1236"/>
    <w:aliases w:val="Obyčajný text Char Char Char Char1237"/>
    <w:uiPriority w:val="99"/>
    <w:semiHidden/>
    <w:rPr>
      <w:rFonts w:ascii="Courier New" w:hAnsi="Courier New"/>
      <w:lang w:val="x-none" w:eastAsia="cs-CZ"/>
    </w:rPr>
  </w:style>
  <w:style w:type="character" w:customStyle="1" w:styleId="ObyajntextChar1235">
    <w:name w:val="Obyčajný text Char1235"/>
    <w:aliases w:val="Obyčajný text Char Char Char Char1236"/>
    <w:uiPriority w:val="99"/>
    <w:semiHidden/>
    <w:rPr>
      <w:rFonts w:ascii="Courier New" w:hAnsi="Courier New"/>
      <w:lang w:val="x-none" w:eastAsia="cs-CZ"/>
    </w:rPr>
  </w:style>
  <w:style w:type="character" w:customStyle="1" w:styleId="ObyajntextChar1234">
    <w:name w:val="Obyčajný text Char1234"/>
    <w:aliases w:val="Obyčajný text Char Char Char Char1235"/>
    <w:uiPriority w:val="99"/>
    <w:semiHidden/>
    <w:rPr>
      <w:rFonts w:ascii="Courier New" w:hAnsi="Courier New"/>
      <w:lang w:val="x-none" w:eastAsia="cs-CZ"/>
    </w:rPr>
  </w:style>
  <w:style w:type="character" w:customStyle="1" w:styleId="ObyajntextChar1233">
    <w:name w:val="Obyčajný text Char1233"/>
    <w:aliases w:val="Obyčajný text Char Char Char Char1234"/>
    <w:uiPriority w:val="99"/>
    <w:semiHidden/>
    <w:rPr>
      <w:rFonts w:ascii="Courier New" w:hAnsi="Courier New"/>
      <w:lang w:val="x-none" w:eastAsia="cs-CZ"/>
    </w:rPr>
  </w:style>
  <w:style w:type="character" w:customStyle="1" w:styleId="ObyajntextChar1232">
    <w:name w:val="Obyčajný text Char1232"/>
    <w:aliases w:val="Obyčajný text Char Char Char Char1233"/>
    <w:uiPriority w:val="99"/>
    <w:semiHidden/>
    <w:rPr>
      <w:rFonts w:ascii="Courier New" w:hAnsi="Courier New"/>
      <w:lang w:val="x-none" w:eastAsia="cs-CZ"/>
    </w:rPr>
  </w:style>
  <w:style w:type="character" w:customStyle="1" w:styleId="ObyajntextChar1231">
    <w:name w:val="Obyčajný text Char1231"/>
    <w:aliases w:val="Obyčajný text Char Char Char Char1232"/>
    <w:uiPriority w:val="99"/>
    <w:semiHidden/>
    <w:rPr>
      <w:rFonts w:ascii="Courier New" w:hAnsi="Courier New"/>
      <w:lang w:val="x-none" w:eastAsia="cs-CZ"/>
    </w:rPr>
  </w:style>
  <w:style w:type="character" w:customStyle="1" w:styleId="ObyajntextChar1230">
    <w:name w:val="Obyčajný text Char1230"/>
    <w:aliases w:val="Obyčajný text Char Char Char Char1231"/>
    <w:uiPriority w:val="99"/>
    <w:semiHidden/>
    <w:rPr>
      <w:rFonts w:ascii="Courier New" w:hAnsi="Courier New"/>
      <w:lang w:val="x-none" w:eastAsia="cs-CZ"/>
    </w:rPr>
  </w:style>
  <w:style w:type="character" w:customStyle="1" w:styleId="ObyajntextChar1229">
    <w:name w:val="Obyčajný text Char1229"/>
    <w:aliases w:val="Obyčajný text Char Char Char Char1230"/>
    <w:uiPriority w:val="99"/>
    <w:semiHidden/>
    <w:rPr>
      <w:rFonts w:ascii="Courier New" w:hAnsi="Courier New"/>
      <w:lang w:val="x-none" w:eastAsia="cs-CZ"/>
    </w:rPr>
  </w:style>
  <w:style w:type="character" w:customStyle="1" w:styleId="ObyajntextChar1228">
    <w:name w:val="Obyčajný text Char1228"/>
    <w:aliases w:val="Obyčajný text Char Char Char Char1229"/>
    <w:uiPriority w:val="99"/>
    <w:semiHidden/>
    <w:rPr>
      <w:rFonts w:ascii="Courier New" w:hAnsi="Courier New"/>
      <w:lang w:val="x-none" w:eastAsia="cs-CZ"/>
    </w:rPr>
  </w:style>
  <w:style w:type="character" w:customStyle="1" w:styleId="ObyajntextChar1227">
    <w:name w:val="Obyčajný text Char1227"/>
    <w:aliases w:val="Obyčajný text Char Char Char Char1228"/>
    <w:uiPriority w:val="99"/>
    <w:semiHidden/>
    <w:rPr>
      <w:rFonts w:ascii="Courier New" w:hAnsi="Courier New"/>
      <w:lang w:val="x-none" w:eastAsia="cs-CZ"/>
    </w:rPr>
  </w:style>
  <w:style w:type="character" w:customStyle="1" w:styleId="ObyajntextChar1226">
    <w:name w:val="Obyčajný text Char1226"/>
    <w:aliases w:val="Obyčajný text Char Char Char Char1227"/>
    <w:uiPriority w:val="99"/>
    <w:semiHidden/>
    <w:rPr>
      <w:rFonts w:ascii="Courier New" w:hAnsi="Courier New"/>
      <w:lang w:val="x-none" w:eastAsia="cs-CZ"/>
    </w:rPr>
  </w:style>
  <w:style w:type="character" w:customStyle="1" w:styleId="ObyajntextChar1225">
    <w:name w:val="Obyčajný text Char1225"/>
    <w:aliases w:val="Obyčajný text Char Char Char Char1226"/>
    <w:uiPriority w:val="99"/>
    <w:semiHidden/>
    <w:rPr>
      <w:rFonts w:ascii="Courier New" w:hAnsi="Courier New"/>
      <w:lang w:val="x-none" w:eastAsia="cs-CZ"/>
    </w:rPr>
  </w:style>
  <w:style w:type="character" w:customStyle="1" w:styleId="ObyajntextChar1224">
    <w:name w:val="Obyčajný text Char1224"/>
    <w:aliases w:val="Obyčajný text Char Char Char Char1225"/>
    <w:uiPriority w:val="99"/>
    <w:semiHidden/>
    <w:rPr>
      <w:rFonts w:ascii="Courier New" w:hAnsi="Courier New"/>
      <w:lang w:val="x-none" w:eastAsia="cs-CZ"/>
    </w:rPr>
  </w:style>
  <w:style w:type="character" w:customStyle="1" w:styleId="ObyajntextChar1223">
    <w:name w:val="Obyčajný text Char1223"/>
    <w:aliases w:val="Obyčajný text Char Char Char Char1224"/>
    <w:uiPriority w:val="99"/>
    <w:semiHidden/>
    <w:rPr>
      <w:rFonts w:ascii="Courier New" w:hAnsi="Courier New"/>
      <w:lang w:val="x-none" w:eastAsia="cs-CZ"/>
    </w:rPr>
  </w:style>
  <w:style w:type="character" w:customStyle="1" w:styleId="ObyajntextChar1222">
    <w:name w:val="Obyčajný text Char1222"/>
    <w:aliases w:val="Obyčajný text Char Char Char Char1223"/>
    <w:uiPriority w:val="99"/>
    <w:semiHidden/>
    <w:rPr>
      <w:rFonts w:ascii="Courier New" w:hAnsi="Courier New"/>
      <w:lang w:val="x-none" w:eastAsia="cs-CZ"/>
    </w:rPr>
  </w:style>
  <w:style w:type="character" w:customStyle="1" w:styleId="ObyajntextChar1221">
    <w:name w:val="Obyčajný text Char1221"/>
    <w:aliases w:val="Obyčajný text Char Char Char Char1222"/>
    <w:uiPriority w:val="99"/>
    <w:semiHidden/>
    <w:rPr>
      <w:rFonts w:ascii="Courier New" w:hAnsi="Courier New"/>
      <w:lang w:val="x-none" w:eastAsia="cs-CZ"/>
    </w:rPr>
  </w:style>
  <w:style w:type="character" w:customStyle="1" w:styleId="ObyajntextChar1220">
    <w:name w:val="Obyčajný text Char1220"/>
    <w:aliases w:val="Obyčajný text Char Char Char Char1221"/>
    <w:uiPriority w:val="99"/>
    <w:semiHidden/>
    <w:rPr>
      <w:rFonts w:ascii="Courier New" w:hAnsi="Courier New"/>
      <w:lang w:val="x-none" w:eastAsia="cs-CZ"/>
    </w:rPr>
  </w:style>
  <w:style w:type="character" w:customStyle="1" w:styleId="ObyajntextChar1219">
    <w:name w:val="Obyčajný text Char1219"/>
    <w:aliases w:val="Obyčajný text Char Char Char Char1220"/>
    <w:uiPriority w:val="99"/>
    <w:semiHidden/>
    <w:rPr>
      <w:rFonts w:ascii="Courier New" w:hAnsi="Courier New"/>
      <w:lang w:val="x-none" w:eastAsia="cs-CZ"/>
    </w:rPr>
  </w:style>
  <w:style w:type="character" w:customStyle="1" w:styleId="ObyajntextChar1218">
    <w:name w:val="Obyčajný text Char1218"/>
    <w:aliases w:val="Obyčajný text Char Char Char Char1219"/>
    <w:uiPriority w:val="99"/>
    <w:semiHidden/>
    <w:rPr>
      <w:rFonts w:ascii="Courier New" w:hAnsi="Courier New"/>
      <w:lang w:val="x-none" w:eastAsia="cs-CZ"/>
    </w:rPr>
  </w:style>
  <w:style w:type="character" w:customStyle="1" w:styleId="ObyajntextChar1217">
    <w:name w:val="Obyčajný text Char1217"/>
    <w:aliases w:val="Obyčajný text Char Char Char Char1218"/>
    <w:uiPriority w:val="99"/>
    <w:semiHidden/>
    <w:rPr>
      <w:rFonts w:ascii="Courier New" w:hAnsi="Courier New"/>
      <w:lang w:val="x-none" w:eastAsia="cs-CZ"/>
    </w:rPr>
  </w:style>
  <w:style w:type="character" w:customStyle="1" w:styleId="ObyajntextChar1216">
    <w:name w:val="Obyčajný text Char1216"/>
    <w:aliases w:val="Obyčajný text Char Char Char Char1217"/>
    <w:uiPriority w:val="99"/>
    <w:semiHidden/>
    <w:rPr>
      <w:rFonts w:ascii="Courier New" w:hAnsi="Courier New"/>
      <w:lang w:val="x-none" w:eastAsia="cs-CZ"/>
    </w:rPr>
  </w:style>
  <w:style w:type="character" w:customStyle="1" w:styleId="ObyajntextChar1215">
    <w:name w:val="Obyčajný text Char1215"/>
    <w:aliases w:val="Obyčajný text Char Char Char Char1216"/>
    <w:uiPriority w:val="99"/>
    <w:semiHidden/>
    <w:rPr>
      <w:rFonts w:ascii="Courier New" w:hAnsi="Courier New"/>
      <w:lang w:val="x-none" w:eastAsia="cs-CZ"/>
    </w:rPr>
  </w:style>
  <w:style w:type="character" w:customStyle="1" w:styleId="ObyajntextChar1214">
    <w:name w:val="Obyčajný text Char1214"/>
    <w:aliases w:val="Obyčajný text Char Char Char Char1215"/>
    <w:uiPriority w:val="99"/>
    <w:semiHidden/>
    <w:rPr>
      <w:rFonts w:ascii="Courier New" w:hAnsi="Courier New"/>
      <w:lang w:val="x-none" w:eastAsia="cs-CZ"/>
    </w:rPr>
  </w:style>
  <w:style w:type="character" w:customStyle="1" w:styleId="ObyajntextChar1213">
    <w:name w:val="Obyčajný text Char1213"/>
    <w:aliases w:val="Obyčajný text Char Char Char Char1214"/>
    <w:uiPriority w:val="99"/>
    <w:semiHidden/>
    <w:rPr>
      <w:rFonts w:ascii="Courier New" w:hAnsi="Courier New"/>
      <w:lang w:val="x-none" w:eastAsia="cs-CZ"/>
    </w:rPr>
  </w:style>
  <w:style w:type="character" w:customStyle="1" w:styleId="ObyajntextChar1212">
    <w:name w:val="Obyčajný text Char1212"/>
    <w:aliases w:val="Obyčajný text Char Char Char Char1213"/>
    <w:uiPriority w:val="99"/>
    <w:semiHidden/>
    <w:rPr>
      <w:rFonts w:ascii="Courier New" w:hAnsi="Courier New"/>
      <w:lang w:val="x-none" w:eastAsia="cs-CZ"/>
    </w:rPr>
  </w:style>
  <w:style w:type="character" w:customStyle="1" w:styleId="ObyajntextChar1211">
    <w:name w:val="Obyčajný text Char1211"/>
    <w:aliases w:val="Obyčajný text Char Char Char Char1212"/>
    <w:uiPriority w:val="99"/>
    <w:semiHidden/>
    <w:rPr>
      <w:rFonts w:ascii="Courier New" w:hAnsi="Courier New"/>
      <w:lang w:val="x-none" w:eastAsia="cs-CZ"/>
    </w:rPr>
  </w:style>
  <w:style w:type="character" w:customStyle="1" w:styleId="ObyajntextChar1210">
    <w:name w:val="Obyčajný text Char1210"/>
    <w:aliases w:val="Obyčajný text Char Char Char Char1211"/>
    <w:uiPriority w:val="99"/>
    <w:semiHidden/>
    <w:rPr>
      <w:rFonts w:ascii="Courier New" w:hAnsi="Courier New"/>
      <w:lang w:val="x-none" w:eastAsia="cs-CZ"/>
    </w:rPr>
  </w:style>
  <w:style w:type="character" w:customStyle="1" w:styleId="ObyajntextChar1209">
    <w:name w:val="Obyčajný text Char1209"/>
    <w:aliases w:val="Obyčajný text Char Char Char Char1210"/>
    <w:uiPriority w:val="99"/>
    <w:semiHidden/>
    <w:rPr>
      <w:rFonts w:ascii="Courier New" w:hAnsi="Courier New"/>
      <w:lang w:val="x-none" w:eastAsia="cs-CZ"/>
    </w:rPr>
  </w:style>
  <w:style w:type="character" w:customStyle="1" w:styleId="ObyajntextChar1208">
    <w:name w:val="Obyčajný text Char1208"/>
    <w:aliases w:val="Obyčajný text Char Char Char Char1209"/>
    <w:uiPriority w:val="99"/>
    <w:semiHidden/>
    <w:rPr>
      <w:rFonts w:ascii="Courier New" w:hAnsi="Courier New"/>
      <w:lang w:val="x-none" w:eastAsia="cs-CZ"/>
    </w:rPr>
  </w:style>
  <w:style w:type="character" w:customStyle="1" w:styleId="ObyajntextChar1207">
    <w:name w:val="Obyčajný text Char1207"/>
    <w:aliases w:val="Obyčajný text Char Char Char Char1208"/>
    <w:uiPriority w:val="99"/>
    <w:semiHidden/>
    <w:rPr>
      <w:rFonts w:ascii="Courier New" w:hAnsi="Courier New"/>
      <w:lang w:val="x-none" w:eastAsia="cs-CZ"/>
    </w:rPr>
  </w:style>
  <w:style w:type="character" w:customStyle="1" w:styleId="ObyajntextChar1206">
    <w:name w:val="Obyčajný text Char1206"/>
    <w:aliases w:val="Obyčajný text Char Char Char Char1207"/>
    <w:uiPriority w:val="99"/>
    <w:semiHidden/>
    <w:rPr>
      <w:rFonts w:ascii="Courier New" w:hAnsi="Courier New"/>
      <w:lang w:val="x-none" w:eastAsia="cs-CZ"/>
    </w:rPr>
  </w:style>
  <w:style w:type="character" w:customStyle="1" w:styleId="ObyajntextChar1205">
    <w:name w:val="Obyčajný text Char1205"/>
    <w:aliases w:val="Obyčajný text Char Char Char Char1206"/>
    <w:uiPriority w:val="99"/>
    <w:semiHidden/>
    <w:rPr>
      <w:rFonts w:ascii="Courier New" w:hAnsi="Courier New"/>
      <w:lang w:val="x-none" w:eastAsia="cs-CZ"/>
    </w:rPr>
  </w:style>
  <w:style w:type="character" w:customStyle="1" w:styleId="ObyajntextChar1204">
    <w:name w:val="Obyčajný text Char1204"/>
    <w:aliases w:val="Obyčajný text Char Char Char Char1205"/>
    <w:uiPriority w:val="99"/>
    <w:semiHidden/>
    <w:rPr>
      <w:rFonts w:ascii="Courier New" w:hAnsi="Courier New"/>
      <w:lang w:val="x-none" w:eastAsia="cs-CZ"/>
    </w:rPr>
  </w:style>
  <w:style w:type="character" w:customStyle="1" w:styleId="ObyajntextChar1203">
    <w:name w:val="Obyčajný text Char1203"/>
    <w:aliases w:val="Obyčajný text Char Char Char Char1204"/>
    <w:uiPriority w:val="99"/>
    <w:semiHidden/>
    <w:rPr>
      <w:rFonts w:ascii="Courier New" w:hAnsi="Courier New"/>
      <w:lang w:val="x-none" w:eastAsia="cs-CZ"/>
    </w:rPr>
  </w:style>
  <w:style w:type="character" w:customStyle="1" w:styleId="ObyajntextChar1202">
    <w:name w:val="Obyčajný text Char1202"/>
    <w:aliases w:val="Obyčajný text Char Char Char Char1203"/>
    <w:uiPriority w:val="99"/>
    <w:semiHidden/>
    <w:rPr>
      <w:rFonts w:ascii="Courier New" w:hAnsi="Courier New"/>
      <w:lang w:val="x-none" w:eastAsia="cs-CZ"/>
    </w:rPr>
  </w:style>
  <w:style w:type="character" w:customStyle="1" w:styleId="ObyajntextChar1201">
    <w:name w:val="Obyčajný text Char1201"/>
    <w:aliases w:val="Obyčajný text Char Char Char Char1202"/>
    <w:uiPriority w:val="99"/>
    <w:semiHidden/>
    <w:rPr>
      <w:rFonts w:ascii="Courier New" w:hAnsi="Courier New"/>
      <w:lang w:val="x-none" w:eastAsia="cs-CZ"/>
    </w:rPr>
  </w:style>
  <w:style w:type="character" w:customStyle="1" w:styleId="ObyajntextChar1200">
    <w:name w:val="Obyčajný text Char1200"/>
    <w:aliases w:val="Obyčajný text Char Char Char Char1201"/>
    <w:uiPriority w:val="99"/>
    <w:semiHidden/>
    <w:rPr>
      <w:rFonts w:ascii="Courier New" w:hAnsi="Courier New"/>
      <w:lang w:val="x-none" w:eastAsia="cs-CZ"/>
    </w:rPr>
  </w:style>
  <w:style w:type="character" w:customStyle="1" w:styleId="ObyajntextChar1199">
    <w:name w:val="Obyčajný text Char1199"/>
    <w:aliases w:val="Obyčajný text Char Char Char Char1200"/>
    <w:uiPriority w:val="99"/>
    <w:semiHidden/>
    <w:rPr>
      <w:rFonts w:ascii="Courier New" w:hAnsi="Courier New"/>
      <w:lang w:val="x-none" w:eastAsia="cs-CZ"/>
    </w:rPr>
  </w:style>
  <w:style w:type="character" w:customStyle="1" w:styleId="ObyajntextChar1198">
    <w:name w:val="Obyčajný text Char1198"/>
    <w:aliases w:val="Obyčajný text Char Char Char Char1199"/>
    <w:uiPriority w:val="99"/>
    <w:semiHidden/>
    <w:rPr>
      <w:rFonts w:ascii="Courier New" w:hAnsi="Courier New"/>
      <w:lang w:val="x-none" w:eastAsia="cs-CZ"/>
    </w:rPr>
  </w:style>
  <w:style w:type="character" w:customStyle="1" w:styleId="ObyajntextChar1197">
    <w:name w:val="Obyčajný text Char1197"/>
    <w:aliases w:val="Obyčajný text Char Char Char Char1198"/>
    <w:uiPriority w:val="99"/>
    <w:semiHidden/>
    <w:rPr>
      <w:rFonts w:ascii="Courier New" w:hAnsi="Courier New"/>
      <w:lang w:val="x-none" w:eastAsia="cs-CZ"/>
    </w:rPr>
  </w:style>
  <w:style w:type="character" w:customStyle="1" w:styleId="ObyajntextChar1196">
    <w:name w:val="Obyčajný text Char1196"/>
    <w:aliases w:val="Obyčajný text Char Char Char Char1197"/>
    <w:uiPriority w:val="99"/>
    <w:semiHidden/>
    <w:rPr>
      <w:rFonts w:ascii="Courier New" w:hAnsi="Courier New"/>
      <w:lang w:val="x-none" w:eastAsia="cs-CZ"/>
    </w:rPr>
  </w:style>
  <w:style w:type="character" w:customStyle="1" w:styleId="ObyajntextChar1195">
    <w:name w:val="Obyčajný text Char1195"/>
    <w:aliases w:val="Obyčajný text Char Char Char Char1196"/>
    <w:uiPriority w:val="99"/>
    <w:semiHidden/>
    <w:rPr>
      <w:rFonts w:ascii="Courier New" w:hAnsi="Courier New"/>
      <w:lang w:val="x-none" w:eastAsia="cs-CZ"/>
    </w:rPr>
  </w:style>
  <w:style w:type="character" w:customStyle="1" w:styleId="ObyajntextChar1194">
    <w:name w:val="Obyčajný text Char1194"/>
    <w:aliases w:val="Obyčajný text Char Char Char Char1195"/>
    <w:uiPriority w:val="99"/>
    <w:semiHidden/>
    <w:rPr>
      <w:rFonts w:ascii="Courier New" w:hAnsi="Courier New"/>
      <w:lang w:val="x-none" w:eastAsia="cs-CZ"/>
    </w:rPr>
  </w:style>
  <w:style w:type="character" w:customStyle="1" w:styleId="ObyajntextChar1193">
    <w:name w:val="Obyčajný text Char1193"/>
    <w:aliases w:val="Obyčajný text Char Char Char Char1194"/>
    <w:uiPriority w:val="99"/>
    <w:semiHidden/>
    <w:rPr>
      <w:rFonts w:ascii="Courier New" w:hAnsi="Courier New"/>
      <w:lang w:val="x-none" w:eastAsia="cs-CZ"/>
    </w:rPr>
  </w:style>
  <w:style w:type="character" w:customStyle="1" w:styleId="ObyajntextChar1192">
    <w:name w:val="Obyčajný text Char1192"/>
    <w:aliases w:val="Obyčajný text Char Char Char Char1193"/>
    <w:uiPriority w:val="99"/>
    <w:semiHidden/>
    <w:rPr>
      <w:rFonts w:ascii="Courier New" w:hAnsi="Courier New"/>
      <w:lang w:val="x-none" w:eastAsia="cs-CZ"/>
    </w:rPr>
  </w:style>
  <w:style w:type="character" w:customStyle="1" w:styleId="ObyajntextChar1191">
    <w:name w:val="Obyčajný text Char1191"/>
    <w:aliases w:val="Obyčajný text Char Char Char Char1192"/>
    <w:uiPriority w:val="99"/>
    <w:semiHidden/>
    <w:rPr>
      <w:rFonts w:ascii="Courier New" w:hAnsi="Courier New"/>
      <w:lang w:val="x-none" w:eastAsia="cs-CZ"/>
    </w:rPr>
  </w:style>
  <w:style w:type="character" w:customStyle="1" w:styleId="ObyajntextChar1190">
    <w:name w:val="Obyčajný text Char1190"/>
    <w:aliases w:val="Obyčajný text Char Char Char Char1191"/>
    <w:uiPriority w:val="99"/>
    <w:semiHidden/>
    <w:rPr>
      <w:rFonts w:ascii="Courier New" w:hAnsi="Courier New"/>
      <w:lang w:val="x-none" w:eastAsia="cs-CZ"/>
    </w:rPr>
  </w:style>
  <w:style w:type="character" w:customStyle="1" w:styleId="ObyajntextChar1189">
    <w:name w:val="Obyčajný text Char1189"/>
    <w:aliases w:val="Obyčajný text Char Char Char Char1190"/>
    <w:uiPriority w:val="99"/>
    <w:semiHidden/>
    <w:rPr>
      <w:rFonts w:ascii="Courier New" w:hAnsi="Courier New"/>
      <w:lang w:val="x-none" w:eastAsia="cs-CZ"/>
    </w:rPr>
  </w:style>
  <w:style w:type="character" w:customStyle="1" w:styleId="ObyajntextChar1188">
    <w:name w:val="Obyčajný text Char1188"/>
    <w:aliases w:val="Obyčajný text Char Char Char Char1189"/>
    <w:uiPriority w:val="99"/>
    <w:semiHidden/>
    <w:rPr>
      <w:rFonts w:ascii="Courier New" w:hAnsi="Courier New"/>
      <w:lang w:val="x-none" w:eastAsia="cs-CZ"/>
    </w:rPr>
  </w:style>
  <w:style w:type="character" w:customStyle="1" w:styleId="ObyajntextChar1187">
    <w:name w:val="Obyčajný text Char1187"/>
    <w:aliases w:val="Obyčajný text Char Char Char Char1188"/>
    <w:uiPriority w:val="99"/>
    <w:semiHidden/>
    <w:rPr>
      <w:rFonts w:ascii="Courier New" w:hAnsi="Courier New"/>
      <w:lang w:val="x-none" w:eastAsia="cs-CZ"/>
    </w:rPr>
  </w:style>
  <w:style w:type="character" w:customStyle="1" w:styleId="ObyajntextChar1186">
    <w:name w:val="Obyčajný text Char1186"/>
    <w:aliases w:val="Obyčajný text Char Char Char Char1187"/>
    <w:uiPriority w:val="99"/>
    <w:semiHidden/>
    <w:rPr>
      <w:rFonts w:ascii="Courier New" w:hAnsi="Courier New"/>
      <w:lang w:val="x-none" w:eastAsia="cs-CZ"/>
    </w:rPr>
  </w:style>
  <w:style w:type="character" w:customStyle="1" w:styleId="ObyajntextChar1185">
    <w:name w:val="Obyčajný text Char1185"/>
    <w:aliases w:val="Obyčajný text Char Char Char Char1186"/>
    <w:uiPriority w:val="99"/>
    <w:semiHidden/>
    <w:rPr>
      <w:rFonts w:ascii="Courier New" w:hAnsi="Courier New"/>
      <w:lang w:val="x-none" w:eastAsia="cs-CZ"/>
    </w:rPr>
  </w:style>
  <w:style w:type="character" w:customStyle="1" w:styleId="ObyajntextChar1184">
    <w:name w:val="Obyčajný text Char1184"/>
    <w:aliases w:val="Obyčajný text Char Char Char Char1185"/>
    <w:uiPriority w:val="99"/>
    <w:semiHidden/>
    <w:rPr>
      <w:rFonts w:ascii="Courier New" w:hAnsi="Courier New"/>
      <w:lang w:val="x-none" w:eastAsia="cs-CZ"/>
    </w:rPr>
  </w:style>
  <w:style w:type="character" w:customStyle="1" w:styleId="ObyajntextChar1183">
    <w:name w:val="Obyčajný text Char1183"/>
    <w:aliases w:val="Obyčajný text Char Char Char Char1184"/>
    <w:uiPriority w:val="99"/>
    <w:semiHidden/>
    <w:rPr>
      <w:rFonts w:ascii="Courier New" w:hAnsi="Courier New"/>
      <w:lang w:val="x-none" w:eastAsia="cs-CZ"/>
    </w:rPr>
  </w:style>
  <w:style w:type="character" w:customStyle="1" w:styleId="ObyajntextChar1182">
    <w:name w:val="Obyčajný text Char1182"/>
    <w:aliases w:val="Obyčajný text Char Char Char Char1183"/>
    <w:uiPriority w:val="99"/>
    <w:semiHidden/>
    <w:rPr>
      <w:rFonts w:ascii="Courier New" w:hAnsi="Courier New"/>
      <w:lang w:val="x-none" w:eastAsia="cs-CZ"/>
    </w:rPr>
  </w:style>
  <w:style w:type="character" w:customStyle="1" w:styleId="ObyajntextChar1181">
    <w:name w:val="Obyčajný text Char1181"/>
    <w:aliases w:val="Obyčajný text Char Char Char Char1182"/>
    <w:uiPriority w:val="99"/>
    <w:semiHidden/>
    <w:rPr>
      <w:rFonts w:ascii="Courier New" w:hAnsi="Courier New"/>
      <w:lang w:val="x-none" w:eastAsia="cs-CZ"/>
    </w:rPr>
  </w:style>
  <w:style w:type="character" w:customStyle="1" w:styleId="ObyajntextChar1180">
    <w:name w:val="Obyčajný text Char1180"/>
    <w:aliases w:val="Obyčajný text Char Char Char Char1181"/>
    <w:uiPriority w:val="99"/>
    <w:semiHidden/>
    <w:rPr>
      <w:rFonts w:ascii="Courier New" w:hAnsi="Courier New"/>
      <w:lang w:val="x-none" w:eastAsia="cs-CZ"/>
    </w:rPr>
  </w:style>
  <w:style w:type="character" w:customStyle="1" w:styleId="ObyajntextChar1179">
    <w:name w:val="Obyčajný text Char1179"/>
    <w:aliases w:val="Obyčajný text Char Char Char Char1180"/>
    <w:uiPriority w:val="99"/>
    <w:semiHidden/>
    <w:rPr>
      <w:rFonts w:ascii="Courier New" w:hAnsi="Courier New"/>
      <w:lang w:val="x-none" w:eastAsia="cs-CZ"/>
    </w:rPr>
  </w:style>
  <w:style w:type="character" w:customStyle="1" w:styleId="ObyajntextChar1178">
    <w:name w:val="Obyčajný text Char1178"/>
    <w:aliases w:val="Obyčajný text Char Char Char Char1179"/>
    <w:uiPriority w:val="99"/>
    <w:semiHidden/>
    <w:rPr>
      <w:rFonts w:ascii="Courier New" w:hAnsi="Courier New"/>
      <w:lang w:val="x-none" w:eastAsia="cs-CZ"/>
    </w:rPr>
  </w:style>
  <w:style w:type="character" w:customStyle="1" w:styleId="ObyajntextChar1177">
    <w:name w:val="Obyčajný text Char1177"/>
    <w:aliases w:val="Obyčajný text Char Char Char Char1178"/>
    <w:uiPriority w:val="99"/>
    <w:semiHidden/>
    <w:rPr>
      <w:rFonts w:ascii="Courier New" w:hAnsi="Courier New"/>
      <w:lang w:val="x-none" w:eastAsia="cs-CZ"/>
    </w:rPr>
  </w:style>
  <w:style w:type="character" w:customStyle="1" w:styleId="ObyajntextChar1176">
    <w:name w:val="Obyčajný text Char1176"/>
    <w:aliases w:val="Obyčajný text Char Char Char Char1177"/>
    <w:uiPriority w:val="99"/>
    <w:semiHidden/>
    <w:rPr>
      <w:rFonts w:ascii="Courier New" w:hAnsi="Courier New"/>
      <w:lang w:val="x-none" w:eastAsia="cs-CZ"/>
    </w:rPr>
  </w:style>
  <w:style w:type="character" w:customStyle="1" w:styleId="ObyajntextChar1175">
    <w:name w:val="Obyčajný text Char1175"/>
    <w:aliases w:val="Obyčajný text Char Char Char Char1176"/>
    <w:uiPriority w:val="99"/>
    <w:semiHidden/>
    <w:rPr>
      <w:rFonts w:ascii="Courier New" w:hAnsi="Courier New"/>
      <w:lang w:val="x-none" w:eastAsia="cs-CZ"/>
    </w:rPr>
  </w:style>
  <w:style w:type="character" w:customStyle="1" w:styleId="ObyajntextChar1174">
    <w:name w:val="Obyčajný text Char1174"/>
    <w:aliases w:val="Obyčajný text Char Char Char Char1175"/>
    <w:uiPriority w:val="99"/>
    <w:semiHidden/>
    <w:rPr>
      <w:rFonts w:ascii="Courier New" w:hAnsi="Courier New"/>
      <w:lang w:val="x-none" w:eastAsia="cs-CZ"/>
    </w:rPr>
  </w:style>
  <w:style w:type="character" w:customStyle="1" w:styleId="ObyajntextChar1173">
    <w:name w:val="Obyčajný text Char1173"/>
    <w:aliases w:val="Obyčajný text Char Char Char Char1174"/>
    <w:uiPriority w:val="99"/>
    <w:semiHidden/>
    <w:rPr>
      <w:rFonts w:ascii="Courier New" w:hAnsi="Courier New"/>
      <w:lang w:val="x-none" w:eastAsia="cs-CZ"/>
    </w:rPr>
  </w:style>
  <w:style w:type="character" w:customStyle="1" w:styleId="ObyajntextChar1172">
    <w:name w:val="Obyčajný text Char1172"/>
    <w:aliases w:val="Obyčajný text Char Char Char Char1173"/>
    <w:uiPriority w:val="99"/>
    <w:semiHidden/>
    <w:rPr>
      <w:rFonts w:ascii="Courier New" w:hAnsi="Courier New"/>
      <w:lang w:val="x-none" w:eastAsia="cs-CZ"/>
    </w:rPr>
  </w:style>
  <w:style w:type="character" w:customStyle="1" w:styleId="ObyajntextChar1171">
    <w:name w:val="Obyčajný text Char1171"/>
    <w:aliases w:val="Obyčajný text Char Char Char Char1172"/>
    <w:uiPriority w:val="99"/>
    <w:semiHidden/>
    <w:rPr>
      <w:rFonts w:ascii="Courier New" w:hAnsi="Courier New"/>
      <w:lang w:val="x-none" w:eastAsia="cs-CZ"/>
    </w:rPr>
  </w:style>
  <w:style w:type="character" w:customStyle="1" w:styleId="ObyajntextChar1165">
    <w:name w:val="Obyčajný text Char1165"/>
    <w:aliases w:val="Obyčajný text Char Char Char Char1166"/>
    <w:uiPriority w:val="99"/>
    <w:semiHidden/>
    <w:rPr>
      <w:rFonts w:ascii="Courier New" w:hAnsi="Courier New"/>
      <w:lang w:val="x-none" w:eastAsia="cs-CZ"/>
    </w:rPr>
  </w:style>
  <w:style w:type="character" w:customStyle="1" w:styleId="ObyajntextChar1164">
    <w:name w:val="Obyčajný text Char1164"/>
    <w:aliases w:val="Obyčajný text Char Char Char Char1165"/>
    <w:uiPriority w:val="99"/>
    <w:semiHidden/>
    <w:rPr>
      <w:rFonts w:ascii="Courier New" w:hAnsi="Courier New"/>
      <w:lang w:val="x-none" w:eastAsia="cs-CZ"/>
    </w:rPr>
  </w:style>
  <w:style w:type="character" w:customStyle="1" w:styleId="ObyajntextChar1163">
    <w:name w:val="Obyčajný text Char1163"/>
    <w:aliases w:val="Obyčajný text Char Char Char Char1164"/>
    <w:uiPriority w:val="99"/>
    <w:semiHidden/>
    <w:rPr>
      <w:rFonts w:ascii="Courier New" w:hAnsi="Courier New"/>
      <w:lang w:val="x-none" w:eastAsia="cs-CZ"/>
    </w:rPr>
  </w:style>
  <w:style w:type="character" w:customStyle="1" w:styleId="ObyajntextChar1162">
    <w:name w:val="Obyčajný text Char1162"/>
    <w:aliases w:val="Obyčajný text Char Char Char Char1163"/>
    <w:uiPriority w:val="99"/>
    <w:semiHidden/>
    <w:rPr>
      <w:rFonts w:ascii="Courier New" w:hAnsi="Courier New"/>
      <w:lang w:val="x-none" w:eastAsia="cs-CZ"/>
    </w:rPr>
  </w:style>
  <w:style w:type="character" w:customStyle="1" w:styleId="ObyajntextChar1161">
    <w:name w:val="Obyčajný text Char1161"/>
    <w:aliases w:val="Obyčajný text Char Char Char Char1162"/>
    <w:uiPriority w:val="99"/>
    <w:semiHidden/>
    <w:rPr>
      <w:rFonts w:ascii="Courier New" w:hAnsi="Courier New"/>
      <w:lang w:val="x-none" w:eastAsia="cs-CZ"/>
    </w:rPr>
  </w:style>
  <w:style w:type="character" w:customStyle="1" w:styleId="ObyajntextChar1160">
    <w:name w:val="Obyčajný text Char1160"/>
    <w:aliases w:val="Obyčajný text Char Char Char Char1161"/>
    <w:uiPriority w:val="99"/>
    <w:semiHidden/>
    <w:rPr>
      <w:rFonts w:ascii="Courier New" w:hAnsi="Courier New"/>
      <w:lang w:val="x-none" w:eastAsia="cs-CZ"/>
    </w:rPr>
  </w:style>
  <w:style w:type="character" w:customStyle="1" w:styleId="ObyajntextChar1159">
    <w:name w:val="Obyčajný text Char1159"/>
    <w:aliases w:val="Obyčajný text Char Char Char Char1160"/>
    <w:uiPriority w:val="99"/>
    <w:semiHidden/>
    <w:rPr>
      <w:rFonts w:ascii="Courier New" w:hAnsi="Courier New"/>
      <w:lang w:val="x-none" w:eastAsia="cs-CZ"/>
    </w:rPr>
  </w:style>
  <w:style w:type="character" w:customStyle="1" w:styleId="ObyajntextChar1158">
    <w:name w:val="Obyčajný text Char1158"/>
    <w:aliases w:val="Obyčajný text Char Char Char Char1159"/>
    <w:uiPriority w:val="99"/>
    <w:semiHidden/>
    <w:rPr>
      <w:rFonts w:ascii="Courier New" w:hAnsi="Courier New"/>
      <w:lang w:val="x-none" w:eastAsia="cs-CZ"/>
    </w:rPr>
  </w:style>
  <w:style w:type="character" w:customStyle="1" w:styleId="ObyajntextChar1157">
    <w:name w:val="Obyčajný text Char1157"/>
    <w:aliases w:val="Obyčajný text Char Char Char Char1158"/>
    <w:uiPriority w:val="99"/>
    <w:semiHidden/>
    <w:rPr>
      <w:rFonts w:ascii="Courier New" w:hAnsi="Courier New"/>
      <w:lang w:val="x-none" w:eastAsia="cs-CZ"/>
    </w:rPr>
  </w:style>
  <w:style w:type="character" w:customStyle="1" w:styleId="ObyajntextChar1156">
    <w:name w:val="Obyčajný text Char1156"/>
    <w:aliases w:val="Obyčajný text Char Char Char Char1157"/>
    <w:uiPriority w:val="99"/>
    <w:semiHidden/>
    <w:rPr>
      <w:rFonts w:ascii="Courier New" w:hAnsi="Courier New"/>
      <w:lang w:val="x-none" w:eastAsia="cs-CZ"/>
    </w:rPr>
  </w:style>
  <w:style w:type="character" w:customStyle="1" w:styleId="ObyajntextChar1155">
    <w:name w:val="Obyčajný text Char1155"/>
    <w:aliases w:val="Obyčajný text Char Char Char Char1156"/>
    <w:uiPriority w:val="99"/>
    <w:semiHidden/>
    <w:rPr>
      <w:rFonts w:ascii="Courier New" w:hAnsi="Courier New"/>
      <w:lang w:val="x-none" w:eastAsia="cs-CZ"/>
    </w:rPr>
  </w:style>
  <w:style w:type="character" w:customStyle="1" w:styleId="ObyajntextChar1154">
    <w:name w:val="Obyčajný text Char1154"/>
    <w:aliases w:val="Obyčajný text Char Char Char Char1155"/>
    <w:uiPriority w:val="99"/>
    <w:semiHidden/>
    <w:rPr>
      <w:rFonts w:ascii="Courier New" w:hAnsi="Courier New"/>
      <w:lang w:val="x-none" w:eastAsia="cs-CZ"/>
    </w:rPr>
  </w:style>
  <w:style w:type="character" w:customStyle="1" w:styleId="ObyajntextChar1153">
    <w:name w:val="Obyčajný text Char1153"/>
    <w:aliases w:val="Obyčajný text Char Char Char Char1154"/>
    <w:uiPriority w:val="99"/>
    <w:semiHidden/>
    <w:rPr>
      <w:rFonts w:ascii="Courier New" w:hAnsi="Courier New"/>
      <w:lang w:val="x-none" w:eastAsia="cs-CZ"/>
    </w:rPr>
  </w:style>
  <w:style w:type="character" w:customStyle="1" w:styleId="ObyajntextChar1152">
    <w:name w:val="Obyčajný text Char1152"/>
    <w:aliases w:val="Obyčajný text Char Char Char Char1153"/>
    <w:uiPriority w:val="99"/>
    <w:semiHidden/>
    <w:rPr>
      <w:rFonts w:ascii="Courier New" w:hAnsi="Courier New"/>
      <w:lang w:val="x-none" w:eastAsia="cs-CZ"/>
    </w:rPr>
  </w:style>
  <w:style w:type="character" w:customStyle="1" w:styleId="ObyajntextChar1151">
    <w:name w:val="Obyčajný text Char1151"/>
    <w:aliases w:val="Obyčajný text Char Char Char Char1152"/>
    <w:uiPriority w:val="99"/>
    <w:semiHidden/>
    <w:rPr>
      <w:rFonts w:ascii="Courier New" w:hAnsi="Courier New"/>
      <w:lang w:val="x-none" w:eastAsia="cs-CZ"/>
    </w:rPr>
  </w:style>
  <w:style w:type="character" w:customStyle="1" w:styleId="ObyajntextChar1150">
    <w:name w:val="Obyčajný text Char1150"/>
    <w:aliases w:val="Obyčajný text Char Char Char Char1151"/>
    <w:uiPriority w:val="99"/>
    <w:semiHidden/>
    <w:rPr>
      <w:rFonts w:ascii="Courier New" w:hAnsi="Courier New"/>
      <w:lang w:val="x-none" w:eastAsia="cs-CZ"/>
    </w:rPr>
  </w:style>
  <w:style w:type="character" w:customStyle="1" w:styleId="ObyajntextChar1149">
    <w:name w:val="Obyčajný text Char1149"/>
    <w:aliases w:val="Obyčajný text Char Char Char Char1150"/>
    <w:uiPriority w:val="99"/>
    <w:semiHidden/>
    <w:rPr>
      <w:rFonts w:ascii="Courier New" w:hAnsi="Courier New"/>
      <w:lang w:val="x-none" w:eastAsia="cs-CZ"/>
    </w:rPr>
  </w:style>
  <w:style w:type="character" w:customStyle="1" w:styleId="ObyajntextChar1148">
    <w:name w:val="Obyčajný text Char1148"/>
    <w:aliases w:val="Obyčajný text Char Char Char Char1149"/>
    <w:uiPriority w:val="99"/>
    <w:semiHidden/>
    <w:rPr>
      <w:rFonts w:ascii="Courier New" w:hAnsi="Courier New"/>
      <w:lang w:val="x-none" w:eastAsia="cs-CZ"/>
    </w:rPr>
  </w:style>
  <w:style w:type="character" w:customStyle="1" w:styleId="ObyajntextChar1147">
    <w:name w:val="Obyčajný text Char1147"/>
    <w:aliases w:val="Obyčajný text Char Char Char Char1148"/>
    <w:uiPriority w:val="99"/>
    <w:semiHidden/>
    <w:rPr>
      <w:rFonts w:ascii="Courier New" w:hAnsi="Courier New"/>
      <w:lang w:val="x-none" w:eastAsia="cs-CZ"/>
    </w:rPr>
  </w:style>
  <w:style w:type="character" w:customStyle="1" w:styleId="ObyajntextChar1146">
    <w:name w:val="Obyčajný text Char1146"/>
    <w:aliases w:val="Obyčajný text Char Char Char Char1147"/>
    <w:uiPriority w:val="99"/>
    <w:semiHidden/>
    <w:rPr>
      <w:rFonts w:ascii="Courier New" w:hAnsi="Courier New"/>
      <w:lang w:val="x-none" w:eastAsia="cs-CZ"/>
    </w:rPr>
  </w:style>
  <w:style w:type="character" w:customStyle="1" w:styleId="ObyajntextChar1145">
    <w:name w:val="Obyčajný text Char1145"/>
    <w:aliases w:val="Obyčajný text Char Char Char Char1146"/>
    <w:uiPriority w:val="99"/>
    <w:semiHidden/>
    <w:rPr>
      <w:rFonts w:ascii="Courier New" w:hAnsi="Courier New"/>
      <w:lang w:val="x-none" w:eastAsia="cs-CZ"/>
    </w:rPr>
  </w:style>
  <w:style w:type="character" w:customStyle="1" w:styleId="ObyajntextChar1144">
    <w:name w:val="Obyčajný text Char1144"/>
    <w:aliases w:val="Obyčajný text Char Char Char Char1145"/>
    <w:uiPriority w:val="99"/>
    <w:semiHidden/>
    <w:rPr>
      <w:rFonts w:ascii="Courier New" w:hAnsi="Courier New"/>
      <w:lang w:val="x-none" w:eastAsia="cs-CZ"/>
    </w:rPr>
  </w:style>
  <w:style w:type="character" w:customStyle="1" w:styleId="ObyajntextChar1143">
    <w:name w:val="Obyčajný text Char1143"/>
    <w:aliases w:val="Obyčajný text Char Char Char Char1144"/>
    <w:uiPriority w:val="99"/>
    <w:semiHidden/>
    <w:rPr>
      <w:rFonts w:ascii="Courier New" w:hAnsi="Courier New"/>
      <w:lang w:val="x-none" w:eastAsia="cs-CZ"/>
    </w:rPr>
  </w:style>
  <w:style w:type="character" w:customStyle="1" w:styleId="ObyajntextChar1142">
    <w:name w:val="Obyčajný text Char1142"/>
    <w:aliases w:val="Obyčajný text Char Char Char Char1143"/>
    <w:uiPriority w:val="99"/>
    <w:semiHidden/>
    <w:rPr>
      <w:rFonts w:ascii="Courier New" w:hAnsi="Courier New"/>
      <w:lang w:val="x-none" w:eastAsia="cs-CZ"/>
    </w:rPr>
  </w:style>
  <w:style w:type="character" w:customStyle="1" w:styleId="ObyajntextChar1141">
    <w:name w:val="Obyčajný text Char1141"/>
    <w:aliases w:val="Obyčajný text Char Char Char Char1142"/>
    <w:uiPriority w:val="99"/>
    <w:semiHidden/>
    <w:rPr>
      <w:rFonts w:ascii="Courier New" w:hAnsi="Courier New"/>
      <w:lang w:val="x-none" w:eastAsia="cs-CZ"/>
    </w:rPr>
  </w:style>
  <w:style w:type="character" w:customStyle="1" w:styleId="ObyajntextChar1140">
    <w:name w:val="Obyčajný text Char1140"/>
    <w:aliases w:val="Obyčajný text Char Char Char Char1141"/>
    <w:uiPriority w:val="99"/>
    <w:semiHidden/>
    <w:rPr>
      <w:rFonts w:ascii="Courier New" w:hAnsi="Courier New"/>
      <w:lang w:val="x-none" w:eastAsia="cs-CZ"/>
    </w:rPr>
  </w:style>
  <w:style w:type="character" w:customStyle="1" w:styleId="ObyajntextChar1139">
    <w:name w:val="Obyčajný text Char1139"/>
    <w:aliases w:val="Obyčajný text Char Char Char Char1140"/>
    <w:uiPriority w:val="99"/>
    <w:semiHidden/>
    <w:rPr>
      <w:rFonts w:ascii="Courier New" w:hAnsi="Courier New"/>
      <w:lang w:val="x-none" w:eastAsia="cs-CZ"/>
    </w:rPr>
  </w:style>
  <w:style w:type="character" w:customStyle="1" w:styleId="ObyajntextChar1138">
    <w:name w:val="Obyčajný text Char1138"/>
    <w:aliases w:val="Obyčajný text Char Char Char Char1139"/>
    <w:uiPriority w:val="99"/>
    <w:semiHidden/>
    <w:rPr>
      <w:rFonts w:ascii="Courier New" w:hAnsi="Courier New"/>
      <w:lang w:val="x-none" w:eastAsia="cs-CZ"/>
    </w:rPr>
  </w:style>
  <w:style w:type="character" w:customStyle="1" w:styleId="ObyajntextChar1137">
    <w:name w:val="Obyčajný text Char1137"/>
    <w:aliases w:val="Obyčajný text Char Char Char Char1138"/>
    <w:uiPriority w:val="99"/>
    <w:semiHidden/>
    <w:rPr>
      <w:rFonts w:ascii="Courier New" w:hAnsi="Courier New"/>
      <w:lang w:val="x-none" w:eastAsia="cs-CZ"/>
    </w:rPr>
  </w:style>
  <w:style w:type="character" w:customStyle="1" w:styleId="ObyajntextChar1136">
    <w:name w:val="Obyčajný text Char1136"/>
    <w:aliases w:val="Obyčajný text Char Char Char Char1137"/>
    <w:uiPriority w:val="99"/>
    <w:semiHidden/>
    <w:rPr>
      <w:rFonts w:ascii="Courier New" w:hAnsi="Courier New"/>
      <w:lang w:val="x-none" w:eastAsia="cs-CZ"/>
    </w:rPr>
  </w:style>
  <w:style w:type="character" w:customStyle="1" w:styleId="ObyajntextChar1135">
    <w:name w:val="Obyčajný text Char1135"/>
    <w:aliases w:val="Obyčajný text Char Char Char Char1136"/>
    <w:uiPriority w:val="99"/>
    <w:semiHidden/>
    <w:rPr>
      <w:rFonts w:ascii="Courier New" w:hAnsi="Courier New"/>
      <w:lang w:val="x-none" w:eastAsia="cs-CZ"/>
    </w:rPr>
  </w:style>
  <w:style w:type="character" w:customStyle="1" w:styleId="ObyajntextChar1134">
    <w:name w:val="Obyčajný text Char1134"/>
    <w:aliases w:val="Obyčajný text Char Char Char Char1135"/>
    <w:uiPriority w:val="99"/>
    <w:semiHidden/>
    <w:rPr>
      <w:rFonts w:ascii="Courier New" w:hAnsi="Courier New"/>
      <w:lang w:val="x-none" w:eastAsia="cs-CZ"/>
    </w:rPr>
  </w:style>
  <w:style w:type="character" w:customStyle="1" w:styleId="ObyajntextChar1133">
    <w:name w:val="Obyčajný text Char1133"/>
    <w:aliases w:val="Obyčajný text Char Char Char Char1134"/>
    <w:uiPriority w:val="99"/>
    <w:semiHidden/>
    <w:rPr>
      <w:rFonts w:ascii="Courier New" w:hAnsi="Courier New"/>
      <w:lang w:val="x-none" w:eastAsia="cs-CZ"/>
    </w:rPr>
  </w:style>
  <w:style w:type="character" w:customStyle="1" w:styleId="ObyajntextChar1132">
    <w:name w:val="Obyčajný text Char1132"/>
    <w:aliases w:val="Obyčajný text Char Char Char Char1133"/>
    <w:uiPriority w:val="99"/>
    <w:semiHidden/>
    <w:rPr>
      <w:rFonts w:ascii="Courier New" w:hAnsi="Courier New"/>
      <w:lang w:val="x-none" w:eastAsia="cs-CZ"/>
    </w:rPr>
  </w:style>
  <w:style w:type="character" w:customStyle="1" w:styleId="ObyajntextChar1131">
    <w:name w:val="Obyčajný text Char1131"/>
    <w:aliases w:val="Obyčajný text Char Char Char Char1132"/>
    <w:uiPriority w:val="99"/>
    <w:semiHidden/>
    <w:rPr>
      <w:rFonts w:ascii="Courier New" w:hAnsi="Courier New"/>
      <w:lang w:val="x-none" w:eastAsia="cs-CZ"/>
    </w:rPr>
  </w:style>
  <w:style w:type="character" w:customStyle="1" w:styleId="ObyajntextChar1130">
    <w:name w:val="Obyčajný text Char1130"/>
    <w:aliases w:val="Obyčajný text Char Char Char Char1131"/>
    <w:uiPriority w:val="99"/>
    <w:semiHidden/>
    <w:rPr>
      <w:rFonts w:ascii="Courier New" w:hAnsi="Courier New"/>
      <w:lang w:val="x-none" w:eastAsia="cs-CZ"/>
    </w:rPr>
  </w:style>
  <w:style w:type="character" w:customStyle="1" w:styleId="ObyajntextChar1129">
    <w:name w:val="Obyčajný text Char1129"/>
    <w:aliases w:val="Obyčajný text Char Char Char Char1130"/>
    <w:uiPriority w:val="99"/>
    <w:semiHidden/>
    <w:rPr>
      <w:rFonts w:ascii="Courier New" w:hAnsi="Courier New"/>
      <w:lang w:val="x-none" w:eastAsia="cs-CZ"/>
    </w:rPr>
  </w:style>
  <w:style w:type="character" w:customStyle="1" w:styleId="ObyajntextChar1128">
    <w:name w:val="Obyčajný text Char1128"/>
    <w:aliases w:val="Obyčajný text Char Char Char Char1129"/>
    <w:uiPriority w:val="99"/>
    <w:semiHidden/>
    <w:rPr>
      <w:rFonts w:ascii="Courier New" w:hAnsi="Courier New"/>
      <w:lang w:val="x-none" w:eastAsia="cs-CZ"/>
    </w:rPr>
  </w:style>
  <w:style w:type="character" w:customStyle="1" w:styleId="ObyajntextChar1127">
    <w:name w:val="Obyčajný text Char1127"/>
    <w:aliases w:val="Obyčajný text Char Char Char Char1128"/>
    <w:uiPriority w:val="99"/>
    <w:semiHidden/>
    <w:rPr>
      <w:rFonts w:ascii="Courier New" w:hAnsi="Courier New"/>
      <w:lang w:val="x-none" w:eastAsia="cs-CZ"/>
    </w:rPr>
  </w:style>
  <w:style w:type="character" w:customStyle="1" w:styleId="ObyajntextChar1126">
    <w:name w:val="Obyčajný text Char1126"/>
    <w:aliases w:val="Obyčajný text Char Char Char Char1127"/>
    <w:uiPriority w:val="99"/>
    <w:semiHidden/>
    <w:rPr>
      <w:rFonts w:ascii="Courier New" w:hAnsi="Courier New"/>
      <w:lang w:val="x-none" w:eastAsia="cs-CZ"/>
    </w:rPr>
  </w:style>
  <w:style w:type="character" w:customStyle="1" w:styleId="ObyajntextChar1125">
    <w:name w:val="Obyčajný text Char1125"/>
    <w:aliases w:val="Obyčajný text Char Char Char Char1126"/>
    <w:uiPriority w:val="99"/>
    <w:semiHidden/>
    <w:rPr>
      <w:rFonts w:ascii="Courier New" w:hAnsi="Courier New"/>
      <w:lang w:val="x-none" w:eastAsia="cs-CZ"/>
    </w:rPr>
  </w:style>
  <w:style w:type="character" w:customStyle="1" w:styleId="ObyajntextChar1124">
    <w:name w:val="Obyčajný text Char1124"/>
    <w:aliases w:val="Obyčajný text Char Char Char Char1125"/>
    <w:uiPriority w:val="99"/>
    <w:semiHidden/>
    <w:rPr>
      <w:rFonts w:ascii="Courier New" w:hAnsi="Courier New"/>
      <w:lang w:val="x-none" w:eastAsia="cs-CZ"/>
    </w:rPr>
  </w:style>
  <w:style w:type="character" w:customStyle="1" w:styleId="ObyajntextChar1123">
    <w:name w:val="Obyčajný text Char1123"/>
    <w:aliases w:val="Obyčajný text Char Char Char Char1124"/>
    <w:uiPriority w:val="99"/>
    <w:semiHidden/>
    <w:rPr>
      <w:rFonts w:ascii="Courier New" w:hAnsi="Courier New"/>
      <w:lang w:val="x-none" w:eastAsia="cs-CZ"/>
    </w:rPr>
  </w:style>
  <w:style w:type="character" w:customStyle="1" w:styleId="ObyajntextChar1122">
    <w:name w:val="Obyčajný text Char1122"/>
    <w:aliases w:val="Obyčajný text Char Char Char Char1123"/>
    <w:uiPriority w:val="99"/>
    <w:semiHidden/>
    <w:rPr>
      <w:rFonts w:ascii="Courier New" w:hAnsi="Courier New"/>
      <w:lang w:val="x-none" w:eastAsia="cs-CZ"/>
    </w:rPr>
  </w:style>
  <w:style w:type="character" w:customStyle="1" w:styleId="ObyajntextChar1121">
    <w:name w:val="Obyčajný text Char1121"/>
    <w:aliases w:val="Obyčajný text Char Char Char Char1122"/>
    <w:uiPriority w:val="99"/>
    <w:semiHidden/>
    <w:rPr>
      <w:rFonts w:ascii="Courier New" w:hAnsi="Courier New"/>
      <w:lang w:val="x-none" w:eastAsia="cs-CZ"/>
    </w:rPr>
  </w:style>
  <w:style w:type="character" w:customStyle="1" w:styleId="ObyajntextChar1120">
    <w:name w:val="Obyčajný text Char1120"/>
    <w:aliases w:val="Obyčajný text Char Char Char Char1121"/>
    <w:uiPriority w:val="99"/>
    <w:semiHidden/>
    <w:rPr>
      <w:rFonts w:ascii="Courier New" w:hAnsi="Courier New"/>
      <w:lang w:val="x-none" w:eastAsia="cs-CZ"/>
    </w:rPr>
  </w:style>
  <w:style w:type="character" w:customStyle="1" w:styleId="ObyajntextChar1119">
    <w:name w:val="Obyčajný text Char1119"/>
    <w:aliases w:val="Obyčajný text Char Char Char Char1120"/>
    <w:uiPriority w:val="99"/>
    <w:semiHidden/>
    <w:rPr>
      <w:rFonts w:ascii="Courier New" w:hAnsi="Courier New"/>
      <w:lang w:val="x-none" w:eastAsia="cs-CZ"/>
    </w:rPr>
  </w:style>
  <w:style w:type="character" w:customStyle="1" w:styleId="ObyajntextChar1118">
    <w:name w:val="Obyčajný text Char1118"/>
    <w:aliases w:val="Obyčajný text Char Char Char Char1119"/>
    <w:uiPriority w:val="99"/>
    <w:semiHidden/>
    <w:rPr>
      <w:rFonts w:ascii="Courier New" w:hAnsi="Courier New"/>
      <w:lang w:val="x-none" w:eastAsia="cs-CZ"/>
    </w:rPr>
  </w:style>
  <w:style w:type="character" w:customStyle="1" w:styleId="ObyajntextChar1117">
    <w:name w:val="Obyčajný text Char1117"/>
    <w:aliases w:val="Obyčajný text Char Char Char Char1118"/>
    <w:uiPriority w:val="99"/>
    <w:semiHidden/>
    <w:rPr>
      <w:rFonts w:ascii="Courier New" w:hAnsi="Courier New"/>
      <w:lang w:val="x-none" w:eastAsia="cs-CZ"/>
    </w:rPr>
  </w:style>
  <w:style w:type="character" w:customStyle="1" w:styleId="ObyajntextChar1116">
    <w:name w:val="Obyčajný text Char1116"/>
    <w:aliases w:val="Obyčajný text Char Char Char Char1117"/>
    <w:uiPriority w:val="99"/>
    <w:semiHidden/>
    <w:rPr>
      <w:rFonts w:ascii="Courier New" w:hAnsi="Courier New"/>
      <w:lang w:val="x-none" w:eastAsia="cs-CZ"/>
    </w:rPr>
  </w:style>
  <w:style w:type="character" w:customStyle="1" w:styleId="ObyajntextChar1115">
    <w:name w:val="Obyčajný text Char1115"/>
    <w:aliases w:val="Obyčajný text Char Char Char Char1116"/>
    <w:uiPriority w:val="99"/>
    <w:semiHidden/>
    <w:rPr>
      <w:rFonts w:ascii="Courier New" w:hAnsi="Courier New"/>
      <w:lang w:val="x-none" w:eastAsia="cs-CZ"/>
    </w:rPr>
  </w:style>
  <w:style w:type="character" w:customStyle="1" w:styleId="ObyajntextChar1114">
    <w:name w:val="Obyčajný text Char1114"/>
    <w:aliases w:val="Obyčajný text Char Char Char Char1115"/>
    <w:uiPriority w:val="99"/>
    <w:semiHidden/>
    <w:rPr>
      <w:rFonts w:ascii="Courier New" w:hAnsi="Courier New"/>
      <w:lang w:val="x-none" w:eastAsia="cs-CZ"/>
    </w:rPr>
  </w:style>
  <w:style w:type="character" w:customStyle="1" w:styleId="ObyajntextChar1113">
    <w:name w:val="Obyčajný text Char1113"/>
    <w:aliases w:val="Obyčajný text Char Char Char Char1114"/>
    <w:uiPriority w:val="99"/>
    <w:semiHidden/>
    <w:rPr>
      <w:rFonts w:ascii="Courier New" w:hAnsi="Courier New"/>
      <w:lang w:val="x-none" w:eastAsia="cs-CZ"/>
    </w:rPr>
  </w:style>
  <w:style w:type="character" w:customStyle="1" w:styleId="ObyajntextChar1112">
    <w:name w:val="Obyčajný text Char1112"/>
    <w:aliases w:val="Obyčajný text Char Char Char Char1113"/>
    <w:uiPriority w:val="99"/>
    <w:semiHidden/>
    <w:rPr>
      <w:rFonts w:ascii="Courier New" w:hAnsi="Courier New"/>
      <w:lang w:val="x-none" w:eastAsia="cs-CZ"/>
    </w:rPr>
  </w:style>
  <w:style w:type="character" w:customStyle="1" w:styleId="ObyajntextChar1111">
    <w:name w:val="Obyčajný text Char1111"/>
    <w:aliases w:val="Obyčajný text Char Char Char Char1112"/>
    <w:uiPriority w:val="99"/>
    <w:semiHidden/>
    <w:rPr>
      <w:rFonts w:ascii="Courier New" w:hAnsi="Courier New"/>
      <w:lang w:val="x-none" w:eastAsia="cs-CZ"/>
    </w:rPr>
  </w:style>
  <w:style w:type="character" w:customStyle="1" w:styleId="ObyajntextChar1110">
    <w:name w:val="Obyčajný text Char1110"/>
    <w:aliases w:val="Obyčajný text Char Char Char Char1111"/>
    <w:uiPriority w:val="99"/>
    <w:semiHidden/>
    <w:rPr>
      <w:rFonts w:ascii="Courier New" w:hAnsi="Courier New"/>
      <w:lang w:val="x-none" w:eastAsia="cs-CZ"/>
    </w:rPr>
  </w:style>
  <w:style w:type="character" w:customStyle="1" w:styleId="ObyajntextChar1109">
    <w:name w:val="Obyčajný text Char1109"/>
    <w:aliases w:val="Obyčajný text Char Char Char Char1110"/>
    <w:uiPriority w:val="99"/>
    <w:semiHidden/>
    <w:rPr>
      <w:rFonts w:ascii="Courier New" w:hAnsi="Courier New"/>
      <w:lang w:val="x-none" w:eastAsia="cs-CZ"/>
    </w:rPr>
  </w:style>
  <w:style w:type="character" w:customStyle="1" w:styleId="ObyajntextChar1108">
    <w:name w:val="Obyčajný text Char1108"/>
    <w:aliases w:val="Obyčajný text Char Char Char Char1109"/>
    <w:uiPriority w:val="99"/>
    <w:semiHidden/>
    <w:rPr>
      <w:rFonts w:ascii="Courier New" w:hAnsi="Courier New"/>
      <w:lang w:val="x-none" w:eastAsia="cs-CZ"/>
    </w:rPr>
  </w:style>
  <w:style w:type="character" w:customStyle="1" w:styleId="ObyajntextChar1107">
    <w:name w:val="Obyčajný text Char1107"/>
    <w:aliases w:val="Obyčajný text Char Char Char Char1108"/>
    <w:uiPriority w:val="99"/>
    <w:semiHidden/>
    <w:rPr>
      <w:rFonts w:ascii="Courier New" w:hAnsi="Courier New"/>
      <w:lang w:val="x-none" w:eastAsia="cs-CZ"/>
    </w:rPr>
  </w:style>
  <w:style w:type="character" w:customStyle="1" w:styleId="ObyajntextChar1106">
    <w:name w:val="Obyčajný text Char1106"/>
    <w:aliases w:val="Obyčajný text Char Char Char Char1107"/>
    <w:uiPriority w:val="99"/>
    <w:semiHidden/>
    <w:rPr>
      <w:rFonts w:ascii="Courier New" w:hAnsi="Courier New"/>
      <w:lang w:val="x-none" w:eastAsia="cs-CZ"/>
    </w:rPr>
  </w:style>
  <w:style w:type="character" w:customStyle="1" w:styleId="ObyajntextChar1105">
    <w:name w:val="Obyčajný text Char1105"/>
    <w:aliases w:val="Obyčajný text Char Char Char Char1106"/>
    <w:uiPriority w:val="99"/>
    <w:semiHidden/>
    <w:rPr>
      <w:rFonts w:ascii="Courier New" w:hAnsi="Courier New"/>
      <w:lang w:val="x-none" w:eastAsia="cs-CZ"/>
    </w:rPr>
  </w:style>
  <w:style w:type="character" w:customStyle="1" w:styleId="ObyajntextChar1104">
    <w:name w:val="Obyčajný text Char1104"/>
    <w:aliases w:val="Obyčajný text Char Char Char Char1105"/>
    <w:uiPriority w:val="99"/>
    <w:semiHidden/>
    <w:rPr>
      <w:rFonts w:ascii="Courier New" w:hAnsi="Courier New"/>
      <w:lang w:val="x-none" w:eastAsia="cs-CZ"/>
    </w:rPr>
  </w:style>
  <w:style w:type="character" w:customStyle="1" w:styleId="ObyajntextChar1103">
    <w:name w:val="Obyčajný text Char1103"/>
    <w:aliases w:val="Obyčajný text Char Char Char Char1104"/>
    <w:uiPriority w:val="99"/>
    <w:semiHidden/>
    <w:rPr>
      <w:rFonts w:ascii="Courier New" w:hAnsi="Courier New"/>
      <w:lang w:val="x-none" w:eastAsia="cs-CZ"/>
    </w:rPr>
  </w:style>
  <w:style w:type="character" w:customStyle="1" w:styleId="ObyajntextChar1102">
    <w:name w:val="Obyčajný text Char1102"/>
    <w:aliases w:val="Obyčajný text Char Char Char Char1103"/>
    <w:uiPriority w:val="99"/>
    <w:semiHidden/>
    <w:rPr>
      <w:rFonts w:ascii="Courier New" w:hAnsi="Courier New"/>
      <w:lang w:val="x-none" w:eastAsia="cs-CZ"/>
    </w:rPr>
  </w:style>
  <w:style w:type="character" w:customStyle="1" w:styleId="ObyajntextChar1101">
    <w:name w:val="Obyčajný text Char1101"/>
    <w:aliases w:val="Obyčajný text Char Char Char Char1102"/>
    <w:uiPriority w:val="99"/>
    <w:semiHidden/>
    <w:rPr>
      <w:rFonts w:ascii="Courier New" w:hAnsi="Courier New"/>
      <w:lang w:val="x-none" w:eastAsia="cs-CZ"/>
    </w:rPr>
  </w:style>
  <w:style w:type="character" w:customStyle="1" w:styleId="ObyajntextChar1100">
    <w:name w:val="Obyčajný text Char1100"/>
    <w:aliases w:val="Obyčajný text Char Char Char Char1101"/>
    <w:uiPriority w:val="99"/>
    <w:semiHidden/>
    <w:rPr>
      <w:rFonts w:ascii="Courier New" w:hAnsi="Courier New"/>
      <w:lang w:val="x-none" w:eastAsia="cs-CZ"/>
    </w:rPr>
  </w:style>
  <w:style w:type="character" w:customStyle="1" w:styleId="ObyajntextChar199">
    <w:name w:val="Obyčajný text Char199"/>
    <w:aliases w:val="Obyčajný text Char Char Char Char1100"/>
    <w:uiPriority w:val="99"/>
    <w:semiHidden/>
    <w:rPr>
      <w:rFonts w:ascii="Courier New" w:hAnsi="Courier New"/>
      <w:lang w:val="x-none" w:eastAsia="cs-CZ"/>
    </w:rPr>
  </w:style>
  <w:style w:type="character" w:customStyle="1" w:styleId="ObyajntextChar198">
    <w:name w:val="Obyčajný text Char198"/>
    <w:aliases w:val="Obyčajný text Char Char Char Char199"/>
    <w:uiPriority w:val="99"/>
    <w:semiHidden/>
    <w:rPr>
      <w:rFonts w:ascii="Courier New" w:hAnsi="Courier New"/>
      <w:lang w:val="x-none" w:eastAsia="cs-CZ"/>
    </w:rPr>
  </w:style>
  <w:style w:type="character" w:customStyle="1" w:styleId="ObyajntextChar197">
    <w:name w:val="Obyčajný text Char197"/>
    <w:aliases w:val="Obyčajný text Char Char Char Char198"/>
    <w:uiPriority w:val="99"/>
    <w:semiHidden/>
    <w:rPr>
      <w:rFonts w:ascii="Courier New" w:hAnsi="Courier New"/>
      <w:lang w:val="x-none" w:eastAsia="cs-CZ"/>
    </w:rPr>
  </w:style>
  <w:style w:type="character" w:customStyle="1" w:styleId="ObyajntextChar196">
    <w:name w:val="Obyčajný text Char196"/>
    <w:aliases w:val="Obyčajný text Char Char Char Char197"/>
    <w:uiPriority w:val="99"/>
    <w:semiHidden/>
    <w:rPr>
      <w:rFonts w:ascii="Courier New" w:hAnsi="Courier New"/>
      <w:lang w:val="x-none" w:eastAsia="cs-CZ"/>
    </w:rPr>
  </w:style>
  <w:style w:type="character" w:customStyle="1" w:styleId="ObyajntextChar195">
    <w:name w:val="Obyčajný text Char195"/>
    <w:aliases w:val="Obyčajný text Char Char Char Char196"/>
    <w:uiPriority w:val="99"/>
    <w:semiHidden/>
    <w:rPr>
      <w:rFonts w:ascii="Courier New" w:hAnsi="Courier New"/>
      <w:lang w:val="x-none" w:eastAsia="cs-CZ"/>
    </w:rPr>
  </w:style>
  <w:style w:type="character" w:customStyle="1" w:styleId="ObyajntextChar194">
    <w:name w:val="Obyčajný text Char194"/>
    <w:aliases w:val="Obyčajný text Char Char Char Char195"/>
    <w:uiPriority w:val="99"/>
    <w:semiHidden/>
    <w:rPr>
      <w:rFonts w:ascii="Courier New" w:hAnsi="Courier New"/>
      <w:lang w:val="x-none" w:eastAsia="cs-CZ"/>
    </w:rPr>
  </w:style>
  <w:style w:type="character" w:customStyle="1" w:styleId="ObyajntextChar193">
    <w:name w:val="Obyčajný text Char193"/>
    <w:aliases w:val="Obyčajný text Char Char Char Char194"/>
    <w:uiPriority w:val="99"/>
    <w:semiHidden/>
    <w:rPr>
      <w:rFonts w:ascii="Courier New" w:hAnsi="Courier New"/>
      <w:lang w:val="x-none" w:eastAsia="cs-CZ"/>
    </w:rPr>
  </w:style>
  <w:style w:type="character" w:customStyle="1" w:styleId="ObyajntextChar192">
    <w:name w:val="Obyčajný text Char192"/>
    <w:aliases w:val="Obyčajný text Char Char Char Char193"/>
    <w:uiPriority w:val="99"/>
    <w:semiHidden/>
    <w:rPr>
      <w:rFonts w:ascii="Courier New" w:hAnsi="Courier New"/>
      <w:lang w:val="x-none" w:eastAsia="cs-CZ"/>
    </w:rPr>
  </w:style>
  <w:style w:type="character" w:customStyle="1" w:styleId="ObyajntextChar191">
    <w:name w:val="Obyčajný text Char191"/>
    <w:aliases w:val="Obyčajný text Char Char Char Char192"/>
    <w:uiPriority w:val="99"/>
    <w:semiHidden/>
    <w:rPr>
      <w:rFonts w:ascii="Courier New" w:hAnsi="Courier New"/>
      <w:lang w:val="x-none" w:eastAsia="cs-CZ"/>
    </w:rPr>
  </w:style>
  <w:style w:type="character" w:customStyle="1" w:styleId="ObyajntextChar190">
    <w:name w:val="Obyčajný text Char190"/>
    <w:aliases w:val="Obyčajný text Char Char Char Char191"/>
    <w:uiPriority w:val="99"/>
    <w:semiHidden/>
    <w:rPr>
      <w:rFonts w:ascii="Courier New" w:hAnsi="Courier New"/>
      <w:lang w:val="x-none" w:eastAsia="cs-CZ"/>
    </w:rPr>
  </w:style>
  <w:style w:type="character" w:customStyle="1" w:styleId="ObyajntextChar189">
    <w:name w:val="Obyčajný text Char189"/>
    <w:aliases w:val="Obyčajný text Char Char Char Char190"/>
    <w:uiPriority w:val="99"/>
    <w:semiHidden/>
    <w:rPr>
      <w:rFonts w:ascii="Courier New" w:hAnsi="Courier New"/>
      <w:lang w:val="x-none" w:eastAsia="cs-CZ"/>
    </w:rPr>
  </w:style>
  <w:style w:type="character" w:customStyle="1" w:styleId="ObyajntextChar188">
    <w:name w:val="Obyčajný text Char188"/>
    <w:aliases w:val="Obyčajný text Char Char Char Char189"/>
    <w:uiPriority w:val="99"/>
    <w:semiHidden/>
    <w:rPr>
      <w:rFonts w:ascii="Courier New" w:hAnsi="Courier New"/>
      <w:lang w:val="x-none" w:eastAsia="cs-CZ"/>
    </w:rPr>
  </w:style>
  <w:style w:type="character" w:customStyle="1" w:styleId="ObyajntextChar187">
    <w:name w:val="Obyčajný text Char187"/>
    <w:aliases w:val="Obyčajný text Char Char Char Char188"/>
    <w:uiPriority w:val="99"/>
    <w:semiHidden/>
    <w:rPr>
      <w:rFonts w:ascii="Courier New" w:hAnsi="Courier New"/>
      <w:lang w:val="x-none" w:eastAsia="cs-CZ"/>
    </w:rPr>
  </w:style>
  <w:style w:type="character" w:customStyle="1" w:styleId="ObyajntextChar186">
    <w:name w:val="Obyčajný text Char186"/>
    <w:aliases w:val="Obyčajný text Char Char Char Char187"/>
    <w:uiPriority w:val="99"/>
    <w:semiHidden/>
    <w:rPr>
      <w:rFonts w:ascii="Courier New" w:hAnsi="Courier New"/>
      <w:lang w:val="x-none" w:eastAsia="cs-CZ"/>
    </w:rPr>
  </w:style>
  <w:style w:type="character" w:customStyle="1" w:styleId="ObyajntextChar185">
    <w:name w:val="Obyčajný text Char185"/>
    <w:aliases w:val="Obyčajný text Char Char Char Char186"/>
    <w:uiPriority w:val="99"/>
    <w:semiHidden/>
    <w:rPr>
      <w:rFonts w:ascii="Courier New" w:hAnsi="Courier New"/>
      <w:lang w:val="x-none" w:eastAsia="cs-CZ"/>
    </w:rPr>
  </w:style>
  <w:style w:type="character" w:customStyle="1" w:styleId="ObyajntextChar184">
    <w:name w:val="Obyčajný text Char184"/>
    <w:aliases w:val="Obyčajný text Char Char Char Char185"/>
    <w:uiPriority w:val="99"/>
    <w:semiHidden/>
    <w:rPr>
      <w:rFonts w:ascii="Courier New" w:hAnsi="Courier New"/>
      <w:lang w:val="x-none" w:eastAsia="cs-CZ"/>
    </w:rPr>
  </w:style>
  <w:style w:type="character" w:customStyle="1" w:styleId="ObyajntextChar183">
    <w:name w:val="Obyčajný text Char183"/>
    <w:aliases w:val="Obyčajný text Char Char Char Char184"/>
    <w:uiPriority w:val="99"/>
    <w:semiHidden/>
    <w:rPr>
      <w:rFonts w:ascii="Courier New" w:hAnsi="Courier New"/>
      <w:lang w:val="x-none" w:eastAsia="cs-CZ"/>
    </w:rPr>
  </w:style>
  <w:style w:type="character" w:customStyle="1" w:styleId="ObyajntextChar182">
    <w:name w:val="Obyčajný text Char182"/>
    <w:aliases w:val="Obyčajný text Char Char Char Char183"/>
    <w:uiPriority w:val="99"/>
    <w:semiHidden/>
    <w:rPr>
      <w:rFonts w:ascii="Courier New" w:hAnsi="Courier New"/>
      <w:lang w:val="x-none" w:eastAsia="cs-CZ"/>
    </w:rPr>
  </w:style>
  <w:style w:type="character" w:customStyle="1" w:styleId="ObyajntextChar181">
    <w:name w:val="Obyčajný text Char181"/>
    <w:aliases w:val="Obyčajný text Char Char Char Char182"/>
    <w:uiPriority w:val="99"/>
    <w:semiHidden/>
    <w:rPr>
      <w:rFonts w:ascii="Courier New" w:hAnsi="Courier New"/>
      <w:lang w:val="x-none" w:eastAsia="cs-CZ"/>
    </w:rPr>
  </w:style>
  <w:style w:type="character" w:customStyle="1" w:styleId="ObyajntextChar180">
    <w:name w:val="Obyčajný text Char180"/>
    <w:aliases w:val="Obyčajný text Char Char Char Char181"/>
    <w:uiPriority w:val="99"/>
    <w:semiHidden/>
    <w:rPr>
      <w:rFonts w:ascii="Courier New" w:hAnsi="Courier New"/>
      <w:lang w:val="x-none" w:eastAsia="cs-CZ"/>
    </w:rPr>
  </w:style>
  <w:style w:type="character" w:customStyle="1" w:styleId="ObyajntextChar179">
    <w:name w:val="Obyčajný text Char179"/>
    <w:aliases w:val="Obyčajný text Char Char Char Char180"/>
    <w:uiPriority w:val="99"/>
    <w:semiHidden/>
    <w:rPr>
      <w:rFonts w:ascii="Courier New" w:hAnsi="Courier New"/>
      <w:lang w:val="x-none" w:eastAsia="cs-CZ"/>
    </w:rPr>
  </w:style>
  <w:style w:type="character" w:customStyle="1" w:styleId="ObyajntextChar178">
    <w:name w:val="Obyčajný text Char178"/>
    <w:aliases w:val="Obyčajný text Char Char Char Char179"/>
    <w:uiPriority w:val="99"/>
    <w:semiHidden/>
    <w:rPr>
      <w:rFonts w:ascii="Courier New" w:hAnsi="Courier New"/>
      <w:lang w:val="x-none" w:eastAsia="cs-CZ"/>
    </w:rPr>
  </w:style>
  <w:style w:type="character" w:customStyle="1" w:styleId="ObyajntextChar177">
    <w:name w:val="Obyčajný text Char177"/>
    <w:aliases w:val="Obyčajný text Char Char Char Char178"/>
    <w:uiPriority w:val="99"/>
    <w:semiHidden/>
    <w:rPr>
      <w:rFonts w:ascii="Courier New" w:hAnsi="Courier New"/>
      <w:lang w:val="x-none" w:eastAsia="cs-CZ"/>
    </w:rPr>
  </w:style>
  <w:style w:type="character" w:customStyle="1" w:styleId="ObyajntextChar176">
    <w:name w:val="Obyčajný text Char176"/>
    <w:aliases w:val="Obyčajný text Char Char Char Char177"/>
    <w:uiPriority w:val="99"/>
    <w:semiHidden/>
    <w:rPr>
      <w:rFonts w:ascii="Courier New" w:hAnsi="Courier New"/>
      <w:lang w:val="x-none" w:eastAsia="cs-CZ"/>
    </w:rPr>
  </w:style>
  <w:style w:type="character" w:customStyle="1" w:styleId="ObyajntextChar175">
    <w:name w:val="Obyčajný text Char175"/>
    <w:aliases w:val="Obyčajný text Char Char Char Char176"/>
    <w:uiPriority w:val="99"/>
    <w:semiHidden/>
    <w:rPr>
      <w:rFonts w:ascii="Courier New" w:hAnsi="Courier New"/>
      <w:lang w:val="x-none" w:eastAsia="cs-CZ"/>
    </w:rPr>
  </w:style>
  <w:style w:type="character" w:customStyle="1" w:styleId="ObyajntextChar174">
    <w:name w:val="Obyčajný text Char174"/>
    <w:aliases w:val="Obyčajný text Char Char Char Char175"/>
    <w:uiPriority w:val="99"/>
    <w:semiHidden/>
    <w:rPr>
      <w:rFonts w:ascii="Courier New" w:hAnsi="Courier New"/>
      <w:lang w:val="x-none" w:eastAsia="cs-CZ"/>
    </w:rPr>
  </w:style>
  <w:style w:type="character" w:customStyle="1" w:styleId="ObyajntextChar173">
    <w:name w:val="Obyčajný text Char173"/>
    <w:aliases w:val="Obyčajný text Char Char Char Char174"/>
    <w:uiPriority w:val="99"/>
    <w:semiHidden/>
    <w:rPr>
      <w:rFonts w:ascii="Courier New" w:hAnsi="Courier New"/>
      <w:lang w:val="x-none" w:eastAsia="cs-CZ"/>
    </w:rPr>
  </w:style>
  <w:style w:type="character" w:customStyle="1" w:styleId="ObyajntextChar172">
    <w:name w:val="Obyčajný text Char172"/>
    <w:aliases w:val="Obyčajný text Char Char Char Char173"/>
    <w:uiPriority w:val="99"/>
    <w:semiHidden/>
    <w:rPr>
      <w:rFonts w:ascii="Courier New" w:hAnsi="Courier New"/>
      <w:lang w:val="x-none" w:eastAsia="cs-CZ"/>
    </w:rPr>
  </w:style>
  <w:style w:type="character" w:customStyle="1" w:styleId="ObyajntextChar171">
    <w:name w:val="Obyčajný text Char171"/>
    <w:aliases w:val="Obyčajný text Char Char Char Char172"/>
    <w:uiPriority w:val="99"/>
    <w:semiHidden/>
    <w:rPr>
      <w:rFonts w:ascii="Courier New" w:hAnsi="Courier New"/>
      <w:lang w:val="x-none" w:eastAsia="cs-CZ"/>
    </w:rPr>
  </w:style>
  <w:style w:type="character" w:customStyle="1" w:styleId="ObyajntextChar170">
    <w:name w:val="Obyčajný text Char170"/>
    <w:aliases w:val="Obyčajný text Char Char Char Char171"/>
    <w:uiPriority w:val="99"/>
    <w:semiHidden/>
    <w:rPr>
      <w:rFonts w:ascii="Courier New" w:hAnsi="Courier New"/>
      <w:lang w:val="x-none" w:eastAsia="cs-CZ"/>
    </w:rPr>
  </w:style>
  <w:style w:type="character" w:customStyle="1" w:styleId="ObyajntextChar169">
    <w:name w:val="Obyčajný text Char169"/>
    <w:aliases w:val="Obyčajný text Char Char Char Char170"/>
    <w:uiPriority w:val="99"/>
    <w:semiHidden/>
    <w:rPr>
      <w:rFonts w:ascii="Courier New" w:hAnsi="Courier New"/>
      <w:lang w:val="x-none" w:eastAsia="cs-CZ"/>
    </w:rPr>
  </w:style>
  <w:style w:type="character" w:customStyle="1" w:styleId="ObyajntextChar168">
    <w:name w:val="Obyčajný text Char168"/>
    <w:aliases w:val="Obyčajný text Char Char Char Char169"/>
    <w:uiPriority w:val="99"/>
    <w:semiHidden/>
    <w:rPr>
      <w:rFonts w:ascii="Courier New" w:hAnsi="Courier New"/>
      <w:lang w:val="x-none" w:eastAsia="cs-CZ"/>
    </w:rPr>
  </w:style>
  <w:style w:type="character" w:customStyle="1" w:styleId="ObyajntextChar167">
    <w:name w:val="Obyčajný text Char167"/>
    <w:aliases w:val="Obyčajný text Char Char Char Char168"/>
    <w:uiPriority w:val="99"/>
    <w:semiHidden/>
    <w:rPr>
      <w:rFonts w:ascii="Courier New" w:hAnsi="Courier New"/>
      <w:lang w:val="x-none" w:eastAsia="cs-CZ"/>
    </w:rPr>
  </w:style>
  <w:style w:type="character" w:customStyle="1" w:styleId="ObyajntextChar166">
    <w:name w:val="Obyčajný text Char166"/>
    <w:aliases w:val="Obyčajný text Char Char Char Char167"/>
    <w:uiPriority w:val="99"/>
    <w:semiHidden/>
    <w:rPr>
      <w:rFonts w:ascii="Courier New" w:hAnsi="Courier New"/>
      <w:lang w:val="x-none" w:eastAsia="cs-CZ"/>
    </w:rPr>
  </w:style>
  <w:style w:type="character" w:customStyle="1" w:styleId="ObyajntextChar165">
    <w:name w:val="Obyčajný text Char165"/>
    <w:aliases w:val="Obyčajný text Char Char Char Char166"/>
    <w:uiPriority w:val="99"/>
    <w:semiHidden/>
    <w:rPr>
      <w:rFonts w:ascii="Courier New" w:hAnsi="Courier New"/>
      <w:lang w:val="x-none" w:eastAsia="cs-CZ"/>
    </w:rPr>
  </w:style>
  <w:style w:type="character" w:customStyle="1" w:styleId="ObyajntextChar164">
    <w:name w:val="Obyčajný text Char164"/>
    <w:aliases w:val="Obyčajný text Char Char Char Char165"/>
    <w:uiPriority w:val="99"/>
    <w:semiHidden/>
    <w:rPr>
      <w:rFonts w:ascii="Courier New" w:hAnsi="Courier New"/>
      <w:lang w:val="x-none" w:eastAsia="cs-CZ"/>
    </w:rPr>
  </w:style>
  <w:style w:type="character" w:customStyle="1" w:styleId="ObyajntextChar163">
    <w:name w:val="Obyčajný text Char163"/>
    <w:aliases w:val="Obyčajný text Char Char Char Char164"/>
    <w:uiPriority w:val="99"/>
    <w:semiHidden/>
    <w:rPr>
      <w:rFonts w:ascii="Courier New" w:hAnsi="Courier New"/>
      <w:lang w:val="x-none" w:eastAsia="cs-CZ"/>
    </w:rPr>
  </w:style>
  <w:style w:type="character" w:customStyle="1" w:styleId="ObyajntextChar162">
    <w:name w:val="Obyčajný text Char162"/>
    <w:aliases w:val="Obyčajný text Char Char Char Char163"/>
    <w:uiPriority w:val="99"/>
    <w:semiHidden/>
    <w:rPr>
      <w:rFonts w:ascii="Courier New" w:hAnsi="Courier New"/>
      <w:lang w:val="x-none" w:eastAsia="cs-CZ"/>
    </w:rPr>
  </w:style>
  <w:style w:type="character" w:customStyle="1" w:styleId="ObyajntextChar161">
    <w:name w:val="Obyčajný text Char161"/>
    <w:aliases w:val="Obyčajný text Char Char Char Char162"/>
    <w:uiPriority w:val="99"/>
    <w:semiHidden/>
    <w:rPr>
      <w:rFonts w:ascii="Courier New" w:hAnsi="Courier New"/>
      <w:lang w:val="x-none" w:eastAsia="cs-CZ"/>
    </w:rPr>
  </w:style>
  <w:style w:type="character" w:customStyle="1" w:styleId="ObyajntextChar160">
    <w:name w:val="Obyčajný text Char160"/>
    <w:aliases w:val="Obyčajný text Char Char Char Char161"/>
    <w:uiPriority w:val="99"/>
    <w:semiHidden/>
    <w:rPr>
      <w:rFonts w:ascii="Courier New" w:hAnsi="Courier New"/>
      <w:lang w:val="x-none" w:eastAsia="cs-CZ"/>
    </w:rPr>
  </w:style>
  <w:style w:type="character" w:customStyle="1" w:styleId="ObyajntextChar159">
    <w:name w:val="Obyčajný text Char159"/>
    <w:aliases w:val="Obyčajný text Char Char Char Char160"/>
    <w:uiPriority w:val="99"/>
    <w:semiHidden/>
    <w:rPr>
      <w:rFonts w:ascii="Courier New" w:hAnsi="Courier New"/>
      <w:lang w:val="x-none" w:eastAsia="cs-CZ"/>
    </w:rPr>
  </w:style>
  <w:style w:type="character" w:customStyle="1" w:styleId="ObyajntextChar158">
    <w:name w:val="Obyčajný text Char158"/>
    <w:aliases w:val="Obyčajný text Char Char Char Char159"/>
    <w:uiPriority w:val="99"/>
    <w:semiHidden/>
    <w:rPr>
      <w:rFonts w:ascii="Courier New" w:hAnsi="Courier New"/>
      <w:lang w:val="x-none" w:eastAsia="cs-CZ"/>
    </w:rPr>
  </w:style>
  <w:style w:type="character" w:customStyle="1" w:styleId="ObyajntextChar157">
    <w:name w:val="Obyčajný text Char157"/>
    <w:aliases w:val="Obyčajný text Char Char Char Char158"/>
    <w:uiPriority w:val="99"/>
    <w:semiHidden/>
    <w:rPr>
      <w:rFonts w:ascii="Courier New" w:hAnsi="Courier New"/>
      <w:lang w:val="x-none" w:eastAsia="cs-CZ"/>
    </w:rPr>
  </w:style>
  <w:style w:type="character" w:customStyle="1" w:styleId="ObyajntextChar156">
    <w:name w:val="Obyčajný text Char156"/>
    <w:aliases w:val="Obyčajný text Char Char Char Char157"/>
    <w:uiPriority w:val="99"/>
    <w:semiHidden/>
    <w:rPr>
      <w:rFonts w:ascii="Courier New" w:hAnsi="Courier New"/>
      <w:lang w:val="x-none" w:eastAsia="cs-CZ"/>
    </w:rPr>
  </w:style>
  <w:style w:type="character" w:customStyle="1" w:styleId="ObyajntextChar155">
    <w:name w:val="Obyčajný text Char155"/>
    <w:aliases w:val="Obyčajný text Char Char Char Char156"/>
    <w:uiPriority w:val="99"/>
    <w:semiHidden/>
    <w:rPr>
      <w:rFonts w:ascii="Courier New" w:hAnsi="Courier New"/>
      <w:lang w:val="x-none" w:eastAsia="cs-CZ"/>
    </w:rPr>
  </w:style>
  <w:style w:type="character" w:customStyle="1" w:styleId="ObyajntextChar154">
    <w:name w:val="Obyčajný text Char154"/>
    <w:aliases w:val="Obyčajný text Char Char Char Char155"/>
    <w:uiPriority w:val="99"/>
    <w:semiHidden/>
    <w:rPr>
      <w:rFonts w:ascii="Courier New" w:hAnsi="Courier New"/>
      <w:lang w:val="x-none" w:eastAsia="cs-CZ"/>
    </w:rPr>
  </w:style>
  <w:style w:type="character" w:customStyle="1" w:styleId="ObyajntextChar153">
    <w:name w:val="Obyčajný text Char153"/>
    <w:aliases w:val="Obyčajný text Char Char Char Char154"/>
    <w:uiPriority w:val="99"/>
    <w:semiHidden/>
    <w:rPr>
      <w:rFonts w:ascii="Courier New" w:hAnsi="Courier New"/>
      <w:lang w:val="x-none" w:eastAsia="cs-CZ"/>
    </w:rPr>
  </w:style>
  <w:style w:type="character" w:customStyle="1" w:styleId="ObyajntextChar152">
    <w:name w:val="Obyčajný text Char152"/>
    <w:aliases w:val="Obyčajný text Char Char Char Char153"/>
    <w:uiPriority w:val="99"/>
    <w:semiHidden/>
    <w:rPr>
      <w:rFonts w:ascii="Courier New" w:hAnsi="Courier New"/>
      <w:lang w:val="x-none" w:eastAsia="cs-CZ"/>
    </w:rPr>
  </w:style>
  <w:style w:type="character" w:customStyle="1" w:styleId="ObyajntextChar151">
    <w:name w:val="Obyčajný text Char151"/>
    <w:aliases w:val="Obyčajný text Char Char Char Char152"/>
    <w:uiPriority w:val="99"/>
    <w:semiHidden/>
    <w:rPr>
      <w:rFonts w:ascii="Courier New" w:hAnsi="Courier New"/>
      <w:lang w:val="x-none" w:eastAsia="cs-CZ"/>
    </w:rPr>
  </w:style>
  <w:style w:type="character" w:customStyle="1" w:styleId="ObyajntextChar150">
    <w:name w:val="Obyčajný text Char150"/>
    <w:aliases w:val="Obyčajný text Char Char Char Char151"/>
    <w:uiPriority w:val="99"/>
    <w:semiHidden/>
    <w:rPr>
      <w:rFonts w:ascii="Courier New" w:hAnsi="Courier New"/>
      <w:lang w:val="x-none" w:eastAsia="cs-CZ"/>
    </w:rPr>
  </w:style>
  <w:style w:type="character" w:customStyle="1" w:styleId="ObyajntextChar149">
    <w:name w:val="Obyčajný text Char149"/>
    <w:aliases w:val="Obyčajný text Char Char Char Char150"/>
    <w:uiPriority w:val="99"/>
    <w:semiHidden/>
    <w:rPr>
      <w:rFonts w:ascii="Courier New" w:hAnsi="Courier New"/>
      <w:lang w:val="x-none" w:eastAsia="cs-CZ"/>
    </w:rPr>
  </w:style>
  <w:style w:type="character" w:customStyle="1" w:styleId="ObyajntextChar148">
    <w:name w:val="Obyčajný text Char148"/>
    <w:aliases w:val="Obyčajný text Char Char Char Char149"/>
    <w:uiPriority w:val="99"/>
    <w:semiHidden/>
    <w:rPr>
      <w:rFonts w:ascii="Courier New" w:hAnsi="Courier New"/>
      <w:lang w:val="x-none" w:eastAsia="cs-CZ"/>
    </w:rPr>
  </w:style>
  <w:style w:type="character" w:customStyle="1" w:styleId="ObyajntextChar147">
    <w:name w:val="Obyčajný text Char147"/>
    <w:aliases w:val="Obyčajný text Char Char Char Char148"/>
    <w:uiPriority w:val="99"/>
    <w:semiHidden/>
    <w:rPr>
      <w:rFonts w:ascii="Courier New" w:hAnsi="Courier New"/>
      <w:lang w:val="x-none" w:eastAsia="cs-CZ"/>
    </w:rPr>
  </w:style>
  <w:style w:type="character" w:customStyle="1" w:styleId="ObyajntextChar146">
    <w:name w:val="Obyčajný text Char146"/>
    <w:aliases w:val="Obyčajný text Char Char Char Char147"/>
    <w:uiPriority w:val="99"/>
    <w:semiHidden/>
    <w:rPr>
      <w:rFonts w:ascii="Courier New" w:hAnsi="Courier New"/>
      <w:lang w:val="x-none" w:eastAsia="cs-CZ"/>
    </w:rPr>
  </w:style>
  <w:style w:type="character" w:customStyle="1" w:styleId="ObyajntextChar145">
    <w:name w:val="Obyčajný text Char145"/>
    <w:aliases w:val="Obyčajný text Char Char Char Char146"/>
    <w:uiPriority w:val="99"/>
    <w:semiHidden/>
    <w:rPr>
      <w:rFonts w:ascii="Courier New" w:hAnsi="Courier New"/>
      <w:lang w:val="x-none" w:eastAsia="cs-CZ"/>
    </w:rPr>
  </w:style>
  <w:style w:type="character" w:customStyle="1" w:styleId="ObyajntextChar144">
    <w:name w:val="Obyčajný text Char144"/>
    <w:aliases w:val="Obyčajný text Char Char Char Char145"/>
    <w:uiPriority w:val="99"/>
    <w:semiHidden/>
    <w:rPr>
      <w:rFonts w:ascii="Courier New" w:hAnsi="Courier New"/>
      <w:lang w:val="x-none" w:eastAsia="cs-CZ"/>
    </w:rPr>
  </w:style>
  <w:style w:type="character" w:customStyle="1" w:styleId="ObyajntextChar143">
    <w:name w:val="Obyčajný text Char143"/>
    <w:aliases w:val="Obyčajný text Char Char Char Char144"/>
    <w:uiPriority w:val="99"/>
    <w:semiHidden/>
    <w:rPr>
      <w:rFonts w:ascii="Courier New" w:hAnsi="Courier New"/>
      <w:lang w:val="x-none" w:eastAsia="cs-CZ"/>
    </w:rPr>
  </w:style>
  <w:style w:type="character" w:customStyle="1" w:styleId="ObyajntextChar142">
    <w:name w:val="Obyčajný text Char142"/>
    <w:aliases w:val="Obyčajný text Char Char Char Char143"/>
    <w:uiPriority w:val="99"/>
    <w:semiHidden/>
    <w:rPr>
      <w:rFonts w:ascii="Courier New" w:hAnsi="Courier New"/>
      <w:lang w:val="x-none" w:eastAsia="cs-CZ"/>
    </w:rPr>
  </w:style>
  <w:style w:type="character" w:customStyle="1" w:styleId="ObyajntextChar141">
    <w:name w:val="Obyčajný text Char141"/>
    <w:aliases w:val="Obyčajný text Char Char Char Char142"/>
    <w:uiPriority w:val="99"/>
    <w:semiHidden/>
    <w:rPr>
      <w:rFonts w:ascii="Courier New" w:hAnsi="Courier New"/>
      <w:lang w:val="x-none" w:eastAsia="cs-CZ"/>
    </w:rPr>
  </w:style>
  <w:style w:type="character" w:customStyle="1" w:styleId="ObyajntextChar140">
    <w:name w:val="Obyčajný text Char140"/>
    <w:aliases w:val="Obyčajný text Char Char Char Char141"/>
    <w:uiPriority w:val="99"/>
    <w:semiHidden/>
    <w:rPr>
      <w:rFonts w:ascii="Courier New" w:hAnsi="Courier New"/>
      <w:lang w:val="x-none" w:eastAsia="cs-CZ"/>
    </w:rPr>
  </w:style>
  <w:style w:type="character" w:customStyle="1" w:styleId="ObyajntextChar139">
    <w:name w:val="Obyčajný text Char139"/>
    <w:aliases w:val="Obyčajný text Char Char Char Char140"/>
    <w:uiPriority w:val="99"/>
    <w:semiHidden/>
    <w:rPr>
      <w:rFonts w:ascii="Courier New" w:hAnsi="Courier New"/>
      <w:lang w:val="x-none" w:eastAsia="cs-CZ"/>
    </w:rPr>
  </w:style>
  <w:style w:type="character" w:customStyle="1" w:styleId="ObyajntextChar138">
    <w:name w:val="Obyčajný text Char138"/>
    <w:aliases w:val="Obyčajný text Char Char Char Char139"/>
    <w:uiPriority w:val="99"/>
    <w:semiHidden/>
    <w:rPr>
      <w:rFonts w:ascii="Courier New" w:hAnsi="Courier New"/>
      <w:lang w:val="x-none" w:eastAsia="cs-CZ"/>
    </w:rPr>
  </w:style>
  <w:style w:type="character" w:customStyle="1" w:styleId="ObyajntextChar137">
    <w:name w:val="Obyčajný text Char137"/>
    <w:aliases w:val="Obyčajný text Char Char Char Char138"/>
    <w:uiPriority w:val="99"/>
    <w:semiHidden/>
    <w:rPr>
      <w:rFonts w:ascii="Courier New" w:hAnsi="Courier New"/>
      <w:lang w:val="x-none" w:eastAsia="cs-CZ"/>
    </w:rPr>
  </w:style>
  <w:style w:type="character" w:customStyle="1" w:styleId="ObyajntextChar136">
    <w:name w:val="Obyčajný text Char136"/>
    <w:aliases w:val="Obyčajný text Char Char Char Char137"/>
    <w:uiPriority w:val="99"/>
    <w:semiHidden/>
    <w:rPr>
      <w:rFonts w:ascii="Courier New" w:hAnsi="Courier New"/>
      <w:lang w:val="x-none" w:eastAsia="cs-CZ"/>
    </w:rPr>
  </w:style>
  <w:style w:type="character" w:customStyle="1" w:styleId="ObyajntextChar135">
    <w:name w:val="Obyčajný text Char135"/>
    <w:aliases w:val="Obyčajný text Char Char Char Char136"/>
    <w:uiPriority w:val="99"/>
    <w:semiHidden/>
    <w:rPr>
      <w:rFonts w:ascii="Courier New" w:hAnsi="Courier New"/>
      <w:lang w:val="x-none" w:eastAsia="cs-CZ"/>
    </w:rPr>
  </w:style>
  <w:style w:type="character" w:customStyle="1" w:styleId="ObyajntextChar134">
    <w:name w:val="Obyčajný text Char134"/>
    <w:aliases w:val="Obyčajný text Char Char Char Char135"/>
    <w:uiPriority w:val="99"/>
    <w:semiHidden/>
    <w:rPr>
      <w:rFonts w:ascii="Courier New" w:hAnsi="Courier New"/>
      <w:lang w:val="x-none" w:eastAsia="cs-CZ"/>
    </w:rPr>
  </w:style>
  <w:style w:type="character" w:customStyle="1" w:styleId="ObyajntextChar133">
    <w:name w:val="Obyčajný text Char133"/>
    <w:aliases w:val="Obyčajný text Char Char Char Char134"/>
    <w:uiPriority w:val="99"/>
    <w:semiHidden/>
    <w:rPr>
      <w:rFonts w:ascii="Courier New" w:hAnsi="Courier New"/>
      <w:lang w:val="x-none" w:eastAsia="cs-CZ"/>
    </w:rPr>
  </w:style>
  <w:style w:type="character" w:customStyle="1" w:styleId="ObyajntextChar132">
    <w:name w:val="Obyčajný text Char132"/>
    <w:aliases w:val="Obyčajný text Char Char Char Char133"/>
    <w:uiPriority w:val="99"/>
    <w:semiHidden/>
    <w:rPr>
      <w:rFonts w:ascii="Courier New" w:hAnsi="Courier New"/>
      <w:lang w:val="x-none" w:eastAsia="cs-CZ"/>
    </w:rPr>
  </w:style>
  <w:style w:type="character" w:customStyle="1" w:styleId="ObyajntextChar131">
    <w:name w:val="Obyčajný text Char131"/>
    <w:aliases w:val="Obyčajný text Char Char Char Char132"/>
    <w:uiPriority w:val="99"/>
    <w:semiHidden/>
    <w:rPr>
      <w:rFonts w:ascii="Courier New" w:hAnsi="Courier New"/>
      <w:lang w:val="x-none" w:eastAsia="cs-CZ"/>
    </w:rPr>
  </w:style>
  <w:style w:type="character" w:customStyle="1" w:styleId="ObyajntextChar130">
    <w:name w:val="Obyčajný text Char130"/>
    <w:aliases w:val="Obyčajný text Char Char Char Char131"/>
    <w:uiPriority w:val="99"/>
    <w:semiHidden/>
    <w:rPr>
      <w:rFonts w:ascii="Courier New" w:hAnsi="Courier New"/>
      <w:lang w:val="x-none" w:eastAsia="cs-CZ"/>
    </w:rPr>
  </w:style>
  <w:style w:type="character" w:customStyle="1" w:styleId="ObyajntextChar129">
    <w:name w:val="Obyčajný text Char129"/>
    <w:aliases w:val="Obyčajný text Char Char Char Char130"/>
    <w:uiPriority w:val="99"/>
    <w:semiHidden/>
    <w:rPr>
      <w:rFonts w:ascii="Courier New" w:hAnsi="Courier New"/>
      <w:lang w:val="x-none" w:eastAsia="cs-CZ"/>
    </w:rPr>
  </w:style>
  <w:style w:type="character" w:customStyle="1" w:styleId="ObyajntextChar128">
    <w:name w:val="Obyčajný text Char128"/>
    <w:aliases w:val="Obyčajný text Char Char Char Char129"/>
    <w:uiPriority w:val="99"/>
    <w:semiHidden/>
    <w:rPr>
      <w:rFonts w:ascii="Courier New" w:hAnsi="Courier New"/>
      <w:lang w:val="x-none" w:eastAsia="cs-CZ"/>
    </w:rPr>
  </w:style>
  <w:style w:type="character" w:customStyle="1" w:styleId="ObyajntextChar127">
    <w:name w:val="Obyčajný text Char127"/>
    <w:aliases w:val="Obyčajný text Char Char Char Char128"/>
    <w:uiPriority w:val="99"/>
    <w:semiHidden/>
    <w:rPr>
      <w:rFonts w:ascii="Courier New" w:hAnsi="Courier New"/>
      <w:lang w:val="x-none" w:eastAsia="cs-CZ"/>
    </w:rPr>
  </w:style>
  <w:style w:type="character" w:customStyle="1" w:styleId="ObyajntextChar126">
    <w:name w:val="Obyčajný text Char126"/>
    <w:aliases w:val="Obyčajný text Char Char Char Char127"/>
    <w:uiPriority w:val="99"/>
    <w:semiHidden/>
    <w:rPr>
      <w:rFonts w:ascii="Courier New" w:hAnsi="Courier New"/>
      <w:lang w:val="x-none" w:eastAsia="cs-CZ"/>
    </w:rPr>
  </w:style>
  <w:style w:type="character" w:customStyle="1" w:styleId="ObyajntextChar125">
    <w:name w:val="Obyčajný text Char125"/>
    <w:aliases w:val="Obyčajný text Char Char Char Char126"/>
    <w:uiPriority w:val="99"/>
    <w:semiHidden/>
    <w:rPr>
      <w:rFonts w:ascii="Courier New" w:hAnsi="Courier New"/>
      <w:lang w:val="x-none" w:eastAsia="cs-CZ"/>
    </w:rPr>
  </w:style>
  <w:style w:type="character" w:customStyle="1" w:styleId="ObyajntextChar124">
    <w:name w:val="Obyčajný text Char124"/>
    <w:aliases w:val="Obyčajný text Char Char Char Char125"/>
    <w:uiPriority w:val="99"/>
    <w:semiHidden/>
    <w:rPr>
      <w:rFonts w:ascii="Courier New" w:hAnsi="Courier New"/>
      <w:lang w:val="x-none" w:eastAsia="cs-CZ"/>
    </w:rPr>
  </w:style>
  <w:style w:type="character" w:customStyle="1" w:styleId="ObyajntextChar123">
    <w:name w:val="Obyčajný text Char123"/>
    <w:aliases w:val="Obyčajný text Char Char Char Char124"/>
    <w:uiPriority w:val="99"/>
    <w:semiHidden/>
    <w:rPr>
      <w:rFonts w:ascii="Courier New" w:hAnsi="Courier New"/>
      <w:lang w:val="x-none" w:eastAsia="cs-CZ"/>
    </w:rPr>
  </w:style>
  <w:style w:type="character" w:customStyle="1" w:styleId="ObyajntextChar122">
    <w:name w:val="Obyčajný text Char122"/>
    <w:aliases w:val="Obyčajný text Char Char Char Char123"/>
    <w:uiPriority w:val="99"/>
    <w:semiHidden/>
    <w:rPr>
      <w:rFonts w:ascii="Courier New" w:hAnsi="Courier New"/>
      <w:lang w:val="x-none" w:eastAsia="cs-CZ"/>
    </w:rPr>
  </w:style>
  <w:style w:type="character" w:customStyle="1" w:styleId="ObyajntextChar121">
    <w:name w:val="Obyčajný text Char121"/>
    <w:aliases w:val="Obyčajný text Char Char Char Char122"/>
    <w:uiPriority w:val="99"/>
    <w:semiHidden/>
    <w:rPr>
      <w:rFonts w:ascii="Courier New" w:hAnsi="Courier New"/>
      <w:lang w:val="x-none" w:eastAsia="cs-CZ"/>
    </w:rPr>
  </w:style>
  <w:style w:type="character" w:customStyle="1" w:styleId="ObyajntextChar120">
    <w:name w:val="Obyčajný text Char120"/>
    <w:aliases w:val="Obyčajný text Char Char Char Char121"/>
    <w:uiPriority w:val="99"/>
    <w:semiHidden/>
    <w:rPr>
      <w:rFonts w:ascii="Courier New" w:hAnsi="Courier New"/>
      <w:lang w:val="x-none" w:eastAsia="cs-CZ"/>
    </w:rPr>
  </w:style>
  <w:style w:type="character" w:customStyle="1" w:styleId="ObyajntextChar119">
    <w:name w:val="Obyčajný text Char119"/>
    <w:aliases w:val="Obyčajný text Char Char Char Char120"/>
    <w:uiPriority w:val="99"/>
    <w:semiHidden/>
    <w:rPr>
      <w:rFonts w:ascii="Courier New" w:hAnsi="Courier New"/>
      <w:lang w:val="x-none" w:eastAsia="cs-CZ"/>
    </w:rPr>
  </w:style>
  <w:style w:type="character" w:customStyle="1" w:styleId="ObyajntextChar118">
    <w:name w:val="Obyčajný text Char118"/>
    <w:aliases w:val="Obyčajný text Char Char Char Char119"/>
    <w:uiPriority w:val="99"/>
    <w:semiHidden/>
    <w:rPr>
      <w:rFonts w:ascii="Courier New" w:hAnsi="Courier New"/>
      <w:lang w:val="x-none" w:eastAsia="cs-CZ"/>
    </w:rPr>
  </w:style>
  <w:style w:type="character" w:customStyle="1" w:styleId="ObyajntextChar117">
    <w:name w:val="Obyčajný text Char117"/>
    <w:aliases w:val="Obyčajný text Char Char Char Char118"/>
    <w:uiPriority w:val="99"/>
    <w:semiHidden/>
    <w:rPr>
      <w:rFonts w:ascii="Courier New" w:hAnsi="Courier New"/>
      <w:lang w:val="x-none" w:eastAsia="cs-CZ"/>
    </w:rPr>
  </w:style>
  <w:style w:type="character" w:customStyle="1" w:styleId="ObyajntextChar116">
    <w:name w:val="Obyčajný text Char116"/>
    <w:aliases w:val="Obyčajný text Char Char Char Char117"/>
    <w:uiPriority w:val="99"/>
    <w:semiHidden/>
    <w:rPr>
      <w:rFonts w:ascii="Courier New" w:hAnsi="Courier New"/>
      <w:lang w:val="x-none" w:eastAsia="cs-CZ"/>
    </w:rPr>
  </w:style>
  <w:style w:type="character" w:customStyle="1" w:styleId="ObyajntextChar115">
    <w:name w:val="Obyčajný text Char115"/>
    <w:aliases w:val="Obyčajný text Char Char Char Char116"/>
    <w:uiPriority w:val="99"/>
    <w:semiHidden/>
    <w:rPr>
      <w:rFonts w:ascii="Courier New" w:hAnsi="Courier New"/>
      <w:lang w:val="x-none" w:eastAsia="cs-CZ"/>
    </w:rPr>
  </w:style>
  <w:style w:type="character" w:customStyle="1" w:styleId="ObyajntextChar114">
    <w:name w:val="Obyčajný text Char114"/>
    <w:aliases w:val="Obyčajný text Char Char Char Char115"/>
    <w:uiPriority w:val="99"/>
    <w:semiHidden/>
    <w:rPr>
      <w:rFonts w:ascii="Courier New" w:hAnsi="Courier New"/>
      <w:lang w:val="x-none" w:eastAsia="cs-CZ"/>
    </w:rPr>
  </w:style>
  <w:style w:type="character" w:customStyle="1" w:styleId="ObyajntextChar113">
    <w:name w:val="Obyčajný text Char113"/>
    <w:aliases w:val="Obyčajný text Char Char Char Char114"/>
    <w:uiPriority w:val="99"/>
    <w:semiHidden/>
    <w:rPr>
      <w:rFonts w:ascii="Courier New" w:hAnsi="Courier New"/>
      <w:lang w:val="x-none" w:eastAsia="cs-CZ"/>
    </w:rPr>
  </w:style>
  <w:style w:type="character" w:customStyle="1" w:styleId="ObyajntextChar112">
    <w:name w:val="Obyčajný text Char112"/>
    <w:aliases w:val="Obyčajný text Char Char Char Char113"/>
    <w:uiPriority w:val="99"/>
    <w:semiHidden/>
    <w:rPr>
      <w:rFonts w:ascii="Courier New" w:hAnsi="Courier New"/>
      <w:lang w:val="x-none" w:eastAsia="cs-CZ"/>
    </w:rPr>
  </w:style>
  <w:style w:type="character" w:customStyle="1" w:styleId="ObyajntextChar111">
    <w:name w:val="Obyčajný text Char111"/>
    <w:aliases w:val="Obyčajný text Char Char Char Char112"/>
    <w:uiPriority w:val="99"/>
    <w:semiHidden/>
    <w:rPr>
      <w:rFonts w:ascii="Courier New" w:hAnsi="Courier New"/>
      <w:lang w:val="x-none" w:eastAsia="cs-CZ"/>
    </w:rPr>
  </w:style>
  <w:style w:type="character" w:customStyle="1" w:styleId="ObyajntextChar110">
    <w:name w:val="Obyčajný text Char110"/>
    <w:aliases w:val="Obyčajný text Char Char Char Char110"/>
    <w:uiPriority w:val="99"/>
    <w:semiHidden/>
    <w:rPr>
      <w:rFonts w:ascii="Courier New" w:hAnsi="Courier New"/>
      <w:lang w:val="x-none" w:eastAsia="cs-CZ"/>
    </w:rPr>
  </w:style>
  <w:style w:type="character" w:customStyle="1" w:styleId="ObyajntextChar19">
    <w:name w:val="Obyčajný text Char19"/>
    <w:aliases w:val="Obyčajný text Char Char Char Char19"/>
    <w:uiPriority w:val="99"/>
    <w:semiHidden/>
    <w:rPr>
      <w:rFonts w:ascii="Courier New" w:hAnsi="Courier New"/>
      <w:lang w:val="x-none" w:eastAsia="cs-CZ"/>
    </w:rPr>
  </w:style>
  <w:style w:type="character" w:customStyle="1" w:styleId="ObyajntextChar18">
    <w:name w:val="Obyčajný text Char18"/>
    <w:aliases w:val="Obyčajný text Char Char Char Char18"/>
    <w:uiPriority w:val="99"/>
    <w:semiHidden/>
    <w:rPr>
      <w:rFonts w:ascii="Courier New" w:hAnsi="Courier New"/>
      <w:lang w:val="x-none" w:eastAsia="cs-CZ"/>
    </w:rPr>
  </w:style>
  <w:style w:type="character" w:customStyle="1" w:styleId="ObyajntextChar17">
    <w:name w:val="Obyčajný text Char17"/>
    <w:aliases w:val="Obyčajný text Char Char Char Char17"/>
    <w:uiPriority w:val="99"/>
    <w:semiHidden/>
    <w:rPr>
      <w:rFonts w:ascii="Courier New" w:hAnsi="Courier New"/>
      <w:lang w:val="x-none" w:eastAsia="cs-CZ"/>
    </w:rPr>
  </w:style>
  <w:style w:type="character" w:customStyle="1" w:styleId="ObyajntextChar16">
    <w:name w:val="Obyčajný text Char16"/>
    <w:aliases w:val="Obyčajný text Char Char Char Char16"/>
    <w:uiPriority w:val="99"/>
    <w:semiHidden/>
    <w:rPr>
      <w:rFonts w:ascii="Courier New" w:hAnsi="Courier New"/>
      <w:lang w:val="x-none" w:eastAsia="cs-CZ"/>
    </w:rPr>
  </w:style>
  <w:style w:type="character" w:customStyle="1" w:styleId="ObyajntextChar15">
    <w:name w:val="Obyčajný text Char15"/>
    <w:aliases w:val="Obyčajný text Char Char Char Char15"/>
    <w:uiPriority w:val="99"/>
    <w:semiHidden/>
    <w:rPr>
      <w:rFonts w:ascii="Courier New" w:hAnsi="Courier New"/>
      <w:lang w:val="x-none" w:eastAsia="cs-CZ"/>
    </w:rPr>
  </w:style>
  <w:style w:type="character" w:customStyle="1" w:styleId="ObyajntextChar14">
    <w:name w:val="Obyčajný text Char14"/>
    <w:aliases w:val="Obyčajný text Char Char Char Char14"/>
    <w:uiPriority w:val="99"/>
    <w:semiHidden/>
    <w:rPr>
      <w:rFonts w:ascii="Courier New" w:hAnsi="Courier New"/>
      <w:lang w:val="x-none" w:eastAsia="cs-CZ"/>
    </w:rPr>
  </w:style>
  <w:style w:type="character" w:customStyle="1" w:styleId="ObyajntextChar13">
    <w:name w:val="Obyčajný text Char13"/>
    <w:aliases w:val="Obyčajný text Char Char Char Char13"/>
    <w:uiPriority w:val="99"/>
    <w:semiHidden/>
    <w:rPr>
      <w:rFonts w:ascii="Courier New" w:hAnsi="Courier New"/>
      <w:lang w:val="x-none" w:eastAsia="cs-CZ"/>
    </w:rPr>
  </w:style>
  <w:style w:type="character" w:customStyle="1" w:styleId="ObyajntextChar12">
    <w:name w:val="Obyčajný text Char12"/>
    <w:aliases w:val="Obyčajný text Char Char Char Char12"/>
    <w:uiPriority w:val="99"/>
    <w:semiHidden/>
    <w:rPr>
      <w:rFonts w:ascii="Courier New" w:hAnsi="Courier New"/>
      <w:lang w:val="x-none" w:eastAsia="cs-CZ"/>
    </w:rPr>
  </w:style>
  <w:style w:type="character" w:customStyle="1" w:styleId="ObyajntextChar11">
    <w:name w:val="Obyčajný text Char11"/>
    <w:aliases w:val="Obyčajný text Char Char Char Char11,Obyčajný text Char Char Char Char111"/>
    <w:uiPriority w:val="99"/>
    <w:semiHidden/>
    <w:rsid w:val="00992BC9"/>
    <w:rPr>
      <w:rFonts w:ascii="Courier New" w:hAnsi="Courier New"/>
      <w:lang w:val="x-none" w:eastAsia="cs-CZ"/>
    </w:rPr>
  </w:style>
  <w:style w:type="paragraph" w:customStyle="1" w:styleId="CharCharCharCharCharCharCharCharCharCharChar">
    <w:name w:val="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styleId="Nzov">
    <w:name w:val="Title"/>
    <w:basedOn w:val="Normlny"/>
    <w:link w:val="NzovChar"/>
    <w:uiPriority w:val="99"/>
    <w:qFormat/>
    <w:rsid w:val="00992BC9"/>
    <w:pPr>
      <w:jc w:val="center"/>
    </w:pPr>
    <w:rPr>
      <w:rFonts w:ascii="Arial Black" w:hAnsi="Arial Black" w:cs="Times New Roman"/>
      <w:b/>
      <w:bCs/>
    </w:rPr>
  </w:style>
  <w:style w:type="character" w:customStyle="1" w:styleId="NzovChar">
    <w:name w:val="Názov Char"/>
    <w:basedOn w:val="Predvolenpsmoodseku"/>
    <w:link w:val="Nzov"/>
    <w:uiPriority w:val="99"/>
    <w:locked/>
    <w:rsid w:val="00992BC9"/>
    <w:rPr>
      <w:rFonts w:ascii="Arial Black" w:hAnsi="Arial Black" w:cs="Times New Roman"/>
      <w:b/>
      <w:sz w:val="24"/>
    </w:rPr>
  </w:style>
  <w:style w:type="paragraph" w:customStyle="1" w:styleId="CharCharCharCharChar">
    <w:name w:val="Char Char Char Char Char"/>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Heading2Char">
    <w:name w:val="Heading 2 Char"/>
    <w:uiPriority w:val="99"/>
    <w:rsid w:val="00992BC9"/>
    <w:rPr>
      <w:rFonts w:ascii="Arial" w:hAnsi="Arial"/>
      <w:b/>
      <w:i/>
      <w:sz w:val="28"/>
      <w:lang w:val="x-none" w:eastAsia="cs-CZ"/>
    </w:rPr>
  </w:style>
  <w:style w:type="character" w:customStyle="1" w:styleId="ZarkazkladnhotextuChar1">
    <w:name w:val="Zarážka základného textu Char1"/>
    <w:aliases w:val="Char8 Char Char1"/>
    <w:uiPriority w:val="99"/>
    <w:rsid w:val="00992BC9"/>
    <w:rPr>
      <w:rFonts w:ascii="Courier" w:hAnsi="Courier"/>
      <w:sz w:val="24"/>
      <w:lang w:val="x-none" w:eastAsia="cs-CZ"/>
    </w:rPr>
  </w:style>
  <w:style w:type="character" w:customStyle="1" w:styleId="TitleChar">
    <w:name w:val="Title Char"/>
    <w:uiPriority w:val="99"/>
    <w:rsid w:val="00992BC9"/>
    <w:rPr>
      <w:rFonts w:ascii="Arial Black" w:hAnsi="Arial Black"/>
      <w:b/>
      <w:sz w:val="24"/>
      <w:lang w:val="x-none" w:eastAsia="sk-SK"/>
    </w:rPr>
  </w:style>
  <w:style w:type="paragraph" w:styleId="Normlnywebov">
    <w:name w:val="Normal (Web)"/>
    <w:aliases w:val="webb"/>
    <w:basedOn w:val="Normlny"/>
    <w:uiPriority w:val="99"/>
    <w:unhideWhenUsed/>
    <w:qFormat/>
    <w:rsid w:val="00992BC9"/>
    <w:pPr>
      <w:spacing w:before="100" w:beforeAutospacing="1" w:after="100" w:afterAutospacing="1"/>
    </w:pPr>
    <w:rPr>
      <w:rFonts w:ascii="Times New Roman" w:hAnsi="Times New Roman" w:cs="Times New Roman"/>
      <w:lang w:eastAsia="sk-SK"/>
    </w:rPr>
  </w:style>
  <w:style w:type="paragraph" w:styleId="Hlavikaobsahu">
    <w:name w:val="TOC Heading"/>
    <w:basedOn w:val="Nadpis1"/>
    <w:next w:val="Normlny"/>
    <w:uiPriority w:val="39"/>
    <w:unhideWhenUsed/>
    <w:qFormat/>
    <w:rsid w:val="007520A4"/>
    <w:pPr>
      <w:keepLines/>
      <w:spacing w:before="480" w:after="0" w:line="276" w:lineRule="auto"/>
      <w:outlineLvl w:val="9"/>
    </w:pPr>
    <w:rPr>
      <w:rFonts w:ascii="Cambria" w:hAnsi="Cambria" w:cs="Times New Roman"/>
      <w:color w:val="365F91"/>
      <w:kern w:val="0"/>
      <w:sz w:val="28"/>
      <w:szCs w:val="28"/>
      <w:lang w:eastAsia="en-US"/>
    </w:rPr>
  </w:style>
  <w:style w:type="paragraph" w:styleId="Obsah1">
    <w:name w:val="toc 1"/>
    <w:basedOn w:val="Normlny"/>
    <w:next w:val="Normlny"/>
    <w:autoRedefine/>
    <w:uiPriority w:val="39"/>
    <w:unhideWhenUsed/>
    <w:rsid w:val="00BC4A93"/>
    <w:pPr>
      <w:tabs>
        <w:tab w:val="left" w:pos="284"/>
        <w:tab w:val="right" w:leader="dot" w:pos="9062"/>
      </w:tabs>
    </w:pPr>
    <w:rPr>
      <w:rFonts w:ascii="Times New Roman" w:hAnsi="Times New Roman" w:cs="Times New Roman"/>
      <w:b/>
      <w:noProof/>
    </w:rPr>
  </w:style>
  <w:style w:type="paragraph" w:styleId="Obsah2">
    <w:name w:val="toc 2"/>
    <w:basedOn w:val="Normlny"/>
    <w:next w:val="Normlny"/>
    <w:autoRedefine/>
    <w:uiPriority w:val="39"/>
    <w:unhideWhenUsed/>
    <w:rsid w:val="000516F8"/>
    <w:pPr>
      <w:tabs>
        <w:tab w:val="right" w:leader="dot" w:pos="9062"/>
      </w:tabs>
      <w:ind w:left="240"/>
    </w:pPr>
    <w:rPr>
      <w:rFonts w:ascii="Times New Roman" w:hAnsi="Times New Roman" w:cs="Times New Roman"/>
      <w:bCs/>
      <w:iCs/>
      <w:noProof/>
    </w:rPr>
  </w:style>
  <w:style w:type="character" w:customStyle="1" w:styleId="spanr">
    <w:name w:val="span_r"/>
    <w:rsid w:val="006F7083"/>
  </w:style>
  <w:style w:type="character" w:styleId="Siln">
    <w:name w:val="Strong"/>
    <w:basedOn w:val="Predvolenpsmoodseku"/>
    <w:uiPriority w:val="22"/>
    <w:qFormat/>
    <w:rsid w:val="006F7083"/>
    <w:rPr>
      <w:rFonts w:cs="Times New Roman"/>
      <w:b/>
    </w:rPr>
  </w:style>
  <w:style w:type="paragraph" w:customStyle="1" w:styleId="Char">
    <w:name w:val="Char"/>
    <w:basedOn w:val="Normlny"/>
    <w:qFormat/>
    <w:rsid w:val="006F7083"/>
    <w:pPr>
      <w:spacing w:after="160" w:line="240" w:lineRule="exact"/>
    </w:pPr>
    <w:rPr>
      <w:rFonts w:ascii="Tahoma" w:hAnsi="Tahoma" w:cs="Tahoma"/>
      <w:sz w:val="20"/>
      <w:szCs w:val="20"/>
      <w:lang w:val="en-US" w:eastAsia="en-US"/>
    </w:rPr>
  </w:style>
  <w:style w:type="character" w:customStyle="1" w:styleId="st1">
    <w:name w:val="st1"/>
    <w:rsid w:val="006F7083"/>
  </w:style>
  <w:style w:type="paragraph" w:customStyle="1" w:styleId="BodyText25">
    <w:name w:val="Body Text 25"/>
    <w:basedOn w:val="Normlny"/>
    <w:qFormat/>
    <w:rsid w:val="006F7083"/>
    <w:pPr>
      <w:overflowPunct w:val="0"/>
      <w:autoSpaceDE w:val="0"/>
      <w:autoSpaceDN w:val="0"/>
      <w:adjustRightInd w:val="0"/>
      <w:ind w:left="4111" w:hanging="3403"/>
      <w:textAlignment w:val="baseline"/>
    </w:pPr>
    <w:rPr>
      <w:rFonts w:ascii="Times New Roman" w:hAnsi="Times New Roman" w:cs="Times New Roman"/>
      <w:b/>
      <w:i/>
      <w:sz w:val="26"/>
      <w:szCs w:val="20"/>
      <w:lang w:eastAsia="sk-SK"/>
    </w:rPr>
  </w:style>
  <w:style w:type="table" w:styleId="Mriekatabuky">
    <w:name w:val="Table Grid"/>
    <w:basedOn w:val="Normlnatabuka"/>
    <w:uiPriority w:val="39"/>
    <w:rsid w:val="006F086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6D4ABC"/>
    <w:rPr>
      <w:rFonts w:ascii="Arial Narrow" w:hAnsi="Arial Narrow"/>
      <w:sz w:val="22"/>
      <w:szCs w:val="36"/>
      <w:lang w:eastAsia="en-US"/>
    </w:rPr>
  </w:style>
  <w:style w:type="character" w:styleId="PouitHypertextovPrepojenie">
    <w:name w:val="FollowedHyperlink"/>
    <w:basedOn w:val="Predvolenpsmoodseku"/>
    <w:uiPriority w:val="99"/>
    <w:semiHidden/>
    <w:unhideWhenUsed/>
    <w:rsid w:val="005313F8"/>
    <w:rPr>
      <w:rFonts w:cs="Times New Roman"/>
      <w:color w:val="800080"/>
      <w:u w:val="single"/>
    </w:rPr>
  </w:style>
  <w:style w:type="character" w:customStyle="1" w:styleId="Nadpis1Char1">
    <w:name w:val="Nadpis 1 Char1"/>
    <w:aliases w:val="Char5 Char Char1,Nadpis 1 Char Char Char1,Heading 1 Char Char Char Char Char Char1,Heading 1 Char Char Char Char Char2,Heading 1 Char Char Char Char2,Čo robí (časť) Char1"/>
    <w:rsid w:val="005313F8"/>
    <w:rPr>
      <w:rFonts w:ascii="Cambria" w:hAnsi="Cambria"/>
      <w:b/>
      <w:color w:val="365F91"/>
      <w:sz w:val="28"/>
      <w:lang w:val="x-none" w:eastAsia="cs-CZ"/>
    </w:rPr>
  </w:style>
  <w:style w:type="character" w:customStyle="1" w:styleId="Nadpis2Char1">
    <w:name w:val="Nadpis 2 Char1"/>
    <w:aliases w:val="Nadpis 2 Char Char Char Char2,Nadpis 2 Char Char Char Char Char1,Nadpis 2 Char Char Char2,Úloha Char1"/>
    <w:uiPriority w:val="99"/>
    <w:semiHidden/>
    <w:rsid w:val="005313F8"/>
    <w:rPr>
      <w:rFonts w:ascii="Cambria" w:hAnsi="Cambria"/>
      <w:b/>
      <w:color w:val="4F81BD"/>
      <w:sz w:val="26"/>
      <w:lang w:val="x-none" w:eastAsia="cs-CZ"/>
    </w:rPr>
  </w:style>
  <w:style w:type="character" w:customStyle="1" w:styleId="Nadpis3Char1">
    <w:name w:val="Nadpis 3 Char1"/>
    <w:aliases w:val="Char4 Char Char1,Nadpis 3 Char Char Char1,Heading 3 Char Char Char Char1,Podúloha Char1"/>
    <w:semiHidden/>
    <w:rsid w:val="005313F8"/>
    <w:rPr>
      <w:rFonts w:ascii="Cambria" w:hAnsi="Cambria"/>
      <w:b/>
      <w:color w:val="4F81BD"/>
      <w:sz w:val="24"/>
      <w:lang w:val="x-none" w:eastAsia="cs-CZ"/>
    </w:rPr>
  </w:style>
  <w:style w:type="character" w:customStyle="1" w:styleId="Nadpis4Char1">
    <w:name w:val="Nadpis 4 Char1"/>
    <w:aliases w:val="Char Char Char1,Nadpis 4 Char Char Char1,Heading 4 Char Char Char Char1,Termín Char1"/>
    <w:semiHidden/>
    <w:rsid w:val="005313F8"/>
    <w:rPr>
      <w:rFonts w:ascii="Cambria" w:hAnsi="Cambria"/>
      <w:b/>
      <w:i/>
      <w:color w:val="4F81BD"/>
      <w:sz w:val="24"/>
      <w:lang w:val="x-none" w:eastAsia="cs-CZ"/>
    </w:rPr>
  </w:style>
  <w:style w:type="character" w:customStyle="1" w:styleId="TextpoznmkypodiarouChar1">
    <w:name w:val="Text poznámky pod čiarou Char1"/>
    <w:aliases w:val="Footnote Text Char2 Char1,Footnote Text Char1 Char Char1,Footnote Text Char2 Char Char Char1,Footnote Text Char1 Char Char Char Char1,Footnote Text Char2 Char Char Char Char Char1,Footnote Text Char1 Char2"/>
    <w:semiHidden/>
    <w:rsid w:val="005313F8"/>
    <w:rPr>
      <w:rFonts w:ascii="Courier" w:hAnsi="Courier"/>
      <w:lang w:val="x-none" w:eastAsia="cs-CZ"/>
    </w:rPr>
  </w:style>
  <w:style w:type="character" w:customStyle="1" w:styleId="HlavikaChar1">
    <w:name w:val="Hlavička Char1"/>
    <w:aliases w:val="Hlavička Char Char Char Char1"/>
    <w:uiPriority w:val="99"/>
    <w:semiHidden/>
    <w:rsid w:val="005313F8"/>
    <w:rPr>
      <w:rFonts w:ascii="Courier" w:hAnsi="Courier"/>
      <w:sz w:val="24"/>
      <w:lang w:val="x-none" w:eastAsia="cs-CZ"/>
    </w:rPr>
  </w:style>
  <w:style w:type="character" w:customStyle="1" w:styleId="PtaChar1">
    <w:name w:val="Päta Char1"/>
    <w:aliases w:val="Char11 Char Char1,Päta Char Char Char1,Footer Char Char Char Char1"/>
    <w:uiPriority w:val="99"/>
    <w:semiHidden/>
    <w:rsid w:val="005313F8"/>
    <w:rPr>
      <w:rFonts w:ascii="Courier" w:hAnsi="Courier"/>
      <w:sz w:val="24"/>
      <w:lang w:val="x-none" w:eastAsia="cs-CZ"/>
    </w:rPr>
  </w:style>
  <w:style w:type="character" w:customStyle="1" w:styleId="ZkladntextChar1">
    <w:name w:val="Základný text Char1"/>
    <w:aliases w:val="Char14 Char Char Char1,Základný text Char Char Char1,Body Text Char Char Char Char Char Char1,Body Text Char Char Char Char Char2,Char14 Char Char2,Body Text Char Char Char Char2"/>
    <w:semiHidden/>
    <w:rsid w:val="005313F8"/>
    <w:rPr>
      <w:rFonts w:ascii="Courier" w:hAnsi="Courier"/>
      <w:sz w:val="24"/>
      <w:lang w:val="x-none" w:eastAsia="cs-CZ"/>
    </w:rPr>
  </w:style>
  <w:style w:type="character" w:customStyle="1" w:styleId="Zkladntext2Char1">
    <w:name w:val="Základný text 2 Char1"/>
    <w:aliases w:val="Základný text 2 Char Char Char1,Body Text 2 Char Char Char Char1"/>
    <w:uiPriority w:val="99"/>
    <w:semiHidden/>
    <w:rsid w:val="005313F8"/>
    <w:rPr>
      <w:rFonts w:ascii="Courier" w:hAnsi="Courier"/>
      <w:sz w:val="24"/>
      <w:lang w:val="x-none" w:eastAsia="cs-CZ"/>
    </w:rPr>
  </w:style>
  <w:style w:type="character" w:customStyle="1" w:styleId="Zarkazkladnhotextu2Char1">
    <w:name w:val="Zarážka základného textu 2 Char1"/>
    <w:aliases w:val="Char10 Char Char1,Zarážka základného textu 2 Char Char Char1,Body Text Indent 2 Char Char Char Char1"/>
    <w:uiPriority w:val="99"/>
    <w:semiHidden/>
    <w:rsid w:val="005313F8"/>
    <w:rPr>
      <w:rFonts w:ascii="Courier" w:hAnsi="Courier"/>
      <w:sz w:val="24"/>
      <w:lang w:val="x-none" w:eastAsia="cs-CZ"/>
    </w:rPr>
  </w:style>
  <w:style w:type="character" w:customStyle="1" w:styleId="Zarkazkladnhotextu3Char1">
    <w:name w:val="Zarážka základného textu 3 Char1"/>
    <w:aliases w:val="Char2 Char Char1,Zarážka základného textu 3 Char Char Char1,Body Text Indent 3 Char Char Char Char1"/>
    <w:uiPriority w:val="99"/>
    <w:semiHidden/>
    <w:rsid w:val="005313F8"/>
    <w:rPr>
      <w:rFonts w:ascii="Courier" w:hAnsi="Courier"/>
      <w:sz w:val="16"/>
      <w:lang w:val="x-none" w:eastAsia="cs-CZ"/>
    </w:rPr>
  </w:style>
  <w:style w:type="character" w:customStyle="1" w:styleId="TextbublinyChar1">
    <w:name w:val="Text bubliny Char1"/>
    <w:aliases w:val="Char13 Char Char1,Text bubliny Char Char Char1,Balloon Text Char Char Char1"/>
    <w:uiPriority w:val="99"/>
    <w:semiHidden/>
    <w:rsid w:val="005313F8"/>
    <w:rPr>
      <w:rFonts w:ascii="Tahoma" w:hAnsi="Tahoma"/>
      <w:sz w:val="16"/>
      <w:lang w:val="x-none" w:eastAsia="cs-CZ"/>
    </w:rPr>
  </w:style>
  <w:style w:type="character" w:styleId="Odkaznakomentr">
    <w:name w:val="annotation reference"/>
    <w:basedOn w:val="Predvolenpsmoodseku"/>
    <w:uiPriority w:val="99"/>
    <w:semiHidden/>
    <w:unhideWhenUsed/>
    <w:rsid w:val="000A6169"/>
    <w:rPr>
      <w:rFonts w:cs="Times New Roman"/>
      <w:sz w:val="16"/>
    </w:rPr>
  </w:style>
  <w:style w:type="character" w:customStyle="1" w:styleId="NzovChar1">
    <w:name w:val="Názov Char1"/>
    <w:uiPriority w:val="99"/>
    <w:rsid w:val="00043DCE"/>
    <w:rPr>
      <w:rFonts w:ascii="Arial Black" w:hAnsi="Arial Black"/>
      <w:b/>
      <w:sz w:val="24"/>
      <w:lang w:val="x-none" w:eastAsia="sk-SK"/>
    </w:rPr>
  </w:style>
  <w:style w:type="paragraph" w:styleId="Revzia">
    <w:name w:val="Revision"/>
    <w:hidden/>
    <w:uiPriority w:val="99"/>
    <w:semiHidden/>
    <w:rsid w:val="00043DCE"/>
    <w:rPr>
      <w:rFonts w:ascii="Courier" w:hAnsi="Courier" w:cs="Courier"/>
      <w:sz w:val="24"/>
      <w:szCs w:val="24"/>
      <w:lang w:eastAsia="cs-CZ"/>
    </w:rPr>
  </w:style>
  <w:style w:type="paragraph" w:customStyle="1" w:styleId="NormalList">
    <w:name w:val="NormalList"/>
    <w:basedOn w:val="Normlny"/>
    <w:qFormat/>
    <w:rsid w:val="00043DCE"/>
    <w:pPr>
      <w:jc w:val="both"/>
    </w:pPr>
    <w:rPr>
      <w:rFonts w:ascii="Arial Narrow" w:hAnsi="Arial Narrow" w:cs="Book Antiqua"/>
      <w:sz w:val="22"/>
      <w:szCs w:val="22"/>
      <w:lang w:eastAsia="en-US"/>
    </w:rPr>
  </w:style>
  <w:style w:type="paragraph" w:customStyle="1" w:styleId="Par-numbera">
    <w:name w:val="Par-number (a)"/>
    <w:basedOn w:val="Normlny"/>
    <w:qFormat/>
    <w:rsid w:val="00012093"/>
    <w:pPr>
      <w:spacing w:line="360" w:lineRule="auto"/>
    </w:pPr>
    <w:rPr>
      <w:rFonts w:ascii="Times New Roman" w:hAnsi="Times New Roman" w:cs="Times New Roman"/>
      <w:lang w:eastAsia="fr-BE"/>
    </w:rPr>
  </w:style>
  <w:style w:type="table" w:customStyle="1" w:styleId="Mriekatabuky1">
    <w:name w:val="Mriežka tabuľky1"/>
    <w:basedOn w:val="Normlnatabuka"/>
    <w:next w:val="Mriekatabuky"/>
    <w:uiPriority w:val="3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170">
    <w:name w:val="Štruktúra dokumentu Char1170"/>
    <w:aliases w:val="Char9 Char Char1171,Štruktúra dokumentu Char Char Char1171,Document Map Char Char Char1171"/>
    <w:uiPriority w:val="99"/>
    <w:semiHidden/>
    <w:rsid w:val="006B0C7A"/>
    <w:rPr>
      <w:rFonts w:ascii="Tahoma" w:hAnsi="Tahoma"/>
      <w:sz w:val="16"/>
      <w:lang w:val="x-none" w:eastAsia="cs-CZ"/>
    </w:rPr>
  </w:style>
  <w:style w:type="character" w:customStyle="1" w:styleId="truktradokumentuChar1169">
    <w:name w:val="Štruktúra dokumentu Char1169"/>
    <w:aliases w:val="Char9 Char Char1170,Štruktúra dokumentu Char Char Char1170,Document Map Char Char Char1170"/>
    <w:uiPriority w:val="99"/>
    <w:semiHidden/>
    <w:rsid w:val="006B0C7A"/>
    <w:rPr>
      <w:rFonts w:ascii="Tahoma" w:hAnsi="Tahoma"/>
      <w:sz w:val="16"/>
      <w:lang w:val="x-none" w:eastAsia="cs-CZ"/>
    </w:rPr>
  </w:style>
  <w:style w:type="character" w:customStyle="1" w:styleId="truktradokumentuChar1168">
    <w:name w:val="Štruktúra dokumentu Char1168"/>
    <w:aliases w:val="Char9 Char Char1169,Štruktúra dokumentu Char Char Char1169,Document Map Char Char Char1169"/>
    <w:uiPriority w:val="99"/>
    <w:semiHidden/>
    <w:rsid w:val="006B0C7A"/>
    <w:rPr>
      <w:rFonts w:ascii="Tahoma" w:hAnsi="Tahoma"/>
      <w:sz w:val="16"/>
      <w:lang w:val="x-none" w:eastAsia="cs-CZ"/>
    </w:rPr>
  </w:style>
  <w:style w:type="character" w:customStyle="1" w:styleId="truktradokumentuChar1167">
    <w:name w:val="Štruktúra dokumentu Char1167"/>
    <w:aliases w:val="Char9 Char Char1168,Štruktúra dokumentu Char Char Char1168,Document Map Char Char Char1168"/>
    <w:uiPriority w:val="99"/>
    <w:semiHidden/>
    <w:rsid w:val="006B0C7A"/>
    <w:rPr>
      <w:rFonts w:ascii="Tahoma" w:hAnsi="Tahoma"/>
      <w:sz w:val="16"/>
      <w:lang w:val="x-none" w:eastAsia="cs-CZ"/>
    </w:rPr>
  </w:style>
  <w:style w:type="character" w:customStyle="1" w:styleId="truktradokumentuChar1166">
    <w:name w:val="Štruktúra dokumentu Char1166"/>
    <w:aliases w:val="Char9 Char Char1167,Štruktúra dokumentu Char Char Char1167,Document Map Char Char Char1167"/>
    <w:uiPriority w:val="99"/>
    <w:semiHidden/>
    <w:rsid w:val="006B0C7A"/>
    <w:rPr>
      <w:rFonts w:ascii="Tahoma" w:hAnsi="Tahoma"/>
      <w:sz w:val="16"/>
      <w:lang w:val="x-none" w:eastAsia="cs-CZ"/>
    </w:rPr>
  </w:style>
  <w:style w:type="character" w:customStyle="1" w:styleId="TextkomentraChar1170">
    <w:name w:val="Text komentára Char1170"/>
    <w:aliases w:val="Char7 Char Char1171,Text komentára Char Char Char1171,Comment Text Char Char Char1171"/>
    <w:uiPriority w:val="99"/>
    <w:semiHidden/>
    <w:rsid w:val="006B0C7A"/>
    <w:rPr>
      <w:rFonts w:ascii="Courier" w:hAnsi="Courier"/>
      <w:lang w:val="x-none" w:eastAsia="cs-CZ"/>
    </w:rPr>
  </w:style>
  <w:style w:type="character" w:customStyle="1" w:styleId="TextkomentraChar1169">
    <w:name w:val="Text komentára Char1169"/>
    <w:aliases w:val="Char7 Char Char1170,Text komentára Char Char Char1170,Comment Text Char Char Char1170"/>
    <w:uiPriority w:val="99"/>
    <w:semiHidden/>
    <w:rsid w:val="006B0C7A"/>
    <w:rPr>
      <w:rFonts w:ascii="Courier" w:hAnsi="Courier"/>
      <w:lang w:val="x-none" w:eastAsia="cs-CZ"/>
    </w:rPr>
  </w:style>
  <w:style w:type="character" w:customStyle="1" w:styleId="TextkomentraChar1168">
    <w:name w:val="Text komentára Char1168"/>
    <w:aliases w:val="Char7 Char Char1169,Text komentára Char Char Char1169,Comment Text Char Char Char1169"/>
    <w:uiPriority w:val="99"/>
    <w:semiHidden/>
    <w:rsid w:val="006B0C7A"/>
    <w:rPr>
      <w:rFonts w:ascii="Courier" w:hAnsi="Courier"/>
      <w:lang w:val="x-none" w:eastAsia="cs-CZ"/>
    </w:rPr>
  </w:style>
  <w:style w:type="character" w:customStyle="1" w:styleId="TextkomentraChar1167">
    <w:name w:val="Text komentára Char1167"/>
    <w:aliases w:val="Char7 Char Char1168,Text komentára Char Char Char1168,Comment Text Char Char Char1168"/>
    <w:uiPriority w:val="99"/>
    <w:semiHidden/>
    <w:rsid w:val="006B0C7A"/>
    <w:rPr>
      <w:rFonts w:ascii="Courier" w:hAnsi="Courier"/>
      <w:lang w:val="x-none" w:eastAsia="cs-CZ"/>
    </w:rPr>
  </w:style>
  <w:style w:type="character" w:customStyle="1" w:styleId="TextkomentraChar1166">
    <w:name w:val="Text komentára Char1166"/>
    <w:aliases w:val="Char7 Char Char1167,Text komentára Char Char Char1167,Comment Text Char Char Char1167"/>
    <w:uiPriority w:val="99"/>
    <w:semiHidden/>
    <w:rsid w:val="006B0C7A"/>
    <w:rPr>
      <w:rFonts w:ascii="Courier" w:hAnsi="Courier"/>
      <w:lang w:val="x-none" w:eastAsia="cs-CZ"/>
    </w:rPr>
  </w:style>
  <w:style w:type="character" w:customStyle="1" w:styleId="PredmetkomentraChar1170">
    <w:name w:val="Predmet komentára Char1170"/>
    <w:aliases w:val="Char6 Char Char1171,Predmet komentára Char Char Char1171,Comment Subject Char Char Char1171"/>
    <w:uiPriority w:val="99"/>
    <w:semiHidden/>
    <w:rsid w:val="006B0C7A"/>
    <w:rPr>
      <w:rFonts w:ascii="Courier" w:hAnsi="Courier"/>
      <w:b/>
      <w:lang w:val="x-none" w:eastAsia="cs-CZ"/>
    </w:rPr>
  </w:style>
  <w:style w:type="character" w:customStyle="1" w:styleId="PredmetkomentraChar1169">
    <w:name w:val="Predmet komentára Char1169"/>
    <w:aliases w:val="Char6 Char Char1170,Predmet komentára Char Char Char1170,Comment Subject Char Char Char1170"/>
    <w:uiPriority w:val="99"/>
    <w:semiHidden/>
    <w:rsid w:val="006B0C7A"/>
    <w:rPr>
      <w:rFonts w:ascii="Courier" w:hAnsi="Courier"/>
      <w:b/>
      <w:lang w:val="x-none" w:eastAsia="cs-CZ"/>
    </w:rPr>
  </w:style>
  <w:style w:type="character" w:customStyle="1" w:styleId="PredmetkomentraChar1168">
    <w:name w:val="Predmet komentára Char1168"/>
    <w:aliases w:val="Char6 Char Char1169,Predmet komentára Char Char Char1169,Comment Subject Char Char Char1169"/>
    <w:uiPriority w:val="99"/>
    <w:semiHidden/>
    <w:rsid w:val="006B0C7A"/>
    <w:rPr>
      <w:rFonts w:ascii="Courier" w:hAnsi="Courier"/>
      <w:b/>
      <w:lang w:val="x-none" w:eastAsia="cs-CZ"/>
    </w:rPr>
  </w:style>
  <w:style w:type="character" w:customStyle="1" w:styleId="PredmetkomentraChar1167">
    <w:name w:val="Predmet komentára Char1167"/>
    <w:aliases w:val="Char6 Char Char1168,Predmet komentára Char Char Char1168,Comment Subject Char Char Char1168"/>
    <w:uiPriority w:val="99"/>
    <w:semiHidden/>
    <w:rsid w:val="006B0C7A"/>
    <w:rPr>
      <w:rFonts w:ascii="Courier" w:hAnsi="Courier"/>
      <w:b/>
      <w:lang w:val="x-none" w:eastAsia="cs-CZ"/>
    </w:rPr>
  </w:style>
  <w:style w:type="character" w:customStyle="1" w:styleId="PredmetkomentraChar1166">
    <w:name w:val="Predmet komentára Char1166"/>
    <w:aliases w:val="Char6 Char Char1167,Predmet komentára Char Char Char1167,Comment Subject Char Char Char1167"/>
    <w:uiPriority w:val="99"/>
    <w:semiHidden/>
    <w:rsid w:val="006B0C7A"/>
    <w:rPr>
      <w:rFonts w:ascii="Courier" w:hAnsi="Courier"/>
      <w:b/>
      <w:lang w:val="x-none" w:eastAsia="cs-CZ"/>
    </w:rPr>
  </w:style>
  <w:style w:type="character" w:customStyle="1" w:styleId="ObyajntextChar1170">
    <w:name w:val="Obyčajný text Char1170"/>
    <w:aliases w:val="Obyčajný text Char Char Char Char1171"/>
    <w:uiPriority w:val="99"/>
    <w:semiHidden/>
    <w:rsid w:val="006B0C7A"/>
    <w:rPr>
      <w:rFonts w:ascii="Courier New" w:hAnsi="Courier New"/>
      <w:lang w:val="x-none" w:eastAsia="cs-CZ"/>
    </w:rPr>
  </w:style>
  <w:style w:type="character" w:customStyle="1" w:styleId="ObyajntextChar1169">
    <w:name w:val="Obyčajný text Char1169"/>
    <w:aliases w:val="Obyčajný text Char Char Char Char1170"/>
    <w:uiPriority w:val="99"/>
    <w:semiHidden/>
    <w:rsid w:val="006B0C7A"/>
    <w:rPr>
      <w:rFonts w:ascii="Courier New" w:hAnsi="Courier New"/>
      <w:lang w:val="x-none" w:eastAsia="cs-CZ"/>
    </w:rPr>
  </w:style>
  <w:style w:type="character" w:customStyle="1" w:styleId="ObyajntextChar1168">
    <w:name w:val="Obyčajný text Char1168"/>
    <w:aliases w:val="Obyčajný text Char Char Char Char1169"/>
    <w:uiPriority w:val="99"/>
    <w:semiHidden/>
    <w:rsid w:val="006B0C7A"/>
    <w:rPr>
      <w:rFonts w:ascii="Courier New" w:hAnsi="Courier New"/>
      <w:lang w:val="x-none" w:eastAsia="cs-CZ"/>
    </w:rPr>
  </w:style>
  <w:style w:type="character" w:customStyle="1" w:styleId="ObyajntextChar1167">
    <w:name w:val="Obyčajný text Char1167"/>
    <w:aliases w:val="Obyčajný text Char Char Char Char1168"/>
    <w:uiPriority w:val="99"/>
    <w:semiHidden/>
    <w:rsid w:val="006B0C7A"/>
    <w:rPr>
      <w:rFonts w:ascii="Courier New" w:hAnsi="Courier New"/>
      <w:lang w:val="x-none" w:eastAsia="cs-CZ"/>
    </w:rPr>
  </w:style>
  <w:style w:type="character" w:customStyle="1" w:styleId="ObyajntextChar1166">
    <w:name w:val="Obyčajný text Char1166"/>
    <w:aliases w:val="Obyčajný text Char Char Char Char1167"/>
    <w:uiPriority w:val="99"/>
    <w:semiHidden/>
    <w:rsid w:val="006B0C7A"/>
    <w:rPr>
      <w:rFonts w:ascii="Courier New" w:hAnsi="Courier New"/>
      <w:lang w:val="x-none" w:eastAsia="cs-CZ"/>
    </w:rPr>
  </w:style>
  <w:style w:type="paragraph" w:customStyle="1" w:styleId="Bulletslevel1">
    <w:name w:val="Bullets level 1"/>
    <w:basedOn w:val="Normlny"/>
    <w:link w:val="Bulletslevel1Char"/>
    <w:qFormat/>
    <w:rsid w:val="00AD3CD2"/>
    <w:pPr>
      <w:numPr>
        <w:numId w:val="4"/>
      </w:numPr>
      <w:spacing w:before="120" w:after="120"/>
      <w:contextualSpacing/>
      <w:jc w:val="both"/>
    </w:pPr>
    <w:rPr>
      <w:rFonts w:ascii="Arial" w:hAnsi="Arial" w:cs="Times New Roman"/>
      <w:color w:val="000000"/>
      <w:sz w:val="19"/>
      <w:szCs w:val="20"/>
      <w:lang w:val="en-GB" w:eastAsia="en-US"/>
    </w:rPr>
  </w:style>
  <w:style w:type="character" w:customStyle="1" w:styleId="Bulletslevel1Char">
    <w:name w:val="Bullets level 1 Char"/>
    <w:link w:val="Bulletslevel1"/>
    <w:locked/>
    <w:rsid w:val="00AD3CD2"/>
    <w:rPr>
      <w:rFonts w:ascii="Arial" w:hAnsi="Arial"/>
      <w:color w:val="000000"/>
      <w:sz w:val="19"/>
      <w:lang w:val="en-GB" w:eastAsia="en-US"/>
    </w:rPr>
  </w:style>
  <w:style w:type="paragraph" w:customStyle="1" w:styleId="List0">
    <w:name w:val="List 0"/>
    <w:basedOn w:val="Normlny"/>
    <w:semiHidden/>
    <w:qFormat/>
    <w:rsid w:val="00CD21B0"/>
    <w:pPr>
      <w:numPr>
        <w:numId w:val="1"/>
      </w:numPr>
    </w:pPr>
    <w:rPr>
      <w:rFonts w:ascii="Times New Roman" w:hAnsi="Times New Roman" w:cs="Times New Roman"/>
      <w:sz w:val="20"/>
      <w:szCs w:val="20"/>
      <w:lang w:eastAsia="sk-SK"/>
    </w:rPr>
  </w:style>
  <w:style w:type="paragraph" w:styleId="Obsah3">
    <w:name w:val="toc 3"/>
    <w:basedOn w:val="Normlny"/>
    <w:next w:val="Normlny"/>
    <w:autoRedefine/>
    <w:uiPriority w:val="39"/>
    <w:unhideWhenUsed/>
    <w:rsid w:val="008A51BA"/>
    <w:pPr>
      <w:spacing w:after="100" w:line="276" w:lineRule="auto"/>
      <w:ind w:left="440"/>
    </w:pPr>
    <w:rPr>
      <w:rFonts w:ascii="Calibri" w:hAnsi="Calibri" w:cs="Times New Roman"/>
      <w:sz w:val="22"/>
      <w:szCs w:val="22"/>
      <w:lang w:eastAsia="sk-SK"/>
    </w:rPr>
  </w:style>
  <w:style w:type="paragraph" w:styleId="Obsah4">
    <w:name w:val="toc 4"/>
    <w:basedOn w:val="Normlny"/>
    <w:next w:val="Normlny"/>
    <w:autoRedefine/>
    <w:uiPriority w:val="39"/>
    <w:unhideWhenUsed/>
    <w:rsid w:val="008A51BA"/>
    <w:pPr>
      <w:spacing w:after="100" w:line="276" w:lineRule="auto"/>
      <w:ind w:left="660"/>
    </w:pPr>
    <w:rPr>
      <w:rFonts w:ascii="Calibri" w:hAnsi="Calibri" w:cs="Times New Roman"/>
      <w:sz w:val="22"/>
      <w:szCs w:val="22"/>
      <w:lang w:eastAsia="sk-SK"/>
    </w:rPr>
  </w:style>
  <w:style w:type="paragraph" w:styleId="Obsah5">
    <w:name w:val="toc 5"/>
    <w:basedOn w:val="Normlny"/>
    <w:next w:val="Normlny"/>
    <w:autoRedefine/>
    <w:uiPriority w:val="39"/>
    <w:unhideWhenUsed/>
    <w:rsid w:val="008A51BA"/>
    <w:pPr>
      <w:spacing w:after="100" w:line="276" w:lineRule="auto"/>
      <w:ind w:left="880"/>
    </w:pPr>
    <w:rPr>
      <w:rFonts w:ascii="Calibri" w:hAnsi="Calibri" w:cs="Times New Roman"/>
      <w:sz w:val="22"/>
      <w:szCs w:val="22"/>
      <w:lang w:eastAsia="sk-SK"/>
    </w:rPr>
  </w:style>
  <w:style w:type="paragraph" w:styleId="Obsah6">
    <w:name w:val="toc 6"/>
    <w:basedOn w:val="Normlny"/>
    <w:next w:val="Normlny"/>
    <w:autoRedefine/>
    <w:uiPriority w:val="39"/>
    <w:unhideWhenUsed/>
    <w:rsid w:val="008A51BA"/>
    <w:pPr>
      <w:spacing w:after="100" w:line="276" w:lineRule="auto"/>
      <w:ind w:left="1100"/>
    </w:pPr>
    <w:rPr>
      <w:rFonts w:ascii="Calibri" w:hAnsi="Calibri" w:cs="Times New Roman"/>
      <w:sz w:val="22"/>
      <w:szCs w:val="22"/>
      <w:lang w:eastAsia="sk-SK"/>
    </w:rPr>
  </w:style>
  <w:style w:type="paragraph" w:styleId="Obsah7">
    <w:name w:val="toc 7"/>
    <w:basedOn w:val="Normlny"/>
    <w:next w:val="Normlny"/>
    <w:autoRedefine/>
    <w:uiPriority w:val="39"/>
    <w:unhideWhenUsed/>
    <w:rsid w:val="008A51BA"/>
    <w:pPr>
      <w:spacing w:after="100" w:line="276" w:lineRule="auto"/>
      <w:ind w:left="1320"/>
    </w:pPr>
    <w:rPr>
      <w:rFonts w:ascii="Calibri" w:hAnsi="Calibri" w:cs="Times New Roman"/>
      <w:sz w:val="22"/>
      <w:szCs w:val="22"/>
      <w:lang w:eastAsia="sk-SK"/>
    </w:rPr>
  </w:style>
  <w:style w:type="paragraph" w:styleId="Obsah8">
    <w:name w:val="toc 8"/>
    <w:basedOn w:val="Normlny"/>
    <w:next w:val="Normlny"/>
    <w:autoRedefine/>
    <w:uiPriority w:val="39"/>
    <w:unhideWhenUsed/>
    <w:rsid w:val="008A51BA"/>
    <w:pPr>
      <w:spacing w:after="100" w:line="276" w:lineRule="auto"/>
      <w:ind w:left="1540"/>
    </w:pPr>
    <w:rPr>
      <w:rFonts w:ascii="Calibri" w:hAnsi="Calibri" w:cs="Times New Roman"/>
      <w:sz w:val="22"/>
      <w:szCs w:val="22"/>
      <w:lang w:eastAsia="sk-SK"/>
    </w:rPr>
  </w:style>
  <w:style w:type="paragraph" w:styleId="Obsah9">
    <w:name w:val="toc 9"/>
    <w:basedOn w:val="Normlny"/>
    <w:next w:val="Normlny"/>
    <w:autoRedefine/>
    <w:uiPriority w:val="39"/>
    <w:unhideWhenUsed/>
    <w:rsid w:val="008A51BA"/>
    <w:pPr>
      <w:spacing w:after="100" w:line="276" w:lineRule="auto"/>
      <w:ind w:left="1760"/>
    </w:pPr>
    <w:rPr>
      <w:rFonts w:ascii="Calibri" w:hAnsi="Calibri" w:cs="Times New Roman"/>
      <w:sz w:val="22"/>
      <w:szCs w:val="22"/>
      <w:lang w:eastAsia="sk-SK"/>
    </w:rPr>
  </w:style>
  <w:style w:type="paragraph" w:customStyle="1" w:styleId="titulok">
    <w:name w:val="titulok"/>
    <w:basedOn w:val="Normlny"/>
    <w:qFormat/>
    <w:rsid w:val="0079576C"/>
    <w:pPr>
      <w:spacing w:before="100" w:beforeAutospacing="1" w:after="100" w:afterAutospacing="1"/>
      <w:jc w:val="center"/>
    </w:pPr>
    <w:rPr>
      <w:rFonts w:ascii="Arial" w:hAnsi="Arial" w:cs="Arial"/>
      <w:b/>
      <w:bCs/>
      <w:color w:val="007060"/>
      <w:lang w:eastAsia="sk-SK"/>
    </w:rPr>
  </w:style>
  <w:style w:type="table" w:customStyle="1" w:styleId="Mriekatabuky3">
    <w:name w:val="Mriežka tabuľky3"/>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221107"/>
    <w:rPr>
      <w:sz w:val="20"/>
      <w:szCs w:val="20"/>
    </w:rPr>
  </w:style>
  <w:style w:type="character" w:customStyle="1" w:styleId="TextvysvetlivkyChar">
    <w:name w:val="Text vysvetlivky Char"/>
    <w:basedOn w:val="Predvolenpsmoodseku"/>
    <w:link w:val="Textvysvetlivky"/>
    <w:uiPriority w:val="99"/>
    <w:semiHidden/>
    <w:locked/>
    <w:rsid w:val="00221107"/>
    <w:rPr>
      <w:rFonts w:ascii="Courier" w:hAnsi="Courier" w:cs="Times New Roman"/>
      <w:lang w:val="x-none" w:eastAsia="cs-CZ"/>
    </w:rPr>
  </w:style>
  <w:style w:type="character" w:styleId="Odkaznavysvetlivku">
    <w:name w:val="endnote reference"/>
    <w:basedOn w:val="Predvolenpsmoodseku"/>
    <w:uiPriority w:val="99"/>
    <w:semiHidden/>
    <w:unhideWhenUsed/>
    <w:rsid w:val="00221107"/>
    <w:rPr>
      <w:rFonts w:cs="Times New Roman"/>
      <w:vertAlign w:val="superscript"/>
    </w:rPr>
  </w:style>
  <w:style w:type="character" w:customStyle="1" w:styleId="Nadpis7Char1">
    <w:name w:val="Nadpis 7 Char1"/>
    <w:uiPriority w:val="99"/>
    <w:semiHidden/>
    <w:rsid w:val="00684B88"/>
    <w:rPr>
      <w:rFonts w:ascii="Cambria" w:hAnsi="Cambria"/>
      <w:i/>
      <w:color w:val="404040"/>
      <w:sz w:val="24"/>
      <w:lang w:val="x-none" w:eastAsia="cs-CZ"/>
    </w:rPr>
  </w:style>
  <w:style w:type="character" w:customStyle="1" w:styleId="Nadpis8Char1">
    <w:name w:val="Nadpis 8 Char1"/>
    <w:uiPriority w:val="99"/>
    <w:semiHidden/>
    <w:rsid w:val="00684B88"/>
    <w:rPr>
      <w:rFonts w:ascii="Cambria" w:hAnsi="Cambria"/>
      <w:color w:val="404040"/>
      <w:lang w:val="x-none" w:eastAsia="cs-CZ"/>
    </w:rPr>
  </w:style>
  <w:style w:type="character" w:customStyle="1" w:styleId="Nadpis9Char1">
    <w:name w:val="Nadpis 9 Char1"/>
    <w:uiPriority w:val="99"/>
    <w:semiHidden/>
    <w:rsid w:val="00684B88"/>
    <w:rPr>
      <w:rFonts w:ascii="Cambria" w:hAnsi="Cambria"/>
      <w:i/>
      <w:color w:val="404040"/>
      <w:lang w:val="x-none" w:eastAsia="cs-CZ"/>
    </w:rPr>
  </w:style>
  <w:style w:type="character" w:customStyle="1" w:styleId="TextvysvetlivkyChar1">
    <w:name w:val="Text vysvetlivky Char1"/>
    <w:uiPriority w:val="99"/>
    <w:semiHidden/>
    <w:rsid w:val="00684B88"/>
    <w:rPr>
      <w:rFonts w:ascii="Courier" w:hAnsi="Courier"/>
      <w:sz w:val="20"/>
      <w:lang w:val="x-none" w:eastAsia="cs-CZ"/>
    </w:rPr>
  </w:style>
  <w:style w:type="table" w:customStyle="1" w:styleId="Mriekatabuky4">
    <w:name w:val="Mriežka tabuľky4"/>
    <w:basedOn w:val="Normlnatabuka"/>
    <w:next w:val="Mriekatabuky"/>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
    <w:name w:val="Mriežka tabuľky12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
    <w:name w:val="Mriežka tabuľky111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619">
    <w:name w:val="Štruktúra dokumentu Char1619"/>
    <w:aliases w:val="Char9 Char Char1620,Štruktúra dokumentu Char Char Char1620,Document Map Char Char Char1620"/>
    <w:uiPriority w:val="99"/>
    <w:semiHidden/>
    <w:rsid w:val="00432AC8"/>
    <w:rPr>
      <w:rFonts w:ascii="Tahoma" w:hAnsi="Tahoma"/>
      <w:sz w:val="16"/>
      <w:lang w:val="x-none" w:eastAsia="cs-CZ"/>
    </w:rPr>
  </w:style>
  <w:style w:type="character" w:customStyle="1" w:styleId="truktradokumentuChar1618">
    <w:name w:val="Štruktúra dokumentu Char1618"/>
    <w:aliases w:val="Char9 Char Char1619,Štruktúra dokumentu Char Char Char1619,Document Map Char Char Char1619"/>
    <w:uiPriority w:val="99"/>
    <w:semiHidden/>
    <w:rsid w:val="00432AC8"/>
    <w:rPr>
      <w:rFonts w:ascii="Tahoma" w:hAnsi="Tahoma"/>
      <w:sz w:val="16"/>
      <w:lang w:val="x-none" w:eastAsia="cs-CZ"/>
    </w:rPr>
  </w:style>
  <w:style w:type="character" w:customStyle="1" w:styleId="truktradokumentuChar1617">
    <w:name w:val="Štruktúra dokumentu Char1617"/>
    <w:aliases w:val="Char9 Char Char1618,Štruktúra dokumentu Char Char Char1618,Document Map Char Char Char1618"/>
    <w:uiPriority w:val="99"/>
    <w:semiHidden/>
    <w:rsid w:val="00432AC8"/>
    <w:rPr>
      <w:rFonts w:ascii="Tahoma" w:hAnsi="Tahoma"/>
      <w:sz w:val="16"/>
      <w:lang w:val="x-none" w:eastAsia="cs-CZ"/>
    </w:rPr>
  </w:style>
  <w:style w:type="character" w:customStyle="1" w:styleId="truktradokumentuChar1616">
    <w:name w:val="Štruktúra dokumentu Char1616"/>
    <w:aliases w:val="Char9 Char Char1617,Štruktúra dokumentu Char Char Char1617,Document Map Char Char Char1617"/>
    <w:uiPriority w:val="99"/>
    <w:semiHidden/>
    <w:rsid w:val="00432AC8"/>
    <w:rPr>
      <w:rFonts w:ascii="Tahoma" w:hAnsi="Tahoma"/>
      <w:sz w:val="16"/>
      <w:lang w:val="x-none" w:eastAsia="cs-CZ"/>
    </w:rPr>
  </w:style>
  <w:style w:type="character" w:customStyle="1" w:styleId="truktradokumentuChar1615">
    <w:name w:val="Štruktúra dokumentu Char1615"/>
    <w:aliases w:val="Char9 Char Char1616,Štruktúra dokumentu Char Char Char1616,Document Map Char Char Char1616"/>
    <w:uiPriority w:val="99"/>
    <w:semiHidden/>
    <w:rsid w:val="00432AC8"/>
    <w:rPr>
      <w:rFonts w:ascii="Tahoma" w:hAnsi="Tahoma"/>
      <w:sz w:val="16"/>
      <w:lang w:val="x-none" w:eastAsia="cs-CZ"/>
    </w:rPr>
  </w:style>
  <w:style w:type="character" w:customStyle="1" w:styleId="TextkomentraChar1619">
    <w:name w:val="Text komentára Char1619"/>
    <w:aliases w:val="Char7 Char Char1620,Text komentára Char Char Char1620,Comment Text Char Char Char1620"/>
    <w:uiPriority w:val="99"/>
    <w:semiHidden/>
    <w:rsid w:val="00432AC8"/>
    <w:rPr>
      <w:rFonts w:ascii="Courier" w:hAnsi="Courier"/>
      <w:lang w:val="x-none" w:eastAsia="cs-CZ"/>
    </w:rPr>
  </w:style>
  <w:style w:type="character" w:customStyle="1" w:styleId="TextkomentraChar1618">
    <w:name w:val="Text komentára Char1618"/>
    <w:aliases w:val="Char7 Char Char1619,Text komentára Char Char Char1619,Comment Text Char Char Char1619"/>
    <w:uiPriority w:val="99"/>
    <w:semiHidden/>
    <w:rsid w:val="00432AC8"/>
    <w:rPr>
      <w:rFonts w:ascii="Courier" w:hAnsi="Courier"/>
      <w:lang w:val="x-none" w:eastAsia="cs-CZ"/>
    </w:rPr>
  </w:style>
  <w:style w:type="character" w:customStyle="1" w:styleId="TextkomentraChar1617">
    <w:name w:val="Text komentára Char1617"/>
    <w:aliases w:val="Char7 Char Char1618,Text komentára Char Char Char1618,Comment Text Char Char Char1618"/>
    <w:uiPriority w:val="99"/>
    <w:semiHidden/>
    <w:rsid w:val="00432AC8"/>
    <w:rPr>
      <w:rFonts w:ascii="Courier" w:hAnsi="Courier"/>
      <w:lang w:val="x-none" w:eastAsia="cs-CZ"/>
    </w:rPr>
  </w:style>
  <w:style w:type="character" w:customStyle="1" w:styleId="TextkomentraChar1616">
    <w:name w:val="Text komentára Char1616"/>
    <w:aliases w:val="Char7 Char Char1617,Text komentára Char Char Char1617,Comment Text Char Char Char1617"/>
    <w:uiPriority w:val="99"/>
    <w:semiHidden/>
    <w:rsid w:val="00432AC8"/>
    <w:rPr>
      <w:rFonts w:ascii="Courier" w:hAnsi="Courier"/>
      <w:lang w:val="x-none" w:eastAsia="cs-CZ"/>
    </w:rPr>
  </w:style>
  <w:style w:type="character" w:customStyle="1" w:styleId="TextkomentraChar1615">
    <w:name w:val="Text komentára Char1615"/>
    <w:aliases w:val="Char7 Char Char1616,Text komentára Char Char Char1616,Comment Text Char Char Char1616"/>
    <w:uiPriority w:val="99"/>
    <w:semiHidden/>
    <w:rsid w:val="00432AC8"/>
    <w:rPr>
      <w:rFonts w:ascii="Courier" w:hAnsi="Courier"/>
      <w:lang w:val="x-none" w:eastAsia="cs-CZ"/>
    </w:rPr>
  </w:style>
  <w:style w:type="character" w:customStyle="1" w:styleId="PredmetkomentraChar1619">
    <w:name w:val="Predmet komentára Char1619"/>
    <w:aliases w:val="Char6 Char Char1620,Predmet komentára Char Char Char1620,Comment Subject Char Char Char1620"/>
    <w:uiPriority w:val="99"/>
    <w:semiHidden/>
    <w:rsid w:val="00432AC8"/>
    <w:rPr>
      <w:rFonts w:ascii="Courier" w:hAnsi="Courier"/>
      <w:b/>
      <w:lang w:val="x-none" w:eastAsia="cs-CZ"/>
    </w:rPr>
  </w:style>
  <w:style w:type="character" w:customStyle="1" w:styleId="PredmetkomentraChar1618">
    <w:name w:val="Predmet komentára Char1618"/>
    <w:aliases w:val="Char6 Char Char1619,Predmet komentára Char Char Char1619,Comment Subject Char Char Char1619"/>
    <w:uiPriority w:val="99"/>
    <w:semiHidden/>
    <w:rsid w:val="00432AC8"/>
    <w:rPr>
      <w:rFonts w:ascii="Courier" w:hAnsi="Courier"/>
      <w:b/>
      <w:lang w:val="x-none" w:eastAsia="cs-CZ"/>
    </w:rPr>
  </w:style>
  <w:style w:type="character" w:customStyle="1" w:styleId="PredmetkomentraChar1617">
    <w:name w:val="Predmet komentára Char1617"/>
    <w:aliases w:val="Char6 Char Char1618,Predmet komentára Char Char Char1618,Comment Subject Char Char Char1618"/>
    <w:uiPriority w:val="99"/>
    <w:semiHidden/>
    <w:rsid w:val="00432AC8"/>
    <w:rPr>
      <w:rFonts w:ascii="Courier" w:hAnsi="Courier"/>
      <w:b/>
      <w:lang w:val="x-none" w:eastAsia="cs-CZ"/>
    </w:rPr>
  </w:style>
  <w:style w:type="character" w:customStyle="1" w:styleId="PredmetkomentraChar1616">
    <w:name w:val="Predmet komentára Char1616"/>
    <w:aliases w:val="Char6 Char Char1617,Predmet komentára Char Char Char1617,Comment Subject Char Char Char1617"/>
    <w:uiPriority w:val="99"/>
    <w:semiHidden/>
    <w:rsid w:val="00432AC8"/>
    <w:rPr>
      <w:rFonts w:ascii="Courier" w:hAnsi="Courier"/>
      <w:b/>
      <w:lang w:val="x-none" w:eastAsia="cs-CZ"/>
    </w:rPr>
  </w:style>
  <w:style w:type="character" w:customStyle="1" w:styleId="PredmetkomentraChar1615">
    <w:name w:val="Predmet komentára Char1615"/>
    <w:aliases w:val="Char6 Char Char1616,Predmet komentára Char Char Char1616,Comment Subject Char Char Char1616"/>
    <w:uiPriority w:val="99"/>
    <w:semiHidden/>
    <w:rsid w:val="00432AC8"/>
    <w:rPr>
      <w:rFonts w:ascii="Courier" w:hAnsi="Courier"/>
      <w:b/>
      <w:lang w:val="x-none" w:eastAsia="cs-CZ"/>
    </w:rPr>
  </w:style>
  <w:style w:type="character" w:customStyle="1" w:styleId="ObyajntextChar1619">
    <w:name w:val="Obyčajný text Char1619"/>
    <w:aliases w:val="Obyčajný text Char Char Char Char1620"/>
    <w:uiPriority w:val="99"/>
    <w:semiHidden/>
    <w:rsid w:val="00432AC8"/>
    <w:rPr>
      <w:rFonts w:ascii="Courier New" w:hAnsi="Courier New"/>
      <w:lang w:val="x-none" w:eastAsia="cs-CZ"/>
    </w:rPr>
  </w:style>
  <w:style w:type="character" w:customStyle="1" w:styleId="ObyajntextChar1618">
    <w:name w:val="Obyčajný text Char1618"/>
    <w:aliases w:val="Obyčajný text Char Char Char Char1619"/>
    <w:uiPriority w:val="99"/>
    <w:semiHidden/>
    <w:rsid w:val="00432AC8"/>
    <w:rPr>
      <w:rFonts w:ascii="Courier New" w:hAnsi="Courier New"/>
      <w:lang w:val="x-none" w:eastAsia="cs-CZ"/>
    </w:rPr>
  </w:style>
  <w:style w:type="character" w:customStyle="1" w:styleId="ObyajntextChar1617">
    <w:name w:val="Obyčajný text Char1617"/>
    <w:aliases w:val="Obyčajný text Char Char Char Char1618"/>
    <w:uiPriority w:val="99"/>
    <w:semiHidden/>
    <w:rsid w:val="00432AC8"/>
    <w:rPr>
      <w:rFonts w:ascii="Courier New" w:hAnsi="Courier New"/>
      <w:lang w:val="x-none" w:eastAsia="cs-CZ"/>
    </w:rPr>
  </w:style>
  <w:style w:type="character" w:customStyle="1" w:styleId="ObyajntextChar1616">
    <w:name w:val="Obyčajný text Char1616"/>
    <w:aliases w:val="Obyčajný text Char Char Char Char1617"/>
    <w:uiPriority w:val="99"/>
    <w:semiHidden/>
    <w:rsid w:val="00432AC8"/>
    <w:rPr>
      <w:rFonts w:ascii="Courier New" w:hAnsi="Courier New"/>
      <w:lang w:val="x-none" w:eastAsia="cs-CZ"/>
    </w:rPr>
  </w:style>
  <w:style w:type="character" w:customStyle="1" w:styleId="ObyajntextChar1615">
    <w:name w:val="Obyčajný text Char1615"/>
    <w:aliases w:val="Obyčajný text Char Char Char Char1616"/>
    <w:uiPriority w:val="99"/>
    <w:semiHidden/>
    <w:rsid w:val="00432AC8"/>
    <w:rPr>
      <w:rFonts w:ascii="Courier New" w:hAnsi="Courier New"/>
      <w:lang w:val="x-none" w:eastAsia="cs-CZ"/>
    </w:rPr>
  </w:style>
  <w:style w:type="table" w:customStyle="1" w:styleId="Kalendr2">
    <w:name w:val="Kalendár 2"/>
    <w:basedOn w:val="Normlnatabuka"/>
    <w:uiPriority w:val="99"/>
    <w:qFormat/>
    <w:rsid w:val="00432AC8"/>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
    <w:name w:val="Bez zoznamu1"/>
    <w:next w:val="Bezzoznamu"/>
    <w:uiPriority w:val="99"/>
    <w:semiHidden/>
    <w:unhideWhenUsed/>
    <w:rsid w:val="006E1F2B"/>
  </w:style>
  <w:style w:type="character" w:customStyle="1" w:styleId="truktradokumentuChar1630">
    <w:name w:val="Štruktúra dokumentu Char1630"/>
    <w:aliases w:val="Char9 Char Char1631,Štruktúra dokumentu Char Char Char1631,Document Map Char Char Char1631"/>
    <w:basedOn w:val="Predvolenpsmoodseku"/>
    <w:uiPriority w:val="99"/>
    <w:semiHidden/>
    <w:rsid w:val="005208D3"/>
    <w:rPr>
      <w:rFonts w:ascii="Tahoma" w:hAnsi="Tahoma" w:cs="Tahoma"/>
      <w:sz w:val="16"/>
      <w:szCs w:val="16"/>
      <w:lang w:val="x-none" w:eastAsia="cs-CZ"/>
    </w:rPr>
  </w:style>
  <w:style w:type="character" w:customStyle="1" w:styleId="truktradokumentuChar1629">
    <w:name w:val="Štruktúra dokumentu Char1629"/>
    <w:aliases w:val="Char9 Char Char1630,Štruktúra dokumentu Char Char Char1630,Document Map Char Char Char1630"/>
    <w:basedOn w:val="Predvolenpsmoodseku"/>
    <w:uiPriority w:val="99"/>
    <w:semiHidden/>
    <w:rsid w:val="005208D3"/>
    <w:rPr>
      <w:rFonts w:ascii="Tahoma" w:hAnsi="Tahoma" w:cs="Tahoma"/>
      <w:sz w:val="16"/>
      <w:szCs w:val="16"/>
      <w:lang w:val="x-none" w:eastAsia="cs-CZ"/>
    </w:rPr>
  </w:style>
  <w:style w:type="character" w:customStyle="1" w:styleId="truktradokumentuChar1628">
    <w:name w:val="Štruktúra dokumentu Char1628"/>
    <w:aliases w:val="Char9 Char Char1629,Štruktúra dokumentu Char Char Char1629,Document Map Char Char Char1629"/>
    <w:basedOn w:val="Predvolenpsmoodseku"/>
    <w:uiPriority w:val="99"/>
    <w:semiHidden/>
    <w:rsid w:val="005208D3"/>
    <w:rPr>
      <w:rFonts w:ascii="Tahoma" w:hAnsi="Tahoma" w:cs="Tahoma"/>
      <w:sz w:val="16"/>
      <w:szCs w:val="16"/>
      <w:lang w:val="x-none" w:eastAsia="cs-CZ"/>
    </w:rPr>
  </w:style>
  <w:style w:type="character" w:customStyle="1" w:styleId="truktradokumentuChar1627">
    <w:name w:val="Štruktúra dokumentu Char1627"/>
    <w:aliases w:val="Char9 Char Char1628,Štruktúra dokumentu Char Char Char1628,Document Map Char Char Char1628"/>
    <w:basedOn w:val="Predvolenpsmoodseku"/>
    <w:uiPriority w:val="99"/>
    <w:semiHidden/>
    <w:rsid w:val="005208D3"/>
    <w:rPr>
      <w:rFonts w:ascii="Tahoma" w:hAnsi="Tahoma" w:cs="Tahoma"/>
      <w:sz w:val="16"/>
      <w:szCs w:val="16"/>
      <w:lang w:val="x-none" w:eastAsia="cs-CZ"/>
    </w:rPr>
  </w:style>
  <w:style w:type="character" w:customStyle="1" w:styleId="truktradokumentuChar1626">
    <w:name w:val="Štruktúra dokumentu Char1626"/>
    <w:aliases w:val="Char9 Char Char1627,Štruktúra dokumentu Char Char Char1627,Document Map Char Char Char1627"/>
    <w:basedOn w:val="Predvolenpsmoodseku"/>
    <w:uiPriority w:val="99"/>
    <w:semiHidden/>
    <w:rsid w:val="005208D3"/>
    <w:rPr>
      <w:rFonts w:ascii="Tahoma" w:hAnsi="Tahoma" w:cs="Tahoma"/>
      <w:sz w:val="16"/>
      <w:szCs w:val="16"/>
      <w:lang w:val="x-none" w:eastAsia="cs-CZ"/>
    </w:rPr>
  </w:style>
  <w:style w:type="character" w:customStyle="1" w:styleId="truktradokumentuChar1625">
    <w:name w:val="Štruktúra dokumentu Char1625"/>
    <w:aliases w:val="Char9 Char Char1626,Štruktúra dokumentu Char Char Char1626,Document Map Char Char Char1626"/>
    <w:basedOn w:val="Predvolenpsmoodseku"/>
    <w:uiPriority w:val="99"/>
    <w:semiHidden/>
    <w:rsid w:val="005208D3"/>
    <w:rPr>
      <w:rFonts w:ascii="Tahoma" w:hAnsi="Tahoma" w:cs="Tahoma"/>
      <w:sz w:val="16"/>
      <w:szCs w:val="16"/>
      <w:lang w:val="x-none" w:eastAsia="cs-CZ"/>
    </w:rPr>
  </w:style>
  <w:style w:type="character" w:customStyle="1" w:styleId="truktradokumentuChar1624">
    <w:name w:val="Štruktúra dokumentu Char1624"/>
    <w:aliases w:val="Char9 Char Char1625,Štruktúra dokumentu Char Char Char1625,Document Map Char Char Char1625"/>
    <w:basedOn w:val="Predvolenpsmoodseku"/>
    <w:uiPriority w:val="99"/>
    <w:semiHidden/>
    <w:rsid w:val="005208D3"/>
    <w:rPr>
      <w:rFonts w:ascii="Tahoma" w:hAnsi="Tahoma" w:cs="Tahoma"/>
      <w:sz w:val="16"/>
      <w:szCs w:val="16"/>
      <w:lang w:val="x-none" w:eastAsia="cs-CZ"/>
    </w:rPr>
  </w:style>
  <w:style w:type="character" w:customStyle="1" w:styleId="truktradokumentuChar1623">
    <w:name w:val="Štruktúra dokumentu Char1623"/>
    <w:aliases w:val="Char9 Char Char1624,Štruktúra dokumentu Char Char Char1624,Document Map Char Char Char1624"/>
    <w:basedOn w:val="Predvolenpsmoodseku"/>
    <w:uiPriority w:val="99"/>
    <w:semiHidden/>
    <w:rsid w:val="005208D3"/>
    <w:rPr>
      <w:rFonts w:ascii="Tahoma" w:hAnsi="Tahoma" w:cs="Tahoma"/>
      <w:sz w:val="16"/>
      <w:szCs w:val="16"/>
      <w:lang w:val="x-none" w:eastAsia="cs-CZ"/>
    </w:rPr>
  </w:style>
  <w:style w:type="character" w:customStyle="1" w:styleId="truktradokumentuChar1622">
    <w:name w:val="Štruktúra dokumentu Char1622"/>
    <w:aliases w:val="Char9 Char Char1623,Štruktúra dokumentu Char Char Char1623,Document Map Char Char Char1623"/>
    <w:basedOn w:val="Predvolenpsmoodseku"/>
    <w:uiPriority w:val="99"/>
    <w:semiHidden/>
    <w:rsid w:val="005208D3"/>
    <w:rPr>
      <w:rFonts w:ascii="Tahoma" w:hAnsi="Tahoma" w:cs="Tahoma"/>
      <w:sz w:val="16"/>
      <w:szCs w:val="16"/>
      <w:lang w:val="x-none" w:eastAsia="cs-CZ"/>
    </w:rPr>
  </w:style>
  <w:style w:type="character" w:customStyle="1" w:styleId="TextkomentraChar1630">
    <w:name w:val="Text komentára Char1630"/>
    <w:aliases w:val="Char7 Char Char1631,Text komentára Char Char Char1631,Comment Text Char Char Char1631"/>
    <w:basedOn w:val="Predvolenpsmoodseku"/>
    <w:uiPriority w:val="99"/>
    <w:semiHidden/>
    <w:rsid w:val="005208D3"/>
    <w:rPr>
      <w:rFonts w:ascii="Courier" w:hAnsi="Courier" w:cs="Courier"/>
      <w:lang w:val="x-none" w:eastAsia="cs-CZ"/>
    </w:rPr>
  </w:style>
  <w:style w:type="character" w:customStyle="1" w:styleId="TextkomentraChar1629">
    <w:name w:val="Text komentára Char1629"/>
    <w:aliases w:val="Char7 Char Char1630,Text komentára Char Char Char1630,Comment Text Char Char Char1630"/>
    <w:basedOn w:val="Predvolenpsmoodseku"/>
    <w:uiPriority w:val="99"/>
    <w:semiHidden/>
    <w:rsid w:val="005208D3"/>
    <w:rPr>
      <w:rFonts w:ascii="Courier" w:hAnsi="Courier" w:cs="Courier"/>
      <w:lang w:val="x-none" w:eastAsia="cs-CZ"/>
    </w:rPr>
  </w:style>
  <w:style w:type="character" w:customStyle="1" w:styleId="TextkomentraChar1628">
    <w:name w:val="Text komentára Char1628"/>
    <w:aliases w:val="Char7 Char Char1629,Text komentára Char Char Char1629,Comment Text Char Char Char1629"/>
    <w:basedOn w:val="Predvolenpsmoodseku"/>
    <w:uiPriority w:val="99"/>
    <w:semiHidden/>
    <w:rsid w:val="005208D3"/>
    <w:rPr>
      <w:rFonts w:ascii="Courier" w:hAnsi="Courier" w:cs="Courier"/>
      <w:lang w:val="x-none" w:eastAsia="cs-CZ"/>
    </w:rPr>
  </w:style>
  <w:style w:type="character" w:customStyle="1" w:styleId="TextkomentraChar1627">
    <w:name w:val="Text komentára Char1627"/>
    <w:aliases w:val="Char7 Char Char1628,Text komentára Char Char Char1628,Comment Text Char Char Char1628"/>
    <w:basedOn w:val="Predvolenpsmoodseku"/>
    <w:uiPriority w:val="99"/>
    <w:semiHidden/>
    <w:rsid w:val="005208D3"/>
    <w:rPr>
      <w:rFonts w:ascii="Courier" w:hAnsi="Courier" w:cs="Courier"/>
      <w:lang w:val="x-none" w:eastAsia="cs-CZ"/>
    </w:rPr>
  </w:style>
  <w:style w:type="character" w:customStyle="1" w:styleId="TextkomentraChar1626">
    <w:name w:val="Text komentára Char1626"/>
    <w:aliases w:val="Char7 Char Char1627,Text komentára Char Char Char1627,Comment Text Char Char Char1627"/>
    <w:basedOn w:val="Predvolenpsmoodseku"/>
    <w:uiPriority w:val="99"/>
    <w:semiHidden/>
    <w:rsid w:val="005208D3"/>
    <w:rPr>
      <w:rFonts w:ascii="Courier" w:hAnsi="Courier" w:cs="Courier"/>
      <w:lang w:val="x-none" w:eastAsia="cs-CZ"/>
    </w:rPr>
  </w:style>
  <w:style w:type="character" w:customStyle="1" w:styleId="TextkomentraChar1625">
    <w:name w:val="Text komentára Char1625"/>
    <w:aliases w:val="Char7 Char Char1626,Text komentára Char Char Char1626,Comment Text Char Char Char1626"/>
    <w:basedOn w:val="Predvolenpsmoodseku"/>
    <w:uiPriority w:val="99"/>
    <w:semiHidden/>
    <w:rsid w:val="005208D3"/>
    <w:rPr>
      <w:rFonts w:ascii="Courier" w:hAnsi="Courier" w:cs="Courier"/>
      <w:lang w:val="x-none" w:eastAsia="cs-CZ"/>
    </w:rPr>
  </w:style>
  <w:style w:type="character" w:customStyle="1" w:styleId="TextkomentraChar1624">
    <w:name w:val="Text komentára Char1624"/>
    <w:aliases w:val="Char7 Char Char1625,Text komentára Char Char Char1625,Comment Text Char Char Char1625"/>
    <w:basedOn w:val="Predvolenpsmoodseku"/>
    <w:uiPriority w:val="99"/>
    <w:semiHidden/>
    <w:rsid w:val="005208D3"/>
    <w:rPr>
      <w:rFonts w:ascii="Courier" w:hAnsi="Courier" w:cs="Courier"/>
      <w:lang w:val="x-none" w:eastAsia="cs-CZ"/>
    </w:rPr>
  </w:style>
  <w:style w:type="character" w:customStyle="1" w:styleId="TextkomentraChar1623">
    <w:name w:val="Text komentára Char1623"/>
    <w:aliases w:val="Char7 Char Char1624,Text komentára Char Char Char1624,Comment Text Char Char Char1624"/>
    <w:basedOn w:val="Predvolenpsmoodseku"/>
    <w:uiPriority w:val="99"/>
    <w:semiHidden/>
    <w:rsid w:val="005208D3"/>
    <w:rPr>
      <w:rFonts w:ascii="Courier" w:hAnsi="Courier" w:cs="Courier"/>
      <w:lang w:val="x-none" w:eastAsia="cs-CZ"/>
    </w:rPr>
  </w:style>
  <w:style w:type="character" w:customStyle="1" w:styleId="TextkomentraChar1622">
    <w:name w:val="Text komentára Char1622"/>
    <w:aliases w:val="Char7 Char Char1623,Text komentára Char Char Char1623,Comment Text Char Char Char1623"/>
    <w:basedOn w:val="Predvolenpsmoodseku"/>
    <w:uiPriority w:val="99"/>
    <w:semiHidden/>
    <w:rsid w:val="005208D3"/>
    <w:rPr>
      <w:rFonts w:ascii="Courier" w:hAnsi="Courier" w:cs="Courier"/>
      <w:lang w:val="x-none" w:eastAsia="cs-CZ"/>
    </w:rPr>
  </w:style>
  <w:style w:type="character" w:customStyle="1" w:styleId="PredmetkomentraChar1630">
    <w:name w:val="Predmet komentára Char1630"/>
    <w:aliases w:val="Char6 Char Char1631,Predmet komentára Char Char Char1631,Comment Subject Char Char Char1631"/>
    <w:basedOn w:val="TextkomentraChar"/>
    <w:uiPriority w:val="99"/>
    <w:semiHidden/>
    <w:rsid w:val="005208D3"/>
    <w:rPr>
      <w:rFonts w:ascii="Courier" w:hAnsi="Courier" w:cs="Courier"/>
      <w:b/>
      <w:bCs/>
      <w:lang w:val="x-none" w:eastAsia="cs-CZ"/>
    </w:rPr>
  </w:style>
  <w:style w:type="character" w:customStyle="1" w:styleId="PredmetkomentraChar1629">
    <w:name w:val="Predmet komentára Char1629"/>
    <w:aliases w:val="Char6 Char Char1630,Predmet komentára Char Char Char1630,Comment Subject Char Char Char1630"/>
    <w:basedOn w:val="TextkomentraChar"/>
    <w:uiPriority w:val="99"/>
    <w:semiHidden/>
    <w:rsid w:val="005208D3"/>
    <w:rPr>
      <w:rFonts w:ascii="Courier" w:hAnsi="Courier" w:cs="Courier"/>
      <w:b/>
      <w:bCs/>
      <w:lang w:val="x-none" w:eastAsia="cs-CZ"/>
    </w:rPr>
  </w:style>
  <w:style w:type="character" w:customStyle="1" w:styleId="PredmetkomentraChar1628">
    <w:name w:val="Predmet komentára Char1628"/>
    <w:aliases w:val="Char6 Char Char1629,Predmet komentára Char Char Char1629,Comment Subject Char Char Char1629"/>
    <w:basedOn w:val="TextkomentraChar"/>
    <w:uiPriority w:val="99"/>
    <w:semiHidden/>
    <w:rsid w:val="005208D3"/>
    <w:rPr>
      <w:rFonts w:ascii="Courier" w:hAnsi="Courier" w:cs="Courier"/>
      <w:b/>
      <w:bCs/>
      <w:lang w:val="x-none" w:eastAsia="cs-CZ"/>
    </w:rPr>
  </w:style>
  <w:style w:type="character" w:customStyle="1" w:styleId="PredmetkomentraChar1627">
    <w:name w:val="Predmet komentára Char1627"/>
    <w:aliases w:val="Char6 Char Char1628,Predmet komentára Char Char Char1628,Comment Subject Char Char Char1628"/>
    <w:basedOn w:val="TextkomentraChar"/>
    <w:uiPriority w:val="99"/>
    <w:semiHidden/>
    <w:rsid w:val="005208D3"/>
    <w:rPr>
      <w:rFonts w:ascii="Courier" w:hAnsi="Courier" w:cs="Courier"/>
      <w:b/>
      <w:bCs/>
      <w:lang w:val="x-none" w:eastAsia="cs-CZ"/>
    </w:rPr>
  </w:style>
  <w:style w:type="character" w:customStyle="1" w:styleId="PredmetkomentraChar1626">
    <w:name w:val="Predmet komentára Char1626"/>
    <w:aliases w:val="Char6 Char Char1627,Predmet komentára Char Char Char1627,Comment Subject Char Char Char1627"/>
    <w:basedOn w:val="TextkomentraChar"/>
    <w:uiPriority w:val="99"/>
    <w:semiHidden/>
    <w:rsid w:val="005208D3"/>
    <w:rPr>
      <w:rFonts w:ascii="Courier" w:hAnsi="Courier" w:cs="Courier"/>
      <w:b/>
      <w:bCs/>
      <w:lang w:val="x-none" w:eastAsia="cs-CZ"/>
    </w:rPr>
  </w:style>
  <w:style w:type="character" w:customStyle="1" w:styleId="PredmetkomentraChar1625">
    <w:name w:val="Predmet komentára Char1625"/>
    <w:aliases w:val="Char6 Char Char1626,Predmet komentára Char Char Char1626,Comment Subject Char Char Char1626"/>
    <w:basedOn w:val="TextkomentraChar"/>
    <w:uiPriority w:val="99"/>
    <w:semiHidden/>
    <w:rsid w:val="005208D3"/>
    <w:rPr>
      <w:rFonts w:ascii="Courier" w:hAnsi="Courier" w:cs="Courier"/>
      <w:b/>
      <w:bCs/>
      <w:lang w:val="x-none" w:eastAsia="cs-CZ"/>
    </w:rPr>
  </w:style>
  <w:style w:type="character" w:customStyle="1" w:styleId="PredmetkomentraChar1624">
    <w:name w:val="Predmet komentára Char1624"/>
    <w:aliases w:val="Char6 Char Char1625,Predmet komentára Char Char Char1625,Comment Subject Char Char Char1625"/>
    <w:basedOn w:val="TextkomentraChar"/>
    <w:uiPriority w:val="99"/>
    <w:semiHidden/>
    <w:rsid w:val="005208D3"/>
    <w:rPr>
      <w:rFonts w:ascii="Courier" w:hAnsi="Courier" w:cs="Courier"/>
      <w:b/>
      <w:bCs/>
      <w:lang w:val="x-none" w:eastAsia="cs-CZ"/>
    </w:rPr>
  </w:style>
  <w:style w:type="character" w:customStyle="1" w:styleId="PredmetkomentraChar1623">
    <w:name w:val="Predmet komentára Char1623"/>
    <w:aliases w:val="Char6 Char Char1624,Predmet komentára Char Char Char1624,Comment Subject Char Char Char1624"/>
    <w:basedOn w:val="TextkomentraChar"/>
    <w:uiPriority w:val="99"/>
    <w:semiHidden/>
    <w:rsid w:val="005208D3"/>
    <w:rPr>
      <w:rFonts w:ascii="Courier" w:hAnsi="Courier" w:cs="Courier"/>
      <w:b/>
      <w:bCs/>
      <w:lang w:val="x-none" w:eastAsia="cs-CZ"/>
    </w:rPr>
  </w:style>
  <w:style w:type="character" w:customStyle="1" w:styleId="PredmetkomentraChar1622">
    <w:name w:val="Predmet komentára Char1622"/>
    <w:aliases w:val="Char6 Char Char1623,Predmet komentára Char Char Char1623,Comment Subject Char Char Char1623"/>
    <w:basedOn w:val="TextkomentraChar"/>
    <w:uiPriority w:val="99"/>
    <w:semiHidden/>
    <w:rsid w:val="005208D3"/>
    <w:rPr>
      <w:rFonts w:ascii="Courier" w:hAnsi="Courier" w:cs="Courier"/>
      <w:b/>
      <w:bCs/>
      <w:lang w:val="x-none" w:eastAsia="cs-CZ"/>
    </w:rPr>
  </w:style>
  <w:style w:type="character" w:customStyle="1" w:styleId="ObyajntextChar1630">
    <w:name w:val="Obyčajný text Char1630"/>
    <w:aliases w:val="Obyčajný text Char Char Char Char1631"/>
    <w:basedOn w:val="Predvolenpsmoodseku"/>
    <w:uiPriority w:val="99"/>
    <w:semiHidden/>
    <w:rsid w:val="005208D3"/>
    <w:rPr>
      <w:rFonts w:ascii="Courier New" w:hAnsi="Courier New" w:cs="Courier New"/>
      <w:lang w:val="x-none" w:eastAsia="cs-CZ"/>
    </w:rPr>
  </w:style>
  <w:style w:type="character" w:customStyle="1" w:styleId="ObyajntextChar1629">
    <w:name w:val="Obyčajný text Char1629"/>
    <w:aliases w:val="Obyčajný text Char Char Char Char1630"/>
    <w:basedOn w:val="Predvolenpsmoodseku"/>
    <w:uiPriority w:val="99"/>
    <w:semiHidden/>
    <w:rsid w:val="005208D3"/>
    <w:rPr>
      <w:rFonts w:ascii="Courier New" w:hAnsi="Courier New" w:cs="Courier New"/>
      <w:lang w:val="x-none" w:eastAsia="cs-CZ"/>
    </w:rPr>
  </w:style>
  <w:style w:type="character" w:customStyle="1" w:styleId="ObyajntextChar1628">
    <w:name w:val="Obyčajný text Char1628"/>
    <w:aliases w:val="Obyčajný text Char Char Char Char1629"/>
    <w:basedOn w:val="Predvolenpsmoodseku"/>
    <w:uiPriority w:val="99"/>
    <w:semiHidden/>
    <w:rsid w:val="005208D3"/>
    <w:rPr>
      <w:rFonts w:ascii="Courier New" w:hAnsi="Courier New" w:cs="Courier New"/>
      <w:lang w:val="x-none" w:eastAsia="cs-CZ"/>
    </w:rPr>
  </w:style>
  <w:style w:type="character" w:customStyle="1" w:styleId="ObyajntextChar1627">
    <w:name w:val="Obyčajný text Char1627"/>
    <w:aliases w:val="Obyčajný text Char Char Char Char1628"/>
    <w:basedOn w:val="Predvolenpsmoodseku"/>
    <w:uiPriority w:val="99"/>
    <w:semiHidden/>
    <w:rsid w:val="005208D3"/>
    <w:rPr>
      <w:rFonts w:ascii="Courier New" w:hAnsi="Courier New" w:cs="Courier New"/>
      <w:lang w:val="x-none" w:eastAsia="cs-CZ"/>
    </w:rPr>
  </w:style>
  <w:style w:type="character" w:customStyle="1" w:styleId="ObyajntextChar1626">
    <w:name w:val="Obyčajný text Char1626"/>
    <w:aliases w:val="Obyčajný text Char Char Char Char1627"/>
    <w:basedOn w:val="Predvolenpsmoodseku"/>
    <w:uiPriority w:val="99"/>
    <w:semiHidden/>
    <w:rsid w:val="005208D3"/>
    <w:rPr>
      <w:rFonts w:ascii="Courier New" w:hAnsi="Courier New" w:cs="Courier New"/>
      <w:lang w:val="x-none" w:eastAsia="cs-CZ"/>
    </w:rPr>
  </w:style>
  <w:style w:type="character" w:customStyle="1" w:styleId="ObyajntextChar1625">
    <w:name w:val="Obyčajný text Char1625"/>
    <w:aliases w:val="Obyčajný text Char Char Char Char1626"/>
    <w:basedOn w:val="Predvolenpsmoodseku"/>
    <w:uiPriority w:val="99"/>
    <w:semiHidden/>
    <w:rsid w:val="005208D3"/>
    <w:rPr>
      <w:rFonts w:ascii="Courier New" w:hAnsi="Courier New" w:cs="Courier New"/>
      <w:lang w:val="x-none" w:eastAsia="cs-CZ"/>
    </w:rPr>
  </w:style>
  <w:style w:type="character" w:customStyle="1" w:styleId="ObyajntextChar1624">
    <w:name w:val="Obyčajný text Char1624"/>
    <w:aliases w:val="Obyčajný text Char Char Char Char1625"/>
    <w:basedOn w:val="Predvolenpsmoodseku"/>
    <w:uiPriority w:val="99"/>
    <w:semiHidden/>
    <w:rsid w:val="005208D3"/>
    <w:rPr>
      <w:rFonts w:ascii="Courier New" w:hAnsi="Courier New" w:cs="Courier New"/>
      <w:lang w:val="x-none" w:eastAsia="cs-CZ"/>
    </w:rPr>
  </w:style>
  <w:style w:type="character" w:customStyle="1" w:styleId="ObyajntextChar1623">
    <w:name w:val="Obyčajný text Char1623"/>
    <w:aliases w:val="Obyčajný text Char Char Char Char1624"/>
    <w:basedOn w:val="Predvolenpsmoodseku"/>
    <w:uiPriority w:val="99"/>
    <w:semiHidden/>
    <w:rsid w:val="005208D3"/>
    <w:rPr>
      <w:rFonts w:ascii="Courier New" w:hAnsi="Courier New" w:cs="Courier New"/>
      <w:lang w:val="x-none" w:eastAsia="cs-CZ"/>
    </w:rPr>
  </w:style>
  <w:style w:type="character" w:customStyle="1" w:styleId="ObyajntextChar1622">
    <w:name w:val="Obyčajný text Char1622"/>
    <w:aliases w:val="Obyčajný text Char Char Char Char1623"/>
    <w:basedOn w:val="Predvolenpsmoodseku"/>
    <w:uiPriority w:val="99"/>
    <w:semiHidden/>
    <w:rsid w:val="005208D3"/>
    <w:rPr>
      <w:rFonts w:ascii="Courier New" w:hAnsi="Courier New" w:cs="Courier New"/>
      <w:lang w:val="x-none" w:eastAsia="cs-CZ"/>
    </w:rPr>
  </w:style>
  <w:style w:type="table" w:customStyle="1" w:styleId="Mriekatabuky5">
    <w:name w:val="Mriežka tabuľky5"/>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
    <w:name w:val="Mriežka tabuľky113"/>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
    <w:name w:val="Mriežka tabuľky12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
    <w:name w:val="Mriežka tabuľky21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
    <w:name w:val="Mriežka tabuľky111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A230BF"/>
    <w:rPr>
      <w:rFonts w:ascii="Times New Roman" w:hAnsi="Times New Roman"/>
      <w:color w:val="808080"/>
    </w:rPr>
  </w:style>
  <w:style w:type="numbering" w:customStyle="1" w:styleId="Bezzoznamu2">
    <w:name w:val="Bez zoznamu2"/>
    <w:next w:val="Bezzoznamu"/>
    <w:uiPriority w:val="99"/>
    <w:semiHidden/>
    <w:unhideWhenUsed/>
    <w:rsid w:val="005D7F2F"/>
  </w:style>
  <w:style w:type="table" w:customStyle="1" w:styleId="Mriekatabuky6">
    <w:name w:val="Mriežka tabuľky6"/>
    <w:basedOn w:val="Normlnatabuka"/>
    <w:next w:val="Mriekatabuky"/>
    <w:rsid w:val="005D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5D7F2F"/>
    <w:pPr>
      <w:overflowPunct w:val="0"/>
      <w:autoSpaceDE w:val="0"/>
      <w:autoSpaceDN w:val="0"/>
      <w:adjustRightInd w:val="0"/>
      <w:jc w:val="both"/>
      <w:textAlignment w:val="baseline"/>
    </w:pPr>
    <w:rPr>
      <w:rFonts w:ascii="Times New Roman" w:hAnsi="Times New Roman" w:cs="Times New Roman"/>
      <w:szCs w:val="20"/>
      <w:lang w:eastAsia="sk-SK"/>
    </w:rPr>
  </w:style>
  <w:style w:type="character" w:customStyle="1" w:styleId="Textzstupnhosymbolu1">
    <w:name w:val="Text zástupného symbolu1"/>
    <w:semiHidden/>
    <w:rsid w:val="005D7F2F"/>
    <w:rPr>
      <w:rFonts w:cs="Times New Roman"/>
      <w:color w:val="808080"/>
    </w:rPr>
  </w:style>
  <w:style w:type="numbering" w:customStyle="1" w:styleId="Bezzoznamu3">
    <w:name w:val="Bez zoznamu3"/>
    <w:next w:val="Bezzoznamu"/>
    <w:uiPriority w:val="99"/>
    <w:semiHidden/>
    <w:unhideWhenUsed/>
    <w:rsid w:val="005D7F2F"/>
  </w:style>
  <w:style w:type="table" w:customStyle="1" w:styleId="Mriekatabuky7">
    <w:name w:val="Mriežka tabuľky7"/>
    <w:basedOn w:val="Normlnatabuka"/>
    <w:next w:val="Mriekatabuky"/>
    <w:rsid w:val="005D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ite">
    <w:name w:val="Nositeľ"/>
    <w:basedOn w:val="Normlny"/>
    <w:next w:val="Nadpis2"/>
    <w:rsid w:val="005D7F2F"/>
    <w:pPr>
      <w:spacing w:before="240" w:after="120"/>
      <w:ind w:left="567"/>
    </w:pPr>
    <w:rPr>
      <w:rFonts w:ascii="Times New Roman" w:hAnsi="Times New Roman" w:cs="Times New Roman"/>
      <w:b/>
      <w:bCs/>
      <w:lang w:eastAsia="sk-SK"/>
    </w:rPr>
  </w:style>
  <w:style w:type="numbering" w:customStyle="1" w:styleId="Bezzoznamu11">
    <w:name w:val="Bez zoznamu11"/>
    <w:next w:val="Bezzoznamu"/>
    <w:uiPriority w:val="99"/>
    <w:semiHidden/>
    <w:unhideWhenUsed/>
    <w:rsid w:val="009172F5"/>
  </w:style>
  <w:style w:type="paragraph" w:customStyle="1" w:styleId="a">
    <w:uiPriority w:val="99"/>
    <w:rsid w:val="009172F5"/>
    <w:rPr>
      <w:rFonts w:ascii="Courier" w:hAnsi="Courier" w:cs="Courier"/>
      <w:sz w:val="24"/>
      <w:szCs w:val="24"/>
      <w:lang w:eastAsia="cs-CZ"/>
    </w:rPr>
  </w:style>
  <w:style w:type="paragraph" w:customStyle="1" w:styleId="font5">
    <w:name w:val="font5"/>
    <w:basedOn w:val="Normlny"/>
    <w:rsid w:val="00680C5D"/>
    <w:pPr>
      <w:spacing w:before="100" w:beforeAutospacing="1" w:after="100" w:afterAutospacing="1"/>
    </w:pPr>
    <w:rPr>
      <w:rFonts w:ascii="Segoe UI" w:hAnsi="Segoe UI" w:cs="Segoe UI"/>
      <w:color w:val="000000"/>
      <w:sz w:val="18"/>
      <w:szCs w:val="18"/>
      <w:lang w:eastAsia="sk-SK"/>
    </w:rPr>
  </w:style>
  <w:style w:type="paragraph" w:customStyle="1" w:styleId="font6">
    <w:name w:val="font6"/>
    <w:basedOn w:val="Normlny"/>
    <w:rsid w:val="00680C5D"/>
    <w:pPr>
      <w:spacing w:before="100" w:beforeAutospacing="1" w:after="100" w:afterAutospacing="1"/>
    </w:pPr>
    <w:rPr>
      <w:rFonts w:ascii="Segoe UI" w:hAnsi="Segoe UI" w:cs="Segoe UI"/>
      <w:b/>
      <w:bCs/>
      <w:color w:val="000000"/>
      <w:sz w:val="18"/>
      <w:szCs w:val="18"/>
      <w:lang w:eastAsia="sk-SK"/>
    </w:rPr>
  </w:style>
  <w:style w:type="paragraph" w:customStyle="1" w:styleId="xl204">
    <w:name w:val="xl204"/>
    <w:basedOn w:val="Normlny"/>
    <w:rsid w:val="00680C5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hAnsi="Times New Roman" w:cs="Times New Roman"/>
      <w:b/>
      <w:bCs/>
      <w:sz w:val="14"/>
      <w:szCs w:val="14"/>
      <w:lang w:eastAsia="sk-SK"/>
    </w:rPr>
  </w:style>
  <w:style w:type="paragraph" w:customStyle="1" w:styleId="xl205">
    <w:name w:val="xl205"/>
    <w:basedOn w:val="Normlny"/>
    <w:rsid w:val="00680C5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hAnsi="Times New Roman" w:cs="Times New Roman"/>
      <w:b/>
      <w:bCs/>
      <w:sz w:val="14"/>
      <w:szCs w:val="14"/>
      <w:lang w:eastAsia="sk-SK"/>
    </w:rPr>
  </w:style>
  <w:style w:type="paragraph" w:customStyle="1" w:styleId="xl206">
    <w:name w:val="xl206"/>
    <w:basedOn w:val="Normlny"/>
    <w:rsid w:val="00680C5D"/>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cs="Times New Roman"/>
      <w:b/>
      <w:bCs/>
      <w:sz w:val="14"/>
      <w:szCs w:val="14"/>
      <w:lang w:eastAsia="sk-SK"/>
    </w:rPr>
  </w:style>
  <w:style w:type="paragraph" w:customStyle="1" w:styleId="xl207">
    <w:name w:val="xl207"/>
    <w:basedOn w:val="Normlny"/>
    <w:rsid w:val="00680C5D"/>
    <w:pPr>
      <w:pBdr>
        <w:top w:val="single" w:sz="4" w:space="0" w:color="auto"/>
        <w:left w:val="single" w:sz="4" w:space="0" w:color="auto"/>
        <w:right w:val="single" w:sz="4" w:space="0" w:color="auto"/>
      </w:pBdr>
      <w:shd w:val="clear" w:color="000000" w:fill="BFBFBF"/>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08">
    <w:name w:val="xl208"/>
    <w:basedOn w:val="Normlny"/>
    <w:rsid w:val="00680C5D"/>
    <w:pPr>
      <w:pBdr>
        <w:left w:val="single" w:sz="4" w:space="0" w:color="auto"/>
        <w:right w:val="single" w:sz="4" w:space="0" w:color="auto"/>
      </w:pBdr>
      <w:shd w:val="clear" w:color="000000" w:fill="BFBFBF"/>
      <w:spacing w:before="100" w:beforeAutospacing="1" w:after="100" w:afterAutospacing="1"/>
      <w:jc w:val="both"/>
      <w:textAlignment w:val="center"/>
    </w:pPr>
    <w:rPr>
      <w:rFonts w:ascii="Times New Roman" w:hAnsi="Times New Roman" w:cs="Times New Roman"/>
      <w:b/>
      <w:bCs/>
      <w:i/>
      <w:iCs/>
      <w:sz w:val="14"/>
      <w:szCs w:val="14"/>
      <w:lang w:eastAsia="sk-SK"/>
    </w:rPr>
  </w:style>
  <w:style w:type="paragraph" w:customStyle="1" w:styleId="xl209">
    <w:name w:val="xl209"/>
    <w:basedOn w:val="Normlny"/>
    <w:rsid w:val="00680C5D"/>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sz w:val="14"/>
      <w:szCs w:val="14"/>
      <w:lang w:eastAsia="sk-SK"/>
    </w:rPr>
  </w:style>
  <w:style w:type="paragraph" w:customStyle="1" w:styleId="xl210">
    <w:name w:val="xl210"/>
    <w:basedOn w:val="Normlny"/>
    <w:rsid w:val="00680C5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11">
    <w:name w:val="xl211"/>
    <w:basedOn w:val="Normlny"/>
    <w:rsid w:val="00680C5D"/>
    <w:pPr>
      <w:pBdr>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i/>
      <w:iCs/>
      <w:sz w:val="14"/>
      <w:szCs w:val="14"/>
      <w:lang w:eastAsia="sk-SK"/>
    </w:rPr>
  </w:style>
  <w:style w:type="paragraph" w:customStyle="1" w:styleId="xl212">
    <w:name w:val="xl212"/>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13">
    <w:name w:val="xl213"/>
    <w:basedOn w:val="Normlny"/>
    <w:rsid w:val="00680C5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14">
    <w:name w:val="xl214"/>
    <w:basedOn w:val="Normlny"/>
    <w:rsid w:val="00680C5D"/>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sz w:val="14"/>
      <w:szCs w:val="14"/>
      <w:lang w:eastAsia="sk-SK"/>
    </w:rPr>
  </w:style>
  <w:style w:type="paragraph" w:customStyle="1" w:styleId="xl215">
    <w:name w:val="xl215"/>
    <w:basedOn w:val="Normlny"/>
    <w:rsid w:val="00680C5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cs="Times New Roman"/>
      <w:b/>
      <w:bCs/>
      <w:sz w:val="14"/>
      <w:szCs w:val="14"/>
      <w:lang w:eastAsia="sk-SK"/>
    </w:rPr>
  </w:style>
  <w:style w:type="paragraph" w:customStyle="1" w:styleId="xl216">
    <w:name w:val="xl216"/>
    <w:basedOn w:val="Normlny"/>
    <w:rsid w:val="00680C5D"/>
    <w:pPr>
      <w:pBdr>
        <w:left w:val="single" w:sz="4" w:space="0" w:color="auto"/>
        <w:right w:val="single" w:sz="4" w:space="0" w:color="auto"/>
      </w:pBdr>
      <w:shd w:val="clear" w:color="000000" w:fill="BFBFBF"/>
      <w:spacing w:before="100" w:beforeAutospacing="1" w:after="100" w:afterAutospacing="1"/>
      <w:jc w:val="right"/>
      <w:textAlignment w:val="center"/>
    </w:pPr>
    <w:rPr>
      <w:rFonts w:ascii="Times New Roman" w:hAnsi="Times New Roman" w:cs="Times New Roman"/>
      <w:b/>
      <w:bCs/>
      <w:i/>
      <w:iCs/>
      <w:sz w:val="14"/>
      <w:szCs w:val="14"/>
      <w:lang w:eastAsia="sk-SK"/>
    </w:rPr>
  </w:style>
  <w:style w:type="paragraph" w:customStyle="1" w:styleId="xl217">
    <w:name w:val="xl217"/>
    <w:basedOn w:val="Normlny"/>
    <w:rsid w:val="00680C5D"/>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i/>
      <w:iCs/>
      <w:sz w:val="14"/>
      <w:szCs w:val="14"/>
      <w:lang w:eastAsia="sk-SK"/>
    </w:rPr>
  </w:style>
  <w:style w:type="paragraph" w:customStyle="1" w:styleId="xl218">
    <w:name w:val="xl218"/>
    <w:basedOn w:val="Normlny"/>
    <w:rsid w:val="00680C5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19">
    <w:name w:val="xl219"/>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20">
    <w:name w:val="xl220"/>
    <w:basedOn w:val="Normlny"/>
    <w:rsid w:val="00680C5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21">
    <w:name w:val="xl221"/>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22">
    <w:name w:val="xl222"/>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0"/>
      <w:szCs w:val="20"/>
      <w:lang w:eastAsia="sk-SK"/>
    </w:rPr>
  </w:style>
  <w:style w:type="paragraph" w:customStyle="1" w:styleId="xl223">
    <w:name w:val="xl223"/>
    <w:basedOn w:val="Normlny"/>
    <w:rsid w:val="00680C5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lang w:eastAsia="sk-SK"/>
    </w:rPr>
  </w:style>
  <w:style w:type="paragraph" w:customStyle="1" w:styleId="xl224">
    <w:name w:val="xl224"/>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lang w:eastAsia="sk-SK"/>
    </w:rPr>
  </w:style>
  <w:style w:type="paragraph" w:customStyle="1" w:styleId="xl225">
    <w:name w:val="xl225"/>
    <w:basedOn w:val="Normlny"/>
    <w:rsid w:val="00680C5D"/>
    <w:pPr>
      <w:pBdr>
        <w:left w:val="single" w:sz="4" w:space="0" w:color="auto"/>
        <w:right w:val="single" w:sz="4" w:space="0" w:color="auto"/>
      </w:pBdr>
      <w:shd w:val="clear" w:color="000000" w:fill="BFBFBF"/>
      <w:spacing w:before="100" w:beforeAutospacing="1" w:after="100" w:afterAutospacing="1"/>
      <w:jc w:val="right"/>
      <w:textAlignment w:val="center"/>
    </w:pPr>
    <w:rPr>
      <w:rFonts w:ascii="Times New Roman" w:hAnsi="Times New Roman" w:cs="Times New Roman"/>
      <w:i/>
      <w:iCs/>
      <w:sz w:val="14"/>
      <w:szCs w:val="14"/>
      <w:lang w:eastAsia="sk-SK"/>
    </w:rPr>
  </w:style>
  <w:style w:type="paragraph" w:customStyle="1" w:styleId="xl226">
    <w:name w:val="xl226"/>
    <w:basedOn w:val="Normlny"/>
    <w:rsid w:val="00680C5D"/>
    <w:pPr>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27">
    <w:name w:val="xl227"/>
    <w:basedOn w:val="Normlny"/>
    <w:rsid w:val="00680C5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28">
    <w:name w:val="xl228"/>
    <w:basedOn w:val="Normlny"/>
    <w:rsid w:val="00680C5D"/>
    <w:pPr>
      <w:pBdr>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Times New Roman" w:hAnsi="Times New Roman" w:cs="Times New Roman"/>
      <w:i/>
      <w:iCs/>
      <w:sz w:val="14"/>
      <w:szCs w:val="14"/>
      <w:lang w:eastAsia="sk-SK"/>
    </w:rPr>
  </w:style>
  <w:style w:type="paragraph" w:customStyle="1" w:styleId="xl229">
    <w:name w:val="xl229"/>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30">
    <w:name w:val="xl230"/>
    <w:basedOn w:val="Normlny"/>
    <w:rsid w:val="00680C5D"/>
    <w:pPr>
      <w:pBdr>
        <w:left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cs="Times New Roman"/>
      <w:i/>
      <w:iCs/>
      <w:sz w:val="14"/>
      <w:szCs w:val="14"/>
      <w:lang w:eastAsia="sk-SK"/>
    </w:rPr>
  </w:style>
  <w:style w:type="paragraph" w:customStyle="1" w:styleId="xl231">
    <w:name w:val="xl231"/>
    <w:basedOn w:val="Normlny"/>
    <w:rsid w:val="00680C5D"/>
    <w:pPr>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32">
    <w:name w:val="xl232"/>
    <w:basedOn w:val="Normlny"/>
    <w:rsid w:val="00680C5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33">
    <w:name w:val="xl233"/>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0"/>
      <w:szCs w:val="20"/>
      <w:lang w:eastAsia="sk-SK"/>
    </w:rPr>
  </w:style>
  <w:style w:type="paragraph" w:customStyle="1" w:styleId="xl234">
    <w:name w:val="xl234"/>
    <w:basedOn w:val="Normlny"/>
    <w:rsid w:val="00680C5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lang w:eastAsia="sk-SK"/>
    </w:rPr>
  </w:style>
  <w:style w:type="paragraph" w:customStyle="1" w:styleId="xl235">
    <w:name w:val="xl235"/>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lang w:eastAsia="sk-SK"/>
    </w:rPr>
  </w:style>
  <w:style w:type="paragraph" w:customStyle="1" w:styleId="xl236">
    <w:name w:val="xl236"/>
    <w:basedOn w:val="Normlny"/>
    <w:rsid w:val="00680C5D"/>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i/>
      <w:iCs/>
      <w:sz w:val="14"/>
      <w:szCs w:val="14"/>
      <w:lang w:eastAsia="sk-SK"/>
    </w:rPr>
  </w:style>
  <w:style w:type="paragraph" w:customStyle="1" w:styleId="xl237">
    <w:name w:val="xl237"/>
    <w:basedOn w:val="Normlny"/>
    <w:rsid w:val="00680C5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styleId="Popis">
    <w:name w:val="caption"/>
    <w:basedOn w:val="Normlny"/>
    <w:next w:val="Normlny"/>
    <w:uiPriority w:val="35"/>
    <w:unhideWhenUsed/>
    <w:qFormat/>
    <w:rsid w:val="00E640B8"/>
    <w:pPr>
      <w:spacing w:after="200"/>
    </w:pPr>
    <w:rPr>
      <w:rFonts w:ascii="Arial Narrow" w:eastAsiaTheme="minorHAnsi" w:hAnsi="Arial Narrow" w:cstheme="minorBidi"/>
      <w:i/>
      <w:iCs/>
      <w:color w:val="1F497D" w:themeColor="text2"/>
      <w:sz w:val="18"/>
      <w:szCs w:val="18"/>
      <w:lang w:eastAsia="en-US"/>
    </w:rPr>
  </w:style>
  <w:style w:type="table" w:customStyle="1" w:styleId="Mriekatabukysvetl1">
    <w:name w:val="Mriežka tabuľky – svetlá1"/>
    <w:basedOn w:val="Normlnatabuka"/>
    <w:uiPriority w:val="40"/>
    <w:rsid w:val="00E640B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295pt">
    <w:name w:val="Body text (2) + 9.5 pt"/>
    <w:aliases w:val="Bold"/>
    <w:basedOn w:val="Predvolenpsmoodseku"/>
    <w:qFormat/>
    <w:rsid w:val="00E640B8"/>
    <w:rPr>
      <w:rFonts w:ascii="Arial Narrow" w:eastAsia="Arial" w:hAnsi="Arial Narrow" w:cs="Arial"/>
      <w:color w:val="000000"/>
      <w:sz w:val="20"/>
      <w:szCs w:val="19"/>
      <w:lang w:val="fr-FR" w:eastAsia="fr-FR" w:bidi="fr-FR"/>
    </w:rPr>
  </w:style>
  <w:style w:type="numbering" w:customStyle="1" w:styleId="Bezzoznamu4">
    <w:name w:val="Bez zoznamu4"/>
    <w:next w:val="Bezzoznamu"/>
    <w:uiPriority w:val="99"/>
    <w:semiHidden/>
    <w:unhideWhenUsed/>
    <w:rsid w:val="009F3C03"/>
  </w:style>
  <w:style w:type="numbering" w:customStyle="1" w:styleId="Bezzoznamu111">
    <w:name w:val="Bez zoznamu111"/>
    <w:next w:val="Bezzoznamu"/>
    <w:uiPriority w:val="99"/>
    <w:semiHidden/>
    <w:unhideWhenUsed/>
    <w:rsid w:val="00487B72"/>
  </w:style>
  <w:style w:type="paragraph" w:customStyle="1" w:styleId="Popis1">
    <w:name w:val="Popis1"/>
    <w:basedOn w:val="Normlny"/>
    <w:next w:val="Normlny"/>
    <w:uiPriority w:val="35"/>
    <w:unhideWhenUsed/>
    <w:qFormat/>
    <w:rsid w:val="00487B72"/>
    <w:pPr>
      <w:spacing w:after="200"/>
    </w:pPr>
    <w:rPr>
      <w:rFonts w:ascii="Arial Narrow" w:eastAsiaTheme="minorHAnsi" w:hAnsi="Arial Narrow" w:cstheme="minorBidi"/>
      <w:i/>
      <w:iCs/>
      <w:color w:val="1F497D"/>
      <w:sz w:val="18"/>
      <w:szCs w:val="18"/>
      <w:lang w:eastAsia="en-US"/>
    </w:rPr>
  </w:style>
  <w:style w:type="table" w:customStyle="1" w:styleId="Mriekatabuky8">
    <w:name w:val="Mriežka tabuľky8"/>
    <w:basedOn w:val="Normlnatabuka"/>
    <w:next w:val="Mriekatabuky"/>
    <w:rsid w:val="006D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410195"/>
  </w:style>
  <w:style w:type="numbering" w:customStyle="1" w:styleId="Bezzoznamu12">
    <w:name w:val="Bez zoznamu12"/>
    <w:next w:val="Bezzoznamu"/>
    <w:uiPriority w:val="99"/>
    <w:semiHidden/>
    <w:unhideWhenUsed/>
    <w:rsid w:val="00410195"/>
  </w:style>
  <w:style w:type="table" w:customStyle="1" w:styleId="Mriekatabuky9">
    <w:name w:val="Mriežka tabuľky9"/>
    <w:basedOn w:val="Normlnatabuka"/>
    <w:next w:val="Mriekatabuky"/>
    <w:uiPriority w:val="3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
    <w:name w:val="Mriežka tabuľky15"/>
    <w:basedOn w:val="Normlnatabuka"/>
    <w:next w:val="Mriekatabuky"/>
    <w:uiPriority w:val="3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
    <w:name w:val="Mriežka tabuľky24"/>
    <w:basedOn w:val="Normlnatabuka"/>
    <w:next w:val="Mriekatabuky"/>
    <w:uiPriority w:val="3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
    <w:name w:val="Mriežka tabuľky114"/>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
    <w:name w:val="Mriežka tabuľky33"/>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
    <w:name w:val="Mriežka tabuľky123"/>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
    <w:name w:val="Mriežka tabuľky213"/>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
    <w:name w:val="Mriežka tabuľky1113"/>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next w:val="Mriekatabuky"/>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
    <w:name w:val="Mriežka tabuľky13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
    <w:name w:val="Mriežka tabuľky22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
    <w:name w:val="Mriežka tabuľky112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
    <w:name w:val="Mriežka tabuľky121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
    <w:name w:val="Mriežka tabuľky211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
    <w:name w:val="Mriežka tabuľky1111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
    <w:name w:val="Kalendár 21"/>
    <w:basedOn w:val="Normlnatabuka"/>
    <w:uiPriority w:val="99"/>
    <w:qFormat/>
    <w:rsid w:val="00410195"/>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
    <w:name w:val="Bez zoznamu112"/>
    <w:next w:val="Bezzoznamu"/>
    <w:uiPriority w:val="99"/>
    <w:semiHidden/>
    <w:unhideWhenUsed/>
    <w:rsid w:val="00410195"/>
  </w:style>
  <w:style w:type="table" w:customStyle="1" w:styleId="Mriekatabuky51">
    <w:name w:val="Mriežka tabuľky5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
    <w:name w:val="Mriežka tabuľky14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
    <w:name w:val="Mriežka tabuľky23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
    <w:name w:val="Mriežka tabuľky113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
    <w:name w:val="Mriežka tabuľky32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
    <w:name w:val="Mriežka tabuľky122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
    <w:name w:val="Mriežka tabuľky212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
    <w:name w:val="Mriežka tabuľky1112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410195"/>
  </w:style>
  <w:style w:type="table" w:customStyle="1" w:styleId="Mriekatabuky61">
    <w:name w:val="Mriežka tabuľky61"/>
    <w:basedOn w:val="Normlnatabuka"/>
    <w:next w:val="Mriekatabuky"/>
    <w:rsid w:val="00410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
    <w:name w:val="Bez zoznamu31"/>
    <w:next w:val="Bezzoznamu"/>
    <w:uiPriority w:val="99"/>
    <w:semiHidden/>
    <w:unhideWhenUsed/>
    <w:rsid w:val="00410195"/>
  </w:style>
  <w:style w:type="table" w:customStyle="1" w:styleId="Mriekatabuky71">
    <w:name w:val="Mriežka tabuľky71"/>
    <w:basedOn w:val="Normlnatabuka"/>
    <w:next w:val="Mriekatabuky"/>
    <w:rsid w:val="00410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
    <w:name w:val="Bez zoznamu1111"/>
    <w:next w:val="Bezzoznamu"/>
    <w:uiPriority w:val="99"/>
    <w:semiHidden/>
    <w:unhideWhenUsed/>
    <w:rsid w:val="00410195"/>
  </w:style>
  <w:style w:type="table" w:customStyle="1" w:styleId="Mriekatabukysvetl11">
    <w:name w:val="Mriežka tabuľky – svetlá11"/>
    <w:basedOn w:val="Normlnatabuka"/>
    <w:uiPriority w:val="40"/>
    <w:rsid w:val="00410195"/>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opis2">
    <w:name w:val="Popis2"/>
    <w:basedOn w:val="Normlny"/>
    <w:next w:val="Normlny"/>
    <w:uiPriority w:val="35"/>
    <w:unhideWhenUsed/>
    <w:qFormat/>
    <w:rsid w:val="00AE239D"/>
    <w:pPr>
      <w:spacing w:after="200"/>
    </w:pPr>
    <w:rPr>
      <w:rFonts w:ascii="Arial Narrow" w:eastAsiaTheme="minorHAnsi" w:hAnsi="Arial Narrow" w:cstheme="minorBidi"/>
      <w:i/>
      <w:iCs/>
      <w:color w:val="1F497D"/>
      <w:sz w:val="18"/>
      <w:szCs w:val="18"/>
      <w:lang w:eastAsia="en-US"/>
    </w:rPr>
  </w:style>
  <w:style w:type="numbering" w:customStyle="1" w:styleId="Bezzoznamu6">
    <w:name w:val="Bez zoznamu6"/>
    <w:next w:val="Bezzoznamu"/>
    <w:uiPriority w:val="99"/>
    <w:semiHidden/>
    <w:unhideWhenUsed/>
    <w:rsid w:val="004B7D85"/>
  </w:style>
  <w:style w:type="table" w:customStyle="1" w:styleId="UHPGRAF11">
    <w:name w:val="UHP_GRAF11"/>
    <w:basedOn w:val="Normlnatabuka"/>
    <w:uiPriority w:val="99"/>
    <w:rsid w:val="00515349"/>
    <w:pPr>
      <w:spacing w:before="160"/>
      <w:contextualSpacing/>
      <w:jc w:val="both"/>
    </w:pPr>
    <w:rPr>
      <w:rFonts w:ascii="Arial Narrow" w:eastAsia="Calibri" w:hAnsi="Arial Narrow"/>
      <w:lang w:val="en-US"/>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UHPGRAF12">
    <w:name w:val="UHP_GRAF12"/>
    <w:basedOn w:val="Normlnatabuka"/>
    <w:uiPriority w:val="99"/>
    <w:rsid w:val="00515349"/>
    <w:pPr>
      <w:spacing w:before="160"/>
      <w:contextualSpacing/>
      <w:jc w:val="both"/>
    </w:pPr>
    <w:rPr>
      <w:rFonts w:ascii="Arial Narrow" w:eastAsia="Calibri" w:hAnsi="Arial Narrow"/>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ndard6za">
    <w:name w:val="štandard 6 za"/>
    <w:basedOn w:val="Zarkazkladnhotextu"/>
    <w:rsid w:val="00515349"/>
    <w:pPr>
      <w:spacing w:line="240" w:lineRule="auto"/>
      <w:jc w:val="both"/>
    </w:pPr>
    <w:rPr>
      <w:rFonts w:ascii="Times New Roman" w:hAnsi="Times New Roman" w:cs="Times New Roman"/>
      <w:szCs w:val="20"/>
      <w:lang w:eastAsia="sk-SK"/>
    </w:rPr>
  </w:style>
  <w:style w:type="character" w:customStyle="1" w:styleId="OdsekzoznamuChar">
    <w:name w:val="Odsek zoznamu Char"/>
    <w:aliases w:val="body Char,Odsek zoznamu2 Char,Dot pt Char,No Spacing1 Char,List Paragraph Char Char Char Char,Indicator Text Char,Numbered Para 1 Char,List Paragraph à moi Char,LISTA Char,Listaszerű bekezdés2 Char,Listaszerű bekezdés3 Char,3 Char"/>
    <w:basedOn w:val="Predvolenpsmoodseku"/>
    <w:link w:val="Odsekzoznamu"/>
    <w:uiPriority w:val="34"/>
    <w:rsid w:val="00515349"/>
    <w:rPr>
      <w:rFonts w:ascii="Courier" w:hAnsi="Courier" w:cs="Courier"/>
      <w:sz w:val="24"/>
      <w:szCs w:val="24"/>
      <w:lang w:eastAsia="cs-CZ"/>
    </w:rPr>
  </w:style>
  <w:style w:type="character" w:styleId="Jemnodkaz">
    <w:name w:val="Subtle Reference"/>
    <w:uiPriority w:val="31"/>
    <w:qFormat/>
    <w:rsid w:val="00515349"/>
    <w:rPr>
      <w:rFonts w:eastAsia="Times New Roman" w:cs="Times New Roman"/>
      <w:bCs/>
      <w:i/>
      <w:sz w:val="18"/>
      <w:lang w:eastAsia="zh-TW"/>
    </w:rPr>
  </w:style>
  <w:style w:type="table" w:customStyle="1" w:styleId="Mriekatabuky10">
    <w:name w:val="Mriežka tabuľky10"/>
    <w:basedOn w:val="Normlnatabuka"/>
    <w:next w:val="Mriekatabuky"/>
    <w:rsid w:val="00515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
    <w:name w:val="Bez zoznamu11111"/>
    <w:next w:val="Bezzoznamu"/>
    <w:uiPriority w:val="99"/>
    <w:semiHidden/>
    <w:unhideWhenUsed/>
    <w:rsid w:val="0051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1597">
      <w:bodyDiv w:val="1"/>
      <w:marLeft w:val="0"/>
      <w:marRight w:val="0"/>
      <w:marTop w:val="0"/>
      <w:marBottom w:val="0"/>
      <w:divBdr>
        <w:top w:val="none" w:sz="0" w:space="0" w:color="auto"/>
        <w:left w:val="none" w:sz="0" w:space="0" w:color="auto"/>
        <w:bottom w:val="none" w:sz="0" w:space="0" w:color="auto"/>
        <w:right w:val="none" w:sz="0" w:space="0" w:color="auto"/>
      </w:divBdr>
    </w:div>
    <w:div w:id="357779106">
      <w:bodyDiv w:val="1"/>
      <w:marLeft w:val="0"/>
      <w:marRight w:val="0"/>
      <w:marTop w:val="0"/>
      <w:marBottom w:val="0"/>
      <w:divBdr>
        <w:top w:val="none" w:sz="0" w:space="0" w:color="auto"/>
        <w:left w:val="none" w:sz="0" w:space="0" w:color="auto"/>
        <w:bottom w:val="none" w:sz="0" w:space="0" w:color="auto"/>
        <w:right w:val="none" w:sz="0" w:space="0" w:color="auto"/>
      </w:divBdr>
    </w:div>
    <w:div w:id="361396399">
      <w:bodyDiv w:val="1"/>
      <w:marLeft w:val="0"/>
      <w:marRight w:val="0"/>
      <w:marTop w:val="0"/>
      <w:marBottom w:val="0"/>
      <w:divBdr>
        <w:top w:val="none" w:sz="0" w:space="0" w:color="auto"/>
        <w:left w:val="none" w:sz="0" w:space="0" w:color="auto"/>
        <w:bottom w:val="none" w:sz="0" w:space="0" w:color="auto"/>
        <w:right w:val="none" w:sz="0" w:space="0" w:color="auto"/>
      </w:divBdr>
    </w:div>
    <w:div w:id="361444041">
      <w:bodyDiv w:val="1"/>
      <w:marLeft w:val="0"/>
      <w:marRight w:val="0"/>
      <w:marTop w:val="0"/>
      <w:marBottom w:val="0"/>
      <w:divBdr>
        <w:top w:val="none" w:sz="0" w:space="0" w:color="auto"/>
        <w:left w:val="none" w:sz="0" w:space="0" w:color="auto"/>
        <w:bottom w:val="none" w:sz="0" w:space="0" w:color="auto"/>
        <w:right w:val="none" w:sz="0" w:space="0" w:color="auto"/>
      </w:divBdr>
    </w:div>
    <w:div w:id="691683655">
      <w:bodyDiv w:val="1"/>
      <w:marLeft w:val="0"/>
      <w:marRight w:val="0"/>
      <w:marTop w:val="0"/>
      <w:marBottom w:val="0"/>
      <w:divBdr>
        <w:top w:val="none" w:sz="0" w:space="0" w:color="auto"/>
        <w:left w:val="none" w:sz="0" w:space="0" w:color="auto"/>
        <w:bottom w:val="none" w:sz="0" w:space="0" w:color="auto"/>
        <w:right w:val="none" w:sz="0" w:space="0" w:color="auto"/>
      </w:divBdr>
    </w:div>
    <w:div w:id="809976767">
      <w:bodyDiv w:val="1"/>
      <w:marLeft w:val="0"/>
      <w:marRight w:val="0"/>
      <w:marTop w:val="0"/>
      <w:marBottom w:val="0"/>
      <w:divBdr>
        <w:top w:val="none" w:sz="0" w:space="0" w:color="auto"/>
        <w:left w:val="none" w:sz="0" w:space="0" w:color="auto"/>
        <w:bottom w:val="none" w:sz="0" w:space="0" w:color="auto"/>
        <w:right w:val="none" w:sz="0" w:space="0" w:color="auto"/>
      </w:divBdr>
    </w:div>
    <w:div w:id="871381042">
      <w:bodyDiv w:val="1"/>
      <w:marLeft w:val="0"/>
      <w:marRight w:val="0"/>
      <w:marTop w:val="0"/>
      <w:marBottom w:val="0"/>
      <w:divBdr>
        <w:top w:val="none" w:sz="0" w:space="0" w:color="auto"/>
        <w:left w:val="none" w:sz="0" w:space="0" w:color="auto"/>
        <w:bottom w:val="none" w:sz="0" w:space="0" w:color="auto"/>
        <w:right w:val="none" w:sz="0" w:space="0" w:color="auto"/>
      </w:divBdr>
    </w:div>
    <w:div w:id="890000742">
      <w:bodyDiv w:val="1"/>
      <w:marLeft w:val="0"/>
      <w:marRight w:val="0"/>
      <w:marTop w:val="0"/>
      <w:marBottom w:val="0"/>
      <w:divBdr>
        <w:top w:val="none" w:sz="0" w:space="0" w:color="auto"/>
        <w:left w:val="none" w:sz="0" w:space="0" w:color="auto"/>
        <w:bottom w:val="none" w:sz="0" w:space="0" w:color="auto"/>
        <w:right w:val="none" w:sz="0" w:space="0" w:color="auto"/>
      </w:divBdr>
    </w:div>
    <w:div w:id="1168517182">
      <w:bodyDiv w:val="1"/>
      <w:marLeft w:val="0"/>
      <w:marRight w:val="0"/>
      <w:marTop w:val="0"/>
      <w:marBottom w:val="0"/>
      <w:divBdr>
        <w:top w:val="none" w:sz="0" w:space="0" w:color="auto"/>
        <w:left w:val="none" w:sz="0" w:space="0" w:color="auto"/>
        <w:bottom w:val="none" w:sz="0" w:space="0" w:color="auto"/>
        <w:right w:val="none" w:sz="0" w:space="0" w:color="auto"/>
      </w:divBdr>
    </w:div>
    <w:div w:id="1403521804">
      <w:bodyDiv w:val="1"/>
      <w:marLeft w:val="0"/>
      <w:marRight w:val="0"/>
      <w:marTop w:val="0"/>
      <w:marBottom w:val="0"/>
      <w:divBdr>
        <w:top w:val="none" w:sz="0" w:space="0" w:color="auto"/>
        <w:left w:val="none" w:sz="0" w:space="0" w:color="auto"/>
        <w:bottom w:val="none" w:sz="0" w:space="0" w:color="auto"/>
        <w:right w:val="none" w:sz="0" w:space="0" w:color="auto"/>
      </w:divBdr>
    </w:div>
    <w:div w:id="1540970089">
      <w:bodyDiv w:val="1"/>
      <w:marLeft w:val="0"/>
      <w:marRight w:val="0"/>
      <w:marTop w:val="0"/>
      <w:marBottom w:val="0"/>
      <w:divBdr>
        <w:top w:val="none" w:sz="0" w:space="0" w:color="auto"/>
        <w:left w:val="none" w:sz="0" w:space="0" w:color="auto"/>
        <w:bottom w:val="none" w:sz="0" w:space="0" w:color="auto"/>
        <w:right w:val="none" w:sz="0" w:space="0" w:color="auto"/>
      </w:divBdr>
    </w:div>
    <w:div w:id="1706249894">
      <w:bodyDiv w:val="1"/>
      <w:marLeft w:val="0"/>
      <w:marRight w:val="0"/>
      <w:marTop w:val="0"/>
      <w:marBottom w:val="0"/>
      <w:divBdr>
        <w:top w:val="none" w:sz="0" w:space="0" w:color="auto"/>
        <w:left w:val="none" w:sz="0" w:space="0" w:color="auto"/>
        <w:bottom w:val="none" w:sz="0" w:space="0" w:color="auto"/>
        <w:right w:val="none" w:sz="0" w:space="0" w:color="auto"/>
      </w:divBdr>
    </w:div>
    <w:div w:id="1923097235">
      <w:marLeft w:val="0"/>
      <w:marRight w:val="0"/>
      <w:marTop w:val="0"/>
      <w:marBottom w:val="0"/>
      <w:divBdr>
        <w:top w:val="none" w:sz="0" w:space="0" w:color="auto"/>
        <w:left w:val="none" w:sz="0" w:space="0" w:color="auto"/>
        <w:bottom w:val="none" w:sz="0" w:space="0" w:color="auto"/>
        <w:right w:val="none" w:sz="0" w:space="0" w:color="auto"/>
      </w:divBdr>
    </w:div>
    <w:div w:id="1923097236">
      <w:marLeft w:val="0"/>
      <w:marRight w:val="0"/>
      <w:marTop w:val="0"/>
      <w:marBottom w:val="0"/>
      <w:divBdr>
        <w:top w:val="none" w:sz="0" w:space="0" w:color="auto"/>
        <w:left w:val="none" w:sz="0" w:space="0" w:color="auto"/>
        <w:bottom w:val="none" w:sz="0" w:space="0" w:color="auto"/>
        <w:right w:val="none" w:sz="0" w:space="0" w:color="auto"/>
      </w:divBdr>
    </w:div>
    <w:div w:id="1923097237">
      <w:marLeft w:val="0"/>
      <w:marRight w:val="0"/>
      <w:marTop w:val="0"/>
      <w:marBottom w:val="0"/>
      <w:divBdr>
        <w:top w:val="none" w:sz="0" w:space="0" w:color="auto"/>
        <w:left w:val="none" w:sz="0" w:space="0" w:color="auto"/>
        <w:bottom w:val="none" w:sz="0" w:space="0" w:color="auto"/>
        <w:right w:val="none" w:sz="0" w:space="0" w:color="auto"/>
      </w:divBdr>
    </w:div>
    <w:div w:id="1923097238">
      <w:marLeft w:val="0"/>
      <w:marRight w:val="0"/>
      <w:marTop w:val="0"/>
      <w:marBottom w:val="0"/>
      <w:divBdr>
        <w:top w:val="none" w:sz="0" w:space="0" w:color="auto"/>
        <w:left w:val="none" w:sz="0" w:space="0" w:color="auto"/>
        <w:bottom w:val="none" w:sz="0" w:space="0" w:color="auto"/>
        <w:right w:val="none" w:sz="0" w:space="0" w:color="auto"/>
      </w:divBdr>
    </w:div>
    <w:div w:id="1923097239">
      <w:marLeft w:val="0"/>
      <w:marRight w:val="0"/>
      <w:marTop w:val="0"/>
      <w:marBottom w:val="0"/>
      <w:divBdr>
        <w:top w:val="none" w:sz="0" w:space="0" w:color="auto"/>
        <w:left w:val="none" w:sz="0" w:space="0" w:color="auto"/>
        <w:bottom w:val="none" w:sz="0" w:space="0" w:color="auto"/>
        <w:right w:val="none" w:sz="0" w:space="0" w:color="auto"/>
      </w:divBdr>
    </w:div>
    <w:div w:id="1923097240">
      <w:marLeft w:val="0"/>
      <w:marRight w:val="0"/>
      <w:marTop w:val="0"/>
      <w:marBottom w:val="0"/>
      <w:divBdr>
        <w:top w:val="none" w:sz="0" w:space="0" w:color="auto"/>
        <w:left w:val="none" w:sz="0" w:space="0" w:color="auto"/>
        <w:bottom w:val="none" w:sz="0" w:space="0" w:color="auto"/>
        <w:right w:val="none" w:sz="0" w:space="0" w:color="auto"/>
      </w:divBdr>
    </w:div>
    <w:div w:id="1923097241">
      <w:marLeft w:val="0"/>
      <w:marRight w:val="0"/>
      <w:marTop w:val="0"/>
      <w:marBottom w:val="0"/>
      <w:divBdr>
        <w:top w:val="none" w:sz="0" w:space="0" w:color="auto"/>
        <w:left w:val="none" w:sz="0" w:space="0" w:color="auto"/>
        <w:bottom w:val="none" w:sz="0" w:space="0" w:color="auto"/>
        <w:right w:val="none" w:sz="0" w:space="0" w:color="auto"/>
      </w:divBdr>
    </w:div>
    <w:div w:id="1923097242">
      <w:marLeft w:val="0"/>
      <w:marRight w:val="0"/>
      <w:marTop w:val="0"/>
      <w:marBottom w:val="0"/>
      <w:divBdr>
        <w:top w:val="none" w:sz="0" w:space="0" w:color="auto"/>
        <w:left w:val="none" w:sz="0" w:space="0" w:color="auto"/>
        <w:bottom w:val="none" w:sz="0" w:space="0" w:color="auto"/>
        <w:right w:val="none" w:sz="0" w:space="0" w:color="auto"/>
      </w:divBdr>
    </w:div>
    <w:div w:id="1923097243">
      <w:marLeft w:val="0"/>
      <w:marRight w:val="0"/>
      <w:marTop w:val="0"/>
      <w:marBottom w:val="0"/>
      <w:divBdr>
        <w:top w:val="none" w:sz="0" w:space="0" w:color="auto"/>
        <w:left w:val="none" w:sz="0" w:space="0" w:color="auto"/>
        <w:bottom w:val="none" w:sz="0" w:space="0" w:color="auto"/>
        <w:right w:val="none" w:sz="0" w:space="0" w:color="auto"/>
      </w:divBdr>
    </w:div>
    <w:div w:id="1923097244">
      <w:marLeft w:val="0"/>
      <w:marRight w:val="0"/>
      <w:marTop w:val="0"/>
      <w:marBottom w:val="0"/>
      <w:divBdr>
        <w:top w:val="none" w:sz="0" w:space="0" w:color="auto"/>
        <w:left w:val="none" w:sz="0" w:space="0" w:color="auto"/>
        <w:bottom w:val="none" w:sz="0" w:space="0" w:color="auto"/>
        <w:right w:val="none" w:sz="0" w:space="0" w:color="auto"/>
      </w:divBdr>
    </w:div>
    <w:div w:id="1923097245">
      <w:marLeft w:val="0"/>
      <w:marRight w:val="0"/>
      <w:marTop w:val="0"/>
      <w:marBottom w:val="0"/>
      <w:divBdr>
        <w:top w:val="none" w:sz="0" w:space="0" w:color="auto"/>
        <w:left w:val="none" w:sz="0" w:space="0" w:color="auto"/>
        <w:bottom w:val="none" w:sz="0" w:space="0" w:color="auto"/>
        <w:right w:val="none" w:sz="0" w:space="0" w:color="auto"/>
      </w:divBdr>
    </w:div>
    <w:div w:id="1923097246">
      <w:marLeft w:val="0"/>
      <w:marRight w:val="0"/>
      <w:marTop w:val="0"/>
      <w:marBottom w:val="0"/>
      <w:divBdr>
        <w:top w:val="none" w:sz="0" w:space="0" w:color="auto"/>
        <w:left w:val="none" w:sz="0" w:space="0" w:color="auto"/>
        <w:bottom w:val="none" w:sz="0" w:space="0" w:color="auto"/>
        <w:right w:val="none" w:sz="0" w:space="0" w:color="auto"/>
      </w:divBdr>
    </w:div>
    <w:div w:id="1923097247">
      <w:marLeft w:val="0"/>
      <w:marRight w:val="0"/>
      <w:marTop w:val="0"/>
      <w:marBottom w:val="0"/>
      <w:divBdr>
        <w:top w:val="none" w:sz="0" w:space="0" w:color="auto"/>
        <w:left w:val="none" w:sz="0" w:space="0" w:color="auto"/>
        <w:bottom w:val="none" w:sz="0" w:space="0" w:color="auto"/>
        <w:right w:val="none" w:sz="0" w:space="0" w:color="auto"/>
      </w:divBdr>
    </w:div>
    <w:div w:id="1923097248">
      <w:marLeft w:val="0"/>
      <w:marRight w:val="0"/>
      <w:marTop w:val="0"/>
      <w:marBottom w:val="0"/>
      <w:divBdr>
        <w:top w:val="none" w:sz="0" w:space="0" w:color="auto"/>
        <w:left w:val="none" w:sz="0" w:space="0" w:color="auto"/>
        <w:bottom w:val="none" w:sz="0" w:space="0" w:color="auto"/>
        <w:right w:val="none" w:sz="0" w:space="0" w:color="auto"/>
      </w:divBdr>
    </w:div>
    <w:div w:id="1923097249">
      <w:marLeft w:val="0"/>
      <w:marRight w:val="0"/>
      <w:marTop w:val="0"/>
      <w:marBottom w:val="0"/>
      <w:divBdr>
        <w:top w:val="none" w:sz="0" w:space="0" w:color="auto"/>
        <w:left w:val="none" w:sz="0" w:space="0" w:color="auto"/>
        <w:bottom w:val="none" w:sz="0" w:space="0" w:color="auto"/>
        <w:right w:val="none" w:sz="0" w:space="0" w:color="auto"/>
      </w:divBdr>
    </w:div>
    <w:div w:id="1923097250">
      <w:marLeft w:val="0"/>
      <w:marRight w:val="0"/>
      <w:marTop w:val="0"/>
      <w:marBottom w:val="0"/>
      <w:divBdr>
        <w:top w:val="none" w:sz="0" w:space="0" w:color="auto"/>
        <w:left w:val="none" w:sz="0" w:space="0" w:color="auto"/>
        <w:bottom w:val="none" w:sz="0" w:space="0" w:color="auto"/>
        <w:right w:val="none" w:sz="0" w:space="0" w:color="auto"/>
      </w:divBdr>
    </w:div>
    <w:div w:id="1923097251">
      <w:marLeft w:val="0"/>
      <w:marRight w:val="0"/>
      <w:marTop w:val="0"/>
      <w:marBottom w:val="0"/>
      <w:divBdr>
        <w:top w:val="none" w:sz="0" w:space="0" w:color="auto"/>
        <w:left w:val="none" w:sz="0" w:space="0" w:color="auto"/>
        <w:bottom w:val="none" w:sz="0" w:space="0" w:color="auto"/>
        <w:right w:val="none" w:sz="0" w:space="0" w:color="auto"/>
      </w:divBdr>
    </w:div>
    <w:div w:id="1923097252">
      <w:marLeft w:val="0"/>
      <w:marRight w:val="0"/>
      <w:marTop w:val="0"/>
      <w:marBottom w:val="0"/>
      <w:divBdr>
        <w:top w:val="none" w:sz="0" w:space="0" w:color="auto"/>
        <w:left w:val="none" w:sz="0" w:space="0" w:color="auto"/>
        <w:bottom w:val="none" w:sz="0" w:space="0" w:color="auto"/>
        <w:right w:val="none" w:sz="0" w:space="0" w:color="auto"/>
      </w:divBdr>
    </w:div>
    <w:div w:id="1923097253">
      <w:marLeft w:val="0"/>
      <w:marRight w:val="0"/>
      <w:marTop w:val="0"/>
      <w:marBottom w:val="0"/>
      <w:divBdr>
        <w:top w:val="none" w:sz="0" w:space="0" w:color="auto"/>
        <w:left w:val="none" w:sz="0" w:space="0" w:color="auto"/>
        <w:bottom w:val="none" w:sz="0" w:space="0" w:color="auto"/>
        <w:right w:val="none" w:sz="0" w:space="0" w:color="auto"/>
      </w:divBdr>
    </w:div>
    <w:div w:id="1923097254">
      <w:marLeft w:val="0"/>
      <w:marRight w:val="0"/>
      <w:marTop w:val="0"/>
      <w:marBottom w:val="0"/>
      <w:divBdr>
        <w:top w:val="none" w:sz="0" w:space="0" w:color="auto"/>
        <w:left w:val="none" w:sz="0" w:space="0" w:color="auto"/>
        <w:bottom w:val="none" w:sz="0" w:space="0" w:color="auto"/>
        <w:right w:val="none" w:sz="0" w:space="0" w:color="auto"/>
      </w:divBdr>
    </w:div>
    <w:div w:id="1923097255">
      <w:marLeft w:val="0"/>
      <w:marRight w:val="0"/>
      <w:marTop w:val="0"/>
      <w:marBottom w:val="0"/>
      <w:divBdr>
        <w:top w:val="none" w:sz="0" w:space="0" w:color="auto"/>
        <w:left w:val="none" w:sz="0" w:space="0" w:color="auto"/>
        <w:bottom w:val="none" w:sz="0" w:space="0" w:color="auto"/>
        <w:right w:val="none" w:sz="0" w:space="0" w:color="auto"/>
      </w:divBdr>
    </w:div>
    <w:div w:id="1923097256">
      <w:marLeft w:val="0"/>
      <w:marRight w:val="0"/>
      <w:marTop w:val="0"/>
      <w:marBottom w:val="0"/>
      <w:divBdr>
        <w:top w:val="none" w:sz="0" w:space="0" w:color="auto"/>
        <w:left w:val="none" w:sz="0" w:space="0" w:color="auto"/>
        <w:bottom w:val="none" w:sz="0" w:space="0" w:color="auto"/>
        <w:right w:val="none" w:sz="0" w:space="0" w:color="auto"/>
      </w:divBdr>
    </w:div>
    <w:div w:id="1923097257">
      <w:marLeft w:val="0"/>
      <w:marRight w:val="0"/>
      <w:marTop w:val="0"/>
      <w:marBottom w:val="0"/>
      <w:divBdr>
        <w:top w:val="none" w:sz="0" w:space="0" w:color="auto"/>
        <w:left w:val="none" w:sz="0" w:space="0" w:color="auto"/>
        <w:bottom w:val="none" w:sz="0" w:space="0" w:color="auto"/>
        <w:right w:val="none" w:sz="0" w:space="0" w:color="auto"/>
      </w:divBdr>
    </w:div>
    <w:div w:id="1923097258">
      <w:marLeft w:val="0"/>
      <w:marRight w:val="0"/>
      <w:marTop w:val="0"/>
      <w:marBottom w:val="0"/>
      <w:divBdr>
        <w:top w:val="none" w:sz="0" w:space="0" w:color="auto"/>
        <w:left w:val="none" w:sz="0" w:space="0" w:color="auto"/>
        <w:bottom w:val="none" w:sz="0" w:space="0" w:color="auto"/>
        <w:right w:val="none" w:sz="0" w:space="0" w:color="auto"/>
      </w:divBdr>
    </w:div>
    <w:div w:id="1923097259">
      <w:marLeft w:val="0"/>
      <w:marRight w:val="0"/>
      <w:marTop w:val="0"/>
      <w:marBottom w:val="0"/>
      <w:divBdr>
        <w:top w:val="none" w:sz="0" w:space="0" w:color="auto"/>
        <w:left w:val="none" w:sz="0" w:space="0" w:color="auto"/>
        <w:bottom w:val="none" w:sz="0" w:space="0" w:color="auto"/>
        <w:right w:val="none" w:sz="0" w:space="0" w:color="auto"/>
      </w:divBdr>
    </w:div>
    <w:div w:id="1923097260">
      <w:marLeft w:val="0"/>
      <w:marRight w:val="0"/>
      <w:marTop w:val="0"/>
      <w:marBottom w:val="0"/>
      <w:divBdr>
        <w:top w:val="none" w:sz="0" w:space="0" w:color="auto"/>
        <w:left w:val="none" w:sz="0" w:space="0" w:color="auto"/>
        <w:bottom w:val="none" w:sz="0" w:space="0" w:color="auto"/>
        <w:right w:val="none" w:sz="0" w:space="0" w:color="auto"/>
      </w:divBdr>
    </w:div>
    <w:div w:id="1923097261">
      <w:marLeft w:val="0"/>
      <w:marRight w:val="0"/>
      <w:marTop w:val="0"/>
      <w:marBottom w:val="0"/>
      <w:divBdr>
        <w:top w:val="none" w:sz="0" w:space="0" w:color="auto"/>
        <w:left w:val="none" w:sz="0" w:space="0" w:color="auto"/>
        <w:bottom w:val="none" w:sz="0" w:space="0" w:color="auto"/>
        <w:right w:val="none" w:sz="0" w:space="0" w:color="auto"/>
      </w:divBdr>
    </w:div>
    <w:div w:id="1923097262">
      <w:marLeft w:val="0"/>
      <w:marRight w:val="0"/>
      <w:marTop w:val="0"/>
      <w:marBottom w:val="0"/>
      <w:divBdr>
        <w:top w:val="none" w:sz="0" w:space="0" w:color="auto"/>
        <w:left w:val="none" w:sz="0" w:space="0" w:color="auto"/>
        <w:bottom w:val="none" w:sz="0" w:space="0" w:color="auto"/>
        <w:right w:val="none" w:sz="0" w:space="0" w:color="auto"/>
      </w:divBdr>
    </w:div>
    <w:div w:id="1923097263">
      <w:marLeft w:val="0"/>
      <w:marRight w:val="0"/>
      <w:marTop w:val="0"/>
      <w:marBottom w:val="0"/>
      <w:divBdr>
        <w:top w:val="none" w:sz="0" w:space="0" w:color="auto"/>
        <w:left w:val="none" w:sz="0" w:space="0" w:color="auto"/>
        <w:bottom w:val="none" w:sz="0" w:space="0" w:color="auto"/>
        <w:right w:val="none" w:sz="0" w:space="0" w:color="auto"/>
      </w:divBdr>
    </w:div>
    <w:div w:id="1923097264">
      <w:marLeft w:val="0"/>
      <w:marRight w:val="0"/>
      <w:marTop w:val="0"/>
      <w:marBottom w:val="0"/>
      <w:divBdr>
        <w:top w:val="none" w:sz="0" w:space="0" w:color="auto"/>
        <w:left w:val="none" w:sz="0" w:space="0" w:color="auto"/>
        <w:bottom w:val="none" w:sz="0" w:space="0" w:color="auto"/>
        <w:right w:val="none" w:sz="0" w:space="0" w:color="auto"/>
      </w:divBdr>
    </w:div>
    <w:div w:id="1923097265">
      <w:marLeft w:val="0"/>
      <w:marRight w:val="0"/>
      <w:marTop w:val="0"/>
      <w:marBottom w:val="0"/>
      <w:divBdr>
        <w:top w:val="none" w:sz="0" w:space="0" w:color="auto"/>
        <w:left w:val="none" w:sz="0" w:space="0" w:color="auto"/>
        <w:bottom w:val="none" w:sz="0" w:space="0" w:color="auto"/>
        <w:right w:val="none" w:sz="0" w:space="0" w:color="auto"/>
      </w:divBdr>
    </w:div>
    <w:div w:id="1923097266">
      <w:marLeft w:val="0"/>
      <w:marRight w:val="0"/>
      <w:marTop w:val="0"/>
      <w:marBottom w:val="0"/>
      <w:divBdr>
        <w:top w:val="none" w:sz="0" w:space="0" w:color="auto"/>
        <w:left w:val="none" w:sz="0" w:space="0" w:color="auto"/>
        <w:bottom w:val="none" w:sz="0" w:space="0" w:color="auto"/>
        <w:right w:val="none" w:sz="0" w:space="0" w:color="auto"/>
      </w:divBdr>
    </w:div>
    <w:div w:id="1923097267">
      <w:marLeft w:val="0"/>
      <w:marRight w:val="0"/>
      <w:marTop w:val="0"/>
      <w:marBottom w:val="0"/>
      <w:divBdr>
        <w:top w:val="none" w:sz="0" w:space="0" w:color="auto"/>
        <w:left w:val="none" w:sz="0" w:space="0" w:color="auto"/>
        <w:bottom w:val="none" w:sz="0" w:space="0" w:color="auto"/>
        <w:right w:val="none" w:sz="0" w:space="0" w:color="auto"/>
      </w:divBdr>
    </w:div>
    <w:div w:id="1923097268">
      <w:marLeft w:val="0"/>
      <w:marRight w:val="0"/>
      <w:marTop w:val="0"/>
      <w:marBottom w:val="0"/>
      <w:divBdr>
        <w:top w:val="none" w:sz="0" w:space="0" w:color="auto"/>
        <w:left w:val="none" w:sz="0" w:space="0" w:color="auto"/>
        <w:bottom w:val="none" w:sz="0" w:space="0" w:color="auto"/>
        <w:right w:val="none" w:sz="0" w:space="0" w:color="auto"/>
      </w:divBdr>
    </w:div>
    <w:div w:id="1923097269">
      <w:marLeft w:val="0"/>
      <w:marRight w:val="0"/>
      <w:marTop w:val="0"/>
      <w:marBottom w:val="0"/>
      <w:divBdr>
        <w:top w:val="none" w:sz="0" w:space="0" w:color="auto"/>
        <w:left w:val="none" w:sz="0" w:space="0" w:color="auto"/>
        <w:bottom w:val="none" w:sz="0" w:space="0" w:color="auto"/>
        <w:right w:val="none" w:sz="0" w:space="0" w:color="auto"/>
      </w:divBdr>
    </w:div>
    <w:div w:id="1923097270">
      <w:marLeft w:val="0"/>
      <w:marRight w:val="0"/>
      <w:marTop w:val="0"/>
      <w:marBottom w:val="0"/>
      <w:divBdr>
        <w:top w:val="none" w:sz="0" w:space="0" w:color="auto"/>
        <w:left w:val="none" w:sz="0" w:space="0" w:color="auto"/>
        <w:bottom w:val="none" w:sz="0" w:space="0" w:color="auto"/>
        <w:right w:val="none" w:sz="0" w:space="0" w:color="auto"/>
      </w:divBdr>
    </w:div>
    <w:div w:id="1923097271">
      <w:marLeft w:val="0"/>
      <w:marRight w:val="0"/>
      <w:marTop w:val="0"/>
      <w:marBottom w:val="0"/>
      <w:divBdr>
        <w:top w:val="none" w:sz="0" w:space="0" w:color="auto"/>
        <w:left w:val="none" w:sz="0" w:space="0" w:color="auto"/>
        <w:bottom w:val="none" w:sz="0" w:space="0" w:color="auto"/>
        <w:right w:val="none" w:sz="0" w:space="0" w:color="auto"/>
      </w:divBdr>
    </w:div>
    <w:div w:id="1923097272">
      <w:marLeft w:val="0"/>
      <w:marRight w:val="0"/>
      <w:marTop w:val="0"/>
      <w:marBottom w:val="0"/>
      <w:divBdr>
        <w:top w:val="none" w:sz="0" w:space="0" w:color="auto"/>
        <w:left w:val="none" w:sz="0" w:space="0" w:color="auto"/>
        <w:bottom w:val="none" w:sz="0" w:space="0" w:color="auto"/>
        <w:right w:val="none" w:sz="0" w:space="0" w:color="auto"/>
      </w:divBdr>
    </w:div>
    <w:div w:id="1923097273">
      <w:marLeft w:val="0"/>
      <w:marRight w:val="0"/>
      <w:marTop w:val="0"/>
      <w:marBottom w:val="0"/>
      <w:divBdr>
        <w:top w:val="none" w:sz="0" w:space="0" w:color="auto"/>
        <w:left w:val="none" w:sz="0" w:space="0" w:color="auto"/>
        <w:bottom w:val="none" w:sz="0" w:space="0" w:color="auto"/>
        <w:right w:val="none" w:sz="0" w:space="0" w:color="auto"/>
      </w:divBdr>
    </w:div>
    <w:div w:id="1923097274">
      <w:marLeft w:val="0"/>
      <w:marRight w:val="0"/>
      <w:marTop w:val="0"/>
      <w:marBottom w:val="0"/>
      <w:divBdr>
        <w:top w:val="none" w:sz="0" w:space="0" w:color="auto"/>
        <w:left w:val="none" w:sz="0" w:space="0" w:color="auto"/>
        <w:bottom w:val="none" w:sz="0" w:space="0" w:color="auto"/>
        <w:right w:val="none" w:sz="0" w:space="0" w:color="auto"/>
      </w:divBdr>
    </w:div>
    <w:div w:id="1923097275">
      <w:marLeft w:val="0"/>
      <w:marRight w:val="0"/>
      <w:marTop w:val="0"/>
      <w:marBottom w:val="0"/>
      <w:divBdr>
        <w:top w:val="none" w:sz="0" w:space="0" w:color="auto"/>
        <w:left w:val="none" w:sz="0" w:space="0" w:color="auto"/>
        <w:bottom w:val="none" w:sz="0" w:space="0" w:color="auto"/>
        <w:right w:val="none" w:sz="0" w:space="0" w:color="auto"/>
      </w:divBdr>
    </w:div>
    <w:div w:id="1923097276">
      <w:marLeft w:val="0"/>
      <w:marRight w:val="0"/>
      <w:marTop w:val="0"/>
      <w:marBottom w:val="0"/>
      <w:divBdr>
        <w:top w:val="none" w:sz="0" w:space="0" w:color="auto"/>
        <w:left w:val="none" w:sz="0" w:space="0" w:color="auto"/>
        <w:bottom w:val="none" w:sz="0" w:space="0" w:color="auto"/>
        <w:right w:val="none" w:sz="0" w:space="0" w:color="auto"/>
      </w:divBdr>
    </w:div>
    <w:div w:id="1923097277">
      <w:marLeft w:val="0"/>
      <w:marRight w:val="0"/>
      <w:marTop w:val="0"/>
      <w:marBottom w:val="0"/>
      <w:divBdr>
        <w:top w:val="none" w:sz="0" w:space="0" w:color="auto"/>
        <w:left w:val="none" w:sz="0" w:space="0" w:color="auto"/>
        <w:bottom w:val="none" w:sz="0" w:space="0" w:color="auto"/>
        <w:right w:val="none" w:sz="0" w:space="0" w:color="auto"/>
      </w:divBdr>
    </w:div>
    <w:div w:id="1923097278">
      <w:marLeft w:val="0"/>
      <w:marRight w:val="0"/>
      <w:marTop w:val="0"/>
      <w:marBottom w:val="0"/>
      <w:divBdr>
        <w:top w:val="none" w:sz="0" w:space="0" w:color="auto"/>
        <w:left w:val="none" w:sz="0" w:space="0" w:color="auto"/>
        <w:bottom w:val="none" w:sz="0" w:space="0" w:color="auto"/>
        <w:right w:val="none" w:sz="0" w:space="0" w:color="auto"/>
      </w:divBdr>
    </w:div>
    <w:div w:id="1923097279">
      <w:marLeft w:val="0"/>
      <w:marRight w:val="0"/>
      <w:marTop w:val="0"/>
      <w:marBottom w:val="0"/>
      <w:divBdr>
        <w:top w:val="none" w:sz="0" w:space="0" w:color="auto"/>
        <w:left w:val="none" w:sz="0" w:space="0" w:color="auto"/>
        <w:bottom w:val="none" w:sz="0" w:space="0" w:color="auto"/>
        <w:right w:val="none" w:sz="0" w:space="0" w:color="auto"/>
      </w:divBdr>
    </w:div>
    <w:div w:id="1923097280">
      <w:marLeft w:val="0"/>
      <w:marRight w:val="0"/>
      <w:marTop w:val="0"/>
      <w:marBottom w:val="0"/>
      <w:divBdr>
        <w:top w:val="none" w:sz="0" w:space="0" w:color="auto"/>
        <w:left w:val="none" w:sz="0" w:space="0" w:color="auto"/>
        <w:bottom w:val="none" w:sz="0" w:space="0" w:color="auto"/>
        <w:right w:val="none" w:sz="0" w:space="0" w:color="auto"/>
      </w:divBdr>
    </w:div>
    <w:div w:id="1923097281">
      <w:marLeft w:val="0"/>
      <w:marRight w:val="0"/>
      <w:marTop w:val="0"/>
      <w:marBottom w:val="0"/>
      <w:divBdr>
        <w:top w:val="none" w:sz="0" w:space="0" w:color="auto"/>
        <w:left w:val="none" w:sz="0" w:space="0" w:color="auto"/>
        <w:bottom w:val="none" w:sz="0" w:space="0" w:color="auto"/>
        <w:right w:val="none" w:sz="0" w:space="0" w:color="auto"/>
      </w:divBdr>
    </w:div>
    <w:div w:id="1923097282">
      <w:marLeft w:val="0"/>
      <w:marRight w:val="0"/>
      <w:marTop w:val="0"/>
      <w:marBottom w:val="0"/>
      <w:divBdr>
        <w:top w:val="none" w:sz="0" w:space="0" w:color="auto"/>
        <w:left w:val="none" w:sz="0" w:space="0" w:color="auto"/>
        <w:bottom w:val="none" w:sz="0" w:space="0" w:color="auto"/>
        <w:right w:val="none" w:sz="0" w:space="0" w:color="auto"/>
      </w:divBdr>
    </w:div>
    <w:div w:id="1923097283">
      <w:marLeft w:val="0"/>
      <w:marRight w:val="0"/>
      <w:marTop w:val="0"/>
      <w:marBottom w:val="0"/>
      <w:divBdr>
        <w:top w:val="none" w:sz="0" w:space="0" w:color="auto"/>
        <w:left w:val="none" w:sz="0" w:space="0" w:color="auto"/>
        <w:bottom w:val="none" w:sz="0" w:space="0" w:color="auto"/>
        <w:right w:val="none" w:sz="0" w:space="0" w:color="auto"/>
      </w:divBdr>
    </w:div>
    <w:div w:id="1923097284">
      <w:marLeft w:val="0"/>
      <w:marRight w:val="0"/>
      <w:marTop w:val="0"/>
      <w:marBottom w:val="0"/>
      <w:divBdr>
        <w:top w:val="none" w:sz="0" w:space="0" w:color="auto"/>
        <w:left w:val="none" w:sz="0" w:space="0" w:color="auto"/>
        <w:bottom w:val="none" w:sz="0" w:space="0" w:color="auto"/>
        <w:right w:val="none" w:sz="0" w:space="0" w:color="auto"/>
      </w:divBdr>
    </w:div>
    <w:div w:id="1923097285">
      <w:marLeft w:val="0"/>
      <w:marRight w:val="0"/>
      <w:marTop w:val="0"/>
      <w:marBottom w:val="0"/>
      <w:divBdr>
        <w:top w:val="none" w:sz="0" w:space="0" w:color="auto"/>
        <w:left w:val="none" w:sz="0" w:space="0" w:color="auto"/>
        <w:bottom w:val="none" w:sz="0" w:space="0" w:color="auto"/>
        <w:right w:val="none" w:sz="0" w:space="0" w:color="auto"/>
      </w:divBdr>
    </w:div>
    <w:div w:id="1923097286">
      <w:marLeft w:val="0"/>
      <w:marRight w:val="0"/>
      <w:marTop w:val="0"/>
      <w:marBottom w:val="0"/>
      <w:divBdr>
        <w:top w:val="none" w:sz="0" w:space="0" w:color="auto"/>
        <w:left w:val="none" w:sz="0" w:space="0" w:color="auto"/>
        <w:bottom w:val="none" w:sz="0" w:space="0" w:color="auto"/>
        <w:right w:val="none" w:sz="0" w:space="0" w:color="auto"/>
      </w:divBdr>
    </w:div>
    <w:div w:id="1923097287">
      <w:marLeft w:val="0"/>
      <w:marRight w:val="0"/>
      <w:marTop w:val="0"/>
      <w:marBottom w:val="0"/>
      <w:divBdr>
        <w:top w:val="none" w:sz="0" w:space="0" w:color="auto"/>
        <w:left w:val="none" w:sz="0" w:space="0" w:color="auto"/>
        <w:bottom w:val="none" w:sz="0" w:space="0" w:color="auto"/>
        <w:right w:val="none" w:sz="0" w:space="0" w:color="auto"/>
      </w:divBdr>
    </w:div>
    <w:div w:id="1923097288">
      <w:marLeft w:val="0"/>
      <w:marRight w:val="0"/>
      <w:marTop w:val="0"/>
      <w:marBottom w:val="0"/>
      <w:divBdr>
        <w:top w:val="none" w:sz="0" w:space="0" w:color="auto"/>
        <w:left w:val="none" w:sz="0" w:space="0" w:color="auto"/>
        <w:bottom w:val="none" w:sz="0" w:space="0" w:color="auto"/>
        <w:right w:val="none" w:sz="0" w:space="0" w:color="auto"/>
      </w:divBdr>
    </w:div>
    <w:div w:id="1923097289">
      <w:marLeft w:val="0"/>
      <w:marRight w:val="0"/>
      <w:marTop w:val="0"/>
      <w:marBottom w:val="0"/>
      <w:divBdr>
        <w:top w:val="none" w:sz="0" w:space="0" w:color="auto"/>
        <w:left w:val="none" w:sz="0" w:space="0" w:color="auto"/>
        <w:bottom w:val="none" w:sz="0" w:space="0" w:color="auto"/>
        <w:right w:val="none" w:sz="0" w:space="0" w:color="auto"/>
      </w:divBdr>
    </w:div>
    <w:div w:id="1923097290">
      <w:marLeft w:val="0"/>
      <w:marRight w:val="0"/>
      <w:marTop w:val="0"/>
      <w:marBottom w:val="0"/>
      <w:divBdr>
        <w:top w:val="none" w:sz="0" w:space="0" w:color="auto"/>
        <w:left w:val="none" w:sz="0" w:space="0" w:color="auto"/>
        <w:bottom w:val="none" w:sz="0" w:space="0" w:color="auto"/>
        <w:right w:val="none" w:sz="0" w:space="0" w:color="auto"/>
      </w:divBdr>
    </w:div>
    <w:div w:id="1923097291">
      <w:marLeft w:val="0"/>
      <w:marRight w:val="0"/>
      <w:marTop w:val="0"/>
      <w:marBottom w:val="0"/>
      <w:divBdr>
        <w:top w:val="none" w:sz="0" w:space="0" w:color="auto"/>
        <w:left w:val="none" w:sz="0" w:space="0" w:color="auto"/>
        <w:bottom w:val="none" w:sz="0" w:space="0" w:color="auto"/>
        <w:right w:val="none" w:sz="0" w:space="0" w:color="auto"/>
      </w:divBdr>
    </w:div>
    <w:div w:id="1923097292">
      <w:marLeft w:val="0"/>
      <w:marRight w:val="0"/>
      <w:marTop w:val="0"/>
      <w:marBottom w:val="0"/>
      <w:divBdr>
        <w:top w:val="none" w:sz="0" w:space="0" w:color="auto"/>
        <w:left w:val="none" w:sz="0" w:space="0" w:color="auto"/>
        <w:bottom w:val="none" w:sz="0" w:space="0" w:color="auto"/>
        <w:right w:val="none" w:sz="0" w:space="0" w:color="auto"/>
      </w:divBdr>
    </w:div>
    <w:div w:id="1923097293">
      <w:marLeft w:val="0"/>
      <w:marRight w:val="0"/>
      <w:marTop w:val="0"/>
      <w:marBottom w:val="0"/>
      <w:divBdr>
        <w:top w:val="none" w:sz="0" w:space="0" w:color="auto"/>
        <w:left w:val="none" w:sz="0" w:space="0" w:color="auto"/>
        <w:bottom w:val="none" w:sz="0" w:space="0" w:color="auto"/>
        <w:right w:val="none" w:sz="0" w:space="0" w:color="auto"/>
      </w:divBdr>
    </w:div>
    <w:div w:id="1923097294">
      <w:marLeft w:val="0"/>
      <w:marRight w:val="0"/>
      <w:marTop w:val="0"/>
      <w:marBottom w:val="0"/>
      <w:divBdr>
        <w:top w:val="none" w:sz="0" w:space="0" w:color="auto"/>
        <w:left w:val="none" w:sz="0" w:space="0" w:color="auto"/>
        <w:bottom w:val="none" w:sz="0" w:space="0" w:color="auto"/>
        <w:right w:val="none" w:sz="0" w:space="0" w:color="auto"/>
      </w:divBdr>
    </w:div>
    <w:div w:id="1923097295">
      <w:marLeft w:val="0"/>
      <w:marRight w:val="0"/>
      <w:marTop w:val="0"/>
      <w:marBottom w:val="0"/>
      <w:divBdr>
        <w:top w:val="none" w:sz="0" w:space="0" w:color="auto"/>
        <w:left w:val="none" w:sz="0" w:space="0" w:color="auto"/>
        <w:bottom w:val="none" w:sz="0" w:space="0" w:color="auto"/>
        <w:right w:val="none" w:sz="0" w:space="0" w:color="auto"/>
      </w:divBdr>
    </w:div>
    <w:div w:id="1923097296">
      <w:marLeft w:val="0"/>
      <w:marRight w:val="0"/>
      <w:marTop w:val="0"/>
      <w:marBottom w:val="0"/>
      <w:divBdr>
        <w:top w:val="none" w:sz="0" w:space="0" w:color="auto"/>
        <w:left w:val="none" w:sz="0" w:space="0" w:color="auto"/>
        <w:bottom w:val="none" w:sz="0" w:space="0" w:color="auto"/>
        <w:right w:val="none" w:sz="0" w:space="0" w:color="auto"/>
      </w:divBdr>
    </w:div>
    <w:div w:id="1923097297">
      <w:marLeft w:val="0"/>
      <w:marRight w:val="0"/>
      <w:marTop w:val="0"/>
      <w:marBottom w:val="0"/>
      <w:divBdr>
        <w:top w:val="none" w:sz="0" w:space="0" w:color="auto"/>
        <w:left w:val="none" w:sz="0" w:space="0" w:color="auto"/>
        <w:bottom w:val="none" w:sz="0" w:space="0" w:color="auto"/>
        <w:right w:val="none" w:sz="0" w:space="0" w:color="auto"/>
      </w:divBdr>
    </w:div>
    <w:div w:id="1923097298">
      <w:marLeft w:val="0"/>
      <w:marRight w:val="0"/>
      <w:marTop w:val="0"/>
      <w:marBottom w:val="0"/>
      <w:divBdr>
        <w:top w:val="none" w:sz="0" w:space="0" w:color="auto"/>
        <w:left w:val="none" w:sz="0" w:space="0" w:color="auto"/>
        <w:bottom w:val="none" w:sz="0" w:space="0" w:color="auto"/>
        <w:right w:val="none" w:sz="0" w:space="0" w:color="auto"/>
      </w:divBdr>
    </w:div>
    <w:div w:id="1923097299">
      <w:marLeft w:val="0"/>
      <w:marRight w:val="0"/>
      <w:marTop w:val="0"/>
      <w:marBottom w:val="0"/>
      <w:divBdr>
        <w:top w:val="none" w:sz="0" w:space="0" w:color="auto"/>
        <w:left w:val="none" w:sz="0" w:space="0" w:color="auto"/>
        <w:bottom w:val="none" w:sz="0" w:space="0" w:color="auto"/>
        <w:right w:val="none" w:sz="0" w:space="0" w:color="auto"/>
      </w:divBdr>
    </w:div>
    <w:div w:id="1923097300">
      <w:marLeft w:val="0"/>
      <w:marRight w:val="0"/>
      <w:marTop w:val="0"/>
      <w:marBottom w:val="0"/>
      <w:divBdr>
        <w:top w:val="none" w:sz="0" w:space="0" w:color="auto"/>
        <w:left w:val="none" w:sz="0" w:space="0" w:color="auto"/>
        <w:bottom w:val="none" w:sz="0" w:space="0" w:color="auto"/>
        <w:right w:val="none" w:sz="0" w:space="0" w:color="auto"/>
      </w:divBdr>
    </w:div>
    <w:div w:id="1923097301">
      <w:marLeft w:val="0"/>
      <w:marRight w:val="0"/>
      <w:marTop w:val="0"/>
      <w:marBottom w:val="0"/>
      <w:divBdr>
        <w:top w:val="none" w:sz="0" w:space="0" w:color="auto"/>
        <w:left w:val="none" w:sz="0" w:space="0" w:color="auto"/>
        <w:bottom w:val="none" w:sz="0" w:space="0" w:color="auto"/>
        <w:right w:val="none" w:sz="0" w:space="0" w:color="auto"/>
      </w:divBdr>
    </w:div>
    <w:div w:id="1923097302">
      <w:marLeft w:val="0"/>
      <w:marRight w:val="0"/>
      <w:marTop w:val="0"/>
      <w:marBottom w:val="0"/>
      <w:divBdr>
        <w:top w:val="none" w:sz="0" w:space="0" w:color="auto"/>
        <w:left w:val="none" w:sz="0" w:space="0" w:color="auto"/>
        <w:bottom w:val="none" w:sz="0" w:space="0" w:color="auto"/>
        <w:right w:val="none" w:sz="0" w:space="0" w:color="auto"/>
      </w:divBdr>
    </w:div>
    <w:div w:id="1923097303">
      <w:marLeft w:val="0"/>
      <w:marRight w:val="0"/>
      <w:marTop w:val="0"/>
      <w:marBottom w:val="0"/>
      <w:divBdr>
        <w:top w:val="none" w:sz="0" w:space="0" w:color="auto"/>
        <w:left w:val="none" w:sz="0" w:space="0" w:color="auto"/>
        <w:bottom w:val="none" w:sz="0" w:space="0" w:color="auto"/>
        <w:right w:val="none" w:sz="0" w:space="0" w:color="auto"/>
      </w:divBdr>
    </w:div>
    <w:div w:id="1923097304">
      <w:marLeft w:val="0"/>
      <w:marRight w:val="0"/>
      <w:marTop w:val="0"/>
      <w:marBottom w:val="0"/>
      <w:divBdr>
        <w:top w:val="none" w:sz="0" w:space="0" w:color="auto"/>
        <w:left w:val="none" w:sz="0" w:space="0" w:color="auto"/>
        <w:bottom w:val="none" w:sz="0" w:space="0" w:color="auto"/>
        <w:right w:val="none" w:sz="0" w:space="0" w:color="auto"/>
      </w:divBdr>
    </w:div>
    <w:div w:id="1923097305">
      <w:marLeft w:val="0"/>
      <w:marRight w:val="0"/>
      <w:marTop w:val="0"/>
      <w:marBottom w:val="0"/>
      <w:divBdr>
        <w:top w:val="none" w:sz="0" w:space="0" w:color="auto"/>
        <w:left w:val="none" w:sz="0" w:space="0" w:color="auto"/>
        <w:bottom w:val="none" w:sz="0" w:space="0" w:color="auto"/>
        <w:right w:val="none" w:sz="0" w:space="0" w:color="auto"/>
      </w:divBdr>
    </w:div>
    <w:div w:id="1923097306">
      <w:marLeft w:val="0"/>
      <w:marRight w:val="0"/>
      <w:marTop w:val="0"/>
      <w:marBottom w:val="0"/>
      <w:divBdr>
        <w:top w:val="none" w:sz="0" w:space="0" w:color="auto"/>
        <w:left w:val="none" w:sz="0" w:space="0" w:color="auto"/>
        <w:bottom w:val="none" w:sz="0" w:space="0" w:color="auto"/>
        <w:right w:val="none" w:sz="0" w:space="0" w:color="auto"/>
      </w:divBdr>
    </w:div>
    <w:div w:id="1923097307">
      <w:marLeft w:val="0"/>
      <w:marRight w:val="0"/>
      <w:marTop w:val="0"/>
      <w:marBottom w:val="0"/>
      <w:divBdr>
        <w:top w:val="none" w:sz="0" w:space="0" w:color="auto"/>
        <w:left w:val="none" w:sz="0" w:space="0" w:color="auto"/>
        <w:bottom w:val="none" w:sz="0" w:space="0" w:color="auto"/>
        <w:right w:val="none" w:sz="0" w:space="0" w:color="auto"/>
      </w:divBdr>
    </w:div>
    <w:div w:id="1923097308">
      <w:marLeft w:val="0"/>
      <w:marRight w:val="0"/>
      <w:marTop w:val="0"/>
      <w:marBottom w:val="0"/>
      <w:divBdr>
        <w:top w:val="none" w:sz="0" w:space="0" w:color="auto"/>
        <w:left w:val="none" w:sz="0" w:space="0" w:color="auto"/>
        <w:bottom w:val="none" w:sz="0" w:space="0" w:color="auto"/>
        <w:right w:val="none" w:sz="0" w:space="0" w:color="auto"/>
      </w:divBdr>
    </w:div>
    <w:div w:id="1923097309">
      <w:marLeft w:val="0"/>
      <w:marRight w:val="0"/>
      <w:marTop w:val="0"/>
      <w:marBottom w:val="0"/>
      <w:divBdr>
        <w:top w:val="none" w:sz="0" w:space="0" w:color="auto"/>
        <w:left w:val="none" w:sz="0" w:space="0" w:color="auto"/>
        <w:bottom w:val="none" w:sz="0" w:space="0" w:color="auto"/>
        <w:right w:val="none" w:sz="0" w:space="0" w:color="auto"/>
      </w:divBdr>
    </w:div>
    <w:div w:id="1923097310">
      <w:marLeft w:val="0"/>
      <w:marRight w:val="0"/>
      <w:marTop w:val="0"/>
      <w:marBottom w:val="0"/>
      <w:divBdr>
        <w:top w:val="none" w:sz="0" w:space="0" w:color="auto"/>
        <w:left w:val="none" w:sz="0" w:space="0" w:color="auto"/>
        <w:bottom w:val="none" w:sz="0" w:space="0" w:color="auto"/>
        <w:right w:val="none" w:sz="0" w:space="0" w:color="auto"/>
      </w:divBdr>
    </w:div>
    <w:div w:id="1923097311">
      <w:marLeft w:val="0"/>
      <w:marRight w:val="0"/>
      <w:marTop w:val="0"/>
      <w:marBottom w:val="0"/>
      <w:divBdr>
        <w:top w:val="none" w:sz="0" w:space="0" w:color="auto"/>
        <w:left w:val="none" w:sz="0" w:space="0" w:color="auto"/>
        <w:bottom w:val="none" w:sz="0" w:space="0" w:color="auto"/>
        <w:right w:val="none" w:sz="0" w:space="0" w:color="auto"/>
      </w:divBdr>
    </w:div>
    <w:div w:id="1923097312">
      <w:marLeft w:val="0"/>
      <w:marRight w:val="0"/>
      <w:marTop w:val="0"/>
      <w:marBottom w:val="0"/>
      <w:divBdr>
        <w:top w:val="none" w:sz="0" w:space="0" w:color="auto"/>
        <w:left w:val="none" w:sz="0" w:space="0" w:color="auto"/>
        <w:bottom w:val="none" w:sz="0" w:space="0" w:color="auto"/>
        <w:right w:val="none" w:sz="0" w:space="0" w:color="auto"/>
      </w:divBdr>
    </w:div>
    <w:div w:id="1923097313">
      <w:marLeft w:val="0"/>
      <w:marRight w:val="0"/>
      <w:marTop w:val="0"/>
      <w:marBottom w:val="0"/>
      <w:divBdr>
        <w:top w:val="none" w:sz="0" w:space="0" w:color="auto"/>
        <w:left w:val="none" w:sz="0" w:space="0" w:color="auto"/>
        <w:bottom w:val="none" w:sz="0" w:space="0" w:color="auto"/>
        <w:right w:val="none" w:sz="0" w:space="0" w:color="auto"/>
      </w:divBdr>
    </w:div>
    <w:div w:id="1923097314">
      <w:marLeft w:val="0"/>
      <w:marRight w:val="0"/>
      <w:marTop w:val="0"/>
      <w:marBottom w:val="0"/>
      <w:divBdr>
        <w:top w:val="none" w:sz="0" w:space="0" w:color="auto"/>
        <w:left w:val="none" w:sz="0" w:space="0" w:color="auto"/>
        <w:bottom w:val="none" w:sz="0" w:space="0" w:color="auto"/>
        <w:right w:val="none" w:sz="0" w:space="0" w:color="auto"/>
      </w:divBdr>
    </w:div>
    <w:div w:id="1923097315">
      <w:marLeft w:val="0"/>
      <w:marRight w:val="0"/>
      <w:marTop w:val="0"/>
      <w:marBottom w:val="0"/>
      <w:divBdr>
        <w:top w:val="none" w:sz="0" w:space="0" w:color="auto"/>
        <w:left w:val="none" w:sz="0" w:space="0" w:color="auto"/>
        <w:bottom w:val="none" w:sz="0" w:space="0" w:color="auto"/>
        <w:right w:val="none" w:sz="0" w:space="0" w:color="auto"/>
      </w:divBdr>
    </w:div>
    <w:div w:id="1923097316">
      <w:marLeft w:val="0"/>
      <w:marRight w:val="0"/>
      <w:marTop w:val="0"/>
      <w:marBottom w:val="0"/>
      <w:divBdr>
        <w:top w:val="none" w:sz="0" w:space="0" w:color="auto"/>
        <w:left w:val="none" w:sz="0" w:space="0" w:color="auto"/>
        <w:bottom w:val="none" w:sz="0" w:space="0" w:color="auto"/>
        <w:right w:val="none" w:sz="0" w:space="0" w:color="auto"/>
      </w:divBdr>
    </w:div>
    <w:div w:id="1923097317">
      <w:marLeft w:val="0"/>
      <w:marRight w:val="0"/>
      <w:marTop w:val="0"/>
      <w:marBottom w:val="0"/>
      <w:divBdr>
        <w:top w:val="none" w:sz="0" w:space="0" w:color="auto"/>
        <w:left w:val="none" w:sz="0" w:space="0" w:color="auto"/>
        <w:bottom w:val="none" w:sz="0" w:space="0" w:color="auto"/>
        <w:right w:val="none" w:sz="0" w:space="0" w:color="auto"/>
      </w:divBdr>
    </w:div>
    <w:div w:id="1923097318">
      <w:marLeft w:val="0"/>
      <w:marRight w:val="0"/>
      <w:marTop w:val="0"/>
      <w:marBottom w:val="0"/>
      <w:divBdr>
        <w:top w:val="none" w:sz="0" w:space="0" w:color="auto"/>
        <w:left w:val="none" w:sz="0" w:space="0" w:color="auto"/>
        <w:bottom w:val="none" w:sz="0" w:space="0" w:color="auto"/>
        <w:right w:val="none" w:sz="0" w:space="0" w:color="auto"/>
      </w:divBdr>
    </w:div>
    <w:div w:id="1923097319">
      <w:marLeft w:val="0"/>
      <w:marRight w:val="0"/>
      <w:marTop w:val="0"/>
      <w:marBottom w:val="0"/>
      <w:divBdr>
        <w:top w:val="none" w:sz="0" w:space="0" w:color="auto"/>
        <w:left w:val="none" w:sz="0" w:space="0" w:color="auto"/>
        <w:bottom w:val="none" w:sz="0" w:space="0" w:color="auto"/>
        <w:right w:val="none" w:sz="0" w:space="0" w:color="auto"/>
      </w:divBdr>
    </w:div>
    <w:div w:id="1923097320">
      <w:marLeft w:val="0"/>
      <w:marRight w:val="0"/>
      <w:marTop w:val="0"/>
      <w:marBottom w:val="0"/>
      <w:divBdr>
        <w:top w:val="none" w:sz="0" w:space="0" w:color="auto"/>
        <w:left w:val="none" w:sz="0" w:space="0" w:color="auto"/>
        <w:bottom w:val="none" w:sz="0" w:space="0" w:color="auto"/>
        <w:right w:val="none" w:sz="0" w:space="0" w:color="auto"/>
      </w:divBdr>
    </w:div>
    <w:div w:id="1923097321">
      <w:marLeft w:val="0"/>
      <w:marRight w:val="0"/>
      <w:marTop w:val="0"/>
      <w:marBottom w:val="0"/>
      <w:divBdr>
        <w:top w:val="none" w:sz="0" w:space="0" w:color="auto"/>
        <w:left w:val="none" w:sz="0" w:space="0" w:color="auto"/>
        <w:bottom w:val="none" w:sz="0" w:space="0" w:color="auto"/>
        <w:right w:val="none" w:sz="0" w:space="0" w:color="auto"/>
      </w:divBdr>
    </w:div>
    <w:div w:id="1923097322">
      <w:marLeft w:val="0"/>
      <w:marRight w:val="0"/>
      <w:marTop w:val="0"/>
      <w:marBottom w:val="0"/>
      <w:divBdr>
        <w:top w:val="none" w:sz="0" w:space="0" w:color="auto"/>
        <w:left w:val="none" w:sz="0" w:space="0" w:color="auto"/>
        <w:bottom w:val="none" w:sz="0" w:space="0" w:color="auto"/>
        <w:right w:val="none" w:sz="0" w:space="0" w:color="auto"/>
      </w:divBdr>
    </w:div>
    <w:div w:id="1923097323">
      <w:marLeft w:val="0"/>
      <w:marRight w:val="0"/>
      <w:marTop w:val="0"/>
      <w:marBottom w:val="0"/>
      <w:divBdr>
        <w:top w:val="none" w:sz="0" w:space="0" w:color="auto"/>
        <w:left w:val="none" w:sz="0" w:space="0" w:color="auto"/>
        <w:bottom w:val="none" w:sz="0" w:space="0" w:color="auto"/>
        <w:right w:val="none" w:sz="0" w:space="0" w:color="auto"/>
      </w:divBdr>
    </w:div>
    <w:div w:id="1923097324">
      <w:marLeft w:val="0"/>
      <w:marRight w:val="0"/>
      <w:marTop w:val="0"/>
      <w:marBottom w:val="0"/>
      <w:divBdr>
        <w:top w:val="none" w:sz="0" w:space="0" w:color="auto"/>
        <w:left w:val="none" w:sz="0" w:space="0" w:color="auto"/>
        <w:bottom w:val="none" w:sz="0" w:space="0" w:color="auto"/>
        <w:right w:val="none" w:sz="0" w:space="0" w:color="auto"/>
      </w:divBdr>
    </w:div>
    <w:div w:id="1923097325">
      <w:marLeft w:val="0"/>
      <w:marRight w:val="0"/>
      <w:marTop w:val="0"/>
      <w:marBottom w:val="0"/>
      <w:divBdr>
        <w:top w:val="none" w:sz="0" w:space="0" w:color="auto"/>
        <w:left w:val="none" w:sz="0" w:space="0" w:color="auto"/>
        <w:bottom w:val="none" w:sz="0" w:space="0" w:color="auto"/>
        <w:right w:val="none" w:sz="0" w:space="0" w:color="auto"/>
      </w:divBdr>
    </w:div>
    <w:div w:id="1923097326">
      <w:marLeft w:val="0"/>
      <w:marRight w:val="0"/>
      <w:marTop w:val="0"/>
      <w:marBottom w:val="0"/>
      <w:divBdr>
        <w:top w:val="none" w:sz="0" w:space="0" w:color="auto"/>
        <w:left w:val="none" w:sz="0" w:space="0" w:color="auto"/>
        <w:bottom w:val="none" w:sz="0" w:space="0" w:color="auto"/>
        <w:right w:val="none" w:sz="0" w:space="0" w:color="auto"/>
      </w:divBdr>
    </w:div>
    <w:div w:id="1923097327">
      <w:marLeft w:val="0"/>
      <w:marRight w:val="0"/>
      <w:marTop w:val="0"/>
      <w:marBottom w:val="0"/>
      <w:divBdr>
        <w:top w:val="none" w:sz="0" w:space="0" w:color="auto"/>
        <w:left w:val="none" w:sz="0" w:space="0" w:color="auto"/>
        <w:bottom w:val="none" w:sz="0" w:space="0" w:color="auto"/>
        <w:right w:val="none" w:sz="0" w:space="0" w:color="auto"/>
      </w:divBdr>
    </w:div>
    <w:div w:id="1923097328">
      <w:marLeft w:val="0"/>
      <w:marRight w:val="0"/>
      <w:marTop w:val="0"/>
      <w:marBottom w:val="0"/>
      <w:divBdr>
        <w:top w:val="none" w:sz="0" w:space="0" w:color="auto"/>
        <w:left w:val="none" w:sz="0" w:space="0" w:color="auto"/>
        <w:bottom w:val="none" w:sz="0" w:space="0" w:color="auto"/>
        <w:right w:val="none" w:sz="0" w:space="0" w:color="auto"/>
      </w:divBdr>
    </w:div>
    <w:div w:id="1923097329">
      <w:marLeft w:val="0"/>
      <w:marRight w:val="0"/>
      <w:marTop w:val="0"/>
      <w:marBottom w:val="0"/>
      <w:divBdr>
        <w:top w:val="none" w:sz="0" w:space="0" w:color="auto"/>
        <w:left w:val="none" w:sz="0" w:space="0" w:color="auto"/>
        <w:bottom w:val="none" w:sz="0" w:space="0" w:color="auto"/>
        <w:right w:val="none" w:sz="0" w:space="0" w:color="auto"/>
      </w:divBdr>
    </w:div>
    <w:div w:id="1923097330">
      <w:marLeft w:val="0"/>
      <w:marRight w:val="0"/>
      <w:marTop w:val="0"/>
      <w:marBottom w:val="0"/>
      <w:divBdr>
        <w:top w:val="none" w:sz="0" w:space="0" w:color="auto"/>
        <w:left w:val="none" w:sz="0" w:space="0" w:color="auto"/>
        <w:bottom w:val="none" w:sz="0" w:space="0" w:color="auto"/>
        <w:right w:val="none" w:sz="0" w:space="0" w:color="auto"/>
      </w:divBdr>
    </w:div>
    <w:div w:id="1923097331">
      <w:marLeft w:val="0"/>
      <w:marRight w:val="0"/>
      <w:marTop w:val="0"/>
      <w:marBottom w:val="0"/>
      <w:divBdr>
        <w:top w:val="none" w:sz="0" w:space="0" w:color="auto"/>
        <w:left w:val="none" w:sz="0" w:space="0" w:color="auto"/>
        <w:bottom w:val="none" w:sz="0" w:space="0" w:color="auto"/>
        <w:right w:val="none" w:sz="0" w:space="0" w:color="auto"/>
      </w:divBdr>
    </w:div>
    <w:div w:id="1923097332">
      <w:marLeft w:val="0"/>
      <w:marRight w:val="0"/>
      <w:marTop w:val="0"/>
      <w:marBottom w:val="0"/>
      <w:divBdr>
        <w:top w:val="none" w:sz="0" w:space="0" w:color="auto"/>
        <w:left w:val="none" w:sz="0" w:space="0" w:color="auto"/>
        <w:bottom w:val="none" w:sz="0" w:space="0" w:color="auto"/>
        <w:right w:val="none" w:sz="0" w:space="0" w:color="auto"/>
      </w:divBdr>
    </w:div>
    <w:div w:id="1923097333">
      <w:marLeft w:val="0"/>
      <w:marRight w:val="0"/>
      <w:marTop w:val="0"/>
      <w:marBottom w:val="0"/>
      <w:divBdr>
        <w:top w:val="none" w:sz="0" w:space="0" w:color="auto"/>
        <w:left w:val="none" w:sz="0" w:space="0" w:color="auto"/>
        <w:bottom w:val="none" w:sz="0" w:space="0" w:color="auto"/>
        <w:right w:val="none" w:sz="0" w:space="0" w:color="auto"/>
      </w:divBdr>
    </w:div>
    <w:div w:id="1923097334">
      <w:marLeft w:val="0"/>
      <w:marRight w:val="0"/>
      <w:marTop w:val="0"/>
      <w:marBottom w:val="0"/>
      <w:divBdr>
        <w:top w:val="none" w:sz="0" w:space="0" w:color="auto"/>
        <w:left w:val="none" w:sz="0" w:space="0" w:color="auto"/>
        <w:bottom w:val="none" w:sz="0" w:space="0" w:color="auto"/>
        <w:right w:val="none" w:sz="0" w:space="0" w:color="auto"/>
      </w:divBdr>
    </w:div>
    <w:div w:id="1923097335">
      <w:marLeft w:val="0"/>
      <w:marRight w:val="0"/>
      <w:marTop w:val="0"/>
      <w:marBottom w:val="0"/>
      <w:divBdr>
        <w:top w:val="none" w:sz="0" w:space="0" w:color="auto"/>
        <w:left w:val="none" w:sz="0" w:space="0" w:color="auto"/>
        <w:bottom w:val="none" w:sz="0" w:space="0" w:color="auto"/>
        <w:right w:val="none" w:sz="0" w:space="0" w:color="auto"/>
      </w:divBdr>
    </w:div>
    <w:div w:id="1923097336">
      <w:marLeft w:val="0"/>
      <w:marRight w:val="0"/>
      <w:marTop w:val="0"/>
      <w:marBottom w:val="0"/>
      <w:divBdr>
        <w:top w:val="none" w:sz="0" w:space="0" w:color="auto"/>
        <w:left w:val="none" w:sz="0" w:space="0" w:color="auto"/>
        <w:bottom w:val="none" w:sz="0" w:space="0" w:color="auto"/>
        <w:right w:val="none" w:sz="0" w:space="0" w:color="auto"/>
      </w:divBdr>
    </w:div>
    <w:div w:id="1923097337">
      <w:marLeft w:val="0"/>
      <w:marRight w:val="0"/>
      <w:marTop w:val="0"/>
      <w:marBottom w:val="0"/>
      <w:divBdr>
        <w:top w:val="none" w:sz="0" w:space="0" w:color="auto"/>
        <w:left w:val="none" w:sz="0" w:space="0" w:color="auto"/>
        <w:bottom w:val="none" w:sz="0" w:space="0" w:color="auto"/>
        <w:right w:val="none" w:sz="0" w:space="0" w:color="auto"/>
      </w:divBdr>
    </w:div>
    <w:div w:id="1923097338">
      <w:marLeft w:val="0"/>
      <w:marRight w:val="0"/>
      <w:marTop w:val="0"/>
      <w:marBottom w:val="0"/>
      <w:divBdr>
        <w:top w:val="none" w:sz="0" w:space="0" w:color="auto"/>
        <w:left w:val="none" w:sz="0" w:space="0" w:color="auto"/>
        <w:bottom w:val="none" w:sz="0" w:space="0" w:color="auto"/>
        <w:right w:val="none" w:sz="0" w:space="0" w:color="auto"/>
      </w:divBdr>
    </w:div>
    <w:div w:id="1923097339">
      <w:marLeft w:val="0"/>
      <w:marRight w:val="0"/>
      <w:marTop w:val="0"/>
      <w:marBottom w:val="0"/>
      <w:divBdr>
        <w:top w:val="none" w:sz="0" w:space="0" w:color="auto"/>
        <w:left w:val="none" w:sz="0" w:space="0" w:color="auto"/>
        <w:bottom w:val="none" w:sz="0" w:space="0" w:color="auto"/>
        <w:right w:val="none" w:sz="0" w:space="0" w:color="auto"/>
      </w:divBdr>
    </w:div>
    <w:div w:id="1923097340">
      <w:marLeft w:val="0"/>
      <w:marRight w:val="0"/>
      <w:marTop w:val="0"/>
      <w:marBottom w:val="0"/>
      <w:divBdr>
        <w:top w:val="none" w:sz="0" w:space="0" w:color="auto"/>
        <w:left w:val="none" w:sz="0" w:space="0" w:color="auto"/>
        <w:bottom w:val="none" w:sz="0" w:space="0" w:color="auto"/>
        <w:right w:val="none" w:sz="0" w:space="0" w:color="auto"/>
      </w:divBdr>
    </w:div>
    <w:div w:id="1923097341">
      <w:marLeft w:val="0"/>
      <w:marRight w:val="0"/>
      <w:marTop w:val="0"/>
      <w:marBottom w:val="0"/>
      <w:divBdr>
        <w:top w:val="none" w:sz="0" w:space="0" w:color="auto"/>
        <w:left w:val="none" w:sz="0" w:space="0" w:color="auto"/>
        <w:bottom w:val="none" w:sz="0" w:space="0" w:color="auto"/>
        <w:right w:val="none" w:sz="0" w:space="0" w:color="auto"/>
      </w:divBdr>
    </w:div>
    <w:div w:id="1923097342">
      <w:marLeft w:val="0"/>
      <w:marRight w:val="0"/>
      <w:marTop w:val="0"/>
      <w:marBottom w:val="0"/>
      <w:divBdr>
        <w:top w:val="none" w:sz="0" w:space="0" w:color="auto"/>
        <w:left w:val="none" w:sz="0" w:space="0" w:color="auto"/>
        <w:bottom w:val="none" w:sz="0" w:space="0" w:color="auto"/>
        <w:right w:val="none" w:sz="0" w:space="0" w:color="auto"/>
      </w:divBdr>
    </w:div>
    <w:div w:id="1923097343">
      <w:marLeft w:val="0"/>
      <w:marRight w:val="0"/>
      <w:marTop w:val="0"/>
      <w:marBottom w:val="0"/>
      <w:divBdr>
        <w:top w:val="none" w:sz="0" w:space="0" w:color="auto"/>
        <w:left w:val="none" w:sz="0" w:space="0" w:color="auto"/>
        <w:bottom w:val="none" w:sz="0" w:space="0" w:color="auto"/>
        <w:right w:val="none" w:sz="0" w:space="0" w:color="auto"/>
      </w:divBdr>
    </w:div>
    <w:div w:id="1923097344">
      <w:marLeft w:val="0"/>
      <w:marRight w:val="0"/>
      <w:marTop w:val="0"/>
      <w:marBottom w:val="0"/>
      <w:divBdr>
        <w:top w:val="none" w:sz="0" w:space="0" w:color="auto"/>
        <w:left w:val="none" w:sz="0" w:space="0" w:color="auto"/>
        <w:bottom w:val="none" w:sz="0" w:space="0" w:color="auto"/>
        <w:right w:val="none" w:sz="0" w:space="0" w:color="auto"/>
      </w:divBdr>
    </w:div>
    <w:div w:id="1923097345">
      <w:marLeft w:val="0"/>
      <w:marRight w:val="0"/>
      <w:marTop w:val="0"/>
      <w:marBottom w:val="0"/>
      <w:divBdr>
        <w:top w:val="none" w:sz="0" w:space="0" w:color="auto"/>
        <w:left w:val="none" w:sz="0" w:space="0" w:color="auto"/>
        <w:bottom w:val="none" w:sz="0" w:space="0" w:color="auto"/>
        <w:right w:val="none" w:sz="0" w:space="0" w:color="auto"/>
      </w:divBdr>
    </w:div>
    <w:div w:id="1923097346">
      <w:marLeft w:val="0"/>
      <w:marRight w:val="0"/>
      <w:marTop w:val="0"/>
      <w:marBottom w:val="0"/>
      <w:divBdr>
        <w:top w:val="none" w:sz="0" w:space="0" w:color="auto"/>
        <w:left w:val="none" w:sz="0" w:space="0" w:color="auto"/>
        <w:bottom w:val="none" w:sz="0" w:space="0" w:color="auto"/>
        <w:right w:val="none" w:sz="0" w:space="0" w:color="auto"/>
      </w:divBdr>
    </w:div>
    <w:div w:id="1923097347">
      <w:marLeft w:val="0"/>
      <w:marRight w:val="0"/>
      <w:marTop w:val="0"/>
      <w:marBottom w:val="0"/>
      <w:divBdr>
        <w:top w:val="none" w:sz="0" w:space="0" w:color="auto"/>
        <w:left w:val="none" w:sz="0" w:space="0" w:color="auto"/>
        <w:bottom w:val="none" w:sz="0" w:space="0" w:color="auto"/>
        <w:right w:val="none" w:sz="0" w:space="0" w:color="auto"/>
      </w:divBdr>
    </w:div>
    <w:div w:id="1923097348">
      <w:marLeft w:val="0"/>
      <w:marRight w:val="0"/>
      <w:marTop w:val="0"/>
      <w:marBottom w:val="0"/>
      <w:divBdr>
        <w:top w:val="none" w:sz="0" w:space="0" w:color="auto"/>
        <w:left w:val="none" w:sz="0" w:space="0" w:color="auto"/>
        <w:bottom w:val="none" w:sz="0" w:space="0" w:color="auto"/>
        <w:right w:val="none" w:sz="0" w:space="0" w:color="auto"/>
      </w:divBdr>
    </w:div>
    <w:div w:id="1923097349">
      <w:marLeft w:val="0"/>
      <w:marRight w:val="0"/>
      <w:marTop w:val="0"/>
      <w:marBottom w:val="0"/>
      <w:divBdr>
        <w:top w:val="none" w:sz="0" w:space="0" w:color="auto"/>
        <w:left w:val="none" w:sz="0" w:space="0" w:color="auto"/>
        <w:bottom w:val="none" w:sz="0" w:space="0" w:color="auto"/>
        <w:right w:val="none" w:sz="0" w:space="0" w:color="auto"/>
      </w:divBdr>
    </w:div>
    <w:div w:id="1923097350">
      <w:marLeft w:val="0"/>
      <w:marRight w:val="0"/>
      <w:marTop w:val="0"/>
      <w:marBottom w:val="0"/>
      <w:divBdr>
        <w:top w:val="none" w:sz="0" w:space="0" w:color="auto"/>
        <w:left w:val="none" w:sz="0" w:space="0" w:color="auto"/>
        <w:bottom w:val="none" w:sz="0" w:space="0" w:color="auto"/>
        <w:right w:val="none" w:sz="0" w:space="0" w:color="auto"/>
      </w:divBdr>
    </w:div>
    <w:div w:id="1923097351">
      <w:marLeft w:val="0"/>
      <w:marRight w:val="0"/>
      <w:marTop w:val="0"/>
      <w:marBottom w:val="0"/>
      <w:divBdr>
        <w:top w:val="none" w:sz="0" w:space="0" w:color="auto"/>
        <w:left w:val="none" w:sz="0" w:space="0" w:color="auto"/>
        <w:bottom w:val="none" w:sz="0" w:space="0" w:color="auto"/>
        <w:right w:val="none" w:sz="0" w:space="0" w:color="auto"/>
      </w:divBdr>
    </w:div>
    <w:div w:id="1923097352">
      <w:marLeft w:val="0"/>
      <w:marRight w:val="0"/>
      <w:marTop w:val="0"/>
      <w:marBottom w:val="0"/>
      <w:divBdr>
        <w:top w:val="none" w:sz="0" w:space="0" w:color="auto"/>
        <w:left w:val="none" w:sz="0" w:space="0" w:color="auto"/>
        <w:bottom w:val="none" w:sz="0" w:space="0" w:color="auto"/>
        <w:right w:val="none" w:sz="0" w:space="0" w:color="auto"/>
      </w:divBdr>
    </w:div>
    <w:div w:id="1923097353">
      <w:marLeft w:val="0"/>
      <w:marRight w:val="0"/>
      <w:marTop w:val="0"/>
      <w:marBottom w:val="0"/>
      <w:divBdr>
        <w:top w:val="none" w:sz="0" w:space="0" w:color="auto"/>
        <w:left w:val="none" w:sz="0" w:space="0" w:color="auto"/>
        <w:bottom w:val="none" w:sz="0" w:space="0" w:color="auto"/>
        <w:right w:val="none" w:sz="0" w:space="0" w:color="auto"/>
      </w:divBdr>
    </w:div>
    <w:div w:id="1923097354">
      <w:marLeft w:val="0"/>
      <w:marRight w:val="0"/>
      <w:marTop w:val="0"/>
      <w:marBottom w:val="0"/>
      <w:divBdr>
        <w:top w:val="none" w:sz="0" w:space="0" w:color="auto"/>
        <w:left w:val="none" w:sz="0" w:space="0" w:color="auto"/>
        <w:bottom w:val="none" w:sz="0" w:space="0" w:color="auto"/>
        <w:right w:val="none" w:sz="0" w:space="0" w:color="auto"/>
      </w:divBdr>
    </w:div>
    <w:div w:id="1923097355">
      <w:marLeft w:val="0"/>
      <w:marRight w:val="0"/>
      <w:marTop w:val="0"/>
      <w:marBottom w:val="0"/>
      <w:divBdr>
        <w:top w:val="none" w:sz="0" w:space="0" w:color="auto"/>
        <w:left w:val="none" w:sz="0" w:space="0" w:color="auto"/>
        <w:bottom w:val="none" w:sz="0" w:space="0" w:color="auto"/>
        <w:right w:val="none" w:sz="0" w:space="0" w:color="auto"/>
      </w:divBdr>
    </w:div>
    <w:div w:id="1923097356">
      <w:marLeft w:val="0"/>
      <w:marRight w:val="0"/>
      <w:marTop w:val="0"/>
      <w:marBottom w:val="0"/>
      <w:divBdr>
        <w:top w:val="none" w:sz="0" w:space="0" w:color="auto"/>
        <w:left w:val="none" w:sz="0" w:space="0" w:color="auto"/>
        <w:bottom w:val="none" w:sz="0" w:space="0" w:color="auto"/>
        <w:right w:val="none" w:sz="0" w:space="0" w:color="auto"/>
      </w:divBdr>
    </w:div>
    <w:div w:id="1923097357">
      <w:marLeft w:val="0"/>
      <w:marRight w:val="0"/>
      <w:marTop w:val="0"/>
      <w:marBottom w:val="0"/>
      <w:divBdr>
        <w:top w:val="none" w:sz="0" w:space="0" w:color="auto"/>
        <w:left w:val="none" w:sz="0" w:space="0" w:color="auto"/>
        <w:bottom w:val="none" w:sz="0" w:space="0" w:color="auto"/>
        <w:right w:val="none" w:sz="0" w:space="0" w:color="auto"/>
      </w:divBdr>
    </w:div>
    <w:div w:id="1923097358">
      <w:marLeft w:val="0"/>
      <w:marRight w:val="0"/>
      <w:marTop w:val="0"/>
      <w:marBottom w:val="0"/>
      <w:divBdr>
        <w:top w:val="none" w:sz="0" w:space="0" w:color="auto"/>
        <w:left w:val="none" w:sz="0" w:space="0" w:color="auto"/>
        <w:bottom w:val="none" w:sz="0" w:space="0" w:color="auto"/>
        <w:right w:val="none" w:sz="0" w:space="0" w:color="auto"/>
      </w:divBdr>
    </w:div>
    <w:div w:id="1923097359">
      <w:marLeft w:val="0"/>
      <w:marRight w:val="0"/>
      <w:marTop w:val="0"/>
      <w:marBottom w:val="0"/>
      <w:divBdr>
        <w:top w:val="none" w:sz="0" w:space="0" w:color="auto"/>
        <w:left w:val="none" w:sz="0" w:space="0" w:color="auto"/>
        <w:bottom w:val="none" w:sz="0" w:space="0" w:color="auto"/>
        <w:right w:val="none" w:sz="0" w:space="0" w:color="auto"/>
      </w:divBdr>
    </w:div>
    <w:div w:id="1923097360">
      <w:marLeft w:val="0"/>
      <w:marRight w:val="0"/>
      <w:marTop w:val="0"/>
      <w:marBottom w:val="0"/>
      <w:divBdr>
        <w:top w:val="none" w:sz="0" w:space="0" w:color="auto"/>
        <w:left w:val="none" w:sz="0" w:space="0" w:color="auto"/>
        <w:bottom w:val="none" w:sz="0" w:space="0" w:color="auto"/>
        <w:right w:val="none" w:sz="0" w:space="0" w:color="auto"/>
      </w:divBdr>
    </w:div>
    <w:div w:id="1923097361">
      <w:marLeft w:val="0"/>
      <w:marRight w:val="0"/>
      <w:marTop w:val="0"/>
      <w:marBottom w:val="0"/>
      <w:divBdr>
        <w:top w:val="none" w:sz="0" w:space="0" w:color="auto"/>
        <w:left w:val="none" w:sz="0" w:space="0" w:color="auto"/>
        <w:bottom w:val="none" w:sz="0" w:space="0" w:color="auto"/>
        <w:right w:val="none" w:sz="0" w:space="0" w:color="auto"/>
      </w:divBdr>
    </w:div>
    <w:div w:id="1923097362">
      <w:marLeft w:val="0"/>
      <w:marRight w:val="0"/>
      <w:marTop w:val="0"/>
      <w:marBottom w:val="0"/>
      <w:divBdr>
        <w:top w:val="none" w:sz="0" w:space="0" w:color="auto"/>
        <w:left w:val="none" w:sz="0" w:space="0" w:color="auto"/>
        <w:bottom w:val="none" w:sz="0" w:space="0" w:color="auto"/>
        <w:right w:val="none" w:sz="0" w:space="0" w:color="auto"/>
      </w:divBdr>
    </w:div>
    <w:div w:id="1923097363">
      <w:marLeft w:val="0"/>
      <w:marRight w:val="0"/>
      <w:marTop w:val="0"/>
      <w:marBottom w:val="0"/>
      <w:divBdr>
        <w:top w:val="none" w:sz="0" w:space="0" w:color="auto"/>
        <w:left w:val="none" w:sz="0" w:space="0" w:color="auto"/>
        <w:bottom w:val="none" w:sz="0" w:space="0" w:color="auto"/>
        <w:right w:val="none" w:sz="0" w:space="0" w:color="auto"/>
      </w:divBdr>
    </w:div>
    <w:div w:id="1923097364">
      <w:marLeft w:val="0"/>
      <w:marRight w:val="0"/>
      <w:marTop w:val="0"/>
      <w:marBottom w:val="0"/>
      <w:divBdr>
        <w:top w:val="none" w:sz="0" w:space="0" w:color="auto"/>
        <w:left w:val="none" w:sz="0" w:space="0" w:color="auto"/>
        <w:bottom w:val="none" w:sz="0" w:space="0" w:color="auto"/>
        <w:right w:val="none" w:sz="0" w:space="0" w:color="auto"/>
      </w:divBdr>
    </w:div>
    <w:div w:id="1923097365">
      <w:marLeft w:val="0"/>
      <w:marRight w:val="0"/>
      <w:marTop w:val="0"/>
      <w:marBottom w:val="0"/>
      <w:divBdr>
        <w:top w:val="none" w:sz="0" w:space="0" w:color="auto"/>
        <w:left w:val="none" w:sz="0" w:space="0" w:color="auto"/>
        <w:bottom w:val="none" w:sz="0" w:space="0" w:color="auto"/>
        <w:right w:val="none" w:sz="0" w:space="0" w:color="auto"/>
      </w:divBdr>
    </w:div>
    <w:div w:id="1923097366">
      <w:marLeft w:val="0"/>
      <w:marRight w:val="0"/>
      <w:marTop w:val="0"/>
      <w:marBottom w:val="0"/>
      <w:divBdr>
        <w:top w:val="none" w:sz="0" w:space="0" w:color="auto"/>
        <w:left w:val="none" w:sz="0" w:space="0" w:color="auto"/>
        <w:bottom w:val="none" w:sz="0" w:space="0" w:color="auto"/>
        <w:right w:val="none" w:sz="0" w:space="0" w:color="auto"/>
      </w:divBdr>
    </w:div>
    <w:div w:id="1923097367">
      <w:marLeft w:val="0"/>
      <w:marRight w:val="0"/>
      <w:marTop w:val="0"/>
      <w:marBottom w:val="0"/>
      <w:divBdr>
        <w:top w:val="none" w:sz="0" w:space="0" w:color="auto"/>
        <w:left w:val="none" w:sz="0" w:space="0" w:color="auto"/>
        <w:bottom w:val="none" w:sz="0" w:space="0" w:color="auto"/>
        <w:right w:val="none" w:sz="0" w:space="0" w:color="auto"/>
      </w:divBdr>
    </w:div>
    <w:div w:id="1923097368">
      <w:marLeft w:val="0"/>
      <w:marRight w:val="0"/>
      <w:marTop w:val="0"/>
      <w:marBottom w:val="0"/>
      <w:divBdr>
        <w:top w:val="none" w:sz="0" w:space="0" w:color="auto"/>
        <w:left w:val="none" w:sz="0" w:space="0" w:color="auto"/>
        <w:bottom w:val="none" w:sz="0" w:space="0" w:color="auto"/>
        <w:right w:val="none" w:sz="0" w:space="0" w:color="auto"/>
      </w:divBdr>
    </w:div>
    <w:div w:id="1923097369">
      <w:marLeft w:val="0"/>
      <w:marRight w:val="0"/>
      <w:marTop w:val="0"/>
      <w:marBottom w:val="0"/>
      <w:divBdr>
        <w:top w:val="none" w:sz="0" w:space="0" w:color="auto"/>
        <w:left w:val="none" w:sz="0" w:space="0" w:color="auto"/>
        <w:bottom w:val="none" w:sz="0" w:space="0" w:color="auto"/>
        <w:right w:val="none" w:sz="0" w:space="0" w:color="auto"/>
      </w:divBdr>
    </w:div>
    <w:div w:id="1923097370">
      <w:marLeft w:val="0"/>
      <w:marRight w:val="0"/>
      <w:marTop w:val="0"/>
      <w:marBottom w:val="0"/>
      <w:divBdr>
        <w:top w:val="none" w:sz="0" w:space="0" w:color="auto"/>
        <w:left w:val="none" w:sz="0" w:space="0" w:color="auto"/>
        <w:bottom w:val="none" w:sz="0" w:space="0" w:color="auto"/>
        <w:right w:val="none" w:sz="0" w:space="0" w:color="auto"/>
      </w:divBdr>
    </w:div>
    <w:div w:id="1923097371">
      <w:marLeft w:val="0"/>
      <w:marRight w:val="0"/>
      <w:marTop w:val="0"/>
      <w:marBottom w:val="0"/>
      <w:divBdr>
        <w:top w:val="none" w:sz="0" w:space="0" w:color="auto"/>
        <w:left w:val="none" w:sz="0" w:space="0" w:color="auto"/>
        <w:bottom w:val="none" w:sz="0" w:space="0" w:color="auto"/>
        <w:right w:val="none" w:sz="0" w:space="0" w:color="auto"/>
      </w:divBdr>
    </w:div>
    <w:div w:id="1923097372">
      <w:marLeft w:val="0"/>
      <w:marRight w:val="0"/>
      <w:marTop w:val="0"/>
      <w:marBottom w:val="0"/>
      <w:divBdr>
        <w:top w:val="none" w:sz="0" w:space="0" w:color="auto"/>
        <w:left w:val="none" w:sz="0" w:space="0" w:color="auto"/>
        <w:bottom w:val="none" w:sz="0" w:space="0" w:color="auto"/>
        <w:right w:val="none" w:sz="0" w:space="0" w:color="auto"/>
      </w:divBdr>
    </w:div>
    <w:div w:id="1923097373">
      <w:marLeft w:val="0"/>
      <w:marRight w:val="0"/>
      <w:marTop w:val="0"/>
      <w:marBottom w:val="0"/>
      <w:divBdr>
        <w:top w:val="none" w:sz="0" w:space="0" w:color="auto"/>
        <w:left w:val="none" w:sz="0" w:space="0" w:color="auto"/>
        <w:bottom w:val="none" w:sz="0" w:space="0" w:color="auto"/>
        <w:right w:val="none" w:sz="0" w:space="0" w:color="auto"/>
      </w:divBdr>
    </w:div>
    <w:div w:id="1923097374">
      <w:marLeft w:val="0"/>
      <w:marRight w:val="0"/>
      <w:marTop w:val="0"/>
      <w:marBottom w:val="0"/>
      <w:divBdr>
        <w:top w:val="none" w:sz="0" w:space="0" w:color="auto"/>
        <w:left w:val="none" w:sz="0" w:space="0" w:color="auto"/>
        <w:bottom w:val="none" w:sz="0" w:space="0" w:color="auto"/>
        <w:right w:val="none" w:sz="0" w:space="0" w:color="auto"/>
      </w:divBdr>
    </w:div>
    <w:div w:id="1923097375">
      <w:marLeft w:val="0"/>
      <w:marRight w:val="0"/>
      <w:marTop w:val="0"/>
      <w:marBottom w:val="0"/>
      <w:divBdr>
        <w:top w:val="none" w:sz="0" w:space="0" w:color="auto"/>
        <w:left w:val="none" w:sz="0" w:space="0" w:color="auto"/>
        <w:bottom w:val="none" w:sz="0" w:space="0" w:color="auto"/>
        <w:right w:val="none" w:sz="0" w:space="0" w:color="auto"/>
      </w:divBdr>
    </w:div>
    <w:div w:id="1923097376">
      <w:marLeft w:val="0"/>
      <w:marRight w:val="0"/>
      <w:marTop w:val="0"/>
      <w:marBottom w:val="0"/>
      <w:divBdr>
        <w:top w:val="none" w:sz="0" w:space="0" w:color="auto"/>
        <w:left w:val="none" w:sz="0" w:space="0" w:color="auto"/>
        <w:bottom w:val="none" w:sz="0" w:space="0" w:color="auto"/>
        <w:right w:val="none" w:sz="0" w:space="0" w:color="auto"/>
      </w:divBdr>
    </w:div>
    <w:div w:id="1923097377">
      <w:marLeft w:val="0"/>
      <w:marRight w:val="0"/>
      <w:marTop w:val="0"/>
      <w:marBottom w:val="0"/>
      <w:divBdr>
        <w:top w:val="none" w:sz="0" w:space="0" w:color="auto"/>
        <w:left w:val="none" w:sz="0" w:space="0" w:color="auto"/>
        <w:bottom w:val="none" w:sz="0" w:space="0" w:color="auto"/>
        <w:right w:val="none" w:sz="0" w:space="0" w:color="auto"/>
      </w:divBdr>
    </w:div>
    <w:div w:id="1923097378">
      <w:marLeft w:val="0"/>
      <w:marRight w:val="0"/>
      <w:marTop w:val="0"/>
      <w:marBottom w:val="0"/>
      <w:divBdr>
        <w:top w:val="none" w:sz="0" w:space="0" w:color="auto"/>
        <w:left w:val="none" w:sz="0" w:space="0" w:color="auto"/>
        <w:bottom w:val="none" w:sz="0" w:space="0" w:color="auto"/>
        <w:right w:val="none" w:sz="0" w:space="0" w:color="auto"/>
      </w:divBdr>
    </w:div>
    <w:div w:id="1923097379">
      <w:marLeft w:val="0"/>
      <w:marRight w:val="0"/>
      <w:marTop w:val="0"/>
      <w:marBottom w:val="0"/>
      <w:divBdr>
        <w:top w:val="none" w:sz="0" w:space="0" w:color="auto"/>
        <w:left w:val="none" w:sz="0" w:space="0" w:color="auto"/>
        <w:bottom w:val="none" w:sz="0" w:space="0" w:color="auto"/>
        <w:right w:val="none" w:sz="0" w:space="0" w:color="auto"/>
      </w:divBdr>
    </w:div>
    <w:div w:id="1923097380">
      <w:marLeft w:val="0"/>
      <w:marRight w:val="0"/>
      <w:marTop w:val="0"/>
      <w:marBottom w:val="0"/>
      <w:divBdr>
        <w:top w:val="none" w:sz="0" w:space="0" w:color="auto"/>
        <w:left w:val="none" w:sz="0" w:space="0" w:color="auto"/>
        <w:bottom w:val="none" w:sz="0" w:space="0" w:color="auto"/>
        <w:right w:val="none" w:sz="0" w:space="0" w:color="auto"/>
      </w:divBdr>
    </w:div>
    <w:div w:id="1923097381">
      <w:marLeft w:val="0"/>
      <w:marRight w:val="0"/>
      <w:marTop w:val="0"/>
      <w:marBottom w:val="0"/>
      <w:divBdr>
        <w:top w:val="none" w:sz="0" w:space="0" w:color="auto"/>
        <w:left w:val="none" w:sz="0" w:space="0" w:color="auto"/>
        <w:bottom w:val="none" w:sz="0" w:space="0" w:color="auto"/>
        <w:right w:val="none" w:sz="0" w:space="0" w:color="auto"/>
      </w:divBdr>
    </w:div>
    <w:div w:id="1923097382">
      <w:marLeft w:val="0"/>
      <w:marRight w:val="0"/>
      <w:marTop w:val="0"/>
      <w:marBottom w:val="0"/>
      <w:divBdr>
        <w:top w:val="none" w:sz="0" w:space="0" w:color="auto"/>
        <w:left w:val="none" w:sz="0" w:space="0" w:color="auto"/>
        <w:bottom w:val="none" w:sz="0" w:space="0" w:color="auto"/>
        <w:right w:val="none" w:sz="0" w:space="0" w:color="auto"/>
      </w:divBdr>
    </w:div>
    <w:div w:id="1923097383">
      <w:marLeft w:val="0"/>
      <w:marRight w:val="0"/>
      <w:marTop w:val="0"/>
      <w:marBottom w:val="0"/>
      <w:divBdr>
        <w:top w:val="none" w:sz="0" w:space="0" w:color="auto"/>
        <w:left w:val="none" w:sz="0" w:space="0" w:color="auto"/>
        <w:bottom w:val="none" w:sz="0" w:space="0" w:color="auto"/>
        <w:right w:val="none" w:sz="0" w:space="0" w:color="auto"/>
      </w:divBdr>
    </w:div>
    <w:div w:id="1923097384">
      <w:marLeft w:val="0"/>
      <w:marRight w:val="0"/>
      <w:marTop w:val="0"/>
      <w:marBottom w:val="0"/>
      <w:divBdr>
        <w:top w:val="none" w:sz="0" w:space="0" w:color="auto"/>
        <w:left w:val="none" w:sz="0" w:space="0" w:color="auto"/>
        <w:bottom w:val="none" w:sz="0" w:space="0" w:color="auto"/>
        <w:right w:val="none" w:sz="0" w:space="0" w:color="auto"/>
      </w:divBdr>
    </w:div>
    <w:div w:id="1923097385">
      <w:marLeft w:val="0"/>
      <w:marRight w:val="0"/>
      <w:marTop w:val="0"/>
      <w:marBottom w:val="0"/>
      <w:divBdr>
        <w:top w:val="none" w:sz="0" w:space="0" w:color="auto"/>
        <w:left w:val="none" w:sz="0" w:space="0" w:color="auto"/>
        <w:bottom w:val="none" w:sz="0" w:space="0" w:color="auto"/>
        <w:right w:val="none" w:sz="0" w:space="0" w:color="auto"/>
      </w:divBdr>
    </w:div>
    <w:div w:id="1923097386">
      <w:marLeft w:val="0"/>
      <w:marRight w:val="0"/>
      <w:marTop w:val="0"/>
      <w:marBottom w:val="0"/>
      <w:divBdr>
        <w:top w:val="none" w:sz="0" w:space="0" w:color="auto"/>
        <w:left w:val="none" w:sz="0" w:space="0" w:color="auto"/>
        <w:bottom w:val="none" w:sz="0" w:space="0" w:color="auto"/>
        <w:right w:val="none" w:sz="0" w:space="0" w:color="auto"/>
      </w:divBdr>
    </w:div>
    <w:div w:id="1923097387">
      <w:marLeft w:val="0"/>
      <w:marRight w:val="0"/>
      <w:marTop w:val="0"/>
      <w:marBottom w:val="0"/>
      <w:divBdr>
        <w:top w:val="none" w:sz="0" w:space="0" w:color="auto"/>
        <w:left w:val="none" w:sz="0" w:space="0" w:color="auto"/>
        <w:bottom w:val="none" w:sz="0" w:space="0" w:color="auto"/>
        <w:right w:val="none" w:sz="0" w:space="0" w:color="auto"/>
      </w:divBdr>
    </w:div>
    <w:div w:id="1923097388">
      <w:marLeft w:val="0"/>
      <w:marRight w:val="0"/>
      <w:marTop w:val="0"/>
      <w:marBottom w:val="0"/>
      <w:divBdr>
        <w:top w:val="none" w:sz="0" w:space="0" w:color="auto"/>
        <w:left w:val="none" w:sz="0" w:space="0" w:color="auto"/>
        <w:bottom w:val="none" w:sz="0" w:space="0" w:color="auto"/>
        <w:right w:val="none" w:sz="0" w:space="0" w:color="auto"/>
      </w:divBdr>
    </w:div>
    <w:div w:id="1923097389">
      <w:marLeft w:val="0"/>
      <w:marRight w:val="0"/>
      <w:marTop w:val="0"/>
      <w:marBottom w:val="0"/>
      <w:divBdr>
        <w:top w:val="none" w:sz="0" w:space="0" w:color="auto"/>
        <w:left w:val="none" w:sz="0" w:space="0" w:color="auto"/>
        <w:bottom w:val="none" w:sz="0" w:space="0" w:color="auto"/>
        <w:right w:val="none" w:sz="0" w:space="0" w:color="auto"/>
      </w:divBdr>
    </w:div>
    <w:div w:id="1923097390">
      <w:marLeft w:val="0"/>
      <w:marRight w:val="0"/>
      <w:marTop w:val="0"/>
      <w:marBottom w:val="0"/>
      <w:divBdr>
        <w:top w:val="none" w:sz="0" w:space="0" w:color="auto"/>
        <w:left w:val="none" w:sz="0" w:space="0" w:color="auto"/>
        <w:bottom w:val="none" w:sz="0" w:space="0" w:color="auto"/>
        <w:right w:val="none" w:sz="0" w:space="0" w:color="auto"/>
      </w:divBdr>
    </w:div>
    <w:div w:id="1923097391">
      <w:marLeft w:val="0"/>
      <w:marRight w:val="0"/>
      <w:marTop w:val="0"/>
      <w:marBottom w:val="0"/>
      <w:divBdr>
        <w:top w:val="none" w:sz="0" w:space="0" w:color="auto"/>
        <w:left w:val="none" w:sz="0" w:space="0" w:color="auto"/>
        <w:bottom w:val="none" w:sz="0" w:space="0" w:color="auto"/>
        <w:right w:val="none" w:sz="0" w:space="0" w:color="auto"/>
      </w:divBdr>
    </w:div>
    <w:div w:id="1923097392">
      <w:marLeft w:val="0"/>
      <w:marRight w:val="0"/>
      <w:marTop w:val="0"/>
      <w:marBottom w:val="0"/>
      <w:divBdr>
        <w:top w:val="none" w:sz="0" w:space="0" w:color="auto"/>
        <w:left w:val="none" w:sz="0" w:space="0" w:color="auto"/>
        <w:bottom w:val="none" w:sz="0" w:space="0" w:color="auto"/>
        <w:right w:val="none" w:sz="0" w:space="0" w:color="auto"/>
      </w:divBdr>
    </w:div>
    <w:div w:id="1923097393">
      <w:marLeft w:val="0"/>
      <w:marRight w:val="0"/>
      <w:marTop w:val="0"/>
      <w:marBottom w:val="0"/>
      <w:divBdr>
        <w:top w:val="none" w:sz="0" w:space="0" w:color="auto"/>
        <w:left w:val="none" w:sz="0" w:space="0" w:color="auto"/>
        <w:bottom w:val="none" w:sz="0" w:space="0" w:color="auto"/>
        <w:right w:val="none" w:sz="0" w:space="0" w:color="auto"/>
      </w:divBdr>
    </w:div>
    <w:div w:id="1923097394">
      <w:marLeft w:val="0"/>
      <w:marRight w:val="0"/>
      <w:marTop w:val="0"/>
      <w:marBottom w:val="0"/>
      <w:divBdr>
        <w:top w:val="none" w:sz="0" w:space="0" w:color="auto"/>
        <w:left w:val="none" w:sz="0" w:space="0" w:color="auto"/>
        <w:bottom w:val="none" w:sz="0" w:space="0" w:color="auto"/>
        <w:right w:val="none" w:sz="0" w:space="0" w:color="auto"/>
      </w:divBdr>
    </w:div>
    <w:div w:id="1923097395">
      <w:marLeft w:val="0"/>
      <w:marRight w:val="0"/>
      <w:marTop w:val="0"/>
      <w:marBottom w:val="0"/>
      <w:divBdr>
        <w:top w:val="none" w:sz="0" w:space="0" w:color="auto"/>
        <w:left w:val="none" w:sz="0" w:space="0" w:color="auto"/>
        <w:bottom w:val="none" w:sz="0" w:space="0" w:color="auto"/>
        <w:right w:val="none" w:sz="0" w:space="0" w:color="auto"/>
      </w:divBdr>
    </w:div>
    <w:div w:id="1923097396">
      <w:marLeft w:val="0"/>
      <w:marRight w:val="0"/>
      <w:marTop w:val="0"/>
      <w:marBottom w:val="0"/>
      <w:divBdr>
        <w:top w:val="none" w:sz="0" w:space="0" w:color="auto"/>
        <w:left w:val="none" w:sz="0" w:space="0" w:color="auto"/>
        <w:bottom w:val="none" w:sz="0" w:space="0" w:color="auto"/>
        <w:right w:val="none" w:sz="0" w:space="0" w:color="auto"/>
      </w:divBdr>
    </w:div>
    <w:div w:id="1923097397">
      <w:marLeft w:val="0"/>
      <w:marRight w:val="0"/>
      <w:marTop w:val="0"/>
      <w:marBottom w:val="0"/>
      <w:divBdr>
        <w:top w:val="none" w:sz="0" w:space="0" w:color="auto"/>
        <w:left w:val="none" w:sz="0" w:space="0" w:color="auto"/>
        <w:bottom w:val="none" w:sz="0" w:space="0" w:color="auto"/>
        <w:right w:val="none" w:sz="0" w:space="0" w:color="auto"/>
      </w:divBdr>
    </w:div>
    <w:div w:id="1923097398">
      <w:marLeft w:val="0"/>
      <w:marRight w:val="0"/>
      <w:marTop w:val="0"/>
      <w:marBottom w:val="0"/>
      <w:divBdr>
        <w:top w:val="none" w:sz="0" w:space="0" w:color="auto"/>
        <w:left w:val="none" w:sz="0" w:space="0" w:color="auto"/>
        <w:bottom w:val="none" w:sz="0" w:space="0" w:color="auto"/>
        <w:right w:val="none" w:sz="0" w:space="0" w:color="auto"/>
      </w:divBdr>
    </w:div>
    <w:div w:id="1923097399">
      <w:marLeft w:val="0"/>
      <w:marRight w:val="0"/>
      <w:marTop w:val="0"/>
      <w:marBottom w:val="0"/>
      <w:divBdr>
        <w:top w:val="none" w:sz="0" w:space="0" w:color="auto"/>
        <w:left w:val="none" w:sz="0" w:space="0" w:color="auto"/>
        <w:bottom w:val="none" w:sz="0" w:space="0" w:color="auto"/>
        <w:right w:val="none" w:sz="0" w:space="0" w:color="auto"/>
      </w:divBdr>
    </w:div>
    <w:div w:id="1923097400">
      <w:marLeft w:val="0"/>
      <w:marRight w:val="0"/>
      <w:marTop w:val="0"/>
      <w:marBottom w:val="0"/>
      <w:divBdr>
        <w:top w:val="none" w:sz="0" w:space="0" w:color="auto"/>
        <w:left w:val="none" w:sz="0" w:space="0" w:color="auto"/>
        <w:bottom w:val="none" w:sz="0" w:space="0" w:color="auto"/>
        <w:right w:val="none" w:sz="0" w:space="0" w:color="auto"/>
      </w:divBdr>
    </w:div>
    <w:div w:id="1923097401">
      <w:marLeft w:val="0"/>
      <w:marRight w:val="0"/>
      <w:marTop w:val="0"/>
      <w:marBottom w:val="0"/>
      <w:divBdr>
        <w:top w:val="none" w:sz="0" w:space="0" w:color="auto"/>
        <w:left w:val="none" w:sz="0" w:space="0" w:color="auto"/>
        <w:bottom w:val="none" w:sz="0" w:space="0" w:color="auto"/>
        <w:right w:val="none" w:sz="0" w:space="0" w:color="auto"/>
      </w:divBdr>
    </w:div>
    <w:div w:id="1923097402">
      <w:marLeft w:val="0"/>
      <w:marRight w:val="0"/>
      <w:marTop w:val="0"/>
      <w:marBottom w:val="0"/>
      <w:divBdr>
        <w:top w:val="none" w:sz="0" w:space="0" w:color="auto"/>
        <w:left w:val="none" w:sz="0" w:space="0" w:color="auto"/>
        <w:bottom w:val="none" w:sz="0" w:space="0" w:color="auto"/>
        <w:right w:val="none" w:sz="0" w:space="0" w:color="auto"/>
      </w:divBdr>
    </w:div>
    <w:div w:id="1923097403">
      <w:marLeft w:val="0"/>
      <w:marRight w:val="0"/>
      <w:marTop w:val="0"/>
      <w:marBottom w:val="0"/>
      <w:divBdr>
        <w:top w:val="none" w:sz="0" w:space="0" w:color="auto"/>
        <w:left w:val="none" w:sz="0" w:space="0" w:color="auto"/>
        <w:bottom w:val="none" w:sz="0" w:space="0" w:color="auto"/>
        <w:right w:val="none" w:sz="0" w:space="0" w:color="auto"/>
      </w:divBdr>
    </w:div>
    <w:div w:id="1923097404">
      <w:marLeft w:val="0"/>
      <w:marRight w:val="0"/>
      <w:marTop w:val="0"/>
      <w:marBottom w:val="0"/>
      <w:divBdr>
        <w:top w:val="none" w:sz="0" w:space="0" w:color="auto"/>
        <w:left w:val="none" w:sz="0" w:space="0" w:color="auto"/>
        <w:bottom w:val="none" w:sz="0" w:space="0" w:color="auto"/>
        <w:right w:val="none" w:sz="0" w:space="0" w:color="auto"/>
      </w:divBdr>
    </w:div>
    <w:div w:id="1923097405">
      <w:marLeft w:val="0"/>
      <w:marRight w:val="0"/>
      <w:marTop w:val="0"/>
      <w:marBottom w:val="0"/>
      <w:divBdr>
        <w:top w:val="none" w:sz="0" w:space="0" w:color="auto"/>
        <w:left w:val="none" w:sz="0" w:space="0" w:color="auto"/>
        <w:bottom w:val="none" w:sz="0" w:space="0" w:color="auto"/>
        <w:right w:val="none" w:sz="0" w:space="0" w:color="auto"/>
      </w:divBdr>
    </w:div>
    <w:div w:id="1923097406">
      <w:marLeft w:val="0"/>
      <w:marRight w:val="0"/>
      <w:marTop w:val="0"/>
      <w:marBottom w:val="0"/>
      <w:divBdr>
        <w:top w:val="none" w:sz="0" w:space="0" w:color="auto"/>
        <w:left w:val="none" w:sz="0" w:space="0" w:color="auto"/>
        <w:bottom w:val="none" w:sz="0" w:space="0" w:color="auto"/>
        <w:right w:val="none" w:sz="0" w:space="0" w:color="auto"/>
      </w:divBdr>
    </w:div>
    <w:div w:id="1923097407">
      <w:marLeft w:val="0"/>
      <w:marRight w:val="0"/>
      <w:marTop w:val="0"/>
      <w:marBottom w:val="0"/>
      <w:divBdr>
        <w:top w:val="none" w:sz="0" w:space="0" w:color="auto"/>
        <w:left w:val="none" w:sz="0" w:space="0" w:color="auto"/>
        <w:bottom w:val="none" w:sz="0" w:space="0" w:color="auto"/>
        <w:right w:val="none" w:sz="0" w:space="0" w:color="auto"/>
      </w:divBdr>
    </w:div>
    <w:div w:id="1923097408">
      <w:marLeft w:val="0"/>
      <w:marRight w:val="0"/>
      <w:marTop w:val="0"/>
      <w:marBottom w:val="0"/>
      <w:divBdr>
        <w:top w:val="none" w:sz="0" w:space="0" w:color="auto"/>
        <w:left w:val="none" w:sz="0" w:space="0" w:color="auto"/>
        <w:bottom w:val="none" w:sz="0" w:space="0" w:color="auto"/>
        <w:right w:val="none" w:sz="0" w:space="0" w:color="auto"/>
      </w:divBdr>
    </w:div>
    <w:div w:id="1923097409">
      <w:marLeft w:val="0"/>
      <w:marRight w:val="0"/>
      <w:marTop w:val="0"/>
      <w:marBottom w:val="0"/>
      <w:divBdr>
        <w:top w:val="none" w:sz="0" w:space="0" w:color="auto"/>
        <w:left w:val="none" w:sz="0" w:space="0" w:color="auto"/>
        <w:bottom w:val="none" w:sz="0" w:space="0" w:color="auto"/>
        <w:right w:val="none" w:sz="0" w:space="0" w:color="auto"/>
      </w:divBdr>
    </w:div>
    <w:div w:id="1923097410">
      <w:marLeft w:val="0"/>
      <w:marRight w:val="0"/>
      <w:marTop w:val="0"/>
      <w:marBottom w:val="0"/>
      <w:divBdr>
        <w:top w:val="none" w:sz="0" w:space="0" w:color="auto"/>
        <w:left w:val="none" w:sz="0" w:space="0" w:color="auto"/>
        <w:bottom w:val="none" w:sz="0" w:space="0" w:color="auto"/>
        <w:right w:val="none" w:sz="0" w:space="0" w:color="auto"/>
      </w:divBdr>
    </w:div>
    <w:div w:id="1923097411">
      <w:marLeft w:val="0"/>
      <w:marRight w:val="0"/>
      <w:marTop w:val="0"/>
      <w:marBottom w:val="0"/>
      <w:divBdr>
        <w:top w:val="none" w:sz="0" w:space="0" w:color="auto"/>
        <w:left w:val="none" w:sz="0" w:space="0" w:color="auto"/>
        <w:bottom w:val="none" w:sz="0" w:space="0" w:color="auto"/>
        <w:right w:val="none" w:sz="0" w:space="0" w:color="auto"/>
      </w:divBdr>
    </w:div>
    <w:div w:id="1923097412">
      <w:marLeft w:val="0"/>
      <w:marRight w:val="0"/>
      <w:marTop w:val="0"/>
      <w:marBottom w:val="0"/>
      <w:divBdr>
        <w:top w:val="none" w:sz="0" w:space="0" w:color="auto"/>
        <w:left w:val="none" w:sz="0" w:space="0" w:color="auto"/>
        <w:bottom w:val="none" w:sz="0" w:space="0" w:color="auto"/>
        <w:right w:val="none" w:sz="0" w:space="0" w:color="auto"/>
      </w:divBdr>
    </w:div>
    <w:div w:id="1923097413">
      <w:marLeft w:val="0"/>
      <w:marRight w:val="0"/>
      <w:marTop w:val="0"/>
      <w:marBottom w:val="0"/>
      <w:divBdr>
        <w:top w:val="none" w:sz="0" w:space="0" w:color="auto"/>
        <w:left w:val="none" w:sz="0" w:space="0" w:color="auto"/>
        <w:bottom w:val="none" w:sz="0" w:space="0" w:color="auto"/>
        <w:right w:val="none" w:sz="0" w:space="0" w:color="auto"/>
      </w:divBdr>
    </w:div>
    <w:div w:id="1923097414">
      <w:marLeft w:val="0"/>
      <w:marRight w:val="0"/>
      <w:marTop w:val="0"/>
      <w:marBottom w:val="0"/>
      <w:divBdr>
        <w:top w:val="none" w:sz="0" w:space="0" w:color="auto"/>
        <w:left w:val="none" w:sz="0" w:space="0" w:color="auto"/>
        <w:bottom w:val="none" w:sz="0" w:space="0" w:color="auto"/>
        <w:right w:val="none" w:sz="0" w:space="0" w:color="auto"/>
      </w:divBdr>
    </w:div>
    <w:div w:id="1923097415">
      <w:marLeft w:val="0"/>
      <w:marRight w:val="0"/>
      <w:marTop w:val="0"/>
      <w:marBottom w:val="0"/>
      <w:divBdr>
        <w:top w:val="none" w:sz="0" w:space="0" w:color="auto"/>
        <w:left w:val="none" w:sz="0" w:space="0" w:color="auto"/>
        <w:bottom w:val="none" w:sz="0" w:space="0" w:color="auto"/>
        <w:right w:val="none" w:sz="0" w:space="0" w:color="auto"/>
      </w:divBdr>
    </w:div>
    <w:div w:id="1923097416">
      <w:marLeft w:val="0"/>
      <w:marRight w:val="0"/>
      <w:marTop w:val="0"/>
      <w:marBottom w:val="0"/>
      <w:divBdr>
        <w:top w:val="none" w:sz="0" w:space="0" w:color="auto"/>
        <w:left w:val="none" w:sz="0" w:space="0" w:color="auto"/>
        <w:bottom w:val="none" w:sz="0" w:space="0" w:color="auto"/>
        <w:right w:val="none" w:sz="0" w:space="0" w:color="auto"/>
      </w:divBdr>
    </w:div>
    <w:div w:id="1923097417">
      <w:marLeft w:val="0"/>
      <w:marRight w:val="0"/>
      <w:marTop w:val="0"/>
      <w:marBottom w:val="0"/>
      <w:divBdr>
        <w:top w:val="none" w:sz="0" w:space="0" w:color="auto"/>
        <w:left w:val="none" w:sz="0" w:space="0" w:color="auto"/>
        <w:bottom w:val="none" w:sz="0" w:space="0" w:color="auto"/>
        <w:right w:val="none" w:sz="0" w:space="0" w:color="auto"/>
      </w:divBdr>
    </w:div>
    <w:div w:id="1923097418">
      <w:marLeft w:val="0"/>
      <w:marRight w:val="0"/>
      <w:marTop w:val="0"/>
      <w:marBottom w:val="0"/>
      <w:divBdr>
        <w:top w:val="none" w:sz="0" w:space="0" w:color="auto"/>
        <w:left w:val="none" w:sz="0" w:space="0" w:color="auto"/>
        <w:bottom w:val="none" w:sz="0" w:space="0" w:color="auto"/>
        <w:right w:val="none" w:sz="0" w:space="0" w:color="auto"/>
      </w:divBdr>
    </w:div>
    <w:div w:id="1923097419">
      <w:marLeft w:val="0"/>
      <w:marRight w:val="0"/>
      <w:marTop w:val="0"/>
      <w:marBottom w:val="0"/>
      <w:divBdr>
        <w:top w:val="none" w:sz="0" w:space="0" w:color="auto"/>
        <w:left w:val="none" w:sz="0" w:space="0" w:color="auto"/>
        <w:bottom w:val="none" w:sz="0" w:space="0" w:color="auto"/>
        <w:right w:val="none" w:sz="0" w:space="0" w:color="auto"/>
      </w:divBdr>
    </w:div>
    <w:div w:id="1923097420">
      <w:marLeft w:val="0"/>
      <w:marRight w:val="0"/>
      <w:marTop w:val="0"/>
      <w:marBottom w:val="0"/>
      <w:divBdr>
        <w:top w:val="none" w:sz="0" w:space="0" w:color="auto"/>
        <w:left w:val="none" w:sz="0" w:space="0" w:color="auto"/>
        <w:bottom w:val="none" w:sz="0" w:space="0" w:color="auto"/>
        <w:right w:val="none" w:sz="0" w:space="0" w:color="auto"/>
      </w:divBdr>
    </w:div>
    <w:div w:id="1923097421">
      <w:marLeft w:val="0"/>
      <w:marRight w:val="0"/>
      <w:marTop w:val="0"/>
      <w:marBottom w:val="0"/>
      <w:divBdr>
        <w:top w:val="none" w:sz="0" w:space="0" w:color="auto"/>
        <w:left w:val="none" w:sz="0" w:space="0" w:color="auto"/>
        <w:bottom w:val="none" w:sz="0" w:space="0" w:color="auto"/>
        <w:right w:val="none" w:sz="0" w:space="0" w:color="auto"/>
      </w:divBdr>
    </w:div>
    <w:div w:id="1923097422">
      <w:marLeft w:val="0"/>
      <w:marRight w:val="0"/>
      <w:marTop w:val="0"/>
      <w:marBottom w:val="0"/>
      <w:divBdr>
        <w:top w:val="none" w:sz="0" w:space="0" w:color="auto"/>
        <w:left w:val="none" w:sz="0" w:space="0" w:color="auto"/>
        <w:bottom w:val="none" w:sz="0" w:space="0" w:color="auto"/>
        <w:right w:val="none" w:sz="0" w:space="0" w:color="auto"/>
      </w:divBdr>
    </w:div>
    <w:div w:id="1923097423">
      <w:marLeft w:val="0"/>
      <w:marRight w:val="0"/>
      <w:marTop w:val="0"/>
      <w:marBottom w:val="0"/>
      <w:divBdr>
        <w:top w:val="none" w:sz="0" w:space="0" w:color="auto"/>
        <w:left w:val="none" w:sz="0" w:space="0" w:color="auto"/>
        <w:bottom w:val="none" w:sz="0" w:space="0" w:color="auto"/>
        <w:right w:val="none" w:sz="0" w:space="0" w:color="auto"/>
      </w:divBdr>
    </w:div>
    <w:div w:id="1923097424">
      <w:marLeft w:val="0"/>
      <w:marRight w:val="0"/>
      <w:marTop w:val="0"/>
      <w:marBottom w:val="0"/>
      <w:divBdr>
        <w:top w:val="none" w:sz="0" w:space="0" w:color="auto"/>
        <w:left w:val="none" w:sz="0" w:space="0" w:color="auto"/>
        <w:bottom w:val="none" w:sz="0" w:space="0" w:color="auto"/>
        <w:right w:val="none" w:sz="0" w:space="0" w:color="auto"/>
      </w:divBdr>
    </w:div>
    <w:div w:id="1923097425">
      <w:marLeft w:val="0"/>
      <w:marRight w:val="0"/>
      <w:marTop w:val="0"/>
      <w:marBottom w:val="0"/>
      <w:divBdr>
        <w:top w:val="none" w:sz="0" w:space="0" w:color="auto"/>
        <w:left w:val="none" w:sz="0" w:space="0" w:color="auto"/>
        <w:bottom w:val="none" w:sz="0" w:space="0" w:color="auto"/>
        <w:right w:val="none" w:sz="0" w:space="0" w:color="auto"/>
      </w:divBdr>
    </w:div>
    <w:div w:id="1923097426">
      <w:marLeft w:val="0"/>
      <w:marRight w:val="0"/>
      <w:marTop w:val="0"/>
      <w:marBottom w:val="0"/>
      <w:divBdr>
        <w:top w:val="none" w:sz="0" w:space="0" w:color="auto"/>
        <w:left w:val="none" w:sz="0" w:space="0" w:color="auto"/>
        <w:bottom w:val="none" w:sz="0" w:space="0" w:color="auto"/>
        <w:right w:val="none" w:sz="0" w:space="0" w:color="auto"/>
      </w:divBdr>
    </w:div>
    <w:div w:id="1923097427">
      <w:marLeft w:val="0"/>
      <w:marRight w:val="0"/>
      <w:marTop w:val="0"/>
      <w:marBottom w:val="0"/>
      <w:divBdr>
        <w:top w:val="none" w:sz="0" w:space="0" w:color="auto"/>
        <w:left w:val="none" w:sz="0" w:space="0" w:color="auto"/>
        <w:bottom w:val="none" w:sz="0" w:space="0" w:color="auto"/>
        <w:right w:val="none" w:sz="0" w:space="0" w:color="auto"/>
      </w:divBdr>
    </w:div>
    <w:div w:id="1923097428">
      <w:marLeft w:val="0"/>
      <w:marRight w:val="0"/>
      <w:marTop w:val="0"/>
      <w:marBottom w:val="0"/>
      <w:divBdr>
        <w:top w:val="none" w:sz="0" w:space="0" w:color="auto"/>
        <w:left w:val="none" w:sz="0" w:space="0" w:color="auto"/>
        <w:bottom w:val="none" w:sz="0" w:space="0" w:color="auto"/>
        <w:right w:val="none" w:sz="0" w:space="0" w:color="auto"/>
      </w:divBdr>
    </w:div>
    <w:div w:id="1923097429">
      <w:marLeft w:val="0"/>
      <w:marRight w:val="0"/>
      <w:marTop w:val="0"/>
      <w:marBottom w:val="0"/>
      <w:divBdr>
        <w:top w:val="none" w:sz="0" w:space="0" w:color="auto"/>
        <w:left w:val="none" w:sz="0" w:space="0" w:color="auto"/>
        <w:bottom w:val="none" w:sz="0" w:space="0" w:color="auto"/>
        <w:right w:val="none" w:sz="0" w:space="0" w:color="auto"/>
      </w:divBdr>
    </w:div>
    <w:div w:id="1923097430">
      <w:marLeft w:val="0"/>
      <w:marRight w:val="0"/>
      <w:marTop w:val="0"/>
      <w:marBottom w:val="0"/>
      <w:divBdr>
        <w:top w:val="none" w:sz="0" w:space="0" w:color="auto"/>
        <w:left w:val="none" w:sz="0" w:space="0" w:color="auto"/>
        <w:bottom w:val="none" w:sz="0" w:space="0" w:color="auto"/>
        <w:right w:val="none" w:sz="0" w:space="0" w:color="auto"/>
      </w:divBdr>
    </w:div>
    <w:div w:id="1923097431">
      <w:marLeft w:val="0"/>
      <w:marRight w:val="0"/>
      <w:marTop w:val="0"/>
      <w:marBottom w:val="0"/>
      <w:divBdr>
        <w:top w:val="none" w:sz="0" w:space="0" w:color="auto"/>
        <w:left w:val="none" w:sz="0" w:space="0" w:color="auto"/>
        <w:bottom w:val="none" w:sz="0" w:space="0" w:color="auto"/>
        <w:right w:val="none" w:sz="0" w:space="0" w:color="auto"/>
      </w:divBdr>
    </w:div>
    <w:div w:id="1923097432">
      <w:marLeft w:val="0"/>
      <w:marRight w:val="0"/>
      <w:marTop w:val="0"/>
      <w:marBottom w:val="0"/>
      <w:divBdr>
        <w:top w:val="none" w:sz="0" w:space="0" w:color="auto"/>
        <w:left w:val="none" w:sz="0" w:space="0" w:color="auto"/>
        <w:bottom w:val="none" w:sz="0" w:space="0" w:color="auto"/>
        <w:right w:val="none" w:sz="0" w:space="0" w:color="auto"/>
      </w:divBdr>
    </w:div>
    <w:div w:id="1923097433">
      <w:marLeft w:val="0"/>
      <w:marRight w:val="0"/>
      <w:marTop w:val="0"/>
      <w:marBottom w:val="0"/>
      <w:divBdr>
        <w:top w:val="none" w:sz="0" w:space="0" w:color="auto"/>
        <w:left w:val="none" w:sz="0" w:space="0" w:color="auto"/>
        <w:bottom w:val="none" w:sz="0" w:space="0" w:color="auto"/>
        <w:right w:val="none" w:sz="0" w:space="0" w:color="auto"/>
      </w:divBdr>
    </w:div>
    <w:div w:id="1923097434">
      <w:marLeft w:val="0"/>
      <w:marRight w:val="0"/>
      <w:marTop w:val="0"/>
      <w:marBottom w:val="0"/>
      <w:divBdr>
        <w:top w:val="none" w:sz="0" w:space="0" w:color="auto"/>
        <w:left w:val="none" w:sz="0" w:space="0" w:color="auto"/>
        <w:bottom w:val="none" w:sz="0" w:space="0" w:color="auto"/>
        <w:right w:val="none" w:sz="0" w:space="0" w:color="auto"/>
      </w:divBdr>
    </w:div>
    <w:div w:id="1923097435">
      <w:marLeft w:val="0"/>
      <w:marRight w:val="0"/>
      <w:marTop w:val="0"/>
      <w:marBottom w:val="0"/>
      <w:divBdr>
        <w:top w:val="none" w:sz="0" w:space="0" w:color="auto"/>
        <w:left w:val="none" w:sz="0" w:space="0" w:color="auto"/>
        <w:bottom w:val="none" w:sz="0" w:space="0" w:color="auto"/>
        <w:right w:val="none" w:sz="0" w:space="0" w:color="auto"/>
      </w:divBdr>
    </w:div>
    <w:div w:id="1923097436">
      <w:marLeft w:val="0"/>
      <w:marRight w:val="0"/>
      <w:marTop w:val="0"/>
      <w:marBottom w:val="0"/>
      <w:divBdr>
        <w:top w:val="none" w:sz="0" w:space="0" w:color="auto"/>
        <w:left w:val="none" w:sz="0" w:space="0" w:color="auto"/>
        <w:bottom w:val="none" w:sz="0" w:space="0" w:color="auto"/>
        <w:right w:val="none" w:sz="0" w:space="0" w:color="auto"/>
      </w:divBdr>
    </w:div>
    <w:div w:id="1923097437">
      <w:marLeft w:val="0"/>
      <w:marRight w:val="0"/>
      <w:marTop w:val="0"/>
      <w:marBottom w:val="0"/>
      <w:divBdr>
        <w:top w:val="none" w:sz="0" w:space="0" w:color="auto"/>
        <w:left w:val="none" w:sz="0" w:space="0" w:color="auto"/>
        <w:bottom w:val="none" w:sz="0" w:space="0" w:color="auto"/>
        <w:right w:val="none" w:sz="0" w:space="0" w:color="auto"/>
      </w:divBdr>
    </w:div>
    <w:div w:id="1923097438">
      <w:marLeft w:val="0"/>
      <w:marRight w:val="0"/>
      <w:marTop w:val="0"/>
      <w:marBottom w:val="0"/>
      <w:divBdr>
        <w:top w:val="none" w:sz="0" w:space="0" w:color="auto"/>
        <w:left w:val="none" w:sz="0" w:space="0" w:color="auto"/>
        <w:bottom w:val="none" w:sz="0" w:space="0" w:color="auto"/>
        <w:right w:val="none" w:sz="0" w:space="0" w:color="auto"/>
      </w:divBdr>
    </w:div>
    <w:div w:id="1923097439">
      <w:marLeft w:val="0"/>
      <w:marRight w:val="0"/>
      <w:marTop w:val="0"/>
      <w:marBottom w:val="0"/>
      <w:divBdr>
        <w:top w:val="none" w:sz="0" w:space="0" w:color="auto"/>
        <w:left w:val="none" w:sz="0" w:space="0" w:color="auto"/>
        <w:bottom w:val="none" w:sz="0" w:space="0" w:color="auto"/>
        <w:right w:val="none" w:sz="0" w:space="0" w:color="auto"/>
      </w:divBdr>
    </w:div>
    <w:div w:id="1923097440">
      <w:marLeft w:val="0"/>
      <w:marRight w:val="0"/>
      <w:marTop w:val="0"/>
      <w:marBottom w:val="0"/>
      <w:divBdr>
        <w:top w:val="none" w:sz="0" w:space="0" w:color="auto"/>
        <w:left w:val="none" w:sz="0" w:space="0" w:color="auto"/>
        <w:bottom w:val="none" w:sz="0" w:space="0" w:color="auto"/>
        <w:right w:val="none" w:sz="0" w:space="0" w:color="auto"/>
      </w:divBdr>
    </w:div>
    <w:div w:id="1923097441">
      <w:marLeft w:val="0"/>
      <w:marRight w:val="0"/>
      <w:marTop w:val="0"/>
      <w:marBottom w:val="0"/>
      <w:divBdr>
        <w:top w:val="none" w:sz="0" w:space="0" w:color="auto"/>
        <w:left w:val="none" w:sz="0" w:space="0" w:color="auto"/>
        <w:bottom w:val="none" w:sz="0" w:space="0" w:color="auto"/>
        <w:right w:val="none" w:sz="0" w:space="0" w:color="auto"/>
      </w:divBdr>
    </w:div>
    <w:div w:id="1923097442">
      <w:marLeft w:val="0"/>
      <w:marRight w:val="0"/>
      <w:marTop w:val="0"/>
      <w:marBottom w:val="0"/>
      <w:divBdr>
        <w:top w:val="none" w:sz="0" w:space="0" w:color="auto"/>
        <w:left w:val="none" w:sz="0" w:space="0" w:color="auto"/>
        <w:bottom w:val="none" w:sz="0" w:space="0" w:color="auto"/>
        <w:right w:val="none" w:sz="0" w:space="0" w:color="auto"/>
      </w:divBdr>
    </w:div>
    <w:div w:id="1923097443">
      <w:marLeft w:val="0"/>
      <w:marRight w:val="0"/>
      <w:marTop w:val="0"/>
      <w:marBottom w:val="0"/>
      <w:divBdr>
        <w:top w:val="none" w:sz="0" w:space="0" w:color="auto"/>
        <w:left w:val="none" w:sz="0" w:space="0" w:color="auto"/>
        <w:bottom w:val="none" w:sz="0" w:space="0" w:color="auto"/>
        <w:right w:val="none" w:sz="0" w:space="0" w:color="auto"/>
      </w:divBdr>
    </w:div>
    <w:div w:id="1923097444">
      <w:marLeft w:val="0"/>
      <w:marRight w:val="0"/>
      <w:marTop w:val="0"/>
      <w:marBottom w:val="0"/>
      <w:divBdr>
        <w:top w:val="none" w:sz="0" w:space="0" w:color="auto"/>
        <w:left w:val="none" w:sz="0" w:space="0" w:color="auto"/>
        <w:bottom w:val="none" w:sz="0" w:space="0" w:color="auto"/>
        <w:right w:val="none" w:sz="0" w:space="0" w:color="auto"/>
      </w:divBdr>
    </w:div>
    <w:div w:id="1923097445">
      <w:marLeft w:val="0"/>
      <w:marRight w:val="0"/>
      <w:marTop w:val="0"/>
      <w:marBottom w:val="0"/>
      <w:divBdr>
        <w:top w:val="none" w:sz="0" w:space="0" w:color="auto"/>
        <w:left w:val="none" w:sz="0" w:space="0" w:color="auto"/>
        <w:bottom w:val="none" w:sz="0" w:space="0" w:color="auto"/>
        <w:right w:val="none" w:sz="0" w:space="0" w:color="auto"/>
      </w:divBdr>
    </w:div>
    <w:div w:id="1923097446">
      <w:marLeft w:val="0"/>
      <w:marRight w:val="0"/>
      <w:marTop w:val="0"/>
      <w:marBottom w:val="0"/>
      <w:divBdr>
        <w:top w:val="none" w:sz="0" w:space="0" w:color="auto"/>
        <w:left w:val="none" w:sz="0" w:space="0" w:color="auto"/>
        <w:bottom w:val="none" w:sz="0" w:space="0" w:color="auto"/>
        <w:right w:val="none" w:sz="0" w:space="0" w:color="auto"/>
      </w:divBdr>
    </w:div>
    <w:div w:id="1923097447">
      <w:marLeft w:val="0"/>
      <w:marRight w:val="0"/>
      <w:marTop w:val="0"/>
      <w:marBottom w:val="0"/>
      <w:divBdr>
        <w:top w:val="none" w:sz="0" w:space="0" w:color="auto"/>
        <w:left w:val="none" w:sz="0" w:space="0" w:color="auto"/>
        <w:bottom w:val="none" w:sz="0" w:space="0" w:color="auto"/>
        <w:right w:val="none" w:sz="0" w:space="0" w:color="auto"/>
      </w:divBdr>
    </w:div>
    <w:div w:id="1923097448">
      <w:marLeft w:val="0"/>
      <w:marRight w:val="0"/>
      <w:marTop w:val="0"/>
      <w:marBottom w:val="0"/>
      <w:divBdr>
        <w:top w:val="none" w:sz="0" w:space="0" w:color="auto"/>
        <w:left w:val="none" w:sz="0" w:space="0" w:color="auto"/>
        <w:bottom w:val="none" w:sz="0" w:space="0" w:color="auto"/>
        <w:right w:val="none" w:sz="0" w:space="0" w:color="auto"/>
      </w:divBdr>
    </w:div>
    <w:div w:id="1923097449">
      <w:marLeft w:val="0"/>
      <w:marRight w:val="0"/>
      <w:marTop w:val="0"/>
      <w:marBottom w:val="0"/>
      <w:divBdr>
        <w:top w:val="none" w:sz="0" w:space="0" w:color="auto"/>
        <w:left w:val="none" w:sz="0" w:space="0" w:color="auto"/>
        <w:bottom w:val="none" w:sz="0" w:space="0" w:color="auto"/>
        <w:right w:val="none" w:sz="0" w:space="0" w:color="auto"/>
      </w:divBdr>
    </w:div>
    <w:div w:id="1923097450">
      <w:marLeft w:val="0"/>
      <w:marRight w:val="0"/>
      <w:marTop w:val="0"/>
      <w:marBottom w:val="0"/>
      <w:divBdr>
        <w:top w:val="none" w:sz="0" w:space="0" w:color="auto"/>
        <w:left w:val="none" w:sz="0" w:space="0" w:color="auto"/>
        <w:bottom w:val="none" w:sz="0" w:space="0" w:color="auto"/>
        <w:right w:val="none" w:sz="0" w:space="0" w:color="auto"/>
      </w:divBdr>
    </w:div>
    <w:div w:id="1923097451">
      <w:marLeft w:val="0"/>
      <w:marRight w:val="0"/>
      <w:marTop w:val="0"/>
      <w:marBottom w:val="0"/>
      <w:divBdr>
        <w:top w:val="none" w:sz="0" w:space="0" w:color="auto"/>
        <w:left w:val="none" w:sz="0" w:space="0" w:color="auto"/>
        <w:bottom w:val="none" w:sz="0" w:space="0" w:color="auto"/>
        <w:right w:val="none" w:sz="0" w:space="0" w:color="auto"/>
      </w:divBdr>
    </w:div>
    <w:div w:id="1923097452">
      <w:marLeft w:val="0"/>
      <w:marRight w:val="0"/>
      <w:marTop w:val="0"/>
      <w:marBottom w:val="0"/>
      <w:divBdr>
        <w:top w:val="none" w:sz="0" w:space="0" w:color="auto"/>
        <w:left w:val="none" w:sz="0" w:space="0" w:color="auto"/>
        <w:bottom w:val="none" w:sz="0" w:space="0" w:color="auto"/>
        <w:right w:val="none" w:sz="0" w:space="0" w:color="auto"/>
      </w:divBdr>
    </w:div>
    <w:div w:id="1923097453">
      <w:marLeft w:val="0"/>
      <w:marRight w:val="0"/>
      <w:marTop w:val="0"/>
      <w:marBottom w:val="0"/>
      <w:divBdr>
        <w:top w:val="none" w:sz="0" w:space="0" w:color="auto"/>
        <w:left w:val="none" w:sz="0" w:space="0" w:color="auto"/>
        <w:bottom w:val="none" w:sz="0" w:space="0" w:color="auto"/>
        <w:right w:val="none" w:sz="0" w:space="0" w:color="auto"/>
      </w:divBdr>
    </w:div>
    <w:div w:id="1923097454">
      <w:marLeft w:val="0"/>
      <w:marRight w:val="0"/>
      <w:marTop w:val="0"/>
      <w:marBottom w:val="0"/>
      <w:divBdr>
        <w:top w:val="none" w:sz="0" w:space="0" w:color="auto"/>
        <w:left w:val="none" w:sz="0" w:space="0" w:color="auto"/>
        <w:bottom w:val="none" w:sz="0" w:space="0" w:color="auto"/>
        <w:right w:val="none" w:sz="0" w:space="0" w:color="auto"/>
      </w:divBdr>
    </w:div>
    <w:div w:id="1923097455">
      <w:marLeft w:val="0"/>
      <w:marRight w:val="0"/>
      <w:marTop w:val="0"/>
      <w:marBottom w:val="0"/>
      <w:divBdr>
        <w:top w:val="none" w:sz="0" w:space="0" w:color="auto"/>
        <w:left w:val="none" w:sz="0" w:space="0" w:color="auto"/>
        <w:bottom w:val="none" w:sz="0" w:space="0" w:color="auto"/>
        <w:right w:val="none" w:sz="0" w:space="0" w:color="auto"/>
      </w:divBdr>
    </w:div>
    <w:div w:id="1923097456">
      <w:marLeft w:val="0"/>
      <w:marRight w:val="0"/>
      <w:marTop w:val="0"/>
      <w:marBottom w:val="0"/>
      <w:divBdr>
        <w:top w:val="none" w:sz="0" w:space="0" w:color="auto"/>
        <w:left w:val="none" w:sz="0" w:space="0" w:color="auto"/>
        <w:bottom w:val="none" w:sz="0" w:space="0" w:color="auto"/>
        <w:right w:val="none" w:sz="0" w:space="0" w:color="auto"/>
      </w:divBdr>
    </w:div>
    <w:div w:id="1923097457">
      <w:marLeft w:val="0"/>
      <w:marRight w:val="0"/>
      <w:marTop w:val="0"/>
      <w:marBottom w:val="0"/>
      <w:divBdr>
        <w:top w:val="none" w:sz="0" w:space="0" w:color="auto"/>
        <w:left w:val="none" w:sz="0" w:space="0" w:color="auto"/>
        <w:bottom w:val="none" w:sz="0" w:space="0" w:color="auto"/>
        <w:right w:val="none" w:sz="0" w:space="0" w:color="auto"/>
      </w:divBdr>
    </w:div>
    <w:div w:id="1923097458">
      <w:marLeft w:val="0"/>
      <w:marRight w:val="0"/>
      <w:marTop w:val="0"/>
      <w:marBottom w:val="0"/>
      <w:divBdr>
        <w:top w:val="none" w:sz="0" w:space="0" w:color="auto"/>
        <w:left w:val="none" w:sz="0" w:space="0" w:color="auto"/>
        <w:bottom w:val="none" w:sz="0" w:space="0" w:color="auto"/>
        <w:right w:val="none" w:sz="0" w:space="0" w:color="auto"/>
      </w:divBdr>
    </w:div>
    <w:div w:id="1923097459">
      <w:marLeft w:val="0"/>
      <w:marRight w:val="0"/>
      <w:marTop w:val="0"/>
      <w:marBottom w:val="0"/>
      <w:divBdr>
        <w:top w:val="none" w:sz="0" w:space="0" w:color="auto"/>
        <w:left w:val="none" w:sz="0" w:space="0" w:color="auto"/>
        <w:bottom w:val="none" w:sz="0" w:space="0" w:color="auto"/>
        <w:right w:val="none" w:sz="0" w:space="0" w:color="auto"/>
      </w:divBdr>
    </w:div>
    <w:div w:id="1923097460">
      <w:marLeft w:val="0"/>
      <w:marRight w:val="0"/>
      <w:marTop w:val="0"/>
      <w:marBottom w:val="0"/>
      <w:divBdr>
        <w:top w:val="none" w:sz="0" w:space="0" w:color="auto"/>
        <w:left w:val="none" w:sz="0" w:space="0" w:color="auto"/>
        <w:bottom w:val="none" w:sz="0" w:space="0" w:color="auto"/>
        <w:right w:val="none" w:sz="0" w:space="0" w:color="auto"/>
      </w:divBdr>
    </w:div>
    <w:div w:id="1923097461">
      <w:marLeft w:val="0"/>
      <w:marRight w:val="0"/>
      <w:marTop w:val="0"/>
      <w:marBottom w:val="0"/>
      <w:divBdr>
        <w:top w:val="none" w:sz="0" w:space="0" w:color="auto"/>
        <w:left w:val="none" w:sz="0" w:space="0" w:color="auto"/>
        <w:bottom w:val="none" w:sz="0" w:space="0" w:color="auto"/>
        <w:right w:val="none" w:sz="0" w:space="0" w:color="auto"/>
      </w:divBdr>
    </w:div>
    <w:div w:id="1923097462">
      <w:marLeft w:val="0"/>
      <w:marRight w:val="0"/>
      <w:marTop w:val="0"/>
      <w:marBottom w:val="0"/>
      <w:divBdr>
        <w:top w:val="none" w:sz="0" w:space="0" w:color="auto"/>
        <w:left w:val="none" w:sz="0" w:space="0" w:color="auto"/>
        <w:bottom w:val="none" w:sz="0" w:space="0" w:color="auto"/>
        <w:right w:val="none" w:sz="0" w:space="0" w:color="auto"/>
      </w:divBdr>
    </w:div>
    <w:div w:id="1923097463">
      <w:marLeft w:val="0"/>
      <w:marRight w:val="0"/>
      <w:marTop w:val="0"/>
      <w:marBottom w:val="0"/>
      <w:divBdr>
        <w:top w:val="none" w:sz="0" w:space="0" w:color="auto"/>
        <w:left w:val="none" w:sz="0" w:space="0" w:color="auto"/>
        <w:bottom w:val="none" w:sz="0" w:space="0" w:color="auto"/>
        <w:right w:val="none" w:sz="0" w:space="0" w:color="auto"/>
      </w:divBdr>
    </w:div>
    <w:div w:id="1923097464">
      <w:marLeft w:val="0"/>
      <w:marRight w:val="0"/>
      <w:marTop w:val="0"/>
      <w:marBottom w:val="0"/>
      <w:divBdr>
        <w:top w:val="none" w:sz="0" w:space="0" w:color="auto"/>
        <w:left w:val="none" w:sz="0" w:space="0" w:color="auto"/>
        <w:bottom w:val="none" w:sz="0" w:space="0" w:color="auto"/>
        <w:right w:val="none" w:sz="0" w:space="0" w:color="auto"/>
      </w:divBdr>
    </w:div>
    <w:div w:id="1923097465">
      <w:marLeft w:val="0"/>
      <w:marRight w:val="0"/>
      <w:marTop w:val="0"/>
      <w:marBottom w:val="0"/>
      <w:divBdr>
        <w:top w:val="none" w:sz="0" w:space="0" w:color="auto"/>
        <w:left w:val="none" w:sz="0" w:space="0" w:color="auto"/>
        <w:bottom w:val="none" w:sz="0" w:space="0" w:color="auto"/>
        <w:right w:val="none" w:sz="0" w:space="0" w:color="auto"/>
      </w:divBdr>
    </w:div>
    <w:div w:id="1923097466">
      <w:marLeft w:val="0"/>
      <w:marRight w:val="0"/>
      <w:marTop w:val="0"/>
      <w:marBottom w:val="0"/>
      <w:divBdr>
        <w:top w:val="none" w:sz="0" w:space="0" w:color="auto"/>
        <w:left w:val="none" w:sz="0" w:space="0" w:color="auto"/>
        <w:bottom w:val="none" w:sz="0" w:space="0" w:color="auto"/>
        <w:right w:val="none" w:sz="0" w:space="0" w:color="auto"/>
      </w:divBdr>
    </w:div>
    <w:div w:id="1923097467">
      <w:marLeft w:val="0"/>
      <w:marRight w:val="0"/>
      <w:marTop w:val="0"/>
      <w:marBottom w:val="0"/>
      <w:divBdr>
        <w:top w:val="none" w:sz="0" w:space="0" w:color="auto"/>
        <w:left w:val="none" w:sz="0" w:space="0" w:color="auto"/>
        <w:bottom w:val="none" w:sz="0" w:space="0" w:color="auto"/>
        <w:right w:val="none" w:sz="0" w:space="0" w:color="auto"/>
      </w:divBdr>
    </w:div>
    <w:div w:id="1923097468">
      <w:marLeft w:val="0"/>
      <w:marRight w:val="0"/>
      <w:marTop w:val="0"/>
      <w:marBottom w:val="0"/>
      <w:divBdr>
        <w:top w:val="none" w:sz="0" w:space="0" w:color="auto"/>
        <w:left w:val="none" w:sz="0" w:space="0" w:color="auto"/>
        <w:bottom w:val="none" w:sz="0" w:space="0" w:color="auto"/>
        <w:right w:val="none" w:sz="0" w:space="0" w:color="auto"/>
      </w:divBdr>
    </w:div>
    <w:div w:id="1923097469">
      <w:marLeft w:val="0"/>
      <w:marRight w:val="0"/>
      <w:marTop w:val="0"/>
      <w:marBottom w:val="0"/>
      <w:divBdr>
        <w:top w:val="none" w:sz="0" w:space="0" w:color="auto"/>
        <w:left w:val="none" w:sz="0" w:space="0" w:color="auto"/>
        <w:bottom w:val="none" w:sz="0" w:space="0" w:color="auto"/>
        <w:right w:val="none" w:sz="0" w:space="0" w:color="auto"/>
      </w:divBdr>
    </w:div>
    <w:div w:id="1923097470">
      <w:marLeft w:val="0"/>
      <w:marRight w:val="0"/>
      <w:marTop w:val="0"/>
      <w:marBottom w:val="0"/>
      <w:divBdr>
        <w:top w:val="none" w:sz="0" w:space="0" w:color="auto"/>
        <w:left w:val="none" w:sz="0" w:space="0" w:color="auto"/>
        <w:bottom w:val="none" w:sz="0" w:space="0" w:color="auto"/>
        <w:right w:val="none" w:sz="0" w:space="0" w:color="auto"/>
      </w:divBdr>
    </w:div>
    <w:div w:id="1923097471">
      <w:marLeft w:val="0"/>
      <w:marRight w:val="0"/>
      <w:marTop w:val="0"/>
      <w:marBottom w:val="0"/>
      <w:divBdr>
        <w:top w:val="none" w:sz="0" w:space="0" w:color="auto"/>
        <w:left w:val="none" w:sz="0" w:space="0" w:color="auto"/>
        <w:bottom w:val="none" w:sz="0" w:space="0" w:color="auto"/>
        <w:right w:val="none" w:sz="0" w:space="0" w:color="auto"/>
      </w:divBdr>
    </w:div>
    <w:div w:id="1923097472">
      <w:marLeft w:val="0"/>
      <w:marRight w:val="0"/>
      <w:marTop w:val="0"/>
      <w:marBottom w:val="0"/>
      <w:divBdr>
        <w:top w:val="none" w:sz="0" w:space="0" w:color="auto"/>
        <w:left w:val="none" w:sz="0" w:space="0" w:color="auto"/>
        <w:bottom w:val="none" w:sz="0" w:space="0" w:color="auto"/>
        <w:right w:val="none" w:sz="0" w:space="0" w:color="auto"/>
      </w:divBdr>
    </w:div>
    <w:div w:id="1923097473">
      <w:marLeft w:val="0"/>
      <w:marRight w:val="0"/>
      <w:marTop w:val="0"/>
      <w:marBottom w:val="0"/>
      <w:divBdr>
        <w:top w:val="none" w:sz="0" w:space="0" w:color="auto"/>
        <w:left w:val="none" w:sz="0" w:space="0" w:color="auto"/>
        <w:bottom w:val="none" w:sz="0" w:space="0" w:color="auto"/>
        <w:right w:val="none" w:sz="0" w:space="0" w:color="auto"/>
      </w:divBdr>
    </w:div>
    <w:div w:id="1923097474">
      <w:marLeft w:val="0"/>
      <w:marRight w:val="0"/>
      <w:marTop w:val="0"/>
      <w:marBottom w:val="0"/>
      <w:divBdr>
        <w:top w:val="none" w:sz="0" w:space="0" w:color="auto"/>
        <w:left w:val="none" w:sz="0" w:space="0" w:color="auto"/>
        <w:bottom w:val="none" w:sz="0" w:space="0" w:color="auto"/>
        <w:right w:val="none" w:sz="0" w:space="0" w:color="auto"/>
      </w:divBdr>
    </w:div>
    <w:div w:id="1923097475">
      <w:marLeft w:val="0"/>
      <w:marRight w:val="0"/>
      <w:marTop w:val="0"/>
      <w:marBottom w:val="0"/>
      <w:divBdr>
        <w:top w:val="none" w:sz="0" w:space="0" w:color="auto"/>
        <w:left w:val="none" w:sz="0" w:space="0" w:color="auto"/>
        <w:bottom w:val="none" w:sz="0" w:space="0" w:color="auto"/>
        <w:right w:val="none" w:sz="0" w:space="0" w:color="auto"/>
      </w:divBdr>
    </w:div>
    <w:div w:id="1923097476">
      <w:marLeft w:val="0"/>
      <w:marRight w:val="0"/>
      <w:marTop w:val="0"/>
      <w:marBottom w:val="0"/>
      <w:divBdr>
        <w:top w:val="none" w:sz="0" w:space="0" w:color="auto"/>
        <w:left w:val="none" w:sz="0" w:space="0" w:color="auto"/>
        <w:bottom w:val="none" w:sz="0" w:space="0" w:color="auto"/>
        <w:right w:val="none" w:sz="0" w:space="0" w:color="auto"/>
      </w:divBdr>
    </w:div>
    <w:div w:id="1923097477">
      <w:marLeft w:val="0"/>
      <w:marRight w:val="0"/>
      <w:marTop w:val="0"/>
      <w:marBottom w:val="0"/>
      <w:divBdr>
        <w:top w:val="none" w:sz="0" w:space="0" w:color="auto"/>
        <w:left w:val="none" w:sz="0" w:space="0" w:color="auto"/>
        <w:bottom w:val="none" w:sz="0" w:space="0" w:color="auto"/>
        <w:right w:val="none" w:sz="0" w:space="0" w:color="auto"/>
      </w:divBdr>
    </w:div>
    <w:div w:id="1923097478">
      <w:marLeft w:val="0"/>
      <w:marRight w:val="0"/>
      <w:marTop w:val="0"/>
      <w:marBottom w:val="0"/>
      <w:divBdr>
        <w:top w:val="none" w:sz="0" w:space="0" w:color="auto"/>
        <w:left w:val="none" w:sz="0" w:space="0" w:color="auto"/>
        <w:bottom w:val="none" w:sz="0" w:space="0" w:color="auto"/>
        <w:right w:val="none" w:sz="0" w:space="0" w:color="auto"/>
      </w:divBdr>
    </w:div>
    <w:div w:id="1923097479">
      <w:marLeft w:val="0"/>
      <w:marRight w:val="0"/>
      <w:marTop w:val="0"/>
      <w:marBottom w:val="0"/>
      <w:divBdr>
        <w:top w:val="none" w:sz="0" w:space="0" w:color="auto"/>
        <w:left w:val="none" w:sz="0" w:space="0" w:color="auto"/>
        <w:bottom w:val="none" w:sz="0" w:space="0" w:color="auto"/>
        <w:right w:val="none" w:sz="0" w:space="0" w:color="auto"/>
      </w:divBdr>
    </w:div>
    <w:div w:id="1923097480">
      <w:marLeft w:val="0"/>
      <w:marRight w:val="0"/>
      <w:marTop w:val="0"/>
      <w:marBottom w:val="0"/>
      <w:divBdr>
        <w:top w:val="none" w:sz="0" w:space="0" w:color="auto"/>
        <w:left w:val="none" w:sz="0" w:space="0" w:color="auto"/>
        <w:bottom w:val="none" w:sz="0" w:space="0" w:color="auto"/>
        <w:right w:val="none" w:sz="0" w:space="0" w:color="auto"/>
      </w:divBdr>
    </w:div>
    <w:div w:id="1923097481">
      <w:marLeft w:val="0"/>
      <w:marRight w:val="0"/>
      <w:marTop w:val="0"/>
      <w:marBottom w:val="0"/>
      <w:divBdr>
        <w:top w:val="none" w:sz="0" w:space="0" w:color="auto"/>
        <w:left w:val="none" w:sz="0" w:space="0" w:color="auto"/>
        <w:bottom w:val="none" w:sz="0" w:space="0" w:color="auto"/>
        <w:right w:val="none" w:sz="0" w:space="0" w:color="auto"/>
      </w:divBdr>
    </w:div>
    <w:div w:id="1923097482">
      <w:marLeft w:val="0"/>
      <w:marRight w:val="0"/>
      <w:marTop w:val="0"/>
      <w:marBottom w:val="0"/>
      <w:divBdr>
        <w:top w:val="none" w:sz="0" w:space="0" w:color="auto"/>
        <w:left w:val="none" w:sz="0" w:space="0" w:color="auto"/>
        <w:bottom w:val="none" w:sz="0" w:space="0" w:color="auto"/>
        <w:right w:val="none" w:sz="0" w:space="0" w:color="auto"/>
      </w:divBdr>
    </w:div>
    <w:div w:id="1923097483">
      <w:marLeft w:val="0"/>
      <w:marRight w:val="0"/>
      <w:marTop w:val="0"/>
      <w:marBottom w:val="0"/>
      <w:divBdr>
        <w:top w:val="none" w:sz="0" w:space="0" w:color="auto"/>
        <w:left w:val="none" w:sz="0" w:space="0" w:color="auto"/>
        <w:bottom w:val="none" w:sz="0" w:space="0" w:color="auto"/>
        <w:right w:val="none" w:sz="0" w:space="0" w:color="auto"/>
      </w:divBdr>
    </w:div>
    <w:div w:id="1923097484">
      <w:marLeft w:val="0"/>
      <w:marRight w:val="0"/>
      <w:marTop w:val="0"/>
      <w:marBottom w:val="0"/>
      <w:divBdr>
        <w:top w:val="none" w:sz="0" w:space="0" w:color="auto"/>
        <w:left w:val="none" w:sz="0" w:space="0" w:color="auto"/>
        <w:bottom w:val="none" w:sz="0" w:space="0" w:color="auto"/>
        <w:right w:val="none" w:sz="0" w:space="0" w:color="auto"/>
      </w:divBdr>
    </w:div>
    <w:div w:id="1923097485">
      <w:marLeft w:val="0"/>
      <w:marRight w:val="0"/>
      <w:marTop w:val="0"/>
      <w:marBottom w:val="0"/>
      <w:divBdr>
        <w:top w:val="none" w:sz="0" w:space="0" w:color="auto"/>
        <w:left w:val="none" w:sz="0" w:space="0" w:color="auto"/>
        <w:bottom w:val="none" w:sz="0" w:space="0" w:color="auto"/>
        <w:right w:val="none" w:sz="0" w:space="0" w:color="auto"/>
      </w:divBdr>
    </w:div>
    <w:div w:id="1923097486">
      <w:marLeft w:val="0"/>
      <w:marRight w:val="0"/>
      <w:marTop w:val="0"/>
      <w:marBottom w:val="0"/>
      <w:divBdr>
        <w:top w:val="none" w:sz="0" w:space="0" w:color="auto"/>
        <w:left w:val="none" w:sz="0" w:space="0" w:color="auto"/>
        <w:bottom w:val="none" w:sz="0" w:space="0" w:color="auto"/>
        <w:right w:val="none" w:sz="0" w:space="0" w:color="auto"/>
      </w:divBdr>
    </w:div>
    <w:div w:id="1923097487">
      <w:marLeft w:val="0"/>
      <w:marRight w:val="0"/>
      <w:marTop w:val="0"/>
      <w:marBottom w:val="0"/>
      <w:divBdr>
        <w:top w:val="none" w:sz="0" w:space="0" w:color="auto"/>
        <w:left w:val="none" w:sz="0" w:space="0" w:color="auto"/>
        <w:bottom w:val="none" w:sz="0" w:space="0" w:color="auto"/>
        <w:right w:val="none" w:sz="0" w:space="0" w:color="auto"/>
      </w:divBdr>
    </w:div>
    <w:div w:id="1923097488">
      <w:marLeft w:val="0"/>
      <w:marRight w:val="0"/>
      <w:marTop w:val="0"/>
      <w:marBottom w:val="0"/>
      <w:divBdr>
        <w:top w:val="none" w:sz="0" w:space="0" w:color="auto"/>
        <w:left w:val="none" w:sz="0" w:space="0" w:color="auto"/>
        <w:bottom w:val="none" w:sz="0" w:space="0" w:color="auto"/>
        <w:right w:val="none" w:sz="0" w:space="0" w:color="auto"/>
      </w:divBdr>
    </w:div>
    <w:div w:id="1923097489">
      <w:marLeft w:val="0"/>
      <w:marRight w:val="0"/>
      <w:marTop w:val="0"/>
      <w:marBottom w:val="0"/>
      <w:divBdr>
        <w:top w:val="none" w:sz="0" w:space="0" w:color="auto"/>
        <w:left w:val="none" w:sz="0" w:space="0" w:color="auto"/>
        <w:bottom w:val="none" w:sz="0" w:space="0" w:color="auto"/>
        <w:right w:val="none" w:sz="0" w:space="0" w:color="auto"/>
      </w:divBdr>
    </w:div>
    <w:div w:id="1923097490">
      <w:marLeft w:val="0"/>
      <w:marRight w:val="0"/>
      <w:marTop w:val="0"/>
      <w:marBottom w:val="0"/>
      <w:divBdr>
        <w:top w:val="none" w:sz="0" w:space="0" w:color="auto"/>
        <w:left w:val="none" w:sz="0" w:space="0" w:color="auto"/>
        <w:bottom w:val="none" w:sz="0" w:space="0" w:color="auto"/>
        <w:right w:val="none" w:sz="0" w:space="0" w:color="auto"/>
      </w:divBdr>
    </w:div>
    <w:div w:id="1923097491">
      <w:marLeft w:val="0"/>
      <w:marRight w:val="0"/>
      <w:marTop w:val="0"/>
      <w:marBottom w:val="0"/>
      <w:divBdr>
        <w:top w:val="none" w:sz="0" w:space="0" w:color="auto"/>
        <w:left w:val="none" w:sz="0" w:space="0" w:color="auto"/>
        <w:bottom w:val="none" w:sz="0" w:space="0" w:color="auto"/>
        <w:right w:val="none" w:sz="0" w:space="0" w:color="auto"/>
      </w:divBdr>
    </w:div>
    <w:div w:id="1923097492">
      <w:marLeft w:val="0"/>
      <w:marRight w:val="0"/>
      <w:marTop w:val="0"/>
      <w:marBottom w:val="0"/>
      <w:divBdr>
        <w:top w:val="none" w:sz="0" w:space="0" w:color="auto"/>
        <w:left w:val="none" w:sz="0" w:space="0" w:color="auto"/>
        <w:bottom w:val="none" w:sz="0" w:space="0" w:color="auto"/>
        <w:right w:val="none" w:sz="0" w:space="0" w:color="auto"/>
      </w:divBdr>
    </w:div>
    <w:div w:id="1923097493">
      <w:marLeft w:val="0"/>
      <w:marRight w:val="0"/>
      <w:marTop w:val="0"/>
      <w:marBottom w:val="0"/>
      <w:divBdr>
        <w:top w:val="none" w:sz="0" w:space="0" w:color="auto"/>
        <w:left w:val="none" w:sz="0" w:space="0" w:color="auto"/>
        <w:bottom w:val="none" w:sz="0" w:space="0" w:color="auto"/>
        <w:right w:val="none" w:sz="0" w:space="0" w:color="auto"/>
      </w:divBdr>
    </w:div>
    <w:div w:id="1923097494">
      <w:marLeft w:val="0"/>
      <w:marRight w:val="0"/>
      <w:marTop w:val="0"/>
      <w:marBottom w:val="0"/>
      <w:divBdr>
        <w:top w:val="none" w:sz="0" w:space="0" w:color="auto"/>
        <w:left w:val="none" w:sz="0" w:space="0" w:color="auto"/>
        <w:bottom w:val="none" w:sz="0" w:space="0" w:color="auto"/>
        <w:right w:val="none" w:sz="0" w:space="0" w:color="auto"/>
      </w:divBdr>
    </w:div>
    <w:div w:id="1923097495">
      <w:marLeft w:val="0"/>
      <w:marRight w:val="0"/>
      <w:marTop w:val="0"/>
      <w:marBottom w:val="0"/>
      <w:divBdr>
        <w:top w:val="none" w:sz="0" w:space="0" w:color="auto"/>
        <w:left w:val="none" w:sz="0" w:space="0" w:color="auto"/>
        <w:bottom w:val="none" w:sz="0" w:space="0" w:color="auto"/>
        <w:right w:val="none" w:sz="0" w:space="0" w:color="auto"/>
      </w:divBdr>
    </w:div>
    <w:div w:id="1923097496">
      <w:marLeft w:val="0"/>
      <w:marRight w:val="0"/>
      <w:marTop w:val="0"/>
      <w:marBottom w:val="0"/>
      <w:divBdr>
        <w:top w:val="none" w:sz="0" w:space="0" w:color="auto"/>
        <w:left w:val="none" w:sz="0" w:space="0" w:color="auto"/>
        <w:bottom w:val="none" w:sz="0" w:space="0" w:color="auto"/>
        <w:right w:val="none" w:sz="0" w:space="0" w:color="auto"/>
      </w:divBdr>
    </w:div>
    <w:div w:id="1923097497">
      <w:marLeft w:val="0"/>
      <w:marRight w:val="0"/>
      <w:marTop w:val="0"/>
      <w:marBottom w:val="0"/>
      <w:divBdr>
        <w:top w:val="none" w:sz="0" w:space="0" w:color="auto"/>
        <w:left w:val="none" w:sz="0" w:space="0" w:color="auto"/>
        <w:bottom w:val="none" w:sz="0" w:space="0" w:color="auto"/>
        <w:right w:val="none" w:sz="0" w:space="0" w:color="auto"/>
      </w:divBdr>
    </w:div>
    <w:div w:id="1923097498">
      <w:marLeft w:val="0"/>
      <w:marRight w:val="0"/>
      <w:marTop w:val="0"/>
      <w:marBottom w:val="0"/>
      <w:divBdr>
        <w:top w:val="none" w:sz="0" w:space="0" w:color="auto"/>
        <w:left w:val="none" w:sz="0" w:space="0" w:color="auto"/>
        <w:bottom w:val="none" w:sz="0" w:space="0" w:color="auto"/>
        <w:right w:val="none" w:sz="0" w:space="0" w:color="auto"/>
      </w:divBdr>
    </w:div>
    <w:div w:id="1923097499">
      <w:marLeft w:val="0"/>
      <w:marRight w:val="0"/>
      <w:marTop w:val="0"/>
      <w:marBottom w:val="0"/>
      <w:divBdr>
        <w:top w:val="none" w:sz="0" w:space="0" w:color="auto"/>
        <w:left w:val="none" w:sz="0" w:space="0" w:color="auto"/>
        <w:bottom w:val="none" w:sz="0" w:space="0" w:color="auto"/>
        <w:right w:val="none" w:sz="0" w:space="0" w:color="auto"/>
      </w:divBdr>
    </w:div>
    <w:div w:id="1923097500">
      <w:marLeft w:val="0"/>
      <w:marRight w:val="0"/>
      <w:marTop w:val="0"/>
      <w:marBottom w:val="0"/>
      <w:divBdr>
        <w:top w:val="none" w:sz="0" w:space="0" w:color="auto"/>
        <w:left w:val="none" w:sz="0" w:space="0" w:color="auto"/>
        <w:bottom w:val="none" w:sz="0" w:space="0" w:color="auto"/>
        <w:right w:val="none" w:sz="0" w:space="0" w:color="auto"/>
      </w:divBdr>
    </w:div>
    <w:div w:id="1923097501">
      <w:marLeft w:val="0"/>
      <w:marRight w:val="0"/>
      <w:marTop w:val="0"/>
      <w:marBottom w:val="0"/>
      <w:divBdr>
        <w:top w:val="none" w:sz="0" w:space="0" w:color="auto"/>
        <w:left w:val="none" w:sz="0" w:space="0" w:color="auto"/>
        <w:bottom w:val="none" w:sz="0" w:space="0" w:color="auto"/>
        <w:right w:val="none" w:sz="0" w:space="0" w:color="auto"/>
      </w:divBdr>
    </w:div>
    <w:div w:id="1923097502">
      <w:marLeft w:val="0"/>
      <w:marRight w:val="0"/>
      <w:marTop w:val="0"/>
      <w:marBottom w:val="0"/>
      <w:divBdr>
        <w:top w:val="none" w:sz="0" w:space="0" w:color="auto"/>
        <w:left w:val="none" w:sz="0" w:space="0" w:color="auto"/>
        <w:bottom w:val="none" w:sz="0" w:space="0" w:color="auto"/>
        <w:right w:val="none" w:sz="0" w:space="0" w:color="auto"/>
      </w:divBdr>
    </w:div>
    <w:div w:id="1923097503">
      <w:marLeft w:val="0"/>
      <w:marRight w:val="0"/>
      <w:marTop w:val="0"/>
      <w:marBottom w:val="0"/>
      <w:divBdr>
        <w:top w:val="none" w:sz="0" w:space="0" w:color="auto"/>
        <w:left w:val="none" w:sz="0" w:space="0" w:color="auto"/>
        <w:bottom w:val="none" w:sz="0" w:space="0" w:color="auto"/>
        <w:right w:val="none" w:sz="0" w:space="0" w:color="auto"/>
      </w:divBdr>
    </w:div>
    <w:div w:id="1923097504">
      <w:marLeft w:val="0"/>
      <w:marRight w:val="0"/>
      <w:marTop w:val="0"/>
      <w:marBottom w:val="0"/>
      <w:divBdr>
        <w:top w:val="none" w:sz="0" w:space="0" w:color="auto"/>
        <w:left w:val="none" w:sz="0" w:space="0" w:color="auto"/>
        <w:bottom w:val="none" w:sz="0" w:space="0" w:color="auto"/>
        <w:right w:val="none" w:sz="0" w:space="0" w:color="auto"/>
      </w:divBdr>
    </w:div>
    <w:div w:id="1923097505">
      <w:marLeft w:val="0"/>
      <w:marRight w:val="0"/>
      <w:marTop w:val="0"/>
      <w:marBottom w:val="0"/>
      <w:divBdr>
        <w:top w:val="none" w:sz="0" w:space="0" w:color="auto"/>
        <w:left w:val="none" w:sz="0" w:space="0" w:color="auto"/>
        <w:bottom w:val="none" w:sz="0" w:space="0" w:color="auto"/>
        <w:right w:val="none" w:sz="0" w:space="0" w:color="auto"/>
      </w:divBdr>
    </w:div>
    <w:div w:id="1923097506">
      <w:marLeft w:val="0"/>
      <w:marRight w:val="0"/>
      <w:marTop w:val="0"/>
      <w:marBottom w:val="0"/>
      <w:divBdr>
        <w:top w:val="none" w:sz="0" w:space="0" w:color="auto"/>
        <w:left w:val="none" w:sz="0" w:space="0" w:color="auto"/>
        <w:bottom w:val="none" w:sz="0" w:space="0" w:color="auto"/>
        <w:right w:val="none" w:sz="0" w:space="0" w:color="auto"/>
      </w:divBdr>
    </w:div>
    <w:div w:id="1923097507">
      <w:marLeft w:val="0"/>
      <w:marRight w:val="0"/>
      <w:marTop w:val="0"/>
      <w:marBottom w:val="0"/>
      <w:divBdr>
        <w:top w:val="none" w:sz="0" w:space="0" w:color="auto"/>
        <w:left w:val="none" w:sz="0" w:space="0" w:color="auto"/>
        <w:bottom w:val="none" w:sz="0" w:space="0" w:color="auto"/>
        <w:right w:val="none" w:sz="0" w:space="0" w:color="auto"/>
      </w:divBdr>
    </w:div>
    <w:div w:id="1923097508">
      <w:marLeft w:val="0"/>
      <w:marRight w:val="0"/>
      <w:marTop w:val="0"/>
      <w:marBottom w:val="0"/>
      <w:divBdr>
        <w:top w:val="none" w:sz="0" w:space="0" w:color="auto"/>
        <w:left w:val="none" w:sz="0" w:space="0" w:color="auto"/>
        <w:bottom w:val="none" w:sz="0" w:space="0" w:color="auto"/>
        <w:right w:val="none" w:sz="0" w:space="0" w:color="auto"/>
      </w:divBdr>
    </w:div>
    <w:div w:id="1923097509">
      <w:marLeft w:val="0"/>
      <w:marRight w:val="0"/>
      <w:marTop w:val="0"/>
      <w:marBottom w:val="0"/>
      <w:divBdr>
        <w:top w:val="none" w:sz="0" w:space="0" w:color="auto"/>
        <w:left w:val="none" w:sz="0" w:space="0" w:color="auto"/>
        <w:bottom w:val="none" w:sz="0" w:space="0" w:color="auto"/>
        <w:right w:val="none" w:sz="0" w:space="0" w:color="auto"/>
      </w:divBdr>
    </w:div>
    <w:div w:id="1923097510">
      <w:marLeft w:val="0"/>
      <w:marRight w:val="0"/>
      <w:marTop w:val="0"/>
      <w:marBottom w:val="0"/>
      <w:divBdr>
        <w:top w:val="none" w:sz="0" w:space="0" w:color="auto"/>
        <w:left w:val="none" w:sz="0" w:space="0" w:color="auto"/>
        <w:bottom w:val="none" w:sz="0" w:space="0" w:color="auto"/>
        <w:right w:val="none" w:sz="0" w:space="0" w:color="auto"/>
      </w:divBdr>
    </w:div>
    <w:div w:id="1923097511">
      <w:marLeft w:val="0"/>
      <w:marRight w:val="0"/>
      <w:marTop w:val="0"/>
      <w:marBottom w:val="0"/>
      <w:divBdr>
        <w:top w:val="none" w:sz="0" w:space="0" w:color="auto"/>
        <w:left w:val="none" w:sz="0" w:space="0" w:color="auto"/>
        <w:bottom w:val="none" w:sz="0" w:space="0" w:color="auto"/>
        <w:right w:val="none" w:sz="0" w:space="0" w:color="auto"/>
      </w:divBdr>
    </w:div>
    <w:div w:id="1923097512">
      <w:marLeft w:val="0"/>
      <w:marRight w:val="0"/>
      <w:marTop w:val="0"/>
      <w:marBottom w:val="0"/>
      <w:divBdr>
        <w:top w:val="none" w:sz="0" w:space="0" w:color="auto"/>
        <w:left w:val="none" w:sz="0" w:space="0" w:color="auto"/>
        <w:bottom w:val="none" w:sz="0" w:space="0" w:color="auto"/>
        <w:right w:val="none" w:sz="0" w:space="0" w:color="auto"/>
      </w:divBdr>
    </w:div>
    <w:div w:id="1923097513">
      <w:marLeft w:val="0"/>
      <w:marRight w:val="0"/>
      <w:marTop w:val="0"/>
      <w:marBottom w:val="0"/>
      <w:divBdr>
        <w:top w:val="none" w:sz="0" w:space="0" w:color="auto"/>
        <w:left w:val="none" w:sz="0" w:space="0" w:color="auto"/>
        <w:bottom w:val="none" w:sz="0" w:space="0" w:color="auto"/>
        <w:right w:val="none" w:sz="0" w:space="0" w:color="auto"/>
      </w:divBdr>
    </w:div>
    <w:div w:id="1923097514">
      <w:marLeft w:val="0"/>
      <w:marRight w:val="0"/>
      <w:marTop w:val="0"/>
      <w:marBottom w:val="0"/>
      <w:divBdr>
        <w:top w:val="none" w:sz="0" w:space="0" w:color="auto"/>
        <w:left w:val="none" w:sz="0" w:space="0" w:color="auto"/>
        <w:bottom w:val="none" w:sz="0" w:space="0" w:color="auto"/>
        <w:right w:val="none" w:sz="0" w:space="0" w:color="auto"/>
      </w:divBdr>
    </w:div>
    <w:div w:id="1923097515">
      <w:marLeft w:val="0"/>
      <w:marRight w:val="0"/>
      <w:marTop w:val="0"/>
      <w:marBottom w:val="0"/>
      <w:divBdr>
        <w:top w:val="none" w:sz="0" w:space="0" w:color="auto"/>
        <w:left w:val="none" w:sz="0" w:space="0" w:color="auto"/>
        <w:bottom w:val="none" w:sz="0" w:space="0" w:color="auto"/>
        <w:right w:val="none" w:sz="0" w:space="0" w:color="auto"/>
      </w:divBdr>
    </w:div>
    <w:div w:id="1923097516">
      <w:marLeft w:val="0"/>
      <w:marRight w:val="0"/>
      <w:marTop w:val="0"/>
      <w:marBottom w:val="0"/>
      <w:divBdr>
        <w:top w:val="none" w:sz="0" w:space="0" w:color="auto"/>
        <w:left w:val="none" w:sz="0" w:space="0" w:color="auto"/>
        <w:bottom w:val="none" w:sz="0" w:space="0" w:color="auto"/>
        <w:right w:val="none" w:sz="0" w:space="0" w:color="auto"/>
      </w:divBdr>
    </w:div>
    <w:div w:id="1923097517">
      <w:marLeft w:val="0"/>
      <w:marRight w:val="0"/>
      <w:marTop w:val="0"/>
      <w:marBottom w:val="0"/>
      <w:divBdr>
        <w:top w:val="none" w:sz="0" w:space="0" w:color="auto"/>
        <w:left w:val="none" w:sz="0" w:space="0" w:color="auto"/>
        <w:bottom w:val="none" w:sz="0" w:space="0" w:color="auto"/>
        <w:right w:val="none" w:sz="0" w:space="0" w:color="auto"/>
      </w:divBdr>
    </w:div>
    <w:div w:id="1988432965">
      <w:bodyDiv w:val="1"/>
      <w:marLeft w:val="0"/>
      <w:marRight w:val="0"/>
      <w:marTop w:val="0"/>
      <w:marBottom w:val="0"/>
      <w:divBdr>
        <w:top w:val="none" w:sz="0" w:space="0" w:color="auto"/>
        <w:left w:val="none" w:sz="0" w:space="0" w:color="auto"/>
        <w:bottom w:val="none" w:sz="0" w:space="0" w:color="auto"/>
        <w:right w:val="none" w:sz="0" w:space="0" w:color="auto"/>
      </w:divBdr>
    </w:div>
    <w:div w:id="214730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_rels/footnotes.xml.rels><?xml version="1.0" encoding="UTF-8" standalone="yes"?>
<Relationships xmlns="http://schemas.openxmlformats.org/package/2006/relationships"><Relationship Id="rId2" Type="http://schemas.openxmlformats.org/officeDocument/2006/relationships/hyperlink" Target="https://www.finance.gov.sk/Default.aspx?CatID=9595" TargetMode="External"/><Relationship Id="rId1" Type="http://schemas.openxmlformats.org/officeDocument/2006/relationships/hyperlink" Target="http://www.finance.gov.sk/Default.aspx?CatID=976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f.mfsr.sk\DfsRoot\ADRESARE\UHP\00_HODNOTA_ZA_PENIAZE\00_SPENDING_REVIEW\06_PR&#193;CA\03_OBLASTI_REVIZIE\v&#253;davky%20a%20ukazovatele\ukazovatele\ukazovatele%20programy\ukazovatele%20nov&#233;\v&#253;sledkov&#233;%20ukazovatele%20rev&#237;zie%2020170428.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06_PR&#193;CA\02_V&#221;STUPY\03_PRIEBE&#381;N&#193;_SPR&#193;VA\prv&#253;%20draft%2020170316\APTP\miro_20170428\Vysledky%20scenarov_dodatocny%20dopyt.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02_ZDRAVOTNICTVO\02_V&#221;STUPY\05_PODKLADY_PRE_ROZPO&#268;ET\grafy%202017\grafy.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02_ZDRAVOTNICTVO\02_V&#221;STUPY\05_PODKLADY_PRE_ROZPO&#268;ET\grafy%202017\grafy.xlsx"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02_ZDRAVOTNICTVO\02_V&#221;STUPY\05_PODKLADY_PRE_ROZPO&#268;ET\grafy%202017\grafy.xlsx"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oleObject" Target="file:///\\mf.mfsr.sk\DfsRoot\ADRESARE\IFP_NEW\4_STRUKTURAL\4_4_Agenda\18_Spending%20reviews\Zdravotnictvo\02_Data\Medzinarodne%20porovnanie_data\lieky%20cz\porovnanie%20sk%20cz%20sukl.xlsx" TargetMode="External"/><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oleObject" Target="file:///\\mf.mfsr.sk\DfsRoot\ADRESARE\IFP_NEW\4_STRUKTURAL\4_4_Agenda\18_Spending%20reviews\Zdravotnictvo\03_Oblasti%20revizie\Laboratorne%20a%20zobrazovacie%20vy&#353;etrenia\Summary_Sep19.xlsx" TargetMode="External"/><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oleObject" Target="file:///\\mf.mfsr.sk\DfsRoot\ADRESARE\IFP_NEW\4_STRUKTURAL\4_4_Agenda\18_Spending%20reviews\Zdravotnictvo\03_Oblasti%20revizie\Laboratorne%20a%20zobrazovacie%20vy&#353;etrenia\Summary_Sep19.xlsx" TargetMode="External"/><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02_ZDRAVOTNICTVO\02_V&#221;STUPY\05_PODKLADY_PRE_ROZPO&#268;ET\grafy%202017\grafy.xlsx" TargetMode="External"/><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02_ZDRAVOTNICTVO\02_V&#221;STUPY\05_PODKLADY_PRE_ROZPO&#268;ET\grafy%202017\grafy.xlsx" TargetMode="External"/><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3" Type="http://schemas.openxmlformats.org/officeDocument/2006/relationships/oleObject" Target="file:///\\mf.mfsr.sk\DfsRoot\ADRESARE\UHP\00_HODNOTA_ZA_PENIAZE\00_SPENDING_REVIEW\Napojenie%20na%20rozpocet\rozpocet%2018-20\update%20zaverecnych%20sprav\zaverecna_%20sprava_vzdelavanie_datova_priloha_update_170930.xlsx" TargetMode="External"/><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3" Type="http://schemas.openxmlformats.org/officeDocument/2006/relationships/oleObject" Target="file:///\\mf.mfsr.sk\DfsRoot\ADRESARE\UHP\00_HODNOTA_ZA_PENIAZE\00_SPENDING_REVIEW\06_PR&#193;CA\02_V&#221;STUPY\03_PRIEBE&#381;N&#193;_SPR&#193;VA\grafy_ph\chudoba_depriv&#225;cia.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mf.mfsr.sk\DfsRoot\ADRESARE\UHP\00_HODNOTA_ZA_PENIAZE\00_SPENDING_REVIEW\Napojenie%20na%20rozpocet\rozpocet%2018-20\update%20zaverecnych%20sprav\zaverecna_%20sprava_vzdelavanie_datova_priloha_update_170930.xlsx" TargetMode="External"/><Relationship Id="rId2" Type="http://schemas.microsoft.com/office/2011/relationships/chartColorStyle" Target="colors8.xml"/><Relationship Id="rId1" Type="http://schemas.microsoft.com/office/2011/relationships/chartStyle" Target="style8.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merdelyiova\Downloads\962017041x1t087.xlsx" TargetMode="External"/><Relationship Id="rId2" Type="http://schemas.microsoft.com/office/2011/relationships/chartColorStyle" Target="colors9.xml"/><Relationship Id="rId1" Type="http://schemas.microsoft.com/office/2011/relationships/chartStyle" Target="style9.xml"/></Relationships>
</file>

<file path=word/charts/_rels/chart22.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07_SKOLSTVO\vystupy\02_Regionalne_skolstvo\Grafy%20a%20tabulky_v1.xlsx" TargetMode="External"/><Relationship Id="rId1" Type="http://schemas.openxmlformats.org/officeDocument/2006/relationships/themeOverride" Target="../theme/themeOverride18.xml"/></Relationships>
</file>

<file path=word/charts/_rels/chart23.xml.rels><?xml version="1.0" encoding="UTF-8" standalone="yes"?>
<Relationships xmlns="http://schemas.openxmlformats.org/package/2006/relationships"><Relationship Id="rId1" Type="http://schemas.openxmlformats.org/officeDocument/2006/relationships/oleObject" Target="file:///\\mf.mfsr.sk\DfsRoot\ADRESARE\UHP\99_VSEOBECNE\00_LUDIA\Erdelyiova_Gancarova\revizia\tabulky_k_revizii.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zp\Groups\IEP\04_Agenda\08_Rev&#237;zia_v&#253;davkov\Grafy_a_tabu&#318;ky_zaverecna_sprava.xlsx" TargetMode="External"/></Relationships>
</file>

<file path=word/charts/_rels/chart25.xml.rels><?xml version="1.0" encoding="UTF-8" standalone="yes"?>
<Relationships xmlns="http://schemas.openxmlformats.org/package/2006/relationships"><Relationship Id="rId2" Type="http://schemas.openxmlformats.org/officeDocument/2006/relationships/oleObject" Target="file:///\\zp\groups\IEP\04_Agenda\08_Rev&#237;zia_v&#253;davkov\01_Zverejnenie\Grafy_a_tabu&#318;ky_zaverecna_sprava_update.xlsx" TargetMode="External"/><Relationship Id="rId1" Type="http://schemas.openxmlformats.org/officeDocument/2006/relationships/themeOverride" Target="../theme/themeOverride20.xml"/></Relationships>
</file>

<file path=word/charts/_rels/chart2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zp\groups\IEP\04_Agenda\08_Rev&#237;zia_v&#253;davkov\01_Zverejnenie\Grafy_a_tabu&#318;ky_zaverecna_sprava_update.xlsx" TargetMode="External"/><Relationship Id="rId1" Type="http://schemas.openxmlformats.org/officeDocument/2006/relationships/themeOverride" Target="../theme/themeOverride21.xml"/></Relationships>
</file>

<file path=word/charts/_rels/chart2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zp\groups\IEP\04_Agenda\08_Rev&#237;zia_v&#253;davkov\01_Zverejnenie\Grafy_a_tabu&#318;ky_zaverecna_sprava_update.xlsx" TargetMode="External"/><Relationship Id="rId1" Type="http://schemas.openxmlformats.org/officeDocument/2006/relationships/themeOverride" Target="../theme/themeOverride22.xm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kristina.petrikova\Desktop\Kika%20praca\Revizia%20vydavkov\Ovzdusie\EEA\graf%20znecistenie%20PM2.5.xlsx" TargetMode="External"/></Relationships>
</file>

<file path=word/charts/_rels/chart29.xml.rels><?xml version="1.0" encoding="UTF-8" standalone="yes"?>
<Relationships xmlns="http://schemas.openxmlformats.org/package/2006/relationships"><Relationship Id="rId2" Type="http://schemas.openxmlformats.org/officeDocument/2006/relationships/oleObject" Target="file:///\\zp\groups\IEP\04_Agenda\08_Rev&#237;zia_v&#253;davkov\01_Zverejnenie\Grafy_a_tabu&#318;ky_zaverecna_sprava_update.xlsx" TargetMode="External"/><Relationship Id="rId1" Type="http://schemas.openxmlformats.org/officeDocument/2006/relationships/themeOverride" Target="../theme/themeOverride24.xml"/></Relationships>
</file>

<file path=word/charts/_rels/chart3.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06_PR&#193;CA\03_OBLASTI_REVIZIE\D&#225;vky%20a%20podpora%20rodiny\rodiny.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hidas\!D%20disk\SuperDB\Spending%20review\MPSVR%20data\Vyzvy%20MPSVR.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mf.mfsr.sk\DfsRoot\ADRESARE\UHP\00_HODNOTA_ZA_PENIAZE\00_SPENDING_REVIEW\06_PR&#193;CA\01_D&#193;TA\OECD\Family%20benefits%20prehlad%20narokov%20vek%20dietata%20vyska%20benefitu.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mf.mfsr.sk\DfsRoot\ADRESARE\UHP\00_HODNOTA_ZA_PENIAZE\00_SPENDING_REVIEW\06_PR&#193;CA\02_V&#221;STUPY\03_PRIEBE&#381;N&#193;_SPR&#193;VA\grafy_ph\z&#357;p.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mf.mfsr.sk\DfsRoot\ADRESARE\UHP\00_HODNOTA_ZA_PENIAZE\00_SPENDING_REVIEW\06_PR&#193;CA\03_OBLASTI_REVIZIE\Z&#356;P\hlth_dlm010_employment.xls"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06_PR&#193;CA\02_V&#221;STUPY\03_PRIEBE&#381;N&#193;_SPR&#193;VA\prv&#253;%20draft%2020170316\APTP\miro_20170428\dlhodob&#225;%20nezamestnanos&#357;_20170429.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1.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rgbClr val="2C9ADC"/>
          </a:solidFill>
          <a:ln>
            <a:noFill/>
          </a:ln>
          <a:effectLst/>
        </c:spPr>
        <c:marker>
          <c:symbol val="none"/>
        </c:marker>
      </c:pivotFmt>
      <c:pivotFmt>
        <c:idx val="1"/>
        <c:spPr>
          <a:solidFill>
            <a:srgbClr val="2C4D75"/>
          </a:solidFill>
          <a:ln>
            <a:noFill/>
          </a:ln>
          <a:effectLst/>
        </c:spPr>
        <c:marker>
          <c:symbol val="none"/>
        </c:marker>
      </c:pivotFmt>
      <c:pivotFmt>
        <c:idx val="2"/>
        <c:spPr>
          <a:solidFill>
            <a:srgbClr val="333F50"/>
          </a:solidFill>
          <a:ln>
            <a:noFill/>
          </a:ln>
          <a:effectLst/>
        </c:spPr>
        <c:marker>
          <c:symbol val="none"/>
        </c:marker>
      </c:pivotFmt>
      <c:pivotFmt>
        <c:idx val="3"/>
        <c:spPr>
          <a:solidFill>
            <a:srgbClr val="D9D9D9"/>
          </a:solidFill>
          <a:ln>
            <a:noFill/>
          </a:ln>
          <a:effectLst/>
        </c:spPr>
        <c:marker>
          <c:symbol val="none"/>
        </c:marker>
      </c:pivotFmt>
      <c:pivotFmt>
        <c:idx val="4"/>
        <c:spPr>
          <a:solidFill>
            <a:srgbClr val="2777CF"/>
          </a:solidFill>
          <a:ln>
            <a:noFill/>
          </a:ln>
          <a:effectLst/>
        </c:spPr>
        <c:marker>
          <c:symbol val="none"/>
        </c:marker>
      </c:pivotFmt>
      <c:pivotFmt>
        <c:idx val="5"/>
        <c:spPr>
          <a:solidFill>
            <a:schemeClr val="accent1">
              <a:lumMod val="60000"/>
              <a:lumOff val="40000"/>
            </a:schemeClr>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tx2">
              <a:lumMod val="60000"/>
              <a:lumOff val="40000"/>
            </a:schemeClr>
          </a:solidFill>
          <a:ln>
            <a:noFill/>
          </a:ln>
          <a:effectLst/>
        </c:spPr>
        <c:marker>
          <c:symbol val="none"/>
        </c:marker>
      </c:pivotFmt>
      <c:pivotFmt>
        <c:idx val="8"/>
        <c:spPr>
          <a:solidFill>
            <a:schemeClr val="tx2">
              <a:lumMod val="50000"/>
            </a:schemeClr>
          </a:solidFill>
          <a:ln>
            <a:noFill/>
          </a:ln>
          <a:effectLst/>
        </c:spPr>
        <c:marker>
          <c:symbol val="none"/>
        </c:marker>
      </c:pivotFmt>
    </c:pivotFmts>
    <c:plotArea>
      <c:layout>
        <c:manualLayout>
          <c:layoutTarget val="inner"/>
          <c:xMode val="edge"/>
          <c:yMode val="edge"/>
          <c:x val="9.4086202564801602E-2"/>
          <c:y val="4.7377326565143825E-2"/>
          <c:w val="0.85612877820007738"/>
          <c:h val="0.72776959945224229"/>
        </c:manualLayout>
      </c:layout>
      <c:barChart>
        <c:barDir val="col"/>
        <c:grouping val="clustered"/>
        <c:varyColors val="0"/>
        <c:ser>
          <c:idx val="0"/>
          <c:order val="0"/>
          <c:tx>
            <c:strRef>
              <c:f>Hárok1!$B$16</c:f>
              <c:strCache>
                <c:ptCount val="1"/>
                <c:pt idx="0">
                  <c:v>SK</c:v>
                </c:pt>
              </c:strCache>
            </c:strRef>
          </c:tx>
          <c:spPr>
            <a:solidFill>
              <a:sysClr val="window" lastClr="FFFFFF">
                <a:lumMod val="75000"/>
              </a:sysClr>
            </a:solidFill>
            <a:ln>
              <a:solidFill>
                <a:sysClr val="window" lastClr="FFFFFF">
                  <a:lumMod val="75000"/>
                </a:sysClr>
              </a:solidFill>
            </a:ln>
            <a:effectLst/>
          </c:spPr>
          <c:invertIfNegative val="0"/>
          <c:cat>
            <c:strRef>
              <c:f>Hárok1!$C$15:$K$15</c:f>
              <c:strCache>
                <c:ptCount val="9"/>
                <c:pt idx="0">
                  <c:v>2009</c:v>
                </c:pt>
                <c:pt idx="1">
                  <c:v>2010</c:v>
                </c:pt>
                <c:pt idx="2">
                  <c:v>2011</c:v>
                </c:pt>
                <c:pt idx="3">
                  <c:v>2012</c:v>
                </c:pt>
                <c:pt idx="4">
                  <c:v>2013</c:v>
                </c:pt>
                <c:pt idx="5">
                  <c:v>2014</c:v>
                </c:pt>
                <c:pt idx="6">
                  <c:v>2015</c:v>
                </c:pt>
                <c:pt idx="7">
                  <c:v>2016</c:v>
                </c:pt>
                <c:pt idx="8">
                  <c:v>Cieľ 2020</c:v>
                </c:pt>
              </c:strCache>
            </c:strRef>
          </c:cat>
          <c:val>
            <c:numRef>
              <c:f>Hárok1!$C$16:$K$16</c:f>
              <c:numCache>
                <c:formatCode>General</c:formatCode>
                <c:ptCount val="9"/>
                <c:pt idx="0">
                  <c:v>66.400000000000006</c:v>
                </c:pt>
                <c:pt idx="1">
                  <c:v>64.599999999999994</c:v>
                </c:pt>
                <c:pt idx="2">
                  <c:v>65</c:v>
                </c:pt>
                <c:pt idx="3">
                  <c:v>65.099999999999994</c:v>
                </c:pt>
                <c:pt idx="4">
                  <c:v>65</c:v>
                </c:pt>
                <c:pt idx="5">
                  <c:v>65.900000000000006</c:v>
                </c:pt>
                <c:pt idx="6">
                  <c:v>67.7</c:v>
                </c:pt>
                <c:pt idx="7">
                  <c:v>69.8</c:v>
                </c:pt>
                <c:pt idx="8">
                  <c:v>72</c:v>
                </c:pt>
              </c:numCache>
            </c:numRef>
          </c:val>
        </c:ser>
        <c:ser>
          <c:idx val="1"/>
          <c:order val="1"/>
          <c:tx>
            <c:strRef>
              <c:f>Hárok1!$B$17</c:f>
              <c:strCache>
                <c:ptCount val="1"/>
                <c:pt idx="0">
                  <c:v>EÚ</c:v>
                </c:pt>
              </c:strCache>
            </c:strRef>
          </c:tx>
          <c:spPr>
            <a:solidFill>
              <a:sysClr val="windowText" lastClr="000000">
                <a:lumMod val="75000"/>
                <a:lumOff val="25000"/>
              </a:sysClr>
            </a:solidFill>
            <a:ln>
              <a:solidFill>
                <a:sysClr val="windowText" lastClr="000000">
                  <a:lumMod val="75000"/>
                  <a:lumOff val="25000"/>
                </a:sysClr>
              </a:solidFill>
            </a:ln>
            <a:effectLst/>
          </c:spPr>
          <c:invertIfNegative val="0"/>
          <c:cat>
            <c:strRef>
              <c:f>Hárok1!$C$15:$K$15</c:f>
              <c:strCache>
                <c:ptCount val="9"/>
                <c:pt idx="0">
                  <c:v>2009</c:v>
                </c:pt>
                <c:pt idx="1">
                  <c:v>2010</c:v>
                </c:pt>
                <c:pt idx="2">
                  <c:v>2011</c:v>
                </c:pt>
                <c:pt idx="3">
                  <c:v>2012</c:v>
                </c:pt>
                <c:pt idx="4">
                  <c:v>2013</c:v>
                </c:pt>
                <c:pt idx="5">
                  <c:v>2014</c:v>
                </c:pt>
                <c:pt idx="6">
                  <c:v>2015</c:v>
                </c:pt>
                <c:pt idx="7">
                  <c:v>2016</c:v>
                </c:pt>
                <c:pt idx="8">
                  <c:v>Cieľ 2020</c:v>
                </c:pt>
              </c:strCache>
            </c:strRef>
          </c:cat>
          <c:val>
            <c:numRef>
              <c:f>Hárok1!$C$17:$K$17</c:f>
              <c:numCache>
                <c:formatCode>General</c:formatCode>
                <c:ptCount val="9"/>
                <c:pt idx="0">
                  <c:v>69</c:v>
                </c:pt>
                <c:pt idx="1">
                  <c:v>68.599999999999994</c:v>
                </c:pt>
                <c:pt idx="2">
                  <c:v>68.599999999999994</c:v>
                </c:pt>
                <c:pt idx="3">
                  <c:v>68.400000000000006</c:v>
                </c:pt>
                <c:pt idx="4">
                  <c:v>68.400000000000006</c:v>
                </c:pt>
                <c:pt idx="5">
                  <c:v>69.2</c:v>
                </c:pt>
                <c:pt idx="6">
                  <c:v>70.099999999999994</c:v>
                </c:pt>
                <c:pt idx="7">
                  <c:v>71.099999999999994</c:v>
                </c:pt>
              </c:numCache>
            </c:numRef>
          </c:val>
        </c:ser>
        <c:dLbls>
          <c:showLegendKey val="0"/>
          <c:showVal val="0"/>
          <c:showCatName val="0"/>
          <c:showSerName val="0"/>
          <c:showPercent val="0"/>
          <c:showBubbleSize val="0"/>
        </c:dLbls>
        <c:gapWidth val="219"/>
        <c:overlap val="-27"/>
        <c:axId val="421885352"/>
        <c:axId val="421885744"/>
      </c:barChart>
      <c:catAx>
        <c:axId val="4218853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421885744"/>
        <c:crosses val="autoZero"/>
        <c:auto val="1"/>
        <c:lblAlgn val="ctr"/>
        <c:lblOffset val="100"/>
        <c:noMultiLvlLbl val="0"/>
      </c:catAx>
      <c:valAx>
        <c:axId val="421885744"/>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421885352"/>
        <c:crosses val="autoZero"/>
        <c:crossBetween val="between"/>
      </c:valAx>
      <c:spPr>
        <a:noFill/>
        <a:ln>
          <a:noFill/>
        </a:ln>
        <a:effectLst/>
      </c:spPr>
    </c:plotArea>
    <c:legend>
      <c:legendPos val="t"/>
      <c:layout>
        <c:manualLayout>
          <c:xMode val="edge"/>
          <c:yMode val="edge"/>
          <c:x val="0.39112351281955299"/>
          <c:y val="6.4257028112449793E-2"/>
          <c:w val="0.20870079631084801"/>
          <c:h val="8.6147845977084206E-2"/>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no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sk-SK"/>
    </a:p>
  </c:txPr>
  <c:externalData r:id="rId4">
    <c:autoUpdate val="0"/>
  </c:externalData>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'\\mf.mfsr.sk\DfsRoot\ADRESARE\UHP\00_HODNOTA_ZA_PENIAZE\00_SPENDING_REVIEW\06_PRÁCA\02_VÝSTUPY\03_PRIEBEŽNÁ_SPRÁVA\prvý draft 20170316\APTP\miro_20170428\[tabulka 2.xlsx]Hárok7'!$D$14</c:f>
              <c:strCache>
                <c:ptCount val="1"/>
                <c:pt idx="0">
                  <c:v>Model roku 2015</c:v>
                </c:pt>
              </c:strCache>
            </c:strRef>
          </c:tx>
          <c:spPr>
            <a:solidFill>
              <a:schemeClr val="tx1">
                <a:lumMod val="75000"/>
                <a:lumOff val="25000"/>
              </a:schemeClr>
            </a:solidFill>
            <a:ln>
              <a:solidFill>
                <a:schemeClr val="tx1">
                  <a:lumMod val="75000"/>
                  <a:lumOff val="25000"/>
                </a:schemeClr>
              </a:solidFill>
            </a:ln>
          </c:spPr>
          <c:invertIfNegative val="0"/>
          <c:dLbls>
            <c:numFmt formatCode="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'\\mf.mfsr.sk\DfsRoot\ADRESARE\UHP\00_HODNOTA_ZA_PENIAZE\00_SPENDING_REVIEW\06_PRÁCA\02_VÝSTUPY\03_PRIEBEŽNÁ_SPRÁVA\prvý draft 20170316\APTP\miro_20170428\[tabulka 2.xlsx]Hárok7'!$C$15:$C$18</c:f>
              <c:strCache>
                <c:ptCount val="4"/>
                <c:pt idx="0">
                  <c:v>Dostupnosť APTP</c:v>
                </c:pt>
                <c:pt idx="1">
                  <c:v>Dostupnosť APTP pre DN</c:v>
                </c:pt>
                <c:pt idx="2">
                  <c:v>Podiel umiestnených účastníkov</c:v>
                </c:pt>
                <c:pt idx="3">
                  <c:v>Podiel umiestnených na celkovom počte evidencií UoZ</c:v>
                </c:pt>
              </c:strCache>
            </c:strRef>
          </c:cat>
          <c:val>
            <c:numRef>
              <c:f>'\\mf.mfsr.sk\DfsRoot\ADRESARE\UHP\00_HODNOTA_ZA_PENIAZE\00_SPENDING_REVIEW\06_PRÁCA\02_VÝSTUPY\03_PRIEBEŽNÁ_SPRÁVA\prvý draft 20170316\APTP\miro_20170428\[tabulka 2.xlsx]Hárok7'!$D$15:$D$18</c:f>
              <c:numCache>
                <c:formatCode>General</c:formatCode>
                <c:ptCount val="4"/>
                <c:pt idx="0">
                  <c:v>0.1038</c:v>
                </c:pt>
                <c:pt idx="1">
                  <c:v>0.11700000000000001</c:v>
                </c:pt>
                <c:pt idx="2">
                  <c:v>0.139414075271552</c:v>
                </c:pt>
                <c:pt idx="3">
                  <c:v>1.44711810131871E-2</c:v>
                </c:pt>
              </c:numCache>
            </c:numRef>
          </c:val>
        </c:ser>
        <c:ser>
          <c:idx val="1"/>
          <c:order val="1"/>
          <c:tx>
            <c:strRef>
              <c:f>'\\mf.mfsr.sk\DfsRoot\ADRESARE\UHP\00_HODNOTA_ZA_PENIAZE\00_SPENDING_REVIEW\06_PRÁCA\02_VÝSTUPY\03_PRIEBEŽNÁ_SPRÁVA\prvý draft 20170316\APTP\miro_20170428\[tabulka 2.xlsx]Hárok7'!$E$14</c:f>
              <c:strCache>
                <c:ptCount val="1"/>
                <c:pt idx="0">
                  <c:v>Model troch najúčinnejších opatrení</c:v>
                </c:pt>
              </c:strCache>
            </c:strRef>
          </c:tx>
          <c:spPr>
            <a:solidFill>
              <a:schemeClr val="bg1">
                <a:lumMod val="75000"/>
              </a:schemeClr>
            </a:solidFill>
            <a:ln>
              <a:solidFill>
                <a:schemeClr val="bg1">
                  <a:lumMod val="75000"/>
                </a:schemeClr>
              </a:solidFill>
            </a:ln>
          </c:spPr>
          <c:invertIfNegative val="0"/>
          <c:dLbls>
            <c:numFmt formatCode="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'\\mf.mfsr.sk\DfsRoot\ADRESARE\UHP\00_HODNOTA_ZA_PENIAZE\00_SPENDING_REVIEW\06_PRÁCA\02_VÝSTUPY\03_PRIEBEŽNÁ_SPRÁVA\prvý draft 20170316\APTP\miro_20170428\[tabulka 2.xlsx]Hárok7'!$C$15:$C$18</c:f>
              <c:strCache>
                <c:ptCount val="4"/>
                <c:pt idx="0">
                  <c:v>Dostupnosť APTP</c:v>
                </c:pt>
                <c:pt idx="1">
                  <c:v>Dostupnosť APTP pre DN</c:v>
                </c:pt>
                <c:pt idx="2">
                  <c:v>Podiel umiestnených účastníkov</c:v>
                </c:pt>
                <c:pt idx="3">
                  <c:v>Podiel umiestnených na celkovom počte evidencií UoZ</c:v>
                </c:pt>
              </c:strCache>
            </c:strRef>
          </c:cat>
          <c:val>
            <c:numRef>
              <c:f>'\\mf.mfsr.sk\DfsRoot\ADRESARE\UHP\00_HODNOTA_ZA_PENIAZE\00_SPENDING_REVIEW\06_PRÁCA\02_VÝSTUPY\03_PRIEBEŽNÁ_SPRÁVA\prvý draft 20170316\APTP\miro_20170428\[tabulka 2.xlsx]Hárok7'!$E$15:$E$18</c:f>
              <c:numCache>
                <c:formatCode>General</c:formatCode>
                <c:ptCount val="4"/>
                <c:pt idx="0">
                  <c:v>0.210537929827005</c:v>
                </c:pt>
                <c:pt idx="1">
                  <c:v>0.187</c:v>
                </c:pt>
                <c:pt idx="2">
                  <c:v>0.100339341116661</c:v>
                </c:pt>
                <c:pt idx="3">
                  <c:v>2.11252371589076E-2</c:v>
                </c:pt>
              </c:numCache>
            </c:numRef>
          </c:val>
        </c:ser>
        <c:dLbls>
          <c:showLegendKey val="0"/>
          <c:showVal val="0"/>
          <c:showCatName val="0"/>
          <c:showSerName val="0"/>
          <c:showPercent val="0"/>
          <c:showBubbleSize val="0"/>
        </c:dLbls>
        <c:gapWidth val="150"/>
        <c:axId val="434605456"/>
        <c:axId val="434605848"/>
      </c:barChart>
      <c:catAx>
        <c:axId val="434605456"/>
        <c:scaling>
          <c:orientation val="minMax"/>
        </c:scaling>
        <c:delete val="0"/>
        <c:axPos val="l"/>
        <c:numFmt formatCode="General" sourceLinked="0"/>
        <c:majorTickMark val="out"/>
        <c:minorTickMark val="none"/>
        <c:tickLblPos val="nextTo"/>
        <c:crossAx val="434605848"/>
        <c:crosses val="autoZero"/>
        <c:auto val="1"/>
        <c:lblAlgn val="ctr"/>
        <c:lblOffset val="100"/>
        <c:noMultiLvlLbl val="0"/>
      </c:catAx>
      <c:valAx>
        <c:axId val="434605848"/>
        <c:scaling>
          <c:orientation val="minMax"/>
          <c:max val="0.25"/>
        </c:scaling>
        <c:delete val="0"/>
        <c:axPos val="b"/>
        <c:majorGridlines>
          <c:spPr>
            <a:ln>
              <a:solidFill>
                <a:schemeClr val="bg1">
                  <a:lumMod val="75000"/>
                </a:schemeClr>
              </a:solidFill>
              <a:prstDash val="dash"/>
            </a:ln>
          </c:spPr>
        </c:majorGridlines>
        <c:numFmt formatCode="#,##0.00" sourceLinked="0"/>
        <c:majorTickMark val="out"/>
        <c:minorTickMark val="none"/>
        <c:tickLblPos val="nextTo"/>
        <c:spPr>
          <a:ln>
            <a:solidFill>
              <a:schemeClr val="bg1">
                <a:lumMod val="75000"/>
              </a:schemeClr>
            </a:solidFill>
          </a:ln>
        </c:spPr>
        <c:crossAx val="434605456"/>
        <c:crosses val="autoZero"/>
        <c:crossBetween val="between"/>
      </c:valAx>
    </c:plotArea>
    <c:legend>
      <c:legendPos val="b"/>
      <c:overlay val="0"/>
    </c:legend>
    <c:plotVisOnly val="1"/>
    <c:dispBlanksAs val="gap"/>
    <c:showDLblsOverMax val="0"/>
  </c:chart>
  <c:spPr>
    <a:noFill/>
    <a:ln>
      <a:noFill/>
    </a:ln>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17436997626964E-2"/>
          <c:y val="5.5989236111111111E-2"/>
          <c:w val="0.93616132135261021"/>
          <c:h val="0.86336284722222201"/>
        </c:manualLayout>
      </c:layout>
      <c:barChart>
        <c:barDir val="col"/>
        <c:grouping val="clustered"/>
        <c:varyColors val="0"/>
        <c:ser>
          <c:idx val="2"/>
          <c:order val="0"/>
          <c:tx>
            <c:strRef>
              <c:f>'grafy 1'!$E$4</c:f>
              <c:strCache>
                <c:ptCount val="1"/>
                <c:pt idx="0">
                  <c:v>SK</c:v>
                </c:pt>
              </c:strCache>
            </c:strRef>
          </c:tx>
          <c:spPr>
            <a:solidFill>
              <a:srgbClr val="00B0F0"/>
            </a:solidFill>
          </c:spPr>
          <c:invertIfNegative val="0"/>
          <c:cat>
            <c:numRef>
              <c:f>'grafy 1'!$F$3:$I$3</c:f>
              <c:numCache>
                <c:formatCode>General</c:formatCode>
                <c:ptCount val="1"/>
                <c:pt idx="0">
                  <c:v>2014</c:v>
                </c:pt>
              </c:numCache>
            </c:numRef>
          </c:cat>
          <c:val>
            <c:numRef>
              <c:f>'grafy 1'!$F$4:$I$4</c:f>
              <c:numCache>
                <c:formatCode>_-* #\ ##0\ _€_-;\-* #\ ##0\ _€_-;_-* "-"??\ _€_-;_-@_-</c:formatCode>
                <c:ptCount val="1"/>
                <c:pt idx="0">
                  <c:v>242.83</c:v>
                </c:pt>
              </c:numCache>
            </c:numRef>
          </c:val>
          <c:extLst xmlns:c16r2="http://schemas.microsoft.com/office/drawing/2015/06/chart">
            <c:ext xmlns:c16="http://schemas.microsoft.com/office/drawing/2014/chart" uri="{C3380CC4-5D6E-409C-BE32-E72D297353CC}">
              <c16:uniqueId val="{00000000-F979-4DF2-A94A-49EB436D7AB0}"/>
            </c:ext>
          </c:extLst>
        </c:ser>
        <c:ser>
          <c:idx val="1"/>
          <c:order val="1"/>
          <c:tx>
            <c:strRef>
              <c:f>'grafy 1'!$E$5</c:f>
              <c:strCache>
                <c:ptCount val="1"/>
                <c:pt idx="0">
                  <c:v>V3</c:v>
                </c:pt>
              </c:strCache>
            </c:strRef>
          </c:tx>
          <c:spPr>
            <a:solidFill>
              <a:srgbClr val="E7E6E6">
                <a:lumMod val="50000"/>
              </a:srgbClr>
            </a:solidFill>
          </c:spPr>
          <c:invertIfNegative val="0"/>
          <c:cat>
            <c:numRef>
              <c:f>'grafy 1'!$F$3:$I$3</c:f>
              <c:numCache>
                <c:formatCode>General</c:formatCode>
                <c:ptCount val="1"/>
                <c:pt idx="0">
                  <c:v>2014</c:v>
                </c:pt>
              </c:numCache>
            </c:numRef>
          </c:cat>
          <c:val>
            <c:numRef>
              <c:f>'grafy 1'!$F$5:$I$5</c:f>
              <c:numCache>
                <c:formatCode>_-* #\ ##0\ _€_-;\-* #\ ##0\ _€_-;_-* "-"??\ _€_-;_-@_-</c:formatCode>
                <c:ptCount val="1"/>
                <c:pt idx="0">
                  <c:v>204.20333333333335</c:v>
                </c:pt>
              </c:numCache>
            </c:numRef>
          </c:val>
          <c:extLst xmlns:c16r2="http://schemas.microsoft.com/office/drawing/2015/06/chart">
            <c:ext xmlns:c16="http://schemas.microsoft.com/office/drawing/2014/chart" uri="{C3380CC4-5D6E-409C-BE32-E72D297353CC}">
              <c16:uniqueId val="{00000001-F979-4DF2-A94A-49EB436D7AB0}"/>
            </c:ext>
          </c:extLst>
        </c:ser>
        <c:ser>
          <c:idx val="3"/>
          <c:order val="2"/>
          <c:tx>
            <c:strRef>
              <c:f>'grafy 1'!$E$6</c:f>
              <c:strCache>
                <c:ptCount val="1"/>
                <c:pt idx="0">
                  <c:v>EU 28</c:v>
                </c:pt>
              </c:strCache>
            </c:strRef>
          </c:tx>
          <c:spPr>
            <a:solidFill>
              <a:sysClr val="window" lastClr="FFFFFF">
                <a:lumMod val="85000"/>
              </a:sysClr>
            </a:solidFill>
          </c:spPr>
          <c:invertIfNegative val="0"/>
          <c:cat>
            <c:numRef>
              <c:f>'grafy 1'!$F$3:$I$3</c:f>
              <c:numCache>
                <c:formatCode>General</c:formatCode>
                <c:ptCount val="1"/>
                <c:pt idx="0">
                  <c:v>2014</c:v>
                </c:pt>
              </c:numCache>
            </c:numRef>
          </c:cat>
          <c:val>
            <c:numRef>
              <c:f>'grafy 1'!$F$6:$I$6</c:f>
              <c:numCache>
                <c:formatCode>_-* #\ ##0\ _€_-;\-* #\ ##0\ _€_-;_-* "-"??\ _€_-;_-@_-</c:formatCode>
                <c:ptCount val="1"/>
                <c:pt idx="0">
                  <c:v>126.23</c:v>
                </c:pt>
              </c:numCache>
            </c:numRef>
          </c:val>
          <c:extLst xmlns:c16r2="http://schemas.microsoft.com/office/drawing/2015/06/chart">
            <c:ext xmlns:c16="http://schemas.microsoft.com/office/drawing/2014/chart" uri="{C3380CC4-5D6E-409C-BE32-E72D297353CC}">
              <c16:uniqueId val="{00000002-F979-4DF2-A94A-49EB436D7AB0}"/>
            </c:ext>
          </c:extLst>
        </c:ser>
        <c:dLbls>
          <c:showLegendKey val="0"/>
          <c:showVal val="0"/>
          <c:showCatName val="0"/>
          <c:showSerName val="0"/>
          <c:showPercent val="0"/>
          <c:showBubbleSize val="0"/>
        </c:dLbls>
        <c:gapWidth val="150"/>
        <c:axId val="434604280"/>
        <c:axId val="434603888"/>
      </c:barChart>
      <c:catAx>
        <c:axId val="434604280"/>
        <c:scaling>
          <c:orientation val="minMax"/>
        </c:scaling>
        <c:delete val="0"/>
        <c:axPos val="b"/>
        <c:numFmt formatCode="General" sourceLinked="1"/>
        <c:majorTickMark val="out"/>
        <c:minorTickMark val="none"/>
        <c:tickLblPos val="nextTo"/>
        <c:crossAx val="434603888"/>
        <c:crosses val="autoZero"/>
        <c:auto val="1"/>
        <c:lblAlgn val="ctr"/>
        <c:lblOffset val="100"/>
        <c:noMultiLvlLbl val="0"/>
      </c:catAx>
      <c:valAx>
        <c:axId val="434603888"/>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434604280"/>
        <c:crosses val="autoZero"/>
        <c:crossBetween val="between"/>
      </c:valAx>
    </c:plotArea>
    <c:legend>
      <c:legendPos val="r"/>
      <c:layout>
        <c:manualLayout>
          <c:xMode val="edge"/>
          <c:yMode val="edge"/>
          <c:x val="8.9149236627111758E-2"/>
          <c:y val="6.6745203148308771E-2"/>
          <c:w val="0.13011955195741376"/>
          <c:h val="0.49890748838037452"/>
        </c:manualLayout>
      </c:layout>
      <c:overlay val="0"/>
    </c:legend>
    <c:plotVisOnly val="1"/>
    <c:dispBlanksAs val="gap"/>
    <c:showDLblsOverMax val="0"/>
  </c:chart>
  <c:spPr>
    <a:ln>
      <a:noFill/>
    </a:ln>
  </c:spPr>
  <c:txPr>
    <a:bodyPr/>
    <a:lstStyle/>
    <a:p>
      <a:pPr>
        <a:defRPr sz="700">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119392147169347E-2"/>
          <c:w val="0.88153623654186075"/>
          <c:h val="0.68828559470695383"/>
        </c:manualLayout>
      </c:layout>
      <c:lineChart>
        <c:grouping val="standard"/>
        <c:varyColors val="0"/>
        <c:ser>
          <c:idx val="3"/>
          <c:order val="0"/>
          <c:tx>
            <c:strRef>
              <c:f>'grafy 1'!$A$24</c:f>
              <c:strCache>
                <c:ptCount val="1"/>
                <c:pt idx="0">
                  <c:v>SK</c:v>
                </c:pt>
              </c:strCache>
            </c:strRef>
          </c:tx>
          <c:spPr>
            <a:ln w="19050">
              <a:solidFill>
                <a:srgbClr val="2C9ADC"/>
              </a:solidFill>
              <a:prstDash val="solid"/>
            </a:ln>
          </c:spPr>
          <c:marker>
            <c:symbol val="none"/>
          </c:marker>
          <c:cat>
            <c:numRef>
              <c:f>'grafy 1'!$B$23:$W$23</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'grafy 1'!$B$24:$W$24</c:f>
              <c:numCache>
                <c:formatCode>_-* #\ ##0.0\ _€_-;\-* #\ ##0.0\ _€_-;_-* "-"??\ _€_-;_-@_-</c:formatCode>
                <c:ptCount val="16"/>
                <c:pt idx="0">
                  <c:v>77.5</c:v>
                </c:pt>
                <c:pt idx="1">
                  <c:v>77.7</c:v>
                </c:pt>
                <c:pt idx="2">
                  <c:v>77.7</c:v>
                </c:pt>
                <c:pt idx="3">
                  <c:v>77.7</c:v>
                </c:pt>
                <c:pt idx="4">
                  <c:v>78</c:v>
                </c:pt>
                <c:pt idx="5">
                  <c:v>78.099999999999994</c:v>
                </c:pt>
                <c:pt idx="6">
                  <c:v>78.400000000000006</c:v>
                </c:pt>
                <c:pt idx="7">
                  <c:v>78.400000000000006</c:v>
                </c:pt>
                <c:pt idx="8">
                  <c:v>79</c:v>
                </c:pt>
                <c:pt idx="9">
                  <c:v>79.099999999999994</c:v>
                </c:pt>
                <c:pt idx="10">
                  <c:v>79.3</c:v>
                </c:pt>
                <c:pt idx="11">
                  <c:v>79.8</c:v>
                </c:pt>
                <c:pt idx="12">
                  <c:v>79.900000000000006</c:v>
                </c:pt>
                <c:pt idx="13">
                  <c:v>80.099999999999994</c:v>
                </c:pt>
                <c:pt idx="14">
                  <c:v>80.5</c:v>
                </c:pt>
                <c:pt idx="15">
                  <c:v>80.2</c:v>
                </c:pt>
              </c:numCache>
            </c:numRef>
          </c:val>
          <c:smooth val="0"/>
          <c:extLst xmlns:c16r2="http://schemas.microsoft.com/office/drawing/2015/06/chart">
            <c:ext xmlns:c16="http://schemas.microsoft.com/office/drawing/2014/chart" uri="{C3380CC4-5D6E-409C-BE32-E72D297353CC}">
              <c16:uniqueId val="{00000000-A13F-4154-A150-66BF36744A22}"/>
            </c:ext>
          </c:extLst>
        </c:ser>
        <c:ser>
          <c:idx val="5"/>
          <c:order val="1"/>
          <c:tx>
            <c:strRef>
              <c:f>'grafy 1'!$A$25</c:f>
              <c:strCache>
                <c:ptCount val="1"/>
                <c:pt idx="0">
                  <c:v>V3</c:v>
                </c:pt>
              </c:strCache>
            </c:strRef>
          </c:tx>
          <c:spPr>
            <a:ln w="19050">
              <a:solidFill>
                <a:sysClr val="windowText" lastClr="000000"/>
              </a:solidFill>
              <a:prstDash val="solid"/>
            </a:ln>
          </c:spPr>
          <c:marker>
            <c:symbol val="none"/>
          </c:marker>
          <c:cat>
            <c:numRef>
              <c:f>'grafy 1'!$B$23:$W$23</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'grafy 1'!$B$25:$W$25</c:f>
              <c:numCache>
                <c:formatCode>_-* #\ ##0.0\ _€_-;\-* #\ ##0.0\ _€_-;_-* "-"??\ _€_-;_-@_-</c:formatCode>
                <c:ptCount val="16"/>
                <c:pt idx="0">
                  <c:v>77.566666666666663</c:v>
                </c:pt>
                <c:pt idx="1">
                  <c:v>77.86666666666666</c:v>
                </c:pt>
                <c:pt idx="2">
                  <c:v>78.066666666666663</c:v>
                </c:pt>
                <c:pt idx="3">
                  <c:v>78.033333333333346</c:v>
                </c:pt>
                <c:pt idx="4">
                  <c:v>78.5</c:v>
                </c:pt>
                <c:pt idx="5">
                  <c:v>78.566666666666663</c:v>
                </c:pt>
                <c:pt idx="6">
                  <c:v>79.133333333333326</c:v>
                </c:pt>
                <c:pt idx="7">
                  <c:v>79.266666666666666</c:v>
                </c:pt>
                <c:pt idx="8">
                  <c:v>79.600000000000009</c:v>
                </c:pt>
                <c:pt idx="9">
                  <c:v>79.666666666666671</c:v>
                </c:pt>
                <c:pt idx="10">
                  <c:v>80.066666666666663</c:v>
                </c:pt>
                <c:pt idx="11">
                  <c:v>80.3</c:v>
                </c:pt>
                <c:pt idx="12">
                  <c:v>80.333333333333329</c:v>
                </c:pt>
                <c:pt idx="13">
                  <c:v>80.533333333333317</c:v>
                </c:pt>
                <c:pt idx="14">
                  <c:v>81.033333333333346</c:v>
                </c:pt>
                <c:pt idx="15">
                  <c:v>80.733333333333334</c:v>
                </c:pt>
              </c:numCache>
            </c:numRef>
          </c:val>
          <c:smooth val="0"/>
          <c:extLst xmlns:c16r2="http://schemas.microsoft.com/office/drawing/2015/06/chart">
            <c:ext xmlns:c16="http://schemas.microsoft.com/office/drawing/2014/chart" uri="{C3380CC4-5D6E-409C-BE32-E72D297353CC}">
              <c16:uniqueId val="{00000001-A13F-4154-A150-66BF36744A22}"/>
            </c:ext>
          </c:extLst>
        </c:ser>
        <c:ser>
          <c:idx val="0"/>
          <c:order val="2"/>
          <c:tx>
            <c:strRef>
              <c:f>'grafy 1'!$A$26</c:f>
              <c:strCache>
                <c:ptCount val="1"/>
                <c:pt idx="0">
                  <c:v>EU 28</c:v>
                </c:pt>
              </c:strCache>
            </c:strRef>
          </c:tx>
          <c:spPr>
            <a:ln w="19050">
              <a:solidFill>
                <a:srgbClr val="0070C0"/>
              </a:solidFill>
              <a:prstDash val="dash"/>
            </a:ln>
          </c:spPr>
          <c:marker>
            <c:symbol val="none"/>
          </c:marker>
          <c:cat>
            <c:numRef>
              <c:f>'grafy 1'!$B$23:$W$23</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'grafy 1'!$B$26:$W$26</c:f>
              <c:numCache>
                <c:formatCode>_-* #\ ##0.0\ _€_-;\-* #\ ##0.0\ _€_-;_-* "-"??\ _€_-;_-@_-</c:formatCode>
                <c:ptCount val="16"/>
                <c:pt idx="0">
                  <c:v>80.068181818181827</c:v>
                </c:pt>
                <c:pt idx="1">
                  <c:v>80.318181818181841</c:v>
                </c:pt>
                <c:pt idx="2">
                  <c:v>80.243478260869566</c:v>
                </c:pt>
                <c:pt idx="3">
                  <c:v>80.226086956521726</c:v>
                </c:pt>
                <c:pt idx="4">
                  <c:v>80.817391304347836</c:v>
                </c:pt>
                <c:pt idx="5">
                  <c:v>80.882608695652166</c:v>
                </c:pt>
                <c:pt idx="6">
                  <c:v>81.278260869565216</c:v>
                </c:pt>
                <c:pt idx="7">
                  <c:v>81.421739130434787</c:v>
                </c:pt>
                <c:pt idx="8">
                  <c:v>81.75217391304345</c:v>
                </c:pt>
                <c:pt idx="9">
                  <c:v>82.004347826086956</c:v>
                </c:pt>
                <c:pt idx="10">
                  <c:v>82.282608695652158</c:v>
                </c:pt>
                <c:pt idx="11">
                  <c:v>82.578260869565199</c:v>
                </c:pt>
                <c:pt idx="12">
                  <c:v>82.556521739130417</c:v>
                </c:pt>
                <c:pt idx="13">
                  <c:v>82.77391304347826</c:v>
                </c:pt>
                <c:pt idx="14">
                  <c:v>83.191304347826105</c:v>
                </c:pt>
                <c:pt idx="15">
                  <c:v>82.930434782608685</c:v>
                </c:pt>
              </c:numCache>
            </c:numRef>
          </c:val>
          <c:smooth val="0"/>
          <c:extLst xmlns:c16r2="http://schemas.microsoft.com/office/drawing/2015/06/chart">
            <c:ext xmlns:c16="http://schemas.microsoft.com/office/drawing/2014/chart" uri="{C3380CC4-5D6E-409C-BE32-E72D297353CC}">
              <c16:uniqueId val="{00000002-A13F-4154-A150-66BF36744A22}"/>
            </c:ext>
          </c:extLst>
        </c:ser>
        <c:ser>
          <c:idx val="1"/>
          <c:order val="3"/>
          <c:tx>
            <c:strRef>
              <c:f>'grafy 1'!$A$27</c:f>
              <c:strCache>
                <c:ptCount val="1"/>
                <c:pt idx="0">
                  <c:v>EU15</c:v>
                </c:pt>
              </c:strCache>
            </c:strRef>
          </c:tx>
          <c:spPr>
            <a:ln w="19050">
              <a:solidFill>
                <a:srgbClr val="D3BEDE"/>
              </a:solidFill>
            </a:ln>
          </c:spPr>
          <c:marker>
            <c:symbol val="none"/>
          </c:marker>
          <c:cat>
            <c:numRef>
              <c:f>'grafy 1'!$B$23:$W$23</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'grafy 1'!$B$27:$W$27</c:f>
              <c:numCache>
                <c:formatCode>_-* #\ ##0.0\ _€_-;\-* #\ ##0.0\ _€_-;_-* "-"??\ _€_-;_-@_-</c:formatCode>
                <c:ptCount val="16"/>
                <c:pt idx="0">
                  <c:v>81.173333333333332</c:v>
                </c:pt>
                <c:pt idx="1">
                  <c:v>81.426666666666677</c:v>
                </c:pt>
                <c:pt idx="2">
                  <c:v>81.52</c:v>
                </c:pt>
                <c:pt idx="3">
                  <c:v>81.5</c:v>
                </c:pt>
                <c:pt idx="4">
                  <c:v>82.186666666666667</c:v>
                </c:pt>
                <c:pt idx="5">
                  <c:v>82.24666666666667</c:v>
                </c:pt>
                <c:pt idx="6">
                  <c:v>82.653333333333336</c:v>
                </c:pt>
                <c:pt idx="7">
                  <c:v>82.813333333333333</c:v>
                </c:pt>
                <c:pt idx="8">
                  <c:v>83.02</c:v>
                </c:pt>
                <c:pt idx="9">
                  <c:v>83.24</c:v>
                </c:pt>
                <c:pt idx="10">
                  <c:v>83.47999999999999</c:v>
                </c:pt>
                <c:pt idx="11">
                  <c:v>83.726666666666659</c:v>
                </c:pt>
                <c:pt idx="12">
                  <c:v>83.639999999999972</c:v>
                </c:pt>
                <c:pt idx="13">
                  <c:v>83.886666666666684</c:v>
                </c:pt>
                <c:pt idx="14">
                  <c:v>84.286666666666676</c:v>
                </c:pt>
                <c:pt idx="15">
                  <c:v>83.98</c:v>
                </c:pt>
              </c:numCache>
            </c:numRef>
          </c:val>
          <c:smooth val="0"/>
          <c:extLst xmlns:c16r2="http://schemas.microsoft.com/office/drawing/2015/06/chart">
            <c:ext xmlns:c16="http://schemas.microsoft.com/office/drawing/2014/chart" uri="{C3380CC4-5D6E-409C-BE32-E72D297353CC}">
              <c16:uniqueId val="{00000003-A13F-4154-A150-66BF36744A22}"/>
            </c:ext>
          </c:extLst>
        </c:ser>
        <c:ser>
          <c:idx val="2"/>
          <c:order val="4"/>
          <c:tx>
            <c:strRef>
              <c:f>'grafy 1'!$A$28</c:f>
              <c:strCache>
                <c:ptCount val="1"/>
                <c:pt idx="0">
                  <c:v>OECD</c:v>
                </c:pt>
              </c:strCache>
            </c:strRef>
          </c:tx>
          <c:spPr>
            <a:ln w="19050">
              <a:solidFill>
                <a:sysClr val="window" lastClr="FFFFFF">
                  <a:lumMod val="75000"/>
                </a:sysClr>
              </a:solidFill>
            </a:ln>
          </c:spPr>
          <c:marker>
            <c:symbol val="none"/>
          </c:marker>
          <c:cat>
            <c:numRef>
              <c:f>'grafy 1'!$B$23:$W$23</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'grafy 1'!$B$28:$W$28</c:f>
              <c:numCache>
                <c:formatCode>_-* #\ ##0.0\ _€_-;\-* #\ ##0.0\ _€_-;_-* "-"??\ _€_-;_-@_-</c:formatCode>
                <c:ptCount val="16"/>
                <c:pt idx="0">
                  <c:v>78.358139534883748</c:v>
                </c:pt>
                <c:pt idx="1">
                  <c:v>78.602325581395334</c:v>
                </c:pt>
                <c:pt idx="2">
                  <c:v>78.640909090909091</c:v>
                </c:pt>
                <c:pt idx="3">
                  <c:v>78.7022727272727</c:v>
                </c:pt>
                <c:pt idx="4">
                  <c:v>79.147727272727295</c:v>
                </c:pt>
                <c:pt idx="5">
                  <c:v>79.259090909090915</c:v>
                </c:pt>
                <c:pt idx="6">
                  <c:v>79.581818181818193</c:v>
                </c:pt>
                <c:pt idx="7">
                  <c:v>79.763636363636394</c:v>
                </c:pt>
                <c:pt idx="8">
                  <c:v>80.063636363636348</c:v>
                </c:pt>
                <c:pt idx="9">
                  <c:v>80.322727272727263</c:v>
                </c:pt>
                <c:pt idx="10">
                  <c:v>80.570454545454538</c:v>
                </c:pt>
                <c:pt idx="11">
                  <c:v>80.843181818181833</c:v>
                </c:pt>
                <c:pt idx="12">
                  <c:v>80.920454545454518</c:v>
                </c:pt>
                <c:pt idx="13">
                  <c:v>81.225000000000009</c:v>
                </c:pt>
                <c:pt idx="14">
                  <c:v>81.50232558139534</c:v>
                </c:pt>
                <c:pt idx="15">
                  <c:v>81.379069767441848</c:v>
                </c:pt>
              </c:numCache>
            </c:numRef>
          </c:val>
          <c:smooth val="0"/>
          <c:extLst xmlns:c16r2="http://schemas.microsoft.com/office/drawing/2015/06/chart">
            <c:ext xmlns:c16="http://schemas.microsoft.com/office/drawing/2014/chart" uri="{C3380CC4-5D6E-409C-BE32-E72D297353CC}">
              <c16:uniqueId val="{00000004-A13F-4154-A150-66BF36744A22}"/>
            </c:ext>
          </c:extLst>
        </c:ser>
        <c:dLbls>
          <c:showLegendKey val="0"/>
          <c:showVal val="0"/>
          <c:showCatName val="0"/>
          <c:showSerName val="0"/>
          <c:showPercent val="0"/>
          <c:showBubbleSize val="0"/>
        </c:dLbls>
        <c:smooth val="0"/>
        <c:axId val="434602712"/>
        <c:axId val="434606240"/>
      </c:lineChart>
      <c:catAx>
        <c:axId val="434602712"/>
        <c:scaling>
          <c:orientation val="minMax"/>
        </c:scaling>
        <c:delete val="0"/>
        <c:axPos val="b"/>
        <c:numFmt formatCode="General" sourceLinked="0"/>
        <c:majorTickMark val="out"/>
        <c:minorTickMark val="none"/>
        <c:tickLblPos val="low"/>
        <c:txPr>
          <a:bodyPr rot="-5400000" vert="horz"/>
          <a:lstStyle/>
          <a:p>
            <a:pPr>
              <a:defRPr/>
            </a:pPr>
            <a:endParaRPr lang="sk-SK"/>
          </a:p>
        </c:txPr>
        <c:crossAx val="434606240"/>
        <c:crosses val="autoZero"/>
        <c:auto val="1"/>
        <c:lblAlgn val="ctr"/>
        <c:lblOffset val="100"/>
        <c:noMultiLvlLbl val="0"/>
      </c:catAx>
      <c:valAx>
        <c:axId val="434606240"/>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sk-SK"/>
          </a:p>
        </c:txPr>
        <c:crossAx val="434602712"/>
        <c:crosses val="autoZero"/>
        <c:crossBetween val="between"/>
      </c:valAx>
    </c:plotArea>
    <c:legend>
      <c:legendPos val="l"/>
      <c:layout>
        <c:manualLayout>
          <c:xMode val="edge"/>
          <c:yMode val="edge"/>
          <c:x val="9.3107557983823447E-2"/>
          <c:y val="6.7319591977768279E-3"/>
          <c:w val="0.52630916666666672"/>
          <c:h val="0.26570277777777779"/>
        </c:manualLayout>
      </c:layout>
      <c:overlay val="1"/>
    </c:legend>
    <c:plotVisOnly val="1"/>
    <c:dispBlanksAs val="gap"/>
    <c:showDLblsOverMax val="0"/>
  </c:chart>
  <c:spPr>
    <a:ln>
      <a:noFill/>
    </a:ln>
  </c:spPr>
  <c:txPr>
    <a:bodyPr/>
    <a:lstStyle/>
    <a:p>
      <a:pPr>
        <a:defRPr sz="7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802506496148E-2"/>
          <c:y val="0.12670274705741463"/>
          <c:w val="0.90123066841180066"/>
          <c:h val="0.63206217799110487"/>
        </c:manualLayout>
      </c:layout>
      <c:lineChart>
        <c:grouping val="standard"/>
        <c:varyColors val="0"/>
        <c:ser>
          <c:idx val="3"/>
          <c:order val="0"/>
          <c:tx>
            <c:strRef>
              <c:f>'grafy 1'!$A$52</c:f>
              <c:strCache>
                <c:ptCount val="1"/>
                <c:pt idx="0">
                  <c:v>SK</c:v>
                </c:pt>
              </c:strCache>
            </c:strRef>
          </c:tx>
          <c:spPr>
            <a:ln w="19050">
              <a:solidFill>
                <a:srgbClr val="2C9ADC"/>
              </a:solidFill>
              <a:prstDash val="solid"/>
            </a:ln>
          </c:spPr>
          <c:marker>
            <c:symbol val="none"/>
          </c:marker>
          <c:cat>
            <c:numRef>
              <c:f>'grafy 1'!$B$51:$Q$51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'grafy 1'!$B$52:$Q$52</c:f>
              <c:numCache>
                <c:formatCode>_-* #\ ##0\ _€_-;\-* #\ ##0\ _€_-;_-* "-"??\ _€_-;_-@_-</c:formatCode>
                <c:ptCount val="16"/>
                <c:pt idx="0">
                  <c:v>238.28899999999999</c:v>
                </c:pt>
                <c:pt idx="1">
                  <c:v>261.72000000000003</c:v>
                </c:pt>
                <c:pt idx="2">
                  <c:v>316.16699999999997</c:v>
                </c:pt>
                <c:pt idx="3">
                  <c:v>352.21699999999998</c:v>
                </c:pt>
                <c:pt idx="4">
                  <c:v>411.43200000000002</c:v>
                </c:pt>
                <c:pt idx="5">
                  <c:v>452.72399999999999</c:v>
                </c:pt>
                <c:pt idx="6">
                  <c:v>506.03899999999999</c:v>
                </c:pt>
                <c:pt idx="7">
                  <c:v>571.93399999999997</c:v>
                </c:pt>
                <c:pt idx="8">
                  <c:v>636.553</c:v>
                </c:pt>
                <c:pt idx="9">
                  <c:v>703.71400000000006</c:v>
                </c:pt>
                <c:pt idx="10">
                  <c:v>743.66700000000003</c:v>
                </c:pt>
                <c:pt idx="11">
                  <c:v>727.86300000000006</c:v>
                </c:pt>
                <c:pt idx="12">
                  <c:v>726.01800000000003</c:v>
                </c:pt>
                <c:pt idx="13">
                  <c:v>750.64599999999996</c:v>
                </c:pt>
                <c:pt idx="14">
                  <c:v>694.98299999999995</c:v>
                </c:pt>
                <c:pt idx="15">
                  <c:v>727.48699999999997</c:v>
                </c:pt>
              </c:numCache>
            </c:numRef>
          </c:val>
          <c:smooth val="0"/>
          <c:extLst xmlns:c16r2="http://schemas.microsoft.com/office/drawing/2015/06/chart">
            <c:ext xmlns:c16="http://schemas.microsoft.com/office/drawing/2014/chart" uri="{C3380CC4-5D6E-409C-BE32-E72D297353CC}">
              <c16:uniqueId val="{00000000-DA5C-403C-8EC0-D48E07A51D65}"/>
            </c:ext>
          </c:extLst>
        </c:ser>
        <c:ser>
          <c:idx val="5"/>
          <c:order val="1"/>
          <c:tx>
            <c:strRef>
              <c:f>'grafy 1'!$A$53</c:f>
              <c:strCache>
                <c:ptCount val="1"/>
                <c:pt idx="0">
                  <c:v>V3</c:v>
                </c:pt>
              </c:strCache>
            </c:strRef>
          </c:tx>
          <c:spPr>
            <a:ln w="19050">
              <a:solidFill>
                <a:sysClr val="windowText" lastClr="000000"/>
              </a:solidFill>
              <a:prstDash val="solid"/>
            </a:ln>
          </c:spPr>
          <c:marker>
            <c:symbol val="none"/>
          </c:marker>
          <c:cat>
            <c:numRef>
              <c:f>'grafy 1'!$B$51:$Q$51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'grafy 1'!$B$53:$Q$53</c:f>
              <c:numCache>
                <c:formatCode>_-* #\ ##0\ _€_-;\-* #\ ##0\ _€_-;_-* "-"??\ _€_-;_-@_-</c:formatCode>
                <c:ptCount val="16"/>
                <c:pt idx="0">
                  <c:v>265.95399999999995</c:v>
                </c:pt>
                <c:pt idx="1">
                  <c:v>301.93299999999999</c:v>
                </c:pt>
                <c:pt idx="2">
                  <c:v>296.50033333333334</c:v>
                </c:pt>
                <c:pt idx="3">
                  <c:v>335.97300000000001</c:v>
                </c:pt>
                <c:pt idx="4">
                  <c:v>357.41366666666664</c:v>
                </c:pt>
                <c:pt idx="5">
                  <c:v>385.27199999999999</c:v>
                </c:pt>
                <c:pt idx="6">
                  <c:v>398.35633333333334</c:v>
                </c:pt>
                <c:pt idx="7">
                  <c:v>395.00499999999994</c:v>
                </c:pt>
                <c:pt idx="8">
                  <c:v>427.40333333333336</c:v>
                </c:pt>
                <c:pt idx="9">
                  <c:v>467.34866666666659</c:v>
                </c:pt>
                <c:pt idx="10">
                  <c:v>464.54966666666661</c:v>
                </c:pt>
                <c:pt idx="11">
                  <c:v>499.48</c:v>
                </c:pt>
                <c:pt idx="12">
                  <c:v>491.63866666666672</c:v>
                </c:pt>
                <c:pt idx="13">
                  <c:v>482.80133333333339</c:v>
                </c:pt>
                <c:pt idx="14">
                  <c:v>491.28566666666666</c:v>
                </c:pt>
                <c:pt idx="15">
                  <c:v>500.21233333333339</c:v>
                </c:pt>
              </c:numCache>
            </c:numRef>
          </c:val>
          <c:smooth val="0"/>
          <c:extLst xmlns:c16r2="http://schemas.microsoft.com/office/drawing/2015/06/chart">
            <c:ext xmlns:c16="http://schemas.microsoft.com/office/drawing/2014/chart" uri="{C3380CC4-5D6E-409C-BE32-E72D297353CC}">
              <c16:uniqueId val="{00000001-DA5C-403C-8EC0-D48E07A51D65}"/>
            </c:ext>
          </c:extLst>
        </c:ser>
        <c:ser>
          <c:idx val="0"/>
          <c:order val="2"/>
          <c:tx>
            <c:strRef>
              <c:f>'grafy 1'!$A$54</c:f>
              <c:strCache>
                <c:ptCount val="1"/>
                <c:pt idx="0">
                  <c:v>EU 28</c:v>
                </c:pt>
              </c:strCache>
            </c:strRef>
          </c:tx>
          <c:spPr>
            <a:ln w="19050">
              <a:solidFill>
                <a:srgbClr val="0070C0"/>
              </a:solidFill>
              <a:prstDash val="dash"/>
            </a:ln>
          </c:spPr>
          <c:marker>
            <c:symbol val="none"/>
          </c:marker>
          <c:dPt>
            <c:idx val="2"/>
            <c:bubble3D val="0"/>
            <c:extLst xmlns:c16r2="http://schemas.microsoft.com/office/drawing/2015/06/chart">
              <c:ext xmlns:c16="http://schemas.microsoft.com/office/drawing/2014/chart" uri="{C3380CC4-5D6E-409C-BE32-E72D297353CC}">
                <c16:uniqueId val="{00000002-DA5C-403C-8EC0-D48E07A51D65}"/>
              </c:ext>
            </c:extLst>
          </c:dPt>
          <c:cat>
            <c:numRef>
              <c:f>'grafy 1'!$B$51:$Q$51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'grafy 1'!$B$54:$Q$54</c:f>
              <c:numCache>
                <c:formatCode>_-* #\ ##0\ _€_-;\-* #\ ##0\ _€_-;_-* "-"??\ _€_-;_-@_-</c:formatCode>
                <c:ptCount val="16"/>
                <c:pt idx="0">
                  <c:v>367.9122666666666</c:v>
                </c:pt>
                <c:pt idx="1">
                  <c:v>400.21686666666665</c:v>
                </c:pt>
                <c:pt idx="2">
                  <c:v>420.19929411764707</c:v>
                </c:pt>
                <c:pt idx="3">
                  <c:v>448.08227777777779</c:v>
                </c:pt>
                <c:pt idx="4">
                  <c:v>459.92268421052637</c:v>
                </c:pt>
                <c:pt idx="5">
                  <c:v>481.98215789473693</c:v>
                </c:pt>
                <c:pt idx="6">
                  <c:v>511.1363157894736</c:v>
                </c:pt>
                <c:pt idx="7">
                  <c:v>540.39</c:v>
                </c:pt>
                <c:pt idx="8">
                  <c:v>567.49978947368413</c:v>
                </c:pt>
                <c:pt idx="9">
                  <c:v>603.59720000000016</c:v>
                </c:pt>
                <c:pt idx="10">
                  <c:v>610.87569999999982</c:v>
                </c:pt>
                <c:pt idx="11">
                  <c:v>613.39104999999995</c:v>
                </c:pt>
                <c:pt idx="12">
                  <c:v>611.17495000000008</c:v>
                </c:pt>
                <c:pt idx="13">
                  <c:v>625.29559090909095</c:v>
                </c:pt>
                <c:pt idx="14">
                  <c:v>631.33459090909116</c:v>
                </c:pt>
                <c:pt idx="15">
                  <c:v>651.77590909090895</c:v>
                </c:pt>
              </c:numCache>
            </c:numRef>
          </c:val>
          <c:smooth val="0"/>
          <c:extLst xmlns:c16r2="http://schemas.microsoft.com/office/drawing/2015/06/chart">
            <c:ext xmlns:c16="http://schemas.microsoft.com/office/drawing/2014/chart" uri="{C3380CC4-5D6E-409C-BE32-E72D297353CC}">
              <c16:uniqueId val="{00000003-DA5C-403C-8EC0-D48E07A51D65}"/>
            </c:ext>
          </c:extLst>
        </c:ser>
        <c:ser>
          <c:idx val="1"/>
          <c:order val="3"/>
          <c:tx>
            <c:strRef>
              <c:f>'grafy 1'!$A$55</c:f>
              <c:strCache>
                <c:ptCount val="1"/>
                <c:pt idx="0">
                  <c:v>EU 15</c:v>
                </c:pt>
              </c:strCache>
            </c:strRef>
          </c:tx>
          <c:spPr>
            <a:ln w="19050">
              <a:solidFill>
                <a:srgbClr val="D3BEDE"/>
              </a:solidFill>
            </a:ln>
          </c:spPr>
          <c:marker>
            <c:symbol val="none"/>
          </c:marker>
          <c:cat>
            <c:numRef>
              <c:f>'grafy 1'!$B$51:$Q$51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'grafy 1'!$B$55:$Q$55</c:f>
              <c:numCache>
                <c:formatCode>_-* #\ ##0\ _€_-;\-* #\ ##0\ _€_-;_-* "-"??\ _€_-;_-@_-</c:formatCode>
                <c:ptCount val="16"/>
                <c:pt idx="0">
                  <c:v>420.31318181818182</c:v>
                </c:pt>
                <c:pt idx="1">
                  <c:v>454.41709090909097</c:v>
                </c:pt>
                <c:pt idx="2">
                  <c:v>487.75909090909096</c:v>
                </c:pt>
                <c:pt idx="3">
                  <c:v>510.00091666666668</c:v>
                </c:pt>
                <c:pt idx="4">
                  <c:v>532.39358333333337</c:v>
                </c:pt>
                <c:pt idx="5">
                  <c:v>552.86991666666665</c:v>
                </c:pt>
                <c:pt idx="6">
                  <c:v>586.52316666666673</c:v>
                </c:pt>
                <c:pt idx="7">
                  <c:v>617.60233333333326</c:v>
                </c:pt>
                <c:pt idx="8">
                  <c:v>649.6011666666667</c:v>
                </c:pt>
                <c:pt idx="9">
                  <c:v>678.24492307692321</c:v>
                </c:pt>
                <c:pt idx="10">
                  <c:v>683.51823076923074</c:v>
                </c:pt>
                <c:pt idx="11">
                  <c:v>678.1475384615386</c:v>
                </c:pt>
                <c:pt idx="12">
                  <c:v>672.3246153846153</c:v>
                </c:pt>
                <c:pt idx="13">
                  <c:v>680.30573333333314</c:v>
                </c:pt>
                <c:pt idx="14">
                  <c:v>689.92100000000016</c:v>
                </c:pt>
                <c:pt idx="15">
                  <c:v>711.42840000000001</c:v>
                </c:pt>
              </c:numCache>
            </c:numRef>
          </c:val>
          <c:smooth val="0"/>
          <c:extLst xmlns:c16r2="http://schemas.microsoft.com/office/drawing/2015/06/chart">
            <c:ext xmlns:c16="http://schemas.microsoft.com/office/drawing/2014/chart" uri="{C3380CC4-5D6E-409C-BE32-E72D297353CC}">
              <c16:uniqueId val="{00000004-DA5C-403C-8EC0-D48E07A51D65}"/>
            </c:ext>
          </c:extLst>
        </c:ser>
        <c:ser>
          <c:idx val="2"/>
          <c:order val="4"/>
          <c:tx>
            <c:strRef>
              <c:f>'grafy 1'!$A$56</c:f>
              <c:strCache>
                <c:ptCount val="1"/>
                <c:pt idx="0">
                  <c:v>OECD</c:v>
                </c:pt>
              </c:strCache>
            </c:strRef>
          </c:tx>
          <c:spPr>
            <a:ln w="19050">
              <a:solidFill>
                <a:sysClr val="window" lastClr="FFFFFF">
                  <a:lumMod val="75000"/>
                </a:sysClr>
              </a:solidFill>
            </a:ln>
          </c:spPr>
          <c:marker>
            <c:symbol val="none"/>
          </c:marker>
          <c:cat>
            <c:numRef>
              <c:f>'grafy 1'!$B$51:$Q$51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'grafy 1'!$B$56:$Q$56</c:f>
              <c:numCache>
                <c:formatCode>_-* #\ ##0\ _€_-;\-* #\ ##0\ _€_-;_-* "-"??\ _€_-;_-@_-</c:formatCode>
                <c:ptCount val="16"/>
                <c:pt idx="0">
                  <c:v>362.27584615384603</c:v>
                </c:pt>
                <c:pt idx="1">
                  <c:v>402.82016000000004</c:v>
                </c:pt>
                <c:pt idx="2">
                  <c:v>425.92785185185181</c:v>
                </c:pt>
                <c:pt idx="3">
                  <c:v>458.4697142857143</c:v>
                </c:pt>
                <c:pt idx="4">
                  <c:v>467.48659999999995</c:v>
                </c:pt>
                <c:pt idx="5">
                  <c:v>489.12549999999999</c:v>
                </c:pt>
                <c:pt idx="6">
                  <c:v>518.81180000000006</c:v>
                </c:pt>
                <c:pt idx="7">
                  <c:v>544.07580000000007</c:v>
                </c:pt>
                <c:pt idx="8">
                  <c:v>577.93037931034485</c:v>
                </c:pt>
                <c:pt idx="9">
                  <c:v>612.19213333333346</c:v>
                </c:pt>
                <c:pt idx="10">
                  <c:v>631.27076666666653</c:v>
                </c:pt>
                <c:pt idx="11">
                  <c:v>639.24383333333344</c:v>
                </c:pt>
                <c:pt idx="12">
                  <c:v>641.92233333333331</c:v>
                </c:pt>
                <c:pt idx="13">
                  <c:v>655.92200000000003</c:v>
                </c:pt>
                <c:pt idx="14">
                  <c:v>675.66183870967734</c:v>
                </c:pt>
                <c:pt idx="15">
                  <c:v>681.76903571428568</c:v>
                </c:pt>
              </c:numCache>
            </c:numRef>
          </c:val>
          <c:smooth val="0"/>
          <c:extLst xmlns:c16r2="http://schemas.microsoft.com/office/drawing/2015/06/chart">
            <c:ext xmlns:c16="http://schemas.microsoft.com/office/drawing/2014/chart" uri="{C3380CC4-5D6E-409C-BE32-E72D297353CC}">
              <c16:uniqueId val="{00000005-DA5C-403C-8EC0-D48E07A51D65}"/>
            </c:ext>
          </c:extLst>
        </c:ser>
        <c:dLbls>
          <c:showLegendKey val="0"/>
          <c:showVal val="0"/>
          <c:showCatName val="0"/>
          <c:showSerName val="0"/>
          <c:showPercent val="0"/>
          <c:showBubbleSize val="0"/>
        </c:dLbls>
        <c:smooth val="0"/>
        <c:axId val="434607024"/>
        <c:axId val="434607416"/>
      </c:lineChart>
      <c:catAx>
        <c:axId val="434607024"/>
        <c:scaling>
          <c:orientation val="minMax"/>
        </c:scaling>
        <c:delete val="0"/>
        <c:axPos val="b"/>
        <c:numFmt formatCode="General" sourceLinked="0"/>
        <c:majorTickMark val="out"/>
        <c:minorTickMark val="none"/>
        <c:tickLblPos val="low"/>
        <c:txPr>
          <a:bodyPr rot="-5400000" vert="horz"/>
          <a:lstStyle/>
          <a:p>
            <a:pPr>
              <a:defRPr/>
            </a:pPr>
            <a:endParaRPr lang="sk-SK"/>
          </a:p>
        </c:txPr>
        <c:crossAx val="434607416"/>
        <c:crosses val="autoZero"/>
        <c:auto val="1"/>
        <c:lblAlgn val="ctr"/>
        <c:lblOffset val="100"/>
        <c:noMultiLvlLbl val="0"/>
      </c:catAx>
      <c:valAx>
        <c:axId val="434607416"/>
        <c:scaling>
          <c:orientation val="minMax"/>
          <c:min val="200"/>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sk-SK"/>
          </a:p>
        </c:txPr>
        <c:crossAx val="434607024"/>
        <c:crosses val="autoZero"/>
        <c:crossBetween val="between"/>
      </c:valAx>
    </c:plotArea>
    <c:legend>
      <c:legendPos val="l"/>
      <c:layout>
        <c:manualLayout>
          <c:xMode val="edge"/>
          <c:yMode val="edge"/>
          <c:x val="7.638621788909436E-2"/>
          <c:y val="3.5675121822335384E-2"/>
          <c:w val="0.52630916666666672"/>
          <c:h val="0.26570277777777779"/>
        </c:manualLayout>
      </c:layout>
      <c:overlay val="1"/>
    </c:legend>
    <c:plotVisOnly val="1"/>
    <c:dispBlanksAs val="gap"/>
    <c:showDLblsOverMax val="0"/>
  </c:chart>
  <c:spPr>
    <a:ln>
      <a:noFill/>
    </a:ln>
  </c:spPr>
  <c:txPr>
    <a:bodyPr/>
    <a:lstStyle/>
    <a:p>
      <a:pPr>
        <a:defRPr sz="7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65507436570428E-2"/>
          <c:y val="6.0618985126859155E-2"/>
          <c:w val="0.93616132135261021"/>
          <c:h val="0.86336284722222201"/>
        </c:manualLayout>
      </c:layout>
      <c:barChart>
        <c:barDir val="col"/>
        <c:grouping val="clustered"/>
        <c:varyColors val="0"/>
        <c:ser>
          <c:idx val="2"/>
          <c:order val="0"/>
          <c:tx>
            <c:strRef>
              <c:f>vysledok!$F$23</c:f>
              <c:strCache>
                <c:ptCount val="1"/>
                <c:pt idx="0">
                  <c:v>OECD</c:v>
                </c:pt>
              </c:strCache>
            </c:strRef>
          </c:tx>
          <c:spPr>
            <a:solidFill>
              <a:sysClr val="window" lastClr="FFFFFF">
                <a:lumMod val="50000"/>
              </a:sysClr>
            </a:solidFill>
          </c:spPr>
          <c:invertIfNegative val="0"/>
          <c:cat>
            <c:strRef>
              <c:f>vysledok!$E$24:$E$32</c:f>
              <c:strCache>
                <c:ptCount val="9"/>
                <c:pt idx="0">
                  <c:v>A Tráviaci trakt</c:v>
                </c:pt>
                <c:pt idx="1">
                  <c:v>B Krv a krvotvor.org.</c:v>
                </c:pt>
                <c:pt idx="2">
                  <c:v>C Kardiovask. sys.</c:v>
                </c:pt>
                <c:pt idx="3">
                  <c:v>G Urogen.t. a pohl. horm.</c:v>
                </c:pt>
                <c:pt idx="4">
                  <c:v>H Hormóny okrem pohl.</c:v>
                </c:pt>
                <c:pt idx="5">
                  <c:v>J Antiinfektíva</c:v>
                </c:pt>
                <c:pt idx="6">
                  <c:v>M Muskuloskel. sys.</c:v>
                </c:pt>
                <c:pt idx="7">
                  <c:v>N Nervový sys.</c:v>
                </c:pt>
                <c:pt idx="8">
                  <c:v>R Respiračný sys.</c:v>
                </c:pt>
              </c:strCache>
            </c:strRef>
          </c:cat>
          <c:val>
            <c:numRef>
              <c:f>vysledok!$F$24:$F$32</c:f>
              <c:numCache>
                <c:formatCode>General</c:formatCode>
                <c:ptCount val="9"/>
                <c:pt idx="0">
                  <c:v>0.79153702551337901</c:v>
                </c:pt>
                <c:pt idx="1">
                  <c:v>1.311235170969993</c:v>
                </c:pt>
                <c:pt idx="2">
                  <c:v>0.85829189821585261</c:v>
                </c:pt>
                <c:pt idx="3">
                  <c:v>1.3994910941475829</c:v>
                </c:pt>
                <c:pt idx="4">
                  <c:v>1.2884615384615385</c:v>
                </c:pt>
                <c:pt idx="5">
                  <c:v>0.75254237288135595</c:v>
                </c:pt>
                <c:pt idx="6">
                  <c:v>0.56303724928366761</c:v>
                </c:pt>
                <c:pt idx="7">
                  <c:v>0.81270182992465012</c:v>
                </c:pt>
                <c:pt idx="8">
                  <c:v>0.67801857585139313</c:v>
                </c:pt>
              </c:numCache>
            </c:numRef>
          </c:val>
          <c:extLst xmlns:c16r2="http://schemas.microsoft.com/office/drawing/2015/06/chart">
            <c:ext xmlns:c16="http://schemas.microsoft.com/office/drawing/2014/chart" uri="{C3380CC4-5D6E-409C-BE32-E72D297353CC}">
              <c16:uniqueId val="{00000000-35B7-45D2-B710-1E551ADE1566}"/>
            </c:ext>
          </c:extLst>
        </c:ser>
        <c:ser>
          <c:idx val="1"/>
          <c:order val="1"/>
          <c:tx>
            <c:strRef>
              <c:f>vysledok!$G$23</c:f>
              <c:strCache>
                <c:ptCount val="1"/>
                <c:pt idx="0">
                  <c:v>SÚKL - NCZI</c:v>
                </c:pt>
              </c:strCache>
            </c:strRef>
          </c:tx>
          <c:spPr>
            <a:solidFill>
              <a:sysClr val="window" lastClr="FFFFFF">
                <a:lumMod val="75000"/>
              </a:sysClr>
            </a:solidFill>
          </c:spPr>
          <c:invertIfNegative val="0"/>
          <c:cat>
            <c:strRef>
              <c:f>vysledok!$E$24:$E$32</c:f>
              <c:strCache>
                <c:ptCount val="9"/>
                <c:pt idx="0">
                  <c:v>A Tráviaci trakt</c:v>
                </c:pt>
                <c:pt idx="1">
                  <c:v>B Krv a krvotvor.org.</c:v>
                </c:pt>
                <c:pt idx="2">
                  <c:v>C Kardiovask. sys.</c:v>
                </c:pt>
                <c:pt idx="3">
                  <c:v>G Urogen.t. a pohl. horm.</c:v>
                </c:pt>
                <c:pt idx="4">
                  <c:v>H Hormóny okrem pohl.</c:v>
                </c:pt>
                <c:pt idx="5">
                  <c:v>J Antiinfektíva</c:v>
                </c:pt>
                <c:pt idx="6">
                  <c:v>M Muskuloskel. sys.</c:v>
                </c:pt>
                <c:pt idx="7">
                  <c:v>N Nervový sys.</c:v>
                </c:pt>
                <c:pt idx="8">
                  <c:v>R Respiračný sys.</c:v>
                </c:pt>
              </c:strCache>
            </c:strRef>
          </c:cat>
          <c:val>
            <c:numRef>
              <c:f>vysledok!$G$24:$G$32</c:f>
              <c:numCache>
                <c:formatCode>General</c:formatCode>
                <c:ptCount val="9"/>
                <c:pt idx="0">
                  <c:v>0.61839267963154987</c:v>
                </c:pt>
                <c:pt idx="1">
                  <c:v>1.9843385858748006</c:v>
                </c:pt>
                <c:pt idx="2">
                  <c:v>0.81697981197902525</c:v>
                </c:pt>
                <c:pt idx="3">
                  <c:v>1.0726077768464009</c:v>
                </c:pt>
                <c:pt idx="4">
                  <c:v>1.3425821010875303</c:v>
                </c:pt>
                <c:pt idx="5">
                  <c:v>0.86068617615173015</c:v>
                </c:pt>
                <c:pt idx="6">
                  <c:v>1.065072944435719</c:v>
                </c:pt>
                <c:pt idx="7">
                  <c:v>0.83827296916651306</c:v>
                </c:pt>
                <c:pt idx="8">
                  <c:v>0.90196020377482433</c:v>
                </c:pt>
              </c:numCache>
            </c:numRef>
          </c:val>
          <c:extLst xmlns:c16r2="http://schemas.microsoft.com/office/drawing/2015/06/chart">
            <c:ext xmlns:c16="http://schemas.microsoft.com/office/drawing/2014/chart" uri="{C3380CC4-5D6E-409C-BE32-E72D297353CC}">
              <c16:uniqueId val="{00000001-35B7-45D2-B710-1E551ADE1566}"/>
            </c:ext>
          </c:extLst>
        </c:ser>
        <c:dLbls>
          <c:showLegendKey val="0"/>
          <c:showVal val="0"/>
          <c:showCatName val="0"/>
          <c:showSerName val="0"/>
          <c:showPercent val="0"/>
          <c:showBubbleSize val="0"/>
        </c:dLbls>
        <c:gapWidth val="150"/>
        <c:axId val="434710576"/>
        <c:axId val="434710968"/>
      </c:barChart>
      <c:lineChart>
        <c:grouping val="standard"/>
        <c:varyColors val="0"/>
        <c:ser>
          <c:idx val="0"/>
          <c:order val="2"/>
          <c:tx>
            <c:strRef>
              <c:f>vysledok!$H$23</c:f>
              <c:strCache>
                <c:ptCount val="1"/>
                <c:pt idx="0">
                  <c:v>100%</c:v>
                </c:pt>
              </c:strCache>
            </c:strRef>
          </c:tx>
          <c:spPr>
            <a:ln>
              <a:solidFill>
                <a:sysClr val="window" lastClr="FFFFFF">
                  <a:lumMod val="50000"/>
                </a:sysClr>
              </a:solidFill>
            </a:ln>
          </c:spPr>
          <c:marker>
            <c:symbol val="none"/>
          </c:marker>
          <c:cat>
            <c:strRef>
              <c:f>vysledok!$E$24:$E$32</c:f>
              <c:strCache>
                <c:ptCount val="9"/>
                <c:pt idx="0">
                  <c:v>A Tráviaci trakt</c:v>
                </c:pt>
                <c:pt idx="1">
                  <c:v>B Krv a krvotvor.org.</c:v>
                </c:pt>
                <c:pt idx="2">
                  <c:v>C Kardiovask. sys.</c:v>
                </c:pt>
                <c:pt idx="3">
                  <c:v>G Urogen.t. a pohl. horm.</c:v>
                </c:pt>
                <c:pt idx="4">
                  <c:v>H Hormóny okrem pohl.</c:v>
                </c:pt>
                <c:pt idx="5">
                  <c:v>J Antiinfektíva</c:v>
                </c:pt>
                <c:pt idx="6">
                  <c:v>M Muskuloskel. sys.</c:v>
                </c:pt>
                <c:pt idx="7">
                  <c:v>N Nervový sys.</c:v>
                </c:pt>
                <c:pt idx="8">
                  <c:v>R Respiračný sys.</c:v>
                </c:pt>
              </c:strCache>
            </c:strRef>
          </c:cat>
          <c:val>
            <c:numRef>
              <c:f>vysledok!$H$24:$H$32</c:f>
              <c:numCache>
                <c:formatCode>General</c:formatCode>
                <c:ptCount val="9"/>
                <c:pt idx="0">
                  <c:v>1</c:v>
                </c:pt>
                <c:pt idx="1">
                  <c:v>1</c:v>
                </c:pt>
                <c:pt idx="2">
                  <c:v>1</c:v>
                </c:pt>
                <c:pt idx="3">
                  <c:v>1</c:v>
                </c:pt>
                <c:pt idx="4">
                  <c:v>1</c:v>
                </c:pt>
                <c:pt idx="5">
                  <c:v>1</c:v>
                </c:pt>
                <c:pt idx="6">
                  <c:v>1</c:v>
                </c:pt>
                <c:pt idx="7">
                  <c:v>1</c:v>
                </c:pt>
                <c:pt idx="8">
                  <c:v>1</c:v>
                </c:pt>
              </c:numCache>
            </c:numRef>
          </c:val>
          <c:smooth val="0"/>
          <c:extLst xmlns:c16r2="http://schemas.microsoft.com/office/drawing/2015/06/chart">
            <c:ext xmlns:c16="http://schemas.microsoft.com/office/drawing/2014/chart" uri="{C3380CC4-5D6E-409C-BE32-E72D297353CC}">
              <c16:uniqueId val="{00000002-35B7-45D2-B710-1E551ADE1566}"/>
            </c:ext>
          </c:extLst>
        </c:ser>
        <c:dLbls>
          <c:showLegendKey val="0"/>
          <c:showVal val="0"/>
          <c:showCatName val="0"/>
          <c:showSerName val="0"/>
          <c:showPercent val="0"/>
          <c:showBubbleSize val="0"/>
        </c:dLbls>
        <c:marker val="1"/>
        <c:smooth val="0"/>
        <c:axId val="434710576"/>
        <c:axId val="434710968"/>
      </c:lineChart>
      <c:catAx>
        <c:axId val="434710576"/>
        <c:scaling>
          <c:orientation val="minMax"/>
        </c:scaling>
        <c:delete val="0"/>
        <c:axPos val="b"/>
        <c:numFmt formatCode="General" sourceLinked="1"/>
        <c:majorTickMark val="out"/>
        <c:minorTickMark val="none"/>
        <c:tickLblPos val="nextTo"/>
        <c:crossAx val="434710968"/>
        <c:crosses val="autoZero"/>
        <c:auto val="1"/>
        <c:lblAlgn val="ctr"/>
        <c:lblOffset val="100"/>
        <c:noMultiLvlLbl val="0"/>
      </c:catAx>
      <c:valAx>
        <c:axId val="434710968"/>
        <c:scaling>
          <c:orientation val="minMax"/>
          <c:max val="2"/>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434710576"/>
        <c:crosses val="autoZero"/>
        <c:crossBetween val="between"/>
      </c:valAx>
    </c:plotArea>
    <c:legend>
      <c:legendPos val="r"/>
      <c:legendEntry>
        <c:idx val="2"/>
        <c:delete val="1"/>
      </c:legendEntry>
      <c:layout>
        <c:manualLayout>
          <c:xMode val="edge"/>
          <c:yMode val="edge"/>
          <c:x val="0.6696183439429908"/>
          <c:y val="3.9451203885627818E-2"/>
          <c:w val="0.31336673737371556"/>
          <c:h val="0.20357443588836141"/>
        </c:manualLayout>
      </c:layout>
      <c:overlay val="0"/>
    </c:legend>
    <c:plotVisOnly val="1"/>
    <c:dispBlanksAs val="gap"/>
    <c:showDLblsOverMax val="0"/>
  </c:chart>
  <c:spPr>
    <a:ln>
      <a:noFill/>
    </a:ln>
  </c:spPr>
  <c:txPr>
    <a:bodyPr/>
    <a:lstStyle/>
    <a:p>
      <a:pPr>
        <a:defRPr sz="700">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36377379579144"/>
          <c:y val="7.8853046594982074E-2"/>
          <c:w val="0.71810629563024364"/>
          <c:h val="0.68954759687297151"/>
        </c:manualLayout>
      </c:layout>
      <c:barChart>
        <c:barDir val="col"/>
        <c:grouping val="clustered"/>
        <c:varyColors val="0"/>
        <c:ser>
          <c:idx val="5"/>
          <c:order val="0"/>
          <c:tx>
            <c:strRef>
              <c:f>NCZI!$A$5</c:f>
              <c:strCache>
                <c:ptCount val="1"/>
                <c:pt idx="0">
                  <c:v>Počet výkonov (v tis.)</c:v>
                </c:pt>
              </c:strCache>
            </c:strRef>
          </c:tx>
          <c:spPr>
            <a:solidFill>
              <a:sysClr val="window" lastClr="FFFFFF">
                <a:lumMod val="65000"/>
              </a:sysClr>
            </a:solidFill>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NCZI!$B$2:$G$2</c:f>
              <c:numCache>
                <c:formatCode>General</c:formatCode>
                <c:ptCount val="6"/>
                <c:pt idx="0">
                  <c:v>2010</c:v>
                </c:pt>
                <c:pt idx="1">
                  <c:v>2011</c:v>
                </c:pt>
                <c:pt idx="2">
                  <c:v>2012</c:v>
                </c:pt>
                <c:pt idx="3">
                  <c:v>2013</c:v>
                </c:pt>
                <c:pt idx="4">
                  <c:v>2014</c:v>
                </c:pt>
                <c:pt idx="5">
                  <c:v>2015</c:v>
                </c:pt>
              </c:numCache>
            </c:numRef>
          </c:cat>
          <c:val>
            <c:numRef>
              <c:f>NCZI!$B$5:$G$5</c:f>
              <c:numCache>
                <c:formatCode>#,##0</c:formatCode>
                <c:ptCount val="6"/>
                <c:pt idx="0">
                  <c:v>484189</c:v>
                </c:pt>
                <c:pt idx="1">
                  <c:v>534783</c:v>
                </c:pt>
                <c:pt idx="2">
                  <c:v>581657</c:v>
                </c:pt>
                <c:pt idx="3">
                  <c:v>664550</c:v>
                </c:pt>
                <c:pt idx="4">
                  <c:v>730390</c:v>
                </c:pt>
                <c:pt idx="5">
                  <c:v>847209</c:v>
                </c:pt>
              </c:numCache>
            </c:numRef>
          </c:val>
          <c:extLst xmlns:c16r2="http://schemas.microsoft.com/office/drawing/2015/06/chart">
            <c:ext xmlns:c16="http://schemas.microsoft.com/office/drawing/2014/chart" uri="{C3380CC4-5D6E-409C-BE32-E72D297353CC}">
              <c16:uniqueId val="{00000000-BB12-4FA5-814E-1E4530BB11D8}"/>
            </c:ext>
          </c:extLst>
        </c:ser>
        <c:dLbls>
          <c:showLegendKey val="0"/>
          <c:showVal val="1"/>
          <c:showCatName val="0"/>
          <c:showSerName val="0"/>
          <c:showPercent val="0"/>
          <c:showBubbleSize val="0"/>
        </c:dLbls>
        <c:gapWidth val="75"/>
        <c:axId val="434711752"/>
        <c:axId val="434712144"/>
      </c:barChart>
      <c:lineChart>
        <c:grouping val="standard"/>
        <c:varyColors val="0"/>
        <c:ser>
          <c:idx val="8"/>
          <c:order val="1"/>
          <c:tx>
            <c:strRef>
              <c:f>NCZI!$A$6</c:f>
              <c:strCache>
                <c:ptCount val="1"/>
                <c:pt idx="0">
                  <c:v>Rast (v %)</c:v>
                </c:pt>
              </c:strCache>
            </c:strRef>
          </c:tx>
          <c:spPr>
            <a:ln>
              <a:solidFill>
                <a:srgbClr val="555555"/>
              </a:solidFill>
            </a:ln>
          </c:spPr>
          <c:marker>
            <c:symbol val="none"/>
          </c:marker>
          <c:dLbls>
            <c:delete val="1"/>
          </c:dLbls>
          <c:cat>
            <c:numRef>
              <c:f>NCZI!$B$2:$G$2</c:f>
              <c:numCache>
                <c:formatCode>General</c:formatCode>
                <c:ptCount val="6"/>
                <c:pt idx="0">
                  <c:v>2010</c:v>
                </c:pt>
                <c:pt idx="1">
                  <c:v>2011</c:v>
                </c:pt>
                <c:pt idx="2">
                  <c:v>2012</c:v>
                </c:pt>
                <c:pt idx="3">
                  <c:v>2013</c:v>
                </c:pt>
                <c:pt idx="4">
                  <c:v>2014</c:v>
                </c:pt>
                <c:pt idx="5">
                  <c:v>2015</c:v>
                </c:pt>
              </c:numCache>
            </c:numRef>
          </c:cat>
          <c:val>
            <c:numRef>
              <c:f>NCZI!$B$6:$G$6</c:f>
              <c:numCache>
                <c:formatCode>0.0%</c:formatCode>
                <c:ptCount val="6"/>
                <c:pt idx="1">
                  <c:v>0.10449225405781627</c:v>
                </c:pt>
                <c:pt idx="2">
                  <c:v>8.7650504971175228E-2</c:v>
                </c:pt>
                <c:pt idx="3">
                  <c:v>0.1425118239787366</c:v>
                </c:pt>
                <c:pt idx="4">
                  <c:v>9.9074561733503874E-2</c:v>
                </c:pt>
                <c:pt idx="5">
                  <c:v>0.15994057969030245</c:v>
                </c:pt>
              </c:numCache>
            </c:numRef>
          </c:val>
          <c:smooth val="0"/>
          <c:extLst xmlns:c16r2="http://schemas.microsoft.com/office/drawing/2015/06/chart">
            <c:ext xmlns:c16="http://schemas.microsoft.com/office/drawing/2014/chart" uri="{C3380CC4-5D6E-409C-BE32-E72D297353CC}">
              <c16:uniqueId val="{00000001-BB12-4FA5-814E-1E4530BB11D8}"/>
            </c:ext>
          </c:extLst>
        </c:ser>
        <c:dLbls>
          <c:showLegendKey val="0"/>
          <c:showVal val="1"/>
          <c:showCatName val="0"/>
          <c:showSerName val="0"/>
          <c:showPercent val="0"/>
          <c:showBubbleSize val="0"/>
        </c:dLbls>
        <c:marker val="1"/>
        <c:smooth val="0"/>
        <c:axId val="434712928"/>
        <c:axId val="434712536"/>
      </c:lineChart>
      <c:catAx>
        <c:axId val="434711752"/>
        <c:scaling>
          <c:orientation val="minMax"/>
        </c:scaling>
        <c:delete val="0"/>
        <c:axPos val="b"/>
        <c:numFmt formatCode="General" sourceLinked="1"/>
        <c:majorTickMark val="none"/>
        <c:minorTickMark val="none"/>
        <c:tickLblPos val="low"/>
        <c:crossAx val="434712144"/>
        <c:crosses val="autoZero"/>
        <c:auto val="1"/>
        <c:lblAlgn val="ctr"/>
        <c:lblOffset val="100"/>
        <c:noMultiLvlLbl val="0"/>
      </c:catAx>
      <c:valAx>
        <c:axId val="434712144"/>
        <c:scaling>
          <c:orientation val="minMax"/>
        </c:scaling>
        <c:delete val="0"/>
        <c:axPos val="l"/>
        <c:numFmt formatCode="#,##0" sourceLinked="0"/>
        <c:majorTickMark val="none"/>
        <c:minorTickMark val="none"/>
        <c:tickLblPos val="nextTo"/>
        <c:crossAx val="434711752"/>
        <c:crosses val="autoZero"/>
        <c:crossBetween val="between"/>
        <c:dispUnits>
          <c:builtInUnit val="thousands"/>
        </c:dispUnits>
      </c:valAx>
      <c:valAx>
        <c:axId val="434712536"/>
        <c:scaling>
          <c:orientation val="minMax"/>
          <c:max val="0.22000000000000003"/>
          <c:min val="2.0000000000000004E-2"/>
        </c:scaling>
        <c:delete val="0"/>
        <c:axPos val="r"/>
        <c:numFmt formatCode="0%" sourceLinked="0"/>
        <c:majorTickMark val="out"/>
        <c:minorTickMark val="none"/>
        <c:tickLblPos val="nextTo"/>
        <c:crossAx val="434712928"/>
        <c:crosses val="max"/>
        <c:crossBetween val="between"/>
      </c:valAx>
      <c:catAx>
        <c:axId val="434712928"/>
        <c:scaling>
          <c:orientation val="minMax"/>
        </c:scaling>
        <c:delete val="1"/>
        <c:axPos val="b"/>
        <c:numFmt formatCode="General" sourceLinked="1"/>
        <c:majorTickMark val="out"/>
        <c:minorTickMark val="none"/>
        <c:tickLblPos val="nextTo"/>
        <c:crossAx val="434712536"/>
        <c:crosses val="autoZero"/>
        <c:auto val="1"/>
        <c:lblAlgn val="ctr"/>
        <c:lblOffset val="100"/>
        <c:noMultiLvlLbl val="0"/>
      </c:catAx>
    </c:plotArea>
    <c:legend>
      <c:legendPos val="b"/>
      <c:layout>
        <c:manualLayout>
          <c:xMode val="edge"/>
          <c:yMode val="edge"/>
          <c:x val="8.3561290507476377E-2"/>
          <c:y val="0.87747059987646236"/>
          <c:w val="0.8328774189850473"/>
          <c:h val="0.1225294001235375"/>
        </c:manualLayout>
      </c:layout>
      <c:overlay val="0"/>
    </c:legend>
    <c:plotVisOnly val="1"/>
    <c:dispBlanksAs val="gap"/>
    <c:showDLblsOverMax val="0"/>
  </c:chart>
  <c:spPr>
    <a:ln>
      <a:noFill/>
    </a:ln>
  </c:spPr>
  <c:txPr>
    <a:bodyPr/>
    <a:lstStyle/>
    <a:p>
      <a:pPr>
        <a:defRPr sz="700">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36086492373167"/>
          <c:y val="7.8853046594982074E-2"/>
          <c:w val="0.74610920450230345"/>
          <c:h val="0.68237913809160955"/>
        </c:manualLayout>
      </c:layout>
      <c:barChart>
        <c:barDir val="col"/>
        <c:grouping val="clustered"/>
        <c:varyColors val="0"/>
        <c:ser>
          <c:idx val="5"/>
          <c:order val="0"/>
          <c:tx>
            <c:strRef>
              <c:f>NCZI!$A$9</c:f>
              <c:strCache>
                <c:ptCount val="1"/>
                <c:pt idx="0">
                  <c:v>Počet výkonov (v tis.)</c:v>
                </c:pt>
              </c:strCache>
            </c:strRef>
          </c:tx>
          <c:spPr>
            <a:solidFill>
              <a:sysClr val="window" lastClr="FFFFFF">
                <a:lumMod val="65000"/>
              </a:sysClr>
            </a:solidFill>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NCZI!$B$2:$G$2</c:f>
              <c:numCache>
                <c:formatCode>General</c:formatCode>
                <c:ptCount val="6"/>
                <c:pt idx="0">
                  <c:v>2010</c:v>
                </c:pt>
                <c:pt idx="1">
                  <c:v>2011</c:v>
                </c:pt>
                <c:pt idx="2">
                  <c:v>2012</c:v>
                </c:pt>
                <c:pt idx="3">
                  <c:v>2013</c:v>
                </c:pt>
                <c:pt idx="4">
                  <c:v>2014</c:v>
                </c:pt>
                <c:pt idx="5">
                  <c:v>2015</c:v>
                </c:pt>
              </c:numCache>
            </c:numRef>
          </c:cat>
          <c:val>
            <c:numRef>
              <c:f>NCZI!$B$9:$G$9</c:f>
              <c:numCache>
                <c:formatCode>#,##0</c:formatCode>
                <c:ptCount val="6"/>
                <c:pt idx="0">
                  <c:v>180390</c:v>
                </c:pt>
                <c:pt idx="1">
                  <c:v>187420</c:v>
                </c:pt>
                <c:pt idx="2">
                  <c:v>220966</c:v>
                </c:pt>
                <c:pt idx="3">
                  <c:v>250501</c:v>
                </c:pt>
                <c:pt idx="4">
                  <c:v>279562</c:v>
                </c:pt>
                <c:pt idx="5">
                  <c:v>307935</c:v>
                </c:pt>
              </c:numCache>
            </c:numRef>
          </c:val>
          <c:extLst xmlns:c16r2="http://schemas.microsoft.com/office/drawing/2015/06/chart">
            <c:ext xmlns:c16="http://schemas.microsoft.com/office/drawing/2014/chart" uri="{C3380CC4-5D6E-409C-BE32-E72D297353CC}">
              <c16:uniqueId val="{00000000-350D-4ED1-B27B-2F43550FFE9A}"/>
            </c:ext>
          </c:extLst>
        </c:ser>
        <c:dLbls>
          <c:showLegendKey val="0"/>
          <c:showVal val="1"/>
          <c:showCatName val="0"/>
          <c:showSerName val="0"/>
          <c:showPercent val="0"/>
          <c:showBubbleSize val="0"/>
        </c:dLbls>
        <c:gapWidth val="75"/>
        <c:axId val="434713712"/>
        <c:axId val="434714104"/>
      </c:barChart>
      <c:lineChart>
        <c:grouping val="standard"/>
        <c:varyColors val="0"/>
        <c:ser>
          <c:idx val="8"/>
          <c:order val="1"/>
          <c:tx>
            <c:strRef>
              <c:f>NCZI!$A$10</c:f>
              <c:strCache>
                <c:ptCount val="1"/>
                <c:pt idx="0">
                  <c:v>Rast (v %)</c:v>
                </c:pt>
              </c:strCache>
            </c:strRef>
          </c:tx>
          <c:spPr>
            <a:ln>
              <a:solidFill>
                <a:srgbClr val="555555"/>
              </a:solidFill>
            </a:ln>
          </c:spPr>
          <c:marker>
            <c:symbol val="none"/>
          </c:marker>
          <c:dLbls>
            <c:delete val="1"/>
          </c:dLbls>
          <c:cat>
            <c:numRef>
              <c:f>NCZI!$B$2:$G$2</c:f>
              <c:numCache>
                <c:formatCode>General</c:formatCode>
                <c:ptCount val="6"/>
                <c:pt idx="0">
                  <c:v>2010</c:v>
                </c:pt>
                <c:pt idx="1">
                  <c:v>2011</c:v>
                </c:pt>
                <c:pt idx="2">
                  <c:v>2012</c:v>
                </c:pt>
                <c:pt idx="3">
                  <c:v>2013</c:v>
                </c:pt>
                <c:pt idx="4">
                  <c:v>2014</c:v>
                </c:pt>
                <c:pt idx="5">
                  <c:v>2015</c:v>
                </c:pt>
              </c:numCache>
            </c:numRef>
          </c:cat>
          <c:val>
            <c:numRef>
              <c:f>NCZI!$B$10:$G$10</c:f>
              <c:numCache>
                <c:formatCode>0.0%</c:formatCode>
                <c:ptCount val="6"/>
                <c:pt idx="1">
                  <c:v>3.8971118132934197E-2</c:v>
                </c:pt>
                <c:pt idx="2">
                  <c:v>0.17898836837050475</c:v>
                </c:pt>
                <c:pt idx="3">
                  <c:v>0.1336630974901116</c:v>
                </c:pt>
                <c:pt idx="4">
                  <c:v>0.1160115129280921</c:v>
                </c:pt>
                <c:pt idx="5">
                  <c:v>0.10149090362781781</c:v>
                </c:pt>
              </c:numCache>
            </c:numRef>
          </c:val>
          <c:smooth val="0"/>
          <c:extLst xmlns:c16r2="http://schemas.microsoft.com/office/drawing/2015/06/chart">
            <c:ext xmlns:c16="http://schemas.microsoft.com/office/drawing/2014/chart" uri="{C3380CC4-5D6E-409C-BE32-E72D297353CC}">
              <c16:uniqueId val="{00000001-350D-4ED1-B27B-2F43550FFE9A}"/>
            </c:ext>
          </c:extLst>
        </c:ser>
        <c:dLbls>
          <c:showLegendKey val="0"/>
          <c:showVal val="1"/>
          <c:showCatName val="0"/>
          <c:showSerName val="0"/>
          <c:showPercent val="0"/>
          <c:showBubbleSize val="0"/>
        </c:dLbls>
        <c:marker val="1"/>
        <c:smooth val="0"/>
        <c:axId val="434714888"/>
        <c:axId val="434714496"/>
      </c:lineChart>
      <c:catAx>
        <c:axId val="434713712"/>
        <c:scaling>
          <c:orientation val="minMax"/>
        </c:scaling>
        <c:delete val="0"/>
        <c:axPos val="b"/>
        <c:numFmt formatCode="General" sourceLinked="1"/>
        <c:majorTickMark val="none"/>
        <c:minorTickMark val="none"/>
        <c:tickLblPos val="low"/>
        <c:crossAx val="434714104"/>
        <c:crosses val="autoZero"/>
        <c:auto val="1"/>
        <c:lblAlgn val="ctr"/>
        <c:lblOffset val="100"/>
        <c:noMultiLvlLbl val="0"/>
      </c:catAx>
      <c:valAx>
        <c:axId val="434714104"/>
        <c:scaling>
          <c:orientation val="minMax"/>
        </c:scaling>
        <c:delete val="0"/>
        <c:axPos val="l"/>
        <c:numFmt formatCode="#,##0" sourceLinked="0"/>
        <c:majorTickMark val="none"/>
        <c:minorTickMark val="none"/>
        <c:tickLblPos val="nextTo"/>
        <c:crossAx val="434713712"/>
        <c:crosses val="autoZero"/>
        <c:crossBetween val="between"/>
        <c:dispUnits>
          <c:builtInUnit val="thousands"/>
        </c:dispUnits>
      </c:valAx>
      <c:valAx>
        <c:axId val="434714496"/>
        <c:scaling>
          <c:orientation val="minMax"/>
          <c:max val="0.28000000000000003"/>
          <c:min val="2.0000000000000004E-2"/>
        </c:scaling>
        <c:delete val="0"/>
        <c:axPos val="r"/>
        <c:numFmt formatCode="0%" sourceLinked="0"/>
        <c:majorTickMark val="out"/>
        <c:minorTickMark val="none"/>
        <c:tickLblPos val="nextTo"/>
        <c:crossAx val="434714888"/>
        <c:crosses val="max"/>
        <c:crossBetween val="between"/>
      </c:valAx>
      <c:catAx>
        <c:axId val="434714888"/>
        <c:scaling>
          <c:orientation val="minMax"/>
        </c:scaling>
        <c:delete val="1"/>
        <c:axPos val="b"/>
        <c:numFmt formatCode="General" sourceLinked="1"/>
        <c:majorTickMark val="out"/>
        <c:minorTickMark val="none"/>
        <c:tickLblPos val="nextTo"/>
        <c:crossAx val="434714496"/>
        <c:crosses val="autoZero"/>
        <c:auto val="1"/>
        <c:lblAlgn val="ctr"/>
        <c:lblOffset val="100"/>
        <c:noMultiLvlLbl val="0"/>
      </c:catAx>
    </c:plotArea>
    <c:legend>
      <c:legendPos val="b"/>
      <c:layout>
        <c:manualLayout>
          <c:xMode val="edge"/>
          <c:yMode val="edge"/>
          <c:x val="8.3561290507476377E-2"/>
          <c:y val="0.87714310625261194"/>
          <c:w val="0.8328774189850473"/>
          <c:h val="0.1228568937473881"/>
        </c:manualLayout>
      </c:layout>
      <c:overlay val="0"/>
    </c:legend>
    <c:plotVisOnly val="1"/>
    <c:dispBlanksAs val="gap"/>
    <c:showDLblsOverMax val="0"/>
  </c:chart>
  <c:spPr>
    <a:ln>
      <a:noFill/>
    </a:ln>
  </c:spPr>
  <c:txPr>
    <a:bodyPr/>
    <a:lstStyle/>
    <a:p>
      <a:pPr>
        <a:defRPr sz="700">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0.22985901297545799"/>
          <c:w val="0.82536798546193013"/>
          <c:h val="0.54254599926070768"/>
        </c:manualLayout>
      </c:layout>
      <c:lineChart>
        <c:grouping val="standard"/>
        <c:varyColors val="0"/>
        <c:ser>
          <c:idx val="3"/>
          <c:order val="0"/>
          <c:tx>
            <c:strRef>
              <c:f>'grafy 1'!$A$69</c:f>
              <c:strCache>
                <c:ptCount val="1"/>
                <c:pt idx="0">
                  <c:v>SK</c:v>
                </c:pt>
              </c:strCache>
            </c:strRef>
          </c:tx>
          <c:spPr>
            <a:ln w="19050">
              <a:solidFill>
                <a:sysClr val="window" lastClr="FFFFFF">
                  <a:lumMod val="75000"/>
                </a:sysClr>
              </a:solidFill>
              <a:prstDash val="solid"/>
            </a:ln>
          </c:spPr>
          <c:marker>
            <c:symbol val="none"/>
          </c:marker>
          <c:cat>
            <c:numRef>
              <c:f>'grafy 1'!$B$68:$Q$68</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'grafy 1'!$B$69:$Q$69</c:f>
              <c:numCache>
                <c:formatCode>_-* #\ ##0\ _€_-;\-* #\ ##0\ _€_-;_-* "-"??\ _€_-;_-@_-</c:formatCode>
                <c:ptCount val="9"/>
                <c:pt idx="0">
                  <c:v>17171.900000000001</c:v>
                </c:pt>
                <c:pt idx="1">
                  <c:v>17048.900000000001</c:v>
                </c:pt>
                <c:pt idx="2">
                  <c:v>17182.2</c:v>
                </c:pt>
                <c:pt idx="3">
                  <c:v>16958.2</c:v>
                </c:pt>
                <c:pt idx="4">
                  <c:v>16933.8</c:v>
                </c:pt>
                <c:pt idx="5">
                  <c:v>16927.3</c:v>
                </c:pt>
                <c:pt idx="6">
                  <c:v>16479</c:v>
                </c:pt>
                <c:pt idx="7">
                  <c:v>17237.8</c:v>
                </c:pt>
                <c:pt idx="8">
                  <c:v>17235.8</c:v>
                </c:pt>
              </c:numCache>
            </c:numRef>
          </c:val>
          <c:smooth val="0"/>
          <c:extLst xmlns:c16r2="http://schemas.microsoft.com/office/drawing/2015/06/chart">
            <c:ext xmlns:c16="http://schemas.microsoft.com/office/drawing/2014/chart" uri="{C3380CC4-5D6E-409C-BE32-E72D297353CC}">
              <c16:uniqueId val="{00000000-22DC-4036-940A-4921438DC5AB}"/>
            </c:ext>
          </c:extLst>
        </c:ser>
        <c:ser>
          <c:idx val="5"/>
          <c:order val="1"/>
          <c:tx>
            <c:strRef>
              <c:f>'grafy 1'!$A$70</c:f>
              <c:strCache>
                <c:ptCount val="1"/>
                <c:pt idx="0">
                  <c:v>V3</c:v>
                </c:pt>
              </c:strCache>
            </c:strRef>
          </c:tx>
          <c:spPr>
            <a:ln w="19050">
              <a:solidFill>
                <a:sysClr val="windowText" lastClr="000000"/>
              </a:solidFill>
              <a:prstDash val="solid"/>
            </a:ln>
          </c:spPr>
          <c:marker>
            <c:symbol val="none"/>
          </c:marker>
          <c:cat>
            <c:numRef>
              <c:f>'grafy 1'!$B$68:$Q$68</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'grafy 1'!$B$70:$Q$70</c:f>
              <c:numCache>
                <c:formatCode>_-* #\ ##0\ _€_-;\-* #\ ##0\ _€_-;_-* "-"??\ _€_-;_-@_-</c:formatCode>
                <c:ptCount val="9"/>
                <c:pt idx="0">
                  <c:v>16427.95</c:v>
                </c:pt>
                <c:pt idx="1">
                  <c:v>16431.099999999999</c:v>
                </c:pt>
                <c:pt idx="2">
                  <c:v>17898.7</c:v>
                </c:pt>
                <c:pt idx="3">
                  <c:v>17601.766666666666</c:v>
                </c:pt>
                <c:pt idx="4">
                  <c:v>17618.966666666664</c:v>
                </c:pt>
                <c:pt idx="5">
                  <c:v>17672.466666666664</c:v>
                </c:pt>
                <c:pt idx="6">
                  <c:v>17712.166666666668</c:v>
                </c:pt>
                <c:pt idx="7">
                  <c:v>17979.833333333332</c:v>
                </c:pt>
                <c:pt idx="8">
                  <c:v>17700.7</c:v>
                </c:pt>
              </c:numCache>
            </c:numRef>
          </c:val>
          <c:smooth val="0"/>
          <c:extLst xmlns:c16r2="http://schemas.microsoft.com/office/drawing/2015/06/chart">
            <c:ext xmlns:c16="http://schemas.microsoft.com/office/drawing/2014/chart" uri="{C3380CC4-5D6E-409C-BE32-E72D297353CC}">
              <c16:uniqueId val="{00000001-22DC-4036-940A-4921438DC5AB}"/>
            </c:ext>
          </c:extLst>
        </c:ser>
        <c:ser>
          <c:idx val="0"/>
          <c:order val="2"/>
          <c:tx>
            <c:strRef>
              <c:f>'grafy 1'!$A$71</c:f>
              <c:strCache>
                <c:ptCount val="1"/>
                <c:pt idx="0">
                  <c:v>EU 28</c:v>
                </c:pt>
              </c:strCache>
            </c:strRef>
          </c:tx>
          <c:spPr>
            <a:ln w="19050">
              <a:solidFill>
                <a:sysClr val="windowText" lastClr="000000"/>
              </a:solidFill>
              <a:prstDash val="dash"/>
            </a:ln>
          </c:spPr>
          <c:marker>
            <c:symbol val="none"/>
          </c:marker>
          <c:cat>
            <c:numRef>
              <c:f>'grafy 1'!$B$68:$Q$68</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'grafy 1'!$B$71:$Q$71</c:f>
              <c:numCache>
                <c:formatCode>_-* #\ ##0\ _€_-;\-* #\ ##0\ _€_-;_-* "-"??\ _€_-;_-@_-</c:formatCode>
                <c:ptCount val="9"/>
                <c:pt idx="0">
                  <c:v>16448.095454545452</c:v>
                </c:pt>
                <c:pt idx="1">
                  <c:v>16501.481818181819</c:v>
                </c:pt>
                <c:pt idx="2">
                  <c:v>16504.147826086959</c:v>
                </c:pt>
                <c:pt idx="3">
                  <c:v>16400.536363636365</c:v>
                </c:pt>
                <c:pt idx="4">
                  <c:v>16620.638095238101</c:v>
                </c:pt>
                <c:pt idx="5">
                  <c:v>16536.866666666665</c:v>
                </c:pt>
                <c:pt idx="6">
                  <c:v>16256.024999999998</c:v>
                </c:pt>
                <c:pt idx="7">
                  <c:v>16260</c:v>
                </c:pt>
                <c:pt idx="8">
                  <c:v>16117.905555555555</c:v>
                </c:pt>
              </c:numCache>
            </c:numRef>
          </c:val>
          <c:smooth val="0"/>
          <c:extLst xmlns:c16r2="http://schemas.microsoft.com/office/drawing/2015/06/chart">
            <c:ext xmlns:c16="http://schemas.microsoft.com/office/drawing/2014/chart" uri="{C3380CC4-5D6E-409C-BE32-E72D297353CC}">
              <c16:uniqueId val="{00000002-22DC-4036-940A-4921438DC5AB}"/>
            </c:ext>
          </c:extLst>
        </c:ser>
        <c:ser>
          <c:idx val="1"/>
          <c:order val="3"/>
          <c:tx>
            <c:strRef>
              <c:f>'grafy 1'!$A$72</c:f>
              <c:strCache>
                <c:ptCount val="1"/>
                <c:pt idx="0">
                  <c:v>EU15</c:v>
                </c:pt>
              </c:strCache>
            </c:strRef>
          </c:tx>
          <c:spPr>
            <a:ln w="19050">
              <a:solidFill>
                <a:sysClr val="windowText" lastClr="000000"/>
              </a:solidFill>
              <a:prstDash val="sysDot"/>
            </a:ln>
          </c:spPr>
          <c:marker>
            <c:symbol val="none"/>
          </c:marker>
          <c:cat>
            <c:numRef>
              <c:f>'grafy 1'!$B$68:$Q$68</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'grafy 1'!$B$72:$Q$72</c:f>
              <c:numCache>
                <c:formatCode>_-* #\ ##0\ _€_-;\-* #\ ##0\ _€_-;_-* "-"??\ _€_-;_-@_-</c:formatCode>
                <c:ptCount val="9"/>
                <c:pt idx="0">
                  <c:v>15727.666666666664</c:v>
                </c:pt>
                <c:pt idx="1">
                  <c:v>15782.413333333332</c:v>
                </c:pt>
                <c:pt idx="2">
                  <c:v>15755.226666666667</c:v>
                </c:pt>
                <c:pt idx="3">
                  <c:v>15782.571428571431</c:v>
                </c:pt>
                <c:pt idx="4">
                  <c:v>16073.138461538458</c:v>
                </c:pt>
                <c:pt idx="5">
                  <c:v>15975.93076923077</c:v>
                </c:pt>
                <c:pt idx="6">
                  <c:v>15515.433333333334</c:v>
                </c:pt>
                <c:pt idx="7">
                  <c:v>15455.575000000003</c:v>
                </c:pt>
                <c:pt idx="8">
                  <c:v>15153.360000000004</c:v>
                </c:pt>
              </c:numCache>
            </c:numRef>
          </c:val>
          <c:smooth val="0"/>
          <c:extLst xmlns:c16r2="http://schemas.microsoft.com/office/drawing/2015/06/chart">
            <c:ext xmlns:c16="http://schemas.microsoft.com/office/drawing/2014/chart" uri="{C3380CC4-5D6E-409C-BE32-E72D297353CC}">
              <c16:uniqueId val="{00000003-22DC-4036-940A-4921438DC5AB}"/>
            </c:ext>
          </c:extLst>
        </c:ser>
        <c:ser>
          <c:idx val="2"/>
          <c:order val="4"/>
          <c:tx>
            <c:strRef>
              <c:f>'grafy 1'!$A$73</c:f>
              <c:strCache>
                <c:ptCount val="1"/>
                <c:pt idx="0">
                  <c:v>OECD</c:v>
                </c:pt>
              </c:strCache>
            </c:strRef>
          </c:tx>
          <c:spPr>
            <a:ln w="19050">
              <a:solidFill>
                <a:sysClr val="window" lastClr="FFFFFF">
                  <a:lumMod val="75000"/>
                </a:sysClr>
              </a:solidFill>
              <a:prstDash val="dash"/>
            </a:ln>
          </c:spPr>
          <c:marker>
            <c:symbol val="none"/>
          </c:marker>
          <c:cat>
            <c:numRef>
              <c:f>'grafy 1'!$B$68:$Q$68</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'grafy 1'!$B$73:$Q$73</c:f>
              <c:numCache>
                <c:formatCode>_-* #\ ##0\ _€_-;\-* #\ ##0\ _€_-;_-* "-"??\ _€_-;_-@_-</c:formatCode>
                <c:ptCount val="9"/>
                <c:pt idx="0">
                  <c:v>15407.59</c:v>
                </c:pt>
                <c:pt idx="1">
                  <c:v>15481.776666666667</c:v>
                </c:pt>
                <c:pt idx="2">
                  <c:v>15604.170967741939</c:v>
                </c:pt>
                <c:pt idx="3">
                  <c:v>15412.435483870971</c:v>
                </c:pt>
                <c:pt idx="4">
                  <c:v>15554.006666666672</c:v>
                </c:pt>
                <c:pt idx="5">
                  <c:v>15526.07</c:v>
                </c:pt>
                <c:pt idx="6">
                  <c:v>15315.172413793103</c:v>
                </c:pt>
                <c:pt idx="7">
                  <c:v>15340.379310344826</c:v>
                </c:pt>
                <c:pt idx="8">
                  <c:v>15124.16</c:v>
                </c:pt>
              </c:numCache>
            </c:numRef>
          </c:val>
          <c:smooth val="0"/>
          <c:extLst xmlns:c16r2="http://schemas.microsoft.com/office/drawing/2015/06/chart">
            <c:ext xmlns:c16="http://schemas.microsoft.com/office/drawing/2014/chart" uri="{C3380CC4-5D6E-409C-BE32-E72D297353CC}">
              <c16:uniqueId val="{00000004-22DC-4036-940A-4921438DC5AB}"/>
            </c:ext>
          </c:extLst>
        </c:ser>
        <c:dLbls>
          <c:showLegendKey val="0"/>
          <c:showVal val="0"/>
          <c:showCatName val="0"/>
          <c:showSerName val="0"/>
          <c:showPercent val="0"/>
          <c:showBubbleSize val="0"/>
        </c:dLbls>
        <c:smooth val="0"/>
        <c:axId val="434715280"/>
        <c:axId val="434715672"/>
      </c:lineChart>
      <c:catAx>
        <c:axId val="434715280"/>
        <c:scaling>
          <c:orientation val="minMax"/>
        </c:scaling>
        <c:delete val="0"/>
        <c:axPos val="b"/>
        <c:numFmt formatCode="General" sourceLinked="0"/>
        <c:majorTickMark val="out"/>
        <c:minorTickMark val="none"/>
        <c:tickLblPos val="low"/>
        <c:txPr>
          <a:bodyPr rot="-5400000" vert="horz"/>
          <a:lstStyle/>
          <a:p>
            <a:pPr>
              <a:defRPr/>
            </a:pPr>
            <a:endParaRPr lang="sk-SK"/>
          </a:p>
        </c:txPr>
        <c:crossAx val="434715672"/>
        <c:crosses val="autoZero"/>
        <c:auto val="1"/>
        <c:lblAlgn val="ctr"/>
        <c:lblOffset val="100"/>
        <c:noMultiLvlLbl val="0"/>
      </c:catAx>
      <c:valAx>
        <c:axId val="434715672"/>
        <c:scaling>
          <c:orientation val="minMax"/>
          <c:min val="15000"/>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sk-SK"/>
          </a:p>
        </c:txPr>
        <c:crossAx val="434715280"/>
        <c:crosses val="autoZero"/>
        <c:crossBetween val="between"/>
      </c:valAx>
    </c:plotArea>
    <c:legend>
      <c:legendPos val="l"/>
      <c:layout>
        <c:manualLayout>
          <c:xMode val="edge"/>
          <c:yMode val="edge"/>
          <c:x val="0.14820960078929571"/>
          <c:y val="4.1116100744968589E-2"/>
          <c:w val="0.82236356075749606"/>
          <c:h val="0.17192977922293079"/>
        </c:manualLayout>
      </c:layout>
      <c:overlay val="1"/>
    </c:legend>
    <c:plotVisOnly val="1"/>
    <c:dispBlanksAs val="gap"/>
    <c:showDLblsOverMax val="0"/>
  </c:chart>
  <c:spPr>
    <a:ln>
      <a:noFill/>
    </a:ln>
  </c:spPr>
  <c:txPr>
    <a:bodyPr/>
    <a:lstStyle/>
    <a:p>
      <a:pPr>
        <a:defRPr sz="7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0.11472005987705643"/>
          <c:w val="0.85980306452141875"/>
          <c:h val="0.65768493101167991"/>
        </c:manualLayout>
      </c:layout>
      <c:lineChart>
        <c:grouping val="standard"/>
        <c:varyColors val="0"/>
        <c:ser>
          <c:idx val="3"/>
          <c:order val="0"/>
          <c:tx>
            <c:strRef>
              <c:f>'grafy 1'!$A$104</c:f>
              <c:strCache>
                <c:ptCount val="1"/>
                <c:pt idx="0">
                  <c:v>SK</c:v>
                </c:pt>
              </c:strCache>
            </c:strRef>
          </c:tx>
          <c:spPr>
            <a:ln w="19050">
              <a:solidFill>
                <a:sysClr val="window" lastClr="FFFFFF">
                  <a:lumMod val="75000"/>
                </a:sysClr>
              </a:solidFill>
              <a:prstDash val="solid"/>
            </a:ln>
          </c:spPr>
          <c:marker>
            <c:symbol val="none"/>
          </c:marker>
          <c:cat>
            <c:numRef>
              <c:f>'grafy 1'!$B$103:$Q$103</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'grafy 1'!$B$104:$Q$104</c:f>
              <c:numCache>
                <c:formatCode>_-* #\ ##0.0\ _€_-;\-* #\ ##0.0\ _€_-;_-* "-"??\ _€_-;_-@_-</c:formatCode>
                <c:ptCount val="16"/>
                <c:pt idx="0">
                  <c:v>8.4</c:v>
                </c:pt>
                <c:pt idx="1">
                  <c:v>8.1</c:v>
                </c:pt>
                <c:pt idx="2">
                  <c:v>7.7</c:v>
                </c:pt>
                <c:pt idx="3">
                  <c:v>7.4</c:v>
                </c:pt>
                <c:pt idx="4">
                  <c:v>7.3</c:v>
                </c:pt>
                <c:pt idx="5">
                  <c:v>7.3</c:v>
                </c:pt>
                <c:pt idx="6">
                  <c:v>7.2</c:v>
                </c:pt>
                <c:pt idx="7">
                  <c:v>7</c:v>
                </c:pt>
                <c:pt idx="8">
                  <c:v>6.9</c:v>
                </c:pt>
                <c:pt idx="9">
                  <c:v>6.7</c:v>
                </c:pt>
                <c:pt idx="10">
                  <c:v>6.6</c:v>
                </c:pt>
                <c:pt idx="11">
                  <c:v>6.3</c:v>
                </c:pt>
                <c:pt idx="12">
                  <c:v>6.2</c:v>
                </c:pt>
                <c:pt idx="13">
                  <c:v>6.2</c:v>
                </c:pt>
                <c:pt idx="14">
                  <c:v>7</c:v>
                </c:pt>
                <c:pt idx="15">
                  <c:v>6.9</c:v>
                </c:pt>
              </c:numCache>
            </c:numRef>
          </c:val>
          <c:smooth val="0"/>
          <c:extLst xmlns:c16r2="http://schemas.microsoft.com/office/drawing/2015/06/chart">
            <c:ext xmlns:c16="http://schemas.microsoft.com/office/drawing/2014/chart" uri="{C3380CC4-5D6E-409C-BE32-E72D297353CC}">
              <c16:uniqueId val="{00000000-F30F-4915-BAEC-781CDD179F0E}"/>
            </c:ext>
          </c:extLst>
        </c:ser>
        <c:ser>
          <c:idx val="5"/>
          <c:order val="1"/>
          <c:tx>
            <c:strRef>
              <c:f>'grafy 1'!$A$105</c:f>
              <c:strCache>
                <c:ptCount val="1"/>
                <c:pt idx="0">
                  <c:v>V3</c:v>
                </c:pt>
              </c:strCache>
            </c:strRef>
          </c:tx>
          <c:spPr>
            <a:ln w="19050">
              <a:solidFill>
                <a:sysClr val="windowText" lastClr="000000"/>
              </a:solidFill>
              <a:prstDash val="solid"/>
            </a:ln>
          </c:spPr>
          <c:marker>
            <c:symbol val="none"/>
          </c:marker>
          <c:cat>
            <c:numRef>
              <c:f>'grafy 1'!$B$103:$Q$103</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'grafy 1'!$B$105:$Q$105</c:f>
              <c:numCache>
                <c:formatCode>_-* #\ ##0.0\ _€_-;\-* #\ ##0.0\ _€_-;_-* "-"??\ _€_-;_-@_-</c:formatCode>
                <c:ptCount val="16"/>
                <c:pt idx="0">
                  <c:v>7.3666666666666671</c:v>
                </c:pt>
                <c:pt idx="1">
                  <c:v>7.166666666666667</c:v>
                </c:pt>
                <c:pt idx="2">
                  <c:v>7.0333333333333341</c:v>
                </c:pt>
                <c:pt idx="3">
                  <c:v>6.7666666666666666</c:v>
                </c:pt>
                <c:pt idx="4">
                  <c:v>6.6333333333333337</c:v>
                </c:pt>
                <c:pt idx="5">
                  <c:v>6.6000000000000005</c:v>
                </c:pt>
                <c:pt idx="6">
                  <c:v>6.4666666666666659</c:v>
                </c:pt>
                <c:pt idx="7">
                  <c:v>6.333333333333333</c:v>
                </c:pt>
                <c:pt idx="8">
                  <c:v>6.2666666666666666</c:v>
                </c:pt>
                <c:pt idx="9">
                  <c:v>6.1333333333333329</c:v>
                </c:pt>
                <c:pt idx="10">
                  <c:v>6.0333333333333341</c:v>
                </c:pt>
                <c:pt idx="11">
                  <c:v>5.8999999999999995</c:v>
                </c:pt>
                <c:pt idx="12">
                  <c:v>5.8999999999999995</c:v>
                </c:pt>
                <c:pt idx="13">
                  <c:v>5.8</c:v>
                </c:pt>
                <c:pt idx="14">
                  <c:v>6</c:v>
                </c:pt>
                <c:pt idx="15">
                  <c:v>6.166666666666667</c:v>
                </c:pt>
              </c:numCache>
            </c:numRef>
          </c:val>
          <c:smooth val="0"/>
          <c:extLst xmlns:c16r2="http://schemas.microsoft.com/office/drawing/2015/06/chart">
            <c:ext xmlns:c16="http://schemas.microsoft.com/office/drawing/2014/chart" uri="{C3380CC4-5D6E-409C-BE32-E72D297353CC}">
              <c16:uniqueId val="{00000001-F30F-4915-BAEC-781CDD179F0E}"/>
            </c:ext>
          </c:extLst>
        </c:ser>
        <c:ser>
          <c:idx val="0"/>
          <c:order val="2"/>
          <c:tx>
            <c:strRef>
              <c:f>'grafy 1'!$A$106</c:f>
              <c:strCache>
                <c:ptCount val="1"/>
                <c:pt idx="0">
                  <c:v>EU 28</c:v>
                </c:pt>
              </c:strCache>
            </c:strRef>
          </c:tx>
          <c:spPr>
            <a:ln w="19050">
              <a:solidFill>
                <a:sysClr val="windowText" lastClr="000000"/>
              </a:solidFill>
              <a:prstDash val="dash"/>
            </a:ln>
          </c:spPr>
          <c:marker>
            <c:symbol val="none"/>
          </c:marker>
          <c:dPt>
            <c:idx val="2"/>
            <c:bubble3D val="0"/>
            <c:extLst xmlns:c16r2="http://schemas.microsoft.com/office/drawing/2015/06/chart">
              <c:ext xmlns:c16="http://schemas.microsoft.com/office/drawing/2014/chart" uri="{C3380CC4-5D6E-409C-BE32-E72D297353CC}">
                <c16:uniqueId val="{00000002-F30F-4915-BAEC-781CDD179F0E}"/>
              </c:ext>
            </c:extLst>
          </c:dPt>
          <c:cat>
            <c:numRef>
              <c:f>'grafy 1'!$B$103:$Q$103</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'grafy 1'!$B$106:$Q$106</c:f>
              <c:numCache>
                <c:formatCode>_-* #\ ##0.0\ _€_-;\-* #\ ##0.0\ _€_-;_-* "-"??\ _€_-;_-@_-</c:formatCode>
                <c:ptCount val="16"/>
                <c:pt idx="0">
                  <c:v>7.310526315789474</c:v>
                </c:pt>
                <c:pt idx="1">
                  <c:v>7.1526315789473669</c:v>
                </c:pt>
                <c:pt idx="2">
                  <c:v>7.05</c:v>
                </c:pt>
                <c:pt idx="3">
                  <c:v>6.8900000000000023</c:v>
                </c:pt>
                <c:pt idx="4">
                  <c:v>6.75</c:v>
                </c:pt>
                <c:pt idx="5">
                  <c:v>6.7772727272727282</c:v>
                </c:pt>
                <c:pt idx="6">
                  <c:v>6.7749999999999986</c:v>
                </c:pt>
                <c:pt idx="7">
                  <c:v>6.62</c:v>
                </c:pt>
                <c:pt idx="8">
                  <c:v>6.57</c:v>
                </c:pt>
                <c:pt idx="9">
                  <c:v>6.4761904761904763</c:v>
                </c:pt>
                <c:pt idx="10">
                  <c:v>6.4190476190476184</c:v>
                </c:pt>
                <c:pt idx="11">
                  <c:v>6.4333333333333327</c:v>
                </c:pt>
                <c:pt idx="12">
                  <c:v>6.3952380952380956</c:v>
                </c:pt>
                <c:pt idx="13">
                  <c:v>6.4</c:v>
                </c:pt>
                <c:pt idx="14">
                  <c:v>6.4099999999999993</c:v>
                </c:pt>
                <c:pt idx="15">
                  <c:v>6.4388888888888891</c:v>
                </c:pt>
              </c:numCache>
            </c:numRef>
          </c:val>
          <c:smooth val="0"/>
          <c:extLst xmlns:c16r2="http://schemas.microsoft.com/office/drawing/2015/06/chart">
            <c:ext xmlns:c16="http://schemas.microsoft.com/office/drawing/2014/chart" uri="{C3380CC4-5D6E-409C-BE32-E72D297353CC}">
              <c16:uniqueId val="{00000003-F30F-4915-BAEC-781CDD179F0E}"/>
            </c:ext>
          </c:extLst>
        </c:ser>
        <c:ser>
          <c:idx val="1"/>
          <c:order val="3"/>
          <c:tx>
            <c:strRef>
              <c:f>'grafy 1'!$A$107</c:f>
              <c:strCache>
                <c:ptCount val="1"/>
                <c:pt idx="0">
                  <c:v>EU15</c:v>
                </c:pt>
              </c:strCache>
            </c:strRef>
          </c:tx>
          <c:spPr>
            <a:ln w="19050">
              <a:solidFill>
                <a:sysClr val="windowText" lastClr="000000"/>
              </a:solidFill>
              <a:prstDash val="sysDot"/>
            </a:ln>
          </c:spPr>
          <c:marker>
            <c:symbol val="none"/>
          </c:marker>
          <c:cat>
            <c:numRef>
              <c:f>'grafy 1'!$B$103:$Q$103</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'grafy 1'!$B$107:$Q$107</c:f>
              <c:numCache>
                <c:formatCode>_-* #\ ##0.0\ _€_-;\-* #\ ##0.0\ _€_-;_-* "-"??\ _€_-;_-@_-</c:formatCode>
                <c:ptCount val="16"/>
                <c:pt idx="0">
                  <c:v>7.0166666666666657</c:v>
                </c:pt>
                <c:pt idx="1">
                  <c:v>6.976923076923077</c:v>
                </c:pt>
                <c:pt idx="2">
                  <c:v>6.9428571428571431</c:v>
                </c:pt>
                <c:pt idx="3">
                  <c:v>6.8428571428571425</c:v>
                </c:pt>
                <c:pt idx="4">
                  <c:v>6.6785714285714288</c:v>
                </c:pt>
                <c:pt idx="5">
                  <c:v>6.6428571428571441</c:v>
                </c:pt>
                <c:pt idx="6">
                  <c:v>6.799999999999998</c:v>
                </c:pt>
                <c:pt idx="7">
                  <c:v>6.6615384615384619</c:v>
                </c:pt>
                <c:pt idx="8">
                  <c:v>6.6076923076923082</c:v>
                </c:pt>
                <c:pt idx="9">
                  <c:v>6.5461538461538478</c:v>
                </c:pt>
                <c:pt idx="10">
                  <c:v>6.5</c:v>
                </c:pt>
                <c:pt idx="11">
                  <c:v>6.4846153846153847</c:v>
                </c:pt>
                <c:pt idx="12">
                  <c:v>6.4846153846153829</c:v>
                </c:pt>
                <c:pt idx="13">
                  <c:v>6.55</c:v>
                </c:pt>
                <c:pt idx="14">
                  <c:v>6.5</c:v>
                </c:pt>
                <c:pt idx="15">
                  <c:v>6.56</c:v>
                </c:pt>
              </c:numCache>
            </c:numRef>
          </c:val>
          <c:smooth val="0"/>
          <c:extLst xmlns:c16r2="http://schemas.microsoft.com/office/drawing/2015/06/chart">
            <c:ext xmlns:c16="http://schemas.microsoft.com/office/drawing/2014/chart" uri="{C3380CC4-5D6E-409C-BE32-E72D297353CC}">
              <c16:uniqueId val="{00000004-F30F-4915-BAEC-781CDD179F0E}"/>
            </c:ext>
          </c:extLst>
        </c:ser>
        <c:ser>
          <c:idx val="2"/>
          <c:order val="4"/>
          <c:tx>
            <c:strRef>
              <c:f>'grafy 1'!$A$108</c:f>
              <c:strCache>
                <c:ptCount val="1"/>
                <c:pt idx="0">
                  <c:v>OECD</c:v>
                </c:pt>
              </c:strCache>
            </c:strRef>
          </c:tx>
          <c:spPr>
            <a:ln w="19050">
              <a:solidFill>
                <a:sysClr val="window" lastClr="FFFFFF">
                  <a:lumMod val="75000"/>
                </a:sysClr>
              </a:solidFill>
              <a:prstDash val="dash"/>
            </a:ln>
          </c:spPr>
          <c:marker>
            <c:symbol val="none"/>
          </c:marker>
          <c:cat>
            <c:numRef>
              <c:f>'grafy 1'!$B$103:$Q$103</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'grafy 1'!$B$108:$Q$108</c:f>
              <c:numCache>
                <c:formatCode>_-* #\ ##0.0\ _€_-;\-* #\ ##0.0\ _€_-;_-* "-"??\ _€_-;_-@_-</c:formatCode>
                <c:ptCount val="16"/>
                <c:pt idx="0">
                  <c:v>7.9250000000000016</c:v>
                </c:pt>
                <c:pt idx="1">
                  <c:v>7.6678571428571427</c:v>
                </c:pt>
                <c:pt idx="2">
                  <c:v>7.5344827586206877</c:v>
                </c:pt>
                <c:pt idx="3">
                  <c:v>7.3586206896551722</c:v>
                </c:pt>
                <c:pt idx="4">
                  <c:v>7.1392857142857142</c:v>
                </c:pt>
                <c:pt idx="5">
                  <c:v>7.0766666666666671</c:v>
                </c:pt>
                <c:pt idx="6">
                  <c:v>7.1107142857142849</c:v>
                </c:pt>
                <c:pt idx="7">
                  <c:v>6.8551724137931052</c:v>
                </c:pt>
                <c:pt idx="8">
                  <c:v>6.7862068965517226</c:v>
                </c:pt>
                <c:pt idx="9">
                  <c:v>6.7466666666666653</c:v>
                </c:pt>
                <c:pt idx="10">
                  <c:v>6.7612903225806464</c:v>
                </c:pt>
                <c:pt idx="11">
                  <c:v>6.7516129032258068</c:v>
                </c:pt>
                <c:pt idx="12">
                  <c:v>6.6612903225806468</c:v>
                </c:pt>
                <c:pt idx="13">
                  <c:v>6.6166666666666663</c:v>
                </c:pt>
                <c:pt idx="14">
                  <c:v>6.5766666666666662</c:v>
                </c:pt>
                <c:pt idx="15">
                  <c:v>6.7192307692307702</c:v>
                </c:pt>
              </c:numCache>
            </c:numRef>
          </c:val>
          <c:smooth val="0"/>
          <c:extLst xmlns:c16r2="http://schemas.microsoft.com/office/drawing/2015/06/chart">
            <c:ext xmlns:c16="http://schemas.microsoft.com/office/drawing/2014/chart" uri="{C3380CC4-5D6E-409C-BE32-E72D297353CC}">
              <c16:uniqueId val="{00000005-F30F-4915-BAEC-781CDD179F0E}"/>
            </c:ext>
          </c:extLst>
        </c:ser>
        <c:dLbls>
          <c:showLegendKey val="0"/>
          <c:showVal val="0"/>
          <c:showCatName val="0"/>
          <c:showSerName val="0"/>
          <c:showPercent val="0"/>
          <c:showBubbleSize val="0"/>
        </c:dLbls>
        <c:smooth val="0"/>
        <c:axId val="434716456"/>
        <c:axId val="434716848"/>
      </c:lineChart>
      <c:catAx>
        <c:axId val="434716456"/>
        <c:scaling>
          <c:orientation val="minMax"/>
        </c:scaling>
        <c:delete val="0"/>
        <c:axPos val="b"/>
        <c:numFmt formatCode="General" sourceLinked="0"/>
        <c:majorTickMark val="out"/>
        <c:minorTickMark val="none"/>
        <c:tickLblPos val="low"/>
        <c:txPr>
          <a:bodyPr rot="-5400000" vert="horz"/>
          <a:lstStyle/>
          <a:p>
            <a:pPr>
              <a:defRPr/>
            </a:pPr>
            <a:endParaRPr lang="sk-SK"/>
          </a:p>
        </c:txPr>
        <c:crossAx val="434716848"/>
        <c:crosses val="autoZero"/>
        <c:auto val="1"/>
        <c:lblAlgn val="ctr"/>
        <c:lblOffset val="100"/>
        <c:noMultiLvlLbl val="0"/>
      </c:catAx>
      <c:valAx>
        <c:axId val="434716848"/>
        <c:scaling>
          <c:orientation val="minMax"/>
          <c:min val="5"/>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a:pPr>
            <a:endParaRPr lang="sk-SK"/>
          </a:p>
        </c:txPr>
        <c:crossAx val="434716456"/>
        <c:crosses val="autoZero"/>
        <c:crossBetween val="between"/>
      </c:valAx>
    </c:plotArea>
    <c:legend>
      <c:legendPos val="l"/>
      <c:layout>
        <c:manualLayout>
          <c:xMode val="edge"/>
          <c:yMode val="edge"/>
          <c:x val="0.28397798583883044"/>
          <c:y val="8.4590163237273447E-2"/>
          <c:w val="0.52630916666666672"/>
          <c:h val="0.26570277777777779"/>
        </c:manualLayout>
      </c:layout>
      <c:overlay val="1"/>
    </c:legend>
    <c:plotVisOnly val="1"/>
    <c:dispBlanksAs val="gap"/>
    <c:showDLblsOverMax val="0"/>
  </c:chart>
  <c:spPr>
    <a:ln>
      <a:noFill/>
    </a:ln>
  </c:spPr>
  <c:txPr>
    <a:bodyPr/>
    <a:lstStyle/>
    <a:p>
      <a:pPr>
        <a:defRPr sz="7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736425662273174E-2"/>
          <c:y val="4.9439966715796278E-2"/>
          <c:w val="0.90111632087744498"/>
          <c:h val="0.85141723009005499"/>
        </c:manualLayout>
      </c:layout>
      <c:lineChart>
        <c:grouping val="standard"/>
        <c:varyColors val="0"/>
        <c:ser>
          <c:idx val="1"/>
          <c:order val="1"/>
          <c:tx>
            <c:strRef>
              <c:f>graf_11_12!$A$49</c:f>
              <c:strCache>
                <c:ptCount val="1"/>
                <c:pt idx="0">
                  <c:v>EU</c:v>
                </c:pt>
              </c:strCache>
            </c:strRef>
          </c:tx>
          <c:spPr>
            <a:ln w="28575" cap="rnd">
              <a:solidFill>
                <a:schemeClr val="tx1"/>
              </a:solidFill>
              <a:prstDash val="dash"/>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graf_11_12!$B$56:$P$56</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graf_11_12!$B$49:$P$49</c:f>
              <c:numCache>
                <c:formatCode>#\ ##0.0</c:formatCode>
                <c:ptCount val="15"/>
                <c:pt idx="0">
                  <c:v>5</c:v>
                </c:pt>
                <c:pt idx="1">
                  <c:v>4.9000000000000004</c:v>
                </c:pt>
                <c:pt idx="2">
                  <c:v>5</c:v>
                </c:pt>
                <c:pt idx="3">
                  <c:v>5.3</c:v>
                </c:pt>
                <c:pt idx="4">
                  <c:v>5.3</c:v>
                </c:pt>
                <c:pt idx="5">
                  <c:v>5.0999999999999996</c:v>
                </c:pt>
                <c:pt idx="6">
                  <c:v>5</c:v>
                </c:pt>
                <c:pt idx="7" formatCode="#\ ##0.0_ ;\-#\ ##0.0\ ">
                  <c:v>5</c:v>
                </c:pt>
                <c:pt idx="8">
                  <c:v>5</c:v>
                </c:pt>
                <c:pt idx="9">
                  <c:v>4.9000000000000004</c:v>
                </c:pt>
              </c:numCache>
            </c:numRef>
          </c:val>
          <c:smooth val="0"/>
        </c:ser>
        <c:ser>
          <c:idx val="7"/>
          <c:order val="2"/>
          <c:tx>
            <c:strRef>
              <c:f>graf_11_12!$A$50</c:f>
              <c:strCache>
                <c:ptCount val="1"/>
                <c:pt idx="0">
                  <c:v>SK</c:v>
                </c:pt>
              </c:strCache>
            </c:strRef>
          </c:tx>
          <c:spPr>
            <a:ln w="28575" cap="rnd">
              <a:solidFill>
                <a:schemeClr val="tx1"/>
              </a:solidFill>
              <a:round/>
            </a:ln>
            <a:effectLst/>
          </c:spPr>
          <c:marker>
            <c:symbol val="none"/>
          </c:marker>
          <c:dPt>
            <c:idx val="10"/>
            <c:marker>
              <c:symbol val="none"/>
            </c:marker>
            <c:bubble3D val="0"/>
            <c:spPr>
              <a:ln w="28575" cap="rnd">
                <a:solidFill>
                  <a:schemeClr val="tx1"/>
                </a:solidFill>
                <a:prstDash val="sysDot"/>
                <a:round/>
              </a:ln>
              <a:effectLst/>
            </c:spPr>
          </c:dPt>
          <c:dPt>
            <c:idx val="11"/>
            <c:marker>
              <c:symbol val="none"/>
            </c:marker>
            <c:bubble3D val="0"/>
            <c:spPr>
              <a:ln w="28575" cap="rnd">
                <a:solidFill>
                  <a:schemeClr val="tx1"/>
                </a:solidFill>
                <a:prstDash val="sysDot"/>
                <a:round/>
              </a:ln>
              <a:effectLst/>
            </c:spPr>
          </c:dPt>
          <c:dPt>
            <c:idx val="12"/>
            <c:marker>
              <c:symbol val="none"/>
            </c:marker>
            <c:bubble3D val="0"/>
            <c:spPr>
              <a:ln w="28575" cap="rnd">
                <a:solidFill>
                  <a:schemeClr val="tx1"/>
                </a:solidFill>
                <a:prstDash val="sysDot"/>
                <a:round/>
              </a:ln>
              <a:effectLst/>
            </c:spPr>
          </c:dPt>
          <c:dPt>
            <c:idx val="13"/>
            <c:marker>
              <c:symbol val="none"/>
            </c:marker>
            <c:bubble3D val="0"/>
            <c:spPr>
              <a:ln w="28575" cap="rnd">
                <a:solidFill>
                  <a:schemeClr val="tx1"/>
                </a:solidFill>
                <a:prstDash val="sysDot"/>
                <a:round/>
              </a:ln>
              <a:effectLst/>
            </c:spPr>
          </c:dPt>
          <c:dPt>
            <c:idx val="14"/>
            <c:marker>
              <c:symbol val="none"/>
            </c:marker>
            <c:bubble3D val="0"/>
            <c:spPr>
              <a:ln w="28575" cap="rnd">
                <a:solidFill>
                  <a:schemeClr val="tx1"/>
                </a:solidFill>
                <a:prstDash val="sysDot"/>
                <a:round/>
              </a:ln>
              <a:effectLst/>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graf_11_12!$B$56:$P$56</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graf_11_12!$B$50:$P$50</c:f>
              <c:numCache>
                <c:formatCode>#\ ##0.0</c:formatCode>
                <c:ptCount val="15"/>
                <c:pt idx="0">
                  <c:v>3.9</c:v>
                </c:pt>
                <c:pt idx="1">
                  <c:v>3.5</c:v>
                </c:pt>
                <c:pt idx="2">
                  <c:v>3.5</c:v>
                </c:pt>
                <c:pt idx="3">
                  <c:v>4.2</c:v>
                </c:pt>
                <c:pt idx="4">
                  <c:v>4.2</c:v>
                </c:pt>
                <c:pt idx="5">
                  <c:v>4.0999999999999996</c:v>
                </c:pt>
                <c:pt idx="6">
                  <c:v>4.0999999999999996</c:v>
                </c:pt>
                <c:pt idx="7">
                  <c:v>4</c:v>
                </c:pt>
                <c:pt idx="8">
                  <c:v>4.0999999999999996</c:v>
                </c:pt>
                <c:pt idx="9">
                  <c:v>4.2</c:v>
                </c:pt>
                <c:pt idx="10" formatCode="#\ ##0.0_ ;\-#\ ##0.0\ ">
                  <c:v>3.9485784287417869</c:v>
                </c:pt>
                <c:pt idx="11" formatCode="0.0">
                  <c:v>3.9877732541530033</c:v>
                </c:pt>
                <c:pt idx="12" formatCode="0.0">
                  <c:v>3.9161046278818201</c:v>
                </c:pt>
                <c:pt idx="13" formatCode="0.0">
                  <c:v>4.2369741389582414</c:v>
                </c:pt>
                <c:pt idx="14" formatCode="0.0">
                  <c:v>4.0480515328353057</c:v>
                </c:pt>
              </c:numCache>
            </c:numRef>
          </c:val>
          <c:smooth val="0"/>
        </c:ser>
        <c:ser>
          <c:idx val="0"/>
          <c:order val="3"/>
          <c:tx>
            <c:strRef>
              <c:f>graf_11_12!$A$51</c:f>
              <c:strCache>
                <c:ptCount val="1"/>
                <c:pt idx="0">
                  <c:v>V3</c:v>
                </c:pt>
              </c:strCache>
            </c:strRef>
          </c:tx>
          <c:spPr>
            <a:ln w="28575" cap="rnd">
              <a:solidFill>
                <a:schemeClr val="bg1">
                  <a:lumMod val="65000"/>
                </a:schemeClr>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graf_11_12!$B$56:$P$56</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graf_11_12!$B$51:$P$51</c:f>
              <c:numCache>
                <c:formatCode>#\ ##0.0</c:formatCode>
                <c:ptCount val="15"/>
                <c:pt idx="0">
                  <c:v>5.5666666666666673</c:v>
                </c:pt>
                <c:pt idx="1">
                  <c:v>5.3</c:v>
                </c:pt>
                <c:pt idx="2">
                  <c:v>5.1999999999999993</c:v>
                </c:pt>
                <c:pt idx="3">
                  <c:v>5.2666666666666666</c:v>
                </c:pt>
                <c:pt idx="4">
                  <c:v>5.3666666666666671</c:v>
                </c:pt>
                <c:pt idx="5">
                  <c:v>5.2</c:v>
                </c:pt>
                <c:pt idx="6">
                  <c:v>5.0333333333333341</c:v>
                </c:pt>
                <c:pt idx="7">
                  <c:v>4.9999999999999991</c:v>
                </c:pt>
                <c:pt idx="8">
                  <c:v>5.1666666666666661</c:v>
                </c:pt>
                <c:pt idx="9">
                  <c:v>5.1000000000000005</c:v>
                </c:pt>
              </c:numCache>
            </c:numRef>
          </c:val>
          <c:smooth val="0"/>
        </c:ser>
        <c:dLbls>
          <c:showLegendKey val="0"/>
          <c:showVal val="0"/>
          <c:showCatName val="0"/>
          <c:showSerName val="0"/>
          <c:showPercent val="0"/>
          <c:showBubbleSize val="0"/>
        </c:dLbls>
        <c:smooth val="0"/>
        <c:axId val="434717632"/>
        <c:axId val="434718024"/>
        <c:extLst>
          <c:ext xmlns:c15="http://schemas.microsoft.com/office/drawing/2012/chart" uri="{02D57815-91ED-43cb-92C2-25804820EDAC}">
            <c15:filteredLineSeries>
              <c15:ser>
                <c:idx val="5"/>
                <c:order val="0"/>
                <c:tx>
                  <c:strRef>
                    <c:extLst>
                      <c:ext uri="{02D57815-91ED-43cb-92C2-25804820EDAC}">
                        <c15:formulaRef>
                          <c15:sqref>graf_11_12!$A$56</c15:sqref>
                        </c15:formulaRef>
                      </c:ext>
                    </c:extLst>
                    <c:strCache>
                      <c:ptCount val="1"/>
                      <c:pt idx="0">
                        <c:v>GEO/TIME</c:v>
                      </c:pt>
                    </c:strCache>
                  </c:strRef>
                </c:tx>
                <c:spPr>
                  <a:ln w="28575" cap="rnd">
                    <a:solidFill>
                      <a:schemeClr val="accent6"/>
                    </a:solidFill>
                    <a:round/>
                  </a:ln>
                  <a:effectLst/>
                </c:spPr>
                <c:marker>
                  <c:symbol val="none"/>
                </c:marker>
                <c:cat>
                  <c:numRef>
                    <c:extLst>
                      <c:ext uri="{02D57815-91ED-43cb-92C2-25804820EDAC}">
                        <c15:formulaRef>
                          <c15:sqref>graf_11_12!$B$56:$P$56</c15:sqref>
                        </c15:formulaRef>
                      </c:ext>
                    </c:extLst>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extLst>
                      <c:ext uri="{02D57815-91ED-43cb-92C2-25804820EDAC}">
                        <c15:formulaRef>
                          <c15:sqref>graf_11_12!$B$56:$P$56</c15:sqref>
                        </c15:formulaRef>
                      </c:ext>
                    </c:extLst>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val>
                <c:smooth val="0"/>
              </c15:ser>
            </c15:filteredLineSeries>
          </c:ext>
        </c:extLst>
      </c:lineChart>
      <c:catAx>
        <c:axId val="4347176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434718024"/>
        <c:crosses val="autoZero"/>
        <c:auto val="1"/>
        <c:lblAlgn val="ctr"/>
        <c:lblOffset val="100"/>
        <c:noMultiLvlLbl val="0"/>
      </c:catAx>
      <c:valAx>
        <c:axId val="434718024"/>
        <c:scaling>
          <c:orientation val="minMax"/>
          <c:min val="2"/>
        </c:scaling>
        <c:delete val="0"/>
        <c:axPos val="l"/>
        <c:majorGridlines>
          <c:spPr>
            <a:ln w="9525" cap="flat" cmpd="sng" algn="ctr">
              <a:solidFill>
                <a:schemeClr val="tx1">
                  <a:lumMod val="15000"/>
                  <a:lumOff val="85000"/>
                </a:schemeClr>
              </a:solidFill>
              <a:prstDash val="dash"/>
              <a:round/>
            </a:ln>
            <a:effectLst/>
          </c:spPr>
        </c:majorGridlines>
        <c:numFmt formatCode="#\ ##0.0&quot;%&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434717632"/>
        <c:crosses val="autoZero"/>
        <c:crossBetween val="between"/>
      </c:valAx>
      <c:spPr>
        <a:noFill/>
        <a:ln>
          <a:noFill/>
        </a:ln>
        <a:effectLst/>
      </c:spPr>
    </c:plotArea>
    <c:legend>
      <c:legendPos val="b"/>
      <c:layout>
        <c:manualLayout>
          <c:xMode val="edge"/>
          <c:yMode val="edge"/>
          <c:x val="0.24429169326807121"/>
          <c:y val="0.69218561679790014"/>
          <c:w val="0.58235865787046892"/>
          <c:h val="4.965795275590550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noFill/>
    <a:ln w="9525" cap="flat" cmpd="sng" algn="ctr">
      <a:noFill/>
      <a:round/>
    </a:ln>
    <a:effectLst/>
  </c:spPr>
  <c:txPr>
    <a:bodyPr/>
    <a:lstStyle/>
    <a:p>
      <a:pPr>
        <a:defRPr>
          <a:latin typeface="Arial Narrow" panose="020B0606020202030204" pitchFamily="34" charset="0"/>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Hárok3!$B$5</c:f>
              <c:strCache>
                <c:ptCount val="1"/>
                <c:pt idx="0">
                  <c:v>Miera chudoby SR</c:v>
                </c:pt>
              </c:strCache>
            </c:strRef>
          </c:tx>
          <c:spPr>
            <a:solidFill>
              <a:schemeClr val="bg1">
                <a:lumMod val="75000"/>
              </a:schemeClr>
            </a:solidFill>
            <a:ln>
              <a:solidFill>
                <a:schemeClr val="bg1">
                  <a:lumMod val="75000"/>
                </a:schemeClr>
              </a:solidFill>
            </a:ln>
            <a:effectLst/>
          </c:spPr>
          <c:invertIfNegative val="0"/>
          <c:cat>
            <c:strRef>
              <c:f>Hárok3!$C$3:$H$3</c:f>
              <c:strCache>
                <c:ptCount val="6"/>
                <c:pt idx="0">
                  <c:v>2011</c:v>
                </c:pt>
                <c:pt idx="1">
                  <c:v>2012</c:v>
                </c:pt>
                <c:pt idx="2">
                  <c:v>2013</c:v>
                </c:pt>
                <c:pt idx="3">
                  <c:v>2014</c:v>
                </c:pt>
                <c:pt idx="4">
                  <c:v>2015</c:v>
                </c:pt>
                <c:pt idx="5">
                  <c:v>2016</c:v>
                </c:pt>
              </c:strCache>
            </c:strRef>
          </c:cat>
          <c:val>
            <c:numRef>
              <c:f>Hárok3!$C$5:$H$5</c:f>
              <c:numCache>
                <c:formatCode>#\ ##0.0</c:formatCode>
                <c:ptCount val="6"/>
                <c:pt idx="0">
                  <c:v>13</c:v>
                </c:pt>
                <c:pt idx="1">
                  <c:v>13.2</c:v>
                </c:pt>
                <c:pt idx="2">
                  <c:v>12.8</c:v>
                </c:pt>
                <c:pt idx="3">
                  <c:v>12.6</c:v>
                </c:pt>
                <c:pt idx="4">
                  <c:v>12.3</c:v>
                </c:pt>
                <c:pt idx="5">
                  <c:v>12.7</c:v>
                </c:pt>
              </c:numCache>
            </c:numRef>
          </c:val>
        </c:ser>
        <c:dLbls>
          <c:showLegendKey val="0"/>
          <c:showVal val="0"/>
          <c:showCatName val="0"/>
          <c:showSerName val="0"/>
          <c:showPercent val="0"/>
          <c:showBubbleSize val="0"/>
        </c:dLbls>
        <c:gapWidth val="110"/>
        <c:axId val="421886528"/>
        <c:axId val="421886920"/>
      </c:barChart>
      <c:lineChart>
        <c:grouping val="standard"/>
        <c:varyColors val="0"/>
        <c:ser>
          <c:idx val="0"/>
          <c:order val="0"/>
          <c:tx>
            <c:strRef>
              <c:f>Hárok3!$B$4</c:f>
              <c:strCache>
                <c:ptCount val="1"/>
                <c:pt idx="0">
                  <c:v>Miera chudoby EÚ</c:v>
                </c:pt>
              </c:strCache>
            </c:strRef>
          </c:tx>
          <c:spPr>
            <a:ln w="28575" cap="rnd">
              <a:noFill/>
              <a:round/>
            </a:ln>
            <a:effectLst/>
          </c:spPr>
          <c:marker>
            <c:symbol val="diamond"/>
            <c:size val="11"/>
            <c:spPr>
              <a:solidFill>
                <a:schemeClr val="tx1"/>
              </a:solidFill>
              <a:ln w="9525">
                <a:noFill/>
              </a:ln>
              <a:effectLst/>
            </c:spPr>
          </c:marker>
          <c:cat>
            <c:strRef>
              <c:f>Hárok3!$C$3:$H$3</c:f>
              <c:strCache>
                <c:ptCount val="6"/>
                <c:pt idx="0">
                  <c:v>2011</c:v>
                </c:pt>
                <c:pt idx="1">
                  <c:v>2012</c:v>
                </c:pt>
                <c:pt idx="2">
                  <c:v>2013</c:v>
                </c:pt>
                <c:pt idx="3">
                  <c:v>2014</c:v>
                </c:pt>
                <c:pt idx="4">
                  <c:v>2015</c:v>
                </c:pt>
                <c:pt idx="5">
                  <c:v>2016</c:v>
                </c:pt>
              </c:strCache>
            </c:strRef>
          </c:cat>
          <c:val>
            <c:numRef>
              <c:f>Hárok3!$C$4:$H$4</c:f>
              <c:numCache>
                <c:formatCode>#\ ##0.0</c:formatCode>
                <c:ptCount val="6"/>
                <c:pt idx="0">
                  <c:v>16.8</c:v>
                </c:pt>
                <c:pt idx="1">
                  <c:v>16.8</c:v>
                </c:pt>
                <c:pt idx="2">
                  <c:v>16.7</c:v>
                </c:pt>
                <c:pt idx="3">
                  <c:v>17.2</c:v>
                </c:pt>
                <c:pt idx="4">
                  <c:v>17.3</c:v>
                </c:pt>
              </c:numCache>
            </c:numRef>
          </c:val>
          <c:smooth val="0"/>
        </c:ser>
        <c:dLbls>
          <c:showLegendKey val="0"/>
          <c:showVal val="0"/>
          <c:showCatName val="0"/>
          <c:showSerName val="0"/>
          <c:showPercent val="0"/>
          <c:showBubbleSize val="0"/>
        </c:dLbls>
        <c:marker val="1"/>
        <c:smooth val="0"/>
        <c:axId val="421886528"/>
        <c:axId val="421886920"/>
      </c:lineChart>
      <c:catAx>
        <c:axId val="4218865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421886920"/>
        <c:crosses val="autoZero"/>
        <c:auto val="1"/>
        <c:lblAlgn val="ctr"/>
        <c:lblOffset val="100"/>
        <c:noMultiLvlLbl val="0"/>
      </c:catAx>
      <c:valAx>
        <c:axId val="421886920"/>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421886528"/>
        <c:crosses val="autoZero"/>
        <c:crossBetween val="between"/>
      </c:valAx>
      <c:spPr>
        <a:noFill/>
        <a:ln>
          <a:noFill/>
        </a:ln>
        <a:effectLst/>
      </c:spPr>
    </c:plotArea>
    <c:legend>
      <c:legendPos val="t"/>
      <c:overlay val="1"/>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Narrow" panose="020B0606020202030204" pitchFamily="34" charset="0"/>
        </a:defRPr>
      </a:pPr>
      <a:endParaRPr lang="sk-SK"/>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005526295874471E-2"/>
          <c:y val="5.7117295196511562E-2"/>
          <c:w val="0.86774526740739388"/>
          <c:h val="0.85141723009005499"/>
        </c:manualLayout>
      </c:layout>
      <c:lineChart>
        <c:grouping val="standard"/>
        <c:varyColors val="0"/>
        <c:ser>
          <c:idx val="0"/>
          <c:order val="0"/>
          <c:tx>
            <c:strRef>
              <c:f>graf_11_12!$A$58</c:f>
              <c:strCache>
                <c:ptCount val="1"/>
                <c:pt idx="0">
                  <c:v>SK</c:v>
                </c:pt>
              </c:strCache>
            </c:strRef>
          </c:tx>
          <c:spPr>
            <a:ln w="28575" cap="rnd">
              <a:solidFill>
                <a:schemeClr val="tx1"/>
              </a:solidFill>
              <a:round/>
            </a:ln>
            <a:effectLst/>
          </c:spPr>
          <c:marker>
            <c:symbol val="none"/>
          </c:marker>
          <c:dPt>
            <c:idx val="10"/>
            <c:marker>
              <c:symbol val="none"/>
            </c:marker>
            <c:bubble3D val="0"/>
            <c:spPr>
              <a:ln w="28575" cap="rnd">
                <a:solidFill>
                  <a:schemeClr val="tx1"/>
                </a:solidFill>
                <a:prstDash val="sysDot"/>
                <a:round/>
              </a:ln>
              <a:effectLst/>
            </c:spPr>
          </c:dPt>
          <c:dPt>
            <c:idx val="11"/>
            <c:marker>
              <c:symbol val="none"/>
            </c:marker>
            <c:bubble3D val="0"/>
            <c:spPr>
              <a:ln w="28575" cap="rnd">
                <a:solidFill>
                  <a:schemeClr val="tx1"/>
                </a:solidFill>
                <a:prstDash val="sysDot"/>
                <a:round/>
              </a:ln>
              <a:effectLst/>
            </c:spPr>
          </c:dPt>
          <c:dPt>
            <c:idx val="12"/>
            <c:marker>
              <c:symbol val="none"/>
            </c:marker>
            <c:bubble3D val="0"/>
            <c:spPr>
              <a:ln w="28575" cap="rnd">
                <a:solidFill>
                  <a:schemeClr val="tx1"/>
                </a:solidFill>
                <a:prstDash val="sysDot"/>
                <a:round/>
              </a:ln>
              <a:effectLst/>
            </c:spPr>
          </c:dPt>
          <c:dPt>
            <c:idx val="13"/>
            <c:marker>
              <c:symbol val="none"/>
            </c:marker>
            <c:bubble3D val="0"/>
            <c:spPr>
              <a:ln w="28575" cap="rnd">
                <a:solidFill>
                  <a:schemeClr val="tx1"/>
                </a:solidFill>
                <a:prstDash val="sysDot"/>
                <a:round/>
              </a:ln>
              <a:effectLst/>
            </c:spPr>
          </c:dPt>
          <c:dPt>
            <c:idx val="14"/>
            <c:marker>
              <c:symbol val="none"/>
            </c:marker>
            <c:bubble3D val="0"/>
            <c:spPr>
              <a:ln w="28575" cap="rnd">
                <a:solidFill>
                  <a:schemeClr val="tx1"/>
                </a:solidFill>
                <a:prstDash val="sysDot"/>
                <a:round/>
              </a:ln>
              <a:effectLst/>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graf_11_12!$B$13:$P$13</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graf_11_12!$B$58:$P$58</c:f>
              <c:numCache>
                <c:formatCode>#\ ##0.0</c:formatCode>
                <c:ptCount val="15"/>
                <c:pt idx="0">
                  <c:v>10</c:v>
                </c:pt>
                <c:pt idx="1">
                  <c:v>9.6999999999999993</c:v>
                </c:pt>
                <c:pt idx="2">
                  <c:v>9.5</c:v>
                </c:pt>
                <c:pt idx="3">
                  <c:v>9.5</c:v>
                </c:pt>
                <c:pt idx="4">
                  <c:v>9.9</c:v>
                </c:pt>
                <c:pt idx="5">
                  <c:v>10.1</c:v>
                </c:pt>
                <c:pt idx="6">
                  <c:v>10</c:v>
                </c:pt>
                <c:pt idx="7">
                  <c:v>9.5</c:v>
                </c:pt>
                <c:pt idx="8">
                  <c:v>9.8000000000000007</c:v>
                </c:pt>
                <c:pt idx="9">
                  <c:v>9.3000000000000007</c:v>
                </c:pt>
                <c:pt idx="10" formatCode="0.0">
                  <c:v>9.7447492457143436</c:v>
                </c:pt>
                <c:pt idx="11" formatCode="0.0">
                  <c:v>9.7691440911536098</c:v>
                </c:pt>
                <c:pt idx="12" formatCode="0.0">
                  <c:v>9.9636747253693727</c:v>
                </c:pt>
                <c:pt idx="13" formatCode="0.0">
                  <c:v>10.796916379992892</c:v>
                </c:pt>
                <c:pt idx="14" formatCode="0.0">
                  <c:v>10.492329223052373</c:v>
                </c:pt>
              </c:numCache>
            </c:numRef>
          </c:val>
          <c:smooth val="0"/>
        </c:ser>
        <c:ser>
          <c:idx val="1"/>
          <c:order val="1"/>
          <c:tx>
            <c:strRef>
              <c:f>graf_11_12!$A$59</c:f>
              <c:strCache>
                <c:ptCount val="1"/>
                <c:pt idx="0">
                  <c:v>V3</c:v>
                </c:pt>
              </c:strCache>
            </c:strRef>
          </c:tx>
          <c:spPr>
            <a:ln w="28575" cap="rnd">
              <a:solidFill>
                <a:schemeClr val="bg1">
                  <a:lumMod val="65000"/>
                </a:schemeClr>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graf_11_12!$B$13:$P$13</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graf_11_12!$B$59:$P$59</c:f>
              <c:numCache>
                <c:formatCode>#\ ##0.0</c:formatCode>
                <c:ptCount val="15"/>
                <c:pt idx="0">
                  <c:v>12.266666666666666</c:v>
                </c:pt>
                <c:pt idx="1">
                  <c:v>11.966666666666667</c:v>
                </c:pt>
                <c:pt idx="2">
                  <c:v>11.766666666666666</c:v>
                </c:pt>
                <c:pt idx="3">
                  <c:v>11.4</c:v>
                </c:pt>
                <c:pt idx="4">
                  <c:v>11.700000000000001</c:v>
                </c:pt>
                <c:pt idx="5">
                  <c:v>11.466666666666667</c:v>
                </c:pt>
                <c:pt idx="6">
                  <c:v>11.200000000000001</c:v>
                </c:pt>
                <c:pt idx="7">
                  <c:v>11.233333333333334</c:v>
                </c:pt>
                <c:pt idx="8">
                  <c:v>11.666666666666666</c:v>
                </c:pt>
                <c:pt idx="9">
                  <c:v>11.566666666666668</c:v>
                </c:pt>
              </c:numCache>
            </c:numRef>
          </c:val>
          <c:smooth val="0"/>
        </c:ser>
        <c:ser>
          <c:idx val="5"/>
          <c:order val="2"/>
          <c:tx>
            <c:strRef>
              <c:f>graf_11_12!$A$57</c:f>
              <c:strCache>
                <c:ptCount val="1"/>
                <c:pt idx="0">
                  <c:v>EU</c:v>
                </c:pt>
              </c:strCache>
            </c:strRef>
          </c:tx>
          <c:spPr>
            <a:ln w="28575" cap="rnd">
              <a:solidFill>
                <a:schemeClr val="tx1"/>
              </a:solidFill>
              <a:prstDash val="dash"/>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graf_11_12!$B$13:$P$13</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graf_11_12!$B$57:$P$57</c:f>
              <c:numCache>
                <c:formatCode>#\ ##0.0</c:formatCode>
                <c:ptCount val="15"/>
                <c:pt idx="0">
                  <c:v>11</c:v>
                </c:pt>
                <c:pt idx="1">
                  <c:v>10.9</c:v>
                </c:pt>
                <c:pt idx="2">
                  <c:v>10.7</c:v>
                </c:pt>
                <c:pt idx="3">
                  <c:v>10.5</c:v>
                </c:pt>
                <c:pt idx="4">
                  <c:v>10.6</c:v>
                </c:pt>
                <c:pt idx="5">
                  <c:v>10.5</c:v>
                </c:pt>
                <c:pt idx="6">
                  <c:v>10.3</c:v>
                </c:pt>
                <c:pt idx="7">
                  <c:v>10.199999999999999</c:v>
                </c:pt>
                <c:pt idx="8">
                  <c:v>10.3</c:v>
                </c:pt>
                <c:pt idx="9">
                  <c:v>10.3</c:v>
                </c:pt>
              </c:numCache>
            </c:numRef>
          </c:val>
          <c:smooth val="0"/>
        </c:ser>
        <c:dLbls>
          <c:showLegendKey val="0"/>
          <c:showVal val="0"/>
          <c:showCatName val="0"/>
          <c:showSerName val="0"/>
          <c:showPercent val="0"/>
          <c:showBubbleSize val="0"/>
        </c:dLbls>
        <c:smooth val="0"/>
        <c:axId val="434718808"/>
        <c:axId val="434719200"/>
        <c:extLst/>
      </c:lineChart>
      <c:catAx>
        <c:axId val="4347188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434719200"/>
        <c:crosses val="autoZero"/>
        <c:auto val="1"/>
        <c:lblAlgn val="ctr"/>
        <c:lblOffset val="100"/>
        <c:noMultiLvlLbl val="0"/>
      </c:catAx>
      <c:valAx>
        <c:axId val="434719200"/>
        <c:scaling>
          <c:orientation val="minMax"/>
          <c:min val="8"/>
        </c:scaling>
        <c:delete val="0"/>
        <c:axPos val="l"/>
        <c:majorGridlines>
          <c:spPr>
            <a:ln w="9525" cap="flat" cmpd="sng" algn="ctr">
              <a:solidFill>
                <a:schemeClr val="tx1">
                  <a:lumMod val="15000"/>
                  <a:lumOff val="85000"/>
                </a:schemeClr>
              </a:solidFill>
              <a:prstDash val="dash"/>
              <a:round/>
            </a:ln>
            <a:effectLst/>
          </c:spPr>
        </c:majorGridlines>
        <c:numFmt formatCode="#\ ##0&quot;%&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434718808"/>
        <c:crosses val="autoZero"/>
        <c:crossBetween val="between"/>
      </c:valAx>
      <c:spPr>
        <a:noFill/>
        <a:ln>
          <a:noFill/>
        </a:ln>
        <a:effectLst/>
      </c:spPr>
    </c:plotArea>
    <c:legend>
      <c:legendPos val="b"/>
      <c:layout>
        <c:manualLayout>
          <c:xMode val="edge"/>
          <c:yMode val="edge"/>
          <c:x val="0.18081249659035115"/>
          <c:y val="0.77296311645254856"/>
          <c:w val="0.69545198305177214"/>
          <c:h val="7.028765129055224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noFill/>
    <a:ln w="9525" cap="flat" cmpd="sng" algn="ctr">
      <a:noFill/>
      <a:round/>
    </a:ln>
    <a:effectLst/>
  </c:spPr>
  <c:txPr>
    <a:bodyPr/>
    <a:lstStyle/>
    <a:p>
      <a:pPr>
        <a:defRPr sz="900">
          <a:latin typeface="Arial Narrow" panose="020B0606020202030204" pitchFamily="34" charset="0"/>
        </a:defRPr>
      </a:pPr>
      <a:endParaRPr lang="sk-SK"/>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a:ln>
              <a:noFill/>
            </a:ln>
            <a:effectLst/>
          </c:spPr>
          <c:invertIfNegative val="0"/>
          <c:dPt>
            <c:idx val="5"/>
            <c:invertIfNegative val="0"/>
            <c:bubble3D val="0"/>
            <c:spPr>
              <a:solidFill>
                <a:schemeClr val="tx1">
                  <a:lumMod val="75000"/>
                  <a:lumOff val="2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D3.2a.'!$V$23:$V$29</c:f>
              <c:strCache>
                <c:ptCount val="7"/>
                <c:pt idx="0">
                  <c:v>EE</c:v>
                </c:pt>
                <c:pt idx="1">
                  <c:v>EU-22 krajín</c:v>
                </c:pt>
                <c:pt idx="2">
                  <c:v>OECD</c:v>
                </c:pt>
                <c:pt idx="3">
                  <c:v>PL</c:v>
                </c:pt>
                <c:pt idx="4">
                  <c:v>HU</c:v>
                </c:pt>
                <c:pt idx="5">
                  <c:v>SK</c:v>
                </c:pt>
                <c:pt idx="6">
                  <c:v>CZ</c:v>
                </c:pt>
              </c:strCache>
            </c:strRef>
          </c:cat>
          <c:val>
            <c:numRef>
              <c:f>'Table D3.2a.'!$W$23:$W$29</c:f>
              <c:numCache>
                <c:formatCode>0%</c:formatCode>
                <c:ptCount val="7"/>
                <c:pt idx="0">
                  <c:v>0.94160906474779216</c:v>
                </c:pt>
                <c:pt idx="1">
                  <c:v>0.89935288045750383</c:v>
                </c:pt>
                <c:pt idx="2">
                  <c:v>0.88106710794625498</c:v>
                </c:pt>
                <c:pt idx="3">
                  <c:v>0.85493063328698038</c:v>
                </c:pt>
                <c:pt idx="4">
                  <c:v>0.6862404368016497</c:v>
                </c:pt>
                <c:pt idx="5">
                  <c:v>0.6241726015248944</c:v>
                </c:pt>
                <c:pt idx="6">
                  <c:v>0.58303919093388179</c:v>
                </c:pt>
              </c:numCache>
            </c:numRef>
          </c:val>
        </c:ser>
        <c:dLbls>
          <c:showLegendKey val="0"/>
          <c:showVal val="0"/>
          <c:showCatName val="0"/>
          <c:showSerName val="0"/>
          <c:showPercent val="0"/>
          <c:showBubbleSize val="0"/>
        </c:dLbls>
        <c:gapWidth val="219"/>
        <c:overlap val="-27"/>
        <c:axId val="434719592"/>
        <c:axId val="434719984"/>
      </c:barChart>
      <c:catAx>
        <c:axId val="434719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crossAx val="434719984"/>
        <c:crosses val="autoZero"/>
        <c:auto val="1"/>
        <c:lblAlgn val="ctr"/>
        <c:lblOffset val="100"/>
        <c:noMultiLvlLbl val="0"/>
      </c:catAx>
      <c:valAx>
        <c:axId val="434719984"/>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crossAx val="4347195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sk-SK"/>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39072307251561"/>
          <c:y val="6.2713797035347782E-2"/>
          <c:w val="0.83409770030124408"/>
          <c:h val="0.73326128351603104"/>
        </c:manualLayout>
      </c:layout>
      <c:lineChart>
        <c:grouping val="standard"/>
        <c:varyColors val="0"/>
        <c:ser>
          <c:idx val="1"/>
          <c:order val="0"/>
          <c:tx>
            <c:strRef>
              <c:f>'OECD platy podla veku '!$E$7</c:f>
              <c:strCache>
                <c:ptCount val="1"/>
                <c:pt idx="0">
                  <c:v>priemer (OECD 21 krajín)</c:v>
                </c:pt>
              </c:strCache>
            </c:strRef>
          </c:tx>
          <c:spPr>
            <a:ln w="19050" cap="rnd">
              <a:solidFill>
                <a:sysClr val="window" lastClr="FFFFFF">
                  <a:lumMod val="75000"/>
                </a:sysClr>
              </a:solidFill>
              <a:round/>
            </a:ln>
            <a:effectLst/>
          </c:spPr>
          <c:marker>
            <c:symbol val="none"/>
          </c:marker>
          <c:dLbls>
            <c:spPr>
              <a:noFill/>
              <a:ln>
                <a:noFill/>
              </a:ln>
              <a:effectLst/>
            </c:spPr>
            <c:txPr>
              <a:bodyPr rot="0" vert="horz"/>
              <a:lstStyle/>
              <a:p>
                <a:pPr>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'OECD platy podla veku '!$F$6:$I$6</c:f>
              <c:strCache>
                <c:ptCount val="4"/>
                <c:pt idx="0">
                  <c:v>25-34 rokov </c:v>
                </c:pt>
                <c:pt idx="1">
                  <c:v>35-44 rokov</c:v>
                </c:pt>
                <c:pt idx="2">
                  <c:v>45-54 rokov</c:v>
                </c:pt>
                <c:pt idx="3">
                  <c:v>55-64 rokov</c:v>
                </c:pt>
              </c:strCache>
            </c:strRef>
          </c:cat>
          <c:val>
            <c:numRef>
              <c:f>'OECD platy podla veku '!$F$7:$I$7</c:f>
              <c:numCache>
                <c:formatCode>0%</c:formatCode>
                <c:ptCount val="4"/>
                <c:pt idx="0">
                  <c:v>0.91605480299362996</c:v>
                </c:pt>
                <c:pt idx="1">
                  <c:v>0.78981860319997832</c:v>
                </c:pt>
                <c:pt idx="2">
                  <c:v>0.79085147598975458</c:v>
                </c:pt>
                <c:pt idx="3">
                  <c:v>0.82809229973912835</c:v>
                </c:pt>
              </c:numCache>
            </c:numRef>
          </c:val>
          <c:smooth val="0"/>
        </c:ser>
        <c:ser>
          <c:idx val="2"/>
          <c:order val="1"/>
          <c:tx>
            <c:strRef>
              <c:f>'OECD platy podla veku '!$E$8</c:f>
              <c:strCache>
                <c:ptCount val="1"/>
                <c:pt idx="0">
                  <c:v>SK</c:v>
                </c:pt>
              </c:strCache>
            </c:strRef>
          </c:tx>
          <c:spPr>
            <a:ln w="19050" cap="rnd">
              <a:solidFill>
                <a:sysClr val="windowText" lastClr="000000"/>
              </a:solidFill>
              <a:round/>
            </a:ln>
            <a:effectLst/>
          </c:spPr>
          <c:marker>
            <c:symbol val="none"/>
          </c:marker>
          <c:dLbls>
            <c:spPr>
              <a:noFill/>
              <a:ln>
                <a:noFill/>
              </a:ln>
              <a:effectLst/>
            </c:spPr>
            <c:txPr>
              <a:bodyPr rot="0" vert="horz"/>
              <a:lstStyle/>
              <a:p>
                <a:pPr>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'OECD platy podla veku '!$F$6:$I$6</c:f>
              <c:strCache>
                <c:ptCount val="4"/>
                <c:pt idx="0">
                  <c:v>25-34 rokov </c:v>
                </c:pt>
                <c:pt idx="1">
                  <c:v>35-44 rokov</c:v>
                </c:pt>
                <c:pt idx="2">
                  <c:v>45-54 rokov</c:v>
                </c:pt>
                <c:pt idx="3">
                  <c:v>55-64 rokov</c:v>
                </c:pt>
              </c:strCache>
            </c:strRef>
          </c:cat>
          <c:val>
            <c:numRef>
              <c:f>'OECD platy podla veku '!$F$8:$I$8</c:f>
              <c:numCache>
                <c:formatCode>0%</c:formatCode>
                <c:ptCount val="4"/>
                <c:pt idx="0">
                  <c:v>0.5791712264903921</c:v>
                </c:pt>
                <c:pt idx="1">
                  <c:v>0.54175724340054165</c:v>
                </c:pt>
                <c:pt idx="2">
                  <c:v>0.63329113956653638</c:v>
                </c:pt>
                <c:pt idx="3">
                  <c:v>0.64320283946996715</c:v>
                </c:pt>
              </c:numCache>
            </c:numRef>
          </c:val>
          <c:smooth val="0"/>
        </c:ser>
        <c:dLbls>
          <c:showLegendKey val="0"/>
          <c:showVal val="0"/>
          <c:showCatName val="0"/>
          <c:showSerName val="0"/>
          <c:showPercent val="0"/>
          <c:showBubbleSize val="0"/>
        </c:dLbls>
        <c:smooth val="0"/>
        <c:axId val="434720768"/>
        <c:axId val="434721160"/>
      </c:lineChart>
      <c:catAx>
        <c:axId val="43472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sk-SK"/>
          </a:p>
        </c:txPr>
        <c:crossAx val="434721160"/>
        <c:crosses val="autoZero"/>
        <c:auto val="1"/>
        <c:lblAlgn val="ctr"/>
        <c:lblOffset val="100"/>
        <c:noMultiLvlLbl val="0"/>
      </c:catAx>
      <c:valAx>
        <c:axId val="434721160"/>
        <c:scaling>
          <c:orientation val="minMax"/>
          <c:min val="0.5"/>
        </c:scaling>
        <c:delete val="0"/>
        <c:axPos val="l"/>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vert="horz"/>
          <a:lstStyle/>
          <a:p>
            <a:pPr>
              <a:defRPr/>
            </a:pPr>
            <a:endParaRPr lang="sk-SK"/>
          </a:p>
        </c:txPr>
        <c:crossAx val="434720768"/>
        <c:crosses val="autoZero"/>
        <c:crossBetween val="between"/>
      </c:valAx>
      <c:spPr>
        <a:noFill/>
        <a:ln>
          <a:noFill/>
        </a:ln>
        <a:effectLst/>
      </c:spPr>
    </c:plotArea>
    <c:legend>
      <c:legendPos val="b"/>
      <c:layout>
        <c:manualLayout>
          <c:xMode val="edge"/>
          <c:yMode val="edge"/>
          <c:x val="0.1767123596871229"/>
          <c:y val="0.8973012197004786"/>
          <c:w val="0.6785912073490814"/>
          <c:h val="9.7050618672665942E-2"/>
        </c:manualLayout>
      </c:layout>
      <c:overlay val="0"/>
      <c:spPr>
        <a:noFill/>
        <a:ln>
          <a:noFill/>
        </a:ln>
        <a:effectLst/>
      </c:spPr>
      <c:txPr>
        <a:bodyPr rot="0" vert="horz"/>
        <a:lstStyle/>
        <a:p>
          <a:pPr>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91984833281625E-2"/>
          <c:y val="3.1722799355962859E-2"/>
          <c:w val="0.90581839532993791"/>
          <c:h val="0.75853698843200157"/>
        </c:manualLayout>
      </c:layout>
      <c:barChart>
        <c:barDir val="col"/>
        <c:grouping val="stacked"/>
        <c:varyColors val="0"/>
        <c:ser>
          <c:idx val="0"/>
          <c:order val="0"/>
          <c:tx>
            <c:strRef>
              <c:f>'Bc Mgr PhD'!$B$85</c:f>
              <c:strCache>
                <c:ptCount val="1"/>
                <c:pt idx="0">
                  <c:v>krátke terciárne programy</c:v>
                </c:pt>
              </c:strCache>
            </c:strRef>
          </c:tx>
          <c:spPr>
            <a:solidFill>
              <a:schemeClr val="bg1">
                <a:lumMod val="50000"/>
              </a:schemeClr>
            </a:solidFill>
            <a:ln>
              <a:noFill/>
            </a:ln>
            <a:effectLst/>
          </c:spPr>
          <c:invertIfNegative val="0"/>
          <c:dLbls>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PhD'!$B$86:$B$92</c:f>
              <c:numCache>
                <c:formatCode>0.0</c:formatCode>
                <c:ptCount val="7"/>
                <c:pt idx="0">
                  <c:v>0.45595392584800998</c:v>
                </c:pt>
                <c:pt idx="1">
                  <c:v>1.560131490230575</c:v>
                </c:pt>
                <c:pt idx="2">
                  <c:v>7.5660788851965002</c:v>
                </c:pt>
              </c:numCache>
            </c:numRef>
          </c:val>
        </c:ser>
        <c:ser>
          <c:idx val="1"/>
          <c:order val="1"/>
          <c:tx>
            <c:strRef>
              <c:f>'Bc Mgr PhD'!$C$85</c:f>
              <c:strCache>
                <c:ptCount val="1"/>
                <c:pt idx="0">
                  <c:v>Bc.</c:v>
                </c:pt>
              </c:strCache>
            </c:strRef>
          </c:tx>
          <c:spPr>
            <a:solidFill>
              <a:schemeClr val="bg1">
                <a:lumMod val="85000"/>
              </a:schemeClr>
            </a:solidFill>
            <a:ln>
              <a:noFill/>
            </a:ln>
            <a:effectLst/>
          </c:spPr>
          <c:invertIfNegative val="0"/>
          <c:dLbls>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PhD'!$C$86:$C$92</c:f>
              <c:numCache>
                <c:formatCode>0.0</c:formatCode>
                <c:ptCount val="7"/>
                <c:pt idx="0">
                  <c:v>5.6852378845215004</c:v>
                </c:pt>
                <c:pt idx="1">
                  <c:v>12.931286493937</c:v>
                </c:pt>
                <c:pt idx="2">
                  <c:v>21.482681001936001</c:v>
                </c:pt>
              </c:numCache>
            </c:numRef>
          </c:val>
        </c:ser>
        <c:ser>
          <c:idx val="2"/>
          <c:order val="2"/>
          <c:tx>
            <c:strRef>
              <c:f>'Bc Mgr PhD'!$D$85</c:f>
              <c:strCache>
                <c:ptCount val="1"/>
                <c:pt idx="0">
                  <c:v>Mgr.</c:v>
                </c:pt>
              </c:strCache>
            </c:strRef>
          </c:tx>
          <c:spPr>
            <a:solidFill>
              <a:schemeClr val="bg1">
                <a:lumMod val="65000"/>
              </a:schemeClr>
            </a:solidFill>
            <a:ln>
              <a:noFill/>
            </a:ln>
            <a:effectLst/>
          </c:spPr>
          <c:invertIfNegative val="0"/>
          <c:dLbls>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PhD'!$D$86:$D$92</c:f>
              <c:numCache>
                <c:formatCode>0.0</c:formatCode>
                <c:ptCount val="7"/>
                <c:pt idx="0">
                  <c:v>24.363370895386002</c:v>
                </c:pt>
                <c:pt idx="1">
                  <c:v>20.88508288065567</c:v>
                </c:pt>
                <c:pt idx="2">
                  <c:v>13.526628757968</c:v>
                </c:pt>
              </c:numCache>
            </c:numRef>
          </c:val>
        </c:ser>
        <c:ser>
          <c:idx val="3"/>
          <c:order val="3"/>
          <c:tx>
            <c:strRef>
              <c:f>'Bc Mgr PhD'!$E$85</c:f>
              <c:strCache>
                <c:ptCount val="1"/>
                <c:pt idx="0">
                  <c:v>PhD.</c:v>
                </c:pt>
              </c:strCache>
            </c:strRef>
          </c:tx>
          <c:spPr>
            <a:solidFill>
              <a:schemeClr val="tx1"/>
            </a:solidFill>
            <a:ln>
              <a:noFill/>
            </a:ln>
            <a:effectLst/>
          </c:spPr>
          <c:invertIfNegative val="0"/>
          <c:dLbls>
            <c:spPr>
              <a:noFill/>
              <a:ln>
                <a:noFill/>
              </a:ln>
              <a:effectLst/>
            </c:spPr>
            <c:txPr>
              <a:bodyPr rot="0" vert="horz"/>
              <a:lstStyle/>
              <a:p>
                <a:pPr>
                  <a:defRPr/>
                </a:pPr>
                <a:endParaRPr lang="sk-SK"/>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PhD'!$E$86:$E$92</c:f>
              <c:numCache>
                <c:formatCode>0.0</c:formatCode>
                <c:ptCount val="7"/>
                <c:pt idx="0">
                  <c:v>0.80843418836594005</c:v>
                </c:pt>
                <c:pt idx="1">
                  <c:v>0.56889253854751665</c:v>
                </c:pt>
                <c:pt idx="2">
                  <c:v>0.71653685762236996</c:v>
                </c:pt>
              </c:numCache>
            </c:numRef>
          </c:val>
        </c:ser>
        <c:ser>
          <c:idx val="4"/>
          <c:order val="4"/>
          <c:tx>
            <c:strRef>
              <c:f>'Bc Mgr PhD'!$F$84:$F$85</c:f>
              <c:strCache>
                <c:ptCount val="2"/>
                <c:pt idx="0">
                  <c:v>25-34 rokov</c:v>
                </c:pt>
                <c:pt idx="1">
                  <c:v>PhD.</c:v>
                </c:pt>
              </c:strCache>
            </c:strRef>
          </c:tx>
          <c:spPr>
            <a:solidFill>
              <a:schemeClr val="accent5"/>
            </a:solidFill>
            <a:ln>
              <a:noFill/>
            </a:ln>
            <a:effectLst/>
          </c:spPr>
          <c:invertIfNegative val="0"/>
          <c:cat>
            <c:strRef>
              <c:f>'Bc Mgr PhD'!$A$86:$A$92</c:f>
              <c:strCache>
                <c:ptCount val="7"/>
                <c:pt idx="0">
                  <c:v>SR</c:v>
                </c:pt>
                <c:pt idx="1">
                  <c:v>V3</c:v>
                </c:pt>
                <c:pt idx="2">
                  <c:v>OECD</c:v>
                </c:pt>
                <c:pt idx="4">
                  <c:v>SR</c:v>
                </c:pt>
                <c:pt idx="5">
                  <c:v>V3</c:v>
                </c:pt>
                <c:pt idx="6">
                  <c:v>OECD</c:v>
                </c:pt>
              </c:strCache>
            </c:strRef>
          </c:cat>
          <c:val>
            <c:numRef>
              <c:f>'Bc Mgr PhD'!$F$86:$F$92</c:f>
              <c:numCache>
                <c:formatCode>General</c:formatCode>
                <c:ptCount val="7"/>
              </c:numCache>
            </c:numRef>
          </c:val>
        </c:ser>
        <c:ser>
          <c:idx val="5"/>
          <c:order val="5"/>
          <c:tx>
            <c:strRef>
              <c:f>'Bc Mgr PhD'!$G$84:$G$85</c:f>
              <c:strCache>
                <c:ptCount val="2"/>
                <c:pt idx="0">
                  <c:v>25-64 rokov</c:v>
                </c:pt>
                <c:pt idx="1">
                  <c:v>krátke</c:v>
                </c:pt>
              </c:strCache>
            </c:strRef>
          </c:tx>
          <c:spPr>
            <a:solidFill>
              <a:schemeClr val="bg1">
                <a:lumMod val="50000"/>
              </a:schemeClr>
            </a:solidFill>
            <a:ln>
              <a:noFill/>
            </a:ln>
            <a:effectLst/>
          </c:spPr>
          <c:invertIfNegative val="0"/>
          <c:dLbls>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PhD'!$G$86:$G$92</c:f>
              <c:numCache>
                <c:formatCode>General</c:formatCode>
                <c:ptCount val="7"/>
                <c:pt idx="4" formatCode="0.0">
                  <c:v>0.29992398619652</c:v>
                </c:pt>
                <c:pt idx="5" formatCode="0.0">
                  <c:v>0.54226438949505662</c:v>
                </c:pt>
                <c:pt idx="6" formatCode="0.0">
                  <c:v>7.5575248291715997</c:v>
                </c:pt>
              </c:numCache>
            </c:numRef>
          </c:val>
        </c:ser>
        <c:ser>
          <c:idx val="6"/>
          <c:order val="6"/>
          <c:tx>
            <c:strRef>
              <c:f>'Bc Mgr PhD'!$H$84:$H$85</c:f>
              <c:strCache>
                <c:ptCount val="2"/>
                <c:pt idx="0">
                  <c:v>25-64 rokov</c:v>
                </c:pt>
                <c:pt idx="1">
                  <c:v>Bc.</c:v>
                </c:pt>
              </c:strCache>
            </c:strRef>
          </c:tx>
          <c:spPr>
            <a:solidFill>
              <a:schemeClr val="bg1">
                <a:lumMod val="85000"/>
              </a:schemeClr>
            </a:solidFill>
            <a:ln>
              <a:noFill/>
            </a:ln>
            <a:effectLst/>
          </c:spPr>
          <c:invertIfNegative val="0"/>
          <c:dLbls>
            <c:dLbl>
              <c:idx val="4"/>
              <c:layout>
                <c:manualLayout>
                  <c:x val="0"/>
                  <c:y val="-3.31950207468879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PhD'!$H$86:$H$92</c:f>
              <c:numCache>
                <c:formatCode>General</c:formatCode>
                <c:ptCount val="7"/>
                <c:pt idx="4" formatCode="0.0">
                  <c:v>2.8510770797729998</c:v>
                </c:pt>
                <c:pt idx="5" formatCode="0.0">
                  <c:v>8.1639928817747993</c:v>
                </c:pt>
                <c:pt idx="6" formatCode="0.0">
                  <c:v>15.791983897345</c:v>
                </c:pt>
              </c:numCache>
            </c:numRef>
          </c:val>
        </c:ser>
        <c:ser>
          <c:idx val="7"/>
          <c:order val="7"/>
          <c:tx>
            <c:strRef>
              <c:f>'Bc Mgr PhD'!$I$84:$I$85</c:f>
              <c:strCache>
                <c:ptCount val="2"/>
                <c:pt idx="0">
                  <c:v>25-64 rokov</c:v>
                </c:pt>
                <c:pt idx="1">
                  <c:v>Mgr.</c:v>
                </c:pt>
              </c:strCache>
            </c:strRef>
          </c:tx>
          <c:spPr>
            <a:solidFill>
              <a:schemeClr val="bg1">
                <a:lumMod val="65000"/>
              </a:schemeClr>
            </a:solidFill>
            <a:ln>
              <a:noFill/>
            </a:ln>
            <a:effectLst/>
          </c:spPr>
          <c:invertIfNegative val="0"/>
          <c:dLbls>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PhD'!$I$86:$I$92</c:f>
              <c:numCache>
                <c:formatCode>General</c:formatCode>
                <c:ptCount val="7"/>
                <c:pt idx="4" formatCode="0.0">
                  <c:v>17.316316604613998</c:v>
                </c:pt>
                <c:pt idx="5" formatCode="0.0">
                  <c:v>15.395562171936065</c:v>
                </c:pt>
                <c:pt idx="6" formatCode="0.0">
                  <c:v>11.373811674840001</c:v>
                </c:pt>
              </c:numCache>
            </c:numRef>
          </c:val>
        </c:ser>
        <c:ser>
          <c:idx val="8"/>
          <c:order val="8"/>
          <c:tx>
            <c:strRef>
              <c:f>'Bc Mgr PhD'!$J$84:$J$85</c:f>
              <c:strCache>
                <c:ptCount val="2"/>
                <c:pt idx="0">
                  <c:v>25-64 rokov</c:v>
                </c:pt>
                <c:pt idx="1">
                  <c:v>PhD.</c:v>
                </c:pt>
              </c:strCache>
            </c:strRef>
          </c:tx>
          <c:spPr>
            <a:solidFill>
              <a:schemeClr val="tx1"/>
            </a:solidFill>
            <a:ln>
              <a:noFill/>
            </a:ln>
            <a:effectLst/>
          </c:spPr>
          <c:invertIfNegative val="0"/>
          <c:dLbls>
            <c:spPr>
              <a:noFill/>
              <a:ln>
                <a:noFill/>
              </a:ln>
              <a:effectLst/>
            </c:spPr>
            <c:txPr>
              <a:bodyPr rot="0" vert="horz"/>
              <a:lstStyle/>
              <a:p>
                <a:pPr>
                  <a:defRPr/>
                </a:pPr>
                <a:endParaRPr lang="sk-SK"/>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PhD'!$J$86:$J$92</c:f>
              <c:numCache>
                <c:formatCode>General</c:formatCode>
                <c:ptCount val="7"/>
                <c:pt idx="4" formatCode="0.0">
                  <c:v>0.68256306648253995</c:v>
                </c:pt>
                <c:pt idx="5" formatCode="0.0">
                  <c:v>0.62369914849599339</c:v>
                </c:pt>
                <c:pt idx="6" formatCode="0.0">
                  <c:v>1.0017483635775</c:v>
                </c:pt>
              </c:numCache>
            </c:numRef>
          </c:val>
        </c:ser>
        <c:dLbls>
          <c:showLegendKey val="0"/>
          <c:showVal val="0"/>
          <c:showCatName val="0"/>
          <c:showSerName val="0"/>
          <c:showPercent val="0"/>
          <c:showBubbleSize val="0"/>
        </c:dLbls>
        <c:gapWidth val="150"/>
        <c:overlap val="100"/>
        <c:axId val="434721944"/>
        <c:axId val="434722336"/>
      </c:barChart>
      <c:catAx>
        <c:axId val="434721944"/>
        <c:scaling>
          <c:orientation val="minMax"/>
        </c:scaling>
        <c:delete val="0"/>
        <c:axPos val="b"/>
        <c:title>
          <c:tx>
            <c:rich>
              <a:bodyPr rot="0" vert="horz"/>
              <a:lstStyle/>
              <a:p>
                <a:pPr>
                  <a:defRPr/>
                </a:pPr>
                <a:r>
                  <a:rPr lang="sk-SK"/>
                  <a:t>25-34 rokov                                                                                   25-64 rokov</a:t>
                </a:r>
              </a:p>
            </c:rich>
          </c:tx>
          <c:layout>
            <c:manualLayout>
              <c:xMode val="edge"/>
              <c:yMode val="edge"/>
              <c:x val="0.21750759889106294"/>
              <c:y val="0.9039324578809669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sk-SK"/>
          </a:p>
        </c:txPr>
        <c:crossAx val="434722336"/>
        <c:crosses val="autoZero"/>
        <c:auto val="1"/>
        <c:lblAlgn val="ctr"/>
        <c:lblOffset val="100"/>
        <c:noMultiLvlLbl val="0"/>
      </c:catAx>
      <c:valAx>
        <c:axId val="434722336"/>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quot;%&quot;" sourceLinked="0"/>
        <c:majorTickMark val="none"/>
        <c:minorTickMark val="none"/>
        <c:tickLblPos val="nextTo"/>
        <c:spPr>
          <a:noFill/>
          <a:ln>
            <a:noFill/>
          </a:ln>
          <a:effectLst/>
        </c:spPr>
        <c:txPr>
          <a:bodyPr rot="-60000000" vert="horz"/>
          <a:lstStyle/>
          <a:p>
            <a:pPr>
              <a:defRPr/>
            </a:pPr>
            <a:endParaRPr lang="sk-SK"/>
          </a:p>
        </c:txPr>
        <c:crossAx val="434721944"/>
        <c:crosses val="autoZero"/>
        <c:crossBetween val="between"/>
      </c:valAx>
      <c:spPr>
        <a:noFill/>
        <a:ln>
          <a:noFill/>
        </a:ln>
        <a:effectLst/>
      </c:spPr>
    </c:plotArea>
    <c:legend>
      <c:legendPos val="l"/>
      <c:legendEntry>
        <c:idx val="0"/>
        <c:delete val="1"/>
      </c:legendEntry>
      <c:legendEntry>
        <c:idx val="1"/>
        <c:delete val="1"/>
      </c:legendEntry>
      <c:legendEntry>
        <c:idx val="2"/>
        <c:delete val="1"/>
      </c:legendEntry>
      <c:legendEntry>
        <c:idx val="3"/>
        <c:delete val="1"/>
      </c:legendEntry>
      <c:legendEntry>
        <c:idx val="4"/>
        <c:delete val="1"/>
      </c:legendEntry>
      <c:layout>
        <c:manualLayout>
          <c:xMode val="edge"/>
          <c:yMode val="edge"/>
          <c:x val="0.44876088412592097"/>
          <c:y val="9.920703732258189E-2"/>
          <c:w val="0.16658298657075102"/>
          <c:h val="0.67959505061867265"/>
        </c:manualLayout>
      </c:layout>
      <c:overlay val="0"/>
      <c:spPr>
        <a:noFill/>
        <a:ln>
          <a:noFill/>
        </a:ln>
        <a:effectLst/>
      </c:spPr>
      <c:txPr>
        <a:bodyPr rot="0" vert="horz"/>
        <a:lstStyle/>
        <a:p>
          <a:pPr>
            <a:defRPr/>
          </a:pPr>
          <a:endParaRPr lang="sk-SK"/>
        </a:p>
      </c:txPr>
    </c:legend>
    <c:plotVisOnly val="1"/>
    <c:dispBlanksAs val="gap"/>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sk-SK"/>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06E-2"/>
          <c:y val="0.151882512740382"/>
          <c:w val="0.91819511922711805"/>
          <c:h val="0.71869644699081903"/>
        </c:manualLayout>
      </c:layout>
      <c:lineChart>
        <c:grouping val="standard"/>
        <c:varyColors val="0"/>
        <c:ser>
          <c:idx val="3"/>
          <c:order val="0"/>
          <c:tx>
            <c:strRef>
              <c:f>'G1'!$A$5:$B$5</c:f>
              <c:strCache>
                <c:ptCount val="1"/>
                <c:pt idx="0">
                  <c:v>% z výdavkov EU28</c:v>
                </c:pt>
              </c:strCache>
            </c:strRef>
          </c:tx>
          <c:spPr>
            <a:ln w="28575" cap="rnd" cmpd="sng" algn="ctr">
              <a:solidFill>
                <a:schemeClr val="bg1">
                  <a:lumMod val="75000"/>
                </a:schemeClr>
              </a:solidFill>
              <a:prstDash val="solid"/>
              <a:round/>
            </a:ln>
            <a:effectLst/>
          </c:spPr>
          <c:marker>
            <c:symbol val="none"/>
          </c:marker>
          <c:cat>
            <c:strRef>
              <c:f>'G1'!$C$4:$L$4</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'G1'!$C$5:$L$5</c:f>
              <c:numCache>
                <c:formatCode>_-* #,##0.0\ _€_-;\-* #,##0.0\ _€_-;_-* "-"??\ _€_-;_-@_-</c:formatCode>
                <c:ptCount val="10"/>
                <c:pt idx="0">
                  <c:v>1.7</c:v>
                </c:pt>
                <c:pt idx="1">
                  <c:v>1.7</c:v>
                </c:pt>
                <c:pt idx="2">
                  <c:v>1.7</c:v>
                </c:pt>
                <c:pt idx="3">
                  <c:v>1.8</c:v>
                </c:pt>
                <c:pt idx="4">
                  <c:v>1.7</c:v>
                </c:pt>
                <c:pt idx="5">
                  <c:v>1.7</c:v>
                </c:pt>
                <c:pt idx="6">
                  <c:v>1.7</c:v>
                </c:pt>
                <c:pt idx="7">
                  <c:v>1.7</c:v>
                </c:pt>
                <c:pt idx="8">
                  <c:v>1.7</c:v>
                </c:pt>
                <c:pt idx="9">
                  <c:v>1.7</c:v>
                </c:pt>
              </c:numCache>
            </c:numRef>
          </c:val>
          <c:smooth val="0"/>
        </c:ser>
        <c:ser>
          <c:idx val="2"/>
          <c:order val="1"/>
          <c:tx>
            <c:strRef>
              <c:f>'G1'!$A$8:$B$8</c:f>
              <c:strCache>
                <c:ptCount val="1"/>
                <c:pt idx="0">
                  <c:v>% HDP EU28</c:v>
                </c:pt>
              </c:strCache>
            </c:strRef>
          </c:tx>
          <c:spPr>
            <a:ln w="28575" cap="rnd" cmpd="sng" algn="ctr">
              <a:solidFill>
                <a:schemeClr val="bg1">
                  <a:lumMod val="75000"/>
                </a:schemeClr>
              </a:solidFill>
              <a:prstDash val="dash"/>
              <a:round/>
            </a:ln>
            <a:effectLst/>
          </c:spPr>
          <c:marker>
            <c:symbol val="none"/>
          </c:marker>
          <c:cat>
            <c:strRef>
              <c:f>'G1'!$C$4:$L$4</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'G1'!$C$8:$L$8</c:f>
              <c:numCache>
                <c:formatCode>_-* #,##0.0\ _€_-;\-* #,##0.0\ _€_-;_-* "-"??\ _€_-;_-@_-</c:formatCode>
                <c:ptCount val="10"/>
                <c:pt idx="0">
                  <c:v>0.8</c:v>
                </c:pt>
                <c:pt idx="1">
                  <c:v>0.8</c:v>
                </c:pt>
                <c:pt idx="2">
                  <c:v>0.8</c:v>
                </c:pt>
                <c:pt idx="3">
                  <c:v>0.9</c:v>
                </c:pt>
                <c:pt idx="4">
                  <c:v>0.9</c:v>
                </c:pt>
                <c:pt idx="5">
                  <c:v>0.8</c:v>
                </c:pt>
                <c:pt idx="6">
                  <c:v>0.8</c:v>
                </c:pt>
                <c:pt idx="7">
                  <c:v>0.8</c:v>
                </c:pt>
                <c:pt idx="8">
                  <c:v>0.8</c:v>
                </c:pt>
                <c:pt idx="9">
                  <c:v>0.8</c:v>
                </c:pt>
              </c:numCache>
            </c:numRef>
          </c:val>
          <c:smooth val="0"/>
        </c:ser>
        <c:ser>
          <c:idx val="1"/>
          <c:order val="2"/>
          <c:tx>
            <c:strRef>
              <c:f>'G1'!$A$6:$B$6</c:f>
              <c:strCache>
                <c:ptCount val="1"/>
                <c:pt idx="0">
                  <c:v>% z výdavkov V3</c:v>
                </c:pt>
              </c:strCache>
            </c:strRef>
          </c:tx>
          <c:spPr>
            <a:ln w="28575" cap="rnd" cmpd="sng" algn="ctr">
              <a:solidFill>
                <a:schemeClr val="bg1">
                  <a:lumMod val="65000"/>
                </a:schemeClr>
              </a:solidFill>
              <a:prstDash val="sysDot"/>
              <a:round/>
            </a:ln>
            <a:effectLst/>
          </c:spPr>
          <c:marker>
            <c:symbol val="none"/>
          </c:marker>
          <c:cat>
            <c:strRef>
              <c:f>'G1'!$C$4:$L$4</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'G1'!$C$6:$L$6</c:f>
              <c:numCache>
                <c:formatCode>_-* #,##0.0\ _€_-;\-* #,##0.0\ _€_-;_-* "-"??\ _€_-;_-@_-</c:formatCode>
                <c:ptCount val="10"/>
                <c:pt idx="0">
                  <c:v>1.833333333333333</c:v>
                </c:pt>
                <c:pt idx="1">
                  <c:v>1.666666666666667</c:v>
                </c:pt>
                <c:pt idx="2">
                  <c:v>1.7</c:v>
                </c:pt>
                <c:pt idx="3">
                  <c:v>1.433333333333334</c:v>
                </c:pt>
                <c:pt idx="4">
                  <c:v>1.7</c:v>
                </c:pt>
                <c:pt idx="5">
                  <c:v>2</c:v>
                </c:pt>
                <c:pt idx="6">
                  <c:v>1.933333333333334</c:v>
                </c:pt>
                <c:pt idx="7">
                  <c:v>1.9333333333333329</c:v>
                </c:pt>
                <c:pt idx="8">
                  <c:v>2.1333333333333342</c:v>
                </c:pt>
                <c:pt idx="9">
                  <c:v>2.2000000000000002</c:v>
                </c:pt>
              </c:numCache>
            </c:numRef>
          </c:val>
          <c:smooth val="0"/>
        </c:ser>
        <c:ser>
          <c:idx val="0"/>
          <c:order val="3"/>
          <c:tx>
            <c:strRef>
              <c:f>'G1'!$A$9:$B$9</c:f>
              <c:strCache>
                <c:ptCount val="1"/>
                <c:pt idx="0">
                  <c:v>% HDP V3</c:v>
                </c:pt>
              </c:strCache>
            </c:strRef>
          </c:tx>
          <c:spPr>
            <a:ln w="28575" cap="rnd" cmpd="sng" algn="ctr">
              <a:solidFill>
                <a:schemeClr val="tx1"/>
              </a:solidFill>
              <a:prstDash val="dash"/>
              <a:round/>
            </a:ln>
            <a:effectLst/>
          </c:spPr>
          <c:marker>
            <c:symbol val="none"/>
          </c:marker>
          <c:cat>
            <c:strRef>
              <c:f>'G1'!$C$4:$L$4</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'G1'!$C$9:$L$9</c:f>
              <c:numCache>
                <c:formatCode>_-* #,##0.0\ _€_-;\-* #,##0.0\ _€_-;_-* "-"??\ _€_-;_-@_-</c:formatCode>
                <c:ptCount val="10"/>
                <c:pt idx="0">
                  <c:v>0.83333333333333304</c:v>
                </c:pt>
                <c:pt idx="1">
                  <c:v>0.7</c:v>
                </c:pt>
                <c:pt idx="2">
                  <c:v>0.73333333333333295</c:v>
                </c:pt>
                <c:pt idx="3">
                  <c:v>0.66666666666666696</c:v>
                </c:pt>
                <c:pt idx="4">
                  <c:v>0.76666666666666705</c:v>
                </c:pt>
                <c:pt idx="5">
                  <c:v>0.9</c:v>
                </c:pt>
                <c:pt idx="6">
                  <c:v>0.86666666666666703</c:v>
                </c:pt>
                <c:pt idx="7">
                  <c:v>0.83333333333333304</c:v>
                </c:pt>
                <c:pt idx="8">
                  <c:v>0.93333333333333401</c:v>
                </c:pt>
                <c:pt idx="9">
                  <c:v>0.96666666666666701</c:v>
                </c:pt>
              </c:numCache>
            </c:numRef>
          </c:val>
          <c:smooth val="0"/>
        </c:ser>
        <c:ser>
          <c:idx val="5"/>
          <c:order val="4"/>
          <c:tx>
            <c:strRef>
              <c:f>'G1'!$A$7:$B$7</c:f>
              <c:strCache>
                <c:ptCount val="1"/>
                <c:pt idx="0">
                  <c:v>% z výdavkov Slovensko</c:v>
                </c:pt>
              </c:strCache>
            </c:strRef>
          </c:tx>
          <c:spPr>
            <a:ln w="28575" cap="rnd" cmpd="sng" algn="ctr">
              <a:solidFill>
                <a:schemeClr val="tx1"/>
              </a:solidFill>
              <a:prstDash val="solid"/>
              <a:round/>
            </a:ln>
            <a:effectLst/>
          </c:spPr>
          <c:marker>
            <c:symbol val="none"/>
          </c:marker>
          <c:dPt>
            <c:idx val="2"/>
            <c:bubble3D val="0"/>
          </c:dPt>
          <c:cat>
            <c:strRef>
              <c:f>'G1'!$C$4:$L$4</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'G1'!$C$7:$L$7</c:f>
              <c:numCache>
                <c:formatCode>_-* #,##0.0\ _€_-;\-* #,##0.0\ _€_-;_-* "-"??\ _€_-;_-@_-</c:formatCode>
                <c:ptCount val="10"/>
                <c:pt idx="0">
                  <c:v>2.1</c:v>
                </c:pt>
                <c:pt idx="1">
                  <c:v>2</c:v>
                </c:pt>
                <c:pt idx="2">
                  <c:v>2.1</c:v>
                </c:pt>
                <c:pt idx="3">
                  <c:v>2.2000000000000002</c:v>
                </c:pt>
                <c:pt idx="4">
                  <c:v>2.1</c:v>
                </c:pt>
                <c:pt idx="5">
                  <c:v>1.9</c:v>
                </c:pt>
                <c:pt idx="6">
                  <c:v>2</c:v>
                </c:pt>
                <c:pt idx="7">
                  <c:v>1.9</c:v>
                </c:pt>
                <c:pt idx="8">
                  <c:v>2</c:v>
                </c:pt>
                <c:pt idx="9">
                  <c:v>2.2999999999999998</c:v>
                </c:pt>
              </c:numCache>
            </c:numRef>
          </c:val>
          <c:smooth val="0"/>
        </c:ser>
        <c:ser>
          <c:idx val="4"/>
          <c:order val="5"/>
          <c:tx>
            <c:strRef>
              <c:f>'G1'!$A$10:$B$10</c:f>
              <c:strCache>
                <c:ptCount val="1"/>
                <c:pt idx="0">
                  <c:v>% HDP Slovensko</c:v>
                </c:pt>
              </c:strCache>
            </c:strRef>
          </c:tx>
          <c:spPr>
            <a:ln w="28575" cap="rnd" cmpd="sng" algn="ctr">
              <a:solidFill>
                <a:schemeClr val="tx1"/>
              </a:solidFill>
              <a:prstDash val="sysDot"/>
              <a:round/>
            </a:ln>
            <a:effectLst/>
          </c:spPr>
          <c:marker>
            <c:symbol val="none"/>
          </c:marker>
          <c:cat>
            <c:strRef>
              <c:f>'G1'!$C$4:$L$4</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'G1'!$C$10:$L$10</c:f>
              <c:numCache>
                <c:formatCode>_-* #,##0.0\ _€_-;\-* #,##0.0\ _€_-;_-* "-"??\ _€_-;_-@_-</c:formatCode>
                <c:ptCount val="10"/>
                <c:pt idx="0">
                  <c:v>0.8</c:v>
                </c:pt>
                <c:pt idx="1">
                  <c:v>0.7</c:v>
                </c:pt>
                <c:pt idx="2">
                  <c:v>0.8</c:v>
                </c:pt>
                <c:pt idx="3">
                  <c:v>1</c:v>
                </c:pt>
                <c:pt idx="4">
                  <c:v>0.9</c:v>
                </c:pt>
                <c:pt idx="5">
                  <c:v>0.8</c:v>
                </c:pt>
                <c:pt idx="6">
                  <c:v>0.8</c:v>
                </c:pt>
                <c:pt idx="7">
                  <c:v>0.8</c:v>
                </c:pt>
                <c:pt idx="8">
                  <c:v>0.8</c:v>
                </c:pt>
                <c:pt idx="9">
                  <c:v>1</c:v>
                </c:pt>
              </c:numCache>
            </c:numRef>
          </c:val>
          <c:smooth val="0"/>
        </c:ser>
        <c:dLbls>
          <c:showLegendKey val="0"/>
          <c:showVal val="0"/>
          <c:showCatName val="0"/>
          <c:showSerName val="0"/>
          <c:showPercent val="0"/>
          <c:showBubbleSize val="0"/>
        </c:dLbls>
        <c:smooth val="0"/>
        <c:axId val="434723120"/>
        <c:axId val="434723512"/>
      </c:lineChart>
      <c:catAx>
        <c:axId val="434723120"/>
        <c:scaling>
          <c:orientation val="minMax"/>
        </c:scaling>
        <c:delete val="0"/>
        <c:axPos val="b"/>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5400000" spcFirstLastPara="1" vertOverflow="ellipsis" wrap="square" anchor="ctr" anchorCtr="1"/>
          <a:lstStyle/>
          <a:p>
            <a:pPr>
              <a:defRPr sz="800" b="0" i="0" u="none" strike="noStrike" kern="1200" baseline="0">
                <a:solidFill>
                  <a:srgbClr val="000000"/>
                </a:solidFill>
                <a:latin typeface="Arial Narrow" panose="020B0606020202030204" pitchFamily="34" charset="0"/>
                <a:ea typeface="Calibri"/>
                <a:cs typeface="Calibri"/>
              </a:defRPr>
            </a:pPr>
            <a:endParaRPr lang="sk-SK"/>
          </a:p>
        </c:txPr>
        <c:crossAx val="434723512"/>
        <c:crosses val="autoZero"/>
        <c:auto val="1"/>
        <c:lblAlgn val="ctr"/>
        <c:lblOffset val="100"/>
        <c:noMultiLvlLbl val="0"/>
      </c:catAx>
      <c:valAx>
        <c:axId val="434723512"/>
        <c:scaling>
          <c:orientation val="minMax"/>
        </c:scaling>
        <c:delete val="0"/>
        <c:axPos val="l"/>
        <c:majorGridlines>
          <c:spPr>
            <a:ln w="9525" cap="flat" cmpd="sng" algn="ctr">
              <a:solidFill>
                <a:schemeClr val="bg1">
                  <a:lumMod val="75000"/>
                </a:schemeClr>
              </a:solidFill>
              <a:prstDash val="sysDash"/>
              <a:round/>
            </a:ln>
            <a:effectLst/>
          </c:spPr>
        </c:majorGridlines>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Arial Narrow" panose="020B0606020202030204" pitchFamily="34" charset="0"/>
                <a:ea typeface="Calibri"/>
                <a:cs typeface="Calibri"/>
              </a:defRPr>
            </a:pPr>
            <a:endParaRPr lang="sk-SK"/>
          </a:p>
        </c:txPr>
        <c:crossAx val="434723120"/>
        <c:crosses val="autoZero"/>
        <c:crossBetween val="between"/>
      </c:valAx>
      <c:spPr>
        <a:solidFill>
          <a:schemeClr val="bg1"/>
        </a:solidFill>
        <a:ln>
          <a:noFill/>
        </a:ln>
        <a:effectLst/>
      </c:spPr>
    </c:plotArea>
    <c:legend>
      <c:legendPos val="l"/>
      <c:layout>
        <c:manualLayout>
          <c:xMode val="edge"/>
          <c:yMode val="edge"/>
          <c:x val="0"/>
          <c:y val="1.15103021029254E-3"/>
          <c:w val="0.99690214255133003"/>
          <c:h val="0.15452270800780299"/>
        </c:manualLayout>
      </c:layout>
      <c:overlay val="1"/>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Narrow" panose="020B0606020202030204" pitchFamily="34" charset="0"/>
              <a:ea typeface="Calibri"/>
              <a:cs typeface="Calibri"/>
            </a:defRPr>
          </a:pPr>
          <a:endParaRPr lang="sk-SK"/>
        </a:p>
      </c:txPr>
    </c:legend>
    <c:plotVisOnly val="1"/>
    <c:dispBlanksAs val="gap"/>
    <c:showDLblsOverMax val="0"/>
  </c:chart>
  <c:spPr>
    <a:solidFill>
      <a:schemeClr val="bg1"/>
    </a:solidFill>
    <a:ln w="9525" cap="flat" cmpd="sng" algn="ctr">
      <a:noFill/>
      <a:prstDash val="solid"/>
      <a:round/>
    </a:ln>
    <a:effectLst/>
  </c:spPr>
  <c:txPr>
    <a:bodyPr/>
    <a:lstStyle/>
    <a:p>
      <a:pPr>
        <a:defRPr sz="800" b="0" i="0" u="none" strike="noStrike" baseline="0">
          <a:solidFill>
            <a:srgbClr val="000000"/>
          </a:solidFill>
          <a:latin typeface="Arial Narrow" panose="020B0606020202030204" pitchFamily="34" charset="0"/>
          <a:ea typeface="Calibri"/>
          <a:cs typeface="Calibri"/>
        </a:defRPr>
      </a:pPr>
      <a:endParaRPr lang="sk-SK"/>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19786173517301"/>
          <c:y val="0.13820867156948341"/>
          <c:w val="0.66100195044426791"/>
          <c:h val="0.78614154900698507"/>
        </c:manualLayout>
      </c:layout>
      <c:radarChart>
        <c:radarStyle val="marker"/>
        <c:varyColors val="0"/>
        <c:ser>
          <c:idx val="3"/>
          <c:order val="0"/>
          <c:tx>
            <c:strRef>
              <c:f>'G5'!$B$4</c:f>
              <c:strCache>
                <c:ptCount val="1"/>
                <c:pt idx="0">
                  <c:v>SR</c:v>
                </c:pt>
              </c:strCache>
            </c:strRef>
          </c:tx>
          <c:spPr>
            <a:ln w="19050">
              <a:solidFill>
                <a:sysClr val="windowText" lastClr="000000"/>
              </a:solidFill>
              <a:prstDash val="dash"/>
            </a:ln>
          </c:spPr>
          <c:marker>
            <c:symbol val="none"/>
          </c:marker>
          <c:cat>
            <c:strRef>
              <c:f>'G5'!$A$5:$A$9</c:f>
              <c:strCache>
                <c:ptCount val="5"/>
                <c:pt idx="0">
                  <c:v>Obyvateľstvo pripojené na čistiareň odpadových vôd</c:v>
                </c:pt>
                <c:pt idx="1">
                  <c:v>Koncentrácie častíc PM 2,5 v ovzduší</c:v>
                </c:pt>
                <c:pt idx="2">
                  <c:v>Podiel ohrozených druhov</c:v>
                </c:pt>
                <c:pt idx="3">
                  <c:v>Recyklácia odpadov</c:v>
                </c:pt>
                <c:pt idx="4">
                  <c:v>Emisie skleníkových plynov</c:v>
                </c:pt>
              </c:strCache>
            </c:strRef>
          </c:cat>
          <c:val>
            <c:numRef>
              <c:f>'G5'!$B$5:$B$9</c:f>
              <c:numCache>
                <c:formatCode>0.0</c:formatCode>
                <c:ptCount val="5"/>
                <c:pt idx="0">
                  <c:v>0.34167916827305628</c:v>
                </c:pt>
                <c:pt idx="1">
                  <c:v>0.29999999999999993</c:v>
                </c:pt>
                <c:pt idx="2">
                  <c:v>0.4</c:v>
                </c:pt>
                <c:pt idx="3">
                  <c:v>0.1</c:v>
                </c:pt>
                <c:pt idx="4">
                  <c:v>0.6</c:v>
                </c:pt>
              </c:numCache>
            </c:numRef>
          </c:val>
        </c:ser>
        <c:ser>
          <c:idx val="5"/>
          <c:order val="1"/>
          <c:tx>
            <c:strRef>
              <c:f>'G5'!$C$4</c:f>
              <c:strCache>
                <c:ptCount val="1"/>
                <c:pt idx="0">
                  <c:v>V3</c:v>
                </c:pt>
              </c:strCache>
            </c:strRef>
          </c:tx>
          <c:spPr>
            <a:ln w="19050">
              <a:solidFill>
                <a:sysClr val="window" lastClr="FFFFFF">
                  <a:lumMod val="50000"/>
                </a:sysClr>
              </a:solidFill>
              <a:prstDash val="solid"/>
            </a:ln>
          </c:spPr>
          <c:marker>
            <c:symbol val="none"/>
          </c:marker>
          <c:cat>
            <c:strRef>
              <c:f>'G5'!$A$5:$A$9</c:f>
              <c:strCache>
                <c:ptCount val="5"/>
                <c:pt idx="0">
                  <c:v>Obyvateľstvo pripojené na čistiareň odpadových vôd</c:v>
                </c:pt>
                <c:pt idx="1">
                  <c:v>Koncentrácie častíc PM 2,5 v ovzduší</c:v>
                </c:pt>
                <c:pt idx="2">
                  <c:v>Podiel ohrozených druhov</c:v>
                </c:pt>
                <c:pt idx="3">
                  <c:v>Recyklácia odpadov</c:v>
                </c:pt>
                <c:pt idx="4">
                  <c:v>Emisie skleníkových plynov</c:v>
                </c:pt>
              </c:strCache>
            </c:strRef>
          </c:cat>
          <c:val>
            <c:numRef>
              <c:f>'G5'!$C$5:$C$9</c:f>
              <c:numCache>
                <c:formatCode>0.0</c:formatCode>
                <c:ptCount val="5"/>
                <c:pt idx="0">
                  <c:v>0.37713210358839305</c:v>
                </c:pt>
                <c:pt idx="1">
                  <c:v>0.1929824561403507</c:v>
                </c:pt>
                <c:pt idx="2">
                  <c:v>0.5</c:v>
                </c:pt>
                <c:pt idx="3">
                  <c:v>0.5</c:v>
                </c:pt>
                <c:pt idx="4">
                  <c:v>0.4</c:v>
                </c:pt>
              </c:numCache>
            </c:numRef>
          </c:val>
        </c:ser>
        <c:ser>
          <c:idx val="0"/>
          <c:order val="2"/>
          <c:tx>
            <c:strRef>
              <c:f>'G5'!$D$4</c:f>
              <c:strCache>
                <c:ptCount val="1"/>
                <c:pt idx="0">
                  <c:v>Priemer vzorky*</c:v>
                </c:pt>
              </c:strCache>
            </c:strRef>
          </c:tx>
          <c:spPr>
            <a:ln w="19050">
              <a:solidFill>
                <a:sysClr val="windowText" lastClr="000000"/>
              </a:solidFill>
              <a:prstDash val="solid"/>
            </a:ln>
          </c:spPr>
          <c:marker>
            <c:symbol val="none"/>
          </c:marker>
          <c:cat>
            <c:strRef>
              <c:f>'G5'!$A$5:$A$9</c:f>
              <c:strCache>
                <c:ptCount val="5"/>
                <c:pt idx="0">
                  <c:v>Obyvateľstvo pripojené na čistiareň odpadových vôd</c:v>
                </c:pt>
                <c:pt idx="1">
                  <c:v>Koncentrácie častíc PM 2,5 v ovzduší</c:v>
                </c:pt>
                <c:pt idx="2">
                  <c:v>Podiel ohrozených druhov</c:v>
                </c:pt>
                <c:pt idx="3">
                  <c:v>Recyklácia odpadov</c:v>
                </c:pt>
                <c:pt idx="4">
                  <c:v>Emisie skleníkových plynov</c:v>
                </c:pt>
              </c:strCache>
            </c:strRef>
          </c:cat>
          <c:val>
            <c:numRef>
              <c:f>'G5'!$D$5:$D$9</c:f>
              <c:numCache>
                <c:formatCode>0.0</c:formatCode>
                <c:ptCount val="5"/>
                <c:pt idx="0">
                  <c:v>0.64947929324888909</c:v>
                </c:pt>
                <c:pt idx="1">
                  <c:v>0.50676691729323298</c:v>
                </c:pt>
                <c:pt idx="2">
                  <c:v>0.4</c:v>
                </c:pt>
                <c:pt idx="3">
                  <c:v>0.5</c:v>
                </c:pt>
                <c:pt idx="4">
                  <c:v>0.6</c:v>
                </c:pt>
              </c:numCache>
            </c:numRef>
          </c:val>
        </c:ser>
        <c:dLbls>
          <c:showLegendKey val="0"/>
          <c:showVal val="0"/>
          <c:showCatName val="0"/>
          <c:showSerName val="0"/>
          <c:showPercent val="0"/>
          <c:showBubbleSize val="0"/>
        </c:dLbls>
        <c:axId val="434724296"/>
        <c:axId val="434724688"/>
      </c:radarChart>
      <c:catAx>
        <c:axId val="434724296"/>
        <c:scaling>
          <c:orientation val="minMax"/>
        </c:scaling>
        <c:delete val="1"/>
        <c:axPos val="b"/>
        <c:majorGridlines/>
        <c:numFmt formatCode="General" sourceLinked="0"/>
        <c:majorTickMark val="out"/>
        <c:minorTickMark val="none"/>
        <c:tickLblPos val="low"/>
        <c:crossAx val="434724688"/>
        <c:crosses val="autoZero"/>
        <c:auto val="1"/>
        <c:lblAlgn val="ctr"/>
        <c:lblOffset val="100"/>
        <c:noMultiLvlLbl val="0"/>
      </c:catAx>
      <c:valAx>
        <c:axId val="434724688"/>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a:pPr>
            <a:endParaRPr lang="sk-SK"/>
          </a:p>
        </c:txPr>
        <c:crossAx val="434724296"/>
        <c:crosses val="autoZero"/>
        <c:crossBetween val="between"/>
      </c:valAx>
    </c:plotArea>
    <c:legend>
      <c:legendPos val="l"/>
      <c:layout>
        <c:manualLayout>
          <c:xMode val="edge"/>
          <c:yMode val="edge"/>
          <c:x val="0"/>
          <c:y val="2.8863810796213651E-2"/>
          <c:w val="0.40649100628476487"/>
          <c:h val="0.15633474516046506"/>
        </c:manualLayout>
      </c:layout>
      <c:overlay val="1"/>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sk-SK"/>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17436997626964E-2"/>
          <c:y val="5.5989236111111111E-2"/>
          <c:w val="0.93616132135261021"/>
          <c:h val="0.86336284722222201"/>
        </c:manualLayout>
      </c:layout>
      <c:barChart>
        <c:barDir val="col"/>
        <c:grouping val="clustered"/>
        <c:varyColors val="0"/>
        <c:ser>
          <c:idx val="0"/>
          <c:order val="0"/>
          <c:tx>
            <c:strRef>
              <c:f>'G17'!$B$4</c:f>
              <c:strCache>
                <c:ptCount val="1"/>
                <c:pt idx="0">
                  <c:v>2015</c:v>
                </c:pt>
              </c:strCache>
            </c:strRef>
          </c:tx>
          <c:spPr>
            <a:solidFill>
              <a:sysClr val="windowText" lastClr="000000"/>
            </a:solidFill>
            <a:ln>
              <a:solidFill>
                <a:sysClr val="windowText" lastClr="000000"/>
              </a:solidFill>
            </a:ln>
          </c:spPr>
          <c:invertIfNegative val="0"/>
          <c:dPt>
            <c:idx val="23"/>
            <c:invertIfNegative val="0"/>
            <c:bubble3D val="0"/>
            <c:spPr>
              <a:solidFill>
                <a:sysClr val="window" lastClr="FFFFFF">
                  <a:lumMod val="75000"/>
                </a:sysClr>
              </a:solidFill>
              <a:ln>
                <a:solidFill>
                  <a:sysClr val="window" lastClr="FFFFFF">
                    <a:lumMod val="75000"/>
                  </a:sysClr>
                </a:solidFill>
              </a:ln>
            </c:spPr>
          </c:dPt>
          <c:cat>
            <c:strRef>
              <c:f>'G17'!$A$5:$A$29</c:f>
              <c:strCache>
                <c:ptCount val="25"/>
                <c:pt idx="0">
                  <c:v>Nemecko</c:v>
                </c:pt>
                <c:pt idx="1">
                  <c:v>Rakúsko</c:v>
                </c:pt>
                <c:pt idx="2">
                  <c:v>Slovensko</c:v>
                </c:pt>
                <c:pt idx="3">
                  <c:v>Belgicko</c:v>
                </c:pt>
                <c:pt idx="4">
                  <c:v>Holandsko</c:v>
                </c:pt>
                <c:pt idx="5">
                  <c:v>Luxembursko</c:v>
                </c:pt>
                <c:pt idx="6">
                  <c:v>Švédska</c:v>
                </c:pt>
                <c:pt idx="7">
                  <c:v>Dánsko</c:v>
                </c:pt>
                <c:pt idx="8">
                  <c:v>Taliansko</c:v>
                </c:pt>
                <c:pt idx="9">
                  <c:v>Veľká Británia</c:v>
                </c:pt>
                <c:pt idx="10">
                  <c:v>Nórsko</c:v>
                </c:pt>
                <c:pt idx="11">
                  <c:v>Poľsko</c:v>
                </c:pt>
                <c:pt idx="12">
                  <c:v>Fínsko</c:v>
                </c:pt>
                <c:pt idx="13">
                  <c:v>Francúzsko</c:v>
                </c:pt>
                <c:pt idx="14">
                  <c:v>Španielsko</c:v>
                </c:pt>
                <c:pt idx="15">
                  <c:v>Litva</c:v>
                </c:pt>
                <c:pt idx="16">
                  <c:v>Maďarsko</c:v>
                </c:pt>
                <c:pt idx="17">
                  <c:v>Česká republika</c:v>
                </c:pt>
                <c:pt idx="18">
                  <c:v>Bulharsko</c:v>
                </c:pt>
                <c:pt idx="19">
                  <c:v>Estónsko</c:v>
                </c:pt>
                <c:pt idx="20">
                  <c:v>Lotyšsko</c:v>
                </c:pt>
                <c:pt idx="21">
                  <c:v>Chorvátsko</c:v>
                </c:pt>
                <c:pt idx="22">
                  <c:v>Cyprus</c:v>
                </c:pt>
                <c:pt idx="23">
                  <c:v>Slovensko</c:v>
                </c:pt>
                <c:pt idx="24">
                  <c:v>Malta</c:v>
                </c:pt>
              </c:strCache>
            </c:strRef>
          </c:cat>
          <c:val>
            <c:numRef>
              <c:f>'G17'!$B$5:$B$29</c:f>
              <c:numCache>
                <c:formatCode>_-* #\ ##0.0\ _€_-;\-* #\ ##0.0\ _€_-;_-* "-"??\ _€_-;_-@_-</c:formatCode>
                <c:ptCount val="25"/>
                <c:pt idx="0">
                  <c:v>66.099999999999994</c:v>
                </c:pt>
                <c:pt idx="1">
                  <c:v>56</c:v>
                </c:pt>
                <c:pt idx="2">
                  <c:v>54.1</c:v>
                </c:pt>
                <c:pt idx="3">
                  <c:v>53.4</c:v>
                </c:pt>
                <c:pt idx="4">
                  <c:v>51.7</c:v>
                </c:pt>
                <c:pt idx="5">
                  <c:v>48</c:v>
                </c:pt>
                <c:pt idx="6">
                  <c:v>48</c:v>
                </c:pt>
                <c:pt idx="7">
                  <c:v>46.3</c:v>
                </c:pt>
                <c:pt idx="8">
                  <c:v>43.5</c:v>
                </c:pt>
                <c:pt idx="9">
                  <c:v>43.5</c:v>
                </c:pt>
                <c:pt idx="10">
                  <c:v>42.8</c:v>
                </c:pt>
                <c:pt idx="11">
                  <c:v>42.5</c:v>
                </c:pt>
                <c:pt idx="12">
                  <c:v>40.6</c:v>
                </c:pt>
                <c:pt idx="13">
                  <c:v>39.5</c:v>
                </c:pt>
                <c:pt idx="14">
                  <c:v>33.299999999999997</c:v>
                </c:pt>
                <c:pt idx="15">
                  <c:v>33.1</c:v>
                </c:pt>
                <c:pt idx="16">
                  <c:v>32.200000000000003</c:v>
                </c:pt>
                <c:pt idx="17">
                  <c:v>29.7</c:v>
                </c:pt>
                <c:pt idx="18">
                  <c:v>29.4</c:v>
                </c:pt>
                <c:pt idx="19">
                  <c:v>28.3</c:v>
                </c:pt>
                <c:pt idx="20">
                  <c:v>26.7</c:v>
                </c:pt>
                <c:pt idx="21">
                  <c:v>18</c:v>
                </c:pt>
                <c:pt idx="22">
                  <c:v>17.899999999999999</c:v>
                </c:pt>
                <c:pt idx="23">
                  <c:v>14.9</c:v>
                </c:pt>
                <c:pt idx="24">
                  <c:v>6.3</c:v>
                </c:pt>
              </c:numCache>
            </c:numRef>
          </c:val>
        </c:ser>
        <c:dLbls>
          <c:showLegendKey val="0"/>
          <c:showVal val="0"/>
          <c:showCatName val="0"/>
          <c:showSerName val="0"/>
          <c:showPercent val="0"/>
          <c:showBubbleSize val="0"/>
        </c:dLbls>
        <c:gapWidth val="150"/>
        <c:axId val="434725472"/>
        <c:axId val="434725864"/>
      </c:barChart>
      <c:lineChart>
        <c:grouping val="standard"/>
        <c:varyColors val="0"/>
        <c:ser>
          <c:idx val="2"/>
          <c:order val="1"/>
          <c:tx>
            <c:strRef>
              <c:f>'G17'!$C$4</c:f>
              <c:strCache>
                <c:ptCount val="1"/>
                <c:pt idx="0">
                  <c:v>EU 28</c:v>
                </c:pt>
              </c:strCache>
            </c:strRef>
          </c:tx>
          <c:spPr>
            <a:ln w="12700">
              <a:solidFill>
                <a:sysClr val="windowText" lastClr="000000"/>
              </a:solidFill>
            </a:ln>
          </c:spPr>
          <c:marker>
            <c:symbol val="none"/>
          </c:marker>
          <c:cat>
            <c:strRef>
              <c:f>'G17'!$A$5:$A$29</c:f>
              <c:strCache>
                <c:ptCount val="25"/>
                <c:pt idx="0">
                  <c:v>Nemecko</c:v>
                </c:pt>
                <c:pt idx="1">
                  <c:v>Rakúsko</c:v>
                </c:pt>
                <c:pt idx="2">
                  <c:v>Slovensko</c:v>
                </c:pt>
                <c:pt idx="3">
                  <c:v>Belgicko</c:v>
                </c:pt>
                <c:pt idx="4">
                  <c:v>Holandsko</c:v>
                </c:pt>
                <c:pt idx="5">
                  <c:v>Luxembursko</c:v>
                </c:pt>
                <c:pt idx="6">
                  <c:v>Švédska</c:v>
                </c:pt>
                <c:pt idx="7">
                  <c:v>Dánsko</c:v>
                </c:pt>
                <c:pt idx="8">
                  <c:v>Taliansko</c:v>
                </c:pt>
                <c:pt idx="9">
                  <c:v>Veľká Británia</c:v>
                </c:pt>
                <c:pt idx="10">
                  <c:v>Nórsko</c:v>
                </c:pt>
                <c:pt idx="11">
                  <c:v>Poľsko</c:v>
                </c:pt>
                <c:pt idx="12">
                  <c:v>Fínsko</c:v>
                </c:pt>
                <c:pt idx="13">
                  <c:v>Francúzsko</c:v>
                </c:pt>
                <c:pt idx="14">
                  <c:v>Španielsko</c:v>
                </c:pt>
                <c:pt idx="15">
                  <c:v>Litva</c:v>
                </c:pt>
                <c:pt idx="16">
                  <c:v>Maďarsko</c:v>
                </c:pt>
                <c:pt idx="17">
                  <c:v>Česká republika</c:v>
                </c:pt>
                <c:pt idx="18">
                  <c:v>Bulharsko</c:v>
                </c:pt>
                <c:pt idx="19">
                  <c:v>Estónsko</c:v>
                </c:pt>
                <c:pt idx="20">
                  <c:v>Lotyšsko</c:v>
                </c:pt>
                <c:pt idx="21">
                  <c:v>Chorvátsko</c:v>
                </c:pt>
                <c:pt idx="22">
                  <c:v>Cyprus</c:v>
                </c:pt>
                <c:pt idx="23">
                  <c:v>Slovensko</c:v>
                </c:pt>
                <c:pt idx="24">
                  <c:v>Malta</c:v>
                </c:pt>
              </c:strCache>
            </c:strRef>
          </c:cat>
          <c:val>
            <c:numRef>
              <c:f>'G17'!$C$5:$C$29</c:f>
              <c:numCache>
                <c:formatCode>_-* #\ ##0.0\ _€_-;\-* #\ ##0.0\ _€_-;_-* "-"??\ _€_-;_-@_-</c:formatCode>
                <c:ptCount val="25"/>
                <c:pt idx="0">
                  <c:v>45</c:v>
                </c:pt>
                <c:pt idx="1">
                  <c:v>45</c:v>
                </c:pt>
                <c:pt idx="2">
                  <c:v>45</c:v>
                </c:pt>
                <c:pt idx="3">
                  <c:v>45</c:v>
                </c:pt>
                <c:pt idx="4">
                  <c:v>45</c:v>
                </c:pt>
                <c:pt idx="5">
                  <c:v>45</c:v>
                </c:pt>
                <c:pt idx="6">
                  <c:v>45</c:v>
                </c:pt>
                <c:pt idx="7">
                  <c:v>45</c:v>
                </c:pt>
                <c:pt idx="8">
                  <c:v>45</c:v>
                </c:pt>
                <c:pt idx="9">
                  <c:v>45</c:v>
                </c:pt>
                <c:pt idx="10">
                  <c:v>45</c:v>
                </c:pt>
                <c:pt idx="11">
                  <c:v>45</c:v>
                </c:pt>
                <c:pt idx="12">
                  <c:v>45</c:v>
                </c:pt>
                <c:pt idx="13">
                  <c:v>45</c:v>
                </c:pt>
                <c:pt idx="14">
                  <c:v>45</c:v>
                </c:pt>
                <c:pt idx="15">
                  <c:v>45</c:v>
                </c:pt>
                <c:pt idx="16">
                  <c:v>45</c:v>
                </c:pt>
                <c:pt idx="17">
                  <c:v>45</c:v>
                </c:pt>
                <c:pt idx="18">
                  <c:v>45</c:v>
                </c:pt>
                <c:pt idx="19">
                  <c:v>45</c:v>
                </c:pt>
                <c:pt idx="20">
                  <c:v>45</c:v>
                </c:pt>
                <c:pt idx="21">
                  <c:v>45</c:v>
                </c:pt>
                <c:pt idx="22">
                  <c:v>45</c:v>
                </c:pt>
                <c:pt idx="23">
                  <c:v>45</c:v>
                </c:pt>
                <c:pt idx="24">
                  <c:v>45</c:v>
                </c:pt>
              </c:numCache>
            </c:numRef>
          </c:val>
          <c:smooth val="0"/>
        </c:ser>
        <c:dLbls>
          <c:showLegendKey val="0"/>
          <c:showVal val="0"/>
          <c:showCatName val="0"/>
          <c:showSerName val="0"/>
          <c:showPercent val="0"/>
          <c:showBubbleSize val="0"/>
        </c:dLbls>
        <c:marker val="1"/>
        <c:smooth val="0"/>
        <c:axId val="434725472"/>
        <c:axId val="434725864"/>
      </c:lineChart>
      <c:catAx>
        <c:axId val="434725472"/>
        <c:scaling>
          <c:orientation val="minMax"/>
        </c:scaling>
        <c:delete val="0"/>
        <c:axPos val="b"/>
        <c:numFmt formatCode="General" sourceLinked="1"/>
        <c:majorTickMark val="out"/>
        <c:minorTickMark val="none"/>
        <c:tickLblPos val="nextTo"/>
        <c:crossAx val="434725864"/>
        <c:crosses val="autoZero"/>
        <c:auto val="1"/>
        <c:lblAlgn val="ctr"/>
        <c:lblOffset val="100"/>
        <c:tickLblSkip val="1"/>
        <c:noMultiLvlLbl val="0"/>
      </c:catAx>
      <c:valAx>
        <c:axId val="434725864"/>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434725472"/>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2">
    <c:autoUpdate val="0"/>
  </c:externalData>
  <c:userShapes r:id="rId3"/>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17436997626964E-2"/>
          <c:y val="5.5989236111111111E-2"/>
          <c:w val="0.93616132135261021"/>
          <c:h val="0.86336284722222201"/>
        </c:manualLayout>
      </c:layout>
      <c:barChart>
        <c:barDir val="col"/>
        <c:grouping val="clustered"/>
        <c:varyColors val="0"/>
        <c:ser>
          <c:idx val="0"/>
          <c:order val="0"/>
          <c:tx>
            <c:strRef>
              <c:f>'G18'!$B$4</c:f>
              <c:strCache>
                <c:ptCount val="1"/>
                <c:pt idx="0">
                  <c:v>2014</c:v>
                </c:pt>
              </c:strCache>
            </c:strRef>
          </c:tx>
          <c:spPr>
            <a:solidFill>
              <a:sysClr val="windowText" lastClr="000000"/>
            </a:solidFill>
            <a:ln>
              <a:solidFill>
                <a:sysClr val="windowText" lastClr="000000"/>
              </a:solidFill>
            </a:ln>
          </c:spPr>
          <c:invertIfNegative val="0"/>
          <c:dPt>
            <c:idx val="5"/>
            <c:invertIfNegative val="0"/>
            <c:bubble3D val="0"/>
            <c:spPr>
              <a:solidFill>
                <a:sysClr val="window" lastClr="FFFFFF">
                  <a:lumMod val="75000"/>
                </a:sysClr>
              </a:solidFill>
              <a:ln>
                <a:solidFill>
                  <a:sysClr val="window" lastClr="FFFFFF">
                    <a:lumMod val="75000"/>
                  </a:sysClr>
                </a:solidFill>
              </a:ln>
            </c:spPr>
          </c:dPt>
          <c:cat>
            <c:strRef>
              <c:f>'G18'!$A$5:$A$31</c:f>
              <c:strCache>
                <c:ptCount val="27"/>
                <c:pt idx="0">
                  <c:v>Malta</c:v>
                </c:pt>
                <c:pt idx="1">
                  <c:v>Bulharsko</c:v>
                </c:pt>
                <c:pt idx="2">
                  <c:v>Grécko</c:v>
                </c:pt>
                <c:pt idx="3">
                  <c:v>Estónsko</c:v>
                </c:pt>
                <c:pt idx="4">
                  <c:v>Cyprus</c:v>
                </c:pt>
                <c:pt idx="5">
                  <c:v>Slovensko</c:v>
                </c:pt>
                <c:pt idx="6">
                  <c:v>Chorvátsko</c:v>
                </c:pt>
                <c:pt idx="7">
                  <c:v>Litva</c:v>
                </c:pt>
                <c:pt idx="8">
                  <c:v>Maďarsko</c:v>
                </c:pt>
                <c:pt idx="9">
                  <c:v>Španielsko</c:v>
                </c:pt>
                <c:pt idx="10">
                  <c:v>Island</c:v>
                </c:pt>
                <c:pt idx="11">
                  <c:v>Portugalsko</c:v>
                </c:pt>
                <c:pt idx="12">
                  <c:v>Veľká Británia</c:v>
                </c:pt>
                <c:pt idx="13">
                  <c:v>Lotyšsko</c:v>
                </c:pt>
                <c:pt idx="14">
                  <c:v>Poľsko</c:v>
                </c:pt>
                <c:pt idx="15">
                  <c:v>Česká republika</c:v>
                </c:pt>
                <c:pt idx="16">
                  <c:v>Francúzsko</c:v>
                </c:pt>
                <c:pt idx="17">
                  <c:v>Taliansko</c:v>
                </c:pt>
                <c:pt idx="18">
                  <c:v>Fínsko</c:v>
                </c:pt>
                <c:pt idx="19">
                  <c:v>Nórsko</c:v>
                </c:pt>
                <c:pt idx="20">
                  <c:v>Rakúsko</c:v>
                </c:pt>
                <c:pt idx="21">
                  <c:v>Slovensko</c:v>
                </c:pt>
                <c:pt idx="22">
                  <c:v>Švédska</c:v>
                </c:pt>
                <c:pt idx="23">
                  <c:v>Dánsko</c:v>
                </c:pt>
                <c:pt idx="24">
                  <c:v>Belgicko</c:v>
                </c:pt>
                <c:pt idx="25">
                  <c:v>Holandsko</c:v>
                </c:pt>
                <c:pt idx="26">
                  <c:v>Luxembursko</c:v>
                </c:pt>
              </c:strCache>
            </c:strRef>
          </c:cat>
          <c:val>
            <c:numRef>
              <c:f>'G18'!$B$5:$B$31</c:f>
              <c:numCache>
                <c:formatCode>0.0</c:formatCode>
                <c:ptCount val="27"/>
                <c:pt idx="0">
                  <c:v>94</c:v>
                </c:pt>
                <c:pt idx="1">
                  <c:v>83</c:v>
                </c:pt>
                <c:pt idx="2">
                  <c:v>81</c:v>
                </c:pt>
                <c:pt idx="3">
                  <c:v>80</c:v>
                </c:pt>
                <c:pt idx="4">
                  <c:v>65</c:v>
                </c:pt>
                <c:pt idx="5">
                  <c:v>51</c:v>
                </c:pt>
                <c:pt idx="6">
                  <c:v>51</c:v>
                </c:pt>
                <c:pt idx="7">
                  <c:v>48</c:v>
                </c:pt>
                <c:pt idx="8">
                  <c:v>47</c:v>
                </c:pt>
                <c:pt idx="9">
                  <c:v>43</c:v>
                </c:pt>
                <c:pt idx="10">
                  <c:v>37</c:v>
                </c:pt>
                <c:pt idx="11">
                  <c:v>35</c:v>
                </c:pt>
                <c:pt idx="12">
                  <c:v>34</c:v>
                </c:pt>
                <c:pt idx="13">
                  <c:v>29</c:v>
                </c:pt>
                <c:pt idx="14">
                  <c:v>27</c:v>
                </c:pt>
                <c:pt idx="15">
                  <c:v>27</c:v>
                </c:pt>
                <c:pt idx="16">
                  <c:v>25</c:v>
                </c:pt>
                <c:pt idx="17">
                  <c:v>20</c:v>
                </c:pt>
                <c:pt idx="18">
                  <c:v>17</c:v>
                </c:pt>
                <c:pt idx="19">
                  <c:v>14</c:v>
                </c:pt>
                <c:pt idx="20">
                  <c:v>11</c:v>
                </c:pt>
                <c:pt idx="21">
                  <c:v>9</c:v>
                </c:pt>
                <c:pt idx="22">
                  <c:v>8</c:v>
                </c:pt>
                <c:pt idx="23">
                  <c:v>6</c:v>
                </c:pt>
                <c:pt idx="24">
                  <c:v>4</c:v>
                </c:pt>
                <c:pt idx="25">
                  <c:v>2</c:v>
                </c:pt>
                <c:pt idx="26">
                  <c:v>2</c:v>
                </c:pt>
              </c:numCache>
            </c:numRef>
          </c:val>
        </c:ser>
        <c:dLbls>
          <c:showLegendKey val="0"/>
          <c:showVal val="0"/>
          <c:showCatName val="0"/>
          <c:showSerName val="0"/>
          <c:showPercent val="0"/>
          <c:showBubbleSize val="0"/>
        </c:dLbls>
        <c:gapWidth val="150"/>
        <c:axId val="237658080"/>
        <c:axId val="237658472"/>
      </c:barChart>
      <c:lineChart>
        <c:grouping val="standard"/>
        <c:varyColors val="0"/>
        <c:ser>
          <c:idx val="2"/>
          <c:order val="1"/>
          <c:tx>
            <c:strRef>
              <c:f>'G18'!$C$4</c:f>
              <c:strCache>
                <c:ptCount val="1"/>
                <c:pt idx="0">
                  <c:v>EU 28</c:v>
                </c:pt>
              </c:strCache>
            </c:strRef>
          </c:tx>
          <c:spPr>
            <a:ln w="12700">
              <a:solidFill>
                <a:sysClr val="windowText" lastClr="000000"/>
              </a:solidFill>
            </a:ln>
          </c:spPr>
          <c:marker>
            <c:symbol val="none"/>
          </c:marker>
          <c:cat>
            <c:strRef>
              <c:f>'G18'!$A$5:$A$31</c:f>
              <c:strCache>
                <c:ptCount val="27"/>
                <c:pt idx="0">
                  <c:v>Malta</c:v>
                </c:pt>
                <c:pt idx="1">
                  <c:v>Bulharsko</c:v>
                </c:pt>
                <c:pt idx="2">
                  <c:v>Grécko</c:v>
                </c:pt>
                <c:pt idx="3">
                  <c:v>Estónsko</c:v>
                </c:pt>
                <c:pt idx="4">
                  <c:v>Cyprus</c:v>
                </c:pt>
                <c:pt idx="5">
                  <c:v>Slovensko</c:v>
                </c:pt>
                <c:pt idx="6">
                  <c:v>Chorvátsko</c:v>
                </c:pt>
                <c:pt idx="7">
                  <c:v>Litva</c:v>
                </c:pt>
                <c:pt idx="8">
                  <c:v>Maďarsko</c:v>
                </c:pt>
                <c:pt idx="9">
                  <c:v>Španielsko</c:v>
                </c:pt>
                <c:pt idx="10">
                  <c:v>Island</c:v>
                </c:pt>
                <c:pt idx="11">
                  <c:v>Portugalsko</c:v>
                </c:pt>
                <c:pt idx="12">
                  <c:v>Veľká Británia</c:v>
                </c:pt>
                <c:pt idx="13">
                  <c:v>Lotyšsko</c:v>
                </c:pt>
                <c:pt idx="14">
                  <c:v>Poľsko</c:v>
                </c:pt>
                <c:pt idx="15">
                  <c:v>Česká republika</c:v>
                </c:pt>
                <c:pt idx="16">
                  <c:v>Francúzsko</c:v>
                </c:pt>
                <c:pt idx="17">
                  <c:v>Taliansko</c:v>
                </c:pt>
                <c:pt idx="18">
                  <c:v>Fínsko</c:v>
                </c:pt>
                <c:pt idx="19">
                  <c:v>Nórsko</c:v>
                </c:pt>
                <c:pt idx="20">
                  <c:v>Rakúsko</c:v>
                </c:pt>
                <c:pt idx="21">
                  <c:v>Slovensko</c:v>
                </c:pt>
                <c:pt idx="22">
                  <c:v>Švédska</c:v>
                </c:pt>
                <c:pt idx="23">
                  <c:v>Dánsko</c:v>
                </c:pt>
                <c:pt idx="24">
                  <c:v>Belgicko</c:v>
                </c:pt>
                <c:pt idx="25">
                  <c:v>Holandsko</c:v>
                </c:pt>
                <c:pt idx="26">
                  <c:v>Luxembursko</c:v>
                </c:pt>
              </c:strCache>
            </c:strRef>
          </c:cat>
          <c:val>
            <c:numRef>
              <c:f>'G18'!$C$5:$C$31</c:f>
              <c:numCache>
                <c:formatCode>0.0</c:formatCode>
                <c:ptCount val="27"/>
                <c:pt idx="0">
                  <c:v>25</c:v>
                </c:pt>
                <c:pt idx="1">
                  <c:v>25</c:v>
                </c:pt>
                <c:pt idx="2">
                  <c:v>25</c:v>
                </c:pt>
                <c:pt idx="3">
                  <c:v>25</c:v>
                </c:pt>
                <c:pt idx="4">
                  <c:v>25</c:v>
                </c:pt>
                <c:pt idx="5">
                  <c:v>25</c:v>
                </c:pt>
                <c:pt idx="6">
                  <c:v>25</c:v>
                </c:pt>
                <c:pt idx="7">
                  <c:v>25</c:v>
                </c:pt>
                <c:pt idx="8">
                  <c:v>25</c:v>
                </c:pt>
                <c:pt idx="9">
                  <c:v>25</c:v>
                </c:pt>
                <c:pt idx="10">
                  <c:v>25</c:v>
                </c:pt>
                <c:pt idx="11">
                  <c:v>25</c:v>
                </c:pt>
                <c:pt idx="12">
                  <c:v>25</c:v>
                </c:pt>
                <c:pt idx="13">
                  <c:v>25</c:v>
                </c:pt>
                <c:pt idx="14">
                  <c:v>25</c:v>
                </c:pt>
                <c:pt idx="15">
                  <c:v>25</c:v>
                </c:pt>
                <c:pt idx="16">
                  <c:v>25</c:v>
                </c:pt>
                <c:pt idx="17">
                  <c:v>25</c:v>
                </c:pt>
                <c:pt idx="18">
                  <c:v>25</c:v>
                </c:pt>
                <c:pt idx="19">
                  <c:v>25</c:v>
                </c:pt>
                <c:pt idx="20">
                  <c:v>25</c:v>
                </c:pt>
                <c:pt idx="21">
                  <c:v>25</c:v>
                </c:pt>
                <c:pt idx="22">
                  <c:v>25</c:v>
                </c:pt>
                <c:pt idx="23">
                  <c:v>25</c:v>
                </c:pt>
                <c:pt idx="24">
                  <c:v>25</c:v>
                </c:pt>
                <c:pt idx="25">
                  <c:v>25</c:v>
                </c:pt>
                <c:pt idx="26">
                  <c:v>25</c:v>
                </c:pt>
              </c:numCache>
            </c:numRef>
          </c:val>
          <c:smooth val="0"/>
        </c:ser>
        <c:dLbls>
          <c:showLegendKey val="0"/>
          <c:showVal val="0"/>
          <c:showCatName val="0"/>
          <c:showSerName val="0"/>
          <c:showPercent val="0"/>
          <c:showBubbleSize val="0"/>
        </c:dLbls>
        <c:marker val="1"/>
        <c:smooth val="0"/>
        <c:axId val="237658080"/>
        <c:axId val="237658472"/>
      </c:lineChart>
      <c:catAx>
        <c:axId val="237658080"/>
        <c:scaling>
          <c:orientation val="minMax"/>
        </c:scaling>
        <c:delete val="0"/>
        <c:axPos val="b"/>
        <c:numFmt formatCode="General" sourceLinked="1"/>
        <c:majorTickMark val="out"/>
        <c:minorTickMark val="none"/>
        <c:tickLblPos val="nextTo"/>
        <c:crossAx val="237658472"/>
        <c:crosses val="autoZero"/>
        <c:auto val="1"/>
        <c:lblAlgn val="ctr"/>
        <c:lblOffset val="100"/>
        <c:tickLblSkip val="1"/>
        <c:noMultiLvlLbl val="0"/>
      </c:catAx>
      <c:valAx>
        <c:axId val="237658472"/>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237658080"/>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2">
    <c:autoUpdate val="0"/>
  </c:externalData>
  <c:userShapes r:id="rId3"/>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272994023446799E-2"/>
          <c:y val="6.5573770491803296E-2"/>
          <c:w val="0.93253494644888502"/>
          <c:h val="0.70071305021298602"/>
        </c:manualLayout>
      </c:layout>
      <c:lineChart>
        <c:grouping val="standard"/>
        <c:varyColors val="0"/>
        <c:ser>
          <c:idx val="0"/>
          <c:order val="0"/>
          <c:tx>
            <c:strRef>
              <c:f>Hárok1!$AE$3</c:f>
              <c:strCache>
                <c:ptCount val="1"/>
                <c:pt idx="0">
                  <c:v>Medián</c:v>
                </c:pt>
              </c:strCache>
            </c:strRef>
          </c:tx>
          <c:spPr>
            <a:ln w="28575" cap="rnd" cmpd="sng" algn="ctr">
              <a:noFill/>
              <a:prstDash val="solid"/>
              <a:round/>
            </a:ln>
            <a:effectLst/>
          </c:spPr>
          <c:marker>
            <c:symbol val="diamond"/>
            <c:size val="5"/>
            <c:spPr>
              <a:solidFill>
                <a:schemeClr val="bg1">
                  <a:lumMod val="75000"/>
                </a:schemeClr>
              </a:solidFill>
              <a:ln w="9525" cap="flat" cmpd="sng" algn="ctr">
                <a:solidFill>
                  <a:schemeClr val="tx1"/>
                </a:solidFill>
                <a:prstDash val="solid"/>
                <a:round/>
              </a:ln>
              <a:effectLst/>
            </c:spPr>
          </c:marker>
          <c:dPt>
            <c:idx val="21"/>
            <c:bubble3D val="0"/>
            <c:extLst xmlns:c16r2="http://schemas.microsoft.com/office/drawing/2015/06/chart">
              <c:ext xmlns:c16="http://schemas.microsoft.com/office/drawing/2014/chart" uri="{C3380CC4-5D6E-409C-BE32-E72D297353CC}">
                <c16:uniqueId val="{00000000-D197-4027-8C00-F1661D8245FF}"/>
              </c:ext>
            </c:extLst>
          </c:dPt>
          <c:cat>
            <c:strRef>
              <c:f>Hárok1!$AD$4:$AD$31</c:f>
              <c:strCache>
                <c:ptCount val="28"/>
                <c:pt idx="0">
                  <c:v>Švédsko</c:v>
                </c:pt>
                <c:pt idx="1">
                  <c:v>Estonsko</c:v>
                </c:pt>
                <c:pt idx="2">
                  <c:v>Fínsko</c:v>
                </c:pt>
                <c:pt idx="3">
                  <c:v>Španielsko</c:v>
                </c:pt>
                <c:pt idx="4">
                  <c:v>Portugalsko</c:v>
                </c:pt>
                <c:pt idx="5">
                  <c:v>Grécko</c:v>
                </c:pt>
                <c:pt idx="6">
                  <c:v>Dánsko</c:v>
                </c:pt>
                <c:pt idx="7">
                  <c:v>Írsko</c:v>
                </c:pt>
                <c:pt idx="8">
                  <c:v>Malta</c:v>
                </c:pt>
                <c:pt idx="9">
                  <c:v>Veľká Británia</c:v>
                </c:pt>
                <c:pt idx="10">
                  <c:v>Lotyšsko</c:v>
                </c:pt>
                <c:pt idx="11">
                  <c:v>Holandsko</c:v>
                </c:pt>
                <c:pt idx="12">
                  <c:v>Nemecko</c:v>
                </c:pt>
                <c:pt idx="13">
                  <c:v>Francúzsko</c:v>
                </c:pt>
                <c:pt idx="14">
                  <c:v>Belgicko</c:v>
                </c:pt>
                <c:pt idx="15">
                  <c:v>Luxemburg</c:v>
                </c:pt>
                <c:pt idx="16">
                  <c:v>Rakúsko</c:v>
                </c:pt>
                <c:pt idx="17">
                  <c:v>Cyprus</c:v>
                </c:pt>
                <c:pt idx="18">
                  <c:v>Rumunsko</c:v>
                </c:pt>
                <c:pt idx="19">
                  <c:v>Taliansko</c:v>
                </c:pt>
                <c:pt idx="20">
                  <c:v>Maďarsko</c:v>
                </c:pt>
                <c:pt idx="21">
                  <c:v>Slovensko</c:v>
                </c:pt>
                <c:pt idx="22">
                  <c:v>Bulharsko</c:v>
                </c:pt>
                <c:pt idx="23">
                  <c:v>Slovinsko</c:v>
                </c:pt>
                <c:pt idx="24">
                  <c:v>Litva</c:v>
                </c:pt>
                <c:pt idx="25">
                  <c:v>Česká republika</c:v>
                </c:pt>
                <c:pt idx="26">
                  <c:v>Chorvátsko</c:v>
                </c:pt>
                <c:pt idx="27">
                  <c:v>Poľsko</c:v>
                </c:pt>
              </c:strCache>
            </c:strRef>
          </c:cat>
          <c:val>
            <c:numRef>
              <c:f>Hárok1!$AE$4:$AE$31</c:f>
              <c:numCache>
                <c:formatCode>General</c:formatCode>
                <c:ptCount val="28"/>
                <c:pt idx="0">
                  <c:v>5.3</c:v>
                </c:pt>
                <c:pt idx="1">
                  <c:v>6.4</c:v>
                </c:pt>
                <c:pt idx="2">
                  <c:v>6.7</c:v>
                </c:pt>
                <c:pt idx="3">
                  <c:v>8.2000000000000011</c:v>
                </c:pt>
                <c:pt idx="4">
                  <c:v>8.6</c:v>
                </c:pt>
                <c:pt idx="5">
                  <c:v>10</c:v>
                </c:pt>
                <c:pt idx="6">
                  <c:v>10.6</c:v>
                </c:pt>
                <c:pt idx="7">
                  <c:v>11</c:v>
                </c:pt>
                <c:pt idx="8">
                  <c:v>11.4</c:v>
                </c:pt>
                <c:pt idx="9">
                  <c:v>12.8</c:v>
                </c:pt>
                <c:pt idx="10">
                  <c:v>14.4</c:v>
                </c:pt>
                <c:pt idx="11">
                  <c:v>14.5</c:v>
                </c:pt>
                <c:pt idx="12">
                  <c:v>14.6</c:v>
                </c:pt>
                <c:pt idx="13">
                  <c:v>14.8</c:v>
                </c:pt>
                <c:pt idx="14">
                  <c:v>15.2</c:v>
                </c:pt>
                <c:pt idx="15">
                  <c:v>15.9</c:v>
                </c:pt>
                <c:pt idx="16">
                  <c:v>16.399999999999999</c:v>
                </c:pt>
                <c:pt idx="17">
                  <c:v>16.5</c:v>
                </c:pt>
                <c:pt idx="18">
                  <c:v>16.899999999999999</c:v>
                </c:pt>
                <c:pt idx="19">
                  <c:v>17.2</c:v>
                </c:pt>
                <c:pt idx="20">
                  <c:v>17.2</c:v>
                </c:pt>
                <c:pt idx="21">
                  <c:v>18.600000000000001</c:v>
                </c:pt>
                <c:pt idx="22">
                  <c:v>19.600000000000001</c:v>
                </c:pt>
                <c:pt idx="23">
                  <c:v>19.899999999999999</c:v>
                </c:pt>
                <c:pt idx="24">
                  <c:v>20.399999999999999</c:v>
                </c:pt>
                <c:pt idx="25">
                  <c:v>20.399999999999999</c:v>
                </c:pt>
                <c:pt idx="26">
                  <c:v>23</c:v>
                </c:pt>
                <c:pt idx="27">
                  <c:v>24.3</c:v>
                </c:pt>
              </c:numCache>
            </c:numRef>
          </c:val>
          <c:smooth val="0"/>
          <c:extLst xmlns:c16r2="http://schemas.microsoft.com/office/drawing/2015/06/chart">
            <c:ext xmlns:c16="http://schemas.microsoft.com/office/drawing/2014/chart" uri="{C3380CC4-5D6E-409C-BE32-E72D297353CC}">
              <c16:uniqueId val="{00000001-D197-4027-8C00-F1661D8245FF}"/>
            </c:ext>
          </c:extLst>
        </c:ser>
        <c:ser>
          <c:idx val="1"/>
          <c:order val="1"/>
          <c:tx>
            <c:strRef>
              <c:f>Hárok1!$AF$3</c:f>
              <c:strCache>
                <c:ptCount val="1"/>
                <c:pt idx="0">
                  <c:v>1. kvartil</c:v>
                </c:pt>
              </c:strCache>
            </c:strRef>
          </c:tx>
          <c:spPr>
            <a:ln w="28575" cap="rnd" cmpd="sng" algn="ctr">
              <a:noFill/>
              <a:prstDash val="solid"/>
              <a:round/>
            </a:ln>
            <a:effectLst/>
          </c:spPr>
          <c:marker>
            <c:symbol val="circle"/>
            <c:size val="5"/>
            <c:spPr>
              <a:solidFill>
                <a:schemeClr val="bg1">
                  <a:lumMod val="75000"/>
                </a:schemeClr>
              </a:solidFill>
              <a:ln w="9525" cap="flat" cmpd="sng" algn="ctr">
                <a:solidFill>
                  <a:schemeClr val="tx1"/>
                </a:solidFill>
                <a:prstDash val="solid"/>
                <a:round/>
              </a:ln>
              <a:effectLst/>
            </c:spPr>
          </c:marker>
          <c:dPt>
            <c:idx val="21"/>
            <c:bubble3D val="0"/>
            <c:extLst xmlns:c16r2="http://schemas.microsoft.com/office/drawing/2015/06/chart">
              <c:ext xmlns:c16="http://schemas.microsoft.com/office/drawing/2014/chart" uri="{C3380CC4-5D6E-409C-BE32-E72D297353CC}">
                <c16:uniqueId val="{00000002-D197-4027-8C00-F1661D8245FF}"/>
              </c:ext>
            </c:extLst>
          </c:dPt>
          <c:cat>
            <c:strRef>
              <c:f>Hárok1!$AD$4:$AD$31</c:f>
              <c:strCache>
                <c:ptCount val="28"/>
                <c:pt idx="0">
                  <c:v>Švédsko</c:v>
                </c:pt>
                <c:pt idx="1">
                  <c:v>Estonsko</c:v>
                </c:pt>
                <c:pt idx="2">
                  <c:v>Fínsko</c:v>
                </c:pt>
                <c:pt idx="3">
                  <c:v>Španielsko</c:v>
                </c:pt>
                <c:pt idx="4">
                  <c:v>Portugalsko</c:v>
                </c:pt>
                <c:pt idx="5">
                  <c:v>Grécko</c:v>
                </c:pt>
                <c:pt idx="6">
                  <c:v>Dánsko</c:v>
                </c:pt>
                <c:pt idx="7">
                  <c:v>Írsko</c:v>
                </c:pt>
                <c:pt idx="8">
                  <c:v>Malta</c:v>
                </c:pt>
                <c:pt idx="9">
                  <c:v>Veľká Británia</c:v>
                </c:pt>
                <c:pt idx="10">
                  <c:v>Lotyšsko</c:v>
                </c:pt>
                <c:pt idx="11">
                  <c:v>Holandsko</c:v>
                </c:pt>
                <c:pt idx="12">
                  <c:v>Nemecko</c:v>
                </c:pt>
                <c:pt idx="13">
                  <c:v>Francúzsko</c:v>
                </c:pt>
                <c:pt idx="14">
                  <c:v>Belgicko</c:v>
                </c:pt>
                <c:pt idx="15">
                  <c:v>Luxemburg</c:v>
                </c:pt>
                <c:pt idx="16">
                  <c:v>Rakúsko</c:v>
                </c:pt>
                <c:pt idx="17">
                  <c:v>Cyprus</c:v>
                </c:pt>
                <c:pt idx="18">
                  <c:v>Rumunsko</c:v>
                </c:pt>
                <c:pt idx="19">
                  <c:v>Taliansko</c:v>
                </c:pt>
                <c:pt idx="20">
                  <c:v>Maďarsko</c:v>
                </c:pt>
                <c:pt idx="21">
                  <c:v>Slovensko</c:v>
                </c:pt>
                <c:pt idx="22">
                  <c:v>Bulharsko</c:v>
                </c:pt>
                <c:pt idx="23">
                  <c:v>Slovinsko</c:v>
                </c:pt>
                <c:pt idx="24">
                  <c:v>Litva</c:v>
                </c:pt>
                <c:pt idx="25">
                  <c:v>Česká republika</c:v>
                </c:pt>
                <c:pt idx="26">
                  <c:v>Chorvátsko</c:v>
                </c:pt>
                <c:pt idx="27">
                  <c:v>Poľsko</c:v>
                </c:pt>
              </c:strCache>
            </c:strRef>
          </c:cat>
          <c:val>
            <c:numRef>
              <c:f>Hárok1!$AF$4:$AF$31</c:f>
              <c:numCache>
                <c:formatCode>General</c:formatCode>
                <c:ptCount val="28"/>
                <c:pt idx="0">
                  <c:v>4.3</c:v>
                </c:pt>
                <c:pt idx="1">
                  <c:v>5.5</c:v>
                </c:pt>
                <c:pt idx="2">
                  <c:v>6.2</c:v>
                </c:pt>
                <c:pt idx="3">
                  <c:v>6.9</c:v>
                </c:pt>
                <c:pt idx="4">
                  <c:v>5.2</c:v>
                </c:pt>
                <c:pt idx="5">
                  <c:v>10</c:v>
                </c:pt>
                <c:pt idx="6">
                  <c:v>10</c:v>
                </c:pt>
                <c:pt idx="7">
                  <c:v>9.8000000000000007</c:v>
                </c:pt>
                <c:pt idx="8">
                  <c:v>10.9</c:v>
                </c:pt>
                <c:pt idx="9">
                  <c:v>11.5</c:v>
                </c:pt>
                <c:pt idx="10">
                  <c:v>11.3</c:v>
                </c:pt>
                <c:pt idx="11">
                  <c:v>13.7</c:v>
                </c:pt>
                <c:pt idx="12">
                  <c:v>13.2</c:v>
                </c:pt>
                <c:pt idx="13">
                  <c:v>13</c:v>
                </c:pt>
                <c:pt idx="14">
                  <c:v>13.7</c:v>
                </c:pt>
                <c:pt idx="15">
                  <c:v>15.3</c:v>
                </c:pt>
                <c:pt idx="16">
                  <c:v>15</c:v>
                </c:pt>
                <c:pt idx="17">
                  <c:v>16.5</c:v>
                </c:pt>
                <c:pt idx="18">
                  <c:v>14.5</c:v>
                </c:pt>
                <c:pt idx="19">
                  <c:v>14</c:v>
                </c:pt>
                <c:pt idx="20">
                  <c:v>16.5</c:v>
                </c:pt>
                <c:pt idx="21">
                  <c:v>15.8</c:v>
                </c:pt>
                <c:pt idx="22">
                  <c:v>11.9</c:v>
                </c:pt>
                <c:pt idx="23">
                  <c:v>17.3</c:v>
                </c:pt>
                <c:pt idx="24">
                  <c:v>16.7</c:v>
                </c:pt>
                <c:pt idx="25">
                  <c:v>16.899999999999999</c:v>
                </c:pt>
                <c:pt idx="26">
                  <c:v>22.3</c:v>
                </c:pt>
                <c:pt idx="27">
                  <c:v>20.399999999999999</c:v>
                </c:pt>
              </c:numCache>
            </c:numRef>
          </c:val>
          <c:smooth val="0"/>
          <c:extLst xmlns:c16r2="http://schemas.microsoft.com/office/drawing/2015/06/chart">
            <c:ext xmlns:c16="http://schemas.microsoft.com/office/drawing/2014/chart" uri="{C3380CC4-5D6E-409C-BE32-E72D297353CC}">
              <c16:uniqueId val="{00000003-D197-4027-8C00-F1661D8245FF}"/>
            </c:ext>
          </c:extLst>
        </c:ser>
        <c:ser>
          <c:idx val="2"/>
          <c:order val="2"/>
          <c:tx>
            <c:strRef>
              <c:f>Hárok1!$AG$3</c:f>
              <c:strCache>
                <c:ptCount val="1"/>
                <c:pt idx="0">
                  <c:v>3. kvartil</c:v>
                </c:pt>
              </c:strCache>
            </c:strRef>
          </c:tx>
          <c:spPr>
            <a:ln w="28575" cap="rnd" cmpd="sng" algn="ctr">
              <a:noFill/>
              <a:prstDash val="solid"/>
              <a:round/>
            </a:ln>
            <a:effectLst/>
          </c:spPr>
          <c:marker>
            <c:symbol val="circle"/>
            <c:size val="5"/>
            <c:spPr>
              <a:solidFill>
                <a:schemeClr val="tx1"/>
              </a:solidFill>
              <a:ln w="9525" cap="flat" cmpd="sng" algn="ctr">
                <a:solidFill>
                  <a:schemeClr val="tx1"/>
                </a:solidFill>
                <a:prstDash val="solid"/>
                <a:round/>
              </a:ln>
              <a:effectLst/>
            </c:spPr>
          </c:marker>
          <c:dPt>
            <c:idx val="21"/>
            <c:bubble3D val="0"/>
            <c:extLst xmlns:c16r2="http://schemas.microsoft.com/office/drawing/2015/06/chart">
              <c:ext xmlns:c16="http://schemas.microsoft.com/office/drawing/2014/chart" uri="{C3380CC4-5D6E-409C-BE32-E72D297353CC}">
                <c16:uniqueId val="{00000004-D197-4027-8C00-F1661D8245FF}"/>
              </c:ext>
            </c:extLst>
          </c:dPt>
          <c:cat>
            <c:strRef>
              <c:f>Hárok1!$AD$4:$AD$31</c:f>
              <c:strCache>
                <c:ptCount val="28"/>
                <c:pt idx="0">
                  <c:v>Švédsko</c:v>
                </c:pt>
                <c:pt idx="1">
                  <c:v>Estonsko</c:v>
                </c:pt>
                <c:pt idx="2">
                  <c:v>Fínsko</c:v>
                </c:pt>
                <c:pt idx="3">
                  <c:v>Španielsko</c:v>
                </c:pt>
                <c:pt idx="4">
                  <c:v>Portugalsko</c:v>
                </c:pt>
                <c:pt idx="5">
                  <c:v>Grécko</c:v>
                </c:pt>
                <c:pt idx="6">
                  <c:v>Dánsko</c:v>
                </c:pt>
                <c:pt idx="7">
                  <c:v>Írsko</c:v>
                </c:pt>
                <c:pt idx="8">
                  <c:v>Malta</c:v>
                </c:pt>
                <c:pt idx="9">
                  <c:v>Veľká Británia</c:v>
                </c:pt>
                <c:pt idx="10">
                  <c:v>Lotyšsko</c:v>
                </c:pt>
                <c:pt idx="11">
                  <c:v>Holandsko</c:v>
                </c:pt>
                <c:pt idx="12">
                  <c:v>Nemecko</c:v>
                </c:pt>
                <c:pt idx="13">
                  <c:v>Francúzsko</c:v>
                </c:pt>
                <c:pt idx="14">
                  <c:v>Belgicko</c:v>
                </c:pt>
                <c:pt idx="15">
                  <c:v>Luxemburg</c:v>
                </c:pt>
                <c:pt idx="16">
                  <c:v>Rakúsko</c:v>
                </c:pt>
                <c:pt idx="17">
                  <c:v>Cyprus</c:v>
                </c:pt>
                <c:pt idx="18">
                  <c:v>Rumunsko</c:v>
                </c:pt>
                <c:pt idx="19">
                  <c:v>Taliansko</c:v>
                </c:pt>
                <c:pt idx="20">
                  <c:v>Maďarsko</c:v>
                </c:pt>
                <c:pt idx="21">
                  <c:v>Slovensko</c:v>
                </c:pt>
                <c:pt idx="22">
                  <c:v>Bulharsko</c:v>
                </c:pt>
                <c:pt idx="23">
                  <c:v>Slovinsko</c:v>
                </c:pt>
                <c:pt idx="24">
                  <c:v>Litva</c:v>
                </c:pt>
                <c:pt idx="25">
                  <c:v>Česká republika</c:v>
                </c:pt>
                <c:pt idx="26">
                  <c:v>Chorvátsko</c:v>
                </c:pt>
                <c:pt idx="27">
                  <c:v>Poľsko</c:v>
                </c:pt>
              </c:strCache>
            </c:strRef>
          </c:cat>
          <c:val>
            <c:numRef>
              <c:f>Hárok1!$AG$4:$AG$31</c:f>
              <c:numCache>
                <c:formatCode>General</c:formatCode>
                <c:ptCount val="28"/>
                <c:pt idx="0">
                  <c:v>6.7</c:v>
                </c:pt>
                <c:pt idx="1">
                  <c:v>7.9</c:v>
                </c:pt>
                <c:pt idx="2">
                  <c:v>7</c:v>
                </c:pt>
                <c:pt idx="3">
                  <c:v>10.3</c:v>
                </c:pt>
                <c:pt idx="4">
                  <c:v>11.3</c:v>
                </c:pt>
                <c:pt idx="5">
                  <c:v>10</c:v>
                </c:pt>
                <c:pt idx="6">
                  <c:v>11.9</c:v>
                </c:pt>
                <c:pt idx="7">
                  <c:v>11.1</c:v>
                </c:pt>
                <c:pt idx="8">
                  <c:v>14.6</c:v>
                </c:pt>
                <c:pt idx="9">
                  <c:v>14.2</c:v>
                </c:pt>
                <c:pt idx="10">
                  <c:v>17.2</c:v>
                </c:pt>
                <c:pt idx="11">
                  <c:v>15.5</c:v>
                </c:pt>
                <c:pt idx="12">
                  <c:v>15.9</c:v>
                </c:pt>
                <c:pt idx="13">
                  <c:v>17.100000000000001</c:v>
                </c:pt>
                <c:pt idx="14">
                  <c:v>17.7</c:v>
                </c:pt>
                <c:pt idx="15">
                  <c:v>16.3</c:v>
                </c:pt>
                <c:pt idx="16">
                  <c:v>17.8</c:v>
                </c:pt>
                <c:pt idx="17">
                  <c:v>17</c:v>
                </c:pt>
                <c:pt idx="18">
                  <c:v>19</c:v>
                </c:pt>
                <c:pt idx="19">
                  <c:v>22.4</c:v>
                </c:pt>
                <c:pt idx="20">
                  <c:v>17.5</c:v>
                </c:pt>
                <c:pt idx="21">
                  <c:v>20.8</c:v>
                </c:pt>
                <c:pt idx="22">
                  <c:v>30.7</c:v>
                </c:pt>
                <c:pt idx="23">
                  <c:v>20.6</c:v>
                </c:pt>
                <c:pt idx="24">
                  <c:v>21.7</c:v>
                </c:pt>
                <c:pt idx="25">
                  <c:v>21.9</c:v>
                </c:pt>
                <c:pt idx="26">
                  <c:v>23.6</c:v>
                </c:pt>
                <c:pt idx="27">
                  <c:v>28.1</c:v>
                </c:pt>
              </c:numCache>
            </c:numRef>
          </c:val>
          <c:smooth val="0"/>
          <c:extLst xmlns:c16r2="http://schemas.microsoft.com/office/drawing/2015/06/chart">
            <c:ext xmlns:c16="http://schemas.microsoft.com/office/drawing/2014/chart" uri="{C3380CC4-5D6E-409C-BE32-E72D297353CC}">
              <c16:uniqueId val="{00000005-D197-4027-8C00-F1661D8245FF}"/>
            </c:ext>
          </c:extLst>
        </c:ser>
        <c:dLbls>
          <c:showLegendKey val="0"/>
          <c:showVal val="0"/>
          <c:showCatName val="0"/>
          <c:showSerName val="0"/>
          <c:showPercent val="0"/>
          <c:showBubbleSize val="0"/>
        </c:dLbls>
        <c:marker val="1"/>
        <c:smooth val="0"/>
        <c:axId val="237659256"/>
        <c:axId val="237659648"/>
      </c:lineChart>
      <c:lineChart>
        <c:grouping val="standard"/>
        <c:varyColors val="0"/>
        <c:ser>
          <c:idx val="3"/>
          <c:order val="3"/>
          <c:tx>
            <c:strRef>
              <c:f>Hárok1!$AH$3</c:f>
              <c:strCache>
                <c:ptCount val="1"/>
                <c:pt idx="0">
                  <c:v>Cieľ EÚ</c:v>
                </c:pt>
              </c:strCache>
            </c:strRef>
          </c:tx>
          <c:spPr>
            <a:ln w="12700" cap="rnd" cmpd="sng" algn="ctr">
              <a:solidFill>
                <a:schemeClr val="tx1"/>
              </a:solidFill>
              <a:prstDash val="solid"/>
              <a:round/>
            </a:ln>
            <a:effectLst/>
          </c:spPr>
          <c:marker>
            <c:symbol val="none"/>
          </c:marker>
          <c:dPt>
            <c:idx val="13"/>
            <c:bubble3D val="0"/>
            <c:extLst xmlns:c16r2="http://schemas.microsoft.com/office/drawing/2015/06/chart">
              <c:ext xmlns:c16="http://schemas.microsoft.com/office/drawing/2014/chart" uri="{C3380CC4-5D6E-409C-BE32-E72D297353CC}">
                <c16:uniqueId val="{00000003-9D94-4ACD-8C9A-7B844526C49B}"/>
              </c:ext>
            </c:extLst>
          </c:dPt>
          <c:cat>
            <c:strRef>
              <c:f>Hárok1!$AD$4:$AD$31</c:f>
              <c:strCache>
                <c:ptCount val="28"/>
                <c:pt idx="0">
                  <c:v>Švédsko</c:v>
                </c:pt>
                <c:pt idx="1">
                  <c:v>Estonsko</c:v>
                </c:pt>
                <c:pt idx="2">
                  <c:v>Fínsko</c:v>
                </c:pt>
                <c:pt idx="3">
                  <c:v>Španielsko</c:v>
                </c:pt>
                <c:pt idx="4">
                  <c:v>Portugalsko</c:v>
                </c:pt>
                <c:pt idx="5">
                  <c:v>Grécko</c:v>
                </c:pt>
                <c:pt idx="6">
                  <c:v>Dánsko</c:v>
                </c:pt>
                <c:pt idx="7">
                  <c:v>Írsko</c:v>
                </c:pt>
                <c:pt idx="8">
                  <c:v>Malta</c:v>
                </c:pt>
                <c:pt idx="9">
                  <c:v>Veľká Británia</c:v>
                </c:pt>
                <c:pt idx="10">
                  <c:v>Lotyšsko</c:v>
                </c:pt>
                <c:pt idx="11">
                  <c:v>Holandsko</c:v>
                </c:pt>
                <c:pt idx="12">
                  <c:v>Nemecko</c:v>
                </c:pt>
                <c:pt idx="13">
                  <c:v>Francúzsko</c:v>
                </c:pt>
                <c:pt idx="14">
                  <c:v>Belgicko</c:v>
                </c:pt>
                <c:pt idx="15">
                  <c:v>Luxemburg</c:v>
                </c:pt>
                <c:pt idx="16">
                  <c:v>Rakúsko</c:v>
                </c:pt>
                <c:pt idx="17">
                  <c:v>Cyprus</c:v>
                </c:pt>
                <c:pt idx="18">
                  <c:v>Rumunsko</c:v>
                </c:pt>
                <c:pt idx="19">
                  <c:v>Taliansko</c:v>
                </c:pt>
                <c:pt idx="20">
                  <c:v>Maďarsko</c:v>
                </c:pt>
                <c:pt idx="21">
                  <c:v>Slovensko</c:v>
                </c:pt>
                <c:pt idx="22">
                  <c:v>Bulharsko</c:v>
                </c:pt>
                <c:pt idx="23">
                  <c:v>Slovinsko</c:v>
                </c:pt>
                <c:pt idx="24">
                  <c:v>Litva</c:v>
                </c:pt>
                <c:pt idx="25">
                  <c:v>Česká republika</c:v>
                </c:pt>
                <c:pt idx="26">
                  <c:v>Chorvátsko</c:v>
                </c:pt>
                <c:pt idx="27">
                  <c:v>Poľsko</c:v>
                </c:pt>
              </c:strCache>
            </c:strRef>
          </c:cat>
          <c:val>
            <c:numRef>
              <c:f>Hárok1!$AH$4:$AH$31</c:f>
              <c:numCache>
                <c:formatCode>General</c:formatCode>
                <c:ptCount val="28"/>
                <c:pt idx="0">
                  <c:v>25</c:v>
                </c:pt>
                <c:pt idx="1">
                  <c:v>25</c:v>
                </c:pt>
                <c:pt idx="2">
                  <c:v>25</c:v>
                </c:pt>
                <c:pt idx="3">
                  <c:v>25</c:v>
                </c:pt>
                <c:pt idx="4">
                  <c:v>25</c:v>
                </c:pt>
                <c:pt idx="5">
                  <c:v>25</c:v>
                </c:pt>
                <c:pt idx="6">
                  <c:v>25</c:v>
                </c:pt>
                <c:pt idx="7">
                  <c:v>25</c:v>
                </c:pt>
                <c:pt idx="8">
                  <c:v>25</c:v>
                </c:pt>
                <c:pt idx="9">
                  <c:v>25</c:v>
                </c:pt>
                <c:pt idx="10">
                  <c:v>25</c:v>
                </c:pt>
                <c:pt idx="11">
                  <c:v>25</c:v>
                </c:pt>
                <c:pt idx="12">
                  <c:v>25</c:v>
                </c:pt>
                <c:pt idx="13">
                  <c:v>25</c:v>
                </c:pt>
                <c:pt idx="14">
                  <c:v>25</c:v>
                </c:pt>
                <c:pt idx="15">
                  <c:v>25</c:v>
                </c:pt>
                <c:pt idx="16">
                  <c:v>25</c:v>
                </c:pt>
                <c:pt idx="17">
                  <c:v>25</c:v>
                </c:pt>
                <c:pt idx="18">
                  <c:v>25</c:v>
                </c:pt>
                <c:pt idx="19">
                  <c:v>25</c:v>
                </c:pt>
                <c:pt idx="20">
                  <c:v>25</c:v>
                </c:pt>
                <c:pt idx="21">
                  <c:v>25</c:v>
                </c:pt>
                <c:pt idx="22">
                  <c:v>25</c:v>
                </c:pt>
                <c:pt idx="23">
                  <c:v>25</c:v>
                </c:pt>
                <c:pt idx="24">
                  <c:v>25</c:v>
                </c:pt>
                <c:pt idx="25">
                  <c:v>25</c:v>
                </c:pt>
                <c:pt idx="26">
                  <c:v>25</c:v>
                </c:pt>
                <c:pt idx="27">
                  <c:v>25</c:v>
                </c:pt>
              </c:numCache>
            </c:numRef>
          </c:val>
          <c:smooth val="0"/>
          <c:extLst xmlns:c16r2="http://schemas.microsoft.com/office/drawing/2015/06/chart">
            <c:ext xmlns:c16="http://schemas.microsoft.com/office/drawing/2014/chart" uri="{C3380CC4-5D6E-409C-BE32-E72D297353CC}">
              <c16:uniqueId val="{00000006-D197-4027-8C00-F1661D8245FF}"/>
            </c:ext>
          </c:extLst>
        </c:ser>
        <c:dLbls>
          <c:showLegendKey val="0"/>
          <c:showVal val="0"/>
          <c:showCatName val="0"/>
          <c:showSerName val="0"/>
          <c:showPercent val="0"/>
          <c:showBubbleSize val="0"/>
        </c:dLbls>
        <c:marker val="1"/>
        <c:smooth val="0"/>
        <c:axId val="237660432"/>
        <c:axId val="237660040"/>
      </c:lineChart>
      <c:catAx>
        <c:axId val="237659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237659648"/>
        <c:crosses val="autoZero"/>
        <c:auto val="1"/>
        <c:lblAlgn val="ctr"/>
        <c:lblOffset val="100"/>
        <c:tickLblSkip val="1"/>
        <c:noMultiLvlLbl val="0"/>
      </c:catAx>
      <c:valAx>
        <c:axId val="237659648"/>
        <c:scaling>
          <c:orientation val="minMax"/>
          <c:max val="35"/>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237659256"/>
        <c:crosses val="autoZero"/>
        <c:crossBetween val="between"/>
      </c:valAx>
      <c:valAx>
        <c:axId val="237660040"/>
        <c:scaling>
          <c:orientation val="minMax"/>
          <c:max val="45"/>
        </c:scaling>
        <c:delete val="1"/>
        <c:axPos val="r"/>
        <c:numFmt formatCode="General" sourceLinked="1"/>
        <c:majorTickMark val="out"/>
        <c:minorTickMark val="none"/>
        <c:tickLblPos val="nextTo"/>
        <c:crossAx val="237660432"/>
        <c:crosses val="max"/>
        <c:crossBetween val="between"/>
      </c:valAx>
      <c:catAx>
        <c:axId val="237660432"/>
        <c:scaling>
          <c:orientation val="minMax"/>
        </c:scaling>
        <c:delete val="1"/>
        <c:axPos val="b"/>
        <c:numFmt formatCode="General" sourceLinked="1"/>
        <c:majorTickMark val="out"/>
        <c:minorTickMark val="none"/>
        <c:tickLblPos val="nextTo"/>
        <c:crossAx val="237660040"/>
        <c:crosses val="autoZero"/>
        <c:auto val="1"/>
        <c:lblAlgn val="ctr"/>
        <c:lblOffset val="100"/>
        <c:noMultiLvlLbl val="0"/>
      </c:catAx>
      <c:spPr>
        <a:noFill/>
        <a:ln>
          <a:noFill/>
        </a:ln>
        <a:effectLst/>
      </c:spPr>
    </c:plotArea>
    <c:legend>
      <c:legendPos val="b"/>
      <c:layout>
        <c:manualLayout>
          <c:xMode val="edge"/>
          <c:yMode val="edge"/>
          <c:x val="0.14464641919759999"/>
          <c:y val="7.6014973538143807E-2"/>
          <c:w val="0.49371311994170097"/>
          <c:h val="8.442834164495689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sk-SK"/>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17436997626964E-2"/>
          <c:y val="5.5989236111111111E-2"/>
          <c:w val="0.93616132135261021"/>
          <c:h val="0.86336284722222201"/>
        </c:manualLayout>
      </c:layout>
      <c:barChart>
        <c:barDir val="col"/>
        <c:grouping val="clustered"/>
        <c:varyColors val="0"/>
        <c:ser>
          <c:idx val="0"/>
          <c:order val="0"/>
          <c:spPr>
            <a:solidFill>
              <a:sysClr val="windowText" lastClr="000000"/>
            </a:solidFill>
            <a:ln>
              <a:solidFill>
                <a:sysClr val="windowText" lastClr="000000"/>
              </a:solidFill>
            </a:ln>
          </c:spPr>
          <c:invertIfNegative val="0"/>
          <c:dPt>
            <c:idx val="23"/>
            <c:invertIfNegative val="0"/>
            <c:bubble3D val="0"/>
            <c:spPr>
              <a:solidFill>
                <a:sysClr val="window" lastClr="FFFFFF">
                  <a:lumMod val="75000"/>
                </a:sysClr>
              </a:solidFill>
              <a:ln>
                <a:solidFill>
                  <a:sysClr val="window" lastClr="FFFFFF">
                    <a:lumMod val="75000"/>
                  </a:sysClr>
                </a:solidFill>
              </a:ln>
            </c:spPr>
          </c:dPt>
          <c:dPt>
            <c:idx val="25"/>
            <c:invertIfNegative val="0"/>
            <c:bubble3D val="0"/>
          </c:dPt>
          <c:cat>
            <c:strRef>
              <c:f>'G28'!$A$5:$A$32</c:f>
              <c:strCache>
                <c:ptCount val="28"/>
                <c:pt idx="0">
                  <c:v>Fínsko</c:v>
                </c:pt>
                <c:pt idx="1">
                  <c:v>Írsko</c:v>
                </c:pt>
                <c:pt idx="2">
                  <c:v>Malta</c:v>
                </c:pt>
                <c:pt idx="3">
                  <c:v>Portugalsko</c:v>
                </c:pt>
                <c:pt idx="4">
                  <c:v>Estónsko</c:v>
                </c:pt>
                <c:pt idx="5">
                  <c:v>Španielsko</c:v>
                </c:pt>
                <c:pt idx="6">
                  <c:v>Švédsko</c:v>
                </c:pt>
                <c:pt idx="7">
                  <c:v>Veľká Británia</c:v>
                </c:pt>
                <c:pt idx="8">
                  <c:v>Dánsko</c:v>
                </c:pt>
                <c:pt idx="9">
                  <c:v>Lotyšsko</c:v>
                </c:pt>
                <c:pt idx="10">
                  <c:v>Grécko</c:v>
                </c:pt>
                <c:pt idx="11">
                  <c:v>Luxemburg</c:v>
                </c:pt>
                <c:pt idx="12">
                  <c:v>Cyprus</c:v>
                </c:pt>
                <c:pt idx="13">
                  <c:v>Litva</c:v>
                </c:pt>
                <c:pt idx="14">
                  <c:v>Francúzsko</c:v>
                </c:pt>
                <c:pt idx="15">
                  <c:v>Bulharsko</c:v>
                </c:pt>
                <c:pt idx="16">
                  <c:v>Rumunsko</c:v>
                </c:pt>
                <c:pt idx="17">
                  <c:v>Slovinsko</c:v>
                </c:pt>
                <c:pt idx="18">
                  <c:v>Taliansko</c:v>
                </c:pt>
                <c:pt idx="19">
                  <c:v>Holandsko</c:v>
                </c:pt>
                <c:pt idx="20">
                  <c:v>Chorvátsko</c:v>
                </c:pt>
                <c:pt idx="21">
                  <c:v>Nemecko</c:v>
                </c:pt>
                <c:pt idx="22">
                  <c:v>Rakúsko</c:v>
                </c:pt>
                <c:pt idx="23">
                  <c:v>Slovensko</c:v>
                </c:pt>
                <c:pt idx="24">
                  <c:v>Maďarsko</c:v>
                </c:pt>
                <c:pt idx="25">
                  <c:v>Belgicko</c:v>
                </c:pt>
                <c:pt idx="26">
                  <c:v>Poľsko</c:v>
                </c:pt>
                <c:pt idx="27">
                  <c:v>Česká republika</c:v>
                </c:pt>
              </c:strCache>
            </c:strRef>
          </c:cat>
          <c:val>
            <c:numRef>
              <c:f>'G28'!$B$5:$B$32</c:f>
              <c:numCache>
                <c:formatCode>0.0%</c:formatCode>
                <c:ptCount val="28"/>
                <c:pt idx="0">
                  <c:v>0</c:v>
                </c:pt>
                <c:pt idx="1">
                  <c:v>0</c:v>
                </c:pt>
                <c:pt idx="2">
                  <c:v>0</c:v>
                </c:pt>
                <c:pt idx="3">
                  <c:v>0</c:v>
                </c:pt>
                <c:pt idx="4">
                  <c:v>2.5000000000000001E-3</c:v>
                </c:pt>
                <c:pt idx="5">
                  <c:v>5.0000000000000001E-3</c:v>
                </c:pt>
                <c:pt idx="6">
                  <c:v>5.0000000000000001E-3</c:v>
                </c:pt>
                <c:pt idx="7">
                  <c:v>3.7499999999999999E-2</c:v>
                </c:pt>
                <c:pt idx="8">
                  <c:v>5.7500000000000002E-2</c:v>
                </c:pt>
                <c:pt idx="9">
                  <c:v>7.0000000000000007E-2</c:v>
                </c:pt>
                <c:pt idx="10">
                  <c:v>9.2499999999999999E-2</c:v>
                </c:pt>
                <c:pt idx="11">
                  <c:v>9.5000000000000001E-2</c:v>
                </c:pt>
                <c:pt idx="12">
                  <c:v>0.1075</c:v>
                </c:pt>
                <c:pt idx="13">
                  <c:v>0.11</c:v>
                </c:pt>
                <c:pt idx="14">
                  <c:v>0.12</c:v>
                </c:pt>
                <c:pt idx="15">
                  <c:v>0.155</c:v>
                </c:pt>
                <c:pt idx="16">
                  <c:v>0.16250000000000001</c:v>
                </c:pt>
                <c:pt idx="17">
                  <c:v>0.19750000000000001</c:v>
                </c:pt>
                <c:pt idx="18">
                  <c:v>0.2</c:v>
                </c:pt>
                <c:pt idx="19">
                  <c:v>0.21</c:v>
                </c:pt>
                <c:pt idx="20">
                  <c:v>0.22</c:v>
                </c:pt>
                <c:pt idx="21">
                  <c:v>0.22500000000000001</c:v>
                </c:pt>
                <c:pt idx="22">
                  <c:v>0.23250000000000001</c:v>
                </c:pt>
                <c:pt idx="23">
                  <c:v>0.24249999999999999</c:v>
                </c:pt>
                <c:pt idx="24">
                  <c:v>0.27</c:v>
                </c:pt>
                <c:pt idx="25">
                  <c:v>0.28999999999999998</c:v>
                </c:pt>
                <c:pt idx="26">
                  <c:v>0.29249999999999998</c:v>
                </c:pt>
                <c:pt idx="27">
                  <c:v>0.32500000000000001</c:v>
                </c:pt>
              </c:numCache>
            </c:numRef>
          </c:val>
        </c:ser>
        <c:dLbls>
          <c:showLegendKey val="0"/>
          <c:showVal val="0"/>
          <c:showCatName val="0"/>
          <c:showSerName val="0"/>
          <c:showPercent val="0"/>
          <c:showBubbleSize val="0"/>
        </c:dLbls>
        <c:gapWidth val="150"/>
        <c:axId val="237661216"/>
        <c:axId val="237661608"/>
      </c:barChart>
      <c:catAx>
        <c:axId val="237661216"/>
        <c:scaling>
          <c:orientation val="minMax"/>
        </c:scaling>
        <c:delete val="0"/>
        <c:axPos val="b"/>
        <c:numFmt formatCode="General" sourceLinked="1"/>
        <c:majorTickMark val="out"/>
        <c:minorTickMark val="none"/>
        <c:tickLblPos val="nextTo"/>
        <c:crossAx val="237661608"/>
        <c:crosses val="autoZero"/>
        <c:auto val="1"/>
        <c:lblAlgn val="ctr"/>
        <c:lblOffset val="100"/>
        <c:tickLblSkip val="1"/>
        <c:noMultiLvlLbl val="0"/>
      </c:catAx>
      <c:valAx>
        <c:axId val="237661608"/>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237661216"/>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9679777191706E-2"/>
          <c:y val="4.8823828544190699E-2"/>
          <c:w val="0.89093095636884001"/>
          <c:h val="0.85748137319626505"/>
        </c:manualLayout>
      </c:layout>
      <c:barChart>
        <c:barDir val="col"/>
        <c:grouping val="stacked"/>
        <c:varyColors val="0"/>
        <c:ser>
          <c:idx val="5"/>
          <c:order val="0"/>
          <c:tx>
            <c:strRef>
              <c:f>'Family benefits'!$C$3</c:f>
              <c:strCache>
                <c:ptCount val="1"/>
                <c:pt idx="0">
                  <c:v>Peňažné benefity</c:v>
                </c:pt>
              </c:strCache>
            </c:strRef>
          </c:tx>
          <c:spPr>
            <a:solidFill>
              <a:sysClr val="windowText" lastClr="000000"/>
            </a:solidFill>
            <a:ln>
              <a:solidFill>
                <a:sysClr val="windowText" lastClr="000000"/>
              </a:solidFill>
            </a:ln>
          </c:spPr>
          <c:invertIfNegative val="0"/>
          <c:dPt>
            <c:idx val="17"/>
            <c:invertIfNegative val="0"/>
            <c:bubble3D val="0"/>
            <c:spPr>
              <a:solidFill>
                <a:sysClr val="window" lastClr="FFFFFF">
                  <a:lumMod val="50000"/>
                </a:sysClr>
              </a:solidFill>
              <a:ln>
                <a:solidFill>
                  <a:sysClr val="windowText" lastClr="000000"/>
                </a:solidFill>
              </a:ln>
            </c:spPr>
          </c:dPt>
          <c:cat>
            <c:strRef>
              <c:f>'Family benefits'!$B$4:$B$36</c:f>
              <c:strCache>
                <c:ptCount val="33"/>
                <c:pt idx="0">
                  <c:v>UK</c:v>
                </c:pt>
                <c:pt idx="1">
                  <c:v>DK</c:v>
                </c:pt>
                <c:pt idx="2">
                  <c:v>IE</c:v>
                </c:pt>
                <c:pt idx="3">
                  <c:v>HU</c:v>
                </c:pt>
                <c:pt idx="4">
                  <c:v>LU</c:v>
                </c:pt>
                <c:pt idx="5">
                  <c:v>SE</c:v>
                </c:pt>
                <c:pt idx="6">
                  <c:v>FR</c:v>
                </c:pt>
                <c:pt idx="7">
                  <c:v>IS</c:v>
                </c:pt>
                <c:pt idx="8">
                  <c:v>NZ</c:v>
                </c:pt>
                <c:pt idx="9">
                  <c:v>BE</c:v>
                </c:pt>
                <c:pt idx="10">
                  <c:v>FI</c:v>
                </c:pt>
                <c:pt idx="11">
                  <c:v>NO</c:v>
                </c:pt>
                <c:pt idx="12">
                  <c:v>DE</c:v>
                </c:pt>
                <c:pt idx="13">
                  <c:v>AU</c:v>
                </c:pt>
                <c:pt idx="14">
                  <c:v>AT</c:v>
                </c:pt>
                <c:pt idx="15">
                  <c:v>EE</c:v>
                </c:pt>
                <c:pt idx="16">
                  <c:v>CZ</c:v>
                </c:pt>
                <c:pt idx="17">
                  <c:v>SK</c:v>
                </c:pt>
                <c:pt idx="18">
                  <c:v>IL</c:v>
                </c:pt>
                <c:pt idx="19">
                  <c:v>SI</c:v>
                </c:pt>
                <c:pt idx="20">
                  <c:v>NE</c:v>
                </c:pt>
                <c:pt idx="21">
                  <c:v>IT</c:v>
                </c:pt>
                <c:pt idx="22">
                  <c:v>CH</c:v>
                </c:pt>
                <c:pt idx="23">
                  <c:v>PL</c:v>
                </c:pt>
                <c:pt idx="24">
                  <c:v>JP</c:v>
                </c:pt>
                <c:pt idx="25">
                  <c:v>ES</c:v>
                </c:pt>
                <c:pt idx="26">
                  <c:v>PT</c:v>
                </c:pt>
                <c:pt idx="27">
                  <c:v>CA</c:v>
                </c:pt>
                <c:pt idx="28">
                  <c:v>GR</c:v>
                </c:pt>
                <c:pt idx="29">
                  <c:v>CL</c:v>
                </c:pt>
                <c:pt idx="30">
                  <c:v>US</c:v>
                </c:pt>
                <c:pt idx="31">
                  <c:v>KR</c:v>
                </c:pt>
                <c:pt idx="32">
                  <c:v>MX</c:v>
                </c:pt>
              </c:strCache>
            </c:strRef>
          </c:cat>
          <c:val>
            <c:numRef>
              <c:f>'Family benefits'!$C$4:$C$36</c:f>
              <c:numCache>
                <c:formatCode>General</c:formatCode>
                <c:ptCount val="33"/>
                <c:pt idx="0">
                  <c:v>2.6006453140150789</c:v>
                </c:pt>
                <c:pt idx="1">
                  <c:v>1.6251930350552219</c:v>
                </c:pt>
                <c:pt idx="2">
                  <c:v>2.9339523280843922</c:v>
                </c:pt>
                <c:pt idx="3">
                  <c:v>2.195623217076192</c:v>
                </c:pt>
                <c:pt idx="4">
                  <c:v>3.0022009354095829</c:v>
                </c:pt>
                <c:pt idx="5">
                  <c:v>1.4924682729102901</c:v>
                </c:pt>
                <c:pt idx="6">
                  <c:v>1.566619479868457</c:v>
                </c:pt>
                <c:pt idx="7">
                  <c:v>1.225026572078298</c:v>
                </c:pt>
                <c:pt idx="8">
                  <c:v>2.2327359617682192</c:v>
                </c:pt>
                <c:pt idx="9">
                  <c:v>1.7938131179229699</c:v>
                </c:pt>
                <c:pt idx="10">
                  <c:v>1.5776686941041831</c:v>
                </c:pt>
                <c:pt idx="11">
                  <c:v>1.28893459309723</c:v>
                </c:pt>
                <c:pt idx="12">
                  <c:v>1.2091650556956139</c:v>
                </c:pt>
                <c:pt idx="13">
                  <c:v>1.8933011948958021</c:v>
                </c:pt>
                <c:pt idx="14">
                  <c:v>2.0263329835020421</c:v>
                </c:pt>
                <c:pt idx="15">
                  <c:v>1.9002828357006829</c:v>
                </c:pt>
                <c:pt idx="16">
                  <c:v>1.028706222548982</c:v>
                </c:pt>
                <c:pt idx="17">
                  <c:v>1.610362761460258</c:v>
                </c:pt>
                <c:pt idx="18">
                  <c:v>1.085126181324886</c:v>
                </c:pt>
                <c:pt idx="19">
                  <c:v>1.6455898164468299</c:v>
                </c:pt>
                <c:pt idx="20">
                  <c:v>0.73750473669010996</c:v>
                </c:pt>
                <c:pt idx="21">
                  <c:v>0.73939216419387399</c:v>
                </c:pt>
                <c:pt idx="22">
                  <c:v>1.039722830627867</c:v>
                </c:pt>
                <c:pt idx="23">
                  <c:v>0.75452792863420404</c:v>
                </c:pt>
                <c:pt idx="24">
                  <c:v>0.88313511077843299</c:v>
                </c:pt>
                <c:pt idx="25">
                  <c:v>0.54277582438377303</c:v>
                </c:pt>
                <c:pt idx="26">
                  <c:v>0.79660746651264602</c:v>
                </c:pt>
                <c:pt idx="27">
                  <c:v>1.015879573808004</c:v>
                </c:pt>
                <c:pt idx="28">
                  <c:v>1.0084427218987999</c:v>
                </c:pt>
                <c:pt idx="29">
                  <c:v>0.57343724678821695</c:v>
                </c:pt>
                <c:pt idx="30">
                  <c:v>9.4007384785825807E-2</c:v>
                </c:pt>
                <c:pt idx="31">
                  <c:v>5.0110617769917397E-2</c:v>
                </c:pt>
                <c:pt idx="32">
                  <c:v>0.43294675832240698</c:v>
                </c:pt>
              </c:numCache>
            </c:numRef>
          </c:val>
        </c:ser>
        <c:ser>
          <c:idx val="8"/>
          <c:order val="1"/>
          <c:tx>
            <c:strRef>
              <c:f>'Family benefits'!$D$3</c:f>
              <c:strCache>
                <c:ptCount val="1"/>
                <c:pt idx="0">
                  <c:v>Služby</c:v>
                </c:pt>
              </c:strCache>
            </c:strRef>
          </c:tx>
          <c:spPr>
            <a:solidFill>
              <a:sysClr val="window" lastClr="FFFFFF">
                <a:lumMod val="75000"/>
              </a:sysClr>
            </a:solidFill>
            <a:ln>
              <a:solidFill>
                <a:sysClr val="window" lastClr="FFFFFF">
                  <a:lumMod val="75000"/>
                </a:sysClr>
              </a:solidFill>
            </a:ln>
          </c:spPr>
          <c:invertIfNegative val="0"/>
          <c:dPt>
            <c:idx val="17"/>
            <c:invertIfNegative val="0"/>
            <c:bubble3D val="0"/>
            <c:spPr>
              <a:solidFill>
                <a:sysClr val="window" lastClr="FFFFFF">
                  <a:lumMod val="75000"/>
                </a:sysClr>
              </a:solidFill>
              <a:ln>
                <a:solidFill>
                  <a:sysClr val="windowText" lastClr="000000"/>
                </a:solidFill>
              </a:ln>
            </c:spPr>
          </c:dPt>
          <c:cat>
            <c:strRef>
              <c:f>'Family benefits'!$B$4:$B$36</c:f>
              <c:strCache>
                <c:ptCount val="33"/>
                <c:pt idx="0">
                  <c:v>UK</c:v>
                </c:pt>
                <c:pt idx="1">
                  <c:v>DK</c:v>
                </c:pt>
                <c:pt idx="2">
                  <c:v>IE</c:v>
                </c:pt>
                <c:pt idx="3">
                  <c:v>HU</c:v>
                </c:pt>
                <c:pt idx="4">
                  <c:v>LU</c:v>
                </c:pt>
                <c:pt idx="5">
                  <c:v>SE</c:v>
                </c:pt>
                <c:pt idx="6">
                  <c:v>FR</c:v>
                </c:pt>
                <c:pt idx="7">
                  <c:v>IS</c:v>
                </c:pt>
                <c:pt idx="8">
                  <c:v>NZ</c:v>
                </c:pt>
                <c:pt idx="9">
                  <c:v>BE</c:v>
                </c:pt>
                <c:pt idx="10">
                  <c:v>FI</c:v>
                </c:pt>
                <c:pt idx="11">
                  <c:v>NO</c:v>
                </c:pt>
                <c:pt idx="12">
                  <c:v>DE</c:v>
                </c:pt>
                <c:pt idx="13">
                  <c:v>AU</c:v>
                </c:pt>
                <c:pt idx="14">
                  <c:v>AT</c:v>
                </c:pt>
                <c:pt idx="15">
                  <c:v>EE</c:v>
                </c:pt>
                <c:pt idx="16">
                  <c:v>CZ</c:v>
                </c:pt>
                <c:pt idx="17">
                  <c:v>SK</c:v>
                </c:pt>
                <c:pt idx="18">
                  <c:v>IL</c:v>
                </c:pt>
                <c:pt idx="19">
                  <c:v>SI</c:v>
                </c:pt>
                <c:pt idx="20">
                  <c:v>NE</c:v>
                </c:pt>
                <c:pt idx="21">
                  <c:v>IT</c:v>
                </c:pt>
                <c:pt idx="22">
                  <c:v>CH</c:v>
                </c:pt>
                <c:pt idx="23">
                  <c:v>PL</c:v>
                </c:pt>
                <c:pt idx="24">
                  <c:v>JP</c:v>
                </c:pt>
                <c:pt idx="25">
                  <c:v>ES</c:v>
                </c:pt>
                <c:pt idx="26">
                  <c:v>PT</c:v>
                </c:pt>
                <c:pt idx="27">
                  <c:v>CA</c:v>
                </c:pt>
                <c:pt idx="28">
                  <c:v>GR</c:v>
                </c:pt>
                <c:pt idx="29">
                  <c:v>CL</c:v>
                </c:pt>
                <c:pt idx="30">
                  <c:v>US</c:v>
                </c:pt>
                <c:pt idx="31">
                  <c:v>KR</c:v>
                </c:pt>
                <c:pt idx="32">
                  <c:v>MX</c:v>
                </c:pt>
              </c:strCache>
            </c:strRef>
          </c:cat>
          <c:val>
            <c:numRef>
              <c:f>'Family benefits'!$D$4:$D$36</c:f>
              <c:numCache>
                <c:formatCode>General</c:formatCode>
                <c:ptCount val="33"/>
                <c:pt idx="0">
                  <c:v>1.3690842721392891</c:v>
                </c:pt>
                <c:pt idx="1">
                  <c:v>2.4228564812894842</c:v>
                </c:pt>
                <c:pt idx="2">
                  <c:v>0.95604059875931002</c:v>
                </c:pt>
                <c:pt idx="3">
                  <c:v>1.146474414053444</c:v>
                </c:pt>
                <c:pt idx="4">
                  <c:v>0.64385797166047198</c:v>
                </c:pt>
                <c:pt idx="5">
                  <c:v>2.144365431927381</c:v>
                </c:pt>
                <c:pt idx="6">
                  <c:v>1.3624788636011409</c:v>
                </c:pt>
                <c:pt idx="7">
                  <c:v>2.3219063189887978</c:v>
                </c:pt>
                <c:pt idx="8">
                  <c:v>1.107783016719323</c:v>
                </c:pt>
                <c:pt idx="9">
                  <c:v>1.077752199685466</c:v>
                </c:pt>
                <c:pt idx="10">
                  <c:v>1.646932882634679</c:v>
                </c:pt>
                <c:pt idx="11">
                  <c:v>1.7938011137416969</c:v>
                </c:pt>
                <c:pt idx="12">
                  <c:v>0.97342137355658698</c:v>
                </c:pt>
                <c:pt idx="13">
                  <c:v>0.86065095985101003</c:v>
                </c:pt>
                <c:pt idx="14">
                  <c:v>0.64784141817765695</c:v>
                </c:pt>
                <c:pt idx="15">
                  <c:v>0.39453300081412301</c:v>
                </c:pt>
                <c:pt idx="16">
                  <c:v>0.547293034353034</c:v>
                </c:pt>
                <c:pt idx="17">
                  <c:v>0.44305102053441697</c:v>
                </c:pt>
                <c:pt idx="18">
                  <c:v>1.1062090190781331</c:v>
                </c:pt>
                <c:pt idx="19">
                  <c:v>0.53809193634890595</c:v>
                </c:pt>
                <c:pt idx="20">
                  <c:v>0.88267030800588298</c:v>
                </c:pt>
                <c:pt idx="21">
                  <c:v>0.75830028970867303</c:v>
                </c:pt>
                <c:pt idx="22">
                  <c:v>0.353775183216824</c:v>
                </c:pt>
                <c:pt idx="23">
                  <c:v>0.59477909885762104</c:v>
                </c:pt>
                <c:pt idx="24">
                  <c:v>0.47066569194041802</c:v>
                </c:pt>
                <c:pt idx="25">
                  <c:v>0.83728413775043498</c:v>
                </c:pt>
                <c:pt idx="26">
                  <c:v>0.44621212275871702</c:v>
                </c:pt>
                <c:pt idx="27">
                  <c:v>0.222126664733902</c:v>
                </c:pt>
                <c:pt idx="28">
                  <c:v>0.36021550398624103</c:v>
                </c:pt>
                <c:pt idx="29">
                  <c:v>0.73728851212371305</c:v>
                </c:pt>
                <c:pt idx="30">
                  <c:v>0.627694950926454</c:v>
                </c:pt>
                <c:pt idx="31">
                  <c:v>0.88651576900329898</c:v>
                </c:pt>
                <c:pt idx="32">
                  <c:v>0.69591246869215795</c:v>
                </c:pt>
              </c:numCache>
            </c:numRef>
          </c:val>
        </c:ser>
        <c:ser>
          <c:idx val="0"/>
          <c:order val="2"/>
          <c:tx>
            <c:strRef>
              <c:f>'Family benefits'!$E$3</c:f>
              <c:strCache>
                <c:ptCount val="1"/>
                <c:pt idx="0">
                  <c:v>Daňové úľavy</c:v>
                </c:pt>
              </c:strCache>
            </c:strRef>
          </c:tx>
          <c:spPr>
            <a:solidFill>
              <a:sysClr val="windowText" lastClr="000000">
                <a:lumMod val="50000"/>
                <a:lumOff val="50000"/>
              </a:sysClr>
            </a:solidFill>
            <a:ln>
              <a:solidFill>
                <a:sysClr val="windowText" lastClr="000000">
                  <a:lumMod val="50000"/>
                  <a:lumOff val="50000"/>
                </a:sysClr>
              </a:solidFill>
            </a:ln>
          </c:spPr>
          <c:invertIfNegative val="0"/>
          <c:dPt>
            <c:idx val="17"/>
            <c:invertIfNegative val="0"/>
            <c:bubble3D val="0"/>
            <c:spPr>
              <a:solidFill>
                <a:sysClr val="window" lastClr="FFFFFF">
                  <a:lumMod val="65000"/>
                </a:sysClr>
              </a:solidFill>
              <a:ln>
                <a:solidFill>
                  <a:sysClr val="windowText" lastClr="000000"/>
                </a:solidFill>
              </a:ln>
            </c:spPr>
          </c:dPt>
          <c:cat>
            <c:strRef>
              <c:f>'Family benefits'!$B$4:$B$36</c:f>
              <c:strCache>
                <c:ptCount val="33"/>
                <c:pt idx="0">
                  <c:v>UK</c:v>
                </c:pt>
                <c:pt idx="1">
                  <c:v>DK</c:v>
                </c:pt>
                <c:pt idx="2">
                  <c:v>IE</c:v>
                </c:pt>
                <c:pt idx="3">
                  <c:v>HU</c:v>
                </c:pt>
                <c:pt idx="4">
                  <c:v>LU</c:v>
                </c:pt>
                <c:pt idx="5">
                  <c:v>SE</c:v>
                </c:pt>
                <c:pt idx="6">
                  <c:v>FR</c:v>
                </c:pt>
                <c:pt idx="7">
                  <c:v>IS</c:v>
                </c:pt>
                <c:pt idx="8">
                  <c:v>NZ</c:v>
                </c:pt>
                <c:pt idx="9">
                  <c:v>BE</c:v>
                </c:pt>
                <c:pt idx="10">
                  <c:v>FI</c:v>
                </c:pt>
                <c:pt idx="11">
                  <c:v>NO</c:v>
                </c:pt>
                <c:pt idx="12">
                  <c:v>DE</c:v>
                </c:pt>
                <c:pt idx="13">
                  <c:v>AU</c:v>
                </c:pt>
                <c:pt idx="14">
                  <c:v>AT</c:v>
                </c:pt>
                <c:pt idx="15">
                  <c:v>EE</c:v>
                </c:pt>
                <c:pt idx="16">
                  <c:v>CZ</c:v>
                </c:pt>
                <c:pt idx="17">
                  <c:v>SK</c:v>
                </c:pt>
                <c:pt idx="18">
                  <c:v>IL</c:v>
                </c:pt>
                <c:pt idx="19">
                  <c:v>SI</c:v>
                </c:pt>
                <c:pt idx="20">
                  <c:v>NE</c:v>
                </c:pt>
                <c:pt idx="21">
                  <c:v>IT</c:v>
                </c:pt>
                <c:pt idx="22">
                  <c:v>CH</c:v>
                </c:pt>
                <c:pt idx="23">
                  <c:v>PL</c:v>
                </c:pt>
                <c:pt idx="24">
                  <c:v>JP</c:v>
                </c:pt>
                <c:pt idx="25">
                  <c:v>ES</c:v>
                </c:pt>
                <c:pt idx="26">
                  <c:v>PT</c:v>
                </c:pt>
                <c:pt idx="27">
                  <c:v>CA</c:v>
                </c:pt>
                <c:pt idx="28">
                  <c:v>GR</c:v>
                </c:pt>
                <c:pt idx="29">
                  <c:v>CL</c:v>
                </c:pt>
                <c:pt idx="30">
                  <c:v>US</c:v>
                </c:pt>
                <c:pt idx="31">
                  <c:v>KR</c:v>
                </c:pt>
                <c:pt idx="32">
                  <c:v>MX</c:v>
                </c:pt>
              </c:strCache>
            </c:strRef>
          </c:cat>
          <c:val>
            <c:numRef>
              <c:f>'Family benefits'!$E$4:$E$36</c:f>
              <c:numCache>
                <c:formatCode>General</c:formatCode>
                <c:ptCount val="33"/>
                <c:pt idx="0">
                  <c:v>0.291770799124558</c:v>
                </c:pt>
                <c:pt idx="1">
                  <c:v>0</c:v>
                </c:pt>
                <c:pt idx="2">
                  <c:v>0.11131629429862</c:v>
                </c:pt>
                <c:pt idx="3">
                  <c:v>0.65202519880725596</c:v>
                </c:pt>
                <c:pt idx="4">
                  <c:v>0</c:v>
                </c:pt>
                <c:pt idx="5">
                  <c:v>0</c:v>
                </c:pt>
                <c:pt idx="6">
                  <c:v>0.68187337051401098</c:v>
                </c:pt>
                <c:pt idx="7">
                  <c:v>0</c:v>
                </c:pt>
                <c:pt idx="8">
                  <c:v>1.48379388753998E-2</c:v>
                </c:pt>
                <c:pt idx="9">
                  <c:v>0.45307887709948103</c:v>
                </c:pt>
                <c:pt idx="10">
                  <c:v>0</c:v>
                </c:pt>
                <c:pt idx="11">
                  <c:v>0.113785907997004</c:v>
                </c:pt>
                <c:pt idx="12">
                  <c:v>0.86976512510057902</c:v>
                </c:pt>
                <c:pt idx="13">
                  <c:v>3.3645767934371899E-2</c:v>
                </c:pt>
                <c:pt idx="14">
                  <c:v>4.0101532803561803E-2</c:v>
                </c:pt>
                <c:pt idx="15">
                  <c:v>0.15261049759633</c:v>
                </c:pt>
                <c:pt idx="16">
                  <c:v>0.86443980110901297</c:v>
                </c:pt>
                <c:pt idx="17">
                  <c:v>0.37433195519268198</c:v>
                </c:pt>
                <c:pt idx="18">
                  <c:v>0.132590157268625</c:v>
                </c:pt>
                <c:pt idx="19">
                  <c:v>2.9841557488538202E-3</c:v>
                </c:pt>
                <c:pt idx="20">
                  <c:v>0.50580338437551597</c:v>
                </c:pt>
                <c:pt idx="21">
                  <c:v>0.516093452049037</c:v>
                </c:pt>
                <c:pt idx="22">
                  <c:v>0.48880377073594999</c:v>
                </c:pt>
                <c:pt idx="23">
                  <c:v>0.40633020437898498</c:v>
                </c:pt>
                <c:pt idx="24">
                  <c:v>0.381414619145584</c:v>
                </c:pt>
                <c:pt idx="25">
                  <c:v>0.12763696244099601</c:v>
                </c:pt>
                <c:pt idx="26">
                  <c:v>0.201021234620999</c:v>
                </c:pt>
                <c:pt idx="27">
                  <c:v>0.194647887323944</c:v>
                </c:pt>
                <c:pt idx="28">
                  <c:v>0</c:v>
                </c:pt>
                <c:pt idx="29">
                  <c:v>0</c:v>
                </c:pt>
                <c:pt idx="30">
                  <c:v>0.46658447003477899</c:v>
                </c:pt>
                <c:pt idx="31">
                  <c:v>0.22212523200112699</c:v>
                </c:pt>
                <c:pt idx="32">
                  <c:v>0</c:v>
                </c:pt>
              </c:numCache>
            </c:numRef>
          </c:val>
        </c:ser>
        <c:dLbls>
          <c:showLegendKey val="0"/>
          <c:showVal val="0"/>
          <c:showCatName val="0"/>
          <c:showSerName val="0"/>
          <c:showPercent val="0"/>
          <c:showBubbleSize val="0"/>
        </c:dLbls>
        <c:gapWidth val="150"/>
        <c:overlap val="100"/>
        <c:axId val="410168120"/>
        <c:axId val="410168512"/>
      </c:barChart>
      <c:lineChart>
        <c:grouping val="standard"/>
        <c:varyColors val="0"/>
        <c:ser>
          <c:idx val="1"/>
          <c:order val="3"/>
          <c:tx>
            <c:strRef>
              <c:f>'Family benefits'!$F$3</c:f>
              <c:strCache>
                <c:ptCount val="1"/>
                <c:pt idx="0">
                  <c:v>OECD celkom </c:v>
                </c:pt>
              </c:strCache>
            </c:strRef>
          </c:tx>
          <c:spPr>
            <a:ln w="22225">
              <a:solidFill>
                <a:sysClr val="windowText" lastClr="000000"/>
              </a:solidFill>
              <a:prstDash val="sysDash"/>
            </a:ln>
          </c:spPr>
          <c:marker>
            <c:symbol val="none"/>
          </c:marker>
          <c:cat>
            <c:strRef>
              <c:f>'Family benefits'!$B$4:$B$36</c:f>
              <c:strCache>
                <c:ptCount val="33"/>
                <c:pt idx="0">
                  <c:v>UK</c:v>
                </c:pt>
                <c:pt idx="1">
                  <c:v>DK</c:v>
                </c:pt>
                <c:pt idx="2">
                  <c:v>IE</c:v>
                </c:pt>
                <c:pt idx="3">
                  <c:v>HU</c:v>
                </c:pt>
                <c:pt idx="4">
                  <c:v>LU</c:v>
                </c:pt>
                <c:pt idx="5">
                  <c:v>SE</c:v>
                </c:pt>
                <c:pt idx="6">
                  <c:v>FR</c:v>
                </c:pt>
                <c:pt idx="7">
                  <c:v>IS</c:v>
                </c:pt>
                <c:pt idx="8">
                  <c:v>NZ</c:v>
                </c:pt>
                <c:pt idx="9">
                  <c:v>BE</c:v>
                </c:pt>
                <c:pt idx="10">
                  <c:v>FI</c:v>
                </c:pt>
                <c:pt idx="11">
                  <c:v>NO</c:v>
                </c:pt>
                <c:pt idx="12">
                  <c:v>DE</c:v>
                </c:pt>
                <c:pt idx="13">
                  <c:v>AU</c:v>
                </c:pt>
                <c:pt idx="14">
                  <c:v>AT</c:v>
                </c:pt>
                <c:pt idx="15">
                  <c:v>EE</c:v>
                </c:pt>
                <c:pt idx="16">
                  <c:v>CZ</c:v>
                </c:pt>
                <c:pt idx="17">
                  <c:v>SK</c:v>
                </c:pt>
                <c:pt idx="18">
                  <c:v>IL</c:v>
                </c:pt>
                <c:pt idx="19">
                  <c:v>SI</c:v>
                </c:pt>
                <c:pt idx="20">
                  <c:v>NE</c:v>
                </c:pt>
                <c:pt idx="21">
                  <c:v>IT</c:v>
                </c:pt>
                <c:pt idx="22">
                  <c:v>CH</c:v>
                </c:pt>
                <c:pt idx="23">
                  <c:v>PL</c:v>
                </c:pt>
                <c:pt idx="24">
                  <c:v>JP</c:v>
                </c:pt>
                <c:pt idx="25">
                  <c:v>ES</c:v>
                </c:pt>
                <c:pt idx="26">
                  <c:v>PT</c:v>
                </c:pt>
                <c:pt idx="27">
                  <c:v>CA</c:v>
                </c:pt>
                <c:pt idx="28">
                  <c:v>GR</c:v>
                </c:pt>
                <c:pt idx="29">
                  <c:v>CL</c:v>
                </c:pt>
                <c:pt idx="30">
                  <c:v>US</c:v>
                </c:pt>
                <c:pt idx="31">
                  <c:v>KR</c:v>
                </c:pt>
                <c:pt idx="32">
                  <c:v>MX</c:v>
                </c:pt>
              </c:strCache>
            </c:strRef>
          </c:cat>
          <c:val>
            <c:numRef>
              <c:f>'Family benefits'!$F$4:$F$36</c:f>
              <c:numCache>
                <c:formatCode>General</c:formatCode>
                <c:ptCount val="33"/>
                <c:pt idx="0">
                  <c:v>2.5539310171016738</c:v>
                </c:pt>
                <c:pt idx="1">
                  <c:v>2.5539310171016738</c:v>
                </c:pt>
                <c:pt idx="2">
                  <c:v>2.5539310171016738</c:v>
                </c:pt>
                <c:pt idx="3">
                  <c:v>2.5539310171016738</c:v>
                </c:pt>
                <c:pt idx="4">
                  <c:v>2.5539310171016738</c:v>
                </c:pt>
                <c:pt idx="5">
                  <c:v>2.5539310171016738</c:v>
                </c:pt>
                <c:pt idx="6">
                  <c:v>2.5539310171016738</c:v>
                </c:pt>
                <c:pt idx="7">
                  <c:v>2.5539310171016738</c:v>
                </c:pt>
                <c:pt idx="8">
                  <c:v>2.5539310171016738</c:v>
                </c:pt>
                <c:pt idx="9">
                  <c:v>2.5539310171016738</c:v>
                </c:pt>
                <c:pt idx="10">
                  <c:v>2.5539310171016738</c:v>
                </c:pt>
                <c:pt idx="11">
                  <c:v>2.5539310171016738</c:v>
                </c:pt>
                <c:pt idx="12">
                  <c:v>2.5539310171016738</c:v>
                </c:pt>
                <c:pt idx="13">
                  <c:v>2.5539310171016738</c:v>
                </c:pt>
                <c:pt idx="14">
                  <c:v>2.5539310171016738</c:v>
                </c:pt>
                <c:pt idx="15">
                  <c:v>2.5539310171016738</c:v>
                </c:pt>
                <c:pt idx="16">
                  <c:v>2.5539310171016738</c:v>
                </c:pt>
                <c:pt idx="17">
                  <c:v>2.5539310171016738</c:v>
                </c:pt>
                <c:pt idx="18">
                  <c:v>2.5539310171016738</c:v>
                </c:pt>
                <c:pt idx="19">
                  <c:v>2.5539310171016738</c:v>
                </c:pt>
                <c:pt idx="20">
                  <c:v>2.5539310171016738</c:v>
                </c:pt>
                <c:pt idx="21">
                  <c:v>2.5539310171016738</c:v>
                </c:pt>
                <c:pt idx="22">
                  <c:v>2.5539310171016738</c:v>
                </c:pt>
                <c:pt idx="23">
                  <c:v>2.5539310171016738</c:v>
                </c:pt>
                <c:pt idx="24">
                  <c:v>2.5539310171016738</c:v>
                </c:pt>
                <c:pt idx="25">
                  <c:v>2.5539310171016738</c:v>
                </c:pt>
                <c:pt idx="26">
                  <c:v>2.5539310171016738</c:v>
                </c:pt>
                <c:pt idx="27">
                  <c:v>2.5539310171016738</c:v>
                </c:pt>
                <c:pt idx="28">
                  <c:v>2.5539310171016738</c:v>
                </c:pt>
                <c:pt idx="29">
                  <c:v>2.5539310171016738</c:v>
                </c:pt>
                <c:pt idx="30">
                  <c:v>2.5539310171016738</c:v>
                </c:pt>
                <c:pt idx="31">
                  <c:v>2.5539310171016738</c:v>
                </c:pt>
                <c:pt idx="32">
                  <c:v>2.5539310171016738</c:v>
                </c:pt>
              </c:numCache>
            </c:numRef>
          </c:val>
          <c:smooth val="0"/>
        </c:ser>
        <c:ser>
          <c:idx val="2"/>
          <c:order val="4"/>
          <c:tx>
            <c:strRef>
              <c:f>'Family benefits'!$G$3</c:f>
              <c:strCache>
                <c:ptCount val="1"/>
                <c:pt idx="0">
                  <c:v>OECD peňažné benefity</c:v>
                </c:pt>
              </c:strCache>
            </c:strRef>
          </c:tx>
          <c:spPr>
            <a:ln w="22225">
              <a:solidFill>
                <a:sysClr val="windowText" lastClr="000000"/>
              </a:solidFill>
            </a:ln>
          </c:spPr>
          <c:marker>
            <c:symbol val="none"/>
          </c:marker>
          <c:cat>
            <c:strRef>
              <c:f>'Family benefits'!$B$4:$B$36</c:f>
              <c:strCache>
                <c:ptCount val="33"/>
                <c:pt idx="0">
                  <c:v>UK</c:v>
                </c:pt>
                <c:pt idx="1">
                  <c:v>DK</c:v>
                </c:pt>
                <c:pt idx="2">
                  <c:v>IE</c:v>
                </c:pt>
                <c:pt idx="3">
                  <c:v>HU</c:v>
                </c:pt>
                <c:pt idx="4">
                  <c:v>LU</c:v>
                </c:pt>
                <c:pt idx="5">
                  <c:v>SE</c:v>
                </c:pt>
                <c:pt idx="6">
                  <c:v>FR</c:v>
                </c:pt>
                <c:pt idx="7">
                  <c:v>IS</c:v>
                </c:pt>
                <c:pt idx="8">
                  <c:v>NZ</c:v>
                </c:pt>
                <c:pt idx="9">
                  <c:v>BE</c:v>
                </c:pt>
                <c:pt idx="10">
                  <c:v>FI</c:v>
                </c:pt>
                <c:pt idx="11">
                  <c:v>NO</c:v>
                </c:pt>
                <c:pt idx="12">
                  <c:v>DE</c:v>
                </c:pt>
                <c:pt idx="13">
                  <c:v>AU</c:v>
                </c:pt>
                <c:pt idx="14">
                  <c:v>AT</c:v>
                </c:pt>
                <c:pt idx="15">
                  <c:v>EE</c:v>
                </c:pt>
                <c:pt idx="16">
                  <c:v>CZ</c:v>
                </c:pt>
                <c:pt idx="17">
                  <c:v>SK</c:v>
                </c:pt>
                <c:pt idx="18">
                  <c:v>IL</c:v>
                </c:pt>
                <c:pt idx="19">
                  <c:v>SI</c:v>
                </c:pt>
                <c:pt idx="20">
                  <c:v>NE</c:v>
                </c:pt>
                <c:pt idx="21">
                  <c:v>IT</c:v>
                </c:pt>
                <c:pt idx="22">
                  <c:v>CH</c:v>
                </c:pt>
                <c:pt idx="23">
                  <c:v>PL</c:v>
                </c:pt>
                <c:pt idx="24">
                  <c:v>JP</c:v>
                </c:pt>
                <c:pt idx="25">
                  <c:v>ES</c:v>
                </c:pt>
                <c:pt idx="26">
                  <c:v>PT</c:v>
                </c:pt>
                <c:pt idx="27">
                  <c:v>CA</c:v>
                </c:pt>
                <c:pt idx="28">
                  <c:v>GR</c:v>
                </c:pt>
                <c:pt idx="29">
                  <c:v>CL</c:v>
                </c:pt>
                <c:pt idx="30">
                  <c:v>US</c:v>
                </c:pt>
                <c:pt idx="31">
                  <c:v>KR</c:v>
                </c:pt>
                <c:pt idx="32">
                  <c:v>MX</c:v>
                </c:pt>
              </c:strCache>
            </c:strRef>
          </c:cat>
          <c:val>
            <c:numRef>
              <c:f>'Family benefits'!$G$4:$G$36</c:f>
              <c:numCache>
                <c:formatCode>General</c:formatCode>
                <c:ptCount val="33"/>
                <c:pt idx="0">
                  <c:v>1.3515829981260401</c:v>
                </c:pt>
                <c:pt idx="1">
                  <c:v>1.3515829981260401</c:v>
                </c:pt>
                <c:pt idx="2">
                  <c:v>1.3515829981260401</c:v>
                </c:pt>
                <c:pt idx="3">
                  <c:v>1.3515829981260401</c:v>
                </c:pt>
                <c:pt idx="4">
                  <c:v>1.3515829981260401</c:v>
                </c:pt>
                <c:pt idx="5">
                  <c:v>1.3515829981260401</c:v>
                </c:pt>
                <c:pt idx="6">
                  <c:v>1.3515829981260401</c:v>
                </c:pt>
                <c:pt idx="7">
                  <c:v>1.3515829981260401</c:v>
                </c:pt>
                <c:pt idx="8">
                  <c:v>1.3515829981260401</c:v>
                </c:pt>
                <c:pt idx="9">
                  <c:v>1.3515829981260401</c:v>
                </c:pt>
                <c:pt idx="10">
                  <c:v>1.3515829981260401</c:v>
                </c:pt>
                <c:pt idx="11">
                  <c:v>1.3515829981260401</c:v>
                </c:pt>
                <c:pt idx="12">
                  <c:v>1.3515829981260401</c:v>
                </c:pt>
                <c:pt idx="13">
                  <c:v>1.3515829981260401</c:v>
                </c:pt>
                <c:pt idx="14">
                  <c:v>1.3515829981260401</c:v>
                </c:pt>
                <c:pt idx="15">
                  <c:v>1.3515829981260401</c:v>
                </c:pt>
                <c:pt idx="16">
                  <c:v>1.3515829981260401</c:v>
                </c:pt>
                <c:pt idx="17">
                  <c:v>1.3515829981260401</c:v>
                </c:pt>
                <c:pt idx="18">
                  <c:v>1.3515829981260401</c:v>
                </c:pt>
                <c:pt idx="19">
                  <c:v>1.3515829981260401</c:v>
                </c:pt>
                <c:pt idx="20">
                  <c:v>1.3515829981260401</c:v>
                </c:pt>
                <c:pt idx="21">
                  <c:v>1.3515829981260401</c:v>
                </c:pt>
                <c:pt idx="22">
                  <c:v>1.3515829981260401</c:v>
                </c:pt>
                <c:pt idx="23">
                  <c:v>1.3515829981260401</c:v>
                </c:pt>
                <c:pt idx="24">
                  <c:v>1.3515829981260401</c:v>
                </c:pt>
                <c:pt idx="25">
                  <c:v>1.3515829981260401</c:v>
                </c:pt>
                <c:pt idx="26">
                  <c:v>1.3515829981260401</c:v>
                </c:pt>
                <c:pt idx="27">
                  <c:v>1.3515829981260401</c:v>
                </c:pt>
                <c:pt idx="28">
                  <c:v>1.3515829981260401</c:v>
                </c:pt>
                <c:pt idx="29">
                  <c:v>1.3515829981260401</c:v>
                </c:pt>
                <c:pt idx="30">
                  <c:v>1.3515829981260401</c:v>
                </c:pt>
                <c:pt idx="31">
                  <c:v>1.3515829981260401</c:v>
                </c:pt>
                <c:pt idx="32">
                  <c:v>1.3515829981260401</c:v>
                </c:pt>
              </c:numCache>
            </c:numRef>
          </c:val>
          <c:smooth val="0"/>
        </c:ser>
        <c:dLbls>
          <c:showLegendKey val="0"/>
          <c:showVal val="0"/>
          <c:showCatName val="0"/>
          <c:showSerName val="0"/>
          <c:showPercent val="0"/>
          <c:showBubbleSize val="0"/>
        </c:dLbls>
        <c:marker val="1"/>
        <c:smooth val="0"/>
        <c:axId val="410168120"/>
        <c:axId val="410168512"/>
      </c:lineChart>
      <c:catAx>
        <c:axId val="410168120"/>
        <c:scaling>
          <c:orientation val="minMax"/>
        </c:scaling>
        <c:delete val="0"/>
        <c:axPos val="b"/>
        <c:numFmt formatCode="General" sourceLinked="1"/>
        <c:majorTickMark val="out"/>
        <c:minorTickMark val="none"/>
        <c:tickLblPos val="low"/>
        <c:spPr>
          <a:ln>
            <a:solidFill>
              <a:sysClr val="window" lastClr="FFFFFF">
                <a:lumMod val="75000"/>
              </a:sysClr>
            </a:solidFill>
          </a:ln>
        </c:spPr>
        <c:txPr>
          <a:bodyPr/>
          <a:lstStyle/>
          <a:p>
            <a:pPr>
              <a:defRPr sz="600"/>
            </a:pPr>
            <a:endParaRPr lang="sk-SK"/>
          </a:p>
        </c:txPr>
        <c:crossAx val="410168512"/>
        <c:crosses val="autoZero"/>
        <c:auto val="1"/>
        <c:lblAlgn val="ctr"/>
        <c:lblOffset val="100"/>
        <c:noMultiLvlLbl val="0"/>
      </c:catAx>
      <c:valAx>
        <c:axId val="410168512"/>
        <c:scaling>
          <c:orientation val="minMax"/>
        </c:scaling>
        <c:delete val="0"/>
        <c:axPos val="l"/>
        <c:majorGridlines>
          <c:spPr>
            <a:ln>
              <a:solidFill>
                <a:schemeClr val="bg1">
                  <a:lumMod val="75000"/>
                </a:schemeClr>
              </a:solidFill>
              <a:prstDash val="dash"/>
            </a:ln>
          </c:spPr>
        </c:majorGridlines>
        <c:numFmt formatCode="General" sourceLinked="0"/>
        <c:majorTickMark val="out"/>
        <c:minorTickMark val="none"/>
        <c:tickLblPos val="nextTo"/>
        <c:spPr>
          <a:ln>
            <a:noFill/>
          </a:ln>
        </c:spPr>
        <c:crossAx val="410168120"/>
        <c:crosses val="autoZero"/>
        <c:crossBetween val="between"/>
      </c:valAx>
    </c:plotArea>
    <c:legend>
      <c:legendPos val="r"/>
      <c:layout>
        <c:manualLayout>
          <c:xMode val="edge"/>
          <c:yMode val="edge"/>
          <c:x val="8.5746126343086607E-2"/>
          <c:y val="4.01153144564729E-2"/>
          <c:w val="0.88262029746281701"/>
          <c:h val="0.108771507728201"/>
        </c:manualLayout>
      </c:layout>
      <c:overlay val="0"/>
    </c:legend>
    <c:plotVisOnly val="1"/>
    <c:dispBlanksAs val="gap"/>
    <c:showDLblsOverMax val="0"/>
  </c:chart>
  <c:spPr>
    <a:noFill/>
    <a:ln>
      <a:noFill/>
    </a:ln>
  </c:spPr>
  <c:txPr>
    <a:bodyPr/>
    <a:lstStyle/>
    <a:p>
      <a:pPr>
        <a:defRPr sz="800">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860892388451403E-2"/>
          <c:y val="3.1907540756682999E-2"/>
          <c:w val="0.93344445580666102"/>
          <c:h val="0.88744471360104704"/>
        </c:manualLayout>
      </c:layout>
      <c:barChart>
        <c:barDir val="col"/>
        <c:grouping val="clustered"/>
        <c:varyColors val="0"/>
        <c:ser>
          <c:idx val="2"/>
          <c:order val="1"/>
          <c:tx>
            <c:strRef>
              <c:f>Preschool_attendance!$C$4</c:f>
              <c:strCache>
                <c:ptCount val="1"/>
                <c:pt idx="0">
                  <c:v>2013</c:v>
                </c:pt>
              </c:strCache>
            </c:strRef>
          </c:tx>
          <c:spPr>
            <a:solidFill>
              <a:sysClr val="windowText" lastClr="000000">
                <a:lumMod val="50000"/>
                <a:lumOff val="50000"/>
              </a:sysClr>
            </a:solidFill>
            <a:ln>
              <a:solidFill>
                <a:sysClr val="windowText" lastClr="000000">
                  <a:lumMod val="50000"/>
                  <a:lumOff val="50000"/>
                </a:sysClr>
              </a:solidFill>
            </a:ln>
          </c:spPr>
          <c:invertIfNegative val="0"/>
          <c:dPt>
            <c:idx val="37"/>
            <c:invertIfNegative val="0"/>
            <c:bubble3D val="0"/>
            <c:spPr>
              <a:solidFill>
                <a:sysClr val="window" lastClr="FFFFFF">
                  <a:lumMod val="85000"/>
                </a:sysClr>
              </a:solidFill>
              <a:ln>
                <a:solidFill>
                  <a:sysClr val="window" lastClr="FFFFFF">
                    <a:lumMod val="85000"/>
                  </a:sysClr>
                </a:solidFill>
              </a:ln>
            </c:spPr>
          </c:dPt>
          <c:cat>
            <c:strRef>
              <c:f>Preschool_attendance!$A$5:$A$42</c:f>
              <c:strCache>
                <c:ptCount val="38"/>
                <c:pt idx="0">
                  <c:v>DK</c:v>
                </c:pt>
                <c:pt idx="1">
                  <c:v>IS</c:v>
                </c:pt>
                <c:pt idx="2">
                  <c:v>MT</c:v>
                </c:pt>
                <c:pt idx="3">
                  <c:v>NL</c:v>
                </c:pt>
                <c:pt idx="4">
                  <c:v>NO</c:v>
                </c:pt>
                <c:pt idx="5">
                  <c:v>LU</c:v>
                </c:pt>
                <c:pt idx="6">
                  <c:v>FR</c:v>
                </c:pt>
                <c:pt idx="7">
                  <c:v>BE</c:v>
                </c:pt>
                <c:pt idx="8">
                  <c:v>SE</c:v>
                </c:pt>
                <c:pt idx="9">
                  <c:v>SI</c:v>
                </c:pt>
                <c:pt idx="10">
                  <c:v>PT</c:v>
                </c:pt>
                <c:pt idx="11">
                  <c:v>NZ</c:v>
                </c:pt>
                <c:pt idx="12">
                  <c:v>CH</c:v>
                </c:pt>
                <c:pt idx="13">
                  <c:v>ES</c:v>
                </c:pt>
                <c:pt idx="14">
                  <c:v>UK</c:v>
                </c:pt>
                <c:pt idx="15">
                  <c:v>KR</c:v>
                </c:pt>
                <c:pt idx="16">
                  <c:v>AU</c:v>
                </c:pt>
                <c:pt idx="17">
                  <c:v>IE</c:v>
                </c:pt>
                <c:pt idx="18">
                  <c:v>DE</c:v>
                </c:pt>
                <c:pt idx="19">
                  <c:v>US</c:v>
                </c:pt>
                <c:pt idx="20">
                  <c:v>FI</c:v>
                </c:pt>
                <c:pt idx="21">
                  <c:v>JP</c:v>
                </c:pt>
                <c:pt idx="22">
                  <c:v>CY</c:v>
                </c:pt>
                <c:pt idx="23">
                  <c:v>EE</c:v>
                </c:pt>
                <c:pt idx="24">
                  <c:v>LV</c:v>
                </c:pt>
                <c:pt idx="25">
                  <c:v>IT</c:v>
                </c:pt>
                <c:pt idx="26">
                  <c:v>AT</c:v>
                </c:pt>
                <c:pt idx="27">
                  <c:v>CL</c:v>
                </c:pt>
                <c:pt idx="28">
                  <c:v>GR</c:v>
                </c:pt>
                <c:pt idx="29">
                  <c:v>HU</c:v>
                </c:pt>
                <c:pt idx="30">
                  <c:v>RO</c:v>
                </c:pt>
                <c:pt idx="31">
                  <c:v>BG</c:v>
                </c:pt>
                <c:pt idx="32">
                  <c:v>LT</c:v>
                </c:pt>
                <c:pt idx="33">
                  <c:v>HR</c:v>
                </c:pt>
                <c:pt idx="34">
                  <c:v>PL</c:v>
                </c:pt>
                <c:pt idx="35">
                  <c:v>MX</c:v>
                </c:pt>
                <c:pt idx="36">
                  <c:v>CZ</c:v>
                </c:pt>
                <c:pt idx="37">
                  <c:v>SK</c:v>
                </c:pt>
              </c:strCache>
            </c:strRef>
          </c:cat>
          <c:val>
            <c:numRef>
              <c:f>Preschool_attendance!$C$5:$C$42</c:f>
              <c:numCache>
                <c:formatCode>General</c:formatCode>
                <c:ptCount val="38"/>
                <c:pt idx="0">
                  <c:v>67</c:v>
                </c:pt>
                <c:pt idx="1">
                  <c:v>58</c:v>
                </c:pt>
                <c:pt idx="2">
                  <c:v>57.827100000000002</c:v>
                </c:pt>
                <c:pt idx="3">
                  <c:v>54.638289999999998</c:v>
                </c:pt>
                <c:pt idx="4">
                  <c:v>54.333333333333343</c:v>
                </c:pt>
                <c:pt idx="5">
                  <c:v>53.646900000000002</c:v>
                </c:pt>
                <c:pt idx="6">
                  <c:v>49.717309999999998</c:v>
                </c:pt>
                <c:pt idx="7">
                  <c:v>49.294260000000001</c:v>
                </c:pt>
                <c:pt idx="8">
                  <c:v>47.333333333333343</c:v>
                </c:pt>
                <c:pt idx="9">
                  <c:v>45.372689999999999</c:v>
                </c:pt>
                <c:pt idx="10">
                  <c:v>45.142189999999999</c:v>
                </c:pt>
                <c:pt idx="11">
                  <c:v>40.946751979177961</c:v>
                </c:pt>
                <c:pt idx="12">
                  <c:v>38.201410000000003</c:v>
                </c:pt>
                <c:pt idx="13">
                  <c:v>35.320920000000001</c:v>
                </c:pt>
                <c:pt idx="14">
                  <c:v>35.134520000000002</c:v>
                </c:pt>
                <c:pt idx="15">
                  <c:v>34.057342315813642</c:v>
                </c:pt>
                <c:pt idx="16">
                  <c:v>33.211344922232371</c:v>
                </c:pt>
                <c:pt idx="17">
                  <c:v>30.19096</c:v>
                </c:pt>
                <c:pt idx="18">
                  <c:v>29.3</c:v>
                </c:pt>
                <c:pt idx="19">
                  <c:v>27.96860174012761</c:v>
                </c:pt>
                <c:pt idx="20">
                  <c:v>27.666666666666671</c:v>
                </c:pt>
                <c:pt idx="21">
                  <c:v>25.90230485556237</c:v>
                </c:pt>
                <c:pt idx="22">
                  <c:v>24.48072999999998</c:v>
                </c:pt>
                <c:pt idx="23">
                  <c:v>24.28614</c:v>
                </c:pt>
                <c:pt idx="24">
                  <c:v>23.37673999999998</c:v>
                </c:pt>
                <c:pt idx="25">
                  <c:v>23.115960000000001</c:v>
                </c:pt>
                <c:pt idx="26">
                  <c:v>19.657330000000009</c:v>
                </c:pt>
                <c:pt idx="27">
                  <c:v>17.598393386987681</c:v>
                </c:pt>
                <c:pt idx="28">
                  <c:v>16.916059999999991</c:v>
                </c:pt>
                <c:pt idx="29">
                  <c:v>16.132989999999999</c:v>
                </c:pt>
                <c:pt idx="30">
                  <c:v>14.491300000000001</c:v>
                </c:pt>
                <c:pt idx="31">
                  <c:v>12.10407</c:v>
                </c:pt>
                <c:pt idx="32">
                  <c:v>12.07743</c:v>
                </c:pt>
                <c:pt idx="33">
                  <c:v>11.971450000000001</c:v>
                </c:pt>
                <c:pt idx="34">
                  <c:v>9.5888100000000005</c:v>
                </c:pt>
                <c:pt idx="35">
                  <c:v>8.7235399333327628</c:v>
                </c:pt>
                <c:pt idx="36">
                  <c:v>4.2882899999999999</c:v>
                </c:pt>
                <c:pt idx="37">
                  <c:v>3.09951</c:v>
                </c:pt>
              </c:numCache>
            </c:numRef>
          </c:val>
        </c:ser>
        <c:dLbls>
          <c:showLegendKey val="0"/>
          <c:showVal val="0"/>
          <c:showCatName val="0"/>
          <c:showSerName val="0"/>
          <c:showPercent val="0"/>
          <c:showBubbleSize val="0"/>
        </c:dLbls>
        <c:gapWidth val="150"/>
        <c:axId val="410169296"/>
        <c:axId val="410169688"/>
      </c:barChart>
      <c:lineChart>
        <c:grouping val="standard"/>
        <c:varyColors val="0"/>
        <c:ser>
          <c:idx val="0"/>
          <c:order val="0"/>
          <c:tx>
            <c:strRef>
              <c:f>Preschool_attendance!$B$4</c:f>
              <c:strCache>
                <c:ptCount val="1"/>
                <c:pt idx="0">
                  <c:v>2006</c:v>
                </c:pt>
              </c:strCache>
            </c:strRef>
          </c:tx>
          <c:spPr>
            <a:ln>
              <a:noFill/>
            </a:ln>
          </c:spPr>
          <c:marker>
            <c:symbol val="diamond"/>
            <c:size val="5"/>
            <c:spPr>
              <a:solidFill>
                <a:sysClr val="windowText" lastClr="000000"/>
              </a:solidFill>
              <a:ln>
                <a:noFill/>
              </a:ln>
            </c:spPr>
          </c:marker>
          <c:cat>
            <c:strRef>
              <c:f>Preschool_attendance!$A$5:$A$42</c:f>
              <c:strCache>
                <c:ptCount val="38"/>
                <c:pt idx="0">
                  <c:v>DK</c:v>
                </c:pt>
                <c:pt idx="1">
                  <c:v>IS</c:v>
                </c:pt>
                <c:pt idx="2">
                  <c:v>MT</c:v>
                </c:pt>
                <c:pt idx="3">
                  <c:v>NL</c:v>
                </c:pt>
                <c:pt idx="4">
                  <c:v>NO</c:v>
                </c:pt>
                <c:pt idx="5">
                  <c:v>LU</c:v>
                </c:pt>
                <c:pt idx="6">
                  <c:v>FR</c:v>
                </c:pt>
                <c:pt idx="7">
                  <c:v>BE</c:v>
                </c:pt>
                <c:pt idx="8">
                  <c:v>SE</c:v>
                </c:pt>
                <c:pt idx="9">
                  <c:v>SI</c:v>
                </c:pt>
                <c:pt idx="10">
                  <c:v>PT</c:v>
                </c:pt>
                <c:pt idx="11">
                  <c:v>NZ</c:v>
                </c:pt>
                <c:pt idx="12">
                  <c:v>CH</c:v>
                </c:pt>
                <c:pt idx="13">
                  <c:v>ES</c:v>
                </c:pt>
                <c:pt idx="14">
                  <c:v>UK</c:v>
                </c:pt>
                <c:pt idx="15">
                  <c:v>KR</c:v>
                </c:pt>
                <c:pt idx="16">
                  <c:v>AU</c:v>
                </c:pt>
                <c:pt idx="17">
                  <c:v>IE</c:v>
                </c:pt>
                <c:pt idx="18">
                  <c:v>DE</c:v>
                </c:pt>
                <c:pt idx="19">
                  <c:v>US</c:v>
                </c:pt>
                <c:pt idx="20">
                  <c:v>FI</c:v>
                </c:pt>
                <c:pt idx="21">
                  <c:v>JP</c:v>
                </c:pt>
                <c:pt idx="22">
                  <c:v>CY</c:v>
                </c:pt>
                <c:pt idx="23">
                  <c:v>EE</c:v>
                </c:pt>
                <c:pt idx="24">
                  <c:v>LV</c:v>
                </c:pt>
                <c:pt idx="25">
                  <c:v>IT</c:v>
                </c:pt>
                <c:pt idx="26">
                  <c:v>AT</c:v>
                </c:pt>
                <c:pt idx="27">
                  <c:v>CL</c:v>
                </c:pt>
                <c:pt idx="28">
                  <c:v>GR</c:v>
                </c:pt>
                <c:pt idx="29">
                  <c:v>HU</c:v>
                </c:pt>
                <c:pt idx="30">
                  <c:v>RO</c:v>
                </c:pt>
                <c:pt idx="31">
                  <c:v>BG</c:v>
                </c:pt>
                <c:pt idx="32">
                  <c:v>LT</c:v>
                </c:pt>
                <c:pt idx="33">
                  <c:v>HR</c:v>
                </c:pt>
                <c:pt idx="34">
                  <c:v>PL</c:v>
                </c:pt>
                <c:pt idx="35">
                  <c:v>MX</c:v>
                </c:pt>
                <c:pt idx="36">
                  <c:v>CZ</c:v>
                </c:pt>
                <c:pt idx="37">
                  <c:v>SK</c:v>
                </c:pt>
              </c:strCache>
            </c:strRef>
          </c:cat>
          <c:val>
            <c:numRef>
              <c:f>Preschool_attendance!$B$5:$B$42</c:f>
              <c:numCache>
                <c:formatCode>General</c:formatCode>
                <c:ptCount val="38"/>
                <c:pt idx="0">
                  <c:v>62.993699999999997</c:v>
                </c:pt>
                <c:pt idx="1">
                  <c:v>55.661099999999998</c:v>
                </c:pt>
                <c:pt idx="3">
                  <c:v>53.91039</c:v>
                </c:pt>
                <c:pt idx="4">
                  <c:v>42.329099999999997</c:v>
                </c:pt>
                <c:pt idx="5">
                  <c:v>43.427840000000003</c:v>
                </c:pt>
                <c:pt idx="6">
                  <c:v>42.352499999999999</c:v>
                </c:pt>
                <c:pt idx="7">
                  <c:v>41.708180000000013</c:v>
                </c:pt>
                <c:pt idx="8">
                  <c:v>45.328800000000001</c:v>
                </c:pt>
                <c:pt idx="9">
                  <c:v>32.473680000000002</c:v>
                </c:pt>
                <c:pt idx="10">
                  <c:v>43.580010000000001</c:v>
                </c:pt>
                <c:pt idx="11">
                  <c:v>33.991734114000351</c:v>
                </c:pt>
                <c:pt idx="13">
                  <c:v>41.943920000000013</c:v>
                </c:pt>
                <c:pt idx="14">
                  <c:v>39.669609999999999</c:v>
                </c:pt>
                <c:pt idx="15">
                  <c:v>10.8770470656077</c:v>
                </c:pt>
                <c:pt idx="16">
                  <c:v>24.77675114850565</c:v>
                </c:pt>
                <c:pt idx="17">
                  <c:v>25.21346999999999</c:v>
                </c:pt>
                <c:pt idx="18">
                  <c:v>13.63232053308144</c:v>
                </c:pt>
                <c:pt idx="19">
                  <c:v>27.426403554224901</c:v>
                </c:pt>
                <c:pt idx="20">
                  <c:v>23.73097171308827</c:v>
                </c:pt>
                <c:pt idx="21">
                  <c:v>22.53866316968287</c:v>
                </c:pt>
                <c:pt idx="22">
                  <c:v>31.201029999999999</c:v>
                </c:pt>
                <c:pt idx="23">
                  <c:v>18.14071999999998</c:v>
                </c:pt>
                <c:pt idx="24">
                  <c:v>19.9879</c:v>
                </c:pt>
                <c:pt idx="25">
                  <c:v>28.56875999999998</c:v>
                </c:pt>
                <c:pt idx="26">
                  <c:v>10.448180000000001</c:v>
                </c:pt>
                <c:pt idx="27">
                  <c:v>9.84</c:v>
                </c:pt>
                <c:pt idx="28">
                  <c:v>18.17775</c:v>
                </c:pt>
                <c:pt idx="29">
                  <c:v>10.48814</c:v>
                </c:pt>
                <c:pt idx="30">
                  <c:v>7.87887</c:v>
                </c:pt>
                <c:pt idx="31">
                  <c:v>8.6763600000000007</c:v>
                </c:pt>
                <c:pt idx="32">
                  <c:v>8.1212799999999987</c:v>
                </c:pt>
                <c:pt idx="34">
                  <c:v>8.6172500000000003</c:v>
                </c:pt>
                <c:pt idx="35">
                  <c:v>3.484394275672134</c:v>
                </c:pt>
                <c:pt idx="36">
                  <c:v>2.59294</c:v>
                </c:pt>
                <c:pt idx="37">
                  <c:v>4.9077999999999999</c:v>
                </c:pt>
              </c:numCache>
            </c:numRef>
          </c:val>
          <c:smooth val="0"/>
        </c:ser>
        <c:dLbls>
          <c:showLegendKey val="0"/>
          <c:showVal val="0"/>
          <c:showCatName val="0"/>
          <c:showSerName val="0"/>
          <c:showPercent val="0"/>
          <c:showBubbleSize val="0"/>
        </c:dLbls>
        <c:marker val="1"/>
        <c:smooth val="0"/>
        <c:axId val="410169296"/>
        <c:axId val="410169688"/>
      </c:lineChart>
      <c:lineChart>
        <c:grouping val="standard"/>
        <c:varyColors val="0"/>
        <c:ser>
          <c:idx val="1"/>
          <c:order val="2"/>
          <c:tx>
            <c:strRef>
              <c:f>Preschool_attendance!$D$4</c:f>
              <c:strCache>
                <c:ptCount val="1"/>
                <c:pt idx="0">
                  <c:v>OECD 2013</c:v>
                </c:pt>
              </c:strCache>
            </c:strRef>
          </c:tx>
          <c:spPr>
            <a:ln w="19050">
              <a:solidFill>
                <a:sysClr val="windowText" lastClr="000000"/>
              </a:solidFill>
              <a:prstDash val="sysDash"/>
            </a:ln>
          </c:spPr>
          <c:marker>
            <c:symbol val="none"/>
          </c:marker>
          <c:cat>
            <c:strRef>
              <c:f>Preschool_attendance!$A$5:$A$42</c:f>
              <c:strCache>
                <c:ptCount val="38"/>
                <c:pt idx="0">
                  <c:v>DK</c:v>
                </c:pt>
                <c:pt idx="1">
                  <c:v>IS</c:v>
                </c:pt>
                <c:pt idx="2">
                  <c:v>MT</c:v>
                </c:pt>
                <c:pt idx="3">
                  <c:v>NL</c:v>
                </c:pt>
                <c:pt idx="4">
                  <c:v>NO</c:v>
                </c:pt>
                <c:pt idx="5">
                  <c:v>LU</c:v>
                </c:pt>
                <c:pt idx="6">
                  <c:v>FR</c:v>
                </c:pt>
                <c:pt idx="7">
                  <c:v>BE</c:v>
                </c:pt>
                <c:pt idx="8">
                  <c:v>SE</c:v>
                </c:pt>
                <c:pt idx="9">
                  <c:v>SI</c:v>
                </c:pt>
                <c:pt idx="10">
                  <c:v>PT</c:v>
                </c:pt>
                <c:pt idx="11">
                  <c:v>NZ</c:v>
                </c:pt>
                <c:pt idx="12">
                  <c:v>CH</c:v>
                </c:pt>
                <c:pt idx="13">
                  <c:v>ES</c:v>
                </c:pt>
                <c:pt idx="14">
                  <c:v>UK</c:v>
                </c:pt>
                <c:pt idx="15">
                  <c:v>KR</c:v>
                </c:pt>
                <c:pt idx="16">
                  <c:v>AU</c:v>
                </c:pt>
                <c:pt idx="17">
                  <c:v>IE</c:v>
                </c:pt>
                <c:pt idx="18">
                  <c:v>DE</c:v>
                </c:pt>
                <c:pt idx="19">
                  <c:v>US</c:v>
                </c:pt>
                <c:pt idx="20">
                  <c:v>FI</c:v>
                </c:pt>
                <c:pt idx="21">
                  <c:v>JP</c:v>
                </c:pt>
                <c:pt idx="22">
                  <c:v>CY</c:v>
                </c:pt>
                <c:pt idx="23">
                  <c:v>EE</c:v>
                </c:pt>
                <c:pt idx="24">
                  <c:v>LV</c:v>
                </c:pt>
                <c:pt idx="25">
                  <c:v>IT</c:v>
                </c:pt>
                <c:pt idx="26">
                  <c:v>AT</c:v>
                </c:pt>
                <c:pt idx="27">
                  <c:v>CL</c:v>
                </c:pt>
                <c:pt idx="28">
                  <c:v>GR</c:v>
                </c:pt>
                <c:pt idx="29">
                  <c:v>HU</c:v>
                </c:pt>
                <c:pt idx="30">
                  <c:v>RO</c:v>
                </c:pt>
                <c:pt idx="31">
                  <c:v>BG</c:v>
                </c:pt>
                <c:pt idx="32">
                  <c:v>LT</c:v>
                </c:pt>
                <c:pt idx="33">
                  <c:v>HR</c:v>
                </c:pt>
                <c:pt idx="34">
                  <c:v>PL</c:v>
                </c:pt>
                <c:pt idx="35">
                  <c:v>MX</c:v>
                </c:pt>
                <c:pt idx="36">
                  <c:v>CZ</c:v>
                </c:pt>
                <c:pt idx="37">
                  <c:v>SK</c:v>
                </c:pt>
              </c:strCache>
            </c:strRef>
          </c:cat>
          <c:val>
            <c:numRef>
              <c:f>Preschool_attendance!$D$5:$D$42</c:f>
              <c:numCache>
                <c:formatCode>General</c:formatCode>
                <c:ptCount val="38"/>
                <c:pt idx="0">
                  <c:v>32.91949141555223</c:v>
                </c:pt>
                <c:pt idx="1">
                  <c:v>32.91949141555223</c:v>
                </c:pt>
                <c:pt idx="2">
                  <c:v>32.91949141555223</c:v>
                </c:pt>
                <c:pt idx="3">
                  <c:v>32.91949141555223</c:v>
                </c:pt>
                <c:pt idx="4">
                  <c:v>32.91949141555223</c:v>
                </c:pt>
                <c:pt idx="5">
                  <c:v>32.91949141555223</c:v>
                </c:pt>
                <c:pt idx="6">
                  <c:v>32.91949141555223</c:v>
                </c:pt>
                <c:pt idx="7">
                  <c:v>32.91949141555223</c:v>
                </c:pt>
                <c:pt idx="8">
                  <c:v>32.91949141555223</c:v>
                </c:pt>
                <c:pt idx="9">
                  <c:v>32.91949141555223</c:v>
                </c:pt>
                <c:pt idx="10">
                  <c:v>32.91949141555223</c:v>
                </c:pt>
                <c:pt idx="11">
                  <c:v>32.91949141555223</c:v>
                </c:pt>
                <c:pt idx="12">
                  <c:v>32.91949141555223</c:v>
                </c:pt>
                <c:pt idx="13">
                  <c:v>32.91949141555223</c:v>
                </c:pt>
                <c:pt idx="14">
                  <c:v>32.91949141555223</c:v>
                </c:pt>
                <c:pt idx="15">
                  <c:v>32.91949141555223</c:v>
                </c:pt>
                <c:pt idx="16">
                  <c:v>32.91949141555223</c:v>
                </c:pt>
                <c:pt idx="17">
                  <c:v>32.91949141555223</c:v>
                </c:pt>
                <c:pt idx="18">
                  <c:v>32.91949141555223</c:v>
                </c:pt>
                <c:pt idx="19">
                  <c:v>32.91949141555223</c:v>
                </c:pt>
                <c:pt idx="20">
                  <c:v>32.91949141555223</c:v>
                </c:pt>
                <c:pt idx="21">
                  <c:v>32.91949141555223</c:v>
                </c:pt>
                <c:pt idx="22">
                  <c:v>32.91949141555223</c:v>
                </c:pt>
                <c:pt idx="23">
                  <c:v>32.91949141555223</c:v>
                </c:pt>
                <c:pt idx="24">
                  <c:v>32.91949141555223</c:v>
                </c:pt>
                <c:pt idx="25">
                  <c:v>32.91949141555223</c:v>
                </c:pt>
                <c:pt idx="26">
                  <c:v>32.91949141555223</c:v>
                </c:pt>
                <c:pt idx="27">
                  <c:v>32.91949141555223</c:v>
                </c:pt>
                <c:pt idx="28">
                  <c:v>32.91949141555223</c:v>
                </c:pt>
                <c:pt idx="29">
                  <c:v>32.91949141555223</c:v>
                </c:pt>
                <c:pt idx="30">
                  <c:v>32.91949141555223</c:v>
                </c:pt>
                <c:pt idx="31">
                  <c:v>32.91949141555223</c:v>
                </c:pt>
                <c:pt idx="32">
                  <c:v>32.91949141555223</c:v>
                </c:pt>
                <c:pt idx="33">
                  <c:v>32.91949141555223</c:v>
                </c:pt>
                <c:pt idx="34">
                  <c:v>32.91949141555223</c:v>
                </c:pt>
                <c:pt idx="35">
                  <c:v>32.91949141555223</c:v>
                </c:pt>
                <c:pt idx="36">
                  <c:v>32.91949141555223</c:v>
                </c:pt>
                <c:pt idx="37">
                  <c:v>32.91949141555223</c:v>
                </c:pt>
              </c:numCache>
            </c:numRef>
          </c:val>
          <c:smooth val="0"/>
        </c:ser>
        <c:dLbls>
          <c:showLegendKey val="0"/>
          <c:showVal val="0"/>
          <c:showCatName val="0"/>
          <c:showSerName val="0"/>
          <c:showPercent val="0"/>
          <c:showBubbleSize val="0"/>
        </c:dLbls>
        <c:marker val="1"/>
        <c:smooth val="0"/>
        <c:axId val="410170472"/>
        <c:axId val="410170080"/>
      </c:lineChart>
      <c:catAx>
        <c:axId val="410169296"/>
        <c:scaling>
          <c:orientation val="minMax"/>
        </c:scaling>
        <c:delete val="0"/>
        <c:axPos val="b"/>
        <c:numFmt formatCode="General" sourceLinked="1"/>
        <c:majorTickMark val="out"/>
        <c:minorTickMark val="none"/>
        <c:tickLblPos val="nextTo"/>
        <c:txPr>
          <a:bodyPr rot="-5400000" vert="horz"/>
          <a:lstStyle/>
          <a:p>
            <a:pPr>
              <a:defRPr sz="400"/>
            </a:pPr>
            <a:endParaRPr lang="sk-SK"/>
          </a:p>
        </c:txPr>
        <c:crossAx val="410169688"/>
        <c:crosses val="autoZero"/>
        <c:auto val="1"/>
        <c:lblAlgn val="ctr"/>
        <c:lblOffset val="100"/>
        <c:noMultiLvlLbl val="0"/>
      </c:catAx>
      <c:valAx>
        <c:axId val="410169688"/>
        <c:scaling>
          <c:orientation val="minMax"/>
        </c:scaling>
        <c:delete val="0"/>
        <c:axPos val="l"/>
        <c:majorGridlines>
          <c:spPr>
            <a:ln>
              <a:solidFill>
                <a:sysClr val="window" lastClr="FFFFFF">
                  <a:lumMod val="75000"/>
                </a:sysClr>
              </a:solidFill>
              <a:prstDash val="dash"/>
            </a:ln>
          </c:spPr>
        </c:majorGridlines>
        <c:numFmt formatCode="0" sourceLinked="0"/>
        <c:majorTickMark val="out"/>
        <c:minorTickMark val="none"/>
        <c:tickLblPos val="nextTo"/>
        <c:spPr>
          <a:ln>
            <a:noFill/>
          </a:ln>
        </c:spPr>
        <c:crossAx val="410169296"/>
        <c:crosses val="autoZero"/>
        <c:crossBetween val="between"/>
      </c:valAx>
      <c:valAx>
        <c:axId val="410170080"/>
        <c:scaling>
          <c:orientation val="minMax"/>
          <c:max val="80"/>
        </c:scaling>
        <c:delete val="1"/>
        <c:axPos val="r"/>
        <c:numFmt formatCode="General" sourceLinked="1"/>
        <c:majorTickMark val="out"/>
        <c:minorTickMark val="none"/>
        <c:tickLblPos val="nextTo"/>
        <c:crossAx val="410170472"/>
        <c:crosses val="max"/>
        <c:crossBetween val="between"/>
      </c:valAx>
      <c:catAx>
        <c:axId val="410170472"/>
        <c:scaling>
          <c:orientation val="minMax"/>
        </c:scaling>
        <c:delete val="1"/>
        <c:axPos val="b"/>
        <c:numFmt formatCode="General" sourceLinked="1"/>
        <c:majorTickMark val="out"/>
        <c:minorTickMark val="none"/>
        <c:tickLblPos val="nextTo"/>
        <c:crossAx val="410170080"/>
        <c:crosses val="autoZero"/>
        <c:auto val="1"/>
        <c:lblAlgn val="ctr"/>
        <c:lblOffset val="100"/>
        <c:noMultiLvlLbl val="0"/>
      </c:catAx>
      <c:spPr>
        <a:noFill/>
        <a:ln w="25400">
          <a:noFill/>
        </a:ln>
      </c:spPr>
    </c:plotArea>
    <c:legend>
      <c:legendPos val="r"/>
      <c:layout>
        <c:manualLayout>
          <c:xMode val="edge"/>
          <c:yMode val="edge"/>
          <c:x val="7.7777891399938695E-2"/>
          <c:y val="3.8517731942146603E-2"/>
          <c:w val="0.85211854768154005"/>
          <c:h val="9.4406532516768699E-2"/>
        </c:manualLayout>
      </c:layout>
      <c:overlay val="0"/>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080274512491275E-2"/>
          <c:y val="5.2956751985878202E-2"/>
          <c:w val="0.87118805543066402"/>
          <c:h val="0.87756139225176455"/>
        </c:manualLayout>
      </c:layout>
      <c:barChart>
        <c:barDir val="col"/>
        <c:grouping val="stacked"/>
        <c:varyColors val="0"/>
        <c:ser>
          <c:idx val="0"/>
          <c:order val="0"/>
          <c:tx>
            <c:strRef>
              <c:f>graf!$D$1</c:f>
              <c:strCache>
                <c:ptCount val="1"/>
                <c:pt idx="0">
                  <c:v>dieťa</c:v>
                </c:pt>
              </c:strCache>
            </c:strRef>
          </c:tx>
          <c:spPr>
            <a:solidFill>
              <a:sysClr val="windowText" lastClr="000000">
                <a:lumMod val="75000"/>
                <a:lumOff val="25000"/>
              </a:sysClr>
            </a:solidFill>
            <a:ln>
              <a:solidFill>
                <a:sysClr val="windowText" lastClr="000000">
                  <a:lumMod val="75000"/>
                  <a:lumOff val="25000"/>
                </a:sysClr>
              </a:solidFill>
            </a:ln>
            <a:effectLst/>
          </c:spPr>
          <c:invertIfNegative val="0"/>
          <c:dPt>
            <c:idx val="12"/>
            <c:invertIfNegative val="0"/>
            <c:bubble3D val="0"/>
            <c:spPr>
              <a:solidFill>
                <a:sysClr val="windowText" lastClr="000000">
                  <a:lumMod val="50000"/>
                  <a:lumOff val="50000"/>
                </a:sysClr>
              </a:solidFill>
              <a:ln>
                <a:solidFill>
                  <a:sysClr val="windowText" lastClr="000000">
                    <a:lumMod val="50000"/>
                    <a:lumOff val="50000"/>
                  </a:sysClr>
                </a:solidFill>
              </a:ln>
              <a:effectLst/>
            </c:spPr>
          </c:dPt>
          <c:cat>
            <c:strRef>
              <c:f>graf!$C$2:$C$37</c:f>
              <c:strCache>
                <c:ptCount val="36"/>
                <c:pt idx="0">
                  <c:v>KR</c:v>
                </c:pt>
                <c:pt idx="1">
                  <c:v>TR</c:v>
                </c:pt>
                <c:pt idx="2">
                  <c:v>LV</c:v>
                </c:pt>
                <c:pt idx="3">
                  <c:v>CZ</c:v>
                </c:pt>
                <c:pt idx="4">
                  <c:v>JP</c:v>
                </c:pt>
                <c:pt idx="5">
                  <c:v>EE</c:v>
                </c:pt>
                <c:pt idx="6">
                  <c:v>IE</c:v>
                </c:pt>
                <c:pt idx="7">
                  <c:v>UK</c:v>
                </c:pt>
                <c:pt idx="8">
                  <c:v>SE</c:v>
                </c:pt>
                <c:pt idx="9">
                  <c:v>MT</c:v>
                </c:pt>
                <c:pt idx="10">
                  <c:v>PT</c:v>
                </c:pt>
                <c:pt idx="11">
                  <c:v>CH</c:v>
                </c:pt>
                <c:pt idx="12">
                  <c:v>SK</c:v>
                </c:pt>
                <c:pt idx="13">
                  <c:v>SI</c:v>
                </c:pt>
                <c:pt idx="14">
                  <c:v>FI</c:v>
                </c:pt>
                <c:pt idx="15">
                  <c:v>CA</c:v>
                </c:pt>
                <c:pt idx="16">
                  <c:v>DK</c:v>
                </c:pt>
                <c:pt idx="17">
                  <c:v>ES</c:v>
                </c:pt>
                <c:pt idx="18">
                  <c:v>IL</c:v>
                </c:pt>
                <c:pt idx="19">
                  <c:v>IS</c:v>
                </c:pt>
                <c:pt idx="20">
                  <c:v>IT</c:v>
                </c:pt>
                <c:pt idx="21">
                  <c:v>NE</c:v>
                </c:pt>
                <c:pt idx="22">
                  <c:v>NO</c:v>
                </c:pt>
                <c:pt idx="23">
                  <c:v>BG</c:v>
                </c:pt>
                <c:pt idx="24">
                  <c:v>PL</c:v>
                </c:pt>
                <c:pt idx="25">
                  <c:v>GR</c:v>
                </c:pt>
                <c:pt idx="26">
                  <c:v>BE</c:v>
                </c:pt>
                <c:pt idx="27">
                  <c:v>LU</c:v>
                </c:pt>
                <c:pt idx="28">
                  <c:v>LT</c:v>
                </c:pt>
                <c:pt idx="29">
                  <c:v>NZ</c:v>
                </c:pt>
                <c:pt idx="30">
                  <c:v>RO</c:v>
                </c:pt>
                <c:pt idx="31">
                  <c:v>HU</c:v>
                </c:pt>
                <c:pt idx="32">
                  <c:v>DE</c:v>
                </c:pt>
                <c:pt idx="33">
                  <c:v>FR</c:v>
                </c:pt>
                <c:pt idx="34">
                  <c:v>AT</c:v>
                </c:pt>
                <c:pt idx="35">
                  <c:v>AU</c:v>
                </c:pt>
              </c:strCache>
            </c:strRef>
          </c:cat>
          <c:val>
            <c:numRef>
              <c:f>graf!$D$2:$D$37</c:f>
              <c:numCache>
                <c:formatCode>General</c:formatCode>
                <c:ptCount val="36"/>
                <c:pt idx="2">
                  <c:v>14</c:v>
                </c:pt>
                <c:pt idx="3">
                  <c:v>14</c:v>
                </c:pt>
                <c:pt idx="4">
                  <c:v>15</c:v>
                </c:pt>
                <c:pt idx="5">
                  <c:v>15</c:v>
                </c:pt>
                <c:pt idx="6">
                  <c:v>15</c:v>
                </c:pt>
                <c:pt idx="7">
                  <c:v>15</c:v>
                </c:pt>
                <c:pt idx="8">
                  <c:v>15</c:v>
                </c:pt>
                <c:pt idx="9">
                  <c:v>15</c:v>
                </c:pt>
                <c:pt idx="10">
                  <c:v>15</c:v>
                </c:pt>
                <c:pt idx="11">
                  <c:v>15</c:v>
                </c:pt>
                <c:pt idx="12">
                  <c:v>15</c:v>
                </c:pt>
                <c:pt idx="13">
                  <c:v>15</c:v>
                </c:pt>
                <c:pt idx="14">
                  <c:v>16</c:v>
                </c:pt>
                <c:pt idx="15">
                  <c:v>17</c:v>
                </c:pt>
                <c:pt idx="16">
                  <c:v>17</c:v>
                </c:pt>
                <c:pt idx="17">
                  <c:v>17</c:v>
                </c:pt>
                <c:pt idx="18">
                  <c:v>17</c:v>
                </c:pt>
                <c:pt idx="19">
                  <c:v>17</c:v>
                </c:pt>
                <c:pt idx="20">
                  <c:v>17</c:v>
                </c:pt>
                <c:pt idx="21">
                  <c:v>17</c:v>
                </c:pt>
                <c:pt idx="22">
                  <c:v>17</c:v>
                </c:pt>
                <c:pt idx="23">
                  <c:v>17</c:v>
                </c:pt>
                <c:pt idx="24">
                  <c:v>17</c:v>
                </c:pt>
                <c:pt idx="25">
                  <c:v>17</c:v>
                </c:pt>
                <c:pt idx="26">
                  <c:v>17</c:v>
                </c:pt>
                <c:pt idx="27">
                  <c:v>17</c:v>
                </c:pt>
                <c:pt idx="28">
                  <c:v>18</c:v>
                </c:pt>
                <c:pt idx="29">
                  <c:v>18</c:v>
                </c:pt>
                <c:pt idx="30">
                  <c:v>18</c:v>
                </c:pt>
                <c:pt idx="31">
                  <c:v>18</c:v>
                </c:pt>
                <c:pt idx="32">
                  <c:v>18</c:v>
                </c:pt>
                <c:pt idx="33">
                  <c:v>19</c:v>
                </c:pt>
                <c:pt idx="34">
                  <c:v>19</c:v>
                </c:pt>
                <c:pt idx="35">
                  <c:v>20</c:v>
                </c:pt>
              </c:numCache>
            </c:numRef>
          </c:val>
        </c:ser>
        <c:ser>
          <c:idx val="2"/>
          <c:order val="2"/>
          <c:tx>
            <c:strRef>
              <c:f>graf!$F$1</c:f>
              <c:strCache>
                <c:ptCount val="1"/>
                <c:pt idx="0">
                  <c:v>študent</c:v>
                </c:pt>
              </c:strCache>
            </c:strRef>
          </c:tx>
          <c:spPr>
            <a:solidFill>
              <a:sysClr val="window" lastClr="FFFFFF">
                <a:lumMod val="75000"/>
              </a:sysClr>
            </a:solidFill>
            <a:ln>
              <a:solidFill>
                <a:sysClr val="window" lastClr="FFFFFF">
                  <a:lumMod val="75000"/>
                </a:sysClr>
              </a:solidFill>
            </a:ln>
            <a:effectLst/>
          </c:spPr>
          <c:invertIfNegative val="0"/>
          <c:dPt>
            <c:idx val="12"/>
            <c:invertIfNegative val="0"/>
            <c:bubble3D val="0"/>
            <c:spPr>
              <a:solidFill>
                <a:sysClr val="window" lastClr="FFFFFF">
                  <a:lumMod val="85000"/>
                </a:sysClr>
              </a:solidFill>
              <a:ln>
                <a:solidFill>
                  <a:sysClr val="window" lastClr="FFFFFF">
                    <a:lumMod val="85000"/>
                  </a:sysClr>
                </a:solidFill>
              </a:ln>
              <a:effectLst/>
            </c:spPr>
          </c:dPt>
          <c:cat>
            <c:strRef>
              <c:f>graf!$C$2:$C$37</c:f>
              <c:strCache>
                <c:ptCount val="36"/>
                <c:pt idx="0">
                  <c:v>KR</c:v>
                </c:pt>
                <c:pt idx="1">
                  <c:v>TR</c:v>
                </c:pt>
                <c:pt idx="2">
                  <c:v>LV</c:v>
                </c:pt>
                <c:pt idx="3">
                  <c:v>CZ</c:v>
                </c:pt>
                <c:pt idx="4">
                  <c:v>JP</c:v>
                </c:pt>
                <c:pt idx="5">
                  <c:v>EE</c:v>
                </c:pt>
                <c:pt idx="6">
                  <c:v>IE</c:v>
                </c:pt>
                <c:pt idx="7">
                  <c:v>UK</c:v>
                </c:pt>
                <c:pt idx="8">
                  <c:v>SE</c:v>
                </c:pt>
                <c:pt idx="9">
                  <c:v>MT</c:v>
                </c:pt>
                <c:pt idx="10">
                  <c:v>PT</c:v>
                </c:pt>
                <c:pt idx="11">
                  <c:v>CH</c:v>
                </c:pt>
                <c:pt idx="12">
                  <c:v>SK</c:v>
                </c:pt>
                <c:pt idx="13">
                  <c:v>SI</c:v>
                </c:pt>
                <c:pt idx="14">
                  <c:v>FI</c:v>
                </c:pt>
                <c:pt idx="15">
                  <c:v>CA</c:v>
                </c:pt>
                <c:pt idx="16">
                  <c:v>DK</c:v>
                </c:pt>
                <c:pt idx="17">
                  <c:v>ES</c:v>
                </c:pt>
                <c:pt idx="18">
                  <c:v>IL</c:v>
                </c:pt>
                <c:pt idx="19">
                  <c:v>IS</c:v>
                </c:pt>
                <c:pt idx="20">
                  <c:v>IT</c:v>
                </c:pt>
                <c:pt idx="21">
                  <c:v>NE</c:v>
                </c:pt>
                <c:pt idx="22">
                  <c:v>NO</c:v>
                </c:pt>
                <c:pt idx="23">
                  <c:v>BG</c:v>
                </c:pt>
                <c:pt idx="24">
                  <c:v>PL</c:v>
                </c:pt>
                <c:pt idx="25">
                  <c:v>GR</c:v>
                </c:pt>
                <c:pt idx="26">
                  <c:v>BE</c:v>
                </c:pt>
                <c:pt idx="27">
                  <c:v>LU</c:v>
                </c:pt>
                <c:pt idx="28">
                  <c:v>LT</c:v>
                </c:pt>
                <c:pt idx="29">
                  <c:v>NZ</c:v>
                </c:pt>
                <c:pt idx="30">
                  <c:v>RO</c:v>
                </c:pt>
                <c:pt idx="31">
                  <c:v>HU</c:v>
                </c:pt>
                <c:pt idx="32">
                  <c:v>DE</c:v>
                </c:pt>
                <c:pt idx="33">
                  <c:v>FR</c:v>
                </c:pt>
                <c:pt idx="34">
                  <c:v>AT</c:v>
                </c:pt>
                <c:pt idx="35">
                  <c:v>AU</c:v>
                </c:pt>
              </c:strCache>
            </c:strRef>
          </c:cat>
          <c:val>
            <c:numRef>
              <c:f>graf!$F$2:$F$37</c:f>
              <c:numCache>
                <c:formatCode>General</c:formatCode>
                <c:ptCount val="36"/>
                <c:pt idx="2">
                  <c:v>4</c:v>
                </c:pt>
                <c:pt idx="3">
                  <c:v>11</c:v>
                </c:pt>
                <c:pt idx="4">
                  <c:v>0</c:v>
                </c:pt>
                <c:pt idx="5">
                  <c:v>3</c:v>
                </c:pt>
                <c:pt idx="6">
                  <c:v>3</c:v>
                </c:pt>
                <c:pt idx="7">
                  <c:v>3</c:v>
                </c:pt>
                <c:pt idx="8">
                  <c:v>4</c:v>
                </c:pt>
                <c:pt idx="9">
                  <c:v>5</c:v>
                </c:pt>
                <c:pt idx="10">
                  <c:v>8</c:v>
                </c:pt>
                <c:pt idx="11">
                  <c:v>9</c:v>
                </c:pt>
                <c:pt idx="12">
                  <c:v>10</c:v>
                </c:pt>
                <c:pt idx="13">
                  <c:v>10</c:v>
                </c:pt>
                <c:pt idx="14">
                  <c:v>0</c:v>
                </c:pt>
                <c:pt idx="15">
                  <c:v>0</c:v>
                </c:pt>
                <c:pt idx="16">
                  <c:v>0</c:v>
                </c:pt>
                <c:pt idx="17">
                  <c:v>0</c:v>
                </c:pt>
                <c:pt idx="18">
                  <c:v>0</c:v>
                </c:pt>
                <c:pt idx="19">
                  <c:v>0</c:v>
                </c:pt>
                <c:pt idx="20">
                  <c:v>0</c:v>
                </c:pt>
                <c:pt idx="21">
                  <c:v>0</c:v>
                </c:pt>
                <c:pt idx="22">
                  <c:v>0</c:v>
                </c:pt>
                <c:pt idx="23">
                  <c:v>2</c:v>
                </c:pt>
                <c:pt idx="24">
                  <c:v>3</c:v>
                </c:pt>
                <c:pt idx="25">
                  <c:v>4</c:v>
                </c:pt>
                <c:pt idx="26">
                  <c:v>7</c:v>
                </c:pt>
                <c:pt idx="27">
                  <c:v>9</c:v>
                </c:pt>
                <c:pt idx="28">
                  <c:v>0</c:v>
                </c:pt>
                <c:pt idx="29">
                  <c:v>0</c:v>
                </c:pt>
                <c:pt idx="30">
                  <c:v>0</c:v>
                </c:pt>
                <c:pt idx="31">
                  <c:v>4</c:v>
                </c:pt>
                <c:pt idx="32">
                  <c:v>7</c:v>
                </c:pt>
                <c:pt idx="33">
                  <c:v>0</c:v>
                </c:pt>
                <c:pt idx="34">
                  <c:v>8</c:v>
                </c:pt>
                <c:pt idx="35">
                  <c:v>4</c:v>
                </c:pt>
              </c:numCache>
            </c:numRef>
          </c:val>
        </c:ser>
        <c:dLbls>
          <c:showLegendKey val="0"/>
          <c:showVal val="0"/>
          <c:showCatName val="0"/>
          <c:showSerName val="0"/>
          <c:showPercent val="0"/>
          <c:showBubbleSize val="0"/>
        </c:dLbls>
        <c:gapWidth val="150"/>
        <c:overlap val="100"/>
        <c:axId val="410171648"/>
        <c:axId val="410172040"/>
        <c:extLst>
          <c:ext xmlns:c15="http://schemas.microsoft.com/office/drawing/2012/chart" uri="{02D57815-91ED-43cb-92C2-25804820EDAC}">
            <c15:filteredBarSeries>
              <c15:ser>
                <c:idx val="1"/>
                <c:order val="1"/>
                <c:tx>
                  <c:strRef>
                    <c:extLst>
                      <c:ext uri="{02D57815-91ED-43cb-92C2-25804820EDAC}">
                        <c15:formulaRef>
                          <c15:sqref>graf!$E$1</c15:sqref>
                        </c15:formulaRef>
                      </c:ext>
                    </c:extLst>
                    <c:strCache>
                      <c:ptCount val="1"/>
                      <c:pt idx="0">
                        <c:v>študent</c:v>
                      </c:pt>
                    </c:strCache>
                  </c:strRef>
                </c:tx>
                <c:spPr>
                  <a:solidFill>
                    <a:schemeClr val="accent2"/>
                  </a:solidFill>
                  <a:ln>
                    <a:noFill/>
                  </a:ln>
                  <a:effectLst/>
                </c:spPr>
                <c:invertIfNegative val="0"/>
                <c:cat>
                  <c:strRef>
                    <c:extLst>
                      <c:ext uri="{02D57815-91ED-43cb-92C2-25804820EDAC}">
                        <c15:formulaRef>
                          <c15:sqref>graf!$C$2:$C$37</c15:sqref>
                        </c15:formulaRef>
                      </c:ext>
                    </c:extLst>
                    <c:strCache>
                      <c:ptCount val="36"/>
                      <c:pt idx="0">
                        <c:v>KR</c:v>
                      </c:pt>
                      <c:pt idx="1">
                        <c:v>TR</c:v>
                      </c:pt>
                      <c:pt idx="2">
                        <c:v>LV</c:v>
                      </c:pt>
                      <c:pt idx="3">
                        <c:v>CZ</c:v>
                      </c:pt>
                      <c:pt idx="4">
                        <c:v>JP</c:v>
                      </c:pt>
                      <c:pt idx="5">
                        <c:v>EE</c:v>
                      </c:pt>
                      <c:pt idx="6">
                        <c:v>IE</c:v>
                      </c:pt>
                      <c:pt idx="7">
                        <c:v>UK</c:v>
                      </c:pt>
                      <c:pt idx="8">
                        <c:v>SE</c:v>
                      </c:pt>
                      <c:pt idx="9">
                        <c:v>MT</c:v>
                      </c:pt>
                      <c:pt idx="10">
                        <c:v>PT</c:v>
                      </c:pt>
                      <c:pt idx="11">
                        <c:v>CH</c:v>
                      </c:pt>
                      <c:pt idx="12">
                        <c:v>SK</c:v>
                      </c:pt>
                      <c:pt idx="13">
                        <c:v>SI</c:v>
                      </c:pt>
                      <c:pt idx="14">
                        <c:v>FI</c:v>
                      </c:pt>
                      <c:pt idx="15">
                        <c:v>CA</c:v>
                      </c:pt>
                      <c:pt idx="16">
                        <c:v>DK</c:v>
                      </c:pt>
                      <c:pt idx="17">
                        <c:v>ES</c:v>
                      </c:pt>
                      <c:pt idx="18">
                        <c:v>IL</c:v>
                      </c:pt>
                      <c:pt idx="19">
                        <c:v>IS</c:v>
                      </c:pt>
                      <c:pt idx="20">
                        <c:v>IT</c:v>
                      </c:pt>
                      <c:pt idx="21">
                        <c:v>NE</c:v>
                      </c:pt>
                      <c:pt idx="22">
                        <c:v>NO</c:v>
                      </c:pt>
                      <c:pt idx="23">
                        <c:v>BG</c:v>
                      </c:pt>
                      <c:pt idx="24">
                        <c:v>PL</c:v>
                      </c:pt>
                      <c:pt idx="25">
                        <c:v>GR</c:v>
                      </c:pt>
                      <c:pt idx="26">
                        <c:v>BE</c:v>
                      </c:pt>
                      <c:pt idx="27">
                        <c:v>LU</c:v>
                      </c:pt>
                      <c:pt idx="28">
                        <c:v>LT</c:v>
                      </c:pt>
                      <c:pt idx="29">
                        <c:v>NZ</c:v>
                      </c:pt>
                      <c:pt idx="30">
                        <c:v>RO</c:v>
                      </c:pt>
                      <c:pt idx="31">
                        <c:v>HU</c:v>
                      </c:pt>
                      <c:pt idx="32">
                        <c:v>DE</c:v>
                      </c:pt>
                      <c:pt idx="33">
                        <c:v>FR</c:v>
                      </c:pt>
                      <c:pt idx="34">
                        <c:v>AT</c:v>
                      </c:pt>
                      <c:pt idx="35">
                        <c:v>AU</c:v>
                      </c:pt>
                    </c:strCache>
                  </c:strRef>
                </c:cat>
                <c:val>
                  <c:numRef>
                    <c:extLst>
                      <c:ext uri="{02D57815-91ED-43cb-92C2-25804820EDAC}">
                        <c15:formulaRef>
                          <c15:sqref>graf!$E$2:$E$37</c15:sqref>
                        </c15:formulaRef>
                      </c:ext>
                    </c:extLst>
                    <c:numCache>
                      <c:formatCode>General</c:formatCode>
                      <c:ptCount val="36"/>
                      <c:pt idx="2">
                        <c:v>18</c:v>
                      </c:pt>
                      <c:pt idx="3">
                        <c:v>25</c:v>
                      </c:pt>
                      <c:pt idx="5">
                        <c:v>18</c:v>
                      </c:pt>
                      <c:pt idx="6">
                        <c:v>18</c:v>
                      </c:pt>
                      <c:pt idx="7">
                        <c:v>18</c:v>
                      </c:pt>
                      <c:pt idx="8">
                        <c:v>19</c:v>
                      </c:pt>
                      <c:pt idx="9">
                        <c:v>20</c:v>
                      </c:pt>
                      <c:pt idx="10">
                        <c:v>23</c:v>
                      </c:pt>
                      <c:pt idx="11">
                        <c:v>24</c:v>
                      </c:pt>
                      <c:pt idx="12">
                        <c:v>25</c:v>
                      </c:pt>
                      <c:pt idx="13">
                        <c:v>25</c:v>
                      </c:pt>
                      <c:pt idx="23">
                        <c:v>19</c:v>
                      </c:pt>
                      <c:pt idx="24">
                        <c:v>20</c:v>
                      </c:pt>
                      <c:pt idx="25">
                        <c:v>21</c:v>
                      </c:pt>
                      <c:pt idx="26">
                        <c:v>24</c:v>
                      </c:pt>
                      <c:pt idx="27">
                        <c:v>26</c:v>
                      </c:pt>
                      <c:pt idx="31">
                        <c:v>22</c:v>
                      </c:pt>
                      <c:pt idx="32">
                        <c:v>25</c:v>
                      </c:pt>
                      <c:pt idx="34">
                        <c:v>27</c:v>
                      </c:pt>
                      <c:pt idx="35">
                        <c:v>24</c:v>
                      </c:pt>
                    </c:numCache>
                  </c:numRef>
                </c:val>
              </c15:ser>
            </c15:filteredBarSeries>
          </c:ext>
        </c:extLst>
      </c:barChart>
      <c:catAx>
        <c:axId val="41017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410172040"/>
        <c:crosses val="autoZero"/>
        <c:auto val="1"/>
        <c:lblAlgn val="ctr"/>
        <c:lblOffset val="100"/>
        <c:noMultiLvlLbl val="0"/>
      </c:catAx>
      <c:valAx>
        <c:axId val="410172040"/>
        <c:scaling>
          <c:orientation val="minMax"/>
        </c:scaling>
        <c:delete val="0"/>
        <c:axPos val="l"/>
        <c:majorGridlines>
          <c:spPr>
            <a:ln w="9525" cap="flat" cmpd="sng" algn="ctr">
              <a:solidFill>
                <a:sysClr val="window" lastClr="FFFFFF">
                  <a:lumMod val="75000"/>
                </a:sys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410171648"/>
        <c:crosses val="autoZero"/>
        <c:crossBetween val="between"/>
      </c:valAx>
      <c:spPr>
        <a:noFill/>
        <a:ln>
          <a:noFill/>
        </a:ln>
        <a:effectLst/>
      </c:spPr>
    </c:plotArea>
    <c:legend>
      <c:legendPos val="b"/>
      <c:layout>
        <c:manualLayout>
          <c:xMode val="edge"/>
          <c:yMode val="edge"/>
          <c:x val="0.358171173485204"/>
          <c:y val="5.0607751700940298E-2"/>
          <c:w val="0.28634349840128298"/>
          <c:h val="0.13920676067300899"/>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sk-SK"/>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1"/>
          <c:order val="0"/>
          <c:dPt>
            <c:idx val="0"/>
            <c:bubble3D val="0"/>
            <c:spPr>
              <a:solidFill>
                <a:sysClr val="windowText" lastClr="000000">
                  <a:lumMod val="65000"/>
                  <a:lumOff val="35000"/>
                </a:sysClr>
              </a:solidFill>
              <a:ln w="19050">
                <a:solidFill>
                  <a:schemeClr val="lt1"/>
                </a:solidFill>
              </a:ln>
              <a:effectLst/>
            </c:spPr>
          </c:dPt>
          <c:dPt>
            <c:idx val="1"/>
            <c:bubble3D val="0"/>
            <c:spPr>
              <a:solidFill>
                <a:schemeClr val="bg1">
                  <a:lumMod val="50000"/>
                </a:schemeClr>
              </a:solidFill>
              <a:ln w="19050">
                <a:solidFill>
                  <a:schemeClr val="lt1"/>
                </a:solidFill>
              </a:ln>
              <a:effectLst/>
            </c:spPr>
          </c:dPt>
          <c:dPt>
            <c:idx val="2"/>
            <c:bubble3D val="0"/>
            <c:spPr>
              <a:solidFill>
                <a:sysClr val="windowText" lastClr="000000"/>
              </a:solidFill>
              <a:ln w="19050">
                <a:solidFill>
                  <a:sysClr val="window" lastClr="FFFFFF"/>
                </a:solidFill>
              </a:ln>
              <a:effectLst/>
            </c:spPr>
          </c:dPt>
          <c:dPt>
            <c:idx val="3"/>
            <c:bubble3D val="0"/>
            <c:spPr>
              <a:solidFill>
                <a:sysClr val="window" lastClr="FFFFFF">
                  <a:lumMod val="95000"/>
                </a:sysClr>
              </a:solidFill>
              <a:ln w="19050">
                <a:solidFill>
                  <a:schemeClr val="lt1"/>
                </a:solidFill>
              </a:ln>
              <a:effectLst/>
            </c:spPr>
          </c:dPt>
          <c:dPt>
            <c:idx val="4"/>
            <c:bubble3D val="0"/>
            <c:spPr>
              <a:solidFill>
                <a:schemeClr val="bg1">
                  <a:lumMod val="85000"/>
                </a:schemeClr>
              </a:solidFill>
              <a:ln w="19050">
                <a:solidFill>
                  <a:schemeClr val="lt1"/>
                </a:solidFill>
              </a:ln>
              <a:effectLst/>
            </c:spPr>
          </c:dPt>
          <c:dLbls>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sk-SK"/>
                </a:p>
              </c:txPr>
              <c:dLblPos val="bestFit"/>
              <c:showLegendKey val="0"/>
              <c:showVal val="1"/>
              <c:showCatName val="0"/>
              <c:showSerName val="0"/>
              <c:showPercent val="0"/>
              <c:showBubbleSize val="0"/>
            </c:dLbl>
            <c:dLbl>
              <c:idx val="2"/>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sk-SK"/>
                </a:p>
              </c:txPr>
              <c:dLblPos val="bestFi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Hárok1!$A$2:$A$6</c:f>
              <c:strCache>
                <c:ptCount val="5"/>
                <c:pt idx="0">
                  <c:v>PP na osobnú asistenciu</c:v>
                </c:pt>
                <c:pt idx="1">
                  <c:v>PP na prepravu</c:v>
                </c:pt>
                <c:pt idx="2">
                  <c:v>PP na kompenzáciu zvýšených výdavkov</c:v>
                </c:pt>
                <c:pt idx="3">
                  <c:v>PP za opatrovanie</c:v>
                </c:pt>
                <c:pt idx="4">
                  <c:v>jednorazové PP</c:v>
                </c:pt>
              </c:strCache>
            </c:strRef>
          </c:cat>
          <c:val>
            <c:numRef>
              <c:f>Hárok1!$E$2:$E$6</c:f>
              <c:numCache>
                <c:formatCode>0.000</c:formatCode>
                <c:ptCount val="5"/>
                <c:pt idx="0" formatCode="General">
                  <c:v>44.506</c:v>
                </c:pt>
                <c:pt idx="1">
                  <c:v>3.08</c:v>
                </c:pt>
                <c:pt idx="2" formatCode="General">
                  <c:v>63.058</c:v>
                </c:pt>
                <c:pt idx="3" formatCode="General">
                  <c:v>92.364000000000004</c:v>
                </c:pt>
                <c:pt idx="4" formatCode="General">
                  <c:v>23.573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576889810481874"/>
          <c:y val="1.5021832264435271E-2"/>
          <c:w val="0.32426037492644383"/>
          <c:h val="0.86740795219016953"/>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sk-SK"/>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Data!$A$38</c:f>
              <c:strCache>
                <c:ptCount val="1"/>
                <c:pt idx="0">
                  <c:v>Slovensko</c:v>
                </c:pt>
              </c:strCache>
            </c:strRef>
          </c:tx>
          <c:spPr>
            <a:solidFill>
              <a:sysClr val="window" lastClr="FFFFFF">
                <a:lumMod val="85000"/>
              </a:sysClr>
            </a:solidFill>
            <a:ln>
              <a:solidFill>
                <a:sysClr val="window" lastClr="FFFFFF">
                  <a:lumMod val="85000"/>
                </a:sysClr>
              </a:solidFill>
            </a:ln>
            <a:effectLst/>
          </c:spPr>
          <c:invertIfNegative val="0"/>
          <c:val>
            <c:numRef>
              <c:f>Data!$B$38:$C$38</c:f>
              <c:numCache>
                <c:formatCode>#\ ##0.0</c:formatCode>
                <c:ptCount val="2"/>
                <c:pt idx="0">
                  <c:v>31.9</c:v>
                </c:pt>
                <c:pt idx="1">
                  <c:v>62.6</c:v>
                </c:pt>
              </c:numCache>
            </c:numRef>
          </c:val>
        </c:ser>
        <c:ser>
          <c:idx val="2"/>
          <c:order val="1"/>
          <c:tx>
            <c:strRef>
              <c:f>Data!$A$45</c:f>
              <c:strCache>
                <c:ptCount val="1"/>
                <c:pt idx="0">
                  <c:v>V3</c:v>
                </c:pt>
              </c:strCache>
            </c:strRef>
          </c:tx>
          <c:spPr>
            <a:solidFill>
              <a:sysClr val="windowText" lastClr="000000">
                <a:lumMod val="75000"/>
                <a:lumOff val="25000"/>
              </a:sysClr>
            </a:solidFill>
            <a:ln>
              <a:solidFill>
                <a:sysClr val="windowText" lastClr="000000">
                  <a:lumMod val="75000"/>
                  <a:lumOff val="25000"/>
                </a:sysClr>
              </a:solidFill>
            </a:ln>
            <a:effectLst/>
          </c:spPr>
          <c:invertIfNegative val="0"/>
          <c:val>
            <c:numRef>
              <c:f>Data!$B$45:$C$45</c:f>
              <c:numCache>
                <c:formatCode>0.0</c:formatCode>
                <c:ptCount val="2"/>
                <c:pt idx="0">
                  <c:v>32.066666666666627</c:v>
                </c:pt>
                <c:pt idx="1">
                  <c:v>64.5</c:v>
                </c:pt>
              </c:numCache>
            </c:numRef>
          </c:val>
        </c:ser>
        <c:ser>
          <c:idx val="0"/>
          <c:order val="2"/>
          <c:tx>
            <c:strRef>
              <c:f>Data!$A$13</c:f>
              <c:strCache>
                <c:ptCount val="1"/>
                <c:pt idx="0">
                  <c:v>EU</c:v>
                </c:pt>
              </c:strCache>
            </c:strRef>
          </c:tx>
          <c:spPr>
            <a:solidFill>
              <a:sysClr val="windowText" lastClr="000000">
                <a:lumMod val="50000"/>
                <a:lumOff val="50000"/>
              </a:sysClr>
            </a:solidFill>
            <a:ln>
              <a:solidFill>
                <a:sysClr val="windowText" lastClr="000000">
                  <a:lumMod val="50000"/>
                  <a:lumOff val="50000"/>
                </a:sysClr>
              </a:solidFill>
            </a:ln>
            <a:effectLst/>
          </c:spPr>
          <c:invertIfNegative val="0"/>
          <c:cat>
            <c:strRef>
              <c:f>Data!$B$12:$C$12</c:f>
              <c:strCache>
                <c:ptCount val="2"/>
                <c:pt idx="0">
                  <c:v>Určité zdravotné postihnutie</c:v>
                </c:pt>
                <c:pt idx="1">
                  <c:v>Bez postihnutia</c:v>
                </c:pt>
              </c:strCache>
            </c:strRef>
          </c:cat>
          <c:val>
            <c:numRef>
              <c:f>Data!$B$13:$C$13</c:f>
              <c:numCache>
                <c:formatCode>#\ ##0.0</c:formatCode>
                <c:ptCount val="2"/>
                <c:pt idx="0">
                  <c:v>47.3</c:v>
                </c:pt>
                <c:pt idx="1">
                  <c:v>66.900000000000006</c:v>
                </c:pt>
              </c:numCache>
            </c:numRef>
          </c:val>
        </c:ser>
        <c:dLbls>
          <c:showLegendKey val="0"/>
          <c:showVal val="0"/>
          <c:showCatName val="0"/>
          <c:showSerName val="0"/>
          <c:showPercent val="0"/>
          <c:showBubbleSize val="0"/>
        </c:dLbls>
        <c:gapWidth val="150"/>
        <c:axId val="410172824"/>
        <c:axId val="410173216"/>
      </c:barChart>
      <c:catAx>
        <c:axId val="410172824"/>
        <c:scaling>
          <c:orientation val="minMax"/>
        </c:scaling>
        <c:delete val="0"/>
        <c:axPos val="b"/>
        <c:numFmt formatCode="General" sourceLinked="1"/>
        <c:majorTickMark val="out"/>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410173216"/>
        <c:crosses val="autoZero"/>
        <c:auto val="1"/>
        <c:lblAlgn val="ctr"/>
        <c:lblOffset val="100"/>
        <c:noMultiLvlLbl val="0"/>
      </c:catAx>
      <c:valAx>
        <c:axId val="410173216"/>
        <c:scaling>
          <c:orientation val="minMax"/>
        </c:scaling>
        <c:delete val="0"/>
        <c:axPos val="l"/>
        <c:majorGridlines>
          <c:spPr>
            <a:ln w="9525" cap="flat" cmpd="sng" algn="ctr">
              <a:solidFill>
                <a:schemeClr val="bg1">
                  <a:lumMod val="7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410172824"/>
        <c:crosses val="autoZero"/>
        <c:crossBetween val="between"/>
      </c:valAx>
      <c:spPr>
        <a:noFill/>
        <a:ln>
          <a:noFill/>
        </a:ln>
        <a:effectLst/>
      </c:spPr>
    </c:plotArea>
    <c:legend>
      <c:legendPos val="t"/>
      <c:layout>
        <c:manualLayout>
          <c:xMode val="edge"/>
          <c:yMode val="edge"/>
          <c:x val="0.26997161452030799"/>
          <c:y val="7.40741354214762E-2"/>
          <c:w val="0.51724009838298501"/>
          <c:h val="7.4481991834354097E-2"/>
        </c:manualLayout>
      </c:layout>
      <c:overlay val="1"/>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no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sk-SK"/>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505955844189426E-2"/>
          <c:y val="0.20312414306420654"/>
          <c:w val="0.82307079234589597"/>
          <c:h val="0.69529958475339837"/>
        </c:manualLayout>
      </c:layout>
      <c:barChart>
        <c:barDir val="col"/>
        <c:grouping val="clustered"/>
        <c:varyColors val="0"/>
        <c:ser>
          <c:idx val="0"/>
          <c:order val="0"/>
          <c:tx>
            <c:strRef>
              <c:f>Hárok1!$P$22</c:f>
              <c:strCache>
                <c:ptCount val="1"/>
                <c:pt idx="0">
                  <c:v>2015 - ľavá os</c:v>
                </c:pt>
              </c:strCache>
            </c:strRef>
          </c:tx>
          <c:spPr>
            <a:solidFill>
              <a:sysClr val="windowText" lastClr="000000">
                <a:lumMod val="75000"/>
                <a:lumOff val="25000"/>
              </a:sysClr>
            </a:solidFill>
            <a:ln>
              <a:solidFill>
                <a:sysClr val="windowText" lastClr="000000">
                  <a:lumMod val="75000"/>
                  <a:lumOff val="25000"/>
                </a:sysClr>
              </a:solidFill>
            </a:ln>
          </c:spPr>
          <c:invertIfNegative val="0"/>
          <c:cat>
            <c:strRef>
              <c:f>Hárok1!$O$23:$O$27</c:f>
              <c:strCache>
                <c:ptCount val="5"/>
                <c:pt idx="0">
                  <c:v>SK</c:v>
                </c:pt>
                <c:pt idx="1">
                  <c:v>CZ</c:v>
                </c:pt>
                <c:pt idx="2">
                  <c:v>HU</c:v>
                </c:pt>
                <c:pt idx="3">
                  <c:v>PL</c:v>
                </c:pt>
                <c:pt idx="4">
                  <c:v>EÚ</c:v>
                </c:pt>
              </c:strCache>
            </c:strRef>
          </c:cat>
          <c:val>
            <c:numRef>
              <c:f>Hárok1!$P$23:$P$27</c:f>
              <c:numCache>
                <c:formatCode>General</c:formatCode>
                <c:ptCount val="5"/>
                <c:pt idx="0">
                  <c:v>7.6</c:v>
                </c:pt>
                <c:pt idx="1">
                  <c:v>2.4</c:v>
                </c:pt>
                <c:pt idx="2">
                  <c:v>3.1</c:v>
                </c:pt>
                <c:pt idx="3">
                  <c:v>3</c:v>
                </c:pt>
                <c:pt idx="4">
                  <c:v>4.5</c:v>
                </c:pt>
              </c:numCache>
            </c:numRef>
          </c:val>
        </c:ser>
        <c:ser>
          <c:idx val="2"/>
          <c:order val="1"/>
          <c:tx>
            <c:strRef>
              <c:f>Hárok1!$Q$22</c:f>
              <c:strCache>
                <c:ptCount val="1"/>
                <c:pt idx="0">
                  <c:v>2016 - ľavá os</c:v>
                </c:pt>
              </c:strCache>
            </c:strRef>
          </c:tx>
          <c:spPr>
            <a:solidFill>
              <a:sysClr val="window" lastClr="FFFFFF">
                <a:lumMod val="75000"/>
              </a:sysClr>
            </a:solidFill>
            <a:ln>
              <a:solidFill>
                <a:sysClr val="window" lastClr="FFFFFF">
                  <a:lumMod val="75000"/>
                </a:sysClr>
              </a:solidFill>
            </a:ln>
          </c:spPr>
          <c:invertIfNegative val="0"/>
          <c:cat>
            <c:strRef>
              <c:f>Hárok1!$O$23:$O$27</c:f>
              <c:strCache>
                <c:ptCount val="5"/>
                <c:pt idx="0">
                  <c:v>SK</c:v>
                </c:pt>
                <c:pt idx="1">
                  <c:v>CZ</c:v>
                </c:pt>
                <c:pt idx="2">
                  <c:v>HU</c:v>
                </c:pt>
                <c:pt idx="3">
                  <c:v>PL</c:v>
                </c:pt>
                <c:pt idx="4">
                  <c:v>EÚ</c:v>
                </c:pt>
              </c:strCache>
            </c:strRef>
          </c:cat>
          <c:val>
            <c:numRef>
              <c:f>Hárok1!$Q$23:$Q$27</c:f>
              <c:numCache>
                <c:formatCode>General</c:formatCode>
                <c:ptCount val="5"/>
                <c:pt idx="0">
                  <c:v>5.8</c:v>
                </c:pt>
                <c:pt idx="1">
                  <c:v>1.7</c:v>
                </c:pt>
                <c:pt idx="2">
                  <c:v>2.4</c:v>
                </c:pt>
                <c:pt idx="3">
                  <c:v>2.2000000000000002</c:v>
                </c:pt>
                <c:pt idx="4">
                  <c:v>4</c:v>
                </c:pt>
              </c:numCache>
            </c:numRef>
          </c:val>
        </c:ser>
        <c:dLbls>
          <c:showLegendKey val="0"/>
          <c:showVal val="0"/>
          <c:showCatName val="0"/>
          <c:showSerName val="0"/>
          <c:showPercent val="0"/>
          <c:showBubbleSize val="0"/>
        </c:dLbls>
        <c:gapWidth val="150"/>
        <c:axId val="410174000"/>
        <c:axId val="410174392"/>
      </c:barChart>
      <c:lineChart>
        <c:grouping val="standard"/>
        <c:varyColors val="0"/>
        <c:ser>
          <c:idx val="1"/>
          <c:order val="2"/>
          <c:tx>
            <c:strRef>
              <c:f>Hárok1!$R$22</c:f>
              <c:strCache>
                <c:ptCount val="1"/>
                <c:pt idx="0">
                  <c:v>% podiel na celk. miere nezamestnanosti (2015)</c:v>
                </c:pt>
              </c:strCache>
            </c:strRef>
          </c:tx>
          <c:spPr>
            <a:ln w="28575">
              <a:noFill/>
            </a:ln>
          </c:spPr>
          <c:marker>
            <c:symbol val="diamond"/>
            <c:size val="5"/>
            <c:spPr>
              <a:solidFill>
                <a:sysClr val="windowText" lastClr="000000"/>
              </a:solidFill>
              <a:ln>
                <a:solidFill>
                  <a:sysClr val="windowText" lastClr="000000"/>
                </a:solidFill>
              </a:ln>
            </c:spPr>
          </c:marker>
          <c:cat>
            <c:strRef>
              <c:f>Hárok1!$O$23:$O$27</c:f>
              <c:strCache>
                <c:ptCount val="5"/>
                <c:pt idx="0">
                  <c:v>SK</c:v>
                </c:pt>
                <c:pt idx="1">
                  <c:v>CZ</c:v>
                </c:pt>
                <c:pt idx="2">
                  <c:v>HU</c:v>
                </c:pt>
                <c:pt idx="3">
                  <c:v>PL</c:v>
                </c:pt>
                <c:pt idx="4">
                  <c:v>EÚ</c:v>
                </c:pt>
              </c:strCache>
            </c:strRef>
          </c:cat>
          <c:val>
            <c:numRef>
              <c:f>Hárok1!$R$23:$R$27</c:f>
              <c:numCache>
                <c:formatCode>0%</c:formatCode>
                <c:ptCount val="5"/>
                <c:pt idx="0">
                  <c:v>0.66086956521739104</c:v>
                </c:pt>
                <c:pt idx="1">
                  <c:v>0.47058823529411797</c:v>
                </c:pt>
                <c:pt idx="2">
                  <c:v>0.45588235294117602</c:v>
                </c:pt>
                <c:pt idx="3">
                  <c:v>0.4</c:v>
                </c:pt>
                <c:pt idx="4">
                  <c:v>0.47872340425531901</c:v>
                </c:pt>
              </c:numCache>
            </c:numRef>
          </c:val>
          <c:smooth val="0"/>
        </c:ser>
        <c:ser>
          <c:idx val="3"/>
          <c:order val="3"/>
          <c:tx>
            <c:strRef>
              <c:f>Hárok1!$S$22</c:f>
              <c:strCache>
                <c:ptCount val="1"/>
                <c:pt idx="0">
                  <c:v>% podiel na celk. miere nezamestnanosti (2016)</c:v>
                </c:pt>
              </c:strCache>
            </c:strRef>
          </c:tx>
          <c:spPr>
            <a:ln w="28575">
              <a:noFill/>
            </a:ln>
          </c:spPr>
          <c:marker>
            <c:symbol val="x"/>
            <c:size val="5"/>
            <c:spPr>
              <a:noFill/>
              <a:ln>
                <a:solidFill>
                  <a:sysClr val="windowText" lastClr="000000"/>
                </a:solidFill>
              </a:ln>
            </c:spPr>
          </c:marker>
          <c:cat>
            <c:strRef>
              <c:f>Hárok1!$O$23:$O$27</c:f>
              <c:strCache>
                <c:ptCount val="5"/>
                <c:pt idx="0">
                  <c:v>SK</c:v>
                </c:pt>
                <c:pt idx="1">
                  <c:v>CZ</c:v>
                </c:pt>
                <c:pt idx="2">
                  <c:v>HU</c:v>
                </c:pt>
                <c:pt idx="3">
                  <c:v>PL</c:v>
                </c:pt>
                <c:pt idx="4">
                  <c:v>EÚ</c:v>
                </c:pt>
              </c:strCache>
            </c:strRef>
          </c:cat>
          <c:val>
            <c:numRef>
              <c:f>Hárok1!$S$23:$S$27</c:f>
              <c:numCache>
                <c:formatCode>0%</c:formatCode>
                <c:ptCount val="5"/>
                <c:pt idx="0">
                  <c:v>0.597938144329897</c:v>
                </c:pt>
                <c:pt idx="1">
                  <c:v>0.42499999999999999</c:v>
                </c:pt>
                <c:pt idx="2">
                  <c:v>0.47058823529411797</c:v>
                </c:pt>
                <c:pt idx="3">
                  <c:v>0.35483870967741898</c:v>
                </c:pt>
                <c:pt idx="4">
                  <c:v>0.47058823529411797</c:v>
                </c:pt>
              </c:numCache>
            </c:numRef>
          </c:val>
          <c:smooth val="0"/>
        </c:ser>
        <c:dLbls>
          <c:showLegendKey val="0"/>
          <c:showVal val="0"/>
          <c:showCatName val="0"/>
          <c:showSerName val="0"/>
          <c:showPercent val="0"/>
          <c:showBubbleSize val="0"/>
        </c:dLbls>
        <c:marker val="1"/>
        <c:smooth val="0"/>
        <c:axId val="410174784"/>
        <c:axId val="410175176"/>
      </c:lineChart>
      <c:catAx>
        <c:axId val="410174000"/>
        <c:scaling>
          <c:orientation val="minMax"/>
        </c:scaling>
        <c:delete val="0"/>
        <c:axPos val="b"/>
        <c:numFmt formatCode="General" sourceLinked="1"/>
        <c:majorTickMark val="out"/>
        <c:minorTickMark val="none"/>
        <c:tickLblPos val="nextTo"/>
        <c:spPr>
          <a:ln>
            <a:solidFill>
              <a:sysClr val="window" lastClr="FFFFFF">
                <a:lumMod val="75000"/>
              </a:sysClr>
            </a:solidFill>
          </a:ln>
        </c:spPr>
        <c:crossAx val="410174392"/>
        <c:crosses val="autoZero"/>
        <c:auto val="1"/>
        <c:lblAlgn val="ctr"/>
        <c:lblOffset val="100"/>
        <c:noMultiLvlLbl val="0"/>
      </c:catAx>
      <c:valAx>
        <c:axId val="410174392"/>
        <c:scaling>
          <c:orientation val="minMax"/>
        </c:scaling>
        <c:delete val="0"/>
        <c:axPos val="l"/>
        <c:majorGridlines>
          <c:spPr>
            <a:ln>
              <a:solidFill>
                <a:sysClr val="window" lastClr="FFFFFF">
                  <a:lumMod val="75000"/>
                </a:sysClr>
              </a:solidFill>
              <a:prstDash val="dash"/>
            </a:ln>
          </c:spPr>
        </c:majorGridlines>
        <c:numFmt formatCode="#,##0" sourceLinked="0"/>
        <c:majorTickMark val="out"/>
        <c:minorTickMark val="none"/>
        <c:tickLblPos val="nextTo"/>
        <c:spPr>
          <a:ln>
            <a:noFill/>
          </a:ln>
        </c:spPr>
        <c:crossAx val="410174000"/>
        <c:crosses val="autoZero"/>
        <c:crossBetween val="between"/>
        <c:majorUnit val="2"/>
      </c:valAx>
      <c:catAx>
        <c:axId val="410174784"/>
        <c:scaling>
          <c:orientation val="minMax"/>
        </c:scaling>
        <c:delete val="1"/>
        <c:axPos val="b"/>
        <c:numFmt formatCode="General" sourceLinked="1"/>
        <c:majorTickMark val="out"/>
        <c:minorTickMark val="none"/>
        <c:tickLblPos val="nextTo"/>
        <c:crossAx val="410175176"/>
        <c:crosses val="autoZero"/>
        <c:auto val="1"/>
        <c:lblAlgn val="ctr"/>
        <c:lblOffset val="100"/>
        <c:noMultiLvlLbl val="0"/>
      </c:catAx>
      <c:valAx>
        <c:axId val="410175176"/>
        <c:scaling>
          <c:orientation val="minMax"/>
        </c:scaling>
        <c:delete val="0"/>
        <c:axPos val="r"/>
        <c:numFmt formatCode="0%" sourceLinked="0"/>
        <c:majorTickMark val="out"/>
        <c:minorTickMark val="none"/>
        <c:tickLblPos val="nextTo"/>
        <c:spPr>
          <a:ln>
            <a:noFill/>
          </a:ln>
        </c:spPr>
        <c:crossAx val="410174784"/>
        <c:crosses val="max"/>
        <c:crossBetween val="between"/>
        <c:majorUnit val="0.1"/>
      </c:valAx>
    </c:plotArea>
    <c:legend>
      <c:legendPos val="b"/>
      <c:layout>
        <c:manualLayout>
          <c:xMode val="edge"/>
          <c:yMode val="edge"/>
          <c:x val="0.14115063506508899"/>
          <c:y val="5.7753718285214403E-3"/>
          <c:w val="0.77326514462074203"/>
          <c:h val="0.27352198162729702"/>
        </c:manualLayout>
      </c:layout>
      <c:overlay val="1"/>
      <c:spPr>
        <a:noFill/>
      </c:sp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2927460154437"/>
          <c:y val="4.5128205128205097E-2"/>
          <c:w val="0.77045418235763996"/>
          <c:h val="0.79469574671366905"/>
        </c:manualLayout>
      </c:layout>
      <c:scatterChart>
        <c:scatterStyle val="lineMarker"/>
        <c:varyColors val="0"/>
        <c:ser>
          <c:idx val="0"/>
          <c:order val="0"/>
          <c:spPr>
            <a:ln w="25400" cap="rnd">
              <a:noFill/>
              <a:round/>
            </a:ln>
            <a:effectLst/>
          </c:spPr>
          <c:marker>
            <c:symbol val="circle"/>
            <c:size val="5"/>
            <c:spPr>
              <a:solidFill>
                <a:srgbClr val="E7E6E6">
                  <a:lumMod val="75000"/>
                </a:srgbClr>
              </a:solidFill>
              <a:ln w="9525">
                <a:solidFill>
                  <a:srgbClr val="E7E6E6">
                    <a:lumMod val="75000"/>
                  </a:srgbClr>
                </a:solidFill>
              </a:ln>
              <a:effectLst/>
            </c:spPr>
          </c:marker>
          <c:dPt>
            <c:idx val="2"/>
            <c:marker>
              <c:symbol val="circle"/>
              <c:size val="5"/>
              <c:spPr>
                <a:solidFill>
                  <a:srgbClr val="E7E6E6">
                    <a:lumMod val="50000"/>
                  </a:srgbClr>
                </a:solidFill>
                <a:ln w="9525">
                  <a:solidFill>
                    <a:srgbClr val="E7E6E6">
                      <a:lumMod val="50000"/>
                    </a:srgbClr>
                  </a:solidFill>
                </a:ln>
                <a:effectLst/>
              </c:spPr>
            </c:marker>
            <c:bubble3D val="0"/>
          </c:dPt>
          <c:dPt>
            <c:idx val="16"/>
            <c:marker>
              <c:symbol val="circle"/>
              <c:size val="5"/>
              <c:spPr>
                <a:solidFill>
                  <a:srgbClr val="E7E6E6">
                    <a:lumMod val="50000"/>
                  </a:srgbClr>
                </a:solidFill>
                <a:ln w="9525">
                  <a:solidFill>
                    <a:srgbClr val="E7E6E6">
                      <a:lumMod val="50000"/>
                    </a:srgbClr>
                  </a:solidFill>
                </a:ln>
                <a:effectLst/>
              </c:spPr>
            </c:marker>
            <c:bubble3D val="0"/>
          </c:dPt>
          <c:dPt>
            <c:idx val="20"/>
            <c:marker>
              <c:symbol val="circle"/>
              <c:size val="5"/>
              <c:spPr>
                <a:solidFill>
                  <a:srgbClr val="E7E6E6">
                    <a:lumMod val="50000"/>
                  </a:srgbClr>
                </a:solidFill>
                <a:ln w="9525">
                  <a:solidFill>
                    <a:srgbClr val="E7E6E6">
                      <a:lumMod val="50000"/>
                    </a:srgbClr>
                  </a:solidFill>
                </a:ln>
                <a:effectLst/>
              </c:spPr>
            </c:marker>
            <c:bubble3D val="0"/>
          </c:dPt>
          <c:dPt>
            <c:idx val="24"/>
            <c:marker>
              <c:symbol val="circle"/>
              <c:size val="5"/>
              <c:spPr>
                <a:solidFill>
                  <a:sysClr val="windowText" lastClr="000000"/>
                </a:solidFill>
                <a:ln w="9525">
                  <a:solidFill>
                    <a:sysClr val="windowText" lastClr="000000"/>
                  </a:solidFill>
                </a:ln>
                <a:effectLst/>
              </c:spPr>
            </c:marker>
            <c:bubble3D val="0"/>
          </c:dPt>
          <c:xVal>
            <c:numRef>
              <c:f>'43 zamestnanosť'!$N$151:$N$178</c:f>
              <c:numCache>
                <c:formatCode>#\ ##0.0</c:formatCode>
                <c:ptCount val="28"/>
                <c:pt idx="0">
                  <c:v>43.4</c:v>
                </c:pt>
                <c:pt idx="1">
                  <c:v>39.799999999999997</c:v>
                </c:pt>
                <c:pt idx="2">
                  <c:v>29</c:v>
                </c:pt>
                <c:pt idx="3">
                  <c:v>60.3</c:v>
                </c:pt>
                <c:pt idx="4">
                  <c:v>52.1</c:v>
                </c:pt>
                <c:pt idx="5">
                  <c:v>42.8</c:v>
                </c:pt>
                <c:pt idx="6">
                  <c:v>42.5</c:v>
                </c:pt>
                <c:pt idx="7">
                  <c:v>54.5</c:v>
                </c:pt>
                <c:pt idx="8">
                  <c:v>67.099999999999994</c:v>
                </c:pt>
                <c:pt idx="9">
                  <c:v>48.4</c:v>
                </c:pt>
                <c:pt idx="10">
                  <c:v>36.5</c:v>
                </c:pt>
                <c:pt idx="11">
                  <c:v>50.2</c:v>
                </c:pt>
                <c:pt idx="12">
                  <c:v>50.4</c:v>
                </c:pt>
                <c:pt idx="13">
                  <c:v>44.6</c:v>
                </c:pt>
                <c:pt idx="14">
                  <c:v>27.3</c:v>
                </c:pt>
                <c:pt idx="15">
                  <c:v>52.4</c:v>
                </c:pt>
                <c:pt idx="16">
                  <c:v>41.1</c:v>
                </c:pt>
                <c:pt idx="17">
                  <c:v>57.1</c:v>
                </c:pt>
                <c:pt idx="18">
                  <c:v>64.3</c:v>
                </c:pt>
                <c:pt idx="19">
                  <c:v>53.4</c:v>
                </c:pt>
                <c:pt idx="20">
                  <c:v>28.2</c:v>
                </c:pt>
                <c:pt idx="21">
                  <c:v>65.599999999999994</c:v>
                </c:pt>
                <c:pt idx="22">
                  <c:v>46.9</c:v>
                </c:pt>
                <c:pt idx="23">
                  <c:v>41.8</c:v>
                </c:pt>
                <c:pt idx="24">
                  <c:v>29.4</c:v>
                </c:pt>
                <c:pt idx="25">
                  <c:v>46.7</c:v>
                </c:pt>
                <c:pt idx="26">
                  <c:v>57.3</c:v>
                </c:pt>
                <c:pt idx="27">
                  <c:v>62.2</c:v>
                </c:pt>
              </c:numCache>
            </c:numRef>
          </c:xVal>
          <c:yVal>
            <c:numRef>
              <c:f>'43 zamestnanosť'!$O$151:$O$178</c:f>
              <c:numCache>
                <c:formatCode>#\ ##0.0</c:formatCode>
                <c:ptCount val="28"/>
                <c:pt idx="0">
                  <c:v>17</c:v>
                </c:pt>
                <c:pt idx="1">
                  <c:v>25.5</c:v>
                </c:pt>
                <c:pt idx="2">
                  <c:v>23.1</c:v>
                </c:pt>
                <c:pt idx="3">
                  <c:v>10</c:v>
                </c:pt>
                <c:pt idx="4">
                  <c:v>11.4</c:v>
                </c:pt>
                <c:pt idx="5">
                  <c:v>13.8</c:v>
                </c:pt>
                <c:pt idx="6">
                  <c:v>17.600000000000001</c:v>
                </c:pt>
                <c:pt idx="7">
                  <c:v>27.2</c:v>
                </c:pt>
                <c:pt idx="8">
                  <c:v>31.2</c:v>
                </c:pt>
                <c:pt idx="9">
                  <c:v>17.8</c:v>
                </c:pt>
                <c:pt idx="10">
                  <c:v>22.8</c:v>
                </c:pt>
                <c:pt idx="11">
                  <c:v>15.9</c:v>
                </c:pt>
                <c:pt idx="12">
                  <c:v>19.399999999999999</c:v>
                </c:pt>
                <c:pt idx="13">
                  <c:v>22.3</c:v>
                </c:pt>
                <c:pt idx="14">
                  <c:v>27.3</c:v>
                </c:pt>
                <c:pt idx="15">
                  <c:v>10.7</c:v>
                </c:pt>
                <c:pt idx="16">
                  <c:v>17.399999999999999</c:v>
                </c:pt>
                <c:pt idx="17">
                  <c:v>8.8000000000000007</c:v>
                </c:pt>
                <c:pt idx="18">
                  <c:v>11.3</c:v>
                </c:pt>
                <c:pt idx="19">
                  <c:v>11.5</c:v>
                </c:pt>
                <c:pt idx="20">
                  <c:v>17.3</c:v>
                </c:pt>
                <c:pt idx="21">
                  <c:v>14.2</c:v>
                </c:pt>
                <c:pt idx="22">
                  <c:v>9.1</c:v>
                </c:pt>
                <c:pt idx="23">
                  <c:v>14.6</c:v>
                </c:pt>
                <c:pt idx="24">
                  <c:v>37.700000000000003</c:v>
                </c:pt>
                <c:pt idx="25">
                  <c:v>18.7</c:v>
                </c:pt>
                <c:pt idx="26">
                  <c:v>19.7</c:v>
                </c:pt>
                <c:pt idx="27">
                  <c:v>10</c:v>
                </c:pt>
              </c:numCache>
            </c:numRef>
          </c:yVal>
          <c:smooth val="0"/>
        </c:ser>
        <c:dLbls>
          <c:showLegendKey val="0"/>
          <c:showVal val="0"/>
          <c:showCatName val="0"/>
          <c:showSerName val="0"/>
          <c:showPercent val="0"/>
          <c:showBubbleSize val="0"/>
        </c:dLbls>
        <c:axId val="434601144"/>
        <c:axId val="434601536"/>
      </c:scatterChart>
      <c:valAx>
        <c:axId val="434601144"/>
        <c:scaling>
          <c:orientation val="minMax"/>
          <c:min val="20"/>
        </c:scaling>
        <c:delete val="0"/>
        <c:axPos val="b"/>
        <c:majorGridlines>
          <c:spPr>
            <a:ln w="6350" cap="flat" cmpd="sng" algn="ctr">
              <a:solidFill>
                <a:schemeClr val="tx1">
                  <a:lumMod val="15000"/>
                  <a:lumOff val="85000"/>
                </a:schemeClr>
              </a:solidFill>
              <a:prstDash val="dash"/>
              <a:round/>
            </a:ln>
            <a:effectLst/>
          </c:spPr>
        </c:majorGridlines>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k-SK" sz="700"/>
                  <a:t>Miera aktivity (15-64 r., ISCED 0-2)</a:t>
                </a:r>
                <a:endParaRPr lang="en-US" sz="700"/>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title>
        <c:numFmt formatCode="#,##0" sourceLinked="0"/>
        <c:majorTickMark val="none"/>
        <c:minorTickMark val="none"/>
        <c:tickLblPos val="nextTo"/>
        <c:spPr>
          <a:noFill/>
          <a:ln w="6350" cap="flat" cmpd="sng" algn="ctr">
            <a:solidFill>
              <a:sysClr val="window" lastClr="FFFFFF">
                <a:lumMod val="75000"/>
              </a:sys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crossAx val="434601536"/>
        <c:crosses val="autoZero"/>
        <c:crossBetween val="midCat"/>
      </c:valAx>
      <c:valAx>
        <c:axId val="434601536"/>
        <c:scaling>
          <c:orientation val="minMax"/>
        </c:scaling>
        <c:delete val="0"/>
        <c:axPos val="l"/>
        <c:majorGridlines>
          <c:spPr>
            <a:ln w="6350" cap="flat" cmpd="sng" algn="ctr">
              <a:solidFill>
                <a:schemeClr val="tx1">
                  <a:lumMod val="15000"/>
                  <a:lumOff val="85000"/>
                </a:schemeClr>
              </a:solidFill>
              <a:prstDash val="dash"/>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k-SK" sz="700"/>
                  <a:t>Miera nezamestnanosti (15-64 r., ISCED 0-2)</a:t>
                </a:r>
                <a:endParaRPr lang="en-US" sz="700"/>
              </a:p>
            </c:rich>
          </c:tx>
          <c:layout>
            <c:manualLayout>
              <c:xMode val="edge"/>
              <c:yMode val="edge"/>
              <c:x val="2.7441135075506901E-3"/>
              <c:y val="5.6626143489386001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title>
        <c:numFmt formatCode="#,##0" sourceLinked="0"/>
        <c:majorTickMark val="none"/>
        <c:minorTickMark val="none"/>
        <c:tickLblPos val="nextTo"/>
        <c:spPr>
          <a:noFill/>
          <a:ln w="6350" cap="flat" cmpd="sng" algn="ctr">
            <a:solidFill>
              <a:sysClr val="window" lastClr="FFFFFF">
                <a:lumMod val="75000"/>
              </a:sys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crossAx val="43460114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sk-SK"/>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0.19431</cdr:x>
      <cdr:y>0.03772</cdr:y>
    </cdr:from>
    <cdr:to>
      <cdr:x>0.31877</cdr:x>
      <cdr:y>0.13047</cdr:y>
    </cdr:to>
    <cdr:sp macro="" textlink="">
      <cdr:nvSpPr>
        <cdr:cNvPr id="10" name="BlokTextu 1"/>
        <cdr:cNvSpPr txBox="1"/>
      </cdr:nvSpPr>
      <cdr:spPr>
        <a:xfrm xmlns:a="http://schemas.openxmlformats.org/drawingml/2006/main">
          <a:off x="510820" y="82640"/>
          <a:ext cx="327193" cy="2031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k-SK" sz="800" b="1">
              <a:solidFill>
                <a:sysClr val="windowText" lastClr="000000"/>
              </a:solidFill>
              <a:latin typeface="Arial Narrow" panose="020B0606020202030204" pitchFamily="34" charset="0"/>
            </a:rPr>
            <a:t>SK</a:t>
          </a:r>
        </a:p>
      </cdr:txBody>
    </cdr:sp>
  </cdr:relSizeAnchor>
  <cdr:relSizeAnchor xmlns:cdr="http://schemas.openxmlformats.org/drawingml/2006/chartDrawing">
    <cdr:from>
      <cdr:x>0.18778</cdr:x>
      <cdr:y>0.34003</cdr:y>
    </cdr:from>
    <cdr:to>
      <cdr:x>0.32699</cdr:x>
      <cdr:y>0.42223</cdr:y>
    </cdr:to>
    <cdr:sp macro="" textlink="">
      <cdr:nvSpPr>
        <cdr:cNvPr id="11" name="BlokTextu 1"/>
        <cdr:cNvSpPr txBox="1"/>
      </cdr:nvSpPr>
      <cdr:spPr>
        <a:xfrm xmlns:a="http://schemas.openxmlformats.org/drawingml/2006/main">
          <a:off x="493656" y="774073"/>
          <a:ext cx="365969" cy="1871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k-SK" sz="900" b="1">
              <a:solidFill>
                <a:sysClr val="windowText" lastClr="000000"/>
              </a:solidFill>
              <a:latin typeface="Arial Narrow" panose="020B0606020202030204" pitchFamily="34" charset="0"/>
            </a:rPr>
            <a:t>CZ</a:t>
          </a:r>
        </a:p>
      </cdr:txBody>
    </cdr:sp>
  </cdr:relSizeAnchor>
  <cdr:relSizeAnchor xmlns:cdr="http://schemas.openxmlformats.org/drawingml/2006/chartDrawing">
    <cdr:from>
      <cdr:x>0.37934</cdr:x>
      <cdr:y>0.44952</cdr:y>
    </cdr:from>
    <cdr:to>
      <cdr:x>0.51786</cdr:x>
      <cdr:y>0.52559</cdr:y>
    </cdr:to>
    <cdr:sp macro="" textlink="">
      <cdr:nvSpPr>
        <cdr:cNvPr id="12" name="BlokTextu 1"/>
        <cdr:cNvSpPr txBox="1"/>
      </cdr:nvSpPr>
      <cdr:spPr>
        <a:xfrm xmlns:a="http://schemas.openxmlformats.org/drawingml/2006/main">
          <a:off x="997256" y="1023315"/>
          <a:ext cx="364156" cy="173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k-SK" sz="900" b="1">
              <a:solidFill>
                <a:sysClr val="windowText" lastClr="000000"/>
              </a:solidFill>
              <a:latin typeface="Arial Narrow" panose="020B0606020202030204" pitchFamily="34" charset="0"/>
            </a:rPr>
            <a:t>HU</a:t>
          </a:r>
        </a:p>
      </cdr:txBody>
    </cdr:sp>
  </cdr:relSizeAnchor>
  <cdr:relSizeAnchor xmlns:cdr="http://schemas.openxmlformats.org/drawingml/2006/chartDrawing">
    <cdr:from>
      <cdr:x>0.17737</cdr:x>
      <cdr:y>0.45196</cdr:y>
    </cdr:from>
    <cdr:to>
      <cdr:x>0.29835</cdr:x>
      <cdr:y>0.55533</cdr:y>
    </cdr:to>
    <cdr:sp macro="" textlink="">
      <cdr:nvSpPr>
        <cdr:cNvPr id="13" name="BlokTextu 1"/>
        <cdr:cNvSpPr txBox="1"/>
      </cdr:nvSpPr>
      <cdr:spPr>
        <a:xfrm xmlns:a="http://schemas.openxmlformats.org/drawingml/2006/main">
          <a:off x="466298" y="1028874"/>
          <a:ext cx="318044" cy="2353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k-SK" sz="900" b="1">
              <a:solidFill>
                <a:sysClr val="windowText" lastClr="000000"/>
              </a:solidFill>
              <a:latin typeface="Arial Narrow" panose="020B0606020202030204" pitchFamily="34" charset="0"/>
            </a:rPr>
            <a:t>PL</a:t>
          </a:r>
        </a:p>
      </cdr:txBody>
    </cdr:sp>
  </cdr:relSizeAnchor>
</c:userShapes>
</file>

<file path=word/drawings/drawing2.xml><?xml version="1.0" encoding="utf-8"?>
<c:userShapes xmlns:c="http://schemas.openxmlformats.org/drawingml/2006/chart">
  <cdr:relSizeAnchor xmlns:cdr="http://schemas.openxmlformats.org/drawingml/2006/chartDrawing">
    <cdr:from>
      <cdr:x>0.75771</cdr:x>
      <cdr:y>0.18408</cdr:y>
    </cdr:from>
    <cdr:to>
      <cdr:x>0.93476</cdr:x>
      <cdr:y>0.30703</cdr:y>
    </cdr:to>
    <cdr:sp macro="" textlink="">
      <cdr:nvSpPr>
        <cdr:cNvPr id="2" name="BlokTextu 1"/>
        <cdr:cNvSpPr txBox="1"/>
      </cdr:nvSpPr>
      <cdr:spPr>
        <a:xfrm xmlns:a="http://schemas.openxmlformats.org/drawingml/2006/main">
          <a:off x="2009263" y="445587"/>
          <a:ext cx="469503" cy="297616"/>
        </a:xfrm>
        <a:prstGeom xmlns:a="http://schemas.openxmlformats.org/drawingml/2006/main" prst="rect">
          <a:avLst/>
        </a:prstGeom>
      </cdr:spPr>
    </cdr:sp>
  </cdr:relSizeAnchor>
</c:userShapes>
</file>

<file path=word/drawings/drawing3.xml><?xml version="1.0" encoding="utf-8"?>
<c:userShapes xmlns:c="http://schemas.openxmlformats.org/drawingml/2006/chart">
  <cdr:relSizeAnchor xmlns:cdr="http://schemas.openxmlformats.org/drawingml/2006/chartDrawing">
    <cdr:from>
      <cdr:x>0.83302</cdr:x>
      <cdr:y>0.438</cdr:y>
    </cdr:from>
    <cdr:to>
      <cdr:x>1</cdr:x>
      <cdr:y>0.56995</cdr:y>
    </cdr:to>
    <cdr:sp macro="" textlink="">
      <cdr:nvSpPr>
        <cdr:cNvPr id="2" name="BlokTextu 1"/>
        <cdr:cNvSpPr txBox="1"/>
      </cdr:nvSpPr>
      <cdr:spPr>
        <a:xfrm xmlns:a="http://schemas.openxmlformats.org/drawingml/2006/main">
          <a:off x="2342277" y="987911"/>
          <a:ext cx="469503" cy="2976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k-SK" sz="1000">
              <a:latin typeface="Arial Narrow" panose="020B0606020202030204" pitchFamily="34" charset="0"/>
            </a:rPr>
            <a:t>EU28</a:t>
          </a:r>
        </a:p>
      </cdr:txBody>
    </cdr:sp>
  </cdr:relSizeAnchor>
</c:userShape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898CE-F7FB-4183-A074-15A5AD9C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162</Pages>
  <Words>72867</Words>
  <Characters>415345</Characters>
  <Application>Microsoft Office Word</Application>
  <DocSecurity>0</DocSecurity>
  <Lines>3461</Lines>
  <Paragraphs>974</Paragraphs>
  <ScaleCrop>false</ScaleCrop>
  <HeadingPairs>
    <vt:vector size="2" baseType="variant">
      <vt:variant>
        <vt:lpstr>Názov</vt:lpstr>
      </vt:variant>
      <vt:variant>
        <vt:i4>1</vt:i4>
      </vt:variant>
    </vt:vector>
  </HeadingPairs>
  <TitlesOfParts>
    <vt:vector size="1" baseType="lpstr">
      <vt:lpstr>5</vt:lpstr>
    </vt:vector>
  </TitlesOfParts>
  <Company/>
  <LinksUpToDate>false</LinksUpToDate>
  <CharactersWithSpaces>487238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Michlo Martin</dc:creator>
  <cp:keywords/>
  <dc:description/>
  <cp:lastModifiedBy>Michlo Martin</cp:lastModifiedBy>
  <cp:revision>435</cp:revision>
  <cp:lastPrinted>2017-10-03T12:30:00Z</cp:lastPrinted>
  <dcterms:created xsi:type="dcterms:W3CDTF">2016-10-02T09:02:00Z</dcterms:created>
  <dcterms:modified xsi:type="dcterms:W3CDTF">2017-10-03T12:37:00Z</dcterms:modified>
</cp:coreProperties>
</file>